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简体" w:hAnsi="方正小标宋简体" w:eastAsia="方正小标宋简体" w:cs="方正小标宋简体"/>
          <w:sz w:val="72"/>
          <w:szCs w:val="72"/>
          <w:lang w:val="en-US" w:eastAsia="zh-CN"/>
        </w:rPr>
      </w:pPr>
      <w:bookmarkStart w:id="1" w:name="_Toc15378441"/>
      <w:bookmarkStart w:id="2" w:name="_Toc15377193"/>
      <w:bookmarkStart w:id="3" w:name="_Toc15396597"/>
      <w:bookmarkStart w:id="4" w:name="_Toc15377425"/>
      <w:bookmarkStart w:id="5" w:name="_Toc15396475"/>
      <w:r>
        <w:rPr>
          <w:rFonts w:hint="eastAsia" w:ascii="方正小标宋简体" w:hAnsi="方正小标宋简体" w:eastAsia="方正小标宋简体" w:cs="方正小标宋简体"/>
          <w:sz w:val="72"/>
          <w:szCs w:val="72"/>
          <w:lang w:val="en-US" w:eastAsia="zh-CN"/>
        </w:rPr>
        <w:t>2022年度</w:t>
      </w:r>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sz w:val="72"/>
          <w:szCs w:val="72"/>
          <w:lang w:val="en-US" w:eastAsia="zh-CN"/>
        </w:rPr>
      </w:pPr>
      <w:bookmarkStart w:id="6" w:name="_Toc15377426"/>
      <w:bookmarkStart w:id="7" w:name="_Toc15396476"/>
      <w:bookmarkStart w:id="8" w:name="_Toc24338"/>
      <w:bookmarkStart w:id="9" w:name="_Toc15396598"/>
      <w:bookmarkStart w:id="10" w:name="_Toc15377194"/>
      <w:bookmarkStart w:id="11" w:name="_Toc20177"/>
      <w:bookmarkStart w:id="12" w:name="_Toc15378442"/>
      <w:r>
        <w:rPr>
          <w:rFonts w:hint="eastAsia" w:ascii="方正小标宋简体" w:hAnsi="方正小标宋简体" w:eastAsia="方正小标宋简体" w:cs="方正小标宋简体"/>
          <w:sz w:val="72"/>
          <w:szCs w:val="72"/>
          <w:lang w:val="en-US" w:eastAsia="zh-CN"/>
        </w:rPr>
        <w:t>广元市</w:t>
      </w:r>
      <w:bookmarkEnd w:id="0"/>
      <w:bookmarkStart w:id="13" w:name="_Toc15306268"/>
      <w:r>
        <w:rPr>
          <w:rFonts w:hint="eastAsia" w:ascii="方正小标宋简体" w:hAnsi="方正小标宋简体" w:eastAsia="方正小标宋简体" w:cs="方正小标宋简体"/>
          <w:sz w:val="72"/>
          <w:szCs w:val="72"/>
          <w:lang w:val="en-US" w:eastAsia="zh-CN"/>
        </w:rPr>
        <w:t>就业创业促进中心单位决算</w:t>
      </w:r>
      <w:bookmarkEnd w:id="6"/>
      <w:bookmarkEnd w:id="7"/>
      <w:bookmarkEnd w:id="8"/>
      <w:bookmarkEnd w:id="9"/>
      <w:bookmarkEnd w:id="10"/>
      <w:bookmarkEnd w:id="11"/>
      <w:bookmarkEnd w:id="12"/>
      <w:bookmarkEnd w:id="13"/>
    </w:p>
    <w:p/>
    <w:p>
      <w:pPr>
        <w:widowControl/>
        <w:jc w:val="center"/>
        <w:rPr>
          <w:rFonts w:ascii="方正小标宋简体" w:hAnsi="宋体" w:eastAsia="方正小标宋简体"/>
          <w:color w:val="auto"/>
          <w:sz w:val="36"/>
          <w:szCs w:val="36"/>
          <w:highlight w:val="none"/>
        </w:rPr>
      </w:pPr>
      <w:r>
        <w:rPr>
          <w:rFonts w:ascii="方正小标宋简体" w:hAnsi="宋体" w:eastAsia="方正小标宋简体"/>
          <w:color w:val="auto"/>
          <w:sz w:val="36"/>
          <w:szCs w:val="36"/>
          <w:highlight w:val="none"/>
        </w:rPr>
        <w:br w:type="page"/>
      </w:r>
    </w:p>
    <w:sdt>
      <w:sdtPr>
        <w:rPr>
          <w:rFonts w:ascii="宋体" w:hAnsi="宋体" w:eastAsia="宋体" w:cs="Times New Roman"/>
          <w:kern w:val="2"/>
          <w:sz w:val="21"/>
          <w:szCs w:val="24"/>
          <w:lang w:val="en-US" w:eastAsia="zh-CN" w:bidi="ar-SA"/>
        </w:rPr>
        <w:id w:val="147467194"/>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10 </w:t>
          </w:r>
          <w:r>
            <w:rPr>
              <w:rFonts w:hint="eastAsia"/>
              <w:color w:val="auto"/>
              <w:highlight w:val="none"/>
            </w:rPr>
            <w:t>月</w:t>
          </w:r>
          <w:r>
            <w:rPr>
              <w:rFonts w:hint="eastAsia"/>
              <w:color w:val="auto"/>
              <w:highlight w:val="none"/>
              <w:lang w:val="en-US" w:eastAsia="zh-CN"/>
            </w:rPr>
            <w:t>1</w:t>
          </w:r>
          <w:r>
            <w:rPr>
              <w:rFonts w:hint="default"/>
              <w:color w:val="auto"/>
              <w:highlight w:val="none"/>
              <w:lang w:val="en" w:eastAsia="zh-CN"/>
            </w:rPr>
            <w:t>7</w:t>
          </w:r>
          <w:r>
            <w:rPr>
              <w:rFonts w:hint="eastAsia"/>
              <w:color w:val="auto"/>
              <w:highlight w:val="none"/>
            </w:rPr>
            <w:t>日</w:t>
          </w:r>
        </w:p>
        <w:p>
          <w:pPr>
            <w:spacing w:before="0" w:beforeLines="0" w:after="0" w:afterLines="0" w:line="240" w:lineRule="auto"/>
            <w:ind w:left="0" w:leftChars="0" w:right="0" w:rightChars="0" w:firstLine="0" w:firstLineChars="0"/>
            <w:jc w:val="center"/>
          </w:pPr>
        </w:p>
        <w:p>
          <w:pPr>
            <w:pStyle w:val="11"/>
            <w:tabs>
              <w:tab w:val="right" w:leader="dot" w:pos="8306"/>
              <w:tab w:val="clear" w:pos="8296"/>
            </w:tabs>
          </w:pPr>
          <w:r>
            <w:fldChar w:fldCharType="begin"/>
          </w:r>
          <w:r>
            <w:instrText xml:space="preserve">TOC \o "1-2" \h \u </w:instrText>
          </w:r>
          <w:r>
            <w:fldChar w:fldCharType="separate"/>
          </w:r>
          <w:r>
            <w:fldChar w:fldCharType="begin"/>
          </w:r>
          <w:r>
            <w:instrText xml:space="preserve"> HYPERLINK \l _Toc22513 </w:instrText>
          </w:r>
          <w: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_Toc22513 \h </w:instrText>
          </w:r>
          <w:r>
            <w:fldChar w:fldCharType="separate"/>
          </w:r>
          <w:r>
            <w:t>1</w:t>
          </w:r>
          <w:r>
            <w:fldChar w:fldCharType="end"/>
          </w:r>
          <w:r>
            <w:fldChar w:fldCharType="end"/>
          </w:r>
        </w:p>
        <w:p>
          <w:pPr>
            <w:pStyle w:val="13"/>
            <w:tabs>
              <w:tab w:val="right" w:leader="dot" w:pos="8306"/>
              <w:tab w:val="clear" w:pos="8296"/>
            </w:tabs>
          </w:pPr>
          <w:r>
            <w:fldChar w:fldCharType="begin"/>
          </w:r>
          <w:r>
            <w:instrText xml:space="preserve"> HYPERLINK \l _Toc21636 </w:instrText>
          </w:r>
          <w:r>
            <w:fldChar w:fldCharType="separate"/>
          </w:r>
          <w:r>
            <w:rPr>
              <w:rFonts w:hint="eastAsia" w:ascii="黑体" w:hAnsi="黑体" w:eastAsia="黑体"/>
              <w:bCs w:val="0"/>
              <w:lang w:eastAsia="zh-CN"/>
            </w:rPr>
            <w:t>一、</w:t>
          </w:r>
          <w:r>
            <w:rPr>
              <w:rFonts w:hint="eastAsia" w:ascii="黑体" w:hAnsi="黑体" w:eastAsia="黑体"/>
              <w:bCs w:val="0"/>
              <w:highlight w:val="none"/>
              <w:lang w:eastAsia="zh-CN"/>
            </w:rPr>
            <w:t>主要职责</w:t>
          </w:r>
          <w:r>
            <w:tab/>
          </w:r>
          <w:r>
            <w:fldChar w:fldCharType="begin"/>
          </w:r>
          <w:r>
            <w:instrText xml:space="preserve"> PAGEREF _Toc21636 \h </w:instrText>
          </w:r>
          <w:r>
            <w:fldChar w:fldCharType="separate"/>
          </w:r>
          <w:r>
            <w:t>1</w:t>
          </w:r>
          <w:r>
            <w:fldChar w:fldCharType="end"/>
          </w:r>
          <w:r>
            <w:fldChar w:fldCharType="end"/>
          </w:r>
        </w:p>
        <w:p>
          <w:pPr>
            <w:pStyle w:val="13"/>
            <w:tabs>
              <w:tab w:val="right" w:leader="dot" w:pos="8306"/>
              <w:tab w:val="clear" w:pos="8296"/>
            </w:tabs>
          </w:pPr>
          <w:r>
            <w:fldChar w:fldCharType="begin"/>
          </w:r>
          <w:r>
            <w:instrText xml:space="preserve"> HYPERLINK \l _Toc22309 </w:instrText>
          </w:r>
          <w:r>
            <w:fldChar w:fldCharType="separate"/>
          </w:r>
          <w:r>
            <w:rPr>
              <w:rFonts w:hint="eastAsia" w:ascii="黑体" w:hAnsi="黑体" w:eastAsia="黑体"/>
              <w:highlight w:val="none"/>
              <w:lang w:val="en-US" w:eastAsia="zh-CN"/>
            </w:rPr>
            <w:t>二、机构设置</w:t>
          </w:r>
          <w:r>
            <w:tab/>
          </w:r>
          <w:r>
            <w:fldChar w:fldCharType="begin"/>
          </w:r>
          <w:r>
            <w:instrText xml:space="preserve"> PAGEREF _Toc22309 \h </w:instrText>
          </w:r>
          <w:r>
            <w:fldChar w:fldCharType="separate"/>
          </w:r>
          <w:r>
            <w:t>2</w:t>
          </w:r>
          <w:r>
            <w:fldChar w:fldCharType="end"/>
          </w:r>
          <w:r>
            <w:fldChar w:fldCharType="end"/>
          </w:r>
        </w:p>
        <w:p>
          <w:pPr>
            <w:pStyle w:val="11"/>
            <w:tabs>
              <w:tab w:val="right" w:leader="dot" w:pos="8306"/>
              <w:tab w:val="clear" w:pos="8296"/>
            </w:tabs>
          </w:pPr>
          <w:r>
            <w:fldChar w:fldCharType="begin"/>
          </w:r>
          <w:r>
            <w:instrText xml:space="preserve"> HYPERLINK \l _Toc26022 </w:instrText>
          </w:r>
          <w:r>
            <w:fldChar w:fldCharType="separate"/>
          </w:r>
          <w:r>
            <w:rPr>
              <w:rFonts w:hint="eastAsia" w:ascii="黑体" w:hAnsi="黑体" w:eastAsia="黑体" w:cs="Times New Roman"/>
              <w:bCs/>
              <w:highlight w:val="none"/>
            </w:rPr>
            <w:t xml:space="preserve">第二部分 </w:t>
          </w:r>
          <w:r>
            <w:rPr>
              <w:rFonts w:hint="eastAsia" w:ascii="黑体" w:hAnsi="黑体" w:eastAsia="黑体" w:cs="Times New Roman"/>
              <w:bCs/>
              <w:highlight w:val="none"/>
              <w:lang w:val="en-US" w:eastAsia="zh-CN"/>
            </w:rPr>
            <w:t>2022年度</w:t>
          </w:r>
          <w:r>
            <w:rPr>
              <w:rFonts w:hint="eastAsia" w:ascii="黑体" w:hAnsi="黑体" w:eastAsia="黑体" w:cs="Times New Roman"/>
              <w:bCs/>
              <w:highlight w:val="none"/>
              <w:lang w:eastAsia="zh-CN"/>
            </w:rPr>
            <w:t>单位</w:t>
          </w:r>
          <w:r>
            <w:rPr>
              <w:rFonts w:hint="eastAsia" w:ascii="黑体" w:hAnsi="黑体" w:eastAsia="黑体" w:cs="Times New Roman"/>
              <w:bCs/>
              <w:highlight w:val="none"/>
            </w:rPr>
            <w:t>决算情况说明</w:t>
          </w:r>
          <w:r>
            <w:tab/>
          </w:r>
          <w:r>
            <w:fldChar w:fldCharType="begin"/>
          </w:r>
          <w:r>
            <w:instrText xml:space="preserve"> PAGEREF _Toc26022 \h </w:instrText>
          </w:r>
          <w:r>
            <w:fldChar w:fldCharType="separate"/>
          </w:r>
          <w:r>
            <w:t>4</w:t>
          </w:r>
          <w:r>
            <w:fldChar w:fldCharType="end"/>
          </w:r>
          <w:r>
            <w:fldChar w:fldCharType="end"/>
          </w:r>
        </w:p>
        <w:p>
          <w:pPr>
            <w:pStyle w:val="13"/>
            <w:tabs>
              <w:tab w:val="right" w:leader="dot" w:pos="8306"/>
              <w:tab w:val="clear" w:pos="8296"/>
            </w:tabs>
          </w:pPr>
          <w:r>
            <w:fldChar w:fldCharType="begin"/>
          </w:r>
          <w:r>
            <w:instrText xml:space="preserve"> HYPERLINK \l _Toc14500 </w:instrText>
          </w:r>
          <w:r>
            <w:fldChar w:fldCharType="separate"/>
          </w:r>
          <w:r>
            <w:rPr>
              <w:rFonts w:hint="default" w:ascii="黑体" w:hAnsi="黑体" w:eastAsia="黑体" w:cs="Times New Roman"/>
              <w:szCs w:val="32"/>
            </w:rPr>
            <w:t xml:space="preserve">一、 </w:t>
          </w:r>
          <w:r>
            <w:rPr>
              <w:rFonts w:hint="eastAsia" w:ascii="黑体" w:hAnsi="黑体" w:eastAsia="黑体" w:cs="Times New Roman"/>
              <w:szCs w:val="32"/>
              <w:highlight w:val="none"/>
            </w:rPr>
            <w:t>收入支出决算总体情况说明</w:t>
          </w:r>
          <w:r>
            <w:tab/>
          </w:r>
          <w:r>
            <w:fldChar w:fldCharType="begin"/>
          </w:r>
          <w:r>
            <w:instrText xml:space="preserve"> PAGEREF _Toc14500 \h </w:instrText>
          </w:r>
          <w:r>
            <w:fldChar w:fldCharType="separate"/>
          </w:r>
          <w:r>
            <w:t>4</w:t>
          </w:r>
          <w:r>
            <w:fldChar w:fldCharType="end"/>
          </w:r>
          <w:r>
            <w:fldChar w:fldCharType="end"/>
          </w:r>
        </w:p>
        <w:p>
          <w:pPr>
            <w:pStyle w:val="13"/>
            <w:tabs>
              <w:tab w:val="right" w:leader="dot" w:pos="8306"/>
              <w:tab w:val="clear" w:pos="8296"/>
            </w:tabs>
          </w:pPr>
          <w:r>
            <w:fldChar w:fldCharType="begin"/>
          </w:r>
          <w:r>
            <w:instrText xml:space="preserve"> HYPERLINK \l _Toc16149 </w:instrText>
          </w:r>
          <w:r>
            <w:fldChar w:fldCharType="separate"/>
          </w:r>
          <w:r>
            <w:rPr>
              <w:rFonts w:hint="eastAsia" w:ascii="黑体" w:hAnsi="黑体" w:eastAsia="黑体"/>
              <w:szCs w:val="32"/>
              <w:highlight w:val="none"/>
              <w:lang w:eastAsia="zh-CN"/>
            </w:rPr>
            <w:t>二、</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_Toc16149 \h </w:instrText>
          </w:r>
          <w:r>
            <w:fldChar w:fldCharType="separate"/>
          </w:r>
          <w:r>
            <w:t>4</w:t>
          </w:r>
          <w:r>
            <w:fldChar w:fldCharType="end"/>
          </w:r>
          <w:r>
            <w:fldChar w:fldCharType="end"/>
          </w:r>
        </w:p>
        <w:p>
          <w:pPr>
            <w:pStyle w:val="13"/>
            <w:tabs>
              <w:tab w:val="right" w:leader="dot" w:pos="8306"/>
              <w:tab w:val="clear" w:pos="8296"/>
            </w:tabs>
          </w:pPr>
          <w:r>
            <w:fldChar w:fldCharType="begin"/>
          </w:r>
          <w:r>
            <w:instrText xml:space="preserve"> HYPERLINK \l _Toc31925 </w:instrText>
          </w:r>
          <w:r>
            <w:fldChar w:fldCharType="separate"/>
          </w:r>
          <w:r>
            <w:rPr>
              <w:rFonts w:hint="eastAsia" w:ascii="黑体" w:hAnsi="黑体" w:eastAsia="黑体"/>
              <w:szCs w:val="32"/>
              <w:highlight w:val="none"/>
              <w:lang w:eastAsia="zh-CN"/>
            </w:rPr>
            <w:t>三、</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_Toc31925 \h </w:instrText>
          </w:r>
          <w:r>
            <w:fldChar w:fldCharType="separate"/>
          </w:r>
          <w:r>
            <w:t>5</w:t>
          </w:r>
          <w:r>
            <w:fldChar w:fldCharType="end"/>
          </w:r>
          <w:r>
            <w:fldChar w:fldCharType="end"/>
          </w:r>
        </w:p>
        <w:p>
          <w:pPr>
            <w:pStyle w:val="13"/>
            <w:tabs>
              <w:tab w:val="right" w:leader="dot" w:pos="8306"/>
              <w:tab w:val="clear" w:pos="8296"/>
            </w:tabs>
          </w:pPr>
          <w:r>
            <w:fldChar w:fldCharType="begin"/>
          </w:r>
          <w:r>
            <w:instrText xml:space="preserve"> HYPERLINK \l _Toc9070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_Toc9070 \h </w:instrText>
          </w:r>
          <w:r>
            <w:fldChar w:fldCharType="separate"/>
          </w:r>
          <w:r>
            <w:t>5</w:t>
          </w:r>
          <w:r>
            <w:fldChar w:fldCharType="end"/>
          </w:r>
          <w:r>
            <w:fldChar w:fldCharType="end"/>
          </w:r>
        </w:p>
        <w:p>
          <w:pPr>
            <w:pStyle w:val="13"/>
            <w:tabs>
              <w:tab w:val="right" w:leader="dot" w:pos="8306"/>
              <w:tab w:val="clear" w:pos="8296"/>
            </w:tabs>
          </w:pPr>
          <w:r>
            <w:fldChar w:fldCharType="begin"/>
          </w:r>
          <w:r>
            <w:instrText xml:space="preserve"> HYPERLINK \l _Toc22820 </w:instrText>
          </w:r>
          <w:r>
            <w:fldChar w:fldCharType="separate"/>
          </w:r>
          <w:r>
            <w:rPr>
              <w:rFonts w:hint="eastAsia" w:ascii="黑体" w:hAnsi="黑体" w:eastAsia="黑体"/>
              <w:spacing w:val="6"/>
              <w:szCs w:val="32"/>
              <w:highlight w:val="none"/>
            </w:rPr>
            <w:t>五、一</w:t>
          </w:r>
          <w:r>
            <w:rPr>
              <w:rFonts w:hint="eastAsia" w:ascii="黑体" w:hAnsi="黑体" w:eastAsia="黑体"/>
              <w:spacing w:val="6"/>
              <w:highlight w:val="none"/>
            </w:rPr>
            <w:t>般公共预算财政拨款支出决算情况说明</w:t>
          </w:r>
          <w:r>
            <w:tab/>
          </w:r>
          <w:r>
            <w:fldChar w:fldCharType="begin"/>
          </w:r>
          <w:r>
            <w:instrText xml:space="preserve"> PAGEREF _Toc22820 \h </w:instrText>
          </w:r>
          <w:r>
            <w:fldChar w:fldCharType="separate"/>
          </w:r>
          <w:r>
            <w:t>5</w:t>
          </w:r>
          <w:r>
            <w:fldChar w:fldCharType="end"/>
          </w:r>
          <w:r>
            <w:fldChar w:fldCharType="end"/>
          </w:r>
        </w:p>
        <w:p>
          <w:pPr>
            <w:pStyle w:val="13"/>
            <w:tabs>
              <w:tab w:val="right" w:leader="dot" w:pos="8306"/>
              <w:tab w:val="clear" w:pos="8296"/>
            </w:tabs>
          </w:pPr>
          <w:r>
            <w:fldChar w:fldCharType="begin"/>
          </w:r>
          <w:r>
            <w:instrText xml:space="preserve"> HYPERLINK \l _Toc8274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_Toc8274 \h </w:instrText>
          </w:r>
          <w:r>
            <w:fldChar w:fldCharType="separate"/>
          </w:r>
          <w:r>
            <w:t>8</w:t>
          </w:r>
          <w:r>
            <w:fldChar w:fldCharType="end"/>
          </w:r>
          <w:r>
            <w:fldChar w:fldCharType="end"/>
          </w:r>
        </w:p>
        <w:p>
          <w:pPr>
            <w:pStyle w:val="13"/>
            <w:tabs>
              <w:tab w:val="right" w:leader="dot" w:pos="8306"/>
              <w:tab w:val="clear" w:pos="8296"/>
            </w:tabs>
          </w:pPr>
          <w:r>
            <w:fldChar w:fldCharType="begin"/>
          </w:r>
          <w:r>
            <w:instrText xml:space="preserve"> HYPERLINK \l _Toc8206 </w:instrText>
          </w:r>
          <w:r>
            <w:fldChar w:fldCharType="separate"/>
          </w:r>
          <w:r>
            <w:rPr>
              <w:rFonts w:hint="eastAsia" w:ascii="黑体" w:eastAsia="黑体"/>
              <w:szCs w:val="32"/>
              <w:highlight w:val="none"/>
            </w:rPr>
            <w:t>七、</w:t>
          </w:r>
          <w:r>
            <w:rPr>
              <w:rFonts w:hint="eastAsia" w:ascii="黑体" w:hAnsi="黑体" w:eastAsia="黑体"/>
              <w:highlight w:val="none"/>
            </w:rPr>
            <w:t>“三公”经费财政拨款支出决算情况说明</w:t>
          </w:r>
          <w:r>
            <w:tab/>
          </w:r>
          <w:r>
            <w:fldChar w:fldCharType="begin"/>
          </w:r>
          <w:r>
            <w:instrText xml:space="preserve"> PAGEREF _Toc8206 \h </w:instrText>
          </w:r>
          <w:r>
            <w:fldChar w:fldCharType="separate"/>
          </w:r>
          <w:r>
            <w:t>8</w:t>
          </w:r>
          <w:r>
            <w:fldChar w:fldCharType="end"/>
          </w:r>
          <w:r>
            <w:fldChar w:fldCharType="end"/>
          </w:r>
        </w:p>
        <w:p>
          <w:pPr>
            <w:pStyle w:val="13"/>
            <w:tabs>
              <w:tab w:val="right" w:leader="dot" w:pos="8306"/>
              <w:tab w:val="clear" w:pos="8296"/>
            </w:tabs>
          </w:pPr>
          <w:r>
            <w:fldChar w:fldCharType="begin"/>
          </w:r>
          <w:r>
            <w:instrText xml:space="preserve"> HYPERLINK \l _Toc13941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_Toc13941 \h </w:instrText>
          </w:r>
          <w:r>
            <w:fldChar w:fldCharType="separate"/>
          </w:r>
          <w:r>
            <w:t>9</w:t>
          </w:r>
          <w:r>
            <w:fldChar w:fldCharType="end"/>
          </w:r>
          <w:r>
            <w:fldChar w:fldCharType="end"/>
          </w:r>
        </w:p>
        <w:p>
          <w:pPr>
            <w:pStyle w:val="13"/>
            <w:tabs>
              <w:tab w:val="right" w:leader="dot" w:pos="8306"/>
              <w:tab w:val="clear" w:pos="8296"/>
            </w:tabs>
          </w:pPr>
          <w:r>
            <w:fldChar w:fldCharType="begin"/>
          </w:r>
          <w:r>
            <w:instrText xml:space="preserve"> HYPERLINK \l _Toc12828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_Toc12828 \h </w:instrText>
          </w:r>
          <w:r>
            <w:fldChar w:fldCharType="separate"/>
          </w:r>
          <w:r>
            <w:t>9</w:t>
          </w:r>
          <w:r>
            <w:fldChar w:fldCharType="end"/>
          </w:r>
          <w:r>
            <w:fldChar w:fldCharType="end"/>
          </w:r>
        </w:p>
        <w:p>
          <w:pPr>
            <w:pStyle w:val="13"/>
            <w:tabs>
              <w:tab w:val="right" w:leader="dot" w:pos="8306"/>
              <w:tab w:val="clear" w:pos="8296"/>
            </w:tabs>
          </w:pPr>
          <w:r>
            <w:fldChar w:fldCharType="begin"/>
          </w:r>
          <w:r>
            <w:instrText xml:space="preserve"> HYPERLINK \l _Toc17283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_Toc17283 \h </w:instrText>
          </w:r>
          <w:r>
            <w:fldChar w:fldCharType="separate"/>
          </w:r>
          <w:r>
            <w:t>9</w:t>
          </w:r>
          <w:r>
            <w:fldChar w:fldCharType="end"/>
          </w:r>
          <w:r>
            <w:fldChar w:fldCharType="end"/>
          </w:r>
        </w:p>
        <w:p>
          <w:pPr>
            <w:pStyle w:val="11"/>
            <w:tabs>
              <w:tab w:val="right" w:leader="dot" w:pos="8306"/>
              <w:tab w:val="clear" w:pos="8296"/>
            </w:tabs>
          </w:pPr>
          <w:r>
            <w:fldChar w:fldCharType="begin"/>
          </w:r>
          <w:r>
            <w:instrText xml:space="preserve"> HYPERLINK \l _Toc32614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_Toc32614 \h </w:instrText>
          </w:r>
          <w:r>
            <w:fldChar w:fldCharType="separate"/>
          </w:r>
          <w:r>
            <w:t>11</w:t>
          </w:r>
          <w:r>
            <w:fldChar w:fldCharType="end"/>
          </w:r>
          <w:r>
            <w:fldChar w:fldCharType="end"/>
          </w:r>
        </w:p>
        <w:p>
          <w:pPr>
            <w:pStyle w:val="11"/>
            <w:tabs>
              <w:tab w:val="right" w:leader="dot" w:pos="8306"/>
              <w:tab w:val="clear" w:pos="8296"/>
            </w:tabs>
          </w:pPr>
          <w:r>
            <w:fldChar w:fldCharType="begin"/>
          </w:r>
          <w:r>
            <w:instrText xml:space="preserve"> HYPERLINK \l _Toc29842 </w:instrText>
          </w:r>
          <w:r>
            <w:fldChar w:fldCharType="separate"/>
          </w:r>
          <w:r>
            <w:rPr>
              <w:rFonts w:hint="eastAsia" w:ascii="黑体" w:hAnsi="黑体" w:eastAsia="黑体" w:cs="黑体"/>
              <w:szCs w:val="44"/>
            </w:rPr>
            <w:t xml:space="preserve">第四部分 </w:t>
          </w:r>
          <w:r>
            <w:rPr>
              <w:rFonts w:hint="eastAsia" w:ascii="黑体" w:hAnsi="黑体" w:eastAsia="黑体"/>
              <w:highlight w:val="none"/>
            </w:rPr>
            <w:t>附件</w:t>
          </w:r>
          <w:r>
            <w:tab/>
          </w:r>
          <w:r>
            <w:fldChar w:fldCharType="begin"/>
          </w:r>
          <w:r>
            <w:instrText xml:space="preserve"> PAGEREF _Toc29842 \h </w:instrText>
          </w:r>
          <w:r>
            <w:fldChar w:fldCharType="separate"/>
          </w:r>
          <w:r>
            <w:t>14</w:t>
          </w:r>
          <w:r>
            <w:fldChar w:fldCharType="end"/>
          </w:r>
          <w:r>
            <w:fldChar w:fldCharType="end"/>
          </w:r>
        </w:p>
        <w:p>
          <w:pPr>
            <w:pStyle w:val="11"/>
            <w:tabs>
              <w:tab w:val="right" w:leader="dot" w:pos="8306"/>
              <w:tab w:val="clear" w:pos="8296"/>
            </w:tabs>
          </w:pPr>
          <w:r>
            <w:fldChar w:fldCharType="begin"/>
          </w:r>
          <w:r>
            <w:instrText xml:space="preserve"> HYPERLINK \l _Toc29680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_Toc29680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_Toc24058 </w:instrText>
          </w:r>
          <w:r>
            <w:fldChar w:fldCharType="separate"/>
          </w:r>
          <w:r>
            <w:rPr>
              <w:rFonts w:hint="eastAsia" w:ascii="黑体" w:hAnsi="黑体" w:eastAsia="黑体" w:cs="Times New Roman"/>
              <w:szCs w:val="32"/>
              <w:highlight w:val="none"/>
              <w:lang w:val="en-US" w:eastAsia="zh-CN"/>
            </w:rPr>
            <w:t>一、收入支出决算总表</w:t>
          </w:r>
          <w:r>
            <w:tab/>
          </w:r>
          <w:r>
            <w:fldChar w:fldCharType="begin"/>
          </w:r>
          <w:r>
            <w:instrText xml:space="preserve"> PAGEREF _Toc24058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_Toc21216 </w:instrText>
          </w:r>
          <w:r>
            <w:fldChar w:fldCharType="separate"/>
          </w:r>
          <w:r>
            <w:rPr>
              <w:rFonts w:hint="eastAsia" w:ascii="黑体" w:hAnsi="黑体" w:eastAsia="黑体" w:cs="Times New Roman"/>
              <w:szCs w:val="32"/>
              <w:highlight w:val="none"/>
              <w:lang w:val="en-US" w:eastAsia="zh-CN"/>
            </w:rPr>
            <w:t>二、收入决算表</w:t>
          </w:r>
          <w:r>
            <w:tab/>
          </w:r>
          <w:r>
            <w:fldChar w:fldCharType="begin"/>
          </w:r>
          <w:r>
            <w:instrText xml:space="preserve"> PAGEREF _Toc21216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_Toc22737 </w:instrText>
          </w:r>
          <w:r>
            <w:fldChar w:fldCharType="separate"/>
          </w:r>
          <w:r>
            <w:rPr>
              <w:rFonts w:hint="eastAsia" w:ascii="黑体" w:hAnsi="黑体" w:eastAsia="黑体" w:cs="Times New Roman"/>
              <w:szCs w:val="32"/>
              <w:highlight w:val="none"/>
              <w:lang w:val="en-US" w:eastAsia="zh-CN"/>
            </w:rPr>
            <w:t>三、支出决算表</w:t>
          </w:r>
          <w:r>
            <w:tab/>
          </w:r>
          <w:r>
            <w:fldChar w:fldCharType="begin"/>
          </w:r>
          <w:r>
            <w:instrText xml:space="preserve"> PAGEREF _Toc22737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_Toc24574 </w:instrText>
          </w:r>
          <w:r>
            <w:fldChar w:fldCharType="separate"/>
          </w:r>
          <w:r>
            <w:rPr>
              <w:rFonts w:hint="eastAsia" w:ascii="黑体" w:hAnsi="黑体" w:eastAsia="黑体" w:cs="Times New Roman"/>
              <w:szCs w:val="32"/>
              <w:highlight w:val="none"/>
              <w:lang w:val="en-US" w:eastAsia="zh-CN"/>
            </w:rPr>
            <w:t>四、财政拨款收入支出决算总表</w:t>
          </w:r>
          <w:r>
            <w:tab/>
          </w:r>
          <w:r>
            <w:fldChar w:fldCharType="begin"/>
          </w:r>
          <w:r>
            <w:instrText xml:space="preserve"> PAGEREF _Toc24574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_Toc27300 </w:instrText>
          </w:r>
          <w:r>
            <w:fldChar w:fldCharType="separate"/>
          </w:r>
          <w:r>
            <w:rPr>
              <w:rFonts w:hint="eastAsia" w:ascii="黑体" w:hAnsi="黑体" w:eastAsia="黑体" w:cs="Times New Roman"/>
              <w:szCs w:val="32"/>
              <w:highlight w:val="none"/>
              <w:lang w:val="en-US" w:eastAsia="zh-CN"/>
            </w:rPr>
            <w:t>五、财政拨款支出决算明细表</w:t>
          </w:r>
          <w:r>
            <w:tab/>
          </w:r>
          <w:r>
            <w:fldChar w:fldCharType="begin"/>
          </w:r>
          <w:r>
            <w:instrText xml:space="preserve"> PAGEREF _Toc27300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_Toc26780 </w:instrText>
          </w:r>
          <w:r>
            <w:fldChar w:fldCharType="separate"/>
          </w:r>
          <w:r>
            <w:rPr>
              <w:rFonts w:hint="eastAsia" w:ascii="黑体" w:hAnsi="黑体" w:eastAsia="黑体" w:cs="Times New Roman"/>
              <w:szCs w:val="32"/>
              <w:highlight w:val="none"/>
              <w:lang w:val="en-US" w:eastAsia="zh-CN"/>
            </w:rPr>
            <w:t>六、一般公共预算财政拨款支出决算表</w:t>
          </w:r>
          <w:r>
            <w:tab/>
          </w:r>
          <w:r>
            <w:fldChar w:fldCharType="begin"/>
          </w:r>
          <w:r>
            <w:instrText xml:space="preserve"> PAGEREF _Toc26780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_Toc22951 </w:instrText>
          </w:r>
          <w:r>
            <w:fldChar w:fldCharType="separate"/>
          </w:r>
          <w:r>
            <w:rPr>
              <w:rFonts w:hint="eastAsia" w:ascii="黑体" w:hAnsi="黑体" w:eastAsia="黑体" w:cs="Times New Roman"/>
              <w:szCs w:val="32"/>
              <w:highlight w:val="none"/>
              <w:lang w:val="en-US" w:eastAsia="zh-CN"/>
            </w:rPr>
            <w:t>七、一般公共预算财政拨款支出决算明细表</w:t>
          </w:r>
          <w:r>
            <w:tab/>
          </w:r>
          <w:r>
            <w:fldChar w:fldCharType="begin"/>
          </w:r>
          <w:r>
            <w:instrText xml:space="preserve"> PAGEREF _Toc22951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_Toc14236 </w:instrText>
          </w:r>
          <w:r>
            <w:fldChar w:fldCharType="separate"/>
          </w:r>
          <w:r>
            <w:rPr>
              <w:rFonts w:hint="eastAsia" w:ascii="黑体" w:hAnsi="黑体" w:eastAsia="黑体" w:cs="Times New Roman"/>
              <w:szCs w:val="32"/>
              <w:highlight w:val="none"/>
              <w:lang w:val="en-US" w:eastAsia="zh-CN"/>
            </w:rPr>
            <w:t>八、一般公共预算财政拨款基本支出决算表</w:t>
          </w:r>
          <w:r>
            <w:tab/>
          </w:r>
          <w:r>
            <w:fldChar w:fldCharType="begin"/>
          </w:r>
          <w:r>
            <w:instrText xml:space="preserve"> PAGEREF _Toc14236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_Toc29872 </w:instrText>
          </w:r>
          <w:r>
            <w:fldChar w:fldCharType="separate"/>
          </w:r>
          <w:r>
            <w:rPr>
              <w:rFonts w:hint="eastAsia" w:ascii="黑体" w:hAnsi="黑体" w:eastAsia="黑体" w:cs="Times New Roman"/>
              <w:szCs w:val="32"/>
              <w:highlight w:val="none"/>
              <w:lang w:val="en-US" w:eastAsia="zh-CN"/>
            </w:rPr>
            <w:t>九、一般公共预算财政拨款项目支出决算表</w:t>
          </w:r>
          <w:r>
            <w:tab/>
          </w:r>
          <w:r>
            <w:fldChar w:fldCharType="begin"/>
          </w:r>
          <w:r>
            <w:instrText xml:space="preserve"> PAGEREF _Toc29872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_Toc14862 </w:instrText>
          </w:r>
          <w:r>
            <w:fldChar w:fldCharType="separate"/>
          </w:r>
          <w:r>
            <w:rPr>
              <w:rFonts w:hint="eastAsia" w:ascii="黑体" w:hAnsi="黑体" w:eastAsia="黑体" w:cs="Times New Roman"/>
              <w:szCs w:val="32"/>
              <w:highlight w:val="none"/>
              <w:lang w:val="en-US" w:eastAsia="zh-CN"/>
            </w:rPr>
            <w:t>十、政府性基金预算财政拨款收入支出决算表</w:t>
          </w:r>
          <w:r>
            <w:tab/>
          </w:r>
          <w:r>
            <w:fldChar w:fldCharType="begin"/>
          </w:r>
          <w:r>
            <w:instrText xml:space="preserve"> PAGEREF _Toc14862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_Toc12241 </w:instrText>
          </w:r>
          <w:r>
            <w:fldChar w:fldCharType="separate"/>
          </w:r>
          <w:r>
            <w:rPr>
              <w:rFonts w:hint="eastAsia" w:ascii="黑体" w:hAnsi="黑体" w:eastAsia="黑体" w:cs="Times New Roman"/>
              <w:szCs w:val="32"/>
              <w:highlight w:val="none"/>
              <w:lang w:val="en-US" w:eastAsia="zh-CN"/>
            </w:rPr>
            <w:t>十一、国有资本经营预算财政拨款收入支出决算表</w:t>
          </w:r>
          <w:r>
            <w:tab/>
          </w:r>
          <w:r>
            <w:fldChar w:fldCharType="begin"/>
          </w:r>
          <w:r>
            <w:instrText xml:space="preserve"> PAGEREF _Toc12241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_Toc2525 </w:instrText>
          </w:r>
          <w:r>
            <w:fldChar w:fldCharType="separate"/>
          </w:r>
          <w:r>
            <w:rPr>
              <w:rFonts w:hint="eastAsia" w:ascii="黑体" w:hAnsi="黑体" w:eastAsia="黑体" w:cs="Times New Roman"/>
              <w:szCs w:val="32"/>
              <w:highlight w:val="none"/>
              <w:lang w:val="en-US" w:eastAsia="zh-CN"/>
            </w:rPr>
            <w:t>十二、国有资本经营预算财政拨款支出决算表</w:t>
          </w:r>
          <w:r>
            <w:tab/>
          </w:r>
          <w:r>
            <w:fldChar w:fldCharType="begin"/>
          </w:r>
          <w:r>
            <w:instrText xml:space="preserve"> PAGEREF _Toc2525 \h </w:instrText>
          </w:r>
          <w:r>
            <w:fldChar w:fldCharType="separate"/>
          </w:r>
          <w:r>
            <w:t>28</w:t>
          </w:r>
          <w:r>
            <w:fldChar w:fldCharType="end"/>
          </w:r>
          <w:r>
            <w:fldChar w:fldCharType="end"/>
          </w:r>
        </w:p>
        <w:p>
          <w:pPr>
            <w:pStyle w:val="13"/>
            <w:tabs>
              <w:tab w:val="right" w:leader="dot" w:pos="8306"/>
              <w:tab w:val="clear" w:pos="8296"/>
            </w:tabs>
          </w:pPr>
          <w:r>
            <w:fldChar w:fldCharType="begin"/>
          </w:r>
          <w:r>
            <w:instrText xml:space="preserve"> HYPERLINK \l _Toc25324 </w:instrText>
          </w:r>
          <w:r>
            <w:fldChar w:fldCharType="separate"/>
          </w:r>
          <w:r>
            <w:rPr>
              <w:rFonts w:hint="eastAsia" w:ascii="黑体" w:hAnsi="黑体" w:eastAsia="黑体" w:cs="Times New Roman"/>
              <w:szCs w:val="32"/>
              <w:highlight w:val="none"/>
              <w:lang w:val="en-US" w:eastAsia="zh-CN"/>
            </w:rPr>
            <w:t>十三、财政拨款“三公”经费支出决算表</w:t>
          </w:r>
          <w:r>
            <w:tab/>
          </w:r>
          <w:r>
            <w:fldChar w:fldCharType="begin"/>
          </w:r>
          <w:r>
            <w:instrText xml:space="preserve"> PAGEREF _Toc25324 \h </w:instrText>
          </w:r>
          <w:r>
            <w:fldChar w:fldCharType="separate"/>
          </w:r>
          <w:r>
            <w:t>28</w:t>
          </w:r>
          <w:r>
            <w:fldChar w:fldCharType="end"/>
          </w:r>
          <w:r>
            <w:fldChar w:fldCharType="end"/>
          </w:r>
        </w:p>
        <w:p>
          <w:r>
            <w:fldChar w:fldCharType="end"/>
          </w:r>
        </w:p>
      </w:sdtContent>
    </w:sdt>
    <w:p>
      <w:pPr>
        <w:pStyle w:val="3"/>
        <w:pageBreakBefore w:val="0"/>
        <w:numPr>
          <w:ilvl w:val="0"/>
          <w:numId w:val="0"/>
        </w:numPr>
        <w:kinsoku/>
        <w:wordWrap/>
        <w:overflowPunct/>
        <w:topLinePunct w:val="0"/>
        <w:autoSpaceDE/>
        <w:autoSpaceDN/>
        <w:bidi w:val="0"/>
        <w:spacing w:before="0" w:after="0" w:line="576" w:lineRule="exact"/>
        <w:ind w:leftChars="0"/>
        <w:jc w:val="center"/>
        <w:textAlignment w:val="auto"/>
        <w:rPr>
          <w:rFonts w:hint="eastAsia" w:ascii="黑体" w:hAnsi="黑体" w:eastAsia="黑体"/>
          <w:b w:val="0"/>
          <w:color w:val="auto"/>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14" w:name="_Toc22513"/>
    </w:p>
    <w:p>
      <w:pPr>
        <w:rPr>
          <w:rFonts w:hint="eastAsia"/>
        </w:rPr>
      </w:pPr>
    </w:p>
    <w:p>
      <w:pPr>
        <w:pStyle w:val="3"/>
        <w:pageBreakBefore w:val="0"/>
        <w:numPr>
          <w:ilvl w:val="0"/>
          <w:numId w:val="0"/>
        </w:numPr>
        <w:kinsoku/>
        <w:wordWrap/>
        <w:overflowPunct/>
        <w:topLinePunct w:val="0"/>
        <w:autoSpaceDE/>
        <w:autoSpaceDN/>
        <w:bidi w:val="0"/>
        <w:spacing w:before="0" w:after="0" w:line="576" w:lineRule="exact"/>
        <w:ind w:leftChars="0"/>
        <w:jc w:val="center"/>
        <w:textAlignment w:val="auto"/>
        <w:rPr>
          <w:rStyle w:val="19"/>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9"/>
          <w:rFonts w:hint="eastAsia" w:ascii="黑体" w:hAnsi="黑体" w:eastAsia="黑体"/>
          <w:b w:val="0"/>
          <w:bCs w:val="0"/>
          <w:color w:val="auto"/>
          <w:highlight w:val="none"/>
        </w:rPr>
        <w:t>概况</w:t>
      </w:r>
      <w:bookmarkEnd w:id="14"/>
    </w:p>
    <w:p>
      <w:pPr>
        <w:pageBreakBefore w:val="0"/>
        <w:widowControl/>
        <w:kinsoku/>
        <w:wordWrap/>
        <w:overflowPunct/>
        <w:topLinePunct w:val="0"/>
        <w:autoSpaceDE/>
        <w:autoSpaceDN/>
        <w:bidi w:val="0"/>
        <w:spacing w:line="576" w:lineRule="exact"/>
        <w:jc w:val="left"/>
        <w:textAlignment w:val="auto"/>
        <w:rPr>
          <w:rFonts w:ascii="黑体" w:eastAsia="黑体"/>
          <w:color w:val="auto"/>
          <w:sz w:val="32"/>
          <w:szCs w:val="32"/>
          <w:highlight w:val="none"/>
        </w:rPr>
      </w:pPr>
    </w:p>
    <w:p>
      <w:pPr>
        <w:pStyle w:val="4"/>
        <w:pageBreakBefore w:val="0"/>
        <w:widowControl w:val="0"/>
        <w:numPr>
          <w:ilvl w:val="0"/>
          <w:numId w:val="1"/>
        </w:numPr>
        <w:kinsoku/>
        <w:wordWrap/>
        <w:overflowPunct/>
        <w:topLinePunct w:val="0"/>
        <w:autoSpaceDE/>
        <w:autoSpaceDN/>
        <w:bidi w:val="0"/>
        <w:adjustRightInd/>
        <w:snapToGrid/>
        <w:spacing w:before="0" w:after="0" w:line="576" w:lineRule="exact"/>
        <w:ind w:firstLine="640" w:firstLineChars="200"/>
        <w:textAlignment w:val="auto"/>
        <w:rPr>
          <w:rStyle w:val="20"/>
          <w:rFonts w:hint="eastAsia" w:ascii="黑体" w:hAnsi="黑体" w:eastAsia="黑体"/>
          <w:b w:val="0"/>
          <w:bCs w:val="0"/>
          <w:color w:val="auto"/>
          <w:highlight w:val="none"/>
          <w:lang w:eastAsia="zh-CN"/>
        </w:rPr>
      </w:pPr>
      <w:bookmarkStart w:id="15" w:name="_Toc22562"/>
      <w:bookmarkStart w:id="16" w:name="_Toc21636"/>
      <w:bookmarkStart w:id="17" w:name="_Toc8979"/>
      <w:bookmarkStart w:id="18" w:name="_Toc15377197"/>
      <w:bookmarkStart w:id="19" w:name="_Toc15396600"/>
      <w:r>
        <w:rPr>
          <w:rStyle w:val="20"/>
          <w:rFonts w:hint="eastAsia" w:ascii="黑体" w:hAnsi="黑体" w:eastAsia="黑体"/>
          <w:b w:val="0"/>
          <w:bCs w:val="0"/>
          <w:color w:val="auto"/>
          <w:highlight w:val="none"/>
          <w:lang w:eastAsia="zh-CN"/>
        </w:rPr>
        <w:t>主要职责</w:t>
      </w:r>
      <w:bookmarkEnd w:id="15"/>
      <w:bookmarkEnd w:id="16"/>
      <w:bookmarkEnd w:id="17"/>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sz w:val="32"/>
          <w:szCs w:val="32"/>
        </w:rPr>
      </w:pPr>
      <w:bookmarkStart w:id="20" w:name="_Toc83543673"/>
      <w:bookmarkStart w:id="21" w:name="_Toc83544317"/>
      <w:r>
        <w:rPr>
          <w:rFonts w:hint="eastAsia"/>
          <w:sz w:val="32"/>
          <w:szCs w:val="32"/>
        </w:rPr>
        <w:t>1.贯彻执行就业、创业、失业保险、人力资源市场管理相关法律、法规和政策，参与拟订全市就业创业发展规划和政策。</w:t>
      </w:r>
      <w:bookmarkEnd w:id="20"/>
      <w:bookmarkEnd w:id="21"/>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sz w:val="32"/>
          <w:szCs w:val="32"/>
        </w:rPr>
      </w:pPr>
      <w:bookmarkStart w:id="22" w:name="_Toc83544318"/>
      <w:bookmarkStart w:id="23" w:name="_Toc83543674"/>
      <w:r>
        <w:rPr>
          <w:rFonts w:hint="eastAsia"/>
          <w:sz w:val="32"/>
          <w:szCs w:val="32"/>
        </w:rPr>
        <w:t>2.负责做好就业服务、创业服务和就业援助等民生工程实施事务工作。</w:t>
      </w:r>
      <w:bookmarkEnd w:id="22"/>
      <w:bookmarkEnd w:id="23"/>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spacing w:val="-11"/>
          <w:sz w:val="32"/>
          <w:szCs w:val="32"/>
        </w:rPr>
      </w:pPr>
      <w:bookmarkStart w:id="24" w:name="_Toc83544319"/>
      <w:bookmarkStart w:id="25" w:name="_Toc83543675"/>
      <w:r>
        <w:rPr>
          <w:rFonts w:hint="eastAsia"/>
          <w:sz w:val="32"/>
          <w:szCs w:val="32"/>
        </w:rPr>
        <w:t>3.负</w:t>
      </w:r>
      <w:r>
        <w:rPr>
          <w:rFonts w:hint="eastAsia"/>
          <w:spacing w:val="-11"/>
          <w:sz w:val="32"/>
          <w:szCs w:val="32"/>
        </w:rPr>
        <w:t>责人力资源开发指导，推动人力资源充分利用与发展。</w:t>
      </w:r>
      <w:bookmarkEnd w:id="24"/>
      <w:bookmarkEnd w:id="25"/>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sz w:val="32"/>
          <w:szCs w:val="32"/>
        </w:rPr>
      </w:pPr>
      <w:bookmarkStart w:id="26" w:name="_Toc83544320"/>
      <w:bookmarkStart w:id="27" w:name="_Toc83543676"/>
      <w:r>
        <w:rPr>
          <w:rFonts w:hint="eastAsia"/>
          <w:sz w:val="32"/>
          <w:szCs w:val="32"/>
        </w:rPr>
        <w:t>4.负责全市公共就业创业服务体系标准化、规范化、智能化建设相关事务工作。</w:t>
      </w:r>
      <w:bookmarkEnd w:id="26"/>
      <w:bookmarkEnd w:id="27"/>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sz w:val="32"/>
          <w:szCs w:val="32"/>
        </w:rPr>
      </w:pPr>
      <w:bookmarkStart w:id="28" w:name="_Toc83544321"/>
      <w:bookmarkStart w:id="29" w:name="_Toc83543677"/>
      <w:r>
        <w:rPr>
          <w:rFonts w:hint="eastAsia"/>
          <w:sz w:val="32"/>
          <w:szCs w:val="32"/>
        </w:rPr>
        <w:t>5.负责指导推进全市人力资源信息数据库建设，做好就业失业、人力资源供给监测预警及形势分析事务工作。</w:t>
      </w:r>
      <w:bookmarkEnd w:id="28"/>
      <w:bookmarkEnd w:id="29"/>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sz w:val="32"/>
          <w:szCs w:val="32"/>
        </w:rPr>
      </w:pPr>
      <w:bookmarkStart w:id="30" w:name="_Toc83543678"/>
      <w:bookmarkStart w:id="31" w:name="_Toc83544322"/>
      <w:r>
        <w:rPr>
          <w:rFonts w:hint="eastAsia"/>
          <w:sz w:val="32"/>
          <w:szCs w:val="32"/>
        </w:rPr>
        <w:t>6.负责职业技能培训事务服务工作，参与统筹职业培训资源、民办职业培训机构管理，落实技能人才培养、评价、使用和激励政策，参与高技能人才培训基地建设事务工作。</w:t>
      </w:r>
      <w:bookmarkEnd w:id="30"/>
      <w:bookmarkEnd w:id="31"/>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sz w:val="32"/>
          <w:szCs w:val="32"/>
        </w:rPr>
      </w:pPr>
      <w:bookmarkStart w:id="32" w:name="_Toc83544323"/>
      <w:bookmarkStart w:id="33" w:name="_Toc83543679"/>
      <w:r>
        <w:rPr>
          <w:rFonts w:hint="eastAsia"/>
          <w:sz w:val="32"/>
          <w:szCs w:val="32"/>
        </w:rPr>
        <w:t>7.负责做好创业指导、创业活动、创业大赛等事务服务工作，承担创业项目库、专家指导团队、创业孵化园建设等事务工作。</w:t>
      </w:r>
      <w:bookmarkEnd w:id="32"/>
      <w:bookmarkEnd w:id="33"/>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sz w:val="32"/>
          <w:szCs w:val="32"/>
        </w:rPr>
      </w:pPr>
      <w:bookmarkStart w:id="34" w:name="_Toc83543680"/>
      <w:bookmarkStart w:id="35" w:name="_Toc83544324"/>
      <w:r>
        <w:rPr>
          <w:rFonts w:hint="eastAsia"/>
          <w:sz w:val="32"/>
          <w:szCs w:val="32"/>
        </w:rPr>
        <w:t>8.负责市级公益性岗位开发管理及就业困难人员认定事务工作。</w:t>
      </w:r>
      <w:bookmarkEnd w:id="34"/>
      <w:bookmarkEnd w:id="35"/>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sz w:val="32"/>
          <w:szCs w:val="32"/>
        </w:rPr>
      </w:pPr>
      <w:bookmarkStart w:id="36" w:name="_Toc83544325"/>
      <w:bookmarkStart w:id="37" w:name="_Toc83543681"/>
      <w:r>
        <w:rPr>
          <w:rFonts w:hint="eastAsia"/>
          <w:sz w:val="32"/>
          <w:szCs w:val="32"/>
        </w:rPr>
        <w:t>9.负责市本级失业保险基金支出管理、财务核算与预决算管理事务工作。</w:t>
      </w:r>
      <w:bookmarkEnd w:id="36"/>
      <w:bookmarkEnd w:id="37"/>
    </w:p>
    <w:p>
      <w:pPr>
        <w:pStyle w:val="6"/>
        <w:pageBreakBefore w:val="0"/>
        <w:kinsoku/>
        <w:wordWrap/>
        <w:overflowPunct/>
        <w:topLinePunct w:val="0"/>
        <w:autoSpaceDE/>
        <w:autoSpaceDN/>
        <w:bidi w:val="0"/>
        <w:adjustRightInd w:val="0"/>
        <w:snapToGrid w:val="0"/>
        <w:spacing w:beforeLines="0" w:line="576" w:lineRule="exact"/>
        <w:ind w:firstLine="672" w:firstLineChars="210"/>
        <w:textAlignment w:val="auto"/>
        <w:outlineLvl w:val="2"/>
        <w:rPr>
          <w:rFonts w:hint="eastAsia"/>
        </w:rPr>
      </w:pPr>
      <w:bookmarkStart w:id="38" w:name="_Toc83544326"/>
      <w:bookmarkStart w:id="39" w:name="_Toc83543682"/>
      <w:r>
        <w:rPr>
          <w:rFonts w:hint="eastAsia"/>
          <w:sz w:val="32"/>
          <w:szCs w:val="32"/>
        </w:rPr>
        <w:t>10.完成市人力资源社会保障局交办的其他任务。</w:t>
      </w:r>
      <w:bookmarkEnd w:id="38"/>
      <w:bookmarkEnd w:id="39"/>
    </w:p>
    <w:p>
      <w:pPr>
        <w:pStyle w:val="4"/>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b w:val="0"/>
          <w:color w:val="auto"/>
          <w:highlight w:val="none"/>
          <w:lang w:eastAsia="zh-CN"/>
        </w:rPr>
      </w:pPr>
      <w:bookmarkStart w:id="40" w:name="_Toc22309"/>
      <w:bookmarkStart w:id="41" w:name="_Toc29483"/>
      <w:bookmarkStart w:id="42" w:name="_Toc3901"/>
      <w:r>
        <w:rPr>
          <w:rFonts w:hint="eastAsia" w:ascii="黑体" w:hAnsi="黑体" w:eastAsia="黑体"/>
          <w:b w:val="0"/>
          <w:color w:val="auto"/>
          <w:highlight w:val="none"/>
          <w:lang w:val="en-US" w:eastAsia="zh-CN"/>
        </w:rPr>
        <w:t>二、</w:t>
      </w:r>
      <w:bookmarkEnd w:id="18"/>
      <w:bookmarkEnd w:id="19"/>
      <w:r>
        <w:rPr>
          <w:rFonts w:hint="eastAsia" w:ascii="黑体" w:hAnsi="黑体" w:eastAsia="黑体"/>
          <w:b w:val="0"/>
          <w:color w:val="auto"/>
          <w:highlight w:val="none"/>
          <w:lang w:val="en-US" w:eastAsia="zh-CN"/>
        </w:rPr>
        <w:t>机构设置</w:t>
      </w:r>
      <w:bookmarkEnd w:id="40"/>
      <w:bookmarkEnd w:id="41"/>
      <w:bookmarkEnd w:id="42"/>
    </w:p>
    <w:p>
      <w:pPr>
        <w:pageBreakBefore w:val="0"/>
        <w:widowControl/>
        <w:kinsoku/>
        <w:wordWrap/>
        <w:overflowPunct/>
        <w:topLinePunct w:val="0"/>
        <w:autoSpaceDE/>
        <w:autoSpaceDN/>
        <w:bidi w:val="0"/>
        <w:spacing w:line="576" w:lineRule="exact"/>
        <w:ind w:firstLine="640" w:firstLineChars="200"/>
        <w:jc w:val="left"/>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广元</w:t>
      </w:r>
      <w:r>
        <w:rPr>
          <w:rFonts w:hint="eastAsia" w:ascii="仿宋" w:hAnsi="仿宋" w:eastAsia="仿宋"/>
          <w:color w:val="auto"/>
          <w:sz w:val="32"/>
          <w:szCs w:val="32"/>
          <w:highlight w:val="none"/>
        </w:rPr>
        <w:t>市就业创业</w:t>
      </w:r>
      <w:r>
        <w:rPr>
          <w:rFonts w:hint="eastAsia" w:ascii="仿宋" w:hAnsi="仿宋" w:eastAsia="仿宋"/>
          <w:color w:val="auto"/>
          <w:sz w:val="32"/>
          <w:szCs w:val="32"/>
          <w:highlight w:val="none"/>
          <w:lang w:eastAsia="zh-CN"/>
        </w:rPr>
        <w:t>促进</w:t>
      </w:r>
      <w:r>
        <w:rPr>
          <w:rFonts w:hint="eastAsia" w:ascii="仿宋" w:hAnsi="仿宋" w:eastAsia="仿宋"/>
          <w:color w:val="auto"/>
          <w:sz w:val="32"/>
          <w:szCs w:val="32"/>
          <w:highlight w:val="none"/>
        </w:rPr>
        <w:t>中心</w:t>
      </w:r>
      <w:r>
        <w:rPr>
          <w:rFonts w:hint="eastAsia" w:ascii="仿宋" w:hAnsi="仿宋" w:eastAsia="仿宋"/>
          <w:color w:val="auto"/>
          <w:sz w:val="32"/>
          <w:szCs w:val="32"/>
          <w:highlight w:val="none"/>
          <w:lang w:eastAsia="zh-CN"/>
        </w:rPr>
        <w:t>系</w:t>
      </w:r>
      <w:bookmarkStart w:id="159" w:name="_GoBack"/>
      <w:bookmarkEnd w:id="159"/>
      <w:r>
        <w:rPr>
          <w:rFonts w:hint="default" w:ascii="仿宋" w:hAnsi="仿宋" w:eastAsia="仿宋"/>
          <w:color w:val="auto"/>
          <w:sz w:val="32"/>
          <w:szCs w:val="32"/>
          <w:highlight w:val="none"/>
        </w:rPr>
        <w:t>广元市人力资源和社会保障部门下属二级预算单位，属于行政类事业单位，</w:t>
      </w:r>
      <w:r>
        <w:rPr>
          <w:rFonts w:hint="eastAsia" w:ascii="仿宋" w:hAnsi="仿宋" w:eastAsia="仿宋"/>
          <w:color w:val="auto"/>
          <w:sz w:val="32"/>
          <w:szCs w:val="32"/>
          <w:highlight w:val="none"/>
        </w:rPr>
        <w:t>设下列内设机构</w:t>
      </w:r>
      <w:r>
        <w:rPr>
          <w:rFonts w:hint="eastAsia" w:ascii="仿宋" w:hAnsi="仿宋" w:eastAsia="仿宋"/>
          <w:color w:val="auto"/>
          <w:sz w:val="32"/>
          <w:szCs w:val="32"/>
          <w:highlight w:val="none"/>
          <w:lang w:eastAsia="zh-CN"/>
        </w:rPr>
        <w:t>：</w:t>
      </w:r>
    </w:p>
    <w:p>
      <w:pPr>
        <w:pageBreakBefore w:val="0"/>
        <w:widowControl/>
        <w:kinsoku/>
        <w:wordWrap/>
        <w:overflowPunct/>
        <w:topLinePunct w:val="0"/>
        <w:autoSpaceDE/>
        <w:autoSpaceDN/>
        <w:bidi w:val="0"/>
        <w:spacing w:line="576" w:lineRule="exact"/>
        <w:ind w:firstLine="640" w:firstLineChars="200"/>
        <w:jc w:val="left"/>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综合科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负责文电档案、机要保密、会务组织、安全生产、信访维稳，固定资产管理、后勤保障工作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负责综合协调政务公开、综合性文稿起草和考核检查工作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负责党建、党风廉政建设、工会、干部教育培训等工作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负责新媒体就业创业政策宣传工作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负责全市失业人员档案管理等公共服务工作。</w:t>
      </w:r>
    </w:p>
    <w:p>
      <w:pPr>
        <w:pageBreakBefore w:val="0"/>
        <w:widowControl/>
        <w:kinsoku/>
        <w:wordWrap/>
        <w:overflowPunct/>
        <w:topLinePunct w:val="0"/>
        <w:autoSpaceDE/>
        <w:autoSpaceDN/>
        <w:bidi w:val="0"/>
        <w:spacing w:line="576" w:lineRule="exact"/>
        <w:ind w:firstLine="640" w:firstLineChars="200"/>
        <w:jc w:val="left"/>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二</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财务稽核事务科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负责失业保险基金的财务管理事务工作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参与拟订失业保险基金收支预、</w:t>
      </w:r>
      <w:r>
        <w:rPr>
          <w:rFonts w:hint="eastAsia" w:ascii="仿宋" w:hAnsi="仿宋" w:eastAsia="仿宋"/>
          <w:color w:val="auto"/>
          <w:sz w:val="32"/>
          <w:szCs w:val="32"/>
          <w:highlight w:val="none"/>
          <w:lang w:eastAsia="zh-CN"/>
        </w:rPr>
        <w:t>决</w:t>
      </w:r>
      <w:r>
        <w:rPr>
          <w:rFonts w:hint="eastAsia" w:ascii="仿宋" w:hAnsi="仿宋" w:eastAsia="仿宋"/>
          <w:color w:val="auto"/>
          <w:sz w:val="32"/>
          <w:szCs w:val="32"/>
          <w:highlight w:val="none"/>
        </w:rPr>
        <w:t>算方案</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做好失业保险基金的管理和使用指导、稽核、监督相关事务工作</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负责单位预算的编制、执行及财务管理。</w:t>
      </w:r>
    </w:p>
    <w:p>
      <w:pPr>
        <w:pageBreakBefore w:val="0"/>
        <w:widowControl/>
        <w:kinsoku/>
        <w:wordWrap/>
        <w:overflowPunct/>
        <w:topLinePunct w:val="0"/>
        <w:autoSpaceDE/>
        <w:autoSpaceDN/>
        <w:bidi w:val="0"/>
        <w:spacing w:line="576" w:lineRule="exact"/>
        <w:ind w:firstLine="640" w:firstLineChars="200"/>
        <w:jc w:val="left"/>
        <w:textAlignment w:val="auto"/>
        <w:rPr>
          <w:rFonts w:hint="eastAsia" w:ascii="仿宋" w:hAnsi="仿宋" w:eastAsia="仿宋"/>
          <w:color w:val="auto"/>
          <w:kern w:val="0"/>
          <w:sz w:val="32"/>
          <w:szCs w:val="32"/>
          <w:highlight w:val="none"/>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三</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就业指导科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负责人力资源开发指导，推动人力资源</w:t>
      </w:r>
      <w:r>
        <w:rPr>
          <w:rFonts w:hint="eastAsia" w:ascii="仿宋" w:hAnsi="仿宋" w:eastAsia="仿宋"/>
          <w:color w:val="auto"/>
          <w:kern w:val="0"/>
          <w:sz w:val="32"/>
          <w:szCs w:val="32"/>
          <w:highlight w:val="none"/>
        </w:rPr>
        <w:t>充分利用与发展工作</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参与就业民生工程相关工作，负责报表统计</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负</w:t>
      </w:r>
      <w:r>
        <w:rPr>
          <w:rFonts w:hint="eastAsia" w:ascii="仿宋" w:hAnsi="仿宋" w:eastAsia="仿宋"/>
          <w:color w:val="auto"/>
          <w:kern w:val="0"/>
          <w:sz w:val="32"/>
          <w:szCs w:val="32"/>
          <w:highlight w:val="none"/>
          <w:lang w:eastAsia="zh-CN"/>
        </w:rPr>
        <w:t>责</w:t>
      </w:r>
      <w:r>
        <w:rPr>
          <w:rFonts w:hint="eastAsia" w:ascii="仿宋" w:hAnsi="仿宋" w:eastAsia="仿宋"/>
          <w:color w:val="auto"/>
          <w:kern w:val="0"/>
          <w:sz w:val="32"/>
          <w:szCs w:val="32"/>
          <w:highlight w:val="none"/>
        </w:rPr>
        <w:t>公共就业创业服务体系建设保障工作，参与开展充分就业村</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社区</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建设</w:t>
      </w:r>
      <w:r>
        <w:rPr>
          <w:rFonts w:hint="eastAsia" w:ascii="仿宋" w:hAnsi="仿宋" w:eastAsia="仿宋"/>
          <w:color w:val="auto"/>
          <w:kern w:val="0"/>
          <w:sz w:val="32"/>
          <w:szCs w:val="32"/>
          <w:highlight w:val="none"/>
          <w:lang w:eastAsia="zh-CN"/>
        </w:rPr>
        <w:t>；负责</w:t>
      </w:r>
      <w:r>
        <w:rPr>
          <w:rFonts w:hint="eastAsia" w:ascii="仿宋" w:hAnsi="仿宋" w:eastAsia="仿宋"/>
          <w:color w:val="auto"/>
          <w:kern w:val="0"/>
          <w:sz w:val="32"/>
          <w:szCs w:val="32"/>
          <w:highlight w:val="none"/>
        </w:rPr>
        <w:t>高校毕业生</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大中专毕业生</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就业指导、就业服务及青年就业见习</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参与全市就业服务信息化建设</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负责区域劳务协作工作，承担就业形势调查、分析工作</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负责指导开展职业指导、职业介绍等公共就业服务</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落实就业服务补贴</w:t>
      </w:r>
      <w:r>
        <w:rPr>
          <w:rFonts w:hint="eastAsia" w:ascii="仿宋" w:hAnsi="仿宋" w:eastAsia="仿宋"/>
          <w:color w:val="auto"/>
          <w:kern w:val="0"/>
          <w:sz w:val="32"/>
          <w:szCs w:val="32"/>
          <w:highlight w:val="none"/>
          <w:lang w:eastAsia="zh-CN"/>
        </w:rPr>
        <w:t>政</w:t>
      </w:r>
      <w:r>
        <w:rPr>
          <w:rFonts w:hint="eastAsia" w:ascii="仿宋" w:hAnsi="仿宋" w:eastAsia="仿宋"/>
          <w:color w:val="auto"/>
          <w:kern w:val="0"/>
          <w:sz w:val="32"/>
          <w:szCs w:val="32"/>
          <w:highlight w:val="none"/>
        </w:rPr>
        <w:t>策。</w:t>
      </w:r>
    </w:p>
    <w:p>
      <w:pPr>
        <w:pageBreakBefore w:val="0"/>
        <w:widowControl/>
        <w:kinsoku/>
        <w:wordWrap/>
        <w:overflowPunct/>
        <w:topLinePunct w:val="0"/>
        <w:autoSpaceDE/>
        <w:autoSpaceDN/>
        <w:bidi w:val="0"/>
        <w:spacing w:line="576" w:lineRule="exact"/>
        <w:ind w:firstLine="640" w:firstLineChars="200"/>
        <w:jc w:val="left"/>
        <w:textAlignment w:val="auto"/>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四</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创业服务科</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参与拟定创业带动就业政策措施，落实相关创业扶持政策，配合推进公共创业</w:t>
      </w:r>
      <w:r>
        <w:rPr>
          <w:rFonts w:hint="eastAsia" w:ascii="仿宋" w:hAnsi="仿宋" w:eastAsia="仿宋"/>
          <w:color w:val="auto"/>
          <w:kern w:val="0"/>
          <w:sz w:val="32"/>
          <w:szCs w:val="32"/>
          <w:highlight w:val="none"/>
          <w:lang w:eastAsia="zh-CN"/>
        </w:rPr>
        <w:t>服务平台建设；</w:t>
      </w:r>
      <w:r>
        <w:rPr>
          <w:rFonts w:hint="eastAsia" w:ascii="仿宋" w:hAnsi="仿宋" w:eastAsia="仿宋"/>
          <w:color w:val="auto"/>
          <w:kern w:val="0"/>
          <w:sz w:val="32"/>
          <w:szCs w:val="32"/>
          <w:highlight w:val="none"/>
        </w:rPr>
        <w:t>组织开展创业指导、创业活动、创业大赛等创业服务</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参与做好高校毕业生、返乡农民工、退役军人等重点群体创业服务</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参与创业孵化基地建设</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做好全市创业服务信息化建设相关事务工作</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承担创业服务调查、分析工作。</w:t>
      </w:r>
    </w:p>
    <w:p>
      <w:pPr>
        <w:pageBreakBefore w:val="0"/>
        <w:widowControl/>
        <w:kinsoku/>
        <w:wordWrap/>
        <w:overflowPunct/>
        <w:topLinePunct w:val="0"/>
        <w:autoSpaceDE/>
        <w:autoSpaceDN/>
        <w:bidi w:val="0"/>
        <w:spacing w:line="576" w:lineRule="exact"/>
        <w:ind w:firstLine="640" w:firstLineChars="200"/>
        <w:jc w:val="left"/>
        <w:textAlignment w:val="auto"/>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五</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就业援助科</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贯彻落实就业再就业优惠扶持政策，组织实施城镇“零就业家庭”和就业困难群体就</w:t>
      </w:r>
      <w:r>
        <w:rPr>
          <w:rFonts w:hint="eastAsia" w:ascii="仿宋" w:hAnsi="仿宋" w:eastAsia="仿宋"/>
          <w:color w:val="auto"/>
          <w:kern w:val="0"/>
          <w:sz w:val="32"/>
          <w:szCs w:val="32"/>
          <w:highlight w:val="none"/>
          <w:lang w:eastAsia="zh-CN"/>
        </w:rPr>
        <w:t>业</w:t>
      </w:r>
      <w:r>
        <w:rPr>
          <w:rFonts w:hint="eastAsia" w:ascii="仿宋" w:hAnsi="仿宋" w:eastAsia="仿宋"/>
          <w:color w:val="auto"/>
          <w:kern w:val="0"/>
          <w:sz w:val="32"/>
          <w:szCs w:val="32"/>
          <w:highlight w:val="none"/>
        </w:rPr>
        <w:t>援助</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协助开发管理市本级公益性就业岗位</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落实企业吸纳困难就业人员社保补贴和岗位补贴政策</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承担人力资源供求调查、分析工作。</w:t>
      </w:r>
    </w:p>
    <w:p>
      <w:pPr>
        <w:pageBreakBefore w:val="0"/>
        <w:widowControl/>
        <w:kinsoku/>
        <w:wordWrap/>
        <w:overflowPunct/>
        <w:topLinePunct w:val="0"/>
        <w:autoSpaceDE/>
        <w:autoSpaceDN/>
        <w:bidi w:val="0"/>
        <w:spacing w:line="576" w:lineRule="exact"/>
        <w:ind w:firstLine="640" w:firstLineChars="200"/>
        <w:jc w:val="left"/>
        <w:textAlignment w:val="auto"/>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六</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就业培训科</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参与拟定全市就业创业培训政策及职业培训资源整合方案并组织实施</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配合实施城乡劳动者终身职业技能培训，承担市本级人才培训和就业创业培训相关工作，参与高技能人才培训基地和技能大师工作室创建工作</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参与协调督促技工院校、民办职业培训机构指导管理工作，</w:t>
      </w:r>
    </w:p>
    <w:p>
      <w:pPr>
        <w:pageBreakBefore w:val="0"/>
        <w:widowControl/>
        <w:kinsoku/>
        <w:wordWrap/>
        <w:overflowPunct/>
        <w:topLinePunct w:val="0"/>
        <w:autoSpaceDE/>
        <w:autoSpaceDN/>
        <w:bidi w:val="0"/>
        <w:spacing w:line="576" w:lineRule="exact"/>
        <w:jc w:val="left"/>
        <w:textAlignment w:val="auto"/>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rPr>
        <w:t>做好全市职业培训、创业培训等师资队伍建设事务工作，协助做好全市职业培训和人才培训信</w:t>
      </w:r>
      <w:r>
        <w:rPr>
          <w:rFonts w:hint="eastAsia" w:ascii="仿宋" w:hAnsi="仿宋" w:eastAsia="仿宋"/>
          <w:color w:val="auto"/>
          <w:kern w:val="0"/>
          <w:sz w:val="32"/>
          <w:szCs w:val="32"/>
          <w:highlight w:val="none"/>
          <w:lang w:eastAsia="zh-CN"/>
        </w:rPr>
        <w:t>息</w:t>
      </w:r>
      <w:r>
        <w:rPr>
          <w:rFonts w:hint="eastAsia" w:ascii="仿宋" w:hAnsi="仿宋" w:eastAsia="仿宋"/>
          <w:color w:val="auto"/>
          <w:kern w:val="0"/>
          <w:sz w:val="32"/>
          <w:szCs w:val="32"/>
          <w:highlight w:val="none"/>
        </w:rPr>
        <w:t>发布和统计工作。</w:t>
      </w:r>
    </w:p>
    <w:p>
      <w:pPr>
        <w:pageBreakBefore w:val="0"/>
        <w:widowControl/>
        <w:kinsoku/>
        <w:wordWrap/>
        <w:overflowPunct/>
        <w:topLinePunct w:val="0"/>
        <w:autoSpaceDE/>
        <w:autoSpaceDN/>
        <w:bidi w:val="0"/>
        <w:spacing w:line="576" w:lineRule="exact"/>
        <w:ind w:firstLine="640" w:firstLineChars="200"/>
        <w:jc w:val="left"/>
        <w:textAlignment w:val="auto"/>
        <w:rPr>
          <w:rFonts w:hint="eastAsia" w:ascii="仿宋" w:hAnsi="仿宋" w:eastAsia="仿宋"/>
          <w:color w:val="auto"/>
          <w:kern w:val="0"/>
          <w:sz w:val="32"/>
          <w:szCs w:val="32"/>
          <w:highlight w:val="none"/>
        </w:rPr>
      </w:pP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七</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失业保险科</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负责享受失业保险待遇人员的管理和服务工作，参与对享受失业保险待遇人员的培训工作</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负责核定失业人员享受各项失业保险待遇资格、期限、标准</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负责市本级技能提升补贴、稳岗返还经办工作</w:t>
      </w:r>
      <w:r>
        <w:rPr>
          <w:rFonts w:hint="eastAsia" w:ascii="仿宋" w:hAnsi="仿宋" w:eastAsia="仿宋"/>
          <w:color w:val="auto"/>
          <w:kern w:val="0"/>
          <w:sz w:val="32"/>
          <w:szCs w:val="32"/>
          <w:highlight w:val="none"/>
          <w:lang w:eastAsia="zh-CN"/>
        </w:rPr>
        <w:t>；</w:t>
      </w:r>
      <w:r>
        <w:rPr>
          <w:rFonts w:hint="eastAsia" w:ascii="仿宋" w:hAnsi="仿宋" w:eastAsia="仿宋"/>
          <w:color w:val="auto"/>
          <w:kern w:val="0"/>
          <w:sz w:val="32"/>
          <w:szCs w:val="32"/>
          <w:highlight w:val="none"/>
        </w:rPr>
        <w:t>负责失业预警和动态监测工作。</w:t>
      </w:r>
    </w:p>
    <w:p>
      <w:pPr>
        <w:pStyle w:val="6"/>
        <w:rPr>
          <w:rFonts w:hint="eastAsia"/>
        </w:rPr>
      </w:pPr>
      <w:bookmarkStart w:id="43" w:name="_Toc15396602"/>
      <w:bookmarkStart w:id="44" w:name="_Toc15377204"/>
    </w:p>
    <w:p>
      <w:pPr>
        <w:pStyle w:val="3"/>
        <w:ind w:right="440"/>
        <w:jc w:val="center"/>
        <w:rPr>
          <w:rFonts w:hint="eastAsia" w:ascii="黑体" w:hAnsi="黑体" w:eastAsia="黑体" w:cs="Times New Roman"/>
          <w:b w:val="0"/>
          <w:bCs/>
          <w:color w:val="auto"/>
          <w:highlight w:val="none"/>
        </w:rPr>
      </w:pPr>
      <w:bookmarkStart w:id="45" w:name="_Toc6806"/>
      <w:bookmarkStart w:id="46" w:name="_Toc26022"/>
      <w:bookmarkStart w:id="47" w:name="_Toc7702"/>
      <w:r>
        <w:rPr>
          <w:rFonts w:hint="eastAsia" w:ascii="黑体" w:hAnsi="黑体" w:eastAsia="黑体" w:cs="Times New Roman"/>
          <w:b w:val="0"/>
          <w:bCs/>
          <w:color w:val="auto"/>
          <w:highlight w:val="none"/>
        </w:rPr>
        <w:t xml:space="preserve">第二部分 </w:t>
      </w:r>
      <w:r>
        <w:rPr>
          <w:rFonts w:hint="eastAsia" w:ascii="黑体" w:hAnsi="黑体" w:eastAsia="黑体" w:cs="Times New Roman"/>
          <w:b w:val="0"/>
          <w:bCs/>
          <w:color w:val="auto"/>
          <w:highlight w:val="none"/>
          <w:lang w:val="en-US" w:eastAsia="zh-CN"/>
        </w:rPr>
        <w:t>2022年度</w:t>
      </w:r>
      <w:r>
        <w:rPr>
          <w:rFonts w:hint="eastAsia" w:ascii="黑体" w:hAnsi="黑体" w:eastAsia="黑体" w:cs="Times New Roman"/>
          <w:b w:val="0"/>
          <w:bCs/>
          <w:color w:val="auto"/>
          <w:highlight w:val="none"/>
          <w:lang w:eastAsia="zh-CN"/>
        </w:rPr>
        <w:t>单位</w:t>
      </w:r>
      <w:r>
        <w:rPr>
          <w:rFonts w:hint="eastAsia" w:ascii="黑体" w:hAnsi="黑体" w:eastAsia="黑体" w:cs="Times New Roman"/>
          <w:b w:val="0"/>
          <w:bCs/>
          <w:color w:val="auto"/>
          <w:highlight w:val="none"/>
        </w:rPr>
        <w:t>决算情况说明</w:t>
      </w:r>
      <w:bookmarkEnd w:id="45"/>
      <w:bookmarkEnd w:id="46"/>
      <w:bookmarkEnd w:id="47"/>
    </w:p>
    <w:bookmarkEnd w:id="43"/>
    <w:bookmarkEnd w:id="44"/>
    <w:p>
      <w:pPr>
        <w:pStyle w:val="29"/>
        <w:numPr>
          <w:ilvl w:val="0"/>
          <w:numId w:val="2"/>
        </w:numPr>
        <w:spacing w:line="600" w:lineRule="exact"/>
        <w:ind w:firstLineChars="0"/>
        <w:outlineLvl w:val="1"/>
        <w:rPr>
          <w:rFonts w:hint="eastAsia" w:ascii="黑体" w:hAnsi="黑体" w:eastAsia="黑体" w:cs="Times New Roman"/>
          <w:color w:val="auto"/>
          <w:sz w:val="32"/>
          <w:szCs w:val="32"/>
          <w:highlight w:val="none"/>
        </w:rPr>
      </w:pPr>
      <w:bookmarkStart w:id="48" w:name="_Toc14500"/>
      <w:bookmarkStart w:id="49" w:name="_Toc15396603"/>
      <w:bookmarkStart w:id="50" w:name="_Toc32494"/>
      <w:bookmarkStart w:id="51" w:name="_Toc15377205"/>
      <w:bookmarkStart w:id="52" w:name="_Toc20473"/>
      <w:r>
        <w:rPr>
          <w:rFonts w:hint="eastAsia" w:ascii="黑体" w:hAnsi="黑体" w:eastAsia="黑体" w:cs="Times New Roman"/>
          <w:color w:val="auto"/>
          <w:sz w:val="32"/>
          <w:szCs w:val="32"/>
          <w:highlight w:val="none"/>
        </w:rPr>
        <w:t>收入支出决算总体情况说明</w:t>
      </w:r>
      <w:bookmarkEnd w:id="48"/>
      <w:bookmarkEnd w:id="49"/>
      <w:bookmarkEnd w:id="50"/>
      <w:bookmarkEnd w:id="51"/>
      <w:bookmarkEnd w:id="52"/>
    </w:p>
    <w:p>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866.73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val="en-US" w:eastAsia="zh-CN"/>
        </w:rPr>
        <w:t>各</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104.13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13.65</w:t>
      </w:r>
      <w:r>
        <w:rPr>
          <w:rFonts w:hint="eastAsia" w:ascii="仿宋" w:hAnsi="仿宋" w:eastAsia="仿宋"/>
          <w:color w:val="auto"/>
          <w:sz w:val="32"/>
          <w:szCs w:val="32"/>
          <w:highlight w:val="none"/>
        </w:rPr>
        <w:t>%。主要变动原因是年初预算数调整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专项项目资金</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rPr>
        <w:t>。</w:t>
      </w:r>
    </w:p>
    <w:p>
      <w:pPr>
        <w:pageBreakBefore w:val="0"/>
        <w:widowControl w:val="0"/>
        <w:kinsoku/>
        <w:wordWrap/>
        <w:overflowPunct/>
        <w:topLinePunct w:val="0"/>
        <w:autoSpaceDE/>
        <w:autoSpaceDN/>
        <w:bidi w:val="0"/>
        <w:adjustRightInd/>
        <w:snapToGrid/>
        <w:spacing w:line="576" w:lineRule="exact"/>
        <w:ind w:left="0" w:right="0" w:firstLine="600" w:firstLineChars="200"/>
        <w:textAlignment w:val="auto"/>
        <w:rPr>
          <w:rFonts w:hint="eastAsia" w:ascii="仿宋" w:hAnsi="仿宋" w:eastAsia="仿宋"/>
          <w:color w:val="auto"/>
          <w:sz w:val="32"/>
          <w:szCs w:val="32"/>
          <w:highlight w:val="none"/>
        </w:rPr>
      </w:pPr>
      <w:r>
        <w:rPr>
          <w:rFonts w:hint="eastAsia" w:ascii="仿宋_GB2312" w:hAnsi="Calibri" w:eastAsia="仿宋"/>
          <w:color w:val="FF0000"/>
          <w:sz w:val="30"/>
          <w:szCs w:val="30"/>
          <w:lang w:eastAsia="zh-CN"/>
        </w:rPr>
        <w:drawing>
          <wp:anchor distT="0" distB="0" distL="114300" distR="114300" simplePos="0" relativeHeight="251660288" behindDoc="1" locked="0" layoutInCell="1" allowOverlap="1">
            <wp:simplePos x="0" y="0"/>
            <wp:positionH relativeFrom="column">
              <wp:posOffset>563245</wp:posOffset>
            </wp:positionH>
            <wp:positionV relativeFrom="paragraph">
              <wp:posOffset>124460</wp:posOffset>
            </wp:positionV>
            <wp:extent cx="4191000" cy="2498090"/>
            <wp:effectExtent l="4445" t="4445" r="10795" b="1206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6"/>
        <w:rPr>
          <w:rFonts w:hint="eastAsia"/>
        </w:rPr>
      </w:pPr>
    </w:p>
    <w:p>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 w:hAnsi="仿宋" w:eastAsia="仿宋"/>
          <w:color w:val="auto"/>
          <w:sz w:val="32"/>
          <w:szCs w:val="32"/>
          <w:highlight w:val="none"/>
        </w:rPr>
      </w:pPr>
    </w:p>
    <w:p>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 w:hAnsi="仿宋" w:eastAsia="仿宋"/>
          <w:color w:val="auto"/>
          <w:sz w:val="32"/>
          <w:szCs w:val="32"/>
          <w:highlight w:val="none"/>
          <w:lang w:eastAsia="zh-CN"/>
        </w:rPr>
      </w:pPr>
    </w:p>
    <w:p>
      <w:pPr>
        <w:pStyle w:val="2"/>
        <w:rPr>
          <w:rFonts w:hint="eastAsia"/>
          <w:lang w:eastAsia="zh-CN"/>
        </w:rPr>
      </w:pPr>
    </w:p>
    <w:p>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 w:hAnsi="仿宋" w:eastAsia="仿宋"/>
          <w:color w:val="auto"/>
          <w:sz w:val="32"/>
          <w:szCs w:val="32"/>
          <w:highlight w:val="none"/>
        </w:rPr>
      </w:pPr>
    </w:p>
    <w:p>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center"/>
        <w:textAlignment w:val="auto"/>
        <w:rPr>
          <w:rFonts w:hint="eastAsia" w:ascii="黑体" w:hAnsi="黑体" w:eastAsia="黑体"/>
          <w:color w:val="auto"/>
          <w:sz w:val="32"/>
          <w:szCs w:val="32"/>
          <w:highlight w:val="none"/>
          <w:lang w:eastAsia="zh-CN"/>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bookmarkStart w:id="53" w:name="_Toc15377206"/>
      <w:bookmarkStart w:id="54" w:name="_Toc15396604"/>
    </w:p>
    <w:p>
      <w:pPr>
        <w:pStyle w:val="2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Style w:val="20"/>
          <w:rFonts w:ascii="黑体" w:hAnsi="黑体" w:eastAsia="黑体"/>
          <w:b w:val="0"/>
          <w:color w:val="auto"/>
          <w:highlight w:val="none"/>
        </w:rPr>
      </w:pPr>
      <w:bookmarkStart w:id="55" w:name="_Toc24082"/>
      <w:bookmarkStart w:id="56" w:name="_Toc11577"/>
      <w:bookmarkStart w:id="57" w:name="_Toc16149"/>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0"/>
          <w:rFonts w:hint="eastAsia" w:ascii="黑体" w:hAnsi="黑体" w:eastAsia="黑体"/>
          <w:b w:val="0"/>
          <w:color w:val="auto"/>
          <w:highlight w:val="none"/>
        </w:rPr>
        <w:t>入决算情况说明</w:t>
      </w:r>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815.48</w:t>
      </w:r>
      <w:r>
        <w:rPr>
          <w:rFonts w:hint="eastAsia" w:ascii="仿宋" w:hAnsi="仿宋" w:eastAsia="仿宋"/>
          <w:color w:val="auto"/>
          <w:sz w:val="32"/>
          <w:szCs w:val="32"/>
          <w:highlight w:val="none"/>
        </w:rPr>
        <w:t>万元，其中：一般公共预算财政拨款</w:t>
      </w:r>
      <w:r>
        <w:rPr>
          <w:rFonts w:hint="eastAsia" w:ascii="仿宋" w:hAnsi="仿宋" w:eastAsia="仿宋"/>
          <w:color w:val="auto"/>
          <w:sz w:val="32"/>
          <w:szCs w:val="32"/>
          <w:highlight w:val="none"/>
          <w:lang w:eastAsia="zh-CN"/>
        </w:rPr>
        <w:t>收入</w:t>
      </w:r>
      <w:r>
        <w:rPr>
          <w:rFonts w:hint="eastAsia" w:ascii="仿宋" w:hAnsi="仿宋" w:eastAsia="仿宋"/>
          <w:color w:val="auto"/>
          <w:sz w:val="32"/>
          <w:szCs w:val="32"/>
          <w:highlight w:val="none"/>
          <w:lang w:val="en-US" w:eastAsia="zh-CN"/>
        </w:rPr>
        <w:t>815.48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olor w:val="auto"/>
          <w:sz w:val="32"/>
          <w:szCs w:val="32"/>
          <w:highlight w:val="none"/>
        </w:rPr>
      </w:pPr>
      <w:r>
        <w:drawing>
          <wp:inline distT="0" distB="0" distL="114300" distR="114300">
            <wp:extent cx="4846955" cy="2093595"/>
            <wp:effectExtent l="4445" t="4445" r="6350" b="54610"/>
            <wp:docPr id="5" name="图表 5"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outlineLvl w:val="9"/>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2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1"/>
        <w:rPr>
          <w:rStyle w:val="20"/>
          <w:rFonts w:ascii="黑体" w:hAnsi="黑体" w:eastAsia="黑体"/>
          <w:b w:val="0"/>
          <w:color w:val="auto"/>
          <w:highlight w:val="none"/>
        </w:rPr>
      </w:pPr>
      <w:bookmarkStart w:id="58" w:name="_Toc15396605"/>
      <w:bookmarkStart w:id="59" w:name="_Toc2131"/>
      <w:bookmarkStart w:id="60" w:name="_Toc31925"/>
      <w:bookmarkStart w:id="61" w:name="_Toc21040"/>
      <w:bookmarkStart w:id="62" w:name="_Toc15377207"/>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0"/>
          <w:rFonts w:hint="eastAsia" w:ascii="黑体" w:hAnsi="黑体" w:eastAsia="黑体"/>
          <w:b w:val="0"/>
          <w:color w:val="auto"/>
          <w:highlight w:val="none"/>
        </w:rPr>
        <w:t>出决算情况说明</w:t>
      </w:r>
      <w:bookmarkEnd w:id="58"/>
      <w:bookmarkEnd w:id="59"/>
      <w:bookmarkEnd w:id="60"/>
      <w:bookmarkEnd w:id="61"/>
      <w:bookmarkEnd w:id="6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850.48</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672.68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79.09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177.8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20.91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仿宋" w:hAnsi="仿宋" w:eastAsia="仿宋"/>
          <w:color w:val="auto"/>
          <w:sz w:val="32"/>
          <w:szCs w:val="32"/>
          <w:highlight w:val="none"/>
          <w:shd w:val="pct10" w:color="auto" w:fill="FFFFFF"/>
        </w:rPr>
      </w:pPr>
      <w:r>
        <w:drawing>
          <wp:inline distT="0" distB="0" distL="114300" distR="114300">
            <wp:extent cx="4124960" cy="2139950"/>
            <wp:effectExtent l="4445" t="5080" r="23495" b="64770"/>
            <wp:docPr id="6" name="图表 6"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jc w:val="center"/>
        <w:outlineLvl w:val="9"/>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（图3：支出决算结构图）</w:t>
      </w:r>
      <w:bookmarkStart w:id="63" w:name="_Toc15377208"/>
      <w:bookmarkStart w:id="64" w:name="_Toc153966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0"/>
          <w:rFonts w:ascii="黑体" w:hAnsi="黑体" w:eastAsia="黑体"/>
          <w:b w:val="0"/>
          <w:color w:val="auto"/>
          <w:highlight w:val="none"/>
        </w:rPr>
      </w:pPr>
      <w:bookmarkStart w:id="65" w:name="_Toc9070"/>
      <w:bookmarkStart w:id="66" w:name="_Toc20055"/>
      <w:bookmarkStart w:id="67" w:name="_Toc3190"/>
      <w:r>
        <w:rPr>
          <w:rFonts w:hint="eastAsia" w:ascii="黑体" w:hAnsi="黑体" w:eastAsia="黑体"/>
          <w:color w:val="auto"/>
          <w:sz w:val="32"/>
          <w:szCs w:val="32"/>
          <w:highlight w:val="none"/>
        </w:rPr>
        <w:t>四、财</w:t>
      </w:r>
      <w:r>
        <w:rPr>
          <w:rStyle w:val="20"/>
          <w:rFonts w:hint="eastAsia" w:ascii="黑体" w:hAnsi="黑体" w:eastAsia="黑体"/>
          <w:b w:val="0"/>
          <w:color w:val="auto"/>
          <w:highlight w:val="none"/>
        </w:rPr>
        <w:t>政拨款收入支出决算总体情况说明</w:t>
      </w:r>
      <w:bookmarkEnd w:id="63"/>
      <w:bookmarkEnd w:id="64"/>
      <w:bookmarkEnd w:id="65"/>
      <w:bookmarkEnd w:id="66"/>
      <w:bookmarkEnd w:id="67"/>
    </w:p>
    <w:p>
      <w:pPr>
        <w:pageBreakBefore w:val="0"/>
        <w:widowControl w:val="0"/>
        <w:kinsoku/>
        <w:wordWrap/>
        <w:overflowPunct/>
        <w:topLinePunct w:val="0"/>
        <w:autoSpaceDE/>
        <w:autoSpaceDN/>
        <w:bidi w:val="0"/>
        <w:adjustRightInd/>
        <w:snapToGrid/>
        <w:spacing w:line="576" w:lineRule="exact"/>
        <w:ind w:left="0" w:right="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866.73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auto"/>
          <w:sz w:val="32"/>
          <w:szCs w:val="32"/>
          <w:highlight w:val="none"/>
          <w:lang w:val="en-US" w:eastAsia="zh-CN"/>
        </w:rPr>
        <w:t>各</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104.13</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13.65</w:t>
      </w:r>
      <w:r>
        <w:rPr>
          <w:rFonts w:hint="eastAsia" w:ascii="仿宋" w:hAnsi="仿宋" w:eastAsia="仿宋"/>
          <w:color w:val="auto"/>
          <w:sz w:val="32"/>
          <w:szCs w:val="32"/>
          <w:highlight w:val="none"/>
        </w:rPr>
        <w:t>%。主要变动原因是年初预算数调整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专项项目资金</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rPr>
        <w:t>。</w:t>
      </w:r>
    </w:p>
    <w:p>
      <w:pPr>
        <w:pStyle w:val="6"/>
        <w:rPr>
          <w:rFonts w:hint="eastAsia"/>
        </w:rPr>
      </w:pPr>
      <w:r>
        <w:rPr>
          <w:rFonts w:hint="eastAsia" w:ascii="仿宋_GB2312" w:hAnsi="Calibri" w:eastAsia="仿宋"/>
          <w:color w:val="FF0000"/>
          <w:sz w:val="30"/>
          <w:szCs w:val="30"/>
          <w:lang w:eastAsia="zh-CN"/>
        </w:rPr>
        <w:drawing>
          <wp:anchor distT="0" distB="0" distL="114300" distR="114300" simplePos="0" relativeHeight="251661312" behindDoc="1" locked="0" layoutInCell="1" allowOverlap="1">
            <wp:simplePos x="0" y="0"/>
            <wp:positionH relativeFrom="column">
              <wp:posOffset>251460</wp:posOffset>
            </wp:positionH>
            <wp:positionV relativeFrom="paragraph">
              <wp:posOffset>238760</wp:posOffset>
            </wp:positionV>
            <wp:extent cx="4349750" cy="2304415"/>
            <wp:effectExtent l="5080" t="5080" r="7620" b="14605"/>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6"/>
        <w:rPr>
          <w:rFonts w:hint="eastAsia"/>
        </w:rPr>
      </w:pPr>
    </w:p>
    <w:p>
      <w:pPr>
        <w:pStyle w:val="6"/>
        <w:rPr>
          <w:rFonts w:hint="eastAsia"/>
        </w:rPr>
      </w:pPr>
    </w:p>
    <w:p>
      <w:pPr>
        <w:pStyle w:val="6"/>
        <w:rPr>
          <w:rFonts w:hint="eastAsia"/>
        </w:rPr>
      </w:pPr>
    </w:p>
    <w:p>
      <w:pPr>
        <w:pStyle w:val="6"/>
        <w:rPr>
          <w:rFonts w:hint="eastAsia"/>
        </w:rPr>
      </w:pPr>
    </w:p>
    <w:p>
      <w:pPr>
        <w:spacing w:line="600" w:lineRule="exact"/>
        <w:jc w:val="center"/>
        <w:rPr>
          <w:rFonts w:hint="eastAsia" w:ascii="仿宋" w:hAnsi="仿宋" w:eastAsia="仿宋"/>
          <w:color w:val="auto"/>
          <w:sz w:val="32"/>
          <w:szCs w:val="32"/>
          <w:highlight w:val="none"/>
        </w:rPr>
      </w:pP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outlineLvl w:val="1"/>
        <w:rPr>
          <w:rStyle w:val="20"/>
          <w:rFonts w:ascii="黑体" w:hAnsi="黑体" w:eastAsia="黑体"/>
          <w:b w:val="0"/>
          <w:color w:val="auto"/>
          <w:spacing w:val="6"/>
          <w:sz w:val="32"/>
          <w:highlight w:val="none"/>
        </w:rPr>
      </w:pPr>
      <w:bookmarkStart w:id="68" w:name="_Toc15396607"/>
      <w:bookmarkStart w:id="69" w:name="_Toc29998"/>
      <w:bookmarkStart w:id="70" w:name="_Toc10631"/>
      <w:bookmarkStart w:id="71" w:name="_Toc15377209"/>
      <w:bookmarkStart w:id="72" w:name="_Toc22820"/>
      <w:r>
        <w:rPr>
          <w:rFonts w:hint="eastAsia" w:ascii="黑体" w:hAnsi="黑体" w:eastAsia="黑体"/>
          <w:color w:val="auto"/>
          <w:spacing w:val="6"/>
          <w:sz w:val="32"/>
          <w:szCs w:val="32"/>
          <w:highlight w:val="none"/>
        </w:rPr>
        <w:t>五、</w:t>
      </w:r>
      <w:r>
        <w:rPr>
          <w:rFonts w:hint="eastAsia" w:ascii="黑体" w:hAnsi="黑体" w:eastAsia="黑体"/>
          <w:b/>
          <w:color w:val="auto"/>
          <w:spacing w:val="6"/>
          <w:sz w:val="32"/>
          <w:szCs w:val="32"/>
          <w:highlight w:val="none"/>
        </w:rPr>
        <w:t>一</w:t>
      </w:r>
      <w:r>
        <w:rPr>
          <w:rStyle w:val="20"/>
          <w:rFonts w:hint="eastAsia" w:ascii="黑体" w:hAnsi="黑体" w:eastAsia="黑体"/>
          <w:b w:val="0"/>
          <w:color w:val="auto"/>
          <w:spacing w:val="6"/>
          <w:sz w:val="32"/>
          <w:highlight w:val="none"/>
        </w:rPr>
        <w:t>般公共预算财政拨款支出决算情况说明</w:t>
      </w:r>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outlineLvl w:val="2"/>
        <w:rPr>
          <w:rFonts w:ascii="仿宋" w:hAnsi="仿宋" w:eastAsia="仿宋"/>
          <w:b/>
          <w:color w:val="auto"/>
          <w:spacing w:val="6"/>
          <w:sz w:val="32"/>
          <w:szCs w:val="32"/>
          <w:highlight w:val="none"/>
        </w:rPr>
      </w:pPr>
      <w:bookmarkStart w:id="73" w:name="_Toc15377210"/>
      <w:r>
        <w:rPr>
          <w:rFonts w:hint="eastAsia" w:ascii="仿宋" w:hAnsi="仿宋" w:eastAsia="仿宋"/>
          <w:b/>
          <w:color w:val="auto"/>
          <w:spacing w:val="6"/>
          <w:sz w:val="32"/>
          <w:szCs w:val="32"/>
          <w:highlight w:val="none"/>
        </w:rPr>
        <w:t>（一）一般公共预算财政拨款支出决算总体情况</w:t>
      </w:r>
      <w:bookmarkEnd w:id="73"/>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_GB2312" w:hAnsi="Calibri" w:eastAsia="仿宋"/>
          <w:color w:val="FF0000"/>
          <w:sz w:val="30"/>
          <w:szCs w:val="30"/>
          <w:lang w:eastAsia="zh-CN"/>
        </w:rPr>
      </w:pPr>
      <w:r>
        <w:rPr>
          <w:rFonts w:ascii="仿宋" w:hAnsi="仿宋" w:eastAsia="仿宋"/>
          <w:color w:val="auto"/>
          <w:spacing w:val="6"/>
          <w:sz w:val="32"/>
          <w:szCs w:val="32"/>
          <w:highlight w:val="none"/>
        </w:rPr>
        <w:t>20</w:t>
      </w:r>
      <w:r>
        <w:rPr>
          <w:rFonts w:hint="eastAsia" w:ascii="仿宋" w:hAnsi="仿宋" w:eastAsia="仿宋"/>
          <w:color w:val="auto"/>
          <w:spacing w:val="6"/>
          <w:sz w:val="32"/>
          <w:szCs w:val="32"/>
          <w:highlight w:val="none"/>
          <w:lang w:val="en-US" w:eastAsia="zh-CN"/>
        </w:rPr>
        <w:t>22</w:t>
      </w:r>
      <w:r>
        <w:rPr>
          <w:rFonts w:hint="eastAsia" w:ascii="仿宋" w:hAnsi="仿宋" w:eastAsia="仿宋"/>
          <w:color w:val="auto"/>
          <w:spacing w:val="6"/>
          <w:sz w:val="32"/>
          <w:szCs w:val="32"/>
          <w:highlight w:val="none"/>
        </w:rPr>
        <w:t>年一般公共预算财政拨款支出</w:t>
      </w:r>
      <w:r>
        <w:rPr>
          <w:rFonts w:hint="eastAsia" w:ascii="仿宋" w:hAnsi="仿宋" w:eastAsia="仿宋"/>
          <w:color w:val="auto"/>
          <w:spacing w:val="6"/>
          <w:sz w:val="32"/>
          <w:szCs w:val="32"/>
          <w:highlight w:val="none"/>
          <w:lang w:val="en-US" w:eastAsia="zh-CN"/>
        </w:rPr>
        <w:t>850.48</w:t>
      </w:r>
      <w:r>
        <w:rPr>
          <w:rFonts w:hint="eastAsia" w:ascii="仿宋" w:hAnsi="仿宋" w:eastAsia="仿宋"/>
          <w:color w:val="auto"/>
          <w:spacing w:val="6"/>
          <w:sz w:val="32"/>
          <w:szCs w:val="32"/>
          <w:highlight w:val="none"/>
        </w:rPr>
        <w:t>万元，占本年支出合计的</w:t>
      </w:r>
      <w:r>
        <w:rPr>
          <w:rFonts w:hint="eastAsia" w:ascii="仿宋" w:hAnsi="仿宋" w:eastAsia="仿宋"/>
          <w:color w:val="auto"/>
          <w:spacing w:val="6"/>
          <w:sz w:val="32"/>
          <w:szCs w:val="32"/>
          <w:highlight w:val="none"/>
          <w:lang w:val="en-US" w:eastAsia="zh-CN"/>
        </w:rPr>
        <w:t>100</w:t>
      </w:r>
      <w:r>
        <w:rPr>
          <w:rFonts w:ascii="仿宋" w:hAnsi="仿宋" w:eastAsia="仿宋"/>
          <w:color w:val="auto"/>
          <w:spacing w:val="6"/>
          <w:sz w:val="32"/>
          <w:szCs w:val="32"/>
          <w:highlight w:val="none"/>
        </w:rPr>
        <w:t>%</w:t>
      </w:r>
      <w:r>
        <w:rPr>
          <w:rFonts w:hint="eastAsia" w:ascii="仿宋" w:hAnsi="仿宋" w:eastAsia="仿宋"/>
          <w:color w:val="auto"/>
          <w:spacing w:val="6"/>
          <w:sz w:val="32"/>
          <w:szCs w:val="32"/>
          <w:highlight w:val="none"/>
        </w:rPr>
        <w:t>。与</w:t>
      </w:r>
      <w:r>
        <w:rPr>
          <w:rFonts w:ascii="仿宋" w:hAnsi="仿宋" w:eastAsia="仿宋"/>
          <w:color w:val="auto"/>
          <w:spacing w:val="6"/>
          <w:sz w:val="32"/>
          <w:szCs w:val="32"/>
          <w:highlight w:val="none"/>
        </w:rPr>
        <w:t>20</w:t>
      </w:r>
      <w:r>
        <w:rPr>
          <w:rFonts w:hint="eastAsia" w:ascii="仿宋" w:hAnsi="仿宋" w:eastAsia="仿宋"/>
          <w:color w:val="auto"/>
          <w:spacing w:val="6"/>
          <w:sz w:val="32"/>
          <w:szCs w:val="32"/>
          <w:highlight w:val="none"/>
          <w:lang w:val="en-US" w:eastAsia="zh-CN"/>
        </w:rPr>
        <w:t>21</w:t>
      </w:r>
      <w:r>
        <w:rPr>
          <w:rFonts w:hint="eastAsia" w:ascii="仿宋" w:hAnsi="仿宋" w:eastAsia="仿宋"/>
          <w:color w:val="auto"/>
          <w:spacing w:val="6"/>
          <w:sz w:val="32"/>
          <w:szCs w:val="32"/>
          <w:highlight w:val="none"/>
        </w:rPr>
        <w:t>年</w:t>
      </w:r>
      <w:r>
        <w:rPr>
          <w:rFonts w:hint="eastAsia" w:ascii="仿宋" w:hAnsi="仿宋" w:eastAsia="仿宋"/>
          <w:color w:val="auto"/>
          <w:spacing w:val="6"/>
          <w:sz w:val="32"/>
          <w:szCs w:val="32"/>
          <w:highlight w:val="none"/>
          <w:lang w:eastAsia="zh-CN"/>
        </w:rPr>
        <w:t>的</w:t>
      </w:r>
      <w:r>
        <w:rPr>
          <w:rFonts w:hint="eastAsia" w:ascii="仿宋" w:hAnsi="仿宋" w:eastAsia="仿宋"/>
          <w:color w:val="auto"/>
          <w:spacing w:val="6"/>
          <w:sz w:val="32"/>
          <w:szCs w:val="32"/>
          <w:highlight w:val="none"/>
          <w:lang w:val="en-US" w:eastAsia="zh-CN"/>
        </w:rPr>
        <w:t>632.51</w:t>
      </w:r>
      <w:r>
        <w:rPr>
          <w:rFonts w:hint="eastAsia" w:ascii="仿宋" w:hAnsi="仿宋" w:eastAsia="仿宋"/>
          <w:color w:val="000000"/>
          <w:spacing w:val="6"/>
          <w:sz w:val="32"/>
          <w:szCs w:val="32"/>
          <w:lang w:eastAsia="zh-CN"/>
        </w:rPr>
        <w:t>万元</w:t>
      </w:r>
      <w:r>
        <w:rPr>
          <w:rFonts w:hint="eastAsia" w:ascii="仿宋" w:hAnsi="仿宋" w:eastAsia="仿宋"/>
          <w:color w:val="auto"/>
          <w:spacing w:val="6"/>
          <w:sz w:val="32"/>
          <w:szCs w:val="32"/>
          <w:highlight w:val="none"/>
        </w:rPr>
        <w:t>相比，一般公共预算财政拨款</w:t>
      </w:r>
      <w:r>
        <w:rPr>
          <w:rFonts w:hint="eastAsia" w:ascii="仿宋" w:hAnsi="仿宋" w:eastAsia="仿宋"/>
          <w:color w:val="auto"/>
          <w:spacing w:val="6"/>
          <w:sz w:val="32"/>
          <w:szCs w:val="32"/>
          <w:highlight w:val="none"/>
          <w:lang w:eastAsia="zh-CN"/>
        </w:rPr>
        <w:t>支出</w:t>
      </w:r>
      <w:r>
        <w:rPr>
          <w:rFonts w:hint="eastAsia" w:ascii="仿宋" w:hAnsi="仿宋" w:eastAsia="仿宋"/>
          <w:color w:val="auto"/>
          <w:spacing w:val="6"/>
          <w:sz w:val="32"/>
          <w:szCs w:val="32"/>
          <w:highlight w:val="none"/>
        </w:rPr>
        <w:t>增加</w:t>
      </w:r>
      <w:r>
        <w:rPr>
          <w:rFonts w:hint="eastAsia" w:ascii="仿宋" w:hAnsi="仿宋" w:eastAsia="仿宋"/>
          <w:color w:val="auto"/>
          <w:spacing w:val="6"/>
          <w:sz w:val="32"/>
          <w:szCs w:val="32"/>
          <w:highlight w:val="none"/>
          <w:lang w:val="en-US" w:eastAsia="zh-CN"/>
        </w:rPr>
        <w:t>217.97</w:t>
      </w:r>
      <w:r>
        <w:rPr>
          <w:rFonts w:hint="eastAsia" w:ascii="仿宋" w:hAnsi="仿宋" w:eastAsia="仿宋"/>
          <w:color w:val="auto"/>
          <w:spacing w:val="6"/>
          <w:sz w:val="32"/>
          <w:szCs w:val="32"/>
          <w:highlight w:val="none"/>
        </w:rPr>
        <w:t>万元，增长</w:t>
      </w:r>
      <w:r>
        <w:rPr>
          <w:rFonts w:hint="eastAsia" w:ascii="仿宋" w:hAnsi="仿宋" w:eastAsia="仿宋"/>
          <w:color w:val="auto"/>
          <w:spacing w:val="6"/>
          <w:sz w:val="32"/>
          <w:szCs w:val="32"/>
          <w:highlight w:val="none"/>
          <w:lang w:val="en-US" w:eastAsia="zh-CN"/>
        </w:rPr>
        <w:t>34.46</w:t>
      </w:r>
      <w:r>
        <w:rPr>
          <w:rFonts w:ascii="仿宋" w:hAnsi="仿宋" w:eastAsia="仿宋"/>
          <w:color w:val="auto"/>
          <w:spacing w:val="6"/>
          <w:sz w:val="32"/>
          <w:szCs w:val="32"/>
          <w:highlight w:val="none"/>
        </w:rPr>
        <w:t>%</w:t>
      </w:r>
      <w:r>
        <w:rPr>
          <w:rFonts w:hint="eastAsia" w:ascii="仿宋" w:hAnsi="仿宋" w:eastAsia="仿宋"/>
          <w:color w:val="auto"/>
          <w:spacing w:val="6"/>
          <w:sz w:val="32"/>
          <w:szCs w:val="32"/>
          <w:highlight w:val="none"/>
        </w:rPr>
        <w:t>。主要变动原因是年初预算数调整</w:t>
      </w:r>
      <w:r>
        <w:rPr>
          <w:rFonts w:hint="eastAsia" w:ascii="仿宋" w:hAnsi="仿宋" w:eastAsia="仿宋"/>
          <w:color w:val="auto"/>
          <w:spacing w:val="6"/>
          <w:sz w:val="32"/>
          <w:szCs w:val="32"/>
          <w:highlight w:val="none"/>
          <w:lang w:eastAsia="zh-CN"/>
        </w:rPr>
        <w:t>、</w:t>
      </w:r>
      <w:r>
        <w:rPr>
          <w:rFonts w:hint="eastAsia" w:ascii="仿宋" w:hAnsi="仿宋" w:eastAsia="仿宋"/>
          <w:color w:val="auto"/>
          <w:spacing w:val="6"/>
          <w:sz w:val="32"/>
          <w:szCs w:val="32"/>
          <w:highlight w:val="none"/>
        </w:rPr>
        <w:t>专项项目资金</w:t>
      </w:r>
      <w:r>
        <w:rPr>
          <w:rFonts w:hint="eastAsia" w:ascii="仿宋" w:hAnsi="仿宋" w:eastAsia="仿宋"/>
          <w:color w:val="auto"/>
          <w:spacing w:val="6"/>
          <w:sz w:val="32"/>
          <w:szCs w:val="32"/>
          <w:highlight w:val="none"/>
          <w:lang w:eastAsia="zh-CN"/>
        </w:rPr>
        <w:t>增加。</w:t>
      </w:r>
    </w:p>
    <w:p>
      <w:pPr>
        <w:pStyle w:val="6"/>
        <w:jc w:val="center"/>
        <w:rPr>
          <w:rFonts w:hint="eastAsia" w:ascii="仿宋_GB2312" w:hAnsi="Calibri" w:eastAsia="仿宋"/>
          <w:color w:val="FF0000"/>
          <w:sz w:val="30"/>
          <w:szCs w:val="30"/>
          <w:lang w:eastAsia="zh-CN"/>
        </w:rPr>
      </w:pPr>
      <w:r>
        <w:rPr>
          <w:rFonts w:hint="eastAsia" w:ascii="仿宋_GB2312" w:hAnsi="Calibri" w:eastAsia="仿宋"/>
          <w:color w:val="FF0000"/>
          <w:sz w:val="30"/>
          <w:szCs w:val="30"/>
          <w:lang w:eastAsia="zh-CN"/>
        </w:rPr>
        <w:drawing>
          <wp:anchor distT="0" distB="0" distL="114300" distR="114300" simplePos="0" relativeHeight="251662336" behindDoc="1" locked="0" layoutInCell="1" allowOverlap="1">
            <wp:simplePos x="0" y="0"/>
            <wp:positionH relativeFrom="column">
              <wp:posOffset>259080</wp:posOffset>
            </wp:positionH>
            <wp:positionV relativeFrom="paragraph">
              <wp:posOffset>74295</wp:posOffset>
            </wp:positionV>
            <wp:extent cx="4684395" cy="2866390"/>
            <wp:effectExtent l="4445" t="4445" r="5080" b="9525"/>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jc w:val="center"/>
        <w:rPr>
          <w:rFonts w:hint="eastAsia" w:ascii="仿宋_GB2312" w:hAnsi="Calibri" w:eastAsia="仿宋"/>
          <w:color w:val="FF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64" w:firstLineChars="200"/>
        <w:textAlignment w:val="auto"/>
        <w:rPr>
          <w:rFonts w:hint="eastAsia" w:ascii="仿宋" w:hAnsi="仿宋" w:eastAsia="仿宋"/>
          <w:b/>
          <w:color w:val="auto"/>
          <w:spacing w:val="6"/>
          <w:sz w:val="32"/>
          <w:szCs w:val="32"/>
          <w:highlight w:val="none"/>
        </w:rPr>
      </w:pPr>
      <w:r>
        <w:rPr>
          <w:rFonts w:hint="eastAsia" w:ascii="仿宋" w:hAnsi="仿宋" w:eastAsia="仿宋"/>
          <w:color w:val="auto"/>
          <w:spacing w:val="6"/>
          <w:sz w:val="32"/>
          <w:szCs w:val="32"/>
          <w:highlight w:val="none"/>
        </w:rPr>
        <w:t>（图5：一般公共预算财政拨款支出决算变动情况）</w:t>
      </w:r>
      <w:bookmarkStart w:id="74" w:name="_Toc15377211"/>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outlineLvl w:val="2"/>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（二）一般公共预算财政拨款支出决算结构情况</w:t>
      </w:r>
      <w:bookmarkEnd w:id="74"/>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b w:val="0"/>
          <w:bCs w:val="0"/>
          <w:color w:val="auto"/>
          <w:spacing w:val="6"/>
          <w:sz w:val="32"/>
          <w:szCs w:val="32"/>
          <w:highlight w:val="none"/>
        </w:rPr>
      </w:pPr>
      <w:r>
        <w:rPr>
          <w:rFonts w:ascii="仿宋" w:hAnsi="仿宋" w:eastAsia="仿宋"/>
          <w:b w:val="0"/>
          <w:bCs w:val="0"/>
          <w:color w:val="auto"/>
          <w:spacing w:val="6"/>
          <w:sz w:val="32"/>
          <w:szCs w:val="32"/>
          <w:highlight w:val="none"/>
        </w:rPr>
        <w:t>20</w:t>
      </w:r>
      <w:r>
        <w:rPr>
          <w:rFonts w:hint="eastAsia" w:ascii="仿宋" w:hAnsi="仿宋" w:eastAsia="仿宋"/>
          <w:b w:val="0"/>
          <w:bCs w:val="0"/>
          <w:color w:val="auto"/>
          <w:spacing w:val="6"/>
          <w:sz w:val="32"/>
          <w:szCs w:val="32"/>
          <w:highlight w:val="none"/>
          <w:lang w:val="en-US" w:eastAsia="zh-CN"/>
        </w:rPr>
        <w:t>22</w:t>
      </w:r>
      <w:r>
        <w:rPr>
          <w:rFonts w:hint="eastAsia" w:ascii="仿宋" w:hAnsi="仿宋" w:eastAsia="仿宋"/>
          <w:b w:val="0"/>
          <w:bCs w:val="0"/>
          <w:color w:val="auto"/>
          <w:spacing w:val="6"/>
          <w:sz w:val="32"/>
          <w:szCs w:val="32"/>
          <w:highlight w:val="none"/>
        </w:rPr>
        <w:t>年一般公共预算财政拨款支出</w:t>
      </w:r>
      <w:r>
        <w:rPr>
          <w:rFonts w:hint="eastAsia" w:ascii="仿宋" w:hAnsi="仿宋" w:eastAsia="仿宋"/>
          <w:b w:val="0"/>
          <w:bCs w:val="0"/>
          <w:color w:val="auto"/>
          <w:spacing w:val="6"/>
          <w:sz w:val="32"/>
          <w:szCs w:val="32"/>
          <w:highlight w:val="none"/>
          <w:lang w:val="en-US" w:eastAsia="zh-CN"/>
        </w:rPr>
        <w:t>850.48</w:t>
      </w:r>
      <w:r>
        <w:rPr>
          <w:rFonts w:hint="eastAsia" w:ascii="仿宋" w:hAnsi="仿宋" w:eastAsia="仿宋"/>
          <w:b w:val="0"/>
          <w:bCs w:val="0"/>
          <w:color w:val="auto"/>
          <w:spacing w:val="6"/>
          <w:sz w:val="32"/>
          <w:szCs w:val="32"/>
          <w:highlight w:val="none"/>
        </w:rPr>
        <w:t>万元，主要用于以下方面</w:t>
      </w:r>
      <w:r>
        <w:rPr>
          <w:rFonts w:hint="eastAsia" w:ascii="仿宋" w:hAnsi="仿宋" w:eastAsia="仿宋"/>
          <w:b w:val="0"/>
          <w:bCs w:val="0"/>
          <w:color w:val="auto"/>
          <w:spacing w:val="6"/>
          <w:sz w:val="32"/>
          <w:szCs w:val="32"/>
          <w:highlight w:val="none"/>
          <w:lang w:eastAsia="zh-CN"/>
        </w:rPr>
        <w:t>：</w:t>
      </w:r>
      <w:r>
        <w:rPr>
          <w:rFonts w:hint="eastAsia" w:ascii="仿宋" w:hAnsi="仿宋" w:eastAsia="仿宋"/>
          <w:b w:val="0"/>
          <w:bCs w:val="0"/>
          <w:color w:val="auto"/>
          <w:spacing w:val="6"/>
          <w:sz w:val="32"/>
          <w:szCs w:val="32"/>
          <w:highlight w:val="none"/>
        </w:rPr>
        <w:t>社会保障和就业（类）支出</w:t>
      </w:r>
      <w:r>
        <w:rPr>
          <w:rFonts w:hint="eastAsia" w:ascii="仿宋" w:hAnsi="仿宋" w:eastAsia="仿宋"/>
          <w:b w:val="0"/>
          <w:bCs w:val="0"/>
          <w:color w:val="auto"/>
          <w:spacing w:val="6"/>
          <w:sz w:val="32"/>
          <w:szCs w:val="32"/>
          <w:highlight w:val="none"/>
          <w:lang w:val="en-US" w:eastAsia="zh-CN"/>
        </w:rPr>
        <w:t>754.97</w:t>
      </w:r>
      <w:r>
        <w:rPr>
          <w:rFonts w:hint="eastAsia" w:ascii="仿宋" w:hAnsi="仿宋" w:eastAsia="仿宋"/>
          <w:b w:val="0"/>
          <w:bCs w:val="0"/>
          <w:color w:val="auto"/>
          <w:spacing w:val="6"/>
          <w:sz w:val="32"/>
          <w:szCs w:val="32"/>
          <w:highlight w:val="none"/>
        </w:rPr>
        <w:t>万元，占</w:t>
      </w:r>
      <w:r>
        <w:rPr>
          <w:rFonts w:hint="eastAsia" w:ascii="仿宋" w:hAnsi="仿宋" w:eastAsia="仿宋"/>
          <w:b w:val="0"/>
          <w:bCs w:val="0"/>
          <w:color w:val="auto"/>
          <w:spacing w:val="6"/>
          <w:sz w:val="32"/>
          <w:szCs w:val="32"/>
          <w:highlight w:val="none"/>
          <w:lang w:val="en-US" w:eastAsia="zh-CN"/>
        </w:rPr>
        <w:t>88.77</w:t>
      </w:r>
      <w:r>
        <w:rPr>
          <w:rFonts w:ascii="仿宋" w:hAnsi="仿宋" w:eastAsia="仿宋"/>
          <w:b w:val="0"/>
          <w:bCs w:val="0"/>
          <w:color w:val="auto"/>
          <w:spacing w:val="6"/>
          <w:sz w:val="32"/>
          <w:szCs w:val="32"/>
          <w:highlight w:val="none"/>
        </w:rPr>
        <w:t>%</w:t>
      </w:r>
      <w:r>
        <w:rPr>
          <w:rFonts w:hint="eastAsia" w:ascii="仿宋" w:hAnsi="仿宋" w:eastAsia="仿宋"/>
          <w:b w:val="0"/>
          <w:bCs w:val="0"/>
          <w:color w:val="auto"/>
          <w:spacing w:val="6"/>
          <w:sz w:val="32"/>
          <w:szCs w:val="32"/>
          <w:highlight w:val="none"/>
        </w:rPr>
        <w:t>；卫生健康支出</w:t>
      </w:r>
      <w:r>
        <w:rPr>
          <w:rFonts w:hint="eastAsia" w:ascii="仿宋" w:hAnsi="仿宋" w:eastAsia="仿宋"/>
          <w:b w:val="0"/>
          <w:bCs w:val="0"/>
          <w:color w:val="auto"/>
          <w:spacing w:val="6"/>
          <w:sz w:val="32"/>
          <w:szCs w:val="32"/>
          <w:highlight w:val="none"/>
          <w:lang w:val="en-US" w:eastAsia="zh-CN"/>
        </w:rPr>
        <w:t>18.77</w:t>
      </w:r>
      <w:r>
        <w:rPr>
          <w:rFonts w:hint="eastAsia" w:ascii="仿宋" w:hAnsi="仿宋" w:eastAsia="仿宋"/>
          <w:b w:val="0"/>
          <w:bCs w:val="0"/>
          <w:color w:val="auto"/>
          <w:spacing w:val="6"/>
          <w:sz w:val="32"/>
          <w:szCs w:val="32"/>
          <w:highlight w:val="none"/>
        </w:rPr>
        <w:t>万元，占</w:t>
      </w:r>
      <w:r>
        <w:rPr>
          <w:rFonts w:hint="eastAsia" w:ascii="仿宋" w:hAnsi="仿宋" w:eastAsia="仿宋"/>
          <w:b w:val="0"/>
          <w:bCs w:val="0"/>
          <w:color w:val="auto"/>
          <w:spacing w:val="6"/>
          <w:sz w:val="32"/>
          <w:szCs w:val="32"/>
          <w:highlight w:val="none"/>
          <w:lang w:val="en-US" w:eastAsia="zh-CN"/>
        </w:rPr>
        <w:t>2.21</w:t>
      </w:r>
      <w:r>
        <w:rPr>
          <w:rFonts w:ascii="仿宋" w:hAnsi="仿宋" w:eastAsia="仿宋"/>
          <w:b w:val="0"/>
          <w:bCs w:val="0"/>
          <w:color w:val="auto"/>
          <w:spacing w:val="6"/>
          <w:sz w:val="32"/>
          <w:szCs w:val="32"/>
          <w:highlight w:val="none"/>
        </w:rPr>
        <w:t>%</w:t>
      </w:r>
      <w:r>
        <w:rPr>
          <w:rFonts w:hint="eastAsia" w:ascii="仿宋" w:hAnsi="仿宋" w:eastAsia="仿宋"/>
          <w:b w:val="0"/>
          <w:bCs w:val="0"/>
          <w:color w:val="auto"/>
          <w:spacing w:val="6"/>
          <w:sz w:val="32"/>
          <w:szCs w:val="32"/>
          <w:highlight w:val="none"/>
        </w:rPr>
        <w:t>；</w:t>
      </w:r>
      <w:r>
        <w:rPr>
          <w:rFonts w:hint="eastAsia" w:ascii="仿宋" w:hAnsi="仿宋" w:eastAsia="仿宋"/>
          <w:b w:val="0"/>
          <w:bCs w:val="0"/>
          <w:color w:val="auto"/>
          <w:spacing w:val="6"/>
          <w:sz w:val="32"/>
          <w:szCs w:val="32"/>
          <w:highlight w:val="none"/>
          <w:lang w:eastAsia="zh-CN"/>
        </w:rPr>
        <w:t>农林水支出</w:t>
      </w:r>
      <w:r>
        <w:rPr>
          <w:rFonts w:hint="eastAsia" w:ascii="仿宋" w:hAnsi="仿宋" w:eastAsia="仿宋"/>
          <w:b w:val="0"/>
          <w:bCs w:val="0"/>
          <w:color w:val="auto"/>
          <w:spacing w:val="6"/>
          <w:sz w:val="32"/>
          <w:szCs w:val="32"/>
          <w:highlight w:val="none"/>
          <w:lang w:val="en-US" w:eastAsia="zh-CN"/>
        </w:rPr>
        <w:t>15.46万元，占1.82%；</w:t>
      </w:r>
      <w:r>
        <w:rPr>
          <w:rFonts w:hint="eastAsia" w:ascii="仿宋" w:hAnsi="仿宋" w:eastAsia="仿宋"/>
          <w:b w:val="0"/>
          <w:bCs w:val="0"/>
          <w:color w:val="auto"/>
          <w:spacing w:val="6"/>
          <w:sz w:val="32"/>
          <w:szCs w:val="32"/>
          <w:highlight w:val="none"/>
        </w:rPr>
        <w:t>住房保障支出</w:t>
      </w:r>
      <w:r>
        <w:rPr>
          <w:rFonts w:hint="eastAsia" w:ascii="仿宋" w:hAnsi="仿宋" w:eastAsia="仿宋"/>
          <w:b w:val="0"/>
          <w:bCs w:val="0"/>
          <w:color w:val="auto"/>
          <w:spacing w:val="6"/>
          <w:sz w:val="32"/>
          <w:szCs w:val="32"/>
          <w:highlight w:val="none"/>
          <w:lang w:val="en-US" w:eastAsia="zh-CN"/>
        </w:rPr>
        <w:t>61.27</w:t>
      </w:r>
      <w:r>
        <w:rPr>
          <w:rFonts w:hint="eastAsia" w:ascii="仿宋" w:hAnsi="仿宋" w:eastAsia="仿宋"/>
          <w:b w:val="0"/>
          <w:bCs w:val="0"/>
          <w:color w:val="auto"/>
          <w:spacing w:val="6"/>
          <w:sz w:val="32"/>
          <w:szCs w:val="32"/>
          <w:highlight w:val="none"/>
        </w:rPr>
        <w:t>万元，占</w:t>
      </w:r>
      <w:r>
        <w:rPr>
          <w:rFonts w:hint="eastAsia" w:ascii="仿宋" w:hAnsi="仿宋" w:eastAsia="仿宋"/>
          <w:b w:val="0"/>
          <w:bCs w:val="0"/>
          <w:color w:val="auto"/>
          <w:spacing w:val="6"/>
          <w:sz w:val="32"/>
          <w:szCs w:val="32"/>
          <w:highlight w:val="none"/>
          <w:lang w:val="en-US" w:eastAsia="zh-CN"/>
        </w:rPr>
        <w:t>7.20</w:t>
      </w:r>
      <w:r>
        <w:rPr>
          <w:rFonts w:ascii="仿宋" w:hAnsi="仿宋" w:eastAsia="仿宋"/>
          <w:b w:val="0"/>
          <w:bCs w:val="0"/>
          <w:color w:val="auto"/>
          <w:spacing w:val="6"/>
          <w:sz w:val="32"/>
          <w:szCs w:val="32"/>
          <w:highlight w:val="none"/>
        </w:rPr>
        <w:t>%</w:t>
      </w:r>
      <w:r>
        <w:rPr>
          <w:rFonts w:hint="eastAsia" w:ascii="仿宋" w:hAnsi="仿宋" w:eastAsia="仿宋"/>
          <w:b w:val="0"/>
          <w:bCs w:val="0"/>
          <w:color w:val="auto"/>
          <w:spacing w:val="6"/>
          <w:sz w:val="32"/>
          <w:szCs w:val="32"/>
          <w:highlight w:val="none"/>
        </w:rPr>
        <w:t>。</w:t>
      </w:r>
    </w:p>
    <w:p>
      <w:pPr>
        <w:pStyle w:val="6"/>
        <w:rPr>
          <w:rFonts w:ascii="仿宋" w:hAnsi="仿宋" w:eastAsia="仿宋"/>
          <w:color w:val="auto"/>
          <w:sz w:val="32"/>
          <w:szCs w:val="32"/>
          <w:highlight w:val="none"/>
        </w:rPr>
      </w:pPr>
      <w:r>
        <w:rPr>
          <w:rFonts w:hint="eastAsia" w:eastAsia="仿宋"/>
          <w:lang w:eastAsia="zh-CN"/>
        </w:rPr>
        <w:drawing>
          <wp:inline distT="0" distB="0" distL="114300" distR="114300">
            <wp:extent cx="5179695" cy="2493010"/>
            <wp:effectExtent l="4445" t="4445" r="16510" b="55245"/>
            <wp:docPr id="16" name="图表 16" descr="7b0a202020202263686172745265734964223a202232303437313338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（图6：一般公共预算财政拨款支出决算结构）</w:t>
      </w:r>
      <w:bookmarkStart w:id="75" w:name="_Toc15377212"/>
    </w:p>
    <w:p>
      <w:pPr>
        <w:spacing w:line="600" w:lineRule="exact"/>
        <w:ind w:firstLine="642"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75"/>
    </w:p>
    <w:p>
      <w:pPr>
        <w:spacing w:line="600" w:lineRule="exact"/>
        <w:ind w:firstLine="642" w:firstLineChars="200"/>
        <w:outlineLvl w:val="9"/>
        <w:rPr>
          <w:rFonts w:ascii="仿宋" w:hAnsi="仿宋" w:eastAsia="仿宋"/>
          <w:color w:val="auto"/>
          <w:sz w:val="32"/>
          <w:szCs w:val="32"/>
          <w:highlight w:val="none"/>
        </w:rPr>
      </w:pPr>
      <w:bookmarkStart w:id="76" w:name="_Toc15377444"/>
      <w:bookmarkStart w:id="77" w:name="_Toc15378460"/>
      <w:bookmarkStart w:id="78"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850.48万元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98.13</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76"/>
      <w:bookmarkEnd w:id="77"/>
      <w:bookmarkEnd w:id="78"/>
    </w:p>
    <w:p>
      <w:pPr>
        <w:spacing w:line="600" w:lineRule="exact"/>
        <w:ind w:firstLine="642" w:firstLineChars="200"/>
        <w:rPr>
          <w:rFonts w:ascii="仿宋" w:hAnsi="仿宋" w:eastAsia="仿宋"/>
          <w:b/>
          <w:bCs/>
          <w:color w:val="000000"/>
          <w:sz w:val="32"/>
          <w:szCs w:val="32"/>
        </w:rPr>
      </w:pPr>
      <w:r>
        <w:rPr>
          <w:rFonts w:hint="eastAsia" w:ascii="仿宋" w:hAnsi="仿宋" w:eastAsia="仿宋"/>
          <w:b/>
          <w:bCs/>
          <w:color w:val="000000"/>
          <w:sz w:val="32"/>
          <w:szCs w:val="32"/>
        </w:rPr>
        <w:t>1</w:t>
      </w:r>
      <w:r>
        <w:rPr>
          <w:rFonts w:ascii="仿宋" w:hAnsi="仿宋" w:eastAsia="仿宋"/>
          <w:b/>
          <w:bCs/>
          <w:color w:val="000000"/>
          <w:sz w:val="32"/>
          <w:szCs w:val="32"/>
        </w:rPr>
        <w:t>.</w:t>
      </w:r>
      <w:bookmarkStart w:id="79" w:name="_Toc83544342"/>
      <w:bookmarkStart w:id="80" w:name="_Toc83543698"/>
      <w:r>
        <w:rPr>
          <w:rFonts w:hint="eastAsia" w:ascii="仿宋" w:hAnsi="仿宋" w:eastAsia="仿宋"/>
          <w:b/>
          <w:bCs/>
          <w:color w:val="000000"/>
          <w:sz w:val="32"/>
          <w:szCs w:val="32"/>
        </w:rPr>
        <w:t>社会保障和就业支出（类）人力资源和社会保障管理事务（款）就业管理事务（项）：</w:t>
      </w:r>
      <w:r>
        <w:rPr>
          <w:rStyle w:val="17"/>
          <w:rFonts w:hint="eastAsia" w:ascii="仿宋" w:hAnsi="仿宋" w:eastAsia="仿宋" w:cs="Times New Roman"/>
          <w:b w:val="0"/>
          <w:bCs/>
          <w:color w:val="000000"/>
          <w:kern w:val="2"/>
          <w:sz w:val="32"/>
          <w:szCs w:val="32"/>
          <w:lang w:val="en-US" w:eastAsia="zh-CN" w:bidi="ar-SA"/>
        </w:rPr>
        <w:t>支出决算为536.73万元，完成预算97.06%</w:t>
      </w:r>
      <w:bookmarkEnd w:id="79"/>
      <w:bookmarkEnd w:id="80"/>
      <w:r>
        <w:rPr>
          <w:rStyle w:val="17"/>
          <w:rFonts w:hint="eastAsia" w:ascii="仿宋" w:hAnsi="仿宋" w:eastAsia="仿宋" w:cs="Times New Roman"/>
          <w:b w:val="0"/>
          <w:bCs/>
          <w:color w:val="000000"/>
          <w:kern w:val="2"/>
          <w:sz w:val="32"/>
          <w:szCs w:val="32"/>
          <w:lang w:val="en-US" w:eastAsia="zh-CN" w:bidi="ar-SA"/>
        </w:rPr>
        <w:t>，</w:t>
      </w:r>
      <w:r>
        <w:rPr>
          <w:rStyle w:val="17"/>
          <w:rFonts w:hint="eastAsia" w:ascii="仿宋" w:hAnsi="仿宋" w:eastAsia="仿宋"/>
          <w:b w:val="0"/>
          <w:bCs/>
          <w:color w:val="auto"/>
          <w:sz w:val="32"/>
          <w:szCs w:val="32"/>
          <w:highlight w:val="none"/>
        </w:rPr>
        <w:t>决算数小于预算数的主要原因</w:t>
      </w:r>
      <w:r>
        <w:rPr>
          <w:rStyle w:val="17"/>
          <w:rFonts w:hint="eastAsia" w:ascii="仿宋" w:hAnsi="仿宋" w:eastAsia="仿宋"/>
          <w:b w:val="0"/>
          <w:bCs/>
          <w:color w:val="auto"/>
          <w:sz w:val="32"/>
          <w:szCs w:val="32"/>
          <w:highlight w:val="none"/>
          <w:lang w:val="en-US" w:eastAsia="zh-CN"/>
        </w:rPr>
        <w:t>是职工社会保险跨年支出</w:t>
      </w:r>
      <w:r>
        <w:rPr>
          <w:rStyle w:val="17"/>
          <w:rFonts w:hint="eastAsia" w:ascii="仿宋" w:hAnsi="仿宋" w:eastAsia="仿宋"/>
          <w:b w:val="0"/>
          <w:bCs/>
          <w:color w:val="auto"/>
          <w:sz w:val="32"/>
          <w:szCs w:val="32"/>
          <w:highlight w:val="none"/>
        </w:rPr>
        <w:t>。</w:t>
      </w:r>
    </w:p>
    <w:p>
      <w:pPr>
        <w:tabs>
          <w:tab w:val="right" w:pos="8306"/>
        </w:tabs>
        <w:spacing w:line="600" w:lineRule="exact"/>
        <w:ind w:firstLine="640"/>
        <w:outlineLvl w:val="9"/>
        <w:rPr>
          <w:rFonts w:ascii="仿宋" w:hAnsi="仿宋" w:eastAsia="仿宋"/>
          <w:b/>
          <w:bCs/>
          <w:color w:val="000000"/>
          <w:sz w:val="32"/>
          <w:szCs w:val="32"/>
        </w:rPr>
      </w:pPr>
      <w:bookmarkStart w:id="81" w:name="_Toc83543699"/>
      <w:bookmarkStart w:id="82" w:name="_Toc83544343"/>
      <w:r>
        <w:rPr>
          <w:rFonts w:hint="eastAsia" w:ascii="仿宋" w:hAnsi="仿宋" w:eastAsia="仿宋"/>
          <w:b/>
          <w:bCs/>
          <w:color w:val="000000"/>
          <w:sz w:val="32"/>
          <w:szCs w:val="32"/>
        </w:rPr>
        <w:t>2</w:t>
      </w:r>
      <w:r>
        <w:rPr>
          <w:rFonts w:ascii="仿宋" w:hAnsi="仿宋" w:eastAsia="仿宋"/>
          <w:b/>
          <w:bCs/>
          <w:color w:val="000000"/>
          <w:sz w:val="32"/>
          <w:szCs w:val="32"/>
        </w:rPr>
        <w:t>.</w:t>
      </w:r>
      <w:r>
        <w:rPr>
          <w:rFonts w:hint="eastAsia" w:ascii="仿宋" w:hAnsi="仿宋" w:eastAsia="仿宋"/>
          <w:b/>
          <w:bCs/>
          <w:color w:val="000000"/>
          <w:sz w:val="32"/>
          <w:szCs w:val="32"/>
        </w:rPr>
        <w:t>社会保障和就业支出（类）行政</w:t>
      </w:r>
      <w:r>
        <w:rPr>
          <w:rFonts w:hint="eastAsia" w:ascii="仿宋" w:hAnsi="仿宋" w:eastAsia="仿宋"/>
          <w:b/>
          <w:bCs/>
          <w:color w:val="000000"/>
          <w:sz w:val="32"/>
          <w:szCs w:val="32"/>
          <w:lang w:eastAsia="zh-CN"/>
        </w:rPr>
        <w:t>事业单位</w:t>
      </w:r>
      <w:r>
        <w:rPr>
          <w:rFonts w:hint="eastAsia" w:ascii="仿宋" w:hAnsi="仿宋" w:eastAsia="仿宋"/>
          <w:b/>
          <w:bCs/>
          <w:color w:val="000000"/>
          <w:sz w:val="32"/>
          <w:szCs w:val="32"/>
        </w:rPr>
        <w:t>养老支出（款）机关事业单位养老保险缴费支出（项）：</w:t>
      </w:r>
      <w:r>
        <w:rPr>
          <w:rStyle w:val="17"/>
          <w:rFonts w:hint="eastAsia" w:ascii="仿宋" w:hAnsi="仿宋" w:eastAsia="仿宋" w:cs="Times New Roman"/>
          <w:b w:val="0"/>
          <w:bCs/>
          <w:color w:val="000000"/>
          <w:kern w:val="2"/>
          <w:sz w:val="32"/>
          <w:szCs w:val="32"/>
          <w:lang w:val="en-US" w:eastAsia="zh-CN" w:bidi="ar-SA"/>
        </w:rPr>
        <w:t>支出决算为33.62万元，完成预算100%。</w:t>
      </w:r>
    </w:p>
    <w:p>
      <w:pPr>
        <w:tabs>
          <w:tab w:val="right" w:pos="8306"/>
        </w:tabs>
        <w:spacing w:line="600" w:lineRule="exact"/>
        <w:ind w:firstLine="640"/>
        <w:outlineLvl w:val="9"/>
        <w:rPr>
          <w:rStyle w:val="17"/>
          <w:rFonts w:hint="eastAsia" w:ascii="仿宋" w:hAnsi="仿宋" w:eastAsia="仿宋" w:cs="Times New Roman"/>
          <w:b w:val="0"/>
          <w:bCs/>
          <w:color w:val="000000"/>
          <w:kern w:val="2"/>
          <w:sz w:val="32"/>
          <w:szCs w:val="32"/>
          <w:lang w:val="en-US" w:eastAsia="zh-CN" w:bidi="ar-SA"/>
        </w:rPr>
      </w:pPr>
      <w:r>
        <w:rPr>
          <w:rFonts w:hint="eastAsia" w:ascii="仿宋" w:hAnsi="仿宋" w:eastAsia="仿宋"/>
          <w:b/>
          <w:bCs/>
          <w:color w:val="000000"/>
          <w:sz w:val="32"/>
          <w:szCs w:val="32"/>
        </w:rPr>
        <w:t>3.社会保障和就业支出（类）</w:t>
      </w:r>
      <w:r>
        <w:rPr>
          <w:rFonts w:hint="eastAsia" w:ascii="仿宋" w:hAnsi="仿宋" w:eastAsia="仿宋"/>
          <w:b/>
          <w:bCs/>
          <w:color w:val="000000"/>
          <w:sz w:val="32"/>
          <w:szCs w:val="32"/>
          <w:lang w:val="en-US" w:eastAsia="zh-CN"/>
        </w:rPr>
        <w:t>就业补助（款）其他就业</w:t>
      </w:r>
      <w:r>
        <w:rPr>
          <w:rFonts w:hint="eastAsia" w:ascii="仿宋" w:hAnsi="仿宋" w:eastAsia="仿宋" w:cs="Times New Roman"/>
          <w:b/>
          <w:bCs/>
          <w:color w:val="000000"/>
          <w:kern w:val="2"/>
          <w:sz w:val="32"/>
          <w:szCs w:val="32"/>
          <w:lang w:val="en-US" w:eastAsia="zh-CN" w:bidi="ar-SA"/>
        </w:rPr>
        <w:t>补助支出（项）：</w:t>
      </w:r>
      <w:r>
        <w:rPr>
          <w:rStyle w:val="17"/>
          <w:rFonts w:hint="eastAsia" w:ascii="仿宋" w:hAnsi="仿宋" w:eastAsia="仿宋" w:cs="Times New Roman"/>
          <w:b w:val="0"/>
          <w:bCs/>
          <w:color w:val="000000"/>
          <w:kern w:val="2"/>
          <w:sz w:val="32"/>
          <w:szCs w:val="32"/>
          <w:lang w:val="en-US" w:eastAsia="zh-CN" w:bidi="ar-SA"/>
        </w:rPr>
        <w:t>支出决算为162.34万元，完成预算100%。</w:t>
      </w:r>
    </w:p>
    <w:p>
      <w:pPr>
        <w:tabs>
          <w:tab w:val="right" w:pos="8306"/>
        </w:tabs>
        <w:spacing w:line="600" w:lineRule="exact"/>
        <w:ind w:firstLine="640"/>
        <w:outlineLvl w:val="9"/>
        <w:rPr>
          <w:rFonts w:ascii="仿宋" w:hAnsi="仿宋" w:eastAsia="仿宋"/>
          <w:b/>
          <w:bCs/>
          <w:color w:val="auto"/>
          <w:sz w:val="32"/>
          <w:szCs w:val="32"/>
        </w:rPr>
      </w:pPr>
      <w:r>
        <w:rPr>
          <w:rFonts w:hint="eastAsia" w:ascii="仿宋" w:hAnsi="仿宋" w:eastAsia="仿宋"/>
          <w:b/>
          <w:bCs/>
          <w:color w:val="auto"/>
          <w:sz w:val="32"/>
          <w:szCs w:val="32"/>
          <w:lang w:val="en-US" w:eastAsia="zh-CN"/>
        </w:rPr>
        <w:t>4.</w:t>
      </w:r>
      <w:r>
        <w:rPr>
          <w:rFonts w:hint="eastAsia" w:ascii="仿宋" w:hAnsi="仿宋" w:eastAsia="仿宋"/>
          <w:b/>
          <w:bCs/>
          <w:color w:val="auto"/>
          <w:sz w:val="32"/>
          <w:szCs w:val="32"/>
        </w:rPr>
        <w:t>社会保障和就业支出（类）抚恤（款）死亡抚恤（项）：</w:t>
      </w:r>
      <w:r>
        <w:rPr>
          <w:rStyle w:val="17"/>
          <w:rFonts w:hint="eastAsia" w:ascii="仿宋" w:hAnsi="仿宋" w:eastAsia="仿宋" w:cs="Times New Roman"/>
          <w:b w:val="0"/>
          <w:bCs/>
          <w:color w:val="auto"/>
          <w:kern w:val="2"/>
          <w:sz w:val="32"/>
          <w:szCs w:val="32"/>
          <w:lang w:val="en-US" w:eastAsia="zh-CN" w:bidi="ar-SA"/>
        </w:rPr>
        <w:t>支出决算为22.28万元，完成预算100%。</w:t>
      </w:r>
    </w:p>
    <w:p>
      <w:pPr>
        <w:tabs>
          <w:tab w:val="right" w:pos="8306"/>
        </w:tabs>
        <w:spacing w:line="600" w:lineRule="exact"/>
        <w:ind w:firstLine="640"/>
        <w:outlineLvl w:val="9"/>
        <w:rPr>
          <w:rFonts w:hint="eastAsia" w:ascii="仿宋" w:hAnsi="仿宋" w:eastAsia="仿宋"/>
          <w:b/>
          <w:bCs/>
          <w:color w:val="000000"/>
          <w:sz w:val="32"/>
          <w:szCs w:val="32"/>
        </w:rPr>
      </w:pPr>
      <w:r>
        <w:rPr>
          <w:rFonts w:hint="eastAsia" w:ascii="仿宋" w:hAnsi="仿宋" w:eastAsia="仿宋"/>
          <w:b/>
          <w:bCs/>
          <w:color w:val="000000"/>
          <w:sz w:val="32"/>
          <w:szCs w:val="32"/>
          <w:lang w:val="en-US" w:eastAsia="zh-CN"/>
        </w:rPr>
        <w:t>5</w:t>
      </w:r>
      <w:r>
        <w:rPr>
          <w:rFonts w:hint="eastAsia" w:ascii="仿宋" w:hAnsi="仿宋" w:eastAsia="仿宋"/>
          <w:b/>
          <w:bCs/>
          <w:color w:val="000000"/>
          <w:sz w:val="32"/>
          <w:szCs w:val="32"/>
        </w:rPr>
        <w:t>.卫生健康支出（类）行政事业单位医疗（款）行政单位医疗（项）</w:t>
      </w:r>
      <w:r>
        <w:rPr>
          <w:rFonts w:hint="eastAsia" w:ascii="仿宋" w:hAnsi="仿宋" w:eastAsia="仿宋"/>
          <w:b/>
          <w:bCs/>
          <w:color w:val="000000"/>
          <w:sz w:val="32"/>
          <w:szCs w:val="32"/>
          <w:lang w:eastAsia="zh-CN"/>
        </w:rPr>
        <w:t>：</w:t>
      </w:r>
      <w:r>
        <w:rPr>
          <w:rStyle w:val="17"/>
          <w:rFonts w:hint="eastAsia" w:ascii="仿宋" w:hAnsi="仿宋" w:eastAsia="仿宋" w:cs="Times New Roman"/>
          <w:b w:val="0"/>
          <w:bCs/>
          <w:color w:val="000000"/>
          <w:kern w:val="2"/>
          <w:sz w:val="32"/>
          <w:szCs w:val="32"/>
          <w:lang w:val="en-US" w:eastAsia="zh-CN" w:bidi="ar-SA"/>
        </w:rPr>
        <w:t>支出决算为18.77万元，完成预算100%；</w:t>
      </w:r>
      <w:bookmarkEnd w:id="81"/>
      <w:bookmarkEnd w:id="82"/>
    </w:p>
    <w:p>
      <w:pPr>
        <w:tabs>
          <w:tab w:val="right" w:pos="8306"/>
        </w:tabs>
        <w:spacing w:line="600" w:lineRule="exact"/>
        <w:ind w:firstLine="640"/>
        <w:outlineLvl w:val="9"/>
        <w:rPr>
          <w:rFonts w:ascii="仿宋" w:hAnsi="仿宋" w:eastAsia="仿宋"/>
          <w:b/>
          <w:bCs/>
          <w:color w:val="000000"/>
          <w:sz w:val="32"/>
          <w:szCs w:val="32"/>
        </w:rPr>
      </w:pPr>
      <w:r>
        <w:rPr>
          <w:rFonts w:hint="eastAsia" w:ascii="仿宋" w:hAnsi="仿宋" w:eastAsia="仿宋"/>
          <w:b/>
          <w:bCs/>
          <w:color w:val="000000"/>
          <w:sz w:val="32"/>
          <w:szCs w:val="32"/>
          <w:lang w:val="en-US" w:eastAsia="zh-CN"/>
        </w:rPr>
        <w:t>6</w:t>
      </w:r>
      <w:r>
        <w:rPr>
          <w:rFonts w:hint="eastAsia" w:ascii="仿宋" w:hAnsi="仿宋" w:eastAsia="仿宋"/>
          <w:b/>
          <w:bCs/>
          <w:color w:val="000000"/>
          <w:sz w:val="32"/>
          <w:szCs w:val="32"/>
        </w:rPr>
        <w:t>.</w:t>
      </w:r>
      <w:r>
        <w:rPr>
          <w:rFonts w:hint="eastAsia" w:ascii="仿宋" w:hAnsi="仿宋" w:eastAsia="仿宋"/>
          <w:b/>
          <w:bCs/>
          <w:color w:val="000000"/>
          <w:sz w:val="32"/>
          <w:szCs w:val="32"/>
          <w:lang w:eastAsia="zh-CN"/>
        </w:rPr>
        <w:t>农林水支出</w:t>
      </w:r>
      <w:r>
        <w:rPr>
          <w:rFonts w:hint="eastAsia" w:ascii="仿宋" w:hAnsi="仿宋" w:eastAsia="仿宋"/>
          <w:b/>
          <w:bCs/>
          <w:color w:val="000000"/>
          <w:sz w:val="32"/>
          <w:szCs w:val="32"/>
        </w:rPr>
        <w:t>（类）</w:t>
      </w:r>
      <w:r>
        <w:rPr>
          <w:rFonts w:hint="eastAsia" w:ascii="仿宋" w:hAnsi="仿宋" w:eastAsia="仿宋"/>
          <w:b/>
          <w:bCs/>
          <w:color w:val="000000"/>
          <w:sz w:val="32"/>
          <w:szCs w:val="32"/>
          <w:lang w:eastAsia="zh-CN"/>
        </w:rPr>
        <w:t>普惠金融发展支出</w:t>
      </w:r>
      <w:r>
        <w:rPr>
          <w:rFonts w:hint="eastAsia" w:ascii="仿宋" w:hAnsi="仿宋" w:eastAsia="仿宋"/>
          <w:b/>
          <w:bCs/>
          <w:color w:val="000000"/>
          <w:sz w:val="32"/>
          <w:szCs w:val="32"/>
        </w:rPr>
        <w:t>（款）</w:t>
      </w:r>
      <w:r>
        <w:rPr>
          <w:rFonts w:hint="eastAsia" w:ascii="仿宋" w:hAnsi="仿宋" w:eastAsia="仿宋"/>
          <w:b/>
          <w:bCs/>
          <w:color w:val="000000"/>
          <w:sz w:val="32"/>
          <w:szCs w:val="32"/>
          <w:lang w:eastAsia="zh-CN"/>
        </w:rPr>
        <w:t>创业担保贷款贴息</w:t>
      </w:r>
      <w:r>
        <w:rPr>
          <w:rFonts w:hint="eastAsia" w:ascii="仿宋" w:hAnsi="仿宋" w:eastAsia="仿宋"/>
          <w:b/>
          <w:bCs/>
          <w:color w:val="000000"/>
          <w:sz w:val="32"/>
          <w:szCs w:val="32"/>
        </w:rPr>
        <w:t>（项）：</w:t>
      </w:r>
      <w:r>
        <w:rPr>
          <w:rStyle w:val="17"/>
          <w:rFonts w:hint="eastAsia" w:ascii="仿宋" w:hAnsi="仿宋" w:eastAsia="仿宋" w:cs="Times New Roman"/>
          <w:b w:val="0"/>
          <w:bCs/>
          <w:color w:val="000000"/>
          <w:kern w:val="2"/>
          <w:sz w:val="32"/>
          <w:szCs w:val="32"/>
          <w:lang w:val="en-US" w:eastAsia="zh-CN" w:bidi="ar-SA"/>
        </w:rPr>
        <w:t>支出决算为15.46万元，完成预算100%。</w:t>
      </w:r>
    </w:p>
    <w:p>
      <w:pPr>
        <w:tabs>
          <w:tab w:val="right" w:pos="8306"/>
        </w:tabs>
        <w:spacing w:line="600" w:lineRule="exact"/>
        <w:ind w:firstLine="640"/>
        <w:outlineLvl w:val="9"/>
        <w:rPr>
          <w:rFonts w:ascii="仿宋" w:hAnsi="仿宋" w:eastAsia="仿宋"/>
          <w:b/>
          <w:bCs/>
          <w:color w:val="000000"/>
          <w:sz w:val="32"/>
          <w:szCs w:val="32"/>
        </w:rPr>
      </w:pPr>
      <w:bookmarkStart w:id="83" w:name="_Toc83543700"/>
      <w:bookmarkStart w:id="84" w:name="_Toc83544344"/>
      <w:r>
        <w:rPr>
          <w:rFonts w:hint="eastAsia" w:ascii="仿宋" w:hAnsi="仿宋" w:eastAsia="仿宋"/>
          <w:b/>
          <w:bCs/>
          <w:color w:val="000000"/>
          <w:sz w:val="32"/>
          <w:szCs w:val="32"/>
          <w:lang w:val="en-US" w:eastAsia="zh-CN"/>
        </w:rPr>
        <w:t>7</w:t>
      </w:r>
      <w:r>
        <w:rPr>
          <w:rFonts w:hint="eastAsia" w:ascii="仿宋" w:hAnsi="仿宋" w:eastAsia="仿宋"/>
          <w:b/>
          <w:bCs/>
          <w:color w:val="000000"/>
          <w:sz w:val="32"/>
          <w:szCs w:val="32"/>
        </w:rPr>
        <w:t>.住房保障支出（类）住房改革支出（款）住房公积金（项）：</w:t>
      </w:r>
      <w:r>
        <w:rPr>
          <w:rStyle w:val="17"/>
          <w:rFonts w:hint="eastAsia" w:ascii="仿宋" w:hAnsi="仿宋" w:eastAsia="仿宋" w:cs="Times New Roman"/>
          <w:b w:val="0"/>
          <w:bCs/>
          <w:color w:val="000000"/>
          <w:kern w:val="2"/>
          <w:sz w:val="32"/>
          <w:szCs w:val="32"/>
          <w:lang w:val="en-US" w:eastAsia="zh-CN" w:bidi="ar-SA"/>
        </w:rPr>
        <w:t>支出决算为61.27万元，完成预算100%。</w:t>
      </w:r>
      <w:bookmarkEnd w:id="83"/>
      <w:bookmarkEnd w:id="84"/>
    </w:p>
    <w:p>
      <w:pPr>
        <w:tabs>
          <w:tab w:val="right" w:pos="8306"/>
        </w:tabs>
        <w:spacing w:line="600" w:lineRule="exact"/>
        <w:ind w:firstLine="640"/>
        <w:outlineLvl w:val="1"/>
        <w:rPr>
          <w:rStyle w:val="20"/>
          <w:color w:val="auto"/>
          <w:highlight w:val="none"/>
        </w:rPr>
      </w:pPr>
      <w:bookmarkStart w:id="85" w:name="_Toc22904"/>
      <w:bookmarkStart w:id="86" w:name="_Toc15377214"/>
      <w:bookmarkStart w:id="87" w:name="_Toc8274"/>
      <w:bookmarkStart w:id="88" w:name="_Toc32594"/>
      <w:bookmarkStart w:id="89"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0"/>
          <w:rFonts w:hint="eastAsia" w:ascii="黑体" w:hAnsi="黑体" w:eastAsia="黑体"/>
          <w:b w:val="0"/>
          <w:color w:val="auto"/>
          <w:highlight w:val="none"/>
        </w:rPr>
        <w:t>般公共预算财政拨款基本支出决算情况说明</w:t>
      </w:r>
      <w:bookmarkEnd w:id="85"/>
      <w:bookmarkEnd w:id="86"/>
      <w:bookmarkEnd w:id="87"/>
      <w:bookmarkEnd w:id="88"/>
      <w:bookmarkEnd w:id="89"/>
      <w:r>
        <w:rPr>
          <w:rStyle w:val="20"/>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672.68</w:t>
      </w:r>
      <w:r>
        <w:rPr>
          <w:rFonts w:hint="eastAsia" w:ascii="仿宋" w:hAnsi="仿宋" w:eastAsia="仿宋"/>
          <w:color w:val="auto"/>
          <w:sz w:val="32"/>
          <w:szCs w:val="32"/>
          <w:highlight w:val="none"/>
        </w:rPr>
        <w:t>万元，其中：</w:t>
      </w:r>
    </w:p>
    <w:p>
      <w:pPr>
        <w:pStyle w:val="6"/>
        <w:ind w:firstLine="6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581.69</w:t>
      </w:r>
      <w:r>
        <w:rPr>
          <w:rFonts w:hint="eastAsia" w:ascii="仿宋" w:hAnsi="仿宋" w:eastAsia="仿宋"/>
          <w:color w:val="auto"/>
          <w:sz w:val="32"/>
          <w:szCs w:val="32"/>
          <w:highlight w:val="none"/>
        </w:rPr>
        <w:t>万元，主要包括：基本工资、津贴补贴、奖金、</w:t>
      </w:r>
      <w:r>
        <w:rPr>
          <w:rFonts w:hint="eastAsia" w:ascii="仿宋" w:hAnsi="仿宋" w:eastAsia="仿宋"/>
          <w:color w:val="auto"/>
          <w:sz w:val="32"/>
          <w:szCs w:val="32"/>
          <w:highlight w:val="none"/>
          <w:lang w:eastAsia="zh-CN"/>
        </w:rPr>
        <w:t>绩效工资、</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rPr>
        <w:t>其他社会保障缴费、</w:t>
      </w:r>
      <w:r>
        <w:rPr>
          <w:rFonts w:hint="eastAsia" w:ascii="仿宋" w:hAnsi="仿宋" w:eastAsia="仿宋"/>
          <w:color w:val="auto"/>
          <w:sz w:val="32"/>
          <w:szCs w:val="32"/>
          <w:highlight w:val="none"/>
          <w:lang w:eastAsia="zh-CN"/>
        </w:rPr>
        <w:t>住房公积金、</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eastAsia="zh-CN"/>
        </w:rPr>
        <w:t>、抚恤金、生活补助、奖励金、其他个人和家庭的补助支出。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90.99</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eastAsia="zh-CN"/>
        </w:rPr>
        <w:t>咨询费、</w:t>
      </w:r>
      <w:r>
        <w:rPr>
          <w:rFonts w:hint="eastAsia" w:ascii="仿宋" w:hAnsi="仿宋" w:eastAsia="仿宋"/>
          <w:color w:val="auto"/>
          <w:sz w:val="32"/>
          <w:szCs w:val="32"/>
          <w:highlight w:val="none"/>
        </w:rPr>
        <w:t>水费、邮电费、物业管理费、差旅费、维修（护）费、劳务费、工会经费、福利费、其他交通费</w:t>
      </w:r>
      <w:r>
        <w:rPr>
          <w:rFonts w:hint="eastAsia" w:ascii="仿宋" w:hAnsi="仿宋" w:eastAsia="仿宋"/>
          <w:color w:val="auto"/>
          <w:sz w:val="32"/>
          <w:szCs w:val="32"/>
          <w:highlight w:val="none"/>
          <w:lang w:val="en-US" w:eastAsia="zh-CN"/>
        </w:rPr>
        <w:t>用</w:t>
      </w:r>
      <w:r>
        <w:rPr>
          <w:rFonts w:hint="eastAsia" w:ascii="仿宋" w:hAnsi="仿宋" w:eastAsia="仿宋"/>
          <w:color w:val="auto"/>
          <w:sz w:val="32"/>
          <w:szCs w:val="32"/>
          <w:highlight w:val="none"/>
          <w:lang w:eastAsia="zh-CN"/>
        </w:rPr>
        <w:t>、其他商品和服务支出</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0"/>
          <w:rFonts w:ascii="黑体" w:hAnsi="黑体" w:eastAsia="黑体"/>
          <w:b w:val="0"/>
          <w:color w:val="auto"/>
          <w:highlight w:val="none"/>
        </w:rPr>
      </w:pPr>
      <w:bookmarkStart w:id="90" w:name="_Toc15396609"/>
      <w:bookmarkStart w:id="91" w:name="_Toc25116"/>
      <w:bookmarkStart w:id="92" w:name="_Toc8206"/>
      <w:bookmarkStart w:id="93" w:name="_Toc15377215"/>
      <w:bookmarkStart w:id="94" w:name="_Toc15019"/>
      <w:r>
        <w:rPr>
          <w:rFonts w:hint="eastAsia" w:ascii="黑体" w:eastAsia="黑体"/>
          <w:color w:val="auto"/>
          <w:sz w:val="32"/>
          <w:szCs w:val="32"/>
          <w:highlight w:val="none"/>
        </w:rPr>
        <w:t>七、</w:t>
      </w:r>
      <w:r>
        <w:rPr>
          <w:rStyle w:val="20"/>
          <w:rFonts w:hint="eastAsia" w:ascii="黑体" w:hAnsi="黑体" w:eastAsia="黑体"/>
          <w:color w:val="auto"/>
          <w:highlight w:val="none"/>
        </w:rPr>
        <w:t>“</w:t>
      </w:r>
      <w:r>
        <w:rPr>
          <w:rStyle w:val="20"/>
          <w:rFonts w:hint="eastAsia" w:ascii="黑体" w:hAnsi="黑体" w:eastAsia="黑体"/>
          <w:b w:val="0"/>
          <w:color w:val="auto"/>
          <w:highlight w:val="none"/>
        </w:rPr>
        <w:t>三公”经费财政拨款支出决算情况说明</w:t>
      </w:r>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color w:val="auto"/>
          <w:sz w:val="32"/>
          <w:szCs w:val="32"/>
          <w:highlight w:val="none"/>
        </w:rPr>
      </w:pPr>
      <w:bookmarkStart w:id="95" w:name="_Toc15377216"/>
      <w:r>
        <w:rPr>
          <w:rFonts w:hint="eastAsia" w:ascii="仿宋" w:hAnsi="仿宋" w:eastAsia="仿宋"/>
          <w:b/>
          <w:color w:val="auto"/>
          <w:sz w:val="32"/>
          <w:szCs w:val="32"/>
          <w:highlight w:val="none"/>
        </w:rPr>
        <w:t>（一）“三公”经费财政拨款支出决算总体情况说明</w:t>
      </w:r>
      <w:bookmarkEnd w:id="95"/>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w:t>
      </w:r>
      <w:r>
        <w:rPr>
          <w:rFonts w:hint="default" w:ascii="仿宋" w:hAnsi="仿宋" w:eastAsia="仿宋"/>
          <w:color w:val="auto"/>
          <w:sz w:val="32"/>
          <w:szCs w:val="32"/>
          <w:highlight w:val="none"/>
        </w:rPr>
        <w:t>年初未安排预算。较上年减少100%，</w:t>
      </w:r>
      <w:r>
        <w:rPr>
          <w:rFonts w:hint="eastAsia" w:ascii="仿宋" w:hAnsi="仿宋" w:eastAsia="仿宋"/>
          <w:color w:val="auto"/>
          <w:sz w:val="32"/>
          <w:szCs w:val="32"/>
          <w:highlight w:val="none"/>
        </w:rPr>
        <w:t>主要原因是继续落实转变作风、厉行节约有关要求，</w:t>
      </w:r>
      <w:r>
        <w:rPr>
          <w:rFonts w:hint="eastAsia" w:ascii="仿宋" w:hAnsi="仿宋" w:eastAsia="仿宋"/>
          <w:color w:val="auto"/>
          <w:sz w:val="32"/>
          <w:szCs w:val="32"/>
          <w:highlight w:val="none"/>
          <w:lang w:eastAsia="zh-CN"/>
        </w:rPr>
        <w:t>加之受疫情封控影响，公务接待量减少</w:t>
      </w:r>
      <w:r>
        <w:rPr>
          <w:rFonts w:hint="eastAsia"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 w:hAnsi="仿宋" w:eastAsia="仿宋"/>
          <w:b/>
          <w:color w:val="auto"/>
          <w:sz w:val="32"/>
          <w:szCs w:val="32"/>
          <w:highlight w:val="none"/>
        </w:rPr>
      </w:pPr>
      <w:bookmarkStart w:id="96" w:name="_Toc15377217"/>
      <w:r>
        <w:rPr>
          <w:rFonts w:hint="eastAsia" w:ascii="仿宋" w:hAnsi="仿宋" w:eastAsia="仿宋"/>
          <w:b/>
          <w:color w:val="auto"/>
          <w:sz w:val="32"/>
          <w:szCs w:val="32"/>
          <w:highlight w:val="none"/>
        </w:rPr>
        <w:t>（二）“三公”经费财政拨款支出决算具体情况说明</w:t>
      </w:r>
      <w:bookmarkEnd w:id="96"/>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default" w:ascii="仿宋" w:hAnsi="仿宋" w:eastAsia="仿宋"/>
          <w:color w:val="auto"/>
          <w:sz w:val="32"/>
          <w:szCs w:val="32"/>
          <w:highlight w:val="none"/>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年初未安排预算，支出决算较2021年无变化。</w:t>
      </w:r>
    </w:p>
    <w:p>
      <w:pPr>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年初未安排预算，支出决算较2021年无变化。</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default" w:ascii="仿宋_GB2312" w:eastAsia="仿宋_GB2312"/>
          <w:color w:val="auto"/>
          <w:sz w:val="32"/>
          <w:szCs w:val="32"/>
          <w:highlight w:val="none"/>
        </w:rPr>
        <w:t>截至2022年12月底我单位1辆无公务用车，其中轿车1辆。</w:t>
      </w:r>
    </w:p>
    <w:p>
      <w:pPr>
        <w:keepNext w:val="0"/>
        <w:keepLines w:val="0"/>
        <w:pageBreakBefore w:val="0"/>
        <w:widowControl w:val="0"/>
        <w:kinsoku/>
        <w:wordWrap/>
        <w:overflowPunct/>
        <w:topLinePunct w:val="0"/>
        <w:bidi w:val="0"/>
        <w:snapToGrid/>
        <w:spacing w:line="576" w:lineRule="exact"/>
        <w:ind w:firstLine="64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2"/>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eastAsia="zh-CN"/>
        </w:rPr>
        <w:t>的</w:t>
      </w:r>
      <w:r>
        <w:rPr>
          <w:rStyle w:val="17"/>
          <w:rFonts w:hint="eastAsia" w:ascii="仿宋" w:hAnsi="仿宋" w:eastAsia="仿宋"/>
          <w:b w:val="0"/>
          <w:bCs/>
          <w:color w:val="auto"/>
          <w:sz w:val="32"/>
          <w:szCs w:val="32"/>
          <w:highlight w:val="none"/>
          <w:lang w:val="en-US" w:eastAsia="zh-CN"/>
        </w:rPr>
        <w:t>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0.84</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 w:hAnsi="仿宋" w:eastAsia="仿宋"/>
          <w:color w:val="auto"/>
          <w:sz w:val="32"/>
          <w:szCs w:val="32"/>
          <w:highlight w:val="none"/>
        </w:rPr>
        <w:t>继续落实转变作风、厉行节约有关要求，</w:t>
      </w:r>
      <w:r>
        <w:rPr>
          <w:rFonts w:hint="eastAsia" w:ascii="仿宋" w:hAnsi="仿宋" w:eastAsia="仿宋"/>
          <w:color w:val="auto"/>
          <w:sz w:val="32"/>
          <w:szCs w:val="32"/>
          <w:highlight w:val="none"/>
          <w:lang w:eastAsia="zh-CN"/>
        </w:rPr>
        <w:t>加之受疫情封控影响，公务接待量减少</w:t>
      </w:r>
      <w:r>
        <w:rPr>
          <w:rFonts w:hint="eastAsia" w:ascii="仿宋" w:hAnsi="仿宋" w:eastAsia="仿宋"/>
          <w:color w:val="auto"/>
          <w:sz w:val="32"/>
          <w:szCs w:val="32"/>
          <w:highlight w:val="none"/>
        </w:rPr>
        <w:t>。</w:t>
      </w:r>
      <w:r>
        <w:rPr>
          <w:rFonts w:hint="eastAsia" w:ascii="仿宋_GB2312" w:eastAsia="仿宋_GB2312"/>
          <w:color w:val="auto"/>
          <w:sz w:val="32"/>
          <w:szCs w:val="32"/>
          <w:highlight w:val="none"/>
        </w:rPr>
        <w:t>其中：</w:t>
      </w:r>
    </w:p>
    <w:p>
      <w:pPr>
        <w:keepNext w:val="0"/>
        <w:keepLines w:val="0"/>
        <w:pageBreakBefore w:val="0"/>
        <w:widowControl w:val="0"/>
        <w:kinsoku/>
        <w:wordWrap/>
        <w:overflowPunct/>
        <w:topLinePunct w:val="0"/>
        <w:bidi w:val="0"/>
        <w:snapToGrid/>
        <w:spacing w:line="576" w:lineRule="exact"/>
        <w:ind w:firstLine="640"/>
        <w:textAlignment w:val="auto"/>
        <w:rPr>
          <w:rFonts w:hint="default" w:ascii="仿宋_GB2312" w:eastAsia="仿宋_GB2312"/>
          <w:color w:val="auto"/>
          <w:sz w:val="32"/>
          <w:szCs w:val="32"/>
          <w:highlight w:val="none"/>
          <w:lang w:val="en-US"/>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bidi w:val="0"/>
        <w:snapToGrid/>
        <w:spacing w:line="576" w:lineRule="exact"/>
        <w:ind w:firstLine="642" w:firstLineChars="200"/>
        <w:textAlignment w:val="auto"/>
        <w:rPr>
          <w:rFonts w:hint="eastAsia" w:ascii="黑体" w:eastAsia="仿宋"/>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97" w:name="_Toc15377218"/>
      <w:bookmarkStart w:id="98" w:name="_Toc15396610"/>
      <w:r>
        <w:rPr>
          <w:rFonts w:hint="eastAsia" w:ascii="仿宋_GB2312" w:eastAsia="仿宋_GB2312"/>
          <w:color w:val="auto"/>
          <w:sz w:val="32"/>
          <w:szCs w:val="32"/>
          <w:highlight w:val="none"/>
          <w:lang w:eastAsia="zh-CN"/>
        </w:rPr>
        <w:t>，</w:t>
      </w:r>
      <w:r>
        <w:rPr>
          <w:rFonts w:hint="eastAsia" w:ascii="仿宋" w:hAnsi="仿宋" w:eastAsia="仿宋"/>
          <w:color w:val="000000"/>
          <w:sz w:val="32"/>
          <w:szCs w:val="32"/>
        </w:rPr>
        <w:t>全年未发生外事接待支出</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bidi w:val="0"/>
        <w:snapToGrid/>
        <w:spacing w:line="576" w:lineRule="exact"/>
        <w:ind w:firstLine="640"/>
        <w:textAlignment w:val="auto"/>
        <w:outlineLvl w:val="1"/>
        <w:rPr>
          <w:rStyle w:val="20"/>
          <w:rFonts w:ascii="黑体" w:hAnsi="黑体" w:eastAsia="黑体"/>
          <w:color w:val="auto"/>
          <w:highlight w:val="none"/>
        </w:rPr>
      </w:pPr>
      <w:bookmarkStart w:id="99" w:name="_Toc18278"/>
      <w:bookmarkStart w:id="100" w:name="_Toc13941"/>
      <w:bookmarkStart w:id="101" w:name="_Toc10200"/>
      <w:r>
        <w:rPr>
          <w:rFonts w:hint="eastAsia" w:ascii="黑体" w:eastAsia="黑体"/>
          <w:color w:val="auto"/>
          <w:sz w:val="32"/>
          <w:szCs w:val="32"/>
          <w:highlight w:val="none"/>
        </w:rPr>
        <w:t>八、</w:t>
      </w:r>
      <w:r>
        <w:rPr>
          <w:rStyle w:val="20"/>
          <w:rFonts w:hint="eastAsia" w:ascii="黑体" w:hAnsi="黑体" w:eastAsia="黑体"/>
          <w:b w:val="0"/>
          <w:color w:val="auto"/>
          <w:highlight w:val="none"/>
        </w:rPr>
        <w:t>政府性基金预算支出决算情况说明</w:t>
      </w:r>
      <w:bookmarkEnd w:id="97"/>
      <w:bookmarkEnd w:id="98"/>
      <w:bookmarkEnd w:id="99"/>
      <w:bookmarkEnd w:id="100"/>
      <w:bookmarkEnd w:id="101"/>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numPr>
          <w:ilvl w:val="0"/>
          <w:numId w:val="3"/>
        </w:numPr>
        <w:kinsoku/>
        <w:wordWrap/>
        <w:overflowPunct/>
        <w:topLinePunct w:val="0"/>
        <w:bidi w:val="0"/>
        <w:snapToGrid/>
        <w:spacing w:line="576" w:lineRule="exact"/>
        <w:ind w:firstLine="640"/>
        <w:textAlignment w:val="auto"/>
        <w:outlineLvl w:val="1"/>
        <w:rPr>
          <w:rStyle w:val="20"/>
          <w:rFonts w:ascii="黑体" w:hAnsi="黑体" w:eastAsia="黑体"/>
          <w:b w:val="0"/>
          <w:color w:val="auto"/>
          <w:highlight w:val="none"/>
        </w:rPr>
      </w:pPr>
      <w:bookmarkStart w:id="102" w:name="_Toc15377219"/>
      <w:bookmarkStart w:id="103" w:name="_Toc17936"/>
      <w:bookmarkStart w:id="104" w:name="_Toc12828"/>
      <w:bookmarkStart w:id="105" w:name="_Toc15396611"/>
      <w:bookmarkStart w:id="106" w:name="_Toc30488"/>
      <w:r>
        <w:rPr>
          <w:rStyle w:val="20"/>
          <w:rFonts w:hint="eastAsia" w:ascii="黑体" w:hAnsi="黑体" w:eastAsia="黑体"/>
          <w:b w:val="0"/>
          <w:color w:val="auto"/>
          <w:highlight w:val="none"/>
        </w:rPr>
        <w:t>国有资本经营预算支出决算情况说明</w:t>
      </w:r>
      <w:bookmarkEnd w:id="102"/>
      <w:bookmarkEnd w:id="103"/>
      <w:bookmarkEnd w:id="104"/>
      <w:bookmarkEnd w:id="105"/>
      <w:bookmarkEnd w:id="106"/>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val="0"/>
        <w:keepLines w:val="0"/>
        <w:pageBreakBefore w:val="0"/>
        <w:widowControl w:val="0"/>
        <w:numPr>
          <w:ilvl w:val="0"/>
          <w:numId w:val="3"/>
        </w:numPr>
        <w:kinsoku/>
        <w:wordWrap/>
        <w:overflowPunct/>
        <w:topLinePunct w:val="0"/>
        <w:bidi w:val="0"/>
        <w:snapToGrid/>
        <w:spacing w:line="576" w:lineRule="exact"/>
        <w:ind w:firstLine="640"/>
        <w:textAlignment w:val="auto"/>
        <w:outlineLvl w:val="1"/>
        <w:rPr>
          <w:rStyle w:val="20"/>
          <w:rFonts w:hint="eastAsia" w:ascii="黑体" w:hAnsi="黑体" w:eastAsia="黑体"/>
          <w:b w:val="0"/>
          <w:color w:val="auto"/>
          <w:highlight w:val="none"/>
        </w:rPr>
      </w:pPr>
      <w:bookmarkStart w:id="107" w:name="_Toc30701"/>
      <w:bookmarkStart w:id="108" w:name="_Toc15377221"/>
      <w:bookmarkStart w:id="109" w:name="_Toc15396612"/>
      <w:bookmarkStart w:id="110" w:name="_Toc10667"/>
      <w:bookmarkStart w:id="111" w:name="_Toc17283"/>
      <w:r>
        <w:rPr>
          <w:rStyle w:val="20"/>
          <w:rFonts w:hint="eastAsia" w:ascii="黑体" w:hAnsi="黑体" w:eastAsia="黑体"/>
          <w:b w:val="0"/>
          <w:color w:val="auto"/>
          <w:highlight w:val="none"/>
        </w:rPr>
        <w:t>其他重要事项的情况说明</w:t>
      </w:r>
      <w:bookmarkEnd w:id="107"/>
      <w:bookmarkEnd w:id="108"/>
      <w:bookmarkEnd w:id="109"/>
      <w:bookmarkEnd w:id="110"/>
      <w:bookmarkEnd w:id="111"/>
    </w:p>
    <w:p>
      <w:pPr>
        <w:keepNext w:val="0"/>
        <w:keepLines w:val="0"/>
        <w:pageBreakBefore w:val="0"/>
        <w:widowControl w:val="0"/>
        <w:kinsoku/>
        <w:wordWrap/>
        <w:overflowPunct/>
        <w:topLinePunct w:val="0"/>
        <w:bidi w:val="0"/>
        <w:snapToGrid/>
        <w:spacing w:line="576" w:lineRule="exact"/>
        <w:ind w:firstLine="642" w:firstLineChars="200"/>
        <w:textAlignment w:val="auto"/>
        <w:outlineLvl w:val="2"/>
        <w:rPr>
          <w:rFonts w:ascii="仿宋" w:hAnsi="仿宋" w:eastAsia="仿宋"/>
          <w:color w:val="auto"/>
          <w:sz w:val="32"/>
          <w:szCs w:val="32"/>
          <w:highlight w:val="none"/>
        </w:rPr>
      </w:pPr>
      <w:bookmarkStart w:id="112" w:name="_Toc15377222"/>
      <w:r>
        <w:rPr>
          <w:rFonts w:hint="eastAsia" w:ascii="仿宋" w:hAnsi="仿宋" w:eastAsia="仿宋"/>
          <w:b/>
          <w:color w:val="auto"/>
          <w:sz w:val="32"/>
          <w:szCs w:val="32"/>
          <w:highlight w:val="none"/>
        </w:rPr>
        <w:t>（一）机关运行经费支出情况</w:t>
      </w:r>
      <w:bookmarkEnd w:id="112"/>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eastAsia="仿宋"/>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广元市就业创业促进中心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90.99</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18.51</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lang w:val="en-US" w:eastAsia="zh-CN"/>
        </w:rPr>
        <w:t>15.53</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 w:hAnsi="仿宋" w:eastAsia="仿宋"/>
          <w:color w:val="000000"/>
          <w:sz w:val="32"/>
          <w:szCs w:val="32"/>
        </w:rPr>
        <w:t>与往年相比财政预算有所</w:t>
      </w:r>
      <w:r>
        <w:rPr>
          <w:rFonts w:hint="eastAsia" w:ascii="仿宋" w:hAnsi="仿宋" w:eastAsia="仿宋"/>
          <w:color w:val="000000"/>
          <w:sz w:val="32"/>
          <w:szCs w:val="32"/>
          <w:lang w:eastAsia="zh-CN"/>
        </w:rPr>
        <w:t>增加、业务</w:t>
      </w:r>
      <w:r>
        <w:rPr>
          <w:rFonts w:hint="eastAsia" w:ascii="仿宋" w:hAnsi="仿宋" w:eastAsia="仿宋"/>
          <w:color w:val="000000"/>
          <w:sz w:val="32"/>
          <w:szCs w:val="32"/>
          <w:lang w:val="en-US" w:eastAsia="zh-CN"/>
        </w:rPr>
        <w:t>活动</w:t>
      </w:r>
      <w:r>
        <w:rPr>
          <w:rFonts w:hint="eastAsia" w:ascii="仿宋" w:hAnsi="仿宋" w:eastAsia="仿宋"/>
          <w:color w:val="000000"/>
          <w:sz w:val="32"/>
          <w:szCs w:val="32"/>
          <w:lang w:eastAsia="zh-CN"/>
        </w:rPr>
        <w:t>量也有所增加。</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2" w:firstLineChars="200"/>
        <w:jc w:val="left"/>
        <w:textAlignment w:val="auto"/>
        <w:outlineLvl w:val="2"/>
        <w:rPr>
          <w:rFonts w:ascii="仿宋" w:hAnsi="仿宋" w:eastAsia="仿宋"/>
          <w:b/>
          <w:color w:val="auto"/>
          <w:sz w:val="32"/>
          <w:szCs w:val="32"/>
          <w:highlight w:val="none"/>
        </w:rPr>
      </w:pPr>
      <w:bookmarkStart w:id="113" w:name="_Toc15377223"/>
      <w:r>
        <w:rPr>
          <w:rFonts w:hint="eastAsia" w:ascii="仿宋" w:hAnsi="仿宋" w:eastAsia="仿宋"/>
          <w:b/>
          <w:color w:val="auto"/>
          <w:sz w:val="32"/>
          <w:szCs w:val="32"/>
          <w:highlight w:val="none"/>
        </w:rPr>
        <w:t>（二）政府采购支出情况</w:t>
      </w:r>
      <w:bookmarkEnd w:id="113"/>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outlineLvl w:val="2"/>
        <w:rPr>
          <w:rFonts w:ascii="仿宋" w:hAnsi="仿宋" w:eastAsia="仿宋"/>
          <w:color w:val="000000"/>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bookmarkStart w:id="114" w:name="_Toc83544355"/>
      <w:bookmarkStart w:id="115" w:name="_Toc83543711"/>
      <w:r>
        <w:rPr>
          <w:rFonts w:hint="eastAsia" w:ascii="仿宋" w:hAnsi="仿宋" w:eastAsia="仿宋"/>
          <w:color w:val="000000"/>
          <w:sz w:val="32"/>
          <w:szCs w:val="32"/>
        </w:rPr>
        <w:t>广元市就业创业促进中心无政府采购支出。</w:t>
      </w:r>
      <w:bookmarkEnd w:id="114"/>
      <w:bookmarkEnd w:id="115"/>
    </w:p>
    <w:p>
      <w:pPr>
        <w:keepNext w:val="0"/>
        <w:keepLines w:val="0"/>
        <w:pageBreakBefore w:val="0"/>
        <w:widowControl w:val="0"/>
        <w:kinsoku/>
        <w:wordWrap/>
        <w:overflowPunct/>
        <w:topLinePunct w:val="0"/>
        <w:autoSpaceDE w:val="0"/>
        <w:autoSpaceDN w:val="0"/>
        <w:bidi w:val="0"/>
        <w:adjustRightInd w:val="0"/>
        <w:snapToGrid/>
        <w:spacing w:line="576" w:lineRule="exact"/>
        <w:ind w:firstLine="642" w:firstLineChars="200"/>
        <w:jc w:val="left"/>
        <w:textAlignment w:val="auto"/>
        <w:outlineLvl w:val="2"/>
        <w:rPr>
          <w:rFonts w:ascii="仿宋" w:hAnsi="仿宋" w:eastAsia="仿宋"/>
          <w:b/>
          <w:color w:val="auto"/>
          <w:sz w:val="32"/>
          <w:szCs w:val="32"/>
          <w:highlight w:val="none"/>
        </w:rPr>
      </w:pPr>
      <w:bookmarkStart w:id="116" w:name="_Toc15377224"/>
      <w:r>
        <w:rPr>
          <w:rFonts w:hint="eastAsia" w:ascii="仿宋" w:hAnsi="仿宋" w:eastAsia="仿宋"/>
          <w:b/>
          <w:color w:val="auto"/>
          <w:sz w:val="32"/>
          <w:szCs w:val="32"/>
          <w:highlight w:val="none"/>
        </w:rPr>
        <w:t>（三）国有资产占有使用情况</w:t>
      </w:r>
      <w:bookmarkEnd w:id="116"/>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截至</w:t>
      </w:r>
      <w:r>
        <w:rPr>
          <w:rFonts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w:t>
      </w:r>
      <w:r>
        <w:rPr>
          <w:rFonts w:ascii="仿宋" w:hAnsi="仿宋" w:eastAsia="仿宋"/>
          <w:color w:val="auto"/>
          <w:sz w:val="32"/>
          <w:szCs w:val="32"/>
        </w:rPr>
        <w:t>12</w:t>
      </w:r>
      <w:r>
        <w:rPr>
          <w:rFonts w:hint="eastAsia" w:ascii="仿宋" w:hAnsi="仿宋" w:eastAsia="仿宋"/>
          <w:color w:val="auto"/>
          <w:sz w:val="32"/>
          <w:szCs w:val="32"/>
        </w:rPr>
        <w:t>月</w:t>
      </w:r>
      <w:r>
        <w:rPr>
          <w:rFonts w:ascii="仿宋" w:hAnsi="仿宋" w:eastAsia="仿宋"/>
          <w:color w:val="auto"/>
          <w:sz w:val="32"/>
          <w:szCs w:val="32"/>
        </w:rPr>
        <w:t>31</w:t>
      </w:r>
      <w:r>
        <w:rPr>
          <w:rFonts w:hint="eastAsia" w:ascii="仿宋" w:hAnsi="仿宋" w:eastAsia="仿宋"/>
          <w:color w:val="auto"/>
          <w:sz w:val="32"/>
          <w:szCs w:val="32"/>
        </w:rPr>
        <w:t>日，广元市就业创业促进中心单位账面反映共有公务用车1辆，实际该车在报废待办程序中，已无公务用车。</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2" w:firstLineChars="200"/>
        <w:jc w:val="left"/>
        <w:textAlignment w:val="auto"/>
        <w:outlineLvl w:val="2"/>
        <w:rPr>
          <w:rFonts w:hint="eastAsia" w:ascii="仿宋" w:hAnsi="仿宋" w:eastAsia="仿宋"/>
          <w:b/>
          <w:color w:val="auto"/>
          <w:sz w:val="32"/>
          <w:szCs w:val="32"/>
          <w:highlight w:val="none"/>
        </w:rPr>
      </w:pP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四）预算绩效管理情况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2022年度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人员类支出、公用经费及</w:t>
      </w:r>
      <w:r>
        <w:rPr>
          <w:rFonts w:hint="eastAsia" w:ascii="仿宋_GB2312" w:hAnsi="仿宋_GB2312" w:eastAsia="仿宋_GB2312" w:cs="仿宋_GB2312"/>
          <w:color w:val="auto"/>
          <w:sz w:val="32"/>
          <w:szCs w:val="32"/>
          <w:highlight w:val="none"/>
        </w:rPr>
        <w:t>失业人员档案管理经费</w:t>
      </w:r>
      <w:r>
        <w:rPr>
          <w:rFonts w:hint="eastAsia" w:ascii="仿宋_GB2312" w:hAnsi="仿宋_GB2312" w:eastAsia="仿宋_GB2312" w:cs="仿宋_GB2312"/>
          <w:color w:val="auto"/>
          <w:sz w:val="32"/>
          <w:szCs w:val="32"/>
          <w:highlight w:val="none"/>
          <w:lang w:eastAsia="zh-CN"/>
        </w:rPr>
        <w:t>、职业培训监督指导工作经费、</w:t>
      </w:r>
      <w:r>
        <w:rPr>
          <w:rFonts w:hint="eastAsia" w:ascii="仿宋_GB2312" w:hAnsi="仿宋_GB2312" w:eastAsia="仿宋_GB2312" w:cs="仿宋_GB2312"/>
          <w:color w:val="auto"/>
          <w:sz w:val="32"/>
          <w:szCs w:val="32"/>
          <w:highlight w:val="none"/>
          <w:lang w:val="en-US" w:eastAsia="zh-CN"/>
        </w:rPr>
        <w:t>创新</w:t>
      </w:r>
      <w:r>
        <w:rPr>
          <w:rFonts w:hint="eastAsia" w:ascii="仿宋_GB2312" w:hAnsi="仿宋_GB2312" w:eastAsia="仿宋_GB2312" w:cs="仿宋_GB2312"/>
          <w:color w:val="auto"/>
          <w:sz w:val="32"/>
          <w:szCs w:val="32"/>
          <w:highlight w:val="none"/>
          <w:lang w:eastAsia="zh-CN"/>
        </w:rPr>
        <w:t>创业</w:t>
      </w:r>
      <w:r>
        <w:rPr>
          <w:rFonts w:hint="eastAsia" w:ascii="仿宋_GB2312" w:hAnsi="仿宋_GB2312" w:eastAsia="仿宋_GB2312" w:cs="仿宋_GB2312"/>
          <w:color w:val="auto"/>
          <w:sz w:val="32"/>
          <w:szCs w:val="32"/>
          <w:highlight w:val="none"/>
        </w:rPr>
        <w:t>工作经费</w:t>
      </w:r>
      <w:r>
        <w:rPr>
          <w:rFonts w:hint="eastAsia" w:ascii="仿宋_GB2312" w:hAnsi="仿宋_GB2312" w:eastAsia="仿宋_GB2312" w:cs="仿宋_GB2312"/>
          <w:color w:val="auto"/>
          <w:sz w:val="32"/>
          <w:szCs w:val="32"/>
          <w:highlight w:val="none"/>
          <w:lang w:eastAsia="zh-CN"/>
        </w:rPr>
        <w:t>、失业预警工作经费、失业动态监测费</w:t>
      </w:r>
      <w:r>
        <w:rPr>
          <w:rFonts w:hint="eastAsia" w:ascii="仿宋_GB2312" w:hAnsi="仿宋_GB2312" w:eastAsia="仿宋_GB2312" w:cs="仿宋_GB2312"/>
          <w:color w:val="auto"/>
          <w:sz w:val="32"/>
          <w:szCs w:val="32"/>
          <w:highlight w:val="none"/>
          <w:lang w:val="en-US" w:eastAsia="zh-CN"/>
        </w:rPr>
        <w:t>以及追加的促进就业创业专项工作经费、创业担保贷款贴息及奖补资金、就业创业补助资金</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8个项目</w:t>
      </w:r>
      <w:r>
        <w:rPr>
          <w:rFonts w:hint="eastAsia" w:ascii="仿宋_GB2312" w:hAnsi="仿宋_GB2312" w:eastAsia="仿宋_GB2312" w:cs="仿宋_GB2312"/>
          <w:color w:val="auto"/>
          <w:sz w:val="32"/>
          <w:szCs w:val="32"/>
          <w:highlight w:val="none"/>
        </w:rPr>
        <w:t>开展了预算事前绩效评估，编制了绩效目标，预算执行过程中，选取</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个项目开展绩效监控，</w:t>
      </w:r>
      <w:r>
        <w:rPr>
          <w:rFonts w:hint="eastAsia" w:ascii="仿宋_GB2312" w:hAnsi="仿宋_GB2312" w:eastAsia="仿宋_GB2312" w:cs="仿宋_GB2312"/>
          <w:color w:val="auto"/>
          <w:sz w:val="32"/>
          <w:szCs w:val="32"/>
          <w:highlight w:val="none"/>
          <w:lang w:val="en-US" w:eastAsia="zh-CN"/>
        </w:rPr>
        <w:t>组织</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绩效自评表见第四部分附件</w:t>
      </w:r>
      <w:r>
        <w:rPr>
          <w:rFonts w:hint="eastAsia" w:ascii="仿宋_GB2312" w:hAnsi="仿宋_GB2312" w:eastAsia="仿宋_GB2312" w:cs="仿宋_GB2312"/>
          <w:color w:val="auto"/>
          <w:sz w:val="32"/>
          <w:szCs w:val="32"/>
          <w:highlight w:val="none"/>
        </w:rPr>
        <w:t>。</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19"/>
          <w:rFonts w:ascii="黑体" w:hAnsi="黑体" w:eastAsia="黑体"/>
          <w:b w:val="0"/>
          <w:color w:val="auto"/>
          <w:highlight w:val="none"/>
        </w:rPr>
      </w:pPr>
      <w:bookmarkStart w:id="117" w:name="_Toc15396613"/>
      <w:bookmarkStart w:id="118" w:name="_Toc15377225"/>
      <w:r>
        <w:rPr>
          <w:rFonts w:hint="eastAsia" w:ascii="黑体" w:hAnsi="黑体" w:eastAsia="黑体"/>
          <w:color w:val="auto"/>
          <w:sz w:val="44"/>
          <w:szCs w:val="44"/>
          <w:highlight w:val="none"/>
          <w:lang w:val="en-US" w:eastAsia="zh-CN"/>
        </w:rPr>
        <w:t xml:space="preserve"> </w:t>
      </w:r>
      <w:bookmarkStart w:id="119" w:name="_Toc17270"/>
      <w:bookmarkStart w:id="120" w:name="_Toc27628"/>
      <w:bookmarkStart w:id="121" w:name="_Toc32614"/>
      <w:r>
        <w:rPr>
          <w:rFonts w:hint="eastAsia" w:ascii="黑体" w:hAnsi="黑体" w:eastAsia="黑体"/>
          <w:color w:val="auto"/>
          <w:sz w:val="44"/>
          <w:szCs w:val="44"/>
          <w:highlight w:val="none"/>
        </w:rPr>
        <w:t>名</w:t>
      </w:r>
      <w:r>
        <w:rPr>
          <w:rStyle w:val="19"/>
          <w:rFonts w:hint="eastAsia" w:ascii="黑体" w:hAnsi="黑体" w:eastAsia="黑体"/>
          <w:b w:val="0"/>
          <w:color w:val="auto"/>
          <w:highlight w:val="none"/>
        </w:rPr>
        <w:t>词解释</w:t>
      </w:r>
      <w:bookmarkEnd w:id="117"/>
      <w:bookmarkEnd w:id="118"/>
      <w:bookmarkEnd w:id="119"/>
      <w:bookmarkEnd w:id="120"/>
      <w:bookmarkEnd w:id="121"/>
    </w:p>
    <w:p>
      <w:pPr>
        <w:spacing w:line="600" w:lineRule="exact"/>
        <w:jc w:val="left"/>
        <w:rPr>
          <w:rFonts w:ascii="宋体"/>
          <w:b/>
          <w:color w:val="auto"/>
          <w:sz w:val="44"/>
          <w:szCs w:val="44"/>
          <w:highlight w:val="none"/>
        </w:rPr>
      </w:pPr>
    </w:p>
    <w:p>
      <w:pPr>
        <w:pStyle w:val="28"/>
        <w:spacing w:line="560" w:lineRule="exact"/>
        <w:ind w:firstLine="640" w:firstLineChars="200"/>
        <w:outlineLvl w:val="1"/>
        <w:rPr>
          <w:rFonts w:ascii="仿宋_GB2312" w:eastAsia="仿宋_GB2312"/>
          <w:color w:val="auto"/>
          <w:sz w:val="32"/>
          <w:szCs w:val="32"/>
          <w:highlight w:val="none"/>
        </w:rPr>
      </w:pPr>
      <w:bookmarkStart w:id="122" w:name="_Toc17385"/>
      <w:bookmarkStart w:id="123" w:name="_Toc9837"/>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122"/>
      <w:bookmarkEnd w:id="123"/>
    </w:p>
    <w:p>
      <w:pPr>
        <w:pStyle w:val="28"/>
        <w:spacing w:line="560" w:lineRule="exact"/>
        <w:ind w:firstLine="640" w:firstLineChars="200"/>
        <w:outlineLvl w:val="9"/>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8"/>
        <w:spacing w:line="560" w:lineRule="exact"/>
        <w:ind w:firstLine="640" w:firstLineChars="200"/>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、年末结转和结余：指单位按有关规定结转到下年或以后年度继续使用的资金。</w:t>
      </w:r>
    </w:p>
    <w:p>
      <w:pPr>
        <w:tabs>
          <w:tab w:val="right" w:pos="8306"/>
        </w:tabs>
        <w:spacing w:line="600" w:lineRule="exact"/>
        <w:ind w:firstLine="640"/>
        <w:outlineLvl w:val="9"/>
        <w:rPr>
          <w:rFonts w:hint="eastAsia" w:ascii="仿宋" w:hAnsi="仿宋" w:eastAsia="仿宋"/>
          <w:b/>
          <w:bCs/>
          <w:color w:val="000000"/>
          <w:sz w:val="32"/>
          <w:szCs w:val="32"/>
        </w:rPr>
      </w:pPr>
      <w:r>
        <w:rPr>
          <w:rFonts w:ascii="仿宋_GB2312" w:eastAsia="仿宋_GB2312"/>
          <w:sz w:val="32"/>
          <w:szCs w:val="32"/>
        </w:rPr>
        <w:t>4</w:t>
      </w:r>
      <w:r>
        <w:rPr>
          <w:rFonts w:hint="eastAsia" w:ascii="仿宋_GB2312" w:eastAsia="仿宋_GB2312"/>
          <w:sz w:val="32"/>
          <w:szCs w:val="32"/>
        </w:rPr>
        <w:t>.社会保障和就业支出（类）人力资源和社会保障管理事务（款）就业管理事务（项）：反映就业</w:t>
      </w:r>
      <w:r>
        <w:rPr>
          <w:rFonts w:ascii="仿宋_GB2312" w:eastAsia="仿宋_GB2312"/>
          <w:sz w:val="32"/>
          <w:szCs w:val="32"/>
        </w:rPr>
        <w:t>和职业技能鉴定管理方面的支出</w:t>
      </w:r>
      <w:r>
        <w:rPr>
          <w:rFonts w:hint="eastAsia" w:ascii="仿宋_GB2312" w:eastAsia="仿宋_GB2312"/>
          <w:sz w:val="32"/>
          <w:szCs w:val="32"/>
        </w:rPr>
        <w:t>。</w:t>
      </w:r>
    </w:p>
    <w:p>
      <w:pPr>
        <w:pStyle w:val="6"/>
        <w:outlineLvl w:val="9"/>
        <w:rPr>
          <w:rFonts w:hint="eastAsia" w:ascii="仿宋_GB2312" w:eastAsia="仿宋_GB2312"/>
          <w:sz w:val="32"/>
          <w:szCs w:val="32"/>
        </w:rPr>
      </w:pPr>
      <w:r>
        <w:rPr>
          <w:rFonts w:hint="eastAsia" w:ascii="仿宋" w:hAnsi="仿宋" w:eastAsia="仿宋"/>
          <w:b/>
          <w:bCs/>
          <w:color w:val="000000"/>
          <w:sz w:val="32"/>
          <w:szCs w:val="32"/>
          <w:lang w:val="en-US" w:eastAsia="zh-CN"/>
        </w:rPr>
        <w:t xml:space="preserve">    5.</w:t>
      </w:r>
      <w:r>
        <w:rPr>
          <w:rFonts w:hint="eastAsia" w:ascii="仿宋_GB2312" w:eastAsia="仿宋_GB2312"/>
          <w:sz w:val="32"/>
          <w:szCs w:val="32"/>
        </w:rPr>
        <w:t>社会保障和就业支出（类）行政事业单位养老支出（款）机关事业单位基本养老保险缴费支出（项）：反映机关事业单位实施养老保险制度有单位缴纳的基本养老保险费支出。</w:t>
      </w:r>
    </w:p>
    <w:p>
      <w:pPr>
        <w:tabs>
          <w:tab w:val="right" w:pos="8306"/>
        </w:tabs>
        <w:spacing w:line="600" w:lineRule="exact"/>
        <w:ind w:firstLine="64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社会保障和就业支出（类）</w:t>
      </w:r>
      <w:r>
        <w:rPr>
          <w:rFonts w:hint="eastAsia" w:ascii="仿宋_GB2312" w:eastAsia="仿宋_GB2312"/>
          <w:sz w:val="32"/>
          <w:szCs w:val="32"/>
          <w:lang w:val="en-US" w:eastAsia="zh-CN"/>
        </w:rPr>
        <w:t>就业补助（款）其他就业补助支出（项）：反映除上述项目以外按规定确定的其他用于促进就业的补助支出。</w:t>
      </w:r>
    </w:p>
    <w:p>
      <w:pPr>
        <w:pStyle w:val="28"/>
        <w:spacing w:line="560" w:lineRule="exact"/>
        <w:ind w:firstLine="640" w:firstLineChars="200"/>
        <w:outlineLvl w:val="9"/>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.社会保障和就业支出（类）抚恤（款）死亡抚恤（项）：反映按规定用于烈士和牺牲、病故人员家属的一次性和定期抚恤金以及丧葬补助费。</w:t>
      </w:r>
    </w:p>
    <w:p>
      <w:pPr>
        <w:pStyle w:val="28"/>
        <w:spacing w:line="560" w:lineRule="exact"/>
        <w:ind w:firstLine="640" w:firstLineChars="200"/>
        <w:outlineLvl w:val="9"/>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医疗卫生与计划生育支出（类）行政事业单位医疗（款）行政单位医疗（项）：反映财政部门集中安排的行政单位基本医疗保险缴费经费、未参加医疗保险的行政单位公费医疗经费，按国家规定享受离退休人员、红军老战士待遇人员的医疗经费。</w:t>
      </w:r>
    </w:p>
    <w:p>
      <w:pPr>
        <w:pStyle w:val="28"/>
        <w:spacing w:line="560" w:lineRule="exact"/>
        <w:ind w:firstLine="640" w:firstLineChars="200"/>
        <w:outlineLvl w:val="9"/>
        <w:rPr>
          <w:rFonts w:hint="eastAsia" w:ascii="仿宋_GB2312" w:eastAsia="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eastAsia="zh-CN"/>
        </w:rPr>
        <w:t>农林水支出</w:t>
      </w:r>
      <w:r>
        <w:rPr>
          <w:rFonts w:hint="eastAsia" w:ascii="仿宋_GB2312" w:eastAsia="仿宋_GB2312"/>
          <w:sz w:val="32"/>
          <w:szCs w:val="32"/>
        </w:rPr>
        <w:t>（类）</w:t>
      </w:r>
      <w:r>
        <w:rPr>
          <w:rFonts w:hint="eastAsia" w:ascii="仿宋_GB2312" w:eastAsia="仿宋_GB2312"/>
          <w:sz w:val="32"/>
          <w:szCs w:val="32"/>
          <w:lang w:eastAsia="zh-CN"/>
        </w:rPr>
        <w:t>普惠金融发展支出</w:t>
      </w:r>
      <w:r>
        <w:rPr>
          <w:rFonts w:hint="eastAsia" w:ascii="仿宋_GB2312" w:eastAsia="仿宋_GB2312"/>
          <w:sz w:val="32"/>
          <w:szCs w:val="32"/>
        </w:rPr>
        <w:t>（款）</w:t>
      </w:r>
      <w:r>
        <w:rPr>
          <w:rFonts w:hint="eastAsia" w:ascii="仿宋_GB2312" w:eastAsia="仿宋_GB2312"/>
          <w:sz w:val="32"/>
          <w:szCs w:val="32"/>
          <w:lang w:eastAsia="zh-CN"/>
        </w:rPr>
        <w:t>创业担保贷款贴息</w:t>
      </w:r>
      <w:r>
        <w:rPr>
          <w:rFonts w:hint="eastAsia" w:ascii="仿宋_GB2312" w:eastAsia="仿宋_GB2312"/>
          <w:sz w:val="32"/>
          <w:szCs w:val="32"/>
        </w:rPr>
        <w:t>（项）：</w:t>
      </w:r>
      <w:r>
        <w:rPr>
          <w:rFonts w:hint="eastAsia" w:ascii="仿宋_GB2312" w:eastAsia="仿宋_GB2312"/>
          <w:sz w:val="32"/>
          <w:szCs w:val="32"/>
          <w:lang w:eastAsia="zh-CN"/>
        </w:rPr>
        <w:t>反映财政用于符合条件的人员从事微利项目创业担保贷款的贴息支出。</w:t>
      </w:r>
    </w:p>
    <w:p>
      <w:pPr>
        <w:pStyle w:val="28"/>
        <w:spacing w:line="560" w:lineRule="exact"/>
        <w:ind w:firstLine="640" w:firstLineChars="200"/>
        <w:outlineLvl w:val="9"/>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.住房保障支出（类）住房改革支出（款）住房公积金（项）：反映行政事业单位按人力资源和社会保障部、财政部规定的基本工资和津贴补贴以及规定比例为职工缴纳的住房公积金。</w:t>
      </w:r>
    </w:p>
    <w:p>
      <w:pPr>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lang w:val="en-US" w:eastAsia="zh-CN"/>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28"/>
        <w:spacing w:line="560" w:lineRule="exact"/>
        <w:ind w:firstLine="640" w:firstLineChars="200"/>
        <w:outlineLvl w:val="9"/>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outlineLvl w:val="9"/>
        <w:rPr>
          <w:rFonts w:hint="eastAsia" w:ascii="仿宋_GB2312" w:eastAsia="仿宋_GB2312"/>
          <w:color w:val="auto"/>
          <w:sz w:val="32"/>
          <w:szCs w:val="32"/>
          <w:highlight w:val="none"/>
        </w:rPr>
      </w:pPr>
      <w:r>
        <w:rPr>
          <w:rFonts w:hint="eastAsia" w:ascii="仿宋_GB2312" w:eastAsia="仿宋_GB2312"/>
          <w:sz w:val="32"/>
          <w:szCs w:val="32"/>
        </w:rPr>
        <w:t>1</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640" w:firstLineChars="200"/>
        <w:outlineLvl w:val="9"/>
        <w:rPr>
          <w:rFonts w:ascii="仿宋_GB2312" w:eastAsia="仿宋_GB2312" w:cs="黑体"/>
          <w:color w:val="auto"/>
          <w:sz w:val="32"/>
          <w:szCs w:val="32"/>
          <w:highlight w:val="none"/>
        </w:rPr>
      </w:pPr>
    </w:p>
    <w:p>
      <w:pPr>
        <w:spacing w:line="600" w:lineRule="exact"/>
        <w:jc w:val="center"/>
        <w:outlineLvl w:val="9"/>
        <w:rPr>
          <w:rFonts w:hint="eastAsia" w:ascii="黑体" w:hAnsi="黑体" w:eastAsia="黑体"/>
          <w:color w:val="auto"/>
          <w:sz w:val="44"/>
          <w:szCs w:val="44"/>
          <w:highlight w:val="none"/>
        </w:rPr>
      </w:pPr>
      <w:bookmarkStart w:id="124" w:name="_Toc15396614"/>
      <w:bookmarkStart w:id="125" w:name="_Toc15377226"/>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numPr>
          <w:ilvl w:val="0"/>
          <w:numId w:val="4"/>
        </w:numPr>
        <w:spacing w:line="600" w:lineRule="exact"/>
        <w:ind w:left="0" w:leftChars="0" w:firstLine="660" w:firstLineChars="150"/>
        <w:jc w:val="center"/>
        <w:outlineLvl w:val="0"/>
        <w:rPr>
          <w:rFonts w:hint="eastAsia"/>
        </w:rPr>
      </w:pPr>
      <w:bookmarkStart w:id="126" w:name="_Toc29842"/>
      <w:bookmarkStart w:id="127" w:name="_Toc15726"/>
      <w:bookmarkStart w:id="128" w:name="_Toc1428"/>
      <w:r>
        <w:rPr>
          <w:rStyle w:val="19"/>
          <w:rFonts w:hint="eastAsia" w:ascii="黑体" w:hAnsi="黑体" w:eastAsia="黑体"/>
          <w:b w:val="0"/>
          <w:color w:val="auto"/>
          <w:highlight w:val="none"/>
        </w:rPr>
        <w:t>附件</w:t>
      </w:r>
      <w:bookmarkEnd w:id="124"/>
      <w:bookmarkEnd w:id="126"/>
      <w:bookmarkEnd w:id="127"/>
      <w:bookmarkEnd w:id="128"/>
    </w:p>
    <w:tbl>
      <w:tblPr>
        <w:tblStyle w:val="15"/>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944"/>
        <w:gridCol w:w="1280"/>
        <w:gridCol w:w="1373"/>
        <w:gridCol w:w="453"/>
        <w:gridCol w:w="632"/>
        <w:gridCol w:w="528"/>
        <w:gridCol w:w="1067"/>
        <w:gridCol w:w="627"/>
        <w:gridCol w:w="1000"/>
        <w:gridCol w:w="1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25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C0C0C0"/>
                <w:sz w:val="20"/>
                <w:szCs w:val="20"/>
                <w:highlight w:val="none"/>
                <w:u w:val="none"/>
              </w:rPr>
            </w:pPr>
          </w:p>
        </w:tc>
        <w:tc>
          <w:tcPr>
            <w:tcW w:w="453"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highlight w:val="none"/>
                <w:u w:val="none"/>
              </w:rPr>
            </w:pPr>
          </w:p>
        </w:tc>
        <w:tc>
          <w:tcPr>
            <w:tcW w:w="2227" w:type="dxa"/>
            <w:gridSpan w:val="3"/>
            <w:tcBorders>
              <w:top w:val="nil"/>
              <w:left w:val="nil"/>
              <w:bottom w:val="nil"/>
              <w:right w:val="nil"/>
            </w:tcBorders>
            <w:shd w:val="clear" w:color="auto" w:fill="auto"/>
            <w:vAlign w:val="center"/>
          </w:tcPr>
          <w:p>
            <w:pPr>
              <w:rPr>
                <w:rFonts w:hint="eastAsia" w:ascii="宋体" w:hAnsi="宋体" w:eastAsia="宋体" w:cs="宋体"/>
                <w:i w:val="0"/>
                <w:color w:val="000000"/>
                <w:sz w:val="20"/>
                <w:szCs w:val="20"/>
                <w:highlight w:val="none"/>
                <w:u w:val="none"/>
              </w:rPr>
            </w:pPr>
          </w:p>
        </w:tc>
        <w:tc>
          <w:tcPr>
            <w:tcW w:w="627"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highlight w:val="none"/>
                <w:u w:val="none"/>
              </w:rPr>
            </w:pPr>
          </w:p>
        </w:tc>
        <w:tc>
          <w:tcPr>
            <w:tcW w:w="100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highlight w:val="none"/>
                <w:u w:val="none"/>
              </w:rPr>
            </w:pPr>
          </w:p>
        </w:tc>
        <w:tc>
          <w:tcPr>
            <w:tcW w:w="1025"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工资福利</w:t>
            </w:r>
            <w:r>
              <w:rPr>
                <w:rFonts w:hint="eastAsia" w:ascii="宋体" w:hAnsi="宋体" w:eastAsia="宋体" w:cs="宋体"/>
                <w:i w:val="0"/>
                <w:color w:val="000000"/>
                <w:kern w:val="0"/>
                <w:sz w:val="18"/>
                <w:szCs w:val="18"/>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83"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严格执行相关政策，保障工资及时发放、足额发放，预算编制科学合理，减少结余资金</w:t>
            </w:r>
            <w:r>
              <w:rPr>
                <w:rFonts w:hint="eastAsia" w:ascii="宋体" w:hAnsi="宋体" w:cs="宋体"/>
                <w:i w:val="0"/>
                <w:color w:val="000000"/>
                <w:kern w:val="0"/>
                <w:sz w:val="18"/>
                <w:szCs w:val="18"/>
                <w:highlight w:val="none"/>
                <w:u w:val="none"/>
                <w:lang w:val="en-US" w:eastAsia="zh-CN" w:bidi="ar"/>
              </w:rPr>
              <w:t>。</w:t>
            </w:r>
          </w:p>
        </w:tc>
        <w:tc>
          <w:tcPr>
            <w:tcW w:w="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严格执行相关政策，保障工资及时发放、足额发放，预算编制科学合理，减少结余资金</w:t>
            </w:r>
            <w:r>
              <w:rPr>
                <w:rFonts w:hint="eastAsia" w:ascii="宋体" w:hAnsi="宋体" w:cs="宋体"/>
                <w:i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严格执行</w:t>
            </w:r>
            <w:r>
              <w:rPr>
                <w:rFonts w:hint="eastAsia" w:ascii="宋体" w:hAnsi="宋体" w:cs="宋体"/>
                <w:i w:val="0"/>
                <w:color w:val="000000"/>
                <w:kern w:val="0"/>
                <w:sz w:val="18"/>
                <w:szCs w:val="18"/>
                <w:highlight w:val="none"/>
                <w:u w:val="none"/>
                <w:lang w:val="en-US" w:eastAsia="zh-CN" w:bidi="ar"/>
              </w:rPr>
              <w:t>预算</w:t>
            </w:r>
            <w:r>
              <w:rPr>
                <w:rFonts w:hint="eastAsia" w:ascii="宋体" w:hAnsi="宋体" w:eastAsia="宋体" w:cs="宋体"/>
                <w:i w:val="0"/>
                <w:color w:val="000000"/>
                <w:kern w:val="0"/>
                <w:sz w:val="18"/>
                <w:szCs w:val="18"/>
                <w:highlight w:val="none"/>
                <w:u w:val="none"/>
                <w:lang w:val="en-US" w:eastAsia="zh-CN" w:bidi="ar"/>
              </w:rPr>
              <w:t>，保障工资及时发放、足额发放</w:t>
            </w:r>
            <w:r>
              <w:rPr>
                <w:rFonts w:hint="eastAsia" w:ascii="宋体" w:hAnsi="宋体" w:cs="宋体"/>
                <w:i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400.79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559.12</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559.12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highlight w:val="none"/>
                <w:u w:val="none"/>
                <w:lang w:val="en-US" w:eastAsia="zh-CN"/>
              </w:rPr>
              <w:t>10</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400.79</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559.12</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559.12</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65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28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37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61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67"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62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数量指标</w:t>
            </w:r>
          </w:p>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科目调整次数</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次</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color w:val="000000"/>
                <w:sz w:val="16"/>
                <w:szCs w:val="16"/>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22.5</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22.5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足额保障率</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22.5</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22.5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时效指标</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按时发放率</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22.5</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22.5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经济</w:t>
            </w:r>
            <w:r>
              <w:rPr>
                <w:rFonts w:ascii="宋体" w:hAnsi="宋体" w:eastAsia="宋体" w:cs="宋体"/>
                <w:i w:val="0"/>
                <w:iCs w:val="0"/>
                <w:color w:val="000000"/>
                <w:kern w:val="0"/>
                <w:sz w:val="18"/>
                <w:szCs w:val="18"/>
                <w:u w:val="none"/>
                <w:lang w:val="en-US" w:eastAsia="zh-CN" w:bidi="ar"/>
              </w:rPr>
              <w:t>效益指标</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w:t>
            </w:r>
          </w:p>
        </w:tc>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22.5</w:t>
            </w:r>
          </w:p>
        </w:tc>
        <w:tc>
          <w:tcPr>
            <w:tcW w:w="1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22.5</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933" w:type="dxa"/>
            <w:gridSpan w:val="8"/>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0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02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严格执行预算，保障工资及时发放、足额发放。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测算准确率有待提高。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加强绩效自评工作力度，细化项目测算，完善绩效指标，积极运用评价结果，提高资金使用效率。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944"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28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373"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453"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63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2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67"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627"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0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6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6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4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98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严格执行预算，</w:t>
            </w:r>
            <w:r>
              <w:rPr>
                <w:rFonts w:hint="eastAsia" w:ascii="宋体" w:hAnsi="宋体" w:eastAsia="宋体" w:cs="宋体"/>
                <w:i w:val="0"/>
                <w:iCs w:val="0"/>
                <w:color w:val="000000"/>
                <w:kern w:val="0"/>
                <w:sz w:val="18"/>
                <w:szCs w:val="18"/>
                <w:u w:val="none"/>
                <w:lang w:val="en-US" w:eastAsia="zh-CN" w:bidi="ar"/>
              </w:rPr>
              <w:t>保障单位日常运转，提高预算编制质量</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70.93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69.95</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69.95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70.93</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69.95</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69.95</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6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数量指标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科目调整次数</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次</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color w:val="000000"/>
                <w:sz w:val="16"/>
                <w:szCs w:val="16"/>
                <w:highlight w:val="none"/>
                <w:u w:val="none"/>
                <w:lang w:val="en-US" w:eastAsia="zh-CN"/>
              </w:rPr>
            </w:pPr>
            <w:r>
              <w:rPr>
                <w:rFonts w:hint="eastAsia" w:ascii="宋体" w:hAnsi="宋体" w:cs="宋体"/>
                <w:i w:val="0"/>
                <w:iCs/>
                <w:color w:val="000000"/>
                <w:sz w:val="16"/>
                <w:szCs w:val="16"/>
                <w:highlight w:val="none"/>
                <w:u w:val="none"/>
                <w:lang w:val="en-US" w:eastAsia="zh-CN"/>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22.5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22.5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质量</w:t>
            </w:r>
            <w:r>
              <w:rPr>
                <w:rFonts w:ascii="宋体" w:hAnsi="宋体" w:eastAsia="宋体" w:cs="宋体"/>
                <w:i w:val="0"/>
                <w:iCs w:val="0"/>
                <w:color w:val="000000"/>
                <w:kern w:val="0"/>
                <w:sz w:val="18"/>
                <w:szCs w:val="18"/>
                <w:u w:val="none"/>
                <w:lang w:val="en-US" w:eastAsia="zh-CN" w:bidi="ar"/>
              </w:rPr>
              <w:t>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5</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color w:val="000000"/>
                <w:kern w:val="0"/>
                <w:sz w:val="16"/>
                <w:szCs w:val="16"/>
                <w:highlight w:val="none"/>
                <w:u w:val="none"/>
                <w:lang w:val="en-US" w:eastAsia="zh-CN" w:bidi="ar"/>
              </w:rPr>
            </w:pPr>
            <w:r>
              <w:rPr>
                <w:rFonts w:hint="eastAsia" w:ascii="宋体" w:hAnsi="宋体" w:cs="宋体"/>
                <w:i w:val="0"/>
                <w:iCs/>
                <w:color w:val="000000"/>
                <w:kern w:val="0"/>
                <w:sz w:val="16"/>
                <w:szCs w:val="16"/>
                <w:highlight w:val="none"/>
                <w:u w:val="none"/>
                <w:lang w:val="en-US" w:eastAsia="zh-CN" w:bidi="ar"/>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22.5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cs="宋体"/>
                <w:i w:val="0"/>
                <w:iCs w:val="0"/>
                <w:color w:val="000000"/>
                <w:kern w:val="0"/>
                <w:sz w:val="18"/>
                <w:szCs w:val="18"/>
                <w:u w:val="none"/>
                <w:lang w:val="en-US" w:eastAsia="zh-CN" w:bidi="ar"/>
              </w:rPr>
              <w:t>22.5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2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经济</w:t>
            </w:r>
            <w:r>
              <w:rPr>
                <w:rFonts w:ascii="宋体" w:hAnsi="宋体" w:eastAsia="宋体" w:cs="宋体"/>
                <w:i w:val="0"/>
                <w:iCs w:val="0"/>
                <w:color w:val="000000"/>
                <w:kern w:val="0"/>
                <w:sz w:val="18"/>
                <w:szCs w:val="18"/>
                <w:u w:val="none"/>
                <w:lang w:val="en-US" w:eastAsia="zh-CN" w:bidi="ar"/>
              </w:rPr>
              <w:t>效益指标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运转保障率</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color w:val="000000"/>
                <w:sz w:val="16"/>
                <w:szCs w:val="16"/>
                <w:highlight w:val="none"/>
                <w:u w:val="none"/>
                <w:lang w:val="en-US" w:eastAsia="zh-CN"/>
              </w:rPr>
            </w:pPr>
            <w:r>
              <w:rPr>
                <w:rFonts w:hint="eastAsia" w:ascii="宋体" w:hAnsi="宋体" w:cs="宋体"/>
                <w:i w:val="0"/>
                <w:iCs/>
                <w:color w:val="000000"/>
                <w:sz w:val="16"/>
                <w:szCs w:val="16"/>
                <w:highlight w:val="none"/>
                <w:u w:val="none"/>
                <w:lang w:val="en-US" w:eastAsia="zh-CN"/>
              </w:rPr>
              <w:t>100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22.5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22.5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4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12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color w:val="000000"/>
                <w:sz w:val="16"/>
                <w:szCs w:val="16"/>
                <w:highlight w:val="none"/>
                <w:u w:val="none"/>
                <w:lang w:val="en-US" w:eastAsia="zh-CN"/>
              </w:rPr>
            </w:pPr>
            <w:r>
              <w:rPr>
                <w:rFonts w:hint="eastAsia" w:ascii="宋体" w:hAnsi="宋体" w:cs="宋体"/>
                <w:i w:val="0"/>
                <w:iCs/>
                <w:color w:val="000000"/>
                <w:sz w:val="16"/>
                <w:szCs w:val="16"/>
                <w:highlight w:val="none"/>
                <w:u w:val="none"/>
                <w:lang w:val="en-US" w:eastAsia="zh-CN"/>
              </w:rPr>
              <w:t>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22.5</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22.5</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693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严格执行预算，保障单位日常运转，提高预算编制质量。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项目测算准确率有待提高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2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加强绩效自评工作力度，细化项目测算，完善绩效指标，积极运用评价结果，提高资金使用效率。</w:t>
            </w:r>
          </w:p>
        </w:tc>
      </w:tr>
    </w:tbl>
    <w:p>
      <w:pPr>
        <w:pStyle w:val="2"/>
        <w:rPr>
          <w:rFonts w:hint="eastAsia"/>
        </w:rPr>
      </w:pPr>
    </w:p>
    <w:tbl>
      <w:tblPr>
        <w:tblStyle w:val="15"/>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6"/>
        <w:gridCol w:w="1294"/>
        <w:gridCol w:w="1022"/>
        <w:gridCol w:w="1043"/>
        <w:gridCol w:w="521"/>
        <w:gridCol w:w="891"/>
        <w:gridCol w:w="561"/>
        <w:gridCol w:w="1026"/>
        <w:gridCol w:w="505"/>
        <w:gridCol w:w="486"/>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0"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6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失业预警工作经费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2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8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我市建立了失业预警制度，通过及时跟踪掌握企业岗位动态变化情况，对未来时间段的失业趋势进行预测，对有可能出现的失业风险提前预警，为政府及相关部门采取措施防范和化解失业风险提供依据，着力提高政府应对大规模失业决策的科学性、主动性和预见性，实现扩大就业、减少失业，确保全市经济持续、快速、健康发展，社会保持和谐稳定。</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通过覆盖全市的失业预警监测点，及时跟踪掌握企业岗位动态变化情况，对未来时间段的失业趋势进行预测，对有可能出现的失业风险提前预警，为政府及相关部门采取措施防范和化解失业风险提供依据，着力提高政府应对大规模失业决策的科学性、主动性和预见性，实现扩大就业、减少失业，确保全市经济持续、快速、健康发展，社会保持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6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由失业保险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6"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数量指标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监测点数量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8</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时效指标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2022</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kern w:val="0"/>
                <w:sz w:val="16"/>
                <w:szCs w:val="16"/>
                <w:highlight w:val="none"/>
                <w:u w:val="none"/>
                <w:lang w:val="en-US" w:eastAsia="zh-CN" w:bidi="ar"/>
              </w:rPr>
            </w:pPr>
            <w:r>
              <w:rPr>
                <w:rFonts w:ascii="宋体" w:hAnsi="宋体" w:eastAsia="宋体" w:cs="宋体"/>
                <w:i w:val="0"/>
                <w:iCs w:val="0"/>
                <w:color w:val="000000"/>
                <w:kern w:val="0"/>
                <w:sz w:val="18"/>
                <w:szCs w:val="18"/>
                <w:u w:val="none"/>
                <w:lang w:val="en-US" w:eastAsia="zh-CN" w:bidi="ar"/>
              </w:rPr>
              <w:t>2022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成本指标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监测成本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20000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社会效益指标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稳定就业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99</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99</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0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cs="宋体"/>
                <w:i w:val="0"/>
                <w:iCs w:val="0"/>
                <w:color w:val="000000"/>
                <w:kern w:val="0"/>
                <w:sz w:val="16"/>
                <w:szCs w:val="16"/>
                <w:u w:val="none"/>
                <w:lang w:val="en-US" w:eastAsia="zh-CN" w:bidi="ar"/>
              </w:rPr>
              <w:t>该</w:t>
            </w:r>
            <w:r>
              <w:rPr>
                <w:rFonts w:hint="eastAsia" w:ascii="宋体" w:hAnsi="宋体" w:eastAsia="宋体" w:cs="宋体"/>
                <w:i w:val="0"/>
                <w:iCs w:val="0"/>
                <w:color w:val="000000"/>
                <w:kern w:val="0"/>
                <w:sz w:val="16"/>
                <w:szCs w:val="16"/>
                <w:u w:val="none"/>
                <w:lang w:val="en-US" w:eastAsia="zh-CN" w:bidi="ar"/>
              </w:rPr>
              <w:t>单位项目指标全面完成</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严格落实失业预警监测分析报告制度，每月上报预测数据，定期分析预测企业失业情况，形成科学有效的分析报告，为各级政府和相关部门准确研判就业形势提供了可靠的数据支撑。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（1）项目测算标准有待细化，测算准确率有待提高。</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部分绩效指标编制不合理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绩效指标量化不合理。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加强绩效自评工作力度，细化项目测算，完善绩效指标，积极运用评价结果，提高资金使用效率。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7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43"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89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6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56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6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失业动态监测费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2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4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强化失业动态监测信息采集服务管理工作，提升监测水平，进一步推进失业动态监测工作开展，为政府和相关部门采取措施防范和化解失业保险提供数据支持。</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通过组织企业经办人员培训、落实信息采集补贴等方式进一步了强化信息采集服务管理工作，提升了监测水平，进一步推进了失业动态监测工作开展，为政府和相关部门采取措施防范和化解失业保险提供数据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6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由失业保险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数量指标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监测样本数量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家</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时效指标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2022</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kern w:val="0"/>
                <w:sz w:val="16"/>
                <w:szCs w:val="16"/>
                <w:highlight w:val="none"/>
                <w:u w:val="none"/>
                <w:lang w:val="en-US" w:eastAsia="zh-CN" w:bidi="ar"/>
              </w:rPr>
            </w:pPr>
            <w:r>
              <w:rPr>
                <w:rFonts w:ascii="宋体" w:hAnsi="宋体" w:eastAsia="宋体" w:cs="宋体"/>
                <w:i w:val="0"/>
                <w:iCs w:val="0"/>
                <w:color w:val="000000"/>
                <w:kern w:val="0"/>
                <w:sz w:val="18"/>
                <w:szCs w:val="18"/>
                <w:u w:val="none"/>
                <w:lang w:val="en-US" w:eastAsia="zh-CN" w:bidi="ar"/>
              </w:rPr>
              <w:t>2022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成本指标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监测成本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50000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50000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ascii="宋体" w:hAnsi="宋体" w:eastAsia="宋体" w:cs="宋体"/>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社会效益指标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稳定就业</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90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36"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90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0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cs="宋体"/>
                <w:i w:val="0"/>
                <w:iCs w:val="0"/>
                <w:color w:val="000000"/>
                <w:kern w:val="0"/>
                <w:sz w:val="16"/>
                <w:szCs w:val="16"/>
                <w:u w:val="none"/>
                <w:lang w:val="en-US" w:eastAsia="zh-CN" w:bidi="ar"/>
              </w:rPr>
              <w:t>该</w:t>
            </w:r>
            <w:r>
              <w:rPr>
                <w:rFonts w:hint="eastAsia" w:ascii="宋体" w:hAnsi="宋体" w:eastAsia="宋体" w:cs="宋体"/>
                <w:i w:val="0"/>
                <w:iCs w:val="0"/>
                <w:color w:val="000000"/>
                <w:kern w:val="0"/>
                <w:sz w:val="16"/>
                <w:szCs w:val="16"/>
                <w:u w:val="none"/>
                <w:lang w:val="en-US" w:eastAsia="zh-CN" w:bidi="ar"/>
              </w:rPr>
              <w:t>单位项目指标全面完成，每月对企业进行失业动态监测，形成科学有效的失业动态监测报告，为各级政府和相关部门准确研判就业形势提供了可靠的数据支撑。组织企业经办人员培训、落实信息采集补贴、拓展失业动态监测数据分析和运用，业务能力进一步提高，信息采集队伍的稳定性有了进一步保障，调动了信息采集员的工作积极性，项目社会效益明显，群体满意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（1）项目测算标准有待细化，测算准确率有待提高。</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部分绩效指标编制不合理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绩效指标量化不合理。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加强绩效自评工作力度，细化项目测算，完善绩效指标，积极运用评价结果，提高资金使用效率。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7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43"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89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6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56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6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创新创业工作经费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2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8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通过组织开展创业大赛、创业创新大讲堂、创业项目巡诊、融资对接、创业博览会等活动，切实提升创业能力，解决创业问题，拓宽销售市场，营造创业创新浓厚氛围。</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通过组织开展创业大赛、创业创新大讲堂、创业项目巡诊、融资对接、创业博览会等活动，切实提升创业能力，解决创业问题，拓宽销售市场，营造创业创新浓厚氛围。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6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由创业服务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24.02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21.52</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21.52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iCs w:val="0"/>
                <w:color w:val="000000"/>
                <w:kern w:val="0"/>
                <w:sz w:val="18"/>
                <w:szCs w:val="18"/>
                <w:u w:val="none"/>
                <w:lang w:val="en-US" w:eastAsia="zh-CN" w:bidi="ar"/>
              </w:rPr>
              <w:t>10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24.02</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21.52</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21.52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产出指标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数量指标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就业创业差旅费等相关费用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次</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时效指标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2022</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2022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成本指标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就业创业差旅费等相关费用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240200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215184.96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效益指标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社会效益指标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创新创业带动就业增长率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60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60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满意度指标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服务对象满意度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90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0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3"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该项目主要用于通过组织开展创业大赛、创业创新大讲堂、创业项目巡诊、融资对接、创业博览会等活动，切实提升创业能力，解决创业问题，拓宽销售市场，营造创业创新浓厚氛围，项目效果明显，服务对象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（1）项目测算标准有待细化，测算准确率有待提高。</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部分绩效指标编制不合理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绩效指标量化不合理。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项目实施进度有待加强</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部分支出项目按年或半年支出导致项目实施进度缓慢。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3"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加强绩效自评工作力度，细化项目测算，完善绩效指标，加快项目实施进度，积极运用评价结果，提高资金使用效率。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7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43"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89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6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48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56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6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失业人员档案管理经费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jc w:val="center"/>
        </w:trPr>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2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2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保障失业人员档案管理工作顺利开展，为公众提供更加优质的公共就业服务。</w:t>
            </w:r>
          </w:p>
        </w:tc>
        <w:tc>
          <w:tcPr>
            <w:tcW w:w="35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失业人员档案管理工作顺利开展，为公众提供了更加优质的公共就业服务。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6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由综合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1" w:hRule="atLeast"/>
          <w:jc w:val="center"/>
        </w:trPr>
        <w:tc>
          <w:tcPr>
            <w:tcW w:w="6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1.90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1.90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iCs w:val="0"/>
                <w:color w:val="000000"/>
                <w:kern w:val="0"/>
                <w:sz w:val="18"/>
                <w:szCs w:val="18"/>
                <w:u w:val="none"/>
                <w:lang w:val="en-US" w:eastAsia="zh-CN" w:bidi="ar"/>
              </w:rPr>
              <w:t>10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5.00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1.90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1.90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100</w:t>
            </w:r>
            <w:r>
              <w:rPr>
                <w:rFonts w:hint="eastAsia" w:ascii="宋体" w:hAnsi="宋体" w:eastAsia="宋体" w:cs="宋体"/>
                <w:i w:val="0"/>
                <w:color w:val="000000"/>
                <w:kern w:val="0"/>
                <w:sz w:val="18"/>
                <w:szCs w:val="18"/>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2"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color w:val="000000"/>
                <w:kern w:val="0"/>
                <w:sz w:val="18"/>
                <w:szCs w:val="18"/>
                <w:highlight w:val="none"/>
                <w:u w:val="none"/>
                <w:lang w:val="en-US" w:eastAsia="zh-CN" w:bidi="ar"/>
              </w:rPr>
              <w:t>100</w:t>
            </w:r>
            <w:r>
              <w:rPr>
                <w:rFonts w:hint="eastAsia" w:ascii="宋体" w:hAnsi="宋体" w:eastAsia="宋体" w:cs="宋体"/>
                <w:i w:val="0"/>
                <w:color w:val="000000"/>
                <w:kern w:val="0"/>
                <w:sz w:val="18"/>
                <w:szCs w:val="18"/>
                <w:highlight w:val="none"/>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4" w:hRule="atLeast"/>
          <w:jc w:val="center"/>
        </w:trPr>
        <w:tc>
          <w:tcPr>
            <w:tcW w:w="6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9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60" w:hRule="atLeast"/>
          <w:jc w:val="center"/>
        </w:trPr>
        <w:tc>
          <w:tcPr>
            <w:tcW w:w="67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产出指标</w:t>
            </w:r>
          </w:p>
        </w:tc>
        <w:tc>
          <w:tcPr>
            <w:tcW w:w="10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数量指标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失业人员档案管理相关工作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2000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失业人员档案邮政机要快递</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份</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1000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时效指标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2022</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期/年</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2022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成本指标</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失业人员档案管理相关工作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lang w:eastAsia="zh-CN"/>
              </w:rPr>
            </w:pPr>
            <w:r>
              <w:rPr>
                <w:rFonts w:hint="eastAsia" w:ascii="宋体" w:hAnsi="宋体" w:cs="宋体"/>
                <w:i w:val="0"/>
                <w:color w:val="000000"/>
                <w:sz w:val="18"/>
                <w:szCs w:val="18"/>
                <w:highlight w:val="none"/>
                <w:u w:val="none"/>
                <w:lang w:eastAsia="zh-CN"/>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49800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18000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7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9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失业人员档案邮政机要快递</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元</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1000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70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该项目主要用于失业人员档案管理工作，为公众提供了更加优质的公共就业服务。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（1）项目测算标准有待细化，测算准确率有待提高。</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部分绩效指标编制不合理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绩效指标量化不合理。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工作开展滞后，项目实施进度有待加强。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3" w:hRule="atLeast"/>
          <w:jc w:val="center"/>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加强绩效自评工作力度，细化项目测算，完善绩效指标，提前谋划部署工作，加快项目实施进度，积极运用评价结果，提高资金使用效率。</w:t>
            </w:r>
          </w:p>
        </w:tc>
      </w:tr>
    </w:tbl>
    <w:p>
      <w:pPr>
        <w:pStyle w:val="6"/>
        <w:rPr>
          <w:rFonts w:hint="eastAsia"/>
        </w:rPr>
      </w:pPr>
    </w:p>
    <w:tbl>
      <w:tblPr>
        <w:tblStyle w:val="15"/>
        <w:tblW w:w="95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220"/>
        <w:gridCol w:w="910"/>
        <w:gridCol w:w="1077"/>
        <w:gridCol w:w="521"/>
        <w:gridCol w:w="1022"/>
        <w:gridCol w:w="508"/>
        <w:gridCol w:w="1021"/>
        <w:gridCol w:w="505"/>
        <w:gridCol w:w="576"/>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职业培训监督指导工作经费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贯彻落实好职业培训补贴项目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针对农村转移就业劳动者、毕业年度高校毕业生、城乡未继续升学的初高中毕业生、非毕业年度在校大学生，以及符合条件的企业职工等群体开展免费或补贴性职业培训，须大力加强对全市培训开班、过程管理、结业考核等环节监督检查指导，确保培训过程真实、培训效果扎实。</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该项目用于贯彻落实好职业培训补贴项目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针对农村转移就业劳动者、毕业年度高校毕业生、城乡未继续升学的初高中毕业生、非毕业年度在校大学生，以及符合条件的企业职工等群体开展免费或补贴性职业培训，进一步加强了对全市培训开班、过程管理、结业考核等环节监督检查指导，确保培训过程真实、培训效果扎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由就业培训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4.00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0.14</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100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4.00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0.14</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100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培训监督管理指导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次</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10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培训监督管理指导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40000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1400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社会效益指标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培训过程真实、培训效果扎实。</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80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服务对象满意度指标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培训对象满意度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90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9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该项目主要用于用于贯彻落实好职业培训补贴项目</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针对农村转移就业劳动者、毕业年度高校毕业生、城乡未继续升学的初高中毕业生、非毕业年度在校大学生，以及符合条件的企业职工等群体开展免费或补贴性职业培训，进一步加强了对全市培训开班、过程管理、结业考核等环节监督检查指导，确保了培训过程真实、培训效果扎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（1）项目测算标准有待细化，测算准确率有待提高。</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部分绩效指标编制不合理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绩效指标量化不合理。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项目实施进度缓慢。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加强绩效自评工作力度，细化项目测算，完善绩效指标，提高项目实施进度，积极运用评价结果，提高资金使用效率。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6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91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77"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0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56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促进就业创业专项工作经费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充实工作力量，确保失业补助金、稳岗返还、留工培训等政策落实到位，强化失业动态监测信息采集服务工作，通过发放失业动态监测信息采集补贴及开展培训，提升监测水平，保证全市就业创业工作顺利推进。</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进一步充实了工作力量，确保失业补助金、稳岗返还、留工培训等政策落实到位，强化失业动态监测信息采集服务工作，通过发放失业动态监测信息采集补贴及开展培训，提升监测水平，保证全市就业创业工作顺利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由失业保险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12.14</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12.14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10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12.14</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12.14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9"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发放失业补助金人数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9600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等线" w:hAnsi="等线" w:eastAsia="等线" w:cs="等线"/>
                <w:i w:val="0"/>
                <w:iCs w:val="0"/>
                <w:color w:val="000000"/>
                <w:kern w:val="0"/>
                <w:sz w:val="18"/>
                <w:szCs w:val="18"/>
                <w:u w:val="none"/>
                <w:lang w:val="en-US" w:eastAsia="zh-CN" w:bidi="ar"/>
              </w:rPr>
              <w:t>9600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等线" w:hAnsi="等线" w:eastAsia="等线" w:cs="等线"/>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时效指标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政策完成时间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定性</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2022年底</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等线" w:hAnsi="等线" w:eastAsia="等线" w:cs="等线"/>
                <w:i w:val="0"/>
                <w:iCs w:val="0"/>
                <w:color w:val="000000"/>
                <w:kern w:val="0"/>
                <w:sz w:val="18"/>
                <w:szCs w:val="18"/>
                <w:u w:val="none"/>
                <w:lang w:val="en-US" w:eastAsia="zh-CN" w:bidi="ar"/>
              </w:rPr>
              <w:t>2022年底</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等线" w:hAnsi="等线" w:eastAsia="等线" w:cs="等线"/>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实现失业动态监测样本数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338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户</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kern w:val="0"/>
                <w:sz w:val="16"/>
                <w:szCs w:val="16"/>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338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发放稳岗返还、留工培训补贴对象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2000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家</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kern w:val="0"/>
                <w:sz w:val="16"/>
                <w:szCs w:val="16"/>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2000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成本指标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经济成本指标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临聘工作人员工资社保工作经费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12.14</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万元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kern w:val="0"/>
                <w:sz w:val="16"/>
                <w:szCs w:val="16"/>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12.14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10</w:t>
            </w:r>
          </w:p>
        </w:tc>
        <w:tc>
          <w:tcPr>
            <w:tcW w:w="15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经济成本指标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失业动态监测费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 xml:space="preserve">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295.86</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元/户</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kern w:val="0"/>
                <w:sz w:val="16"/>
                <w:szCs w:val="16"/>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 xml:space="preserve"> </w:t>
            </w:r>
            <w:r>
              <w:rPr>
                <w:rFonts w:hint="eastAsia" w:ascii="等线" w:hAnsi="等线" w:eastAsia="等线" w:cs="等线"/>
                <w:i w:val="0"/>
                <w:iCs w:val="0"/>
                <w:color w:val="000000"/>
                <w:kern w:val="0"/>
                <w:sz w:val="18"/>
                <w:szCs w:val="18"/>
                <w:u w:val="none"/>
                <w:lang w:val="en-US" w:eastAsia="zh-CN" w:bidi="ar"/>
              </w:rPr>
              <w:br w:type="textWrapping"/>
            </w:r>
            <w:r>
              <w:rPr>
                <w:rFonts w:hint="eastAsia" w:ascii="等线" w:hAnsi="等线" w:eastAsia="等线" w:cs="等线"/>
                <w:i w:val="0"/>
                <w:iCs w:val="0"/>
                <w:color w:val="000000"/>
                <w:kern w:val="0"/>
                <w:sz w:val="18"/>
                <w:szCs w:val="18"/>
                <w:u w:val="none"/>
                <w:lang w:val="en-US" w:eastAsia="zh-CN" w:bidi="ar"/>
              </w:rPr>
              <w:t>295.86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等线" w:hAnsi="等线" w:eastAsia="等线" w:cs="等线"/>
                <w:i w:val="0"/>
                <w:iCs w:val="0"/>
                <w:color w:val="000000"/>
                <w:kern w:val="0"/>
                <w:sz w:val="18"/>
                <w:szCs w:val="18"/>
                <w:u w:val="none"/>
                <w:lang w:val="en-US" w:eastAsia="zh-CN" w:bidi="ar"/>
              </w:rPr>
              <w:t>10</w:t>
            </w:r>
          </w:p>
        </w:tc>
        <w:tc>
          <w:tcPr>
            <w:tcW w:w="156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效益指标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社会效益指标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对工作的促进作用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定性</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稳定就业、减少失业</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等线" w:hAnsi="等线" w:eastAsia="等线" w:cs="等线"/>
                <w:i w:val="0"/>
                <w:iCs w:val="0"/>
                <w:color w:val="000000"/>
                <w:kern w:val="0"/>
                <w:sz w:val="18"/>
                <w:szCs w:val="18"/>
                <w:u w:val="none"/>
                <w:lang w:val="en-US" w:eastAsia="zh-CN" w:bidi="ar"/>
              </w:rPr>
              <w:t>稳定就业、减少失业</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满意度指标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服务对象满意度指标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服务对象满意度指标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99</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等线" w:hAnsi="等线" w:eastAsia="等线" w:cs="等线"/>
                <w:i w:val="0"/>
                <w:iCs w:val="0"/>
                <w:color w:val="000000"/>
                <w:kern w:val="0"/>
                <w:sz w:val="18"/>
                <w:szCs w:val="18"/>
                <w:u w:val="none"/>
                <w:lang w:val="en-US" w:eastAsia="zh-CN" w:bidi="ar"/>
              </w:rPr>
              <w:t>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等线" w:hAnsi="等线" w:eastAsia="等线" w:cs="等线"/>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9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该项目主要用于充实失业保险工作工作力量，强化失业动态监测信息采集服务工作，2022年失业补助金、稳岗返还、留工培训等政策覆盖面广，落实力度强，失业信息采集工作顺利开展，群众和企业满意度高。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（1）项目测算标准有待细化，测算准确率有待提高。</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部分绩效指标编制不合理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绩效指标量化不合理。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项目实施进度有待加强。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加强绩效自评工作力度，细化项目测算，完善绩效指标，加快项目实施进度，提高资金使用效率。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6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91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77"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0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56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2020</w:t>
            </w:r>
            <w:r>
              <w:rPr>
                <w:rFonts w:hint="eastAsia" w:ascii="宋体" w:hAnsi="宋体" w:cs="宋体"/>
                <w:i w:val="0"/>
                <w:color w:val="000000"/>
                <w:kern w:val="0"/>
                <w:sz w:val="18"/>
                <w:szCs w:val="18"/>
                <w:highlight w:val="none"/>
                <w:u w:val="none"/>
                <w:lang w:val="en-US" w:eastAsia="zh-CN" w:bidi="ar"/>
              </w:rPr>
              <w:t>、2021</w:t>
            </w:r>
            <w:r>
              <w:rPr>
                <w:rFonts w:hint="eastAsia" w:ascii="宋体" w:hAnsi="宋体" w:eastAsia="宋体" w:cs="宋体"/>
                <w:i w:val="0"/>
                <w:color w:val="000000"/>
                <w:kern w:val="0"/>
                <w:sz w:val="18"/>
                <w:szCs w:val="18"/>
                <w:highlight w:val="none"/>
                <w:u w:val="none"/>
                <w:lang w:val="en-US" w:eastAsia="zh-CN" w:bidi="ar"/>
              </w:rPr>
              <w:t>年创业担保贷款贴息及奖补资金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按照《财政厅、人力资源和社会保障厅、中国人民银行成都分行关于进一步加大创业担保贷款贴息力度权利支持重点全体创业就业的通知》，拨付2021年度、2022年度创业担保贷款市级财政贴息资金，促进就业创业。</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按照《财政厅、人力资源和社会保障厅、中国人民银行成都分行关于进一步加大创业担保贷款贴息力度权利支持重点全体创业就业的通知》，2021年度、2022年度创业担保贷款市级财政贴息资金及时拨付到位，起到了促进就业创业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3"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由创业服务科制定项目实施方案，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1.44</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1.44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ascii="宋体" w:hAnsi="宋体" w:eastAsia="宋体" w:cs="宋体"/>
                <w:i w:val="0"/>
                <w:iCs w:val="0"/>
                <w:color w:val="000000"/>
                <w:kern w:val="0"/>
                <w:sz w:val="18"/>
                <w:szCs w:val="18"/>
                <w:u w:val="none"/>
                <w:lang w:val="en-US" w:eastAsia="zh-CN" w:bidi="ar"/>
              </w:rPr>
              <w:t>10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1.44</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1.44</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6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质量指标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资金足额拨付率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质量指标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创业担保贷款回收率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效益指标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创业担保基金放大倍数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定性</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2倍</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2倍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申报创业担保贷款贴息小微企业满意度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80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80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9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该项目及时兑现2021年2022年度市级财政贴息资金，起到了促进就业创业的作用。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2"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部分绩效指标编制不合理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绩效指标量化不合理。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加强绩效自评工作力度，完善绩效指标，提高资金使用效率。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6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91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77"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2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2"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08"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021"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05"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576"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c>
          <w:tcPr>
            <w:tcW w:w="1560" w:type="dxa"/>
            <w:tcBorders>
              <w:top w:val="nil"/>
              <w:left w:val="nil"/>
              <w:bottom w:val="nil"/>
              <w:right w:val="nil"/>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highlight w:val="none"/>
                <w:u w:val="none"/>
              </w:rPr>
            </w:pPr>
            <w:r>
              <w:rPr>
                <w:rFonts w:hint="eastAsia" w:ascii="宋体" w:hAnsi="宋体" w:eastAsia="宋体" w:cs="宋体"/>
                <w:b/>
                <w:i w:val="0"/>
                <w:color w:val="000000"/>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0"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项目名称</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就业创业补助资金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主管部门</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广元市人力资源和社会保障局部门</w:t>
            </w:r>
          </w:p>
        </w:tc>
        <w:tc>
          <w:tcPr>
            <w:tcW w:w="10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广元市就业创业促进中心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项目基本情况</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1.项目年度目标完成情况</w:t>
            </w: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项目年度目标</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40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 xml:space="preserve">目标1：资金按规定用于职业培训补贴、职业技能鉴定补贴、社会保险补贴、公益性岗位补贴、创业补贴、就业见习补贴、求职创业补贴、就业创业服务补助、高技能人才培养补助等支出。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目标2：确保完成年度城镇新增就业目标任务。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目标3：确保年末城镇登记失业率保持在目标范围内。 </w:t>
            </w:r>
          </w:p>
        </w:tc>
        <w:tc>
          <w:tcPr>
            <w:tcW w:w="3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该项目</w:t>
            </w:r>
            <w:r>
              <w:rPr>
                <w:rFonts w:hint="eastAsia" w:ascii="宋体" w:hAnsi="宋体" w:eastAsia="宋体" w:cs="宋体"/>
                <w:i w:val="0"/>
                <w:iCs w:val="0"/>
                <w:color w:val="000000"/>
                <w:kern w:val="0"/>
                <w:sz w:val="18"/>
                <w:szCs w:val="18"/>
                <w:u w:val="none"/>
                <w:lang w:val="en-US" w:eastAsia="zh-CN" w:bidi="ar"/>
              </w:rPr>
              <w:t>主要用于向社会力量购买基本就业创业服务成果，包括招聘活动补助、农民工就业创业宣传、公共信息的手机与统计分析、职业技能培训推广应用四川省培训监管平台建设和创业服务活动支出，通过这些项目支出，圆满完成年度城镇增项就业目标任务，确保年末城镇登记失业率保持在目标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2.项目实施内容及过程概述</w:t>
            </w:r>
          </w:p>
        </w:tc>
        <w:tc>
          <w:tcPr>
            <w:tcW w:w="77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由失业保险与就业促进科、市就业创业促进中心、市人才交流中心、市农民工服务中心等共同制定制定项目实施方案，经市人力资源和社会保障局会议审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预算执行情况（10分）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年度预算数（万元）</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年初预算</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预算执行数</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总额</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117.51</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117.51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eastAsia="zh-CN"/>
              </w:rPr>
            </w:pPr>
            <w:r>
              <w:rPr>
                <w:rFonts w:hint="eastAsia" w:ascii="宋体" w:hAnsi="宋体" w:cs="宋体"/>
                <w:i w:val="0"/>
                <w:iCs w:val="0"/>
                <w:color w:val="000000"/>
                <w:kern w:val="0"/>
                <w:sz w:val="18"/>
                <w:szCs w:val="18"/>
                <w:u w:val="none"/>
                <w:lang w:val="en-US" w:eastAsia="zh-CN" w:bidi="ar"/>
              </w:rPr>
              <w:t>10</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其中：财政资金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117.51</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117.51</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ascii="宋体" w:hAnsi="宋体" w:eastAsia="宋体" w:cs="宋体"/>
                <w:i w:val="0"/>
                <w:iCs w:val="0"/>
                <w:color w:val="000000"/>
                <w:kern w:val="0"/>
                <w:sz w:val="18"/>
                <w:szCs w:val="18"/>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7"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单位资金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color w:val="000000"/>
                <w:kern w:val="0"/>
                <w:sz w:val="18"/>
                <w:szCs w:val="18"/>
                <w:highlight w:val="none"/>
                <w:u w:val="none"/>
                <w:lang w:val="en-US" w:eastAsia="zh-CN" w:bidi="ar"/>
              </w:rPr>
              <w:t>0.00</w:t>
            </w: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0"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其他资金</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20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2"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绩效指标（90分）</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一级指标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二级指标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指标性质</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指标值</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度量单位</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得分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劳动力数据核实智能外呼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257</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220-万次</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color w:val="000000"/>
                <w:sz w:val="16"/>
                <w:szCs w:val="16"/>
                <w:highlight w:val="none"/>
                <w:u w:val="none"/>
                <w:lang w:val="en-US"/>
              </w:rPr>
            </w:pPr>
            <w:r>
              <w:rPr>
                <w:rFonts w:hint="eastAsia" w:ascii="宋体" w:hAnsi="宋体" w:cs="宋体"/>
                <w:i w:val="0"/>
                <w:iCs w:val="0"/>
                <w:color w:val="000000"/>
                <w:kern w:val="0"/>
                <w:sz w:val="18"/>
                <w:szCs w:val="18"/>
                <w:u w:val="none"/>
                <w:lang w:val="en-US" w:eastAsia="zh-CN" w:bidi="ar"/>
              </w:rPr>
              <w:t>257</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质量指标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职业培训补贴发放准确率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开展招聘活动次数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46</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76-次</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46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开展创业活动服务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76-次</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开展农民工就业创业图片展</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76-次</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质量指标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创业服务活动参与人数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100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66-人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时效指标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资金在规定时间内支付到位率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98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劳动力数据核实人工电话回访成本（元/条）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51-元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劳动力数据核实智能外呼成本（元/条）</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0.03</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51-元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0.03</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监管视频云村粗空间租赁费、网络流量费、升级改造费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12.66</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57-万元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12.66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成本指标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创业服务活动成本</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30.58</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57-万元</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30.58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产出指标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数量指标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劳动力数据核实人工电话回访</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18"/>
                <w:szCs w:val="18"/>
                <w:highlight w:val="none"/>
                <w:u w:val="none"/>
                <w:lang w:val="en-US"/>
              </w:rPr>
            </w:pPr>
            <w:r>
              <w:rPr>
                <w:rFonts w:hint="eastAsia" w:ascii="宋体" w:hAnsi="宋体" w:cs="宋体"/>
                <w:i w:val="0"/>
                <w:iCs w:val="0"/>
                <w:color w:val="000000"/>
                <w:kern w:val="0"/>
                <w:sz w:val="18"/>
                <w:szCs w:val="18"/>
                <w:u w:val="none"/>
                <w:lang w:val="en-US" w:eastAsia="zh-CN" w:bidi="ar"/>
              </w:rPr>
              <w:t>2.2</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99-万人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2.2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cs="宋体"/>
                <w:i w:val="0"/>
                <w:iCs w:val="0"/>
                <w:color w:val="000000"/>
                <w:kern w:val="0"/>
                <w:sz w:val="18"/>
                <w:szCs w:val="18"/>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效益指标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效益指标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年末城镇登记失业率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4</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效益指标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因就业问题发生重大群体性事件数量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136-起</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9" w:hRule="atLeast"/>
          <w:jc w:val="center"/>
        </w:trPr>
        <w:tc>
          <w:tcPr>
            <w:tcW w:w="66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效益指标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城镇新增就业人数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3.35</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99-万人</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3.35</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公共就业服务满意度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90</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50-%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8"/>
                <w:szCs w:val="18"/>
                <w:u w:val="none"/>
                <w:lang w:val="en-US" w:eastAsia="zh-CN" w:bidi="ar"/>
              </w:rPr>
              <w:t>90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iCs w:val="0"/>
                <w:color w:val="000000"/>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jc w:val="center"/>
        </w:trPr>
        <w:tc>
          <w:tcPr>
            <w:tcW w:w="69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highlight w:val="none"/>
                <w:u w:val="none"/>
                <w:lang w:val="en-US" w:eastAsia="zh-CN"/>
              </w:rPr>
            </w:pPr>
            <w:r>
              <w:rPr>
                <w:rFonts w:hint="eastAsia" w:ascii="宋体" w:hAnsi="宋体" w:cs="宋体"/>
                <w:i w:val="0"/>
                <w:color w:val="000000"/>
                <w:sz w:val="18"/>
                <w:szCs w:val="18"/>
                <w:highlight w:val="none"/>
                <w:u w:val="none"/>
                <w:lang w:val="en-US" w:eastAsia="zh-CN"/>
              </w:rPr>
              <w:t>100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评价结论</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该项目主要用于向社会力量购买基本就业创业服务成果，包括招聘活动补助、农民工就业创业宣传、公共信息的手机与统计分析、职业技能培训推广应用四川省培训监管平台建设和创业服务活动支出，通过这些项目支出，圆满完成年度城镇增项就业目标任务，确保年末城镇登记失业率保持在目标范围内，项目社会效益明显，群体满意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存在问题</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（1）项目测算标准有待细化，测算准确率有待提高。</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2</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部分绩效指标编制不合理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绩效指标量化不合理。</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3</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项目实施进度有待加强</w:t>
            </w:r>
            <w:r>
              <w:rPr>
                <w:rFonts w:hint="eastAsia" w:ascii="宋体" w:hAnsi="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6"/>
                <w:szCs w:val="16"/>
                <w:u w:val="none"/>
                <w:lang w:val="en-US" w:eastAsia="zh-CN" w:bidi="ar"/>
              </w:rPr>
              <w:t>部分支出项目签订合同时间较晚，导致项目不能在年内全部执行完毕，存在合同尾款跨年支付，导致项目实施进度缓慢。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r>
              <w:rPr>
                <w:rFonts w:hint="eastAsia" w:ascii="宋体" w:hAnsi="宋体" w:eastAsia="宋体" w:cs="宋体"/>
                <w:i w:val="0"/>
                <w:color w:val="000000"/>
                <w:kern w:val="0"/>
                <w:sz w:val="18"/>
                <w:szCs w:val="18"/>
                <w:highlight w:val="none"/>
                <w:u w:val="none"/>
                <w:lang w:val="en-US" w:eastAsia="zh-CN" w:bidi="ar"/>
              </w:rPr>
              <w:t>改进措施</w:t>
            </w:r>
          </w:p>
        </w:tc>
        <w:tc>
          <w:tcPr>
            <w:tcW w:w="89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color w:val="000000"/>
                <w:sz w:val="16"/>
                <w:szCs w:val="16"/>
                <w:highlight w:val="none"/>
                <w:u w:val="none"/>
              </w:rPr>
            </w:pPr>
            <w:r>
              <w:rPr>
                <w:rFonts w:hint="eastAsia" w:ascii="宋体" w:hAnsi="宋体" w:eastAsia="宋体" w:cs="宋体"/>
                <w:i w:val="0"/>
                <w:iCs w:val="0"/>
                <w:color w:val="000000"/>
                <w:kern w:val="0"/>
                <w:sz w:val="16"/>
                <w:szCs w:val="16"/>
                <w:u w:val="none"/>
                <w:lang w:val="en-US" w:eastAsia="zh-CN" w:bidi="ar"/>
              </w:rPr>
              <w:t>加强绩效自评工作力度，细化项目测算，完善绩效指标，加快资金支付进度，积极运用评价结果，提高资金使用效率。</w:t>
            </w:r>
          </w:p>
        </w:tc>
      </w:tr>
    </w:tbl>
    <w:p>
      <w:pPr>
        <w:spacing w:line="600" w:lineRule="exact"/>
        <w:jc w:val="center"/>
        <w:outlineLvl w:val="9"/>
        <w:rPr>
          <w:rFonts w:hint="eastAsia" w:ascii="黑体" w:hAnsi="黑体" w:eastAsia="黑体"/>
          <w:color w:val="auto"/>
          <w:sz w:val="44"/>
          <w:szCs w:val="44"/>
          <w:highlight w:val="none"/>
        </w:rPr>
      </w:pPr>
      <w:bookmarkStart w:id="129" w:name="_Toc15396618"/>
    </w:p>
    <w:p>
      <w:pPr>
        <w:spacing w:line="600" w:lineRule="exact"/>
        <w:jc w:val="both"/>
        <w:outlineLvl w:val="9"/>
        <w:rPr>
          <w:rFonts w:hint="eastAsia" w:ascii="黑体" w:hAnsi="黑体" w:eastAsia="黑体"/>
          <w:color w:val="auto"/>
          <w:sz w:val="44"/>
          <w:szCs w:val="44"/>
          <w:highlight w:val="none"/>
        </w:rPr>
      </w:pPr>
      <w:bookmarkStart w:id="130" w:name="_Toc31229"/>
    </w:p>
    <w:p>
      <w:pPr>
        <w:spacing w:line="600" w:lineRule="exact"/>
        <w:jc w:val="center"/>
        <w:outlineLvl w:val="0"/>
        <w:rPr>
          <w:rFonts w:hint="eastAsia" w:ascii="黑体" w:hAnsi="黑体" w:eastAsia="黑体"/>
          <w:color w:val="auto"/>
          <w:sz w:val="44"/>
          <w:szCs w:val="44"/>
          <w:highlight w:val="none"/>
        </w:rPr>
      </w:pPr>
      <w:bookmarkStart w:id="131" w:name="_Toc17614"/>
      <w:bookmarkStart w:id="132" w:name="_Toc29680"/>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19"/>
          <w:rFonts w:hint="eastAsia" w:ascii="黑体" w:hAnsi="黑体" w:eastAsia="黑体"/>
          <w:b w:val="0"/>
          <w:color w:val="auto"/>
          <w:highlight w:val="none"/>
        </w:rPr>
        <w:t>五部分 附表</w:t>
      </w:r>
      <w:bookmarkEnd w:id="125"/>
      <w:bookmarkEnd w:id="129"/>
      <w:bookmarkEnd w:id="130"/>
      <w:bookmarkEnd w:id="131"/>
      <w:bookmarkEnd w:id="132"/>
      <w:bookmarkStart w:id="133" w:name="_Toc15396619"/>
    </w:p>
    <w:p>
      <w:pPr>
        <w:pStyle w:val="4"/>
        <w:pageBreakBefore w:val="0"/>
        <w:widowControl w:val="0"/>
        <w:kinsoku/>
        <w:wordWrap/>
        <w:overflowPunct/>
        <w:topLinePunct w:val="0"/>
        <w:autoSpaceDE/>
        <w:autoSpaceDN/>
        <w:bidi w:val="0"/>
        <w:adjustRightInd/>
        <w:snapToGrid/>
        <w:spacing w:before="0" w:after="0" w:line="560" w:lineRule="exact"/>
        <w:textAlignment w:val="auto"/>
        <w:outlineLvl w:val="9"/>
        <w:rPr>
          <w:rFonts w:hint="eastAsia" w:ascii="仿宋" w:hAnsi="仿宋" w:eastAsia="仿宋"/>
          <w:b w:val="0"/>
          <w:color w:val="auto"/>
          <w:highlight w:val="none"/>
        </w:rPr>
      </w:pPr>
      <w:bookmarkStart w:id="134" w:name="_Toc28861"/>
    </w:p>
    <w:bookmarkEnd w:id="133"/>
    <w:bookmarkEnd w:id="134"/>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35" w:name="_Toc24058"/>
      <w:bookmarkStart w:id="136" w:name="_Toc25736"/>
      <w:bookmarkStart w:id="137" w:name="_Toc15396629"/>
      <w:r>
        <w:rPr>
          <w:rFonts w:hint="eastAsia" w:ascii="黑体" w:hAnsi="黑体" w:eastAsia="黑体" w:cs="Times New Roman"/>
          <w:color w:val="auto"/>
          <w:sz w:val="32"/>
          <w:szCs w:val="32"/>
          <w:highlight w:val="none"/>
          <w:lang w:val="en-US" w:eastAsia="zh-CN"/>
        </w:rPr>
        <w:t>一、收入支出决算总表</w:t>
      </w:r>
      <w:bookmarkEnd w:id="135"/>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38" w:name="_Toc15396620"/>
      <w:bookmarkStart w:id="139" w:name="_Toc21216"/>
      <w:r>
        <w:rPr>
          <w:rFonts w:hint="eastAsia" w:ascii="黑体" w:hAnsi="黑体" w:eastAsia="黑体" w:cs="Times New Roman"/>
          <w:color w:val="auto"/>
          <w:sz w:val="32"/>
          <w:szCs w:val="32"/>
          <w:highlight w:val="none"/>
          <w:lang w:val="en-US" w:eastAsia="zh-CN"/>
        </w:rPr>
        <w:t>二、收入决算表</w:t>
      </w:r>
      <w:bookmarkEnd w:id="138"/>
      <w:bookmarkEnd w:id="139"/>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40" w:name="_Toc22737"/>
      <w:bookmarkStart w:id="141" w:name="_Toc15396621"/>
      <w:r>
        <w:rPr>
          <w:rFonts w:hint="eastAsia" w:ascii="黑体" w:hAnsi="黑体" w:eastAsia="黑体" w:cs="Times New Roman"/>
          <w:color w:val="auto"/>
          <w:sz w:val="32"/>
          <w:szCs w:val="32"/>
          <w:highlight w:val="none"/>
          <w:lang w:val="en-US" w:eastAsia="zh-CN"/>
        </w:rPr>
        <w:t>三、支出决算表</w:t>
      </w:r>
      <w:bookmarkEnd w:id="140"/>
      <w:bookmarkEnd w:id="141"/>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42" w:name="_Toc24574"/>
      <w:bookmarkStart w:id="143" w:name="_Toc15396622"/>
      <w:r>
        <w:rPr>
          <w:rFonts w:hint="eastAsia" w:ascii="黑体" w:hAnsi="黑体" w:eastAsia="黑体" w:cs="Times New Roman"/>
          <w:color w:val="auto"/>
          <w:sz w:val="32"/>
          <w:szCs w:val="32"/>
          <w:highlight w:val="none"/>
          <w:lang w:val="en-US" w:eastAsia="zh-CN"/>
        </w:rPr>
        <w:t>四、财政拨款收入支出决算总表</w:t>
      </w:r>
      <w:bookmarkEnd w:id="142"/>
      <w:bookmarkEnd w:id="143"/>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44" w:name="_Toc15396623"/>
      <w:bookmarkStart w:id="145" w:name="_Toc27300"/>
      <w:r>
        <w:rPr>
          <w:rFonts w:hint="eastAsia" w:ascii="黑体" w:hAnsi="黑体" w:eastAsia="黑体" w:cs="Times New Roman"/>
          <w:color w:val="auto"/>
          <w:sz w:val="32"/>
          <w:szCs w:val="32"/>
          <w:highlight w:val="none"/>
          <w:lang w:val="en-US" w:eastAsia="zh-CN"/>
        </w:rPr>
        <w:t>五、财政拨款支出决算明细表</w:t>
      </w:r>
      <w:bookmarkEnd w:id="144"/>
      <w:bookmarkEnd w:id="145"/>
      <w:bookmarkStart w:id="146" w:name="_Toc15396624"/>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47" w:name="_Toc26780"/>
      <w:r>
        <w:rPr>
          <w:rFonts w:hint="eastAsia" w:ascii="黑体" w:hAnsi="黑体" w:eastAsia="黑体" w:cs="Times New Roman"/>
          <w:color w:val="auto"/>
          <w:sz w:val="32"/>
          <w:szCs w:val="32"/>
          <w:highlight w:val="none"/>
          <w:lang w:val="en-US" w:eastAsia="zh-CN"/>
        </w:rPr>
        <w:t>六、一般公共预算财政拨款支出决算表</w:t>
      </w:r>
      <w:bookmarkEnd w:id="146"/>
      <w:bookmarkEnd w:id="147"/>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48" w:name="_Toc15396625"/>
      <w:bookmarkStart w:id="149" w:name="_Toc22951"/>
      <w:r>
        <w:rPr>
          <w:rFonts w:hint="eastAsia" w:ascii="黑体" w:hAnsi="黑体" w:eastAsia="黑体" w:cs="Times New Roman"/>
          <w:color w:val="auto"/>
          <w:sz w:val="32"/>
          <w:szCs w:val="32"/>
          <w:highlight w:val="none"/>
          <w:lang w:val="en-US" w:eastAsia="zh-CN"/>
        </w:rPr>
        <w:t>七、一般公共预算财政拨款支出决算明细表</w:t>
      </w:r>
      <w:bookmarkEnd w:id="148"/>
      <w:bookmarkEnd w:id="149"/>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50" w:name="_Toc14236"/>
      <w:bookmarkStart w:id="151" w:name="_Toc15396626"/>
      <w:r>
        <w:rPr>
          <w:rFonts w:hint="eastAsia" w:ascii="黑体" w:hAnsi="黑体" w:eastAsia="黑体" w:cs="Times New Roman"/>
          <w:color w:val="auto"/>
          <w:sz w:val="32"/>
          <w:szCs w:val="32"/>
          <w:highlight w:val="none"/>
          <w:lang w:val="en-US" w:eastAsia="zh-CN"/>
        </w:rPr>
        <w:t>八、一般公共预算财政拨款基本支出决算表</w:t>
      </w:r>
      <w:bookmarkEnd w:id="150"/>
      <w:bookmarkEnd w:id="151"/>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52" w:name="_Toc15396627"/>
      <w:bookmarkStart w:id="153" w:name="_Toc29872"/>
      <w:r>
        <w:rPr>
          <w:rFonts w:hint="eastAsia" w:ascii="黑体" w:hAnsi="黑体" w:eastAsia="黑体" w:cs="Times New Roman"/>
          <w:color w:val="auto"/>
          <w:sz w:val="32"/>
          <w:szCs w:val="32"/>
          <w:highlight w:val="none"/>
          <w:lang w:val="en-US" w:eastAsia="zh-CN"/>
        </w:rPr>
        <w:t>九、一般公共预算财政拨款项目支出决算表</w:t>
      </w:r>
      <w:bookmarkEnd w:id="152"/>
      <w:bookmarkEnd w:id="153"/>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54" w:name="_Toc15396628"/>
      <w:bookmarkStart w:id="155" w:name="_Toc14862"/>
      <w:r>
        <w:rPr>
          <w:rFonts w:hint="eastAsia" w:ascii="黑体" w:hAnsi="黑体" w:eastAsia="黑体" w:cs="Times New Roman"/>
          <w:color w:val="auto"/>
          <w:sz w:val="32"/>
          <w:szCs w:val="32"/>
          <w:highlight w:val="none"/>
          <w:lang w:val="en-US" w:eastAsia="zh-CN"/>
        </w:rPr>
        <w:t>十、</w:t>
      </w:r>
      <w:bookmarkEnd w:id="154"/>
      <w:r>
        <w:rPr>
          <w:rFonts w:hint="eastAsia" w:ascii="黑体" w:hAnsi="黑体" w:eastAsia="黑体" w:cs="Times New Roman"/>
          <w:color w:val="auto"/>
          <w:sz w:val="32"/>
          <w:szCs w:val="32"/>
          <w:highlight w:val="none"/>
          <w:lang w:val="en-US" w:eastAsia="zh-CN"/>
        </w:rPr>
        <w:t>政府性基金预算财政拨款收入支出决算表</w:t>
      </w:r>
      <w:bookmarkEnd w:id="155"/>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56" w:name="_Toc12241"/>
      <w:r>
        <w:rPr>
          <w:rFonts w:hint="eastAsia" w:ascii="黑体" w:hAnsi="黑体" w:eastAsia="黑体" w:cs="Times New Roman"/>
          <w:color w:val="auto"/>
          <w:sz w:val="32"/>
          <w:szCs w:val="32"/>
          <w:highlight w:val="none"/>
          <w:lang w:val="en-US" w:eastAsia="zh-CN"/>
        </w:rPr>
        <w:t>十一、国有资本经营预算财政拨款收入支出决算表</w:t>
      </w:r>
      <w:bookmarkEnd w:id="156"/>
    </w:p>
    <w:p>
      <w:pPr>
        <w:pStyle w:val="29"/>
        <w:numPr>
          <w:ilvl w:val="0"/>
          <w:numId w:val="0"/>
        </w:numPr>
        <w:spacing w:line="600" w:lineRule="exact"/>
        <w:ind w:left="640" w:leftChars="0"/>
        <w:outlineLvl w:val="1"/>
        <w:rPr>
          <w:rFonts w:hint="eastAsia" w:ascii="黑体" w:hAnsi="黑体" w:eastAsia="黑体" w:cs="Times New Roman"/>
          <w:color w:val="auto"/>
          <w:sz w:val="32"/>
          <w:szCs w:val="32"/>
          <w:highlight w:val="none"/>
          <w:lang w:val="en-US" w:eastAsia="zh-CN"/>
        </w:rPr>
      </w:pPr>
      <w:bookmarkStart w:id="157" w:name="_Toc2525"/>
      <w:r>
        <w:rPr>
          <w:rFonts w:hint="eastAsia" w:ascii="黑体" w:hAnsi="黑体" w:eastAsia="黑体" w:cs="Times New Roman"/>
          <w:color w:val="auto"/>
          <w:sz w:val="32"/>
          <w:szCs w:val="32"/>
          <w:highlight w:val="none"/>
          <w:lang w:val="en-US" w:eastAsia="zh-CN"/>
        </w:rPr>
        <w:t>十二、国有资本经营预算财政拨款支出决算表</w:t>
      </w:r>
      <w:bookmarkEnd w:id="157"/>
    </w:p>
    <w:p>
      <w:pPr>
        <w:pStyle w:val="29"/>
        <w:numPr>
          <w:ilvl w:val="0"/>
          <w:numId w:val="0"/>
        </w:numPr>
        <w:spacing w:line="600" w:lineRule="exact"/>
        <w:ind w:left="640" w:leftChars="0"/>
        <w:outlineLvl w:val="1"/>
        <w:rPr>
          <w:rFonts w:hint="eastAsia" w:ascii="黑体" w:hAnsi="黑体" w:eastAsia="黑体" w:cs="黑体"/>
          <w:color w:val="000000"/>
          <w:kern w:val="0"/>
          <w:sz w:val="32"/>
          <w:szCs w:val="32"/>
          <w:lang w:val="en-US" w:eastAsia="zh-CN" w:bidi="ar-SA"/>
        </w:rPr>
      </w:pPr>
      <w:bookmarkStart w:id="158" w:name="_Toc25324"/>
      <w:r>
        <w:rPr>
          <w:rFonts w:hint="eastAsia" w:ascii="黑体" w:hAnsi="黑体" w:eastAsia="黑体" w:cs="Times New Roman"/>
          <w:color w:val="auto"/>
          <w:sz w:val="32"/>
          <w:szCs w:val="32"/>
          <w:highlight w:val="none"/>
          <w:lang w:val="en-US" w:eastAsia="zh-CN"/>
        </w:rPr>
        <w:t>十三、财政拨款“三公”经费支出决算表</w:t>
      </w:r>
      <w:bookmarkEnd w:id="136"/>
      <w:bookmarkEnd w:id="137"/>
      <w:bookmarkEnd w:id="158"/>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variable"/>
    <w:sig w:usb0="00000000" w:usb1="00000000" w:usb2="00000000" w:usb3="00000000" w:csb0="00000000" w:csb1="00000000"/>
  </w:font>
  <w:font w:name="等线">
    <w:altName w:val="方正仿宋简体"/>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numPr>
        <w:ilvl w:val="0"/>
        <w:numId w:val="0"/>
      </w:numPr>
      <w:pBdr>
        <w:bottom w:val="none" w:color="auto" w:sz="0" w:space="0"/>
      </w:pBdr>
      <w:ind w:left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5ECA167"/>
    <w:multiLevelType w:val="singleLevel"/>
    <w:tmpl w:val="35ECA167"/>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NGE1ZDJmZThmODcyMTk4MWQ3NWIwYjJhMjc5M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9F0F02"/>
    <w:rsid w:val="04155920"/>
    <w:rsid w:val="047D1717"/>
    <w:rsid w:val="05412CA3"/>
    <w:rsid w:val="05734296"/>
    <w:rsid w:val="06BC560D"/>
    <w:rsid w:val="07972AF0"/>
    <w:rsid w:val="0874513E"/>
    <w:rsid w:val="08C83D7C"/>
    <w:rsid w:val="0A2032A3"/>
    <w:rsid w:val="0AC21C32"/>
    <w:rsid w:val="0B13248D"/>
    <w:rsid w:val="0B374D82"/>
    <w:rsid w:val="0B8A37D8"/>
    <w:rsid w:val="0C0503BC"/>
    <w:rsid w:val="0E2E3701"/>
    <w:rsid w:val="0EDB0CB9"/>
    <w:rsid w:val="0FED3F48"/>
    <w:rsid w:val="10C055FF"/>
    <w:rsid w:val="118107EC"/>
    <w:rsid w:val="11DD6519"/>
    <w:rsid w:val="136E763E"/>
    <w:rsid w:val="137A20FF"/>
    <w:rsid w:val="13837C04"/>
    <w:rsid w:val="138406A1"/>
    <w:rsid w:val="13853D9C"/>
    <w:rsid w:val="14887A48"/>
    <w:rsid w:val="14956609"/>
    <w:rsid w:val="14CF62AB"/>
    <w:rsid w:val="15A52EEE"/>
    <w:rsid w:val="16BB723D"/>
    <w:rsid w:val="16FF517E"/>
    <w:rsid w:val="1706559C"/>
    <w:rsid w:val="18015F3F"/>
    <w:rsid w:val="1853433A"/>
    <w:rsid w:val="190C0160"/>
    <w:rsid w:val="1B6D5BEA"/>
    <w:rsid w:val="1BE8440E"/>
    <w:rsid w:val="1CB15864"/>
    <w:rsid w:val="1CD64281"/>
    <w:rsid w:val="1D155CEE"/>
    <w:rsid w:val="1D2828BF"/>
    <w:rsid w:val="1E054EDF"/>
    <w:rsid w:val="1E894D8C"/>
    <w:rsid w:val="1F420086"/>
    <w:rsid w:val="20AD2DAF"/>
    <w:rsid w:val="20F57F95"/>
    <w:rsid w:val="21C165B8"/>
    <w:rsid w:val="22EF5375"/>
    <w:rsid w:val="240371BF"/>
    <w:rsid w:val="24911F5A"/>
    <w:rsid w:val="25C741E6"/>
    <w:rsid w:val="26A248F6"/>
    <w:rsid w:val="26AF03D4"/>
    <w:rsid w:val="273C0AB1"/>
    <w:rsid w:val="27842671"/>
    <w:rsid w:val="27883A22"/>
    <w:rsid w:val="279D33B3"/>
    <w:rsid w:val="284E580B"/>
    <w:rsid w:val="28C7203E"/>
    <w:rsid w:val="290F629E"/>
    <w:rsid w:val="29143B49"/>
    <w:rsid w:val="29FD04D3"/>
    <w:rsid w:val="2A3E70CF"/>
    <w:rsid w:val="2A6E6712"/>
    <w:rsid w:val="2ABE7A3E"/>
    <w:rsid w:val="2BB9123A"/>
    <w:rsid w:val="2C006057"/>
    <w:rsid w:val="2C0C0B07"/>
    <w:rsid w:val="2C1125C1"/>
    <w:rsid w:val="2C22657D"/>
    <w:rsid w:val="2C711481"/>
    <w:rsid w:val="2D6A1F89"/>
    <w:rsid w:val="2DCC49F2"/>
    <w:rsid w:val="2EFA178C"/>
    <w:rsid w:val="2FC71E66"/>
    <w:rsid w:val="30B46D73"/>
    <w:rsid w:val="311D3B25"/>
    <w:rsid w:val="31800160"/>
    <w:rsid w:val="319F7F4E"/>
    <w:rsid w:val="328257BA"/>
    <w:rsid w:val="32E93838"/>
    <w:rsid w:val="35066A3B"/>
    <w:rsid w:val="37240388"/>
    <w:rsid w:val="39AE70AB"/>
    <w:rsid w:val="39E3559D"/>
    <w:rsid w:val="3B96663F"/>
    <w:rsid w:val="3C0C0783"/>
    <w:rsid w:val="3D7F9B48"/>
    <w:rsid w:val="3DAC6EDB"/>
    <w:rsid w:val="3DEB4A20"/>
    <w:rsid w:val="3EEA2F2A"/>
    <w:rsid w:val="3F795B0E"/>
    <w:rsid w:val="3F9F3A96"/>
    <w:rsid w:val="40350D30"/>
    <w:rsid w:val="403A3BDC"/>
    <w:rsid w:val="418C7544"/>
    <w:rsid w:val="44466E54"/>
    <w:rsid w:val="44630793"/>
    <w:rsid w:val="446C3BDB"/>
    <w:rsid w:val="44BC3EB0"/>
    <w:rsid w:val="45276534"/>
    <w:rsid w:val="456823ED"/>
    <w:rsid w:val="45BB4AE0"/>
    <w:rsid w:val="47EA3F9B"/>
    <w:rsid w:val="480118F4"/>
    <w:rsid w:val="48265AAC"/>
    <w:rsid w:val="489C3FAB"/>
    <w:rsid w:val="48DB38E3"/>
    <w:rsid w:val="493C27E9"/>
    <w:rsid w:val="496F39ED"/>
    <w:rsid w:val="49EA6E94"/>
    <w:rsid w:val="49FF41D3"/>
    <w:rsid w:val="4A185DC8"/>
    <w:rsid w:val="4BE068DB"/>
    <w:rsid w:val="4BF6002B"/>
    <w:rsid w:val="4C3E7355"/>
    <w:rsid w:val="4C5E40F0"/>
    <w:rsid w:val="4ECE2238"/>
    <w:rsid w:val="4EE554BC"/>
    <w:rsid w:val="4F274BBD"/>
    <w:rsid w:val="506863A4"/>
    <w:rsid w:val="51DB4B86"/>
    <w:rsid w:val="52D349F4"/>
    <w:rsid w:val="52E12EF6"/>
    <w:rsid w:val="543842E0"/>
    <w:rsid w:val="545BEFB5"/>
    <w:rsid w:val="551A48EF"/>
    <w:rsid w:val="55333C3E"/>
    <w:rsid w:val="55FE696B"/>
    <w:rsid w:val="56C53BC0"/>
    <w:rsid w:val="57AF2B0B"/>
    <w:rsid w:val="58EF652E"/>
    <w:rsid w:val="598A59B4"/>
    <w:rsid w:val="5B4E4AD8"/>
    <w:rsid w:val="5BD41D79"/>
    <w:rsid w:val="5D4862A1"/>
    <w:rsid w:val="5D801B4F"/>
    <w:rsid w:val="5DB32B3C"/>
    <w:rsid w:val="5E9E4607"/>
    <w:rsid w:val="5E9F2004"/>
    <w:rsid w:val="60E30BD4"/>
    <w:rsid w:val="61227EAA"/>
    <w:rsid w:val="61505D6B"/>
    <w:rsid w:val="61E427B4"/>
    <w:rsid w:val="621A5222"/>
    <w:rsid w:val="62C356AD"/>
    <w:rsid w:val="64CA39A1"/>
    <w:rsid w:val="65647F17"/>
    <w:rsid w:val="66853255"/>
    <w:rsid w:val="66E7623F"/>
    <w:rsid w:val="66EB4468"/>
    <w:rsid w:val="670507BE"/>
    <w:rsid w:val="682146A2"/>
    <w:rsid w:val="689B74A0"/>
    <w:rsid w:val="68A327E1"/>
    <w:rsid w:val="6B027C5F"/>
    <w:rsid w:val="6B483A74"/>
    <w:rsid w:val="6BB35A06"/>
    <w:rsid w:val="6C103379"/>
    <w:rsid w:val="6C4A05C8"/>
    <w:rsid w:val="6EE90259"/>
    <w:rsid w:val="6F565E30"/>
    <w:rsid w:val="6FDB31B7"/>
    <w:rsid w:val="70992388"/>
    <w:rsid w:val="70FF0476"/>
    <w:rsid w:val="71397546"/>
    <w:rsid w:val="71736CE0"/>
    <w:rsid w:val="71892412"/>
    <w:rsid w:val="71D809B5"/>
    <w:rsid w:val="72734D90"/>
    <w:rsid w:val="731955B0"/>
    <w:rsid w:val="736B313E"/>
    <w:rsid w:val="751D21C1"/>
    <w:rsid w:val="770C71DA"/>
    <w:rsid w:val="7754639E"/>
    <w:rsid w:val="77A13FE0"/>
    <w:rsid w:val="77E90D1D"/>
    <w:rsid w:val="78393FFF"/>
    <w:rsid w:val="79E67971"/>
    <w:rsid w:val="79E7B28D"/>
    <w:rsid w:val="7A244C97"/>
    <w:rsid w:val="7A603576"/>
    <w:rsid w:val="7AF74FD2"/>
    <w:rsid w:val="7BEB19FB"/>
    <w:rsid w:val="7C1377DE"/>
    <w:rsid w:val="7C775BAB"/>
    <w:rsid w:val="7CEF7DDE"/>
    <w:rsid w:val="7CFD43B3"/>
    <w:rsid w:val="7D10614F"/>
    <w:rsid w:val="7D4A280A"/>
    <w:rsid w:val="7D5E1535"/>
    <w:rsid w:val="7DC72EF4"/>
    <w:rsid w:val="7EF742D7"/>
    <w:rsid w:val="7F2F2BD4"/>
    <w:rsid w:val="7F9F20EE"/>
    <w:rsid w:val="7FC84C44"/>
    <w:rsid w:val="7FDF7F40"/>
    <w:rsid w:val="9E3A10E2"/>
    <w:rsid w:val="9EEF5982"/>
    <w:rsid w:val="BCAFBA73"/>
    <w:rsid w:val="BDFFE746"/>
    <w:rsid w:val="EFAD8F81"/>
    <w:rsid w:val="F2E1F9D4"/>
    <w:rsid w:val="F2ED45CD"/>
    <w:rsid w:val="F6FFC55D"/>
    <w:rsid w:val="F7880819"/>
    <w:rsid w:val="FBEF01F3"/>
    <w:rsid w:val="FCEF43FB"/>
    <w:rsid w:val="FEFE8194"/>
    <w:rsid w:val="FF1BBB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200" w:firstLineChars="200"/>
    </w:pPr>
    <w:rPr>
      <w:rFonts w:eastAsia="方正仿宋简体"/>
      <w:sz w:val="32"/>
    </w:rPr>
  </w:style>
  <w:style w:type="paragraph" w:styleId="6">
    <w:name w:val="Body Text"/>
    <w:basedOn w:val="1"/>
    <w:link w:val="27"/>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footnote text"/>
    <w:basedOn w:val="1"/>
    <w:qFormat/>
    <w:uiPriority w:val="0"/>
    <w:pPr>
      <w:snapToGrid w:val="0"/>
      <w:jc w:val="left"/>
    </w:pPr>
    <w:rPr>
      <w:sz w:val="18"/>
      <w:szCs w:val="1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rPr>
      <w:sz w:val="24"/>
    </w:r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
    <w:basedOn w:val="16"/>
    <w:link w:val="3"/>
    <w:qFormat/>
    <w:uiPriority w:val="9"/>
    <w:rPr>
      <w:rFonts w:ascii="Times New Roman" w:hAnsi="Times New Roman"/>
      <w:b/>
      <w:bCs/>
      <w:kern w:val="44"/>
      <w:sz w:val="44"/>
      <w:szCs w:val="44"/>
    </w:rPr>
  </w:style>
  <w:style w:type="character" w:customStyle="1" w:styleId="20">
    <w:name w:val="标题 2 Char"/>
    <w:basedOn w:val="16"/>
    <w:link w:val="4"/>
    <w:qFormat/>
    <w:uiPriority w:val="9"/>
    <w:rPr>
      <w:rFonts w:asciiTheme="majorHAnsi" w:hAnsiTheme="majorHAnsi" w:eastAsiaTheme="majorEastAsia" w:cstheme="majorBidi"/>
      <w:b/>
      <w:bCs/>
      <w:kern w:val="2"/>
      <w:sz w:val="32"/>
      <w:szCs w:val="32"/>
    </w:rPr>
  </w:style>
  <w:style w:type="character" w:customStyle="1" w:styleId="21">
    <w:name w:val="标题 3 Char"/>
    <w:basedOn w:val="16"/>
    <w:link w:val="5"/>
    <w:qFormat/>
    <w:uiPriority w:val="9"/>
    <w:rPr>
      <w:rFonts w:ascii="Times New Roman" w:hAnsi="Times New Roman"/>
      <w:b/>
      <w:bCs/>
      <w:kern w:val="2"/>
      <w:sz w:val="32"/>
      <w:szCs w:val="32"/>
    </w:rPr>
  </w:style>
  <w:style w:type="character" w:customStyle="1" w:styleId="22">
    <w:name w:val="Header Char"/>
    <w:basedOn w:val="16"/>
    <w:semiHidden/>
    <w:qFormat/>
    <w:uiPriority w:val="99"/>
    <w:rPr>
      <w:rFonts w:ascii="Times New Roman" w:hAnsi="Times New Roman"/>
      <w:sz w:val="18"/>
      <w:szCs w:val="18"/>
    </w:rPr>
  </w:style>
  <w:style w:type="character" w:customStyle="1" w:styleId="23">
    <w:name w:val="页眉 Char"/>
    <w:link w:val="10"/>
    <w:semiHidden/>
    <w:qFormat/>
    <w:locked/>
    <w:uiPriority w:val="99"/>
    <w:rPr>
      <w:sz w:val="18"/>
    </w:rPr>
  </w:style>
  <w:style w:type="character" w:customStyle="1" w:styleId="24">
    <w:name w:val="Footer Char"/>
    <w:basedOn w:val="16"/>
    <w:semiHidden/>
    <w:qFormat/>
    <w:uiPriority w:val="99"/>
    <w:rPr>
      <w:rFonts w:ascii="Times New Roman" w:hAnsi="Times New Roman"/>
      <w:sz w:val="18"/>
      <w:szCs w:val="18"/>
    </w:rPr>
  </w:style>
  <w:style w:type="character" w:customStyle="1" w:styleId="25">
    <w:name w:val="页脚 Char"/>
    <w:link w:val="9"/>
    <w:qFormat/>
    <w:locked/>
    <w:uiPriority w:val="99"/>
    <w:rPr>
      <w:sz w:val="18"/>
    </w:rPr>
  </w:style>
  <w:style w:type="character" w:customStyle="1" w:styleId="26">
    <w:name w:val="Body Text Char"/>
    <w:basedOn w:val="16"/>
    <w:semiHidden/>
    <w:qFormat/>
    <w:uiPriority w:val="99"/>
    <w:rPr>
      <w:rFonts w:ascii="Times New Roman" w:hAnsi="Times New Roman"/>
      <w:szCs w:val="24"/>
    </w:rPr>
  </w:style>
  <w:style w:type="character" w:customStyle="1" w:styleId="27">
    <w:name w:val="正文文本 Char"/>
    <w:link w:val="6"/>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3.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3176687995484"/>
          <c:y val="0.135985244372925"/>
          <c:w val="0.819113460756405"/>
          <c:h val="0.622552060256978"/>
        </c:manualLayout>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762.6万元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errBars>
            <c:errBarType val="both"/>
            <c:errValType val="stdErr"/>
            <c:noEndCap val="false"/>
            <c:spPr>
              <a:noFill/>
              <a:ln w="9525" cap="flat" cmpd="sng" algn="ctr">
                <a:solidFill>
                  <a:schemeClr val="tx1">
                    <a:lumMod val="65000"/>
                    <a:lumOff val="35000"/>
                  </a:schemeClr>
                </a:solidFill>
                <a:round/>
              </a:ln>
              <a:effectLst/>
            </c:spPr>
          </c:errBars>
          <c:cat>
            <c:numRef>
              <c:f>Sheet1!$A$2</c:f>
              <c:numCache>
                <c:formatCode>General</c:formatCode>
                <c:ptCount val="1"/>
              </c:numCache>
            </c:numRef>
          </c:cat>
          <c:val>
            <c:numRef>
              <c:f>Sheet1!$B$2</c:f>
              <c:numCache>
                <c:formatCode>General</c:formatCode>
                <c:ptCount val="1"/>
                <c:pt idx="0">
                  <c:v>762.6</c:v>
                </c:pt>
              </c:numCache>
            </c:numRef>
          </c:val>
        </c:ser>
        <c:ser>
          <c:idx val="1"/>
          <c:order val="1"/>
          <c:tx>
            <c:strRef>
              <c:f>Sheet1!$C$1</c:f>
              <c:strCache>
                <c:ptCount val="1"/>
                <c:pt idx="0">
                  <c:v>2022年</c:v>
                </c:pt>
              </c:strCache>
            </c:strRef>
          </c:tx>
          <c:spPr>
            <a:solidFill>
              <a:schemeClr val="accent2"/>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866.73万元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errBars>
            <c:errBarType val="both"/>
            <c:errValType val="stdErr"/>
            <c:noEndCap val="false"/>
            <c:spPr>
              <a:noFill/>
              <a:ln w="9525" cap="flat" cmpd="sng" algn="ctr">
                <a:solidFill>
                  <a:schemeClr val="tx1">
                    <a:lumMod val="65000"/>
                    <a:lumOff val="35000"/>
                  </a:schemeClr>
                </a:solidFill>
                <a:round/>
              </a:ln>
              <a:effectLst/>
            </c:spPr>
          </c:errBars>
          <c:cat>
            <c:numRef>
              <c:f>Sheet1!$A$2</c:f>
              <c:numCache>
                <c:formatCode>General</c:formatCode>
                <c:ptCount val="1"/>
              </c:numCache>
            </c:numRef>
          </c:cat>
          <c:val>
            <c:numRef>
              <c:f>Sheet1!$C$2</c:f>
              <c:numCache>
                <c:formatCode>General</c:formatCode>
                <c:ptCount val="1"/>
                <c:pt idx="0">
                  <c:v>866.73</c:v>
                </c:pt>
              </c:numCache>
            </c:numRef>
          </c:val>
        </c:ser>
        <c:dLbls>
          <c:showLegendKey val="false"/>
          <c:showVal val="true"/>
          <c:showCatName val="false"/>
          <c:showSerName val="false"/>
          <c:showPercent val="false"/>
          <c:showBubbleSize val="false"/>
        </c:dLbls>
        <c:gapWidth val="246"/>
        <c:overlap val="-28"/>
        <c:axId val="792920474"/>
        <c:axId val="947064817"/>
      </c:barChart>
      <c:catAx>
        <c:axId val="792920474"/>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7064817"/>
        <c:crosses val="autoZero"/>
        <c:auto val="true"/>
        <c:lblAlgn val="ctr"/>
        <c:lblOffset val="100"/>
        <c:noMultiLvlLbl val="false"/>
      </c:catAx>
      <c:valAx>
        <c:axId val="947064817"/>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2920474"/>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egendEntry>
        <c:idx val="2"/>
        <c:delete val="true"/>
      </c:legendEntry>
      <c:layout>
        <c:manualLayout>
          <c:xMode val="edge"/>
          <c:yMode val="edge"/>
          <c:x val="0.210997788655119"/>
          <c:y val="0.021289758475751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2022</a:t>
            </a:r>
            <a:r>
              <a:rPr altLang="en-US"/>
              <a:t>年</a:t>
            </a:r>
            <a:endParaRPr altLang="en-US"/>
          </a:p>
        </c:rich>
      </c:tx>
      <c:layout/>
      <c:overlay val="false"/>
      <c:spPr>
        <a:noFill/>
        <a:ln>
          <a:noFill/>
        </a:ln>
        <a:effectLst/>
      </c:spPr>
    </c:title>
    <c:autoTitleDeleted val="false"/>
    <c:plotArea>
      <c:layout>
        <c:manualLayout>
          <c:layoutTarget val="inner"/>
          <c:xMode val="edge"/>
          <c:yMode val="edge"/>
          <c:x val="0.298067413404152"/>
          <c:y val="0.199134199134199"/>
          <c:w val="0.411575273422998"/>
          <c:h val="0.693263804713804"/>
        </c:manualLayout>
      </c:layout>
      <c:pieChart>
        <c:varyColors val="true"/>
        <c:ser>
          <c:idx val="0"/>
          <c:order val="0"/>
          <c:tx>
            <c:strRef>
              <c:f>Sheet1!$B$1</c:f>
              <c:strCache>
                <c:ptCount val="1"/>
                <c:pt idx="0">
                  <c:v>销售额</c:v>
                </c:pt>
              </c:strCache>
            </c:strRef>
          </c:tx>
          <c:spPr>
            <a:solidFill>
              <a:srgbClr val="63B1EF">
                <a:alpha val="67000"/>
              </a:srgbClr>
            </a:solidFill>
            <a:ln w="19050" cap="rnd">
              <a:noFill/>
              <a:round/>
            </a:ln>
            <a:effectLst/>
          </c:spPr>
          <c:explosion val="0"/>
          <c:dPt>
            <c:idx val="0"/>
            <c:bubble3D val="false"/>
            <c:spPr>
              <a:solidFill>
                <a:srgbClr val="63B1EF">
                  <a:alpha val="67000"/>
                </a:srgbClr>
              </a:solidFill>
              <a:ln w="19050" cap="rnd">
                <a:noFill/>
                <a:round/>
              </a:ln>
              <a:effectLst/>
            </c:spPr>
          </c:dPt>
          <c:dLbls>
            <c:dLbl>
              <c:idx val="0"/>
              <c:layout>
                <c:manualLayout>
                  <c:x val="-0.00145026963734974"/>
                  <c:y val="-0.349686566765059"/>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一般公共预算财政拨款收入</a:t>
                    </a:r>
                    <a:r>
                      <a:rPr lang="en-US" altLang="zh-CN"/>
                      <a:t>815.48</a:t>
                    </a:r>
                    <a:r>
                      <a:rPr altLang="en-US"/>
                      <a:t>万元，占比</a:t>
                    </a:r>
                    <a:r>
                      <a:t>100%</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19243778690505"/>
                      <c:h val="0.215044623884403"/>
                    </c:manualLayout>
                  </c15:layout>
                </c:ext>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一般公共预算财政收入</c:v>
                </c:pt>
              </c:strCache>
            </c:strRef>
          </c:cat>
          <c:val>
            <c:numRef>
              <c:f>Sheet1!$B$2</c:f>
              <c:numCache>
                <c:formatCode>General</c:formatCode>
                <c:ptCount val="1"/>
                <c:pt idx="0">
                  <c:v>815.58</c:v>
                </c:pt>
              </c:numCache>
            </c:numRef>
          </c:val>
        </c:ser>
        <c:dLbls>
          <c:showLegendKey val="false"/>
          <c:showVal val="false"/>
          <c:showCatName val="true"/>
          <c:showSerName val="false"/>
          <c:showPercent val="true"/>
          <c:showBubbleSize val="false"/>
          <c:showLeaderLines val="true"/>
        </c:dLbls>
        <c:firstSliceAng val="0"/>
      </c:pieChart>
      <c:spPr>
        <a:pattFill prst="lgGrid">
          <a:fgClr>
            <a:srgbClr val="F8F8F8"/>
          </a:fgClr>
          <a:bgClr>
            <a:schemeClr val="bg1"/>
          </a:bgClr>
        </a:pattFill>
        <a:ln>
          <a:solidFill>
            <a:schemeClr val="bg1">
              <a:lumMod val="95000"/>
            </a:schemeClr>
          </a:solidFill>
        </a:ln>
        <a:effectLst/>
      </c:spPr>
    </c:plotArea>
    <c:legend>
      <c:legendPos val="r"/>
      <c:layout>
        <c:manualLayout>
          <c:xMode val="edge"/>
          <c:yMode val="edge"/>
          <c:x val="0.716598212128533"/>
          <c:y val="0.85645983850403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2022</a:t>
            </a:r>
            <a:r>
              <a:rPr altLang="en-US"/>
              <a:t>年</a:t>
            </a:r>
            <a:endParaRPr altLang="en-US"/>
          </a:p>
        </c:rich>
      </c:tx>
      <c:layout/>
      <c:overlay val="false"/>
      <c:spPr>
        <a:noFill/>
        <a:ln>
          <a:noFill/>
        </a:ln>
        <a:effectLst/>
      </c:spPr>
    </c:title>
    <c:autoTitleDeleted val="false"/>
    <c:plotArea>
      <c:layout>
        <c:manualLayout>
          <c:layoutTarget val="inner"/>
          <c:xMode val="edge"/>
          <c:yMode val="edge"/>
          <c:x val="0.298067413404152"/>
          <c:y val="0.199134199134199"/>
          <c:w val="0.411575273422998"/>
          <c:h val="0.693263804713804"/>
        </c:manualLayout>
      </c:layout>
      <c:pieChart>
        <c:varyColors val="true"/>
        <c:ser>
          <c:idx val="0"/>
          <c:order val="0"/>
          <c:tx>
            <c:strRef>
              <c:f>Sheet1!$B$1</c:f>
              <c:strCache>
                <c:ptCount val="1"/>
                <c:pt idx="0">
                  <c:v>销售额</c:v>
                </c:pt>
              </c:strCache>
            </c:strRef>
          </c:tx>
          <c:spPr>
            <a:solidFill>
              <a:srgbClr val="63B1EF">
                <a:alpha val="67000"/>
              </a:srgbClr>
            </a:solidFill>
            <a:ln w="19050" cap="rnd">
              <a:noFill/>
              <a:round/>
            </a:ln>
            <a:effectLst/>
          </c:spPr>
          <c:explosion val="0"/>
          <c:dPt>
            <c:idx val="0"/>
            <c:bubble3D val="false"/>
            <c:spPr>
              <a:solidFill>
                <a:srgbClr val="63B1EF">
                  <a:alpha val="67000"/>
                </a:srgbClr>
              </a:solidFill>
              <a:ln w="19050" cap="rnd">
                <a:noFill/>
                <a:round/>
              </a:ln>
              <a:effectLst/>
            </c:spPr>
          </c:dPt>
          <c:dPt>
            <c:idx val="1"/>
            <c:bubble3D val="false"/>
            <c:spPr>
              <a:solidFill>
                <a:srgbClr val="75D890">
                  <a:alpha val="67000"/>
                </a:srgbClr>
              </a:solidFill>
              <a:ln w="19050" cap="rnd">
                <a:noFill/>
                <a:round/>
              </a:ln>
              <a:effectLst/>
            </c:spPr>
          </c:dPt>
          <c:dLbls>
            <c:dLbl>
              <c:idx val="0"/>
              <c:layout>
                <c:manualLayout>
                  <c:x val="-0.142859111843148"/>
                  <c:y val="-0.197907480447552"/>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基本支出</a:t>
                    </a:r>
                    <a:r>
                      <a:rPr lang="en-US" altLang="zh-CN"/>
                      <a:t>672.68</a:t>
                    </a:r>
                    <a:r>
                      <a:rPr altLang="en-US"/>
                      <a:t>万元，占比</a:t>
                    </a:r>
                    <a:r>
                      <a:rPr lang="en-US" altLang="zh-CN"/>
                      <a:t>79.09%</a:t>
                    </a:r>
                    <a:endParaRPr lang="en-US" altLang="zh-CN"/>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19243778690505"/>
                      <c:h val="0.226731831704207"/>
                    </c:manualLayout>
                  </c15:layout>
                </c:ext>
              </c:extLst>
            </c:dLbl>
            <c:dLbl>
              <c:idx val="1"/>
              <c:layout>
                <c:manualLayout>
                  <c:x val="0.0914560123454895"/>
                  <c:y val="0.195102410744953"/>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项目支出</a:t>
                    </a:r>
                    <a:r>
                      <a:rPr lang="en-US" altLang="zh-CN"/>
                      <a:t>177.8</a:t>
                    </a:r>
                    <a:r>
                      <a:rPr altLang="en-US"/>
                      <a:t>万元，占比</a:t>
                    </a:r>
                    <a:r>
                      <a:rPr lang="en-US" altLang="zh-CN"/>
                      <a:t>20.91%</a:t>
                    </a:r>
                    <a:endParaRPr lang="en-US" altLang="zh-CN"/>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manualLayout>
                      <c:w val="0.176570197044335"/>
                      <c:h val="0.238872403560831"/>
                    </c:manualLayout>
                  </c15:layout>
                </c:ext>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672.68</c:v>
                </c:pt>
                <c:pt idx="1">
                  <c:v>177.8</c:v>
                </c:pt>
              </c:numCache>
            </c:numRef>
          </c:val>
        </c:ser>
        <c:dLbls>
          <c:showLegendKey val="false"/>
          <c:showVal val="false"/>
          <c:showCatName val="true"/>
          <c:showSerName val="false"/>
          <c:showPercent val="true"/>
          <c:showBubbleSize val="false"/>
          <c:showLeaderLines val="true"/>
        </c:dLbls>
        <c:firstSliceAng val="0"/>
      </c:pieChart>
      <c:spPr>
        <a:pattFill prst="lgGrid">
          <a:fgClr>
            <a:srgbClr val="F8F8F8"/>
          </a:fgClr>
          <a:bgClr>
            <a:schemeClr val="bg1"/>
          </a:bgClr>
        </a:pattFill>
        <a:ln>
          <a:solidFill>
            <a:schemeClr val="bg1">
              <a:lumMod val="95000"/>
            </a:schemeClr>
          </a:solidFill>
        </a:ln>
        <a:effectLst/>
      </c:spPr>
    </c:plotArea>
    <c:legend>
      <c:legendPos val="r"/>
      <c:layout>
        <c:manualLayout>
          <c:xMode val="edge"/>
          <c:yMode val="edge"/>
          <c:x val="0.758637352017395"/>
          <c:y val="0.764449638759031"/>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1064118205232"/>
          <c:y val="0.0567124501550731"/>
          <c:w val="0.819113460756405"/>
          <c:h val="0.622552060256978"/>
        </c:manualLayout>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762.6万元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762.6</c:v>
                </c:pt>
              </c:numCache>
            </c:numRef>
          </c:val>
        </c:ser>
        <c:ser>
          <c:idx val="1"/>
          <c:order val="1"/>
          <c:tx>
            <c:strRef>
              <c:f>Sheet1!$C$1</c:f>
              <c:strCache>
                <c:ptCount val="1"/>
                <c:pt idx="0">
                  <c:v>2022年</c:v>
                </c:pt>
              </c:strCache>
            </c:strRef>
          </c:tx>
          <c:spPr>
            <a:solidFill>
              <a:schemeClr val="accent2"/>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866.73万元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866.73</c:v>
                </c:pt>
              </c:numCache>
            </c:numRef>
          </c:val>
        </c:ser>
        <c:dLbls>
          <c:showLegendKey val="false"/>
          <c:showVal val="true"/>
          <c:showCatName val="false"/>
          <c:showSerName val="false"/>
          <c:showPercent val="false"/>
          <c:showBubbleSize val="false"/>
        </c:dLbls>
        <c:gapWidth val="246"/>
        <c:overlap val="-28"/>
        <c:axId val="792920474"/>
        <c:axId val="947064817"/>
      </c:barChart>
      <c:catAx>
        <c:axId val="792920474"/>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7064817"/>
        <c:crosses val="autoZero"/>
        <c:auto val="true"/>
        <c:lblAlgn val="ctr"/>
        <c:lblOffset val="100"/>
        <c:noMultiLvlLbl val="false"/>
      </c:catAx>
      <c:valAx>
        <c:axId val="947064817"/>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2920474"/>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1064118205232"/>
          <c:y val="0.0567124501550731"/>
          <c:w val="0.819113460756405"/>
          <c:h val="0.622552060256978"/>
        </c:manualLayout>
      </c:layout>
      <c:barChart>
        <c:barDir val="col"/>
        <c:grouping val="clustered"/>
        <c:varyColors val="false"/>
        <c:ser>
          <c:idx val="0"/>
          <c:order val="0"/>
          <c:tx>
            <c:strRef>
              <c:f>Sheet1!$B$1</c:f>
              <c:strCache>
                <c:ptCount val="1"/>
                <c:pt idx="0">
                  <c:v>2021年</c:v>
                </c:pt>
              </c:strCache>
            </c:strRef>
          </c:tx>
          <c:spPr>
            <a:solidFill>
              <a:schemeClr val="accent1"/>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632.51</a:t>
                    </a:r>
                    <a:r>
                      <a:t>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false"/>
            <c:dispEq val="false"/>
          </c:trendline>
          <c:errBars>
            <c:errBarType val="both"/>
            <c:errValType val="stdErr"/>
            <c:noEndCap val="false"/>
            <c:spPr>
              <a:noFill/>
              <a:ln w="9525" cap="flat" cmpd="sng" algn="ctr">
                <a:solidFill>
                  <a:schemeClr val="tx1">
                    <a:lumMod val="65000"/>
                    <a:lumOff val="35000"/>
                  </a:schemeClr>
                </a:solidFill>
                <a:round/>
              </a:ln>
              <a:effectLst/>
            </c:spPr>
          </c:errBars>
          <c:cat>
            <c:numRef>
              <c:f>Sheet1!$A$2</c:f>
              <c:numCache>
                <c:formatCode>General</c:formatCode>
                <c:ptCount val="1"/>
              </c:numCache>
            </c:numRef>
          </c:cat>
          <c:val>
            <c:numRef>
              <c:f>Sheet1!$B$2</c:f>
              <c:numCache>
                <c:formatCode>General</c:formatCode>
                <c:ptCount val="1"/>
                <c:pt idx="0">
                  <c:v>632.51</c:v>
                </c:pt>
              </c:numCache>
            </c:numRef>
          </c:val>
        </c:ser>
        <c:ser>
          <c:idx val="1"/>
          <c:order val="1"/>
          <c:tx>
            <c:strRef>
              <c:f>Sheet1!$C$1</c:f>
              <c:strCache>
                <c:ptCount val="1"/>
                <c:pt idx="0">
                  <c:v>2022年</c:v>
                </c:pt>
              </c:strCache>
            </c:strRef>
          </c:tx>
          <c:spPr>
            <a:solidFill>
              <a:schemeClr val="accent2"/>
            </a:solidFill>
            <a:ln>
              <a:noFill/>
            </a:ln>
            <a:effectLst/>
          </c:spPr>
          <c:invertIfNegative val="false"/>
          <c:dLbls>
            <c:dLbl>
              <c:idx val="0"/>
              <c:layout>
                <c:manualLayout>
                  <c:x val="-0.00488003253355022"/>
                  <c:y val="0"/>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850.48</a:t>
                    </a:r>
                    <a:r>
                      <a:t>万元</a:t>
                    </a:r>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errBars>
            <c:errBarType val="both"/>
            <c:errValType val="stdErr"/>
            <c:noEndCap val="false"/>
            <c:spPr>
              <a:noFill/>
              <a:ln w="9525" cap="flat" cmpd="sng" algn="ctr">
                <a:solidFill>
                  <a:schemeClr val="tx1">
                    <a:lumMod val="65000"/>
                    <a:lumOff val="35000"/>
                  </a:schemeClr>
                </a:solidFill>
                <a:round/>
              </a:ln>
              <a:effectLst/>
            </c:spPr>
          </c:errBars>
          <c:cat>
            <c:numRef>
              <c:f>Sheet1!$A$2</c:f>
              <c:numCache>
                <c:formatCode>General</c:formatCode>
                <c:ptCount val="1"/>
              </c:numCache>
            </c:numRef>
          </c:cat>
          <c:val>
            <c:numRef>
              <c:f>Sheet1!$C$2</c:f>
              <c:numCache>
                <c:formatCode>General</c:formatCode>
                <c:ptCount val="1"/>
                <c:pt idx="0">
                  <c:v>850.48</c:v>
                </c:pt>
              </c:numCache>
            </c:numRef>
          </c:val>
        </c:ser>
        <c:dLbls>
          <c:showLegendKey val="false"/>
          <c:showVal val="true"/>
          <c:showCatName val="false"/>
          <c:showSerName val="false"/>
          <c:showPercent val="false"/>
          <c:showBubbleSize val="false"/>
        </c:dLbls>
        <c:gapWidth val="246"/>
        <c:overlap val="-28"/>
        <c:axId val="792920474"/>
        <c:axId val="947064817"/>
      </c:barChart>
      <c:catAx>
        <c:axId val="792920474"/>
        <c:scaling>
          <c:orientation val="minMax"/>
        </c:scaling>
        <c:delete val="true"/>
        <c:axPos val="b"/>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47064817"/>
        <c:crosses val="autoZero"/>
        <c:auto val="true"/>
        <c:lblAlgn val="ctr"/>
        <c:lblOffset val="100"/>
        <c:noMultiLvlLbl val="false"/>
      </c:catAx>
      <c:valAx>
        <c:axId val="947064817"/>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92920474"/>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egendEntry>
        <c:idx val="2"/>
        <c:delete val="true"/>
      </c:legendEntry>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298067413404152"/>
          <c:y val="0.199134199134199"/>
          <c:w val="0.411575273422998"/>
          <c:h val="0.693263804713804"/>
        </c:manualLayout>
      </c:layout>
      <c:pieChart>
        <c:varyColors val="true"/>
        <c:ser>
          <c:idx val="0"/>
          <c:order val="0"/>
          <c:tx>
            <c:strRef>
              <c:f>Sheet1!$B$1</c:f>
              <c:strCache>
                <c:ptCount val="1"/>
                <c:pt idx="0">
                  <c:v>销售额</c:v>
                </c:pt>
              </c:strCache>
            </c:strRef>
          </c:tx>
          <c:spPr>
            <a:solidFill>
              <a:srgbClr val="63B1EF">
                <a:alpha val="67000"/>
              </a:srgbClr>
            </a:solidFill>
            <a:ln w="19050" cap="rnd">
              <a:noFill/>
              <a:round/>
            </a:ln>
            <a:effectLst/>
          </c:spPr>
          <c:explosion val="0"/>
          <c:dPt>
            <c:idx val="0"/>
            <c:bubble3D val="false"/>
            <c:spPr>
              <a:solidFill>
                <a:srgbClr val="63B1EF">
                  <a:alpha val="67000"/>
                </a:srgbClr>
              </a:solidFill>
              <a:ln w="19050" cap="rnd">
                <a:noFill/>
                <a:round/>
              </a:ln>
              <a:effectLst/>
            </c:spPr>
          </c:dPt>
          <c:dPt>
            <c:idx val="1"/>
            <c:bubble3D val="false"/>
            <c:spPr>
              <a:solidFill>
                <a:srgbClr val="75D890">
                  <a:alpha val="67000"/>
                </a:srgbClr>
              </a:solidFill>
              <a:ln w="19050" cap="rnd">
                <a:noFill/>
                <a:round/>
              </a:ln>
              <a:effectLst/>
            </c:spPr>
          </c:dPt>
          <c:dPt>
            <c:idx val="2"/>
            <c:bubble3D val="false"/>
            <c:spPr>
              <a:solidFill>
                <a:srgbClr val="FB7E72">
                  <a:alpha val="67000"/>
                </a:srgbClr>
              </a:solidFill>
              <a:ln w="19050" cap="rnd">
                <a:noFill/>
                <a:round/>
              </a:ln>
              <a:effectLst/>
            </c:spPr>
          </c:dPt>
          <c:dPt>
            <c:idx val="3"/>
            <c:bubble3D val="false"/>
            <c:spPr>
              <a:solidFill>
                <a:srgbClr val="F8AC41">
                  <a:alpha val="67000"/>
                </a:srgbClr>
              </a:solidFill>
              <a:ln w="19050" cap="rnd">
                <a:noFill/>
                <a:round/>
              </a:ln>
              <a:effectLst/>
            </c:spPr>
          </c:dPt>
          <c:dLbls>
            <c:dLbl>
              <c:idx val="0"/>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社会保障和就业（类）支出8</a:t>
                    </a:r>
                    <a:r>
                      <a:rPr lang="en-US" altLang="zh-CN"/>
                      <a:t>8.77</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manualLayout>
                  <c:x val="-0.0846436574678205"/>
                  <c:y val="-0.000354023632890092"/>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卫生健康支出2</a:t>
                    </a:r>
                    <a:r>
                      <a:rPr lang="en-US" altLang="zh-CN"/>
                      <a:t>.21</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0158910173383893"/>
                  <c:y val="-0.0779966447359543"/>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农林水支出</a:t>
                    </a:r>
                  </a:p>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1.82</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3"/>
              <c:layout>
                <c:manualLayout>
                  <c:x val="0.158992366156021"/>
                  <c:y val="-0.0242299411170702"/>
                </c:manualLayout>
              </c:layout>
              <c:tx>
                <c:rich>
                  <a:bodyPr rot="0" spcFirstLastPara="0" vertOverflow="ellipsis" vert="horz" wrap="square" lIns="38100" tIns="19050" rIns="38100" bIns="19050" anchor="ctr" anchorCtr="true" forceAA="false"/>
                  <a:lstStyle/>
                  <a:p>
                    <a:pPr defTabSz="914400">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住房保障支出7</a:t>
                    </a:r>
                    <a:r>
                      <a:rPr lang="en-US" altLang="zh-CN"/>
                      <a:t>.2</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社会保障和就业（类）支出</c:v>
                </c:pt>
                <c:pt idx="1">
                  <c:v>卫生健康支出</c:v>
                </c:pt>
                <c:pt idx="2">
                  <c:v>农林水支出</c:v>
                </c:pt>
                <c:pt idx="3">
                  <c:v>住房保障支出</c:v>
                </c:pt>
              </c:strCache>
            </c:strRef>
          </c:cat>
          <c:val>
            <c:numRef>
              <c:f>Sheet1!$B$2:$B$5</c:f>
              <c:numCache>
                <c:formatCode>General</c:formatCode>
                <c:ptCount val="4"/>
                <c:pt idx="0">
                  <c:v>754.97</c:v>
                </c:pt>
                <c:pt idx="1">
                  <c:v>18.77</c:v>
                </c:pt>
                <c:pt idx="2">
                  <c:v>15.46</c:v>
                </c:pt>
                <c:pt idx="3">
                  <c:v>61.27</c:v>
                </c:pt>
              </c:numCache>
            </c:numRef>
          </c:val>
        </c:ser>
        <c:dLbls>
          <c:showLegendKey val="false"/>
          <c:showVal val="false"/>
          <c:showCatName val="true"/>
          <c:showSerName val="false"/>
          <c:showPercent val="true"/>
          <c:showBubbleSize val="false"/>
          <c:showLeaderLines val="true"/>
        </c:dLbls>
        <c:firstSliceAng val="0"/>
      </c:pieChart>
      <c:spPr>
        <a:pattFill prst="lgGrid">
          <a:fgClr>
            <a:srgbClr val="F8F8F8"/>
          </a:fgClr>
          <a:bgClr>
            <a:schemeClr val="bg1"/>
          </a:bgClr>
        </a:pattFill>
        <a:ln>
          <a:solidFill>
            <a:schemeClr val="bg1">
              <a:lumMod val="95000"/>
            </a:schemeClr>
          </a:solidFill>
        </a:ln>
        <a:effectLst/>
      </c:spPr>
    </c:plotArea>
    <c:legend>
      <c:legendPos val="r"/>
      <c:layout>
        <c:manualLayout>
          <c:xMode val="edge"/>
          <c:yMode val="edge"/>
          <c:x val="0.716917488323819"/>
          <c:y val="0.473734027449124"/>
          <c:w val="0.279190451478983"/>
          <c:h val="0.288215806909607"/>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31</Pages>
  <Words>14174</Words>
  <Characters>15719</Characters>
  <Lines>61</Lines>
  <Paragraphs>17</Paragraphs>
  <TotalTime>15</TotalTime>
  <ScaleCrop>false</ScaleCrop>
  <LinksUpToDate>false</LinksUpToDate>
  <CharactersWithSpaces>15807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uos</cp:lastModifiedBy>
  <cp:lastPrinted>2023-10-16T14:34:00Z</cp:lastPrinted>
  <dcterms:modified xsi:type="dcterms:W3CDTF">2023-10-17T08:56:05Z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18C4299B72334D3095585539B3212D20</vt:lpwstr>
  </property>
</Properties>
</file>