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小标宋简体" w:hAnsi="宋体" w:eastAsia="方正小标宋简体"/>
          <w:szCs w:val="21"/>
        </w:rPr>
      </w:pPr>
      <w:bookmarkStart w:id="0" w:name="_Toc15306267"/>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31254"/>
      <w:bookmarkStart w:id="2" w:name="_Toc5464"/>
      <w:bookmarkStart w:id="3" w:name="_Toc15396475"/>
      <w:bookmarkStart w:id="4" w:name="_Toc15377193"/>
      <w:bookmarkStart w:id="5" w:name="_Toc13969"/>
      <w:bookmarkStart w:id="6" w:name="_Toc15377425"/>
      <w:bookmarkStart w:id="7" w:name="_Toc15396597"/>
      <w:bookmarkStart w:id="8" w:name="_Toc15378441"/>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bookmarkEnd w:id="6"/>
      <w:bookmarkEnd w:id="7"/>
      <w:bookmarkEnd w:id="8"/>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9" w:name="_Toc15378442"/>
      <w:bookmarkStart w:id="10" w:name="_Toc15396598"/>
      <w:bookmarkStart w:id="11" w:name="_Toc15377426"/>
      <w:bookmarkStart w:id="12" w:name="_Toc15396476"/>
      <w:bookmarkStart w:id="13" w:name="_Toc15377194"/>
      <w:bookmarkStart w:id="14" w:name="_Toc30430"/>
      <w:bookmarkStart w:id="15" w:name="_Toc7656"/>
      <w:bookmarkStart w:id="16" w:name="_Toc6920"/>
      <w:r>
        <w:rPr>
          <w:rFonts w:hint="eastAsia" w:ascii="方正小标宋简体" w:hAnsi="方正小标宋简体" w:eastAsia="方正小标宋简体" w:cs="方正小标宋简体"/>
          <w:sz w:val="72"/>
          <w:szCs w:val="72"/>
        </w:rPr>
        <w:t>广元市</w:t>
      </w:r>
      <w:bookmarkEnd w:id="0"/>
      <w:bookmarkStart w:id="17" w:name="_Toc15306268"/>
      <w:r>
        <w:rPr>
          <w:rFonts w:hint="eastAsia" w:ascii="方正小标宋简体" w:hAnsi="方正小标宋简体" w:eastAsia="方正小标宋简体" w:cs="方正小标宋简体"/>
          <w:sz w:val="72"/>
          <w:szCs w:val="72"/>
        </w:rPr>
        <w:t>社会保险事务中心单位决算</w:t>
      </w:r>
      <w:bookmarkEnd w:id="9"/>
      <w:bookmarkEnd w:id="10"/>
      <w:bookmarkEnd w:id="11"/>
      <w:bookmarkEnd w:id="12"/>
      <w:bookmarkEnd w:id="13"/>
      <w:bookmarkEnd w:id="14"/>
      <w:bookmarkEnd w:id="15"/>
      <w:bookmarkEnd w:id="16"/>
      <w:bookmarkEnd w:id="17"/>
    </w:p>
    <w:p>
      <w:pPr>
        <w:widowControl/>
        <w:jc w:val="center"/>
        <w:rPr>
          <w:rFonts w:ascii="黑体" w:hAnsi="黑体" w:eastAsia="黑体" w:cstheme="minorBidi"/>
          <w:sz w:val="28"/>
          <w:szCs w:val="28"/>
        </w:rPr>
      </w:pPr>
      <w:r>
        <w:rPr>
          <w:rFonts w:ascii="方正小标宋简体" w:hAnsi="宋体" w:eastAsia="方正小标宋简体"/>
          <w:sz w:val="36"/>
          <w:szCs w:val="36"/>
        </w:rPr>
        <w:br w:type="page"/>
      </w:r>
      <w:r>
        <w:rPr>
          <w:rFonts w:hint="eastAsia" w:ascii="黑体" w:hAnsi="黑体" w:eastAsia="黑体"/>
          <w:sz w:val="48"/>
          <w:szCs w:val="48"/>
        </w:rPr>
        <w:t>目   录</w:t>
      </w:r>
    </w:p>
    <w:p>
      <w:pPr>
        <w:pStyle w:val="11"/>
      </w:pPr>
      <w:r>
        <w:rPr>
          <w:rFonts w:hint="eastAsia"/>
        </w:rPr>
        <w:t>公开时间：2023年10 月18日</w:t>
      </w:r>
    </w:p>
    <w:sdt>
      <w:sdtPr>
        <w:rPr>
          <w:rFonts w:ascii="宋体" w:hAnsi="宋体"/>
        </w:rPr>
        <w:id w:val="147468113"/>
        <w:docPartObj>
          <w:docPartGallery w:val="Table of Contents"/>
          <w:docPartUnique/>
        </w:docPartObj>
      </w:sdtPr>
      <w:sdtEndPr>
        <w:rPr>
          <w:rFonts w:ascii="宋体" w:hAnsi="宋体"/>
          <w:b/>
        </w:rPr>
      </w:sdtEndPr>
      <w:sdtContent>
        <w:p>
          <w:pPr>
            <w:jc w:val="center"/>
          </w:pPr>
          <w:bookmarkStart w:id="18" w:name="_Toc15377196"/>
          <w:bookmarkStart w:id="19" w:name="_Toc15396599"/>
          <w:r>
            <w:fldChar w:fldCharType="begin"/>
          </w:r>
          <w:r>
            <w:instrText xml:space="preserve">TOC \o "1-2" \h \u </w:instrText>
          </w:r>
          <w:r>
            <w:fldChar w:fldCharType="separate"/>
          </w:r>
        </w:p>
        <w:p>
          <w:pPr>
            <w:pStyle w:val="11"/>
            <w:tabs>
              <w:tab w:val="right" w:leader="dot" w:pos="8306"/>
              <w:tab w:val="clear" w:pos="8296"/>
            </w:tabs>
          </w:pPr>
          <w:r>
            <w:fldChar w:fldCharType="begin"/>
          </w:r>
          <w:r>
            <w:instrText xml:space="preserve"> HYPERLINK \l "_Toc7406" </w:instrText>
          </w:r>
          <w:r>
            <w:fldChar w:fldCharType="separate"/>
          </w:r>
          <w:r>
            <w:rPr>
              <w:rFonts w:hint="eastAsia" w:ascii="黑体" w:hAnsi="黑体" w:eastAsia="黑体"/>
            </w:rPr>
            <w:t>第一部分 单位概况</w:t>
          </w:r>
          <w:r>
            <w:tab/>
          </w:r>
          <w:r>
            <w:fldChar w:fldCharType="begin"/>
          </w:r>
          <w:r>
            <w:instrText xml:space="preserve"> PAGEREF _Toc7406 \h </w:instrText>
          </w:r>
          <w:r>
            <w:fldChar w:fldCharType="separate"/>
          </w:r>
          <w:r>
            <w:t>1</w:t>
          </w:r>
          <w:r>
            <w:fldChar w:fldCharType="end"/>
          </w:r>
          <w:r>
            <w:fldChar w:fldCharType="end"/>
          </w:r>
        </w:p>
        <w:p>
          <w:pPr>
            <w:pStyle w:val="12"/>
            <w:tabs>
              <w:tab w:val="right" w:leader="dot" w:pos="8306"/>
              <w:tab w:val="clear" w:pos="8296"/>
            </w:tabs>
            <w:rPr>
              <w:rFonts w:hint="eastAsia" w:ascii="仿宋" w:hAnsi="仿宋" w:eastAsia="仿宋"/>
            </w:rPr>
          </w:pPr>
          <w:r>
            <w:rPr>
              <w:rFonts w:hint="eastAsia" w:ascii="仿宋" w:hAnsi="仿宋" w:eastAsia="仿宋"/>
            </w:rPr>
            <w:fldChar w:fldCharType="begin"/>
          </w:r>
          <w:r>
            <w:rPr>
              <w:rFonts w:hint="eastAsia" w:ascii="仿宋" w:hAnsi="仿宋" w:eastAsia="仿宋"/>
            </w:rPr>
            <w:instrText xml:space="preserve"> HYPERLINK \l "_Toc30771" </w:instrText>
          </w:r>
          <w:r>
            <w:rPr>
              <w:rFonts w:hint="eastAsia" w:ascii="仿宋" w:hAnsi="仿宋" w:eastAsia="仿宋"/>
            </w:rPr>
            <w:fldChar w:fldCharType="separate"/>
          </w:r>
          <w:r>
            <w:rPr>
              <w:rFonts w:hint="eastAsia" w:ascii="仿宋" w:hAnsi="仿宋" w:eastAsia="仿宋"/>
            </w:rPr>
            <w:t>一．主要职责</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PAGEREF _Toc30771 \h </w:instrText>
          </w:r>
          <w:r>
            <w:rPr>
              <w:rFonts w:hint="eastAsia" w:ascii="仿宋" w:hAnsi="仿宋" w:eastAsia="仿宋"/>
            </w:rPr>
            <w:fldChar w:fldCharType="separate"/>
          </w:r>
          <w:r>
            <w:rPr>
              <w:rFonts w:hint="eastAsia" w:ascii="仿宋" w:hAnsi="仿宋" w:eastAsia="仿宋"/>
            </w:rPr>
            <w:t>1</w:t>
          </w:r>
          <w:r>
            <w:rPr>
              <w:rFonts w:hint="eastAsia" w:ascii="仿宋" w:hAnsi="仿宋" w:eastAsia="仿宋"/>
            </w:rPr>
            <w:fldChar w:fldCharType="end"/>
          </w:r>
          <w:r>
            <w:rPr>
              <w:rFonts w:hint="eastAsia" w:ascii="仿宋" w:hAnsi="仿宋" w:eastAsia="仿宋"/>
            </w:rPr>
            <w:fldChar w:fldCharType="end"/>
          </w:r>
        </w:p>
        <w:p>
          <w:pPr>
            <w:pStyle w:val="12"/>
            <w:tabs>
              <w:tab w:val="right" w:leader="dot" w:pos="8306"/>
              <w:tab w:val="clear" w:pos="8296"/>
            </w:tabs>
            <w:rPr>
              <w:rFonts w:hint="eastAsia" w:ascii="仿宋" w:hAnsi="仿宋" w:eastAsia="仿宋"/>
            </w:rPr>
          </w:pPr>
          <w:r>
            <w:rPr>
              <w:rFonts w:hint="eastAsia" w:ascii="仿宋" w:hAnsi="仿宋" w:eastAsia="仿宋"/>
            </w:rPr>
            <w:fldChar w:fldCharType="begin"/>
          </w:r>
          <w:r>
            <w:rPr>
              <w:rFonts w:hint="eastAsia" w:ascii="仿宋" w:hAnsi="仿宋" w:eastAsia="仿宋"/>
            </w:rPr>
            <w:instrText xml:space="preserve"> HYPERLINK \l "_Toc22004" </w:instrText>
          </w:r>
          <w:r>
            <w:rPr>
              <w:rFonts w:hint="eastAsia" w:ascii="仿宋" w:hAnsi="仿宋" w:eastAsia="仿宋"/>
            </w:rPr>
            <w:fldChar w:fldCharType="separate"/>
          </w:r>
          <w:r>
            <w:rPr>
              <w:rFonts w:hint="eastAsia" w:ascii="仿宋" w:hAnsi="仿宋" w:eastAsia="仿宋"/>
            </w:rPr>
            <w:t>二、机构设置</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PAGEREF _Toc22004 \h </w:instrText>
          </w:r>
          <w:r>
            <w:rPr>
              <w:rFonts w:hint="eastAsia" w:ascii="仿宋" w:hAnsi="仿宋" w:eastAsia="仿宋"/>
            </w:rPr>
            <w:fldChar w:fldCharType="separate"/>
          </w:r>
          <w:r>
            <w:rPr>
              <w:rFonts w:hint="eastAsia" w:ascii="仿宋" w:hAnsi="仿宋" w:eastAsia="仿宋"/>
            </w:rPr>
            <w:t>1</w:t>
          </w:r>
          <w:r>
            <w:rPr>
              <w:rFonts w:hint="eastAsia" w:ascii="仿宋" w:hAnsi="仿宋" w:eastAsia="仿宋"/>
            </w:rPr>
            <w:fldChar w:fldCharType="end"/>
          </w:r>
          <w:r>
            <w:rPr>
              <w:rFonts w:hint="eastAsia" w:ascii="仿宋" w:hAnsi="仿宋" w:eastAsia="仿宋"/>
            </w:rPr>
            <w:fldChar w:fldCharType="end"/>
          </w:r>
        </w:p>
        <w:p>
          <w:pPr>
            <w:pStyle w:val="11"/>
            <w:tabs>
              <w:tab w:val="right" w:leader="dot" w:pos="8306"/>
              <w:tab w:val="clear" w:pos="8296"/>
            </w:tabs>
          </w:pPr>
          <w:r>
            <w:fldChar w:fldCharType="begin"/>
          </w:r>
          <w:r>
            <w:instrText xml:space="preserve"> HYPERLINK \l "_Toc9777" </w:instrText>
          </w:r>
          <w:r>
            <w:fldChar w:fldCharType="separate"/>
          </w:r>
          <w:r>
            <w:rPr>
              <w:rFonts w:hint="eastAsia" w:ascii="黑体" w:hAnsi="黑体" w:eastAsia="黑体"/>
              <w:bCs/>
            </w:rPr>
            <w:t>第二部分 2022年度单位决算情况说明</w:t>
          </w:r>
          <w:r>
            <w:tab/>
          </w:r>
          <w:r>
            <w:fldChar w:fldCharType="begin"/>
          </w:r>
          <w:r>
            <w:instrText xml:space="preserve"> PAGEREF _Toc9777 \h </w:instrText>
          </w:r>
          <w:r>
            <w:fldChar w:fldCharType="separate"/>
          </w:r>
          <w:r>
            <w:t>2</w:t>
          </w:r>
          <w:r>
            <w:fldChar w:fldCharType="end"/>
          </w:r>
          <w:r>
            <w:fldChar w:fldCharType="end"/>
          </w:r>
        </w:p>
        <w:p>
          <w:pPr>
            <w:pStyle w:val="12"/>
            <w:tabs>
              <w:tab w:val="right" w:leader="dot" w:pos="8306"/>
              <w:tab w:val="clear" w:pos="8296"/>
            </w:tabs>
            <w:rPr>
              <w:rFonts w:hint="eastAsia" w:ascii="仿宋" w:hAnsi="仿宋" w:eastAsia="仿宋"/>
            </w:rPr>
          </w:pPr>
          <w:r>
            <w:rPr>
              <w:rFonts w:hint="eastAsia" w:ascii="仿宋" w:hAnsi="仿宋" w:eastAsia="仿宋"/>
            </w:rPr>
            <w:fldChar w:fldCharType="begin"/>
          </w:r>
          <w:r>
            <w:rPr>
              <w:rFonts w:hint="eastAsia" w:ascii="仿宋" w:hAnsi="仿宋" w:eastAsia="仿宋"/>
            </w:rPr>
            <w:instrText xml:space="preserve"> HYPERLINK \l "_Toc4205" </w:instrText>
          </w:r>
          <w:r>
            <w:rPr>
              <w:rFonts w:hint="eastAsia" w:ascii="仿宋" w:hAnsi="仿宋" w:eastAsia="仿宋"/>
            </w:rPr>
            <w:fldChar w:fldCharType="separate"/>
          </w:r>
          <w:r>
            <w:rPr>
              <w:rFonts w:hint="eastAsia" w:ascii="仿宋" w:hAnsi="仿宋" w:eastAsia="仿宋"/>
            </w:rPr>
            <w:t>一、 收入支出决算总体情况说明</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PAGEREF _Toc4205 \h </w:instrText>
          </w:r>
          <w:r>
            <w:rPr>
              <w:rFonts w:hint="eastAsia" w:ascii="仿宋" w:hAnsi="仿宋" w:eastAsia="仿宋"/>
            </w:rPr>
            <w:fldChar w:fldCharType="separate"/>
          </w:r>
          <w:r>
            <w:rPr>
              <w:rFonts w:hint="eastAsia" w:ascii="仿宋" w:hAnsi="仿宋" w:eastAsia="仿宋"/>
            </w:rPr>
            <w:t>2</w:t>
          </w:r>
          <w:r>
            <w:rPr>
              <w:rFonts w:hint="eastAsia" w:ascii="仿宋" w:hAnsi="仿宋" w:eastAsia="仿宋"/>
            </w:rPr>
            <w:fldChar w:fldCharType="end"/>
          </w:r>
          <w:r>
            <w:rPr>
              <w:rFonts w:hint="eastAsia" w:ascii="仿宋" w:hAnsi="仿宋" w:eastAsia="仿宋"/>
            </w:rPr>
            <w:fldChar w:fldCharType="end"/>
          </w:r>
        </w:p>
        <w:p>
          <w:pPr>
            <w:pStyle w:val="12"/>
            <w:tabs>
              <w:tab w:val="right" w:leader="dot" w:pos="8306"/>
              <w:tab w:val="clear" w:pos="8296"/>
            </w:tabs>
            <w:rPr>
              <w:rFonts w:hint="eastAsia" w:ascii="仿宋" w:hAnsi="仿宋" w:eastAsia="仿宋"/>
            </w:rPr>
          </w:pPr>
          <w:r>
            <w:rPr>
              <w:rFonts w:hint="eastAsia" w:ascii="仿宋" w:hAnsi="仿宋" w:eastAsia="仿宋"/>
            </w:rPr>
            <w:fldChar w:fldCharType="begin"/>
          </w:r>
          <w:r>
            <w:rPr>
              <w:rFonts w:hint="eastAsia" w:ascii="仿宋" w:hAnsi="仿宋" w:eastAsia="仿宋"/>
            </w:rPr>
            <w:instrText xml:space="preserve"> HYPERLINK \l "_Toc14993" </w:instrText>
          </w:r>
          <w:r>
            <w:rPr>
              <w:rFonts w:hint="eastAsia" w:ascii="仿宋" w:hAnsi="仿宋" w:eastAsia="仿宋"/>
            </w:rPr>
            <w:fldChar w:fldCharType="separate"/>
          </w:r>
          <w:r>
            <w:rPr>
              <w:rFonts w:hint="eastAsia" w:ascii="仿宋" w:hAnsi="仿宋" w:eastAsia="仿宋"/>
            </w:rPr>
            <w:t>二、 收入决算情况说明</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PAGEREF _Toc14993 \h </w:instrText>
          </w:r>
          <w:r>
            <w:rPr>
              <w:rFonts w:hint="eastAsia" w:ascii="仿宋" w:hAnsi="仿宋" w:eastAsia="仿宋"/>
            </w:rPr>
            <w:fldChar w:fldCharType="separate"/>
          </w:r>
          <w:r>
            <w:rPr>
              <w:rFonts w:hint="eastAsia" w:ascii="仿宋" w:hAnsi="仿宋" w:eastAsia="仿宋"/>
            </w:rPr>
            <w:t>2</w:t>
          </w:r>
          <w:r>
            <w:rPr>
              <w:rFonts w:hint="eastAsia" w:ascii="仿宋" w:hAnsi="仿宋" w:eastAsia="仿宋"/>
            </w:rPr>
            <w:fldChar w:fldCharType="end"/>
          </w:r>
          <w:r>
            <w:rPr>
              <w:rFonts w:hint="eastAsia" w:ascii="仿宋" w:hAnsi="仿宋" w:eastAsia="仿宋"/>
            </w:rPr>
            <w:fldChar w:fldCharType="end"/>
          </w:r>
        </w:p>
        <w:p>
          <w:pPr>
            <w:pStyle w:val="12"/>
            <w:tabs>
              <w:tab w:val="right" w:leader="dot" w:pos="8306"/>
              <w:tab w:val="clear" w:pos="8296"/>
            </w:tabs>
            <w:rPr>
              <w:rFonts w:hint="eastAsia" w:ascii="仿宋" w:hAnsi="仿宋" w:eastAsia="仿宋"/>
            </w:rPr>
          </w:pPr>
          <w:r>
            <w:rPr>
              <w:rFonts w:hint="eastAsia" w:ascii="仿宋" w:hAnsi="仿宋" w:eastAsia="仿宋"/>
            </w:rPr>
            <w:fldChar w:fldCharType="begin"/>
          </w:r>
          <w:r>
            <w:rPr>
              <w:rFonts w:hint="eastAsia" w:ascii="仿宋" w:hAnsi="仿宋" w:eastAsia="仿宋"/>
            </w:rPr>
            <w:instrText xml:space="preserve"> HYPERLINK \l "_Toc21645" </w:instrText>
          </w:r>
          <w:r>
            <w:rPr>
              <w:rFonts w:hint="eastAsia" w:ascii="仿宋" w:hAnsi="仿宋" w:eastAsia="仿宋"/>
            </w:rPr>
            <w:fldChar w:fldCharType="separate"/>
          </w:r>
          <w:r>
            <w:rPr>
              <w:rFonts w:hint="eastAsia" w:ascii="仿宋" w:hAnsi="仿宋" w:eastAsia="仿宋"/>
            </w:rPr>
            <w:t>三、 支出决算情况说明</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PAGEREF _Toc21645 \h </w:instrText>
          </w:r>
          <w:r>
            <w:rPr>
              <w:rFonts w:hint="eastAsia" w:ascii="仿宋" w:hAnsi="仿宋" w:eastAsia="仿宋"/>
            </w:rPr>
            <w:fldChar w:fldCharType="separate"/>
          </w:r>
          <w:r>
            <w:rPr>
              <w:rFonts w:hint="eastAsia" w:ascii="仿宋" w:hAnsi="仿宋" w:eastAsia="仿宋"/>
            </w:rPr>
            <w:t>3</w:t>
          </w:r>
          <w:r>
            <w:rPr>
              <w:rFonts w:hint="eastAsia" w:ascii="仿宋" w:hAnsi="仿宋" w:eastAsia="仿宋"/>
            </w:rPr>
            <w:fldChar w:fldCharType="end"/>
          </w:r>
          <w:r>
            <w:rPr>
              <w:rFonts w:hint="eastAsia" w:ascii="仿宋" w:hAnsi="仿宋" w:eastAsia="仿宋"/>
            </w:rPr>
            <w:fldChar w:fldCharType="end"/>
          </w:r>
        </w:p>
        <w:p>
          <w:pPr>
            <w:pStyle w:val="12"/>
            <w:tabs>
              <w:tab w:val="right" w:leader="dot" w:pos="8306"/>
              <w:tab w:val="clear" w:pos="8296"/>
            </w:tabs>
            <w:rPr>
              <w:rFonts w:hint="eastAsia" w:ascii="仿宋" w:hAnsi="仿宋" w:eastAsia="仿宋"/>
            </w:rPr>
          </w:pPr>
          <w:r>
            <w:rPr>
              <w:rFonts w:hint="eastAsia" w:ascii="仿宋" w:hAnsi="仿宋" w:eastAsia="仿宋"/>
            </w:rPr>
            <w:fldChar w:fldCharType="begin"/>
          </w:r>
          <w:r>
            <w:rPr>
              <w:rFonts w:hint="eastAsia" w:ascii="仿宋" w:hAnsi="仿宋" w:eastAsia="仿宋"/>
            </w:rPr>
            <w:instrText xml:space="preserve"> HYPERLINK \l "_Toc1169" </w:instrText>
          </w:r>
          <w:r>
            <w:rPr>
              <w:rFonts w:hint="eastAsia" w:ascii="仿宋" w:hAnsi="仿宋" w:eastAsia="仿宋"/>
            </w:rPr>
            <w:fldChar w:fldCharType="separate"/>
          </w:r>
          <w:r>
            <w:rPr>
              <w:rFonts w:hint="eastAsia" w:ascii="仿宋" w:hAnsi="仿宋" w:eastAsia="仿宋"/>
            </w:rPr>
            <w:t>四、财政拨款收入支出决算总体情况说明</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PAGEREF _Toc1169 \h </w:instrText>
          </w:r>
          <w:r>
            <w:rPr>
              <w:rFonts w:hint="eastAsia" w:ascii="仿宋" w:hAnsi="仿宋" w:eastAsia="仿宋"/>
            </w:rPr>
            <w:fldChar w:fldCharType="separate"/>
          </w:r>
          <w:r>
            <w:rPr>
              <w:rFonts w:hint="eastAsia" w:ascii="仿宋" w:hAnsi="仿宋" w:eastAsia="仿宋"/>
            </w:rPr>
            <w:t>3</w:t>
          </w:r>
          <w:r>
            <w:rPr>
              <w:rFonts w:hint="eastAsia" w:ascii="仿宋" w:hAnsi="仿宋" w:eastAsia="仿宋"/>
            </w:rPr>
            <w:fldChar w:fldCharType="end"/>
          </w:r>
          <w:r>
            <w:rPr>
              <w:rFonts w:hint="eastAsia" w:ascii="仿宋" w:hAnsi="仿宋" w:eastAsia="仿宋"/>
            </w:rPr>
            <w:fldChar w:fldCharType="end"/>
          </w:r>
        </w:p>
        <w:p>
          <w:pPr>
            <w:pStyle w:val="12"/>
            <w:tabs>
              <w:tab w:val="right" w:leader="dot" w:pos="8306"/>
              <w:tab w:val="clear" w:pos="8296"/>
            </w:tabs>
            <w:rPr>
              <w:rFonts w:hint="eastAsia" w:ascii="仿宋" w:hAnsi="仿宋" w:eastAsia="仿宋"/>
            </w:rPr>
          </w:pPr>
          <w:r>
            <w:rPr>
              <w:rFonts w:hint="eastAsia" w:ascii="仿宋" w:hAnsi="仿宋" w:eastAsia="仿宋"/>
            </w:rPr>
            <w:fldChar w:fldCharType="begin"/>
          </w:r>
          <w:r>
            <w:rPr>
              <w:rFonts w:hint="eastAsia" w:ascii="仿宋" w:hAnsi="仿宋" w:eastAsia="仿宋"/>
            </w:rPr>
            <w:instrText xml:space="preserve"> HYPERLINK \l "_Toc25870" </w:instrText>
          </w:r>
          <w:r>
            <w:rPr>
              <w:rFonts w:hint="eastAsia" w:ascii="仿宋" w:hAnsi="仿宋" w:eastAsia="仿宋"/>
            </w:rPr>
            <w:fldChar w:fldCharType="separate"/>
          </w:r>
          <w:r>
            <w:rPr>
              <w:rFonts w:hint="eastAsia" w:ascii="仿宋" w:hAnsi="仿宋" w:eastAsia="仿宋"/>
            </w:rPr>
            <w:t>五、一般公共预算财政拨款支</w:t>
          </w:r>
          <w:bookmarkStart w:id="103" w:name="_GoBack"/>
          <w:bookmarkEnd w:id="103"/>
          <w:r>
            <w:rPr>
              <w:rFonts w:hint="eastAsia" w:ascii="仿宋" w:hAnsi="仿宋" w:eastAsia="仿宋"/>
            </w:rPr>
            <w:t>出决算情况说明</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PAGEREF _Toc25870 \h </w:instrText>
          </w:r>
          <w:r>
            <w:rPr>
              <w:rFonts w:hint="eastAsia" w:ascii="仿宋" w:hAnsi="仿宋" w:eastAsia="仿宋"/>
            </w:rPr>
            <w:fldChar w:fldCharType="separate"/>
          </w:r>
          <w:r>
            <w:rPr>
              <w:rFonts w:hint="eastAsia" w:ascii="仿宋" w:hAnsi="仿宋" w:eastAsia="仿宋"/>
            </w:rPr>
            <w:t>4</w:t>
          </w:r>
          <w:r>
            <w:rPr>
              <w:rFonts w:hint="eastAsia" w:ascii="仿宋" w:hAnsi="仿宋" w:eastAsia="仿宋"/>
            </w:rPr>
            <w:fldChar w:fldCharType="end"/>
          </w:r>
          <w:r>
            <w:rPr>
              <w:rFonts w:hint="eastAsia" w:ascii="仿宋" w:hAnsi="仿宋" w:eastAsia="仿宋"/>
            </w:rPr>
            <w:fldChar w:fldCharType="end"/>
          </w:r>
        </w:p>
        <w:p>
          <w:pPr>
            <w:pStyle w:val="12"/>
            <w:tabs>
              <w:tab w:val="right" w:leader="dot" w:pos="8306"/>
              <w:tab w:val="clear" w:pos="8296"/>
            </w:tabs>
            <w:rPr>
              <w:rFonts w:hint="eastAsia" w:ascii="仿宋" w:hAnsi="仿宋" w:eastAsia="仿宋"/>
            </w:rPr>
          </w:pPr>
          <w:r>
            <w:rPr>
              <w:rFonts w:hint="eastAsia" w:ascii="仿宋" w:hAnsi="仿宋" w:eastAsia="仿宋"/>
            </w:rPr>
            <w:fldChar w:fldCharType="begin"/>
          </w:r>
          <w:r>
            <w:rPr>
              <w:rFonts w:hint="eastAsia" w:ascii="仿宋" w:hAnsi="仿宋" w:eastAsia="仿宋"/>
            </w:rPr>
            <w:instrText xml:space="preserve"> HYPERLINK \l "_Toc29358" </w:instrText>
          </w:r>
          <w:r>
            <w:rPr>
              <w:rFonts w:hint="eastAsia" w:ascii="仿宋" w:hAnsi="仿宋" w:eastAsia="仿宋"/>
            </w:rPr>
            <w:fldChar w:fldCharType="separate"/>
          </w:r>
          <w:r>
            <w:rPr>
              <w:rFonts w:hint="eastAsia" w:ascii="仿宋" w:hAnsi="仿宋" w:eastAsia="仿宋"/>
            </w:rPr>
            <w:t>六、一般公共预算财政拨款基本支出决算情况说明</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PAGEREF _Toc29358 \h </w:instrText>
          </w:r>
          <w:r>
            <w:rPr>
              <w:rFonts w:hint="eastAsia" w:ascii="仿宋" w:hAnsi="仿宋" w:eastAsia="仿宋"/>
            </w:rPr>
            <w:fldChar w:fldCharType="separate"/>
          </w:r>
          <w:r>
            <w:rPr>
              <w:rFonts w:hint="eastAsia" w:ascii="仿宋" w:hAnsi="仿宋" w:eastAsia="仿宋"/>
            </w:rPr>
            <w:t>6</w:t>
          </w:r>
          <w:r>
            <w:rPr>
              <w:rFonts w:hint="eastAsia" w:ascii="仿宋" w:hAnsi="仿宋" w:eastAsia="仿宋"/>
            </w:rPr>
            <w:fldChar w:fldCharType="end"/>
          </w:r>
          <w:r>
            <w:rPr>
              <w:rFonts w:hint="eastAsia" w:ascii="仿宋" w:hAnsi="仿宋" w:eastAsia="仿宋"/>
            </w:rPr>
            <w:fldChar w:fldCharType="end"/>
          </w:r>
        </w:p>
        <w:p>
          <w:pPr>
            <w:pStyle w:val="12"/>
            <w:tabs>
              <w:tab w:val="right" w:leader="dot" w:pos="8306"/>
              <w:tab w:val="clear" w:pos="8296"/>
            </w:tabs>
            <w:rPr>
              <w:rFonts w:hint="eastAsia" w:ascii="仿宋" w:hAnsi="仿宋" w:eastAsia="仿宋"/>
            </w:rPr>
          </w:pPr>
          <w:r>
            <w:rPr>
              <w:rFonts w:hint="eastAsia" w:ascii="仿宋" w:hAnsi="仿宋" w:eastAsia="仿宋"/>
            </w:rPr>
            <w:fldChar w:fldCharType="begin"/>
          </w:r>
          <w:r>
            <w:rPr>
              <w:rFonts w:hint="eastAsia" w:ascii="仿宋" w:hAnsi="仿宋" w:eastAsia="仿宋"/>
            </w:rPr>
            <w:instrText xml:space="preserve"> HYPERLINK \l "_Toc31354" </w:instrText>
          </w:r>
          <w:r>
            <w:rPr>
              <w:rFonts w:hint="eastAsia" w:ascii="仿宋" w:hAnsi="仿宋" w:eastAsia="仿宋"/>
            </w:rPr>
            <w:fldChar w:fldCharType="separate"/>
          </w:r>
          <w:r>
            <w:rPr>
              <w:rFonts w:hint="eastAsia" w:ascii="仿宋" w:hAnsi="仿宋" w:eastAsia="仿宋"/>
            </w:rPr>
            <w:t>七、财政拨款“三公”经费支出决算情况说明</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PAGEREF _Toc31354 \h </w:instrText>
          </w:r>
          <w:r>
            <w:rPr>
              <w:rFonts w:hint="eastAsia" w:ascii="仿宋" w:hAnsi="仿宋" w:eastAsia="仿宋"/>
            </w:rPr>
            <w:fldChar w:fldCharType="separate"/>
          </w:r>
          <w:r>
            <w:rPr>
              <w:rFonts w:hint="eastAsia" w:ascii="仿宋" w:hAnsi="仿宋" w:eastAsia="仿宋"/>
            </w:rPr>
            <w:t>6</w:t>
          </w:r>
          <w:r>
            <w:rPr>
              <w:rFonts w:hint="eastAsia" w:ascii="仿宋" w:hAnsi="仿宋" w:eastAsia="仿宋"/>
            </w:rPr>
            <w:fldChar w:fldCharType="end"/>
          </w:r>
          <w:r>
            <w:rPr>
              <w:rFonts w:hint="eastAsia" w:ascii="仿宋" w:hAnsi="仿宋" w:eastAsia="仿宋"/>
            </w:rPr>
            <w:fldChar w:fldCharType="end"/>
          </w:r>
        </w:p>
        <w:p>
          <w:pPr>
            <w:pStyle w:val="12"/>
            <w:tabs>
              <w:tab w:val="right" w:leader="dot" w:pos="8306"/>
              <w:tab w:val="clear" w:pos="8296"/>
            </w:tabs>
            <w:rPr>
              <w:rFonts w:hint="eastAsia" w:ascii="仿宋" w:hAnsi="仿宋" w:eastAsia="仿宋"/>
            </w:rPr>
          </w:pPr>
          <w:r>
            <w:rPr>
              <w:rFonts w:hint="eastAsia" w:ascii="仿宋" w:hAnsi="仿宋" w:eastAsia="仿宋"/>
            </w:rPr>
            <w:fldChar w:fldCharType="begin"/>
          </w:r>
          <w:r>
            <w:rPr>
              <w:rFonts w:hint="eastAsia" w:ascii="仿宋" w:hAnsi="仿宋" w:eastAsia="仿宋"/>
            </w:rPr>
            <w:instrText xml:space="preserve"> HYPERLINK \l "_Toc22337" </w:instrText>
          </w:r>
          <w:r>
            <w:rPr>
              <w:rFonts w:hint="eastAsia" w:ascii="仿宋" w:hAnsi="仿宋" w:eastAsia="仿宋"/>
            </w:rPr>
            <w:fldChar w:fldCharType="separate"/>
          </w:r>
          <w:r>
            <w:rPr>
              <w:rFonts w:hint="eastAsia" w:ascii="仿宋" w:hAnsi="仿宋" w:eastAsia="仿宋"/>
            </w:rPr>
            <w:t>八、政府性基金预算支出决算情况说明</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PAGEREF _Toc22337 \h </w:instrText>
          </w:r>
          <w:r>
            <w:rPr>
              <w:rFonts w:hint="eastAsia" w:ascii="仿宋" w:hAnsi="仿宋" w:eastAsia="仿宋"/>
            </w:rPr>
            <w:fldChar w:fldCharType="separate"/>
          </w:r>
          <w:r>
            <w:rPr>
              <w:rFonts w:hint="eastAsia" w:ascii="仿宋" w:hAnsi="仿宋" w:eastAsia="仿宋"/>
            </w:rPr>
            <w:t>8</w:t>
          </w:r>
          <w:r>
            <w:rPr>
              <w:rFonts w:hint="eastAsia" w:ascii="仿宋" w:hAnsi="仿宋" w:eastAsia="仿宋"/>
            </w:rPr>
            <w:fldChar w:fldCharType="end"/>
          </w:r>
          <w:r>
            <w:rPr>
              <w:rFonts w:hint="eastAsia" w:ascii="仿宋" w:hAnsi="仿宋" w:eastAsia="仿宋"/>
            </w:rPr>
            <w:fldChar w:fldCharType="end"/>
          </w:r>
        </w:p>
        <w:p>
          <w:pPr>
            <w:pStyle w:val="12"/>
            <w:tabs>
              <w:tab w:val="right" w:leader="dot" w:pos="8306"/>
              <w:tab w:val="clear" w:pos="8296"/>
            </w:tabs>
            <w:rPr>
              <w:rFonts w:hint="eastAsia" w:ascii="仿宋" w:hAnsi="仿宋" w:eastAsia="仿宋"/>
            </w:rPr>
          </w:pPr>
          <w:r>
            <w:rPr>
              <w:rFonts w:hint="eastAsia" w:ascii="仿宋" w:hAnsi="仿宋" w:eastAsia="仿宋"/>
            </w:rPr>
            <w:fldChar w:fldCharType="begin"/>
          </w:r>
          <w:r>
            <w:rPr>
              <w:rFonts w:hint="eastAsia" w:ascii="仿宋" w:hAnsi="仿宋" w:eastAsia="仿宋"/>
            </w:rPr>
            <w:instrText xml:space="preserve"> HYPERLINK \l "_Toc4566" </w:instrText>
          </w:r>
          <w:r>
            <w:rPr>
              <w:rFonts w:hint="eastAsia" w:ascii="仿宋" w:hAnsi="仿宋" w:eastAsia="仿宋"/>
            </w:rPr>
            <w:fldChar w:fldCharType="separate"/>
          </w:r>
          <w:r>
            <w:rPr>
              <w:rFonts w:hint="eastAsia" w:ascii="仿宋" w:hAnsi="仿宋" w:eastAsia="仿宋"/>
            </w:rPr>
            <w:t>九、 国有资本经营预算支出决算情况说明</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PAGEREF _Toc4566 \h </w:instrText>
          </w:r>
          <w:r>
            <w:rPr>
              <w:rFonts w:hint="eastAsia" w:ascii="仿宋" w:hAnsi="仿宋" w:eastAsia="仿宋"/>
            </w:rPr>
            <w:fldChar w:fldCharType="separate"/>
          </w:r>
          <w:r>
            <w:rPr>
              <w:rFonts w:hint="eastAsia" w:ascii="仿宋" w:hAnsi="仿宋" w:eastAsia="仿宋"/>
            </w:rPr>
            <w:t>8</w:t>
          </w:r>
          <w:r>
            <w:rPr>
              <w:rFonts w:hint="eastAsia" w:ascii="仿宋" w:hAnsi="仿宋" w:eastAsia="仿宋"/>
            </w:rPr>
            <w:fldChar w:fldCharType="end"/>
          </w:r>
          <w:r>
            <w:rPr>
              <w:rFonts w:hint="eastAsia" w:ascii="仿宋" w:hAnsi="仿宋" w:eastAsia="仿宋"/>
            </w:rPr>
            <w:fldChar w:fldCharType="end"/>
          </w:r>
        </w:p>
        <w:p>
          <w:pPr>
            <w:pStyle w:val="12"/>
            <w:tabs>
              <w:tab w:val="right" w:leader="dot" w:pos="8306"/>
              <w:tab w:val="clear" w:pos="8296"/>
            </w:tabs>
            <w:rPr>
              <w:rFonts w:hint="eastAsia" w:ascii="仿宋" w:hAnsi="仿宋" w:eastAsia="仿宋"/>
            </w:rPr>
          </w:pPr>
          <w:r>
            <w:rPr>
              <w:rFonts w:hint="eastAsia" w:ascii="仿宋" w:hAnsi="仿宋" w:eastAsia="仿宋"/>
            </w:rPr>
            <w:fldChar w:fldCharType="begin"/>
          </w:r>
          <w:r>
            <w:rPr>
              <w:rFonts w:hint="eastAsia" w:ascii="仿宋" w:hAnsi="仿宋" w:eastAsia="仿宋"/>
            </w:rPr>
            <w:instrText xml:space="preserve"> HYPERLINK \l "_Toc9992" </w:instrText>
          </w:r>
          <w:r>
            <w:rPr>
              <w:rFonts w:hint="eastAsia" w:ascii="仿宋" w:hAnsi="仿宋" w:eastAsia="仿宋"/>
            </w:rPr>
            <w:fldChar w:fldCharType="separate"/>
          </w:r>
          <w:r>
            <w:rPr>
              <w:rFonts w:hint="eastAsia" w:ascii="仿宋" w:hAnsi="仿宋" w:eastAsia="仿宋"/>
            </w:rPr>
            <w:t>十、 其他重要事项的情况说明</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PAGEREF _Toc9992 \h </w:instrText>
          </w:r>
          <w:r>
            <w:rPr>
              <w:rFonts w:hint="eastAsia" w:ascii="仿宋" w:hAnsi="仿宋" w:eastAsia="仿宋"/>
            </w:rPr>
            <w:fldChar w:fldCharType="separate"/>
          </w:r>
          <w:r>
            <w:rPr>
              <w:rFonts w:hint="eastAsia" w:ascii="仿宋" w:hAnsi="仿宋" w:eastAsia="仿宋"/>
            </w:rPr>
            <w:t>8</w:t>
          </w:r>
          <w:r>
            <w:rPr>
              <w:rFonts w:hint="eastAsia" w:ascii="仿宋" w:hAnsi="仿宋" w:eastAsia="仿宋"/>
            </w:rPr>
            <w:fldChar w:fldCharType="end"/>
          </w:r>
          <w:r>
            <w:rPr>
              <w:rFonts w:hint="eastAsia" w:ascii="仿宋" w:hAnsi="仿宋" w:eastAsia="仿宋"/>
            </w:rPr>
            <w:fldChar w:fldCharType="end"/>
          </w:r>
        </w:p>
        <w:p>
          <w:pPr>
            <w:pStyle w:val="11"/>
            <w:tabs>
              <w:tab w:val="right" w:leader="dot" w:pos="8306"/>
              <w:tab w:val="clear" w:pos="8296"/>
            </w:tabs>
          </w:pPr>
          <w:r>
            <w:fldChar w:fldCharType="begin"/>
          </w:r>
          <w:r>
            <w:instrText xml:space="preserve"> HYPERLINK \l "_Toc12686" </w:instrText>
          </w:r>
          <w:r>
            <w:fldChar w:fldCharType="separate"/>
          </w:r>
          <w:r>
            <w:rPr>
              <w:rFonts w:hint="eastAsia" w:ascii="黑体" w:hAnsi="黑体" w:eastAsia="黑体" w:cs="黑体"/>
              <w:szCs w:val="44"/>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_Toc12686 \h </w:instrText>
          </w:r>
          <w:r>
            <w:fldChar w:fldCharType="separate"/>
          </w:r>
          <w:r>
            <w:t>10</w:t>
          </w:r>
          <w:r>
            <w:fldChar w:fldCharType="end"/>
          </w:r>
          <w:r>
            <w:fldChar w:fldCharType="end"/>
          </w:r>
        </w:p>
        <w:p>
          <w:pPr>
            <w:pStyle w:val="11"/>
            <w:tabs>
              <w:tab w:val="right" w:leader="dot" w:pos="8306"/>
              <w:tab w:val="clear" w:pos="8296"/>
            </w:tabs>
          </w:pPr>
          <w:r>
            <w:fldChar w:fldCharType="begin"/>
          </w:r>
          <w:r>
            <w:instrText xml:space="preserve"> HYPERLINK \l "_Toc10457" </w:instrText>
          </w:r>
          <w: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_Toc10457 \h </w:instrText>
          </w:r>
          <w:r>
            <w:fldChar w:fldCharType="separate"/>
          </w:r>
          <w:r>
            <w:t>12</w:t>
          </w:r>
          <w:r>
            <w:fldChar w:fldCharType="end"/>
          </w:r>
          <w:r>
            <w:fldChar w:fldCharType="end"/>
          </w:r>
        </w:p>
        <w:p>
          <w:pPr>
            <w:pStyle w:val="12"/>
            <w:tabs>
              <w:tab w:val="right" w:leader="dot" w:pos="8306"/>
              <w:tab w:val="clear" w:pos="8296"/>
            </w:tabs>
            <w:rPr>
              <w:rFonts w:hint="eastAsia" w:ascii="仿宋" w:hAnsi="仿宋" w:eastAsia="仿宋"/>
            </w:rPr>
          </w:pPr>
          <w:r>
            <w:rPr>
              <w:rFonts w:hint="eastAsia" w:ascii="仿宋" w:hAnsi="仿宋" w:eastAsia="仿宋"/>
            </w:rPr>
            <w:fldChar w:fldCharType="begin"/>
          </w:r>
          <w:r>
            <w:rPr>
              <w:rFonts w:hint="eastAsia" w:ascii="仿宋" w:hAnsi="仿宋" w:eastAsia="仿宋"/>
            </w:rPr>
            <w:instrText xml:space="preserve"> HYPERLINK \l "_Toc24271" </w:instrText>
          </w:r>
          <w:r>
            <w:rPr>
              <w:rFonts w:hint="eastAsia" w:ascii="仿宋" w:hAnsi="仿宋" w:eastAsia="仿宋"/>
            </w:rPr>
            <w:fldChar w:fldCharType="separate"/>
          </w:r>
          <w:r>
            <w:rPr>
              <w:rFonts w:hint="eastAsia" w:ascii="仿宋" w:hAnsi="仿宋" w:eastAsia="仿宋"/>
            </w:rPr>
            <w:t>部门预算项目支出绩效自评表（2022年度）</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PAGEREF _Toc24271 \h </w:instrText>
          </w:r>
          <w:r>
            <w:rPr>
              <w:rFonts w:hint="eastAsia" w:ascii="仿宋" w:hAnsi="仿宋" w:eastAsia="仿宋"/>
            </w:rPr>
            <w:fldChar w:fldCharType="separate"/>
          </w:r>
          <w:r>
            <w:rPr>
              <w:rFonts w:hint="eastAsia" w:ascii="仿宋" w:hAnsi="仿宋" w:eastAsia="仿宋"/>
            </w:rPr>
            <w:t>12</w:t>
          </w:r>
          <w:r>
            <w:rPr>
              <w:rFonts w:hint="eastAsia" w:ascii="仿宋" w:hAnsi="仿宋" w:eastAsia="仿宋"/>
            </w:rPr>
            <w:fldChar w:fldCharType="end"/>
          </w:r>
          <w:r>
            <w:rPr>
              <w:rFonts w:hint="eastAsia" w:ascii="仿宋" w:hAnsi="仿宋" w:eastAsia="仿宋"/>
            </w:rPr>
            <w:fldChar w:fldCharType="end"/>
          </w:r>
        </w:p>
        <w:p>
          <w:pPr>
            <w:pStyle w:val="11"/>
            <w:tabs>
              <w:tab w:val="right" w:leader="dot" w:pos="8306"/>
              <w:tab w:val="clear" w:pos="8296"/>
            </w:tabs>
          </w:pPr>
          <w:r>
            <w:fldChar w:fldCharType="begin"/>
          </w:r>
          <w:r>
            <w:instrText xml:space="preserve"> HYPERLINK \l "_Toc2070" </w:instrText>
          </w:r>
          <w: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_Toc2070 \h </w:instrText>
          </w:r>
          <w:r>
            <w:fldChar w:fldCharType="separate"/>
          </w:r>
          <w:r>
            <w:t>29</w:t>
          </w:r>
          <w:r>
            <w:fldChar w:fldCharType="end"/>
          </w:r>
          <w:r>
            <w:fldChar w:fldCharType="end"/>
          </w:r>
        </w:p>
        <w:p>
          <w:pPr>
            <w:pStyle w:val="12"/>
            <w:tabs>
              <w:tab w:val="right" w:leader="dot" w:pos="8306"/>
              <w:tab w:val="clear" w:pos="8296"/>
            </w:tabs>
          </w:pPr>
          <w:r>
            <w:fldChar w:fldCharType="begin"/>
          </w:r>
          <w:r>
            <w:instrText xml:space="preserve"> HYPERLINK \l "_Toc3769" </w:instrText>
          </w:r>
          <w:r>
            <w:fldChar w:fldCharType="separate"/>
          </w:r>
          <w:r>
            <w:rPr>
              <w:rFonts w:hint="eastAsia" w:ascii="仿宋" w:hAnsi="仿宋" w:eastAsia="仿宋"/>
            </w:rPr>
            <w:t>一、收入支出决算总表</w:t>
          </w:r>
          <w:r>
            <w:tab/>
          </w:r>
          <w:r>
            <w:fldChar w:fldCharType="begin"/>
          </w:r>
          <w:r>
            <w:instrText xml:space="preserve"> PAGEREF _Toc3769 \h </w:instrText>
          </w:r>
          <w:r>
            <w:fldChar w:fldCharType="separate"/>
          </w:r>
          <w:r>
            <w:t>29</w:t>
          </w:r>
          <w:r>
            <w:fldChar w:fldCharType="end"/>
          </w:r>
          <w:r>
            <w:fldChar w:fldCharType="end"/>
          </w:r>
        </w:p>
        <w:p>
          <w:pPr>
            <w:pStyle w:val="12"/>
            <w:tabs>
              <w:tab w:val="right" w:leader="dot" w:pos="8306"/>
              <w:tab w:val="clear" w:pos="8296"/>
            </w:tabs>
          </w:pPr>
          <w:r>
            <w:fldChar w:fldCharType="begin"/>
          </w:r>
          <w:r>
            <w:instrText xml:space="preserve"> HYPERLINK \l "_Toc1946" </w:instrText>
          </w:r>
          <w:r>
            <w:fldChar w:fldCharType="separate"/>
          </w:r>
          <w:r>
            <w:rPr>
              <w:rFonts w:hint="eastAsia" w:ascii="仿宋" w:hAnsi="仿宋" w:eastAsia="仿宋"/>
            </w:rPr>
            <w:t>二、收入决算表</w:t>
          </w:r>
          <w:r>
            <w:tab/>
          </w:r>
          <w:r>
            <w:fldChar w:fldCharType="begin"/>
          </w:r>
          <w:r>
            <w:instrText xml:space="preserve"> PAGEREF _Toc1946 \h </w:instrText>
          </w:r>
          <w:r>
            <w:fldChar w:fldCharType="separate"/>
          </w:r>
          <w:r>
            <w:t>29</w:t>
          </w:r>
          <w:r>
            <w:fldChar w:fldCharType="end"/>
          </w:r>
          <w:r>
            <w:fldChar w:fldCharType="end"/>
          </w:r>
        </w:p>
        <w:p>
          <w:pPr>
            <w:pStyle w:val="12"/>
            <w:tabs>
              <w:tab w:val="right" w:leader="dot" w:pos="8306"/>
              <w:tab w:val="clear" w:pos="8296"/>
            </w:tabs>
          </w:pPr>
          <w:r>
            <w:fldChar w:fldCharType="begin"/>
          </w:r>
          <w:r>
            <w:instrText xml:space="preserve"> HYPERLINK \l "_Toc31241" </w:instrText>
          </w:r>
          <w:r>
            <w:fldChar w:fldCharType="separate"/>
          </w:r>
          <w:r>
            <w:rPr>
              <w:rFonts w:hint="eastAsia" w:ascii="仿宋" w:hAnsi="仿宋" w:eastAsia="仿宋"/>
            </w:rPr>
            <w:t>三、支出决算表</w:t>
          </w:r>
          <w:r>
            <w:tab/>
          </w:r>
          <w:r>
            <w:fldChar w:fldCharType="begin"/>
          </w:r>
          <w:r>
            <w:instrText xml:space="preserve"> PAGEREF _Toc31241 \h </w:instrText>
          </w:r>
          <w:r>
            <w:fldChar w:fldCharType="separate"/>
          </w:r>
          <w:r>
            <w:t>29</w:t>
          </w:r>
          <w:r>
            <w:fldChar w:fldCharType="end"/>
          </w:r>
          <w:r>
            <w:fldChar w:fldCharType="end"/>
          </w:r>
        </w:p>
        <w:p>
          <w:pPr>
            <w:pStyle w:val="12"/>
            <w:tabs>
              <w:tab w:val="right" w:leader="dot" w:pos="8306"/>
              <w:tab w:val="clear" w:pos="8296"/>
            </w:tabs>
          </w:pPr>
          <w:r>
            <w:fldChar w:fldCharType="begin"/>
          </w:r>
          <w:r>
            <w:instrText xml:space="preserve"> HYPERLINK \l "_Toc16695" </w:instrText>
          </w:r>
          <w:r>
            <w:fldChar w:fldCharType="separate"/>
          </w:r>
          <w:r>
            <w:rPr>
              <w:rFonts w:hint="eastAsia" w:ascii="仿宋" w:hAnsi="仿宋" w:eastAsia="仿宋"/>
            </w:rPr>
            <w:t>四、财政拨款收入支出决算总表</w:t>
          </w:r>
          <w:r>
            <w:tab/>
          </w:r>
          <w:r>
            <w:fldChar w:fldCharType="begin"/>
          </w:r>
          <w:r>
            <w:instrText xml:space="preserve"> PAGEREF _Toc16695 \h </w:instrText>
          </w:r>
          <w:r>
            <w:fldChar w:fldCharType="separate"/>
          </w:r>
          <w:r>
            <w:t>29</w:t>
          </w:r>
          <w:r>
            <w:fldChar w:fldCharType="end"/>
          </w:r>
          <w:r>
            <w:fldChar w:fldCharType="end"/>
          </w:r>
        </w:p>
        <w:p>
          <w:pPr>
            <w:pStyle w:val="12"/>
            <w:tabs>
              <w:tab w:val="right" w:leader="dot" w:pos="8306"/>
              <w:tab w:val="clear" w:pos="8296"/>
            </w:tabs>
          </w:pPr>
          <w:r>
            <w:fldChar w:fldCharType="begin"/>
          </w:r>
          <w:r>
            <w:instrText xml:space="preserve"> HYPERLINK \l "_Toc12076" </w:instrText>
          </w:r>
          <w:r>
            <w:fldChar w:fldCharType="separate"/>
          </w:r>
          <w:r>
            <w:rPr>
              <w:rFonts w:hint="eastAsia" w:ascii="仿宋" w:hAnsi="仿宋" w:eastAsia="仿宋"/>
            </w:rPr>
            <w:t>五、财政拨款支出决算明细表</w:t>
          </w:r>
          <w:r>
            <w:tab/>
          </w:r>
          <w:r>
            <w:fldChar w:fldCharType="begin"/>
          </w:r>
          <w:r>
            <w:instrText xml:space="preserve"> PAGEREF _Toc12076 \h </w:instrText>
          </w:r>
          <w:r>
            <w:fldChar w:fldCharType="separate"/>
          </w:r>
          <w:r>
            <w:t>29</w:t>
          </w:r>
          <w:r>
            <w:fldChar w:fldCharType="end"/>
          </w:r>
          <w:r>
            <w:fldChar w:fldCharType="end"/>
          </w:r>
        </w:p>
        <w:p>
          <w:pPr>
            <w:pStyle w:val="12"/>
            <w:tabs>
              <w:tab w:val="right" w:leader="dot" w:pos="8306"/>
              <w:tab w:val="clear" w:pos="8296"/>
            </w:tabs>
          </w:pPr>
          <w:r>
            <w:fldChar w:fldCharType="begin"/>
          </w:r>
          <w:r>
            <w:instrText xml:space="preserve"> HYPERLINK \l "_Toc32255" </w:instrText>
          </w:r>
          <w:r>
            <w:fldChar w:fldCharType="separate"/>
          </w:r>
          <w:r>
            <w:rPr>
              <w:rFonts w:hint="eastAsia" w:ascii="仿宋" w:hAnsi="仿宋" w:eastAsia="仿宋"/>
            </w:rPr>
            <w:t>六、一般公共预算财政拨款支出决算表</w:t>
          </w:r>
          <w:r>
            <w:tab/>
          </w:r>
          <w:r>
            <w:fldChar w:fldCharType="begin"/>
          </w:r>
          <w:r>
            <w:instrText xml:space="preserve"> PAGEREF _Toc32255 \h </w:instrText>
          </w:r>
          <w:r>
            <w:fldChar w:fldCharType="separate"/>
          </w:r>
          <w:r>
            <w:t>29</w:t>
          </w:r>
          <w:r>
            <w:fldChar w:fldCharType="end"/>
          </w:r>
          <w:r>
            <w:fldChar w:fldCharType="end"/>
          </w:r>
        </w:p>
        <w:p>
          <w:pPr>
            <w:pStyle w:val="12"/>
            <w:tabs>
              <w:tab w:val="right" w:leader="dot" w:pos="8306"/>
              <w:tab w:val="clear" w:pos="8296"/>
            </w:tabs>
          </w:pPr>
          <w:r>
            <w:fldChar w:fldCharType="begin"/>
          </w:r>
          <w:r>
            <w:instrText xml:space="preserve"> HYPERLINK \l "_Toc24031" </w:instrText>
          </w:r>
          <w:r>
            <w:fldChar w:fldCharType="separate"/>
          </w:r>
          <w:r>
            <w:rPr>
              <w:rFonts w:hint="eastAsia" w:ascii="仿宋" w:hAnsi="仿宋" w:eastAsia="仿宋"/>
            </w:rPr>
            <w:t>七、一般公共预算财政拨款支出决算明细表</w:t>
          </w:r>
          <w:r>
            <w:tab/>
          </w:r>
          <w:r>
            <w:fldChar w:fldCharType="begin"/>
          </w:r>
          <w:r>
            <w:instrText xml:space="preserve"> PAGEREF _Toc24031 \h </w:instrText>
          </w:r>
          <w:r>
            <w:fldChar w:fldCharType="separate"/>
          </w:r>
          <w:r>
            <w:t>29</w:t>
          </w:r>
          <w:r>
            <w:fldChar w:fldCharType="end"/>
          </w:r>
          <w:r>
            <w:fldChar w:fldCharType="end"/>
          </w:r>
        </w:p>
        <w:p>
          <w:pPr>
            <w:pStyle w:val="12"/>
            <w:tabs>
              <w:tab w:val="right" w:leader="dot" w:pos="8306"/>
              <w:tab w:val="clear" w:pos="8296"/>
            </w:tabs>
          </w:pPr>
          <w:r>
            <w:fldChar w:fldCharType="begin"/>
          </w:r>
          <w:r>
            <w:instrText xml:space="preserve"> HYPERLINK \l "_Toc21993" </w:instrText>
          </w:r>
          <w:r>
            <w:fldChar w:fldCharType="separate"/>
          </w:r>
          <w:r>
            <w:rPr>
              <w:rFonts w:hint="eastAsia" w:ascii="仿宋" w:hAnsi="仿宋" w:eastAsia="仿宋"/>
            </w:rPr>
            <w:t>八、一般公共预算财政拨款基本支出决算表</w:t>
          </w:r>
          <w:r>
            <w:tab/>
          </w:r>
          <w:r>
            <w:fldChar w:fldCharType="begin"/>
          </w:r>
          <w:r>
            <w:instrText xml:space="preserve"> PAGEREF _Toc21993 \h </w:instrText>
          </w:r>
          <w:r>
            <w:fldChar w:fldCharType="separate"/>
          </w:r>
          <w:r>
            <w:t>29</w:t>
          </w:r>
          <w:r>
            <w:fldChar w:fldCharType="end"/>
          </w:r>
          <w:r>
            <w:fldChar w:fldCharType="end"/>
          </w:r>
        </w:p>
        <w:p>
          <w:pPr>
            <w:pStyle w:val="12"/>
            <w:tabs>
              <w:tab w:val="right" w:leader="dot" w:pos="8306"/>
              <w:tab w:val="clear" w:pos="8296"/>
            </w:tabs>
          </w:pPr>
          <w:r>
            <w:fldChar w:fldCharType="begin"/>
          </w:r>
          <w:r>
            <w:instrText xml:space="preserve"> HYPERLINK \l "_Toc28862" </w:instrText>
          </w:r>
          <w:r>
            <w:fldChar w:fldCharType="separate"/>
          </w:r>
          <w:r>
            <w:rPr>
              <w:rFonts w:hint="eastAsia" w:ascii="仿宋" w:hAnsi="仿宋" w:eastAsia="仿宋"/>
            </w:rPr>
            <w:t>九、一般公共预算财政拨款项目支出决算表</w:t>
          </w:r>
          <w:r>
            <w:tab/>
          </w:r>
          <w:r>
            <w:fldChar w:fldCharType="begin"/>
          </w:r>
          <w:r>
            <w:instrText xml:space="preserve"> PAGEREF _Toc28862 \h </w:instrText>
          </w:r>
          <w:r>
            <w:fldChar w:fldCharType="separate"/>
          </w:r>
          <w:r>
            <w:t>29</w:t>
          </w:r>
          <w:r>
            <w:fldChar w:fldCharType="end"/>
          </w:r>
          <w:r>
            <w:fldChar w:fldCharType="end"/>
          </w:r>
        </w:p>
        <w:p>
          <w:pPr>
            <w:pStyle w:val="12"/>
            <w:tabs>
              <w:tab w:val="right" w:leader="dot" w:pos="8306"/>
              <w:tab w:val="clear" w:pos="8296"/>
            </w:tabs>
          </w:pPr>
          <w:r>
            <w:fldChar w:fldCharType="begin"/>
          </w:r>
          <w:r>
            <w:instrText xml:space="preserve"> HYPERLINK \l "_Toc31124" </w:instrText>
          </w:r>
          <w:r>
            <w:fldChar w:fldCharType="separate"/>
          </w:r>
          <w:r>
            <w:rPr>
              <w:rFonts w:hint="eastAsia" w:ascii="仿宋" w:hAnsi="仿宋" w:eastAsia="仿宋"/>
            </w:rPr>
            <w:t>十、政府性基金预算财政拨款收入支出决算表</w:t>
          </w:r>
          <w:r>
            <w:tab/>
          </w:r>
          <w:r>
            <w:fldChar w:fldCharType="begin"/>
          </w:r>
          <w:r>
            <w:instrText xml:space="preserve"> PAGEREF _Toc31124 \h </w:instrText>
          </w:r>
          <w:r>
            <w:fldChar w:fldCharType="separate"/>
          </w:r>
          <w:r>
            <w:t>29</w:t>
          </w:r>
          <w:r>
            <w:fldChar w:fldCharType="end"/>
          </w:r>
          <w:r>
            <w:fldChar w:fldCharType="end"/>
          </w:r>
        </w:p>
        <w:p>
          <w:pPr>
            <w:pStyle w:val="12"/>
            <w:tabs>
              <w:tab w:val="right" w:leader="dot" w:pos="8306"/>
              <w:tab w:val="clear" w:pos="8296"/>
            </w:tabs>
          </w:pPr>
          <w:r>
            <w:fldChar w:fldCharType="begin"/>
          </w:r>
          <w:r>
            <w:instrText xml:space="preserve"> HYPERLINK \l "_Toc27771" </w:instrText>
          </w:r>
          <w:r>
            <w:fldChar w:fldCharType="separate"/>
          </w:r>
          <w:r>
            <w:rPr>
              <w:rFonts w:hint="eastAsia" w:ascii="仿宋" w:hAnsi="仿宋" w:eastAsia="仿宋"/>
            </w:rPr>
            <w:t>十一、国有资本经营预算财政拨款收入支出决算表</w:t>
          </w:r>
          <w:r>
            <w:tab/>
          </w:r>
          <w:r>
            <w:fldChar w:fldCharType="begin"/>
          </w:r>
          <w:r>
            <w:instrText xml:space="preserve"> PAGEREF _Toc27771 \h </w:instrText>
          </w:r>
          <w:r>
            <w:fldChar w:fldCharType="separate"/>
          </w:r>
          <w:r>
            <w:t>29</w:t>
          </w:r>
          <w:r>
            <w:fldChar w:fldCharType="end"/>
          </w:r>
          <w:r>
            <w:fldChar w:fldCharType="end"/>
          </w:r>
        </w:p>
        <w:p>
          <w:pPr>
            <w:pStyle w:val="12"/>
            <w:tabs>
              <w:tab w:val="right" w:leader="dot" w:pos="8306"/>
              <w:tab w:val="clear" w:pos="8296"/>
            </w:tabs>
          </w:pPr>
          <w:r>
            <w:fldChar w:fldCharType="begin"/>
          </w:r>
          <w:r>
            <w:instrText xml:space="preserve"> HYPERLINK \l "_Toc24379" </w:instrText>
          </w:r>
          <w:r>
            <w:fldChar w:fldCharType="separate"/>
          </w:r>
          <w:r>
            <w:rPr>
              <w:rFonts w:hint="eastAsia" w:ascii="仿宋" w:hAnsi="仿宋" w:eastAsia="仿宋"/>
            </w:rPr>
            <w:t>十二、国有资本经营预算财政拨款支出决算表</w:t>
          </w:r>
          <w:r>
            <w:tab/>
          </w:r>
          <w:r>
            <w:fldChar w:fldCharType="begin"/>
          </w:r>
          <w:r>
            <w:instrText xml:space="preserve"> PAGEREF _Toc24379 \h </w:instrText>
          </w:r>
          <w:r>
            <w:fldChar w:fldCharType="separate"/>
          </w:r>
          <w:r>
            <w:t>29</w:t>
          </w:r>
          <w:r>
            <w:fldChar w:fldCharType="end"/>
          </w:r>
          <w:r>
            <w:fldChar w:fldCharType="end"/>
          </w:r>
        </w:p>
        <w:p>
          <w:pPr>
            <w:pStyle w:val="12"/>
            <w:tabs>
              <w:tab w:val="right" w:leader="dot" w:pos="8306"/>
              <w:tab w:val="clear" w:pos="8296"/>
            </w:tabs>
          </w:pPr>
          <w:r>
            <w:fldChar w:fldCharType="begin"/>
          </w:r>
          <w:r>
            <w:instrText xml:space="preserve"> HYPERLINK \l "_Toc2447" </w:instrText>
          </w:r>
          <w:r>
            <w:fldChar w:fldCharType="separate"/>
          </w:r>
          <w:r>
            <w:rPr>
              <w:rFonts w:hint="eastAsia" w:ascii="仿宋" w:hAnsi="仿宋" w:eastAsia="仿宋"/>
            </w:rPr>
            <w:t>十三、财政拨款“三公”经费支出决算表</w:t>
          </w:r>
          <w:r>
            <w:tab/>
          </w:r>
          <w:r>
            <w:fldChar w:fldCharType="begin"/>
          </w:r>
          <w:r>
            <w:instrText xml:space="preserve"> PAGEREF _Toc2447 \h </w:instrText>
          </w:r>
          <w:r>
            <w:fldChar w:fldCharType="separate"/>
          </w:r>
          <w:r>
            <w:t>29</w:t>
          </w:r>
          <w:r>
            <w:fldChar w:fldCharType="end"/>
          </w:r>
          <w:r>
            <w:fldChar w:fldCharType="end"/>
          </w:r>
        </w:p>
        <w:p>
          <w:pPr>
            <w:widowControl/>
            <w:spacing w:line="440" w:lineRule="exact"/>
            <w:jc w:val="left"/>
            <w:sectPr>
              <w:headerReference r:id="rId3" w:type="default"/>
              <w:pgSz w:w="11906" w:h="16838"/>
              <w:pgMar w:top="1440" w:right="1800" w:bottom="1440" w:left="1800" w:header="851" w:footer="992" w:gutter="0"/>
              <w:pgNumType w:start="1"/>
              <w:cols w:space="425" w:num="1"/>
              <w:titlePg/>
              <w:docGrid w:type="lines" w:linePitch="312" w:charSpace="0"/>
            </w:sectPr>
          </w:pPr>
        </w:p>
        <w:p>
          <w:pPr>
            <w:widowControl/>
            <w:spacing w:line="440" w:lineRule="exact"/>
            <w:jc w:val="left"/>
          </w:pPr>
          <w:r>
            <w:fldChar w:fldCharType="end"/>
          </w:r>
        </w:p>
      </w:sdtContent>
    </w:sdt>
    <w:p>
      <w:pPr>
        <w:widowControl/>
        <w:numPr>
          <w:ilvl w:val="0"/>
          <w:numId w:val="1"/>
        </w:numPr>
        <w:spacing w:line="440" w:lineRule="exact"/>
        <w:jc w:val="center"/>
        <w:rPr>
          <w:rStyle w:val="17"/>
          <w:rFonts w:ascii="黑体" w:hAnsi="黑体" w:eastAsia="黑体"/>
          <w:b w:val="0"/>
          <w:bCs w:val="0"/>
        </w:rPr>
      </w:pPr>
      <w:r>
        <w:rPr>
          <w:rStyle w:val="17"/>
          <w:rFonts w:hint="eastAsia" w:ascii="黑体" w:hAnsi="黑体" w:eastAsia="黑体"/>
          <w:b w:val="0"/>
          <w:bCs w:val="0"/>
        </w:rPr>
        <w:t>单位概况</w:t>
      </w:r>
      <w:bookmarkEnd w:id="18"/>
      <w:bookmarkEnd w:id="19"/>
    </w:p>
    <w:p>
      <w:pPr>
        <w:pStyle w:val="2"/>
        <w:ind w:firstLine="0" w:firstLineChars="0"/>
      </w:pPr>
    </w:p>
    <w:p>
      <w:pPr>
        <w:pStyle w:val="4"/>
        <w:ind w:firstLine="640" w:firstLineChars="200"/>
        <w:rPr>
          <w:rStyle w:val="18"/>
          <w:rFonts w:ascii="黑体" w:hAnsi="黑体" w:eastAsia="黑体"/>
          <w:b w:val="0"/>
          <w:bCs w:val="0"/>
        </w:rPr>
      </w:pPr>
      <w:bookmarkStart w:id="20" w:name="_Toc30771"/>
      <w:bookmarkStart w:id="21" w:name="_Toc15377197"/>
      <w:bookmarkStart w:id="22" w:name="_Toc15396600"/>
      <w:r>
        <w:rPr>
          <w:rStyle w:val="18"/>
          <w:rFonts w:hint="eastAsia" w:ascii="黑体" w:hAnsi="黑体" w:eastAsia="黑体"/>
          <w:b w:val="0"/>
          <w:bCs w:val="0"/>
        </w:rPr>
        <w:t>一．主要职责</w:t>
      </w:r>
      <w:bookmarkEnd w:id="20"/>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贯彻执行养老、失业、工伤保险工作相关法律、法规、规章和政策；负责全市企业职工养老保险、机关事业单位养老保险、城乡居民养老保险、工伤保险的参保登记、扩面征缴、稽核、关系转移接续、权益记录、待遇发放及调整、综合指导和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市失业保险的参保登记、社会保险费征收及征缴稽核工作；承担市本级企业职工基本养老保险、机关事业单位养老保险、失业保险、工伤保险的相关经办工作，承担职业年金经办工作；负责全市社会保险基金管理和预、决算工作；指导县（区）依法开展社会保险经办服务工作；完成市人力资源社会保障局交办的其他任务。</w:t>
      </w:r>
    </w:p>
    <w:p>
      <w:pPr>
        <w:pStyle w:val="4"/>
        <w:ind w:firstLine="640" w:firstLineChars="200"/>
        <w:rPr>
          <w:rFonts w:ascii="黑体" w:hAnsi="黑体" w:eastAsia="黑体"/>
          <w:b w:val="0"/>
        </w:rPr>
      </w:pPr>
      <w:bookmarkStart w:id="23" w:name="_Toc22004"/>
      <w:r>
        <w:rPr>
          <w:rFonts w:hint="eastAsia" w:ascii="黑体" w:hAnsi="黑体" w:eastAsia="黑体"/>
          <w:b w:val="0"/>
        </w:rPr>
        <w:t>二、机构设置</w:t>
      </w:r>
      <w:bookmarkEnd w:id="23"/>
    </w:p>
    <w:bookmarkEnd w:id="21"/>
    <w:bookmarkEnd w:id="22"/>
    <w:p>
      <w:pPr>
        <w:widowControl/>
        <w:ind w:firstLine="640" w:firstLineChars="200"/>
        <w:jc w:val="left"/>
        <w:rPr>
          <w:rFonts w:ascii="仿宋" w:hAnsi="仿宋" w:eastAsia="仿宋"/>
          <w:kern w:val="0"/>
          <w:sz w:val="32"/>
          <w:szCs w:val="32"/>
        </w:rPr>
      </w:pPr>
      <w:r>
        <w:rPr>
          <w:rFonts w:hint="eastAsia" w:ascii="仿宋_GB2312" w:hAnsi="仿宋_GB2312" w:eastAsia="仿宋_GB2312" w:cs="仿宋_GB2312"/>
          <w:sz w:val="32"/>
          <w:szCs w:val="32"/>
        </w:rPr>
        <w:t>广元市社会保险事务中心是广元市人力资源社会保障局下属参照公务员管理的公益一类事业单位。</w:t>
      </w:r>
      <w:r>
        <w:rPr>
          <w:rFonts w:ascii="仿宋" w:hAnsi="仿宋" w:eastAsia="仿宋"/>
          <w:sz w:val="32"/>
          <w:szCs w:val="32"/>
        </w:rPr>
        <w:br w:type="page"/>
      </w:r>
    </w:p>
    <w:p>
      <w:pPr>
        <w:pStyle w:val="3"/>
        <w:ind w:right="440"/>
        <w:jc w:val="center"/>
        <w:rPr>
          <w:rStyle w:val="17"/>
          <w:rFonts w:ascii="黑体" w:hAnsi="黑体" w:eastAsia="黑体"/>
          <w:b w:val="0"/>
          <w:bCs/>
        </w:rPr>
      </w:pPr>
      <w:bookmarkStart w:id="24" w:name="_Toc15396602"/>
      <w:bookmarkStart w:id="25" w:name="_Toc9777"/>
      <w:bookmarkStart w:id="26" w:name="_Toc15377204"/>
      <w:r>
        <w:rPr>
          <w:rFonts w:hint="eastAsia" w:ascii="黑体" w:hAnsi="黑体" w:eastAsia="黑体"/>
          <w:b w:val="0"/>
        </w:rPr>
        <w:t>第二部分 2022年度</w:t>
      </w:r>
      <w:r>
        <w:rPr>
          <w:rStyle w:val="17"/>
          <w:rFonts w:hint="eastAsia" w:ascii="黑体" w:hAnsi="黑体" w:eastAsia="黑体"/>
          <w:b w:val="0"/>
          <w:bCs/>
        </w:rPr>
        <w:t>单位决算情况说明</w:t>
      </w:r>
      <w:bookmarkEnd w:id="24"/>
      <w:bookmarkEnd w:id="25"/>
      <w:bookmarkEnd w:id="26"/>
    </w:p>
    <w:p/>
    <w:p>
      <w:pPr>
        <w:pStyle w:val="27"/>
        <w:numPr>
          <w:ilvl w:val="0"/>
          <w:numId w:val="2"/>
        </w:numPr>
        <w:spacing w:line="600" w:lineRule="exact"/>
        <w:ind w:firstLineChars="0"/>
        <w:outlineLvl w:val="1"/>
        <w:rPr>
          <w:rStyle w:val="18"/>
          <w:rFonts w:ascii="黑体" w:hAnsi="黑体" w:eastAsia="黑体"/>
          <w:b w:val="0"/>
        </w:rPr>
      </w:pPr>
      <w:bookmarkStart w:id="27" w:name="_Toc15377205"/>
      <w:bookmarkStart w:id="28" w:name="_Toc15396603"/>
      <w:bookmarkStart w:id="29" w:name="_Toc4205"/>
      <w:r>
        <w:rPr>
          <w:rFonts w:hint="eastAsia" w:ascii="黑体" w:hAnsi="黑体" w:eastAsia="黑体"/>
          <w:sz w:val="32"/>
          <w:szCs w:val="32"/>
        </w:rPr>
        <w:t>收</w:t>
      </w:r>
      <w:r>
        <w:rPr>
          <w:rStyle w:val="18"/>
          <w:rFonts w:hint="eastAsia" w:ascii="黑体" w:hAnsi="黑体" w:eastAsia="黑体"/>
          <w:b w:val="0"/>
        </w:rPr>
        <w:t>入支出决算总体情况说明</w:t>
      </w:r>
      <w:bookmarkEnd w:id="27"/>
      <w:bookmarkEnd w:id="28"/>
      <w:bookmarkEnd w:id="2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2022年度收、支总计2191.23万元。与2021年相比，收、支总计各减少1390.35万元，下降38.82</w:t>
      </w:r>
      <w:r>
        <w:rPr>
          <w:rFonts w:ascii="仿宋" w:hAnsi="仿宋" w:eastAsia="仿宋"/>
          <w:sz w:val="32"/>
          <w:szCs w:val="32"/>
        </w:rPr>
        <w:t>%</w:t>
      </w:r>
      <w:r>
        <w:rPr>
          <w:rFonts w:hint="eastAsia" w:ascii="仿宋" w:hAnsi="仿宋" w:eastAsia="仿宋"/>
          <w:sz w:val="32"/>
          <w:szCs w:val="32"/>
        </w:rPr>
        <w:t>。主要变动原因：一是2021年新增职业年金贴息指标1218.26万元；二是2022年在职人员较上年减少5人，人员经费和公用经费相对应较少。</w:t>
      </w:r>
    </w:p>
    <w:p>
      <w:pPr>
        <w:spacing w:line="600" w:lineRule="exact"/>
        <w:ind w:firstLine="640" w:firstLineChars="200"/>
        <w:jc w:val="center"/>
        <w:rPr>
          <w:rFonts w:ascii="仿宋_GB2312" w:eastAsia="仿宋_GB2312"/>
          <w:sz w:val="32"/>
          <w:szCs w:val="32"/>
        </w:rPr>
      </w:pPr>
      <w:r>
        <w:rPr>
          <w:rFonts w:hint="eastAsia" w:ascii="仿宋_GB2312" w:eastAsia="仿宋_GB2312"/>
          <w:sz w:val="32"/>
          <w:szCs w:val="32"/>
        </w:rPr>
        <w:drawing>
          <wp:anchor distT="0" distB="0" distL="114300" distR="114300" simplePos="0" relativeHeight="251660288" behindDoc="0" locked="0" layoutInCell="1" allowOverlap="1">
            <wp:simplePos x="0" y="0"/>
            <wp:positionH relativeFrom="column">
              <wp:posOffset>299720</wp:posOffset>
            </wp:positionH>
            <wp:positionV relativeFrom="paragraph">
              <wp:posOffset>165735</wp:posOffset>
            </wp:positionV>
            <wp:extent cx="4781550" cy="2940050"/>
            <wp:effectExtent l="4445" t="4445" r="14605" b="825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7"/>
        <w:numPr>
          <w:ilvl w:val="0"/>
          <w:numId w:val="2"/>
        </w:numPr>
        <w:spacing w:line="600" w:lineRule="exact"/>
        <w:ind w:firstLineChars="0"/>
        <w:outlineLvl w:val="1"/>
        <w:rPr>
          <w:rStyle w:val="18"/>
          <w:rFonts w:ascii="黑体" w:hAnsi="黑体" w:eastAsia="黑体"/>
          <w:b w:val="0"/>
        </w:rPr>
      </w:pPr>
      <w:bookmarkStart w:id="30" w:name="_Toc14993"/>
      <w:bookmarkStart w:id="31" w:name="_Toc15396604"/>
      <w:bookmarkStart w:id="32" w:name="_Toc15377206"/>
      <w:r>
        <w:rPr>
          <w:rFonts w:hint="eastAsia" w:ascii="黑体" w:hAnsi="黑体" w:eastAsia="黑体"/>
          <w:sz w:val="32"/>
          <w:szCs w:val="32"/>
        </w:rPr>
        <w:t>收</w:t>
      </w:r>
      <w:r>
        <w:rPr>
          <w:rStyle w:val="18"/>
          <w:rFonts w:hint="eastAsia" w:ascii="黑体" w:hAnsi="黑体" w:eastAsia="黑体"/>
          <w:b w:val="0"/>
        </w:rPr>
        <w:t>入决算情况说明</w:t>
      </w:r>
      <w:bookmarkEnd w:id="30"/>
      <w:bookmarkEnd w:id="31"/>
      <w:bookmarkEnd w:id="32"/>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2022年本年收入合计2166.77万元，其中：一般公共预算财政拨款收入2166.77万元，占100%。</w:t>
      </w:r>
    </w:p>
    <w:p>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（图2：收入决算结构图）</w:t>
      </w:r>
      <w:r>
        <w:rPr>
          <w:rFonts w:hint="eastAsia" w:ascii="仿宋_GB2312" w:eastAsia="仿宋_GB2312"/>
          <w:sz w:val="32"/>
          <w:szCs w:val="32"/>
        </w:rPr>
        <w:drawing>
          <wp:anchor distT="0" distB="0" distL="114300" distR="114300" simplePos="0" relativeHeight="251661312" behindDoc="0" locked="0" layoutInCell="1" allowOverlap="1">
            <wp:simplePos x="0" y="0"/>
            <wp:positionH relativeFrom="column">
              <wp:posOffset>49530</wp:posOffset>
            </wp:positionH>
            <wp:positionV relativeFrom="paragraph">
              <wp:posOffset>99695</wp:posOffset>
            </wp:positionV>
            <wp:extent cx="5180965" cy="1998345"/>
            <wp:effectExtent l="5080" t="4445" r="14605" b="1651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7"/>
        <w:numPr>
          <w:ilvl w:val="0"/>
          <w:numId w:val="2"/>
        </w:numPr>
        <w:spacing w:line="600" w:lineRule="exact"/>
        <w:ind w:firstLineChars="0"/>
        <w:outlineLvl w:val="1"/>
        <w:rPr>
          <w:rStyle w:val="18"/>
          <w:rFonts w:ascii="黑体" w:hAnsi="黑体" w:eastAsia="黑体"/>
          <w:b w:val="0"/>
        </w:rPr>
      </w:pPr>
      <w:bookmarkStart w:id="33" w:name="_Toc21645"/>
      <w:bookmarkStart w:id="34" w:name="_Toc15377207"/>
      <w:bookmarkStart w:id="35" w:name="_Toc15396605"/>
      <w:r>
        <w:rPr>
          <w:rFonts w:hint="eastAsia" w:ascii="黑体" w:hAnsi="黑体" w:eastAsia="黑体"/>
          <w:sz w:val="32"/>
          <w:szCs w:val="32"/>
        </w:rPr>
        <w:t>支</w:t>
      </w:r>
      <w:r>
        <w:rPr>
          <w:rStyle w:val="18"/>
          <w:rFonts w:hint="eastAsia" w:ascii="黑体" w:hAnsi="黑体" w:eastAsia="黑体"/>
          <w:b w:val="0"/>
        </w:rPr>
        <w:t>出决算情况说明</w:t>
      </w:r>
      <w:bookmarkEnd w:id="33"/>
      <w:bookmarkEnd w:id="34"/>
      <w:bookmarkEnd w:id="35"/>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2022年本年支出合计2157.06万元，其中：基本支出2014.91万元，占93%；项目支出142.15万元，占7%。</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drawing>
          <wp:anchor distT="0" distB="0" distL="114300" distR="114300" simplePos="0" relativeHeight="251662336" behindDoc="0" locked="0" layoutInCell="1" allowOverlap="1">
            <wp:simplePos x="0" y="0"/>
            <wp:positionH relativeFrom="column">
              <wp:posOffset>410845</wp:posOffset>
            </wp:positionH>
            <wp:positionV relativeFrom="paragraph">
              <wp:posOffset>71120</wp:posOffset>
            </wp:positionV>
            <wp:extent cx="4666615" cy="2303145"/>
            <wp:effectExtent l="4445" t="5080" r="15240" b="1587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outlineLvl w:val="1"/>
        <w:rPr>
          <w:rFonts w:ascii="黑体" w:hAnsi="黑体" w:eastAsia="黑体"/>
          <w:sz w:val="32"/>
          <w:szCs w:val="32"/>
        </w:rPr>
      </w:pPr>
      <w:bookmarkStart w:id="36" w:name="_Toc1169"/>
      <w:bookmarkStart w:id="37" w:name="_Toc15377208"/>
      <w:bookmarkStart w:id="38" w:name="_Toc15396606"/>
    </w:p>
    <w:p>
      <w:pPr>
        <w:spacing w:line="600" w:lineRule="exact"/>
        <w:ind w:firstLine="2560" w:firstLineChars="800"/>
        <w:rPr>
          <w:rFonts w:ascii="仿宋" w:hAnsi="仿宋" w:eastAsia="仿宋"/>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18"/>
          <w:rFonts w:ascii="黑体" w:hAnsi="黑体" w:eastAsia="黑体"/>
          <w:b w:val="0"/>
        </w:rPr>
      </w:pPr>
      <w:r>
        <w:rPr>
          <w:rFonts w:hint="eastAsia" w:ascii="黑体" w:hAnsi="黑体" w:eastAsia="黑体"/>
          <w:sz w:val="32"/>
          <w:szCs w:val="32"/>
        </w:rPr>
        <w:t>四、财</w:t>
      </w:r>
      <w:r>
        <w:rPr>
          <w:rStyle w:val="18"/>
          <w:rFonts w:hint="eastAsia" w:ascii="黑体" w:hAnsi="黑体" w:eastAsia="黑体"/>
          <w:b w:val="0"/>
        </w:rPr>
        <w:t>政拨款收入支出决算总体情况说明</w:t>
      </w:r>
      <w:bookmarkEnd w:id="36"/>
      <w:bookmarkEnd w:id="37"/>
      <w:bookmarkEnd w:id="38"/>
    </w:p>
    <w:p>
      <w:pPr>
        <w:spacing w:line="600" w:lineRule="exact"/>
        <w:ind w:firstLine="640" w:firstLineChars="20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22年财政拨款收、支总计2191.23万元。与</w:t>
      </w:r>
      <w:r>
        <w:rPr>
          <w:rFonts w:ascii="仿宋" w:hAnsi="仿宋" w:eastAsia="仿宋"/>
          <w:sz w:val="32"/>
          <w:szCs w:val="32"/>
        </w:rPr>
        <w:t>20</w:t>
      </w:r>
      <w:r>
        <w:rPr>
          <w:rFonts w:hint="eastAsia" w:ascii="仿宋" w:hAnsi="仿宋" w:eastAsia="仿宋"/>
          <w:sz w:val="32"/>
          <w:szCs w:val="32"/>
        </w:rPr>
        <w:t>21年相比，财政拨款收、支总计各减少1390.35万元，下降38.82</w:t>
      </w:r>
      <w:r>
        <w:rPr>
          <w:rFonts w:ascii="仿宋" w:hAnsi="仿宋" w:eastAsia="仿宋"/>
          <w:sz w:val="32"/>
          <w:szCs w:val="32"/>
        </w:rPr>
        <w:t>%</w:t>
      </w:r>
      <w:r>
        <w:rPr>
          <w:rFonts w:hint="eastAsia" w:ascii="仿宋" w:hAnsi="仿宋" w:eastAsia="仿宋"/>
          <w:sz w:val="32"/>
          <w:szCs w:val="32"/>
        </w:rPr>
        <w:t>。主要变动原因：一是2021年新增职业年金贴息指标1218.26万元；二是2022年在职人员较上年减少5人，人员经费和公用经费相对应较少。</w:t>
      </w:r>
    </w:p>
    <w:p>
      <w:pPr>
        <w:pStyle w:val="2"/>
        <w:ind w:firstLine="0" w:firstLineChars="0"/>
        <w:jc w:val="center"/>
        <w:rPr>
          <w:rFonts w:ascii="黑体" w:hAnsi="黑体" w:eastAsia="黑体"/>
          <w:szCs w:val="32"/>
        </w:rPr>
      </w:pPr>
      <w:r>
        <w:rPr>
          <w:rFonts w:hint="eastAsia" w:ascii="仿宋" w:hAnsi="仿宋" w:eastAsia="仿宋"/>
          <w:szCs w:val="32"/>
        </w:rPr>
        <w:t>（图4：财政拨款收、支决算总计变动情况）</w:t>
      </w:r>
      <w:bookmarkStart w:id="39" w:name="_Toc15377209"/>
      <w:bookmarkStart w:id="40" w:name="_Toc15396607"/>
    </w:p>
    <w:p>
      <w:pPr>
        <w:spacing w:line="600" w:lineRule="exact"/>
        <w:ind w:firstLine="643" w:firstLineChars="200"/>
        <w:outlineLvl w:val="1"/>
        <w:rPr>
          <w:rStyle w:val="18"/>
          <w:rFonts w:ascii="黑体" w:hAnsi="黑体" w:eastAsia="黑体"/>
          <w:b w:val="0"/>
        </w:rPr>
      </w:pPr>
      <w:bookmarkStart w:id="41" w:name="_Toc25870"/>
      <w:r>
        <w:rPr>
          <w:rFonts w:hint="eastAsia" w:ascii="仿宋" w:hAnsi="仿宋" w:eastAsia="仿宋"/>
          <w:b/>
          <w:sz w:val="32"/>
          <w:szCs w:val="32"/>
        </w:rPr>
        <w:drawing>
          <wp:anchor distT="0" distB="0" distL="114300" distR="114300" simplePos="0" relativeHeight="251665408" behindDoc="0" locked="0" layoutInCell="1" allowOverlap="1">
            <wp:simplePos x="0" y="0"/>
            <wp:positionH relativeFrom="column">
              <wp:posOffset>287655</wp:posOffset>
            </wp:positionH>
            <wp:positionV relativeFrom="paragraph">
              <wp:posOffset>34925</wp:posOffset>
            </wp:positionV>
            <wp:extent cx="5036820" cy="2301240"/>
            <wp:effectExtent l="5080" t="4445" r="6350" b="1841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黑体" w:hAnsi="黑体" w:eastAsia="黑体"/>
          <w:sz w:val="32"/>
          <w:szCs w:val="32"/>
        </w:rPr>
        <w:t>五、</w:t>
      </w:r>
      <w:r>
        <w:rPr>
          <w:rFonts w:hint="eastAsia" w:ascii="黑体" w:hAnsi="黑体" w:eastAsia="黑体"/>
          <w:b/>
          <w:sz w:val="32"/>
          <w:szCs w:val="32"/>
        </w:rPr>
        <w:t>一</w:t>
      </w:r>
      <w:r>
        <w:rPr>
          <w:rStyle w:val="18"/>
          <w:rFonts w:hint="eastAsia" w:ascii="黑体" w:hAnsi="黑体" w:eastAsia="黑体"/>
          <w:b w:val="0"/>
        </w:rPr>
        <w:t>般公共预算财政拨款支出决算情况说明</w:t>
      </w:r>
      <w:bookmarkEnd w:id="39"/>
      <w:bookmarkEnd w:id="40"/>
      <w:bookmarkEnd w:id="41"/>
    </w:p>
    <w:p>
      <w:pPr>
        <w:spacing w:line="600" w:lineRule="exact"/>
        <w:ind w:firstLine="643" w:firstLineChars="200"/>
        <w:outlineLvl w:val="2"/>
        <w:rPr>
          <w:rFonts w:ascii="仿宋" w:hAnsi="仿宋" w:eastAsia="仿宋"/>
          <w:b/>
          <w:sz w:val="32"/>
          <w:szCs w:val="32"/>
        </w:rPr>
      </w:pPr>
      <w:bookmarkStart w:id="42" w:name="_Toc15377210"/>
      <w:r>
        <w:rPr>
          <w:rFonts w:hint="eastAsia" w:ascii="仿宋" w:hAnsi="仿宋" w:eastAsia="仿宋"/>
          <w:b/>
          <w:sz w:val="32"/>
          <w:szCs w:val="32"/>
        </w:rPr>
        <w:t>（一）一般公共预算财政拨款支出决算总体情况</w:t>
      </w:r>
      <w:bookmarkEnd w:id="42"/>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22年一般公共预算财政拨款支出2157.06万元，占本年支出合计的100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21年相比，一般公共预算财政拨款支出减少1353.51万元，下降38.55</w:t>
      </w:r>
      <w:r>
        <w:rPr>
          <w:rFonts w:ascii="仿宋" w:hAnsi="仿宋" w:eastAsia="仿宋"/>
          <w:sz w:val="32"/>
          <w:szCs w:val="32"/>
        </w:rPr>
        <w:t>%</w:t>
      </w:r>
      <w:r>
        <w:rPr>
          <w:rFonts w:hint="eastAsia" w:ascii="仿宋" w:hAnsi="仿宋" w:eastAsia="仿宋"/>
          <w:sz w:val="32"/>
          <w:szCs w:val="32"/>
        </w:rPr>
        <w:t>。主要变动原因：一是2022年减少职业年金贴息1218.26万元；二是2022年在职人员较上年减少5人，人员经费和公用经费支出相对应少。</w:t>
      </w:r>
    </w:p>
    <w:p>
      <w:pPr>
        <w:pStyle w:val="2"/>
        <w:ind w:firstLine="640"/>
      </w:pPr>
      <w:r>
        <w:rPr>
          <w:rFonts w:hint="eastAsia" w:ascii="仿宋" w:hAnsi="仿宋" w:eastAsia="仿宋"/>
          <w:szCs w:val="32"/>
        </w:rPr>
        <w:drawing>
          <wp:anchor distT="0" distB="0" distL="114300" distR="114300" simplePos="0" relativeHeight="251666432" behindDoc="0" locked="0" layoutInCell="1" allowOverlap="1">
            <wp:simplePos x="0" y="0"/>
            <wp:positionH relativeFrom="column">
              <wp:posOffset>336550</wp:posOffset>
            </wp:positionH>
            <wp:positionV relativeFrom="paragraph">
              <wp:posOffset>155575</wp:posOffset>
            </wp:positionV>
            <wp:extent cx="4845685" cy="1952625"/>
            <wp:effectExtent l="4445" t="4445" r="7620" b="508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ind w:firstLine="640"/>
        <w:rPr>
          <w:rFonts w:ascii="仿宋" w:hAnsi="仿宋" w:eastAsia="仿宋"/>
          <w:szCs w:val="32"/>
        </w:rPr>
      </w:pPr>
      <w:r>
        <w:rPr>
          <w:rFonts w:hint="eastAsia" w:ascii="仿宋" w:hAnsi="仿宋" w:eastAsia="仿宋"/>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43" w:name="_Toc15377211"/>
      <w:r>
        <w:rPr>
          <w:rFonts w:hint="eastAsia" w:ascii="仿宋" w:hAnsi="仿宋" w:eastAsia="仿宋"/>
          <w:b/>
          <w:sz w:val="32"/>
          <w:szCs w:val="32"/>
        </w:rPr>
        <w:t>（二）一般公共预算财政拨款支出决算结构情况</w:t>
      </w:r>
      <w:bookmarkEnd w:id="43"/>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22年一般公共预算财政拨款支出2157.06万元，主要用于以下方面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2039.64万元，占94.56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34.36万元，占1.59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83.06万元，占3.85</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2"/>
        <w:rPr>
          <w:rFonts w:ascii="仿宋" w:hAnsi="仿宋" w:eastAsia="仿宋"/>
          <w:b/>
          <w:sz w:val="32"/>
          <w:szCs w:val="32"/>
        </w:rPr>
      </w:pPr>
      <w:bookmarkStart w:id="44" w:name="_Toc15377212"/>
      <w:r>
        <w:rPr>
          <w:rFonts w:hint="eastAsia" w:ascii="仿宋" w:hAnsi="仿宋" w:eastAsia="仿宋"/>
          <w:sz w:val="32"/>
          <w:szCs w:val="32"/>
        </w:rPr>
        <w:drawing>
          <wp:anchor distT="0" distB="0" distL="114300" distR="114300" simplePos="0" relativeHeight="251664384" behindDoc="0" locked="0" layoutInCell="1" allowOverlap="1">
            <wp:simplePos x="0" y="0"/>
            <wp:positionH relativeFrom="column">
              <wp:posOffset>363855</wp:posOffset>
            </wp:positionH>
            <wp:positionV relativeFrom="paragraph">
              <wp:posOffset>209550</wp:posOffset>
            </wp:positionV>
            <wp:extent cx="4058285" cy="2160270"/>
            <wp:effectExtent l="4445" t="5080" r="13970" b="635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outlineLvl w:val="2"/>
        <w:rPr>
          <w:rFonts w:ascii="仿宋" w:hAnsi="仿宋" w:eastAsia="仿宋"/>
          <w:b/>
          <w:sz w:val="32"/>
          <w:szCs w:val="32"/>
        </w:rPr>
      </w:pPr>
    </w:p>
    <w:p>
      <w:pPr>
        <w:spacing w:line="600" w:lineRule="exact"/>
        <w:ind w:firstLine="643" w:firstLineChars="200"/>
        <w:outlineLvl w:val="2"/>
        <w:rPr>
          <w:rFonts w:ascii="仿宋" w:hAnsi="仿宋" w:eastAsia="仿宋"/>
          <w:b/>
          <w:sz w:val="32"/>
          <w:szCs w:val="32"/>
        </w:rPr>
      </w:pPr>
    </w:p>
    <w:p>
      <w:pPr>
        <w:spacing w:line="600" w:lineRule="exact"/>
        <w:ind w:firstLine="643" w:firstLineChars="200"/>
        <w:outlineLvl w:val="2"/>
        <w:rPr>
          <w:rFonts w:ascii="仿宋" w:hAnsi="仿宋" w:eastAsia="仿宋"/>
          <w:b/>
          <w:sz w:val="32"/>
          <w:szCs w:val="32"/>
        </w:rPr>
      </w:pPr>
    </w:p>
    <w:p>
      <w:pPr>
        <w:spacing w:line="600" w:lineRule="exact"/>
        <w:ind w:firstLine="643" w:firstLineChars="200"/>
        <w:outlineLvl w:val="2"/>
        <w:rPr>
          <w:rFonts w:ascii="仿宋" w:hAnsi="仿宋" w:eastAsia="仿宋"/>
          <w:b/>
          <w:sz w:val="32"/>
          <w:szCs w:val="32"/>
        </w:rPr>
      </w:pPr>
    </w:p>
    <w:p>
      <w:pPr>
        <w:spacing w:line="600" w:lineRule="exact"/>
        <w:ind w:firstLine="643" w:firstLineChars="200"/>
        <w:outlineLvl w:val="2"/>
        <w:rPr>
          <w:rFonts w:ascii="仿宋" w:hAnsi="仿宋" w:eastAsia="仿宋"/>
          <w:b/>
          <w:sz w:val="32"/>
          <w:szCs w:val="32"/>
        </w:rPr>
      </w:pPr>
    </w:p>
    <w:p>
      <w:pPr>
        <w:spacing w:line="600" w:lineRule="exact"/>
        <w:rPr>
          <w:rFonts w:ascii="仿宋" w:hAnsi="仿宋" w:eastAsia="仿宋"/>
          <w:sz w:val="32"/>
          <w:szCs w:val="32"/>
        </w:rPr>
      </w:pPr>
    </w:p>
    <w:p>
      <w:pPr>
        <w:spacing w:line="600" w:lineRule="exact"/>
        <w:jc w:val="center"/>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44"/>
    </w:p>
    <w:p>
      <w:pPr>
        <w:spacing w:line="600" w:lineRule="exact"/>
        <w:ind w:firstLine="640" w:firstLineChars="200"/>
        <w:rPr>
          <w:rFonts w:ascii="仿宋" w:hAnsi="仿宋" w:eastAsia="仿宋"/>
          <w:sz w:val="32"/>
          <w:szCs w:val="32"/>
        </w:rPr>
      </w:pPr>
      <w:bookmarkStart w:id="45" w:name="_Toc15377213"/>
      <w:bookmarkStart w:id="46" w:name="_Toc15378460"/>
      <w:bookmarkStart w:id="47" w:name="_Toc15377444"/>
      <w:r>
        <w:rPr>
          <w:rFonts w:hint="eastAsia" w:ascii="仿宋" w:hAnsi="仿宋" w:eastAsia="仿宋"/>
          <w:sz w:val="32"/>
          <w:szCs w:val="32"/>
        </w:rPr>
        <w:t>2022年一般公共预算支出决算数为2157.06万元，完成预算98.44%。其中：</w:t>
      </w:r>
      <w:bookmarkEnd w:id="45"/>
      <w:bookmarkEnd w:id="46"/>
      <w:bookmarkEnd w:id="47"/>
    </w:p>
    <w:p>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1.社会保障和就业支出（类）人力资源和社会保障管理事务（款）社会保险经办机构（项）</w:t>
      </w:r>
      <w:r>
        <w:rPr>
          <w:rStyle w:val="15"/>
          <w:rFonts w:ascii="仿宋" w:hAnsi="仿宋" w:eastAsia="仿宋"/>
          <w:bCs/>
          <w:sz w:val="32"/>
          <w:szCs w:val="32"/>
        </w:rPr>
        <w:t>:</w:t>
      </w:r>
      <w:r>
        <w:rPr>
          <w:rStyle w:val="15"/>
          <w:rFonts w:hint="eastAsia" w:ascii="仿宋" w:hAnsi="仿宋" w:eastAsia="仿宋"/>
          <w:b w:val="0"/>
          <w:bCs/>
          <w:sz w:val="32"/>
          <w:szCs w:val="32"/>
        </w:rPr>
        <w:t>支出决算为1842.66万元，完成预算98.18</w:t>
      </w:r>
      <w:r>
        <w:rPr>
          <w:rStyle w:val="15"/>
          <w:rFonts w:ascii="仿宋" w:hAnsi="仿宋" w:eastAsia="仿宋"/>
          <w:b w:val="0"/>
          <w:bCs/>
          <w:sz w:val="32"/>
          <w:szCs w:val="32"/>
        </w:rPr>
        <w:t>%</w:t>
      </w:r>
      <w:r>
        <w:rPr>
          <w:rStyle w:val="15"/>
          <w:rFonts w:hint="eastAsia" w:ascii="仿宋" w:hAnsi="仿宋" w:eastAsia="仿宋"/>
          <w:b w:val="0"/>
          <w:bCs/>
          <w:sz w:val="32"/>
          <w:szCs w:val="32"/>
        </w:rPr>
        <w:t>，决算数小于预算数的主要原因是其他对个人和家庭的补助结余指标34.17万元，财政于次年收回指标。</w:t>
      </w:r>
    </w:p>
    <w:p>
      <w:pPr>
        <w:spacing w:line="600" w:lineRule="exact"/>
        <w:ind w:firstLine="643" w:firstLineChars="200"/>
        <w:rPr>
          <w:rStyle w:val="15"/>
          <w:rFonts w:ascii="仿宋" w:hAnsi="仿宋" w:eastAsia="仿宋"/>
          <w:bCs/>
          <w:sz w:val="32"/>
          <w:szCs w:val="32"/>
        </w:rPr>
      </w:pPr>
      <w:r>
        <w:rPr>
          <w:rStyle w:val="15"/>
          <w:rFonts w:hint="eastAsia" w:ascii="仿宋" w:hAnsi="仿宋" w:eastAsia="仿宋"/>
          <w:bCs/>
          <w:sz w:val="32"/>
          <w:szCs w:val="32"/>
        </w:rPr>
        <w:t>2.社会保障和就业支出（类）行政事业单位养老支出（款）机关事业单位基本养老保险缴费支出（项）</w:t>
      </w:r>
      <w:r>
        <w:rPr>
          <w:rStyle w:val="15"/>
          <w:rFonts w:ascii="仿宋" w:hAnsi="仿宋" w:eastAsia="仿宋"/>
          <w:bCs/>
          <w:sz w:val="32"/>
          <w:szCs w:val="32"/>
        </w:rPr>
        <w:t>:</w:t>
      </w:r>
      <w:r>
        <w:rPr>
          <w:rStyle w:val="15"/>
          <w:rFonts w:hint="eastAsia" w:ascii="仿宋" w:hAnsi="仿宋" w:eastAsia="仿宋"/>
          <w:b w:val="0"/>
          <w:bCs/>
          <w:sz w:val="32"/>
          <w:szCs w:val="32"/>
        </w:rPr>
        <w:t>支出决算为78.16万元，完成预算100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3.社会保障和就业支出（类）行政事业单位养老支出（款）机关事业单位职业年金缴费支出（项）</w:t>
      </w:r>
      <w:r>
        <w:rPr>
          <w:rStyle w:val="15"/>
          <w:rFonts w:ascii="仿宋" w:hAnsi="仿宋" w:eastAsia="仿宋"/>
          <w:bCs/>
          <w:sz w:val="32"/>
          <w:szCs w:val="32"/>
        </w:rPr>
        <w:t>:</w:t>
      </w:r>
      <w:r>
        <w:rPr>
          <w:rStyle w:val="15"/>
          <w:rFonts w:hint="eastAsia" w:ascii="仿宋" w:hAnsi="仿宋" w:eastAsia="仿宋"/>
          <w:b w:val="0"/>
          <w:bCs/>
          <w:sz w:val="32"/>
          <w:szCs w:val="32"/>
        </w:rPr>
        <w:t>支出决算为10.42万元，完成预算100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Cs/>
          <w:sz w:val="32"/>
          <w:szCs w:val="32"/>
        </w:rPr>
      </w:pPr>
      <w:r>
        <w:rPr>
          <w:rStyle w:val="15"/>
          <w:rFonts w:hint="eastAsia" w:ascii="仿宋" w:hAnsi="仿宋" w:eastAsia="仿宋"/>
          <w:bCs/>
          <w:sz w:val="32"/>
          <w:szCs w:val="32"/>
        </w:rPr>
        <w:t>4.社会保障和就业支出（类）抚恤（款）死亡抚恤（项）</w:t>
      </w:r>
      <w:r>
        <w:rPr>
          <w:rStyle w:val="15"/>
          <w:rFonts w:ascii="仿宋" w:hAnsi="仿宋" w:eastAsia="仿宋"/>
          <w:bCs/>
          <w:sz w:val="32"/>
          <w:szCs w:val="32"/>
        </w:rPr>
        <w:t>:</w:t>
      </w:r>
      <w:r>
        <w:rPr>
          <w:rStyle w:val="15"/>
          <w:rFonts w:hint="eastAsia" w:ascii="仿宋" w:hAnsi="仿宋" w:eastAsia="仿宋"/>
          <w:b w:val="0"/>
          <w:bCs/>
          <w:sz w:val="32"/>
          <w:szCs w:val="32"/>
        </w:rPr>
        <w:t>支出决算为108.39万元，完成预算100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bCs/>
          <w:sz w:val="32"/>
          <w:szCs w:val="32"/>
        </w:rPr>
        <w:t>5.卫生健康支出</w:t>
      </w:r>
      <w:r>
        <w:rPr>
          <w:rStyle w:val="15"/>
          <w:rFonts w:hint="eastAsia" w:ascii="仿宋" w:hAnsi="仿宋" w:eastAsia="仿宋"/>
          <w:bCs/>
          <w:sz w:val="32"/>
          <w:szCs w:val="32"/>
        </w:rPr>
        <w:t>（类）行政事业单位医疗（款）事业单位医疗（项）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支出决算为34.36万元，完成预算100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bCs/>
          <w:sz w:val="32"/>
          <w:szCs w:val="32"/>
        </w:rPr>
        <w:t>6.住房保障支出（类）住房改革支出（款）住房公积金（项）：</w:t>
      </w:r>
      <w:r>
        <w:rPr>
          <w:rFonts w:hint="eastAsia" w:ascii="仿宋" w:hAnsi="仿宋" w:eastAsia="仿宋"/>
          <w:sz w:val="32"/>
          <w:szCs w:val="32"/>
        </w:rPr>
        <w:t>支出决算数为83.06万元，完成预算的100%。</w:t>
      </w:r>
    </w:p>
    <w:p>
      <w:pPr>
        <w:tabs>
          <w:tab w:val="right" w:pos="8306"/>
        </w:tabs>
        <w:spacing w:line="600" w:lineRule="exact"/>
        <w:ind w:firstLine="640"/>
        <w:outlineLvl w:val="1"/>
        <w:rPr>
          <w:rStyle w:val="18"/>
        </w:rPr>
      </w:pPr>
      <w:bookmarkStart w:id="48" w:name="_Toc15396608"/>
      <w:bookmarkStart w:id="49" w:name="_Toc29358"/>
      <w:bookmarkStart w:id="50"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8"/>
          <w:rFonts w:hint="eastAsia" w:ascii="黑体" w:hAnsi="黑体" w:eastAsia="黑体"/>
          <w:b w:val="0"/>
        </w:rPr>
        <w:t>般公共预算财政拨款基本支出决算情况说明</w:t>
      </w:r>
      <w:bookmarkEnd w:id="48"/>
      <w:bookmarkEnd w:id="49"/>
      <w:bookmarkEnd w:id="50"/>
      <w:r>
        <w:rPr>
          <w:rStyle w:val="18"/>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22年一般公共预算财政拨款基本支出2014.91万元，其中：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1898.64万元，主要包括：基本工资、津贴补贴、奖金、机关事业单位基本养老保险缴费、职业年金缴费、职工基本医疗保险缴费、其他社会保障缴费、住房公积金、其他工资福利支出、抚恤金、生活补助、其他对个人和家庭的补助支出等。</w:t>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公用经费116.26万元，主要包括：办公费、印刷费、邮电费、差旅费、会议费、培训费、公务接待费、劳务费、工会经费、福利费、其他交通费用、其他商品和服务支出。</w:t>
      </w:r>
    </w:p>
    <w:p>
      <w:pPr>
        <w:spacing w:line="600" w:lineRule="exact"/>
        <w:ind w:firstLine="640"/>
        <w:outlineLvl w:val="1"/>
        <w:rPr>
          <w:rStyle w:val="18"/>
          <w:rFonts w:ascii="黑体" w:hAnsi="黑体" w:eastAsia="黑体"/>
          <w:b w:val="0"/>
        </w:rPr>
      </w:pPr>
      <w:bookmarkStart w:id="51" w:name="_Toc15396609"/>
      <w:bookmarkStart w:id="52" w:name="_Toc31354"/>
      <w:bookmarkStart w:id="53" w:name="_Toc15377215"/>
      <w:r>
        <w:rPr>
          <w:rFonts w:hint="eastAsia" w:ascii="黑体" w:eastAsia="黑体"/>
          <w:sz w:val="32"/>
          <w:szCs w:val="32"/>
        </w:rPr>
        <w:t>七、</w:t>
      </w:r>
      <w:r>
        <w:rPr>
          <w:rStyle w:val="18"/>
          <w:rFonts w:hint="eastAsia" w:ascii="黑体" w:hAnsi="黑体" w:eastAsia="黑体"/>
          <w:b w:val="0"/>
        </w:rPr>
        <w:t>财政拨款</w:t>
      </w:r>
      <w:r>
        <w:rPr>
          <w:rStyle w:val="18"/>
          <w:rFonts w:hint="eastAsia" w:ascii="黑体" w:hAnsi="黑体" w:eastAsia="黑体"/>
        </w:rPr>
        <w:t>“</w:t>
      </w:r>
      <w:r>
        <w:rPr>
          <w:rStyle w:val="18"/>
          <w:rFonts w:hint="eastAsia" w:ascii="黑体" w:hAnsi="黑体" w:eastAsia="黑体"/>
          <w:b w:val="0"/>
        </w:rPr>
        <w:t>三公”经费支出决算情况说明</w:t>
      </w:r>
      <w:bookmarkEnd w:id="51"/>
      <w:bookmarkEnd w:id="52"/>
      <w:bookmarkEnd w:id="53"/>
    </w:p>
    <w:p>
      <w:pPr>
        <w:spacing w:line="600" w:lineRule="exact"/>
        <w:ind w:firstLine="640"/>
        <w:outlineLvl w:val="2"/>
        <w:rPr>
          <w:rFonts w:ascii="仿宋" w:hAnsi="仿宋" w:eastAsia="仿宋"/>
          <w:b/>
          <w:sz w:val="32"/>
          <w:szCs w:val="32"/>
        </w:rPr>
      </w:pPr>
      <w:bookmarkStart w:id="54" w:name="_Toc15377216"/>
      <w:r>
        <w:rPr>
          <w:rFonts w:hint="eastAsia" w:ascii="仿宋" w:hAnsi="仿宋" w:eastAsia="仿宋"/>
          <w:b/>
          <w:sz w:val="32"/>
          <w:szCs w:val="32"/>
        </w:rPr>
        <w:t>（一）“三公”经费财政拨款支出决算总体情况说明</w:t>
      </w:r>
      <w:bookmarkEnd w:id="54"/>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22年“三公”经费财政拨款支出决算为0.03万元，完成预算60</w:t>
      </w:r>
      <w:r>
        <w:rPr>
          <w:rFonts w:ascii="仿宋" w:hAnsi="仿宋" w:eastAsia="仿宋"/>
          <w:sz w:val="32"/>
          <w:szCs w:val="32"/>
        </w:rPr>
        <w:t>%</w:t>
      </w:r>
      <w:r>
        <w:rPr>
          <w:rFonts w:hint="eastAsia" w:ascii="仿宋" w:hAnsi="仿宋" w:eastAsia="仿宋"/>
          <w:sz w:val="32"/>
          <w:szCs w:val="32"/>
        </w:rPr>
        <w:t>，较上年增减少0.23万元，下降88%。</w:t>
      </w:r>
    </w:p>
    <w:p>
      <w:pPr>
        <w:spacing w:line="600" w:lineRule="exact"/>
        <w:ind w:firstLine="640"/>
        <w:outlineLvl w:val="2"/>
        <w:rPr>
          <w:rFonts w:ascii="仿宋" w:hAnsi="仿宋" w:eastAsia="仿宋"/>
          <w:b/>
          <w:sz w:val="32"/>
          <w:szCs w:val="32"/>
        </w:rPr>
      </w:pPr>
      <w:bookmarkStart w:id="55" w:name="_Toc15377217"/>
      <w:r>
        <w:rPr>
          <w:rFonts w:hint="eastAsia" w:ascii="仿宋" w:hAnsi="仿宋" w:eastAsia="仿宋"/>
          <w:b/>
          <w:sz w:val="32"/>
          <w:szCs w:val="32"/>
        </w:rPr>
        <w:t>（二）“三公”经费财政拨款支出决算具体情况说明</w:t>
      </w:r>
      <w:bookmarkEnd w:id="5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；公务接待费支出决算0.03万元，占100</w:t>
      </w:r>
      <w:r>
        <w:rPr>
          <w:rFonts w:ascii="仿宋" w:hAnsi="仿宋" w:eastAsia="仿宋"/>
          <w:sz w:val="32"/>
          <w:szCs w:val="32"/>
        </w:rPr>
        <w:t>%</w:t>
      </w:r>
      <w:r>
        <w:rPr>
          <w:rFonts w:hint="eastAsia" w:ascii="仿宋" w:hAnsi="仿宋" w:eastAsia="仿宋"/>
          <w:sz w:val="32"/>
          <w:szCs w:val="32"/>
        </w:rPr>
        <w:t>。具体情况如下：</w:t>
      </w:r>
    </w:p>
    <w:p>
      <w:pPr>
        <w:pStyle w:val="2"/>
        <w:ind w:firstLine="640"/>
        <w:rPr>
          <w:rFonts w:ascii="仿宋" w:hAnsi="仿宋" w:eastAsia="仿宋"/>
          <w:szCs w:val="32"/>
        </w:rPr>
      </w:pPr>
      <w:r>
        <w:rPr>
          <w:rFonts w:hint="eastAsia" w:ascii="仿宋" w:hAnsi="仿宋" w:eastAsia="仿宋"/>
          <w:szCs w:val="32"/>
        </w:rPr>
        <w:drawing>
          <wp:anchor distT="0" distB="0" distL="114300" distR="114300" simplePos="0" relativeHeight="251663360" behindDoc="0" locked="0" layoutInCell="1" allowOverlap="1">
            <wp:simplePos x="0" y="0"/>
            <wp:positionH relativeFrom="column">
              <wp:posOffset>325120</wp:posOffset>
            </wp:positionH>
            <wp:positionV relativeFrom="paragraph">
              <wp:posOffset>208915</wp:posOffset>
            </wp:positionV>
            <wp:extent cx="4323080" cy="2778760"/>
            <wp:effectExtent l="4445" t="4445" r="15875" b="1714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
        <w:ind w:firstLine="640"/>
        <w:rPr>
          <w:rFonts w:ascii="仿宋" w:hAnsi="仿宋" w:eastAsia="仿宋"/>
          <w:szCs w:val="32"/>
        </w:rPr>
      </w:pPr>
    </w:p>
    <w:p>
      <w:pPr>
        <w:pStyle w:val="2"/>
        <w:ind w:firstLine="640"/>
        <w:rPr>
          <w:rFonts w:ascii="仿宋" w:hAnsi="仿宋" w:eastAsia="仿宋"/>
          <w:szCs w:val="32"/>
        </w:rPr>
      </w:pPr>
    </w:p>
    <w:p>
      <w:pPr>
        <w:pStyle w:val="2"/>
        <w:ind w:firstLine="640"/>
        <w:rPr>
          <w:rFonts w:ascii="仿宋" w:hAnsi="仿宋" w:eastAsia="仿宋"/>
          <w:szCs w:val="32"/>
        </w:rPr>
      </w:pPr>
    </w:p>
    <w:p>
      <w:pPr>
        <w:pStyle w:val="2"/>
        <w:ind w:firstLine="640"/>
        <w:rPr>
          <w:rFonts w:ascii="仿宋" w:hAnsi="仿宋" w:eastAsia="仿宋"/>
          <w:szCs w:val="32"/>
        </w:rPr>
      </w:pPr>
    </w:p>
    <w:p>
      <w:pPr>
        <w:pStyle w:val="2"/>
        <w:ind w:firstLine="640"/>
        <w:rPr>
          <w:rFonts w:ascii="仿宋" w:hAnsi="仿宋" w:eastAsia="仿宋"/>
          <w:szCs w:val="32"/>
        </w:rPr>
      </w:pPr>
    </w:p>
    <w:p>
      <w:pPr>
        <w:pStyle w:val="2"/>
        <w:ind w:firstLine="640"/>
        <w:rPr>
          <w:rFonts w:ascii="仿宋" w:hAnsi="仿宋" w:eastAsia="仿宋"/>
          <w:szCs w:val="32"/>
        </w:rPr>
      </w:pPr>
    </w:p>
    <w:p>
      <w:pPr>
        <w:pStyle w:val="2"/>
        <w:ind w:firstLine="640"/>
        <w:rPr>
          <w:rFonts w:ascii="仿宋" w:hAnsi="仿宋" w:eastAsia="仿宋"/>
          <w:szCs w:val="32"/>
        </w:rPr>
      </w:pPr>
    </w:p>
    <w:p>
      <w:pPr>
        <w:pStyle w:val="2"/>
        <w:ind w:firstLine="643"/>
        <w:rPr>
          <w:rFonts w:ascii="仿宋" w:hAnsi="仿宋" w:eastAsia="仿宋"/>
          <w:b/>
          <w:bCs/>
          <w:szCs w:val="32"/>
        </w:rPr>
      </w:pPr>
    </w:p>
    <w:p>
      <w:pPr>
        <w:spacing w:line="600" w:lineRule="exact"/>
        <w:ind w:firstLine="640"/>
        <w:jc w:val="center"/>
        <w:rPr>
          <w:rFonts w:ascii="仿宋_GB2312" w:eastAsia="仿宋_GB2312"/>
          <w:b/>
          <w:sz w:val="32"/>
          <w:szCs w:val="32"/>
        </w:rPr>
      </w:pPr>
      <w:r>
        <w:rPr>
          <w:rFonts w:hint="eastAsia" w:ascii="仿宋" w:hAnsi="仿宋" w:eastAsia="仿宋"/>
          <w:sz w:val="32"/>
          <w:szCs w:val="32"/>
        </w:rPr>
        <w:t>（图7：“三公”经费财政拨款支出结构）</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因公出国（境）经费支出0万元，年初未安排预算</w:t>
      </w:r>
      <w:r>
        <w:rPr>
          <w:rFonts w:ascii="仿宋_GB2312" w:eastAsia="仿宋_GB2312"/>
          <w:b/>
          <w:sz w:val="32"/>
          <w:szCs w:val="32"/>
        </w:rPr>
        <w:t>,较上年无变化</w:t>
      </w:r>
      <w:r>
        <w:rPr>
          <w:rFonts w:hint="eastAsia" w:ascii="仿宋_GB2312" w:eastAsia="仿宋_GB2312"/>
          <w:b/>
          <w:sz w:val="32"/>
          <w:szCs w:val="32"/>
        </w:rPr>
        <w:t>。</w:t>
      </w:r>
    </w:p>
    <w:p>
      <w:pPr>
        <w:widowControl/>
        <w:spacing w:line="600" w:lineRule="exact"/>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5"/>
          <w:rFonts w:hint="eastAsia" w:ascii="仿宋" w:hAnsi="仿宋" w:eastAsia="仿宋"/>
          <w:b w:val="0"/>
          <w:bCs/>
          <w:sz w:val="32"/>
          <w:szCs w:val="32"/>
        </w:rPr>
        <w:t>年初未安排预算</w:t>
      </w:r>
      <w:r>
        <w:rPr>
          <w:rStyle w:val="15"/>
          <w:rFonts w:ascii="仿宋" w:hAnsi="仿宋" w:eastAsia="仿宋"/>
          <w:b w:val="0"/>
          <w:bCs/>
          <w:sz w:val="32"/>
          <w:szCs w:val="32"/>
        </w:rPr>
        <w:t>，较上年无变化，</w:t>
      </w:r>
      <w:r>
        <w:rPr>
          <w:rFonts w:ascii="仿宋_GB2312" w:eastAsia="仿宋_GB2312" w:cs="仿宋_GB2312"/>
          <w:color w:val="000000"/>
          <w:kern w:val="0"/>
          <w:sz w:val="32"/>
          <w:szCs w:val="32"/>
        </w:rPr>
        <w:t>2022年12月底，单位共有公务用车0辆</w:t>
      </w:r>
      <w:r>
        <w:rPr>
          <w:rStyle w:val="15"/>
          <w:rFonts w:hint="eastAsia" w:ascii="仿宋" w:hAnsi="仿宋" w:eastAsia="仿宋"/>
          <w:b w:val="0"/>
          <w:bCs/>
          <w:sz w:val="32"/>
          <w:szCs w:val="32"/>
        </w:rPr>
        <w:t>。</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公务接待费支出0.03</w:t>
      </w:r>
      <w:r>
        <w:rPr>
          <w:rFonts w:hint="eastAsia" w:ascii="仿宋_GB2312" w:eastAsia="仿宋_GB2312"/>
          <w:sz w:val="32"/>
          <w:szCs w:val="32"/>
        </w:rPr>
        <w:t>万元，</w:t>
      </w:r>
      <w:r>
        <w:rPr>
          <w:rStyle w:val="15"/>
          <w:rFonts w:hint="eastAsia" w:ascii="仿宋" w:hAnsi="仿宋" w:eastAsia="仿宋"/>
          <w:b w:val="0"/>
          <w:bCs/>
          <w:sz w:val="32"/>
          <w:szCs w:val="32"/>
        </w:rPr>
        <w:t>完成预算60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21年减少0.23万元，下降88</w:t>
      </w:r>
      <w:r>
        <w:rPr>
          <w:rFonts w:ascii="仿宋_GB2312" w:eastAsia="仿宋_GB2312"/>
          <w:sz w:val="32"/>
          <w:szCs w:val="32"/>
        </w:rPr>
        <w:t>%</w:t>
      </w:r>
      <w:r>
        <w:rPr>
          <w:rFonts w:hint="eastAsia" w:ascii="仿宋_GB2312" w:eastAsia="仿宋_GB2312"/>
          <w:sz w:val="32"/>
          <w:szCs w:val="32"/>
        </w:rPr>
        <w:t>。主要原因是厉行节约，减少接待支出。其中：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0.03</w:t>
      </w:r>
      <w:r>
        <w:rPr>
          <w:rFonts w:hint="eastAsia" w:ascii="仿宋_GB2312" w:eastAsia="仿宋_GB2312"/>
          <w:sz w:val="32"/>
          <w:szCs w:val="32"/>
        </w:rPr>
        <w:t>万元，主要用于绵阳市游仙区社保局开展标准化建设交流学习用餐费。国内公务接待1批次，3人次（不包括陪同人员），共计支出0.03万元，具体内容包括：用餐费0.03万元。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0"/>
        <w:outlineLvl w:val="1"/>
        <w:rPr>
          <w:rStyle w:val="18"/>
          <w:rFonts w:ascii="黑体" w:hAnsi="黑体" w:eastAsia="黑体"/>
        </w:rPr>
      </w:pPr>
      <w:bookmarkStart w:id="56" w:name="_Toc22337"/>
      <w:bookmarkStart w:id="57" w:name="_Toc15377218"/>
      <w:bookmarkStart w:id="58" w:name="_Toc15396610"/>
      <w:r>
        <w:rPr>
          <w:rFonts w:hint="eastAsia" w:ascii="黑体" w:eastAsia="黑体"/>
          <w:sz w:val="32"/>
          <w:szCs w:val="32"/>
        </w:rPr>
        <w:t>八、</w:t>
      </w:r>
      <w:r>
        <w:rPr>
          <w:rStyle w:val="18"/>
          <w:rFonts w:hint="eastAsia" w:ascii="黑体" w:hAnsi="黑体" w:eastAsia="黑体"/>
          <w:b w:val="0"/>
        </w:rPr>
        <w:t>政府性基金预算支出决算情况说明</w:t>
      </w:r>
      <w:bookmarkEnd w:id="56"/>
      <w:bookmarkEnd w:id="57"/>
      <w:bookmarkEnd w:id="58"/>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numPr>
          <w:ilvl w:val="0"/>
          <w:numId w:val="3"/>
        </w:numPr>
        <w:spacing w:line="600" w:lineRule="exact"/>
        <w:ind w:firstLine="640"/>
        <w:outlineLvl w:val="1"/>
        <w:rPr>
          <w:rStyle w:val="18"/>
          <w:rFonts w:ascii="黑体" w:hAnsi="黑体" w:eastAsia="黑体"/>
          <w:b w:val="0"/>
        </w:rPr>
      </w:pPr>
      <w:bookmarkStart w:id="59" w:name="_Toc15396611"/>
      <w:bookmarkStart w:id="60" w:name="_Toc15377219"/>
      <w:bookmarkStart w:id="61" w:name="_Toc4566"/>
      <w:r>
        <w:rPr>
          <w:rStyle w:val="18"/>
          <w:rFonts w:hint="eastAsia" w:ascii="黑体" w:hAnsi="黑体" w:eastAsia="黑体"/>
          <w:b w:val="0"/>
        </w:rPr>
        <w:t>国有资本经营预算支出决算情况说明</w:t>
      </w:r>
      <w:bookmarkEnd w:id="59"/>
      <w:bookmarkEnd w:id="60"/>
      <w:bookmarkEnd w:id="6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numPr>
          <w:ilvl w:val="0"/>
          <w:numId w:val="3"/>
        </w:numPr>
        <w:spacing w:line="600" w:lineRule="exact"/>
        <w:ind w:firstLine="640"/>
        <w:outlineLvl w:val="1"/>
        <w:rPr>
          <w:rStyle w:val="18"/>
          <w:rFonts w:ascii="黑体" w:hAnsi="黑体" w:eastAsia="黑体"/>
          <w:b w:val="0"/>
        </w:rPr>
      </w:pPr>
      <w:bookmarkStart w:id="62" w:name="_Toc15396612"/>
      <w:bookmarkStart w:id="63" w:name="_Toc15377221"/>
      <w:bookmarkStart w:id="64" w:name="_Toc9992"/>
      <w:r>
        <w:rPr>
          <w:rStyle w:val="18"/>
          <w:rFonts w:hint="eastAsia" w:ascii="黑体" w:hAnsi="黑体" w:eastAsia="黑体"/>
          <w:b w:val="0"/>
        </w:rPr>
        <w:t>其他重要事项的情况说明</w:t>
      </w:r>
      <w:bookmarkEnd w:id="62"/>
      <w:bookmarkEnd w:id="63"/>
      <w:bookmarkEnd w:id="64"/>
    </w:p>
    <w:p>
      <w:pPr>
        <w:spacing w:line="600" w:lineRule="exact"/>
        <w:ind w:firstLine="643" w:firstLineChars="200"/>
        <w:outlineLvl w:val="2"/>
        <w:rPr>
          <w:rFonts w:ascii="仿宋" w:hAnsi="仿宋" w:eastAsia="仿宋"/>
          <w:sz w:val="32"/>
          <w:szCs w:val="32"/>
        </w:rPr>
      </w:pPr>
      <w:bookmarkStart w:id="65" w:name="_Toc15377222"/>
      <w:r>
        <w:rPr>
          <w:rFonts w:hint="eastAsia" w:ascii="仿宋" w:hAnsi="仿宋" w:eastAsia="仿宋"/>
          <w:b/>
          <w:sz w:val="32"/>
          <w:szCs w:val="32"/>
        </w:rPr>
        <w:t>（一）机关运行经费支出情况</w:t>
      </w:r>
      <w:bookmarkEnd w:id="65"/>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22年，广元市社会保险事务中心机关运行经费支出166.26万元，比</w:t>
      </w:r>
      <w:r>
        <w:rPr>
          <w:rFonts w:ascii="仿宋_GB2312" w:eastAsia="仿宋_GB2312"/>
          <w:sz w:val="32"/>
          <w:szCs w:val="32"/>
        </w:rPr>
        <w:t>20</w:t>
      </w:r>
      <w:r>
        <w:rPr>
          <w:rFonts w:hint="eastAsia" w:ascii="仿宋_GB2312" w:eastAsia="仿宋_GB2312"/>
          <w:sz w:val="32"/>
          <w:szCs w:val="32"/>
        </w:rPr>
        <w:t>21年减少27.91万元，下降19.36</w:t>
      </w:r>
      <w:r>
        <w:rPr>
          <w:rFonts w:ascii="仿宋_GB2312" w:eastAsia="仿宋_GB2312"/>
          <w:sz w:val="32"/>
          <w:szCs w:val="32"/>
        </w:rPr>
        <w:t>%</w:t>
      </w:r>
      <w:r>
        <w:rPr>
          <w:rFonts w:hint="eastAsia" w:ascii="仿宋_GB2312" w:eastAsia="仿宋_GB2312"/>
          <w:sz w:val="32"/>
          <w:szCs w:val="32"/>
        </w:rPr>
        <w:t>。主要原因是厉行节约，严控开支。</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3"/>
      <w:r>
        <w:rPr>
          <w:rFonts w:hint="eastAsia" w:ascii="仿宋" w:hAnsi="仿宋" w:eastAsia="仿宋"/>
          <w:b/>
          <w:sz w:val="32"/>
          <w:szCs w:val="32"/>
        </w:rPr>
        <w:t>（二）政府采购支出情况</w:t>
      </w:r>
      <w:bookmarkEnd w:id="6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22年，广元市社会保险事务中心政府采购支出总额0万元。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7" w:name="_Toc15377224"/>
      <w:r>
        <w:rPr>
          <w:rFonts w:hint="eastAsia" w:ascii="仿宋" w:hAnsi="仿宋" w:eastAsia="仿宋"/>
          <w:b/>
          <w:sz w:val="32"/>
          <w:szCs w:val="32"/>
        </w:rPr>
        <w:t>（三）国有资产占有使用情况</w:t>
      </w:r>
      <w:bookmarkEnd w:id="67"/>
    </w:p>
    <w:p>
      <w:pPr>
        <w:widowControl/>
        <w:spacing w:line="600" w:lineRule="atLeast"/>
        <w:ind w:firstLine="640"/>
        <w:jc w:val="left"/>
        <w:rPr>
          <w:color w:val="000000"/>
          <w:szCs w:val="21"/>
        </w:rPr>
      </w:pPr>
      <w:r>
        <w:rPr>
          <w:rFonts w:ascii="仿宋_GB2312" w:eastAsia="仿宋_GB2312" w:cs="仿宋_GB2312"/>
          <w:color w:val="000000"/>
          <w:kern w:val="0"/>
          <w:sz w:val="32"/>
          <w:szCs w:val="32"/>
        </w:rPr>
        <w:t>截至2022年12月31日，我单位共有车辆0辆，单价100万元以上专用设备0台（套）。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（四）预算绩效管理情况</w:t>
      </w:r>
    </w:p>
    <w:p>
      <w:pPr>
        <w:pStyle w:val="6"/>
        <w:spacing w:before="93"/>
        <w:ind w:firstLine="640" w:firstLineChars="200"/>
        <w:rPr>
          <w:rFonts w:hAnsi="仿宋_GB2312" w:cs="仿宋_GB2312"/>
          <w:sz w:val="32"/>
          <w:szCs w:val="32"/>
        </w:rPr>
      </w:pPr>
      <w:r>
        <w:rPr>
          <w:rFonts w:hint="eastAsia" w:hAnsi="仿宋_GB2312" w:cs="仿宋_GB2312"/>
          <w:sz w:val="32"/>
          <w:szCs w:val="32"/>
        </w:rPr>
        <w:t>根据预算绩效管理要求，本单位在2022年度预算编制阶段，组织对离退休人员管理工作经费等6个项目开展了预算事前绩效评估，对6个项目编制了绩效目标，预算执行过程中，选取6个项目开展绩效监控，组织对6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17"/>
          <w:rFonts w:ascii="黑体" w:hAnsi="黑体" w:eastAsia="黑体"/>
          <w:b w:val="0"/>
        </w:rPr>
      </w:pPr>
      <w:bookmarkStart w:id="68" w:name="_Toc15396613"/>
      <w:bookmarkStart w:id="69" w:name="_Toc15377225"/>
      <w:bookmarkStart w:id="70" w:name="_Toc12686"/>
      <w:r>
        <w:rPr>
          <w:rFonts w:hint="eastAsia" w:ascii="黑体" w:hAnsi="黑体" w:eastAsia="黑体"/>
          <w:sz w:val="44"/>
          <w:szCs w:val="44"/>
        </w:rPr>
        <w:t>名</w:t>
      </w:r>
      <w:r>
        <w:rPr>
          <w:rStyle w:val="17"/>
          <w:rFonts w:hint="eastAsia" w:ascii="黑体" w:hAnsi="黑体" w:eastAsia="黑体"/>
          <w:b w:val="0"/>
        </w:rPr>
        <w:t>词解释</w:t>
      </w:r>
      <w:bookmarkEnd w:id="68"/>
      <w:bookmarkEnd w:id="69"/>
      <w:bookmarkEnd w:id="70"/>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3.年末结转和结余：指单位按有关规定结转到下年或以后年度继续使用的资金。</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4.社会保障和就业支出（类）人力资源和社会保障管理事务（款）社会保险经办机构（项）:</w:t>
      </w:r>
      <w:r>
        <w:rPr>
          <w:rFonts w:hint="eastAsia" w:ascii="仿宋_GB2312" w:eastAsia="仿宋_GB2312"/>
          <w:color w:val="000000"/>
          <w:sz w:val="32"/>
          <w:szCs w:val="32"/>
        </w:rPr>
        <w:t>指社会保险经办机构开展业务工作的支出。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5.社会保障和就业支出（类）行政事业单位养老支出（款）机关事业单位基本养老保险缴费支出（项）: 指机关事业单位实施养老保险制度由单位缴纳的基本养老保险费支出。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6.社会保障和就业支出（类）行政事业单位养老支出（款）机关事业单位职业年金缴费支出（项）:反映机关事业单位实施养老保险制度由单位实际缴纳的职业年金支出。 </w:t>
      </w:r>
    </w:p>
    <w:p>
      <w:pPr>
        <w:ind w:firstLine="640" w:firstLineChars="200"/>
        <w:rPr>
          <w:rFonts w:ascii="仿宋_GB2312" w:eastAsia="仿宋_GB2312"/>
          <w:sz w:val="32"/>
          <w:szCs w:val="32"/>
        </w:rPr>
      </w:pPr>
      <w:r>
        <w:rPr>
          <w:rFonts w:hint="eastAsia" w:ascii="仿宋_GB2312" w:eastAsia="仿宋_GB2312"/>
          <w:sz w:val="32"/>
          <w:szCs w:val="32"/>
        </w:rPr>
        <w:t>7.社会保障和就业支出（类）抚恤（款）死亡抚恤（项）:指反映按规定用于烈士和牺牲、病故人员家属的一次性和定期抚恤金以及丧葬补助费。</w:t>
      </w:r>
    </w:p>
    <w:p>
      <w:pPr>
        <w:rPr>
          <w:rFonts w:ascii="仿宋_GB2312" w:eastAsia="仿宋_GB2312"/>
          <w:sz w:val="32"/>
          <w:szCs w:val="32"/>
        </w:rPr>
      </w:pPr>
      <w:r>
        <w:rPr>
          <w:rFonts w:hint="eastAsia" w:ascii="仿宋_GB2312" w:eastAsia="仿宋_GB2312"/>
          <w:sz w:val="32"/>
          <w:szCs w:val="32"/>
        </w:rPr>
        <w:t xml:space="preserve">8.卫生健康支出（类）行政事业单位医疗（款）事业单位医疗（项）:指反映财政部门集中安排的行政单位基本医疗保险缴费经费。 </w:t>
      </w:r>
    </w:p>
    <w:p>
      <w:pPr>
        <w:pStyle w:val="26"/>
        <w:spacing w:line="560" w:lineRule="exact"/>
        <w:ind w:firstLine="960" w:firstLineChars="300"/>
        <w:rPr>
          <w:rFonts w:ascii="仿宋_GB2312" w:eastAsia="仿宋_GB2312"/>
          <w:sz w:val="32"/>
          <w:szCs w:val="32"/>
        </w:rPr>
      </w:pPr>
      <w:r>
        <w:rPr>
          <w:rFonts w:hint="eastAsia" w:ascii="仿宋_GB2312" w:eastAsia="仿宋_GB2312"/>
          <w:sz w:val="32"/>
          <w:szCs w:val="32"/>
        </w:rPr>
        <w:t>9.住房保障支出（类）住房改革支出（款）住房公积金（项）:指行政事业单位按人力资源和社会保障部、财政部规定的基本工资和津贴补贴以及规定比例为职工缴纳的住房公积金。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11</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12</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机关运行经费：为保障行政单位（含参照公务员法管理的事业单位）运行用于购买货物和服务的各项资金，包括办公及印刷费、邮电费、差旅费、会议费、福利费及其他费用。</w:t>
      </w:r>
    </w:p>
    <w:p>
      <w:pPr>
        <w:pStyle w:val="26"/>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17"/>
          <w:rFonts w:ascii="黑体" w:hAnsi="黑体" w:eastAsia="黑体"/>
          <w:b w:val="0"/>
        </w:rPr>
      </w:pPr>
      <w:bookmarkStart w:id="71" w:name="_Toc15377226"/>
      <w:r>
        <w:rPr>
          <w:rFonts w:ascii="宋体"/>
          <w:b/>
          <w:sz w:val="44"/>
          <w:szCs w:val="44"/>
        </w:rPr>
        <w:br w:type="page"/>
      </w:r>
      <w:bookmarkStart w:id="72" w:name="_Toc15396614"/>
      <w:bookmarkStart w:id="73" w:name="_Toc10457"/>
      <w:r>
        <w:rPr>
          <w:rFonts w:hint="eastAsia" w:ascii="黑体" w:hAnsi="黑体" w:eastAsia="黑体"/>
          <w:sz w:val="44"/>
          <w:szCs w:val="44"/>
        </w:rPr>
        <w:t>第</w:t>
      </w:r>
      <w:r>
        <w:rPr>
          <w:rStyle w:val="17"/>
          <w:rFonts w:hint="eastAsia" w:ascii="黑体" w:hAnsi="黑体" w:eastAsia="黑体"/>
          <w:b w:val="0"/>
        </w:rPr>
        <w:t>四部分 附件</w:t>
      </w:r>
      <w:bookmarkEnd w:id="72"/>
      <w:bookmarkEnd w:id="73"/>
    </w:p>
    <w:p>
      <w:pPr>
        <w:spacing w:line="572" w:lineRule="exact"/>
        <w:jc w:val="left"/>
        <w:rPr>
          <w:rFonts w:ascii="仿宋_GB2312" w:hAnsi="仿宋_GB2312" w:eastAsia="仿宋_GB2312" w:cs="仿宋_GB2312"/>
          <w:sz w:val="32"/>
          <w:szCs w:val="32"/>
        </w:rPr>
      </w:pPr>
    </w:p>
    <w:p>
      <w:pPr>
        <w:spacing w:line="600" w:lineRule="exact"/>
        <w:jc w:val="center"/>
        <w:outlineLvl w:val="1"/>
        <w:rPr>
          <w:rFonts w:ascii="宋体" w:hAnsi="宋体" w:cs="宋体"/>
          <w:kern w:val="0"/>
          <w:sz w:val="32"/>
          <w:szCs w:val="32"/>
        </w:rPr>
      </w:pPr>
      <w:bookmarkStart w:id="74" w:name="_Toc24271"/>
      <w:bookmarkStart w:id="75" w:name="_Toc15396618"/>
      <w:r>
        <w:rPr>
          <w:rFonts w:hint="eastAsia" w:ascii="宋体" w:hAnsi="宋体" w:cs="宋体"/>
          <w:kern w:val="0"/>
          <w:sz w:val="32"/>
          <w:szCs w:val="32"/>
        </w:rPr>
        <w:t>部门预算项目支出绩效自评表（2022年度）</w:t>
      </w:r>
      <w:bookmarkEnd w:id="74"/>
    </w:p>
    <w:p>
      <w:pPr>
        <w:spacing w:line="600" w:lineRule="exact"/>
        <w:jc w:val="left"/>
        <w:rPr>
          <w:rFonts w:ascii="仿宋_GB2312" w:hAnsi="Calibri" w:eastAsia="仿宋_GB2312" w:cs="仿宋"/>
          <w:kern w:val="0"/>
          <w:sz w:val="32"/>
          <w:szCs w:val="32"/>
        </w:rPr>
      </w:pPr>
    </w:p>
    <w:tbl>
      <w:tblPr>
        <w:tblStyle w:val="13"/>
        <w:tblW w:w="5000" w:type="pct"/>
        <w:tblInd w:w="0" w:type="dxa"/>
        <w:tblLayout w:type="autofit"/>
        <w:tblCellMar>
          <w:top w:w="0" w:type="dxa"/>
          <w:left w:w="108" w:type="dxa"/>
          <w:bottom w:w="0" w:type="dxa"/>
          <w:right w:w="108" w:type="dxa"/>
        </w:tblCellMar>
      </w:tblPr>
      <w:tblGrid>
        <w:gridCol w:w="576"/>
        <w:gridCol w:w="1054"/>
        <w:gridCol w:w="803"/>
        <w:gridCol w:w="1078"/>
        <w:gridCol w:w="396"/>
        <w:gridCol w:w="756"/>
        <w:gridCol w:w="756"/>
        <w:gridCol w:w="846"/>
        <w:gridCol w:w="576"/>
        <w:gridCol w:w="437"/>
        <w:gridCol w:w="1244"/>
      </w:tblGrid>
      <w:tr>
        <w:tblPrEx>
          <w:tblCellMar>
            <w:top w:w="0" w:type="dxa"/>
            <w:left w:w="108" w:type="dxa"/>
            <w:bottom w:w="0" w:type="dxa"/>
            <w:right w:w="108" w:type="dxa"/>
          </w:tblCellMar>
        </w:tblPrEx>
        <w:trPr>
          <w:trHeight w:val="92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1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383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51080021T000000050628-社会保险信息网络建设维护费</w:t>
            </w:r>
          </w:p>
        </w:tc>
      </w:tr>
      <w:tr>
        <w:tblPrEx>
          <w:tblCellMar>
            <w:top w:w="0" w:type="dxa"/>
            <w:left w:w="108" w:type="dxa"/>
            <w:bottom w:w="0" w:type="dxa"/>
            <w:right w:w="108" w:type="dxa"/>
          </w:tblCellMar>
        </w:tblPrEx>
        <w:trPr>
          <w:trHeight w:val="514" w:hRule="atLeast"/>
        </w:trPr>
        <w:tc>
          <w:tcPr>
            <w:tcW w:w="1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广元市人力资源和社会保障局部门</w:t>
            </w:r>
          </w:p>
        </w:tc>
        <w:tc>
          <w:tcPr>
            <w:tcW w:w="362"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1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广元市社会保险事务中心</w:t>
            </w:r>
          </w:p>
        </w:tc>
      </w:tr>
      <w:tr>
        <w:tblPrEx>
          <w:tblCellMar>
            <w:top w:w="0" w:type="dxa"/>
            <w:left w:w="108" w:type="dxa"/>
            <w:bottom w:w="0" w:type="dxa"/>
            <w:right w:w="108" w:type="dxa"/>
          </w:tblCellMar>
        </w:tblPrEx>
        <w:trPr>
          <w:trHeight w:val="285"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2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维持社会保险经办业务系统正常运行，保障保险待遇正常支付和保险基金管理安全。</w:t>
            </w: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维持社会保险费征收业务系统正常运行，业务办理顺畅，保障保险待遇正常支付和保险基金管理安全。</w:t>
            </w:r>
          </w:p>
        </w:tc>
      </w:tr>
      <w:tr>
        <w:tblPrEx>
          <w:tblCellMar>
            <w:top w:w="0" w:type="dxa"/>
            <w:left w:w="108" w:type="dxa"/>
            <w:bottom w:w="0" w:type="dxa"/>
            <w:right w:w="108" w:type="dxa"/>
          </w:tblCellMar>
        </w:tblPrEx>
        <w:trPr>
          <w:trHeight w:val="69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383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维持社会保险业务系统正常运行，养老保险待遇按时足额发放，确保网络安全、社保数据安全，确保基金管理安全完整，维护社会稳定，构建和谐广元。</w:t>
            </w:r>
          </w:p>
        </w:tc>
      </w:tr>
      <w:tr>
        <w:tblPrEx>
          <w:tblCellMar>
            <w:top w:w="0" w:type="dxa"/>
            <w:left w:w="108" w:type="dxa"/>
            <w:bottom w:w="0" w:type="dxa"/>
            <w:right w:w="108" w:type="dxa"/>
          </w:tblCellMar>
        </w:tblPrEx>
        <w:trPr>
          <w:trHeight w:val="360"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10.22</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10.22</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10.22</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10.22</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10.22</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10.22</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250"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4"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采购交换机</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台套</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采购打印机</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台套</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采购平板电脑</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个（套）</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采购杀毒软件</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55</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完成时间</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月</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拟采购一批办公软件</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3.3</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3.3</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拟采购一批办公设备</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6.92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6.92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对工作促进作用</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优</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382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90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社保省系统总体运行平稳，基本实现了省系统在我市上线预定目标，取得了阶段性成效。</w:t>
            </w:r>
          </w:p>
        </w:tc>
      </w:tr>
      <w:tr>
        <w:tblPrEx>
          <w:tblCellMar>
            <w:top w:w="0" w:type="dxa"/>
            <w:left w:w="108" w:type="dxa"/>
            <w:bottom w:w="0" w:type="dxa"/>
            <w:right w:w="108" w:type="dxa"/>
          </w:tblCellMar>
        </w:tblPrEx>
        <w:trPr>
          <w:trHeight w:val="57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1.资金支付时间集中在下半年；2.绩效管理力度不够。</w:t>
            </w:r>
          </w:p>
        </w:tc>
      </w:tr>
      <w:tr>
        <w:tblPrEx>
          <w:tblCellMar>
            <w:top w:w="0" w:type="dxa"/>
            <w:left w:w="108" w:type="dxa"/>
            <w:bottom w:w="0" w:type="dxa"/>
            <w:right w:w="108" w:type="dxa"/>
          </w:tblCellMar>
        </w:tblPrEx>
        <w:trPr>
          <w:trHeight w:val="63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加强绩效管理工作的学习和培训力度，提高绩效管理意识，强化绩效结果应用，从预算编制、预算执行到决算报告，将绩效管理工作贯穿于整个资金使用过程。</w:t>
            </w:r>
          </w:p>
        </w:tc>
      </w:tr>
      <w:tr>
        <w:tblPrEx>
          <w:tblCellMar>
            <w:top w:w="0" w:type="dxa"/>
            <w:left w:w="108" w:type="dxa"/>
            <w:bottom w:w="0" w:type="dxa"/>
            <w:right w:w="108" w:type="dxa"/>
          </w:tblCellMar>
        </w:tblPrEx>
        <w:trPr>
          <w:trHeight w:val="285" w:hRule="atLeast"/>
        </w:trPr>
        <w:tc>
          <w:tcPr>
            <w:tcW w:w="265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项目负责人：郭泽林</w:t>
            </w:r>
          </w:p>
        </w:tc>
        <w:tc>
          <w:tcPr>
            <w:tcW w:w="234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财务负责人：吴小玉</w:t>
            </w:r>
          </w:p>
        </w:tc>
      </w:tr>
      <w:tr>
        <w:tblPrEx>
          <w:tblCellMar>
            <w:top w:w="0" w:type="dxa"/>
            <w:left w:w="108" w:type="dxa"/>
            <w:bottom w:w="0" w:type="dxa"/>
            <w:right w:w="108" w:type="dxa"/>
          </w:tblCellMar>
        </w:tblPrEx>
        <w:trPr>
          <w:trHeight w:val="285" w:hRule="atLeast"/>
        </w:trPr>
        <w:tc>
          <w:tcPr>
            <w:tcW w:w="364" w:type="pct"/>
            <w:tcBorders>
              <w:top w:val="nil"/>
              <w:left w:val="nil"/>
              <w:bottom w:val="nil"/>
              <w:right w:val="nil"/>
            </w:tcBorders>
            <w:shd w:val="clear" w:color="auto" w:fill="auto"/>
            <w:vAlign w:val="center"/>
          </w:tcPr>
          <w:p>
            <w:pPr>
              <w:rPr>
                <w:rFonts w:hint="eastAsia" w:ascii="宋体" w:hAnsi="宋体" w:cs="宋体"/>
                <w:color w:val="000000"/>
                <w:sz w:val="18"/>
                <w:szCs w:val="18"/>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pPr>
          </w:p>
        </w:tc>
        <w:tc>
          <w:tcPr>
            <w:tcW w:w="804"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577"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738"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173"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253"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362"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192"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149"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833" w:type="pct"/>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1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383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51080021T000000050632-社会保险委托稽核专项工作经费</w:t>
            </w:r>
          </w:p>
        </w:tc>
      </w:tr>
      <w:tr>
        <w:tblPrEx>
          <w:tblCellMar>
            <w:top w:w="0" w:type="dxa"/>
            <w:left w:w="108" w:type="dxa"/>
            <w:bottom w:w="0" w:type="dxa"/>
            <w:right w:w="108" w:type="dxa"/>
          </w:tblCellMar>
        </w:tblPrEx>
        <w:trPr>
          <w:trHeight w:val="514" w:hRule="atLeast"/>
        </w:trPr>
        <w:tc>
          <w:tcPr>
            <w:tcW w:w="1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广元市人力资源和社会保障局部门</w:t>
            </w:r>
          </w:p>
        </w:tc>
        <w:tc>
          <w:tcPr>
            <w:tcW w:w="362"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1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广元市社会保险事务中心</w:t>
            </w:r>
          </w:p>
        </w:tc>
      </w:tr>
      <w:tr>
        <w:tblPrEx>
          <w:tblCellMar>
            <w:top w:w="0" w:type="dxa"/>
            <w:left w:w="108" w:type="dxa"/>
            <w:bottom w:w="0" w:type="dxa"/>
            <w:right w:w="108" w:type="dxa"/>
          </w:tblCellMar>
        </w:tblPrEx>
        <w:trPr>
          <w:trHeight w:val="285"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2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进一步加强社会保险稽核工作，切实维护广大职工的社会保险合法权益。</w:t>
            </w: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　进一步加强社会保险稽核工作，切实维护广大职工的社会保险合法权益。</w:t>
            </w:r>
          </w:p>
        </w:tc>
      </w:tr>
      <w:tr>
        <w:tblPrEx>
          <w:tblCellMar>
            <w:top w:w="0" w:type="dxa"/>
            <w:left w:w="108" w:type="dxa"/>
            <w:bottom w:w="0" w:type="dxa"/>
            <w:right w:w="108" w:type="dxa"/>
          </w:tblCellMar>
        </w:tblPrEx>
        <w:trPr>
          <w:trHeight w:val="69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383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梳理完善业务经办流程。严格权限管理。加强了日常监管。对参保单位的稽核将按照省局省厅规定执行，对协议工伤医院进行不低于2次的专项检查。检查医院采取随机抽查方式，有举报投诉的必查。对县区社保经办机构落实防线防控情况进行一次专项检查，根据工作需要灵活采取交叉检查或从全市抽调业务骨干组成专项检查组方式。</w:t>
            </w:r>
          </w:p>
        </w:tc>
      </w:tr>
      <w:tr>
        <w:tblPrEx>
          <w:tblCellMar>
            <w:top w:w="0" w:type="dxa"/>
            <w:left w:w="108" w:type="dxa"/>
            <w:bottom w:w="0" w:type="dxa"/>
            <w:right w:w="108" w:type="dxa"/>
          </w:tblCellMar>
        </w:tblPrEx>
        <w:trPr>
          <w:trHeight w:val="360"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2.50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2.50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2.50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2.50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2.50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2.50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4"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参保单位户数</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2193</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户</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2193</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投诉次数</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35</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户</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完成时间</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月</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工伤稽核</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元/年</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稽核劳务费</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25000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元/年</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25000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对基金的保障</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优</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对工作的促进</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优</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对社会的促进</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优</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群众满意度</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382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90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为确保经办服务顺畅和风险可控，按照社保服务事项目录，围绕业务经办流程、严格权限管理以及加强常态化内部稽核等方面着力强化风险防控，取得较好成效。资金管理规范，资金支付流程符合财经纪律。</w:t>
            </w:r>
          </w:p>
        </w:tc>
      </w:tr>
      <w:tr>
        <w:tblPrEx>
          <w:tblCellMar>
            <w:top w:w="0" w:type="dxa"/>
            <w:left w:w="108" w:type="dxa"/>
            <w:bottom w:w="0" w:type="dxa"/>
            <w:right w:w="108" w:type="dxa"/>
          </w:tblCellMar>
        </w:tblPrEx>
        <w:trPr>
          <w:trHeight w:val="57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稽核方式流程问题。按照部省相关规定，我们暂停了对参保单位集中进行稽核、清欠工作，实际工作中特别是近两年来，用人单位未参保缴费投诉案件增多，请省厅明确，在处理该种投诉时具体流程和工作方式。</w:t>
            </w:r>
          </w:p>
        </w:tc>
      </w:tr>
      <w:tr>
        <w:tblPrEx>
          <w:tblCellMar>
            <w:top w:w="0" w:type="dxa"/>
            <w:left w:w="108" w:type="dxa"/>
            <w:bottom w:w="0" w:type="dxa"/>
            <w:right w:w="108" w:type="dxa"/>
          </w:tblCellMar>
        </w:tblPrEx>
        <w:trPr>
          <w:trHeight w:val="63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kern w:val="0"/>
                <w:sz w:val="16"/>
                <w:szCs w:val="16"/>
              </w:rPr>
            </w:pPr>
            <w:r>
              <w:rPr>
                <w:rFonts w:hint="eastAsia" w:ascii="微软雅黑" w:hAnsi="微软雅黑" w:eastAsia="微软雅黑" w:cs="微软雅黑"/>
                <w:i/>
                <w:iCs/>
                <w:color w:val="000000"/>
                <w:kern w:val="0"/>
                <w:sz w:val="16"/>
                <w:szCs w:val="16"/>
              </w:rPr>
              <w:t>1.加强日常稽核。依托省风控子系统，采取预警检查和随机检查工作方式，由稽核内控部门对触发或抽取的业务进行检查，发现的疑点信息转发具体经办部门核查整改。</w:t>
            </w:r>
          </w:p>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2.开展教育培训。组织全市稽核内控工作人员开展党风廉政和警示教育，加强经办风险防控业务培训，着力提升风险防控能力。</w:t>
            </w:r>
          </w:p>
        </w:tc>
      </w:tr>
      <w:tr>
        <w:tblPrEx>
          <w:tblCellMar>
            <w:top w:w="0" w:type="dxa"/>
            <w:left w:w="108" w:type="dxa"/>
            <w:bottom w:w="0" w:type="dxa"/>
            <w:right w:w="108" w:type="dxa"/>
          </w:tblCellMar>
        </w:tblPrEx>
        <w:trPr>
          <w:trHeight w:val="285" w:hRule="atLeast"/>
        </w:trPr>
        <w:tc>
          <w:tcPr>
            <w:tcW w:w="265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项目负责人：张玉军</w:t>
            </w:r>
          </w:p>
        </w:tc>
        <w:tc>
          <w:tcPr>
            <w:tcW w:w="234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财务负责人：吴小玉</w:t>
            </w:r>
          </w:p>
        </w:tc>
      </w:tr>
      <w:tr>
        <w:tblPrEx>
          <w:tblCellMar>
            <w:top w:w="0" w:type="dxa"/>
            <w:left w:w="108" w:type="dxa"/>
            <w:bottom w:w="0" w:type="dxa"/>
            <w:right w:w="108" w:type="dxa"/>
          </w:tblCellMar>
        </w:tblPrEx>
        <w:trPr>
          <w:trHeight w:val="285" w:hRule="atLeast"/>
        </w:trPr>
        <w:tc>
          <w:tcPr>
            <w:tcW w:w="364"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804"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577"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738" w:type="pct"/>
            <w:tcBorders>
              <w:top w:val="nil"/>
              <w:left w:val="nil"/>
              <w:bottom w:val="nil"/>
              <w:right w:val="nil"/>
            </w:tcBorders>
            <w:shd w:val="clear" w:color="auto" w:fill="auto"/>
            <w:vAlign w:val="center"/>
          </w:tcPr>
          <w:p>
            <w:pPr>
              <w:rPr>
                <w:rFonts w:hint="eastAsia" w:ascii="宋体" w:hAnsi="宋体" w:cs="宋体"/>
                <w:color w:val="000000"/>
                <w:sz w:val="18"/>
                <w:szCs w:val="18"/>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pPr>
          </w:p>
        </w:tc>
        <w:tc>
          <w:tcPr>
            <w:tcW w:w="173"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253"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362"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192"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149"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833" w:type="pct"/>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1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383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51080021T000000050633-社会保险全民参保工作专项经费</w:t>
            </w:r>
          </w:p>
        </w:tc>
      </w:tr>
      <w:tr>
        <w:tblPrEx>
          <w:tblCellMar>
            <w:top w:w="0" w:type="dxa"/>
            <w:left w:w="108" w:type="dxa"/>
            <w:bottom w:w="0" w:type="dxa"/>
            <w:right w:w="108" w:type="dxa"/>
          </w:tblCellMar>
        </w:tblPrEx>
        <w:trPr>
          <w:trHeight w:val="514" w:hRule="atLeast"/>
        </w:trPr>
        <w:tc>
          <w:tcPr>
            <w:tcW w:w="1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广元市人力资源和社会保障局部门</w:t>
            </w:r>
          </w:p>
        </w:tc>
        <w:tc>
          <w:tcPr>
            <w:tcW w:w="362"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1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广元市社会保险事务中心</w:t>
            </w:r>
          </w:p>
        </w:tc>
      </w:tr>
      <w:tr>
        <w:tblPrEx>
          <w:tblCellMar>
            <w:top w:w="0" w:type="dxa"/>
            <w:left w:w="108" w:type="dxa"/>
            <w:bottom w:w="0" w:type="dxa"/>
            <w:right w:w="108" w:type="dxa"/>
          </w:tblCellMar>
        </w:tblPrEx>
        <w:trPr>
          <w:trHeight w:val="285"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2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根据《四川省人民政府办公厅关于做好社会保险费和非税收入征管职责划转工作的实施意见》要求，做好社会保险参保登记工作，完成2022年社会保险目标任务。</w:t>
            </w: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根据《四川省人民政府办公厅关于做好社会保险费和非税收入征管职责划转工作的实施意见》要求，做好社会保险参保登记工作，完成2022年社会保险目标任务。</w:t>
            </w:r>
          </w:p>
        </w:tc>
      </w:tr>
      <w:tr>
        <w:tblPrEx>
          <w:tblCellMar>
            <w:top w:w="0" w:type="dxa"/>
            <w:left w:w="108" w:type="dxa"/>
            <w:bottom w:w="0" w:type="dxa"/>
            <w:right w:w="108" w:type="dxa"/>
          </w:tblCellMar>
        </w:tblPrEx>
        <w:trPr>
          <w:trHeight w:val="69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383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深入实施全民参保计划，重点针对建档立卡贫困人口、农民工、灵活就业人员和新业态从业人员等群体，强化精准扩面和动态管理，做到“应保尽保”，基本实现从制度全覆盖到人群全覆盖的目标。</w:t>
            </w:r>
          </w:p>
        </w:tc>
      </w:tr>
      <w:tr>
        <w:tblPrEx>
          <w:tblCellMar>
            <w:top w:w="0" w:type="dxa"/>
            <w:left w:w="108" w:type="dxa"/>
            <w:bottom w:w="0" w:type="dxa"/>
            <w:right w:w="108" w:type="dxa"/>
          </w:tblCellMar>
        </w:tblPrEx>
        <w:trPr>
          <w:trHeight w:val="360"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22.28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22.28</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22.28</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22.28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22.28</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22.28</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4"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全市工伤参保人数</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17.89</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万人</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17.89</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全市企业职工基本养老保险参保人数</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31.12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万人</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31.12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完成时间</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月</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邮寄养老转移单、催缴通知书费用</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经办服务下延工作经费</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3.28</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3.28</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养老保险手册印制</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9"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数据更新和动态管理、入户调查、精准扩面工作费用</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社保政策宣传(含全民参保计划、退捕渔民、尘肺病重点行业、退役军人等),宣传费</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对工作的促进</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对社会的影响</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群众满意度</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382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90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项目全面完成目标任务，资金支付符合财务管理相关要求，深入落实“应保尽保”工作要求，维护了参保对象合法权益。</w:t>
            </w:r>
          </w:p>
        </w:tc>
      </w:tr>
      <w:tr>
        <w:tblPrEx>
          <w:tblCellMar>
            <w:top w:w="0" w:type="dxa"/>
            <w:left w:w="108" w:type="dxa"/>
            <w:bottom w:w="0" w:type="dxa"/>
            <w:right w:w="108" w:type="dxa"/>
          </w:tblCellMar>
        </w:tblPrEx>
        <w:trPr>
          <w:trHeight w:val="57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该项目经认真评价存在问题有：1.支付集中在下半年；2.每年度的参保对象数量增加，全民参保工作量增大，项目资金欠缺。</w:t>
            </w:r>
          </w:p>
        </w:tc>
      </w:tr>
      <w:tr>
        <w:tblPrEx>
          <w:tblCellMar>
            <w:top w:w="0" w:type="dxa"/>
            <w:left w:w="108" w:type="dxa"/>
            <w:bottom w:w="0" w:type="dxa"/>
            <w:right w:w="108" w:type="dxa"/>
          </w:tblCellMar>
        </w:tblPrEx>
        <w:trPr>
          <w:trHeight w:val="63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严格支付流程，合理安排项目实施时间，严格执行专款专用，加快预算执行进度，提高提高财政资金使用效益。</w:t>
            </w:r>
          </w:p>
        </w:tc>
      </w:tr>
      <w:tr>
        <w:tblPrEx>
          <w:tblCellMar>
            <w:top w:w="0" w:type="dxa"/>
            <w:left w:w="108" w:type="dxa"/>
            <w:bottom w:w="0" w:type="dxa"/>
            <w:right w:w="108" w:type="dxa"/>
          </w:tblCellMar>
        </w:tblPrEx>
        <w:trPr>
          <w:trHeight w:val="285" w:hRule="atLeast"/>
        </w:trPr>
        <w:tc>
          <w:tcPr>
            <w:tcW w:w="265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项目负责人：罗加明</w:t>
            </w:r>
          </w:p>
        </w:tc>
        <w:tc>
          <w:tcPr>
            <w:tcW w:w="234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财务负责人：吴小玉</w:t>
            </w:r>
          </w:p>
        </w:tc>
      </w:tr>
      <w:tr>
        <w:tblPrEx>
          <w:tblCellMar>
            <w:top w:w="0" w:type="dxa"/>
            <w:left w:w="108" w:type="dxa"/>
            <w:bottom w:w="0" w:type="dxa"/>
            <w:right w:w="108" w:type="dxa"/>
          </w:tblCellMar>
        </w:tblPrEx>
        <w:trPr>
          <w:trHeight w:val="285" w:hRule="atLeast"/>
        </w:trPr>
        <w:tc>
          <w:tcPr>
            <w:tcW w:w="364"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804"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577"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738"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173"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253"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362"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192"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149"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833" w:type="pct"/>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1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383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51080021T000000050920-企保、机保代财政管理工作经费（原代管工作经费）</w:t>
            </w:r>
          </w:p>
        </w:tc>
      </w:tr>
      <w:tr>
        <w:tblPrEx>
          <w:tblCellMar>
            <w:top w:w="0" w:type="dxa"/>
            <w:left w:w="108" w:type="dxa"/>
            <w:bottom w:w="0" w:type="dxa"/>
            <w:right w:w="108" w:type="dxa"/>
          </w:tblCellMar>
        </w:tblPrEx>
        <w:trPr>
          <w:trHeight w:val="514" w:hRule="atLeast"/>
        </w:trPr>
        <w:tc>
          <w:tcPr>
            <w:tcW w:w="1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广元市人力资源和社会保障局部门</w:t>
            </w:r>
          </w:p>
        </w:tc>
        <w:tc>
          <w:tcPr>
            <w:tcW w:w="362"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1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广元市社会保险事务中心</w:t>
            </w:r>
          </w:p>
        </w:tc>
      </w:tr>
      <w:tr>
        <w:tblPrEx>
          <w:tblCellMar>
            <w:top w:w="0" w:type="dxa"/>
            <w:left w:w="108" w:type="dxa"/>
            <w:bottom w:w="0" w:type="dxa"/>
            <w:right w:w="108" w:type="dxa"/>
          </w:tblCellMar>
        </w:tblPrEx>
        <w:trPr>
          <w:trHeight w:val="285"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2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协助政府代发放离休、退休、退休人员遗孀困难补助等不属于社保基金统筹内支付的项目、开展退管活动，减轻财政负担。</w:t>
            </w: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代发建国初期参加革命工作退休人员困难补助124人；代发离休人员、遗孀补助等18人；改制转企原事业单位人员（县级）补贴10人。确保在2022年12月31日前足额发放离退休人员待遇。</w:t>
            </w:r>
          </w:p>
        </w:tc>
      </w:tr>
      <w:tr>
        <w:tblPrEx>
          <w:tblCellMar>
            <w:top w:w="0" w:type="dxa"/>
            <w:left w:w="108" w:type="dxa"/>
            <w:bottom w:w="0" w:type="dxa"/>
            <w:right w:w="108" w:type="dxa"/>
          </w:tblCellMar>
        </w:tblPrEx>
        <w:trPr>
          <w:trHeight w:val="69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383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代发建国初期参加革命工作退休人员困难补助124人；代发离休人员、遗孀补助等18人；改制转企原事业单位人员（县级）补贴10人。确保在2022年12月31日前足额发放离退休人员待遇。</w:t>
            </w:r>
          </w:p>
        </w:tc>
      </w:tr>
      <w:tr>
        <w:tblPrEx>
          <w:tblCellMar>
            <w:top w:w="0" w:type="dxa"/>
            <w:left w:w="108" w:type="dxa"/>
            <w:bottom w:w="0" w:type="dxa"/>
            <w:right w:w="108" w:type="dxa"/>
          </w:tblCellMar>
        </w:tblPrEx>
        <w:trPr>
          <w:trHeight w:val="360"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4"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代发企保离退休人数</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人/月</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代发机保离退休人数</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人/月</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完成时间</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月</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9"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成铁局划转人员、081中学教师补差（含生活补贴）</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退休人员遗孀困难补助</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离休人员公务员津贴</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劳模津贴</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改制转企原事业单位人员（县级）补贴</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代发建国初期参加革命工作退休人员生活补贴</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工作促进作用</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382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90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该项目顺利实施，圆满完成，资金支付符合财经纪律相关要求。</w:t>
            </w:r>
          </w:p>
        </w:tc>
      </w:tr>
      <w:tr>
        <w:tblPrEx>
          <w:tblCellMar>
            <w:top w:w="0" w:type="dxa"/>
            <w:left w:w="108" w:type="dxa"/>
            <w:bottom w:w="0" w:type="dxa"/>
            <w:right w:w="108" w:type="dxa"/>
          </w:tblCellMar>
        </w:tblPrEx>
        <w:trPr>
          <w:trHeight w:val="57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社保中心不仅代发原机保局负责发放的离退休人员生活补贴，还代发有原社保局负责发放的离休人员公务员津贴、成铁局划转人员、081中学教师补差（含生活补贴）、劳模津贴、企干警等共116人的生活补贴，工作量增大，项目资金短缺。</w:t>
            </w:r>
          </w:p>
        </w:tc>
      </w:tr>
      <w:tr>
        <w:tblPrEx>
          <w:tblCellMar>
            <w:top w:w="0" w:type="dxa"/>
            <w:left w:w="108" w:type="dxa"/>
            <w:bottom w:w="0" w:type="dxa"/>
            <w:right w:w="108" w:type="dxa"/>
          </w:tblCellMar>
        </w:tblPrEx>
        <w:trPr>
          <w:trHeight w:val="63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kern w:val="0"/>
                <w:sz w:val="16"/>
                <w:szCs w:val="16"/>
              </w:rPr>
            </w:pPr>
            <w:r>
              <w:rPr>
                <w:rFonts w:hint="eastAsia" w:ascii="微软雅黑" w:hAnsi="微软雅黑" w:eastAsia="微软雅黑" w:cs="微软雅黑"/>
                <w:i/>
                <w:iCs/>
                <w:color w:val="000000"/>
                <w:kern w:val="0"/>
                <w:sz w:val="16"/>
                <w:szCs w:val="16"/>
              </w:rPr>
              <w:t>1.做好年度项目预算，细化项目的申报。</w:t>
            </w:r>
          </w:p>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2.合理安排项目实施时间，严格执行专款专用，加快预算执行进度，提高提高财政资金使用效益。</w:t>
            </w:r>
          </w:p>
        </w:tc>
      </w:tr>
      <w:tr>
        <w:tblPrEx>
          <w:tblCellMar>
            <w:top w:w="0" w:type="dxa"/>
            <w:left w:w="108" w:type="dxa"/>
            <w:bottom w:w="0" w:type="dxa"/>
            <w:right w:w="108" w:type="dxa"/>
          </w:tblCellMar>
        </w:tblPrEx>
        <w:trPr>
          <w:trHeight w:val="285" w:hRule="atLeast"/>
        </w:trPr>
        <w:tc>
          <w:tcPr>
            <w:tcW w:w="265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项目负责人：王国贤</w:t>
            </w:r>
          </w:p>
        </w:tc>
        <w:tc>
          <w:tcPr>
            <w:tcW w:w="234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财务负责人：吴小玉</w:t>
            </w:r>
          </w:p>
        </w:tc>
      </w:tr>
      <w:tr>
        <w:tblPrEx>
          <w:tblCellMar>
            <w:top w:w="0" w:type="dxa"/>
            <w:left w:w="108" w:type="dxa"/>
            <w:bottom w:w="0" w:type="dxa"/>
            <w:right w:w="108" w:type="dxa"/>
          </w:tblCellMar>
        </w:tblPrEx>
        <w:trPr>
          <w:trHeight w:val="285" w:hRule="atLeast"/>
        </w:trPr>
        <w:tc>
          <w:tcPr>
            <w:tcW w:w="364"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804"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577"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738"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173"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253" w:type="pct"/>
            <w:tcBorders>
              <w:top w:val="nil"/>
              <w:left w:val="nil"/>
              <w:bottom w:val="nil"/>
              <w:right w:val="nil"/>
            </w:tcBorders>
            <w:shd w:val="clear" w:color="auto" w:fill="auto"/>
            <w:vAlign w:val="center"/>
          </w:tcPr>
          <w:p>
            <w:pPr>
              <w:rPr>
                <w:rFonts w:hint="eastAsia" w:ascii="宋体" w:hAnsi="宋体" w:cs="宋体"/>
                <w:color w:val="000000"/>
                <w:sz w:val="18"/>
                <w:szCs w:val="18"/>
              </w:rPr>
            </w:pPr>
          </w:p>
          <w:p>
            <w:pPr>
              <w:pStyle w:val="2"/>
              <w:ind w:firstLine="640"/>
              <w:rPr>
                <w:rFonts w:hint="eastAsia"/>
              </w:rPr>
            </w:pPr>
          </w:p>
          <w:p>
            <w:pPr>
              <w:pStyle w:val="2"/>
              <w:ind w:firstLine="640"/>
              <w:rPr>
                <w:rFonts w:hint="eastAsia"/>
              </w:rPr>
            </w:pPr>
          </w:p>
          <w:p>
            <w:pPr>
              <w:pStyle w:val="2"/>
              <w:ind w:firstLine="640"/>
            </w:pPr>
          </w:p>
        </w:tc>
        <w:tc>
          <w:tcPr>
            <w:tcW w:w="362"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192"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149"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833" w:type="pct"/>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1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383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51080021T000000050926-年金征缴工作经费</w:t>
            </w:r>
          </w:p>
        </w:tc>
      </w:tr>
      <w:tr>
        <w:tblPrEx>
          <w:tblCellMar>
            <w:top w:w="0" w:type="dxa"/>
            <w:left w:w="108" w:type="dxa"/>
            <w:bottom w:w="0" w:type="dxa"/>
            <w:right w:w="108" w:type="dxa"/>
          </w:tblCellMar>
        </w:tblPrEx>
        <w:trPr>
          <w:trHeight w:val="514" w:hRule="atLeast"/>
        </w:trPr>
        <w:tc>
          <w:tcPr>
            <w:tcW w:w="1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广元市人力资源和社会保障局部门</w:t>
            </w:r>
          </w:p>
        </w:tc>
        <w:tc>
          <w:tcPr>
            <w:tcW w:w="362"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1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广元市社会保险事务中心</w:t>
            </w:r>
          </w:p>
        </w:tc>
      </w:tr>
      <w:tr>
        <w:tblPrEx>
          <w:tblCellMar>
            <w:top w:w="0" w:type="dxa"/>
            <w:left w:w="108" w:type="dxa"/>
            <w:bottom w:w="0" w:type="dxa"/>
            <w:right w:w="108" w:type="dxa"/>
          </w:tblCellMar>
        </w:tblPrEx>
        <w:trPr>
          <w:trHeight w:val="285"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2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通过对参保单位、县区经办单元开展职业年金政策业务宣传培训和接受上级业务指导培训，按规定征集基金，做到应收尽收，为确保按时足额发放打下基础</w:t>
            </w: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通过对参保单位、县区经办单元开展职业年金政策业务宣传培训和接受上级业务指导培训，按规定征集基金，做到应收尽收，为确保按时足额发放打下基础</w:t>
            </w:r>
          </w:p>
        </w:tc>
      </w:tr>
      <w:tr>
        <w:tblPrEx>
          <w:tblCellMar>
            <w:top w:w="0" w:type="dxa"/>
            <w:left w:w="108" w:type="dxa"/>
            <w:bottom w:w="0" w:type="dxa"/>
            <w:right w:w="108" w:type="dxa"/>
          </w:tblCellMar>
        </w:tblPrEx>
        <w:trPr>
          <w:trHeight w:val="69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383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通过对参保单位、县区经办单元开展职业年金政策业务宣传培训和接收上级业务指导培训，按规定征集基金，“退一补一”做实年金，做到应收尽收，应补尽补，为确保按时足额发放打下基础，维护全市干部职工权益。</w:t>
            </w:r>
          </w:p>
        </w:tc>
      </w:tr>
      <w:tr>
        <w:tblPrEx>
          <w:tblCellMar>
            <w:top w:w="0" w:type="dxa"/>
            <w:left w:w="108" w:type="dxa"/>
            <w:bottom w:w="0" w:type="dxa"/>
            <w:right w:w="108" w:type="dxa"/>
          </w:tblCellMar>
        </w:tblPrEx>
        <w:trPr>
          <w:trHeight w:val="360"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4"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县区经办机构人员培训</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人/次</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参保单位经办人员培训</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人次</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社会保险费征缴工作费用</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印制催缴通知书</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9"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培训县区业务人员、到省厅（局）汇报征收工作及接受业务培训</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13</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组织参保单位经办人员政策业务培训</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对工作的促进</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382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90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该项目顺利实施，圆满完成，资金支付符合财经纪律相关要求。</w:t>
            </w:r>
          </w:p>
        </w:tc>
      </w:tr>
      <w:tr>
        <w:tblPrEx>
          <w:tblCellMar>
            <w:top w:w="0" w:type="dxa"/>
            <w:left w:w="108" w:type="dxa"/>
            <w:bottom w:w="0" w:type="dxa"/>
            <w:right w:w="108" w:type="dxa"/>
          </w:tblCellMar>
        </w:tblPrEx>
        <w:trPr>
          <w:trHeight w:val="57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经自评发现，职业年金征缴工作方面存在对县区的业务指导不到位、资金集中支付等相关问题。</w:t>
            </w:r>
          </w:p>
        </w:tc>
      </w:tr>
      <w:tr>
        <w:tblPrEx>
          <w:tblCellMar>
            <w:top w:w="0" w:type="dxa"/>
            <w:left w:w="108" w:type="dxa"/>
            <w:bottom w:w="0" w:type="dxa"/>
            <w:right w:w="108" w:type="dxa"/>
          </w:tblCellMar>
        </w:tblPrEx>
        <w:trPr>
          <w:trHeight w:val="63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kern w:val="0"/>
                <w:sz w:val="16"/>
                <w:szCs w:val="16"/>
              </w:rPr>
            </w:pPr>
            <w:r>
              <w:rPr>
                <w:rFonts w:hint="eastAsia" w:ascii="微软雅黑" w:hAnsi="微软雅黑" w:eastAsia="微软雅黑" w:cs="微软雅黑"/>
                <w:i/>
                <w:iCs/>
                <w:color w:val="000000"/>
                <w:kern w:val="0"/>
                <w:sz w:val="16"/>
                <w:szCs w:val="16"/>
              </w:rPr>
              <w:t>1.加强职业年金征缴培训；</w:t>
            </w:r>
          </w:p>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2.加强年初项目绩效编制和绩效监控管理。</w:t>
            </w:r>
          </w:p>
        </w:tc>
      </w:tr>
      <w:tr>
        <w:tblPrEx>
          <w:tblCellMar>
            <w:top w:w="0" w:type="dxa"/>
            <w:left w:w="108" w:type="dxa"/>
            <w:bottom w:w="0" w:type="dxa"/>
            <w:right w:w="108" w:type="dxa"/>
          </w:tblCellMar>
        </w:tblPrEx>
        <w:trPr>
          <w:trHeight w:val="285" w:hRule="atLeast"/>
        </w:trPr>
        <w:tc>
          <w:tcPr>
            <w:tcW w:w="265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项目负责人：谢明江</w:t>
            </w:r>
          </w:p>
        </w:tc>
        <w:tc>
          <w:tcPr>
            <w:tcW w:w="234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财务负责人：吴小玉</w:t>
            </w:r>
          </w:p>
        </w:tc>
      </w:tr>
      <w:tr>
        <w:tblPrEx>
          <w:tblCellMar>
            <w:top w:w="0" w:type="dxa"/>
            <w:left w:w="108" w:type="dxa"/>
            <w:bottom w:w="0" w:type="dxa"/>
            <w:right w:w="108" w:type="dxa"/>
          </w:tblCellMar>
        </w:tblPrEx>
        <w:trPr>
          <w:trHeight w:val="285" w:hRule="atLeast"/>
        </w:trPr>
        <w:tc>
          <w:tcPr>
            <w:tcW w:w="364"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804"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577"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738" w:type="pct"/>
            <w:tcBorders>
              <w:top w:val="nil"/>
              <w:left w:val="nil"/>
              <w:bottom w:val="nil"/>
              <w:right w:val="nil"/>
            </w:tcBorders>
            <w:shd w:val="clear" w:color="auto" w:fill="auto"/>
            <w:vAlign w:val="center"/>
          </w:tcPr>
          <w:p>
            <w:pPr>
              <w:rPr>
                <w:rFonts w:hint="eastAsia" w:ascii="宋体" w:hAnsi="宋体" w:cs="宋体"/>
                <w:color w:val="000000"/>
                <w:sz w:val="18"/>
                <w:szCs w:val="18"/>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pPr>
          </w:p>
        </w:tc>
        <w:tc>
          <w:tcPr>
            <w:tcW w:w="173"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253"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362"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192"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149"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833" w:type="pct"/>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1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383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51080021T000000050936-离退休人员社会化管理服务工作专项经费</w:t>
            </w:r>
          </w:p>
        </w:tc>
      </w:tr>
      <w:tr>
        <w:tblPrEx>
          <w:tblCellMar>
            <w:top w:w="0" w:type="dxa"/>
            <w:left w:w="108" w:type="dxa"/>
            <w:bottom w:w="0" w:type="dxa"/>
            <w:right w:w="108" w:type="dxa"/>
          </w:tblCellMar>
        </w:tblPrEx>
        <w:trPr>
          <w:trHeight w:val="514" w:hRule="atLeast"/>
        </w:trPr>
        <w:tc>
          <w:tcPr>
            <w:tcW w:w="1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广元市人力资源和社会保障局部门</w:t>
            </w:r>
          </w:p>
        </w:tc>
        <w:tc>
          <w:tcPr>
            <w:tcW w:w="362"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1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广元市社会保险事务中心</w:t>
            </w:r>
          </w:p>
        </w:tc>
      </w:tr>
      <w:tr>
        <w:tblPrEx>
          <w:tblCellMar>
            <w:top w:w="0" w:type="dxa"/>
            <w:left w:w="108" w:type="dxa"/>
            <w:bottom w:w="0" w:type="dxa"/>
            <w:right w:w="108" w:type="dxa"/>
          </w:tblCellMar>
        </w:tblPrEx>
        <w:trPr>
          <w:trHeight w:val="285"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2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保证离退休人员社会化管理服务工作正常开展，同时，采取多种方式防止离退休人员死亡不报、重复计领、个人冒领，堵塞基金流失黑洞。推进我市企业退休人员社会化管理服务工作，构建和谐广元，维护社会稳定。</w:t>
            </w: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保证离退休人员社会化管理服务工作正常开展，同时，采取多种方式防止离退休人员死亡不报、重复计领、个人冒领，堵塞基金流失黑洞。推进我市企业退休人员社会化管理服务工作，构建和谐广元，维护社会稳定。</w:t>
            </w:r>
          </w:p>
        </w:tc>
      </w:tr>
      <w:tr>
        <w:tblPrEx>
          <w:tblCellMar>
            <w:top w:w="0" w:type="dxa"/>
            <w:left w:w="108" w:type="dxa"/>
            <w:bottom w:w="0" w:type="dxa"/>
            <w:right w:w="108" w:type="dxa"/>
          </w:tblCellMar>
        </w:tblPrEx>
        <w:trPr>
          <w:trHeight w:val="69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383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保证离退休人员社会化管理服务工作正常开展，同时，采取多种方式防止离退休人员死亡不报、重复计领、个人冒领，确保基金安全完整。推进我市企业退休人员社会化管理服务工作，构建和谐广元，维护社会稳定。</w:t>
            </w:r>
          </w:p>
        </w:tc>
      </w:tr>
      <w:tr>
        <w:tblPrEx>
          <w:tblCellMar>
            <w:top w:w="0" w:type="dxa"/>
            <w:left w:w="108" w:type="dxa"/>
            <w:bottom w:w="0" w:type="dxa"/>
            <w:right w:w="108" w:type="dxa"/>
          </w:tblCellMar>
        </w:tblPrEx>
        <w:trPr>
          <w:trHeight w:val="360"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68.00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68.00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68.00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68.00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68.00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68.00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4"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完成时间</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月</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退休人员重大节日活动费</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档案整理用品和办公用品购置费</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退休人员的各类政策宣传、活动报道</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129"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对卧床不起、无认证反馈的离退休人员开展上门认证、核查，对冒领养老金追收等发生的人员差旅费、交通费、租车费</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退休人员生病慰问金</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退休人员丧事协办费</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档案管理人员劳务费</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对工作的促进</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优</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服务员对象满意度</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382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90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顺利完成养老待遇调整工作，切实加强社会化管理服务，全力推进社保待遇资格认证清理工作，保障了我市参保对象的合法权益，构建和谐广元，维护社会稳定。</w:t>
            </w:r>
          </w:p>
        </w:tc>
      </w:tr>
      <w:tr>
        <w:tblPrEx>
          <w:tblCellMar>
            <w:top w:w="0" w:type="dxa"/>
            <w:left w:w="108" w:type="dxa"/>
            <w:bottom w:w="0" w:type="dxa"/>
            <w:right w:w="108" w:type="dxa"/>
          </w:tblCellMar>
        </w:tblPrEx>
        <w:trPr>
          <w:trHeight w:val="57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1.项目绩效编制不够细化；2.支付集中在下半年。</w:t>
            </w:r>
          </w:p>
        </w:tc>
      </w:tr>
      <w:tr>
        <w:tblPrEx>
          <w:tblCellMar>
            <w:top w:w="0" w:type="dxa"/>
            <w:left w:w="108" w:type="dxa"/>
            <w:bottom w:w="0" w:type="dxa"/>
            <w:right w:w="108" w:type="dxa"/>
          </w:tblCellMar>
        </w:tblPrEx>
        <w:trPr>
          <w:trHeight w:val="63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做好年度项目预算，细化项目的申报。结合市财政局、市人社局安排部署和行业发展规划、重点工作以及中心主要职能，合理编制部门预算，重点项目经过调查研究和专业评价论证，制定绩效目标。绩效目标编制要素完整，并对指标进行细化量化。</w:t>
            </w:r>
          </w:p>
        </w:tc>
      </w:tr>
      <w:tr>
        <w:tblPrEx>
          <w:tblCellMar>
            <w:top w:w="0" w:type="dxa"/>
            <w:left w:w="108" w:type="dxa"/>
            <w:bottom w:w="0" w:type="dxa"/>
            <w:right w:w="108" w:type="dxa"/>
          </w:tblCellMar>
        </w:tblPrEx>
        <w:trPr>
          <w:trHeight w:val="285" w:hRule="atLeast"/>
        </w:trPr>
        <w:tc>
          <w:tcPr>
            <w:tcW w:w="265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项目负责人：王国贤</w:t>
            </w:r>
          </w:p>
        </w:tc>
        <w:tc>
          <w:tcPr>
            <w:tcW w:w="234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财务负责人：吴小玉</w:t>
            </w:r>
          </w:p>
        </w:tc>
      </w:tr>
      <w:tr>
        <w:tblPrEx>
          <w:tblCellMar>
            <w:top w:w="0" w:type="dxa"/>
            <w:left w:w="108" w:type="dxa"/>
            <w:bottom w:w="0" w:type="dxa"/>
            <w:right w:w="108" w:type="dxa"/>
          </w:tblCellMar>
        </w:tblPrEx>
        <w:trPr>
          <w:trHeight w:val="285" w:hRule="atLeast"/>
        </w:trPr>
        <w:tc>
          <w:tcPr>
            <w:tcW w:w="364"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804"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577"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738"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173"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549"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253"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362"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192"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149"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833" w:type="pct"/>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1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383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51080021T000000051088-社会保险基金银行手续费专项工作经费</w:t>
            </w:r>
          </w:p>
        </w:tc>
      </w:tr>
      <w:tr>
        <w:tblPrEx>
          <w:tblCellMar>
            <w:top w:w="0" w:type="dxa"/>
            <w:left w:w="108" w:type="dxa"/>
            <w:bottom w:w="0" w:type="dxa"/>
            <w:right w:w="108" w:type="dxa"/>
          </w:tblCellMar>
        </w:tblPrEx>
        <w:trPr>
          <w:trHeight w:val="514" w:hRule="atLeast"/>
        </w:trPr>
        <w:tc>
          <w:tcPr>
            <w:tcW w:w="1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2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广元市人力资源和社会保障局部门</w:t>
            </w:r>
          </w:p>
        </w:tc>
        <w:tc>
          <w:tcPr>
            <w:tcW w:w="362"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1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广元市社会保险事务中心</w:t>
            </w:r>
          </w:p>
        </w:tc>
      </w:tr>
      <w:tr>
        <w:tblPrEx>
          <w:tblCellMar>
            <w:top w:w="0" w:type="dxa"/>
            <w:left w:w="108" w:type="dxa"/>
            <w:bottom w:w="0" w:type="dxa"/>
            <w:right w:w="108" w:type="dxa"/>
          </w:tblCellMar>
        </w:tblPrEx>
        <w:trPr>
          <w:trHeight w:val="285"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2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2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确保社会保险基金业务工作正常开展、基金运行平稳和安全完整。</w:t>
            </w: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确保社会保险基金业务工作正常开展、基金运行平稳和安全完整。</w:t>
            </w:r>
          </w:p>
        </w:tc>
      </w:tr>
      <w:tr>
        <w:tblPrEx>
          <w:tblCellMar>
            <w:top w:w="0" w:type="dxa"/>
            <w:left w:w="108" w:type="dxa"/>
            <w:bottom w:w="0" w:type="dxa"/>
            <w:right w:w="108" w:type="dxa"/>
          </w:tblCellMar>
        </w:tblPrEx>
        <w:trPr>
          <w:trHeight w:val="69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383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确保社会保险待遇按时足额发放，社会保险基金业务工作正常开展，基金运行平稳和安全完整。</w:t>
            </w:r>
          </w:p>
        </w:tc>
      </w:tr>
      <w:tr>
        <w:tblPrEx>
          <w:tblCellMar>
            <w:top w:w="0" w:type="dxa"/>
            <w:left w:w="108" w:type="dxa"/>
            <w:bottom w:w="0" w:type="dxa"/>
            <w:right w:w="108" w:type="dxa"/>
          </w:tblCellMar>
        </w:tblPrEx>
        <w:trPr>
          <w:trHeight w:val="360"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4"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大额转账手续费</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批次</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跨行转账、异地电汇笔数</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基金账户</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16</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户（套）</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16</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支票、汇票本数</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本</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网银个数</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16</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户（套）</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16</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完成时间</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365</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工作日</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365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大额转账手续费</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元/年</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网银收费</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4800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元/年</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4800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9"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跨行转账、异地电汇手续费</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4700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元/年</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4700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支票、汇票工本费</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7500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元/年</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7500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对工作的促进作用</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优</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群众满意度</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382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90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在申报、支付过程中，坚持原则，严格审核，讲究方法，管理规范，确保资金安全、高效运行。</w:t>
            </w:r>
          </w:p>
        </w:tc>
      </w:tr>
      <w:tr>
        <w:tblPrEx>
          <w:tblCellMar>
            <w:top w:w="0" w:type="dxa"/>
            <w:left w:w="108" w:type="dxa"/>
            <w:bottom w:w="0" w:type="dxa"/>
            <w:right w:w="108" w:type="dxa"/>
          </w:tblCellMar>
        </w:tblPrEx>
        <w:trPr>
          <w:trHeight w:val="57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项目绩效管理不完善。</w:t>
            </w:r>
          </w:p>
        </w:tc>
      </w:tr>
      <w:tr>
        <w:tblPrEx>
          <w:tblCellMar>
            <w:top w:w="0" w:type="dxa"/>
            <w:left w:w="108" w:type="dxa"/>
            <w:bottom w:w="0" w:type="dxa"/>
            <w:right w:w="108" w:type="dxa"/>
          </w:tblCellMar>
        </w:tblPrEx>
        <w:trPr>
          <w:trHeight w:val="63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kern w:val="0"/>
                <w:sz w:val="16"/>
                <w:szCs w:val="16"/>
              </w:rPr>
            </w:pPr>
            <w:r>
              <w:rPr>
                <w:rFonts w:hint="eastAsia" w:ascii="微软雅黑" w:hAnsi="微软雅黑" w:eastAsia="微软雅黑" w:cs="微软雅黑"/>
                <w:i/>
                <w:iCs/>
                <w:color w:val="000000"/>
                <w:kern w:val="0"/>
                <w:sz w:val="16"/>
                <w:szCs w:val="16"/>
              </w:rPr>
              <w:t>1.加强指标执行进度管理，细化项目的绩效指标，加强指标的绩效监控。</w:t>
            </w:r>
          </w:p>
          <w:p>
            <w:pPr>
              <w:widowControl/>
              <w:jc w:val="left"/>
              <w:textAlignment w:val="center"/>
              <w:rPr>
                <w:rFonts w:ascii="微软雅黑" w:hAnsi="微软雅黑" w:eastAsia="微软雅黑" w:cs="微软雅黑"/>
                <w:i/>
                <w:iCs/>
                <w:color w:val="000000"/>
                <w:kern w:val="0"/>
                <w:sz w:val="16"/>
                <w:szCs w:val="16"/>
              </w:rPr>
            </w:pPr>
            <w:r>
              <w:rPr>
                <w:rFonts w:hint="eastAsia" w:ascii="微软雅黑" w:hAnsi="微软雅黑" w:eastAsia="微软雅黑" w:cs="微软雅黑"/>
                <w:i/>
                <w:iCs/>
                <w:color w:val="000000"/>
                <w:kern w:val="0"/>
                <w:sz w:val="16"/>
                <w:szCs w:val="16"/>
              </w:rPr>
              <w:t>2.严格资金支付流程，银行的手续费使用非现金结算方式。</w:t>
            </w:r>
          </w:p>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3.尽可能采用线上支付等方式，减少基金支付手续费成本。</w:t>
            </w:r>
          </w:p>
        </w:tc>
      </w:tr>
      <w:tr>
        <w:tblPrEx>
          <w:tblCellMar>
            <w:top w:w="0" w:type="dxa"/>
            <w:left w:w="108" w:type="dxa"/>
            <w:bottom w:w="0" w:type="dxa"/>
            <w:right w:w="108" w:type="dxa"/>
          </w:tblCellMar>
        </w:tblPrEx>
        <w:trPr>
          <w:trHeight w:val="285" w:hRule="atLeast"/>
        </w:trPr>
        <w:tc>
          <w:tcPr>
            <w:tcW w:w="265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项目负责人：吴小玉</w:t>
            </w:r>
          </w:p>
        </w:tc>
        <w:tc>
          <w:tcPr>
            <w:tcW w:w="234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财务负责人：吴小玉</w:t>
            </w:r>
          </w:p>
        </w:tc>
      </w:tr>
    </w:tbl>
    <w:p>
      <w:pPr>
        <w:pStyle w:val="6"/>
        <w:spacing w:before="93"/>
        <w:rPr>
          <w:rFonts w:hAnsi="Calibri" w:cs="仿宋"/>
          <w:sz w:val="32"/>
          <w:szCs w:val="32"/>
        </w:rPr>
      </w:pPr>
    </w:p>
    <w:p>
      <w:pPr>
        <w:pStyle w:val="6"/>
        <w:spacing w:before="93"/>
        <w:rPr>
          <w:rFonts w:hint="eastAsia" w:hAnsi="Calibri" w:cs="仿宋"/>
          <w:sz w:val="32"/>
          <w:szCs w:val="32"/>
        </w:rPr>
      </w:pPr>
    </w:p>
    <w:p>
      <w:pPr>
        <w:pStyle w:val="6"/>
        <w:spacing w:before="93"/>
        <w:rPr>
          <w:rFonts w:hint="eastAsia" w:hAnsi="Calibri" w:cs="仿宋"/>
          <w:sz w:val="32"/>
          <w:szCs w:val="32"/>
        </w:rPr>
      </w:pPr>
    </w:p>
    <w:p>
      <w:pPr>
        <w:pStyle w:val="6"/>
        <w:spacing w:before="93"/>
        <w:rPr>
          <w:rFonts w:hint="eastAsia" w:hAnsi="Calibri" w:cs="仿宋"/>
          <w:sz w:val="32"/>
          <w:szCs w:val="32"/>
        </w:rPr>
      </w:pPr>
    </w:p>
    <w:p>
      <w:pPr>
        <w:pStyle w:val="6"/>
        <w:spacing w:before="93"/>
        <w:rPr>
          <w:rFonts w:hint="eastAsia" w:hAnsi="Calibri" w:cs="仿宋"/>
          <w:sz w:val="32"/>
          <w:szCs w:val="32"/>
        </w:rPr>
      </w:pPr>
    </w:p>
    <w:p>
      <w:pPr>
        <w:pStyle w:val="6"/>
        <w:spacing w:before="93"/>
        <w:rPr>
          <w:rFonts w:hint="eastAsia" w:hAnsi="Calibri" w:cs="仿宋"/>
          <w:sz w:val="32"/>
          <w:szCs w:val="32"/>
        </w:rPr>
      </w:pPr>
    </w:p>
    <w:p>
      <w:pPr>
        <w:pStyle w:val="6"/>
        <w:spacing w:before="93"/>
        <w:rPr>
          <w:rFonts w:hAnsi="Calibri" w:cs="仿宋"/>
          <w:sz w:val="32"/>
          <w:szCs w:val="32"/>
        </w:rPr>
      </w:pPr>
    </w:p>
    <w:tbl>
      <w:tblPr>
        <w:tblStyle w:val="13"/>
        <w:tblW w:w="5000" w:type="pct"/>
        <w:tblInd w:w="0" w:type="dxa"/>
        <w:tblLayout w:type="autofit"/>
        <w:tblCellMar>
          <w:top w:w="0" w:type="dxa"/>
          <w:left w:w="108" w:type="dxa"/>
          <w:bottom w:w="0" w:type="dxa"/>
          <w:right w:w="108" w:type="dxa"/>
        </w:tblCellMar>
      </w:tblPr>
      <w:tblGrid>
        <w:gridCol w:w="576"/>
        <w:gridCol w:w="1041"/>
        <w:gridCol w:w="885"/>
        <w:gridCol w:w="1207"/>
        <w:gridCol w:w="396"/>
        <w:gridCol w:w="787"/>
        <w:gridCol w:w="397"/>
        <w:gridCol w:w="757"/>
        <w:gridCol w:w="576"/>
        <w:gridCol w:w="576"/>
        <w:gridCol w:w="1324"/>
      </w:tblGrid>
      <w:tr>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51000021R000000019951-工资性支出</w:t>
            </w:r>
          </w:p>
        </w:tc>
      </w:tr>
      <w:tr>
        <w:tblPrEx>
          <w:tblCellMar>
            <w:top w:w="0" w:type="dxa"/>
            <w:left w:w="108" w:type="dxa"/>
            <w:bottom w:w="0" w:type="dxa"/>
            <w:right w:w="108" w:type="dxa"/>
          </w:tblCellMar>
        </w:tblPrEx>
        <w:trPr>
          <w:trHeight w:val="512" w:hRule="atLeast"/>
        </w:trPr>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1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广元市人力资源和社会保障局部门</w:t>
            </w:r>
          </w:p>
        </w:tc>
        <w:tc>
          <w:tcPr>
            <w:tcW w:w="444"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广元市社会保险事务中心</w:t>
            </w:r>
          </w:p>
        </w:tc>
      </w:tr>
      <w:tr>
        <w:tblPrEx>
          <w:tblCellMar>
            <w:top w:w="0" w:type="dxa"/>
            <w:left w:w="108" w:type="dxa"/>
            <w:bottom w:w="0" w:type="dxa"/>
            <w:right w:w="108" w:type="dxa"/>
          </w:tblCellMar>
        </w:tblPrEx>
        <w:trPr>
          <w:trHeight w:val="286"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1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8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1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严格执行相关政策，保障工资及时发放、足额发放，预算编制科学合理，减少结余资金</w:t>
            </w:r>
          </w:p>
        </w:tc>
        <w:tc>
          <w:tcPr>
            <w:tcW w:w="18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2022年所有干部职工工资福利全部保障到位，按时足额发放到位。</w:t>
            </w:r>
          </w:p>
        </w:tc>
      </w:tr>
      <w:tr>
        <w:tblPrEx>
          <w:tblCellMar>
            <w:top w:w="0" w:type="dxa"/>
            <w:left w:w="108" w:type="dxa"/>
            <w:bottom w:w="0" w:type="dxa"/>
            <w:right w:w="108" w:type="dxa"/>
          </w:tblCellMar>
        </w:tblPrEx>
        <w:trPr>
          <w:trHeight w:val="693"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按时足额方法职工工资，及时缴纳职工保险。</w:t>
            </w:r>
          </w:p>
        </w:tc>
      </w:tr>
      <w:tr>
        <w:tblPrEx>
          <w:tblCellMar>
            <w:top w:w="0" w:type="dxa"/>
            <w:left w:w="108" w:type="dxa"/>
            <w:bottom w:w="0" w:type="dxa"/>
            <w:right w:w="108" w:type="dxa"/>
          </w:tblCellMar>
        </w:tblPrEx>
        <w:trPr>
          <w:trHeight w:val="361"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9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661.11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975.44</w:t>
            </w:r>
          </w:p>
        </w:tc>
        <w:tc>
          <w:tcPr>
            <w:tcW w:w="9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902.37</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92.51%</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3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661.11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975.44</w:t>
            </w:r>
          </w:p>
        </w:tc>
        <w:tc>
          <w:tcPr>
            <w:tcW w:w="9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902.37</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92.51%</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按时发放率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结余率（计算方法为：结余数/预算数）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20" w:hRule="atLeast"/>
        </w:trPr>
        <w:tc>
          <w:tcPr>
            <w:tcW w:w="354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97.5</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整体完成情况较好</w:t>
            </w:r>
          </w:p>
        </w:tc>
      </w:tr>
      <w:tr>
        <w:tblPrEx>
          <w:tblCellMar>
            <w:top w:w="0" w:type="dxa"/>
            <w:left w:w="108" w:type="dxa"/>
            <w:bottom w:w="0" w:type="dxa"/>
            <w:right w:w="108" w:type="dxa"/>
          </w:tblCellMar>
        </w:tblPrEx>
        <w:trPr>
          <w:trHeight w:val="572"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代财政发放离退休人员生活补助有结余。</w:t>
            </w:r>
          </w:p>
        </w:tc>
      </w:tr>
      <w:tr>
        <w:tblPrEx>
          <w:tblCellMar>
            <w:top w:w="0" w:type="dxa"/>
            <w:left w:w="108" w:type="dxa"/>
            <w:bottom w:w="0" w:type="dxa"/>
            <w:right w:w="108" w:type="dxa"/>
          </w:tblCellMar>
        </w:tblPrEx>
        <w:trPr>
          <w:trHeight w:val="63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提高预算精准性。</w:t>
            </w:r>
          </w:p>
        </w:tc>
      </w:tr>
      <w:tr>
        <w:tblPrEx>
          <w:tblCellMar>
            <w:top w:w="0" w:type="dxa"/>
            <w:left w:w="108" w:type="dxa"/>
            <w:bottom w:w="0" w:type="dxa"/>
            <w:right w:w="108" w:type="dxa"/>
          </w:tblCellMar>
        </w:tblPrEx>
        <w:trPr>
          <w:trHeight w:val="286" w:hRule="atLeast"/>
        </w:trPr>
        <w:tc>
          <w:tcPr>
            <w:tcW w:w="24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项目负责人：吴小玉</w:t>
            </w:r>
          </w:p>
        </w:tc>
        <w:tc>
          <w:tcPr>
            <w:tcW w:w="259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财务负责人：吴小玉</w:t>
            </w:r>
          </w:p>
        </w:tc>
      </w:tr>
      <w:tr>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51000021Y000000011490-定额公用经费</w:t>
            </w:r>
          </w:p>
        </w:tc>
      </w:tr>
      <w:tr>
        <w:tblPrEx>
          <w:tblCellMar>
            <w:top w:w="0" w:type="dxa"/>
            <w:left w:w="108" w:type="dxa"/>
            <w:bottom w:w="0" w:type="dxa"/>
            <w:right w:w="108" w:type="dxa"/>
          </w:tblCellMar>
        </w:tblPrEx>
        <w:trPr>
          <w:trHeight w:val="512" w:hRule="atLeast"/>
        </w:trPr>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1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广元市人力资源和社会保障局部门</w:t>
            </w:r>
          </w:p>
        </w:tc>
        <w:tc>
          <w:tcPr>
            <w:tcW w:w="444"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4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广元市社会保险事务中心</w:t>
            </w:r>
          </w:p>
        </w:tc>
      </w:tr>
      <w:tr>
        <w:tblPrEx>
          <w:tblCellMar>
            <w:top w:w="0" w:type="dxa"/>
            <w:left w:w="108" w:type="dxa"/>
            <w:bottom w:w="0" w:type="dxa"/>
            <w:right w:w="108" w:type="dxa"/>
          </w:tblCellMar>
        </w:tblPrEx>
        <w:trPr>
          <w:trHeight w:val="286"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1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8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1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保障单位日常运转，提高预算编制质量，严格执行预算</w:t>
            </w:r>
          </w:p>
        </w:tc>
        <w:tc>
          <w:tcPr>
            <w:tcW w:w="18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按要求保障单位日常运转，提高预算编制质量，严格执行预算</w:t>
            </w:r>
          </w:p>
        </w:tc>
      </w:tr>
      <w:tr>
        <w:tblPrEx>
          <w:tblCellMar>
            <w:top w:w="0" w:type="dxa"/>
            <w:left w:w="108" w:type="dxa"/>
            <w:bottom w:w="0" w:type="dxa"/>
            <w:right w:w="108" w:type="dxa"/>
          </w:tblCellMar>
        </w:tblPrEx>
        <w:trPr>
          <w:trHeight w:val="693"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保障职工日常办公经费和出差等费用，积极开展党建活动及工会活动。</w:t>
            </w:r>
          </w:p>
        </w:tc>
      </w:tr>
      <w:tr>
        <w:tblPrEx>
          <w:tblCellMar>
            <w:top w:w="0" w:type="dxa"/>
            <w:left w:w="108" w:type="dxa"/>
            <w:bottom w:w="0" w:type="dxa"/>
            <w:right w:w="108" w:type="dxa"/>
          </w:tblCellMar>
        </w:tblPrEx>
        <w:trPr>
          <w:trHeight w:val="361"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9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61.20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59.41</w:t>
            </w:r>
          </w:p>
        </w:tc>
        <w:tc>
          <w:tcPr>
            <w:tcW w:w="9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57.44</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96.69%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3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61.20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59.41</w:t>
            </w:r>
          </w:p>
        </w:tc>
        <w:tc>
          <w:tcPr>
            <w:tcW w:w="9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57.44</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96.69%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预算编制准确率（计算方法为：∣（执行数-预算数）/预算数∣）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3%</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“三公经费”控制率[计算方法为：（三公经费实际支出数/预算安排数]×100%）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运转保障率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354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整体完成情况较好</w:t>
            </w:r>
          </w:p>
        </w:tc>
      </w:tr>
      <w:tr>
        <w:tblPrEx>
          <w:tblCellMar>
            <w:top w:w="0" w:type="dxa"/>
            <w:left w:w="108" w:type="dxa"/>
            <w:bottom w:w="0" w:type="dxa"/>
            <w:right w:w="108" w:type="dxa"/>
          </w:tblCellMar>
        </w:tblPrEx>
        <w:trPr>
          <w:trHeight w:val="572"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286" w:hRule="atLeast"/>
        </w:trPr>
        <w:tc>
          <w:tcPr>
            <w:tcW w:w="24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项目负责人：吴小玉</w:t>
            </w:r>
          </w:p>
        </w:tc>
        <w:tc>
          <w:tcPr>
            <w:tcW w:w="259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财务负责人：吴小玉</w:t>
            </w:r>
          </w:p>
        </w:tc>
      </w:tr>
      <w:tr>
        <w:tblPrEx>
          <w:tblCellMar>
            <w:top w:w="0" w:type="dxa"/>
            <w:left w:w="108" w:type="dxa"/>
            <w:bottom w:w="0" w:type="dxa"/>
            <w:right w:w="108" w:type="dxa"/>
          </w:tblCellMar>
        </w:tblPrEx>
        <w:trPr>
          <w:trHeight w:val="286" w:hRule="atLeast"/>
        </w:trPr>
        <w:tc>
          <w:tcPr>
            <w:tcW w:w="338"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611"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519"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708"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232"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462"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232"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444"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338"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338" w:type="pct"/>
            <w:tcBorders>
              <w:top w:val="nil"/>
              <w:left w:val="nil"/>
              <w:bottom w:val="nil"/>
              <w:right w:val="nil"/>
            </w:tcBorders>
            <w:shd w:val="clear" w:color="auto" w:fill="auto"/>
            <w:vAlign w:val="center"/>
          </w:tcPr>
          <w:p>
            <w:pPr>
              <w:rPr>
                <w:rFonts w:ascii="宋体" w:hAnsi="宋体" w:cs="宋体"/>
                <w:color w:val="000000"/>
                <w:sz w:val="18"/>
                <w:szCs w:val="18"/>
              </w:rPr>
            </w:pPr>
          </w:p>
        </w:tc>
        <w:tc>
          <w:tcPr>
            <w:tcW w:w="779" w:type="pct"/>
            <w:tcBorders>
              <w:top w:val="nil"/>
              <w:left w:val="nil"/>
              <w:bottom w:val="nil"/>
              <w:right w:val="nil"/>
            </w:tcBorders>
            <w:shd w:val="clear" w:color="auto" w:fill="auto"/>
            <w:vAlign w:val="center"/>
          </w:tcPr>
          <w:p>
            <w:pPr>
              <w:rPr>
                <w:rFonts w:ascii="宋体" w:hAnsi="宋体" w:cs="宋体"/>
                <w:color w:val="000000"/>
                <w:sz w:val="18"/>
                <w:szCs w:val="18"/>
              </w:rPr>
            </w:pPr>
          </w:p>
        </w:tc>
      </w:tr>
    </w:tbl>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rPr>
          <w:rFonts w:ascii="黑体" w:hAnsi="黑体" w:eastAsia="黑体"/>
          <w:sz w:val="44"/>
          <w:szCs w:val="44"/>
        </w:rPr>
      </w:pPr>
      <w:bookmarkStart w:id="76" w:name="_Toc2070"/>
      <w:r>
        <w:rPr>
          <w:rFonts w:hint="eastAsia" w:ascii="黑体" w:hAnsi="黑体" w:eastAsia="黑体"/>
          <w:sz w:val="44"/>
          <w:szCs w:val="44"/>
        </w:rPr>
        <w:br w:type="page"/>
      </w:r>
    </w:p>
    <w:p>
      <w:pPr>
        <w:spacing w:line="600" w:lineRule="exact"/>
        <w:jc w:val="center"/>
        <w:outlineLvl w:val="0"/>
        <w:rPr>
          <w:rFonts w:ascii="仿宋" w:hAnsi="仿宋" w:eastAsia="仿宋"/>
        </w:rPr>
      </w:pPr>
      <w:r>
        <w:rPr>
          <w:rFonts w:hint="eastAsia" w:ascii="黑体" w:hAnsi="黑体" w:eastAsia="黑体"/>
          <w:sz w:val="44"/>
          <w:szCs w:val="44"/>
        </w:rPr>
        <w:t>第</w:t>
      </w:r>
      <w:r>
        <w:rPr>
          <w:rStyle w:val="17"/>
          <w:rFonts w:hint="eastAsia" w:ascii="黑体" w:hAnsi="黑体" w:eastAsia="黑体"/>
          <w:b w:val="0"/>
        </w:rPr>
        <w:t>五部分 附表</w:t>
      </w:r>
      <w:bookmarkEnd w:id="71"/>
      <w:bookmarkEnd w:id="75"/>
      <w:bookmarkEnd w:id="76"/>
      <w:bookmarkStart w:id="77" w:name="_Toc15396619"/>
    </w:p>
    <w:p>
      <w:pPr>
        <w:pStyle w:val="4"/>
        <w:rPr>
          <w:rFonts w:ascii="仿宋" w:hAnsi="仿宋" w:eastAsia="仿宋"/>
        </w:rPr>
      </w:pPr>
      <w:bookmarkStart w:id="78" w:name="_Toc3769"/>
      <w:r>
        <w:rPr>
          <w:rFonts w:hint="eastAsia" w:ascii="仿宋" w:hAnsi="仿宋" w:eastAsia="仿宋"/>
          <w:b w:val="0"/>
        </w:rPr>
        <w:t>一、收</w:t>
      </w:r>
      <w:r>
        <w:rPr>
          <w:rStyle w:val="18"/>
          <w:rFonts w:hint="eastAsia" w:ascii="仿宋" w:hAnsi="仿宋" w:eastAsia="仿宋"/>
          <w:b w:val="0"/>
          <w:bCs w:val="0"/>
        </w:rPr>
        <w:t>入支出决算总表</w:t>
      </w:r>
      <w:bookmarkEnd w:id="77"/>
      <w:bookmarkEnd w:id="78"/>
    </w:p>
    <w:p>
      <w:pPr>
        <w:pStyle w:val="4"/>
        <w:rPr>
          <w:rFonts w:ascii="仿宋" w:hAnsi="仿宋" w:eastAsia="仿宋"/>
        </w:rPr>
      </w:pPr>
      <w:bookmarkStart w:id="79" w:name="_Toc1946"/>
      <w:bookmarkStart w:id="80" w:name="_Toc15396620"/>
      <w:r>
        <w:rPr>
          <w:rFonts w:hint="eastAsia" w:ascii="仿宋" w:hAnsi="仿宋" w:eastAsia="仿宋"/>
          <w:b w:val="0"/>
        </w:rPr>
        <w:t>二、收</w:t>
      </w:r>
      <w:r>
        <w:rPr>
          <w:rStyle w:val="18"/>
          <w:rFonts w:hint="eastAsia" w:ascii="仿宋" w:hAnsi="仿宋" w:eastAsia="仿宋"/>
          <w:b w:val="0"/>
          <w:bCs w:val="0"/>
        </w:rPr>
        <w:t>入决算表</w:t>
      </w:r>
      <w:bookmarkEnd w:id="79"/>
      <w:bookmarkEnd w:id="80"/>
    </w:p>
    <w:p>
      <w:pPr>
        <w:pStyle w:val="4"/>
        <w:rPr>
          <w:rFonts w:ascii="仿宋" w:hAnsi="仿宋" w:eastAsia="仿宋"/>
        </w:rPr>
      </w:pPr>
      <w:bookmarkStart w:id="81" w:name="_Toc31241"/>
      <w:bookmarkStart w:id="82" w:name="_Toc15396621"/>
      <w:r>
        <w:rPr>
          <w:rStyle w:val="18"/>
          <w:rFonts w:hint="eastAsia" w:ascii="仿宋" w:hAnsi="仿宋" w:eastAsia="仿宋"/>
          <w:b w:val="0"/>
          <w:bCs w:val="0"/>
        </w:rPr>
        <w:t>三、</w:t>
      </w:r>
      <w:r>
        <w:rPr>
          <w:rFonts w:hint="eastAsia" w:ascii="仿宋" w:hAnsi="仿宋" w:eastAsia="仿宋"/>
          <w:b w:val="0"/>
        </w:rPr>
        <w:t>支</w:t>
      </w:r>
      <w:r>
        <w:rPr>
          <w:rStyle w:val="18"/>
          <w:rFonts w:hint="eastAsia" w:ascii="仿宋" w:hAnsi="仿宋" w:eastAsia="仿宋"/>
          <w:b w:val="0"/>
          <w:bCs w:val="0"/>
        </w:rPr>
        <w:t>出决算表</w:t>
      </w:r>
      <w:bookmarkEnd w:id="81"/>
      <w:bookmarkEnd w:id="82"/>
    </w:p>
    <w:p>
      <w:pPr>
        <w:pStyle w:val="4"/>
        <w:rPr>
          <w:rFonts w:ascii="仿宋" w:hAnsi="仿宋" w:eastAsia="仿宋"/>
          <w:b w:val="0"/>
        </w:rPr>
      </w:pPr>
      <w:bookmarkStart w:id="83" w:name="_Toc16695"/>
      <w:bookmarkStart w:id="84" w:name="_Toc15396622"/>
      <w:r>
        <w:rPr>
          <w:rStyle w:val="18"/>
          <w:rFonts w:hint="eastAsia" w:ascii="仿宋" w:hAnsi="仿宋" w:eastAsia="仿宋"/>
          <w:b w:val="0"/>
          <w:bCs w:val="0"/>
        </w:rPr>
        <w:t>四、</w:t>
      </w:r>
      <w:r>
        <w:rPr>
          <w:rFonts w:hint="eastAsia" w:ascii="仿宋" w:hAnsi="仿宋" w:eastAsia="仿宋"/>
          <w:b w:val="0"/>
        </w:rPr>
        <w:t>财</w:t>
      </w:r>
      <w:r>
        <w:rPr>
          <w:rStyle w:val="18"/>
          <w:rFonts w:hint="eastAsia" w:ascii="仿宋" w:hAnsi="仿宋" w:eastAsia="仿宋"/>
          <w:b w:val="0"/>
          <w:bCs w:val="0"/>
        </w:rPr>
        <w:t>政拨款收入支出决算总表</w:t>
      </w:r>
      <w:bookmarkEnd w:id="83"/>
      <w:bookmarkEnd w:id="84"/>
    </w:p>
    <w:p>
      <w:pPr>
        <w:pStyle w:val="4"/>
        <w:rPr>
          <w:rStyle w:val="18"/>
          <w:rFonts w:ascii="仿宋" w:hAnsi="仿宋" w:eastAsia="仿宋"/>
          <w:b w:val="0"/>
          <w:bCs w:val="0"/>
        </w:rPr>
      </w:pPr>
      <w:bookmarkStart w:id="85" w:name="_Toc12076"/>
      <w:bookmarkStart w:id="86" w:name="_Toc15396623"/>
      <w:r>
        <w:rPr>
          <w:rStyle w:val="18"/>
          <w:rFonts w:hint="eastAsia" w:ascii="仿宋" w:hAnsi="仿宋" w:eastAsia="仿宋"/>
          <w:b w:val="0"/>
          <w:bCs w:val="0"/>
        </w:rPr>
        <w:t>五、</w:t>
      </w:r>
      <w:r>
        <w:rPr>
          <w:rFonts w:hint="eastAsia" w:ascii="仿宋" w:hAnsi="仿宋" w:eastAsia="仿宋"/>
          <w:b w:val="0"/>
        </w:rPr>
        <w:t>财</w:t>
      </w:r>
      <w:r>
        <w:rPr>
          <w:rStyle w:val="18"/>
          <w:rFonts w:hint="eastAsia" w:ascii="仿宋" w:hAnsi="仿宋" w:eastAsia="仿宋"/>
          <w:b w:val="0"/>
          <w:bCs w:val="0"/>
        </w:rPr>
        <w:t>政拨款支出决算明细表</w:t>
      </w:r>
      <w:bookmarkEnd w:id="85"/>
      <w:bookmarkEnd w:id="86"/>
      <w:bookmarkStart w:id="87" w:name="_Toc15396624"/>
    </w:p>
    <w:p>
      <w:pPr>
        <w:pStyle w:val="4"/>
        <w:rPr>
          <w:rFonts w:ascii="仿宋" w:hAnsi="仿宋" w:eastAsia="仿宋"/>
        </w:rPr>
      </w:pPr>
      <w:bookmarkStart w:id="88" w:name="_Toc32255"/>
      <w:r>
        <w:rPr>
          <w:rStyle w:val="18"/>
          <w:rFonts w:hint="eastAsia" w:ascii="仿宋" w:hAnsi="仿宋" w:eastAsia="仿宋"/>
          <w:b w:val="0"/>
          <w:bCs w:val="0"/>
        </w:rPr>
        <w:t>六、</w:t>
      </w:r>
      <w:r>
        <w:rPr>
          <w:rFonts w:hint="eastAsia" w:ascii="仿宋" w:hAnsi="仿宋" w:eastAsia="仿宋"/>
          <w:b w:val="0"/>
        </w:rPr>
        <w:t>一</w:t>
      </w:r>
      <w:r>
        <w:rPr>
          <w:rStyle w:val="18"/>
          <w:rFonts w:hint="eastAsia" w:ascii="仿宋" w:hAnsi="仿宋" w:eastAsia="仿宋"/>
          <w:b w:val="0"/>
          <w:bCs w:val="0"/>
        </w:rPr>
        <w:t>般公共预算财政拨款支出决算表</w:t>
      </w:r>
      <w:bookmarkEnd w:id="87"/>
      <w:bookmarkEnd w:id="88"/>
    </w:p>
    <w:p>
      <w:pPr>
        <w:pStyle w:val="4"/>
        <w:rPr>
          <w:rFonts w:ascii="仿宋" w:hAnsi="仿宋" w:eastAsia="仿宋"/>
        </w:rPr>
      </w:pPr>
      <w:bookmarkStart w:id="89" w:name="_Toc24031"/>
      <w:bookmarkStart w:id="90" w:name="_Toc15396625"/>
      <w:r>
        <w:rPr>
          <w:rStyle w:val="18"/>
          <w:rFonts w:hint="eastAsia" w:ascii="仿宋" w:hAnsi="仿宋" w:eastAsia="仿宋"/>
          <w:b w:val="0"/>
          <w:bCs w:val="0"/>
        </w:rPr>
        <w:t>七、</w:t>
      </w:r>
      <w:r>
        <w:rPr>
          <w:rFonts w:hint="eastAsia" w:ascii="仿宋" w:hAnsi="仿宋" w:eastAsia="仿宋"/>
          <w:b w:val="0"/>
        </w:rPr>
        <w:t>一</w:t>
      </w:r>
      <w:r>
        <w:rPr>
          <w:rStyle w:val="18"/>
          <w:rFonts w:hint="eastAsia" w:ascii="仿宋" w:hAnsi="仿宋" w:eastAsia="仿宋"/>
          <w:b w:val="0"/>
          <w:bCs w:val="0"/>
        </w:rPr>
        <w:t>般公共预算财政拨款支出决算明细表</w:t>
      </w:r>
      <w:bookmarkEnd w:id="89"/>
      <w:bookmarkEnd w:id="90"/>
    </w:p>
    <w:p>
      <w:pPr>
        <w:pStyle w:val="4"/>
        <w:rPr>
          <w:rFonts w:ascii="仿宋" w:hAnsi="仿宋" w:eastAsia="仿宋"/>
        </w:rPr>
      </w:pPr>
      <w:bookmarkStart w:id="91" w:name="_Toc21993"/>
      <w:bookmarkStart w:id="92" w:name="_Toc15396626"/>
      <w:r>
        <w:rPr>
          <w:rStyle w:val="18"/>
          <w:rFonts w:hint="eastAsia" w:ascii="仿宋" w:hAnsi="仿宋" w:eastAsia="仿宋"/>
          <w:b w:val="0"/>
          <w:bCs w:val="0"/>
        </w:rPr>
        <w:t>八、</w:t>
      </w:r>
      <w:r>
        <w:rPr>
          <w:rFonts w:hint="eastAsia" w:ascii="仿宋" w:hAnsi="仿宋" w:eastAsia="仿宋"/>
          <w:b w:val="0"/>
        </w:rPr>
        <w:t>一</w:t>
      </w:r>
      <w:r>
        <w:rPr>
          <w:rStyle w:val="18"/>
          <w:rFonts w:hint="eastAsia" w:ascii="仿宋" w:hAnsi="仿宋" w:eastAsia="仿宋"/>
          <w:b w:val="0"/>
          <w:bCs w:val="0"/>
        </w:rPr>
        <w:t>般公共预算财政拨款基本支出决算表</w:t>
      </w:r>
      <w:bookmarkEnd w:id="91"/>
      <w:bookmarkEnd w:id="92"/>
    </w:p>
    <w:p>
      <w:pPr>
        <w:pStyle w:val="4"/>
        <w:rPr>
          <w:rFonts w:ascii="仿宋" w:hAnsi="仿宋" w:eastAsia="仿宋"/>
        </w:rPr>
      </w:pPr>
      <w:bookmarkStart w:id="93" w:name="_Toc28862"/>
      <w:bookmarkStart w:id="94" w:name="_Toc15396627"/>
      <w:r>
        <w:rPr>
          <w:rStyle w:val="18"/>
          <w:rFonts w:hint="eastAsia" w:ascii="仿宋" w:hAnsi="仿宋" w:eastAsia="仿宋"/>
          <w:b w:val="0"/>
          <w:bCs w:val="0"/>
        </w:rPr>
        <w:t>九、</w:t>
      </w:r>
      <w:r>
        <w:rPr>
          <w:rFonts w:hint="eastAsia" w:ascii="仿宋" w:hAnsi="仿宋" w:eastAsia="仿宋"/>
          <w:b w:val="0"/>
        </w:rPr>
        <w:t>一</w:t>
      </w:r>
      <w:r>
        <w:rPr>
          <w:rStyle w:val="18"/>
          <w:rFonts w:hint="eastAsia" w:ascii="仿宋" w:hAnsi="仿宋" w:eastAsia="仿宋"/>
          <w:b w:val="0"/>
          <w:bCs w:val="0"/>
        </w:rPr>
        <w:t>般公共预算财政拨款项目支出决算表</w:t>
      </w:r>
      <w:bookmarkEnd w:id="93"/>
      <w:bookmarkEnd w:id="94"/>
    </w:p>
    <w:p>
      <w:pPr>
        <w:pStyle w:val="4"/>
        <w:rPr>
          <w:rFonts w:ascii="仿宋" w:hAnsi="仿宋" w:eastAsia="仿宋"/>
        </w:rPr>
      </w:pPr>
      <w:bookmarkStart w:id="95" w:name="_Toc15396628"/>
      <w:bookmarkStart w:id="96" w:name="_Toc31124"/>
      <w:r>
        <w:rPr>
          <w:rStyle w:val="18"/>
          <w:rFonts w:hint="eastAsia" w:ascii="仿宋" w:hAnsi="仿宋" w:eastAsia="仿宋"/>
          <w:b w:val="0"/>
          <w:bCs w:val="0"/>
        </w:rPr>
        <w:t>十、</w:t>
      </w:r>
      <w:bookmarkEnd w:id="95"/>
      <w:r>
        <w:rPr>
          <w:rFonts w:hint="eastAsia" w:ascii="仿宋" w:hAnsi="仿宋" w:eastAsia="仿宋"/>
          <w:b w:val="0"/>
        </w:rPr>
        <w:t>政</w:t>
      </w:r>
      <w:r>
        <w:rPr>
          <w:rStyle w:val="18"/>
          <w:rFonts w:hint="eastAsia" w:ascii="仿宋" w:hAnsi="仿宋" w:eastAsia="仿宋"/>
          <w:b w:val="0"/>
          <w:bCs w:val="0"/>
        </w:rPr>
        <w:t>府性基金预算财政拨款收入支出决算表</w:t>
      </w:r>
      <w:bookmarkEnd w:id="96"/>
    </w:p>
    <w:p>
      <w:pPr>
        <w:pStyle w:val="4"/>
        <w:rPr>
          <w:rFonts w:ascii="仿宋" w:hAnsi="仿宋" w:eastAsia="仿宋"/>
        </w:rPr>
      </w:pPr>
      <w:bookmarkStart w:id="97" w:name="_Toc15396629"/>
      <w:bookmarkStart w:id="98" w:name="_Toc27771"/>
      <w:r>
        <w:rPr>
          <w:rStyle w:val="18"/>
          <w:rFonts w:hint="eastAsia" w:ascii="仿宋" w:hAnsi="仿宋" w:eastAsia="仿宋"/>
          <w:b w:val="0"/>
          <w:bCs w:val="0"/>
        </w:rPr>
        <w:t>十一、</w:t>
      </w:r>
      <w:bookmarkEnd w:id="97"/>
      <w:r>
        <w:rPr>
          <w:rFonts w:hint="eastAsia" w:ascii="仿宋" w:hAnsi="仿宋" w:eastAsia="仿宋"/>
          <w:b w:val="0"/>
        </w:rPr>
        <w:t>国</w:t>
      </w:r>
      <w:r>
        <w:rPr>
          <w:rStyle w:val="18"/>
          <w:rFonts w:hint="eastAsia" w:ascii="仿宋" w:hAnsi="仿宋" w:eastAsia="仿宋"/>
          <w:b w:val="0"/>
          <w:bCs w:val="0"/>
        </w:rPr>
        <w:t>有资本经营预算财政拨款收入支出决算表</w:t>
      </w:r>
      <w:bookmarkEnd w:id="98"/>
    </w:p>
    <w:p>
      <w:pPr>
        <w:pStyle w:val="4"/>
        <w:rPr>
          <w:rFonts w:ascii="仿宋" w:hAnsi="仿宋" w:eastAsia="仿宋"/>
        </w:rPr>
      </w:pPr>
      <w:bookmarkStart w:id="99" w:name="_Toc15396630"/>
      <w:bookmarkStart w:id="100" w:name="_Toc24379"/>
      <w:r>
        <w:rPr>
          <w:rStyle w:val="18"/>
          <w:rFonts w:hint="eastAsia" w:ascii="仿宋" w:hAnsi="仿宋" w:eastAsia="仿宋"/>
          <w:b w:val="0"/>
          <w:bCs w:val="0"/>
        </w:rPr>
        <w:t>十二、</w:t>
      </w:r>
      <w:bookmarkEnd w:id="99"/>
      <w:r>
        <w:rPr>
          <w:rStyle w:val="18"/>
          <w:rFonts w:hint="eastAsia" w:ascii="仿宋" w:hAnsi="仿宋" w:eastAsia="仿宋"/>
          <w:b w:val="0"/>
          <w:bCs w:val="0"/>
        </w:rPr>
        <w:t>国有资本经营预算财政拨款支出决算表</w:t>
      </w:r>
      <w:bookmarkEnd w:id="100"/>
    </w:p>
    <w:p>
      <w:pPr>
        <w:pStyle w:val="4"/>
        <w:rPr>
          <w:rFonts w:eastAsia="仿宋"/>
        </w:rPr>
      </w:pPr>
      <w:bookmarkStart w:id="101" w:name="_Toc15396631"/>
      <w:bookmarkStart w:id="102" w:name="_Toc2447"/>
      <w:r>
        <w:rPr>
          <w:rStyle w:val="18"/>
          <w:rFonts w:hint="eastAsia" w:ascii="仿宋" w:hAnsi="仿宋" w:eastAsia="仿宋"/>
          <w:b w:val="0"/>
          <w:bCs w:val="0"/>
        </w:rPr>
        <w:t>十三、</w:t>
      </w:r>
      <w:bookmarkEnd w:id="101"/>
      <w:r>
        <w:rPr>
          <w:rStyle w:val="18"/>
          <w:rFonts w:hint="eastAsia" w:ascii="仿宋" w:hAnsi="仿宋" w:eastAsia="仿宋"/>
          <w:b w:val="0"/>
          <w:bCs w:val="0"/>
        </w:rPr>
        <w:t>财政拨款“三公”经费支出决算表</w:t>
      </w:r>
      <w:bookmarkEnd w:id="102"/>
    </w:p>
    <w:sectPr>
      <w:footerReference r:id="rId5" w:type="firs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29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E893509"/>
    <w:multiLevelType w:val="singleLevel"/>
    <w:tmpl w:val="6E893509"/>
    <w:lvl w:ilvl="0" w:tentative="0">
      <w:start w:val="1"/>
      <w:numFmt w:val="chineseCounting"/>
      <w:suff w:val="space"/>
      <w:lvlText w:val="第%1部分"/>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EwMzc2YTgzMWI5N2U0MTY4NjkyNzg1NWMwZjE3ZG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C4449"/>
    <w:rsid w:val="002D6D05"/>
    <w:rsid w:val="002F1818"/>
    <w:rsid w:val="002F567B"/>
    <w:rsid w:val="003216A9"/>
    <w:rsid w:val="00335A74"/>
    <w:rsid w:val="0036561B"/>
    <w:rsid w:val="0037013F"/>
    <w:rsid w:val="00380C92"/>
    <w:rsid w:val="003A0BB7"/>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2854"/>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31666"/>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3FA"/>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7A8"/>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07D72"/>
    <w:rsid w:val="00E20A2E"/>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80DEF"/>
    <w:rsid w:val="02524502"/>
    <w:rsid w:val="02E828A9"/>
    <w:rsid w:val="03EF7C67"/>
    <w:rsid w:val="053A62B5"/>
    <w:rsid w:val="060A6EE3"/>
    <w:rsid w:val="06B37672"/>
    <w:rsid w:val="073A6997"/>
    <w:rsid w:val="08257571"/>
    <w:rsid w:val="0863220E"/>
    <w:rsid w:val="087150EF"/>
    <w:rsid w:val="0A2032A3"/>
    <w:rsid w:val="0AB319EF"/>
    <w:rsid w:val="0B100BEF"/>
    <w:rsid w:val="0B8A37D8"/>
    <w:rsid w:val="0C7C53DD"/>
    <w:rsid w:val="0F9022FF"/>
    <w:rsid w:val="10C055FF"/>
    <w:rsid w:val="11061B35"/>
    <w:rsid w:val="118107EC"/>
    <w:rsid w:val="11C24C0D"/>
    <w:rsid w:val="11DD6519"/>
    <w:rsid w:val="12A61488"/>
    <w:rsid w:val="13133A0B"/>
    <w:rsid w:val="13723DB8"/>
    <w:rsid w:val="14302302"/>
    <w:rsid w:val="145E16ED"/>
    <w:rsid w:val="151A266A"/>
    <w:rsid w:val="154C6CC8"/>
    <w:rsid w:val="162E59A7"/>
    <w:rsid w:val="16BB723D"/>
    <w:rsid w:val="1750629D"/>
    <w:rsid w:val="175807D0"/>
    <w:rsid w:val="17B46DA6"/>
    <w:rsid w:val="18015F3F"/>
    <w:rsid w:val="18DD40DB"/>
    <w:rsid w:val="18E81697"/>
    <w:rsid w:val="19D379B8"/>
    <w:rsid w:val="1B2B737F"/>
    <w:rsid w:val="1B910DB4"/>
    <w:rsid w:val="1BE8440E"/>
    <w:rsid w:val="1D155CEE"/>
    <w:rsid w:val="1D554B87"/>
    <w:rsid w:val="1E1D1195"/>
    <w:rsid w:val="1E4C7D38"/>
    <w:rsid w:val="1E803E86"/>
    <w:rsid w:val="1E8223CA"/>
    <w:rsid w:val="1EBD29E4"/>
    <w:rsid w:val="1FEC17D3"/>
    <w:rsid w:val="20BF0C96"/>
    <w:rsid w:val="20F57F95"/>
    <w:rsid w:val="22126E3A"/>
    <w:rsid w:val="232C0139"/>
    <w:rsid w:val="2383661D"/>
    <w:rsid w:val="240371BF"/>
    <w:rsid w:val="24AC7783"/>
    <w:rsid w:val="256911D0"/>
    <w:rsid w:val="25711CC6"/>
    <w:rsid w:val="25C741E6"/>
    <w:rsid w:val="25D6319E"/>
    <w:rsid w:val="25EC3BAF"/>
    <w:rsid w:val="2626133A"/>
    <w:rsid w:val="269C5285"/>
    <w:rsid w:val="27842671"/>
    <w:rsid w:val="284629A2"/>
    <w:rsid w:val="28F76F66"/>
    <w:rsid w:val="293A786B"/>
    <w:rsid w:val="298159CE"/>
    <w:rsid w:val="29FD04D3"/>
    <w:rsid w:val="2A9C5BA4"/>
    <w:rsid w:val="2AB729DE"/>
    <w:rsid w:val="2ABE7A3E"/>
    <w:rsid w:val="2AF8540A"/>
    <w:rsid w:val="2CA234A8"/>
    <w:rsid w:val="2CDA0C05"/>
    <w:rsid w:val="2CE377DE"/>
    <w:rsid w:val="2D450775"/>
    <w:rsid w:val="2D5C32C7"/>
    <w:rsid w:val="2DBE26A4"/>
    <w:rsid w:val="2E80634D"/>
    <w:rsid w:val="2EFA178C"/>
    <w:rsid w:val="2F2D14C0"/>
    <w:rsid w:val="2F2D7712"/>
    <w:rsid w:val="2F72275C"/>
    <w:rsid w:val="2FA84FEB"/>
    <w:rsid w:val="30056C3A"/>
    <w:rsid w:val="305111DE"/>
    <w:rsid w:val="30B46D73"/>
    <w:rsid w:val="319F7F4E"/>
    <w:rsid w:val="321E1594"/>
    <w:rsid w:val="32252124"/>
    <w:rsid w:val="32D54349"/>
    <w:rsid w:val="335C6FDA"/>
    <w:rsid w:val="33925D96"/>
    <w:rsid w:val="339937E1"/>
    <w:rsid w:val="33A855B9"/>
    <w:rsid w:val="340B78F6"/>
    <w:rsid w:val="34572B3B"/>
    <w:rsid w:val="366C7E6C"/>
    <w:rsid w:val="36B129D7"/>
    <w:rsid w:val="37677539"/>
    <w:rsid w:val="37C130EE"/>
    <w:rsid w:val="383D272C"/>
    <w:rsid w:val="38C51FA1"/>
    <w:rsid w:val="39AE70AB"/>
    <w:rsid w:val="3BCD4BCE"/>
    <w:rsid w:val="3C0C0783"/>
    <w:rsid w:val="3C7C75E3"/>
    <w:rsid w:val="3D0A2E41"/>
    <w:rsid w:val="3D2A5291"/>
    <w:rsid w:val="3D666453"/>
    <w:rsid w:val="3D6B6B23"/>
    <w:rsid w:val="3D9D5A63"/>
    <w:rsid w:val="3DE713D4"/>
    <w:rsid w:val="3E314670"/>
    <w:rsid w:val="3F8073EA"/>
    <w:rsid w:val="3F9F3A96"/>
    <w:rsid w:val="41027391"/>
    <w:rsid w:val="41085755"/>
    <w:rsid w:val="411221E1"/>
    <w:rsid w:val="4114215A"/>
    <w:rsid w:val="41306BEE"/>
    <w:rsid w:val="41772D31"/>
    <w:rsid w:val="41807B75"/>
    <w:rsid w:val="436F39FE"/>
    <w:rsid w:val="43D63A7D"/>
    <w:rsid w:val="45240818"/>
    <w:rsid w:val="45833790"/>
    <w:rsid w:val="45886FF9"/>
    <w:rsid w:val="45D34E36"/>
    <w:rsid w:val="45ED50AE"/>
    <w:rsid w:val="47215957"/>
    <w:rsid w:val="4832071D"/>
    <w:rsid w:val="48BF60AB"/>
    <w:rsid w:val="493C27E9"/>
    <w:rsid w:val="49675177"/>
    <w:rsid w:val="496F39ED"/>
    <w:rsid w:val="49B21C86"/>
    <w:rsid w:val="49B90A53"/>
    <w:rsid w:val="49FF41D3"/>
    <w:rsid w:val="4ABE4B76"/>
    <w:rsid w:val="4BE068DB"/>
    <w:rsid w:val="4BF6002B"/>
    <w:rsid w:val="4DD94895"/>
    <w:rsid w:val="4EA558E3"/>
    <w:rsid w:val="4ECE2238"/>
    <w:rsid w:val="4F5217F8"/>
    <w:rsid w:val="506B78C1"/>
    <w:rsid w:val="50E81293"/>
    <w:rsid w:val="51426BF5"/>
    <w:rsid w:val="515E3450"/>
    <w:rsid w:val="51856AE2"/>
    <w:rsid w:val="51A90A23"/>
    <w:rsid w:val="51DB4B86"/>
    <w:rsid w:val="55333C3E"/>
    <w:rsid w:val="56657B04"/>
    <w:rsid w:val="5691018A"/>
    <w:rsid w:val="56BA0FDC"/>
    <w:rsid w:val="587A4EC7"/>
    <w:rsid w:val="58DF0138"/>
    <w:rsid w:val="59E44CEE"/>
    <w:rsid w:val="59F9006D"/>
    <w:rsid w:val="5A407A4A"/>
    <w:rsid w:val="5AB37B5F"/>
    <w:rsid w:val="5ADC3C17"/>
    <w:rsid w:val="5BBB524E"/>
    <w:rsid w:val="5DBE13B2"/>
    <w:rsid w:val="5EBA601D"/>
    <w:rsid w:val="5F19442B"/>
    <w:rsid w:val="600357A2"/>
    <w:rsid w:val="60146320"/>
    <w:rsid w:val="60436F72"/>
    <w:rsid w:val="60B53011"/>
    <w:rsid w:val="60CA62C0"/>
    <w:rsid w:val="614D13CA"/>
    <w:rsid w:val="61BC3E5A"/>
    <w:rsid w:val="622540F5"/>
    <w:rsid w:val="63100901"/>
    <w:rsid w:val="638B61DA"/>
    <w:rsid w:val="63BC2837"/>
    <w:rsid w:val="64CA39A1"/>
    <w:rsid w:val="65BD2897"/>
    <w:rsid w:val="65CE0600"/>
    <w:rsid w:val="67D649E0"/>
    <w:rsid w:val="687234C5"/>
    <w:rsid w:val="69630ADE"/>
    <w:rsid w:val="699E02E9"/>
    <w:rsid w:val="69B53FB1"/>
    <w:rsid w:val="6ABF0DA9"/>
    <w:rsid w:val="6B5C220A"/>
    <w:rsid w:val="6B811C71"/>
    <w:rsid w:val="6C4A05C8"/>
    <w:rsid w:val="6D3B1A89"/>
    <w:rsid w:val="6DE24342"/>
    <w:rsid w:val="6E361438"/>
    <w:rsid w:val="6F887A72"/>
    <w:rsid w:val="70383246"/>
    <w:rsid w:val="715E6CDC"/>
    <w:rsid w:val="71A52B5D"/>
    <w:rsid w:val="71BF4EC2"/>
    <w:rsid w:val="71F118FE"/>
    <w:rsid w:val="72734D90"/>
    <w:rsid w:val="72BB3CBA"/>
    <w:rsid w:val="72D07765"/>
    <w:rsid w:val="72F62F44"/>
    <w:rsid w:val="72FB4660"/>
    <w:rsid w:val="734939BC"/>
    <w:rsid w:val="739E1494"/>
    <w:rsid w:val="7412278C"/>
    <w:rsid w:val="751F2C26"/>
    <w:rsid w:val="7541494A"/>
    <w:rsid w:val="762757AD"/>
    <w:rsid w:val="76816FC9"/>
    <w:rsid w:val="771D3195"/>
    <w:rsid w:val="78632E2A"/>
    <w:rsid w:val="78DB44A1"/>
    <w:rsid w:val="7904082E"/>
    <w:rsid w:val="793242EA"/>
    <w:rsid w:val="79E61F64"/>
    <w:rsid w:val="79E7B28D"/>
    <w:rsid w:val="7B4B6523"/>
    <w:rsid w:val="7BAB2DA8"/>
    <w:rsid w:val="7CBA3C7B"/>
    <w:rsid w:val="7D6B0499"/>
    <w:rsid w:val="7D9817C8"/>
    <w:rsid w:val="7DB54128"/>
    <w:rsid w:val="7DEE3196"/>
    <w:rsid w:val="7F413799"/>
    <w:rsid w:val="7F9F20EE"/>
    <w:rsid w:val="9E3A10E2"/>
    <w:rsid w:val="F2E1F9D4"/>
    <w:rsid w:val="F7880819"/>
    <w:rsid w:val="FFFD97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200" w:firstLineChars="200"/>
    </w:pPr>
    <w:rPr>
      <w:rFonts w:eastAsia="方正仿宋简体"/>
      <w:sz w:val="32"/>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标题 1 Char"/>
    <w:basedOn w:val="14"/>
    <w:link w:val="3"/>
    <w:qFormat/>
    <w:uiPriority w:val="9"/>
    <w:rPr>
      <w:rFonts w:ascii="Times New Roman" w:hAnsi="Times New Roman"/>
      <w:b/>
      <w:bCs/>
      <w:kern w:val="44"/>
      <w:sz w:val="44"/>
      <w:szCs w:val="44"/>
    </w:rPr>
  </w:style>
  <w:style w:type="character" w:customStyle="1" w:styleId="18">
    <w:name w:val="标题 2 Char"/>
    <w:basedOn w:val="14"/>
    <w:link w:val="4"/>
    <w:qFormat/>
    <w:uiPriority w:val="9"/>
    <w:rPr>
      <w:rFonts w:asciiTheme="majorHAnsi" w:hAnsiTheme="majorHAnsi" w:eastAsiaTheme="majorEastAsia" w:cstheme="majorBidi"/>
      <w:b/>
      <w:bCs/>
      <w:kern w:val="2"/>
      <w:sz w:val="32"/>
      <w:szCs w:val="32"/>
    </w:rPr>
  </w:style>
  <w:style w:type="character" w:customStyle="1" w:styleId="19">
    <w:name w:val="标题 3 Char"/>
    <w:basedOn w:val="14"/>
    <w:link w:val="5"/>
    <w:qFormat/>
    <w:uiPriority w:val="9"/>
    <w:rPr>
      <w:rFonts w:ascii="Times New Roman" w:hAnsi="Times New Roman"/>
      <w:b/>
      <w:bCs/>
      <w:kern w:val="2"/>
      <w:sz w:val="32"/>
      <w:szCs w:val="32"/>
    </w:rPr>
  </w:style>
  <w:style w:type="character" w:customStyle="1" w:styleId="20">
    <w:name w:val="Header Char"/>
    <w:basedOn w:val="14"/>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4"/>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4"/>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4"/>
    <w:link w:val="8"/>
    <w:semiHidden/>
    <w:qFormat/>
    <w:uiPriority w:val="99"/>
    <w:rPr>
      <w:rFonts w:ascii="Times New Roman" w:hAnsi="Times New Roman"/>
      <w:kern w:val="2"/>
      <w:sz w:val="18"/>
      <w:szCs w:val="18"/>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56042496679947"/>
          <c:y val="0.0475161987041037"/>
          <c:w val="0.887171314741036"/>
          <c:h val="0.750194384449244"/>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收支总额</c:v>
                </c:pt>
              </c:strCache>
            </c:strRef>
          </c:cat>
          <c:val>
            <c:numRef>
              <c:f>Sheet1!$B$2</c:f>
              <c:numCache>
                <c:formatCode>General</c:formatCode>
                <c:ptCount val="1"/>
                <c:pt idx="0">
                  <c:v>3581.58</c:v>
                </c:pt>
              </c:numCache>
            </c:numRef>
          </c:val>
        </c:ser>
        <c:ser>
          <c:idx val="1"/>
          <c:order val="1"/>
          <c:tx>
            <c:strRef>
              <c:f>Sheet1!$C$1</c:f>
              <c:strCache>
                <c:ptCount val="1"/>
                <c:pt idx="0">
                  <c:v>2022年</c:v>
                </c:pt>
              </c:strCache>
            </c:strRef>
          </c:tx>
          <c:spPr>
            <a:pattFill prst="wdDnDiag">
              <a:fgClr>
                <a:schemeClr val="accent2"/>
              </a:fgClr>
              <a:bgClr>
                <a:schemeClr val="bg1"/>
              </a:bgClr>
            </a:patt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收支总额</c:v>
                </c:pt>
              </c:strCache>
            </c:strRef>
          </c:cat>
          <c:val>
            <c:numRef>
              <c:f>Sheet1!$C$2</c:f>
              <c:numCache>
                <c:formatCode>General</c:formatCode>
                <c:ptCount val="1"/>
                <c:pt idx="0">
                  <c:v>2191.23</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收支总额</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75"/>
        <c:overlap val="-25"/>
        <c:axId val="164322304"/>
        <c:axId val="164377344"/>
      </c:barChart>
      <c:catAx>
        <c:axId val="16432230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377344"/>
        <c:crosses val="autoZero"/>
        <c:auto val="1"/>
        <c:lblAlgn val="ctr"/>
        <c:lblOffset val="100"/>
        <c:noMultiLvlLbl val="0"/>
      </c:catAx>
      <c:valAx>
        <c:axId val="164377344"/>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322304"/>
        <c:crosses val="autoZero"/>
        <c:crossBetween val="between"/>
      </c:valAx>
      <c:spPr>
        <a:noFill/>
        <a:ln>
          <a:noFill/>
        </a:ln>
        <a:effectLst>
          <a:innerShdw blurRad="63500" dist="50800" dir="13500000">
            <a:prstClr val="black">
              <a:alpha val="50000"/>
            </a:prstClr>
          </a:innerShdw>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财政拨款收入</c:v>
                </c:pt>
              </c:strCache>
            </c:strRef>
          </c:cat>
          <c:val>
            <c:numRef>
              <c:f>Sheet1!$B$2</c:f>
              <c:numCache>
                <c:formatCode>General</c:formatCode>
                <c:ptCount val="1"/>
                <c:pt idx="0">
                  <c:v>2166.77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770621399681333"/>
          <c:y val="0.83889418493803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spPr>
              <a:solidFill>
                <a:schemeClr val="accent1"/>
              </a:solidFill>
              <a:ln>
                <a:solidFill>
                  <a:schemeClr val="bg1"/>
                </a:solidFill>
              </a:ln>
              <a:effectLst/>
            </c:spPr>
          </c:dPt>
          <c:dPt>
            <c:idx val="1"/>
            <c:bubble3D val="0"/>
            <c:spPr>
              <a:pattFill prst="wdDnDiag">
                <a:fgClr>
                  <a:schemeClr val="accent2"/>
                </a:fgClr>
                <a:bgClr>
                  <a:schemeClr val="bg1"/>
                </a:bgClr>
              </a:pattFill>
              <a:ln>
                <a:solidFill>
                  <a:schemeClr val="bg1"/>
                </a:solidFill>
              </a:ln>
              <a:effectLst/>
            </c:spPr>
          </c:dPt>
          <c:dLbls>
            <c:dLbl>
              <c:idx val="0"/>
              <c:layout>
                <c:manualLayout>
                  <c:x val="0.1723931521609"/>
                  <c:y val="-0.029193205944798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61618580150844"/>
                  <c:y val="0.047770700636942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2014.91</c:v>
                </c:pt>
                <c:pt idx="1">
                  <c:v>142.15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130731473722016"/>
          <c:y val="0.93152866242038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31568330811902"/>
          <c:y val="0.00827814569536424"/>
          <c:w val="0.892889561270802"/>
          <c:h val="0.680849889624724"/>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财政拨款收、支总计</c:v>
                </c:pt>
              </c:strCache>
            </c:strRef>
          </c:cat>
          <c:val>
            <c:numRef>
              <c:f>Sheet1!$B$2</c:f>
              <c:numCache>
                <c:formatCode>General</c:formatCode>
                <c:ptCount val="1"/>
                <c:pt idx="0">
                  <c:v>3581.58</c:v>
                </c:pt>
              </c:numCache>
            </c:numRef>
          </c:val>
        </c:ser>
        <c:ser>
          <c:idx val="1"/>
          <c:order val="1"/>
          <c:tx>
            <c:strRef>
              <c:f>Sheet1!$C$1</c:f>
              <c:strCache>
                <c:ptCount val="1"/>
                <c:pt idx="0">
                  <c:v>2022年</c:v>
                </c:pt>
              </c:strCache>
            </c:strRef>
          </c:tx>
          <c:spPr>
            <a:solidFill>
              <a:schemeClr val="accent2"/>
            </a:solidFill>
            <a:ln>
              <a:noFill/>
            </a:ln>
            <a:effectLst/>
          </c:spPr>
          <c:invertIfNegative val="0"/>
          <c:dPt>
            <c:idx val="0"/>
            <c:invertIfNegative val="0"/>
            <c:bubble3D val="0"/>
            <c:spPr>
              <a:pattFill prst="wdDnDiag">
                <a:fgClr>
                  <a:schemeClr val="accent2"/>
                </a:fgClr>
                <a:bgClr>
                  <a:schemeClr val="bg1"/>
                </a:bgClr>
              </a:pattFill>
              <a:ln>
                <a:no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财政拨款收、支总计</c:v>
                </c:pt>
              </c:strCache>
            </c:strRef>
          </c:cat>
          <c:val>
            <c:numRef>
              <c:f>Sheet1!$C$2</c:f>
              <c:numCache>
                <c:formatCode>General</c:formatCode>
                <c:ptCount val="1"/>
                <c:pt idx="0">
                  <c:v>2191.23</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财政拨款收、支总计</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91689728"/>
        <c:axId val="91691264"/>
      </c:barChart>
      <c:catAx>
        <c:axId val="9168972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691264"/>
        <c:crosses val="autoZero"/>
        <c:auto val="1"/>
        <c:lblAlgn val="ctr"/>
        <c:lblOffset val="100"/>
        <c:noMultiLvlLbl val="0"/>
      </c:catAx>
      <c:valAx>
        <c:axId val="91691264"/>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689728"/>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01256342111621"/>
          <c:y val="0.00637484062898428"/>
          <c:w val="0.930345494080696"/>
          <c:h val="0.638631534211645"/>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3510.57</c:v>
                </c:pt>
              </c:numCache>
            </c:numRef>
          </c:val>
        </c:ser>
        <c:ser>
          <c:idx val="1"/>
          <c:order val="1"/>
          <c:tx>
            <c:strRef>
              <c:f>Sheet1!$C$1</c:f>
              <c:strCache>
                <c:ptCount val="1"/>
                <c:pt idx="0">
                  <c:v>2022年</c:v>
                </c:pt>
              </c:strCache>
            </c:strRef>
          </c:tx>
          <c:spPr>
            <a:pattFill prst="wdDnDiag">
              <a:fgClr>
                <a:schemeClr val="accent2"/>
              </a:fgClr>
              <a:bgClr>
                <a:schemeClr val="bg1"/>
              </a:bgClr>
            </a:patt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2157.06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一般公共预算财政拨款支出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46"/>
        <c:overlap val="-28"/>
        <c:axId val="164340096"/>
        <c:axId val="164341632"/>
      </c:barChart>
      <c:catAx>
        <c:axId val="16434009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341632"/>
        <c:crosses val="autoZero"/>
        <c:auto val="1"/>
        <c:lblAlgn val="ctr"/>
        <c:lblOffset val="100"/>
        <c:noMultiLvlLbl val="0"/>
      </c:catAx>
      <c:valAx>
        <c:axId val="164341632"/>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34009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1067859021568"/>
          <c:y val="0.280502021563342"/>
          <c:w val="0.520894266175697"/>
          <c:h val="0.667264150943396"/>
        </c:manualLayout>
      </c:layout>
      <c:pieChart>
        <c:varyColors val="1"/>
        <c:ser>
          <c:idx val="0"/>
          <c:order val="0"/>
          <c:tx>
            <c:strRef>
              <c:f>Sheet1!$B$1</c:f>
              <c:strCache>
                <c:ptCount val="1"/>
                <c:pt idx="0">
                  <c:v>销售额</c:v>
                </c:pt>
              </c:strCache>
            </c:strRef>
          </c:tx>
          <c:explosion val="0"/>
          <c:dPt>
            <c:idx val="0"/>
            <c:bubble3D val="0"/>
            <c:spPr>
              <a:solidFill>
                <a:schemeClr val="accent1"/>
              </a:solidFill>
              <a:ln>
                <a:solidFill>
                  <a:schemeClr val="bg1"/>
                </a:solidFill>
              </a:ln>
              <a:effectLst/>
            </c:spPr>
          </c:dPt>
          <c:dPt>
            <c:idx val="1"/>
            <c:bubble3D val="0"/>
            <c:spPr>
              <a:pattFill prst="horzBrick">
                <a:fgClr>
                  <a:schemeClr val="accent2"/>
                </a:fgClr>
                <a:bgClr>
                  <a:schemeClr val="bg1"/>
                </a:bgClr>
              </a:pattFill>
              <a:ln>
                <a:solidFill>
                  <a:schemeClr val="bg1"/>
                </a:solidFill>
              </a:ln>
              <a:effectLst/>
            </c:spPr>
          </c:dPt>
          <c:dPt>
            <c:idx val="2"/>
            <c:bubble3D val="0"/>
            <c:spPr>
              <a:pattFill prst="wdDnDiag">
                <a:fgClr>
                  <a:schemeClr val="accent3"/>
                </a:fgClr>
                <a:bgClr>
                  <a:schemeClr val="bg1"/>
                </a:bgClr>
              </a:pattFill>
              <a:ln>
                <a:solidFill>
                  <a:schemeClr val="bg1"/>
                </a:solidFill>
              </a:ln>
              <a:effectLst/>
            </c:spPr>
          </c:dPt>
          <c:dLbls>
            <c:dLbl>
              <c:idx val="1"/>
              <c:layout>
                <c:manualLayout>
                  <c:x val="-0.0771921591141179"/>
                  <c:y val="-0.0088084651938472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7276895864362"/>
                  <c:y val="-0.022993569990808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2039.64</c:v>
                </c:pt>
                <c:pt idx="1">
                  <c:v>34.36</c:v>
                </c:pt>
                <c:pt idx="2">
                  <c:v>83.06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49082568807339"/>
          <c:y val="0.04104822128034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a:t>
            </a:r>
            <a:r>
              <a:rPr altLang="en-US"/>
              <a:t>三公经费</a:t>
            </a:r>
            <a:r>
              <a:rPr lang="en-US" altLang="zh-CN"/>
              <a:t>”</a:t>
            </a:r>
            <a:r>
              <a:rPr altLang="en-US"/>
              <a:t>财政拨款支出</a:t>
            </a:r>
            <a:endParaRPr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0.03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2605</Words>
  <Characters>14852</Characters>
  <Lines>123</Lines>
  <Paragraphs>34</Paragraphs>
  <TotalTime>47</TotalTime>
  <ScaleCrop>false</ScaleCrop>
  <LinksUpToDate>false</LinksUpToDate>
  <CharactersWithSpaces>17423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小玉</cp:lastModifiedBy>
  <cp:lastPrinted>2023-10-18T03:42:00Z</cp:lastPrinted>
  <dcterms:modified xsi:type="dcterms:W3CDTF">2023-10-18T05:56:00Z</dcterms:modified>
  <dc:title>四川省***</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6B70361D626A4593B4A9C4A901EC4F63</vt:lpwstr>
  </property>
</Properties>
</file>