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outlineLvl w:val="0"/>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bookmarkStart w:id="0" w:name="_Toc27665"/>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广元市人力资源和社会保障局</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2024年部门预算编制说明</w:t>
      </w:r>
    </w:p>
    <w:p>
      <w:pPr>
        <w:pStyle w:val="2"/>
        <w:rPr>
          <w:rFonts w:hint="eastAsia"/>
          <w:lang w:val="en-US" w:eastAsia="zh-CN"/>
        </w:rPr>
      </w:pPr>
    </w:p>
    <w:sdt>
      <w:sdtPr>
        <w:rPr>
          <w:rFonts w:ascii="宋体" w:hAnsi="宋体" w:eastAsia="宋体" w:cs="Times New Roman"/>
          <w:color w:val="auto"/>
          <w:kern w:val="2"/>
          <w:sz w:val="21"/>
          <w:szCs w:val="24"/>
          <w:lang w:val="en-US" w:eastAsia="zh-CN" w:bidi="ar-SA"/>
        </w:rPr>
        <w:id w:val="147458549"/>
        <w15:color w:val="DBDBDB"/>
        <w:docPartObj>
          <w:docPartGallery w:val="Table of Contents"/>
          <w:docPartUnique/>
        </w:docPartObj>
      </w:sdtPr>
      <w:sdtEndPr>
        <w:rPr>
          <w:rFonts w:ascii="宋体" w:hAnsi="宋体" w:eastAsia="宋体" w:cs="Times New Roman"/>
          <w:b/>
          <w:color w:val="auto"/>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b/>
              <w:bCs/>
              <w:sz w:val="32"/>
              <w:szCs w:val="32"/>
            </w:rPr>
          </w:pPr>
          <w:r>
            <w:rPr>
              <w:rFonts w:ascii="宋体" w:hAnsi="宋体" w:eastAsia="宋体"/>
              <w:b/>
              <w:bCs/>
              <w:sz w:val="32"/>
              <w:szCs w:val="32"/>
            </w:rPr>
            <w:t>目</w:t>
          </w:r>
          <w:r>
            <w:rPr>
              <w:rFonts w:hint="eastAsia" w:ascii="宋体" w:hAnsi="宋体"/>
              <w:b/>
              <w:bCs/>
              <w:sz w:val="32"/>
              <w:szCs w:val="32"/>
              <w:lang w:val="en-US" w:eastAsia="zh-CN"/>
            </w:rPr>
            <w:t xml:space="preserve">    </w:t>
          </w:r>
          <w:r>
            <w:rPr>
              <w:rFonts w:ascii="宋体" w:hAnsi="宋体" w:eastAsia="宋体"/>
              <w:b/>
              <w:bCs/>
              <w:sz w:val="32"/>
              <w:szCs w:val="32"/>
            </w:rPr>
            <w:t>录</w:t>
          </w:r>
        </w:p>
        <w:p>
          <w:pPr>
            <w:pStyle w:val="17"/>
            <w:tabs>
              <w:tab w:val="right" w:leader="dot" w:pos="8845"/>
            </w:tabs>
            <w:rPr>
              <w:b/>
            </w:rPr>
          </w:pPr>
          <w:r>
            <w:fldChar w:fldCharType="begin"/>
          </w:r>
          <w:r>
            <w:instrText xml:space="preserve">TOC \o "1-2" \h \u </w:instrText>
          </w:r>
          <w:r>
            <w:fldChar w:fldCharType="separate"/>
          </w:r>
          <w:r>
            <w:rPr>
              <w:b/>
            </w:rPr>
            <w:fldChar w:fldCharType="begin"/>
          </w:r>
          <w:r>
            <w:rPr>
              <w:b/>
            </w:rPr>
            <w:instrText xml:space="preserve"> HYPERLINK \l _Toc25974 </w:instrText>
          </w:r>
          <w:r>
            <w:rPr>
              <w:b/>
            </w:rPr>
            <w:fldChar w:fldCharType="separate"/>
          </w:r>
          <w:r>
            <w:rPr>
              <w:rFonts w:hint="eastAsia" w:ascii="黑体" w:hAnsi="黑体" w:eastAsia="黑体" w:cs="黑体"/>
              <w:b/>
              <w:szCs w:val="32"/>
              <w:lang w:val="en-US" w:eastAsia="zh-CN"/>
            </w:rPr>
            <w:t>一、基本职能及主要工作</w:t>
          </w:r>
          <w:r>
            <w:rPr>
              <w:b/>
            </w:rPr>
            <w:tab/>
          </w:r>
          <w:r>
            <w:rPr>
              <w:b/>
            </w:rPr>
            <w:fldChar w:fldCharType="begin"/>
          </w:r>
          <w:r>
            <w:rPr>
              <w:b/>
            </w:rPr>
            <w:instrText xml:space="preserve"> PAGEREF _Toc25974 \h </w:instrText>
          </w:r>
          <w:r>
            <w:rPr>
              <w:b/>
            </w:rPr>
            <w:fldChar w:fldCharType="separate"/>
          </w:r>
          <w:r>
            <w:rPr>
              <w:b/>
            </w:rPr>
            <w:t>1</w:t>
          </w:r>
          <w:r>
            <w:rPr>
              <w:b/>
            </w:rPr>
            <w:fldChar w:fldCharType="end"/>
          </w:r>
          <w:r>
            <w:rPr>
              <w:b/>
            </w:rPr>
            <w:fldChar w:fldCharType="end"/>
          </w:r>
        </w:p>
        <w:p>
          <w:pPr>
            <w:pStyle w:val="18"/>
            <w:tabs>
              <w:tab w:val="right" w:leader="dot" w:pos="8845"/>
            </w:tabs>
          </w:pPr>
          <w:r>
            <w:fldChar w:fldCharType="begin"/>
          </w:r>
          <w:r>
            <w:instrText xml:space="preserve"> HYPERLINK \l _Toc29194 </w:instrText>
          </w:r>
          <w:r>
            <w:fldChar w:fldCharType="separate"/>
          </w:r>
          <w:r>
            <w:rPr>
              <w:rFonts w:hint="eastAsia" w:ascii="楷体_GB2312" w:hAnsi="楷体_GB2312" w:eastAsia="楷体_GB2312" w:cs="楷体_GB2312"/>
              <w:szCs w:val="32"/>
            </w:rPr>
            <w:t>（一）</w:t>
          </w:r>
          <w:r>
            <w:rPr>
              <w:rFonts w:hint="eastAsia" w:ascii="楷体_GB2312" w:hAnsi="楷体_GB2312" w:eastAsia="楷体_GB2312" w:cs="楷体_GB2312"/>
              <w:szCs w:val="32"/>
              <w:lang w:val="en-US" w:eastAsia="zh-CN"/>
            </w:rPr>
            <w:t>广元</w:t>
          </w:r>
          <w:bookmarkStart w:id="32" w:name="_GoBack"/>
          <w:bookmarkEnd w:id="32"/>
          <w:r>
            <w:rPr>
              <w:rFonts w:hint="eastAsia" w:ascii="楷体_GB2312" w:hAnsi="楷体_GB2312" w:eastAsia="楷体_GB2312" w:cs="楷体_GB2312"/>
              <w:szCs w:val="32"/>
              <w:lang w:val="en-US" w:eastAsia="zh-CN"/>
            </w:rPr>
            <w:t>市人力资源和社会保障局</w:t>
          </w:r>
          <w:r>
            <w:rPr>
              <w:rFonts w:hint="eastAsia" w:ascii="楷体_GB2312" w:hAnsi="楷体_GB2312" w:eastAsia="楷体_GB2312" w:cs="楷体_GB2312"/>
              <w:szCs w:val="32"/>
            </w:rPr>
            <w:t>职能简介</w:t>
          </w:r>
          <w:r>
            <w:tab/>
          </w:r>
          <w:r>
            <w:fldChar w:fldCharType="begin"/>
          </w:r>
          <w:r>
            <w:instrText xml:space="preserve"> PAGEREF _Toc29194 \h </w:instrText>
          </w:r>
          <w:r>
            <w:fldChar w:fldCharType="separate"/>
          </w:r>
          <w:r>
            <w:t>1</w:t>
          </w:r>
          <w:r>
            <w:fldChar w:fldCharType="end"/>
          </w:r>
          <w:r>
            <w:fldChar w:fldCharType="end"/>
          </w:r>
        </w:p>
        <w:p>
          <w:pPr>
            <w:pStyle w:val="18"/>
            <w:tabs>
              <w:tab w:val="right" w:leader="dot" w:pos="8845"/>
            </w:tabs>
          </w:pPr>
          <w:r>
            <w:fldChar w:fldCharType="begin"/>
          </w:r>
          <w:r>
            <w:instrText xml:space="preserve"> HYPERLINK \l _Toc19125 </w:instrText>
          </w:r>
          <w:r>
            <w:fldChar w:fldCharType="separate"/>
          </w:r>
          <w:r>
            <w:rPr>
              <w:rFonts w:hint="eastAsia" w:ascii="楷体_GB2312" w:hAnsi="楷体_GB2312" w:eastAsia="楷体_GB2312" w:cs="楷体_GB2312"/>
              <w:szCs w:val="32"/>
            </w:rPr>
            <w:t>（二）</w:t>
          </w:r>
          <w:r>
            <w:rPr>
              <w:rFonts w:hint="eastAsia" w:ascii="楷体_GB2312" w:hAnsi="楷体_GB2312" w:eastAsia="楷体_GB2312" w:cs="楷体_GB2312"/>
              <w:szCs w:val="32"/>
              <w:lang w:val="en-US" w:eastAsia="zh-CN"/>
            </w:rPr>
            <w:t>广元市人力资源和社会保障局</w:t>
          </w:r>
          <w:r>
            <w:rPr>
              <w:rFonts w:hint="eastAsia" w:ascii="楷体_GB2312" w:hAnsi="楷体_GB2312" w:eastAsia="楷体_GB2312" w:cs="楷体_GB2312"/>
              <w:szCs w:val="32"/>
              <w:lang w:val="en-US"/>
            </w:rPr>
            <w:t>2024</w:t>
          </w:r>
          <w:r>
            <w:rPr>
              <w:rFonts w:hint="eastAsia" w:ascii="楷体_GB2312" w:hAnsi="楷体_GB2312" w:eastAsia="楷体_GB2312" w:cs="楷体_GB2312"/>
              <w:szCs w:val="32"/>
            </w:rPr>
            <w:t>年重点工作</w:t>
          </w:r>
          <w:r>
            <w:tab/>
          </w:r>
          <w:r>
            <w:fldChar w:fldCharType="begin"/>
          </w:r>
          <w:r>
            <w:instrText xml:space="preserve"> PAGEREF _Toc19125 \h </w:instrText>
          </w:r>
          <w:r>
            <w:fldChar w:fldCharType="separate"/>
          </w:r>
          <w:r>
            <w:t>3</w:t>
          </w:r>
          <w:r>
            <w:fldChar w:fldCharType="end"/>
          </w:r>
          <w:r>
            <w:fldChar w:fldCharType="end"/>
          </w:r>
        </w:p>
        <w:p>
          <w:pPr>
            <w:pStyle w:val="17"/>
            <w:tabs>
              <w:tab w:val="right" w:leader="dot" w:pos="8845"/>
            </w:tabs>
            <w:rPr>
              <w:b/>
            </w:rPr>
          </w:pPr>
          <w:r>
            <w:rPr>
              <w:b/>
            </w:rPr>
            <w:fldChar w:fldCharType="begin"/>
          </w:r>
          <w:r>
            <w:rPr>
              <w:b/>
            </w:rPr>
            <w:instrText xml:space="preserve"> HYPERLINK \l _Toc19307 </w:instrText>
          </w:r>
          <w:r>
            <w:rPr>
              <w:b/>
            </w:rPr>
            <w:fldChar w:fldCharType="separate"/>
          </w:r>
          <w:r>
            <w:rPr>
              <w:rFonts w:hint="eastAsia" w:ascii="黑体" w:hAnsi="黑体" w:eastAsia="黑体" w:cs="黑体"/>
              <w:b/>
              <w:szCs w:val="32"/>
              <w:lang w:val="en-US" w:eastAsia="zh-CN"/>
            </w:rPr>
            <w:t>二、部门预算单位构成</w:t>
          </w:r>
          <w:r>
            <w:rPr>
              <w:b/>
            </w:rPr>
            <w:tab/>
          </w:r>
          <w:r>
            <w:rPr>
              <w:b/>
            </w:rPr>
            <w:fldChar w:fldCharType="begin"/>
          </w:r>
          <w:r>
            <w:rPr>
              <w:b/>
            </w:rPr>
            <w:instrText xml:space="preserve"> PAGEREF _Toc19307 \h </w:instrText>
          </w:r>
          <w:r>
            <w:rPr>
              <w:b/>
            </w:rPr>
            <w:fldChar w:fldCharType="separate"/>
          </w:r>
          <w:r>
            <w:rPr>
              <w:b/>
            </w:rPr>
            <w:t>7</w:t>
          </w:r>
          <w:r>
            <w:rPr>
              <w:b/>
            </w:rPr>
            <w:fldChar w:fldCharType="end"/>
          </w:r>
          <w:r>
            <w:rPr>
              <w:b/>
            </w:rPr>
            <w:fldChar w:fldCharType="end"/>
          </w:r>
        </w:p>
        <w:p>
          <w:pPr>
            <w:pStyle w:val="17"/>
            <w:tabs>
              <w:tab w:val="right" w:leader="dot" w:pos="8845"/>
            </w:tabs>
            <w:rPr>
              <w:b/>
            </w:rPr>
          </w:pPr>
          <w:r>
            <w:rPr>
              <w:b/>
            </w:rPr>
            <w:fldChar w:fldCharType="begin"/>
          </w:r>
          <w:r>
            <w:rPr>
              <w:b/>
            </w:rPr>
            <w:instrText xml:space="preserve"> HYPERLINK \l _Toc22361 </w:instrText>
          </w:r>
          <w:r>
            <w:rPr>
              <w:b/>
            </w:rPr>
            <w:fldChar w:fldCharType="separate"/>
          </w:r>
          <w:r>
            <w:rPr>
              <w:rFonts w:hint="eastAsia" w:ascii="黑体" w:hAnsi="黑体" w:eastAsia="黑体" w:cs="黑体"/>
              <w:b/>
              <w:szCs w:val="32"/>
              <w:lang w:val="en-US" w:eastAsia="zh-CN"/>
            </w:rPr>
            <w:t>三、收支预算情况说明</w:t>
          </w:r>
          <w:r>
            <w:rPr>
              <w:b/>
            </w:rPr>
            <w:tab/>
          </w:r>
          <w:r>
            <w:rPr>
              <w:b/>
            </w:rPr>
            <w:fldChar w:fldCharType="begin"/>
          </w:r>
          <w:r>
            <w:rPr>
              <w:b/>
            </w:rPr>
            <w:instrText xml:space="preserve"> PAGEREF _Toc22361 \h </w:instrText>
          </w:r>
          <w:r>
            <w:rPr>
              <w:b/>
            </w:rPr>
            <w:fldChar w:fldCharType="separate"/>
          </w:r>
          <w:r>
            <w:rPr>
              <w:b/>
            </w:rPr>
            <w:t>7</w:t>
          </w:r>
          <w:r>
            <w:rPr>
              <w:b/>
            </w:rPr>
            <w:fldChar w:fldCharType="end"/>
          </w:r>
          <w:r>
            <w:rPr>
              <w:b/>
            </w:rPr>
            <w:fldChar w:fldCharType="end"/>
          </w:r>
        </w:p>
        <w:p>
          <w:pPr>
            <w:pStyle w:val="18"/>
            <w:tabs>
              <w:tab w:val="right" w:leader="dot" w:pos="8845"/>
            </w:tabs>
          </w:pPr>
          <w:r>
            <w:fldChar w:fldCharType="begin"/>
          </w:r>
          <w:r>
            <w:instrText xml:space="preserve"> HYPERLINK \l _Toc16083 </w:instrText>
          </w:r>
          <w:r>
            <w:fldChar w:fldCharType="separate"/>
          </w:r>
          <w:r>
            <w:rPr>
              <w:rFonts w:hint="eastAsia" w:ascii="楷体_GB2312" w:hAnsi="楷体_GB2312" w:eastAsia="楷体_GB2312" w:cs="楷体_GB2312"/>
              <w:szCs w:val="32"/>
              <w:lang w:val="en-US" w:eastAsia="zh-CN"/>
            </w:rPr>
            <w:t>（一）收入预算情况</w:t>
          </w:r>
          <w:r>
            <w:tab/>
          </w:r>
          <w:r>
            <w:fldChar w:fldCharType="begin"/>
          </w:r>
          <w:r>
            <w:instrText xml:space="preserve"> PAGEREF _Toc16083 \h </w:instrText>
          </w:r>
          <w:r>
            <w:fldChar w:fldCharType="separate"/>
          </w:r>
          <w:r>
            <w:t>7</w:t>
          </w:r>
          <w:r>
            <w:fldChar w:fldCharType="end"/>
          </w:r>
          <w:r>
            <w:fldChar w:fldCharType="end"/>
          </w:r>
        </w:p>
        <w:p>
          <w:pPr>
            <w:pStyle w:val="18"/>
            <w:tabs>
              <w:tab w:val="right" w:leader="dot" w:pos="8845"/>
            </w:tabs>
          </w:pPr>
          <w:r>
            <w:fldChar w:fldCharType="begin"/>
          </w:r>
          <w:r>
            <w:instrText xml:space="preserve"> HYPERLINK \l _Toc1606 </w:instrText>
          </w:r>
          <w:r>
            <w:fldChar w:fldCharType="separate"/>
          </w:r>
          <w:r>
            <w:rPr>
              <w:rFonts w:hint="eastAsia" w:ascii="楷体_GB2312" w:hAnsi="楷体_GB2312" w:eastAsia="楷体_GB2312" w:cs="楷体_GB2312"/>
              <w:szCs w:val="32"/>
              <w:lang w:val="en-US" w:eastAsia="zh-CN"/>
            </w:rPr>
            <w:t>（二）支出预算情况</w:t>
          </w:r>
          <w:r>
            <w:tab/>
          </w:r>
          <w:r>
            <w:fldChar w:fldCharType="begin"/>
          </w:r>
          <w:r>
            <w:instrText xml:space="preserve"> PAGEREF _Toc1606 \h </w:instrText>
          </w:r>
          <w:r>
            <w:fldChar w:fldCharType="separate"/>
          </w:r>
          <w:r>
            <w:t>8</w:t>
          </w:r>
          <w:r>
            <w:fldChar w:fldCharType="end"/>
          </w:r>
          <w:r>
            <w:fldChar w:fldCharType="end"/>
          </w:r>
        </w:p>
        <w:p>
          <w:pPr>
            <w:pStyle w:val="17"/>
            <w:tabs>
              <w:tab w:val="right" w:leader="dot" w:pos="8845"/>
            </w:tabs>
            <w:rPr>
              <w:b/>
            </w:rPr>
          </w:pPr>
          <w:r>
            <w:rPr>
              <w:b/>
            </w:rPr>
            <w:fldChar w:fldCharType="begin"/>
          </w:r>
          <w:r>
            <w:rPr>
              <w:b/>
            </w:rPr>
            <w:instrText xml:space="preserve"> HYPERLINK \l _Toc5939 </w:instrText>
          </w:r>
          <w:r>
            <w:rPr>
              <w:b/>
            </w:rPr>
            <w:fldChar w:fldCharType="separate"/>
          </w:r>
          <w:r>
            <w:rPr>
              <w:rFonts w:hint="eastAsia" w:ascii="黑体" w:hAnsi="黑体" w:eastAsia="黑体" w:cs="黑体"/>
              <w:b/>
              <w:szCs w:val="32"/>
              <w:lang w:val="en-US" w:eastAsia="zh-CN"/>
            </w:rPr>
            <w:t>四、财政拨款收支预算情况说明</w:t>
          </w:r>
          <w:r>
            <w:rPr>
              <w:b/>
            </w:rPr>
            <w:tab/>
          </w:r>
          <w:r>
            <w:rPr>
              <w:b/>
            </w:rPr>
            <w:fldChar w:fldCharType="begin"/>
          </w:r>
          <w:r>
            <w:rPr>
              <w:b/>
            </w:rPr>
            <w:instrText xml:space="preserve"> PAGEREF _Toc5939 \h </w:instrText>
          </w:r>
          <w:r>
            <w:rPr>
              <w:b/>
            </w:rPr>
            <w:fldChar w:fldCharType="separate"/>
          </w:r>
          <w:r>
            <w:rPr>
              <w:b/>
            </w:rPr>
            <w:t>8</w:t>
          </w:r>
          <w:r>
            <w:rPr>
              <w:b/>
            </w:rPr>
            <w:fldChar w:fldCharType="end"/>
          </w:r>
          <w:r>
            <w:rPr>
              <w:b/>
            </w:rPr>
            <w:fldChar w:fldCharType="end"/>
          </w:r>
        </w:p>
        <w:p>
          <w:pPr>
            <w:pStyle w:val="17"/>
            <w:tabs>
              <w:tab w:val="right" w:leader="dot" w:pos="8845"/>
            </w:tabs>
            <w:rPr>
              <w:b/>
            </w:rPr>
          </w:pPr>
          <w:r>
            <w:rPr>
              <w:b/>
            </w:rPr>
            <w:fldChar w:fldCharType="begin"/>
          </w:r>
          <w:r>
            <w:rPr>
              <w:b/>
            </w:rPr>
            <w:instrText xml:space="preserve"> HYPERLINK \l _Toc19405 </w:instrText>
          </w:r>
          <w:r>
            <w:rPr>
              <w:b/>
            </w:rPr>
            <w:fldChar w:fldCharType="separate"/>
          </w:r>
          <w:r>
            <w:rPr>
              <w:rFonts w:hint="eastAsia" w:ascii="黑体" w:hAnsi="黑体" w:eastAsia="黑体" w:cs="黑体"/>
              <w:b/>
              <w:szCs w:val="32"/>
              <w:lang w:val="en-US" w:eastAsia="zh-CN"/>
            </w:rPr>
            <w:t>五、一般公共预算当年拨款情况说明</w:t>
          </w:r>
          <w:r>
            <w:rPr>
              <w:b/>
            </w:rPr>
            <w:tab/>
          </w:r>
          <w:r>
            <w:rPr>
              <w:b/>
            </w:rPr>
            <w:fldChar w:fldCharType="begin"/>
          </w:r>
          <w:r>
            <w:rPr>
              <w:b/>
            </w:rPr>
            <w:instrText xml:space="preserve"> PAGEREF _Toc19405 \h </w:instrText>
          </w:r>
          <w:r>
            <w:rPr>
              <w:b/>
            </w:rPr>
            <w:fldChar w:fldCharType="separate"/>
          </w:r>
          <w:r>
            <w:rPr>
              <w:b/>
            </w:rPr>
            <w:t>8</w:t>
          </w:r>
          <w:r>
            <w:rPr>
              <w:b/>
            </w:rPr>
            <w:fldChar w:fldCharType="end"/>
          </w:r>
          <w:r>
            <w:rPr>
              <w:b/>
            </w:rPr>
            <w:fldChar w:fldCharType="end"/>
          </w:r>
        </w:p>
        <w:p>
          <w:pPr>
            <w:pStyle w:val="18"/>
            <w:tabs>
              <w:tab w:val="right" w:leader="dot" w:pos="8845"/>
            </w:tabs>
          </w:pPr>
          <w:r>
            <w:fldChar w:fldCharType="begin"/>
          </w:r>
          <w:r>
            <w:instrText xml:space="preserve"> HYPERLINK \l _Toc24655 </w:instrText>
          </w:r>
          <w:r>
            <w:fldChar w:fldCharType="separate"/>
          </w:r>
          <w:r>
            <w:rPr>
              <w:rFonts w:hint="eastAsia" w:ascii="楷体_GB2312" w:hAnsi="楷体_GB2312" w:eastAsia="楷体_GB2312" w:cs="楷体_GB2312"/>
              <w:szCs w:val="32"/>
              <w:lang w:val="en-US" w:eastAsia="zh-CN"/>
            </w:rPr>
            <w:t>（一）一般公共预算当年拨款规模变化情况</w:t>
          </w:r>
          <w:r>
            <w:tab/>
          </w:r>
          <w:r>
            <w:fldChar w:fldCharType="begin"/>
          </w:r>
          <w:r>
            <w:instrText xml:space="preserve"> PAGEREF _Toc24655 \h </w:instrText>
          </w:r>
          <w:r>
            <w:fldChar w:fldCharType="separate"/>
          </w:r>
          <w:r>
            <w:t>8</w:t>
          </w:r>
          <w:r>
            <w:fldChar w:fldCharType="end"/>
          </w:r>
          <w:r>
            <w:fldChar w:fldCharType="end"/>
          </w:r>
        </w:p>
        <w:p>
          <w:pPr>
            <w:pStyle w:val="18"/>
            <w:tabs>
              <w:tab w:val="right" w:leader="dot" w:pos="8845"/>
            </w:tabs>
          </w:pPr>
          <w:r>
            <w:fldChar w:fldCharType="begin"/>
          </w:r>
          <w:r>
            <w:instrText xml:space="preserve"> HYPERLINK \l _Toc4740 </w:instrText>
          </w:r>
          <w:r>
            <w:fldChar w:fldCharType="separate"/>
          </w:r>
          <w:r>
            <w:rPr>
              <w:rFonts w:hint="eastAsia" w:ascii="楷体_GB2312" w:hAnsi="楷体_GB2312" w:eastAsia="楷体_GB2312" w:cs="楷体_GB2312"/>
              <w:szCs w:val="32"/>
              <w:lang w:val="en-US" w:eastAsia="zh-CN"/>
            </w:rPr>
            <w:t>（二）一般公共预算当年拨款结构情况</w:t>
          </w:r>
          <w:r>
            <w:tab/>
          </w:r>
          <w:r>
            <w:fldChar w:fldCharType="begin"/>
          </w:r>
          <w:r>
            <w:instrText xml:space="preserve"> PAGEREF _Toc4740 \h </w:instrText>
          </w:r>
          <w:r>
            <w:fldChar w:fldCharType="separate"/>
          </w:r>
          <w:r>
            <w:t>8</w:t>
          </w:r>
          <w:r>
            <w:fldChar w:fldCharType="end"/>
          </w:r>
          <w:r>
            <w:fldChar w:fldCharType="end"/>
          </w:r>
        </w:p>
        <w:p>
          <w:pPr>
            <w:pStyle w:val="18"/>
            <w:tabs>
              <w:tab w:val="right" w:leader="dot" w:pos="8845"/>
            </w:tabs>
          </w:pPr>
          <w:r>
            <w:fldChar w:fldCharType="begin"/>
          </w:r>
          <w:r>
            <w:instrText xml:space="preserve"> HYPERLINK \l _Toc22695 </w:instrText>
          </w:r>
          <w:r>
            <w:fldChar w:fldCharType="separate"/>
          </w:r>
          <w:r>
            <w:rPr>
              <w:rFonts w:hint="eastAsia" w:ascii="楷体_GB2312" w:hAnsi="楷体_GB2312" w:eastAsia="楷体_GB2312" w:cs="楷体_GB2312"/>
              <w:szCs w:val="32"/>
              <w:lang w:val="en-US" w:eastAsia="zh-CN"/>
            </w:rPr>
            <w:t>（三）一般公共预算当年拨款具体使用情况</w:t>
          </w:r>
          <w:r>
            <w:tab/>
          </w:r>
          <w:r>
            <w:fldChar w:fldCharType="begin"/>
          </w:r>
          <w:r>
            <w:instrText xml:space="preserve"> PAGEREF _Toc22695 \h </w:instrText>
          </w:r>
          <w:r>
            <w:fldChar w:fldCharType="separate"/>
          </w:r>
          <w:r>
            <w:t>9</w:t>
          </w:r>
          <w:r>
            <w:fldChar w:fldCharType="end"/>
          </w:r>
          <w:r>
            <w:fldChar w:fldCharType="end"/>
          </w:r>
        </w:p>
        <w:p>
          <w:pPr>
            <w:pStyle w:val="17"/>
            <w:tabs>
              <w:tab w:val="right" w:leader="dot" w:pos="8845"/>
            </w:tabs>
            <w:rPr>
              <w:b/>
            </w:rPr>
          </w:pPr>
          <w:r>
            <w:rPr>
              <w:b/>
            </w:rPr>
            <w:fldChar w:fldCharType="begin"/>
          </w:r>
          <w:r>
            <w:rPr>
              <w:b/>
            </w:rPr>
            <w:instrText xml:space="preserve"> HYPERLINK \l _Toc11306 </w:instrText>
          </w:r>
          <w:r>
            <w:rPr>
              <w:b/>
            </w:rPr>
            <w:fldChar w:fldCharType="separate"/>
          </w:r>
          <w:r>
            <w:rPr>
              <w:rFonts w:hint="eastAsia" w:ascii="黑体" w:hAnsi="黑体" w:eastAsia="黑体" w:cs="黑体"/>
              <w:b/>
              <w:szCs w:val="32"/>
              <w:lang w:val="en-US" w:eastAsia="zh-CN"/>
            </w:rPr>
            <w:t>六、一般公共预算基本支出情况说明</w:t>
          </w:r>
          <w:r>
            <w:rPr>
              <w:b/>
            </w:rPr>
            <w:tab/>
          </w:r>
          <w:r>
            <w:rPr>
              <w:b/>
            </w:rPr>
            <w:fldChar w:fldCharType="begin"/>
          </w:r>
          <w:r>
            <w:rPr>
              <w:b/>
            </w:rPr>
            <w:instrText xml:space="preserve"> PAGEREF _Toc11306 \h </w:instrText>
          </w:r>
          <w:r>
            <w:rPr>
              <w:b/>
            </w:rPr>
            <w:fldChar w:fldCharType="separate"/>
          </w:r>
          <w:r>
            <w:rPr>
              <w:b/>
            </w:rPr>
            <w:t>12</w:t>
          </w:r>
          <w:r>
            <w:rPr>
              <w:b/>
            </w:rPr>
            <w:fldChar w:fldCharType="end"/>
          </w:r>
          <w:r>
            <w:rPr>
              <w:b/>
            </w:rPr>
            <w:fldChar w:fldCharType="end"/>
          </w:r>
        </w:p>
        <w:p>
          <w:pPr>
            <w:pStyle w:val="17"/>
            <w:tabs>
              <w:tab w:val="right" w:leader="dot" w:pos="8845"/>
            </w:tabs>
            <w:rPr>
              <w:b/>
            </w:rPr>
          </w:pPr>
          <w:r>
            <w:rPr>
              <w:b/>
            </w:rPr>
            <w:fldChar w:fldCharType="begin"/>
          </w:r>
          <w:r>
            <w:rPr>
              <w:b/>
            </w:rPr>
            <w:instrText xml:space="preserve"> HYPERLINK \l _Toc19276 </w:instrText>
          </w:r>
          <w:r>
            <w:rPr>
              <w:b/>
            </w:rPr>
            <w:fldChar w:fldCharType="separate"/>
          </w:r>
          <w:r>
            <w:rPr>
              <w:rFonts w:hint="eastAsia" w:ascii="黑体" w:hAnsi="黑体" w:eastAsia="黑体" w:cs="黑体"/>
              <w:b/>
              <w:szCs w:val="32"/>
              <w:lang w:val="en-US" w:eastAsia="zh-CN"/>
            </w:rPr>
            <w:t>七、 “三公”经费财政拨款预算安排情况说明</w:t>
          </w:r>
          <w:r>
            <w:rPr>
              <w:b/>
            </w:rPr>
            <w:tab/>
          </w:r>
          <w:r>
            <w:rPr>
              <w:b/>
            </w:rPr>
            <w:fldChar w:fldCharType="begin"/>
          </w:r>
          <w:r>
            <w:rPr>
              <w:b/>
            </w:rPr>
            <w:instrText xml:space="preserve"> PAGEREF _Toc19276 \h </w:instrText>
          </w:r>
          <w:r>
            <w:rPr>
              <w:b/>
            </w:rPr>
            <w:fldChar w:fldCharType="separate"/>
          </w:r>
          <w:r>
            <w:rPr>
              <w:b/>
            </w:rPr>
            <w:t>13</w:t>
          </w:r>
          <w:r>
            <w:rPr>
              <w:b/>
            </w:rPr>
            <w:fldChar w:fldCharType="end"/>
          </w:r>
          <w:r>
            <w:rPr>
              <w:b/>
            </w:rPr>
            <w:fldChar w:fldCharType="end"/>
          </w:r>
        </w:p>
        <w:p>
          <w:pPr>
            <w:pStyle w:val="18"/>
            <w:tabs>
              <w:tab w:val="right" w:leader="dot" w:pos="8845"/>
            </w:tabs>
          </w:pPr>
          <w:r>
            <w:fldChar w:fldCharType="begin"/>
          </w:r>
          <w:r>
            <w:instrText xml:space="preserve"> HYPERLINK \l _Toc16019 </w:instrText>
          </w:r>
          <w:r>
            <w:fldChar w:fldCharType="separate"/>
          </w:r>
          <w:r>
            <w:rPr>
              <w:rFonts w:hint="eastAsia" w:ascii="楷体_GB2312" w:hAnsi="楷体_GB2312" w:eastAsia="楷体_GB2312" w:cs="楷体_GB2312"/>
              <w:szCs w:val="32"/>
              <w:lang w:val="en-US" w:eastAsia="zh-CN"/>
            </w:rPr>
            <w:t>（一） 公务接待费</w:t>
          </w:r>
          <w:r>
            <w:tab/>
          </w:r>
          <w:r>
            <w:fldChar w:fldCharType="begin"/>
          </w:r>
          <w:r>
            <w:instrText xml:space="preserve"> PAGEREF _Toc16019 \h </w:instrText>
          </w:r>
          <w:r>
            <w:fldChar w:fldCharType="separate"/>
          </w:r>
          <w:r>
            <w:t>13</w:t>
          </w:r>
          <w:r>
            <w:fldChar w:fldCharType="end"/>
          </w:r>
          <w:r>
            <w:fldChar w:fldCharType="end"/>
          </w:r>
        </w:p>
        <w:p>
          <w:pPr>
            <w:pStyle w:val="18"/>
            <w:tabs>
              <w:tab w:val="right" w:leader="dot" w:pos="8845"/>
            </w:tabs>
          </w:pPr>
          <w:r>
            <w:fldChar w:fldCharType="begin"/>
          </w:r>
          <w:r>
            <w:instrText xml:space="preserve"> HYPERLINK \l _Toc22951 </w:instrText>
          </w:r>
          <w:r>
            <w:fldChar w:fldCharType="separate"/>
          </w:r>
          <w:r>
            <w:rPr>
              <w:rFonts w:hint="eastAsia" w:ascii="楷体_GB2312" w:hAnsi="楷体_GB2312" w:eastAsia="楷体_GB2312" w:cs="楷体_GB2312"/>
              <w:szCs w:val="32"/>
              <w:lang w:val="en-US" w:eastAsia="zh-CN"/>
            </w:rPr>
            <w:t>（二） 公务用车购置及运行维护费</w:t>
          </w:r>
          <w:r>
            <w:tab/>
          </w:r>
          <w:r>
            <w:fldChar w:fldCharType="begin"/>
          </w:r>
          <w:r>
            <w:instrText xml:space="preserve"> PAGEREF _Toc22951 \h </w:instrText>
          </w:r>
          <w:r>
            <w:fldChar w:fldCharType="separate"/>
          </w:r>
          <w:r>
            <w:t>13</w:t>
          </w:r>
          <w:r>
            <w:fldChar w:fldCharType="end"/>
          </w:r>
          <w:r>
            <w:fldChar w:fldCharType="end"/>
          </w:r>
        </w:p>
        <w:p>
          <w:pPr>
            <w:pStyle w:val="18"/>
            <w:tabs>
              <w:tab w:val="right" w:leader="dot" w:pos="8845"/>
            </w:tabs>
          </w:pPr>
          <w:r>
            <w:fldChar w:fldCharType="begin"/>
          </w:r>
          <w:r>
            <w:instrText xml:space="preserve"> HYPERLINK \l _Toc13537 </w:instrText>
          </w:r>
          <w:r>
            <w:fldChar w:fldCharType="separate"/>
          </w:r>
          <w:r>
            <w:rPr>
              <w:rFonts w:hint="eastAsia" w:ascii="楷体_GB2312" w:hAnsi="楷体_GB2312" w:eastAsia="楷体_GB2312" w:cs="楷体_GB2312"/>
              <w:szCs w:val="32"/>
              <w:lang w:val="en-US" w:eastAsia="zh-CN"/>
            </w:rPr>
            <w:t>（三） 因公出国（境）经费</w:t>
          </w:r>
          <w:r>
            <w:tab/>
          </w:r>
          <w:r>
            <w:fldChar w:fldCharType="begin"/>
          </w:r>
          <w:r>
            <w:instrText xml:space="preserve"> PAGEREF _Toc13537 \h </w:instrText>
          </w:r>
          <w:r>
            <w:fldChar w:fldCharType="separate"/>
          </w:r>
          <w:r>
            <w:t>14</w:t>
          </w:r>
          <w:r>
            <w:fldChar w:fldCharType="end"/>
          </w:r>
          <w:r>
            <w:fldChar w:fldCharType="end"/>
          </w:r>
        </w:p>
        <w:p>
          <w:pPr>
            <w:pStyle w:val="17"/>
            <w:tabs>
              <w:tab w:val="right" w:leader="dot" w:pos="8845"/>
            </w:tabs>
            <w:rPr>
              <w:b/>
            </w:rPr>
          </w:pPr>
          <w:r>
            <w:rPr>
              <w:b/>
            </w:rPr>
            <w:fldChar w:fldCharType="begin"/>
          </w:r>
          <w:r>
            <w:rPr>
              <w:b/>
            </w:rPr>
            <w:instrText xml:space="preserve"> HYPERLINK \l _Toc15427 </w:instrText>
          </w:r>
          <w:r>
            <w:rPr>
              <w:b/>
            </w:rPr>
            <w:fldChar w:fldCharType="separate"/>
          </w:r>
          <w:r>
            <w:rPr>
              <w:rFonts w:hint="eastAsia" w:ascii="黑体" w:hAnsi="黑体" w:eastAsia="黑体" w:cs="黑体"/>
              <w:b/>
              <w:szCs w:val="32"/>
              <w:lang w:val="en-US" w:eastAsia="zh-CN"/>
            </w:rPr>
            <w:t>八、 政府性基金预算支出情况说明</w:t>
          </w:r>
          <w:r>
            <w:rPr>
              <w:b/>
            </w:rPr>
            <w:tab/>
          </w:r>
          <w:r>
            <w:rPr>
              <w:b/>
            </w:rPr>
            <w:fldChar w:fldCharType="begin"/>
          </w:r>
          <w:r>
            <w:rPr>
              <w:b/>
            </w:rPr>
            <w:instrText xml:space="preserve"> PAGEREF _Toc15427 \h </w:instrText>
          </w:r>
          <w:r>
            <w:rPr>
              <w:b/>
            </w:rPr>
            <w:fldChar w:fldCharType="separate"/>
          </w:r>
          <w:r>
            <w:rPr>
              <w:b/>
            </w:rPr>
            <w:t>14</w:t>
          </w:r>
          <w:r>
            <w:rPr>
              <w:b/>
            </w:rPr>
            <w:fldChar w:fldCharType="end"/>
          </w:r>
          <w:r>
            <w:rPr>
              <w:b/>
            </w:rPr>
            <w:fldChar w:fldCharType="end"/>
          </w:r>
        </w:p>
        <w:p>
          <w:pPr>
            <w:pStyle w:val="17"/>
            <w:tabs>
              <w:tab w:val="right" w:leader="dot" w:pos="8845"/>
            </w:tabs>
            <w:rPr>
              <w:b/>
            </w:rPr>
          </w:pPr>
          <w:r>
            <w:rPr>
              <w:b/>
            </w:rPr>
            <w:fldChar w:fldCharType="begin"/>
          </w:r>
          <w:r>
            <w:rPr>
              <w:b/>
            </w:rPr>
            <w:instrText xml:space="preserve"> HYPERLINK \l _Toc16280 </w:instrText>
          </w:r>
          <w:r>
            <w:rPr>
              <w:b/>
            </w:rPr>
            <w:fldChar w:fldCharType="separate"/>
          </w:r>
          <w:r>
            <w:rPr>
              <w:rFonts w:hint="eastAsia" w:ascii="黑体" w:hAnsi="黑体" w:eastAsia="黑体" w:cs="黑体"/>
              <w:b/>
              <w:szCs w:val="32"/>
              <w:lang w:val="en-US" w:eastAsia="zh-CN"/>
            </w:rPr>
            <w:t>九、 国有资本经营预算支出情况说明</w:t>
          </w:r>
          <w:r>
            <w:rPr>
              <w:b/>
            </w:rPr>
            <w:tab/>
          </w:r>
          <w:r>
            <w:rPr>
              <w:b/>
            </w:rPr>
            <w:fldChar w:fldCharType="begin"/>
          </w:r>
          <w:r>
            <w:rPr>
              <w:b/>
            </w:rPr>
            <w:instrText xml:space="preserve"> PAGEREF _Toc16280 \h </w:instrText>
          </w:r>
          <w:r>
            <w:rPr>
              <w:b/>
            </w:rPr>
            <w:fldChar w:fldCharType="separate"/>
          </w:r>
          <w:r>
            <w:rPr>
              <w:b/>
            </w:rPr>
            <w:t>14</w:t>
          </w:r>
          <w:r>
            <w:rPr>
              <w:b/>
            </w:rPr>
            <w:fldChar w:fldCharType="end"/>
          </w:r>
          <w:r>
            <w:rPr>
              <w:b/>
            </w:rPr>
            <w:fldChar w:fldCharType="end"/>
          </w:r>
        </w:p>
        <w:p>
          <w:pPr>
            <w:pStyle w:val="17"/>
            <w:tabs>
              <w:tab w:val="right" w:leader="dot" w:pos="8845"/>
            </w:tabs>
            <w:rPr>
              <w:b/>
            </w:rPr>
          </w:pPr>
          <w:r>
            <w:rPr>
              <w:b/>
            </w:rPr>
            <w:fldChar w:fldCharType="begin"/>
          </w:r>
          <w:r>
            <w:rPr>
              <w:b/>
            </w:rPr>
            <w:instrText xml:space="preserve"> HYPERLINK \l _Toc31511 </w:instrText>
          </w:r>
          <w:r>
            <w:rPr>
              <w:b/>
            </w:rPr>
            <w:fldChar w:fldCharType="separate"/>
          </w:r>
          <w:r>
            <w:rPr>
              <w:rFonts w:hint="eastAsia" w:ascii="黑体" w:hAnsi="黑体" w:eastAsia="黑体" w:cs="黑体"/>
              <w:b/>
              <w:szCs w:val="32"/>
              <w:lang w:val="en-US" w:eastAsia="zh-CN"/>
            </w:rPr>
            <w:t>十、 其他重要事项的情况说明</w:t>
          </w:r>
          <w:r>
            <w:rPr>
              <w:b/>
            </w:rPr>
            <w:tab/>
          </w:r>
          <w:r>
            <w:rPr>
              <w:b/>
            </w:rPr>
            <w:fldChar w:fldCharType="begin"/>
          </w:r>
          <w:r>
            <w:rPr>
              <w:b/>
            </w:rPr>
            <w:instrText xml:space="preserve"> PAGEREF _Toc31511 \h </w:instrText>
          </w:r>
          <w:r>
            <w:rPr>
              <w:b/>
            </w:rPr>
            <w:fldChar w:fldCharType="separate"/>
          </w:r>
          <w:r>
            <w:rPr>
              <w:b/>
            </w:rPr>
            <w:t>14</w:t>
          </w:r>
          <w:r>
            <w:rPr>
              <w:b/>
            </w:rPr>
            <w:fldChar w:fldCharType="end"/>
          </w:r>
          <w:r>
            <w:rPr>
              <w:b/>
            </w:rPr>
            <w:fldChar w:fldCharType="end"/>
          </w:r>
        </w:p>
        <w:p>
          <w:pPr>
            <w:pStyle w:val="18"/>
            <w:tabs>
              <w:tab w:val="right" w:leader="dot" w:pos="8845"/>
            </w:tabs>
          </w:pPr>
          <w:r>
            <w:fldChar w:fldCharType="begin"/>
          </w:r>
          <w:r>
            <w:instrText xml:space="preserve"> HYPERLINK \l _Toc597 </w:instrText>
          </w:r>
          <w:r>
            <w:fldChar w:fldCharType="separate"/>
          </w:r>
          <w:r>
            <w:rPr>
              <w:rFonts w:hint="eastAsia" w:ascii="楷体_GB2312" w:hAnsi="楷体_GB2312" w:eastAsia="楷体_GB2312" w:cs="楷体_GB2312"/>
              <w:szCs w:val="32"/>
              <w:lang w:val="en-US" w:eastAsia="zh-CN"/>
            </w:rPr>
            <w:t>（一）机关运行经费</w:t>
          </w:r>
          <w:r>
            <w:tab/>
          </w:r>
          <w:r>
            <w:fldChar w:fldCharType="begin"/>
          </w:r>
          <w:r>
            <w:instrText xml:space="preserve"> PAGEREF _Toc597 \h </w:instrText>
          </w:r>
          <w:r>
            <w:fldChar w:fldCharType="separate"/>
          </w:r>
          <w:r>
            <w:t>14</w:t>
          </w:r>
          <w:r>
            <w:fldChar w:fldCharType="end"/>
          </w:r>
          <w:r>
            <w:fldChar w:fldCharType="end"/>
          </w:r>
        </w:p>
        <w:p>
          <w:pPr>
            <w:pStyle w:val="18"/>
            <w:tabs>
              <w:tab w:val="right" w:leader="dot" w:pos="8845"/>
            </w:tabs>
          </w:pPr>
          <w:r>
            <w:fldChar w:fldCharType="begin"/>
          </w:r>
          <w:r>
            <w:instrText xml:space="preserve"> HYPERLINK \l _Toc24798 </w:instrText>
          </w:r>
          <w:r>
            <w:fldChar w:fldCharType="separate"/>
          </w:r>
          <w:r>
            <w:rPr>
              <w:rFonts w:hint="eastAsia" w:ascii="楷体_GB2312" w:hAnsi="楷体_GB2312" w:eastAsia="楷体_GB2312" w:cs="楷体_GB2312"/>
              <w:kern w:val="2"/>
              <w:szCs w:val="32"/>
              <w:lang w:val="en-US" w:eastAsia="zh-CN" w:bidi="ar-SA"/>
            </w:rPr>
            <w:t>（二）</w:t>
          </w:r>
          <w:r>
            <w:rPr>
              <w:rFonts w:hint="eastAsia" w:ascii="楷体_GB2312" w:hAnsi="楷体_GB2312" w:eastAsia="楷体_GB2312" w:cs="楷体_GB2312"/>
              <w:szCs w:val="32"/>
              <w:lang w:val="en-US" w:eastAsia="zh-CN"/>
            </w:rPr>
            <w:t>政府采购情况</w:t>
          </w:r>
          <w:r>
            <w:tab/>
          </w:r>
          <w:r>
            <w:fldChar w:fldCharType="begin"/>
          </w:r>
          <w:r>
            <w:instrText xml:space="preserve"> PAGEREF _Toc24798 \h </w:instrText>
          </w:r>
          <w:r>
            <w:fldChar w:fldCharType="separate"/>
          </w:r>
          <w:r>
            <w:t>14</w:t>
          </w:r>
          <w:r>
            <w:fldChar w:fldCharType="end"/>
          </w:r>
          <w:r>
            <w:fldChar w:fldCharType="end"/>
          </w:r>
        </w:p>
        <w:p>
          <w:pPr>
            <w:pStyle w:val="18"/>
            <w:tabs>
              <w:tab w:val="right" w:leader="dot" w:pos="8845"/>
            </w:tabs>
          </w:pPr>
          <w:r>
            <w:fldChar w:fldCharType="begin"/>
          </w:r>
          <w:r>
            <w:instrText xml:space="preserve"> HYPERLINK \l _Toc17449 </w:instrText>
          </w:r>
          <w:r>
            <w:fldChar w:fldCharType="separate"/>
          </w:r>
          <w:r>
            <w:rPr>
              <w:rFonts w:hint="eastAsia" w:ascii="仿宋_GB2312" w:hAnsi="仿宋_GB2312" w:eastAsia="仿宋_GB2312" w:cs="仿宋_GB2312"/>
              <w:kern w:val="2"/>
              <w:szCs w:val="32"/>
              <w:lang w:val="en-US" w:eastAsia="zh-CN" w:bidi="ar-SA"/>
            </w:rPr>
            <w:t>（三）</w:t>
          </w:r>
          <w:r>
            <w:rPr>
              <w:rFonts w:hint="eastAsia" w:ascii="楷体_GB2312" w:hAnsi="楷体_GB2312" w:eastAsia="楷体_GB2312" w:cs="楷体_GB2312"/>
              <w:szCs w:val="32"/>
              <w:lang w:val="en-US" w:eastAsia="zh-CN"/>
            </w:rPr>
            <w:t>国有资产占有使用情况</w:t>
          </w:r>
          <w:r>
            <w:tab/>
          </w:r>
          <w:r>
            <w:fldChar w:fldCharType="begin"/>
          </w:r>
          <w:r>
            <w:instrText xml:space="preserve"> PAGEREF _Toc17449 \h </w:instrText>
          </w:r>
          <w:r>
            <w:fldChar w:fldCharType="separate"/>
          </w:r>
          <w:r>
            <w:t>15</w:t>
          </w:r>
          <w:r>
            <w:fldChar w:fldCharType="end"/>
          </w:r>
          <w:r>
            <w:fldChar w:fldCharType="end"/>
          </w:r>
        </w:p>
        <w:p>
          <w:pPr>
            <w:pStyle w:val="18"/>
            <w:tabs>
              <w:tab w:val="right" w:leader="dot" w:pos="8845"/>
            </w:tabs>
          </w:pPr>
          <w:r>
            <w:fldChar w:fldCharType="begin"/>
          </w:r>
          <w:r>
            <w:instrText xml:space="preserve"> HYPERLINK \l _Toc19077 </w:instrText>
          </w:r>
          <w:r>
            <w:fldChar w:fldCharType="separate"/>
          </w:r>
          <w:r>
            <w:rPr>
              <w:rFonts w:hint="eastAsia" w:ascii="楷体_GB2312" w:hAnsi="楷体_GB2312" w:eastAsia="楷体_GB2312" w:cs="楷体_GB2312"/>
              <w:szCs w:val="32"/>
              <w:lang w:val="en-US" w:eastAsia="zh-CN"/>
            </w:rPr>
            <w:t>（四） 绩效目标设置情况</w:t>
          </w:r>
          <w:r>
            <w:tab/>
          </w:r>
          <w:r>
            <w:fldChar w:fldCharType="begin"/>
          </w:r>
          <w:r>
            <w:instrText xml:space="preserve"> PAGEREF _Toc19077 \h </w:instrText>
          </w:r>
          <w:r>
            <w:fldChar w:fldCharType="separate"/>
          </w:r>
          <w:r>
            <w:t>15</w:t>
          </w:r>
          <w:r>
            <w:fldChar w:fldCharType="end"/>
          </w:r>
          <w:r>
            <w:fldChar w:fldCharType="end"/>
          </w:r>
        </w:p>
        <w:p>
          <w:pPr>
            <w:pStyle w:val="17"/>
            <w:tabs>
              <w:tab w:val="right" w:leader="dot" w:pos="8845"/>
            </w:tabs>
            <w:rPr>
              <w:b/>
            </w:rPr>
          </w:pPr>
          <w:r>
            <w:rPr>
              <w:b/>
            </w:rPr>
            <w:fldChar w:fldCharType="begin"/>
          </w:r>
          <w:r>
            <w:rPr>
              <w:b/>
            </w:rPr>
            <w:instrText xml:space="preserve"> HYPERLINK \l _Toc24556 </w:instrText>
          </w:r>
          <w:r>
            <w:rPr>
              <w:b/>
            </w:rPr>
            <w:fldChar w:fldCharType="separate"/>
          </w:r>
          <w:r>
            <w:rPr>
              <w:rFonts w:hint="eastAsia" w:ascii="黑体" w:hAnsi="黑体" w:eastAsia="黑体" w:cs="黑体"/>
              <w:b/>
              <w:szCs w:val="32"/>
              <w:lang w:val="en-US" w:eastAsia="zh-CN"/>
            </w:rPr>
            <w:t>十一、名词解释</w:t>
          </w:r>
          <w:r>
            <w:rPr>
              <w:b/>
            </w:rPr>
            <w:tab/>
          </w:r>
          <w:r>
            <w:rPr>
              <w:b/>
            </w:rPr>
            <w:fldChar w:fldCharType="begin"/>
          </w:r>
          <w:r>
            <w:rPr>
              <w:b/>
            </w:rPr>
            <w:instrText xml:space="preserve"> PAGEREF _Toc24556 \h </w:instrText>
          </w:r>
          <w:r>
            <w:rPr>
              <w:b/>
            </w:rPr>
            <w:fldChar w:fldCharType="separate"/>
          </w:r>
          <w:r>
            <w:rPr>
              <w:b/>
            </w:rPr>
            <w:t>15</w:t>
          </w:r>
          <w:r>
            <w:rPr>
              <w:b/>
            </w:rPr>
            <w:fldChar w:fldCharType="end"/>
          </w:r>
          <w:r>
            <w:rPr>
              <w:b/>
            </w:rPr>
            <w:fldChar w:fldCharType="end"/>
          </w:r>
        </w:p>
        <w:p>
          <w:r>
            <w:rPr>
              <w:b/>
            </w:rPr>
            <w:fldChar w:fldCharType="end"/>
          </w:r>
        </w:p>
      </w:sdtContent>
    </w:sdt>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lang w:val="en-US" w:eastAsia="zh-CN"/>
        </w:rPr>
      </w:pPr>
      <w:bookmarkStart w:id="1" w:name="_Toc25974"/>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lang w:val="en-US" w:eastAsia="zh-CN"/>
        </w:rPr>
        <w:sectPr>
          <w:pgSz w:w="11906" w:h="16838"/>
          <w:pgMar w:top="2098" w:right="1474" w:bottom="1984" w:left="1587" w:header="720" w:footer="1559"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一、基本职能及主要工作</w:t>
      </w:r>
      <w:bookmarkEnd w:id="1"/>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rPr>
      </w:pPr>
      <w:bookmarkStart w:id="2" w:name="_Toc29194"/>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广元市人力资源和社会保障局</w:t>
      </w:r>
      <w:r>
        <w:rPr>
          <w:rFonts w:hint="eastAsia" w:ascii="楷体_GB2312" w:hAnsi="楷体_GB2312" w:eastAsia="楷体_GB2312" w:cs="楷体_GB2312"/>
          <w:sz w:val="32"/>
          <w:szCs w:val="32"/>
        </w:rPr>
        <w:t>职能简介</w:t>
      </w:r>
      <w:bookmarkEnd w:id="2"/>
    </w:p>
    <w:p>
      <w:pPr>
        <w:spacing w:line="576"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拟订全市人力资源和社会保障事业发展规划、政策并组织实施和监督检查。起草地方性法规、规章草案。</w:t>
      </w:r>
    </w:p>
    <w:p>
      <w:pPr>
        <w:spacing w:line="576"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拟订全市人力资源市场发展规划和人力资源流动政策并组织实施，建立全市统一规范的人力资源市场，促进人力资源合理流动、有效配置。</w:t>
      </w:r>
    </w:p>
    <w:p>
      <w:pPr>
        <w:spacing w:line="576"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负责促进就业工作，拟订统筹城乡的就业发展规划和政策，完善公共就业创业服务体系，拟订并组织落实创业、就业援助制度，完善职业资格制度，统筹建立面向城乡劳动者的职业培训制度，牵头拟订并实施高校毕业生就业政策。</w:t>
      </w:r>
    </w:p>
    <w:p>
      <w:pPr>
        <w:spacing w:line="576"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统筹建立覆盖城乡的多层次社会保障体系。拟订社会保险政策和标准。贯彻落实养老保险全国统筹办法和全国统一的养老、失业、工伤保险关系转续办法。组织拟订基本养老、企业年金、职业年金、失业、工伤保险基金管理和监督制度，编制全市社会保险基金预决算草案，参与制定全市社会保障基金投资政策。会同有关部门实施全民参保计划。拟订人力资源和社会保障信息化建设总体规划、年度计划，制订相关制度、标准和规范并组织实施。指导、督促企业参加工伤保险。</w:t>
      </w:r>
    </w:p>
    <w:p>
      <w:pPr>
        <w:spacing w:line="576"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负责就业、失业和相关社会保险基金预测预警和信息引导，拟订应对预案，实施预防、调节和控制，保持就业形势稳定和社会保险基金总体收支平衡。</w:t>
      </w:r>
    </w:p>
    <w:p>
      <w:pPr>
        <w:spacing w:line="576"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统筹拟订劳动人事争议调解仲裁制度，完善劳动关系协调机制，拟订职工工作时间、休息休假和假期制度，拟订消除非法使用童工政策和女工、未成年工的特殊劳动保护措施。依法督促用人单位在劳动用工、合同签订与履约时，载明劳动保护、劳动条件和职业危害防护等条款。组织实施劳动监察，协调劳动者维权工作，依法查处重大案件。</w:t>
      </w:r>
    </w:p>
    <w:p>
      <w:pPr>
        <w:spacing w:line="576"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牵头推进深化职称制度改革，拟订专业技术人员管理、继续教育和博士后管理等政策，负责高层次专业技术人才选拔和培养工作，拟订吸引国（境）外专家、留学人员来广（回广）工作或定居政策。组织拟订技能人才培养、评价、使用和激励制度。贯彻落实职业资格制度，健全职业技能多元化评价政策。指导、监督各级各类技工学校、民办职业培训机构按国家和省有关规定履行安全管理责任。</w:t>
      </w:r>
    </w:p>
    <w:p>
      <w:pPr>
        <w:spacing w:line="576"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会同有关部门指导事业单位人事制度改革，按照管理权限负责规范事业单位岗位设置、公开招聘、聘用合同等人事综合管理工作，拟订事业单位人员和机关工勤人员管理政策，将安全生产责任履行情况作为事业单位工作人员奖惩、考核的重要内容。</w:t>
      </w:r>
    </w:p>
    <w:p>
      <w:pPr>
        <w:spacing w:line="576" w:lineRule="exact"/>
        <w:ind w:firstLine="640" w:firstLineChars="200"/>
        <w:rPr>
          <w:rFonts w:ascii="仿宋_GB2312" w:eastAsia="仿宋_GB2312"/>
          <w:color w:val="auto"/>
          <w:sz w:val="32"/>
          <w:szCs w:val="32"/>
        </w:rPr>
      </w:pPr>
      <w:r>
        <w:rPr>
          <w:rFonts w:ascii="仿宋_GB2312" w:eastAsia="仿宋_GB2312"/>
          <w:color w:val="auto"/>
          <w:sz w:val="32"/>
          <w:szCs w:val="32"/>
        </w:rPr>
        <w:t>9.</w:t>
      </w:r>
      <w:r>
        <w:rPr>
          <w:rFonts w:hint="eastAsia" w:ascii="仿宋_GB2312" w:eastAsia="仿宋_GB2312"/>
          <w:color w:val="auto"/>
          <w:sz w:val="32"/>
          <w:szCs w:val="32"/>
        </w:rPr>
        <w:t>贯彻执行事业单位人员工资收入分配政策和企业职工工资收入分配调控政策，贯彻落实企事业单位人员工资正常增长和支付保障政策，贯彻执行企事业单位人员福利和离退休政策。</w:t>
      </w:r>
    </w:p>
    <w:p>
      <w:pPr>
        <w:spacing w:line="576" w:lineRule="exact"/>
        <w:ind w:firstLine="640" w:firstLineChars="200"/>
        <w:rPr>
          <w:rFonts w:ascii="仿宋_GB2312" w:eastAsia="仿宋_GB2312"/>
          <w:color w:val="auto"/>
          <w:sz w:val="32"/>
          <w:szCs w:val="32"/>
        </w:rPr>
      </w:pPr>
      <w:r>
        <w:rPr>
          <w:rFonts w:ascii="仿宋_GB2312" w:eastAsia="仿宋_GB2312"/>
          <w:color w:val="auto"/>
          <w:sz w:val="32"/>
          <w:szCs w:val="32"/>
        </w:rPr>
        <w:t>10.</w:t>
      </w:r>
      <w:r>
        <w:rPr>
          <w:rFonts w:hint="eastAsia" w:ascii="仿宋_GB2312" w:eastAsia="仿宋_GB2312"/>
          <w:color w:val="auto"/>
          <w:sz w:val="32"/>
          <w:szCs w:val="32"/>
        </w:rPr>
        <w:t>组织实施国家表彰奖励制度，综合管理政府奖励表彰工作，承担评比达标表彰等工作，根据授权承办以市委、市政府名义开展的奖励表彰活动。承办提请市人大常委会和市政府决定的人事任免事项。</w:t>
      </w:r>
    </w:p>
    <w:p>
      <w:pPr>
        <w:spacing w:line="576" w:lineRule="exact"/>
        <w:ind w:firstLine="640" w:firstLineChars="200"/>
        <w:rPr>
          <w:rFonts w:ascii="仿宋_GB2312" w:eastAsia="仿宋_GB2312"/>
          <w:color w:val="auto"/>
          <w:sz w:val="32"/>
          <w:szCs w:val="32"/>
        </w:rPr>
      </w:pPr>
      <w:r>
        <w:rPr>
          <w:rFonts w:ascii="仿宋_GB2312" w:eastAsia="仿宋_GB2312"/>
          <w:color w:val="auto"/>
          <w:sz w:val="32"/>
          <w:szCs w:val="32"/>
        </w:rPr>
        <w:t>11.</w:t>
      </w:r>
      <w:r>
        <w:rPr>
          <w:rFonts w:hint="eastAsia" w:ascii="仿宋_GB2312" w:eastAsia="仿宋_GB2312"/>
          <w:color w:val="auto"/>
          <w:sz w:val="32"/>
          <w:szCs w:val="32"/>
        </w:rPr>
        <w:t>贯彻执行农民工工作相关政策和规划，协调解决重点难点问题，维护农民工合法权益。负责将安全生产纳入农民工技能培训内容。</w:t>
      </w:r>
    </w:p>
    <w:p>
      <w:pPr>
        <w:spacing w:line="576" w:lineRule="exact"/>
        <w:ind w:firstLine="640" w:firstLineChars="200"/>
        <w:rPr>
          <w:rFonts w:ascii="仿宋_GB2312" w:eastAsia="仿宋_GB2312"/>
          <w:color w:val="auto"/>
          <w:sz w:val="32"/>
          <w:szCs w:val="32"/>
        </w:rPr>
      </w:pPr>
      <w:r>
        <w:rPr>
          <w:rFonts w:ascii="仿宋_GB2312" w:eastAsia="仿宋_GB2312"/>
          <w:color w:val="auto"/>
          <w:sz w:val="32"/>
          <w:szCs w:val="32"/>
        </w:rPr>
        <w:t>12.</w:t>
      </w:r>
      <w:r>
        <w:rPr>
          <w:rFonts w:hint="eastAsia" w:ascii="仿宋_GB2312" w:eastAsia="仿宋_GB2312"/>
          <w:color w:val="auto"/>
          <w:sz w:val="32"/>
          <w:szCs w:val="32"/>
        </w:rPr>
        <w:t>负责人力资源和社会保障领域内的对外交流与合作工作。</w:t>
      </w:r>
    </w:p>
    <w:p>
      <w:pPr>
        <w:spacing w:line="576" w:lineRule="exact"/>
        <w:ind w:firstLine="640" w:firstLineChars="200"/>
        <w:rPr>
          <w:rFonts w:ascii="仿宋_GB2312" w:eastAsia="仿宋_GB2312"/>
          <w:color w:val="auto"/>
          <w:sz w:val="32"/>
          <w:szCs w:val="32"/>
        </w:rPr>
      </w:pPr>
      <w:r>
        <w:rPr>
          <w:rFonts w:ascii="仿宋_GB2312" w:eastAsia="仿宋_GB2312"/>
          <w:color w:val="auto"/>
          <w:sz w:val="32"/>
          <w:szCs w:val="32"/>
        </w:rPr>
        <w:t>13.</w:t>
      </w:r>
      <w:r>
        <w:rPr>
          <w:rFonts w:hint="eastAsia" w:ascii="仿宋_GB2312" w:eastAsia="仿宋_GB2312"/>
          <w:color w:val="auto"/>
          <w:sz w:val="32"/>
          <w:szCs w:val="32"/>
        </w:rPr>
        <w:t>承担职责范围内的安全生产和职业健康、生态环境保护、审批服务便民化等工作。</w:t>
      </w:r>
    </w:p>
    <w:p>
      <w:pPr>
        <w:spacing w:line="576" w:lineRule="exact"/>
        <w:ind w:firstLine="640" w:firstLineChars="200"/>
        <w:rPr>
          <w:rFonts w:ascii="仿宋_GB2312" w:eastAsia="仿宋_GB2312"/>
          <w:color w:val="auto"/>
          <w:sz w:val="32"/>
          <w:szCs w:val="32"/>
        </w:rPr>
      </w:pPr>
      <w:r>
        <w:rPr>
          <w:rFonts w:ascii="仿宋_GB2312" w:eastAsia="仿宋_GB2312"/>
          <w:color w:val="auto"/>
          <w:sz w:val="32"/>
          <w:szCs w:val="32"/>
        </w:rPr>
        <w:t>14.</w:t>
      </w:r>
      <w:r>
        <w:rPr>
          <w:rFonts w:hint="eastAsia" w:ascii="仿宋_GB2312" w:eastAsia="仿宋_GB2312"/>
          <w:color w:val="auto"/>
          <w:sz w:val="32"/>
          <w:szCs w:val="32"/>
        </w:rPr>
        <w:t>完成市委、市政府交办的其他事项。</w:t>
      </w:r>
    </w:p>
    <w:p>
      <w:pPr>
        <w:spacing w:line="576" w:lineRule="exact"/>
        <w:ind w:firstLine="640" w:firstLineChars="200"/>
        <w:rPr>
          <w:rFonts w:ascii="仿宋_GB2312" w:eastAsia="仿宋_GB2312"/>
          <w:color w:val="auto"/>
          <w:sz w:val="32"/>
          <w:szCs w:val="32"/>
        </w:rPr>
      </w:pPr>
      <w:r>
        <w:rPr>
          <w:rFonts w:ascii="仿宋_GB2312" w:eastAsia="仿宋_GB2312"/>
          <w:color w:val="auto"/>
          <w:sz w:val="32"/>
          <w:szCs w:val="32"/>
        </w:rPr>
        <w:t>15.</w:t>
      </w:r>
      <w:r>
        <w:rPr>
          <w:rFonts w:hint="eastAsia" w:ascii="仿宋_GB2312" w:eastAsia="仿宋_GB2312"/>
          <w:color w:val="auto"/>
          <w:sz w:val="32"/>
          <w:szCs w:val="32"/>
        </w:rPr>
        <w:t>职能转变。深入推进简政放权、放管结合、优化服务改革，进一步减少行政审批事项，规范和优化对外办理事项，贯彻落实国家职业资格目录清单管理制度，加强事中事后监管，创新就业和社会保障等公共服务方式，加强信息共享，提高公共服务水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rPr>
      </w:pPr>
      <w:r>
        <w:rPr>
          <w:rFonts w:ascii="仿宋_GB2312" w:eastAsia="仿宋_GB2312"/>
          <w:color w:val="auto"/>
          <w:sz w:val="32"/>
          <w:szCs w:val="32"/>
        </w:rPr>
        <w:t>16.</w:t>
      </w:r>
      <w:r>
        <w:rPr>
          <w:rFonts w:hint="eastAsia" w:ascii="仿宋_GB2312" w:eastAsia="仿宋_GB2312"/>
          <w:color w:val="auto"/>
          <w:sz w:val="32"/>
          <w:szCs w:val="32"/>
        </w:rPr>
        <w:t>有关职责分工。高校毕业生就业政策由市人力资源社会保障局牵头，会同教育等部门拟订。高校毕业生离校前的就业指导和服务工作，由教育部门负责；高校毕业生离校后的就业指导和服务工作，由市人力资源社会保障局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rPr>
      </w:pPr>
      <w:bookmarkStart w:id="3" w:name="_Toc19125"/>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val="en-US" w:eastAsia="zh-CN"/>
        </w:rPr>
        <w:t>广元市人力资源和社会保障局</w:t>
      </w:r>
      <w:r>
        <w:rPr>
          <w:rFonts w:hint="eastAsia" w:ascii="楷体_GB2312" w:hAnsi="楷体_GB2312" w:eastAsia="楷体_GB2312" w:cs="楷体_GB2312"/>
          <w:sz w:val="32"/>
          <w:szCs w:val="32"/>
          <w:lang w:val="en-US"/>
        </w:rPr>
        <w:t>2024</w:t>
      </w:r>
      <w:r>
        <w:rPr>
          <w:rFonts w:hint="eastAsia" w:ascii="楷体_GB2312" w:hAnsi="楷体_GB2312" w:eastAsia="楷体_GB2312" w:cs="楷体_GB2312"/>
          <w:sz w:val="32"/>
          <w:szCs w:val="32"/>
        </w:rPr>
        <w:t>年重点工作</w:t>
      </w:r>
      <w:bookmarkEnd w:id="3"/>
    </w:p>
    <w:p>
      <w:pPr>
        <w:spacing w:line="576" w:lineRule="exact"/>
        <w:ind w:firstLine="640" w:firstLineChars="200"/>
        <w:jc w:val="both"/>
        <w:rPr>
          <w:rFonts w:hint="eastAsia" w:ascii="仿宋_GB2312" w:eastAsia="仿宋_GB2312"/>
          <w:bCs/>
          <w:sz w:val="32"/>
          <w:szCs w:val="32"/>
        </w:rPr>
      </w:pPr>
      <w:r>
        <w:rPr>
          <w:rFonts w:hint="eastAsia" w:ascii="仿宋_GB2312" w:eastAsia="仿宋_GB2312"/>
          <w:bCs/>
          <w:sz w:val="32"/>
          <w:szCs w:val="32"/>
          <w:lang w:val="en-US" w:eastAsia="zh-CN"/>
        </w:rPr>
        <w:t>1.</w:t>
      </w:r>
      <w:r>
        <w:rPr>
          <w:rFonts w:hint="eastAsia" w:ascii="仿宋_GB2312" w:eastAsia="仿宋_GB2312"/>
          <w:bCs/>
          <w:sz w:val="32"/>
          <w:szCs w:val="32"/>
        </w:rPr>
        <w:t>稳定和扩大就业</w:t>
      </w:r>
      <w:r>
        <w:rPr>
          <w:rFonts w:hint="eastAsia" w:ascii="仿宋_GB2312" w:eastAsia="仿宋_GB2312"/>
          <w:bCs/>
          <w:sz w:val="32"/>
          <w:szCs w:val="32"/>
          <w:lang w:eastAsia="zh-CN"/>
        </w:rPr>
        <w:t>。</w:t>
      </w:r>
      <w:r>
        <w:rPr>
          <w:rFonts w:hint="eastAsia" w:ascii="仿宋_GB2312" w:eastAsia="仿宋_GB2312"/>
          <w:bCs/>
          <w:sz w:val="32"/>
          <w:szCs w:val="32"/>
        </w:rPr>
        <w:t>坚决扛起稳就业政治责任，坚持高质量充分就业目标，更加突出就业优先导向，加快完善高质量充分就业促进机制，</w:t>
      </w:r>
      <w:r>
        <w:rPr>
          <w:rFonts w:hint="eastAsia" w:ascii="仿宋_GB2312" w:eastAsia="仿宋_GB2312" w:cs="Times New Roman"/>
          <w:color w:val="000000"/>
          <w:kern w:val="0"/>
          <w:sz w:val="32"/>
          <w:szCs w:val="20"/>
          <w:lang w:bidi="ar-SA"/>
        </w:rPr>
        <w:t>大力实施就业促进工程，千方百计促进重点群体就业稳定，兜住兜牢就业民生底线。</w:t>
      </w:r>
      <w:r>
        <w:rPr>
          <w:rFonts w:hint="eastAsia" w:ascii="仿宋_GB2312" w:eastAsia="仿宋_GB2312" w:cs="Times New Roman"/>
          <w:color w:val="000000"/>
          <w:kern w:val="0"/>
          <w:sz w:val="32"/>
          <w:szCs w:val="20"/>
          <w:lang w:val="en-US" w:eastAsia="zh-CN" w:bidi="ar-SA"/>
        </w:rPr>
        <w:t>实现城镇新增就业</w:t>
      </w:r>
      <w:r>
        <w:rPr>
          <w:rFonts w:ascii="仿宋_GB2312" w:eastAsia="仿宋_GB2312" w:cs="Times New Roman"/>
          <w:color w:val="000000"/>
          <w:kern w:val="0"/>
          <w:sz w:val="32"/>
          <w:szCs w:val="20"/>
          <w:lang w:val="en-US" w:eastAsia="zh-CN" w:bidi="ar-SA"/>
        </w:rPr>
        <w:t>2.5</w:t>
      </w:r>
      <w:r>
        <w:rPr>
          <w:rFonts w:hint="eastAsia" w:ascii="仿宋_GB2312" w:eastAsia="仿宋_GB2312" w:cs="Times New Roman"/>
          <w:color w:val="000000"/>
          <w:kern w:val="0"/>
          <w:sz w:val="32"/>
          <w:szCs w:val="20"/>
          <w:lang w:val="en-US" w:eastAsia="zh-CN" w:bidi="ar-SA"/>
        </w:rPr>
        <w:t>万人以上，城镇失业人员再就业1.1万人，就业困难人员就业0.26万人,城镇调查失业率控制在5.5%左右，就业局势</w:t>
      </w:r>
      <w:r>
        <w:rPr>
          <w:rFonts w:ascii="仿宋_GB2312" w:eastAsia="仿宋_GB2312" w:cs="Times New Roman"/>
          <w:color w:val="000000"/>
          <w:kern w:val="0"/>
          <w:sz w:val="32"/>
          <w:szCs w:val="20"/>
          <w:lang w:val="en-US" w:eastAsia="zh-CN" w:bidi="ar-SA"/>
        </w:rPr>
        <w:t>总体</w:t>
      </w:r>
      <w:r>
        <w:rPr>
          <w:rFonts w:hint="eastAsia" w:ascii="仿宋_GB2312" w:eastAsia="仿宋_GB2312" w:cs="Times New Roman"/>
          <w:color w:val="000000"/>
          <w:kern w:val="0"/>
          <w:sz w:val="32"/>
          <w:szCs w:val="20"/>
          <w:lang w:val="en-US" w:eastAsia="zh-CN" w:bidi="ar-SA"/>
        </w:rPr>
        <w:t>稳定。</w:t>
      </w:r>
    </w:p>
    <w:p>
      <w:pPr>
        <w:spacing w:line="576" w:lineRule="exact"/>
        <w:ind w:firstLine="640"/>
        <w:rPr>
          <w:rFonts w:ascii="仿宋_GB2312" w:eastAsia="仿宋_GB2312" w:cs="仿宋_GB2312"/>
          <w:sz w:val="32"/>
          <w:szCs w:val="32"/>
        </w:rPr>
      </w:pPr>
      <w:r>
        <w:rPr>
          <w:rFonts w:hint="eastAsia" w:ascii="仿宋_GB2312" w:eastAsia="仿宋_GB2312"/>
          <w:spacing w:val="2"/>
          <w:sz w:val="32"/>
          <w:szCs w:val="32"/>
          <w:lang w:val="en-US" w:eastAsia="zh-CN"/>
        </w:rPr>
        <w:t>2.</w:t>
      </w:r>
      <w:r>
        <w:rPr>
          <w:rFonts w:hint="eastAsia" w:ascii="仿宋_GB2312" w:eastAsia="仿宋_GB2312"/>
          <w:spacing w:val="2"/>
          <w:sz w:val="32"/>
          <w:szCs w:val="32"/>
          <w:lang w:eastAsia="zh-CN"/>
        </w:rPr>
        <w:t>巩固深化社保制度改革。</w:t>
      </w:r>
      <w:r>
        <w:rPr>
          <w:rFonts w:ascii="仿宋_GB2312" w:eastAsia="仿宋_GB2312"/>
          <w:spacing w:val="2"/>
          <w:sz w:val="32"/>
          <w:szCs w:val="32"/>
          <w:lang w:eastAsia="zh-CN"/>
        </w:rPr>
        <w:t>坚持尽力而为、量力而行，</w:t>
      </w:r>
      <w:r>
        <w:rPr>
          <w:rFonts w:hint="eastAsia" w:ascii="仿宋_GB2312" w:eastAsia="仿宋_GB2312"/>
          <w:spacing w:val="2"/>
          <w:sz w:val="32"/>
          <w:szCs w:val="32"/>
        </w:rPr>
        <w:t>积极稳妥推进</w:t>
      </w:r>
      <w:r>
        <w:rPr>
          <w:rFonts w:ascii="仿宋_GB2312" w:eastAsia="仿宋_GB2312"/>
          <w:spacing w:val="2"/>
          <w:sz w:val="32"/>
          <w:szCs w:val="32"/>
          <w:lang w:eastAsia="zh-CN"/>
        </w:rPr>
        <w:t>社会保障</w:t>
      </w:r>
      <w:r>
        <w:rPr>
          <w:rFonts w:hint="eastAsia" w:ascii="仿宋_GB2312" w:eastAsia="仿宋_GB2312"/>
          <w:spacing w:val="2"/>
          <w:sz w:val="32"/>
          <w:szCs w:val="32"/>
        </w:rPr>
        <w:t>制度改革，稳步提高待遇水平，加强基金监管，织密织牢社会保障安全网。</w:t>
      </w:r>
      <w:r>
        <w:rPr>
          <w:rFonts w:hint="eastAsia" w:ascii="仿宋_GB2312" w:eastAsia="仿宋_GB2312"/>
          <w:spacing w:val="2"/>
          <w:sz w:val="32"/>
          <w:szCs w:val="32"/>
          <w:lang w:eastAsia="zh-CN"/>
        </w:rPr>
        <w:t>持续推进养老保险制度改革；强化养老保险政策执行规范统一；</w:t>
      </w:r>
      <w:r>
        <w:rPr>
          <w:rFonts w:ascii="仿宋_GB2312" w:eastAsia="仿宋_GB2312" w:cs="仿宋_GB2312"/>
          <w:sz w:val="32"/>
          <w:szCs w:val="32"/>
        </w:rPr>
        <w:t>完善失业保险制度</w:t>
      </w:r>
      <w:r>
        <w:rPr>
          <w:rFonts w:hint="eastAsia" w:ascii="仿宋_GB2312" w:eastAsia="仿宋_GB2312" w:cs="仿宋_GB2312"/>
          <w:sz w:val="32"/>
          <w:szCs w:val="32"/>
          <w:lang w:eastAsia="zh-CN"/>
        </w:rPr>
        <w:t>；</w:t>
      </w:r>
      <w:r>
        <w:rPr>
          <w:rFonts w:ascii="仿宋_GB2312" w:hAnsi="仿宋_GB2312" w:eastAsia="仿宋_GB2312" w:cs="仿宋_GB2312"/>
          <w:sz w:val="32"/>
          <w:szCs w:val="32"/>
          <w:lang w:eastAsia="zh-CN"/>
        </w:rPr>
        <w:t>持续深化工伤保险改革试点</w:t>
      </w:r>
      <w:r>
        <w:rPr>
          <w:rFonts w:hint="eastAsia" w:ascii="仿宋_GB2312" w:hAnsi="仿宋_GB2312" w:eastAsia="仿宋_GB2312" w:cs="仿宋_GB2312"/>
          <w:sz w:val="32"/>
          <w:szCs w:val="32"/>
          <w:lang w:eastAsia="zh-CN"/>
        </w:rPr>
        <w:t>；延续实施</w:t>
      </w:r>
      <w:r>
        <w:rPr>
          <w:rFonts w:hint="eastAsia" w:ascii="仿宋_GB2312" w:hAnsi="仿宋_GB2312" w:eastAsia="仿宋_GB2312" w:cs="仿宋_GB2312"/>
          <w:sz w:val="32"/>
          <w:szCs w:val="32"/>
        </w:rPr>
        <w:t>阶段性降低工伤保险费率政策</w:t>
      </w:r>
      <w:r>
        <w:rPr>
          <w:rFonts w:hint="eastAsia" w:ascii="仿宋_GB2312" w:hAnsi="仿宋_GB2312" w:eastAsia="仿宋_GB2312" w:cs="仿宋_GB2312"/>
          <w:sz w:val="32"/>
          <w:szCs w:val="32"/>
          <w:lang w:eastAsia="zh-CN"/>
        </w:rPr>
        <w:t>；</w:t>
      </w:r>
      <w:r>
        <w:rPr>
          <w:rFonts w:ascii="仿宋_GB2312" w:eastAsia="仿宋_GB2312" w:cs="仿宋_GB2312"/>
          <w:sz w:val="32"/>
          <w:szCs w:val="32"/>
        </w:rPr>
        <w:t>优化提升社保经办服务</w:t>
      </w:r>
      <w:r>
        <w:rPr>
          <w:rFonts w:hint="eastAsia" w:ascii="仿宋_GB2312" w:eastAsia="仿宋_GB2312" w:cs="仿宋_GB2312"/>
          <w:sz w:val="32"/>
          <w:szCs w:val="32"/>
          <w:lang w:eastAsia="zh-CN"/>
        </w:rPr>
        <w:t>；</w:t>
      </w:r>
      <w:r>
        <w:rPr>
          <w:rFonts w:hint="eastAsia" w:ascii="仿宋_GB2312" w:eastAsia="仿宋_GB2312" w:cs="仿宋_GB2312"/>
          <w:sz w:val="32"/>
          <w:szCs w:val="32"/>
        </w:rPr>
        <w:t>筑牢社保基金安全防线。</w:t>
      </w:r>
    </w:p>
    <w:p>
      <w:pPr>
        <w:spacing w:line="576" w:lineRule="exact"/>
        <w:ind w:firstLine="640"/>
        <w:rPr>
          <w:rFonts w:ascii="仿宋_GB2312" w:eastAsia="仿宋_GB2312" w:cs="仿宋_GB2312"/>
          <w:bCs/>
          <w:sz w:val="32"/>
          <w:szCs w:val="32"/>
        </w:rPr>
      </w:pPr>
      <w:r>
        <w:rPr>
          <w:rFonts w:hint="eastAsia" w:ascii="仿宋_GB2312" w:eastAsia="仿宋_GB2312" w:cs="仿宋_GB2312"/>
          <w:sz w:val="32"/>
          <w:szCs w:val="32"/>
          <w:lang w:val="en-US" w:eastAsia="zh-CN"/>
        </w:rPr>
        <w:t>3.</w:t>
      </w:r>
      <w:r>
        <w:rPr>
          <w:rFonts w:ascii="仿宋_GB2312" w:eastAsia="仿宋_GB2312" w:cs="仿宋_GB2312"/>
          <w:sz w:val="32"/>
          <w:szCs w:val="32"/>
        </w:rPr>
        <w:t>大力推进</w:t>
      </w:r>
      <w:r>
        <w:rPr>
          <w:rFonts w:hint="eastAsia" w:ascii="仿宋_GB2312" w:eastAsia="仿宋_GB2312" w:cs="仿宋_GB2312"/>
          <w:sz w:val="32"/>
          <w:szCs w:val="32"/>
        </w:rPr>
        <w:t>人才人事工作</w:t>
      </w:r>
      <w:r>
        <w:rPr>
          <w:rFonts w:hint="eastAsia" w:ascii="仿宋_GB2312" w:eastAsia="仿宋_GB2312" w:cs="仿宋_GB2312"/>
          <w:sz w:val="32"/>
          <w:szCs w:val="32"/>
          <w:lang w:eastAsia="zh-CN"/>
        </w:rPr>
        <w:t>。</w:t>
      </w:r>
      <w:r>
        <w:rPr>
          <w:rFonts w:ascii="仿宋_GB2312" w:eastAsia="仿宋_GB2312" w:cs="仿宋_GB2312"/>
          <w:sz w:val="32"/>
          <w:szCs w:val="32"/>
        </w:rPr>
        <w:t>坚持以创新、贯通、向基层倾斜为导向，积极推进技术技能人才贯通发展，大力实施技术技能人才倍增计划，鼓励人才向基层流动，</w:t>
      </w:r>
      <w:r>
        <w:rPr>
          <w:rFonts w:hint="eastAsia" w:ascii="仿宋_GB2312" w:eastAsia="仿宋_GB2312" w:cs="仿宋_GB2312"/>
          <w:bCs/>
          <w:sz w:val="32"/>
          <w:szCs w:val="32"/>
        </w:rPr>
        <w:t>为广元现代化建设提供强力人才人事支撑。</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ascii="仿宋_GB2312" w:hAnsi="Times New Roman" w:eastAsia="仿宋_GB2312" w:cs="仿宋_GB2312"/>
          <w:sz w:val="32"/>
          <w:szCs w:val="32"/>
          <w:lang w:val="en-US" w:eastAsia="zh-CN"/>
        </w:rPr>
        <w:t>加强</w:t>
      </w:r>
      <w:r>
        <w:rPr>
          <w:rFonts w:hint="eastAsia" w:ascii="仿宋_GB2312" w:hAnsi="Times New Roman" w:eastAsia="仿宋_GB2312" w:cs="仿宋_GB2312"/>
          <w:sz w:val="32"/>
          <w:szCs w:val="32"/>
          <w:lang w:val="en-US" w:eastAsia="zh-CN"/>
        </w:rPr>
        <w:t>专业技术人才队伍建设；</w:t>
      </w:r>
      <w:r>
        <w:rPr>
          <w:rFonts w:hint="eastAsia" w:ascii="仿宋_GB2312" w:hAnsi="仿宋_GB2312" w:eastAsia="仿宋_GB2312" w:cs="仿宋_GB2312"/>
          <w:sz w:val="32"/>
          <w:szCs w:val="32"/>
        </w:rPr>
        <w:t>全面推进技能人才队伍建设</w:t>
      </w:r>
      <w:r>
        <w:rPr>
          <w:rFonts w:hint="eastAsia" w:ascii="仿宋_GB2312" w:hAnsi="仿宋_GB2312" w:eastAsia="仿宋_GB2312" w:cs="仿宋_GB2312"/>
          <w:sz w:val="32"/>
          <w:szCs w:val="32"/>
          <w:lang w:eastAsia="zh-CN"/>
        </w:rPr>
        <w:t>；</w:t>
      </w:r>
      <w:r>
        <w:rPr>
          <w:rFonts w:ascii="仿宋_GB2312" w:eastAsia="仿宋_GB2312" w:cs="仿宋_GB2312"/>
          <w:sz w:val="32"/>
          <w:szCs w:val="32"/>
        </w:rPr>
        <w:t>深化事业单位人事制度改革</w:t>
      </w:r>
      <w:r>
        <w:rPr>
          <w:rFonts w:hint="eastAsia" w:ascii="仿宋_GB2312" w:eastAsia="仿宋_GB2312" w:cs="仿宋_GB2312"/>
          <w:sz w:val="32"/>
          <w:szCs w:val="32"/>
          <w:lang w:eastAsia="zh-CN"/>
        </w:rPr>
        <w:t>；</w:t>
      </w:r>
      <w:r>
        <w:rPr>
          <w:rFonts w:ascii="仿宋_GB2312" w:eastAsia="仿宋_GB2312" w:cs="仿宋_GB2312"/>
          <w:sz w:val="32"/>
          <w:szCs w:val="32"/>
        </w:rPr>
        <w:t>做好表彰奖励任免工作</w:t>
      </w:r>
      <w:r>
        <w:rPr>
          <w:rFonts w:hint="eastAsia" w:asci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加强人事考试安全。</w:t>
      </w:r>
    </w:p>
    <w:p>
      <w:pPr>
        <w:spacing w:line="576" w:lineRule="exact"/>
        <w:ind w:firstLine="640"/>
        <w:rPr>
          <w:rFonts w:ascii="仿宋_GB2312" w:eastAsia="仿宋_GB2312" w:cs="仿宋_GB2312"/>
          <w:sz w:val="32"/>
          <w:szCs w:val="32"/>
        </w:rPr>
      </w:pPr>
      <w:r>
        <w:rPr>
          <w:rFonts w:hint="eastAsia" w:ascii="仿宋_GB2312" w:eastAsia="仿宋_GB2312"/>
          <w:spacing w:val="2"/>
          <w:sz w:val="32"/>
          <w:szCs w:val="32"/>
          <w:lang w:val="en-US" w:eastAsia="zh-CN"/>
        </w:rPr>
        <w:t>4.</w:t>
      </w:r>
      <w:r>
        <w:rPr>
          <w:rFonts w:hint="eastAsia" w:ascii="仿宋_GB2312" w:eastAsia="仿宋_GB2312"/>
          <w:spacing w:val="2"/>
          <w:sz w:val="32"/>
          <w:szCs w:val="32"/>
        </w:rPr>
        <w:t>提升劳动关系治理能力和治理水平。坚持</w:t>
      </w:r>
      <w:r>
        <w:rPr>
          <w:rFonts w:ascii="仿宋_GB2312" w:eastAsia="仿宋_GB2312"/>
          <w:spacing w:val="2"/>
          <w:sz w:val="32"/>
          <w:szCs w:val="32"/>
        </w:rPr>
        <w:t>依法治理、</w:t>
      </w:r>
      <w:r>
        <w:rPr>
          <w:rFonts w:hint="eastAsia" w:ascii="仿宋_GB2312" w:eastAsia="仿宋_GB2312"/>
          <w:spacing w:val="2"/>
          <w:sz w:val="32"/>
          <w:szCs w:val="32"/>
        </w:rPr>
        <w:t>源头治理</w:t>
      </w:r>
      <w:r>
        <w:rPr>
          <w:rFonts w:ascii="仿宋_GB2312" w:eastAsia="仿宋_GB2312"/>
          <w:spacing w:val="2"/>
          <w:sz w:val="32"/>
          <w:szCs w:val="32"/>
        </w:rPr>
        <w:t>、系统治理</w:t>
      </w:r>
      <w:r>
        <w:rPr>
          <w:rFonts w:hint="eastAsia" w:ascii="仿宋_GB2312" w:eastAsia="仿宋_GB2312"/>
          <w:spacing w:val="2"/>
          <w:sz w:val="32"/>
          <w:szCs w:val="32"/>
        </w:rPr>
        <w:t>，</w:t>
      </w:r>
      <w:r>
        <w:rPr>
          <w:rFonts w:ascii="仿宋_GB2312" w:eastAsia="仿宋_GB2312"/>
          <w:spacing w:val="2"/>
          <w:sz w:val="32"/>
          <w:szCs w:val="32"/>
        </w:rPr>
        <w:t>统筹促进企业发展和维护劳动者合法权益的关系，</w:t>
      </w:r>
      <w:r>
        <w:rPr>
          <w:rFonts w:hint="eastAsia" w:ascii="仿宋_GB2312" w:eastAsia="仿宋_GB2312"/>
          <w:spacing w:val="2"/>
          <w:sz w:val="32"/>
          <w:szCs w:val="32"/>
        </w:rPr>
        <w:t>着力提升劳动关系基层治理能力和水平，防范化解劳动关系领域风险，维护劳动者权益。</w:t>
      </w:r>
      <w:r>
        <w:rPr>
          <w:rFonts w:ascii="仿宋_GB2312" w:eastAsia="仿宋_GB2312" w:cs="仿宋_GB2312"/>
          <w:sz w:val="32"/>
          <w:szCs w:val="32"/>
        </w:rPr>
        <w:t>保障农民工工资支付</w:t>
      </w:r>
      <w:r>
        <w:rPr>
          <w:rFonts w:hint="eastAsia" w:ascii="仿宋_GB2312" w:eastAsia="仿宋_GB2312" w:cs="仿宋_GB2312"/>
          <w:sz w:val="32"/>
          <w:szCs w:val="32"/>
          <w:lang w:eastAsia="zh-CN"/>
        </w:rPr>
        <w:t>；</w:t>
      </w:r>
      <w:r>
        <w:rPr>
          <w:rFonts w:hint="eastAsia" w:ascii="仿宋_GB2312" w:eastAsia="仿宋_GB2312" w:cs="仿宋_GB2312"/>
          <w:bCs/>
          <w:sz w:val="32"/>
          <w:szCs w:val="32"/>
          <w:lang w:eastAsia="zh-CN"/>
        </w:rPr>
        <w:t>构建和谐劳动关系；</w:t>
      </w:r>
      <w:r>
        <w:rPr>
          <w:rFonts w:ascii="仿宋_GB2312" w:eastAsia="仿宋_GB2312" w:cs="仿宋_GB2312"/>
          <w:sz w:val="32"/>
          <w:szCs w:val="32"/>
        </w:rPr>
        <w:t>提升劳动人事争议调解成效。</w:t>
      </w:r>
    </w:p>
    <w:p>
      <w:pPr>
        <w:spacing w:line="576" w:lineRule="exact"/>
        <w:ind w:firstLine="640"/>
        <w:rPr>
          <w:rFonts w:hint="eastAsia" w:ascii="仿宋_GB2312" w:eastAsia="仿宋_GB2312"/>
          <w:sz w:val="32"/>
          <w:szCs w:val="32"/>
        </w:rPr>
      </w:pPr>
      <w:r>
        <w:rPr>
          <w:rFonts w:hint="eastAsia" w:ascii="仿宋_GB2312" w:eastAsia="仿宋_GB2312" w:cs="仿宋_GB2312"/>
          <w:bCs/>
          <w:sz w:val="32"/>
          <w:szCs w:val="32"/>
          <w:lang w:val="en-US" w:eastAsia="zh-CN"/>
        </w:rPr>
        <w:t>5.</w:t>
      </w:r>
      <w:r>
        <w:rPr>
          <w:rFonts w:hint="eastAsia" w:ascii="仿宋_GB2312" w:eastAsia="仿宋_GB2312" w:cs="仿宋_GB2312"/>
          <w:bCs/>
          <w:sz w:val="32"/>
          <w:szCs w:val="32"/>
          <w:lang w:eastAsia="zh-CN"/>
        </w:rPr>
        <w:t>持续深化“温暖人社”建设。</w:t>
      </w:r>
      <w:r>
        <w:rPr>
          <w:rFonts w:hint="eastAsia" w:ascii="仿宋_GB2312" w:eastAsia="仿宋_GB2312" w:cs="仿宋_GB2312"/>
          <w:sz w:val="32"/>
          <w:szCs w:val="32"/>
        </w:rPr>
        <w:t>加快打造营商环境最优、服务体系最佳、经办团队最强、信息保障最畅、社会评价最好的“五最温暖人社”，</w:t>
      </w:r>
      <w:r>
        <w:rPr>
          <w:rFonts w:ascii="仿宋_GB2312" w:eastAsia="仿宋_GB2312" w:cs="仿宋_GB2312"/>
          <w:sz w:val="32"/>
          <w:szCs w:val="32"/>
        </w:rPr>
        <w:t>不断提升企业群众获得感幸福感满意度。</w:t>
      </w:r>
      <w:r>
        <w:rPr>
          <w:rFonts w:hint="eastAsia" w:ascii="仿宋_GB2312" w:eastAsia="仿宋_GB2312" w:cs="仿宋_GB2312"/>
          <w:sz w:val="32"/>
          <w:szCs w:val="32"/>
        </w:rPr>
        <w:t>实施人社公共服务标准化建设</w:t>
      </w:r>
      <w:r>
        <w:rPr>
          <w:rFonts w:hint="eastAsia" w:ascii="仿宋_GB2312" w:eastAsia="仿宋_GB2312" w:cs="仿宋_GB2312"/>
          <w:sz w:val="32"/>
          <w:szCs w:val="32"/>
          <w:lang w:eastAsia="zh-CN"/>
        </w:rPr>
        <w:t>，</w:t>
      </w:r>
      <w:r>
        <w:rPr>
          <w:rFonts w:hint="eastAsia" w:ascii="仿宋_GB2312" w:eastAsia="仿宋_GB2312" w:cs="仿宋_GB2312"/>
          <w:sz w:val="32"/>
          <w:szCs w:val="32"/>
        </w:rPr>
        <w:t>强化标准实施监督评价，确保标准落地见效。实施</w:t>
      </w:r>
      <w:r>
        <w:rPr>
          <w:rFonts w:ascii="仿宋_GB2312" w:eastAsia="仿宋_GB2312" w:cs="仿宋_GB2312"/>
          <w:sz w:val="32"/>
          <w:szCs w:val="32"/>
        </w:rPr>
        <w:t>人社</w:t>
      </w:r>
      <w:r>
        <w:rPr>
          <w:rFonts w:hint="eastAsia" w:ascii="仿宋_GB2312" w:eastAsia="仿宋_GB2312" w:cs="仿宋_GB2312"/>
          <w:sz w:val="32"/>
          <w:szCs w:val="32"/>
        </w:rPr>
        <w:t>数</w:t>
      </w:r>
      <w:r>
        <w:rPr>
          <w:rFonts w:ascii="仿宋_GB2312" w:eastAsia="仿宋_GB2312" w:cs="仿宋_GB2312"/>
          <w:sz w:val="32"/>
          <w:szCs w:val="32"/>
        </w:rPr>
        <w:t>化</w:t>
      </w:r>
      <w:r>
        <w:rPr>
          <w:rFonts w:hint="eastAsia" w:ascii="仿宋_GB2312" w:eastAsia="仿宋_GB2312" w:cs="仿宋_GB2312"/>
          <w:sz w:val="32"/>
          <w:szCs w:val="32"/>
        </w:rPr>
        <w:t>字转型</w:t>
      </w:r>
      <w:r>
        <w:rPr>
          <w:rFonts w:hint="eastAsia" w:ascii="仿宋_GB2312" w:eastAsia="仿宋_GB2312" w:cs="仿宋_GB2312"/>
          <w:sz w:val="32"/>
          <w:szCs w:val="32"/>
          <w:lang w:eastAsia="zh-CN"/>
        </w:rPr>
        <w:t>，</w:t>
      </w:r>
      <w:r>
        <w:rPr>
          <w:rFonts w:hint="eastAsia" w:ascii="仿宋_GB2312" w:hAnsi="楷体" w:eastAsia="仿宋_GB2312" w:cs="仿宋_GB2312"/>
          <w:sz w:val="32"/>
          <w:szCs w:val="32"/>
        </w:rPr>
        <w:t>夯实业务一体化经办基础</w:t>
      </w:r>
      <w:r>
        <w:rPr>
          <w:rFonts w:hint="eastAsia" w:ascii="仿宋_GB2312" w:hAnsi="楷体" w:eastAsia="仿宋_GB2312" w:cs="仿宋_GB2312"/>
          <w:sz w:val="32"/>
          <w:szCs w:val="32"/>
          <w:lang w:eastAsia="zh-CN"/>
        </w:rPr>
        <w:t>；</w:t>
      </w:r>
      <w:r>
        <w:rPr>
          <w:rFonts w:hint="eastAsia" w:ascii="仿宋_GB2312" w:eastAsia="仿宋_GB2312" w:cs="仿宋_GB2312"/>
          <w:sz w:val="32"/>
          <w:szCs w:val="32"/>
        </w:rPr>
        <w:t>实施专业提能</w:t>
      </w:r>
      <w:r>
        <w:rPr>
          <w:rFonts w:ascii="仿宋_GB2312" w:eastAsia="仿宋_GB2312" w:cs="仿宋_GB2312"/>
          <w:sz w:val="32"/>
          <w:szCs w:val="32"/>
        </w:rPr>
        <w:t>行动</w:t>
      </w:r>
      <w:r>
        <w:rPr>
          <w:rFonts w:hint="eastAsia" w:ascii="仿宋_GB2312" w:eastAsia="仿宋_GB2312" w:cs="仿宋_GB2312"/>
          <w:sz w:val="32"/>
          <w:szCs w:val="32"/>
          <w:lang w:eastAsia="zh-CN"/>
        </w:rPr>
        <w:t>。</w:t>
      </w:r>
      <w:r>
        <w:rPr>
          <w:rFonts w:hint="eastAsia" w:ascii="仿宋_GB2312" w:hAnsi="仿宋" w:eastAsia="仿宋_GB2312" w:cs="仿宋"/>
          <w:spacing w:val="0"/>
          <w:sz w:val="32"/>
          <w:szCs w:val="32"/>
          <w:highlight w:val="none"/>
          <w:lang w:val="en-US" w:eastAsia="zh-CN"/>
        </w:rPr>
        <w:t>持续加强系统</w:t>
      </w:r>
      <w:r>
        <w:rPr>
          <w:rFonts w:hint="eastAsia" w:ascii="仿宋_GB2312" w:hAnsi="Times New Roman" w:eastAsia="仿宋_GB2312" w:cs="Times New Roman"/>
          <w:spacing w:val="0"/>
          <w:sz w:val="32"/>
          <w:szCs w:val="32"/>
          <w:lang w:val="en-US" w:eastAsia="zh-CN"/>
        </w:rPr>
        <w:t>行风建设，</w:t>
      </w:r>
      <w:r>
        <w:rPr>
          <w:rFonts w:hint="eastAsia" w:ascii="Times New Roman" w:hAnsi="Times New Roman" w:eastAsia="仿宋_GB2312" w:cs="Times New Roman"/>
          <w:sz w:val="32"/>
          <w:szCs w:val="32"/>
          <w:lang w:val="en-US" w:eastAsia="zh-CN"/>
        </w:rPr>
        <w:t>进一步优化干部考核机制</w:t>
      </w:r>
      <w:r>
        <w:rPr>
          <w:rFonts w:ascii="Times New Roman" w:hAnsi="Times New Roman" w:eastAsia="仿宋_GB2312" w:cs="Times New Roman"/>
          <w:sz w:val="32"/>
          <w:szCs w:val="32"/>
          <w:lang w:val="en-US" w:eastAsia="zh-CN"/>
        </w:rPr>
        <w:t>，</w:t>
      </w:r>
      <w:r>
        <w:rPr>
          <w:rFonts w:hint="eastAsia" w:ascii="仿宋_GB2312" w:hAnsi="仿宋" w:eastAsia="仿宋_GB2312" w:cs="仿宋"/>
          <w:spacing w:val="0"/>
          <w:sz w:val="32"/>
          <w:szCs w:val="32"/>
          <w:highlight w:val="none"/>
          <w:lang w:val="en-US" w:eastAsia="zh-CN"/>
        </w:rPr>
        <w:t>加大干部培训力度，建立全面系统的干部教育培训机制，不断提高人社干部队伍业务能力。持续</w:t>
      </w:r>
      <w:r>
        <w:rPr>
          <w:rFonts w:ascii="仿宋_GB2312" w:eastAsia="仿宋_GB2312" w:cs="仿宋_GB2312"/>
          <w:sz w:val="32"/>
          <w:szCs w:val="32"/>
        </w:rPr>
        <w:t>优化人社营商环境</w:t>
      </w:r>
      <w:r>
        <w:rPr>
          <w:rFonts w:hint="eastAsia" w:ascii="仿宋_GB2312" w:eastAsia="仿宋_GB2312"/>
          <w:sz w:val="32"/>
          <w:szCs w:val="32"/>
          <w:lang w:eastAsia="zh-CN"/>
        </w:rPr>
        <w:t>，</w:t>
      </w:r>
      <w:r>
        <w:rPr>
          <w:rFonts w:hint="eastAsia" w:ascii="仿宋_GB2312" w:eastAsia="仿宋_GB2312"/>
          <w:sz w:val="32"/>
          <w:szCs w:val="32"/>
          <w:lang w:val="en-US" w:eastAsia="zh-CN"/>
        </w:rPr>
        <w:t>推动人社营商环境满意度评价稳步提升。</w:t>
      </w:r>
    </w:p>
    <w:p>
      <w:pPr>
        <w:spacing w:line="576" w:lineRule="exact"/>
        <w:ind w:firstLine="640"/>
        <w:rPr>
          <w:rFonts w:hint="eastAsia" w:ascii="仿宋_GB2312" w:eastAsia="仿宋_GB2312"/>
          <w:sz w:val="32"/>
          <w:szCs w:val="32"/>
        </w:rPr>
      </w:pPr>
      <w:r>
        <w:rPr>
          <w:rFonts w:hint="eastAsia" w:eastAsia="仿宋_GB2312"/>
          <w:sz w:val="32"/>
          <w:szCs w:val="32"/>
          <w:lang w:val="en-US" w:eastAsia="zh-CN"/>
        </w:rPr>
        <w:t>6.</w:t>
      </w:r>
      <w:r>
        <w:rPr>
          <w:rFonts w:eastAsia="仿宋_GB2312"/>
          <w:sz w:val="32"/>
          <w:szCs w:val="32"/>
        </w:rPr>
        <w:t>优化促进</w:t>
      </w:r>
      <w:r>
        <w:rPr>
          <w:rFonts w:hint="eastAsia" w:eastAsia="仿宋_GB2312"/>
          <w:sz w:val="32"/>
          <w:szCs w:val="32"/>
        </w:rPr>
        <w:t>收入分配</w:t>
      </w:r>
      <w:r>
        <w:rPr>
          <w:rFonts w:eastAsia="仿宋_GB2312"/>
          <w:sz w:val="32"/>
          <w:szCs w:val="32"/>
        </w:rPr>
        <w:t>制度改革</w:t>
      </w:r>
      <w:r>
        <w:rPr>
          <w:rFonts w:hint="eastAsia" w:eastAsia="仿宋_GB2312"/>
          <w:sz w:val="32"/>
          <w:szCs w:val="32"/>
          <w:lang w:eastAsia="zh-CN"/>
        </w:rPr>
        <w:t>。稳</w:t>
      </w:r>
      <w:r>
        <w:rPr>
          <w:rFonts w:hint="eastAsia" w:ascii="仿宋_GB2312" w:eastAsia="仿宋_GB2312"/>
          <w:bCs/>
          <w:sz w:val="32"/>
          <w:szCs w:val="32"/>
          <w:lang w:eastAsia="zh-CN"/>
        </w:rPr>
        <w:t>步推进收入分配制度改革，增加城乡居民收入、扩大中等收入群体，让群众共享改革发展成果。</w:t>
      </w:r>
      <w:r>
        <w:rPr>
          <w:rFonts w:hint="eastAsia" w:ascii="仿宋_GB2312" w:eastAsia="仿宋_GB2312"/>
          <w:bCs/>
          <w:sz w:val="32"/>
          <w:szCs w:val="32"/>
        </w:rPr>
        <w:t>促进城镇居民人均可支配收入增长</w:t>
      </w:r>
      <w:r>
        <w:rPr>
          <w:rFonts w:hint="eastAsia" w:ascii="仿宋_GB2312" w:eastAsia="仿宋_GB2312"/>
          <w:bCs/>
          <w:sz w:val="32"/>
          <w:szCs w:val="32"/>
          <w:lang w:eastAsia="zh-CN"/>
        </w:rPr>
        <w:t>；落实企业工资收入分配制度；</w:t>
      </w:r>
      <w:r>
        <w:rPr>
          <w:rFonts w:hint="eastAsia" w:eastAsia="仿宋_GB2312"/>
          <w:sz w:val="32"/>
          <w:szCs w:val="32"/>
        </w:rPr>
        <w:t>加强</w:t>
      </w:r>
      <w:r>
        <w:rPr>
          <w:rFonts w:eastAsia="仿宋_GB2312"/>
          <w:sz w:val="32"/>
          <w:szCs w:val="32"/>
        </w:rPr>
        <w:t>薪酬调控指导</w:t>
      </w:r>
      <w:r>
        <w:rPr>
          <w:rFonts w:hint="eastAsia" w:eastAsia="仿宋_GB2312"/>
          <w:sz w:val="32"/>
          <w:szCs w:val="32"/>
          <w:lang w:eastAsia="zh-CN"/>
        </w:rPr>
        <w:t>；</w:t>
      </w:r>
      <w:r>
        <w:rPr>
          <w:rFonts w:hint="eastAsia" w:ascii="仿宋_GB2312" w:hAnsi="仿宋_GB2312" w:eastAsia="仿宋_GB2312" w:cs="仿宋_GB2312"/>
          <w:bCs/>
          <w:sz w:val="32"/>
          <w:szCs w:val="32"/>
        </w:rPr>
        <w:t>完善事业单位收入分配制度</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sz w:val="32"/>
          <w:szCs w:val="32"/>
          <w:lang w:eastAsia="zh-CN"/>
        </w:rPr>
        <w:t>加强工资政策执行情况监管，完善与市级相关部门的工作协同机制，大力推进事业单位工资数据管理应用，</w:t>
      </w:r>
      <w:r>
        <w:rPr>
          <w:rFonts w:hint="eastAsia" w:ascii="仿宋_GB2312" w:eastAsia="仿宋_GB2312"/>
          <w:sz w:val="32"/>
          <w:szCs w:val="32"/>
        </w:rPr>
        <w:t>不断</w:t>
      </w:r>
      <w:r>
        <w:rPr>
          <w:rFonts w:hint="eastAsia" w:ascii="仿宋_GB2312" w:eastAsia="仿宋_GB2312"/>
          <w:sz w:val="32"/>
          <w:szCs w:val="32"/>
          <w:lang w:eastAsia="zh-CN"/>
        </w:rPr>
        <w:t>提升</w:t>
      </w:r>
      <w:r>
        <w:rPr>
          <w:rFonts w:hint="eastAsia" w:ascii="仿宋_GB2312" w:eastAsia="仿宋_GB2312"/>
          <w:sz w:val="32"/>
          <w:szCs w:val="32"/>
        </w:rPr>
        <w:t>事业单位工资业务经办规范化水平。做好服务业相关行业工资总额统计监测工作。</w:t>
      </w:r>
    </w:p>
    <w:p>
      <w:pPr>
        <w:spacing w:line="576" w:lineRule="exact"/>
        <w:ind w:firstLine="640"/>
        <w:rPr>
          <w:rFonts w:ascii="仿宋_GB2312" w:eastAsia="仿宋_GB2312" w:cs="仿宋_GB2312"/>
          <w:sz w:val="32"/>
          <w:szCs w:val="32"/>
        </w:rPr>
      </w:pP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做好农民工服务保障</w:t>
      </w:r>
      <w:r>
        <w:rPr>
          <w:rFonts w:hint="eastAsia" w:ascii="仿宋_GB2312" w:eastAsia="仿宋_GB2312" w:cs="仿宋_GB2312"/>
          <w:sz w:val="32"/>
          <w:szCs w:val="32"/>
          <w:lang w:eastAsia="zh-CN"/>
        </w:rPr>
        <w:t>。</w:t>
      </w:r>
      <w:r>
        <w:rPr>
          <w:rFonts w:ascii="仿宋_GB2312" w:eastAsia="仿宋_GB2312" w:cs="仿宋_GB2312"/>
          <w:sz w:val="32"/>
          <w:szCs w:val="32"/>
        </w:rPr>
        <w:t>强化农民工全过程、精细化服务保障，着力稳就业、兴创业、提技能、强保障、促融入，促进农民工高质量充分就业。全年回引返乡创业3000人，农民工转移就业稳定在95万人，实现劳务收入350亿元。大力促进农民工返乡就业创业</w:t>
      </w:r>
      <w:r>
        <w:rPr>
          <w:rFonts w:hint="eastAsia" w:ascii="仿宋_GB2312" w:eastAsia="仿宋_GB2312" w:cs="仿宋_GB2312"/>
          <w:sz w:val="32"/>
          <w:szCs w:val="32"/>
          <w:lang w:eastAsia="zh-CN"/>
        </w:rPr>
        <w:t>；</w:t>
      </w:r>
      <w:r>
        <w:rPr>
          <w:rFonts w:ascii="仿宋_GB2312" w:eastAsia="仿宋_GB2312" w:cs="仿宋_GB2312"/>
          <w:sz w:val="32"/>
          <w:szCs w:val="32"/>
        </w:rPr>
        <w:t>开展县域农民工市民化质量提升行动</w:t>
      </w:r>
      <w:r>
        <w:rPr>
          <w:rFonts w:hint="eastAsia" w:ascii="仿宋_GB2312" w:eastAsia="仿宋_GB2312" w:cs="仿宋_GB2312"/>
          <w:sz w:val="32"/>
          <w:szCs w:val="32"/>
          <w:lang w:eastAsia="zh-CN"/>
        </w:rPr>
        <w:t>；</w:t>
      </w:r>
      <w:r>
        <w:rPr>
          <w:rFonts w:ascii="仿宋_GB2312" w:eastAsia="仿宋_GB2312" w:cs="仿宋_GB2312"/>
          <w:sz w:val="32"/>
          <w:szCs w:val="32"/>
        </w:rPr>
        <w:t>全面发力乡村振兴人社帮扶。</w:t>
      </w:r>
    </w:p>
    <w:p>
      <w:pPr>
        <w:spacing w:line="576" w:lineRule="exact"/>
        <w:ind w:firstLine="640"/>
        <w:rPr>
          <w:rFonts w:ascii="仿宋_GB2312" w:eastAsia="仿宋_GB2312" w:cs="仿宋_GB2312"/>
          <w:sz w:val="32"/>
          <w:szCs w:val="32"/>
        </w:rPr>
      </w:pP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统筹抓好综合性基础工作</w:t>
      </w:r>
      <w:r>
        <w:rPr>
          <w:rFonts w:hint="eastAsia" w:ascii="仿宋_GB2312" w:eastAsia="仿宋_GB2312" w:cs="仿宋_GB2312"/>
          <w:sz w:val="32"/>
          <w:szCs w:val="32"/>
          <w:lang w:eastAsia="zh-CN"/>
        </w:rPr>
        <w:t>。</w:t>
      </w:r>
      <w:r>
        <w:rPr>
          <w:rFonts w:ascii="仿宋_GB2312" w:eastAsia="仿宋_GB2312" w:cs="仿宋_GB2312"/>
          <w:sz w:val="32"/>
          <w:szCs w:val="32"/>
        </w:rPr>
        <w:t>深入推进人社法治建设，持续巩固法治人社示范创建成果，严格依法行政，进一步规范行政执法、加强行政争议处理和执法监督，做好重大行政决策事项合法性审查和规范性文件管理。统筹实施人社普法教育、行政执法人员培训、国家工作人员学法考法、市公民法治素养提升等工作。高质量开展人社重大课题调查研究和推进深化改革工作。</w:t>
      </w:r>
      <w:r>
        <w:rPr>
          <w:rFonts w:hint="eastAsia" w:ascii="仿宋_GB2312" w:eastAsia="仿宋_GB2312"/>
          <w:spacing w:val="2"/>
          <w:sz w:val="32"/>
          <w:szCs w:val="32"/>
        </w:rPr>
        <w:t>深化人社区域合作</w:t>
      </w:r>
      <w:r>
        <w:rPr>
          <w:rFonts w:ascii="仿宋_GB2312" w:eastAsia="仿宋_GB2312"/>
          <w:spacing w:val="2"/>
          <w:sz w:val="32"/>
          <w:szCs w:val="32"/>
        </w:rPr>
        <w:t>，</w:t>
      </w:r>
      <w:r>
        <w:rPr>
          <w:rFonts w:hint="eastAsia" w:ascii="仿宋_GB2312" w:eastAsia="仿宋_GB2312"/>
          <w:spacing w:val="2"/>
          <w:sz w:val="32"/>
          <w:szCs w:val="32"/>
        </w:rPr>
        <w:t>主动融入成渝地区双城经济圈建设，加强与重庆、成都、杭州、西安、陇南、绵阳等地人社合作，积极推进就业、社保、人才人事、劳动关系等重点领域政策协同、服务协同和数据共享。</w:t>
      </w:r>
      <w:r>
        <w:rPr>
          <w:rFonts w:ascii="仿宋_GB2312" w:eastAsia="仿宋_GB2312"/>
          <w:spacing w:val="2"/>
          <w:sz w:val="32"/>
          <w:szCs w:val="32"/>
        </w:rPr>
        <w:t>统筹做好</w:t>
      </w:r>
      <w:r>
        <w:rPr>
          <w:rFonts w:ascii="仿宋_GB2312" w:eastAsia="仿宋_GB2312" w:cs="仿宋_GB2312"/>
          <w:sz w:val="32"/>
          <w:szCs w:val="32"/>
        </w:rPr>
        <w:t>安全生产、信访维稳、国安保密和离退休干部工作，加强政务公开、新闻宣传，深入开展政策宣传解读，加大先进典型宣传，做好舆情应对处置等工作。</w:t>
      </w:r>
    </w:p>
    <w:p>
      <w:pPr>
        <w:spacing w:line="576" w:lineRule="exact"/>
        <w:ind w:firstLine="640"/>
        <w:rPr>
          <w:rFonts w:hint="eastAsia"/>
        </w:rPr>
      </w:pPr>
      <w:r>
        <w:rPr>
          <w:rFonts w:hint="eastAsia" w:ascii="仿宋_GB2312" w:hAnsi="仿宋_GB2312" w:eastAsia="仿宋_GB2312" w:cs="仿宋_GB2312"/>
          <w:color w:val="auto"/>
          <w:kern w:val="0"/>
          <w:sz w:val="32"/>
          <w:szCs w:val="32"/>
          <w:lang w:val="en-US" w:eastAsia="zh-CN" w:bidi="ar-SA"/>
        </w:rPr>
        <w:t>9.全面加强党的建设。巩固拓展主题教育成果</w:t>
      </w:r>
      <w:r>
        <w:rPr>
          <w:rFonts w:hint="eastAsia" w:ascii="仿宋_GB2312" w:hAnsi="仿宋_GB2312" w:eastAsia="仿宋_GB2312" w:cs="仿宋_GB2312"/>
          <w:bCs/>
          <w:kern w:val="0"/>
          <w:sz w:val="32"/>
          <w:szCs w:val="32"/>
          <w:lang w:bidi="ar-SA"/>
        </w:rPr>
        <w:t>。坚持不懈用习近平新时代中国特色社会主义思想凝心铸魂，</w:t>
      </w:r>
      <w:r>
        <w:rPr>
          <w:rFonts w:hint="eastAsia" w:ascii="仿宋_GB2312" w:hAnsi="仿宋_GB2312" w:eastAsia="仿宋_GB2312" w:cs="仿宋_GB2312"/>
          <w:kern w:val="0"/>
          <w:sz w:val="32"/>
          <w:szCs w:val="32"/>
          <w:lang w:bidi="ar-SA"/>
        </w:rPr>
        <w:t>坚持把政治建设摆在首位，强化党的全面领导，坚定以习近平新时代中国特色社会主义思想为指导，深入学习贯彻党的二十大精神和习近平总书记来川来广视察重要指示精神，不断提高理论指导实践能力和水平。压实意识形态工作责任制，牢牢把握意识形态工作领导权。</w:t>
      </w:r>
      <w:r>
        <w:rPr>
          <w:rFonts w:hint="eastAsia" w:ascii="仿宋_GB2312" w:hAnsi="仿宋_GB2312" w:eastAsia="仿宋_GB2312" w:cs="仿宋_GB2312"/>
          <w:bCs/>
          <w:kern w:val="0"/>
          <w:sz w:val="32"/>
          <w:szCs w:val="32"/>
          <w:lang w:bidi="ar-SA"/>
        </w:rPr>
        <w:t>加强基层党组织建设，</w:t>
      </w:r>
      <w:r>
        <w:rPr>
          <w:rFonts w:hint="eastAsia" w:ascii="仿宋_GB2312" w:hAnsi="仿宋_GB2312" w:eastAsia="仿宋_GB2312" w:cs="仿宋_GB2312"/>
          <w:kern w:val="0"/>
          <w:sz w:val="32"/>
          <w:szCs w:val="32"/>
          <w:lang w:bidi="ar-SA"/>
        </w:rPr>
        <w:t>创新组织生活载体和形式，全面提升党内政治生活质量。纵深推进行业党建，抓紧抓实“两个覆盖”，推动人社行业党建全面提档升级。</w:t>
      </w:r>
      <w:r>
        <w:rPr>
          <w:rFonts w:ascii="仿宋_GB2312" w:eastAsia="仿宋_GB2312" w:cs="仿宋_GB2312"/>
          <w:sz w:val="32"/>
          <w:szCs w:val="32"/>
        </w:rPr>
        <w:t>做好监督执纪工作</w:t>
      </w:r>
      <w:r>
        <w:rPr>
          <w:rFonts w:hint="eastAsia" w:ascii="仿宋_GB2312" w:eastAsia="仿宋_GB2312" w:cs="仿宋_GB2312"/>
          <w:sz w:val="32"/>
          <w:szCs w:val="32"/>
          <w:lang w:eastAsia="zh-CN"/>
        </w:rPr>
        <w:t>；</w:t>
      </w:r>
      <w:r>
        <w:rPr>
          <w:rFonts w:hint="eastAsia" w:ascii="CESI仿宋-GB2312" w:hAnsi="CESI仿宋-GB2312" w:eastAsia="CESI仿宋-GB2312" w:cs="CESI仿宋-GB2312"/>
          <w:bCs/>
          <w:color w:val="000000"/>
          <w:kern w:val="0"/>
          <w:sz w:val="32"/>
          <w:szCs w:val="32"/>
          <w:shd w:val="clear" w:color="auto" w:fill="FFFFFF"/>
          <w:lang w:bidi="ar-SA"/>
        </w:rPr>
        <w:t>加强干部队伍建设</w:t>
      </w:r>
      <w:r>
        <w:rPr>
          <w:rFonts w:hint="eastAsia" w:ascii="CESI仿宋-GB2312" w:hAnsi="CESI仿宋-GB2312" w:eastAsia="CESI仿宋-GB2312" w:cs="CESI仿宋-GB2312"/>
          <w:bCs/>
          <w:color w:val="000000"/>
          <w:kern w:val="0"/>
          <w:sz w:val="32"/>
          <w:szCs w:val="32"/>
          <w:shd w:val="clear" w:color="auto" w:fill="FFFFFF"/>
          <w:lang w:eastAsia="zh-CN" w:bidi="ar-SA"/>
        </w:rPr>
        <w:t>；</w:t>
      </w:r>
      <w:r>
        <w:rPr>
          <w:rFonts w:hint="eastAsia" w:ascii="CESI仿宋-GB2312" w:hAnsi="CESI仿宋-GB2312" w:eastAsia="CESI仿宋-GB2312" w:cs="CESI仿宋-GB2312"/>
          <w:color w:val="000000"/>
          <w:kern w:val="0"/>
          <w:sz w:val="32"/>
          <w:szCs w:val="32"/>
          <w:shd w:val="clear" w:color="auto" w:fill="FFFFFF"/>
          <w:lang w:bidi="ar-SA"/>
        </w:rPr>
        <w:t>持</w:t>
      </w:r>
      <w:r>
        <w:rPr>
          <w:rFonts w:hint="eastAsia" w:ascii="仿宋_GB2312" w:hAnsi="Times New Roman" w:eastAsia="仿宋_GB2312" w:cs="Times New Roman"/>
          <w:spacing w:val="0"/>
          <w:sz w:val="32"/>
          <w:szCs w:val="32"/>
          <w:lang w:eastAsia="zh-CN"/>
        </w:rPr>
        <w:t>续优化干部选任机制</w:t>
      </w:r>
      <w:r>
        <w:rPr>
          <w:rFonts w:ascii="仿宋_GB2312" w:hAnsi="Times New Roman" w:eastAsia="仿宋_GB2312" w:cs="Times New Roman"/>
          <w:spacing w:val="0"/>
          <w:sz w:val="32"/>
          <w:szCs w:val="32"/>
          <w:lang w:eastAsia="zh-CN"/>
        </w:rPr>
        <w:t>，</w:t>
      </w:r>
      <w:r>
        <w:rPr>
          <w:rFonts w:hint="eastAsia" w:ascii="仿宋_GB2312" w:hAnsi="宋体" w:eastAsia="仿宋_GB2312" w:cs="仿宋_GB2312"/>
          <w:color w:val="000000"/>
          <w:kern w:val="0"/>
          <w:sz w:val="32"/>
          <w:szCs w:val="32"/>
          <w:lang w:eastAsia="zh-CN"/>
        </w:rPr>
        <w:t>组织</w:t>
      </w:r>
      <w:r>
        <w:rPr>
          <w:rFonts w:hint="eastAsia" w:ascii="仿宋_GB2312" w:hAnsi="宋体" w:eastAsia="仿宋_GB2312" w:cs="仿宋_GB2312"/>
          <w:color w:val="000000"/>
          <w:kern w:val="0"/>
          <w:sz w:val="32"/>
          <w:szCs w:val="32"/>
        </w:rPr>
        <w:t>实施“干部争先提</w:t>
      </w:r>
      <w:r>
        <w:rPr>
          <w:rFonts w:hint="eastAsia" w:ascii="仿宋_GB2312" w:hAnsi="仿宋_GB2312" w:eastAsia="仿宋_GB2312" w:cs="仿宋_GB2312"/>
          <w:sz w:val="32"/>
          <w:szCs w:val="32"/>
        </w:rPr>
        <w:t>能”四大专项行动，</w:t>
      </w:r>
      <w:r>
        <w:rPr>
          <w:rFonts w:hint="eastAsia" w:ascii="仿宋_GB2312" w:eastAsia="仿宋_GB2312"/>
          <w:spacing w:val="0"/>
          <w:sz w:val="32"/>
          <w:szCs w:val="32"/>
          <w:lang w:val="en-US" w:eastAsia="zh-CN"/>
        </w:rPr>
        <w:t>结合</w:t>
      </w:r>
      <w:r>
        <w:rPr>
          <w:rFonts w:hint="eastAsia" w:ascii="仿宋_GB2312" w:eastAsia="仿宋_GB2312"/>
          <w:spacing w:val="0"/>
          <w:sz w:val="32"/>
          <w:szCs w:val="32"/>
        </w:rPr>
        <w:t>轮岗交流、上挂下派等方式</w:t>
      </w:r>
      <w:r>
        <w:rPr>
          <w:rFonts w:hint="eastAsia" w:ascii="仿宋_GB2312" w:eastAsia="仿宋_GB2312"/>
          <w:spacing w:val="0"/>
          <w:sz w:val="32"/>
          <w:szCs w:val="32"/>
          <w:lang w:eastAsia="zh-CN"/>
        </w:rPr>
        <w:t>，</w:t>
      </w:r>
      <w:r>
        <w:rPr>
          <w:rFonts w:hint="eastAsia" w:ascii="仿宋_GB2312" w:eastAsia="仿宋_GB2312"/>
          <w:spacing w:val="0"/>
          <w:sz w:val="32"/>
          <w:szCs w:val="32"/>
        </w:rPr>
        <w:t>合理调配工作力量，</w:t>
      </w:r>
      <w:r>
        <w:rPr>
          <w:rFonts w:hint="eastAsia" w:ascii="仿宋_GB2312" w:eastAsia="仿宋_GB2312"/>
          <w:spacing w:val="0"/>
          <w:sz w:val="32"/>
          <w:szCs w:val="32"/>
          <w:lang w:val="en-US" w:eastAsia="zh-CN"/>
        </w:rPr>
        <w:t>进一步</w:t>
      </w:r>
      <w:r>
        <w:rPr>
          <w:rFonts w:hint="eastAsia" w:ascii="仿宋_GB2312" w:eastAsia="仿宋_GB2312"/>
          <w:spacing w:val="0"/>
          <w:sz w:val="32"/>
          <w:szCs w:val="32"/>
        </w:rPr>
        <w:t>优化干部人才梯队</w:t>
      </w:r>
      <w:r>
        <w:rPr>
          <w:rFonts w:hint="eastAsia" w:ascii="仿宋_GB2312" w:eastAsia="仿宋_GB2312"/>
          <w:spacing w:val="0"/>
          <w:sz w:val="32"/>
          <w:szCs w:val="32"/>
          <w:lang w:eastAsia="zh-CN"/>
        </w:rPr>
        <w:t>。</w:t>
      </w:r>
      <w:r>
        <w:rPr>
          <w:rFonts w:hint="eastAsia" w:ascii="仿宋_GB2312" w:eastAsia="仿宋_GB2312"/>
          <w:spacing w:val="0"/>
          <w:sz w:val="32"/>
          <w:szCs w:val="32"/>
          <w:lang w:val="en-US" w:eastAsia="zh-CN"/>
        </w:rPr>
        <w:t>不断优化年轻干部结构</w:t>
      </w:r>
      <w:r>
        <w:rPr>
          <w:rFonts w:ascii="仿宋_GB2312" w:eastAsia="仿宋_GB2312"/>
          <w:spacing w:val="0"/>
          <w:sz w:val="32"/>
          <w:szCs w:val="32"/>
          <w:lang w:val="en-US" w:eastAsia="zh-CN"/>
        </w:rPr>
        <w:t>，</w:t>
      </w:r>
      <w:r>
        <w:rPr>
          <w:rFonts w:hint="eastAsia" w:ascii="Times New Roman" w:hAnsi="Times New Roman" w:eastAsia="仿宋_GB2312" w:cs="Times New Roman"/>
          <w:sz w:val="32"/>
          <w:szCs w:val="32"/>
          <w:lang w:val="en-US" w:eastAsia="zh-CN"/>
        </w:rPr>
        <w:t>有序实施年轻干部红色薪火工程，运用结对帮带、调研实践、轮岗交流体验等多种方式，建立后备干部“蓄水池”</w:t>
      </w:r>
      <w:r>
        <w:rPr>
          <w:rFonts w:hint="eastAsia" w:ascii="仿宋_GB2312" w:eastAsia="仿宋_GB2312"/>
          <w:spacing w:val="0"/>
          <w:sz w:val="32"/>
          <w:szCs w:val="32"/>
          <w:lang w:val="en-US" w:eastAsia="zh-CN"/>
        </w:rPr>
        <w:t>，探索建立动态调整的局系统科级后备干部库。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lang w:val="en-US" w:eastAsia="zh-CN"/>
        </w:rPr>
      </w:pPr>
      <w:bookmarkStart w:id="4" w:name="_Toc19307"/>
      <w:r>
        <w:rPr>
          <w:rFonts w:hint="eastAsia" w:ascii="黑体" w:hAnsi="黑体" w:eastAsia="黑体" w:cs="黑体"/>
          <w:sz w:val="32"/>
          <w:szCs w:val="32"/>
          <w:lang w:val="en-US" w:eastAsia="zh-CN"/>
        </w:rPr>
        <w:t>二、部门预算单位构成</w:t>
      </w:r>
      <w:bookmarkEnd w:id="4"/>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广元市人力资源和社会保障局下属二级预算单位7个，其中行政单位1个，参照公务员法管理的事业单位4个，其他事业单位2个。主要包括：</w:t>
      </w:r>
      <w:r>
        <w:rPr>
          <w:rFonts w:hint="eastAsia" w:ascii="仿宋_GB2312" w:hAnsi="Times New Roman" w:eastAsia="仿宋_GB2312" w:cs="仿宋_GB2312"/>
          <w:color w:val="333333"/>
          <w:kern w:val="0"/>
          <w:sz w:val="32"/>
          <w:szCs w:val="32"/>
          <w:shd w:val="clear" w:color="auto" w:fill="FFFFFF"/>
          <w:lang w:bidi="ar"/>
        </w:rPr>
        <w:t>广元市人力资源和社会保障局机关、广元市就业创业促进中心、广元市农民工服务中心、广元市社会保险事务中心、广元市人事劳动争议仲裁院、广元市人才交流中心、广元市人事考试中心。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bookmarkStart w:id="5" w:name="_Toc22361"/>
      <w:r>
        <w:rPr>
          <w:rFonts w:hint="eastAsia" w:ascii="黑体" w:hAnsi="黑体" w:eastAsia="黑体" w:cs="黑体"/>
          <w:sz w:val="32"/>
          <w:szCs w:val="32"/>
          <w:lang w:val="en-US" w:eastAsia="zh-CN"/>
        </w:rPr>
        <w:t>三、收支预算情况说明</w:t>
      </w:r>
      <w:bookmarkEnd w:id="5"/>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按照综合预算的原则，</w:t>
      </w:r>
      <w:r>
        <w:rPr>
          <w:rFonts w:hint="eastAsia" w:ascii="仿宋_GB2312" w:hAnsi="Times New Roman" w:eastAsia="仿宋_GB2312" w:cs="仿宋_GB2312"/>
          <w:color w:val="333333"/>
          <w:kern w:val="0"/>
          <w:sz w:val="32"/>
          <w:szCs w:val="32"/>
          <w:shd w:val="clear" w:color="auto" w:fill="FFFFFF"/>
          <w:lang w:bidi="ar"/>
        </w:rPr>
        <w:t>广元市人力资源和社会保障局</w:t>
      </w:r>
      <w:r>
        <w:rPr>
          <w:rFonts w:hint="eastAsia" w:ascii="仿宋_GB2312" w:hAnsi="仿宋_GB2312" w:eastAsia="仿宋_GB2312" w:cs="仿宋_GB2312"/>
          <w:sz w:val="32"/>
          <w:szCs w:val="32"/>
          <w:lang w:val="en-US" w:eastAsia="zh-CN"/>
        </w:rPr>
        <w:t>所有收入和支出均纳入部门预算管理。收入均是一般公共预算拨款收入；支出包括：社会保障和就业支出、卫生健康支出、农林水支出、住房保障支出。广元市人力资源和社会保障局2024年收支预算总数5458.50万元,比2023年收支预算总数增加154.77万元，主要原因：一是2024年新增人事考务工作经费预算40万元；二是2024年将在编制职工年度考核奖以每人8000元的标准列入年初预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6" w:name="_Toc16083"/>
      <w:r>
        <w:rPr>
          <w:rFonts w:hint="eastAsia" w:ascii="楷体_GB2312" w:hAnsi="楷体_GB2312" w:eastAsia="楷体_GB2312" w:cs="楷体_GB2312"/>
          <w:sz w:val="32"/>
          <w:szCs w:val="32"/>
          <w:lang w:val="en-US" w:eastAsia="zh-CN"/>
        </w:rPr>
        <w:t>（一）收入预算情况</w:t>
      </w:r>
      <w:bookmarkEnd w:id="6"/>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Times New Roman" w:eastAsia="仿宋_GB2312" w:cs="仿宋_GB2312"/>
          <w:color w:val="333333"/>
          <w:kern w:val="0"/>
          <w:sz w:val="32"/>
          <w:szCs w:val="32"/>
          <w:shd w:val="clear" w:color="auto" w:fill="FFFFFF"/>
          <w:lang w:bidi="ar"/>
        </w:rPr>
        <w:t>广元市人力资源和社会保障局</w:t>
      </w:r>
      <w:r>
        <w:rPr>
          <w:rFonts w:hint="eastAsia" w:ascii="仿宋_GB2312" w:hAnsi="仿宋_GB2312" w:eastAsia="仿宋_GB2312" w:cs="仿宋_GB2312"/>
          <w:sz w:val="32"/>
          <w:szCs w:val="32"/>
          <w:lang w:val="en-US" w:eastAsia="zh-CN"/>
        </w:rPr>
        <w:t>2024年收入预算5458.50万元，其中：一般公共预算拨款收入5458.50万元，占100%。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7" w:name="_Toc1606"/>
      <w:r>
        <w:rPr>
          <w:rFonts w:hint="eastAsia" w:ascii="楷体_GB2312" w:hAnsi="楷体_GB2312" w:eastAsia="楷体_GB2312" w:cs="楷体_GB2312"/>
          <w:sz w:val="32"/>
          <w:szCs w:val="32"/>
          <w:lang w:val="en-US" w:eastAsia="zh-CN"/>
        </w:rPr>
        <w:t>（二）支出预算情况</w:t>
      </w:r>
      <w:bookmarkEnd w:id="7"/>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Times New Roman" w:eastAsia="仿宋_GB2312" w:cs="仿宋_GB2312"/>
          <w:color w:val="333333"/>
          <w:kern w:val="0"/>
          <w:sz w:val="32"/>
          <w:szCs w:val="32"/>
          <w:shd w:val="clear" w:color="auto" w:fill="FFFFFF"/>
          <w:lang w:bidi="ar"/>
        </w:rPr>
        <w:t>广元市人力资源和社会保障局</w:t>
      </w:r>
      <w:r>
        <w:rPr>
          <w:rFonts w:hint="eastAsia" w:ascii="仿宋_GB2312" w:hAnsi="仿宋_GB2312" w:eastAsia="仿宋_GB2312" w:cs="仿宋_GB2312"/>
          <w:sz w:val="32"/>
          <w:szCs w:val="32"/>
          <w:lang w:val="en-US" w:eastAsia="zh-CN"/>
        </w:rPr>
        <w:t>2024年支出预算5458.50万元，其中：基本支出4455.58万元，占81.63%；项目支出1002.92万元，占18.37%</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bookmarkStart w:id="8" w:name="_Toc5939"/>
      <w:r>
        <w:rPr>
          <w:rFonts w:hint="eastAsia" w:ascii="黑体" w:hAnsi="黑体" w:eastAsia="黑体" w:cs="黑体"/>
          <w:sz w:val="32"/>
          <w:szCs w:val="32"/>
          <w:lang w:val="en-US" w:eastAsia="zh-CN"/>
        </w:rPr>
        <w:t>四、财政拨款收支预算情况说明</w:t>
      </w:r>
      <w:bookmarkEnd w:id="8"/>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Times New Roman" w:eastAsia="仿宋_GB2312" w:cs="仿宋_GB2312"/>
          <w:color w:val="333333"/>
          <w:kern w:val="0"/>
          <w:sz w:val="32"/>
          <w:szCs w:val="32"/>
          <w:shd w:val="clear" w:color="auto" w:fill="FFFFFF"/>
          <w:lang w:bidi="ar"/>
        </w:rPr>
        <w:t>广元市人力资源和社会保障局</w:t>
      </w:r>
      <w:r>
        <w:rPr>
          <w:rFonts w:hint="eastAsia" w:ascii="仿宋_GB2312" w:hAnsi="仿宋_GB2312" w:eastAsia="仿宋_GB2312" w:cs="仿宋_GB2312"/>
          <w:sz w:val="32"/>
          <w:szCs w:val="32"/>
          <w:lang w:val="en-US" w:eastAsia="zh-CN"/>
        </w:rPr>
        <w:t>2024年财政拨款收支预算总数5458.50万元,比2023年财政拨款收支预算总数增加154.77万元，主要原因：一是2024年新增人事考务工作经费预算40万元；二是2024年将在编制职工年度考核奖每人8000元的标准列入年初预算。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收入5458.50万元均为本年一般公共预算拨款收入；支出包括：社会保障和就业支出4994.59万元、卫生健康支出128.53万元、农林水支出3.64万元，住房保障支出331.74万元。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lang w:val="en-US" w:eastAsia="zh-CN"/>
        </w:rPr>
      </w:pPr>
      <w:bookmarkStart w:id="9" w:name="_Toc19405"/>
      <w:r>
        <w:rPr>
          <w:rFonts w:hint="eastAsia" w:ascii="黑体" w:hAnsi="黑体" w:eastAsia="黑体" w:cs="黑体"/>
          <w:sz w:val="32"/>
          <w:szCs w:val="32"/>
          <w:lang w:val="en-US" w:eastAsia="zh-CN"/>
        </w:rPr>
        <w:t>五、一般公共预算当年拨款情况说明</w:t>
      </w:r>
      <w:bookmarkEnd w:id="9"/>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10" w:name="_Toc24655"/>
      <w:r>
        <w:rPr>
          <w:rFonts w:hint="eastAsia" w:ascii="楷体_GB2312" w:hAnsi="楷体_GB2312" w:eastAsia="楷体_GB2312" w:cs="楷体_GB2312"/>
          <w:sz w:val="32"/>
          <w:szCs w:val="32"/>
          <w:lang w:val="en-US" w:eastAsia="zh-CN"/>
        </w:rPr>
        <w:t>（一）一般公共预算当年拨款规模变化情况</w:t>
      </w:r>
      <w:bookmarkEnd w:id="1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Times New Roman" w:eastAsia="仿宋_GB2312" w:cs="仿宋_GB2312"/>
          <w:color w:val="333333"/>
          <w:kern w:val="0"/>
          <w:sz w:val="32"/>
          <w:szCs w:val="32"/>
          <w:shd w:val="clear" w:color="auto" w:fill="FFFFFF"/>
          <w:lang w:bidi="ar"/>
        </w:rPr>
        <w:t>广元市人力资源和社会保障局</w:t>
      </w:r>
      <w:r>
        <w:rPr>
          <w:rFonts w:hint="eastAsia" w:ascii="仿宋_GB2312" w:hAnsi="仿宋_GB2312" w:eastAsia="仿宋_GB2312" w:cs="仿宋_GB2312"/>
          <w:sz w:val="32"/>
          <w:szCs w:val="32"/>
          <w:lang w:val="en-US" w:eastAsia="zh-CN"/>
        </w:rPr>
        <w:t>2024年一般公共预算当年拨款5458.50万元，比2023年预算数增加154.77万元，主要原因：一是2024年新增人事考务工作经费预算40万元；二是2024年将在编制职工年度考核奖每人8000元的标准列入年初预算。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11" w:name="_Toc4740"/>
      <w:r>
        <w:rPr>
          <w:rFonts w:hint="eastAsia" w:ascii="楷体_GB2312" w:hAnsi="楷体_GB2312" w:eastAsia="楷体_GB2312" w:cs="楷体_GB2312"/>
          <w:sz w:val="32"/>
          <w:szCs w:val="32"/>
          <w:lang w:val="en-US" w:eastAsia="zh-CN"/>
        </w:rPr>
        <w:t>（二）一般公共预算当年拨款结构情况</w:t>
      </w:r>
      <w:bookmarkEnd w:id="11"/>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社会保障和就业支出4994.59万元，占91.50%；卫生健康支出128.53万元，占2.35%；农林水支出3.64万元，占0.07%；住房保障支出331.74万元，占6.08%。</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12" w:name="_Toc22695"/>
      <w:r>
        <w:rPr>
          <w:rFonts w:hint="eastAsia" w:ascii="楷体_GB2312" w:hAnsi="楷体_GB2312" w:eastAsia="楷体_GB2312" w:cs="楷体_GB2312"/>
          <w:sz w:val="32"/>
          <w:szCs w:val="32"/>
          <w:lang w:val="en-US" w:eastAsia="zh-CN"/>
        </w:rPr>
        <w:t>（三）一般公共预算当年拨款具体使用情况</w:t>
      </w:r>
      <w:bookmarkEnd w:id="12"/>
    </w:p>
    <w:p>
      <w:pPr>
        <w:widowControl/>
        <w:pBdr>
          <w:bottom w:val="single" w:color="FFFFFF" w:sz="8" w:space="31"/>
        </w:pBdr>
        <w:shd w:val="clear" w:color="auto" w:fill="FFFFFF"/>
        <w:spacing w:line="580" w:lineRule="atLeast"/>
        <w:ind w:firstLine="640" w:firstLineChars="200"/>
        <w:rPr>
          <w:rFonts w:hint="eastAsia" w:ascii="Times New Roman" w:hAnsi="Times New Roman"/>
          <w:color w:val="333333"/>
          <w:sz w:val="32"/>
          <w:szCs w:val="32"/>
        </w:rPr>
      </w:pPr>
      <w:r>
        <w:rPr>
          <w:rFonts w:hint="eastAsia" w:ascii="仿宋_GB2312" w:hAnsi="Times New Roman" w:eastAsia="仿宋_GB2312" w:cs="仿宋_GB2312"/>
          <w:color w:val="333333"/>
          <w:kern w:val="0"/>
          <w:sz w:val="32"/>
          <w:szCs w:val="32"/>
          <w:shd w:val="clear" w:color="auto" w:fill="FFFFFF"/>
          <w:lang w:val="en-US" w:eastAsia="zh-CN" w:bidi="ar"/>
        </w:rPr>
        <w:t>1.社会</w:t>
      </w:r>
      <w:r>
        <w:rPr>
          <w:rFonts w:hint="eastAsia" w:ascii="仿宋_GB2312" w:hAnsi="Times New Roman" w:eastAsia="仿宋_GB2312" w:cs="仿宋_GB2312"/>
          <w:color w:val="333333"/>
          <w:kern w:val="0"/>
          <w:sz w:val="32"/>
          <w:szCs w:val="32"/>
          <w:shd w:val="clear" w:color="auto" w:fill="FFFFFF"/>
          <w:lang w:bidi="ar"/>
        </w:rPr>
        <w:t>保障和就业（类）人力资源和社会保障管理事务（款）行政运行（项）202</w:t>
      </w:r>
      <w:r>
        <w:rPr>
          <w:rFonts w:hint="eastAsia" w:ascii="仿宋_GB2312" w:hAnsi="Times New Roman" w:eastAsia="仿宋_GB2312" w:cs="仿宋_GB2312"/>
          <w:color w:val="333333"/>
          <w:kern w:val="0"/>
          <w:sz w:val="32"/>
          <w:szCs w:val="32"/>
          <w:shd w:val="clear" w:color="auto" w:fill="FFFFFF"/>
          <w:lang w:val="en-US" w:eastAsia="zh-CN" w:bidi="ar"/>
        </w:rPr>
        <w:t>4</w:t>
      </w:r>
      <w:r>
        <w:rPr>
          <w:rFonts w:hint="eastAsia" w:ascii="仿宋_GB2312" w:hAnsi="Times New Roman" w:eastAsia="仿宋_GB2312" w:cs="仿宋_GB2312"/>
          <w:color w:val="333333"/>
          <w:kern w:val="0"/>
          <w:sz w:val="32"/>
          <w:szCs w:val="32"/>
          <w:shd w:val="clear" w:color="auto" w:fill="FFFFFF"/>
          <w:lang w:bidi="ar"/>
        </w:rPr>
        <w:t>年预算数为</w:t>
      </w:r>
      <w:r>
        <w:rPr>
          <w:rFonts w:hint="eastAsia" w:ascii="Times New Roman" w:hAnsi="Times New Roman" w:eastAsia="仿宋_GB2312"/>
          <w:color w:val="333333"/>
          <w:kern w:val="0"/>
          <w:sz w:val="32"/>
          <w:szCs w:val="32"/>
          <w:shd w:val="clear" w:color="auto" w:fill="FFFFFF"/>
          <w:lang w:val="en-US" w:eastAsia="zh-CN" w:bidi="ar"/>
        </w:rPr>
        <w:t>1486</w:t>
      </w:r>
      <w:r>
        <w:rPr>
          <w:rFonts w:hint="eastAsia" w:ascii="仿宋_GB2312" w:hAnsi="Times New Roman" w:eastAsia="仿宋_GB2312" w:cs="仿宋_GB2312"/>
          <w:color w:val="333333"/>
          <w:kern w:val="0"/>
          <w:sz w:val="32"/>
          <w:szCs w:val="32"/>
          <w:shd w:val="clear" w:color="auto" w:fill="FFFFFF"/>
          <w:lang w:bidi="ar"/>
        </w:rPr>
        <w:t>万元，主要用于：机关人员经费及基本公用经费支出。</w:t>
      </w:r>
    </w:p>
    <w:p>
      <w:pPr>
        <w:widowControl/>
        <w:pBdr>
          <w:bottom w:val="single" w:color="FFFFFF" w:sz="8" w:space="31"/>
        </w:pBdr>
        <w:shd w:val="clear" w:color="auto" w:fill="FFFFFF"/>
        <w:spacing w:line="580" w:lineRule="atLeast"/>
        <w:ind w:firstLine="640" w:firstLineChars="200"/>
        <w:rPr>
          <w:rFonts w:hint="eastAsia" w:ascii="仿宋_GB2312" w:hAnsi="Times New Roman" w:eastAsia="仿宋_GB2312" w:cs="仿宋_GB2312"/>
          <w:color w:val="333333"/>
          <w:kern w:val="0"/>
          <w:sz w:val="32"/>
          <w:szCs w:val="32"/>
          <w:shd w:val="clear" w:color="auto" w:fill="FFFFFF"/>
          <w:lang w:bidi="ar"/>
        </w:rPr>
      </w:pPr>
      <w:r>
        <w:rPr>
          <w:rFonts w:hint="eastAsia" w:ascii="仿宋_GB2312" w:hAnsi="Times New Roman" w:eastAsia="仿宋_GB2312" w:cs="仿宋_GB2312"/>
          <w:color w:val="333333"/>
          <w:kern w:val="0"/>
          <w:sz w:val="32"/>
          <w:szCs w:val="32"/>
          <w:shd w:val="clear" w:color="auto" w:fill="FFFFFF"/>
          <w:lang w:val="en-US" w:eastAsia="zh-CN" w:bidi="ar"/>
        </w:rPr>
        <w:t>2</w:t>
      </w:r>
      <w:r>
        <w:rPr>
          <w:rFonts w:hint="eastAsia" w:ascii="仿宋_GB2312" w:hAnsi="Times New Roman" w:eastAsia="仿宋_GB2312" w:cs="仿宋_GB2312"/>
          <w:color w:val="333333"/>
          <w:kern w:val="0"/>
          <w:sz w:val="32"/>
          <w:szCs w:val="32"/>
          <w:shd w:val="clear" w:color="auto" w:fill="FFFFFF"/>
          <w:lang w:bidi="ar"/>
        </w:rPr>
        <w:t>.社会保障和就业（类）人力资源和社会保障管理事务（款）一般行政管理事务（项）202</w:t>
      </w:r>
      <w:r>
        <w:rPr>
          <w:rFonts w:hint="eastAsia" w:ascii="仿宋_GB2312" w:hAnsi="Times New Roman" w:eastAsia="仿宋_GB2312" w:cs="仿宋_GB2312"/>
          <w:color w:val="333333"/>
          <w:kern w:val="0"/>
          <w:sz w:val="32"/>
          <w:szCs w:val="32"/>
          <w:shd w:val="clear" w:color="auto" w:fill="FFFFFF"/>
          <w:lang w:val="en-US" w:eastAsia="zh-CN" w:bidi="ar"/>
        </w:rPr>
        <w:t>4</w:t>
      </w:r>
      <w:r>
        <w:rPr>
          <w:rFonts w:hint="eastAsia" w:ascii="仿宋_GB2312" w:hAnsi="Times New Roman" w:eastAsia="仿宋_GB2312" w:cs="仿宋_GB2312"/>
          <w:color w:val="333333"/>
          <w:kern w:val="0"/>
          <w:sz w:val="32"/>
          <w:szCs w:val="32"/>
          <w:shd w:val="clear" w:color="auto" w:fill="FFFFFF"/>
          <w:lang w:bidi="ar"/>
        </w:rPr>
        <w:t>年预算数为</w:t>
      </w:r>
      <w:r>
        <w:rPr>
          <w:rFonts w:hint="eastAsia" w:ascii="Times New Roman" w:hAnsi="Times New Roman" w:eastAsia="仿宋_GB2312"/>
          <w:color w:val="333333"/>
          <w:kern w:val="0"/>
          <w:sz w:val="32"/>
          <w:szCs w:val="32"/>
          <w:shd w:val="clear" w:color="auto" w:fill="FFFFFF"/>
          <w:lang w:val="en-US" w:eastAsia="zh-CN" w:bidi="ar"/>
        </w:rPr>
        <w:t>225.50</w:t>
      </w:r>
      <w:r>
        <w:rPr>
          <w:rFonts w:hint="eastAsia" w:ascii="仿宋_GB2312" w:hAnsi="Times New Roman" w:eastAsia="仿宋_GB2312" w:cs="仿宋_GB2312"/>
          <w:color w:val="333333"/>
          <w:kern w:val="0"/>
          <w:sz w:val="32"/>
          <w:szCs w:val="32"/>
          <w:shd w:val="clear" w:color="auto" w:fill="FFFFFF"/>
          <w:lang w:bidi="ar"/>
        </w:rPr>
        <w:t>万元，主要用于：人事人才、职称评审、劳动能力鉴定、人力资源服务等相关支出。</w:t>
      </w:r>
    </w:p>
    <w:p>
      <w:pPr>
        <w:widowControl/>
        <w:pBdr>
          <w:bottom w:val="single" w:color="FFFFFF" w:sz="8" w:space="31"/>
        </w:pBdr>
        <w:shd w:val="clear" w:color="auto" w:fill="FFFFFF"/>
        <w:spacing w:line="580" w:lineRule="atLeast"/>
        <w:ind w:firstLine="640" w:firstLineChars="200"/>
        <w:rPr>
          <w:rFonts w:hint="eastAsia" w:ascii="仿宋_GB2312" w:hAnsi="Times New Roman" w:eastAsia="仿宋_GB2312" w:cs="仿宋_GB2312"/>
          <w:color w:val="333333"/>
          <w:kern w:val="0"/>
          <w:sz w:val="32"/>
          <w:szCs w:val="32"/>
          <w:shd w:val="clear" w:color="auto" w:fill="FFFFFF"/>
          <w:lang w:val="en-US" w:eastAsia="zh-CN" w:bidi="ar"/>
        </w:rPr>
      </w:pPr>
      <w:r>
        <w:rPr>
          <w:rFonts w:hint="eastAsia" w:ascii="仿宋_GB2312" w:hAnsi="Times New Roman" w:eastAsia="仿宋_GB2312" w:cs="仿宋_GB2312"/>
          <w:color w:val="333333"/>
          <w:kern w:val="0"/>
          <w:sz w:val="32"/>
          <w:szCs w:val="32"/>
          <w:shd w:val="clear" w:color="auto" w:fill="FFFFFF"/>
          <w:lang w:val="en-US" w:eastAsia="zh-CN" w:bidi="ar"/>
        </w:rPr>
        <w:t>3.</w:t>
      </w:r>
      <w:r>
        <w:rPr>
          <w:rFonts w:hint="eastAsia" w:ascii="仿宋_GB2312" w:hAnsi="Times New Roman" w:eastAsia="仿宋_GB2312" w:cs="仿宋_GB2312"/>
          <w:color w:val="333333"/>
          <w:kern w:val="0"/>
          <w:sz w:val="32"/>
          <w:szCs w:val="32"/>
          <w:shd w:val="clear" w:color="auto" w:fill="FFFFFF"/>
          <w:lang w:bidi="ar"/>
        </w:rPr>
        <w:t>社会保障和就业（类）人力资源和社会保障管理事务（款）综合业务管理（项）202</w:t>
      </w:r>
      <w:r>
        <w:rPr>
          <w:rFonts w:hint="eastAsia" w:ascii="仿宋_GB2312" w:hAnsi="Times New Roman" w:eastAsia="仿宋_GB2312" w:cs="仿宋_GB2312"/>
          <w:color w:val="333333"/>
          <w:kern w:val="0"/>
          <w:sz w:val="32"/>
          <w:szCs w:val="32"/>
          <w:shd w:val="clear" w:color="auto" w:fill="FFFFFF"/>
          <w:lang w:val="en-US" w:eastAsia="zh-CN" w:bidi="ar"/>
        </w:rPr>
        <w:t>4</w:t>
      </w:r>
      <w:r>
        <w:rPr>
          <w:rFonts w:hint="eastAsia" w:ascii="仿宋_GB2312" w:hAnsi="Times New Roman" w:eastAsia="仿宋_GB2312" w:cs="仿宋_GB2312"/>
          <w:color w:val="333333"/>
          <w:kern w:val="0"/>
          <w:sz w:val="32"/>
          <w:szCs w:val="32"/>
          <w:shd w:val="clear" w:color="auto" w:fill="FFFFFF"/>
          <w:lang w:bidi="ar"/>
        </w:rPr>
        <w:t>年预算数为</w:t>
      </w:r>
      <w:r>
        <w:rPr>
          <w:rFonts w:hint="eastAsia" w:ascii="Times New Roman" w:hAnsi="Times New Roman" w:eastAsia="仿宋_GB2312"/>
          <w:color w:val="333333"/>
          <w:kern w:val="0"/>
          <w:sz w:val="32"/>
          <w:szCs w:val="32"/>
          <w:shd w:val="clear" w:color="auto" w:fill="FFFFFF"/>
          <w:lang w:val="en-US" w:eastAsia="zh-CN" w:bidi="ar"/>
        </w:rPr>
        <w:t>169.05</w:t>
      </w:r>
      <w:r>
        <w:rPr>
          <w:rFonts w:hint="eastAsia" w:ascii="仿宋_GB2312" w:hAnsi="Times New Roman" w:eastAsia="仿宋_GB2312" w:cs="仿宋_GB2312"/>
          <w:color w:val="333333"/>
          <w:kern w:val="0"/>
          <w:sz w:val="32"/>
          <w:szCs w:val="32"/>
          <w:shd w:val="clear" w:color="auto" w:fill="FFFFFF"/>
          <w:lang w:bidi="ar"/>
        </w:rPr>
        <w:t>万元，主要用于：</w:t>
      </w:r>
      <w:r>
        <w:rPr>
          <w:rFonts w:hint="eastAsia" w:ascii="仿宋_GB2312" w:hAnsi="Times New Roman" w:eastAsia="仿宋_GB2312" w:cs="仿宋_GB2312"/>
          <w:color w:val="333333"/>
          <w:kern w:val="0"/>
          <w:sz w:val="32"/>
          <w:szCs w:val="32"/>
          <w:shd w:val="clear" w:color="auto" w:fill="FFFFFF"/>
          <w:lang w:val="en-US" w:eastAsia="zh-CN" w:bidi="ar"/>
        </w:rPr>
        <w:t>下属参公事业单位</w:t>
      </w:r>
      <w:r>
        <w:rPr>
          <w:rFonts w:hint="eastAsia" w:ascii="仿宋_GB2312" w:hAnsi="Times New Roman" w:eastAsia="仿宋_GB2312" w:cs="仿宋_GB2312"/>
          <w:color w:val="333333"/>
          <w:kern w:val="0"/>
          <w:sz w:val="32"/>
          <w:szCs w:val="32"/>
          <w:shd w:val="clear" w:color="auto" w:fill="FFFFFF"/>
          <w:lang w:bidi="ar"/>
        </w:rPr>
        <w:t>市农民工服务中心基本公用支出及农民工服务</w:t>
      </w:r>
      <w:r>
        <w:rPr>
          <w:rFonts w:hint="eastAsia" w:ascii="仿宋_GB2312" w:hAnsi="Times New Roman" w:eastAsia="仿宋_GB2312" w:cs="仿宋_GB2312"/>
          <w:color w:val="333333"/>
          <w:kern w:val="0"/>
          <w:sz w:val="32"/>
          <w:szCs w:val="32"/>
          <w:shd w:val="clear" w:color="auto" w:fill="FFFFFF"/>
          <w:lang w:val="en-US" w:eastAsia="zh-CN" w:bidi="ar"/>
        </w:rPr>
        <w:t>保障相关项目支出。</w:t>
      </w:r>
    </w:p>
    <w:p>
      <w:pPr>
        <w:widowControl/>
        <w:pBdr>
          <w:bottom w:val="single" w:color="FFFFFF" w:sz="8" w:space="31"/>
        </w:pBdr>
        <w:shd w:val="clear" w:color="auto" w:fill="FFFFFF"/>
        <w:spacing w:line="580" w:lineRule="atLeast"/>
        <w:ind w:firstLine="640" w:firstLineChars="200"/>
        <w:rPr>
          <w:rFonts w:hint="eastAsia" w:ascii="仿宋_GB2312" w:hAnsi="Times New Roman" w:eastAsia="仿宋_GB2312" w:cs="仿宋_GB2312"/>
          <w:color w:val="333333"/>
          <w:kern w:val="0"/>
          <w:sz w:val="32"/>
          <w:szCs w:val="32"/>
          <w:shd w:val="clear" w:color="auto" w:fill="FFFFFF"/>
          <w:lang w:bidi="ar"/>
        </w:rPr>
      </w:pPr>
      <w:r>
        <w:rPr>
          <w:rFonts w:hint="eastAsia" w:ascii="仿宋_GB2312" w:hAnsi="Times New Roman" w:eastAsia="仿宋_GB2312" w:cs="仿宋_GB2312"/>
          <w:color w:val="333333"/>
          <w:kern w:val="0"/>
          <w:sz w:val="32"/>
          <w:szCs w:val="32"/>
          <w:shd w:val="clear" w:color="auto" w:fill="FFFFFF"/>
          <w:lang w:val="en-US" w:eastAsia="zh-CN" w:bidi="ar"/>
        </w:rPr>
        <w:t>4.</w:t>
      </w:r>
      <w:r>
        <w:rPr>
          <w:rFonts w:hint="eastAsia" w:ascii="仿宋_GB2312" w:hAnsi="Times New Roman" w:eastAsia="仿宋_GB2312" w:cs="仿宋_GB2312"/>
          <w:color w:val="333333"/>
          <w:kern w:val="0"/>
          <w:sz w:val="32"/>
          <w:szCs w:val="32"/>
          <w:shd w:val="clear" w:color="auto" w:fill="FFFFFF"/>
          <w:lang w:bidi="ar"/>
        </w:rPr>
        <w:t>社会保障和就业（类）人力资源和社会保障管理事务（款）就业管理事务（项）202</w:t>
      </w:r>
      <w:r>
        <w:rPr>
          <w:rFonts w:hint="eastAsia" w:ascii="仿宋_GB2312" w:hAnsi="Times New Roman" w:eastAsia="仿宋_GB2312" w:cs="仿宋_GB2312"/>
          <w:color w:val="333333"/>
          <w:kern w:val="0"/>
          <w:sz w:val="32"/>
          <w:szCs w:val="32"/>
          <w:shd w:val="clear" w:color="auto" w:fill="FFFFFF"/>
          <w:lang w:val="en-US" w:eastAsia="zh-CN" w:bidi="ar"/>
        </w:rPr>
        <w:t>4</w:t>
      </w:r>
      <w:r>
        <w:rPr>
          <w:rFonts w:hint="eastAsia" w:ascii="仿宋_GB2312" w:hAnsi="Times New Roman" w:eastAsia="仿宋_GB2312" w:cs="仿宋_GB2312"/>
          <w:color w:val="333333"/>
          <w:kern w:val="0"/>
          <w:sz w:val="32"/>
          <w:szCs w:val="32"/>
          <w:shd w:val="clear" w:color="auto" w:fill="FFFFFF"/>
          <w:lang w:bidi="ar"/>
        </w:rPr>
        <w:t>年预算数为</w:t>
      </w:r>
      <w:r>
        <w:rPr>
          <w:rFonts w:hint="eastAsia" w:ascii="Times New Roman" w:hAnsi="Times New Roman" w:eastAsia="仿宋_GB2312"/>
          <w:color w:val="333333"/>
          <w:kern w:val="0"/>
          <w:sz w:val="32"/>
          <w:szCs w:val="32"/>
          <w:shd w:val="clear" w:color="auto" w:fill="FFFFFF"/>
          <w:lang w:val="en-US" w:eastAsia="zh-CN" w:bidi="ar"/>
        </w:rPr>
        <w:t>523.76</w:t>
      </w:r>
      <w:r>
        <w:rPr>
          <w:rFonts w:hint="eastAsia" w:ascii="仿宋_GB2312" w:hAnsi="Times New Roman" w:eastAsia="仿宋_GB2312" w:cs="仿宋_GB2312"/>
          <w:color w:val="333333"/>
          <w:kern w:val="0"/>
          <w:sz w:val="32"/>
          <w:szCs w:val="32"/>
          <w:shd w:val="clear" w:color="auto" w:fill="FFFFFF"/>
          <w:lang w:bidi="ar"/>
        </w:rPr>
        <w:t>万元，主要用于：</w:t>
      </w:r>
      <w:r>
        <w:rPr>
          <w:rFonts w:hint="eastAsia" w:ascii="仿宋_GB2312" w:hAnsi="Times New Roman" w:eastAsia="仿宋_GB2312" w:cs="仿宋_GB2312"/>
          <w:color w:val="333333"/>
          <w:kern w:val="0"/>
          <w:sz w:val="32"/>
          <w:szCs w:val="32"/>
          <w:shd w:val="clear" w:color="auto" w:fill="FFFFFF"/>
          <w:lang w:val="en-US" w:eastAsia="zh-CN" w:bidi="ar"/>
        </w:rPr>
        <w:t>下属参公事业单位</w:t>
      </w:r>
      <w:r>
        <w:rPr>
          <w:rFonts w:hint="eastAsia" w:ascii="仿宋_GB2312" w:hAnsi="Times New Roman" w:eastAsia="仿宋_GB2312" w:cs="仿宋_GB2312"/>
          <w:color w:val="333333"/>
          <w:kern w:val="0"/>
          <w:sz w:val="32"/>
          <w:szCs w:val="32"/>
          <w:shd w:val="clear" w:color="auto" w:fill="FFFFFF"/>
          <w:lang w:bidi="ar"/>
        </w:rPr>
        <w:t>市就业创业促进中心人员经费支出、基本公用经费支出及就业创业相关项目支出。</w:t>
      </w:r>
    </w:p>
    <w:p>
      <w:pPr>
        <w:widowControl/>
        <w:pBdr>
          <w:bottom w:val="single" w:color="FFFFFF" w:sz="8" w:space="31"/>
        </w:pBdr>
        <w:shd w:val="clear" w:color="auto" w:fill="FFFFFF"/>
        <w:spacing w:line="580" w:lineRule="atLeast"/>
        <w:ind w:firstLine="640" w:firstLineChars="200"/>
        <w:rPr>
          <w:rFonts w:hint="default" w:ascii="仿宋_GB2312" w:hAnsi="Times New Roman" w:eastAsia="仿宋_GB2312" w:cs="仿宋_GB2312"/>
          <w:color w:val="333333"/>
          <w:kern w:val="0"/>
          <w:sz w:val="32"/>
          <w:szCs w:val="32"/>
          <w:shd w:val="clear" w:color="auto" w:fill="FFFFFF"/>
          <w:lang w:val="en-US" w:eastAsia="zh-CN" w:bidi="ar"/>
        </w:rPr>
      </w:pPr>
      <w:r>
        <w:rPr>
          <w:rFonts w:hint="eastAsia" w:ascii="仿宋_GB2312" w:hAnsi="Times New Roman" w:eastAsia="仿宋_GB2312" w:cs="仿宋_GB2312"/>
          <w:color w:val="333333"/>
          <w:kern w:val="0"/>
          <w:sz w:val="32"/>
          <w:szCs w:val="32"/>
          <w:shd w:val="clear" w:color="auto" w:fill="FFFFFF"/>
          <w:lang w:val="en-US" w:eastAsia="zh-CN" w:bidi="ar"/>
        </w:rPr>
        <w:t>5.社会保障和就业（类）人力资源和社会保障管理事务（款）社会保险业务管理事务支出（项）2024年预算数为16万元，主</w:t>
      </w:r>
    </w:p>
    <w:p>
      <w:pPr>
        <w:widowControl/>
        <w:pBdr>
          <w:bottom w:val="single" w:color="FFFFFF" w:sz="8" w:space="31"/>
        </w:pBdr>
        <w:shd w:val="clear" w:color="auto" w:fill="FFFFFF"/>
        <w:spacing w:line="240" w:lineRule="auto"/>
        <w:ind w:firstLine="0" w:firstLineChars="0"/>
        <w:rPr>
          <w:rFonts w:hint="eastAsia" w:ascii="仿宋_GB2312" w:hAnsi="Times New Roman" w:eastAsia="仿宋_GB2312" w:cs="仿宋_GB2312"/>
          <w:color w:val="333333"/>
          <w:kern w:val="0"/>
          <w:sz w:val="32"/>
          <w:szCs w:val="32"/>
          <w:shd w:val="clear" w:color="auto" w:fill="FFFFFF"/>
          <w:lang w:bidi="ar"/>
        </w:rPr>
      </w:pPr>
      <w:r>
        <w:rPr>
          <w:rFonts w:hint="eastAsia" w:ascii="仿宋_GB2312" w:hAnsi="Times New Roman" w:eastAsia="仿宋_GB2312" w:cs="仿宋_GB2312"/>
          <w:color w:val="333333"/>
          <w:kern w:val="0"/>
          <w:sz w:val="32"/>
          <w:szCs w:val="32"/>
          <w:shd w:val="clear" w:color="auto" w:fill="FFFFFF"/>
          <w:lang w:bidi="ar"/>
        </w:rPr>
        <w:t>要用于：推进全民参保、社会保险基金监督相关项目支出。</w:t>
      </w:r>
    </w:p>
    <w:p>
      <w:pPr>
        <w:widowControl/>
        <w:pBdr>
          <w:bottom w:val="single" w:color="FFFFFF" w:sz="8" w:space="31"/>
        </w:pBdr>
        <w:shd w:val="clear" w:color="auto" w:fill="FFFFFF"/>
        <w:spacing w:line="580" w:lineRule="atLeast"/>
        <w:ind w:firstLine="640" w:firstLineChars="200"/>
        <w:rPr>
          <w:rFonts w:hint="eastAsia" w:ascii="仿宋_GB2312" w:hAnsi="Times New Roman" w:eastAsia="仿宋_GB2312" w:cs="仿宋_GB2312"/>
          <w:color w:val="333333"/>
          <w:kern w:val="0"/>
          <w:sz w:val="32"/>
          <w:szCs w:val="32"/>
          <w:shd w:val="clear" w:color="auto" w:fill="FFFFFF"/>
          <w:lang w:bidi="ar"/>
        </w:rPr>
      </w:pPr>
      <w:r>
        <w:rPr>
          <w:rFonts w:hint="eastAsia" w:ascii="仿宋_GB2312" w:hAnsi="Times New Roman" w:eastAsia="仿宋_GB2312" w:cs="仿宋_GB2312"/>
          <w:color w:val="333333"/>
          <w:kern w:val="0"/>
          <w:sz w:val="32"/>
          <w:szCs w:val="32"/>
          <w:shd w:val="clear" w:color="auto" w:fill="FFFFFF"/>
          <w:lang w:val="en-US" w:eastAsia="zh-CN" w:bidi="ar"/>
        </w:rPr>
        <w:t>6.</w:t>
      </w:r>
      <w:r>
        <w:rPr>
          <w:rFonts w:hint="eastAsia" w:ascii="仿宋_GB2312" w:hAnsi="Times New Roman" w:eastAsia="仿宋_GB2312" w:cs="仿宋_GB2312"/>
          <w:color w:val="333333"/>
          <w:kern w:val="0"/>
          <w:sz w:val="32"/>
          <w:szCs w:val="32"/>
          <w:shd w:val="clear" w:color="auto" w:fill="FFFFFF"/>
          <w:lang w:bidi="ar"/>
        </w:rPr>
        <w:t>社会保障和就业（类）人力资源和社会保障管理事务（款）信息化建设（项）202</w:t>
      </w:r>
      <w:r>
        <w:rPr>
          <w:rFonts w:hint="eastAsia" w:ascii="仿宋_GB2312" w:hAnsi="Times New Roman" w:eastAsia="仿宋_GB2312" w:cs="仿宋_GB2312"/>
          <w:color w:val="333333"/>
          <w:kern w:val="0"/>
          <w:sz w:val="32"/>
          <w:szCs w:val="32"/>
          <w:shd w:val="clear" w:color="auto" w:fill="FFFFFF"/>
          <w:lang w:val="en-US" w:eastAsia="zh-CN" w:bidi="ar"/>
        </w:rPr>
        <w:t>4</w:t>
      </w:r>
      <w:r>
        <w:rPr>
          <w:rFonts w:hint="eastAsia" w:ascii="仿宋_GB2312" w:hAnsi="Times New Roman" w:eastAsia="仿宋_GB2312" w:cs="仿宋_GB2312"/>
          <w:color w:val="333333"/>
          <w:kern w:val="0"/>
          <w:sz w:val="32"/>
          <w:szCs w:val="32"/>
          <w:shd w:val="clear" w:color="auto" w:fill="FFFFFF"/>
          <w:lang w:bidi="ar"/>
        </w:rPr>
        <w:t>年预算数为</w:t>
      </w:r>
      <w:r>
        <w:rPr>
          <w:rFonts w:hint="eastAsia" w:ascii="Times New Roman" w:hAnsi="Times New Roman" w:eastAsia="仿宋_GB2312"/>
          <w:color w:val="333333"/>
          <w:kern w:val="0"/>
          <w:sz w:val="32"/>
          <w:szCs w:val="32"/>
          <w:shd w:val="clear" w:color="auto" w:fill="FFFFFF"/>
          <w:lang w:val="en-US" w:eastAsia="zh-CN" w:bidi="ar"/>
        </w:rPr>
        <w:t>258</w:t>
      </w:r>
      <w:r>
        <w:rPr>
          <w:rFonts w:hint="eastAsia" w:ascii="仿宋_GB2312" w:hAnsi="Times New Roman" w:eastAsia="仿宋_GB2312" w:cs="仿宋_GB2312"/>
          <w:color w:val="333333"/>
          <w:kern w:val="0"/>
          <w:sz w:val="32"/>
          <w:szCs w:val="32"/>
          <w:shd w:val="clear" w:color="auto" w:fill="FFFFFF"/>
          <w:lang w:bidi="ar"/>
        </w:rPr>
        <w:t>万元，主要用于：市就业和社会保障公共服务信息系统</w:t>
      </w:r>
      <w:r>
        <w:rPr>
          <w:rFonts w:hint="eastAsia" w:ascii="仿宋_GB2312" w:hAnsi="Times New Roman" w:eastAsia="仿宋_GB2312" w:cs="仿宋_GB2312"/>
          <w:color w:val="333333"/>
          <w:kern w:val="0"/>
          <w:sz w:val="32"/>
          <w:szCs w:val="32"/>
          <w:shd w:val="clear" w:color="auto" w:fill="FFFFFF"/>
          <w:lang w:val="en-US" w:eastAsia="zh-CN" w:bidi="ar"/>
        </w:rPr>
        <w:t>软硬件</w:t>
      </w:r>
      <w:r>
        <w:rPr>
          <w:rFonts w:hint="eastAsia" w:ascii="仿宋_GB2312" w:hAnsi="Times New Roman" w:eastAsia="仿宋_GB2312" w:cs="仿宋_GB2312"/>
          <w:color w:val="333333"/>
          <w:kern w:val="0"/>
          <w:sz w:val="32"/>
          <w:szCs w:val="32"/>
          <w:shd w:val="clear" w:color="auto" w:fill="FFFFFF"/>
          <w:lang w:bidi="ar"/>
        </w:rPr>
        <w:t>运行维护</w:t>
      </w:r>
      <w:r>
        <w:rPr>
          <w:rFonts w:hint="eastAsia" w:ascii="仿宋_GB2312" w:hAnsi="Times New Roman" w:eastAsia="仿宋_GB2312" w:cs="仿宋_GB2312"/>
          <w:color w:val="333333"/>
          <w:kern w:val="0"/>
          <w:sz w:val="32"/>
          <w:szCs w:val="32"/>
          <w:shd w:val="clear" w:color="auto" w:fill="FFFFFF"/>
          <w:lang w:eastAsia="zh-CN" w:bidi="ar"/>
        </w:rPr>
        <w:t>、</w:t>
      </w:r>
      <w:r>
        <w:rPr>
          <w:rFonts w:hint="eastAsia" w:ascii="仿宋_GB2312" w:hAnsi="Times New Roman" w:eastAsia="仿宋_GB2312" w:cs="仿宋_GB2312"/>
          <w:color w:val="333333"/>
          <w:kern w:val="0"/>
          <w:sz w:val="32"/>
          <w:szCs w:val="32"/>
          <w:shd w:val="clear" w:color="auto" w:fill="FFFFFF"/>
          <w:lang w:val="en-US" w:eastAsia="zh-CN" w:bidi="ar"/>
        </w:rPr>
        <w:t>网络租用费，社会保障卡</w:t>
      </w:r>
      <w:r>
        <w:rPr>
          <w:rFonts w:hint="eastAsia" w:ascii="仿宋_GB2312" w:hAnsi="Times New Roman" w:eastAsia="仿宋_GB2312" w:cs="仿宋_GB2312"/>
          <w:color w:val="333333"/>
          <w:kern w:val="0"/>
          <w:sz w:val="32"/>
          <w:szCs w:val="32"/>
          <w:shd w:val="clear" w:color="auto" w:fill="FFFFFF"/>
          <w:lang w:eastAsia="zh-CN" w:bidi="ar"/>
        </w:rPr>
        <w:t>“</w:t>
      </w:r>
      <w:r>
        <w:rPr>
          <w:rFonts w:hint="eastAsia" w:ascii="仿宋_GB2312" w:hAnsi="Times New Roman" w:eastAsia="仿宋_GB2312" w:cs="仿宋_GB2312"/>
          <w:color w:val="333333"/>
          <w:kern w:val="0"/>
          <w:sz w:val="32"/>
          <w:szCs w:val="32"/>
          <w:shd w:val="clear" w:color="auto" w:fill="FFFFFF"/>
          <w:lang w:val="en-US" w:eastAsia="zh-CN" w:bidi="ar"/>
        </w:rPr>
        <w:t>一卡通</w:t>
      </w:r>
      <w:r>
        <w:rPr>
          <w:rFonts w:hint="eastAsia" w:ascii="仿宋_GB2312" w:hAnsi="Times New Roman" w:eastAsia="仿宋_GB2312" w:cs="仿宋_GB2312"/>
          <w:color w:val="333333"/>
          <w:kern w:val="0"/>
          <w:sz w:val="32"/>
          <w:szCs w:val="32"/>
          <w:shd w:val="clear" w:color="auto" w:fill="FFFFFF"/>
          <w:lang w:eastAsia="zh-CN" w:bidi="ar"/>
        </w:rPr>
        <w:t>”</w:t>
      </w:r>
      <w:r>
        <w:rPr>
          <w:rFonts w:hint="eastAsia" w:ascii="仿宋_GB2312" w:hAnsi="Times New Roman" w:eastAsia="仿宋_GB2312" w:cs="仿宋_GB2312"/>
          <w:color w:val="333333"/>
          <w:kern w:val="0"/>
          <w:sz w:val="32"/>
          <w:szCs w:val="32"/>
          <w:shd w:val="clear" w:color="auto" w:fill="FFFFFF"/>
          <w:lang w:val="en-US" w:eastAsia="zh-CN" w:bidi="ar"/>
        </w:rPr>
        <w:t>工作经费</w:t>
      </w:r>
      <w:r>
        <w:rPr>
          <w:rFonts w:hint="eastAsia" w:ascii="仿宋_GB2312" w:hAnsi="Times New Roman" w:eastAsia="仿宋_GB2312" w:cs="仿宋_GB2312"/>
          <w:color w:val="333333"/>
          <w:kern w:val="0"/>
          <w:sz w:val="32"/>
          <w:szCs w:val="32"/>
          <w:shd w:val="clear" w:color="auto" w:fill="FFFFFF"/>
          <w:lang w:bidi="ar"/>
        </w:rPr>
        <w:t>等相关项目支出。</w:t>
      </w:r>
    </w:p>
    <w:p>
      <w:pPr>
        <w:widowControl/>
        <w:pBdr>
          <w:bottom w:val="single" w:color="FFFFFF" w:sz="8" w:space="31"/>
        </w:pBdr>
        <w:shd w:val="clear" w:color="auto" w:fill="FFFFFF"/>
        <w:spacing w:line="580" w:lineRule="atLeast"/>
        <w:ind w:firstLine="640" w:firstLineChars="200"/>
        <w:rPr>
          <w:rFonts w:hint="eastAsia" w:ascii="仿宋_GB2312" w:hAnsi="Times New Roman" w:eastAsia="仿宋_GB2312" w:cs="仿宋_GB2312"/>
          <w:color w:val="333333"/>
          <w:kern w:val="0"/>
          <w:sz w:val="32"/>
          <w:szCs w:val="32"/>
          <w:shd w:val="clear" w:color="auto" w:fill="FFFFFF"/>
          <w:lang w:bidi="ar"/>
        </w:rPr>
      </w:pPr>
      <w:r>
        <w:rPr>
          <w:rFonts w:hint="eastAsia" w:ascii="仿宋_GB2312" w:hAnsi="Times New Roman" w:eastAsia="仿宋_GB2312" w:cs="仿宋_GB2312"/>
          <w:color w:val="333333"/>
          <w:kern w:val="0"/>
          <w:sz w:val="32"/>
          <w:szCs w:val="32"/>
          <w:shd w:val="clear" w:color="auto" w:fill="FFFFFF"/>
          <w:lang w:val="en-US" w:eastAsia="zh-CN" w:bidi="ar"/>
        </w:rPr>
        <w:t>7.</w:t>
      </w:r>
      <w:r>
        <w:rPr>
          <w:rFonts w:hint="eastAsia" w:ascii="仿宋_GB2312" w:hAnsi="Times New Roman" w:eastAsia="仿宋_GB2312" w:cs="仿宋_GB2312"/>
          <w:color w:val="333333"/>
          <w:kern w:val="0"/>
          <w:sz w:val="32"/>
          <w:szCs w:val="32"/>
          <w:shd w:val="clear" w:color="auto" w:fill="FFFFFF"/>
          <w:lang w:bidi="ar"/>
        </w:rPr>
        <w:t>社会保障和就业（类）人力资源和社会保障管理事务（款）社会保险经办机构（项）202</w:t>
      </w:r>
      <w:r>
        <w:rPr>
          <w:rFonts w:hint="eastAsia" w:ascii="仿宋_GB2312" w:hAnsi="Times New Roman" w:eastAsia="仿宋_GB2312" w:cs="仿宋_GB2312"/>
          <w:color w:val="333333"/>
          <w:kern w:val="0"/>
          <w:sz w:val="32"/>
          <w:szCs w:val="32"/>
          <w:shd w:val="clear" w:color="auto" w:fill="FFFFFF"/>
          <w:lang w:val="en-US" w:eastAsia="zh-CN" w:bidi="ar"/>
        </w:rPr>
        <w:t>4</w:t>
      </w:r>
      <w:r>
        <w:rPr>
          <w:rFonts w:hint="eastAsia" w:ascii="仿宋_GB2312" w:hAnsi="Times New Roman" w:eastAsia="仿宋_GB2312" w:cs="仿宋_GB2312"/>
          <w:color w:val="333333"/>
          <w:kern w:val="0"/>
          <w:sz w:val="32"/>
          <w:szCs w:val="32"/>
          <w:shd w:val="clear" w:color="auto" w:fill="FFFFFF"/>
          <w:lang w:bidi="ar"/>
        </w:rPr>
        <w:t>年预算数为</w:t>
      </w:r>
      <w:r>
        <w:rPr>
          <w:rFonts w:hint="eastAsia" w:ascii="Times New Roman" w:hAnsi="Times New Roman" w:eastAsia="仿宋_GB2312"/>
          <w:color w:val="333333"/>
          <w:kern w:val="0"/>
          <w:sz w:val="32"/>
          <w:szCs w:val="32"/>
          <w:shd w:val="clear" w:color="auto" w:fill="FFFFFF"/>
          <w:lang w:val="en-US" w:eastAsia="zh-CN" w:bidi="ar"/>
        </w:rPr>
        <w:t>981.98</w:t>
      </w:r>
      <w:r>
        <w:rPr>
          <w:rFonts w:hint="eastAsia" w:ascii="仿宋_GB2312" w:hAnsi="Times New Roman" w:eastAsia="仿宋_GB2312" w:cs="仿宋_GB2312"/>
          <w:color w:val="333333"/>
          <w:kern w:val="0"/>
          <w:sz w:val="32"/>
          <w:szCs w:val="32"/>
          <w:shd w:val="clear" w:color="auto" w:fill="FFFFFF"/>
          <w:lang w:bidi="ar"/>
        </w:rPr>
        <w:t>万元，主要用于：</w:t>
      </w:r>
      <w:r>
        <w:rPr>
          <w:rFonts w:hint="eastAsia" w:ascii="仿宋_GB2312" w:hAnsi="Times New Roman" w:eastAsia="仿宋_GB2312" w:cs="仿宋_GB2312"/>
          <w:color w:val="333333"/>
          <w:kern w:val="0"/>
          <w:sz w:val="32"/>
          <w:szCs w:val="32"/>
          <w:shd w:val="clear" w:color="auto" w:fill="FFFFFF"/>
          <w:lang w:val="en-US" w:eastAsia="zh-CN" w:bidi="ar"/>
        </w:rPr>
        <w:t>下属参公事业单位</w:t>
      </w:r>
      <w:r>
        <w:rPr>
          <w:rFonts w:hint="eastAsia" w:ascii="仿宋_GB2312" w:hAnsi="Times New Roman" w:eastAsia="仿宋_GB2312" w:cs="仿宋_GB2312"/>
          <w:color w:val="333333"/>
          <w:kern w:val="0"/>
          <w:sz w:val="32"/>
          <w:szCs w:val="32"/>
          <w:shd w:val="clear" w:color="auto" w:fill="FFFFFF"/>
          <w:lang w:bidi="ar"/>
        </w:rPr>
        <w:t>市社会保险事务中心人员经费支出、基本公用经费支出</w:t>
      </w:r>
      <w:r>
        <w:rPr>
          <w:rFonts w:hint="eastAsia" w:ascii="仿宋_GB2312" w:hAnsi="Times New Roman" w:eastAsia="仿宋_GB2312" w:cs="仿宋_GB2312"/>
          <w:color w:val="333333"/>
          <w:kern w:val="0"/>
          <w:sz w:val="32"/>
          <w:szCs w:val="32"/>
          <w:shd w:val="clear" w:color="auto" w:fill="FFFFFF"/>
          <w:lang w:val="en-US" w:eastAsia="zh-CN" w:bidi="ar"/>
        </w:rPr>
        <w:t>及</w:t>
      </w:r>
      <w:r>
        <w:rPr>
          <w:rFonts w:hint="eastAsia" w:ascii="仿宋_GB2312" w:hAnsi="Times New Roman" w:eastAsia="仿宋_GB2312" w:cs="仿宋_GB2312"/>
          <w:color w:val="333333"/>
          <w:kern w:val="0"/>
          <w:sz w:val="32"/>
          <w:szCs w:val="32"/>
          <w:shd w:val="clear" w:color="auto" w:fill="FFFFFF"/>
          <w:lang w:bidi="ar"/>
        </w:rPr>
        <w:t>相关项目支出。</w:t>
      </w:r>
    </w:p>
    <w:p>
      <w:pPr>
        <w:widowControl/>
        <w:pBdr>
          <w:bottom w:val="single" w:color="FFFFFF" w:sz="8" w:space="31"/>
        </w:pBdr>
        <w:shd w:val="clear" w:color="auto" w:fill="FFFFFF"/>
        <w:spacing w:line="580" w:lineRule="atLeast"/>
        <w:ind w:firstLine="640" w:firstLineChars="200"/>
        <w:rPr>
          <w:rFonts w:hint="eastAsia" w:ascii="仿宋_GB2312" w:hAnsi="Times New Roman" w:eastAsia="仿宋_GB2312" w:cs="仿宋_GB2312"/>
          <w:color w:val="333333"/>
          <w:kern w:val="0"/>
          <w:sz w:val="32"/>
          <w:szCs w:val="32"/>
          <w:shd w:val="clear" w:color="auto" w:fill="FFFFFF"/>
          <w:lang w:bidi="ar"/>
        </w:rPr>
      </w:pPr>
      <w:r>
        <w:rPr>
          <w:rFonts w:hint="eastAsia" w:ascii="仿宋_GB2312" w:hAnsi="Times New Roman" w:eastAsia="仿宋_GB2312" w:cs="仿宋_GB2312"/>
          <w:color w:val="333333"/>
          <w:kern w:val="0"/>
          <w:sz w:val="32"/>
          <w:szCs w:val="32"/>
          <w:shd w:val="clear" w:color="auto" w:fill="FFFFFF"/>
          <w:lang w:val="en-US" w:eastAsia="zh-CN" w:bidi="ar"/>
        </w:rPr>
        <w:t>8.</w:t>
      </w:r>
      <w:r>
        <w:rPr>
          <w:rFonts w:hint="eastAsia" w:ascii="仿宋_GB2312" w:hAnsi="Times New Roman" w:eastAsia="仿宋_GB2312" w:cs="仿宋_GB2312"/>
          <w:color w:val="333333"/>
          <w:kern w:val="0"/>
          <w:sz w:val="32"/>
          <w:szCs w:val="32"/>
          <w:shd w:val="clear" w:color="auto" w:fill="FFFFFF"/>
          <w:lang w:bidi="ar"/>
        </w:rPr>
        <w:t>社会保障和就业（类）人力资源和社会保障管理事务（款）劳动关系和维权（项）202</w:t>
      </w:r>
      <w:r>
        <w:rPr>
          <w:rFonts w:hint="eastAsia" w:ascii="仿宋_GB2312" w:hAnsi="Times New Roman" w:eastAsia="仿宋_GB2312" w:cs="仿宋_GB2312"/>
          <w:color w:val="333333"/>
          <w:kern w:val="0"/>
          <w:sz w:val="32"/>
          <w:szCs w:val="32"/>
          <w:shd w:val="clear" w:color="auto" w:fill="FFFFFF"/>
          <w:lang w:val="en-US" w:eastAsia="zh-CN" w:bidi="ar"/>
        </w:rPr>
        <w:t>4</w:t>
      </w:r>
      <w:r>
        <w:rPr>
          <w:rFonts w:hint="eastAsia" w:ascii="仿宋_GB2312" w:hAnsi="Times New Roman" w:eastAsia="仿宋_GB2312" w:cs="仿宋_GB2312"/>
          <w:color w:val="333333"/>
          <w:kern w:val="0"/>
          <w:sz w:val="32"/>
          <w:szCs w:val="32"/>
          <w:shd w:val="clear" w:color="auto" w:fill="FFFFFF"/>
          <w:lang w:bidi="ar"/>
        </w:rPr>
        <w:t>年预算数为</w:t>
      </w:r>
      <w:r>
        <w:rPr>
          <w:rFonts w:hint="eastAsia" w:ascii="Times New Roman" w:hAnsi="Times New Roman" w:eastAsia="仿宋_GB2312"/>
          <w:color w:val="333333"/>
          <w:kern w:val="0"/>
          <w:sz w:val="32"/>
          <w:szCs w:val="32"/>
          <w:shd w:val="clear" w:color="auto" w:fill="FFFFFF"/>
          <w:lang w:val="en-US" w:eastAsia="zh-CN" w:bidi="ar"/>
        </w:rPr>
        <w:t>56</w:t>
      </w:r>
      <w:r>
        <w:rPr>
          <w:rFonts w:hint="eastAsia" w:ascii="仿宋_GB2312" w:hAnsi="Times New Roman" w:eastAsia="仿宋_GB2312" w:cs="仿宋_GB2312"/>
          <w:color w:val="333333"/>
          <w:kern w:val="0"/>
          <w:sz w:val="32"/>
          <w:szCs w:val="32"/>
          <w:shd w:val="clear" w:color="auto" w:fill="FFFFFF"/>
          <w:lang w:bidi="ar"/>
        </w:rPr>
        <w:t>万元，主要用于：工伤鉴定、工伤预防、信访维稳、劳动保障监督检查</w:t>
      </w:r>
      <w:r>
        <w:rPr>
          <w:rFonts w:hint="eastAsia" w:ascii="仿宋_GB2312" w:hAnsi="Times New Roman" w:eastAsia="仿宋_GB2312" w:cs="仿宋_GB2312"/>
          <w:color w:val="333333"/>
          <w:kern w:val="0"/>
          <w:sz w:val="32"/>
          <w:szCs w:val="32"/>
          <w:shd w:val="clear" w:color="auto" w:fill="FFFFFF"/>
          <w:lang w:eastAsia="zh-CN" w:bidi="ar"/>
        </w:rPr>
        <w:t>、</w:t>
      </w:r>
      <w:r>
        <w:rPr>
          <w:rFonts w:hint="eastAsia" w:ascii="仿宋_GB2312" w:hAnsi="Times New Roman" w:eastAsia="仿宋_GB2312" w:cs="仿宋_GB2312"/>
          <w:color w:val="333333"/>
          <w:kern w:val="0"/>
          <w:sz w:val="32"/>
          <w:szCs w:val="32"/>
          <w:shd w:val="clear" w:color="auto" w:fill="FFFFFF"/>
          <w:lang w:val="en-US" w:eastAsia="zh-CN" w:bidi="ar"/>
        </w:rPr>
        <w:t>农民工服务保障</w:t>
      </w:r>
      <w:r>
        <w:rPr>
          <w:rFonts w:hint="eastAsia" w:ascii="仿宋_GB2312" w:hAnsi="Times New Roman" w:eastAsia="仿宋_GB2312" w:cs="仿宋_GB2312"/>
          <w:color w:val="333333"/>
          <w:kern w:val="0"/>
          <w:sz w:val="32"/>
          <w:szCs w:val="32"/>
          <w:shd w:val="clear" w:color="auto" w:fill="FFFFFF"/>
          <w:lang w:bidi="ar"/>
        </w:rPr>
        <w:t>等相关项目支出。</w:t>
      </w:r>
    </w:p>
    <w:p>
      <w:pPr>
        <w:widowControl/>
        <w:pBdr>
          <w:bottom w:val="single" w:color="FFFFFF" w:sz="8" w:space="31"/>
        </w:pBdr>
        <w:shd w:val="clear" w:color="auto" w:fill="FFFFFF"/>
        <w:spacing w:line="580" w:lineRule="atLeast"/>
        <w:ind w:firstLine="640" w:firstLineChars="200"/>
        <w:rPr>
          <w:rFonts w:hint="eastAsia" w:ascii="仿宋_GB2312" w:hAnsi="Times New Roman" w:eastAsia="仿宋_GB2312" w:cs="仿宋_GB2312"/>
          <w:color w:val="333333"/>
          <w:kern w:val="0"/>
          <w:sz w:val="32"/>
          <w:szCs w:val="32"/>
          <w:shd w:val="clear" w:color="auto" w:fill="FFFFFF"/>
          <w:lang w:bidi="ar"/>
        </w:rPr>
      </w:pPr>
      <w:r>
        <w:rPr>
          <w:rFonts w:hint="eastAsia" w:ascii="仿宋_GB2312" w:hAnsi="Times New Roman" w:eastAsia="仿宋_GB2312" w:cs="仿宋_GB2312"/>
          <w:color w:val="333333"/>
          <w:kern w:val="0"/>
          <w:sz w:val="32"/>
          <w:szCs w:val="32"/>
          <w:shd w:val="clear" w:color="auto" w:fill="FFFFFF"/>
          <w:lang w:val="en-US" w:eastAsia="zh-CN" w:bidi="ar"/>
        </w:rPr>
        <w:t>9.</w:t>
      </w:r>
      <w:r>
        <w:rPr>
          <w:rFonts w:hint="eastAsia" w:ascii="仿宋_GB2312" w:hAnsi="Times New Roman" w:eastAsia="仿宋_GB2312" w:cs="仿宋_GB2312"/>
          <w:color w:val="333333"/>
          <w:kern w:val="0"/>
          <w:sz w:val="32"/>
          <w:szCs w:val="32"/>
          <w:shd w:val="clear" w:color="auto" w:fill="FFFFFF"/>
          <w:lang w:bidi="ar"/>
        </w:rPr>
        <w:t>社会保障和就业（类）人力资源和社会保障管理事务（款）劳动人事争议调解仲裁（项）202</w:t>
      </w:r>
      <w:r>
        <w:rPr>
          <w:rFonts w:hint="eastAsia" w:ascii="仿宋_GB2312" w:hAnsi="Times New Roman" w:eastAsia="仿宋_GB2312" w:cs="仿宋_GB2312"/>
          <w:color w:val="333333"/>
          <w:kern w:val="0"/>
          <w:sz w:val="32"/>
          <w:szCs w:val="32"/>
          <w:shd w:val="clear" w:color="auto" w:fill="FFFFFF"/>
          <w:lang w:val="en-US" w:eastAsia="zh-CN" w:bidi="ar"/>
        </w:rPr>
        <w:t>4</w:t>
      </w:r>
      <w:r>
        <w:rPr>
          <w:rFonts w:hint="eastAsia" w:ascii="仿宋_GB2312" w:hAnsi="Times New Roman" w:eastAsia="仿宋_GB2312" w:cs="仿宋_GB2312"/>
          <w:color w:val="333333"/>
          <w:kern w:val="0"/>
          <w:sz w:val="32"/>
          <w:szCs w:val="32"/>
          <w:shd w:val="clear" w:color="auto" w:fill="FFFFFF"/>
          <w:lang w:bidi="ar"/>
        </w:rPr>
        <w:t>年预算数为</w:t>
      </w:r>
      <w:r>
        <w:rPr>
          <w:rFonts w:hint="eastAsia" w:ascii="Times New Roman" w:hAnsi="Times New Roman" w:eastAsia="仿宋_GB2312"/>
          <w:color w:val="333333"/>
          <w:kern w:val="0"/>
          <w:sz w:val="32"/>
          <w:szCs w:val="32"/>
          <w:shd w:val="clear" w:color="auto" w:fill="FFFFFF"/>
          <w:lang w:val="en-US" w:eastAsia="zh-CN" w:bidi="ar"/>
        </w:rPr>
        <w:t>218.82</w:t>
      </w:r>
      <w:r>
        <w:rPr>
          <w:rFonts w:hint="eastAsia" w:ascii="仿宋_GB2312" w:hAnsi="Times New Roman" w:eastAsia="仿宋_GB2312" w:cs="仿宋_GB2312"/>
          <w:color w:val="333333"/>
          <w:kern w:val="0"/>
          <w:sz w:val="32"/>
          <w:szCs w:val="32"/>
          <w:shd w:val="clear" w:color="auto" w:fill="FFFFFF"/>
          <w:lang w:bidi="ar"/>
        </w:rPr>
        <w:t>万元，主要用于：</w:t>
      </w:r>
      <w:r>
        <w:rPr>
          <w:rFonts w:hint="eastAsia" w:ascii="仿宋_GB2312" w:hAnsi="Times New Roman" w:eastAsia="仿宋_GB2312" w:cs="仿宋_GB2312"/>
          <w:color w:val="333333"/>
          <w:kern w:val="0"/>
          <w:sz w:val="32"/>
          <w:szCs w:val="32"/>
          <w:shd w:val="clear" w:color="auto" w:fill="FFFFFF"/>
          <w:lang w:val="en-US" w:eastAsia="zh-CN" w:bidi="ar"/>
        </w:rPr>
        <w:t>下属参公事业单位</w:t>
      </w:r>
      <w:r>
        <w:rPr>
          <w:rFonts w:hint="eastAsia" w:ascii="仿宋_GB2312" w:hAnsi="Times New Roman" w:eastAsia="仿宋_GB2312" w:cs="仿宋_GB2312"/>
          <w:color w:val="333333"/>
          <w:kern w:val="0"/>
          <w:sz w:val="32"/>
          <w:szCs w:val="32"/>
          <w:shd w:val="clear" w:color="auto" w:fill="FFFFFF"/>
          <w:lang w:bidi="ar"/>
        </w:rPr>
        <w:t>市劳动人事争议仲裁院人员经费支出、基本公用经费支出及劳动人事争议仲裁相关项目支出。</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仿宋_GB2312"/>
          <w:color w:val="333333"/>
          <w:kern w:val="0"/>
          <w:sz w:val="32"/>
          <w:szCs w:val="32"/>
          <w:shd w:val="clear" w:color="auto" w:fill="FFFFFF"/>
          <w:lang w:bidi="ar"/>
        </w:rPr>
      </w:pPr>
      <w:r>
        <w:rPr>
          <w:rFonts w:hint="eastAsia" w:ascii="仿宋_GB2312" w:hAnsi="Times New Roman" w:eastAsia="仿宋_GB2312" w:cs="仿宋_GB2312"/>
          <w:color w:val="333333"/>
          <w:kern w:val="0"/>
          <w:sz w:val="32"/>
          <w:szCs w:val="32"/>
          <w:shd w:val="clear" w:color="auto" w:fill="FFFFFF"/>
          <w:lang w:val="en-US" w:eastAsia="zh-CN" w:bidi="ar"/>
        </w:rPr>
        <w:t>10.</w:t>
      </w:r>
      <w:r>
        <w:rPr>
          <w:rFonts w:hint="eastAsia" w:ascii="仿宋_GB2312" w:hAnsi="Times New Roman" w:eastAsia="仿宋_GB2312" w:cs="仿宋_GB2312"/>
          <w:color w:val="333333"/>
          <w:kern w:val="0"/>
          <w:sz w:val="32"/>
          <w:szCs w:val="32"/>
          <w:shd w:val="clear" w:color="auto" w:fill="FFFFFF"/>
          <w:lang w:bidi="ar"/>
        </w:rPr>
        <w:t>社会保障和就业（类）人力资源和社会保障管理事务（款）事业运行（项）202</w:t>
      </w:r>
      <w:r>
        <w:rPr>
          <w:rFonts w:hint="eastAsia" w:ascii="仿宋_GB2312" w:hAnsi="Times New Roman" w:eastAsia="仿宋_GB2312" w:cs="仿宋_GB2312"/>
          <w:color w:val="333333"/>
          <w:kern w:val="0"/>
          <w:sz w:val="32"/>
          <w:szCs w:val="32"/>
          <w:shd w:val="clear" w:color="auto" w:fill="FFFFFF"/>
          <w:lang w:val="en-US" w:eastAsia="zh-CN" w:bidi="ar"/>
        </w:rPr>
        <w:t>4</w:t>
      </w:r>
      <w:r>
        <w:rPr>
          <w:rFonts w:hint="eastAsia" w:ascii="仿宋_GB2312" w:hAnsi="Times New Roman" w:eastAsia="仿宋_GB2312" w:cs="仿宋_GB2312"/>
          <w:color w:val="333333"/>
          <w:kern w:val="0"/>
          <w:sz w:val="32"/>
          <w:szCs w:val="32"/>
          <w:shd w:val="clear" w:color="auto" w:fill="FFFFFF"/>
          <w:lang w:bidi="ar"/>
        </w:rPr>
        <w:t>年预算数为</w:t>
      </w:r>
      <w:r>
        <w:rPr>
          <w:rFonts w:hint="eastAsia" w:ascii="Times New Roman" w:hAnsi="Times New Roman" w:eastAsia="仿宋_GB2312"/>
          <w:color w:val="333333"/>
          <w:kern w:val="0"/>
          <w:sz w:val="32"/>
          <w:szCs w:val="32"/>
          <w:shd w:val="clear" w:color="auto" w:fill="FFFFFF"/>
          <w:lang w:val="en-US" w:eastAsia="zh-CN" w:bidi="ar"/>
        </w:rPr>
        <w:t>503.40</w:t>
      </w:r>
      <w:r>
        <w:rPr>
          <w:rFonts w:hint="eastAsia" w:ascii="仿宋_GB2312" w:hAnsi="Times New Roman" w:eastAsia="仿宋_GB2312" w:cs="仿宋_GB2312"/>
          <w:color w:val="333333"/>
          <w:kern w:val="0"/>
          <w:sz w:val="32"/>
          <w:szCs w:val="32"/>
          <w:shd w:val="clear" w:color="auto" w:fill="FFFFFF"/>
          <w:lang w:bidi="ar"/>
        </w:rPr>
        <w:t>万元，主要用于：市人事考试中心人员经费支出、公用经费支出及人事考试相关项目支出。</w:t>
      </w:r>
      <w:r>
        <w:rPr>
          <w:rFonts w:hint="eastAsia" w:ascii="仿宋_GB2312" w:hAnsi="Times New Roman" w:eastAsia="仿宋_GB2312" w:cs="仿宋_GB2312"/>
          <w:color w:val="333333"/>
          <w:kern w:val="0"/>
          <w:sz w:val="32"/>
          <w:szCs w:val="32"/>
          <w:shd w:val="clear" w:color="auto" w:fill="FFFFFF"/>
          <w:lang w:val="en-US" w:eastAsia="zh-CN" w:bidi="ar"/>
        </w:rPr>
        <w:t xml:space="preserve">         </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80" w:lineRule="atLeast"/>
        <w:ind w:firstLine="640"/>
        <w:textAlignment w:val="auto"/>
        <w:rPr>
          <w:rFonts w:hint="eastAsia" w:ascii="仿宋_GB2312" w:hAnsi="Times New Roman" w:eastAsia="仿宋_GB2312" w:cs="仿宋_GB2312"/>
          <w:color w:val="333333"/>
          <w:kern w:val="0"/>
          <w:sz w:val="32"/>
          <w:szCs w:val="32"/>
          <w:shd w:val="clear" w:color="auto" w:fill="FFFFFF"/>
          <w:lang w:val="en-US" w:eastAsia="zh-CN" w:bidi="ar"/>
        </w:rPr>
      </w:pPr>
      <w:r>
        <w:rPr>
          <w:rFonts w:hint="eastAsia" w:ascii="仿宋_GB2312" w:hAnsi="Times New Roman" w:eastAsia="仿宋_GB2312" w:cs="仿宋_GB2312"/>
          <w:color w:val="333333"/>
          <w:kern w:val="0"/>
          <w:sz w:val="32"/>
          <w:szCs w:val="32"/>
          <w:shd w:val="clear" w:color="auto" w:fill="FFFFFF"/>
          <w:lang w:val="en-US" w:eastAsia="zh-CN" w:bidi="ar"/>
        </w:rPr>
        <w:t>11.</w:t>
      </w:r>
      <w:r>
        <w:rPr>
          <w:rFonts w:hint="eastAsia" w:ascii="仿宋_GB2312" w:hAnsi="Times New Roman" w:eastAsia="仿宋_GB2312" w:cs="仿宋_GB2312"/>
          <w:color w:val="333333"/>
          <w:kern w:val="0"/>
          <w:sz w:val="32"/>
          <w:szCs w:val="32"/>
          <w:shd w:val="clear" w:color="auto" w:fill="FFFFFF"/>
          <w:lang w:bidi="ar"/>
        </w:rPr>
        <w:t>社会保障和就业（类）人力资源和社会保障管理事务（款）其他人力资源和社会保障管理事务支出（项）202</w:t>
      </w:r>
      <w:r>
        <w:rPr>
          <w:rFonts w:hint="eastAsia" w:ascii="仿宋_GB2312" w:hAnsi="Times New Roman" w:eastAsia="仿宋_GB2312" w:cs="仿宋_GB2312"/>
          <w:color w:val="333333"/>
          <w:kern w:val="0"/>
          <w:sz w:val="32"/>
          <w:szCs w:val="32"/>
          <w:shd w:val="clear" w:color="auto" w:fill="FFFFFF"/>
          <w:lang w:val="en-US" w:eastAsia="zh-CN" w:bidi="ar"/>
        </w:rPr>
        <w:t>4</w:t>
      </w:r>
      <w:r>
        <w:rPr>
          <w:rFonts w:hint="eastAsia" w:ascii="仿宋_GB2312" w:hAnsi="Times New Roman" w:eastAsia="仿宋_GB2312" w:cs="仿宋_GB2312"/>
          <w:color w:val="333333"/>
          <w:kern w:val="0"/>
          <w:sz w:val="32"/>
          <w:szCs w:val="32"/>
          <w:shd w:val="clear" w:color="auto" w:fill="FFFFFF"/>
          <w:lang w:bidi="ar"/>
        </w:rPr>
        <w:t>年预算数为</w:t>
      </w:r>
      <w:r>
        <w:rPr>
          <w:rFonts w:hint="eastAsia" w:ascii="Times New Roman" w:hAnsi="Times New Roman" w:eastAsia="仿宋_GB2312"/>
          <w:color w:val="333333"/>
          <w:kern w:val="0"/>
          <w:sz w:val="32"/>
          <w:szCs w:val="32"/>
          <w:shd w:val="clear" w:color="auto" w:fill="FFFFFF"/>
          <w:lang w:val="en-US" w:eastAsia="zh-CN" w:bidi="ar"/>
        </w:rPr>
        <w:t>138.02</w:t>
      </w:r>
      <w:r>
        <w:rPr>
          <w:rFonts w:hint="eastAsia" w:ascii="仿宋_GB2312" w:hAnsi="Times New Roman" w:eastAsia="仿宋_GB2312" w:cs="仿宋_GB2312"/>
          <w:color w:val="333333"/>
          <w:kern w:val="0"/>
          <w:sz w:val="32"/>
          <w:szCs w:val="32"/>
          <w:shd w:val="clear" w:color="auto" w:fill="FFFFFF"/>
          <w:lang w:bidi="ar"/>
        </w:rPr>
        <w:t>万元，主要用于：</w:t>
      </w:r>
      <w:r>
        <w:rPr>
          <w:rFonts w:hint="eastAsia" w:ascii="仿宋_GB2312" w:hAnsi="Times New Roman" w:eastAsia="仿宋_GB2312" w:cs="仿宋_GB2312"/>
          <w:color w:val="333333"/>
          <w:kern w:val="0"/>
          <w:sz w:val="32"/>
          <w:szCs w:val="32"/>
          <w:shd w:val="clear" w:color="auto" w:fill="FFFFFF"/>
          <w:lang w:val="en-US" w:eastAsia="zh-CN" w:bidi="ar"/>
        </w:rPr>
        <w:t>下属事业单位</w:t>
      </w:r>
      <w:r>
        <w:rPr>
          <w:rFonts w:hint="eastAsia" w:ascii="仿宋_GB2312" w:hAnsi="Times New Roman" w:eastAsia="仿宋_GB2312" w:cs="仿宋_GB2312"/>
          <w:color w:val="333333"/>
          <w:kern w:val="0"/>
          <w:sz w:val="32"/>
          <w:szCs w:val="32"/>
          <w:shd w:val="clear" w:color="auto" w:fill="FFFFFF"/>
          <w:lang w:bidi="ar"/>
        </w:rPr>
        <w:t>市人才交流中心人员经费支出、公用经费支出及其他人力资源和社会保障相关项目支出。</w:t>
      </w:r>
      <w:r>
        <w:rPr>
          <w:rFonts w:hint="eastAsia" w:ascii="仿宋_GB2312" w:hAnsi="Times New Roman" w:eastAsia="仿宋_GB2312" w:cs="仿宋_GB2312"/>
          <w:color w:val="333333"/>
          <w:kern w:val="0"/>
          <w:sz w:val="32"/>
          <w:szCs w:val="32"/>
          <w:shd w:val="clear" w:color="auto" w:fill="FFFFFF"/>
          <w:lang w:val="en-US" w:eastAsia="zh-CN" w:bidi="ar"/>
        </w:rPr>
        <w:t xml:space="preserve">     </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80" w:lineRule="atLeast"/>
        <w:ind w:firstLine="640"/>
        <w:textAlignment w:val="auto"/>
        <w:rPr>
          <w:rFonts w:hint="eastAsia" w:ascii="仿宋_GB2312" w:hAnsi="Times New Roman" w:eastAsia="仿宋_GB2312" w:cs="仿宋_GB2312"/>
          <w:color w:val="333333"/>
          <w:kern w:val="0"/>
          <w:sz w:val="32"/>
          <w:szCs w:val="32"/>
          <w:shd w:val="clear" w:color="auto" w:fill="FFFFFF"/>
          <w:lang w:bidi="ar"/>
        </w:rPr>
      </w:pPr>
      <w:r>
        <w:rPr>
          <w:rFonts w:hint="eastAsia" w:ascii="仿宋_GB2312" w:hAnsi="Times New Roman" w:eastAsia="仿宋_GB2312" w:cs="仿宋_GB2312"/>
          <w:color w:val="333333"/>
          <w:kern w:val="0"/>
          <w:sz w:val="32"/>
          <w:szCs w:val="32"/>
          <w:shd w:val="clear" w:color="auto" w:fill="FFFFFF"/>
          <w:lang w:bidi="ar"/>
        </w:rPr>
        <w:t>1</w:t>
      </w:r>
      <w:r>
        <w:rPr>
          <w:rFonts w:hint="eastAsia" w:ascii="仿宋_GB2312" w:hAnsi="Times New Roman" w:eastAsia="仿宋_GB2312" w:cs="仿宋_GB2312"/>
          <w:color w:val="333333"/>
          <w:kern w:val="0"/>
          <w:sz w:val="32"/>
          <w:szCs w:val="32"/>
          <w:shd w:val="clear" w:color="auto" w:fill="FFFFFF"/>
          <w:lang w:val="en-US" w:eastAsia="zh-CN" w:bidi="ar"/>
        </w:rPr>
        <w:t>2</w:t>
      </w:r>
      <w:r>
        <w:rPr>
          <w:rFonts w:hint="eastAsia" w:ascii="仿宋_GB2312" w:hAnsi="Times New Roman" w:eastAsia="仿宋_GB2312" w:cs="仿宋_GB2312"/>
          <w:color w:val="333333"/>
          <w:kern w:val="0"/>
          <w:sz w:val="32"/>
          <w:szCs w:val="32"/>
          <w:shd w:val="clear" w:color="auto" w:fill="FFFFFF"/>
          <w:lang w:bidi="ar"/>
        </w:rPr>
        <w:t>.社会保障和就业（类）行政事业单位养老支出（款）行政单位离退休（项）202</w:t>
      </w:r>
      <w:r>
        <w:rPr>
          <w:rFonts w:hint="eastAsia" w:ascii="仿宋_GB2312" w:hAnsi="Times New Roman" w:eastAsia="仿宋_GB2312" w:cs="仿宋_GB2312"/>
          <w:color w:val="333333"/>
          <w:kern w:val="0"/>
          <w:sz w:val="32"/>
          <w:szCs w:val="32"/>
          <w:shd w:val="clear" w:color="auto" w:fill="FFFFFF"/>
          <w:lang w:val="en-US" w:eastAsia="zh-CN" w:bidi="ar"/>
        </w:rPr>
        <w:t>4</w:t>
      </w:r>
      <w:r>
        <w:rPr>
          <w:rFonts w:hint="eastAsia" w:ascii="仿宋_GB2312" w:hAnsi="Times New Roman" w:eastAsia="仿宋_GB2312" w:cs="仿宋_GB2312"/>
          <w:color w:val="333333"/>
          <w:kern w:val="0"/>
          <w:sz w:val="32"/>
          <w:szCs w:val="32"/>
          <w:shd w:val="clear" w:color="auto" w:fill="FFFFFF"/>
          <w:lang w:bidi="ar"/>
        </w:rPr>
        <w:t>年预算数为</w:t>
      </w:r>
      <w:r>
        <w:rPr>
          <w:rFonts w:hint="eastAsia" w:ascii="Times New Roman" w:hAnsi="Times New Roman" w:eastAsia="仿宋_GB2312"/>
          <w:color w:val="333333"/>
          <w:kern w:val="0"/>
          <w:sz w:val="32"/>
          <w:szCs w:val="32"/>
          <w:shd w:val="clear" w:color="auto" w:fill="FFFFFF"/>
          <w:lang w:val="en-US" w:eastAsia="zh-CN" w:bidi="ar"/>
        </w:rPr>
        <w:t>4.33</w:t>
      </w:r>
      <w:r>
        <w:rPr>
          <w:rFonts w:hint="eastAsia" w:ascii="仿宋_GB2312" w:hAnsi="Times New Roman" w:eastAsia="仿宋_GB2312" w:cs="仿宋_GB2312"/>
          <w:color w:val="333333"/>
          <w:kern w:val="0"/>
          <w:sz w:val="32"/>
          <w:szCs w:val="32"/>
          <w:shd w:val="clear" w:color="auto" w:fill="FFFFFF"/>
          <w:lang w:bidi="ar"/>
        </w:rPr>
        <w:t>万元，主要用于：</w:t>
      </w:r>
      <w:r>
        <w:rPr>
          <w:rFonts w:hint="eastAsia" w:ascii="仿宋_GB2312" w:hAnsi="Times New Roman" w:eastAsia="仿宋_GB2312" w:cs="仿宋_GB2312"/>
          <w:color w:val="333333"/>
          <w:kern w:val="0"/>
          <w:sz w:val="32"/>
          <w:szCs w:val="32"/>
          <w:shd w:val="clear" w:color="auto" w:fill="FFFFFF"/>
          <w:lang w:val="en-US" w:eastAsia="zh-CN" w:bidi="ar"/>
        </w:rPr>
        <w:t>机关及下属单位</w:t>
      </w:r>
      <w:r>
        <w:rPr>
          <w:rFonts w:hint="eastAsia" w:ascii="仿宋_GB2312" w:hAnsi="Times New Roman" w:eastAsia="仿宋_GB2312" w:cs="仿宋_GB2312"/>
          <w:color w:val="333333"/>
          <w:kern w:val="0"/>
          <w:sz w:val="32"/>
          <w:szCs w:val="32"/>
          <w:shd w:val="clear" w:color="auto" w:fill="FFFFFF"/>
          <w:lang w:bidi="ar"/>
        </w:rPr>
        <w:t>离退休人员经费支出。</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80" w:lineRule="atLeast"/>
        <w:ind w:firstLine="640"/>
        <w:textAlignment w:val="auto"/>
        <w:rPr>
          <w:rFonts w:hint="eastAsia" w:ascii="仿宋_GB2312" w:hAnsi="Times New Roman" w:eastAsia="仿宋_GB2312" w:cs="仿宋_GB2312"/>
          <w:color w:val="333333"/>
          <w:kern w:val="0"/>
          <w:sz w:val="32"/>
          <w:szCs w:val="32"/>
          <w:shd w:val="clear" w:color="auto" w:fill="FFFFFF"/>
          <w:lang w:bidi="ar"/>
        </w:rPr>
      </w:pPr>
      <w:r>
        <w:rPr>
          <w:rFonts w:hint="eastAsia" w:ascii="仿宋_GB2312" w:hAnsi="Times New Roman" w:eastAsia="仿宋_GB2312" w:cs="仿宋_GB2312"/>
          <w:color w:val="333333"/>
          <w:kern w:val="0"/>
          <w:sz w:val="32"/>
          <w:szCs w:val="32"/>
          <w:shd w:val="clear" w:color="auto" w:fill="FFFFFF"/>
          <w:lang w:bidi="ar"/>
        </w:rPr>
        <w:t>1</w:t>
      </w:r>
      <w:r>
        <w:rPr>
          <w:rFonts w:hint="eastAsia" w:ascii="仿宋_GB2312" w:hAnsi="Times New Roman" w:eastAsia="仿宋_GB2312" w:cs="仿宋_GB2312"/>
          <w:color w:val="333333"/>
          <w:kern w:val="0"/>
          <w:sz w:val="32"/>
          <w:szCs w:val="32"/>
          <w:shd w:val="clear" w:color="auto" w:fill="FFFFFF"/>
          <w:lang w:val="en-US" w:eastAsia="zh-CN" w:bidi="ar"/>
        </w:rPr>
        <w:t>3</w:t>
      </w:r>
      <w:r>
        <w:rPr>
          <w:rFonts w:hint="eastAsia" w:ascii="仿宋_GB2312" w:hAnsi="Times New Roman" w:eastAsia="仿宋_GB2312" w:cs="仿宋_GB2312"/>
          <w:color w:val="333333"/>
          <w:kern w:val="0"/>
          <w:sz w:val="32"/>
          <w:szCs w:val="32"/>
          <w:shd w:val="clear" w:color="auto" w:fill="FFFFFF"/>
          <w:lang w:bidi="ar"/>
        </w:rPr>
        <w:t>.社会保障和就业（类）行政事业单位养老支出（款）机关事业单位基本养老保险缴费支出（项）202</w:t>
      </w:r>
      <w:r>
        <w:rPr>
          <w:rFonts w:hint="eastAsia" w:ascii="仿宋_GB2312" w:hAnsi="Times New Roman" w:eastAsia="仿宋_GB2312" w:cs="仿宋_GB2312"/>
          <w:color w:val="333333"/>
          <w:kern w:val="0"/>
          <w:sz w:val="32"/>
          <w:szCs w:val="32"/>
          <w:shd w:val="clear" w:color="auto" w:fill="FFFFFF"/>
          <w:lang w:val="en-US" w:eastAsia="zh-CN" w:bidi="ar"/>
        </w:rPr>
        <w:t>4</w:t>
      </w:r>
      <w:r>
        <w:rPr>
          <w:rFonts w:hint="eastAsia" w:ascii="仿宋_GB2312" w:hAnsi="Times New Roman" w:eastAsia="仿宋_GB2312" w:cs="仿宋_GB2312"/>
          <w:color w:val="333333"/>
          <w:kern w:val="0"/>
          <w:sz w:val="32"/>
          <w:szCs w:val="32"/>
          <w:shd w:val="clear" w:color="auto" w:fill="FFFFFF"/>
          <w:lang w:bidi="ar"/>
        </w:rPr>
        <w:t>年预算数为</w:t>
      </w:r>
      <w:r>
        <w:rPr>
          <w:rFonts w:hint="eastAsia" w:ascii="Times New Roman" w:hAnsi="Times New Roman" w:eastAsia="仿宋_GB2312"/>
          <w:color w:val="333333"/>
          <w:kern w:val="0"/>
          <w:sz w:val="32"/>
          <w:szCs w:val="32"/>
          <w:shd w:val="clear" w:color="auto" w:fill="FFFFFF"/>
          <w:lang w:val="en-US" w:eastAsia="zh-CN" w:bidi="ar"/>
        </w:rPr>
        <w:t>391.74</w:t>
      </w:r>
      <w:r>
        <w:rPr>
          <w:rFonts w:hint="eastAsia" w:ascii="仿宋_GB2312" w:hAnsi="Times New Roman" w:eastAsia="仿宋_GB2312" w:cs="仿宋_GB2312"/>
          <w:color w:val="333333"/>
          <w:kern w:val="0"/>
          <w:sz w:val="32"/>
          <w:szCs w:val="32"/>
          <w:shd w:val="clear" w:color="auto" w:fill="FFFFFF"/>
          <w:lang w:bidi="ar"/>
        </w:rPr>
        <w:t>万元，主要用于：机关及下属单位由单位缴纳的基本养老保险支出。</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80" w:lineRule="atLeast"/>
        <w:ind w:firstLine="640"/>
        <w:textAlignment w:val="auto"/>
        <w:rPr>
          <w:rFonts w:hint="eastAsia" w:ascii="仿宋_GB2312" w:hAnsi="Times New Roman" w:eastAsia="仿宋_GB2312" w:cs="仿宋_GB2312"/>
          <w:color w:val="333333"/>
          <w:kern w:val="0"/>
          <w:sz w:val="32"/>
          <w:szCs w:val="32"/>
          <w:shd w:val="clear" w:color="auto" w:fill="FFFFFF"/>
          <w:lang w:bidi="ar"/>
        </w:rPr>
      </w:pPr>
      <w:r>
        <w:rPr>
          <w:rFonts w:hint="eastAsia" w:ascii="仿宋_GB2312" w:hAnsi="Times New Roman" w:eastAsia="仿宋_GB2312" w:cs="仿宋_GB2312"/>
          <w:color w:val="333333"/>
          <w:kern w:val="0"/>
          <w:sz w:val="32"/>
          <w:szCs w:val="32"/>
          <w:shd w:val="clear" w:color="auto" w:fill="FFFFFF"/>
          <w:lang w:bidi="ar"/>
        </w:rPr>
        <w:t>1</w:t>
      </w:r>
      <w:r>
        <w:rPr>
          <w:rFonts w:hint="eastAsia" w:ascii="仿宋_GB2312" w:hAnsi="Times New Roman" w:eastAsia="仿宋_GB2312" w:cs="仿宋_GB2312"/>
          <w:color w:val="333333"/>
          <w:kern w:val="0"/>
          <w:sz w:val="32"/>
          <w:szCs w:val="32"/>
          <w:shd w:val="clear" w:color="auto" w:fill="FFFFFF"/>
          <w:lang w:val="en-US" w:eastAsia="zh-CN" w:bidi="ar"/>
        </w:rPr>
        <w:t>4</w:t>
      </w:r>
      <w:r>
        <w:rPr>
          <w:rFonts w:hint="eastAsia" w:ascii="仿宋_GB2312" w:hAnsi="Times New Roman" w:eastAsia="仿宋_GB2312" w:cs="仿宋_GB2312"/>
          <w:color w:val="333333"/>
          <w:kern w:val="0"/>
          <w:sz w:val="32"/>
          <w:szCs w:val="32"/>
          <w:shd w:val="clear" w:color="auto" w:fill="FFFFFF"/>
          <w:lang w:bidi="ar"/>
        </w:rPr>
        <w:t>. 社会保障和就业（类）就业补助（款）其他就业补助支出（项）202</w:t>
      </w:r>
      <w:r>
        <w:rPr>
          <w:rFonts w:hint="eastAsia" w:ascii="仿宋_GB2312" w:hAnsi="Times New Roman" w:eastAsia="仿宋_GB2312" w:cs="仿宋_GB2312"/>
          <w:color w:val="333333"/>
          <w:kern w:val="0"/>
          <w:sz w:val="32"/>
          <w:szCs w:val="32"/>
          <w:shd w:val="clear" w:color="auto" w:fill="FFFFFF"/>
          <w:lang w:val="en-US" w:eastAsia="zh-CN" w:bidi="ar"/>
        </w:rPr>
        <w:t>4</w:t>
      </w:r>
      <w:r>
        <w:rPr>
          <w:rFonts w:hint="eastAsia" w:ascii="仿宋_GB2312" w:hAnsi="Times New Roman" w:eastAsia="仿宋_GB2312" w:cs="仿宋_GB2312"/>
          <w:color w:val="333333"/>
          <w:kern w:val="0"/>
          <w:sz w:val="32"/>
          <w:szCs w:val="32"/>
          <w:shd w:val="clear" w:color="auto" w:fill="FFFFFF"/>
          <w:lang w:bidi="ar"/>
        </w:rPr>
        <w:t>年预算数为</w:t>
      </w:r>
      <w:r>
        <w:rPr>
          <w:rFonts w:hint="eastAsia" w:ascii="Times New Roman" w:hAnsi="Times New Roman" w:eastAsia="仿宋_GB2312"/>
          <w:color w:val="333333"/>
          <w:kern w:val="0"/>
          <w:sz w:val="32"/>
          <w:szCs w:val="32"/>
          <w:shd w:val="clear" w:color="auto" w:fill="FFFFFF"/>
          <w:lang w:val="en-US" w:eastAsia="zh-CN" w:bidi="ar"/>
        </w:rPr>
        <w:t>22</w:t>
      </w:r>
      <w:r>
        <w:rPr>
          <w:rFonts w:hint="eastAsia" w:ascii="仿宋_GB2312" w:hAnsi="Times New Roman" w:eastAsia="仿宋_GB2312" w:cs="仿宋_GB2312"/>
          <w:color w:val="333333"/>
          <w:kern w:val="0"/>
          <w:sz w:val="32"/>
          <w:szCs w:val="32"/>
          <w:shd w:val="clear" w:color="auto" w:fill="FFFFFF"/>
          <w:lang w:bidi="ar"/>
        </w:rPr>
        <w:t>万元，主要用于：就业创业其他相关项目支出。</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80" w:lineRule="atLeast"/>
        <w:ind w:firstLine="640"/>
        <w:textAlignment w:val="auto"/>
        <w:rPr>
          <w:rFonts w:hint="eastAsia" w:ascii="仿宋_GB2312" w:hAnsi="Times New Roman" w:eastAsia="仿宋_GB2312" w:cs="仿宋_GB2312"/>
          <w:color w:val="333333"/>
          <w:kern w:val="0"/>
          <w:sz w:val="32"/>
          <w:szCs w:val="32"/>
          <w:shd w:val="clear" w:color="auto" w:fill="FFFFFF"/>
          <w:lang w:bidi="ar"/>
        </w:rPr>
      </w:pPr>
      <w:r>
        <w:rPr>
          <w:rFonts w:hint="eastAsia" w:ascii="仿宋_GB2312" w:hAnsi="Times New Roman" w:eastAsia="仿宋_GB2312" w:cs="仿宋_GB2312"/>
          <w:color w:val="333333"/>
          <w:kern w:val="0"/>
          <w:sz w:val="32"/>
          <w:szCs w:val="32"/>
          <w:shd w:val="clear" w:color="auto" w:fill="FFFFFF"/>
          <w:lang w:bidi="ar"/>
        </w:rPr>
        <w:t>1</w:t>
      </w:r>
      <w:r>
        <w:rPr>
          <w:rFonts w:hint="eastAsia" w:ascii="仿宋_GB2312" w:hAnsi="Times New Roman" w:eastAsia="仿宋_GB2312" w:cs="仿宋_GB2312"/>
          <w:color w:val="333333"/>
          <w:kern w:val="0"/>
          <w:sz w:val="32"/>
          <w:szCs w:val="32"/>
          <w:shd w:val="clear" w:color="auto" w:fill="FFFFFF"/>
          <w:lang w:val="en-US" w:eastAsia="zh-CN" w:bidi="ar"/>
        </w:rPr>
        <w:t>5</w:t>
      </w:r>
      <w:r>
        <w:rPr>
          <w:rFonts w:hint="eastAsia" w:ascii="仿宋_GB2312" w:hAnsi="Times New Roman" w:eastAsia="仿宋_GB2312" w:cs="仿宋_GB2312"/>
          <w:color w:val="333333"/>
          <w:kern w:val="0"/>
          <w:sz w:val="32"/>
          <w:szCs w:val="32"/>
          <w:shd w:val="clear" w:color="auto" w:fill="FFFFFF"/>
          <w:lang w:bidi="ar"/>
        </w:rPr>
        <w:t>.卫生健康（类）行政事业单位医疗（款）行政单位医疗（项）202</w:t>
      </w:r>
      <w:r>
        <w:rPr>
          <w:rFonts w:hint="eastAsia" w:ascii="仿宋_GB2312" w:hAnsi="Times New Roman" w:eastAsia="仿宋_GB2312" w:cs="仿宋_GB2312"/>
          <w:color w:val="333333"/>
          <w:kern w:val="0"/>
          <w:sz w:val="32"/>
          <w:szCs w:val="32"/>
          <w:shd w:val="clear" w:color="auto" w:fill="FFFFFF"/>
          <w:lang w:val="en-US" w:eastAsia="zh-CN" w:bidi="ar"/>
        </w:rPr>
        <w:t>4</w:t>
      </w:r>
      <w:r>
        <w:rPr>
          <w:rFonts w:hint="eastAsia" w:ascii="仿宋_GB2312" w:hAnsi="Times New Roman" w:eastAsia="仿宋_GB2312" w:cs="仿宋_GB2312"/>
          <w:color w:val="333333"/>
          <w:kern w:val="0"/>
          <w:sz w:val="32"/>
          <w:szCs w:val="32"/>
          <w:shd w:val="clear" w:color="auto" w:fill="FFFFFF"/>
          <w:lang w:bidi="ar"/>
        </w:rPr>
        <w:t>年预算数为</w:t>
      </w:r>
      <w:r>
        <w:rPr>
          <w:rFonts w:hint="eastAsia" w:ascii="仿宋_GB2312" w:hAnsi="Times New Roman" w:eastAsia="仿宋_GB2312" w:cs="仿宋_GB2312"/>
          <w:color w:val="333333"/>
          <w:kern w:val="0"/>
          <w:sz w:val="32"/>
          <w:szCs w:val="32"/>
          <w:shd w:val="clear" w:color="auto" w:fill="FFFFFF"/>
          <w:lang w:val="en-US" w:eastAsia="zh-CN" w:bidi="ar"/>
        </w:rPr>
        <w:t>110.78</w:t>
      </w:r>
      <w:r>
        <w:rPr>
          <w:rFonts w:hint="eastAsia" w:ascii="仿宋_GB2312" w:hAnsi="Times New Roman" w:eastAsia="仿宋_GB2312" w:cs="仿宋_GB2312"/>
          <w:color w:val="333333"/>
          <w:kern w:val="0"/>
          <w:sz w:val="32"/>
          <w:szCs w:val="32"/>
          <w:shd w:val="clear" w:color="auto" w:fill="FFFFFF"/>
          <w:lang w:bidi="ar"/>
        </w:rPr>
        <w:t>万元，主要用于：机关及下属</w:t>
      </w:r>
      <w:r>
        <w:rPr>
          <w:rFonts w:hint="eastAsia" w:ascii="仿宋_GB2312" w:hAnsi="Times New Roman" w:eastAsia="仿宋_GB2312" w:cs="仿宋_GB2312"/>
          <w:color w:val="333333"/>
          <w:kern w:val="0"/>
          <w:sz w:val="32"/>
          <w:szCs w:val="32"/>
          <w:shd w:val="clear" w:color="auto" w:fill="FFFFFF"/>
          <w:lang w:val="en-US" w:eastAsia="zh-CN" w:bidi="ar"/>
        </w:rPr>
        <w:t>参公事业</w:t>
      </w:r>
      <w:r>
        <w:rPr>
          <w:rFonts w:hint="eastAsia" w:ascii="仿宋_GB2312" w:hAnsi="Times New Roman" w:eastAsia="仿宋_GB2312" w:cs="仿宋_GB2312"/>
          <w:color w:val="333333"/>
          <w:kern w:val="0"/>
          <w:sz w:val="32"/>
          <w:szCs w:val="32"/>
          <w:shd w:val="clear" w:color="auto" w:fill="FFFFFF"/>
          <w:lang w:bidi="ar"/>
        </w:rPr>
        <w:t>单位按规定由单位缴纳的基本医疗保险支出。</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80" w:lineRule="atLeast"/>
        <w:ind w:firstLine="640"/>
        <w:textAlignment w:val="auto"/>
        <w:rPr>
          <w:rFonts w:hint="eastAsia" w:ascii="仿宋_GB2312" w:hAnsi="Times New Roman" w:eastAsia="仿宋_GB2312" w:cs="仿宋_GB2312"/>
          <w:color w:val="333333"/>
          <w:kern w:val="0"/>
          <w:sz w:val="32"/>
          <w:szCs w:val="32"/>
          <w:shd w:val="clear" w:color="auto" w:fill="FFFFFF"/>
          <w:lang w:bidi="ar"/>
        </w:rPr>
      </w:pPr>
      <w:r>
        <w:rPr>
          <w:rFonts w:hint="eastAsia" w:ascii="仿宋_GB2312" w:hAnsi="Times New Roman" w:eastAsia="仿宋_GB2312" w:cs="仿宋_GB2312"/>
          <w:color w:val="333333"/>
          <w:kern w:val="0"/>
          <w:sz w:val="32"/>
          <w:szCs w:val="32"/>
          <w:shd w:val="clear" w:color="auto" w:fill="FFFFFF"/>
          <w:lang w:val="en-US" w:eastAsia="zh-CN" w:bidi="ar"/>
        </w:rPr>
        <w:t>16.</w:t>
      </w:r>
      <w:r>
        <w:rPr>
          <w:rFonts w:hint="eastAsia" w:ascii="仿宋_GB2312" w:hAnsi="Times New Roman" w:eastAsia="仿宋_GB2312" w:cs="仿宋_GB2312"/>
          <w:color w:val="333333"/>
          <w:kern w:val="0"/>
          <w:sz w:val="32"/>
          <w:szCs w:val="32"/>
          <w:shd w:val="clear" w:color="auto" w:fill="FFFFFF"/>
          <w:lang w:bidi="ar"/>
        </w:rPr>
        <w:t>卫生健康（类）行政事业单位医疗（款）</w:t>
      </w:r>
      <w:r>
        <w:rPr>
          <w:rFonts w:hint="eastAsia" w:ascii="仿宋_GB2312" w:hAnsi="Times New Roman" w:eastAsia="仿宋_GB2312" w:cs="仿宋_GB2312"/>
          <w:color w:val="333333"/>
          <w:kern w:val="0"/>
          <w:sz w:val="32"/>
          <w:szCs w:val="32"/>
          <w:shd w:val="clear" w:color="auto" w:fill="FFFFFF"/>
          <w:lang w:val="en-US" w:eastAsia="zh-CN" w:bidi="ar"/>
        </w:rPr>
        <w:t>事业</w:t>
      </w:r>
      <w:r>
        <w:rPr>
          <w:rFonts w:hint="eastAsia" w:ascii="仿宋_GB2312" w:hAnsi="Times New Roman" w:eastAsia="仿宋_GB2312" w:cs="仿宋_GB2312"/>
          <w:color w:val="333333"/>
          <w:kern w:val="0"/>
          <w:sz w:val="32"/>
          <w:szCs w:val="32"/>
          <w:shd w:val="clear" w:color="auto" w:fill="FFFFFF"/>
          <w:lang w:bidi="ar"/>
        </w:rPr>
        <w:t>单位医疗（项）202</w:t>
      </w:r>
      <w:r>
        <w:rPr>
          <w:rFonts w:hint="eastAsia" w:ascii="仿宋_GB2312" w:hAnsi="Times New Roman" w:eastAsia="仿宋_GB2312" w:cs="仿宋_GB2312"/>
          <w:color w:val="333333"/>
          <w:kern w:val="0"/>
          <w:sz w:val="32"/>
          <w:szCs w:val="32"/>
          <w:shd w:val="clear" w:color="auto" w:fill="FFFFFF"/>
          <w:lang w:val="en-US" w:eastAsia="zh-CN" w:bidi="ar"/>
        </w:rPr>
        <w:t>4</w:t>
      </w:r>
      <w:r>
        <w:rPr>
          <w:rFonts w:hint="eastAsia" w:ascii="仿宋_GB2312" w:hAnsi="Times New Roman" w:eastAsia="仿宋_GB2312" w:cs="仿宋_GB2312"/>
          <w:color w:val="333333"/>
          <w:kern w:val="0"/>
          <w:sz w:val="32"/>
          <w:szCs w:val="32"/>
          <w:shd w:val="clear" w:color="auto" w:fill="FFFFFF"/>
          <w:lang w:bidi="ar"/>
        </w:rPr>
        <w:t>年预算数为</w:t>
      </w:r>
      <w:r>
        <w:rPr>
          <w:rFonts w:hint="eastAsia" w:ascii="仿宋_GB2312" w:hAnsi="Times New Roman" w:eastAsia="仿宋_GB2312" w:cs="仿宋_GB2312"/>
          <w:color w:val="333333"/>
          <w:kern w:val="0"/>
          <w:sz w:val="32"/>
          <w:szCs w:val="32"/>
          <w:shd w:val="clear" w:color="auto" w:fill="FFFFFF"/>
          <w:lang w:val="en-US" w:eastAsia="zh-CN" w:bidi="ar"/>
        </w:rPr>
        <w:t>17.74</w:t>
      </w:r>
      <w:r>
        <w:rPr>
          <w:rFonts w:hint="eastAsia" w:ascii="仿宋_GB2312" w:hAnsi="Times New Roman" w:eastAsia="仿宋_GB2312" w:cs="仿宋_GB2312"/>
          <w:color w:val="333333"/>
          <w:kern w:val="0"/>
          <w:sz w:val="32"/>
          <w:szCs w:val="32"/>
          <w:shd w:val="clear" w:color="auto" w:fill="FFFFFF"/>
          <w:lang w:bidi="ar"/>
        </w:rPr>
        <w:t>万元，主要用于：下属</w:t>
      </w:r>
      <w:r>
        <w:rPr>
          <w:rFonts w:hint="eastAsia" w:ascii="仿宋_GB2312" w:hAnsi="Times New Roman" w:eastAsia="仿宋_GB2312" w:cs="仿宋_GB2312"/>
          <w:color w:val="333333"/>
          <w:kern w:val="0"/>
          <w:sz w:val="32"/>
          <w:szCs w:val="32"/>
          <w:shd w:val="clear" w:color="auto" w:fill="FFFFFF"/>
          <w:lang w:val="en-US" w:eastAsia="zh-CN" w:bidi="ar"/>
        </w:rPr>
        <w:t>事业</w:t>
      </w:r>
      <w:r>
        <w:rPr>
          <w:rFonts w:hint="eastAsia" w:ascii="仿宋_GB2312" w:hAnsi="Times New Roman" w:eastAsia="仿宋_GB2312" w:cs="仿宋_GB2312"/>
          <w:color w:val="333333"/>
          <w:kern w:val="0"/>
          <w:sz w:val="32"/>
          <w:szCs w:val="32"/>
          <w:shd w:val="clear" w:color="auto" w:fill="FFFFFF"/>
          <w:lang w:bidi="ar"/>
        </w:rPr>
        <w:t>单位按规定由单位缴纳的基本医疗保险支出。</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80" w:lineRule="atLeast"/>
        <w:ind w:firstLine="640"/>
        <w:textAlignment w:val="auto"/>
        <w:rPr>
          <w:rFonts w:hint="default" w:ascii="仿宋_GB2312" w:hAnsi="Times New Roman" w:eastAsia="仿宋_GB2312" w:cs="仿宋_GB2312"/>
          <w:color w:val="333333"/>
          <w:kern w:val="0"/>
          <w:sz w:val="32"/>
          <w:szCs w:val="32"/>
          <w:shd w:val="clear" w:color="auto" w:fill="FFFFFF"/>
          <w:lang w:val="en-US" w:eastAsia="zh-CN" w:bidi="ar"/>
        </w:rPr>
      </w:pPr>
      <w:r>
        <w:rPr>
          <w:rFonts w:hint="eastAsia" w:ascii="仿宋_GB2312" w:hAnsi="Times New Roman" w:eastAsia="仿宋_GB2312" w:cs="仿宋_GB2312"/>
          <w:color w:val="333333"/>
          <w:kern w:val="0"/>
          <w:sz w:val="32"/>
          <w:szCs w:val="32"/>
          <w:shd w:val="clear" w:color="auto" w:fill="FFFFFF"/>
          <w:lang w:val="en-US" w:eastAsia="zh-CN" w:bidi="ar"/>
        </w:rPr>
        <w:t>17.农林水支出（类）巩固脱贫攻坚成果衔接乡村振兴（款）其他巩固脱贫攻坚成果衔接乡村振兴支出（项）2024年预算数为3.64万元，主要用于下属参公事业单位市就业创业促进中心驻村帮扶费用支出。</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80" w:lineRule="atLeast"/>
        <w:ind w:firstLine="640"/>
        <w:textAlignment w:val="auto"/>
        <w:rPr>
          <w:rFonts w:hint="eastAsia" w:ascii="仿宋_GB2312" w:hAnsi="Times New Roman" w:eastAsia="仿宋_GB2312" w:cs="仿宋_GB2312"/>
          <w:color w:val="333333"/>
          <w:kern w:val="0"/>
          <w:sz w:val="32"/>
          <w:szCs w:val="32"/>
          <w:shd w:val="clear" w:color="auto" w:fill="FFFFFF"/>
          <w:lang w:bidi="ar"/>
        </w:rPr>
      </w:pPr>
      <w:r>
        <w:rPr>
          <w:rFonts w:hint="eastAsia" w:ascii="仿宋_GB2312" w:hAnsi="Times New Roman" w:eastAsia="仿宋_GB2312" w:cs="仿宋_GB2312"/>
          <w:color w:val="333333"/>
          <w:kern w:val="0"/>
          <w:sz w:val="32"/>
          <w:szCs w:val="32"/>
          <w:shd w:val="clear" w:color="auto" w:fill="FFFFFF"/>
          <w:lang w:val="en-US" w:eastAsia="zh-CN" w:bidi="ar"/>
        </w:rPr>
        <w:t>18</w:t>
      </w:r>
      <w:r>
        <w:rPr>
          <w:rFonts w:hint="eastAsia" w:ascii="仿宋_GB2312" w:hAnsi="Times New Roman" w:eastAsia="仿宋_GB2312" w:cs="仿宋_GB2312"/>
          <w:color w:val="333333"/>
          <w:kern w:val="0"/>
          <w:sz w:val="32"/>
          <w:szCs w:val="32"/>
          <w:shd w:val="clear" w:color="auto" w:fill="FFFFFF"/>
          <w:lang w:bidi="ar"/>
        </w:rPr>
        <w:t>.住房保障（类）住房改革支出（款）住房公积金（项）202</w:t>
      </w:r>
      <w:r>
        <w:rPr>
          <w:rFonts w:hint="eastAsia" w:ascii="仿宋_GB2312" w:hAnsi="Times New Roman" w:eastAsia="仿宋_GB2312" w:cs="仿宋_GB2312"/>
          <w:color w:val="333333"/>
          <w:kern w:val="0"/>
          <w:sz w:val="32"/>
          <w:szCs w:val="32"/>
          <w:shd w:val="clear" w:color="auto" w:fill="FFFFFF"/>
          <w:lang w:val="en-US" w:eastAsia="zh-CN" w:bidi="ar"/>
        </w:rPr>
        <w:t>4</w:t>
      </w:r>
      <w:r>
        <w:rPr>
          <w:rFonts w:hint="eastAsia" w:ascii="仿宋_GB2312" w:hAnsi="Times New Roman" w:eastAsia="仿宋_GB2312" w:cs="仿宋_GB2312"/>
          <w:color w:val="333333"/>
          <w:kern w:val="0"/>
          <w:sz w:val="32"/>
          <w:szCs w:val="32"/>
          <w:shd w:val="clear" w:color="auto" w:fill="FFFFFF"/>
          <w:lang w:bidi="ar"/>
        </w:rPr>
        <w:t>年预算数为</w:t>
      </w:r>
      <w:r>
        <w:rPr>
          <w:rFonts w:hint="eastAsia" w:ascii="仿宋_GB2312" w:hAnsi="Times New Roman" w:eastAsia="仿宋_GB2312" w:cs="仿宋_GB2312"/>
          <w:color w:val="333333"/>
          <w:kern w:val="0"/>
          <w:sz w:val="32"/>
          <w:szCs w:val="32"/>
          <w:shd w:val="clear" w:color="auto" w:fill="FFFFFF"/>
          <w:lang w:val="en-US" w:eastAsia="zh-CN" w:bidi="ar"/>
        </w:rPr>
        <w:t>331.74</w:t>
      </w:r>
      <w:r>
        <w:rPr>
          <w:rFonts w:hint="eastAsia" w:ascii="仿宋_GB2312" w:hAnsi="Times New Roman" w:eastAsia="仿宋_GB2312" w:cs="仿宋_GB2312"/>
          <w:color w:val="333333"/>
          <w:kern w:val="0"/>
          <w:sz w:val="32"/>
          <w:szCs w:val="32"/>
          <w:shd w:val="clear" w:color="auto" w:fill="FFFFFF"/>
          <w:lang w:bidi="ar"/>
        </w:rPr>
        <w:t>万元，主要用于：机关及下属事业单位按规定为职工缴纳的住房公积金支出。</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80" w:lineRule="atLeast"/>
        <w:ind w:firstLine="640"/>
        <w:textAlignment w:val="auto"/>
        <w:outlineLvl w:val="0"/>
        <w:rPr>
          <w:rFonts w:hint="eastAsia" w:ascii="黑体" w:hAnsi="黑体" w:eastAsia="黑体" w:cs="黑体"/>
          <w:sz w:val="32"/>
          <w:szCs w:val="32"/>
          <w:lang w:val="en-US" w:eastAsia="zh-CN"/>
        </w:rPr>
      </w:pPr>
      <w:bookmarkStart w:id="13" w:name="_Toc11306"/>
      <w:r>
        <w:rPr>
          <w:rFonts w:hint="eastAsia" w:ascii="黑体" w:hAnsi="黑体" w:eastAsia="黑体" w:cs="黑体"/>
          <w:sz w:val="32"/>
          <w:szCs w:val="32"/>
          <w:lang w:val="en-US" w:eastAsia="zh-CN"/>
        </w:rPr>
        <w:t>六、一般公共预算基本支出情况说明</w:t>
      </w:r>
      <w:bookmarkEnd w:id="13"/>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80" w:lineRule="atLeas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人力资源和社会保障局2024年一般公共预算基本支出4455.58万元，其中：人员经费3883.51万元，主要包括：基本工资、津贴补贴、奖金、绩效工资、机关事业单位基本养老保险缴费、职工基本医疗保险缴费、其他社会保险缴费、住房公积金、对个人和家庭的补助等支出。</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用经费572.07万元，主要包括：办公费、印刷费、咨询费、水费、电费、邮电费、物业管理费、差旅费、维修（护）费、会议费、培训费、公务接待费、劳务费、工会经费、福利费、公务用车运行维护费、其他交通费用、其他商品和服务支出等支出。</w:t>
      </w:r>
    </w:p>
    <w:p>
      <w:pPr>
        <w:keepNext w:val="0"/>
        <w:keepLines w:val="0"/>
        <w:pageBreakBefore w:val="0"/>
        <w:widowControl/>
        <w:numPr>
          <w:ilvl w:val="0"/>
          <w:numId w:val="1"/>
        </w:numPr>
        <w:pBdr>
          <w:bottom w:val="single" w:color="FFFFFF" w:sz="8" w:space="31"/>
        </w:pBdr>
        <w:shd w:val="clear" w:color="auto" w:fill="FFFFFF"/>
        <w:kinsoku/>
        <w:wordWrap/>
        <w:overflowPunct/>
        <w:topLinePunct w:val="0"/>
        <w:autoSpaceDE/>
        <w:autoSpaceDN/>
        <w:bidi w:val="0"/>
        <w:adjustRightInd/>
        <w:snapToGrid/>
        <w:spacing w:line="240" w:lineRule="auto"/>
        <w:ind w:firstLine="640" w:firstLineChars="200"/>
        <w:textAlignment w:val="auto"/>
        <w:outlineLvl w:val="0"/>
        <w:rPr>
          <w:rFonts w:hint="eastAsia" w:ascii="黑体" w:hAnsi="黑体" w:eastAsia="黑体" w:cs="黑体"/>
          <w:sz w:val="32"/>
          <w:szCs w:val="32"/>
          <w:lang w:val="en-US" w:eastAsia="zh-CN"/>
        </w:rPr>
      </w:pPr>
      <w:bookmarkStart w:id="14" w:name="_Toc19276"/>
      <w:r>
        <w:rPr>
          <w:rFonts w:hint="eastAsia" w:ascii="黑体" w:hAnsi="黑体" w:eastAsia="黑体" w:cs="黑体"/>
          <w:sz w:val="32"/>
          <w:szCs w:val="32"/>
          <w:lang w:val="en-US" w:eastAsia="zh-CN"/>
        </w:rPr>
        <w:t>“三公”经费财政拨款预算安排情况说明</w:t>
      </w:r>
      <w:bookmarkEnd w:id="14"/>
    </w:p>
    <w:p>
      <w:pPr>
        <w:keepNext w:val="0"/>
        <w:keepLines w:val="0"/>
        <w:pageBreakBefore w:val="0"/>
        <w:widowControl/>
        <w:numPr>
          <w:ilvl w:val="0"/>
          <w:numId w:val="0"/>
        </w:numPr>
        <w:pBdr>
          <w:bottom w:val="single" w:color="FFFFFF" w:sz="8" w:space="31"/>
        </w:pBdr>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广元市人力资源和社会保障局2024年“三公”经费财政拨款预算数14.5万元，其中：公务接待费7.40万元，公务用车购置及运行维护费7.10万元，因公出国（境）经费0万元。</w:t>
      </w:r>
    </w:p>
    <w:p>
      <w:pPr>
        <w:keepNext w:val="0"/>
        <w:keepLines w:val="0"/>
        <w:pageBreakBefore w:val="0"/>
        <w:widowControl/>
        <w:numPr>
          <w:ilvl w:val="0"/>
          <w:numId w:val="2"/>
        </w:numPr>
        <w:pBdr>
          <w:bottom w:val="single" w:color="FFFFFF" w:sz="8" w:space="31"/>
        </w:pBdr>
        <w:shd w:val="clear" w:color="auto" w:fill="FFFFFF"/>
        <w:kinsoku/>
        <w:wordWrap/>
        <w:overflowPunct/>
        <w:topLinePunct w:val="0"/>
        <w:autoSpaceDE/>
        <w:autoSpaceDN/>
        <w:bidi w:val="0"/>
        <w:adjustRightInd/>
        <w:snapToGrid/>
        <w:spacing w:line="240" w:lineRule="auto"/>
        <w:ind w:firstLine="640" w:firstLineChars="200"/>
        <w:textAlignment w:val="auto"/>
        <w:outlineLvl w:val="1"/>
        <w:rPr>
          <w:rFonts w:hint="eastAsia" w:ascii="楷体_GB2312" w:hAnsi="楷体_GB2312" w:eastAsia="楷体_GB2312" w:cs="楷体_GB2312"/>
          <w:sz w:val="32"/>
          <w:szCs w:val="32"/>
          <w:lang w:val="en-US" w:eastAsia="zh-CN"/>
        </w:rPr>
      </w:pPr>
      <w:bookmarkStart w:id="15" w:name="_Toc16019"/>
      <w:r>
        <w:rPr>
          <w:rFonts w:hint="eastAsia" w:ascii="楷体_GB2312" w:hAnsi="楷体_GB2312" w:eastAsia="楷体_GB2312" w:cs="楷体_GB2312"/>
          <w:sz w:val="32"/>
          <w:szCs w:val="32"/>
          <w:lang w:val="en-US" w:eastAsia="zh-CN"/>
        </w:rPr>
        <w:t>公务接待费</w:t>
      </w:r>
      <w:bookmarkEnd w:id="15"/>
    </w:p>
    <w:p>
      <w:pPr>
        <w:keepNext w:val="0"/>
        <w:keepLines w:val="0"/>
        <w:pageBreakBefore w:val="0"/>
        <w:widowControl/>
        <w:numPr>
          <w:ilvl w:val="0"/>
          <w:numId w:val="0"/>
        </w:numPr>
        <w:pBdr>
          <w:bottom w:val="single" w:color="FFFFFF" w:sz="8" w:space="31"/>
        </w:pBdr>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公务接待费与2023年预算相比增长0.50万元，主要原因是农民工服务中心公务活动增加，预算增加0.5万元。</w:t>
      </w:r>
    </w:p>
    <w:p>
      <w:pPr>
        <w:keepNext w:val="0"/>
        <w:keepLines w:val="0"/>
        <w:pageBreakBefore w:val="0"/>
        <w:widowControl/>
        <w:numPr>
          <w:ilvl w:val="0"/>
          <w:numId w:val="0"/>
        </w:numPr>
        <w:pBdr>
          <w:bottom w:val="single" w:color="FFFFFF" w:sz="8" w:space="31"/>
        </w:pBdr>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2024年公务接待费计划用于接待考察调研人事人才、职称评审、工伤劳动能力鉴定，社会保险事务、就业创业、劳动保障监督监察、农民工服务保障、其他人力资源和社会保障工作公务接待餐费等。</w:t>
      </w:r>
    </w:p>
    <w:p>
      <w:pPr>
        <w:keepNext w:val="0"/>
        <w:keepLines w:val="0"/>
        <w:pageBreakBefore w:val="0"/>
        <w:widowControl/>
        <w:numPr>
          <w:ilvl w:val="0"/>
          <w:numId w:val="2"/>
        </w:numPr>
        <w:pBdr>
          <w:bottom w:val="single" w:color="FFFFFF" w:sz="8" w:space="31"/>
        </w:pBdr>
        <w:shd w:val="clear" w:color="auto" w:fill="FFFFFF"/>
        <w:kinsoku/>
        <w:wordWrap/>
        <w:overflowPunct/>
        <w:topLinePunct w:val="0"/>
        <w:autoSpaceDE/>
        <w:autoSpaceDN/>
        <w:bidi w:val="0"/>
        <w:adjustRightInd/>
        <w:snapToGrid/>
        <w:spacing w:line="240" w:lineRule="auto"/>
        <w:ind w:left="0" w:leftChars="0" w:firstLine="640" w:firstLineChars="200"/>
        <w:textAlignment w:val="auto"/>
        <w:outlineLvl w:val="1"/>
        <w:rPr>
          <w:rFonts w:hint="eastAsia" w:ascii="楷体_GB2312" w:hAnsi="楷体_GB2312" w:eastAsia="楷体_GB2312" w:cs="楷体_GB2312"/>
          <w:sz w:val="32"/>
          <w:szCs w:val="32"/>
          <w:lang w:val="en-US" w:eastAsia="zh-CN"/>
        </w:rPr>
      </w:pPr>
      <w:bookmarkStart w:id="16" w:name="_Toc22951"/>
      <w:r>
        <w:rPr>
          <w:rFonts w:hint="eastAsia" w:ascii="楷体_GB2312" w:hAnsi="楷体_GB2312" w:eastAsia="楷体_GB2312" w:cs="楷体_GB2312"/>
          <w:sz w:val="32"/>
          <w:szCs w:val="32"/>
          <w:lang w:val="en-US" w:eastAsia="zh-CN"/>
        </w:rPr>
        <w:t>公务用车购置及运行维护费</w:t>
      </w:r>
      <w:bookmarkEnd w:id="16"/>
    </w:p>
    <w:p>
      <w:pPr>
        <w:keepNext w:val="0"/>
        <w:keepLines w:val="0"/>
        <w:pageBreakBefore w:val="0"/>
        <w:widowControl/>
        <w:numPr>
          <w:ilvl w:val="0"/>
          <w:numId w:val="0"/>
        </w:numPr>
        <w:pBdr>
          <w:bottom w:val="single" w:color="FFFFFF" w:sz="8" w:space="31"/>
        </w:pBdr>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公务用车购置及运行维护费与2023年预算相比持平。</w:t>
      </w:r>
    </w:p>
    <w:p>
      <w:pPr>
        <w:keepNext w:val="0"/>
        <w:keepLines w:val="0"/>
        <w:pageBreakBefore w:val="0"/>
        <w:widowControl/>
        <w:numPr>
          <w:ilvl w:val="0"/>
          <w:numId w:val="0"/>
        </w:numPr>
        <w:pBdr>
          <w:bottom w:val="single" w:color="FFFFFF" w:sz="8" w:space="31"/>
        </w:pBdr>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单位现有公务用车3辆，其中：轿车1辆，旅行车（含商务车）1辆，越野车1辆。</w:t>
      </w:r>
    </w:p>
    <w:p>
      <w:pPr>
        <w:keepNext w:val="0"/>
        <w:keepLines w:val="0"/>
        <w:pageBreakBefore w:val="0"/>
        <w:widowControl/>
        <w:numPr>
          <w:ilvl w:val="0"/>
          <w:numId w:val="0"/>
        </w:numPr>
        <w:pBdr>
          <w:bottom w:val="single" w:color="FFFFFF" w:sz="8" w:space="31"/>
        </w:pBdr>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2024年未安排公务用车购置费。</w:t>
      </w:r>
    </w:p>
    <w:p>
      <w:pPr>
        <w:keepNext w:val="0"/>
        <w:keepLines w:val="0"/>
        <w:pageBreakBefore w:val="0"/>
        <w:widowControl/>
        <w:numPr>
          <w:ilvl w:val="0"/>
          <w:numId w:val="0"/>
        </w:numPr>
        <w:pBdr>
          <w:bottom w:val="single" w:color="FFFFFF" w:sz="8" w:space="31"/>
        </w:pBdr>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仿宋_GB2312"/>
          <w:color w:val="333333"/>
          <w:kern w:val="0"/>
          <w:sz w:val="32"/>
          <w:szCs w:val="32"/>
          <w:shd w:val="clear" w:color="auto" w:fill="FFFFFF"/>
          <w:lang w:eastAsia="zh-CN" w:bidi="ar"/>
        </w:rPr>
      </w:pPr>
      <w:r>
        <w:rPr>
          <w:rFonts w:hint="eastAsia" w:ascii="仿宋_GB2312" w:hAnsi="仿宋_GB2312" w:eastAsia="仿宋_GB2312" w:cs="仿宋_GB2312"/>
          <w:sz w:val="32"/>
          <w:szCs w:val="32"/>
          <w:lang w:val="en-US" w:eastAsia="zh-CN"/>
        </w:rPr>
        <w:t>2024年安排公务用车运行维护费7.10万元，用于3辆公务用车燃油、过路（桥）、维修、保险等方面支出，</w:t>
      </w:r>
      <w:r>
        <w:rPr>
          <w:rFonts w:hint="eastAsia" w:ascii="仿宋_GB2312" w:hAnsi="Times New Roman" w:eastAsia="仿宋_GB2312" w:cs="仿宋_GB2312"/>
          <w:color w:val="333333"/>
          <w:kern w:val="0"/>
          <w:sz w:val="32"/>
          <w:szCs w:val="32"/>
          <w:shd w:val="clear" w:color="auto" w:fill="FFFFFF"/>
          <w:lang w:bidi="ar"/>
        </w:rPr>
        <w:t>主要保障人事人才、职称评审、工伤劳动能力鉴定，社会保险事务、就业创业、劳动保障监督监察、农民工服务保障、</w:t>
      </w:r>
      <w:r>
        <w:rPr>
          <w:rFonts w:hint="eastAsia" w:ascii="仿宋_GB2312" w:hAnsi="Times New Roman" w:eastAsia="仿宋_GB2312" w:cs="仿宋_GB2312"/>
          <w:color w:val="333333"/>
          <w:kern w:val="0"/>
          <w:sz w:val="32"/>
          <w:szCs w:val="32"/>
          <w:shd w:val="clear" w:color="auto" w:fill="FFFFFF"/>
          <w:lang w:val="en-US" w:eastAsia="zh-CN" w:bidi="ar"/>
        </w:rPr>
        <w:t>人事考务、</w:t>
      </w:r>
      <w:r>
        <w:rPr>
          <w:rFonts w:hint="eastAsia" w:ascii="仿宋_GB2312" w:hAnsi="Times New Roman" w:eastAsia="仿宋_GB2312" w:cs="仿宋_GB2312"/>
          <w:color w:val="333333"/>
          <w:kern w:val="0"/>
          <w:sz w:val="32"/>
          <w:szCs w:val="32"/>
          <w:shd w:val="clear" w:color="auto" w:fill="FFFFFF"/>
          <w:lang w:bidi="ar"/>
        </w:rPr>
        <w:t>其他人力资源和社会保障支出等公务用车</w:t>
      </w:r>
      <w:r>
        <w:rPr>
          <w:rFonts w:hint="eastAsia" w:ascii="仿宋_GB2312" w:hAnsi="Times New Roman" w:eastAsia="仿宋_GB2312" w:cs="仿宋_GB2312"/>
          <w:color w:val="333333"/>
          <w:kern w:val="0"/>
          <w:sz w:val="32"/>
          <w:szCs w:val="32"/>
          <w:shd w:val="clear" w:color="auto" w:fill="FFFFFF"/>
          <w:lang w:eastAsia="zh-CN" w:bidi="ar"/>
        </w:rPr>
        <w:t>。</w:t>
      </w:r>
    </w:p>
    <w:p>
      <w:pPr>
        <w:keepNext w:val="0"/>
        <w:keepLines w:val="0"/>
        <w:pageBreakBefore w:val="0"/>
        <w:widowControl/>
        <w:numPr>
          <w:ilvl w:val="0"/>
          <w:numId w:val="2"/>
        </w:numPr>
        <w:pBdr>
          <w:bottom w:val="single" w:color="FFFFFF" w:sz="8" w:space="31"/>
        </w:pBdr>
        <w:shd w:val="clear" w:color="auto" w:fill="FFFFFF"/>
        <w:kinsoku/>
        <w:wordWrap/>
        <w:overflowPunct/>
        <w:topLinePunct w:val="0"/>
        <w:autoSpaceDE/>
        <w:autoSpaceDN/>
        <w:bidi w:val="0"/>
        <w:adjustRightInd/>
        <w:snapToGrid/>
        <w:spacing w:line="240" w:lineRule="auto"/>
        <w:ind w:left="0" w:leftChars="0" w:firstLine="640" w:firstLineChars="200"/>
        <w:textAlignment w:val="auto"/>
        <w:outlineLvl w:val="1"/>
        <w:rPr>
          <w:rFonts w:hint="eastAsia" w:ascii="楷体_GB2312" w:hAnsi="楷体_GB2312" w:eastAsia="楷体_GB2312" w:cs="楷体_GB2312"/>
          <w:sz w:val="32"/>
          <w:szCs w:val="32"/>
          <w:lang w:val="en-US" w:eastAsia="zh-CN"/>
        </w:rPr>
      </w:pPr>
      <w:bookmarkStart w:id="17" w:name="_Toc13537"/>
      <w:r>
        <w:rPr>
          <w:rFonts w:hint="eastAsia" w:ascii="楷体_GB2312" w:hAnsi="楷体_GB2312" w:eastAsia="楷体_GB2312" w:cs="楷体_GB2312"/>
          <w:sz w:val="32"/>
          <w:szCs w:val="32"/>
          <w:lang w:val="en-US" w:eastAsia="zh-CN"/>
        </w:rPr>
        <w:t>因公出国（境）经费</w:t>
      </w:r>
      <w:bookmarkEnd w:id="17"/>
    </w:p>
    <w:p>
      <w:pPr>
        <w:keepNext w:val="0"/>
        <w:keepLines w:val="0"/>
        <w:pageBreakBefore w:val="0"/>
        <w:widowControl/>
        <w:numPr>
          <w:ilvl w:val="0"/>
          <w:numId w:val="0"/>
        </w:numPr>
        <w:pBdr>
          <w:bottom w:val="single" w:color="FFFFFF" w:sz="8" w:space="31"/>
        </w:pBdr>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因公出国（境）经费预算0万元，与2023年预算相比持平。</w:t>
      </w:r>
    </w:p>
    <w:p>
      <w:pPr>
        <w:keepNext w:val="0"/>
        <w:keepLines w:val="0"/>
        <w:pageBreakBefore w:val="0"/>
        <w:widowControl/>
        <w:numPr>
          <w:ilvl w:val="0"/>
          <w:numId w:val="1"/>
        </w:numPr>
        <w:pBdr>
          <w:bottom w:val="single" w:color="FFFFFF" w:sz="8" w:space="31"/>
        </w:pBdr>
        <w:shd w:val="clear" w:color="auto" w:fill="FFFFFF"/>
        <w:kinsoku/>
        <w:wordWrap/>
        <w:overflowPunct/>
        <w:topLinePunct w:val="0"/>
        <w:autoSpaceDE/>
        <w:autoSpaceDN/>
        <w:bidi w:val="0"/>
        <w:adjustRightInd/>
        <w:snapToGrid/>
        <w:spacing w:line="240" w:lineRule="auto"/>
        <w:ind w:left="0" w:leftChars="0" w:firstLine="640" w:firstLineChars="200"/>
        <w:textAlignment w:val="auto"/>
        <w:outlineLvl w:val="0"/>
        <w:rPr>
          <w:rFonts w:hint="eastAsia" w:ascii="黑体" w:hAnsi="黑体" w:eastAsia="黑体" w:cs="黑体"/>
          <w:sz w:val="32"/>
          <w:szCs w:val="32"/>
          <w:lang w:val="en-US" w:eastAsia="zh-CN"/>
        </w:rPr>
      </w:pPr>
      <w:bookmarkStart w:id="18" w:name="_Toc15427"/>
      <w:r>
        <w:rPr>
          <w:rFonts w:hint="eastAsia" w:ascii="黑体" w:hAnsi="黑体" w:eastAsia="黑体" w:cs="黑体"/>
          <w:sz w:val="32"/>
          <w:szCs w:val="32"/>
          <w:lang w:val="en-US" w:eastAsia="zh-CN"/>
        </w:rPr>
        <w:t>政府性基金预算支出情况说明</w:t>
      </w:r>
      <w:bookmarkEnd w:id="18"/>
    </w:p>
    <w:p>
      <w:pPr>
        <w:keepNext w:val="0"/>
        <w:keepLines w:val="0"/>
        <w:pageBreakBefore w:val="0"/>
        <w:widowControl/>
        <w:numPr>
          <w:ilvl w:val="0"/>
          <w:numId w:val="0"/>
        </w:numPr>
        <w:pBdr>
          <w:bottom w:val="single" w:color="FFFFFF" w:sz="8" w:space="31"/>
        </w:pBdr>
        <w:shd w:val="clear" w:color="auto" w:fill="FFFFFF"/>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广元市人力资源和社会保障局2024年无政府性基金预算拨款安排的支出。</w:t>
      </w:r>
    </w:p>
    <w:p>
      <w:pPr>
        <w:keepNext w:val="0"/>
        <w:keepLines w:val="0"/>
        <w:pageBreakBefore w:val="0"/>
        <w:widowControl/>
        <w:numPr>
          <w:ilvl w:val="0"/>
          <w:numId w:val="1"/>
        </w:numPr>
        <w:pBdr>
          <w:bottom w:val="single" w:color="FFFFFF" w:sz="8" w:space="31"/>
        </w:pBdr>
        <w:shd w:val="clear" w:color="auto" w:fill="FFFFFF"/>
        <w:kinsoku/>
        <w:wordWrap/>
        <w:overflowPunct/>
        <w:topLinePunct w:val="0"/>
        <w:autoSpaceDE/>
        <w:autoSpaceDN/>
        <w:bidi w:val="0"/>
        <w:adjustRightInd/>
        <w:snapToGrid/>
        <w:spacing w:line="240" w:lineRule="auto"/>
        <w:ind w:left="0" w:leftChars="0" w:firstLine="640" w:firstLineChars="200"/>
        <w:textAlignment w:val="auto"/>
        <w:outlineLvl w:val="0"/>
        <w:rPr>
          <w:rFonts w:hint="eastAsia" w:ascii="黑体" w:hAnsi="黑体" w:eastAsia="黑体" w:cs="黑体"/>
          <w:sz w:val="32"/>
          <w:szCs w:val="32"/>
          <w:lang w:val="en-US" w:eastAsia="zh-CN"/>
        </w:rPr>
      </w:pPr>
      <w:bookmarkStart w:id="19" w:name="_Toc16280"/>
      <w:r>
        <w:rPr>
          <w:rFonts w:hint="eastAsia" w:ascii="黑体" w:hAnsi="黑体" w:eastAsia="黑体" w:cs="黑体"/>
          <w:sz w:val="32"/>
          <w:szCs w:val="32"/>
          <w:lang w:val="en-US" w:eastAsia="zh-CN"/>
        </w:rPr>
        <w:t>国有资本经营预算支出情况说明</w:t>
      </w:r>
      <w:bookmarkEnd w:id="19"/>
    </w:p>
    <w:p>
      <w:pPr>
        <w:keepNext w:val="0"/>
        <w:keepLines w:val="0"/>
        <w:pageBreakBefore w:val="0"/>
        <w:widowControl/>
        <w:numPr>
          <w:ilvl w:val="0"/>
          <w:numId w:val="0"/>
        </w:numPr>
        <w:pBdr>
          <w:bottom w:val="single" w:color="FFFFFF" w:sz="8" w:space="31"/>
        </w:pBdr>
        <w:shd w:val="clear" w:color="auto" w:fill="FFFFFF"/>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广元市人力资源和社会保障局2024年无国有资本经营预算拨款安排的支出。</w:t>
      </w:r>
    </w:p>
    <w:p>
      <w:pPr>
        <w:keepNext w:val="0"/>
        <w:keepLines w:val="0"/>
        <w:pageBreakBefore w:val="0"/>
        <w:widowControl/>
        <w:numPr>
          <w:ilvl w:val="0"/>
          <w:numId w:val="1"/>
        </w:numPr>
        <w:pBdr>
          <w:bottom w:val="single" w:color="FFFFFF" w:sz="8" w:space="31"/>
        </w:pBdr>
        <w:shd w:val="clear" w:color="auto" w:fill="FFFFFF"/>
        <w:kinsoku/>
        <w:wordWrap/>
        <w:overflowPunct/>
        <w:topLinePunct w:val="0"/>
        <w:autoSpaceDE/>
        <w:autoSpaceDN/>
        <w:bidi w:val="0"/>
        <w:adjustRightInd/>
        <w:snapToGrid/>
        <w:spacing w:line="240" w:lineRule="auto"/>
        <w:ind w:left="0" w:leftChars="0" w:firstLine="640" w:firstLineChars="200"/>
        <w:textAlignment w:val="auto"/>
        <w:outlineLvl w:val="0"/>
        <w:rPr>
          <w:rFonts w:hint="eastAsia" w:ascii="黑体" w:hAnsi="黑体" w:eastAsia="黑体" w:cs="黑体"/>
          <w:sz w:val="32"/>
          <w:szCs w:val="32"/>
          <w:lang w:val="en-US" w:eastAsia="zh-CN"/>
        </w:rPr>
      </w:pPr>
      <w:bookmarkStart w:id="20" w:name="_Toc31511"/>
      <w:r>
        <w:rPr>
          <w:rFonts w:hint="eastAsia" w:ascii="黑体" w:hAnsi="黑体" w:eastAsia="黑体" w:cs="黑体"/>
          <w:sz w:val="32"/>
          <w:szCs w:val="32"/>
          <w:lang w:val="en-US" w:eastAsia="zh-CN"/>
        </w:rPr>
        <w:t>其他重要事项的情况说明</w:t>
      </w:r>
      <w:bookmarkEnd w:id="20"/>
    </w:p>
    <w:p>
      <w:pPr>
        <w:keepNext w:val="0"/>
        <w:keepLines w:val="0"/>
        <w:pageBreakBefore w:val="0"/>
        <w:widowControl/>
        <w:numPr>
          <w:ilvl w:val="0"/>
          <w:numId w:val="0"/>
        </w:numPr>
        <w:pBdr>
          <w:bottom w:val="single" w:color="FFFFFF" w:sz="8" w:space="31"/>
        </w:pBdr>
        <w:shd w:val="clear" w:color="auto" w:fill="FFFFFF"/>
        <w:kinsoku/>
        <w:wordWrap/>
        <w:overflowPunct/>
        <w:topLinePunct w:val="0"/>
        <w:autoSpaceDE/>
        <w:autoSpaceDN/>
        <w:bidi w:val="0"/>
        <w:adjustRightInd/>
        <w:snapToGrid/>
        <w:spacing w:line="240" w:lineRule="auto"/>
        <w:ind w:firstLine="640" w:firstLineChars="200"/>
        <w:textAlignment w:val="auto"/>
        <w:outlineLvl w:val="1"/>
        <w:rPr>
          <w:rFonts w:hint="eastAsia" w:ascii="仿宋_GB2312" w:hAnsi="仿宋_GB2312" w:eastAsia="仿宋_GB2312" w:cs="仿宋_GB2312"/>
          <w:sz w:val="32"/>
          <w:szCs w:val="32"/>
          <w:lang w:val="en-US" w:eastAsia="zh-CN"/>
        </w:rPr>
      </w:pPr>
      <w:bookmarkStart w:id="21" w:name="_Toc597"/>
      <w:r>
        <w:rPr>
          <w:rFonts w:hint="eastAsia" w:ascii="楷体_GB2312" w:hAnsi="楷体_GB2312" w:eastAsia="楷体_GB2312" w:cs="楷体_GB2312"/>
          <w:sz w:val="32"/>
          <w:szCs w:val="32"/>
          <w:lang w:val="en-US" w:eastAsia="zh-CN"/>
        </w:rPr>
        <w:t>（一）机关运行经费</w:t>
      </w:r>
      <w:bookmarkEnd w:id="21"/>
    </w:p>
    <w:p>
      <w:pPr>
        <w:keepNext w:val="0"/>
        <w:keepLines w:val="0"/>
        <w:pageBreakBefore w:val="0"/>
        <w:widowControl/>
        <w:numPr>
          <w:ilvl w:val="0"/>
          <w:numId w:val="0"/>
        </w:numPr>
        <w:pBdr>
          <w:bottom w:val="single" w:color="FFFFFF" w:sz="8" w:space="31"/>
        </w:pBdr>
        <w:shd w:val="clear" w:color="auto" w:fill="FFFFFF"/>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广元市人力资源和社会保障局下属局机关等1家行政单位和广元市人力资源和社会保障局4家参公管理事业单位的机关运行经费财政拨款预算为572.07万元，比2023年预算增加4.69万元，增长0.81%。主要原因是2024年在变人员比2023年减少3人。</w:t>
      </w:r>
    </w:p>
    <w:p>
      <w:pPr>
        <w:keepNext w:val="0"/>
        <w:keepLines w:val="0"/>
        <w:pageBreakBefore w:val="0"/>
        <w:widowControl/>
        <w:numPr>
          <w:ilvl w:val="0"/>
          <w:numId w:val="0"/>
        </w:numPr>
        <w:pBdr>
          <w:bottom w:val="single" w:color="FFFFFF" w:sz="8" w:space="31"/>
        </w:pBdr>
        <w:shd w:val="clear" w:color="auto" w:fill="FFFFFF"/>
        <w:kinsoku/>
        <w:wordWrap/>
        <w:overflowPunct/>
        <w:topLinePunct w:val="0"/>
        <w:autoSpaceDE/>
        <w:autoSpaceDN/>
        <w:bidi w:val="0"/>
        <w:adjustRightInd/>
        <w:snapToGrid/>
        <w:spacing w:line="240" w:lineRule="auto"/>
        <w:ind w:firstLine="640" w:firstLineChars="200"/>
        <w:textAlignment w:val="auto"/>
        <w:outlineLvl w:val="1"/>
        <w:rPr>
          <w:rFonts w:hint="eastAsia" w:ascii="楷体_GB2312" w:hAnsi="楷体_GB2312" w:eastAsia="楷体_GB2312" w:cs="楷体_GB2312"/>
          <w:sz w:val="32"/>
          <w:szCs w:val="32"/>
          <w:lang w:val="en-US" w:eastAsia="zh-CN"/>
        </w:rPr>
      </w:pPr>
      <w:bookmarkStart w:id="22" w:name="_Toc24798"/>
      <w:r>
        <w:rPr>
          <w:rFonts w:hint="eastAsia" w:ascii="楷体_GB2312" w:hAnsi="楷体_GB2312" w:eastAsia="楷体_GB2312" w:cs="楷体_GB2312"/>
          <w:color w:val="auto"/>
          <w:kern w:val="2"/>
          <w:sz w:val="32"/>
          <w:szCs w:val="32"/>
          <w:lang w:val="en-US" w:eastAsia="zh-CN" w:bidi="ar-SA"/>
        </w:rPr>
        <w:t>（二）</w:t>
      </w:r>
      <w:r>
        <w:rPr>
          <w:rFonts w:hint="eastAsia" w:ascii="楷体_GB2312" w:hAnsi="楷体_GB2312" w:eastAsia="楷体_GB2312" w:cs="楷体_GB2312"/>
          <w:sz w:val="32"/>
          <w:szCs w:val="32"/>
          <w:lang w:val="en-US" w:eastAsia="zh-CN"/>
        </w:rPr>
        <w:t>政府采购情况</w:t>
      </w:r>
      <w:bookmarkEnd w:id="22"/>
    </w:p>
    <w:p>
      <w:pPr>
        <w:keepNext w:val="0"/>
        <w:keepLines w:val="0"/>
        <w:pageBreakBefore w:val="0"/>
        <w:widowControl/>
        <w:numPr>
          <w:ilvl w:val="0"/>
          <w:numId w:val="0"/>
        </w:numPr>
        <w:pBdr>
          <w:bottom w:val="single" w:color="FFFFFF" w:sz="8" w:space="31"/>
        </w:pBdr>
        <w:shd w:val="clear" w:color="auto" w:fill="FFFFFF"/>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2024年，广元市人力资源和社会保障局安排政府采购预算98万元，其中：政府采购货物预算0万元、政府采购工程预算0</w:t>
      </w:r>
    </w:p>
    <w:p>
      <w:pPr>
        <w:keepNext w:val="0"/>
        <w:keepLines w:val="0"/>
        <w:pageBreakBefore w:val="0"/>
        <w:widowControl/>
        <w:numPr>
          <w:ilvl w:val="0"/>
          <w:numId w:val="0"/>
        </w:numPr>
        <w:pBdr>
          <w:bottom w:val="single" w:color="FFFFFF" w:sz="8" w:space="31"/>
        </w:pBdr>
        <w:shd w:val="clear" w:color="auto" w:fill="FFFFFF"/>
        <w:kinsoku/>
        <w:wordWrap/>
        <w:overflowPunct/>
        <w:topLinePunct w:val="0"/>
        <w:autoSpaceDE/>
        <w:autoSpaceDN/>
        <w:bidi w:val="0"/>
        <w:adjustRightInd/>
        <w:snapToGrid/>
        <w:spacing w:line="240" w:lineRule="auto"/>
        <w:ind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万元、政府采购服务预算98万元。</w:t>
      </w:r>
    </w:p>
    <w:p>
      <w:pPr>
        <w:keepNext w:val="0"/>
        <w:keepLines w:val="0"/>
        <w:pageBreakBefore w:val="0"/>
        <w:widowControl/>
        <w:numPr>
          <w:ilvl w:val="0"/>
          <w:numId w:val="0"/>
        </w:numPr>
        <w:pBdr>
          <w:bottom w:val="single" w:color="FFFFFF" w:sz="8" w:space="31"/>
        </w:pBdr>
        <w:shd w:val="clear" w:color="auto" w:fill="FFFFFF"/>
        <w:kinsoku/>
        <w:wordWrap/>
        <w:overflowPunct/>
        <w:topLinePunct w:val="0"/>
        <w:autoSpaceDE/>
        <w:autoSpaceDN/>
        <w:bidi w:val="0"/>
        <w:adjustRightInd/>
        <w:snapToGrid/>
        <w:spacing w:line="240" w:lineRule="auto"/>
        <w:ind w:left="0" w:leftChars="0" w:firstLine="640" w:firstLineChars="200"/>
        <w:textAlignment w:val="auto"/>
        <w:outlineLvl w:val="1"/>
        <w:rPr>
          <w:rFonts w:hint="eastAsia" w:ascii="仿宋_GB2312" w:hAnsi="仿宋_GB2312" w:eastAsia="仿宋_GB2312" w:cs="仿宋_GB2312"/>
          <w:sz w:val="32"/>
          <w:szCs w:val="32"/>
          <w:lang w:val="en-US" w:eastAsia="zh-CN"/>
        </w:rPr>
      </w:pPr>
      <w:bookmarkStart w:id="23" w:name="_Toc17449"/>
      <w:r>
        <w:rPr>
          <w:rFonts w:hint="eastAsia" w:ascii="仿宋_GB2312" w:hAnsi="仿宋_GB2312" w:eastAsia="仿宋_GB2312" w:cs="仿宋_GB2312"/>
          <w:color w:val="auto"/>
          <w:kern w:val="2"/>
          <w:sz w:val="32"/>
          <w:szCs w:val="32"/>
          <w:lang w:val="en-US" w:eastAsia="zh-CN" w:bidi="ar-SA"/>
        </w:rPr>
        <w:t>（三）</w:t>
      </w:r>
      <w:r>
        <w:rPr>
          <w:rFonts w:hint="eastAsia" w:ascii="楷体_GB2312" w:hAnsi="楷体_GB2312" w:eastAsia="楷体_GB2312" w:cs="楷体_GB2312"/>
          <w:sz w:val="32"/>
          <w:szCs w:val="32"/>
          <w:lang w:val="en-US" w:eastAsia="zh-CN"/>
        </w:rPr>
        <w:t>国有资产占有使用情况</w:t>
      </w:r>
      <w:bookmarkEnd w:id="23"/>
    </w:p>
    <w:p>
      <w:pPr>
        <w:keepNext w:val="0"/>
        <w:keepLines w:val="0"/>
        <w:pageBreakBefore w:val="0"/>
        <w:widowControl/>
        <w:numPr>
          <w:ilvl w:val="0"/>
          <w:numId w:val="0"/>
        </w:numPr>
        <w:pBdr>
          <w:bottom w:val="single" w:color="FFFFFF" w:sz="8" w:space="31"/>
        </w:pBdr>
        <w:shd w:val="clear" w:color="auto" w:fill="FFFFFF"/>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截至2023年底，广元市人力资源和社会保障局共有车辆3辆。其中：特种专用车1辆、其他用车2辆。单位无价值200万元以上的大型设备。</w:t>
      </w:r>
    </w:p>
    <w:p>
      <w:pPr>
        <w:keepNext w:val="0"/>
        <w:keepLines w:val="0"/>
        <w:pageBreakBefore w:val="0"/>
        <w:widowControl/>
        <w:numPr>
          <w:ilvl w:val="0"/>
          <w:numId w:val="0"/>
        </w:numPr>
        <w:pBdr>
          <w:bottom w:val="single" w:color="FFFFFF" w:sz="8" w:space="31"/>
        </w:pBdr>
        <w:shd w:val="clear" w:color="auto" w:fill="FFFFFF"/>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2024年部门预算未安排购置车辆及单位价值200万元以上大型设备。</w:t>
      </w:r>
    </w:p>
    <w:p>
      <w:pPr>
        <w:keepNext w:val="0"/>
        <w:keepLines w:val="0"/>
        <w:pageBreakBefore w:val="0"/>
        <w:widowControl/>
        <w:numPr>
          <w:ilvl w:val="0"/>
          <w:numId w:val="2"/>
        </w:numPr>
        <w:pBdr>
          <w:bottom w:val="single" w:color="FFFFFF" w:sz="8" w:space="31"/>
        </w:pBdr>
        <w:shd w:val="clear" w:color="auto" w:fill="FFFFFF"/>
        <w:kinsoku/>
        <w:wordWrap/>
        <w:overflowPunct/>
        <w:topLinePunct w:val="0"/>
        <w:autoSpaceDE/>
        <w:autoSpaceDN/>
        <w:bidi w:val="0"/>
        <w:adjustRightInd/>
        <w:snapToGrid/>
        <w:spacing w:line="240" w:lineRule="auto"/>
        <w:ind w:left="0" w:leftChars="0" w:firstLine="640" w:firstLineChars="200"/>
        <w:textAlignment w:val="auto"/>
        <w:outlineLvl w:val="1"/>
        <w:rPr>
          <w:rFonts w:hint="eastAsia" w:ascii="楷体_GB2312" w:hAnsi="楷体_GB2312" w:eastAsia="楷体_GB2312" w:cs="楷体_GB2312"/>
          <w:sz w:val="32"/>
          <w:szCs w:val="32"/>
          <w:lang w:val="en-US" w:eastAsia="zh-CN"/>
        </w:rPr>
      </w:pPr>
      <w:bookmarkStart w:id="24" w:name="_Toc19077"/>
      <w:r>
        <w:rPr>
          <w:rFonts w:hint="eastAsia" w:ascii="楷体_GB2312" w:hAnsi="楷体_GB2312" w:eastAsia="楷体_GB2312" w:cs="楷体_GB2312"/>
          <w:sz w:val="32"/>
          <w:szCs w:val="32"/>
          <w:lang w:val="en-US" w:eastAsia="zh-CN"/>
        </w:rPr>
        <w:t>绩效目标设置情况</w:t>
      </w:r>
      <w:bookmarkEnd w:id="24"/>
    </w:p>
    <w:p>
      <w:pPr>
        <w:keepNext w:val="0"/>
        <w:keepLines w:val="0"/>
        <w:pageBreakBefore w:val="0"/>
        <w:widowControl/>
        <w:numPr>
          <w:ilvl w:val="0"/>
          <w:numId w:val="0"/>
        </w:numPr>
        <w:pBdr>
          <w:bottom w:val="single" w:color="FFFFFF" w:sz="8" w:space="31"/>
        </w:pBdr>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sz w:val="32"/>
          <w:szCs w:val="32"/>
          <w:lang w:val="en-US" w:eastAsia="zh-CN"/>
        </w:rPr>
        <w:t>2024年广元市人力资源和社会保障局开展绩效目标管理的项目68个，涉及预算4455.58万元。其中：人员类项目7个，涉及预算 3883.51万元；运转类项目7个，涉及预算572.07万元；特定目标类项目55个，涉及预算1002.92万元。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hint="eastAsia" w:ascii="黑体" w:hAnsi="黑体" w:eastAsia="黑体" w:cs="黑体"/>
          <w:sz w:val="32"/>
          <w:szCs w:val="32"/>
        </w:rPr>
      </w:pPr>
      <w:bookmarkStart w:id="25" w:name="_Toc24556"/>
      <w:r>
        <w:rPr>
          <w:rFonts w:hint="eastAsia" w:ascii="黑体" w:hAnsi="黑体" w:eastAsia="黑体" w:cs="黑体"/>
          <w:sz w:val="32"/>
          <w:szCs w:val="32"/>
          <w:lang w:val="en-US" w:eastAsia="zh-CN"/>
        </w:rPr>
        <w:t>十一、名词解释</w:t>
      </w:r>
      <w:bookmarkEnd w:id="25"/>
    </w:p>
    <w:p>
      <w:pPr>
        <w:pStyle w:val="16"/>
        <w:spacing w:line="560" w:lineRule="exact"/>
        <w:ind w:firstLine="640" w:firstLineChars="200"/>
        <w:outlineLvl w:val="1"/>
        <w:rPr>
          <w:rFonts w:ascii="仿宋_GB2312" w:eastAsia="仿宋_GB2312"/>
          <w:sz w:val="32"/>
          <w:szCs w:val="32"/>
        </w:rPr>
      </w:pPr>
      <w:bookmarkStart w:id="26" w:name="_Toc24343"/>
      <w:bookmarkStart w:id="27" w:name="_Toc18768"/>
      <w:bookmarkStart w:id="28" w:name="_Toc13822"/>
      <w:bookmarkStart w:id="29" w:name="_Toc11604"/>
      <w:bookmarkStart w:id="30" w:name="_Toc32570"/>
      <w:bookmarkStart w:id="31" w:name="_Toc15031"/>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财政拨款收入：</w:t>
      </w:r>
      <w:r>
        <w:rPr>
          <w:rFonts w:hint="eastAsia" w:ascii="仿宋_GB2312" w:eastAsia="仿宋_GB2312"/>
          <w:sz w:val="32"/>
          <w:szCs w:val="32"/>
        </w:rPr>
        <w:t>反映单位从同级财政部门取得的财政预算资金。</w:t>
      </w:r>
      <w:bookmarkEnd w:id="26"/>
      <w:bookmarkEnd w:id="27"/>
      <w:bookmarkEnd w:id="28"/>
      <w:bookmarkEnd w:id="29"/>
      <w:bookmarkEnd w:id="30"/>
      <w:bookmarkEnd w:id="31"/>
      <w:r>
        <w:rPr>
          <w:rFonts w:ascii="仿宋_GB2312" w:eastAsia="仿宋_GB2312"/>
          <w:sz w:val="32"/>
          <w:szCs w:val="32"/>
        </w:rPr>
        <w:t xml:space="preserve"> </w:t>
      </w:r>
    </w:p>
    <w:p>
      <w:pPr>
        <w:pStyle w:val="16"/>
        <w:spacing w:line="560" w:lineRule="exact"/>
        <w:ind w:firstLine="640" w:firstLineChars="200"/>
        <w:rPr>
          <w:rFonts w:ascii="仿宋_GB2312" w:eastAsia="仿宋_GB2312"/>
          <w:sz w:val="32"/>
          <w:szCs w:val="32"/>
        </w:rPr>
      </w:pPr>
      <w:r>
        <w:rPr>
          <w:rFonts w:hint="eastAsia" w:ascii="楷体" w:hAnsi="楷体" w:eastAsia="楷体" w:cs="楷体"/>
          <w:sz w:val="32"/>
          <w:szCs w:val="32"/>
          <w:lang w:val="en-US" w:eastAsia="zh-CN"/>
        </w:rPr>
        <w:t>（二）</w:t>
      </w:r>
      <w:r>
        <w:rPr>
          <w:rFonts w:hint="eastAsia" w:ascii="楷体" w:hAnsi="楷体" w:eastAsia="楷体" w:cs="楷体"/>
          <w:sz w:val="32"/>
          <w:szCs w:val="32"/>
        </w:rPr>
        <w:t>社会保障和就业支出（类）人力资源和社会保障管理事务（款）行政运行（项）：</w:t>
      </w:r>
      <w:r>
        <w:rPr>
          <w:rFonts w:hint="eastAsia" w:ascii="仿宋_GB2312" w:eastAsia="仿宋_GB2312"/>
          <w:sz w:val="32"/>
          <w:szCs w:val="32"/>
        </w:rPr>
        <w:t>反映行政单位（包括实行公务员管理的事业单位）的基本支出。</w:t>
      </w:r>
    </w:p>
    <w:p>
      <w:pPr>
        <w:pStyle w:val="16"/>
        <w:spacing w:line="560" w:lineRule="exact"/>
        <w:ind w:firstLine="640" w:firstLineChars="200"/>
        <w:rPr>
          <w:rFonts w:hint="eastAsia" w:ascii="仿宋_GB2312" w:eastAsia="仿宋_GB2312"/>
          <w:sz w:val="32"/>
          <w:szCs w:val="32"/>
        </w:rPr>
      </w:pPr>
      <w:r>
        <w:rPr>
          <w:rFonts w:hint="eastAsia" w:ascii="楷体" w:hAnsi="楷体" w:eastAsia="楷体" w:cs="楷体"/>
          <w:sz w:val="32"/>
          <w:szCs w:val="32"/>
          <w:lang w:val="en-US" w:eastAsia="zh-CN"/>
        </w:rPr>
        <w:t>（三）</w:t>
      </w:r>
      <w:r>
        <w:rPr>
          <w:rFonts w:hint="eastAsia" w:ascii="楷体" w:hAnsi="楷体" w:eastAsia="楷体" w:cs="楷体"/>
          <w:sz w:val="32"/>
          <w:szCs w:val="32"/>
        </w:rPr>
        <w:t>社会保障和就业支出（类）人力资源和社会保障管理事务（款）一般行政管理事务（项）：</w:t>
      </w:r>
      <w:r>
        <w:rPr>
          <w:rFonts w:hint="eastAsia" w:ascii="仿宋_GB2312" w:eastAsia="仿宋_GB2312"/>
          <w:sz w:val="32"/>
          <w:szCs w:val="32"/>
        </w:rPr>
        <w:t>反映行政单位（包括实行公务员管理的事业单位）未单独设置顶级科目其他项目支出。</w:t>
      </w:r>
    </w:p>
    <w:p>
      <w:pPr>
        <w:pStyle w:val="16"/>
        <w:spacing w:line="560" w:lineRule="exact"/>
        <w:ind w:firstLine="640" w:firstLineChars="200"/>
        <w:rPr>
          <w:rFonts w:hint="default" w:ascii="仿宋_GB2312" w:eastAsia="仿宋_GB2312"/>
          <w:sz w:val="32"/>
          <w:szCs w:val="32"/>
          <w:lang w:val="en-US" w:eastAsia="zh-CN"/>
        </w:rPr>
      </w:pPr>
      <w:r>
        <w:rPr>
          <w:rFonts w:hint="eastAsia" w:ascii="楷体" w:hAnsi="楷体" w:eastAsia="楷体" w:cs="楷体"/>
          <w:sz w:val="32"/>
          <w:szCs w:val="32"/>
          <w:lang w:val="en-US" w:eastAsia="zh-CN"/>
        </w:rPr>
        <w:t>（四）</w:t>
      </w:r>
      <w:r>
        <w:rPr>
          <w:rFonts w:hint="eastAsia" w:ascii="楷体" w:hAnsi="楷体" w:eastAsia="楷体" w:cs="楷体"/>
          <w:sz w:val="32"/>
          <w:szCs w:val="32"/>
        </w:rPr>
        <w:t>社会保障和就业支出（类）人力资源和社会保障管理事务（款）</w:t>
      </w:r>
      <w:r>
        <w:rPr>
          <w:rFonts w:hint="eastAsia" w:ascii="楷体" w:hAnsi="楷体" w:eastAsia="楷体" w:cs="楷体"/>
          <w:sz w:val="32"/>
          <w:szCs w:val="32"/>
          <w:lang w:val="en-US" w:eastAsia="zh-CN"/>
        </w:rPr>
        <w:t>综合业务管理</w:t>
      </w:r>
      <w:r>
        <w:rPr>
          <w:rFonts w:hint="eastAsia" w:ascii="楷体" w:hAnsi="楷体" w:eastAsia="楷体" w:cs="楷体"/>
          <w:sz w:val="32"/>
          <w:szCs w:val="32"/>
        </w:rPr>
        <w:t>（项）：</w:t>
      </w:r>
      <w:r>
        <w:rPr>
          <w:rFonts w:hint="eastAsia" w:ascii="仿宋_GB2312" w:eastAsia="仿宋_GB2312"/>
          <w:sz w:val="32"/>
          <w:szCs w:val="32"/>
          <w:lang w:val="en-US" w:eastAsia="zh-CN"/>
        </w:rPr>
        <w:t>反映</w:t>
      </w:r>
      <w:r>
        <w:rPr>
          <w:rFonts w:hint="eastAsia" w:ascii="仿宋_GB2312" w:eastAsia="仿宋_GB2312"/>
          <w:sz w:val="32"/>
          <w:szCs w:val="32"/>
        </w:rPr>
        <w:t>人力资源和社会保障管理</w:t>
      </w:r>
      <w:r>
        <w:rPr>
          <w:rFonts w:hint="eastAsia" w:ascii="仿宋_GB2312" w:eastAsia="仿宋_GB2312"/>
          <w:sz w:val="32"/>
          <w:szCs w:val="32"/>
          <w:lang w:val="en-US" w:eastAsia="zh-CN"/>
        </w:rPr>
        <w:t>方面综合性管理事务支出。</w:t>
      </w:r>
    </w:p>
    <w:p>
      <w:pPr>
        <w:pStyle w:val="16"/>
        <w:spacing w:line="560" w:lineRule="exact"/>
        <w:ind w:firstLine="640" w:firstLineChars="200"/>
        <w:rPr>
          <w:rFonts w:ascii="仿宋_GB2312" w:eastAsia="仿宋_GB2312"/>
          <w:sz w:val="32"/>
          <w:szCs w:val="32"/>
        </w:rPr>
      </w:pPr>
      <w:r>
        <w:rPr>
          <w:rFonts w:hint="eastAsia" w:ascii="楷体" w:hAnsi="楷体" w:eastAsia="楷体" w:cs="楷体"/>
          <w:sz w:val="32"/>
          <w:szCs w:val="32"/>
          <w:lang w:val="en-US" w:eastAsia="zh-CN"/>
        </w:rPr>
        <w:t>（五）</w:t>
      </w:r>
      <w:r>
        <w:rPr>
          <w:rFonts w:hint="eastAsia" w:ascii="楷体" w:hAnsi="楷体" w:eastAsia="楷体" w:cs="楷体"/>
          <w:sz w:val="32"/>
          <w:szCs w:val="32"/>
        </w:rPr>
        <w:t>社会保障和就业支出（类）人力资源和社会保障管理事务（款）就业管理事务（项）：</w:t>
      </w:r>
      <w:r>
        <w:rPr>
          <w:rFonts w:hint="eastAsia" w:ascii="仿宋_GB2312" w:eastAsia="仿宋_GB2312"/>
          <w:sz w:val="32"/>
          <w:szCs w:val="32"/>
        </w:rPr>
        <w:t>反映就业</w:t>
      </w:r>
      <w:r>
        <w:rPr>
          <w:rFonts w:ascii="仿宋_GB2312" w:eastAsia="仿宋_GB2312"/>
          <w:sz w:val="32"/>
          <w:szCs w:val="32"/>
        </w:rPr>
        <w:t>和职业技能鉴定管理方面的支出</w:t>
      </w:r>
      <w:r>
        <w:rPr>
          <w:rFonts w:hint="eastAsia" w:ascii="仿宋_GB2312" w:eastAsia="仿宋_GB2312"/>
          <w:sz w:val="32"/>
          <w:szCs w:val="32"/>
        </w:rPr>
        <w:t>。</w:t>
      </w:r>
    </w:p>
    <w:p>
      <w:pPr>
        <w:pStyle w:val="16"/>
        <w:spacing w:line="560" w:lineRule="exact"/>
        <w:ind w:firstLine="640" w:firstLineChars="200"/>
        <w:rPr>
          <w:rFonts w:ascii="仿宋_GB2312" w:eastAsia="仿宋_GB2312"/>
          <w:sz w:val="32"/>
          <w:szCs w:val="32"/>
        </w:rPr>
      </w:pPr>
      <w:r>
        <w:rPr>
          <w:rFonts w:hint="eastAsia" w:ascii="楷体" w:hAnsi="楷体" w:eastAsia="楷体" w:cs="楷体"/>
          <w:sz w:val="32"/>
          <w:szCs w:val="32"/>
          <w:lang w:val="en-US" w:eastAsia="zh-CN"/>
        </w:rPr>
        <w:t>（六）</w:t>
      </w:r>
      <w:r>
        <w:rPr>
          <w:rFonts w:hint="eastAsia" w:ascii="楷体" w:hAnsi="楷体" w:eastAsia="楷体" w:cs="楷体"/>
          <w:sz w:val="32"/>
          <w:szCs w:val="32"/>
        </w:rPr>
        <w:t>社会保障和就业支出（类）人力资源和社会保障管理事务（款）社会保险业务管理事务（项）：</w:t>
      </w:r>
      <w:r>
        <w:rPr>
          <w:rFonts w:hint="eastAsia" w:ascii="仿宋_GB2312" w:eastAsia="仿宋_GB2312"/>
          <w:sz w:val="32"/>
          <w:szCs w:val="32"/>
        </w:rPr>
        <w:t>反映社会保险业务管理和基金监督方面的支出。</w:t>
      </w:r>
    </w:p>
    <w:p>
      <w:pPr>
        <w:pStyle w:val="16"/>
        <w:spacing w:line="560" w:lineRule="exact"/>
        <w:ind w:firstLine="640" w:firstLineChars="200"/>
        <w:rPr>
          <w:rFonts w:ascii="仿宋_GB2312" w:eastAsia="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七</w:t>
      </w:r>
      <w:r>
        <w:rPr>
          <w:rFonts w:hint="eastAsia" w:ascii="楷体" w:hAnsi="楷体" w:eastAsia="楷体" w:cs="楷体"/>
          <w:sz w:val="32"/>
          <w:szCs w:val="32"/>
          <w:lang w:eastAsia="zh-CN"/>
        </w:rPr>
        <w:t>）</w:t>
      </w:r>
      <w:r>
        <w:rPr>
          <w:rFonts w:hint="eastAsia" w:ascii="楷体" w:hAnsi="楷体" w:eastAsia="楷体" w:cs="楷体"/>
          <w:sz w:val="32"/>
          <w:szCs w:val="32"/>
        </w:rPr>
        <w:t>社会保障和就业支出（类）人力资源和社会保障管理事务（款）信息化建设（项）：</w:t>
      </w:r>
      <w:r>
        <w:rPr>
          <w:rFonts w:hint="eastAsia" w:ascii="仿宋_GB2312" w:eastAsia="仿宋_GB2312"/>
          <w:sz w:val="32"/>
          <w:szCs w:val="32"/>
        </w:rPr>
        <w:t>反映人力资源和社会保障部门用于信息化建设、运行维护和数据分析等方面的支出，如：金保工程、社会保障卡建设和运行维护、人力资源市场信息化等支出。</w:t>
      </w:r>
    </w:p>
    <w:p>
      <w:pPr>
        <w:pStyle w:val="16"/>
        <w:spacing w:line="560" w:lineRule="exact"/>
        <w:ind w:firstLine="640" w:firstLineChars="200"/>
        <w:rPr>
          <w:rFonts w:ascii="仿宋_GB2312" w:eastAsia="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八</w:t>
      </w:r>
      <w:r>
        <w:rPr>
          <w:rFonts w:hint="eastAsia" w:ascii="楷体" w:hAnsi="楷体" w:eastAsia="楷体" w:cs="楷体"/>
          <w:sz w:val="32"/>
          <w:szCs w:val="32"/>
          <w:lang w:eastAsia="zh-CN"/>
        </w:rPr>
        <w:t>）</w:t>
      </w:r>
      <w:r>
        <w:rPr>
          <w:rFonts w:hint="eastAsia" w:ascii="楷体" w:hAnsi="楷体" w:eastAsia="楷体" w:cs="楷体"/>
          <w:sz w:val="32"/>
          <w:szCs w:val="32"/>
        </w:rPr>
        <w:t>社会保障和就业支出（类）人力资源和社会保障管理事务（款）社会保险经办机构（项）：</w:t>
      </w:r>
      <w:r>
        <w:rPr>
          <w:rFonts w:hint="eastAsia" w:ascii="仿宋_GB2312" w:eastAsia="仿宋_GB2312"/>
          <w:sz w:val="32"/>
          <w:szCs w:val="32"/>
        </w:rPr>
        <w:t>反映社会保险经办机构开展业务工作的支出。</w:t>
      </w:r>
    </w:p>
    <w:p>
      <w:pPr>
        <w:pStyle w:val="16"/>
        <w:spacing w:line="560" w:lineRule="exact"/>
        <w:ind w:firstLine="640" w:firstLineChars="200"/>
        <w:rPr>
          <w:rFonts w:ascii="仿宋_GB2312" w:eastAsia="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九</w:t>
      </w:r>
      <w:r>
        <w:rPr>
          <w:rFonts w:hint="eastAsia" w:ascii="楷体" w:hAnsi="楷体" w:eastAsia="楷体" w:cs="楷体"/>
          <w:sz w:val="32"/>
          <w:szCs w:val="32"/>
          <w:lang w:eastAsia="zh-CN"/>
        </w:rPr>
        <w:t>）</w:t>
      </w:r>
      <w:r>
        <w:rPr>
          <w:rFonts w:hint="eastAsia" w:ascii="楷体" w:hAnsi="楷体" w:eastAsia="楷体" w:cs="楷体"/>
          <w:sz w:val="32"/>
          <w:szCs w:val="32"/>
        </w:rPr>
        <w:t>社会保障和就业支出（类）人力资源和社会保障管理事务（款）劳动关系和</w:t>
      </w:r>
      <w:r>
        <w:rPr>
          <w:rFonts w:hint="eastAsia" w:ascii="楷体" w:hAnsi="楷体" w:eastAsia="楷体" w:cs="楷体"/>
          <w:sz w:val="32"/>
          <w:szCs w:val="32"/>
          <w:lang w:val="en-US" w:eastAsia="zh-CN"/>
        </w:rPr>
        <w:t>维权</w:t>
      </w:r>
      <w:r>
        <w:rPr>
          <w:rFonts w:hint="eastAsia" w:ascii="楷体" w:hAnsi="楷体" w:eastAsia="楷体" w:cs="楷体"/>
          <w:sz w:val="32"/>
          <w:szCs w:val="32"/>
        </w:rPr>
        <w:t>（项）：</w:t>
      </w:r>
      <w:r>
        <w:rPr>
          <w:rFonts w:hint="eastAsia" w:ascii="仿宋_GB2312" w:eastAsia="仿宋_GB2312"/>
          <w:sz w:val="32"/>
          <w:szCs w:val="32"/>
        </w:rPr>
        <w:t>反映劳动关系和维权事务支出。</w:t>
      </w:r>
    </w:p>
    <w:p>
      <w:pPr>
        <w:pStyle w:val="16"/>
        <w:spacing w:line="560" w:lineRule="exact"/>
        <w:ind w:firstLine="640" w:firstLineChars="200"/>
        <w:rPr>
          <w:rFonts w:ascii="仿宋_GB2312" w:eastAsia="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十</w:t>
      </w:r>
      <w:r>
        <w:rPr>
          <w:rFonts w:hint="eastAsia" w:ascii="楷体" w:hAnsi="楷体" w:eastAsia="楷体" w:cs="楷体"/>
          <w:sz w:val="32"/>
          <w:szCs w:val="32"/>
          <w:lang w:eastAsia="zh-CN"/>
        </w:rPr>
        <w:t>）</w:t>
      </w:r>
      <w:r>
        <w:rPr>
          <w:rFonts w:hint="eastAsia" w:ascii="楷体" w:hAnsi="楷体" w:eastAsia="楷体" w:cs="楷体"/>
          <w:sz w:val="32"/>
          <w:szCs w:val="32"/>
        </w:rPr>
        <w:t>社会保障和就业支出（类）人力资源和社会保障管理事务（款）劳动人事争议调解仲裁（项）：</w:t>
      </w:r>
      <w:r>
        <w:rPr>
          <w:rFonts w:hint="eastAsia" w:ascii="仿宋_GB2312" w:eastAsia="仿宋_GB2312"/>
          <w:sz w:val="32"/>
          <w:szCs w:val="32"/>
        </w:rPr>
        <w:t>反映仲裁机构实体化建设、办案经费、调解仲裁能力建设等支出。</w:t>
      </w:r>
    </w:p>
    <w:p>
      <w:pPr>
        <w:pStyle w:val="16"/>
        <w:spacing w:line="560" w:lineRule="exact"/>
        <w:ind w:firstLine="640" w:firstLineChars="200"/>
        <w:rPr>
          <w:rFonts w:ascii="仿宋_GB2312" w:eastAsia="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十一</w:t>
      </w:r>
      <w:r>
        <w:rPr>
          <w:rFonts w:hint="eastAsia" w:ascii="楷体" w:hAnsi="楷体" w:eastAsia="楷体" w:cs="楷体"/>
          <w:sz w:val="32"/>
          <w:szCs w:val="32"/>
          <w:lang w:eastAsia="zh-CN"/>
        </w:rPr>
        <w:t>）</w:t>
      </w:r>
      <w:r>
        <w:rPr>
          <w:rFonts w:hint="eastAsia" w:ascii="楷体" w:hAnsi="楷体" w:eastAsia="楷体" w:cs="楷体"/>
          <w:sz w:val="32"/>
          <w:szCs w:val="32"/>
        </w:rPr>
        <w:t>社会保障和就业支出（类）人力资源和社会保障管理事务（款）事业运行（项）：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pStyle w:val="16"/>
        <w:spacing w:line="560" w:lineRule="exact"/>
        <w:ind w:firstLine="640" w:firstLineChars="200"/>
        <w:rPr>
          <w:rFonts w:ascii="仿宋_GB2312" w:eastAsia="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十二</w:t>
      </w:r>
      <w:r>
        <w:rPr>
          <w:rFonts w:hint="eastAsia" w:ascii="楷体" w:hAnsi="楷体" w:eastAsia="楷体" w:cs="楷体"/>
          <w:sz w:val="32"/>
          <w:szCs w:val="32"/>
          <w:lang w:eastAsia="zh-CN"/>
        </w:rPr>
        <w:t>）</w:t>
      </w:r>
      <w:r>
        <w:rPr>
          <w:rFonts w:hint="eastAsia" w:ascii="楷体" w:hAnsi="楷体" w:eastAsia="楷体" w:cs="楷体"/>
          <w:sz w:val="32"/>
          <w:szCs w:val="32"/>
        </w:rPr>
        <w:t>社会保障和就业支出（类）人力资源和社会保障管理事务（款）其他人力资源和社会保障管理事务支出（项）：</w:t>
      </w:r>
      <w:r>
        <w:rPr>
          <w:rFonts w:hint="eastAsia" w:ascii="仿宋_GB2312" w:eastAsia="仿宋_GB2312"/>
          <w:sz w:val="32"/>
          <w:szCs w:val="32"/>
        </w:rPr>
        <w:t>反映除上述项目以外其他人力资源和社会保障管理事务方面的支出。</w:t>
      </w:r>
    </w:p>
    <w:p>
      <w:pPr>
        <w:pStyle w:val="16"/>
        <w:spacing w:line="560" w:lineRule="exact"/>
        <w:ind w:firstLine="640" w:firstLineChars="200"/>
        <w:rPr>
          <w:rFonts w:ascii="仿宋_GB2312" w:eastAsia="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十三</w:t>
      </w:r>
      <w:r>
        <w:rPr>
          <w:rFonts w:hint="eastAsia" w:ascii="楷体" w:hAnsi="楷体" w:eastAsia="楷体" w:cs="楷体"/>
          <w:sz w:val="32"/>
          <w:szCs w:val="32"/>
          <w:lang w:eastAsia="zh-CN"/>
        </w:rPr>
        <w:t>）</w:t>
      </w:r>
      <w:r>
        <w:rPr>
          <w:rFonts w:hint="eastAsia" w:ascii="楷体" w:hAnsi="楷体" w:eastAsia="楷体" w:cs="楷体"/>
          <w:sz w:val="32"/>
          <w:szCs w:val="32"/>
        </w:rPr>
        <w:t>社会保障和就业支出（类）行政事业单位</w:t>
      </w:r>
      <w:r>
        <w:rPr>
          <w:rFonts w:hint="eastAsia" w:ascii="楷体" w:hAnsi="楷体" w:eastAsia="楷体" w:cs="楷体"/>
          <w:sz w:val="32"/>
          <w:szCs w:val="32"/>
          <w:lang w:val="en-US" w:eastAsia="zh-CN"/>
        </w:rPr>
        <w:t>养老支出</w:t>
      </w:r>
      <w:r>
        <w:rPr>
          <w:rFonts w:hint="eastAsia" w:ascii="楷体" w:hAnsi="楷体" w:eastAsia="楷体" w:cs="楷体"/>
          <w:sz w:val="32"/>
          <w:szCs w:val="32"/>
        </w:rPr>
        <w:t>（款）行政单位离退休（项）：</w:t>
      </w:r>
      <w:r>
        <w:rPr>
          <w:rFonts w:hint="eastAsia" w:ascii="仿宋_GB2312" w:eastAsia="仿宋_GB2312"/>
          <w:sz w:val="32"/>
          <w:szCs w:val="32"/>
        </w:rPr>
        <w:t>反映行政单位的行政单位（包括实行公务员管理的事业单位）开支的离退休支出。</w:t>
      </w:r>
    </w:p>
    <w:p>
      <w:pPr>
        <w:pStyle w:val="16"/>
        <w:spacing w:line="560" w:lineRule="exact"/>
        <w:ind w:firstLine="640" w:firstLineChars="200"/>
        <w:rPr>
          <w:rFonts w:ascii="仿宋_GB2312" w:eastAsia="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十四</w:t>
      </w:r>
      <w:r>
        <w:rPr>
          <w:rFonts w:hint="eastAsia" w:ascii="楷体" w:hAnsi="楷体" w:eastAsia="楷体" w:cs="楷体"/>
          <w:sz w:val="32"/>
          <w:szCs w:val="32"/>
          <w:lang w:eastAsia="zh-CN"/>
        </w:rPr>
        <w:t>）</w:t>
      </w:r>
      <w:r>
        <w:rPr>
          <w:rFonts w:hint="eastAsia" w:ascii="楷体" w:hAnsi="楷体" w:eastAsia="楷体" w:cs="楷体"/>
          <w:sz w:val="32"/>
          <w:szCs w:val="32"/>
        </w:rPr>
        <w:t>社会保障和就业支出（类）行政事业单位</w:t>
      </w:r>
      <w:r>
        <w:rPr>
          <w:rFonts w:hint="eastAsia" w:ascii="楷体" w:hAnsi="楷体" w:eastAsia="楷体" w:cs="楷体"/>
          <w:sz w:val="32"/>
          <w:szCs w:val="32"/>
          <w:lang w:val="en-US" w:eastAsia="zh-CN"/>
        </w:rPr>
        <w:t>养老支出</w:t>
      </w:r>
      <w:r>
        <w:rPr>
          <w:rFonts w:hint="eastAsia" w:ascii="楷体" w:hAnsi="楷体" w:eastAsia="楷体" w:cs="楷体"/>
          <w:sz w:val="32"/>
          <w:szCs w:val="32"/>
        </w:rPr>
        <w:t>（款）机关事业单位基本养老保险缴费支出（项）：</w:t>
      </w:r>
      <w:r>
        <w:rPr>
          <w:rFonts w:hint="eastAsia" w:ascii="仿宋_GB2312" w:eastAsia="仿宋_GB2312"/>
          <w:sz w:val="32"/>
          <w:szCs w:val="32"/>
        </w:rPr>
        <w:t>反映机关事业单位实施养老保险制度有单位缴纳的基本养老保险费支出。</w:t>
      </w:r>
    </w:p>
    <w:p>
      <w:pPr>
        <w:pStyle w:val="16"/>
        <w:spacing w:line="560" w:lineRule="exact"/>
        <w:ind w:firstLine="640" w:firstLineChars="200"/>
        <w:rPr>
          <w:rFonts w:ascii="仿宋_GB2312" w:eastAsia="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十五</w:t>
      </w:r>
      <w:r>
        <w:rPr>
          <w:rFonts w:hint="eastAsia" w:ascii="楷体" w:hAnsi="楷体" w:eastAsia="楷体" w:cs="楷体"/>
          <w:sz w:val="32"/>
          <w:szCs w:val="32"/>
          <w:lang w:eastAsia="zh-CN"/>
        </w:rPr>
        <w:t>）</w:t>
      </w:r>
      <w:r>
        <w:rPr>
          <w:rFonts w:hint="eastAsia" w:ascii="楷体" w:hAnsi="楷体" w:eastAsia="楷体" w:cs="楷体"/>
          <w:sz w:val="32"/>
          <w:szCs w:val="32"/>
        </w:rPr>
        <w:t>社会保障和就业支出（类）就业补助（款）其他就业补助支出（项）：</w:t>
      </w:r>
      <w:r>
        <w:rPr>
          <w:rFonts w:hint="eastAsia" w:ascii="仿宋_GB2312" w:eastAsia="仿宋_GB2312"/>
          <w:sz w:val="32"/>
          <w:szCs w:val="32"/>
        </w:rPr>
        <w:t>反映除上述项目以外按规定确定的其他用于促进就业的补助支出。</w:t>
      </w:r>
    </w:p>
    <w:p>
      <w:pPr>
        <w:pStyle w:val="16"/>
        <w:spacing w:line="560" w:lineRule="exact"/>
        <w:ind w:firstLine="640" w:firstLineChars="200"/>
        <w:rPr>
          <w:rFonts w:hint="eastAsia" w:ascii="仿宋_GB2312" w:eastAsia="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十六</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卫生健康支出</w:t>
      </w:r>
      <w:r>
        <w:rPr>
          <w:rFonts w:hint="eastAsia" w:ascii="楷体" w:hAnsi="楷体" w:eastAsia="楷体" w:cs="楷体"/>
          <w:sz w:val="32"/>
          <w:szCs w:val="32"/>
        </w:rPr>
        <w:t>（类）行政事业单位医疗（款）行政单位医疗（项）：</w:t>
      </w:r>
      <w:r>
        <w:rPr>
          <w:rFonts w:hint="eastAsia" w:ascii="仿宋_GB2312" w:eastAsia="仿宋_GB2312"/>
          <w:sz w:val="32"/>
          <w:szCs w:val="32"/>
        </w:rPr>
        <w:t>反映财政部门安排的行政单位</w:t>
      </w:r>
      <w:r>
        <w:rPr>
          <w:rFonts w:hint="eastAsia" w:ascii="仿宋_GB2312" w:eastAsia="仿宋_GB2312"/>
          <w:sz w:val="32"/>
          <w:szCs w:val="32"/>
          <w:lang w:eastAsia="zh-CN"/>
        </w:rPr>
        <w:t>（</w:t>
      </w:r>
      <w:r>
        <w:rPr>
          <w:rFonts w:hint="eastAsia" w:ascii="仿宋_GB2312" w:eastAsia="仿宋_GB2312"/>
          <w:sz w:val="32"/>
          <w:szCs w:val="32"/>
          <w:lang w:val="en-US" w:eastAsia="zh-CN"/>
        </w:rPr>
        <w:t>包括实行公务员管理的事业单位，下同</w:t>
      </w:r>
      <w:r>
        <w:rPr>
          <w:rFonts w:hint="eastAsia" w:ascii="仿宋_GB2312" w:eastAsia="仿宋_GB2312"/>
          <w:sz w:val="32"/>
          <w:szCs w:val="32"/>
          <w:lang w:eastAsia="zh-CN"/>
        </w:rPr>
        <w:t>）</w:t>
      </w:r>
      <w:r>
        <w:rPr>
          <w:rFonts w:hint="eastAsia" w:ascii="仿宋_GB2312" w:eastAsia="仿宋_GB2312"/>
          <w:sz w:val="32"/>
          <w:szCs w:val="32"/>
        </w:rPr>
        <w:t>基本医疗保险缴费经费、未参加医疗保险的行政单位公费医疗经费，按国家规定享受离退休人员、红军老战士待遇人员的医疗经费。</w:t>
      </w:r>
    </w:p>
    <w:p>
      <w:pPr>
        <w:pStyle w:val="7"/>
        <w:spacing w:line="576" w:lineRule="exact"/>
        <w:ind w:firstLine="640" w:firstLineChars="200"/>
        <w:rPr>
          <w:rStyle w:val="11"/>
          <w:rFonts w:hint="default" w:ascii="仿宋" w:hAnsi="仿宋" w:eastAsia="仿宋"/>
          <w:b w:val="0"/>
          <w:bCs/>
          <w:color w:val="000000"/>
          <w:sz w:val="32"/>
          <w:szCs w:val="32"/>
          <w:lang w:val="en-US"/>
        </w:rPr>
      </w:pPr>
      <w:r>
        <w:rPr>
          <w:rFonts w:hint="eastAsia" w:ascii="楷体" w:hAnsi="楷体" w:eastAsia="楷体" w:cs="楷体"/>
          <w:color w:val="000000"/>
          <w:sz w:val="32"/>
          <w:szCs w:val="32"/>
          <w:lang w:val="en-US" w:eastAsia="zh-CN" w:bidi="ar-SA"/>
        </w:rPr>
        <w:t>（十七）</w:t>
      </w:r>
      <w:r>
        <w:rPr>
          <w:rFonts w:hint="eastAsia" w:ascii="楷体" w:hAnsi="楷体" w:eastAsia="楷体" w:cs="楷体"/>
          <w:sz w:val="32"/>
          <w:szCs w:val="32"/>
          <w:lang w:val="en-US" w:eastAsia="zh-CN"/>
        </w:rPr>
        <w:t>卫生健康支出</w:t>
      </w:r>
      <w:r>
        <w:rPr>
          <w:rFonts w:hint="eastAsia" w:ascii="楷体" w:hAnsi="楷体" w:eastAsia="楷体" w:cs="楷体"/>
          <w:color w:val="000000"/>
          <w:sz w:val="32"/>
          <w:szCs w:val="32"/>
          <w:lang w:val="en-US" w:eastAsia="zh-CN" w:bidi="ar-SA"/>
        </w:rPr>
        <w:t>（类）行政事业单位医疗（款）事业单位医疗（项）：</w:t>
      </w:r>
      <w:r>
        <w:rPr>
          <w:rFonts w:hint="eastAsia" w:ascii="仿宋_GB2312" w:hAnsi="Calibri" w:eastAsia="仿宋_GB2312" w:cs="仿宋"/>
          <w:color w:val="000000"/>
          <w:sz w:val="32"/>
          <w:szCs w:val="32"/>
          <w:lang w:val="en-US" w:eastAsia="zh-CN" w:bidi="ar-SA"/>
        </w:rPr>
        <w:t>反映财政部门安排的事业单位基本医疗保险缴费经费，未参加医疗保险的事业单位的公费医疗经费，按国家规定享受离休人员待遇的医疗经费。</w:t>
      </w:r>
    </w:p>
    <w:p>
      <w:pPr>
        <w:pStyle w:val="16"/>
        <w:spacing w:line="560" w:lineRule="exact"/>
        <w:ind w:firstLine="640" w:firstLineChars="200"/>
        <w:rPr>
          <w:rFonts w:hint="eastAsia" w:ascii="仿宋_GB2312" w:eastAsia="仿宋_GB2312"/>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十八</w:t>
      </w:r>
      <w:r>
        <w:rPr>
          <w:rFonts w:hint="eastAsia" w:ascii="楷体" w:hAnsi="楷体" w:eastAsia="楷体" w:cs="楷体"/>
          <w:sz w:val="32"/>
          <w:szCs w:val="32"/>
          <w:lang w:eastAsia="zh-CN"/>
        </w:rPr>
        <w:t>）</w:t>
      </w:r>
      <w:r>
        <w:rPr>
          <w:rFonts w:hint="eastAsia" w:ascii="楷体" w:hAnsi="楷体" w:eastAsia="楷体" w:cs="楷体"/>
          <w:color w:val="333333"/>
          <w:kern w:val="0"/>
          <w:sz w:val="32"/>
          <w:szCs w:val="32"/>
          <w:shd w:val="clear" w:color="auto" w:fill="FFFFFF"/>
          <w:lang w:val="en-US" w:eastAsia="zh-CN" w:bidi="ar"/>
        </w:rPr>
        <w:t>农林水支出（类）巩固脱贫攻坚成果衔接乡村振兴（款）其他巩固脱贫攻坚成果衔接乡村振兴支出（项）</w:t>
      </w:r>
      <w:r>
        <w:rPr>
          <w:rFonts w:hint="eastAsia" w:ascii="仿宋_GB2312" w:eastAsia="仿宋_GB2312"/>
          <w:sz w:val="32"/>
          <w:szCs w:val="32"/>
          <w:lang w:eastAsia="zh-CN"/>
        </w:rPr>
        <w:t>：</w:t>
      </w:r>
      <w:r>
        <w:rPr>
          <w:rFonts w:hint="eastAsia" w:ascii="仿宋_GB2312" w:eastAsia="仿宋_GB2312"/>
          <w:sz w:val="32"/>
          <w:szCs w:val="32"/>
          <w:lang w:val="en-US" w:eastAsia="zh-CN"/>
        </w:rPr>
        <w:t>反映除上述项目以外其他用于巩固拓展脱贫攻坚成果同乡村振兴有效衔接方面的支出。</w:t>
      </w:r>
    </w:p>
    <w:p>
      <w:pPr>
        <w:pStyle w:val="16"/>
        <w:spacing w:line="560" w:lineRule="exact"/>
        <w:ind w:firstLine="640" w:firstLineChars="200"/>
        <w:rPr>
          <w:rFonts w:ascii="仿宋_GB2312" w:eastAsia="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十九</w:t>
      </w:r>
      <w:r>
        <w:rPr>
          <w:rFonts w:hint="eastAsia" w:ascii="楷体" w:hAnsi="楷体" w:eastAsia="楷体" w:cs="楷体"/>
          <w:sz w:val="32"/>
          <w:szCs w:val="32"/>
          <w:lang w:eastAsia="zh-CN"/>
        </w:rPr>
        <w:t>）</w:t>
      </w:r>
      <w:r>
        <w:rPr>
          <w:rFonts w:hint="eastAsia" w:ascii="楷体" w:hAnsi="楷体" w:eastAsia="楷体" w:cs="楷体"/>
          <w:sz w:val="32"/>
          <w:szCs w:val="32"/>
        </w:rPr>
        <w:t>住房保障支出（类）住房改革支出（款）住房公积金（项）：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pPr>
        <w:ind w:firstLine="640" w:firstLineChars="200"/>
        <w:rPr>
          <w:rFonts w:ascii="仿宋_GB2312" w:eastAsia="仿宋_GB2312"/>
          <w:color w:val="000000"/>
          <w:sz w:val="32"/>
          <w:szCs w:val="32"/>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二十</w:t>
      </w: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rPr>
        <w:t>基本支出：</w:t>
      </w:r>
      <w:r>
        <w:rPr>
          <w:rFonts w:hint="eastAsia" w:ascii="仿宋_GB2312" w:eastAsia="仿宋_GB2312"/>
          <w:color w:val="000000"/>
          <w:sz w:val="32"/>
          <w:szCs w:val="32"/>
        </w:rPr>
        <w:t>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二十一</w:t>
      </w: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rPr>
        <w:t>项目支出：</w:t>
      </w:r>
      <w:r>
        <w:rPr>
          <w:rFonts w:hint="eastAsia" w:ascii="仿宋_GB2312" w:eastAsia="仿宋_GB2312"/>
          <w:color w:val="000000"/>
          <w:sz w:val="32"/>
          <w:szCs w:val="32"/>
        </w:rPr>
        <w:t>指在基本支出之外为完成特定行政任务和事业发展目标所发生的支出。</w:t>
      </w:r>
      <w:r>
        <w:rPr>
          <w:rFonts w:ascii="仿宋_GB2312" w:eastAsia="仿宋_GB2312"/>
          <w:color w:val="000000"/>
          <w:sz w:val="32"/>
          <w:szCs w:val="32"/>
        </w:rPr>
        <w:t xml:space="preserve"> </w:t>
      </w:r>
    </w:p>
    <w:p>
      <w:pPr>
        <w:pStyle w:val="16"/>
        <w:spacing w:line="560" w:lineRule="exact"/>
        <w:ind w:firstLine="640" w:firstLineChars="200"/>
        <w:rPr>
          <w:rFonts w:ascii="仿宋_GB2312" w:eastAsia="仿宋_GB2312"/>
          <w:sz w:val="32"/>
          <w:szCs w:val="32"/>
        </w:rPr>
      </w:pPr>
      <w:r>
        <w:rPr>
          <w:rFonts w:hint="eastAsia" w:ascii="楷体" w:hAnsi="楷体" w:eastAsia="楷体" w:cs="楷体"/>
          <w:sz w:val="32"/>
          <w:szCs w:val="32"/>
          <w:lang w:val="en-US" w:eastAsia="zh-CN"/>
        </w:rPr>
        <w:t>（二十二）</w:t>
      </w:r>
      <w:r>
        <w:rPr>
          <w:rFonts w:hint="eastAsia" w:ascii="楷体" w:hAnsi="楷体" w:eastAsia="楷体" w:cs="楷体"/>
          <w:sz w:val="32"/>
          <w:szCs w:val="32"/>
        </w:rPr>
        <w:t>“三公”经费：</w:t>
      </w:r>
      <w:r>
        <w:rPr>
          <w:rFonts w:hint="eastAsia" w:ascii="仿宋_GB2312" w:eastAsia="仿宋_GB2312"/>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6"/>
        <w:spacing w:line="560" w:lineRule="exact"/>
        <w:ind w:firstLine="640" w:firstLineChars="200"/>
        <w:rPr>
          <w:rFonts w:ascii="仿宋_GB2312" w:eastAsia="仿宋_GB2312" w:cs="黑体"/>
          <w:color w:val="auto"/>
          <w:sz w:val="32"/>
          <w:szCs w:val="32"/>
          <w:highlight w:val="none"/>
        </w:rPr>
      </w:pPr>
      <w:r>
        <w:rPr>
          <w:rFonts w:hint="eastAsia" w:ascii="楷体" w:hAnsi="楷体" w:eastAsia="楷体" w:cs="楷体"/>
          <w:sz w:val="32"/>
          <w:szCs w:val="32"/>
          <w:lang w:val="en-US" w:eastAsia="zh-CN"/>
        </w:rPr>
        <w:t>（二十三）</w:t>
      </w:r>
      <w:r>
        <w:rPr>
          <w:rFonts w:hint="eastAsia" w:ascii="楷体" w:hAnsi="楷体" w:eastAsia="楷体" w:cs="楷体"/>
          <w:sz w:val="32"/>
          <w:szCs w:val="32"/>
        </w:rPr>
        <w:t>机关运行经费：</w:t>
      </w:r>
      <w:r>
        <w:rPr>
          <w:rFonts w:hint="eastAsia" w:ascii="仿宋_GB2312"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附件：部门预算公开表</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80" w:lineRule="atLeast"/>
        <w:ind w:firstLine="640"/>
        <w:textAlignment w:val="auto"/>
        <w:rPr>
          <w:rFonts w:hint="default" w:ascii="仿宋_GB2312" w:hAnsi="仿宋_GB2312" w:eastAsia="仿宋_GB2312" w:cs="仿宋_GB2312"/>
          <w:sz w:val="32"/>
          <w:szCs w:val="32"/>
          <w:lang w:val="en-US" w:eastAsia="zh-CN"/>
        </w:rPr>
      </w:pP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80" w:lineRule="atLeast"/>
        <w:ind w:firstLine="640"/>
        <w:textAlignment w:val="auto"/>
        <w:rPr>
          <w:rFonts w:hint="eastAsia" w:ascii="仿宋_GB2312" w:hAnsi="仿宋_GB2312" w:eastAsia="仿宋_GB2312" w:cs="仿宋_GB2312"/>
          <w:sz w:val="32"/>
          <w:szCs w:val="32"/>
          <w:lang w:val="en-US" w:eastAsia="zh-CN"/>
        </w:rPr>
      </w:pP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80" w:lineRule="atLeast"/>
        <w:ind w:firstLine="640"/>
        <w:textAlignment w:val="auto"/>
        <w:rPr>
          <w:rFonts w:hint="eastAsia" w:ascii="仿宋_GB2312" w:hAnsi="仿宋_GB2312" w:eastAsia="仿宋_GB2312" w:cs="仿宋_GB2312"/>
          <w:sz w:val="32"/>
          <w:szCs w:val="32"/>
          <w:lang w:val="en-US" w:eastAsia="zh-CN"/>
        </w:rPr>
      </w:pP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80" w:lineRule="atLeast"/>
        <w:ind w:firstLine="640"/>
        <w:textAlignment w:val="auto"/>
        <w:rPr>
          <w:rFonts w:hint="eastAsia" w:ascii="仿宋_GB2312" w:hAnsi="仿宋_GB2312" w:eastAsia="仿宋_GB2312" w:cs="仿宋_GB2312"/>
          <w:sz w:val="32"/>
          <w:szCs w:val="32"/>
          <w:lang w:val="en-US" w:eastAsia="zh-CN"/>
        </w:rPr>
      </w:pP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80" w:lineRule="atLeast"/>
        <w:ind w:firstLine="64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eastAsia="zh-CN"/>
        </w:rPr>
      </w:pPr>
    </w:p>
    <w:sectPr>
      <w:footerReference r:id="rId3" w:type="default"/>
      <w:pgSz w:w="11906" w:h="16838"/>
      <w:pgMar w:top="2098" w:right="1474" w:bottom="1984" w:left="1587" w:header="720" w:footer="1559"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Liberation Sans">
    <w:altName w:val="Segoe Print"/>
    <w:panose1 w:val="020B0604020202020204"/>
    <w:charset w:val="00"/>
    <w:family w:val="swiss"/>
    <w:pitch w:val="default"/>
    <w:sig w:usb0="00000000" w:usb1="00000000" w:usb2="00000000" w:usb3="00000000" w:csb0="6000009F" w:csb1="DFD70000"/>
  </w:font>
  <w:font w:name="Noto Sans CJK SC Regular">
    <w:altName w:val="宋体"/>
    <w:panose1 w:val="020B0500000000000000"/>
    <w:charset w:val="86"/>
    <w:family w:val="auto"/>
    <w:pitch w:val="default"/>
    <w:sig w:usb0="00000000" w:usb1="00000000" w:usb2="00000016" w:usb3="00000000" w:csb0="602E0107"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script"/>
    <w:pitch w:val="default"/>
    <w:sig w:usb0="00000000" w:usb1="00000000" w:usb2="00000010" w:usb3="00000000" w:csb0="0004000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seocd4BAAC+AwAADgAAAGRycy9lMm9Eb2MueG1srVPNjtMwEL4j8Q6W&#10;7zTZroS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Gx6hx3gEAAL4DAAAOAAAAAAAA&#10;AAEAIAAAAB4BAABkcnMvZTJvRG9jLnhtbFBLBQYAAAAABgAGAFkBAABu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20CB87"/>
    <w:multiLevelType w:val="singleLevel"/>
    <w:tmpl w:val="7320CB87"/>
    <w:lvl w:ilvl="0" w:tentative="0">
      <w:start w:val="1"/>
      <w:numFmt w:val="chineseCounting"/>
      <w:suff w:val="nothing"/>
      <w:lvlText w:val="（%1）"/>
      <w:lvlJc w:val="left"/>
      <w:rPr>
        <w:rFonts w:hint="eastAsia"/>
      </w:rPr>
    </w:lvl>
  </w:abstractNum>
  <w:abstractNum w:abstractNumId="1">
    <w:nsid w:val="79CC8F0B"/>
    <w:multiLevelType w:val="singleLevel"/>
    <w:tmpl w:val="79CC8F0B"/>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5YmE0NDkwMWZlNjllZTRmMzI5MWJjMmY2OWZmN2QifQ=="/>
  </w:docVars>
  <w:rsids>
    <w:rsidRoot w:val="00000000"/>
    <w:rsid w:val="001A4716"/>
    <w:rsid w:val="010F1DA1"/>
    <w:rsid w:val="012352D1"/>
    <w:rsid w:val="0184241E"/>
    <w:rsid w:val="02221D7C"/>
    <w:rsid w:val="023E2498"/>
    <w:rsid w:val="02E60AEC"/>
    <w:rsid w:val="03B317C8"/>
    <w:rsid w:val="050D4849"/>
    <w:rsid w:val="06110369"/>
    <w:rsid w:val="06823957"/>
    <w:rsid w:val="070B6B66"/>
    <w:rsid w:val="071A4FFB"/>
    <w:rsid w:val="079052BE"/>
    <w:rsid w:val="087D5842"/>
    <w:rsid w:val="09B22463"/>
    <w:rsid w:val="0A110938"/>
    <w:rsid w:val="0B0C7351"/>
    <w:rsid w:val="0BB579E9"/>
    <w:rsid w:val="0C322DE7"/>
    <w:rsid w:val="0DA8373C"/>
    <w:rsid w:val="0DC65EDD"/>
    <w:rsid w:val="0DFC545B"/>
    <w:rsid w:val="0E981627"/>
    <w:rsid w:val="0F9F69E6"/>
    <w:rsid w:val="1005689B"/>
    <w:rsid w:val="10AB4F16"/>
    <w:rsid w:val="11A16A45"/>
    <w:rsid w:val="11A93B4C"/>
    <w:rsid w:val="158F04A2"/>
    <w:rsid w:val="163D2C14"/>
    <w:rsid w:val="18512847"/>
    <w:rsid w:val="194A79C2"/>
    <w:rsid w:val="1B9118D8"/>
    <w:rsid w:val="1BF46D94"/>
    <w:rsid w:val="1C7D3C0B"/>
    <w:rsid w:val="1D9F113A"/>
    <w:rsid w:val="1F2D7B6A"/>
    <w:rsid w:val="1F7BF06F"/>
    <w:rsid w:val="1FEE4B73"/>
    <w:rsid w:val="229D6DB5"/>
    <w:rsid w:val="231177A3"/>
    <w:rsid w:val="23CE9849"/>
    <w:rsid w:val="25C66622"/>
    <w:rsid w:val="267C6B2D"/>
    <w:rsid w:val="27194E78"/>
    <w:rsid w:val="2744465F"/>
    <w:rsid w:val="27A26C1B"/>
    <w:rsid w:val="284F5DCC"/>
    <w:rsid w:val="2AA42CAA"/>
    <w:rsid w:val="2D0D0FDB"/>
    <w:rsid w:val="2DF06932"/>
    <w:rsid w:val="2E020414"/>
    <w:rsid w:val="2ECD27D0"/>
    <w:rsid w:val="2F146650"/>
    <w:rsid w:val="2FAF45CB"/>
    <w:rsid w:val="2FF272BC"/>
    <w:rsid w:val="305D6C11"/>
    <w:rsid w:val="311C7A3E"/>
    <w:rsid w:val="31EA18EB"/>
    <w:rsid w:val="327B69E7"/>
    <w:rsid w:val="3498562E"/>
    <w:rsid w:val="34A00240"/>
    <w:rsid w:val="35086538"/>
    <w:rsid w:val="36FB1EA4"/>
    <w:rsid w:val="372799D5"/>
    <w:rsid w:val="378E4AC6"/>
    <w:rsid w:val="388303A3"/>
    <w:rsid w:val="3928055A"/>
    <w:rsid w:val="39F304DD"/>
    <w:rsid w:val="3A7B7BAB"/>
    <w:rsid w:val="3BD0035C"/>
    <w:rsid w:val="3BEB24E7"/>
    <w:rsid w:val="3C5F4C83"/>
    <w:rsid w:val="3DAA06EA"/>
    <w:rsid w:val="3E7964D0"/>
    <w:rsid w:val="3F136E33"/>
    <w:rsid w:val="3FA304D7"/>
    <w:rsid w:val="417D0085"/>
    <w:rsid w:val="423D5A66"/>
    <w:rsid w:val="430B346F"/>
    <w:rsid w:val="434626F9"/>
    <w:rsid w:val="439C5973"/>
    <w:rsid w:val="478B4B7E"/>
    <w:rsid w:val="48A64365"/>
    <w:rsid w:val="48D10CB7"/>
    <w:rsid w:val="4B8678A9"/>
    <w:rsid w:val="4C3954F1"/>
    <w:rsid w:val="4E6A1991"/>
    <w:rsid w:val="5019366F"/>
    <w:rsid w:val="513B7615"/>
    <w:rsid w:val="519C4558"/>
    <w:rsid w:val="51BF0246"/>
    <w:rsid w:val="52C202F7"/>
    <w:rsid w:val="52CC100A"/>
    <w:rsid w:val="52EC63F0"/>
    <w:rsid w:val="53D1600F"/>
    <w:rsid w:val="54244390"/>
    <w:rsid w:val="54662A63"/>
    <w:rsid w:val="55986DE4"/>
    <w:rsid w:val="58064E12"/>
    <w:rsid w:val="58313520"/>
    <w:rsid w:val="587C29ED"/>
    <w:rsid w:val="58873140"/>
    <w:rsid w:val="58DA3BB7"/>
    <w:rsid w:val="590B5B1F"/>
    <w:rsid w:val="594C0C01"/>
    <w:rsid w:val="5AB741B0"/>
    <w:rsid w:val="5B7420A1"/>
    <w:rsid w:val="5BFEE015"/>
    <w:rsid w:val="5C074CC3"/>
    <w:rsid w:val="5C3F10DB"/>
    <w:rsid w:val="5C9522CF"/>
    <w:rsid w:val="5F1F0576"/>
    <w:rsid w:val="5F3C589A"/>
    <w:rsid w:val="602F47E9"/>
    <w:rsid w:val="605D1356"/>
    <w:rsid w:val="60996106"/>
    <w:rsid w:val="614E5143"/>
    <w:rsid w:val="62B80AC5"/>
    <w:rsid w:val="631303F2"/>
    <w:rsid w:val="636B3D8A"/>
    <w:rsid w:val="63EDCF55"/>
    <w:rsid w:val="63FBFBCF"/>
    <w:rsid w:val="64833355"/>
    <w:rsid w:val="64FB2EEB"/>
    <w:rsid w:val="65F77B57"/>
    <w:rsid w:val="661A1A97"/>
    <w:rsid w:val="669360FD"/>
    <w:rsid w:val="66E02905"/>
    <w:rsid w:val="67535261"/>
    <w:rsid w:val="6809591F"/>
    <w:rsid w:val="68FF6A83"/>
    <w:rsid w:val="69564B94"/>
    <w:rsid w:val="69AF332B"/>
    <w:rsid w:val="6A935974"/>
    <w:rsid w:val="6AA7773D"/>
    <w:rsid w:val="6AEF6005"/>
    <w:rsid w:val="6C411B2C"/>
    <w:rsid w:val="6D785A21"/>
    <w:rsid w:val="6D82064E"/>
    <w:rsid w:val="6E032E11"/>
    <w:rsid w:val="6E3DB48E"/>
    <w:rsid w:val="6EA12D56"/>
    <w:rsid w:val="6EE573DC"/>
    <w:rsid w:val="6F125A01"/>
    <w:rsid w:val="6F26325B"/>
    <w:rsid w:val="6FBBC9CF"/>
    <w:rsid w:val="717C7162"/>
    <w:rsid w:val="724A7260"/>
    <w:rsid w:val="72B868C0"/>
    <w:rsid w:val="72BDE561"/>
    <w:rsid w:val="73912687"/>
    <w:rsid w:val="73D9089C"/>
    <w:rsid w:val="75932CCC"/>
    <w:rsid w:val="76F105F2"/>
    <w:rsid w:val="78462278"/>
    <w:rsid w:val="7997EA6C"/>
    <w:rsid w:val="7A4807F7"/>
    <w:rsid w:val="7AEAE675"/>
    <w:rsid w:val="7BAFCE5D"/>
    <w:rsid w:val="7C0B180E"/>
    <w:rsid w:val="7C4B2553"/>
    <w:rsid w:val="7D46598C"/>
    <w:rsid w:val="7D527C02"/>
    <w:rsid w:val="7D9F8F0F"/>
    <w:rsid w:val="7DFB240B"/>
    <w:rsid w:val="7DFE05E7"/>
    <w:rsid w:val="7E0935ED"/>
    <w:rsid w:val="7F2A28F3"/>
    <w:rsid w:val="7F2B61C1"/>
    <w:rsid w:val="7F6851CA"/>
    <w:rsid w:val="7FCF2AF7"/>
    <w:rsid w:val="9FEF033D"/>
    <w:rsid w:val="A27FF1E5"/>
    <w:rsid w:val="AF3FEDDD"/>
    <w:rsid w:val="AFDEB5A7"/>
    <w:rsid w:val="AFEA7FBF"/>
    <w:rsid w:val="B83F4767"/>
    <w:rsid w:val="BF930F07"/>
    <w:rsid w:val="BFCE8436"/>
    <w:rsid w:val="C3F7EB7A"/>
    <w:rsid w:val="CFF5FEEC"/>
    <w:rsid w:val="D3DD9064"/>
    <w:rsid w:val="D6F76A0C"/>
    <w:rsid w:val="D7ECE8D2"/>
    <w:rsid w:val="DFDD4FB5"/>
    <w:rsid w:val="E7F748B5"/>
    <w:rsid w:val="EE5F3713"/>
    <w:rsid w:val="EFC9D62C"/>
    <w:rsid w:val="F6BE9755"/>
    <w:rsid w:val="F6FFA89B"/>
    <w:rsid w:val="F88D0DC7"/>
    <w:rsid w:val="FAE4EFE1"/>
    <w:rsid w:val="FB9B6F12"/>
    <w:rsid w:val="FBB66A4A"/>
    <w:rsid w:val="FDEE6989"/>
    <w:rsid w:val="FF5E7DB8"/>
    <w:rsid w:val="FF77E367"/>
    <w:rsid w:val="FFD576EB"/>
    <w:rsid w:val="FFDB1578"/>
    <w:rsid w:val="FFFADE43"/>
    <w:rsid w:val="FFFBE8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autoRedefine/>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before="0" w:after="140" w:line="276" w:lineRule="auto"/>
    </w:pPr>
  </w:style>
  <w:style w:type="paragraph" w:styleId="3">
    <w:name w:val="caption"/>
    <w:basedOn w:val="1"/>
    <w:autoRedefine/>
    <w:qFormat/>
    <w:uiPriority w:val="0"/>
    <w:pPr>
      <w:widowControl w:val="0"/>
      <w:suppressLineNumbers/>
      <w:suppressAutoHyphens/>
      <w:spacing w:before="120" w:after="120"/>
    </w:pPr>
    <w:rPr>
      <w:i/>
      <w:iCs/>
      <w:sz w:val="24"/>
      <w:szCs w:val="24"/>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2"/>
    <w:autoRedefine/>
    <w:qFormat/>
    <w:uiPriority w:val="0"/>
  </w:style>
  <w:style w:type="paragraph" w:styleId="7">
    <w:name w:val="footnote text"/>
    <w:basedOn w:val="1"/>
    <w:autoRedefine/>
    <w:qFormat/>
    <w:uiPriority w:val="0"/>
    <w:pPr>
      <w:snapToGrid w:val="0"/>
      <w:jc w:val="left"/>
    </w:pPr>
    <w:rPr>
      <w:sz w:val="18"/>
      <w:szCs w:val="18"/>
    </w:rPr>
  </w:style>
  <w:style w:type="paragraph" w:styleId="8">
    <w:name w:val="Normal (Web)"/>
    <w:basedOn w:val="1"/>
    <w:autoRedefine/>
    <w:qFormat/>
    <w:uiPriority w:val="0"/>
    <w:rPr>
      <w:sz w:val="24"/>
    </w:rPr>
  </w:style>
  <w:style w:type="character" w:styleId="11">
    <w:name w:val="Strong"/>
    <w:basedOn w:val="10"/>
    <w:autoRedefine/>
    <w:qFormat/>
    <w:uiPriority w:val="99"/>
    <w:rPr>
      <w:b/>
    </w:rPr>
  </w:style>
  <w:style w:type="paragraph" w:customStyle="1" w:styleId="12">
    <w:name w:val="常用样式（方正仿宋简）"/>
    <w:basedOn w:val="1"/>
    <w:autoRedefine/>
    <w:qFormat/>
    <w:uiPriority w:val="0"/>
    <w:pPr>
      <w:spacing w:line="560" w:lineRule="exact"/>
      <w:ind w:firstLine="200" w:firstLineChars="200"/>
    </w:pPr>
    <w:rPr>
      <w:rFonts w:eastAsia="方正仿宋简体"/>
      <w:sz w:val="32"/>
    </w:rPr>
  </w:style>
  <w:style w:type="character" w:customStyle="1" w:styleId="13">
    <w:name w:val="默认段落字体1"/>
    <w:autoRedefine/>
    <w:qFormat/>
    <w:uiPriority w:val="0"/>
  </w:style>
  <w:style w:type="paragraph" w:customStyle="1" w:styleId="14">
    <w:name w:val="Heading"/>
    <w:basedOn w:val="1"/>
    <w:next w:val="2"/>
    <w:autoRedefine/>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5">
    <w:name w:val="Index"/>
    <w:basedOn w:val="1"/>
    <w:autoRedefine/>
    <w:qFormat/>
    <w:uiPriority w:val="0"/>
    <w:pPr>
      <w:widowControl w:val="0"/>
      <w:suppressLineNumbers/>
      <w:suppressAutoHyphens/>
    </w:pPr>
  </w:style>
  <w:style w:type="paragraph" w:customStyle="1" w:styleId="16">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7">
    <w:name w:val="WPSOffice手动目录 1"/>
    <w:autoRedefine/>
    <w:qFormat/>
    <w:uiPriority w:val="0"/>
    <w:pPr>
      <w:ind w:leftChars="0"/>
    </w:pPr>
    <w:rPr>
      <w:rFonts w:ascii="Times New Roman" w:hAnsi="Times New Roman" w:eastAsia="宋体" w:cs="Times New Roman"/>
      <w:sz w:val="20"/>
      <w:szCs w:val="20"/>
    </w:rPr>
  </w:style>
  <w:style w:type="paragraph" w:customStyle="1" w:styleId="18">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2018-11-30T01:47:00Z</dcterms:created>
  <dc:creator>admin</dc:creator>
  <cp:lastModifiedBy>偷影子的人༻</cp:lastModifiedBy>
  <dcterms:modified xsi:type="dcterms:W3CDTF">2024-04-16T02:22:56Z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96081F72B7444D3C8C1C7DDAED24732C_13</vt:lpwstr>
  </property>
</Properties>
</file>