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jc w:val="center"/>
        <w:rPr>
          <w:rFonts w:ascii="Times New Roman" w:hAnsi="Times New Roman" w:eastAsia="方正小标宋简体"/>
          <w:color w:val="FF0000"/>
          <w:spacing w:val="-20"/>
          <w:w w:val="90"/>
          <w:sz w:val="52"/>
          <w:szCs w:val="80"/>
        </w:rPr>
      </w:pPr>
      <w:r>
        <w:rPr>
          <w:rFonts w:hint="eastAsia" w:ascii="Times New Roman" w:hAnsi="Times New Roman" w:eastAsia="方正小标宋简体"/>
          <w:color w:val="FF0000"/>
          <w:spacing w:val="-20"/>
          <w:w w:val="90"/>
          <w:sz w:val="52"/>
          <w:szCs w:val="80"/>
        </w:rPr>
        <w:t>广元</w:t>
      </w:r>
      <w:r>
        <w:rPr>
          <w:rFonts w:ascii="Times New Roman" w:hAnsi="Times New Roman" w:eastAsia="方正小标宋简体"/>
          <w:color w:val="FF0000"/>
          <w:spacing w:val="-20"/>
          <w:w w:val="90"/>
          <w:sz w:val="52"/>
          <w:szCs w:val="80"/>
        </w:rPr>
        <w:t>市迎接中央生态环境保护督察“回头看”</w:t>
      </w:r>
    </w:p>
    <w:p>
      <w:pPr>
        <w:adjustRightInd w:val="0"/>
        <w:snapToGrid w:val="0"/>
        <w:jc w:val="center"/>
        <w:rPr>
          <w:rFonts w:ascii="楷体" w:hAnsi="楷体" w:eastAsia="楷体" w:cs="Times New Roman"/>
          <w:b/>
          <w:bCs/>
          <w:color w:val="FF0000"/>
          <w:kern w:val="0"/>
          <w:sz w:val="84"/>
          <w:szCs w:val="84"/>
        </w:rPr>
      </w:pPr>
      <w:r>
        <w:rPr>
          <w:rFonts w:hint="eastAsia" w:ascii="楷体" w:hAnsi="楷体" w:eastAsia="楷体" w:cs="Times New Roman"/>
          <w:b/>
          <w:bCs/>
          <w:color w:val="FF0000"/>
          <w:kern w:val="0"/>
          <w:sz w:val="84"/>
          <w:szCs w:val="84"/>
          <w:lang w:eastAsia="zh-CN"/>
        </w:rPr>
        <w:t>案件督办</w:t>
      </w:r>
      <w:r>
        <w:rPr>
          <w:rFonts w:hint="eastAsia" w:ascii="楷体" w:hAnsi="楷体" w:eastAsia="楷体" w:cs="Times New Roman"/>
          <w:b/>
          <w:bCs/>
          <w:color w:val="FF0000"/>
          <w:kern w:val="0"/>
          <w:sz w:val="84"/>
          <w:szCs w:val="84"/>
        </w:rPr>
        <w:t>组工作</w:t>
      </w:r>
      <w:r>
        <w:rPr>
          <w:rFonts w:ascii="楷体" w:hAnsi="楷体" w:eastAsia="楷体" w:cs="Times New Roman"/>
          <w:b/>
          <w:bCs/>
          <w:color w:val="FF0000"/>
          <w:kern w:val="0"/>
          <w:sz w:val="84"/>
          <w:szCs w:val="84"/>
        </w:rPr>
        <w:t>简报</w:t>
      </w:r>
    </w:p>
    <w:p>
      <w:pPr>
        <w:spacing w:line="1100" w:lineRule="exact"/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（第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期 ）</w:t>
      </w:r>
    </w:p>
    <w:p>
      <w:pPr>
        <w:spacing w:line="1100" w:lineRule="exact"/>
        <w:jc w:val="right"/>
        <w:rPr>
          <w:rFonts w:ascii="楷体_GB2312" w:hAnsi="楷体_GB2312" w:eastAsia="楷体_GB2312" w:cs="楷体_GB2312"/>
          <w:b/>
          <w:bCs/>
          <w:spacing w:val="0"/>
          <w:sz w:val="32"/>
          <w:szCs w:val="32"/>
        </w:rPr>
      </w:pPr>
      <w:r>
        <w:rPr>
          <w:b/>
          <w:bCs/>
          <w:spacing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685165</wp:posOffset>
                </wp:positionV>
                <wp:extent cx="5699125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12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-4.85pt;margin-top:53.95pt;height:0pt;width:448.75pt;z-index:251660288;mso-width-relative:page;mso-height-relative:page;" filled="f" stroked="t" coordsize="21600,21600" o:gfxdata="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R94fPZAAAACgEAAA8AAAAAAAAA&#10;AQAgAAAAIgAAAGRycy9kb3ducmV2LnhtbFBLAQIUABQAAAAIAIdO4kAvyhYV1wEAAJgDAAAOAAAA&#10;AAAAAAEAIAAAACgBAABkcnMvZTJvRG9jLnhtbFBLBQYAAAAABgAGAFkBAABx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 xml:space="preserve"> 2018年11月</w:t>
      </w: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val="en-US" w:eastAsia="zh-CN"/>
        </w:rPr>
        <w:t>10</w:t>
      </w: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</w:rPr>
        <w:t>日</w:t>
      </w:r>
    </w:p>
    <w:p>
      <w:pPr>
        <w:adjustRightInd w:val="0"/>
        <w:snapToGrid w:val="0"/>
        <w:spacing w:line="576" w:lineRule="exact"/>
        <w:rPr>
          <w:rFonts w:ascii="方正小标宋简体" w:hAnsi="黑体" w:eastAsia="方正小标宋简体"/>
          <w:bCs/>
          <w:sz w:val="36"/>
          <w:szCs w:val="36"/>
          <w:shd w:val="clear" w:color="auto" w:fill="FFFFFF"/>
        </w:rPr>
      </w:pPr>
    </w:p>
    <w:p>
      <w:pPr>
        <w:adjustRightInd w:val="0"/>
        <w:snapToGrid w:val="0"/>
        <w:spacing w:line="576" w:lineRule="exact"/>
        <w:rPr>
          <w:rFonts w:hint="eastAsia" w:ascii="黑体" w:hAnsi="黑体" w:eastAsia="黑体" w:cs="黑体"/>
          <w:bCs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广元</w:t>
      </w:r>
      <w:r>
        <w:rPr>
          <w:rFonts w:hint="eastAsia" w:ascii="黑体" w:hAnsi="黑体" w:eastAsia="黑体" w:cs="黑体"/>
          <w:sz w:val="32"/>
          <w:szCs w:val="32"/>
        </w:rPr>
        <w:t>案件督办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组迅速响应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现场核实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中央环保督察信访回访件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按照中央生态环保督察“回头看”省案件督办组11月9日信访交办工作要求，11月10日上午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，市政府副秘书长、案件督办组副组长赵彬同志牵头，迅速组织市纪委、市委市政府督查室、市环保局相关成员迅速赶赴苍溪县元坝镇天井村4组的杨财勇砂石厂和鑫大鑫搅拌厂现场，通过现场调查、走访周边群众、调阅资料等方式，进行案件核实办理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5167630" cy="3877310"/>
            <wp:effectExtent l="0" t="0" r="13970" b="8890"/>
            <wp:docPr id="2" name="图片 2" descr="案件督办组现场核查杨财勇砂石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案件督办组现场核查杨财勇砂石厂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7630" cy="387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1280" w:firstLineChars="4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案件督办组现场核查杨财勇砂石厂环境整改情况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赵彬同志要求：要多方联动，共同努力，共建共享和谐美丽的人居生产环境。企业要切实履行环境保护主体责任，进一步加强环境问题整改力度，加强环境信息公开，让周边群众享有环境知情权；当地行业和环境保护行政主管部门要履行好属地监管责任，加大巡查力度，严格执法，加大违法违规行为查处力度；当地党委政府要进一步做好群众工作，倾听并依法依规解决群众合理诉求，妥善化解矛盾纠纷。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目前，该案件正在进一步调查办理中，将按中央生态环保督察“回头看”省案件督办组要求及时办结上报。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4822825" cy="3618865"/>
            <wp:effectExtent l="0" t="0" r="15875" b="635"/>
            <wp:docPr id="3" name="图片 3" descr="案件督办组现场核查鑫大鑫搅拌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案件督办组现场核查鑫大鑫搅拌厂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2825" cy="361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color w:val="181717" w:themeColor="background2" w:themeShade="1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案件督办组现场核查鑫大鑫搅拌厂环境整改情况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876165" cy="3659505"/>
            <wp:effectExtent l="0" t="0" r="635" b="17145"/>
            <wp:docPr id="4" name="图片 4" descr="案件督办组走访杨财勇砂石厂周边群众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案件督办组走访杨财勇砂石厂周边群众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6165" cy="365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案件督办组走访询问周边群众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overflowPunct w:val="0"/>
        <w:topLinePunct/>
        <w:ind w:right="318"/>
        <w:rPr>
          <w:rFonts w:ascii="黑体" w:hAnsi="黑体" w:eastAsia="黑体" w:cs="黑体"/>
          <w:szCs w:val="21"/>
        </w:rPr>
      </w:pPr>
    </w:p>
    <w:p>
      <w:pPr>
        <w:overflowPunct w:val="0"/>
        <w:topLinePunct/>
        <w:ind w:right="318"/>
        <w:rPr>
          <w:rFonts w:ascii="黑体" w:hAnsi="黑体" w:eastAsia="黑体" w:cs="黑体"/>
          <w:szCs w:val="21"/>
        </w:rPr>
      </w:pPr>
    </w:p>
    <w:p>
      <w:pPr>
        <w:overflowPunct w:val="0"/>
        <w:topLinePunct/>
        <w:ind w:right="318"/>
        <w:rPr>
          <w:rFonts w:ascii="黑体" w:hAnsi="黑体" w:eastAsia="黑体" w:cs="黑体"/>
          <w:szCs w:val="21"/>
        </w:rPr>
      </w:pPr>
    </w:p>
    <w:p>
      <w:pPr>
        <w:overflowPunct w:val="0"/>
        <w:topLinePunct/>
        <w:ind w:right="318"/>
        <w:rPr>
          <w:rFonts w:ascii="黑体" w:hAnsi="黑体" w:eastAsia="黑体" w:cs="黑体"/>
          <w:szCs w:val="21"/>
        </w:rPr>
      </w:pPr>
    </w:p>
    <w:p>
      <w:pPr>
        <w:overflowPunct w:val="0"/>
        <w:topLinePunct/>
        <w:ind w:right="318"/>
        <w:rPr>
          <w:rFonts w:ascii="黑体" w:hAnsi="黑体" w:eastAsia="黑体" w:cs="黑体"/>
          <w:szCs w:val="21"/>
        </w:rPr>
      </w:pPr>
    </w:p>
    <w:p>
      <w:pPr>
        <w:overflowPunct w:val="0"/>
        <w:topLinePunct/>
        <w:ind w:right="318"/>
        <w:rPr>
          <w:rFonts w:ascii="黑体" w:hAnsi="黑体" w:eastAsia="黑体" w:cs="黑体"/>
          <w:szCs w:val="21"/>
        </w:rPr>
      </w:pPr>
    </w:p>
    <w:p>
      <w:pPr>
        <w:overflowPunct w:val="0"/>
        <w:topLinePunct/>
        <w:ind w:right="318"/>
        <w:rPr>
          <w:rFonts w:ascii="黑体" w:hAnsi="黑体" w:eastAsia="黑体" w:cs="黑体"/>
          <w:szCs w:val="21"/>
        </w:rPr>
      </w:pPr>
    </w:p>
    <w:p>
      <w:pPr>
        <w:overflowPunct w:val="0"/>
        <w:topLinePunct/>
        <w:ind w:right="318"/>
        <w:rPr>
          <w:rFonts w:ascii="黑体" w:hAnsi="黑体" w:eastAsia="黑体" w:cs="黑体"/>
          <w:szCs w:val="21"/>
        </w:rPr>
      </w:pPr>
    </w:p>
    <w:p>
      <w:pPr>
        <w:overflowPunct w:val="0"/>
        <w:topLinePunct/>
        <w:ind w:right="318"/>
        <w:rPr>
          <w:rFonts w:ascii="黑体" w:hAnsi="黑体" w:eastAsia="黑体" w:cs="黑体"/>
          <w:szCs w:val="21"/>
        </w:rPr>
      </w:pPr>
    </w:p>
    <w:p>
      <w:pPr>
        <w:overflowPunct w:val="0"/>
        <w:topLinePunct/>
        <w:ind w:right="318"/>
        <w:rPr>
          <w:rFonts w:ascii="黑体" w:hAnsi="黑体" w:eastAsia="黑体" w:cs="黑体"/>
          <w:szCs w:val="21"/>
        </w:rPr>
      </w:pPr>
    </w:p>
    <w:p>
      <w:pPr>
        <w:overflowPunct w:val="0"/>
        <w:topLinePunct/>
        <w:ind w:right="318"/>
        <w:rPr>
          <w:rFonts w:ascii="黑体" w:hAnsi="黑体" w:eastAsia="黑体" w:cs="黑体"/>
          <w:szCs w:val="21"/>
        </w:rPr>
      </w:pPr>
    </w:p>
    <w:p>
      <w:pPr>
        <w:overflowPunct w:val="0"/>
        <w:topLinePunct/>
        <w:ind w:right="318"/>
        <w:rPr>
          <w:rFonts w:ascii="黑体" w:hAnsi="黑体" w:eastAsia="黑体" w:cs="黑体"/>
          <w:szCs w:val="21"/>
        </w:rPr>
      </w:pPr>
    </w:p>
    <w:p>
      <w:pPr>
        <w:overflowPunct w:val="0"/>
        <w:topLinePunct/>
        <w:ind w:right="318"/>
        <w:rPr>
          <w:rFonts w:ascii="黑体" w:hAnsi="黑体" w:eastAsia="黑体" w:cs="黑体"/>
          <w:szCs w:val="21"/>
        </w:rPr>
      </w:pPr>
    </w:p>
    <w:p>
      <w:pPr>
        <w:overflowPunct w:val="0"/>
        <w:topLinePunct/>
        <w:ind w:right="318"/>
        <w:rPr>
          <w:rFonts w:ascii="黑体" w:hAnsi="黑体" w:eastAsia="黑体" w:cs="黑体"/>
          <w:szCs w:val="21"/>
        </w:rPr>
      </w:pPr>
    </w:p>
    <w:p>
      <w:pPr>
        <w:overflowPunct w:val="0"/>
        <w:topLinePunct/>
        <w:ind w:right="318"/>
        <w:rPr>
          <w:rFonts w:ascii="黑体" w:hAnsi="黑体" w:eastAsia="黑体" w:cs="黑体"/>
          <w:szCs w:val="21"/>
        </w:rPr>
      </w:pPr>
    </w:p>
    <w:p>
      <w:pPr>
        <w:overflowPunct w:val="0"/>
        <w:topLinePunct/>
        <w:ind w:right="318"/>
        <w:rPr>
          <w:rFonts w:ascii="黑体" w:hAnsi="黑体" w:eastAsia="黑体" w:cs="黑体"/>
          <w:szCs w:val="21"/>
        </w:rPr>
      </w:pPr>
    </w:p>
    <w:p>
      <w:pPr>
        <w:overflowPunct w:val="0"/>
        <w:topLinePunct/>
        <w:ind w:right="318"/>
        <w:rPr>
          <w:rFonts w:ascii="黑体" w:hAnsi="黑体" w:eastAsia="黑体" w:cs="黑体"/>
          <w:szCs w:val="21"/>
        </w:rPr>
      </w:pPr>
    </w:p>
    <w:p>
      <w:pPr>
        <w:overflowPunct w:val="0"/>
        <w:topLinePunct/>
        <w:ind w:right="318"/>
        <w:rPr>
          <w:rFonts w:ascii="黑体" w:hAnsi="黑体" w:eastAsia="黑体" w:cs="黑体"/>
          <w:szCs w:val="21"/>
        </w:rPr>
      </w:pPr>
    </w:p>
    <w:p>
      <w:pPr>
        <w:overflowPunct w:val="0"/>
        <w:topLinePunct/>
        <w:ind w:right="318"/>
        <w:rPr>
          <w:rFonts w:ascii="黑体" w:hAnsi="黑体" w:eastAsia="黑体" w:cs="黑体"/>
          <w:szCs w:val="21"/>
        </w:rPr>
      </w:pPr>
    </w:p>
    <w:p>
      <w:pPr>
        <w:overflowPunct w:val="0"/>
        <w:topLinePunct/>
        <w:ind w:right="318"/>
        <w:rPr>
          <w:rFonts w:ascii="黑体" w:hAnsi="黑体" w:eastAsia="黑体" w:cs="黑体"/>
          <w:szCs w:val="21"/>
        </w:rPr>
      </w:pPr>
    </w:p>
    <w:p>
      <w:pPr>
        <w:overflowPunct w:val="0"/>
        <w:topLinePunct/>
        <w:ind w:right="318"/>
        <w:rPr>
          <w:rFonts w:ascii="黑体" w:hAnsi="黑体" w:eastAsia="黑体" w:cs="黑体"/>
          <w:szCs w:val="21"/>
        </w:rPr>
      </w:pPr>
    </w:p>
    <w:p>
      <w:pPr>
        <w:overflowPunct w:val="0"/>
        <w:topLinePunct/>
        <w:ind w:right="318"/>
        <w:rPr>
          <w:rFonts w:ascii="黑体" w:hAnsi="黑体" w:eastAsia="黑体" w:cs="黑体"/>
          <w:szCs w:val="21"/>
        </w:rPr>
      </w:pPr>
    </w:p>
    <w:p>
      <w:pPr>
        <w:overflowPunct w:val="0"/>
        <w:topLinePunct/>
        <w:ind w:right="318"/>
        <w:rPr>
          <w:rFonts w:ascii="黑体" w:hAnsi="黑体" w:eastAsia="黑体" w:cs="黑体"/>
          <w:szCs w:val="21"/>
        </w:rPr>
      </w:pPr>
    </w:p>
    <w:p>
      <w:pPr>
        <w:overflowPunct w:val="0"/>
        <w:topLinePunct/>
        <w:ind w:right="318"/>
        <w:rPr>
          <w:rFonts w:ascii="黑体" w:hAnsi="黑体" w:eastAsia="黑体" w:cs="黑体"/>
          <w:szCs w:val="21"/>
        </w:rPr>
      </w:pPr>
    </w:p>
    <w:p>
      <w:pPr>
        <w:overflowPunct w:val="0"/>
        <w:topLinePunct/>
        <w:ind w:right="318"/>
        <w:rPr>
          <w:rFonts w:ascii="黑体" w:hAnsi="黑体" w:eastAsia="黑体" w:cs="黑体"/>
          <w:szCs w:val="21"/>
        </w:rPr>
      </w:pPr>
    </w:p>
    <w:p>
      <w:pPr>
        <w:overflowPunct w:val="0"/>
        <w:topLinePunct/>
        <w:ind w:right="318"/>
        <w:rPr>
          <w:rFonts w:ascii="黑体" w:hAnsi="黑体" w:eastAsia="黑体" w:cs="黑体"/>
          <w:szCs w:val="21"/>
        </w:rPr>
      </w:pPr>
    </w:p>
    <w:p>
      <w:pPr>
        <w:overflowPunct w:val="0"/>
        <w:topLinePunct/>
        <w:ind w:right="318"/>
        <w:rPr>
          <w:rFonts w:ascii="黑体" w:hAnsi="黑体" w:eastAsia="黑体" w:cs="黑体"/>
          <w:szCs w:val="21"/>
        </w:rPr>
      </w:pPr>
    </w:p>
    <w:p>
      <w:pPr>
        <w:overflowPunct w:val="0"/>
        <w:topLinePunct/>
        <w:ind w:right="318"/>
        <w:rPr>
          <w:rFonts w:ascii="黑体" w:hAnsi="黑体" w:eastAsia="黑体" w:cs="黑体"/>
          <w:szCs w:val="21"/>
        </w:rPr>
      </w:pPr>
    </w:p>
    <w:p>
      <w:pPr>
        <w:overflowPunct w:val="0"/>
        <w:topLinePunct/>
        <w:ind w:right="318"/>
        <w:rPr>
          <w:rFonts w:ascii="黑体" w:hAnsi="黑体" w:eastAsia="黑体" w:cs="黑体"/>
          <w:szCs w:val="21"/>
        </w:rPr>
      </w:pPr>
    </w:p>
    <w:p>
      <w:pPr>
        <w:overflowPunct w:val="0"/>
        <w:topLinePunct/>
        <w:ind w:right="318"/>
        <w:rPr>
          <w:rFonts w:ascii="黑体" w:hAnsi="黑体" w:eastAsia="黑体" w:cs="黑体"/>
          <w:szCs w:val="21"/>
        </w:rPr>
      </w:pPr>
    </w:p>
    <w:p>
      <w:pPr>
        <w:overflowPunct w:val="0"/>
        <w:topLinePunct/>
        <w:ind w:right="318"/>
        <w:rPr>
          <w:rFonts w:ascii="黑体" w:hAnsi="黑体" w:eastAsia="黑体" w:cs="黑体"/>
          <w:szCs w:val="21"/>
        </w:rPr>
      </w:pPr>
    </w:p>
    <w:p>
      <w:pPr>
        <w:overflowPunct w:val="0"/>
        <w:topLinePunct/>
        <w:ind w:right="318"/>
        <w:rPr>
          <w:rFonts w:ascii="黑体" w:hAnsi="黑体" w:eastAsia="黑体" w:cs="黑体"/>
          <w:szCs w:val="21"/>
        </w:rPr>
      </w:pPr>
    </w:p>
    <w:tbl>
      <w:tblPr>
        <w:tblStyle w:val="4"/>
        <w:tblW w:w="9012" w:type="dxa"/>
        <w:jc w:val="center"/>
        <w:tblInd w:w="-209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012" w:type="dxa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pacing w:val="-11"/>
                <w:w w:val="94"/>
                <w:kern w:val="0"/>
                <w:sz w:val="30"/>
                <w:szCs w:val="30"/>
                <w:fitText w:val="8679" w:id="0"/>
              </w:rPr>
              <w:t>报送：</w:t>
            </w:r>
            <w:r>
              <w:rPr>
                <w:rFonts w:hint="eastAsia" w:ascii="楷体_GB2312" w:eastAsia="楷体_GB2312"/>
                <w:spacing w:val="-11"/>
                <w:w w:val="94"/>
                <w:kern w:val="0"/>
                <w:sz w:val="30"/>
                <w:szCs w:val="30"/>
                <w:fitText w:val="8679" w:id="0"/>
                <w:lang w:eastAsia="zh-CN"/>
              </w:rPr>
              <w:t>综合协调组，文稿材料组，信访维稳组，追责问责组，宣传报道组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587" w:bottom="1474" w:left="158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jc w:val="right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eastAsia="仿宋_GB2312"/>
        <w:sz w:val="28"/>
        <w:szCs w:val="28"/>
      </w:rPr>
      <w:fldChar w:fldCharType="begin"/>
    </w:r>
    <w:r>
      <w:rPr>
        <w:rFonts w:eastAsia="仿宋_GB2312"/>
        <w:sz w:val="28"/>
        <w:szCs w:val="28"/>
      </w:rPr>
      <w:instrText xml:space="preserve">PAGE   \* MERGEFORMAT</w:instrText>
    </w:r>
    <w:r>
      <w:rPr>
        <w:rFonts w:eastAsia="仿宋_GB2312"/>
        <w:sz w:val="28"/>
        <w:szCs w:val="28"/>
      </w:rPr>
      <w:fldChar w:fldCharType="separate"/>
    </w:r>
    <w:r>
      <w:rPr>
        <w:rFonts w:eastAsia="仿宋_GB2312"/>
        <w:sz w:val="28"/>
        <w:szCs w:val="28"/>
        <w:lang w:val="zh-CN"/>
      </w:rPr>
      <w:t>22</w:t>
    </w:r>
    <w:r>
      <w:rPr>
        <w:rFonts w:eastAsia="仿宋_GB2312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95210"/>
    <w:rsid w:val="03C75506"/>
    <w:rsid w:val="0D095210"/>
    <w:rsid w:val="28973038"/>
    <w:rsid w:val="6D535020"/>
    <w:rsid w:val="7E6A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ple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2018-11-10T07:40:00Z</dcterms:created>
  <dc:creator>暖色</dc:creator>
  <cp:lastModifiedBy>V587哥</cp:lastModifiedBy>
  <dcterms:modified xsi:type="dcterms:W3CDTF">2018-11-11T04:58:01Z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