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4C" w:rsidRPr="0077748B" w:rsidRDefault="0061654C" w:rsidP="009F09D5">
      <w:pPr>
        <w:spacing w:line="600" w:lineRule="exact"/>
        <w:jc w:val="center"/>
        <w:rPr>
          <w:rFonts w:ascii="方正小标宋简体" w:eastAsia="方正小标宋简体" w:cs="Times New Roman"/>
          <w:kern w:val="0"/>
          <w:sz w:val="44"/>
          <w:szCs w:val="44"/>
        </w:rPr>
      </w:pPr>
      <w:r w:rsidRPr="0077748B">
        <w:rPr>
          <w:rFonts w:ascii="方正小标宋简体" w:eastAsia="方正小标宋简体" w:cs="方正小标宋简体" w:hint="eastAsia"/>
          <w:kern w:val="0"/>
          <w:sz w:val="44"/>
          <w:szCs w:val="44"/>
        </w:rPr>
        <w:t>核查发现的问题企业清单和处置意见表</w:t>
      </w:r>
    </w:p>
    <w:p w:rsidR="0061654C" w:rsidRDefault="0061654C" w:rsidP="009F09D5">
      <w:pPr>
        <w:spacing w:line="600" w:lineRule="exact"/>
        <w:jc w:val="left"/>
        <w:rPr>
          <w:rFonts w:ascii="仿宋_GB2312" w:eastAsia="仿宋_GB2312" w:cs="Times New Roman"/>
          <w:kern w:val="0"/>
          <w:sz w:val="32"/>
          <w:szCs w:val="32"/>
        </w:rPr>
      </w:pPr>
      <w:r w:rsidRPr="00967CD2">
        <w:rPr>
          <w:rFonts w:ascii="仿宋_GB2312" w:eastAsia="仿宋_GB2312" w:cs="仿宋_GB2312"/>
          <w:kern w:val="0"/>
          <w:sz w:val="32"/>
          <w:szCs w:val="32"/>
          <w:u w:val="single"/>
        </w:rPr>
        <w:t xml:space="preserve">   </w:t>
      </w:r>
      <w:r>
        <w:rPr>
          <w:rFonts w:ascii="仿宋_GB2312" w:eastAsia="仿宋_GB2312" w:cs="仿宋_GB2312"/>
          <w:kern w:val="0"/>
          <w:sz w:val="32"/>
          <w:szCs w:val="32"/>
          <w:u w:val="single"/>
        </w:rPr>
        <w:t xml:space="preserve">     </w:t>
      </w:r>
      <w:r w:rsidRPr="00967CD2">
        <w:rPr>
          <w:rFonts w:ascii="仿宋_GB2312" w:eastAsia="仿宋_GB2312" w:cs="仿宋_GB2312"/>
          <w:kern w:val="0"/>
          <w:sz w:val="32"/>
          <w:szCs w:val="32"/>
          <w:u w:val="single"/>
        </w:rPr>
        <w:t xml:space="preserve"> </w:t>
      </w:r>
      <w:r>
        <w:rPr>
          <w:rFonts w:ascii="仿宋_GB2312" w:eastAsia="仿宋_GB2312" w:cs="仿宋_GB2312" w:hint="eastAsia"/>
          <w:kern w:val="0"/>
          <w:sz w:val="32"/>
          <w:szCs w:val="32"/>
        </w:rPr>
        <w:t>县（区）人民政府（盖章）</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填表人：</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联系电话：</w:t>
      </w:r>
    </w:p>
    <w:tbl>
      <w:tblPr>
        <w:tblW w:w="14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9"/>
        <w:gridCol w:w="1841"/>
        <w:gridCol w:w="954"/>
        <w:gridCol w:w="1781"/>
        <w:gridCol w:w="1701"/>
        <w:gridCol w:w="1580"/>
        <w:gridCol w:w="1580"/>
        <w:gridCol w:w="1580"/>
        <w:gridCol w:w="2248"/>
      </w:tblGrid>
      <w:tr w:rsidR="0061654C" w:rsidRPr="00D03923">
        <w:tc>
          <w:tcPr>
            <w:tcW w:w="749" w:type="dxa"/>
            <w:vMerge w:val="restart"/>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序号</w:t>
            </w:r>
          </w:p>
        </w:tc>
        <w:tc>
          <w:tcPr>
            <w:tcW w:w="1841" w:type="dxa"/>
            <w:vMerge w:val="restart"/>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企业名称</w:t>
            </w:r>
          </w:p>
        </w:tc>
        <w:tc>
          <w:tcPr>
            <w:tcW w:w="954" w:type="dxa"/>
            <w:vMerge w:val="restart"/>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所在地</w:t>
            </w:r>
          </w:p>
        </w:tc>
        <w:tc>
          <w:tcPr>
            <w:tcW w:w="5062" w:type="dxa"/>
            <w:gridSpan w:val="3"/>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装备和产能</w:t>
            </w:r>
          </w:p>
        </w:tc>
        <w:tc>
          <w:tcPr>
            <w:tcW w:w="1580" w:type="dxa"/>
            <w:vMerge w:val="restart"/>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目前状况</w:t>
            </w:r>
          </w:p>
        </w:tc>
        <w:tc>
          <w:tcPr>
            <w:tcW w:w="1580" w:type="dxa"/>
            <w:vMerge w:val="restart"/>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拟采取措施</w:t>
            </w:r>
          </w:p>
        </w:tc>
        <w:tc>
          <w:tcPr>
            <w:tcW w:w="2248" w:type="dxa"/>
            <w:vMerge w:val="restart"/>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拟采取措施处</w:t>
            </w:r>
          </w:p>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置到位时间</w:t>
            </w:r>
          </w:p>
        </w:tc>
      </w:tr>
      <w:tr w:rsidR="0061654C" w:rsidRPr="00D03923">
        <w:trPr>
          <w:trHeight w:val="382"/>
        </w:trPr>
        <w:tc>
          <w:tcPr>
            <w:tcW w:w="749" w:type="dxa"/>
            <w:vMerge/>
            <w:vAlign w:val="center"/>
          </w:tcPr>
          <w:p w:rsidR="0061654C" w:rsidRPr="00D03923" w:rsidRDefault="0061654C" w:rsidP="00661168">
            <w:pPr>
              <w:spacing w:line="400" w:lineRule="exact"/>
              <w:jc w:val="center"/>
              <w:rPr>
                <w:rFonts w:cs="Times New Roman"/>
                <w:sz w:val="24"/>
                <w:szCs w:val="24"/>
              </w:rPr>
            </w:pPr>
          </w:p>
        </w:tc>
        <w:tc>
          <w:tcPr>
            <w:tcW w:w="1841" w:type="dxa"/>
            <w:vMerge/>
            <w:vAlign w:val="center"/>
          </w:tcPr>
          <w:p w:rsidR="0061654C" w:rsidRPr="00D03923" w:rsidRDefault="0061654C" w:rsidP="00661168">
            <w:pPr>
              <w:spacing w:line="400" w:lineRule="exact"/>
              <w:jc w:val="center"/>
              <w:rPr>
                <w:rFonts w:cs="Times New Roman"/>
                <w:sz w:val="24"/>
                <w:szCs w:val="24"/>
              </w:rPr>
            </w:pPr>
          </w:p>
        </w:tc>
        <w:tc>
          <w:tcPr>
            <w:tcW w:w="954" w:type="dxa"/>
            <w:vMerge/>
            <w:vAlign w:val="center"/>
          </w:tcPr>
          <w:p w:rsidR="0061654C" w:rsidRPr="00D03923" w:rsidRDefault="0061654C" w:rsidP="00661168">
            <w:pPr>
              <w:spacing w:line="400" w:lineRule="exact"/>
              <w:jc w:val="center"/>
              <w:rPr>
                <w:rFonts w:cs="Times New Roman"/>
                <w:sz w:val="24"/>
                <w:szCs w:val="24"/>
              </w:rPr>
            </w:pPr>
          </w:p>
        </w:tc>
        <w:tc>
          <w:tcPr>
            <w:tcW w:w="1781" w:type="dxa"/>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中（工）频炉</w:t>
            </w:r>
          </w:p>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（吨位及数量）</w:t>
            </w:r>
          </w:p>
        </w:tc>
        <w:tc>
          <w:tcPr>
            <w:tcW w:w="1701" w:type="dxa"/>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中（工）频炉产能（万吨）</w:t>
            </w:r>
          </w:p>
        </w:tc>
        <w:tc>
          <w:tcPr>
            <w:tcW w:w="1580" w:type="dxa"/>
            <w:vAlign w:val="center"/>
          </w:tcPr>
          <w:p w:rsidR="0061654C" w:rsidRPr="00D03923" w:rsidRDefault="0061654C" w:rsidP="00661168">
            <w:pPr>
              <w:spacing w:line="400" w:lineRule="exact"/>
              <w:jc w:val="center"/>
              <w:rPr>
                <w:rFonts w:cs="Times New Roman"/>
                <w:sz w:val="24"/>
                <w:szCs w:val="24"/>
              </w:rPr>
            </w:pPr>
            <w:r w:rsidRPr="00D03923">
              <w:rPr>
                <w:rFonts w:cs="宋体" w:hint="eastAsia"/>
                <w:sz w:val="24"/>
                <w:szCs w:val="24"/>
              </w:rPr>
              <w:t>轧钢设备</w:t>
            </w:r>
          </w:p>
        </w:tc>
        <w:tc>
          <w:tcPr>
            <w:tcW w:w="1580" w:type="dxa"/>
            <w:vMerge/>
            <w:vAlign w:val="center"/>
          </w:tcPr>
          <w:p w:rsidR="0061654C" w:rsidRPr="00D03923" w:rsidRDefault="0061654C" w:rsidP="00661168">
            <w:pPr>
              <w:spacing w:line="400" w:lineRule="exact"/>
              <w:jc w:val="center"/>
              <w:rPr>
                <w:rFonts w:cs="Times New Roman"/>
                <w:sz w:val="24"/>
                <w:szCs w:val="24"/>
              </w:rPr>
            </w:pPr>
          </w:p>
        </w:tc>
        <w:tc>
          <w:tcPr>
            <w:tcW w:w="1580" w:type="dxa"/>
            <w:vMerge/>
            <w:vAlign w:val="center"/>
          </w:tcPr>
          <w:p w:rsidR="0061654C" w:rsidRPr="00D03923" w:rsidRDefault="0061654C" w:rsidP="00661168">
            <w:pPr>
              <w:spacing w:line="400" w:lineRule="exact"/>
              <w:jc w:val="center"/>
              <w:rPr>
                <w:rFonts w:cs="Times New Roman"/>
                <w:sz w:val="24"/>
                <w:szCs w:val="24"/>
              </w:rPr>
            </w:pPr>
          </w:p>
        </w:tc>
        <w:tc>
          <w:tcPr>
            <w:tcW w:w="2248" w:type="dxa"/>
            <w:vMerge/>
            <w:vAlign w:val="center"/>
          </w:tcPr>
          <w:p w:rsidR="0061654C" w:rsidRPr="00D03923" w:rsidRDefault="0061654C" w:rsidP="00661168">
            <w:pPr>
              <w:spacing w:line="400" w:lineRule="exact"/>
              <w:jc w:val="center"/>
              <w:rPr>
                <w:rFonts w:cs="Times New Roman"/>
                <w:sz w:val="24"/>
                <w:szCs w:val="24"/>
              </w:rPr>
            </w:pPr>
          </w:p>
        </w:tc>
      </w:tr>
      <w:tr w:rsidR="0061654C" w:rsidRPr="00D03923">
        <w:trPr>
          <w:trHeight w:hRule="exact" w:val="454"/>
        </w:trPr>
        <w:tc>
          <w:tcPr>
            <w:tcW w:w="749" w:type="dxa"/>
            <w:vAlign w:val="center"/>
          </w:tcPr>
          <w:p w:rsidR="0061654C" w:rsidRPr="00D03923" w:rsidRDefault="0061654C" w:rsidP="00661168">
            <w:pPr>
              <w:spacing w:line="400" w:lineRule="exact"/>
              <w:jc w:val="center"/>
              <w:rPr>
                <w:sz w:val="24"/>
                <w:szCs w:val="24"/>
              </w:rPr>
            </w:pPr>
            <w:r w:rsidRPr="00D03923">
              <w:rPr>
                <w:sz w:val="24"/>
                <w:szCs w:val="24"/>
              </w:rPr>
              <w:t>1</w:t>
            </w:r>
          </w:p>
        </w:tc>
        <w:tc>
          <w:tcPr>
            <w:tcW w:w="1841" w:type="dxa"/>
            <w:vAlign w:val="center"/>
          </w:tcPr>
          <w:p w:rsidR="0061654C" w:rsidRPr="00D03923" w:rsidRDefault="0061654C" w:rsidP="00661168">
            <w:pPr>
              <w:spacing w:line="400" w:lineRule="exact"/>
              <w:jc w:val="center"/>
              <w:rPr>
                <w:sz w:val="24"/>
                <w:szCs w:val="24"/>
              </w:rPr>
            </w:pPr>
          </w:p>
        </w:tc>
        <w:tc>
          <w:tcPr>
            <w:tcW w:w="954" w:type="dxa"/>
            <w:vAlign w:val="center"/>
          </w:tcPr>
          <w:p w:rsidR="0061654C" w:rsidRPr="00D03923" w:rsidRDefault="0061654C" w:rsidP="00661168">
            <w:pPr>
              <w:spacing w:line="400" w:lineRule="exact"/>
              <w:jc w:val="center"/>
              <w:rPr>
                <w:sz w:val="24"/>
                <w:szCs w:val="24"/>
              </w:rPr>
            </w:pPr>
          </w:p>
        </w:tc>
        <w:tc>
          <w:tcPr>
            <w:tcW w:w="1781" w:type="dxa"/>
            <w:vAlign w:val="center"/>
          </w:tcPr>
          <w:p w:rsidR="0061654C" w:rsidRPr="00D03923" w:rsidRDefault="0061654C" w:rsidP="00661168">
            <w:pPr>
              <w:spacing w:line="400" w:lineRule="exact"/>
              <w:jc w:val="center"/>
              <w:rPr>
                <w:sz w:val="24"/>
                <w:szCs w:val="24"/>
              </w:rPr>
            </w:pPr>
          </w:p>
        </w:tc>
        <w:tc>
          <w:tcPr>
            <w:tcW w:w="1701"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2248" w:type="dxa"/>
            <w:vAlign w:val="center"/>
          </w:tcPr>
          <w:p w:rsidR="0061654C" w:rsidRPr="00D03923" w:rsidRDefault="0061654C" w:rsidP="00661168">
            <w:pPr>
              <w:spacing w:line="400" w:lineRule="exact"/>
              <w:jc w:val="center"/>
              <w:rPr>
                <w:sz w:val="24"/>
                <w:szCs w:val="24"/>
              </w:rPr>
            </w:pPr>
          </w:p>
        </w:tc>
      </w:tr>
      <w:tr w:rsidR="0061654C" w:rsidRPr="00D03923">
        <w:trPr>
          <w:trHeight w:hRule="exact" w:val="454"/>
        </w:trPr>
        <w:tc>
          <w:tcPr>
            <w:tcW w:w="749" w:type="dxa"/>
            <w:vAlign w:val="center"/>
          </w:tcPr>
          <w:p w:rsidR="0061654C" w:rsidRPr="00D03923" w:rsidRDefault="0061654C" w:rsidP="00661168">
            <w:pPr>
              <w:spacing w:line="400" w:lineRule="exact"/>
              <w:jc w:val="center"/>
              <w:rPr>
                <w:sz w:val="24"/>
                <w:szCs w:val="24"/>
              </w:rPr>
            </w:pPr>
            <w:r w:rsidRPr="00D03923">
              <w:rPr>
                <w:sz w:val="24"/>
                <w:szCs w:val="24"/>
              </w:rPr>
              <w:t>2</w:t>
            </w:r>
          </w:p>
        </w:tc>
        <w:tc>
          <w:tcPr>
            <w:tcW w:w="1841" w:type="dxa"/>
            <w:vAlign w:val="center"/>
          </w:tcPr>
          <w:p w:rsidR="0061654C" w:rsidRPr="00D03923" w:rsidRDefault="0061654C" w:rsidP="00661168">
            <w:pPr>
              <w:spacing w:line="400" w:lineRule="exact"/>
              <w:jc w:val="center"/>
              <w:rPr>
                <w:sz w:val="24"/>
                <w:szCs w:val="24"/>
              </w:rPr>
            </w:pPr>
          </w:p>
        </w:tc>
        <w:tc>
          <w:tcPr>
            <w:tcW w:w="954" w:type="dxa"/>
            <w:vAlign w:val="center"/>
          </w:tcPr>
          <w:p w:rsidR="0061654C" w:rsidRPr="00D03923" w:rsidRDefault="0061654C" w:rsidP="00661168">
            <w:pPr>
              <w:spacing w:line="400" w:lineRule="exact"/>
              <w:jc w:val="center"/>
              <w:rPr>
                <w:sz w:val="24"/>
                <w:szCs w:val="24"/>
              </w:rPr>
            </w:pPr>
          </w:p>
        </w:tc>
        <w:tc>
          <w:tcPr>
            <w:tcW w:w="1781" w:type="dxa"/>
            <w:vAlign w:val="center"/>
          </w:tcPr>
          <w:p w:rsidR="0061654C" w:rsidRPr="00D03923" w:rsidRDefault="0061654C" w:rsidP="00661168">
            <w:pPr>
              <w:spacing w:line="400" w:lineRule="exact"/>
              <w:jc w:val="center"/>
              <w:rPr>
                <w:sz w:val="24"/>
                <w:szCs w:val="24"/>
              </w:rPr>
            </w:pPr>
          </w:p>
        </w:tc>
        <w:tc>
          <w:tcPr>
            <w:tcW w:w="1701"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2248" w:type="dxa"/>
            <w:vAlign w:val="center"/>
          </w:tcPr>
          <w:p w:rsidR="0061654C" w:rsidRPr="00D03923" w:rsidRDefault="0061654C" w:rsidP="00661168">
            <w:pPr>
              <w:spacing w:line="400" w:lineRule="exact"/>
              <w:jc w:val="center"/>
              <w:rPr>
                <w:sz w:val="24"/>
                <w:szCs w:val="24"/>
              </w:rPr>
            </w:pPr>
          </w:p>
        </w:tc>
      </w:tr>
      <w:tr w:rsidR="0061654C" w:rsidRPr="00D03923">
        <w:trPr>
          <w:trHeight w:hRule="exact" w:val="454"/>
        </w:trPr>
        <w:tc>
          <w:tcPr>
            <w:tcW w:w="749" w:type="dxa"/>
            <w:vAlign w:val="center"/>
          </w:tcPr>
          <w:p w:rsidR="0061654C" w:rsidRPr="00D03923" w:rsidRDefault="0061654C" w:rsidP="00661168">
            <w:pPr>
              <w:spacing w:line="400" w:lineRule="exact"/>
              <w:jc w:val="center"/>
              <w:rPr>
                <w:sz w:val="24"/>
                <w:szCs w:val="24"/>
              </w:rPr>
            </w:pPr>
            <w:r w:rsidRPr="00D03923">
              <w:rPr>
                <w:sz w:val="24"/>
                <w:szCs w:val="24"/>
              </w:rPr>
              <w:t>3</w:t>
            </w:r>
          </w:p>
        </w:tc>
        <w:tc>
          <w:tcPr>
            <w:tcW w:w="1841" w:type="dxa"/>
            <w:vAlign w:val="center"/>
          </w:tcPr>
          <w:p w:rsidR="0061654C" w:rsidRPr="00D03923" w:rsidRDefault="0061654C" w:rsidP="00661168">
            <w:pPr>
              <w:spacing w:line="400" w:lineRule="exact"/>
              <w:jc w:val="center"/>
              <w:rPr>
                <w:sz w:val="24"/>
                <w:szCs w:val="24"/>
              </w:rPr>
            </w:pPr>
          </w:p>
        </w:tc>
        <w:tc>
          <w:tcPr>
            <w:tcW w:w="954" w:type="dxa"/>
            <w:vAlign w:val="center"/>
          </w:tcPr>
          <w:p w:rsidR="0061654C" w:rsidRPr="00D03923" w:rsidRDefault="0061654C" w:rsidP="00661168">
            <w:pPr>
              <w:spacing w:line="400" w:lineRule="exact"/>
              <w:jc w:val="center"/>
              <w:rPr>
                <w:sz w:val="24"/>
                <w:szCs w:val="24"/>
              </w:rPr>
            </w:pPr>
          </w:p>
        </w:tc>
        <w:tc>
          <w:tcPr>
            <w:tcW w:w="1781" w:type="dxa"/>
            <w:vAlign w:val="center"/>
          </w:tcPr>
          <w:p w:rsidR="0061654C" w:rsidRPr="00D03923" w:rsidRDefault="0061654C" w:rsidP="00661168">
            <w:pPr>
              <w:spacing w:line="400" w:lineRule="exact"/>
              <w:jc w:val="center"/>
              <w:rPr>
                <w:sz w:val="24"/>
                <w:szCs w:val="24"/>
              </w:rPr>
            </w:pPr>
          </w:p>
        </w:tc>
        <w:tc>
          <w:tcPr>
            <w:tcW w:w="1701"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2248" w:type="dxa"/>
            <w:vAlign w:val="center"/>
          </w:tcPr>
          <w:p w:rsidR="0061654C" w:rsidRPr="00D03923" w:rsidRDefault="0061654C" w:rsidP="00661168">
            <w:pPr>
              <w:spacing w:line="400" w:lineRule="exact"/>
              <w:jc w:val="center"/>
              <w:rPr>
                <w:sz w:val="24"/>
                <w:szCs w:val="24"/>
              </w:rPr>
            </w:pPr>
          </w:p>
        </w:tc>
      </w:tr>
      <w:tr w:rsidR="0061654C" w:rsidRPr="00D03923">
        <w:trPr>
          <w:trHeight w:hRule="exact" w:val="454"/>
        </w:trPr>
        <w:tc>
          <w:tcPr>
            <w:tcW w:w="749" w:type="dxa"/>
            <w:vAlign w:val="center"/>
          </w:tcPr>
          <w:p w:rsidR="0061654C" w:rsidRPr="00D03923" w:rsidRDefault="0061654C" w:rsidP="00661168">
            <w:pPr>
              <w:spacing w:line="400" w:lineRule="exact"/>
              <w:jc w:val="center"/>
              <w:rPr>
                <w:sz w:val="24"/>
                <w:szCs w:val="24"/>
              </w:rPr>
            </w:pPr>
            <w:r w:rsidRPr="00D03923">
              <w:rPr>
                <w:sz w:val="24"/>
                <w:szCs w:val="24"/>
              </w:rPr>
              <w:t>4</w:t>
            </w:r>
          </w:p>
        </w:tc>
        <w:tc>
          <w:tcPr>
            <w:tcW w:w="1841" w:type="dxa"/>
            <w:vAlign w:val="center"/>
          </w:tcPr>
          <w:p w:rsidR="0061654C" w:rsidRPr="00D03923" w:rsidRDefault="0061654C" w:rsidP="00661168">
            <w:pPr>
              <w:spacing w:line="400" w:lineRule="exact"/>
              <w:jc w:val="center"/>
              <w:rPr>
                <w:sz w:val="24"/>
                <w:szCs w:val="24"/>
              </w:rPr>
            </w:pPr>
          </w:p>
        </w:tc>
        <w:tc>
          <w:tcPr>
            <w:tcW w:w="954" w:type="dxa"/>
            <w:vAlign w:val="center"/>
          </w:tcPr>
          <w:p w:rsidR="0061654C" w:rsidRPr="00D03923" w:rsidRDefault="0061654C" w:rsidP="00661168">
            <w:pPr>
              <w:spacing w:line="400" w:lineRule="exact"/>
              <w:jc w:val="center"/>
              <w:rPr>
                <w:sz w:val="24"/>
                <w:szCs w:val="24"/>
              </w:rPr>
            </w:pPr>
          </w:p>
        </w:tc>
        <w:tc>
          <w:tcPr>
            <w:tcW w:w="1781" w:type="dxa"/>
            <w:vAlign w:val="center"/>
          </w:tcPr>
          <w:p w:rsidR="0061654C" w:rsidRPr="00D03923" w:rsidRDefault="0061654C" w:rsidP="00661168">
            <w:pPr>
              <w:spacing w:line="400" w:lineRule="exact"/>
              <w:jc w:val="center"/>
              <w:rPr>
                <w:sz w:val="24"/>
                <w:szCs w:val="24"/>
              </w:rPr>
            </w:pPr>
          </w:p>
        </w:tc>
        <w:tc>
          <w:tcPr>
            <w:tcW w:w="1701"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2248" w:type="dxa"/>
            <w:vAlign w:val="center"/>
          </w:tcPr>
          <w:p w:rsidR="0061654C" w:rsidRPr="00D03923" w:rsidRDefault="0061654C" w:rsidP="00661168">
            <w:pPr>
              <w:spacing w:line="400" w:lineRule="exact"/>
              <w:jc w:val="center"/>
              <w:rPr>
                <w:sz w:val="24"/>
                <w:szCs w:val="24"/>
              </w:rPr>
            </w:pPr>
          </w:p>
        </w:tc>
      </w:tr>
      <w:tr w:rsidR="0061654C" w:rsidRPr="00D03923">
        <w:trPr>
          <w:trHeight w:hRule="exact" w:val="454"/>
        </w:trPr>
        <w:tc>
          <w:tcPr>
            <w:tcW w:w="749" w:type="dxa"/>
            <w:vAlign w:val="center"/>
          </w:tcPr>
          <w:p w:rsidR="0061654C" w:rsidRPr="00D03923" w:rsidRDefault="0061654C" w:rsidP="00661168">
            <w:pPr>
              <w:spacing w:line="400" w:lineRule="exact"/>
              <w:jc w:val="center"/>
              <w:rPr>
                <w:sz w:val="24"/>
                <w:szCs w:val="24"/>
              </w:rPr>
            </w:pPr>
            <w:r w:rsidRPr="00D03923">
              <w:rPr>
                <w:sz w:val="24"/>
                <w:szCs w:val="24"/>
              </w:rPr>
              <w:t>5</w:t>
            </w:r>
          </w:p>
        </w:tc>
        <w:tc>
          <w:tcPr>
            <w:tcW w:w="1841" w:type="dxa"/>
            <w:vAlign w:val="center"/>
          </w:tcPr>
          <w:p w:rsidR="0061654C" w:rsidRPr="00D03923" w:rsidRDefault="0061654C" w:rsidP="00661168">
            <w:pPr>
              <w:spacing w:line="400" w:lineRule="exact"/>
              <w:jc w:val="center"/>
              <w:rPr>
                <w:sz w:val="24"/>
                <w:szCs w:val="24"/>
              </w:rPr>
            </w:pPr>
          </w:p>
        </w:tc>
        <w:tc>
          <w:tcPr>
            <w:tcW w:w="954" w:type="dxa"/>
            <w:vAlign w:val="center"/>
          </w:tcPr>
          <w:p w:rsidR="0061654C" w:rsidRPr="00D03923" w:rsidRDefault="0061654C" w:rsidP="00661168">
            <w:pPr>
              <w:spacing w:line="400" w:lineRule="exact"/>
              <w:jc w:val="center"/>
              <w:rPr>
                <w:sz w:val="24"/>
                <w:szCs w:val="24"/>
              </w:rPr>
            </w:pPr>
          </w:p>
        </w:tc>
        <w:tc>
          <w:tcPr>
            <w:tcW w:w="1781" w:type="dxa"/>
            <w:vAlign w:val="center"/>
          </w:tcPr>
          <w:p w:rsidR="0061654C" w:rsidRPr="00D03923" w:rsidRDefault="0061654C" w:rsidP="00661168">
            <w:pPr>
              <w:spacing w:line="400" w:lineRule="exact"/>
              <w:jc w:val="center"/>
              <w:rPr>
                <w:sz w:val="24"/>
                <w:szCs w:val="24"/>
              </w:rPr>
            </w:pPr>
          </w:p>
        </w:tc>
        <w:tc>
          <w:tcPr>
            <w:tcW w:w="1701"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1580" w:type="dxa"/>
            <w:vAlign w:val="center"/>
          </w:tcPr>
          <w:p w:rsidR="0061654C" w:rsidRPr="00D03923" w:rsidRDefault="0061654C" w:rsidP="00661168">
            <w:pPr>
              <w:spacing w:line="400" w:lineRule="exact"/>
              <w:jc w:val="center"/>
              <w:rPr>
                <w:sz w:val="24"/>
                <w:szCs w:val="24"/>
              </w:rPr>
            </w:pPr>
          </w:p>
        </w:tc>
        <w:tc>
          <w:tcPr>
            <w:tcW w:w="2248" w:type="dxa"/>
            <w:vAlign w:val="center"/>
          </w:tcPr>
          <w:p w:rsidR="0061654C" w:rsidRPr="00D03923" w:rsidRDefault="0061654C" w:rsidP="00661168">
            <w:pPr>
              <w:spacing w:line="400" w:lineRule="exact"/>
              <w:jc w:val="center"/>
              <w:rPr>
                <w:sz w:val="24"/>
                <w:szCs w:val="24"/>
              </w:rPr>
            </w:pPr>
          </w:p>
        </w:tc>
      </w:tr>
    </w:tbl>
    <w:p w:rsidR="0061654C" w:rsidRDefault="0061654C" w:rsidP="00661168">
      <w:pPr>
        <w:spacing w:line="360" w:lineRule="exact"/>
        <w:ind w:firstLine="482"/>
        <w:rPr>
          <w:rFonts w:ascii="宋体" w:cs="Times New Roman"/>
          <w:sz w:val="24"/>
          <w:szCs w:val="24"/>
        </w:rPr>
      </w:pPr>
      <w:r w:rsidRPr="00EF761C">
        <w:rPr>
          <w:rFonts w:ascii="宋体" w:hAnsi="宋体" w:cs="宋体" w:hint="eastAsia"/>
          <w:sz w:val="24"/>
          <w:szCs w:val="24"/>
        </w:rPr>
        <w:t>注：</w:t>
      </w:r>
    </w:p>
    <w:p w:rsidR="0061654C" w:rsidRDefault="0061654C" w:rsidP="00661168">
      <w:pPr>
        <w:spacing w:line="360" w:lineRule="exact"/>
        <w:ind w:firstLine="482"/>
        <w:rPr>
          <w:rFonts w:ascii="宋体" w:cs="Times New Roman"/>
          <w:sz w:val="24"/>
          <w:szCs w:val="24"/>
        </w:rPr>
      </w:pPr>
      <w:r w:rsidRPr="00EF761C">
        <w:rPr>
          <w:rFonts w:ascii="宋体" w:hAnsi="宋体" w:cs="宋体"/>
          <w:sz w:val="24"/>
          <w:szCs w:val="24"/>
        </w:rPr>
        <w:t>1.</w:t>
      </w:r>
      <w:r w:rsidRPr="00EF761C">
        <w:rPr>
          <w:rFonts w:ascii="宋体" w:hAnsi="宋体" w:cs="宋体" w:hint="eastAsia"/>
          <w:sz w:val="24"/>
          <w:szCs w:val="24"/>
        </w:rPr>
        <w:t>所在地按“××市××县（区）”格式填写；</w:t>
      </w:r>
    </w:p>
    <w:p w:rsidR="0061654C" w:rsidRDefault="0061654C" w:rsidP="00661168">
      <w:pPr>
        <w:spacing w:line="360" w:lineRule="exact"/>
        <w:ind w:firstLine="482"/>
        <w:rPr>
          <w:rFonts w:ascii="宋体" w:cs="Times New Roman"/>
          <w:sz w:val="24"/>
          <w:szCs w:val="24"/>
        </w:rPr>
      </w:pPr>
      <w:r w:rsidRPr="00EF761C">
        <w:rPr>
          <w:rFonts w:ascii="宋体" w:hAnsi="宋体" w:cs="宋体"/>
          <w:sz w:val="24"/>
          <w:szCs w:val="24"/>
        </w:rPr>
        <w:t>2.</w:t>
      </w:r>
      <w:r w:rsidRPr="00EF761C">
        <w:rPr>
          <w:rFonts w:ascii="宋体" w:hAnsi="宋体" w:cs="宋体" w:hint="eastAsia"/>
          <w:sz w:val="24"/>
          <w:szCs w:val="24"/>
        </w:rPr>
        <w:t>产能单位为“万吨”，产能请勿按电弧炉折算，应按实际能力填报；</w:t>
      </w:r>
    </w:p>
    <w:p w:rsidR="0061654C" w:rsidRDefault="0061654C" w:rsidP="00661168">
      <w:pPr>
        <w:spacing w:line="360" w:lineRule="exact"/>
        <w:ind w:firstLine="482"/>
        <w:rPr>
          <w:rFonts w:ascii="宋体" w:cs="Times New Roman"/>
          <w:sz w:val="24"/>
          <w:szCs w:val="24"/>
        </w:rPr>
      </w:pPr>
      <w:r w:rsidRPr="00EF761C">
        <w:rPr>
          <w:rFonts w:ascii="宋体" w:hAnsi="宋体" w:cs="宋体"/>
          <w:sz w:val="24"/>
          <w:szCs w:val="24"/>
        </w:rPr>
        <w:t>3.</w:t>
      </w:r>
      <w:r w:rsidRPr="00EF761C">
        <w:rPr>
          <w:rFonts w:ascii="宋体" w:hAnsi="宋体" w:cs="宋体" w:hint="eastAsia"/>
          <w:sz w:val="24"/>
          <w:szCs w:val="24"/>
        </w:rPr>
        <w:t>中（工）频炉按“吨位×数量”填报，中（工）频炉数量的单位按“台”，不按“套”；</w:t>
      </w:r>
    </w:p>
    <w:p w:rsidR="0061654C" w:rsidRDefault="0061654C" w:rsidP="00661168">
      <w:pPr>
        <w:spacing w:line="360" w:lineRule="exact"/>
        <w:ind w:firstLine="482"/>
        <w:rPr>
          <w:rFonts w:ascii="宋体" w:cs="Times New Roman"/>
          <w:sz w:val="24"/>
          <w:szCs w:val="24"/>
        </w:rPr>
      </w:pPr>
      <w:r w:rsidRPr="00EF761C">
        <w:rPr>
          <w:rFonts w:ascii="宋体" w:hAnsi="宋体" w:cs="宋体"/>
          <w:sz w:val="24"/>
          <w:szCs w:val="24"/>
        </w:rPr>
        <w:t>4.</w:t>
      </w:r>
      <w:r w:rsidRPr="00EF761C">
        <w:rPr>
          <w:rFonts w:ascii="宋体" w:hAnsi="宋体" w:cs="宋体" w:hint="eastAsia"/>
          <w:sz w:val="24"/>
          <w:szCs w:val="24"/>
        </w:rPr>
        <w:t>轧钢装备按“轧机类型×数量”填报；</w:t>
      </w:r>
    </w:p>
    <w:p w:rsidR="0061654C" w:rsidRDefault="0061654C" w:rsidP="00661168">
      <w:pPr>
        <w:spacing w:line="360" w:lineRule="exact"/>
        <w:ind w:firstLine="482"/>
        <w:rPr>
          <w:rFonts w:ascii="宋体" w:cs="Times New Roman"/>
          <w:sz w:val="24"/>
          <w:szCs w:val="24"/>
        </w:rPr>
      </w:pPr>
      <w:r w:rsidRPr="00EF761C">
        <w:rPr>
          <w:rFonts w:ascii="宋体" w:hAnsi="宋体" w:cs="宋体"/>
          <w:sz w:val="24"/>
          <w:szCs w:val="24"/>
        </w:rPr>
        <w:t>5.</w:t>
      </w:r>
      <w:r w:rsidRPr="00EF761C">
        <w:rPr>
          <w:rFonts w:ascii="宋体" w:hAnsi="宋体" w:cs="宋体" w:hint="eastAsia"/>
          <w:sz w:val="24"/>
          <w:szCs w:val="24"/>
        </w:rPr>
        <w:t>目前状况包括“在产”“停产未拆除”“炉体移位”“炉体拆除”“拆除配套设备”“彻底拆除”等；</w:t>
      </w:r>
    </w:p>
    <w:p w:rsidR="0061654C" w:rsidRDefault="0061654C" w:rsidP="00661168">
      <w:pPr>
        <w:spacing w:line="360" w:lineRule="exact"/>
        <w:ind w:firstLine="482"/>
        <w:rPr>
          <w:rFonts w:ascii="宋体" w:cs="Times New Roman"/>
          <w:sz w:val="24"/>
          <w:szCs w:val="24"/>
        </w:rPr>
      </w:pPr>
      <w:r w:rsidRPr="00EF761C">
        <w:rPr>
          <w:rFonts w:ascii="宋体" w:hAnsi="宋体" w:cs="宋体"/>
          <w:sz w:val="24"/>
          <w:szCs w:val="24"/>
        </w:rPr>
        <w:t>6.</w:t>
      </w:r>
      <w:r w:rsidRPr="00EF761C">
        <w:rPr>
          <w:rFonts w:ascii="宋体" w:hAnsi="宋体" w:cs="宋体" w:hint="eastAsia"/>
          <w:sz w:val="24"/>
          <w:szCs w:val="24"/>
        </w:rPr>
        <w:t>拟采取措施栏：尚未处置的，填写拟定的处置方式</w:t>
      </w:r>
      <w:r>
        <w:rPr>
          <w:rFonts w:ascii="宋体" w:hAnsi="宋体" w:cs="宋体" w:hint="eastAsia"/>
          <w:sz w:val="24"/>
          <w:szCs w:val="24"/>
        </w:rPr>
        <w:t>；</w:t>
      </w:r>
      <w:r w:rsidRPr="00EF761C">
        <w:rPr>
          <w:rFonts w:ascii="宋体" w:hAnsi="宋体" w:cs="宋体" w:hint="eastAsia"/>
          <w:sz w:val="24"/>
          <w:szCs w:val="24"/>
        </w:rPr>
        <w:t>若已处置的，填写“无”；</w:t>
      </w:r>
    </w:p>
    <w:p w:rsidR="0061654C" w:rsidRDefault="0061654C" w:rsidP="00661168">
      <w:pPr>
        <w:spacing w:line="360" w:lineRule="exact"/>
        <w:ind w:firstLine="482"/>
        <w:rPr>
          <w:rFonts w:ascii="宋体" w:cs="Times New Roman"/>
          <w:sz w:val="24"/>
          <w:szCs w:val="24"/>
        </w:rPr>
      </w:pPr>
      <w:r w:rsidRPr="00EF761C">
        <w:rPr>
          <w:rFonts w:ascii="宋体" w:hAnsi="宋体" w:cs="宋体"/>
          <w:sz w:val="24"/>
          <w:szCs w:val="24"/>
        </w:rPr>
        <w:t>7.</w:t>
      </w:r>
      <w:r w:rsidRPr="00EF761C">
        <w:rPr>
          <w:rFonts w:ascii="宋体" w:hAnsi="宋体" w:cs="宋体" w:hint="eastAsia"/>
          <w:sz w:val="24"/>
          <w:szCs w:val="24"/>
        </w:rPr>
        <w:t>拟采取措施处置到位时间栏：尚未处置的，填写拟定处置方式的完成时间</w:t>
      </w:r>
      <w:r>
        <w:rPr>
          <w:rFonts w:ascii="宋体" w:hAnsi="宋体" w:cs="宋体" w:hint="eastAsia"/>
          <w:sz w:val="24"/>
          <w:szCs w:val="24"/>
        </w:rPr>
        <w:t>；</w:t>
      </w:r>
      <w:r w:rsidRPr="00EF761C">
        <w:rPr>
          <w:rFonts w:ascii="宋体" w:hAnsi="宋体" w:cs="宋体" w:hint="eastAsia"/>
          <w:sz w:val="24"/>
          <w:szCs w:val="24"/>
        </w:rPr>
        <w:t>若已处置的，填写“无”；</w:t>
      </w:r>
    </w:p>
    <w:p w:rsidR="0061654C" w:rsidRDefault="0061654C" w:rsidP="00661168">
      <w:pPr>
        <w:spacing w:line="360" w:lineRule="exact"/>
        <w:ind w:firstLine="482"/>
        <w:rPr>
          <w:rFonts w:ascii="宋体" w:cs="Times New Roman"/>
          <w:sz w:val="24"/>
          <w:szCs w:val="24"/>
        </w:rPr>
        <w:sectPr w:rsidR="0061654C" w:rsidSect="00967CD2">
          <w:headerReference w:type="even" r:id="rId6"/>
          <w:headerReference w:type="default" r:id="rId7"/>
          <w:footerReference w:type="even" r:id="rId8"/>
          <w:footerReference w:type="default" r:id="rId9"/>
          <w:headerReference w:type="first" r:id="rId10"/>
          <w:footerReference w:type="first" r:id="rId11"/>
          <w:pgSz w:w="16840" w:h="11907" w:orient="landscape"/>
          <w:pgMar w:top="1418" w:right="1418" w:bottom="1418" w:left="1418" w:header="851" w:footer="851" w:gutter="0"/>
          <w:cols w:space="425"/>
          <w:docGrid w:type="lines" w:linePitch="312"/>
        </w:sectPr>
      </w:pPr>
      <w:r w:rsidRPr="00EF761C">
        <w:rPr>
          <w:rFonts w:ascii="宋体" w:hAnsi="宋体" w:cs="宋体"/>
          <w:sz w:val="24"/>
          <w:szCs w:val="24"/>
        </w:rPr>
        <w:t>8.</w:t>
      </w:r>
      <w:r w:rsidRPr="00EF761C">
        <w:rPr>
          <w:rFonts w:ascii="宋体" w:hAnsi="宋体" w:cs="宋体" w:hint="eastAsia"/>
          <w:sz w:val="24"/>
          <w:szCs w:val="24"/>
        </w:rPr>
        <w:t>本表应包含</w:t>
      </w:r>
      <w:r w:rsidRPr="00EF761C">
        <w:rPr>
          <w:rFonts w:ascii="宋体" w:hAnsi="宋体" w:cs="宋体"/>
          <w:sz w:val="24"/>
          <w:szCs w:val="24"/>
        </w:rPr>
        <w:t>2016</w:t>
      </w:r>
      <w:r w:rsidRPr="00EF761C">
        <w:rPr>
          <w:rFonts w:ascii="宋体" w:hAnsi="宋体" w:cs="宋体" w:hint="eastAsia"/>
          <w:sz w:val="24"/>
          <w:szCs w:val="24"/>
        </w:rPr>
        <w:t>年以来已拆除、关停以及目前仍存在的所有中（工）频炉企业。</w:t>
      </w:r>
    </w:p>
    <w:p w:rsidR="0061654C" w:rsidRPr="00537146" w:rsidRDefault="0061654C" w:rsidP="00537146">
      <w:pPr>
        <w:spacing w:line="550" w:lineRule="exact"/>
        <w:jc w:val="center"/>
        <w:rPr>
          <w:rFonts w:ascii="方正小标宋简体" w:eastAsia="方正小标宋简体" w:cs="Times New Roman"/>
          <w:sz w:val="44"/>
          <w:szCs w:val="44"/>
        </w:rPr>
      </w:pPr>
      <w:r w:rsidRPr="00537146">
        <w:rPr>
          <w:rFonts w:ascii="方正小标宋简体" w:eastAsia="方正小标宋简体" w:cs="方正小标宋简体" w:hint="eastAsia"/>
          <w:sz w:val="44"/>
          <w:szCs w:val="44"/>
        </w:rPr>
        <w:lastRenderedPageBreak/>
        <w:t>四川省人民政府办公厅</w:t>
      </w:r>
    </w:p>
    <w:p w:rsidR="0061654C" w:rsidRPr="00537146" w:rsidRDefault="0061654C" w:rsidP="00537146">
      <w:pPr>
        <w:spacing w:line="550" w:lineRule="exact"/>
        <w:jc w:val="center"/>
        <w:rPr>
          <w:rFonts w:ascii="方正小标宋简体" w:eastAsia="方正小标宋简体" w:cs="Times New Roman"/>
          <w:sz w:val="44"/>
          <w:szCs w:val="44"/>
        </w:rPr>
      </w:pPr>
      <w:r w:rsidRPr="00537146">
        <w:rPr>
          <w:rFonts w:ascii="方正小标宋简体" w:eastAsia="方正小标宋简体" w:cs="方正小标宋简体" w:hint="eastAsia"/>
          <w:sz w:val="44"/>
          <w:szCs w:val="44"/>
        </w:rPr>
        <w:t>关于进一步严厉打击违法违规生产销售</w:t>
      </w:r>
    </w:p>
    <w:p w:rsidR="0061654C" w:rsidRPr="00537146" w:rsidRDefault="0061654C" w:rsidP="00537146">
      <w:pPr>
        <w:spacing w:line="550" w:lineRule="exact"/>
        <w:jc w:val="center"/>
        <w:rPr>
          <w:rFonts w:ascii="方正小标宋简体" w:eastAsia="方正小标宋简体" w:cs="Times New Roman"/>
          <w:sz w:val="44"/>
          <w:szCs w:val="44"/>
        </w:rPr>
      </w:pPr>
      <w:r w:rsidRPr="00537146">
        <w:rPr>
          <w:rFonts w:ascii="方正小标宋简体" w:eastAsia="方正小标宋简体" w:cs="方正小标宋简体" w:hint="eastAsia"/>
          <w:sz w:val="44"/>
          <w:szCs w:val="44"/>
        </w:rPr>
        <w:t>“地条钢”的通知</w:t>
      </w:r>
    </w:p>
    <w:p w:rsidR="0061654C" w:rsidRPr="00537146" w:rsidRDefault="0061654C" w:rsidP="00537146">
      <w:pPr>
        <w:spacing w:line="550" w:lineRule="exact"/>
        <w:jc w:val="center"/>
        <w:rPr>
          <w:rFonts w:ascii="仿宋_GB2312" w:eastAsia="仿宋_GB2312" w:cs="Times New Roman"/>
          <w:sz w:val="32"/>
          <w:szCs w:val="32"/>
        </w:rPr>
      </w:pPr>
    </w:p>
    <w:p w:rsidR="0061654C" w:rsidRPr="00537146" w:rsidRDefault="0061654C" w:rsidP="00537146">
      <w:pPr>
        <w:spacing w:line="550" w:lineRule="exact"/>
        <w:ind w:firstLine="198"/>
        <w:jc w:val="center"/>
        <w:rPr>
          <w:rFonts w:ascii="楷体_GB2312" w:eastAsia="楷体_GB2312" w:cs="Times New Roman"/>
          <w:sz w:val="32"/>
          <w:szCs w:val="32"/>
        </w:rPr>
      </w:pPr>
      <w:r w:rsidRPr="00537146">
        <w:rPr>
          <w:rFonts w:ascii="楷体_GB2312" w:eastAsia="楷体_GB2312" w:cs="楷体_GB2312" w:hint="eastAsia"/>
          <w:sz w:val="32"/>
          <w:szCs w:val="32"/>
        </w:rPr>
        <w:t>川办函〔</w:t>
      </w:r>
      <w:r w:rsidRPr="00537146">
        <w:rPr>
          <w:rFonts w:ascii="楷体_GB2312" w:eastAsia="楷体_GB2312" w:cs="楷体_GB2312"/>
          <w:sz w:val="32"/>
          <w:szCs w:val="32"/>
        </w:rPr>
        <w:t>2017</w:t>
      </w:r>
      <w:r w:rsidRPr="00537146">
        <w:rPr>
          <w:rFonts w:ascii="楷体_GB2312" w:eastAsia="楷体_GB2312" w:cs="楷体_GB2312" w:hint="eastAsia"/>
          <w:sz w:val="32"/>
          <w:szCs w:val="32"/>
        </w:rPr>
        <w:t>〕</w:t>
      </w:r>
      <w:r w:rsidRPr="00537146">
        <w:rPr>
          <w:rFonts w:ascii="楷体_GB2312" w:eastAsia="楷体_GB2312" w:cs="楷体_GB2312"/>
          <w:sz w:val="32"/>
          <w:szCs w:val="32"/>
        </w:rPr>
        <w:t>22</w:t>
      </w:r>
      <w:r w:rsidRPr="00537146">
        <w:rPr>
          <w:rFonts w:ascii="楷体_GB2312" w:eastAsia="楷体_GB2312" w:cs="楷体_GB2312" w:hint="eastAsia"/>
          <w:sz w:val="32"/>
          <w:szCs w:val="32"/>
        </w:rPr>
        <w:t>号</w:t>
      </w:r>
    </w:p>
    <w:p w:rsidR="0061654C" w:rsidRPr="00537146" w:rsidRDefault="0061654C" w:rsidP="00537146">
      <w:pPr>
        <w:spacing w:line="550" w:lineRule="exact"/>
        <w:ind w:firstLine="198"/>
        <w:rPr>
          <w:rFonts w:ascii="仿宋_GB2312" w:eastAsia="仿宋_GB2312" w:cs="Times New Roman"/>
          <w:sz w:val="32"/>
          <w:szCs w:val="32"/>
        </w:rPr>
      </w:pPr>
    </w:p>
    <w:p w:rsidR="0061654C" w:rsidRPr="00537146" w:rsidRDefault="0061654C" w:rsidP="00537146">
      <w:pPr>
        <w:spacing w:line="550" w:lineRule="exact"/>
        <w:rPr>
          <w:rFonts w:ascii="仿宋_GB2312" w:eastAsia="仿宋_GB2312" w:cs="Times New Roman"/>
          <w:sz w:val="32"/>
          <w:szCs w:val="32"/>
        </w:rPr>
      </w:pPr>
      <w:r w:rsidRPr="00537146">
        <w:rPr>
          <w:rFonts w:ascii="仿宋_GB2312" w:eastAsia="仿宋_GB2312" w:cs="仿宋_GB2312" w:hint="eastAsia"/>
          <w:sz w:val="32"/>
          <w:szCs w:val="32"/>
        </w:rPr>
        <w:t>各市（州）人民政府，省政府各部门、各直属机构，有关单位：</w:t>
      </w:r>
    </w:p>
    <w:p w:rsidR="0061654C" w:rsidRPr="00537146" w:rsidRDefault="0061654C" w:rsidP="00354224">
      <w:pPr>
        <w:spacing w:line="550" w:lineRule="exact"/>
        <w:ind w:firstLineChars="200" w:firstLine="640"/>
        <w:rPr>
          <w:rFonts w:ascii="仿宋_GB2312" w:eastAsia="仿宋_GB2312" w:cs="Times New Roman"/>
          <w:sz w:val="32"/>
          <w:szCs w:val="32"/>
        </w:rPr>
      </w:pPr>
      <w:r w:rsidRPr="00537146">
        <w:rPr>
          <w:rFonts w:ascii="仿宋_GB2312" w:eastAsia="仿宋_GB2312" w:cs="仿宋_GB2312" w:hint="eastAsia"/>
          <w:sz w:val="32"/>
          <w:szCs w:val="32"/>
        </w:rPr>
        <w:t>严厉打击制售“地条钢”是中央的要求和省委省政府的决策部署。最近，省里再次派出</w:t>
      </w:r>
      <w:r w:rsidRPr="00537146">
        <w:rPr>
          <w:rFonts w:ascii="仿宋_GB2312" w:eastAsia="仿宋_GB2312" w:cs="仿宋_GB2312"/>
          <w:sz w:val="32"/>
          <w:szCs w:val="32"/>
        </w:rPr>
        <w:t>6</w:t>
      </w:r>
      <w:r w:rsidRPr="00537146">
        <w:rPr>
          <w:rFonts w:ascii="仿宋_GB2312" w:eastAsia="仿宋_GB2312" w:cs="仿宋_GB2312" w:hint="eastAsia"/>
          <w:sz w:val="32"/>
          <w:szCs w:val="32"/>
        </w:rPr>
        <w:t>个暗访督查组，对除甘孜州、阿坝州以外的</w:t>
      </w:r>
      <w:r w:rsidRPr="00537146">
        <w:rPr>
          <w:rFonts w:ascii="仿宋_GB2312" w:eastAsia="仿宋_GB2312" w:cs="仿宋_GB2312"/>
          <w:sz w:val="32"/>
          <w:szCs w:val="32"/>
        </w:rPr>
        <w:t>19</w:t>
      </w:r>
      <w:r w:rsidRPr="00537146">
        <w:rPr>
          <w:rFonts w:ascii="仿宋_GB2312" w:eastAsia="仿宋_GB2312" w:cs="仿宋_GB2312" w:hint="eastAsia"/>
          <w:sz w:val="32"/>
          <w:szCs w:val="32"/>
        </w:rPr>
        <w:t>个市（州）进行了全覆盖暗访督办。督查发现以下主要问题：部分企业相关手续不完善，存在批建不符的问题；部分企业拆除不到位，存在死灰复燃和继续违法生产“地条钢”的可能；部分市（州）仍存在认识不到位、推动工作不力、督查监管不到位、不按规定及时如实上报情况等问题，个别地方政府部门落实政策和规定不力；部分市（州）政府只看重当前的整治，忽视长效机制的建立，综合施策的措施不到位。</w:t>
      </w:r>
    </w:p>
    <w:p w:rsidR="0061654C" w:rsidRPr="00537146" w:rsidRDefault="0061654C" w:rsidP="00354224">
      <w:pPr>
        <w:spacing w:line="550" w:lineRule="exact"/>
        <w:ind w:firstLineChars="200" w:firstLine="640"/>
        <w:rPr>
          <w:rFonts w:ascii="仿宋_GB2312" w:eastAsia="仿宋_GB2312" w:cs="Times New Roman"/>
          <w:sz w:val="32"/>
          <w:szCs w:val="32"/>
        </w:rPr>
      </w:pPr>
      <w:r w:rsidRPr="00537146">
        <w:rPr>
          <w:rFonts w:ascii="仿宋_GB2312" w:eastAsia="仿宋_GB2312" w:cs="仿宋_GB2312" w:hint="eastAsia"/>
          <w:sz w:val="32"/>
          <w:szCs w:val="32"/>
        </w:rPr>
        <w:t>为进一步做好钢铁化解过剩产能、淘汰落后产能工作，严厉打击违法违规生产销售“地条钢”，现将有关事项通知如下。</w:t>
      </w:r>
    </w:p>
    <w:p w:rsidR="0061654C" w:rsidRPr="00537146" w:rsidRDefault="0061654C" w:rsidP="00354224">
      <w:pPr>
        <w:spacing w:line="550" w:lineRule="exact"/>
        <w:ind w:firstLineChars="200" w:firstLine="640"/>
        <w:rPr>
          <w:rFonts w:ascii="仿宋_GB2312" w:eastAsia="仿宋_GB2312" w:cs="Times New Roman"/>
          <w:sz w:val="32"/>
          <w:szCs w:val="32"/>
        </w:rPr>
      </w:pPr>
      <w:r w:rsidRPr="00537146">
        <w:rPr>
          <w:rFonts w:ascii="黑体" w:eastAsia="黑体" w:hAnsi="黑体" w:cs="黑体" w:hint="eastAsia"/>
          <w:sz w:val="32"/>
          <w:szCs w:val="32"/>
        </w:rPr>
        <w:t>一、进一步统一思想，提高认识。</w:t>
      </w:r>
      <w:r w:rsidRPr="00537146">
        <w:rPr>
          <w:rFonts w:ascii="仿宋_GB2312" w:eastAsia="仿宋_GB2312" w:cs="仿宋_GB2312" w:hint="eastAsia"/>
          <w:sz w:val="32"/>
          <w:szCs w:val="32"/>
        </w:rPr>
        <w:t>钢铁行业化解过剩产能，是深化供给侧结构性改革、落实“三去一降一补”任务的重要内容。各地、各有关部门要牢固树立“四个意识”，切实把思想认识统一到贯彻落实习近平总书记系列重要讲话精神上来，统一到党中央、国务院的决策部署上来。自觉贯彻新发展理念，牢固树立“绿水青山就是金山银山”的观念，坚决彻底清除“地条钢”，确保党中央、国务院和省委、省政府决策部署不折不扣落地落实。</w:t>
      </w:r>
    </w:p>
    <w:p w:rsidR="0061654C" w:rsidRPr="00537146" w:rsidRDefault="0061654C" w:rsidP="00354224">
      <w:pPr>
        <w:spacing w:line="550" w:lineRule="exact"/>
        <w:ind w:firstLineChars="200" w:firstLine="640"/>
        <w:rPr>
          <w:rFonts w:ascii="仿宋_GB2312" w:eastAsia="仿宋_GB2312" w:cs="Times New Roman"/>
          <w:sz w:val="32"/>
          <w:szCs w:val="32"/>
        </w:rPr>
      </w:pPr>
      <w:r w:rsidRPr="00537146">
        <w:rPr>
          <w:rFonts w:ascii="黑体" w:eastAsia="黑体" w:hAnsi="黑体" w:cs="黑体" w:hint="eastAsia"/>
          <w:sz w:val="32"/>
          <w:szCs w:val="32"/>
        </w:rPr>
        <w:lastRenderedPageBreak/>
        <w:t>二、进一步全面排查，严厉打击。</w:t>
      </w:r>
      <w:r w:rsidRPr="00537146">
        <w:rPr>
          <w:rFonts w:ascii="仿宋_GB2312" w:eastAsia="仿宋_GB2312" w:cs="仿宋_GB2312" w:hint="eastAsia"/>
          <w:sz w:val="32"/>
          <w:szCs w:val="32"/>
        </w:rPr>
        <w:t>各级地方政府及相关部门要深入开展梳理排查工作，确保全覆盖、无死角，坚决杜绝边减边增，坚决打击弄虚作假，坚决禁止违法违规建设，坚决防止死灰复燃，以形成“零容忍”的震慑态势严厉打击“地条钢”。要在立项审批、环评、安全、用地、用电、生产许可、工商税务登记等方面，对涉钢企业进行全面仔细核查。继续做好涉嫌生产销售“地条钢”的“拉网式”排查工作，对存在问题必须发现一起、查处一起，加大公开曝光力度。供电部门要密切监测涉钢企业的用电情况，对出现用电量异常的企业及时核查，通报相关部门，抓紧调查处理。</w:t>
      </w:r>
    </w:p>
    <w:p w:rsidR="0061654C" w:rsidRPr="00537146" w:rsidRDefault="0061654C" w:rsidP="00354224">
      <w:pPr>
        <w:spacing w:line="550" w:lineRule="exact"/>
        <w:ind w:firstLineChars="200" w:firstLine="640"/>
        <w:rPr>
          <w:rFonts w:ascii="仿宋_GB2312" w:eastAsia="仿宋_GB2312" w:cs="Times New Roman"/>
          <w:sz w:val="32"/>
          <w:szCs w:val="32"/>
        </w:rPr>
      </w:pPr>
      <w:r w:rsidRPr="00537146">
        <w:rPr>
          <w:rFonts w:ascii="黑体" w:eastAsia="黑体" w:hAnsi="黑体" w:cs="黑体" w:hint="eastAsia"/>
          <w:sz w:val="32"/>
          <w:szCs w:val="32"/>
        </w:rPr>
        <w:t>三、进一步落实责任，严肃问责。</w:t>
      </w:r>
      <w:r w:rsidRPr="00537146">
        <w:rPr>
          <w:rFonts w:ascii="仿宋_GB2312" w:eastAsia="仿宋_GB2312" w:cs="仿宋_GB2312" w:hint="eastAsia"/>
          <w:sz w:val="32"/>
          <w:szCs w:val="32"/>
        </w:rPr>
        <w:t>各级地方政府及有关部门要强化责任意识，明晰责任分工，层层落实责任，加强监督管理，加大督查、考核、问责力度。对不作为、乱作为、包庇纵容、敷衍塞责、弄虚作假、监管不力的，要坚决查处。对查明查实的违法违规违纪情况，所有涉事企业和政府失职人员必须严厉追责问责到位。对问题严重的地方加强通报，并依法依规对相关人员严肃问责。特别是</w:t>
      </w:r>
      <w:r w:rsidRPr="00537146">
        <w:rPr>
          <w:rFonts w:ascii="仿宋_GB2312" w:eastAsia="仿宋_GB2312" w:cs="仿宋_GB2312"/>
          <w:sz w:val="32"/>
          <w:szCs w:val="32"/>
        </w:rPr>
        <w:t>1</w:t>
      </w:r>
      <w:r w:rsidRPr="00537146">
        <w:rPr>
          <w:rFonts w:ascii="仿宋_GB2312" w:eastAsia="仿宋_GB2312" w:cs="仿宋_GB2312" w:hint="eastAsia"/>
          <w:sz w:val="32"/>
          <w:szCs w:val="32"/>
        </w:rPr>
        <w:t>月</w:t>
      </w:r>
      <w:r w:rsidRPr="00537146">
        <w:rPr>
          <w:rFonts w:ascii="仿宋_GB2312" w:eastAsia="仿宋_GB2312" w:cs="仿宋_GB2312"/>
          <w:sz w:val="32"/>
          <w:szCs w:val="32"/>
        </w:rPr>
        <w:t>20</w:t>
      </w:r>
      <w:r w:rsidRPr="00537146">
        <w:rPr>
          <w:rFonts w:ascii="仿宋_GB2312" w:eastAsia="仿宋_GB2312" w:cs="仿宋_GB2312" w:hint="eastAsia"/>
          <w:sz w:val="32"/>
          <w:szCs w:val="32"/>
        </w:rPr>
        <w:t>日以后还在顶风违法违规生产销售“地条钢”的行为，一经查实，必须严肃问责，确保按国家要求全部拆除生产“地条钢”的相关设备。</w:t>
      </w:r>
    </w:p>
    <w:p w:rsidR="0061654C" w:rsidRPr="00537146" w:rsidRDefault="0061654C" w:rsidP="00354224">
      <w:pPr>
        <w:spacing w:line="550" w:lineRule="exact"/>
        <w:ind w:firstLineChars="200" w:firstLine="640"/>
        <w:rPr>
          <w:rFonts w:ascii="仿宋_GB2312" w:eastAsia="仿宋_GB2312" w:cs="Times New Roman"/>
          <w:sz w:val="32"/>
          <w:szCs w:val="32"/>
        </w:rPr>
      </w:pPr>
      <w:r w:rsidRPr="00537146">
        <w:rPr>
          <w:rFonts w:ascii="黑体" w:eastAsia="黑体" w:hAnsi="黑体" w:cs="黑体" w:hint="eastAsia"/>
          <w:sz w:val="32"/>
          <w:szCs w:val="32"/>
        </w:rPr>
        <w:t>四、进一步完善机制，形成合力。</w:t>
      </w:r>
      <w:r w:rsidRPr="00537146">
        <w:rPr>
          <w:rFonts w:ascii="仿宋_GB2312" w:eastAsia="仿宋_GB2312" w:cs="仿宋_GB2312" w:hint="eastAsia"/>
          <w:sz w:val="32"/>
          <w:szCs w:val="32"/>
        </w:rPr>
        <w:t>由省化脱办牵头，抓紧研究构建强有力的监管机制，经济和信息化、工商、质监、发展改革、环境保护、公安、安监、电力等部门，既各司其职、各负其责，又加强协调、密切配合，形成合力加强对钢铁行业特别是违法违规生产销售“地条钢”行为的监管，形成全过程、全方位监</w:t>
      </w:r>
      <w:r w:rsidRPr="00537146">
        <w:rPr>
          <w:rFonts w:ascii="仿宋_GB2312" w:eastAsia="仿宋_GB2312" w:cs="仿宋_GB2312" w:hint="eastAsia"/>
          <w:sz w:val="32"/>
          <w:szCs w:val="32"/>
        </w:rPr>
        <w:lastRenderedPageBreak/>
        <w:t>管机制。特别是要高度关注机械加工制造、铸造类企业的装备、生产情况，坚决杜绝“挂羊头卖狗肉”和“黑户”企业。要加强“地条钢”销售使用情况核查，经济和信息化、工商、质监、发改、公安、交通运输、住房城乡建设、安监等部门联手，重点对</w:t>
      </w:r>
      <w:r w:rsidRPr="00537146">
        <w:rPr>
          <w:rFonts w:ascii="仿宋_GB2312" w:eastAsia="仿宋_GB2312" w:cs="仿宋_GB2312"/>
          <w:sz w:val="32"/>
          <w:szCs w:val="32"/>
        </w:rPr>
        <w:t>2013</w:t>
      </w:r>
      <w:r w:rsidRPr="00537146">
        <w:rPr>
          <w:rFonts w:ascii="仿宋_GB2312" w:eastAsia="仿宋_GB2312" w:cs="仿宋_GB2312" w:hint="eastAsia"/>
          <w:sz w:val="32"/>
          <w:szCs w:val="32"/>
        </w:rPr>
        <w:t>年以来“地条钢”的市场流向开展调查，对查实用于重点工程、民生项目、灾后重建项目的，必须责令整改，并严肃追究相关企业和人员的责任。</w:t>
      </w:r>
    </w:p>
    <w:p w:rsidR="0061654C" w:rsidRPr="00537146" w:rsidRDefault="0061654C" w:rsidP="00354224">
      <w:pPr>
        <w:spacing w:line="550" w:lineRule="exact"/>
        <w:ind w:firstLineChars="200" w:firstLine="640"/>
        <w:rPr>
          <w:rFonts w:ascii="仿宋_GB2312" w:eastAsia="仿宋_GB2312" w:cs="Times New Roman"/>
          <w:sz w:val="32"/>
          <w:szCs w:val="32"/>
        </w:rPr>
      </w:pPr>
      <w:r w:rsidRPr="00537146">
        <w:rPr>
          <w:rFonts w:ascii="黑体" w:eastAsia="黑体" w:hAnsi="黑体" w:cs="黑体" w:hint="eastAsia"/>
          <w:sz w:val="32"/>
          <w:szCs w:val="32"/>
        </w:rPr>
        <w:t>五、进一步优化服务，推进发展。</w:t>
      </w:r>
      <w:r w:rsidRPr="00537146">
        <w:rPr>
          <w:rFonts w:ascii="仿宋_GB2312" w:eastAsia="仿宋_GB2312" w:cs="仿宋_GB2312" w:hint="eastAsia"/>
          <w:sz w:val="32"/>
          <w:szCs w:val="32"/>
        </w:rPr>
        <w:t>按照“放管服”部署和“明确标准、缩短流程、限时办结”的要求，进一步规范流程、明确时限、提高效率，切实为依法依规生产经营的企业提供优质高效服务。继续做好化解过剩产能和淘汰落后产能的后续工作，抓紧证照注销，加强防范和及时化解系统性债务风险，进一步做好职工分流安置和社会稳定工作。认真组织开展去产能工作“回头看”，查找工作中的薄弱环节，确保落后产能淘汰出清、“僵尸”企业应退尽退。强化事中事后监管，综合运用信息技术、大数据等现代手段，创新监管方式，提升监管效能和水平，为推进去产能工作提供有力支撑，推动钢铁行业转型升级，提升产业发展水平。</w:t>
      </w:r>
    </w:p>
    <w:p w:rsidR="0061654C" w:rsidRPr="00537146" w:rsidRDefault="0061654C" w:rsidP="00537146">
      <w:pPr>
        <w:spacing w:line="550" w:lineRule="exact"/>
        <w:ind w:firstLine="198"/>
        <w:rPr>
          <w:rFonts w:ascii="仿宋_GB2312" w:eastAsia="仿宋_GB2312" w:cs="Times New Roman"/>
          <w:sz w:val="32"/>
          <w:szCs w:val="32"/>
        </w:rPr>
      </w:pPr>
    </w:p>
    <w:p w:rsidR="0061654C" w:rsidRPr="00537146" w:rsidRDefault="0061654C" w:rsidP="00537146">
      <w:pPr>
        <w:spacing w:line="550" w:lineRule="exact"/>
        <w:ind w:firstLine="198"/>
        <w:rPr>
          <w:rFonts w:ascii="仿宋_GB2312" w:eastAsia="仿宋_GB2312" w:cs="Times New Roman"/>
          <w:sz w:val="32"/>
          <w:szCs w:val="32"/>
        </w:rPr>
      </w:pPr>
      <w:r>
        <w:rPr>
          <w:rFonts w:ascii="仿宋_GB2312" w:eastAsia="仿宋_GB2312" w:cs="仿宋_GB2312"/>
          <w:sz w:val="32"/>
          <w:szCs w:val="32"/>
        </w:rPr>
        <w:t xml:space="preserve">                             </w:t>
      </w:r>
      <w:r w:rsidRPr="00537146">
        <w:rPr>
          <w:rFonts w:ascii="仿宋_GB2312" w:eastAsia="仿宋_GB2312" w:cs="仿宋_GB2312" w:hint="eastAsia"/>
          <w:sz w:val="32"/>
          <w:szCs w:val="32"/>
        </w:rPr>
        <w:t>四川省人民政府办公厅</w:t>
      </w:r>
    </w:p>
    <w:p w:rsidR="0061654C" w:rsidRPr="00537146" w:rsidRDefault="0061654C" w:rsidP="00354224">
      <w:pPr>
        <w:spacing w:line="550" w:lineRule="exact"/>
        <w:ind w:rightChars="611" w:right="1283" w:firstLine="198"/>
        <w:jc w:val="right"/>
        <w:rPr>
          <w:rFonts w:ascii="仿宋_GB2312" w:eastAsia="仿宋_GB2312" w:cs="Times New Roman"/>
          <w:sz w:val="32"/>
          <w:szCs w:val="32"/>
        </w:rPr>
      </w:pPr>
      <w:r w:rsidRPr="00537146">
        <w:rPr>
          <w:rFonts w:ascii="仿宋_GB2312" w:eastAsia="仿宋_GB2312" w:cs="仿宋_GB2312"/>
          <w:sz w:val="32"/>
          <w:szCs w:val="32"/>
        </w:rPr>
        <w:t>2017</w:t>
      </w:r>
      <w:r w:rsidRPr="00537146">
        <w:rPr>
          <w:rFonts w:ascii="仿宋_GB2312" w:eastAsia="仿宋_GB2312" w:cs="仿宋_GB2312" w:hint="eastAsia"/>
          <w:sz w:val="32"/>
          <w:szCs w:val="32"/>
        </w:rPr>
        <w:t>年</w:t>
      </w:r>
      <w:r w:rsidRPr="00537146">
        <w:rPr>
          <w:rFonts w:ascii="仿宋_GB2312" w:eastAsia="仿宋_GB2312" w:cs="仿宋_GB2312"/>
          <w:sz w:val="32"/>
          <w:szCs w:val="32"/>
        </w:rPr>
        <w:t>2</w:t>
      </w:r>
      <w:r w:rsidRPr="00537146">
        <w:rPr>
          <w:rFonts w:ascii="仿宋_GB2312" w:eastAsia="仿宋_GB2312" w:cs="仿宋_GB2312" w:hint="eastAsia"/>
          <w:sz w:val="32"/>
          <w:szCs w:val="32"/>
        </w:rPr>
        <w:t>月</w:t>
      </w:r>
      <w:r w:rsidRPr="00537146">
        <w:rPr>
          <w:rFonts w:ascii="仿宋_GB2312" w:eastAsia="仿宋_GB2312" w:cs="仿宋_GB2312"/>
          <w:sz w:val="32"/>
          <w:szCs w:val="32"/>
        </w:rPr>
        <w:t>2</w:t>
      </w:r>
      <w:r w:rsidRPr="00537146">
        <w:rPr>
          <w:rFonts w:ascii="仿宋_GB2312" w:eastAsia="仿宋_GB2312" w:cs="仿宋_GB2312" w:hint="eastAsia"/>
          <w:sz w:val="32"/>
          <w:szCs w:val="32"/>
        </w:rPr>
        <w:t>日</w:t>
      </w:r>
    </w:p>
    <w:p w:rsidR="0061654C" w:rsidRPr="004864E3" w:rsidRDefault="0061654C" w:rsidP="00354224">
      <w:pPr>
        <w:overflowPunct w:val="0"/>
        <w:autoSpaceDE w:val="0"/>
        <w:autoSpaceDN w:val="0"/>
        <w:adjustRightInd w:val="0"/>
        <w:snapToGrid w:val="0"/>
        <w:spacing w:line="440" w:lineRule="exact"/>
        <w:ind w:leftChars="133" w:left="999" w:hangingChars="300" w:hanging="720"/>
        <w:rPr>
          <w:rFonts w:ascii="宋体" w:cs="Times New Roman"/>
          <w:sz w:val="24"/>
          <w:szCs w:val="24"/>
        </w:rPr>
      </w:pPr>
    </w:p>
    <w:sectPr w:rsidR="0061654C" w:rsidRPr="004864E3" w:rsidSect="00537146">
      <w:pgSz w:w="11907" w:h="16840" w:code="9"/>
      <w:pgMar w:top="1588" w:right="1474" w:bottom="1474" w:left="1588" w:header="851" w:footer="124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C4" w:rsidRDefault="004E70C4" w:rsidP="00090C1D">
      <w:pPr>
        <w:rPr>
          <w:rFonts w:cs="Times New Roman"/>
        </w:rPr>
      </w:pPr>
      <w:r>
        <w:rPr>
          <w:rFonts w:cs="Times New Roman"/>
        </w:rPr>
        <w:separator/>
      </w:r>
    </w:p>
  </w:endnote>
  <w:endnote w:type="continuationSeparator" w:id="1">
    <w:p w:rsidR="004E70C4" w:rsidRDefault="004E70C4" w:rsidP="00090C1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4C" w:rsidRPr="004864E3" w:rsidRDefault="0061654C" w:rsidP="00537146">
    <w:pPr>
      <w:pStyle w:val="a4"/>
      <w:framePr w:wrap="auto" w:vAnchor="text" w:hAnchor="margin" w:xAlign="outside" w:y="1"/>
      <w:rPr>
        <w:rStyle w:val="a9"/>
        <w:rFonts w:ascii="宋体" w:cs="Times New Roman"/>
        <w:sz w:val="28"/>
        <w:szCs w:val="28"/>
      </w:rPr>
    </w:pPr>
    <w:r w:rsidRPr="004864E3">
      <w:rPr>
        <w:rStyle w:val="a9"/>
        <w:rFonts w:ascii="宋体" w:hAnsi="宋体" w:cs="宋体"/>
        <w:sz w:val="28"/>
        <w:szCs w:val="28"/>
      </w:rPr>
      <w:t xml:space="preserve">— </w:t>
    </w:r>
    <w:r w:rsidR="00034626" w:rsidRPr="004864E3">
      <w:rPr>
        <w:rStyle w:val="a9"/>
        <w:rFonts w:ascii="宋体" w:hAnsi="宋体" w:cs="宋体"/>
        <w:sz w:val="28"/>
        <w:szCs w:val="28"/>
      </w:rPr>
      <w:fldChar w:fldCharType="begin"/>
    </w:r>
    <w:r w:rsidRPr="004864E3">
      <w:rPr>
        <w:rStyle w:val="a9"/>
        <w:rFonts w:ascii="宋体" w:hAnsi="宋体" w:cs="宋体"/>
        <w:sz w:val="28"/>
        <w:szCs w:val="28"/>
      </w:rPr>
      <w:instrText xml:space="preserve">PAGE  </w:instrText>
    </w:r>
    <w:r w:rsidR="00034626" w:rsidRPr="004864E3">
      <w:rPr>
        <w:rStyle w:val="a9"/>
        <w:rFonts w:ascii="宋体" w:hAnsi="宋体" w:cs="宋体"/>
        <w:sz w:val="28"/>
        <w:szCs w:val="28"/>
      </w:rPr>
      <w:fldChar w:fldCharType="separate"/>
    </w:r>
    <w:r w:rsidR="00354224">
      <w:rPr>
        <w:rStyle w:val="a9"/>
        <w:rFonts w:ascii="宋体" w:hAnsi="宋体" w:cs="宋体"/>
        <w:noProof/>
        <w:sz w:val="28"/>
        <w:szCs w:val="28"/>
      </w:rPr>
      <w:t>2</w:t>
    </w:r>
    <w:r w:rsidR="00034626" w:rsidRPr="004864E3">
      <w:rPr>
        <w:rStyle w:val="a9"/>
        <w:rFonts w:ascii="宋体" w:hAnsi="宋体" w:cs="宋体"/>
        <w:sz w:val="28"/>
        <w:szCs w:val="28"/>
      </w:rPr>
      <w:fldChar w:fldCharType="end"/>
    </w:r>
    <w:r w:rsidRPr="004864E3">
      <w:rPr>
        <w:rStyle w:val="a9"/>
        <w:rFonts w:ascii="宋体" w:hAnsi="宋体" w:cs="宋体"/>
        <w:sz w:val="28"/>
        <w:szCs w:val="28"/>
      </w:rPr>
      <w:t xml:space="preserve"> —</w:t>
    </w:r>
  </w:p>
  <w:p w:rsidR="0061654C" w:rsidRDefault="0061654C" w:rsidP="004864E3">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4C" w:rsidRPr="004864E3" w:rsidRDefault="0061654C" w:rsidP="00537146">
    <w:pPr>
      <w:pStyle w:val="a4"/>
      <w:framePr w:wrap="auto" w:vAnchor="text" w:hAnchor="margin" w:xAlign="outside" w:y="1"/>
      <w:rPr>
        <w:rStyle w:val="a9"/>
        <w:rFonts w:ascii="宋体" w:cs="Times New Roman"/>
        <w:sz w:val="28"/>
        <w:szCs w:val="28"/>
      </w:rPr>
    </w:pPr>
    <w:r w:rsidRPr="004864E3">
      <w:rPr>
        <w:rStyle w:val="a9"/>
        <w:rFonts w:ascii="宋体" w:hAnsi="宋体" w:cs="宋体"/>
        <w:sz w:val="28"/>
        <w:szCs w:val="28"/>
      </w:rPr>
      <w:t xml:space="preserve">— </w:t>
    </w:r>
    <w:r w:rsidR="00034626" w:rsidRPr="004864E3">
      <w:rPr>
        <w:rStyle w:val="a9"/>
        <w:rFonts w:ascii="宋体" w:hAnsi="宋体" w:cs="宋体"/>
        <w:sz w:val="28"/>
        <w:szCs w:val="28"/>
      </w:rPr>
      <w:fldChar w:fldCharType="begin"/>
    </w:r>
    <w:r w:rsidRPr="004864E3">
      <w:rPr>
        <w:rStyle w:val="a9"/>
        <w:rFonts w:ascii="宋体" w:hAnsi="宋体" w:cs="宋体"/>
        <w:sz w:val="28"/>
        <w:szCs w:val="28"/>
      </w:rPr>
      <w:instrText xml:space="preserve">PAGE  </w:instrText>
    </w:r>
    <w:r w:rsidR="00034626" w:rsidRPr="004864E3">
      <w:rPr>
        <w:rStyle w:val="a9"/>
        <w:rFonts w:ascii="宋体" w:hAnsi="宋体" w:cs="宋体"/>
        <w:sz w:val="28"/>
        <w:szCs w:val="28"/>
      </w:rPr>
      <w:fldChar w:fldCharType="separate"/>
    </w:r>
    <w:r w:rsidR="00354224">
      <w:rPr>
        <w:rStyle w:val="a9"/>
        <w:rFonts w:ascii="宋体" w:hAnsi="宋体" w:cs="宋体"/>
        <w:noProof/>
        <w:sz w:val="28"/>
        <w:szCs w:val="28"/>
      </w:rPr>
      <w:t>1</w:t>
    </w:r>
    <w:r w:rsidR="00034626" w:rsidRPr="004864E3">
      <w:rPr>
        <w:rStyle w:val="a9"/>
        <w:rFonts w:ascii="宋体" w:hAnsi="宋体" w:cs="宋体"/>
        <w:sz w:val="28"/>
        <w:szCs w:val="28"/>
      </w:rPr>
      <w:fldChar w:fldCharType="end"/>
    </w:r>
    <w:r w:rsidRPr="004864E3">
      <w:rPr>
        <w:rStyle w:val="a9"/>
        <w:rFonts w:ascii="宋体" w:hAnsi="宋体" w:cs="宋体"/>
        <w:sz w:val="28"/>
        <w:szCs w:val="28"/>
      </w:rPr>
      <w:t xml:space="preserve"> —</w:t>
    </w:r>
  </w:p>
  <w:p w:rsidR="0061654C" w:rsidRDefault="0061654C" w:rsidP="004864E3">
    <w:pPr>
      <w:pStyle w:val="a4"/>
      <w:ind w:right="360" w:firstLine="360"/>
      <w:jc w:val="right"/>
      <w:rPr>
        <w:rFonts w:cs="Times New Roman"/>
      </w:rPr>
    </w:pPr>
  </w:p>
  <w:p w:rsidR="0061654C" w:rsidRDefault="0061654C">
    <w:pP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24" w:rsidRDefault="003542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C4" w:rsidRDefault="004E70C4" w:rsidP="00090C1D">
      <w:pPr>
        <w:rPr>
          <w:rFonts w:cs="Times New Roman"/>
        </w:rPr>
      </w:pPr>
      <w:r>
        <w:rPr>
          <w:rFonts w:cs="Times New Roman"/>
        </w:rPr>
        <w:separator/>
      </w:r>
    </w:p>
  </w:footnote>
  <w:footnote w:type="continuationSeparator" w:id="1">
    <w:p w:rsidR="004E70C4" w:rsidRDefault="004E70C4" w:rsidP="00090C1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24" w:rsidRDefault="003542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24" w:rsidRDefault="0035422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24" w:rsidRDefault="0035422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33E"/>
    <w:rsid w:val="00016E39"/>
    <w:rsid w:val="00017F9C"/>
    <w:rsid w:val="000248CE"/>
    <w:rsid w:val="00027039"/>
    <w:rsid w:val="00034626"/>
    <w:rsid w:val="0004542F"/>
    <w:rsid w:val="00045E95"/>
    <w:rsid w:val="0005482C"/>
    <w:rsid w:val="0005757A"/>
    <w:rsid w:val="0006369A"/>
    <w:rsid w:val="00063B22"/>
    <w:rsid w:val="000751FD"/>
    <w:rsid w:val="00077A80"/>
    <w:rsid w:val="00082418"/>
    <w:rsid w:val="00090C1D"/>
    <w:rsid w:val="000A2437"/>
    <w:rsid w:val="000A4ECE"/>
    <w:rsid w:val="000B3CFC"/>
    <w:rsid w:val="000B5FA3"/>
    <w:rsid w:val="000D0CD1"/>
    <w:rsid w:val="000D787D"/>
    <w:rsid w:val="000E0700"/>
    <w:rsid w:val="000F5C2C"/>
    <w:rsid w:val="00106856"/>
    <w:rsid w:val="0011716D"/>
    <w:rsid w:val="001274C2"/>
    <w:rsid w:val="00145539"/>
    <w:rsid w:val="00146AAF"/>
    <w:rsid w:val="001535BE"/>
    <w:rsid w:val="00160253"/>
    <w:rsid w:val="00165550"/>
    <w:rsid w:val="001767CD"/>
    <w:rsid w:val="00183617"/>
    <w:rsid w:val="001A0FB4"/>
    <w:rsid w:val="001A64B4"/>
    <w:rsid w:val="001A7566"/>
    <w:rsid w:val="001B0A38"/>
    <w:rsid w:val="001B6AE2"/>
    <w:rsid w:val="001F3FDB"/>
    <w:rsid w:val="001F59CC"/>
    <w:rsid w:val="00212FA1"/>
    <w:rsid w:val="002326B7"/>
    <w:rsid w:val="00246652"/>
    <w:rsid w:val="002477B7"/>
    <w:rsid w:val="00254BEF"/>
    <w:rsid w:val="0025571A"/>
    <w:rsid w:val="00260DB9"/>
    <w:rsid w:val="002610A5"/>
    <w:rsid w:val="00273619"/>
    <w:rsid w:val="00277579"/>
    <w:rsid w:val="002A0AFE"/>
    <w:rsid w:val="002B2386"/>
    <w:rsid w:val="002B5686"/>
    <w:rsid w:val="002B6F90"/>
    <w:rsid w:val="002C2661"/>
    <w:rsid w:val="002D119D"/>
    <w:rsid w:val="002D7B63"/>
    <w:rsid w:val="002F20EB"/>
    <w:rsid w:val="002F21D1"/>
    <w:rsid w:val="003059AA"/>
    <w:rsid w:val="00306C87"/>
    <w:rsid w:val="0031088E"/>
    <w:rsid w:val="0033390D"/>
    <w:rsid w:val="00341E88"/>
    <w:rsid w:val="00353F77"/>
    <w:rsid w:val="00354224"/>
    <w:rsid w:val="0035636D"/>
    <w:rsid w:val="003808A8"/>
    <w:rsid w:val="00387D2B"/>
    <w:rsid w:val="003916AC"/>
    <w:rsid w:val="0039370F"/>
    <w:rsid w:val="00395256"/>
    <w:rsid w:val="003A0B4E"/>
    <w:rsid w:val="003B253C"/>
    <w:rsid w:val="003B338E"/>
    <w:rsid w:val="003C0C1B"/>
    <w:rsid w:val="003D46B5"/>
    <w:rsid w:val="003D4F9E"/>
    <w:rsid w:val="003D631A"/>
    <w:rsid w:val="003E5A1D"/>
    <w:rsid w:val="00403E4D"/>
    <w:rsid w:val="00426B92"/>
    <w:rsid w:val="00430595"/>
    <w:rsid w:val="00447A34"/>
    <w:rsid w:val="004640D1"/>
    <w:rsid w:val="004726C2"/>
    <w:rsid w:val="0048264F"/>
    <w:rsid w:val="004864E3"/>
    <w:rsid w:val="004A4CF7"/>
    <w:rsid w:val="004B16D0"/>
    <w:rsid w:val="004C04A7"/>
    <w:rsid w:val="004E09FF"/>
    <w:rsid w:val="004E2E95"/>
    <w:rsid w:val="004E70C4"/>
    <w:rsid w:val="004F3CAE"/>
    <w:rsid w:val="004F7EF5"/>
    <w:rsid w:val="0050035D"/>
    <w:rsid w:val="00515D5E"/>
    <w:rsid w:val="00517E1E"/>
    <w:rsid w:val="00523BC6"/>
    <w:rsid w:val="00537146"/>
    <w:rsid w:val="00544357"/>
    <w:rsid w:val="00546482"/>
    <w:rsid w:val="0056065B"/>
    <w:rsid w:val="00564828"/>
    <w:rsid w:val="00565871"/>
    <w:rsid w:val="005A7133"/>
    <w:rsid w:val="005C0208"/>
    <w:rsid w:val="005D1365"/>
    <w:rsid w:val="005D6F83"/>
    <w:rsid w:val="005E2719"/>
    <w:rsid w:val="005F0410"/>
    <w:rsid w:val="00613631"/>
    <w:rsid w:val="00613A0E"/>
    <w:rsid w:val="006155DF"/>
    <w:rsid w:val="0061654C"/>
    <w:rsid w:val="00616E5B"/>
    <w:rsid w:val="00624C8E"/>
    <w:rsid w:val="0062586F"/>
    <w:rsid w:val="006339F0"/>
    <w:rsid w:val="006413B6"/>
    <w:rsid w:val="00661168"/>
    <w:rsid w:val="00661B7F"/>
    <w:rsid w:val="006654FA"/>
    <w:rsid w:val="0067444A"/>
    <w:rsid w:val="00682F4A"/>
    <w:rsid w:val="00685291"/>
    <w:rsid w:val="00686892"/>
    <w:rsid w:val="006958EE"/>
    <w:rsid w:val="006A09A1"/>
    <w:rsid w:val="006A454A"/>
    <w:rsid w:val="006B7334"/>
    <w:rsid w:val="006C52B8"/>
    <w:rsid w:val="006D1B0D"/>
    <w:rsid w:val="006E23D1"/>
    <w:rsid w:val="00705603"/>
    <w:rsid w:val="00705DD8"/>
    <w:rsid w:val="00705EC5"/>
    <w:rsid w:val="00705FA9"/>
    <w:rsid w:val="00735A60"/>
    <w:rsid w:val="0077748B"/>
    <w:rsid w:val="00783CE7"/>
    <w:rsid w:val="007918A5"/>
    <w:rsid w:val="007B695B"/>
    <w:rsid w:val="007C23EE"/>
    <w:rsid w:val="007D13EC"/>
    <w:rsid w:val="007D30D1"/>
    <w:rsid w:val="007D32DD"/>
    <w:rsid w:val="007F0582"/>
    <w:rsid w:val="00800281"/>
    <w:rsid w:val="0080199D"/>
    <w:rsid w:val="00813CBD"/>
    <w:rsid w:val="00820562"/>
    <w:rsid w:val="00821DD5"/>
    <w:rsid w:val="00832B53"/>
    <w:rsid w:val="00834452"/>
    <w:rsid w:val="008468D1"/>
    <w:rsid w:val="008530B8"/>
    <w:rsid w:val="008539FC"/>
    <w:rsid w:val="00857403"/>
    <w:rsid w:val="008641FB"/>
    <w:rsid w:val="00864F67"/>
    <w:rsid w:val="00891B8C"/>
    <w:rsid w:val="008A3F94"/>
    <w:rsid w:val="008B0A8D"/>
    <w:rsid w:val="008C525F"/>
    <w:rsid w:val="008C5AEC"/>
    <w:rsid w:val="008D5069"/>
    <w:rsid w:val="008F0FBF"/>
    <w:rsid w:val="0090316D"/>
    <w:rsid w:val="00904F8D"/>
    <w:rsid w:val="009144F2"/>
    <w:rsid w:val="00921291"/>
    <w:rsid w:val="0092536F"/>
    <w:rsid w:val="00925AC2"/>
    <w:rsid w:val="0093162D"/>
    <w:rsid w:val="0093354F"/>
    <w:rsid w:val="00936BB9"/>
    <w:rsid w:val="009373DD"/>
    <w:rsid w:val="00942ADF"/>
    <w:rsid w:val="00967CD2"/>
    <w:rsid w:val="00973FD6"/>
    <w:rsid w:val="009908A6"/>
    <w:rsid w:val="009A02BA"/>
    <w:rsid w:val="009A63DA"/>
    <w:rsid w:val="009B0A70"/>
    <w:rsid w:val="009B6609"/>
    <w:rsid w:val="009E0A4F"/>
    <w:rsid w:val="009E21B1"/>
    <w:rsid w:val="009F09D5"/>
    <w:rsid w:val="00A045AA"/>
    <w:rsid w:val="00A055DB"/>
    <w:rsid w:val="00A23728"/>
    <w:rsid w:val="00A24F30"/>
    <w:rsid w:val="00A2567E"/>
    <w:rsid w:val="00A452C8"/>
    <w:rsid w:val="00A45375"/>
    <w:rsid w:val="00A45C9D"/>
    <w:rsid w:val="00A46D19"/>
    <w:rsid w:val="00A508A6"/>
    <w:rsid w:val="00A5434E"/>
    <w:rsid w:val="00A858BF"/>
    <w:rsid w:val="00A864D2"/>
    <w:rsid w:val="00AF2348"/>
    <w:rsid w:val="00AF46DD"/>
    <w:rsid w:val="00AF4FBB"/>
    <w:rsid w:val="00AF50B8"/>
    <w:rsid w:val="00B04C14"/>
    <w:rsid w:val="00B05748"/>
    <w:rsid w:val="00B0763B"/>
    <w:rsid w:val="00B13B0C"/>
    <w:rsid w:val="00B15FBF"/>
    <w:rsid w:val="00B22DE1"/>
    <w:rsid w:val="00B2352F"/>
    <w:rsid w:val="00B25DD7"/>
    <w:rsid w:val="00B3073F"/>
    <w:rsid w:val="00B3344F"/>
    <w:rsid w:val="00B51548"/>
    <w:rsid w:val="00B62570"/>
    <w:rsid w:val="00B64E5A"/>
    <w:rsid w:val="00B70C00"/>
    <w:rsid w:val="00B72553"/>
    <w:rsid w:val="00B73C21"/>
    <w:rsid w:val="00B77C78"/>
    <w:rsid w:val="00B865F3"/>
    <w:rsid w:val="00B94284"/>
    <w:rsid w:val="00B966B8"/>
    <w:rsid w:val="00BB10D8"/>
    <w:rsid w:val="00BB187A"/>
    <w:rsid w:val="00BB244E"/>
    <w:rsid w:val="00BB6EC6"/>
    <w:rsid w:val="00BC4C3E"/>
    <w:rsid w:val="00BD01A0"/>
    <w:rsid w:val="00BD673E"/>
    <w:rsid w:val="00BE4C64"/>
    <w:rsid w:val="00BF0F89"/>
    <w:rsid w:val="00BF581A"/>
    <w:rsid w:val="00C03008"/>
    <w:rsid w:val="00C1340F"/>
    <w:rsid w:val="00C14F45"/>
    <w:rsid w:val="00C17DD7"/>
    <w:rsid w:val="00C2586A"/>
    <w:rsid w:val="00C30191"/>
    <w:rsid w:val="00C33DD9"/>
    <w:rsid w:val="00C371E1"/>
    <w:rsid w:val="00C37511"/>
    <w:rsid w:val="00C50637"/>
    <w:rsid w:val="00C57C97"/>
    <w:rsid w:val="00C87B05"/>
    <w:rsid w:val="00CA1198"/>
    <w:rsid w:val="00CA1D7F"/>
    <w:rsid w:val="00CB3A26"/>
    <w:rsid w:val="00CB3E36"/>
    <w:rsid w:val="00CB661D"/>
    <w:rsid w:val="00CC73B1"/>
    <w:rsid w:val="00CD2A98"/>
    <w:rsid w:val="00CD57BF"/>
    <w:rsid w:val="00CE0E27"/>
    <w:rsid w:val="00CE17B0"/>
    <w:rsid w:val="00CE47B1"/>
    <w:rsid w:val="00CF7C6A"/>
    <w:rsid w:val="00D03923"/>
    <w:rsid w:val="00D100A6"/>
    <w:rsid w:val="00D12A37"/>
    <w:rsid w:val="00D17E7E"/>
    <w:rsid w:val="00D5462F"/>
    <w:rsid w:val="00D601BE"/>
    <w:rsid w:val="00D725C0"/>
    <w:rsid w:val="00D75497"/>
    <w:rsid w:val="00D85B25"/>
    <w:rsid w:val="00D876CC"/>
    <w:rsid w:val="00D9133E"/>
    <w:rsid w:val="00D913F0"/>
    <w:rsid w:val="00D92F72"/>
    <w:rsid w:val="00D97220"/>
    <w:rsid w:val="00DA06B9"/>
    <w:rsid w:val="00DB2108"/>
    <w:rsid w:val="00DC29EA"/>
    <w:rsid w:val="00DC3D54"/>
    <w:rsid w:val="00DC47F2"/>
    <w:rsid w:val="00DC4F39"/>
    <w:rsid w:val="00DD198B"/>
    <w:rsid w:val="00DD4163"/>
    <w:rsid w:val="00DE1FF4"/>
    <w:rsid w:val="00DF09BC"/>
    <w:rsid w:val="00DF788D"/>
    <w:rsid w:val="00E3190F"/>
    <w:rsid w:val="00E34414"/>
    <w:rsid w:val="00E44A73"/>
    <w:rsid w:val="00E51E1F"/>
    <w:rsid w:val="00E5622B"/>
    <w:rsid w:val="00E604A9"/>
    <w:rsid w:val="00E66170"/>
    <w:rsid w:val="00E706AC"/>
    <w:rsid w:val="00E76B9C"/>
    <w:rsid w:val="00EA2026"/>
    <w:rsid w:val="00EA29C6"/>
    <w:rsid w:val="00EA7FA4"/>
    <w:rsid w:val="00EB1998"/>
    <w:rsid w:val="00EC73B5"/>
    <w:rsid w:val="00ED3D4C"/>
    <w:rsid w:val="00EE6BF3"/>
    <w:rsid w:val="00EF2E66"/>
    <w:rsid w:val="00EF761C"/>
    <w:rsid w:val="00F14791"/>
    <w:rsid w:val="00F26787"/>
    <w:rsid w:val="00F32B9C"/>
    <w:rsid w:val="00F3316C"/>
    <w:rsid w:val="00F379DC"/>
    <w:rsid w:val="00F40AF8"/>
    <w:rsid w:val="00F52E48"/>
    <w:rsid w:val="00F554E4"/>
    <w:rsid w:val="00F70CBF"/>
    <w:rsid w:val="00F74413"/>
    <w:rsid w:val="00F84A37"/>
    <w:rsid w:val="00FA2107"/>
    <w:rsid w:val="00FB2B24"/>
    <w:rsid w:val="00FC657C"/>
    <w:rsid w:val="00FC7709"/>
    <w:rsid w:val="00FD53EF"/>
    <w:rsid w:val="00FE44C5"/>
    <w:rsid w:val="00FE642E"/>
    <w:rsid w:val="00FF11D9"/>
    <w:rsid w:val="00FF5CE5"/>
    <w:rsid w:val="03C40A8D"/>
    <w:rsid w:val="08CD329A"/>
    <w:rsid w:val="0AC14D28"/>
    <w:rsid w:val="139F059E"/>
    <w:rsid w:val="18F64825"/>
    <w:rsid w:val="1B82755E"/>
    <w:rsid w:val="2D4E6A7B"/>
    <w:rsid w:val="413F0AB8"/>
    <w:rsid w:val="487500EE"/>
    <w:rsid w:val="49AD0D88"/>
    <w:rsid w:val="60767FFB"/>
    <w:rsid w:val="68E57564"/>
    <w:rsid w:val="6FBE6947"/>
    <w:rsid w:val="75FB36CE"/>
    <w:rsid w:val="7ABE1F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1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90C1D"/>
    <w:rPr>
      <w:sz w:val="18"/>
      <w:szCs w:val="18"/>
    </w:rPr>
  </w:style>
  <w:style w:type="character" w:customStyle="1" w:styleId="Char">
    <w:name w:val="批注框文本 Char"/>
    <w:basedOn w:val="a0"/>
    <w:link w:val="a3"/>
    <w:uiPriority w:val="99"/>
    <w:semiHidden/>
    <w:locked/>
    <w:rsid w:val="00090C1D"/>
    <w:rPr>
      <w:sz w:val="18"/>
      <w:szCs w:val="18"/>
    </w:rPr>
  </w:style>
  <w:style w:type="paragraph" w:styleId="a4">
    <w:name w:val="footer"/>
    <w:basedOn w:val="a"/>
    <w:link w:val="Char0"/>
    <w:uiPriority w:val="99"/>
    <w:rsid w:val="00090C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90C1D"/>
    <w:rPr>
      <w:sz w:val="18"/>
      <w:szCs w:val="18"/>
    </w:rPr>
  </w:style>
  <w:style w:type="paragraph" w:styleId="a5">
    <w:name w:val="header"/>
    <w:basedOn w:val="a"/>
    <w:link w:val="Char1"/>
    <w:uiPriority w:val="99"/>
    <w:rsid w:val="00090C1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090C1D"/>
    <w:rPr>
      <w:sz w:val="18"/>
      <w:szCs w:val="18"/>
    </w:rPr>
  </w:style>
  <w:style w:type="character" w:styleId="a6">
    <w:name w:val="Hyperlink"/>
    <w:basedOn w:val="a0"/>
    <w:uiPriority w:val="99"/>
    <w:rsid w:val="00090C1D"/>
    <w:rPr>
      <w:color w:val="0000FF"/>
      <w:u w:val="single"/>
    </w:rPr>
  </w:style>
  <w:style w:type="table" w:styleId="a7">
    <w:name w:val="Table Grid"/>
    <w:basedOn w:val="a1"/>
    <w:uiPriority w:val="99"/>
    <w:rsid w:val="00090C1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090C1D"/>
    <w:pPr>
      <w:ind w:firstLineChars="200" w:firstLine="420"/>
    </w:pPr>
  </w:style>
  <w:style w:type="paragraph" w:styleId="a8">
    <w:name w:val="List Paragraph"/>
    <w:basedOn w:val="a"/>
    <w:uiPriority w:val="99"/>
    <w:qFormat/>
    <w:rsid w:val="002326B7"/>
    <w:pPr>
      <w:ind w:firstLine="420"/>
    </w:pPr>
  </w:style>
  <w:style w:type="character" w:styleId="a9">
    <w:name w:val="page number"/>
    <w:basedOn w:val="a0"/>
    <w:uiPriority w:val="99"/>
    <w:rsid w:val="004864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333</Words>
  <Characters>1902</Characters>
  <Application>Microsoft Office Word</Application>
  <DocSecurity>0</DocSecurity>
  <Lines>15</Lines>
  <Paragraphs>4</Paragraphs>
  <ScaleCrop>false</ScaleCrop>
  <Company>XiTongTianDi.Com</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广府办函〔2017〕22号</dc:title>
  <dc:subject/>
  <dc:creator>XiTongTianDi</dc:creator>
  <cp:keywords/>
  <dc:description/>
  <cp:lastModifiedBy>综合科:王晓英</cp:lastModifiedBy>
  <cp:revision>6</cp:revision>
  <cp:lastPrinted>2017-02-09T09:21:00Z</cp:lastPrinted>
  <dcterms:created xsi:type="dcterms:W3CDTF">2017-02-09T08:45:00Z</dcterms:created>
  <dcterms:modified xsi:type="dcterms:W3CDTF">2017-02-10T02:54:00Z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