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596" w:rsidRPr="002772ED" w:rsidRDefault="00617596" w:rsidP="007B426A">
      <w:pPr>
        <w:spacing w:line="600" w:lineRule="exact"/>
        <w:ind w:right="-34"/>
        <w:jc w:val="center"/>
        <w:rPr>
          <w:rFonts w:ascii="方正小标宋简体" w:eastAsia="方正小标宋简体" w:hAnsi="仿宋" w:cs="Times New Roman"/>
          <w:sz w:val="44"/>
          <w:szCs w:val="44"/>
        </w:rPr>
      </w:pPr>
      <w:r w:rsidRPr="002772ED">
        <w:rPr>
          <w:rFonts w:ascii="方正小标宋简体" w:eastAsia="方正小标宋简体" w:hAnsi="仿宋" w:cs="方正小标宋简体" w:hint="eastAsia"/>
          <w:sz w:val="44"/>
          <w:szCs w:val="44"/>
        </w:rPr>
        <w:t>广元市支持新能源汽车产业发展八条措施</w:t>
      </w:r>
    </w:p>
    <w:p w:rsidR="00617596" w:rsidRPr="002772ED" w:rsidRDefault="00617596" w:rsidP="007B426A">
      <w:pPr>
        <w:spacing w:line="600" w:lineRule="exact"/>
        <w:ind w:right="640"/>
        <w:rPr>
          <w:rFonts w:ascii="仿宋_GB2312" w:eastAsia="仿宋_GB2312" w:hAnsi="仿宋" w:cs="Times New Roman"/>
          <w:sz w:val="32"/>
          <w:szCs w:val="32"/>
        </w:rPr>
      </w:pPr>
    </w:p>
    <w:p w:rsidR="00617596" w:rsidRPr="002772ED" w:rsidRDefault="00617596" w:rsidP="004142B8">
      <w:pPr>
        <w:spacing w:line="600" w:lineRule="exact"/>
        <w:ind w:firstLineChars="200" w:firstLine="640"/>
        <w:rPr>
          <w:rFonts w:ascii="仿宋_GB2312" w:eastAsia="仿宋_GB2312" w:hAnsi="仿宋" w:cs="Times New Roman"/>
          <w:sz w:val="32"/>
          <w:szCs w:val="32"/>
        </w:rPr>
      </w:pPr>
      <w:r w:rsidRPr="002772ED">
        <w:rPr>
          <w:rFonts w:ascii="仿宋_GB2312" w:eastAsia="仿宋_GB2312" w:cs="仿宋_GB2312" w:hint="eastAsia"/>
          <w:sz w:val="32"/>
          <w:szCs w:val="32"/>
        </w:rPr>
        <w:t>为加快推动我市新能源汽车产业发展，壮大汽车产业规模，形成较为完整的新能源汽车产业链条，促进我市产业转型升级发展。特制订本措施。</w:t>
      </w:r>
    </w:p>
    <w:p w:rsidR="00617596" w:rsidRPr="002772ED" w:rsidRDefault="00617596" w:rsidP="004142B8">
      <w:pPr>
        <w:spacing w:line="600" w:lineRule="exact"/>
        <w:ind w:firstLineChars="200" w:firstLine="640"/>
        <w:rPr>
          <w:rFonts w:ascii="黑体" w:eastAsia="黑体" w:hAnsi="黑体" w:cs="Times New Roman"/>
          <w:sz w:val="32"/>
          <w:szCs w:val="32"/>
        </w:rPr>
      </w:pPr>
      <w:r w:rsidRPr="002772ED">
        <w:rPr>
          <w:rFonts w:ascii="黑体" w:eastAsia="黑体" w:hAnsi="黑体" w:cs="黑体" w:hint="eastAsia"/>
          <w:sz w:val="32"/>
          <w:szCs w:val="32"/>
        </w:rPr>
        <w:t>一、支持新能源汽车推广使用</w:t>
      </w:r>
    </w:p>
    <w:p w:rsidR="00617596" w:rsidRPr="002772ED" w:rsidRDefault="00617596" w:rsidP="004142B8">
      <w:pPr>
        <w:spacing w:line="600" w:lineRule="exact"/>
        <w:ind w:firstLineChars="200" w:firstLine="640"/>
        <w:rPr>
          <w:rFonts w:ascii="仿宋_GB2312" w:eastAsia="仿宋_GB2312" w:hAnsi="仿宋" w:cs="Times New Roman"/>
          <w:sz w:val="32"/>
          <w:szCs w:val="32"/>
        </w:rPr>
      </w:pPr>
      <w:r w:rsidRPr="002772ED">
        <w:rPr>
          <w:rFonts w:ascii="楷体_GB2312" w:eastAsia="楷体_GB2312" w:hAnsi="仿宋" w:cs="楷体_GB2312" w:hint="eastAsia"/>
          <w:sz w:val="32"/>
          <w:szCs w:val="32"/>
        </w:rPr>
        <w:t>（一）加快纯电动公交示范线建设。</w:t>
      </w:r>
      <w:r w:rsidRPr="002772ED">
        <w:rPr>
          <w:rFonts w:ascii="仿宋_GB2312" w:eastAsia="仿宋_GB2312" w:hAnsi="仿宋" w:cs="仿宋_GB2312" w:hint="eastAsia"/>
          <w:sz w:val="32"/>
          <w:szCs w:val="32"/>
        </w:rPr>
        <w:t>以打造全省纯电动快充公交车示范线为契机，加快推进市中心城区</w:t>
      </w:r>
      <w:r w:rsidRPr="002772ED">
        <w:rPr>
          <w:rFonts w:ascii="仿宋_GB2312" w:eastAsia="仿宋_GB2312" w:hAnsi="仿宋" w:cs="仿宋_GB2312"/>
          <w:sz w:val="32"/>
          <w:szCs w:val="32"/>
        </w:rPr>
        <w:t>9</w:t>
      </w:r>
      <w:r w:rsidRPr="002772ED">
        <w:rPr>
          <w:rFonts w:ascii="仿宋_GB2312" w:eastAsia="仿宋_GB2312" w:hAnsi="仿宋" w:cs="仿宋_GB2312" w:hint="eastAsia"/>
          <w:sz w:val="32"/>
          <w:szCs w:val="32"/>
        </w:rPr>
        <w:t>号公交线路、</w:t>
      </w:r>
      <w:r w:rsidRPr="002772ED">
        <w:rPr>
          <w:rFonts w:ascii="仿宋_GB2312" w:eastAsia="仿宋_GB2312" w:cs="仿宋_GB2312" w:hint="eastAsia"/>
          <w:sz w:val="32"/>
          <w:szCs w:val="32"/>
        </w:rPr>
        <w:t>西成客专剑门关站</w:t>
      </w:r>
      <w:r w:rsidRPr="002772ED">
        <w:rPr>
          <w:rFonts w:ascii="仿宋_GB2312" w:eastAsia="仿宋_GB2312" w:hAnsi="黑体" w:cs="仿宋_GB2312"/>
          <w:sz w:val="32"/>
          <w:szCs w:val="32"/>
        </w:rPr>
        <w:t>—</w:t>
      </w:r>
      <w:r w:rsidRPr="002772ED">
        <w:rPr>
          <w:rFonts w:ascii="仿宋_GB2312" w:eastAsia="仿宋_GB2312" w:cs="仿宋_GB2312" w:hint="eastAsia"/>
          <w:sz w:val="32"/>
          <w:szCs w:val="32"/>
        </w:rPr>
        <w:t>剑门关景区（南门）、西成客专剑门关站</w:t>
      </w:r>
      <w:r w:rsidRPr="002772ED">
        <w:rPr>
          <w:rFonts w:ascii="仿宋_GB2312" w:eastAsia="仿宋_GB2312" w:hAnsi="黑体" w:cs="仿宋_GB2312"/>
          <w:sz w:val="32"/>
          <w:szCs w:val="32"/>
        </w:rPr>
        <w:t>—</w:t>
      </w:r>
      <w:r w:rsidRPr="002772ED">
        <w:rPr>
          <w:rFonts w:ascii="仿宋_GB2312" w:eastAsia="仿宋_GB2312" w:cs="仿宋_GB2312" w:hint="eastAsia"/>
          <w:sz w:val="32"/>
          <w:szCs w:val="32"/>
        </w:rPr>
        <w:t>剑阁县普安镇客运站</w:t>
      </w:r>
      <w:r w:rsidRPr="002772ED">
        <w:rPr>
          <w:rFonts w:ascii="仿宋_GB2312" w:eastAsia="仿宋_GB2312" w:hAnsi="仿宋" w:cs="仿宋_GB2312"/>
          <w:sz w:val="32"/>
          <w:szCs w:val="32"/>
        </w:rPr>
        <w:t>3</w:t>
      </w:r>
      <w:r w:rsidRPr="002772ED">
        <w:rPr>
          <w:rFonts w:ascii="仿宋_GB2312" w:eastAsia="仿宋_GB2312" w:hAnsi="仿宋" w:cs="仿宋_GB2312" w:hint="eastAsia"/>
          <w:sz w:val="32"/>
          <w:szCs w:val="32"/>
        </w:rPr>
        <w:t>条纯电动快充公交示范线建设，确保</w:t>
      </w:r>
      <w:r w:rsidRPr="002772ED">
        <w:rPr>
          <w:rFonts w:ascii="仿宋_GB2312" w:eastAsia="仿宋_GB2312" w:hAnsi="仿宋" w:cs="仿宋_GB2312"/>
          <w:sz w:val="32"/>
          <w:szCs w:val="32"/>
        </w:rPr>
        <w:t>2017</w:t>
      </w:r>
      <w:r w:rsidRPr="002772ED">
        <w:rPr>
          <w:rFonts w:ascii="仿宋_GB2312" w:eastAsia="仿宋_GB2312" w:hAnsi="仿宋" w:cs="仿宋_GB2312" w:hint="eastAsia"/>
          <w:sz w:val="32"/>
          <w:szCs w:val="32"/>
        </w:rPr>
        <w:t>年</w:t>
      </w:r>
      <w:r w:rsidRPr="002772ED">
        <w:rPr>
          <w:rFonts w:ascii="仿宋_GB2312" w:eastAsia="仿宋_GB2312" w:hAnsi="仿宋" w:cs="仿宋_GB2312"/>
          <w:sz w:val="32"/>
          <w:szCs w:val="32"/>
        </w:rPr>
        <w:t>8</w:t>
      </w:r>
      <w:r w:rsidRPr="002772ED">
        <w:rPr>
          <w:rFonts w:ascii="仿宋_GB2312" w:eastAsia="仿宋_GB2312" w:hAnsi="仿宋" w:cs="仿宋_GB2312" w:hint="eastAsia"/>
          <w:sz w:val="32"/>
          <w:szCs w:val="32"/>
        </w:rPr>
        <w:t>月正式投入运营。逐步增加新能源纯电动公交线数量，</w:t>
      </w:r>
      <w:r w:rsidRPr="002772ED">
        <w:rPr>
          <w:rFonts w:ascii="仿宋_GB2312" w:eastAsia="仿宋_GB2312" w:cs="仿宋_GB2312" w:hint="eastAsia"/>
          <w:sz w:val="32"/>
          <w:szCs w:val="32"/>
        </w:rPr>
        <w:t>在安全、稳定运行前提下</w:t>
      </w:r>
      <w:r w:rsidRPr="002772ED">
        <w:rPr>
          <w:rFonts w:ascii="仿宋_GB2312" w:eastAsia="仿宋_GB2312" w:hAnsi="仿宋" w:cs="仿宋_GB2312" w:hint="eastAsia"/>
          <w:sz w:val="32"/>
          <w:szCs w:val="32"/>
        </w:rPr>
        <w:t>，市中心城区未来</w:t>
      </w:r>
      <w:r w:rsidRPr="002772ED">
        <w:rPr>
          <w:rFonts w:ascii="仿宋_GB2312" w:eastAsia="仿宋_GB2312" w:hAnsi="仿宋" w:cs="仿宋_GB2312"/>
          <w:sz w:val="32"/>
          <w:szCs w:val="32"/>
        </w:rPr>
        <w:t>3</w:t>
      </w:r>
      <w:r w:rsidRPr="002772ED">
        <w:rPr>
          <w:rFonts w:ascii="仿宋_GB2312" w:eastAsia="仿宋_GB2312" w:hAnsi="仿宋" w:cs="仿宋_GB2312" w:hint="eastAsia"/>
          <w:sz w:val="32"/>
          <w:szCs w:val="32"/>
        </w:rPr>
        <w:t>年内每年新增</w:t>
      </w:r>
      <w:r w:rsidRPr="002772ED">
        <w:rPr>
          <w:rFonts w:ascii="仿宋_GB2312" w:eastAsia="仿宋_GB2312" w:hAnsi="仿宋" w:cs="仿宋_GB2312"/>
          <w:sz w:val="32"/>
          <w:szCs w:val="32"/>
        </w:rPr>
        <w:t>1</w:t>
      </w:r>
      <w:r w:rsidRPr="002772ED">
        <w:rPr>
          <w:rFonts w:ascii="仿宋_GB2312" w:eastAsia="仿宋_GB2312" w:hAnsi="仿宋" w:cs="仿宋_GB2312" w:hint="eastAsia"/>
          <w:sz w:val="32"/>
          <w:szCs w:val="32"/>
        </w:rPr>
        <w:t>条纯电动公交线，各县区</w:t>
      </w:r>
      <w:r w:rsidRPr="002772ED">
        <w:rPr>
          <w:rFonts w:ascii="仿宋_GB2312" w:eastAsia="仿宋_GB2312" w:hAnsi="仿宋" w:cs="仿宋_GB2312"/>
          <w:sz w:val="32"/>
          <w:szCs w:val="32"/>
        </w:rPr>
        <w:t>3</w:t>
      </w:r>
      <w:r w:rsidRPr="002772ED">
        <w:rPr>
          <w:rFonts w:ascii="仿宋_GB2312" w:eastAsia="仿宋_GB2312" w:hAnsi="仿宋" w:cs="仿宋_GB2312" w:hint="eastAsia"/>
          <w:sz w:val="32"/>
          <w:szCs w:val="32"/>
        </w:rPr>
        <w:t>年内至少新增</w:t>
      </w:r>
      <w:r w:rsidRPr="002772ED">
        <w:rPr>
          <w:rFonts w:ascii="仿宋_GB2312" w:eastAsia="仿宋_GB2312" w:hAnsi="仿宋" w:cs="仿宋_GB2312"/>
          <w:sz w:val="32"/>
          <w:szCs w:val="32"/>
        </w:rPr>
        <w:t>1</w:t>
      </w:r>
      <w:r w:rsidRPr="002772ED">
        <w:rPr>
          <w:rFonts w:ascii="仿宋_GB2312" w:eastAsia="仿宋_GB2312" w:hAnsi="仿宋" w:cs="仿宋_GB2312" w:hint="eastAsia"/>
          <w:sz w:val="32"/>
          <w:szCs w:val="32"/>
        </w:rPr>
        <w:t>条纯电动公交线，并全部使用纯电动公交车。（责任单位：各县区人民政府，市国资委）</w:t>
      </w:r>
    </w:p>
    <w:p w:rsidR="00617596" w:rsidRPr="002772ED" w:rsidRDefault="00617596" w:rsidP="004142B8">
      <w:pPr>
        <w:spacing w:line="600" w:lineRule="exact"/>
        <w:ind w:firstLineChars="200" w:firstLine="640"/>
        <w:rPr>
          <w:rFonts w:ascii="仿宋_GB2312" w:eastAsia="仿宋_GB2312" w:hAnsi="仿宋" w:cs="Times New Roman"/>
          <w:sz w:val="32"/>
          <w:szCs w:val="32"/>
        </w:rPr>
      </w:pPr>
      <w:r w:rsidRPr="002772ED">
        <w:rPr>
          <w:rFonts w:ascii="楷体_GB2312" w:eastAsia="楷体_GB2312" w:hAnsi="仿宋" w:cs="楷体_GB2312" w:hint="eastAsia"/>
          <w:sz w:val="32"/>
          <w:szCs w:val="32"/>
        </w:rPr>
        <w:t>（二）大力推广使用新能源汽车。</w:t>
      </w:r>
      <w:r w:rsidRPr="002772ED">
        <w:rPr>
          <w:rFonts w:ascii="仿宋_GB2312" w:eastAsia="仿宋_GB2312" w:hAnsi="仿宋" w:cs="仿宋_GB2312" w:hint="eastAsia"/>
          <w:sz w:val="32"/>
          <w:szCs w:val="32"/>
        </w:rPr>
        <w:t>为提升国家低碳城市试点市环境质量，结合</w:t>
      </w:r>
      <w:r w:rsidRPr="002772ED">
        <w:rPr>
          <w:rFonts w:ascii="仿宋_GB2312" w:eastAsia="仿宋_GB2312" w:hAnsi="仿宋" w:cs="仿宋_GB2312"/>
          <w:sz w:val="32"/>
          <w:szCs w:val="32"/>
        </w:rPr>
        <w:t>2020</w:t>
      </w:r>
      <w:r w:rsidRPr="002772ED">
        <w:rPr>
          <w:rFonts w:ascii="仿宋_GB2312" w:eastAsia="仿宋_GB2312" w:hAnsi="仿宋" w:cs="仿宋_GB2312" w:hint="eastAsia"/>
          <w:sz w:val="32"/>
          <w:szCs w:val="32"/>
        </w:rPr>
        <w:t>年建成中国生态</w:t>
      </w:r>
      <w:r w:rsidRPr="002772ED">
        <w:rPr>
          <w:rFonts w:ascii="仿宋_GB2312" w:eastAsia="仿宋_GB2312" w:hAnsi="仿宋_GB2312" w:cs="仿宋_GB2312" w:hint="eastAsia"/>
          <w:sz w:val="32"/>
          <w:szCs w:val="32"/>
        </w:rPr>
        <w:t>康养旅游名市目标，加快新能源汽车在公共服务领域的推广应用。</w:t>
      </w:r>
      <w:r w:rsidRPr="002772ED">
        <w:rPr>
          <w:rFonts w:ascii="仿宋_GB2312" w:eastAsia="仿宋_GB2312" w:hAnsi="仿宋" w:cs="仿宋_GB2312" w:hint="eastAsia"/>
          <w:sz w:val="32"/>
          <w:szCs w:val="32"/>
        </w:rPr>
        <w:t>市城区新增、更新公交车原则上全部使用纯电动汽车，</w:t>
      </w:r>
      <w:r w:rsidRPr="002772ED">
        <w:rPr>
          <w:rFonts w:ascii="仿宋_GB2312" w:eastAsia="仿宋_GB2312" w:cs="仿宋_GB2312" w:hint="eastAsia"/>
          <w:sz w:val="32"/>
          <w:szCs w:val="32"/>
        </w:rPr>
        <w:t>原</w:t>
      </w:r>
      <w:r w:rsidRPr="002772ED">
        <w:rPr>
          <w:rFonts w:ascii="仿宋_GB2312" w:eastAsia="仿宋_GB2312" w:cs="仿宋_GB2312"/>
          <w:sz w:val="32"/>
          <w:szCs w:val="32"/>
        </w:rPr>
        <w:t>CNG</w:t>
      </w:r>
      <w:r w:rsidRPr="002772ED">
        <w:rPr>
          <w:rFonts w:ascii="仿宋_GB2312" w:eastAsia="仿宋_GB2312" w:cs="仿宋_GB2312" w:hint="eastAsia"/>
          <w:sz w:val="32"/>
          <w:szCs w:val="32"/>
        </w:rPr>
        <w:t>清洁能源车辆逐步淘汰；</w:t>
      </w:r>
      <w:r w:rsidRPr="002772ED">
        <w:rPr>
          <w:rFonts w:ascii="仿宋_GB2312" w:eastAsia="仿宋_GB2312" w:hAnsi="仿宋" w:cs="仿宋_GB2312" w:hint="eastAsia"/>
          <w:sz w:val="32"/>
          <w:szCs w:val="32"/>
        </w:rPr>
        <w:t>全市</w:t>
      </w:r>
      <w:r w:rsidRPr="002772ED">
        <w:rPr>
          <w:rFonts w:ascii="仿宋_GB2312" w:eastAsia="仿宋_GB2312" w:hAnsi="仿宋" w:cs="仿宋_GB2312"/>
          <w:sz w:val="32"/>
          <w:szCs w:val="32"/>
        </w:rPr>
        <w:t>4A</w:t>
      </w:r>
      <w:r w:rsidRPr="002772ED">
        <w:rPr>
          <w:rFonts w:ascii="仿宋_GB2312" w:eastAsia="仿宋_GB2312" w:hAnsi="仿宋" w:cs="仿宋_GB2312" w:hint="eastAsia"/>
          <w:sz w:val="32"/>
          <w:szCs w:val="32"/>
        </w:rPr>
        <w:t>级及以上景区内用车</w:t>
      </w:r>
      <w:r w:rsidRPr="002772ED">
        <w:rPr>
          <w:rFonts w:ascii="仿宋_GB2312" w:eastAsia="仿宋_GB2312" w:hAnsi="仿宋" w:cs="仿宋_GB2312"/>
          <w:sz w:val="32"/>
          <w:szCs w:val="32"/>
        </w:rPr>
        <w:t>3</w:t>
      </w:r>
      <w:r w:rsidRPr="002772ED">
        <w:rPr>
          <w:rFonts w:ascii="仿宋_GB2312" w:eastAsia="仿宋_GB2312" w:hAnsi="仿宋" w:cs="仿宋_GB2312" w:hint="eastAsia"/>
          <w:sz w:val="32"/>
          <w:szCs w:val="32"/>
        </w:rPr>
        <w:t>年内原则上全部更新使用新能源汽车；鼓励市城区出租、物流、环卫等行业使用新能源汽车。（责任单位：各县区人民政府，市国资委、市旅游发展委、市交</w:t>
      </w:r>
      <w:r w:rsidRPr="002772ED">
        <w:rPr>
          <w:rFonts w:ascii="仿宋_GB2312" w:eastAsia="仿宋_GB2312" w:hAnsi="仿宋" w:cs="仿宋_GB2312" w:hint="eastAsia"/>
          <w:sz w:val="32"/>
          <w:szCs w:val="32"/>
        </w:rPr>
        <w:lastRenderedPageBreak/>
        <w:t>通运输局、市城管执法局）</w:t>
      </w:r>
    </w:p>
    <w:p w:rsidR="00617596" w:rsidRPr="002772ED" w:rsidRDefault="00617596" w:rsidP="004142B8">
      <w:pPr>
        <w:spacing w:line="600" w:lineRule="exact"/>
        <w:ind w:firstLineChars="200" w:firstLine="640"/>
        <w:rPr>
          <w:rFonts w:ascii="仿宋_GB2312" w:eastAsia="仿宋_GB2312" w:hAnsi="仿宋" w:cs="仿宋_GB2312"/>
          <w:sz w:val="32"/>
          <w:szCs w:val="32"/>
        </w:rPr>
      </w:pPr>
      <w:r w:rsidRPr="002772ED">
        <w:rPr>
          <w:rFonts w:ascii="楷体_GB2312" w:eastAsia="楷体_GB2312" w:hAnsi="仿宋" w:cs="楷体_GB2312" w:hint="eastAsia"/>
          <w:sz w:val="32"/>
          <w:szCs w:val="32"/>
        </w:rPr>
        <w:t>（三）制定落实新能源汽车补贴政策。</w:t>
      </w:r>
      <w:r w:rsidRPr="002772ED">
        <w:rPr>
          <w:rFonts w:ascii="仿宋_GB2312" w:eastAsia="仿宋_GB2312" w:hAnsi="仿宋" w:cs="仿宋_GB2312" w:hint="eastAsia"/>
          <w:sz w:val="32"/>
          <w:szCs w:val="32"/>
        </w:rPr>
        <w:t>进一步发挥财政资金的导向效应和杠杆作用，对</w:t>
      </w:r>
      <w:r w:rsidRPr="002772ED">
        <w:rPr>
          <w:rFonts w:ascii="仿宋_GB2312" w:eastAsia="仿宋_GB2312" w:hAnsi="仿宋" w:cs="仿宋_GB2312"/>
          <w:sz w:val="32"/>
          <w:szCs w:val="32"/>
        </w:rPr>
        <w:t>2017-2019</w:t>
      </w:r>
      <w:r w:rsidRPr="002772ED">
        <w:rPr>
          <w:rFonts w:ascii="仿宋_GB2312" w:eastAsia="仿宋_GB2312" w:hAnsi="仿宋" w:cs="仿宋_GB2312" w:hint="eastAsia"/>
          <w:sz w:val="32"/>
          <w:szCs w:val="32"/>
        </w:rPr>
        <w:t>年新购置我市生产的新能源纯电动汽车</w:t>
      </w:r>
      <w:r w:rsidRPr="002772ED">
        <w:rPr>
          <w:rFonts w:ascii="仿宋_GB2312" w:eastAsia="仿宋_GB2312" w:hAnsi="仿宋" w:cs="仿宋_GB2312"/>
          <w:sz w:val="32"/>
          <w:szCs w:val="32"/>
        </w:rPr>
        <w:t>(</w:t>
      </w:r>
      <w:r w:rsidRPr="002772ED">
        <w:rPr>
          <w:rFonts w:ascii="仿宋_GB2312" w:eastAsia="仿宋_GB2312" w:hAnsi="仿宋" w:cs="仿宋_GB2312" w:hint="eastAsia"/>
          <w:sz w:val="32"/>
          <w:szCs w:val="32"/>
        </w:rPr>
        <w:t>二手车除外</w:t>
      </w:r>
      <w:r w:rsidRPr="002772ED">
        <w:rPr>
          <w:rFonts w:ascii="仿宋_GB2312" w:eastAsia="仿宋_GB2312" w:hAnsi="仿宋" w:cs="仿宋_GB2312"/>
          <w:sz w:val="32"/>
          <w:szCs w:val="32"/>
        </w:rPr>
        <w:t>)</w:t>
      </w:r>
      <w:r w:rsidRPr="002772ED">
        <w:rPr>
          <w:rFonts w:ascii="仿宋_GB2312" w:eastAsia="仿宋_GB2312" w:hAnsi="仿宋" w:cs="仿宋_GB2312" w:hint="eastAsia"/>
          <w:sz w:val="32"/>
          <w:szCs w:val="32"/>
        </w:rPr>
        <w:t>的本市消费者</w:t>
      </w:r>
      <w:r w:rsidRPr="002772ED">
        <w:rPr>
          <w:rFonts w:ascii="仿宋_GB2312" w:eastAsia="仿宋_GB2312" w:hAnsi="仿宋" w:cs="仿宋_GB2312"/>
          <w:sz w:val="32"/>
          <w:szCs w:val="32"/>
        </w:rPr>
        <w:t>(</w:t>
      </w:r>
      <w:r w:rsidRPr="002772ED">
        <w:rPr>
          <w:rFonts w:ascii="仿宋_GB2312" w:eastAsia="仿宋_GB2312" w:hAnsi="仿宋" w:cs="仿宋_GB2312" w:hint="eastAsia"/>
          <w:sz w:val="32"/>
          <w:szCs w:val="32"/>
        </w:rPr>
        <w:t>个人、单位用户</w:t>
      </w:r>
      <w:r w:rsidRPr="002772ED">
        <w:rPr>
          <w:rFonts w:ascii="仿宋_GB2312" w:eastAsia="仿宋_GB2312" w:hAnsi="仿宋" w:cs="仿宋_GB2312"/>
          <w:sz w:val="32"/>
          <w:szCs w:val="32"/>
        </w:rPr>
        <w:t>)</w:t>
      </w:r>
      <w:r w:rsidRPr="002772ED">
        <w:rPr>
          <w:rFonts w:ascii="仿宋_GB2312" w:eastAsia="仿宋_GB2312" w:hAnsi="仿宋" w:cs="仿宋_GB2312" w:hint="eastAsia"/>
          <w:sz w:val="32"/>
          <w:szCs w:val="32"/>
        </w:rPr>
        <w:t>，在中央财政补贴基础上</w:t>
      </w:r>
      <w:r w:rsidRPr="002772ED">
        <w:rPr>
          <w:rFonts w:ascii="仿宋_GB2312" w:eastAsia="仿宋_GB2312" w:hAnsi="仿宋" w:cs="仿宋_GB2312"/>
          <w:sz w:val="32"/>
          <w:szCs w:val="32"/>
        </w:rPr>
        <w:t>,</w:t>
      </w:r>
      <w:r w:rsidRPr="002772ED">
        <w:rPr>
          <w:rFonts w:ascii="仿宋_GB2312" w:eastAsia="仿宋_GB2312" w:hAnsi="仿宋" w:cs="仿宋_GB2312" w:hint="eastAsia"/>
          <w:sz w:val="32"/>
          <w:szCs w:val="32"/>
        </w:rPr>
        <w:t>市财政按中央财政补贴标准的</w:t>
      </w:r>
      <w:r w:rsidRPr="002772ED">
        <w:rPr>
          <w:rFonts w:ascii="仿宋_GB2312" w:eastAsia="仿宋_GB2312" w:hAnsi="仿宋" w:cs="仿宋_GB2312"/>
          <w:sz w:val="32"/>
          <w:szCs w:val="32"/>
        </w:rPr>
        <w:t>25%</w:t>
      </w:r>
      <w:r w:rsidRPr="002772ED">
        <w:rPr>
          <w:rFonts w:ascii="仿宋_GB2312" w:eastAsia="仿宋_GB2312" w:hAnsi="仿宋" w:cs="仿宋_GB2312" w:hint="eastAsia"/>
          <w:sz w:val="32"/>
          <w:szCs w:val="32"/>
        </w:rPr>
        <w:t>再给予地方补贴；市外消费者在中央财政补贴基础上，再以销售收入税收市内留存部分作为补贴。（责任单位：市财政局、市经济和信息化委）</w:t>
      </w:r>
      <w:r w:rsidRPr="002772ED">
        <w:rPr>
          <w:rFonts w:ascii="仿宋_GB2312" w:eastAsia="仿宋_GB2312" w:hAnsi="仿宋" w:cs="仿宋_GB2312"/>
          <w:sz w:val="32"/>
          <w:szCs w:val="32"/>
        </w:rPr>
        <w:t xml:space="preserve"> </w:t>
      </w:r>
    </w:p>
    <w:p w:rsidR="00617596" w:rsidRPr="002772ED" w:rsidRDefault="00617596" w:rsidP="004142B8">
      <w:pPr>
        <w:spacing w:line="600" w:lineRule="exact"/>
        <w:ind w:firstLineChars="200" w:firstLine="640"/>
        <w:rPr>
          <w:rFonts w:ascii="黑体" w:eastAsia="黑体" w:hAnsi="黑体" w:cs="Times New Roman"/>
          <w:sz w:val="32"/>
          <w:szCs w:val="32"/>
        </w:rPr>
      </w:pPr>
      <w:r w:rsidRPr="002772ED">
        <w:rPr>
          <w:rFonts w:ascii="黑体" w:eastAsia="黑体" w:hAnsi="黑体" w:cs="黑体" w:hint="eastAsia"/>
          <w:sz w:val="32"/>
          <w:szCs w:val="32"/>
        </w:rPr>
        <w:t>二、加快充电基础设施建设</w:t>
      </w:r>
    </w:p>
    <w:p w:rsidR="00617596" w:rsidRPr="002772ED" w:rsidRDefault="00617596" w:rsidP="004142B8">
      <w:pPr>
        <w:spacing w:line="600" w:lineRule="exact"/>
        <w:ind w:firstLineChars="200" w:firstLine="640"/>
        <w:rPr>
          <w:rFonts w:ascii="仿宋_GB2312" w:eastAsia="仿宋_GB2312" w:hAnsi="仿宋" w:cs="Times New Roman"/>
          <w:sz w:val="32"/>
          <w:szCs w:val="32"/>
        </w:rPr>
      </w:pPr>
      <w:r w:rsidRPr="002772ED">
        <w:rPr>
          <w:rFonts w:ascii="楷体_GB2312" w:eastAsia="楷体_GB2312" w:hAnsi="仿宋" w:cs="楷体_GB2312" w:hint="eastAsia"/>
          <w:sz w:val="32"/>
          <w:szCs w:val="32"/>
        </w:rPr>
        <w:t>（四）制定充电基础设施建设规划。</w:t>
      </w:r>
      <w:r w:rsidRPr="002772ED">
        <w:rPr>
          <w:rFonts w:ascii="仿宋_GB2312" w:eastAsia="仿宋_GB2312" w:hAnsi="仿宋" w:cs="仿宋_GB2312"/>
          <w:sz w:val="32"/>
          <w:szCs w:val="32"/>
        </w:rPr>
        <w:t>2017</w:t>
      </w:r>
      <w:r w:rsidRPr="002772ED">
        <w:rPr>
          <w:rFonts w:ascii="仿宋_GB2312" w:eastAsia="仿宋_GB2312" w:hAnsi="仿宋" w:cs="仿宋_GB2312" w:hint="eastAsia"/>
          <w:sz w:val="32"/>
          <w:szCs w:val="32"/>
        </w:rPr>
        <w:t>年底前完成市中心城区充电基础设施建设专项规划编制，指导各地科学编制辖区内充电基础设施规划，保障土地供应。（责任单位：各县区人民政府，市规划建设和住房保障局、市发展改革委、市国土资源局、国网广元供电公司）</w:t>
      </w:r>
    </w:p>
    <w:p w:rsidR="00617596" w:rsidRPr="002772ED" w:rsidRDefault="00617596" w:rsidP="004142B8">
      <w:pPr>
        <w:spacing w:line="600" w:lineRule="exact"/>
        <w:ind w:firstLineChars="200" w:firstLine="640"/>
        <w:rPr>
          <w:rFonts w:ascii="仿宋_GB2312" w:eastAsia="仿宋_GB2312" w:hAnsi="仿宋" w:cs="Times New Roman"/>
          <w:sz w:val="32"/>
          <w:szCs w:val="32"/>
        </w:rPr>
      </w:pPr>
      <w:r w:rsidRPr="002772ED">
        <w:rPr>
          <w:rFonts w:ascii="楷体_GB2312" w:eastAsia="楷体_GB2312" w:hAnsi="仿宋" w:cs="楷体_GB2312" w:hint="eastAsia"/>
          <w:sz w:val="32"/>
          <w:szCs w:val="32"/>
        </w:rPr>
        <w:t>（五）加快充电基础设施建设步伐。</w:t>
      </w:r>
      <w:r w:rsidRPr="002772ED">
        <w:rPr>
          <w:rFonts w:ascii="仿宋_GB2312" w:eastAsia="仿宋_GB2312" w:hAnsi="仿宋" w:cs="仿宋_GB2312"/>
          <w:sz w:val="32"/>
          <w:szCs w:val="32"/>
        </w:rPr>
        <w:t>2017</w:t>
      </w:r>
      <w:r w:rsidRPr="002772ED">
        <w:rPr>
          <w:rFonts w:ascii="仿宋_GB2312" w:eastAsia="仿宋_GB2312" w:hAnsi="仿宋" w:cs="仿宋_GB2312" w:hint="eastAsia"/>
          <w:sz w:val="32"/>
          <w:szCs w:val="32"/>
        </w:rPr>
        <w:t>年</w:t>
      </w:r>
      <w:r w:rsidRPr="002772ED">
        <w:rPr>
          <w:rFonts w:ascii="仿宋_GB2312" w:eastAsia="仿宋_GB2312" w:hAnsi="仿宋" w:cs="仿宋_GB2312"/>
          <w:sz w:val="32"/>
          <w:szCs w:val="32"/>
        </w:rPr>
        <w:t>7</w:t>
      </w:r>
      <w:r w:rsidRPr="002772ED">
        <w:rPr>
          <w:rFonts w:ascii="仿宋_GB2312" w:eastAsia="仿宋_GB2312" w:hAnsi="仿宋" w:cs="仿宋_GB2312" w:hint="eastAsia"/>
          <w:sz w:val="32"/>
          <w:szCs w:val="32"/>
        </w:rPr>
        <w:t>月底前建成</w:t>
      </w:r>
      <w:r w:rsidRPr="002772ED">
        <w:rPr>
          <w:rFonts w:ascii="仿宋_GB2312" w:eastAsia="仿宋_GB2312" w:hAnsi="仿宋" w:cs="仿宋_GB2312"/>
          <w:sz w:val="32"/>
          <w:szCs w:val="32"/>
        </w:rPr>
        <w:t>3</w:t>
      </w:r>
      <w:r w:rsidRPr="002772ED">
        <w:rPr>
          <w:rFonts w:ascii="仿宋_GB2312" w:eastAsia="仿宋_GB2312" w:hAnsi="仿宋" w:cs="仿宋_GB2312" w:hint="eastAsia"/>
          <w:sz w:val="32"/>
          <w:szCs w:val="32"/>
        </w:rPr>
        <w:t>条快充公交示范线的充电基础设施。除广运集团、市公交公司运营线路外，市城区其他公共区域充电基础设施主要通过招商引资方式确定承建企业，享受我市招商引资相关优惠政策。到</w:t>
      </w:r>
      <w:r w:rsidRPr="002772ED">
        <w:rPr>
          <w:rFonts w:ascii="仿宋_GB2312" w:eastAsia="仿宋_GB2312" w:hAnsi="仿宋" w:cs="仿宋_GB2312"/>
          <w:sz w:val="32"/>
          <w:szCs w:val="32"/>
        </w:rPr>
        <w:t>2019</w:t>
      </w:r>
      <w:r w:rsidRPr="002772ED">
        <w:rPr>
          <w:rFonts w:ascii="仿宋_GB2312" w:eastAsia="仿宋_GB2312" w:hAnsi="仿宋" w:cs="仿宋_GB2312" w:hint="eastAsia"/>
          <w:sz w:val="32"/>
          <w:szCs w:val="32"/>
        </w:rPr>
        <w:t>年底，市、县区主要公共领域实现充电基础设施全覆盖。（责任单位：各县区人民政府，市国资委、市投资促进局、市财政局、市发展改革委、市规划建设和住房保障局、国网广元供电公司）</w:t>
      </w:r>
    </w:p>
    <w:p w:rsidR="00617596" w:rsidRPr="002772ED" w:rsidRDefault="00617596" w:rsidP="004142B8">
      <w:pPr>
        <w:spacing w:line="600" w:lineRule="exact"/>
        <w:ind w:firstLineChars="200" w:firstLine="640"/>
        <w:rPr>
          <w:rFonts w:ascii="黑体" w:eastAsia="黑体" w:hAnsi="黑体" w:cs="Times New Roman"/>
          <w:sz w:val="32"/>
          <w:szCs w:val="32"/>
        </w:rPr>
      </w:pPr>
      <w:r w:rsidRPr="002772ED">
        <w:rPr>
          <w:rFonts w:ascii="黑体" w:eastAsia="黑体" w:hAnsi="黑体" w:cs="黑体" w:hint="eastAsia"/>
          <w:sz w:val="32"/>
          <w:szCs w:val="32"/>
        </w:rPr>
        <w:lastRenderedPageBreak/>
        <w:t>三、加大新能源汽车企业扶持力度</w:t>
      </w:r>
    </w:p>
    <w:p w:rsidR="00617596" w:rsidRPr="002772ED" w:rsidRDefault="00617596" w:rsidP="004142B8">
      <w:pPr>
        <w:spacing w:line="600" w:lineRule="exact"/>
        <w:ind w:firstLineChars="200" w:firstLine="640"/>
        <w:rPr>
          <w:rFonts w:ascii="仿宋_GB2312" w:eastAsia="仿宋_GB2312" w:hAnsi="仿宋" w:cs="Times New Roman"/>
          <w:sz w:val="32"/>
          <w:szCs w:val="32"/>
        </w:rPr>
      </w:pPr>
      <w:r w:rsidRPr="002772ED">
        <w:rPr>
          <w:rFonts w:ascii="楷体_GB2312" w:eastAsia="楷体_GB2312" w:hAnsi="仿宋" w:cs="楷体_GB2312" w:hint="eastAsia"/>
          <w:sz w:val="32"/>
          <w:szCs w:val="32"/>
        </w:rPr>
        <w:t>（六）支持新能源汽车关键零部件企业创新发展。</w:t>
      </w:r>
      <w:r w:rsidRPr="002772ED">
        <w:rPr>
          <w:rFonts w:ascii="仿宋_GB2312" w:eastAsia="仿宋_GB2312" w:hAnsi="仿宋" w:cs="仿宋_GB2312" w:hint="eastAsia"/>
          <w:sz w:val="32"/>
          <w:szCs w:val="32"/>
        </w:rPr>
        <w:t>重点支持电池、电机、电控等新能源汽车关键零部件生产企业加大科研投入，力争突破一批关键核心技术，提升企业竞争力。企业投产</w:t>
      </w:r>
      <w:r w:rsidRPr="002772ED">
        <w:rPr>
          <w:rFonts w:ascii="仿宋_GB2312" w:eastAsia="仿宋_GB2312" w:hAnsi="仿宋" w:cs="仿宋_GB2312"/>
          <w:sz w:val="32"/>
          <w:szCs w:val="32"/>
        </w:rPr>
        <w:t>3</w:t>
      </w:r>
      <w:r w:rsidRPr="002772ED">
        <w:rPr>
          <w:rFonts w:ascii="仿宋_GB2312" w:eastAsia="仿宋_GB2312" w:hAnsi="仿宋" w:cs="仿宋_GB2312" w:hint="eastAsia"/>
          <w:sz w:val="32"/>
          <w:szCs w:val="32"/>
        </w:rPr>
        <w:t>年内，将我市新能源汽车关键零部件企业缴纳的税收市内留存部分全额补助相关企业，作为科研攻关、新产品推广使用资金。（责任单位：市财政局、市国税局、市地税局）</w:t>
      </w:r>
    </w:p>
    <w:p w:rsidR="00617596" w:rsidRPr="002772ED" w:rsidRDefault="00617596" w:rsidP="004142B8">
      <w:pPr>
        <w:spacing w:line="600" w:lineRule="exact"/>
        <w:ind w:firstLineChars="200" w:firstLine="640"/>
        <w:rPr>
          <w:rFonts w:ascii="仿宋_GB2312" w:eastAsia="仿宋_GB2312" w:hAnsi="仿宋" w:cs="Times New Roman"/>
          <w:sz w:val="32"/>
          <w:szCs w:val="32"/>
        </w:rPr>
      </w:pPr>
      <w:r w:rsidRPr="002772ED">
        <w:rPr>
          <w:rFonts w:ascii="楷体_GB2312" w:eastAsia="楷体_GB2312" w:hAnsi="仿宋" w:cs="楷体_GB2312" w:hint="eastAsia"/>
          <w:sz w:val="32"/>
          <w:szCs w:val="32"/>
        </w:rPr>
        <w:t>（七）组建新能源汽车产业发展基金。</w:t>
      </w:r>
      <w:r w:rsidRPr="002772ED">
        <w:rPr>
          <w:rFonts w:ascii="仿宋_GB2312" w:eastAsia="仿宋_GB2312" w:cs="仿宋_GB2312" w:hint="eastAsia"/>
          <w:sz w:val="32"/>
          <w:szCs w:val="32"/>
        </w:rPr>
        <w:t>市财政局、市经济和信息化委共同发起设立广元市新能源汽车产业发展基金，</w:t>
      </w:r>
      <w:r w:rsidRPr="002772ED">
        <w:rPr>
          <w:rFonts w:ascii="仿宋_GB2312" w:eastAsia="仿宋_GB2312" w:hAnsi="仿宋" w:cs="仿宋_GB2312" w:hint="eastAsia"/>
          <w:sz w:val="32"/>
          <w:szCs w:val="32"/>
        </w:rPr>
        <w:t>以股权投资为主要方式进行投资，基金规模初步确定为</w:t>
      </w:r>
      <w:r w:rsidRPr="002772ED">
        <w:rPr>
          <w:rFonts w:ascii="仿宋_GB2312" w:eastAsia="仿宋_GB2312" w:hAnsi="仿宋" w:cs="仿宋_GB2312"/>
          <w:sz w:val="32"/>
          <w:szCs w:val="32"/>
        </w:rPr>
        <w:t>10</w:t>
      </w:r>
      <w:r w:rsidRPr="002772ED">
        <w:rPr>
          <w:rFonts w:ascii="仿宋_GB2312" w:eastAsia="仿宋_GB2312" w:hAnsi="仿宋" w:cs="仿宋_GB2312" w:hint="eastAsia"/>
          <w:sz w:val="32"/>
          <w:szCs w:val="32"/>
        </w:rPr>
        <w:t>亿元。</w:t>
      </w:r>
      <w:r w:rsidRPr="002772ED">
        <w:rPr>
          <w:rFonts w:ascii="仿宋_GB2312" w:eastAsia="仿宋_GB2312" w:cs="仿宋_GB2312" w:hint="eastAsia"/>
          <w:sz w:val="32"/>
          <w:szCs w:val="32"/>
        </w:rPr>
        <w:t>其中，广元广财股权投资基金管理公司代表市财政出资</w:t>
      </w:r>
      <w:r w:rsidRPr="002772ED">
        <w:rPr>
          <w:rFonts w:ascii="仿宋_GB2312" w:eastAsia="仿宋_GB2312" w:cs="仿宋_GB2312"/>
          <w:sz w:val="32"/>
          <w:szCs w:val="32"/>
        </w:rPr>
        <w:t>10%</w:t>
      </w:r>
      <w:r w:rsidRPr="002772ED">
        <w:rPr>
          <w:rFonts w:ascii="仿宋_GB2312" w:eastAsia="仿宋_GB2312" w:cs="仿宋_GB2312" w:hint="eastAsia"/>
          <w:sz w:val="32"/>
          <w:szCs w:val="32"/>
        </w:rPr>
        <w:t>作为劣后级，四川兴元股权投资基金管理公司作为基金管理人出资</w:t>
      </w:r>
      <w:r w:rsidRPr="002772ED">
        <w:rPr>
          <w:rFonts w:ascii="仿宋_GB2312" w:eastAsia="仿宋_GB2312" w:cs="仿宋_GB2312"/>
          <w:sz w:val="32"/>
          <w:szCs w:val="32"/>
        </w:rPr>
        <w:t>1%</w:t>
      </w:r>
      <w:r w:rsidRPr="002772ED">
        <w:rPr>
          <w:rFonts w:ascii="仿宋_GB2312" w:eastAsia="仿宋_GB2312" w:cs="仿宋_GB2312" w:hint="eastAsia"/>
          <w:sz w:val="32"/>
          <w:szCs w:val="32"/>
        </w:rPr>
        <w:t>，其余</w:t>
      </w:r>
      <w:r w:rsidRPr="002772ED">
        <w:rPr>
          <w:rFonts w:ascii="仿宋_GB2312" w:eastAsia="仿宋_GB2312" w:cs="仿宋_GB2312"/>
          <w:sz w:val="32"/>
          <w:szCs w:val="32"/>
        </w:rPr>
        <w:t>89%</w:t>
      </w:r>
      <w:r w:rsidRPr="002772ED">
        <w:rPr>
          <w:rFonts w:ascii="仿宋_GB2312" w:eastAsia="仿宋_GB2312" w:cs="仿宋_GB2312" w:hint="eastAsia"/>
          <w:sz w:val="32"/>
          <w:szCs w:val="32"/>
        </w:rPr>
        <w:t>由基金管理人募集社会资本作为优先级。市财政局、市经济和信息化委负责基金的投资、收益分配、清算退出等事项的监督管理和绩效考核</w:t>
      </w:r>
      <w:r w:rsidRPr="002772ED">
        <w:rPr>
          <w:rFonts w:ascii="仿宋_GB2312" w:eastAsia="仿宋_GB2312" w:hAnsi="仿宋" w:cs="仿宋_GB2312" w:hint="eastAsia"/>
          <w:sz w:val="32"/>
          <w:szCs w:val="32"/>
        </w:rPr>
        <w:t>。（责任单位：市财政局、市经济和信息化委、市国资委、市金融工作局、市发展改革委）</w:t>
      </w:r>
    </w:p>
    <w:p w:rsidR="00617596" w:rsidRPr="002772ED" w:rsidRDefault="00617596" w:rsidP="004142B8">
      <w:pPr>
        <w:spacing w:line="600" w:lineRule="exact"/>
        <w:ind w:firstLineChars="200" w:firstLine="640"/>
        <w:rPr>
          <w:rFonts w:ascii="黑体" w:eastAsia="黑体" w:hAnsi="黑体" w:cs="Times New Roman"/>
          <w:sz w:val="32"/>
          <w:szCs w:val="32"/>
        </w:rPr>
      </w:pPr>
      <w:r w:rsidRPr="002772ED">
        <w:rPr>
          <w:rFonts w:ascii="黑体" w:eastAsia="黑体" w:hAnsi="黑体" w:cs="黑体" w:hint="eastAsia"/>
          <w:sz w:val="32"/>
          <w:szCs w:val="32"/>
        </w:rPr>
        <w:t>四、保障措施</w:t>
      </w:r>
    </w:p>
    <w:p w:rsidR="00617596" w:rsidRPr="002772ED" w:rsidRDefault="00617596" w:rsidP="004142B8">
      <w:pPr>
        <w:spacing w:line="600" w:lineRule="exact"/>
        <w:ind w:firstLineChars="200" w:firstLine="640"/>
        <w:rPr>
          <w:rFonts w:ascii="仿宋_GB2312" w:eastAsia="仿宋_GB2312" w:hAnsi="仿宋" w:cs="仿宋_GB2312"/>
          <w:sz w:val="32"/>
          <w:szCs w:val="32"/>
        </w:rPr>
      </w:pPr>
      <w:r w:rsidRPr="002772ED">
        <w:rPr>
          <w:rFonts w:ascii="楷体_GB2312" w:eastAsia="楷体_GB2312" w:hAnsi="仿宋" w:cs="楷体_GB2312" w:hint="eastAsia"/>
          <w:sz w:val="32"/>
          <w:szCs w:val="32"/>
        </w:rPr>
        <w:t>（八）加强督导考核。</w:t>
      </w:r>
      <w:r w:rsidRPr="002772ED">
        <w:rPr>
          <w:rFonts w:ascii="仿宋_GB2312" w:eastAsia="仿宋_GB2312" w:hAnsi="仿宋" w:cs="仿宋_GB2312" w:hint="eastAsia"/>
          <w:sz w:val="32"/>
          <w:szCs w:val="32"/>
        </w:rPr>
        <w:t>建立新能源汽车产业发展推进联席会议制度，研究制定推进工作措施，积极破解推进难题。将新能源汽车产业发展措施落实情况列入县区和市级相关部门年度目标绩效考核，建立定期通报制度，加大督导考核力度，对工作推进</w:t>
      </w:r>
      <w:r w:rsidRPr="002772ED">
        <w:rPr>
          <w:rFonts w:ascii="仿宋_GB2312" w:eastAsia="仿宋_GB2312" w:hAnsi="仿宋" w:cs="仿宋_GB2312" w:hint="eastAsia"/>
          <w:sz w:val="32"/>
          <w:szCs w:val="32"/>
        </w:rPr>
        <w:lastRenderedPageBreak/>
        <w:t>力度大、成绩显著的县区和部门给予表扬奖励；对落实支持措施不到位、工作推进滞后的县区或部门通报批评，约谈问责，确保各项工作任务落地落实。加大宣</w:t>
      </w:r>
      <w:bookmarkStart w:id="0" w:name="_GoBack"/>
      <w:bookmarkEnd w:id="0"/>
      <w:r w:rsidRPr="002772ED">
        <w:rPr>
          <w:rFonts w:ascii="仿宋_GB2312" w:eastAsia="仿宋_GB2312" w:hAnsi="仿宋" w:cs="仿宋_GB2312" w:hint="eastAsia"/>
          <w:sz w:val="32"/>
          <w:szCs w:val="32"/>
        </w:rPr>
        <w:t>传引导力度，积极营造支持新能源汽车产业发展和推广应用的良好氛围。（责任单位：市政府督查室、市经济和信息化委）</w:t>
      </w:r>
      <w:r w:rsidRPr="002772ED">
        <w:rPr>
          <w:rFonts w:ascii="仿宋_GB2312" w:eastAsia="仿宋_GB2312" w:hAnsi="仿宋" w:cs="仿宋_GB2312"/>
          <w:sz w:val="32"/>
          <w:szCs w:val="32"/>
        </w:rPr>
        <w:t xml:space="preserve"> </w:t>
      </w:r>
    </w:p>
    <w:sectPr w:rsidR="00617596" w:rsidRPr="002772ED" w:rsidSect="007B426A">
      <w:footerReference w:type="even" r:id="rId7"/>
      <w:footerReference w:type="default" r:id="rId8"/>
      <w:pgSz w:w="11907" w:h="16840" w:code="9"/>
      <w:pgMar w:top="2098" w:right="1474" w:bottom="1985" w:left="1588" w:header="851" w:footer="1588"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4E27" w:rsidRDefault="005C4E27" w:rsidP="00E52FA4">
      <w:pPr>
        <w:rPr>
          <w:rFonts w:cs="Times New Roman"/>
        </w:rPr>
      </w:pPr>
      <w:r>
        <w:rPr>
          <w:rFonts w:cs="Times New Roman"/>
        </w:rPr>
        <w:separator/>
      </w:r>
    </w:p>
  </w:endnote>
  <w:endnote w:type="continuationSeparator" w:id="1">
    <w:p w:rsidR="005C4E27" w:rsidRDefault="005C4E27" w:rsidP="00E52FA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小标宋简体">
    <w:altName w:val="宋体"/>
    <w:panose1 w:val="02010601030101010101"/>
    <w:charset w:val="86"/>
    <w:family w:val="auto"/>
    <w:pitch w:val="variable"/>
    <w:sig w:usb0="00000001" w:usb1="080E0000" w:usb2="00000010" w:usb3="00000000" w:csb0="00040000" w:csb1="00000000"/>
  </w:font>
  <w:font w:name="仿宋">
    <w:altName w:val="仿宋_GB2312"/>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596" w:rsidRPr="007B426A" w:rsidRDefault="00617596" w:rsidP="00244F18">
    <w:pPr>
      <w:pStyle w:val="a5"/>
      <w:framePr w:wrap="auto" w:vAnchor="text" w:hAnchor="margin" w:xAlign="outside" w:y="1"/>
      <w:rPr>
        <w:rStyle w:val="a6"/>
        <w:rFonts w:ascii="宋体" w:cs="Times New Roman"/>
        <w:sz w:val="28"/>
        <w:szCs w:val="28"/>
      </w:rPr>
    </w:pPr>
    <w:r w:rsidRPr="007B426A">
      <w:rPr>
        <w:rStyle w:val="a6"/>
        <w:rFonts w:ascii="宋体" w:hAnsi="宋体" w:cs="宋体"/>
        <w:sz w:val="28"/>
        <w:szCs w:val="28"/>
      </w:rPr>
      <w:t xml:space="preserve">— </w:t>
    </w:r>
    <w:r w:rsidR="002F5153" w:rsidRPr="007B426A">
      <w:rPr>
        <w:rStyle w:val="a6"/>
        <w:rFonts w:ascii="宋体" w:hAnsi="宋体" w:cs="宋体"/>
        <w:sz w:val="28"/>
        <w:szCs w:val="28"/>
      </w:rPr>
      <w:fldChar w:fldCharType="begin"/>
    </w:r>
    <w:r w:rsidRPr="007B426A">
      <w:rPr>
        <w:rStyle w:val="a6"/>
        <w:rFonts w:ascii="宋体" w:hAnsi="宋体" w:cs="宋体"/>
        <w:sz w:val="28"/>
        <w:szCs w:val="28"/>
      </w:rPr>
      <w:instrText xml:space="preserve">PAGE  </w:instrText>
    </w:r>
    <w:r w:rsidR="002F5153" w:rsidRPr="007B426A">
      <w:rPr>
        <w:rStyle w:val="a6"/>
        <w:rFonts w:ascii="宋体" w:hAnsi="宋体" w:cs="宋体"/>
        <w:sz w:val="28"/>
        <w:szCs w:val="28"/>
      </w:rPr>
      <w:fldChar w:fldCharType="separate"/>
    </w:r>
    <w:r w:rsidR="004142B8">
      <w:rPr>
        <w:rStyle w:val="a6"/>
        <w:rFonts w:ascii="宋体" w:hAnsi="宋体" w:cs="宋体"/>
        <w:noProof/>
        <w:sz w:val="28"/>
        <w:szCs w:val="28"/>
      </w:rPr>
      <w:t>4</w:t>
    </w:r>
    <w:r w:rsidR="002F5153" w:rsidRPr="007B426A">
      <w:rPr>
        <w:rStyle w:val="a6"/>
        <w:rFonts w:ascii="宋体" w:hAnsi="宋体" w:cs="宋体"/>
        <w:sz w:val="28"/>
        <w:szCs w:val="28"/>
      </w:rPr>
      <w:fldChar w:fldCharType="end"/>
    </w:r>
    <w:r w:rsidRPr="007B426A">
      <w:rPr>
        <w:rStyle w:val="a6"/>
        <w:rFonts w:ascii="宋体" w:hAnsi="宋体" w:cs="宋体"/>
        <w:sz w:val="28"/>
        <w:szCs w:val="28"/>
      </w:rPr>
      <w:t xml:space="preserve"> —</w:t>
    </w:r>
  </w:p>
  <w:p w:rsidR="00617596" w:rsidRDefault="00617596">
    <w:pPr>
      <w:pStyle w:val="a5"/>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596" w:rsidRPr="002772ED" w:rsidRDefault="00617596" w:rsidP="00244F18">
    <w:pPr>
      <w:pStyle w:val="a5"/>
      <w:framePr w:wrap="auto" w:vAnchor="text" w:hAnchor="margin" w:xAlign="outside" w:y="1"/>
      <w:rPr>
        <w:rStyle w:val="a6"/>
        <w:rFonts w:ascii="宋体" w:cs="Times New Roman"/>
        <w:sz w:val="28"/>
        <w:szCs w:val="28"/>
      </w:rPr>
    </w:pPr>
    <w:r w:rsidRPr="002772ED">
      <w:rPr>
        <w:rStyle w:val="a6"/>
        <w:rFonts w:ascii="宋体" w:hAnsi="宋体" w:cs="宋体"/>
        <w:sz w:val="28"/>
        <w:szCs w:val="28"/>
      </w:rPr>
      <w:t xml:space="preserve">— </w:t>
    </w:r>
    <w:r w:rsidR="002F5153" w:rsidRPr="002772ED">
      <w:rPr>
        <w:rStyle w:val="a6"/>
        <w:rFonts w:ascii="宋体" w:hAnsi="宋体" w:cs="宋体"/>
        <w:sz w:val="28"/>
        <w:szCs w:val="28"/>
      </w:rPr>
      <w:fldChar w:fldCharType="begin"/>
    </w:r>
    <w:r w:rsidRPr="002772ED">
      <w:rPr>
        <w:rStyle w:val="a6"/>
        <w:rFonts w:ascii="宋体" w:hAnsi="宋体" w:cs="宋体"/>
        <w:sz w:val="28"/>
        <w:szCs w:val="28"/>
      </w:rPr>
      <w:instrText xml:space="preserve">PAGE  </w:instrText>
    </w:r>
    <w:r w:rsidR="002F5153" w:rsidRPr="002772ED">
      <w:rPr>
        <w:rStyle w:val="a6"/>
        <w:rFonts w:ascii="宋体" w:hAnsi="宋体" w:cs="宋体"/>
        <w:sz w:val="28"/>
        <w:szCs w:val="28"/>
      </w:rPr>
      <w:fldChar w:fldCharType="separate"/>
    </w:r>
    <w:r w:rsidR="004142B8">
      <w:rPr>
        <w:rStyle w:val="a6"/>
        <w:rFonts w:ascii="宋体" w:hAnsi="宋体" w:cs="宋体"/>
        <w:noProof/>
        <w:sz w:val="28"/>
        <w:szCs w:val="28"/>
      </w:rPr>
      <w:t>3</w:t>
    </w:r>
    <w:r w:rsidR="002F5153" w:rsidRPr="002772ED">
      <w:rPr>
        <w:rStyle w:val="a6"/>
        <w:rFonts w:ascii="宋体" w:hAnsi="宋体" w:cs="宋体"/>
        <w:sz w:val="28"/>
        <w:szCs w:val="28"/>
      </w:rPr>
      <w:fldChar w:fldCharType="end"/>
    </w:r>
    <w:r w:rsidRPr="002772ED">
      <w:rPr>
        <w:rStyle w:val="a6"/>
        <w:rFonts w:ascii="宋体" w:hAnsi="宋体" w:cs="宋体"/>
        <w:sz w:val="28"/>
        <w:szCs w:val="28"/>
      </w:rPr>
      <w:t xml:space="preserve"> —</w:t>
    </w:r>
  </w:p>
  <w:p w:rsidR="00617596" w:rsidRDefault="00617596" w:rsidP="002772ED">
    <w:pPr>
      <w:pStyle w:val="a5"/>
      <w:ind w:right="360" w:firstLine="360"/>
      <w:jc w:val="right"/>
      <w:rPr>
        <w:rFonts w:cs="Times New Roman"/>
      </w:rPr>
    </w:pPr>
  </w:p>
  <w:p w:rsidR="00617596" w:rsidRDefault="00617596">
    <w:pPr>
      <w:pStyle w:val="a5"/>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4E27" w:rsidRDefault="005C4E27" w:rsidP="00E52FA4">
      <w:pPr>
        <w:rPr>
          <w:rFonts w:cs="Times New Roman"/>
        </w:rPr>
      </w:pPr>
      <w:r>
        <w:rPr>
          <w:rFonts w:cs="Times New Roman"/>
        </w:rPr>
        <w:separator/>
      </w:r>
    </w:p>
  </w:footnote>
  <w:footnote w:type="continuationSeparator" w:id="1">
    <w:p w:rsidR="005C4E27" w:rsidRDefault="005C4E27" w:rsidP="00E52FA4">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D6DE9"/>
    <w:multiLevelType w:val="hybridMultilevel"/>
    <w:tmpl w:val="B97EBEA4"/>
    <w:lvl w:ilvl="0" w:tplc="E1AAE6FA">
      <w:start w:val="1"/>
      <w:numFmt w:val="japaneseCounting"/>
      <w:lvlText w:val="%1、"/>
      <w:lvlJc w:val="left"/>
      <w:pPr>
        <w:ind w:left="1440" w:hanging="720"/>
      </w:pPr>
      <w:rPr>
        <w:rFonts w:hint="default"/>
      </w:rPr>
    </w:lvl>
    <w:lvl w:ilvl="1" w:tplc="04090019">
      <w:start w:val="1"/>
      <w:numFmt w:val="lowerLetter"/>
      <w:lvlText w:val="%2)"/>
      <w:lvlJc w:val="left"/>
      <w:pPr>
        <w:ind w:left="1560" w:hanging="420"/>
      </w:pPr>
    </w:lvl>
    <w:lvl w:ilvl="2" w:tplc="0409001B">
      <w:start w:val="1"/>
      <w:numFmt w:val="lowerRoman"/>
      <w:lvlText w:val="%3."/>
      <w:lvlJc w:val="right"/>
      <w:pPr>
        <w:ind w:left="1980" w:hanging="420"/>
      </w:pPr>
    </w:lvl>
    <w:lvl w:ilvl="3" w:tplc="0409000F">
      <w:start w:val="1"/>
      <w:numFmt w:val="decimal"/>
      <w:lvlText w:val="%4."/>
      <w:lvlJc w:val="left"/>
      <w:pPr>
        <w:ind w:left="2400" w:hanging="420"/>
      </w:pPr>
    </w:lvl>
    <w:lvl w:ilvl="4" w:tplc="04090019">
      <w:start w:val="1"/>
      <w:numFmt w:val="lowerLetter"/>
      <w:lvlText w:val="%5)"/>
      <w:lvlJc w:val="left"/>
      <w:pPr>
        <w:ind w:left="2820" w:hanging="420"/>
      </w:pPr>
    </w:lvl>
    <w:lvl w:ilvl="5" w:tplc="0409001B">
      <w:start w:val="1"/>
      <w:numFmt w:val="lowerRoman"/>
      <w:lvlText w:val="%6."/>
      <w:lvlJc w:val="right"/>
      <w:pPr>
        <w:ind w:left="3240" w:hanging="420"/>
      </w:pPr>
    </w:lvl>
    <w:lvl w:ilvl="6" w:tplc="0409000F">
      <w:start w:val="1"/>
      <w:numFmt w:val="decimal"/>
      <w:lvlText w:val="%7."/>
      <w:lvlJc w:val="left"/>
      <w:pPr>
        <w:ind w:left="3660" w:hanging="420"/>
      </w:pPr>
    </w:lvl>
    <w:lvl w:ilvl="7" w:tplc="04090019">
      <w:start w:val="1"/>
      <w:numFmt w:val="lowerLetter"/>
      <w:lvlText w:val="%8)"/>
      <w:lvlJc w:val="left"/>
      <w:pPr>
        <w:ind w:left="4080" w:hanging="420"/>
      </w:pPr>
    </w:lvl>
    <w:lvl w:ilvl="8" w:tplc="0409001B">
      <w:start w:val="1"/>
      <w:numFmt w:val="lowerRoman"/>
      <w:lvlText w:val="%9."/>
      <w:lvlJc w:val="right"/>
      <w:pPr>
        <w:ind w:left="4500" w:hanging="420"/>
      </w:pPr>
    </w:lvl>
  </w:abstractNum>
  <w:abstractNum w:abstractNumId="1">
    <w:nsid w:val="1F0C430A"/>
    <w:multiLevelType w:val="hybridMultilevel"/>
    <w:tmpl w:val="4808DD68"/>
    <w:lvl w:ilvl="0" w:tplc="74763486">
      <w:start w:val="1"/>
      <w:numFmt w:val="japaneseCounting"/>
      <w:lvlText w:val="%1、"/>
      <w:lvlJc w:val="left"/>
      <w:pPr>
        <w:ind w:left="840" w:hanging="42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nsid w:val="33F32830"/>
    <w:multiLevelType w:val="hybridMultilevel"/>
    <w:tmpl w:val="04F2FE74"/>
    <w:lvl w:ilvl="0" w:tplc="1406ABD2">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37DB7E1D"/>
    <w:multiLevelType w:val="hybridMultilevel"/>
    <w:tmpl w:val="284662D2"/>
    <w:lvl w:ilvl="0" w:tplc="A0E618A8">
      <w:start w:val="1"/>
      <w:numFmt w:val="japaneseCounting"/>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3F2078D6"/>
    <w:multiLevelType w:val="hybridMultilevel"/>
    <w:tmpl w:val="58CA904C"/>
    <w:lvl w:ilvl="0" w:tplc="2DE8968E">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3F654609"/>
    <w:multiLevelType w:val="hybridMultilevel"/>
    <w:tmpl w:val="3FAE7C8E"/>
    <w:lvl w:ilvl="0" w:tplc="73B8B8CE">
      <w:start w:val="1"/>
      <w:numFmt w:val="decimal"/>
      <w:lvlText w:val="%1."/>
      <w:lvlJc w:val="left"/>
      <w:pPr>
        <w:ind w:left="780" w:hanging="36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6">
    <w:nsid w:val="41854692"/>
    <w:multiLevelType w:val="hybridMultilevel"/>
    <w:tmpl w:val="71624E0A"/>
    <w:lvl w:ilvl="0" w:tplc="5C4EAF24">
      <w:start w:val="1"/>
      <w:numFmt w:val="japaneseCounting"/>
      <w:lvlText w:val="%1、"/>
      <w:lvlJc w:val="left"/>
      <w:pPr>
        <w:ind w:left="1440" w:hanging="720"/>
      </w:pPr>
      <w:rPr>
        <w:rFonts w:hint="default"/>
      </w:rPr>
    </w:lvl>
    <w:lvl w:ilvl="1" w:tplc="04090019">
      <w:start w:val="1"/>
      <w:numFmt w:val="lowerLetter"/>
      <w:lvlText w:val="%2)"/>
      <w:lvlJc w:val="left"/>
      <w:pPr>
        <w:ind w:left="1560" w:hanging="420"/>
      </w:pPr>
    </w:lvl>
    <w:lvl w:ilvl="2" w:tplc="0409001B">
      <w:start w:val="1"/>
      <w:numFmt w:val="lowerRoman"/>
      <w:lvlText w:val="%3."/>
      <w:lvlJc w:val="right"/>
      <w:pPr>
        <w:ind w:left="1980" w:hanging="420"/>
      </w:pPr>
    </w:lvl>
    <w:lvl w:ilvl="3" w:tplc="0409000F">
      <w:start w:val="1"/>
      <w:numFmt w:val="decimal"/>
      <w:lvlText w:val="%4."/>
      <w:lvlJc w:val="left"/>
      <w:pPr>
        <w:ind w:left="2400" w:hanging="420"/>
      </w:pPr>
    </w:lvl>
    <w:lvl w:ilvl="4" w:tplc="04090019">
      <w:start w:val="1"/>
      <w:numFmt w:val="lowerLetter"/>
      <w:lvlText w:val="%5)"/>
      <w:lvlJc w:val="left"/>
      <w:pPr>
        <w:ind w:left="2820" w:hanging="420"/>
      </w:pPr>
    </w:lvl>
    <w:lvl w:ilvl="5" w:tplc="0409001B">
      <w:start w:val="1"/>
      <w:numFmt w:val="lowerRoman"/>
      <w:lvlText w:val="%6."/>
      <w:lvlJc w:val="right"/>
      <w:pPr>
        <w:ind w:left="3240" w:hanging="420"/>
      </w:pPr>
    </w:lvl>
    <w:lvl w:ilvl="6" w:tplc="0409000F">
      <w:start w:val="1"/>
      <w:numFmt w:val="decimal"/>
      <w:lvlText w:val="%7."/>
      <w:lvlJc w:val="left"/>
      <w:pPr>
        <w:ind w:left="3660" w:hanging="420"/>
      </w:pPr>
    </w:lvl>
    <w:lvl w:ilvl="7" w:tplc="04090019">
      <w:start w:val="1"/>
      <w:numFmt w:val="lowerLetter"/>
      <w:lvlText w:val="%8)"/>
      <w:lvlJc w:val="left"/>
      <w:pPr>
        <w:ind w:left="4080" w:hanging="420"/>
      </w:pPr>
    </w:lvl>
    <w:lvl w:ilvl="8" w:tplc="0409001B">
      <w:start w:val="1"/>
      <w:numFmt w:val="lowerRoman"/>
      <w:lvlText w:val="%9."/>
      <w:lvlJc w:val="right"/>
      <w:pPr>
        <w:ind w:left="4500" w:hanging="420"/>
      </w:pPr>
    </w:lvl>
  </w:abstractNum>
  <w:abstractNum w:abstractNumId="7">
    <w:nsid w:val="535532B8"/>
    <w:multiLevelType w:val="hybridMultilevel"/>
    <w:tmpl w:val="21EE2CD8"/>
    <w:lvl w:ilvl="0" w:tplc="70BA27A4">
      <w:start w:val="1"/>
      <w:numFmt w:val="japaneseCounting"/>
      <w:lvlText w:val="%1、"/>
      <w:lvlJc w:val="left"/>
      <w:pPr>
        <w:ind w:left="1140" w:hanging="72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8">
    <w:nsid w:val="678C3F90"/>
    <w:multiLevelType w:val="hybridMultilevel"/>
    <w:tmpl w:val="9DB6C418"/>
    <w:lvl w:ilvl="0" w:tplc="81AAEB4E">
      <w:start w:val="1"/>
      <w:numFmt w:val="japaneseCounting"/>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74C57AF1"/>
    <w:multiLevelType w:val="hybridMultilevel"/>
    <w:tmpl w:val="3EFA6D36"/>
    <w:lvl w:ilvl="0" w:tplc="C79E7404">
      <w:start w:val="1"/>
      <w:numFmt w:val="decimal"/>
      <w:lvlText w:val="%1."/>
      <w:lvlJc w:val="left"/>
      <w:pPr>
        <w:ind w:left="780" w:hanging="36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nsid w:val="7BAE15C8"/>
    <w:multiLevelType w:val="hybridMultilevel"/>
    <w:tmpl w:val="5B9A8F1E"/>
    <w:lvl w:ilvl="0" w:tplc="77F8CE48">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8"/>
  </w:num>
  <w:num w:numId="2">
    <w:abstractNumId w:val="5"/>
  </w:num>
  <w:num w:numId="3">
    <w:abstractNumId w:val="9"/>
  </w:num>
  <w:num w:numId="4">
    <w:abstractNumId w:val="1"/>
  </w:num>
  <w:num w:numId="5">
    <w:abstractNumId w:val="3"/>
  </w:num>
  <w:num w:numId="6">
    <w:abstractNumId w:val="7"/>
  </w:num>
  <w:num w:numId="7">
    <w:abstractNumId w:val="4"/>
  </w:num>
  <w:num w:numId="8">
    <w:abstractNumId w:val="6"/>
  </w:num>
  <w:num w:numId="9">
    <w:abstractNumId w:val="2"/>
  </w:num>
  <w:num w:numId="10">
    <w:abstractNumId w:val="10"/>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52E1"/>
    <w:rsid w:val="00000947"/>
    <w:rsid w:val="00004BA9"/>
    <w:rsid w:val="000152E1"/>
    <w:rsid w:val="00024BBA"/>
    <w:rsid w:val="00030698"/>
    <w:rsid w:val="000B11FE"/>
    <w:rsid w:val="000B4059"/>
    <w:rsid w:val="000C0391"/>
    <w:rsid w:val="000D5EEB"/>
    <w:rsid w:val="000E0FBB"/>
    <w:rsid w:val="000E7ED8"/>
    <w:rsid w:val="001062BB"/>
    <w:rsid w:val="00135A5F"/>
    <w:rsid w:val="00197BC4"/>
    <w:rsid w:val="001B37F8"/>
    <w:rsid w:val="00211527"/>
    <w:rsid w:val="00214285"/>
    <w:rsid w:val="00220B62"/>
    <w:rsid w:val="00244F18"/>
    <w:rsid w:val="002543E2"/>
    <w:rsid w:val="00276BA0"/>
    <w:rsid w:val="002772ED"/>
    <w:rsid w:val="00281E39"/>
    <w:rsid w:val="00284A91"/>
    <w:rsid w:val="00290CAA"/>
    <w:rsid w:val="002910DA"/>
    <w:rsid w:val="002D35BE"/>
    <w:rsid w:val="002F5153"/>
    <w:rsid w:val="00311AD2"/>
    <w:rsid w:val="003850C3"/>
    <w:rsid w:val="00387C40"/>
    <w:rsid w:val="003F3E11"/>
    <w:rsid w:val="004142B8"/>
    <w:rsid w:val="00450C64"/>
    <w:rsid w:val="004B3A9E"/>
    <w:rsid w:val="004C20C1"/>
    <w:rsid w:val="00527E7D"/>
    <w:rsid w:val="005433E0"/>
    <w:rsid w:val="00556DE9"/>
    <w:rsid w:val="005C103F"/>
    <w:rsid w:val="005C4E27"/>
    <w:rsid w:val="005F6B6D"/>
    <w:rsid w:val="00602CDD"/>
    <w:rsid w:val="00617596"/>
    <w:rsid w:val="006C1E47"/>
    <w:rsid w:val="00774DCA"/>
    <w:rsid w:val="00777C52"/>
    <w:rsid w:val="007A578A"/>
    <w:rsid w:val="007A69ED"/>
    <w:rsid w:val="007B426A"/>
    <w:rsid w:val="007C079A"/>
    <w:rsid w:val="007D1E7C"/>
    <w:rsid w:val="0080188B"/>
    <w:rsid w:val="00802AA2"/>
    <w:rsid w:val="00812514"/>
    <w:rsid w:val="008156DC"/>
    <w:rsid w:val="0081748C"/>
    <w:rsid w:val="008576F1"/>
    <w:rsid w:val="008637EF"/>
    <w:rsid w:val="008654E8"/>
    <w:rsid w:val="008658C8"/>
    <w:rsid w:val="008A3025"/>
    <w:rsid w:val="00901849"/>
    <w:rsid w:val="009054B7"/>
    <w:rsid w:val="00933255"/>
    <w:rsid w:val="00975A29"/>
    <w:rsid w:val="009A2DB2"/>
    <w:rsid w:val="009C2F12"/>
    <w:rsid w:val="009C5226"/>
    <w:rsid w:val="009E06CC"/>
    <w:rsid w:val="009F7C07"/>
    <w:rsid w:val="00A01682"/>
    <w:rsid w:val="00A5153C"/>
    <w:rsid w:val="00A83D20"/>
    <w:rsid w:val="00A87038"/>
    <w:rsid w:val="00AD28CC"/>
    <w:rsid w:val="00AF0FBE"/>
    <w:rsid w:val="00B01F1D"/>
    <w:rsid w:val="00B145D8"/>
    <w:rsid w:val="00B34E59"/>
    <w:rsid w:val="00B50839"/>
    <w:rsid w:val="00B6309A"/>
    <w:rsid w:val="00B97991"/>
    <w:rsid w:val="00BE18BB"/>
    <w:rsid w:val="00C4521D"/>
    <w:rsid w:val="00C73BBF"/>
    <w:rsid w:val="00C7452A"/>
    <w:rsid w:val="00C81499"/>
    <w:rsid w:val="00CA0738"/>
    <w:rsid w:val="00CB1B8F"/>
    <w:rsid w:val="00CD33E9"/>
    <w:rsid w:val="00CD58BE"/>
    <w:rsid w:val="00CE0F89"/>
    <w:rsid w:val="00D26BED"/>
    <w:rsid w:val="00D31B28"/>
    <w:rsid w:val="00D3429E"/>
    <w:rsid w:val="00D404DC"/>
    <w:rsid w:val="00D52BFF"/>
    <w:rsid w:val="00D56E47"/>
    <w:rsid w:val="00D9281A"/>
    <w:rsid w:val="00DC575D"/>
    <w:rsid w:val="00DD4DC8"/>
    <w:rsid w:val="00DF01C8"/>
    <w:rsid w:val="00DF7A89"/>
    <w:rsid w:val="00E33270"/>
    <w:rsid w:val="00E468E5"/>
    <w:rsid w:val="00E52FA4"/>
    <w:rsid w:val="00E84AAB"/>
    <w:rsid w:val="00E91731"/>
    <w:rsid w:val="00EA34B1"/>
    <w:rsid w:val="00EA3E08"/>
    <w:rsid w:val="00ED4F78"/>
    <w:rsid w:val="00ED78CA"/>
    <w:rsid w:val="00EF2A53"/>
    <w:rsid w:val="00F15BAF"/>
    <w:rsid w:val="00F276E1"/>
    <w:rsid w:val="00F36E78"/>
    <w:rsid w:val="00F632D4"/>
    <w:rsid w:val="00F84A10"/>
    <w:rsid w:val="00FA177F"/>
    <w:rsid w:val="00FC4FB8"/>
    <w:rsid w:val="00FD435A"/>
    <w:rsid w:val="00FD7F9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09A"/>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50839"/>
    <w:pPr>
      <w:ind w:firstLineChars="200" w:firstLine="420"/>
    </w:pPr>
  </w:style>
  <w:style w:type="paragraph" w:styleId="a4">
    <w:name w:val="header"/>
    <w:basedOn w:val="a"/>
    <w:link w:val="Char"/>
    <w:uiPriority w:val="99"/>
    <w:rsid w:val="00E52F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locked/>
    <w:rsid w:val="00E52FA4"/>
    <w:rPr>
      <w:sz w:val="18"/>
      <w:szCs w:val="18"/>
    </w:rPr>
  </w:style>
  <w:style w:type="paragraph" w:styleId="a5">
    <w:name w:val="footer"/>
    <w:basedOn w:val="a"/>
    <w:link w:val="Char0"/>
    <w:uiPriority w:val="99"/>
    <w:rsid w:val="00E52FA4"/>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E52FA4"/>
    <w:rPr>
      <w:sz w:val="18"/>
      <w:szCs w:val="18"/>
    </w:rPr>
  </w:style>
  <w:style w:type="paragraph" w:customStyle="1" w:styleId="Char1">
    <w:name w:val="Char1"/>
    <w:basedOn w:val="a"/>
    <w:uiPriority w:val="99"/>
    <w:rsid w:val="002772ED"/>
    <w:rPr>
      <w:rFonts w:ascii="Tahoma" w:hAnsi="Tahoma" w:cs="Tahoma"/>
      <w:sz w:val="24"/>
      <w:szCs w:val="24"/>
    </w:rPr>
  </w:style>
  <w:style w:type="character" w:styleId="a6">
    <w:name w:val="page number"/>
    <w:basedOn w:val="a0"/>
    <w:uiPriority w:val="99"/>
    <w:rsid w:val="002772ED"/>
  </w:style>
  <w:style w:type="paragraph" w:styleId="a7">
    <w:name w:val="Date"/>
    <w:basedOn w:val="a"/>
    <w:next w:val="a"/>
    <w:link w:val="Char2"/>
    <w:uiPriority w:val="99"/>
    <w:rsid w:val="007B426A"/>
    <w:pPr>
      <w:ind w:leftChars="2500" w:left="100"/>
    </w:pPr>
  </w:style>
  <w:style w:type="character" w:customStyle="1" w:styleId="Char2">
    <w:name w:val="日期 Char"/>
    <w:basedOn w:val="a0"/>
    <w:link w:val="a7"/>
    <w:uiPriority w:val="99"/>
    <w:semiHidden/>
    <w:locked/>
    <w:rsid w:val="002F5153"/>
    <w:rPr>
      <w:sz w:val="21"/>
      <w:szCs w:val="21"/>
    </w:rPr>
  </w:style>
  <w:style w:type="paragraph" w:customStyle="1" w:styleId="Char3">
    <w:name w:val="Char"/>
    <w:basedOn w:val="a"/>
    <w:uiPriority w:val="99"/>
    <w:rsid w:val="005433E0"/>
    <w:rPr>
      <w:rFonts w:ascii="Tahoma" w:hAnsi="Tahoma" w:cs="Tahoma"/>
      <w:sz w:val="24"/>
      <w:szCs w:val="24"/>
    </w:rPr>
  </w:style>
</w:styles>
</file>

<file path=word/webSettings.xml><?xml version="1.0" encoding="utf-8"?>
<w:webSettings xmlns:r="http://schemas.openxmlformats.org/officeDocument/2006/relationships" xmlns:w="http://schemas.openxmlformats.org/wordprocessingml/2006/main">
  <w:divs>
    <w:div w:id="1757938867">
      <w:marLeft w:val="0"/>
      <w:marRight w:val="0"/>
      <w:marTop w:val="0"/>
      <w:marBottom w:val="0"/>
      <w:divBdr>
        <w:top w:val="none" w:sz="0" w:space="0" w:color="auto"/>
        <w:left w:val="none" w:sz="0" w:space="0" w:color="auto"/>
        <w:bottom w:val="none" w:sz="0" w:space="0" w:color="auto"/>
        <w:right w:val="none" w:sz="0" w:space="0" w:color="auto"/>
      </w:divBdr>
      <w:divsChild>
        <w:div w:id="1757938868">
          <w:marLeft w:val="0"/>
          <w:marRight w:val="0"/>
          <w:marTop w:val="0"/>
          <w:marBottom w:val="0"/>
          <w:divBdr>
            <w:top w:val="none" w:sz="0" w:space="0" w:color="auto"/>
            <w:left w:val="none" w:sz="0" w:space="0" w:color="auto"/>
            <w:bottom w:val="none" w:sz="0" w:space="0" w:color="auto"/>
            <w:right w:val="none" w:sz="0" w:space="0" w:color="auto"/>
          </w:divBdr>
        </w:div>
      </w:divsChild>
    </w:div>
    <w:div w:id="17579388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254</Words>
  <Characters>1450</Characters>
  <Application>Microsoft Office Word</Application>
  <DocSecurity>0</DocSecurity>
  <Lines>12</Lines>
  <Paragraphs>3</Paragraphs>
  <ScaleCrop>false</ScaleCrop>
  <Company>Microsoft</Company>
  <LinksUpToDate>false</LinksUpToDate>
  <CharactersWithSpaces>1701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广府办发〔2017〕77号</dc:title>
  <dc:subject/>
  <dc:creator>PC</dc:creator>
  <cp:keywords/>
  <dc:description/>
  <cp:lastModifiedBy>综合科:王晓英</cp:lastModifiedBy>
  <cp:revision>4</cp:revision>
  <cp:lastPrinted>2017-06-28T08:11:00Z</cp:lastPrinted>
  <dcterms:created xsi:type="dcterms:W3CDTF">2017-06-28T08:11:00Z</dcterms:created>
  <dcterms:modified xsi:type="dcterms:W3CDTF">2017-06-30T02:57:00Z</dcterms:modified>
</cp:coreProperties>
</file>