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40" w:lineRule="exact"/>
        <w:ind w:firstLine="3120" w:firstLineChars="600"/>
        <w:outlineLvl w:val="0"/>
        <w:rPr>
          <w:rFonts w:ascii="黑体" w:hAnsi="黑体" w:eastAsia="黑体"/>
          <w:color w:val="000000" w:themeColor="text1"/>
          <w:sz w:val="52"/>
          <w:szCs w:val="52"/>
          <w14:textFill>
            <w14:solidFill>
              <w14:schemeClr w14:val="tx1"/>
            </w14:solidFill>
          </w14:textFill>
        </w:rPr>
      </w:pPr>
      <w:bookmarkStart w:id="0" w:name="_Toc15377425"/>
      <w:bookmarkStart w:id="1" w:name="_Toc15378441"/>
      <w:bookmarkStart w:id="2" w:name="_Toc15396475"/>
      <w:bookmarkStart w:id="3" w:name="_Toc15396597"/>
      <w:bookmarkStart w:id="4" w:name="_Toc15377193"/>
      <w:bookmarkStart w:id="5" w:name="_Toc15306267"/>
    </w:p>
    <w:p>
      <w:pPr>
        <w:adjustRightInd w:val="0"/>
        <w:snapToGrid w:val="0"/>
        <w:spacing w:line="840" w:lineRule="exact"/>
        <w:ind w:firstLine="3120" w:firstLineChars="600"/>
        <w:outlineLvl w:val="0"/>
        <w:rPr>
          <w:rFonts w:ascii="方正小标宋简体" w:hAnsi="宋体" w:eastAsia="方正小标宋简体"/>
          <w:color w:val="000000" w:themeColor="text1"/>
          <w:sz w:val="52"/>
          <w:szCs w:val="52"/>
          <w14:textFill>
            <w14:solidFill>
              <w14:schemeClr w14:val="tx1"/>
            </w14:solidFill>
          </w14:textFill>
        </w:rPr>
      </w:pPr>
      <w:bookmarkStart w:id="6" w:name="_Toc20390753"/>
      <w:r>
        <w:rPr>
          <w:rFonts w:ascii="黑体" w:hAnsi="黑体" w:eastAsia="黑体"/>
          <w:color w:val="000000" w:themeColor="text1"/>
          <w:sz w:val="52"/>
          <w:szCs w:val="52"/>
          <w14:textFill>
            <w14:solidFill>
              <w14:schemeClr w14:val="tx1"/>
            </w14:solidFill>
          </w14:textFill>
        </w:rPr>
        <w:t>201</w:t>
      </w:r>
      <w:r>
        <w:rPr>
          <w:rFonts w:hint="eastAsia" w:ascii="黑体" w:hAnsi="黑体" w:eastAsia="黑体"/>
          <w:color w:val="000000" w:themeColor="text1"/>
          <w:sz w:val="52"/>
          <w:szCs w:val="52"/>
          <w14:textFill>
            <w14:solidFill>
              <w14:schemeClr w14:val="tx1"/>
            </w14:solidFill>
          </w14:textFill>
        </w:rPr>
        <w:t>8</w:t>
      </w:r>
      <w:r>
        <w:rPr>
          <w:rFonts w:hint="eastAsia" w:ascii="方正小标宋简体" w:hAnsi="宋体" w:eastAsia="方正小标宋简体"/>
          <w:color w:val="000000" w:themeColor="text1"/>
          <w:sz w:val="52"/>
          <w:szCs w:val="52"/>
          <w14:textFill>
            <w14:solidFill>
              <w14:schemeClr w14:val="tx1"/>
            </w14:solidFill>
          </w14:textFill>
        </w:rPr>
        <w:t>年度</w:t>
      </w:r>
      <w:bookmarkEnd w:id="0"/>
      <w:bookmarkEnd w:id="1"/>
      <w:bookmarkEnd w:id="2"/>
      <w:bookmarkEnd w:id="3"/>
      <w:bookmarkEnd w:id="4"/>
      <w:bookmarkEnd w:id="6"/>
    </w:p>
    <w:p>
      <w:pPr>
        <w:adjustRightInd w:val="0"/>
        <w:snapToGrid w:val="0"/>
        <w:spacing w:line="840" w:lineRule="exact"/>
        <w:jc w:val="center"/>
        <w:outlineLvl w:val="0"/>
        <w:rPr>
          <w:rFonts w:ascii="方正小标宋简体" w:hAnsi="宋体" w:eastAsia="方正小标宋简体"/>
          <w:color w:val="000000" w:themeColor="text1"/>
          <w:sz w:val="52"/>
          <w:szCs w:val="52"/>
          <w14:textFill>
            <w14:solidFill>
              <w14:schemeClr w14:val="tx1"/>
            </w14:solidFill>
          </w14:textFill>
        </w:rPr>
      </w:pPr>
      <w:bookmarkStart w:id="7" w:name="_Toc20390754"/>
      <w:bookmarkStart w:id="8" w:name="_Toc15377194"/>
      <w:bookmarkStart w:id="9" w:name="_Toc15378442"/>
      <w:bookmarkStart w:id="10" w:name="_Toc15396598"/>
      <w:bookmarkStart w:id="11" w:name="_Toc15396476"/>
      <w:bookmarkStart w:id="12" w:name="_Toc15377426"/>
      <w:r>
        <w:rPr>
          <w:rFonts w:hint="eastAsia" w:ascii="方正小标宋简体" w:hAnsi="宋体" w:eastAsia="方正小标宋简体"/>
          <w:color w:val="000000" w:themeColor="text1"/>
          <w:sz w:val="52"/>
          <w:szCs w:val="52"/>
          <w14:textFill>
            <w14:solidFill>
              <w14:schemeClr w14:val="tx1"/>
            </w14:solidFill>
          </w14:textFill>
        </w:rPr>
        <w:t>四川省广元市</w:t>
      </w:r>
      <w:bookmarkEnd w:id="5"/>
      <w:bookmarkStart w:id="13" w:name="_Toc15306268"/>
      <w:r>
        <w:rPr>
          <w:rFonts w:hint="eastAsia" w:ascii="方正小标宋简体" w:hAnsi="宋体" w:eastAsia="方正小标宋简体"/>
          <w:color w:val="000000" w:themeColor="text1"/>
          <w:sz w:val="52"/>
          <w:szCs w:val="52"/>
          <w14:textFill>
            <w14:solidFill>
              <w14:schemeClr w14:val="tx1"/>
            </w14:solidFill>
          </w14:textFill>
        </w:rPr>
        <w:t>人民政府办公室</w:t>
      </w:r>
      <w:bookmarkEnd w:id="7"/>
    </w:p>
    <w:p>
      <w:pPr>
        <w:adjustRightInd w:val="0"/>
        <w:snapToGrid w:val="0"/>
        <w:spacing w:line="840" w:lineRule="exact"/>
        <w:jc w:val="center"/>
        <w:outlineLvl w:val="0"/>
        <w:rPr>
          <w:rFonts w:ascii="方正小标宋简体" w:hAnsi="宋体" w:eastAsia="方正小标宋简体"/>
          <w:color w:val="000000" w:themeColor="text1"/>
          <w:sz w:val="52"/>
          <w:szCs w:val="52"/>
          <w14:textFill>
            <w14:solidFill>
              <w14:schemeClr w14:val="tx1"/>
            </w14:solidFill>
          </w14:textFill>
        </w:rPr>
      </w:pPr>
    </w:p>
    <w:p>
      <w:pPr>
        <w:adjustRightInd w:val="0"/>
        <w:snapToGrid w:val="0"/>
        <w:spacing w:line="1200" w:lineRule="exact"/>
        <w:jc w:val="center"/>
        <w:outlineLvl w:val="0"/>
        <w:rPr>
          <w:rFonts w:ascii="方正魏碑简体" w:hAnsi="宋体" w:eastAsia="方正魏碑简体"/>
          <w:color w:val="000000" w:themeColor="text1"/>
          <w:sz w:val="110"/>
          <w:szCs w:val="110"/>
          <w14:textFill>
            <w14:solidFill>
              <w14:schemeClr w14:val="tx1"/>
            </w14:solidFill>
          </w14:textFill>
        </w:rPr>
      </w:pPr>
      <w:bookmarkStart w:id="14" w:name="_Toc20390755"/>
      <w:r>
        <w:rPr>
          <w:rFonts w:hint="eastAsia" w:ascii="方正魏碑简体" w:hAnsi="宋体" w:eastAsia="方正魏碑简体"/>
          <w:color w:val="000000" w:themeColor="text1"/>
          <w:sz w:val="110"/>
          <w:szCs w:val="110"/>
          <w14:textFill>
            <w14:solidFill>
              <w14:schemeClr w14:val="tx1"/>
            </w14:solidFill>
          </w14:textFill>
        </w:rPr>
        <w:t>部</w:t>
      </w:r>
      <w:bookmarkEnd w:id="14"/>
    </w:p>
    <w:p>
      <w:pPr>
        <w:adjustRightInd w:val="0"/>
        <w:snapToGrid w:val="0"/>
        <w:spacing w:line="1200" w:lineRule="exact"/>
        <w:jc w:val="center"/>
        <w:outlineLvl w:val="0"/>
        <w:rPr>
          <w:rFonts w:ascii="方正魏碑简体" w:hAnsi="宋体" w:eastAsia="方正魏碑简体"/>
          <w:color w:val="000000" w:themeColor="text1"/>
          <w:sz w:val="110"/>
          <w:szCs w:val="110"/>
          <w14:textFill>
            <w14:solidFill>
              <w14:schemeClr w14:val="tx1"/>
            </w14:solidFill>
          </w14:textFill>
        </w:rPr>
      </w:pPr>
      <w:bookmarkStart w:id="15" w:name="_Toc20390756"/>
      <w:r>
        <w:rPr>
          <w:rFonts w:hint="eastAsia" w:ascii="方正魏碑简体" w:hAnsi="宋体" w:eastAsia="方正魏碑简体"/>
          <w:color w:val="000000" w:themeColor="text1"/>
          <w:sz w:val="110"/>
          <w:szCs w:val="110"/>
          <w14:textFill>
            <w14:solidFill>
              <w14:schemeClr w14:val="tx1"/>
            </w14:solidFill>
          </w14:textFill>
        </w:rPr>
        <w:t>门</w:t>
      </w:r>
      <w:bookmarkEnd w:id="15"/>
    </w:p>
    <w:p>
      <w:pPr>
        <w:adjustRightInd w:val="0"/>
        <w:snapToGrid w:val="0"/>
        <w:spacing w:line="1200" w:lineRule="exact"/>
        <w:jc w:val="center"/>
        <w:outlineLvl w:val="0"/>
        <w:rPr>
          <w:rFonts w:ascii="方正魏碑简体" w:hAnsi="宋体" w:eastAsia="方正魏碑简体"/>
          <w:color w:val="000000" w:themeColor="text1"/>
          <w:sz w:val="110"/>
          <w:szCs w:val="110"/>
          <w14:textFill>
            <w14:solidFill>
              <w14:schemeClr w14:val="tx1"/>
            </w14:solidFill>
          </w14:textFill>
        </w:rPr>
      </w:pPr>
      <w:bookmarkStart w:id="16" w:name="_Toc20390757"/>
      <w:r>
        <w:rPr>
          <w:rFonts w:hint="eastAsia" w:ascii="方正魏碑简体" w:hAnsi="宋体" w:eastAsia="方正魏碑简体"/>
          <w:color w:val="000000" w:themeColor="text1"/>
          <w:sz w:val="110"/>
          <w:szCs w:val="110"/>
          <w14:textFill>
            <w14:solidFill>
              <w14:schemeClr w14:val="tx1"/>
            </w14:solidFill>
          </w14:textFill>
        </w:rPr>
        <w:t>决</w:t>
      </w:r>
      <w:bookmarkEnd w:id="16"/>
    </w:p>
    <w:p>
      <w:pPr>
        <w:adjustRightInd w:val="0"/>
        <w:snapToGrid w:val="0"/>
        <w:spacing w:line="1200" w:lineRule="exact"/>
        <w:jc w:val="center"/>
        <w:outlineLvl w:val="0"/>
        <w:rPr>
          <w:rFonts w:ascii="方正魏碑简体" w:hAnsi="宋体" w:eastAsia="方正魏碑简体"/>
          <w:color w:val="000000" w:themeColor="text1"/>
          <w:sz w:val="110"/>
          <w:szCs w:val="110"/>
          <w14:textFill>
            <w14:solidFill>
              <w14:schemeClr w14:val="tx1"/>
            </w14:solidFill>
          </w14:textFill>
        </w:rPr>
      </w:pPr>
      <w:bookmarkStart w:id="17" w:name="_Toc20390758"/>
      <w:r>
        <w:rPr>
          <w:rFonts w:hint="eastAsia" w:ascii="方正魏碑简体" w:hAnsi="宋体" w:eastAsia="方正魏碑简体"/>
          <w:color w:val="000000" w:themeColor="text1"/>
          <w:sz w:val="110"/>
          <w:szCs w:val="110"/>
          <w14:textFill>
            <w14:solidFill>
              <w14:schemeClr w14:val="tx1"/>
            </w14:solidFill>
          </w14:textFill>
        </w:rPr>
        <w:t>算</w:t>
      </w:r>
      <w:bookmarkEnd w:id="8"/>
      <w:bookmarkEnd w:id="9"/>
      <w:bookmarkEnd w:id="10"/>
      <w:bookmarkEnd w:id="11"/>
      <w:bookmarkEnd w:id="12"/>
      <w:bookmarkEnd w:id="13"/>
      <w:bookmarkEnd w:id="17"/>
    </w:p>
    <w:p>
      <w:pPr>
        <w:adjustRightInd w:val="0"/>
        <w:snapToGrid w:val="0"/>
        <w:spacing w:line="1200" w:lineRule="exact"/>
        <w:jc w:val="center"/>
        <w:outlineLvl w:val="0"/>
        <w:rPr>
          <w:rFonts w:ascii="方正魏碑简体" w:hAnsi="宋体" w:eastAsia="方正魏碑简体"/>
          <w:color w:val="000000" w:themeColor="text1"/>
          <w:sz w:val="110"/>
          <w:szCs w:val="110"/>
          <w14:textFill>
            <w14:solidFill>
              <w14:schemeClr w14:val="tx1"/>
            </w14:solidFill>
          </w14:textFill>
        </w:rPr>
      </w:pPr>
      <w:bookmarkStart w:id="18" w:name="_Toc20390759"/>
      <w:r>
        <w:rPr>
          <w:rFonts w:hint="eastAsia" w:ascii="方正魏碑简体" w:hAnsi="宋体" w:eastAsia="方正魏碑简体"/>
          <w:color w:val="000000" w:themeColor="text1"/>
          <w:sz w:val="110"/>
          <w:szCs w:val="110"/>
          <w14:textFill>
            <w14:solidFill>
              <w14:schemeClr w14:val="tx1"/>
            </w14:solidFill>
          </w14:textFill>
        </w:rPr>
        <w:t>编</w:t>
      </w:r>
      <w:bookmarkEnd w:id="18"/>
    </w:p>
    <w:p>
      <w:pPr>
        <w:adjustRightInd w:val="0"/>
        <w:snapToGrid w:val="0"/>
        <w:spacing w:line="1200" w:lineRule="exact"/>
        <w:jc w:val="center"/>
        <w:outlineLvl w:val="0"/>
        <w:rPr>
          <w:rFonts w:ascii="方正魏碑简体" w:hAnsi="宋体" w:eastAsia="方正魏碑简体"/>
          <w:color w:val="000000" w:themeColor="text1"/>
          <w:sz w:val="110"/>
          <w:szCs w:val="110"/>
          <w14:textFill>
            <w14:solidFill>
              <w14:schemeClr w14:val="tx1"/>
            </w14:solidFill>
          </w14:textFill>
        </w:rPr>
      </w:pPr>
      <w:bookmarkStart w:id="19" w:name="_Toc20390760"/>
      <w:r>
        <w:rPr>
          <w:rFonts w:hint="eastAsia" w:ascii="方正魏碑简体" w:hAnsi="宋体" w:eastAsia="方正魏碑简体"/>
          <w:color w:val="000000" w:themeColor="text1"/>
          <w:sz w:val="110"/>
          <w:szCs w:val="110"/>
          <w14:textFill>
            <w14:solidFill>
              <w14:schemeClr w14:val="tx1"/>
            </w14:solidFill>
          </w14:textFill>
        </w:rPr>
        <w:t>制</w:t>
      </w:r>
      <w:bookmarkEnd w:id="19"/>
    </w:p>
    <w:p>
      <w:pPr>
        <w:adjustRightInd w:val="0"/>
        <w:snapToGrid w:val="0"/>
        <w:spacing w:line="1200" w:lineRule="exact"/>
        <w:jc w:val="center"/>
        <w:outlineLvl w:val="0"/>
        <w:rPr>
          <w:rFonts w:ascii="方正魏碑简体" w:hAnsi="宋体" w:eastAsia="方正魏碑简体"/>
          <w:color w:val="000000" w:themeColor="text1"/>
          <w:sz w:val="110"/>
          <w:szCs w:val="110"/>
          <w14:textFill>
            <w14:solidFill>
              <w14:schemeClr w14:val="tx1"/>
            </w14:solidFill>
          </w14:textFill>
        </w:rPr>
      </w:pPr>
      <w:bookmarkStart w:id="20" w:name="_Toc20390761"/>
      <w:r>
        <w:rPr>
          <w:rFonts w:hint="eastAsia" w:ascii="方正魏碑简体" w:hAnsi="宋体" w:eastAsia="方正魏碑简体"/>
          <w:color w:val="000000" w:themeColor="text1"/>
          <w:sz w:val="110"/>
          <w:szCs w:val="110"/>
          <w14:textFill>
            <w14:solidFill>
              <w14:schemeClr w14:val="tx1"/>
            </w14:solidFill>
          </w14:textFill>
        </w:rPr>
        <w:t>说</w:t>
      </w:r>
      <w:bookmarkEnd w:id="20"/>
    </w:p>
    <w:p>
      <w:pPr>
        <w:adjustRightInd w:val="0"/>
        <w:snapToGrid w:val="0"/>
        <w:spacing w:line="1200" w:lineRule="exact"/>
        <w:jc w:val="center"/>
        <w:outlineLvl w:val="0"/>
        <w:rPr>
          <w:rFonts w:ascii="方正魏碑简体" w:hAnsi="宋体" w:eastAsia="方正魏碑简体"/>
          <w:color w:val="000000" w:themeColor="text1"/>
          <w:sz w:val="110"/>
          <w:szCs w:val="110"/>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NumType w:start="1"/>
          <w:cols w:space="425" w:num="1"/>
          <w:titlePg/>
          <w:docGrid w:type="lines" w:linePitch="312" w:charSpace="0"/>
        </w:sectPr>
      </w:pPr>
      <w:bookmarkStart w:id="21" w:name="_Toc20390762"/>
      <w:r>
        <w:rPr>
          <w:rFonts w:ascii="方正魏碑简体" w:hAnsi="宋体" w:eastAsia="方正魏碑简体"/>
          <w:color w:val="000000" w:themeColor="text1"/>
          <w:sz w:val="110"/>
          <w:szCs w:val="11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4550410</wp:posOffset>
                </wp:positionH>
                <wp:positionV relativeFrom="paragraph">
                  <wp:posOffset>1430655</wp:posOffset>
                </wp:positionV>
                <wp:extent cx="1255395" cy="382270"/>
                <wp:effectExtent l="5080" t="4445" r="15875" b="13335"/>
                <wp:wrapNone/>
                <wp:docPr id="2" name="文本框 3"/>
                <wp:cNvGraphicFramePr/>
                <a:graphic xmlns:a="http://schemas.openxmlformats.org/drawingml/2006/main">
                  <a:graphicData uri="http://schemas.microsoft.com/office/word/2010/wordprocessingShape">
                    <wps:wsp>
                      <wps:cNvSpPr txBox="1"/>
                      <wps:spPr>
                        <a:xfrm>
                          <a:off x="0" y="0"/>
                          <a:ext cx="1255395" cy="382270"/>
                        </a:xfrm>
                        <a:prstGeom prst="rect">
                          <a:avLst/>
                        </a:prstGeom>
                        <a:solidFill>
                          <a:srgbClr val="FFFFFF"/>
                        </a:solidFill>
                        <a:ln w="9525" cap="flat" cmpd="sng">
                          <a:solidFill>
                            <a:srgbClr val="FFFFFF"/>
                          </a:solidFill>
                          <a:prstDash val="solid"/>
                          <a:miter/>
                          <a:headEnd type="none" w="med" len="med"/>
                          <a:tailEnd type="none" w="med" len="med"/>
                        </a:ln>
                      </wps:spPr>
                      <wps:txbx>
                        <w:txbxContent>
                          <w:p>
                            <w:r>
                              <w:drawing>
                                <wp:inline distT="0" distB="0" distL="0" distR="0">
                                  <wp:extent cx="1062990" cy="330835"/>
                                  <wp:effectExtent l="19050" t="0" r="381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a:srcRect/>
                                          <a:stretch>
                                            <a:fillRect/>
                                          </a:stretch>
                                        </pic:blipFill>
                                        <pic:spPr>
                                          <a:xfrm>
                                            <a:off x="0" y="0"/>
                                            <a:ext cx="1062990" cy="331287"/>
                                          </a:xfrm>
                                          <a:prstGeom prst="rect">
                                            <a:avLst/>
                                          </a:prstGeom>
                                          <a:noFill/>
                                          <a:ln w="9525">
                                            <a:noFill/>
                                            <a:miter lim="800000"/>
                                            <a:headEnd/>
                                            <a:tailEnd/>
                                          </a:ln>
                                        </pic:spPr>
                                      </pic:pic>
                                    </a:graphicData>
                                  </a:graphic>
                                </wp:inline>
                              </w:drawing>
                            </w:r>
                          </w:p>
                        </w:txbxContent>
                      </wps:txbx>
                      <wps:bodyPr upright="1"/>
                    </wps:wsp>
                  </a:graphicData>
                </a:graphic>
              </wp:anchor>
            </w:drawing>
          </mc:Choice>
          <mc:Fallback>
            <w:pict>
              <v:shape id="文本框 3" o:spid="_x0000_s1026" o:spt="202" type="#_x0000_t202" style="position:absolute;left:0pt;margin-left:358.3pt;margin-top:112.65pt;height:30.1pt;width:98.85pt;z-index:251659264;mso-width-relative:page;mso-height-relative:page;" fillcolor="#FFFFFF" filled="t" stroked="t" coordsize="21600,21600" o:gfxdata="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50uutkAAAALAQAADwAAAAAAAAABACAAAAAiAAAAZHJzL2Rvd25yZXYueG1sUEsBAhQAFAAA&#10;AAgAh07iQKgbUUPuAQAA6AMAAA4AAAAAAAAAAQAgAAAAKAEAAGRycy9lMm9Eb2MueG1sUEsFBgAA&#10;AAAGAAYAWQEAAIgFAAAAAA==&#10;">
                <v:fill on="t" focussize="0,0"/>
                <v:stroke color="#FFFFFF" joinstyle="miter"/>
                <v:imagedata o:title=""/>
                <o:lock v:ext="edit" aspectratio="f"/>
                <v:textbox>
                  <w:txbxContent>
                    <w:p>
                      <w:r>
                        <w:drawing>
                          <wp:inline distT="0" distB="0" distL="0" distR="0">
                            <wp:extent cx="1062990" cy="330835"/>
                            <wp:effectExtent l="19050" t="0" r="381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a:srcRect/>
                                    <a:stretch>
                                      <a:fillRect/>
                                    </a:stretch>
                                  </pic:blipFill>
                                  <pic:spPr>
                                    <a:xfrm>
                                      <a:off x="0" y="0"/>
                                      <a:ext cx="1062990" cy="331287"/>
                                    </a:xfrm>
                                    <a:prstGeom prst="rect">
                                      <a:avLst/>
                                    </a:prstGeom>
                                    <a:noFill/>
                                    <a:ln w="9525">
                                      <a:noFill/>
                                      <a:miter lim="800000"/>
                                      <a:headEnd/>
                                      <a:tailEnd/>
                                    </a:ln>
                                  </pic:spPr>
                                </pic:pic>
                              </a:graphicData>
                            </a:graphic>
                          </wp:inline>
                        </w:drawing>
                      </w:r>
                    </w:p>
                  </w:txbxContent>
                </v:textbox>
              </v:shape>
            </w:pict>
          </mc:Fallback>
        </mc:AlternateContent>
      </w:r>
      <w:r>
        <w:rPr>
          <w:rFonts w:hint="eastAsia" w:ascii="方正魏碑简体" w:hAnsi="宋体" w:eastAsia="方正魏碑简体"/>
          <w:color w:val="000000" w:themeColor="text1"/>
          <w:sz w:val="110"/>
          <w:szCs w:val="110"/>
          <w14:textFill>
            <w14:solidFill>
              <w14:schemeClr w14:val="tx1"/>
            </w14:solidFill>
          </w14:textFill>
        </w:rPr>
        <w:t>明</w:t>
      </w:r>
      <w:bookmarkEnd w:id="21"/>
    </w:p>
    <w:p>
      <w:pPr>
        <w:widowControl/>
        <w:spacing w:line="60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目   录</w:t>
      </w:r>
    </w:p>
    <w:p>
      <w:pPr>
        <w:pStyle w:val="10"/>
        <w:spacing w:before="0" w:line="360" w:lineRule="exact"/>
        <w:rPr>
          <w:rFonts w:ascii="楷体_GB2312" w:eastAsia="楷体_GB2312" w:hAnsiTheme="minorHAnsi" w:cstheme="minorBidi"/>
          <w:color w:val="000000" w:themeColor="text1"/>
          <w14:textFill>
            <w14:solidFill>
              <w14:schemeClr w14:val="tx1"/>
            </w14:solidFill>
          </w14:textFill>
        </w:rPr>
      </w:pPr>
      <w:r>
        <w:rPr>
          <w:rFonts w:hint="eastAsia" w:ascii="楷体_GB2312" w:hAnsi="黑体" w:eastAsia="楷体_GB2312"/>
          <w:color w:val="000000" w:themeColor="text1"/>
          <w:lang w:eastAsia="zh-CN"/>
          <w14:textFill>
            <w14:solidFill>
              <w14:schemeClr w14:val="tx1"/>
            </w14:solidFill>
          </w14:textFill>
        </w:rPr>
        <w:t>（</w:t>
      </w:r>
      <w:bookmarkStart w:id="81" w:name="_GoBack"/>
      <w:bookmarkEnd w:id="81"/>
      <w:r>
        <w:rPr>
          <w:rFonts w:hint="eastAsia" w:ascii="楷体_GB2312" w:hAnsi="黑体" w:eastAsia="楷体_GB2312"/>
          <w:color w:val="000000" w:themeColor="text1"/>
          <w:lang w:val="en-US" w:eastAsia="zh-CN"/>
          <w14:textFill>
            <w14:solidFill>
              <w14:schemeClr w14:val="tx1"/>
            </w14:solidFill>
          </w14:textFill>
        </w:rPr>
        <w:t>2019年9月29日</w:t>
      </w:r>
      <w:r>
        <w:rPr>
          <w:rFonts w:hint="eastAsia" w:ascii="楷体_GB2312" w:hAnsi="黑体" w:eastAsia="楷体_GB2312"/>
          <w:color w:val="000000" w:themeColor="text1"/>
          <w:lang w:eastAsia="zh-CN"/>
          <w14:textFill>
            <w14:solidFill>
              <w14:schemeClr w14:val="tx1"/>
            </w14:solidFill>
          </w14:textFill>
        </w:rPr>
        <w:t>）</w:t>
      </w:r>
      <w:r>
        <w:rPr>
          <w:rFonts w:hint="eastAsia" w:ascii="楷体_GB2312" w:hAnsi="黑体" w:eastAsia="楷体_GB2312"/>
          <w:color w:val="000000" w:themeColor="text1"/>
          <w14:textFill>
            <w14:solidFill>
              <w14:schemeClr w14:val="tx1"/>
            </w14:solidFill>
          </w14:textFill>
        </w:rPr>
        <w:fldChar w:fldCharType="begin"/>
      </w:r>
      <w:r>
        <w:rPr>
          <w:rFonts w:hint="eastAsia" w:ascii="楷体_GB2312" w:hAnsi="黑体" w:eastAsia="楷体_GB2312"/>
          <w:color w:val="000000" w:themeColor="text1"/>
          <w14:textFill>
            <w14:solidFill>
              <w14:schemeClr w14:val="tx1"/>
            </w14:solidFill>
          </w14:textFill>
        </w:rPr>
        <w:instrText xml:space="preserve"> TOC \o "1-2" \h \z \u </w:instrText>
      </w:r>
      <w:r>
        <w:rPr>
          <w:rFonts w:hint="eastAsia" w:ascii="楷体_GB2312" w:hAnsi="黑体" w:eastAsia="楷体_GB2312"/>
          <w:color w:val="000000" w:themeColor="text1"/>
          <w14:textFill>
            <w14:solidFill>
              <w14:schemeClr w14:val="tx1"/>
            </w14:solidFill>
          </w14:textFill>
        </w:rPr>
        <w:fldChar w:fldCharType="separate"/>
      </w:r>
    </w:p>
    <w:p>
      <w:pPr>
        <w:pStyle w:val="10"/>
        <w:spacing w:before="0" w:line="360" w:lineRule="exact"/>
        <w:rPr>
          <w:rFonts w:ascii="黑体" w:hAnsi="黑体" w:eastAsia="黑体" w:cstheme="minorBidi"/>
          <w:color w:val="000000" w:themeColor="text1"/>
          <w14:textFill>
            <w14:solidFill>
              <w14:schemeClr w14:val="tx1"/>
            </w14:solidFill>
          </w14:textFill>
        </w:rPr>
      </w:pPr>
      <w:r>
        <w:fldChar w:fldCharType="begin"/>
      </w:r>
      <w:r>
        <w:instrText xml:space="preserve"> HYPERLINK \l "_Toc20390763" </w:instrText>
      </w:r>
      <w:r>
        <w:fldChar w:fldCharType="separate"/>
      </w:r>
      <w:r>
        <w:rPr>
          <w:rStyle w:val="17"/>
          <w:rFonts w:hint="eastAsia" w:ascii="黑体" w:hAnsi="黑体" w:eastAsia="黑体"/>
          <w:color w:val="000000" w:themeColor="text1"/>
          <w14:textFill>
            <w14:solidFill>
              <w14:schemeClr w14:val="tx1"/>
            </w14:solidFill>
          </w14:textFill>
        </w:rPr>
        <w:t>第一部分  部门概况</w:t>
      </w:r>
      <w:r>
        <w:rPr>
          <w:rFonts w:hint="eastAsia" w:ascii="黑体" w:hAnsi="黑体" w:eastAsia="黑体"/>
          <w:color w:val="000000" w:themeColor="text1"/>
          <w14:textFill>
            <w14:solidFill>
              <w14:schemeClr w14:val="tx1"/>
            </w14:solidFill>
          </w14:textFill>
        </w:rPr>
        <w:tab/>
      </w:r>
      <w:r>
        <w:rPr>
          <w:rFonts w:hint="eastAsia" w:ascii="黑体" w:hAnsi="黑体" w:eastAsia="黑体"/>
          <w:color w:val="000000" w:themeColor="text1"/>
          <w14:textFill>
            <w14:solidFill>
              <w14:schemeClr w14:val="tx1"/>
            </w14:solidFill>
          </w14:textFill>
        </w:rPr>
        <w:fldChar w:fldCharType="begin"/>
      </w:r>
      <w:r>
        <w:rPr>
          <w:rFonts w:hint="eastAsia" w:ascii="黑体" w:hAnsi="黑体" w:eastAsia="黑体"/>
          <w:color w:val="000000" w:themeColor="text1"/>
          <w14:textFill>
            <w14:solidFill>
              <w14:schemeClr w14:val="tx1"/>
            </w14:solidFill>
          </w14:textFill>
        </w:rPr>
        <w:instrText xml:space="preserve"> PAGEREF _Toc20390763 \h </w:instrText>
      </w:r>
      <w:r>
        <w:rPr>
          <w:rFonts w:hint="eastAsia" w:ascii="黑体" w:hAnsi="黑体" w:eastAsia="黑体"/>
          <w:color w:val="000000" w:themeColor="text1"/>
          <w14:textFill>
            <w14:solidFill>
              <w14:schemeClr w14:val="tx1"/>
            </w14:solidFill>
          </w14:textFill>
        </w:rPr>
        <w:fldChar w:fldCharType="separate"/>
      </w:r>
      <w:r>
        <w:rPr>
          <w:rFonts w:hint="eastAsia" w:ascii="黑体" w:hAnsi="黑体" w:eastAsia="黑体"/>
          <w:color w:val="000000" w:themeColor="text1"/>
          <w14:textFill>
            <w14:solidFill>
              <w14:schemeClr w14:val="tx1"/>
            </w14:solidFill>
          </w14:textFill>
        </w:rPr>
        <w:t>1</w:t>
      </w:r>
      <w:r>
        <w:rPr>
          <w:rFonts w:hint="eastAsia" w:ascii="黑体" w:hAnsi="黑体" w:eastAsia="黑体"/>
          <w:color w:val="000000" w:themeColor="text1"/>
          <w14:textFill>
            <w14:solidFill>
              <w14:schemeClr w14:val="tx1"/>
            </w14:solidFill>
          </w14:textFill>
        </w:rPr>
        <w:fldChar w:fldCharType="end"/>
      </w:r>
      <w:r>
        <w:rPr>
          <w:rFonts w:hint="eastAsia" w:ascii="黑体" w:hAnsi="黑体" w:eastAsia="黑体"/>
          <w:color w:val="000000" w:themeColor="text1"/>
          <w14:textFill>
            <w14:solidFill>
              <w14:schemeClr w14:val="tx1"/>
            </w14:solidFill>
          </w14:textFill>
        </w:rPr>
        <w:fldChar w:fldCharType="end"/>
      </w:r>
    </w:p>
    <w:p>
      <w:pPr>
        <w:pStyle w:val="11"/>
        <w:spacing w:line="360" w:lineRule="exact"/>
        <w:rPr>
          <w:rFonts w:ascii="楷体_GB2312" w:eastAsia="楷体_GB2312" w:hAnsiTheme="minorHAnsi" w:cstheme="minorBidi"/>
          <w:color w:val="000000" w:themeColor="text1"/>
          <w:sz w:val="28"/>
          <w:szCs w:val="28"/>
          <w14:textFill>
            <w14:solidFill>
              <w14:schemeClr w14:val="tx1"/>
            </w14:solidFill>
          </w14:textFill>
        </w:rPr>
      </w:pPr>
      <w:r>
        <w:fldChar w:fldCharType="begin"/>
      </w:r>
      <w:r>
        <w:instrText xml:space="preserve"> HYPERLINK \l "_Toc20390764" </w:instrText>
      </w:r>
      <w:r>
        <w:fldChar w:fldCharType="separate"/>
      </w:r>
      <w:r>
        <w:rPr>
          <w:rStyle w:val="17"/>
          <w:rFonts w:hint="eastAsia" w:ascii="楷体_GB2312" w:hAnsi="黑体" w:eastAsia="楷体_GB2312"/>
          <w:color w:val="000000" w:themeColor="text1"/>
          <w:sz w:val="28"/>
          <w:szCs w:val="28"/>
          <w14:textFill>
            <w14:solidFill>
              <w14:schemeClr w14:val="tx1"/>
            </w14:solidFill>
          </w14:textFill>
        </w:rPr>
        <w:t>一、基本职能及主要工作</w:t>
      </w:r>
      <w:r>
        <w:rPr>
          <w:rFonts w:hint="eastAsia" w:ascii="楷体_GB2312" w:eastAsia="楷体_GB2312"/>
          <w:color w:val="000000" w:themeColor="text1"/>
          <w:sz w:val="28"/>
          <w:szCs w:val="28"/>
          <w14:textFill>
            <w14:solidFill>
              <w14:schemeClr w14:val="tx1"/>
            </w14:solidFill>
          </w14:textFill>
        </w:rPr>
        <w:tab/>
      </w:r>
      <w:r>
        <w:rPr>
          <w:rFonts w:hint="eastAsia" w:ascii="楷体_GB2312" w:eastAsia="楷体_GB2312"/>
          <w:color w:val="000000" w:themeColor="text1"/>
          <w:sz w:val="28"/>
          <w:szCs w:val="28"/>
          <w14:textFill>
            <w14:solidFill>
              <w14:schemeClr w14:val="tx1"/>
            </w14:solidFill>
          </w14:textFill>
        </w:rPr>
        <w:fldChar w:fldCharType="begin"/>
      </w:r>
      <w:r>
        <w:rPr>
          <w:rFonts w:hint="eastAsia" w:ascii="楷体_GB2312" w:eastAsia="楷体_GB2312"/>
          <w:color w:val="000000" w:themeColor="text1"/>
          <w:sz w:val="28"/>
          <w:szCs w:val="28"/>
          <w14:textFill>
            <w14:solidFill>
              <w14:schemeClr w14:val="tx1"/>
            </w14:solidFill>
          </w14:textFill>
        </w:rPr>
        <w:instrText xml:space="preserve"> PAGEREF _Toc20390764 \h </w:instrText>
      </w:r>
      <w:r>
        <w:rPr>
          <w:rFonts w:hint="eastAsia" w:ascii="楷体_GB2312" w:eastAsia="楷体_GB2312"/>
          <w:color w:val="000000" w:themeColor="text1"/>
          <w:sz w:val="28"/>
          <w:szCs w:val="28"/>
          <w14:textFill>
            <w14:solidFill>
              <w14:schemeClr w14:val="tx1"/>
            </w14:solidFill>
          </w14:textFill>
        </w:rPr>
        <w:fldChar w:fldCharType="separate"/>
      </w:r>
      <w:r>
        <w:rPr>
          <w:rFonts w:hint="eastAsia" w:ascii="楷体_GB2312" w:eastAsia="楷体_GB2312"/>
          <w:color w:val="000000" w:themeColor="text1"/>
          <w:sz w:val="28"/>
          <w:szCs w:val="28"/>
          <w14:textFill>
            <w14:solidFill>
              <w14:schemeClr w14:val="tx1"/>
            </w14:solidFill>
          </w14:textFill>
        </w:rPr>
        <w:t>1</w:t>
      </w:r>
      <w:r>
        <w:rPr>
          <w:rFonts w:hint="eastAsia" w:ascii="楷体_GB2312" w:eastAsia="楷体_GB2312"/>
          <w:color w:val="000000" w:themeColor="text1"/>
          <w:sz w:val="28"/>
          <w:szCs w:val="28"/>
          <w14:textFill>
            <w14:solidFill>
              <w14:schemeClr w14:val="tx1"/>
            </w14:solidFill>
          </w14:textFill>
        </w:rPr>
        <w:fldChar w:fldCharType="end"/>
      </w:r>
      <w:r>
        <w:rPr>
          <w:rFonts w:hint="eastAsia" w:ascii="楷体_GB2312" w:eastAsia="楷体_GB2312"/>
          <w:color w:val="000000" w:themeColor="text1"/>
          <w:sz w:val="28"/>
          <w:szCs w:val="28"/>
          <w14:textFill>
            <w14:solidFill>
              <w14:schemeClr w14:val="tx1"/>
            </w14:solidFill>
          </w14:textFill>
        </w:rPr>
        <w:fldChar w:fldCharType="end"/>
      </w:r>
    </w:p>
    <w:p>
      <w:pPr>
        <w:pStyle w:val="10"/>
        <w:spacing w:before="0" w:line="360" w:lineRule="exact"/>
        <w:rPr>
          <w:rStyle w:val="17"/>
          <w:rFonts w:ascii="黑体" w:hAnsi="黑体" w:eastAsia="黑体"/>
          <w:color w:val="000000" w:themeColor="text1"/>
          <w14:textFill>
            <w14:solidFill>
              <w14:schemeClr w14:val="tx1"/>
            </w14:solidFill>
          </w14:textFill>
        </w:rPr>
      </w:pPr>
      <w:r>
        <w:fldChar w:fldCharType="begin"/>
      </w:r>
      <w:r>
        <w:instrText xml:space="preserve"> HYPERLINK \l "_Toc20390765" </w:instrText>
      </w:r>
      <w:r>
        <w:fldChar w:fldCharType="separate"/>
      </w:r>
      <w:r>
        <w:rPr>
          <w:rStyle w:val="17"/>
          <w:rFonts w:hint="eastAsia" w:ascii="黑体" w:hAnsi="黑体" w:eastAsia="黑体"/>
          <w:color w:val="000000" w:themeColor="text1"/>
          <w14:textFill>
            <w14:solidFill>
              <w14:schemeClr w14:val="tx1"/>
            </w14:solidFill>
          </w14:textFill>
        </w:rPr>
        <w:t>第二部分  2018年度部门决算情况</w:t>
      </w:r>
      <w:r>
        <w:rPr>
          <w:rStyle w:val="17"/>
          <w:rFonts w:ascii="黑体" w:hAnsi="黑体" w:eastAsia="黑体"/>
          <w:color w:val="000000" w:themeColor="text1"/>
          <w14:textFill>
            <w14:solidFill>
              <w14:schemeClr w14:val="tx1"/>
            </w14:solidFill>
          </w14:textFill>
        </w:rPr>
        <w:tab/>
      </w:r>
      <w:r>
        <w:rPr>
          <w:rStyle w:val="17"/>
          <w:rFonts w:ascii="黑体" w:hAnsi="黑体" w:eastAsia="黑体"/>
          <w:color w:val="000000" w:themeColor="text1"/>
          <w14:textFill>
            <w14:solidFill>
              <w14:schemeClr w14:val="tx1"/>
            </w14:solidFill>
          </w14:textFill>
        </w:rPr>
        <w:fldChar w:fldCharType="begin"/>
      </w:r>
      <w:r>
        <w:rPr>
          <w:rStyle w:val="17"/>
          <w:rFonts w:ascii="黑体" w:hAnsi="黑体" w:eastAsia="黑体"/>
          <w:color w:val="000000" w:themeColor="text1"/>
          <w14:textFill>
            <w14:solidFill>
              <w14:schemeClr w14:val="tx1"/>
            </w14:solidFill>
          </w14:textFill>
        </w:rPr>
        <w:instrText xml:space="preserve"> PAGEREF _Toc20390765 \h </w:instrText>
      </w:r>
      <w:r>
        <w:rPr>
          <w:rStyle w:val="17"/>
          <w:rFonts w:ascii="黑体" w:hAnsi="黑体" w:eastAsia="黑体"/>
          <w:color w:val="000000" w:themeColor="text1"/>
          <w14:textFill>
            <w14:solidFill>
              <w14:schemeClr w14:val="tx1"/>
            </w14:solidFill>
          </w14:textFill>
        </w:rPr>
        <w:fldChar w:fldCharType="separate"/>
      </w:r>
      <w:r>
        <w:rPr>
          <w:rStyle w:val="17"/>
          <w:rFonts w:ascii="黑体" w:hAnsi="黑体" w:eastAsia="黑体"/>
          <w:color w:val="000000" w:themeColor="text1"/>
          <w14:textFill>
            <w14:solidFill>
              <w14:schemeClr w14:val="tx1"/>
            </w14:solidFill>
          </w14:textFill>
        </w:rPr>
        <w:t>9</w:t>
      </w:r>
      <w:r>
        <w:rPr>
          <w:rStyle w:val="17"/>
          <w:rFonts w:ascii="黑体" w:hAnsi="黑体" w:eastAsia="黑体"/>
          <w:color w:val="000000" w:themeColor="text1"/>
          <w14:textFill>
            <w14:solidFill>
              <w14:schemeClr w14:val="tx1"/>
            </w14:solidFill>
          </w14:textFill>
        </w:rPr>
        <w:fldChar w:fldCharType="end"/>
      </w:r>
      <w:r>
        <w:rPr>
          <w:rStyle w:val="17"/>
          <w:rFonts w:ascii="黑体" w:hAnsi="黑体" w:eastAsia="黑体"/>
          <w:color w:val="000000" w:themeColor="text1"/>
          <w14:textFill>
            <w14:solidFill>
              <w14:schemeClr w14:val="tx1"/>
            </w14:solidFill>
          </w14:textFill>
        </w:rPr>
        <w:fldChar w:fldCharType="end"/>
      </w:r>
    </w:p>
    <w:p>
      <w:pPr>
        <w:pStyle w:val="11"/>
        <w:tabs>
          <w:tab w:val="left" w:pos="1050"/>
        </w:tabs>
        <w:spacing w:line="360" w:lineRule="exact"/>
        <w:rPr>
          <w:rFonts w:ascii="楷体_GB2312" w:eastAsia="楷体_GB2312" w:hAnsiTheme="minorHAnsi" w:cstheme="minorBidi"/>
          <w:color w:val="000000" w:themeColor="text1"/>
          <w:sz w:val="28"/>
          <w:szCs w:val="28"/>
          <w14:textFill>
            <w14:solidFill>
              <w14:schemeClr w14:val="tx1"/>
            </w14:solidFill>
          </w14:textFill>
        </w:rPr>
      </w:pPr>
      <w:r>
        <w:fldChar w:fldCharType="begin"/>
      </w:r>
      <w:r>
        <w:instrText xml:space="preserve"> HYPERLINK \l "_Toc20390766" </w:instrText>
      </w:r>
      <w:r>
        <w:fldChar w:fldCharType="separate"/>
      </w:r>
      <w:r>
        <w:rPr>
          <w:rStyle w:val="17"/>
          <w:rFonts w:hint="eastAsia" w:ascii="楷体_GB2312" w:hAnsi="黑体" w:eastAsia="楷体_GB2312" w:cstheme="majorBidi"/>
          <w:bCs/>
          <w:color w:val="000000" w:themeColor="text1"/>
          <w:sz w:val="28"/>
          <w:szCs w:val="28"/>
          <w14:textFill>
            <w14:solidFill>
              <w14:schemeClr w14:val="tx1"/>
            </w14:solidFill>
          </w14:textFill>
        </w:rPr>
        <w:t>一、</w:t>
      </w:r>
      <w:r>
        <w:rPr>
          <w:rFonts w:hint="eastAsia" w:ascii="楷体_GB2312" w:eastAsia="楷体_GB2312" w:hAnsiTheme="minorHAnsi" w:cstheme="minorBidi"/>
          <w:color w:val="000000" w:themeColor="text1"/>
          <w:sz w:val="28"/>
          <w:szCs w:val="28"/>
          <w14:textFill>
            <w14:solidFill>
              <w14:schemeClr w14:val="tx1"/>
            </w14:solidFill>
          </w14:textFill>
        </w:rPr>
        <w:tab/>
      </w:r>
      <w:r>
        <w:rPr>
          <w:rStyle w:val="17"/>
          <w:rFonts w:hint="eastAsia" w:ascii="楷体_GB2312" w:hAnsi="黑体" w:eastAsia="楷体_GB2312"/>
          <w:color w:val="000000" w:themeColor="text1"/>
          <w:sz w:val="28"/>
          <w:szCs w:val="28"/>
          <w14:textFill>
            <w14:solidFill>
              <w14:schemeClr w14:val="tx1"/>
            </w14:solidFill>
          </w14:textFill>
        </w:rPr>
        <w:t>收</w:t>
      </w:r>
      <w:r>
        <w:rPr>
          <w:rStyle w:val="17"/>
          <w:rFonts w:hint="eastAsia" w:ascii="楷体_GB2312" w:hAnsi="黑体" w:eastAsia="楷体_GB2312" w:cstheme="majorBidi"/>
          <w:bCs/>
          <w:color w:val="000000" w:themeColor="text1"/>
          <w:sz w:val="28"/>
          <w:szCs w:val="28"/>
          <w14:textFill>
            <w14:solidFill>
              <w14:schemeClr w14:val="tx1"/>
            </w14:solidFill>
          </w14:textFill>
        </w:rPr>
        <w:t>入支出决算总体情况说明</w:t>
      </w:r>
      <w:r>
        <w:rPr>
          <w:rFonts w:hint="eastAsia" w:ascii="楷体_GB2312" w:eastAsia="楷体_GB2312"/>
          <w:color w:val="000000" w:themeColor="text1"/>
          <w:sz w:val="28"/>
          <w:szCs w:val="28"/>
          <w14:textFill>
            <w14:solidFill>
              <w14:schemeClr w14:val="tx1"/>
            </w14:solidFill>
          </w14:textFill>
        </w:rPr>
        <w:tab/>
      </w:r>
      <w:r>
        <w:rPr>
          <w:rFonts w:hint="eastAsia" w:ascii="楷体_GB2312" w:eastAsia="楷体_GB2312"/>
          <w:color w:val="000000" w:themeColor="text1"/>
          <w:sz w:val="28"/>
          <w:szCs w:val="28"/>
          <w14:textFill>
            <w14:solidFill>
              <w14:schemeClr w14:val="tx1"/>
            </w14:solidFill>
          </w14:textFill>
        </w:rPr>
        <w:fldChar w:fldCharType="begin"/>
      </w:r>
      <w:r>
        <w:rPr>
          <w:rFonts w:hint="eastAsia" w:ascii="楷体_GB2312" w:eastAsia="楷体_GB2312"/>
          <w:color w:val="000000" w:themeColor="text1"/>
          <w:sz w:val="28"/>
          <w:szCs w:val="28"/>
          <w14:textFill>
            <w14:solidFill>
              <w14:schemeClr w14:val="tx1"/>
            </w14:solidFill>
          </w14:textFill>
        </w:rPr>
        <w:instrText xml:space="preserve"> PAGEREF _Toc20390766 \h </w:instrText>
      </w:r>
      <w:r>
        <w:rPr>
          <w:rFonts w:hint="eastAsia" w:ascii="楷体_GB2312" w:eastAsia="楷体_GB2312"/>
          <w:color w:val="000000" w:themeColor="text1"/>
          <w:sz w:val="28"/>
          <w:szCs w:val="28"/>
          <w14:textFill>
            <w14:solidFill>
              <w14:schemeClr w14:val="tx1"/>
            </w14:solidFill>
          </w14:textFill>
        </w:rPr>
        <w:fldChar w:fldCharType="separate"/>
      </w:r>
      <w:r>
        <w:rPr>
          <w:rFonts w:hint="eastAsia" w:ascii="楷体_GB2312" w:eastAsia="楷体_GB2312"/>
          <w:color w:val="000000" w:themeColor="text1"/>
          <w:sz w:val="28"/>
          <w:szCs w:val="28"/>
          <w14:textFill>
            <w14:solidFill>
              <w14:schemeClr w14:val="tx1"/>
            </w14:solidFill>
          </w14:textFill>
        </w:rPr>
        <w:t>9</w:t>
      </w:r>
      <w:r>
        <w:rPr>
          <w:rFonts w:hint="eastAsia" w:ascii="楷体_GB2312" w:eastAsia="楷体_GB2312"/>
          <w:color w:val="000000" w:themeColor="text1"/>
          <w:sz w:val="28"/>
          <w:szCs w:val="28"/>
          <w14:textFill>
            <w14:solidFill>
              <w14:schemeClr w14:val="tx1"/>
            </w14:solidFill>
          </w14:textFill>
        </w:rPr>
        <w:fldChar w:fldCharType="end"/>
      </w:r>
      <w:r>
        <w:rPr>
          <w:rFonts w:hint="eastAsia" w:ascii="楷体_GB2312" w:eastAsia="楷体_GB2312"/>
          <w:color w:val="000000" w:themeColor="text1"/>
          <w:sz w:val="28"/>
          <w:szCs w:val="28"/>
          <w14:textFill>
            <w14:solidFill>
              <w14:schemeClr w14:val="tx1"/>
            </w14:solidFill>
          </w14:textFill>
        </w:rPr>
        <w:fldChar w:fldCharType="end"/>
      </w:r>
    </w:p>
    <w:p>
      <w:pPr>
        <w:pStyle w:val="11"/>
        <w:tabs>
          <w:tab w:val="left" w:pos="1050"/>
        </w:tabs>
        <w:spacing w:line="360" w:lineRule="exact"/>
        <w:rPr>
          <w:rFonts w:hint="eastAsia"/>
          <w:color w:val="000000" w:themeColor="text1"/>
          <w14:textFill>
            <w14:solidFill>
              <w14:schemeClr w14:val="tx1"/>
            </w14:solidFill>
          </w14:textFill>
        </w:rPr>
      </w:pPr>
      <w:r>
        <w:fldChar w:fldCharType="begin"/>
      </w:r>
      <w:r>
        <w:instrText xml:space="preserve"> HYPERLINK \l "_Toc20390767" </w:instrText>
      </w:r>
      <w:r>
        <w:fldChar w:fldCharType="separate"/>
      </w:r>
      <w:r>
        <w:rPr>
          <w:rStyle w:val="17"/>
          <w:rFonts w:hint="eastAsia" w:ascii="楷体_GB2312" w:hAnsi="黑体" w:eastAsia="楷体_GB2312" w:cstheme="majorBidi"/>
          <w:bCs/>
          <w:color w:val="000000" w:themeColor="text1"/>
          <w:sz w:val="28"/>
          <w:szCs w:val="28"/>
          <w14:textFill>
            <w14:solidFill>
              <w14:schemeClr w14:val="tx1"/>
            </w14:solidFill>
          </w14:textFill>
        </w:rPr>
        <w:t>二、</w:t>
      </w:r>
      <w:r>
        <w:rPr>
          <w:rFonts w:hint="eastAsia" w:ascii="楷体_GB2312" w:eastAsia="楷体_GB2312" w:hAnsiTheme="minorHAnsi" w:cstheme="minorBidi"/>
          <w:color w:val="000000" w:themeColor="text1"/>
          <w:sz w:val="28"/>
          <w:szCs w:val="28"/>
          <w14:textFill>
            <w14:solidFill>
              <w14:schemeClr w14:val="tx1"/>
            </w14:solidFill>
          </w14:textFill>
        </w:rPr>
        <w:tab/>
      </w:r>
      <w:r>
        <w:rPr>
          <w:rStyle w:val="17"/>
          <w:rFonts w:hint="eastAsia" w:ascii="楷体_GB2312" w:hAnsi="黑体" w:eastAsia="楷体_GB2312"/>
          <w:color w:val="000000" w:themeColor="text1"/>
          <w:sz w:val="28"/>
          <w:szCs w:val="28"/>
          <w14:textFill>
            <w14:solidFill>
              <w14:schemeClr w14:val="tx1"/>
            </w14:solidFill>
          </w14:textFill>
        </w:rPr>
        <w:t>收</w:t>
      </w:r>
      <w:r>
        <w:rPr>
          <w:rStyle w:val="17"/>
          <w:rFonts w:hint="eastAsia" w:ascii="楷体_GB2312" w:hAnsi="黑体" w:eastAsia="楷体_GB2312" w:cstheme="majorBidi"/>
          <w:bCs/>
          <w:color w:val="000000" w:themeColor="text1"/>
          <w:sz w:val="28"/>
          <w:szCs w:val="28"/>
          <w14:textFill>
            <w14:solidFill>
              <w14:schemeClr w14:val="tx1"/>
            </w14:solidFill>
          </w14:textFill>
        </w:rPr>
        <w:t>入决算情况说明</w:t>
      </w:r>
      <w:r>
        <w:rPr>
          <w:rFonts w:hint="eastAsia" w:ascii="楷体_GB2312" w:eastAsia="楷体_GB2312"/>
          <w:color w:val="000000" w:themeColor="text1"/>
          <w:sz w:val="28"/>
          <w:szCs w:val="28"/>
          <w14:textFill>
            <w14:solidFill>
              <w14:schemeClr w14:val="tx1"/>
            </w14:solidFill>
          </w14:textFill>
        </w:rPr>
        <w:tab/>
      </w:r>
      <w:r>
        <w:rPr>
          <w:rFonts w:hint="eastAsia" w:ascii="楷体_GB2312" w:eastAsia="楷体_GB2312"/>
          <w:color w:val="000000" w:themeColor="text1"/>
          <w:sz w:val="28"/>
          <w:szCs w:val="28"/>
          <w14:textFill>
            <w14:solidFill>
              <w14:schemeClr w14:val="tx1"/>
            </w14:solidFill>
          </w14:textFill>
        </w:rPr>
        <w:fldChar w:fldCharType="begin"/>
      </w:r>
      <w:r>
        <w:rPr>
          <w:rFonts w:hint="eastAsia" w:ascii="楷体_GB2312" w:eastAsia="楷体_GB2312"/>
          <w:color w:val="000000" w:themeColor="text1"/>
          <w:sz w:val="28"/>
          <w:szCs w:val="28"/>
          <w14:textFill>
            <w14:solidFill>
              <w14:schemeClr w14:val="tx1"/>
            </w14:solidFill>
          </w14:textFill>
        </w:rPr>
        <w:instrText xml:space="preserve"> PAGEREF _Toc20390767 \h </w:instrText>
      </w:r>
      <w:r>
        <w:rPr>
          <w:rFonts w:hint="eastAsia" w:ascii="楷体_GB2312" w:eastAsia="楷体_GB2312"/>
          <w:color w:val="000000" w:themeColor="text1"/>
          <w:sz w:val="28"/>
          <w:szCs w:val="28"/>
          <w14:textFill>
            <w14:solidFill>
              <w14:schemeClr w14:val="tx1"/>
            </w14:solidFill>
          </w14:textFill>
        </w:rPr>
        <w:fldChar w:fldCharType="separate"/>
      </w:r>
      <w:r>
        <w:rPr>
          <w:rFonts w:hint="eastAsia" w:ascii="楷体_GB2312" w:eastAsia="楷体_GB2312"/>
          <w:color w:val="000000" w:themeColor="text1"/>
          <w:sz w:val="28"/>
          <w:szCs w:val="28"/>
          <w14:textFill>
            <w14:solidFill>
              <w14:schemeClr w14:val="tx1"/>
            </w14:solidFill>
          </w14:textFill>
        </w:rPr>
        <w:t>9</w:t>
      </w:r>
      <w:r>
        <w:rPr>
          <w:rFonts w:hint="eastAsia" w:ascii="楷体_GB2312" w:eastAsia="楷体_GB2312"/>
          <w:color w:val="000000" w:themeColor="text1"/>
          <w:sz w:val="28"/>
          <w:szCs w:val="28"/>
          <w14:textFill>
            <w14:solidFill>
              <w14:schemeClr w14:val="tx1"/>
            </w14:solidFill>
          </w14:textFill>
        </w:rPr>
        <w:fldChar w:fldCharType="end"/>
      </w:r>
      <w:r>
        <w:rPr>
          <w:rFonts w:hint="eastAsia" w:ascii="楷体_GB2312" w:eastAsia="楷体_GB2312"/>
          <w:color w:val="000000" w:themeColor="text1"/>
          <w:sz w:val="28"/>
          <w:szCs w:val="28"/>
          <w14:textFill>
            <w14:solidFill>
              <w14:schemeClr w14:val="tx1"/>
            </w14:solidFill>
          </w14:textFill>
        </w:rPr>
        <w:fldChar w:fldCharType="end"/>
      </w:r>
    </w:p>
    <w:p>
      <w:pPr>
        <w:pStyle w:val="11"/>
        <w:tabs>
          <w:tab w:val="left" w:pos="1050"/>
        </w:tabs>
        <w:spacing w:line="360" w:lineRule="exact"/>
        <w:rPr>
          <w:rFonts w:hint="eastAsia"/>
          <w:color w:val="000000" w:themeColor="text1"/>
          <w14:textFill>
            <w14:solidFill>
              <w14:schemeClr w14:val="tx1"/>
            </w14:solidFill>
          </w14:textFill>
        </w:rPr>
      </w:pPr>
      <w:r>
        <w:fldChar w:fldCharType="begin"/>
      </w:r>
      <w:r>
        <w:instrText xml:space="preserve"> HYPERLINK \l "_Toc20390767" </w:instrText>
      </w:r>
      <w:r>
        <w:fldChar w:fldCharType="separate"/>
      </w:r>
      <w:r>
        <w:rPr>
          <w:rStyle w:val="17"/>
          <w:rFonts w:hint="eastAsia" w:ascii="楷体_GB2312" w:hAnsi="黑体" w:eastAsia="楷体_GB2312" w:cstheme="majorBidi"/>
          <w:bCs/>
          <w:color w:val="000000" w:themeColor="text1"/>
          <w:sz w:val="28"/>
          <w:szCs w:val="28"/>
          <w14:textFill>
            <w14:solidFill>
              <w14:schemeClr w14:val="tx1"/>
            </w14:solidFill>
          </w14:textFill>
        </w:rPr>
        <w:t>三、</w:t>
      </w:r>
      <w:r>
        <w:rPr>
          <w:rFonts w:hint="eastAsia" w:ascii="楷体_GB2312" w:eastAsia="楷体_GB2312" w:hAnsiTheme="minorHAnsi" w:cstheme="minorBidi"/>
          <w:color w:val="000000" w:themeColor="text1"/>
          <w:sz w:val="28"/>
          <w:szCs w:val="28"/>
          <w14:textFill>
            <w14:solidFill>
              <w14:schemeClr w14:val="tx1"/>
            </w14:solidFill>
          </w14:textFill>
        </w:rPr>
        <w:tab/>
      </w:r>
      <w:r>
        <w:rPr>
          <w:rStyle w:val="17"/>
          <w:rFonts w:hint="eastAsia" w:ascii="楷体_GB2312" w:hAnsi="黑体" w:eastAsia="楷体_GB2312"/>
          <w:color w:val="000000" w:themeColor="text1"/>
          <w:sz w:val="28"/>
          <w:szCs w:val="28"/>
          <w14:textFill>
            <w14:solidFill>
              <w14:schemeClr w14:val="tx1"/>
            </w14:solidFill>
          </w14:textFill>
        </w:rPr>
        <w:t>支出</w:t>
      </w:r>
      <w:r>
        <w:rPr>
          <w:rStyle w:val="17"/>
          <w:rFonts w:hint="eastAsia" w:ascii="楷体_GB2312" w:hAnsi="黑体" w:eastAsia="楷体_GB2312" w:cstheme="majorBidi"/>
          <w:bCs/>
          <w:color w:val="000000" w:themeColor="text1"/>
          <w:sz w:val="28"/>
          <w:szCs w:val="28"/>
          <w14:textFill>
            <w14:solidFill>
              <w14:schemeClr w14:val="tx1"/>
            </w14:solidFill>
          </w14:textFill>
        </w:rPr>
        <w:t>决算情况说明</w:t>
      </w:r>
      <w:r>
        <w:rPr>
          <w:rFonts w:hint="eastAsia" w:ascii="楷体_GB2312" w:eastAsia="楷体_GB2312"/>
          <w:color w:val="000000" w:themeColor="text1"/>
          <w:sz w:val="28"/>
          <w:szCs w:val="28"/>
          <w14:textFill>
            <w14:solidFill>
              <w14:schemeClr w14:val="tx1"/>
            </w14:solidFill>
          </w14:textFill>
        </w:rPr>
        <w:tab/>
      </w:r>
      <w:r>
        <w:rPr>
          <w:rFonts w:hint="eastAsia" w:ascii="楷体_GB2312" w:eastAsia="楷体_GB2312"/>
          <w:color w:val="000000" w:themeColor="text1"/>
          <w:sz w:val="28"/>
          <w:szCs w:val="28"/>
          <w14:textFill>
            <w14:solidFill>
              <w14:schemeClr w14:val="tx1"/>
            </w14:solidFill>
          </w14:textFill>
        </w:rPr>
        <w:fldChar w:fldCharType="begin"/>
      </w:r>
      <w:r>
        <w:rPr>
          <w:rFonts w:hint="eastAsia" w:ascii="楷体_GB2312" w:eastAsia="楷体_GB2312"/>
          <w:color w:val="000000" w:themeColor="text1"/>
          <w:sz w:val="28"/>
          <w:szCs w:val="28"/>
          <w14:textFill>
            <w14:solidFill>
              <w14:schemeClr w14:val="tx1"/>
            </w14:solidFill>
          </w14:textFill>
        </w:rPr>
        <w:instrText xml:space="preserve"> PAGEREF _Toc20390767 \h </w:instrText>
      </w:r>
      <w:r>
        <w:rPr>
          <w:rFonts w:hint="eastAsia" w:ascii="楷体_GB2312" w:eastAsia="楷体_GB2312"/>
          <w:color w:val="000000" w:themeColor="text1"/>
          <w:sz w:val="28"/>
          <w:szCs w:val="28"/>
          <w14:textFill>
            <w14:solidFill>
              <w14:schemeClr w14:val="tx1"/>
            </w14:solidFill>
          </w14:textFill>
        </w:rPr>
        <w:fldChar w:fldCharType="separate"/>
      </w:r>
      <w:r>
        <w:rPr>
          <w:rFonts w:hint="eastAsia" w:ascii="楷体_GB2312" w:eastAsia="楷体_GB2312"/>
          <w:color w:val="000000" w:themeColor="text1"/>
          <w:sz w:val="28"/>
          <w:szCs w:val="28"/>
          <w14:textFill>
            <w14:solidFill>
              <w14:schemeClr w14:val="tx1"/>
            </w14:solidFill>
          </w14:textFill>
        </w:rPr>
        <w:t>9</w:t>
      </w:r>
      <w:r>
        <w:rPr>
          <w:rFonts w:hint="eastAsia" w:ascii="楷体_GB2312" w:eastAsia="楷体_GB2312"/>
          <w:color w:val="000000" w:themeColor="text1"/>
          <w:sz w:val="28"/>
          <w:szCs w:val="28"/>
          <w14:textFill>
            <w14:solidFill>
              <w14:schemeClr w14:val="tx1"/>
            </w14:solidFill>
          </w14:textFill>
        </w:rPr>
        <w:fldChar w:fldCharType="end"/>
      </w:r>
      <w:r>
        <w:rPr>
          <w:rFonts w:hint="eastAsia" w:ascii="楷体_GB2312" w:eastAsia="楷体_GB2312"/>
          <w:color w:val="000000" w:themeColor="text1"/>
          <w:sz w:val="28"/>
          <w:szCs w:val="28"/>
          <w14:textFill>
            <w14:solidFill>
              <w14:schemeClr w14:val="tx1"/>
            </w14:solidFill>
          </w14:textFill>
        </w:rPr>
        <w:fldChar w:fldCharType="end"/>
      </w:r>
    </w:p>
    <w:p>
      <w:pPr>
        <w:pStyle w:val="11"/>
        <w:spacing w:line="360" w:lineRule="exact"/>
        <w:rPr>
          <w:rFonts w:ascii="楷体_GB2312" w:eastAsia="楷体_GB2312" w:hAnsiTheme="minorHAnsi" w:cstheme="minorBidi"/>
          <w:color w:val="000000" w:themeColor="text1"/>
          <w:sz w:val="28"/>
          <w:szCs w:val="28"/>
          <w14:textFill>
            <w14:solidFill>
              <w14:schemeClr w14:val="tx1"/>
            </w14:solidFill>
          </w14:textFill>
        </w:rPr>
      </w:pPr>
      <w:r>
        <w:fldChar w:fldCharType="begin"/>
      </w:r>
      <w:r>
        <w:instrText xml:space="preserve"> HYPERLINK \l "_Toc20390768" </w:instrText>
      </w:r>
      <w:r>
        <w:fldChar w:fldCharType="separate"/>
      </w:r>
      <w:r>
        <w:rPr>
          <w:rStyle w:val="17"/>
          <w:rFonts w:hint="eastAsia" w:ascii="楷体_GB2312" w:hAnsi="黑体" w:eastAsia="楷体_GB2312"/>
          <w:color w:val="000000" w:themeColor="text1"/>
          <w:sz w:val="28"/>
          <w:szCs w:val="28"/>
          <w14:textFill>
            <w14:solidFill>
              <w14:schemeClr w14:val="tx1"/>
            </w14:solidFill>
          </w14:textFill>
        </w:rPr>
        <w:t>四、财</w:t>
      </w:r>
      <w:r>
        <w:rPr>
          <w:rStyle w:val="17"/>
          <w:rFonts w:hint="eastAsia" w:ascii="楷体_GB2312" w:hAnsi="黑体" w:eastAsia="楷体_GB2312" w:cstheme="majorBidi"/>
          <w:bCs/>
          <w:color w:val="000000" w:themeColor="text1"/>
          <w:sz w:val="28"/>
          <w:szCs w:val="28"/>
          <w14:textFill>
            <w14:solidFill>
              <w14:schemeClr w14:val="tx1"/>
            </w14:solidFill>
          </w14:textFill>
        </w:rPr>
        <w:t>政拨款收入支出决算总体情况说明</w:t>
      </w:r>
      <w:r>
        <w:rPr>
          <w:rFonts w:hint="eastAsia" w:ascii="楷体_GB2312" w:eastAsia="楷体_GB2312"/>
          <w:color w:val="000000" w:themeColor="text1"/>
          <w:sz w:val="28"/>
          <w:szCs w:val="28"/>
          <w14:textFill>
            <w14:solidFill>
              <w14:schemeClr w14:val="tx1"/>
            </w14:solidFill>
          </w14:textFill>
        </w:rPr>
        <w:tab/>
      </w:r>
      <w:r>
        <w:rPr>
          <w:rFonts w:hint="eastAsia" w:ascii="楷体_GB2312" w:eastAsia="楷体_GB2312"/>
          <w:color w:val="000000" w:themeColor="text1"/>
          <w:sz w:val="28"/>
          <w:szCs w:val="28"/>
          <w14:textFill>
            <w14:solidFill>
              <w14:schemeClr w14:val="tx1"/>
            </w14:solidFill>
          </w14:textFill>
        </w:rPr>
        <w:fldChar w:fldCharType="begin"/>
      </w:r>
      <w:r>
        <w:rPr>
          <w:rFonts w:hint="eastAsia" w:ascii="楷体_GB2312" w:eastAsia="楷体_GB2312"/>
          <w:color w:val="000000" w:themeColor="text1"/>
          <w:sz w:val="28"/>
          <w:szCs w:val="28"/>
          <w14:textFill>
            <w14:solidFill>
              <w14:schemeClr w14:val="tx1"/>
            </w14:solidFill>
          </w14:textFill>
        </w:rPr>
        <w:instrText xml:space="preserve"> PAGEREF _Toc20390768 \h </w:instrText>
      </w:r>
      <w:r>
        <w:rPr>
          <w:rFonts w:hint="eastAsia" w:ascii="楷体_GB2312" w:eastAsia="楷体_GB2312"/>
          <w:color w:val="000000" w:themeColor="text1"/>
          <w:sz w:val="28"/>
          <w:szCs w:val="28"/>
          <w14:textFill>
            <w14:solidFill>
              <w14:schemeClr w14:val="tx1"/>
            </w14:solidFill>
          </w14:textFill>
        </w:rPr>
        <w:fldChar w:fldCharType="separate"/>
      </w:r>
      <w:r>
        <w:rPr>
          <w:rFonts w:hint="eastAsia" w:ascii="楷体_GB2312" w:eastAsia="楷体_GB2312"/>
          <w:color w:val="000000" w:themeColor="text1"/>
          <w:sz w:val="28"/>
          <w:szCs w:val="28"/>
          <w14:textFill>
            <w14:solidFill>
              <w14:schemeClr w14:val="tx1"/>
            </w14:solidFill>
          </w14:textFill>
        </w:rPr>
        <w:t>9</w:t>
      </w:r>
      <w:r>
        <w:rPr>
          <w:rFonts w:hint="eastAsia" w:ascii="楷体_GB2312" w:eastAsia="楷体_GB2312"/>
          <w:color w:val="000000" w:themeColor="text1"/>
          <w:sz w:val="28"/>
          <w:szCs w:val="28"/>
          <w14:textFill>
            <w14:solidFill>
              <w14:schemeClr w14:val="tx1"/>
            </w14:solidFill>
          </w14:textFill>
        </w:rPr>
        <w:fldChar w:fldCharType="end"/>
      </w:r>
      <w:r>
        <w:rPr>
          <w:rFonts w:hint="eastAsia" w:ascii="楷体_GB2312" w:eastAsia="楷体_GB2312"/>
          <w:color w:val="000000" w:themeColor="text1"/>
          <w:sz w:val="28"/>
          <w:szCs w:val="28"/>
          <w14:textFill>
            <w14:solidFill>
              <w14:schemeClr w14:val="tx1"/>
            </w14:solidFill>
          </w14:textFill>
        </w:rPr>
        <w:fldChar w:fldCharType="end"/>
      </w:r>
    </w:p>
    <w:p>
      <w:pPr>
        <w:pStyle w:val="11"/>
        <w:spacing w:line="360" w:lineRule="exact"/>
        <w:rPr>
          <w:rFonts w:ascii="楷体_GB2312" w:eastAsia="楷体_GB2312" w:hAnsiTheme="minorHAnsi" w:cstheme="minorBidi"/>
          <w:color w:val="000000" w:themeColor="text1"/>
          <w:sz w:val="28"/>
          <w:szCs w:val="28"/>
          <w14:textFill>
            <w14:solidFill>
              <w14:schemeClr w14:val="tx1"/>
            </w14:solidFill>
          </w14:textFill>
        </w:rPr>
      </w:pPr>
      <w:r>
        <w:fldChar w:fldCharType="begin"/>
      </w:r>
      <w:r>
        <w:instrText xml:space="preserve"> HYPERLINK \l "_Toc20390769" </w:instrText>
      </w:r>
      <w:r>
        <w:fldChar w:fldCharType="separate"/>
      </w:r>
      <w:r>
        <w:rPr>
          <w:rStyle w:val="17"/>
          <w:rFonts w:hint="eastAsia" w:ascii="楷体_GB2312" w:hAnsi="黑体" w:eastAsia="楷体_GB2312"/>
          <w:color w:val="000000" w:themeColor="text1"/>
          <w:sz w:val="28"/>
          <w:szCs w:val="28"/>
          <w14:textFill>
            <w14:solidFill>
              <w14:schemeClr w14:val="tx1"/>
            </w14:solidFill>
          </w14:textFill>
        </w:rPr>
        <w:t>五、一</w:t>
      </w:r>
      <w:r>
        <w:rPr>
          <w:rStyle w:val="17"/>
          <w:rFonts w:hint="eastAsia" w:ascii="楷体_GB2312" w:hAnsi="黑体" w:eastAsia="楷体_GB2312" w:cstheme="majorBidi"/>
          <w:bCs/>
          <w:color w:val="000000" w:themeColor="text1"/>
          <w:sz w:val="28"/>
          <w:szCs w:val="28"/>
          <w14:textFill>
            <w14:solidFill>
              <w14:schemeClr w14:val="tx1"/>
            </w14:solidFill>
          </w14:textFill>
        </w:rPr>
        <w:t>般公共预算财政拨款支出决算情况说明</w:t>
      </w:r>
      <w:r>
        <w:rPr>
          <w:rFonts w:hint="eastAsia" w:ascii="楷体_GB2312" w:eastAsia="楷体_GB2312"/>
          <w:color w:val="000000" w:themeColor="text1"/>
          <w:sz w:val="28"/>
          <w:szCs w:val="28"/>
          <w14:textFill>
            <w14:solidFill>
              <w14:schemeClr w14:val="tx1"/>
            </w14:solidFill>
          </w14:textFill>
        </w:rPr>
        <w:tab/>
      </w:r>
      <w:r>
        <w:rPr>
          <w:rFonts w:hint="eastAsia" w:ascii="楷体_GB2312" w:eastAsia="楷体_GB2312"/>
          <w:color w:val="000000" w:themeColor="text1"/>
          <w:sz w:val="28"/>
          <w:szCs w:val="28"/>
          <w14:textFill>
            <w14:solidFill>
              <w14:schemeClr w14:val="tx1"/>
            </w14:solidFill>
          </w14:textFill>
        </w:rPr>
        <w:fldChar w:fldCharType="begin"/>
      </w:r>
      <w:r>
        <w:rPr>
          <w:rFonts w:hint="eastAsia" w:ascii="楷体_GB2312" w:eastAsia="楷体_GB2312"/>
          <w:color w:val="000000" w:themeColor="text1"/>
          <w:sz w:val="28"/>
          <w:szCs w:val="28"/>
          <w14:textFill>
            <w14:solidFill>
              <w14:schemeClr w14:val="tx1"/>
            </w14:solidFill>
          </w14:textFill>
        </w:rPr>
        <w:instrText xml:space="preserve"> PAGEREF _Toc20390769 \h </w:instrText>
      </w:r>
      <w:r>
        <w:rPr>
          <w:rFonts w:hint="eastAsia" w:ascii="楷体_GB2312" w:eastAsia="楷体_GB2312"/>
          <w:color w:val="000000" w:themeColor="text1"/>
          <w:sz w:val="28"/>
          <w:szCs w:val="28"/>
          <w14:textFill>
            <w14:solidFill>
              <w14:schemeClr w14:val="tx1"/>
            </w14:solidFill>
          </w14:textFill>
        </w:rPr>
        <w:fldChar w:fldCharType="separate"/>
      </w:r>
      <w:r>
        <w:rPr>
          <w:rFonts w:hint="eastAsia" w:ascii="楷体_GB2312" w:eastAsia="楷体_GB2312"/>
          <w:color w:val="000000" w:themeColor="text1"/>
          <w:sz w:val="28"/>
          <w:szCs w:val="28"/>
          <w14:textFill>
            <w14:solidFill>
              <w14:schemeClr w14:val="tx1"/>
            </w14:solidFill>
          </w14:textFill>
        </w:rPr>
        <w:t>9</w:t>
      </w:r>
      <w:r>
        <w:rPr>
          <w:rFonts w:hint="eastAsia" w:ascii="楷体_GB2312" w:eastAsia="楷体_GB2312"/>
          <w:color w:val="000000" w:themeColor="text1"/>
          <w:sz w:val="28"/>
          <w:szCs w:val="28"/>
          <w14:textFill>
            <w14:solidFill>
              <w14:schemeClr w14:val="tx1"/>
            </w14:solidFill>
          </w14:textFill>
        </w:rPr>
        <w:fldChar w:fldCharType="end"/>
      </w:r>
      <w:r>
        <w:rPr>
          <w:rFonts w:hint="eastAsia" w:ascii="楷体_GB2312" w:eastAsia="楷体_GB2312"/>
          <w:color w:val="000000" w:themeColor="text1"/>
          <w:sz w:val="28"/>
          <w:szCs w:val="28"/>
          <w14:textFill>
            <w14:solidFill>
              <w14:schemeClr w14:val="tx1"/>
            </w14:solidFill>
          </w14:textFill>
        </w:rPr>
        <w:fldChar w:fldCharType="end"/>
      </w:r>
    </w:p>
    <w:p>
      <w:pPr>
        <w:pStyle w:val="11"/>
        <w:spacing w:line="360" w:lineRule="exact"/>
        <w:rPr>
          <w:rFonts w:ascii="楷体_GB2312" w:eastAsia="楷体_GB2312" w:hAnsiTheme="minorHAnsi" w:cstheme="minorBidi"/>
          <w:color w:val="000000" w:themeColor="text1"/>
          <w:sz w:val="28"/>
          <w:szCs w:val="28"/>
          <w14:textFill>
            <w14:solidFill>
              <w14:schemeClr w14:val="tx1"/>
            </w14:solidFill>
          </w14:textFill>
        </w:rPr>
      </w:pPr>
      <w:r>
        <w:fldChar w:fldCharType="begin"/>
      </w:r>
      <w:r>
        <w:instrText xml:space="preserve"> HYPERLINK \l "_Toc20390770" </w:instrText>
      </w:r>
      <w:r>
        <w:fldChar w:fldCharType="separate"/>
      </w:r>
      <w:r>
        <w:rPr>
          <w:rStyle w:val="17"/>
          <w:rFonts w:hint="eastAsia" w:ascii="楷体_GB2312" w:eastAsia="楷体_GB2312"/>
          <w:color w:val="000000" w:themeColor="text1"/>
          <w:sz w:val="28"/>
          <w:szCs w:val="28"/>
          <w14:textFill>
            <w14:solidFill>
              <w14:schemeClr w14:val="tx1"/>
            </w14:solidFill>
          </w14:textFill>
        </w:rPr>
        <w:t>六、</w:t>
      </w:r>
      <w:r>
        <w:rPr>
          <w:rStyle w:val="17"/>
          <w:rFonts w:hint="eastAsia" w:ascii="楷体_GB2312" w:hAnsi="黑体" w:eastAsia="楷体_GB2312"/>
          <w:color w:val="000000" w:themeColor="text1"/>
          <w:sz w:val="28"/>
          <w:szCs w:val="28"/>
          <w14:textFill>
            <w14:solidFill>
              <w14:schemeClr w14:val="tx1"/>
            </w14:solidFill>
          </w14:textFill>
        </w:rPr>
        <w:t>一</w:t>
      </w:r>
      <w:r>
        <w:rPr>
          <w:rStyle w:val="17"/>
          <w:rFonts w:hint="eastAsia" w:ascii="楷体_GB2312" w:hAnsi="黑体" w:eastAsia="楷体_GB2312" w:cstheme="majorBidi"/>
          <w:bCs/>
          <w:color w:val="000000" w:themeColor="text1"/>
          <w:sz w:val="28"/>
          <w:szCs w:val="28"/>
          <w14:textFill>
            <w14:solidFill>
              <w14:schemeClr w14:val="tx1"/>
            </w14:solidFill>
          </w14:textFill>
        </w:rPr>
        <w:t>般公共预算财政拨款基本支出决算情况说明</w:t>
      </w:r>
      <w:r>
        <w:rPr>
          <w:rFonts w:hint="eastAsia" w:ascii="楷体_GB2312" w:eastAsia="楷体_GB2312"/>
          <w:color w:val="000000" w:themeColor="text1"/>
          <w:sz w:val="28"/>
          <w:szCs w:val="28"/>
          <w14:textFill>
            <w14:solidFill>
              <w14:schemeClr w14:val="tx1"/>
            </w14:solidFill>
          </w14:textFill>
        </w:rPr>
        <w:tab/>
      </w:r>
      <w:r>
        <w:rPr>
          <w:rFonts w:hint="eastAsia" w:ascii="楷体_GB2312" w:eastAsia="楷体_GB2312"/>
          <w:color w:val="000000" w:themeColor="text1"/>
          <w:sz w:val="28"/>
          <w:szCs w:val="28"/>
          <w14:textFill>
            <w14:solidFill>
              <w14:schemeClr w14:val="tx1"/>
            </w14:solidFill>
          </w14:textFill>
        </w:rPr>
        <w:fldChar w:fldCharType="begin"/>
      </w:r>
      <w:r>
        <w:rPr>
          <w:rFonts w:hint="eastAsia" w:ascii="楷体_GB2312" w:eastAsia="楷体_GB2312"/>
          <w:color w:val="000000" w:themeColor="text1"/>
          <w:sz w:val="28"/>
          <w:szCs w:val="28"/>
          <w14:textFill>
            <w14:solidFill>
              <w14:schemeClr w14:val="tx1"/>
            </w14:solidFill>
          </w14:textFill>
        </w:rPr>
        <w:instrText xml:space="preserve"> PAGEREF _Toc20390770 \h </w:instrText>
      </w:r>
      <w:r>
        <w:rPr>
          <w:rFonts w:hint="eastAsia" w:ascii="楷体_GB2312" w:eastAsia="楷体_GB2312"/>
          <w:color w:val="000000" w:themeColor="text1"/>
          <w:sz w:val="28"/>
          <w:szCs w:val="28"/>
          <w14:textFill>
            <w14:solidFill>
              <w14:schemeClr w14:val="tx1"/>
            </w14:solidFill>
          </w14:textFill>
        </w:rPr>
        <w:fldChar w:fldCharType="separate"/>
      </w:r>
      <w:r>
        <w:rPr>
          <w:rFonts w:hint="eastAsia" w:ascii="楷体_GB2312" w:eastAsia="楷体_GB2312"/>
          <w:color w:val="000000" w:themeColor="text1"/>
          <w:sz w:val="28"/>
          <w:szCs w:val="28"/>
          <w14:textFill>
            <w14:solidFill>
              <w14:schemeClr w14:val="tx1"/>
            </w14:solidFill>
          </w14:textFill>
        </w:rPr>
        <w:t>12</w:t>
      </w:r>
      <w:r>
        <w:rPr>
          <w:rFonts w:hint="eastAsia" w:ascii="楷体_GB2312" w:eastAsia="楷体_GB2312"/>
          <w:color w:val="000000" w:themeColor="text1"/>
          <w:sz w:val="28"/>
          <w:szCs w:val="28"/>
          <w14:textFill>
            <w14:solidFill>
              <w14:schemeClr w14:val="tx1"/>
            </w14:solidFill>
          </w14:textFill>
        </w:rPr>
        <w:fldChar w:fldCharType="end"/>
      </w:r>
      <w:r>
        <w:rPr>
          <w:rFonts w:hint="eastAsia" w:ascii="楷体_GB2312" w:eastAsia="楷体_GB2312"/>
          <w:color w:val="000000" w:themeColor="text1"/>
          <w:sz w:val="28"/>
          <w:szCs w:val="28"/>
          <w14:textFill>
            <w14:solidFill>
              <w14:schemeClr w14:val="tx1"/>
            </w14:solidFill>
          </w14:textFill>
        </w:rPr>
        <w:fldChar w:fldCharType="end"/>
      </w:r>
    </w:p>
    <w:p>
      <w:pPr>
        <w:pStyle w:val="11"/>
        <w:spacing w:line="360" w:lineRule="exact"/>
        <w:rPr>
          <w:rFonts w:ascii="楷体_GB2312" w:eastAsia="楷体_GB2312" w:hAnsiTheme="minorHAnsi" w:cstheme="minorBidi"/>
          <w:color w:val="000000" w:themeColor="text1"/>
          <w:sz w:val="28"/>
          <w:szCs w:val="28"/>
          <w14:textFill>
            <w14:solidFill>
              <w14:schemeClr w14:val="tx1"/>
            </w14:solidFill>
          </w14:textFill>
        </w:rPr>
      </w:pPr>
      <w:r>
        <w:fldChar w:fldCharType="begin"/>
      </w:r>
      <w:r>
        <w:instrText xml:space="preserve"> HYPERLINK \l "_Toc20390771" </w:instrText>
      </w:r>
      <w:r>
        <w:fldChar w:fldCharType="separate"/>
      </w:r>
      <w:r>
        <w:rPr>
          <w:rStyle w:val="17"/>
          <w:rFonts w:hint="eastAsia" w:ascii="楷体_GB2312" w:hAnsi="黑体" w:eastAsia="楷体_GB2312"/>
          <w:color w:val="000000" w:themeColor="text1"/>
          <w:sz w:val="28"/>
          <w:szCs w:val="28"/>
          <w14:textFill>
            <w14:solidFill>
              <w14:schemeClr w14:val="tx1"/>
            </w14:solidFill>
          </w14:textFill>
        </w:rPr>
        <w:t>七、</w:t>
      </w:r>
      <w:r>
        <w:rPr>
          <w:rStyle w:val="17"/>
          <w:rFonts w:hint="eastAsia" w:ascii="楷体_GB2312" w:hAnsi="黑体" w:eastAsia="楷体_GB2312" w:cstheme="majorBidi"/>
          <w:bCs/>
          <w:color w:val="000000" w:themeColor="text1"/>
          <w:sz w:val="28"/>
          <w:szCs w:val="28"/>
          <w14:textFill>
            <w14:solidFill>
              <w14:schemeClr w14:val="tx1"/>
            </w14:solidFill>
          </w14:textFill>
        </w:rPr>
        <w:t>“三公”经费财政拨款支出决算情况说明</w:t>
      </w:r>
      <w:r>
        <w:rPr>
          <w:rFonts w:hint="eastAsia" w:ascii="楷体_GB2312" w:eastAsia="楷体_GB2312"/>
          <w:color w:val="000000" w:themeColor="text1"/>
          <w:sz w:val="28"/>
          <w:szCs w:val="28"/>
          <w14:textFill>
            <w14:solidFill>
              <w14:schemeClr w14:val="tx1"/>
            </w14:solidFill>
          </w14:textFill>
        </w:rPr>
        <w:tab/>
      </w:r>
      <w:r>
        <w:rPr>
          <w:rFonts w:hint="eastAsia" w:ascii="楷体_GB2312" w:eastAsia="楷体_GB2312"/>
          <w:color w:val="000000" w:themeColor="text1"/>
          <w:sz w:val="28"/>
          <w:szCs w:val="28"/>
          <w14:textFill>
            <w14:solidFill>
              <w14:schemeClr w14:val="tx1"/>
            </w14:solidFill>
          </w14:textFill>
        </w:rPr>
        <w:fldChar w:fldCharType="begin"/>
      </w:r>
      <w:r>
        <w:rPr>
          <w:rFonts w:hint="eastAsia" w:ascii="楷体_GB2312" w:eastAsia="楷体_GB2312"/>
          <w:color w:val="000000" w:themeColor="text1"/>
          <w:sz w:val="28"/>
          <w:szCs w:val="28"/>
          <w14:textFill>
            <w14:solidFill>
              <w14:schemeClr w14:val="tx1"/>
            </w14:solidFill>
          </w14:textFill>
        </w:rPr>
        <w:instrText xml:space="preserve"> PAGEREF _Toc20390771 \h </w:instrText>
      </w:r>
      <w:r>
        <w:rPr>
          <w:rFonts w:hint="eastAsia" w:ascii="楷体_GB2312" w:eastAsia="楷体_GB2312"/>
          <w:color w:val="000000" w:themeColor="text1"/>
          <w:sz w:val="28"/>
          <w:szCs w:val="28"/>
          <w14:textFill>
            <w14:solidFill>
              <w14:schemeClr w14:val="tx1"/>
            </w14:solidFill>
          </w14:textFill>
        </w:rPr>
        <w:fldChar w:fldCharType="separate"/>
      </w:r>
      <w:r>
        <w:rPr>
          <w:rFonts w:hint="eastAsia" w:ascii="楷体_GB2312" w:eastAsia="楷体_GB2312"/>
          <w:color w:val="000000" w:themeColor="text1"/>
          <w:sz w:val="28"/>
          <w:szCs w:val="28"/>
          <w14:textFill>
            <w14:solidFill>
              <w14:schemeClr w14:val="tx1"/>
            </w14:solidFill>
          </w14:textFill>
        </w:rPr>
        <w:t>12</w:t>
      </w:r>
      <w:r>
        <w:rPr>
          <w:rFonts w:hint="eastAsia" w:ascii="楷体_GB2312" w:eastAsia="楷体_GB2312"/>
          <w:color w:val="000000" w:themeColor="text1"/>
          <w:sz w:val="28"/>
          <w:szCs w:val="28"/>
          <w14:textFill>
            <w14:solidFill>
              <w14:schemeClr w14:val="tx1"/>
            </w14:solidFill>
          </w14:textFill>
        </w:rPr>
        <w:fldChar w:fldCharType="end"/>
      </w:r>
      <w:r>
        <w:rPr>
          <w:rFonts w:hint="eastAsia" w:ascii="楷体_GB2312" w:eastAsia="楷体_GB2312"/>
          <w:color w:val="000000" w:themeColor="text1"/>
          <w:sz w:val="28"/>
          <w:szCs w:val="28"/>
          <w14:textFill>
            <w14:solidFill>
              <w14:schemeClr w14:val="tx1"/>
            </w14:solidFill>
          </w14:textFill>
        </w:rPr>
        <w:fldChar w:fldCharType="end"/>
      </w:r>
    </w:p>
    <w:p>
      <w:pPr>
        <w:pStyle w:val="11"/>
        <w:spacing w:line="360" w:lineRule="exact"/>
        <w:rPr>
          <w:rFonts w:ascii="楷体_GB2312" w:eastAsia="楷体_GB2312" w:hAnsiTheme="minorHAnsi" w:cstheme="minorBidi"/>
          <w:color w:val="000000" w:themeColor="text1"/>
          <w:sz w:val="28"/>
          <w:szCs w:val="28"/>
          <w14:textFill>
            <w14:solidFill>
              <w14:schemeClr w14:val="tx1"/>
            </w14:solidFill>
          </w14:textFill>
        </w:rPr>
      </w:pPr>
      <w:r>
        <w:fldChar w:fldCharType="begin"/>
      </w:r>
      <w:r>
        <w:instrText xml:space="preserve"> HYPERLINK \l "_Toc20390772" </w:instrText>
      </w:r>
      <w:r>
        <w:fldChar w:fldCharType="separate"/>
      </w:r>
      <w:r>
        <w:rPr>
          <w:rStyle w:val="17"/>
          <w:rFonts w:hint="eastAsia" w:ascii="楷体_GB2312" w:eastAsia="楷体_GB2312"/>
          <w:color w:val="000000" w:themeColor="text1"/>
          <w:sz w:val="28"/>
          <w:szCs w:val="28"/>
          <w14:textFill>
            <w14:solidFill>
              <w14:schemeClr w14:val="tx1"/>
            </w14:solidFill>
          </w14:textFill>
        </w:rPr>
        <w:t>八、</w:t>
      </w:r>
      <w:r>
        <w:rPr>
          <w:rStyle w:val="17"/>
          <w:rFonts w:hint="eastAsia" w:ascii="楷体_GB2312" w:hAnsi="黑体" w:eastAsia="楷体_GB2312" w:cstheme="majorBidi"/>
          <w:bCs/>
          <w:color w:val="000000" w:themeColor="text1"/>
          <w:sz w:val="28"/>
          <w:szCs w:val="28"/>
          <w14:textFill>
            <w14:solidFill>
              <w14:schemeClr w14:val="tx1"/>
            </w14:solidFill>
          </w14:textFill>
        </w:rPr>
        <w:t>政府性基金预算支出决算情况说明</w:t>
      </w:r>
      <w:r>
        <w:rPr>
          <w:rFonts w:hint="eastAsia" w:ascii="楷体_GB2312" w:eastAsia="楷体_GB2312"/>
          <w:color w:val="000000" w:themeColor="text1"/>
          <w:sz w:val="28"/>
          <w:szCs w:val="28"/>
          <w14:textFill>
            <w14:solidFill>
              <w14:schemeClr w14:val="tx1"/>
            </w14:solidFill>
          </w14:textFill>
        </w:rPr>
        <w:tab/>
      </w:r>
      <w:r>
        <w:rPr>
          <w:rFonts w:hint="eastAsia" w:ascii="楷体_GB2312" w:eastAsia="楷体_GB2312"/>
          <w:color w:val="000000" w:themeColor="text1"/>
          <w:sz w:val="28"/>
          <w:szCs w:val="28"/>
          <w14:textFill>
            <w14:solidFill>
              <w14:schemeClr w14:val="tx1"/>
            </w14:solidFill>
          </w14:textFill>
        </w:rPr>
        <w:fldChar w:fldCharType="begin"/>
      </w:r>
      <w:r>
        <w:rPr>
          <w:rFonts w:hint="eastAsia" w:ascii="楷体_GB2312" w:eastAsia="楷体_GB2312"/>
          <w:color w:val="000000" w:themeColor="text1"/>
          <w:sz w:val="28"/>
          <w:szCs w:val="28"/>
          <w14:textFill>
            <w14:solidFill>
              <w14:schemeClr w14:val="tx1"/>
            </w14:solidFill>
          </w14:textFill>
        </w:rPr>
        <w:instrText xml:space="preserve"> PAGEREF _Toc20390772 \h </w:instrText>
      </w:r>
      <w:r>
        <w:rPr>
          <w:rFonts w:hint="eastAsia" w:ascii="楷体_GB2312" w:eastAsia="楷体_GB2312"/>
          <w:color w:val="000000" w:themeColor="text1"/>
          <w:sz w:val="28"/>
          <w:szCs w:val="28"/>
          <w14:textFill>
            <w14:solidFill>
              <w14:schemeClr w14:val="tx1"/>
            </w14:solidFill>
          </w14:textFill>
        </w:rPr>
        <w:fldChar w:fldCharType="separate"/>
      </w:r>
      <w:r>
        <w:rPr>
          <w:rFonts w:hint="eastAsia" w:ascii="楷体_GB2312" w:eastAsia="楷体_GB2312"/>
          <w:color w:val="000000" w:themeColor="text1"/>
          <w:sz w:val="28"/>
          <w:szCs w:val="28"/>
          <w14:textFill>
            <w14:solidFill>
              <w14:schemeClr w14:val="tx1"/>
            </w14:solidFill>
          </w14:textFill>
        </w:rPr>
        <w:t>14</w:t>
      </w:r>
      <w:r>
        <w:rPr>
          <w:rFonts w:hint="eastAsia" w:ascii="楷体_GB2312" w:eastAsia="楷体_GB2312"/>
          <w:color w:val="000000" w:themeColor="text1"/>
          <w:sz w:val="28"/>
          <w:szCs w:val="28"/>
          <w14:textFill>
            <w14:solidFill>
              <w14:schemeClr w14:val="tx1"/>
            </w14:solidFill>
          </w14:textFill>
        </w:rPr>
        <w:fldChar w:fldCharType="end"/>
      </w:r>
      <w:r>
        <w:rPr>
          <w:rFonts w:hint="eastAsia" w:ascii="楷体_GB2312" w:eastAsia="楷体_GB2312"/>
          <w:color w:val="000000" w:themeColor="text1"/>
          <w:sz w:val="28"/>
          <w:szCs w:val="28"/>
          <w14:textFill>
            <w14:solidFill>
              <w14:schemeClr w14:val="tx1"/>
            </w14:solidFill>
          </w14:textFill>
        </w:rPr>
        <w:fldChar w:fldCharType="end"/>
      </w:r>
    </w:p>
    <w:p>
      <w:pPr>
        <w:pStyle w:val="11"/>
        <w:spacing w:line="360" w:lineRule="exact"/>
        <w:rPr>
          <w:rFonts w:ascii="楷体_GB2312" w:eastAsia="楷体_GB2312" w:hAnsiTheme="minorHAnsi" w:cstheme="minorBidi"/>
          <w:color w:val="000000" w:themeColor="text1"/>
          <w:sz w:val="28"/>
          <w:szCs w:val="28"/>
          <w14:textFill>
            <w14:solidFill>
              <w14:schemeClr w14:val="tx1"/>
            </w14:solidFill>
          </w14:textFill>
        </w:rPr>
      </w:pPr>
      <w:r>
        <w:fldChar w:fldCharType="begin"/>
      </w:r>
      <w:r>
        <w:instrText xml:space="preserve"> HYPERLINK \l "_Toc20390773" </w:instrText>
      </w:r>
      <w:r>
        <w:fldChar w:fldCharType="separate"/>
      </w:r>
      <w:r>
        <w:rPr>
          <w:rStyle w:val="17"/>
          <w:rFonts w:hint="eastAsia" w:ascii="楷体_GB2312" w:hAnsi="黑体" w:eastAsia="楷体_GB2312" w:cstheme="majorBidi"/>
          <w:bCs/>
          <w:color w:val="000000" w:themeColor="text1"/>
          <w:sz w:val="28"/>
          <w:szCs w:val="28"/>
          <w14:textFill>
            <w14:solidFill>
              <w14:schemeClr w14:val="tx1"/>
            </w14:solidFill>
          </w14:textFill>
        </w:rPr>
        <w:t>九、 国有资本经营预算支出决算情况说明</w:t>
      </w:r>
      <w:r>
        <w:rPr>
          <w:rFonts w:hint="eastAsia" w:ascii="楷体_GB2312" w:eastAsia="楷体_GB2312"/>
          <w:color w:val="000000" w:themeColor="text1"/>
          <w:sz w:val="28"/>
          <w:szCs w:val="28"/>
          <w14:textFill>
            <w14:solidFill>
              <w14:schemeClr w14:val="tx1"/>
            </w14:solidFill>
          </w14:textFill>
        </w:rPr>
        <w:tab/>
      </w:r>
      <w:r>
        <w:rPr>
          <w:rFonts w:hint="eastAsia" w:ascii="楷体_GB2312" w:eastAsia="楷体_GB2312"/>
          <w:color w:val="000000" w:themeColor="text1"/>
          <w:sz w:val="28"/>
          <w:szCs w:val="28"/>
          <w14:textFill>
            <w14:solidFill>
              <w14:schemeClr w14:val="tx1"/>
            </w14:solidFill>
          </w14:textFill>
        </w:rPr>
        <w:fldChar w:fldCharType="begin"/>
      </w:r>
      <w:r>
        <w:rPr>
          <w:rFonts w:hint="eastAsia" w:ascii="楷体_GB2312" w:eastAsia="楷体_GB2312"/>
          <w:color w:val="000000" w:themeColor="text1"/>
          <w:sz w:val="28"/>
          <w:szCs w:val="28"/>
          <w14:textFill>
            <w14:solidFill>
              <w14:schemeClr w14:val="tx1"/>
            </w14:solidFill>
          </w14:textFill>
        </w:rPr>
        <w:instrText xml:space="preserve"> PAGEREF _Toc20390773 \h </w:instrText>
      </w:r>
      <w:r>
        <w:rPr>
          <w:rFonts w:hint="eastAsia" w:ascii="楷体_GB2312" w:eastAsia="楷体_GB2312"/>
          <w:color w:val="000000" w:themeColor="text1"/>
          <w:sz w:val="28"/>
          <w:szCs w:val="28"/>
          <w14:textFill>
            <w14:solidFill>
              <w14:schemeClr w14:val="tx1"/>
            </w14:solidFill>
          </w14:textFill>
        </w:rPr>
        <w:fldChar w:fldCharType="separate"/>
      </w:r>
      <w:r>
        <w:rPr>
          <w:rFonts w:hint="eastAsia" w:ascii="楷体_GB2312" w:eastAsia="楷体_GB2312"/>
          <w:color w:val="000000" w:themeColor="text1"/>
          <w:sz w:val="28"/>
          <w:szCs w:val="28"/>
          <w14:textFill>
            <w14:solidFill>
              <w14:schemeClr w14:val="tx1"/>
            </w14:solidFill>
          </w14:textFill>
        </w:rPr>
        <w:t>14</w:t>
      </w:r>
      <w:r>
        <w:rPr>
          <w:rFonts w:hint="eastAsia" w:ascii="楷体_GB2312" w:eastAsia="楷体_GB2312"/>
          <w:color w:val="000000" w:themeColor="text1"/>
          <w:sz w:val="28"/>
          <w:szCs w:val="28"/>
          <w14:textFill>
            <w14:solidFill>
              <w14:schemeClr w14:val="tx1"/>
            </w14:solidFill>
          </w14:textFill>
        </w:rPr>
        <w:fldChar w:fldCharType="end"/>
      </w:r>
      <w:r>
        <w:rPr>
          <w:rFonts w:hint="eastAsia" w:ascii="楷体_GB2312" w:eastAsia="楷体_GB2312"/>
          <w:color w:val="000000" w:themeColor="text1"/>
          <w:sz w:val="28"/>
          <w:szCs w:val="28"/>
          <w14:textFill>
            <w14:solidFill>
              <w14:schemeClr w14:val="tx1"/>
            </w14:solidFill>
          </w14:textFill>
        </w:rPr>
        <w:fldChar w:fldCharType="end"/>
      </w:r>
    </w:p>
    <w:p>
      <w:pPr>
        <w:pStyle w:val="11"/>
        <w:tabs>
          <w:tab w:val="left" w:pos="1260"/>
        </w:tabs>
        <w:spacing w:line="360" w:lineRule="exact"/>
        <w:rPr>
          <w:rFonts w:ascii="楷体_GB2312" w:eastAsia="楷体_GB2312" w:hAnsiTheme="minorHAnsi" w:cstheme="minorBidi"/>
          <w:color w:val="000000" w:themeColor="text1"/>
          <w:sz w:val="28"/>
          <w:szCs w:val="28"/>
          <w14:textFill>
            <w14:solidFill>
              <w14:schemeClr w14:val="tx1"/>
            </w14:solidFill>
          </w14:textFill>
        </w:rPr>
      </w:pPr>
      <w:r>
        <w:fldChar w:fldCharType="begin"/>
      </w:r>
      <w:r>
        <w:instrText xml:space="preserve"> HYPERLINK \l "_Toc20390774" </w:instrText>
      </w:r>
      <w:r>
        <w:fldChar w:fldCharType="separate"/>
      </w:r>
      <w:r>
        <w:rPr>
          <w:rStyle w:val="17"/>
          <w:rFonts w:hint="eastAsia" w:ascii="楷体_GB2312" w:hAnsi="黑体" w:eastAsia="楷体_GB2312"/>
          <w:color w:val="000000" w:themeColor="text1"/>
          <w:sz w:val="28"/>
          <w:szCs w:val="28"/>
          <w14:textFill>
            <w14:solidFill>
              <w14:schemeClr w14:val="tx1"/>
            </w14:solidFill>
          </w14:textFill>
        </w:rPr>
        <w:t>十、</w:t>
      </w:r>
      <w:r>
        <w:rPr>
          <w:rFonts w:hint="eastAsia" w:ascii="楷体_GB2312" w:eastAsia="楷体_GB2312" w:hAnsiTheme="minorHAnsi" w:cstheme="minorBidi"/>
          <w:color w:val="000000" w:themeColor="text1"/>
          <w:sz w:val="28"/>
          <w:szCs w:val="28"/>
          <w14:textFill>
            <w14:solidFill>
              <w14:schemeClr w14:val="tx1"/>
            </w14:solidFill>
          </w14:textFill>
        </w:rPr>
        <w:tab/>
      </w:r>
      <w:r>
        <w:rPr>
          <w:rStyle w:val="17"/>
          <w:rFonts w:hint="eastAsia" w:ascii="楷体_GB2312" w:hAnsi="黑体" w:eastAsia="楷体_GB2312"/>
          <w:color w:val="000000" w:themeColor="text1"/>
          <w:sz w:val="28"/>
          <w:szCs w:val="28"/>
          <w14:textFill>
            <w14:solidFill>
              <w14:schemeClr w14:val="tx1"/>
            </w14:solidFill>
          </w14:textFill>
        </w:rPr>
        <w:t>预算绩效情况说明</w:t>
      </w:r>
      <w:r>
        <w:rPr>
          <w:rFonts w:hint="eastAsia" w:ascii="楷体_GB2312" w:eastAsia="楷体_GB2312"/>
          <w:color w:val="000000" w:themeColor="text1"/>
          <w:sz w:val="28"/>
          <w:szCs w:val="28"/>
          <w14:textFill>
            <w14:solidFill>
              <w14:schemeClr w14:val="tx1"/>
            </w14:solidFill>
          </w14:textFill>
        </w:rPr>
        <w:tab/>
      </w:r>
      <w:r>
        <w:rPr>
          <w:rFonts w:hint="eastAsia" w:ascii="楷体_GB2312" w:eastAsia="楷体_GB2312"/>
          <w:color w:val="000000" w:themeColor="text1"/>
          <w:sz w:val="28"/>
          <w:szCs w:val="28"/>
          <w14:textFill>
            <w14:solidFill>
              <w14:schemeClr w14:val="tx1"/>
            </w14:solidFill>
          </w14:textFill>
        </w:rPr>
        <w:fldChar w:fldCharType="begin"/>
      </w:r>
      <w:r>
        <w:rPr>
          <w:rFonts w:hint="eastAsia" w:ascii="楷体_GB2312" w:eastAsia="楷体_GB2312"/>
          <w:color w:val="000000" w:themeColor="text1"/>
          <w:sz w:val="28"/>
          <w:szCs w:val="28"/>
          <w14:textFill>
            <w14:solidFill>
              <w14:schemeClr w14:val="tx1"/>
            </w14:solidFill>
          </w14:textFill>
        </w:rPr>
        <w:instrText xml:space="preserve"> PAGEREF _Toc20390774 \h </w:instrText>
      </w:r>
      <w:r>
        <w:rPr>
          <w:rFonts w:hint="eastAsia" w:ascii="楷体_GB2312" w:eastAsia="楷体_GB2312"/>
          <w:color w:val="000000" w:themeColor="text1"/>
          <w:sz w:val="28"/>
          <w:szCs w:val="28"/>
          <w14:textFill>
            <w14:solidFill>
              <w14:schemeClr w14:val="tx1"/>
            </w14:solidFill>
          </w14:textFill>
        </w:rPr>
        <w:fldChar w:fldCharType="separate"/>
      </w:r>
      <w:r>
        <w:rPr>
          <w:rFonts w:hint="eastAsia" w:ascii="楷体_GB2312" w:eastAsia="楷体_GB2312"/>
          <w:color w:val="000000" w:themeColor="text1"/>
          <w:sz w:val="28"/>
          <w:szCs w:val="28"/>
          <w14:textFill>
            <w14:solidFill>
              <w14:schemeClr w14:val="tx1"/>
            </w14:solidFill>
          </w14:textFill>
        </w:rPr>
        <w:t>14</w:t>
      </w:r>
      <w:r>
        <w:rPr>
          <w:rFonts w:hint="eastAsia" w:ascii="楷体_GB2312" w:eastAsia="楷体_GB2312"/>
          <w:color w:val="000000" w:themeColor="text1"/>
          <w:sz w:val="28"/>
          <w:szCs w:val="28"/>
          <w14:textFill>
            <w14:solidFill>
              <w14:schemeClr w14:val="tx1"/>
            </w14:solidFill>
          </w14:textFill>
        </w:rPr>
        <w:fldChar w:fldCharType="end"/>
      </w:r>
      <w:r>
        <w:rPr>
          <w:rFonts w:hint="eastAsia" w:ascii="楷体_GB2312" w:eastAsia="楷体_GB2312"/>
          <w:color w:val="000000" w:themeColor="text1"/>
          <w:sz w:val="28"/>
          <w:szCs w:val="28"/>
          <w14:textFill>
            <w14:solidFill>
              <w14:schemeClr w14:val="tx1"/>
            </w14:solidFill>
          </w14:textFill>
        </w:rPr>
        <w:fldChar w:fldCharType="end"/>
      </w:r>
    </w:p>
    <w:p>
      <w:pPr>
        <w:pStyle w:val="11"/>
        <w:spacing w:line="360" w:lineRule="exact"/>
        <w:rPr>
          <w:rFonts w:ascii="楷体_GB2312" w:eastAsia="楷体_GB2312" w:hAnsiTheme="minorHAnsi" w:cstheme="minorBidi"/>
          <w:color w:val="000000" w:themeColor="text1"/>
          <w:sz w:val="28"/>
          <w:szCs w:val="28"/>
          <w14:textFill>
            <w14:solidFill>
              <w14:schemeClr w14:val="tx1"/>
            </w14:solidFill>
          </w14:textFill>
        </w:rPr>
      </w:pPr>
      <w:r>
        <w:fldChar w:fldCharType="begin"/>
      </w:r>
      <w:r>
        <w:instrText xml:space="preserve"> HYPERLINK \l "_Toc20390775" </w:instrText>
      </w:r>
      <w:r>
        <w:fldChar w:fldCharType="separate"/>
      </w:r>
      <w:r>
        <w:rPr>
          <w:rStyle w:val="17"/>
          <w:rFonts w:hint="eastAsia" w:ascii="楷体_GB2312" w:hAnsi="黑体" w:eastAsia="楷体_GB2312"/>
          <w:color w:val="000000" w:themeColor="text1"/>
          <w:sz w:val="28"/>
          <w:szCs w:val="28"/>
          <w14:textFill>
            <w14:solidFill>
              <w14:schemeClr w14:val="tx1"/>
            </w14:solidFill>
          </w14:textFill>
        </w:rPr>
        <w:t>十</w:t>
      </w:r>
      <w:r>
        <w:rPr>
          <w:rStyle w:val="17"/>
          <w:rFonts w:hint="eastAsia" w:ascii="楷体_GB2312" w:hAnsi="黑体" w:eastAsia="楷体_GB2312" w:cstheme="majorBidi"/>
          <w:bCs/>
          <w:color w:val="000000" w:themeColor="text1"/>
          <w:sz w:val="28"/>
          <w:szCs w:val="28"/>
          <w14:textFill>
            <w14:solidFill>
              <w14:schemeClr w14:val="tx1"/>
            </w14:solidFill>
          </w14:textFill>
        </w:rPr>
        <w:t>一、其他重要事项的情况说明</w:t>
      </w:r>
      <w:r>
        <w:rPr>
          <w:rFonts w:hint="eastAsia" w:ascii="楷体_GB2312" w:eastAsia="楷体_GB2312"/>
          <w:color w:val="000000" w:themeColor="text1"/>
          <w:sz w:val="28"/>
          <w:szCs w:val="28"/>
          <w14:textFill>
            <w14:solidFill>
              <w14:schemeClr w14:val="tx1"/>
            </w14:solidFill>
          </w14:textFill>
        </w:rPr>
        <w:tab/>
      </w:r>
      <w:r>
        <w:rPr>
          <w:rFonts w:hint="eastAsia" w:ascii="楷体_GB2312" w:eastAsia="楷体_GB2312"/>
          <w:color w:val="000000" w:themeColor="text1"/>
          <w:sz w:val="28"/>
          <w:szCs w:val="28"/>
          <w14:textFill>
            <w14:solidFill>
              <w14:schemeClr w14:val="tx1"/>
            </w14:solidFill>
          </w14:textFill>
        </w:rPr>
        <w:fldChar w:fldCharType="begin"/>
      </w:r>
      <w:r>
        <w:rPr>
          <w:rFonts w:hint="eastAsia" w:ascii="楷体_GB2312" w:eastAsia="楷体_GB2312"/>
          <w:color w:val="000000" w:themeColor="text1"/>
          <w:sz w:val="28"/>
          <w:szCs w:val="28"/>
          <w14:textFill>
            <w14:solidFill>
              <w14:schemeClr w14:val="tx1"/>
            </w14:solidFill>
          </w14:textFill>
        </w:rPr>
        <w:instrText xml:space="preserve"> PAGEREF _Toc20390775 \h </w:instrText>
      </w:r>
      <w:r>
        <w:rPr>
          <w:rFonts w:hint="eastAsia" w:ascii="楷体_GB2312" w:eastAsia="楷体_GB2312"/>
          <w:color w:val="000000" w:themeColor="text1"/>
          <w:sz w:val="28"/>
          <w:szCs w:val="28"/>
          <w14:textFill>
            <w14:solidFill>
              <w14:schemeClr w14:val="tx1"/>
            </w14:solidFill>
          </w14:textFill>
        </w:rPr>
        <w:fldChar w:fldCharType="separate"/>
      </w:r>
      <w:r>
        <w:rPr>
          <w:rFonts w:hint="eastAsia" w:ascii="楷体_GB2312" w:eastAsia="楷体_GB2312"/>
          <w:color w:val="000000" w:themeColor="text1"/>
          <w:sz w:val="28"/>
          <w:szCs w:val="28"/>
          <w14:textFill>
            <w14:solidFill>
              <w14:schemeClr w14:val="tx1"/>
            </w14:solidFill>
          </w14:textFill>
        </w:rPr>
        <w:t>22</w:t>
      </w:r>
      <w:r>
        <w:rPr>
          <w:rFonts w:hint="eastAsia" w:ascii="楷体_GB2312" w:eastAsia="楷体_GB2312"/>
          <w:color w:val="000000" w:themeColor="text1"/>
          <w:sz w:val="28"/>
          <w:szCs w:val="28"/>
          <w14:textFill>
            <w14:solidFill>
              <w14:schemeClr w14:val="tx1"/>
            </w14:solidFill>
          </w14:textFill>
        </w:rPr>
        <w:fldChar w:fldCharType="end"/>
      </w:r>
      <w:r>
        <w:rPr>
          <w:rFonts w:hint="eastAsia" w:ascii="楷体_GB2312" w:eastAsia="楷体_GB2312"/>
          <w:color w:val="000000" w:themeColor="text1"/>
          <w:sz w:val="28"/>
          <w:szCs w:val="28"/>
          <w14:textFill>
            <w14:solidFill>
              <w14:schemeClr w14:val="tx1"/>
            </w14:solidFill>
          </w14:textFill>
        </w:rPr>
        <w:fldChar w:fldCharType="end"/>
      </w:r>
    </w:p>
    <w:p>
      <w:pPr>
        <w:pStyle w:val="10"/>
        <w:spacing w:before="0" w:line="360" w:lineRule="exact"/>
        <w:rPr>
          <w:rStyle w:val="17"/>
          <w:rFonts w:ascii="黑体" w:hAnsi="黑体" w:eastAsia="黑体"/>
          <w:color w:val="000000" w:themeColor="text1"/>
          <w14:textFill>
            <w14:solidFill>
              <w14:schemeClr w14:val="tx1"/>
            </w14:solidFill>
          </w14:textFill>
        </w:rPr>
      </w:pPr>
      <w:r>
        <w:fldChar w:fldCharType="begin"/>
      </w:r>
      <w:r>
        <w:instrText xml:space="preserve"> HYPERLINK \l "_Toc20390776" </w:instrText>
      </w:r>
      <w:r>
        <w:fldChar w:fldCharType="separate"/>
      </w:r>
      <w:r>
        <w:rPr>
          <w:rStyle w:val="17"/>
          <w:rFonts w:hint="eastAsia" w:ascii="黑体" w:hAnsi="黑体" w:eastAsia="黑体"/>
          <w:color w:val="000000" w:themeColor="text1"/>
          <w14:textFill>
            <w14:solidFill>
              <w14:schemeClr w14:val="tx1"/>
            </w14:solidFill>
          </w14:textFill>
        </w:rPr>
        <w:t xml:space="preserve">第三部分  </w:t>
      </w:r>
      <w:r>
        <w:rPr>
          <w:rFonts w:hint="eastAsia" w:ascii="黑体" w:hAnsi="黑体" w:eastAsia="黑体"/>
          <w:color w:val="000000" w:themeColor="text1"/>
          <w14:textFill>
            <w14:solidFill>
              <w14:schemeClr w14:val="tx1"/>
            </w14:solidFill>
          </w14:textFill>
        </w:rPr>
        <w:t>名</w:t>
      </w:r>
      <w:r>
        <w:rPr>
          <w:rStyle w:val="26"/>
          <w:rFonts w:hint="eastAsia" w:ascii="黑体" w:hAnsi="黑体" w:eastAsia="黑体"/>
          <w:b w:val="0"/>
          <w:color w:val="000000" w:themeColor="text1"/>
          <w:sz w:val="28"/>
          <w:szCs w:val="28"/>
          <w14:textFill>
            <w14:solidFill>
              <w14:schemeClr w14:val="tx1"/>
            </w14:solidFill>
          </w14:textFill>
        </w:rPr>
        <w:t>词解释</w:t>
      </w:r>
      <w:r>
        <w:rPr>
          <w:rStyle w:val="17"/>
          <w:rFonts w:ascii="黑体" w:hAnsi="黑体" w:eastAsia="黑体"/>
          <w:color w:val="000000" w:themeColor="text1"/>
          <w14:textFill>
            <w14:solidFill>
              <w14:schemeClr w14:val="tx1"/>
            </w14:solidFill>
          </w14:textFill>
        </w:rPr>
        <w:tab/>
      </w:r>
      <w:r>
        <w:rPr>
          <w:rStyle w:val="17"/>
          <w:rFonts w:hint="eastAsia" w:ascii="黑体" w:hAnsi="黑体" w:eastAsia="黑体"/>
          <w:color w:val="000000" w:themeColor="text1"/>
          <w14:textFill>
            <w14:solidFill>
              <w14:schemeClr w14:val="tx1"/>
            </w14:solidFill>
          </w14:textFill>
        </w:rPr>
        <w:t>24</w:t>
      </w:r>
      <w:r>
        <w:rPr>
          <w:rStyle w:val="17"/>
          <w:rFonts w:hint="eastAsia" w:ascii="黑体" w:hAnsi="黑体" w:eastAsia="黑体"/>
          <w:color w:val="000000" w:themeColor="text1"/>
          <w14:textFill>
            <w14:solidFill>
              <w14:schemeClr w14:val="tx1"/>
            </w14:solidFill>
          </w14:textFill>
        </w:rPr>
        <w:fldChar w:fldCharType="end"/>
      </w:r>
    </w:p>
    <w:p>
      <w:pPr>
        <w:pStyle w:val="10"/>
        <w:spacing w:before="0" w:line="360" w:lineRule="exact"/>
        <w:rPr>
          <w:rFonts w:hint="eastAsia"/>
          <w:color w:val="000000" w:themeColor="text1"/>
          <w14:textFill>
            <w14:solidFill>
              <w14:schemeClr w14:val="tx1"/>
            </w14:solidFill>
          </w14:textFill>
        </w:rPr>
      </w:pPr>
      <w:r>
        <w:fldChar w:fldCharType="begin"/>
      </w:r>
      <w:r>
        <w:instrText xml:space="preserve"> HYPERLINK \l "_Toc20390776" </w:instrText>
      </w:r>
      <w:r>
        <w:fldChar w:fldCharType="separate"/>
      </w:r>
      <w:r>
        <w:rPr>
          <w:rStyle w:val="17"/>
          <w:rFonts w:hint="eastAsia" w:ascii="黑体" w:hAnsi="黑体" w:eastAsia="黑体"/>
          <w:color w:val="000000" w:themeColor="text1"/>
          <w14:textFill>
            <w14:solidFill>
              <w14:schemeClr w14:val="tx1"/>
            </w14:solidFill>
          </w14:textFill>
        </w:rPr>
        <w:t xml:space="preserve">第四部分  </w:t>
      </w:r>
      <w:r>
        <w:rPr>
          <w:rFonts w:hint="eastAsia" w:ascii="黑体" w:hAnsi="黑体" w:eastAsia="黑体"/>
          <w:color w:val="000000" w:themeColor="text1"/>
          <w14:textFill>
            <w14:solidFill>
              <w14:schemeClr w14:val="tx1"/>
            </w14:solidFill>
          </w14:textFill>
        </w:rPr>
        <w:t>附件</w:t>
      </w:r>
      <w:r>
        <w:rPr>
          <w:rStyle w:val="17"/>
          <w:rFonts w:ascii="黑体" w:hAnsi="黑体" w:eastAsia="黑体"/>
          <w:color w:val="000000" w:themeColor="text1"/>
          <w14:textFill>
            <w14:solidFill>
              <w14:schemeClr w14:val="tx1"/>
            </w14:solidFill>
          </w14:textFill>
        </w:rPr>
        <w:tab/>
      </w:r>
      <w:r>
        <w:rPr>
          <w:rStyle w:val="17"/>
          <w:rFonts w:hint="eastAsia" w:ascii="黑体" w:hAnsi="黑体" w:eastAsia="黑体"/>
          <w:color w:val="000000" w:themeColor="text1"/>
          <w14:textFill>
            <w14:solidFill>
              <w14:schemeClr w14:val="tx1"/>
            </w14:solidFill>
          </w14:textFill>
        </w:rPr>
        <w:t>27</w:t>
      </w:r>
      <w:r>
        <w:rPr>
          <w:rStyle w:val="17"/>
          <w:rFonts w:hint="eastAsia" w:ascii="黑体" w:hAnsi="黑体" w:eastAsia="黑体"/>
          <w:color w:val="000000" w:themeColor="text1"/>
          <w14:textFill>
            <w14:solidFill>
              <w14:schemeClr w14:val="tx1"/>
            </w14:solidFill>
          </w14:textFill>
        </w:rPr>
        <w:fldChar w:fldCharType="end"/>
      </w:r>
    </w:p>
    <w:p>
      <w:pPr>
        <w:pStyle w:val="11"/>
        <w:spacing w:line="360" w:lineRule="exact"/>
        <w:jc w:val="distribute"/>
        <w:rPr>
          <w:rStyle w:val="17"/>
          <w:rFonts w:hint="eastAsia" w:ascii="楷体_GB2312" w:hAnsi="黑体" w:eastAsia="楷体_GB2312" w:cstheme="majorBidi"/>
          <w:bCs/>
          <w:color w:val="000000" w:themeColor="text1"/>
          <w:sz w:val="28"/>
          <w:szCs w:val="28"/>
          <w14:textFill>
            <w14:solidFill>
              <w14:schemeClr w14:val="tx1"/>
            </w14:solidFill>
          </w14:textFill>
        </w:rPr>
      </w:pPr>
      <w:r>
        <w:fldChar w:fldCharType="begin"/>
      </w:r>
      <w:r>
        <w:instrText xml:space="preserve"> HYPERLINK \l "_Toc20390779" </w:instrText>
      </w:r>
      <w:r>
        <w:fldChar w:fldCharType="separate"/>
      </w:r>
      <w:r>
        <w:rPr>
          <w:rStyle w:val="17"/>
          <w:rFonts w:hint="eastAsia" w:ascii="楷体_GB2312" w:hAnsi="黑体" w:eastAsia="楷体_GB2312" w:cstheme="majorBidi"/>
          <w:bCs/>
          <w:color w:val="000000" w:themeColor="text1"/>
          <w:sz w:val="28"/>
          <w:szCs w:val="28"/>
          <w14:textFill>
            <w14:solidFill>
              <w14:schemeClr w14:val="tx1"/>
            </w14:solidFill>
          </w14:textFill>
        </w:rPr>
        <w:t>一、</w:t>
      </w:r>
      <w:r>
        <w:rPr>
          <w:rStyle w:val="17"/>
          <w:rFonts w:hint="eastAsia" w:ascii="楷体_GB2312" w:eastAsia="楷体_GB2312" w:cstheme="majorBidi"/>
          <w:bCs/>
          <w:color w:val="000000" w:themeColor="text1"/>
          <w:sz w:val="28"/>
          <w:szCs w:val="28"/>
          <w14:textFill>
            <w14:solidFill>
              <w14:schemeClr w14:val="tx1"/>
            </w14:solidFill>
          </w14:textFill>
        </w:rPr>
        <w:t>部门概况</w:t>
      </w:r>
      <w:r>
        <w:rPr>
          <w:rStyle w:val="17"/>
          <w:rFonts w:hint="eastAsia" w:ascii="楷体_GB2312" w:hAnsi="黑体" w:eastAsia="楷体_GB2312" w:cstheme="majorBidi"/>
          <w:bCs/>
          <w:color w:val="000000" w:themeColor="text1"/>
          <w:sz w:val="28"/>
          <w:szCs w:val="28"/>
          <w14:textFill>
            <w14:solidFill>
              <w14:schemeClr w14:val="tx1"/>
            </w14:solidFill>
          </w14:textFill>
        </w:rPr>
        <w:t>………………………………………………………27</w:t>
      </w:r>
      <w:r>
        <w:rPr>
          <w:rStyle w:val="17"/>
          <w:rFonts w:hint="eastAsia" w:ascii="楷体_GB2312" w:hAnsi="黑体" w:eastAsia="楷体_GB2312" w:cstheme="majorBidi"/>
          <w:bCs/>
          <w:color w:val="000000" w:themeColor="text1"/>
          <w:sz w:val="28"/>
          <w:szCs w:val="28"/>
          <w14:textFill>
            <w14:solidFill>
              <w14:schemeClr w14:val="tx1"/>
            </w14:solidFill>
          </w14:textFill>
        </w:rPr>
        <w:fldChar w:fldCharType="end"/>
      </w:r>
    </w:p>
    <w:p>
      <w:pPr>
        <w:pStyle w:val="11"/>
        <w:spacing w:line="360" w:lineRule="exact"/>
        <w:jc w:val="distribute"/>
        <w:rPr>
          <w:rStyle w:val="17"/>
          <w:rFonts w:hint="eastAsia" w:ascii="楷体_GB2312" w:hAnsi="黑体" w:eastAsia="楷体_GB2312" w:cstheme="majorBidi"/>
          <w:bCs/>
          <w:color w:val="000000" w:themeColor="text1"/>
          <w:sz w:val="28"/>
          <w:szCs w:val="28"/>
          <w14:textFill>
            <w14:solidFill>
              <w14:schemeClr w14:val="tx1"/>
            </w14:solidFill>
          </w14:textFill>
        </w:rPr>
      </w:pPr>
      <w:r>
        <w:fldChar w:fldCharType="begin"/>
      </w:r>
      <w:r>
        <w:instrText xml:space="preserve"> HYPERLINK \l "_Toc20390780" </w:instrText>
      </w:r>
      <w:r>
        <w:fldChar w:fldCharType="separate"/>
      </w:r>
      <w:r>
        <w:rPr>
          <w:rStyle w:val="17"/>
          <w:rFonts w:hint="eastAsia" w:ascii="楷体_GB2312" w:hAnsi="黑体" w:eastAsia="楷体_GB2312" w:cstheme="majorBidi"/>
          <w:bCs/>
          <w:color w:val="000000" w:themeColor="text1"/>
          <w:sz w:val="28"/>
          <w:szCs w:val="28"/>
          <w14:textFill>
            <w14:solidFill>
              <w14:schemeClr w14:val="tx1"/>
            </w14:solidFill>
          </w14:textFill>
        </w:rPr>
        <w:t>二、</w:t>
      </w:r>
      <w:r>
        <w:rPr>
          <w:rStyle w:val="17"/>
          <w:rFonts w:hint="eastAsia" w:ascii="楷体_GB2312" w:eastAsia="楷体_GB2312" w:cstheme="majorBidi"/>
          <w:bCs/>
          <w:color w:val="000000" w:themeColor="text1"/>
          <w:sz w:val="28"/>
          <w:szCs w:val="28"/>
          <w14:textFill>
            <w14:solidFill>
              <w14:schemeClr w14:val="tx1"/>
            </w14:solidFill>
          </w14:textFill>
        </w:rPr>
        <w:t>部门财政资金收支情况</w:t>
      </w:r>
      <w:r>
        <w:rPr>
          <w:rStyle w:val="17"/>
          <w:rFonts w:hint="eastAsia" w:ascii="楷体_GB2312" w:hAnsi="黑体" w:eastAsia="楷体_GB2312" w:cstheme="majorBidi"/>
          <w:bCs/>
          <w:color w:val="000000" w:themeColor="text1"/>
          <w:sz w:val="28"/>
          <w:szCs w:val="28"/>
          <w14:textFill>
            <w14:solidFill>
              <w14:schemeClr w14:val="tx1"/>
            </w14:solidFill>
          </w14:textFill>
        </w:rPr>
        <w:tab/>
      </w:r>
      <w:r>
        <w:rPr>
          <w:rStyle w:val="17"/>
          <w:rFonts w:hint="eastAsia" w:ascii="楷体_GB2312" w:hAnsi="黑体" w:eastAsia="楷体_GB2312" w:cstheme="majorBidi"/>
          <w:bCs/>
          <w:color w:val="000000" w:themeColor="text1"/>
          <w:sz w:val="28"/>
          <w:szCs w:val="28"/>
          <w14:textFill>
            <w14:solidFill>
              <w14:schemeClr w14:val="tx1"/>
            </w14:solidFill>
          </w14:textFill>
        </w:rPr>
        <w:t>28</w:t>
      </w:r>
      <w:r>
        <w:rPr>
          <w:rStyle w:val="17"/>
          <w:rFonts w:hint="eastAsia" w:ascii="楷体_GB2312" w:hAnsi="黑体" w:eastAsia="楷体_GB2312" w:cstheme="majorBidi"/>
          <w:bCs/>
          <w:color w:val="000000" w:themeColor="text1"/>
          <w:sz w:val="28"/>
          <w:szCs w:val="28"/>
          <w14:textFill>
            <w14:solidFill>
              <w14:schemeClr w14:val="tx1"/>
            </w14:solidFill>
          </w14:textFill>
        </w:rPr>
        <w:fldChar w:fldCharType="end"/>
      </w:r>
    </w:p>
    <w:p>
      <w:pPr>
        <w:pStyle w:val="11"/>
        <w:spacing w:line="360" w:lineRule="exact"/>
        <w:jc w:val="distribute"/>
        <w:rPr>
          <w:rStyle w:val="17"/>
          <w:rFonts w:hint="eastAsia" w:ascii="楷体_GB2312" w:hAnsi="黑体" w:eastAsia="楷体_GB2312" w:cstheme="majorBidi"/>
          <w:bCs/>
          <w:color w:val="000000" w:themeColor="text1"/>
          <w:sz w:val="28"/>
          <w:szCs w:val="28"/>
          <w:u w:val="none"/>
          <w14:textFill>
            <w14:solidFill>
              <w14:schemeClr w14:val="tx1"/>
            </w14:solidFill>
          </w14:textFill>
        </w:rPr>
      </w:pPr>
      <w:r>
        <w:fldChar w:fldCharType="begin"/>
      </w:r>
      <w:r>
        <w:instrText xml:space="preserve"> HYPERLINK \l "_Toc20390781" </w:instrText>
      </w:r>
      <w:r>
        <w:fldChar w:fldCharType="separate"/>
      </w:r>
      <w:r>
        <w:rPr>
          <w:rStyle w:val="17"/>
          <w:rFonts w:hint="eastAsia" w:ascii="楷体_GB2312" w:hAnsi="黑体" w:eastAsia="楷体_GB2312" w:cstheme="majorBidi"/>
          <w:bCs/>
          <w:color w:val="000000" w:themeColor="text1"/>
          <w:sz w:val="28"/>
          <w:szCs w:val="28"/>
          <w14:textFill>
            <w14:solidFill>
              <w14:schemeClr w14:val="tx1"/>
            </w14:solidFill>
          </w14:textFill>
        </w:rPr>
        <w:t>三、</w:t>
      </w:r>
      <w:r>
        <w:rPr>
          <w:rStyle w:val="17"/>
          <w:rFonts w:hint="eastAsia" w:ascii="楷体_GB2312" w:eastAsia="楷体_GB2312" w:cstheme="majorBidi"/>
          <w:bCs/>
          <w:color w:val="000000" w:themeColor="text1"/>
          <w:sz w:val="28"/>
          <w:szCs w:val="28"/>
          <w14:textFill>
            <w14:solidFill>
              <w14:schemeClr w14:val="tx1"/>
            </w14:solidFill>
          </w14:textFill>
        </w:rPr>
        <w:t>部门整体预算绩效管理情况</w:t>
      </w:r>
      <w:r>
        <w:rPr>
          <w:rStyle w:val="17"/>
          <w:rFonts w:hint="eastAsia" w:ascii="楷体_GB2312" w:eastAsia="楷体_GB2312" w:cstheme="majorBidi"/>
          <w:bCs/>
          <w:color w:val="000000" w:themeColor="text1"/>
          <w:sz w:val="28"/>
          <w:szCs w:val="28"/>
          <w14:textFill>
            <w14:solidFill>
              <w14:schemeClr w14:val="tx1"/>
            </w14:solidFill>
          </w14:textFill>
        </w:rPr>
        <w:fldChar w:fldCharType="end"/>
      </w:r>
      <w:r>
        <w:rPr>
          <w:rStyle w:val="17"/>
          <w:rFonts w:hint="eastAsia" w:ascii="楷体_GB2312" w:hAnsi="黑体" w:eastAsia="楷体_GB2312" w:cstheme="majorBidi"/>
          <w:bCs/>
          <w:color w:val="000000" w:themeColor="text1"/>
          <w:sz w:val="28"/>
          <w:szCs w:val="28"/>
          <w:u w:val="none"/>
          <w14:textFill>
            <w14:solidFill>
              <w14:schemeClr w14:val="tx1"/>
            </w14:solidFill>
          </w14:textFill>
        </w:rPr>
        <w:t>…………………………………28</w:t>
      </w:r>
    </w:p>
    <w:p>
      <w:pPr>
        <w:pStyle w:val="11"/>
        <w:spacing w:line="360" w:lineRule="exact"/>
        <w:jc w:val="distribute"/>
        <w:rPr>
          <w:rStyle w:val="17"/>
          <w:rFonts w:hint="eastAsia" w:ascii="楷体_GB2312" w:hAnsi="黑体" w:eastAsia="楷体_GB2312" w:cstheme="majorBidi"/>
          <w:bCs/>
          <w:color w:val="000000" w:themeColor="text1"/>
          <w:sz w:val="28"/>
          <w:szCs w:val="28"/>
          <w:u w:val="none"/>
          <w14:textFill>
            <w14:solidFill>
              <w14:schemeClr w14:val="tx1"/>
            </w14:solidFill>
          </w14:textFill>
        </w:rPr>
      </w:pPr>
      <w:r>
        <w:fldChar w:fldCharType="begin"/>
      </w:r>
      <w:r>
        <w:instrText xml:space="preserve"> HYPERLINK \l "_Toc20390782" </w:instrText>
      </w:r>
      <w:r>
        <w:fldChar w:fldCharType="separate"/>
      </w:r>
      <w:r>
        <w:rPr>
          <w:rStyle w:val="17"/>
          <w:rFonts w:hint="eastAsia" w:ascii="楷体_GB2312" w:hAnsi="黑体" w:eastAsia="楷体_GB2312" w:cstheme="majorBidi"/>
          <w:bCs/>
          <w:color w:val="000000" w:themeColor="text1"/>
          <w:sz w:val="28"/>
          <w:szCs w:val="28"/>
          <w:u w:val="none"/>
          <w14:textFill>
            <w14:solidFill>
              <w14:schemeClr w14:val="tx1"/>
            </w14:solidFill>
          </w14:textFill>
        </w:rPr>
        <w:t>四、</w:t>
      </w:r>
      <w:r>
        <w:rPr>
          <w:rStyle w:val="17"/>
          <w:rFonts w:hint="eastAsia" w:ascii="楷体_GB2312" w:eastAsia="楷体_GB2312" w:cstheme="majorBidi"/>
          <w:bCs/>
          <w:color w:val="000000" w:themeColor="text1"/>
          <w:sz w:val="28"/>
          <w:szCs w:val="28"/>
          <w:u w:val="none"/>
          <w14:textFill>
            <w14:solidFill>
              <w14:schemeClr w14:val="tx1"/>
            </w14:solidFill>
          </w14:textFill>
        </w:rPr>
        <w:t>评价结论及建议</w:t>
      </w:r>
      <w:r>
        <w:rPr>
          <w:rStyle w:val="17"/>
          <w:rFonts w:hint="eastAsia" w:ascii="楷体_GB2312" w:eastAsia="楷体_GB2312" w:cstheme="majorBidi"/>
          <w:bCs/>
          <w:color w:val="000000" w:themeColor="text1"/>
          <w:sz w:val="28"/>
          <w:szCs w:val="28"/>
          <w:u w:val="none"/>
          <w14:textFill>
            <w14:solidFill>
              <w14:schemeClr w14:val="tx1"/>
            </w14:solidFill>
          </w14:textFill>
        </w:rPr>
        <w:fldChar w:fldCharType="end"/>
      </w:r>
      <w:r>
        <w:rPr>
          <w:rStyle w:val="17"/>
          <w:rFonts w:hint="eastAsia" w:ascii="楷体_GB2312" w:hAnsi="黑体" w:eastAsia="楷体_GB2312" w:cstheme="majorBidi"/>
          <w:bCs/>
          <w:color w:val="000000" w:themeColor="text1"/>
          <w:sz w:val="28"/>
          <w:szCs w:val="28"/>
          <w:u w:val="none"/>
          <w14:textFill>
            <w14:solidFill>
              <w14:schemeClr w14:val="tx1"/>
            </w14:solidFill>
          </w14:textFill>
        </w:rPr>
        <w:t>………………………………………………30</w:t>
      </w:r>
    </w:p>
    <w:p>
      <w:pPr>
        <w:pStyle w:val="10"/>
        <w:spacing w:before="0" w:line="360" w:lineRule="exact"/>
        <w:rPr>
          <w:rStyle w:val="17"/>
          <w:rFonts w:ascii="黑体" w:hAnsi="黑体" w:eastAsia="黑体"/>
          <w:color w:val="000000" w:themeColor="text1"/>
          <w14:textFill>
            <w14:solidFill>
              <w14:schemeClr w14:val="tx1"/>
            </w14:solidFill>
          </w14:textFill>
        </w:rPr>
      </w:pPr>
      <w:r>
        <w:fldChar w:fldCharType="begin"/>
      </w:r>
      <w:r>
        <w:instrText xml:space="preserve"> HYPERLINK \l "_Toc20390778" </w:instrText>
      </w:r>
      <w:r>
        <w:fldChar w:fldCharType="separate"/>
      </w:r>
      <w:r>
        <w:rPr>
          <w:rStyle w:val="17"/>
          <w:rFonts w:hint="eastAsia" w:ascii="黑体" w:hAnsi="黑体" w:eastAsia="黑体"/>
          <w:color w:val="000000" w:themeColor="text1"/>
          <w14:textFill>
            <w14:solidFill>
              <w14:schemeClr w14:val="tx1"/>
            </w14:solidFill>
          </w14:textFill>
        </w:rPr>
        <w:t>第五部分  附表</w:t>
      </w:r>
      <w:r>
        <w:rPr>
          <w:rStyle w:val="17"/>
          <w:rFonts w:ascii="黑体" w:hAnsi="黑体" w:eastAsia="黑体"/>
          <w:color w:val="000000" w:themeColor="text1"/>
          <w14:textFill>
            <w14:solidFill>
              <w14:schemeClr w14:val="tx1"/>
            </w14:solidFill>
          </w14:textFill>
        </w:rPr>
        <w:tab/>
      </w:r>
      <w:r>
        <w:rPr>
          <w:rStyle w:val="17"/>
          <w:rFonts w:hint="eastAsia" w:ascii="黑体" w:hAnsi="黑体" w:eastAsia="黑体"/>
          <w:color w:val="000000" w:themeColor="text1"/>
          <w14:textFill>
            <w14:solidFill>
              <w14:schemeClr w14:val="tx1"/>
            </w14:solidFill>
          </w14:textFill>
        </w:rPr>
        <w:t>32</w:t>
      </w:r>
      <w:r>
        <w:rPr>
          <w:rStyle w:val="17"/>
          <w:rFonts w:hint="eastAsia" w:ascii="黑体" w:hAnsi="黑体" w:eastAsia="黑体"/>
          <w:color w:val="000000" w:themeColor="text1"/>
          <w14:textFill>
            <w14:solidFill>
              <w14:schemeClr w14:val="tx1"/>
            </w14:solidFill>
          </w14:textFill>
        </w:rPr>
        <w:fldChar w:fldCharType="end"/>
      </w:r>
    </w:p>
    <w:p>
      <w:pPr>
        <w:pStyle w:val="11"/>
        <w:spacing w:line="360" w:lineRule="exact"/>
        <w:rPr>
          <w:rFonts w:ascii="楷体_GB2312" w:eastAsia="楷体_GB2312" w:hAnsiTheme="minorHAnsi" w:cstheme="minorBidi"/>
          <w:color w:val="000000" w:themeColor="text1"/>
          <w:sz w:val="28"/>
          <w:szCs w:val="28"/>
          <w14:textFill>
            <w14:solidFill>
              <w14:schemeClr w14:val="tx1"/>
            </w14:solidFill>
          </w14:textFill>
        </w:rPr>
      </w:pPr>
      <w:r>
        <w:fldChar w:fldCharType="begin"/>
      </w:r>
      <w:r>
        <w:instrText xml:space="preserve"> HYPERLINK \l "_Toc20390779" </w:instrText>
      </w:r>
      <w:r>
        <w:fldChar w:fldCharType="separate"/>
      </w:r>
      <w:r>
        <w:rPr>
          <w:rStyle w:val="17"/>
          <w:rFonts w:hint="eastAsia" w:ascii="楷体_GB2312" w:hAnsi="仿宋" w:eastAsia="楷体_GB2312"/>
          <w:color w:val="000000" w:themeColor="text1"/>
          <w:sz w:val="28"/>
          <w:szCs w:val="28"/>
          <w14:textFill>
            <w14:solidFill>
              <w14:schemeClr w14:val="tx1"/>
            </w14:solidFill>
          </w14:textFill>
        </w:rPr>
        <w:t>一、收入支出决算总表</w:t>
      </w:r>
      <w:r>
        <w:rPr>
          <w:rFonts w:hint="eastAsia" w:ascii="楷体_GB2312" w:eastAsia="楷体_GB2312"/>
          <w:color w:val="000000" w:themeColor="text1"/>
          <w:sz w:val="28"/>
          <w:szCs w:val="28"/>
          <w14:textFill>
            <w14:solidFill>
              <w14:schemeClr w14:val="tx1"/>
            </w14:solidFill>
          </w14:textFill>
        </w:rPr>
        <w:tab/>
      </w:r>
      <w:r>
        <w:rPr>
          <w:rFonts w:hint="eastAsia" w:ascii="楷体_GB2312" w:eastAsia="楷体_GB2312"/>
          <w:color w:val="000000" w:themeColor="text1"/>
          <w:sz w:val="28"/>
          <w:szCs w:val="28"/>
          <w14:textFill>
            <w14:solidFill>
              <w14:schemeClr w14:val="tx1"/>
            </w14:solidFill>
          </w14:textFill>
        </w:rPr>
        <w:fldChar w:fldCharType="begin"/>
      </w:r>
      <w:r>
        <w:rPr>
          <w:rFonts w:hint="eastAsia" w:ascii="楷体_GB2312" w:eastAsia="楷体_GB2312"/>
          <w:color w:val="000000" w:themeColor="text1"/>
          <w:sz w:val="28"/>
          <w:szCs w:val="28"/>
          <w14:textFill>
            <w14:solidFill>
              <w14:schemeClr w14:val="tx1"/>
            </w14:solidFill>
          </w14:textFill>
        </w:rPr>
        <w:instrText xml:space="preserve"> PAGEREF _Toc20390779 \h </w:instrText>
      </w:r>
      <w:r>
        <w:rPr>
          <w:rFonts w:hint="eastAsia" w:ascii="楷体_GB2312" w:eastAsia="楷体_GB2312"/>
          <w:color w:val="000000" w:themeColor="text1"/>
          <w:sz w:val="28"/>
          <w:szCs w:val="28"/>
          <w14:textFill>
            <w14:solidFill>
              <w14:schemeClr w14:val="tx1"/>
            </w14:solidFill>
          </w14:textFill>
        </w:rPr>
        <w:fldChar w:fldCharType="separate"/>
      </w:r>
      <w:r>
        <w:rPr>
          <w:rFonts w:hint="eastAsia" w:ascii="楷体_GB2312" w:eastAsia="楷体_GB2312"/>
          <w:color w:val="000000" w:themeColor="text1"/>
          <w:sz w:val="28"/>
          <w:szCs w:val="28"/>
          <w14:textFill>
            <w14:solidFill>
              <w14:schemeClr w14:val="tx1"/>
            </w14:solidFill>
          </w14:textFill>
        </w:rPr>
        <w:t>32</w:t>
      </w:r>
      <w:r>
        <w:rPr>
          <w:rFonts w:hint="eastAsia" w:ascii="楷体_GB2312" w:eastAsia="楷体_GB2312"/>
          <w:color w:val="000000" w:themeColor="text1"/>
          <w:sz w:val="28"/>
          <w:szCs w:val="28"/>
          <w14:textFill>
            <w14:solidFill>
              <w14:schemeClr w14:val="tx1"/>
            </w14:solidFill>
          </w14:textFill>
        </w:rPr>
        <w:fldChar w:fldCharType="end"/>
      </w:r>
      <w:r>
        <w:rPr>
          <w:rFonts w:hint="eastAsia" w:ascii="楷体_GB2312" w:eastAsia="楷体_GB2312"/>
          <w:color w:val="000000" w:themeColor="text1"/>
          <w:sz w:val="28"/>
          <w:szCs w:val="28"/>
          <w14:textFill>
            <w14:solidFill>
              <w14:schemeClr w14:val="tx1"/>
            </w14:solidFill>
          </w14:textFill>
        </w:rPr>
        <w:fldChar w:fldCharType="end"/>
      </w:r>
    </w:p>
    <w:p>
      <w:pPr>
        <w:pStyle w:val="11"/>
        <w:spacing w:line="360" w:lineRule="exact"/>
        <w:rPr>
          <w:rFonts w:ascii="楷体_GB2312" w:eastAsia="楷体_GB2312" w:hAnsiTheme="minorHAnsi" w:cstheme="minorBidi"/>
          <w:color w:val="000000" w:themeColor="text1"/>
          <w:sz w:val="28"/>
          <w:szCs w:val="28"/>
          <w14:textFill>
            <w14:solidFill>
              <w14:schemeClr w14:val="tx1"/>
            </w14:solidFill>
          </w14:textFill>
        </w:rPr>
      </w:pPr>
      <w:r>
        <w:fldChar w:fldCharType="begin"/>
      </w:r>
      <w:r>
        <w:instrText xml:space="preserve"> HYPERLINK \l "_Toc20390780" </w:instrText>
      </w:r>
      <w:r>
        <w:fldChar w:fldCharType="separate"/>
      </w:r>
      <w:r>
        <w:rPr>
          <w:rStyle w:val="17"/>
          <w:rFonts w:hint="eastAsia" w:ascii="楷体_GB2312" w:hAnsi="仿宋" w:eastAsia="楷体_GB2312"/>
          <w:color w:val="000000" w:themeColor="text1"/>
          <w:sz w:val="28"/>
          <w:szCs w:val="28"/>
          <w14:textFill>
            <w14:solidFill>
              <w14:schemeClr w14:val="tx1"/>
            </w14:solidFill>
          </w14:textFill>
        </w:rPr>
        <w:t>二、收入总表</w:t>
      </w:r>
      <w:r>
        <w:rPr>
          <w:rFonts w:hint="eastAsia" w:ascii="楷体_GB2312" w:eastAsia="楷体_GB2312"/>
          <w:color w:val="000000" w:themeColor="text1"/>
          <w:sz w:val="28"/>
          <w:szCs w:val="28"/>
          <w14:textFill>
            <w14:solidFill>
              <w14:schemeClr w14:val="tx1"/>
            </w14:solidFill>
          </w14:textFill>
        </w:rPr>
        <w:tab/>
      </w:r>
      <w:r>
        <w:rPr>
          <w:rFonts w:hint="eastAsia" w:ascii="楷体_GB2312" w:eastAsia="楷体_GB2312"/>
          <w:color w:val="000000" w:themeColor="text1"/>
          <w:sz w:val="28"/>
          <w:szCs w:val="28"/>
          <w14:textFill>
            <w14:solidFill>
              <w14:schemeClr w14:val="tx1"/>
            </w14:solidFill>
          </w14:textFill>
        </w:rPr>
        <w:fldChar w:fldCharType="begin"/>
      </w:r>
      <w:r>
        <w:rPr>
          <w:rFonts w:hint="eastAsia" w:ascii="楷体_GB2312" w:eastAsia="楷体_GB2312"/>
          <w:color w:val="000000" w:themeColor="text1"/>
          <w:sz w:val="28"/>
          <w:szCs w:val="28"/>
          <w14:textFill>
            <w14:solidFill>
              <w14:schemeClr w14:val="tx1"/>
            </w14:solidFill>
          </w14:textFill>
        </w:rPr>
        <w:instrText xml:space="preserve"> PAGEREF _Toc20390780 \h </w:instrText>
      </w:r>
      <w:r>
        <w:rPr>
          <w:rFonts w:hint="eastAsia" w:ascii="楷体_GB2312" w:eastAsia="楷体_GB2312"/>
          <w:color w:val="000000" w:themeColor="text1"/>
          <w:sz w:val="28"/>
          <w:szCs w:val="28"/>
          <w14:textFill>
            <w14:solidFill>
              <w14:schemeClr w14:val="tx1"/>
            </w14:solidFill>
          </w14:textFill>
        </w:rPr>
        <w:fldChar w:fldCharType="separate"/>
      </w:r>
      <w:r>
        <w:rPr>
          <w:rFonts w:hint="eastAsia" w:ascii="楷体_GB2312" w:eastAsia="楷体_GB2312"/>
          <w:color w:val="000000" w:themeColor="text1"/>
          <w:sz w:val="28"/>
          <w:szCs w:val="28"/>
          <w14:textFill>
            <w14:solidFill>
              <w14:schemeClr w14:val="tx1"/>
            </w14:solidFill>
          </w14:textFill>
        </w:rPr>
        <w:t>32</w:t>
      </w:r>
      <w:r>
        <w:rPr>
          <w:rFonts w:hint="eastAsia" w:ascii="楷体_GB2312" w:eastAsia="楷体_GB2312"/>
          <w:color w:val="000000" w:themeColor="text1"/>
          <w:sz w:val="28"/>
          <w:szCs w:val="28"/>
          <w14:textFill>
            <w14:solidFill>
              <w14:schemeClr w14:val="tx1"/>
            </w14:solidFill>
          </w14:textFill>
        </w:rPr>
        <w:fldChar w:fldCharType="end"/>
      </w:r>
      <w:r>
        <w:rPr>
          <w:rFonts w:hint="eastAsia" w:ascii="楷体_GB2312" w:eastAsia="楷体_GB2312"/>
          <w:color w:val="000000" w:themeColor="text1"/>
          <w:sz w:val="28"/>
          <w:szCs w:val="28"/>
          <w14:textFill>
            <w14:solidFill>
              <w14:schemeClr w14:val="tx1"/>
            </w14:solidFill>
          </w14:textFill>
        </w:rPr>
        <w:fldChar w:fldCharType="end"/>
      </w:r>
    </w:p>
    <w:p>
      <w:pPr>
        <w:pStyle w:val="11"/>
        <w:spacing w:line="360" w:lineRule="exact"/>
        <w:rPr>
          <w:rFonts w:ascii="楷体_GB2312" w:eastAsia="楷体_GB2312" w:hAnsiTheme="minorHAnsi" w:cstheme="minorBidi"/>
          <w:color w:val="000000" w:themeColor="text1"/>
          <w:sz w:val="28"/>
          <w:szCs w:val="28"/>
          <w14:textFill>
            <w14:solidFill>
              <w14:schemeClr w14:val="tx1"/>
            </w14:solidFill>
          </w14:textFill>
        </w:rPr>
      </w:pPr>
      <w:r>
        <w:fldChar w:fldCharType="begin"/>
      </w:r>
      <w:r>
        <w:instrText xml:space="preserve"> HYPERLINK \l "_Toc20390781" </w:instrText>
      </w:r>
      <w:r>
        <w:fldChar w:fldCharType="separate"/>
      </w:r>
      <w:r>
        <w:rPr>
          <w:rStyle w:val="17"/>
          <w:rFonts w:hint="eastAsia" w:ascii="楷体_GB2312" w:hAnsi="仿宋" w:eastAsia="楷体_GB2312"/>
          <w:color w:val="000000" w:themeColor="text1"/>
          <w:sz w:val="28"/>
          <w:szCs w:val="28"/>
          <w14:textFill>
            <w14:solidFill>
              <w14:schemeClr w14:val="tx1"/>
            </w14:solidFill>
          </w14:textFill>
        </w:rPr>
        <w:t>三、支出总表</w:t>
      </w:r>
      <w:r>
        <w:rPr>
          <w:rFonts w:hint="eastAsia" w:ascii="楷体_GB2312" w:eastAsia="楷体_GB2312"/>
          <w:color w:val="000000" w:themeColor="text1"/>
          <w:sz w:val="28"/>
          <w:szCs w:val="28"/>
          <w14:textFill>
            <w14:solidFill>
              <w14:schemeClr w14:val="tx1"/>
            </w14:solidFill>
          </w14:textFill>
        </w:rPr>
        <w:tab/>
      </w:r>
      <w:r>
        <w:rPr>
          <w:rFonts w:hint="eastAsia" w:ascii="楷体_GB2312" w:eastAsia="楷体_GB2312"/>
          <w:color w:val="000000" w:themeColor="text1"/>
          <w:sz w:val="28"/>
          <w:szCs w:val="28"/>
          <w14:textFill>
            <w14:solidFill>
              <w14:schemeClr w14:val="tx1"/>
            </w14:solidFill>
          </w14:textFill>
        </w:rPr>
        <w:fldChar w:fldCharType="begin"/>
      </w:r>
      <w:r>
        <w:rPr>
          <w:rFonts w:hint="eastAsia" w:ascii="楷体_GB2312" w:eastAsia="楷体_GB2312"/>
          <w:color w:val="000000" w:themeColor="text1"/>
          <w:sz w:val="28"/>
          <w:szCs w:val="28"/>
          <w14:textFill>
            <w14:solidFill>
              <w14:schemeClr w14:val="tx1"/>
            </w14:solidFill>
          </w14:textFill>
        </w:rPr>
        <w:instrText xml:space="preserve"> PAGEREF _Toc20390781 \h </w:instrText>
      </w:r>
      <w:r>
        <w:rPr>
          <w:rFonts w:hint="eastAsia" w:ascii="楷体_GB2312" w:eastAsia="楷体_GB2312"/>
          <w:color w:val="000000" w:themeColor="text1"/>
          <w:sz w:val="28"/>
          <w:szCs w:val="28"/>
          <w14:textFill>
            <w14:solidFill>
              <w14:schemeClr w14:val="tx1"/>
            </w14:solidFill>
          </w14:textFill>
        </w:rPr>
        <w:fldChar w:fldCharType="separate"/>
      </w:r>
      <w:r>
        <w:rPr>
          <w:rFonts w:hint="eastAsia" w:ascii="楷体_GB2312" w:eastAsia="楷体_GB2312"/>
          <w:color w:val="000000" w:themeColor="text1"/>
          <w:sz w:val="28"/>
          <w:szCs w:val="28"/>
          <w14:textFill>
            <w14:solidFill>
              <w14:schemeClr w14:val="tx1"/>
            </w14:solidFill>
          </w14:textFill>
        </w:rPr>
        <w:t>32</w:t>
      </w:r>
      <w:r>
        <w:rPr>
          <w:rFonts w:hint="eastAsia" w:ascii="楷体_GB2312" w:eastAsia="楷体_GB2312"/>
          <w:color w:val="000000" w:themeColor="text1"/>
          <w:sz w:val="28"/>
          <w:szCs w:val="28"/>
          <w14:textFill>
            <w14:solidFill>
              <w14:schemeClr w14:val="tx1"/>
            </w14:solidFill>
          </w14:textFill>
        </w:rPr>
        <w:fldChar w:fldCharType="end"/>
      </w:r>
      <w:r>
        <w:rPr>
          <w:rFonts w:hint="eastAsia" w:ascii="楷体_GB2312" w:eastAsia="楷体_GB2312"/>
          <w:color w:val="000000" w:themeColor="text1"/>
          <w:sz w:val="28"/>
          <w:szCs w:val="28"/>
          <w14:textFill>
            <w14:solidFill>
              <w14:schemeClr w14:val="tx1"/>
            </w14:solidFill>
          </w14:textFill>
        </w:rPr>
        <w:fldChar w:fldCharType="end"/>
      </w:r>
    </w:p>
    <w:p>
      <w:pPr>
        <w:pStyle w:val="11"/>
        <w:spacing w:line="360" w:lineRule="exact"/>
        <w:rPr>
          <w:rFonts w:ascii="楷体_GB2312" w:eastAsia="楷体_GB2312" w:hAnsiTheme="minorHAnsi" w:cstheme="minorBidi"/>
          <w:color w:val="000000" w:themeColor="text1"/>
          <w:sz w:val="28"/>
          <w:szCs w:val="28"/>
          <w14:textFill>
            <w14:solidFill>
              <w14:schemeClr w14:val="tx1"/>
            </w14:solidFill>
          </w14:textFill>
        </w:rPr>
      </w:pPr>
      <w:r>
        <w:fldChar w:fldCharType="begin"/>
      </w:r>
      <w:r>
        <w:instrText xml:space="preserve"> HYPERLINK \l "_Toc20390782" </w:instrText>
      </w:r>
      <w:r>
        <w:fldChar w:fldCharType="separate"/>
      </w:r>
      <w:r>
        <w:rPr>
          <w:rStyle w:val="17"/>
          <w:rFonts w:hint="eastAsia" w:ascii="楷体_GB2312" w:hAnsi="仿宋" w:eastAsia="楷体_GB2312"/>
          <w:color w:val="000000" w:themeColor="text1"/>
          <w:sz w:val="28"/>
          <w:szCs w:val="28"/>
          <w14:textFill>
            <w14:solidFill>
              <w14:schemeClr w14:val="tx1"/>
            </w14:solidFill>
          </w14:textFill>
        </w:rPr>
        <w:t>四、财政拨款收入支出决算总表</w:t>
      </w:r>
      <w:r>
        <w:rPr>
          <w:rFonts w:hint="eastAsia" w:ascii="楷体_GB2312" w:eastAsia="楷体_GB2312"/>
          <w:color w:val="000000" w:themeColor="text1"/>
          <w:sz w:val="28"/>
          <w:szCs w:val="28"/>
          <w14:textFill>
            <w14:solidFill>
              <w14:schemeClr w14:val="tx1"/>
            </w14:solidFill>
          </w14:textFill>
        </w:rPr>
        <w:tab/>
      </w:r>
      <w:r>
        <w:rPr>
          <w:rFonts w:hint="eastAsia" w:ascii="楷体_GB2312" w:eastAsia="楷体_GB2312"/>
          <w:color w:val="000000" w:themeColor="text1"/>
          <w:sz w:val="28"/>
          <w:szCs w:val="28"/>
          <w14:textFill>
            <w14:solidFill>
              <w14:schemeClr w14:val="tx1"/>
            </w14:solidFill>
          </w14:textFill>
        </w:rPr>
        <w:fldChar w:fldCharType="begin"/>
      </w:r>
      <w:r>
        <w:rPr>
          <w:rFonts w:hint="eastAsia" w:ascii="楷体_GB2312" w:eastAsia="楷体_GB2312"/>
          <w:color w:val="000000" w:themeColor="text1"/>
          <w:sz w:val="28"/>
          <w:szCs w:val="28"/>
          <w14:textFill>
            <w14:solidFill>
              <w14:schemeClr w14:val="tx1"/>
            </w14:solidFill>
          </w14:textFill>
        </w:rPr>
        <w:instrText xml:space="preserve"> PAGEREF _Toc20390782 \h </w:instrText>
      </w:r>
      <w:r>
        <w:rPr>
          <w:rFonts w:hint="eastAsia" w:ascii="楷体_GB2312" w:eastAsia="楷体_GB2312"/>
          <w:color w:val="000000" w:themeColor="text1"/>
          <w:sz w:val="28"/>
          <w:szCs w:val="28"/>
          <w14:textFill>
            <w14:solidFill>
              <w14:schemeClr w14:val="tx1"/>
            </w14:solidFill>
          </w14:textFill>
        </w:rPr>
        <w:fldChar w:fldCharType="separate"/>
      </w:r>
      <w:r>
        <w:rPr>
          <w:rFonts w:hint="eastAsia" w:ascii="楷体_GB2312" w:eastAsia="楷体_GB2312"/>
          <w:color w:val="000000" w:themeColor="text1"/>
          <w:sz w:val="28"/>
          <w:szCs w:val="28"/>
          <w14:textFill>
            <w14:solidFill>
              <w14:schemeClr w14:val="tx1"/>
            </w14:solidFill>
          </w14:textFill>
        </w:rPr>
        <w:t>32</w:t>
      </w:r>
      <w:r>
        <w:rPr>
          <w:rFonts w:hint="eastAsia" w:ascii="楷体_GB2312" w:eastAsia="楷体_GB2312"/>
          <w:color w:val="000000" w:themeColor="text1"/>
          <w:sz w:val="28"/>
          <w:szCs w:val="28"/>
          <w14:textFill>
            <w14:solidFill>
              <w14:schemeClr w14:val="tx1"/>
            </w14:solidFill>
          </w14:textFill>
        </w:rPr>
        <w:fldChar w:fldCharType="end"/>
      </w:r>
      <w:r>
        <w:rPr>
          <w:rFonts w:hint="eastAsia" w:ascii="楷体_GB2312" w:eastAsia="楷体_GB2312"/>
          <w:color w:val="000000" w:themeColor="text1"/>
          <w:sz w:val="28"/>
          <w:szCs w:val="28"/>
          <w14:textFill>
            <w14:solidFill>
              <w14:schemeClr w14:val="tx1"/>
            </w14:solidFill>
          </w14:textFill>
        </w:rPr>
        <w:fldChar w:fldCharType="end"/>
      </w:r>
    </w:p>
    <w:p>
      <w:pPr>
        <w:pStyle w:val="11"/>
        <w:spacing w:line="360" w:lineRule="exact"/>
        <w:rPr>
          <w:rFonts w:ascii="楷体_GB2312" w:eastAsia="楷体_GB2312" w:hAnsiTheme="minorHAnsi" w:cstheme="minorBidi"/>
          <w:color w:val="000000" w:themeColor="text1"/>
          <w:sz w:val="28"/>
          <w:szCs w:val="28"/>
          <w14:textFill>
            <w14:solidFill>
              <w14:schemeClr w14:val="tx1"/>
            </w14:solidFill>
          </w14:textFill>
        </w:rPr>
      </w:pPr>
      <w:r>
        <w:fldChar w:fldCharType="begin"/>
      </w:r>
      <w:r>
        <w:instrText xml:space="preserve"> HYPERLINK \l "_Toc20390783" </w:instrText>
      </w:r>
      <w:r>
        <w:fldChar w:fldCharType="separate"/>
      </w:r>
      <w:r>
        <w:rPr>
          <w:rStyle w:val="17"/>
          <w:rFonts w:hint="eastAsia" w:ascii="楷体_GB2312" w:hAnsi="仿宋" w:eastAsia="楷体_GB2312"/>
          <w:color w:val="000000" w:themeColor="text1"/>
          <w:sz w:val="28"/>
          <w:szCs w:val="28"/>
          <w14:textFill>
            <w14:solidFill>
              <w14:schemeClr w14:val="tx1"/>
            </w14:solidFill>
          </w14:textFill>
        </w:rPr>
        <w:t>五、财政拨款支出决算明细表（政府经济分类科目）</w:t>
      </w:r>
      <w:r>
        <w:rPr>
          <w:rFonts w:hint="eastAsia" w:ascii="楷体_GB2312" w:eastAsia="楷体_GB2312"/>
          <w:color w:val="000000" w:themeColor="text1"/>
          <w:sz w:val="28"/>
          <w:szCs w:val="28"/>
          <w14:textFill>
            <w14:solidFill>
              <w14:schemeClr w14:val="tx1"/>
            </w14:solidFill>
          </w14:textFill>
        </w:rPr>
        <w:tab/>
      </w:r>
      <w:r>
        <w:rPr>
          <w:rFonts w:hint="eastAsia" w:ascii="楷体_GB2312" w:eastAsia="楷体_GB2312"/>
          <w:color w:val="000000" w:themeColor="text1"/>
          <w:sz w:val="28"/>
          <w:szCs w:val="28"/>
          <w14:textFill>
            <w14:solidFill>
              <w14:schemeClr w14:val="tx1"/>
            </w14:solidFill>
          </w14:textFill>
        </w:rPr>
        <w:fldChar w:fldCharType="begin"/>
      </w:r>
      <w:r>
        <w:rPr>
          <w:rFonts w:hint="eastAsia" w:ascii="楷体_GB2312" w:eastAsia="楷体_GB2312"/>
          <w:color w:val="000000" w:themeColor="text1"/>
          <w:sz w:val="28"/>
          <w:szCs w:val="28"/>
          <w14:textFill>
            <w14:solidFill>
              <w14:schemeClr w14:val="tx1"/>
            </w14:solidFill>
          </w14:textFill>
        </w:rPr>
        <w:instrText xml:space="preserve"> PAGEREF _Toc20390783 \h </w:instrText>
      </w:r>
      <w:r>
        <w:rPr>
          <w:rFonts w:hint="eastAsia" w:ascii="楷体_GB2312" w:eastAsia="楷体_GB2312"/>
          <w:color w:val="000000" w:themeColor="text1"/>
          <w:sz w:val="28"/>
          <w:szCs w:val="28"/>
          <w14:textFill>
            <w14:solidFill>
              <w14:schemeClr w14:val="tx1"/>
            </w14:solidFill>
          </w14:textFill>
        </w:rPr>
        <w:fldChar w:fldCharType="separate"/>
      </w:r>
      <w:r>
        <w:rPr>
          <w:rFonts w:hint="eastAsia" w:ascii="楷体_GB2312" w:eastAsia="楷体_GB2312"/>
          <w:color w:val="000000" w:themeColor="text1"/>
          <w:sz w:val="28"/>
          <w:szCs w:val="28"/>
          <w14:textFill>
            <w14:solidFill>
              <w14:schemeClr w14:val="tx1"/>
            </w14:solidFill>
          </w14:textFill>
        </w:rPr>
        <w:t>32</w:t>
      </w:r>
      <w:r>
        <w:rPr>
          <w:rFonts w:hint="eastAsia" w:ascii="楷体_GB2312" w:eastAsia="楷体_GB2312"/>
          <w:color w:val="000000" w:themeColor="text1"/>
          <w:sz w:val="28"/>
          <w:szCs w:val="28"/>
          <w14:textFill>
            <w14:solidFill>
              <w14:schemeClr w14:val="tx1"/>
            </w14:solidFill>
          </w14:textFill>
        </w:rPr>
        <w:fldChar w:fldCharType="end"/>
      </w:r>
      <w:r>
        <w:rPr>
          <w:rFonts w:hint="eastAsia" w:ascii="楷体_GB2312" w:eastAsia="楷体_GB2312"/>
          <w:color w:val="000000" w:themeColor="text1"/>
          <w:sz w:val="28"/>
          <w:szCs w:val="28"/>
          <w14:textFill>
            <w14:solidFill>
              <w14:schemeClr w14:val="tx1"/>
            </w14:solidFill>
          </w14:textFill>
        </w:rPr>
        <w:fldChar w:fldCharType="end"/>
      </w:r>
    </w:p>
    <w:p>
      <w:pPr>
        <w:pStyle w:val="11"/>
        <w:spacing w:line="360" w:lineRule="exact"/>
        <w:rPr>
          <w:rFonts w:ascii="楷体_GB2312" w:eastAsia="楷体_GB2312" w:hAnsiTheme="minorHAnsi" w:cstheme="minorBidi"/>
          <w:color w:val="000000" w:themeColor="text1"/>
          <w:sz w:val="28"/>
          <w:szCs w:val="28"/>
          <w14:textFill>
            <w14:solidFill>
              <w14:schemeClr w14:val="tx1"/>
            </w14:solidFill>
          </w14:textFill>
        </w:rPr>
      </w:pPr>
      <w:r>
        <w:fldChar w:fldCharType="begin"/>
      </w:r>
      <w:r>
        <w:instrText xml:space="preserve"> HYPERLINK \l "_Toc20390784" </w:instrText>
      </w:r>
      <w:r>
        <w:fldChar w:fldCharType="separate"/>
      </w:r>
      <w:r>
        <w:rPr>
          <w:rStyle w:val="17"/>
          <w:rFonts w:hint="eastAsia" w:ascii="楷体_GB2312" w:hAnsi="仿宋" w:eastAsia="楷体_GB2312"/>
          <w:color w:val="000000" w:themeColor="text1"/>
          <w:sz w:val="28"/>
          <w:szCs w:val="28"/>
          <w14:textFill>
            <w14:solidFill>
              <w14:schemeClr w14:val="tx1"/>
            </w14:solidFill>
          </w14:textFill>
        </w:rPr>
        <w:t>六、一般公共预算财政拨款支出决算表</w:t>
      </w:r>
      <w:r>
        <w:rPr>
          <w:rFonts w:hint="eastAsia" w:ascii="楷体_GB2312" w:eastAsia="楷体_GB2312"/>
          <w:color w:val="000000" w:themeColor="text1"/>
          <w:sz w:val="28"/>
          <w:szCs w:val="28"/>
          <w14:textFill>
            <w14:solidFill>
              <w14:schemeClr w14:val="tx1"/>
            </w14:solidFill>
          </w14:textFill>
        </w:rPr>
        <w:tab/>
      </w:r>
      <w:r>
        <w:rPr>
          <w:rFonts w:hint="eastAsia" w:ascii="楷体_GB2312" w:eastAsia="楷体_GB2312"/>
          <w:color w:val="000000" w:themeColor="text1"/>
          <w:sz w:val="28"/>
          <w:szCs w:val="28"/>
          <w14:textFill>
            <w14:solidFill>
              <w14:schemeClr w14:val="tx1"/>
            </w14:solidFill>
          </w14:textFill>
        </w:rPr>
        <w:fldChar w:fldCharType="begin"/>
      </w:r>
      <w:r>
        <w:rPr>
          <w:rFonts w:hint="eastAsia" w:ascii="楷体_GB2312" w:eastAsia="楷体_GB2312"/>
          <w:color w:val="000000" w:themeColor="text1"/>
          <w:sz w:val="28"/>
          <w:szCs w:val="28"/>
          <w14:textFill>
            <w14:solidFill>
              <w14:schemeClr w14:val="tx1"/>
            </w14:solidFill>
          </w14:textFill>
        </w:rPr>
        <w:instrText xml:space="preserve"> PAGEREF _Toc20390784 \h </w:instrText>
      </w:r>
      <w:r>
        <w:rPr>
          <w:rFonts w:hint="eastAsia" w:ascii="楷体_GB2312" w:eastAsia="楷体_GB2312"/>
          <w:color w:val="000000" w:themeColor="text1"/>
          <w:sz w:val="28"/>
          <w:szCs w:val="28"/>
          <w14:textFill>
            <w14:solidFill>
              <w14:schemeClr w14:val="tx1"/>
            </w14:solidFill>
          </w14:textFill>
        </w:rPr>
        <w:fldChar w:fldCharType="separate"/>
      </w:r>
      <w:r>
        <w:rPr>
          <w:rFonts w:hint="eastAsia" w:ascii="楷体_GB2312" w:eastAsia="楷体_GB2312"/>
          <w:color w:val="000000" w:themeColor="text1"/>
          <w:sz w:val="28"/>
          <w:szCs w:val="28"/>
          <w14:textFill>
            <w14:solidFill>
              <w14:schemeClr w14:val="tx1"/>
            </w14:solidFill>
          </w14:textFill>
        </w:rPr>
        <w:t>32</w:t>
      </w:r>
      <w:r>
        <w:rPr>
          <w:rFonts w:hint="eastAsia" w:ascii="楷体_GB2312" w:eastAsia="楷体_GB2312"/>
          <w:color w:val="000000" w:themeColor="text1"/>
          <w:sz w:val="28"/>
          <w:szCs w:val="28"/>
          <w14:textFill>
            <w14:solidFill>
              <w14:schemeClr w14:val="tx1"/>
            </w14:solidFill>
          </w14:textFill>
        </w:rPr>
        <w:fldChar w:fldCharType="end"/>
      </w:r>
      <w:r>
        <w:rPr>
          <w:rFonts w:hint="eastAsia" w:ascii="楷体_GB2312" w:eastAsia="楷体_GB2312"/>
          <w:color w:val="000000" w:themeColor="text1"/>
          <w:sz w:val="28"/>
          <w:szCs w:val="28"/>
          <w14:textFill>
            <w14:solidFill>
              <w14:schemeClr w14:val="tx1"/>
            </w14:solidFill>
          </w14:textFill>
        </w:rPr>
        <w:fldChar w:fldCharType="end"/>
      </w:r>
    </w:p>
    <w:p>
      <w:pPr>
        <w:pStyle w:val="11"/>
        <w:spacing w:line="360" w:lineRule="exact"/>
        <w:rPr>
          <w:rFonts w:ascii="楷体_GB2312" w:eastAsia="楷体_GB2312" w:hAnsiTheme="minorHAnsi" w:cstheme="minorBidi"/>
          <w:color w:val="000000" w:themeColor="text1"/>
          <w:sz w:val="28"/>
          <w:szCs w:val="28"/>
          <w14:textFill>
            <w14:solidFill>
              <w14:schemeClr w14:val="tx1"/>
            </w14:solidFill>
          </w14:textFill>
        </w:rPr>
      </w:pPr>
      <w:r>
        <w:fldChar w:fldCharType="begin"/>
      </w:r>
      <w:r>
        <w:instrText xml:space="preserve"> HYPERLINK \l "_Toc20390785" </w:instrText>
      </w:r>
      <w:r>
        <w:fldChar w:fldCharType="separate"/>
      </w:r>
      <w:r>
        <w:rPr>
          <w:rStyle w:val="17"/>
          <w:rFonts w:hint="eastAsia" w:ascii="楷体_GB2312" w:hAnsi="仿宋" w:eastAsia="楷体_GB2312"/>
          <w:color w:val="000000" w:themeColor="text1"/>
          <w:sz w:val="28"/>
          <w:szCs w:val="28"/>
          <w14:textFill>
            <w14:solidFill>
              <w14:schemeClr w14:val="tx1"/>
            </w14:solidFill>
          </w14:textFill>
        </w:rPr>
        <w:t>七、一般公共预算财政拨款支出决算明细表</w:t>
      </w:r>
      <w:r>
        <w:rPr>
          <w:rFonts w:hint="eastAsia" w:ascii="楷体_GB2312" w:eastAsia="楷体_GB2312"/>
          <w:color w:val="000000" w:themeColor="text1"/>
          <w:sz w:val="28"/>
          <w:szCs w:val="28"/>
          <w14:textFill>
            <w14:solidFill>
              <w14:schemeClr w14:val="tx1"/>
            </w14:solidFill>
          </w14:textFill>
        </w:rPr>
        <w:tab/>
      </w:r>
      <w:r>
        <w:rPr>
          <w:rFonts w:hint="eastAsia" w:ascii="楷体_GB2312" w:eastAsia="楷体_GB2312"/>
          <w:color w:val="000000" w:themeColor="text1"/>
          <w:sz w:val="28"/>
          <w:szCs w:val="28"/>
          <w14:textFill>
            <w14:solidFill>
              <w14:schemeClr w14:val="tx1"/>
            </w14:solidFill>
          </w14:textFill>
        </w:rPr>
        <w:fldChar w:fldCharType="begin"/>
      </w:r>
      <w:r>
        <w:rPr>
          <w:rFonts w:hint="eastAsia" w:ascii="楷体_GB2312" w:eastAsia="楷体_GB2312"/>
          <w:color w:val="000000" w:themeColor="text1"/>
          <w:sz w:val="28"/>
          <w:szCs w:val="28"/>
          <w14:textFill>
            <w14:solidFill>
              <w14:schemeClr w14:val="tx1"/>
            </w14:solidFill>
          </w14:textFill>
        </w:rPr>
        <w:instrText xml:space="preserve"> PAGEREF _Toc20390785 \h </w:instrText>
      </w:r>
      <w:r>
        <w:rPr>
          <w:rFonts w:hint="eastAsia" w:ascii="楷体_GB2312" w:eastAsia="楷体_GB2312"/>
          <w:color w:val="000000" w:themeColor="text1"/>
          <w:sz w:val="28"/>
          <w:szCs w:val="28"/>
          <w14:textFill>
            <w14:solidFill>
              <w14:schemeClr w14:val="tx1"/>
            </w14:solidFill>
          </w14:textFill>
        </w:rPr>
        <w:fldChar w:fldCharType="separate"/>
      </w:r>
      <w:r>
        <w:rPr>
          <w:rFonts w:hint="eastAsia" w:ascii="楷体_GB2312" w:eastAsia="楷体_GB2312"/>
          <w:color w:val="000000" w:themeColor="text1"/>
          <w:sz w:val="28"/>
          <w:szCs w:val="28"/>
          <w14:textFill>
            <w14:solidFill>
              <w14:schemeClr w14:val="tx1"/>
            </w14:solidFill>
          </w14:textFill>
        </w:rPr>
        <w:t>32</w:t>
      </w:r>
      <w:r>
        <w:rPr>
          <w:rFonts w:hint="eastAsia" w:ascii="楷体_GB2312" w:eastAsia="楷体_GB2312"/>
          <w:color w:val="000000" w:themeColor="text1"/>
          <w:sz w:val="28"/>
          <w:szCs w:val="28"/>
          <w14:textFill>
            <w14:solidFill>
              <w14:schemeClr w14:val="tx1"/>
            </w14:solidFill>
          </w14:textFill>
        </w:rPr>
        <w:fldChar w:fldCharType="end"/>
      </w:r>
      <w:r>
        <w:rPr>
          <w:rFonts w:hint="eastAsia" w:ascii="楷体_GB2312" w:eastAsia="楷体_GB2312"/>
          <w:color w:val="000000" w:themeColor="text1"/>
          <w:sz w:val="28"/>
          <w:szCs w:val="28"/>
          <w14:textFill>
            <w14:solidFill>
              <w14:schemeClr w14:val="tx1"/>
            </w14:solidFill>
          </w14:textFill>
        </w:rPr>
        <w:fldChar w:fldCharType="end"/>
      </w:r>
    </w:p>
    <w:p>
      <w:pPr>
        <w:pStyle w:val="11"/>
        <w:spacing w:line="360" w:lineRule="exact"/>
        <w:rPr>
          <w:rFonts w:ascii="楷体_GB2312" w:eastAsia="楷体_GB2312" w:hAnsiTheme="minorHAnsi" w:cstheme="minorBidi"/>
          <w:color w:val="000000" w:themeColor="text1"/>
          <w:sz w:val="28"/>
          <w:szCs w:val="28"/>
          <w14:textFill>
            <w14:solidFill>
              <w14:schemeClr w14:val="tx1"/>
            </w14:solidFill>
          </w14:textFill>
        </w:rPr>
      </w:pPr>
      <w:r>
        <w:fldChar w:fldCharType="begin"/>
      </w:r>
      <w:r>
        <w:instrText xml:space="preserve"> HYPERLINK \l "_Toc20390786" </w:instrText>
      </w:r>
      <w:r>
        <w:fldChar w:fldCharType="separate"/>
      </w:r>
      <w:r>
        <w:rPr>
          <w:rStyle w:val="17"/>
          <w:rFonts w:hint="eastAsia" w:ascii="楷体_GB2312" w:hAnsi="仿宋" w:eastAsia="楷体_GB2312"/>
          <w:color w:val="000000" w:themeColor="text1"/>
          <w:sz w:val="28"/>
          <w:szCs w:val="28"/>
          <w14:textFill>
            <w14:solidFill>
              <w14:schemeClr w14:val="tx1"/>
            </w14:solidFill>
          </w14:textFill>
        </w:rPr>
        <w:t>八、一般公共预算财政拨款基本支出决算表</w:t>
      </w:r>
      <w:r>
        <w:rPr>
          <w:rFonts w:hint="eastAsia" w:ascii="楷体_GB2312" w:eastAsia="楷体_GB2312"/>
          <w:color w:val="000000" w:themeColor="text1"/>
          <w:sz w:val="28"/>
          <w:szCs w:val="28"/>
          <w14:textFill>
            <w14:solidFill>
              <w14:schemeClr w14:val="tx1"/>
            </w14:solidFill>
          </w14:textFill>
        </w:rPr>
        <w:tab/>
      </w:r>
      <w:r>
        <w:rPr>
          <w:rFonts w:hint="eastAsia" w:ascii="楷体_GB2312" w:eastAsia="楷体_GB2312"/>
          <w:color w:val="000000" w:themeColor="text1"/>
          <w:sz w:val="28"/>
          <w:szCs w:val="28"/>
          <w14:textFill>
            <w14:solidFill>
              <w14:schemeClr w14:val="tx1"/>
            </w14:solidFill>
          </w14:textFill>
        </w:rPr>
        <w:fldChar w:fldCharType="begin"/>
      </w:r>
      <w:r>
        <w:rPr>
          <w:rFonts w:hint="eastAsia" w:ascii="楷体_GB2312" w:eastAsia="楷体_GB2312"/>
          <w:color w:val="000000" w:themeColor="text1"/>
          <w:sz w:val="28"/>
          <w:szCs w:val="28"/>
          <w14:textFill>
            <w14:solidFill>
              <w14:schemeClr w14:val="tx1"/>
            </w14:solidFill>
          </w14:textFill>
        </w:rPr>
        <w:instrText xml:space="preserve"> PAGEREF _Toc20390786 \h </w:instrText>
      </w:r>
      <w:r>
        <w:rPr>
          <w:rFonts w:hint="eastAsia" w:ascii="楷体_GB2312" w:eastAsia="楷体_GB2312"/>
          <w:color w:val="000000" w:themeColor="text1"/>
          <w:sz w:val="28"/>
          <w:szCs w:val="28"/>
          <w14:textFill>
            <w14:solidFill>
              <w14:schemeClr w14:val="tx1"/>
            </w14:solidFill>
          </w14:textFill>
        </w:rPr>
        <w:fldChar w:fldCharType="separate"/>
      </w:r>
      <w:r>
        <w:rPr>
          <w:rFonts w:hint="eastAsia" w:ascii="楷体_GB2312" w:eastAsia="楷体_GB2312"/>
          <w:color w:val="000000" w:themeColor="text1"/>
          <w:sz w:val="28"/>
          <w:szCs w:val="28"/>
          <w14:textFill>
            <w14:solidFill>
              <w14:schemeClr w14:val="tx1"/>
            </w14:solidFill>
          </w14:textFill>
        </w:rPr>
        <w:t>32</w:t>
      </w:r>
      <w:r>
        <w:rPr>
          <w:rFonts w:hint="eastAsia" w:ascii="楷体_GB2312" w:eastAsia="楷体_GB2312"/>
          <w:color w:val="000000" w:themeColor="text1"/>
          <w:sz w:val="28"/>
          <w:szCs w:val="28"/>
          <w14:textFill>
            <w14:solidFill>
              <w14:schemeClr w14:val="tx1"/>
            </w14:solidFill>
          </w14:textFill>
        </w:rPr>
        <w:fldChar w:fldCharType="end"/>
      </w:r>
      <w:r>
        <w:rPr>
          <w:rFonts w:hint="eastAsia" w:ascii="楷体_GB2312" w:eastAsia="楷体_GB2312"/>
          <w:color w:val="000000" w:themeColor="text1"/>
          <w:sz w:val="28"/>
          <w:szCs w:val="28"/>
          <w14:textFill>
            <w14:solidFill>
              <w14:schemeClr w14:val="tx1"/>
            </w14:solidFill>
          </w14:textFill>
        </w:rPr>
        <w:fldChar w:fldCharType="end"/>
      </w:r>
    </w:p>
    <w:p>
      <w:pPr>
        <w:pStyle w:val="11"/>
        <w:spacing w:line="360" w:lineRule="exact"/>
        <w:rPr>
          <w:rFonts w:ascii="楷体_GB2312" w:eastAsia="楷体_GB2312" w:hAnsiTheme="minorHAnsi" w:cstheme="minorBidi"/>
          <w:color w:val="000000" w:themeColor="text1"/>
          <w:sz w:val="28"/>
          <w:szCs w:val="28"/>
          <w14:textFill>
            <w14:solidFill>
              <w14:schemeClr w14:val="tx1"/>
            </w14:solidFill>
          </w14:textFill>
        </w:rPr>
      </w:pPr>
      <w:r>
        <w:fldChar w:fldCharType="begin"/>
      </w:r>
      <w:r>
        <w:instrText xml:space="preserve"> HYPERLINK \l "_Toc20390787" </w:instrText>
      </w:r>
      <w:r>
        <w:fldChar w:fldCharType="separate"/>
      </w:r>
      <w:r>
        <w:rPr>
          <w:rStyle w:val="17"/>
          <w:rFonts w:hint="eastAsia" w:ascii="楷体_GB2312" w:hAnsi="仿宋" w:eastAsia="楷体_GB2312"/>
          <w:color w:val="000000" w:themeColor="text1"/>
          <w:sz w:val="28"/>
          <w:szCs w:val="28"/>
          <w14:textFill>
            <w14:solidFill>
              <w14:schemeClr w14:val="tx1"/>
            </w14:solidFill>
          </w14:textFill>
        </w:rPr>
        <w:t>九、一般公共预算财政拨款项目支出决算表</w:t>
      </w:r>
      <w:r>
        <w:rPr>
          <w:rFonts w:hint="eastAsia" w:ascii="楷体_GB2312" w:eastAsia="楷体_GB2312"/>
          <w:color w:val="000000" w:themeColor="text1"/>
          <w:sz w:val="28"/>
          <w:szCs w:val="28"/>
          <w14:textFill>
            <w14:solidFill>
              <w14:schemeClr w14:val="tx1"/>
            </w14:solidFill>
          </w14:textFill>
        </w:rPr>
        <w:tab/>
      </w:r>
      <w:r>
        <w:rPr>
          <w:rFonts w:hint="eastAsia" w:ascii="楷体_GB2312" w:eastAsia="楷体_GB2312"/>
          <w:color w:val="000000" w:themeColor="text1"/>
          <w:sz w:val="28"/>
          <w:szCs w:val="28"/>
          <w14:textFill>
            <w14:solidFill>
              <w14:schemeClr w14:val="tx1"/>
            </w14:solidFill>
          </w14:textFill>
        </w:rPr>
        <w:fldChar w:fldCharType="begin"/>
      </w:r>
      <w:r>
        <w:rPr>
          <w:rFonts w:hint="eastAsia" w:ascii="楷体_GB2312" w:eastAsia="楷体_GB2312"/>
          <w:color w:val="000000" w:themeColor="text1"/>
          <w:sz w:val="28"/>
          <w:szCs w:val="28"/>
          <w14:textFill>
            <w14:solidFill>
              <w14:schemeClr w14:val="tx1"/>
            </w14:solidFill>
          </w14:textFill>
        </w:rPr>
        <w:instrText xml:space="preserve"> PAGEREF _Toc20390787 \h </w:instrText>
      </w:r>
      <w:r>
        <w:rPr>
          <w:rFonts w:hint="eastAsia" w:ascii="楷体_GB2312" w:eastAsia="楷体_GB2312"/>
          <w:color w:val="000000" w:themeColor="text1"/>
          <w:sz w:val="28"/>
          <w:szCs w:val="28"/>
          <w14:textFill>
            <w14:solidFill>
              <w14:schemeClr w14:val="tx1"/>
            </w14:solidFill>
          </w14:textFill>
        </w:rPr>
        <w:fldChar w:fldCharType="separate"/>
      </w:r>
      <w:r>
        <w:rPr>
          <w:rFonts w:hint="eastAsia" w:ascii="楷体_GB2312" w:eastAsia="楷体_GB2312"/>
          <w:color w:val="000000" w:themeColor="text1"/>
          <w:sz w:val="28"/>
          <w:szCs w:val="28"/>
          <w14:textFill>
            <w14:solidFill>
              <w14:schemeClr w14:val="tx1"/>
            </w14:solidFill>
          </w14:textFill>
        </w:rPr>
        <w:t>32</w:t>
      </w:r>
      <w:r>
        <w:rPr>
          <w:rFonts w:hint="eastAsia" w:ascii="楷体_GB2312" w:eastAsia="楷体_GB2312"/>
          <w:color w:val="000000" w:themeColor="text1"/>
          <w:sz w:val="28"/>
          <w:szCs w:val="28"/>
          <w14:textFill>
            <w14:solidFill>
              <w14:schemeClr w14:val="tx1"/>
            </w14:solidFill>
          </w14:textFill>
        </w:rPr>
        <w:fldChar w:fldCharType="end"/>
      </w:r>
      <w:r>
        <w:rPr>
          <w:rFonts w:hint="eastAsia" w:ascii="楷体_GB2312" w:eastAsia="楷体_GB2312"/>
          <w:color w:val="000000" w:themeColor="text1"/>
          <w:sz w:val="28"/>
          <w:szCs w:val="28"/>
          <w14:textFill>
            <w14:solidFill>
              <w14:schemeClr w14:val="tx1"/>
            </w14:solidFill>
          </w14:textFill>
        </w:rPr>
        <w:fldChar w:fldCharType="end"/>
      </w:r>
    </w:p>
    <w:p>
      <w:pPr>
        <w:pStyle w:val="11"/>
        <w:spacing w:line="360" w:lineRule="exact"/>
        <w:rPr>
          <w:rFonts w:ascii="楷体_GB2312" w:eastAsia="楷体_GB2312" w:hAnsiTheme="minorHAnsi" w:cstheme="minorBidi"/>
          <w:color w:val="000000" w:themeColor="text1"/>
          <w:sz w:val="28"/>
          <w:szCs w:val="28"/>
          <w14:textFill>
            <w14:solidFill>
              <w14:schemeClr w14:val="tx1"/>
            </w14:solidFill>
          </w14:textFill>
        </w:rPr>
      </w:pPr>
      <w:r>
        <w:fldChar w:fldCharType="begin"/>
      </w:r>
      <w:r>
        <w:instrText xml:space="preserve"> HYPERLINK \l "_Toc20390788" </w:instrText>
      </w:r>
      <w:r>
        <w:fldChar w:fldCharType="separate"/>
      </w:r>
      <w:r>
        <w:rPr>
          <w:rStyle w:val="17"/>
          <w:rFonts w:hint="eastAsia" w:ascii="楷体_GB2312" w:hAnsi="仿宋" w:eastAsia="楷体_GB2312"/>
          <w:color w:val="000000" w:themeColor="text1"/>
          <w:sz w:val="28"/>
          <w:szCs w:val="28"/>
          <w14:textFill>
            <w14:solidFill>
              <w14:schemeClr w14:val="tx1"/>
            </w14:solidFill>
          </w14:textFill>
        </w:rPr>
        <w:t>十、一般公共预算财政拨款“三公”经费支出决算表</w:t>
      </w:r>
      <w:r>
        <w:rPr>
          <w:rFonts w:hint="eastAsia" w:ascii="楷体_GB2312" w:eastAsia="楷体_GB2312"/>
          <w:color w:val="000000" w:themeColor="text1"/>
          <w:sz w:val="28"/>
          <w:szCs w:val="28"/>
          <w14:textFill>
            <w14:solidFill>
              <w14:schemeClr w14:val="tx1"/>
            </w14:solidFill>
          </w14:textFill>
        </w:rPr>
        <w:tab/>
      </w:r>
      <w:r>
        <w:rPr>
          <w:rFonts w:hint="eastAsia" w:ascii="楷体_GB2312" w:eastAsia="楷体_GB2312"/>
          <w:color w:val="000000" w:themeColor="text1"/>
          <w:sz w:val="28"/>
          <w:szCs w:val="28"/>
          <w14:textFill>
            <w14:solidFill>
              <w14:schemeClr w14:val="tx1"/>
            </w14:solidFill>
          </w14:textFill>
        </w:rPr>
        <w:fldChar w:fldCharType="begin"/>
      </w:r>
      <w:r>
        <w:rPr>
          <w:rFonts w:hint="eastAsia" w:ascii="楷体_GB2312" w:eastAsia="楷体_GB2312"/>
          <w:color w:val="000000" w:themeColor="text1"/>
          <w:sz w:val="28"/>
          <w:szCs w:val="28"/>
          <w14:textFill>
            <w14:solidFill>
              <w14:schemeClr w14:val="tx1"/>
            </w14:solidFill>
          </w14:textFill>
        </w:rPr>
        <w:instrText xml:space="preserve"> PAGEREF _Toc20390788 \h </w:instrText>
      </w:r>
      <w:r>
        <w:rPr>
          <w:rFonts w:hint="eastAsia" w:ascii="楷体_GB2312" w:eastAsia="楷体_GB2312"/>
          <w:color w:val="000000" w:themeColor="text1"/>
          <w:sz w:val="28"/>
          <w:szCs w:val="28"/>
          <w14:textFill>
            <w14:solidFill>
              <w14:schemeClr w14:val="tx1"/>
            </w14:solidFill>
          </w14:textFill>
        </w:rPr>
        <w:fldChar w:fldCharType="separate"/>
      </w:r>
      <w:r>
        <w:rPr>
          <w:rFonts w:hint="eastAsia" w:ascii="楷体_GB2312" w:eastAsia="楷体_GB2312"/>
          <w:color w:val="000000" w:themeColor="text1"/>
          <w:sz w:val="28"/>
          <w:szCs w:val="28"/>
          <w14:textFill>
            <w14:solidFill>
              <w14:schemeClr w14:val="tx1"/>
            </w14:solidFill>
          </w14:textFill>
        </w:rPr>
        <w:t>32</w:t>
      </w:r>
      <w:r>
        <w:rPr>
          <w:rFonts w:hint="eastAsia" w:ascii="楷体_GB2312" w:eastAsia="楷体_GB2312"/>
          <w:color w:val="000000" w:themeColor="text1"/>
          <w:sz w:val="28"/>
          <w:szCs w:val="28"/>
          <w14:textFill>
            <w14:solidFill>
              <w14:schemeClr w14:val="tx1"/>
            </w14:solidFill>
          </w14:textFill>
        </w:rPr>
        <w:fldChar w:fldCharType="end"/>
      </w:r>
      <w:r>
        <w:rPr>
          <w:rFonts w:hint="eastAsia" w:ascii="楷体_GB2312" w:eastAsia="楷体_GB2312"/>
          <w:color w:val="000000" w:themeColor="text1"/>
          <w:sz w:val="28"/>
          <w:szCs w:val="28"/>
          <w14:textFill>
            <w14:solidFill>
              <w14:schemeClr w14:val="tx1"/>
            </w14:solidFill>
          </w14:textFill>
        </w:rPr>
        <w:fldChar w:fldCharType="end"/>
      </w:r>
    </w:p>
    <w:p>
      <w:pPr>
        <w:pStyle w:val="11"/>
        <w:spacing w:line="360" w:lineRule="exact"/>
        <w:rPr>
          <w:rFonts w:ascii="楷体_GB2312" w:eastAsia="楷体_GB2312" w:hAnsiTheme="minorHAnsi" w:cstheme="minorBidi"/>
          <w:color w:val="000000" w:themeColor="text1"/>
          <w:sz w:val="28"/>
          <w:szCs w:val="28"/>
          <w14:textFill>
            <w14:solidFill>
              <w14:schemeClr w14:val="tx1"/>
            </w14:solidFill>
          </w14:textFill>
        </w:rPr>
      </w:pPr>
      <w:r>
        <w:fldChar w:fldCharType="begin"/>
      </w:r>
      <w:r>
        <w:instrText xml:space="preserve"> HYPERLINK \l "_Toc20390789" </w:instrText>
      </w:r>
      <w:r>
        <w:fldChar w:fldCharType="separate"/>
      </w:r>
      <w:r>
        <w:rPr>
          <w:rStyle w:val="17"/>
          <w:rFonts w:hint="eastAsia" w:ascii="楷体_GB2312" w:hAnsi="仿宋" w:eastAsia="楷体_GB2312"/>
          <w:color w:val="000000" w:themeColor="text1"/>
          <w:sz w:val="28"/>
          <w:szCs w:val="28"/>
          <w14:textFill>
            <w14:solidFill>
              <w14:schemeClr w14:val="tx1"/>
            </w14:solidFill>
          </w14:textFill>
        </w:rPr>
        <w:t>十一、政府性基金预算财政拨款收入支出决算表</w:t>
      </w:r>
      <w:r>
        <w:rPr>
          <w:rFonts w:hint="eastAsia" w:ascii="楷体_GB2312" w:eastAsia="楷体_GB2312"/>
          <w:color w:val="000000" w:themeColor="text1"/>
          <w:sz w:val="28"/>
          <w:szCs w:val="28"/>
          <w14:textFill>
            <w14:solidFill>
              <w14:schemeClr w14:val="tx1"/>
            </w14:solidFill>
          </w14:textFill>
        </w:rPr>
        <w:tab/>
      </w:r>
      <w:r>
        <w:rPr>
          <w:rFonts w:hint="eastAsia" w:ascii="楷体_GB2312" w:eastAsia="楷体_GB2312"/>
          <w:color w:val="000000" w:themeColor="text1"/>
          <w:sz w:val="28"/>
          <w:szCs w:val="28"/>
          <w14:textFill>
            <w14:solidFill>
              <w14:schemeClr w14:val="tx1"/>
            </w14:solidFill>
          </w14:textFill>
        </w:rPr>
        <w:fldChar w:fldCharType="begin"/>
      </w:r>
      <w:r>
        <w:rPr>
          <w:rFonts w:hint="eastAsia" w:ascii="楷体_GB2312" w:eastAsia="楷体_GB2312"/>
          <w:color w:val="000000" w:themeColor="text1"/>
          <w:sz w:val="28"/>
          <w:szCs w:val="28"/>
          <w14:textFill>
            <w14:solidFill>
              <w14:schemeClr w14:val="tx1"/>
            </w14:solidFill>
          </w14:textFill>
        </w:rPr>
        <w:instrText xml:space="preserve"> PAGEREF _Toc20390789 \h </w:instrText>
      </w:r>
      <w:r>
        <w:rPr>
          <w:rFonts w:hint="eastAsia" w:ascii="楷体_GB2312" w:eastAsia="楷体_GB2312"/>
          <w:color w:val="000000" w:themeColor="text1"/>
          <w:sz w:val="28"/>
          <w:szCs w:val="28"/>
          <w14:textFill>
            <w14:solidFill>
              <w14:schemeClr w14:val="tx1"/>
            </w14:solidFill>
          </w14:textFill>
        </w:rPr>
        <w:fldChar w:fldCharType="separate"/>
      </w:r>
      <w:r>
        <w:rPr>
          <w:rFonts w:hint="eastAsia" w:ascii="楷体_GB2312" w:eastAsia="楷体_GB2312"/>
          <w:color w:val="000000" w:themeColor="text1"/>
          <w:sz w:val="28"/>
          <w:szCs w:val="28"/>
          <w14:textFill>
            <w14:solidFill>
              <w14:schemeClr w14:val="tx1"/>
            </w14:solidFill>
          </w14:textFill>
        </w:rPr>
        <w:t>32</w:t>
      </w:r>
      <w:r>
        <w:rPr>
          <w:rFonts w:hint="eastAsia" w:ascii="楷体_GB2312" w:eastAsia="楷体_GB2312"/>
          <w:color w:val="000000" w:themeColor="text1"/>
          <w:sz w:val="28"/>
          <w:szCs w:val="28"/>
          <w14:textFill>
            <w14:solidFill>
              <w14:schemeClr w14:val="tx1"/>
            </w14:solidFill>
          </w14:textFill>
        </w:rPr>
        <w:fldChar w:fldCharType="end"/>
      </w:r>
      <w:r>
        <w:rPr>
          <w:rFonts w:hint="eastAsia" w:ascii="楷体_GB2312" w:eastAsia="楷体_GB2312"/>
          <w:color w:val="000000" w:themeColor="text1"/>
          <w:sz w:val="28"/>
          <w:szCs w:val="28"/>
          <w14:textFill>
            <w14:solidFill>
              <w14:schemeClr w14:val="tx1"/>
            </w14:solidFill>
          </w14:textFill>
        </w:rPr>
        <w:fldChar w:fldCharType="end"/>
      </w:r>
    </w:p>
    <w:p>
      <w:pPr>
        <w:pStyle w:val="11"/>
        <w:spacing w:line="360" w:lineRule="exact"/>
        <w:rPr>
          <w:rFonts w:ascii="楷体_GB2312" w:eastAsia="楷体_GB2312" w:hAnsiTheme="minorHAnsi" w:cstheme="minorBidi"/>
          <w:color w:val="000000" w:themeColor="text1"/>
          <w:sz w:val="28"/>
          <w:szCs w:val="28"/>
          <w14:textFill>
            <w14:solidFill>
              <w14:schemeClr w14:val="tx1"/>
            </w14:solidFill>
          </w14:textFill>
        </w:rPr>
      </w:pPr>
      <w:r>
        <w:fldChar w:fldCharType="begin"/>
      </w:r>
      <w:r>
        <w:instrText xml:space="preserve"> HYPERLINK \l "_Toc20390790" </w:instrText>
      </w:r>
      <w:r>
        <w:fldChar w:fldCharType="separate"/>
      </w:r>
      <w:r>
        <w:rPr>
          <w:rStyle w:val="17"/>
          <w:rFonts w:hint="eastAsia" w:ascii="楷体_GB2312" w:hAnsi="仿宋" w:eastAsia="楷体_GB2312"/>
          <w:color w:val="000000" w:themeColor="text1"/>
          <w:sz w:val="28"/>
          <w:szCs w:val="28"/>
          <w14:textFill>
            <w14:solidFill>
              <w14:schemeClr w14:val="tx1"/>
            </w14:solidFill>
          </w14:textFill>
        </w:rPr>
        <w:t>十二、政府性基金预算财政拨款“三公”经费支出决算表</w:t>
      </w:r>
      <w:r>
        <w:rPr>
          <w:rFonts w:hint="eastAsia" w:ascii="楷体_GB2312" w:eastAsia="楷体_GB2312"/>
          <w:color w:val="000000" w:themeColor="text1"/>
          <w:sz w:val="28"/>
          <w:szCs w:val="28"/>
          <w14:textFill>
            <w14:solidFill>
              <w14:schemeClr w14:val="tx1"/>
            </w14:solidFill>
          </w14:textFill>
        </w:rPr>
        <w:tab/>
      </w:r>
      <w:r>
        <w:rPr>
          <w:rFonts w:hint="eastAsia" w:ascii="楷体_GB2312" w:eastAsia="楷体_GB2312"/>
          <w:color w:val="000000" w:themeColor="text1"/>
          <w:sz w:val="28"/>
          <w:szCs w:val="28"/>
          <w14:textFill>
            <w14:solidFill>
              <w14:schemeClr w14:val="tx1"/>
            </w14:solidFill>
          </w14:textFill>
        </w:rPr>
        <w:fldChar w:fldCharType="begin"/>
      </w:r>
      <w:r>
        <w:rPr>
          <w:rFonts w:hint="eastAsia" w:ascii="楷体_GB2312" w:eastAsia="楷体_GB2312"/>
          <w:color w:val="000000" w:themeColor="text1"/>
          <w:sz w:val="28"/>
          <w:szCs w:val="28"/>
          <w14:textFill>
            <w14:solidFill>
              <w14:schemeClr w14:val="tx1"/>
            </w14:solidFill>
          </w14:textFill>
        </w:rPr>
        <w:instrText xml:space="preserve"> PAGEREF _Toc20390790 \h </w:instrText>
      </w:r>
      <w:r>
        <w:rPr>
          <w:rFonts w:hint="eastAsia" w:ascii="楷体_GB2312" w:eastAsia="楷体_GB2312"/>
          <w:color w:val="000000" w:themeColor="text1"/>
          <w:sz w:val="28"/>
          <w:szCs w:val="28"/>
          <w14:textFill>
            <w14:solidFill>
              <w14:schemeClr w14:val="tx1"/>
            </w14:solidFill>
          </w14:textFill>
        </w:rPr>
        <w:fldChar w:fldCharType="separate"/>
      </w:r>
      <w:r>
        <w:rPr>
          <w:rFonts w:hint="eastAsia" w:ascii="楷体_GB2312" w:eastAsia="楷体_GB2312"/>
          <w:color w:val="000000" w:themeColor="text1"/>
          <w:sz w:val="28"/>
          <w:szCs w:val="28"/>
          <w14:textFill>
            <w14:solidFill>
              <w14:schemeClr w14:val="tx1"/>
            </w14:solidFill>
          </w14:textFill>
        </w:rPr>
        <w:t>32</w:t>
      </w:r>
      <w:r>
        <w:rPr>
          <w:rFonts w:hint="eastAsia" w:ascii="楷体_GB2312" w:eastAsia="楷体_GB2312"/>
          <w:color w:val="000000" w:themeColor="text1"/>
          <w:sz w:val="28"/>
          <w:szCs w:val="28"/>
          <w14:textFill>
            <w14:solidFill>
              <w14:schemeClr w14:val="tx1"/>
            </w14:solidFill>
          </w14:textFill>
        </w:rPr>
        <w:fldChar w:fldCharType="end"/>
      </w:r>
      <w:r>
        <w:rPr>
          <w:rFonts w:hint="eastAsia" w:ascii="楷体_GB2312" w:eastAsia="楷体_GB2312"/>
          <w:color w:val="000000" w:themeColor="text1"/>
          <w:sz w:val="28"/>
          <w:szCs w:val="28"/>
          <w14:textFill>
            <w14:solidFill>
              <w14:schemeClr w14:val="tx1"/>
            </w14:solidFill>
          </w14:textFill>
        </w:rPr>
        <w:fldChar w:fldCharType="end"/>
      </w:r>
    </w:p>
    <w:p>
      <w:pPr>
        <w:pStyle w:val="11"/>
        <w:spacing w:line="360" w:lineRule="exact"/>
        <w:rPr>
          <w:rFonts w:ascii="楷体_GB2312" w:eastAsia="楷体_GB2312" w:hAnsiTheme="minorHAnsi" w:cstheme="minorBidi"/>
          <w:sz w:val="28"/>
          <w:szCs w:val="28"/>
        </w:rPr>
      </w:pPr>
      <w:r>
        <w:fldChar w:fldCharType="begin"/>
      </w:r>
      <w:r>
        <w:instrText xml:space="preserve"> HYPERLINK \l "_Toc20390791" </w:instrText>
      </w:r>
      <w:r>
        <w:fldChar w:fldCharType="separate"/>
      </w:r>
      <w:r>
        <w:rPr>
          <w:rStyle w:val="17"/>
          <w:rFonts w:hint="eastAsia" w:ascii="楷体_GB2312" w:hAnsi="仿宋" w:eastAsia="楷体_GB2312"/>
          <w:color w:val="000000" w:themeColor="text1"/>
          <w:sz w:val="28"/>
          <w:szCs w:val="28"/>
          <w14:textFill>
            <w14:solidFill>
              <w14:schemeClr w14:val="tx1"/>
            </w14:solidFill>
          </w14:textFill>
        </w:rPr>
        <w:t>十三、国有资本经营预算支出决算表</w:t>
      </w:r>
      <w:r>
        <w:rPr>
          <w:rFonts w:hint="eastAsia" w:ascii="楷体_GB2312" w:eastAsia="楷体_GB2312"/>
          <w:color w:val="000000" w:themeColor="text1"/>
          <w:sz w:val="28"/>
          <w:szCs w:val="28"/>
          <w14:textFill>
            <w14:solidFill>
              <w14:schemeClr w14:val="tx1"/>
            </w14:solidFill>
          </w14:textFill>
        </w:rPr>
        <w:tab/>
      </w:r>
      <w:r>
        <w:rPr>
          <w:rFonts w:hint="eastAsia" w:ascii="楷体_GB2312" w:eastAsia="楷体_GB2312"/>
          <w:color w:val="000000" w:themeColor="text1"/>
          <w:sz w:val="28"/>
          <w:szCs w:val="28"/>
          <w14:textFill>
            <w14:solidFill>
              <w14:schemeClr w14:val="tx1"/>
            </w14:solidFill>
          </w14:textFill>
        </w:rPr>
        <w:fldChar w:fldCharType="begin"/>
      </w:r>
      <w:r>
        <w:rPr>
          <w:rFonts w:hint="eastAsia" w:ascii="楷体_GB2312" w:eastAsia="楷体_GB2312"/>
          <w:color w:val="000000" w:themeColor="text1"/>
          <w:sz w:val="28"/>
          <w:szCs w:val="28"/>
          <w14:textFill>
            <w14:solidFill>
              <w14:schemeClr w14:val="tx1"/>
            </w14:solidFill>
          </w14:textFill>
        </w:rPr>
        <w:instrText xml:space="preserve"> PAGEREF _Toc20390791 \h </w:instrText>
      </w:r>
      <w:r>
        <w:rPr>
          <w:rFonts w:hint="eastAsia" w:ascii="楷体_GB2312" w:eastAsia="楷体_GB2312"/>
          <w:color w:val="000000" w:themeColor="text1"/>
          <w:sz w:val="28"/>
          <w:szCs w:val="28"/>
          <w14:textFill>
            <w14:solidFill>
              <w14:schemeClr w14:val="tx1"/>
            </w14:solidFill>
          </w14:textFill>
        </w:rPr>
        <w:fldChar w:fldCharType="separate"/>
      </w:r>
      <w:r>
        <w:rPr>
          <w:rFonts w:hint="eastAsia" w:ascii="楷体_GB2312" w:eastAsia="楷体_GB2312"/>
          <w:color w:val="000000" w:themeColor="text1"/>
          <w:sz w:val="28"/>
          <w:szCs w:val="28"/>
          <w14:textFill>
            <w14:solidFill>
              <w14:schemeClr w14:val="tx1"/>
            </w14:solidFill>
          </w14:textFill>
        </w:rPr>
        <w:t>32</w:t>
      </w:r>
      <w:r>
        <w:rPr>
          <w:rFonts w:hint="eastAsia" w:ascii="楷体_GB2312" w:eastAsia="楷体_GB2312"/>
          <w:color w:val="000000" w:themeColor="text1"/>
          <w:sz w:val="28"/>
          <w:szCs w:val="28"/>
          <w14:textFill>
            <w14:solidFill>
              <w14:schemeClr w14:val="tx1"/>
            </w14:solidFill>
          </w14:textFill>
        </w:rPr>
        <w:fldChar w:fldCharType="end"/>
      </w:r>
      <w:r>
        <w:rPr>
          <w:rFonts w:hint="eastAsia" w:ascii="楷体_GB2312" w:eastAsia="楷体_GB2312"/>
          <w:color w:val="000000" w:themeColor="text1"/>
          <w:sz w:val="28"/>
          <w:szCs w:val="28"/>
          <w14:textFill>
            <w14:solidFill>
              <w14:schemeClr w14:val="tx1"/>
            </w14:solidFill>
          </w14:textFill>
        </w:rPr>
        <w:fldChar w:fldCharType="end"/>
      </w:r>
    </w:p>
    <w:p>
      <w:pPr>
        <w:widowControl/>
        <w:spacing w:line="360" w:lineRule="exact"/>
        <w:jc w:val="left"/>
        <w:rPr>
          <w:rFonts w:ascii="楷体_GB2312" w:hAnsi="仿宋" w:eastAsia="楷体_GB2312"/>
          <w:color w:val="000000" w:themeColor="text1"/>
          <w:sz w:val="28"/>
          <w:szCs w:val="28"/>
          <w14:textFill>
            <w14:solidFill>
              <w14:schemeClr w14:val="tx1"/>
            </w14:solidFill>
          </w14:textFill>
        </w:rPr>
        <w:sectPr>
          <w:pgSz w:w="11906" w:h="16838"/>
          <w:pgMar w:top="1440" w:right="1800" w:bottom="1440" w:left="1800" w:header="851" w:footer="992" w:gutter="0"/>
          <w:pgNumType w:start="1"/>
          <w:cols w:space="425" w:num="1"/>
          <w:titlePg/>
          <w:docGrid w:type="lines" w:linePitch="312" w:charSpace="0"/>
        </w:sectPr>
      </w:pPr>
      <w:r>
        <w:rPr>
          <w:rFonts w:ascii="方正魏碑简体" w:hAnsi="宋体" w:eastAsia="方正魏碑简体"/>
          <w:color w:val="000000" w:themeColor="text1"/>
          <w:sz w:val="110"/>
          <w:szCs w:val="11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4314190</wp:posOffset>
                </wp:positionH>
                <wp:positionV relativeFrom="paragraph">
                  <wp:posOffset>433070</wp:posOffset>
                </wp:positionV>
                <wp:extent cx="1339215" cy="534035"/>
                <wp:effectExtent l="4445" t="5080" r="8890" b="13335"/>
                <wp:wrapNone/>
                <wp:docPr id="4" name="文本框 5"/>
                <wp:cNvGraphicFramePr/>
                <a:graphic xmlns:a="http://schemas.openxmlformats.org/drawingml/2006/main">
                  <a:graphicData uri="http://schemas.microsoft.com/office/word/2010/wordprocessingShape">
                    <wps:wsp>
                      <wps:cNvSpPr txBox="1"/>
                      <wps:spPr>
                        <a:xfrm>
                          <a:off x="0" y="0"/>
                          <a:ext cx="1339215" cy="53403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文本框 5" o:spid="_x0000_s1026" o:spt="202" type="#_x0000_t202" style="position:absolute;left:0pt;margin-left:339.7pt;margin-top:34.1pt;height:42.05pt;width:105.45pt;z-index:251660288;mso-width-relative:page;mso-height-relative:page;" fillcolor="#FFFFFF" filled="t" stroked="t" coordsize="21600,21600" o:gfxdata="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yuaE9kAAAAKAQAADwAAAAAAAAABACAAAAAiAAAAZHJzL2Rvd25yZXYueG1sUEsBAhQAFAAA&#10;AAgAh07iQD5hoJfuAQAA6AMAAA4AAAAAAAAAAQAgAAAAKAEAAGRycy9lMm9Eb2MueG1sUEsFBgAA&#10;AAAGAAYAWQEAAIgFAAAAAA==&#10;">
                <v:fill on="t" focussize="0,0"/>
                <v:stroke color="#FFFFFF" joinstyle="miter"/>
                <v:imagedata o:title=""/>
                <o:lock v:ext="edit" aspectratio="f"/>
                <v:textbox>
                  <w:txbxContent>
                    <w:p/>
                  </w:txbxContent>
                </v:textbox>
              </v:shape>
            </w:pict>
          </mc:Fallback>
        </mc:AlternateContent>
      </w:r>
      <w:r>
        <w:rPr>
          <w:rFonts w:ascii="方正魏碑简体" w:hAnsi="宋体" w:eastAsia="方正魏碑简体"/>
          <w:color w:val="000000" w:themeColor="text1"/>
          <w:sz w:val="110"/>
          <w:szCs w:val="110"/>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4398010</wp:posOffset>
                </wp:positionH>
                <wp:positionV relativeFrom="paragraph">
                  <wp:posOffset>842645</wp:posOffset>
                </wp:positionV>
                <wp:extent cx="1255395" cy="382270"/>
                <wp:effectExtent l="5080" t="4445" r="15875" b="13335"/>
                <wp:wrapNone/>
                <wp:docPr id="1" name="文本框 2"/>
                <wp:cNvGraphicFramePr/>
                <a:graphic xmlns:a="http://schemas.openxmlformats.org/drawingml/2006/main">
                  <a:graphicData uri="http://schemas.microsoft.com/office/word/2010/wordprocessingShape">
                    <wps:wsp>
                      <wps:cNvSpPr txBox="1"/>
                      <wps:spPr>
                        <a:xfrm>
                          <a:off x="0" y="0"/>
                          <a:ext cx="1255395" cy="38227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文本框 2" o:spid="_x0000_s1026" o:spt="202" type="#_x0000_t202" style="position:absolute;left:0pt;margin-left:346.3pt;margin-top:66.35pt;height:30.1pt;width:98.85pt;z-index:251658240;mso-width-relative:page;mso-height-relative:page;" fillcolor="#FFFFFF" filled="t" stroked="t" coordsize="21600,21600" o:gfxdata="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F5fOn2QAAAAsBAAAPAAAAAAAAAAEAIAAAACIAAABkcnMvZG93bnJldi54bWxQSwECFAAUAAAA&#10;CACHTuJAYLR67u0BAADoAwAADgAAAAAAAAABACAAAAAoAQAAZHJzL2Uyb0RvYy54bWxQSwUGAAAA&#10;AAYABgBZAQAAhwUAAAAA&#10;">
                <v:fill on="t" focussize="0,0"/>
                <v:stroke color="#FFFFFF" joinstyle="miter"/>
                <v:imagedata o:title=""/>
                <o:lock v:ext="edit" aspectratio="f"/>
                <v:textbox>
                  <w:txbxContent>
                    <w:p/>
                  </w:txbxContent>
                </v:textbox>
              </v:shape>
            </w:pict>
          </mc:Fallback>
        </mc:AlternateContent>
      </w:r>
      <w:r>
        <w:rPr>
          <w:rFonts w:hint="eastAsia" w:ascii="楷体_GB2312" w:hAnsi="仿宋" w:eastAsia="楷体_GB2312"/>
          <w:color w:val="000000" w:themeColor="text1"/>
          <w:sz w:val="28"/>
          <w:szCs w:val="28"/>
          <w14:textFill>
            <w14:solidFill>
              <w14:schemeClr w14:val="tx1"/>
            </w14:solidFill>
          </w14:textFill>
        </w:rPr>
        <w:fldChar w:fldCharType="end"/>
      </w:r>
    </w:p>
    <w:p>
      <w:pPr>
        <w:pStyle w:val="5"/>
        <w:overflowPunct w:val="0"/>
        <w:adjustRightInd w:val="0"/>
        <w:snapToGrid w:val="0"/>
        <w:spacing w:beforeLines="0" w:line="600" w:lineRule="exact"/>
        <w:jc w:val="center"/>
        <w:outlineLvl w:val="2"/>
        <w:rPr>
          <w:rStyle w:val="26"/>
          <w:rFonts w:ascii="黑体" w:hAnsi="黑体" w:eastAsia="黑体"/>
          <w:color w:val="000000" w:themeColor="text1"/>
          <w:sz w:val="36"/>
          <w:szCs w:val="36"/>
          <w14:textFill>
            <w14:solidFill>
              <w14:schemeClr w14:val="tx1"/>
            </w14:solidFill>
          </w14:textFill>
        </w:rPr>
      </w:pPr>
      <w:bookmarkStart w:id="22" w:name="_Toc15377196"/>
      <w:bookmarkStart w:id="23" w:name="_Toc20390763"/>
      <w:r>
        <w:rPr>
          <w:rStyle w:val="26"/>
          <w:rFonts w:hint="eastAsia" w:ascii="黑体" w:hAnsi="黑体" w:eastAsia="黑体"/>
          <w:sz w:val="36"/>
          <w:szCs w:val="36"/>
        </w:rPr>
        <w:t xml:space="preserve">第一部分  </w:t>
      </w:r>
      <w:r>
        <w:rPr>
          <w:rStyle w:val="26"/>
          <w:rFonts w:hint="eastAsia" w:ascii="黑体" w:hAnsi="黑体" w:eastAsia="黑体"/>
          <w:color w:val="000000" w:themeColor="text1"/>
          <w:sz w:val="36"/>
          <w:szCs w:val="36"/>
          <w14:textFill>
            <w14:solidFill>
              <w14:schemeClr w14:val="tx1"/>
            </w14:solidFill>
          </w14:textFill>
        </w:rPr>
        <w:t>部门概况</w:t>
      </w:r>
      <w:bookmarkEnd w:id="22"/>
      <w:bookmarkEnd w:id="23"/>
    </w:p>
    <w:p>
      <w:pPr>
        <w:pStyle w:val="5"/>
        <w:overflowPunct w:val="0"/>
        <w:adjustRightInd w:val="0"/>
        <w:snapToGrid w:val="0"/>
        <w:spacing w:beforeLines="0" w:line="600" w:lineRule="exact"/>
        <w:jc w:val="center"/>
        <w:outlineLvl w:val="2"/>
        <w:rPr>
          <w:rStyle w:val="26"/>
          <w:rFonts w:ascii="黑体" w:hAnsi="黑体" w:eastAsia="黑体"/>
          <w:bCs w:val="0"/>
          <w:sz w:val="36"/>
          <w:szCs w:val="36"/>
        </w:rPr>
      </w:pPr>
    </w:p>
    <w:p>
      <w:pPr>
        <w:pStyle w:val="3"/>
        <w:overflowPunct w:val="0"/>
        <w:spacing w:before="0" w:after="0" w:line="600" w:lineRule="exact"/>
        <w:ind w:firstLine="643" w:firstLineChars="200"/>
        <w:rPr>
          <w:rStyle w:val="27"/>
          <w:rFonts w:ascii="仿宋" w:hAnsi="仿宋" w:eastAsia="仿宋"/>
          <w:b w:val="0"/>
          <w:bCs w:val="0"/>
          <w:color w:val="000000" w:themeColor="text1"/>
          <w14:textFill>
            <w14:solidFill>
              <w14:schemeClr w14:val="tx1"/>
            </w14:solidFill>
          </w14:textFill>
        </w:rPr>
      </w:pPr>
      <w:bookmarkStart w:id="24" w:name="_Toc15377197"/>
      <w:bookmarkStart w:id="25" w:name="_Toc20390764"/>
      <w:r>
        <w:rPr>
          <w:rFonts w:hint="eastAsia" w:ascii="黑体" w:hAnsi="黑体" w:eastAsia="黑体"/>
          <w:color w:val="000000" w:themeColor="text1"/>
          <w14:textFill>
            <w14:solidFill>
              <w14:schemeClr w14:val="tx1"/>
            </w14:solidFill>
          </w14:textFill>
        </w:rPr>
        <w:t>一、基</w:t>
      </w:r>
      <w:r>
        <w:rPr>
          <w:rStyle w:val="27"/>
          <w:rFonts w:hint="eastAsia" w:ascii="黑体" w:hAnsi="黑体" w:eastAsia="黑体"/>
          <w:b w:val="0"/>
          <w:bCs w:val="0"/>
          <w:color w:val="000000" w:themeColor="text1"/>
          <w14:textFill>
            <w14:solidFill>
              <w14:schemeClr w14:val="tx1"/>
            </w14:solidFill>
          </w14:textFill>
        </w:rPr>
        <w:t>本职能及主要工作</w:t>
      </w:r>
      <w:bookmarkEnd w:id="24"/>
      <w:bookmarkEnd w:id="25"/>
    </w:p>
    <w:p>
      <w:pPr>
        <w:pStyle w:val="5"/>
        <w:overflowPunct w:val="0"/>
        <w:adjustRightInd w:val="0"/>
        <w:snapToGrid w:val="0"/>
        <w:spacing w:beforeLines="0" w:line="600" w:lineRule="exact"/>
        <w:ind w:firstLine="640" w:firstLineChars="200"/>
        <w:outlineLvl w:val="2"/>
        <w:rPr>
          <w:rFonts w:ascii="楷体_GB2312" w:hAnsi="仿宋" w:eastAsia="楷体_GB2312"/>
          <w:bCs/>
          <w:color w:val="000000" w:themeColor="text1"/>
          <w:sz w:val="32"/>
          <w:szCs w:val="32"/>
          <w14:textFill>
            <w14:solidFill>
              <w14:schemeClr w14:val="tx1"/>
            </w14:solidFill>
          </w14:textFill>
        </w:rPr>
      </w:pPr>
      <w:bookmarkStart w:id="26" w:name="_Toc15377198"/>
      <w:bookmarkStart w:id="27" w:name="_Toc15378445"/>
      <w:r>
        <w:rPr>
          <w:rFonts w:hint="eastAsia" w:ascii="楷体_GB2312" w:hAnsi="仿宋" w:eastAsia="楷体_GB2312"/>
          <w:bCs/>
          <w:color w:val="000000" w:themeColor="text1"/>
          <w:sz w:val="32"/>
          <w:szCs w:val="32"/>
          <w14:textFill>
            <w14:solidFill>
              <w14:schemeClr w14:val="tx1"/>
            </w14:solidFill>
          </w14:textFill>
        </w:rPr>
        <w:t>（一）主要职能</w:t>
      </w:r>
      <w:bookmarkEnd w:id="26"/>
      <w:bookmarkEnd w:id="27"/>
    </w:p>
    <w:p>
      <w:pPr>
        <w:pStyle w:val="12"/>
        <w:overflowPunct w:val="0"/>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广元市人民政府办公室是市人民政府的综合办事机构，主要是参与政务、管理事务和搞好服务。主要职责是开展调查研究，为市委、市府决策提供信息参考；传达政令，督查督办，推进决策落实；政府信息公开，保障电子政务外网运行，不断推进“阳光政务”工作；</w:t>
      </w:r>
      <w:r>
        <w:rPr>
          <w:rFonts w:hint="eastAsia" w:ascii="仿宋_GB2312" w:hAnsi="仿宋_GB2312" w:eastAsia="仿宋_GB2312" w:cs="仿宋_GB2312"/>
          <w:color w:val="000000" w:themeColor="text1"/>
          <w:sz w:val="32"/>
          <w:szCs w:val="32"/>
          <w14:textFill>
            <w14:solidFill>
              <w14:schemeClr w14:val="tx1"/>
            </w14:solidFill>
          </w14:textFill>
        </w:rPr>
        <w:t>负责公共机构节约能源资源、公务用车、非经营性国有资产管理、后勤服务等机关事务管理;指导、监督全市政府信息公开工作、机关行政效能建设和全市政府系统电子政务工作的职责；指导并推进政务服务体系建设和标准化建设工作，统筹协调指导全市公共资源交易管理服务工作，牵头推进简政放权、放管结合、优化服务改革工作;</w:t>
      </w:r>
      <w:r>
        <w:rPr>
          <w:rFonts w:hint="eastAsia" w:ascii="仿宋_GB2312" w:eastAsia="仿宋_GB2312"/>
          <w:color w:val="000000" w:themeColor="text1"/>
          <w:sz w:val="32"/>
          <w:szCs w:val="32"/>
          <w14:textFill>
            <w14:solidFill>
              <w14:schemeClr w14:val="tx1"/>
            </w14:solidFill>
          </w14:textFill>
        </w:rPr>
        <w:t xml:space="preserve"> 做好公文处理、会议服务及后勤保障，确保高效、科学、有序运转的政务服务以及应急管理、民营经济、及民族宗教事务和法制建设等专项工作；</w:t>
      </w:r>
      <w:r>
        <w:rPr>
          <w:rFonts w:hint="eastAsia" w:ascii="仿宋_GB2312" w:hAnsi="仿宋_GB2312" w:eastAsia="仿宋_GB2312" w:cs="仿宋_GB2312"/>
          <w:color w:val="000000" w:themeColor="text1"/>
          <w:sz w:val="32"/>
          <w:szCs w:val="32"/>
          <w14:textFill>
            <w14:solidFill>
              <w14:schemeClr w14:val="tx1"/>
            </w14:solidFill>
          </w14:textFill>
        </w:rPr>
        <w:t>加强应急管理和督查调研工作，进一步发挥参谋助手和运转枢纽作用。</w:t>
      </w:r>
    </w:p>
    <w:p>
      <w:pPr>
        <w:pStyle w:val="5"/>
        <w:overflowPunct w:val="0"/>
        <w:adjustRightInd w:val="0"/>
        <w:snapToGrid w:val="0"/>
        <w:spacing w:beforeLines="0" w:line="600" w:lineRule="exact"/>
        <w:ind w:firstLine="640" w:firstLineChars="200"/>
        <w:outlineLvl w:val="2"/>
        <w:rPr>
          <w:rFonts w:ascii="楷体_GB2312" w:hAnsi="仿宋" w:eastAsia="楷体_GB2312"/>
          <w:bCs/>
          <w:color w:val="000000" w:themeColor="text1"/>
          <w:sz w:val="32"/>
          <w:szCs w:val="32"/>
          <w14:textFill>
            <w14:solidFill>
              <w14:schemeClr w14:val="tx1"/>
            </w14:solidFill>
          </w14:textFill>
        </w:rPr>
      </w:pPr>
      <w:bookmarkStart w:id="28" w:name="_Toc15378446"/>
      <w:bookmarkStart w:id="29" w:name="_Toc15377199"/>
      <w:r>
        <w:rPr>
          <w:rFonts w:hint="eastAsia" w:ascii="楷体_GB2312" w:hAnsi="仿宋" w:eastAsia="楷体_GB2312"/>
          <w:bCs/>
          <w:color w:val="000000" w:themeColor="text1"/>
          <w:sz w:val="32"/>
          <w:szCs w:val="32"/>
          <w14:textFill>
            <w14:solidFill>
              <w14:schemeClr w14:val="tx1"/>
            </w14:solidFill>
          </w14:textFill>
        </w:rPr>
        <w:t>（二）2018年重点工作完成情况。</w:t>
      </w:r>
      <w:bookmarkEnd w:id="28"/>
      <w:bookmarkEnd w:id="29"/>
    </w:p>
    <w:p>
      <w:pPr>
        <w:numPr>
          <w:ilvl w:val="0"/>
          <w:numId w:val="0"/>
        </w:numPr>
        <w:overflowPunct w:val="0"/>
        <w:spacing w:line="600" w:lineRule="exact"/>
        <w:ind w:firstLine="640" w:firstLineChars="200"/>
        <w:rPr>
          <w:rFonts w:ascii="仿宋_GB2312" w:hAnsi="仿宋_GB2312" w:eastAsia="仿宋_GB2312" w:cs="仿宋_GB2312"/>
          <w:sz w:val="32"/>
          <w:szCs w:val="32"/>
        </w:rPr>
      </w:pPr>
      <w:r>
        <w:rPr>
          <w:rFonts w:hint="eastAsia" w:ascii="仿宋_GB2312" w:hAnsi="楷体_GB2312" w:eastAsia="仿宋_GB2312" w:cs="楷体_GB2312"/>
          <w:kern w:val="0"/>
          <w:sz w:val="32"/>
          <w:szCs w:val="32"/>
          <w:lang w:val="en-US" w:eastAsia="zh-CN"/>
        </w:rPr>
        <w:t>1、</w:t>
      </w:r>
      <w:r>
        <w:rPr>
          <w:rFonts w:hint="eastAsia" w:ascii="仿宋_GB2312" w:hAnsi="楷体_GB2312" w:eastAsia="仿宋_GB2312" w:cs="楷体_GB2312"/>
          <w:kern w:val="0"/>
          <w:sz w:val="32"/>
          <w:szCs w:val="32"/>
        </w:rPr>
        <w:t>坚定政治方向，思想政治建设明显加强。深入开展党的十九大和十九届二中、三中全会和省委、市委全会精神的宣传学习，紧跟党的理论创新步伐，把准政治方向，提高政治能力，引导机关党员干</w:t>
      </w:r>
      <w:r>
        <w:rPr>
          <w:rFonts w:hint="eastAsia" w:ascii="仿宋_GB2312" w:hAnsi="楷体_GB2312" w:eastAsia="仿宋_GB2312" w:cs="楷体_GB2312"/>
          <w:kern w:val="0"/>
          <w:sz w:val="32"/>
          <w:szCs w:val="32"/>
          <w:lang w:eastAsia="zh-CN"/>
        </w:rPr>
        <w:t>部</w:t>
      </w:r>
      <w:r>
        <w:rPr>
          <w:rFonts w:hint="eastAsia" w:ascii="仿宋_GB2312" w:hAnsi="楷体_GB2312" w:eastAsia="仿宋_GB2312" w:cs="楷体_GB2312"/>
          <w:kern w:val="0"/>
          <w:sz w:val="32"/>
          <w:szCs w:val="32"/>
          <w:lang w:val="en-US" w:eastAsia="zh-CN"/>
        </w:rPr>
        <w:t>深入学习习近平新时代中国特色社会主义思想，切实</w:t>
      </w:r>
      <w:r>
        <w:rPr>
          <w:rFonts w:hint="eastAsia" w:ascii="仿宋_GB2312" w:hAnsi="楷体_GB2312" w:eastAsia="仿宋_GB2312" w:cs="楷体_GB2312"/>
          <w:kern w:val="0"/>
          <w:sz w:val="32"/>
          <w:szCs w:val="32"/>
        </w:rPr>
        <w:t>树牢“四个意识”</w:t>
      </w:r>
      <w:r>
        <w:rPr>
          <w:rFonts w:hint="eastAsia" w:ascii="仿宋_GB2312" w:hAnsi="楷体_GB2312" w:eastAsia="仿宋_GB2312" w:cs="楷体_GB2312"/>
          <w:kern w:val="0"/>
          <w:sz w:val="32"/>
          <w:szCs w:val="32"/>
          <w:lang w:eastAsia="zh-CN"/>
        </w:rPr>
        <w:t>、</w:t>
      </w:r>
      <w:r>
        <w:rPr>
          <w:rFonts w:hint="eastAsia" w:ascii="仿宋_GB2312" w:hAnsi="楷体_GB2312" w:eastAsia="仿宋_GB2312" w:cs="楷体_GB2312"/>
          <w:kern w:val="0"/>
          <w:sz w:val="32"/>
          <w:szCs w:val="32"/>
        </w:rPr>
        <w:t>坚定“四个自信”</w:t>
      </w:r>
      <w:r>
        <w:rPr>
          <w:rFonts w:hint="eastAsia" w:ascii="仿宋_GB2312" w:hAnsi="楷体_GB2312" w:eastAsia="仿宋_GB2312" w:cs="楷体_GB2312"/>
          <w:kern w:val="0"/>
          <w:sz w:val="32"/>
          <w:szCs w:val="32"/>
          <w:lang w:eastAsia="zh-CN"/>
        </w:rPr>
        <w:t>、做到两个维护，</w:t>
      </w:r>
      <w:r>
        <w:rPr>
          <w:rFonts w:hint="eastAsia" w:ascii="仿宋_GB2312" w:hAnsi="楷体_GB2312" w:eastAsia="仿宋_GB2312" w:cs="楷体_GB2312"/>
          <w:kern w:val="0"/>
          <w:sz w:val="32"/>
          <w:szCs w:val="32"/>
        </w:rPr>
        <w:t>始终把意识形态工作摆在重要位置，严格落实意识形态责任制,着力加强和改进意识形态工作，牢牢把握意识形态领域的主动权、话语权。</w:t>
      </w:r>
      <w:r>
        <w:rPr>
          <w:rFonts w:hint="eastAsia" w:ascii="仿宋_GB2312" w:hAnsi="仿宋_GB2312" w:eastAsia="仿宋_GB2312" w:cs="仿宋_GB2312"/>
          <w:sz w:val="32"/>
          <w:szCs w:val="32"/>
        </w:rPr>
        <w:t>通过召开中心组（扩大）会、职工会、支部党员大会等，经常性组织机关党员干部集中学习，领导干部带头讲学辅导，市政府秘书长先后以《用习近平新时代中国特色社会主义思想引领市政府办公室工作》《深入</w:t>
      </w:r>
      <w:r>
        <w:rPr>
          <w:rFonts w:hint="eastAsia" w:ascii="仿宋_GB2312" w:hAnsi="仿宋_GB2312" w:eastAsia="仿宋_GB2312" w:cs="仿宋_GB2312"/>
          <w:kern w:val="0"/>
          <w:sz w:val="32"/>
          <w:szCs w:val="32"/>
        </w:rPr>
        <w:t>贯彻市委七届七次全会精神，全力推动广元经济高质量发展</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为题开展党课辅导，</w:t>
      </w:r>
      <w:r>
        <w:rPr>
          <w:rFonts w:hint="eastAsia" w:ascii="仿宋_GB2312" w:hAnsi="仿宋_GB2312" w:eastAsia="仿宋_GB2312" w:cs="仿宋_GB2312"/>
          <w:sz w:val="32"/>
          <w:szCs w:val="32"/>
        </w:rPr>
        <w:t>党员干部的形势政策水平、工作业务能力不断提升。常态化开展“两学一做”学习教育，深入开展“大学习大讨论大调研”活动，精心研制实施方案，突出主题、把握重点，</w:t>
      </w:r>
      <w:r>
        <w:rPr>
          <w:rFonts w:hint="eastAsia" w:ascii="仿宋_GB2312" w:hAnsi="楷体_GB2312" w:eastAsia="仿宋_GB2312" w:cs="楷体_GB2312"/>
          <w:kern w:val="0"/>
          <w:sz w:val="32"/>
          <w:szCs w:val="32"/>
        </w:rPr>
        <w:t>积极</w:t>
      </w:r>
      <w:r>
        <w:rPr>
          <w:rFonts w:hint="eastAsia" w:ascii="仿宋_GB2312" w:hAnsi="仿宋_GB2312" w:eastAsia="仿宋_GB2312" w:cs="仿宋_GB2312"/>
          <w:sz w:val="32"/>
          <w:szCs w:val="32"/>
        </w:rPr>
        <w:t>开展新时代治蜀兴川广元实践怎么看、怎么办、怎么干三个专题讨论，切实把广大党员干部的思想行动统一到党中央国务院、省委省政府和市委市政府的决策部署上来，确保办公室各项工作始终围绕中心、服务大局。</w:t>
      </w:r>
    </w:p>
    <w:p>
      <w:pPr>
        <w:overflowPunct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楷体_GB2312" w:eastAsia="仿宋_GB2312" w:cs="楷体_GB2312"/>
          <w:color w:val="000000" w:themeColor="text1"/>
          <w:kern w:val="0"/>
          <w:sz w:val="32"/>
          <w:szCs w:val="32"/>
          <w14:textFill>
            <w14:solidFill>
              <w14:schemeClr w14:val="tx1"/>
            </w14:solidFill>
          </w14:textFill>
        </w:rPr>
        <w:t>2、坚持统筹兼顾，</w:t>
      </w:r>
      <w:r>
        <w:rPr>
          <w:rFonts w:hint="eastAsia" w:ascii="仿宋_GB2312" w:hAnsi="黑体" w:eastAsia="仿宋_GB2312" w:cs="黑体"/>
          <w:color w:val="000000" w:themeColor="text1"/>
          <w:kern w:val="0"/>
          <w:sz w:val="32"/>
          <w:szCs w:val="32"/>
          <w14:textFill>
            <w14:solidFill>
              <w14:schemeClr w14:val="tx1"/>
            </w14:solidFill>
          </w14:textFill>
        </w:rPr>
        <w:t>综合协调作用有效发挥。一是加强横向纵向协调。主动加强与省政府办公厅和省级部门的工作衔接，</w:t>
      </w:r>
      <w:r>
        <w:rPr>
          <w:rFonts w:hint="eastAsia" w:ascii="仿宋_GB2312" w:hAnsi="仿宋_GB2312" w:eastAsia="仿宋_GB2312" w:cs="仿宋_GB2312"/>
          <w:color w:val="000000" w:themeColor="text1"/>
          <w:kern w:val="0"/>
          <w:sz w:val="32"/>
          <w:szCs w:val="32"/>
          <w14:textFill>
            <w14:solidFill>
              <w14:schemeClr w14:val="tx1"/>
            </w14:solidFill>
          </w14:textFill>
        </w:rPr>
        <w:t>积极做好与市委、市人大常委会、市政协的沟通协调，切实做好市政府领导的工作衔接和活动安排，牵头协调做好国务院第五次大督察下沉广元督察和省政府第一次大督察等各项工作，保证政府工作高效有序运转。二是统筹重点项目重大工作协调。着眼经济建设“三大主战场”，聚焦脱贫攻坚、环保督察、道路安全、城区三轮车治理等重点工作和黑石坡森林公园、康养示范产业园、广平高速、林丰铝电绿色水电铝材一体化等重大项目，及时协调解决工作推进中遇到的困难和问题。三是做好重大政务活动协调。统筹做好5·12汶川大地震10周年纪念活动、第八届蜀道文化旅游节、西博会等重大活动筹备工作。圆满完成四川省第十三届运动会、第九届残运会暨第四届特奥会各类文会办理、开闭幕式活动、事项协调和具体工作落实，得到省、市领导的肯定。2018年，共承办或牵头办理市政府常务会议21次和综合性、专题会议400余次。四是协调推动各项事务落实。</w:t>
      </w:r>
      <w:r>
        <w:rPr>
          <w:rFonts w:hint="eastAsia" w:ascii="仿宋_GB2312" w:hAnsi="仿宋_GB2312" w:eastAsia="仿宋_GB2312" w:cs="仿宋_GB2312"/>
          <w:color w:val="000000" w:themeColor="text1"/>
          <w:sz w:val="32"/>
          <w:szCs w:val="32"/>
          <w14:textFill>
            <w14:solidFill>
              <w14:schemeClr w14:val="tx1"/>
            </w14:solidFill>
          </w14:textFill>
        </w:rPr>
        <w:t>全面落实“清单制+责任制”，对领导批示、会议议定事项等建立跟踪督办台账，切实加强与县区、市级部门联系配合，</w:t>
      </w:r>
      <w:r>
        <w:rPr>
          <w:rFonts w:hint="eastAsia" w:ascii="仿宋_GB2312" w:hAnsi="微软雅黑" w:eastAsia="仿宋_GB2312"/>
          <w:color w:val="000000" w:themeColor="text1"/>
          <w:sz w:val="32"/>
          <w:szCs w:val="32"/>
          <w14:textFill>
            <w14:solidFill>
              <w14:schemeClr w14:val="tx1"/>
            </w14:solidFill>
          </w14:textFill>
        </w:rPr>
        <w:t>每周督促落实进度，每月反馈落实情况，</w:t>
      </w:r>
      <w:r>
        <w:rPr>
          <w:rFonts w:hint="eastAsia" w:ascii="仿宋_GB2312" w:hAnsi="仿宋_GB2312" w:eastAsia="仿宋_GB2312" w:cs="仿宋_GB2312"/>
          <w:color w:val="000000" w:themeColor="text1"/>
          <w:sz w:val="32"/>
          <w:szCs w:val="32"/>
          <w14:textFill>
            <w14:solidFill>
              <w14:schemeClr w14:val="tx1"/>
            </w14:solidFill>
          </w14:textFill>
        </w:rPr>
        <w:t>确保市政府各项举措部署落地落实。</w:t>
      </w:r>
      <w:r>
        <w:rPr>
          <w:rFonts w:hint="eastAsia" w:ascii="仿宋_GB2312" w:hAnsi="微软雅黑" w:eastAsia="仿宋_GB2312"/>
          <w:color w:val="000000" w:themeColor="text1"/>
          <w:sz w:val="32"/>
          <w:szCs w:val="32"/>
          <w14:textFill>
            <w14:solidFill>
              <w14:schemeClr w14:val="tx1"/>
            </w14:solidFill>
          </w14:textFill>
        </w:rPr>
        <w:t>全年跟踪督办领导批交办、常务会议议定事项等</w:t>
      </w:r>
      <w:r>
        <w:rPr>
          <w:rFonts w:hint="eastAsia" w:ascii="仿宋_GB2312" w:eastAsia="仿宋_GB2312"/>
          <w:color w:val="000000" w:themeColor="text1"/>
          <w:kern w:val="0"/>
          <w:sz w:val="32"/>
          <w:szCs w:val="32"/>
          <w14:textFill>
            <w14:solidFill>
              <w14:schemeClr w14:val="tx1"/>
            </w14:solidFill>
          </w14:textFill>
        </w:rPr>
        <w:t>7000</w:t>
      </w:r>
      <w:r>
        <w:rPr>
          <w:rFonts w:hint="eastAsia" w:ascii="仿宋_GB2312" w:hAnsi="微软雅黑" w:eastAsia="仿宋_GB2312"/>
          <w:color w:val="000000" w:themeColor="text1"/>
          <w:sz w:val="32"/>
          <w:szCs w:val="32"/>
          <w14:textFill>
            <w14:solidFill>
              <w14:schemeClr w14:val="tx1"/>
            </w14:solidFill>
          </w14:textFill>
        </w:rPr>
        <w:t>余件，其中跟踪督办市政府主要领导批交办事项</w:t>
      </w:r>
      <w:r>
        <w:rPr>
          <w:rFonts w:hint="eastAsia" w:ascii="仿宋_GB2312" w:eastAsia="仿宋_GB2312"/>
          <w:color w:val="000000" w:themeColor="text1"/>
          <w:kern w:val="0"/>
          <w:sz w:val="32"/>
          <w:szCs w:val="32"/>
          <w14:textFill>
            <w14:solidFill>
              <w14:schemeClr w14:val="tx1"/>
            </w14:solidFill>
          </w14:textFill>
        </w:rPr>
        <w:t>4200</w:t>
      </w:r>
      <w:r>
        <w:rPr>
          <w:rFonts w:hint="eastAsia" w:ascii="仿宋_GB2312" w:hAnsi="微软雅黑" w:eastAsia="仿宋_GB2312"/>
          <w:color w:val="000000" w:themeColor="text1"/>
          <w:sz w:val="32"/>
          <w:szCs w:val="32"/>
          <w14:textFill>
            <w14:solidFill>
              <w14:schemeClr w14:val="tx1"/>
            </w14:solidFill>
          </w14:textFill>
        </w:rPr>
        <w:t>多件。</w:t>
      </w:r>
    </w:p>
    <w:p>
      <w:pPr>
        <w:overflowPunct w:val="0"/>
        <w:spacing w:line="60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楷体_GB2312" w:eastAsia="仿宋_GB2312" w:cs="楷体_GB2312"/>
          <w:color w:val="000000" w:themeColor="text1"/>
          <w:kern w:val="0"/>
          <w:sz w:val="32"/>
          <w:szCs w:val="32"/>
          <w14:textFill>
            <w14:solidFill>
              <w14:schemeClr w14:val="tx1"/>
            </w14:solidFill>
          </w14:textFill>
        </w:rPr>
        <w:t>3、坚持以文立室，辅佐政务作用不断强化。一是深化调查研究。</w:t>
      </w:r>
      <w:r>
        <w:rPr>
          <w:rFonts w:hint="eastAsia" w:ascii="仿宋_GB2312" w:hAnsi="宋体" w:eastAsia="仿宋_GB2312" w:cs="宋体"/>
          <w:color w:val="000000" w:themeColor="text1"/>
          <w:kern w:val="0"/>
          <w:sz w:val="32"/>
          <w:szCs w:val="32"/>
          <w14:textFill>
            <w14:solidFill>
              <w14:schemeClr w14:val="tx1"/>
            </w14:solidFill>
          </w14:textFill>
        </w:rPr>
        <w:t>坚持把调查研究“贯穿于决策全过程”，注重把调研成果融入政策性文稿起草中，为全市经济社会发展出谋献策。完成省政务调研课题《广元创建全国有机产品认证示范市的实践与探索》，协助市政府领导做好领衔的“大学习大讨论大调研”10个方面课题的调查研究，形成了高质量的调研报告，建设北向东出桥头堡、推进广元高质量发展等调研成果被纳入省委全会、市委全会关于经济社会发展的重大安排部署中。二是</w:t>
      </w:r>
      <w:r>
        <w:rPr>
          <w:rFonts w:hint="eastAsia" w:ascii="仿宋_GB2312" w:hAnsi="楷体_GB2312" w:eastAsia="仿宋_GB2312" w:cs="楷体_GB2312"/>
          <w:color w:val="000000" w:themeColor="text1"/>
          <w:kern w:val="0"/>
          <w:sz w:val="32"/>
          <w:szCs w:val="32"/>
          <w14:textFill>
            <w14:solidFill>
              <w14:schemeClr w14:val="tx1"/>
            </w14:solidFill>
          </w14:textFill>
        </w:rPr>
        <w:t>严把文稿质量。</w:t>
      </w:r>
      <w:r>
        <w:rPr>
          <w:rFonts w:hint="eastAsia" w:ascii="仿宋_GB2312" w:hAnsi="宋体" w:eastAsia="仿宋_GB2312" w:cs="宋体"/>
          <w:color w:val="000000" w:themeColor="text1"/>
          <w:kern w:val="0"/>
          <w:sz w:val="32"/>
          <w:szCs w:val="32"/>
          <w14:textFill>
            <w14:solidFill>
              <w14:schemeClr w14:val="tx1"/>
            </w14:solidFill>
          </w14:textFill>
        </w:rPr>
        <w:t>准确把握文稿撰写大方向、大原则，着力打造精品文稿，有效增强服务政府决策的前瞻性、针对性和实效性。坚持把解决问题作为文稿写作的初衷，积极发现在三江新区建设、营商环境改善、砖瓦砂石保障、非洲猪瘟防控等涉及项目投资、产业发展、基础设施改善、民生保障、社会管理等重点工作中存在的热点难点，提出新思路、新办法，确保文稿常讲常新、措施有力。全年共完成市政府工作报告、领导讲话及专题会各类材料</w:t>
      </w:r>
      <w:r>
        <w:rPr>
          <w:rFonts w:hint="eastAsia" w:ascii="仿宋_GB2312" w:hAnsi="仿宋_GB2312" w:eastAsia="仿宋_GB2312" w:cs="仿宋_GB2312"/>
          <w:color w:val="000000" w:themeColor="text1"/>
          <w:kern w:val="0"/>
          <w:sz w:val="32"/>
          <w:szCs w:val="32"/>
          <w14:textFill>
            <w14:solidFill>
              <w14:schemeClr w14:val="tx1"/>
            </w14:solidFill>
          </w14:textFill>
        </w:rPr>
        <w:t>1200</w:t>
      </w:r>
      <w:r>
        <w:rPr>
          <w:rFonts w:hint="eastAsia" w:ascii="仿宋_GB2312" w:hAnsi="宋体" w:eastAsia="仿宋_GB2312" w:cs="宋体"/>
          <w:color w:val="000000" w:themeColor="text1"/>
          <w:kern w:val="0"/>
          <w:sz w:val="32"/>
          <w:szCs w:val="32"/>
          <w14:textFill>
            <w14:solidFill>
              <w14:schemeClr w14:val="tx1"/>
            </w14:solidFill>
          </w14:textFill>
        </w:rPr>
        <w:t>余篇。</w:t>
      </w:r>
      <w:r>
        <w:rPr>
          <w:rFonts w:hint="eastAsia" w:ascii="仿宋_GB2312" w:hAnsi="楷体_GB2312" w:eastAsia="仿宋_GB2312" w:cs="楷体_GB2312"/>
          <w:color w:val="000000" w:themeColor="text1"/>
          <w:kern w:val="0"/>
          <w:sz w:val="32"/>
          <w:szCs w:val="32"/>
          <w14:textFill>
            <w14:solidFill>
              <w14:schemeClr w14:val="tx1"/>
            </w14:solidFill>
          </w14:textFill>
        </w:rPr>
        <w:t>三是做亮信息服务。</w:t>
      </w:r>
      <w:r>
        <w:rPr>
          <w:rFonts w:hint="eastAsia" w:ascii="仿宋_GB2312" w:hAnsi="仿宋_GB2312" w:eastAsia="仿宋_GB2312" w:cs="仿宋_GB2312"/>
          <w:color w:val="000000" w:themeColor="text1"/>
          <w:kern w:val="0"/>
          <w:sz w:val="32"/>
          <w:szCs w:val="32"/>
          <w14:textFill>
            <w14:solidFill>
              <w14:schemeClr w14:val="tx1"/>
            </w14:solidFill>
          </w14:textFill>
        </w:rPr>
        <w:t>把《政务决策参阅》《政务晨讯》等信息载体作为通报情况、服务决策的重要手段，不断创新工作方式，推动政务信息工作提质增效。全年共上报政务信息1200余篇，被省办采用143篇、同比增长14.4%，国办采用31篇、同比增长106.7%。其中，省领导批示3篇；国务院领导批示实现“0”的突破，获得批示2篇，政务信息得分居全省第3位。编发《政务晨讯》《政务决策参阅》《政务参阅》412期，其中市政府领导批示220篇。7月12日全省政务信息工作培训会成功在我市召开，市政府办公室在会上作先进交流发言。</w:t>
      </w:r>
    </w:p>
    <w:p>
      <w:pPr>
        <w:overflowPunct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4、坚持精简高效，政务服务改革创新不断深化。</w:t>
      </w:r>
      <w:r>
        <w:rPr>
          <w:rFonts w:hint="eastAsia" w:ascii="仿宋_GB2312" w:hAnsi="仿宋_GB2312" w:eastAsia="仿宋_GB2312" w:cs="仿宋_GB2312"/>
          <w:color w:val="000000" w:themeColor="text1"/>
          <w:kern w:val="0"/>
          <w:sz w:val="32"/>
          <w:szCs w:val="32"/>
          <w14:textFill>
            <w14:solidFill>
              <w14:schemeClr w14:val="tx1"/>
            </w14:solidFill>
          </w14:textFill>
        </w:rPr>
        <w:t>一是深化政务服务“一体化”平台建设。大力整合政府部门及县区门户网站，已完成22个单位网站集约化建设，网站建设管理步入规范，2018年，市政府门户网站建设居全省第5位。</w:t>
      </w:r>
      <w:r>
        <w:rPr>
          <w:rFonts w:hint="eastAsia" w:ascii="仿宋_GB2312" w:hAnsi="楷体_GB2312" w:eastAsia="仿宋_GB2312" w:cs="楷体_GB2312"/>
          <w:color w:val="000000" w:themeColor="text1"/>
          <w:kern w:val="0"/>
          <w:sz w:val="32"/>
          <w:szCs w:val="32"/>
          <w14:textFill>
            <w14:solidFill>
              <w14:schemeClr w14:val="tx1"/>
            </w14:solidFill>
          </w14:textFill>
        </w:rPr>
        <w:t>推进</w:t>
      </w:r>
      <w:r>
        <w:rPr>
          <w:rFonts w:hint="eastAsia" w:ascii="仿宋_GB2312" w:eastAsia="仿宋_GB2312"/>
          <w:color w:val="000000" w:themeColor="text1"/>
          <w:kern w:val="0"/>
          <w:sz w:val="32"/>
          <w:szCs w:val="32"/>
          <w14:textFill>
            <w14:solidFill>
              <w14:schemeClr w14:val="tx1"/>
            </w14:solidFill>
          </w14:textFill>
        </w:rPr>
        <w:t>市级电子政务外网建设，实现市、县（区）、乡镇（街道）互联互通，乡镇（街道）覆盖率达到100%。完成市级政务信息资源共享平台目录管理系统、数据交换系统和共享网站建设，与省级共享平台实现级联对接。</w:t>
      </w:r>
      <w:r>
        <w:rPr>
          <w:rFonts w:hint="eastAsia" w:ascii="仿宋_GB2312" w:hAnsi="仿宋_GB2312" w:eastAsia="仿宋_GB2312" w:cs="仿宋_GB2312"/>
          <w:color w:val="000000" w:themeColor="text1"/>
          <w:kern w:val="0"/>
          <w:sz w:val="32"/>
          <w:szCs w:val="32"/>
          <w14:textFill>
            <w14:solidFill>
              <w14:schemeClr w14:val="tx1"/>
            </w14:solidFill>
          </w14:textFill>
        </w:rPr>
        <w:t>二是推进政务公开标准化规范化建设。严格落实决策、执行、管理、服务、结果“五公开”，积极推进青川县全国100个基层政务公开标准化规范化试点，探索形成了基层政务公开青川经验，在全国基层政务公开试点工作推进会上作经验交流发言；并以试点为契机，深入推进全市政务公开工作。三</w:t>
      </w:r>
      <w:r>
        <w:rPr>
          <w:rFonts w:hint="eastAsia" w:ascii="仿宋_GB2312" w:eastAsia="仿宋_GB2312"/>
          <w:color w:val="000000" w:themeColor="text1"/>
          <w:kern w:val="0"/>
          <w:sz w:val="32"/>
          <w:szCs w:val="32"/>
          <w14:textFill>
            <w14:solidFill>
              <w14:schemeClr w14:val="tx1"/>
            </w14:solidFill>
          </w14:textFill>
        </w:rPr>
        <w:t>是推进公文办理信息化建设。</w:t>
      </w:r>
      <w:r>
        <w:rPr>
          <w:rFonts w:hint="eastAsia" w:ascii="仿宋_GB2312" w:eastAsia="仿宋_GB2312"/>
          <w:color w:val="000000" w:themeColor="text1"/>
          <w:sz w:val="32"/>
          <w:szCs w:val="32"/>
          <w14:textFill>
            <w14:solidFill>
              <w14:schemeClr w14:val="tx1"/>
            </w14:solidFill>
          </w14:textFill>
        </w:rPr>
        <w:t>全面推行市政府协同办公系统，基本实现非涉密文件网上运行。</w:t>
      </w:r>
      <w:r>
        <w:rPr>
          <w:rFonts w:hint="eastAsia" w:ascii="仿宋_GB2312" w:hAnsi="仿宋_GB2312" w:eastAsia="仿宋_GB2312" w:cs="仿宋_GB2312"/>
          <w:color w:val="000000" w:themeColor="text1"/>
          <w:kern w:val="0"/>
          <w:sz w:val="32"/>
          <w:szCs w:val="32"/>
          <w14:textFill>
            <w14:solidFill>
              <w14:schemeClr w14:val="tx1"/>
            </w14:solidFill>
          </w14:textFill>
        </w:rPr>
        <w:t>对县区和市级部门报文退回，网上告知退文缘由；对文件办理各环节，实现短信提示告知，办文效率提高50%以上。坚持在起草、审核政府规章和规范性文件中，加强合法性、可行性的论证和审查。严格实行公文限时办结，对承办的公文做到急件到手即办，普通件按规定时限办结。严格落实涉密文件规定，文电无泄密事件发生。全年共办理发文</w:t>
      </w:r>
      <w:r>
        <w:rPr>
          <w:rFonts w:hint="eastAsia" w:ascii="仿宋_GB2312" w:eastAsia="仿宋_GB2312"/>
          <w:color w:val="000000" w:themeColor="text1"/>
          <w:kern w:val="0"/>
          <w:sz w:val="32"/>
          <w:szCs w:val="32"/>
          <w14:textFill>
            <w14:solidFill>
              <w14:schemeClr w14:val="tx1"/>
            </w14:solidFill>
          </w14:textFill>
        </w:rPr>
        <w:t>1169</w:t>
      </w:r>
      <w:r>
        <w:rPr>
          <w:rFonts w:hint="eastAsia" w:ascii="仿宋_GB2312" w:hAnsi="仿宋_GB2312" w:eastAsia="仿宋_GB2312" w:cs="仿宋_GB2312"/>
          <w:color w:val="000000" w:themeColor="text1"/>
          <w:kern w:val="0"/>
          <w:sz w:val="32"/>
          <w:szCs w:val="32"/>
          <w14:textFill>
            <w14:solidFill>
              <w14:schemeClr w14:val="tx1"/>
            </w14:solidFill>
          </w14:textFill>
        </w:rPr>
        <w:t>件，同比下降6%；办理市内外各类收文</w:t>
      </w:r>
      <w:r>
        <w:rPr>
          <w:rFonts w:hint="eastAsia" w:ascii="仿宋_GB2312" w:eastAsia="仿宋_GB2312"/>
          <w:color w:val="000000" w:themeColor="text1"/>
          <w:kern w:val="0"/>
          <w:sz w:val="32"/>
          <w:szCs w:val="32"/>
          <w14:textFill>
            <w14:solidFill>
              <w14:schemeClr w14:val="tx1"/>
            </w14:solidFill>
          </w14:textFill>
        </w:rPr>
        <w:t>5100</w:t>
      </w:r>
      <w:r>
        <w:rPr>
          <w:rFonts w:hint="eastAsia" w:ascii="仿宋_GB2312" w:hAnsi="仿宋_GB2312" w:eastAsia="仿宋_GB2312" w:cs="仿宋_GB2312"/>
          <w:color w:val="000000" w:themeColor="text1"/>
          <w:kern w:val="0"/>
          <w:sz w:val="32"/>
          <w:szCs w:val="32"/>
          <w14:textFill>
            <w14:solidFill>
              <w14:schemeClr w14:val="tx1"/>
            </w14:solidFill>
          </w14:textFill>
        </w:rPr>
        <w:t>件，省政府办公厅未对我市上报公文进行错情通报。</w:t>
      </w:r>
    </w:p>
    <w:p>
      <w:pPr>
        <w:overflowPunct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楷体_GB2312" w:eastAsia="仿宋_GB2312" w:cs="楷体_GB2312"/>
          <w:color w:val="000000" w:themeColor="text1"/>
          <w:kern w:val="0"/>
          <w:sz w:val="32"/>
          <w:szCs w:val="32"/>
          <w14:textFill>
            <w14:solidFill>
              <w14:schemeClr w14:val="tx1"/>
            </w14:solidFill>
          </w14:textFill>
        </w:rPr>
        <w:t>5、</w:t>
      </w:r>
      <w:r>
        <w:rPr>
          <w:rFonts w:hint="eastAsia" w:ascii="仿宋_GB2312" w:hAnsi="黑体" w:eastAsia="仿宋_GB2312" w:cs="黑体"/>
          <w:color w:val="000000" w:themeColor="text1"/>
          <w:kern w:val="0"/>
          <w:sz w:val="32"/>
          <w:szCs w:val="32"/>
          <w14:textFill>
            <w14:solidFill>
              <w14:schemeClr w14:val="tx1"/>
            </w14:solidFill>
          </w14:textFill>
        </w:rPr>
        <w:t>坚持牵头抓总，事务办理工作有力推进。</w:t>
      </w:r>
      <w:r>
        <w:rPr>
          <w:rFonts w:hint="eastAsia" w:ascii="仿宋_GB2312" w:hAnsi="楷体_GB2312" w:eastAsia="仿宋_GB2312" w:cs="楷体_GB2312"/>
          <w:color w:val="000000" w:themeColor="text1"/>
          <w:sz w:val="32"/>
          <w:szCs w:val="32"/>
          <w14:textFill>
            <w14:solidFill>
              <w14:schemeClr w14:val="tx1"/>
            </w14:solidFill>
          </w14:textFill>
        </w:rPr>
        <w:t>一是“放管服”改革事务推进有力</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kern w:val="0"/>
          <w:sz w:val="32"/>
          <w:szCs w:val="32"/>
          <w14:textFill>
            <w14:solidFill>
              <w14:schemeClr w14:val="tx1"/>
            </w14:solidFill>
          </w14:textFill>
        </w:rPr>
        <w:t>牵头推进“最多跑一次”改革工作，发布“最多跑一次”事项1754项。</w:t>
      </w:r>
      <w:r>
        <w:rPr>
          <w:rFonts w:hint="eastAsia" w:ascii="仿宋_GB2312" w:eastAsia="仿宋_GB2312"/>
          <w:color w:val="000000" w:themeColor="text1"/>
          <w:sz w:val="32"/>
          <w:szCs w:val="32"/>
          <w14:textFill>
            <w14:solidFill>
              <w14:schemeClr w14:val="tx1"/>
            </w14:solidFill>
          </w14:textFill>
        </w:rPr>
        <w:t>牵头开展清理和规范行政权力，</w:t>
      </w:r>
      <w:r>
        <w:rPr>
          <w:rFonts w:hint="eastAsia" w:ascii="仿宋_GB2312" w:hAnsi="宋体" w:eastAsia="仿宋_GB2312"/>
          <w:color w:val="000000" w:themeColor="text1"/>
          <w:kern w:val="0"/>
          <w:sz w:val="32"/>
          <w:szCs w:val="32"/>
          <w14:textFill>
            <w14:solidFill>
              <w14:schemeClr w14:val="tx1"/>
            </w14:solidFill>
          </w14:textFill>
        </w:rPr>
        <w:t>先后取消、下放行政审批和影响便民利民的公共服务事项226项，委托行政审批和公共服务事项16项。</w:t>
      </w:r>
      <w:r>
        <w:rPr>
          <w:rFonts w:hint="eastAsia" w:ascii="仿宋_GB2312" w:hAnsi="宋体" w:eastAsia="仿宋_GB2312" w:cs="方正仿宋简体"/>
          <w:color w:val="000000" w:themeColor="text1"/>
          <w:kern w:val="0"/>
          <w:sz w:val="32"/>
          <w:szCs w:val="32"/>
          <w14:textFill>
            <w14:solidFill>
              <w14:schemeClr w14:val="tx1"/>
            </w14:solidFill>
          </w14:textFill>
        </w:rPr>
        <w:t>大力</w:t>
      </w:r>
      <w:r>
        <w:rPr>
          <w:rFonts w:hint="eastAsia" w:ascii="仿宋_GB2312" w:hAnsi="宋体" w:eastAsia="仿宋_GB2312"/>
          <w:color w:val="000000" w:themeColor="text1"/>
          <w:kern w:val="0"/>
          <w:sz w:val="32"/>
          <w:szCs w:val="32"/>
          <w14:textFill>
            <w14:solidFill>
              <w14:schemeClr w14:val="tx1"/>
            </w14:solidFill>
          </w14:textFill>
        </w:rPr>
        <w:t>清理简化公共服务事项和流程，牵头压缩行政审批时间，企业登记、不动产登记、工程项目审批时限有效缩减。</w:t>
      </w:r>
      <w:r>
        <w:rPr>
          <w:rFonts w:hint="eastAsia" w:ascii="仿宋_GB2312" w:eastAsia="仿宋_GB2312"/>
          <w:color w:val="000000" w:themeColor="text1"/>
          <w:sz w:val="32"/>
          <w:szCs w:val="32"/>
          <w14:textFill>
            <w14:solidFill>
              <w14:schemeClr w14:val="tx1"/>
            </w14:solidFill>
          </w14:textFill>
        </w:rPr>
        <w:t>协调推行“双随机一公开”联合监管，</w:t>
      </w:r>
      <w:r>
        <w:rPr>
          <w:rFonts w:hint="eastAsia" w:ascii="仿宋_GB2312" w:hAnsi="宋体" w:eastAsia="仿宋_GB2312" w:cs="??_GB2312"/>
          <w:color w:val="000000" w:themeColor="text1"/>
          <w:kern w:val="0"/>
          <w:sz w:val="32"/>
          <w:szCs w:val="32"/>
          <w14:textFill>
            <w14:solidFill>
              <w14:schemeClr w14:val="tx1"/>
            </w14:solidFill>
          </w14:textFill>
        </w:rPr>
        <w:t>共建抽查事项清单1936个，市场主体库1589个，执法人员7503人。</w:t>
      </w:r>
      <w:r>
        <w:rPr>
          <w:rFonts w:hint="eastAsia" w:ascii="仿宋_GB2312" w:hAnsi="楷体_GB2312" w:eastAsia="仿宋_GB2312" w:cs="楷体_GB2312"/>
          <w:color w:val="000000" w:themeColor="text1"/>
          <w:sz w:val="32"/>
          <w:szCs w:val="32"/>
          <w14:textFill>
            <w14:solidFill>
              <w14:schemeClr w14:val="tx1"/>
            </w14:solidFill>
          </w14:textFill>
        </w:rPr>
        <w:t>二是法治政府建设事务全面落实</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不断完善政府规章和规范性文件清理长效机制，</w:t>
      </w:r>
      <w:r>
        <w:rPr>
          <w:rFonts w:hint="eastAsia" w:ascii="仿宋_GB2312" w:hAnsi="仿宋_GB2312" w:eastAsia="仿宋_GB2312" w:cs="仿宋_GB2312"/>
          <w:color w:val="000000" w:themeColor="text1"/>
          <w:kern w:val="0"/>
          <w:sz w:val="32"/>
          <w:szCs w:val="32"/>
          <w14:textFill>
            <w14:solidFill>
              <w14:schemeClr w14:val="tx1"/>
            </w14:solidFill>
          </w14:textFill>
        </w:rPr>
        <w:t>严格落实规范性文件制定和备案规定，各类规章报备及时率、规范率均达100%，受到了司法部通报表扬。</w:t>
      </w:r>
      <w:r>
        <w:rPr>
          <w:rFonts w:hint="eastAsia" w:ascii="仿宋_GB2312" w:hAnsi="宋体" w:eastAsia="仿宋_GB2312"/>
          <w:color w:val="000000" w:themeColor="text1"/>
          <w:kern w:val="0"/>
          <w:sz w:val="32"/>
          <w:szCs w:val="32"/>
          <w14:textFill>
            <w14:solidFill>
              <w14:schemeClr w14:val="tx1"/>
            </w14:solidFill>
          </w14:textFill>
        </w:rPr>
        <w:t>严格执行合法性审查规定，全年共</w:t>
      </w:r>
      <w:r>
        <w:rPr>
          <w:rFonts w:hint="eastAsia" w:ascii="仿宋_GB2312" w:hAnsi="宋体" w:eastAsia="仿宋_GB2312" w:cs="仿宋"/>
          <w:color w:val="000000" w:themeColor="text1"/>
          <w:kern w:val="0"/>
          <w:sz w:val="32"/>
          <w:szCs w:val="32"/>
          <w14:textFill>
            <w14:solidFill>
              <w14:schemeClr w14:val="tx1"/>
            </w14:solidFill>
          </w14:textFill>
        </w:rPr>
        <w:t>审查各类规范性文件、协议、合同80余件。</w:t>
      </w:r>
      <w:r>
        <w:rPr>
          <w:rFonts w:hint="eastAsia" w:ascii="仿宋_GB2312" w:hAnsi="宋体" w:eastAsia="仿宋_GB2312"/>
          <w:color w:val="000000" w:themeColor="text1"/>
          <w:kern w:val="0"/>
          <w:sz w:val="32"/>
          <w:szCs w:val="32"/>
          <w14:textFill>
            <w14:solidFill>
              <w14:schemeClr w14:val="tx1"/>
            </w14:solidFill>
          </w14:textFill>
        </w:rPr>
        <w:t>加强行政复议和行政应诉工作，</w:t>
      </w:r>
      <w:r>
        <w:rPr>
          <w:rFonts w:hint="eastAsia" w:ascii="仿宋_GB2312" w:hAnsi="宋体" w:eastAsia="仿宋_GB2312" w:cs="宋体"/>
          <w:color w:val="000000" w:themeColor="text1"/>
          <w:kern w:val="0"/>
          <w:sz w:val="32"/>
          <w:szCs w:val="32"/>
          <w14:textFill>
            <w14:solidFill>
              <w14:schemeClr w14:val="tx1"/>
            </w14:solidFill>
          </w14:textFill>
        </w:rPr>
        <w:t>全面落实行政机关负责人出庭应诉制度</w:t>
      </w:r>
      <w:r>
        <w:rPr>
          <w:rFonts w:hint="eastAsia" w:ascii="仿宋_GB2312" w:hAnsi="仿宋" w:eastAsia="仿宋_GB2312" w:cs="仿宋_GB2312"/>
          <w:color w:val="000000" w:themeColor="text1"/>
          <w:kern w:val="0"/>
          <w:sz w:val="32"/>
          <w:szCs w:val="32"/>
          <w14:textFill>
            <w14:solidFill>
              <w14:schemeClr w14:val="tx1"/>
            </w14:solidFill>
          </w14:textFill>
        </w:rPr>
        <w:t>。积极推进矛盾纠纷源头排查，围绕</w:t>
      </w:r>
      <w:r>
        <w:rPr>
          <w:rFonts w:hint="eastAsia" w:ascii="仿宋_GB2312" w:hAnsi="宋体" w:eastAsia="仿宋_GB2312" w:cs="宋体"/>
          <w:color w:val="000000" w:themeColor="text1"/>
          <w:kern w:val="0"/>
          <w:sz w:val="32"/>
          <w:szCs w:val="32"/>
          <w14:textFill>
            <w14:solidFill>
              <w14:schemeClr w14:val="tx1"/>
            </w14:solidFill>
          </w14:textFill>
        </w:rPr>
        <w:t>征地拆迁、企业改制、棚户区改造、不动产登记等重点领域，受理行政调解案件</w:t>
      </w:r>
      <w:r>
        <w:rPr>
          <w:rFonts w:hint="eastAsia" w:ascii="仿宋_GB2312" w:hAnsi="宋体" w:eastAsia="仿宋_GB2312" w:cs="??_GB2312"/>
          <w:color w:val="000000" w:themeColor="text1"/>
          <w:kern w:val="0"/>
          <w:sz w:val="32"/>
          <w:szCs w:val="32"/>
          <w14:textFill>
            <w14:solidFill>
              <w14:schemeClr w14:val="tx1"/>
            </w14:solidFill>
          </w14:textFill>
        </w:rPr>
        <w:t>1069</w:t>
      </w:r>
      <w:r>
        <w:rPr>
          <w:rFonts w:hint="eastAsia" w:ascii="仿宋_GB2312" w:hAnsi="宋体" w:eastAsia="仿宋_GB2312" w:cs="宋体"/>
          <w:color w:val="000000" w:themeColor="text1"/>
          <w:kern w:val="0"/>
          <w:sz w:val="32"/>
          <w:szCs w:val="32"/>
          <w14:textFill>
            <w14:solidFill>
              <w14:schemeClr w14:val="tx1"/>
            </w14:solidFill>
          </w14:textFill>
        </w:rPr>
        <w:t>件，成功调解</w:t>
      </w:r>
      <w:r>
        <w:rPr>
          <w:rFonts w:hint="eastAsia" w:ascii="仿宋_GB2312" w:hAnsi="宋体" w:eastAsia="仿宋_GB2312" w:cs="??_GB2312"/>
          <w:color w:val="000000" w:themeColor="text1"/>
          <w:kern w:val="0"/>
          <w:sz w:val="32"/>
          <w:szCs w:val="32"/>
          <w14:textFill>
            <w14:solidFill>
              <w14:schemeClr w14:val="tx1"/>
            </w14:solidFill>
          </w14:textFill>
        </w:rPr>
        <w:t>860</w:t>
      </w:r>
      <w:r>
        <w:rPr>
          <w:rFonts w:hint="eastAsia" w:ascii="仿宋_GB2312" w:hAnsi="宋体" w:eastAsia="仿宋_GB2312" w:cs="宋体"/>
          <w:color w:val="000000" w:themeColor="text1"/>
          <w:kern w:val="0"/>
          <w:sz w:val="32"/>
          <w:szCs w:val="32"/>
          <w14:textFill>
            <w14:solidFill>
              <w14:schemeClr w14:val="tx1"/>
            </w14:solidFill>
          </w14:textFill>
        </w:rPr>
        <w:t>件</w:t>
      </w:r>
      <w:r>
        <w:rPr>
          <w:rFonts w:hint="eastAsia" w:ascii="仿宋_GB2312" w:hAnsi="宋体" w:eastAsia="仿宋_GB2312" w:cs="??_GB2312"/>
          <w:color w:val="000000" w:themeColor="text1"/>
          <w:kern w:val="0"/>
          <w:sz w:val="32"/>
          <w:szCs w:val="32"/>
          <w14:textFill>
            <w14:solidFill>
              <w14:schemeClr w14:val="tx1"/>
            </w14:solidFill>
          </w14:textFill>
        </w:rPr>
        <w:t>。</w:t>
      </w:r>
      <w:r>
        <w:rPr>
          <w:rFonts w:hint="eastAsia" w:ascii="仿宋_GB2312" w:hAnsi="楷体_GB2312" w:eastAsia="仿宋_GB2312" w:cs="楷体_GB2312"/>
          <w:color w:val="000000" w:themeColor="text1"/>
          <w:sz w:val="32"/>
          <w:szCs w:val="32"/>
          <w14:textFill>
            <w14:solidFill>
              <w14:schemeClr w14:val="tx1"/>
            </w14:solidFill>
          </w14:textFill>
        </w:rPr>
        <w:t>三是应急管理工作不断深化。健全完善应急预案体系，指导相关单位形成各类预案14362部。加强应急队伍建设工作，协调相关单位健全各类应急队伍近730支、23900余人。积极开展应急演练，于2018年5月17日在剑阁县成功举办了市县两级应急综合演练，全年组织开展各类演练1130余次，协调处置事故灾难类事件106起、公共卫生事件2起、社会安全事件31起。牵头应对“6.26”“7.2”“7.10”</w:t>
      </w:r>
      <w:r>
        <w:rPr>
          <w:rFonts w:hint="eastAsia" w:ascii="仿宋_GB2312" w:eastAsia="仿宋_GB2312"/>
          <w:color w:val="000000" w:themeColor="text1"/>
          <w:sz w:val="32"/>
          <w:szCs w:val="32"/>
          <w14:textFill>
            <w14:solidFill>
              <w14:schemeClr w14:val="tx1"/>
            </w14:solidFill>
          </w14:textFill>
        </w:rPr>
        <w:t xml:space="preserve"> 持续强降雨抗洪抢灾工作，</w:t>
      </w:r>
      <w:r>
        <w:rPr>
          <w:rFonts w:hint="eastAsia" w:ascii="仿宋_GB2312" w:hAnsi="楷体_GB2312" w:eastAsia="仿宋_GB2312" w:cs="楷体_GB2312"/>
          <w:color w:val="000000" w:themeColor="text1"/>
          <w:sz w:val="32"/>
          <w:szCs w:val="32"/>
          <w14:textFill>
            <w14:solidFill>
              <w14:schemeClr w14:val="tx1"/>
            </w14:solidFill>
          </w14:textFill>
        </w:rPr>
        <w:t>及时报送雨情汛情灾情，受到省市领导好评。</w:t>
      </w:r>
      <w:r>
        <w:rPr>
          <w:rFonts w:hint="eastAsia" w:ascii="仿宋_GB2312" w:eastAsia="仿宋_GB2312"/>
          <w:color w:val="000000" w:themeColor="text1"/>
          <w:sz w:val="32"/>
          <w:szCs w:val="32"/>
          <w14:textFill>
            <w14:solidFill>
              <w14:schemeClr w14:val="tx1"/>
            </w14:solidFill>
          </w14:textFill>
        </w:rPr>
        <w:t>四是机关事务管理科学有序。</w:t>
      </w:r>
      <w:r>
        <w:rPr>
          <w:rFonts w:hint="eastAsia" w:ascii="仿宋_GB2312" w:hAnsi="仿宋_GB2312" w:eastAsia="仿宋_GB2312" w:cs="仿宋_GB2312"/>
          <w:color w:val="000000" w:themeColor="text1"/>
          <w:sz w:val="32"/>
          <w:szCs w:val="32"/>
          <w14:textFill>
            <w14:solidFill>
              <w14:schemeClr w14:val="tx1"/>
            </w14:solidFill>
          </w14:textFill>
        </w:rPr>
        <w:t>全域普及并运行公务用车管理与服务标准，“广元市公务用车管理与服务标准化试点”顺利通过省级标准化试点评估验收。</w:t>
      </w:r>
      <w:r>
        <w:rPr>
          <w:rFonts w:hint="eastAsia" w:ascii="仿宋_GB2312" w:hAnsi="楷体" w:eastAsia="仿宋_GB2312" w:cs="楷体"/>
          <w:color w:val="000000" w:themeColor="text1"/>
          <w:sz w:val="32"/>
          <w:szCs w:val="32"/>
          <w14:textFill>
            <w14:solidFill>
              <w14:schemeClr w14:val="tx1"/>
            </w14:solidFill>
          </w14:textFill>
        </w:rPr>
        <w:t>积极稳妥推进事业单位车改</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分两批次封停车辆29辆，我市在</w:t>
      </w:r>
      <w:r>
        <w:rPr>
          <w:rFonts w:hint="eastAsia" w:ascii="仿宋_GB2312" w:hAnsi="仿宋" w:eastAsia="仿宋_GB2312"/>
          <w:color w:val="000000" w:themeColor="text1"/>
          <w:sz w:val="32"/>
          <w:szCs w:val="32"/>
          <w14:textFill>
            <w14:solidFill>
              <w14:schemeClr w14:val="tx1"/>
            </w14:solidFill>
          </w14:textFill>
        </w:rPr>
        <w:t>中央车改办对四川省各市州的考核中居第1位。</w:t>
      </w:r>
      <w:r>
        <w:rPr>
          <w:rFonts w:hint="eastAsia" w:ascii="仿宋_GB2312" w:hAnsi="仿宋_GB2312" w:eastAsia="仿宋_GB2312" w:cs="仿宋_GB2312"/>
          <w:color w:val="000000" w:themeColor="text1"/>
          <w:sz w:val="32"/>
          <w:szCs w:val="32"/>
          <w14:textFill>
            <w14:solidFill>
              <w14:schemeClr w14:val="tx1"/>
            </w14:solidFill>
          </w14:textFill>
        </w:rPr>
        <w:t>积极推</w:t>
      </w:r>
      <w:r>
        <w:rPr>
          <w:rFonts w:hint="eastAsia" w:ascii="仿宋_GB2312" w:hAnsi="仿宋" w:eastAsia="仿宋_GB2312"/>
          <w:color w:val="000000" w:themeColor="text1"/>
          <w:sz w:val="32"/>
          <w:szCs w:val="32"/>
          <w14:textFill>
            <w14:solidFill>
              <w14:schemeClr w14:val="tx1"/>
            </w14:solidFill>
          </w14:textFill>
        </w:rPr>
        <w:t>进机关、学校、医院等能耗较大的公共机构开展节能改造，全市公共机构综合能耗同比下降2.6%。</w:t>
      </w:r>
      <w:r>
        <w:rPr>
          <w:rFonts w:hint="eastAsia" w:ascii="仿宋_GB2312" w:hAnsi="宋体" w:eastAsia="仿宋_GB2312" w:cs="宋体"/>
          <w:color w:val="000000" w:themeColor="text1"/>
          <w:kern w:val="0"/>
          <w:sz w:val="32"/>
          <w:szCs w:val="32"/>
          <w14:textFill>
            <w14:solidFill>
              <w14:schemeClr w14:val="tx1"/>
            </w14:solidFill>
          </w14:textFill>
        </w:rPr>
        <w:t>大力</w:t>
      </w:r>
      <w:r>
        <w:rPr>
          <w:rFonts w:hint="eastAsia" w:ascii="仿宋_GB2312" w:hAnsi="仿宋" w:eastAsia="仿宋_GB2312"/>
          <w:color w:val="000000" w:themeColor="text1"/>
          <w:sz w:val="32"/>
          <w:szCs w:val="32"/>
          <w14:textFill>
            <w14:solidFill>
              <w14:schemeClr w14:val="tx1"/>
            </w14:solidFill>
          </w14:textFill>
        </w:rPr>
        <w:t>开展</w:t>
      </w:r>
      <w:r>
        <w:rPr>
          <w:rFonts w:hint="eastAsia" w:ascii="仿宋_GB2312" w:hAnsi="楷体" w:eastAsia="仿宋_GB2312" w:cs="楷体"/>
          <w:color w:val="000000" w:themeColor="text1"/>
          <w:sz w:val="32"/>
          <w:szCs w:val="32"/>
          <w14:textFill>
            <w14:solidFill>
              <w14:schemeClr w14:val="tx1"/>
            </w14:solidFill>
          </w14:textFill>
        </w:rPr>
        <w:t>公共机构生活垃圾分类工作，</w:t>
      </w:r>
      <w:r>
        <w:rPr>
          <w:rFonts w:hint="eastAsia" w:ascii="仿宋_GB2312" w:hAnsi="仿宋" w:eastAsia="仿宋_GB2312"/>
          <w:color w:val="000000" w:themeColor="text1"/>
          <w:sz w:val="32"/>
          <w:szCs w:val="32"/>
          <w14:textFill>
            <w14:solidFill>
              <w14:schemeClr w14:val="tx1"/>
            </w14:solidFill>
          </w14:textFill>
        </w:rPr>
        <w:t>探索设立“公共机构生活垃圾分类师”岗位</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kern w:val="0"/>
          <w:sz w:val="32"/>
          <w:szCs w:val="32"/>
          <w14:textFill>
            <w14:solidFill>
              <w14:schemeClr w14:val="tx1"/>
            </w14:solidFill>
          </w14:textFill>
        </w:rPr>
        <w:t>创新推出线上线下双模式“公物仓”，</w:t>
      </w:r>
      <w:r>
        <w:rPr>
          <w:rFonts w:hint="eastAsia" w:ascii="仿宋_GB2312" w:hAnsi="楷体" w:eastAsia="仿宋_GB2312"/>
          <w:color w:val="000000" w:themeColor="text1"/>
          <w:sz w:val="32"/>
          <w:szCs w:val="32"/>
          <w14:textFill>
            <w14:solidFill>
              <w14:schemeClr w14:val="tx1"/>
            </w14:solidFill>
          </w14:textFill>
        </w:rPr>
        <w:t>精细管理固定资产，</w:t>
      </w:r>
      <w:r>
        <w:rPr>
          <w:rFonts w:hint="eastAsia" w:ascii="仿宋_GB2312" w:eastAsia="仿宋_GB2312"/>
          <w:color w:val="000000" w:themeColor="text1"/>
          <w:sz w:val="32"/>
          <w:szCs w:val="32"/>
          <w14:textFill>
            <w14:solidFill>
              <w14:schemeClr w14:val="tx1"/>
            </w14:solidFill>
          </w14:textFill>
        </w:rPr>
        <w:t>建立报废物资残值统一处置机制。认真做好政府办公楼修缮工作，抓好日常水电维修保障，做好办公楼增设电梯改造工作并投入使用。按照档案管理最新标准，对办公室档案进行归档整理，市档案局认定我办档案室为一级档案室。认真做好行政中心信访处理工作。五是驻村帮扶工作成效明显。扎实做好昭化区红岩镇广吉村和剑阁县下寺镇峰垭村、窑沟社区的结对帮扶工作，积极争取项目资金，大力推进房屋建设、道路硬化、农田水利等基础设施建设并得到明显改善。因地制宜发展特色农业产业，广吉村黄金梨产业园、</w:t>
      </w:r>
      <w:r>
        <w:rPr>
          <w:rFonts w:hint="eastAsia" w:ascii="仿宋_GB2312" w:hAnsi="宋体" w:eastAsia="仿宋_GB2312" w:cs="??_GB2312"/>
          <w:color w:val="000000" w:themeColor="text1"/>
          <w:kern w:val="0"/>
          <w:sz w:val="32"/>
          <w:szCs w:val="32"/>
          <w14:textFill>
            <w14:solidFill>
              <w14:schemeClr w14:val="tx1"/>
            </w14:solidFill>
          </w14:textFill>
        </w:rPr>
        <w:t>窑沟社区无公害蔬菜基地、峰垭村丰桃产业园、藤椒产业园建成投产。持续开展困难帮扶，实现119户433人帮扶工作全覆盖，解决贫困户就业岗位28个，救助因病因学困难人群11人共17万元，慰问困难群众150余户，发放慰问物资价值15余万元。截止目前，红岩镇广吉村已高标准通过市区两级检查验收，兑现了县区摘帽中走前头、作表率的承诺。</w:t>
      </w:r>
      <w:r>
        <w:rPr>
          <w:rFonts w:hint="eastAsia" w:ascii="仿宋_GB2312" w:eastAsia="仿宋_GB2312"/>
          <w:color w:val="000000" w:themeColor="text1"/>
          <w:sz w:val="32"/>
          <w:szCs w:val="32"/>
          <w14:textFill>
            <w14:solidFill>
              <w14:schemeClr w14:val="tx1"/>
            </w14:solidFill>
          </w14:textFill>
        </w:rPr>
        <w:t>下寺镇峰垭村贫困户已全部脱贫；窑沟社区未脱贫2户，按计划将在2019年全部脱贫。</w:t>
      </w:r>
      <w:bookmarkStart w:id="30" w:name="_Toc15377200"/>
    </w:p>
    <w:p>
      <w:pPr>
        <w:overflowPunct w:val="0"/>
        <w:spacing w:line="600" w:lineRule="exact"/>
        <w:ind w:firstLine="640" w:firstLineChars="200"/>
        <w:rPr>
          <w:rStyle w:val="27"/>
          <w:rFonts w:ascii="仿宋" w:hAnsi="仿宋" w:eastAsia="仿宋" w:cs="Times New Roman"/>
          <w:color w:val="000000" w:themeColor="text1"/>
          <w:kern w:val="0"/>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二、</w:t>
      </w:r>
      <w:r>
        <w:rPr>
          <w:rFonts w:hint="eastAsia" w:ascii="黑体" w:hAnsi="黑体" w:eastAsia="黑体"/>
          <w:color w:val="000000" w:themeColor="text1"/>
          <w:sz w:val="32"/>
          <w:szCs w:val="32"/>
          <w14:textFill>
            <w14:solidFill>
              <w14:schemeClr w14:val="tx1"/>
            </w14:solidFill>
          </w14:textFill>
        </w:rPr>
        <w:t>机</w:t>
      </w:r>
      <w:r>
        <w:rPr>
          <w:rStyle w:val="27"/>
          <w:rFonts w:hint="eastAsia" w:ascii="黑体" w:hAnsi="黑体" w:eastAsia="黑体"/>
          <w:b w:val="0"/>
          <w:color w:val="000000" w:themeColor="text1"/>
          <w14:textFill>
            <w14:solidFill>
              <w14:schemeClr w14:val="tx1"/>
            </w14:solidFill>
          </w14:textFill>
        </w:rPr>
        <w:t>构设置</w:t>
      </w:r>
      <w:bookmarkEnd w:id="30"/>
    </w:p>
    <w:p>
      <w:pPr>
        <w:overflowPunct w:val="0"/>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广元市人民政府办公室</w:t>
      </w:r>
      <w:r>
        <w:rPr>
          <w:rFonts w:hint="eastAsia" w:ascii="仿宋_GB2312" w:hAnsi="仿宋" w:eastAsia="仿宋_GB2312"/>
          <w:color w:val="000000" w:themeColor="text1"/>
          <w:sz w:val="32"/>
          <w:szCs w:val="32"/>
          <w14:textFill>
            <w14:solidFill>
              <w14:schemeClr w14:val="tx1"/>
            </w14:solidFill>
          </w14:textFill>
        </w:rPr>
        <w:t>下属二级及代管单位12个，其中行政单位5个，参照公务员法管理的事业单位</w:t>
      </w:r>
      <w:r>
        <w:rPr>
          <w:rFonts w:hint="eastAsia" w:ascii="仿宋_GB2312" w:hAnsi="仿宋" w:eastAsia="仿宋_GB2312"/>
          <w:bCs/>
          <w:color w:val="000000" w:themeColor="text1"/>
          <w:sz w:val="32"/>
          <w:szCs w:val="32"/>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个，事业单位2个。</w:t>
      </w:r>
    </w:p>
    <w:p>
      <w:pPr>
        <w:pStyle w:val="5"/>
        <w:overflowPunct w:val="0"/>
        <w:adjustRightInd w:val="0"/>
        <w:snapToGrid w:val="0"/>
        <w:spacing w:beforeLines="0" w:line="600" w:lineRule="exact"/>
        <w:ind w:firstLine="640" w:firstLineChars="200"/>
        <w:rPr>
          <w:rFonts w:hAnsi="仿宋"/>
          <w:color w:val="000000" w:themeColor="text1"/>
          <w:sz w:val="32"/>
          <w:szCs w:val="32"/>
          <w14:textFill>
            <w14:solidFill>
              <w14:schemeClr w14:val="tx1"/>
            </w14:solidFill>
          </w14:textFill>
        </w:rPr>
      </w:pPr>
      <w:r>
        <w:rPr>
          <w:rFonts w:hint="eastAsia" w:hAnsi="Tahoma" w:cs="Tahoma"/>
          <w:color w:val="000000" w:themeColor="text1"/>
          <w:sz w:val="32"/>
          <w:szCs w:val="32"/>
          <w14:textFill>
            <w14:solidFill>
              <w14:schemeClr w14:val="tx1"/>
            </w14:solidFill>
          </w14:textFill>
        </w:rPr>
        <w:t>本报表的编报包括</w:t>
      </w:r>
      <w:r>
        <w:rPr>
          <w:rFonts w:hint="eastAsia" w:hAnsi="仿宋"/>
          <w:color w:val="000000" w:themeColor="text1"/>
          <w:sz w:val="32"/>
          <w:szCs w:val="32"/>
          <w14:textFill>
            <w14:solidFill>
              <w14:schemeClr w14:val="tx1"/>
            </w14:solidFill>
          </w14:textFill>
        </w:rPr>
        <w:t>：</w:t>
      </w:r>
    </w:p>
    <w:p>
      <w:pPr>
        <w:pStyle w:val="5"/>
        <w:overflowPunct w:val="0"/>
        <w:adjustRightInd w:val="0"/>
        <w:snapToGrid w:val="0"/>
        <w:spacing w:beforeLines="0" w:line="600" w:lineRule="exact"/>
        <w:ind w:firstLine="640" w:firstLineChars="200"/>
        <w:rPr>
          <w:rFonts w:hAnsi="Tahoma" w:cs="Tahoma"/>
          <w:color w:val="000000" w:themeColor="text1"/>
          <w:sz w:val="32"/>
          <w:szCs w:val="32"/>
          <w14:textFill>
            <w14:solidFill>
              <w14:schemeClr w14:val="tx1"/>
            </w14:solidFill>
          </w14:textFill>
        </w:rPr>
      </w:pPr>
      <w:r>
        <w:rPr>
          <w:rFonts w:hint="eastAsia" w:hAnsi="仿宋"/>
          <w:color w:val="000000" w:themeColor="text1"/>
          <w:sz w:val="32"/>
          <w:szCs w:val="32"/>
          <w14:textFill>
            <w14:solidFill>
              <w14:schemeClr w14:val="tx1"/>
            </w14:solidFill>
          </w14:textFill>
        </w:rPr>
        <w:t>1、</w:t>
      </w:r>
      <w:r>
        <w:rPr>
          <w:rFonts w:hint="eastAsia" w:hAnsi="Tahoma" w:cs="Tahoma"/>
          <w:color w:val="000000" w:themeColor="text1"/>
          <w:sz w:val="32"/>
          <w:szCs w:val="32"/>
          <w14:textFill>
            <w14:solidFill>
              <w14:schemeClr w14:val="tx1"/>
            </w14:solidFill>
          </w14:textFill>
        </w:rPr>
        <w:t>广元市人民政府办公室（本级）；</w:t>
      </w:r>
    </w:p>
    <w:p>
      <w:pPr>
        <w:pStyle w:val="5"/>
        <w:overflowPunct w:val="0"/>
        <w:adjustRightInd w:val="0"/>
        <w:snapToGrid w:val="0"/>
        <w:spacing w:beforeLines="0" w:line="600" w:lineRule="exact"/>
        <w:ind w:firstLine="640" w:firstLineChars="200"/>
        <w:rPr>
          <w:rFonts w:hAnsi="Tahoma" w:cs="Tahoma"/>
          <w:color w:val="000000" w:themeColor="text1"/>
          <w:sz w:val="32"/>
          <w:szCs w:val="32"/>
          <w14:textFill>
            <w14:solidFill>
              <w14:schemeClr w14:val="tx1"/>
            </w14:solidFill>
          </w14:textFill>
        </w:rPr>
      </w:pPr>
      <w:r>
        <w:rPr>
          <w:rFonts w:hint="eastAsia" w:hAnsi="Tahoma" w:cs="Tahoma"/>
          <w:color w:val="000000" w:themeColor="text1"/>
          <w:sz w:val="32"/>
          <w:szCs w:val="32"/>
          <w14:textFill>
            <w14:solidFill>
              <w14:schemeClr w14:val="tx1"/>
            </w14:solidFill>
          </w14:textFill>
        </w:rPr>
        <w:t>2、广元市民族宗教事务局；</w:t>
      </w:r>
    </w:p>
    <w:p>
      <w:pPr>
        <w:pStyle w:val="5"/>
        <w:overflowPunct w:val="0"/>
        <w:adjustRightInd w:val="0"/>
        <w:snapToGrid w:val="0"/>
        <w:spacing w:beforeLines="0" w:line="600" w:lineRule="exact"/>
        <w:ind w:firstLine="640" w:firstLineChars="200"/>
        <w:rPr>
          <w:rFonts w:hAnsi="Tahoma" w:cs="Tahoma"/>
          <w:color w:val="000000" w:themeColor="text1"/>
          <w:sz w:val="32"/>
          <w:szCs w:val="32"/>
          <w14:textFill>
            <w14:solidFill>
              <w14:schemeClr w14:val="tx1"/>
            </w14:solidFill>
          </w14:textFill>
        </w:rPr>
      </w:pPr>
      <w:r>
        <w:rPr>
          <w:rFonts w:hint="eastAsia" w:hAnsi="Tahoma" w:cs="Tahoma"/>
          <w:color w:val="000000" w:themeColor="text1"/>
          <w:sz w:val="32"/>
          <w:szCs w:val="32"/>
          <w14:textFill>
            <w14:solidFill>
              <w14:schemeClr w14:val="tx1"/>
            </w14:solidFill>
          </w14:textFill>
        </w:rPr>
        <w:t>3、中国共产党广元市精神文明建设办公室；</w:t>
      </w:r>
    </w:p>
    <w:p>
      <w:pPr>
        <w:pStyle w:val="5"/>
        <w:overflowPunct w:val="0"/>
        <w:adjustRightInd w:val="0"/>
        <w:snapToGrid w:val="0"/>
        <w:spacing w:beforeLines="0" w:line="600" w:lineRule="exact"/>
        <w:ind w:firstLine="640" w:firstLineChars="200"/>
        <w:rPr>
          <w:rFonts w:hAnsi="Tahoma" w:cs="Tahoma"/>
          <w:color w:val="000000" w:themeColor="text1"/>
          <w:sz w:val="32"/>
          <w:szCs w:val="32"/>
          <w14:textFill>
            <w14:solidFill>
              <w14:schemeClr w14:val="tx1"/>
            </w14:solidFill>
          </w14:textFill>
        </w:rPr>
      </w:pPr>
      <w:r>
        <w:rPr>
          <w:rFonts w:hint="eastAsia" w:hAnsi="Tahoma" w:cs="Tahoma"/>
          <w:color w:val="000000" w:themeColor="text1"/>
          <w:sz w:val="32"/>
          <w:szCs w:val="32"/>
          <w14:textFill>
            <w14:solidFill>
              <w14:schemeClr w14:val="tx1"/>
            </w14:solidFill>
          </w14:textFill>
        </w:rPr>
        <w:t>4、广元市人民政府法制办公室；</w:t>
      </w:r>
    </w:p>
    <w:p>
      <w:pPr>
        <w:pStyle w:val="5"/>
        <w:overflowPunct w:val="0"/>
        <w:adjustRightInd w:val="0"/>
        <w:snapToGrid w:val="0"/>
        <w:spacing w:beforeLines="0" w:line="600" w:lineRule="exact"/>
        <w:ind w:firstLine="640" w:firstLineChars="200"/>
        <w:rPr>
          <w:rFonts w:hAnsi="Tahoma" w:cs="Tahoma"/>
          <w:color w:val="000000" w:themeColor="text1"/>
          <w:sz w:val="32"/>
          <w:szCs w:val="32"/>
          <w14:textFill>
            <w14:solidFill>
              <w14:schemeClr w14:val="tx1"/>
            </w14:solidFill>
          </w14:textFill>
        </w:rPr>
      </w:pPr>
      <w:r>
        <w:rPr>
          <w:rFonts w:hint="eastAsia" w:hAnsi="Tahoma" w:cs="Tahoma"/>
          <w:color w:val="000000" w:themeColor="text1"/>
          <w:sz w:val="32"/>
          <w:szCs w:val="32"/>
          <w14:textFill>
            <w14:solidFill>
              <w14:schemeClr w14:val="tx1"/>
            </w14:solidFill>
          </w14:textFill>
        </w:rPr>
        <w:t>5、广元市机关事务管理局；</w:t>
      </w:r>
    </w:p>
    <w:p>
      <w:pPr>
        <w:pStyle w:val="5"/>
        <w:overflowPunct w:val="0"/>
        <w:adjustRightInd w:val="0"/>
        <w:snapToGrid w:val="0"/>
        <w:spacing w:beforeLines="0" w:line="600" w:lineRule="exact"/>
        <w:ind w:firstLine="640" w:firstLineChars="200"/>
        <w:rPr>
          <w:rFonts w:hAnsi="Tahoma" w:cs="Tahoma"/>
          <w:color w:val="000000" w:themeColor="text1"/>
          <w:sz w:val="32"/>
          <w:szCs w:val="32"/>
          <w14:textFill>
            <w14:solidFill>
              <w14:schemeClr w14:val="tx1"/>
            </w14:solidFill>
          </w14:textFill>
        </w:rPr>
      </w:pPr>
      <w:r>
        <w:rPr>
          <w:rFonts w:hint="eastAsia" w:hAnsi="Tahoma" w:cs="Tahoma"/>
          <w:color w:val="000000" w:themeColor="text1"/>
          <w:sz w:val="32"/>
          <w:szCs w:val="32"/>
          <w14:textFill>
            <w14:solidFill>
              <w14:schemeClr w14:val="tx1"/>
            </w14:solidFill>
          </w14:textFill>
        </w:rPr>
        <w:t>6、广元市地方志办公室；</w:t>
      </w:r>
    </w:p>
    <w:p>
      <w:pPr>
        <w:pStyle w:val="5"/>
        <w:overflowPunct w:val="0"/>
        <w:adjustRightInd w:val="0"/>
        <w:snapToGrid w:val="0"/>
        <w:spacing w:beforeLines="0" w:line="600" w:lineRule="exact"/>
        <w:ind w:firstLine="640" w:firstLineChars="200"/>
        <w:rPr>
          <w:rFonts w:hAnsi="仿宋"/>
          <w:color w:val="000000" w:themeColor="text1"/>
          <w:sz w:val="32"/>
          <w:szCs w:val="32"/>
          <w14:textFill>
            <w14:solidFill>
              <w14:schemeClr w14:val="tx1"/>
            </w14:solidFill>
          </w14:textFill>
        </w:rPr>
      </w:pPr>
      <w:r>
        <w:rPr>
          <w:rFonts w:hint="eastAsia" w:hAnsi="Tahoma" w:cs="Tahoma"/>
          <w:color w:val="000000" w:themeColor="text1"/>
          <w:sz w:val="32"/>
          <w:szCs w:val="32"/>
          <w14:textFill>
            <w14:solidFill>
              <w14:schemeClr w14:val="tx1"/>
            </w14:solidFill>
          </w14:textFill>
        </w:rPr>
        <w:t>7、广元市人民政府驻成都办事处</w:t>
      </w:r>
      <w:r>
        <w:rPr>
          <w:rFonts w:hint="eastAsia" w:hAnsi="仿宋"/>
          <w:color w:val="000000" w:themeColor="text1"/>
          <w:sz w:val="32"/>
          <w:szCs w:val="32"/>
          <w14:textFill>
            <w14:solidFill>
              <w14:schemeClr w14:val="tx1"/>
            </w14:solidFill>
          </w14:textFill>
        </w:rPr>
        <w:t>；</w:t>
      </w:r>
    </w:p>
    <w:p>
      <w:pPr>
        <w:pStyle w:val="5"/>
        <w:overflowPunct w:val="0"/>
        <w:adjustRightInd w:val="0"/>
        <w:snapToGrid w:val="0"/>
        <w:spacing w:beforeLines="0" w:line="600" w:lineRule="exact"/>
        <w:ind w:firstLine="640" w:firstLineChars="200"/>
        <w:rPr>
          <w:rFonts w:hAnsi="Tahoma" w:cs="Tahoma"/>
          <w:color w:val="000000" w:themeColor="text1"/>
          <w:sz w:val="32"/>
          <w:szCs w:val="32"/>
          <w14:textFill>
            <w14:solidFill>
              <w14:schemeClr w14:val="tx1"/>
            </w14:solidFill>
          </w14:textFill>
        </w:rPr>
      </w:pPr>
      <w:r>
        <w:rPr>
          <w:rFonts w:hint="eastAsia" w:hAnsi="Tahoma" w:cs="Tahoma"/>
          <w:color w:val="000000" w:themeColor="text1"/>
          <w:sz w:val="32"/>
          <w:szCs w:val="32"/>
          <w14:textFill>
            <w14:solidFill>
              <w14:schemeClr w14:val="tx1"/>
            </w14:solidFill>
          </w14:textFill>
        </w:rPr>
        <w:t>8、中国国际贸易促进委员会广元市委员会；</w:t>
      </w:r>
    </w:p>
    <w:p>
      <w:pPr>
        <w:pStyle w:val="5"/>
        <w:overflowPunct w:val="0"/>
        <w:adjustRightInd w:val="0"/>
        <w:snapToGrid w:val="0"/>
        <w:spacing w:beforeLines="0" w:line="600" w:lineRule="exact"/>
        <w:ind w:firstLine="640" w:firstLineChars="200"/>
        <w:rPr>
          <w:rFonts w:hAnsi="仿宋"/>
          <w:color w:val="000000" w:themeColor="text1"/>
          <w:sz w:val="32"/>
          <w:szCs w:val="32"/>
          <w14:textFill>
            <w14:solidFill>
              <w14:schemeClr w14:val="tx1"/>
            </w14:solidFill>
          </w14:textFill>
        </w:rPr>
      </w:pPr>
      <w:r>
        <w:rPr>
          <w:rFonts w:hint="eastAsia" w:hAnsi="Tahoma" w:cs="Tahoma"/>
          <w:color w:val="000000" w:themeColor="text1"/>
          <w:sz w:val="32"/>
          <w:szCs w:val="32"/>
          <w14:textFill>
            <w14:solidFill>
              <w14:schemeClr w14:val="tx1"/>
            </w14:solidFill>
          </w14:textFill>
        </w:rPr>
        <w:t>9、广元市人民政府应急管理办公室</w:t>
      </w:r>
      <w:r>
        <w:rPr>
          <w:rFonts w:hint="eastAsia" w:hAnsi="仿宋"/>
          <w:color w:val="000000" w:themeColor="text1"/>
          <w:sz w:val="32"/>
          <w:szCs w:val="32"/>
          <w14:textFill>
            <w14:solidFill>
              <w14:schemeClr w14:val="tx1"/>
            </w14:solidFill>
          </w14:textFill>
        </w:rPr>
        <w:t>；</w:t>
      </w:r>
    </w:p>
    <w:p>
      <w:pPr>
        <w:pStyle w:val="5"/>
        <w:overflowPunct w:val="0"/>
        <w:adjustRightInd w:val="0"/>
        <w:snapToGrid w:val="0"/>
        <w:spacing w:beforeLines="0" w:line="600" w:lineRule="exact"/>
        <w:ind w:firstLine="640" w:firstLineChars="200"/>
        <w:rPr>
          <w:rFonts w:hAnsi="仿宋"/>
          <w:color w:val="000000" w:themeColor="text1"/>
          <w:sz w:val="32"/>
          <w:szCs w:val="32"/>
          <w14:textFill>
            <w14:solidFill>
              <w14:schemeClr w14:val="tx1"/>
            </w14:solidFill>
          </w14:textFill>
        </w:rPr>
      </w:pPr>
      <w:r>
        <w:rPr>
          <w:rFonts w:hint="eastAsia" w:hAnsi="仿宋"/>
          <w:color w:val="000000" w:themeColor="text1"/>
          <w:sz w:val="32"/>
          <w:szCs w:val="32"/>
          <w14:textFill>
            <w14:solidFill>
              <w14:schemeClr w14:val="tx1"/>
            </w14:solidFill>
          </w14:textFill>
        </w:rPr>
        <w:t>10、</w:t>
      </w:r>
      <w:r>
        <w:rPr>
          <w:rFonts w:hint="eastAsia" w:hAnsi="Tahoma" w:cs="Tahoma"/>
          <w:color w:val="000000" w:themeColor="text1"/>
          <w:sz w:val="32"/>
          <w:szCs w:val="32"/>
          <w14:textFill>
            <w14:solidFill>
              <w14:schemeClr w14:val="tx1"/>
            </w14:solidFill>
          </w14:textFill>
        </w:rPr>
        <w:t>广元市金融工作局</w:t>
      </w:r>
      <w:r>
        <w:rPr>
          <w:rFonts w:hint="eastAsia" w:hAnsi="仿宋"/>
          <w:color w:val="000000" w:themeColor="text1"/>
          <w:sz w:val="32"/>
          <w:szCs w:val="32"/>
          <w14:textFill>
            <w14:solidFill>
              <w14:schemeClr w14:val="tx1"/>
            </w14:solidFill>
          </w14:textFill>
        </w:rPr>
        <w:t>；</w:t>
      </w:r>
    </w:p>
    <w:p>
      <w:pPr>
        <w:pStyle w:val="5"/>
        <w:overflowPunct w:val="0"/>
        <w:adjustRightInd w:val="0"/>
        <w:snapToGrid w:val="0"/>
        <w:spacing w:beforeLines="0" w:line="600" w:lineRule="exact"/>
        <w:ind w:firstLine="640" w:firstLineChars="200"/>
        <w:rPr>
          <w:rFonts w:hAnsi="Tahoma" w:cs="Tahoma"/>
          <w:color w:val="000000" w:themeColor="text1"/>
          <w:sz w:val="32"/>
          <w:szCs w:val="32"/>
          <w14:textFill>
            <w14:solidFill>
              <w14:schemeClr w14:val="tx1"/>
            </w14:solidFill>
          </w14:textFill>
        </w:rPr>
      </w:pPr>
      <w:r>
        <w:rPr>
          <w:rFonts w:hint="eastAsia" w:hAnsi="Tahoma" w:cs="Tahoma"/>
          <w:color w:val="000000" w:themeColor="text1"/>
          <w:sz w:val="32"/>
          <w:szCs w:val="32"/>
          <w14:textFill>
            <w14:solidFill>
              <w14:schemeClr w14:val="tx1"/>
            </w14:solidFill>
          </w14:textFill>
        </w:rPr>
        <w:t>11、广元市人民政府驻新疆办事处；</w:t>
      </w:r>
    </w:p>
    <w:p>
      <w:pPr>
        <w:pStyle w:val="5"/>
        <w:overflowPunct w:val="0"/>
        <w:adjustRightInd w:val="0"/>
        <w:snapToGrid w:val="0"/>
        <w:spacing w:beforeLines="0" w:line="600" w:lineRule="exact"/>
        <w:ind w:firstLine="640" w:firstLineChars="200"/>
        <w:rPr>
          <w:rFonts w:hAnsi="仿宋"/>
          <w:color w:val="000000" w:themeColor="text1"/>
          <w:sz w:val="32"/>
          <w:szCs w:val="32"/>
          <w14:textFill>
            <w14:solidFill>
              <w14:schemeClr w14:val="tx1"/>
            </w14:solidFill>
          </w14:textFill>
        </w:rPr>
      </w:pPr>
      <w:r>
        <w:rPr>
          <w:rFonts w:hint="eastAsia" w:hAnsi="Tahoma" w:cs="Tahoma"/>
          <w:color w:val="000000" w:themeColor="text1"/>
          <w:sz w:val="32"/>
          <w:szCs w:val="32"/>
          <w14:textFill>
            <w14:solidFill>
              <w14:schemeClr w14:val="tx1"/>
            </w14:solidFill>
          </w14:textFill>
        </w:rPr>
        <w:t>12、广元市人民政府驻北京办事处。</w:t>
      </w:r>
    </w:p>
    <w:p>
      <w:pPr>
        <w:widowControl/>
        <w:overflowPunct w:val="0"/>
        <w:spacing w:line="600" w:lineRule="exact"/>
        <w:jc w:val="center"/>
        <w:rPr>
          <w:rFonts w:ascii="仿宋_GB2312" w:hAnsi="仿宋" w:eastAsia="仿宋_GB2312"/>
          <w:color w:val="000000" w:themeColor="text1"/>
          <w:kern w:val="0"/>
          <w:sz w:val="32"/>
          <w:szCs w:val="32"/>
          <w14:textFill>
            <w14:solidFill>
              <w14:schemeClr w14:val="tx1"/>
            </w14:solidFill>
          </w14:textFill>
        </w:rPr>
      </w:pPr>
      <w:bookmarkStart w:id="31" w:name="_Toc15377204"/>
    </w:p>
    <w:p>
      <w:pPr>
        <w:widowControl/>
        <w:overflowPunct w:val="0"/>
        <w:spacing w:line="600" w:lineRule="exact"/>
        <w:jc w:val="left"/>
        <w:rPr>
          <w:rStyle w:val="26"/>
          <w:rFonts w:ascii="黑体" w:hAnsi="黑体" w:eastAsia="黑体"/>
          <w:color w:val="000000" w:themeColor="text1"/>
          <w:sz w:val="36"/>
          <w:szCs w:val="36"/>
          <w14:textFill>
            <w14:solidFill>
              <w14:schemeClr w14:val="tx1"/>
            </w14:solidFill>
          </w14:textFill>
        </w:rPr>
      </w:pPr>
      <w:bookmarkStart w:id="32" w:name="_Toc20390765"/>
      <w:r>
        <w:rPr>
          <w:rStyle w:val="26"/>
          <w:rFonts w:ascii="黑体" w:hAnsi="黑体" w:eastAsia="黑体"/>
          <w:color w:val="000000" w:themeColor="text1"/>
          <w:sz w:val="36"/>
          <w:szCs w:val="36"/>
          <w14:textFill>
            <w14:solidFill>
              <w14:schemeClr w14:val="tx1"/>
            </w14:solidFill>
          </w14:textFill>
        </w:rPr>
        <w:br w:type="page"/>
      </w:r>
    </w:p>
    <w:p>
      <w:pPr>
        <w:widowControl/>
        <w:overflowPunct w:val="0"/>
        <w:spacing w:line="600" w:lineRule="exact"/>
        <w:jc w:val="center"/>
        <w:rPr>
          <w:rStyle w:val="26"/>
          <w:rFonts w:ascii="黑体" w:hAnsi="黑体" w:eastAsia="黑体"/>
          <w:color w:val="000000" w:themeColor="text1"/>
          <w:sz w:val="36"/>
          <w:szCs w:val="36"/>
          <w14:textFill>
            <w14:solidFill>
              <w14:schemeClr w14:val="tx1"/>
            </w14:solidFill>
          </w14:textFill>
        </w:rPr>
      </w:pPr>
      <w:r>
        <w:rPr>
          <w:rStyle w:val="26"/>
          <w:rFonts w:hint="eastAsia" w:ascii="黑体" w:hAnsi="黑体" w:eastAsia="黑体"/>
          <w:color w:val="000000" w:themeColor="text1"/>
          <w:sz w:val="36"/>
          <w:szCs w:val="36"/>
          <w14:textFill>
            <w14:solidFill>
              <w14:schemeClr w14:val="tx1"/>
            </w14:solidFill>
          </w14:textFill>
        </w:rPr>
        <w:t>第二部分  2018年度部门决算情况</w:t>
      </w:r>
      <w:bookmarkEnd w:id="31"/>
      <w:bookmarkEnd w:id="32"/>
    </w:p>
    <w:p>
      <w:pPr>
        <w:widowControl/>
        <w:overflowPunct w:val="0"/>
        <w:spacing w:line="600" w:lineRule="exact"/>
        <w:jc w:val="center"/>
        <w:rPr>
          <w:rFonts w:ascii="仿宋" w:hAnsi="仿宋" w:eastAsia="仿宋"/>
          <w:color w:val="000000" w:themeColor="text1"/>
          <w:kern w:val="0"/>
          <w:sz w:val="32"/>
          <w:szCs w:val="32"/>
          <w14:textFill>
            <w14:solidFill>
              <w14:schemeClr w14:val="tx1"/>
            </w14:solidFill>
          </w14:textFill>
        </w:rPr>
      </w:pPr>
    </w:p>
    <w:p>
      <w:pPr>
        <w:pStyle w:val="25"/>
        <w:numPr>
          <w:ilvl w:val="0"/>
          <w:numId w:val="1"/>
        </w:numPr>
        <w:overflowPunct w:val="0"/>
        <w:spacing w:line="600" w:lineRule="exact"/>
        <w:ind w:firstLineChars="0"/>
        <w:outlineLvl w:val="1"/>
        <w:rPr>
          <w:rStyle w:val="27"/>
          <w:rFonts w:ascii="黑体" w:hAnsi="黑体" w:eastAsia="黑体"/>
          <w:b w:val="0"/>
          <w:color w:val="000000" w:themeColor="text1"/>
          <w14:textFill>
            <w14:solidFill>
              <w14:schemeClr w14:val="tx1"/>
            </w14:solidFill>
          </w14:textFill>
        </w:rPr>
      </w:pPr>
      <w:bookmarkStart w:id="33" w:name="_Toc15377205"/>
      <w:bookmarkStart w:id="34" w:name="_Toc20390766"/>
      <w:r>
        <w:rPr>
          <w:rFonts w:hint="eastAsia" w:ascii="黑体" w:hAnsi="黑体" w:eastAsia="黑体"/>
          <w:color w:val="000000" w:themeColor="text1"/>
          <w:sz w:val="32"/>
          <w:szCs w:val="32"/>
          <w14:textFill>
            <w14:solidFill>
              <w14:schemeClr w14:val="tx1"/>
            </w14:solidFill>
          </w14:textFill>
        </w:rPr>
        <w:t>收</w:t>
      </w:r>
      <w:r>
        <w:rPr>
          <w:rStyle w:val="27"/>
          <w:rFonts w:hint="eastAsia" w:ascii="黑体" w:hAnsi="黑体" w:eastAsia="黑体"/>
          <w:b w:val="0"/>
          <w:color w:val="000000" w:themeColor="text1"/>
          <w14:textFill>
            <w14:solidFill>
              <w14:schemeClr w14:val="tx1"/>
            </w14:solidFill>
          </w14:textFill>
        </w:rPr>
        <w:t>入支出决算总体情况说明</w:t>
      </w:r>
      <w:bookmarkEnd w:id="33"/>
      <w:bookmarkEnd w:id="34"/>
    </w:p>
    <w:p>
      <w:pPr>
        <w:overflowPunct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2018年度收支总计8087.05万元，与2017年相比减少269.97万元，下降3%，主要变动原因是</w:t>
      </w:r>
      <w:r>
        <w:rPr>
          <w:rFonts w:hint="eastAsia" w:ascii="仿宋_GB2312" w:eastAsia="仿宋_GB2312"/>
          <w:color w:val="000000" w:themeColor="text1"/>
          <w:sz w:val="32"/>
          <w:szCs w:val="32"/>
          <w14:textFill>
            <w14:solidFill>
              <w14:schemeClr w14:val="tx1"/>
            </w14:solidFill>
          </w14:textFill>
        </w:rPr>
        <w:t>2018年压缩各项支出。</w:t>
      </w:r>
      <w:bookmarkStart w:id="35" w:name="_Toc15377206"/>
      <w:bookmarkStart w:id="36" w:name="_Toc20390767"/>
    </w:p>
    <w:p>
      <w:pPr>
        <w:overflowPunct w:val="0"/>
        <w:spacing w:line="600" w:lineRule="exact"/>
        <w:ind w:firstLine="640" w:firstLineChars="200"/>
        <w:rPr>
          <w:rStyle w:val="27"/>
          <w:rFonts w:ascii="黑体" w:hAnsi="黑体" w:eastAsia="黑体"/>
          <w:b w:val="0"/>
          <w:color w:val="000000" w:themeColor="text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二、收</w:t>
      </w:r>
      <w:r>
        <w:rPr>
          <w:rStyle w:val="27"/>
          <w:rFonts w:hint="eastAsia" w:ascii="黑体" w:hAnsi="黑体" w:eastAsia="黑体"/>
          <w:b w:val="0"/>
          <w:color w:val="000000" w:themeColor="text1"/>
          <w14:textFill>
            <w14:solidFill>
              <w14:schemeClr w14:val="tx1"/>
            </w14:solidFill>
          </w14:textFill>
        </w:rPr>
        <w:t>入决算情况说明</w:t>
      </w:r>
      <w:bookmarkEnd w:id="35"/>
      <w:bookmarkEnd w:id="36"/>
    </w:p>
    <w:p>
      <w:pPr>
        <w:overflowPunct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华文中宋" w:eastAsia="仿宋_GB2312"/>
          <w:color w:val="000000" w:themeColor="text1"/>
          <w:sz w:val="32"/>
          <w:szCs w:val="32"/>
          <w14:textFill>
            <w14:solidFill>
              <w14:schemeClr w14:val="tx1"/>
            </w14:solidFill>
          </w14:textFill>
        </w:rPr>
        <w:t>2018年本年收入合计7289.59万元，其中：一般公共预算财政拨款收入7270.19万元，占99 %；其他收入19.4万元，占1 %。</w:t>
      </w:r>
      <w:bookmarkStart w:id="37" w:name="_Toc15377207"/>
    </w:p>
    <w:p>
      <w:pPr>
        <w:overflowPunct w:val="0"/>
        <w:spacing w:line="600" w:lineRule="exact"/>
        <w:ind w:firstLine="640" w:firstLineChars="200"/>
        <w:rPr>
          <w:rStyle w:val="27"/>
          <w:rFonts w:ascii="黑体" w:hAnsi="黑体" w:eastAsia="黑体"/>
          <w:b w:val="0"/>
          <w:color w:val="000000" w:themeColor="text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三、支</w:t>
      </w:r>
      <w:r>
        <w:rPr>
          <w:rStyle w:val="27"/>
          <w:rFonts w:hint="eastAsia" w:ascii="黑体" w:hAnsi="黑体" w:eastAsia="黑体"/>
          <w:b w:val="0"/>
          <w:color w:val="000000" w:themeColor="text1"/>
          <w14:textFill>
            <w14:solidFill>
              <w14:schemeClr w14:val="tx1"/>
            </w14:solidFill>
          </w14:textFill>
        </w:rPr>
        <w:t>出决算情况说明</w:t>
      </w:r>
      <w:bookmarkEnd w:id="37"/>
    </w:p>
    <w:p>
      <w:pPr>
        <w:overflowPunct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hAnsi="华文中宋" w:eastAsia="仿宋_GB2312"/>
          <w:color w:val="000000" w:themeColor="text1"/>
          <w:sz w:val="32"/>
          <w:szCs w:val="32"/>
          <w14:textFill>
            <w14:solidFill>
              <w14:schemeClr w14:val="tx1"/>
            </w14:solidFill>
          </w14:textFill>
        </w:rPr>
        <w:t>201</w:t>
      </w:r>
      <w:r>
        <w:rPr>
          <w:rFonts w:hint="eastAsia" w:ascii="仿宋_GB2312" w:hAnsi="华文中宋" w:eastAsia="仿宋_GB2312"/>
          <w:color w:val="000000" w:themeColor="text1"/>
          <w:sz w:val="32"/>
          <w:szCs w:val="32"/>
          <w14:textFill>
            <w14:solidFill>
              <w14:schemeClr w14:val="tx1"/>
            </w14:solidFill>
          </w14:textFill>
        </w:rPr>
        <w:t>8年本年支出合计7825.35万元，其中：基本支出</w:t>
      </w:r>
      <w:r>
        <w:rPr>
          <w:rFonts w:ascii="仿宋_GB2312" w:hAnsi="华文中宋" w:eastAsia="仿宋_GB2312"/>
          <w:color w:val="000000" w:themeColor="text1"/>
          <w:sz w:val="32"/>
          <w:szCs w:val="32"/>
          <w14:textFill>
            <w14:solidFill>
              <w14:schemeClr w14:val="tx1"/>
            </w14:solidFill>
          </w14:textFill>
        </w:rPr>
        <w:t>4662.83</w:t>
      </w:r>
      <w:r>
        <w:rPr>
          <w:rFonts w:hint="eastAsia" w:ascii="仿宋_GB2312" w:hAnsi="华文中宋" w:eastAsia="仿宋_GB2312"/>
          <w:color w:val="000000" w:themeColor="text1"/>
          <w:sz w:val="32"/>
          <w:szCs w:val="32"/>
          <w14:textFill>
            <w14:solidFill>
              <w14:schemeClr w14:val="tx1"/>
            </w14:solidFill>
          </w14:textFill>
        </w:rPr>
        <w:t>万元，占60</w:t>
      </w:r>
      <w:r>
        <w:rPr>
          <w:rFonts w:ascii="仿宋_GB2312" w:hAnsi="华文中宋" w:eastAsia="仿宋_GB2312"/>
          <w:color w:val="000000" w:themeColor="text1"/>
          <w:sz w:val="32"/>
          <w:szCs w:val="32"/>
          <w14:textFill>
            <w14:solidFill>
              <w14:schemeClr w14:val="tx1"/>
            </w14:solidFill>
          </w14:textFill>
        </w:rPr>
        <w:t>%</w:t>
      </w:r>
      <w:r>
        <w:rPr>
          <w:rFonts w:hint="eastAsia" w:ascii="仿宋_GB2312" w:hAnsi="华文中宋" w:eastAsia="仿宋_GB2312"/>
          <w:color w:val="000000" w:themeColor="text1"/>
          <w:sz w:val="32"/>
          <w:szCs w:val="32"/>
          <w14:textFill>
            <w14:solidFill>
              <w14:schemeClr w14:val="tx1"/>
            </w14:solidFill>
          </w14:textFill>
        </w:rPr>
        <w:t>；项目支出</w:t>
      </w:r>
      <w:r>
        <w:rPr>
          <w:rFonts w:ascii="仿宋_GB2312" w:hAnsi="华文中宋" w:eastAsia="仿宋_GB2312"/>
          <w:color w:val="000000" w:themeColor="text1"/>
          <w:sz w:val="32"/>
          <w:szCs w:val="32"/>
          <w14:textFill>
            <w14:solidFill>
              <w14:schemeClr w14:val="tx1"/>
            </w14:solidFill>
          </w14:textFill>
        </w:rPr>
        <w:t>3162.52</w:t>
      </w:r>
      <w:r>
        <w:rPr>
          <w:rFonts w:hint="eastAsia" w:ascii="仿宋_GB2312" w:hAnsi="华文中宋" w:eastAsia="仿宋_GB2312"/>
          <w:color w:val="000000" w:themeColor="text1"/>
          <w:sz w:val="32"/>
          <w:szCs w:val="32"/>
          <w14:textFill>
            <w14:solidFill>
              <w14:schemeClr w14:val="tx1"/>
            </w14:solidFill>
          </w14:textFill>
        </w:rPr>
        <w:t>万元，占40</w:t>
      </w:r>
      <w:r>
        <w:rPr>
          <w:rFonts w:ascii="仿宋_GB2312" w:hAnsi="华文中宋" w:eastAsia="仿宋_GB2312"/>
          <w:color w:val="000000" w:themeColor="text1"/>
          <w:sz w:val="32"/>
          <w:szCs w:val="32"/>
          <w14:textFill>
            <w14:solidFill>
              <w14:schemeClr w14:val="tx1"/>
            </w14:solidFill>
          </w14:textFill>
        </w:rPr>
        <w:t>%</w:t>
      </w:r>
      <w:r>
        <w:rPr>
          <w:rFonts w:hint="eastAsia" w:ascii="仿宋_GB2312" w:hAnsi="华文中宋" w:eastAsia="仿宋_GB2312"/>
          <w:color w:val="000000" w:themeColor="text1"/>
          <w:sz w:val="32"/>
          <w:szCs w:val="32"/>
          <w14:textFill>
            <w14:solidFill>
              <w14:schemeClr w14:val="tx1"/>
            </w14:solidFill>
          </w14:textFill>
        </w:rPr>
        <w:t>。</w:t>
      </w:r>
    </w:p>
    <w:p>
      <w:pPr>
        <w:overflowPunct w:val="0"/>
        <w:spacing w:line="600" w:lineRule="exact"/>
        <w:ind w:firstLine="640" w:firstLineChars="200"/>
        <w:outlineLvl w:val="1"/>
        <w:rPr>
          <w:rStyle w:val="27"/>
          <w:rFonts w:ascii="黑体" w:hAnsi="黑体" w:eastAsia="黑体"/>
          <w:b w:val="0"/>
          <w:color w:val="000000" w:themeColor="text1"/>
          <w14:textFill>
            <w14:solidFill>
              <w14:schemeClr w14:val="tx1"/>
            </w14:solidFill>
          </w14:textFill>
        </w:rPr>
      </w:pPr>
      <w:bookmarkStart w:id="38" w:name="_Toc20390768"/>
      <w:bookmarkStart w:id="39" w:name="_Toc15377208"/>
      <w:r>
        <w:rPr>
          <w:rFonts w:hint="eastAsia" w:ascii="黑体" w:hAnsi="黑体" w:eastAsia="黑体"/>
          <w:color w:val="000000" w:themeColor="text1"/>
          <w:sz w:val="32"/>
          <w:szCs w:val="32"/>
          <w14:textFill>
            <w14:solidFill>
              <w14:schemeClr w14:val="tx1"/>
            </w14:solidFill>
          </w14:textFill>
        </w:rPr>
        <w:t>四、财</w:t>
      </w:r>
      <w:r>
        <w:rPr>
          <w:rStyle w:val="27"/>
          <w:rFonts w:hint="eastAsia" w:ascii="黑体" w:hAnsi="黑体" w:eastAsia="黑体"/>
          <w:b w:val="0"/>
          <w:color w:val="000000" w:themeColor="text1"/>
          <w14:textFill>
            <w14:solidFill>
              <w14:schemeClr w14:val="tx1"/>
            </w14:solidFill>
          </w14:textFill>
        </w:rPr>
        <w:t>政拨款收入支出决算总体情况说明</w:t>
      </w:r>
      <w:bookmarkEnd w:id="38"/>
      <w:bookmarkEnd w:id="39"/>
    </w:p>
    <w:p>
      <w:pPr>
        <w:overflowPunct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hAnsi="华文中宋" w:eastAsia="仿宋_GB2312"/>
          <w:color w:val="000000" w:themeColor="text1"/>
          <w:sz w:val="32"/>
          <w:szCs w:val="32"/>
          <w14:textFill>
            <w14:solidFill>
              <w14:schemeClr w14:val="tx1"/>
            </w14:solidFill>
          </w14:textFill>
        </w:rPr>
        <w:t>201</w:t>
      </w:r>
      <w:r>
        <w:rPr>
          <w:rFonts w:hint="eastAsia" w:ascii="仿宋_GB2312" w:hAnsi="华文中宋" w:eastAsia="仿宋_GB2312"/>
          <w:color w:val="000000" w:themeColor="text1"/>
          <w:sz w:val="32"/>
          <w:szCs w:val="32"/>
          <w14:textFill>
            <w14:solidFill>
              <w14:schemeClr w14:val="tx1"/>
            </w14:solidFill>
          </w14:textFill>
        </w:rPr>
        <w:t>8年财政拨款收、支总计8020.01万元，与</w:t>
      </w:r>
      <w:r>
        <w:rPr>
          <w:rFonts w:ascii="仿宋_GB2312" w:hAnsi="华文中宋" w:eastAsia="仿宋_GB2312"/>
          <w:color w:val="000000" w:themeColor="text1"/>
          <w:sz w:val="32"/>
          <w:szCs w:val="32"/>
          <w14:textFill>
            <w14:solidFill>
              <w14:schemeClr w14:val="tx1"/>
            </w14:solidFill>
          </w14:textFill>
        </w:rPr>
        <w:t>201</w:t>
      </w:r>
      <w:r>
        <w:rPr>
          <w:rFonts w:hint="eastAsia" w:ascii="仿宋_GB2312" w:hAnsi="华文中宋" w:eastAsia="仿宋_GB2312"/>
          <w:color w:val="000000" w:themeColor="text1"/>
          <w:sz w:val="32"/>
          <w:szCs w:val="32"/>
          <w14:textFill>
            <w14:solidFill>
              <w14:schemeClr w14:val="tx1"/>
            </w14:solidFill>
          </w14:textFill>
        </w:rPr>
        <w:t>7年相比减少519.98万元，下降3%，</w:t>
      </w:r>
      <w:r>
        <w:rPr>
          <w:rFonts w:hint="eastAsia" w:ascii="仿宋_GB2312" w:hAnsi="仿宋" w:eastAsia="仿宋_GB2312"/>
          <w:color w:val="000000" w:themeColor="text1"/>
          <w:sz w:val="32"/>
          <w:szCs w:val="32"/>
          <w14:textFill>
            <w14:solidFill>
              <w14:schemeClr w14:val="tx1"/>
            </w14:solidFill>
          </w14:textFill>
        </w:rPr>
        <w:t>主要变动原因是</w:t>
      </w:r>
      <w:r>
        <w:rPr>
          <w:rFonts w:hint="eastAsia" w:ascii="仿宋_GB2312" w:eastAsia="仿宋_GB2312"/>
          <w:color w:val="000000" w:themeColor="text1"/>
          <w:sz w:val="32"/>
          <w:szCs w:val="32"/>
          <w14:textFill>
            <w14:solidFill>
              <w14:schemeClr w14:val="tx1"/>
            </w14:solidFill>
          </w14:textFill>
        </w:rPr>
        <w:t>2018年压缩各项支出。</w:t>
      </w:r>
      <w:bookmarkStart w:id="40" w:name="_Toc15377209"/>
    </w:p>
    <w:p>
      <w:pPr>
        <w:overflowPunct w:val="0"/>
        <w:spacing w:line="600" w:lineRule="exact"/>
        <w:ind w:firstLine="640" w:firstLineChars="200"/>
        <w:outlineLvl w:val="1"/>
        <w:rPr>
          <w:rStyle w:val="27"/>
          <w:rFonts w:ascii="黑体" w:hAnsi="黑体" w:eastAsia="黑体"/>
          <w:b w:val="0"/>
          <w:color w:val="000000" w:themeColor="text1"/>
          <w14:textFill>
            <w14:solidFill>
              <w14:schemeClr w14:val="tx1"/>
            </w14:solidFill>
          </w14:textFill>
        </w:rPr>
      </w:pPr>
      <w:bookmarkStart w:id="41" w:name="_Toc20390769"/>
      <w:r>
        <w:rPr>
          <w:rFonts w:hint="eastAsia" w:ascii="黑体" w:hAnsi="黑体" w:eastAsia="黑体"/>
          <w:color w:val="000000" w:themeColor="text1"/>
          <w:sz w:val="32"/>
          <w:szCs w:val="32"/>
          <w14:textFill>
            <w14:solidFill>
              <w14:schemeClr w14:val="tx1"/>
            </w14:solidFill>
          </w14:textFill>
        </w:rPr>
        <w:t>五、</w:t>
      </w:r>
      <w:r>
        <w:rPr>
          <w:rFonts w:hint="eastAsia" w:ascii="黑体" w:hAnsi="黑体" w:eastAsia="黑体"/>
          <w:b/>
          <w:color w:val="000000" w:themeColor="text1"/>
          <w:sz w:val="32"/>
          <w:szCs w:val="32"/>
          <w14:textFill>
            <w14:solidFill>
              <w14:schemeClr w14:val="tx1"/>
            </w14:solidFill>
          </w14:textFill>
        </w:rPr>
        <w:t>一</w:t>
      </w:r>
      <w:r>
        <w:rPr>
          <w:rStyle w:val="27"/>
          <w:rFonts w:hint="eastAsia" w:ascii="黑体" w:hAnsi="黑体" w:eastAsia="黑体"/>
          <w:b w:val="0"/>
          <w:color w:val="000000" w:themeColor="text1"/>
          <w14:textFill>
            <w14:solidFill>
              <w14:schemeClr w14:val="tx1"/>
            </w14:solidFill>
          </w14:textFill>
        </w:rPr>
        <w:t>般公共预算财政拨款支出决算情况说明</w:t>
      </w:r>
      <w:bookmarkEnd w:id="40"/>
      <w:bookmarkEnd w:id="41"/>
    </w:p>
    <w:p>
      <w:pPr>
        <w:overflowPunct w:val="0"/>
        <w:spacing w:line="600" w:lineRule="exact"/>
        <w:ind w:firstLine="640" w:firstLineChars="200"/>
        <w:outlineLvl w:val="2"/>
        <w:rPr>
          <w:rFonts w:ascii="楷体_GB2312" w:hAnsi="仿宋" w:eastAsia="楷体_GB2312"/>
          <w:color w:val="000000" w:themeColor="text1"/>
          <w:sz w:val="32"/>
          <w:szCs w:val="32"/>
          <w14:textFill>
            <w14:solidFill>
              <w14:schemeClr w14:val="tx1"/>
            </w14:solidFill>
          </w14:textFill>
        </w:rPr>
      </w:pPr>
      <w:bookmarkStart w:id="42" w:name="_Toc15377210"/>
      <w:r>
        <w:rPr>
          <w:rFonts w:hint="eastAsia" w:ascii="楷体_GB2312" w:hAnsi="仿宋" w:eastAsia="楷体_GB2312"/>
          <w:color w:val="000000" w:themeColor="text1"/>
          <w:sz w:val="32"/>
          <w:szCs w:val="32"/>
          <w14:textFill>
            <w14:solidFill>
              <w14:schemeClr w14:val="tx1"/>
            </w14:solidFill>
          </w14:textFill>
        </w:rPr>
        <w:t>（一）一般公共预算财政拨款支出决算总体情况</w:t>
      </w:r>
      <w:bookmarkEnd w:id="42"/>
    </w:p>
    <w:p>
      <w:pPr>
        <w:overflowPunct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hAnsi="华文中宋" w:eastAsia="仿宋_GB2312"/>
          <w:color w:val="000000" w:themeColor="text1"/>
          <w:sz w:val="32"/>
          <w:szCs w:val="32"/>
          <w14:textFill>
            <w14:solidFill>
              <w14:schemeClr w14:val="tx1"/>
            </w14:solidFill>
          </w14:textFill>
        </w:rPr>
        <w:t>201</w:t>
      </w:r>
      <w:r>
        <w:rPr>
          <w:rFonts w:hint="eastAsia" w:ascii="仿宋_GB2312" w:hAnsi="华文中宋" w:eastAsia="仿宋_GB2312"/>
          <w:color w:val="000000" w:themeColor="text1"/>
          <w:sz w:val="32"/>
          <w:szCs w:val="32"/>
          <w14:textFill>
            <w14:solidFill>
              <w14:schemeClr w14:val="tx1"/>
            </w14:solidFill>
          </w14:textFill>
        </w:rPr>
        <w:t>8年一般公共预算财政拨款支出</w:t>
      </w:r>
      <w:r>
        <w:rPr>
          <w:rFonts w:ascii="仿宋_GB2312" w:hAnsi="华文中宋" w:eastAsia="仿宋_GB2312"/>
          <w:color w:val="000000" w:themeColor="text1"/>
          <w:sz w:val="32"/>
          <w:szCs w:val="32"/>
          <w14:textFill>
            <w14:solidFill>
              <w14:schemeClr w14:val="tx1"/>
            </w14:solidFill>
          </w14:textFill>
        </w:rPr>
        <w:t>7809.83</w:t>
      </w:r>
      <w:r>
        <w:rPr>
          <w:rFonts w:hint="eastAsia" w:ascii="仿宋_GB2312" w:hAnsi="华文中宋" w:eastAsia="仿宋_GB2312"/>
          <w:color w:val="000000" w:themeColor="text1"/>
          <w:sz w:val="32"/>
          <w:szCs w:val="32"/>
          <w14:textFill>
            <w14:solidFill>
              <w14:schemeClr w14:val="tx1"/>
            </w14:solidFill>
          </w14:textFill>
        </w:rPr>
        <w:t>万元，占本年支出合计的99</w:t>
      </w:r>
      <w:r>
        <w:rPr>
          <w:rFonts w:ascii="仿宋_GB2312" w:hAnsi="华文中宋" w:eastAsia="仿宋_GB2312"/>
          <w:color w:val="000000" w:themeColor="text1"/>
          <w:sz w:val="32"/>
          <w:szCs w:val="32"/>
          <w14:textFill>
            <w14:solidFill>
              <w14:schemeClr w14:val="tx1"/>
            </w14:solidFill>
          </w14:textFill>
        </w:rPr>
        <w:t>%</w:t>
      </w:r>
      <w:r>
        <w:rPr>
          <w:rFonts w:hint="eastAsia" w:ascii="仿宋_GB2312" w:hAnsi="华文中宋" w:eastAsia="仿宋_GB2312"/>
          <w:color w:val="000000" w:themeColor="text1"/>
          <w:sz w:val="32"/>
          <w:szCs w:val="32"/>
          <w14:textFill>
            <w14:solidFill>
              <w14:schemeClr w14:val="tx1"/>
            </w14:solidFill>
          </w14:textFill>
        </w:rPr>
        <w:t>。与</w:t>
      </w:r>
      <w:r>
        <w:rPr>
          <w:rFonts w:ascii="仿宋_GB2312" w:hAnsi="华文中宋" w:eastAsia="仿宋_GB2312"/>
          <w:color w:val="000000" w:themeColor="text1"/>
          <w:sz w:val="32"/>
          <w:szCs w:val="32"/>
          <w14:textFill>
            <w14:solidFill>
              <w14:schemeClr w14:val="tx1"/>
            </w14:solidFill>
          </w14:textFill>
        </w:rPr>
        <w:t>201</w:t>
      </w:r>
      <w:r>
        <w:rPr>
          <w:rFonts w:hint="eastAsia" w:ascii="仿宋_GB2312" w:hAnsi="华文中宋" w:eastAsia="仿宋_GB2312"/>
          <w:color w:val="000000" w:themeColor="text1"/>
          <w:sz w:val="32"/>
          <w:szCs w:val="32"/>
          <w14:textFill>
            <w14:solidFill>
              <w14:schemeClr w14:val="tx1"/>
            </w14:solidFill>
          </w14:textFill>
        </w:rPr>
        <w:t>7年相比，一般公共预算财政拨款增加207.14万元，增长3</w:t>
      </w:r>
      <w:r>
        <w:rPr>
          <w:rFonts w:ascii="仿宋_GB2312" w:hAnsi="华文中宋" w:eastAsia="仿宋_GB2312"/>
          <w:color w:val="000000" w:themeColor="text1"/>
          <w:sz w:val="32"/>
          <w:szCs w:val="32"/>
          <w14:textFill>
            <w14:solidFill>
              <w14:schemeClr w14:val="tx1"/>
            </w14:solidFill>
          </w14:textFill>
        </w:rPr>
        <w:t>%</w:t>
      </w:r>
      <w:r>
        <w:rPr>
          <w:rFonts w:hint="eastAsia" w:ascii="仿宋_GB2312" w:hAnsi="华文中宋" w:eastAsia="仿宋_GB2312"/>
          <w:color w:val="000000" w:themeColor="text1"/>
          <w:sz w:val="32"/>
          <w:szCs w:val="32"/>
          <w14:textFill>
            <w14:solidFill>
              <w14:schemeClr w14:val="tx1"/>
            </w14:solidFill>
          </w14:textFill>
        </w:rPr>
        <w:t>。主要变动原因是增加了应急指挥中心平台改造升级及</w:t>
      </w:r>
      <w:r>
        <w:rPr>
          <w:rStyle w:val="16"/>
          <w:rFonts w:hint="eastAsia" w:ascii="仿宋_GB2312" w:hAnsi="仿宋" w:eastAsia="仿宋_GB2312"/>
          <w:b w:val="0"/>
          <w:bCs/>
          <w:color w:val="000000" w:themeColor="text1"/>
          <w:sz w:val="32"/>
          <w:szCs w:val="32"/>
          <w14:textFill>
            <w14:solidFill>
              <w14:schemeClr w14:val="tx1"/>
            </w14:solidFill>
          </w14:textFill>
        </w:rPr>
        <w:t>道德模范巡回演出活动项目等经费。</w:t>
      </w:r>
    </w:p>
    <w:p>
      <w:pPr>
        <w:overflowPunct w:val="0"/>
        <w:spacing w:line="600" w:lineRule="exact"/>
        <w:ind w:firstLine="640" w:firstLineChars="200"/>
        <w:outlineLvl w:val="2"/>
        <w:rPr>
          <w:rFonts w:ascii="楷体_GB2312" w:hAnsi="仿宋" w:eastAsia="楷体_GB2312"/>
          <w:color w:val="000000" w:themeColor="text1"/>
          <w:sz w:val="32"/>
          <w:szCs w:val="32"/>
          <w14:textFill>
            <w14:solidFill>
              <w14:schemeClr w14:val="tx1"/>
            </w14:solidFill>
          </w14:textFill>
        </w:rPr>
      </w:pPr>
      <w:bookmarkStart w:id="43" w:name="_Toc15377211"/>
      <w:r>
        <w:rPr>
          <w:rFonts w:hint="eastAsia" w:ascii="楷体_GB2312" w:hAnsi="仿宋" w:eastAsia="楷体_GB2312"/>
          <w:color w:val="000000" w:themeColor="text1"/>
          <w:sz w:val="32"/>
          <w:szCs w:val="32"/>
          <w14:textFill>
            <w14:solidFill>
              <w14:schemeClr w14:val="tx1"/>
            </w14:solidFill>
          </w14:textFill>
        </w:rPr>
        <w:t>（二）一般公共预算财政拨款支出决算结构情况</w:t>
      </w:r>
      <w:bookmarkEnd w:id="43"/>
    </w:p>
    <w:p>
      <w:pPr>
        <w:overflowPunct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hAnsi="华文中宋" w:eastAsia="仿宋_GB2312"/>
          <w:color w:val="000000" w:themeColor="text1"/>
          <w:sz w:val="32"/>
          <w:szCs w:val="32"/>
          <w14:textFill>
            <w14:solidFill>
              <w14:schemeClr w14:val="tx1"/>
            </w14:solidFill>
          </w14:textFill>
        </w:rPr>
        <w:t>201</w:t>
      </w:r>
      <w:r>
        <w:rPr>
          <w:rFonts w:hint="eastAsia" w:ascii="仿宋_GB2312" w:hAnsi="华文中宋" w:eastAsia="仿宋_GB2312"/>
          <w:color w:val="000000" w:themeColor="text1"/>
          <w:sz w:val="32"/>
          <w:szCs w:val="32"/>
          <w14:textFill>
            <w14:solidFill>
              <w14:schemeClr w14:val="tx1"/>
            </w14:solidFill>
          </w14:textFill>
        </w:rPr>
        <w:t>8年一般公共预算财政拨款支出</w:t>
      </w:r>
      <w:r>
        <w:rPr>
          <w:rFonts w:ascii="仿宋_GB2312" w:hAnsi="华文中宋" w:eastAsia="仿宋_GB2312"/>
          <w:color w:val="000000" w:themeColor="text1"/>
          <w:sz w:val="32"/>
          <w:szCs w:val="32"/>
          <w14:textFill>
            <w14:solidFill>
              <w14:schemeClr w14:val="tx1"/>
            </w14:solidFill>
          </w14:textFill>
        </w:rPr>
        <w:t>7809.83</w:t>
      </w:r>
      <w:r>
        <w:rPr>
          <w:rFonts w:hint="eastAsia" w:ascii="仿宋_GB2312" w:hAnsi="华文中宋" w:eastAsia="仿宋_GB2312"/>
          <w:color w:val="000000" w:themeColor="text1"/>
          <w:sz w:val="32"/>
          <w:szCs w:val="32"/>
          <w14:textFill>
            <w14:solidFill>
              <w14:schemeClr w14:val="tx1"/>
            </w14:solidFill>
          </w14:textFill>
        </w:rPr>
        <w:t>万元，主要用于以下方面</w:t>
      </w:r>
      <w:r>
        <w:rPr>
          <w:rFonts w:ascii="仿宋_GB2312" w:hAnsi="华文中宋" w:eastAsia="仿宋_GB2312"/>
          <w:color w:val="000000" w:themeColor="text1"/>
          <w:sz w:val="32"/>
          <w:szCs w:val="32"/>
          <w14:textFill>
            <w14:solidFill>
              <w14:schemeClr w14:val="tx1"/>
            </w14:solidFill>
          </w14:textFill>
        </w:rPr>
        <w:t>:</w:t>
      </w:r>
      <w:r>
        <w:rPr>
          <w:rFonts w:hint="eastAsia" w:ascii="仿宋_GB2312" w:hAnsi="华文中宋" w:eastAsia="仿宋_GB2312"/>
          <w:color w:val="000000" w:themeColor="text1"/>
          <w:sz w:val="32"/>
          <w:szCs w:val="32"/>
          <w14:textFill>
            <w14:solidFill>
              <w14:schemeClr w14:val="tx1"/>
            </w14:solidFill>
          </w14:textFill>
        </w:rPr>
        <w:t>一般公共服务支出</w:t>
      </w:r>
      <w:r>
        <w:rPr>
          <w:rFonts w:ascii="仿宋_GB2312" w:hAnsi="华文中宋" w:eastAsia="仿宋_GB2312"/>
          <w:color w:val="000000" w:themeColor="text1"/>
          <w:sz w:val="32"/>
          <w:szCs w:val="32"/>
          <w14:textFill>
            <w14:solidFill>
              <w14:schemeClr w14:val="tx1"/>
            </w14:solidFill>
          </w14:textFill>
        </w:rPr>
        <w:t>6995.89</w:t>
      </w:r>
      <w:r>
        <w:rPr>
          <w:rFonts w:hint="eastAsia" w:ascii="仿宋_GB2312" w:hAnsi="华文中宋" w:eastAsia="仿宋_GB2312"/>
          <w:color w:val="000000" w:themeColor="text1"/>
          <w:sz w:val="32"/>
          <w:szCs w:val="32"/>
          <w14:textFill>
            <w14:solidFill>
              <w14:schemeClr w14:val="tx1"/>
            </w14:solidFill>
          </w14:textFill>
        </w:rPr>
        <w:t>万元，占89.7</w:t>
      </w:r>
      <w:r>
        <w:rPr>
          <w:rFonts w:ascii="仿宋_GB2312" w:hAnsi="华文中宋" w:eastAsia="仿宋_GB2312"/>
          <w:color w:val="000000" w:themeColor="text1"/>
          <w:sz w:val="32"/>
          <w:szCs w:val="32"/>
          <w14:textFill>
            <w14:solidFill>
              <w14:schemeClr w14:val="tx1"/>
            </w14:solidFill>
          </w14:textFill>
        </w:rPr>
        <w:t>%</w:t>
      </w:r>
      <w:r>
        <w:rPr>
          <w:rFonts w:hint="eastAsia" w:ascii="仿宋_GB2312" w:hAnsi="华文中宋" w:eastAsia="仿宋_GB2312"/>
          <w:color w:val="000000" w:themeColor="text1"/>
          <w:sz w:val="32"/>
          <w:szCs w:val="32"/>
          <w14:textFill>
            <w14:solidFill>
              <w14:schemeClr w14:val="tx1"/>
            </w14:solidFill>
          </w14:textFill>
        </w:rPr>
        <w:t>；科学技术支出4万元，占0.1</w:t>
      </w:r>
      <w:r>
        <w:rPr>
          <w:rFonts w:ascii="仿宋_GB2312" w:hAnsi="华文中宋" w:eastAsia="仿宋_GB2312"/>
          <w:color w:val="000000" w:themeColor="text1"/>
          <w:sz w:val="32"/>
          <w:szCs w:val="32"/>
          <w14:textFill>
            <w14:solidFill>
              <w14:schemeClr w14:val="tx1"/>
            </w14:solidFill>
          </w14:textFill>
        </w:rPr>
        <w:t>%</w:t>
      </w:r>
      <w:r>
        <w:rPr>
          <w:rFonts w:hint="eastAsia" w:ascii="仿宋_GB2312" w:hAnsi="华文中宋" w:eastAsia="仿宋_GB2312"/>
          <w:color w:val="000000" w:themeColor="text1"/>
          <w:sz w:val="32"/>
          <w:szCs w:val="32"/>
          <w14:textFill>
            <w14:solidFill>
              <w14:schemeClr w14:val="tx1"/>
            </w14:solidFill>
          </w14:textFill>
        </w:rPr>
        <w:t>；文化体育与传媒支出</w:t>
      </w:r>
      <w:r>
        <w:rPr>
          <w:rFonts w:ascii="仿宋_GB2312" w:hAnsi="华文中宋" w:eastAsia="仿宋_GB2312"/>
          <w:color w:val="000000" w:themeColor="text1"/>
          <w:sz w:val="32"/>
          <w:szCs w:val="32"/>
          <w14:textFill>
            <w14:solidFill>
              <w14:schemeClr w14:val="tx1"/>
            </w14:solidFill>
          </w14:textFill>
        </w:rPr>
        <w:t>13.89</w:t>
      </w:r>
      <w:r>
        <w:rPr>
          <w:rFonts w:hint="eastAsia" w:ascii="仿宋_GB2312" w:hAnsi="华文中宋" w:eastAsia="仿宋_GB2312"/>
          <w:color w:val="000000" w:themeColor="text1"/>
          <w:sz w:val="32"/>
          <w:szCs w:val="32"/>
          <w14:textFill>
            <w14:solidFill>
              <w14:schemeClr w14:val="tx1"/>
            </w14:solidFill>
          </w14:textFill>
        </w:rPr>
        <w:t>万元，占0.2</w:t>
      </w:r>
      <w:r>
        <w:rPr>
          <w:rFonts w:ascii="仿宋_GB2312" w:hAnsi="华文中宋" w:eastAsia="仿宋_GB2312"/>
          <w:color w:val="000000" w:themeColor="text1"/>
          <w:sz w:val="32"/>
          <w:szCs w:val="32"/>
          <w14:textFill>
            <w14:solidFill>
              <w14:schemeClr w14:val="tx1"/>
            </w14:solidFill>
          </w14:textFill>
        </w:rPr>
        <w:t>%</w:t>
      </w:r>
      <w:r>
        <w:rPr>
          <w:rFonts w:hint="eastAsia" w:ascii="仿宋_GB2312" w:hAnsi="华文中宋" w:eastAsia="仿宋_GB2312"/>
          <w:color w:val="000000" w:themeColor="text1"/>
          <w:sz w:val="32"/>
          <w:szCs w:val="32"/>
          <w14:textFill>
            <w14:solidFill>
              <w14:schemeClr w14:val="tx1"/>
            </w14:solidFill>
          </w14:textFill>
        </w:rPr>
        <w:t>；社会保障和就业支出</w:t>
      </w:r>
      <w:r>
        <w:rPr>
          <w:rFonts w:ascii="仿宋_GB2312" w:hAnsi="华文中宋" w:eastAsia="仿宋_GB2312"/>
          <w:color w:val="000000" w:themeColor="text1"/>
          <w:sz w:val="32"/>
          <w:szCs w:val="32"/>
          <w14:textFill>
            <w14:solidFill>
              <w14:schemeClr w14:val="tx1"/>
            </w14:solidFill>
          </w14:textFill>
        </w:rPr>
        <w:t>379.8</w:t>
      </w:r>
      <w:r>
        <w:rPr>
          <w:rFonts w:hint="eastAsia" w:ascii="仿宋_GB2312" w:hAnsi="华文中宋" w:eastAsia="仿宋_GB2312"/>
          <w:color w:val="000000" w:themeColor="text1"/>
          <w:sz w:val="32"/>
          <w:szCs w:val="32"/>
          <w14:textFill>
            <w14:solidFill>
              <w14:schemeClr w14:val="tx1"/>
            </w14:solidFill>
          </w14:textFill>
        </w:rPr>
        <w:t>0万元，占4</w:t>
      </w:r>
      <w:r>
        <w:rPr>
          <w:rFonts w:ascii="仿宋_GB2312" w:hAnsi="华文中宋" w:eastAsia="仿宋_GB2312"/>
          <w:color w:val="000000" w:themeColor="text1"/>
          <w:sz w:val="32"/>
          <w:szCs w:val="32"/>
          <w14:textFill>
            <w14:solidFill>
              <w14:schemeClr w14:val="tx1"/>
            </w14:solidFill>
          </w14:textFill>
        </w:rPr>
        <w:t>%</w:t>
      </w:r>
      <w:r>
        <w:rPr>
          <w:rFonts w:hint="eastAsia" w:ascii="仿宋_GB2312" w:hAnsi="华文中宋" w:eastAsia="仿宋_GB2312"/>
          <w:color w:val="000000" w:themeColor="text1"/>
          <w:sz w:val="32"/>
          <w:szCs w:val="32"/>
          <w14:textFill>
            <w14:solidFill>
              <w14:schemeClr w14:val="tx1"/>
            </w14:solidFill>
          </w14:textFill>
        </w:rPr>
        <w:t>；医疗卫生支出</w:t>
      </w:r>
      <w:r>
        <w:rPr>
          <w:rFonts w:ascii="仿宋_GB2312" w:hAnsi="华文中宋" w:eastAsia="仿宋_GB2312"/>
          <w:color w:val="000000" w:themeColor="text1"/>
          <w:sz w:val="32"/>
          <w:szCs w:val="32"/>
          <w14:textFill>
            <w14:solidFill>
              <w14:schemeClr w14:val="tx1"/>
            </w14:solidFill>
          </w14:textFill>
        </w:rPr>
        <w:t>129.1</w:t>
      </w:r>
      <w:r>
        <w:rPr>
          <w:rFonts w:hint="eastAsia" w:ascii="仿宋_GB2312" w:hAnsi="华文中宋" w:eastAsia="仿宋_GB2312"/>
          <w:color w:val="000000" w:themeColor="text1"/>
          <w:sz w:val="32"/>
          <w:szCs w:val="32"/>
          <w14:textFill>
            <w14:solidFill>
              <w14:schemeClr w14:val="tx1"/>
            </w14:solidFill>
          </w14:textFill>
        </w:rPr>
        <w:t>2万元，占3</w:t>
      </w:r>
      <w:r>
        <w:rPr>
          <w:rFonts w:ascii="仿宋_GB2312" w:hAnsi="华文中宋" w:eastAsia="仿宋_GB2312"/>
          <w:color w:val="000000" w:themeColor="text1"/>
          <w:sz w:val="32"/>
          <w:szCs w:val="32"/>
          <w14:textFill>
            <w14:solidFill>
              <w14:schemeClr w14:val="tx1"/>
            </w14:solidFill>
          </w14:textFill>
        </w:rPr>
        <w:t>%</w:t>
      </w:r>
      <w:r>
        <w:rPr>
          <w:rFonts w:hint="eastAsia" w:ascii="仿宋_GB2312" w:hAnsi="华文中宋" w:eastAsia="仿宋_GB2312"/>
          <w:color w:val="000000" w:themeColor="text1"/>
          <w:sz w:val="32"/>
          <w:szCs w:val="32"/>
          <w14:textFill>
            <w14:solidFill>
              <w14:schemeClr w14:val="tx1"/>
            </w14:solidFill>
          </w14:textFill>
        </w:rPr>
        <w:t>；住房保障支出</w:t>
      </w:r>
      <w:r>
        <w:rPr>
          <w:rFonts w:ascii="仿宋_GB2312" w:hAnsi="华文中宋" w:eastAsia="仿宋_GB2312"/>
          <w:color w:val="000000" w:themeColor="text1"/>
          <w:sz w:val="32"/>
          <w:szCs w:val="32"/>
          <w14:textFill>
            <w14:solidFill>
              <w14:schemeClr w14:val="tx1"/>
            </w14:solidFill>
          </w14:textFill>
        </w:rPr>
        <w:t>287.13</w:t>
      </w:r>
      <w:r>
        <w:rPr>
          <w:rFonts w:hint="eastAsia" w:ascii="仿宋_GB2312" w:hAnsi="华文中宋" w:eastAsia="仿宋_GB2312"/>
          <w:color w:val="000000" w:themeColor="text1"/>
          <w:sz w:val="32"/>
          <w:szCs w:val="32"/>
          <w14:textFill>
            <w14:solidFill>
              <w14:schemeClr w14:val="tx1"/>
            </w14:solidFill>
          </w14:textFill>
        </w:rPr>
        <w:t>万元，占3</w:t>
      </w:r>
      <w:r>
        <w:rPr>
          <w:rFonts w:ascii="仿宋_GB2312" w:hAnsi="华文中宋" w:eastAsia="仿宋_GB2312"/>
          <w:color w:val="000000" w:themeColor="text1"/>
          <w:sz w:val="32"/>
          <w:szCs w:val="32"/>
          <w14:textFill>
            <w14:solidFill>
              <w14:schemeClr w14:val="tx1"/>
            </w14:solidFill>
          </w14:textFill>
        </w:rPr>
        <w:t>%</w:t>
      </w:r>
      <w:r>
        <w:rPr>
          <w:rFonts w:hint="eastAsia" w:ascii="仿宋_GB2312" w:hAnsi="华文中宋" w:eastAsia="仿宋_GB2312"/>
          <w:color w:val="000000" w:themeColor="text1"/>
          <w:sz w:val="32"/>
          <w:szCs w:val="32"/>
          <w14:textFill>
            <w14:solidFill>
              <w14:schemeClr w14:val="tx1"/>
            </w14:solidFill>
          </w14:textFill>
        </w:rPr>
        <w:t>。</w:t>
      </w:r>
    </w:p>
    <w:p>
      <w:pPr>
        <w:overflowPunct w:val="0"/>
        <w:spacing w:line="600" w:lineRule="exact"/>
        <w:ind w:firstLine="640" w:firstLineChars="200"/>
        <w:outlineLvl w:val="2"/>
        <w:rPr>
          <w:rFonts w:ascii="楷体_GB2312" w:hAnsi="仿宋" w:eastAsia="楷体_GB2312"/>
          <w:color w:val="000000" w:themeColor="text1"/>
          <w:sz w:val="32"/>
          <w:szCs w:val="32"/>
          <w14:textFill>
            <w14:solidFill>
              <w14:schemeClr w14:val="tx1"/>
            </w14:solidFill>
          </w14:textFill>
        </w:rPr>
      </w:pPr>
      <w:bookmarkStart w:id="44" w:name="_Toc15377212"/>
      <w:r>
        <w:rPr>
          <w:rFonts w:hint="eastAsia" w:ascii="楷体_GB2312" w:hAnsi="仿宋" w:eastAsia="楷体_GB2312"/>
          <w:color w:val="000000" w:themeColor="text1"/>
          <w:sz w:val="32"/>
          <w:szCs w:val="32"/>
          <w14:textFill>
            <w14:solidFill>
              <w14:schemeClr w14:val="tx1"/>
            </w14:solidFill>
          </w14:textFill>
        </w:rPr>
        <w:t>（三）一般公共预算财政拨款支出决算具体情况</w:t>
      </w:r>
      <w:bookmarkEnd w:id="44"/>
    </w:p>
    <w:p>
      <w:pPr>
        <w:overflowPunct w:val="0"/>
        <w:spacing w:line="600" w:lineRule="exact"/>
        <w:ind w:firstLine="640" w:firstLineChars="200"/>
        <w:outlineLvl w:val="2"/>
        <w:rPr>
          <w:rFonts w:ascii="仿宋_GB2312" w:hAnsi="仿宋" w:eastAsia="仿宋_GB2312"/>
          <w:color w:val="000000" w:themeColor="text1"/>
          <w:sz w:val="32"/>
          <w:szCs w:val="32"/>
          <w14:textFill>
            <w14:solidFill>
              <w14:schemeClr w14:val="tx1"/>
            </w14:solidFill>
          </w14:textFill>
        </w:rPr>
      </w:pPr>
      <w:bookmarkStart w:id="45" w:name="_Toc15377444"/>
      <w:bookmarkStart w:id="46" w:name="_Toc15377213"/>
      <w:bookmarkStart w:id="47" w:name="_Toc15378460"/>
      <w:r>
        <w:rPr>
          <w:rFonts w:hint="eastAsia" w:ascii="仿宋_GB2312" w:hAnsi="仿宋" w:eastAsia="仿宋_GB2312"/>
          <w:color w:val="000000" w:themeColor="text1"/>
          <w:sz w:val="32"/>
          <w:szCs w:val="32"/>
          <w14:textFill>
            <w14:solidFill>
              <w14:schemeClr w14:val="tx1"/>
            </w14:solidFill>
          </w14:textFill>
        </w:rPr>
        <w:t>2018年一般公共预算支出决算数为7809.83万元，</w:t>
      </w:r>
      <w:r>
        <w:rPr>
          <w:rStyle w:val="16"/>
          <w:rFonts w:hint="eastAsia" w:ascii="仿宋_GB2312" w:hAnsi="仿宋" w:eastAsia="仿宋_GB2312"/>
          <w:b w:val="0"/>
          <w:bCs/>
          <w:color w:val="000000" w:themeColor="text1"/>
          <w:sz w:val="32"/>
          <w:szCs w:val="32"/>
          <w14:textFill>
            <w14:solidFill>
              <w14:schemeClr w14:val="tx1"/>
            </w14:solidFill>
          </w14:textFill>
        </w:rPr>
        <w:t>完成预算97%。其中：</w:t>
      </w:r>
      <w:bookmarkEnd w:id="45"/>
      <w:bookmarkEnd w:id="46"/>
      <w:bookmarkEnd w:id="47"/>
    </w:p>
    <w:p>
      <w:pPr>
        <w:overflowPunct w:val="0"/>
        <w:spacing w:line="600" w:lineRule="exact"/>
        <w:ind w:firstLine="640" w:firstLineChars="200"/>
        <w:rPr>
          <w:rStyle w:val="16"/>
          <w:rFonts w:ascii="仿宋" w:hAnsi="仿宋" w:eastAsia="仿宋"/>
          <w:color w:val="000000"/>
          <w:sz w:val="32"/>
          <w:szCs w:val="32"/>
        </w:rPr>
      </w:pPr>
      <w:r>
        <w:rPr>
          <w:rStyle w:val="16"/>
          <w:rFonts w:hint="eastAsia" w:ascii="仿宋_GB2312" w:hAnsi="仿宋" w:eastAsia="仿宋_GB2312"/>
          <w:b w:val="0"/>
          <w:bCs/>
          <w:color w:val="000000" w:themeColor="text1"/>
          <w:sz w:val="32"/>
          <w:szCs w:val="32"/>
          <w14:textFill>
            <w14:solidFill>
              <w14:schemeClr w14:val="tx1"/>
            </w14:solidFill>
          </w14:textFill>
        </w:rPr>
        <w:t>1、一般公共服务支出政府办公厅（室）及相关机构事务行政运行3651.08万元，完成预算98%。决算数小于预算数的主要原因是个别单位没支付完2018年12月份的部分费用。</w:t>
      </w:r>
    </w:p>
    <w:p>
      <w:pPr>
        <w:overflowPunct w:val="0"/>
        <w:spacing w:line="600" w:lineRule="exact"/>
        <w:ind w:firstLine="640" w:firstLineChars="200"/>
        <w:rPr>
          <w:rStyle w:val="16"/>
          <w:rFonts w:ascii="仿宋" w:hAnsi="仿宋" w:eastAsia="仿宋"/>
          <w:color w:val="000000"/>
          <w:sz w:val="32"/>
          <w:szCs w:val="32"/>
        </w:rPr>
      </w:pPr>
      <w:r>
        <w:rPr>
          <w:rStyle w:val="16"/>
          <w:rFonts w:hint="eastAsia" w:ascii="仿宋_GB2312" w:hAnsi="仿宋" w:eastAsia="仿宋_GB2312"/>
          <w:b w:val="0"/>
          <w:bCs/>
          <w:color w:val="000000" w:themeColor="text1"/>
          <w:sz w:val="32"/>
          <w:szCs w:val="32"/>
          <w14:textFill>
            <w14:solidFill>
              <w14:schemeClr w14:val="tx1"/>
            </w14:solidFill>
          </w14:textFill>
        </w:rPr>
        <w:t>2、一般公共服务支出政府办公厅（室）及相关机构事务一般行政管理事务3034.22万元，完成预算96%。决算数小于预算数的主要原因是个别单位的项目尚未竣工决算，工程款还未支付。</w:t>
      </w:r>
    </w:p>
    <w:p>
      <w:pPr>
        <w:overflowPunct w:val="0"/>
        <w:spacing w:line="600" w:lineRule="exact"/>
        <w:ind w:firstLine="640" w:firstLineChars="200"/>
        <w:rPr>
          <w:rStyle w:val="16"/>
          <w:rFonts w:ascii="仿宋_GB2312" w:hAnsi="仿宋" w:eastAsia="仿宋_GB2312"/>
          <w:b w:val="0"/>
          <w:bCs/>
          <w:color w:val="000000" w:themeColor="text1"/>
          <w:sz w:val="32"/>
          <w:szCs w:val="32"/>
          <w14:textFill>
            <w14:solidFill>
              <w14:schemeClr w14:val="tx1"/>
            </w14:solidFill>
          </w14:textFill>
        </w:rPr>
      </w:pPr>
      <w:r>
        <w:rPr>
          <w:rStyle w:val="16"/>
          <w:rFonts w:hint="eastAsia" w:ascii="仿宋_GB2312" w:hAnsi="仿宋" w:eastAsia="仿宋_GB2312"/>
          <w:b w:val="0"/>
          <w:bCs/>
          <w:color w:val="000000" w:themeColor="text1"/>
          <w:sz w:val="32"/>
          <w:szCs w:val="32"/>
          <w14:textFill>
            <w14:solidFill>
              <w14:schemeClr w14:val="tx1"/>
            </w14:solidFill>
          </w14:textFill>
        </w:rPr>
        <w:t>3、一般公共服务支出民族事务行政运行208.18万元，完成预算99%，与2017年基本持平。</w:t>
      </w:r>
    </w:p>
    <w:p>
      <w:pPr>
        <w:overflowPunct w:val="0"/>
        <w:spacing w:line="600" w:lineRule="exact"/>
        <w:ind w:firstLine="640" w:firstLineChars="200"/>
        <w:rPr>
          <w:rStyle w:val="16"/>
          <w:rFonts w:ascii="仿宋_GB2312" w:hAnsi="仿宋" w:eastAsia="仿宋_GB2312"/>
          <w:b w:val="0"/>
          <w:bCs/>
          <w:color w:val="000000" w:themeColor="text1"/>
          <w:sz w:val="32"/>
          <w:szCs w:val="32"/>
          <w14:textFill>
            <w14:solidFill>
              <w14:schemeClr w14:val="tx1"/>
            </w14:solidFill>
          </w14:textFill>
        </w:rPr>
      </w:pPr>
      <w:r>
        <w:rPr>
          <w:rStyle w:val="16"/>
          <w:rFonts w:hint="eastAsia" w:ascii="仿宋_GB2312" w:hAnsi="仿宋" w:eastAsia="仿宋_GB2312"/>
          <w:b w:val="0"/>
          <w:bCs/>
          <w:color w:val="000000" w:themeColor="text1"/>
          <w:sz w:val="32"/>
          <w:szCs w:val="32"/>
          <w14:textFill>
            <w14:solidFill>
              <w14:schemeClr w14:val="tx1"/>
            </w14:solidFill>
          </w14:textFill>
        </w:rPr>
        <w:t>4、一般公共服务支出民族事务民族工作专项23.16万元，完成预算100%。</w:t>
      </w:r>
    </w:p>
    <w:p>
      <w:pPr>
        <w:overflowPunct w:val="0"/>
        <w:spacing w:line="600" w:lineRule="exact"/>
        <w:ind w:firstLine="640" w:firstLineChars="200"/>
        <w:rPr>
          <w:rFonts w:ascii="仿宋_GB2312" w:eastAsia="仿宋_GB2312"/>
          <w:color w:val="000000" w:themeColor="text1"/>
          <w14:textFill>
            <w14:solidFill>
              <w14:schemeClr w14:val="tx1"/>
            </w14:solidFill>
          </w14:textFill>
        </w:rPr>
      </w:pPr>
      <w:r>
        <w:rPr>
          <w:rStyle w:val="16"/>
          <w:rFonts w:hint="eastAsia" w:ascii="仿宋_GB2312" w:hAnsi="仿宋" w:eastAsia="仿宋_GB2312"/>
          <w:b w:val="0"/>
          <w:bCs/>
          <w:color w:val="000000" w:themeColor="text1"/>
          <w:sz w:val="32"/>
          <w:szCs w:val="32"/>
          <w14:textFill>
            <w14:solidFill>
              <w14:schemeClr w14:val="tx1"/>
            </w14:solidFill>
          </w14:textFill>
        </w:rPr>
        <w:t>5、一般公共服务支出宗教事务宗教工作专项79.25万元，完成预算100%。</w:t>
      </w:r>
    </w:p>
    <w:p>
      <w:pPr>
        <w:overflowPunct w:val="0"/>
        <w:spacing w:line="600" w:lineRule="exact"/>
        <w:ind w:firstLine="640" w:firstLineChars="200"/>
        <w:rPr>
          <w:rFonts w:ascii="仿宋_GB2312" w:hAnsi="仿宋" w:eastAsia="仿宋_GB2312"/>
          <w:bCs/>
          <w:color w:val="000000" w:themeColor="text1"/>
          <w:sz w:val="32"/>
          <w:szCs w:val="32"/>
          <w14:textFill>
            <w14:solidFill>
              <w14:schemeClr w14:val="tx1"/>
            </w14:solidFill>
          </w14:textFill>
        </w:rPr>
      </w:pPr>
      <w:r>
        <w:rPr>
          <w:rStyle w:val="16"/>
          <w:rFonts w:hint="eastAsia" w:ascii="仿宋_GB2312" w:hAnsi="仿宋" w:eastAsia="仿宋_GB2312"/>
          <w:b w:val="0"/>
          <w:bCs/>
          <w:color w:val="000000" w:themeColor="text1"/>
          <w:sz w:val="32"/>
          <w:szCs w:val="32"/>
          <w14:textFill>
            <w14:solidFill>
              <w14:schemeClr w14:val="tx1"/>
            </w14:solidFill>
          </w14:textFill>
        </w:rPr>
        <w:t>6、</w:t>
      </w:r>
      <w:r>
        <w:rPr>
          <w:rFonts w:hint="eastAsia" w:ascii="仿宋_GB2312" w:hAnsi="仿宋" w:eastAsia="仿宋_GB2312"/>
          <w:bCs/>
          <w:color w:val="000000" w:themeColor="text1"/>
          <w:sz w:val="32"/>
          <w:szCs w:val="32"/>
          <w14:textFill>
            <w14:solidFill>
              <w14:schemeClr w14:val="tx1"/>
            </w14:solidFill>
          </w14:textFill>
        </w:rPr>
        <w:t>科学技术支出技术研究与开发机构运行4万元，</w:t>
      </w:r>
      <w:r>
        <w:rPr>
          <w:rStyle w:val="16"/>
          <w:rFonts w:hint="eastAsia" w:ascii="仿宋_GB2312" w:hAnsi="仿宋" w:eastAsia="仿宋_GB2312"/>
          <w:b w:val="0"/>
          <w:bCs/>
          <w:color w:val="000000" w:themeColor="text1"/>
          <w:sz w:val="32"/>
          <w:szCs w:val="32"/>
          <w14:textFill>
            <w14:solidFill>
              <w14:schemeClr w14:val="tx1"/>
            </w14:solidFill>
          </w14:textFill>
        </w:rPr>
        <w:t>完成预算100%。</w:t>
      </w:r>
    </w:p>
    <w:p>
      <w:pPr>
        <w:overflowPunct w:val="0"/>
        <w:spacing w:line="600" w:lineRule="exact"/>
        <w:ind w:firstLine="640" w:firstLineChars="200"/>
        <w:rPr>
          <w:rStyle w:val="16"/>
          <w:rFonts w:ascii="仿宋_GB2312" w:hAnsi="仿宋" w:eastAsia="仿宋_GB2312"/>
          <w:b w:val="0"/>
          <w:bCs/>
          <w:color w:val="000000" w:themeColor="text1"/>
          <w:sz w:val="32"/>
          <w:szCs w:val="32"/>
          <w14:textFill>
            <w14:solidFill>
              <w14:schemeClr w14:val="tx1"/>
            </w14:solidFill>
          </w14:textFill>
        </w:rPr>
      </w:pPr>
      <w:r>
        <w:rPr>
          <w:rStyle w:val="16"/>
          <w:rFonts w:hint="eastAsia" w:ascii="仿宋_GB2312" w:hAnsi="仿宋" w:eastAsia="仿宋_GB2312"/>
          <w:b w:val="0"/>
          <w:bCs/>
          <w:color w:val="000000" w:themeColor="text1"/>
          <w:sz w:val="32"/>
          <w:szCs w:val="32"/>
          <w14:textFill>
            <w14:solidFill>
              <w14:schemeClr w14:val="tx1"/>
            </w14:solidFill>
          </w14:textFill>
        </w:rPr>
        <w:t>7、文化体育与传媒支出其他文化体育与传媒支出宣传文化发展专项支出10.89万元，完成预算38%。决算数小于预算数的主要原因是精神文明办道德模范巡回演出活动项目推迟到2019年进行。</w:t>
      </w:r>
    </w:p>
    <w:p>
      <w:pPr>
        <w:overflowPunct w:val="0"/>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Style w:val="16"/>
          <w:rFonts w:hint="eastAsia" w:ascii="仿宋_GB2312" w:hAnsi="仿宋" w:eastAsia="仿宋_GB2312"/>
          <w:b w:val="0"/>
          <w:bCs/>
          <w:color w:val="000000" w:themeColor="text1"/>
          <w:sz w:val="32"/>
          <w:szCs w:val="32"/>
          <w14:textFill>
            <w14:solidFill>
              <w14:schemeClr w14:val="tx1"/>
            </w14:solidFill>
          </w14:textFill>
        </w:rPr>
        <w:t>8、文化体育与传媒支出其他文化体育与传媒支出其他文化体育与传媒支出3万元，完成预算100%。</w:t>
      </w:r>
    </w:p>
    <w:p>
      <w:pPr>
        <w:overflowPunct w:val="0"/>
        <w:spacing w:line="600" w:lineRule="exact"/>
        <w:ind w:firstLine="640" w:firstLineChars="200"/>
        <w:rPr>
          <w:rStyle w:val="16"/>
          <w:rFonts w:ascii="仿宋_GB2312" w:hAnsi="仿宋" w:eastAsia="仿宋_GB2312"/>
          <w:b w:val="0"/>
          <w:bCs/>
          <w:color w:val="000000" w:themeColor="text1"/>
          <w:sz w:val="32"/>
          <w:szCs w:val="32"/>
          <w14:textFill>
            <w14:solidFill>
              <w14:schemeClr w14:val="tx1"/>
            </w14:solidFill>
          </w14:textFill>
        </w:rPr>
      </w:pPr>
      <w:r>
        <w:rPr>
          <w:rStyle w:val="16"/>
          <w:rFonts w:hint="eastAsia" w:ascii="仿宋_GB2312" w:hAnsi="仿宋" w:eastAsia="仿宋_GB2312"/>
          <w:b w:val="0"/>
          <w:bCs/>
          <w:color w:val="000000" w:themeColor="text1"/>
          <w:sz w:val="32"/>
          <w:szCs w:val="32"/>
          <w14:textFill>
            <w14:solidFill>
              <w14:schemeClr w14:val="tx1"/>
            </w14:solidFill>
          </w14:textFill>
        </w:rPr>
        <w:t>9、社会保障和就业支出行政事业单位离退休未归口管理的行政单位离退休12.64万元，完成预算100%。</w:t>
      </w:r>
    </w:p>
    <w:p>
      <w:pPr>
        <w:overflowPunct w:val="0"/>
        <w:spacing w:line="600" w:lineRule="exact"/>
        <w:ind w:firstLine="640" w:firstLineChars="200"/>
        <w:rPr>
          <w:rStyle w:val="16"/>
          <w:rFonts w:ascii="仿宋_GB2312" w:hAnsi="仿宋" w:eastAsia="仿宋_GB2312"/>
          <w:b w:val="0"/>
          <w:bCs/>
          <w:color w:val="000000" w:themeColor="text1"/>
          <w:sz w:val="32"/>
          <w:szCs w:val="32"/>
          <w14:textFill>
            <w14:solidFill>
              <w14:schemeClr w14:val="tx1"/>
            </w14:solidFill>
          </w14:textFill>
        </w:rPr>
      </w:pPr>
      <w:r>
        <w:rPr>
          <w:rStyle w:val="16"/>
          <w:rFonts w:hint="eastAsia" w:ascii="仿宋_GB2312" w:hAnsi="仿宋" w:eastAsia="仿宋_GB2312"/>
          <w:b w:val="0"/>
          <w:bCs/>
          <w:color w:val="000000" w:themeColor="text1"/>
          <w:sz w:val="32"/>
          <w:szCs w:val="32"/>
          <w14:textFill>
            <w14:solidFill>
              <w14:schemeClr w14:val="tx1"/>
            </w14:solidFill>
          </w14:textFill>
        </w:rPr>
        <w:t>10、社会保障和就业支出行政事业单位离退休机关事业单位基本养老保险缴费支出296.15万元，完成预算100%。</w:t>
      </w:r>
    </w:p>
    <w:p>
      <w:pPr>
        <w:overflowPunct w:val="0"/>
        <w:spacing w:line="600" w:lineRule="exact"/>
        <w:ind w:firstLine="640" w:firstLineChars="200"/>
        <w:rPr>
          <w:rStyle w:val="16"/>
          <w:rFonts w:ascii="仿宋_GB2312" w:hAnsi="仿宋" w:eastAsia="仿宋_GB2312"/>
          <w:b w:val="0"/>
          <w:bCs/>
          <w:color w:val="000000" w:themeColor="text1"/>
          <w:sz w:val="32"/>
          <w:szCs w:val="32"/>
          <w14:textFill>
            <w14:solidFill>
              <w14:schemeClr w14:val="tx1"/>
            </w14:solidFill>
          </w14:textFill>
        </w:rPr>
      </w:pPr>
      <w:r>
        <w:rPr>
          <w:rStyle w:val="16"/>
          <w:rFonts w:hint="eastAsia" w:ascii="仿宋_GB2312" w:hAnsi="仿宋" w:eastAsia="仿宋_GB2312"/>
          <w:b w:val="0"/>
          <w:bCs/>
          <w:color w:val="000000" w:themeColor="text1"/>
          <w:sz w:val="32"/>
          <w:szCs w:val="32"/>
          <w14:textFill>
            <w14:solidFill>
              <w14:schemeClr w14:val="tx1"/>
            </w14:solidFill>
          </w14:textFill>
        </w:rPr>
        <w:t>11、社会保障和就业支出行政事业单位离退休机关事业单位职业年金缴费支出26.46万元，完成预算100%。</w:t>
      </w:r>
    </w:p>
    <w:p>
      <w:pPr>
        <w:overflowPunct w:val="0"/>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Style w:val="16"/>
          <w:rFonts w:hint="eastAsia" w:ascii="仿宋_GB2312" w:hAnsi="仿宋" w:eastAsia="仿宋_GB2312"/>
          <w:b w:val="0"/>
          <w:bCs/>
          <w:color w:val="000000" w:themeColor="text1"/>
          <w:sz w:val="32"/>
          <w:szCs w:val="32"/>
          <w14:textFill>
            <w14:solidFill>
              <w14:schemeClr w14:val="tx1"/>
            </w14:solidFill>
          </w14:textFill>
        </w:rPr>
        <w:t>12、社会保障和就业支出抚恤死亡抚恤44.55万元，完成预算100%。</w:t>
      </w:r>
    </w:p>
    <w:p>
      <w:pPr>
        <w:overflowPunct w:val="0"/>
        <w:spacing w:line="600" w:lineRule="exact"/>
        <w:ind w:firstLine="640" w:firstLineChars="200"/>
        <w:rPr>
          <w:rStyle w:val="16"/>
          <w:rFonts w:ascii="仿宋_GB2312" w:hAnsi="仿宋" w:eastAsia="仿宋_GB2312"/>
          <w:b w:val="0"/>
          <w:bCs/>
          <w:color w:val="000000" w:themeColor="text1"/>
          <w:sz w:val="32"/>
          <w:szCs w:val="32"/>
          <w14:textFill>
            <w14:solidFill>
              <w14:schemeClr w14:val="tx1"/>
            </w14:solidFill>
          </w14:textFill>
        </w:rPr>
      </w:pPr>
      <w:r>
        <w:rPr>
          <w:rStyle w:val="16"/>
          <w:rFonts w:hint="eastAsia" w:ascii="仿宋_GB2312" w:hAnsi="仿宋" w:eastAsia="仿宋_GB2312"/>
          <w:b w:val="0"/>
          <w:bCs/>
          <w:color w:val="000000" w:themeColor="text1"/>
          <w:sz w:val="32"/>
          <w:szCs w:val="32"/>
          <w14:textFill>
            <w14:solidFill>
              <w14:schemeClr w14:val="tx1"/>
            </w14:solidFill>
          </w14:textFill>
        </w:rPr>
        <w:t>13、医疗卫生与计划生育支出行政事业单位医疗行政单位医疗118.98万元，完成预算100%。</w:t>
      </w:r>
    </w:p>
    <w:p>
      <w:pPr>
        <w:overflowPunct w:val="0"/>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Style w:val="16"/>
          <w:rFonts w:hint="eastAsia" w:ascii="仿宋_GB2312" w:hAnsi="仿宋" w:eastAsia="仿宋_GB2312"/>
          <w:b w:val="0"/>
          <w:bCs/>
          <w:color w:val="000000" w:themeColor="text1"/>
          <w:sz w:val="32"/>
          <w:szCs w:val="32"/>
          <w14:textFill>
            <w14:solidFill>
              <w14:schemeClr w14:val="tx1"/>
            </w14:solidFill>
          </w14:textFill>
        </w:rPr>
        <w:t>14、医疗卫生与计划生育支出行政事业单位医疗事业单位医疗10.14万元，完成预算100%。</w:t>
      </w:r>
    </w:p>
    <w:p>
      <w:pPr>
        <w:overflowPunct w:val="0"/>
        <w:spacing w:line="600" w:lineRule="exact"/>
        <w:ind w:firstLine="640" w:firstLineChars="200"/>
        <w:rPr>
          <w:rStyle w:val="16"/>
          <w:rFonts w:ascii="仿宋_GB2312" w:hAnsi="仿宋" w:eastAsia="仿宋_GB2312"/>
          <w:b w:val="0"/>
          <w:bCs/>
          <w:color w:val="000000" w:themeColor="text1"/>
          <w:sz w:val="32"/>
          <w:szCs w:val="32"/>
          <w14:textFill>
            <w14:solidFill>
              <w14:schemeClr w14:val="tx1"/>
            </w14:solidFill>
          </w14:textFill>
        </w:rPr>
      </w:pPr>
      <w:r>
        <w:rPr>
          <w:rStyle w:val="16"/>
          <w:rFonts w:hint="eastAsia" w:ascii="仿宋_GB2312" w:hAnsi="仿宋" w:eastAsia="仿宋_GB2312"/>
          <w:b w:val="0"/>
          <w:bCs/>
          <w:color w:val="000000" w:themeColor="text1"/>
          <w:sz w:val="32"/>
          <w:szCs w:val="32"/>
          <w14:textFill>
            <w14:solidFill>
              <w14:schemeClr w14:val="tx1"/>
            </w14:solidFill>
          </w14:textFill>
        </w:rPr>
        <w:t>15、住房保障支出住房改革支出住房公积金271.13万元，完成预算100%。</w:t>
      </w:r>
    </w:p>
    <w:p>
      <w:pPr>
        <w:overflowPunct w:val="0"/>
        <w:spacing w:line="600" w:lineRule="exact"/>
        <w:ind w:firstLine="640" w:firstLineChars="200"/>
        <w:rPr>
          <w:rStyle w:val="16"/>
          <w:rFonts w:ascii="仿宋_GB2312" w:hAnsi="仿宋" w:eastAsia="仿宋_GB2312"/>
          <w:b w:val="0"/>
          <w:bCs/>
          <w:color w:val="000000" w:themeColor="text1"/>
          <w:sz w:val="32"/>
          <w:szCs w:val="32"/>
          <w14:textFill>
            <w14:solidFill>
              <w14:schemeClr w14:val="tx1"/>
            </w14:solidFill>
          </w14:textFill>
        </w:rPr>
      </w:pPr>
      <w:r>
        <w:rPr>
          <w:rStyle w:val="16"/>
          <w:rFonts w:hint="eastAsia" w:ascii="仿宋_GB2312" w:hAnsi="仿宋" w:eastAsia="仿宋_GB2312"/>
          <w:b w:val="0"/>
          <w:bCs/>
          <w:color w:val="000000" w:themeColor="text1"/>
          <w:sz w:val="32"/>
          <w:szCs w:val="32"/>
          <w14:textFill>
            <w14:solidFill>
              <w14:schemeClr w14:val="tx1"/>
            </w14:solidFill>
          </w14:textFill>
        </w:rPr>
        <w:t>16、住房保障支出住房改革支出购房补贴16万元，完成预算100%。</w:t>
      </w:r>
    </w:p>
    <w:p>
      <w:pPr>
        <w:tabs>
          <w:tab w:val="right" w:pos="8306"/>
        </w:tabs>
        <w:overflowPunct w:val="0"/>
        <w:spacing w:line="600" w:lineRule="exact"/>
        <w:ind w:firstLine="640" w:firstLineChars="200"/>
        <w:outlineLvl w:val="1"/>
        <w:rPr>
          <w:rStyle w:val="27"/>
          <w:color w:val="000000" w:themeColor="text1"/>
          <w14:textFill>
            <w14:solidFill>
              <w14:schemeClr w14:val="tx1"/>
            </w14:solidFill>
          </w14:textFill>
        </w:rPr>
      </w:pPr>
      <w:bookmarkStart w:id="48" w:name="_Toc20390770"/>
      <w:bookmarkStart w:id="49" w:name="_Toc15377214"/>
      <w:r>
        <w:rPr>
          <w:rFonts w:hint="eastAsia" w:ascii="黑体" w:eastAsia="黑体"/>
          <w:color w:val="000000" w:themeColor="text1"/>
          <w:sz w:val="32"/>
          <w:szCs w:val="32"/>
          <w14:textFill>
            <w14:solidFill>
              <w14:schemeClr w14:val="tx1"/>
            </w14:solidFill>
          </w14:textFill>
        </w:rPr>
        <w:t>六</w:t>
      </w:r>
      <w:r>
        <w:rPr>
          <w:rFonts w:hint="eastAsia" w:ascii="黑体" w:eastAsia="黑体"/>
          <w:b/>
          <w:color w:val="000000" w:themeColor="text1"/>
          <w:sz w:val="32"/>
          <w:szCs w:val="32"/>
          <w14:textFill>
            <w14:solidFill>
              <w14:schemeClr w14:val="tx1"/>
            </w14:solidFill>
          </w14:textFill>
        </w:rPr>
        <w:t>、</w:t>
      </w:r>
      <w:r>
        <w:rPr>
          <w:rFonts w:hint="eastAsia" w:ascii="黑体" w:hAnsi="黑体" w:eastAsia="黑体"/>
          <w:b/>
          <w:color w:val="000000" w:themeColor="text1"/>
          <w:sz w:val="32"/>
          <w:szCs w:val="32"/>
          <w14:textFill>
            <w14:solidFill>
              <w14:schemeClr w14:val="tx1"/>
            </w14:solidFill>
          </w14:textFill>
        </w:rPr>
        <w:t>一</w:t>
      </w:r>
      <w:r>
        <w:rPr>
          <w:rStyle w:val="27"/>
          <w:rFonts w:hint="eastAsia" w:ascii="黑体" w:hAnsi="黑体" w:eastAsia="黑体"/>
          <w:b w:val="0"/>
          <w:color w:val="000000" w:themeColor="text1"/>
          <w14:textFill>
            <w14:solidFill>
              <w14:schemeClr w14:val="tx1"/>
            </w14:solidFill>
          </w14:textFill>
        </w:rPr>
        <w:t>般公共预算财政拨款基本支出决算情况说明</w:t>
      </w:r>
      <w:bookmarkEnd w:id="48"/>
      <w:bookmarkEnd w:id="49"/>
      <w:r>
        <w:rPr>
          <w:rStyle w:val="27"/>
          <w:rFonts w:ascii="黑体" w:hAnsi="黑体" w:eastAsia="黑体"/>
          <w:b w:val="0"/>
          <w:color w:val="000000" w:themeColor="text1"/>
          <w14:textFill>
            <w14:solidFill>
              <w14:schemeClr w14:val="tx1"/>
            </w14:solidFill>
          </w14:textFill>
        </w:rPr>
        <w:tab/>
      </w:r>
    </w:p>
    <w:p>
      <w:pPr>
        <w:overflowPunct w:val="0"/>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2018年一般公共预算财政拨款基本支出4655.31万元，其中：</w:t>
      </w:r>
    </w:p>
    <w:p>
      <w:pPr>
        <w:overflowPunct w:val="0"/>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人员经费3604.5</w:t>
      </w:r>
      <w:r>
        <w:rPr>
          <w:rFonts w:hint="eastAsia" w:ascii="仿宋_GB2312" w:hAnsi="仿宋" w:eastAsia="仿宋_GB2312"/>
          <w:color w:val="000000" w:themeColor="text1"/>
          <w:sz w:val="32"/>
          <w:szCs w:val="32"/>
          <w:lang w:val="en-US" w:eastAsia="zh-CN"/>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hint="eastAsia" w:ascii="仿宋_GB2312" w:hAnsi="仿宋" w:eastAsia="仿宋_GB2312"/>
          <w:color w:val="000000" w:themeColor="text1"/>
          <w:sz w:val="32"/>
          <w:szCs w:val="32"/>
          <w14:textFill>
            <w14:solidFill>
              <w14:schemeClr w14:val="tx1"/>
            </w14:solidFill>
          </w14:textFill>
        </w:rPr>
        <w:br w:type="textWrapping"/>
      </w:r>
      <w:r>
        <w:rPr>
          <w:rFonts w:hint="eastAsia" w:ascii="仿宋_GB2312" w:hAnsi="仿宋" w:eastAsia="仿宋_GB2312"/>
          <w:color w:val="000000" w:themeColor="text1"/>
          <w:sz w:val="32"/>
          <w:szCs w:val="32"/>
          <w14:textFill>
            <w14:solidFill>
              <w14:schemeClr w14:val="tx1"/>
            </w14:solidFill>
          </w14:textFill>
        </w:rPr>
        <w:t>　　公用经费1050.8</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overflowPunct w:val="0"/>
        <w:spacing w:line="600" w:lineRule="exact"/>
        <w:ind w:firstLine="640" w:firstLineChars="200"/>
        <w:outlineLvl w:val="1"/>
        <w:rPr>
          <w:rStyle w:val="27"/>
          <w:rFonts w:ascii="黑体" w:hAnsi="黑体" w:eastAsia="黑体"/>
          <w:b w:val="0"/>
          <w:color w:val="000000" w:themeColor="text1"/>
          <w14:textFill>
            <w14:solidFill>
              <w14:schemeClr w14:val="tx1"/>
            </w14:solidFill>
          </w14:textFill>
        </w:rPr>
      </w:pPr>
      <w:bookmarkStart w:id="50" w:name="_Toc20390771"/>
      <w:bookmarkStart w:id="51" w:name="_Toc15377215"/>
      <w:r>
        <w:rPr>
          <w:rFonts w:hint="eastAsia" w:ascii="黑体" w:hAnsi="黑体" w:eastAsia="黑体"/>
          <w:color w:val="000000" w:themeColor="text1"/>
          <w:sz w:val="32"/>
          <w:szCs w:val="32"/>
          <w14:textFill>
            <w14:solidFill>
              <w14:schemeClr w14:val="tx1"/>
            </w14:solidFill>
          </w14:textFill>
        </w:rPr>
        <w:t>七、</w:t>
      </w:r>
      <w:r>
        <w:rPr>
          <w:rStyle w:val="27"/>
          <w:rFonts w:hint="eastAsia" w:ascii="黑体" w:hAnsi="黑体" w:eastAsia="黑体"/>
          <w:b w:val="0"/>
          <w:color w:val="000000" w:themeColor="text1"/>
          <w14:textFill>
            <w14:solidFill>
              <w14:schemeClr w14:val="tx1"/>
            </w14:solidFill>
          </w14:textFill>
        </w:rPr>
        <w:t>“三公”经费财政拨款支出决算情况说明</w:t>
      </w:r>
      <w:bookmarkEnd w:id="50"/>
      <w:bookmarkEnd w:id="51"/>
    </w:p>
    <w:p>
      <w:pPr>
        <w:overflowPunct w:val="0"/>
        <w:spacing w:line="600" w:lineRule="exact"/>
        <w:ind w:firstLine="640" w:firstLineChars="200"/>
        <w:outlineLvl w:val="2"/>
        <w:rPr>
          <w:rFonts w:ascii="楷体_GB2312" w:hAnsi="仿宋" w:eastAsia="楷体_GB2312"/>
          <w:sz w:val="32"/>
          <w:szCs w:val="32"/>
        </w:rPr>
      </w:pPr>
      <w:bookmarkStart w:id="52" w:name="_Toc15377216"/>
      <w:r>
        <w:rPr>
          <w:rFonts w:hint="eastAsia" w:ascii="楷体_GB2312" w:hAnsi="仿宋" w:eastAsia="楷体_GB2312"/>
          <w:sz w:val="32"/>
          <w:szCs w:val="32"/>
        </w:rPr>
        <w:t>（一）“三公”经费财政拨款支出决算总体情况说明</w:t>
      </w:r>
      <w:bookmarkEnd w:id="52"/>
    </w:p>
    <w:p>
      <w:pPr>
        <w:overflowPunct w:val="0"/>
        <w:spacing w:line="600" w:lineRule="exact"/>
        <w:ind w:firstLine="640" w:firstLineChars="200"/>
        <w:rPr>
          <w:rFonts w:ascii="仿宋_GB2312" w:hAnsi="仿宋" w:eastAsia="仿宋_GB2312"/>
          <w:color w:val="000000" w:themeColor="text1"/>
          <w:sz w:val="32"/>
          <w:szCs w:val="32"/>
          <w:highlight w:val="yellow"/>
          <w14:textFill>
            <w14:solidFill>
              <w14:schemeClr w14:val="tx1"/>
            </w14:solidFill>
          </w14:textFill>
        </w:rPr>
      </w:pPr>
      <w:r>
        <w:rPr>
          <w:rFonts w:hint="eastAsia" w:ascii="仿宋_GB2312" w:hAnsi="仿宋" w:eastAsia="仿宋_GB2312"/>
          <w:sz w:val="32"/>
          <w:szCs w:val="32"/>
        </w:rPr>
        <w:t>2018年“三公”经费财政拨款支出决算为342.9</w:t>
      </w:r>
      <w:r>
        <w:rPr>
          <w:rFonts w:hint="eastAsia" w:ascii="仿宋_GB2312" w:hAnsi="仿宋" w:eastAsia="仿宋_GB2312"/>
          <w:sz w:val="32"/>
          <w:szCs w:val="32"/>
          <w:lang w:val="en-US" w:eastAsia="zh-CN"/>
        </w:rPr>
        <w:t>1</w:t>
      </w:r>
      <w:r>
        <w:rPr>
          <w:rFonts w:hint="eastAsia" w:ascii="仿宋_GB2312" w:hAnsi="仿宋" w:eastAsia="仿宋_GB2312"/>
          <w:sz w:val="32"/>
          <w:szCs w:val="32"/>
        </w:rPr>
        <w:t>万元，完成预算91%。主要原因是压缩经费，厉行节约。</w:t>
      </w:r>
    </w:p>
    <w:p>
      <w:pPr>
        <w:overflowPunct w:val="0"/>
        <w:spacing w:line="600" w:lineRule="exact"/>
        <w:ind w:firstLine="640" w:firstLineChars="200"/>
        <w:outlineLvl w:val="2"/>
        <w:rPr>
          <w:rFonts w:ascii="楷体_GB2312" w:hAnsi="仿宋" w:eastAsia="楷体_GB2312"/>
          <w:color w:val="000000" w:themeColor="text1"/>
          <w:sz w:val="32"/>
          <w:szCs w:val="32"/>
          <w14:textFill>
            <w14:solidFill>
              <w14:schemeClr w14:val="tx1"/>
            </w14:solidFill>
          </w14:textFill>
        </w:rPr>
      </w:pPr>
      <w:bookmarkStart w:id="53" w:name="_Toc15377217"/>
      <w:r>
        <w:rPr>
          <w:rFonts w:hint="eastAsia" w:ascii="楷体_GB2312" w:hAnsi="仿宋" w:eastAsia="楷体_GB2312"/>
          <w:color w:val="000000" w:themeColor="text1"/>
          <w:sz w:val="32"/>
          <w:szCs w:val="32"/>
          <w14:textFill>
            <w14:solidFill>
              <w14:schemeClr w14:val="tx1"/>
            </w14:solidFill>
          </w14:textFill>
        </w:rPr>
        <w:t>（二）“三公”经费财政拨款支出决算具体情况说明</w:t>
      </w:r>
      <w:bookmarkEnd w:id="53"/>
    </w:p>
    <w:p>
      <w:pPr>
        <w:overflowPunct w:val="0"/>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2018年“三公”经费财政拨款支出决算中，因公出国（境）费支出决算0.87万元，占0.25%；公务用车购置及运行维护费支出决算287.7</w:t>
      </w:r>
      <w:r>
        <w:rPr>
          <w:rFonts w:hint="eastAsia" w:ascii="仿宋_GB2312" w:hAnsi="仿宋" w:eastAsia="仿宋_GB2312"/>
          <w:color w:val="000000" w:themeColor="text1"/>
          <w:sz w:val="32"/>
          <w:szCs w:val="32"/>
          <w:lang w:val="en-US" w:eastAsia="zh-CN"/>
          <w14:textFill>
            <w14:solidFill>
              <w14:schemeClr w14:val="tx1"/>
            </w14:solidFill>
          </w14:textFill>
        </w:rPr>
        <w:t>9</w:t>
      </w:r>
      <w:r>
        <w:rPr>
          <w:rFonts w:hint="eastAsia" w:ascii="仿宋_GB2312" w:hAnsi="仿宋" w:eastAsia="仿宋_GB2312"/>
          <w:color w:val="000000" w:themeColor="text1"/>
          <w:sz w:val="32"/>
          <w:szCs w:val="32"/>
          <w14:textFill>
            <w14:solidFill>
              <w14:schemeClr w14:val="tx1"/>
            </w14:solidFill>
          </w14:textFill>
        </w:rPr>
        <w:t>万元，占84%；公务接待费支出决算54.25万元，占15</w:t>
      </w:r>
      <w:r>
        <w:rPr>
          <w:rFonts w:hint="eastAsia" w:ascii="仿宋_GB2312" w:hAnsi="仿宋" w:eastAsia="仿宋_GB2312"/>
          <w:color w:val="000000" w:themeColor="text1"/>
          <w:sz w:val="32"/>
          <w:szCs w:val="32"/>
          <w:lang w:val="en-US" w:eastAsia="zh-CN"/>
          <w14:textFill>
            <w14:solidFill>
              <w14:schemeClr w14:val="tx1"/>
            </w14:solidFill>
          </w14:textFill>
        </w:rPr>
        <w:t>.75</w:t>
      </w:r>
      <w:r>
        <w:rPr>
          <w:rFonts w:hint="eastAsia" w:ascii="仿宋_GB2312" w:hAnsi="仿宋" w:eastAsia="仿宋_GB2312"/>
          <w:color w:val="000000" w:themeColor="text1"/>
          <w:sz w:val="32"/>
          <w:szCs w:val="32"/>
          <w14:textFill>
            <w14:solidFill>
              <w14:schemeClr w14:val="tx1"/>
            </w14:solidFill>
          </w14:textFill>
        </w:rPr>
        <w:t>%。</w:t>
      </w:r>
    </w:p>
    <w:p>
      <w:pPr>
        <w:overflowPunct w:val="0"/>
        <w:spacing w:line="600" w:lineRule="exact"/>
        <w:ind w:firstLine="643" w:firstLineChars="200"/>
        <w:rPr>
          <w:rFonts w:ascii="仿宋" w:hAnsi="仿宋" w:eastAsia="仿宋"/>
          <w:color w:val="000000" w:themeColor="text1"/>
          <w:sz w:val="32"/>
          <w:szCs w:val="32"/>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t>1.</w:t>
      </w:r>
      <w:r>
        <w:rPr>
          <w:rFonts w:hint="eastAsia" w:ascii="仿宋_GB2312" w:eastAsia="仿宋_GB2312"/>
          <w:b/>
          <w:color w:val="000000" w:themeColor="text1"/>
          <w:sz w:val="32"/>
          <w:szCs w:val="32"/>
          <w14:textFill>
            <w14:solidFill>
              <w14:schemeClr w14:val="tx1"/>
            </w14:solidFill>
          </w14:textFill>
        </w:rPr>
        <w:t>因公出国（境）经费支出</w:t>
      </w:r>
      <w:r>
        <w:rPr>
          <w:rFonts w:hint="eastAsia" w:ascii="仿宋_GB2312" w:eastAsia="仿宋_GB2312"/>
          <w:color w:val="000000" w:themeColor="text1"/>
          <w:sz w:val="32"/>
          <w:szCs w:val="32"/>
          <w14:textFill>
            <w14:solidFill>
              <w14:schemeClr w14:val="tx1"/>
            </w14:solidFill>
          </w14:textFill>
        </w:rPr>
        <w:t>0.87万元，</w:t>
      </w:r>
      <w:r>
        <w:rPr>
          <w:rStyle w:val="16"/>
          <w:rFonts w:hint="eastAsia" w:ascii="仿宋" w:hAnsi="仿宋" w:eastAsia="仿宋"/>
          <w:b w:val="0"/>
          <w:bCs/>
          <w:color w:val="000000" w:themeColor="text1"/>
          <w:sz w:val="32"/>
          <w:szCs w:val="32"/>
          <w14:textFill>
            <w14:solidFill>
              <w14:schemeClr w14:val="tx1"/>
            </w14:solidFill>
          </w14:textFill>
        </w:rPr>
        <w:t>完成预算100</w:t>
      </w:r>
      <w:r>
        <w:rPr>
          <w:rStyle w:val="16"/>
          <w:rFonts w:ascii="仿宋" w:hAnsi="仿宋" w:eastAsia="仿宋"/>
          <w:b w:val="0"/>
          <w:bCs/>
          <w:color w:val="000000" w:themeColor="text1"/>
          <w:sz w:val="32"/>
          <w:szCs w:val="32"/>
          <w14:textFill>
            <w14:solidFill>
              <w14:schemeClr w14:val="tx1"/>
            </w14:solidFill>
          </w14:textFill>
        </w:rPr>
        <w:t>%</w:t>
      </w:r>
      <w:r>
        <w:rPr>
          <w:rStyle w:val="16"/>
          <w:rFonts w:hint="eastAsia" w:ascii="仿宋" w:hAnsi="仿宋" w:eastAsia="仿宋"/>
          <w:b w:val="0"/>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全年安排因公出国（境）团组1次，出国（境）1人。因公出国（境）支出决算比</w:t>
      </w:r>
      <w:r>
        <w:rPr>
          <w:rFonts w:ascii="仿宋_GB2312" w:eastAsia="仿宋_GB2312"/>
          <w:color w:val="000000" w:themeColor="text1"/>
          <w:sz w:val="32"/>
          <w:szCs w:val="32"/>
          <w14:textFill>
            <w14:solidFill>
              <w14:schemeClr w14:val="tx1"/>
            </w14:solidFill>
          </w14:textFill>
        </w:rPr>
        <w:t>201</w:t>
      </w:r>
      <w:r>
        <w:rPr>
          <w:rFonts w:hint="eastAsia" w:ascii="仿宋_GB2312" w:eastAsia="仿宋_GB2312"/>
          <w:color w:val="000000" w:themeColor="text1"/>
          <w:sz w:val="32"/>
          <w:szCs w:val="32"/>
          <w14:textFill>
            <w14:solidFill>
              <w14:schemeClr w14:val="tx1"/>
            </w14:solidFill>
          </w14:textFill>
        </w:rPr>
        <w:t>7年增加0.87万元，增长87</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。主要原因是2017年未发生出国出境支出。</w:t>
      </w:r>
    </w:p>
    <w:p>
      <w:pPr>
        <w:overflowPunct w:val="0"/>
        <w:spacing w:line="600" w:lineRule="exact"/>
        <w:ind w:firstLine="640" w:firstLineChars="200"/>
        <w:rPr>
          <w:rFonts w:ascii="仿宋_GB2312" w:eastAsia="仿宋_GB2312" w:hAnsiTheme="minorEastAsia"/>
          <w:bCs/>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开支内容及成效：原</w:t>
      </w:r>
      <w:r>
        <w:rPr>
          <w:rFonts w:hint="eastAsia" w:ascii="仿宋_GB2312" w:eastAsia="仿宋_GB2312" w:hAnsiTheme="minorEastAsia"/>
          <w:bCs/>
          <w:color w:val="000000" w:themeColor="text1"/>
          <w:sz w:val="32"/>
          <w:szCs w:val="32"/>
          <w14:textFill>
            <w14:solidFill>
              <w14:schemeClr w14:val="tx1"/>
            </w14:solidFill>
          </w14:textFill>
        </w:rPr>
        <w:t>市金融工作局负责人参加英国“现代金融体系创新管理”专题培训班，本单位支出8700元。通过学习了英国金融的各种金融体系的建设为广元市金融未来的发展有了借鉴，为推进全市经济金融高质量发展贡献力量。</w:t>
      </w:r>
    </w:p>
    <w:p>
      <w:pPr>
        <w:overflowPunct w:val="0"/>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t>2.</w:t>
      </w:r>
      <w:r>
        <w:rPr>
          <w:rFonts w:hint="eastAsia" w:ascii="仿宋_GB2312" w:eastAsia="仿宋_GB2312"/>
          <w:b/>
          <w:color w:val="000000" w:themeColor="text1"/>
          <w:sz w:val="32"/>
          <w:szCs w:val="32"/>
          <w14:textFill>
            <w14:solidFill>
              <w14:schemeClr w14:val="tx1"/>
            </w14:solidFill>
          </w14:textFill>
        </w:rPr>
        <w:t>公务用车购置及运行维护费支出</w:t>
      </w:r>
      <w:r>
        <w:rPr>
          <w:rFonts w:hint="eastAsia" w:ascii="仿宋" w:hAnsi="仿宋" w:eastAsia="仿宋"/>
          <w:color w:val="000000" w:themeColor="text1"/>
          <w:sz w:val="32"/>
          <w:szCs w:val="32"/>
          <w14:textFill>
            <w14:solidFill>
              <w14:schemeClr w14:val="tx1"/>
            </w14:solidFill>
          </w14:textFill>
        </w:rPr>
        <w:t>287.78</w:t>
      </w:r>
      <w:r>
        <w:rPr>
          <w:rFonts w:hint="eastAsia" w:ascii="仿宋_GB2312" w:eastAsia="仿宋_GB2312"/>
          <w:color w:val="000000" w:themeColor="text1"/>
          <w:sz w:val="32"/>
          <w:szCs w:val="32"/>
          <w14:textFill>
            <w14:solidFill>
              <w14:schemeClr w14:val="tx1"/>
            </w14:solidFill>
          </w14:textFill>
        </w:rPr>
        <w:t>万元,</w:t>
      </w:r>
      <w:r>
        <w:rPr>
          <w:rStyle w:val="16"/>
          <w:rFonts w:hint="eastAsia" w:ascii="仿宋" w:hAnsi="仿宋" w:eastAsia="仿宋"/>
          <w:b w:val="0"/>
          <w:bCs/>
          <w:color w:val="000000" w:themeColor="text1"/>
          <w:sz w:val="32"/>
          <w:szCs w:val="32"/>
          <w14:textFill>
            <w14:solidFill>
              <w14:schemeClr w14:val="tx1"/>
            </w14:solidFill>
          </w14:textFill>
        </w:rPr>
        <w:t>完成预算99</w:t>
      </w:r>
      <w:r>
        <w:rPr>
          <w:rStyle w:val="16"/>
          <w:rFonts w:ascii="仿宋" w:hAnsi="仿宋" w:eastAsia="仿宋"/>
          <w:b w:val="0"/>
          <w:bCs/>
          <w:color w:val="000000" w:themeColor="text1"/>
          <w:sz w:val="32"/>
          <w:szCs w:val="32"/>
          <w14:textFill>
            <w14:solidFill>
              <w14:schemeClr w14:val="tx1"/>
            </w14:solidFill>
          </w14:textFill>
        </w:rPr>
        <w:t>%</w:t>
      </w:r>
      <w:r>
        <w:rPr>
          <w:rStyle w:val="16"/>
          <w:rFonts w:hint="eastAsia" w:ascii="仿宋" w:hAnsi="仿宋" w:eastAsia="仿宋"/>
          <w:b w:val="0"/>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公务用车购置及运行维护费支出决算比</w:t>
      </w:r>
      <w:r>
        <w:rPr>
          <w:rFonts w:ascii="仿宋_GB2312" w:eastAsia="仿宋_GB2312"/>
          <w:color w:val="000000" w:themeColor="text1"/>
          <w:sz w:val="32"/>
          <w:szCs w:val="32"/>
          <w14:textFill>
            <w14:solidFill>
              <w14:schemeClr w14:val="tx1"/>
            </w14:solidFill>
          </w14:textFill>
        </w:rPr>
        <w:t>201</w:t>
      </w:r>
      <w:r>
        <w:rPr>
          <w:rFonts w:hint="eastAsia" w:ascii="仿宋_GB2312" w:eastAsia="仿宋_GB2312"/>
          <w:color w:val="000000" w:themeColor="text1"/>
          <w:sz w:val="32"/>
          <w:szCs w:val="32"/>
          <w14:textFill>
            <w14:solidFill>
              <w14:schemeClr w14:val="tx1"/>
            </w14:solidFill>
          </w14:textFill>
        </w:rPr>
        <w:t>7年增加49.42万元，增长20</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。主要原因是原市机关事务管理局负责管理市本级统筹保留公务用车2017年41辆，2018年市本级统筹保留公务用车41辆，过渡中心用车44辆，增加费用；公务购车为0万元。</w:t>
      </w:r>
    </w:p>
    <w:p>
      <w:pPr>
        <w:overflowPunct w:val="0"/>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公务用车运行维护费支出</w:t>
      </w:r>
      <w:r>
        <w:rPr>
          <w:rFonts w:hint="eastAsia" w:ascii="仿宋" w:hAnsi="仿宋" w:eastAsia="仿宋"/>
          <w:color w:val="000000" w:themeColor="text1"/>
          <w:sz w:val="32"/>
          <w:szCs w:val="32"/>
          <w14:textFill>
            <w14:solidFill>
              <w14:schemeClr w14:val="tx1"/>
            </w14:solidFill>
          </w14:textFill>
        </w:rPr>
        <w:t>287.78</w:t>
      </w:r>
      <w:r>
        <w:rPr>
          <w:rFonts w:hint="eastAsia" w:ascii="仿宋_GB2312" w:eastAsia="仿宋_GB2312"/>
          <w:b/>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14:textFill>
            <w14:solidFill>
              <w14:schemeClr w14:val="tx1"/>
            </w14:solidFill>
          </w14:textFill>
        </w:rPr>
        <w:t>保留车辆所需的公务用车燃料费、维修费、过路过桥费、保险费等支出。</w:t>
      </w:r>
    </w:p>
    <w:p>
      <w:pPr>
        <w:overflowPunct w:val="0"/>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t>3.</w:t>
      </w:r>
      <w:r>
        <w:rPr>
          <w:rFonts w:hint="eastAsia" w:ascii="仿宋_GB2312" w:eastAsia="仿宋_GB2312"/>
          <w:b/>
          <w:color w:val="000000" w:themeColor="text1"/>
          <w:sz w:val="32"/>
          <w:szCs w:val="32"/>
          <w14:textFill>
            <w14:solidFill>
              <w14:schemeClr w14:val="tx1"/>
            </w14:solidFill>
          </w14:textFill>
        </w:rPr>
        <w:t>公务接待费支出</w:t>
      </w:r>
      <w:r>
        <w:rPr>
          <w:rFonts w:hint="eastAsia" w:ascii="仿宋" w:hAnsi="仿宋" w:eastAsia="仿宋"/>
          <w:color w:val="000000" w:themeColor="text1"/>
          <w:sz w:val="32"/>
          <w:szCs w:val="32"/>
          <w14:textFill>
            <w14:solidFill>
              <w14:schemeClr w14:val="tx1"/>
            </w14:solidFill>
          </w14:textFill>
        </w:rPr>
        <w:t>54.25</w:t>
      </w:r>
      <w:r>
        <w:rPr>
          <w:rFonts w:hint="eastAsia" w:ascii="仿宋_GB2312" w:eastAsia="仿宋_GB2312"/>
          <w:b/>
          <w:color w:val="000000" w:themeColor="text1"/>
          <w:sz w:val="32"/>
          <w:szCs w:val="32"/>
          <w14:textFill>
            <w14:solidFill>
              <w14:schemeClr w14:val="tx1"/>
            </w14:solidFill>
          </w14:textFill>
        </w:rPr>
        <w:t>万元，</w:t>
      </w:r>
      <w:r>
        <w:rPr>
          <w:rStyle w:val="16"/>
          <w:rFonts w:hint="eastAsia" w:ascii="仿宋" w:hAnsi="仿宋" w:eastAsia="仿宋"/>
          <w:b w:val="0"/>
          <w:bCs/>
          <w:color w:val="000000" w:themeColor="text1"/>
          <w:sz w:val="32"/>
          <w:szCs w:val="32"/>
          <w14:textFill>
            <w14:solidFill>
              <w14:schemeClr w14:val="tx1"/>
            </w14:solidFill>
          </w14:textFill>
        </w:rPr>
        <w:t>完成预算62</w:t>
      </w:r>
      <w:r>
        <w:rPr>
          <w:rStyle w:val="16"/>
          <w:rFonts w:ascii="仿宋" w:hAnsi="仿宋" w:eastAsia="仿宋"/>
          <w:b w:val="0"/>
          <w:bCs/>
          <w:color w:val="000000" w:themeColor="text1"/>
          <w:sz w:val="32"/>
          <w:szCs w:val="32"/>
          <w14:textFill>
            <w14:solidFill>
              <w14:schemeClr w14:val="tx1"/>
            </w14:solidFill>
          </w14:textFill>
        </w:rPr>
        <w:t>%</w:t>
      </w:r>
      <w:r>
        <w:rPr>
          <w:rStyle w:val="16"/>
          <w:rFonts w:hint="eastAsia" w:ascii="仿宋" w:hAnsi="仿宋" w:eastAsia="仿宋"/>
          <w:b w:val="0"/>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公务接待费支出决算比</w:t>
      </w:r>
      <w:r>
        <w:rPr>
          <w:rFonts w:ascii="仿宋_GB2312" w:eastAsia="仿宋_GB2312"/>
          <w:color w:val="000000" w:themeColor="text1"/>
          <w:sz w:val="32"/>
          <w:szCs w:val="32"/>
          <w14:textFill>
            <w14:solidFill>
              <w14:schemeClr w14:val="tx1"/>
            </w14:solidFill>
          </w14:textFill>
        </w:rPr>
        <w:t>201</w:t>
      </w:r>
      <w:r>
        <w:rPr>
          <w:rFonts w:hint="eastAsia" w:ascii="仿宋_GB2312" w:eastAsia="仿宋_GB2312"/>
          <w:color w:val="000000" w:themeColor="text1"/>
          <w:sz w:val="32"/>
          <w:szCs w:val="32"/>
          <w14:textFill>
            <w14:solidFill>
              <w14:schemeClr w14:val="tx1"/>
            </w14:solidFill>
          </w14:textFill>
        </w:rPr>
        <w:t>7年增加4.01万元，增长7</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。主要原因是产业发展、外出招商频次增加。</w:t>
      </w:r>
    </w:p>
    <w:p>
      <w:pPr>
        <w:overflowPunct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主要用于执行公务、开展业务活动开支的交通费、住宿费、用餐费等。国内公务接待349批次，3868人次（不包括陪同人员），共计支出54.25万元，具体内容包括接待万达集团、新华联集团、德市人民政府等，全部为国内公务接待支出</w:t>
      </w:r>
      <w:bookmarkStart w:id="54" w:name="_Toc15377218"/>
      <w:r>
        <w:rPr>
          <w:rFonts w:hint="eastAsia" w:ascii="仿宋_GB2312" w:eastAsia="仿宋_GB2312"/>
          <w:color w:val="000000" w:themeColor="text1"/>
          <w:sz w:val="32"/>
          <w:szCs w:val="32"/>
          <w14:textFill>
            <w14:solidFill>
              <w14:schemeClr w14:val="tx1"/>
            </w14:solidFill>
          </w14:textFill>
        </w:rPr>
        <w:t>。</w:t>
      </w:r>
    </w:p>
    <w:p>
      <w:pPr>
        <w:overflowPunct w:val="0"/>
        <w:spacing w:line="600" w:lineRule="exact"/>
        <w:ind w:firstLine="640" w:firstLineChars="200"/>
        <w:outlineLvl w:val="1"/>
        <w:rPr>
          <w:rStyle w:val="27"/>
          <w:rFonts w:ascii="黑体" w:hAnsi="黑体" w:eastAsia="黑体"/>
          <w:color w:val="000000" w:themeColor="text1"/>
          <w14:textFill>
            <w14:solidFill>
              <w14:schemeClr w14:val="tx1"/>
            </w14:solidFill>
          </w14:textFill>
        </w:rPr>
      </w:pPr>
      <w:bookmarkStart w:id="55" w:name="_Toc20390772"/>
      <w:r>
        <w:rPr>
          <w:rFonts w:hint="eastAsia" w:ascii="黑体" w:eastAsia="黑体"/>
          <w:color w:val="000000" w:themeColor="text1"/>
          <w:sz w:val="32"/>
          <w:szCs w:val="32"/>
          <w14:textFill>
            <w14:solidFill>
              <w14:schemeClr w14:val="tx1"/>
            </w14:solidFill>
          </w14:textFill>
        </w:rPr>
        <w:t>八、</w:t>
      </w:r>
      <w:r>
        <w:rPr>
          <w:rStyle w:val="27"/>
          <w:rFonts w:hint="eastAsia" w:ascii="黑体" w:hAnsi="黑体" w:eastAsia="黑体"/>
          <w:b w:val="0"/>
          <w:color w:val="000000" w:themeColor="text1"/>
          <w14:textFill>
            <w14:solidFill>
              <w14:schemeClr w14:val="tx1"/>
            </w14:solidFill>
          </w14:textFill>
        </w:rPr>
        <w:t>政府性基金预算支出决算情况说明</w:t>
      </w:r>
      <w:bookmarkEnd w:id="54"/>
      <w:bookmarkEnd w:id="55"/>
    </w:p>
    <w:p>
      <w:pPr>
        <w:overflowPunct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201</w:t>
      </w:r>
      <w:r>
        <w:rPr>
          <w:rFonts w:hint="eastAsia" w:ascii="仿宋_GB2312" w:eastAsia="仿宋_GB2312"/>
          <w:color w:val="000000" w:themeColor="text1"/>
          <w:sz w:val="32"/>
          <w:szCs w:val="32"/>
          <w14:textFill>
            <w14:solidFill>
              <w14:schemeClr w14:val="tx1"/>
            </w14:solidFill>
          </w14:textFill>
        </w:rPr>
        <w:t>8年政府性基金预算拨款支出0万元。</w:t>
      </w:r>
    </w:p>
    <w:p>
      <w:pPr>
        <w:numPr>
          <w:ilvl w:val="0"/>
          <w:numId w:val="2"/>
        </w:numPr>
        <w:overflowPunct w:val="0"/>
        <w:spacing w:line="600" w:lineRule="exact"/>
        <w:ind w:firstLine="640" w:firstLineChars="200"/>
        <w:outlineLvl w:val="1"/>
        <w:rPr>
          <w:rStyle w:val="27"/>
          <w:rFonts w:ascii="黑体" w:hAnsi="黑体" w:eastAsia="黑体"/>
          <w:b w:val="0"/>
          <w:color w:val="000000" w:themeColor="text1"/>
          <w14:textFill>
            <w14:solidFill>
              <w14:schemeClr w14:val="tx1"/>
            </w14:solidFill>
          </w14:textFill>
        </w:rPr>
      </w:pPr>
      <w:bookmarkStart w:id="56" w:name="_Toc20390773"/>
      <w:bookmarkStart w:id="57" w:name="_Toc15377219"/>
      <w:r>
        <w:rPr>
          <w:rStyle w:val="27"/>
          <w:rFonts w:hint="eastAsia" w:ascii="黑体" w:hAnsi="黑体" w:eastAsia="黑体"/>
          <w:b w:val="0"/>
          <w:color w:val="000000" w:themeColor="text1"/>
          <w14:textFill>
            <w14:solidFill>
              <w14:schemeClr w14:val="tx1"/>
            </w14:solidFill>
          </w14:textFill>
        </w:rPr>
        <w:t>国有资本经营预算支出决算情况说明</w:t>
      </w:r>
      <w:bookmarkEnd w:id="56"/>
      <w:bookmarkEnd w:id="57"/>
    </w:p>
    <w:p>
      <w:pPr>
        <w:overflowPunct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201</w:t>
      </w:r>
      <w:r>
        <w:rPr>
          <w:rFonts w:hint="eastAsia" w:ascii="仿宋_GB2312" w:eastAsia="仿宋_GB2312"/>
          <w:color w:val="000000" w:themeColor="text1"/>
          <w:sz w:val="32"/>
          <w:szCs w:val="32"/>
          <w14:textFill>
            <w14:solidFill>
              <w14:schemeClr w14:val="tx1"/>
            </w14:solidFill>
          </w14:textFill>
        </w:rPr>
        <w:t>8年国有资本经营预算拨款支出0万元。</w:t>
      </w:r>
      <w:bookmarkStart w:id="58" w:name="_Toc20390774"/>
    </w:p>
    <w:p>
      <w:pPr>
        <w:overflowPunct w:val="0"/>
        <w:spacing w:line="600" w:lineRule="exact"/>
        <w:ind w:firstLine="640" w:firstLineChars="200"/>
        <w:rPr>
          <w:rStyle w:val="27"/>
          <w:rFonts w:ascii="黑体" w:hAnsi="黑体" w:eastAsia="黑体"/>
          <w:b w:val="0"/>
          <w:color w:val="000000" w:themeColor="text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w:t>
      </w:r>
      <w:r>
        <w:rPr>
          <w:rStyle w:val="27"/>
          <w:rFonts w:hint="eastAsia" w:ascii="黑体" w:hAnsi="黑体" w:eastAsia="黑体"/>
          <w:b w:val="0"/>
          <w:color w:val="000000" w:themeColor="text1"/>
          <w14:textFill>
            <w14:solidFill>
              <w14:schemeClr w14:val="tx1"/>
            </w14:solidFill>
          </w14:textFill>
        </w:rPr>
        <w:t>预算绩效情况说明</w:t>
      </w:r>
      <w:bookmarkEnd w:id="58"/>
    </w:p>
    <w:p>
      <w:pPr>
        <w:numPr>
          <w:ilvl w:val="0"/>
          <w:numId w:val="3"/>
        </w:numPr>
        <w:overflowPunct w:val="0"/>
        <w:spacing w:line="600" w:lineRule="exact"/>
        <w:ind w:firstLine="640" w:firstLineChars="200"/>
        <w:rPr>
          <w:rFonts w:ascii="楷体_GB2312" w:hAnsi="仿宋" w:eastAsia="楷体_GB2312" w:cs="楷体_GB2312"/>
          <w:bCs/>
          <w:color w:val="000000" w:themeColor="text1"/>
          <w:sz w:val="32"/>
          <w:szCs w:val="32"/>
          <w14:textFill>
            <w14:solidFill>
              <w14:schemeClr w14:val="tx1"/>
            </w14:solidFill>
          </w14:textFill>
        </w:rPr>
      </w:pPr>
      <w:r>
        <w:rPr>
          <w:rFonts w:hint="eastAsia" w:ascii="楷体_GB2312" w:hAnsi="仿宋" w:eastAsia="楷体_GB2312" w:cs="楷体_GB2312"/>
          <w:bCs/>
          <w:color w:val="000000" w:themeColor="text1"/>
          <w:sz w:val="32"/>
          <w:szCs w:val="32"/>
          <w14:textFill>
            <w14:solidFill>
              <w14:schemeClr w14:val="tx1"/>
            </w14:solidFill>
          </w14:textFill>
        </w:rPr>
        <w:t>预算绩效管理工作开展情况。</w:t>
      </w:r>
    </w:p>
    <w:p>
      <w:pPr>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根据预算绩效管理要求，本部门对5个项目编制了绩效目标，预算执行过程中，选取5个项目开展绩效监控，年终执行完毕后，对5个项目开展了绩效目标完成情况梳理。</w:t>
      </w:r>
    </w:p>
    <w:p>
      <w:pPr>
        <w:tabs>
          <w:tab w:val="left" w:pos="879"/>
        </w:tabs>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 w:eastAsia="楷体_GB2312" w:cs="楷体_GB2312"/>
          <w:bCs/>
          <w:color w:val="000000" w:themeColor="text1"/>
          <w:sz w:val="32"/>
          <w:szCs w:val="32"/>
          <w14:textFill>
            <w14:solidFill>
              <w14:schemeClr w14:val="tx1"/>
            </w14:solidFill>
          </w14:textFill>
        </w:rPr>
        <w:t>（二）项目绩效目标完成情况。</w:t>
      </w:r>
      <w:r>
        <w:rPr>
          <w:rFonts w:hint="eastAsia" w:ascii="仿宋_GB2312" w:hAnsi="仿宋_GB2312" w:eastAsia="仿宋_GB2312" w:cs="仿宋_GB2312"/>
          <w:color w:val="000000" w:themeColor="text1"/>
          <w:sz w:val="32"/>
          <w:szCs w:val="32"/>
          <w14:textFill>
            <w14:solidFill>
              <w14:schemeClr w14:val="tx1"/>
            </w14:solidFill>
          </w14:textFill>
        </w:rPr>
        <w:t>本部门在2018年度部门决算中反映市级电子政务外网租赁经费、四大班子保安服务费、四大班子监控系统租赁经费、全市政府网站常态化监测服务费、公务用车保障平台项目5个项目绩效目标实际完成情况。</w:t>
      </w:r>
    </w:p>
    <w:p>
      <w:pPr>
        <w:numPr>
          <w:ilvl w:val="0"/>
          <w:numId w:val="4"/>
        </w:numPr>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市级电子政务外网租赁经费项目，该项目全年预算数212万元，执行数为212万元，完成预算的100%。通过项目实施，保障全市党政机关办公应用行政权力运行、政府信息公开等重大应用的基础网络服务。</w:t>
      </w:r>
    </w:p>
    <w:p>
      <w:pPr>
        <w:numPr>
          <w:ilvl w:val="0"/>
          <w:numId w:val="4"/>
        </w:numPr>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大班子保安服务费项目，该项目全年预算数261万元，执行数为261万元，完成预算的100%。通过项目实施，完成了市行政中心各项安全保卫任务，维护了市行政中心及原粮食局、南和市委统战部、税务直属办公楼的工作秩序。</w:t>
      </w:r>
    </w:p>
    <w:p>
      <w:pPr>
        <w:numPr>
          <w:ilvl w:val="0"/>
          <w:numId w:val="4"/>
        </w:numPr>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四大班子监控系统租赁经费，该项目全年预算数26.5万元，执行数为27.3万元，完成预算的100%。通过项目实施，为市行政中心安全保卫工作提供了技防支撑。</w:t>
      </w:r>
    </w:p>
    <w:p>
      <w:pPr>
        <w:numPr>
          <w:ilvl w:val="0"/>
          <w:numId w:val="4"/>
        </w:numPr>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全市政府网站常态化监测服务费，该项目全年预算数30万元，执行数为30万元，完成预算的100%。通过项目实施，确保了市政府网站不出现错别字、漏字及所有栏目及时得到更新，网站安全运行。</w:t>
      </w:r>
    </w:p>
    <w:p>
      <w:pPr>
        <w:numPr>
          <w:ilvl w:val="0"/>
          <w:numId w:val="4"/>
        </w:numPr>
        <w:overflowPunct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公务用车平台项目，该项目全年预算数14.4万元，执行数为15.36万元，完成预算的100%。主要用于公务车辆平台化管理。</w:t>
      </w:r>
    </w:p>
    <w:tbl>
      <w:tblPr>
        <w:tblStyle w:val="14"/>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Mar>
              <w:top w:w="15" w:type="dxa"/>
              <w:left w:w="15" w:type="dxa"/>
              <w:bottom w:w="0" w:type="dxa"/>
              <w:right w:w="15" w:type="dxa"/>
            </w:tcMar>
            <w:vAlign w:val="center"/>
          </w:tcPr>
          <w:p>
            <w:pPr>
              <w:widowControl/>
              <w:jc w:val="center"/>
              <w:textAlignment w:val="center"/>
              <w:rPr>
                <w:rFonts w:ascii="宋体" w:hAnsi="宋体" w:cs="宋体"/>
                <w:color w:val="000000" w:themeColor="text1"/>
                <w:sz w:val="36"/>
                <w:szCs w:val="36"/>
                <w14:textFill>
                  <w14:solidFill>
                    <w14:schemeClr w14:val="tx1"/>
                  </w14:solidFill>
                </w14:textFill>
              </w:rPr>
            </w:pPr>
            <w:r>
              <w:rPr>
                <w:rFonts w:hint="eastAsia" w:ascii="黑体" w:hAnsi="黑体" w:eastAsia="黑体" w:cs="宋体"/>
                <w:bCs/>
                <w:color w:val="000000" w:themeColor="text1"/>
                <w:kern w:val="0"/>
                <w:sz w:val="36"/>
                <w:szCs w:val="36"/>
                <w14:textFill>
                  <w14:solidFill>
                    <w14:schemeClr w14:val="tx1"/>
                  </w14:solidFill>
                </w14:textFill>
              </w:rPr>
              <w:t>1、市级电子政务外网项目支出绩效目标完成情况表</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市级电子政务外网租赁经费</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广元市人民政府办公室</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212万元</w:t>
            </w:r>
          </w:p>
        </w:tc>
      </w:tr>
      <w:tr>
        <w:tblPrEx>
          <w:tblLayout w:type="fixed"/>
          <w:tblCellMar>
            <w:top w:w="0" w:type="dxa"/>
            <w:left w:w="0" w:type="dxa"/>
            <w:bottom w:w="0" w:type="dxa"/>
            <w:right w:w="0" w:type="dxa"/>
          </w:tblCellMar>
        </w:tblPrEx>
        <w:trPr>
          <w:trHeight w:val="57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212万元</w:t>
            </w:r>
          </w:p>
        </w:tc>
      </w:tr>
      <w:tr>
        <w:tblPrEx>
          <w:tblLayout w:type="fixed"/>
          <w:tblCellMar>
            <w:top w:w="0" w:type="dxa"/>
            <w:left w:w="0" w:type="dxa"/>
            <w:bottom w:w="0" w:type="dxa"/>
            <w:right w:w="0" w:type="dxa"/>
          </w:tblCellMar>
        </w:tblPrEx>
        <w:trPr>
          <w:trHeight w:val="194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cs="宋体"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保障全市党政机关办公应用行政权力运行、政府信息公开等重大应用的基础网络服务。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完成了全市党政机关办公应用行政权力运行、政府信息公开等重大应用的基础网络服务。</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实际完成指标值(包含数字及文字描述)</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365天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365天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365天</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通过验收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通过验收</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2018年12月31日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完成</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和社会成本比较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社会平均成本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社会平均成本</w:t>
            </w:r>
          </w:p>
        </w:tc>
      </w:tr>
      <w:tr>
        <w:tblPrEx>
          <w:tblLayout w:type="fixed"/>
          <w:tblCellMar>
            <w:top w:w="0" w:type="dxa"/>
            <w:left w:w="0" w:type="dxa"/>
            <w:bottom w:w="0" w:type="dxa"/>
            <w:right w:w="0" w:type="dxa"/>
          </w:tblCellMar>
        </w:tblPrEx>
        <w:trPr>
          <w:trHeight w:val="72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r>
      <w:tr>
        <w:tblPrEx>
          <w:tblLayout w:type="fixed"/>
          <w:tblCellMar>
            <w:top w:w="0" w:type="dxa"/>
            <w:left w:w="0" w:type="dxa"/>
            <w:bottom w:w="0" w:type="dxa"/>
            <w:right w:w="0" w:type="dxa"/>
          </w:tblCellMar>
        </w:tblPrEx>
        <w:trPr>
          <w:trHeight w:val="683"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长期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长期</w:t>
            </w:r>
          </w:p>
        </w:tc>
      </w:tr>
      <w:tr>
        <w:tblPrEx>
          <w:tblLayout w:type="fixed"/>
          <w:tblCellMar>
            <w:top w:w="0" w:type="dxa"/>
            <w:left w:w="0" w:type="dxa"/>
            <w:bottom w:w="0" w:type="dxa"/>
            <w:right w:w="0" w:type="dxa"/>
          </w:tblCellMar>
        </w:tblPrEx>
        <w:trPr>
          <w:trHeight w:val="96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对生态不良影响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r>
      <w:tr>
        <w:tblPrEx>
          <w:tblLayout w:type="fixed"/>
          <w:tblCellMar>
            <w:top w:w="0" w:type="dxa"/>
            <w:left w:w="0" w:type="dxa"/>
            <w:bottom w:w="0" w:type="dxa"/>
            <w:right w:w="0" w:type="dxa"/>
          </w:tblCellMar>
        </w:tblPrEx>
        <w:trPr>
          <w:trHeight w:val="110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是否可持续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可持续</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可持续</w:t>
            </w:r>
          </w:p>
        </w:tc>
      </w:tr>
      <w:tr>
        <w:tblPrEx>
          <w:tblLayout w:type="fixed"/>
          <w:tblCellMar>
            <w:top w:w="0" w:type="dxa"/>
            <w:left w:w="0" w:type="dxa"/>
            <w:bottom w:w="0" w:type="dxa"/>
            <w:right w:w="0" w:type="dxa"/>
          </w:tblCellMar>
        </w:tblPrEx>
        <w:trPr>
          <w:trHeight w:val="83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r>
    </w:tbl>
    <w:p>
      <w:pPr>
        <w:rPr>
          <w:rFonts w:ascii="Calibri" w:hAnsi="Calibri"/>
          <w:color w:val="000000" w:themeColor="text1"/>
          <w14:textFill>
            <w14:solidFill>
              <w14:schemeClr w14:val="tx1"/>
            </w14:solidFill>
          </w14:textFill>
        </w:rPr>
      </w:pPr>
    </w:p>
    <w:tbl>
      <w:tblPr>
        <w:tblStyle w:val="14"/>
        <w:tblW w:w="10229" w:type="dxa"/>
        <w:jc w:val="center"/>
        <w:tblInd w:w="0" w:type="dxa"/>
        <w:tblLayout w:type="fixed"/>
        <w:tblCellMar>
          <w:top w:w="0" w:type="dxa"/>
          <w:left w:w="0" w:type="dxa"/>
          <w:bottom w:w="0" w:type="dxa"/>
          <w:right w:w="0" w:type="dxa"/>
        </w:tblCellMar>
      </w:tblPr>
      <w:tblGrid>
        <w:gridCol w:w="659"/>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10229" w:type="dxa"/>
            <w:gridSpan w:val="6"/>
            <w:tcMar>
              <w:top w:w="15" w:type="dxa"/>
              <w:left w:w="15" w:type="dxa"/>
              <w:bottom w:w="0" w:type="dxa"/>
              <w:right w:w="15" w:type="dxa"/>
            </w:tcMar>
            <w:vAlign w:val="center"/>
          </w:tcPr>
          <w:p>
            <w:pPr>
              <w:widowControl/>
              <w:jc w:val="center"/>
              <w:textAlignment w:val="center"/>
              <w:rPr>
                <w:rFonts w:ascii="宋体" w:hAnsi="宋体" w:cs="宋体"/>
                <w:color w:val="000000" w:themeColor="text1"/>
                <w:sz w:val="36"/>
                <w:szCs w:val="36"/>
                <w14:textFill>
                  <w14:solidFill>
                    <w14:schemeClr w14:val="tx1"/>
                  </w14:solidFill>
                </w14:textFill>
              </w:rPr>
            </w:pPr>
            <w:r>
              <w:rPr>
                <w:rFonts w:hint="eastAsia" w:ascii="黑体" w:hAnsi="黑体" w:eastAsia="黑体" w:cs="宋体"/>
                <w:bCs/>
                <w:color w:val="000000" w:themeColor="text1"/>
                <w:kern w:val="0"/>
                <w:sz w:val="36"/>
                <w:szCs w:val="36"/>
                <w14:textFill>
                  <w14:solidFill>
                    <w14:schemeClr w14:val="tx1"/>
                  </w14:solidFill>
                </w14:textFill>
              </w:rPr>
              <w:t>2、四大班子保安服务项目支出绩效目标完成情况表</w:t>
            </w:r>
          </w:p>
        </w:tc>
      </w:tr>
      <w:tr>
        <w:tblPrEx>
          <w:tblLayout w:type="fixed"/>
          <w:tblCellMar>
            <w:top w:w="0" w:type="dxa"/>
            <w:left w:w="0" w:type="dxa"/>
            <w:bottom w:w="0" w:type="dxa"/>
            <w:right w:w="0" w:type="dxa"/>
          </w:tblCellMar>
        </w:tblPrEx>
        <w:trPr>
          <w:trHeight w:val="276" w:hRule="atLeast"/>
          <w:jc w:val="center"/>
        </w:trPr>
        <w:tc>
          <w:tcPr>
            <w:tcW w:w="30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四大班子保安服务项目</w:t>
            </w:r>
          </w:p>
        </w:tc>
      </w:tr>
      <w:tr>
        <w:tblPrEx>
          <w:tblLayout w:type="fixed"/>
          <w:tblCellMar>
            <w:top w:w="0" w:type="dxa"/>
            <w:left w:w="0" w:type="dxa"/>
            <w:bottom w:w="0" w:type="dxa"/>
            <w:right w:w="0" w:type="dxa"/>
          </w:tblCellMar>
        </w:tblPrEx>
        <w:trPr>
          <w:trHeight w:val="276" w:hRule="atLeast"/>
          <w:jc w:val="center"/>
        </w:trPr>
        <w:tc>
          <w:tcPr>
            <w:tcW w:w="30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广元市人民政府办公室</w:t>
            </w:r>
          </w:p>
        </w:tc>
      </w:tr>
      <w:tr>
        <w:tblPrEx>
          <w:tblLayout w:type="fixed"/>
          <w:tblCellMar>
            <w:top w:w="0" w:type="dxa"/>
            <w:left w:w="0" w:type="dxa"/>
            <w:bottom w:w="0" w:type="dxa"/>
            <w:right w:w="0" w:type="dxa"/>
          </w:tblCellMar>
        </w:tblPrEx>
        <w:trPr>
          <w:trHeight w:val="276" w:hRule="atLeast"/>
          <w:jc w:val="center"/>
        </w:trPr>
        <w:tc>
          <w:tcPr>
            <w:tcW w:w="6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261万元</w:t>
            </w:r>
          </w:p>
        </w:tc>
      </w:tr>
      <w:tr>
        <w:tblPrEx>
          <w:tblLayout w:type="fixed"/>
          <w:tblCellMar>
            <w:top w:w="0" w:type="dxa"/>
            <w:left w:w="0" w:type="dxa"/>
            <w:bottom w:w="0" w:type="dxa"/>
            <w:right w:w="0" w:type="dxa"/>
          </w:tblCellMar>
        </w:tblPrEx>
        <w:trPr>
          <w:trHeight w:val="276"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261万元</w:t>
            </w:r>
          </w:p>
        </w:tc>
      </w:tr>
      <w:tr>
        <w:tblPrEx>
          <w:tblLayout w:type="fixed"/>
          <w:tblCellMar>
            <w:top w:w="0" w:type="dxa"/>
            <w:left w:w="0" w:type="dxa"/>
            <w:bottom w:w="0" w:type="dxa"/>
            <w:right w:w="0" w:type="dxa"/>
          </w:tblCellMar>
        </w:tblPrEx>
        <w:trPr>
          <w:trHeight w:val="1511"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w:t>
            </w:r>
          </w:p>
        </w:tc>
      </w:tr>
      <w:tr>
        <w:tblPrEx>
          <w:tblLayout w:type="fixed"/>
          <w:tblCellMar>
            <w:top w:w="0" w:type="dxa"/>
            <w:left w:w="0" w:type="dxa"/>
            <w:bottom w:w="0" w:type="dxa"/>
            <w:right w:w="0" w:type="dxa"/>
          </w:tblCellMar>
        </w:tblPrEx>
        <w:trPr>
          <w:trHeight w:val="276" w:hRule="atLeast"/>
          <w:jc w:val="center"/>
        </w:trPr>
        <w:tc>
          <w:tcPr>
            <w:tcW w:w="6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实际完成目标</w:t>
            </w:r>
          </w:p>
        </w:tc>
      </w:tr>
      <w:tr>
        <w:tblPrEx>
          <w:tblLayout w:type="fixed"/>
          <w:tblCellMar>
            <w:top w:w="0" w:type="dxa"/>
            <w:left w:w="0" w:type="dxa"/>
            <w:bottom w:w="0" w:type="dxa"/>
            <w:right w:w="0" w:type="dxa"/>
          </w:tblCellMar>
        </w:tblPrEx>
        <w:trPr>
          <w:trHeight w:val="1159"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left="210" w:leftChars="100"/>
              <w:textAlignment w:val="center"/>
              <w:rPr>
                <w:rFonts w:cs="宋体"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保障市行政中心各项安全保卫任务，维护了市行政中心及原粮食局、南和市委统战部、税务直属办公楼的工作秩序。</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完成了市行政中心各项安全保卫任务，维护了市行政中心及原粮食局、南和市委统战部、税务直属办公楼的工作秩序。</w:t>
            </w:r>
          </w:p>
        </w:tc>
      </w:tr>
      <w:tr>
        <w:tblPrEx>
          <w:tblLayout w:type="fixed"/>
          <w:tblCellMar>
            <w:top w:w="0" w:type="dxa"/>
            <w:left w:w="0" w:type="dxa"/>
            <w:bottom w:w="0" w:type="dxa"/>
            <w:right w:w="0" w:type="dxa"/>
          </w:tblCellMar>
        </w:tblPrEx>
        <w:trPr>
          <w:trHeight w:val="1042" w:hRule="atLeast"/>
          <w:jc w:val="center"/>
        </w:trPr>
        <w:tc>
          <w:tcPr>
            <w:tcW w:w="6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实际完成指标值(包含数字及文字描述)</w:t>
            </w:r>
          </w:p>
        </w:tc>
      </w:tr>
      <w:tr>
        <w:tblPrEx>
          <w:tblLayout w:type="fixed"/>
          <w:tblCellMar>
            <w:top w:w="0" w:type="dxa"/>
            <w:left w:w="0" w:type="dxa"/>
            <w:bottom w:w="0" w:type="dxa"/>
            <w:right w:w="0" w:type="dxa"/>
          </w:tblCellMar>
        </w:tblPrEx>
        <w:trPr>
          <w:trHeight w:val="953"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365天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365天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365天</w:t>
            </w:r>
          </w:p>
        </w:tc>
      </w:tr>
      <w:tr>
        <w:tblPrEx>
          <w:tblLayout w:type="fixed"/>
          <w:tblCellMar>
            <w:top w:w="0" w:type="dxa"/>
            <w:left w:w="0" w:type="dxa"/>
            <w:bottom w:w="0" w:type="dxa"/>
            <w:right w:w="0" w:type="dxa"/>
          </w:tblCellMar>
        </w:tblPrEx>
        <w:trPr>
          <w:trHeight w:val="1297"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通过验收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通过验收</w:t>
            </w:r>
          </w:p>
        </w:tc>
      </w:tr>
      <w:tr>
        <w:tblPrEx>
          <w:tblLayout w:type="fixed"/>
          <w:tblCellMar>
            <w:top w:w="0" w:type="dxa"/>
            <w:left w:w="0" w:type="dxa"/>
            <w:bottom w:w="0" w:type="dxa"/>
            <w:right w:w="0" w:type="dxa"/>
          </w:tblCellMar>
        </w:tblPrEx>
        <w:trPr>
          <w:trHeight w:val="1042"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2018年12月31日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完成</w:t>
            </w:r>
          </w:p>
        </w:tc>
      </w:tr>
      <w:tr>
        <w:tblPrEx>
          <w:tblLayout w:type="fixed"/>
          <w:tblCellMar>
            <w:top w:w="0" w:type="dxa"/>
            <w:left w:w="0" w:type="dxa"/>
            <w:bottom w:w="0" w:type="dxa"/>
            <w:right w:w="0" w:type="dxa"/>
          </w:tblCellMar>
        </w:tblPrEx>
        <w:trPr>
          <w:trHeight w:val="1042"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和社会成本比较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社会平均成本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社会平均成本</w:t>
            </w:r>
          </w:p>
        </w:tc>
      </w:tr>
      <w:tr>
        <w:tblPrEx>
          <w:tblLayout w:type="fixed"/>
          <w:tblCellMar>
            <w:top w:w="0" w:type="dxa"/>
            <w:left w:w="0" w:type="dxa"/>
            <w:bottom w:w="0" w:type="dxa"/>
            <w:right w:w="0" w:type="dxa"/>
          </w:tblCellMar>
        </w:tblPrEx>
        <w:trPr>
          <w:trHeight w:val="1042"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r>
      <w:tr>
        <w:tblPrEx>
          <w:tblLayout w:type="fixed"/>
          <w:tblCellMar>
            <w:top w:w="0" w:type="dxa"/>
            <w:left w:w="0" w:type="dxa"/>
            <w:bottom w:w="0" w:type="dxa"/>
            <w:right w:w="0" w:type="dxa"/>
          </w:tblCellMar>
        </w:tblPrEx>
        <w:trPr>
          <w:trHeight w:val="1042"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长期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长期</w:t>
            </w:r>
          </w:p>
        </w:tc>
      </w:tr>
      <w:tr>
        <w:tblPrEx>
          <w:tblLayout w:type="fixed"/>
          <w:tblCellMar>
            <w:top w:w="0" w:type="dxa"/>
            <w:left w:w="0" w:type="dxa"/>
            <w:bottom w:w="0" w:type="dxa"/>
            <w:right w:w="0" w:type="dxa"/>
          </w:tblCellMar>
        </w:tblPrEx>
        <w:trPr>
          <w:trHeight w:val="1042"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对生态不良影响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r>
      <w:tr>
        <w:tblPrEx>
          <w:tblLayout w:type="fixed"/>
          <w:tblCellMar>
            <w:top w:w="0" w:type="dxa"/>
            <w:left w:w="0" w:type="dxa"/>
            <w:bottom w:w="0" w:type="dxa"/>
            <w:right w:w="0" w:type="dxa"/>
          </w:tblCellMar>
        </w:tblPrEx>
        <w:trPr>
          <w:trHeight w:val="1297"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是否可持续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可持续</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可持续</w:t>
            </w:r>
          </w:p>
        </w:tc>
      </w:tr>
      <w:tr>
        <w:tblPrEx>
          <w:tblLayout w:type="fixed"/>
          <w:tblCellMar>
            <w:top w:w="0" w:type="dxa"/>
            <w:left w:w="0" w:type="dxa"/>
            <w:bottom w:w="0" w:type="dxa"/>
            <w:right w:w="0" w:type="dxa"/>
          </w:tblCellMar>
        </w:tblPrEx>
        <w:trPr>
          <w:trHeight w:val="1050"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r>
      <w:tr>
        <w:tblPrEx>
          <w:tblLayout w:type="fixed"/>
          <w:tblCellMar>
            <w:top w:w="0" w:type="dxa"/>
            <w:left w:w="0" w:type="dxa"/>
            <w:bottom w:w="0" w:type="dxa"/>
            <w:right w:w="0" w:type="dxa"/>
          </w:tblCellMar>
        </w:tblPrEx>
        <w:trPr>
          <w:trHeight w:val="1034" w:hRule="atLeast"/>
          <w:jc w:val="center"/>
        </w:trPr>
        <w:tc>
          <w:tcPr>
            <w:tcW w:w="10229" w:type="dxa"/>
            <w:gridSpan w:val="6"/>
            <w:tcMar>
              <w:top w:w="15" w:type="dxa"/>
              <w:left w:w="15" w:type="dxa"/>
              <w:bottom w:w="0" w:type="dxa"/>
              <w:right w:w="15" w:type="dxa"/>
            </w:tcMar>
            <w:vAlign w:val="center"/>
          </w:tcPr>
          <w:p>
            <w:pPr>
              <w:widowControl/>
              <w:textAlignment w:val="center"/>
              <w:rPr>
                <w:rFonts w:ascii="宋体" w:hAnsi="宋体" w:cs="宋体"/>
                <w:color w:val="000000" w:themeColor="text1"/>
                <w:sz w:val="36"/>
                <w:szCs w:val="36"/>
                <w14:textFill>
                  <w14:solidFill>
                    <w14:schemeClr w14:val="tx1"/>
                  </w14:solidFill>
                </w14:textFill>
              </w:rPr>
            </w:pPr>
            <w:r>
              <w:rPr>
                <w:rFonts w:hint="eastAsia" w:ascii="黑体" w:hAnsi="黑体" w:eastAsia="黑体" w:cs="宋体"/>
                <w:bCs/>
                <w:color w:val="000000" w:themeColor="text1"/>
                <w:kern w:val="0"/>
                <w:sz w:val="36"/>
                <w:szCs w:val="36"/>
                <w14:textFill>
                  <w14:solidFill>
                    <w14:schemeClr w14:val="tx1"/>
                  </w14:solidFill>
                </w14:textFill>
              </w:rPr>
              <w:t>3、全市政府网站常态化监测服务费项目支出绩效目标完成情况表</w:t>
            </w:r>
          </w:p>
        </w:tc>
      </w:tr>
      <w:tr>
        <w:tblPrEx>
          <w:tblLayout w:type="fixed"/>
          <w:tblCellMar>
            <w:top w:w="0" w:type="dxa"/>
            <w:left w:w="0" w:type="dxa"/>
            <w:bottom w:w="0" w:type="dxa"/>
            <w:right w:w="0" w:type="dxa"/>
          </w:tblCellMar>
        </w:tblPrEx>
        <w:trPr>
          <w:trHeight w:val="276" w:hRule="atLeast"/>
          <w:jc w:val="center"/>
        </w:trPr>
        <w:tc>
          <w:tcPr>
            <w:tcW w:w="30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四大班子监控系统租赁费</w:t>
            </w:r>
          </w:p>
        </w:tc>
      </w:tr>
      <w:tr>
        <w:tblPrEx>
          <w:tblLayout w:type="fixed"/>
          <w:tblCellMar>
            <w:top w:w="0" w:type="dxa"/>
            <w:left w:w="0" w:type="dxa"/>
            <w:bottom w:w="0" w:type="dxa"/>
            <w:right w:w="0" w:type="dxa"/>
          </w:tblCellMar>
        </w:tblPrEx>
        <w:trPr>
          <w:trHeight w:val="276" w:hRule="atLeast"/>
          <w:jc w:val="center"/>
        </w:trPr>
        <w:tc>
          <w:tcPr>
            <w:tcW w:w="30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广元市人民政府办公室</w:t>
            </w:r>
          </w:p>
        </w:tc>
      </w:tr>
      <w:tr>
        <w:tblPrEx>
          <w:tblLayout w:type="fixed"/>
          <w:tblCellMar>
            <w:top w:w="0" w:type="dxa"/>
            <w:left w:w="0" w:type="dxa"/>
            <w:bottom w:w="0" w:type="dxa"/>
            <w:right w:w="0" w:type="dxa"/>
          </w:tblCellMar>
        </w:tblPrEx>
        <w:trPr>
          <w:trHeight w:val="276" w:hRule="atLeast"/>
          <w:jc w:val="center"/>
        </w:trPr>
        <w:tc>
          <w:tcPr>
            <w:tcW w:w="6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30万元</w:t>
            </w:r>
          </w:p>
        </w:tc>
      </w:tr>
      <w:tr>
        <w:tblPrEx>
          <w:tblLayout w:type="fixed"/>
          <w:tblCellMar>
            <w:top w:w="0" w:type="dxa"/>
            <w:left w:w="0" w:type="dxa"/>
            <w:bottom w:w="0" w:type="dxa"/>
            <w:right w:w="0" w:type="dxa"/>
          </w:tblCellMar>
        </w:tblPrEx>
        <w:trPr>
          <w:trHeight w:val="276"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30万元</w:t>
            </w:r>
          </w:p>
        </w:tc>
      </w:tr>
      <w:tr>
        <w:tblPrEx>
          <w:tblLayout w:type="fixed"/>
          <w:tblCellMar>
            <w:top w:w="0" w:type="dxa"/>
            <w:left w:w="0" w:type="dxa"/>
            <w:bottom w:w="0" w:type="dxa"/>
            <w:right w:w="0" w:type="dxa"/>
          </w:tblCellMar>
        </w:tblPrEx>
        <w:trPr>
          <w:trHeight w:val="1511"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w:t>
            </w:r>
          </w:p>
        </w:tc>
      </w:tr>
      <w:tr>
        <w:tblPrEx>
          <w:tblLayout w:type="fixed"/>
          <w:tblCellMar>
            <w:top w:w="0" w:type="dxa"/>
            <w:left w:w="0" w:type="dxa"/>
            <w:bottom w:w="0" w:type="dxa"/>
            <w:right w:w="0" w:type="dxa"/>
          </w:tblCellMar>
        </w:tblPrEx>
        <w:trPr>
          <w:trHeight w:val="276" w:hRule="atLeast"/>
          <w:jc w:val="center"/>
        </w:trPr>
        <w:tc>
          <w:tcPr>
            <w:tcW w:w="6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实际完成目标</w:t>
            </w:r>
          </w:p>
        </w:tc>
      </w:tr>
      <w:tr>
        <w:tblPrEx>
          <w:tblLayout w:type="fixed"/>
          <w:tblCellMar>
            <w:top w:w="0" w:type="dxa"/>
            <w:left w:w="0" w:type="dxa"/>
            <w:bottom w:w="0" w:type="dxa"/>
            <w:right w:w="0" w:type="dxa"/>
          </w:tblCellMar>
        </w:tblPrEx>
        <w:trPr>
          <w:trHeight w:val="1159"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为确保市政府网站不出现错别字、漏字，确保所有栏目及时得到更新，网站安全运行。</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确保了市政府网站没出现错别字、漏字及所有栏目及时得到更新，网站安全运行。</w:t>
            </w:r>
          </w:p>
        </w:tc>
      </w:tr>
      <w:tr>
        <w:tblPrEx>
          <w:tblLayout w:type="fixed"/>
          <w:tblCellMar>
            <w:top w:w="0" w:type="dxa"/>
            <w:left w:w="0" w:type="dxa"/>
            <w:bottom w:w="0" w:type="dxa"/>
            <w:right w:w="0" w:type="dxa"/>
          </w:tblCellMar>
        </w:tblPrEx>
        <w:trPr>
          <w:trHeight w:val="1042" w:hRule="atLeast"/>
          <w:jc w:val="center"/>
        </w:trPr>
        <w:tc>
          <w:tcPr>
            <w:tcW w:w="6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实际完成指标值(包含数字及文字描述)</w:t>
            </w:r>
          </w:p>
        </w:tc>
      </w:tr>
      <w:tr>
        <w:tblPrEx>
          <w:tblLayout w:type="fixed"/>
          <w:tblCellMar>
            <w:top w:w="0" w:type="dxa"/>
            <w:left w:w="0" w:type="dxa"/>
            <w:bottom w:w="0" w:type="dxa"/>
            <w:right w:w="0" w:type="dxa"/>
          </w:tblCellMar>
        </w:tblPrEx>
        <w:trPr>
          <w:trHeight w:val="953"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365天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365天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365天</w:t>
            </w:r>
          </w:p>
        </w:tc>
      </w:tr>
      <w:tr>
        <w:tblPrEx>
          <w:tblLayout w:type="fixed"/>
          <w:tblCellMar>
            <w:top w:w="0" w:type="dxa"/>
            <w:left w:w="0" w:type="dxa"/>
            <w:bottom w:w="0" w:type="dxa"/>
            <w:right w:w="0" w:type="dxa"/>
          </w:tblCellMar>
        </w:tblPrEx>
        <w:trPr>
          <w:trHeight w:val="1297"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通过验收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通过验收</w:t>
            </w:r>
          </w:p>
        </w:tc>
      </w:tr>
      <w:tr>
        <w:tblPrEx>
          <w:tblLayout w:type="fixed"/>
          <w:tblCellMar>
            <w:top w:w="0" w:type="dxa"/>
            <w:left w:w="0" w:type="dxa"/>
            <w:bottom w:w="0" w:type="dxa"/>
            <w:right w:w="0" w:type="dxa"/>
          </w:tblCellMar>
        </w:tblPrEx>
        <w:trPr>
          <w:trHeight w:val="1042"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2018年12月31日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完成</w:t>
            </w:r>
          </w:p>
        </w:tc>
      </w:tr>
      <w:tr>
        <w:tblPrEx>
          <w:tblLayout w:type="fixed"/>
          <w:tblCellMar>
            <w:top w:w="0" w:type="dxa"/>
            <w:left w:w="0" w:type="dxa"/>
            <w:bottom w:w="0" w:type="dxa"/>
            <w:right w:w="0" w:type="dxa"/>
          </w:tblCellMar>
        </w:tblPrEx>
        <w:trPr>
          <w:trHeight w:val="1042"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和社会成本比较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社会平均成本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社会平均成本</w:t>
            </w:r>
          </w:p>
        </w:tc>
      </w:tr>
      <w:tr>
        <w:tblPrEx>
          <w:tblLayout w:type="fixed"/>
          <w:tblCellMar>
            <w:top w:w="0" w:type="dxa"/>
            <w:left w:w="0" w:type="dxa"/>
            <w:bottom w:w="0" w:type="dxa"/>
            <w:right w:w="0" w:type="dxa"/>
          </w:tblCellMar>
        </w:tblPrEx>
        <w:trPr>
          <w:trHeight w:val="1042"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r>
      <w:tr>
        <w:tblPrEx>
          <w:tblLayout w:type="fixed"/>
          <w:tblCellMar>
            <w:top w:w="0" w:type="dxa"/>
            <w:left w:w="0" w:type="dxa"/>
            <w:bottom w:w="0" w:type="dxa"/>
            <w:right w:w="0" w:type="dxa"/>
          </w:tblCellMar>
        </w:tblPrEx>
        <w:trPr>
          <w:trHeight w:val="1042"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长期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长期</w:t>
            </w:r>
          </w:p>
        </w:tc>
      </w:tr>
      <w:tr>
        <w:tblPrEx>
          <w:tblLayout w:type="fixed"/>
          <w:tblCellMar>
            <w:top w:w="0" w:type="dxa"/>
            <w:left w:w="0" w:type="dxa"/>
            <w:bottom w:w="0" w:type="dxa"/>
            <w:right w:w="0" w:type="dxa"/>
          </w:tblCellMar>
        </w:tblPrEx>
        <w:trPr>
          <w:trHeight w:val="1042"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对生态不良影响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r>
      <w:tr>
        <w:tblPrEx>
          <w:tblLayout w:type="fixed"/>
          <w:tblCellMar>
            <w:top w:w="0" w:type="dxa"/>
            <w:left w:w="0" w:type="dxa"/>
            <w:bottom w:w="0" w:type="dxa"/>
            <w:right w:w="0" w:type="dxa"/>
          </w:tblCellMar>
        </w:tblPrEx>
        <w:trPr>
          <w:trHeight w:val="1297"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是否可持续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可持续</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可持续</w:t>
            </w:r>
          </w:p>
        </w:tc>
      </w:tr>
      <w:tr>
        <w:tblPrEx>
          <w:tblLayout w:type="fixed"/>
          <w:tblCellMar>
            <w:top w:w="0" w:type="dxa"/>
            <w:left w:w="0" w:type="dxa"/>
            <w:bottom w:w="0" w:type="dxa"/>
            <w:right w:w="0" w:type="dxa"/>
          </w:tblCellMar>
        </w:tblPrEx>
        <w:trPr>
          <w:trHeight w:val="1050"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r>
      <w:tr>
        <w:tblPrEx>
          <w:tblLayout w:type="fixed"/>
          <w:tblCellMar>
            <w:top w:w="0" w:type="dxa"/>
            <w:left w:w="0" w:type="dxa"/>
            <w:bottom w:w="0" w:type="dxa"/>
            <w:right w:w="0" w:type="dxa"/>
          </w:tblCellMar>
        </w:tblPrEx>
        <w:trPr>
          <w:trHeight w:val="1034" w:hRule="atLeast"/>
          <w:jc w:val="center"/>
        </w:trPr>
        <w:tc>
          <w:tcPr>
            <w:tcW w:w="10229" w:type="dxa"/>
            <w:gridSpan w:val="6"/>
            <w:tcMar>
              <w:top w:w="15" w:type="dxa"/>
              <w:left w:w="15" w:type="dxa"/>
              <w:bottom w:w="0" w:type="dxa"/>
              <w:right w:w="15" w:type="dxa"/>
            </w:tcMar>
            <w:vAlign w:val="center"/>
          </w:tcPr>
          <w:p>
            <w:pPr>
              <w:widowControl/>
              <w:jc w:val="center"/>
              <w:textAlignment w:val="center"/>
              <w:rPr>
                <w:rFonts w:ascii="宋体" w:hAnsi="宋体" w:cs="宋体"/>
                <w:color w:val="000000" w:themeColor="text1"/>
                <w:sz w:val="36"/>
                <w:szCs w:val="36"/>
                <w14:textFill>
                  <w14:solidFill>
                    <w14:schemeClr w14:val="tx1"/>
                  </w14:solidFill>
                </w14:textFill>
              </w:rPr>
            </w:pPr>
            <w:r>
              <w:rPr>
                <w:rFonts w:hint="eastAsia" w:ascii="黑体" w:hAnsi="黑体" w:eastAsia="黑体" w:cs="宋体"/>
                <w:bCs/>
                <w:color w:val="000000" w:themeColor="text1"/>
                <w:kern w:val="0"/>
                <w:sz w:val="36"/>
                <w:szCs w:val="36"/>
                <w14:textFill>
                  <w14:solidFill>
                    <w14:schemeClr w14:val="tx1"/>
                  </w14:solidFill>
                </w14:textFill>
              </w:rPr>
              <w:t>4、四大班子监控系统租赁费项目支出绩效目标完成情况表</w:t>
            </w:r>
          </w:p>
        </w:tc>
      </w:tr>
      <w:tr>
        <w:tblPrEx>
          <w:tblLayout w:type="fixed"/>
          <w:tblCellMar>
            <w:top w:w="0" w:type="dxa"/>
            <w:left w:w="0" w:type="dxa"/>
            <w:bottom w:w="0" w:type="dxa"/>
            <w:right w:w="0" w:type="dxa"/>
          </w:tblCellMar>
        </w:tblPrEx>
        <w:trPr>
          <w:trHeight w:val="541" w:hRule="atLeast"/>
          <w:jc w:val="center"/>
        </w:trPr>
        <w:tc>
          <w:tcPr>
            <w:tcW w:w="30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四大班子监控系统租赁费</w:t>
            </w:r>
          </w:p>
        </w:tc>
      </w:tr>
      <w:tr>
        <w:tblPrEx>
          <w:tblLayout w:type="fixed"/>
          <w:tblCellMar>
            <w:top w:w="0" w:type="dxa"/>
            <w:left w:w="0" w:type="dxa"/>
            <w:bottom w:w="0" w:type="dxa"/>
            <w:right w:w="0" w:type="dxa"/>
          </w:tblCellMar>
        </w:tblPrEx>
        <w:trPr>
          <w:trHeight w:val="549" w:hRule="atLeast"/>
          <w:jc w:val="center"/>
        </w:trPr>
        <w:tc>
          <w:tcPr>
            <w:tcW w:w="30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广元市人民政府办公室</w:t>
            </w:r>
          </w:p>
        </w:tc>
      </w:tr>
      <w:tr>
        <w:tblPrEx>
          <w:tblLayout w:type="fixed"/>
          <w:tblCellMar>
            <w:top w:w="0" w:type="dxa"/>
            <w:left w:w="0" w:type="dxa"/>
            <w:bottom w:w="0" w:type="dxa"/>
            <w:right w:w="0" w:type="dxa"/>
          </w:tblCellMar>
        </w:tblPrEx>
        <w:trPr>
          <w:trHeight w:val="529" w:hRule="atLeast"/>
          <w:jc w:val="center"/>
        </w:trPr>
        <w:tc>
          <w:tcPr>
            <w:tcW w:w="6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27.3万元</w:t>
            </w:r>
          </w:p>
        </w:tc>
      </w:tr>
      <w:tr>
        <w:tblPrEx>
          <w:tblLayout w:type="fixed"/>
          <w:tblCellMar>
            <w:top w:w="0" w:type="dxa"/>
            <w:left w:w="0" w:type="dxa"/>
            <w:bottom w:w="0" w:type="dxa"/>
            <w:right w:w="0" w:type="dxa"/>
          </w:tblCellMar>
        </w:tblPrEx>
        <w:trPr>
          <w:trHeight w:val="565"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27.3万元</w:t>
            </w:r>
          </w:p>
        </w:tc>
      </w:tr>
      <w:tr>
        <w:tblPrEx>
          <w:tblLayout w:type="fixed"/>
          <w:tblCellMar>
            <w:top w:w="0" w:type="dxa"/>
            <w:left w:w="0" w:type="dxa"/>
            <w:bottom w:w="0" w:type="dxa"/>
            <w:right w:w="0" w:type="dxa"/>
          </w:tblCellMar>
        </w:tblPrEx>
        <w:trPr>
          <w:trHeight w:val="1807"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w:t>
            </w:r>
          </w:p>
        </w:tc>
      </w:tr>
      <w:tr>
        <w:tblPrEx>
          <w:tblLayout w:type="fixed"/>
          <w:tblCellMar>
            <w:top w:w="0" w:type="dxa"/>
            <w:left w:w="0" w:type="dxa"/>
            <w:bottom w:w="0" w:type="dxa"/>
            <w:right w:w="0" w:type="dxa"/>
          </w:tblCellMar>
        </w:tblPrEx>
        <w:trPr>
          <w:trHeight w:val="276" w:hRule="atLeast"/>
          <w:jc w:val="center"/>
        </w:trPr>
        <w:tc>
          <w:tcPr>
            <w:tcW w:w="6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实际完成目标</w:t>
            </w:r>
          </w:p>
        </w:tc>
      </w:tr>
      <w:tr>
        <w:tblPrEx>
          <w:tblLayout w:type="fixed"/>
          <w:tblCellMar>
            <w:top w:w="0" w:type="dxa"/>
            <w:left w:w="0" w:type="dxa"/>
            <w:bottom w:w="0" w:type="dxa"/>
            <w:right w:w="0" w:type="dxa"/>
          </w:tblCellMar>
        </w:tblPrEx>
        <w:trPr>
          <w:trHeight w:val="1159"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cs="宋体"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为市行政中心安全保卫工作提供了技防支撑。</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完成了市行政中心安全保卫工作提供了技防支撑。</w:t>
            </w:r>
          </w:p>
        </w:tc>
      </w:tr>
      <w:tr>
        <w:tblPrEx>
          <w:tblLayout w:type="fixed"/>
          <w:tblCellMar>
            <w:top w:w="0" w:type="dxa"/>
            <w:left w:w="0" w:type="dxa"/>
            <w:bottom w:w="0" w:type="dxa"/>
            <w:right w:w="0" w:type="dxa"/>
          </w:tblCellMar>
        </w:tblPrEx>
        <w:trPr>
          <w:trHeight w:val="1042" w:hRule="atLeast"/>
          <w:jc w:val="center"/>
        </w:trPr>
        <w:tc>
          <w:tcPr>
            <w:tcW w:w="6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实际完成指标值(包含数字及文字描述)</w:t>
            </w:r>
          </w:p>
        </w:tc>
      </w:tr>
      <w:tr>
        <w:tblPrEx>
          <w:tblLayout w:type="fixed"/>
          <w:tblCellMar>
            <w:top w:w="0" w:type="dxa"/>
            <w:left w:w="0" w:type="dxa"/>
            <w:bottom w:w="0" w:type="dxa"/>
            <w:right w:w="0" w:type="dxa"/>
          </w:tblCellMar>
        </w:tblPrEx>
        <w:trPr>
          <w:trHeight w:val="953"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365天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365天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365天</w:t>
            </w:r>
          </w:p>
        </w:tc>
      </w:tr>
      <w:tr>
        <w:tblPrEx>
          <w:tblLayout w:type="fixed"/>
          <w:tblCellMar>
            <w:top w:w="0" w:type="dxa"/>
            <w:left w:w="0" w:type="dxa"/>
            <w:bottom w:w="0" w:type="dxa"/>
            <w:right w:w="0" w:type="dxa"/>
          </w:tblCellMar>
        </w:tblPrEx>
        <w:trPr>
          <w:trHeight w:val="1297"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通过验收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通过验收</w:t>
            </w:r>
          </w:p>
        </w:tc>
      </w:tr>
      <w:tr>
        <w:tblPrEx>
          <w:tblLayout w:type="fixed"/>
          <w:tblCellMar>
            <w:top w:w="0" w:type="dxa"/>
            <w:left w:w="0" w:type="dxa"/>
            <w:bottom w:w="0" w:type="dxa"/>
            <w:right w:w="0" w:type="dxa"/>
          </w:tblCellMar>
        </w:tblPrEx>
        <w:trPr>
          <w:trHeight w:val="1042"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2018年12月31日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完成</w:t>
            </w:r>
          </w:p>
        </w:tc>
      </w:tr>
      <w:tr>
        <w:tblPrEx>
          <w:tblLayout w:type="fixed"/>
          <w:tblCellMar>
            <w:top w:w="0" w:type="dxa"/>
            <w:left w:w="0" w:type="dxa"/>
            <w:bottom w:w="0" w:type="dxa"/>
            <w:right w:w="0" w:type="dxa"/>
          </w:tblCellMar>
        </w:tblPrEx>
        <w:trPr>
          <w:trHeight w:val="1042"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和社会成本比较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社会平均成本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社会平均成本</w:t>
            </w:r>
          </w:p>
        </w:tc>
      </w:tr>
      <w:tr>
        <w:tblPrEx>
          <w:tblLayout w:type="fixed"/>
          <w:tblCellMar>
            <w:top w:w="0" w:type="dxa"/>
            <w:left w:w="0" w:type="dxa"/>
            <w:bottom w:w="0" w:type="dxa"/>
            <w:right w:w="0" w:type="dxa"/>
          </w:tblCellMar>
        </w:tblPrEx>
        <w:trPr>
          <w:trHeight w:val="1042"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r>
      <w:tr>
        <w:tblPrEx>
          <w:tblLayout w:type="fixed"/>
          <w:tblCellMar>
            <w:top w:w="0" w:type="dxa"/>
            <w:left w:w="0" w:type="dxa"/>
            <w:bottom w:w="0" w:type="dxa"/>
            <w:right w:w="0" w:type="dxa"/>
          </w:tblCellMar>
        </w:tblPrEx>
        <w:trPr>
          <w:trHeight w:val="1042"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长期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长期</w:t>
            </w:r>
          </w:p>
        </w:tc>
      </w:tr>
      <w:tr>
        <w:tblPrEx>
          <w:tblLayout w:type="fixed"/>
          <w:tblCellMar>
            <w:top w:w="0" w:type="dxa"/>
            <w:left w:w="0" w:type="dxa"/>
            <w:bottom w:w="0" w:type="dxa"/>
            <w:right w:w="0" w:type="dxa"/>
          </w:tblCellMar>
        </w:tblPrEx>
        <w:trPr>
          <w:trHeight w:val="1042"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对生态不良影响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r>
      <w:tr>
        <w:tblPrEx>
          <w:tblLayout w:type="fixed"/>
          <w:tblCellMar>
            <w:top w:w="0" w:type="dxa"/>
            <w:left w:w="0" w:type="dxa"/>
            <w:bottom w:w="0" w:type="dxa"/>
            <w:right w:w="0" w:type="dxa"/>
          </w:tblCellMar>
        </w:tblPrEx>
        <w:trPr>
          <w:trHeight w:val="1297"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是否可持续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可持续</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可持续</w:t>
            </w:r>
          </w:p>
        </w:tc>
      </w:tr>
      <w:tr>
        <w:tblPrEx>
          <w:tblLayout w:type="fixed"/>
          <w:tblCellMar>
            <w:top w:w="0" w:type="dxa"/>
            <w:left w:w="0" w:type="dxa"/>
            <w:bottom w:w="0" w:type="dxa"/>
            <w:right w:w="0" w:type="dxa"/>
          </w:tblCellMar>
        </w:tblPrEx>
        <w:trPr>
          <w:trHeight w:val="1050"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r>
    </w:tbl>
    <w:p>
      <w:r>
        <w:br w:type="page"/>
      </w:r>
    </w:p>
    <w:tbl>
      <w:tblPr>
        <w:tblStyle w:val="14"/>
        <w:tblW w:w="10229" w:type="dxa"/>
        <w:jc w:val="center"/>
        <w:tblInd w:w="0" w:type="dxa"/>
        <w:tblLayout w:type="fixed"/>
        <w:tblCellMar>
          <w:top w:w="0" w:type="dxa"/>
          <w:left w:w="0" w:type="dxa"/>
          <w:bottom w:w="0" w:type="dxa"/>
          <w:right w:w="0" w:type="dxa"/>
        </w:tblCellMar>
      </w:tblPr>
      <w:tblGrid>
        <w:gridCol w:w="659"/>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10229" w:type="dxa"/>
            <w:gridSpan w:val="6"/>
            <w:tcMar>
              <w:top w:w="15" w:type="dxa"/>
              <w:left w:w="15" w:type="dxa"/>
              <w:bottom w:w="0" w:type="dxa"/>
              <w:right w:w="15" w:type="dxa"/>
            </w:tcMar>
            <w:vAlign w:val="center"/>
          </w:tcPr>
          <w:p>
            <w:pPr>
              <w:widowControl/>
              <w:jc w:val="center"/>
              <w:textAlignment w:val="center"/>
              <w:rPr>
                <w:rFonts w:ascii="宋体" w:hAnsi="宋体" w:cs="宋体"/>
                <w:color w:val="000000" w:themeColor="text1"/>
                <w:sz w:val="36"/>
                <w:szCs w:val="36"/>
                <w14:textFill>
                  <w14:solidFill>
                    <w14:schemeClr w14:val="tx1"/>
                  </w14:solidFill>
                </w14:textFill>
              </w:rPr>
            </w:pPr>
            <w:r>
              <w:rPr>
                <w:rFonts w:hint="eastAsia" w:ascii="黑体" w:hAnsi="黑体" w:eastAsia="黑体" w:cs="宋体"/>
                <w:bCs/>
                <w:color w:val="000000" w:themeColor="text1"/>
                <w:kern w:val="0"/>
                <w:sz w:val="36"/>
                <w:szCs w:val="36"/>
                <w14:textFill>
                  <w14:solidFill>
                    <w14:schemeClr w14:val="tx1"/>
                  </w14:solidFill>
                </w14:textFill>
              </w:rPr>
              <w:t>5、公务用车保障平台项目支出绩效目标完成情况表</w:t>
            </w:r>
          </w:p>
        </w:tc>
      </w:tr>
      <w:tr>
        <w:tblPrEx>
          <w:tblLayout w:type="fixed"/>
          <w:tblCellMar>
            <w:top w:w="0" w:type="dxa"/>
            <w:left w:w="0" w:type="dxa"/>
            <w:bottom w:w="0" w:type="dxa"/>
            <w:right w:w="0" w:type="dxa"/>
          </w:tblCellMar>
        </w:tblPrEx>
        <w:trPr>
          <w:trHeight w:val="276" w:hRule="atLeast"/>
          <w:jc w:val="center"/>
        </w:trPr>
        <w:tc>
          <w:tcPr>
            <w:tcW w:w="30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公务用车保障平台</w:t>
            </w:r>
          </w:p>
        </w:tc>
      </w:tr>
      <w:tr>
        <w:tblPrEx>
          <w:tblLayout w:type="fixed"/>
          <w:tblCellMar>
            <w:top w:w="0" w:type="dxa"/>
            <w:left w:w="0" w:type="dxa"/>
            <w:bottom w:w="0" w:type="dxa"/>
            <w:right w:w="0" w:type="dxa"/>
          </w:tblCellMar>
        </w:tblPrEx>
        <w:trPr>
          <w:trHeight w:val="276" w:hRule="atLeast"/>
          <w:jc w:val="center"/>
        </w:trPr>
        <w:tc>
          <w:tcPr>
            <w:tcW w:w="30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广元市机关事务管理局</w:t>
            </w:r>
          </w:p>
        </w:tc>
      </w:tr>
      <w:tr>
        <w:tblPrEx>
          <w:tblLayout w:type="fixed"/>
          <w:tblCellMar>
            <w:top w:w="0" w:type="dxa"/>
            <w:left w:w="0" w:type="dxa"/>
            <w:bottom w:w="0" w:type="dxa"/>
            <w:right w:w="0" w:type="dxa"/>
          </w:tblCellMar>
        </w:tblPrEx>
        <w:trPr>
          <w:trHeight w:val="276" w:hRule="atLeast"/>
          <w:jc w:val="center"/>
        </w:trPr>
        <w:tc>
          <w:tcPr>
            <w:tcW w:w="6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15.36万元</w:t>
            </w:r>
          </w:p>
        </w:tc>
      </w:tr>
      <w:tr>
        <w:tblPrEx>
          <w:tblLayout w:type="fixed"/>
          <w:tblCellMar>
            <w:top w:w="0" w:type="dxa"/>
            <w:left w:w="0" w:type="dxa"/>
            <w:bottom w:w="0" w:type="dxa"/>
            <w:right w:w="0" w:type="dxa"/>
          </w:tblCellMar>
        </w:tblPrEx>
        <w:trPr>
          <w:trHeight w:val="276"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15.36万元</w:t>
            </w:r>
          </w:p>
        </w:tc>
      </w:tr>
      <w:tr>
        <w:tblPrEx>
          <w:tblLayout w:type="fixed"/>
          <w:tblCellMar>
            <w:top w:w="0" w:type="dxa"/>
            <w:left w:w="0" w:type="dxa"/>
            <w:bottom w:w="0" w:type="dxa"/>
            <w:right w:w="0" w:type="dxa"/>
          </w:tblCellMar>
        </w:tblPrEx>
        <w:trPr>
          <w:trHeight w:val="1511"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w:t>
            </w:r>
          </w:p>
        </w:tc>
      </w:tr>
      <w:tr>
        <w:tblPrEx>
          <w:tblLayout w:type="fixed"/>
          <w:tblCellMar>
            <w:top w:w="0" w:type="dxa"/>
            <w:left w:w="0" w:type="dxa"/>
            <w:bottom w:w="0" w:type="dxa"/>
            <w:right w:w="0" w:type="dxa"/>
          </w:tblCellMar>
        </w:tblPrEx>
        <w:trPr>
          <w:trHeight w:val="276" w:hRule="atLeast"/>
          <w:jc w:val="center"/>
        </w:trPr>
        <w:tc>
          <w:tcPr>
            <w:tcW w:w="6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实际完成目标</w:t>
            </w:r>
          </w:p>
        </w:tc>
      </w:tr>
      <w:tr>
        <w:tblPrEx>
          <w:tblLayout w:type="fixed"/>
          <w:tblCellMar>
            <w:top w:w="0" w:type="dxa"/>
            <w:left w:w="0" w:type="dxa"/>
            <w:bottom w:w="0" w:type="dxa"/>
            <w:right w:w="0" w:type="dxa"/>
          </w:tblCellMar>
        </w:tblPrEx>
        <w:trPr>
          <w:trHeight w:val="1159"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为了保障全市公务车辆平台化管理。</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保障全市公务车辆平台化管理。</w:t>
            </w:r>
          </w:p>
        </w:tc>
      </w:tr>
      <w:tr>
        <w:tblPrEx>
          <w:tblLayout w:type="fixed"/>
          <w:tblCellMar>
            <w:top w:w="0" w:type="dxa"/>
            <w:left w:w="0" w:type="dxa"/>
            <w:bottom w:w="0" w:type="dxa"/>
            <w:right w:w="0" w:type="dxa"/>
          </w:tblCellMar>
        </w:tblPrEx>
        <w:trPr>
          <w:trHeight w:val="1042" w:hRule="atLeast"/>
          <w:jc w:val="center"/>
        </w:trPr>
        <w:tc>
          <w:tcPr>
            <w:tcW w:w="6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实际完成指标值(包含数字及文字描述)</w:t>
            </w:r>
          </w:p>
        </w:tc>
      </w:tr>
      <w:tr>
        <w:tblPrEx>
          <w:tblLayout w:type="fixed"/>
          <w:tblCellMar>
            <w:top w:w="0" w:type="dxa"/>
            <w:left w:w="0" w:type="dxa"/>
            <w:bottom w:w="0" w:type="dxa"/>
            <w:right w:w="0" w:type="dxa"/>
          </w:tblCellMar>
        </w:tblPrEx>
        <w:trPr>
          <w:trHeight w:val="953"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365天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365天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365天</w:t>
            </w:r>
          </w:p>
        </w:tc>
      </w:tr>
      <w:tr>
        <w:tblPrEx>
          <w:tblLayout w:type="fixed"/>
          <w:tblCellMar>
            <w:top w:w="0" w:type="dxa"/>
            <w:left w:w="0" w:type="dxa"/>
            <w:bottom w:w="0" w:type="dxa"/>
            <w:right w:w="0" w:type="dxa"/>
          </w:tblCellMar>
        </w:tblPrEx>
        <w:trPr>
          <w:trHeight w:val="1297"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通过验收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通过验收</w:t>
            </w:r>
          </w:p>
        </w:tc>
      </w:tr>
      <w:tr>
        <w:tblPrEx>
          <w:tblLayout w:type="fixed"/>
          <w:tblCellMar>
            <w:top w:w="0" w:type="dxa"/>
            <w:left w:w="0" w:type="dxa"/>
            <w:bottom w:w="0" w:type="dxa"/>
            <w:right w:w="0" w:type="dxa"/>
          </w:tblCellMar>
        </w:tblPrEx>
        <w:trPr>
          <w:trHeight w:val="1042"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2018年12月31日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完成</w:t>
            </w:r>
          </w:p>
        </w:tc>
      </w:tr>
      <w:tr>
        <w:tblPrEx>
          <w:tblLayout w:type="fixed"/>
          <w:tblCellMar>
            <w:top w:w="0" w:type="dxa"/>
            <w:left w:w="0" w:type="dxa"/>
            <w:bottom w:w="0" w:type="dxa"/>
            <w:right w:w="0" w:type="dxa"/>
          </w:tblCellMar>
        </w:tblPrEx>
        <w:trPr>
          <w:trHeight w:val="1042"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和社会成本比较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社会平均成本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社会平均成本</w:t>
            </w:r>
          </w:p>
        </w:tc>
      </w:tr>
      <w:tr>
        <w:tblPrEx>
          <w:tblLayout w:type="fixed"/>
          <w:tblCellMar>
            <w:top w:w="0" w:type="dxa"/>
            <w:left w:w="0" w:type="dxa"/>
            <w:bottom w:w="0" w:type="dxa"/>
            <w:right w:w="0" w:type="dxa"/>
          </w:tblCellMar>
        </w:tblPrEx>
        <w:trPr>
          <w:trHeight w:val="1042"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r>
      <w:tr>
        <w:tblPrEx>
          <w:tblLayout w:type="fixed"/>
          <w:tblCellMar>
            <w:top w:w="0" w:type="dxa"/>
            <w:left w:w="0" w:type="dxa"/>
            <w:bottom w:w="0" w:type="dxa"/>
            <w:right w:w="0" w:type="dxa"/>
          </w:tblCellMar>
        </w:tblPrEx>
        <w:trPr>
          <w:trHeight w:val="1042"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长期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长期</w:t>
            </w:r>
          </w:p>
        </w:tc>
      </w:tr>
      <w:tr>
        <w:tblPrEx>
          <w:tblLayout w:type="fixed"/>
          <w:tblCellMar>
            <w:top w:w="0" w:type="dxa"/>
            <w:left w:w="0" w:type="dxa"/>
            <w:bottom w:w="0" w:type="dxa"/>
            <w:right w:w="0" w:type="dxa"/>
          </w:tblCellMar>
        </w:tblPrEx>
        <w:trPr>
          <w:trHeight w:val="1042"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对生态不良影响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r>
      <w:tr>
        <w:tblPrEx>
          <w:tblLayout w:type="fixed"/>
          <w:tblCellMar>
            <w:top w:w="0" w:type="dxa"/>
            <w:left w:w="0" w:type="dxa"/>
            <w:bottom w:w="0" w:type="dxa"/>
            <w:right w:w="0" w:type="dxa"/>
          </w:tblCellMar>
        </w:tblPrEx>
        <w:trPr>
          <w:trHeight w:val="1297"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是否可持续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可持续</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可持续</w:t>
            </w:r>
          </w:p>
        </w:tc>
      </w:tr>
      <w:tr>
        <w:tblPrEx>
          <w:tblLayout w:type="fixed"/>
          <w:tblCellMar>
            <w:top w:w="0" w:type="dxa"/>
            <w:left w:w="0" w:type="dxa"/>
            <w:bottom w:w="0" w:type="dxa"/>
            <w:right w:w="0" w:type="dxa"/>
          </w:tblCellMar>
        </w:tblPrEx>
        <w:trPr>
          <w:trHeight w:val="1050"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p>
        </w:tc>
      </w:tr>
    </w:tbl>
    <w:p>
      <w:pPr>
        <w:pStyle w:val="5"/>
        <w:kinsoku w:val="0"/>
        <w:overflowPunct w:val="0"/>
        <w:spacing w:before="93" w:line="600" w:lineRule="exact"/>
        <w:ind w:firstLine="640" w:firstLineChars="200"/>
        <w:rPr>
          <w:rFonts w:ascii="楷体_GB2312" w:hAnsi="黑体" w:eastAsia="楷体_GB2312" w:cs="仿宋_GB2312"/>
          <w:color w:val="000000" w:themeColor="text1"/>
          <w:sz w:val="32"/>
          <w:szCs w:val="32"/>
          <w14:textFill>
            <w14:solidFill>
              <w14:schemeClr w14:val="tx1"/>
            </w14:solidFill>
          </w14:textFill>
        </w:rPr>
      </w:pPr>
      <w:r>
        <w:rPr>
          <w:rFonts w:hint="eastAsia" w:ascii="楷体_GB2312" w:hAnsi="黑体" w:eastAsia="楷体_GB2312" w:cs="楷体_GB2312"/>
          <w:bCs/>
          <w:color w:val="000000" w:themeColor="text1"/>
          <w:sz w:val="32"/>
          <w:szCs w:val="32"/>
          <w14:textFill>
            <w14:solidFill>
              <w14:schemeClr w14:val="tx1"/>
            </w14:solidFill>
          </w14:textFill>
        </w:rPr>
        <w:t>（三）部门开展绩效评价结果</w:t>
      </w:r>
    </w:p>
    <w:p>
      <w:pPr>
        <w:spacing w:line="600" w:lineRule="exact"/>
        <w:ind w:firstLine="640" w:firstLineChars="200"/>
        <w:rPr>
          <w:rFonts w:ascii="楷体_GB2312" w:eastAsia="楷体_GB2312" w:cs="楷体_GB2312" w:hAnsiTheme="majorEastAsia"/>
          <w:color w:val="000000" w:themeColor="text1"/>
          <w:spacing w:val="2"/>
          <w14:textFill>
            <w14:solidFill>
              <w14:schemeClr w14:val="tx1"/>
            </w14:solidFill>
          </w14:textFill>
        </w:rPr>
      </w:pPr>
      <w:r>
        <w:rPr>
          <w:rFonts w:hint="eastAsia" w:ascii="仿宋_GB2312" w:eastAsia="仿宋_GB2312" w:hAnsiTheme="majorEastAsia"/>
          <w:color w:val="000000" w:themeColor="text1"/>
          <w:sz w:val="32"/>
          <w:szCs w:val="32"/>
          <w:lang w:val="zh-CN"/>
          <w14:textFill>
            <w14:solidFill>
              <w14:schemeClr w14:val="tx1"/>
            </w14:solidFill>
          </w14:textFill>
        </w:rPr>
        <w:t>2018年，在市财政局的监督管理下，本部门积极探索完善财政资金管理的有效机制，不断完善管理制度，形成了一套行之有效的资金管理体系，保证了资金的安全、有效运行，取得了良好的效果。所有资金实行专款专用，资金拨付严格审批程序，使用规范，会计核算结果真实、准确。</w:t>
      </w:r>
    </w:p>
    <w:p>
      <w:pPr>
        <w:spacing w:line="600" w:lineRule="exact"/>
        <w:ind w:firstLine="640" w:firstLineChars="200"/>
        <w:outlineLvl w:val="1"/>
        <w:rPr>
          <w:rStyle w:val="27"/>
          <w:rFonts w:ascii="黑体" w:hAnsi="黑体" w:eastAsia="黑体"/>
          <w:color w:val="000000" w:themeColor="text1"/>
          <w14:textFill>
            <w14:solidFill>
              <w14:schemeClr w14:val="tx1"/>
            </w14:solidFill>
          </w14:textFill>
        </w:rPr>
      </w:pPr>
      <w:bookmarkStart w:id="59" w:name="_Toc15377221"/>
      <w:bookmarkStart w:id="60" w:name="_Toc20390775"/>
      <w:r>
        <w:rPr>
          <w:rFonts w:hint="eastAsia" w:ascii="黑体" w:hAnsi="黑体" w:eastAsia="黑体"/>
          <w:color w:val="000000" w:themeColor="text1"/>
          <w:sz w:val="32"/>
          <w:szCs w:val="32"/>
          <w14:textFill>
            <w14:solidFill>
              <w14:schemeClr w14:val="tx1"/>
            </w14:solidFill>
          </w14:textFill>
        </w:rPr>
        <w:t>十</w:t>
      </w:r>
      <w:r>
        <w:rPr>
          <w:rStyle w:val="27"/>
          <w:rFonts w:hint="eastAsia" w:ascii="黑体" w:hAnsi="黑体" w:eastAsia="黑体"/>
          <w:color w:val="000000" w:themeColor="text1"/>
          <w14:textFill>
            <w14:solidFill>
              <w14:schemeClr w14:val="tx1"/>
            </w14:solidFill>
          </w14:textFill>
        </w:rPr>
        <w:t>一、</w:t>
      </w:r>
      <w:r>
        <w:rPr>
          <w:rStyle w:val="27"/>
          <w:rFonts w:hint="eastAsia" w:ascii="黑体" w:hAnsi="黑体" w:eastAsia="黑体"/>
          <w:b w:val="0"/>
          <w:color w:val="000000" w:themeColor="text1"/>
          <w14:textFill>
            <w14:solidFill>
              <w14:schemeClr w14:val="tx1"/>
            </w14:solidFill>
          </w14:textFill>
        </w:rPr>
        <w:t>其他重要事项的情况说明</w:t>
      </w:r>
      <w:bookmarkEnd w:id="59"/>
      <w:bookmarkEnd w:id="60"/>
    </w:p>
    <w:p>
      <w:pPr>
        <w:spacing w:line="600" w:lineRule="exact"/>
        <w:ind w:firstLine="640" w:firstLineChars="200"/>
        <w:outlineLvl w:val="2"/>
        <w:rPr>
          <w:rFonts w:ascii="楷体_GB2312" w:hAnsi="仿宋" w:eastAsia="楷体_GB2312"/>
          <w:color w:val="000000" w:themeColor="text1"/>
          <w:sz w:val="32"/>
          <w:szCs w:val="32"/>
          <w14:textFill>
            <w14:solidFill>
              <w14:schemeClr w14:val="tx1"/>
            </w14:solidFill>
          </w14:textFill>
        </w:rPr>
      </w:pPr>
      <w:bookmarkStart w:id="61" w:name="_Toc15377222"/>
      <w:r>
        <w:rPr>
          <w:rFonts w:hint="eastAsia" w:ascii="楷体_GB2312" w:hAnsi="仿宋" w:eastAsia="楷体_GB2312"/>
          <w:color w:val="000000" w:themeColor="text1"/>
          <w:sz w:val="32"/>
          <w:szCs w:val="32"/>
          <w14:textFill>
            <w14:solidFill>
              <w14:schemeClr w14:val="tx1"/>
            </w14:solidFill>
          </w14:textFill>
        </w:rPr>
        <w:t>（一）机关运行经费支出情况</w:t>
      </w:r>
      <w:bookmarkEnd w:id="61"/>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2018年，市政府办公室机关运行经费支出1016.46万元，比2017年增加287.13万元，增长39%。</w:t>
      </w:r>
      <w:r>
        <w:rPr>
          <w:rFonts w:hint="eastAsia" w:ascii="仿宋_GB2312" w:hAnsi="仿宋" w:eastAsia="仿宋_GB2312"/>
          <w:color w:val="000000" w:themeColor="text1"/>
          <w:sz w:val="32"/>
          <w:szCs w:val="32"/>
          <w14:textFill>
            <w14:solidFill>
              <w14:schemeClr w14:val="tx1"/>
            </w14:solidFill>
          </w14:textFill>
        </w:rPr>
        <w:t>主要变动原因是三大主战场脱贫攻坚、项目投资、产业发展、外出招商、下乡调研、督导频次增加。</w:t>
      </w:r>
    </w:p>
    <w:p>
      <w:pPr>
        <w:spacing w:line="600" w:lineRule="exact"/>
        <w:ind w:firstLine="640" w:firstLineChars="200"/>
        <w:outlineLvl w:val="2"/>
        <w:rPr>
          <w:rFonts w:ascii="楷体_GB2312" w:hAnsi="仿宋" w:eastAsia="楷体_GB2312"/>
          <w:color w:val="000000" w:themeColor="text1"/>
          <w:sz w:val="32"/>
          <w:szCs w:val="32"/>
          <w14:textFill>
            <w14:solidFill>
              <w14:schemeClr w14:val="tx1"/>
            </w14:solidFill>
          </w14:textFill>
        </w:rPr>
      </w:pPr>
      <w:bookmarkStart w:id="62" w:name="_Toc15377223"/>
      <w:r>
        <w:rPr>
          <w:rFonts w:hint="eastAsia" w:ascii="楷体_GB2312" w:hAnsi="仿宋" w:eastAsia="楷体_GB2312"/>
          <w:color w:val="000000" w:themeColor="text1"/>
          <w:sz w:val="32"/>
          <w:szCs w:val="32"/>
          <w14:textFill>
            <w14:solidFill>
              <w14:schemeClr w14:val="tx1"/>
            </w14:solidFill>
          </w14:textFill>
        </w:rPr>
        <w:t>（二）政府采购支出情况</w:t>
      </w:r>
      <w:bookmarkEnd w:id="62"/>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201</w:t>
      </w:r>
      <w:r>
        <w:rPr>
          <w:rFonts w:hint="eastAsia" w:ascii="仿宋_GB2312" w:eastAsia="仿宋_GB2312"/>
          <w:color w:val="000000" w:themeColor="text1"/>
          <w:sz w:val="32"/>
          <w:szCs w:val="32"/>
          <w14:textFill>
            <w14:solidFill>
              <w14:schemeClr w14:val="tx1"/>
            </w14:solidFill>
          </w14:textFill>
        </w:rPr>
        <w:t>8年，市政府办公室政府采购支出总额17.8万元，其中：政府采购货物支出17.8万元。主要用于采购中小企业电脑100%；中小企业空调100%；中小企业家具70%，小微企业家具30%。</w:t>
      </w:r>
    </w:p>
    <w:p>
      <w:pPr>
        <w:spacing w:line="600" w:lineRule="exact"/>
        <w:ind w:firstLine="640" w:firstLineChars="200"/>
        <w:outlineLvl w:val="2"/>
        <w:rPr>
          <w:rFonts w:ascii="楷体_GB2312" w:hAnsi="仿宋" w:eastAsia="楷体_GB2312"/>
          <w:color w:val="000000" w:themeColor="text1"/>
          <w:sz w:val="32"/>
          <w:szCs w:val="32"/>
          <w14:textFill>
            <w14:solidFill>
              <w14:schemeClr w14:val="tx1"/>
            </w14:solidFill>
          </w14:textFill>
        </w:rPr>
      </w:pPr>
      <w:bookmarkStart w:id="63" w:name="_Toc15377224"/>
      <w:r>
        <w:rPr>
          <w:rFonts w:hint="eastAsia" w:ascii="楷体_GB2312" w:hAnsi="仿宋" w:eastAsia="楷体_GB2312"/>
          <w:color w:val="000000" w:themeColor="text1"/>
          <w:sz w:val="32"/>
          <w:szCs w:val="32"/>
          <w14:textFill>
            <w14:solidFill>
              <w14:schemeClr w14:val="tx1"/>
            </w14:solidFill>
          </w14:textFill>
        </w:rPr>
        <w:t>（三）国有资产占有使用情况</w:t>
      </w:r>
      <w:bookmarkEnd w:id="63"/>
    </w:p>
    <w:p>
      <w:pPr>
        <w:autoSpaceDE w:val="0"/>
        <w:autoSpaceDN w:val="0"/>
        <w:adjustRightIn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截至</w:t>
      </w:r>
      <w:r>
        <w:rPr>
          <w:rFonts w:ascii="仿宋_GB2312" w:eastAsia="仿宋_GB2312"/>
          <w:color w:val="000000" w:themeColor="text1"/>
          <w:sz w:val="32"/>
          <w:szCs w:val="32"/>
          <w14:textFill>
            <w14:solidFill>
              <w14:schemeClr w14:val="tx1"/>
            </w14:solidFill>
          </w14:textFill>
        </w:rPr>
        <w:t>201</w:t>
      </w:r>
      <w:r>
        <w:rPr>
          <w:rFonts w:hint="eastAsia" w:ascii="仿宋_GB2312" w:eastAsia="仿宋_GB2312"/>
          <w:color w:val="000000" w:themeColor="text1"/>
          <w:sz w:val="32"/>
          <w:szCs w:val="32"/>
          <w14:textFill>
            <w14:solidFill>
              <w14:schemeClr w14:val="tx1"/>
            </w14:solidFill>
          </w14:textFill>
        </w:rPr>
        <w:t>8年</w:t>
      </w:r>
      <w:r>
        <w:rPr>
          <w:rFonts w:ascii="仿宋_GB2312" w:eastAsia="仿宋_GB2312"/>
          <w:color w:val="000000" w:themeColor="text1"/>
          <w:sz w:val="32"/>
          <w:szCs w:val="32"/>
          <w14:textFill>
            <w14:solidFill>
              <w14:schemeClr w14:val="tx1"/>
            </w14:solidFill>
          </w14:textFill>
        </w:rPr>
        <w:t>12</w:t>
      </w:r>
      <w:r>
        <w:rPr>
          <w:rFonts w:hint="eastAsia" w:ascii="仿宋_GB2312" w:eastAsia="仿宋_GB2312"/>
          <w:color w:val="000000" w:themeColor="text1"/>
          <w:sz w:val="32"/>
          <w:szCs w:val="32"/>
          <w14:textFill>
            <w14:solidFill>
              <w14:schemeClr w14:val="tx1"/>
            </w14:solidFill>
          </w14:textFill>
        </w:rPr>
        <w:t>月</w:t>
      </w:r>
      <w:r>
        <w:rPr>
          <w:rFonts w:ascii="仿宋_GB2312" w:eastAsia="仿宋_GB2312"/>
          <w:color w:val="000000" w:themeColor="text1"/>
          <w:sz w:val="32"/>
          <w:szCs w:val="32"/>
          <w14:textFill>
            <w14:solidFill>
              <w14:schemeClr w14:val="tx1"/>
            </w14:solidFill>
          </w14:textFill>
        </w:rPr>
        <w:t>31</w:t>
      </w:r>
      <w:r>
        <w:rPr>
          <w:rFonts w:hint="eastAsia" w:ascii="仿宋_GB2312" w:eastAsia="仿宋_GB2312"/>
          <w:color w:val="000000" w:themeColor="text1"/>
          <w:sz w:val="32"/>
          <w:szCs w:val="32"/>
          <w14:textFill>
            <w14:solidFill>
              <w14:schemeClr w14:val="tx1"/>
            </w14:solidFill>
          </w14:textFill>
        </w:rPr>
        <w:t>日，市政府办公室共有车辆90辆（原市机关事务管理局负责管理市本级统筹保留公务用车41台，过渡性保障用车44台；政府办2台，实物保障用车1辆；原应急办1台；驻蓉办1台），其中：领导干部用车3辆、应急保障用车1辆、其他用车86辆，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万元以上通用设备0台，单价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themeColor="text1"/>
          <w:sz w:val="32"/>
          <w:szCs w:val="32"/>
          <w14:textFill>
            <w14:solidFill>
              <w14:schemeClr w14:val="tx1"/>
            </w14:solidFill>
          </w14:textFill>
        </w:rPr>
        <w:t>万元以上专用设备1台。</w:t>
      </w:r>
    </w:p>
    <w:p>
      <w:pPr>
        <w:pStyle w:val="5"/>
        <w:kinsoku w:val="0"/>
        <w:overflowPunct w:val="0"/>
        <w:spacing w:before="93" w:line="600" w:lineRule="exact"/>
        <w:jc w:val="center"/>
        <w:rPr>
          <w:rStyle w:val="26"/>
          <w:rFonts w:ascii="黑体" w:hAnsi="黑体" w:eastAsia="黑体"/>
          <w:b w:val="0"/>
          <w:color w:val="000000" w:themeColor="text1"/>
          <w14:textFill>
            <w14:solidFill>
              <w14:schemeClr w14:val="tx1"/>
            </w14:solidFill>
          </w14:textFill>
        </w:rPr>
      </w:pPr>
    </w:p>
    <w:p>
      <w:pPr>
        <w:widowControl/>
        <w:jc w:val="left"/>
        <w:rPr>
          <w:rStyle w:val="26"/>
          <w:rFonts w:ascii="黑体" w:hAnsi="黑体" w:eastAsia="黑体"/>
          <w:b w:val="0"/>
          <w:color w:val="000000" w:themeColor="text1"/>
          <w14:textFill>
            <w14:solidFill>
              <w14:schemeClr w14:val="tx1"/>
            </w14:solidFill>
          </w14:textFill>
        </w:rPr>
      </w:pPr>
      <w:bookmarkStart w:id="64" w:name="_Toc20390776"/>
      <w:r>
        <w:rPr>
          <w:rStyle w:val="26"/>
          <w:rFonts w:ascii="黑体" w:hAnsi="黑体" w:eastAsia="黑体"/>
          <w:b w:val="0"/>
          <w:color w:val="000000" w:themeColor="text1"/>
          <w14:textFill>
            <w14:solidFill>
              <w14:schemeClr w14:val="tx1"/>
            </w14:solidFill>
          </w14:textFill>
        </w:rPr>
        <w:br w:type="page"/>
      </w:r>
    </w:p>
    <w:p>
      <w:pPr>
        <w:pStyle w:val="5"/>
        <w:kinsoku w:val="0"/>
        <w:overflowPunct w:val="0"/>
        <w:spacing w:before="93" w:line="600" w:lineRule="exact"/>
        <w:jc w:val="center"/>
        <w:rPr>
          <w:rStyle w:val="26"/>
          <w:rFonts w:ascii="黑体" w:hAnsi="黑体" w:eastAsia="黑体"/>
          <w:b w:val="0"/>
          <w:color w:val="000000" w:themeColor="text1"/>
          <w14:textFill>
            <w14:solidFill>
              <w14:schemeClr w14:val="tx1"/>
            </w14:solidFill>
          </w14:textFill>
        </w:rPr>
      </w:pPr>
      <w:r>
        <w:rPr>
          <w:rStyle w:val="26"/>
          <w:rFonts w:hint="eastAsia" w:ascii="黑体" w:hAnsi="黑体" w:eastAsia="黑体"/>
          <w:b w:val="0"/>
          <w:color w:val="000000" w:themeColor="text1"/>
          <w14:textFill>
            <w14:solidFill>
              <w14:schemeClr w14:val="tx1"/>
            </w14:solidFill>
          </w14:textFill>
        </w:rPr>
        <w:t>第三部分</w:t>
      </w:r>
      <w:bookmarkEnd w:id="64"/>
      <w:r>
        <w:rPr>
          <w:rStyle w:val="26"/>
          <w:rFonts w:hint="eastAsia" w:ascii="黑体" w:hAnsi="黑体" w:eastAsia="黑体"/>
          <w:b w:val="0"/>
          <w:color w:val="000000" w:themeColor="text1"/>
          <w14:textFill>
            <w14:solidFill>
              <w14:schemeClr w14:val="tx1"/>
            </w14:solidFill>
          </w14:textFill>
        </w:rPr>
        <w:t xml:space="preserve">  </w:t>
      </w:r>
      <w:r>
        <w:rPr>
          <w:rFonts w:hint="eastAsia" w:ascii="黑体" w:hAnsi="黑体" w:eastAsia="黑体"/>
          <w:b/>
          <w:color w:val="000000" w:themeColor="text1"/>
          <w:sz w:val="44"/>
          <w:szCs w:val="44"/>
          <w14:textFill>
            <w14:solidFill>
              <w14:schemeClr w14:val="tx1"/>
            </w14:solidFill>
          </w14:textFill>
        </w:rPr>
        <w:t>名</w:t>
      </w:r>
      <w:r>
        <w:rPr>
          <w:rStyle w:val="26"/>
          <w:rFonts w:hint="eastAsia" w:ascii="黑体" w:hAnsi="黑体" w:eastAsia="黑体"/>
          <w:b w:val="0"/>
          <w:color w:val="000000" w:themeColor="text1"/>
          <w14:textFill>
            <w14:solidFill>
              <w14:schemeClr w14:val="tx1"/>
            </w14:solidFill>
          </w14:textFill>
        </w:rPr>
        <w:t>词解释</w:t>
      </w:r>
    </w:p>
    <w:p>
      <w:pPr>
        <w:pStyle w:val="5"/>
        <w:kinsoku w:val="0"/>
        <w:overflowPunct w:val="0"/>
        <w:spacing w:before="93" w:line="600" w:lineRule="exact"/>
        <w:jc w:val="center"/>
        <w:rPr>
          <w:rFonts w:ascii="黑体" w:hAnsi="黑体" w:eastAsia="黑体"/>
          <w:bCs/>
          <w:color w:val="000000" w:themeColor="text1"/>
          <w:kern w:val="44"/>
          <w:sz w:val="44"/>
          <w:szCs w:val="44"/>
          <w14:textFill>
            <w14:solidFill>
              <w14:schemeClr w14:val="tx1"/>
            </w14:solidFill>
          </w14:textFill>
        </w:rPr>
      </w:pPr>
    </w:p>
    <w:p>
      <w:pPr>
        <w:pStyle w:val="24"/>
        <w:spacing w:line="560" w:lineRule="exact"/>
        <w:ind w:firstLine="640" w:firstLineChars="200"/>
        <w:jc w:val="both"/>
        <w:rPr>
          <w:rFonts w:ascii="仿宋_GB2312" w:eastAsia="仿宋_GB2312"/>
          <w:sz w:val="32"/>
          <w:szCs w:val="32"/>
        </w:rPr>
      </w:pPr>
      <w:r>
        <w:rPr>
          <w:rFonts w:hint="eastAsia" w:ascii="仿宋_GB2312" w:eastAsia="仿宋_GB2312"/>
          <w:sz w:val="32"/>
          <w:szCs w:val="32"/>
        </w:rPr>
        <w:t>1</w:t>
      </w:r>
      <w:r>
        <w:rPr>
          <w:rFonts w:hint="eastAsia" w:ascii="仿宋_GB2312" w:hAnsi="宋体" w:eastAsia="仿宋_GB2312" w:cs="Arial Unicode MS"/>
          <w:sz w:val="32"/>
          <w:szCs w:val="32"/>
        </w:rPr>
        <w:t>．</w:t>
      </w:r>
      <w:r>
        <w:rPr>
          <w:rFonts w:hint="eastAsia" w:ascii="仿宋_GB2312" w:eastAsia="仿宋_GB2312"/>
          <w:sz w:val="32"/>
          <w:szCs w:val="32"/>
        </w:rPr>
        <w:t>财政拨款收入：指单位从同级财政部门取得的财政预算资金。</w:t>
      </w:r>
    </w:p>
    <w:p>
      <w:pPr>
        <w:pStyle w:val="24"/>
        <w:spacing w:line="560" w:lineRule="exact"/>
        <w:ind w:firstLine="640" w:firstLineChars="200"/>
        <w:jc w:val="both"/>
        <w:rPr>
          <w:rFonts w:ascii="仿宋_GB2312" w:eastAsia="仿宋_GB2312"/>
          <w:sz w:val="32"/>
          <w:szCs w:val="32"/>
        </w:rPr>
      </w:pPr>
      <w:r>
        <w:rPr>
          <w:rFonts w:hint="eastAsia" w:ascii="仿宋_GB2312" w:eastAsia="仿宋_GB2312"/>
          <w:sz w:val="32"/>
          <w:szCs w:val="32"/>
        </w:rPr>
        <w:t>2</w:t>
      </w:r>
      <w:r>
        <w:rPr>
          <w:rFonts w:hint="eastAsia" w:ascii="仿宋_GB2312" w:hAnsi="宋体" w:eastAsia="仿宋_GB2312" w:cs="Arial Unicode MS"/>
          <w:sz w:val="32"/>
          <w:szCs w:val="32"/>
        </w:rPr>
        <w:t>．</w:t>
      </w:r>
      <w:r>
        <w:rPr>
          <w:rFonts w:hint="eastAsia" w:ascii="仿宋_GB2312" w:eastAsia="仿宋_GB2312"/>
          <w:sz w:val="32"/>
          <w:szCs w:val="32"/>
        </w:rPr>
        <w:t>其他收入：指单位取得的除上述收入以外的各项收入。3</w:t>
      </w:r>
      <w:r>
        <w:rPr>
          <w:rFonts w:hint="eastAsia" w:ascii="仿宋_GB2312" w:hAnsi="宋体" w:eastAsia="仿宋_GB2312" w:cs="Arial Unicode MS"/>
          <w:sz w:val="32"/>
          <w:szCs w:val="32"/>
        </w:rPr>
        <w:t>．</w:t>
      </w:r>
      <w:r>
        <w:rPr>
          <w:rFonts w:hint="eastAsia" w:ascii="仿宋_GB2312" w:eastAsia="仿宋_GB2312"/>
          <w:sz w:val="32"/>
          <w:szCs w:val="32"/>
        </w:rPr>
        <w:t xml:space="preserve">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4"/>
        <w:spacing w:line="560" w:lineRule="exact"/>
        <w:ind w:firstLine="640" w:firstLineChars="200"/>
        <w:jc w:val="both"/>
        <w:rPr>
          <w:rFonts w:ascii="仿宋_GB2312" w:eastAsia="仿宋_GB2312"/>
          <w:sz w:val="32"/>
          <w:szCs w:val="32"/>
        </w:rPr>
      </w:pPr>
      <w:r>
        <w:rPr>
          <w:rFonts w:hint="eastAsia" w:ascii="仿宋_GB2312" w:eastAsia="仿宋_GB2312"/>
          <w:sz w:val="32"/>
          <w:szCs w:val="32"/>
        </w:rPr>
        <w:t>3</w:t>
      </w:r>
      <w:r>
        <w:rPr>
          <w:rFonts w:hint="eastAsia" w:ascii="仿宋_GB2312" w:hAnsi="宋体" w:eastAsia="仿宋_GB2312" w:cs="Arial Unicode MS"/>
          <w:sz w:val="32"/>
          <w:szCs w:val="32"/>
        </w:rPr>
        <w:t>．</w:t>
      </w:r>
      <w:r>
        <w:rPr>
          <w:rFonts w:hint="eastAsia" w:ascii="仿宋_GB2312" w:eastAsia="仿宋_GB2312"/>
          <w:sz w:val="32"/>
          <w:szCs w:val="32"/>
        </w:rPr>
        <w:t xml:space="preserve">年初结转和结余：指以前年度尚未完成、结转到本年按有关规定继续使用的资金。 </w:t>
      </w:r>
    </w:p>
    <w:p>
      <w:pPr>
        <w:pStyle w:val="24"/>
        <w:spacing w:line="560" w:lineRule="exact"/>
        <w:ind w:firstLine="640" w:firstLineChars="200"/>
        <w:jc w:val="both"/>
        <w:rPr>
          <w:rFonts w:ascii="仿宋_GB2312" w:eastAsia="仿宋_GB2312"/>
          <w:sz w:val="32"/>
          <w:szCs w:val="32"/>
        </w:rPr>
      </w:pPr>
      <w:r>
        <w:rPr>
          <w:rFonts w:hint="eastAsia" w:ascii="仿宋_GB2312" w:eastAsia="仿宋_GB2312"/>
          <w:sz w:val="32"/>
          <w:szCs w:val="32"/>
        </w:rPr>
        <w:t>4</w:t>
      </w:r>
      <w:r>
        <w:rPr>
          <w:rFonts w:hint="eastAsia" w:ascii="仿宋_GB2312" w:hAnsi="宋体" w:eastAsia="仿宋_GB2312" w:cs="Arial Unicode MS"/>
          <w:sz w:val="32"/>
          <w:szCs w:val="32"/>
        </w:rPr>
        <w:t>．</w:t>
      </w:r>
      <w:r>
        <w:rPr>
          <w:rFonts w:hint="eastAsia" w:ascii="仿宋_GB2312" w:eastAsia="仿宋_GB2312"/>
          <w:sz w:val="32"/>
          <w:szCs w:val="32"/>
        </w:rPr>
        <w:t>年末结转和结余：指单位按有关规定结转到下年或以后年度继续使用的资金。</w:t>
      </w:r>
    </w:p>
    <w:p>
      <w:pPr>
        <w:pStyle w:val="13"/>
        <w:spacing w:after="0" w:line="576" w:lineRule="exact"/>
        <w:ind w:firstLine="640" w:firstLineChars="200"/>
        <w:rPr>
          <w:rFonts w:ascii="仿宋_GB2312" w:hAnsi="宋体" w:eastAsia="仿宋_GB2312" w:cs="Arial Unicode MS"/>
          <w:color w:val="000000"/>
          <w:sz w:val="32"/>
          <w:szCs w:val="32"/>
        </w:rPr>
      </w:pPr>
      <w:r>
        <w:rPr>
          <w:rFonts w:hint="eastAsia" w:ascii="仿宋_GB2312" w:hAnsi="宋体" w:eastAsia="仿宋_GB2312"/>
          <w:color w:val="000000"/>
          <w:sz w:val="32"/>
          <w:szCs w:val="32"/>
        </w:rPr>
        <w:t>5.</w:t>
      </w:r>
      <w:r>
        <w:rPr>
          <w:rFonts w:hint="eastAsia" w:ascii="仿宋_GB2312" w:hAnsi="宋体" w:eastAsia="仿宋_GB2312" w:cs="Arial Unicode MS"/>
          <w:color w:val="000000"/>
          <w:sz w:val="32"/>
          <w:szCs w:val="32"/>
        </w:rPr>
        <w:t>市政府办公室及相关机构事务行政运行是反映行政单位（包括公务员管理的事业单位）的基本支出。</w:t>
      </w:r>
    </w:p>
    <w:p>
      <w:pPr>
        <w:pStyle w:val="13"/>
        <w:spacing w:after="0" w:line="550" w:lineRule="exact"/>
        <w:ind w:firstLine="640" w:firstLineChars="200"/>
        <w:rPr>
          <w:rFonts w:ascii="仿宋_GB2312" w:hAnsi="宋体" w:eastAsia="仿宋_GB2312" w:cs="Arial Unicode MS"/>
          <w:color w:val="000000"/>
          <w:sz w:val="32"/>
          <w:szCs w:val="32"/>
        </w:rPr>
      </w:pPr>
      <w:r>
        <w:rPr>
          <w:rFonts w:hint="eastAsia" w:ascii="仿宋_GB2312" w:hAnsi="宋体" w:eastAsia="仿宋_GB2312" w:cs="Arial Unicode MS"/>
          <w:color w:val="000000"/>
          <w:sz w:val="32"/>
          <w:szCs w:val="32"/>
        </w:rPr>
        <w:t>6.市政府办公室及相关机构事务一般行政管理事务是反映行政单位（包括公务员管理的事业单位）未单独设置项级科目的其他项目支出。</w:t>
      </w:r>
    </w:p>
    <w:p>
      <w:pPr>
        <w:pStyle w:val="13"/>
        <w:spacing w:after="0" w:line="550" w:lineRule="exact"/>
        <w:ind w:firstLine="640" w:firstLineChars="200"/>
        <w:rPr>
          <w:rFonts w:ascii="仿宋_GB2312" w:hAnsi="宋体" w:eastAsia="仿宋_GB2312" w:cs="Arial Unicode MS"/>
          <w:color w:val="000000"/>
          <w:sz w:val="32"/>
          <w:szCs w:val="32"/>
          <w:u w:val="single"/>
        </w:rPr>
      </w:pPr>
      <w:r>
        <w:rPr>
          <w:rFonts w:hint="eastAsia" w:ascii="仿宋_GB2312" w:hAnsi="宋体" w:eastAsia="仿宋_GB2312" w:cs="Arial Unicode MS"/>
          <w:color w:val="000000"/>
          <w:sz w:val="32"/>
          <w:szCs w:val="32"/>
        </w:rPr>
        <w:t>7.民族事务政运行是反映行政单位（包括公务员管理的事业单位）的基本支出。</w:t>
      </w:r>
    </w:p>
    <w:p>
      <w:pPr>
        <w:pStyle w:val="13"/>
        <w:spacing w:after="0" w:line="550" w:lineRule="exact"/>
        <w:ind w:firstLine="640" w:firstLineChars="200"/>
        <w:rPr>
          <w:rFonts w:ascii="仿宋_GB2312" w:hAnsi="宋体" w:eastAsia="仿宋_GB2312" w:cs="Arial Unicode MS"/>
          <w:color w:val="000000"/>
          <w:sz w:val="32"/>
          <w:szCs w:val="32"/>
          <w:u w:val="single"/>
        </w:rPr>
      </w:pPr>
      <w:r>
        <w:rPr>
          <w:rFonts w:hint="eastAsia" w:ascii="仿宋_GB2312" w:hAnsi="宋体" w:eastAsia="仿宋_GB2312" w:cs="Arial Unicode MS"/>
          <w:color w:val="000000"/>
          <w:sz w:val="32"/>
          <w:szCs w:val="32"/>
        </w:rPr>
        <w:t>8.民族事务民族工作专项是反映用于民族事务管理方面的专项支出。</w:t>
      </w:r>
    </w:p>
    <w:p>
      <w:pPr>
        <w:pStyle w:val="13"/>
        <w:spacing w:after="0" w:line="550" w:lineRule="exact"/>
        <w:ind w:firstLine="640" w:firstLineChars="200"/>
        <w:rPr>
          <w:rFonts w:ascii="仿宋_GB2312" w:hAnsi="宋体" w:eastAsia="仿宋_GB2312" w:cs="Arial Unicode MS"/>
          <w:color w:val="000000"/>
          <w:sz w:val="32"/>
          <w:szCs w:val="32"/>
          <w:u w:val="single"/>
        </w:rPr>
      </w:pPr>
      <w:r>
        <w:rPr>
          <w:rFonts w:hint="eastAsia" w:ascii="仿宋_GB2312" w:hAnsi="宋体" w:eastAsia="仿宋_GB2312" w:cs="Arial Unicode MS"/>
          <w:color w:val="000000"/>
          <w:sz w:val="32"/>
          <w:szCs w:val="32"/>
        </w:rPr>
        <w:t>9.文化体育传媒支出文化产业发展专项支出是反映支持文化产业发展专项支出。</w:t>
      </w:r>
    </w:p>
    <w:p>
      <w:pPr>
        <w:pStyle w:val="13"/>
        <w:spacing w:after="0" w:line="550" w:lineRule="exact"/>
        <w:ind w:firstLine="640" w:firstLineChars="200"/>
        <w:rPr>
          <w:rFonts w:ascii="仿宋_GB2312" w:hAnsi="宋体" w:eastAsia="仿宋_GB2312" w:cs="Arial Unicode MS"/>
          <w:color w:val="000000"/>
          <w:sz w:val="32"/>
          <w:szCs w:val="32"/>
        </w:rPr>
      </w:pPr>
      <w:r>
        <w:rPr>
          <w:rFonts w:hint="eastAsia" w:ascii="仿宋_GB2312" w:hAnsi="宋体" w:eastAsia="仿宋_GB2312" w:cs="Arial Unicode MS"/>
          <w:color w:val="000000"/>
          <w:sz w:val="32"/>
          <w:szCs w:val="32"/>
        </w:rPr>
        <w:t>10.社会保障和就业支出行政事业单位离退休是反映用于行政事业单位离退休方面的支出。</w:t>
      </w:r>
    </w:p>
    <w:p>
      <w:pPr>
        <w:pStyle w:val="13"/>
        <w:spacing w:after="0" w:line="550" w:lineRule="exact"/>
        <w:ind w:firstLine="640" w:firstLineChars="200"/>
        <w:rPr>
          <w:rFonts w:ascii="仿宋_GB2312" w:hAnsi="宋体" w:eastAsia="仿宋_GB2312" w:cs="Arial Unicode MS"/>
          <w:color w:val="000000"/>
          <w:sz w:val="32"/>
          <w:szCs w:val="32"/>
        </w:rPr>
      </w:pPr>
      <w:r>
        <w:rPr>
          <w:rFonts w:hint="eastAsia" w:ascii="仿宋_GB2312" w:hAnsi="宋体" w:eastAsia="仿宋_GB2312" w:cs="Arial Unicode MS"/>
          <w:color w:val="000000"/>
          <w:sz w:val="32"/>
          <w:szCs w:val="32"/>
        </w:rPr>
        <w:t>11.社会保障和就业支出死亡抚恤是反映按规定用于烈士和牺牲、病故人员家属的一次性和定期抚恤金以及丧葬补助费。</w:t>
      </w:r>
    </w:p>
    <w:p>
      <w:pPr>
        <w:pStyle w:val="13"/>
        <w:spacing w:after="0" w:line="550" w:lineRule="exact"/>
        <w:ind w:firstLine="640" w:firstLineChars="200"/>
        <w:rPr>
          <w:rFonts w:ascii="仿宋_GB2312" w:hAnsi="宋体" w:eastAsia="仿宋_GB2312" w:cs="Arial Unicode MS"/>
          <w:color w:val="000000"/>
          <w:sz w:val="32"/>
          <w:szCs w:val="32"/>
        </w:rPr>
      </w:pPr>
      <w:r>
        <w:rPr>
          <w:rFonts w:hint="eastAsia" w:ascii="仿宋_GB2312" w:hAnsi="宋体" w:eastAsia="仿宋_GB2312" w:cs="Arial Unicode MS"/>
          <w:color w:val="000000"/>
          <w:sz w:val="32"/>
          <w:szCs w:val="32"/>
        </w:rPr>
        <w:t>12．</w:t>
      </w:r>
      <w:r>
        <w:rPr>
          <w:rFonts w:hint="eastAsia" w:ascii="仿宋_GB2312" w:hAnsi="宋体" w:eastAsia="仿宋_GB2312" w:cs="宋体"/>
          <w:color w:val="000000"/>
          <w:sz w:val="32"/>
          <w:szCs w:val="32"/>
        </w:rPr>
        <w:t>医疗卫</w:t>
      </w:r>
      <w:r>
        <w:rPr>
          <w:rFonts w:hint="eastAsia" w:ascii="仿宋_GB2312" w:hAnsi="宋体" w:eastAsia="仿宋_GB2312" w:cs="Arial Unicode MS"/>
          <w:color w:val="000000"/>
          <w:sz w:val="32"/>
          <w:szCs w:val="32"/>
        </w:rPr>
        <w:t>生</w:t>
      </w:r>
      <w:r>
        <w:rPr>
          <w:rFonts w:hint="eastAsia" w:ascii="仿宋_GB2312" w:hAnsi="宋体" w:eastAsia="仿宋_GB2312" w:cs="宋体"/>
          <w:color w:val="000000"/>
          <w:sz w:val="32"/>
          <w:szCs w:val="32"/>
        </w:rPr>
        <w:t>与计划</w:t>
      </w:r>
      <w:r>
        <w:rPr>
          <w:rFonts w:hint="eastAsia" w:ascii="仿宋_GB2312" w:hAnsi="宋体" w:eastAsia="仿宋_GB2312" w:cs="Arial Unicode MS"/>
          <w:color w:val="000000"/>
          <w:sz w:val="32"/>
          <w:szCs w:val="32"/>
        </w:rPr>
        <w:t>生育支出行政</w:t>
      </w:r>
      <w:r>
        <w:rPr>
          <w:rFonts w:hint="eastAsia" w:ascii="仿宋_GB2312" w:hAnsi="宋体" w:eastAsia="仿宋_GB2312" w:cs="宋体"/>
          <w:color w:val="000000"/>
          <w:sz w:val="32"/>
          <w:szCs w:val="32"/>
        </w:rPr>
        <w:t>单</w:t>
      </w:r>
      <w:r>
        <w:rPr>
          <w:rFonts w:hint="eastAsia" w:ascii="仿宋_GB2312" w:hAnsi="宋体" w:eastAsia="仿宋_GB2312" w:cs="Arial Unicode MS"/>
          <w:color w:val="000000"/>
          <w:sz w:val="32"/>
          <w:szCs w:val="32"/>
        </w:rPr>
        <w:t>位</w:t>
      </w:r>
      <w:r>
        <w:rPr>
          <w:rFonts w:hint="eastAsia" w:ascii="仿宋_GB2312" w:hAnsi="宋体" w:eastAsia="仿宋_GB2312" w:cs="宋体"/>
          <w:color w:val="000000"/>
          <w:sz w:val="32"/>
          <w:szCs w:val="32"/>
        </w:rPr>
        <w:t>医疗</w:t>
      </w:r>
      <w:r>
        <w:rPr>
          <w:rFonts w:hint="eastAsia" w:ascii="仿宋_GB2312" w:hAnsi="宋体" w:eastAsia="仿宋_GB2312" w:cs="Arial Unicode MS"/>
          <w:color w:val="000000"/>
          <w:sz w:val="32"/>
          <w:szCs w:val="32"/>
        </w:rPr>
        <w:t>是反映</w:t>
      </w:r>
      <w:r>
        <w:rPr>
          <w:rFonts w:hint="eastAsia" w:ascii="仿宋_GB2312" w:hAnsi="宋体" w:eastAsia="仿宋_GB2312" w:cs="宋体"/>
          <w:color w:val="000000"/>
          <w:sz w:val="32"/>
          <w:szCs w:val="32"/>
        </w:rPr>
        <w:t>医疗卫</w:t>
      </w:r>
      <w:r>
        <w:rPr>
          <w:rFonts w:hint="eastAsia" w:ascii="仿宋_GB2312" w:hAnsi="宋体" w:eastAsia="仿宋_GB2312" w:cs="Arial Unicode MS"/>
          <w:color w:val="000000"/>
          <w:sz w:val="32"/>
          <w:szCs w:val="32"/>
        </w:rPr>
        <w:t>生</w:t>
      </w:r>
      <w:r>
        <w:rPr>
          <w:rFonts w:hint="eastAsia" w:ascii="仿宋_GB2312" w:hAnsi="宋体" w:eastAsia="仿宋_GB2312" w:cs="宋体"/>
          <w:color w:val="000000"/>
          <w:sz w:val="32"/>
          <w:szCs w:val="32"/>
        </w:rPr>
        <w:t>与计划</w:t>
      </w:r>
      <w:r>
        <w:rPr>
          <w:rFonts w:hint="eastAsia" w:ascii="仿宋_GB2312" w:hAnsi="宋体" w:eastAsia="仿宋_GB2312" w:cs="Arial Unicode MS"/>
          <w:color w:val="000000"/>
          <w:sz w:val="32"/>
          <w:szCs w:val="32"/>
        </w:rPr>
        <w:t>生育、中医等事务管理方面的支出。</w:t>
      </w:r>
    </w:p>
    <w:p>
      <w:pPr>
        <w:pStyle w:val="13"/>
        <w:spacing w:after="0" w:line="550" w:lineRule="exact"/>
        <w:ind w:firstLine="640" w:firstLineChars="200"/>
        <w:rPr>
          <w:rFonts w:ascii="仿宋_GB2312" w:hAnsi="宋体" w:eastAsia="仿宋_GB2312" w:cs="Arial Unicode MS"/>
          <w:color w:val="000000"/>
          <w:sz w:val="32"/>
          <w:szCs w:val="32"/>
        </w:rPr>
      </w:pPr>
      <w:r>
        <w:rPr>
          <w:rFonts w:hint="eastAsia" w:ascii="仿宋_GB2312" w:hAnsi="宋体" w:eastAsia="仿宋_GB2312" w:cs="Arial Unicode MS"/>
          <w:color w:val="000000"/>
          <w:sz w:val="32"/>
          <w:szCs w:val="32"/>
        </w:rPr>
        <w:t>13．</w:t>
      </w:r>
      <w:r>
        <w:rPr>
          <w:rFonts w:hint="eastAsia" w:ascii="仿宋_GB2312" w:hAnsi="宋体" w:eastAsia="仿宋_GB2312" w:cs="宋体"/>
          <w:color w:val="000000"/>
          <w:sz w:val="32"/>
          <w:szCs w:val="32"/>
        </w:rPr>
        <w:t>科学技术</w:t>
      </w:r>
      <w:r>
        <w:rPr>
          <w:rFonts w:hint="eastAsia" w:ascii="仿宋_GB2312" w:hAnsi="宋体" w:eastAsia="仿宋_GB2312" w:cs="Arial Unicode MS"/>
          <w:color w:val="000000"/>
          <w:sz w:val="32"/>
          <w:szCs w:val="32"/>
        </w:rPr>
        <w:t>支出机构运行是反映</w:t>
      </w:r>
      <w:r>
        <w:rPr>
          <w:rFonts w:hint="eastAsia" w:ascii="仿宋_GB2312" w:hAnsi="宋体" w:eastAsia="仿宋_GB2312" w:cs="宋体"/>
          <w:color w:val="000000"/>
          <w:sz w:val="32"/>
          <w:szCs w:val="32"/>
        </w:rPr>
        <w:t>各类技术研究与开发机构的基本支出。</w:t>
      </w:r>
    </w:p>
    <w:p>
      <w:pPr>
        <w:pStyle w:val="24"/>
        <w:spacing w:line="550" w:lineRule="exact"/>
        <w:ind w:firstLine="640" w:firstLineChars="200"/>
        <w:jc w:val="both"/>
        <w:rPr>
          <w:rFonts w:ascii="仿宋_GB2312" w:hAnsi="宋体" w:eastAsia="仿宋_GB2312"/>
          <w:sz w:val="32"/>
          <w:szCs w:val="32"/>
        </w:rPr>
      </w:pPr>
      <w:r>
        <w:rPr>
          <w:rFonts w:hint="eastAsia" w:ascii="仿宋_GB2312" w:hAnsi="宋体" w:eastAsia="仿宋_GB2312" w:cs="Arial Unicode MS"/>
          <w:sz w:val="32"/>
          <w:szCs w:val="32"/>
        </w:rPr>
        <w:t>14．住房保障支出住房公积金是反映行政事业单位按人力资源和社会保障部、财政部规定的基本工资和津贴补贴以及规定比例为职工缴纳的住房公积金。</w:t>
      </w:r>
    </w:p>
    <w:p>
      <w:pPr>
        <w:spacing w:line="55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hint="eastAsia" w:ascii="仿宋_GB2312" w:hAnsi="宋体" w:eastAsia="仿宋_GB2312" w:cs="Arial Unicode MS"/>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spacing w:line="55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hint="eastAsia" w:ascii="仿宋_GB2312" w:hAnsi="宋体" w:eastAsia="仿宋_GB2312" w:cs="Arial Unicode MS"/>
          <w:color w:val="000000"/>
          <w:sz w:val="32"/>
          <w:szCs w:val="32"/>
        </w:rPr>
        <w:t>．</w:t>
      </w:r>
      <w:r>
        <w:rPr>
          <w:rFonts w:hint="eastAsia" w:ascii="仿宋_GB2312" w:eastAsia="仿宋_GB2312"/>
          <w:color w:val="000000"/>
          <w:sz w:val="32"/>
          <w:szCs w:val="32"/>
        </w:rPr>
        <w:t xml:space="preserve">项目支出：指在基本支出之外为完成特定行政任务和事业发展目标所发生的支出。 </w:t>
      </w:r>
    </w:p>
    <w:p>
      <w:pPr>
        <w:pStyle w:val="24"/>
        <w:spacing w:line="550" w:lineRule="exact"/>
        <w:ind w:firstLine="640" w:firstLineChars="200"/>
        <w:jc w:val="both"/>
        <w:rPr>
          <w:rFonts w:ascii="仿宋_GB2312" w:eastAsia="仿宋_GB2312"/>
          <w:sz w:val="32"/>
          <w:szCs w:val="32"/>
        </w:rPr>
      </w:pPr>
      <w:r>
        <w:rPr>
          <w:rFonts w:hint="eastAsia" w:ascii="仿宋_GB2312" w:eastAsia="仿宋_GB2312"/>
          <w:sz w:val="32"/>
          <w:szCs w:val="32"/>
        </w:rPr>
        <w:t>17</w:t>
      </w:r>
      <w:r>
        <w:rPr>
          <w:rFonts w:hint="eastAsia" w:ascii="仿宋_GB2312" w:hAnsi="宋体" w:eastAsia="仿宋_GB2312" w:cs="Arial Unicode MS"/>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50" w:lineRule="exact"/>
        <w:ind w:firstLine="640" w:firstLineChars="200"/>
        <w:jc w:val="both"/>
        <w:rPr>
          <w:rFonts w:ascii="仿宋_GB2312" w:eastAsia="仿宋_GB2312"/>
          <w:sz w:val="32"/>
          <w:szCs w:val="32"/>
        </w:rPr>
      </w:pPr>
      <w:r>
        <w:rPr>
          <w:rFonts w:hint="eastAsia" w:ascii="仿宋_GB2312" w:eastAsia="仿宋_GB2312"/>
          <w:sz w:val="32"/>
          <w:szCs w:val="32"/>
        </w:rPr>
        <w:t>18</w:t>
      </w:r>
      <w:r>
        <w:rPr>
          <w:rFonts w:hint="eastAsia" w:ascii="仿宋_GB2312" w:hAnsi="宋体" w:eastAsia="仿宋_GB2312" w:cs="Arial Unicode MS"/>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ind w:firstLine="880" w:firstLineChars="200"/>
        <w:rPr>
          <w:rFonts w:ascii="黑体" w:hAnsi="黑体" w:eastAsia="黑体"/>
          <w:color w:val="000000"/>
          <w:sz w:val="44"/>
          <w:szCs w:val="44"/>
        </w:rPr>
      </w:pPr>
    </w:p>
    <w:p>
      <w:pPr>
        <w:widowControl/>
        <w:jc w:val="left"/>
        <w:rPr>
          <w:rFonts w:ascii="黑体" w:hAnsi="黑体" w:eastAsia="黑体"/>
          <w:color w:val="000000"/>
          <w:sz w:val="44"/>
          <w:szCs w:val="44"/>
        </w:rPr>
      </w:pPr>
      <w:r>
        <w:rPr>
          <w:rFonts w:ascii="黑体" w:hAnsi="黑体" w:eastAsia="黑体"/>
          <w:color w:val="000000"/>
          <w:sz w:val="44"/>
          <w:szCs w:val="44"/>
        </w:rPr>
        <w:br w:type="page"/>
      </w:r>
    </w:p>
    <w:p>
      <w:pPr>
        <w:widowControl/>
        <w:jc w:val="center"/>
        <w:rPr>
          <w:rStyle w:val="26"/>
          <w:rFonts w:ascii="黑体" w:hAnsi="黑体" w:eastAsia="黑体"/>
          <w:b w:val="0"/>
        </w:rPr>
      </w:pPr>
      <w:r>
        <w:rPr>
          <w:rFonts w:hint="eastAsia" w:ascii="黑体" w:hAnsi="黑体" w:eastAsia="黑体"/>
          <w:color w:val="000000"/>
          <w:sz w:val="44"/>
          <w:szCs w:val="44"/>
        </w:rPr>
        <w:t>第</w:t>
      </w:r>
      <w:r>
        <w:rPr>
          <w:rStyle w:val="26"/>
          <w:rFonts w:hint="eastAsia" w:ascii="黑体" w:hAnsi="黑体" w:eastAsia="黑体"/>
          <w:b w:val="0"/>
        </w:rPr>
        <w:t>四部分  附  件</w:t>
      </w:r>
    </w:p>
    <w:p>
      <w:pPr>
        <w:widowControl/>
        <w:jc w:val="center"/>
        <w:rPr>
          <w:rStyle w:val="26"/>
          <w:rFonts w:ascii="黑体" w:hAnsi="黑体" w:eastAsia="黑体"/>
        </w:rPr>
      </w:pPr>
    </w:p>
    <w:p>
      <w:pPr>
        <w:spacing w:line="600" w:lineRule="exact"/>
        <w:outlineLvl w:val="0"/>
        <w:rPr>
          <w:rFonts w:ascii="黑体" w:hAnsi="黑体" w:eastAsia="黑体" w:cs="方正小标宋简体"/>
          <w:sz w:val="36"/>
          <w:szCs w:val="36"/>
        </w:rPr>
      </w:pPr>
      <w:bookmarkStart w:id="65" w:name="_Toc20390777"/>
      <w:bookmarkStart w:id="66" w:name="_Toc15396616"/>
      <w:r>
        <w:rPr>
          <w:rFonts w:hint="eastAsia" w:ascii="黑体" w:hAnsi="黑体" w:eastAsia="黑体" w:cs="方正小标宋简体"/>
          <w:sz w:val="36"/>
          <w:szCs w:val="36"/>
        </w:rPr>
        <w:t>市人民政府办公室2018年部门整体支出绩效评价报告</w:t>
      </w:r>
      <w:bookmarkEnd w:id="65"/>
      <w:bookmarkEnd w:id="66"/>
    </w:p>
    <w:p>
      <w:pPr>
        <w:pStyle w:val="5"/>
        <w:kinsoku w:val="0"/>
        <w:overflowPunct w:val="0"/>
        <w:spacing w:before="93" w:line="600" w:lineRule="exact"/>
        <w:ind w:firstLine="600" w:firstLineChars="200"/>
        <w:rPr>
          <w:rFonts w:ascii="黑体" w:hAnsi="黑体" w:eastAsia="黑体" w:cs="黑体"/>
        </w:rPr>
      </w:pPr>
      <w:r>
        <w:rPr>
          <w:rFonts w:hint="eastAsia" w:ascii="黑体" w:hAnsi="黑体" w:eastAsia="黑体" w:cs="黑体"/>
        </w:rPr>
        <w:t>一、部</w:t>
      </w:r>
      <w:r>
        <w:rPr>
          <w:rFonts w:hint="eastAsia" w:ascii="黑体" w:hAnsi="黑体" w:eastAsia="黑体" w:cs="黑体"/>
          <w:spacing w:val="2"/>
        </w:rPr>
        <w:t>门</w:t>
      </w:r>
      <w:r>
        <w:rPr>
          <w:rFonts w:hint="eastAsia" w:ascii="黑体" w:hAnsi="黑体" w:eastAsia="黑体" w:cs="黑体"/>
        </w:rPr>
        <w:t>概况</w:t>
      </w:r>
    </w:p>
    <w:p>
      <w:pPr>
        <w:spacing w:line="580" w:lineRule="exact"/>
        <w:ind w:firstLine="640" w:firstLineChars="200"/>
        <w:rPr>
          <w:rFonts w:ascii="楷体_GB2312" w:hAnsi="宋体" w:eastAsia="楷体_GB2312" w:cs="仿宋_GB2312"/>
          <w:sz w:val="32"/>
          <w:szCs w:val="32"/>
        </w:rPr>
      </w:pPr>
      <w:r>
        <w:rPr>
          <w:rFonts w:hint="eastAsia" w:ascii="楷体_GB2312" w:hAnsi="宋体" w:eastAsia="楷体_GB2312" w:cs="仿宋_GB2312"/>
          <w:sz w:val="32"/>
          <w:szCs w:val="32"/>
        </w:rPr>
        <w:t>（一）机构组成</w:t>
      </w:r>
    </w:p>
    <w:p>
      <w:pPr>
        <w:shd w:val="clear" w:color="auto" w:fill="FFFFFF"/>
        <w:spacing w:line="600" w:lineRule="exact"/>
        <w:ind w:firstLine="640" w:firstLineChars="200"/>
        <w:rPr>
          <w:rFonts w:ascii="仿宋_GB2312" w:eastAsia="仿宋_GB2312" w:cs="宋体" w:hAnsiTheme="majorEastAsia"/>
          <w:sz w:val="32"/>
          <w:szCs w:val="32"/>
        </w:rPr>
      </w:pPr>
      <w:r>
        <w:rPr>
          <w:rFonts w:hint="eastAsia" w:ascii="仿宋_GB2312" w:eastAsia="仿宋_GB2312" w:cs="宋体" w:hAnsiTheme="majorEastAsia"/>
          <w:sz w:val="32"/>
          <w:szCs w:val="32"/>
        </w:rPr>
        <w:t xml:space="preserve">市政府办公室下属二级及代管单位单位12个，其中行政单位5个，参照公务员法管理的事业单位5个，其他事业单位2个。 </w:t>
      </w:r>
    </w:p>
    <w:p>
      <w:pPr>
        <w:spacing w:line="580" w:lineRule="exact"/>
        <w:ind w:firstLine="640" w:firstLineChars="200"/>
        <w:rPr>
          <w:rFonts w:ascii="楷体_GB2312" w:hAnsi="宋体" w:eastAsia="楷体_GB2312" w:cs="仿宋_GB2312"/>
          <w:sz w:val="32"/>
          <w:szCs w:val="32"/>
        </w:rPr>
      </w:pPr>
      <w:r>
        <w:rPr>
          <w:rFonts w:ascii="楷体_GB2312" w:hAnsi="宋体" w:eastAsia="楷体_GB2312" w:cs="仿宋_GB2312"/>
          <w:sz w:val="32"/>
          <w:szCs w:val="32"/>
        </w:rPr>
        <w:t>（二）机构职能。</w:t>
      </w:r>
    </w:p>
    <w:p>
      <w:pPr>
        <w:pStyle w:val="12"/>
        <w:spacing w:before="0" w:beforeAutospacing="0" w:after="0" w:afterAutospacing="0"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广元市人民政府办公室是市人民政府的综合办事机构，主要是参与政务、管理事务和搞好服务。主要职责是开展调查研究，为市委、市府决策提供信息参考；传达政令，督查督办，推进决策落实；政府信息公开，保障电子政务外网运行，不断推进“阳光政务”工作；</w:t>
      </w:r>
      <w:r>
        <w:rPr>
          <w:rFonts w:hint="eastAsia" w:ascii="仿宋_GB2312" w:hAnsi="仿宋_GB2312" w:eastAsia="仿宋_GB2312" w:cs="仿宋_GB2312"/>
          <w:color w:val="000000" w:themeColor="text1"/>
          <w:sz w:val="32"/>
          <w:szCs w:val="32"/>
          <w14:textFill>
            <w14:solidFill>
              <w14:schemeClr w14:val="tx1"/>
            </w14:solidFill>
          </w14:textFill>
        </w:rPr>
        <w:t>负责公共机构节约能源资源、公务用车、非经营性国有资产管理、后勤服务等机关事务管理;指导、监督全市政府信息公开工作、机关行政效能建设和全市政府系统电子政务工作的职责；指导并推进政务服务体系建设和标准化建设工作，统筹协调指导全市公共资源交易管理服务工作，牵头推进简政放权、放管结合、优化服务改革工作;</w:t>
      </w:r>
      <w:r>
        <w:rPr>
          <w:rFonts w:hint="eastAsia" w:ascii="仿宋_GB2312" w:eastAsia="仿宋_GB2312"/>
          <w:color w:val="000000" w:themeColor="text1"/>
          <w:sz w:val="32"/>
          <w:szCs w:val="32"/>
          <w14:textFill>
            <w14:solidFill>
              <w14:schemeClr w14:val="tx1"/>
            </w14:solidFill>
          </w14:textFill>
        </w:rPr>
        <w:t xml:space="preserve"> 做好公文处理、会议服务及后勤保障，确保高效、科学、有序运转的政务服务以及应急管理、民营经济、及民族宗教事务和法制建设等专项工作；</w:t>
      </w:r>
      <w:r>
        <w:rPr>
          <w:rFonts w:hint="eastAsia" w:ascii="仿宋_GB2312" w:hAnsi="仿宋_GB2312" w:eastAsia="仿宋_GB2312" w:cs="仿宋_GB2312"/>
          <w:color w:val="000000" w:themeColor="text1"/>
          <w:sz w:val="32"/>
          <w:szCs w:val="32"/>
          <w14:textFill>
            <w14:solidFill>
              <w14:schemeClr w14:val="tx1"/>
            </w14:solidFill>
          </w14:textFill>
        </w:rPr>
        <w:t>加强应急管理和督查调研工作，进一步发挥参谋助手和运转枢纽作用。</w:t>
      </w:r>
    </w:p>
    <w:p>
      <w:pPr>
        <w:numPr>
          <w:ilvl w:val="0"/>
          <w:numId w:val="3"/>
        </w:numPr>
        <w:spacing w:line="580" w:lineRule="exact"/>
        <w:ind w:left="0" w:leftChars="0" w:firstLine="640" w:firstLineChars="200"/>
        <w:rPr>
          <w:rFonts w:ascii="楷体_GB2312" w:hAnsi="宋体" w:eastAsia="楷体_GB2312" w:cs="仿宋_GB2312"/>
          <w:sz w:val="32"/>
          <w:szCs w:val="32"/>
        </w:rPr>
      </w:pPr>
      <w:r>
        <w:rPr>
          <w:rFonts w:ascii="楷体_GB2312" w:hAnsi="宋体" w:eastAsia="楷体_GB2312" w:cs="仿宋_GB2312"/>
          <w:sz w:val="32"/>
          <w:szCs w:val="32"/>
        </w:rPr>
        <w:t>人员概况。</w:t>
      </w:r>
    </w:p>
    <w:p>
      <w:pPr>
        <w:shd w:val="clear" w:color="auto" w:fill="FFFFFF"/>
        <w:spacing w:line="600" w:lineRule="exact"/>
        <w:ind w:firstLine="640" w:firstLineChars="200"/>
        <w:jc w:val="both"/>
        <w:rPr>
          <w:rFonts w:ascii="仿宋_GB2312" w:eastAsia="仿宋_GB2312" w:cs="宋体" w:hAnsiTheme="majorEastAsia"/>
          <w:sz w:val="32"/>
          <w:szCs w:val="32"/>
        </w:rPr>
      </w:pPr>
      <w:r>
        <w:rPr>
          <w:rFonts w:hint="eastAsia" w:ascii="仿宋_GB2312" w:eastAsia="仿宋_GB2312" w:cs="宋体" w:hAnsiTheme="majorEastAsia"/>
          <w:sz w:val="32"/>
          <w:szCs w:val="32"/>
        </w:rPr>
        <w:t>市政府办公室总编制258名，其中行政编制118名，参照公务员法管理的事业编制50名，其他事业编制90名。在职人员总数205人，其中行政人员105人，参照公务员法管理的事业人员45人，其他事业人员55人；离休人员1人，退休人员</w:t>
      </w:r>
      <w:r>
        <w:rPr>
          <w:rFonts w:hint="eastAsia" w:ascii="仿宋_GB2312" w:eastAsia="仿宋_GB2312" w:cs="宋体" w:hAnsiTheme="majorEastAsia"/>
          <w:sz w:val="32"/>
          <w:szCs w:val="32"/>
          <w:lang w:val="en-US" w:eastAsia="zh-CN"/>
        </w:rPr>
        <w:t>69</w:t>
      </w:r>
      <w:r>
        <w:rPr>
          <w:rFonts w:hint="eastAsia" w:ascii="仿宋_GB2312" w:eastAsia="仿宋_GB2312" w:cs="宋体" w:hAnsiTheme="majorEastAsia"/>
          <w:sz w:val="32"/>
          <w:szCs w:val="32"/>
        </w:rPr>
        <w:t>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楷体_GB2312" w:hAnsi="宋体" w:eastAsia="楷体_GB2312" w:cs="仿宋_GB2312"/>
          <w:sz w:val="32"/>
          <w:szCs w:val="32"/>
        </w:rPr>
      </w:pPr>
      <w:r>
        <w:rPr>
          <w:rFonts w:ascii="楷体_GB2312" w:hAnsi="宋体" w:eastAsia="楷体_GB2312"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2018年收入合计7289.59万元，其中一般公共预算财政拨款收入7270.19万元，其他收入19.4万元。</w:t>
      </w:r>
    </w:p>
    <w:p>
      <w:pPr>
        <w:spacing w:line="580" w:lineRule="exact"/>
        <w:ind w:firstLine="640" w:firstLineChars="200"/>
        <w:rPr>
          <w:rFonts w:ascii="楷体_GB2312" w:hAnsi="宋体" w:eastAsia="楷体_GB2312" w:cs="仿宋_GB2312"/>
          <w:sz w:val="32"/>
          <w:szCs w:val="32"/>
        </w:rPr>
      </w:pPr>
      <w:r>
        <w:rPr>
          <w:rFonts w:ascii="楷体_GB2312" w:hAnsi="宋体" w:eastAsia="楷体_GB2312" w:cs="仿宋_GB2312"/>
          <w:sz w:val="32"/>
          <w:szCs w:val="32"/>
        </w:rPr>
        <w:t>（二）部门财政资金支出情况。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2018年支出合计7825.35万元，其中基本支出4662.83万元，项目支出3162.52万元。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40" w:firstLineChars="200"/>
        <w:rPr>
          <w:rFonts w:ascii="楷体_GB2312" w:hAnsi="宋体" w:eastAsia="楷体_GB2312" w:cs="仿宋_GB2312"/>
          <w:sz w:val="32"/>
          <w:szCs w:val="32"/>
        </w:rPr>
      </w:pPr>
      <w:r>
        <w:rPr>
          <w:rFonts w:ascii="楷体_GB2312" w:hAnsi="宋体" w:eastAsia="楷体_GB2312" w:cs="仿宋_GB2312"/>
          <w:sz w:val="32"/>
          <w:szCs w:val="32"/>
        </w:rPr>
        <w:t>（一）部门预算管理。</w:t>
      </w:r>
    </w:p>
    <w:p>
      <w:pPr>
        <w:pStyle w:val="5"/>
        <w:kinsoku w:val="0"/>
        <w:overflowPunct w:val="0"/>
        <w:spacing w:before="93" w:line="600" w:lineRule="exact"/>
        <w:ind w:firstLine="604" w:firstLineChars="200"/>
        <w:rPr>
          <w:rFonts w:hAnsiTheme="majorEastAsia"/>
          <w:color w:val="000000" w:themeColor="text1"/>
          <w14:textFill>
            <w14:solidFill>
              <w14:schemeClr w14:val="tx1"/>
            </w14:solidFill>
          </w14:textFill>
        </w:rPr>
      </w:pPr>
      <w:r>
        <w:rPr>
          <w:rFonts w:hint="eastAsia" w:hAnsiTheme="majorEastAsia"/>
          <w:color w:val="000000" w:themeColor="text1"/>
          <w:spacing w:val="1"/>
          <w14:textFill>
            <w14:solidFill>
              <w14:schemeClr w14:val="tx1"/>
            </w14:solidFill>
          </w14:textFill>
        </w:rPr>
        <w:t>1.</w:t>
      </w:r>
      <w:r>
        <w:rPr>
          <w:rFonts w:hint="eastAsia" w:hAnsiTheme="majorEastAsia"/>
          <w:color w:val="000000" w:themeColor="text1"/>
          <w14:textFill>
            <w14:solidFill>
              <w14:schemeClr w14:val="tx1"/>
            </w14:solidFill>
          </w14:textFill>
        </w:rPr>
        <w:t>部门</w:t>
      </w:r>
      <w:r>
        <w:rPr>
          <w:rFonts w:hint="eastAsia" w:hAnsiTheme="majorEastAsia"/>
          <w:color w:val="000000" w:themeColor="text1"/>
          <w:spacing w:val="2"/>
          <w14:textFill>
            <w14:solidFill>
              <w14:schemeClr w14:val="tx1"/>
            </w14:solidFill>
          </w14:textFill>
        </w:rPr>
        <w:t>预</w:t>
      </w:r>
      <w:r>
        <w:rPr>
          <w:rFonts w:hint="eastAsia" w:hAnsiTheme="majorEastAsia"/>
          <w:color w:val="000000" w:themeColor="text1"/>
          <w14:textFill>
            <w14:solidFill>
              <w14:schemeClr w14:val="tx1"/>
            </w14:solidFill>
          </w14:textFill>
        </w:rPr>
        <w:t>算报送</w:t>
      </w:r>
      <w:r>
        <w:rPr>
          <w:rFonts w:hint="eastAsia" w:hAnsiTheme="majorEastAsia"/>
          <w:color w:val="000000" w:themeColor="text1"/>
          <w:spacing w:val="2"/>
          <w14:textFill>
            <w14:solidFill>
              <w14:schemeClr w14:val="tx1"/>
            </w14:solidFill>
          </w14:textFill>
        </w:rPr>
        <w:t>时</w:t>
      </w:r>
      <w:r>
        <w:rPr>
          <w:rFonts w:hint="eastAsia" w:hAnsiTheme="majorEastAsia"/>
          <w:color w:val="000000" w:themeColor="text1"/>
          <w14:textFill>
            <w14:solidFill>
              <w14:schemeClr w14:val="tx1"/>
            </w14:solidFill>
          </w14:textFill>
        </w:rPr>
        <w:t>间。</w:t>
      </w:r>
    </w:p>
    <w:p>
      <w:pPr>
        <w:pStyle w:val="5"/>
        <w:kinsoku w:val="0"/>
        <w:overflowPunct w:val="0"/>
        <w:spacing w:before="93" w:line="600" w:lineRule="exact"/>
        <w:ind w:firstLine="640" w:firstLineChars="200"/>
        <w:rPr>
          <w:rFonts w:hAnsiTheme="majorEastAsia"/>
          <w:color w:val="000000" w:themeColor="text1"/>
          <w14:textFill>
            <w14:solidFill>
              <w14:schemeClr w14:val="tx1"/>
            </w14:solidFill>
          </w14:textFill>
        </w:rPr>
      </w:pPr>
      <w:r>
        <w:rPr>
          <w:rFonts w:hint="eastAsia" w:hAnsiTheme="majorEastAsia"/>
          <w:color w:val="000000" w:themeColor="text1"/>
          <w:sz w:val="32"/>
          <w:szCs w:val="32"/>
          <w:lang w:val="zh-CN"/>
          <w14:textFill>
            <w14:solidFill>
              <w14:schemeClr w14:val="tx1"/>
            </w14:solidFill>
          </w14:textFill>
        </w:rPr>
        <w:t>（1）报送时效。</w:t>
      </w:r>
      <w:r>
        <w:rPr>
          <w:rFonts w:hint="eastAsia" w:hAnsiTheme="majorEastAsia"/>
          <w:color w:val="000000" w:themeColor="text1"/>
          <w:sz w:val="32"/>
          <w:szCs w:val="32"/>
          <w14:textFill>
            <w14:solidFill>
              <w14:schemeClr w14:val="tx1"/>
            </w14:solidFill>
          </w14:textFill>
        </w:rPr>
        <w:t>本部门</w:t>
      </w:r>
      <w:r>
        <w:rPr>
          <w:rFonts w:hint="eastAsia" w:hAnsiTheme="majorEastAsia"/>
          <w:color w:val="000000" w:themeColor="text1"/>
          <w:sz w:val="32"/>
          <w:szCs w:val="32"/>
          <w:lang w:val="zh-CN"/>
          <w14:textFill>
            <w14:solidFill>
              <w14:schemeClr w14:val="tx1"/>
            </w14:solidFill>
          </w14:textFill>
        </w:rPr>
        <w:t>严格按照财政部门的预算编制各阶段时间要求，及时完成编制、审核、汇总和报送工作，保证了部门预算各项数据的及时上报。</w:t>
      </w:r>
    </w:p>
    <w:p>
      <w:pPr>
        <w:spacing w:line="600" w:lineRule="exact"/>
        <w:ind w:firstLine="640" w:firstLineChars="200"/>
        <w:rPr>
          <w:rFonts w:ascii="仿宋_GB2312" w:eastAsia="仿宋_GB2312" w:hAnsiTheme="majorEastAsia"/>
          <w:color w:val="000000" w:themeColor="text1"/>
          <w:sz w:val="32"/>
          <w:szCs w:val="32"/>
          <w:lang w:val="zh-CN"/>
          <w14:textFill>
            <w14:solidFill>
              <w14:schemeClr w14:val="tx1"/>
            </w14:solidFill>
          </w14:textFill>
        </w:rPr>
      </w:pPr>
      <w:r>
        <w:rPr>
          <w:rFonts w:hint="eastAsia" w:ascii="仿宋_GB2312" w:eastAsia="仿宋_GB2312" w:hAnsiTheme="majorEastAsia"/>
          <w:color w:val="000000" w:themeColor="text1"/>
          <w:sz w:val="32"/>
          <w:szCs w:val="32"/>
          <w:lang w:val="zh-CN"/>
          <w14:textFill>
            <w14:solidFill>
              <w14:schemeClr w14:val="tx1"/>
            </w14:solidFill>
          </w14:textFill>
        </w:rPr>
        <w:t>（2）编制质量。市政府办公室围绕市委、市政府的中心工作任务，高度重视和支持部门预算编制工作，认真组织本部门科室负责人和财务人员，做好项目的统筹考虑和研究论证，科学合理编制部门预算。一是预算编制完整无漏项。二是进一步提高部门预算编制的准确性。认真做好预算基础信息的汇总审核上报工作，对单位编制和实有人数、工资、车辆等基础信息进行全面核查，对存在问题和发生变化的及时更正和调整，确保部门预算基础信息内容和科目准确，实现与横向联网系统数据吻合。三是预算编制规范。其项目名称、绩效指标、项目内容说明等都符合规范要求。</w:t>
      </w:r>
    </w:p>
    <w:p>
      <w:pPr>
        <w:pStyle w:val="5"/>
        <w:kinsoku w:val="0"/>
        <w:overflowPunct w:val="0"/>
        <w:spacing w:before="93" w:line="600" w:lineRule="exact"/>
        <w:ind w:firstLine="604" w:firstLineChars="200"/>
        <w:rPr>
          <w:rFonts w:hAnsiTheme="majorEastAsia"/>
          <w:color w:val="000000" w:themeColor="text1"/>
          <w14:textFill>
            <w14:solidFill>
              <w14:schemeClr w14:val="tx1"/>
            </w14:solidFill>
          </w14:textFill>
        </w:rPr>
      </w:pPr>
      <w:r>
        <w:rPr>
          <w:rFonts w:hint="eastAsia" w:hAnsiTheme="majorEastAsia"/>
          <w:color w:val="000000" w:themeColor="text1"/>
          <w:spacing w:val="1"/>
          <w14:textFill>
            <w14:solidFill>
              <w14:schemeClr w14:val="tx1"/>
            </w14:solidFill>
          </w14:textFill>
        </w:rPr>
        <w:t>2.</w:t>
      </w:r>
      <w:r>
        <w:rPr>
          <w:rFonts w:hint="eastAsia" w:hAnsiTheme="majorEastAsia"/>
          <w:color w:val="000000" w:themeColor="text1"/>
          <w14:textFill>
            <w14:solidFill>
              <w14:schemeClr w14:val="tx1"/>
            </w14:solidFill>
          </w14:textFill>
        </w:rPr>
        <w:t>预算</w:t>
      </w:r>
      <w:r>
        <w:rPr>
          <w:rFonts w:hint="eastAsia" w:hAnsiTheme="majorEastAsia"/>
          <w:color w:val="000000" w:themeColor="text1"/>
          <w:spacing w:val="2"/>
          <w14:textFill>
            <w14:solidFill>
              <w14:schemeClr w14:val="tx1"/>
            </w14:solidFill>
          </w14:textFill>
        </w:rPr>
        <w:t>执</w:t>
      </w:r>
      <w:r>
        <w:rPr>
          <w:rFonts w:hint="eastAsia" w:hAnsiTheme="majorEastAsia"/>
          <w:color w:val="000000" w:themeColor="text1"/>
          <w14:textFill>
            <w14:solidFill>
              <w14:schemeClr w14:val="tx1"/>
            </w14:solidFill>
          </w14:textFill>
        </w:rPr>
        <w:t>行。</w:t>
      </w:r>
    </w:p>
    <w:p>
      <w:pPr>
        <w:pStyle w:val="5"/>
        <w:kinsoku w:val="0"/>
        <w:overflowPunct w:val="0"/>
        <w:spacing w:before="93" w:line="600" w:lineRule="exact"/>
        <w:ind w:firstLine="640" w:firstLineChars="200"/>
        <w:rPr>
          <w:rFonts w:hAnsiTheme="majorEastAsia"/>
          <w:color w:val="000000" w:themeColor="text1"/>
          <w14:textFill>
            <w14:solidFill>
              <w14:schemeClr w14:val="tx1"/>
            </w14:solidFill>
          </w14:textFill>
        </w:rPr>
      </w:pPr>
      <w:r>
        <w:rPr>
          <w:rFonts w:hint="eastAsia" w:hAnsiTheme="majorEastAsia"/>
          <w:color w:val="000000" w:themeColor="text1"/>
          <w:sz w:val="32"/>
          <w:szCs w:val="32"/>
          <w:lang w:val="zh-CN"/>
          <w14:textFill>
            <w14:solidFill>
              <w14:schemeClr w14:val="tx1"/>
            </w14:solidFill>
          </w14:textFill>
        </w:rPr>
        <w:t>（1）预算执行刚性。</w:t>
      </w:r>
      <w:r>
        <w:rPr>
          <w:rFonts w:hint="eastAsia" w:hAnsiTheme="majorEastAsia"/>
          <w:color w:val="000000" w:themeColor="text1"/>
          <w:sz w:val="32"/>
          <w:szCs w:val="32"/>
          <w:highlight w:val="white"/>
          <w:lang w:val="zh-CN"/>
          <w14:textFill>
            <w14:solidFill>
              <w14:schemeClr w14:val="tx1"/>
            </w14:solidFill>
          </w14:textFill>
        </w:rPr>
        <w:t>进一步提高科学预见性和预算严谨性及执行刚性，按照“有预算不超支，无预算不开支”的原则，切实增强预算约束力，执行中不调整预算项目。严格执行厉行节约各项规定，确保“三公”经费支出只减不增；切实加强投资评审、政府采购、资产处置等管理，提高监管水平。</w:t>
      </w:r>
    </w:p>
    <w:p>
      <w:pPr>
        <w:pStyle w:val="5"/>
        <w:kinsoku w:val="0"/>
        <w:overflowPunct w:val="0"/>
        <w:spacing w:before="93" w:line="600" w:lineRule="exact"/>
        <w:ind w:firstLine="640" w:firstLineChars="200"/>
        <w:rPr>
          <w:rFonts w:hAnsiTheme="majorEastAsia"/>
          <w:color w:val="000000" w:themeColor="text1"/>
          <w14:textFill>
            <w14:solidFill>
              <w14:schemeClr w14:val="tx1"/>
            </w14:solidFill>
          </w14:textFill>
        </w:rPr>
      </w:pPr>
      <w:r>
        <w:rPr>
          <w:rFonts w:hint="eastAsia" w:hAnsiTheme="majorEastAsia"/>
          <w:color w:val="000000" w:themeColor="text1"/>
          <w:sz w:val="32"/>
          <w:szCs w:val="32"/>
          <w:lang w:val="zh-CN"/>
          <w14:textFill>
            <w14:solidFill>
              <w14:schemeClr w14:val="tx1"/>
            </w14:solidFill>
          </w14:textFill>
        </w:rPr>
        <w:t>（2）预算执行平衡。</w:t>
      </w:r>
      <w:r>
        <w:rPr>
          <w:rFonts w:hint="eastAsia" w:hAnsiTheme="majorEastAsia"/>
          <w:color w:val="000000" w:themeColor="text1"/>
          <w:sz w:val="32"/>
          <w:szCs w:val="32"/>
          <w:highlight w:val="white"/>
          <w:lang w:val="zh-CN"/>
          <w14:textFill>
            <w14:solidFill>
              <w14:schemeClr w14:val="tx1"/>
            </w14:solidFill>
          </w14:textFill>
        </w:rPr>
        <w:t>强化预算执行平衡管理，坚持压一般、保重点，集中财力保运转、保重点项目建设。压一般，就是清理压减不合理财政支出，积极构建厉行节约长效机制，最大限度压减一般性支出，严控“三公经费”支出。保重点，就是完善重点支出保障机制。统筹财力、量力而行，保障项目建设等资金需要，保证了预算执行的平衡性</w:t>
      </w:r>
      <w:r>
        <w:rPr>
          <w:rFonts w:hint="eastAsia" w:hAnsiTheme="majorEastAsia"/>
          <w:color w:val="000000" w:themeColor="text1"/>
          <w:sz w:val="32"/>
          <w:szCs w:val="32"/>
          <w:lang w:val="zh-CN"/>
          <w14:textFill>
            <w14:solidFill>
              <w14:schemeClr w14:val="tx1"/>
            </w14:solidFill>
          </w14:textFill>
        </w:rPr>
        <w:t>，保障市政府办公室职能职责有效完成，人员支出一律按时间进度执行，没有挪用人员支出现象。</w:t>
      </w:r>
    </w:p>
    <w:p>
      <w:pPr>
        <w:spacing w:line="600" w:lineRule="exact"/>
        <w:ind w:firstLine="640" w:firstLineChars="200"/>
        <w:rPr>
          <w:rFonts w:ascii="仿宋_GB2312" w:eastAsia="仿宋_GB2312" w:hAnsiTheme="majorEastAsia"/>
          <w:color w:val="000000" w:themeColor="text1"/>
          <w:sz w:val="32"/>
          <w:szCs w:val="32"/>
          <w:lang w:val="zh-CN"/>
          <w14:textFill>
            <w14:solidFill>
              <w14:schemeClr w14:val="tx1"/>
            </w14:solidFill>
          </w14:textFill>
        </w:rPr>
      </w:pPr>
      <w:r>
        <w:rPr>
          <w:rFonts w:hint="eastAsia" w:ascii="仿宋_GB2312" w:eastAsia="仿宋_GB2312" w:hAnsiTheme="majorEastAsia"/>
          <w:color w:val="000000" w:themeColor="text1"/>
          <w:sz w:val="32"/>
          <w:szCs w:val="32"/>
          <w:highlight w:val="white"/>
          <w14:textFill>
            <w14:solidFill>
              <w14:schemeClr w14:val="tx1"/>
            </w14:solidFill>
          </w14:textFill>
        </w:rPr>
        <w:t>（3）</w:t>
      </w:r>
      <w:r>
        <w:rPr>
          <w:rFonts w:hint="eastAsia" w:ascii="仿宋_GB2312" w:eastAsia="仿宋_GB2312" w:hAnsiTheme="majorEastAsia"/>
          <w:color w:val="000000" w:themeColor="text1"/>
          <w:sz w:val="32"/>
          <w:szCs w:val="32"/>
          <w:highlight w:val="white"/>
          <w:lang w:val="zh-CN"/>
          <w14:textFill>
            <w14:solidFill>
              <w14:schemeClr w14:val="tx1"/>
            </w14:solidFill>
          </w14:textFill>
        </w:rPr>
        <w:t>部门决算编制和审查。</w:t>
      </w:r>
      <w:r>
        <w:rPr>
          <w:rFonts w:hint="eastAsia" w:ascii="仿宋_GB2312" w:eastAsia="仿宋_GB2312" w:hAnsiTheme="majorEastAsia"/>
          <w:color w:val="000000" w:themeColor="text1"/>
          <w:sz w:val="32"/>
          <w:szCs w:val="32"/>
          <w:lang w:val="zh-CN"/>
          <w14:textFill>
            <w14:solidFill>
              <w14:schemeClr w14:val="tx1"/>
            </w14:solidFill>
          </w14:textFill>
        </w:rPr>
        <w:t>认真开展2018年度部门决算编制及审查工作，审核工作本着“全面认真审核、充分发现问题、及时调整解决”的原则，着重从准确性、完整性和编制说明分析等方面分别对预算指标、上年结转、当年收支、年末结余和项目等情况进行审核，提高部门决算编报的真实性、完整性和填报口径的准确性。同时，进一步熟悉掌握部门预算、决算工作流程，积极征求有关部门对我办开展预算、决算审核工作的意见，提升部门决算编报质量，做到了按时报送决算，账表基本一致，决算数据真实准确，决算编制人员与供养人员系统数据相符。</w:t>
      </w:r>
    </w:p>
    <w:p>
      <w:pPr>
        <w:spacing w:line="580" w:lineRule="exact"/>
        <w:ind w:firstLine="640" w:firstLineChars="200"/>
        <w:rPr>
          <w:rFonts w:ascii="楷体_GB2312" w:hAnsi="宋体" w:eastAsia="楷体_GB2312" w:cs="仿宋_GB2312"/>
          <w:sz w:val="32"/>
          <w:szCs w:val="32"/>
        </w:rPr>
      </w:pPr>
      <w:r>
        <w:rPr>
          <w:rFonts w:hint="eastAsia" w:ascii="楷体_GB2312" w:hAnsi="宋体" w:eastAsia="楷体_GB2312" w:cs="仿宋_GB2312"/>
          <w:sz w:val="32"/>
          <w:szCs w:val="32"/>
        </w:rPr>
        <w:t>（二）专项预算管理。</w:t>
      </w:r>
    </w:p>
    <w:p>
      <w:pPr>
        <w:spacing w:line="600" w:lineRule="exact"/>
        <w:ind w:firstLine="640" w:firstLineChars="200"/>
        <w:rPr>
          <w:rFonts w:ascii="仿宋_GB2312" w:eastAsia="仿宋_GB2312" w:hAnsiTheme="majorEastAsia"/>
          <w:color w:val="000000" w:themeColor="text1"/>
          <w:sz w:val="32"/>
          <w:szCs w:val="32"/>
          <w:lang w:val="zh-CN"/>
          <w14:textFill>
            <w14:solidFill>
              <w14:schemeClr w14:val="tx1"/>
            </w14:solidFill>
          </w14:textFill>
        </w:rPr>
      </w:pPr>
      <w:r>
        <w:rPr>
          <w:rFonts w:hint="eastAsia" w:ascii="仿宋_GB2312" w:eastAsia="仿宋_GB2312" w:hAnsiTheme="majorEastAsia"/>
          <w:color w:val="000000" w:themeColor="text1"/>
          <w:sz w:val="32"/>
          <w:szCs w:val="32"/>
          <w:lang w:val="zh-CN"/>
          <w14:textFill>
            <w14:solidFill>
              <w14:schemeClr w14:val="tx1"/>
            </w14:solidFill>
          </w14:textFill>
        </w:rPr>
        <w:t>（1）项目支出预算应当对各项支出的主要用途、与项目研究的相关性及测算方法、测算依据进行详细说明，</w:t>
      </w:r>
      <w:r>
        <w:rPr>
          <w:rFonts w:hint="eastAsia" w:ascii="仿宋_GB2312" w:eastAsia="仿宋_GB2312" w:hAnsiTheme="majorEastAsia"/>
          <w:color w:val="000000" w:themeColor="text1"/>
          <w:sz w:val="32"/>
          <w:szCs w:val="32"/>
          <w:highlight w:val="white"/>
          <w:lang w:val="zh-CN"/>
          <w14:textFill>
            <w14:solidFill>
              <w14:schemeClr w14:val="tx1"/>
            </w14:solidFill>
          </w14:textFill>
        </w:rPr>
        <w:t>要求编报预算项目做到了绩效目标真实、可行、科学。</w:t>
      </w:r>
    </w:p>
    <w:p>
      <w:pPr>
        <w:spacing w:line="600" w:lineRule="exact"/>
        <w:ind w:firstLine="640" w:firstLineChars="200"/>
        <w:rPr>
          <w:rFonts w:hAnsiTheme="majorEastAsia"/>
          <w:color w:val="000000" w:themeColor="text1"/>
          <w:sz w:val="32"/>
          <w:szCs w:val="32"/>
          <w:lang w:val="zh-CN"/>
          <w14:textFill>
            <w14:solidFill>
              <w14:schemeClr w14:val="tx1"/>
            </w14:solidFill>
          </w14:textFill>
        </w:rPr>
      </w:pPr>
      <w:r>
        <w:rPr>
          <w:rFonts w:hint="eastAsia" w:ascii="仿宋_GB2312" w:eastAsia="仿宋_GB2312" w:hAnsiTheme="majorEastAsia"/>
          <w:color w:val="000000" w:themeColor="text1"/>
          <w:sz w:val="32"/>
          <w:szCs w:val="32"/>
          <w:lang w:val="zh-CN"/>
          <w14:textFill>
            <w14:solidFill>
              <w14:schemeClr w14:val="tx1"/>
            </w14:solidFill>
          </w14:textFill>
        </w:rPr>
        <w:t>（2）管理专项资金设置有专项科目，定期对专项工作实施进度和资金使用情况进行专项检查</w:t>
      </w:r>
      <w:r>
        <w:rPr>
          <w:rFonts w:hint="eastAsia" w:hAnsiTheme="majorEastAsia"/>
          <w:color w:val="000000" w:themeColor="text1"/>
          <w:sz w:val="32"/>
          <w:szCs w:val="32"/>
          <w:lang w:val="zh-CN"/>
          <w14:textFill>
            <w14:solidFill>
              <w14:schemeClr w14:val="tx1"/>
            </w14:solidFill>
          </w14:textFill>
        </w:rPr>
        <w:t>，加强事前、之中和事后的监督。</w:t>
      </w:r>
    </w:p>
    <w:p>
      <w:pPr>
        <w:spacing w:line="580" w:lineRule="exact"/>
        <w:ind w:firstLine="640" w:firstLineChars="200"/>
        <w:rPr>
          <w:rFonts w:ascii="楷体_GB2312" w:hAnsi="宋体" w:eastAsia="楷体_GB2312" w:cs="仿宋_GB2312"/>
          <w:sz w:val="32"/>
          <w:szCs w:val="32"/>
        </w:rPr>
      </w:pPr>
      <w:r>
        <w:rPr>
          <w:rFonts w:ascii="楷体_GB2312" w:hAnsi="宋体" w:eastAsia="楷体_GB2312" w:cs="仿宋_GB2312"/>
          <w:sz w:val="32"/>
          <w:szCs w:val="32"/>
        </w:rPr>
        <w:t>（三）结果应用情况。</w:t>
      </w:r>
    </w:p>
    <w:p>
      <w:pPr>
        <w:spacing w:line="600" w:lineRule="exact"/>
        <w:ind w:firstLine="640" w:firstLineChars="200"/>
        <w:rPr>
          <w:rFonts w:ascii="仿宋_GB2312" w:eastAsia="仿宋_GB2312" w:hAnsiTheme="majorEastAsia"/>
          <w:color w:val="000000" w:themeColor="text1"/>
          <w:sz w:val="32"/>
          <w:szCs w:val="32"/>
          <w:highlight w:val="white"/>
          <w:lang w:val="zh-CN"/>
          <w14:textFill>
            <w14:solidFill>
              <w14:schemeClr w14:val="tx1"/>
            </w14:solidFill>
          </w14:textFill>
        </w:rPr>
      </w:pPr>
      <w:r>
        <w:rPr>
          <w:rFonts w:hint="eastAsia" w:ascii="仿宋_GB2312" w:eastAsia="仿宋_GB2312" w:hAnsiTheme="majorEastAsia"/>
          <w:color w:val="000000" w:themeColor="text1"/>
          <w:sz w:val="32"/>
          <w:szCs w:val="32"/>
          <w:highlight w:val="white"/>
          <w:lang w:val="zh-CN"/>
          <w14:textFill>
            <w14:solidFill>
              <w14:schemeClr w14:val="tx1"/>
            </w14:solidFill>
          </w14:textFill>
        </w:rPr>
        <w:t>全年做到了使用经费开支合规，无违规和超标开支行为，“三公”经费严格按政府规定目标进行限制和压缩，全部未超标。</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楷体_GB2312" w:hAnsi="宋体" w:eastAsia="楷体_GB2312" w:cs="仿宋_GB2312"/>
          <w:sz w:val="32"/>
          <w:szCs w:val="32"/>
        </w:rPr>
      </w:pPr>
      <w:r>
        <w:rPr>
          <w:rFonts w:ascii="楷体_GB2312" w:hAnsi="宋体" w:eastAsia="楷体_GB2312" w:cs="仿宋_GB2312"/>
          <w:sz w:val="32"/>
          <w:szCs w:val="32"/>
        </w:rPr>
        <w:t>（一）评价结论。</w:t>
      </w:r>
    </w:p>
    <w:p>
      <w:pPr>
        <w:spacing w:line="600" w:lineRule="exact"/>
        <w:ind w:firstLine="640" w:firstLineChars="200"/>
        <w:rPr>
          <w:rFonts w:ascii="仿宋_GB2312" w:eastAsia="仿宋_GB2312" w:hAnsiTheme="majorEastAsia"/>
          <w:sz w:val="32"/>
          <w:szCs w:val="32"/>
          <w:lang w:val="zh-CN"/>
        </w:rPr>
      </w:pPr>
      <w:r>
        <w:rPr>
          <w:rFonts w:hint="eastAsia" w:ascii="仿宋_GB2312" w:eastAsia="仿宋_GB2312" w:hAnsiTheme="majorEastAsia"/>
          <w:sz w:val="32"/>
          <w:szCs w:val="32"/>
          <w:lang w:val="zh-CN"/>
        </w:rPr>
        <w:t>2018年，在市财政局的监督管理下，市政府办公室积极探索完善财政资金管理的有效机制，不断完善管理制度，形成了一套行之有效的资金管理体系，保证了资金的安全、有效运行，取得了良好的效果。所有资金实行专款专用，资金拨付严格审批程序，使用规范，会计核算结果真实、准确。自我评价结果为“优”。</w:t>
      </w:r>
    </w:p>
    <w:p>
      <w:pPr>
        <w:spacing w:line="580" w:lineRule="exact"/>
        <w:ind w:firstLine="640" w:firstLineChars="200"/>
        <w:rPr>
          <w:rFonts w:ascii="楷体_GB2312" w:hAnsi="宋体" w:eastAsia="楷体_GB2312" w:cs="仿宋_GB2312"/>
          <w:sz w:val="32"/>
          <w:szCs w:val="32"/>
        </w:rPr>
      </w:pPr>
      <w:r>
        <w:rPr>
          <w:rFonts w:ascii="楷体_GB2312" w:hAnsi="宋体" w:eastAsia="楷体_GB2312" w:cs="仿宋_GB2312"/>
          <w:sz w:val="32"/>
          <w:szCs w:val="32"/>
        </w:rPr>
        <w:t>（二）存在问题。</w:t>
      </w:r>
    </w:p>
    <w:p>
      <w:pPr>
        <w:spacing w:line="600" w:lineRule="exact"/>
        <w:ind w:firstLine="640" w:firstLineChars="200"/>
        <w:rPr>
          <w:rFonts w:ascii="仿宋_GB2312" w:eastAsia="仿宋_GB2312" w:hAnsiTheme="majorEastAsia"/>
          <w:color w:val="000000" w:themeColor="text1"/>
          <w:sz w:val="32"/>
          <w:szCs w:val="32"/>
          <w14:textFill>
            <w14:solidFill>
              <w14:schemeClr w14:val="tx1"/>
            </w14:solidFill>
          </w14:textFill>
        </w:rPr>
      </w:pPr>
      <w:r>
        <w:rPr>
          <w:rFonts w:hint="eastAsia" w:ascii="仿宋_GB2312" w:eastAsia="仿宋_GB2312" w:hAnsiTheme="majorEastAsia"/>
          <w:color w:val="000000" w:themeColor="text1"/>
          <w:sz w:val="32"/>
          <w:szCs w:val="32"/>
          <w:lang w:val="zh-CN"/>
          <w14:textFill>
            <w14:solidFill>
              <w14:schemeClr w14:val="tx1"/>
            </w14:solidFill>
          </w14:textFill>
        </w:rPr>
        <w:t>年初预算不足，追加预算未到位，年中出现挤占其他经费的情况</w:t>
      </w:r>
      <w:r>
        <w:rPr>
          <w:rFonts w:hint="eastAsia" w:eastAsia="仿宋_GB2312"/>
          <w:color w:val="000000" w:themeColor="text1"/>
          <w:sz w:val="32"/>
          <w:szCs w:val="32"/>
          <w14:textFill>
            <w14:solidFill>
              <w14:schemeClr w14:val="tx1"/>
            </w14:solidFill>
          </w14:textFill>
        </w:rPr>
        <w:t>。</w:t>
      </w:r>
    </w:p>
    <w:p>
      <w:pPr>
        <w:spacing w:line="580" w:lineRule="exact"/>
        <w:ind w:firstLine="640" w:firstLineChars="200"/>
        <w:rPr>
          <w:rFonts w:ascii="楷体_GB2312" w:hAnsi="宋体" w:eastAsia="楷体_GB2312" w:cs="仿宋_GB2312"/>
          <w:sz w:val="32"/>
          <w:szCs w:val="32"/>
        </w:rPr>
      </w:pPr>
      <w:r>
        <w:rPr>
          <w:rFonts w:hint="eastAsia" w:ascii="楷体_GB2312" w:hAnsi="宋体" w:eastAsia="楷体_GB2312" w:cs="仿宋_GB2312"/>
          <w:sz w:val="32"/>
          <w:szCs w:val="32"/>
        </w:rPr>
        <w:t>（三）改进建议。</w:t>
      </w:r>
    </w:p>
    <w:p>
      <w:pPr>
        <w:spacing w:line="600" w:lineRule="exact"/>
        <w:ind w:firstLine="640" w:firstLineChars="200"/>
        <w:rPr>
          <w:rStyle w:val="26"/>
          <w:rFonts w:eastAsia="仿宋_GB2312"/>
          <w:b w:val="0"/>
          <w:bCs w:val="0"/>
          <w:color w:val="000000" w:themeColor="text1"/>
          <w:kern w:val="2"/>
          <w:sz w:val="32"/>
          <w:szCs w:val="32"/>
          <w14:textFill>
            <w14:solidFill>
              <w14:schemeClr w14:val="tx1"/>
            </w14:solidFill>
          </w14:textFill>
        </w:rPr>
      </w:pPr>
      <w:r>
        <w:rPr>
          <w:rFonts w:hint="eastAsia" w:ascii="仿宋_GB2312" w:eastAsia="仿宋_GB2312" w:hAnsiTheme="majorEastAsia"/>
          <w:color w:val="000000" w:themeColor="text1"/>
          <w:sz w:val="32"/>
          <w:szCs w:val="32"/>
          <w:lang w:val="zh-CN"/>
          <w14:textFill>
            <w14:solidFill>
              <w14:schemeClr w14:val="tx1"/>
            </w14:solidFill>
          </w14:textFill>
        </w:rPr>
        <w:t>加强</w:t>
      </w:r>
      <w:r>
        <w:rPr>
          <w:rFonts w:hint="eastAsia" w:eastAsia="仿宋_GB2312"/>
          <w:color w:val="000000" w:themeColor="text1"/>
          <w:sz w:val="32"/>
          <w:szCs w:val="32"/>
          <w14:textFill>
            <w14:solidFill>
              <w14:schemeClr w14:val="tx1"/>
            </w14:solidFill>
          </w14:textFill>
        </w:rPr>
        <w:t>与财政沟通，确保年初预算经费能保障全年工作正常运转。</w:t>
      </w:r>
    </w:p>
    <w:p>
      <w:pPr>
        <w:widowControl/>
        <w:jc w:val="left"/>
        <w:rPr>
          <w:rFonts w:ascii="黑体" w:hAnsi="黑体" w:eastAsia="黑体"/>
          <w:color w:val="000000"/>
          <w:sz w:val="44"/>
          <w:szCs w:val="44"/>
        </w:rPr>
      </w:pPr>
      <w:bookmarkStart w:id="67" w:name="_Toc20390778"/>
      <w:r>
        <w:rPr>
          <w:rFonts w:ascii="黑体" w:hAnsi="黑体" w:eastAsia="黑体"/>
          <w:color w:val="000000"/>
          <w:sz w:val="44"/>
          <w:szCs w:val="44"/>
        </w:rPr>
        <w:br w:type="page"/>
      </w:r>
    </w:p>
    <w:p>
      <w:pPr>
        <w:spacing w:line="600" w:lineRule="exact"/>
        <w:jc w:val="center"/>
        <w:outlineLvl w:val="0"/>
        <w:rPr>
          <w:rStyle w:val="26"/>
          <w:rFonts w:ascii="黑体" w:hAnsi="黑体" w:eastAsia="黑体"/>
          <w:b w:val="0"/>
        </w:rPr>
      </w:pPr>
      <w:r>
        <w:rPr>
          <w:rFonts w:hint="eastAsia" w:ascii="黑体" w:hAnsi="黑体" w:eastAsia="黑体"/>
          <w:color w:val="000000"/>
          <w:sz w:val="44"/>
          <w:szCs w:val="44"/>
        </w:rPr>
        <w:t>第</w:t>
      </w:r>
      <w:r>
        <w:rPr>
          <w:rStyle w:val="26"/>
          <w:rFonts w:hint="eastAsia" w:ascii="黑体" w:hAnsi="黑体" w:eastAsia="黑体"/>
        </w:rPr>
        <w:t>五部分  附  表</w:t>
      </w:r>
      <w:bookmarkEnd w:id="67"/>
    </w:p>
    <w:p>
      <w:pPr>
        <w:spacing w:line="600" w:lineRule="exact"/>
        <w:jc w:val="center"/>
        <w:outlineLvl w:val="0"/>
        <w:rPr>
          <w:rStyle w:val="26"/>
          <w:rFonts w:ascii="黑体" w:hAnsi="黑体" w:eastAsia="黑体"/>
          <w:b w:val="0"/>
          <w:color w:val="000000" w:themeColor="text1"/>
          <w14:textFill>
            <w14:solidFill>
              <w14:schemeClr w14:val="tx1"/>
            </w14:solidFill>
          </w14:textFill>
        </w:rPr>
      </w:pPr>
    </w:p>
    <w:p>
      <w:pPr>
        <w:pStyle w:val="3"/>
        <w:spacing w:before="0" w:after="0" w:line="600" w:lineRule="exact"/>
        <w:rPr>
          <w:rFonts w:ascii="仿宋_GB2312" w:hAnsi="仿宋" w:eastAsia="仿宋_GB2312"/>
          <w:color w:val="000000" w:themeColor="text1"/>
          <w14:textFill>
            <w14:solidFill>
              <w14:schemeClr w14:val="tx1"/>
            </w14:solidFill>
          </w14:textFill>
        </w:rPr>
      </w:pPr>
      <w:bookmarkStart w:id="68" w:name="_Toc20390779"/>
      <w:r>
        <w:rPr>
          <w:rFonts w:hint="eastAsia" w:ascii="仿宋_GB2312" w:hAnsi="仿宋" w:eastAsia="仿宋_GB2312"/>
          <w:b w:val="0"/>
          <w:color w:val="000000" w:themeColor="text1"/>
          <w14:textFill>
            <w14:solidFill>
              <w14:schemeClr w14:val="tx1"/>
            </w14:solidFill>
          </w14:textFill>
        </w:rPr>
        <w:t>一、收</w:t>
      </w:r>
      <w:r>
        <w:rPr>
          <w:rStyle w:val="27"/>
          <w:rFonts w:hint="eastAsia" w:ascii="仿宋_GB2312" w:hAnsi="仿宋" w:eastAsia="仿宋_GB2312"/>
          <w:b w:val="0"/>
          <w:bCs w:val="0"/>
          <w:color w:val="000000" w:themeColor="text1"/>
          <w14:textFill>
            <w14:solidFill>
              <w14:schemeClr w14:val="tx1"/>
            </w14:solidFill>
          </w14:textFill>
        </w:rPr>
        <w:t>入支出决算总表</w:t>
      </w:r>
      <w:bookmarkEnd w:id="68"/>
    </w:p>
    <w:p>
      <w:pPr>
        <w:pStyle w:val="3"/>
        <w:spacing w:before="0" w:after="0" w:line="600" w:lineRule="exact"/>
        <w:rPr>
          <w:rFonts w:ascii="仿宋_GB2312" w:hAnsi="仿宋" w:eastAsia="仿宋_GB2312"/>
          <w:color w:val="000000" w:themeColor="text1"/>
          <w14:textFill>
            <w14:solidFill>
              <w14:schemeClr w14:val="tx1"/>
            </w14:solidFill>
          </w14:textFill>
        </w:rPr>
      </w:pPr>
      <w:bookmarkStart w:id="69" w:name="_Toc20390780"/>
      <w:r>
        <w:rPr>
          <w:rFonts w:hint="eastAsia" w:ascii="仿宋_GB2312" w:hAnsi="仿宋" w:eastAsia="仿宋_GB2312"/>
          <w:b w:val="0"/>
          <w:color w:val="000000" w:themeColor="text1"/>
          <w14:textFill>
            <w14:solidFill>
              <w14:schemeClr w14:val="tx1"/>
            </w14:solidFill>
          </w14:textFill>
        </w:rPr>
        <w:t>二、收</w:t>
      </w:r>
      <w:r>
        <w:rPr>
          <w:rStyle w:val="27"/>
          <w:rFonts w:hint="eastAsia" w:ascii="仿宋_GB2312" w:hAnsi="仿宋" w:eastAsia="仿宋_GB2312"/>
          <w:b w:val="0"/>
          <w:bCs w:val="0"/>
          <w:color w:val="000000" w:themeColor="text1"/>
          <w14:textFill>
            <w14:solidFill>
              <w14:schemeClr w14:val="tx1"/>
            </w14:solidFill>
          </w14:textFill>
        </w:rPr>
        <w:t>入总表</w:t>
      </w:r>
      <w:bookmarkEnd w:id="69"/>
    </w:p>
    <w:p>
      <w:pPr>
        <w:pStyle w:val="3"/>
        <w:spacing w:before="0" w:after="0" w:line="600" w:lineRule="exact"/>
        <w:rPr>
          <w:rFonts w:ascii="仿宋_GB2312" w:hAnsi="仿宋" w:eastAsia="仿宋_GB2312"/>
          <w:color w:val="000000" w:themeColor="text1"/>
          <w14:textFill>
            <w14:solidFill>
              <w14:schemeClr w14:val="tx1"/>
            </w14:solidFill>
          </w14:textFill>
        </w:rPr>
      </w:pPr>
      <w:bookmarkStart w:id="70" w:name="_Toc20390781"/>
      <w:r>
        <w:rPr>
          <w:rStyle w:val="27"/>
          <w:rFonts w:hint="eastAsia" w:ascii="仿宋_GB2312" w:hAnsi="仿宋" w:eastAsia="仿宋_GB2312"/>
          <w:b w:val="0"/>
          <w:bCs w:val="0"/>
          <w:color w:val="000000" w:themeColor="text1"/>
          <w14:textFill>
            <w14:solidFill>
              <w14:schemeClr w14:val="tx1"/>
            </w14:solidFill>
          </w14:textFill>
        </w:rPr>
        <w:t>三、</w:t>
      </w:r>
      <w:r>
        <w:rPr>
          <w:rFonts w:hint="eastAsia" w:ascii="仿宋_GB2312" w:hAnsi="仿宋" w:eastAsia="仿宋_GB2312"/>
          <w:b w:val="0"/>
          <w:color w:val="000000" w:themeColor="text1"/>
          <w14:textFill>
            <w14:solidFill>
              <w14:schemeClr w14:val="tx1"/>
            </w14:solidFill>
          </w14:textFill>
        </w:rPr>
        <w:t>支</w:t>
      </w:r>
      <w:r>
        <w:rPr>
          <w:rStyle w:val="27"/>
          <w:rFonts w:hint="eastAsia" w:ascii="仿宋_GB2312" w:hAnsi="仿宋" w:eastAsia="仿宋_GB2312"/>
          <w:b w:val="0"/>
          <w:bCs w:val="0"/>
          <w:color w:val="000000" w:themeColor="text1"/>
          <w14:textFill>
            <w14:solidFill>
              <w14:schemeClr w14:val="tx1"/>
            </w14:solidFill>
          </w14:textFill>
        </w:rPr>
        <w:t>出总表</w:t>
      </w:r>
      <w:bookmarkEnd w:id="70"/>
    </w:p>
    <w:p>
      <w:pPr>
        <w:pStyle w:val="3"/>
        <w:spacing w:before="0" w:after="0" w:line="600" w:lineRule="exact"/>
        <w:rPr>
          <w:rFonts w:ascii="仿宋_GB2312" w:hAnsi="仿宋" w:eastAsia="仿宋_GB2312"/>
          <w:b w:val="0"/>
          <w:color w:val="000000" w:themeColor="text1"/>
          <w14:textFill>
            <w14:solidFill>
              <w14:schemeClr w14:val="tx1"/>
            </w14:solidFill>
          </w14:textFill>
        </w:rPr>
      </w:pPr>
      <w:bookmarkStart w:id="71" w:name="_Toc20390782"/>
      <w:r>
        <w:rPr>
          <w:rStyle w:val="27"/>
          <w:rFonts w:hint="eastAsia" w:ascii="仿宋_GB2312" w:hAnsi="仿宋" w:eastAsia="仿宋_GB2312"/>
          <w:b w:val="0"/>
          <w:bCs w:val="0"/>
          <w:color w:val="000000" w:themeColor="text1"/>
          <w14:textFill>
            <w14:solidFill>
              <w14:schemeClr w14:val="tx1"/>
            </w14:solidFill>
          </w14:textFill>
        </w:rPr>
        <w:t>四、</w:t>
      </w:r>
      <w:r>
        <w:rPr>
          <w:rFonts w:hint="eastAsia" w:ascii="仿宋_GB2312" w:hAnsi="仿宋" w:eastAsia="仿宋_GB2312"/>
          <w:b w:val="0"/>
          <w:color w:val="000000" w:themeColor="text1"/>
          <w14:textFill>
            <w14:solidFill>
              <w14:schemeClr w14:val="tx1"/>
            </w14:solidFill>
          </w14:textFill>
        </w:rPr>
        <w:t>财</w:t>
      </w:r>
      <w:r>
        <w:rPr>
          <w:rStyle w:val="27"/>
          <w:rFonts w:hint="eastAsia" w:ascii="仿宋_GB2312" w:hAnsi="仿宋" w:eastAsia="仿宋_GB2312"/>
          <w:b w:val="0"/>
          <w:bCs w:val="0"/>
          <w:color w:val="000000" w:themeColor="text1"/>
          <w14:textFill>
            <w14:solidFill>
              <w14:schemeClr w14:val="tx1"/>
            </w14:solidFill>
          </w14:textFill>
        </w:rPr>
        <w:t>政拨款收入支出决算总表</w:t>
      </w:r>
      <w:bookmarkEnd w:id="71"/>
    </w:p>
    <w:p>
      <w:pPr>
        <w:pStyle w:val="3"/>
        <w:spacing w:before="0" w:after="0" w:line="600" w:lineRule="exact"/>
        <w:rPr>
          <w:rFonts w:ascii="仿宋_GB2312" w:hAnsi="仿宋" w:eastAsia="仿宋_GB2312"/>
          <w:color w:val="000000" w:themeColor="text1"/>
          <w14:textFill>
            <w14:solidFill>
              <w14:schemeClr w14:val="tx1"/>
            </w14:solidFill>
          </w14:textFill>
        </w:rPr>
      </w:pPr>
      <w:bookmarkStart w:id="72" w:name="_Toc20390783"/>
      <w:r>
        <w:rPr>
          <w:rStyle w:val="27"/>
          <w:rFonts w:hint="eastAsia" w:ascii="仿宋_GB2312" w:hAnsi="仿宋" w:eastAsia="仿宋_GB2312"/>
          <w:b w:val="0"/>
          <w:bCs w:val="0"/>
          <w:color w:val="000000" w:themeColor="text1"/>
          <w14:textFill>
            <w14:solidFill>
              <w14:schemeClr w14:val="tx1"/>
            </w14:solidFill>
          </w14:textFill>
        </w:rPr>
        <w:t>五、</w:t>
      </w:r>
      <w:r>
        <w:rPr>
          <w:rFonts w:hint="eastAsia" w:ascii="仿宋_GB2312" w:hAnsi="仿宋" w:eastAsia="仿宋_GB2312"/>
          <w:b w:val="0"/>
          <w:color w:val="000000" w:themeColor="text1"/>
          <w14:textFill>
            <w14:solidFill>
              <w14:schemeClr w14:val="tx1"/>
            </w14:solidFill>
          </w14:textFill>
        </w:rPr>
        <w:t>财</w:t>
      </w:r>
      <w:r>
        <w:rPr>
          <w:rStyle w:val="27"/>
          <w:rFonts w:hint="eastAsia" w:ascii="仿宋_GB2312" w:hAnsi="仿宋" w:eastAsia="仿宋_GB2312"/>
          <w:b w:val="0"/>
          <w:bCs w:val="0"/>
          <w:color w:val="000000" w:themeColor="text1"/>
          <w14:textFill>
            <w14:solidFill>
              <w14:schemeClr w14:val="tx1"/>
            </w14:solidFill>
          </w14:textFill>
        </w:rPr>
        <w:t>政拨款支出决算明细表（政府经济分类科目）</w:t>
      </w:r>
      <w:bookmarkEnd w:id="72"/>
    </w:p>
    <w:p>
      <w:pPr>
        <w:pStyle w:val="3"/>
        <w:spacing w:before="0" w:after="0" w:line="600" w:lineRule="exact"/>
        <w:rPr>
          <w:rFonts w:ascii="仿宋_GB2312" w:hAnsi="仿宋" w:eastAsia="仿宋_GB2312"/>
          <w:color w:val="000000" w:themeColor="text1"/>
          <w14:textFill>
            <w14:solidFill>
              <w14:schemeClr w14:val="tx1"/>
            </w14:solidFill>
          </w14:textFill>
        </w:rPr>
      </w:pPr>
      <w:bookmarkStart w:id="73" w:name="_Toc20390784"/>
      <w:r>
        <w:rPr>
          <w:rStyle w:val="27"/>
          <w:rFonts w:hint="eastAsia" w:ascii="仿宋_GB2312" w:hAnsi="仿宋" w:eastAsia="仿宋_GB2312"/>
          <w:b w:val="0"/>
          <w:bCs w:val="0"/>
          <w:color w:val="000000" w:themeColor="text1"/>
          <w14:textFill>
            <w14:solidFill>
              <w14:schemeClr w14:val="tx1"/>
            </w14:solidFill>
          </w14:textFill>
        </w:rPr>
        <w:t>六、</w:t>
      </w:r>
      <w:r>
        <w:rPr>
          <w:rFonts w:hint="eastAsia" w:ascii="仿宋_GB2312" w:hAnsi="仿宋" w:eastAsia="仿宋_GB2312"/>
          <w:b w:val="0"/>
          <w:color w:val="000000" w:themeColor="text1"/>
          <w14:textFill>
            <w14:solidFill>
              <w14:schemeClr w14:val="tx1"/>
            </w14:solidFill>
          </w14:textFill>
        </w:rPr>
        <w:t>一</w:t>
      </w:r>
      <w:r>
        <w:rPr>
          <w:rStyle w:val="27"/>
          <w:rFonts w:hint="eastAsia" w:ascii="仿宋_GB2312" w:hAnsi="仿宋" w:eastAsia="仿宋_GB2312"/>
          <w:b w:val="0"/>
          <w:bCs w:val="0"/>
          <w:color w:val="000000" w:themeColor="text1"/>
          <w14:textFill>
            <w14:solidFill>
              <w14:schemeClr w14:val="tx1"/>
            </w14:solidFill>
          </w14:textFill>
        </w:rPr>
        <w:t>般公共预算财政拨款支出决算表</w:t>
      </w:r>
      <w:bookmarkEnd w:id="73"/>
    </w:p>
    <w:p>
      <w:pPr>
        <w:pStyle w:val="3"/>
        <w:spacing w:before="0" w:after="0" w:line="600" w:lineRule="exact"/>
        <w:rPr>
          <w:rFonts w:ascii="仿宋_GB2312" w:hAnsi="仿宋" w:eastAsia="仿宋_GB2312"/>
          <w:color w:val="000000" w:themeColor="text1"/>
          <w14:textFill>
            <w14:solidFill>
              <w14:schemeClr w14:val="tx1"/>
            </w14:solidFill>
          </w14:textFill>
        </w:rPr>
      </w:pPr>
      <w:bookmarkStart w:id="74" w:name="_Toc20390785"/>
      <w:r>
        <w:rPr>
          <w:rStyle w:val="27"/>
          <w:rFonts w:hint="eastAsia" w:ascii="仿宋_GB2312" w:hAnsi="仿宋" w:eastAsia="仿宋_GB2312"/>
          <w:b w:val="0"/>
          <w:bCs w:val="0"/>
          <w:color w:val="000000" w:themeColor="text1"/>
          <w14:textFill>
            <w14:solidFill>
              <w14:schemeClr w14:val="tx1"/>
            </w14:solidFill>
          </w14:textFill>
        </w:rPr>
        <w:t>七、</w:t>
      </w:r>
      <w:r>
        <w:rPr>
          <w:rFonts w:hint="eastAsia" w:ascii="仿宋_GB2312" w:hAnsi="仿宋" w:eastAsia="仿宋_GB2312"/>
          <w:b w:val="0"/>
          <w:color w:val="000000" w:themeColor="text1"/>
          <w14:textFill>
            <w14:solidFill>
              <w14:schemeClr w14:val="tx1"/>
            </w14:solidFill>
          </w14:textFill>
        </w:rPr>
        <w:t>一</w:t>
      </w:r>
      <w:r>
        <w:rPr>
          <w:rStyle w:val="27"/>
          <w:rFonts w:hint="eastAsia" w:ascii="仿宋_GB2312" w:hAnsi="仿宋" w:eastAsia="仿宋_GB2312"/>
          <w:b w:val="0"/>
          <w:bCs w:val="0"/>
          <w:color w:val="000000" w:themeColor="text1"/>
          <w14:textFill>
            <w14:solidFill>
              <w14:schemeClr w14:val="tx1"/>
            </w14:solidFill>
          </w14:textFill>
        </w:rPr>
        <w:t>般公共预算财政拨款支出决算明细表</w:t>
      </w:r>
      <w:bookmarkEnd w:id="74"/>
    </w:p>
    <w:p>
      <w:pPr>
        <w:pStyle w:val="3"/>
        <w:spacing w:before="0" w:after="0" w:line="600" w:lineRule="exact"/>
        <w:rPr>
          <w:rFonts w:ascii="仿宋_GB2312" w:hAnsi="仿宋" w:eastAsia="仿宋_GB2312"/>
          <w:color w:val="000000" w:themeColor="text1"/>
          <w14:textFill>
            <w14:solidFill>
              <w14:schemeClr w14:val="tx1"/>
            </w14:solidFill>
          </w14:textFill>
        </w:rPr>
      </w:pPr>
      <w:bookmarkStart w:id="75" w:name="_Toc20390786"/>
      <w:r>
        <w:rPr>
          <w:rStyle w:val="27"/>
          <w:rFonts w:hint="eastAsia" w:ascii="仿宋_GB2312" w:hAnsi="仿宋" w:eastAsia="仿宋_GB2312"/>
          <w:b w:val="0"/>
          <w:bCs w:val="0"/>
          <w:color w:val="000000" w:themeColor="text1"/>
          <w14:textFill>
            <w14:solidFill>
              <w14:schemeClr w14:val="tx1"/>
            </w14:solidFill>
          </w14:textFill>
        </w:rPr>
        <w:t>八、</w:t>
      </w:r>
      <w:r>
        <w:rPr>
          <w:rFonts w:hint="eastAsia" w:ascii="仿宋_GB2312" w:hAnsi="仿宋" w:eastAsia="仿宋_GB2312"/>
          <w:b w:val="0"/>
          <w:color w:val="000000" w:themeColor="text1"/>
          <w14:textFill>
            <w14:solidFill>
              <w14:schemeClr w14:val="tx1"/>
            </w14:solidFill>
          </w14:textFill>
        </w:rPr>
        <w:t>一</w:t>
      </w:r>
      <w:r>
        <w:rPr>
          <w:rStyle w:val="27"/>
          <w:rFonts w:hint="eastAsia" w:ascii="仿宋_GB2312" w:hAnsi="仿宋" w:eastAsia="仿宋_GB2312"/>
          <w:b w:val="0"/>
          <w:bCs w:val="0"/>
          <w:color w:val="000000" w:themeColor="text1"/>
          <w14:textFill>
            <w14:solidFill>
              <w14:schemeClr w14:val="tx1"/>
            </w14:solidFill>
          </w14:textFill>
        </w:rPr>
        <w:t>般公共预算财政拨款基本支出决算表</w:t>
      </w:r>
      <w:bookmarkEnd w:id="75"/>
    </w:p>
    <w:p>
      <w:pPr>
        <w:pStyle w:val="3"/>
        <w:spacing w:before="0" w:after="0" w:line="600" w:lineRule="exact"/>
        <w:rPr>
          <w:rFonts w:ascii="仿宋_GB2312" w:hAnsi="仿宋" w:eastAsia="仿宋_GB2312"/>
          <w:color w:val="000000" w:themeColor="text1"/>
          <w14:textFill>
            <w14:solidFill>
              <w14:schemeClr w14:val="tx1"/>
            </w14:solidFill>
          </w14:textFill>
        </w:rPr>
      </w:pPr>
      <w:bookmarkStart w:id="76" w:name="_Toc20390787"/>
      <w:r>
        <w:rPr>
          <w:rStyle w:val="27"/>
          <w:rFonts w:hint="eastAsia" w:ascii="仿宋_GB2312" w:hAnsi="仿宋" w:eastAsia="仿宋_GB2312"/>
          <w:b w:val="0"/>
          <w:bCs w:val="0"/>
          <w:color w:val="000000" w:themeColor="text1"/>
          <w14:textFill>
            <w14:solidFill>
              <w14:schemeClr w14:val="tx1"/>
            </w14:solidFill>
          </w14:textFill>
        </w:rPr>
        <w:t>九、</w:t>
      </w:r>
      <w:r>
        <w:rPr>
          <w:rFonts w:hint="eastAsia" w:ascii="仿宋_GB2312" w:hAnsi="仿宋" w:eastAsia="仿宋_GB2312"/>
          <w:b w:val="0"/>
          <w:color w:val="000000" w:themeColor="text1"/>
          <w14:textFill>
            <w14:solidFill>
              <w14:schemeClr w14:val="tx1"/>
            </w14:solidFill>
          </w14:textFill>
        </w:rPr>
        <w:t>一</w:t>
      </w:r>
      <w:r>
        <w:rPr>
          <w:rStyle w:val="27"/>
          <w:rFonts w:hint="eastAsia" w:ascii="仿宋_GB2312" w:hAnsi="仿宋" w:eastAsia="仿宋_GB2312"/>
          <w:b w:val="0"/>
          <w:bCs w:val="0"/>
          <w:color w:val="000000" w:themeColor="text1"/>
          <w14:textFill>
            <w14:solidFill>
              <w14:schemeClr w14:val="tx1"/>
            </w14:solidFill>
          </w14:textFill>
        </w:rPr>
        <w:t>般公共预算财政拨款项目支出决算表</w:t>
      </w:r>
      <w:bookmarkEnd w:id="76"/>
    </w:p>
    <w:p>
      <w:pPr>
        <w:pStyle w:val="3"/>
        <w:spacing w:before="0" w:after="0" w:line="600" w:lineRule="exact"/>
        <w:rPr>
          <w:rFonts w:ascii="仿宋_GB2312" w:hAnsi="仿宋" w:eastAsia="仿宋_GB2312"/>
          <w:color w:val="000000" w:themeColor="text1"/>
          <w14:textFill>
            <w14:solidFill>
              <w14:schemeClr w14:val="tx1"/>
            </w14:solidFill>
          </w14:textFill>
        </w:rPr>
      </w:pPr>
      <w:bookmarkStart w:id="77" w:name="_Toc20390788"/>
      <w:r>
        <w:rPr>
          <w:rStyle w:val="27"/>
          <w:rFonts w:hint="eastAsia" w:ascii="仿宋_GB2312" w:hAnsi="仿宋" w:eastAsia="仿宋_GB2312"/>
          <w:b w:val="0"/>
          <w:bCs w:val="0"/>
          <w:color w:val="000000" w:themeColor="text1"/>
          <w14:textFill>
            <w14:solidFill>
              <w14:schemeClr w14:val="tx1"/>
            </w14:solidFill>
          </w14:textFill>
        </w:rPr>
        <w:t>十、</w:t>
      </w:r>
      <w:r>
        <w:rPr>
          <w:rFonts w:hint="eastAsia" w:ascii="仿宋_GB2312" w:hAnsi="仿宋" w:eastAsia="仿宋_GB2312"/>
          <w:b w:val="0"/>
          <w:color w:val="000000" w:themeColor="text1"/>
          <w14:textFill>
            <w14:solidFill>
              <w14:schemeClr w14:val="tx1"/>
            </w14:solidFill>
          </w14:textFill>
        </w:rPr>
        <w:t>一</w:t>
      </w:r>
      <w:r>
        <w:rPr>
          <w:rStyle w:val="27"/>
          <w:rFonts w:hint="eastAsia" w:ascii="仿宋_GB2312" w:hAnsi="仿宋" w:eastAsia="仿宋_GB2312"/>
          <w:b w:val="0"/>
          <w:bCs w:val="0"/>
          <w:color w:val="000000" w:themeColor="text1"/>
          <w14:textFill>
            <w14:solidFill>
              <w14:schemeClr w14:val="tx1"/>
            </w14:solidFill>
          </w14:textFill>
        </w:rPr>
        <w:t>般公共预算财政拨款“三公”经费支出决算表</w:t>
      </w:r>
      <w:bookmarkEnd w:id="77"/>
    </w:p>
    <w:p>
      <w:pPr>
        <w:pStyle w:val="3"/>
        <w:spacing w:before="0" w:after="0" w:line="600" w:lineRule="exact"/>
        <w:rPr>
          <w:rFonts w:ascii="仿宋_GB2312" w:hAnsi="仿宋" w:eastAsia="仿宋_GB2312"/>
          <w:color w:val="000000" w:themeColor="text1"/>
          <w14:textFill>
            <w14:solidFill>
              <w14:schemeClr w14:val="tx1"/>
            </w14:solidFill>
          </w14:textFill>
        </w:rPr>
      </w:pPr>
      <w:bookmarkStart w:id="78" w:name="_Toc20390789"/>
      <w:r>
        <w:rPr>
          <w:rStyle w:val="27"/>
          <w:rFonts w:hint="eastAsia" w:ascii="仿宋_GB2312" w:hAnsi="仿宋" w:eastAsia="仿宋_GB2312"/>
          <w:b w:val="0"/>
          <w:bCs w:val="0"/>
          <w:color w:val="000000" w:themeColor="text1"/>
          <w14:textFill>
            <w14:solidFill>
              <w14:schemeClr w14:val="tx1"/>
            </w14:solidFill>
          </w14:textFill>
        </w:rPr>
        <w:t>十一、</w:t>
      </w:r>
      <w:r>
        <w:rPr>
          <w:rFonts w:hint="eastAsia" w:ascii="仿宋_GB2312" w:hAnsi="仿宋" w:eastAsia="仿宋_GB2312"/>
          <w:b w:val="0"/>
          <w:color w:val="000000" w:themeColor="text1"/>
          <w14:textFill>
            <w14:solidFill>
              <w14:schemeClr w14:val="tx1"/>
            </w14:solidFill>
          </w14:textFill>
        </w:rPr>
        <w:t>政</w:t>
      </w:r>
      <w:r>
        <w:rPr>
          <w:rStyle w:val="27"/>
          <w:rFonts w:hint="eastAsia" w:ascii="仿宋_GB2312" w:hAnsi="仿宋" w:eastAsia="仿宋_GB2312"/>
          <w:b w:val="0"/>
          <w:bCs w:val="0"/>
          <w:color w:val="000000" w:themeColor="text1"/>
          <w14:textFill>
            <w14:solidFill>
              <w14:schemeClr w14:val="tx1"/>
            </w14:solidFill>
          </w14:textFill>
        </w:rPr>
        <w:t>府性基金预算财政拨款收入支出决算表</w:t>
      </w:r>
      <w:bookmarkEnd w:id="78"/>
    </w:p>
    <w:p>
      <w:pPr>
        <w:pStyle w:val="3"/>
        <w:spacing w:before="0" w:after="0" w:line="600" w:lineRule="exact"/>
        <w:rPr>
          <w:rFonts w:ascii="仿宋_GB2312" w:hAnsi="仿宋" w:eastAsia="仿宋_GB2312"/>
          <w:color w:val="000000" w:themeColor="text1"/>
          <w14:textFill>
            <w14:solidFill>
              <w14:schemeClr w14:val="tx1"/>
            </w14:solidFill>
          </w14:textFill>
        </w:rPr>
      </w:pPr>
      <w:bookmarkStart w:id="79" w:name="_Toc20390790"/>
      <w:r>
        <w:rPr>
          <w:rStyle w:val="27"/>
          <w:rFonts w:hint="eastAsia" w:ascii="仿宋_GB2312" w:hAnsi="仿宋" w:eastAsia="仿宋_GB2312"/>
          <w:b w:val="0"/>
          <w:bCs w:val="0"/>
          <w:color w:val="000000" w:themeColor="text1"/>
          <w14:textFill>
            <w14:solidFill>
              <w14:schemeClr w14:val="tx1"/>
            </w14:solidFill>
          </w14:textFill>
        </w:rPr>
        <w:t>十二、</w:t>
      </w:r>
      <w:r>
        <w:rPr>
          <w:rFonts w:hint="eastAsia" w:ascii="仿宋_GB2312" w:hAnsi="仿宋" w:eastAsia="仿宋_GB2312"/>
          <w:b w:val="0"/>
          <w:color w:val="000000" w:themeColor="text1"/>
          <w14:textFill>
            <w14:solidFill>
              <w14:schemeClr w14:val="tx1"/>
            </w14:solidFill>
          </w14:textFill>
        </w:rPr>
        <w:t>政</w:t>
      </w:r>
      <w:r>
        <w:rPr>
          <w:rStyle w:val="27"/>
          <w:rFonts w:hint="eastAsia" w:ascii="仿宋_GB2312" w:hAnsi="仿宋" w:eastAsia="仿宋_GB2312"/>
          <w:b w:val="0"/>
          <w:bCs w:val="0"/>
          <w:color w:val="000000" w:themeColor="text1"/>
          <w14:textFill>
            <w14:solidFill>
              <w14:schemeClr w14:val="tx1"/>
            </w14:solidFill>
          </w14:textFill>
        </w:rPr>
        <w:t>府性基金预算财政拨款“三公”经费支出决算表</w:t>
      </w:r>
      <w:bookmarkEnd w:id="79"/>
    </w:p>
    <w:p>
      <w:pPr>
        <w:pStyle w:val="3"/>
        <w:spacing w:before="0" w:after="0" w:line="600" w:lineRule="exact"/>
        <w:rPr>
          <w:rFonts w:ascii="仿宋_GB2312" w:hAnsi="仿宋" w:eastAsia="仿宋_GB2312"/>
          <w:color w:val="000000" w:themeColor="text1"/>
          <w14:textFill>
            <w14:solidFill>
              <w14:schemeClr w14:val="tx1"/>
            </w14:solidFill>
          </w14:textFill>
        </w:rPr>
      </w:pPr>
      <w:bookmarkStart w:id="80" w:name="_Toc20390791"/>
      <w:r>
        <w:rPr>
          <w:rStyle w:val="27"/>
          <w:rFonts w:hint="eastAsia" w:ascii="仿宋_GB2312" w:hAnsi="仿宋" w:eastAsia="仿宋_GB2312"/>
          <w:b w:val="0"/>
          <w:bCs w:val="0"/>
          <w:color w:val="000000" w:themeColor="text1"/>
          <w14:textFill>
            <w14:solidFill>
              <w14:schemeClr w14:val="tx1"/>
            </w14:solidFill>
          </w14:textFill>
        </w:rPr>
        <w:t>十三、</w:t>
      </w:r>
      <w:r>
        <w:rPr>
          <w:rFonts w:hint="eastAsia" w:ascii="仿宋_GB2312" w:hAnsi="仿宋" w:eastAsia="仿宋_GB2312"/>
          <w:b w:val="0"/>
          <w:color w:val="000000" w:themeColor="text1"/>
          <w14:textFill>
            <w14:solidFill>
              <w14:schemeClr w14:val="tx1"/>
            </w14:solidFill>
          </w14:textFill>
        </w:rPr>
        <w:t>国</w:t>
      </w:r>
      <w:r>
        <w:rPr>
          <w:rStyle w:val="27"/>
          <w:rFonts w:hint="eastAsia" w:ascii="仿宋_GB2312" w:hAnsi="仿宋" w:eastAsia="仿宋_GB2312"/>
          <w:b w:val="0"/>
          <w:bCs w:val="0"/>
          <w:color w:val="000000" w:themeColor="text1"/>
          <w14:textFill>
            <w14:solidFill>
              <w14:schemeClr w14:val="tx1"/>
            </w14:solidFill>
          </w14:textFill>
        </w:rPr>
        <w:t>有资本经营预算支出决算表</w:t>
      </w:r>
      <w:bookmarkEnd w:id="80"/>
    </w:p>
    <w:sectPr>
      <w:pgSz w:w="11906" w:h="16838"/>
      <w:pgMar w:top="1928" w:right="1531" w:bottom="1701" w:left="1531" w:header="851" w:footer="1304"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魏碑简体">
    <w:altName w:val="Arial Unicode MS"/>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altName w:val="Arial Unicode MS"/>
    <w:panose1 w:val="02010601030101010101"/>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90628"/>
      <w:docPartObj>
        <w:docPartGallery w:val="autotext"/>
      </w:docPartObj>
    </w:sdtPr>
    <w:sdtEndPr>
      <w:rPr>
        <w:rFonts w:asciiTheme="minorEastAsia" w:hAnsiTheme="minorEastAsia" w:eastAsiaTheme="minorEastAsia"/>
        <w:sz w:val="28"/>
        <w:szCs w:val="28"/>
      </w:rPr>
    </w:sdtEndPr>
    <w:sdtContent>
      <w:p>
        <w:pPr>
          <w:pStyle w:val="8"/>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25</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90602"/>
      <w:docPartObj>
        <w:docPartGallery w:val="autotext"/>
      </w:docPartObj>
    </w:sdtPr>
    <w:sdtEndPr>
      <w:rPr>
        <w:rFonts w:asciiTheme="minorEastAsia" w:hAnsiTheme="minorEastAsia" w:eastAsiaTheme="minorEastAsia"/>
        <w:sz w:val="28"/>
        <w:szCs w:val="28"/>
      </w:rPr>
    </w:sdtEndPr>
    <w:sdtContent>
      <w:p>
        <w:pPr>
          <w:pStyle w:val="8"/>
          <w:ind w:right="36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90563"/>
      <w:docPartObj>
        <w:docPartGallery w:val="autotext"/>
      </w:docPartObj>
    </w:sdtPr>
    <w:sdtEndPr>
      <w:rPr>
        <w:rFonts w:asciiTheme="minorEastAsia" w:hAnsiTheme="minorEastAsia" w:eastAsiaTheme="minorEastAsia"/>
        <w:sz w:val="28"/>
        <w:szCs w:val="28"/>
      </w:rPr>
    </w:sdtEndPr>
    <w:sdtContent>
      <w:p>
        <w:pPr>
          <w:pStyle w:val="8"/>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tentative="0">
      <w:start w:val="1"/>
      <w:numFmt w:val="decimal"/>
      <w:lvlText w:val="%1."/>
      <w:lvlJc w:val="left"/>
      <w:pPr>
        <w:tabs>
          <w:tab w:val="left" w:pos="879"/>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val="0"/>
        <w:bCs/>
        <w:sz w:val="32"/>
        <w:szCs w:val="32"/>
      </w:rPr>
    </w:lvl>
  </w:abstractNum>
  <w:abstractNum w:abstractNumId="3">
    <w:nsid w:val="194114B4"/>
    <w:multiLevelType w:val="multilevel"/>
    <w:tmpl w:val="194114B4"/>
    <w:lvl w:ilvl="0" w:tentative="0">
      <w:start w:val="1"/>
      <w:numFmt w:val="japaneseCounting"/>
      <w:lvlText w:val="%1、"/>
      <w:lvlJc w:val="left"/>
      <w:pPr>
        <w:ind w:left="1360" w:hanging="720"/>
      </w:pPr>
      <w:rPr>
        <w:rFonts w:hint="default" w:cs="Times New Roman"/>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2534"/>
    <w:rsid w:val="000032DF"/>
    <w:rsid w:val="00005B49"/>
    <w:rsid w:val="00016962"/>
    <w:rsid w:val="000222C6"/>
    <w:rsid w:val="0002549F"/>
    <w:rsid w:val="00042638"/>
    <w:rsid w:val="0004750E"/>
    <w:rsid w:val="00047A9B"/>
    <w:rsid w:val="000535D6"/>
    <w:rsid w:val="000536EA"/>
    <w:rsid w:val="00056B23"/>
    <w:rsid w:val="000577FA"/>
    <w:rsid w:val="0006487A"/>
    <w:rsid w:val="000659E8"/>
    <w:rsid w:val="00065F8F"/>
    <w:rsid w:val="00066B9D"/>
    <w:rsid w:val="0007251F"/>
    <w:rsid w:val="0007440A"/>
    <w:rsid w:val="000768F2"/>
    <w:rsid w:val="00081EC0"/>
    <w:rsid w:val="000829A9"/>
    <w:rsid w:val="00086D27"/>
    <w:rsid w:val="0009184B"/>
    <w:rsid w:val="000918E0"/>
    <w:rsid w:val="00092815"/>
    <w:rsid w:val="0009593C"/>
    <w:rsid w:val="00096FDE"/>
    <w:rsid w:val="000A6E7F"/>
    <w:rsid w:val="000B047F"/>
    <w:rsid w:val="000B4FB1"/>
    <w:rsid w:val="000B5923"/>
    <w:rsid w:val="000B5A48"/>
    <w:rsid w:val="000B6FF3"/>
    <w:rsid w:val="000B78C6"/>
    <w:rsid w:val="000C1E24"/>
    <w:rsid w:val="000C3467"/>
    <w:rsid w:val="000C3B49"/>
    <w:rsid w:val="000C3CA6"/>
    <w:rsid w:val="000D1267"/>
    <w:rsid w:val="000D1D50"/>
    <w:rsid w:val="000D3FD7"/>
    <w:rsid w:val="000D4DE5"/>
    <w:rsid w:val="000D5782"/>
    <w:rsid w:val="000D65E9"/>
    <w:rsid w:val="000E10BB"/>
    <w:rsid w:val="000E32C7"/>
    <w:rsid w:val="000E4162"/>
    <w:rsid w:val="000E6613"/>
    <w:rsid w:val="000E7119"/>
    <w:rsid w:val="000F0296"/>
    <w:rsid w:val="0010220E"/>
    <w:rsid w:val="0010774A"/>
    <w:rsid w:val="00107C54"/>
    <w:rsid w:val="001113AA"/>
    <w:rsid w:val="00114E9B"/>
    <w:rsid w:val="00123AF5"/>
    <w:rsid w:val="00133DD6"/>
    <w:rsid w:val="00145183"/>
    <w:rsid w:val="0014729F"/>
    <w:rsid w:val="001511FC"/>
    <w:rsid w:val="001515D4"/>
    <w:rsid w:val="001516C5"/>
    <w:rsid w:val="0015276E"/>
    <w:rsid w:val="00157BAB"/>
    <w:rsid w:val="00160AC7"/>
    <w:rsid w:val="001619C0"/>
    <w:rsid w:val="001654D1"/>
    <w:rsid w:val="00165ACA"/>
    <w:rsid w:val="00171CFB"/>
    <w:rsid w:val="00174B52"/>
    <w:rsid w:val="00175D80"/>
    <w:rsid w:val="0018106D"/>
    <w:rsid w:val="00181E5A"/>
    <w:rsid w:val="001877A7"/>
    <w:rsid w:val="00191536"/>
    <w:rsid w:val="00196687"/>
    <w:rsid w:val="001A3214"/>
    <w:rsid w:val="001B18D2"/>
    <w:rsid w:val="001B6B64"/>
    <w:rsid w:val="001C05F5"/>
    <w:rsid w:val="001C0962"/>
    <w:rsid w:val="001C5189"/>
    <w:rsid w:val="001D305D"/>
    <w:rsid w:val="001D470A"/>
    <w:rsid w:val="001D632E"/>
    <w:rsid w:val="001D7531"/>
    <w:rsid w:val="001E50F1"/>
    <w:rsid w:val="001E737D"/>
    <w:rsid w:val="001F0592"/>
    <w:rsid w:val="001F1D1D"/>
    <w:rsid w:val="001F7506"/>
    <w:rsid w:val="002006CD"/>
    <w:rsid w:val="00202B36"/>
    <w:rsid w:val="00204B7A"/>
    <w:rsid w:val="00206DAF"/>
    <w:rsid w:val="0021101A"/>
    <w:rsid w:val="00220536"/>
    <w:rsid w:val="00221B00"/>
    <w:rsid w:val="002222BF"/>
    <w:rsid w:val="00223988"/>
    <w:rsid w:val="002242A5"/>
    <w:rsid w:val="00230520"/>
    <w:rsid w:val="00231E54"/>
    <w:rsid w:val="00235629"/>
    <w:rsid w:val="0023593C"/>
    <w:rsid w:val="00241B8D"/>
    <w:rsid w:val="002525A6"/>
    <w:rsid w:val="00254D60"/>
    <w:rsid w:val="0025549B"/>
    <w:rsid w:val="0025776B"/>
    <w:rsid w:val="00260C38"/>
    <w:rsid w:val="002616C0"/>
    <w:rsid w:val="0026475A"/>
    <w:rsid w:val="002662AA"/>
    <w:rsid w:val="00277943"/>
    <w:rsid w:val="00280496"/>
    <w:rsid w:val="00280CE3"/>
    <w:rsid w:val="00295495"/>
    <w:rsid w:val="0029709A"/>
    <w:rsid w:val="002B2613"/>
    <w:rsid w:val="002B2D64"/>
    <w:rsid w:val="002C0F3F"/>
    <w:rsid w:val="002C1D0F"/>
    <w:rsid w:val="002C4292"/>
    <w:rsid w:val="002C450E"/>
    <w:rsid w:val="002C7777"/>
    <w:rsid w:val="002D3834"/>
    <w:rsid w:val="002D3FE1"/>
    <w:rsid w:val="002D52DA"/>
    <w:rsid w:val="002E019F"/>
    <w:rsid w:val="002E5C5A"/>
    <w:rsid w:val="002E6E69"/>
    <w:rsid w:val="002F1818"/>
    <w:rsid w:val="002F23B5"/>
    <w:rsid w:val="002F567B"/>
    <w:rsid w:val="003015C1"/>
    <w:rsid w:val="003053FC"/>
    <w:rsid w:val="00311F7D"/>
    <w:rsid w:val="00312367"/>
    <w:rsid w:val="003167F9"/>
    <w:rsid w:val="003216A9"/>
    <w:rsid w:val="00336184"/>
    <w:rsid w:val="00351C25"/>
    <w:rsid w:val="0037013F"/>
    <w:rsid w:val="003748C8"/>
    <w:rsid w:val="00380C92"/>
    <w:rsid w:val="003951C5"/>
    <w:rsid w:val="003A1CAD"/>
    <w:rsid w:val="003A1DC4"/>
    <w:rsid w:val="003A484F"/>
    <w:rsid w:val="003A6B05"/>
    <w:rsid w:val="003B0BE0"/>
    <w:rsid w:val="003B0C1B"/>
    <w:rsid w:val="003B688C"/>
    <w:rsid w:val="003C0291"/>
    <w:rsid w:val="003C39AE"/>
    <w:rsid w:val="003C4E92"/>
    <w:rsid w:val="003C7B60"/>
    <w:rsid w:val="003D1FB2"/>
    <w:rsid w:val="003D4C4E"/>
    <w:rsid w:val="003D66DA"/>
    <w:rsid w:val="003D6786"/>
    <w:rsid w:val="003E1310"/>
    <w:rsid w:val="003E2FD4"/>
    <w:rsid w:val="003E39EF"/>
    <w:rsid w:val="003E4665"/>
    <w:rsid w:val="003E4C16"/>
    <w:rsid w:val="003E6F55"/>
    <w:rsid w:val="003E7E18"/>
    <w:rsid w:val="003F22C8"/>
    <w:rsid w:val="003F479E"/>
    <w:rsid w:val="003F4813"/>
    <w:rsid w:val="00406254"/>
    <w:rsid w:val="00407069"/>
    <w:rsid w:val="004147B8"/>
    <w:rsid w:val="00416868"/>
    <w:rsid w:val="00417F4E"/>
    <w:rsid w:val="00420F27"/>
    <w:rsid w:val="004223DE"/>
    <w:rsid w:val="00430254"/>
    <w:rsid w:val="00434489"/>
    <w:rsid w:val="00437085"/>
    <w:rsid w:val="00441430"/>
    <w:rsid w:val="00443800"/>
    <w:rsid w:val="00443880"/>
    <w:rsid w:val="004449E0"/>
    <w:rsid w:val="004464F4"/>
    <w:rsid w:val="004507F3"/>
    <w:rsid w:val="00460E6C"/>
    <w:rsid w:val="00470306"/>
    <w:rsid w:val="00471401"/>
    <w:rsid w:val="00473F31"/>
    <w:rsid w:val="004740FD"/>
    <w:rsid w:val="00476D7B"/>
    <w:rsid w:val="0048263A"/>
    <w:rsid w:val="00483DC3"/>
    <w:rsid w:val="0048612D"/>
    <w:rsid w:val="0048705E"/>
    <w:rsid w:val="00487E5D"/>
    <w:rsid w:val="00494542"/>
    <w:rsid w:val="004973AD"/>
    <w:rsid w:val="004A3B59"/>
    <w:rsid w:val="004A48C2"/>
    <w:rsid w:val="004A4D11"/>
    <w:rsid w:val="004A711F"/>
    <w:rsid w:val="004B199D"/>
    <w:rsid w:val="004B2873"/>
    <w:rsid w:val="004B4690"/>
    <w:rsid w:val="004B6510"/>
    <w:rsid w:val="004C10E2"/>
    <w:rsid w:val="004C5B24"/>
    <w:rsid w:val="004D3171"/>
    <w:rsid w:val="004E0A2D"/>
    <w:rsid w:val="004E206B"/>
    <w:rsid w:val="004E5443"/>
    <w:rsid w:val="004E6DF7"/>
    <w:rsid w:val="004F063F"/>
    <w:rsid w:val="004F0FBD"/>
    <w:rsid w:val="004F1D57"/>
    <w:rsid w:val="004F6FBD"/>
    <w:rsid w:val="00500733"/>
    <w:rsid w:val="00505A47"/>
    <w:rsid w:val="00512C99"/>
    <w:rsid w:val="00512FDA"/>
    <w:rsid w:val="00513500"/>
    <w:rsid w:val="00520DA0"/>
    <w:rsid w:val="005210B6"/>
    <w:rsid w:val="00526B7D"/>
    <w:rsid w:val="00530C2A"/>
    <w:rsid w:val="005320D2"/>
    <w:rsid w:val="005339DE"/>
    <w:rsid w:val="00536724"/>
    <w:rsid w:val="00541FD5"/>
    <w:rsid w:val="00546339"/>
    <w:rsid w:val="0055572C"/>
    <w:rsid w:val="005603EF"/>
    <w:rsid w:val="005664BB"/>
    <w:rsid w:val="0057481D"/>
    <w:rsid w:val="005761C9"/>
    <w:rsid w:val="00581748"/>
    <w:rsid w:val="00583362"/>
    <w:rsid w:val="0058486E"/>
    <w:rsid w:val="0058517C"/>
    <w:rsid w:val="00585A86"/>
    <w:rsid w:val="00594C63"/>
    <w:rsid w:val="005A3C05"/>
    <w:rsid w:val="005B54B9"/>
    <w:rsid w:val="005C43BE"/>
    <w:rsid w:val="005C6F17"/>
    <w:rsid w:val="005D1C8B"/>
    <w:rsid w:val="005D5CED"/>
    <w:rsid w:val="005E375B"/>
    <w:rsid w:val="005E4D00"/>
    <w:rsid w:val="005F1A4C"/>
    <w:rsid w:val="005F710E"/>
    <w:rsid w:val="00605688"/>
    <w:rsid w:val="006070AF"/>
    <w:rsid w:val="00607E6C"/>
    <w:rsid w:val="006101B1"/>
    <w:rsid w:val="00611456"/>
    <w:rsid w:val="006143AE"/>
    <w:rsid w:val="00614E44"/>
    <w:rsid w:val="00615D4B"/>
    <w:rsid w:val="00620FBF"/>
    <w:rsid w:val="00622830"/>
    <w:rsid w:val="006235FA"/>
    <w:rsid w:val="00630AEF"/>
    <w:rsid w:val="00630DAB"/>
    <w:rsid w:val="006325F8"/>
    <w:rsid w:val="00633A50"/>
    <w:rsid w:val="00633D3A"/>
    <w:rsid w:val="006344FA"/>
    <w:rsid w:val="00634C9A"/>
    <w:rsid w:val="006362B1"/>
    <w:rsid w:val="00642F06"/>
    <w:rsid w:val="006440E4"/>
    <w:rsid w:val="0064716C"/>
    <w:rsid w:val="0066343B"/>
    <w:rsid w:val="006635F8"/>
    <w:rsid w:val="00664777"/>
    <w:rsid w:val="0067323E"/>
    <w:rsid w:val="006748A4"/>
    <w:rsid w:val="00677904"/>
    <w:rsid w:val="00681CA0"/>
    <w:rsid w:val="00683E73"/>
    <w:rsid w:val="00687188"/>
    <w:rsid w:val="006919BE"/>
    <w:rsid w:val="00693DCC"/>
    <w:rsid w:val="006A3141"/>
    <w:rsid w:val="006A4BE7"/>
    <w:rsid w:val="006A5E34"/>
    <w:rsid w:val="006B05E4"/>
    <w:rsid w:val="006B2422"/>
    <w:rsid w:val="006B2B9A"/>
    <w:rsid w:val="006B7909"/>
    <w:rsid w:val="006C1937"/>
    <w:rsid w:val="006C4DBA"/>
    <w:rsid w:val="006C63A1"/>
    <w:rsid w:val="006D3687"/>
    <w:rsid w:val="006D3A4A"/>
    <w:rsid w:val="006D4571"/>
    <w:rsid w:val="006D4AED"/>
    <w:rsid w:val="006D7313"/>
    <w:rsid w:val="006E5F29"/>
    <w:rsid w:val="006F020C"/>
    <w:rsid w:val="006F1B33"/>
    <w:rsid w:val="00704355"/>
    <w:rsid w:val="007127B7"/>
    <w:rsid w:val="00713E95"/>
    <w:rsid w:val="00721E14"/>
    <w:rsid w:val="00722EBC"/>
    <w:rsid w:val="00723B4E"/>
    <w:rsid w:val="00724DB5"/>
    <w:rsid w:val="0072504B"/>
    <w:rsid w:val="00726017"/>
    <w:rsid w:val="007260B7"/>
    <w:rsid w:val="00731693"/>
    <w:rsid w:val="00733C8A"/>
    <w:rsid w:val="0074088B"/>
    <w:rsid w:val="007416B6"/>
    <w:rsid w:val="007450C8"/>
    <w:rsid w:val="00746A74"/>
    <w:rsid w:val="00746F48"/>
    <w:rsid w:val="0075404D"/>
    <w:rsid w:val="00757568"/>
    <w:rsid w:val="0076182A"/>
    <w:rsid w:val="00767B7E"/>
    <w:rsid w:val="00777052"/>
    <w:rsid w:val="007770C3"/>
    <w:rsid w:val="00783222"/>
    <w:rsid w:val="00784D24"/>
    <w:rsid w:val="00785167"/>
    <w:rsid w:val="00785FBA"/>
    <w:rsid w:val="0078617F"/>
    <w:rsid w:val="00786E4A"/>
    <w:rsid w:val="007875EB"/>
    <w:rsid w:val="00787D3C"/>
    <w:rsid w:val="0079093C"/>
    <w:rsid w:val="007922F6"/>
    <w:rsid w:val="00792DD5"/>
    <w:rsid w:val="0079426B"/>
    <w:rsid w:val="00795768"/>
    <w:rsid w:val="007A0B5C"/>
    <w:rsid w:val="007A769D"/>
    <w:rsid w:val="007B1DB3"/>
    <w:rsid w:val="007B42E3"/>
    <w:rsid w:val="007B4859"/>
    <w:rsid w:val="007C195B"/>
    <w:rsid w:val="007C232F"/>
    <w:rsid w:val="007D06F8"/>
    <w:rsid w:val="007D2B39"/>
    <w:rsid w:val="007D312A"/>
    <w:rsid w:val="007D3ACA"/>
    <w:rsid w:val="007D3F19"/>
    <w:rsid w:val="007D7D89"/>
    <w:rsid w:val="007E1254"/>
    <w:rsid w:val="007E1C57"/>
    <w:rsid w:val="007E23B0"/>
    <w:rsid w:val="007E39CC"/>
    <w:rsid w:val="007E437A"/>
    <w:rsid w:val="007F1991"/>
    <w:rsid w:val="007F2C2F"/>
    <w:rsid w:val="007F3B10"/>
    <w:rsid w:val="007F55FC"/>
    <w:rsid w:val="007F5665"/>
    <w:rsid w:val="007F67CC"/>
    <w:rsid w:val="00800112"/>
    <w:rsid w:val="008013E4"/>
    <w:rsid w:val="00802C0B"/>
    <w:rsid w:val="00813F5C"/>
    <w:rsid w:val="008253BB"/>
    <w:rsid w:val="008317FA"/>
    <w:rsid w:val="0083706E"/>
    <w:rsid w:val="008423A5"/>
    <w:rsid w:val="008436DE"/>
    <w:rsid w:val="008456DF"/>
    <w:rsid w:val="00850625"/>
    <w:rsid w:val="00853718"/>
    <w:rsid w:val="00855221"/>
    <w:rsid w:val="00860645"/>
    <w:rsid w:val="00867179"/>
    <w:rsid w:val="008672BA"/>
    <w:rsid w:val="00871F71"/>
    <w:rsid w:val="008809ED"/>
    <w:rsid w:val="008825E3"/>
    <w:rsid w:val="008853F5"/>
    <w:rsid w:val="00885AF4"/>
    <w:rsid w:val="00890032"/>
    <w:rsid w:val="00892741"/>
    <w:rsid w:val="008939CD"/>
    <w:rsid w:val="00896622"/>
    <w:rsid w:val="008A59C9"/>
    <w:rsid w:val="008A761C"/>
    <w:rsid w:val="008B30E0"/>
    <w:rsid w:val="008B44B5"/>
    <w:rsid w:val="008B768C"/>
    <w:rsid w:val="008C4DB1"/>
    <w:rsid w:val="008C4EAF"/>
    <w:rsid w:val="008C5176"/>
    <w:rsid w:val="008C6CED"/>
    <w:rsid w:val="008C77CE"/>
    <w:rsid w:val="008C7FD0"/>
    <w:rsid w:val="008D13F0"/>
    <w:rsid w:val="008D7AD0"/>
    <w:rsid w:val="008D7EC7"/>
    <w:rsid w:val="008E1DE7"/>
    <w:rsid w:val="008E1DEB"/>
    <w:rsid w:val="008E574F"/>
    <w:rsid w:val="008E707C"/>
    <w:rsid w:val="008F6E68"/>
    <w:rsid w:val="00900B08"/>
    <w:rsid w:val="00902155"/>
    <w:rsid w:val="00902FA3"/>
    <w:rsid w:val="00904D72"/>
    <w:rsid w:val="009069B5"/>
    <w:rsid w:val="009134D4"/>
    <w:rsid w:val="009158AB"/>
    <w:rsid w:val="0091622A"/>
    <w:rsid w:val="00920733"/>
    <w:rsid w:val="00921080"/>
    <w:rsid w:val="00921CC4"/>
    <w:rsid w:val="0092253E"/>
    <w:rsid w:val="00923564"/>
    <w:rsid w:val="0092392E"/>
    <w:rsid w:val="009315F9"/>
    <w:rsid w:val="0094528E"/>
    <w:rsid w:val="009458CC"/>
    <w:rsid w:val="00946945"/>
    <w:rsid w:val="00946E8B"/>
    <w:rsid w:val="00947676"/>
    <w:rsid w:val="00947A47"/>
    <w:rsid w:val="00951248"/>
    <w:rsid w:val="0095152F"/>
    <w:rsid w:val="00953DB0"/>
    <w:rsid w:val="00954C49"/>
    <w:rsid w:val="00961609"/>
    <w:rsid w:val="0096248D"/>
    <w:rsid w:val="00964B5B"/>
    <w:rsid w:val="00967FB7"/>
    <w:rsid w:val="0097099F"/>
    <w:rsid w:val="00971997"/>
    <w:rsid w:val="00971FFC"/>
    <w:rsid w:val="009732C7"/>
    <w:rsid w:val="0098660A"/>
    <w:rsid w:val="009873DC"/>
    <w:rsid w:val="0099231B"/>
    <w:rsid w:val="009931C3"/>
    <w:rsid w:val="009B2C43"/>
    <w:rsid w:val="009B4EAE"/>
    <w:rsid w:val="009B7050"/>
    <w:rsid w:val="009B7573"/>
    <w:rsid w:val="009C22F4"/>
    <w:rsid w:val="009C2E98"/>
    <w:rsid w:val="009C5A6E"/>
    <w:rsid w:val="009D3447"/>
    <w:rsid w:val="009D4711"/>
    <w:rsid w:val="009D77EF"/>
    <w:rsid w:val="009E0E62"/>
    <w:rsid w:val="009E58BA"/>
    <w:rsid w:val="009E7188"/>
    <w:rsid w:val="009F1185"/>
    <w:rsid w:val="009F18CD"/>
    <w:rsid w:val="009F2A13"/>
    <w:rsid w:val="00A00C45"/>
    <w:rsid w:val="00A01F76"/>
    <w:rsid w:val="00A030DA"/>
    <w:rsid w:val="00A04EB0"/>
    <w:rsid w:val="00A05286"/>
    <w:rsid w:val="00A07281"/>
    <w:rsid w:val="00A0750E"/>
    <w:rsid w:val="00A13CC1"/>
    <w:rsid w:val="00A16847"/>
    <w:rsid w:val="00A237D8"/>
    <w:rsid w:val="00A268C4"/>
    <w:rsid w:val="00A27389"/>
    <w:rsid w:val="00A307CD"/>
    <w:rsid w:val="00A3515A"/>
    <w:rsid w:val="00A3686E"/>
    <w:rsid w:val="00A404EA"/>
    <w:rsid w:val="00A40A00"/>
    <w:rsid w:val="00A4142F"/>
    <w:rsid w:val="00A51EEF"/>
    <w:rsid w:val="00A52582"/>
    <w:rsid w:val="00A56DF2"/>
    <w:rsid w:val="00A56E00"/>
    <w:rsid w:val="00A6261C"/>
    <w:rsid w:val="00A6298D"/>
    <w:rsid w:val="00A67AB5"/>
    <w:rsid w:val="00A73553"/>
    <w:rsid w:val="00A76432"/>
    <w:rsid w:val="00A81A6C"/>
    <w:rsid w:val="00A85495"/>
    <w:rsid w:val="00A865B8"/>
    <w:rsid w:val="00A86B79"/>
    <w:rsid w:val="00A91760"/>
    <w:rsid w:val="00A93B00"/>
    <w:rsid w:val="00A93C21"/>
    <w:rsid w:val="00AA09CB"/>
    <w:rsid w:val="00AA3EE7"/>
    <w:rsid w:val="00AB44BE"/>
    <w:rsid w:val="00AC3C6A"/>
    <w:rsid w:val="00AD5620"/>
    <w:rsid w:val="00AD7C1B"/>
    <w:rsid w:val="00AE16BA"/>
    <w:rsid w:val="00AE1EBE"/>
    <w:rsid w:val="00AE74FB"/>
    <w:rsid w:val="00AF51FC"/>
    <w:rsid w:val="00B03C9D"/>
    <w:rsid w:val="00B04E38"/>
    <w:rsid w:val="00B05664"/>
    <w:rsid w:val="00B060AE"/>
    <w:rsid w:val="00B10517"/>
    <w:rsid w:val="00B10F90"/>
    <w:rsid w:val="00B11763"/>
    <w:rsid w:val="00B14A5C"/>
    <w:rsid w:val="00B14E76"/>
    <w:rsid w:val="00B161B8"/>
    <w:rsid w:val="00B174FE"/>
    <w:rsid w:val="00B2048C"/>
    <w:rsid w:val="00B310B9"/>
    <w:rsid w:val="00B33C1A"/>
    <w:rsid w:val="00B35F3F"/>
    <w:rsid w:val="00B36CBB"/>
    <w:rsid w:val="00B424F8"/>
    <w:rsid w:val="00B425E0"/>
    <w:rsid w:val="00B440AA"/>
    <w:rsid w:val="00B44B70"/>
    <w:rsid w:val="00B53C56"/>
    <w:rsid w:val="00B56971"/>
    <w:rsid w:val="00B65495"/>
    <w:rsid w:val="00B65F98"/>
    <w:rsid w:val="00B66A1F"/>
    <w:rsid w:val="00B726F2"/>
    <w:rsid w:val="00B75684"/>
    <w:rsid w:val="00B75C93"/>
    <w:rsid w:val="00B77EA6"/>
    <w:rsid w:val="00B81598"/>
    <w:rsid w:val="00B83C97"/>
    <w:rsid w:val="00B841F1"/>
    <w:rsid w:val="00B90A4C"/>
    <w:rsid w:val="00B91E50"/>
    <w:rsid w:val="00B92F51"/>
    <w:rsid w:val="00B9328D"/>
    <w:rsid w:val="00B9385A"/>
    <w:rsid w:val="00B944D6"/>
    <w:rsid w:val="00B9572D"/>
    <w:rsid w:val="00B961FA"/>
    <w:rsid w:val="00B9753A"/>
    <w:rsid w:val="00BB3660"/>
    <w:rsid w:val="00BB4DF0"/>
    <w:rsid w:val="00BB4E7C"/>
    <w:rsid w:val="00BB679F"/>
    <w:rsid w:val="00BC079A"/>
    <w:rsid w:val="00BC21D2"/>
    <w:rsid w:val="00BC289F"/>
    <w:rsid w:val="00BC295E"/>
    <w:rsid w:val="00BC5361"/>
    <w:rsid w:val="00BC5460"/>
    <w:rsid w:val="00BC6B50"/>
    <w:rsid w:val="00BC7EAF"/>
    <w:rsid w:val="00BD0E25"/>
    <w:rsid w:val="00BD44E6"/>
    <w:rsid w:val="00BD772B"/>
    <w:rsid w:val="00BE1B56"/>
    <w:rsid w:val="00BF32A9"/>
    <w:rsid w:val="00BF5BD6"/>
    <w:rsid w:val="00C03E31"/>
    <w:rsid w:val="00C06B9F"/>
    <w:rsid w:val="00C122E4"/>
    <w:rsid w:val="00C12812"/>
    <w:rsid w:val="00C12B82"/>
    <w:rsid w:val="00C12C0C"/>
    <w:rsid w:val="00C12D1F"/>
    <w:rsid w:val="00C133F8"/>
    <w:rsid w:val="00C13438"/>
    <w:rsid w:val="00C23DE7"/>
    <w:rsid w:val="00C33E72"/>
    <w:rsid w:val="00C3484A"/>
    <w:rsid w:val="00C354B2"/>
    <w:rsid w:val="00C35554"/>
    <w:rsid w:val="00C40812"/>
    <w:rsid w:val="00C42709"/>
    <w:rsid w:val="00C42FC6"/>
    <w:rsid w:val="00C46E4A"/>
    <w:rsid w:val="00C50FE2"/>
    <w:rsid w:val="00C51E37"/>
    <w:rsid w:val="00C53012"/>
    <w:rsid w:val="00C533CC"/>
    <w:rsid w:val="00C551CB"/>
    <w:rsid w:val="00C5751C"/>
    <w:rsid w:val="00C60ACD"/>
    <w:rsid w:val="00C61BFC"/>
    <w:rsid w:val="00C62B85"/>
    <w:rsid w:val="00C63E8F"/>
    <w:rsid w:val="00C647E3"/>
    <w:rsid w:val="00C6514B"/>
    <w:rsid w:val="00C65438"/>
    <w:rsid w:val="00C65C37"/>
    <w:rsid w:val="00C87BBE"/>
    <w:rsid w:val="00C91CBB"/>
    <w:rsid w:val="00C91FAF"/>
    <w:rsid w:val="00C97038"/>
    <w:rsid w:val="00CA089F"/>
    <w:rsid w:val="00CA41BB"/>
    <w:rsid w:val="00CA7D58"/>
    <w:rsid w:val="00CB33E9"/>
    <w:rsid w:val="00CB469A"/>
    <w:rsid w:val="00CC09B6"/>
    <w:rsid w:val="00CC4FBB"/>
    <w:rsid w:val="00CC666F"/>
    <w:rsid w:val="00CD1E3F"/>
    <w:rsid w:val="00CD5D98"/>
    <w:rsid w:val="00CE278B"/>
    <w:rsid w:val="00CE44F6"/>
    <w:rsid w:val="00CE49DA"/>
    <w:rsid w:val="00CE7B61"/>
    <w:rsid w:val="00CF7D00"/>
    <w:rsid w:val="00D00095"/>
    <w:rsid w:val="00D017A2"/>
    <w:rsid w:val="00D044DC"/>
    <w:rsid w:val="00D07AF2"/>
    <w:rsid w:val="00D20620"/>
    <w:rsid w:val="00D26091"/>
    <w:rsid w:val="00D3395F"/>
    <w:rsid w:val="00D34E7C"/>
    <w:rsid w:val="00D35489"/>
    <w:rsid w:val="00D35B95"/>
    <w:rsid w:val="00D42CDC"/>
    <w:rsid w:val="00D51051"/>
    <w:rsid w:val="00D51276"/>
    <w:rsid w:val="00D5703B"/>
    <w:rsid w:val="00D66006"/>
    <w:rsid w:val="00D7035F"/>
    <w:rsid w:val="00D72242"/>
    <w:rsid w:val="00D82DC6"/>
    <w:rsid w:val="00DA4AC4"/>
    <w:rsid w:val="00DA65AC"/>
    <w:rsid w:val="00DB0F1C"/>
    <w:rsid w:val="00DB1913"/>
    <w:rsid w:val="00DB1F92"/>
    <w:rsid w:val="00DB7173"/>
    <w:rsid w:val="00DB7A72"/>
    <w:rsid w:val="00DC22C1"/>
    <w:rsid w:val="00DC3096"/>
    <w:rsid w:val="00DC3B27"/>
    <w:rsid w:val="00DC410D"/>
    <w:rsid w:val="00DC68CA"/>
    <w:rsid w:val="00DC7B7A"/>
    <w:rsid w:val="00DC7CBA"/>
    <w:rsid w:val="00DD291C"/>
    <w:rsid w:val="00DD73B7"/>
    <w:rsid w:val="00DE1D36"/>
    <w:rsid w:val="00DF28BC"/>
    <w:rsid w:val="00DF2A12"/>
    <w:rsid w:val="00DF34B9"/>
    <w:rsid w:val="00DF7D2F"/>
    <w:rsid w:val="00E0041A"/>
    <w:rsid w:val="00E01053"/>
    <w:rsid w:val="00E026A0"/>
    <w:rsid w:val="00E0341B"/>
    <w:rsid w:val="00E035A3"/>
    <w:rsid w:val="00E07334"/>
    <w:rsid w:val="00E07ACF"/>
    <w:rsid w:val="00E10874"/>
    <w:rsid w:val="00E10D7E"/>
    <w:rsid w:val="00E13F23"/>
    <w:rsid w:val="00E1453C"/>
    <w:rsid w:val="00E151FC"/>
    <w:rsid w:val="00E1605A"/>
    <w:rsid w:val="00E2015B"/>
    <w:rsid w:val="00E2045C"/>
    <w:rsid w:val="00E20D92"/>
    <w:rsid w:val="00E23B64"/>
    <w:rsid w:val="00E331A1"/>
    <w:rsid w:val="00E33202"/>
    <w:rsid w:val="00E336A9"/>
    <w:rsid w:val="00E34581"/>
    <w:rsid w:val="00E47226"/>
    <w:rsid w:val="00E50624"/>
    <w:rsid w:val="00E568DF"/>
    <w:rsid w:val="00E64269"/>
    <w:rsid w:val="00E762E8"/>
    <w:rsid w:val="00E82267"/>
    <w:rsid w:val="00E9006A"/>
    <w:rsid w:val="00E91E86"/>
    <w:rsid w:val="00E9500D"/>
    <w:rsid w:val="00EA010F"/>
    <w:rsid w:val="00EA6C9C"/>
    <w:rsid w:val="00EC4629"/>
    <w:rsid w:val="00ED1B63"/>
    <w:rsid w:val="00ED1DB9"/>
    <w:rsid w:val="00ED3C1F"/>
    <w:rsid w:val="00ED4085"/>
    <w:rsid w:val="00ED420E"/>
    <w:rsid w:val="00EE2F57"/>
    <w:rsid w:val="00EE2FFC"/>
    <w:rsid w:val="00EF26C4"/>
    <w:rsid w:val="00EF4C34"/>
    <w:rsid w:val="00EF67D0"/>
    <w:rsid w:val="00EF77C6"/>
    <w:rsid w:val="00F01FF9"/>
    <w:rsid w:val="00F03535"/>
    <w:rsid w:val="00F037D1"/>
    <w:rsid w:val="00F05438"/>
    <w:rsid w:val="00F061C9"/>
    <w:rsid w:val="00F1361C"/>
    <w:rsid w:val="00F160C7"/>
    <w:rsid w:val="00F1714D"/>
    <w:rsid w:val="00F20E29"/>
    <w:rsid w:val="00F23CD6"/>
    <w:rsid w:val="00F24ED5"/>
    <w:rsid w:val="00F25552"/>
    <w:rsid w:val="00F3655F"/>
    <w:rsid w:val="00F36775"/>
    <w:rsid w:val="00F36D8F"/>
    <w:rsid w:val="00F40701"/>
    <w:rsid w:val="00F417B1"/>
    <w:rsid w:val="00F4603F"/>
    <w:rsid w:val="00F46B44"/>
    <w:rsid w:val="00F602DF"/>
    <w:rsid w:val="00F64E61"/>
    <w:rsid w:val="00F6601F"/>
    <w:rsid w:val="00F67A53"/>
    <w:rsid w:val="00F708F8"/>
    <w:rsid w:val="00F70D79"/>
    <w:rsid w:val="00F81A9E"/>
    <w:rsid w:val="00F81FD9"/>
    <w:rsid w:val="00F841AA"/>
    <w:rsid w:val="00F904BE"/>
    <w:rsid w:val="00F92F78"/>
    <w:rsid w:val="00F975C4"/>
    <w:rsid w:val="00FA23E8"/>
    <w:rsid w:val="00FA6823"/>
    <w:rsid w:val="00FB71A1"/>
    <w:rsid w:val="00FC5B90"/>
    <w:rsid w:val="00FD0ACF"/>
    <w:rsid w:val="00FD3CC1"/>
    <w:rsid w:val="00FD7F9C"/>
    <w:rsid w:val="00FF0ADB"/>
    <w:rsid w:val="00FF1E02"/>
    <w:rsid w:val="00FF26C6"/>
    <w:rsid w:val="00FF30B4"/>
    <w:rsid w:val="00FF65BD"/>
    <w:rsid w:val="00FF65FF"/>
    <w:rsid w:val="086D5867"/>
    <w:rsid w:val="08801C66"/>
    <w:rsid w:val="0C795518"/>
    <w:rsid w:val="10C055FF"/>
    <w:rsid w:val="11174DE1"/>
    <w:rsid w:val="16BB723D"/>
    <w:rsid w:val="173D4738"/>
    <w:rsid w:val="207A5B9C"/>
    <w:rsid w:val="240371BF"/>
    <w:rsid w:val="298E39C1"/>
    <w:rsid w:val="29FD04D3"/>
    <w:rsid w:val="2E7E5C45"/>
    <w:rsid w:val="2E845A56"/>
    <w:rsid w:val="319F7F4E"/>
    <w:rsid w:val="32F57FE0"/>
    <w:rsid w:val="358D053B"/>
    <w:rsid w:val="39CA1276"/>
    <w:rsid w:val="49513DD2"/>
    <w:rsid w:val="4D87566B"/>
    <w:rsid w:val="510360E6"/>
    <w:rsid w:val="61817118"/>
    <w:rsid w:val="6BD60D62"/>
    <w:rsid w:val="737054AD"/>
    <w:rsid w:val="794530D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w:basedOn w:val="5"/>
    <w:link w:val="31"/>
    <w:unhideWhenUsed/>
    <w:qFormat/>
    <w:uiPriority w:val="99"/>
    <w:pPr>
      <w:spacing w:beforeLines="0" w:after="120"/>
      <w:ind w:firstLine="420" w:firstLineChars="100"/>
    </w:pPr>
    <w:rPr>
      <w:rFonts w:ascii="Times New Roman" w:eastAsia="宋体"/>
      <w:kern w:val="2"/>
      <w:sz w:val="21"/>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2"/>
    <w:qFormat/>
    <w:uiPriority w:val="9"/>
    <w:rPr>
      <w:rFonts w:ascii="Times New Roman" w:hAnsi="Times New Roman"/>
      <w:b/>
      <w:bCs/>
      <w:kern w:val="44"/>
      <w:sz w:val="44"/>
      <w:szCs w:val="44"/>
    </w:rPr>
  </w:style>
  <w:style w:type="character" w:customStyle="1" w:styleId="27">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7"/>
    <w:semiHidden/>
    <w:qFormat/>
    <w:uiPriority w:val="99"/>
    <w:rPr>
      <w:rFonts w:ascii="Times New Roman" w:hAnsi="Times New Roman"/>
      <w:kern w:val="2"/>
      <w:sz w:val="18"/>
      <w:szCs w:val="18"/>
    </w:rPr>
  </w:style>
  <w:style w:type="character" w:customStyle="1" w:styleId="30">
    <w:name w:val="标题 3 Char"/>
    <w:basedOn w:val="15"/>
    <w:link w:val="4"/>
    <w:qFormat/>
    <w:uiPriority w:val="9"/>
    <w:rPr>
      <w:rFonts w:ascii="Times New Roman" w:hAnsi="Times New Roman"/>
      <w:b/>
      <w:bCs/>
      <w:kern w:val="2"/>
      <w:sz w:val="32"/>
      <w:szCs w:val="32"/>
    </w:rPr>
  </w:style>
  <w:style w:type="character" w:customStyle="1" w:styleId="31">
    <w:name w:val="正文首行缩进 Char"/>
    <w:basedOn w:val="23"/>
    <w:link w:val="13"/>
    <w:qFormat/>
    <w:uiPriority w:val="99"/>
    <w:rPr>
      <w:rFonts w:asci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7CFDD0-58B4-4BE3-A6E9-3156C606DD95}">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36</Pages>
  <Words>2580</Words>
  <Characters>14706</Characters>
  <Lines>122</Lines>
  <Paragraphs>34</Paragraphs>
  <TotalTime>28</TotalTime>
  <ScaleCrop>false</ScaleCrop>
  <LinksUpToDate>false</LinksUpToDate>
  <CharactersWithSpaces>17252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木子什么女单</cp:lastModifiedBy>
  <cp:lastPrinted>2019-09-27T09:37:00Z</cp:lastPrinted>
  <dcterms:modified xsi:type="dcterms:W3CDTF">2019-09-29T06:34:11Z</dcterms:modified>
  <dc:title>四川省***</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