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outlineLvl w:val="0"/>
        <w:rPr>
          <w:rFonts w:ascii="方正小标宋简体" w:hAnsi="宋体" w:eastAsia="方正小标宋简体"/>
          <w:color w:val="000000"/>
          <w:sz w:val="72"/>
          <w:szCs w:val="72"/>
        </w:rPr>
      </w:pPr>
      <w:bookmarkStart w:id="0" w:name="_Toc15306267"/>
    </w:p>
    <w:p>
      <w:pPr>
        <w:spacing w:line="1000" w:lineRule="exact"/>
        <w:jc w:val="center"/>
        <w:outlineLvl w:val="0"/>
        <w:rPr>
          <w:rFonts w:ascii="方正小标宋简体" w:hAnsi="宋体" w:eastAsia="方正小标宋简体"/>
          <w:color w:val="000000"/>
          <w:sz w:val="72"/>
          <w:szCs w:val="72"/>
        </w:rPr>
      </w:pPr>
    </w:p>
    <w:p>
      <w:pPr>
        <w:adjustRightInd w:val="0"/>
        <w:snapToGrid w:val="0"/>
        <w:spacing w:line="1000" w:lineRule="exact"/>
        <w:jc w:val="center"/>
        <w:outlineLvl w:val="0"/>
        <w:rPr>
          <w:rFonts w:ascii="方正小标宋简体" w:hAnsi="宋体" w:eastAsia="方正小标宋简体"/>
          <w:color w:val="000000"/>
          <w:sz w:val="72"/>
          <w:szCs w:val="72"/>
        </w:rPr>
      </w:pPr>
      <w:bookmarkStart w:id="1" w:name="_Toc15377193"/>
      <w:bookmarkStart w:id="2" w:name="_Toc15377425"/>
      <w:bookmarkStart w:id="3" w:name="_Toc15378441"/>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1000" w:lineRule="exact"/>
        <w:jc w:val="center"/>
        <w:outlineLvl w:val="0"/>
        <w:rPr>
          <w:rFonts w:ascii="方正小标宋简体" w:hAnsi="宋体" w:eastAsia="方正小标宋简体"/>
          <w:color w:val="000000"/>
          <w:sz w:val="72"/>
          <w:szCs w:val="72"/>
        </w:rPr>
      </w:pPr>
      <w:bookmarkStart w:id="6" w:name="_Toc15377426"/>
      <w:bookmarkStart w:id="7" w:name="_Toc15377194"/>
      <w:bookmarkStart w:id="8" w:name="_Toc15378442"/>
      <w:bookmarkStart w:id="9" w:name="_Toc15396476"/>
      <w:bookmarkStart w:id="10" w:name="_Toc15396598"/>
      <w:r>
        <w:rPr>
          <w:rFonts w:hint="eastAsia" w:ascii="方正小标宋简体" w:hAnsi="宋体" w:eastAsia="方正小标宋简体"/>
          <w:color w:val="000000"/>
          <w:sz w:val="72"/>
          <w:szCs w:val="72"/>
        </w:rPr>
        <w:t>四川省广元市</w:t>
      </w:r>
      <w:bookmarkEnd w:id="0"/>
      <w:bookmarkStart w:id="11" w:name="_Toc15306268"/>
      <w:r>
        <w:rPr>
          <w:rFonts w:hint="eastAsia" w:ascii="方正小标宋简体" w:hAnsi="宋体" w:eastAsia="方正小标宋简体"/>
          <w:color w:val="000000"/>
          <w:sz w:val="72"/>
          <w:szCs w:val="72"/>
        </w:rPr>
        <w:t>人民检察院</w:t>
      </w:r>
    </w:p>
    <w:p>
      <w:pPr>
        <w:adjustRightInd w:val="0"/>
        <w:snapToGrid w:val="0"/>
        <w:spacing w:line="1000" w:lineRule="exact"/>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1600" w:lineRule="exact"/>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编</w:t>
      </w:r>
    </w:p>
    <w:p>
      <w:pPr>
        <w:adjustRightInd w:val="0"/>
        <w:snapToGrid w:val="0"/>
        <w:spacing w:line="1600" w:lineRule="exact"/>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制</w:t>
      </w:r>
    </w:p>
    <w:p>
      <w:pPr>
        <w:adjustRightInd w:val="0"/>
        <w:snapToGrid w:val="0"/>
        <w:spacing w:line="1600" w:lineRule="exact"/>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说</w:t>
      </w:r>
    </w:p>
    <w:p>
      <w:pPr>
        <w:adjustRightInd w:val="0"/>
        <w:snapToGrid w:val="0"/>
        <w:spacing w:line="1600" w:lineRule="exact"/>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明</w:t>
      </w: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spacing w:line="600" w:lineRule="exact"/>
        <w:jc w:val="center"/>
        <w:rPr>
          <w:rFonts w:ascii="仿宋" w:hAnsi="仿宋" w:eastAsia="仿宋"/>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spacing w:line="600" w:lineRule="exact"/>
      </w:pPr>
      <w:r>
        <w:rPr>
          <w:rFonts w:hint="eastAsia"/>
        </w:rPr>
        <w:t>公开时间：2019年9月29日</w:t>
      </w:r>
    </w:p>
    <w:p>
      <w:pPr>
        <w:spacing w:line="600" w:lineRule="exact"/>
        <w:rPr>
          <w:rFonts w:ascii="仿宋" w:hAnsi="仿宋" w:eastAsia="仿宋"/>
          <w:sz w:val="28"/>
          <w:szCs w:val="28"/>
        </w:rPr>
      </w:pPr>
    </w:p>
    <w:p>
      <w:pPr>
        <w:pStyle w:val="10"/>
        <w:spacing w:line="600" w:lineRule="exact"/>
      </w:pPr>
      <w:r>
        <w:fldChar w:fldCharType="begin"/>
      </w:r>
      <w:r>
        <w:instrText xml:space="preserve"> HYPERLINK \l "_Toc15396599" </w:instrText>
      </w:r>
      <w:r>
        <w:fldChar w:fldCharType="separate"/>
      </w:r>
      <w:r>
        <w:rPr>
          <w:rFonts w:hint="eastAsia"/>
        </w:rPr>
        <w:t>第一部分部门概况</w:t>
      </w:r>
      <w:r>
        <w:tab/>
      </w:r>
      <w:r>
        <w:rPr>
          <w:rFonts w:hint="eastAsia"/>
        </w:rPr>
        <w:t>4</w:t>
      </w:r>
      <w:r>
        <w:rPr>
          <w:rFonts w:hint="eastAsia"/>
        </w:rPr>
        <w:fldChar w:fldCharType="end"/>
      </w:r>
    </w:p>
    <w:p>
      <w:pPr>
        <w:pStyle w:val="11"/>
        <w:rPr>
          <w:rFonts w:ascii="仿宋" w:hAnsi="仿宋" w:eastAsia="仿宋"/>
          <w:sz w:val="28"/>
          <w:szCs w:val="28"/>
        </w:rPr>
      </w:pPr>
      <w:r>
        <w:fldChar w:fldCharType="begin"/>
      </w:r>
      <w:r>
        <w:instrText xml:space="preserve"> HYPERLINK \l "_Toc15396600" </w:instrText>
      </w:r>
      <w:r>
        <w:fldChar w:fldCharType="separate"/>
      </w:r>
      <w:r>
        <w:rPr>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"_Toc15396601" </w:instrText>
      </w:r>
      <w:r>
        <w:fldChar w:fldCharType="separate"/>
      </w:r>
      <w:r>
        <w:rPr>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spacing w:line="600" w:lineRule="exact"/>
      </w:pPr>
      <w:r>
        <w:fldChar w:fldCharType="begin"/>
      </w:r>
      <w:r>
        <w:instrText xml:space="preserve"> HYPERLINK \l "_Toc15396602" </w:instrText>
      </w:r>
      <w:r>
        <w:fldChar w:fldCharType="separate"/>
      </w:r>
      <w:r>
        <w:rPr>
          <w:rFonts w:hint="eastAsia"/>
        </w:rPr>
        <w:t>第二部分</w:t>
      </w:r>
      <w:r>
        <w:t xml:space="preserve"> 2018</w:t>
      </w:r>
      <w:r>
        <w:rPr>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sz w:val="28"/>
          <w:szCs w:val="28"/>
        </w:rPr>
      </w:pPr>
      <w:r>
        <w:fldChar w:fldCharType="begin"/>
      </w:r>
      <w:r>
        <w:instrText xml:space="preserve"> HYPERLINK \l "_Toc15396603" </w:instrText>
      </w:r>
      <w:r>
        <w:fldChar w:fldCharType="separate"/>
      </w:r>
      <w:r>
        <w:rPr>
          <w:rFonts w:hint="eastAsia" w:ascii="仿宋" w:hAnsi="仿宋" w:eastAsia="仿宋"/>
          <w:sz w:val="28"/>
          <w:szCs w:val="28"/>
        </w:rPr>
        <w:t>一、收入支出决算总体情况说明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"_Toc15396604" </w:instrText>
      </w:r>
      <w:r>
        <w:fldChar w:fldCharType="separate"/>
      </w:r>
      <w:r>
        <w:rPr>
          <w:rFonts w:hint="eastAsia" w:ascii="仿宋" w:hAnsi="仿宋" w:eastAsia="仿宋"/>
          <w:sz w:val="28"/>
          <w:szCs w:val="28"/>
        </w:rPr>
        <w:t>二、收入决算情况说明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"_Toc15396605" </w:instrText>
      </w:r>
      <w:r>
        <w:fldChar w:fldCharType="separate"/>
      </w:r>
      <w:r>
        <w:rPr>
          <w:rFonts w:hint="eastAsia" w:ascii="仿宋" w:hAnsi="仿宋" w:eastAsia="仿宋"/>
          <w:sz w:val="28"/>
          <w:szCs w:val="28"/>
        </w:rPr>
        <w:t>三、支出决算情况说明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"_Toc15396606" </w:instrText>
      </w:r>
      <w:r>
        <w:fldChar w:fldCharType="separate"/>
      </w:r>
      <w:r>
        <w:rPr>
          <w:rFonts w:hint="eastAsia" w:ascii="仿宋" w:hAnsi="仿宋" w:eastAsia="仿宋"/>
          <w:sz w:val="28"/>
          <w:szCs w:val="28"/>
        </w:rPr>
        <w:t>四、财政拨款收入支出决算总体情况说明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6</w:t>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0"/>
        <w:spacing w:line="600" w:lineRule="exact"/>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23</w:t>
      </w:r>
      <w:r>
        <w:rPr>
          <w:rFonts w:hint="eastAsia"/>
        </w:rPr>
        <w:fldChar w:fldCharType="end"/>
      </w:r>
    </w:p>
    <w:p>
      <w:pPr>
        <w:pStyle w:val="10"/>
        <w:spacing w:line="600" w:lineRule="exact"/>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25</w:t>
      </w:r>
      <w:r>
        <w:rPr>
          <w:rFonts w:hint="eastAsia" w:ascii="仿宋" w:hAnsi="仿宋" w:eastAsia="仿宋"/>
          <w:sz w:val="28"/>
          <w:szCs w:val="28"/>
        </w:rPr>
        <w:fldChar w:fldCharType="end"/>
      </w:r>
    </w:p>
    <w:p>
      <w:pPr>
        <w:pStyle w:val="10"/>
        <w:spacing w:line="600" w:lineRule="exact"/>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rPr>
          <w:rFonts w:hint="eastAsia"/>
        </w:rPr>
        <w:t>26</w:t>
      </w:r>
      <w:r>
        <w:rPr>
          <w:rFonts w:hint="eastAsia"/>
        </w:rP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28</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29</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30</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32</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33</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34</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35</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36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37</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38</w:t>
      </w:r>
      <w:r>
        <w:rPr>
          <w:rFonts w:hint="eastAsia"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39</w:t>
      </w:r>
      <w:r>
        <w:rPr>
          <w:rFonts w:hint="eastAsia" w:ascii="仿宋" w:hAnsi="仿宋" w:eastAsia="仿宋"/>
          <w:sz w:val="28"/>
          <w:szCs w:val="28"/>
        </w:rPr>
        <w:fldChar w:fldCharType="end"/>
      </w:r>
    </w:p>
    <w:p>
      <w:pPr>
        <w:widowControl/>
        <w:spacing w:line="600" w:lineRule="exact"/>
        <w:jc w:val="left"/>
        <w:rPr>
          <w:rFonts w:ascii="仿宋" w:hAnsi="仿宋" w:eastAsia="仿宋"/>
          <w:color w:val="000000"/>
          <w:sz w:val="24"/>
        </w:rPr>
      </w:pPr>
      <w:r>
        <w:rPr>
          <w:rFonts w:ascii="仿宋" w:hAnsi="仿宋" w:eastAsia="仿宋"/>
          <w:color w:val="000000"/>
          <w:sz w:val="24"/>
        </w:rPr>
        <w:fldChar w:fldCharType="end"/>
      </w:r>
    </w:p>
    <w:p>
      <w:pPr>
        <w:widowControl/>
        <w:spacing w:line="600" w:lineRule="exact"/>
        <w:jc w:val="center"/>
        <w:rPr>
          <w:rStyle w:val="25"/>
          <w:rFonts w:ascii="黑体" w:hAnsi="黑体" w:eastAsia="黑体"/>
          <w:b w:val="0"/>
          <w:sz w:val="48"/>
          <w:szCs w:val="48"/>
        </w:rPr>
      </w:pPr>
      <w:bookmarkStart w:id="12" w:name="_Toc15377196"/>
      <w:bookmarkStart w:id="13" w:name="_Toc15396599"/>
      <w:r>
        <w:rPr>
          <w:rFonts w:ascii="黑体" w:hAnsi="黑体" w:eastAsia="黑体"/>
          <w:b/>
        </w:rPr>
        <w:br w:type="page"/>
      </w:r>
      <w:r>
        <w:rPr>
          <w:rFonts w:hint="eastAsia" w:ascii="黑体" w:hAnsi="黑体" w:eastAsia="黑体"/>
          <w:b/>
          <w:sz w:val="48"/>
          <w:szCs w:val="48"/>
        </w:rPr>
        <w:t xml:space="preserve">第一部分 </w:t>
      </w:r>
      <w:r>
        <w:rPr>
          <w:rStyle w:val="25"/>
          <w:rFonts w:hint="eastAsia" w:ascii="黑体" w:hAnsi="黑体" w:eastAsia="黑体"/>
          <w:sz w:val="48"/>
          <w:szCs w:val="48"/>
        </w:rPr>
        <w:t>部门概况</w:t>
      </w:r>
      <w:bookmarkEnd w:id="12"/>
      <w:bookmarkEnd w:id="13"/>
    </w:p>
    <w:p>
      <w:pPr>
        <w:widowControl/>
        <w:spacing w:line="600" w:lineRule="exact"/>
        <w:jc w:val="left"/>
        <w:rPr>
          <w:rFonts w:ascii="黑体" w:eastAsia="黑体"/>
          <w:color w:val="000000"/>
          <w:sz w:val="32"/>
          <w:szCs w:val="32"/>
        </w:rPr>
      </w:pPr>
    </w:p>
    <w:p>
      <w:pPr>
        <w:pStyle w:val="12"/>
        <w:spacing w:line="600" w:lineRule="exact"/>
        <w:ind w:firstLine="1269" w:firstLineChars="395"/>
        <w:jc w:val="both"/>
        <w:rPr>
          <w:rStyle w:val="26"/>
          <w:rFonts w:ascii="黑体" w:hAnsi="黑体" w:eastAsia="黑体"/>
        </w:rPr>
      </w:pPr>
      <w:bookmarkStart w:id="14" w:name="_Toc15377197"/>
      <w:bookmarkStart w:id="15" w:name="_Toc15396600"/>
      <w:r>
        <w:rPr>
          <w:rStyle w:val="26"/>
          <w:rFonts w:hint="eastAsia" w:ascii="黑体" w:hAnsi="黑体" w:eastAsia="黑体"/>
        </w:rPr>
        <w:t>一、基本职能及主要工作</w:t>
      </w:r>
      <w:bookmarkEnd w:id="14"/>
      <w:bookmarkEnd w:id="15"/>
    </w:p>
    <w:p>
      <w:pPr>
        <w:pStyle w:val="12"/>
        <w:spacing w:line="600" w:lineRule="exact"/>
        <w:ind w:firstLine="1124" w:firstLineChars="350"/>
        <w:jc w:val="both"/>
        <w:rPr>
          <w:rFonts w:ascii="仿宋" w:hAnsi="仿宋" w:eastAsia="仿宋"/>
          <w:b/>
          <w:bCs/>
          <w:color w:val="000000"/>
          <w:sz w:val="32"/>
          <w:szCs w:val="32"/>
        </w:rPr>
      </w:pPr>
      <w:r>
        <w:rPr>
          <w:rFonts w:hint="eastAsia" w:ascii="仿宋" w:hAnsi="仿宋" w:eastAsia="仿宋"/>
          <w:b/>
          <w:bCs/>
          <w:color w:val="000000"/>
          <w:sz w:val="32"/>
          <w:szCs w:val="32"/>
        </w:rPr>
        <w:t>（一）主要职能。</w:t>
      </w:r>
    </w:p>
    <w:p>
      <w:pPr>
        <w:pStyle w:val="12"/>
        <w:spacing w:line="600" w:lineRule="exact"/>
        <w:ind w:left="720" w:leftChars="343" w:firstLine="640" w:firstLineChars="200"/>
        <w:jc w:val="both"/>
        <w:rPr>
          <w:rFonts w:ascii="黑体" w:hAnsi="黑体" w:eastAsia="黑体" w:cstheme="majorBidi"/>
          <w:b/>
          <w:bCs/>
          <w:kern w:val="2"/>
          <w:sz w:val="32"/>
          <w:szCs w:val="32"/>
        </w:rPr>
      </w:pPr>
      <w:r>
        <w:rPr>
          <w:rFonts w:hint="eastAsia" w:ascii="仿宋" w:hAnsi="仿宋" w:eastAsia="仿宋"/>
          <w:sz w:val="32"/>
          <w:szCs w:val="32"/>
        </w:rPr>
        <w:t>广元市</w:t>
      </w:r>
      <w:r>
        <w:rPr>
          <w:rFonts w:ascii="仿宋" w:hAnsi="仿宋" w:eastAsia="仿宋"/>
          <w:sz w:val="32"/>
          <w:szCs w:val="32"/>
        </w:rPr>
        <w:t>人民检察院是国家的法律监督机关,领导全</w:t>
      </w:r>
      <w:r>
        <w:rPr>
          <w:rFonts w:hint="eastAsia" w:ascii="仿宋" w:hAnsi="仿宋" w:eastAsia="仿宋"/>
          <w:sz w:val="32"/>
          <w:szCs w:val="32"/>
        </w:rPr>
        <w:t>市</w:t>
      </w:r>
      <w:r>
        <w:rPr>
          <w:rFonts w:ascii="仿宋" w:hAnsi="仿宋" w:eastAsia="仿宋"/>
          <w:sz w:val="32"/>
          <w:szCs w:val="32"/>
        </w:rPr>
        <w:t>检察工作,对</w:t>
      </w:r>
      <w:r>
        <w:rPr>
          <w:rFonts w:hint="eastAsia" w:ascii="仿宋" w:hAnsi="仿宋" w:eastAsia="仿宋"/>
          <w:sz w:val="32"/>
          <w:szCs w:val="32"/>
        </w:rPr>
        <w:t>市</w:t>
      </w:r>
      <w:r>
        <w:rPr>
          <w:rFonts w:ascii="仿宋" w:hAnsi="仿宋" w:eastAsia="仿宋"/>
          <w:sz w:val="32"/>
          <w:szCs w:val="32"/>
        </w:rPr>
        <w:t>人民代表大会及其常务委员会负责并报告工作。其主要职责是:依法行使检察权,按照最高人民检察院</w:t>
      </w:r>
      <w:r>
        <w:rPr>
          <w:rFonts w:hint="eastAsia" w:ascii="仿宋" w:hAnsi="仿宋" w:eastAsia="仿宋"/>
          <w:sz w:val="32"/>
          <w:szCs w:val="32"/>
        </w:rPr>
        <w:t>和省人民检察院</w:t>
      </w:r>
      <w:r>
        <w:rPr>
          <w:rFonts w:ascii="仿宋" w:hAnsi="仿宋" w:eastAsia="仿宋"/>
          <w:sz w:val="32"/>
          <w:szCs w:val="32"/>
        </w:rPr>
        <w:t>确定的工作方针,部署全</w:t>
      </w:r>
      <w:r>
        <w:rPr>
          <w:rFonts w:hint="eastAsia" w:ascii="仿宋" w:hAnsi="仿宋" w:eastAsia="仿宋"/>
          <w:sz w:val="32"/>
          <w:szCs w:val="32"/>
        </w:rPr>
        <w:t>市</w:t>
      </w:r>
      <w:r>
        <w:rPr>
          <w:rFonts w:ascii="仿宋" w:hAnsi="仿宋" w:eastAsia="仿宋"/>
          <w:sz w:val="32"/>
          <w:szCs w:val="32"/>
        </w:rPr>
        <w:t>检察工作任务</w:t>
      </w:r>
      <w:r>
        <w:rPr>
          <w:rFonts w:hint="eastAsia" w:ascii="仿宋" w:hAnsi="仿宋" w:eastAsia="仿宋"/>
          <w:sz w:val="32"/>
          <w:szCs w:val="32"/>
        </w:rPr>
        <w:t>；</w:t>
      </w:r>
      <w:r>
        <w:rPr>
          <w:rFonts w:ascii="仿宋" w:hAnsi="仿宋" w:eastAsia="仿宋"/>
          <w:sz w:val="32"/>
          <w:szCs w:val="32"/>
        </w:rPr>
        <w:t>领导全</w:t>
      </w:r>
      <w:r>
        <w:rPr>
          <w:rFonts w:hint="eastAsia" w:ascii="仿宋" w:hAnsi="仿宋" w:eastAsia="仿宋"/>
          <w:sz w:val="32"/>
          <w:szCs w:val="32"/>
        </w:rPr>
        <w:t>市</w:t>
      </w:r>
      <w:r>
        <w:rPr>
          <w:rFonts w:ascii="仿宋" w:hAnsi="仿宋" w:eastAsia="仿宋"/>
          <w:sz w:val="32"/>
          <w:szCs w:val="32"/>
        </w:rPr>
        <w:t>人民检察院的侦查工作以及对刑事犯罪案件的审查批捕(决定)逮捕、提起公诉等工作</w:t>
      </w:r>
      <w:r>
        <w:rPr>
          <w:rFonts w:hint="eastAsia" w:ascii="仿宋" w:hAnsi="仿宋" w:eastAsia="仿宋"/>
          <w:sz w:val="32"/>
          <w:szCs w:val="32"/>
        </w:rPr>
        <w:t>；</w:t>
      </w:r>
      <w:r>
        <w:rPr>
          <w:rFonts w:ascii="仿宋" w:hAnsi="仿宋" w:eastAsia="仿宋"/>
          <w:sz w:val="32"/>
          <w:szCs w:val="32"/>
        </w:rPr>
        <w:t>依法对刑事诉讼、民事审判和行政诉讼实行法律监督,依法向人民法院提起抗诉</w:t>
      </w:r>
      <w:r>
        <w:rPr>
          <w:rFonts w:hint="eastAsia" w:ascii="仿宋" w:hAnsi="仿宋" w:eastAsia="仿宋"/>
          <w:sz w:val="32"/>
          <w:szCs w:val="32"/>
        </w:rPr>
        <w:t>；</w:t>
      </w:r>
      <w:r>
        <w:rPr>
          <w:rFonts w:ascii="仿宋" w:hAnsi="仿宋" w:eastAsia="仿宋"/>
          <w:sz w:val="32"/>
          <w:szCs w:val="32"/>
        </w:rPr>
        <w:t>受理单位和个人的举报、控告、申诉以及犯罪嫌疑人的自首</w:t>
      </w:r>
      <w:r>
        <w:rPr>
          <w:rFonts w:hint="eastAsia" w:ascii="仿宋" w:hAnsi="仿宋" w:eastAsia="仿宋"/>
          <w:sz w:val="32"/>
          <w:szCs w:val="32"/>
        </w:rPr>
        <w:t>；</w:t>
      </w:r>
      <w:r>
        <w:rPr>
          <w:rFonts w:ascii="仿宋" w:hAnsi="仿宋" w:eastAsia="仿宋"/>
          <w:sz w:val="32"/>
          <w:szCs w:val="32"/>
        </w:rPr>
        <w:t>研究国家机关工作人员职务犯罪预防和全</w:t>
      </w:r>
      <w:r>
        <w:rPr>
          <w:rFonts w:hint="eastAsia" w:ascii="仿宋" w:hAnsi="仿宋" w:eastAsia="仿宋"/>
          <w:sz w:val="32"/>
          <w:szCs w:val="32"/>
        </w:rPr>
        <w:t>市</w:t>
      </w:r>
      <w:r>
        <w:rPr>
          <w:rFonts w:ascii="仿宋" w:hAnsi="仿宋" w:eastAsia="仿宋"/>
          <w:sz w:val="32"/>
          <w:szCs w:val="32"/>
        </w:rPr>
        <w:t>检察工作中的具体法律应用问题</w:t>
      </w:r>
      <w:r>
        <w:rPr>
          <w:rFonts w:hint="eastAsia" w:ascii="仿宋" w:hAnsi="仿宋" w:eastAsia="仿宋"/>
          <w:sz w:val="32"/>
          <w:szCs w:val="32"/>
        </w:rPr>
        <w:t>；</w:t>
      </w:r>
      <w:r>
        <w:rPr>
          <w:rFonts w:ascii="仿宋" w:hAnsi="仿宋" w:eastAsia="仿宋"/>
          <w:sz w:val="32"/>
          <w:szCs w:val="32"/>
        </w:rPr>
        <w:t>规划和指导全</w:t>
      </w:r>
      <w:r>
        <w:rPr>
          <w:rFonts w:hint="eastAsia" w:ascii="仿宋" w:hAnsi="仿宋" w:eastAsia="仿宋"/>
          <w:sz w:val="32"/>
          <w:szCs w:val="32"/>
        </w:rPr>
        <w:t>市</w:t>
      </w:r>
      <w:r>
        <w:rPr>
          <w:rFonts w:ascii="仿宋" w:hAnsi="仿宋" w:eastAsia="仿宋"/>
          <w:sz w:val="32"/>
          <w:szCs w:val="32"/>
        </w:rPr>
        <w:t>检察机关的检察技术、信息化和计划财务装备工作</w:t>
      </w:r>
      <w:r>
        <w:rPr>
          <w:rFonts w:hint="eastAsia" w:ascii="仿宋" w:hAnsi="仿宋" w:eastAsia="仿宋"/>
          <w:sz w:val="32"/>
          <w:szCs w:val="32"/>
        </w:rPr>
        <w:t>；</w:t>
      </w:r>
      <w:r>
        <w:rPr>
          <w:rFonts w:ascii="仿宋" w:hAnsi="仿宋" w:eastAsia="仿宋"/>
          <w:sz w:val="32"/>
          <w:szCs w:val="32"/>
        </w:rPr>
        <w:t>负责全</w:t>
      </w:r>
      <w:r>
        <w:rPr>
          <w:rFonts w:hint="eastAsia" w:ascii="仿宋" w:hAnsi="仿宋" w:eastAsia="仿宋"/>
          <w:sz w:val="32"/>
          <w:szCs w:val="32"/>
        </w:rPr>
        <w:t>市</w:t>
      </w:r>
      <w:r>
        <w:rPr>
          <w:rFonts w:ascii="仿宋" w:hAnsi="仿宋" w:eastAsia="仿宋"/>
          <w:sz w:val="32"/>
          <w:szCs w:val="32"/>
        </w:rPr>
        <w:t>检察机关的队伍建设、思想政治等工作</w:t>
      </w:r>
      <w:r>
        <w:rPr>
          <w:rFonts w:hint="eastAsia" w:ascii="仿宋" w:hAnsi="仿宋" w:eastAsia="仿宋"/>
          <w:sz w:val="32"/>
          <w:szCs w:val="32"/>
        </w:rPr>
        <w:t>；</w:t>
      </w:r>
      <w:r>
        <w:rPr>
          <w:rFonts w:ascii="仿宋" w:hAnsi="仿宋" w:eastAsia="仿宋"/>
          <w:sz w:val="32"/>
          <w:szCs w:val="32"/>
        </w:rPr>
        <w:t>负责其它应当由</w:t>
      </w:r>
      <w:r>
        <w:rPr>
          <w:rFonts w:hint="eastAsia" w:ascii="仿宋" w:hAnsi="仿宋" w:eastAsia="仿宋"/>
          <w:sz w:val="32"/>
          <w:szCs w:val="32"/>
        </w:rPr>
        <w:t>市</w:t>
      </w:r>
      <w:r>
        <w:rPr>
          <w:rFonts w:ascii="仿宋" w:hAnsi="仿宋" w:eastAsia="仿宋"/>
          <w:sz w:val="32"/>
          <w:szCs w:val="32"/>
        </w:rPr>
        <w:t>人民检察院承办的事项。</w:t>
      </w:r>
    </w:p>
    <w:p>
      <w:pPr>
        <w:pStyle w:val="5"/>
        <w:adjustRightInd w:val="0"/>
        <w:snapToGrid w:val="0"/>
        <w:spacing w:before="93" w:line="600" w:lineRule="exact"/>
        <w:ind w:firstLine="1317" w:firstLineChars="410"/>
        <w:outlineLvl w:val="2"/>
        <w:rPr>
          <w:rFonts w:ascii="仿宋" w:hAnsi="仿宋" w:eastAsia="仿宋"/>
          <w:b/>
          <w:bCs/>
          <w:color w:val="000000"/>
          <w:sz w:val="32"/>
          <w:szCs w:val="32"/>
        </w:rPr>
      </w:pPr>
      <w:bookmarkStart w:id="16" w:name="_Toc15377199"/>
      <w:bookmarkStart w:id="17" w:name="_Toc15378446"/>
      <w:r>
        <w:rPr>
          <w:rFonts w:hint="eastAsia" w:ascii="仿宋" w:hAnsi="仿宋" w:eastAsia="仿宋"/>
          <w:b/>
          <w:bCs/>
          <w:color w:val="000000"/>
          <w:sz w:val="32"/>
          <w:szCs w:val="32"/>
        </w:rPr>
        <w:t>（二）</w:t>
      </w:r>
      <w:r>
        <w:rPr>
          <w:rFonts w:ascii="仿宋" w:hAnsi="仿宋" w:eastAsia="仿宋"/>
          <w:b/>
          <w:bCs/>
          <w:color w:val="000000"/>
          <w:sz w:val="32"/>
          <w:szCs w:val="32"/>
        </w:rPr>
        <w:t>201</w:t>
      </w:r>
      <w:r>
        <w:rPr>
          <w:rFonts w:hint="eastAsia" w:ascii="仿宋" w:hAnsi="仿宋" w:eastAsia="仿宋"/>
          <w:b/>
          <w:bCs/>
          <w:color w:val="000000"/>
          <w:sz w:val="32"/>
          <w:szCs w:val="32"/>
        </w:rPr>
        <w:t>8年重点工作完成情况。</w:t>
      </w:r>
      <w:bookmarkEnd w:id="16"/>
      <w:bookmarkEnd w:id="17"/>
    </w:p>
    <w:p>
      <w:pPr>
        <w:pStyle w:val="12"/>
        <w:spacing w:line="600" w:lineRule="exact"/>
        <w:ind w:left="638" w:leftChars="304" w:firstLine="640" w:firstLineChars="200"/>
        <w:jc w:val="both"/>
        <w:rPr>
          <w:rFonts w:ascii="仿宋" w:hAnsi="仿宋" w:eastAsia="仿宋"/>
          <w:sz w:val="32"/>
          <w:szCs w:val="32"/>
        </w:rPr>
      </w:pPr>
      <w:r>
        <w:rPr>
          <w:rFonts w:hint="eastAsia" w:ascii="仿宋" w:hAnsi="仿宋" w:eastAsia="仿宋"/>
          <w:sz w:val="32"/>
          <w:szCs w:val="32"/>
        </w:rPr>
        <w:t>2018年，市人民检察院受理贪污贿赂及职务侵权案件2件，初查 1件，立案1件，侦查终结2 件，侦查认定数额83.7  万元，挽回经济损失 0万元。受理各类刑事案件2544 件，审结2076 件，其中：批准逮捕 640件，起诉1904 件。受理各类控告申诉案件400件，审查处理 372件。受理提请减刑、假释、暂予监外执行案件2083件，书面纠正监管改造违法通知253 件。受理各类民事案件283件，审查处理283  件，结案处理 239 件，抗诉案件再审结案 2件。</w:t>
      </w:r>
      <w:bookmarkStart w:id="18" w:name="_Toc15377200"/>
      <w:bookmarkStart w:id="19" w:name="_Toc15396601"/>
    </w:p>
    <w:p>
      <w:pPr>
        <w:pStyle w:val="12"/>
        <w:spacing w:line="600" w:lineRule="exact"/>
        <w:ind w:firstLine="1269" w:firstLineChars="395"/>
        <w:rPr>
          <w:rStyle w:val="26"/>
          <w:rFonts w:ascii="仿宋" w:hAnsi="仿宋" w:eastAsia="仿宋" w:cs="宋体"/>
          <w:b w:val="0"/>
          <w:bCs w:val="0"/>
          <w:kern w:val="0"/>
        </w:rPr>
      </w:pPr>
      <w:r>
        <w:rPr>
          <w:rFonts w:hint="eastAsia" w:ascii="黑体" w:eastAsia="黑体"/>
          <w:b/>
          <w:color w:val="000000"/>
          <w:sz w:val="32"/>
          <w:szCs w:val="32"/>
        </w:rPr>
        <w:t>二、</w:t>
      </w:r>
      <w:r>
        <w:rPr>
          <w:rFonts w:hint="eastAsia" w:ascii="黑体" w:hAnsi="黑体" w:eastAsia="黑体"/>
          <w:b/>
          <w:color w:val="000000"/>
          <w:sz w:val="32"/>
          <w:szCs w:val="32"/>
        </w:rPr>
        <w:t>机</w:t>
      </w:r>
      <w:r>
        <w:rPr>
          <w:rStyle w:val="26"/>
          <w:rFonts w:hint="eastAsia" w:ascii="黑体" w:hAnsi="黑体" w:eastAsia="黑体"/>
        </w:rPr>
        <w:t>构设置</w:t>
      </w:r>
      <w:bookmarkEnd w:id="18"/>
      <w:bookmarkEnd w:id="19"/>
    </w:p>
    <w:p>
      <w:pPr>
        <w:pStyle w:val="12"/>
        <w:spacing w:line="600" w:lineRule="exact"/>
        <w:ind w:left="638" w:leftChars="304" w:firstLine="640" w:firstLineChars="200"/>
        <w:jc w:val="both"/>
        <w:rPr>
          <w:rFonts w:ascii="仿宋" w:hAnsi="仿宋" w:eastAsia="仿宋"/>
          <w:sz w:val="32"/>
          <w:szCs w:val="32"/>
        </w:rPr>
      </w:pPr>
      <w:r>
        <w:rPr>
          <w:rFonts w:hint="eastAsia" w:ascii="仿宋" w:hAnsi="仿宋" w:eastAsia="仿宋"/>
          <w:sz w:val="32"/>
          <w:szCs w:val="32"/>
        </w:rPr>
        <w:t>市</w:t>
      </w:r>
      <w:r>
        <w:rPr>
          <w:rFonts w:ascii="仿宋" w:hAnsi="仿宋" w:eastAsia="仿宋"/>
          <w:sz w:val="32"/>
          <w:szCs w:val="32"/>
        </w:rPr>
        <w:t>人民检察院含所属单位</w:t>
      </w:r>
      <w:r>
        <w:rPr>
          <w:rFonts w:hint="eastAsia" w:ascii="仿宋" w:hAnsi="仿宋" w:eastAsia="仿宋"/>
          <w:sz w:val="32"/>
          <w:szCs w:val="32"/>
        </w:rPr>
        <w:t>2</w:t>
      </w:r>
      <w:r>
        <w:rPr>
          <w:rFonts w:ascii="仿宋" w:hAnsi="仿宋" w:eastAsia="仿宋"/>
          <w:sz w:val="32"/>
          <w:szCs w:val="32"/>
        </w:rPr>
        <w:t>个,其中:行政单位</w:t>
      </w:r>
      <w:r>
        <w:rPr>
          <w:rFonts w:hint="eastAsia" w:ascii="仿宋" w:hAnsi="仿宋" w:eastAsia="仿宋"/>
          <w:sz w:val="32"/>
          <w:szCs w:val="32"/>
        </w:rPr>
        <w:t>1个、事业单位1个，</w:t>
      </w:r>
      <w:r>
        <w:rPr>
          <w:rFonts w:ascii="仿宋" w:hAnsi="仿宋" w:eastAsia="仿宋"/>
          <w:sz w:val="32"/>
          <w:szCs w:val="32"/>
        </w:rPr>
        <w:t>分别是四川省</w:t>
      </w:r>
      <w:r>
        <w:rPr>
          <w:rFonts w:hint="eastAsia" w:ascii="仿宋" w:hAnsi="仿宋" w:eastAsia="仿宋"/>
          <w:sz w:val="32"/>
          <w:szCs w:val="32"/>
        </w:rPr>
        <w:t>广元市</w:t>
      </w:r>
      <w:r>
        <w:rPr>
          <w:rFonts w:ascii="仿宋" w:hAnsi="仿宋" w:eastAsia="仿宋"/>
          <w:sz w:val="32"/>
          <w:szCs w:val="32"/>
        </w:rPr>
        <w:t>人民检察院机关</w:t>
      </w:r>
      <w:r>
        <w:rPr>
          <w:rFonts w:hint="eastAsia" w:ascii="仿宋" w:hAnsi="仿宋" w:eastAsia="仿宋"/>
          <w:sz w:val="32"/>
          <w:szCs w:val="32"/>
        </w:rPr>
        <w:t>，广元市人民检察官培训中心。市检察院机关下设内设机构17个，机关党委（办）1个，单独派驻市检察院纪检监察组1个。两个单位现有编制123人，其中：专项编制98人，事业编制25人，年末在职在册实有人数129人,其中有21人转隶到监察委但工资关系保留市检察院。聘用人员14人，2018年新增 5人。因工作变动调出1人，辞职2人，退休9人。</w:t>
      </w:r>
      <w:bookmarkStart w:id="20" w:name="_Toc15377204"/>
      <w:bookmarkStart w:id="21" w:name="_Toc15396602"/>
    </w:p>
    <w:p>
      <w:pPr>
        <w:pStyle w:val="12"/>
        <w:spacing w:line="600" w:lineRule="exact"/>
        <w:ind w:left="638" w:leftChars="304" w:firstLine="640" w:firstLineChars="200"/>
        <w:jc w:val="both"/>
        <w:rPr>
          <w:rFonts w:ascii="仿宋" w:hAnsi="仿宋" w:eastAsia="仿宋"/>
          <w:sz w:val="32"/>
          <w:szCs w:val="32"/>
        </w:rPr>
      </w:pPr>
    </w:p>
    <w:p>
      <w:pPr>
        <w:pStyle w:val="12"/>
        <w:spacing w:line="600" w:lineRule="exact"/>
        <w:ind w:left="638" w:leftChars="304" w:firstLine="723" w:firstLineChars="200"/>
        <w:jc w:val="both"/>
        <w:rPr>
          <w:rFonts w:ascii="黑体" w:hAnsi="黑体" w:eastAsia="黑体"/>
          <w:sz w:val="36"/>
          <w:szCs w:val="36"/>
        </w:rPr>
      </w:pPr>
      <w:r>
        <w:rPr>
          <w:rFonts w:hint="eastAsia" w:ascii="黑体" w:hAnsi="黑体" w:eastAsia="黑体"/>
          <w:b/>
          <w:color w:val="000000"/>
          <w:sz w:val="36"/>
          <w:szCs w:val="36"/>
        </w:rPr>
        <w:t>第二部分</w:t>
      </w:r>
      <w:r>
        <w:rPr>
          <w:rStyle w:val="25"/>
          <w:rFonts w:hint="eastAsia" w:ascii="黑体" w:hAnsi="黑体" w:eastAsia="黑体"/>
          <w:sz w:val="36"/>
          <w:szCs w:val="36"/>
        </w:rPr>
        <w:t>2018年度部门决算情况说明</w:t>
      </w:r>
      <w:bookmarkEnd w:id="20"/>
      <w:bookmarkEnd w:id="21"/>
    </w:p>
    <w:p>
      <w:pPr>
        <w:pStyle w:val="12"/>
        <w:spacing w:line="600" w:lineRule="exact"/>
        <w:ind w:firstLine="1280" w:firstLineChars="400"/>
        <w:jc w:val="both"/>
        <w:rPr>
          <w:rStyle w:val="26"/>
          <w:rFonts w:ascii="黑体" w:hAnsi="黑体" w:eastAsia="黑体"/>
          <w:b w:val="0"/>
        </w:rPr>
      </w:pPr>
      <w:bookmarkStart w:id="22" w:name="_Toc15377205"/>
      <w:bookmarkStart w:id="23" w:name="_Toc15396603"/>
      <w:r>
        <w:rPr>
          <w:rFonts w:hint="eastAsia" w:ascii="黑体" w:hAnsi="黑体" w:eastAsia="黑体"/>
          <w:color w:val="000000"/>
          <w:sz w:val="32"/>
          <w:szCs w:val="32"/>
        </w:rPr>
        <w:t>一、收</w:t>
      </w:r>
      <w:r>
        <w:rPr>
          <w:rStyle w:val="26"/>
          <w:rFonts w:hint="eastAsia" w:ascii="黑体" w:hAnsi="黑体" w:eastAsia="黑体"/>
          <w:b w:val="0"/>
        </w:rPr>
        <w:t>入支出决算总体情况说明</w:t>
      </w:r>
      <w:bookmarkEnd w:id="22"/>
      <w:bookmarkEnd w:id="23"/>
    </w:p>
    <w:p>
      <w:pPr>
        <w:spacing w:line="600" w:lineRule="exact"/>
        <w:ind w:left="638" w:leftChars="304" w:firstLine="640" w:firstLineChars="200"/>
        <w:rPr>
          <w:rFonts w:ascii="仿宋" w:hAnsi="仿宋" w:eastAsia="仿宋"/>
          <w:sz w:val="32"/>
          <w:szCs w:val="32"/>
        </w:rPr>
      </w:pPr>
      <w:r>
        <w:rPr>
          <w:rFonts w:hint="eastAsia" w:ascii="仿宋" w:hAnsi="仿宋" w:eastAsia="仿宋"/>
          <w:sz w:val="32"/>
          <w:szCs w:val="32"/>
        </w:rPr>
        <w:t>2018年广元市人民检察院本年</w:t>
      </w:r>
      <w:r>
        <w:rPr>
          <w:rFonts w:hint="eastAsia" w:ascii="仿宋" w:hAnsi="仿宋" w:eastAsia="仿宋"/>
          <w:color w:val="000000"/>
          <w:sz w:val="32"/>
          <w:szCs w:val="32"/>
        </w:rPr>
        <w:t>收、支总计7075.56万元。与2017年相比，收、支总计各增加1819.12万元，增长34.73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基本建设支出、绩效支出以及补交退休干部职业年金等支出。</w:t>
      </w:r>
    </w:p>
    <w:p>
      <w:pPr>
        <w:pStyle w:val="24"/>
        <w:numPr>
          <w:ilvl w:val="0"/>
          <w:numId w:val="1"/>
        </w:numPr>
        <w:spacing w:line="600" w:lineRule="exact"/>
        <w:ind w:firstLineChars="0"/>
        <w:jc w:val="left"/>
        <w:outlineLvl w:val="1"/>
        <w:rPr>
          <w:rStyle w:val="26"/>
          <w:rFonts w:ascii="黑体" w:hAnsi="黑体" w:eastAsia="黑体"/>
          <w:b w:val="0"/>
        </w:rPr>
      </w:pPr>
      <w:bookmarkStart w:id="24" w:name="_Toc15377206"/>
      <w:bookmarkStart w:id="25"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4"/>
      <w:bookmarkEnd w:id="25"/>
    </w:p>
    <w:p>
      <w:pPr>
        <w:spacing w:line="600" w:lineRule="exact"/>
        <w:ind w:left="638" w:leftChars="304"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8年本年收入合计5999.41万元，其中：一般预算财政拨款收入4993.31万元，占83.23</w:t>
      </w:r>
      <w:r>
        <w:rPr>
          <w:rFonts w:ascii="仿宋" w:hAnsi="仿宋" w:eastAsia="仿宋"/>
          <w:color w:val="000000"/>
          <w:sz w:val="32"/>
          <w:szCs w:val="32"/>
        </w:rPr>
        <w:t>%</w:t>
      </w:r>
      <w:r>
        <w:rPr>
          <w:rFonts w:hint="eastAsia" w:ascii="仿宋" w:hAnsi="仿宋" w:eastAsia="仿宋"/>
          <w:color w:val="000000"/>
          <w:sz w:val="32"/>
          <w:szCs w:val="32"/>
        </w:rPr>
        <w:t>；政府性基金预算财政拨款收入1006.10万元，占16.77</w:t>
      </w:r>
      <w:r>
        <w:rPr>
          <w:rFonts w:ascii="仿宋" w:hAnsi="仿宋" w:eastAsia="仿宋"/>
          <w:color w:val="000000"/>
          <w:sz w:val="32"/>
          <w:szCs w:val="32"/>
        </w:rPr>
        <w:t>%</w:t>
      </w:r>
      <w:r>
        <w:rPr>
          <w:rFonts w:hint="eastAsia" w:ascii="仿宋" w:hAnsi="仿宋" w:eastAsia="仿宋"/>
          <w:color w:val="000000"/>
          <w:sz w:val="32"/>
          <w:szCs w:val="32"/>
        </w:rPr>
        <w:t>。</w:t>
      </w:r>
    </w:p>
    <w:p>
      <w:pPr>
        <w:pStyle w:val="24"/>
        <w:spacing w:line="600" w:lineRule="exact"/>
        <w:ind w:left="720" w:leftChars="343" w:firstLine="640"/>
        <w:outlineLvl w:val="1"/>
        <w:rPr>
          <w:rFonts w:ascii="黑体" w:hAnsi="黑体" w:eastAsia="黑体"/>
          <w:color w:val="000000"/>
          <w:sz w:val="32"/>
          <w:szCs w:val="32"/>
        </w:rPr>
      </w:pPr>
      <w:bookmarkStart w:id="26" w:name="_Toc15396605"/>
      <w:bookmarkStart w:id="27" w:name="_Toc15377207"/>
    </w:p>
    <w:p>
      <w:pPr>
        <w:pStyle w:val="24"/>
        <w:spacing w:line="600" w:lineRule="exact"/>
        <w:ind w:left="720" w:leftChars="343" w:firstLine="640"/>
        <w:outlineLvl w:val="1"/>
        <w:rPr>
          <w:rStyle w:val="26"/>
          <w:rFonts w:ascii="黑体" w:hAnsi="黑体" w:eastAsia="黑体"/>
          <w:b w:val="0"/>
        </w:rPr>
      </w:pPr>
      <w:r>
        <w:rPr>
          <w:rFonts w:hint="eastAsia" w:ascii="黑体" w:hAnsi="黑体" w:eastAsia="黑体"/>
          <w:color w:val="000000"/>
          <w:sz w:val="32"/>
          <w:szCs w:val="32"/>
        </w:rPr>
        <w:t>三、支</w:t>
      </w:r>
      <w:r>
        <w:rPr>
          <w:rStyle w:val="26"/>
          <w:rFonts w:hint="eastAsia" w:ascii="黑体" w:hAnsi="黑体" w:eastAsia="黑体"/>
          <w:b w:val="0"/>
        </w:rPr>
        <w:t>出决算情况说明</w:t>
      </w:r>
      <w:bookmarkEnd w:id="26"/>
      <w:bookmarkEnd w:id="27"/>
    </w:p>
    <w:p>
      <w:pPr>
        <w:spacing w:line="600" w:lineRule="exact"/>
        <w:ind w:left="638" w:leftChars="304" w:firstLine="640" w:firstLineChars="20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8年本年支出合计5215.59万元，其中：基本支出3237.08万元，占62.07</w:t>
      </w:r>
      <w:r>
        <w:rPr>
          <w:rFonts w:ascii="仿宋" w:hAnsi="仿宋" w:eastAsia="仿宋"/>
          <w:color w:val="000000"/>
          <w:sz w:val="32"/>
          <w:szCs w:val="32"/>
        </w:rPr>
        <w:t>%</w:t>
      </w:r>
      <w:r>
        <w:rPr>
          <w:rFonts w:hint="eastAsia" w:ascii="仿宋" w:hAnsi="仿宋" w:eastAsia="仿宋"/>
          <w:color w:val="000000"/>
          <w:sz w:val="32"/>
          <w:szCs w:val="32"/>
        </w:rPr>
        <w:t>；项目支出1978.51万元，占37.93</w:t>
      </w:r>
      <w:r>
        <w:rPr>
          <w:rFonts w:ascii="仿宋" w:hAnsi="仿宋" w:eastAsia="仿宋"/>
          <w:color w:val="000000"/>
          <w:sz w:val="32"/>
          <w:szCs w:val="32"/>
        </w:rPr>
        <w:t>%</w:t>
      </w:r>
      <w:r>
        <w:rPr>
          <w:rFonts w:hint="eastAsia" w:ascii="仿宋" w:hAnsi="仿宋" w:eastAsia="仿宋"/>
          <w:color w:val="000000"/>
          <w:sz w:val="32"/>
          <w:szCs w:val="32"/>
        </w:rPr>
        <w:t>。</w:t>
      </w:r>
      <w:r>
        <w:rPr>
          <w:rFonts w:ascii="仿宋" w:hAnsi="仿宋" w:eastAsia="仿宋"/>
          <w:color w:val="000000"/>
          <w:sz w:val="32"/>
          <w:szCs w:val="32"/>
          <w:shd w:val="pct10" w:color="auto" w:fill="FFFFFF"/>
        </w:rPr>
        <w:t xml:space="preserve"> </w:t>
      </w:r>
    </w:p>
    <w:p>
      <w:pPr>
        <w:spacing w:line="600" w:lineRule="exact"/>
        <w:ind w:firstLine="1280" w:firstLineChars="400"/>
        <w:outlineLvl w:val="1"/>
        <w:rPr>
          <w:rStyle w:val="26"/>
          <w:rFonts w:ascii="黑体" w:hAnsi="黑体" w:eastAsia="黑体"/>
          <w:b w:val="0"/>
        </w:rPr>
      </w:pPr>
      <w:bookmarkStart w:id="28" w:name="_Toc15396606"/>
      <w:bookmarkStart w:id="29"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28"/>
      <w:bookmarkEnd w:id="29"/>
    </w:p>
    <w:p>
      <w:pPr>
        <w:spacing w:line="600" w:lineRule="exact"/>
        <w:ind w:left="638" w:leftChars="304" w:firstLine="640" w:firstLineChars="200"/>
        <w:rPr>
          <w:rFonts w:ascii="仿宋" w:hAnsi="仿宋" w:eastAsia="仿宋"/>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8年财政拨款收、支总计7075.56万元。与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7年相比，财政拨款收、支总计各增加1819.12万元，增长34.73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基本建设支出、绩效支出以及补交退休干部职业年金等支出。</w:t>
      </w:r>
    </w:p>
    <w:p>
      <w:pPr>
        <w:spacing w:line="600" w:lineRule="exact"/>
        <w:ind w:firstLine="1280" w:firstLineChars="400"/>
        <w:outlineLvl w:val="1"/>
        <w:rPr>
          <w:rStyle w:val="26"/>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p>
    <w:p>
      <w:pPr>
        <w:spacing w:line="600" w:lineRule="exact"/>
        <w:ind w:firstLine="1124" w:firstLineChars="350"/>
        <w:outlineLvl w:val="2"/>
        <w:rPr>
          <w:rFonts w:ascii="仿宋" w:hAnsi="仿宋" w:eastAsia="仿宋"/>
          <w:b/>
          <w:color w:val="000000"/>
          <w:sz w:val="32"/>
          <w:szCs w:val="32"/>
        </w:rPr>
      </w:pPr>
      <w:r>
        <w:rPr>
          <w:rFonts w:hint="eastAsia" w:ascii="仿宋" w:hAnsi="仿宋" w:eastAsia="仿宋"/>
          <w:b/>
          <w:color w:val="000000"/>
          <w:sz w:val="32"/>
          <w:szCs w:val="32"/>
        </w:rPr>
        <w:t>（一）一般公共预算财政拨款支出决算总体情况</w:t>
      </w:r>
    </w:p>
    <w:p>
      <w:pPr>
        <w:spacing w:line="600" w:lineRule="exact"/>
        <w:ind w:left="638" w:leftChars="304"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8年一般公共预算财政拨款支出4209.49万元，占本年支出合计的80.71</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7年相比，一般公共预算财政拨款减少35.64万元，下降0.84</w:t>
      </w:r>
      <w:r>
        <w:rPr>
          <w:rFonts w:ascii="仿宋" w:hAnsi="仿宋" w:eastAsia="仿宋"/>
          <w:color w:val="000000"/>
          <w:sz w:val="32"/>
          <w:szCs w:val="32"/>
        </w:rPr>
        <w:t>%</w:t>
      </w:r>
      <w:r>
        <w:rPr>
          <w:rFonts w:hint="eastAsia" w:ascii="仿宋" w:hAnsi="仿宋" w:eastAsia="仿宋"/>
          <w:color w:val="000000"/>
          <w:sz w:val="32"/>
          <w:szCs w:val="32"/>
        </w:rPr>
        <w:t>。主要变动原因是转隶到纪委监委部分车辆及部分人员。</w:t>
      </w:r>
    </w:p>
    <w:p>
      <w:pPr>
        <w:spacing w:line="600" w:lineRule="exact"/>
        <w:ind w:firstLine="1285" w:firstLineChars="400"/>
        <w:outlineLvl w:val="2"/>
        <w:rPr>
          <w:rFonts w:ascii="仿宋" w:hAnsi="仿宋" w:eastAsia="仿宋"/>
          <w:b/>
          <w:color w:val="000000"/>
          <w:sz w:val="32"/>
          <w:szCs w:val="32"/>
        </w:rPr>
      </w:pPr>
      <w:bookmarkStart w:id="30" w:name="_Toc15377211"/>
      <w:r>
        <w:rPr>
          <w:rFonts w:hint="eastAsia" w:ascii="仿宋" w:hAnsi="仿宋" w:eastAsia="仿宋"/>
          <w:b/>
          <w:color w:val="000000"/>
          <w:sz w:val="32"/>
          <w:szCs w:val="32"/>
        </w:rPr>
        <w:t>（二）一般公共预算财政拨款支出决算结构情况</w:t>
      </w:r>
      <w:bookmarkEnd w:id="30"/>
    </w:p>
    <w:p>
      <w:pPr>
        <w:spacing w:line="600" w:lineRule="exact"/>
        <w:ind w:left="638" w:leftChars="304" w:firstLine="640" w:firstLineChars="20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rPr>
        <w:t>4209.49</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color w:val="000000" w:themeColor="text1"/>
          <w:sz w:val="32"/>
          <w:szCs w:val="32"/>
        </w:rPr>
        <w:t>公共安全（类）支出3641.68万元，占86.51</w:t>
      </w:r>
      <w:r>
        <w:rPr>
          <w:rFonts w:ascii="仿宋" w:hAnsi="仿宋" w:eastAsia="仿宋"/>
          <w:color w:val="000000" w:themeColor="text1"/>
          <w:sz w:val="32"/>
          <w:szCs w:val="32"/>
        </w:rPr>
        <w:t>%</w:t>
      </w:r>
      <w:r>
        <w:rPr>
          <w:rFonts w:hint="eastAsia" w:ascii="仿宋" w:hAnsi="仿宋" w:eastAsia="仿宋"/>
          <w:color w:val="000000" w:themeColor="text1"/>
          <w:sz w:val="32"/>
          <w:szCs w:val="32"/>
        </w:rPr>
        <w:t>；社会保障和就业（类）支出230.18万元，占5.47</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；医疗卫生支出88.13万元，占2.09</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；住房保障支出249.5万元，占5.93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ascii="仿宋" w:hAnsi="仿宋" w:eastAsia="仿宋"/>
          <w:color w:val="000000" w:themeColor="text1"/>
          <w:sz w:val="32"/>
          <w:szCs w:val="32"/>
        </w:rPr>
        <w:t xml:space="preserve"> </w:t>
      </w:r>
    </w:p>
    <w:p>
      <w:pPr>
        <w:spacing w:line="600" w:lineRule="exact"/>
        <w:ind w:firstLine="1285" w:firstLineChars="400"/>
        <w:outlineLvl w:val="2"/>
        <w:rPr>
          <w:rFonts w:ascii="仿宋" w:hAnsi="仿宋" w:eastAsia="仿宋"/>
          <w:b/>
          <w:color w:val="000000"/>
          <w:sz w:val="32"/>
          <w:szCs w:val="32"/>
        </w:rPr>
      </w:pPr>
      <w:bookmarkStart w:id="31" w:name="_Toc15377212"/>
      <w:r>
        <w:rPr>
          <w:rFonts w:hint="eastAsia" w:ascii="仿宋" w:hAnsi="仿宋" w:eastAsia="仿宋"/>
          <w:b/>
          <w:color w:val="000000"/>
          <w:sz w:val="32"/>
          <w:szCs w:val="32"/>
        </w:rPr>
        <w:t>（三）一般公共预算财政拨款支出决算具体情况</w:t>
      </w:r>
      <w:bookmarkEnd w:id="31"/>
    </w:p>
    <w:p>
      <w:pPr>
        <w:spacing w:line="600" w:lineRule="exact"/>
        <w:ind w:left="638" w:leftChars="304" w:firstLine="640" w:firstLineChars="200"/>
        <w:outlineLvl w:val="2"/>
        <w:rPr>
          <w:rFonts w:ascii="仿宋" w:hAnsi="仿宋" w:eastAsia="仿宋"/>
          <w:color w:val="FF0000"/>
          <w:sz w:val="32"/>
          <w:szCs w:val="32"/>
        </w:rPr>
      </w:pPr>
      <w:bookmarkStart w:id="32" w:name="_Toc15377213"/>
      <w:bookmarkStart w:id="33" w:name="_Toc15377444"/>
      <w:bookmarkStart w:id="34" w:name="_Toc15378460"/>
      <w:r>
        <w:rPr>
          <w:rFonts w:hint="eastAsia" w:ascii="仿宋" w:hAnsi="仿宋" w:eastAsia="仿宋"/>
          <w:color w:val="000000" w:themeColor="text1"/>
          <w:sz w:val="32"/>
          <w:szCs w:val="32"/>
        </w:rPr>
        <w:t>2018年一般公共预算支出决算数为</w:t>
      </w:r>
      <w:r>
        <w:rPr>
          <w:rFonts w:hint="eastAsia" w:ascii="仿宋" w:hAnsi="仿宋" w:eastAsia="仿宋"/>
          <w:sz w:val="32"/>
          <w:szCs w:val="32"/>
        </w:rPr>
        <w:t>4209.49万元</w:t>
      </w:r>
      <w:r>
        <w:rPr>
          <w:rFonts w:hint="eastAsia" w:ascii="仿宋" w:hAnsi="仿宋" w:eastAsia="仿宋"/>
          <w:color w:val="000000" w:themeColor="text1"/>
          <w:sz w:val="32"/>
          <w:szCs w:val="32"/>
        </w:rPr>
        <w:t>，</w:t>
      </w:r>
      <w:r>
        <w:rPr>
          <w:rStyle w:val="14"/>
          <w:rFonts w:hint="eastAsia" w:ascii="仿宋" w:hAnsi="仿宋" w:eastAsia="仿宋"/>
          <w:b w:val="0"/>
          <w:bCs/>
          <w:color w:val="000000" w:themeColor="text1"/>
          <w:sz w:val="32"/>
          <w:szCs w:val="32"/>
        </w:rPr>
        <w:t>完成</w:t>
      </w:r>
      <w:r>
        <w:rPr>
          <w:rStyle w:val="14"/>
          <w:rFonts w:hint="eastAsia" w:ascii="仿宋" w:hAnsi="仿宋" w:eastAsia="仿宋"/>
          <w:b w:val="0"/>
          <w:bCs/>
          <w:color w:val="000000"/>
          <w:sz w:val="32"/>
          <w:szCs w:val="32"/>
        </w:rPr>
        <w:t>预算69.36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。其中：</w:t>
      </w:r>
      <w:bookmarkEnd w:id="32"/>
      <w:bookmarkEnd w:id="33"/>
      <w:bookmarkEnd w:id="34"/>
    </w:p>
    <w:p>
      <w:pPr>
        <w:spacing w:line="600" w:lineRule="exact"/>
        <w:ind w:left="638" w:leftChars="304" w:firstLine="640" w:firstLineChars="200"/>
        <w:rPr>
          <w:rStyle w:val="14"/>
          <w:rFonts w:ascii="仿宋" w:hAnsi="仿宋" w:eastAsia="仿宋"/>
          <w:b w:val="0"/>
          <w:bCs/>
          <w:color w:val="000000"/>
          <w:sz w:val="32"/>
          <w:szCs w:val="32"/>
        </w:rPr>
      </w:pPr>
      <w:r>
        <w:rPr>
          <w:rStyle w:val="14"/>
          <w:rFonts w:ascii="仿宋" w:hAnsi="仿宋" w:eastAsia="仿宋"/>
          <w:b w:val="0"/>
          <w:bCs/>
          <w:color w:val="000000"/>
          <w:sz w:val="32"/>
          <w:szCs w:val="32"/>
        </w:rPr>
        <w:t>1.</w:t>
      </w:r>
      <w:r>
        <w:rPr>
          <w:rStyle w:val="14"/>
          <w:rFonts w:hint="eastAsia" w:ascii="仿宋" w:hAnsi="仿宋" w:eastAsia="仿宋"/>
          <w:b w:val="0"/>
          <w:bCs/>
          <w:color w:val="000000"/>
          <w:sz w:val="32"/>
          <w:szCs w:val="32"/>
        </w:rPr>
        <w:t>公共安全支出204（类）检察04（款）01行政运行（项）</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支出决算为2669.27万元，完成预算99.95</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，与预算基本持平。</w:t>
      </w:r>
    </w:p>
    <w:p>
      <w:pPr>
        <w:autoSpaceDE w:val="0"/>
        <w:autoSpaceDN w:val="0"/>
        <w:adjustRightInd w:val="0"/>
        <w:spacing w:line="600" w:lineRule="exact"/>
        <w:ind w:left="638" w:leftChars="304" w:firstLine="640" w:firstLineChars="200"/>
        <w:rPr>
          <w:rFonts w:ascii="仿宋" w:hAnsi="仿宋" w:eastAsia="仿宋"/>
          <w:sz w:val="32"/>
          <w:szCs w:val="32"/>
        </w:rPr>
      </w:pPr>
      <w:r>
        <w:rPr>
          <w:rFonts w:hint="eastAsia" w:ascii="仿宋" w:hAnsi="仿宋" w:eastAsia="仿宋"/>
          <w:sz w:val="32"/>
          <w:szCs w:val="32"/>
        </w:rPr>
        <w:t>2、公共安全支出（类）检察（款）一般行政管理事务（项）:214.73万元，完成预算31.84%，</w:t>
      </w:r>
      <w:r>
        <w:rPr>
          <w:rStyle w:val="14"/>
          <w:rFonts w:hint="eastAsia" w:ascii="仿宋" w:hAnsi="仿宋" w:eastAsia="仿宋"/>
          <w:b w:val="0"/>
          <w:bCs/>
          <w:color w:val="000000"/>
          <w:sz w:val="32"/>
          <w:szCs w:val="32"/>
        </w:rPr>
        <w:t>决算数小于预算数的主要原因</w:t>
      </w:r>
      <w:r>
        <w:rPr>
          <w:rFonts w:hint="eastAsia" w:ascii="仿宋" w:hAnsi="仿宋" w:eastAsia="仿宋"/>
          <w:sz w:val="32"/>
          <w:szCs w:val="32"/>
        </w:rPr>
        <w:t>是省院统一建设“智慧检察”工程未启动。</w:t>
      </w:r>
    </w:p>
    <w:p>
      <w:pPr>
        <w:spacing w:line="600" w:lineRule="exact"/>
        <w:ind w:left="638" w:leftChars="304" w:firstLine="640" w:firstLineChars="200"/>
        <w:rPr>
          <w:rStyle w:val="14"/>
          <w:rFonts w:ascii="仿宋" w:hAnsi="仿宋" w:eastAsia="仿宋"/>
          <w:b w:val="0"/>
          <w:bCs/>
          <w:color w:val="FF0000"/>
          <w:sz w:val="32"/>
          <w:szCs w:val="32"/>
        </w:rPr>
      </w:pPr>
      <w:r>
        <w:rPr>
          <w:rFonts w:hint="eastAsia" w:ascii="仿宋" w:hAnsi="仿宋" w:eastAsia="仿宋"/>
          <w:sz w:val="32"/>
          <w:szCs w:val="32"/>
        </w:rPr>
        <w:t>3、公共安全支出（类）检察（款）机关服务（项）70万元，完成预算18.92%，主要原因是非税收入完成已到年底，部分支出未实现。</w:t>
      </w:r>
      <w:r>
        <w:rPr>
          <w:rStyle w:val="14"/>
          <w:rFonts w:hint="eastAsia" w:ascii="仿宋" w:hAnsi="仿宋" w:eastAsia="仿宋"/>
          <w:b w:val="0"/>
          <w:bCs/>
          <w:color w:val="FF0000"/>
          <w:sz w:val="32"/>
          <w:szCs w:val="32"/>
        </w:rPr>
        <w:t xml:space="preserve"> </w:t>
      </w:r>
    </w:p>
    <w:p>
      <w:pPr>
        <w:spacing w:line="600" w:lineRule="exact"/>
        <w:ind w:left="638" w:leftChars="304" w:firstLine="640" w:firstLineChars="200"/>
        <w:rPr>
          <w:rStyle w:val="14"/>
          <w:rFonts w:ascii="仿宋" w:hAnsi="仿宋" w:eastAsia="仿宋"/>
          <w:b w:val="0"/>
          <w:bCs/>
          <w:color w:val="000000"/>
          <w:sz w:val="32"/>
          <w:szCs w:val="32"/>
        </w:rPr>
      </w:pPr>
      <w:r>
        <w:rPr>
          <w:rFonts w:hint="eastAsia" w:ascii="仿宋" w:hAnsi="仿宋" w:eastAsia="仿宋"/>
          <w:sz w:val="32"/>
          <w:szCs w:val="32"/>
        </w:rPr>
        <w:t>4、公共安全支出（类）检察（款）查办和预防职务犯罪（项）56.35万元，完成预算100%，</w:t>
      </w:r>
      <w:r>
        <w:rPr>
          <w:rStyle w:val="14"/>
          <w:rFonts w:hint="eastAsia" w:ascii="仿宋" w:hAnsi="仿宋" w:eastAsia="仿宋"/>
          <w:b w:val="0"/>
          <w:bCs/>
          <w:color w:val="000000"/>
          <w:sz w:val="32"/>
          <w:szCs w:val="32"/>
        </w:rPr>
        <w:t>与预算一致。</w:t>
      </w:r>
    </w:p>
    <w:p>
      <w:pPr>
        <w:spacing w:line="600" w:lineRule="exact"/>
        <w:ind w:left="638" w:leftChars="304" w:firstLine="640" w:firstLineChars="200"/>
        <w:rPr>
          <w:rFonts w:ascii="仿宋" w:hAnsi="仿宋" w:eastAsia="仿宋"/>
          <w:bCs/>
          <w:color w:val="000000"/>
          <w:sz w:val="32"/>
          <w:szCs w:val="32"/>
        </w:rPr>
      </w:pPr>
      <w:r>
        <w:rPr>
          <w:rFonts w:hint="eastAsia" w:ascii="仿宋" w:hAnsi="仿宋" w:eastAsia="仿宋"/>
          <w:sz w:val="32"/>
          <w:szCs w:val="32"/>
        </w:rPr>
        <w:t>5、公共安全支出（类）检察（款）公诉和审判监督（项）200万元，完成预算98.21%，</w:t>
      </w:r>
      <w:r>
        <w:rPr>
          <w:rStyle w:val="14"/>
          <w:rFonts w:hint="eastAsia" w:ascii="仿宋" w:hAnsi="仿宋" w:eastAsia="仿宋"/>
          <w:b w:val="0"/>
          <w:bCs/>
          <w:color w:val="000000"/>
          <w:sz w:val="32"/>
          <w:szCs w:val="32"/>
        </w:rPr>
        <w:t>与预算基本持平。</w:t>
      </w:r>
    </w:p>
    <w:p>
      <w:pPr>
        <w:spacing w:line="600" w:lineRule="exact"/>
        <w:ind w:left="638" w:leftChars="304" w:firstLine="640" w:firstLineChars="200"/>
        <w:rPr>
          <w:rFonts w:ascii="仿宋" w:hAnsi="仿宋" w:eastAsia="仿宋"/>
          <w:sz w:val="32"/>
          <w:szCs w:val="32"/>
        </w:rPr>
      </w:pPr>
      <w:r>
        <w:rPr>
          <w:rFonts w:hint="eastAsia" w:ascii="仿宋" w:hAnsi="仿宋" w:eastAsia="仿宋"/>
          <w:sz w:val="32"/>
          <w:szCs w:val="32"/>
        </w:rPr>
        <w:t>6、公共安全支出（类）检察（款）两房建设（项）431.33万元，完成预算62.34%，</w:t>
      </w:r>
      <w:r>
        <w:rPr>
          <w:rStyle w:val="14"/>
          <w:rFonts w:hint="eastAsia" w:ascii="仿宋" w:hAnsi="仿宋" w:eastAsia="仿宋"/>
          <w:b w:val="0"/>
          <w:bCs/>
          <w:color w:val="000000"/>
          <w:sz w:val="32"/>
          <w:szCs w:val="32"/>
        </w:rPr>
        <w:t>决算数小于预算数的主要原因是手续不齐全，部分工程尾款未支付。</w:t>
      </w:r>
    </w:p>
    <w:p>
      <w:pPr>
        <w:spacing w:line="600" w:lineRule="exact"/>
        <w:ind w:left="638" w:leftChars="304" w:firstLine="656" w:firstLineChars="205"/>
        <w:rPr>
          <w:rFonts w:ascii="仿宋" w:hAnsi="仿宋" w:eastAsia="仿宋"/>
          <w:sz w:val="32"/>
          <w:szCs w:val="32"/>
        </w:rPr>
      </w:pPr>
      <w:r>
        <w:rPr>
          <w:rFonts w:hint="eastAsia" w:ascii="仿宋" w:hAnsi="仿宋" w:eastAsia="仿宋"/>
          <w:sz w:val="32"/>
          <w:szCs w:val="32"/>
        </w:rPr>
        <w:t>7. 社会保障和就业支出（类）行政事业单位离退休（款）机关事业单位基本养老保险缴费支出（项）192.73万元，完成预算100%。</w:t>
      </w:r>
    </w:p>
    <w:p>
      <w:pPr>
        <w:spacing w:line="600" w:lineRule="exact"/>
        <w:ind w:left="638" w:leftChars="304" w:firstLine="656" w:firstLineChars="205"/>
        <w:rPr>
          <w:rFonts w:ascii="仿宋" w:hAnsi="仿宋" w:eastAsia="仿宋"/>
          <w:sz w:val="32"/>
          <w:szCs w:val="32"/>
        </w:rPr>
      </w:pPr>
      <w:r>
        <w:rPr>
          <w:rFonts w:hint="eastAsia" w:ascii="仿宋" w:hAnsi="仿宋" w:eastAsia="仿宋"/>
          <w:sz w:val="32"/>
          <w:szCs w:val="32"/>
        </w:rPr>
        <w:t>8. 社会保障和就业支出（类）行政事业单位离退休（款）机关事业单位职业年金缴费支出（项）37.45万元。完成预算100%。</w:t>
      </w:r>
      <w:r>
        <w:rPr>
          <w:rFonts w:hint="eastAsia" w:ascii="仿宋" w:hAnsi="仿宋" w:eastAsia="仿宋"/>
          <w:sz w:val="32"/>
          <w:szCs w:val="32"/>
        </w:rPr>
        <w:br w:type="textWrapping"/>
      </w:r>
      <w:r>
        <w:rPr>
          <w:rFonts w:hint="eastAsia" w:ascii="仿宋" w:hAnsi="仿宋" w:eastAsia="仿宋"/>
          <w:sz w:val="32"/>
          <w:szCs w:val="32"/>
        </w:rPr>
        <w:t xml:space="preserve">    9. 医疗卫生与计划生育支出（类）行政事业单位医疗（款）行政单位医疗（项）：88.13万元，完成预算100%。</w:t>
      </w:r>
    </w:p>
    <w:p>
      <w:pPr>
        <w:spacing w:line="600" w:lineRule="exact"/>
        <w:ind w:left="638" w:leftChars="304"/>
        <w:rPr>
          <w:rFonts w:ascii="仿宋" w:hAnsi="仿宋" w:eastAsia="仿宋"/>
          <w:sz w:val="32"/>
          <w:szCs w:val="32"/>
        </w:rPr>
      </w:pPr>
      <w:r>
        <w:rPr>
          <w:rFonts w:hint="eastAsia" w:ascii="仿宋" w:hAnsi="仿宋" w:eastAsia="仿宋"/>
          <w:sz w:val="32"/>
          <w:szCs w:val="32"/>
        </w:rPr>
        <w:t xml:space="preserve">    10.住房保障支出（类）住房改革支出（款）住房公积金（项）:249.50万元，完成预算100%。</w:t>
      </w:r>
    </w:p>
    <w:p>
      <w:pPr>
        <w:tabs>
          <w:tab w:val="right" w:pos="8306"/>
        </w:tabs>
        <w:spacing w:line="600" w:lineRule="exact"/>
        <w:ind w:firstLine="1276" w:firstLineChars="399"/>
        <w:outlineLvl w:val="1"/>
        <w:rPr>
          <w:rStyle w:val="26"/>
        </w:rPr>
      </w:pPr>
      <w:bookmarkStart w:id="35" w:name="_Toc15396608"/>
      <w:bookmarkStart w:id="36"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w:t>
      </w:r>
      <w:bookmarkEnd w:id="35"/>
      <w:bookmarkEnd w:id="36"/>
      <w:r>
        <w:rPr>
          <w:rStyle w:val="26"/>
          <w:rFonts w:hint="eastAsia" w:ascii="黑体" w:hAnsi="黑体" w:eastAsia="黑体"/>
          <w:b w:val="0"/>
        </w:rPr>
        <w:t>明</w:t>
      </w:r>
    </w:p>
    <w:p>
      <w:pPr>
        <w:spacing w:line="600" w:lineRule="exact"/>
        <w:ind w:left="638" w:leftChars="304"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3237.08万元，其中：人员经费2658.17万元，主要包括：基本工资、津贴补贴、奖金、伙食补助费、绩效工资、机关事业单位基本养老保险缴费、职业年金缴费、其他社会保障缴费、其他工资福利支出、离休费、退休费、抚恤金、生活补助、医疗费、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578.92万元，主要包括：办公费、印刷费、咨询费、手续费、水费、电费、邮电费、取暖费、物业管理费、差旅费、维修（护）费、租赁费、会议费、培训费、公务接待费、劳务费、工会经费、福利费、公务用车运行维护费、其他交通费、其他商品和服务支出、办公设备购置、专用设备购置、信息网络及软件购置更新、其他资本性支出等。</w:t>
      </w:r>
    </w:p>
    <w:p>
      <w:pPr>
        <w:spacing w:line="600" w:lineRule="exact"/>
        <w:ind w:firstLine="1276" w:firstLineChars="399"/>
        <w:outlineLvl w:val="1"/>
        <w:rPr>
          <w:rStyle w:val="26"/>
          <w:rFonts w:ascii="黑体" w:hAnsi="黑体" w:eastAsia="黑体"/>
          <w:b w:val="0"/>
        </w:rPr>
      </w:pPr>
      <w:bookmarkStart w:id="37" w:name="_Toc15377215"/>
      <w:bookmarkStart w:id="38"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7"/>
      <w:bookmarkEnd w:id="38"/>
    </w:p>
    <w:p>
      <w:pPr>
        <w:spacing w:line="600" w:lineRule="exact"/>
        <w:ind w:left="638" w:leftChars="304" w:firstLine="639" w:firstLineChars="199"/>
        <w:outlineLvl w:val="2"/>
        <w:rPr>
          <w:rFonts w:ascii="仿宋" w:hAnsi="仿宋" w:eastAsia="仿宋"/>
          <w:b/>
          <w:color w:val="000000"/>
          <w:sz w:val="32"/>
          <w:szCs w:val="32"/>
        </w:rPr>
      </w:pPr>
      <w:bookmarkStart w:id="39" w:name="_Toc15377216"/>
      <w:r>
        <w:rPr>
          <w:rFonts w:hint="eastAsia" w:ascii="仿宋" w:hAnsi="仿宋" w:eastAsia="仿宋"/>
          <w:b/>
          <w:color w:val="000000"/>
          <w:sz w:val="32"/>
          <w:szCs w:val="32"/>
        </w:rPr>
        <w:t>（一）“三公”经费财政拨款支出决算总体情况说明</w:t>
      </w:r>
      <w:bookmarkEnd w:id="39"/>
    </w:p>
    <w:p>
      <w:pPr>
        <w:spacing w:line="600" w:lineRule="exact"/>
        <w:ind w:left="638" w:leftChars="304" w:firstLine="640" w:firstLineChars="200"/>
        <w:rPr>
          <w:rFonts w:ascii="仿宋" w:hAnsi="仿宋" w:eastAsia="仿宋"/>
          <w:b/>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8年“三公”经费财政拨款支出决算为154.59万元，完成预算97.77</w:t>
      </w:r>
      <w:r>
        <w:rPr>
          <w:rFonts w:ascii="仿宋" w:hAnsi="仿宋" w:eastAsia="仿宋"/>
          <w:color w:val="000000"/>
          <w:sz w:val="32"/>
          <w:szCs w:val="32"/>
        </w:rPr>
        <w:t>%</w:t>
      </w:r>
      <w:r>
        <w:rPr>
          <w:rFonts w:hint="eastAsia" w:ascii="仿宋" w:hAnsi="仿宋" w:eastAsia="仿宋"/>
          <w:color w:val="000000"/>
          <w:sz w:val="32"/>
          <w:szCs w:val="32"/>
        </w:rPr>
        <w:t>。决算数与预算数持平的主要原因是加强了对“三公经费”支出的管理。</w:t>
      </w:r>
    </w:p>
    <w:p>
      <w:pPr>
        <w:spacing w:line="600" w:lineRule="exact"/>
        <w:ind w:left="638" w:leftChars="304" w:firstLine="639" w:firstLineChars="199"/>
        <w:outlineLvl w:val="2"/>
        <w:rPr>
          <w:rFonts w:ascii="仿宋" w:hAnsi="仿宋" w:eastAsia="仿宋"/>
          <w:b/>
          <w:color w:val="000000"/>
          <w:sz w:val="32"/>
          <w:szCs w:val="32"/>
        </w:rPr>
      </w:pPr>
      <w:bookmarkStart w:id="40" w:name="_Toc15377217"/>
      <w:r>
        <w:rPr>
          <w:rFonts w:hint="eastAsia" w:ascii="仿宋" w:hAnsi="仿宋" w:eastAsia="仿宋"/>
          <w:b/>
          <w:color w:val="000000"/>
          <w:sz w:val="32"/>
          <w:szCs w:val="32"/>
        </w:rPr>
        <w:t>（二）“三公”经费财政拨款支出决算具体情况说明</w:t>
      </w:r>
      <w:bookmarkEnd w:id="40"/>
    </w:p>
    <w:p>
      <w:pPr>
        <w:spacing w:line="600" w:lineRule="exact"/>
        <w:ind w:left="638" w:leftChars="304"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；公务用车购置及运行维护费支出决算152.63万元，占98.73</w:t>
      </w:r>
      <w:r>
        <w:rPr>
          <w:rFonts w:ascii="仿宋" w:hAnsi="仿宋" w:eastAsia="仿宋"/>
          <w:color w:val="000000"/>
          <w:sz w:val="32"/>
          <w:szCs w:val="32"/>
        </w:rPr>
        <w:t>%</w:t>
      </w:r>
      <w:r>
        <w:rPr>
          <w:rFonts w:hint="eastAsia" w:ascii="仿宋" w:hAnsi="仿宋" w:eastAsia="仿宋"/>
          <w:color w:val="000000"/>
          <w:sz w:val="32"/>
          <w:szCs w:val="32"/>
        </w:rPr>
        <w:t>；公务接待费支出决算1.96万元，占1.27</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left="638" w:leftChars="304"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因公出国（境）经费支出0万元。全年安排因公出国（境）团组0次，出国（境）0人。2017年因公出国（境）经费支出0万元。</w:t>
      </w:r>
    </w:p>
    <w:p>
      <w:pPr>
        <w:spacing w:line="600" w:lineRule="exact"/>
        <w:ind w:left="638" w:leftChars="304"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公务用车购置及运行维护费支出152.63万元,完成预算99.81</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。公务用车购置及运行维护费支出决算比</w:t>
      </w:r>
      <w:r>
        <w:rPr>
          <w:rFonts w:ascii="仿宋" w:hAnsi="仿宋" w:eastAsia="仿宋"/>
          <w:color w:val="000000"/>
          <w:sz w:val="32"/>
          <w:szCs w:val="32"/>
        </w:rPr>
        <w:t>201</w:t>
      </w:r>
      <w:r>
        <w:rPr>
          <w:rFonts w:hint="eastAsia" w:ascii="仿宋" w:hAnsi="仿宋" w:eastAsia="仿宋"/>
          <w:color w:val="000000"/>
          <w:sz w:val="32"/>
          <w:szCs w:val="32"/>
        </w:rPr>
        <w:t>7年减少51.22万元，下降25.13</w:t>
      </w:r>
      <w:r>
        <w:rPr>
          <w:rFonts w:ascii="仿宋" w:hAnsi="仿宋" w:eastAsia="仿宋"/>
          <w:color w:val="000000"/>
          <w:sz w:val="32"/>
          <w:szCs w:val="32"/>
        </w:rPr>
        <w:t>%</w:t>
      </w:r>
      <w:r>
        <w:rPr>
          <w:rFonts w:hint="eastAsia" w:ascii="仿宋" w:hAnsi="仿宋" w:eastAsia="仿宋"/>
          <w:color w:val="000000"/>
          <w:sz w:val="32"/>
          <w:szCs w:val="32"/>
        </w:rPr>
        <w:t>。主要原因是反贪局、反渎局转隶车辆划转4台。</w:t>
      </w:r>
    </w:p>
    <w:p>
      <w:pPr>
        <w:spacing w:line="600" w:lineRule="exact"/>
        <w:ind w:left="638" w:leftChars="304" w:firstLine="643" w:firstLineChars="200"/>
        <w:rPr>
          <w:rFonts w:ascii="仿宋" w:hAnsi="仿宋" w:eastAsia="仿宋"/>
          <w:color w:val="000000"/>
          <w:sz w:val="32"/>
          <w:szCs w:val="32"/>
        </w:rPr>
      </w:pPr>
      <w:r>
        <w:rPr>
          <w:rFonts w:hint="eastAsia" w:ascii="仿宋" w:hAnsi="仿宋" w:eastAsia="仿宋"/>
          <w:b/>
          <w:color w:val="000000"/>
          <w:sz w:val="32"/>
          <w:szCs w:val="32"/>
        </w:rPr>
        <w:t>其中：</w:t>
      </w:r>
      <w:r>
        <w:rPr>
          <w:rFonts w:hint="eastAsia" w:ascii="仿宋" w:hAnsi="仿宋" w:eastAsia="仿宋"/>
          <w:color w:val="000000"/>
          <w:sz w:val="32"/>
          <w:szCs w:val="32"/>
        </w:rPr>
        <w:t>公务用车购置支出35.92万元。全年按规定更新购置公务用车2辆，其中：轿车2辆、金额35.92万元, 越野车0辆、金额0万元，载客汽车0辆、金额0万元，主要用于办案办公所需。截至</w:t>
      </w:r>
      <w:r>
        <w:rPr>
          <w:rFonts w:ascii="仿宋" w:hAnsi="仿宋" w:eastAsia="仿宋"/>
          <w:color w:val="000000"/>
          <w:sz w:val="32"/>
          <w:szCs w:val="32"/>
        </w:rPr>
        <w:t>201</w:t>
      </w:r>
      <w:r>
        <w:rPr>
          <w:rFonts w:hint="eastAsia" w:ascii="仿宋" w:hAnsi="仿宋" w:eastAsia="仿宋"/>
          <w:color w:val="000000"/>
          <w:sz w:val="32"/>
          <w:szCs w:val="32"/>
        </w:rPr>
        <w:t>8年</w:t>
      </w:r>
      <w:r>
        <w:rPr>
          <w:rFonts w:ascii="仿宋" w:hAnsi="仿宋" w:eastAsia="仿宋"/>
          <w:color w:val="000000"/>
          <w:sz w:val="32"/>
          <w:szCs w:val="32"/>
        </w:rPr>
        <w:t>12</w:t>
      </w:r>
      <w:r>
        <w:rPr>
          <w:rFonts w:hint="eastAsia" w:ascii="仿宋" w:hAnsi="仿宋" w:eastAsia="仿宋"/>
          <w:color w:val="000000"/>
          <w:sz w:val="32"/>
          <w:szCs w:val="32"/>
        </w:rPr>
        <w:t>月底，单位共有执法执勤用车19辆，其中：轿车17辆、越野车1辆、载客汽车1辆。</w:t>
      </w:r>
    </w:p>
    <w:p>
      <w:pPr>
        <w:spacing w:line="600" w:lineRule="exact"/>
        <w:ind w:left="638" w:leftChars="304" w:firstLine="640" w:firstLineChars="200"/>
        <w:rPr>
          <w:rFonts w:ascii="仿宋_GB2312" w:eastAsia="仿宋_GB2312"/>
          <w:color w:val="000000"/>
          <w:sz w:val="32"/>
          <w:szCs w:val="32"/>
        </w:rPr>
      </w:pPr>
      <w:r>
        <w:rPr>
          <w:rFonts w:hint="eastAsia" w:ascii="仿宋" w:hAnsi="仿宋" w:eastAsia="仿宋"/>
          <w:color w:val="000000"/>
          <w:sz w:val="32"/>
          <w:szCs w:val="32"/>
        </w:rPr>
        <w:t>公务用车运行维护费支出116.71万元。主要用于办案（跨省市地区）办公、精准扶贫工作等所需的车辆燃料费、维修费、过路过桥费、保险费等支出。</w:t>
      </w:r>
    </w:p>
    <w:p>
      <w:pPr>
        <w:spacing w:line="600" w:lineRule="exact"/>
        <w:ind w:left="638" w:leftChars="304"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公务接待费支出1.96万元，完成预算37.69</w:t>
      </w:r>
      <w:r>
        <w:rPr>
          <w:rFonts w:ascii="仿宋" w:hAnsi="仿宋" w:eastAsia="仿宋"/>
          <w:color w:val="000000"/>
          <w:sz w:val="32"/>
          <w:szCs w:val="32"/>
        </w:rPr>
        <w:t>%</w:t>
      </w:r>
      <w:r>
        <w:rPr>
          <w:rFonts w:hint="eastAsia" w:ascii="仿宋" w:hAnsi="仿宋" w:eastAsia="仿宋"/>
          <w:color w:val="000000"/>
          <w:sz w:val="32"/>
          <w:szCs w:val="32"/>
        </w:rPr>
        <w:t>。公务接待费支出决算比</w:t>
      </w:r>
      <w:r>
        <w:rPr>
          <w:rFonts w:ascii="仿宋" w:hAnsi="仿宋" w:eastAsia="仿宋"/>
          <w:color w:val="000000"/>
          <w:sz w:val="32"/>
          <w:szCs w:val="32"/>
        </w:rPr>
        <w:t>201</w:t>
      </w:r>
      <w:r>
        <w:rPr>
          <w:rFonts w:hint="eastAsia" w:ascii="仿宋" w:hAnsi="仿宋" w:eastAsia="仿宋"/>
          <w:color w:val="000000"/>
          <w:sz w:val="32"/>
          <w:szCs w:val="32"/>
        </w:rPr>
        <w:t>7年减少4.56万元，下降232.65</w:t>
      </w:r>
      <w:r>
        <w:rPr>
          <w:rFonts w:ascii="仿宋" w:hAnsi="仿宋" w:eastAsia="仿宋"/>
          <w:color w:val="000000"/>
          <w:sz w:val="32"/>
          <w:szCs w:val="32"/>
        </w:rPr>
        <w:t>%</w:t>
      </w:r>
      <w:r>
        <w:rPr>
          <w:rFonts w:hint="eastAsia" w:ascii="仿宋" w:hAnsi="仿宋" w:eastAsia="仿宋"/>
          <w:color w:val="000000"/>
          <w:sz w:val="32"/>
          <w:szCs w:val="32"/>
        </w:rPr>
        <w:t>。主要原因是响应厉行节约的号召。主要用于执行公务、接待上级机关检查、指导工作和其他地、市、州院来我院考察学习所需的交通费、住宿费、用餐费等。国内公务接待65批次，245人次（不包括陪同人员），共计支出1.96万元。其中：</w:t>
      </w:r>
    </w:p>
    <w:p>
      <w:pPr>
        <w:spacing w:line="600" w:lineRule="exact"/>
        <w:ind w:left="638" w:leftChars="304" w:firstLine="640" w:firstLineChars="200"/>
        <w:rPr>
          <w:rFonts w:ascii="仿宋" w:hAnsi="仿宋" w:eastAsia="仿宋"/>
          <w:color w:val="000000"/>
          <w:sz w:val="32"/>
          <w:szCs w:val="32"/>
        </w:rPr>
      </w:pPr>
      <w:r>
        <w:rPr>
          <w:rFonts w:hint="eastAsia" w:ascii="仿宋" w:hAnsi="仿宋" w:eastAsia="仿宋"/>
          <w:color w:val="000000"/>
          <w:sz w:val="32"/>
          <w:szCs w:val="32"/>
        </w:rPr>
        <w:t>外事接待支出0万元，外事接待0批次，0人，共计支出0万元。</w:t>
      </w:r>
    </w:p>
    <w:p>
      <w:pPr>
        <w:spacing w:line="600" w:lineRule="exact"/>
        <w:ind w:left="638" w:leftChars="304" w:firstLine="640" w:firstLineChars="200"/>
        <w:rPr>
          <w:rFonts w:ascii="仿宋_GB2312" w:eastAsia="仿宋_GB2312"/>
          <w:color w:val="000000"/>
          <w:sz w:val="32"/>
          <w:szCs w:val="32"/>
        </w:rPr>
      </w:pPr>
      <w:r>
        <w:rPr>
          <w:rFonts w:hint="eastAsia" w:ascii="仿宋" w:hAnsi="仿宋" w:eastAsia="仿宋"/>
          <w:color w:val="000000"/>
          <w:sz w:val="32"/>
          <w:szCs w:val="32"/>
        </w:rPr>
        <w:t>其他国内公务接待支出1.96万元，主要用于接待上级机关检查、指导工作和其他地、市、州院到我院考察学习所需的交通费、住宿费、用餐费等</w:t>
      </w:r>
      <w:r>
        <w:rPr>
          <w:rFonts w:hint="eastAsia" w:ascii="仿宋_GB2312" w:eastAsia="仿宋_GB2312"/>
          <w:color w:val="000000"/>
          <w:sz w:val="32"/>
          <w:szCs w:val="32"/>
        </w:rPr>
        <w:t>。</w:t>
      </w:r>
    </w:p>
    <w:p>
      <w:pPr>
        <w:spacing w:line="600" w:lineRule="exact"/>
        <w:ind w:firstLine="1280" w:firstLineChars="400"/>
        <w:outlineLvl w:val="1"/>
        <w:rPr>
          <w:rStyle w:val="26"/>
          <w:rFonts w:ascii="黑体" w:hAnsi="黑体" w:eastAsia="黑体"/>
        </w:rPr>
      </w:pPr>
      <w:bookmarkStart w:id="41" w:name="_Toc15377218"/>
      <w:bookmarkStart w:id="42"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1"/>
      <w:bookmarkEnd w:id="42"/>
    </w:p>
    <w:p>
      <w:pPr>
        <w:spacing w:line="600" w:lineRule="exact"/>
        <w:ind w:firstLine="1280" w:firstLineChars="4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8年政府性基金预算拨款支出1006.10万元。</w:t>
      </w:r>
    </w:p>
    <w:p>
      <w:pPr>
        <w:spacing w:line="600" w:lineRule="exact"/>
        <w:ind w:firstLine="1280" w:firstLineChars="400"/>
        <w:outlineLvl w:val="1"/>
        <w:rPr>
          <w:rStyle w:val="26"/>
          <w:rFonts w:ascii="黑体" w:hAnsi="黑体" w:eastAsia="黑体"/>
          <w:b w:val="0"/>
        </w:rPr>
      </w:pPr>
      <w:bookmarkStart w:id="43" w:name="_Toc15396611"/>
      <w:bookmarkStart w:id="44" w:name="_Toc15377219"/>
      <w:r>
        <w:rPr>
          <w:rStyle w:val="26"/>
          <w:rFonts w:hint="eastAsia" w:ascii="黑体" w:hAnsi="黑体" w:eastAsia="黑体"/>
          <w:b w:val="0"/>
        </w:rPr>
        <w:t>九、国有资本经营预算支出决算情况说明</w:t>
      </w:r>
      <w:bookmarkEnd w:id="43"/>
      <w:bookmarkEnd w:id="44"/>
    </w:p>
    <w:p>
      <w:pPr>
        <w:spacing w:line="600" w:lineRule="exact"/>
        <w:ind w:firstLine="1280" w:firstLineChars="4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8年国有资本经营预算拨款支出0万元。</w:t>
      </w:r>
    </w:p>
    <w:p>
      <w:pPr>
        <w:pStyle w:val="24"/>
        <w:numPr>
          <w:ilvl w:val="0"/>
          <w:numId w:val="2"/>
        </w:numPr>
        <w:spacing w:line="600" w:lineRule="exact"/>
        <w:ind w:firstLineChars="0"/>
        <w:rPr>
          <w:rStyle w:val="26"/>
          <w:rFonts w:ascii="黑体" w:hAnsi="黑体" w:eastAsia="黑体"/>
          <w:b w:val="0"/>
        </w:rPr>
      </w:pPr>
      <w:r>
        <w:rPr>
          <w:rStyle w:val="26"/>
          <w:rFonts w:hint="eastAsia" w:ascii="黑体" w:hAnsi="黑体" w:eastAsia="黑体"/>
          <w:b w:val="0"/>
        </w:rPr>
        <w:t>预算绩效情况说明</w:t>
      </w:r>
    </w:p>
    <w:p>
      <w:pPr>
        <w:spacing w:line="600" w:lineRule="exact"/>
        <w:ind w:firstLine="1269" w:firstLineChars="395"/>
        <w:rPr>
          <w:rFonts w:ascii="仿宋" w:hAnsi="仿宋" w:eastAsia="仿宋" w:cs="楷体_GB2312"/>
          <w:b/>
          <w:bCs/>
          <w:sz w:val="32"/>
          <w:szCs w:val="32"/>
        </w:rPr>
      </w:pPr>
      <w:r>
        <w:rPr>
          <w:rFonts w:hint="eastAsia" w:ascii="仿宋" w:hAnsi="仿宋" w:eastAsia="仿宋" w:cs="楷体_GB2312"/>
          <w:b/>
          <w:bCs/>
          <w:sz w:val="32"/>
          <w:szCs w:val="32"/>
        </w:rPr>
        <w:t>（一）预算绩效管理工作开展情况。</w:t>
      </w:r>
    </w:p>
    <w:p>
      <w:pPr>
        <w:ind w:left="638" w:leftChars="304" w:firstLine="640" w:firstLineChars="200"/>
        <w:rPr>
          <w:rFonts w:ascii="仿宋" w:hAnsi="仿宋" w:eastAsia="仿宋"/>
          <w:color w:val="000000"/>
          <w:sz w:val="32"/>
          <w:szCs w:val="32"/>
        </w:rPr>
      </w:pPr>
      <w:r>
        <w:rPr>
          <w:rFonts w:hint="eastAsia" w:ascii="仿宋" w:hAnsi="仿宋" w:eastAsia="仿宋"/>
          <w:color w:val="000000"/>
          <w:sz w:val="32"/>
          <w:szCs w:val="32"/>
        </w:rPr>
        <w:t>根据预算绩效管理要求，本单位在年初预算编制阶段，未组织对项目开展预算事前绩效评估，对6个项目编制了绩效目标，预算执行过程中，选取5个项目开展绩效监控，年终执行完毕后，对5个项目开展了绩效目标完成情况梳理填报。</w:t>
      </w:r>
    </w:p>
    <w:p>
      <w:pPr>
        <w:spacing w:line="600" w:lineRule="exact"/>
        <w:ind w:left="638" w:leftChars="304" w:firstLine="640" w:firstLineChars="200"/>
        <w:rPr>
          <w:rFonts w:ascii="仿宋" w:hAnsi="仿宋" w:eastAsia="仿宋"/>
          <w:color w:val="000000"/>
          <w:sz w:val="32"/>
          <w:szCs w:val="32"/>
        </w:rPr>
      </w:pPr>
      <w:r>
        <w:rPr>
          <w:rFonts w:hint="eastAsia" w:ascii="仿宋" w:hAnsi="仿宋" w:eastAsia="仿宋"/>
          <w:color w:val="000000"/>
          <w:sz w:val="32"/>
          <w:szCs w:val="32"/>
        </w:rPr>
        <w:t>本部门按要求对2018年部门整体支出开展绩效自评，从评价情况来看，整体完成情况较好。本部门还自行组织了5个项目绩效评价，从评价情况来看达到绩效目标，收效良好。</w:t>
      </w:r>
    </w:p>
    <w:p>
      <w:pPr>
        <w:spacing w:line="600" w:lineRule="exact"/>
        <w:ind w:firstLine="1285" w:firstLineChars="400"/>
        <w:rPr>
          <w:rFonts w:ascii="仿宋" w:hAnsi="仿宋" w:eastAsia="仿宋"/>
          <w:b/>
          <w:sz w:val="32"/>
          <w:szCs w:val="32"/>
        </w:rPr>
      </w:pPr>
      <w:r>
        <w:rPr>
          <w:rFonts w:hint="eastAsia" w:ascii="仿宋" w:hAnsi="仿宋" w:eastAsia="仿宋"/>
          <w:b/>
          <w:sz w:val="32"/>
          <w:szCs w:val="32"/>
        </w:rPr>
        <w:t>（二）项目绩效目标完成情况。</w:t>
      </w:r>
    </w:p>
    <w:p>
      <w:pPr>
        <w:tabs>
          <w:tab w:val="left" w:pos="312"/>
        </w:tabs>
        <w:spacing w:line="600" w:lineRule="exact"/>
        <w:ind w:left="638" w:leftChars="304" w:firstLine="624" w:firstLineChars="195"/>
        <w:jc w:val="left"/>
        <w:rPr>
          <w:rFonts w:ascii="仿宋" w:hAnsi="仿宋" w:eastAsia="仿宋"/>
          <w:color w:val="000000"/>
          <w:sz w:val="32"/>
          <w:szCs w:val="32"/>
        </w:rPr>
      </w:pPr>
      <w:r>
        <w:rPr>
          <w:rFonts w:hint="eastAsia" w:ascii="仿宋" w:hAnsi="仿宋" w:eastAsia="仿宋"/>
          <w:color w:val="000000"/>
          <w:sz w:val="32"/>
          <w:szCs w:val="32"/>
        </w:rPr>
        <w:t>本部门在2018年度部门决算中反映“人民监督员</w:t>
      </w:r>
      <w:r>
        <w:rPr>
          <w:rFonts w:ascii="仿宋" w:hAnsi="仿宋" w:eastAsia="仿宋"/>
          <w:color w:val="000000"/>
          <w:sz w:val="32"/>
          <w:szCs w:val="32"/>
        </w:rPr>
        <w:t>”</w:t>
      </w:r>
      <w:r>
        <w:rPr>
          <w:rFonts w:hint="eastAsia" w:ascii="仿宋" w:hAnsi="仿宋" w:eastAsia="仿宋"/>
          <w:color w:val="000000"/>
          <w:sz w:val="32"/>
          <w:szCs w:val="32"/>
        </w:rPr>
        <w:t>“刑事司法救助”“援藏援彝”“综合办公及技侦用房建设征地拆迁补偿费和耕地开垦费”</w:t>
      </w:r>
      <w:bookmarkStart w:id="71" w:name="_GoBack"/>
      <w:bookmarkEnd w:id="71"/>
      <w:r>
        <w:rPr>
          <w:rFonts w:hint="eastAsia" w:ascii="仿宋" w:hAnsi="仿宋" w:eastAsia="仿宋"/>
          <w:color w:val="000000"/>
          <w:sz w:val="32"/>
          <w:szCs w:val="32"/>
        </w:rPr>
        <w:t>“公诉和审判监督”5个项目绩效目标实际完成情况。</w:t>
      </w:r>
    </w:p>
    <w:p>
      <w:pPr>
        <w:pStyle w:val="24"/>
        <w:numPr>
          <w:ilvl w:val="0"/>
          <w:numId w:val="3"/>
        </w:numPr>
        <w:spacing w:line="600" w:lineRule="exact"/>
        <w:ind w:firstLineChars="0"/>
        <w:rPr>
          <w:rFonts w:ascii="仿宋" w:hAnsi="仿宋" w:eastAsia="仿宋"/>
          <w:color w:val="000000"/>
          <w:sz w:val="32"/>
          <w:szCs w:val="32"/>
        </w:rPr>
      </w:pPr>
      <w:r>
        <w:rPr>
          <w:rFonts w:hint="eastAsia" w:ascii="仿宋" w:hAnsi="仿宋" w:eastAsia="仿宋"/>
          <w:color w:val="000000"/>
          <w:sz w:val="32"/>
          <w:szCs w:val="32"/>
        </w:rPr>
        <w:t>人民监督员项目绩效目标完成情况综述。</w:t>
      </w:r>
    </w:p>
    <w:p>
      <w:pPr>
        <w:spacing w:line="600" w:lineRule="exact"/>
        <w:ind w:left="638" w:leftChars="304" w:firstLine="640" w:firstLineChars="200"/>
        <w:rPr>
          <w:rFonts w:ascii="仿宋" w:hAnsi="仿宋" w:eastAsia="仿宋"/>
          <w:color w:val="000000"/>
          <w:sz w:val="32"/>
          <w:szCs w:val="32"/>
        </w:rPr>
      </w:pPr>
      <w:r>
        <w:rPr>
          <w:rFonts w:hint="eastAsia" w:ascii="仿宋" w:hAnsi="仿宋" w:eastAsia="仿宋"/>
          <w:color w:val="000000"/>
          <w:sz w:val="32"/>
          <w:szCs w:val="32"/>
        </w:rPr>
        <w:t>项目全年预算数10万元，执行数为10万元，完成预算的100%。通过项目实施，保障了人民监督员对检察机关拟作撤案、不起诉处理以及在办案中发生的超期羁押、违法搜查等情况进行监督并提出监督意见。发现的主要问题：人民监督员意在防止和纠正检察机关执法不公的问题，随着检察业务的复杂化，人民监督员参与度也会越来越高，而相应的保障措施还未到位。下一步改进措施：继续做好专款专用，保障开支需求。</w:t>
      </w:r>
    </w:p>
    <w:p>
      <w:pPr>
        <w:pStyle w:val="24"/>
        <w:numPr>
          <w:ilvl w:val="0"/>
          <w:numId w:val="3"/>
        </w:numPr>
        <w:tabs>
          <w:tab w:val="left" w:pos="312"/>
        </w:tabs>
        <w:spacing w:line="600" w:lineRule="exact"/>
        <w:ind w:firstLineChars="0"/>
        <w:rPr>
          <w:rFonts w:ascii="仿宋" w:hAnsi="仿宋" w:eastAsia="仿宋"/>
          <w:color w:val="000000"/>
          <w:sz w:val="32"/>
          <w:szCs w:val="32"/>
        </w:rPr>
      </w:pPr>
      <w:r>
        <w:rPr>
          <w:rFonts w:hint="eastAsia" w:ascii="仿宋" w:hAnsi="仿宋" w:eastAsia="仿宋"/>
          <w:color w:val="000000"/>
          <w:sz w:val="32"/>
          <w:szCs w:val="32"/>
        </w:rPr>
        <w:t>刑事司法救助项目绩效目标完成情况综述。</w:t>
      </w:r>
    </w:p>
    <w:p>
      <w:pPr>
        <w:tabs>
          <w:tab w:val="left" w:pos="312"/>
        </w:tabs>
        <w:spacing w:line="600" w:lineRule="exact"/>
        <w:ind w:left="638" w:leftChars="304" w:firstLine="640" w:firstLineChars="200"/>
        <w:rPr>
          <w:rFonts w:ascii="仿宋" w:hAnsi="仿宋" w:eastAsia="仿宋"/>
          <w:color w:val="000000"/>
          <w:sz w:val="32"/>
          <w:szCs w:val="32"/>
        </w:rPr>
      </w:pPr>
      <w:r>
        <w:rPr>
          <w:rFonts w:hint="eastAsia" w:ascii="仿宋" w:hAnsi="仿宋" w:eastAsia="仿宋"/>
          <w:color w:val="000000"/>
          <w:sz w:val="32"/>
          <w:szCs w:val="32"/>
        </w:rPr>
        <w:t>项目全年预算数15万元，执行数为15万元，完成预算的100%。通过项目实施，顺应了人民群众对司法公正、权益保障的新期待，顺应了加强权利救济的现代法治发展趋势，既彰显党和政府的民生关怀，又有利于进一步实现社会公平正义，促进社会和谐稳定，维护司法的公信和权威。发现的主要问题：救助及时性有待提高。下一步改进措施：对符合救助条件的当事人，根据当事人申请或者依据职权及时提供救助，确保及早化解社会矛盾；开展国家司法救助工作，应当准确把握救助的范围，严格把握救助标准和条件，兼顾当事人实际情况和同类案件救助数额，做到公平、公正、合理救助，防止因救助不公引发新的矛盾。</w:t>
      </w:r>
    </w:p>
    <w:p>
      <w:pPr>
        <w:pStyle w:val="24"/>
        <w:numPr>
          <w:ilvl w:val="0"/>
          <w:numId w:val="3"/>
        </w:numPr>
        <w:spacing w:line="600" w:lineRule="exact"/>
        <w:ind w:firstLineChars="0"/>
        <w:rPr>
          <w:rFonts w:ascii="仿宋" w:hAnsi="仿宋" w:eastAsia="仿宋"/>
          <w:color w:val="000000"/>
          <w:sz w:val="32"/>
          <w:szCs w:val="32"/>
        </w:rPr>
      </w:pPr>
      <w:r>
        <w:rPr>
          <w:rFonts w:hint="eastAsia" w:ascii="仿宋" w:hAnsi="仿宋" w:eastAsia="仿宋"/>
          <w:color w:val="000000"/>
          <w:sz w:val="32"/>
          <w:szCs w:val="32"/>
        </w:rPr>
        <w:t>援藏援彝项目绩效目标完成情况综述。</w:t>
      </w:r>
    </w:p>
    <w:p>
      <w:pPr>
        <w:pStyle w:val="24"/>
        <w:spacing w:line="600" w:lineRule="exact"/>
        <w:ind w:left="638" w:leftChars="304" w:firstLine="640"/>
        <w:rPr>
          <w:rFonts w:ascii="仿宋" w:hAnsi="仿宋" w:eastAsia="仿宋"/>
          <w:color w:val="000000"/>
          <w:sz w:val="32"/>
          <w:szCs w:val="32"/>
        </w:rPr>
      </w:pPr>
      <w:r>
        <w:rPr>
          <w:rFonts w:hint="eastAsia" w:ascii="仿宋" w:hAnsi="仿宋" w:eastAsia="仿宋"/>
          <w:color w:val="000000"/>
          <w:sz w:val="32"/>
          <w:szCs w:val="32"/>
        </w:rPr>
        <w:t>项目全年预算数10万元，执行数为10万元，完成预算的100%。通过项目实施，支持了对援藏援彝的对口单位昭觉县检察院的工作开展，发现的主要问题：无。下一步改进措施：继续做好专款专用，及时给予必要的支援。</w:t>
      </w:r>
    </w:p>
    <w:p>
      <w:pPr>
        <w:ind w:left="735" w:leftChars="350" w:firstLine="640" w:firstLineChars="200"/>
        <w:rPr>
          <w:rFonts w:ascii="仿宋" w:hAnsi="仿宋" w:eastAsia="仿宋"/>
          <w:color w:val="000000"/>
          <w:sz w:val="32"/>
          <w:szCs w:val="32"/>
        </w:rPr>
      </w:pPr>
      <w:r>
        <w:rPr>
          <w:rFonts w:hint="eastAsia" w:ascii="仿宋" w:hAnsi="仿宋" w:eastAsia="仿宋"/>
          <w:color w:val="000000"/>
          <w:sz w:val="32"/>
          <w:szCs w:val="32"/>
        </w:rPr>
        <w:t>4.综合办公及技侦用房建设征地拆迁补偿费和土地开垦费项目绩效目标完成情况综述。</w:t>
      </w:r>
    </w:p>
    <w:p>
      <w:pPr>
        <w:spacing w:line="600" w:lineRule="exact"/>
        <w:ind w:left="638" w:leftChars="304" w:firstLine="640" w:firstLineChars="200"/>
        <w:rPr>
          <w:rFonts w:ascii="仿宋" w:hAnsi="仿宋" w:eastAsia="仿宋"/>
          <w:color w:val="000000"/>
          <w:sz w:val="32"/>
          <w:szCs w:val="32"/>
        </w:rPr>
      </w:pPr>
      <w:r>
        <w:rPr>
          <w:rFonts w:hint="eastAsia" w:ascii="仿宋" w:hAnsi="仿宋" w:eastAsia="仿宋"/>
          <w:color w:val="000000"/>
          <w:sz w:val="32"/>
          <w:szCs w:val="32"/>
        </w:rPr>
        <w:t>项目全年预算数1006.10万元，执行数为1006.10万元，完成预算的100%。通过项目实施，保障土地附着物和青苗补偿费、安置补偿费以及发生的土地复垦费等及时拨付到位；发现的主要问题：无。下一步改进措施：继续做好专款专用，提高资金使用效率。</w:t>
      </w:r>
    </w:p>
    <w:p>
      <w:pPr>
        <w:tabs>
          <w:tab w:val="left" w:pos="312"/>
        </w:tabs>
        <w:spacing w:line="600" w:lineRule="exact"/>
        <w:ind w:left="1276"/>
        <w:rPr>
          <w:rFonts w:ascii="仿宋" w:hAnsi="仿宋" w:eastAsia="仿宋"/>
          <w:color w:val="000000"/>
          <w:sz w:val="32"/>
          <w:szCs w:val="32"/>
        </w:rPr>
      </w:pPr>
      <w:r>
        <w:rPr>
          <w:rFonts w:hint="eastAsia" w:ascii="仿宋" w:hAnsi="仿宋" w:eastAsia="仿宋"/>
          <w:color w:val="000000"/>
          <w:sz w:val="32"/>
          <w:szCs w:val="32"/>
        </w:rPr>
        <w:t>5.公诉和审判监督项目绩效目标完成情况综述。</w:t>
      </w:r>
    </w:p>
    <w:p>
      <w:pPr>
        <w:tabs>
          <w:tab w:val="left" w:pos="312"/>
        </w:tabs>
        <w:spacing w:line="600" w:lineRule="exact"/>
        <w:ind w:left="638" w:leftChars="304" w:firstLine="640" w:firstLineChars="200"/>
        <w:rPr>
          <w:rFonts w:ascii="仿宋" w:hAnsi="仿宋" w:eastAsia="仿宋"/>
          <w:color w:val="000000"/>
          <w:sz w:val="32"/>
          <w:szCs w:val="32"/>
        </w:rPr>
      </w:pPr>
      <w:r>
        <w:rPr>
          <w:rFonts w:hint="eastAsia" w:ascii="仿宋" w:hAnsi="仿宋" w:eastAsia="仿宋"/>
          <w:color w:val="000000"/>
          <w:sz w:val="32"/>
          <w:szCs w:val="32"/>
        </w:rPr>
        <w:t>项目全年预算数203.65万元，执行数为200万元，完成预算的98.21%。通过项目实施，促进了公诉和审判监督检察业务的开展，发现的主要问题：查办和预防职务犯罪类案件收尾工作完成，公诉等其他检察工作业务量逐日增大，随着公益诉讼、未成年检察的工作推进，经费开支较大。下一步改进措施：细化开支，最大限度压缩经费，同时争取更多的财政资金投入。</w:t>
      </w:r>
    </w:p>
    <w:p>
      <w:pPr>
        <w:tabs>
          <w:tab w:val="left" w:pos="312"/>
        </w:tabs>
        <w:spacing w:line="600" w:lineRule="exact"/>
        <w:rPr>
          <w:rFonts w:ascii="仿宋_GB2312" w:hAnsi="仿宋_GB2312" w:eastAsia="仿宋_GB2312" w:cs="仿宋_GB2312"/>
          <w:sz w:val="32"/>
          <w:szCs w:val="32"/>
        </w:rPr>
      </w:pPr>
    </w:p>
    <w:p>
      <w:pPr>
        <w:tabs>
          <w:tab w:val="left" w:pos="312"/>
        </w:tabs>
        <w:spacing w:line="600" w:lineRule="exact"/>
        <w:rPr>
          <w:rFonts w:ascii="仿宋_GB2312" w:hAnsi="仿宋_GB2312" w:eastAsia="仿宋_GB2312" w:cs="仿宋_GB2312"/>
          <w:sz w:val="32"/>
          <w:szCs w:val="32"/>
        </w:rPr>
      </w:pPr>
    </w:p>
    <w:tbl>
      <w:tblPr>
        <w:tblStyle w:val="16"/>
        <w:tblpPr w:leftFromText="180" w:rightFromText="180" w:vertAnchor="text" w:horzAnchor="page" w:tblpXSpec="center" w:tblpY="423"/>
        <w:tblOverlap w:val="never"/>
        <w:tblW w:w="9044" w:type="dxa"/>
        <w:tblInd w:w="0" w:type="dxa"/>
        <w:tblLayout w:type="fixed"/>
        <w:tblCellMar>
          <w:top w:w="0" w:type="dxa"/>
          <w:left w:w="0" w:type="dxa"/>
          <w:bottom w:w="0" w:type="dxa"/>
          <w:right w:w="0" w:type="dxa"/>
        </w:tblCellMar>
      </w:tblPr>
      <w:tblGrid>
        <w:gridCol w:w="1009"/>
        <w:gridCol w:w="852"/>
        <w:gridCol w:w="733"/>
        <w:gridCol w:w="497"/>
        <w:gridCol w:w="1293"/>
        <w:gridCol w:w="246"/>
        <w:gridCol w:w="2102"/>
        <w:gridCol w:w="2312"/>
      </w:tblGrid>
      <w:tr>
        <w:tblPrEx>
          <w:tblLayout w:type="fixed"/>
          <w:tblCellMar>
            <w:top w:w="0" w:type="dxa"/>
            <w:left w:w="0" w:type="dxa"/>
            <w:bottom w:w="0" w:type="dxa"/>
            <w:right w:w="0" w:type="dxa"/>
          </w:tblCellMar>
        </w:tblPrEx>
        <w:trPr>
          <w:trHeight w:val="985" w:hRule="atLeast"/>
        </w:trPr>
        <w:tc>
          <w:tcPr>
            <w:tcW w:w="9044" w:type="dxa"/>
            <w:gridSpan w:val="8"/>
            <w:tcMar>
              <w:top w:w="15" w:type="dxa"/>
              <w:left w:w="15" w:type="dxa"/>
              <w:bottom w:w="0" w:type="dxa"/>
              <w:right w:w="15" w:type="dxa"/>
            </w:tcMar>
            <w:vAlign w:val="center"/>
          </w:tcPr>
          <w:p>
            <w:pPr>
              <w:pStyle w:val="24"/>
              <w:widowControl/>
              <w:spacing w:line="600" w:lineRule="exact"/>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63" w:hRule="atLeast"/>
        </w:trPr>
        <w:tc>
          <w:tcPr>
            <w:tcW w:w="25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项目名称</w:t>
            </w:r>
          </w:p>
        </w:tc>
        <w:tc>
          <w:tcPr>
            <w:tcW w:w="645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仿宋_GB2312" w:asciiTheme="minorEastAsia" w:hAnsiTheme="minorEastAsia" w:eastAsiaTheme="minorEastAsia"/>
                <w:sz w:val="24"/>
              </w:rPr>
              <w:t>人民监督员</w:t>
            </w:r>
          </w:p>
        </w:tc>
      </w:tr>
      <w:tr>
        <w:tblPrEx>
          <w:tblLayout w:type="fixed"/>
          <w:tblCellMar>
            <w:top w:w="0" w:type="dxa"/>
            <w:left w:w="0" w:type="dxa"/>
            <w:bottom w:w="0" w:type="dxa"/>
            <w:right w:w="0" w:type="dxa"/>
          </w:tblCellMar>
        </w:tblPrEx>
        <w:trPr>
          <w:trHeight w:val="263" w:hRule="atLeast"/>
        </w:trPr>
        <w:tc>
          <w:tcPr>
            <w:tcW w:w="25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预算单位</w:t>
            </w:r>
          </w:p>
        </w:tc>
        <w:tc>
          <w:tcPr>
            <w:tcW w:w="645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四川省广元市人民检察院</w:t>
            </w:r>
          </w:p>
        </w:tc>
      </w:tr>
      <w:tr>
        <w:tblPrEx>
          <w:tblLayout w:type="fixed"/>
          <w:tblCellMar>
            <w:top w:w="0" w:type="dxa"/>
            <w:left w:w="0" w:type="dxa"/>
            <w:bottom w:w="0" w:type="dxa"/>
            <w:right w:w="0" w:type="dxa"/>
          </w:tblCellMar>
        </w:tblPrEx>
        <w:trPr>
          <w:cantSplit/>
        </w:trPr>
        <w:tc>
          <w:tcPr>
            <w:tcW w:w="100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预算执行情况(万元)</w:t>
            </w:r>
          </w:p>
        </w:tc>
        <w:tc>
          <w:tcPr>
            <w:tcW w:w="15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4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预算数:</w:t>
            </w:r>
          </w:p>
        </w:tc>
        <w:tc>
          <w:tcPr>
            <w:tcW w:w="17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4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w:t>
            </w:r>
          </w:p>
        </w:tc>
        <w:tc>
          <w:tcPr>
            <w:tcW w:w="23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4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执行数:</w:t>
            </w:r>
          </w:p>
        </w:tc>
        <w:tc>
          <w:tcPr>
            <w:tcW w:w="23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4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w:t>
            </w:r>
          </w:p>
        </w:tc>
      </w:tr>
      <w:tr>
        <w:tblPrEx>
          <w:tblLayout w:type="fixed"/>
          <w:tblCellMar>
            <w:top w:w="0" w:type="dxa"/>
            <w:left w:w="0" w:type="dxa"/>
            <w:bottom w:w="0" w:type="dxa"/>
            <w:right w:w="0" w:type="dxa"/>
          </w:tblCellMar>
        </w:tblPrEx>
        <w:trPr>
          <w:cantSplit/>
          <w:trHeight w:val="724"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cs="宋体" w:asciiTheme="minorEastAsia" w:hAnsiTheme="minorEastAsia" w:eastAsiaTheme="minorEastAsia"/>
                <w:color w:val="000000"/>
                <w:sz w:val="24"/>
              </w:rPr>
            </w:pPr>
          </w:p>
        </w:tc>
        <w:tc>
          <w:tcPr>
            <w:tcW w:w="15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4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其中-财政拨款:</w:t>
            </w:r>
          </w:p>
        </w:tc>
        <w:tc>
          <w:tcPr>
            <w:tcW w:w="17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4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w:t>
            </w:r>
          </w:p>
        </w:tc>
        <w:tc>
          <w:tcPr>
            <w:tcW w:w="23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4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其中-财政拨款:</w:t>
            </w:r>
          </w:p>
        </w:tc>
        <w:tc>
          <w:tcPr>
            <w:tcW w:w="23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4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w:t>
            </w:r>
          </w:p>
        </w:tc>
      </w:tr>
      <w:tr>
        <w:tblPrEx>
          <w:tblLayout w:type="fixed"/>
          <w:tblCellMar>
            <w:top w:w="0" w:type="dxa"/>
            <w:left w:w="0" w:type="dxa"/>
            <w:bottom w:w="0" w:type="dxa"/>
            <w:right w:w="0" w:type="dxa"/>
          </w:tblCellMar>
        </w:tblPrEx>
        <w:trPr>
          <w:cantSplit/>
          <w:trHeight w:val="554"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cs="宋体" w:asciiTheme="minorEastAsia" w:hAnsiTheme="minorEastAsia" w:eastAsiaTheme="minorEastAsia"/>
                <w:color w:val="000000"/>
                <w:sz w:val="24"/>
              </w:rPr>
            </w:pPr>
          </w:p>
        </w:tc>
        <w:tc>
          <w:tcPr>
            <w:tcW w:w="15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4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其它资金:</w:t>
            </w:r>
          </w:p>
        </w:tc>
        <w:tc>
          <w:tcPr>
            <w:tcW w:w="17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4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0</w:t>
            </w:r>
          </w:p>
        </w:tc>
        <w:tc>
          <w:tcPr>
            <w:tcW w:w="23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4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其它资金:</w:t>
            </w:r>
          </w:p>
        </w:tc>
        <w:tc>
          <w:tcPr>
            <w:tcW w:w="23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40" w:lineRule="exact"/>
              <w:jc w:val="center"/>
              <w:rPr>
                <w:rFonts w:cs="宋体" w:asciiTheme="minorEastAsia" w:hAnsiTheme="minorEastAsia" w:eastAsiaTheme="minorEastAsia"/>
                <w:color w:val="000000"/>
                <w:sz w:val="24"/>
              </w:rPr>
            </w:pPr>
          </w:p>
        </w:tc>
      </w:tr>
      <w:tr>
        <w:tblPrEx>
          <w:tblLayout w:type="fixed"/>
          <w:tblCellMar>
            <w:top w:w="0" w:type="dxa"/>
            <w:left w:w="0" w:type="dxa"/>
            <w:bottom w:w="0" w:type="dxa"/>
            <w:right w:w="0" w:type="dxa"/>
          </w:tblCellMar>
        </w:tblPrEx>
        <w:trPr>
          <w:trHeight w:val="263" w:hRule="atLeast"/>
        </w:trPr>
        <w:tc>
          <w:tcPr>
            <w:tcW w:w="100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年度目标完成情况</w:t>
            </w:r>
          </w:p>
        </w:tc>
        <w:tc>
          <w:tcPr>
            <w:tcW w:w="3621"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预期目标</w:t>
            </w:r>
          </w:p>
        </w:tc>
        <w:tc>
          <w:tcPr>
            <w:tcW w:w="441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实际完成目标</w:t>
            </w:r>
          </w:p>
        </w:tc>
      </w:tr>
      <w:tr>
        <w:tblPrEx>
          <w:tblLayout w:type="fixed"/>
          <w:tblCellMar>
            <w:top w:w="0" w:type="dxa"/>
            <w:left w:w="0" w:type="dxa"/>
            <w:bottom w:w="0" w:type="dxa"/>
            <w:right w:w="0" w:type="dxa"/>
          </w:tblCellMar>
        </w:tblPrEx>
        <w:trPr>
          <w:trHeight w:val="1701"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cs="宋体" w:asciiTheme="minorEastAsia" w:hAnsiTheme="minorEastAsia" w:eastAsiaTheme="minorEastAsia"/>
                <w:color w:val="000000"/>
                <w:sz w:val="24"/>
              </w:rPr>
            </w:pPr>
          </w:p>
        </w:tc>
        <w:tc>
          <w:tcPr>
            <w:tcW w:w="3621"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人民监督员参与司法办案，监督检察机关执法公正。</w:t>
            </w:r>
          </w:p>
        </w:tc>
        <w:tc>
          <w:tcPr>
            <w:tcW w:w="441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人民监督员对我院办理案件时拟作撤案、不起诉决定时参与案件讨论，提出意见。并始终监督我院开展各项检察活动时的规范性、公正性。</w:t>
            </w:r>
          </w:p>
        </w:tc>
      </w:tr>
      <w:tr>
        <w:tblPrEx>
          <w:tblLayout w:type="fixed"/>
          <w:tblCellMar>
            <w:top w:w="0" w:type="dxa"/>
            <w:left w:w="0" w:type="dxa"/>
            <w:bottom w:w="0" w:type="dxa"/>
            <w:right w:w="0" w:type="dxa"/>
          </w:tblCellMar>
        </w:tblPrEx>
        <w:trPr>
          <w:trHeight w:val="992" w:hRule="atLeast"/>
        </w:trPr>
        <w:tc>
          <w:tcPr>
            <w:tcW w:w="100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绩效指标完成情况</w:t>
            </w:r>
          </w:p>
        </w:tc>
        <w:tc>
          <w:tcPr>
            <w:tcW w:w="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一级指标</w:t>
            </w:r>
          </w:p>
        </w:tc>
        <w:tc>
          <w:tcPr>
            <w:tcW w:w="12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二级指标</w:t>
            </w:r>
          </w:p>
        </w:tc>
        <w:tc>
          <w:tcPr>
            <w:tcW w:w="15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三级指标</w:t>
            </w:r>
          </w:p>
        </w:tc>
        <w:tc>
          <w:tcPr>
            <w:tcW w:w="21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预期指标值(包含数字及文字描述)</w:t>
            </w:r>
          </w:p>
        </w:tc>
        <w:tc>
          <w:tcPr>
            <w:tcW w:w="23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1078"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cs="宋体" w:asciiTheme="minorEastAsia" w:hAnsiTheme="minorEastAsia" w:eastAsiaTheme="minorEastAsia"/>
                <w:color w:val="000000"/>
                <w:sz w:val="24"/>
              </w:rPr>
            </w:pPr>
          </w:p>
        </w:tc>
        <w:tc>
          <w:tcPr>
            <w:tcW w:w="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项目完成指标</w:t>
            </w:r>
          </w:p>
        </w:tc>
        <w:tc>
          <w:tcPr>
            <w:tcW w:w="12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人民监督员参与率</w:t>
            </w:r>
          </w:p>
        </w:tc>
        <w:tc>
          <w:tcPr>
            <w:tcW w:w="15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按规定监督相关检察业务</w:t>
            </w:r>
          </w:p>
        </w:tc>
        <w:tc>
          <w:tcPr>
            <w:tcW w:w="21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案件监督符合规定。</w:t>
            </w:r>
          </w:p>
        </w:tc>
        <w:tc>
          <w:tcPr>
            <w:tcW w:w="23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案件监督符合规定。</w:t>
            </w:r>
          </w:p>
        </w:tc>
      </w:tr>
      <w:tr>
        <w:tblPrEx>
          <w:tblLayout w:type="fixed"/>
          <w:tblCellMar>
            <w:top w:w="0" w:type="dxa"/>
            <w:left w:w="0" w:type="dxa"/>
            <w:bottom w:w="0" w:type="dxa"/>
            <w:right w:w="0" w:type="dxa"/>
          </w:tblCellMar>
        </w:tblPrEx>
        <w:trPr>
          <w:trHeight w:val="138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cs="宋体" w:asciiTheme="minorEastAsia" w:hAnsiTheme="minorEastAsia" w:eastAsiaTheme="minorEastAsia"/>
                <w:color w:val="000000"/>
                <w:sz w:val="24"/>
              </w:rPr>
            </w:pPr>
          </w:p>
        </w:tc>
        <w:tc>
          <w:tcPr>
            <w:tcW w:w="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项目完成指标</w:t>
            </w:r>
          </w:p>
        </w:tc>
        <w:tc>
          <w:tcPr>
            <w:tcW w:w="12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意见采纳</w:t>
            </w:r>
          </w:p>
        </w:tc>
        <w:tc>
          <w:tcPr>
            <w:tcW w:w="15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积极听取人民监督员意见，并采纳正确的意见</w:t>
            </w:r>
          </w:p>
        </w:tc>
        <w:tc>
          <w:tcPr>
            <w:tcW w:w="21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案件决议无差错。</w:t>
            </w:r>
          </w:p>
        </w:tc>
        <w:tc>
          <w:tcPr>
            <w:tcW w:w="23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案件决议无差错。</w:t>
            </w:r>
          </w:p>
        </w:tc>
      </w:tr>
      <w:tr>
        <w:tblPrEx>
          <w:tblLayout w:type="fixed"/>
          <w:tblCellMar>
            <w:top w:w="0" w:type="dxa"/>
            <w:left w:w="0" w:type="dxa"/>
            <w:bottom w:w="0" w:type="dxa"/>
            <w:right w:w="0" w:type="dxa"/>
          </w:tblCellMar>
        </w:tblPrEx>
        <w:trPr>
          <w:trHeight w:val="992"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cs="宋体" w:asciiTheme="minorEastAsia" w:hAnsiTheme="minorEastAsia" w:eastAsiaTheme="minorEastAsia"/>
                <w:color w:val="000000"/>
                <w:sz w:val="24"/>
              </w:rPr>
            </w:pPr>
          </w:p>
        </w:tc>
        <w:tc>
          <w:tcPr>
            <w:tcW w:w="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效益指标</w:t>
            </w:r>
          </w:p>
        </w:tc>
        <w:tc>
          <w:tcPr>
            <w:tcW w:w="12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政府指令性任务落实</w:t>
            </w:r>
          </w:p>
        </w:tc>
        <w:tc>
          <w:tcPr>
            <w:tcW w:w="15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响应司法为公</w:t>
            </w:r>
          </w:p>
        </w:tc>
        <w:tc>
          <w:tcPr>
            <w:tcW w:w="21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完成政府工作部署。</w:t>
            </w:r>
          </w:p>
        </w:tc>
        <w:tc>
          <w:tcPr>
            <w:tcW w:w="23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完成政府工作部署。</w:t>
            </w:r>
          </w:p>
        </w:tc>
      </w:tr>
      <w:tr>
        <w:tblPrEx>
          <w:tblLayout w:type="fixed"/>
          <w:tblCellMar>
            <w:top w:w="0" w:type="dxa"/>
            <w:left w:w="0" w:type="dxa"/>
            <w:bottom w:w="0" w:type="dxa"/>
            <w:right w:w="0" w:type="dxa"/>
          </w:tblCellMar>
        </w:tblPrEx>
        <w:trPr>
          <w:trHeight w:val="542"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cs="宋体" w:asciiTheme="minorEastAsia" w:hAnsiTheme="minorEastAsia" w:eastAsiaTheme="minorEastAsia"/>
                <w:color w:val="000000"/>
                <w:sz w:val="24"/>
              </w:rPr>
            </w:pPr>
          </w:p>
        </w:tc>
        <w:tc>
          <w:tcPr>
            <w:tcW w:w="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效益指标</w:t>
            </w:r>
          </w:p>
        </w:tc>
        <w:tc>
          <w:tcPr>
            <w:tcW w:w="12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政府指令性任务落实</w:t>
            </w:r>
          </w:p>
        </w:tc>
        <w:tc>
          <w:tcPr>
            <w:tcW w:w="15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落实案件监督制度</w:t>
            </w:r>
          </w:p>
        </w:tc>
        <w:tc>
          <w:tcPr>
            <w:tcW w:w="21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规定人民监督员参与的案件需请人民监督员参与。</w:t>
            </w:r>
          </w:p>
        </w:tc>
        <w:tc>
          <w:tcPr>
            <w:tcW w:w="23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规定人民监督员参与的案件需请人民监督员参与。</w:t>
            </w:r>
          </w:p>
        </w:tc>
      </w:tr>
      <w:tr>
        <w:tblPrEx>
          <w:tblLayout w:type="fixed"/>
          <w:tblCellMar>
            <w:top w:w="0" w:type="dxa"/>
            <w:left w:w="0" w:type="dxa"/>
            <w:bottom w:w="0" w:type="dxa"/>
            <w:right w:w="0" w:type="dxa"/>
          </w:tblCellMar>
        </w:tblPrEx>
        <w:trPr>
          <w:trHeight w:val="1103"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cs="宋体" w:asciiTheme="minorEastAsia" w:hAnsiTheme="minorEastAsia" w:eastAsiaTheme="minorEastAsia"/>
                <w:color w:val="000000"/>
                <w:sz w:val="24"/>
              </w:rPr>
            </w:pPr>
          </w:p>
        </w:tc>
        <w:tc>
          <w:tcPr>
            <w:tcW w:w="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满意度指标</w:t>
            </w:r>
          </w:p>
        </w:tc>
        <w:tc>
          <w:tcPr>
            <w:tcW w:w="12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公众满意度</w:t>
            </w:r>
          </w:p>
        </w:tc>
        <w:tc>
          <w:tcPr>
            <w:tcW w:w="15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年度政风评价</w:t>
            </w:r>
          </w:p>
        </w:tc>
        <w:tc>
          <w:tcPr>
            <w:tcW w:w="21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不发生影响恶劣的群众上访事件</w:t>
            </w:r>
          </w:p>
        </w:tc>
        <w:tc>
          <w:tcPr>
            <w:tcW w:w="23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未发生影响恶劣的群众上访事件</w:t>
            </w:r>
          </w:p>
        </w:tc>
      </w:tr>
    </w:tbl>
    <w:p>
      <w:pPr>
        <w:spacing w:line="600" w:lineRule="exact"/>
        <w:rPr>
          <w:rFonts w:ascii="Calibri" w:hAnsi="Calibri"/>
        </w:rPr>
      </w:pPr>
    </w:p>
    <w:tbl>
      <w:tblPr>
        <w:tblStyle w:val="16"/>
        <w:tblpPr w:leftFromText="180" w:rightFromText="180" w:vertAnchor="text" w:horzAnchor="page" w:tblpXSpec="center" w:tblpY="423"/>
        <w:tblOverlap w:val="never"/>
        <w:tblW w:w="9044" w:type="dxa"/>
        <w:tblInd w:w="0" w:type="dxa"/>
        <w:tblLayout w:type="fixed"/>
        <w:tblCellMar>
          <w:top w:w="0" w:type="dxa"/>
          <w:left w:w="0" w:type="dxa"/>
          <w:bottom w:w="0" w:type="dxa"/>
          <w:right w:w="0" w:type="dxa"/>
        </w:tblCellMar>
      </w:tblPr>
      <w:tblGrid>
        <w:gridCol w:w="794"/>
        <w:gridCol w:w="591"/>
        <w:gridCol w:w="590"/>
        <w:gridCol w:w="1367"/>
        <w:gridCol w:w="2781"/>
        <w:gridCol w:w="2921"/>
      </w:tblGrid>
      <w:tr>
        <w:tblPrEx>
          <w:tblLayout w:type="fixed"/>
          <w:tblCellMar>
            <w:top w:w="0" w:type="dxa"/>
            <w:left w:w="0" w:type="dxa"/>
            <w:bottom w:w="0" w:type="dxa"/>
            <w:right w:w="0" w:type="dxa"/>
          </w:tblCellMar>
        </w:tblPrEx>
        <w:trPr>
          <w:trHeight w:val="1034" w:hRule="atLeast"/>
        </w:trPr>
        <w:tc>
          <w:tcPr>
            <w:tcW w:w="9044" w:type="dxa"/>
            <w:gridSpan w:val="6"/>
            <w:tcMar>
              <w:top w:w="15" w:type="dxa"/>
              <w:left w:w="15" w:type="dxa"/>
              <w:bottom w:w="0" w:type="dxa"/>
              <w:right w:w="15" w:type="dxa"/>
            </w:tcMar>
            <w:vAlign w:val="center"/>
          </w:tcPr>
          <w:p>
            <w:pPr>
              <w:pStyle w:val="24"/>
              <w:widowControl/>
              <w:spacing w:line="600" w:lineRule="exact"/>
              <w:ind w:left="3072" w:leftChars="863" w:hanging="1260" w:hangingChars="350"/>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c>
          <w:tcPr>
            <w:tcW w:w="19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项目名称</w:t>
            </w:r>
          </w:p>
        </w:tc>
        <w:tc>
          <w:tcPr>
            <w:tcW w:w="70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仿宋_GB2312" w:asciiTheme="minorEastAsia" w:hAnsiTheme="minorEastAsia" w:eastAsiaTheme="minorEastAsia"/>
                <w:sz w:val="24"/>
              </w:rPr>
              <w:t>刑事司法救助</w:t>
            </w:r>
          </w:p>
        </w:tc>
      </w:tr>
      <w:tr>
        <w:tblPrEx>
          <w:tblLayout w:type="fixed"/>
          <w:tblCellMar>
            <w:top w:w="0" w:type="dxa"/>
            <w:left w:w="0" w:type="dxa"/>
            <w:bottom w:w="0" w:type="dxa"/>
            <w:right w:w="0" w:type="dxa"/>
          </w:tblCellMar>
        </w:tblPrEx>
        <w:tc>
          <w:tcPr>
            <w:tcW w:w="19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预算单位</w:t>
            </w:r>
          </w:p>
        </w:tc>
        <w:tc>
          <w:tcPr>
            <w:tcW w:w="70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四川省广元市人民检察院</w:t>
            </w:r>
          </w:p>
        </w:tc>
      </w:tr>
      <w:tr>
        <w:tblPrEx>
          <w:tblLayout w:type="fixed"/>
          <w:tblCellMar>
            <w:top w:w="0" w:type="dxa"/>
            <w:left w:w="0" w:type="dxa"/>
            <w:bottom w:w="0" w:type="dxa"/>
            <w:right w:w="0" w:type="dxa"/>
          </w:tblCellMar>
        </w:tblPrEx>
        <w:tc>
          <w:tcPr>
            <w:tcW w:w="79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预算执行情况(万元)</w:t>
            </w:r>
          </w:p>
        </w:tc>
        <w:tc>
          <w:tcPr>
            <w:tcW w:w="11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预算数:</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15</w:t>
            </w:r>
          </w:p>
        </w:tc>
        <w:tc>
          <w:tcPr>
            <w:tcW w:w="27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执行数:</w:t>
            </w: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15</w:t>
            </w:r>
          </w:p>
        </w:tc>
      </w:tr>
      <w:tr>
        <w:tblPrEx>
          <w:tblLayout w:type="fixed"/>
          <w:tblCellMar>
            <w:top w:w="0" w:type="dxa"/>
            <w:left w:w="0" w:type="dxa"/>
            <w:bottom w:w="0" w:type="dxa"/>
            <w:right w:w="0" w:type="dxa"/>
          </w:tblCellMar>
        </w:tblPrEx>
        <w:trPr>
          <w:trHeight w:val="992"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cs="宋体" w:asciiTheme="minorEastAsia" w:hAnsiTheme="minorEastAsia" w:eastAsiaTheme="minorEastAsia"/>
                <w:color w:val="000000"/>
                <w:sz w:val="24"/>
              </w:rPr>
            </w:pPr>
          </w:p>
        </w:tc>
        <w:tc>
          <w:tcPr>
            <w:tcW w:w="11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其中-财政拨款:</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15</w:t>
            </w:r>
          </w:p>
        </w:tc>
        <w:tc>
          <w:tcPr>
            <w:tcW w:w="27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其中-财政拨款:</w:t>
            </w: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15</w:t>
            </w:r>
          </w:p>
        </w:tc>
      </w:tr>
      <w:tr>
        <w:tblPrEx>
          <w:tblLayout w:type="fixed"/>
          <w:tblCellMar>
            <w:top w:w="0" w:type="dxa"/>
            <w:left w:w="0" w:type="dxa"/>
            <w:bottom w:w="0" w:type="dxa"/>
            <w:right w:w="0" w:type="dxa"/>
          </w:tblCellMar>
        </w:tblPrEx>
        <w:trPr>
          <w:trHeight w:val="613"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cs="宋体" w:asciiTheme="minorEastAsia" w:hAnsiTheme="minorEastAsia" w:eastAsiaTheme="minorEastAsia"/>
                <w:color w:val="000000"/>
                <w:sz w:val="24"/>
              </w:rPr>
            </w:pPr>
          </w:p>
        </w:tc>
        <w:tc>
          <w:tcPr>
            <w:tcW w:w="11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其它资金:</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0</w:t>
            </w:r>
          </w:p>
        </w:tc>
        <w:tc>
          <w:tcPr>
            <w:tcW w:w="27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其它资金:</w:t>
            </w: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cs="宋体" w:asciiTheme="minorEastAsia" w:hAnsiTheme="minorEastAsia" w:eastAsiaTheme="minorEastAsia"/>
                <w:color w:val="000000"/>
                <w:sz w:val="24"/>
              </w:rPr>
            </w:pPr>
          </w:p>
        </w:tc>
      </w:tr>
      <w:tr>
        <w:tblPrEx>
          <w:tblLayout w:type="fixed"/>
          <w:tblCellMar>
            <w:top w:w="0" w:type="dxa"/>
            <w:left w:w="0" w:type="dxa"/>
            <w:bottom w:w="0" w:type="dxa"/>
            <w:right w:w="0" w:type="dxa"/>
          </w:tblCellMar>
        </w:tblPrEx>
        <w:tc>
          <w:tcPr>
            <w:tcW w:w="79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年度目标完成情况</w:t>
            </w:r>
          </w:p>
        </w:tc>
        <w:tc>
          <w:tcPr>
            <w:tcW w:w="254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预期目标</w:t>
            </w:r>
          </w:p>
        </w:tc>
        <w:tc>
          <w:tcPr>
            <w:tcW w:w="57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实际完成目标</w:t>
            </w:r>
          </w:p>
        </w:tc>
      </w:tr>
      <w:tr>
        <w:tblPrEx>
          <w:tblLayout w:type="fixed"/>
          <w:tblCellMar>
            <w:top w:w="0" w:type="dxa"/>
            <w:left w:w="0" w:type="dxa"/>
            <w:bottom w:w="0" w:type="dxa"/>
            <w:right w:w="0" w:type="dxa"/>
          </w:tblCellMar>
        </w:tblPrEx>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cs="宋体" w:asciiTheme="minorEastAsia" w:hAnsiTheme="minorEastAsia" w:eastAsiaTheme="minorEastAsia"/>
                <w:color w:val="000000"/>
                <w:sz w:val="24"/>
              </w:rPr>
            </w:pPr>
          </w:p>
        </w:tc>
        <w:tc>
          <w:tcPr>
            <w:tcW w:w="254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sz w:val="24"/>
              </w:rPr>
            </w:pPr>
            <w:r>
              <w:rPr>
                <w:rFonts w:cs="Arial" w:asciiTheme="minorEastAsia" w:hAnsiTheme="minorEastAsia" w:eastAsiaTheme="minorEastAsia"/>
                <w:sz w:val="24"/>
                <w:shd w:val="clear" w:color="auto" w:fill="FFFFFF"/>
              </w:rPr>
              <w:t>司法救助是保证</w:t>
            </w:r>
            <w:r>
              <w:rPr>
                <w:rFonts w:hint="eastAsia" w:cs="Arial" w:asciiTheme="minorEastAsia" w:hAnsiTheme="minorEastAsia" w:eastAsiaTheme="minorEastAsia"/>
                <w:sz w:val="24"/>
                <w:shd w:val="clear" w:color="auto" w:fill="FFFFFF"/>
              </w:rPr>
              <w:t>当事人</w:t>
            </w:r>
            <w:r>
              <w:rPr>
                <w:rFonts w:cs="Arial" w:asciiTheme="minorEastAsia" w:hAnsiTheme="minorEastAsia" w:eastAsiaTheme="minorEastAsia"/>
                <w:sz w:val="24"/>
                <w:shd w:val="clear" w:color="auto" w:fill="FFFFFF"/>
              </w:rPr>
              <w:t>能够正常参加诉讼，依法维护其合法权益的法律制度</w:t>
            </w:r>
          </w:p>
        </w:tc>
        <w:tc>
          <w:tcPr>
            <w:tcW w:w="57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sz w:val="24"/>
              </w:rPr>
            </w:pPr>
            <w:r>
              <w:rPr>
                <w:rFonts w:cs="Arial" w:asciiTheme="minorEastAsia" w:hAnsiTheme="minorEastAsia" w:eastAsiaTheme="minorEastAsia"/>
                <w:sz w:val="24"/>
                <w:shd w:val="clear" w:color="auto" w:fill="FFFFFF"/>
              </w:rPr>
              <w:t>保证</w:t>
            </w:r>
            <w:r>
              <w:rPr>
                <w:rFonts w:hint="eastAsia" w:cs="Arial" w:asciiTheme="minorEastAsia" w:hAnsiTheme="minorEastAsia" w:eastAsiaTheme="minorEastAsia"/>
                <w:sz w:val="24"/>
                <w:shd w:val="clear" w:color="auto" w:fill="FFFFFF"/>
              </w:rPr>
              <w:t>当事人</w:t>
            </w:r>
            <w:r>
              <w:rPr>
                <w:rFonts w:cs="Arial" w:asciiTheme="minorEastAsia" w:hAnsiTheme="minorEastAsia" w:eastAsiaTheme="minorEastAsia"/>
                <w:sz w:val="24"/>
                <w:shd w:val="clear" w:color="auto" w:fill="FFFFFF"/>
              </w:rPr>
              <w:t>能够正常参加诉讼，依法维护其合法权益的法律制度</w:t>
            </w:r>
            <w:r>
              <w:rPr>
                <w:rFonts w:hint="eastAsia" w:cs="Arial" w:asciiTheme="minorEastAsia" w:hAnsiTheme="minorEastAsia" w:eastAsiaTheme="minorEastAsia"/>
                <w:sz w:val="24"/>
                <w:shd w:val="clear" w:color="auto" w:fill="FFFFFF"/>
              </w:rPr>
              <w:t>，</w:t>
            </w:r>
            <w:r>
              <w:rPr>
                <w:rFonts w:hint="eastAsia" w:asciiTheme="minorEastAsia" w:hAnsiTheme="minorEastAsia" w:eastAsiaTheme="minorEastAsia"/>
                <w:spacing w:val="23"/>
                <w:sz w:val="24"/>
                <w:shd w:val="clear" w:color="auto" w:fill="FFFFFF"/>
              </w:rPr>
              <w:t>顺应了加强权利救济的现代法治发展趋势，彰显党和政府的民生关怀，实现社会公平正义，促进社会和谐稳定，维护司法的公信和权威</w:t>
            </w:r>
          </w:p>
        </w:tc>
      </w:tr>
      <w:tr>
        <w:tblPrEx>
          <w:tblLayout w:type="fixed"/>
          <w:tblCellMar>
            <w:top w:w="0" w:type="dxa"/>
            <w:left w:w="0" w:type="dxa"/>
            <w:bottom w:w="0" w:type="dxa"/>
            <w:right w:w="0" w:type="dxa"/>
          </w:tblCellMar>
        </w:tblPrEx>
        <w:tc>
          <w:tcPr>
            <w:tcW w:w="79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绩效指标完成情况</w:t>
            </w:r>
          </w:p>
        </w:tc>
        <w:tc>
          <w:tcPr>
            <w:tcW w:w="5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一级指标</w:t>
            </w: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二级指标</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三级指标</w:t>
            </w:r>
          </w:p>
        </w:tc>
        <w:tc>
          <w:tcPr>
            <w:tcW w:w="27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预期指标值(包含数字及文字描述)</w:t>
            </w: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1181"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cs="宋体" w:asciiTheme="minorEastAsia" w:hAnsiTheme="minorEastAsia" w:eastAsiaTheme="minorEastAsia"/>
                <w:color w:val="000000"/>
                <w:sz w:val="24"/>
              </w:rPr>
            </w:pPr>
          </w:p>
        </w:tc>
        <w:tc>
          <w:tcPr>
            <w:tcW w:w="5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项目完成指标</w:t>
            </w: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司法救助人数</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cs="宋体" w:asciiTheme="minorEastAsia" w:hAnsiTheme="minorEastAsia" w:eastAsiaTheme="minorEastAsia"/>
                <w:sz w:val="24"/>
              </w:rPr>
            </w:pPr>
            <w:r>
              <w:rPr>
                <w:rFonts w:hint="eastAsia" w:asciiTheme="minorEastAsia" w:hAnsiTheme="minorEastAsia" w:eastAsiaTheme="minorEastAsia"/>
                <w:sz w:val="24"/>
              </w:rPr>
              <w:t>对当事人实施司法救助10人</w:t>
            </w:r>
          </w:p>
        </w:tc>
        <w:tc>
          <w:tcPr>
            <w:tcW w:w="27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完成</w:t>
            </w:r>
            <w:r>
              <w:rPr>
                <w:rFonts w:hint="eastAsia" w:asciiTheme="minorEastAsia" w:hAnsiTheme="minorEastAsia" w:eastAsiaTheme="minorEastAsia"/>
                <w:sz w:val="24"/>
              </w:rPr>
              <w:t>司法救助10人</w:t>
            </w: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完成</w:t>
            </w:r>
            <w:r>
              <w:rPr>
                <w:rFonts w:hint="eastAsia" w:asciiTheme="minorEastAsia" w:hAnsiTheme="minorEastAsia" w:eastAsiaTheme="minorEastAsia"/>
                <w:sz w:val="24"/>
              </w:rPr>
              <w:t>司法救助10人</w:t>
            </w:r>
          </w:p>
        </w:tc>
      </w:tr>
      <w:tr>
        <w:tblPrEx>
          <w:tblLayout w:type="fixed"/>
          <w:tblCellMar>
            <w:top w:w="0" w:type="dxa"/>
            <w:left w:w="0" w:type="dxa"/>
            <w:bottom w:w="0" w:type="dxa"/>
            <w:right w:w="0" w:type="dxa"/>
          </w:tblCellMar>
        </w:tblPrEx>
        <w:trPr>
          <w:trHeight w:val="1393"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cs="宋体" w:asciiTheme="minorEastAsia" w:hAnsiTheme="minorEastAsia" w:eastAsiaTheme="minorEastAsia"/>
                <w:color w:val="000000"/>
                <w:sz w:val="24"/>
              </w:rPr>
            </w:pPr>
          </w:p>
        </w:tc>
        <w:tc>
          <w:tcPr>
            <w:tcW w:w="5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效益指标</w:t>
            </w: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救助人满意度</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cs="宋体" w:asciiTheme="minorEastAsia" w:hAnsiTheme="minorEastAsia" w:eastAsiaTheme="minorEastAsia"/>
                <w:sz w:val="24"/>
              </w:rPr>
            </w:pPr>
            <w:r>
              <w:rPr>
                <w:rFonts w:hint="eastAsia" w:asciiTheme="minorEastAsia" w:hAnsiTheme="minorEastAsia" w:eastAsiaTheme="minorEastAsia"/>
                <w:sz w:val="24"/>
              </w:rPr>
              <w:t>避免刑事被害人因案致贫、因案返贫</w:t>
            </w:r>
          </w:p>
        </w:tc>
        <w:tc>
          <w:tcPr>
            <w:tcW w:w="27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cs="宋体" w:asciiTheme="minorEastAsia" w:hAnsiTheme="minorEastAsia" w:eastAsiaTheme="minorEastAsia"/>
                <w:sz w:val="24"/>
              </w:rPr>
            </w:pPr>
            <w:r>
              <w:rPr>
                <w:rFonts w:hint="eastAsia" w:asciiTheme="minorEastAsia" w:hAnsiTheme="minorEastAsia" w:eastAsiaTheme="minorEastAsia"/>
                <w:sz w:val="24"/>
              </w:rPr>
              <w:t>避免刑事被害人因案致贫、因案返贫</w:t>
            </w: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cs="宋体" w:asciiTheme="minorEastAsia" w:hAnsiTheme="minorEastAsia" w:eastAsiaTheme="minorEastAsia"/>
                <w:sz w:val="24"/>
              </w:rPr>
            </w:pPr>
            <w:r>
              <w:rPr>
                <w:rFonts w:hint="eastAsia" w:asciiTheme="minorEastAsia" w:hAnsiTheme="minorEastAsia" w:eastAsiaTheme="minorEastAsia"/>
                <w:sz w:val="24"/>
              </w:rPr>
              <w:t>避免刑事被害人因案致贫、因案返贫</w:t>
            </w:r>
          </w:p>
        </w:tc>
      </w:tr>
      <w:tr>
        <w:tblPrEx>
          <w:tblLayout w:type="fixed"/>
          <w:tblCellMar>
            <w:top w:w="0" w:type="dxa"/>
            <w:left w:w="0" w:type="dxa"/>
            <w:bottom w:w="0" w:type="dxa"/>
            <w:right w:w="0" w:type="dxa"/>
          </w:tblCellMar>
        </w:tblPrEx>
        <w:trPr>
          <w:trHeight w:val="1101" w:hRule="atLeast"/>
        </w:trPr>
        <w:tc>
          <w:tcPr>
            <w:tcW w:w="794"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600" w:lineRule="exact"/>
              <w:jc w:val="left"/>
              <w:rPr>
                <w:rFonts w:cs="宋体" w:asciiTheme="minorEastAsia" w:hAnsiTheme="minorEastAsia" w:eastAsiaTheme="minorEastAsia"/>
                <w:color w:val="000000"/>
                <w:sz w:val="24"/>
              </w:rPr>
            </w:pPr>
          </w:p>
        </w:tc>
        <w:tc>
          <w:tcPr>
            <w:tcW w:w="591"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满意度指标</w:t>
            </w:r>
          </w:p>
        </w:tc>
        <w:tc>
          <w:tcPr>
            <w:tcW w:w="590"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公众满意度</w:t>
            </w:r>
          </w:p>
        </w:tc>
        <w:tc>
          <w:tcPr>
            <w:tcW w:w="13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年度政风评价</w:t>
            </w:r>
          </w:p>
        </w:tc>
        <w:tc>
          <w:tcPr>
            <w:tcW w:w="2781"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不发生影响恶劣的群众上访事件。</w:t>
            </w:r>
          </w:p>
        </w:tc>
        <w:tc>
          <w:tcPr>
            <w:tcW w:w="2921"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未发生影响恶劣的群众上访事件。</w:t>
            </w:r>
          </w:p>
        </w:tc>
      </w:tr>
    </w:tbl>
    <w:p>
      <w:pPr>
        <w:spacing w:line="600" w:lineRule="exact"/>
        <w:jc w:val="center"/>
        <w:rPr>
          <w:rFonts w:ascii="黑体" w:hAnsi="黑体" w:eastAsia="黑体" w:cs="宋体"/>
          <w:bCs/>
          <w:color w:val="000000"/>
          <w:kern w:val="0"/>
          <w:sz w:val="36"/>
          <w:szCs w:val="36"/>
        </w:rPr>
      </w:pPr>
    </w:p>
    <w:p>
      <w:pPr>
        <w:spacing w:line="600" w:lineRule="exact"/>
        <w:jc w:val="center"/>
        <w:rPr>
          <w:rFonts w:ascii="仿宋_GB2312" w:hAnsi="仿宋_GB2312" w:eastAsia="仿宋_GB2312" w:cs="仿宋_GB2312"/>
          <w:sz w:val="32"/>
          <w:szCs w:val="32"/>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bl>
      <w:tblPr>
        <w:tblStyle w:val="16"/>
        <w:tblpPr w:leftFromText="180" w:rightFromText="180" w:vertAnchor="text" w:horzAnchor="page" w:tblpXSpec="center" w:tblpY="423"/>
        <w:tblOverlap w:val="never"/>
        <w:tblW w:w="8804" w:type="dxa"/>
        <w:tblInd w:w="0" w:type="dxa"/>
        <w:tblLayout w:type="fixed"/>
        <w:tblCellMar>
          <w:top w:w="0" w:type="dxa"/>
          <w:left w:w="0" w:type="dxa"/>
          <w:bottom w:w="0" w:type="dxa"/>
          <w:right w:w="0" w:type="dxa"/>
        </w:tblCellMar>
      </w:tblPr>
      <w:tblGrid>
        <w:gridCol w:w="697"/>
        <w:gridCol w:w="1470"/>
        <w:gridCol w:w="1710"/>
        <w:gridCol w:w="1612"/>
        <w:gridCol w:w="1449"/>
        <w:gridCol w:w="1866"/>
      </w:tblGrid>
      <w:tr>
        <w:tblPrEx>
          <w:tblLayout w:type="fixed"/>
          <w:tblCellMar>
            <w:top w:w="0" w:type="dxa"/>
            <w:left w:w="0" w:type="dxa"/>
            <w:bottom w:w="0" w:type="dxa"/>
            <w:right w:w="0" w:type="dxa"/>
          </w:tblCellMar>
        </w:tblPrEx>
        <w:tc>
          <w:tcPr>
            <w:tcW w:w="387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49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援藏援彝</w:t>
            </w:r>
          </w:p>
        </w:tc>
      </w:tr>
      <w:tr>
        <w:tblPrEx>
          <w:tblLayout w:type="fixed"/>
          <w:tblCellMar>
            <w:top w:w="0" w:type="dxa"/>
            <w:left w:w="0" w:type="dxa"/>
            <w:bottom w:w="0" w:type="dxa"/>
            <w:right w:w="0" w:type="dxa"/>
          </w:tblCellMar>
        </w:tblPrEx>
        <w:tc>
          <w:tcPr>
            <w:tcW w:w="387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49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四川省广元市人民检察院</w:t>
            </w:r>
          </w:p>
        </w:tc>
      </w:tr>
      <w:tr>
        <w:tblPrEx>
          <w:tblLayout w:type="fixed"/>
          <w:tblCellMar>
            <w:top w:w="0" w:type="dxa"/>
            <w:left w:w="0" w:type="dxa"/>
            <w:bottom w:w="0" w:type="dxa"/>
            <w:right w:w="0" w:type="dxa"/>
          </w:tblCellMar>
        </w:tblPrEx>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31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10</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10</w:t>
            </w:r>
          </w:p>
        </w:tc>
      </w:tr>
      <w:tr>
        <w:tblPrEx>
          <w:tblLayout w:type="fixed"/>
          <w:tblCellMar>
            <w:top w:w="0" w:type="dxa"/>
            <w:left w:w="0" w:type="dxa"/>
            <w:bottom w:w="0" w:type="dxa"/>
            <w:right w:w="0" w:type="dxa"/>
          </w:tblCellMar>
        </w:tblPrEx>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 w:val="24"/>
              </w:rPr>
            </w:pPr>
          </w:p>
        </w:tc>
        <w:tc>
          <w:tcPr>
            <w:tcW w:w="31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10</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10</w:t>
            </w:r>
          </w:p>
        </w:tc>
      </w:tr>
      <w:tr>
        <w:tblPrEx>
          <w:tblLayout w:type="fixed"/>
          <w:tblCellMar>
            <w:top w:w="0" w:type="dxa"/>
            <w:left w:w="0" w:type="dxa"/>
            <w:bottom w:w="0" w:type="dxa"/>
            <w:right w:w="0" w:type="dxa"/>
          </w:tblCellMar>
        </w:tblPrEx>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 w:val="24"/>
              </w:rPr>
            </w:pPr>
          </w:p>
        </w:tc>
        <w:tc>
          <w:tcPr>
            <w:tcW w:w="31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0</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33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930"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 w:val="24"/>
              </w:rPr>
            </w:pPr>
          </w:p>
        </w:tc>
        <w:tc>
          <w:tcPr>
            <w:tcW w:w="47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对昭觉县检察院予以工作支持</w:t>
            </w:r>
          </w:p>
        </w:tc>
        <w:tc>
          <w:tcPr>
            <w:tcW w:w="33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对昭觉县检察院予以工作支持</w:t>
            </w:r>
          </w:p>
        </w:tc>
      </w:tr>
      <w:tr>
        <w:tblPrEx>
          <w:tblLayout w:type="fixed"/>
          <w:tblCellMar>
            <w:top w:w="0" w:type="dxa"/>
            <w:left w:w="0" w:type="dxa"/>
            <w:bottom w:w="0" w:type="dxa"/>
            <w:right w:w="0" w:type="dxa"/>
          </w:tblCellMar>
        </w:tblPrEx>
        <w:trPr>
          <w:trHeight w:val="1373" w:hRule="atLeast"/>
        </w:trPr>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1010"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 w:val="24"/>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经费保障</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给予经费支持</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 xml:space="preserve"> 按规定予以支持</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 xml:space="preserve"> 按规定予以支持</w:t>
            </w:r>
          </w:p>
        </w:tc>
      </w:tr>
      <w:tr>
        <w:tblPrEx>
          <w:tblLayout w:type="fixed"/>
          <w:tblCellMar>
            <w:top w:w="0" w:type="dxa"/>
            <w:left w:w="0" w:type="dxa"/>
            <w:bottom w:w="0" w:type="dxa"/>
            <w:right w:w="0" w:type="dxa"/>
          </w:tblCellMar>
        </w:tblPrEx>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 w:val="24"/>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工作交流</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开展案件讨论</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 xml:space="preserve"> 积极交流检察业务</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 xml:space="preserve"> 积极交流检察业务</w:t>
            </w:r>
          </w:p>
        </w:tc>
      </w:tr>
      <w:tr>
        <w:tblPrEx>
          <w:tblLayout w:type="fixed"/>
          <w:tblCellMar>
            <w:top w:w="0" w:type="dxa"/>
            <w:left w:w="0" w:type="dxa"/>
            <w:bottom w:w="0" w:type="dxa"/>
            <w:right w:w="0" w:type="dxa"/>
          </w:tblCellMar>
        </w:tblPrEx>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 w:val="24"/>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政府性指令落实</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落实援藏援彝工作</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对昭觉县检察院给予支持</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 xml:space="preserve"> 对昭觉县检察院给予支持</w:t>
            </w:r>
          </w:p>
        </w:tc>
      </w:tr>
      <w:tr>
        <w:tblPrEx>
          <w:tblLayout w:type="fixed"/>
          <w:tblCellMar>
            <w:top w:w="0" w:type="dxa"/>
            <w:left w:w="0" w:type="dxa"/>
            <w:bottom w:w="0" w:type="dxa"/>
            <w:right w:w="0" w:type="dxa"/>
          </w:tblCellMar>
        </w:tblPrEx>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 w:val="24"/>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偏远地区发展</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昭觉县检察事业有序发展</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昭觉县检察院无因人财物导致的发展落后</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昭觉县检察院无因人财物导致的发展落后</w:t>
            </w:r>
          </w:p>
        </w:tc>
      </w:tr>
      <w:tr>
        <w:tblPrEx>
          <w:tblLayout w:type="fixed"/>
          <w:tblCellMar>
            <w:top w:w="0" w:type="dxa"/>
            <w:left w:w="0" w:type="dxa"/>
            <w:bottom w:w="0" w:type="dxa"/>
            <w:right w:w="0" w:type="dxa"/>
          </w:tblCellMar>
        </w:tblPrEx>
        <w:trPr>
          <w:trHeight w:val="1034" w:hRule="atLeast"/>
        </w:trPr>
        <w:tc>
          <w:tcPr>
            <w:tcW w:w="8804" w:type="dxa"/>
            <w:gridSpan w:val="6"/>
            <w:tcMar>
              <w:top w:w="15" w:type="dxa"/>
              <w:left w:w="15" w:type="dxa"/>
              <w:bottom w:w="0" w:type="dxa"/>
              <w:right w:w="15" w:type="dxa"/>
            </w:tcMar>
            <w:vAlign w:val="center"/>
          </w:tcPr>
          <w:p>
            <w:pPr>
              <w:widowControl/>
              <w:spacing w:line="600" w:lineRule="exact"/>
              <w:textAlignment w:val="center"/>
              <w:rPr>
                <w:rFonts w:ascii="黑体" w:hAnsi="黑体" w:eastAsia="黑体" w:cs="宋体"/>
                <w:bCs/>
                <w:color w:val="000000"/>
                <w:kern w:val="0"/>
                <w:sz w:val="36"/>
                <w:szCs w:val="36"/>
              </w:rPr>
            </w:pPr>
          </w:p>
          <w:p>
            <w:pPr>
              <w:widowControl/>
              <w:spacing w:line="600" w:lineRule="exact"/>
              <w:textAlignment w:val="center"/>
              <w:rPr>
                <w:rFonts w:ascii="黑体" w:hAnsi="黑体" w:eastAsia="黑体" w:cs="宋体"/>
                <w:bCs/>
                <w:color w:val="000000"/>
                <w:kern w:val="0"/>
                <w:sz w:val="36"/>
                <w:szCs w:val="36"/>
              </w:rPr>
            </w:pPr>
          </w:p>
          <w:p>
            <w:pPr>
              <w:widowControl/>
              <w:spacing w:line="600" w:lineRule="exact"/>
              <w:textAlignment w:val="center"/>
              <w:rPr>
                <w:rFonts w:ascii="黑体" w:hAnsi="黑体" w:eastAsia="黑体" w:cs="宋体"/>
                <w:bCs/>
                <w:color w:val="000000"/>
                <w:kern w:val="0"/>
                <w:sz w:val="36"/>
                <w:szCs w:val="36"/>
              </w:rPr>
            </w:pPr>
          </w:p>
          <w:p>
            <w:pPr>
              <w:widowControl/>
              <w:spacing w:line="600" w:lineRule="exact"/>
              <w:jc w:val="center"/>
              <w:textAlignment w:val="center"/>
              <w:rPr>
                <w:rFonts w:ascii="黑体" w:hAnsi="黑体" w:eastAsia="黑体" w:cs="宋体"/>
                <w:bCs/>
                <w:color w:val="000000"/>
                <w:kern w:val="0"/>
                <w:sz w:val="36"/>
                <w:szCs w:val="36"/>
              </w:rPr>
            </w:pPr>
          </w:p>
          <w:p>
            <w:pPr>
              <w:widowControl/>
              <w:spacing w:line="600" w:lineRule="exact"/>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387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49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Cs w:val="21"/>
              </w:rPr>
            </w:pPr>
            <w:r>
              <w:rPr>
                <w:rFonts w:hint="eastAsia" w:cs="仿宋_GB2312" w:asciiTheme="minorEastAsia" w:hAnsiTheme="minorEastAsia" w:eastAsiaTheme="minorEastAsia"/>
                <w:szCs w:val="21"/>
              </w:rPr>
              <w:t>综合办公及技侦用房建设征地拆迁补偿费和耕地开垦费</w:t>
            </w:r>
          </w:p>
        </w:tc>
      </w:tr>
      <w:tr>
        <w:tblPrEx>
          <w:tblLayout w:type="fixed"/>
          <w:tblCellMar>
            <w:top w:w="0" w:type="dxa"/>
            <w:left w:w="0" w:type="dxa"/>
            <w:bottom w:w="0" w:type="dxa"/>
            <w:right w:w="0" w:type="dxa"/>
          </w:tblCellMar>
        </w:tblPrEx>
        <w:trPr>
          <w:trHeight w:val="494" w:hRule="atLeast"/>
        </w:trPr>
        <w:tc>
          <w:tcPr>
            <w:tcW w:w="387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预算单位</w:t>
            </w:r>
          </w:p>
        </w:tc>
        <w:tc>
          <w:tcPr>
            <w:tcW w:w="49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四川省广元市人民检察院</w:t>
            </w:r>
          </w:p>
        </w:tc>
      </w:tr>
      <w:tr>
        <w:tblPrEx>
          <w:tblLayout w:type="fixed"/>
          <w:tblCellMar>
            <w:top w:w="0" w:type="dxa"/>
            <w:left w:w="0" w:type="dxa"/>
            <w:bottom w:w="0" w:type="dxa"/>
            <w:right w:w="0" w:type="dxa"/>
          </w:tblCellMar>
        </w:tblPrEx>
        <w:trPr>
          <w:trHeight w:val="276" w:hRule="atLeast"/>
        </w:trPr>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预算执行情况(万元)</w:t>
            </w:r>
          </w:p>
        </w:tc>
        <w:tc>
          <w:tcPr>
            <w:tcW w:w="31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预算数:</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1006.10</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执行数:</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spacing w:line="400" w:lineRule="exact"/>
              <w:jc w:val="center"/>
              <w:rPr>
                <w:szCs w:val="21"/>
              </w:rPr>
            </w:pPr>
            <w:r>
              <w:rPr>
                <w:rFonts w:hint="eastAsia" w:ascii="宋体" w:hAnsi="宋体" w:cs="宋体"/>
                <w:color w:val="000000"/>
                <w:szCs w:val="21"/>
              </w:rPr>
              <w:t>1006.10</w:t>
            </w:r>
          </w:p>
        </w:tc>
      </w:tr>
      <w:tr>
        <w:tblPrEx>
          <w:tblLayout w:type="fixed"/>
          <w:tblCellMar>
            <w:top w:w="0" w:type="dxa"/>
            <w:left w:w="0" w:type="dxa"/>
            <w:bottom w:w="0" w:type="dxa"/>
            <w:right w:w="0" w:type="dxa"/>
          </w:tblCellMar>
        </w:tblPrEx>
        <w:trPr>
          <w:trHeight w:val="276"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31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1006.10</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spacing w:line="400" w:lineRule="exact"/>
              <w:jc w:val="center"/>
              <w:rPr>
                <w:szCs w:val="21"/>
              </w:rPr>
            </w:pPr>
            <w:r>
              <w:rPr>
                <w:rFonts w:hint="eastAsia" w:ascii="宋体" w:hAnsi="宋体" w:cs="宋体"/>
                <w:color w:val="000000"/>
                <w:szCs w:val="21"/>
              </w:rPr>
              <w:t>1006.10</w:t>
            </w:r>
          </w:p>
        </w:tc>
      </w:tr>
      <w:tr>
        <w:tblPrEx>
          <w:tblLayout w:type="fixed"/>
          <w:tblCellMar>
            <w:top w:w="0" w:type="dxa"/>
            <w:left w:w="0" w:type="dxa"/>
            <w:bottom w:w="0" w:type="dxa"/>
            <w:right w:w="0" w:type="dxa"/>
          </w:tblCellMar>
        </w:tblPrEx>
        <w:trPr>
          <w:trHeight w:val="661"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31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其它资金:</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0</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其它资金:</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76" w:hRule="atLeast"/>
        </w:trPr>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年度目标完成情况</w:t>
            </w:r>
          </w:p>
        </w:tc>
        <w:tc>
          <w:tcPr>
            <w:tcW w:w="47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预期目标</w:t>
            </w:r>
          </w:p>
        </w:tc>
        <w:tc>
          <w:tcPr>
            <w:tcW w:w="33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实际完成目标</w:t>
            </w:r>
          </w:p>
        </w:tc>
      </w:tr>
      <w:tr>
        <w:tblPrEx>
          <w:tblLayout w:type="fixed"/>
          <w:tblCellMar>
            <w:top w:w="0" w:type="dxa"/>
            <w:left w:w="0" w:type="dxa"/>
            <w:bottom w:w="0" w:type="dxa"/>
            <w:right w:w="0" w:type="dxa"/>
          </w:tblCellMar>
        </w:tblPrEx>
        <w:trPr>
          <w:trHeight w:val="891"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47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保障资金及时拨付到位</w:t>
            </w:r>
          </w:p>
        </w:tc>
        <w:tc>
          <w:tcPr>
            <w:tcW w:w="33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保障资金及时拨付到位</w:t>
            </w:r>
          </w:p>
        </w:tc>
      </w:tr>
      <w:tr>
        <w:tblPrEx>
          <w:tblLayout w:type="fixed"/>
          <w:tblCellMar>
            <w:top w:w="0" w:type="dxa"/>
            <w:left w:w="0" w:type="dxa"/>
            <w:bottom w:w="0" w:type="dxa"/>
            <w:right w:w="0" w:type="dxa"/>
          </w:tblCellMar>
        </w:tblPrEx>
        <w:trPr>
          <w:trHeight w:val="1042" w:hRule="atLeast"/>
        </w:trPr>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绩效指标完成情况</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一级指标</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二级指标</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三级指标</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预期指标值(包含数字及文字描述)</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经费保障</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szCs w:val="21"/>
              </w:rPr>
            </w:pPr>
            <w:r>
              <w:rPr>
                <w:rFonts w:hint="eastAsia" w:asciiTheme="minorEastAsia" w:hAnsiTheme="minorEastAsia" w:eastAsiaTheme="minorEastAsia"/>
                <w:szCs w:val="21"/>
                <w:shd w:val="clear" w:color="auto" w:fill="FFFFFF"/>
              </w:rPr>
              <w:t>保障土地附着物和青苗补偿费、安置补偿费以及发生的土地复垦费等及时拨付到位</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shd w:val="clear" w:color="auto" w:fill="FFFFFF"/>
              </w:rPr>
              <w:t>保障土地附着物和青苗补偿费、安置补偿费以及发生的土地复垦费等及时拨付到位</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shd w:val="clear" w:color="auto" w:fill="FFFFFF"/>
              </w:rPr>
              <w:t>保障土地附着物和青苗补偿费、安置补偿费以及发生的土地复垦费等及时拨付到位</w:t>
            </w:r>
          </w:p>
        </w:tc>
      </w:tr>
      <w:tr>
        <w:tblPrEx>
          <w:tblLayout w:type="fixed"/>
          <w:tblCellMar>
            <w:top w:w="0" w:type="dxa"/>
            <w:left w:w="0" w:type="dxa"/>
            <w:bottom w:w="0" w:type="dxa"/>
            <w:right w:w="0" w:type="dxa"/>
          </w:tblCellMar>
        </w:tblPrEx>
        <w:trPr>
          <w:trHeight w:val="905"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时效性</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资金拨付及时到位，无差错</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资金拨付及时到位，无差错</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资金拨付及时到位，无差错</w:t>
            </w:r>
          </w:p>
        </w:tc>
      </w:tr>
      <w:tr>
        <w:tblPrEx>
          <w:tblLayout w:type="fixed"/>
          <w:tblCellMar>
            <w:top w:w="0" w:type="dxa"/>
            <w:left w:w="0" w:type="dxa"/>
            <w:bottom w:w="0" w:type="dxa"/>
            <w:right w:w="0" w:type="dxa"/>
          </w:tblCellMar>
        </w:tblPrEx>
        <w:trPr>
          <w:trHeight w:val="964"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满意度指标</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textAlignment w:val="center"/>
              <w:rPr>
                <w:rFonts w:ascii="宋体" w:hAnsi="宋体" w:cs="宋体"/>
                <w:color w:val="000000"/>
                <w:szCs w:val="21"/>
              </w:rPr>
            </w:pPr>
            <w:r>
              <w:rPr>
                <w:rFonts w:hint="eastAsia" w:ascii="宋体" w:hAnsi="宋体" w:cs="宋体"/>
                <w:color w:val="000000"/>
                <w:szCs w:val="21"/>
              </w:rPr>
              <w:t>社会满意度</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社会公众满意度达到100%，无拖欠资金情形，以及上访事件。</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spacing w:line="360" w:lineRule="exact"/>
              <w:rPr>
                <w:szCs w:val="21"/>
              </w:rPr>
            </w:pPr>
            <w:r>
              <w:rPr>
                <w:rFonts w:hint="eastAsia" w:ascii="宋体" w:hAnsi="宋体" w:cs="宋体"/>
                <w:color w:val="000000"/>
                <w:szCs w:val="21"/>
              </w:rPr>
              <w:t>社会公众满意度达到100%，无拖欠资金情形，以及上访事件。</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spacing w:line="360" w:lineRule="exact"/>
              <w:rPr>
                <w:szCs w:val="21"/>
              </w:rPr>
            </w:pPr>
            <w:r>
              <w:rPr>
                <w:rFonts w:hint="eastAsia" w:ascii="宋体" w:hAnsi="宋体" w:cs="宋体"/>
                <w:color w:val="000000"/>
                <w:szCs w:val="21"/>
              </w:rPr>
              <w:t>社会公众满意度达到100%，无拖欠资金情形，以及上访事件。</w:t>
            </w:r>
          </w:p>
        </w:tc>
      </w:tr>
      <w:tr>
        <w:tblPrEx>
          <w:tblLayout w:type="fixed"/>
          <w:tblCellMar>
            <w:top w:w="0" w:type="dxa"/>
            <w:left w:w="0" w:type="dxa"/>
            <w:bottom w:w="0" w:type="dxa"/>
            <w:right w:w="0" w:type="dxa"/>
          </w:tblCellMar>
        </w:tblPrEx>
        <w:trPr>
          <w:trHeight w:val="1034" w:hRule="atLeast"/>
        </w:trPr>
        <w:tc>
          <w:tcPr>
            <w:tcW w:w="8804" w:type="dxa"/>
            <w:gridSpan w:val="6"/>
            <w:tcMar>
              <w:top w:w="15" w:type="dxa"/>
              <w:left w:w="15" w:type="dxa"/>
              <w:bottom w:w="0" w:type="dxa"/>
              <w:right w:w="15" w:type="dxa"/>
            </w:tcMar>
            <w:vAlign w:val="center"/>
          </w:tcPr>
          <w:p>
            <w:pPr>
              <w:widowControl/>
              <w:spacing w:line="480" w:lineRule="auto"/>
              <w:ind w:firstLine="1677" w:firstLineChars="466"/>
              <w:textAlignment w:val="center"/>
              <w:rPr>
                <w:rFonts w:ascii="黑体" w:hAnsi="黑体" w:eastAsia="黑体" w:cs="宋体"/>
                <w:bCs/>
                <w:color w:val="000000"/>
                <w:kern w:val="0"/>
                <w:sz w:val="36"/>
                <w:szCs w:val="36"/>
              </w:rPr>
            </w:pPr>
          </w:p>
          <w:p>
            <w:pPr>
              <w:widowControl/>
              <w:spacing w:line="480" w:lineRule="auto"/>
              <w:ind w:firstLine="1677" w:firstLineChars="466"/>
              <w:textAlignment w:val="center"/>
              <w:rPr>
                <w:rFonts w:ascii="黑体" w:hAnsi="黑体" w:eastAsia="黑体" w:cs="宋体"/>
                <w:bCs/>
                <w:color w:val="000000"/>
                <w:kern w:val="0"/>
                <w:sz w:val="36"/>
                <w:szCs w:val="36"/>
              </w:rPr>
            </w:pPr>
          </w:p>
          <w:p>
            <w:pPr>
              <w:widowControl/>
              <w:spacing w:line="480" w:lineRule="auto"/>
              <w:ind w:firstLine="1677" w:firstLineChars="466"/>
              <w:textAlignment w:val="center"/>
              <w:rPr>
                <w:rFonts w:ascii="黑体" w:hAnsi="黑体" w:eastAsia="黑体" w:cs="宋体"/>
                <w:bCs/>
                <w:color w:val="000000"/>
                <w:kern w:val="0"/>
                <w:sz w:val="36"/>
                <w:szCs w:val="36"/>
              </w:rPr>
            </w:pPr>
          </w:p>
          <w:p>
            <w:pPr>
              <w:widowControl/>
              <w:spacing w:line="480" w:lineRule="auto"/>
              <w:ind w:firstLine="1677" w:firstLineChars="466"/>
              <w:textAlignment w:val="center"/>
              <w:rPr>
                <w:rFonts w:ascii="宋体" w:hAnsi="宋体" w:cs="宋体"/>
                <w:b/>
                <w:bCs/>
                <w:color w:val="000000"/>
                <w:kern w:val="0"/>
                <w:sz w:val="36"/>
                <w:szCs w:val="36"/>
              </w:rPr>
            </w:pPr>
            <w:r>
              <w:rPr>
                <w:rFonts w:hint="eastAsia" w:ascii="黑体" w:hAnsi="黑体" w:eastAsia="黑体" w:cs="宋体"/>
                <w:bCs/>
                <w:color w:val="000000"/>
                <w:kern w:val="0"/>
                <w:sz w:val="36"/>
                <w:szCs w:val="36"/>
              </w:rPr>
              <w:t>项目支出绩效目标完成情况表</w:t>
            </w:r>
          </w:p>
          <w:p>
            <w:pPr>
              <w:pStyle w:val="24"/>
              <w:widowControl/>
              <w:spacing w:line="480" w:lineRule="auto"/>
              <w:ind w:left="4174" w:leftChars="1396" w:hanging="1242" w:hangingChars="345"/>
              <w:textAlignment w:val="center"/>
              <w:rPr>
                <w:rFonts w:ascii="宋体" w:hAnsi="宋体" w:cs="宋体"/>
                <w:color w:val="000000"/>
                <w:sz w:val="36"/>
                <w:szCs w:val="36"/>
              </w:rPr>
            </w:pP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387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49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公诉和审判监督</w:t>
            </w:r>
          </w:p>
        </w:tc>
      </w:tr>
      <w:tr>
        <w:tblPrEx>
          <w:tblLayout w:type="fixed"/>
          <w:tblCellMar>
            <w:top w:w="0" w:type="dxa"/>
            <w:left w:w="0" w:type="dxa"/>
            <w:bottom w:w="0" w:type="dxa"/>
            <w:right w:w="0" w:type="dxa"/>
          </w:tblCellMar>
        </w:tblPrEx>
        <w:trPr>
          <w:trHeight w:val="276" w:hRule="atLeast"/>
        </w:trPr>
        <w:tc>
          <w:tcPr>
            <w:tcW w:w="387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预算单位</w:t>
            </w:r>
          </w:p>
        </w:tc>
        <w:tc>
          <w:tcPr>
            <w:tcW w:w="49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四川省广元市人民检察院</w:t>
            </w:r>
          </w:p>
        </w:tc>
      </w:tr>
      <w:tr>
        <w:tblPrEx>
          <w:tblLayout w:type="fixed"/>
          <w:tblCellMar>
            <w:top w:w="0" w:type="dxa"/>
            <w:left w:w="0" w:type="dxa"/>
            <w:bottom w:w="0" w:type="dxa"/>
            <w:right w:w="0" w:type="dxa"/>
          </w:tblCellMar>
        </w:tblPrEx>
        <w:trPr>
          <w:trHeight w:val="543" w:hRule="atLeast"/>
        </w:trPr>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预算执行情况(万元)</w:t>
            </w:r>
          </w:p>
        </w:tc>
        <w:tc>
          <w:tcPr>
            <w:tcW w:w="31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预算数:</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203.65</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执行数:</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200</w:t>
            </w:r>
          </w:p>
        </w:tc>
      </w:tr>
      <w:tr>
        <w:tblPrEx>
          <w:tblLayout w:type="fixed"/>
          <w:tblCellMar>
            <w:top w:w="0" w:type="dxa"/>
            <w:left w:w="0" w:type="dxa"/>
            <w:bottom w:w="0" w:type="dxa"/>
            <w:right w:w="0" w:type="dxa"/>
          </w:tblCellMar>
        </w:tblPrEx>
        <w:trPr>
          <w:trHeight w:val="276"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31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203.65</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200</w:t>
            </w:r>
          </w:p>
        </w:tc>
      </w:tr>
      <w:tr>
        <w:tblPrEx>
          <w:tblLayout w:type="fixed"/>
          <w:tblCellMar>
            <w:top w:w="0" w:type="dxa"/>
            <w:left w:w="0" w:type="dxa"/>
            <w:bottom w:w="0" w:type="dxa"/>
            <w:right w:w="0" w:type="dxa"/>
          </w:tblCellMar>
        </w:tblPrEx>
        <w:trPr>
          <w:trHeight w:val="576"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31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其它资金:</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0</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其它资金:</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jc w:val="center"/>
              <w:rPr>
                <w:rFonts w:ascii="宋体" w:hAnsi="宋体" w:cs="宋体"/>
                <w:color w:val="000000"/>
                <w:szCs w:val="21"/>
              </w:rPr>
            </w:pPr>
            <w:r>
              <w:rPr>
                <w:rFonts w:hint="eastAsia" w:ascii="宋体" w:hAnsi="宋体" w:cs="宋体"/>
                <w:color w:val="000000"/>
                <w:szCs w:val="21"/>
              </w:rPr>
              <w:t>0</w:t>
            </w:r>
          </w:p>
        </w:tc>
      </w:tr>
      <w:tr>
        <w:tblPrEx>
          <w:tblLayout w:type="fixed"/>
          <w:tblCellMar>
            <w:top w:w="0" w:type="dxa"/>
            <w:left w:w="0" w:type="dxa"/>
            <w:bottom w:w="0" w:type="dxa"/>
            <w:right w:w="0" w:type="dxa"/>
          </w:tblCellMar>
        </w:tblPrEx>
        <w:trPr>
          <w:trHeight w:val="276" w:hRule="atLeast"/>
        </w:trPr>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年度目标完成情况</w:t>
            </w:r>
          </w:p>
        </w:tc>
        <w:tc>
          <w:tcPr>
            <w:tcW w:w="47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预期目标</w:t>
            </w:r>
          </w:p>
        </w:tc>
        <w:tc>
          <w:tcPr>
            <w:tcW w:w="33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实际完成目标</w:t>
            </w:r>
          </w:p>
        </w:tc>
      </w:tr>
      <w:tr>
        <w:tblPrEx>
          <w:tblLayout w:type="fixed"/>
          <w:tblCellMar>
            <w:top w:w="0" w:type="dxa"/>
            <w:left w:w="0" w:type="dxa"/>
            <w:bottom w:w="0" w:type="dxa"/>
            <w:right w:w="0" w:type="dxa"/>
          </w:tblCellMar>
        </w:tblPrEx>
        <w:trPr>
          <w:trHeight w:val="892"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47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积极开展检察业务</w:t>
            </w:r>
          </w:p>
        </w:tc>
        <w:tc>
          <w:tcPr>
            <w:tcW w:w="33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依法打击刑事犯罪，实现办案零差错</w:t>
            </w:r>
          </w:p>
        </w:tc>
      </w:tr>
      <w:tr>
        <w:tblPrEx>
          <w:tblLayout w:type="fixed"/>
          <w:tblCellMar>
            <w:top w:w="0" w:type="dxa"/>
            <w:left w:w="0" w:type="dxa"/>
            <w:bottom w:w="0" w:type="dxa"/>
            <w:right w:w="0" w:type="dxa"/>
          </w:tblCellMar>
        </w:tblPrEx>
        <w:trPr>
          <w:trHeight w:val="1104" w:hRule="atLeast"/>
        </w:trPr>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绩效指标完成情况</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一级指标</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二级指标</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三级指标</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预期指标值(包含数字及文字描述)</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实际完成指标值(包含数字及文字描述)</w:t>
            </w:r>
          </w:p>
        </w:tc>
      </w:tr>
      <w:tr>
        <w:tblPrEx>
          <w:tblLayout w:type="fixed"/>
          <w:tblCellMar>
            <w:top w:w="0" w:type="dxa"/>
            <w:left w:w="0" w:type="dxa"/>
            <w:bottom w:w="0" w:type="dxa"/>
            <w:right w:w="0" w:type="dxa"/>
          </w:tblCellMar>
        </w:tblPrEx>
        <w:trPr>
          <w:trHeight w:val="824"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textAlignment w:val="center"/>
              <w:rPr>
                <w:rFonts w:ascii="宋体" w:hAnsi="宋体" w:cs="宋体"/>
                <w:color w:val="000000"/>
                <w:szCs w:val="21"/>
              </w:rPr>
            </w:pPr>
            <w:r>
              <w:rPr>
                <w:rFonts w:hint="eastAsia" w:ascii="宋体" w:hAnsi="宋体" w:cs="宋体"/>
                <w:color w:val="000000"/>
                <w:szCs w:val="21"/>
              </w:rPr>
              <w:t>检察工作的开展</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严厉打击刑事犯罪</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开展批捕和公诉案件</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开展批捕和公诉案件</w:t>
            </w:r>
          </w:p>
        </w:tc>
      </w:tr>
      <w:tr>
        <w:tblPrEx>
          <w:tblLayout w:type="fixed"/>
          <w:tblCellMar>
            <w:top w:w="0" w:type="dxa"/>
            <w:left w:w="0" w:type="dxa"/>
            <w:bottom w:w="0" w:type="dxa"/>
            <w:right w:w="0" w:type="dxa"/>
          </w:tblCellMar>
        </w:tblPrEx>
        <w:trPr>
          <w:trHeight w:val="938"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检察工作的开展</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加强未成年人检察工作</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落实未成年人检察各项特殊制度</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落实未成年人检察各项特殊制度</w:t>
            </w:r>
          </w:p>
        </w:tc>
      </w:tr>
      <w:tr>
        <w:tblPrEx>
          <w:tblLayout w:type="fixed"/>
          <w:tblCellMar>
            <w:top w:w="0" w:type="dxa"/>
            <w:left w:w="0" w:type="dxa"/>
            <w:bottom w:w="0" w:type="dxa"/>
            <w:right w:w="0" w:type="dxa"/>
          </w:tblCellMar>
        </w:tblPrEx>
        <w:trPr>
          <w:trHeight w:val="686"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检察工作的开展</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依法化解矛盾纠纷</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妥善处理各类信访矛盾纠纷</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妥善处理各类信访矛盾纠纷</w:t>
            </w:r>
          </w:p>
        </w:tc>
      </w:tr>
      <w:tr>
        <w:tblPrEx>
          <w:tblLayout w:type="fixed"/>
          <w:tblCellMar>
            <w:top w:w="0" w:type="dxa"/>
            <w:left w:w="0" w:type="dxa"/>
            <w:bottom w:w="0" w:type="dxa"/>
            <w:right w:w="0" w:type="dxa"/>
          </w:tblCellMar>
        </w:tblPrEx>
        <w:trPr>
          <w:trHeight w:val="974"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kern w:val="0"/>
                <w:szCs w:val="21"/>
              </w:rPr>
            </w:pPr>
            <w:r>
              <w:rPr>
                <w:rFonts w:hint="eastAsia" w:ascii="宋体" w:hAnsi="宋体" w:cs="宋体"/>
                <w:color w:val="000000"/>
                <w:kern w:val="0"/>
                <w:szCs w:val="21"/>
              </w:rPr>
              <w:t>项目完成指标</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检察工作的开展</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加强诉讼监督</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依法监督有案不立、有罪不究等问题</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依法监督有案不立、有罪不究等问题</w:t>
            </w:r>
          </w:p>
        </w:tc>
      </w:tr>
      <w:tr>
        <w:tblPrEx>
          <w:tblLayout w:type="fixed"/>
          <w:tblCellMar>
            <w:top w:w="0" w:type="dxa"/>
            <w:left w:w="0" w:type="dxa"/>
            <w:bottom w:w="0" w:type="dxa"/>
            <w:right w:w="0" w:type="dxa"/>
          </w:tblCellMar>
        </w:tblPrEx>
        <w:trPr>
          <w:trHeight w:val="401"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政府性指令落实</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贯彻宽严相济刑事政策</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textAlignment w:val="center"/>
              <w:rPr>
                <w:rFonts w:ascii="宋体" w:hAnsi="宋体" w:cs="宋体"/>
                <w:color w:val="000000"/>
                <w:szCs w:val="21"/>
              </w:rPr>
            </w:pPr>
            <w:r>
              <w:rPr>
                <w:rFonts w:hint="eastAsia" w:ascii="宋体" w:hAnsi="宋体" w:cs="宋体"/>
                <w:color w:val="000000"/>
                <w:szCs w:val="21"/>
              </w:rPr>
              <w:t xml:space="preserve"> 完善检察环节轻微刑事案件从宽处理机制，深化刑事和解、检调对接工作</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textAlignment w:val="center"/>
              <w:rPr>
                <w:rFonts w:ascii="宋体" w:hAnsi="宋体" w:cs="宋体"/>
                <w:color w:val="000000"/>
                <w:szCs w:val="21"/>
              </w:rPr>
            </w:pPr>
            <w:r>
              <w:rPr>
                <w:rFonts w:hint="eastAsia" w:ascii="宋体" w:hAnsi="宋体" w:cs="宋体"/>
                <w:color w:val="000000"/>
                <w:szCs w:val="21"/>
              </w:rPr>
              <w:t>完善检察环节轻微刑事案件从宽处理机制，深化刑事和解、检调对接工作</w:t>
            </w:r>
          </w:p>
        </w:tc>
      </w:tr>
      <w:tr>
        <w:tblPrEx>
          <w:tblLayout w:type="fixed"/>
          <w:tblCellMar>
            <w:top w:w="0" w:type="dxa"/>
            <w:left w:w="0" w:type="dxa"/>
            <w:bottom w:w="0" w:type="dxa"/>
            <w:right w:w="0" w:type="dxa"/>
          </w:tblCellMar>
        </w:tblPrEx>
        <w:trPr>
          <w:trHeight w:val="538"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政府性指令落实</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深入推进公益诉讼工作</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开展公益诉讼</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开展公益诉讼</w:t>
            </w:r>
          </w:p>
        </w:tc>
      </w:tr>
      <w:tr>
        <w:tblPrEx>
          <w:tblLayout w:type="fixed"/>
          <w:tblCellMar>
            <w:top w:w="0" w:type="dxa"/>
            <w:left w:w="0" w:type="dxa"/>
            <w:bottom w:w="0" w:type="dxa"/>
            <w:right w:w="0" w:type="dxa"/>
          </w:tblCellMar>
        </w:tblPrEx>
        <w:trPr>
          <w:trHeight w:val="678"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满意度指标</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textAlignment w:val="center"/>
              <w:rPr>
                <w:rFonts w:ascii="宋体" w:hAnsi="宋体" w:cs="宋体"/>
                <w:color w:val="000000"/>
                <w:szCs w:val="21"/>
              </w:rPr>
            </w:pPr>
            <w:r>
              <w:rPr>
                <w:rFonts w:hint="eastAsia" w:ascii="宋体" w:hAnsi="宋体" w:cs="宋体"/>
                <w:color w:val="000000"/>
                <w:szCs w:val="21"/>
              </w:rPr>
              <w:t>落实司法责任制</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确保监管不缺位</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围绕监督主责主任，严守公平正义防线</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围绕监督主责主任，严守公平正义防线</w:t>
            </w:r>
          </w:p>
        </w:tc>
      </w:tr>
      <w:tr>
        <w:tblPrEx>
          <w:tblLayout w:type="fixed"/>
          <w:tblCellMar>
            <w:top w:w="0" w:type="dxa"/>
            <w:left w:w="0" w:type="dxa"/>
            <w:bottom w:w="0" w:type="dxa"/>
            <w:right w:w="0" w:type="dxa"/>
          </w:tblCellMar>
        </w:tblPrEx>
        <w:trPr>
          <w:trHeight w:val="1034" w:hRule="atLeast"/>
        </w:trPr>
        <w:tc>
          <w:tcPr>
            <w:tcW w:w="8804" w:type="dxa"/>
            <w:gridSpan w:val="6"/>
            <w:tcMar>
              <w:top w:w="15" w:type="dxa"/>
              <w:left w:w="15" w:type="dxa"/>
              <w:bottom w:w="0" w:type="dxa"/>
              <w:right w:w="15" w:type="dxa"/>
            </w:tcMar>
            <w:vAlign w:val="center"/>
          </w:tcPr>
          <w:p>
            <w:pPr>
              <w:widowControl/>
              <w:spacing w:line="600" w:lineRule="exact"/>
              <w:textAlignment w:val="center"/>
              <w:rPr>
                <w:rFonts w:ascii="宋体" w:hAnsi="宋体" w:cs="宋体"/>
                <w:color w:val="000000"/>
                <w:sz w:val="36"/>
                <w:szCs w:val="36"/>
              </w:rPr>
            </w:pPr>
          </w:p>
        </w:tc>
      </w:tr>
    </w:tbl>
    <w:p>
      <w:pPr>
        <w:spacing w:line="600" w:lineRule="exact"/>
        <w:ind w:firstLine="472" w:firstLineChars="147"/>
        <w:rPr>
          <w:rFonts w:ascii="仿宋" w:hAnsi="仿宋" w:eastAsia="仿宋" w:cs="仿宋_GB2312"/>
          <w:sz w:val="32"/>
          <w:szCs w:val="32"/>
        </w:rPr>
      </w:pPr>
      <w:r>
        <w:rPr>
          <w:rFonts w:hint="eastAsia" w:ascii="仿宋" w:hAnsi="仿宋" w:eastAsia="仿宋" w:cs="楷体_GB2312"/>
          <w:b/>
          <w:bCs/>
          <w:sz w:val="32"/>
          <w:szCs w:val="32"/>
        </w:rPr>
        <w:t>（三）部门开展绩效评价结果。</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本部门按要求对2018年部门整体支出绩效评价情况开展自评，《广元市人民检察院2018年部门整体支出绩效评价报告》见附件。</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自行组织对人民监督员、刑事司法救助、援藏援彝、综合办公及技侦用房建设征地拆迁补偿费和耕地开垦费、公诉和审判监督项目开展了绩效评价，《人民监督员项目2018年绩效评价报告》《刑事司法救助项目2018年绩效评价报告》《综合办公及技侦用房建设征地拆迁补偿费和耕地开垦费项目2018年绩效评价报告》《援藏援彝项目2018年绩效评价报告》《公诉和审判监督项目2018年绩效评价报告》见附件。</w:t>
      </w:r>
    </w:p>
    <w:p>
      <w:pPr>
        <w:spacing w:line="600" w:lineRule="exact"/>
        <w:jc w:val="center"/>
        <w:rPr>
          <w:rFonts w:cs="方正小标宋简体" w:asciiTheme="minorEastAsia" w:hAnsiTheme="minorEastAsia" w:eastAsiaTheme="minorEastAsia"/>
          <w:sz w:val="44"/>
          <w:szCs w:val="44"/>
        </w:rPr>
      </w:pPr>
    </w:p>
    <w:p>
      <w:pPr>
        <w:spacing w:line="600" w:lineRule="exact"/>
        <w:ind w:firstLine="800" w:firstLineChars="250"/>
        <w:outlineLvl w:val="1"/>
        <w:rPr>
          <w:rStyle w:val="26"/>
          <w:rFonts w:ascii="黑体" w:hAnsi="黑体" w:eastAsia="黑体"/>
        </w:rPr>
      </w:pPr>
      <w:bookmarkStart w:id="45" w:name="_Toc15377221"/>
      <w:bookmarkStart w:id="46" w:name="_Toc15396612"/>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45"/>
      <w:bookmarkEnd w:id="46"/>
    </w:p>
    <w:p>
      <w:pPr>
        <w:spacing w:line="600" w:lineRule="exact"/>
        <w:ind w:firstLine="643" w:firstLineChars="200"/>
        <w:outlineLvl w:val="2"/>
        <w:rPr>
          <w:rFonts w:asciiTheme="minorEastAsia" w:hAnsiTheme="minorEastAsia" w:eastAsiaTheme="minorEastAsia"/>
          <w:color w:val="000000"/>
          <w:sz w:val="32"/>
          <w:szCs w:val="32"/>
        </w:rPr>
      </w:pPr>
      <w:bookmarkStart w:id="47" w:name="_Toc15377222"/>
      <w:r>
        <w:rPr>
          <w:rFonts w:hint="eastAsia" w:asciiTheme="minorEastAsia" w:hAnsiTheme="minorEastAsia" w:eastAsiaTheme="minorEastAsia"/>
          <w:b/>
          <w:color w:val="000000"/>
          <w:sz w:val="32"/>
          <w:szCs w:val="32"/>
        </w:rPr>
        <w:t>（一）机关运行经费支出情况</w:t>
      </w:r>
      <w:bookmarkEnd w:id="47"/>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8年，市检察院机关运行经费支出578.92万元，比</w:t>
      </w:r>
      <w:r>
        <w:rPr>
          <w:rFonts w:ascii="仿宋" w:hAnsi="仿宋" w:eastAsia="仿宋"/>
          <w:color w:val="000000"/>
          <w:sz w:val="32"/>
          <w:szCs w:val="32"/>
        </w:rPr>
        <w:t>201</w:t>
      </w:r>
      <w:r>
        <w:rPr>
          <w:rFonts w:hint="eastAsia" w:ascii="仿宋" w:hAnsi="仿宋" w:eastAsia="仿宋"/>
          <w:color w:val="000000"/>
          <w:sz w:val="32"/>
          <w:szCs w:val="32"/>
        </w:rPr>
        <w:t>7年增加68.44万元，增长13.41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主要原因是回归了真正意义上的公用经费支出，去年是把办案正常支出列入项目经费支出。</w:t>
      </w:r>
    </w:p>
    <w:p>
      <w:pPr>
        <w:autoSpaceDE w:val="0"/>
        <w:autoSpaceDN w:val="0"/>
        <w:adjustRightInd w:val="0"/>
        <w:spacing w:line="600" w:lineRule="exact"/>
        <w:ind w:firstLine="643" w:firstLineChars="200"/>
        <w:jc w:val="left"/>
        <w:outlineLvl w:val="2"/>
        <w:rPr>
          <w:rFonts w:asciiTheme="minorEastAsia" w:hAnsiTheme="minorEastAsia" w:eastAsiaTheme="minorEastAsia"/>
          <w:b/>
          <w:color w:val="000000"/>
          <w:sz w:val="32"/>
          <w:szCs w:val="32"/>
        </w:rPr>
      </w:pPr>
      <w:bookmarkStart w:id="48" w:name="_Toc15377223"/>
      <w:r>
        <w:rPr>
          <w:rFonts w:hint="eastAsia" w:asciiTheme="minorEastAsia" w:hAnsiTheme="minorEastAsia" w:eastAsiaTheme="minorEastAsia"/>
          <w:b/>
          <w:color w:val="000000"/>
          <w:sz w:val="32"/>
          <w:szCs w:val="32"/>
        </w:rPr>
        <w:t>（二）政府采购支出情况</w:t>
      </w:r>
      <w:bookmarkEnd w:id="48"/>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市人民检察院政府采购支出总额46.26万元，其中：政府采购货物支出46.26万元。政府采购工程支出0万元、政府采购服务支出0万元。主要用于办案车辆购置。授予中小企业合同金额0万元，占政府采购支出总额的0</w:t>
      </w:r>
      <w:r>
        <w:rPr>
          <w:rFonts w:ascii="仿宋" w:hAnsi="仿宋" w:eastAsia="仿宋"/>
          <w:color w:val="000000"/>
          <w:sz w:val="32"/>
          <w:szCs w:val="32"/>
        </w:rPr>
        <w:t>%</w:t>
      </w:r>
      <w:r>
        <w:rPr>
          <w:rFonts w:hint="eastAsia" w:ascii="仿宋" w:hAnsi="仿宋" w:eastAsia="仿宋"/>
          <w:color w:val="000000"/>
          <w:sz w:val="32"/>
          <w:szCs w:val="32"/>
        </w:rPr>
        <w:t>，其中：授予小微企业合同金额0万元，占政府采购支出总额的0</w:t>
      </w:r>
      <w:r>
        <w:rPr>
          <w:rFonts w:ascii="仿宋" w:hAnsi="仿宋" w:eastAsia="仿宋"/>
          <w:color w:val="000000"/>
          <w:sz w:val="32"/>
          <w:szCs w:val="32"/>
        </w:rPr>
        <w:t>%</w:t>
      </w:r>
      <w:r>
        <w:rPr>
          <w:rFonts w:hint="eastAsia" w:ascii="仿宋" w:hAnsi="仿宋" w:eastAsia="仿宋"/>
          <w:color w:val="000000"/>
          <w:sz w:val="32"/>
          <w:szCs w:val="32"/>
        </w:rPr>
        <w:t>。</w:t>
      </w:r>
    </w:p>
    <w:p>
      <w:pPr>
        <w:autoSpaceDE w:val="0"/>
        <w:autoSpaceDN w:val="0"/>
        <w:adjustRightInd w:val="0"/>
        <w:spacing w:line="600" w:lineRule="exact"/>
        <w:ind w:firstLine="643" w:firstLineChars="200"/>
        <w:jc w:val="left"/>
        <w:outlineLvl w:val="2"/>
        <w:rPr>
          <w:rFonts w:asciiTheme="minorEastAsia" w:hAnsiTheme="minorEastAsia" w:eastAsiaTheme="minorEastAsia"/>
          <w:b/>
          <w:color w:val="000000"/>
          <w:sz w:val="32"/>
          <w:szCs w:val="32"/>
        </w:rPr>
      </w:pPr>
      <w:bookmarkStart w:id="49" w:name="_Toc15377224"/>
      <w:r>
        <w:rPr>
          <w:rFonts w:hint="eastAsia" w:asciiTheme="minorEastAsia" w:hAnsiTheme="minorEastAsia" w:eastAsiaTheme="minorEastAsia"/>
          <w:b/>
          <w:color w:val="000000"/>
          <w:sz w:val="32"/>
          <w:szCs w:val="32"/>
        </w:rPr>
        <w:t>（三）国有资产占有使用情况</w:t>
      </w:r>
      <w:bookmarkEnd w:id="49"/>
    </w:p>
    <w:p>
      <w:pPr>
        <w:autoSpaceDE w:val="0"/>
        <w:autoSpaceDN w:val="0"/>
        <w:adjustRightInd w:val="0"/>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201</w:t>
      </w:r>
      <w:r>
        <w:rPr>
          <w:rFonts w:hint="eastAsia" w:ascii="仿宋" w:hAnsi="仿宋" w:eastAsia="仿宋"/>
          <w:color w:val="000000"/>
          <w:sz w:val="32"/>
          <w:szCs w:val="32"/>
        </w:rPr>
        <w:t>8年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日，市人民检察院共有车辆19辆，其中：部级领导干部用车0辆、一般公务用车0辆、一般执法执勤用车17辆、特种专业技术用车2辆、其他用车0辆。单价</w:t>
      </w:r>
      <w:r>
        <w:rPr>
          <w:rFonts w:ascii="仿宋" w:hAnsi="仿宋" w:eastAsia="仿宋"/>
          <w:color w:val="000000"/>
          <w:sz w:val="32"/>
          <w:szCs w:val="32"/>
        </w:rPr>
        <w:t>50</w:t>
      </w:r>
      <w:r>
        <w:rPr>
          <w:rFonts w:hint="eastAsia" w:ascii="仿宋" w:hAnsi="仿宋" w:eastAsia="仿宋"/>
          <w:color w:val="000000"/>
          <w:sz w:val="32"/>
          <w:szCs w:val="32"/>
        </w:rPr>
        <w:t>万元以上通用设备1台，单价</w:t>
      </w:r>
      <w:r>
        <w:rPr>
          <w:rFonts w:ascii="仿宋" w:hAnsi="仿宋" w:eastAsia="仿宋"/>
          <w:color w:val="000000"/>
          <w:sz w:val="32"/>
          <w:szCs w:val="32"/>
        </w:rPr>
        <w:t>100</w:t>
      </w:r>
      <w:r>
        <w:rPr>
          <w:rFonts w:hint="eastAsia" w:ascii="仿宋" w:hAnsi="仿宋" w:eastAsia="仿宋"/>
          <w:color w:val="000000"/>
          <w:sz w:val="32"/>
          <w:szCs w:val="32"/>
        </w:rPr>
        <w:t>万元以上专用设备0台。</w:t>
      </w:r>
    </w:p>
    <w:p>
      <w:pPr>
        <w:widowControl/>
        <w:spacing w:line="600" w:lineRule="exact"/>
        <w:jc w:val="left"/>
        <w:rPr>
          <w:rFonts w:asciiTheme="minorEastAsia" w:hAnsiTheme="minorEastAsia" w:eastAsiaTheme="minorEastAsia"/>
          <w:b/>
          <w:color w:val="000000"/>
          <w:sz w:val="32"/>
          <w:szCs w:val="32"/>
        </w:rPr>
      </w:pPr>
    </w:p>
    <w:p>
      <w:pPr>
        <w:numPr>
          <w:ilvl w:val="0"/>
          <w:numId w:val="4"/>
        </w:numPr>
        <w:spacing w:line="600" w:lineRule="exact"/>
        <w:ind w:firstLine="663" w:firstLineChars="150"/>
        <w:jc w:val="center"/>
        <w:outlineLvl w:val="0"/>
        <w:rPr>
          <w:rStyle w:val="25"/>
          <w:rFonts w:ascii="黑体" w:hAnsi="黑体" w:eastAsia="黑体"/>
          <w:b w:val="0"/>
        </w:rPr>
      </w:pPr>
      <w:bookmarkStart w:id="50" w:name="_Toc15396613"/>
      <w:bookmarkStart w:id="51" w:name="_Toc15377225"/>
      <w:r>
        <w:rPr>
          <w:rFonts w:hint="eastAsia" w:ascii="黑体" w:hAnsi="黑体" w:eastAsia="黑体"/>
          <w:b/>
          <w:color w:val="000000"/>
          <w:sz w:val="44"/>
          <w:szCs w:val="44"/>
        </w:rPr>
        <w:t>名</w:t>
      </w:r>
      <w:r>
        <w:rPr>
          <w:rStyle w:val="25"/>
          <w:rFonts w:hint="eastAsia" w:ascii="黑体" w:hAnsi="黑体" w:eastAsia="黑体"/>
          <w:b w:val="0"/>
        </w:rPr>
        <w:t>词解释</w:t>
      </w:r>
      <w:bookmarkEnd w:id="50"/>
      <w:bookmarkEnd w:id="51"/>
    </w:p>
    <w:p>
      <w:pPr>
        <w:spacing w:line="600" w:lineRule="exact"/>
        <w:jc w:val="left"/>
        <w:rPr>
          <w:rFonts w:ascii="宋体"/>
          <w:b/>
          <w:color w:val="000000"/>
          <w:sz w:val="44"/>
          <w:szCs w:val="44"/>
        </w:rPr>
      </w:pPr>
    </w:p>
    <w:p>
      <w:pPr>
        <w:pStyle w:val="23"/>
        <w:spacing w:line="600" w:lineRule="exact"/>
        <w:ind w:firstLine="640" w:firstLineChars="200"/>
        <w:rPr>
          <w:rFonts w:hAnsi="仿宋"/>
          <w:sz w:val="32"/>
          <w:szCs w:val="32"/>
        </w:rPr>
      </w:pPr>
      <w:bookmarkStart w:id="52" w:name="_Toc15396614"/>
      <w:bookmarkStart w:id="53" w:name="_Toc15377226"/>
      <w:r>
        <w:rPr>
          <w:rFonts w:hint="eastAsia" w:hAnsi="仿宋"/>
          <w:sz w:val="32"/>
          <w:szCs w:val="32"/>
        </w:rPr>
        <w:t xml:space="preserve">1.财政拨款收入：指省级财政当年拨付的资金。 </w:t>
      </w:r>
    </w:p>
    <w:p>
      <w:pPr>
        <w:pStyle w:val="23"/>
        <w:spacing w:line="600" w:lineRule="exact"/>
        <w:ind w:firstLine="640" w:firstLineChars="200"/>
        <w:rPr>
          <w:rFonts w:hAnsi="仿宋"/>
          <w:sz w:val="32"/>
          <w:szCs w:val="32"/>
        </w:rPr>
      </w:pPr>
      <w:r>
        <w:rPr>
          <w:rFonts w:hint="eastAsia" w:hAnsi="仿宋"/>
          <w:sz w:val="32"/>
          <w:szCs w:val="32"/>
        </w:rPr>
        <w:t xml:space="preserve">2.年初结转和结余：指以前年度尚未完成、结转到本年按有关规定继续使用的资金。 </w:t>
      </w:r>
    </w:p>
    <w:p>
      <w:pPr>
        <w:pStyle w:val="23"/>
        <w:spacing w:line="600" w:lineRule="exact"/>
        <w:ind w:firstLine="640" w:firstLineChars="200"/>
        <w:rPr>
          <w:rFonts w:hAnsi="仿宋"/>
          <w:sz w:val="32"/>
          <w:szCs w:val="32"/>
        </w:rPr>
      </w:pPr>
      <w:r>
        <w:rPr>
          <w:rFonts w:hint="eastAsia" w:hAnsi="仿宋"/>
          <w:sz w:val="32"/>
          <w:szCs w:val="32"/>
        </w:rPr>
        <w:t>3.公共安全支出（类）检察（款）行政运行（项）:反映行政单位（包括实行公务员管理的事业单位）的基本支出。</w:t>
      </w:r>
    </w:p>
    <w:p>
      <w:pPr>
        <w:pStyle w:val="23"/>
        <w:spacing w:line="600" w:lineRule="exact"/>
        <w:ind w:firstLine="640" w:firstLineChars="200"/>
        <w:rPr>
          <w:rFonts w:hAnsi="仿宋"/>
          <w:sz w:val="32"/>
          <w:szCs w:val="32"/>
        </w:rPr>
      </w:pPr>
      <w:r>
        <w:rPr>
          <w:rFonts w:hint="eastAsia" w:hAnsi="仿宋"/>
          <w:sz w:val="32"/>
          <w:szCs w:val="32"/>
        </w:rPr>
        <w:t>4.公共安全支出（类）检察（款）一般行政管理事务（项）:反映行政单位（包括实行公务员管理的事业单位）未单独设置项级科目的其他项目支出。</w:t>
      </w:r>
    </w:p>
    <w:p>
      <w:pPr>
        <w:pStyle w:val="23"/>
        <w:spacing w:line="600" w:lineRule="exact"/>
        <w:ind w:firstLine="640" w:firstLineChars="200"/>
        <w:rPr>
          <w:rFonts w:hAnsi="仿宋"/>
          <w:sz w:val="32"/>
          <w:szCs w:val="32"/>
        </w:rPr>
      </w:pPr>
      <w:r>
        <w:rPr>
          <w:rFonts w:hint="eastAsia" w:hAnsi="仿宋"/>
          <w:sz w:val="32"/>
          <w:szCs w:val="32"/>
        </w:rPr>
        <w:t>5.公共安全支出（类）检察（款）查办和预防职务犯罪（项）：反映查办贪污贿赂、渎职侵权等职务犯罪案件所发生的支出以及开展预防职务犯罪工作的支出。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w:t>
      </w:r>
      <w:r>
        <w:rPr>
          <w:rFonts w:hint="eastAsia" w:ascii="仿宋" w:hAnsi="仿宋" w:eastAsia="仿宋"/>
          <w:sz w:val="32"/>
          <w:szCs w:val="32"/>
        </w:rPr>
        <w:t>公共安全支出（类）检察（款）</w:t>
      </w:r>
      <w:r>
        <w:rPr>
          <w:rFonts w:hint="eastAsia" w:ascii="仿宋" w:hAnsi="仿宋" w:eastAsia="仿宋"/>
          <w:color w:val="000000"/>
          <w:sz w:val="32"/>
          <w:szCs w:val="32"/>
        </w:rPr>
        <w:t>公诉与审判监督</w:t>
      </w:r>
      <w:r>
        <w:rPr>
          <w:rFonts w:hint="eastAsia" w:ascii="仿宋" w:hAnsi="仿宋" w:eastAsia="仿宋"/>
          <w:sz w:val="32"/>
          <w:szCs w:val="32"/>
        </w:rPr>
        <w:t>（项）：</w:t>
      </w:r>
      <w:r>
        <w:rPr>
          <w:rFonts w:hint="eastAsia" w:ascii="仿宋" w:hAnsi="仿宋" w:eastAsia="仿宋"/>
          <w:color w:val="000000"/>
          <w:sz w:val="32"/>
          <w:szCs w:val="32"/>
        </w:rPr>
        <w:t>指反映刑事犯罪案件审查起诉、出庭公诉以及对人民法院刑事、民事、行政审判活动进行监督支出。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w:t>
      </w:r>
      <w:r>
        <w:rPr>
          <w:rFonts w:hint="eastAsia" w:ascii="仿宋" w:hAnsi="仿宋" w:eastAsia="仿宋"/>
          <w:sz w:val="32"/>
          <w:szCs w:val="32"/>
        </w:rPr>
        <w:t>公共安全支出（类）检察（款）</w:t>
      </w:r>
      <w:r>
        <w:rPr>
          <w:rFonts w:hint="eastAsia" w:ascii="仿宋" w:hAnsi="仿宋" w:eastAsia="仿宋"/>
          <w:color w:val="000000"/>
          <w:sz w:val="32"/>
          <w:szCs w:val="32"/>
        </w:rPr>
        <w:t>侦查监督</w:t>
      </w:r>
      <w:r>
        <w:rPr>
          <w:rFonts w:hint="eastAsia" w:ascii="仿宋" w:hAnsi="仿宋" w:eastAsia="仿宋"/>
          <w:sz w:val="32"/>
          <w:szCs w:val="32"/>
        </w:rPr>
        <w:t>（项）：</w:t>
      </w:r>
      <w:r>
        <w:rPr>
          <w:rFonts w:hint="eastAsia" w:ascii="仿宋" w:hAnsi="仿宋" w:eastAsia="仿宋"/>
          <w:color w:val="000000"/>
          <w:sz w:val="32"/>
          <w:szCs w:val="32"/>
        </w:rPr>
        <w:t>指反映对刑事犯罪嫌疑人审查批捕、决定逮捕和刑事犯罪案件立案、侦查活动进行监督的支出。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w:t>
      </w:r>
      <w:r>
        <w:rPr>
          <w:rFonts w:hint="eastAsia" w:ascii="仿宋" w:hAnsi="仿宋" w:eastAsia="仿宋"/>
          <w:sz w:val="32"/>
          <w:szCs w:val="32"/>
        </w:rPr>
        <w:t>公共安全支出（类）检察（款）</w:t>
      </w:r>
      <w:r>
        <w:rPr>
          <w:rFonts w:hint="eastAsia" w:ascii="仿宋" w:hAnsi="仿宋" w:eastAsia="仿宋"/>
          <w:color w:val="000000"/>
          <w:sz w:val="32"/>
          <w:szCs w:val="32"/>
        </w:rPr>
        <w:t>执行监督</w:t>
      </w:r>
      <w:r>
        <w:rPr>
          <w:rFonts w:hint="eastAsia" w:ascii="仿宋" w:hAnsi="仿宋" w:eastAsia="仿宋"/>
          <w:sz w:val="32"/>
          <w:szCs w:val="32"/>
        </w:rPr>
        <w:t>（项）：</w:t>
      </w:r>
      <w:r>
        <w:rPr>
          <w:rFonts w:hint="eastAsia" w:ascii="仿宋" w:hAnsi="仿宋" w:eastAsia="仿宋"/>
          <w:color w:val="000000"/>
          <w:sz w:val="32"/>
          <w:szCs w:val="32"/>
        </w:rPr>
        <w:t>指反映对人民法院和监管改造机关执行刑罚活动进行监督的支出。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w:t>
      </w:r>
      <w:r>
        <w:rPr>
          <w:rFonts w:hint="eastAsia" w:ascii="仿宋" w:hAnsi="仿宋" w:eastAsia="仿宋"/>
          <w:sz w:val="32"/>
          <w:szCs w:val="32"/>
        </w:rPr>
        <w:t>公共安全支出（类）检察（款）</w:t>
      </w:r>
      <w:r>
        <w:rPr>
          <w:rFonts w:hint="eastAsia" w:ascii="仿宋" w:hAnsi="仿宋" w:eastAsia="仿宋"/>
          <w:color w:val="000000"/>
          <w:sz w:val="32"/>
          <w:szCs w:val="32"/>
        </w:rPr>
        <w:t>控告申诉</w:t>
      </w:r>
      <w:r>
        <w:rPr>
          <w:rFonts w:hint="eastAsia" w:ascii="仿宋" w:hAnsi="仿宋" w:eastAsia="仿宋"/>
          <w:sz w:val="32"/>
          <w:szCs w:val="32"/>
        </w:rPr>
        <w:t>（项）：</w:t>
      </w:r>
      <w:r>
        <w:rPr>
          <w:rFonts w:hint="eastAsia" w:ascii="仿宋" w:hAnsi="仿宋" w:eastAsia="仿宋"/>
          <w:color w:val="000000"/>
          <w:sz w:val="32"/>
          <w:szCs w:val="32"/>
        </w:rPr>
        <w:t>指反映受理举报、控告、刑事申诉等方面的支出。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10.</w:t>
      </w:r>
      <w:r>
        <w:rPr>
          <w:rFonts w:hint="eastAsia" w:ascii="仿宋" w:hAnsi="仿宋" w:eastAsia="仿宋"/>
          <w:sz w:val="32"/>
          <w:szCs w:val="32"/>
        </w:rPr>
        <w:t>公共安全支出（类）检察（款）</w:t>
      </w:r>
      <w:r>
        <w:rPr>
          <w:rFonts w:hint="eastAsia" w:ascii="仿宋" w:hAnsi="仿宋" w:eastAsia="仿宋"/>
          <w:color w:val="000000"/>
          <w:sz w:val="32"/>
          <w:szCs w:val="32"/>
        </w:rPr>
        <w:t>“两房建设”</w:t>
      </w:r>
      <w:r>
        <w:rPr>
          <w:rFonts w:hint="eastAsia" w:ascii="仿宋" w:hAnsi="仿宋" w:eastAsia="仿宋"/>
          <w:sz w:val="32"/>
          <w:szCs w:val="32"/>
        </w:rPr>
        <w:t>（项）：</w:t>
      </w:r>
      <w:r>
        <w:rPr>
          <w:rFonts w:hint="eastAsia" w:ascii="仿宋" w:hAnsi="仿宋" w:eastAsia="仿宋"/>
          <w:color w:val="000000"/>
          <w:sz w:val="32"/>
          <w:szCs w:val="32"/>
        </w:rPr>
        <w:t>指反映办案用房和专业技术用房及附属设施的建设和修缮支出。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11</w:t>
      </w:r>
      <w:r>
        <w:rPr>
          <w:rFonts w:hint="eastAsia" w:ascii="仿宋" w:hAnsi="仿宋" w:eastAsia="仿宋"/>
          <w:sz w:val="32"/>
          <w:szCs w:val="32"/>
        </w:rPr>
        <w:t>.医疗卫生与计划生育支出（类）行政事业单位医疗（款）行政单位医疗（项）:</w:t>
      </w:r>
      <w:r>
        <w:rPr>
          <w:rFonts w:hint="eastAsia" w:ascii="仿宋" w:hAnsi="仿宋" w:eastAsia="仿宋"/>
          <w:color w:val="000000"/>
          <w:sz w:val="32"/>
          <w:szCs w:val="32"/>
        </w:rPr>
        <w:t>指反映财政部门集中安排的行政单位基本医疗保险缴费经费，未参加医疗保险的行政单位的公费医疗费，按国家规定享受离休人员、红军老战士待遇人员的医疗经费。</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12.</w:t>
      </w:r>
      <w:r>
        <w:rPr>
          <w:rFonts w:hint="eastAsia" w:ascii="仿宋" w:hAnsi="仿宋" w:eastAsia="仿宋"/>
          <w:sz w:val="32"/>
          <w:szCs w:val="32"/>
        </w:rPr>
        <w:t>住房保障支出（类）住房改革支出（款）住房公积金（项）：</w:t>
      </w:r>
      <w:r>
        <w:rPr>
          <w:rFonts w:hint="eastAsia" w:ascii="仿宋" w:hAnsi="仿宋" w:eastAsia="仿宋"/>
          <w:color w:val="000000"/>
          <w:sz w:val="32"/>
          <w:szCs w:val="32"/>
        </w:rPr>
        <w:t>指反映行政事业单位按人力资源和社会保障部、财政部规定的基本工资和津贴补贴以及规定比例为职工缴纳的住房公积金。</w:t>
      </w:r>
    </w:p>
    <w:p>
      <w:pPr>
        <w:spacing w:line="600" w:lineRule="exact"/>
        <w:ind w:firstLine="640" w:firstLineChars="200"/>
        <w:rPr>
          <w:rFonts w:ascii="仿宋" w:hAnsi="仿宋" w:eastAsia="仿宋"/>
          <w:color w:val="000000"/>
          <w:sz w:val="32"/>
          <w:szCs w:val="32"/>
        </w:rPr>
      </w:pPr>
      <w:r>
        <w:rPr>
          <w:rFonts w:hint="eastAsia" w:ascii="仿宋" w:hAnsi="仿宋" w:eastAsia="仿宋"/>
          <w:sz w:val="32"/>
          <w:szCs w:val="32"/>
        </w:rPr>
        <w:t>13.社会保障和就业支出（类）行政事业单位离退休（款）机关事业单位基本养老保险缴费支出（项）:</w:t>
      </w:r>
      <w:r>
        <w:rPr>
          <w:rFonts w:hint="eastAsia" w:ascii="仿宋" w:hAnsi="仿宋" w:eastAsia="仿宋"/>
          <w:color w:val="000000"/>
          <w:sz w:val="32"/>
          <w:szCs w:val="32"/>
        </w:rPr>
        <w:t>指反映未实行归口管理的行政单位（包括实行公务员管理的事业单位）开支的离退休经费。</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14．城乡社区（类）国有土地使用权出让收入及对应专项债务收入安排的支出（款）征地和拆迁补偿支出（项）：指反映新疆生产建设兵团和地方政府在征地和收购土地过程中支付的土地补偿费、安置补助费、地上附着和青苗补偿费、拆迁补偿费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15.年末结转和结余：指本年度或以前年度预算安排、因客观条件发生变化无法按原计划实施，需延迟到以后年度按有关规定继续使用的资金。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16.基本支出：指为保障机构正常运转、完成日常工作任务而发生的人员支出和公用支出。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17.项目支出：指在基本支出之外为完成特定行政任务和事业发展目标所发生的支出。 </w:t>
      </w:r>
    </w:p>
    <w:p>
      <w:pPr>
        <w:pStyle w:val="23"/>
        <w:spacing w:line="600" w:lineRule="exact"/>
        <w:ind w:firstLine="640" w:firstLineChars="200"/>
        <w:rPr>
          <w:rFonts w:hAnsi="仿宋"/>
          <w:sz w:val="32"/>
          <w:szCs w:val="32"/>
        </w:rPr>
      </w:pPr>
      <w:r>
        <w:rPr>
          <w:rFonts w:hint="eastAsia" w:hAnsi="仿宋"/>
          <w:sz w:val="32"/>
          <w:szCs w:val="32"/>
        </w:rPr>
        <w:t>18.“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3"/>
        <w:spacing w:line="600" w:lineRule="exact"/>
        <w:ind w:firstLine="640" w:firstLineChars="200"/>
        <w:rPr>
          <w:rFonts w:hAnsi="仿宋"/>
          <w:sz w:val="32"/>
          <w:szCs w:val="32"/>
        </w:rPr>
      </w:pPr>
      <w:r>
        <w:rPr>
          <w:rFonts w:hint="eastAsia" w:hAnsi="仿宋"/>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pPr>
    </w:p>
    <w:p>
      <w:pPr>
        <w:spacing w:line="600" w:lineRule="exact"/>
        <w:ind w:firstLine="880" w:firstLineChars="200"/>
        <w:jc w:val="center"/>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52"/>
    </w:p>
    <w:p>
      <w:pPr>
        <w:spacing w:line="600" w:lineRule="exact"/>
        <w:jc w:val="center"/>
        <w:outlineLvl w:val="0"/>
        <w:rPr>
          <w:rStyle w:val="25"/>
        </w:rPr>
      </w:pPr>
    </w:p>
    <w:p>
      <w:pPr>
        <w:pStyle w:val="3"/>
        <w:spacing w:line="600" w:lineRule="exact"/>
        <w:rPr>
          <w:rStyle w:val="25"/>
          <w:rFonts w:ascii="仿宋" w:hAnsi="仿宋" w:eastAsia="仿宋"/>
          <w:b w:val="0"/>
          <w:bCs w:val="0"/>
          <w:sz w:val="32"/>
          <w:szCs w:val="32"/>
        </w:rPr>
      </w:pPr>
      <w:bookmarkStart w:id="54" w:name="_Toc15396615"/>
      <w:r>
        <w:rPr>
          <w:rStyle w:val="25"/>
          <w:rFonts w:hint="eastAsia" w:ascii="仿宋" w:hAnsi="仿宋" w:eastAsia="仿宋"/>
          <w:b w:val="0"/>
          <w:bCs w:val="0"/>
          <w:sz w:val="32"/>
          <w:szCs w:val="32"/>
        </w:rPr>
        <w:t>附件1</w:t>
      </w:r>
      <w:bookmarkEnd w:id="54"/>
    </w:p>
    <w:p>
      <w:pPr>
        <w:spacing w:line="600" w:lineRule="exact"/>
        <w:jc w:val="center"/>
        <w:outlineLvl w:val="0"/>
        <w:rPr>
          <w:rFonts w:ascii="黑体" w:hAnsi="黑体" w:eastAsia="黑体" w:cs="方正小标宋简体"/>
          <w:sz w:val="36"/>
          <w:szCs w:val="36"/>
        </w:rPr>
      </w:pPr>
      <w:bookmarkStart w:id="55" w:name="_Toc15396616"/>
      <w:r>
        <w:rPr>
          <w:rFonts w:hint="eastAsia" w:ascii="黑体" w:hAnsi="黑体" w:eastAsia="黑体" w:cs="方正小标宋简体"/>
          <w:sz w:val="36"/>
          <w:szCs w:val="36"/>
        </w:rPr>
        <w:t>四川省广元市人民检察院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55"/>
    </w:p>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600" w:lineRule="exact"/>
        <w:ind w:firstLine="640" w:firstLineChars="200"/>
        <w:rPr>
          <w:rFonts w:ascii="仿宋" w:hAnsi="仿宋" w:eastAsia="仿宋" w:cs="仿宋_GB2312"/>
          <w:sz w:val="32"/>
          <w:szCs w:val="32"/>
        </w:rPr>
      </w:pPr>
      <w:r>
        <w:rPr>
          <w:rFonts w:hint="eastAsia" w:ascii="仿宋" w:hAnsi="仿宋" w:eastAsia="仿宋"/>
          <w:sz w:val="32"/>
          <w:szCs w:val="32"/>
        </w:rPr>
        <w:t>市</w:t>
      </w:r>
      <w:r>
        <w:rPr>
          <w:rFonts w:ascii="仿宋" w:hAnsi="仿宋" w:eastAsia="仿宋"/>
          <w:sz w:val="32"/>
          <w:szCs w:val="32"/>
        </w:rPr>
        <w:t>人民检察院含所属单位</w:t>
      </w:r>
      <w:r>
        <w:rPr>
          <w:rFonts w:hint="eastAsia" w:ascii="仿宋" w:hAnsi="仿宋" w:eastAsia="仿宋"/>
          <w:sz w:val="32"/>
          <w:szCs w:val="32"/>
        </w:rPr>
        <w:t>2</w:t>
      </w:r>
      <w:r>
        <w:rPr>
          <w:rFonts w:ascii="仿宋" w:hAnsi="仿宋" w:eastAsia="仿宋"/>
          <w:sz w:val="32"/>
          <w:szCs w:val="32"/>
        </w:rPr>
        <w:t>个,其中:行政单位</w:t>
      </w:r>
      <w:r>
        <w:rPr>
          <w:rFonts w:hint="eastAsia" w:ascii="仿宋" w:hAnsi="仿宋" w:eastAsia="仿宋"/>
          <w:sz w:val="32"/>
          <w:szCs w:val="32"/>
        </w:rPr>
        <w:t>1个、事业单位1个，</w:t>
      </w:r>
      <w:r>
        <w:rPr>
          <w:rFonts w:ascii="仿宋" w:hAnsi="仿宋" w:eastAsia="仿宋"/>
          <w:sz w:val="32"/>
          <w:szCs w:val="32"/>
        </w:rPr>
        <w:t>分别是四川省</w:t>
      </w:r>
      <w:r>
        <w:rPr>
          <w:rFonts w:hint="eastAsia" w:ascii="仿宋" w:hAnsi="仿宋" w:eastAsia="仿宋"/>
          <w:sz w:val="32"/>
          <w:szCs w:val="32"/>
        </w:rPr>
        <w:t>广元市</w:t>
      </w:r>
      <w:r>
        <w:rPr>
          <w:rFonts w:ascii="仿宋" w:hAnsi="仿宋" w:eastAsia="仿宋"/>
          <w:sz w:val="32"/>
          <w:szCs w:val="32"/>
        </w:rPr>
        <w:t>人民检察院机关</w:t>
      </w:r>
      <w:r>
        <w:rPr>
          <w:rFonts w:hint="eastAsia" w:ascii="仿宋" w:hAnsi="仿宋" w:eastAsia="仿宋"/>
          <w:sz w:val="32"/>
          <w:szCs w:val="32"/>
        </w:rPr>
        <w:t>，广元市人民检察官培训中心。市检察院机关下设内设机构17个，机关党委（办）1个，单独派驻市检察院纪检监察组1个。</w:t>
      </w:r>
      <w:r>
        <w:rPr>
          <w:rFonts w:hint="eastAsia" w:ascii="仿宋" w:hAnsi="仿宋" w:eastAsia="仿宋" w:cs="仿宋_GB2312"/>
          <w:sz w:val="32"/>
          <w:szCs w:val="32"/>
        </w:rPr>
        <w:t>院内设机构</w:t>
      </w:r>
      <w:r>
        <w:rPr>
          <w:rFonts w:ascii="仿宋" w:hAnsi="仿宋" w:eastAsia="仿宋" w:cs="仿宋_GB2312"/>
          <w:sz w:val="32"/>
          <w:szCs w:val="32"/>
        </w:rPr>
        <w:t>1</w:t>
      </w:r>
      <w:r>
        <w:rPr>
          <w:rFonts w:hint="eastAsia" w:ascii="仿宋" w:hAnsi="仿宋" w:eastAsia="仿宋" w:cs="仿宋_GB2312"/>
          <w:sz w:val="32"/>
          <w:szCs w:val="32"/>
        </w:rPr>
        <w:t>7个：政治部、干部处、综合处、宣教处、警务处、办公室、纪检监察处、计划财务装备处、法律政策研究室、侦查监督处、刑事执行检察局、检察技术处、公诉处、未检处、民事行政检察处、控告申诉检察处、案件管理办公室；反渎职侵权局、反贪污贿赂局已于</w:t>
      </w:r>
      <w:r>
        <w:rPr>
          <w:rFonts w:ascii="仿宋" w:hAnsi="仿宋" w:eastAsia="仿宋" w:cs="仿宋_GB2312"/>
          <w:sz w:val="32"/>
          <w:szCs w:val="32"/>
        </w:rPr>
        <w:t>2018</w:t>
      </w:r>
      <w:r>
        <w:rPr>
          <w:rFonts w:hint="eastAsia" w:ascii="仿宋" w:hAnsi="仿宋" w:eastAsia="仿宋" w:cs="仿宋_GB2312"/>
          <w:sz w:val="32"/>
          <w:szCs w:val="32"/>
        </w:rPr>
        <w:t>年</w:t>
      </w:r>
      <w:r>
        <w:rPr>
          <w:rFonts w:ascii="仿宋" w:hAnsi="仿宋" w:eastAsia="仿宋" w:cs="仿宋_GB2312"/>
          <w:sz w:val="32"/>
          <w:szCs w:val="32"/>
        </w:rPr>
        <w:t>8</w:t>
      </w:r>
      <w:r>
        <w:rPr>
          <w:rFonts w:hint="eastAsia" w:ascii="仿宋" w:hAnsi="仿宋" w:eastAsia="仿宋" w:cs="仿宋_GB2312"/>
          <w:sz w:val="32"/>
          <w:szCs w:val="32"/>
        </w:rPr>
        <w:t>月转隶至市监察委。</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广元市人民检察院通过行使国家检察权来完成自己的任务。对于危害国家安全案、危害公共安全案、侵犯公民人身权利、民主权利和其他重大犯罪案件，行使检察权；对于公安机关侦查的案件进行审查，决定是否逮捕、起诉或者不起诉；对于刑事案件提起公诉、支持公诉；对于公安机关、人民法院和监狱、看守所、劳动改造机关的活动是否合法，实行监督。</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pStyle w:val="12"/>
        <w:spacing w:line="600" w:lineRule="exact"/>
        <w:ind w:firstLine="640" w:firstLineChars="200"/>
        <w:jc w:val="both"/>
        <w:rPr>
          <w:rFonts w:ascii="仿宋" w:hAnsi="仿宋" w:eastAsia="仿宋"/>
          <w:sz w:val="32"/>
          <w:szCs w:val="32"/>
        </w:rPr>
      </w:pPr>
      <w:r>
        <w:rPr>
          <w:rFonts w:hint="eastAsia" w:ascii="仿宋" w:hAnsi="仿宋" w:eastAsia="仿宋"/>
          <w:sz w:val="32"/>
          <w:szCs w:val="32"/>
        </w:rPr>
        <w:t>我院现有编制123人，其中：专项编制98人，事业编制25人，年末在职在册实有人数129人,其中有21人转隶到市监察委，但工资关系保留在市检察院。聘用人员14人，2018年新增 5人。因工作变动调出1人，辞职2人，退休9人。</w:t>
      </w:r>
    </w:p>
    <w:p>
      <w:pPr>
        <w:spacing w:line="60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8年本年收入合计5999.41万元，其中：一般预算财政拨款收入4993.31万元，占83.23</w:t>
      </w:r>
      <w:r>
        <w:rPr>
          <w:rFonts w:ascii="仿宋" w:hAnsi="仿宋" w:eastAsia="仿宋"/>
          <w:color w:val="000000"/>
          <w:sz w:val="32"/>
          <w:szCs w:val="32"/>
        </w:rPr>
        <w:t>%</w:t>
      </w:r>
      <w:r>
        <w:rPr>
          <w:rFonts w:hint="eastAsia" w:ascii="仿宋" w:hAnsi="仿宋" w:eastAsia="仿宋"/>
          <w:color w:val="000000"/>
          <w:sz w:val="32"/>
          <w:szCs w:val="32"/>
        </w:rPr>
        <w:t>；政府性基金预算财政拨款收入1006.10万元，占16.77</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8年本年支出合计5215.59万元，其中：基本支出3237.08万元，占62.07</w:t>
      </w:r>
      <w:r>
        <w:rPr>
          <w:rFonts w:ascii="仿宋" w:hAnsi="仿宋" w:eastAsia="仿宋"/>
          <w:color w:val="000000"/>
          <w:sz w:val="32"/>
          <w:szCs w:val="32"/>
        </w:rPr>
        <w:t>%</w:t>
      </w:r>
      <w:r>
        <w:rPr>
          <w:rFonts w:hint="eastAsia" w:ascii="仿宋" w:hAnsi="仿宋" w:eastAsia="仿宋"/>
          <w:color w:val="000000"/>
          <w:sz w:val="32"/>
          <w:szCs w:val="32"/>
        </w:rPr>
        <w:t>；项目支出1978.51万元，占37.93</w:t>
      </w:r>
      <w:r>
        <w:rPr>
          <w:rFonts w:ascii="仿宋" w:hAnsi="仿宋" w:eastAsia="仿宋"/>
          <w:color w:val="000000"/>
          <w:sz w:val="32"/>
          <w:szCs w:val="32"/>
        </w:rPr>
        <w:t>%</w:t>
      </w:r>
      <w:r>
        <w:rPr>
          <w:rFonts w:hint="eastAsia" w:ascii="仿宋" w:hAnsi="仿宋" w:eastAsia="仿宋"/>
          <w:color w:val="000000"/>
          <w:sz w:val="32"/>
          <w:szCs w:val="32"/>
        </w:rPr>
        <w:t>。</w:t>
      </w:r>
      <w:r>
        <w:rPr>
          <w:rFonts w:ascii="仿宋" w:hAnsi="仿宋" w:eastAsia="仿宋"/>
          <w:color w:val="000000"/>
          <w:sz w:val="32"/>
          <w:szCs w:val="32"/>
          <w:shd w:val="pct10" w:color="auto" w:fill="FFFFFF"/>
        </w:rPr>
        <w:t xml:space="preserve"> </w:t>
      </w:r>
    </w:p>
    <w:p>
      <w:pPr>
        <w:spacing w:line="60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按照国家相关法律法规，</w:t>
      </w:r>
      <w:r>
        <w:rPr>
          <w:rFonts w:hint="eastAsia" w:ascii="仿宋" w:hAnsi="仿宋" w:eastAsia="仿宋" w:cs="仿宋_GB2312"/>
          <w:sz w:val="32"/>
          <w:szCs w:val="32"/>
        </w:rPr>
        <w:t>我院党组结合我院实际</w:t>
      </w:r>
      <w:r>
        <w:rPr>
          <w:rFonts w:ascii="仿宋" w:hAnsi="仿宋" w:eastAsia="仿宋" w:cs="仿宋_GB2312"/>
          <w:sz w:val="32"/>
          <w:szCs w:val="32"/>
        </w:rPr>
        <w:t>制定了机关财务、公</w:t>
      </w:r>
      <w:r>
        <w:rPr>
          <w:rFonts w:hint="eastAsia" w:ascii="仿宋" w:hAnsi="仿宋" w:eastAsia="仿宋" w:cs="仿宋_GB2312"/>
          <w:sz w:val="32"/>
          <w:szCs w:val="32"/>
        </w:rPr>
        <w:t>务</w:t>
      </w:r>
      <w:r>
        <w:rPr>
          <w:rFonts w:ascii="仿宋" w:hAnsi="仿宋" w:eastAsia="仿宋" w:cs="仿宋_GB2312"/>
          <w:sz w:val="32"/>
          <w:szCs w:val="32"/>
        </w:rPr>
        <w:t>购置使用、接待、会务、差旅等管理制度，</w:t>
      </w:r>
      <w:r>
        <w:rPr>
          <w:rFonts w:hint="eastAsia" w:ascii="仿宋" w:hAnsi="仿宋" w:eastAsia="仿宋" w:cs="仿宋_GB2312"/>
          <w:sz w:val="32"/>
          <w:szCs w:val="32"/>
        </w:rPr>
        <w:t>并以此为契机，以节约为原则确立绩效目标。在预算编制中，我院细化各项开支，较为准确地反应了各项开支。在支出时，我院</w:t>
      </w:r>
      <w:r>
        <w:rPr>
          <w:rFonts w:ascii="仿宋" w:hAnsi="仿宋" w:eastAsia="仿宋" w:cs="仿宋_GB2312"/>
          <w:sz w:val="32"/>
          <w:szCs w:val="32"/>
        </w:rPr>
        <w:t>严格按照制度管理和执行，防范风险，保证财政资金的安全和高效运行。</w:t>
      </w:r>
      <w:r>
        <w:rPr>
          <w:rFonts w:hint="eastAsia" w:ascii="仿宋" w:hAnsi="仿宋" w:eastAsia="仿宋" w:cs="仿宋_GB2312"/>
          <w:sz w:val="32"/>
          <w:szCs w:val="32"/>
        </w:rPr>
        <w:t>全年无违规事件发生</w:t>
      </w:r>
      <w:r>
        <w:rPr>
          <w:rFonts w:ascii="仿宋" w:hAnsi="仿宋" w:eastAsia="仿宋" w:cs="仿宋_GB2312"/>
          <w:sz w:val="32"/>
          <w:szCs w:val="32"/>
        </w:rPr>
        <w:t>。</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依据纳入专项预算的项目，严格测算所需资金，并分别对各个项目进行合理规划，</w:t>
      </w:r>
      <w:r>
        <w:rPr>
          <w:rFonts w:ascii="仿宋" w:hAnsi="仿宋" w:eastAsia="仿宋" w:cs="仿宋_GB2312"/>
          <w:sz w:val="32"/>
          <w:szCs w:val="32"/>
        </w:rPr>
        <w:t>程序严密、规划合理、结果符合、分配科学、分配及时</w:t>
      </w:r>
      <w:r>
        <w:rPr>
          <w:rFonts w:hint="eastAsia" w:ascii="仿宋" w:hAnsi="仿宋" w:eastAsia="仿宋" w:cs="仿宋_GB2312"/>
          <w:sz w:val="32"/>
          <w:szCs w:val="32"/>
        </w:rPr>
        <w:t>。对已经开展的</w:t>
      </w:r>
      <w:r>
        <w:rPr>
          <w:rFonts w:ascii="仿宋" w:hAnsi="仿宋" w:eastAsia="仿宋" w:cs="仿宋_GB2312"/>
          <w:sz w:val="32"/>
          <w:szCs w:val="32"/>
        </w:rPr>
        <w:t>专项预算绩效目标完成、实施绩效、违规记录等情况</w:t>
      </w:r>
      <w:r>
        <w:rPr>
          <w:rFonts w:hint="eastAsia" w:ascii="仿宋" w:hAnsi="仿宋" w:eastAsia="仿宋" w:cs="仿宋_GB2312"/>
          <w:sz w:val="32"/>
          <w:szCs w:val="32"/>
        </w:rPr>
        <w:t>进行记录</w:t>
      </w:r>
      <w:r>
        <w:rPr>
          <w:rFonts w:ascii="仿宋" w:hAnsi="仿宋" w:eastAsia="仿宋" w:cs="仿宋_GB2312"/>
          <w:sz w:val="32"/>
          <w:szCs w:val="32"/>
        </w:rPr>
        <w:t>。</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本年预算配置控制较好，财政供养人员控制在预算编制以内，实际在职人员数与编制数相同；“三公”经费支出与预算持平。</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预算执行方面，支出总额控制在预算总额以内，基本支出中财政政策性工资有所追加，本年部门预算未进行预算相关事项的调整；预算资金按规定管理使用，财政拨款支出总体控制较好。</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预算管理方面，制定了切实有效的内部财务、资产内部管理制度，执行总体较为有效。</w:t>
      </w:r>
    </w:p>
    <w:p>
      <w:pPr>
        <w:spacing w:line="60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600" w:lineRule="exact"/>
        <w:ind w:firstLine="640" w:firstLineChars="200"/>
        <w:rPr>
          <w:rFonts w:ascii="仿宋" w:hAnsi="仿宋" w:eastAsia="仿宋" w:cs="仿宋_GB2312"/>
          <w:sz w:val="32"/>
          <w:szCs w:val="32"/>
        </w:rPr>
      </w:pPr>
      <w:bookmarkStart w:id="56" w:name="_Toc15396617"/>
      <w:r>
        <w:rPr>
          <w:rFonts w:ascii="仿宋" w:hAnsi="仿宋" w:eastAsia="仿宋" w:cs="仿宋_GB2312"/>
          <w:sz w:val="32"/>
          <w:szCs w:val="32"/>
        </w:rPr>
        <w:t>（一）评价结论。</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广元市人民检察院</w:t>
      </w:r>
      <w:r>
        <w:rPr>
          <w:rFonts w:ascii="仿宋" w:hAnsi="仿宋" w:eastAsia="仿宋" w:cs="仿宋_GB2312"/>
          <w:sz w:val="32"/>
          <w:szCs w:val="32"/>
        </w:rPr>
        <w:t>整体支出，严格按照国家的相关财务管理制度规定，财务制度健全、会计核算规范，依照计划管理使用。按照部门整体支出绩效评价指标体系</w:t>
      </w:r>
      <w:r>
        <w:rPr>
          <w:rFonts w:hint="eastAsia" w:ascii="仿宋" w:hAnsi="仿宋" w:eastAsia="仿宋" w:cs="仿宋_GB2312"/>
          <w:sz w:val="32"/>
          <w:szCs w:val="32"/>
        </w:rPr>
        <w:t>得出结果为</w:t>
      </w:r>
      <w:r>
        <w:rPr>
          <w:rFonts w:ascii="仿宋" w:hAnsi="仿宋" w:eastAsia="仿宋" w:cs="仿宋_GB2312"/>
          <w:sz w:val="32"/>
          <w:szCs w:val="32"/>
        </w:rPr>
        <w:t>良好。</w:t>
      </w:r>
    </w:p>
    <w:p>
      <w:pPr>
        <w:numPr>
          <w:ilvl w:val="0"/>
          <w:numId w:val="5"/>
        </w:num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存在问题。</w:t>
      </w:r>
    </w:p>
    <w:p>
      <w:pPr>
        <w:spacing w:line="600" w:lineRule="exact"/>
        <w:ind w:firstLine="640" w:firstLineChars="200"/>
        <w:rPr>
          <w:rFonts w:ascii="仿宋" w:hAnsi="仿宋" w:eastAsia="仿宋" w:cs="仿宋_GB2312"/>
          <w:sz w:val="32"/>
          <w:szCs w:val="32"/>
        </w:rPr>
      </w:pPr>
      <w:r>
        <w:rPr>
          <w:rFonts w:hint="eastAsia" w:ascii="宋体" w:hAnsi="宋体" w:cs="宋体"/>
          <w:sz w:val="32"/>
          <w:szCs w:val="32"/>
        </w:rPr>
        <w:t> </w:t>
      </w:r>
      <w:r>
        <w:rPr>
          <w:rFonts w:hint="eastAsia" w:ascii="仿宋" w:hAnsi="仿宋" w:eastAsia="仿宋" w:cs="仿宋"/>
          <w:sz w:val="32"/>
          <w:szCs w:val="32"/>
        </w:rPr>
        <w:t xml:space="preserve"> </w:t>
      </w:r>
      <w:r>
        <w:rPr>
          <w:rFonts w:hint="eastAsia" w:ascii="仿宋" w:hAnsi="仿宋" w:eastAsia="仿宋" w:cs="仿宋_GB2312"/>
          <w:sz w:val="32"/>
          <w:szCs w:val="32"/>
        </w:rPr>
        <w:t>一是预算编制有待更严格执行。预算编制与实际支出项目有的存在差异。</w:t>
      </w:r>
    </w:p>
    <w:p>
      <w:pPr>
        <w:spacing w:line="600" w:lineRule="exact"/>
        <w:ind w:firstLine="640" w:firstLineChars="200"/>
        <w:rPr>
          <w:rFonts w:ascii="仿宋" w:hAnsi="仿宋" w:eastAsia="仿宋" w:cs="仿宋_GB2312"/>
          <w:sz w:val="32"/>
          <w:szCs w:val="32"/>
        </w:rPr>
      </w:pPr>
      <w:r>
        <w:rPr>
          <w:rFonts w:hint="eastAsia" w:ascii="宋体" w:hAnsi="宋体" w:cs="宋体"/>
          <w:sz w:val="32"/>
          <w:szCs w:val="32"/>
        </w:rPr>
        <w:t> </w:t>
      </w:r>
      <w:r>
        <w:rPr>
          <w:rFonts w:hint="eastAsia" w:ascii="仿宋" w:hAnsi="仿宋" w:eastAsia="仿宋" w:cs="仿宋_GB2312"/>
          <w:sz w:val="32"/>
          <w:szCs w:val="32"/>
        </w:rPr>
        <w:t>二是各检察业务项目细分有待更严格的维护管理。每年检察工作重心有所不同，需在重点工作上加大预算。</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一是按照预算规定的项目和用途严格财务审核，经费支出严格按预算规定项目的财务支出内容进行财务核算，在预算金额内严格控制费用的支出。</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二是预算财务分析常态化，定期做好预算支出财务分析，做好部门整体支出预算评价工作。</w:t>
      </w:r>
    </w:p>
    <w:p>
      <w:pPr>
        <w:spacing w:line="600" w:lineRule="exact"/>
        <w:ind w:firstLine="422" w:firstLineChars="200"/>
        <w:rPr>
          <w:rFonts w:cs="仿宋_GB2312"/>
          <w:b/>
          <w:bCs/>
        </w:rPr>
      </w:pPr>
    </w:p>
    <w:bookmarkEnd w:id="56"/>
    <w:p>
      <w:pPr>
        <w:spacing w:line="600" w:lineRule="exact"/>
        <w:ind w:firstLine="640" w:firstLineChars="200"/>
        <w:rPr>
          <w:rStyle w:val="25"/>
          <w:rFonts w:ascii="仿宋" w:hAnsi="仿宋" w:eastAsia="仿宋" w:cs="仿宋_GB2312"/>
          <w:b w:val="0"/>
          <w:bCs w:val="0"/>
          <w:kern w:val="2"/>
          <w:sz w:val="32"/>
          <w:szCs w:val="32"/>
        </w:rPr>
      </w:pPr>
    </w:p>
    <w:p>
      <w:pPr>
        <w:spacing w:line="600" w:lineRule="exact"/>
        <w:ind w:firstLine="640" w:firstLineChars="200"/>
        <w:rPr>
          <w:rStyle w:val="25"/>
          <w:rFonts w:ascii="仿宋" w:hAnsi="仿宋" w:eastAsia="仿宋" w:cs="仿宋_GB2312"/>
          <w:b w:val="0"/>
          <w:bCs w:val="0"/>
          <w:kern w:val="2"/>
          <w:sz w:val="32"/>
          <w:szCs w:val="32"/>
        </w:rPr>
      </w:pPr>
    </w:p>
    <w:p>
      <w:pPr>
        <w:spacing w:line="600" w:lineRule="exact"/>
        <w:ind w:firstLine="640" w:firstLineChars="200"/>
        <w:rPr>
          <w:rStyle w:val="25"/>
          <w:rFonts w:ascii="仿宋" w:hAnsi="仿宋" w:eastAsia="仿宋" w:cs="仿宋_GB2312"/>
          <w:b w:val="0"/>
          <w:bCs w:val="0"/>
          <w:kern w:val="2"/>
          <w:sz w:val="32"/>
          <w:szCs w:val="32"/>
        </w:rPr>
      </w:pPr>
    </w:p>
    <w:p>
      <w:pPr>
        <w:spacing w:line="600" w:lineRule="exact"/>
        <w:ind w:firstLine="640" w:firstLineChars="200"/>
        <w:rPr>
          <w:rStyle w:val="25"/>
          <w:rFonts w:ascii="仿宋" w:hAnsi="仿宋" w:eastAsia="仿宋" w:cs="仿宋_GB2312"/>
          <w:b w:val="0"/>
          <w:bCs w:val="0"/>
          <w:kern w:val="2"/>
          <w:sz w:val="32"/>
          <w:szCs w:val="32"/>
        </w:rPr>
      </w:pPr>
    </w:p>
    <w:p>
      <w:pPr>
        <w:spacing w:line="600" w:lineRule="exact"/>
        <w:ind w:firstLine="640" w:firstLineChars="200"/>
        <w:rPr>
          <w:rStyle w:val="25"/>
          <w:rFonts w:ascii="仿宋" w:hAnsi="仿宋" w:eastAsia="仿宋" w:cs="仿宋_GB2312"/>
          <w:b w:val="0"/>
          <w:bCs w:val="0"/>
          <w:kern w:val="2"/>
          <w:sz w:val="32"/>
          <w:szCs w:val="32"/>
        </w:rPr>
      </w:pPr>
    </w:p>
    <w:p>
      <w:pPr>
        <w:spacing w:line="600" w:lineRule="exact"/>
        <w:ind w:firstLine="640" w:firstLineChars="200"/>
        <w:rPr>
          <w:rStyle w:val="25"/>
          <w:rFonts w:ascii="仿宋" w:hAnsi="仿宋" w:eastAsia="仿宋" w:cs="仿宋_GB2312"/>
          <w:b w:val="0"/>
          <w:bCs w:val="0"/>
          <w:kern w:val="2"/>
          <w:sz w:val="32"/>
          <w:szCs w:val="32"/>
        </w:rPr>
      </w:pPr>
    </w:p>
    <w:p>
      <w:pPr>
        <w:spacing w:line="600" w:lineRule="exact"/>
        <w:ind w:firstLine="640" w:firstLineChars="200"/>
        <w:rPr>
          <w:rStyle w:val="25"/>
          <w:rFonts w:ascii="仿宋" w:hAnsi="仿宋" w:eastAsia="仿宋" w:cs="仿宋_GB2312"/>
          <w:b w:val="0"/>
          <w:bCs w:val="0"/>
          <w:kern w:val="2"/>
          <w:sz w:val="32"/>
          <w:szCs w:val="32"/>
        </w:rPr>
      </w:pPr>
    </w:p>
    <w:p>
      <w:pPr>
        <w:spacing w:line="600" w:lineRule="exact"/>
        <w:ind w:firstLine="640" w:firstLineChars="200"/>
        <w:rPr>
          <w:rStyle w:val="25"/>
          <w:rFonts w:ascii="仿宋" w:hAnsi="仿宋" w:eastAsia="仿宋" w:cs="仿宋_GB2312"/>
          <w:b w:val="0"/>
          <w:bCs w:val="0"/>
          <w:kern w:val="2"/>
          <w:sz w:val="32"/>
          <w:szCs w:val="32"/>
        </w:rPr>
      </w:pPr>
    </w:p>
    <w:p>
      <w:pPr>
        <w:spacing w:line="600" w:lineRule="exact"/>
        <w:ind w:firstLine="640" w:firstLineChars="200"/>
        <w:rPr>
          <w:rStyle w:val="25"/>
          <w:rFonts w:ascii="仿宋" w:hAnsi="仿宋" w:eastAsia="仿宋" w:cs="仿宋_GB2312"/>
          <w:b w:val="0"/>
          <w:bCs w:val="0"/>
          <w:kern w:val="2"/>
          <w:sz w:val="32"/>
          <w:szCs w:val="32"/>
        </w:rPr>
      </w:pPr>
    </w:p>
    <w:p>
      <w:pPr>
        <w:spacing w:line="600" w:lineRule="exact"/>
        <w:ind w:firstLine="640" w:firstLineChars="200"/>
        <w:rPr>
          <w:rStyle w:val="25"/>
          <w:rFonts w:ascii="仿宋" w:hAnsi="仿宋" w:eastAsia="仿宋" w:cs="仿宋_GB2312"/>
          <w:b w:val="0"/>
          <w:bCs w:val="0"/>
          <w:kern w:val="2"/>
          <w:sz w:val="32"/>
          <w:szCs w:val="32"/>
        </w:rPr>
      </w:pPr>
    </w:p>
    <w:p>
      <w:pPr>
        <w:spacing w:line="600" w:lineRule="exact"/>
        <w:ind w:firstLine="640" w:firstLineChars="200"/>
        <w:rPr>
          <w:rStyle w:val="25"/>
          <w:rFonts w:ascii="仿宋" w:hAnsi="仿宋" w:eastAsia="仿宋" w:cs="仿宋_GB2312"/>
          <w:b w:val="0"/>
          <w:bCs w:val="0"/>
          <w:kern w:val="2"/>
          <w:sz w:val="32"/>
          <w:szCs w:val="32"/>
        </w:rPr>
      </w:pPr>
    </w:p>
    <w:p>
      <w:pPr>
        <w:spacing w:line="600" w:lineRule="exact"/>
        <w:ind w:firstLine="640" w:firstLineChars="200"/>
        <w:rPr>
          <w:rStyle w:val="25"/>
          <w:rFonts w:ascii="仿宋" w:hAnsi="仿宋" w:eastAsia="仿宋" w:cs="仿宋_GB2312"/>
          <w:b w:val="0"/>
          <w:bCs w:val="0"/>
          <w:kern w:val="2"/>
          <w:sz w:val="32"/>
          <w:szCs w:val="32"/>
        </w:rPr>
      </w:pPr>
    </w:p>
    <w:p>
      <w:pPr>
        <w:spacing w:line="600" w:lineRule="exact"/>
        <w:ind w:firstLine="640" w:firstLineChars="200"/>
        <w:rPr>
          <w:rStyle w:val="25"/>
          <w:rFonts w:ascii="仿宋" w:hAnsi="仿宋" w:eastAsia="仿宋" w:cs="仿宋_GB2312"/>
          <w:b w:val="0"/>
          <w:bCs w:val="0"/>
          <w:kern w:val="2"/>
          <w:sz w:val="32"/>
          <w:szCs w:val="32"/>
        </w:rPr>
      </w:pPr>
    </w:p>
    <w:p>
      <w:pPr>
        <w:spacing w:line="600" w:lineRule="exact"/>
        <w:ind w:firstLine="640" w:firstLineChars="200"/>
        <w:rPr>
          <w:rStyle w:val="25"/>
          <w:rFonts w:ascii="仿宋" w:hAnsi="仿宋" w:eastAsia="仿宋" w:cs="仿宋_GB2312"/>
          <w:b w:val="0"/>
          <w:bCs w:val="0"/>
          <w:kern w:val="2"/>
          <w:sz w:val="32"/>
          <w:szCs w:val="32"/>
        </w:rPr>
      </w:pPr>
    </w:p>
    <w:p>
      <w:pPr>
        <w:spacing w:line="600" w:lineRule="exact"/>
        <w:jc w:val="center"/>
        <w:outlineLvl w:val="0"/>
        <w:rPr>
          <w:rStyle w:val="25"/>
          <w:rFonts w:ascii="黑体" w:hAnsi="黑体" w:eastAsia="黑体"/>
          <w:b w:val="0"/>
        </w:rPr>
      </w:pPr>
      <w:bookmarkStart w:id="57"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3"/>
      <w:bookmarkEnd w:id="57"/>
    </w:p>
    <w:p>
      <w:pPr>
        <w:pStyle w:val="3"/>
        <w:spacing w:line="600" w:lineRule="exact"/>
        <w:rPr>
          <w:rFonts w:ascii="仿宋" w:hAnsi="仿宋" w:eastAsia="仿宋"/>
          <w:color w:val="000000"/>
        </w:rPr>
      </w:pPr>
      <w:bookmarkStart w:id="58"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58"/>
    </w:p>
    <w:p>
      <w:pPr>
        <w:pStyle w:val="3"/>
        <w:spacing w:line="600" w:lineRule="exact"/>
        <w:rPr>
          <w:rFonts w:ascii="仿宋" w:hAnsi="仿宋" w:eastAsia="仿宋"/>
          <w:color w:val="000000"/>
        </w:rPr>
      </w:pPr>
      <w:bookmarkStart w:id="59"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59"/>
    </w:p>
    <w:p>
      <w:pPr>
        <w:pStyle w:val="3"/>
        <w:spacing w:line="600" w:lineRule="exact"/>
        <w:rPr>
          <w:rFonts w:ascii="仿宋" w:hAnsi="仿宋" w:eastAsia="仿宋"/>
          <w:color w:val="000000"/>
        </w:rPr>
      </w:pPr>
      <w:bookmarkStart w:id="60"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0"/>
    </w:p>
    <w:p>
      <w:pPr>
        <w:pStyle w:val="3"/>
        <w:spacing w:line="600" w:lineRule="exact"/>
        <w:rPr>
          <w:rFonts w:ascii="仿宋" w:hAnsi="仿宋" w:eastAsia="仿宋"/>
          <w:b w:val="0"/>
          <w:color w:val="000000"/>
        </w:rPr>
      </w:pPr>
      <w:bookmarkStart w:id="61"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1"/>
    </w:p>
    <w:p>
      <w:pPr>
        <w:pStyle w:val="3"/>
        <w:spacing w:line="600" w:lineRule="exact"/>
        <w:rPr>
          <w:rFonts w:ascii="仿宋" w:hAnsi="仿宋" w:eastAsia="仿宋"/>
          <w:color w:val="000000"/>
        </w:rPr>
      </w:pPr>
      <w:bookmarkStart w:id="62"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2"/>
    </w:p>
    <w:p>
      <w:pPr>
        <w:pStyle w:val="3"/>
        <w:spacing w:line="600" w:lineRule="exact"/>
        <w:rPr>
          <w:rFonts w:ascii="仿宋" w:hAnsi="仿宋" w:eastAsia="仿宋"/>
          <w:color w:val="000000"/>
        </w:rPr>
      </w:pPr>
      <w:bookmarkStart w:id="63"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3"/>
    </w:p>
    <w:p>
      <w:pPr>
        <w:pStyle w:val="3"/>
        <w:spacing w:line="600" w:lineRule="exact"/>
        <w:rPr>
          <w:rFonts w:ascii="仿宋" w:hAnsi="仿宋" w:eastAsia="仿宋"/>
          <w:color w:val="000000"/>
        </w:rPr>
      </w:pPr>
      <w:bookmarkStart w:id="64"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4"/>
    </w:p>
    <w:p>
      <w:pPr>
        <w:pStyle w:val="3"/>
        <w:spacing w:line="600" w:lineRule="exact"/>
        <w:rPr>
          <w:rFonts w:ascii="仿宋" w:hAnsi="仿宋" w:eastAsia="仿宋"/>
          <w:color w:val="000000"/>
        </w:rPr>
      </w:pPr>
      <w:bookmarkStart w:id="65"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5"/>
    </w:p>
    <w:p>
      <w:pPr>
        <w:pStyle w:val="3"/>
        <w:spacing w:line="600" w:lineRule="exact"/>
        <w:rPr>
          <w:rFonts w:ascii="仿宋" w:hAnsi="仿宋" w:eastAsia="仿宋"/>
          <w:color w:val="000000"/>
        </w:rPr>
      </w:pPr>
      <w:bookmarkStart w:id="66"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6"/>
    </w:p>
    <w:p>
      <w:pPr>
        <w:pStyle w:val="3"/>
        <w:spacing w:line="600" w:lineRule="exact"/>
        <w:rPr>
          <w:rFonts w:ascii="仿宋" w:hAnsi="仿宋" w:eastAsia="仿宋"/>
          <w:color w:val="000000"/>
        </w:rPr>
      </w:pPr>
      <w:bookmarkStart w:id="67"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7"/>
    </w:p>
    <w:p>
      <w:pPr>
        <w:pStyle w:val="3"/>
        <w:spacing w:line="600" w:lineRule="exact"/>
        <w:rPr>
          <w:rFonts w:ascii="仿宋" w:hAnsi="仿宋" w:eastAsia="仿宋"/>
          <w:color w:val="000000"/>
        </w:rPr>
      </w:pPr>
      <w:bookmarkStart w:id="68"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8"/>
    </w:p>
    <w:p>
      <w:pPr>
        <w:pStyle w:val="3"/>
        <w:spacing w:line="600" w:lineRule="exact"/>
        <w:rPr>
          <w:rFonts w:ascii="仿宋" w:hAnsi="仿宋" w:eastAsia="仿宋"/>
          <w:color w:val="000000"/>
        </w:rPr>
      </w:pPr>
      <w:bookmarkStart w:id="69"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69"/>
    </w:p>
    <w:p>
      <w:pPr>
        <w:pStyle w:val="3"/>
        <w:spacing w:line="600" w:lineRule="exact"/>
        <w:rPr>
          <w:rFonts w:ascii="仿宋" w:hAnsi="仿宋" w:eastAsia="仿宋"/>
          <w:color w:val="000000" w:themeColor="text1"/>
        </w:rPr>
      </w:pPr>
      <w:bookmarkStart w:id="70"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0"/>
    </w:p>
    <w:sectPr>
      <w:footerReference r:id="rId3" w:type="default"/>
      <w:pgSz w:w="11906" w:h="16838"/>
      <w:pgMar w:top="1304" w:right="1474" w:bottom="1304"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2FF0AB"/>
    <w:multiLevelType w:val="singleLevel"/>
    <w:tmpl w:val="AA2FF0AB"/>
    <w:lvl w:ilvl="0" w:tentative="0">
      <w:start w:val="2"/>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28F210F6"/>
    <w:multiLevelType w:val="multilevel"/>
    <w:tmpl w:val="28F210F6"/>
    <w:lvl w:ilvl="0" w:tentative="0">
      <w:start w:val="2"/>
      <w:numFmt w:val="japaneseCounting"/>
      <w:lvlText w:val="%1、"/>
      <w:lvlJc w:val="left"/>
      <w:pPr>
        <w:ind w:left="2000" w:hanging="720"/>
      </w:pPr>
      <w:rPr>
        <w:rFonts w:hint="default" w:cs="Times New Roman"/>
        <w:color w:val="000000"/>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3">
    <w:nsid w:val="55D33B8B"/>
    <w:multiLevelType w:val="multilevel"/>
    <w:tmpl w:val="55D33B8B"/>
    <w:lvl w:ilvl="0" w:tentative="0">
      <w:start w:val="10"/>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4">
    <w:nsid w:val="677E09AE"/>
    <w:multiLevelType w:val="multilevel"/>
    <w:tmpl w:val="677E09AE"/>
    <w:lvl w:ilvl="0" w:tentative="0">
      <w:start w:val="1"/>
      <w:numFmt w:val="decimal"/>
      <w:lvlText w:val="%1."/>
      <w:lvlJc w:val="left"/>
      <w:pPr>
        <w:ind w:left="1636" w:hanging="360"/>
      </w:pPr>
      <w:rPr>
        <w:rFonts w:hint="default"/>
      </w:rPr>
    </w:lvl>
    <w:lvl w:ilvl="1" w:tentative="0">
      <w:start w:val="1"/>
      <w:numFmt w:val="lowerLetter"/>
      <w:lvlText w:val="%2)"/>
      <w:lvlJc w:val="left"/>
      <w:pPr>
        <w:ind w:left="2203" w:hanging="420"/>
      </w:pPr>
    </w:lvl>
    <w:lvl w:ilvl="2" w:tentative="0">
      <w:start w:val="1"/>
      <w:numFmt w:val="lowerRoman"/>
      <w:lvlText w:val="%3."/>
      <w:lvlJc w:val="right"/>
      <w:pPr>
        <w:ind w:left="2623" w:hanging="420"/>
      </w:pPr>
    </w:lvl>
    <w:lvl w:ilvl="3" w:tentative="0">
      <w:start w:val="1"/>
      <w:numFmt w:val="decimal"/>
      <w:lvlText w:val="%4."/>
      <w:lvlJc w:val="left"/>
      <w:pPr>
        <w:ind w:left="3043" w:hanging="420"/>
      </w:pPr>
    </w:lvl>
    <w:lvl w:ilvl="4" w:tentative="0">
      <w:start w:val="1"/>
      <w:numFmt w:val="lowerLetter"/>
      <w:lvlText w:val="%5)"/>
      <w:lvlJc w:val="left"/>
      <w:pPr>
        <w:ind w:left="3463" w:hanging="420"/>
      </w:pPr>
    </w:lvl>
    <w:lvl w:ilvl="5" w:tentative="0">
      <w:start w:val="1"/>
      <w:numFmt w:val="lowerRoman"/>
      <w:lvlText w:val="%6."/>
      <w:lvlJc w:val="right"/>
      <w:pPr>
        <w:ind w:left="3883" w:hanging="420"/>
      </w:pPr>
    </w:lvl>
    <w:lvl w:ilvl="6" w:tentative="0">
      <w:start w:val="1"/>
      <w:numFmt w:val="decimal"/>
      <w:lvlText w:val="%7."/>
      <w:lvlJc w:val="left"/>
      <w:pPr>
        <w:ind w:left="4303" w:hanging="420"/>
      </w:pPr>
    </w:lvl>
    <w:lvl w:ilvl="7" w:tentative="0">
      <w:start w:val="1"/>
      <w:numFmt w:val="lowerLetter"/>
      <w:lvlText w:val="%8)"/>
      <w:lvlJc w:val="left"/>
      <w:pPr>
        <w:ind w:left="4723" w:hanging="420"/>
      </w:pPr>
    </w:lvl>
    <w:lvl w:ilvl="8" w:tentative="0">
      <w:start w:val="1"/>
      <w:numFmt w:val="lowerRoman"/>
      <w:lvlText w:val="%9."/>
      <w:lvlJc w:val="right"/>
      <w:pPr>
        <w:ind w:left="5143"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37FC"/>
    <w:rsid w:val="00007AF4"/>
    <w:rsid w:val="00011A29"/>
    <w:rsid w:val="000131DE"/>
    <w:rsid w:val="000173B7"/>
    <w:rsid w:val="000222C6"/>
    <w:rsid w:val="0002549F"/>
    <w:rsid w:val="0006149D"/>
    <w:rsid w:val="00063C47"/>
    <w:rsid w:val="0006487A"/>
    <w:rsid w:val="00065F8F"/>
    <w:rsid w:val="00067FBE"/>
    <w:rsid w:val="000768F2"/>
    <w:rsid w:val="0009184B"/>
    <w:rsid w:val="0009593C"/>
    <w:rsid w:val="000B047F"/>
    <w:rsid w:val="000B0518"/>
    <w:rsid w:val="000B5923"/>
    <w:rsid w:val="000B5A48"/>
    <w:rsid w:val="000B6FF3"/>
    <w:rsid w:val="000C1992"/>
    <w:rsid w:val="000C1E24"/>
    <w:rsid w:val="000C3467"/>
    <w:rsid w:val="000C3CA6"/>
    <w:rsid w:val="000D1267"/>
    <w:rsid w:val="000D1D50"/>
    <w:rsid w:val="000D5782"/>
    <w:rsid w:val="000D7F3A"/>
    <w:rsid w:val="000E6613"/>
    <w:rsid w:val="000E7119"/>
    <w:rsid w:val="000E7DC8"/>
    <w:rsid w:val="000F4084"/>
    <w:rsid w:val="001051C5"/>
    <w:rsid w:val="00114E9B"/>
    <w:rsid w:val="00121962"/>
    <w:rsid w:val="00125904"/>
    <w:rsid w:val="00126569"/>
    <w:rsid w:val="00131B42"/>
    <w:rsid w:val="0014729F"/>
    <w:rsid w:val="001505DC"/>
    <w:rsid w:val="00157BAB"/>
    <w:rsid w:val="001654D1"/>
    <w:rsid w:val="00176441"/>
    <w:rsid w:val="0018106D"/>
    <w:rsid w:val="001818F2"/>
    <w:rsid w:val="00184752"/>
    <w:rsid w:val="001877A7"/>
    <w:rsid w:val="00191536"/>
    <w:rsid w:val="00196687"/>
    <w:rsid w:val="001A7F56"/>
    <w:rsid w:val="001C0962"/>
    <w:rsid w:val="001C61FB"/>
    <w:rsid w:val="001D573C"/>
    <w:rsid w:val="001D5BD6"/>
    <w:rsid w:val="001D7531"/>
    <w:rsid w:val="001E737D"/>
    <w:rsid w:val="001F0592"/>
    <w:rsid w:val="001F7506"/>
    <w:rsid w:val="002006CD"/>
    <w:rsid w:val="00202B36"/>
    <w:rsid w:val="00204B7A"/>
    <w:rsid w:val="002070F1"/>
    <w:rsid w:val="00210C0C"/>
    <w:rsid w:val="0021101A"/>
    <w:rsid w:val="00220536"/>
    <w:rsid w:val="00235629"/>
    <w:rsid w:val="002464FA"/>
    <w:rsid w:val="00260C38"/>
    <w:rsid w:val="002616C0"/>
    <w:rsid w:val="002662AA"/>
    <w:rsid w:val="00280496"/>
    <w:rsid w:val="00295495"/>
    <w:rsid w:val="0029705D"/>
    <w:rsid w:val="002B2613"/>
    <w:rsid w:val="002B5D8C"/>
    <w:rsid w:val="002D4989"/>
    <w:rsid w:val="002F1818"/>
    <w:rsid w:val="002F2FF2"/>
    <w:rsid w:val="002F542A"/>
    <w:rsid w:val="002F567B"/>
    <w:rsid w:val="00301ED4"/>
    <w:rsid w:val="00320C7A"/>
    <w:rsid w:val="003216A9"/>
    <w:rsid w:val="00343658"/>
    <w:rsid w:val="00351C25"/>
    <w:rsid w:val="0037013F"/>
    <w:rsid w:val="00380C92"/>
    <w:rsid w:val="003A0C31"/>
    <w:rsid w:val="003A484F"/>
    <w:rsid w:val="003B0B5C"/>
    <w:rsid w:val="003B0BE0"/>
    <w:rsid w:val="003B0C1B"/>
    <w:rsid w:val="003B688C"/>
    <w:rsid w:val="003C0291"/>
    <w:rsid w:val="003C39AE"/>
    <w:rsid w:val="003C7B60"/>
    <w:rsid w:val="003D1FB2"/>
    <w:rsid w:val="003D6403"/>
    <w:rsid w:val="003D66DA"/>
    <w:rsid w:val="003E1310"/>
    <w:rsid w:val="003E2171"/>
    <w:rsid w:val="003E6F55"/>
    <w:rsid w:val="00402F4C"/>
    <w:rsid w:val="00406254"/>
    <w:rsid w:val="004136CD"/>
    <w:rsid w:val="00416984"/>
    <w:rsid w:val="004223DE"/>
    <w:rsid w:val="0042597F"/>
    <w:rsid w:val="004316A0"/>
    <w:rsid w:val="004340BE"/>
    <w:rsid w:val="00434489"/>
    <w:rsid w:val="00437085"/>
    <w:rsid w:val="00443880"/>
    <w:rsid w:val="00444BA6"/>
    <w:rsid w:val="004464F4"/>
    <w:rsid w:val="00452E23"/>
    <w:rsid w:val="00471401"/>
    <w:rsid w:val="00473F31"/>
    <w:rsid w:val="0048154B"/>
    <w:rsid w:val="0048263A"/>
    <w:rsid w:val="004872C4"/>
    <w:rsid w:val="00487E5D"/>
    <w:rsid w:val="004A711F"/>
    <w:rsid w:val="004B199D"/>
    <w:rsid w:val="004B4690"/>
    <w:rsid w:val="004D03D1"/>
    <w:rsid w:val="004D6DB1"/>
    <w:rsid w:val="004E0A2D"/>
    <w:rsid w:val="004E206B"/>
    <w:rsid w:val="004E5FCF"/>
    <w:rsid w:val="004E6DF7"/>
    <w:rsid w:val="004F0FBD"/>
    <w:rsid w:val="004F156C"/>
    <w:rsid w:val="004F6C72"/>
    <w:rsid w:val="005014BE"/>
    <w:rsid w:val="00505A47"/>
    <w:rsid w:val="00512FDA"/>
    <w:rsid w:val="00520DA0"/>
    <w:rsid w:val="0054442D"/>
    <w:rsid w:val="005664BB"/>
    <w:rsid w:val="0057481D"/>
    <w:rsid w:val="005815A2"/>
    <w:rsid w:val="0058486E"/>
    <w:rsid w:val="005912BF"/>
    <w:rsid w:val="005940CA"/>
    <w:rsid w:val="005D1C8B"/>
    <w:rsid w:val="005D34A5"/>
    <w:rsid w:val="005D5CED"/>
    <w:rsid w:val="005E160F"/>
    <w:rsid w:val="005E573A"/>
    <w:rsid w:val="005F1A4C"/>
    <w:rsid w:val="00605688"/>
    <w:rsid w:val="006070AF"/>
    <w:rsid w:val="00607E6C"/>
    <w:rsid w:val="006101B1"/>
    <w:rsid w:val="00614E44"/>
    <w:rsid w:val="00622830"/>
    <w:rsid w:val="00630AEF"/>
    <w:rsid w:val="006325F8"/>
    <w:rsid w:val="00634C9A"/>
    <w:rsid w:val="006440E4"/>
    <w:rsid w:val="00646DFD"/>
    <w:rsid w:val="00647170"/>
    <w:rsid w:val="0066343B"/>
    <w:rsid w:val="00664777"/>
    <w:rsid w:val="006748A4"/>
    <w:rsid w:val="006826B2"/>
    <w:rsid w:val="00683E73"/>
    <w:rsid w:val="00685165"/>
    <w:rsid w:val="00687188"/>
    <w:rsid w:val="006A3141"/>
    <w:rsid w:val="006A5E34"/>
    <w:rsid w:val="006B2422"/>
    <w:rsid w:val="006B2B9A"/>
    <w:rsid w:val="006C1937"/>
    <w:rsid w:val="006C57D1"/>
    <w:rsid w:val="006E0775"/>
    <w:rsid w:val="006F020C"/>
    <w:rsid w:val="0070401E"/>
    <w:rsid w:val="007127B7"/>
    <w:rsid w:val="007225A6"/>
    <w:rsid w:val="007416B6"/>
    <w:rsid w:val="00746F48"/>
    <w:rsid w:val="0074735F"/>
    <w:rsid w:val="0075119F"/>
    <w:rsid w:val="0075404D"/>
    <w:rsid w:val="0076182A"/>
    <w:rsid w:val="00767B7E"/>
    <w:rsid w:val="00772227"/>
    <w:rsid w:val="007770C3"/>
    <w:rsid w:val="00780F9F"/>
    <w:rsid w:val="00784181"/>
    <w:rsid w:val="00784D24"/>
    <w:rsid w:val="00785FBA"/>
    <w:rsid w:val="00786E4A"/>
    <w:rsid w:val="007875EB"/>
    <w:rsid w:val="0079426B"/>
    <w:rsid w:val="007B1AB0"/>
    <w:rsid w:val="007D312A"/>
    <w:rsid w:val="007D3ACA"/>
    <w:rsid w:val="007D3F19"/>
    <w:rsid w:val="007D7928"/>
    <w:rsid w:val="007E23B0"/>
    <w:rsid w:val="007F1991"/>
    <w:rsid w:val="007F2C2F"/>
    <w:rsid w:val="007F3B10"/>
    <w:rsid w:val="007F55FC"/>
    <w:rsid w:val="007F5665"/>
    <w:rsid w:val="007F608C"/>
    <w:rsid w:val="00800112"/>
    <w:rsid w:val="00823DF0"/>
    <w:rsid w:val="00824D4E"/>
    <w:rsid w:val="008253BB"/>
    <w:rsid w:val="0083706E"/>
    <w:rsid w:val="0083797B"/>
    <w:rsid w:val="00841AF8"/>
    <w:rsid w:val="008423A5"/>
    <w:rsid w:val="00850625"/>
    <w:rsid w:val="00853718"/>
    <w:rsid w:val="00855221"/>
    <w:rsid w:val="00860645"/>
    <w:rsid w:val="00870736"/>
    <w:rsid w:val="00871F71"/>
    <w:rsid w:val="00885AF4"/>
    <w:rsid w:val="008939CD"/>
    <w:rsid w:val="008B768C"/>
    <w:rsid w:val="008C1A9A"/>
    <w:rsid w:val="008C4DB1"/>
    <w:rsid w:val="008C4EAF"/>
    <w:rsid w:val="008C5176"/>
    <w:rsid w:val="008C7FD0"/>
    <w:rsid w:val="008D4B36"/>
    <w:rsid w:val="008E1DE7"/>
    <w:rsid w:val="008E707C"/>
    <w:rsid w:val="00900B08"/>
    <w:rsid w:val="00902155"/>
    <w:rsid w:val="00902FA3"/>
    <w:rsid w:val="009069B5"/>
    <w:rsid w:val="00923564"/>
    <w:rsid w:val="0092392E"/>
    <w:rsid w:val="009315F9"/>
    <w:rsid w:val="0093626C"/>
    <w:rsid w:val="00946945"/>
    <w:rsid w:val="00951248"/>
    <w:rsid w:val="0095152F"/>
    <w:rsid w:val="009544A1"/>
    <w:rsid w:val="00954C49"/>
    <w:rsid w:val="0097099F"/>
    <w:rsid w:val="00971997"/>
    <w:rsid w:val="00971FFC"/>
    <w:rsid w:val="00977F54"/>
    <w:rsid w:val="00980EB9"/>
    <w:rsid w:val="0098660A"/>
    <w:rsid w:val="009931C3"/>
    <w:rsid w:val="009A466C"/>
    <w:rsid w:val="009B2C43"/>
    <w:rsid w:val="009B4EAE"/>
    <w:rsid w:val="009B7573"/>
    <w:rsid w:val="009C22F4"/>
    <w:rsid w:val="009C2E98"/>
    <w:rsid w:val="009C5B77"/>
    <w:rsid w:val="009D3447"/>
    <w:rsid w:val="009D4711"/>
    <w:rsid w:val="009F1185"/>
    <w:rsid w:val="009F18CD"/>
    <w:rsid w:val="009F2A13"/>
    <w:rsid w:val="009F3F6D"/>
    <w:rsid w:val="00A02F8E"/>
    <w:rsid w:val="00A044D7"/>
    <w:rsid w:val="00A04EB0"/>
    <w:rsid w:val="00A13CC1"/>
    <w:rsid w:val="00A16847"/>
    <w:rsid w:val="00A237D8"/>
    <w:rsid w:val="00A268C4"/>
    <w:rsid w:val="00A307CD"/>
    <w:rsid w:val="00A40A00"/>
    <w:rsid w:val="00A4142F"/>
    <w:rsid w:val="00A56DF2"/>
    <w:rsid w:val="00A67AB5"/>
    <w:rsid w:val="00A75594"/>
    <w:rsid w:val="00A819EC"/>
    <w:rsid w:val="00A91760"/>
    <w:rsid w:val="00A93B00"/>
    <w:rsid w:val="00A93C21"/>
    <w:rsid w:val="00AA265D"/>
    <w:rsid w:val="00AA5027"/>
    <w:rsid w:val="00AB1716"/>
    <w:rsid w:val="00AB1FC2"/>
    <w:rsid w:val="00AC2921"/>
    <w:rsid w:val="00AC3C6A"/>
    <w:rsid w:val="00AD52A4"/>
    <w:rsid w:val="00AD5620"/>
    <w:rsid w:val="00AD7C1B"/>
    <w:rsid w:val="00AE16BA"/>
    <w:rsid w:val="00AE1EBE"/>
    <w:rsid w:val="00B0254B"/>
    <w:rsid w:val="00B03C9D"/>
    <w:rsid w:val="00B060AE"/>
    <w:rsid w:val="00B10517"/>
    <w:rsid w:val="00B14E76"/>
    <w:rsid w:val="00B161B8"/>
    <w:rsid w:val="00B174FE"/>
    <w:rsid w:val="00B176E6"/>
    <w:rsid w:val="00B2048C"/>
    <w:rsid w:val="00B27AA8"/>
    <w:rsid w:val="00B310B9"/>
    <w:rsid w:val="00B35F3F"/>
    <w:rsid w:val="00B36CBB"/>
    <w:rsid w:val="00B41BC0"/>
    <w:rsid w:val="00B425E0"/>
    <w:rsid w:val="00B440AA"/>
    <w:rsid w:val="00B44B70"/>
    <w:rsid w:val="00B53C56"/>
    <w:rsid w:val="00B77EA6"/>
    <w:rsid w:val="00B81598"/>
    <w:rsid w:val="00B841F1"/>
    <w:rsid w:val="00B90B7F"/>
    <w:rsid w:val="00B944D6"/>
    <w:rsid w:val="00BB4DF0"/>
    <w:rsid w:val="00BC10DE"/>
    <w:rsid w:val="00BC289F"/>
    <w:rsid w:val="00BC5361"/>
    <w:rsid w:val="00BC5460"/>
    <w:rsid w:val="00BC6B50"/>
    <w:rsid w:val="00BD0E25"/>
    <w:rsid w:val="00BE622D"/>
    <w:rsid w:val="00BF5BD6"/>
    <w:rsid w:val="00C03E31"/>
    <w:rsid w:val="00C33E72"/>
    <w:rsid w:val="00C354B2"/>
    <w:rsid w:val="00C35554"/>
    <w:rsid w:val="00C42709"/>
    <w:rsid w:val="00C533CC"/>
    <w:rsid w:val="00C5751C"/>
    <w:rsid w:val="00C61BFC"/>
    <w:rsid w:val="00C62B85"/>
    <w:rsid w:val="00C65438"/>
    <w:rsid w:val="00C85179"/>
    <w:rsid w:val="00C91CBB"/>
    <w:rsid w:val="00CA457A"/>
    <w:rsid w:val="00CB21F7"/>
    <w:rsid w:val="00CC09B6"/>
    <w:rsid w:val="00CC257D"/>
    <w:rsid w:val="00CC3C7C"/>
    <w:rsid w:val="00CC666F"/>
    <w:rsid w:val="00CD102D"/>
    <w:rsid w:val="00CD1E3F"/>
    <w:rsid w:val="00CE0A5A"/>
    <w:rsid w:val="00CE44F6"/>
    <w:rsid w:val="00CE49DA"/>
    <w:rsid w:val="00CE7B61"/>
    <w:rsid w:val="00CF7121"/>
    <w:rsid w:val="00D00095"/>
    <w:rsid w:val="00D067F0"/>
    <w:rsid w:val="00D20620"/>
    <w:rsid w:val="00D26091"/>
    <w:rsid w:val="00D26A91"/>
    <w:rsid w:val="00D277AA"/>
    <w:rsid w:val="00D34E7C"/>
    <w:rsid w:val="00D35489"/>
    <w:rsid w:val="00D413EC"/>
    <w:rsid w:val="00D4528E"/>
    <w:rsid w:val="00D47F16"/>
    <w:rsid w:val="00D51276"/>
    <w:rsid w:val="00D7035F"/>
    <w:rsid w:val="00D72E15"/>
    <w:rsid w:val="00D85466"/>
    <w:rsid w:val="00DA0B47"/>
    <w:rsid w:val="00DA65AC"/>
    <w:rsid w:val="00DB08F0"/>
    <w:rsid w:val="00DB1913"/>
    <w:rsid w:val="00DC410D"/>
    <w:rsid w:val="00DC68CA"/>
    <w:rsid w:val="00DC7CBA"/>
    <w:rsid w:val="00DD73B7"/>
    <w:rsid w:val="00DE384E"/>
    <w:rsid w:val="00DF28BC"/>
    <w:rsid w:val="00DF34B9"/>
    <w:rsid w:val="00E01053"/>
    <w:rsid w:val="00E07681"/>
    <w:rsid w:val="00E07ACF"/>
    <w:rsid w:val="00E13D43"/>
    <w:rsid w:val="00E1605A"/>
    <w:rsid w:val="00E331A1"/>
    <w:rsid w:val="00E33202"/>
    <w:rsid w:val="00E336A9"/>
    <w:rsid w:val="00E4218D"/>
    <w:rsid w:val="00E50624"/>
    <w:rsid w:val="00E568DF"/>
    <w:rsid w:val="00E64269"/>
    <w:rsid w:val="00E82267"/>
    <w:rsid w:val="00E85CB5"/>
    <w:rsid w:val="00E87B2A"/>
    <w:rsid w:val="00EA010F"/>
    <w:rsid w:val="00ED1B63"/>
    <w:rsid w:val="00ED2F3A"/>
    <w:rsid w:val="00ED3C1F"/>
    <w:rsid w:val="00ED4085"/>
    <w:rsid w:val="00ED420E"/>
    <w:rsid w:val="00ED7CA8"/>
    <w:rsid w:val="00EE2F57"/>
    <w:rsid w:val="00EF4C34"/>
    <w:rsid w:val="00EF77C6"/>
    <w:rsid w:val="00F04F8D"/>
    <w:rsid w:val="00F05438"/>
    <w:rsid w:val="00F1361C"/>
    <w:rsid w:val="00F160C7"/>
    <w:rsid w:val="00F36D8F"/>
    <w:rsid w:val="00F417B1"/>
    <w:rsid w:val="00F53061"/>
    <w:rsid w:val="00F53F1E"/>
    <w:rsid w:val="00F602DF"/>
    <w:rsid w:val="00F66422"/>
    <w:rsid w:val="00F71B9E"/>
    <w:rsid w:val="00F81FD9"/>
    <w:rsid w:val="00F8353F"/>
    <w:rsid w:val="00F841AA"/>
    <w:rsid w:val="00FA23E8"/>
    <w:rsid w:val="00FB6751"/>
    <w:rsid w:val="00FC116A"/>
    <w:rsid w:val="00FC7CD8"/>
    <w:rsid w:val="00FD1A77"/>
    <w:rsid w:val="00FD3CC1"/>
    <w:rsid w:val="00FD4734"/>
    <w:rsid w:val="00FE1D97"/>
    <w:rsid w:val="00FF1E02"/>
    <w:rsid w:val="00FF30B4"/>
    <w:rsid w:val="00FF4D34"/>
    <w:rsid w:val="0896454E"/>
    <w:rsid w:val="10C055FF"/>
    <w:rsid w:val="16BB723D"/>
    <w:rsid w:val="240371BF"/>
    <w:rsid w:val="29FD04D3"/>
    <w:rsid w:val="319F7F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2"/>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spacing w:line="600" w:lineRule="exact"/>
      <w:ind w:left="420" w:leftChars="200"/>
      <w:jc w:val="center"/>
    </w:pPr>
  </w:style>
  <w:style w:type="paragraph" w:styleId="12">
    <w:name w:val="Normal (Web)"/>
    <w:basedOn w:val="1"/>
    <w:unhideWhenUsed/>
    <w:uiPriority w:val="99"/>
    <w:pPr>
      <w:widowControl/>
      <w:jc w:val="left"/>
    </w:pPr>
    <w:rPr>
      <w:rFonts w:ascii="宋体" w:hAnsi="宋体" w:cs="宋体"/>
      <w:kern w:val="0"/>
      <w:sz w:val="24"/>
    </w:r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2"/>
    <w:qFormat/>
    <w:uiPriority w:val="9"/>
    <w:rPr>
      <w:rFonts w:ascii="Times New Roman" w:hAnsi="Times New Roman"/>
      <w:b/>
      <w:bCs/>
      <w:kern w:val="44"/>
      <w:sz w:val="44"/>
      <w:szCs w:val="44"/>
    </w:rPr>
  </w:style>
  <w:style w:type="character" w:customStyle="1" w:styleId="26">
    <w:name w:val="标题 2 Char"/>
    <w:basedOn w:val="13"/>
    <w:link w:val="3"/>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047C3-55CA-4634-9D22-49AFF3D548E9}">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10715</Words>
  <Characters>2769</Characters>
  <Lines>23</Lines>
  <Paragraphs>26</Paragraphs>
  <TotalTime>51</TotalTime>
  <ScaleCrop>false</ScaleCrop>
  <LinksUpToDate>false</LinksUpToDate>
  <CharactersWithSpaces>13458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2019-09-24T03:45:00Z</dcterms:created>
  <dc:creator>张彬茜</dc:creator>
  <cp:lastModifiedBy>政务公开科:吴本学</cp:lastModifiedBy>
  <cp:lastPrinted>2019-09-24T07:34:00Z</cp:lastPrinted>
  <dcterms:modified xsi:type="dcterms:W3CDTF">2019-09-30T02:33:35Z</dcterms:modified>
  <dc:title>四川省***</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