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7426"/>
      <w:bookmarkStart w:id="7" w:name="_Toc15377194"/>
      <w:bookmarkStart w:id="8" w:name="_Toc15396476"/>
      <w:bookmarkStart w:id="9" w:name="_Toc15396598"/>
      <w:bookmarkStart w:id="10" w:name="_Toc15378442"/>
      <w:r>
        <w:rPr>
          <w:rFonts w:hint="eastAsia" w:ascii="方正小标宋简体" w:hAnsi="宋体" w:eastAsia="方正小标宋简体"/>
          <w:color w:val="000000"/>
          <w:sz w:val="72"/>
          <w:szCs w:val="72"/>
        </w:rPr>
        <w:t>四川省广元市</w:t>
      </w:r>
      <w:bookmarkEnd w:id="0"/>
      <w:bookmarkStart w:id="11" w:name="_Toc15306268"/>
      <w:r>
        <w:rPr>
          <w:rFonts w:hint="eastAsia" w:ascii="方正小标宋简体" w:hAnsi="宋体" w:eastAsia="方正小标宋简体"/>
          <w:color w:val="000000"/>
          <w:sz w:val="72"/>
          <w:szCs w:val="72"/>
          <w:lang w:eastAsia="zh-CN"/>
        </w:rPr>
        <w:t>教育局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编</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制</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说</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明</w:t>
      </w:r>
    </w:p>
    <w:p>
      <w:pPr>
        <w:adjustRightInd w:val="0"/>
        <w:snapToGrid w:val="0"/>
        <w:spacing w:line="360" w:lineRule="auto"/>
        <w:jc w:val="center"/>
        <w:outlineLvl w:val="0"/>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公开时间：2019年9月</w:t>
      </w:r>
      <w:r>
        <w:rPr>
          <w:rFonts w:hint="eastAsia"/>
          <w:lang w:val="en-US" w:eastAsia="zh-CN"/>
        </w:rPr>
        <w:t>25</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8"/>
          <w:rFonts w:hint="eastAsia"/>
        </w:rPr>
        <w:t>第一部分部门概况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15</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fldChar w:fldCharType="begin"/>
      </w:r>
      <w:r>
        <w:instrText xml:space="preserve"> PAGEREF _Toc15396614 \h </w:instrText>
      </w:r>
      <w:r>
        <w:fldChar w:fldCharType="separate"/>
      </w:r>
      <w:r>
        <w:t>18</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fldChar w:fldCharType="begin"/>
      </w:r>
      <w:r>
        <w:instrText xml:space="preserve"> PAGEREF _Toc15396618 \h </w:instrText>
      </w:r>
      <w:r>
        <w:fldChar w:fldCharType="separate"/>
      </w:r>
      <w:r>
        <w:t>21</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bookmarkStart w:id="18" w:name="_Toc15377199"/>
      <w:bookmarkStart w:id="19" w:name="_Toc15378446"/>
      <w:r>
        <w:rPr>
          <w:rFonts w:ascii="仿宋_GB2312" w:hAnsi="仿宋" w:eastAsia="仿宋_GB2312" w:cs="Times New Roman"/>
          <w:kern w:val="2"/>
          <w:sz w:val="32"/>
          <w:szCs w:val="32"/>
        </w:rPr>
        <w:t>广元市教育局根据中国共产党广元市委、</w:t>
      </w:r>
      <w:r>
        <w:rPr>
          <w:rFonts w:ascii="仿宋_GB2312" w:hAnsi="仿宋" w:eastAsia="仿宋_GB2312" w:cs="Times New Roman"/>
          <w:kern w:val="2"/>
          <w:sz w:val="32"/>
          <w:szCs w:val="32"/>
        </w:rPr>
        <w:fldChar w:fldCharType="begin"/>
      </w:r>
      <w:r>
        <w:rPr>
          <w:rFonts w:ascii="仿宋_GB2312" w:hAnsi="仿宋" w:eastAsia="仿宋_GB2312" w:cs="Times New Roman"/>
          <w:kern w:val="2"/>
          <w:sz w:val="32"/>
          <w:szCs w:val="32"/>
        </w:rPr>
        <w:instrText xml:space="preserve"> HYPERLINK "http://baike.so.com/doc/6663293-6877119.html" \t "_blank" </w:instrText>
      </w:r>
      <w:r>
        <w:rPr>
          <w:rFonts w:ascii="仿宋_GB2312" w:hAnsi="仿宋" w:eastAsia="仿宋_GB2312" w:cs="Times New Roman"/>
          <w:kern w:val="2"/>
          <w:sz w:val="32"/>
          <w:szCs w:val="32"/>
        </w:rPr>
        <w:fldChar w:fldCharType="separate"/>
      </w:r>
      <w:r>
        <w:rPr>
          <w:rFonts w:ascii="仿宋_GB2312" w:hAnsi="仿宋" w:eastAsia="仿宋_GB2312" w:cs="Times New Roman"/>
          <w:kern w:val="2"/>
          <w:sz w:val="32"/>
          <w:szCs w:val="32"/>
        </w:rPr>
        <w:t>广元市人民政府</w:t>
      </w:r>
      <w:r>
        <w:rPr>
          <w:rFonts w:ascii="仿宋_GB2312" w:hAnsi="仿宋" w:eastAsia="仿宋_GB2312" w:cs="Times New Roman"/>
          <w:kern w:val="2"/>
          <w:sz w:val="32"/>
          <w:szCs w:val="32"/>
        </w:rPr>
        <w:fldChar w:fldCharType="end"/>
      </w:r>
      <w:r>
        <w:rPr>
          <w:rFonts w:ascii="仿宋_GB2312" w:hAnsi="仿宋" w:eastAsia="仿宋_GB2312" w:cs="Times New Roman"/>
          <w:kern w:val="2"/>
          <w:sz w:val="32"/>
          <w:szCs w:val="32"/>
        </w:rPr>
        <w:t>的行政分工，对辖区的教育实行行政管理:</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(一)贯彻执行教育工作的方针、政策、法律和法规，研究提出全市教育发展战略，草拟教育工作的政策和规范性文件，并监督执行。</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(二)编制全市教育事业的发展规划和年度计划，拟定教育事业发展重点、规模、速度，指导、协调教育规划、计划的实施。</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三)综合管理全市的基础教育，指导各县(区)各部门的教育工作，负责对学校办学质量的管理，对学校办学行为和教育质量进行监督、督导和评估。组织和指导全市教育改革，统筹规划、协调指导教育体制和办学体制的改革，理顺教育内部和外部的关系，建立适应社会主义市场经济体制和政治体制以及科技体制需要的教育体制和运行机制。</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四)统筹管理本部门的教育经费;参与拟定筹措教育经费、教育拨款、教育基建投资的政策和措施;在市本级财政中，市属学校的经费预算(含教育事业费、教育基建投资)确定后，由市教育局组织实施;有关教育经费的收费标准，由市教育局提出意见，经物价、财政等部门审核后，报市政府审批;负责对城区教育费附加的征收管理;监测全市教育经费的筹措和使用情况;监测各县(区)教育经费"三个增长"的执行情况;管理国家、省对我市教育项目的拨款经费;管理国外对我市的教育援助和贷款;负责学校布局结构的调整。</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五)按照国务院关于基础教育改革与发展的决定，负责对高级中学和完全中学校长的提名、考察或参与考察，按干部管理权限任用或聘用。推行中小学校长聘任制，实行校长任期制，推进校长职级制。指导直属学校领导班子思想政治建设;加强全市学校干部队伍建设。</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六)主管全市教师工作，会同有关部门制定教育系统人事管理工作的有关政策和规章制度，指导学校内部管理体制改革，规划指导全市中小学教师队伍建设;根据中央、省制定的各类学校的编制标准管理学校的编制;负责市直属学校教师的调配任用、工资福利、考核奖惩等工作;管理学校教师专业技术职务的评聘工作;负责教师的培养培训工作;指导教师资格考试、资格认定和证书管理工作。</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(七)统筹管理全市普通高校、成人高校、中等专业学校的招生考试工作和高等教育自学考试工作，并组织实施。</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八)归口管理全市的学历教育及考试工作，规划、指导继续教育工作、成人教育工作和扫除青壮年文盲工作。指导各级各类学校的思想政治工作、德育工作、法制教育工作、体育卫生与美育工作、国防教育工作和安全工作。会同有关部门改革师范类毕业生就业分配制度，组织实施师范类毕业生就业分配计划。</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(九)规划并管理全市教育管理情报、统计资料及信息系统的开发和建设工作;指导教育方针政策的宣传和舆论监督工作。</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(十)承担市语言文字工作委员会的日常工作。管理局直属事业单位，指导全市教育系统的学会、基金会等社团组织的管理工作。</w:t>
      </w:r>
    </w:p>
    <w:p>
      <w:pPr>
        <w:pStyle w:val="13"/>
        <w:shd w:val="clear" w:color="auto" w:fill="FFFFFF"/>
        <w:spacing w:before="0" w:beforeAutospacing="0" w:after="90" w:afterAutospacing="0" w:line="144" w:lineRule="atLeast"/>
        <w:ind w:firstLine="480"/>
        <w:rPr>
          <w:rFonts w:hint="eastAsia" w:ascii="仿宋_GB2312" w:hAnsi="仿宋" w:eastAsia="仿宋_GB2312"/>
          <w:sz w:val="32"/>
          <w:szCs w:val="32"/>
        </w:rPr>
      </w:pPr>
      <w:r>
        <w:rPr>
          <w:rFonts w:ascii="仿宋_GB2312" w:hAnsi="仿宋" w:eastAsia="仿宋_GB2312" w:cs="Times New Roman"/>
          <w:kern w:val="2"/>
          <w:sz w:val="32"/>
          <w:szCs w:val="32"/>
        </w:rPr>
        <w:t>(十一)承办市政府交办的其他事项。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32"/>
        <w:widowControl w:val="0"/>
        <w:tabs>
          <w:tab w:val="left" w:pos="5400"/>
        </w:tabs>
        <w:adjustRightInd w:val="0"/>
        <w:snapToGrid w:val="0"/>
        <w:spacing w:before="0" w:beforeAutospacing="0" w:after="0" w:afterAutospacing="0" w:line="610" w:lineRule="exact"/>
        <w:ind w:firstLineChars="200"/>
        <w:jc w:val="both"/>
        <w:rPr>
          <w:rFonts w:ascii="仿宋_GB2312" w:eastAsia="仿宋_GB2312" w:cs="Times New Roman"/>
          <w:sz w:val="32"/>
          <w:szCs w:val="32"/>
        </w:rPr>
      </w:pPr>
      <w:r>
        <w:rPr>
          <w:rFonts w:hint="eastAsia" w:ascii="仿宋_GB2312" w:eastAsia="仿宋_GB2312"/>
          <w:sz w:val="30"/>
          <w:szCs w:val="30"/>
        </w:rPr>
        <w:t xml:space="preserve">  </w:t>
      </w:r>
      <w:r>
        <w:rPr>
          <w:rFonts w:ascii="仿宋_GB2312" w:hAnsi="仿宋" w:eastAsia="仿宋_GB2312" w:cs="仿宋_GB2312"/>
          <w:sz w:val="32"/>
          <w:szCs w:val="32"/>
        </w:rPr>
        <w:t>2018</w:t>
      </w:r>
      <w:r>
        <w:rPr>
          <w:rFonts w:hint="eastAsia" w:ascii="仿宋_GB2312" w:hAnsi="仿宋" w:eastAsia="仿宋_GB2312" w:cs="仿宋_GB2312"/>
          <w:sz w:val="32"/>
          <w:szCs w:val="32"/>
        </w:rPr>
        <w:t>年，全市教育系统全面贯彻落实市委、市政府对教育工作的部署要求，以办人民满意教育为宗旨，紧紧围绕“加强管理、提高质量、促进公平、内涵发展”的教育工作思路，普惠发展学前教育、均衡发展义务教育、优质发展高中教育、多元发展职业教育、稳步发展高等教育、保障发展特殊教育、突破发展民办教育，</w:t>
      </w:r>
      <w:r>
        <w:rPr>
          <w:rFonts w:hint="eastAsia" w:ascii="仿宋_GB2312" w:eastAsia="仿宋_GB2312" w:cs="仿宋_GB2312"/>
          <w:sz w:val="32"/>
          <w:szCs w:val="32"/>
        </w:rPr>
        <w:t>大力</w:t>
      </w:r>
      <w:r>
        <w:rPr>
          <w:rFonts w:hint="eastAsia" w:ascii="仿宋_GB2312" w:hAnsi="华文仿宋" w:eastAsia="仿宋_GB2312" w:cs="仿宋_GB2312"/>
          <w:spacing w:val="4"/>
          <w:sz w:val="32"/>
          <w:szCs w:val="32"/>
        </w:rPr>
        <w:t>实施“四名工程”，</w:t>
      </w:r>
      <w:r>
        <w:rPr>
          <w:rFonts w:hint="eastAsia" w:ascii="仿宋_GB2312" w:hAnsi="仿宋" w:eastAsia="仿宋_GB2312" w:cs="仿宋_GB2312"/>
          <w:sz w:val="32"/>
          <w:szCs w:val="32"/>
        </w:rPr>
        <w:t>扎实开展教育精准扶贫</w:t>
      </w:r>
      <w:r>
        <w:rPr>
          <w:rFonts w:hint="eastAsia" w:ascii="仿宋_GB2312" w:hAnsi="华文仿宋" w:eastAsia="仿宋_GB2312" w:cs="仿宋_GB2312"/>
          <w:spacing w:val="4"/>
          <w:sz w:val="32"/>
          <w:szCs w:val="32"/>
        </w:rPr>
        <w:t>，</w:t>
      </w:r>
      <w:r>
        <w:rPr>
          <w:rFonts w:hint="eastAsia" w:ascii="仿宋_GB2312" w:eastAsia="仿宋_GB2312" w:cs="仿宋_GB2312"/>
          <w:sz w:val="32"/>
          <w:szCs w:val="32"/>
        </w:rPr>
        <w:t>促进广元教育又好又快高质量发展。</w:t>
      </w:r>
    </w:p>
    <w:p>
      <w:pPr>
        <w:spacing w:line="560" w:lineRule="exact"/>
        <w:ind w:firstLineChars="200"/>
        <w:rPr>
          <w:rFonts w:hint="eastAsia" w:ascii="仿宋" w:hAnsi="仿宋" w:eastAsia="仿宋"/>
          <w:bCs/>
          <w:color w:val="000000"/>
          <w:sz w:val="32"/>
          <w:szCs w:val="32"/>
        </w:rPr>
      </w:pPr>
      <w:r>
        <w:rPr>
          <w:rFonts w:hint="eastAsia" w:ascii="仿宋_GB2312" w:hAnsi="仿宋" w:eastAsia="仿宋_GB2312" w:cs="仿宋"/>
          <w:sz w:val="32"/>
          <w:szCs w:val="32"/>
        </w:rPr>
        <w:t>市教育局先后获得“全省中等职业学校学生技能大赛优秀组织奖”“全省第九届中小学生艺术展演优秀组织奖”“全国青少年爱国主义读书教育系列活动组织特等奖”“全国青少年学生法治网络大赛优秀组织奖”“全国教育宣传工作先进单位”</w:t>
      </w:r>
      <w:r>
        <w:rPr>
          <w:rFonts w:hint="eastAsia" w:ascii="仿宋_GB2312" w:eastAsia="仿宋_GB2312" w:cs="仿宋_GB2312"/>
          <w:sz w:val="32"/>
          <w:szCs w:val="32"/>
        </w:rPr>
        <w:t>等全市、全省、全国50项荣誉称号。</w:t>
      </w:r>
      <w:r>
        <w:rPr>
          <w:rFonts w:hint="eastAsia" w:ascii="仿宋_GB2312" w:hAnsi="仿宋" w:eastAsia="仿宋_GB2312" w:cs="仿宋"/>
          <w:sz w:val="32"/>
          <w:szCs w:val="32"/>
        </w:rPr>
        <w:t>广元市示范性综合实践基地成功创建成“全国中小学生研学实践教育营地”。全省教育信息化推动乡村义务教育高质量发展现场培训会在我市召开</w:t>
      </w:r>
      <w:r>
        <w:rPr>
          <w:rFonts w:hint="eastAsia" w:ascii="仿宋_GB2312" w:eastAsia="仿宋_GB2312" w:cs="仿宋_GB2312"/>
          <w:sz w:val="32"/>
          <w:szCs w:val="32"/>
        </w:rPr>
        <w:t>。</w:t>
      </w:r>
    </w:p>
    <w:p>
      <w:pPr>
        <w:pStyle w:val="3"/>
        <w:rPr>
          <w:rStyle w:val="2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Style w:val="5"/>
        <w:adjustRightInd w:val="0"/>
        <w:snapToGrid w:val="0"/>
        <w:spacing w:beforeLines="0" w:line="610" w:lineRule="exact"/>
        <w:ind w:firstLine="640" w:firstLineChars="200"/>
        <w:rPr>
          <w:sz w:val="32"/>
          <w:szCs w:val="32"/>
        </w:rPr>
      </w:pPr>
      <w:r>
        <w:rPr>
          <w:rFonts w:hint="eastAsia"/>
          <w:sz w:val="32"/>
          <w:szCs w:val="32"/>
        </w:rPr>
        <w:t>市教育局下属二级单位</w:t>
      </w:r>
      <w:r>
        <w:rPr>
          <w:rFonts w:hint="eastAsia"/>
          <w:sz w:val="32"/>
          <w:szCs w:val="32"/>
          <w:lang w:eastAsia="zh-CN"/>
        </w:rPr>
        <w:t>1</w:t>
      </w:r>
      <w:r>
        <w:rPr>
          <w:rFonts w:hint="eastAsia"/>
          <w:sz w:val="32"/>
          <w:szCs w:val="32"/>
          <w:lang w:val="en-US" w:eastAsia="zh-CN"/>
        </w:rPr>
        <w:t>8</w:t>
      </w:r>
      <w:r>
        <w:rPr>
          <w:rFonts w:hint="eastAsia"/>
          <w:sz w:val="32"/>
          <w:szCs w:val="32"/>
        </w:rPr>
        <w:t>个，其中其他事业单位</w:t>
      </w:r>
      <w:r>
        <w:rPr>
          <w:rFonts w:hint="eastAsia"/>
          <w:sz w:val="32"/>
          <w:szCs w:val="32"/>
          <w:lang w:eastAsia="zh-CN"/>
        </w:rPr>
        <w:t>1</w:t>
      </w:r>
      <w:r>
        <w:rPr>
          <w:rFonts w:hint="eastAsia"/>
          <w:sz w:val="32"/>
          <w:szCs w:val="32"/>
          <w:lang w:val="en-US" w:eastAsia="zh-CN"/>
        </w:rPr>
        <w:t>8</w:t>
      </w:r>
      <w:r>
        <w:rPr>
          <w:rFonts w:hint="eastAsia"/>
          <w:sz w:val="32"/>
          <w:szCs w:val="32"/>
        </w:rPr>
        <w:t>个，无行政单位和参照公务员法管理的事业单位。</w:t>
      </w:r>
    </w:p>
    <w:p>
      <w:pPr>
        <w:pStyle w:val="5"/>
        <w:adjustRightInd w:val="0"/>
        <w:snapToGrid w:val="0"/>
        <w:spacing w:beforeLines="0" w:line="610" w:lineRule="exact"/>
        <w:ind w:firstLine="640" w:firstLineChars="200"/>
        <w:rPr>
          <w:rFonts w:hint="eastAsia"/>
          <w:sz w:val="32"/>
          <w:szCs w:val="32"/>
        </w:rPr>
      </w:pPr>
      <w:r>
        <w:rPr>
          <w:rFonts w:hint="eastAsia"/>
          <w:sz w:val="32"/>
          <w:szCs w:val="32"/>
        </w:rPr>
        <w:t>纳入</w:t>
      </w:r>
      <w:r>
        <w:rPr>
          <w:rFonts w:hint="eastAsia"/>
          <w:sz w:val="32"/>
          <w:szCs w:val="32"/>
          <w:lang w:eastAsia="zh-CN"/>
        </w:rPr>
        <w:t>市教育局</w:t>
      </w:r>
      <w:r>
        <w:rPr>
          <w:rFonts w:hint="eastAsia"/>
          <w:sz w:val="32"/>
          <w:szCs w:val="32"/>
        </w:rPr>
        <w:t>2018年度部门决算编制范围的二级预算单位包括：</w:t>
      </w:r>
    </w:p>
    <w:p>
      <w:pPr>
        <w:pStyle w:val="5"/>
        <w:adjustRightInd w:val="0"/>
        <w:snapToGrid w:val="0"/>
        <w:spacing w:beforeLines="0" w:line="610" w:lineRule="exact"/>
        <w:ind w:firstLine="640" w:firstLineChars="200"/>
        <w:rPr>
          <w:rFonts w:hint="eastAsia" w:eastAsia="仿宋_GB2312"/>
          <w:sz w:val="32"/>
          <w:szCs w:val="32"/>
          <w:lang w:eastAsia="zh-CN"/>
        </w:rPr>
      </w:pPr>
      <w:bookmarkStart w:id="22" w:name="_Toc15306275"/>
      <w:bookmarkStart w:id="23" w:name="_Toc15378448"/>
      <w:bookmarkStart w:id="24" w:name="_Toc15377201"/>
      <w:bookmarkStart w:id="25" w:name="_Toc15377432"/>
      <w:r>
        <w:rPr>
          <w:rFonts w:hint="eastAsia"/>
          <w:sz w:val="32"/>
          <w:szCs w:val="32"/>
          <w:lang w:val="en-US" w:eastAsia="zh-CN"/>
        </w:rPr>
        <w:t>1.</w:t>
      </w:r>
      <w:bookmarkEnd w:id="22"/>
      <w:bookmarkEnd w:id="23"/>
      <w:bookmarkEnd w:id="24"/>
      <w:bookmarkEnd w:id="25"/>
      <w:r>
        <w:rPr>
          <w:rFonts w:hint="eastAsia"/>
          <w:sz w:val="32"/>
          <w:szCs w:val="32"/>
          <w:lang w:eastAsia="zh-CN"/>
        </w:rPr>
        <w:t>广元中学</w:t>
      </w:r>
    </w:p>
    <w:p>
      <w:pPr>
        <w:pStyle w:val="5"/>
        <w:adjustRightInd w:val="0"/>
        <w:snapToGrid w:val="0"/>
        <w:spacing w:beforeLines="0" w:line="610" w:lineRule="exact"/>
        <w:ind w:firstLine="640" w:firstLineChars="200"/>
        <w:rPr>
          <w:rFonts w:hint="eastAsia"/>
          <w:sz w:val="32"/>
          <w:szCs w:val="32"/>
        </w:rPr>
      </w:pPr>
      <w:bookmarkStart w:id="26" w:name="_Toc15378449"/>
      <w:bookmarkStart w:id="27" w:name="_Toc15377202"/>
      <w:bookmarkStart w:id="28" w:name="_Toc15377433"/>
      <w:bookmarkStart w:id="29" w:name="_Toc15306276"/>
      <w:r>
        <w:rPr>
          <w:rFonts w:hint="eastAsia"/>
          <w:sz w:val="32"/>
          <w:szCs w:val="32"/>
          <w:lang w:val="en-US" w:eastAsia="zh-CN"/>
        </w:rPr>
        <w:t>2.</w:t>
      </w:r>
      <w:bookmarkEnd w:id="26"/>
      <w:bookmarkEnd w:id="27"/>
      <w:bookmarkEnd w:id="28"/>
      <w:bookmarkEnd w:id="29"/>
      <w:bookmarkStart w:id="30" w:name="_Toc15377203"/>
      <w:bookmarkStart w:id="31" w:name="_Toc15306277"/>
      <w:bookmarkStart w:id="32" w:name="_Toc15377434"/>
      <w:bookmarkStart w:id="33" w:name="_Toc15378450"/>
      <w:r>
        <w:rPr>
          <w:rFonts w:hint="eastAsia"/>
          <w:sz w:val="32"/>
          <w:szCs w:val="32"/>
        </w:rPr>
        <w:t>广元市外国语学校</w:t>
      </w:r>
    </w:p>
    <w:p>
      <w:pPr>
        <w:pStyle w:val="5"/>
        <w:adjustRightInd w:val="0"/>
        <w:snapToGrid w:val="0"/>
        <w:spacing w:beforeLines="0" w:line="610" w:lineRule="exact"/>
        <w:ind w:firstLine="640" w:firstLineChars="200"/>
        <w:rPr>
          <w:rFonts w:hint="eastAsia"/>
          <w:sz w:val="32"/>
          <w:szCs w:val="32"/>
        </w:rPr>
      </w:pPr>
      <w:r>
        <w:rPr>
          <w:rFonts w:hint="eastAsia"/>
          <w:sz w:val="32"/>
          <w:szCs w:val="32"/>
          <w:lang w:val="en-US" w:eastAsia="zh-CN"/>
        </w:rPr>
        <w:t>3.</w:t>
      </w:r>
      <w:bookmarkEnd w:id="30"/>
      <w:bookmarkEnd w:id="31"/>
      <w:bookmarkEnd w:id="32"/>
      <w:bookmarkEnd w:id="33"/>
      <w:r>
        <w:rPr>
          <w:rFonts w:hint="eastAsia"/>
          <w:sz w:val="32"/>
          <w:szCs w:val="32"/>
        </w:rPr>
        <w:t>广元市职业高级中学校</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4.广元市利州中等专业学校</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5.广元市实验中学</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6.广元市八二一中学</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7.广元市零八一中学</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8.广元市利州中学</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9.广元市树人中学</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10.广元市实验小学校</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11.广元市市级机关幼儿园</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12.广元市树人幼儿园</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13.广元市教育考试中心</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14.广元市教育技术装备所</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15.广元市教育科学研究所</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16.广元市教育服务中心</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lang w:val="en-US" w:eastAsia="zh-CN"/>
        </w:rPr>
        <w:t>17.广元市继续教育办公室</w:t>
      </w:r>
    </w:p>
    <w:p>
      <w:pPr>
        <w:pStyle w:val="5"/>
        <w:adjustRightInd w:val="0"/>
        <w:snapToGrid w:val="0"/>
        <w:spacing w:beforeLines="0" w:line="610" w:lineRule="exact"/>
        <w:ind w:firstLine="640" w:firstLineChars="200"/>
        <w:rPr>
          <w:rFonts w:hint="default"/>
          <w:sz w:val="32"/>
          <w:szCs w:val="32"/>
          <w:lang w:val="en-US" w:eastAsia="zh-CN"/>
        </w:rPr>
      </w:pPr>
      <w:r>
        <w:rPr>
          <w:rFonts w:hint="eastAsia"/>
          <w:sz w:val="32"/>
          <w:szCs w:val="32"/>
          <w:lang w:val="en-US" w:eastAsia="zh-CN"/>
        </w:rPr>
        <w:t>18.广元市示范性综合实践基地管理中心</w:t>
      </w:r>
    </w:p>
    <w:p>
      <w:pPr>
        <w:ind w:firstLineChars="200"/>
        <w:rPr>
          <w:rFonts w:hint="eastAsia"/>
          <w:sz w:val="32"/>
          <w:szCs w:val="32"/>
          <w:lang w:val="en-US" w:eastAsia="zh-CN"/>
        </w:rPr>
      </w:pPr>
      <w:r>
        <w:rPr>
          <w:rFonts w:hint="eastAsia" w:ascii="仿宋_GB2312" w:hAnsi="仿宋" w:eastAsia="仿宋_GB2312" w:cs="Times New Roman"/>
          <w:kern w:val="2"/>
          <w:sz w:val="32"/>
          <w:szCs w:val="32"/>
        </w:rPr>
        <w:t>教育局机关下设办公室、机关党委办公室、基础教育科、职业与成人教育科、人事科、计划财务科、体育卫生艺术教育科、学校安全管理工作办公室、学校后勤与产业管理科、教育督导团办公室、政策法规与综合改革科、学校德育工作科等13个科室。</w:t>
      </w:r>
    </w:p>
    <w:p>
      <w:pPr>
        <w:pStyle w:val="5"/>
        <w:adjustRightInd w:val="0"/>
        <w:snapToGrid w:val="0"/>
        <w:spacing w:before="93" w:line="600" w:lineRule="exact"/>
        <w:ind w:firstLine="1120" w:firstLineChars="35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7"/>
          <w:rFonts w:ascii="黑体" w:hAnsi="黑体" w:eastAsia="黑体"/>
          <w:b w:val="0"/>
          <w:bCs w:val="0"/>
        </w:rPr>
      </w:pPr>
      <w:bookmarkStart w:id="34" w:name="_Toc15377204"/>
      <w:bookmarkStart w:id="35" w:name="_Toc15396602"/>
      <w:r>
        <w:rPr>
          <w:rFonts w:hint="eastAsia" w:ascii="黑体" w:hAnsi="黑体" w:eastAsia="黑体"/>
          <w:b w:val="0"/>
          <w:color w:val="000000"/>
        </w:rPr>
        <w:t>第二部分</w:t>
      </w:r>
      <w:r>
        <w:rPr>
          <w:rStyle w:val="27"/>
          <w:rFonts w:hint="eastAsia" w:ascii="黑体" w:hAnsi="黑体" w:eastAsia="黑体"/>
          <w:b w:val="0"/>
          <w:bCs w:val="0"/>
        </w:rPr>
        <w:t>2018年度部门决算情况说明</w:t>
      </w:r>
      <w:bookmarkEnd w:id="34"/>
      <w:bookmarkEnd w:id="35"/>
    </w:p>
    <w:p/>
    <w:p>
      <w:pPr>
        <w:pStyle w:val="26"/>
        <w:numPr>
          <w:ilvl w:val="0"/>
          <w:numId w:val="1"/>
        </w:numPr>
        <w:spacing w:line="600" w:lineRule="exact"/>
        <w:ind w:firstLineChars="0"/>
        <w:outlineLvl w:val="1"/>
        <w:rPr>
          <w:rStyle w:val="28"/>
          <w:rFonts w:ascii="黑体" w:hAnsi="黑体" w:eastAsia="黑体"/>
          <w:b w:val="0"/>
        </w:rPr>
      </w:pPr>
      <w:bookmarkStart w:id="36" w:name="_Toc15396603"/>
      <w:bookmarkStart w:id="37"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36"/>
      <w:bookmarkEnd w:id="37"/>
    </w:p>
    <w:p>
      <w:pPr>
        <w:spacing w:line="600" w:lineRule="exact"/>
        <w:ind w:firstLine="640" w:firstLineChars="200"/>
        <w:rPr>
          <w:rFonts w:ascii="仿宋" w:hAnsi="仿宋" w:eastAsia="仿宋"/>
          <w:color w:val="000000"/>
          <w:sz w:val="32"/>
          <w:szCs w:val="32"/>
        </w:rPr>
      </w:pPr>
      <w:r>
        <w:rPr>
          <w:rFonts w:hint="eastAsia" w:ascii="仿宋_GB2312" w:eastAsia="仿宋_GB2312"/>
          <w:sz w:val="32"/>
          <w:szCs w:val="32"/>
        </w:rPr>
        <w:t>市教育局</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年本年收入</w:t>
      </w:r>
      <w:r>
        <w:rPr>
          <w:rFonts w:hint="eastAsia" w:ascii="仿宋_GB2312" w:eastAsia="仿宋_GB2312"/>
          <w:color w:val="000000"/>
          <w:sz w:val="32"/>
          <w:szCs w:val="32"/>
          <w:lang w:eastAsia="zh-CN"/>
        </w:rPr>
        <w:t>、支出总</w:t>
      </w:r>
      <w:r>
        <w:rPr>
          <w:rFonts w:hint="eastAsia" w:ascii="仿宋_GB2312" w:eastAsia="仿宋_GB2312"/>
          <w:color w:val="000000"/>
          <w:sz w:val="32"/>
          <w:szCs w:val="32"/>
        </w:rPr>
        <w:t>计</w:t>
      </w:r>
      <w:r>
        <w:rPr>
          <w:rFonts w:hint="eastAsia" w:ascii="仿宋_GB2312" w:eastAsia="仿宋_GB2312"/>
          <w:color w:val="000000"/>
          <w:sz w:val="32"/>
          <w:szCs w:val="32"/>
          <w:lang w:val="en-US" w:eastAsia="zh-CN"/>
        </w:rPr>
        <w:t>60058.07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。与</w:t>
      </w:r>
      <w:r>
        <w:rPr>
          <w:rFonts w:hint="eastAsia" w:ascii="仿宋_GB2312" w:eastAsia="仿宋_GB2312"/>
          <w:sz w:val="32"/>
          <w:szCs w:val="32"/>
          <w:lang w:val="en-US" w:eastAsia="zh-CN"/>
        </w:rPr>
        <w:t>2017年相比，收入</w:t>
      </w:r>
      <w:r>
        <w:rPr>
          <w:rFonts w:hint="eastAsia" w:ascii="仿宋_GB2312" w:eastAsia="仿宋_GB2312"/>
          <w:color w:val="000000"/>
          <w:sz w:val="32"/>
          <w:szCs w:val="32"/>
          <w:lang w:eastAsia="zh-CN"/>
        </w:rPr>
        <w:t>、支出</w:t>
      </w:r>
      <w:r>
        <w:rPr>
          <w:rFonts w:hint="eastAsia" w:ascii="仿宋_GB2312" w:eastAsia="仿宋_GB2312"/>
          <w:sz w:val="32"/>
          <w:szCs w:val="32"/>
          <w:lang w:val="en-US" w:eastAsia="zh-CN"/>
        </w:rPr>
        <w:t>增加6763.51万元，增长12.69%。主要变动原因是新增</w:t>
      </w:r>
      <w:r>
        <w:rPr>
          <w:rFonts w:hint="eastAsia" w:ascii="仿宋_GB2312" w:eastAsia="仿宋_GB2312"/>
          <w:color w:val="000000"/>
          <w:sz w:val="32"/>
          <w:szCs w:val="32"/>
          <w:lang w:eastAsia="zh-CN"/>
        </w:rPr>
        <w:t>了项目，人员工资调资。</w:t>
      </w:r>
    </w:p>
    <w:p>
      <w:pPr>
        <w:spacing w:line="600" w:lineRule="exact"/>
        <w:ind w:firstLine="420" w:firstLineChars="200"/>
        <w:rPr>
          <w:rFonts w:hint="eastAsia" w:ascii="仿宋" w:hAnsi="仿宋" w:eastAsia="仿宋"/>
          <w:color w:val="000000" w:themeColor="text1"/>
          <w:sz w:val="32"/>
          <w:szCs w:val="32"/>
          <w:lang w:eastAsia="zh-CN"/>
          <w14:textFill>
            <w14:solidFill>
              <w14:schemeClr w14:val="tx1"/>
            </w14:solidFill>
          </w14:textFill>
        </w:rPr>
      </w:pPr>
      <w:r>
        <w:drawing>
          <wp:anchor distT="0" distB="0" distL="114300" distR="114300" simplePos="0" relativeHeight="251658240" behindDoc="1" locked="0" layoutInCell="1" allowOverlap="0">
            <wp:simplePos x="0" y="0"/>
            <wp:positionH relativeFrom="column">
              <wp:posOffset>127635</wp:posOffset>
            </wp:positionH>
            <wp:positionV relativeFrom="paragraph">
              <wp:posOffset>41910</wp:posOffset>
            </wp:positionV>
            <wp:extent cx="4530090" cy="2558415"/>
            <wp:effectExtent l="0" t="0" r="3810" b="13335"/>
            <wp:wrapTight wrapText="bothSides">
              <wp:wrapPolygon>
                <wp:start x="0" y="0"/>
                <wp:lineTo x="0" y="21391"/>
                <wp:lineTo x="21527" y="21391"/>
                <wp:lineTo x="21527" y="0"/>
                <wp:lineTo x="0" y="0"/>
              </wp:wrapPolygon>
            </wp:wrapTight>
            <wp:docPr id="1" name="图片 2" descr="QQ图片2019092517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图片20190925173330"/>
                    <pic:cNvPicPr>
                      <a:picLocks noChangeAspect="1"/>
                    </pic:cNvPicPr>
                  </pic:nvPicPr>
                  <pic:blipFill>
                    <a:blip r:embed="rId6"/>
                    <a:srcRect t="8595"/>
                    <a:stretch>
                      <a:fillRect/>
                    </a:stretch>
                  </pic:blipFill>
                  <pic:spPr>
                    <a:xfrm>
                      <a:off x="0" y="0"/>
                      <a:ext cx="4530090" cy="255841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t>（图1：收、支决算总计变动情况图）</w:t>
      </w:r>
    </w:p>
    <w:p>
      <w:pPr>
        <w:pStyle w:val="26"/>
        <w:numPr>
          <w:ilvl w:val="0"/>
          <w:numId w:val="1"/>
        </w:numPr>
        <w:spacing w:line="600" w:lineRule="exact"/>
        <w:ind w:firstLineChars="0"/>
        <w:outlineLvl w:val="1"/>
        <w:rPr>
          <w:rStyle w:val="28"/>
          <w:rFonts w:ascii="黑体" w:hAnsi="黑体" w:eastAsia="黑体"/>
          <w:b w:val="0"/>
          <w:highlight w:val="none"/>
        </w:rPr>
      </w:pPr>
      <w:bookmarkStart w:id="38" w:name="_Toc15377206"/>
      <w:bookmarkStart w:id="39" w:name="_Toc15396604"/>
      <w:r>
        <w:rPr>
          <w:rFonts w:hint="eastAsia" w:ascii="黑体" w:hAnsi="黑体" w:eastAsia="黑体"/>
          <w:color w:val="000000"/>
          <w:sz w:val="32"/>
          <w:szCs w:val="32"/>
          <w:highlight w:val="none"/>
        </w:rPr>
        <w:t>收</w:t>
      </w:r>
      <w:r>
        <w:rPr>
          <w:rStyle w:val="28"/>
          <w:rFonts w:hint="eastAsia" w:ascii="黑体" w:hAnsi="黑体" w:eastAsia="黑体"/>
          <w:b w:val="0"/>
          <w:highlight w:val="none"/>
        </w:rPr>
        <w:t>入决算情况说明</w:t>
      </w:r>
      <w:bookmarkEnd w:id="38"/>
      <w:bookmarkEnd w:id="39"/>
    </w:p>
    <w:p>
      <w:pPr>
        <w:spacing w:line="56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2018年本年收入合计</w:t>
      </w:r>
      <w:r>
        <w:rPr>
          <w:rFonts w:hint="eastAsia" w:ascii="仿宋_GB2312" w:eastAsia="仿宋_GB2312"/>
          <w:color w:val="000000"/>
          <w:sz w:val="32"/>
          <w:szCs w:val="32"/>
          <w:highlight w:val="none"/>
          <w:lang w:val="en-US" w:eastAsia="zh-CN"/>
        </w:rPr>
        <w:t>45155.51</w:t>
      </w:r>
      <w:r>
        <w:rPr>
          <w:rFonts w:hint="eastAsia" w:ascii="仿宋_GB2312" w:eastAsia="仿宋_GB2312"/>
          <w:color w:val="000000"/>
          <w:sz w:val="32"/>
          <w:szCs w:val="32"/>
          <w:highlight w:val="none"/>
        </w:rPr>
        <w:t>万元，其中：一般公共预算财政拨款收入</w:t>
      </w:r>
      <w:r>
        <w:rPr>
          <w:rFonts w:hint="eastAsia" w:ascii="仿宋_GB2312" w:eastAsia="仿宋_GB2312"/>
          <w:color w:val="000000"/>
          <w:sz w:val="32"/>
          <w:szCs w:val="32"/>
          <w:highlight w:val="none"/>
          <w:lang w:val="en-US" w:eastAsia="zh-CN"/>
        </w:rPr>
        <w:t>38928.80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86.21</w:t>
      </w:r>
      <w:r>
        <w:rPr>
          <w:rFonts w:hint="eastAsia" w:ascii="仿宋_GB2312" w:eastAsia="仿宋_GB2312"/>
          <w:color w:val="000000"/>
          <w:sz w:val="32"/>
          <w:szCs w:val="32"/>
          <w:highlight w:val="none"/>
        </w:rPr>
        <w:t>%；政府性基金预算财政拨款收入</w:t>
      </w:r>
      <w:r>
        <w:rPr>
          <w:rFonts w:hint="eastAsia" w:ascii="仿宋_GB2312" w:eastAsia="仿宋_GB2312"/>
          <w:color w:val="000000"/>
          <w:sz w:val="32"/>
          <w:szCs w:val="32"/>
          <w:highlight w:val="none"/>
          <w:lang w:val="en-US" w:eastAsia="zh-CN"/>
        </w:rPr>
        <w:t>2106.00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4.67</w:t>
      </w:r>
      <w:r>
        <w:rPr>
          <w:rFonts w:hint="eastAsia" w:ascii="仿宋_GB2312" w:eastAsia="仿宋_GB2312"/>
          <w:color w:val="000000"/>
          <w:sz w:val="32"/>
          <w:szCs w:val="32"/>
          <w:highlight w:val="none"/>
        </w:rPr>
        <w:t>%；事业收入</w:t>
      </w:r>
      <w:r>
        <w:rPr>
          <w:rFonts w:hint="eastAsia" w:ascii="仿宋_GB2312" w:eastAsia="仿宋_GB2312"/>
          <w:color w:val="000000"/>
          <w:sz w:val="32"/>
          <w:szCs w:val="32"/>
          <w:highlight w:val="none"/>
          <w:lang w:val="en-US" w:eastAsia="zh-CN"/>
        </w:rPr>
        <w:t>2084.54</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4.62</w:t>
      </w:r>
      <w:r>
        <w:rPr>
          <w:rFonts w:hint="eastAsia" w:ascii="仿宋_GB2312" w:eastAsia="仿宋_GB2312"/>
          <w:color w:val="000000"/>
          <w:sz w:val="32"/>
          <w:szCs w:val="32"/>
          <w:highlight w:val="none"/>
        </w:rPr>
        <w:t>%；其他收入</w:t>
      </w:r>
      <w:r>
        <w:rPr>
          <w:rFonts w:hint="eastAsia" w:ascii="仿宋_GB2312" w:eastAsia="仿宋_GB2312"/>
          <w:color w:val="000000"/>
          <w:sz w:val="32"/>
          <w:szCs w:val="32"/>
          <w:highlight w:val="none"/>
          <w:lang w:val="en-US" w:eastAsia="zh-CN"/>
        </w:rPr>
        <w:t>2036.17</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4.51</w:t>
      </w:r>
      <w:r>
        <w:rPr>
          <w:rFonts w:hint="eastAsia" w:ascii="仿宋_GB2312" w:eastAsia="仿宋_GB2312"/>
          <w:color w:val="000000"/>
          <w:sz w:val="32"/>
          <w:szCs w:val="32"/>
          <w:highlight w:val="none"/>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86912" behindDoc="1" locked="0" layoutInCell="1" allowOverlap="1">
            <wp:simplePos x="0" y="0"/>
            <wp:positionH relativeFrom="column">
              <wp:posOffset>264160</wp:posOffset>
            </wp:positionH>
            <wp:positionV relativeFrom="paragraph">
              <wp:posOffset>35560</wp:posOffset>
            </wp:positionV>
            <wp:extent cx="4530725" cy="3263900"/>
            <wp:effectExtent l="0" t="0" r="3175" b="12700"/>
            <wp:wrapTight wrapText="bothSides">
              <wp:wrapPolygon>
                <wp:start x="0" y="0"/>
                <wp:lineTo x="0" y="21432"/>
                <wp:lineTo x="21524" y="21432"/>
                <wp:lineTo x="21524" y="0"/>
                <wp:lineTo x="0" y="0"/>
              </wp:wrapPolygon>
            </wp:wrapTight>
            <wp:docPr id="8" name="图片 1" descr="QQ图片20190927110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QQ图片20190927110206.png"/>
                    <pic:cNvPicPr>
                      <a:picLocks noChangeAspect="1"/>
                    </pic:cNvPicPr>
                  </pic:nvPicPr>
                  <pic:blipFill>
                    <a:blip r:embed="rId7"/>
                    <a:srcRect l="2734" t="1837" r="2837" b="14896"/>
                    <a:stretch>
                      <a:fillRect/>
                    </a:stretch>
                  </pic:blipFill>
                  <pic:spPr>
                    <a:xfrm>
                      <a:off x="0" y="0"/>
                      <a:ext cx="4530725" cy="326390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1600" w:firstLineChars="500"/>
        <w:rPr>
          <w:rFonts w:ascii="宋体" w:hAnsi="宋体" w:cs="宋体"/>
          <w:kern w:val="0"/>
          <w:sz w:val="24"/>
        </w:rPr>
      </w:pPr>
      <w:r>
        <w:rPr>
          <w:rFonts w:hint="eastAsia" w:ascii="仿宋" w:hAnsi="仿宋" w:eastAsia="仿宋"/>
          <w:color w:val="000000" w:themeColor="text1"/>
          <w:sz w:val="32"/>
          <w:szCs w:val="32"/>
          <w14:textFill>
            <w14:solidFill>
              <w14:schemeClr w14:val="tx1"/>
            </w14:solidFill>
          </w14:textFill>
        </w:rPr>
        <w:t>（图2：收入决算结构图）</w:t>
      </w:r>
    </w:p>
    <w:p>
      <w:pPr>
        <w:pStyle w:val="26"/>
        <w:numPr>
          <w:ilvl w:val="0"/>
          <w:numId w:val="1"/>
        </w:numPr>
        <w:spacing w:line="600" w:lineRule="exact"/>
        <w:ind w:firstLineChars="0"/>
        <w:outlineLvl w:val="1"/>
        <w:rPr>
          <w:rStyle w:val="28"/>
          <w:rFonts w:ascii="黑体" w:hAnsi="黑体" w:eastAsia="黑体"/>
          <w:b w:val="0"/>
        </w:rPr>
      </w:pPr>
      <w:bookmarkStart w:id="40" w:name="_Toc15377207"/>
      <w:bookmarkStart w:id="41"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40"/>
      <w:bookmarkEnd w:id="41"/>
    </w:p>
    <w:p>
      <w:pPr>
        <w:spacing w:line="600" w:lineRule="exact"/>
        <w:ind w:firstLine="640"/>
        <w:rPr>
          <w:rFonts w:ascii="仿宋" w:hAnsi="仿宋" w:eastAsia="仿宋"/>
          <w:color w:val="000000"/>
          <w:sz w:val="32"/>
          <w:szCs w:val="32"/>
          <w:shd w:val="pct10" w:color="auto" w:fill="FFFFFF"/>
        </w:rPr>
      </w:pPr>
      <w:r>
        <w:rPr>
          <w:rFonts w:hint="eastAsia" w:ascii="仿宋_GB2312" w:eastAsia="仿宋_GB2312"/>
          <w:color w:val="000000"/>
          <w:sz w:val="32"/>
          <w:szCs w:val="32"/>
        </w:rPr>
        <w:t>2018年本年支出合计</w:t>
      </w:r>
      <w:r>
        <w:rPr>
          <w:rFonts w:hint="eastAsia" w:ascii="仿宋_GB2312" w:eastAsia="仿宋_GB2312"/>
          <w:color w:val="000000"/>
          <w:sz w:val="32"/>
          <w:szCs w:val="32"/>
          <w:lang w:val="en-US" w:eastAsia="zh-CN"/>
        </w:rPr>
        <w:t>46619.88</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36270.61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77.80</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10349.27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22.20</w:t>
      </w:r>
      <w:r>
        <w:rPr>
          <w:rFonts w:hint="eastAsia" w:ascii="仿宋_GB2312" w:eastAsia="仿宋_GB2312"/>
          <w:color w:val="000000"/>
          <w:sz w:val="32"/>
          <w:szCs w:val="32"/>
        </w:rPr>
        <w:t>%。</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1" locked="0" layoutInCell="1" allowOverlap="1">
            <wp:simplePos x="0" y="0"/>
            <wp:positionH relativeFrom="column">
              <wp:posOffset>461010</wp:posOffset>
            </wp:positionH>
            <wp:positionV relativeFrom="paragraph">
              <wp:posOffset>84455</wp:posOffset>
            </wp:positionV>
            <wp:extent cx="4318000" cy="2667000"/>
            <wp:effectExtent l="0" t="0" r="6350" b="0"/>
            <wp:wrapTight wrapText="bothSides">
              <wp:wrapPolygon>
                <wp:start x="0" y="0"/>
                <wp:lineTo x="0" y="21446"/>
                <wp:lineTo x="21536" y="21446"/>
                <wp:lineTo x="21536" y="0"/>
                <wp:lineTo x="0" y="0"/>
              </wp:wrapPolygon>
            </wp:wrapTight>
            <wp:docPr id="3" name="图片 4" descr="QQ图片2019092517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图片20190925175434"/>
                    <pic:cNvPicPr>
                      <a:picLocks noChangeAspect="1"/>
                    </pic:cNvPicPr>
                  </pic:nvPicPr>
                  <pic:blipFill>
                    <a:blip r:embed="rId8"/>
                    <a:stretch>
                      <a:fillRect/>
                    </a:stretch>
                  </pic:blipFill>
                  <pic:spPr>
                    <a:xfrm>
                      <a:off x="0" y="0"/>
                      <a:ext cx="4318000" cy="266700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1920" w:firstLineChars="6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8"/>
          <w:rFonts w:ascii="黑体" w:hAnsi="黑体" w:eastAsia="黑体"/>
          <w:b w:val="0"/>
        </w:rPr>
      </w:pPr>
      <w:bookmarkStart w:id="42" w:name="_Toc15377208"/>
      <w:bookmarkStart w:id="43"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2"/>
      <w:bookmarkEnd w:id="43"/>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2018年财政拨款收</w:t>
      </w:r>
      <w:r>
        <w:rPr>
          <w:rFonts w:hint="eastAsia" w:ascii="仿宋_GB2312" w:eastAsia="仿宋_GB2312"/>
          <w:color w:val="000000"/>
          <w:sz w:val="32"/>
          <w:szCs w:val="32"/>
          <w:lang w:eastAsia="zh-CN"/>
        </w:rPr>
        <w:t>入、支出</w:t>
      </w:r>
      <w:r>
        <w:rPr>
          <w:rFonts w:hint="eastAsia" w:ascii="仿宋_GB2312" w:eastAsia="仿宋_GB2312"/>
          <w:color w:val="000000"/>
          <w:sz w:val="32"/>
          <w:szCs w:val="32"/>
        </w:rPr>
        <w:t>总计</w:t>
      </w:r>
      <w:r>
        <w:rPr>
          <w:rFonts w:hint="eastAsia" w:ascii="仿宋_GB2312" w:eastAsia="仿宋_GB2312"/>
          <w:color w:val="000000"/>
          <w:sz w:val="32"/>
          <w:szCs w:val="32"/>
          <w:lang w:val="en-US" w:eastAsia="zh-CN"/>
        </w:rPr>
        <w:t>55784.32</w:t>
      </w:r>
      <w:r>
        <w:rPr>
          <w:rFonts w:hint="eastAsia" w:ascii="仿宋_GB2312" w:eastAsia="仿宋_GB2312"/>
          <w:color w:val="000000"/>
          <w:sz w:val="32"/>
          <w:szCs w:val="32"/>
        </w:rPr>
        <w:t>万元。与2017年相比，财政拨款收</w:t>
      </w:r>
      <w:r>
        <w:rPr>
          <w:rFonts w:hint="eastAsia" w:ascii="仿宋_GB2312" w:eastAsia="仿宋_GB2312"/>
          <w:color w:val="000000"/>
          <w:sz w:val="32"/>
          <w:szCs w:val="32"/>
          <w:lang w:eastAsia="zh-CN"/>
        </w:rPr>
        <w:t>入</w:t>
      </w:r>
      <w:r>
        <w:rPr>
          <w:rFonts w:hint="eastAsia" w:ascii="仿宋_GB2312" w:eastAsia="仿宋_GB2312"/>
          <w:color w:val="000000"/>
          <w:sz w:val="32"/>
          <w:szCs w:val="32"/>
        </w:rPr>
        <w:t>总计增加</w:t>
      </w:r>
      <w:r>
        <w:rPr>
          <w:rFonts w:hint="eastAsia" w:ascii="仿宋_GB2312" w:eastAsia="仿宋_GB2312"/>
          <w:color w:val="000000"/>
          <w:sz w:val="32"/>
          <w:szCs w:val="32"/>
          <w:lang w:val="en-US" w:eastAsia="zh-CN"/>
        </w:rPr>
        <w:t>2961.95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5.61</w:t>
      </w:r>
      <w:r>
        <w:rPr>
          <w:rFonts w:hint="eastAsia" w:ascii="仿宋_GB2312" w:eastAsia="仿宋_GB2312"/>
          <w:color w:val="000000"/>
          <w:sz w:val="32"/>
          <w:szCs w:val="32"/>
        </w:rPr>
        <w:t>%。主要变动原因是</w:t>
      </w:r>
      <w:r>
        <w:rPr>
          <w:rFonts w:hint="eastAsia" w:ascii="仿宋_GB2312" w:eastAsia="仿宋_GB2312"/>
          <w:sz w:val="32"/>
          <w:szCs w:val="32"/>
          <w:lang w:val="en-US" w:eastAsia="zh-CN"/>
        </w:rPr>
        <w:t>新增</w:t>
      </w:r>
      <w:r>
        <w:rPr>
          <w:rFonts w:hint="eastAsia" w:ascii="仿宋_GB2312" w:eastAsia="仿宋_GB2312"/>
          <w:color w:val="000000"/>
          <w:sz w:val="32"/>
          <w:szCs w:val="32"/>
          <w:lang w:eastAsia="zh-CN"/>
        </w:rPr>
        <w:t>了项目，人员工资调资。</w:t>
      </w:r>
    </w:p>
    <w:p>
      <w:pPr>
        <w:spacing w:line="600" w:lineRule="exact"/>
        <w:ind w:firstLine="640"/>
        <w:rPr>
          <w:rFonts w:hint="eastAsia" w:ascii="仿宋_GB2312" w:eastAsia="仿宋_GB2312"/>
          <w:color w:val="000000"/>
          <w:sz w:val="32"/>
          <w:szCs w:val="32"/>
          <w:lang w:eastAsia="zh-CN"/>
        </w:rPr>
      </w:pPr>
      <w:r>
        <w:drawing>
          <wp:anchor distT="0" distB="0" distL="114300" distR="114300" simplePos="0" relativeHeight="251667456" behindDoc="1" locked="0" layoutInCell="1" allowOverlap="1">
            <wp:simplePos x="0" y="0"/>
            <wp:positionH relativeFrom="column">
              <wp:posOffset>102870</wp:posOffset>
            </wp:positionH>
            <wp:positionV relativeFrom="paragraph">
              <wp:posOffset>92710</wp:posOffset>
            </wp:positionV>
            <wp:extent cx="4739640" cy="2712720"/>
            <wp:effectExtent l="0" t="0" r="3810" b="11430"/>
            <wp:wrapTight wrapText="bothSides">
              <wp:wrapPolygon>
                <wp:start x="0" y="0"/>
                <wp:lineTo x="0" y="21388"/>
                <wp:lineTo x="21531" y="21388"/>
                <wp:lineTo x="21531" y="0"/>
                <wp:lineTo x="0" y="0"/>
              </wp:wrapPolygon>
            </wp:wrapTight>
            <wp:docPr id="4" name="图片 5" descr="QQ图片201909251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QQ图片20190925180412"/>
                    <pic:cNvPicPr>
                      <a:picLocks noChangeAspect="1"/>
                    </pic:cNvPicPr>
                  </pic:nvPicPr>
                  <pic:blipFill>
                    <a:blip r:embed="rId9"/>
                    <a:stretch>
                      <a:fillRect/>
                    </a:stretch>
                  </pic:blipFill>
                  <pic:spPr>
                    <a:xfrm>
                      <a:off x="0" y="0"/>
                      <a:ext cx="4739640" cy="2712720"/>
                    </a:xfrm>
                    <a:prstGeom prst="rect">
                      <a:avLst/>
                    </a:prstGeom>
                    <a:noFill/>
                    <a:ln>
                      <a:noFill/>
                    </a:ln>
                  </pic:spPr>
                </pic:pic>
              </a:graphicData>
            </a:graphic>
          </wp:anchor>
        </w:drawing>
      </w:r>
    </w:p>
    <w:p>
      <w:pPr>
        <w:spacing w:line="600" w:lineRule="exact"/>
        <w:ind w:firstLine="640"/>
        <w:rPr>
          <w:rFonts w:hint="eastAsia" w:ascii="仿宋_GB2312" w:eastAsia="仿宋_GB2312"/>
          <w:color w:val="000000"/>
          <w:sz w:val="32"/>
          <w:szCs w:val="32"/>
          <w:lang w:eastAsia="zh-CN"/>
        </w:rPr>
      </w:pPr>
    </w:p>
    <w:p>
      <w:pPr>
        <w:spacing w:line="600" w:lineRule="exact"/>
        <w:ind w:firstLine="640"/>
        <w:rPr>
          <w:rFonts w:hint="eastAsia" w:ascii="仿宋_GB2312" w:eastAsia="仿宋_GB2312"/>
          <w:color w:val="000000"/>
          <w:sz w:val="32"/>
          <w:szCs w:val="32"/>
          <w:lang w:eastAsia="zh-CN"/>
        </w:rPr>
      </w:pPr>
    </w:p>
    <w:p>
      <w:pPr>
        <w:spacing w:line="600" w:lineRule="exact"/>
        <w:ind w:firstLine="640"/>
        <w:rPr>
          <w:rFonts w:hint="eastAsia" w:ascii="仿宋_GB2312" w:eastAsia="仿宋_GB2312"/>
          <w:color w:val="000000"/>
          <w:sz w:val="32"/>
          <w:szCs w:val="32"/>
          <w:lang w:eastAsia="zh-CN"/>
        </w:rPr>
      </w:pPr>
    </w:p>
    <w:p>
      <w:pPr>
        <w:spacing w:line="600" w:lineRule="exact"/>
        <w:ind w:firstLine="640"/>
        <w:rPr>
          <w:rFonts w:hint="eastAsia" w:ascii="仿宋_GB2312" w:eastAsia="仿宋_GB2312"/>
          <w:color w:val="000000"/>
          <w:sz w:val="32"/>
          <w:szCs w:val="32"/>
          <w:lang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8"/>
          <w:rFonts w:ascii="黑体" w:hAnsi="黑体" w:eastAsia="黑体"/>
          <w:b w:val="0"/>
        </w:rPr>
      </w:pPr>
      <w:bookmarkStart w:id="44" w:name="_Toc15396607"/>
      <w:bookmarkStart w:id="4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4"/>
      <w:bookmarkEnd w:id="45"/>
    </w:p>
    <w:p>
      <w:pPr>
        <w:spacing w:line="600" w:lineRule="exact"/>
        <w:ind w:firstLine="640"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2018年一般公共预算财政拨款支出</w:t>
      </w:r>
      <w:r>
        <w:rPr>
          <w:rFonts w:hint="eastAsia" w:ascii="仿宋_GB2312" w:eastAsia="仿宋_GB2312"/>
          <w:color w:val="000000"/>
          <w:sz w:val="32"/>
          <w:szCs w:val="32"/>
          <w:lang w:val="en-US" w:eastAsia="zh-CN"/>
        </w:rPr>
        <w:t>41807.26</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89.68</w:t>
      </w:r>
      <w:r>
        <w:rPr>
          <w:rFonts w:hint="eastAsia" w:ascii="仿宋_GB2312" w:eastAsia="仿宋_GB2312"/>
          <w:color w:val="000000"/>
          <w:sz w:val="32"/>
          <w:szCs w:val="32"/>
        </w:rPr>
        <w:t>%。与2017年相比，一般公共预算财政拨款增加</w:t>
      </w:r>
      <w:r>
        <w:rPr>
          <w:rFonts w:hint="eastAsia" w:ascii="仿宋_GB2312" w:eastAsia="仿宋_GB2312"/>
          <w:color w:val="000000"/>
          <w:sz w:val="32"/>
          <w:szCs w:val="32"/>
          <w:lang w:val="en-US" w:eastAsia="zh-CN"/>
        </w:rPr>
        <w:t>8348.31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21.82</w:t>
      </w:r>
      <w:r>
        <w:rPr>
          <w:rFonts w:hint="eastAsia" w:ascii="仿宋_GB2312" w:eastAsia="仿宋_GB2312"/>
          <w:color w:val="000000"/>
          <w:sz w:val="32"/>
          <w:szCs w:val="32"/>
        </w:rPr>
        <w:t>%。主要变动原因是</w:t>
      </w:r>
      <w:r>
        <w:rPr>
          <w:rFonts w:hint="eastAsia" w:ascii="仿宋_GB2312" w:eastAsia="仿宋_GB2312"/>
          <w:sz w:val="32"/>
          <w:szCs w:val="32"/>
          <w:lang w:val="en-US" w:eastAsia="zh-CN"/>
        </w:rPr>
        <w:t>新增</w:t>
      </w:r>
      <w:r>
        <w:rPr>
          <w:rFonts w:hint="eastAsia" w:ascii="仿宋_GB2312" w:eastAsia="仿宋_GB2312"/>
          <w:color w:val="000000"/>
          <w:sz w:val="32"/>
          <w:szCs w:val="32"/>
          <w:lang w:eastAsia="zh-CN"/>
        </w:rPr>
        <w:t>了项目，人员工资调资。</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72576" behindDoc="1" locked="0" layoutInCell="1" allowOverlap="1">
            <wp:simplePos x="0" y="0"/>
            <wp:positionH relativeFrom="column">
              <wp:posOffset>371475</wp:posOffset>
            </wp:positionH>
            <wp:positionV relativeFrom="paragraph">
              <wp:posOffset>36830</wp:posOffset>
            </wp:positionV>
            <wp:extent cx="4542790" cy="2791460"/>
            <wp:effectExtent l="0" t="0" r="10160" b="8890"/>
            <wp:wrapTight wrapText="bothSides">
              <wp:wrapPolygon>
                <wp:start x="0" y="0"/>
                <wp:lineTo x="0" y="21521"/>
                <wp:lineTo x="21467" y="21521"/>
                <wp:lineTo x="21467" y="0"/>
                <wp:lineTo x="0" y="0"/>
              </wp:wrapPolygon>
            </wp:wrapTight>
            <wp:docPr id="5" name="图片 6" descr="QQ图片2019092613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QQ图片20190926134354"/>
                    <pic:cNvPicPr>
                      <a:picLocks noChangeAspect="1"/>
                    </pic:cNvPicPr>
                  </pic:nvPicPr>
                  <pic:blipFill>
                    <a:blip r:embed="rId10"/>
                    <a:srcRect l="11409" t="4727" r="10840" b="2388"/>
                    <a:stretch>
                      <a:fillRect/>
                    </a:stretch>
                  </pic:blipFill>
                  <pic:spPr>
                    <a:xfrm>
                      <a:off x="0" y="0"/>
                      <a:ext cx="4542790" cy="279146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firstLineChars="200"/>
        <w:outlineLvl w:val="2"/>
        <w:rPr>
          <w:rFonts w:ascii="仿宋" w:hAnsi="仿宋" w:eastAsia="仿宋"/>
          <w:b/>
          <w:color w:val="000000"/>
          <w:sz w:val="32"/>
          <w:szCs w:val="32"/>
        </w:rPr>
      </w:pPr>
      <w:bookmarkStart w:id="47" w:name="_Toc15377211"/>
      <w:r>
        <w:rPr>
          <w:rFonts w:hint="eastAsia" w:ascii="仿宋" w:hAnsi="仿宋" w:eastAsia="仿宋"/>
          <w:b/>
          <w:color w:val="000000"/>
          <w:sz w:val="32"/>
          <w:szCs w:val="32"/>
        </w:rPr>
        <w:t>（二）一般公共预算财政拨款支出决算结构情况</w:t>
      </w:r>
      <w:bookmarkEnd w:id="47"/>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sz w:val="32"/>
          <w:szCs w:val="32"/>
        </w:rPr>
        <w:t>2018年一般公共预算财政拨款支出</w:t>
      </w:r>
      <w:r>
        <w:rPr>
          <w:rFonts w:hint="eastAsia" w:ascii="仿宋_GB2312" w:eastAsia="仿宋_GB2312"/>
          <w:color w:val="000000"/>
          <w:sz w:val="32"/>
          <w:szCs w:val="32"/>
          <w:lang w:val="en-US" w:eastAsia="zh-CN"/>
        </w:rPr>
        <w:t>41807.26</w:t>
      </w:r>
      <w:r>
        <w:rPr>
          <w:rFonts w:hint="eastAsia" w:ascii="仿宋_GB2312" w:eastAsia="仿宋_GB2312"/>
          <w:color w:val="000000"/>
          <w:sz w:val="32"/>
          <w:szCs w:val="32"/>
        </w:rPr>
        <w:t>万元，主要用于以下方面:教育支出（类）</w:t>
      </w:r>
      <w:r>
        <w:rPr>
          <w:rFonts w:hint="eastAsia" w:ascii="仿宋_GB2312" w:eastAsia="仿宋_GB2312"/>
          <w:color w:val="000000"/>
          <w:sz w:val="32"/>
          <w:szCs w:val="32"/>
          <w:lang w:val="en-US" w:eastAsia="zh-CN"/>
        </w:rPr>
        <w:t>35406.48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84.69</w:t>
      </w:r>
      <w:r>
        <w:rPr>
          <w:rFonts w:hint="eastAsia" w:ascii="仿宋_GB2312" w:eastAsia="仿宋_GB2312"/>
          <w:color w:val="000000"/>
          <w:sz w:val="32"/>
          <w:szCs w:val="32"/>
        </w:rPr>
        <w:t>%；科学技术（类）支出</w:t>
      </w:r>
      <w:r>
        <w:rPr>
          <w:rFonts w:hint="eastAsia" w:ascii="仿宋_GB2312" w:eastAsia="仿宋_GB2312"/>
          <w:color w:val="000000"/>
          <w:sz w:val="32"/>
          <w:szCs w:val="32"/>
          <w:lang w:val="en-US" w:eastAsia="zh-CN"/>
        </w:rPr>
        <w:t>3.10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0.01</w:t>
      </w:r>
      <w:r>
        <w:rPr>
          <w:rFonts w:hint="eastAsia" w:ascii="仿宋_GB2312" w:eastAsia="仿宋_GB2312"/>
          <w:color w:val="000000"/>
          <w:sz w:val="32"/>
          <w:szCs w:val="32"/>
        </w:rPr>
        <w:t>%；社会保障和就业（类）支出</w:t>
      </w:r>
      <w:r>
        <w:rPr>
          <w:rFonts w:hint="eastAsia" w:ascii="仿宋_GB2312" w:eastAsia="仿宋_GB2312"/>
          <w:color w:val="000000"/>
          <w:sz w:val="32"/>
          <w:szCs w:val="32"/>
          <w:lang w:val="en-US" w:eastAsia="zh-CN"/>
        </w:rPr>
        <w:t>2880.48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6.89</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1222.29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2.93</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2294.90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5.49</w:t>
      </w:r>
      <w:r>
        <w:rPr>
          <w:rFonts w:hint="eastAsia" w:ascii="仿宋_GB2312" w:eastAsia="仿宋_GB2312"/>
          <w:color w:val="000000"/>
          <w:sz w:val="32"/>
          <w:szCs w:val="32"/>
        </w:rPr>
        <w:t>%。</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78720" behindDoc="1" locked="0" layoutInCell="1" allowOverlap="1">
            <wp:simplePos x="0" y="0"/>
            <wp:positionH relativeFrom="column">
              <wp:posOffset>471170</wp:posOffset>
            </wp:positionH>
            <wp:positionV relativeFrom="paragraph">
              <wp:posOffset>69215</wp:posOffset>
            </wp:positionV>
            <wp:extent cx="4100830" cy="2322830"/>
            <wp:effectExtent l="0" t="0" r="13970" b="1270"/>
            <wp:wrapTight wrapText="bothSides">
              <wp:wrapPolygon>
                <wp:start x="0" y="0"/>
                <wp:lineTo x="0" y="21435"/>
                <wp:lineTo x="21473" y="21435"/>
                <wp:lineTo x="21473" y="0"/>
                <wp:lineTo x="0" y="0"/>
              </wp:wrapPolygon>
            </wp:wrapTight>
            <wp:docPr id="6" name="图片 7" descr="QQ图片2019092614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图片20190926143059"/>
                    <pic:cNvPicPr>
                      <a:picLocks noChangeAspect="1"/>
                    </pic:cNvPicPr>
                  </pic:nvPicPr>
                  <pic:blipFill>
                    <a:blip r:embed="rId11"/>
                    <a:srcRect l="3133" t="3029" r="3378" b="7054"/>
                    <a:stretch>
                      <a:fillRect/>
                    </a:stretch>
                  </pic:blipFill>
                  <pic:spPr>
                    <a:xfrm>
                      <a:off x="0" y="0"/>
                      <a:ext cx="4100830" cy="232283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rPr>
        <w:t>（三）一般公共预算财政拨款支出决算具体情况</w:t>
      </w:r>
      <w:bookmarkEnd w:id="48"/>
    </w:p>
    <w:p>
      <w:pPr>
        <w:spacing w:line="600" w:lineRule="exact"/>
        <w:ind w:firstLine="640"/>
        <w:rPr>
          <w:rFonts w:hint="eastAsia" w:ascii="仿宋_GB2312" w:eastAsia="仿宋_GB2312"/>
          <w:color w:val="000000"/>
          <w:sz w:val="32"/>
          <w:szCs w:val="32"/>
        </w:rPr>
      </w:pPr>
      <w:bookmarkStart w:id="49" w:name="_Toc15377213"/>
      <w:bookmarkStart w:id="50" w:name="_Toc15377444"/>
      <w:bookmarkStart w:id="51" w:name="_Toc15378460"/>
      <w:r>
        <w:rPr>
          <w:rFonts w:hint="eastAsia" w:ascii="仿宋_GB2312" w:eastAsia="仿宋_GB2312"/>
          <w:color w:val="000000"/>
          <w:sz w:val="32"/>
          <w:szCs w:val="32"/>
        </w:rPr>
        <w:t>2018年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般公共预算支出决算数为</w:t>
      </w:r>
      <w:r>
        <w:rPr>
          <w:rFonts w:hint="eastAsia" w:ascii="仿宋_GB2312" w:eastAsia="仿宋_GB2312"/>
          <w:color w:val="000000"/>
          <w:sz w:val="32"/>
          <w:szCs w:val="32"/>
          <w:lang w:val="en-US" w:eastAsia="zh-CN"/>
        </w:rPr>
        <w:t>41807.26万元</w:t>
      </w:r>
      <w:r>
        <w:rPr>
          <w:rFonts w:hint="eastAsia" w:ascii="仿宋_GB2312" w:eastAsia="仿宋_GB2312"/>
          <w:color w:val="000000"/>
          <w:sz w:val="32"/>
          <w:szCs w:val="32"/>
        </w:rPr>
        <w:t>，完成预算</w:t>
      </w:r>
      <w:r>
        <w:rPr>
          <w:rFonts w:hint="eastAsia" w:ascii="仿宋_GB2312" w:eastAsia="仿宋_GB2312"/>
          <w:color w:val="000000"/>
          <w:sz w:val="32"/>
          <w:szCs w:val="32"/>
          <w:lang w:val="en-US" w:eastAsia="zh-CN"/>
        </w:rPr>
        <w:t>77.89</w:t>
      </w:r>
      <w:r>
        <w:rPr>
          <w:rFonts w:hint="eastAsia" w:ascii="仿宋_GB2312" w:eastAsia="仿宋_GB2312"/>
          <w:color w:val="000000"/>
          <w:sz w:val="32"/>
          <w:szCs w:val="32"/>
        </w:rPr>
        <w:t>%。其中：</w:t>
      </w:r>
      <w:bookmarkEnd w:id="49"/>
      <w:bookmarkEnd w:id="50"/>
      <w:bookmarkEnd w:id="51"/>
    </w:p>
    <w:p>
      <w:pPr>
        <w:spacing w:line="600" w:lineRule="exact"/>
        <w:ind w:firstLine="64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1.教育（类）</w:t>
      </w:r>
      <w:r>
        <w:rPr>
          <w:rFonts w:hint="eastAsia" w:ascii="仿宋_GB2312" w:eastAsia="仿宋_GB2312"/>
          <w:color w:val="000000"/>
          <w:sz w:val="32"/>
          <w:szCs w:val="32"/>
          <w:highlight w:val="none"/>
          <w:lang w:eastAsia="zh-CN"/>
        </w:rPr>
        <w:t>教育管理事务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行政运行</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8628.54</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85.32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val="en-US" w:eastAsia="zh-CN"/>
        </w:rPr>
        <w:t>2017年年终目标绩效没有发放</w:t>
      </w:r>
      <w:r>
        <w:rPr>
          <w:rFonts w:hint="eastAsia" w:ascii="仿宋_GB2312" w:eastAsia="仿宋_GB2312"/>
          <w:color w:val="000000"/>
          <w:sz w:val="32"/>
          <w:szCs w:val="32"/>
          <w:highlight w:val="none"/>
          <w:lang w:eastAsia="zh-CN"/>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2.教育（类）</w:t>
      </w:r>
      <w:r>
        <w:rPr>
          <w:rFonts w:hint="eastAsia" w:ascii="仿宋_GB2312" w:eastAsia="仿宋_GB2312"/>
          <w:color w:val="000000"/>
          <w:sz w:val="32"/>
          <w:szCs w:val="32"/>
          <w:highlight w:val="none"/>
          <w:lang w:eastAsia="zh-CN"/>
        </w:rPr>
        <w:t>教育管理事务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其他教育管理事务支出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2971.26</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66.22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部分</w:t>
      </w:r>
      <w:r>
        <w:rPr>
          <w:rFonts w:hint="eastAsia" w:ascii="仿宋_GB2312" w:eastAsia="仿宋_GB2312"/>
          <w:color w:val="000000"/>
          <w:sz w:val="32"/>
          <w:szCs w:val="32"/>
          <w:highlight w:val="none"/>
          <w:lang w:val="en-US" w:eastAsia="zh-CN"/>
        </w:rPr>
        <w:t>项目没有完成</w:t>
      </w:r>
      <w:r>
        <w:rPr>
          <w:rFonts w:hint="eastAsia" w:ascii="仿宋_GB2312" w:eastAsia="仿宋_GB2312"/>
          <w:color w:val="000000"/>
          <w:sz w:val="32"/>
          <w:szCs w:val="32"/>
          <w:highlight w:val="none"/>
          <w:lang w:eastAsia="zh-CN"/>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普通教育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学前教育</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1350.06</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75.64</w:t>
      </w:r>
      <w:r>
        <w:rPr>
          <w:rFonts w:hint="eastAsia" w:ascii="仿宋_GB2312" w:eastAsia="仿宋_GB2312"/>
          <w:color w:val="000000"/>
          <w:sz w:val="32"/>
          <w:szCs w:val="32"/>
          <w:highlight w:val="none"/>
        </w:rPr>
        <w:t>%，决算数小于预算数的主要原因是资金正常结余结转。</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普通教育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小学教育</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1234.64</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72.50</w:t>
      </w:r>
      <w:r>
        <w:rPr>
          <w:rFonts w:hint="eastAsia" w:ascii="仿宋_GB2312" w:eastAsia="仿宋_GB2312"/>
          <w:color w:val="000000"/>
          <w:sz w:val="32"/>
          <w:szCs w:val="32"/>
          <w:highlight w:val="none"/>
        </w:rPr>
        <w:t>%，决算数小于预算数的主要原因是个别项目未竣工。</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普通教育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初中教育</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2923.59</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64.32</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部分</w:t>
      </w:r>
      <w:r>
        <w:rPr>
          <w:rFonts w:hint="eastAsia" w:ascii="仿宋_GB2312" w:eastAsia="仿宋_GB2312"/>
          <w:color w:val="000000"/>
          <w:sz w:val="32"/>
          <w:szCs w:val="32"/>
          <w:highlight w:val="none"/>
        </w:rPr>
        <w:t>项目未竣工。</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普通教育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高中教育</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11676.39</w:t>
      </w:r>
      <w:r>
        <w:rPr>
          <w:rFonts w:hint="eastAsia" w:ascii="仿宋_GB2312" w:eastAsia="仿宋_GB2312"/>
          <w:color w:val="000000"/>
          <w:sz w:val="32"/>
          <w:szCs w:val="32"/>
          <w:highlight w:val="none"/>
        </w:rPr>
        <w:t>万元，完成预算（款）</w:t>
      </w:r>
      <w:r>
        <w:rPr>
          <w:rFonts w:hint="eastAsia" w:ascii="仿宋_GB2312" w:eastAsia="仿宋_GB2312"/>
          <w:color w:val="000000"/>
          <w:sz w:val="32"/>
          <w:szCs w:val="32"/>
          <w:highlight w:val="none"/>
          <w:lang w:val="en-US" w:eastAsia="zh-CN"/>
        </w:rPr>
        <w:t>92.79</w:t>
      </w:r>
      <w:r>
        <w:rPr>
          <w:rFonts w:hint="eastAsia" w:ascii="仿宋_GB2312" w:eastAsia="仿宋_GB2312"/>
          <w:color w:val="000000"/>
          <w:sz w:val="32"/>
          <w:szCs w:val="32"/>
          <w:highlight w:val="none"/>
        </w:rPr>
        <w:t>%，决算数小于预算数的主要原因是资金正常结余结转。</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普通教育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其他普通教育支出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53.83</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职业教育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中专教育</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3081.64</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87.84</w:t>
      </w:r>
      <w:r>
        <w:rPr>
          <w:rFonts w:hint="eastAsia" w:ascii="仿宋_GB2312" w:eastAsia="仿宋_GB2312"/>
          <w:color w:val="000000"/>
          <w:sz w:val="32"/>
          <w:szCs w:val="32"/>
          <w:highlight w:val="none"/>
        </w:rPr>
        <w:t>%，决算数小于/等于预算数的主要原因是个别项目未竣工。</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职业教育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职业高中教育</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1897.09</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41.19</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部分</w:t>
      </w:r>
      <w:r>
        <w:rPr>
          <w:rFonts w:hint="eastAsia" w:ascii="仿宋_GB2312" w:eastAsia="仿宋_GB2312"/>
          <w:color w:val="000000"/>
          <w:sz w:val="32"/>
          <w:szCs w:val="32"/>
          <w:highlight w:val="none"/>
        </w:rPr>
        <w:t>项目未竣工。</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职业教育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其他职业教育支出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27.31</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教育费附加安排的支出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城市中小学教学设施</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9.25</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12.</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教育费附加安排的支出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其他教育费附加安排的支出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1139.93</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78.56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部分</w:t>
      </w:r>
      <w:r>
        <w:rPr>
          <w:rFonts w:hint="eastAsia" w:ascii="仿宋_GB2312" w:eastAsia="仿宋_GB2312"/>
          <w:color w:val="000000"/>
          <w:sz w:val="32"/>
          <w:szCs w:val="32"/>
          <w:highlight w:val="none"/>
        </w:rPr>
        <w:t>项目未竣工。</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13.</w:t>
      </w:r>
      <w:r>
        <w:rPr>
          <w:rFonts w:hint="eastAsia" w:ascii="仿宋_GB2312" w:eastAsia="仿宋_GB2312"/>
          <w:color w:val="000000"/>
          <w:sz w:val="32"/>
          <w:szCs w:val="32"/>
          <w:highlight w:val="none"/>
        </w:rPr>
        <w:t>教育（类）</w:t>
      </w:r>
      <w:r>
        <w:rPr>
          <w:rFonts w:hint="eastAsia" w:ascii="仿宋_GB2312" w:eastAsia="仿宋_GB2312"/>
          <w:color w:val="000000"/>
          <w:sz w:val="32"/>
          <w:szCs w:val="32"/>
          <w:highlight w:val="none"/>
          <w:lang w:eastAsia="zh-CN"/>
        </w:rPr>
        <w:t>其他教育支出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其他教育支出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412.95</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17.90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部分</w:t>
      </w:r>
      <w:r>
        <w:rPr>
          <w:rFonts w:hint="eastAsia" w:ascii="仿宋_GB2312" w:eastAsia="仿宋_GB2312"/>
          <w:color w:val="000000"/>
          <w:sz w:val="32"/>
          <w:szCs w:val="32"/>
          <w:highlight w:val="none"/>
        </w:rPr>
        <w:t>项目</w:t>
      </w:r>
      <w:r>
        <w:rPr>
          <w:rFonts w:hint="eastAsia" w:ascii="仿宋_GB2312" w:eastAsia="仿宋_GB2312"/>
          <w:color w:val="000000"/>
          <w:sz w:val="32"/>
          <w:szCs w:val="32"/>
          <w:highlight w:val="none"/>
          <w:lang w:eastAsia="zh-CN"/>
        </w:rPr>
        <w:t>刚展开</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14.</w:t>
      </w:r>
      <w:r>
        <w:rPr>
          <w:rFonts w:hint="eastAsia" w:ascii="仿宋_GB2312" w:eastAsia="仿宋_GB2312"/>
          <w:color w:val="000000"/>
          <w:sz w:val="32"/>
          <w:szCs w:val="32"/>
          <w:highlight w:val="none"/>
        </w:rPr>
        <w:t>科学技术（类）</w:t>
      </w:r>
      <w:r>
        <w:rPr>
          <w:rFonts w:hint="eastAsia" w:ascii="仿宋_GB2312" w:eastAsia="仿宋_GB2312"/>
          <w:color w:val="000000"/>
          <w:sz w:val="32"/>
          <w:szCs w:val="32"/>
          <w:highlight w:val="none"/>
          <w:lang w:eastAsia="zh-CN"/>
        </w:rPr>
        <w:t>科学技术普及</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科普活动</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3.10</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5.社会保障和就业（类）</w:t>
      </w:r>
      <w:r>
        <w:rPr>
          <w:rFonts w:hint="eastAsia" w:ascii="仿宋_GB2312" w:eastAsia="仿宋_GB2312"/>
          <w:color w:val="000000"/>
          <w:sz w:val="32"/>
          <w:szCs w:val="32"/>
          <w:highlight w:val="none"/>
          <w:lang w:eastAsia="zh-CN"/>
        </w:rPr>
        <w:t>人力资源和社会保障管理事务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其他人力资源和社会保障管理事务支出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58.10</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87.50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人才经费当事人违约未支出</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rPr>
        <w:t>社会保障和就业（类）</w:t>
      </w:r>
      <w:r>
        <w:rPr>
          <w:rFonts w:hint="eastAsia" w:ascii="仿宋_GB2312" w:eastAsia="仿宋_GB2312"/>
          <w:color w:val="000000"/>
          <w:sz w:val="32"/>
          <w:szCs w:val="32"/>
          <w:highlight w:val="none"/>
          <w:lang w:eastAsia="zh-CN"/>
        </w:rPr>
        <w:t>行政事业单位离退休</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机关事业单位基本养老保险缴费支出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2719.50</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99.93</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人员调动及退休变动</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17.</w:t>
      </w:r>
      <w:r>
        <w:rPr>
          <w:rFonts w:hint="eastAsia" w:ascii="仿宋_GB2312" w:eastAsia="仿宋_GB2312"/>
          <w:color w:val="000000"/>
          <w:sz w:val="32"/>
          <w:szCs w:val="32"/>
          <w:highlight w:val="none"/>
        </w:rPr>
        <w:t>社会保障和就业（类）</w:t>
      </w:r>
      <w:r>
        <w:rPr>
          <w:rFonts w:hint="eastAsia" w:ascii="仿宋_GB2312" w:eastAsia="仿宋_GB2312"/>
          <w:color w:val="000000"/>
          <w:sz w:val="32"/>
          <w:szCs w:val="32"/>
          <w:highlight w:val="none"/>
          <w:lang w:eastAsia="zh-CN"/>
        </w:rPr>
        <w:t>行政事业单位离退休</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机关事业单位职业年金缴费支出</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41.95</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18.</w:t>
      </w:r>
      <w:r>
        <w:rPr>
          <w:rFonts w:hint="eastAsia" w:ascii="仿宋_GB2312" w:eastAsia="仿宋_GB2312"/>
          <w:color w:val="000000"/>
          <w:sz w:val="32"/>
          <w:szCs w:val="32"/>
          <w:highlight w:val="none"/>
        </w:rPr>
        <w:t>社会保障和就业（类）</w:t>
      </w:r>
      <w:r>
        <w:rPr>
          <w:rFonts w:hint="eastAsia" w:ascii="仿宋_GB2312" w:eastAsia="仿宋_GB2312"/>
          <w:color w:val="000000"/>
          <w:sz w:val="32"/>
          <w:szCs w:val="32"/>
          <w:highlight w:val="none"/>
          <w:lang w:eastAsia="zh-CN"/>
        </w:rPr>
        <w:t>抚恤</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死亡抚恤</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60.93</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highlight w:val="none"/>
        </w:rPr>
        <w:t>.医疗卫生与计划生育（类）</w:t>
      </w:r>
      <w:r>
        <w:rPr>
          <w:rFonts w:hint="eastAsia" w:ascii="仿宋_GB2312" w:eastAsia="仿宋_GB2312"/>
          <w:color w:val="000000"/>
          <w:sz w:val="32"/>
          <w:szCs w:val="32"/>
          <w:highlight w:val="none"/>
          <w:lang w:eastAsia="zh-CN"/>
        </w:rPr>
        <w:t>行政事业单位医疗</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行政单位医疗</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30.79</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医疗卫生与计划生育（类）</w:t>
      </w:r>
      <w:r>
        <w:rPr>
          <w:rFonts w:hint="eastAsia" w:ascii="仿宋_GB2312" w:eastAsia="仿宋_GB2312"/>
          <w:color w:val="000000"/>
          <w:sz w:val="32"/>
          <w:szCs w:val="32"/>
          <w:highlight w:val="none"/>
          <w:lang w:eastAsia="zh-CN"/>
        </w:rPr>
        <w:t>行政事业单位医疗</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事业单位医疗</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1191.50</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lang w:eastAsia="zh-CN"/>
        </w:rPr>
        <w:t>住房保障</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住房改革支出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住房公积金</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2286.90</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97.10</w:t>
      </w:r>
      <w:r>
        <w:rPr>
          <w:rFonts w:hint="eastAsia" w:ascii="仿宋_GB2312" w:eastAsia="仿宋_GB2312"/>
          <w:color w:val="000000"/>
          <w:sz w:val="32"/>
          <w:szCs w:val="32"/>
          <w:highlight w:val="none"/>
        </w:rPr>
        <w:t>%，决算数小于预算数的主要原因是</w:t>
      </w:r>
      <w:r>
        <w:rPr>
          <w:rFonts w:hint="eastAsia" w:ascii="仿宋_GB2312" w:eastAsia="仿宋_GB2312"/>
          <w:color w:val="000000"/>
          <w:sz w:val="32"/>
          <w:szCs w:val="32"/>
          <w:highlight w:val="none"/>
          <w:lang w:eastAsia="zh-CN"/>
        </w:rPr>
        <w:t>人员退休及调动</w:t>
      </w:r>
      <w:r>
        <w:rPr>
          <w:rFonts w:hint="eastAsia" w:ascii="仿宋_GB2312" w:eastAsia="仿宋_GB2312"/>
          <w:color w:val="000000"/>
          <w:sz w:val="32"/>
          <w:szCs w:val="32"/>
          <w:highlight w:val="none"/>
        </w:rPr>
        <w:t>。</w:t>
      </w:r>
    </w:p>
    <w:p>
      <w:pPr>
        <w:spacing w:line="600" w:lineRule="exact"/>
        <w:ind w:firstLine="640"/>
        <w:rPr>
          <w:rFonts w:hint="default" w:ascii="仿宋_GB2312" w:eastAsia="仿宋_GB2312"/>
          <w:color w:val="000000"/>
          <w:sz w:val="32"/>
          <w:szCs w:val="32"/>
          <w:highlight w:val="yellow"/>
          <w:lang w:val="en-US" w:eastAsia="zh-CN"/>
        </w:rPr>
      </w:pP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lang w:eastAsia="zh-CN"/>
        </w:rPr>
        <w:t>住房保障</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住房改革支出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购房补贴</w:t>
      </w:r>
      <w:r>
        <w:rPr>
          <w:rFonts w:hint="eastAsia" w:ascii="仿宋_GB2312" w:eastAsia="仿宋_GB2312"/>
          <w:color w:val="000000"/>
          <w:sz w:val="32"/>
          <w:szCs w:val="32"/>
          <w:highlight w:val="none"/>
        </w:rPr>
        <w:t>（项）:支出决算为</w:t>
      </w:r>
      <w:r>
        <w:rPr>
          <w:rFonts w:hint="eastAsia" w:ascii="仿宋_GB2312" w:eastAsia="仿宋_GB2312"/>
          <w:color w:val="000000"/>
          <w:sz w:val="32"/>
          <w:szCs w:val="32"/>
          <w:highlight w:val="none"/>
          <w:lang w:val="en-US" w:eastAsia="zh-CN"/>
        </w:rPr>
        <w:t>8.00</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tabs>
          <w:tab w:val="right" w:pos="8306"/>
        </w:tabs>
        <w:spacing w:line="600" w:lineRule="exact"/>
        <w:ind w:firstLine="640"/>
        <w:outlineLvl w:val="1"/>
        <w:rPr>
          <w:rStyle w:val="28"/>
        </w:rPr>
      </w:pPr>
      <w:bookmarkStart w:id="52" w:name="_Toc15396608"/>
      <w:bookmarkStart w:id="5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2"/>
      <w:bookmarkEnd w:id="53"/>
      <w:r>
        <w:rPr>
          <w:rStyle w:val="28"/>
          <w:rFonts w:ascii="黑体" w:hAnsi="黑体" w:eastAsia="黑体"/>
          <w:b w:val="0"/>
        </w:rPr>
        <w:tab/>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2018年一般公共预算财政拨款基本支出</w:t>
      </w:r>
      <w:r>
        <w:rPr>
          <w:rFonts w:hint="eastAsia" w:ascii="仿宋_GB2312" w:eastAsia="仿宋_GB2312"/>
          <w:color w:val="000000"/>
          <w:sz w:val="32"/>
          <w:szCs w:val="32"/>
          <w:lang w:val="en-US" w:eastAsia="zh-CN"/>
        </w:rPr>
        <w:t>34316.42</w:t>
      </w:r>
      <w:r>
        <w:rPr>
          <w:rFonts w:hint="eastAsia" w:ascii="仿宋_GB2312" w:eastAsia="仿宋_GB2312"/>
          <w:color w:val="000000"/>
          <w:sz w:val="32"/>
          <w:szCs w:val="32"/>
          <w:lang w:eastAsia="zh-CN"/>
        </w:rPr>
        <w:t>万元，其中：</w:t>
      </w:r>
    </w:p>
    <w:p>
      <w:pPr>
        <w:spacing w:line="600" w:lineRule="exact"/>
        <w:ind w:firstLine="640"/>
        <w:rPr>
          <w:rFonts w:ascii="仿宋" w:hAnsi="仿宋" w:eastAsia="仿宋"/>
          <w:color w:val="000000"/>
          <w:sz w:val="32"/>
          <w:szCs w:val="32"/>
        </w:rPr>
      </w:pPr>
      <w:r>
        <w:rPr>
          <w:rFonts w:hint="eastAsia" w:ascii="仿宋_GB2312" w:eastAsia="仿宋_GB2312"/>
          <w:color w:val="000000"/>
          <w:sz w:val="32"/>
          <w:szCs w:val="32"/>
          <w:lang w:eastAsia="zh-CN"/>
        </w:rPr>
        <w:t>人员经费</w:t>
      </w:r>
      <w:r>
        <w:rPr>
          <w:rFonts w:hint="eastAsia" w:ascii="仿宋_GB2312" w:eastAsia="仿宋_GB2312"/>
          <w:color w:val="000000"/>
          <w:sz w:val="32"/>
          <w:szCs w:val="32"/>
          <w:lang w:val="en-US" w:eastAsia="zh-CN"/>
        </w:rPr>
        <w:t>31579.34</w:t>
      </w:r>
      <w:r>
        <w:rPr>
          <w:rFonts w:hint="eastAsia" w:ascii="仿宋_GB2312" w:eastAsia="仿宋_GB2312"/>
          <w:color w:val="000000"/>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eastAsia="仿宋_GB2312"/>
          <w:color w:val="000000"/>
          <w:sz w:val="32"/>
          <w:szCs w:val="32"/>
          <w:lang w:eastAsia="zh-CN"/>
        </w:rPr>
        <w:br w:type="textWrapping"/>
      </w:r>
      <w:r>
        <w:rPr>
          <w:rFonts w:hint="eastAsia" w:ascii="仿宋_GB2312" w:eastAsia="仿宋_GB2312"/>
          <w:color w:val="000000"/>
          <w:sz w:val="32"/>
          <w:szCs w:val="32"/>
          <w:lang w:eastAsia="zh-CN"/>
        </w:rPr>
        <w:t>　　公用经费</w:t>
      </w:r>
      <w:r>
        <w:rPr>
          <w:rFonts w:hint="eastAsia" w:ascii="仿宋_GB2312" w:eastAsia="仿宋_GB2312"/>
          <w:color w:val="000000"/>
          <w:sz w:val="32"/>
          <w:szCs w:val="32"/>
          <w:lang w:val="en-US" w:eastAsia="zh-CN"/>
        </w:rPr>
        <w:t>2737.03</w:t>
      </w:r>
      <w:r>
        <w:rPr>
          <w:rFonts w:hint="eastAsia" w:ascii="仿宋_GB2312" w:eastAsia="仿宋_GB2312"/>
          <w:color w:val="000000"/>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54" w:name="_Toc15396609"/>
      <w:bookmarkStart w:id="55"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4"/>
      <w:bookmarkEnd w:id="55"/>
    </w:p>
    <w:p>
      <w:pPr>
        <w:spacing w:line="600" w:lineRule="exact"/>
        <w:ind w:firstLine="640"/>
        <w:outlineLvl w:val="2"/>
        <w:rPr>
          <w:rFonts w:ascii="仿宋" w:hAnsi="仿宋" w:eastAsia="仿宋"/>
          <w:b/>
          <w:color w:val="000000"/>
          <w:sz w:val="32"/>
          <w:szCs w:val="32"/>
        </w:rPr>
      </w:pPr>
      <w:bookmarkStart w:id="56" w:name="_Toc15377216"/>
      <w:r>
        <w:rPr>
          <w:rFonts w:hint="eastAsia" w:ascii="仿宋" w:hAnsi="仿宋" w:eastAsia="仿宋"/>
          <w:b/>
          <w:color w:val="000000"/>
          <w:sz w:val="32"/>
          <w:szCs w:val="32"/>
        </w:rPr>
        <w:t>（一）“三公”经费财政拨款支出决算总体情况说明</w:t>
      </w:r>
      <w:bookmarkEnd w:id="56"/>
    </w:p>
    <w:p>
      <w:pPr>
        <w:adjustRightInd w:val="0"/>
        <w:snapToGrid w:val="0"/>
        <w:spacing w:line="61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2018年“三公”经费财政拨款支出决算为</w:t>
      </w:r>
      <w:r>
        <w:rPr>
          <w:rFonts w:hint="eastAsia" w:ascii="仿宋_GB2312" w:eastAsia="仿宋_GB2312"/>
          <w:color w:val="000000"/>
          <w:sz w:val="32"/>
          <w:szCs w:val="32"/>
          <w:lang w:val="en-US" w:eastAsia="zh-CN"/>
        </w:rPr>
        <w:t>42.53</w:t>
      </w:r>
      <w:r>
        <w:rPr>
          <w:rFonts w:hint="eastAsia" w:ascii="仿宋_GB2312" w:eastAsia="仿宋_GB2312"/>
          <w:color w:val="000000"/>
          <w:sz w:val="32"/>
          <w:szCs w:val="32"/>
          <w:lang w:eastAsia="zh-CN"/>
        </w:rPr>
        <w:t>万元，完成预算</w:t>
      </w:r>
      <w:r>
        <w:rPr>
          <w:rFonts w:hint="eastAsia" w:ascii="仿宋_GB2312" w:eastAsia="仿宋_GB2312"/>
          <w:color w:val="000000"/>
          <w:sz w:val="32"/>
          <w:szCs w:val="32"/>
          <w:lang w:val="en-US" w:eastAsia="zh-CN"/>
        </w:rPr>
        <w:t>53.86</w:t>
      </w:r>
      <w:r>
        <w:rPr>
          <w:rFonts w:hint="eastAsia" w:ascii="仿宋_GB2312" w:eastAsia="仿宋_GB2312"/>
          <w:color w:val="000000"/>
          <w:sz w:val="32"/>
          <w:szCs w:val="32"/>
          <w:lang w:eastAsia="zh-CN"/>
        </w:rPr>
        <w:t>%，决算数小于预算数的主要原因是</w:t>
      </w:r>
      <w:r>
        <w:rPr>
          <w:rFonts w:hint="eastAsia" w:ascii="仿宋_GB2312" w:eastAsia="仿宋_GB2312"/>
          <w:sz w:val="32"/>
          <w:szCs w:val="32"/>
        </w:rPr>
        <w:t>各部门、各单位倡导厉行节约，精简开支，规范公务接待，严格控制公务接待标准和陪餐人数；减少公务车辆开支，降低公务车辆运行维护成本，压缩公务车辆派遣次数。</w:t>
      </w:r>
    </w:p>
    <w:p>
      <w:pPr>
        <w:spacing w:line="600" w:lineRule="exact"/>
        <w:ind w:firstLine="640"/>
        <w:outlineLvl w:val="2"/>
        <w:rPr>
          <w:rFonts w:ascii="仿宋" w:hAnsi="仿宋" w:eastAsia="仿宋"/>
          <w:b/>
          <w:color w:val="000000"/>
          <w:sz w:val="32"/>
          <w:szCs w:val="32"/>
        </w:rPr>
      </w:pPr>
      <w:bookmarkStart w:id="57" w:name="_Toc15377217"/>
      <w:r>
        <w:rPr>
          <w:rFonts w:hint="eastAsia" w:ascii="仿宋" w:hAnsi="仿宋" w:eastAsia="仿宋"/>
          <w:b/>
          <w:color w:val="000000"/>
          <w:sz w:val="32"/>
          <w:szCs w:val="32"/>
        </w:rPr>
        <w:t>（二）“三公”经费财政拨款支出决算具体情况说明</w:t>
      </w:r>
      <w:bookmarkEnd w:id="57"/>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2018年“三公”经费财政拨款支出决算中，因公出国</w:t>
      </w:r>
      <w:r>
        <w:rPr>
          <w:rFonts w:hint="eastAsia" w:ascii="仿宋_GB2312" w:eastAsia="仿宋_GB2312"/>
          <w:color w:val="000000"/>
          <w:sz w:val="32"/>
          <w:szCs w:val="32"/>
        </w:rPr>
        <w:t>（境）支出</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lang w:eastAsia="zh-CN"/>
        </w:rPr>
        <w:t>；公务用车购置及运行维护费支出决算</w:t>
      </w:r>
      <w:r>
        <w:rPr>
          <w:rFonts w:hint="eastAsia" w:ascii="仿宋_GB2312" w:eastAsia="仿宋_GB2312"/>
          <w:color w:val="000000"/>
          <w:sz w:val="32"/>
          <w:szCs w:val="32"/>
          <w:lang w:val="en-US" w:eastAsia="zh-CN"/>
        </w:rPr>
        <w:t>30.55</w:t>
      </w:r>
      <w:r>
        <w:rPr>
          <w:rFonts w:hint="eastAsia" w:ascii="仿宋_GB2312" w:eastAsia="仿宋_GB2312"/>
          <w:color w:val="000000"/>
          <w:sz w:val="32"/>
          <w:szCs w:val="32"/>
          <w:lang w:eastAsia="zh-CN"/>
        </w:rPr>
        <w:t>万元，占</w:t>
      </w:r>
      <w:r>
        <w:rPr>
          <w:rFonts w:hint="eastAsia" w:ascii="仿宋_GB2312" w:eastAsia="仿宋_GB2312"/>
          <w:color w:val="000000"/>
          <w:sz w:val="32"/>
          <w:szCs w:val="32"/>
          <w:lang w:val="en-US" w:eastAsia="zh-CN"/>
        </w:rPr>
        <w:t>71.84</w:t>
      </w:r>
      <w:r>
        <w:rPr>
          <w:rFonts w:hint="eastAsia" w:ascii="仿宋_GB2312" w:eastAsia="仿宋_GB2312"/>
          <w:color w:val="000000"/>
          <w:sz w:val="32"/>
          <w:szCs w:val="32"/>
          <w:lang w:eastAsia="zh-CN"/>
        </w:rPr>
        <w:t>%；公务接待费支出决算</w:t>
      </w:r>
      <w:r>
        <w:rPr>
          <w:rFonts w:hint="eastAsia" w:ascii="仿宋_GB2312" w:eastAsia="仿宋_GB2312"/>
          <w:color w:val="000000"/>
          <w:sz w:val="32"/>
          <w:szCs w:val="32"/>
          <w:lang w:val="en-US" w:eastAsia="zh-CN"/>
        </w:rPr>
        <w:t>11.98</w:t>
      </w:r>
      <w:r>
        <w:rPr>
          <w:rFonts w:hint="eastAsia" w:ascii="仿宋_GB2312" w:eastAsia="仿宋_GB2312"/>
          <w:color w:val="000000"/>
          <w:sz w:val="32"/>
          <w:szCs w:val="32"/>
          <w:lang w:eastAsia="zh-CN"/>
        </w:rPr>
        <w:t>万元，占</w:t>
      </w:r>
      <w:r>
        <w:rPr>
          <w:rFonts w:hint="eastAsia" w:ascii="仿宋_GB2312" w:eastAsia="仿宋_GB2312"/>
          <w:color w:val="000000"/>
          <w:sz w:val="32"/>
          <w:szCs w:val="32"/>
          <w:lang w:val="en-US" w:eastAsia="zh-CN"/>
        </w:rPr>
        <w:t>28.16</w:t>
      </w:r>
      <w:r>
        <w:rPr>
          <w:rFonts w:hint="eastAsia" w:ascii="仿宋_GB2312" w:eastAsia="仿宋_GB2312"/>
          <w:color w:val="000000"/>
          <w:sz w:val="32"/>
          <w:szCs w:val="32"/>
          <w:lang w:eastAsia="zh-CN"/>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85888" behindDoc="1" locked="0" layoutInCell="1" allowOverlap="1">
            <wp:simplePos x="0" y="0"/>
            <wp:positionH relativeFrom="column">
              <wp:posOffset>49530</wp:posOffset>
            </wp:positionH>
            <wp:positionV relativeFrom="paragraph">
              <wp:posOffset>183515</wp:posOffset>
            </wp:positionV>
            <wp:extent cx="5010785" cy="2360295"/>
            <wp:effectExtent l="0" t="0" r="18415" b="1905"/>
            <wp:wrapTight wrapText="bothSides">
              <wp:wrapPolygon>
                <wp:start x="0" y="0"/>
                <wp:lineTo x="0" y="21443"/>
                <wp:lineTo x="21515" y="21443"/>
                <wp:lineTo x="21515" y="0"/>
                <wp:lineTo x="0" y="0"/>
              </wp:wrapPolygon>
            </wp:wrapTight>
            <wp:docPr id="7" name="图片 8" descr="QQ图片2019092614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QQ图片20190926144230"/>
                    <pic:cNvPicPr>
                      <a:picLocks noChangeAspect="1"/>
                    </pic:cNvPicPr>
                  </pic:nvPicPr>
                  <pic:blipFill>
                    <a:blip r:embed="rId12"/>
                    <a:srcRect l="1317" t="3009" r="3912" b="4459"/>
                    <a:stretch>
                      <a:fillRect/>
                    </a:stretch>
                  </pic:blipFill>
                  <pic:spPr>
                    <a:xfrm>
                      <a:off x="0" y="0"/>
                      <a:ext cx="5010785" cy="2360295"/>
                    </a:xfrm>
                    <a:prstGeom prst="rect">
                      <a:avLst/>
                    </a:prstGeom>
                    <a:noFill/>
                    <a:ln>
                      <a:noFill/>
                    </a:ln>
                  </pic:spPr>
                </pic:pic>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4.23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2018年</w:t>
      </w:r>
      <w:r>
        <w:rPr>
          <w:rFonts w:hint="eastAsia" w:ascii="仿宋_GB2312" w:eastAsia="仿宋_GB2312"/>
          <w:color w:val="000000"/>
          <w:sz w:val="32"/>
          <w:szCs w:val="32"/>
        </w:rPr>
        <w:t>单位没有人员</w:t>
      </w:r>
      <w:r>
        <w:rPr>
          <w:rFonts w:hint="eastAsia" w:ascii="仿宋_GB2312" w:eastAsia="仿宋_GB2312"/>
          <w:color w:val="000000"/>
          <w:sz w:val="32"/>
          <w:szCs w:val="32"/>
          <w:lang w:eastAsia="zh-CN"/>
        </w:rPr>
        <w:t>因公</w:t>
      </w:r>
      <w:r>
        <w:rPr>
          <w:rFonts w:hint="eastAsia" w:ascii="仿宋_GB2312" w:eastAsia="仿宋_GB2312"/>
          <w:color w:val="000000"/>
          <w:sz w:val="32"/>
          <w:szCs w:val="32"/>
        </w:rPr>
        <w:t>出国。</w:t>
      </w:r>
    </w:p>
    <w:p>
      <w:pPr>
        <w:adjustRightInd w:val="0"/>
        <w:snapToGrid w:val="0"/>
        <w:spacing w:line="610" w:lineRule="exact"/>
        <w:ind w:firstLine="643" w:firstLineChars="200"/>
        <w:rPr>
          <w:rFonts w:hint="eastAsia" w:ascii="仿宋_GB2312" w:eastAsia="仿宋_GB2312"/>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30.55</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完成预算58.80%。</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29.14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48.82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sz w:val="32"/>
          <w:szCs w:val="32"/>
        </w:rPr>
        <w:t>各部门、各单位倡导厉行节约，精简开支，减少公务车辆开支，降低公务车辆运行维护成本，压缩公务车辆派遣次数。</w:t>
      </w:r>
    </w:p>
    <w:p>
      <w:pPr>
        <w:spacing w:line="560" w:lineRule="exact"/>
        <w:ind w:firstLine="640" w:firstLineChars="200"/>
        <w:rPr>
          <w:rFonts w:ascii="仿宋_GB2312" w:eastAsia="仿宋_GB2312"/>
          <w:b/>
          <w:color w:val="FF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30.55</w:t>
      </w:r>
      <w:r>
        <w:rPr>
          <w:rFonts w:hint="eastAsia" w:ascii="仿宋_GB2312" w:eastAsia="仿宋_GB2312"/>
          <w:color w:val="000000"/>
          <w:sz w:val="32"/>
          <w:szCs w:val="32"/>
        </w:rPr>
        <w:t>万元。主要用于</w:t>
      </w:r>
      <w:r>
        <w:rPr>
          <w:rFonts w:hint="eastAsia" w:ascii="仿宋_GB2312" w:eastAsia="仿宋_GB2312"/>
          <w:sz w:val="32"/>
          <w:szCs w:val="32"/>
        </w:rPr>
        <w:t>教师招聘、教师遴选、引进人才、中高考巡视、送教下乡、安全后勤检查、教育教学研究、义务教育均衡发展</w:t>
      </w:r>
      <w:r>
        <w:rPr>
          <w:rFonts w:hint="eastAsia" w:ascii="仿宋_GB2312" w:eastAsia="仿宋_GB2312"/>
          <w:sz w:val="32"/>
          <w:szCs w:val="32"/>
          <w:lang w:eastAsia="zh-CN"/>
        </w:rPr>
        <w:t>督导检查</w:t>
      </w:r>
      <w:r>
        <w:rPr>
          <w:rFonts w:hint="eastAsia" w:ascii="仿宋_GB2312" w:eastAsia="仿宋_GB2312"/>
          <w:sz w:val="32"/>
          <w:szCs w:val="32"/>
        </w:rPr>
        <w:t>、教育综合体制改革、健康职业学院项目建设</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11.98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完成预算49.86%。</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7.69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39.12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sz w:val="32"/>
          <w:szCs w:val="32"/>
        </w:rPr>
        <w:t>倡导厉行节约，精简开支，规范公务接待，严格控制公务接待标准和陪餐人数</w:t>
      </w:r>
      <w:r>
        <w:rPr>
          <w:rFonts w:hint="eastAsia" w:ascii="仿宋_GB2312" w:eastAsia="仿宋_GB2312"/>
          <w:color w:val="000000"/>
          <w:sz w:val="32"/>
          <w:szCs w:val="32"/>
        </w:rPr>
        <w:t>。</w:t>
      </w:r>
    </w:p>
    <w:p>
      <w:pPr>
        <w:spacing w:line="56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134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11.98</w:t>
      </w:r>
      <w:r>
        <w:rPr>
          <w:rFonts w:hint="eastAsia" w:ascii="仿宋_GB2312" w:eastAsia="仿宋_GB2312"/>
          <w:color w:val="000000"/>
          <w:sz w:val="32"/>
          <w:szCs w:val="32"/>
        </w:rPr>
        <w:t>万元，具体内容包括：</w:t>
      </w:r>
      <w:r>
        <w:rPr>
          <w:rFonts w:hint="eastAsia" w:ascii="仿宋_GB2312" w:eastAsia="仿宋_GB2312"/>
          <w:sz w:val="32"/>
          <w:szCs w:val="32"/>
        </w:rPr>
        <w:t>项目招商</w:t>
      </w:r>
      <w:r>
        <w:rPr>
          <w:rFonts w:hint="eastAsia" w:ascii="仿宋_GB2312" w:eastAsia="仿宋_GB2312"/>
          <w:sz w:val="32"/>
          <w:szCs w:val="32"/>
          <w:lang w:eastAsia="zh-CN"/>
        </w:rPr>
        <w:t>引资</w:t>
      </w:r>
      <w:r>
        <w:rPr>
          <w:rFonts w:hint="eastAsia" w:ascii="仿宋_GB2312" w:eastAsia="仿宋_GB2312"/>
          <w:sz w:val="32"/>
          <w:szCs w:val="32"/>
        </w:rPr>
        <w:t>谈判</w:t>
      </w:r>
      <w:r>
        <w:rPr>
          <w:rFonts w:hint="eastAsia" w:ascii="仿宋_GB2312" w:eastAsia="仿宋_GB2312"/>
          <w:sz w:val="32"/>
          <w:szCs w:val="32"/>
          <w:lang w:val="en-US" w:eastAsia="zh-CN"/>
        </w:rPr>
        <w:t>3</w:t>
      </w:r>
      <w:r>
        <w:rPr>
          <w:rFonts w:hint="eastAsia" w:ascii="仿宋_GB2312" w:eastAsia="仿宋_GB2312"/>
          <w:sz w:val="32"/>
          <w:szCs w:val="32"/>
        </w:rPr>
        <w:t>.8</w:t>
      </w:r>
      <w:r>
        <w:rPr>
          <w:rFonts w:hint="eastAsia" w:ascii="仿宋_GB2312" w:eastAsia="仿宋_GB2312"/>
          <w:sz w:val="32"/>
          <w:szCs w:val="32"/>
          <w:lang w:val="en-US" w:eastAsia="zh-CN"/>
        </w:rPr>
        <w:t>6</w:t>
      </w:r>
      <w:r>
        <w:rPr>
          <w:rFonts w:hint="eastAsia" w:ascii="仿宋_GB2312" w:eastAsia="仿宋_GB2312"/>
          <w:sz w:val="32"/>
          <w:szCs w:val="32"/>
        </w:rPr>
        <w:t>万元、省内外专家学者来广检查指导考察学习</w:t>
      </w:r>
      <w:r>
        <w:rPr>
          <w:rFonts w:hint="eastAsia" w:ascii="仿宋_GB2312" w:eastAsia="仿宋_GB2312"/>
          <w:sz w:val="32"/>
          <w:szCs w:val="32"/>
          <w:lang w:val="en-US" w:eastAsia="zh-CN"/>
        </w:rPr>
        <w:t>2</w:t>
      </w:r>
      <w:r>
        <w:rPr>
          <w:rFonts w:hint="eastAsia" w:ascii="仿宋_GB2312" w:eastAsia="仿宋_GB2312"/>
          <w:sz w:val="32"/>
          <w:szCs w:val="32"/>
        </w:rPr>
        <w:t>.6</w:t>
      </w:r>
      <w:r>
        <w:rPr>
          <w:rFonts w:hint="eastAsia" w:ascii="仿宋_GB2312" w:eastAsia="仿宋_GB2312"/>
          <w:sz w:val="32"/>
          <w:szCs w:val="32"/>
          <w:lang w:val="en-US" w:eastAsia="zh-CN"/>
        </w:rPr>
        <w:t>0</w:t>
      </w:r>
      <w:r>
        <w:rPr>
          <w:rFonts w:hint="eastAsia" w:ascii="仿宋_GB2312" w:eastAsia="仿宋_GB2312"/>
          <w:sz w:val="32"/>
          <w:szCs w:val="32"/>
        </w:rPr>
        <w:t>万元、义务教育均衡发展</w:t>
      </w:r>
      <w:r>
        <w:rPr>
          <w:rFonts w:hint="eastAsia" w:ascii="仿宋_GB2312" w:eastAsia="仿宋_GB2312"/>
          <w:sz w:val="32"/>
          <w:szCs w:val="32"/>
          <w:lang w:eastAsia="zh-CN"/>
        </w:rPr>
        <w:t>督导检查</w:t>
      </w:r>
      <w:r>
        <w:rPr>
          <w:rFonts w:hint="eastAsia" w:ascii="仿宋_GB2312" w:eastAsia="仿宋_GB2312"/>
          <w:sz w:val="32"/>
          <w:szCs w:val="32"/>
          <w:lang w:val="en-US" w:eastAsia="zh-CN"/>
        </w:rPr>
        <w:t>1.02万元、</w:t>
      </w:r>
      <w:r>
        <w:rPr>
          <w:rFonts w:hint="eastAsia" w:ascii="仿宋_GB2312" w:eastAsia="仿宋_GB2312"/>
          <w:sz w:val="32"/>
          <w:szCs w:val="32"/>
        </w:rPr>
        <w:t>小规模学校建设</w:t>
      </w:r>
      <w:r>
        <w:rPr>
          <w:rFonts w:hint="eastAsia" w:ascii="仿宋_GB2312" w:eastAsia="仿宋_GB2312"/>
          <w:sz w:val="32"/>
          <w:szCs w:val="32"/>
          <w:lang w:eastAsia="zh-CN"/>
        </w:rPr>
        <w:t>推广</w:t>
      </w:r>
      <w:r>
        <w:rPr>
          <w:rFonts w:hint="eastAsia" w:ascii="仿宋_GB2312" w:eastAsia="仿宋_GB2312"/>
          <w:sz w:val="32"/>
          <w:szCs w:val="32"/>
          <w:lang w:val="en-US" w:eastAsia="zh-CN"/>
        </w:rPr>
        <w:t>1</w:t>
      </w:r>
      <w:r>
        <w:rPr>
          <w:rFonts w:hint="eastAsia" w:ascii="仿宋_GB2312" w:eastAsia="仿宋_GB2312"/>
          <w:sz w:val="32"/>
          <w:szCs w:val="32"/>
        </w:rPr>
        <w:t>.2</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教育信息化建设调研</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eastAsia="仿宋_GB2312"/>
          <w:sz w:val="32"/>
          <w:szCs w:val="32"/>
        </w:rPr>
        <w:t>万元、</w:t>
      </w:r>
      <w:r>
        <w:rPr>
          <w:rFonts w:hint="eastAsia" w:ascii="仿宋_GB2312" w:eastAsia="仿宋_GB2312"/>
          <w:sz w:val="32"/>
          <w:szCs w:val="32"/>
          <w:lang w:eastAsia="zh-CN"/>
        </w:rPr>
        <w:t>教育体制改革调研</w:t>
      </w:r>
      <w:r>
        <w:rPr>
          <w:rFonts w:hint="eastAsia" w:ascii="仿宋_GB2312" w:eastAsia="仿宋_GB2312"/>
          <w:sz w:val="32"/>
          <w:szCs w:val="32"/>
        </w:rPr>
        <w:t>1.</w:t>
      </w:r>
      <w:r>
        <w:rPr>
          <w:rFonts w:hint="eastAsia" w:ascii="仿宋_GB2312" w:eastAsia="仿宋_GB2312"/>
          <w:sz w:val="32"/>
          <w:szCs w:val="32"/>
          <w:lang w:val="en-US" w:eastAsia="zh-CN"/>
        </w:rPr>
        <w:t>40</w:t>
      </w:r>
      <w:r>
        <w:rPr>
          <w:rFonts w:hint="eastAsia" w:ascii="仿宋_GB2312" w:eastAsia="仿宋_GB2312"/>
          <w:sz w:val="32"/>
          <w:szCs w:val="32"/>
        </w:rPr>
        <w:t>万元、名师工程考核评审0.3</w:t>
      </w:r>
      <w:r>
        <w:rPr>
          <w:rFonts w:hint="eastAsia" w:ascii="仿宋_GB2312" w:eastAsia="仿宋_GB2312"/>
          <w:sz w:val="32"/>
          <w:szCs w:val="32"/>
          <w:lang w:val="en-US" w:eastAsia="zh-CN"/>
        </w:rPr>
        <w:t>2</w:t>
      </w:r>
      <w:r>
        <w:rPr>
          <w:rFonts w:hint="eastAsia" w:ascii="仿宋_GB2312" w:eastAsia="仿宋_GB2312"/>
          <w:sz w:val="32"/>
          <w:szCs w:val="32"/>
        </w:rPr>
        <w:t>万元等。外事接待</w:t>
      </w:r>
      <w:r>
        <w:rPr>
          <w:rFonts w:hint="eastAsia" w:ascii="仿宋_GB2312" w:eastAsia="仿宋_GB2312"/>
          <w:sz w:val="32"/>
          <w:szCs w:val="32"/>
          <w:lang w:eastAsia="zh-CN"/>
        </w:rPr>
        <w:t>开支</w:t>
      </w:r>
      <w:r>
        <w:rPr>
          <w:rFonts w:hint="eastAsia" w:ascii="仿宋_GB2312" w:eastAsia="仿宋_GB2312"/>
          <w:sz w:val="32"/>
          <w:szCs w:val="32"/>
          <w:lang w:val="en-US" w:eastAsia="zh-CN"/>
        </w:rPr>
        <w:t>0万元</w:t>
      </w:r>
      <w:r>
        <w:rPr>
          <w:rFonts w:hint="eastAsia" w:ascii="仿宋_GB2312" w:eastAsia="仿宋_GB2312"/>
          <w:sz w:val="32"/>
          <w:szCs w:val="32"/>
        </w:rPr>
        <w:t>。</w:t>
      </w:r>
      <w:bookmarkStart w:id="58" w:name="_Toc15377218"/>
      <w:bookmarkStart w:id="59" w:name="_Toc15396610"/>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58"/>
      <w:bookmarkEnd w:id="59"/>
    </w:p>
    <w:p>
      <w:pPr>
        <w:spacing w:line="600" w:lineRule="exact"/>
        <w:ind w:firstLine="640"/>
        <w:rPr>
          <w:rFonts w:hint="default" w:ascii="仿宋_GB2312" w:eastAsia="仿宋_GB2312"/>
          <w:color w:val="000000"/>
          <w:sz w:val="32"/>
          <w:szCs w:val="32"/>
          <w:lang w:val="en-US"/>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1886.84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零八一中学小学部异地扩建拆迁补偿款1386.84万元，兴安中学拆迁补偿款500万元。</w:t>
      </w:r>
    </w:p>
    <w:p>
      <w:pPr>
        <w:numPr>
          <w:ilvl w:val="0"/>
          <w:numId w:val="2"/>
        </w:numPr>
        <w:spacing w:line="600" w:lineRule="exact"/>
        <w:ind w:firstLine="640"/>
        <w:outlineLvl w:val="1"/>
        <w:rPr>
          <w:rStyle w:val="28"/>
          <w:rFonts w:ascii="黑体" w:hAnsi="黑体" w:eastAsia="黑体"/>
          <w:b w:val="0"/>
        </w:rPr>
      </w:pPr>
      <w:bookmarkStart w:id="60" w:name="_Toc15396611"/>
      <w:bookmarkStart w:id="61" w:name="_Toc15377219"/>
      <w:r>
        <w:rPr>
          <w:rStyle w:val="28"/>
          <w:rFonts w:hint="eastAsia" w:ascii="黑体" w:hAnsi="黑体" w:eastAsia="黑体"/>
          <w:b w:val="0"/>
        </w:rPr>
        <w:t>国有资本经营预算支出决算情况说明</w:t>
      </w:r>
      <w:bookmarkEnd w:id="60"/>
      <w:bookmarkEnd w:id="6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pStyle w:val="26"/>
        <w:numPr>
          <w:ilvl w:val="0"/>
          <w:numId w:val="3"/>
        </w:numPr>
        <w:spacing w:line="580" w:lineRule="exact"/>
        <w:ind w:firstLineChars="0"/>
        <w:rPr>
          <w:rStyle w:val="28"/>
          <w:rFonts w:ascii="黑体" w:hAnsi="黑体" w:eastAsia="黑体"/>
          <w:b w:val="0"/>
        </w:rPr>
      </w:pPr>
      <w:r>
        <w:rPr>
          <w:rStyle w:val="28"/>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在年初预算编制阶段，组织对干部人事档案数字化建设项目开展了预算事前绩效评估，对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本部门按要求对2018年部门整体支出开展绩效自评，从评价情况来看我局项目管理规范精细、项目督察督办落实到位、项目责任落实到位，并将问责结果纳入年终考核。本部门还自行组织了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个项目绩效评价，从评价情况来看各项工作按项目要求有序推进，资金使用规范高效，社会服务满意度高。</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本部门在2018年度部门决算中反映“名师工程”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市级教育信息化</w:t>
      </w:r>
      <w:r>
        <w:rPr>
          <w:rFonts w:hint="eastAsia" w:ascii="仿宋_GB2312" w:hAnsi="仿宋_GB2312" w:eastAsia="仿宋_GB2312" w:cs="仿宋_GB2312"/>
          <w:sz w:val="32"/>
          <w:szCs w:val="32"/>
          <w:lang w:eastAsia="zh-CN"/>
        </w:rPr>
        <w:t>（一期）</w:t>
      </w:r>
      <w:r>
        <w:rPr>
          <w:rFonts w:hint="eastAsia" w:ascii="仿宋_GB2312" w:hAnsi="仿宋_GB2312" w:eastAsia="仿宋_GB2312" w:cs="仿宋_GB2312"/>
          <w:sz w:val="32"/>
          <w:szCs w:val="32"/>
        </w:rPr>
        <w:t>”“普通高中教育提升计划专项经费及高中质量奖”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干部人事档案数字化建设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教师职称评审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名师工程项目绩效目标完成情况综述。项目全年预算数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ascii="仿宋_GB2312" w:hAnsi="宋体" w:eastAsia="仿宋_GB2312" w:cs="仿宋_GB2312"/>
          <w:color w:val="101010"/>
          <w:sz w:val="32"/>
          <w:szCs w:val="32"/>
          <w:u w:val="none"/>
          <w:shd w:val="clear" w:fill="FFFFFF"/>
        </w:rPr>
        <w:t>发挥</w:t>
      </w:r>
      <w:r>
        <w:rPr>
          <w:rFonts w:hint="eastAsia" w:ascii="仿宋_GB2312" w:hAnsi="宋体" w:eastAsia="仿宋_GB2312" w:cs="仿宋_GB2312"/>
          <w:color w:val="101010"/>
          <w:sz w:val="32"/>
          <w:szCs w:val="32"/>
          <w:u w:val="none"/>
          <w:shd w:val="clear" w:fill="FFFFFF"/>
          <w:lang w:eastAsia="zh-CN"/>
        </w:rPr>
        <w:t>了</w:t>
      </w:r>
      <w:r>
        <w:rPr>
          <w:rFonts w:ascii="仿宋_GB2312" w:hAnsi="宋体" w:eastAsia="仿宋_GB2312" w:cs="仿宋_GB2312"/>
          <w:color w:val="101010"/>
          <w:sz w:val="32"/>
          <w:szCs w:val="32"/>
          <w:u w:val="none"/>
          <w:shd w:val="clear" w:fill="FFFFFF"/>
        </w:rPr>
        <w:t>骨干教师示范引领作用，带动教师队伍整体素质提升</w:t>
      </w:r>
      <w:r>
        <w:rPr>
          <w:rFonts w:hint="eastAsia" w:ascii="仿宋_GB2312" w:hAnsi="宋体" w:eastAsia="仿宋_GB2312" w:cs="仿宋_GB2312"/>
          <w:color w:val="101010"/>
          <w:sz w:val="32"/>
          <w:szCs w:val="32"/>
          <w:u w:val="none"/>
          <w:shd w:val="clear" w:fill="FFFFFF"/>
          <w:lang w:eastAsia="zh-CN"/>
        </w:rPr>
        <w:t>，</w:t>
      </w:r>
      <w:r>
        <w:rPr>
          <w:rFonts w:hint="eastAsia" w:ascii="仿宋_GB2312" w:hAnsi="宋体" w:eastAsia="仿宋_GB2312" w:cs="宋体"/>
          <w:kern w:val="0"/>
          <w:sz w:val="32"/>
          <w:szCs w:val="32"/>
          <w:lang w:val="en-US" w:eastAsia="zh-CN"/>
        </w:rPr>
        <w:t>形成了优秀教育人才聚集广元的新景象，增强了学生家长对广元优质教育的发展自信，有效提振了广元教育的士气和群众认可度</w:t>
      </w:r>
      <w:r>
        <w:rPr>
          <w:rFonts w:hint="eastAsia" w:ascii="仿宋_GB2312" w:hAnsi="仿宋_GB2312" w:eastAsia="仿宋_GB2312" w:cs="仿宋_GB2312"/>
          <w:sz w:val="32"/>
          <w:szCs w:val="32"/>
          <w:lang w:eastAsia="zh-CN"/>
        </w:rPr>
        <w:t>。</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市级教育信息化</w:t>
      </w:r>
      <w:r>
        <w:rPr>
          <w:rFonts w:hint="eastAsia" w:ascii="仿宋_GB2312" w:hAnsi="仿宋_GB2312" w:eastAsia="仿宋_GB2312" w:cs="仿宋_GB2312"/>
          <w:sz w:val="32"/>
          <w:szCs w:val="32"/>
          <w:lang w:eastAsia="zh-CN"/>
        </w:rPr>
        <w:t>（一期）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1012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楷体" w:eastAsia="仿宋_GB2312" w:cs="仿宋_GB2312"/>
          <w:sz w:val="32"/>
          <w:szCs w:val="32"/>
          <w:lang w:eastAsia="zh-CN"/>
        </w:rPr>
        <w:t>完成县区及市直属12所学校418套班班通、13套平台接入授权等建设，实现市、县区、学校间的互联互通，无缝对接，保障其正常运行、维护和使用</w:t>
      </w:r>
      <w:r>
        <w:rPr>
          <w:rFonts w:hint="eastAsia" w:ascii="仿宋_GB2312" w:hAnsi="仿宋_GB2312" w:eastAsia="仿宋_GB2312" w:cs="仿宋_GB2312"/>
          <w:sz w:val="32"/>
          <w:szCs w:val="32"/>
          <w:lang w:eastAsia="zh-CN"/>
        </w:rPr>
        <w:t>。</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普通高中教育提升计划专项经费及高中质量奖项目绩效目标完成情况综述。项目全年预算数</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 w:eastAsia="仿宋_GB2312" w:cs="仿宋_GB2312"/>
          <w:sz w:val="32"/>
          <w:szCs w:val="32"/>
        </w:rPr>
        <w:t>出台</w:t>
      </w:r>
      <w:r>
        <w:rPr>
          <w:rFonts w:hint="eastAsia" w:ascii="仿宋_GB2312" w:hAnsi="仿宋" w:eastAsia="仿宋_GB2312" w:cs="仿宋_GB2312"/>
          <w:sz w:val="32"/>
          <w:szCs w:val="32"/>
          <w:lang w:eastAsia="zh-CN"/>
        </w:rPr>
        <w:t>了</w:t>
      </w:r>
      <w:r>
        <w:rPr>
          <w:rFonts w:hint="eastAsia" w:ascii="仿宋_GB2312" w:hAnsi="仿宋" w:eastAsia="仿宋_GB2312" w:cs="仿宋_GB2312"/>
          <w:sz w:val="32"/>
          <w:szCs w:val="32"/>
        </w:rPr>
        <w:t>《高中阶段教育普及攻坚计划（</w:t>
      </w:r>
      <w:r>
        <w:rPr>
          <w:rFonts w:ascii="仿宋_GB2312" w:hAnsi="仿宋" w:eastAsia="仿宋_GB2312" w:cs="仿宋_GB2312"/>
          <w:sz w:val="32"/>
          <w:szCs w:val="32"/>
        </w:rPr>
        <w:t>2017</w:t>
      </w:r>
      <w:r>
        <w:rPr>
          <w:rFonts w:hint="eastAsia" w:ascii="仿宋_GB2312" w:hAnsi="仿宋" w:eastAsia="仿宋_GB2312" w:cs="仿宋_GB2312"/>
          <w:sz w:val="32"/>
          <w:szCs w:val="32"/>
        </w:rPr>
        <w:t>—</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w:t>
      </w:r>
      <w:r>
        <w:rPr>
          <w:rFonts w:hint="eastAsia" w:ascii="仿宋_GB2312" w:eastAsia="仿宋_GB2312" w:cs="仿宋_GB2312"/>
          <w:sz w:val="32"/>
          <w:szCs w:val="32"/>
        </w:rPr>
        <w:t>稳步推进“选课走班”试点和全面推广准备工作</w:t>
      </w:r>
      <w:r>
        <w:rPr>
          <w:rFonts w:hint="eastAsia" w:ascii="仿宋_GB2312" w:eastAsia="仿宋_GB2312" w:cs="仿宋_GB2312"/>
          <w:sz w:val="32"/>
          <w:szCs w:val="32"/>
          <w:lang w:eastAsia="zh-CN"/>
        </w:rPr>
        <w:t>，</w:t>
      </w:r>
      <w:r>
        <w:rPr>
          <w:rFonts w:ascii="仿宋_GB2312" w:eastAsia="仿宋_GB2312" w:cs="仿宋_GB2312"/>
          <w:sz w:val="32"/>
          <w:szCs w:val="32"/>
        </w:rPr>
        <w:t>2018</w:t>
      </w:r>
      <w:r>
        <w:rPr>
          <w:rFonts w:hint="eastAsia" w:ascii="仿宋_GB2312" w:eastAsia="仿宋_GB2312" w:cs="仿宋_GB2312"/>
          <w:sz w:val="32"/>
          <w:szCs w:val="32"/>
        </w:rPr>
        <w:t>年全市高考再次刷新文考本科上线人数、一本上线人数、</w:t>
      </w:r>
      <w:r>
        <w:rPr>
          <w:rFonts w:ascii="仿宋_GB2312" w:eastAsia="仿宋_GB2312" w:cs="仿宋_GB2312"/>
          <w:sz w:val="32"/>
          <w:szCs w:val="32"/>
        </w:rPr>
        <w:t>600</w:t>
      </w:r>
      <w:r>
        <w:rPr>
          <w:rFonts w:hint="eastAsia" w:ascii="仿宋_GB2312" w:eastAsia="仿宋_GB2312" w:cs="仿宋_GB2312"/>
          <w:sz w:val="32"/>
          <w:szCs w:val="32"/>
        </w:rPr>
        <w:t>分以上特优生人数、“双一流”建设高校自主招生初测过关人数、清华北大录取</w:t>
      </w:r>
      <w:r>
        <w:rPr>
          <w:rFonts w:ascii="仿宋_GB2312" w:eastAsia="仿宋_GB2312" w:cs="仿宋_GB2312"/>
          <w:sz w:val="32"/>
          <w:szCs w:val="32"/>
        </w:rPr>
        <w:t>8</w:t>
      </w:r>
      <w:r>
        <w:rPr>
          <w:rFonts w:hint="eastAsia" w:ascii="仿宋_GB2312" w:eastAsia="仿宋_GB2312" w:cs="仿宋_GB2312"/>
          <w:sz w:val="32"/>
          <w:szCs w:val="32"/>
        </w:rPr>
        <w:t>人等五项历史新纪录。</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干部人事档案数字化建设项目绩效目标完成情况综述。项目全年预算数</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102.28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51.14</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提升了我局干部人事档案工作信息化管理水平，减轻了管档人员劳动强度，同时也保证了档案原件的安全性和完整性。发现的主要问题：干部人事档案逐年递增，档案管理任务重、难度大，难以为干部提供准确、方便、快捷、优质的电子化干部阅档服务，特别是与新形势、新任务、新要求相比，档案管理效率与服务对象的期望和档案标准化管理要求还有待提高。</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教师职称评审项目绩效目标完成情况综述。项目全年预算数</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了全市中级、高级职称评审工作，学校、教师、社会满意认可，提高了教师的工作积极性，全面推动提升广元教育教学质量。发现的主要问题：评审工作量大任务重，人员数据信息表册繁多，经费紧张。教师专业职称评审亟待推动信息化建设，平台建设维护所需费用列入财政预算。下一步改进措施：建议推动建立中小学和职业学校教师专业技术职称申报信息化平台，所需经费列入财政预算</w:t>
      </w:r>
      <w:r>
        <w:rPr>
          <w:rFonts w:hint="eastAsia" w:ascii="仿宋_GB2312" w:hAnsi="仿宋_GB2312" w:eastAsia="仿宋_GB2312" w:cs="仿宋_GB2312"/>
          <w:sz w:val="32"/>
          <w:szCs w:val="32"/>
          <w:lang w:val="en-US" w:eastAsia="zh-CN"/>
        </w:rPr>
        <w:t>。</w:t>
      </w:r>
    </w:p>
    <w:p>
      <w:pPr>
        <w:tabs>
          <w:tab w:val="left" w:pos="312"/>
        </w:tabs>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名师工程</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广元市教育局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按照《关于认真做好第二批广元市名师推荐工作的通知》（广教〔2015〕37号）安排，市教育局组成专家评审委员会开展第三批“广元名师”评审工作。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按照《关于认真做好第二批广元市名师推荐工作的通知》（广教〔2015〕37号）安排，市教育局组成专家评审委员会</w:t>
            </w:r>
            <w:r>
              <w:rPr>
                <w:rFonts w:hint="eastAsia" w:ascii="宋体" w:hAnsi="宋体" w:cs="宋体"/>
                <w:color w:val="000000"/>
                <w:sz w:val="24"/>
                <w:lang w:eastAsia="zh-CN"/>
              </w:rPr>
              <w:t>完成</w:t>
            </w:r>
            <w:r>
              <w:rPr>
                <w:rFonts w:hint="eastAsia" w:ascii="宋体" w:hAnsi="宋体" w:cs="宋体"/>
                <w:color w:val="000000"/>
                <w:sz w:val="24"/>
              </w:rPr>
              <w:t>第三批“广元名师”评审工作。</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市、县区教育局初评推荐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105名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105名</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完成第三批“广元名师”评审工作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2018年12月25日前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2018年12月25日前</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专家评审考核补助费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6.83万元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6.83万元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“广元名师”考察评审工作部署及票决会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0.7</w:t>
            </w:r>
            <w:r>
              <w:rPr>
                <w:rFonts w:hint="eastAsia" w:ascii="宋体" w:hAnsi="宋体" w:cs="宋体"/>
                <w:color w:val="000000"/>
                <w:sz w:val="24"/>
                <w:lang w:val="en-US" w:eastAsia="zh-CN"/>
              </w:rPr>
              <w:t>0</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0.7</w:t>
            </w:r>
            <w:r>
              <w:rPr>
                <w:rFonts w:hint="eastAsia" w:ascii="宋体" w:hAnsi="宋体" w:cs="宋体"/>
                <w:color w:val="000000"/>
                <w:sz w:val="24"/>
                <w:lang w:val="en-US" w:eastAsia="zh-CN"/>
              </w:rPr>
              <w:t>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持续健康地推动和提高全市教育整体发展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辐射、带动和影响周边教育迅猛发展，全面提升教育教学质量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辐射、带动和影响周边教育迅猛发展，全面提升教育教学质量</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管理部门</w:t>
            </w:r>
            <w:r>
              <w:rPr>
                <w:rFonts w:hint="eastAsia" w:ascii="宋体" w:hAnsi="宋体" w:cs="宋体"/>
                <w:color w:val="000000"/>
                <w:sz w:val="24"/>
                <w:lang w:eastAsia="zh-CN"/>
              </w:rPr>
              <w:t>、学校教师、家长及社会</w:t>
            </w: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bl>
    <w:p>
      <w:pPr>
        <w:rPr>
          <w:rFonts w:ascii="Calibri" w:hAnsi="Calibri"/>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市级教育信息化（一期）</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广元市教育局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1012</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1012</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照市人民政府《关于认真做好“智慧广元”教育信息化建设工作的通知》（广府办函[2013]264号）文件要求，确保“三通两平台”基础设施设备建成后实现市、县区、学校间的互联互通，无缝对接，保障其正常运行、维护和使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完成“三通两平台”基础设施设备建设，实现市、县区、学校间的互联互通，无缝对接，保障其正常运行、维护和使用。</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管理部门及县区学校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保障县区及市直属12所学校418套班班通、13套平台接入授权等设备正常运行。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保障县区及市直属12所学校418套班班通、13套平台接入授权等设备正常运行。</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市、县区、学校间互联互通，正常运行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0事故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0事故</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运行维护时间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2018年1月1日至12月31日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2018年1月1日至12月31日</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按签订协议支付当期工程款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1012万元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1012万元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管理</w:t>
            </w:r>
            <w:r>
              <w:rPr>
                <w:rFonts w:hint="eastAsia" w:ascii="宋体" w:hAnsi="宋体" w:cs="宋体"/>
                <w:color w:val="000000"/>
                <w:sz w:val="24"/>
                <w:lang w:eastAsia="zh-CN"/>
              </w:rPr>
              <w:t>和使用</w:t>
            </w:r>
            <w:r>
              <w:rPr>
                <w:rFonts w:hint="eastAsia" w:ascii="宋体" w:hAnsi="宋体" w:cs="宋体"/>
                <w:color w:val="000000"/>
                <w:sz w:val="24"/>
              </w:rPr>
              <w:t>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6</w:t>
            </w:r>
            <w:r>
              <w:rPr>
                <w:rFonts w:hint="eastAsia" w:ascii="宋体" w:hAnsi="宋体" w:cs="宋体"/>
                <w:color w:val="000000"/>
                <w:sz w:val="24"/>
              </w:rPr>
              <w:t>%</w:t>
            </w:r>
          </w:p>
        </w:tc>
      </w:tr>
    </w:tbl>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2018年普通高中教育提升计划专项经费及高中质量奖</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广元市教育局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580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580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深入贯彻落实市委、市政府“让广元孩子在家门口享受更加优质教育”的决策部署和《关于大力提升普通高中教育质量的意见》（广委办〔2017〕31号）精神要求，紧扣“加强管理、提高质量、促进公平、内涵发展”工作思路，全面深化教育领域综合改革，积极探索普通高中内涵发展路径，大力实施拔尖创新人才培养行动，加快推进全市普通高中优质发展、特色发展、创新发展，全市高考质量持续高位攀升，广元高中教育发展的影响力和美誉度明显增强，广元孩子在家门口享有公平而有质量的教育迈出坚定的新步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深入贯彻落实市委、市政府“让广元孩子在家门口享受更加优质教育”的决策部署和《关于大力提升普通高中教育质量的意见》（广委办〔2017〕31号）精神要求，紧扣“加强管理、提高质量、促进公平、内涵发展”工作思路，全面深化教育领域综合改革，积极探索普通高中内涵发展路径，大力实施拔尖创新人才培养行动，加快推进全市普通高中优质发展、特色发展、创新发展，全市高考质量持续高位攀升，广元高中教育发展的影响力和美誉度明显增强，广元孩子在家门口享有公平而有质量的教育迈出坚定的新步伐。</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省级示范高中创建先进集体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预估2所学校创建成功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2所学校创建成功</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拔尖创新人才培养先进集体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预计6所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生源稳控先进集体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预计4个县区教育（科）局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4个县区教育（科）局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市直属学校高考质量先进集体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预计5所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特优培养先进集体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预计10所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市直属学校优秀学科教研组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3个</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学科竞赛指导先进集体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预计10所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高考先进个人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预计36人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36人</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完成各项考核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普通高中教育提升计划奖补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高中质量奖（含职业教育）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提升高中教育质量，做强高中品牌建设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抓住质量建设核心，对接高考新要求，贯彻落实新的课程方案和课程标准，推进普通高中优质发展、多元发展、特色发展，努力实现“让广元孩子在家门口享受更加优质教育”目标。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抓住质量建设核心，对接高考新要求，贯彻落实新的课程方案和课程标准，推进普通高中优质发展、多元发展、特色发展，努力实现“让广元孩子在家门口享受更加优质教育”目标。</w:t>
            </w:r>
          </w:p>
        </w:tc>
      </w:tr>
      <w:tr>
        <w:tblPrEx>
          <w:tblLayout w:type="fixed"/>
          <w:tblCellMar>
            <w:top w:w="0" w:type="dxa"/>
            <w:left w:w="0" w:type="dxa"/>
            <w:bottom w:w="0" w:type="dxa"/>
            <w:right w:w="0" w:type="dxa"/>
          </w:tblCellMar>
        </w:tblPrEx>
        <w:trPr>
          <w:trHeight w:val="1050" w:hRule="atLeast"/>
        </w:trPr>
        <w:tc>
          <w:tcPr>
            <w:tcW w:w="390"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管理部门</w:t>
            </w:r>
            <w:r>
              <w:rPr>
                <w:rFonts w:hint="eastAsia" w:ascii="宋体" w:hAnsi="宋体" w:cs="宋体"/>
                <w:color w:val="000000"/>
                <w:sz w:val="24"/>
                <w:lang w:eastAsia="zh-CN"/>
              </w:rPr>
              <w:t>、学校教师、家长社会</w:t>
            </w: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82%</w:t>
            </w:r>
          </w:p>
        </w:tc>
      </w:tr>
    </w:tbl>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干部人事档案数字化建设</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广元市教育局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102.28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102.28</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eastAsia="zh-CN"/>
              </w:rPr>
              <w:t>根据市委组织部印发的《市直属单位管理的干部人事档案数字化工作实施方案》（广组通〔2017〕96号）的文件要求，对我局干部人事档案进行数字化管理。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根据市委组织部印发的《市直属单位管理的干部人事档案数字化工作实施方案》（广组通〔2017〕96号）的文件要求，对我局干部人事档案基本实现了数字化管理。</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按标准规划档案库房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档案库房面积每千卷需20至25平方米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档案库房面积每千卷2</w:t>
            </w:r>
            <w:r>
              <w:rPr>
                <w:rFonts w:hint="eastAsia" w:ascii="宋体" w:hAnsi="宋体" w:cs="宋体"/>
                <w:color w:val="000000"/>
                <w:sz w:val="24"/>
                <w:lang w:val="en-US" w:eastAsia="zh-CN"/>
              </w:rPr>
              <w:t>3</w:t>
            </w:r>
            <w:r>
              <w:rPr>
                <w:rFonts w:hint="eastAsia" w:ascii="宋体" w:hAnsi="宋体" w:cs="宋体"/>
                <w:color w:val="000000"/>
                <w:sz w:val="24"/>
              </w:rPr>
              <w:t>平方米</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按标准配置设备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管档总数在500卷及以上的全部采用回转柜，配备数据服务器、电脑、扫描仪、打印机、复印机、切纸机、空气净化器等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配备数据服务器、电脑、扫描仪、打印机、复印机、切纸机、空气净化器等</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按要求完善安全措施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数据存储和加工网络要与其他网络物理隔离，安监控设备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数据存储和加工网络要与其他网络物理隔离，安监控设备</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使用符合标准的管理软件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购买数字档案管理软件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购买数字档案管理软件</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考核验收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2019年3月底前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2019年3月底前</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工作促进和大幅度提升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大力推进干部人事档案 管理制度化、规范化和信息化建设，更好地为领导决策服务，为 干部、人才工作服务，为经济社会发展服务。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大力推进干部人事档案 管理制度化、规范化和信息化建设，更好地为领导决策服务，为 干部、人才工作服务，为经济社会发展服务。</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w:t>
            </w:r>
            <w:r>
              <w:rPr>
                <w:rFonts w:hint="eastAsia" w:ascii="宋体" w:hAnsi="宋体" w:cs="宋体"/>
                <w:color w:val="000000"/>
                <w:sz w:val="24"/>
                <w:lang w:eastAsia="zh-CN"/>
              </w:rPr>
              <w:t>、使用</w:t>
            </w:r>
            <w:r>
              <w:rPr>
                <w:rFonts w:hint="eastAsia" w:ascii="宋体" w:hAnsi="宋体" w:cs="宋体"/>
                <w:color w:val="000000"/>
                <w:sz w:val="24"/>
              </w:rPr>
              <w:t>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82%</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hint="eastAsia" w:ascii="黑体" w:hAnsi="黑体" w:eastAsia="黑体" w:cs="宋体"/>
                <w:bCs/>
                <w:color w:val="000000"/>
                <w:kern w:val="0"/>
                <w:sz w:val="36"/>
                <w:szCs w:val="36"/>
              </w:rPr>
            </w:pPr>
          </w:p>
          <w:p>
            <w:pPr>
              <w:pStyle w:val="26"/>
              <w:widowControl/>
              <w:ind w:left="4173" w:leftChars="1310" w:hanging="1422" w:hangingChars="395"/>
              <w:textAlignment w:val="center"/>
              <w:rPr>
                <w:rFonts w:hint="eastAsia" w:ascii="黑体" w:hAnsi="黑体" w:eastAsia="黑体" w:cs="宋体"/>
                <w:bCs/>
                <w:color w:val="000000"/>
                <w:kern w:val="0"/>
                <w:sz w:val="36"/>
                <w:szCs w:val="36"/>
              </w:rPr>
            </w:pPr>
          </w:p>
          <w:p>
            <w:pPr>
              <w:pStyle w:val="26"/>
              <w:widowControl/>
              <w:ind w:left="4173" w:leftChars="1310" w:hanging="1422" w:hangingChars="395"/>
              <w:textAlignment w:val="center"/>
              <w:rPr>
                <w:rFonts w:hint="eastAsia" w:ascii="黑体" w:hAnsi="黑体" w:eastAsia="黑体" w:cs="宋体"/>
                <w:bCs/>
                <w:color w:val="000000"/>
                <w:kern w:val="0"/>
                <w:sz w:val="36"/>
                <w:szCs w:val="36"/>
              </w:rPr>
            </w:pPr>
          </w:p>
          <w:p>
            <w:pPr>
              <w:pStyle w:val="26"/>
              <w:widowControl/>
              <w:ind w:left="4173" w:leftChars="1310" w:hanging="1422" w:hangingChars="395"/>
              <w:textAlignment w:val="center"/>
              <w:rPr>
                <w:rFonts w:hint="eastAsia" w:ascii="黑体" w:hAnsi="黑体" w:eastAsia="黑体" w:cs="宋体"/>
                <w:bCs/>
                <w:color w:val="000000"/>
                <w:kern w:val="0"/>
                <w:sz w:val="36"/>
                <w:szCs w:val="36"/>
              </w:rPr>
            </w:pPr>
          </w:p>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2018年教师职称评审工作</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广元市教育局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按评审权限开展中小学教师初、中、高级职称任职资格评审工作，市教育局组成专家评审委员会开展此次评审工作。其中中级预计740人，高级预计760人，正高级预计6+2人。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按评审权限开展中小学教师初、中、高级职称任职资格评审工作，市教育局组成专家评审委员会开展此次评审工作。其中中级</w:t>
            </w:r>
            <w:r>
              <w:rPr>
                <w:rFonts w:hint="eastAsia" w:ascii="宋体" w:hAnsi="宋体" w:cs="宋体"/>
                <w:color w:val="000000"/>
                <w:sz w:val="24"/>
                <w:lang w:val="en-US" w:eastAsia="zh-CN"/>
              </w:rPr>
              <w:t>288</w:t>
            </w:r>
            <w:r>
              <w:rPr>
                <w:rFonts w:hint="eastAsia" w:ascii="宋体" w:hAnsi="宋体" w:cs="宋体"/>
                <w:color w:val="000000"/>
                <w:sz w:val="24"/>
              </w:rPr>
              <w:t>人，高级</w:t>
            </w:r>
            <w:r>
              <w:rPr>
                <w:rFonts w:hint="eastAsia" w:ascii="宋体" w:hAnsi="宋体" w:cs="宋体"/>
                <w:color w:val="000000"/>
                <w:sz w:val="24"/>
                <w:lang w:val="en-US" w:eastAsia="zh-CN"/>
              </w:rPr>
              <w:t>960</w:t>
            </w:r>
            <w:r>
              <w:rPr>
                <w:rFonts w:hint="eastAsia" w:ascii="宋体" w:hAnsi="宋体" w:cs="宋体"/>
                <w:color w:val="000000"/>
                <w:sz w:val="24"/>
              </w:rPr>
              <w:t>人，正高级</w:t>
            </w:r>
            <w:r>
              <w:rPr>
                <w:rFonts w:hint="eastAsia" w:ascii="宋体" w:hAnsi="宋体" w:cs="宋体"/>
                <w:color w:val="000000"/>
                <w:sz w:val="24"/>
                <w:lang w:val="en-US" w:eastAsia="zh-CN"/>
              </w:rPr>
              <w:t>8</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市、县区教育局初评推荐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中级预计740人，高级预计760人，正高级预计6+2人。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中级</w:t>
            </w:r>
            <w:r>
              <w:rPr>
                <w:rFonts w:hint="eastAsia" w:ascii="宋体" w:hAnsi="宋体" w:cs="宋体"/>
                <w:color w:val="000000"/>
                <w:sz w:val="24"/>
                <w:lang w:val="en-US" w:eastAsia="zh-CN"/>
              </w:rPr>
              <w:t>288</w:t>
            </w:r>
            <w:r>
              <w:rPr>
                <w:rFonts w:hint="eastAsia" w:ascii="宋体" w:hAnsi="宋体" w:cs="宋体"/>
                <w:color w:val="000000"/>
                <w:sz w:val="24"/>
              </w:rPr>
              <w:t>人，高级</w:t>
            </w:r>
            <w:r>
              <w:rPr>
                <w:rFonts w:hint="eastAsia" w:ascii="宋体" w:hAnsi="宋体" w:cs="宋体"/>
                <w:color w:val="000000"/>
                <w:sz w:val="24"/>
                <w:lang w:val="en-US" w:eastAsia="zh-CN"/>
              </w:rPr>
              <w:t>9</w:t>
            </w:r>
            <w:r>
              <w:rPr>
                <w:rFonts w:hint="eastAsia" w:ascii="宋体" w:hAnsi="宋体" w:cs="宋体"/>
                <w:color w:val="000000"/>
                <w:sz w:val="24"/>
              </w:rPr>
              <w:t>60人，正高级</w:t>
            </w:r>
            <w:r>
              <w:rPr>
                <w:rFonts w:hint="eastAsia" w:ascii="宋体" w:hAnsi="宋体" w:cs="宋体"/>
                <w:color w:val="000000"/>
                <w:sz w:val="24"/>
                <w:lang w:val="en-US" w:eastAsia="zh-CN"/>
              </w:rPr>
              <w:t>8</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完成2018年广元市职称评审工作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2018年12月25日前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2018年12月25日前</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专家评审考核补助费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评审工作材料及部署费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持续健康地推动和提高全市教育整体发展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提高了教师的工作积极性，全面提升教育教学质量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提高了教师的工作积极性，全面提升教育教学质量</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管理部门</w:t>
            </w:r>
            <w:r>
              <w:rPr>
                <w:rFonts w:hint="eastAsia" w:ascii="宋体" w:hAnsi="宋体" w:cs="宋体"/>
                <w:color w:val="000000"/>
                <w:sz w:val="24"/>
                <w:lang w:eastAsia="zh-CN"/>
              </w:rPr>
              <w:t>、学校教师、家长及社会</w:t>
            </w: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92%</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本部门自行组织对“名师工程”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市级教育信息化</w:t>
      </w:r>
      <w:r>
        <w:rPr>
          <w:rFonts w:hint="eastAsia" w:ascii="仿宋_GB2312" w:hAnsi="仿宋_GB2312" w:eastAsia="仿宋_GB2312" w:cs="仿宋_GB2312"/>
          <w:sz w:val="32"/>
          <w:szCs w:val="32"/>
          <w:lang w:eastAsia="zh-CN"/>
        </w:rPr>
        <w:t>（一期）</w:t>
      </w:r>
      <w:r>
        <w:rPr>
          <w:rFonts w:hint="eastAsia" w:ascii="仿宋_GB2312" w:hAnsi="仿宋_GB2312" w:eastAsia="仿宋_GB2312" w:cs="仿宋_GB2312"/>
          <w:sz w:val="32"/>
          <w:szCs w:val="32"/>
        </w:rPr>
        <w:t>”“普通高中教育提升计划专项经费及高中质量奖”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干部人事档案数字化建设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教师职称评审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项目2018年绩效评价报告》见附件。</w:t>
      </w:r>
    </w:p>
    <w:p>
      <w:pPr>
        <w:spacing w:line="600" w:lineRule="exact"/>
        <w:ind w:firstLine="800" w:firstLineChars="250"/>
        <w:outlineLvl w:val="1"/>
        <w:rPr>
          <w:rStyle w:val="28"/>
          <w:rFonts w:ascii="黑体" w:hAnsi="黑体" w:eastAsia="黑体"/>
        </w:rPr>
      </w:pPr>
      <w:bookmarkStart w:id="62" w:name="_Toc15377221"/>
      <w:bookmarkStart w:id="63" w:name="_Toc15396612"/>
      <w:r>
        <w:rPr>
          <w:rFonts w:hint="eastAsia" w:ascii="黑体" w:hAnsi="黑体" w:eastAsia="黑体"/>
          <w:color w:val="000000"/>
          <w:sz w:val="32"/>
          <w:szCs w:val="32"/>
        </w:rPr>
        <w:t>十</w:t>
      </w:r>
      <w:r>
        <w:rPr>
          <w:rStyle w:val="28"/>
          <w:rFonts w:hint="eastAsia" w:ascii="黑体" w:hAnsi="黑体" w:eastAsia="黑体"/>
        </w:rPr>
        <w:t>一、</w:t>
      </w:r>
      <w:r>
        <w:rPr>
          <w:rStyle w:val="28"/>
          <w:rFonts w:hint="eastAsia" w:ascii="黑体" w:hAnsi="黑体" w:eastAsia="黑体"/>
          <w:b w:val="0"/>
        </w:rPr>
        <w:t>其他重要事项的情况说明</w:t>
      </w:r>
      <w:bookmarkEnd w:id="62"/>
      <w:bookmarkEnd w:id="63"/>
    </w:p>
    <w:p>
      <w:pPr>
        <w:spacing w:line="600" w:lineRule="exact"/>
        <w:ind w:firstLine="640" w:firstLineChars="200"/>
        <w:outlineLvl w:val="2"/>
        <w:rPr>
          <w:rFonts w:ascii="仿宋" w:hAnsi="仿宋" w:eastAsia="仿宋"/>
          <w:color w:val="000000"/>
          <w:sz w:val="32"/>
          <w:szCs w:val="32"/>
        </w:rPr>
      </w:pPr>
      <w:bookmarkStart w:id="64" w:name="_Toc15377222"/>
      <w:r>
        <w:rPr>
          <w:rFonts w:hint="eastAsia" w:ascii="仿宋" w:hAnsi="仿宋" w:eastAsia="仿宋"/>
          <w:b/>
          <w:color w:val="000000"/>
          <w:sz w:val="32"/>
          <w:szCs w:val="32"/>
        </w:rPr>
        <w:t>（一）机关运行经费支出情况</w:t>
      </w:r>
      <w:bookmarkEnd w:id="64"/>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市教育局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145.32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52.55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56.64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主要原因是人员增加，</w:t>
      </w:r>
      <w:r>
        <w:rPr>
          <w:rFonts w:hint="eastAsia" w:ascii="仿宋_GB2312" w:eastAsia="仿宋_GB2312"/>
          <w:color w:val="000000" w:themeColor="text1"/>
          <w:sz w:val="32"/>
          <w:szCs w:val="32"/>
          <w:lang w:eastAsia="zh-CN"/>
          <w14:textFill>
            <w14:solidFill>
              <w14:schemeClr w14:val="tx1"/>
            </w14:solidFill>
          </w14:textFill>
        </w:rPr>
        <w:t>工资</w:t>
      </w:r>
      <w:r>
        <w:rPr>
          <w:rFonts w:hint="eastAsia" w:ascii="仿宋_GB2312" w:eastAsia="仿宋_GB2312"/>
          <w:color w:val="000000" w:themeColor="text1"/>
          <w:sz w:val="32"/>
          <w:szCs w:val="32"/>
          <w14:textFill>
            <w14:solidFill>
              <w14:schemeClr w14:val="tx1"/>
            </w14:solidFill>
          </w14:textFill>
        </w:rPr>
        <w:t>调</w:t>
      </w:r>
      <w:r>
        <w:rPr>
          <w:rFonts w:hint="eastAsia" w:ascii="仿宋_GB2312" w:eastAsia="仿宋_GB2312"/>
          <w:color w:val="000000" w:themeColor="text1"/>
          <w:sz w:val="32"/>
          <w:szCs w:val="32"/>
          <w:lang w:eastAsia="zh-CN"/>
          <w14:textFill>
            <w14:solidFill>
              <w14:schemeClr w14:val="tx1"/>
            </w14:solidFill>
          </w14:textFill>
        </w:rPr>
        <w:t>标。</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65" w:name="_Toc15377223"/>
      <w:r>
        <w:rPr>
          <w:rFonts w:hint="eastAsia" w:ascii="仿宋" w:hAnsi="仿宋" w:eastAsia="仿宋"/>
          <w:b/>
          <w:color w:val="000000"/>
          <w:sz w:val="32"/>
          <w:szCs w:val="32"/>
        </w:rPr>
        <w:t>（二）政府采购支出情况</w:t>
      </w:r>
      <w:bookmarkEnd w:id="65"/>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市教育局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5609.84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255.39</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highlight w:val="none"/>
          <w:lang w:val="en-US" w:eastAsia="zh-CN"/>
        </w:rPr>
        <w:t>5354.46</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零八一中学小学部异地扩建2934.53万元、利州中专多功能综合实训基地建设2419.93万元、</w:t>
      </w:r>
      <w:r>
        <w:rPr>
          <w:rFonts w:hint="eastAsia" w:ascii="仿宋_GB2312" w:eastAsia="仿宋_GB2312"/>
          <w:color w:val="000000"/>
          <w:sz w:val="32"/>
          <w:szCs w:val="32"/>
          <w:highlight w:val="none"/>
          <w:lang w:eastAsia="zh-CN"/>
        </w:rPr>
        <w:t>教育局采购干部人事数字化电脑及设备等</w:t>
      </w:r>
      <w:r>
        <w:rPr>
          <w:rFonts w:hint="eastAsia" w:ascii="仿宋_GB2312" w:eastAsia="仿宋_GB2312"/>
          <w:color w:val="000000"/>
          <w:sz w:val="32"/>
          <w:szCs w:val="32"/>
          <w:highlight w:val="none"/>
          <w:lang w:val="en-US" w:eastAsia="zh-CN"/>
        </w:rPr>
        <w:t>4.86万元，利州中专实验室尾款2.30万元，实验小学采购办公电脑及打印设备15.62万元，教育考试中心采购办公家具等7.18万元，实验中学采购公寓床等13.36万元，广元职高采购云教室建设项目20.72万元，广元职高汽车、烹饪实训室装修39.87万元，八二一中学采购学生课桌椅及餐桌23.03万元，零八一中学采购打印设备0.35万元，树人中学采购学生公寓床及空调98.51万元，机关幼儿园采购办公电脑等1.50万元，继教办采购办公电脑及空调等2.47万元，实践基地采购办公电脑等25.62万元</w:t>
      </w:r>
      <w:r>
        <w:rPr>
          <w:rFonts w:hint="eastAsia" w:ascii="仿宋_GB2312" w:eastAsia="仿宋_GB2312"/>
          <w:color w:val="000000"/>
          <w:sz w:val="32"/>
          <w:szCs w:val="32"/>
          <w:highlight w:val="none"/>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66" w:name="_Toc15377224"/>
      <w:r>
        <w:rPr>
          <w:rFonts w:hint="eastAsia" w:ascii="仿宋" w:hAnsi="仿宋" w:eastAsia="仿宋"/>
          <w:b/>
          <w:color w:val="000000"/>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市教育局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sz w:val="32"/>
          <w:szCs w:val="32"/>
        </w:rPr>
        <w:t>教师招聘、教师遴选、引进人才、中高考巡视、送教下乡、安全后勤检查、教育教学研究、义务教育均衡发展</w:t>
      </w:r>
      <w:r>
        <w:rPr>
          <w:rFonts w:hint="eastAsia" w:ascii="仿宋_GB2312" w:eastAsia="仿宋_GB2312"/>
          <w:sz w:val="32"/>
          <w:szCs w:val="32"/>
          <w:lang w:eastAsia="zh-CN"/>
        </w:rPr>
        <w:t>督导检查</w:t>
      </w:r>
      <w:r>
        <w:rPr>
          <w:rFonts w:hint="eastAsia" w:ascii="仿宋_GB2312" w:eastAsia="仿宋_GB2312"/>
          <w:sz w:val="32"/>
          <w:szCs w:val="32"/>
        </w:rPr>
        <w:t>、教育综合体制改革、健康职业学院项目建设</w:t>
      </w:r>
      <w:r>
        <w:rPr>
          <w:rFonts w:hint="eastAsia" w:ascii="仿宋_GB2312" w:eastAsia="仿宋_GB2312"/>
          <w:color w:val="000000"/>
          <w:sz w:val="32"/>
          <w:szCs w:val="32"/>
        </w:rPr>
        <w:t>等</w:t>
      </w:r>
      <w:r>
        <w:rPr>
          <w:rFonts w:hint="eastAsia" w:ascii="仿宋_GB2312" w:eastAsia="仿宋_GB2312"/>
          <w:color w:val="000000"/>
          <w:sz w:val="32"/>
          <w:szCs w:val="32"/>
          <w:lang w:eastAsia="zh-CN"/>
        </w:rPr>
        <w:t>公务出行。</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5"/>
        </w:numPr>
        <w:spacing w:line="600" w:lineRule="exact"/>
        <w:ind w:firstLine="660" w:firstLineChars="150"/>
        <w:jc w:val="center"/>
        <w:outlineLvl w:val="0"/>
        <w:rPr>
          <w:rStyle w:val="27"/>
          <w:rFonts w:ascii="黑体" w:hAnsi="黑体" w:eastAsia="黑体"/>
          <w:b w:val="0"/>
        </w:rPr>
      </w:pPr>
      <w:bookmarkStart w:id="67" w:name="_Toc15396613"/>
      <w:bookmarkStart w:id="68" w:name="_Toc15377225"/>
      <w:r>
        <w:rPr>
          <w:rStyle w:val="27"/>
          <w:rFonts w:hint="eastAsia" w:ascii="黑体" w:hAnsi="黑体" w:eastAsia="黑体"/>
          <w:b w:val="0"/>
        </w:rPr>
        <w:t>名词解释</w:t>
      </w:r>
      <w:bookmarkEnd w:id="67"/>
      <w:bookmarkEnd w:id="68"/>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w:t>
      </w:r>
      <w:r>
        <w:rPr>
          <w:rFonts w:hint="eastAsia" w:ascii="仿宋_GB2312" w:eastAsia="仿宋_GB2312"/>
          <w:color w:val="auto"/>
          <w:sz w:val="32"/>
          <w:szCs w:val="32"/>
        </w:rPr>
        <w:t>市级机关幼儿园和树人幼儿园幼儿保教费、各中小学学生住宿费</w:t>
      </w:r>
      <w:r>
        <w:rPr>
          <w:rFonts w:hint="eastAsia" w:ascii="仿宋_GB2312" w:eastAsia="仿宋_GB2312"/>
          <w:sz w:val="32"/>
          <w:szCs w:val="32"/>
        </w:rPr>
        <w:t>等。</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color w:val="auto"/>
          <w:sz w:val="32"/>
          <w:szCs w:val="32"/>
        </w:rPr>
        <w:t>银行存款利息</w:t>
      </w:r>
      <w:r>
        <w:rPr>
          <w:rFonts w:hint="eastAsia" w:ascii="仿宋_GB2312" w:eastAsia="仿宋_GB2312"/>
          <w:sz w:val="32"/>
          <w:szCs w:val="32"/>
        </w:rPr>
        <w:t>等。</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sz w:val="32"/>
          <w:szCs w:val="32"/>
        </w:rPr>
        <w:t>年末结转和结余：指单位按有关规定结转到下年或以后年度继续使用的资金。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教育支出：反映政府教育事务支出。</w:t>
      </w:r>
    </w:p>
    <w:tbl>
      <w:tblPr>
        <w:tblStyle w:val="14"/>
        <w:tblW w:w="9352" w:type="dxa"/>
        <w:jc w:val="center"/>
        <w:tblInd w:w="-2" w:type="dxa"/>
        <w:tblLayout w:type="fixed"/>
        <w:tblCellMar>
          <w:top w:w="0" w:type="dxa"/>
          <w:left w:w="28" w:type="dxa"/>
          <w:bottom w:w="0" w:type="dxa"/>
          <w:right w:w="28" w:type="dxa"/>
        </w:tblCellMar>
      </w:tblPr>
      <w:tblGrid>
        <w:gridCol w:w="1037"/>
        <w:gridCol w:w="1641"/>
        <w:gridCol w:w="6674"/>
      </w:tblGrid>
      <w:tr>
        <w:tblPrEx>
          <w:tblLayout w:type="fixed"/>
          <w:tblCellMar>
            <w:top w:w="0" w:type="dxa"/>
            <w:left w:w="28" w:type="dxa"/>
            <w:bottom w:w="0" w:type="dxa"/>
            <w:right w:w="28" w:type="dxa"/>
          </w:tblCellMar>
        </w:tblPrEx>
        <w:trPr>
          <w:trHeight w:val="38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20501</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教育管理事务</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反映教育管理方面的支出。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2050101</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反映行政单位（包括实行公务员管理的事业单位）的基本支出。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2050199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其他教育管理事务支出</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反映除上述项目以外其他用于教育管理事务方面的支出。</w:t>
            </w:r>
          </w:p>
        </w:tc>
      </w:tr>
      <w:tr>
        <w:tblPrEx>
          <w:tblLayout w:type="fixed"/>
          <w:tblCellMar>
            <w:top w:w="0" w:type="dxa"/>
            <w:left w:w="28" w:type="dxa"/>
            <w:bottom w:w="0" w:type="dxa"/>
            <w:right w:w="28" w:type="dxa"/>
          </w:tblCellMar>
        </w:tblPrEx>
        <w:trPr>
          <w:trHeight w:val="329"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20502</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普通教育</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w:t>
            </w:r>
            <w:r>
              <w:rPr>
                <w:rFonts w:hint="eastAsia" w:ascii="宋体" w:hAnsi="宋体" w:cs="Arial"/>
                <w:color w:val="000000"/>
                <w:kern w:val="0"/>
                <w:sz w:val="18"/>
                <w:szCs w:val="18"/>
                <w:lang w:eastAsia="zh-CN"/>
              </w:rPr>
              <w:t>各类</w:t>
            </w:r>
            <w:r>
              <w:rPr>
                <w:rFonts w:hint="eastAsia" w:ascii="宋体" w:hAnsi="宋体" w:cs="Arial"/>
                <w:color w:val="000000"/>
                <w:kern w:val="0"/>
                <w:sz w:val="18"/>
                <w:szCs w:val="18"/>
              </w:rPr>
              <w:t>普</w:t>
            </w:r>
            <w:r>
              <w:rPr>
                <w:rFonts w:hint="eastAsia" w:ascii="宋体" w:hAnsi="宋体" w:cs="Arial"/>
                <w:color w:val="000000"/>
                <w:kern w:val="0"/>
                <w:sz w:val="18"/>
                <w:szCs w:val="18"/>
                <w:lang w:eastAsia="zh-CN"/>
              </w:rPr>
              <w:t>通</w:t>
            </w:r>
            <w:r>
              <w:rPr>
                <w:rFonts w:hint="eastAsia" w:ascii="宋体" w:hAnsi="宋体" w:cs="Arial"/>
                <w:color w:val="000000"/>
                <w:kern w:val="0"/>
                <w:sz w:val="18"/>
                <w:szCs w:val="18"/>
              </w:rPr>
              <w:t>教育支出。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2050201</w:t>
            </w: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学前教育</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反映各部门举办的学前教育支出。</w:t>
            </w:r>
          </w:p>
        </w:tc>
      </w:tr>
      <w:tr>
        <w:tblPrEx>
          <w:tblLayout w:type="fixed"/>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2050202</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小学教育</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反映各部门举办的小学教育支出。政府各部门对社会中介组织等举办的小学资助，如各类捐赠、补贴等，也在本科目中反映。</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2050203</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初中教育</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反映各部门举办的初中教育支出。政府各部门对社会中介组织等举办的初中教育的资助，如捐赠、补贴等，也在本科目中反映。</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2050204</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高中教育</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ascii="宋体" w:hAnsi="宋体" w:cs="Arial"/>
                <w:color w:val="000000"/>
                <w:kern w:val="0"/>
                <w:sz w:val="18"/>
                <w:szCs w:val="18"/>
              </w:rPr>
            </w:pPr>
            <w:r>
              <w:rPr>
                <w:rFonts w:hint="eastAsia" w:ascii="宋体" w:hAnsi="宋体" w:cs="Arial"/>
                <w:color w:val="000000"/>
                <w:kern w:val="0"/>
                <w:sz w:val="18"/>
                <w:szCs w:val="18"/>
              </w:rPr>
              <w:t>反映各部门举办的高级中学教育支出。政府各部门对社会中介组织等举办的高级中学的资助，如捐赠、补贴等，也在本科目中反映。</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2050299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其他普通教育支出</w:t>
            </w:r>
          </w:p>
        </w:tc>
        <w:tc>
          <w:tcPr>
            <w:tcW w:w="6674" w:type="dxa"/>
            <w:tcBorders>
              <w:top w:val="nil"/>
              <w:left w:val="nil"/>
              <w:bottom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反映除上述项目以外其他用于普通教育方面的支出，</w:t>
            </w:r>
          </w:p>
        </w:tc>
      </w:tr>
      <w:tr>
        <w:tblPrEx>
          <w:tblLayout w:type="fixed"/>
          <w:tblCellMar>
            <w:top w:w="0" w:type="dxa"/>
            <w:left w:w="28" w:type="dxa"/>
            <w:bottom w:w="0" w:type="dxa"/>
            <w:right w:w="28" w:type="dxa"/>
          </w:tblCellMar>
        </w:tblPrEx>
        <w:trPr>
          <w:trHeight w:val="399"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20503</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职业教育</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反映各部门举办的各类职业教育支出。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2050302</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中专教育</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反映各部门举办的各类中等专业学校的支出。</w:t>
            </w:r>
          </w:p>
        </w:tc>
      </w:tr>
      <w:tr>
        <w:tblPrEx>
          <w:tblLayout w:type="fixed"/>
        </w:tblPrEx>
        <w:trPr>
          <w:trHeight w:val="581"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2050304</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职业高中教育</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反映各部门举办的职业中学、农业中学（含普通高中改制的）、半工（农）半读中学的支出或补助费。</w:t>
            </w:r>
          </w:p>
        </w:tc>
      </w:tr>
      <w:tr>
        <w:tblPrEx>
          <w:tblLayout w:type="fixed"/>
          <w:tblCellMar>
            <w:top w:w="0" w:type="dxa"/>
            <w:left w:w="28" w:type="dxa"/>
            <w:bottom w:w="0" w:type="dxa"/>
            <w:right w:w="28" w:type="dxa"/>
          </w:tblCellMar>
        </w:tblPrEx>
        <w:trPr>
          <w:trHeight w:val="386"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2050399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其他职业教育支出</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反映除上述项目以外其他用于职业教育方面的支出。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教育费附加安排的支</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反映教育费附加安排的支出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2050904</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城市中小学教学设施</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反映教育费附加安排用于改善城市中小学教学设施和办学条件的支出。</w:t>
            </w:r>
          </w:p>
        </w:tc>
      </w:tr>
      <w:tr>
        <w:tblPrEx>
          <w:tblLayout w:type="fixed"/>
          <w:tblCellMar>
            <w:top w:w="0" w:type="dxa"/>
            <w:left w:w="28" w:type="dxa"/>
            <w:bottom w:w="0" w:type="dxa"/>
            <w:right w:w="28" w:type="dxa"/>
          </w:tblCellMar>
        </w:tblPrEx>
        <w:trPr>
          <w:trHeight w:val="27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2050999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其他教育费附加安排的支出</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反映除上述项目以外的教育费附加支出。</w:t>
            </w:r>
          </w:p>
        </w:tc>
      </w:tr>
      <w:tr>
        <w:tblPrEx>
          <w:tblLayout w:type="fixed"/>
          <w:tblCellMar>
            <w:top w:w="0" w:type="dxa"/>
            <w:left w:w="28" w:type="dxa"/>
            <w:bottom w:w="0" w:type="dxa"/>
            <w:right w:w="28" w:type="dxa"/>
          </w:tblCellMar>
        </w:tblPrEx>
        <w:trPr>
          <w:trHeight w:val="414"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20599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其他教育支出</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反映除上述项目以外其他用于教育方面的支出。</w:t>
            </w:r>
          </w:p>
        </w:tc>
      </w:tr>
      <w:tr>
        <w:tblPrEx>
          <w:tblLayout w:type="fixed"/>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2059999</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其他教育支出</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反映除上述项目以外其他用于教育方面的支出。</w:t>
            </w:r>
          </w:p>
        </w:tc>
      </w:tr>
    </w:tbl>
    <w:p>
      <w:pPr>
        <w:ind w:firstLine="640" w:firstLineChars="200"/>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lang w:eastAsia="zh-CN"/>
        </w:rPr>
        <w:t>科学技术</w:t>
      </w:r>
      <w:r>
        <w:rPr>
          <w:rFonts w:hint="eastAsia" w:ascii="仿宋_GB2312" w:eastAsia="仿宋_GB2312"/>
          <w:sz w:val="32"/>
          <w:szCs w:val="32"/>
        </w:rPr>
        <w:t>支出：</w:t>
      </w:r>
      <w:r>
        <w:rPr>
          <w:rFonts w:hint="eastAsia" w:ascii="仿宋_GB2312" w:eastAsia="仿宋_GB2312"/>
          <w:sz w:val="32"/>
          <w:szCs w:val="32"/>
          <w:lang w:eastAsia="zh-CN"/>
        </w:rPr>
        <w:t>反映科学技术方面的支出</w:t>
      </w:r>
      <w:r>
        <w:rPr>
          <w:rFonts w:hint="eastAsia" w:ascii="仿宋_GB2312" w:eastAsia="仿宋_GB2312"/>
          <w:sz w:val="32"/>
          <w:szCs w:val="32"/>
        </w:rPr>
        <w:t>。</w:t>
      </w:r>
    </w:p>
    <w:tbl>
      <w:tblPr>
        <w:tblStyle w:val="14"/>
        <w:tblW w:w="9352" w:type="dxa"/>
        <w:jc w:val="center"/>
        <w:tblInd w:w="-2" w:type="dxa"/>
        <w:tblLayout w:type="fixed"/>
        <w:tblCellMar>
          <w:top w:w="0" w:type="dxa"/>
          <w:left w:w="28" w:type="dxa"/>
          <w:bottom w:w="0" w:type="dxa"/>
          <w:right w:w="28" w:type="dxa"/>
        </w:tblCellMar>
      </w:tblPr>
      <w:tblGrid>
        <w:gridCol w:w="1037"/>
        <w:gridCol w:w="1641"/>
        <w:gridCol w:w="6674"/>
      </w:tblGrid>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206</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科学技术支出</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反映科学技术方面的支出。</w:t>
            </w:r>
          </w:p>
        </w:tc>
      </w:tr>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20607</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科学技术普及</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反映科学技术普及方面的支出。</w:t>
            </w:r>
          </w:p>
        </w:tc>
      </w:tr>
      <w:tr>
        <w:tblPrEx>
          <w:tblLayout w:type="fixed"/>
          <w:tblCellMar>
            <w:top w:w="0" w:type="dxa"/>
            <w:left w:w="28" w:type="dxa"/>
            <w:bottom w:w="0" w:type="dxa"/>
            <w:right w:w="28" w:type="dxa"/>
          </w:tblCellMar>
        </w:tblPrEx>
        <w:trPr>
          <w:trHeight w:val="410"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2060702</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科普活动</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反映用于开展科普活动的支出。</w:t>
            </w:r>
          </w:p>
        </w:tc>
      </w:tr>
    </w:tbl>
    <w:p>
      <w:pPr>
        <w:ind w:firstLine="640" w:firstLineChars="200"/>
        <w:rPr>
          <w:rFonts w:hint="eastAsia" w:eastAsia="宋体"/>
          <w:lang w:eastAsia="zh-CN"/>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lang w:eastAsia="zh-CN"/>
        </w:rPr>
        <w:t>社会保障和就业支出：反映政府在社保保障与就业方面的支出</w:t>
      </w:r>
      <w:r>
        <w:rPr>
          <w:rFonts w:hint="eastAsia" w:ascii="宋体" w:hAnsi="宋体" w:cs="Arial"/>
          <w:color w:val="000000"/>
          <w:kern w:val="0"/>
          <w:sz w:val="18"/>
          <w:szCs w:val="18"/>
          <w:lang w:eastAsia="zh-CN"/>
        </w:rPr>
        <w:t>。</w:t>
      </w:r>
    </w:p>
    <w:tbl>
      <w:tblPr>
        <w:tblStyle w:val="14"/>
        <w:tblW w:w="9352" w:type="dxa"/>
        <w:jc w:val="center"/>
        <w:tblInd w:w="-2" w:type="dxa"/>
        <w:tblLayout w:type="fixed"/>
        <w:tblCellMar>
          <w:top w:w="0" w:type="dxa"/>
          <w:left w:w="28" w:type="dxa"/>
          <w:bottom w:w="0" w:type="dxa"/>
          <w:right w:w="28" w:type="dxa"/>
        </w:tblCellMar>
      </w:tblPr>
      <w:tblGrid>
        <w:gridCol w:w="1037"/>
        <w:gridCol w:w="1641"/>
        <w:gridCol w:w="6674"/>
      </w:tblGrid>
      <w:tr>
        <w:tblPrEx>
          <w:tblLayout w:type="fixed"/>
          <w:tblCellMar>
            <w:top w:w="0" w:type="dxa"/>
            <w:left w:w="28" w:type="dxa"/>
            <w:bottom w:w="0" w:type="dxa"/>
            <w:right w:w="28" w:type="dxa"/>
          </w:tblCellMar>
        </w:tblPrEx>
        <w:trPr>
          <w:trHeight w:val="380"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208</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反映政府在社保保障与就业方面的支出。</w:t>
            </w:r>
          </w:p>
        </w:tc>
      </w:tr>
      <w:tr>
        <w:tblPrEx>
          <w:tblLayout w:type="fixed"/>
          <w:tblCellMar>
            <w:top w:w="0" w:type="dxa"/>
            <w:left w:w="28" w:type="dxa"/>
            <w:bottom w:w="0" w:type="dxa"/>
            <w:right w:w="28" w:type="dxa"/>
          </w:tblCellMar>
        </w:tblPrEx>
        <w:trPr>
          <w:trHeight w:val="381"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20805</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反映用于行政事业单位离退休方面的支出。</w:t>
            </w:r>
          </w:p>
        </w:tc>
      </w:tr>
      <w:tr>
        <w:tblPrEx>
          <w:tblLayout w:type="fixed"/>
          <w:tblCellMar>
            <w:top w:w="0" w:type="dxa"/>
            <w:left w:w="28" w:type="dxa"/>
            <w:bottom w:w="0" w:type="dxa"/>
            <w:right w:w="28" w:type="dxa"/>
          </w:tblCellMar>
        </w:tblPrEx>
        <w:trPr>
          <w:trHeight w:val="380"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2080505</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机关事业单位基本养老保险缴费支出</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反映机关事业单位实施养老保险制度由单位缴纳的基本养老保险费支出。</w:t>
            </w:r>
          </w:p>
        </w:tc>
      </w:tr>
      <w:tr>
        <w:tblPrEx>
          <w:tblLayout w:type="fixed"/>
          <w:tblCellMar>
            <w:top w:w="0" w:type="dxa"/>
            <w:left w:w="28" w:type="dxa"/>
            <w:bottom w:w="0" w:type="dxa"/>
            <w:right w:w="28" w:type="dxa"/>
          </w:tblCellMar>
        </w:tblPrEx>
        <w:trPr>
          <w:trHeight w:val="35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20808</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抚恤</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反映用于各类优抚对象和优抚事业单位的支出。</w:t>
            </w:r>
          </w:p>
        </w:tc>
      </w:tr>
      <w:tr>
        <w:tblPrEx>
          <w:tblLayout w:type="fixed"/>
          <w:tblCellMar>
            <w:top w:w="0" w:type="dxa"/>
            <w:left w:w="28" w:type="dxa"/>
            <w:bottom w:w="0" w:type="dxa"/>
            <w:right w:w="28" w:type="dxa"/>
          </w:tblCellMar>
        </w:tblPrEx>
        <w:trPr>
          <w:trHeight w:val="356"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2080801</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死亡抚恤</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反映按规定用于烈士和牺牲、病故人员家属的一次性和定期抚恤金以及丧葬补助费。</w:t>
            </w:r>
          </w:p>
        </w:tc>
      </w:tr>
    </w:tbl>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lang w:eastAsia="zh-CN"/>
        </w:rPr>
        <w:t>医疗卫生与计划生育支出：反映政府医疗卫生与计划生育管理方面的支出。</w:t>
      </w:r>
    </w:p>
    <w:tbl>
      <w:tblPr>
        <w:tblStyle w:val="14"/>
        <w:tblW w:w="9352" w:type="dxa"/>
        <w:jc w:val="center"/>
        <w:tblInd w:w="-2" w:type="dxa"/>
        <w:tblLayout w:type="fixed"/>
        <w:tblCellMar>
          <w:top w:w="0" w:type="dxa"/>
          <w:left w:w="28" w:type="dxa"/>
          <w:bottom w:w="0" w:type="dxa"/>
          <w:right w:w="28" w:type="dxa"/>
        </w:tblCellMar>
      </w:tblPr>
      <w:tblGrid>
        <w:gridCol w:w="1037"/>
        <w:gridCol w:w="1641"/>
        <w:gridCol w:w="6674"/>
      </w:tblGrid>
      <w:tr>
        <w:tblPrEx>
          <w:tblLayout w:type="fixed"/>
          <w:tblCellMar>
            <w:top w:w="0" w:type="dxa"/>
            <w:left w:w="28" w:type="dxa"/>
            <w:bottom w:w="0" w:type="dxa"/>
            <w:right w:w="28" w:type="dxa"/>
          </w:tblCellMar>
        </w:tblPrEx>
        <w:trPr>
          <w:trHeight w:val="22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210</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医疗卫生与计划生育支出</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反映政府医疗卫生与计划生育管理方面的支出</w:t>
            </w:r>
          </w:p>
        </w:tc>
      </w:tr>
      <w:tr>
        <w:tblPrEx>
          <w:tblLayout w:type="fixed"/>
          <w:tblCellMar>
            <w:top w:w="0" w:type="dxa"/>
            <w:left w:w="28" w:type="dxa"/>
            <w:bottom w:w="0" w:type="dxa"/>
            <w:right w:w="28" w:type="dxa"/>
          </w:tblCellMar>
        </w:tblPrEx>
        <w:trPr>
          <w:trHeight w:val="35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21011</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反映行政单位（包括实行公务员管理的事业单位）的基本支出。</w:t>
            </w:r>
          </w:p>
        </w:tc>
      </w:tr>
      <w:tr>
        <w:tblPrEx>
          <w:tblLayout w:type="fixed"/>
          <w:tblCellMar>
            <w:top w:w="0" w:type="dxa"/>
            <w:left w:w="28" w:type="dxa"/>
            <w:bottom w:w="0" w:type="dxa"/>
            <w:right w:w="28" w:type="dxa"/>
          </w:tblCellMar>
        </w:tblPrEx>
        <w:trPr>
          <w:trHeight w:val="35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2101101</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反映财政部门集中安排的行政单位基本医疗保险缴费经费，未参加医疗保险的行政单位的公费医疗经费，按国家规定享受离退休人员、红军老战士待遇人员的医疗经费。</w:t>
            </w:r>
          </w:p>
        </w:tc>
      </w:tr>
      <w:tr>
        <w:tblPrEx>
          <w:tblLayout w:type="fixed"/>
          <w:tblCellMar>
            <w:top w:w="0" w:type="dxa"/>
            <w:left w:w="28" w:type="dxa"/>
            <w:bottom w:w="0" w:type="dxa"/>
            <w:right w:w="28" w:type="dxa"/>
          </w:tblCellMar>
        </w:tblPrEx>
        <w:trPr>
          <w:trHeight w:val="356"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2101102</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反映财政部门集中安排的事业单位基本医疗保险缴费经费，未参加医疗保险的事业单位的公费医疗经费，按国家规定享受离休人员待遇的医疗经费。</w:t>
            </w:r>
          </w:p>
        </w:tc>
      </w:tr>
    </w:tbl>
    <w:p>
      <w:pPr>
        <w:ind w:firstLine="640" w:firstLineChars="200"/>
        <w:rPr>
          <w:rFonts w:hint="eastAsia" w:eastAsia="宋体"/>
          <w:lang w:val="en-US" w:eastAsia="zh-CN"/>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lang w:eastAsia="zh-CN"/>
        </w:rPr>
        <w:t>住房保障支出：集中反映政府用于住房方面的支出。</w:t>
      </w:r>
    </w:p>
    <w:tbl>
      <w:tblPr>
        <w:tblStyle w:val="14"/>
        <w:tblW w:w="9352" w:type="dxa"/>
        <w:jc w:val="center"/>
        <w:tblInd w:w="-2" w:type="dxa"/>
        <w:tblLayout w:type="fixed"/>
        <w:tblCellMar>
          <w:top w:w="0" w:type="dxa"/>
          <w:left w:w="28" w:type="dxa"/>
          <w:bottom w:w="0" w:type="dxa"/>
          <w:right w:w="28" w:type="dxa"/>
        </w:tblCellMar>
      </w:tblPr>
      <w:tblGrid>
        <w:gridCol w:w="1037"/>
        <w:gridCol w:w="1641"/>
        <w:gridCol w:w="6674"/>
      </w:tblGrid>
      <w:tr>
        <w:tblPrEx>
          <w:tblLayout w:type="fixed"/>
          <w:tblCellMar>
            <w:top w:w="0" w:type="dxa"/>
            <w:left w:w="28" w:type="dxa"/>
            <w:bottom w:w="0" w:type="dxa"/>
            <w:right w:w="28" w:type="dxa"/>
          </w:tblCellMar>
        </w:tblPrEx>
        <w:trPr>
          <w:trHeight w:val="35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221</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6674" w:type="dxa"/>
            <w:tcBorders>
              <w:top w:val="single" w:color="auto" w:sz="4" w:space="0"/>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集中反映政府用于住房方面的支出。</w:t>
            </w:r>
          </w:p>
        </w:tc>
      </w:tr>
      <w:tr>
        <w:tblPrEx>
          <w:tblLayout w:type="fixed"/>
          <w:tblCellMar>
            <w:top w:w="0" w:type="dxa"/>
            <w:left w:w="28" w:type="dxa"/>
            <w:bottom w:w="0" w:type="dxa"/>
            <w:right w:w="28" w:type="dxa"/>
          </w:tblCellMar>
        </w:tblPrEx>
        <w:trPr>
          <w:trHeight w:val="355"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22102</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反映行政事业单位用财政拨款资金和其他资金等安排的住房改革支出。</w:t>
            </w:r>
          </w:p>
        </w:tc>
      </w:tr>
      <w:tr>
        <w:tblPrEx>
          <w:tblLayout w:type="fixed"/>
          <w:tblCellMar>
            <w:top w:w="0" w:type="dxa"/>
            <w:left w:w="28" w:type="dxa"/>
            <w:bottom w:w="0" w:type="dxa"/>
            <w:right w:w="28" w:type="dxa"/>
          </w:tblCellMar>
        </w:tblPrEx>
        <w:trPr>
          <w:trHeight w:val="356"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宋体" w:hAnsi="宋体" w:cs="宋体"/>
                <w:sz w:val="24"/>
              </w:rPr>
            </w:pPr>
            <w:r>
              <w:rPr>
                <w:rFonts w:hint="eastAsia"/>
              </w:rPr>
              <w:t>2210201</w:t>
            </w:r>
          </w:p>
        </w:tc>
        <w:tc>
          <w:tcPr>
            <w:tcW w:w="16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6674" w:type="dxa"/>
            <w:tcBorders>
              <w:top w:val="nil"/>
              <w:left w:val="nil"/>
              <w:bottom w:val="single" w:color="auto" w:sz="4" w:space="0"/>
              <w:right w:val="single" w:color="auto" w:sz="4" w:space="0"/>
            </w:tcBorders>
            <w:shd w:val="clear" w:color="auto" w:fill="auto"/>
            <w:noWrap/>
            <w:vAlign w:val="top"/>
          </w:tcPr>
          <w:p>
            <w:pPr>
              <w:adjustRightInd w:val="0"/>
              <w:snapToGrid w:val="0"/>
              <w:rPr>
                <w:rFonts w:hint="eastAsia" w:ascii="宋体" w:hAnsi="宋体" w:cs="Arial"/>
                <w:color w:val="000000"/>
                <w:kern w:val="0"/>
                <w:sz w:val="18"/>
                <w:szCs w:val="18"/>
              </w:rPr>
            </w:pPr>
            <w:r>
              <w:rPr>
                <w:rFonts w:hint="eastAsia" w:ascii="宋体" w:hAnsi="宋体" w:cs="Arial"/>
                <w:color w:val="000000"/>
                <w:kern w:val="0"/>
                <w:sz w:val="18"/>
                <w:szCs w:val="18"/>
              </w:rPr>
              <w:t>反映行政事业单位按人力资源和社会保障部、财政部规定的基本工资和津贴补贴以及规定比例为职工缴纳的住房公积金。</w:t>
            </w:r>
          </w:p>
        </w:tc>
      </w:tr>
    </w:tbl>
    <w:p>
      <w:pPr>
        <w:rPr>
          <w:rFonts w:hint="eastAsia" w:ascii="仿宋_GB2312" w:eastAsia="仿宋_GB2312"/>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b/>
          <w:color w:val="000000"/>
          <w:sz w:val="32"/>
          <w:szCs w:val="32"/>
        </w:rPr>
      </w:pPr>
      <w:bookmarkStart w:id="69" w:name="_Toc15396614"/>
      <w:bookmarkStart w:id="70" w:name="_Toc15377226"/>
    </w:p>
    <w:p>
      <w:pPr>
        <w:ind w:firstLine="640" w:firstLineChars="200"/>
        <w:rPr>
          <w:rFonts w:ascii="仿宋" w:hAnsi="仿宋" w:eastAsia="仿宋"/>
          <w:b/>
          <w:color w:val="000000"/>
          <w:sz w:val="32"/>
          <w:szCs w:val="32"/>
        </w:rPr>
      </w:pPr>
    </w:p>
    <w:p>
      <w:pPr>
        <w:ind w:firstLine="640" w:firstLineChars="200"/>
        <w:rPr>
          <w:rFonts w:ascii="仿宋" w:hAnsi="仿宋" w:eastAsia="仿宋"/>
          <w:b/>
          <w:color w:val="000000"/>
          <w:sz w:val="32"/>
          <w:szCs w:val="32"/>
        </w:rPr>
      </w:pPr>
    </w:p>
    <w:p>
      <w:pPr>
        <w:ind w:firstLine="640" w:firstLineChars="200"/>
        <w:rPr>
          <w:rFonts w:ascii="仿宋" w:hAnsi="仿宋" w:eastAsia="仿宋"/>
          <w:b/>
          <w:color w:val="000000"/>
          <w:sz w:val="32"/>
          <w:szCs w:val="32"/>
        </w:rPr>
      </w:pPr>
    </w:p>
    <w:p>
      <w:pPr>
        <w:ind w:firstLine="640" w:firstLineChars="200"/>
        <w:rPr>
          <w:rFonts w:ascii="仿宋" w:hAnsi="仿宋" w:eastAsia="仿宋"/>
          <w:b/>
          <w:color w:val="000000"/>
          <w:sz w:val="32"/>
          <w:szCs w:val="32"/>
        </w:rPr>
      </w:pPr>
    </w:p>
    <w:p>
      <w:pPr>
        <w:ind w:firstLine="880" w:firstLineChars="200"/>
        <w:jc w:val="center"/>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四部分 附件</w:t>
      </w:r>
      <w:bookmarkEnd w:id="69"/>
    </w:p>
    <w:p>
      <w:pPr>
        <w:spacing w:line="600" w:lineRule="exact"/>
        <w:jc w:val="center"/>
        <w:outlineLvl w:val="0"/>
        <w:rPr>
          <w:rStyle w:val="27"/>
        </w:rPr>
      </w:pPr>
    </w:p>
    <w:p>
      <w:pPr>
        <w:pStyle w:val="3"/>
        <w:rPr>
          <w:rStyle w:val="27"/>
          <w:rFonts w:ascii="仿宋" w:hAnsi="仿宋" w:eastAsia="仿宋"/>
          <w:b w:val="0"/>
          <w:bCs w:val="0"/>
          <w:sz w:val="32"/>
          <w:szCs w:val="32"/>
        </w:rPr>
      </w:pPr>
      <w:bookmarkStart w:id="71" w:name="_Toc15396615"/>
      <w:r>
        <w:rPr>
          <w:rStyle w:val="27"/>
          <w:rFonts w:hint="eastAsia" w:ascii="仿宋" w:hAnsi="仿宋" w:eastAsia="仿宋"/>
          <w:b w:val="0"/>
          <w:bCs w:val="0"/>
          <w:sz w:val="32"/>
          <w:szCs w:val="32"/>
        </w:rPr>
        <w:t>附件1</w:t>
      </w:r>
      <w:bookmarkEnd w:id="71"/>
    </w:p>
    <w:p>
      <w:pPr>
        <w:spacing w:line="600" w:lineRule="exact"/>
        <w:jc w:val="center"/>
        <w:outlineLvl w:val="0"/>
        <w:rPr>
          <w:rFonts w:ascii="黑体" w:hAnsi="黑体" w:eastAsia="黑体" w:cs="方正小标宋简体"/>
          <w:sz w:val="36"/>
          <w:szCs w:val="36"/>
        </w:rPr>
      </w:pPr>
      <w:bookmarkStart w:id="72" w:name="_Toc15396616"/>
      <w:r>
        <w:rPr>
          <w:rFonts w:hint="eastAsia" w:ascii="黑体" w:hAnsi="黑体" w:eastAsia="黑体" w:cs="方正小标宋简体"/>
          <w:sz w:val="36"/>
          <w:szCs w:val="36"/>
          <w:lang w:eastAsia="zh-CN"/>
        </w:rPr>
        <w:t>广元市教育局</w:t>
      </w:r>
      <w:r>
        <w:rPr>
          <w:rFonts w:hint="eastAsia" w:ascii="黑体" w:hAnsi="黑体" w:eastAsia="黑体" w:cs="方正小标宋简体"/>
          <w:sz w:val="36"/>
          <w:szCs w:val="36"/>
        </w:rPr>
        <w:t>2018年部门整体支出绩效评价报告</w:t>
      </w:r>
      <w:bookmarkEnd w:id="72"/>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adjustRightInd w:val="0"/>
        <w:snapToGrid w:val="0"/>
        <w:spacing w:beforeLines="0" w:line="610" w:lineRule="exact"/>
        <w:ind w:firstLine="640" w:firstLineChars="200"/>
        <w:rPr>
          <w:sz w:val="32"/>
          <w:szCs w:val="32"/>
        </w:rPr>
      </w:pPr>
      <w:r>
        <w:rPr>
          <w:rFonts w:hint="eastAsia"/>
          <w:sz w:val="32"/>
          <w:szCs w:val="32"/>
        </w:rPr>
        <w:t>市教育局下属二级单位</w:t>
      </w:r>
      <w:r>
        <w:rPr>
          <w:rFonts w:hint="eastAsia"/>
          <w:sz w:val="32"/>
          <w:szCs w:val="32"/>
          <w:lang w:eastAsia="zh-CN"/>
        </w:rPr>
        <w:t>1</w:t>
      </w:r>
      <w:r>
        <w:rPr>
          <w:rFonts w:hint="eastAsia"/>
          <w:sz w:val="32"/>
          <w:szCs w:val="32"/>
          <w:lang w:val="en-US" w:eastAsia="zh-CN"/>
        </w:rPr>
        <w:t>8</w:t>
      </w:r>
      <w:r>
        <w:rPr>
          <w:rFonts w:hint="eastAsia"/>
          <w:sz w:val="32"/>
          <w:szCs w:val="32"/>
        </w:rPr>
        <w:t>个，其中其他事业单位</w:t>
      </w:r>
      <w:r>
        <w:rPr>
          <w:rFonts w:hint="eastAsia"/>
          <w:sz w:val="32"/>
          <w:szCs w:val="32"/>
          <w:lang w:eastAsia="zh-CN"/>
        </w:rPr>
        <w:t>1</w:t>
      </w:r>
      <w:r>
        <w:rPr>
          <w:rFonts w:hint="eastAsia"/>
          <w:sz w:val="32"/>
          <w:szCs w:val="32"/>
          <w:lang w:val="en-US" w:eastAsia="zh-CN"/>
        </w:rPr>
        <w:t>8</w:t>
      </w:r>
      <w:r>
        <w:rPr>
          <w:rFonts w:hint="eastAsia"/>
          <w:sz w:val="32"/>
          <w:szCs w:val="32"/>
        </w:rPr>
        <w:t>个，无行政单位和参照公务员法管理的事业单位。</w:t>
      </w:r>
    </w:p>
    <w:p>
      <w:pPr>
        <w:pStyle w:val="5"/>
        <w:adjustRightInd w:val="0"/>
        <w:snapToGrid w:val="0"/>
        <w:spacing w:beforeLines="0" w:line="610" w:lineRule="exact"/>
        <w:ind w:firstLine="640" w:firstLineChars="200"/>
        <w:rPr>
          <w:rFonts w:hint="eastAsia"/>
          <w:sz w:val="32"/>
          <w:szCs w:val="32"/>
          <w:lang w:val="en-US" w:eastAsia="zh-CN"/>
        </w:rPr>
      </w:pPr>
      <w:r>
        <w:rPr>
          <w:rFonts w:hint="eastAsia"/>
          <w:sz w:val="32"/>
          <w:szCs w:val="32"/>
        </w:rPr>
        <w:t>纳入</w:t>
      </w:r>
      <w:r>
        <w:rPr>
          <w:rFonts w:hint="eastAsia"/>
          <w:sz w:val="32"/>
          <w:szCs w:val="32"/>
          <w:lang w:eastAsia="zh-CN"/>
        </w:rPr>
        <w:t>市教育局</w:t>
      </w:r>
      <w:r>
        <w:rPr>
          <w:rFonts w:hint="eastAsia"/>
          <w:sz w:val="32"/>
          <w:szCs w:val="32"/>
        </w:rPr>
        <w:t>2018年度部门决算编制范围的二级预算单位包括：</w:t>
      </w:r>
      <w:r>
        <w:rPr>
          <w:rFonts w:hint="eastAsia"/>
          <w:sz w:val="32"/>
          <w:szCs w:val="32"/>
          <w:lang w:eastAsia="zh-CN"/>
        </w:rPr>
        <w:t>广元中学、</w:t>
      </w:r>
      <w:r>
        <w:rPr>
          <w:rFonts w:hint="eastAsia"/>
          <w:sz w:val="32"/>
          <w:szCs w:val="32"/>
        </w:rPr>
        <w:t>广元市外国语学校</w:t>
      </w:r>
      <w:r>
        <w:rPr>
          <w:rFonts w:hint="eastAsia"/>
          <w:sz w:val="32"/>
          <w:szCs w:val="32"/>
          <w:lang w:eastAsia="zh-CN"/>
        </w:rPr>
        <w:t>、</w:t>
      </w:r>
      <w:r>
        <w:rPr>
          <w:rFonts w:hint="eastAsia"/>
          <w:sz w:val="32"/>
          <w:szCs w:val="32"/>
        </w:rPr>
        <w:t>广元市职业高级中学校</w:t>
      </w:r>
      <w:r>
        <w:rPr>
          <w:rFonts w:hint="eastAsia"/>
          <w:sz w:val="32"/>
          <w:szCs w:val="32"/>
          <w:lang w:eastAsia="zh-CN"/>
        </w:rPr>
        <w:t>、</w:t>
      </w:r>
      <w:r>
        <w:rPr>
          <w:rFonts w:hint="eastAsia"/>
          <w:sz w:val="32"/>
          <w:szCs w:val="32"/>
          <w:lang w:val="en-US" w:eastAsia="zh-CN"/>
        </w:rPr>
        <w:t>广元市利州中等专业学校、广元市实验中学、广元市八二一中学、广元市零八一中学、广元市利州中学、广元市树人中学、广元市实验小学校、广元市市级机关幼儿园、广元市树人幼儿园、广元市教育考试中心、广元市教育技术装备所、广元市教育科学研究所、广元市教育服务中心、广元市继续教育办公室、广元市示范性综合实践基地管理中心。</w:t>
      </w:r>
    </w:p>
    <w:p>
      <w:pPr>
        <w:ind w:firstLineChars="200"/>
        <w:rPr>
          <w:rFonts w:hint="eastAsia"/>
          <w:sz w:val="32"/>
          <w:szCs w:val="32"/>
          <w:lang w:val="en-US" w:eastAsia="zh-CN"/>
        </w:rPr>
      </w:pPr>
      <w:r>
        <w:rPr>
          <w:rFonts w:hint="eastAsia" w:ascii="仿宋_GB2312" w:hAnsi="仿宋" w:eastAsia="仿宋_GB2312" w:cs="Times New Roman"/>
          <w:kern w:val="2"/>
          <w:sz w:val="32"/>
          <w:szCs w:val="32"/>
        </w:rPr>
        <w:t>教育局机关下设办公室、机关党委办公室、基础教育科、职业与成人教育科、人事科、计划财务科、体育卫生艺术教育科、学校安全管理工作办公室、学校后勤与产业管理科、教育督导团办公室、政策法规与综合改革科、学校德育工作科等13个科室。</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广元市教育局根据中国共产党广元市委、</w:t>
      </w:r>
      <w:r>
        <w:rPr>
          <w:rFonts w:ascii="仿宋_GB2312" w:hAnsi="仿宋" w:eastAsia="仿宋_GB2312" w:cs="Times New Roman"/>
          <w:kern w:val="2"/>
          <w:sz w:val="32"/>
          <w:szCs w:val="32"/>
        </w:rPr>
        <w:fldChar w:fldCharType="begin"/>
      </w:r>
      <w:r>
        <w:rPr>
          <w:rFonts w:ascii="仿宋_GB2312" w:hAnsi="仿宋" w:eastAsia="仿宋_GB2312" w:cs="Times New Roman"/>
          <w:kern w:val="2"/>
          <w:sz w:val="32"/>
          <w:szCs w:val="32"/>
        </w:rPr>
        <w:instrText xml:space="preserve"> HYPERLINK "http://baike.so.com/doc/6663293-6877119.html" \t "_blank" </w:instrText>
      </w:r>
      <w:r>
        <w:rPr>
          <w:rFonts w:ascii="仿宋_GB2312" w:hAnsi="仿宋" w:eastAsia="仿宋_GB2312" w:cs="Times New Roman"/>
          <w:kern w:val="2"/>
          <w:sz w:val="32"/>
          <w:szCs w:val="32"/>
        </w:rPr>
        <w:fldChar w:fldCharType="separate"/>
      </w:r>
      <w:r>
        <w:rPr>
          <w:rFonts w:ascii="仿宋_GB2312" w:hAnsi="仿宋" w:eastAsia="仿宋_GB2312" w:cs="Times New Roman"/>
          <w:kern w:val="2"/>
          <w:sz w:val="32"/>
          <w:szCs w:val="32"/>
        </w:rPr>
        <w:t>广元市人民政府</w:t>
      </w:r>
      <w:r>
        <w:rPr>
          <w:rFonts w:ascii="仿宋_GB2312" w:hAnsi="仿宋" w:eastAsia="仿宋_GB2312" w:cs="Times New Roman"/>
          <w:kern w:val="2"/>
          <w:sz w:val="32"/>
          <w:szCs w:val="32"/>
        </w:rPr>
        <w:fldChar w:fldCharType="end"/>
      </w:r>
      <w:r>
        <w:rPr>
          <w:rFonts w:ascii="仿宋_GB2312" w:hAnsi="仿宋" w:eastAsia="仿宋_GB2312" w:cs="Times New Roman"/>
          <w:kern w:val="2"/>
          <w:sz w:val="32"/>
          <w:szCs w:val="32"/>
        </w:rPr>
        <w:t>的行政分工，对辖区的教育实行行政管理:</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(一)贯彻执行教育工作的方针、政策、法律和法规，研究提出全市教育发展战略，草拟教育工作的政策和规范性文件，并监督执行。</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(二)编制全市教育事业的发展规划和年度计划，拟定教育事业发展重点、规模、速度，指导、协调教育规划、计划的实施。</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三)综合管理全市的基础教育，指导各县(区)各部门的教育工作，负责对学校办学质量的管理，对学校办学行为和教育质量进行监督、督导和评估。组织和指导全市教育改革，统筹规划、协调指导教育体制和办学体制的改革，理顺教育内部和外部的关系，建立适应社会主义市场经济体制和政治体制以及科技体制需要的教育体制和运行机制。</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四)统筹管理本部门的教育经费;参与拟定筹措教育经费、教育拨款、教育基建投资的政策和措施;在市本级财政中，市属学校的经费预算(含教育事业费、教育基建投资)确定后，由市教育局组织实施;有关教育经费的收费标准，由市教育局提出意见，经物价、财政等部门审核后，报市政府审批;负责对城区教育费附加的征收管理;监测全市教育经费的筹措和使用情况;监测各县(区)教育经费"三个增长"的执行情况;管理国家、省对我市教育项目的拨款经费;管理国外对我市的教育援助和贷款;负责学校布局结构的调整。</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五)按照国务院关于基础教育改革与发展的决定，负责对高级中学和完全中学校长的提名、考察或参与考察，按干部管理权限任用或聘用。推行中小学校长聘任制，实行校长任期制，推进校长职级制。指导直属学校领导班子思想政治建设;加强全市学校干部队伍建设。</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六)主管全市教师工作，会同有关部门制定教育系统人事管理工作的有关政策和规章制度，指导学校内部管理体制改革，规划指导全市中小学教师队伍建设;根据中央、省制定的各类学校的编制标准管理学校的编制;负责市直属学校教师的调配任用、工资福利、考核奖惩等工作;管理学校教师专业技术职务的评聘工作;负责教师的培养培训工作;指导教师资格考试、资格认定和证书管理工作。</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(七)统筹管理全市普通高校、成人高校、中等专业学校的招生考试工作和高等教育自学考试工作，并组织实施。</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八)归口管理全市的学历教育及考试工作，规划、指导继续教育工作、成人教育工作和扫除青壮年文盲工作。指导各级各类学校的思想政治工作、德育工作、法制教育工作、体育卫生与美育工作、国防教育工作和安全工作。会同有关部门改革师范类毕业生就业分配制度，组织实施师范类毕业生就业分配计划。</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(九)规划并管理全市教育管理情报、统计资料及信息系统的开发和建设工作;指导教育方针政策的宣传和舆论监督工作。</w:t>
      </w:r>
    </w:p>
    <w:p>
      <w:pPr>
        <w:pStyle w:val="13"/>
        <w:shd w:val="clear" w:color="auto" w:fill="FFFFFF"/>
        <w:spacing w:before="0" w:beforeAutospacing="0" w:after="90" w:afterAutospacing="0" w:line="144" w:lineRule="atLeast"/>
        <w:ind w:firstLine="480"/>
        <w:rPr>
          <w:rFonts w:ascii="仿宋_GB2312" w:hAnsi="仿宋" w:eastAsia="仿宋_GB2312" w:cs="Times New Roman"/>
          <w:kern w:val="2"/>
          <w:sz w:val="32"/>
          <w:szCs w:val="32"/>
        </w:rPr>
      </w:pPr>
      <w:r>
        <w:rPr>
          <w:rFonts w:ascii="仿宋_GB2312" w:hAnsi="仿宋" w:eastAsia="仿宋_GB2312" w:cs="Times New Roman"/>
          <w:kern w:val="2"/>
          <w:sz w:val="32"/>
          <w:szCs w:val="32"/>
        </w:rPr>
        <w:t>(十)承担市语言文字工作委员会的日常工作。管理局直属事业单位，指导全市教育系统的学会、基金会等社团组织的管理工作。</w:t>
      </w:r>
    </w:p>
    <w:p>
      <w:pPr>
        <w:numPr>
          <w:ilvl w:val="0"/>
          <w:numId w:val="0"/>
        </w:numPr>
        <w:spacing w:line="580" w:lineRule="exact"/>
        <w:ind w:firstLine="640" w:firstLineChars="200"/>
        <w:rPr>
          <w:rFonts w:ascii="仿宋" w:hAnsi="仿宋" w:eastAsia="仿宋" w:cs="仿宋_GB2312"/>
          <w:sz w:val="32"/>
          <w:szCs w:val="32"/>
        </w:rPr>
      </w:pPr>
      <w:r>
        <w:rPr>
          <w:rFonts w:ascii="仿宋_GB2312" w:hAnsi="仿宋" w:eastAsia="仿宋_GB2312" w:cs="Times New Roman"/>
          <w:kern w:val="2"/>
          <w:sz w:val="32"/>
          <w:szCs w:val="32"/>
        </w:rPr>
        <w:t>(十一)承办市政府交办的其他事项。</w:t>
      </w:r>
    </w:p>
    <w:p>
      <w:pPr>
        <w:numPr>
          <w:ilvl w:val="0"/>
          <w:numId w:val="6"/>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numPr>
          <w:ilvl w:val="0"/>
          <w:numId w:val="0"/>
        </w:numPr>
        <w:spacing w:line="58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市教育局</w:t>
      </w:r>
      <w:r>
        <w:rPr>
          <w:rFonts w:ascii="仿宋_GB2312" w:hAnsi="仿宋" w:eastAsia="仿宋_GB2312" w:cs="Times New Roman"/>
          <w:kern w:val="2"/>
          <w:sz w:val="32"/>
          <w:szCs w:val="32"/>
        </w:rPr>
        <w:t>编制</w:t>
      </w:r>
      <w:r>
        <w:rPr>
          <w:rFonts w:hint="eastAsia" w:ascii="仿宋_GB2312" w:hAnsi="仿宋" w:eastAsia="仿宋_GB2312" w:cs="Times New Roman"/>
          <w:kern w:val="2"/>
          <w:sz w:val="32"/>
          <w:szCs w:val="32"/>
          <w:lang w:eastAsia="zh-CN"/>
        </w:rPr>
        <w:t>行政人员</w:t>
      </w:r>
      <w:r>
        <w:rPr>
          <w:rFonts w:hint="eastAsia" w:ascii="仿宋_GB2312" w:hAnsi="仿宋" w:eastAsia="仿宋_GB2312" w:cs="Times New Roman"/>
          <w:kern w:val="2"/>
          <w:sz w:val="32"/>
          <w:szCs w:val="32"/>
          <w:lang w:val="en-US" w:eastAsia="zh-CN"/>
        </w:rPr>
        <w:t>48</w:t>
      </w:r>
      <w:r>
        <w:rPr>
          <w:rFonts w:ascii="仿宋_GB2312" w:hAnsi="仿宋" w:eastAsia="仿宋_GB2312" w:cs="Times New Roman"/>
          <w:kern w:val="2"/>
          <w:sz w:val="32"/>
          <w:szCs w:val="32"/>
        </w:rPr>
        <w:t>名</w:t>
      </w:r>
      <w:r>
        <w:rPr>
          <w:rFonts w:hint="eastAsia" w:ascii="仿宋_GB2312" w:hAnsi="仿宋" w:eastAsia="仿宋_GB2312" w:cs="Times New Roman"/>
          <w:kern w:val="2"/>
          <w:sz w:val="32"/>
          <w:szCs w:val="32"/>
          <w:lang w:eastAsia="zh-CN"/>
        </w:rPr>
        <w:t>，事业人员</w:t>
      </w:r>
      <w:r>
        <w:rPr>
          <w:rFonts w:hint="eastAsia" w:ascii="仿宋_GB2312" w:hAnsi="仿宋" w:eastAsia="仿宋_GB2312" w:cs="Times New Roman"/>
          <w:kern w:val="2"/>
          <w:sz w:val="32"/>
          <w:szCs w:val="32"/>
          <w:lang w:val="en-US" w:eastAsia="zh-CN"/>
        </w:rPr>
        <w:t>2201名</w:t>
      </w:r>
      <w:r>
        <w:rPr>
          <w:rFonts w:ascii="仿宋_GB2312" w:hAnsi="仿宋" w:eastAsia="仿宋_GB2312" w:cs="Times New Roman"/>
          <w:kern w:val="2"/>
          <w:sz w:val="32"/>
          <w:szCs w:val="32"/>
        </w:rPr>
        <w:t>。现有在职在岗</w:t>
      </w:r>
      <w:r>
        <w:rPr>
          <w:rFonts w:hint="eastAsia" w:ascii="仿宋_GB2312" w:hAnsi="仿宋" w:eastAsia="仿宋_GB2312" w:cs="Times New Roman"/>
          <w:kern w:val="2"/>
          <w:sz w:val="32"/>
          <w:szCs w:val="32"/>
          <w:lang w:eastAsia="zh-CN"/>
        </w:rPr>
        <w:t>行政人员</w:t>
      </w:r>
      <w:r>
        <w:rPr>
          <w:rFonts w:hint="eastAsia" w:ascii="仿宋_GB2312" w:hAnsi="仿宋" w:eastAsia="仿宋_GB2312" w:cs="Times New Roman"/>
          <w:kern w:val="2"/>
          <w:sz w:val="32"/>
          <w:szCs w:val="32"/>
          <w:lang w:val="en-US" w:eastAsia="zh-CN"/>
        </w:rPr>
        <w:t>48</w:t>
      </w:r>
      <w:r>
        <w:rPr>
          <w:rFonts w:ascii="仿宋_GB2312" w:hAnsi="仿宋" w:eastAsia="仿宋_GB2312" w:cs="Times New Roman"/>
          <w:kern w:val="2"/>
          <w:sz w:val="32"/>
          <w:szCs w:val="32"/>
        </w:rPr>
        <w:t>人，</w:t>
      </w:r>
      <w:r>
        <w:rPr>
          <w:rFonts w:hint="eastAsia" w:ascii="仿宋_GB2312" w:hAnsi="仿宋" w:eastAsia="仿宋_GB2312" w:cs="Times New Roman"/>
          <w:kern w:val="2"/>
          <w:sz w:val="32"/>
          <w:szCs w:val="32"/>
          <w:lang w:eastAsia="zh-CN"/>
        </w:rPr>
        <w:t>事业人员</w:t>
      </w:r>
      <w:r>
        <w:rPr>
          <w:rFonts w:hint="eastAsia" w:ascii="仿宋_GB2312" w:hAnsi="仿宋" w:eastAsia="仿宋_GB2312" w:cs="Times New Roman"/>
          <w:kern w:val="2"/>
          <w:sz w:val="32"/>
          <w:szCs w:val="32"/>
          <w:lang w:val="en-US" w:eastAsia="zh-CN"/>
        </w:rPr>
        <w:t>1899人</w:t>
      </w:r>
      <w:r>
        <w:rPr>
          <w:rFonts w:hint="eastAsia" w:ascii="仿宋_GB2312" w:hAnsi="仿宋" w:eastAsia="仿宋_GB2312" w:cs="Times New Roman"/>
          <w:kern w:val="2"/>
          <w:sz w:val="32"/>
          <w:szCs w:val="32"/>
          <w:lang w:eastAsia="zh-CN"/>
        </w:rPr>
        <w:t>，</w:t>
      </w:r>
      <w:r>
        <w:rPr>
          <w:rFonts w:ascii="仿宋_GB2312" w:hAnsi="仿宋" w:eastAsia="仿宋_GB2312" w:cs="Times New Roman"/>
          <w:kern w:val="2"/>
          <w:sz w:val="32"/>
          <w:szCs w:val="32"/>
        </w:rPr>
        <w:t>离退休</w:t>
      </w:r>
      <w:r>
        <w:rPr>
          <w:rFonts w:hint="eastAsia" w:ascii="仿宋_GB2312" w:hAnsi="仿宋" w:eastAsia="仿宋_GB2312" w:cs="Times New Roman"/>
          <w:kern w:val="2"/>
          <w:sz w:val="32"/>
          <w:szCs w:val="32"/>
          <w:lang w:val="en-US" w:eastAsia="zh-CN"/>
        </w:rPr>
        <w:t>971</w:t>
      </w:r>
      <w:r>
        <w:rPr>
          <w:rFonts w:ascii="仿宋_GB2312" w:hAnsi="仿宋" w:eastAsia="仿宋_GB2312" w:cs="Times New Roman"/>
          <w:kern w:val="2"/>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numPr>
          <w:ilvl w:val="0"/>
          <w:numId w:val="0"/>
        </w:numPr>
        <w:spacing w:line="580" w:lineRule="exact"/>
        <w:ind w:firstLine="640" w:firstLineChars="200"/>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2018年度年初预算收入</w:t>
      </w:r>
      <w:r>
        <w:rPr>
          <w:rFonts w:hint="eastAsia" w:ascii="仿宋_GB2312" w:hAnsi="仿宋" w:eastAsia="仿宋_GB2312" w:cs="Times New Roman"/>
          <w:kern w:val="2"/>
          <w:sz w:val="32"/>
          <w:szCs w:val="32"/>
          <w:lang w:val="en-US" w:eastAsia="zh-CN"/>
        </w:rPr>
        <w:t>23041.13</w:t>
      </w:r>
      <w:r>
        <w:rPr>
          <w:rFonts w:hint="eastAsia" w:ascii="仿宋_GB2312" w:hAnsi="仿宋" w:eastAsia="仿宋_GB2312" w:cs="Times New Roman"/>
          <w:kern w:val="2"/>
          <w:sz w:val="32"/>
          <w:szCs w:val="32"/>
          <w:lang w:eastAsia="zh-CN"/>
        </w:rPr>
        <w:t>万元，年度执行中追加</w:t>
      </w:r>
      <w:r>
        <w:rPr>
          <w:rFonts w:hint="eastAsia" w:ascii="仿宋_GB2312" w:hAnsi="仿宋" w:eastAsia="仿宋_GB2312" w:cs="Times New Roman"/>
          <w:kern w:val="2"/>
          <w:sz w:val="32"/>
          <w:szCs w:val="32"/>
          <w:lang w:val="en-US" w:eastAsia="zh-CN"/>
        </w:rPr>
        <w:t>15887.67</w:t>
      </w:r>
      <w:r>
        <w:rPr>
          <w:rFonts w:hint="eastAsia" w:ascii="仿宋_GB2312" w:hAnsi="仿宋" w:eastAsia="仿宋_GB2312" w:cs="Times New Roman"/>
          <w:kern w:val="2"/>
          <w:sz w:val="32"/>
          <w:szCs w:val="32"/>
          <w:lang w:eastAsia="zh-CN"/>
        </w:rPr>
        <w:t>万元，公共财政预算拨款总收入</w:t>
      </w:r>
      <w:r>
        <w:rPr>
          <w:rFonts w:hint="eastAsia" w:ascii="仿宋_GB2312" w:hAnsi="仿宋" w:eastAsia="仿宋_GB2312" w:cs="Times New Roman"/>
          <w:kern w:val="2"/>
          <w:sz w:val="32"/>
          <w:szCs w:val="32"/>
          <w:lang w:val="en-US" w:eastAsia="zh-CN"/>
        </w:rPr>
        <w:t>38928.80</w:t>
      </w:r>
      <w:r>
        <w:rPr>
          <w:rFonts w:hint="eastAsia" w:ascii="仿宋_GB2312" w:hAnsi="仿宋" w:eastAsia="仿宋_GB2312" w:cs="Times New Roman"/>
          <w:kern w:val="2"/>
          <w:sz w:val="32"/>
          <w:szCs w:val="32"/>
          <w:lang w:eastAsia="zh-CN"/>
        </w:rPr>
        <w:t>万元。</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numPr>
          <w:ilvl w:val="0"/>
          <w:numId w:val="0"/>
        </w:numPr>
        <w:spacing w:line="580" w:lineRule="exact"/>
        <w:ind w:firstLine="640" w:firstLineChars="200"/>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2018年一般公共预算财政拨款支出</w:t>
      </w:r>
      <w:r>
        <w:rPr>
          <w:rFonts w:hint="eastAsia" w:ascii="仿宋_GB2312" w:hAnsi="仿宋" w:eastAsia="仿宋_GB2312" w:cs="Times New Roman"/>
          <w:kern w:val="2"/>
          <w:sz w:val="32"/>
          <w:szCs w:val="32"/>
          <w:lang w:val="en-US" w:eastAsia="zh-CN"/>
        </w:rPr>
        <w:t>41807.26</w:t>
      </w:r>
      <w:r>
        <w:rPr>
          <w:rFonts w:hint="eastAsia" w:ascii="仿宋_GB2312" w:hAnsi="仿宋" w:eastAsia="仿宋_GB2312" w:cs="Times New Roman"/>
          <w:kern w:val="2"/>
          <w:sz w:val="32"/>
          <w:szCs w:val="32"/>
          <w:lang w:eastAsia="zh-CN"/>
        </w:rPr>
        <w:t>万元，主要用于以下方面:教育支出</w:t>
      </w:r>
      <w:r>
        <w:rPr>
          <w:rFonts w:hint="eastAsia" w:ascii="仿宋_GB2312" w:hAnsi="仿宋" w:eastAsia="仿宋_GB2312" w:cs="Times New Roman"/>
          <w:kern w:val="2"/>
          <w:sz w:val="32"/>
          <w:szCs w:val="32"/>
          <w:lang w:val="en-US" w:eastAsia="zh-CN"/>
        </w:rPr>
        <w:t>35406.48万元；</w:t>
      </w:r>
      <w:r>
        <w:rPr>
          <w:rFonts w:hint="eastAsia" w:ascii="仿宋_GB2312" w:hAnsi="仿宋" w:eastAsia="仿宋_GB2312" w:cs="Times New Roman"/>
          <w:kern w:val="2"/>
          <w:sz w:val="32"/>
          <w:szCs w:val="32"/>
          <w:lang w:eastAsia="zh-CN"/>
        </w:rPr>
        <w:t>科学技术支出</w:t>
      </w:r>
      <w:r>
        <w:rPr>
          <w:rFonts w:hint="eastAsia" w:ascii="仿宋_GB2312" w:hAnsi="仿宋" w:eastAsia="仿宋_GB2312" w:cs="Times New Roman"/>
          <w:kern w:val="2"/>
          <w:sz w:val="32"/>
          <w:szCs w:val="32"/>
          <w:lang w:val="en-US" w:eastAsia="zh-CN"/>
        </w:rPr>
        <w:t>3.10</w:t>
      </w:r>
      <w:r>
        <w:rPr>
          <w:rFonts w:hint="eastAsia" w:ascii="仿宋_GB2312" w:hAnsi="仿宋" w:eastAsia="仿宋_GB2312" w:cs="Times New Roman"/>
          <w:kern w:val="2"/>
          <w:sz w:val="32"/>
          <w:szCs w:val="32"/>
          <w:lang w:eastAsia="zh-CN"/>
        </w:rPr>
        <w:t>万元；社会保障和就业支出</w:t>
      </w:r>
      <w:r>
        <w:rPr>
          <w:rFonts w:hint="eastAsia" w:ascii="仿宋_GB2312" w:hAnsi="仿宋" w:eastAsia="仿宋_GB2312" w:cs="Times New Roman"/>
          <w:kern w:val="2"/>
          <w:sz w:val="32"/>
          <w:szCs w:val="32"/>
          <w:lang w:val="en-US" w:eastAsia="zh-CN"/>
        </w:rPr>
        <w:t>2880.48</w:t>
      </w:r>
      <w:r>
        <w:rPr>
          <w:rFonts w:hint="eastAsia" w:ascii="仿宋_GB2312" w:hAnsi="仿宋" w:eastAsia="仿宋_GB2312" w:cs="Times New Roman"/>
          <w:kern w:val="2"/>
          <w:sz w:val="32"/>
          <w:szCs w:val="32"/>
          <w:lang w:eastAsia="zh-CN"/>
        </w:rPr>
        <w:t>万元；医疗卫生与计划生育支出1</w:t>
      </w:r>
      <w:r>
        <w:rPr>
          <w:rFonts w:hint="eastAsia" w:ascii="仿宋_GB2312" w:hAnsi="仿宋" w:eastAsia="仿宋_GB2312" w:cs="Times New Roman"/>
          <w:kern w:val="2"/>
          <w:sz w:val="32"/>
          <w:szCs w:val="32"/>
          <w:lang w:val="en-US" w:eastAsia="zh-CN"/>
        </w:rPr>
        <w:t>222.29</w:t>
      </w:r>
      <w:r>
        <w:rPr>
          <w:rFonts w:hint="eastAsia" w:ascii="仿宋_GB2312" w:hAnsi="仿宋" w:eastAsia="仿宋_GB2312" w:cs="Times New Roman"/>
          <w:kern w:val="2"/>
          <w:sz w:val="32"/>
          <w:szCs w:val="32"/>
          <w:lang w:eastAsia="zh-CN"/>
        </w:rPr>
        <w:t>万元；住房保障支出</w:t>
      </w:r>
      <w:r>
        <w:rPr>
          <w:rFonts w:hint="eastAsia" w:ascii="仿宋_GB2312" w:hAnsi="仿宋" w:eastAsia="仿宋_GB2312" w:cs="Times New Roman"/>
          <w:kern w:val="2"/>
          <w:sz w:val="32"/>
          <w:szCs w:val="32"/>
          <w:lang w:val="en-US" w:eastAsia="zh-CN"/>
        </w:rPr>
        <w:t>2294.90</w:t>
      </w:r>
      <w:r>
        <w:rPr>
          <w:rFonts w:hint="eastAsia" w:ascii="仿宋_GB2312" w:hAnsi="仿宋" w:eastAsia="仿宋_GB2312" w:cs="Times New Roman"/>
          <w:kern w:val="2"/>
          <w:sz w:val="32"/>
          <w:szCs w:val="32"/>
          <w:lang w:eastAsia="zh-C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1、强化财政支出管理，确保全局大局稳定。本着量入为出的原则，优先保证干部职工工资及时足额发放，努力压缩非生产性支出，合理调度财政资金，保证</w:t>
      </w:r>
      <w:r>
        <w:rPr>
          <w:rFonts w:hint="eastAsia" w:ascii="仿宋_GB2312" w:eastAsia="仿宋_GB2312"/>
          <w:sz w:val="32"/>
          <w:szCs w:val="32"/>
          <w:lang w:eastAsia="zh-CN"/>
        </w:rPr>
        <w:t>教育系统</w:t>
      </w:r>
      <w:r>
        <w:rPr>
          <w:rFonts w:hint="eastAsia" w:ascii="仿宋_GB2312" w:eastAsia="仿宋_GB2312"/>
          <w:sz w:val="32"/>
          <w:szCs w:val="32"/>
        </w:rPr>
        <w:t>机构正常运转，实现财政资金利益最大化。</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完善制度、夯实基础。制度建设是各项工作顺利进行的基础。要完善财政、财务管理规章制度,制定预算管理、资产管理、专项资金收支管理、工程项目管理、负债资金收支管理等专项管理制度,特别是强化预算管理,严格预算约束。加强支出管理,严格支出审批程序和手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集中支付工作。统一会计核算和账户管理，进一步规范了我局财政财务管理。严格使用财政专用票据，杜绝坐支、挪用和私设“小金库”，端正了行业风气，避免了腐败现象的滋生，提高了资金使用效益，净化了管理环境，理顺了财经秩序。严格审批程序，切实做到</w:t>
      </w:r>
      <w:r>
        <w:rPr>
          <w:rFonts w:hint="eastAsia" w:ascii="仿宋_GB2312" w:eastAsia="仿宋_GB2312"/>
          <w:sz w:val="32"/>
          <w:szCs w:val="32"/>
          <w:lang w:eastAsia="zh-CN"/>
        </w:rPr>
        <w:t>收支两条线</w:t>
      </w:r>
      <w:r>
        <w:rPr>
          <w:rFonts w:hint="eastAsia" w:ascii="仿宋_GB2312" w:eastAsia="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620" w:lineRule="exact"/>
        <w:ind w:firstLine="640" w:firstLineChars="200"/>
        <w:rPr>
          <w:rFonts w:ascii="仿宋" w:hAnsi="仿宋" w:eastAsia="仿宋" w:cs="仿宋_GB2312"/>
          <w:sz w:val="32"/>
          <w:szCs w:val="32"/>
        </w:rPr>
      </w:pPr>
      <w:r>
        <w:rPr>
          <w:rFonts w:hint="eastAsia" w:ascii="仿宋_GB2312" w:hAnsi="宋体" w:eastAsia="仿宋_GB2312" w:cs="宋体"/>
          <w:kern w:val="0"/>
          <w:sz w:val="32"/>
          <w:szCs w:val="32"/>
        </w:rPr>
        <w:t>严格执行预算，执行中无预算项目调整，年度预算执行收支平衡，并实施结转结余管控，人员支出部分按时间进度执行，无挪用人员支出情况；年终按时报送部门决算，且账表一致，决算数据真实准确，部门决算编制人员与供养人员系统数据一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1．绩效目标管理。2018年，按照财政绩效管理要求编报预算项目绩效目标，绩效目标真实、可行、科学。</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 项目绩效评价。总体上看，项目决策依据较为充分，绩效目标较明确，管理比较严格，项目的实施基本达到预期目标。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我局高度重视部门支出绩效评价工作，按照要求，全面收集整理各类基础资料，包括部门预、决算编制，财务管理，财政政策执行，财经纪律监督执行，项目申报、批复、实施等相关文件资料。</w:t>
      </w:r>
    </w:p>
    <w:p>
      <w:pPr>
        <w:spacing w:line="620" w:lineRule="exact"/>
        <w:ind w:firstLine="640" w:firstLineChars="200"/>
        <w:rPr>
          <w:rFonts w:hint="eastAsia" w:ascii="仿宋_GB2312" w:hAnsi="宋体" w:eastAsia="仿宋_GB2312" w:cs="宋体"/>
          <w:kern w:val="0"/>
          <w:sz w:val="32"/>
          <w:szCs w:val="32"/>
        </w:rPr>
      </w:pPr>
      <w:r>
        <w:rPr>
          <w:rFonts w:hint="eastAsia" w:ascii="仿宋_GB2312" w:hAnsi="仿宋" w:eastAsia="仿宋_GB2312" w:cs="仿宋_GB2312"/>
          <w:bCs/>
          <w:kern w:val="0"/>
          <w:sz w:val="32"/>
          <w:szCs w:val="32"/>
        </w:rPr>
        <w:t>我局在财政资金管理中严格按照中央八项规定要求，认真执行有关法律法规和财经制度，单位内部财务管理制度健全，预算编制完整，预算执行到位，做到了财务公开、会计核算真实、规范，没有截留、挪用财政资金、擅自扩大或缩小资金使用范围、改变资金用途等现象，未在项目申报中弄虚作假，套取财政资金，保证了专项资金专款专用，财政资金基本保障了教育教学管理、教师队伍建设、名师工程等工作需要。</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pPr>
        <w:numPr>
          <w:ilvl w:val="0"/>
          <w:numId w:val="0"/>
        </w:numPr>
        <w:spacing w:line="580" w:lineRule="exact"/>
        <w:ind w:firstLine="640" w:firstLineChars="200"/>
        <w:rPr>
          <w:rFonts w:hint="eastAsia" w:ascii="仿宋" w:hAnsi="仿宋" w:eastAsia="仿宋" w:cs="仿宋_GB2312"/>
          <w:sz w:val="32"/>
          <w:szCs w:val="32"/>
          <w:lang w:val="en-US" w:eastAsia="zh-CN"/>
        </w:rPr>
      </w:pPr>
      <w:r>
        <w:rPr>
          <w:rFonts w:hint="eastAsia" w:ascii="仿宋_GB2312" w:hAnsi="宋体" w:eastAsia="仿宋_GB2312" w:cs="宋体"/>
          <w:kern w:val="0"/>
          <w:sz w:val="32"/>
          <w:szCs w:val="32"/>
        </w:rPr>
        <w:t>对项目资金开支分类需要进一步科学化、规范化，费用开支和绩效产出测得结果不够</w:t>
      </w:r>
      <w:r>
        <w:rPr>
          <w:rFonts w:hint="eastAsia" w:ascii="仿宋_GB2312" w:hAnsi="宋体" w:eastAsia="仿宋_GB2312" w:cs="宋体"/>
          <w:kern w:val="0"/>
          <w:sz w:val="32"/>
          <w:szCs w:val="32"/>
          <w:lang w:eastAsia="zh-CN"/>
        </w:rPr>
        <w:t>精</w:t>
      </w:r>
      <w:r>
        <w:rPr>
          <w:rFonts w:hint="eastAsia" w:ascii="仿宋_GB2312" w:hAnsi="宋体" w:eastAsia="仿宋_GB2312" w:cs="宋体"/>
          <w:kern w:val="0"/>
          <w:sz w:val="32"/>
          <w:szCs w:val="32"/>
        </w:rPr>
        <w:t>确，需要进一步量化。预算管理、绩效管理、资金管理</w:t>
      </w:r>
      <w:r>
        <w:rPr>
          <w:rFonts w:hint="eastAsia" w:ascii="仿宋_GB2312" w:hAnsi="宋体" w:eastAsia="仿宋_GB2312" w:cs="宋体"/>
          <w:kern w:val="0"/>
          <w:sz w:val="32"/>
          <w:szCs w:val="32"/>
          <w:lang w:eastAsia="zh-CN"/>
        </w:rPr>
        <w:t>仍</w:t>
      </w:r>
      <w:r>
        <w:rPr>
          <w:rFonts w:hint="eastAsia" w:ascii="仿宋_GB2312" w:hAnsi="宋体" w:eastAsia="仿宋_GB2312" w:cs="宋体"/>
          <w:kern w:val="0"/>
          <w:sz w:val="32"/>
          <w:szCs w:val="32"/>
        </w:rPr>
        <w:t>需</w:t>
      </w:r>
      <w:r>
        <w:rPr>
          <w:rFonts w:hint="eastAsia" w:ascii="仿宋_GB2312" w:hAnsi="宋体" w:eastAsia="仿宋_GB2312" w:cs="宋体"/>
          <w:kern w:val="0"/>
          <w:sz w:val="32"/>
          <w:szCs w:val="32"/>
          <w:lang w:eastAsia="zh-CN"/>
        </w:rPr>
        <w:t>进一步</w:t>
      </w:r>
      <w:r>
        <w:rPr>
          <w:rFonts w:hint="eastAsia" w:ascii="仿宋_GB2312" w:hAnsi="宋体" w:eastAsia="仿宋_GB2312" w:cs="宋体"/>
          <w:kern w:val="0"/>
          <w:sz w:val="32"/>
          <w:szCs w:val="32"/>
        </w:rPr>
        <w:t>加强。</w:t>
      </w:r>
      <w:r>
        <w:rPr>
          <w:rFonts w:hint="eastAsia" w:ascii="仿宋_GB2312" w:hAnsi="宋体" w:eastAsia="仿宋_GB2312" w:cs="宋体"/>
          <w:kern w:val="0"/>
          <w:sz w:val="32"/>
          <w:szCs w:val="32"/>
          <w:lang w:val="en-US" w:eastAsia="zh-CN"/>
        </w:rPr>
        <w:t>项目资金到位时间较晚，不利于工作的推进展开。</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改进建议</w:t>
      </w:r>
    </w:p>
    <w:p>
      <w:pPr>
        <w:widowControl/>
        <w:ind w:firstLine="640" w:firstLineChars="200"/>
        <w:jc w:val="left"/>
        <w:rPr>
          <w:rFonts w:hint="eastAsia" w:ascii="仿宋_GB2312" w:hAnsi="宋体" w:eastAsia="仿宋_GB2312" w:cs="宋体"/>
          <w:kern w:val="0"/>
          <w:sz w:val="32"/>
          <w:szCs w:val="32"/>
          <w:lang w:val="en-US" w:eastAsia="zh-CN"/>
        </w:rPr>
      </w:pPr>
      <w:bookmarkStart w:id="73" w:name="_Toc15396617"/>
      <w:r>
        <w:rPr>
          <w:rFonts w:hint="eastAsia" w:ascii="仿宋_GB2312" w:hAnsi="宋体" w:eastAsia="仿宋_GB2312" w:cs="宋体"/>
          <w:kern w:val="0"/>
          <w:sz w:val="32"/>
          <w:szCs w:val="32"/>
          <w:lang w:val="en-US" w:eastAsia="zh-CN"/>
        </w:rPr>
        <w:t>加强新政府会计制度学习培训，规范部门预算收支核算。一是制定和完善基本支出、项目支出等各项支出标准，严格按项目和进度执行预算，增强预算的约束力和严肃性。二是落实预算执行分析，及时了解预算执行差异，合理调整、纠正语速那执行偏差，切实提高部门预算收支管理水平，尽可能地做到决算与预算相衔接。</w:t>
      </w:r>
    </w:p>
    <w:p>
      <w:pPr>
        <w:widowControl/>
        <w:ind w:firstLine="640" w:firstLineChars="200"/>
        <w:jc w:val="left"/>
        <w:rPr>
          <w:rFonts w:hint="default" w:ascii="仿宋_GB2312" w:hAnsi="宋体" w:eastAsia="仿宋_GB2312" w:cs="宋体"/>
          <w:kern w:val="0"/>
          <w:sz w:val="32"/>
          <w:szCs w:val="32"/>
          <w:lang w:val="en-US" w:eastAsia="zh-CN"/>
        </w:rPr>
      </w:pPr>
    </w:p>
    <w:p>
      <w:pPr>
        <w:widowControl/>
        <w:jc w:val="left"/>
        <w:rPr>
          <w:rStyle w:val="27"/>
          <w:rFonts w:ascii="仿宋" w:hAnsi="仿宋" w:eastAsia="仿宋"/>
          <w:sz w:val="32"/>
          <w:szCs w:val="32"/>
        </w:rPr>
      </w:pPr>
      <w:r>
        <w:rPr>
          <w:rStyle w:val="27"/>
          <w:rFonts w:hint="eastAsia" w:ascii="仿宋" w:hAnsi="仿宋" w:eastAsia="仿宋"/>
          <w:sz w:val="32"/>
          <w:szCs w:val="32"/>
        </w:rPr>
        <w:t>附件2</w:t>
      </w:r>
      <w:bookmarkEnd w:id="73"/>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名师工程</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widowControl/>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根据省人民政府《关于加强教师队伍建设的实施意见》（川府发〔2013〕40号）、《广元市中长期教育改革和发展规划纲要》和市人民政府办公室《关于实施名师工程的意见》（广府办发〔2013〕81号）精神，认真实施 “科教兴市、人才强市”战略，进一步稳定和引进优秀教师，努力扩大优质教育资源，满足人民群众对优质教育的需求，办好让人民满意的教育，我市通过实施以名师培养、名师引进、名师评选为主要内容的“名师工程”。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ind w:firstLine="640" w:firstLineChars="200"/>
        <w:jc w:val="left"/>
        <w:rPr>
          <w:rFonts w:ascii="仿宋" w:hAnsi="仿宋" w:eastAsia="仿宋"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名师工程</w:t>
      </w:r>
      <w:r>
        <w:rPr>
          <w:rFonts w:hint="eastAsia" w:ascii="仿宋_GB2312" w:hAnsi="仿宋_GB2312" w:eastAsia="仿宋_GB2312" w:cs="仿宋_GB2312"/>
          <w:sz w:val="32"/>
          <w:szCs w:val="32"/>
        </w:rPr>
        <w:t>项目支出绩效评价得分表</w:t>
      </w:r>
    </w:p>
    <w:tbl>
      <w:tblPr>
        <w:tblStyle w:val="14"/>
        <w:tblW w:w="8816" w:type="dxa"/>
        <w:jc w:val="center"/>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68"/>
        <w:gridCol w:w="2645"/>
        <w:gridCol w:w="11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单位名称</w:t>
            </w:r>
            <w:r>
              <w:rPr>
                <w:rFonts w:ascii="仿宋_GB2312" w:hAnsi="仿宋_GB2312" w:eastAsia="仿宋_GB2312" w:cs="仿宋_GB2312"/>
                <w:b/>
                <w:bCs/>
                <w:kern w:val="0"/>
                <w:szCs w:val="21"/>
              </w:rPr>
              <w:t>/</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项目名称</w:t>
            </w:r>
          </w:p>
        </w:tc>
        <w:tc>
          <w:tcPr>
            <w:tcW w:w="7233" w:type="dxa"/>
            <w:gridSpan w:val="4"/>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广元市</w:t>
            </w:r>
            <w:r>
              <w:rPr>
                <w:rFonts w:hint="eastAsia" w:ascii="仿宋_GB2312" w:hAnsi="仿宋_GB2312" w:eastAsia="仿宋_GB2312" w:cs="仿宋_GB2312"/>
                <w:b/>
                <w:bCs/>
                <w:kern w:val="0"/>
                <w:szCs w:val="21"/>
                <w:lang w:eastAsia="zh-CN"/>
              </w:rPr>
              <w:t>教育</w:t>
            </w:r>
            <w:r>
              <w:rPr>
                <w:rFonts w:hint="eastAsia" w:ascii="仿宋_GB2312" w:hAnsi="仿宋_GB2312" w:eastAsia="仿宋_GB2312" w:cs="仿宋_GB2312"/>
                <w:b/>
                <w:bCs/>
                <w:kern w:val="0"/>
                <w:szCs w:val="21"/>
              </w:rPr>
              <w:t>局</w:t>
            </w:r>
            <w:r>
              <w:rPr>
                <w:rFonts w:hint="eastAsia" w:ascii="仿宋_GB2312" w:hAnsi="仿宋_GB2312" w:eastAsia="仿宋_GB2312" w:cs="仿宋_GB2312"/>
                <w:b/>
                <w:bCs/>
                <w:kern w:val="0"/>
                <w:szCs w:val="21"/>
                <w:lang w:eastAsia="zh-CN"/>
              </w:rPr>
              <w:t>名师工程</w:t>
            </w:r>
            <w:r>
              <w:rPr>
                <w:rFonts w:hint="eastAsia" w:ascii="仿宋_GB2312" w:hAnsi="仿宋_GB2312" w:eastAsia="仿宋_GB2312" w:cs="仿宋_GB2312"/>
                <w:b/>
                <w:bCs/>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2068"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264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三级指标</w:t>
            </w:r>
          </w:p>
        </w:tc>
        <w:tc>
          <w:tcPr>
            <w:tcW w:w="115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c>
          <w:tcPr>
            <w:tcW w:w="136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项目决策</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科学决策</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必要性（政策依据</w:t>
            </w:r>
            <w:r>
              <w:rPr>
                <w:rFonts w:ascii="仿宋_GB2312" w:hAnsi="仿宋_GB2312" w:eastAsia="仿宋_GB2312" w:cs="仿宋_GB2312"/>
                <w:kern w:val="0"/>
                <w:szCs w:val="21"/>
              </w:rPr>
              <w:t>)</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可行性（政策完善）</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绩效目标</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明确性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8"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合理性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7</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资金分配</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资金使用</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项目执行（</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执行规范</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项目绩效（特性指标</w:t>
            </w:r>
            <w:r>
              <w:rPr>
                <w:rFonts w:ascii="仿宋_GB2312" w:hAnsi="仿宋_GB2312" w:eastAsia="仿宋_GB2312" w:cs="仿宋_GB2312"/>
                <w:kern w:val="0"/>
                <w:szCs w:val="21"/>
              </w:rPr>
              <w:t>70</w:t>
            </w:r>
            <w:r>
              <w:rPr>
                <w:rFonts w:hint="eastAsia" w:ascii="仿宋_GB2312" w:hAnsi="仿宋_GB2312" w:eastAsia="仿宋_GB2312" w:cs="仿宋_GB2312"/>
                <w:kern w:val="0"/>
                <w:szCs w:val="21"/>
              </w:rPr>
              <w:t>分）</w:t>
            </w: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项目完成</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完成数量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完成质量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完成时效</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完成成本</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50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经济效益（可选项）</w:t>
            </w:r>
          </w:p>
        </w:tc>
        <w:tc>
          <w:tcPr>
            <w:tcW w:w="1155" w:type="dxa"/>
            <w:vMerge w:val="restart"/>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公平效率（可选项）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使用效率（可选项）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服务对象满意度</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583"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总分</w:t>
            </w:r>
          </w:p>
        </w:tc>
        <w:tc>
          <w:tcPr>
            <w:tcW w:w="7233" w:type="dxa"/>
            <w:gridSpan w:val="4"/>
            <w:vAlign w:val="center"/>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9</w:t>
            </w:r>
            <w:r>
              <w:rPr>
                <w:rFonts w:hint="eastAsia" w:ascii="仿宋_GB2312" w:hAnsi="仿宋_GB2312" w:eastAsia="仿宋_GB2312" w:cs="仿宋_GB2312"/>
                <w:kern w:val="0"/>
                <w:szCs w:val="21"/>
                <w:lang w:val="en-US" w:eastAsia="zh-CN"/>
              </w:rPr>
              <w:t>8</w:t>
            </w:r>
          </w:p>
        </w:tc>
      </w:tr>
    </w:tbl>
    <w:p>
      <w:pPr>
        <w:spacing w:line="580" w:lineRule="exac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olor w:val="101010"/>
          <w:sz w:val="32"/>
          <w:szCs w:val="32"/>
          <w:shd w:val="clear" w:color="auto" w:fill="FFFFFF"/>
        </w:rPr>
        <w:t>教育是强国之基，人才是强教之本。十三五期间，广元市立足通过实施“名师工程”，培养和造就本地人才，稳定和引进优秀教师，进一步扩大优质教育资源，努力提升教育核心竞争力。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widowControl/>
        <w:ind w:firstLine="640" w:firstLineChars="200"/>
        <w:jc w:val="left"/>
        <w:rPr>
          <w:rFonts w:hint="eastAsia" w:ascii="黑体" w:hAnsi="仿宋" w:eastAsia="黑体"/>
          <w:szCs w:val="32"/>
          <w:lang w:val="zh-CN"/>
        </w:rPr>
      </w:pPr>
      <w:r>
        <w:rPr>
          <w:rFonts w:hint="eastAsia" w:ascii="仿宋_GB2312" w:hAnsi="宋体" w:eastAsia="仿宋_GB2312" w:cs="宋体"/>
          <w:kern w:val="0"/>
          <w:sz w:val="32"/>
          <w:szCs w:val="32"/>
          <w:lang w:val="zh-CN" w:eastAsia="zh-CN"/>
        </w:rPr>
        <w:t>名师工程专项资金纳入市教育局财务统一管理，严格按照预算标准，预算方案及发放单均需经科室负责人、分管局领导和局长签发。严格执行行政事业财务管理制度、财务处理及时、会计核算规范。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widowControl/>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通过广元名师评选，有效集聚了一大批优秀教育人才来广干事创业。一是吸引了优秀人才集聚。二是带动了教师队伍提能。三是提升了广元教育形象。实施“名师工程”，评选表彰和宣传报道“广元名师”，形成了优秀教育人才聚集广元的新景象，增强了学生家长对广元优质教育的发展自信，有效提振了广元教育的士气和群众认可度。</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widowControl/>
        <w:ind w:firstLine="640" w:firstLineChars="200"/>
        <w:jc w:val="left"/>
        <w:rPr>
          <w:rFonts w:hint="eastAsia" w:ascii="仿宋_GB2312" w:hAnsi="宋体" w:eastAsia="仿宋_GB2312" w:cs="宋体"/>
          <w:kern w:val="0"/>
          <w:sz w:val="32"/>
          <w:szCs w:val="32"/>
          <w:lang w:val="zh-CN" w:eastAsia="zh-CN"/>
        </w:rPr>
      </w:pPr>
      <w:r>
        <w:rPr>
          <w:rFonts w:hint="eastAsia" w:ascii="仿宋_GB2312" w:hAnsi="宋体" w:eastAsia="仿宋_GB2312" w:cs="宋体"/>
          <w:kern w:val="0"/>
          <w:sz w:val="32"/>
          <w:szCs w:val="32"/>
          <w:lang w:val="zh-CN" w:eastAsia="zh-CN"/>
        </w:rPr>
        <w:t>一是名师工程专项经费应专款专用，名师工作室的经费要加强管理，规范使用；</w:t>
      </w:r>
    </w:p>
    <w:p>
      <w:pPr>
        <w:widowControl/>
        <w:ind w:firstLine="640" w:firstLineChars="200"/>
        <w:jc w:val="left"/>
        <w:rPr>
          <w:rFonts w:ascii="仿宋" w:hAnsi="仿宋" w:eastAsia="仿宋" w:cs="仿宋_GB2312"/>
          <w:sz w:val="32"/>
          <w:szCs w:val="32"/>
        </w:rPr>
      </w:pPr>
      <w:r>
        <w:rPr>
          <w:rFonts w:hint="eastAsia" w:ascii="仿宋_GB2312" w:hAnsi="宋体" w:eastAsia="仿宋_GB2312" w:cs="宋体"/>
          <w:kern w:val="0"/>
          <w:sz w:val="32"/>
          <w:szCs w:val="32"/>
          <w:lang w:val="zh-CN" w:eastAsia="zh-CN"/>
        </w:rPr>
        <w:t>二是名师工程室工作经费较少，个别发挥作用甚微。</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adjustRightInd w:val="0"/>
        <w:snapToGrid w:val="0"/>
        <w:spacing w:line="560" w:lineRule="exact"/>
        <w:ind w:firstLine="720"/>
        <w:rPr>
          <w:rFonts w:ascii="仿宋" w:hAnsi="仿宋" w:eastAsia="仿宋" w:cs="仿宋_GB2312"/>
          <w:sz w:val="32"/>
          <w:szCs w:val="32"/>
        </w:rPr>
      </w:pPr>
      <w:r>
        <w:rPr>
          <w:rFonts w:hint="eastAsia" w:ascii="仿宋_GB2312" w:hAnsi="宋体" w:eastAsia="仿宋_GB2312" w:cs="宋体"/>
          <w:kern w:val="0"/>
          <w:sz w:val="32"/>
          <w:szCs w:val="32"/>
          <w:lang w:val="zh-CN" w:eastAsia="zh-CN"/>
        </w:rPr>
        <w:t>名师工程是一项长期的、系统的教育工程，建议加大名师的考评、考核、监管和工作经费使用的督查力度，拉大补助经费差距，调动其工作主动性、积极性，充分发挥辐射作用，提高资金使用效益。</w:t>
      </w: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普通高中教育提升计划及高中质量奖</w:t>
      </w:r>
      <w:r>
        <w:rPr>
          <w:rFonts w:hint="eastAsia" w:ascii="黑体" w:hAnsi="黑体" w:eastAsia="黑体" w:cs="方正小标宋简体"/>
          <w:sz w:val="44"/>
          <w:szCs w:val="44"/>
        </w:rPr>
        <w:t>项目支出绩效评价报告</w:t>
      </w:r>
    </w:p>
    <w:p>
      <w:pPr>
        <w:spacing w:line="580" w:lineRule="exact"/>
        <w:jc w:val="center"/>
        <w:rPr>
          <w:rFonts w:hint="eastAsia" w:ascii="黑体" w:hAnsi="黑体" w:eastAsia="黑体" w:cs="方正小标宋简体"/>
          <w:sz w:val="44"/>
          <w:szCs w:val="44"/>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近年来，全市教育系统认真践行“立德树人”根本任务，扎实贯彻落实市委、市政府确定的大力发展优质特色高中教育战略，紧紧围绕“加强内部管理、加速质量提升、加快内涵发展”的工作思路，改革创新，聚焦发力，优质教育资源显著增加，教育教学质量不断提升，教育内涵发展、科学发展水平迈上新台阶。</w:t>
      </w:r>
    </w:p>
    <w:p>
      <w:pPr>
        <w:spacing w:line="580" w:lineRule="exact"/>
        <w:ind w:firstLine="640" w:firstLineChars="200"/>
        <w:rPr>
          <w:rFonts w:hint="eastAsia" w:ascii="仿宋_GB2312" w:eastAsia="仿宋_GB2312" w:cs="仿宋_GB2312"/>
          <w:sz w:val="32"/>
          <w:szCs w:val="32"/>
        </w:rPr>
      </w:pPr>
      <w:r>
        <w:rPr>
          <w:rFonts w:hint="eastAsia" w:ascii="仿宋_GB2312" w:hAnsi="宋体" w:eastAsia="仿宋_GB2312" w:cs="仿宋_GB2312"/>
          <w:sz w:val="32"/>
          <w:szCs w:val="32"/>
          <w:lang w:eastAsia="zh-CN"/>
        </w:rPr>
        <w:t>市教育局</w:t>
      </w:r>
      <w:r>
        <w:rPr>
          <w:rFonts w:hint="eastAsia" w:ascii="仿宋_GB2312" w:hAnsi="宋体" w:eastAsia="仿宋_GB2312" w:cs="仿宋_GB2312"/>
          <w:sz w:val="32"/>
          <w:szCs w:val="32"/>
        </w:rPr>
        <w:t>深入贯彻《广元市人民政府关于大力提升高中教育质量的意见》（广委办〔</w:t>
      </w:r>
      <w:r>
        <w:rPr>
          <w:rFonts w:ascii="仿宋_GB2312" w:hAnsi="宋体" w:eastAsia="仿宋_GB2312" w:cs="仿宋_GB2312"/>
          <w:sz w:val="32"/>
          <w:szCs w:val="32"/>
        </w:rPr>
        <w:t>2017</w:t>
      </w:r>
      <w:r>
        <w:rPr>
          <w:rFonts w:hint="eastAsia" w:ascii="仿宋_GB2312" w:hAnsi="宋体" w:eastAsia="仿宋_GB2312" w:cs="仿宋_GB2312"/>
          <w:sz w:val="32"/>
          <w:szCs w:val="32"/>
        </w:rPr>
        <w:t>〕</w:t>
      </w:r>
      <w:r>
        <w:rPr>
          <w:rFonts w:ascii="仿宋_GB2312" w:hAnsi="宋体" w:eastAsia="仿宋_GB2312" w:cs="仿宋_GB2312"/>
          <w:sz w:val="32"/>
          <w:szCs w:val="32"/>
        </w:rPr>
        <w:t>31</w:t>
      </w:r>
      <w:r>
        <w:rPr>
          <w:rFonts w:hint="eastAsia" w:ascii="仿宋_GB2312" w:hAnsi="宋体" w:eastAsia="仿宋_GB2312" w:cs="仿宋_GB2312"/>
          <w:sz w:val="32"/>
          <w:szCs w:val="32"/>
        </w:rPr>
        <w:t>号），</w:t>
      </w:r>
      <w:r>
        <w:rPr>
          <w:rFonts w:hint="eastAsia" w:ascii="仿宋_GB2312" w:hAnsi="仿宋" w:eastAsia="仿宋_GB2312" w:cs="仿宋_GB2312"/>
          <w:sz w:val="32"/>
          <w:szCs w:val="32"/>
        </w:rPr>
        <w:t>着力</w:t>
      </w:r>
      <w:r>
        <w:rPr>
          <w:rFonts w:hint="eastAsia" w:ascii="仿宋_GB2312" w:eastAsia="仿宋_GB2312" w:cs="仿宋_GB2312"/>
          <w:sz w:val="32"/>
          <w:szCs w:val="32"/>
        </w:rPr>
        <w:t>破解高中学校</w:t>
      </w:r>
      <w:r>
        <w:rPr>
          <w:rFonts w:hint="eastAsia" w:ascii="仿宋_GB2312" w:hAnsi="仿宋" w:eastAsia="仿宋_GB2312" w:cs="仿宋_GB2312"/>
          <w:sz w:val="32"/>
          <w:szCs w:val="32"/>
        </w:rPr>
        <w:t>资源配置、人事管理、经费保障等</w:t>
      </w:r>
      <w:r>
        <w:rPr>
          <w:rFonts w:hint="eastAsia" w:ascii="仿宋_GB2312" w:eastAsia="仿宋_GB2312" w:cs="仿宋_GB2312"/>
          <w:sz w:val="32"/>
          <w:szCs w:val="32"/>
        </w:rPr>
        <w:t>体制机制瓶颈。积极对接高考改革动向，稳步推进“选课走班”的试点和全面推广准备工作。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ind w:firstLine="640" w:firstLineChars="200"/>
        <w:jc w:val="left"/>
        <w:rPr>
          <w:rFonts w:ascii="仿宋" w:hAnsi="仿宋" w:eastAsia="仿宋"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普通高中教育提升计划及高中质量奖</w:t>
      </w:r>
      <w:r>
        <w:rPr>
          <w:rFonts w:hint="eastAsia" w:ascii="仿宋_GB2312" w:hAnsi="仿宋_GB2312" w:eastAsia="仿宋_GB2312" w:cs="仿宋_GB2312"/>
          <w:sz w:val="32"/>
          <w:szCs w:val="32"/>
        </w:rPr>
        <w:t>项目支出绩效评价得分表</w:t>
      </w:r>
    </w:p>
    <w:tbl>
      <w:tblPr>
        <w:tblStyle w:val="14"/>
        <w:tblW w:w="8816" w:type="dxa"/>
        <w:jc w:val="center"/>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68"/>
        <w:gridCol w:w="2645"/>
        <w:gridCol w:w="11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单位名称</w:t>
            </w:r>
            <w:r>
              <w:rPr>
                <w:rFonts w:ascii="仿宋_GB2312" w:hAnsi="仿宋_GB2312" w:eastAsia="仿宋_GB2312" w:cs="仿宋_GB2312"/>
                <w:b/>
                <w:bCs/>
                <w:kern w:val="0"/>
                <w:szCs w:val="21"/>
              </w:rPr>
              <w:t>/</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项目名称</w:t>
            </w:r>
          </w:p>
        </w:tc>
        <w:tc>
          <w:tcPr>
            <w:tcW w:w="7233" w:type="dxa"/>
            <w:gridSpan w:val="4"/>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广元市</w:t>
            </w:r>
            <w:r>
              <w:rPr>
                <w:rFonts w:hint="eastAsia" w:ascii="仿宋_GB2312" w:hAnsi="仿宋_GB2312" w:eastAsia="仿宋_GB2312" w:cs="仿宋_GB2312"/>
                <w:b/>
                <w:bCs/>
                <w:kern w:val="0"/>
                <w:szCs w:val="21"/>
                <w:lang w:eastAsia="zh-CN"/>
              </w:rPr>
              <w:t>教育</w:t>
            </w:r>
            <w:r>
              <w:rPr>
                <w:rFonts w:hint="eastAsia" w:ascii="仿宋_GB2312" w:hAnsi="仿宋_GB2312" w:eastAsia="仿宋_GB2312" w:cs="仿宋_GB2312"/>
                <w:b/>
                <w:bCs/>
                <w:kern w:val="0"/>
                <w:szCs w:val="21"/>
              </w:rPr>
              <w:t>局</w:t>
            </w:r>
            <w:r>
              <w:rPr>
                <w:rFonts w:hint="eastAsia" w:ascii="仿宋_GB2312" w:hAnsi="仿宋_GB2312" w:eastAsia="仿宋_GB2312" w:cs="仿宋_GB2312"/>
                <w:b/>
                <w:bCs/>
                <w:kern w:val="0"/>
                <w:szCs w:val="21"/>
                <w:lang w:eastAsia="zh-CN"/>
              </w:rPr>
              <w:t>普通高中教育提升计划及高中质量奖</w:t>
            </w:r>
            <w:r>
              <w:rPr>
                <w:rFonts w:hint="eastAsia" w:ascii="仿宋_GB2312" w:hAnsi="仿宋_GB2312" w:eastAsia="仿宋_GB2312" w:cs="仿宋_GB2312"/>
                <w:b/>
                <w:bCs/>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2068"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264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三级指标</w:t>
            </w:r>
          </w:p>
        </w:tc>
        <w:tc>
          <w:tcPr>
            <w:tcW w:w="115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c>
          <w:tcPr>
            <w:tcW w:w="136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项目决策</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科学决策</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必要性（政策依据</w:t>
            </w:r>
            <w:r>
              <w:rPr>
                <w:rFonts w:ascii="仿宋_GB2312" w:hAnsi="仿宋_GB2312" w:eastAsia="仿宋_GB2312" w:cs="仿宋_GB2312"/>
                <w:kern w:val="0"/>
                <w:szCs w:val="21"/>
              </w:rPr>
              <w:t>)</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可行性（政策完善）</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绩效目标</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明确性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8"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合理性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7</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资金分配</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资金使用</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项目执行（</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执行规范</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项目绩效（特性指标</w:t>
            </w:r>
            <w:r>
              <w:rPr>
                <w:rFonts w:ascii="仿宋_GB2312" w:hAnsi="仿宋_GB2312" w:eastAsia="仿宋_GB2312" w:cs="仿宋_GB2312"/>
                <w:kern w:val="0"/>
                <w:szCs w:val="21"/>
              </w:rPr>
              <w:t>70</w:t>
            </w:r>
            <w:r>
              <w:rPr>
                <w:rFonts w:hint="eastAsia" w:ascii="仿宋_GB2312" w:hAnsi="仿宋_GB2312" w:eastAsia="仿宋_GB2312" w:cs="仿宋_GB2312"/>
                <w:kern w:val="0"/>
                <w:szCs w:val="21"/>
              </w:rPr>
              <w:t>分）</w:t>
            </w: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项目完成</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完成数量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完成质量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完成时效</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完成成本</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50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经济效益（可选项）</w:t>
            </w:r>
          </w:p>
        </w:tc>
        <w:tc>
          <w:tcPr>
            <w:tcW w:w="1155" w:type="dxa"/>
            <w:vMerge w:val="restart"/>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公平效率（可选项）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使用效率（可选项）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服务对象满意度</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583"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总分</w:t>
            </w:r>
          </w:p>
        </w:tc>
        <w:tc>
          <w:tcPr>
            <w:tcW w:w="7233" w:type="dxa"/>
            <w:gridSpan w:val="4"/>
            <w:vAlign w:val="center"/>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9</w:t>
            </w:r>
            <w:r>
              <w:rPr>
                <w:rFonts w:hint="eastAsia" w:ascii="仿宋_GB2312" w:hAnsi="仿宋_GB2312" w:eastAsia="仿宋_GB2312" w:cs="仿宋_GB2312"/>
                <w:kern w:val="0"/>
                <w:szCs w:val="21"/>
                <w:lang w:val="en-US" w:eastAsia="zh-CN"/>
              </w:rPr>
              <w:t>5</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结合当前形势和提升普通高中教育质量的相关要求，我局通过实地调查、结合学校实际及当前工作要求、咨询相关专家等方式设置绩效目标管理、绩效评价、绩效监控相关指标。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普通高中教育提升计划及高中质量奖预算</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lang w:eastAsia="zh-CN"/>
        </w:rPr>
        <w:t>万元。普通高中教育提升计划及高中质量奖</w:t>
      </w:r>
      <w:r>
        <w:rPr>
          <w:rFonts w:hint="eastAsia" w:ascii="仿宋_GB2312" w:hAnsi="仿宋_GB2312" w:eastAsia="仿宋_GB2312" w:cs="仿宋_GB2312"/>
          <w:sz w:val="32"/>
          <w:szCs w:val="32"/>
          <w:lang w:val="zh-CN" w:eastAsia="zh-CN"/>
        </w:rPr>
        <w:t>专项资金纳入市教育局财务统一管理，严格按照预算标准，预算方案及发放单均需经科室负责人、分管局领导和局长签发。严格执行行政事业财务管理制度、财务处理及时、会计核算规范。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pStyle w:val="7"/>
        <w:autoSpaceDE w:val="0"/>
        <w:adjustRightInd w:val="0"/>
        <w:snapToGrid w:val="0"/>
        <w:spacing w:line="610" w:lineRule="exact"/>
        <w:ind w:firstLine="640" w:firstLineChars="200"/>
        <w:rPr>
          <w:rFonts w:ascii="仿宋_GB2312" w:eastAsia="仿宋_GB2312" w:cs="Times New Roman"/>
          <w:sz w:val="32"/>
          <w:szCs w:val="32"/>
        </w:rPr>
      </w:pPr>
      <w:r>
        <w:rPr>
          <w:rFonts w:hint="eastAsia" w:ascii="仿宋_GB2312" w:hAnsi="仿宋" w:eastAsia="仿宋_GB2312" w:cs="仿宋_GB2312"/>
          <w:sz w:val="32"/>
          <w:szCs w:val="32"/>
        </w:rPr>
        <w:t>出台《高中阶段教育普及攻坚计划（</w:t>
      </w:r>
      <w:r>
        <w:rPr>
          <w:rFonts w:ascii="仿宋_GB2312" w:hAnsi="仿宋" w:eastAsia="仿宋_GB2312" w:cs="仿宋_GB2312"/>
          <w:sz w:val="32"/>
          <w:szCs w:val="32"/>
        </w:rPr>
        <w:t>2017</w:t>
      </w:r>
      <w:r>
        <w:rPr>
          <w:rFonts w:hint="eastAsia" w:ascii="仿宋_GB2312" w:hAnsi="仿宋" w:eastAsia="仿宋_GB2312" w:cs="仿宋_GB2312"/>
          <w:sz w:val="32"/>
          <w:szCs w:val="32"/>
        </w:rPr>
        <w:t>—</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hint="eastAsia" w:ascii="仿宋_GB2312" w:eastAsia="仿宋_GB2312" w:cs="仿宋_GB2312"/>
          <w:sz w:val="32"/>
          <w:szCs w:val="32"/>
        </w:rPr>
        <w:t>积极对接高考改革动向，稳步推进“选课走班”试点和全面推广准备工作。</w:t>
      </w:r>
      <w:r>
        <w:rPr>
          <w:rFonts w:hint="eastAsia" w:ascii="仿宋_GB2312" w:hAnsi="??_GB2312" w:eastAsia="仿宋_GB2312" w:cs="仿宋_GB2312"/>
          <w:sz w:val="32"/>
          <w:szCs w:val="32"/>
        </w:rPr>
        <w:t>加快推进示范学校创建，</w:t>
      </w:r>
      <w:r>
        <w:rPr>
          <w:rFonts w:hint="eastAsia" w:ascii="仿宋_GB2312" w:eastAsia="仿宋_GB2312" w:cs="仿宋_GB2312"/>
          <w:sz w:val="32"/>
          <w:szCs w:val="32"/>
        </w:rPr>
        <w:t>元坝中学、朝天中学进入省级评估冲刺阶段。</w:t>
      </w:r>
      <w:r>
        <w:rPr>
          <w:rFonts w:hint="eastAsia" w:ascii="仿宋_GB2312" w:eastAsia="仿宋_GB2312" w:cs="仿宋_GB2312"/>
          <w:spacing w:val="4"/>
          <w:sz w:val="32"/>
          <w:szCs w:val="32"/>
        </w:rPr>
        <w:t>实施拔尖创新人才培养行动计划，</w:t>
      </w:r>
      <w:r>
        <w:rPr>
          <w:rFonts w:hint="eastAsia" w:ascii="仿宋_GB2312" w:eastAsia="仿宋_GB2312" w:cs="仿宋_GB2312"/>
          <w:sz w:val="32"/>
          <w:szCs w:val="32"/>
        </w:rPr>
        <w:t>通过学科竞赛、自主招生、特长生招录等途径向一流高校培养输送更多优秀人才。</w:t>
      </w:r>
      <w:r>
        <w:rPr>
          <w:rFonts w:ascii="仿宋_GB2312" w:eastAsia="仿宋_GB2312" w:cs="仿宋_GB2312"/>
          <w:sz w:val="32"/>
          <w:szCs w:val="32"/>
        </w:rPr>
        <w:t>2018</w:t>
      </w:r>
      <w:r>
        <w:rPr>
          <w:rFonts w:hint="eastAsia" w:ascii="仿宋_GB2312" w:eastAsia="仿宋_GB2312" w:cs="仿宋_GB2312"/>
          <w:sz w:val="32"/>
          <w:szCs w:val="32"/>
        </w:rPr>
        <w:t>年全市高考再次刷新文考本科上线人数、一本上线人数、</w:t>
      </w:r>
      <w:r>
        <w:rPr>
          <w:rFonts w:ascii="仿宋_GB2312" w:eastAsia="仿宋_GB2312" w:cs="仿宋_GB2312"/>
          <w:sz w:val="32"/>
          <w:szCs w:val="32"/>
        </w:rPr>
        <w:t>600</w:t>
      </w:r>
      <w:r>
        <w:rPr>
          <w:rFonts w:hint="eastAsia" w:ascii="仿宋_GB2312" w:eastAsia="仿宋_GB2312" w:cs="仿宋_GB2312"/>
          <w:sz w:val="32"/>
          <w:szCs w:val="32"/>
        </w:rPr>
        <w:t>分以上特优生人数、“双一流”建设高校自主招生初测过关人数、清华北大录取</w:t>
      </w:r>
      <w:r>
        <w:rPr>
          <w:rFonts w:ascii="仿宋_GB2312" w:eastAsia="仿宋_GB2312" w:cs="仿宋_GB2312"/>
          <w:sz w:val="32"/>
          <w:szCs w:val="32"/>
        </w:rPr>
        <w:t>8</w:t>
      </w:r>
      <w:r>
        <w:rPr>
          <w:rFonts w:hint="eastAsia" w:ascii="仿宋_GB2312" w:eastAsia="仿宋_GB2312" w:cs="仿宋_GB2312"/>
          <w:sz w:val="32"/>
          <w:szCs w:val="32"/>
        </w:rPr>
        <w:t>人等五项历史新纪录。</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hAnsi="仿宋" w:eastAsia="仿宋_GB2312" w:cs="仿宋_GB2312"/>
          <w:sz w:val="32"/>
          <w:szCs w:val="32"/>
        </w:rPr>
        <w:t>优质教育仍需进一步扩展提升，优质教育短缺仍是社会群众关注的热点焦点。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建议市财政加大对教师节和高中质量表彰会专项经费的投入力度，确保此项工作顺利开展，充分调动广大教师的积极性，确保教育综合改革的强力推进，促进广元教育又好又快地发展。</w:t>
      </w: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教育信息化（一期）</w:t>
      </w:r>
      <w:r>
        <w:rPr>
          <w:rFonts w:hint="eastAsia" w:ascii="黑体" w:hAnsi="黑体" w:eastAsia="黑体" w:cs="方正小标宋简体"/>
          <w:sz w:val="44"/>
          <w:szCs w:val="44"/>
        </w:rPr>
        <w:t>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adjustRightInd w:val="0"/>
        <w:snapToGrid w:val="0"/>
        <w:spacing w:line="560" w:lineRule="exact"/>
        <w:ind w:firstLine="720"/>
        <w:rPr>
          <w:rFonts w:hint="eastAsia" w:ascii="仿宋_GB2312" w:hAnsi="Courier New" w:eastAsia="仿宋_GB2312" w:cs="仿宋_GB2312"/>
          <w:kern w:val="2"/>
          <w:sz w:val="32"/>
          <w:szCs w:val="32"/>
          <w:lang w:val="en-US" w:eastAsia="zh-CN" w:bidi="ar-SA"/>
        </w:rPr>
      </w:pPr>
      <w:r>
        <w:rPr>
          <w:rFonts w:hint="eastAsia" w:ascii="仿宋_GB2312" w:hAnsi="Courier New" w:eastAsia="仿宋_GB2312" w:cs="仿宋_GB2312"/>
          <w:kern w:val="2"/>
          <w:sz w:val="32"/>
          <w:szCs w:val="32"/>
          <w:lang w:val="en-US" w:eastAsia="zh-CN" w:bidi="ar-SA"/>
        </w:rPr>
        <w:t>市委、市政府高度重视教育信息化工作，将教育信息化纳入“智慧广元”建设重要内容，2013年8月27日，六届广元市人民政府第47次常务会议研究市经信委和教育局联合递交的《“智慧广元”教育信息化建设项目（一期）实施方案的请示》，会议决定：原则同意该《请示》，市经济和信息化委、市教育局按照会议讨论意见修改完善后，加快组织实施；市经济和信息化委、市教育局、市发展改革委、市财政局等部门要各司其职、各尽其责，切实做好项目规划、评审、招投标工作，其他部门要大力支持该项目建设，确保项目顺利实施。12月6日，市政府办下发《关于认真做好“智慧广元”教育信息化建设工作的通知》要求：确保项目建成后市、县区、学校实现互联互通，无缝对接，全市教育信息化建设按照统筹规划、统一建设的方式实施，采取市上统筹规划、企业投资建设、政府采取购买服务、分期付款的方式实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adjustRightInd w:val="0"/>
        <w:snapToGrid w:val="0"/>
        <w:spacing w:line="560" w:lineRule="exact"/>
        <w:ind w:firstLine="720"/>
        <w:rPr>
          <w:rFonts w:hint="eastAsia" w:ascii="仿宋_GB2312" w:hAnsi="Courier New" w:eastAsia="仿宋_GB2312" w:cs="仿宋_GB2312"/>
          <w:kern w:val="2"/>
          <w:sz w:val="32"/>
          <w:szCs w:val="32"/>
          <w:lang w:val="en-US" w:eastAsia="zh-CN" w:bidi="ar-SA"/>
        </w:rPr>
      </w:pPr>
      <w:r>
        <w:rPr>
          <w:rFonts w:hint="eastAsia" w:ascii="仿宋_GB2312" w:hAnsi="Courier New" w:eastAsia="仿宋_GB2312" w:cs="仿宋_GB2312"/>
          <w:kern w:val="2"/>
          <w:sz w:val="32"/>
          <w:szCs w:val="32"/>
          <w:lang w:val="zh-CN" w:eastAsia="zh-CN" w:bidi="ar-SA"/>
        </w:rPr>
        <w:t>教育信息化（一期）建设全面完成，</w:t>
      </w:r>
      <w:r>
        <w:rPr>
          <w:rFonts w:hint="eastAsia" w:ascii="仿宋_GB2312" w:hAnsi="Courier New" w:eastAsia="仿宋_GB2312" w:cs="仿宋_GB2312"/>
          <w:kern w:val="2"/>
          <w:sz w:val="32"/>
          <w:szCs w:val="32"/>
          <w:lang w:val="en-US" w:eastAsia="zh-CN" w:bidi="ar-SA"/>
        </w:rPr>
        <w:t>大力推进教育信息化建设应用,取得了明显成效，</w:t>
      </w:r>
      <w:r>
        <w:rPr>
          <w:rFonts w:hint="eastAsia" w:ascii="仿宋_GB2312" w:hAnsi="Courier New" w:eastAsia="仿宋_GB2312" w:cs="仿宋_GB2312"/>
          <w:kern w:val="2"/>
          <w:sz w:val="32"/>
          <w:szCs w:val="32"/>
          <w:lang w:val="zh-CN" w:eastAsia="zh-CN" w:bidi="ar-SA"/>
        </w:rPr>
        <w:t>为国家</w:t>
      </w:r>
      <w:r>
        <w:rPr>
          <w:rFonts w:hint="eastAsia" w:ascii="仿宋_GB2312" w:hAnsi="Courier New" w:eastAsia="仿宋_GB2312" w:cs="仿宋_GB2312"/>
          <w:kern w:val="2"/>
          <w:sz w:val="32"/>
          <w:szCs w:val="32"/>
          <w:lang w:val="en-US" w:eastAsia="zh-CN" w:bidi="ar-SA"/>
        </w:rPr>
        <w:t>以信息化带动教育现代化的目标奠定了坚实的基础。</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教育信息化（一期）</w:t>
      </w:r>
      <w:r>
        <w:rPr>
          <w:rFonts w:hint="eastAsia" w:ascii="仿宋_GB2312" w:hAnsi="仿宋_GB2312" w:eastAsia="仿宋_GB2312" w:cs="仿宋_GB2312"/>
          <w:sz w:val="32"/>
          <w:szCs w:val="32"/>
        </w:rPr>
        <w:t>项目支出绩效评价得分表</w:t>
      </w:r>
    </w:p>
    <w:tbl>
      <w:tblPr>
        <w:tblStyle w:val="14"/>
        <w:tblW w:w="8816" w:type="dxa"/>
        <w:jc w:val="center"/>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68"/>
        <w:gridCol w:w="2645"/>
        <w:gridCol w:w="11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单位名称</w:t>
            </w:r>
            <w:r>
              <w:rPr>
                <w:rFonts w:ascii="仿宋_GB2312" w:hAnsi="仿宋_GB2312" w:eastAsia="仿宋_GB2312" w:cs="仿宋_GB2312"/>
                <w:b/>
                <w:bCs/>
                <w:kern w:val="0"/>
                <w:szCs w:val="21"/>
              </w:rPr>
              <w:t>/</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项目名称</w:t>
            </w:r>
          </w:p>
        </w:tc>
        <w:tc>
          <w:tcPr>
            <w:tcW w:w="7233" w:type="dxa"/>
            <w:gridSpan w:val="4"/>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广元市</w:t>
            </w:r>
            <w:r>
              <w:rPr>
                <w:rFonts w:hint="eastAsia" w:ascii="仿宋_GB2312" w:hAnsi="仿宋_GB2312" w:eastAsia="仿宋_GB2312" w:cs="仿宋_GB2312"/>
                <w:b/>
                <w:bCs/>
                <w:kern w:val="0"/>
                <w:szCs w:val="21"/>
                <w:lang w:eastAsia="zh-CN"/>
              </w:rPr>
              <w:t>教育</w:t>
            </w:r>
            <w:r>
              <w:rPr>
                <w:rFonts w:hint="eastAsia" w:ascii="仿宋_GB2312" w:hAnsi="仿宋_GB2312" w:eastAsia="仿宋_GB2312" w:cs="仿宋_GB2312"/>
                <w:b/>
                <w:bCs/>
                <w:kern w:val="0"/>
                <w:szCs w:val="21"/>
              </w:rPr>
              <w:t>局</w:t>
            </w:r>
            <w:r>
              <w:rPr>
                <w:rFonts w:hint="eastAsia" w:ascii="仿宋_GB2312" w:hAnsi="仿宋_GB2312" w:eastAsia="仿宋_GB2312" w:cs="仿宋_GB2312"/>
                <w:b/>
                <w:bCs/>
                <w:kern w:val="0"/>
                <w:szCs w:val="21"/>
                <w:lang w:eastAsia="zh-CN"/>
              </w:rPr>
              <w:t>教育信息化（一期）</w:t>
            </w:r>
            <w:r>
              <w:rPr>
                <w:rFonts w:hint="eastAsia" w:ascii="仿宋_GB2312" w:hAnsi="仿宋_GB2312" w:eastAsia="仿宋_GB2312" w:cs="仿宋_GB2312"/>
                <w:b/>
                <w:bCs/>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2068"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264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三级指标</w:t>
            </w:r>
          </w:p>
        </w:tc>
        <w:tc>
          <w:tcPr>
            <w:tcW w:w="115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c>
          <w:tcPr>
            <w:tcW w:w="136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项目决策</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科学决策</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必要性（政策依据</w:t>
            </w:r>
            <w:r>
              <w:rPr>
                <w:rFonts w:ascii="仿宋_GB2312" w:hAnsi="仿宋_GB2312" w:eastAsia="仿宋_GB2312" w:cs="仿宋_GB2312"/>
                <w:kern w:val="0"/>
                <w:szCs w:val="21"/>
              </w:rPr>
              <w:t>)</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可行性（政策完善）</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绩效目标</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明确性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8"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合理性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7</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资金分配</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资金使用</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项目执行（</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执行规范</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项目绩效（特性指标</w:t>
            </w:r>
            <w:r>
              <w:rPr>
                <w:rFonts w:ascii="仿宋_GB2312" w:hAnsi="仿宋_GB2312" w:eastAsia="仿宋_GB2312" w:cs="仿宋_GB2312"/>
                <w:kern w:val="0"/>
                <w:szCs w:val="21"/>
              </w:rPr>
              <w:t>70</w:t>
            </w:r>
            <w:r>
              <w:rPr>
                <w:rFonts w:hint="eastAsia" w:ascii="仿宋_GB2312" w:hAnsi="仿宋_GB2312" w:eastAsia="仿宋_GB2312" w:cs="仿宋_GB2312"/>
                <w:kern w:val="0"/>
                <w:szCs w:val="21"/>
              </w:rPr>
              <w:t>分）</w:t>
            </w: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项目完成</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完成数量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完成质量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完成时效</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完成成本</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50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经济效益（可选项）</w:t>
            </w:r>
          </w:p>
        </w:tc>
        <w:tc>
          <w:tcPr>
            <w:tcW w:w="1155" w:type="dxa"/>
            <w:vMerge w:val="restart"/>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公平效率（可选项）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使用效率（可选项）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服务对象满意度</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583"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总分</w:t>
            </w:r>
          </w:p>
        </w:tc>
        <w:tc>
          <w:tcPr>
            <w:tcW w:w="7233" w:type="dxa"/>
            <w:gridSpan w:val="4"/>
            <w:vAlign w:val="center"/>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9</w:t>
            </w:r>
            <w:r>
              <w:rPr>
                <w:rFonts w:hint="eastAsia" w:ascii="仿宋_GB2312" w:hAnsi="仿宋_GB2312" w:eastAsia="仿宋_GB2312" w:cs="仿宋_GB2312"/>
                <w:kern w:val="0"/>
                <w:szCs w:val="21"/>
                <w:lang w:val="en-US" w:eastAsia="zh-CN"/>
              </w:rPr>
              <w:t>7</w:t>
            </w:r>
          </w:p>
        </w:tc>
      </w:tr>
    </w:tbl>
    <w:p>
      <w:pPr>
        <w:spacing w:line="580" w:lineRule="exac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240" w:lineRule="auto"/>
        <w:ind w:firstLine="640" w:firstLineChars="200"/>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lang w:eastAsia="zh-CN"/>
        </w:rPr>
        <w:t>教育部《教育信息化“十三五”规划》提出到2020年，基本建成“人人皆学、处处能学、时时可学”，与国家教育现代化发展目标相适应的教育信息化体系。我市地处盆周山区，农村教育基础薄弱，城乡教育发展不均衡，农村学校存在师资不配套、教学设备不足、优质教育资源短缺、教育质量不高等问题，加之教育信息化以前没有基础，需加快实施一期建设。</w:t>
      </w:r>
      <w:r>
        <w:rPr>
          <w:rFonts w:hint="eastAsia" w:ascii="仿宋_GB2312" w:hAnsi="楷体" w:eastAsia="仿宋_GB2312" w:cs="仿宋_GB2312"/>
          <w:sz w:val="32"/>
          <w:szCs w:val="32"/>
          <w:lang w:val="en-US" w:eastAsia="zh-CN"/>
        </w:rPr>
        <w:t xml:space="preserve">              </w:t>
      </w:r>
    </w:p>
    <w:p>
      <w:pPr>
        <w:spacing w:line="240" w:lineRule="auto"/>
        <w:ind w:firstLine="640" w:firstLineChars="200"/>
        <w:rPr>
          <w:rFonts w:ascii="仿宋" w:hAnsi="仿宋" w:eastAsia="仿宋" w:cs="仿宋_GB2312"/>
          <w:sz w:val="32"/>
          <w:szCs w:val="32"/>
        </w:rPr>
      </w:pPr>
      <w:r>
        <w:rPr>
          <w:rFonts w:hint="eastAsia" w:ascii="仿宋_GB2312" w:hAnsi="楷体" w:eastAsia="仿宋_GB2312" w:cs="仿宋_GB2312"/>
          <w:sz w:val="32"/>
          <w:szCs w:val="32"/>
          <w:lang w:val="en-US" w:eastAsia="zh-CN"/>
        </w:rPr>
        <w:t xml:space="preserve"> </w:t>
      </w:r>
      <w:r>
        <w:rPr>
          <w:rFonts w:ascii="仿宋" w:hAnsi="仿宋" w:eastAsia="仿宋" w:cs="仿宋_GB2312"/>
          <w:sz w:val="32"/>
          <w:szCs w:val="32"/>
        </w:rPr>
        <w:t>2、项目管理</w:t>
      </w:r>
    </w:p>
    <w:p>
      <w:pPr>
        <w:adjustRightInd w:val="0"/>
        <w:snapToGrid w:val="0"/>
        <w:spacing w:line="560" w:lineRule="exact"/>
        <w:ind w:firstLine="720"/>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市信息化领导小组办公室成立“智慧广元”教育信息化建设项目（一期）工作推进组。“智慧广元”教育信息化建设项目（一期）工作推进组公开招商，由中商单位四川长虹电子系统有限公司（以下简称“长虹公司”）作为投资和建设方整体出资建设。后来，又公开招标由成都安美勤信息技术股份有限公司作为项目监理单位，监督项目实施全部过程，目前项目已全面完成建设任务。</w:t>
      </w:r>
    </w:p>
    <w:p>
      <w:pPr>
        <w:adjustRightInd w:val="0"/>
        <w:snapToGrid w:val="0"/>
        <w:spacing w:line="560" w:lineRule="exact"/>
        <w:ind w:firstLine="720"/>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val="zh-CN" w:eastAsia="zh-CN"/>
        </w:rPr>
        <w:t>教育信息化专项资金纳入市教育局财务统一管理，严格按照预算标准，预算方案及发放单均需经科室负责人、分管局领导和局长签发。严格执行财务管理制度、财务处理及时、会计核算规范。</w:t>
      </w:r>
    </w:p>
    <w:p>
      <w:pPr>
        <w:spacing w:line="580" w:lineRule="exact"/>
        <w:ind w:firstLine="640" w:firstLineChars="200"/>
        <w:rPr>
          <w:rFonts w:hint="eastAsia" w:ascii="仿宋_GB2312" w:hAnsi="楷体" w:eastAsia="仿宋_GB2312" w:cs="仿宋_GB2312"/>
          <w:sz w:val="32"/>
          <w:szCs w:val="32"/>
          <w:lang w:eastAsia="zh-CN"/>
        </w:rPr>
      </w:pPr>
      <w:r>
        <w:rPr>
          <w:rFonts w:ascii="仿宋" w:hAnsi="仿宋" w:eastAsia="仿宋" w:cs="仿宋_GB2312"/>
          <w:sz w:val="32"/>
          <w:szCs w:val="32"/>
        </w:rPr>
        <w:t>3、项目绩效</w:t>
      </w:r>
    </w:p>
    <w:p>
      <w:pPr>
        <w:widowControl w:val="0"/>
        <w:adjustRightInd w:val="0"/>
        <w:snapToGrid w:val="0"/>
        <w:spacing w:line="610" w:lineRule="exact"/>
        <w:ind w:firstLine="640" w:firstLineChars="200"/>
        <w:jc w:val="both"/>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项目目标完成情况：完成县区及市直属12所学校418套班班通、13套平台接入授权等建设，实现市、县区、学校间的互联互通，无缝对接，保障其正常运行、维护和使用。</w:t>
      </w:r>
    </w:p>
    <w:p>
      <w:pPr>
        <w:widowControl w:val="0"/>
        <w:adjustRightInd w:val="0"/>
        <w:snapToGrid w:val="0"/>
        <w:spacing w:line="610" w:lineRule="exact"/>
        <w:ind w:firstLine="640" w:firstLineChars="200"/>
        <w:jc w:val="both"/>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项目效益情况：一是提高我市教育系统信息化硬件基础能力，缓解了经费一次性投入压力。二是提升了全市教育信息化应用水平，为提升教育教学质量夯实了基础。</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widowControl w:val="0"/>
        <w:adjustRightInd w:val="0"/>
        <w:snapToGrid w:val="0"/>
        <w:spacing w:line="610" w:lineRule="exact"/>
        <w:ind w:firstLine="640" w:firstLineChars="200"/>
        <w:jc w:val="both"/>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我市教育信息化以前没有基础，一期重点建设基础硬件、网络体系和24个班以上的重点学校“校校通”“班班通”建设，与《教育信息化“十三五”规划》《教育信息化2.0行动计划》各项要求还有较大差距。</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_GB2312" w:hAnsi="楷体" w:eastAsia="仿宋_GB2312" w:cs="仿宋_GB2312"/>
          <w:sz w:val="32"/>
          <w:szCs w:val="32"/>
          <w:lang w:val="zh-CN" w:eastAsia="zh-CN"/>
        </w:rPr>
        <w:t>教育信息化（一期）建设虽全面完成，</w:t>
      </w:r>
      <w:r>
        <w:rPr>
          <w:rFonts w:hint="eastAsia" w:ascii="仿宋_GB2312" w:hAnsi="楷体" w:eastAsia="仿宋_GB2312" w:cs="仿宋_GB2312"/>
          <w:sz w:val="32"/>
          <w:szCs w:val="32"/>
          <w:lang w:eastAsia="zh-CN"/>
        </w:rPr>
        <w:t>大力推进教育信息化建设应用,取得了明显成效，</w:t>
      </w:r>
      <w:r>
        <w:rPr>
          <w:rFonts w:hint="eastAsia" w:ascii="仿宋_GB2312" w:hAnsi="楷体" w:eastAsia="仿宋_GB2312" w:cs="仿宋_GB2312"/>
          <w:sz w:val="32"/>
          <w:szCs w:val="32"/>
          <w:lang w:val="zh-CN" w:eastAsia="zh-CN"/>
        </w:rPr>
        <w:t>为国家</w:t>
      </w:r>
      <w:r>
        <w:rPr>
          <w:rFonts w:hint="eastAsia" w:ascii="仿宋_GB2312" w:hAnsi="楷体" w:eastAsia="仿宋_GB2312" w:cs="仿宋_GB2312"/>
          <w:sz w:val="32"/>
          <w:szCs w:val="32"/>
          <w:lang w:eastAsia="zh-CN"/>
        </w:rPr>
        <w:t>以信息化带动教育现代化的目标奠定了坚实的基础。但教育信息化（一期）项目建设仅在必备“三通两平台”基础设施设备的配备，且配备率还未完成100%，还需加大投入，进一步实施教育信息化（二期）项目建设，全面提高我市教育信息化建设水平，全面完成 “三通两平台”建设，提高教学管理效率，实现优质教育资源共享，促进教育均衡发展。</w:t>
      </w:r>
    </w:p>
    <w:p>
      <w:pPr>
        <w:widowControl w:val="0"/>
        <w:adjustRightInd w:val="0"/>
        <w:snapToGrid w:val="0"/>
        <w:spacing w:line="610" w:lineRule="exact"/>
        <w:jc w:val="both"/>
        <w:rPr>
          <w:rFonts w:hint="eastAsia" w:ascii="仿宋_GB2312" w:hAnsi="楷体" w:eastAsia="仿宋_GB2312" w:cs="仿宋_GB2312"/>
          <w:sz w:val="32"/>
          <w:szCs w:val="32"/>
          <w:lang w:eastAsia="zh-CN"/>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干部人事档案数字化建设</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根据市委组织部印发的《市直属单位管理的干部人事档案数字化工作实施方案》（广组通〔2017〕96号）的文件要求，我局对干部人事档案进行了数字化管理，档案设施设备由市委组织部统一比选招标，对干部档案数字化回转柜、数字化信息软件、档案数字化采集及消防系统项目进行了统一采购。</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干部人事档案数字化建设</w:t>
      </w:r>
      <w:r>
        <w:rPr>
          <w:rFonts w:hint="eastAsia" w:ascii="仿宋_GB2312" w:hAnsi="仿宋_GB2312" w:eastAsia="仿宋_GB2312" w:cs="仿宋_GB2312"/>
          <w:sz w:val="32"/>
          <w:szCs w:val="32"/>
        </w:rPr>
        <w:t>项目支出绩效评价得分表</w:t>
      </w:r>
    </w:p>
    <w:tbl>
      <w:tblPr>
        <w:tblStyle w:val="14"/>
        <w:tblW w:w="8816" w:type="dxa"/>
        <w:jc w:val="center"/>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68"/>
        <w:gridCol w:w="2645"/>
        <w:gridCol w:w="11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单位名称</w:t>
            </w:r>
            <w:r>
              <w:rPr>
                <w:rFonts w:ascii="仿宋_GB2312" w:hAnsi="仿宋_GB2312" w:eastAsia="仿宋_GB2312" w:cs="仿宋_GB2312"/>
                <w:b/>
                <w:bCs/>
                <w:kern w:val="0"/>
                <w:szCs w:val="21"/>
              </w:rPr>
              <w:t>/</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项目名称</w:t>
            </w:r>
          </w:p>
        </w:tc>
        <w:tc>
          <w:tcPr>
            <w:tcW w:w="7233" w:type="dxa"/>
            <w:gridSpan w:val="4"/>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广元市</w:t>
            </w:r>
            <w:r>
              <w:rPr>
                <w:rFonts w:hint="eastAsia" w:ascii="仿宋_GB2312" w:hAnsi="仿宋_GB2312" w:eastAsia="仿宋_GB2312" w:cs="仿宋_GB2312"/>
                <w:b/>
                <w:bCs/>
                <w:kern w:val="0"/>
                <w:szCs w:val="21"/>
                <w:lang w:eastAsia="zh-CN"/>
              </w:rPr>
              <w:t>教育</w:t>
            </w:r>
            <w:r>
              <w:rPr>
                <w:rFonts w:hint="eastAsia" w:ascii="仿宋_GB2312" w:hAnsi="仿宋_GB2312" w:eastAsia="仿宋_GB2312" w:cs="仿宋_GB2312"/>
                <w:b/>
                <w:bCs/>
                <w:kern w:val="0"/>
                <w:szCs w:val="21"/>
              </w:rPr>
              <w:t>局</w:t>
            </w:r>
            <w:r>
              <w:rPr>
                <w:rFonts w:hint="eastAsia" w:ascii="仿宋_GB2312" w:hAnsi="仿宋_GB2312" w:eastAsia="仿宋_GB2312" w:cs="仿宋_GB2312"/>
                <w:b/>
                <w:bCs/>
                <w:kern w:val="0"/>
                <w:szCs w:val="21"/>
                <w:lang w:eastAsia="zh-CN"/>
              </w:rPr>
              <w:t>干部人事档案数字化建设</w:t>
            </w:r>
            <w:r>
              <w:rPr>
                <w:rFonts w:hint="eastAsia" w:ascii="仿宋_GB2312" w:hAnsi="仿宋_GB2312" w:eastAsia="仿宋_GB2312" w:cs="仿宋_GB2312"/>
                <w:b/>
                <w:bCs/>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583"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2068"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264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三级指标</w:t>
            </w:r>
          </w:p>
        </w:tc>
        <w:tc>
          <w:tcPr>
            <w:tcW w:w="115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c>
          <w:tcPr>
            <w:tcW w:w="1365" w:type="dxa"/>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项目决策</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科学决策</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必要性（政策依据</w:t>
            </w:r>
            <w:r>
              <w:rPr>
                <w:rFonts w:ascii="仿宋_GB2312" w:hAnsi="仿宋_GB2312" w:eastAsia="仿宋_GB2312" w:cs="仿宋_GB2312"/>
                <w:kern w:val="0"/>
                <w:szCs w:val="21"/>
              </w:rPr>
              <w:t>)</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可行性（政策完善）</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绩效目标</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明确性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8" w:hRule="atLeast"/>
          <w:jc w:val="center"/>
        </w:trPr>
        <w:tc>
          <w:tcPr>
            <w:tcW w:w="1583" w:type="dxa"/>
            <w:vMerge w:val="continue"/>
            <w:vAlign w:val="center"/>
          </w:tcPr>
          <w:p>
            <w:pPr>
              <w:widowControl/>
              <w:jc w:val="center"/>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合理性</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分）</w:t>
            </w:r>
          </w:p>
        </w:tc>
        <w:tc>
          <w:tcPr>
            <w:tcW w:w="2068" w:type="dxa"/>
            <w:vMerge w:val="restart"/>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7</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资金分配</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资金使用</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项目执行（</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执行规范</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583"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项目绩效（特性指标</w:t>
            </w:r>
            <w:r>
              <w:rPr>
                <w:rFonts w:ascii="仿宋_GB2312" w:hAnsi="仿宋_GB2312" w:eastAsia="仿宋_GB2312" w:cs="仿宋_GB2312"/>
                <w:kern w:val="0"/>
                <w:szCs w:val="21"/>
              </w:rPr>
              <w:t>70</w:t>
            </w:r>
            <w:r>
              <w:rPr>
                <w:rFonts w:hint="eastAsia" w:ascii="仿宋_GB2312" w:hAnsi="仿宋_GB2312" w:eastAsia="仿宋_GB2312" w:cs="仿宋_GB2312"/>
                <w:kern w:val="0"/>
                <w:szCs w:val="21"/>
              </w:rPr>
              <w:t>分）</w:t>
            </w: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项目完成</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t>）</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完成数量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完成质量</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完成时效</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完成成本</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restart"/>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50</w:t>
            </w:r>
            <w:r>
              <w:rPr>
                <w:rFonts w:hint="eastAsia" w:ascii="仿宋_GB2312" w:hAnsi="仿宋_GB2312" w:eastAsia="仿宋_GB2312" w:cs="仿宋_GB2312"/>
                <w:kern w:val="0"/>
                <w:szCs w:val="21"/>
              </w:rPr>
              <w:t>分）</w:t>
            </w: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经济效益（可选项）</w:t>
            </w:r>
          </w:p>
        </w:tc>
        <w:tc>
          <w:tcPr>
            <w:tcW w:w="1155" w:type="dxa"/>
            <w:vMerge w:val="restart"/>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可持续效益（可选项）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9"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公平效率（可选项）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使用效率（可选项）</w:t>
            </w:r>
          </w:p>
        </w:tc>
        <w:tc>
          <w:tcPr>
            <w:tcW w:w="1155" w:type="dxa"/>
            <w:vMerge w:val="continue"/>
            <w:vAlign w:val="center"/>
          </w:tcPr>
          <w:p>
            <w:pPr>
              <w:widowControl/>
              <w:jc w:val="center"/>
              <w:rPr>
                <w:rFonts w:ascii="仿宋_GB2312" w:hAnsi="仿宋_GB2312" w:eastAsia="仿宋_GB2312" w:cs="仿宋_GB2312"/>
                <w:kern w:val="0"/>
                <w:szCs w:val="21"/>
              </w:rPr>
            </w:pPr>
          </w:p>
        </w:tc>
        <w:tc>
          <w:tcPr>
            <w:tcW w:w="1365" w:type="dxa"/>
          </w:tcPr>
          <w:p>
            <w:pPr>
              <w:widowControl/>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583" w:type="dxa"/>
            <w:vMerge w:val="continue"/>
            <w:vAlign w:val="center"/>
          </w:tcPr>
          <w:p>
            <w:pPr>
              <w:widowControl/>
              <w:rPr>
                <w:rFonts w:ascii="仿宋_GB2312" w:hAnsi="仿宋_GB2312" w:eastAsia="仿宋_GB2312" w:cs="仿宋_GB2312"/>
                <w:kern w:val="0"/>
                <w:szCs w:val="21"/>
              </w:rPr>
            </w:pPr>
          </w:p>
        </w:tc>
        <w:tc>
          <w:tcPr>
            <w:tcW w:w="2068" w:type="dxa"/>
            <w:vMerge w:val="continue"/>
            <w:vAlign w:val="center"/>
          </w:tcPr>
          <w:p>
            <w:pPr>
              <w:widowControl/>
              <w:rPr>
                <w:rFonts w:ascii="仿宋_GB2312" w:hAnsi="仿宋_GB2312" w:eastAsia="仿宋_GB2312" w:cs="仿宋_GB2312"/>
                <w:kern w:val="0"/>
                <w:szCs w:val="21"/>
              </w:rPr>
            </w:pPr>
          </w:p>
        </w:tc>
        <w:tc>
          <w:tcPr>
            <w:tcW w:w="264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服务对象满意度</w:t>
            </w:r>
          </w:p>
        </w:tc>
        <w:tc>
          <w:tcPr>
            <w:tcW w:w="1155"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365" w:type="dxa"/>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583"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总分</w:t>
            </w:r>
          </w:p>
        </w:tc>
        <w:tc>
          <w:tcPr>
            <w:tcW w:w="7233" w:type="dxa"/>
            <w:gridSpan w:val="4"/>
            <w:vAlign w:val="center"/>
          </w:tcPr>
          <w:p>
            <w:pPr>
              <w:widowControl/>
              <w:jc w:val="center"/>
              <w:rPr>
                <w:rFonts w:hint="eastAsia" w:ascii="仿宋_GB2312" w:hAnsi="仿宋_GB2312" w:eastAsia="仿宋_GB2312" w:cs="仿宋_GB2312"/>
                <w:kern w:val="0"/>
                <w:szCs w:val="21"/>
                <w:lang w:eastAsia="zh-CN"/>
              </w:rPr>
            </w:pPr>
            <w:r>
              <w:rPr>
                <w:rFonts w:ascii="仿宋_GB2312" w:hAnsi="仿宋_GB2312" w:eastAsia="仿宋_GB2312" w:cs="仿宋_GB2312"/>
                <w:kern w:val="0"/>
                <w:szCs w:val="21"/>
              </w:rPr>
              <w:t>9</w:t>
            </w:r>
            <w:r>
              <w:rPr>
                <w:rFonts w:hint="eastAsia" w:ascii="仿宋_GB2312" w:hAnsi="仿宋_GB2312" w:eastAsia="仿宋_GB2312" w:cs="仿宋_GB2312"/>
                <w:kern w:val="0"/>
                <w:szCs w:val="21"/>
                <w:lang w:val="en-US" w:eastAsia="zh-CN"/>
              </w:rPr>
              <w:t>4</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pStyle w:val="5"/>
        <w:kinsoku w:val="0"/>
        <w:overflowPunct w:val="0"/>
        <w:spacing w:before="68" w:beforeLines="0" w:afterLines="0" w:line="274" w:lineRule="auto"/>
        <w:ind w:right="118" w:firstLine="640" w:firstLineChars="200"/>
        <w:jc w:val="both"/>
        <w:rPr>
          <w:rFonts w:hint="eastAsia" w:ascii="仿宋_GB2312" w:hAnsi="楷体" w:eastAsia="仿宋_GB2312" w:cs="仿宋_GB2312"/>
          <w:kern w:val="2"/>
          <w:sz w:val="32"/>
          <w:szCs w:val="32"/>
          <w:lang w:val="en-US" w:eastAsia="zh-CN" w:bidi="ar-SA"/>
        </w:rPr>
      </w:pPr>
      <w:r>
        <w:rPr>
          <w:rFonts w:hint="eastAsia" w:ascii="仿宋_GB2312" w:hAnsi="楷体" w:eastAsia="仿宋_GB2312" w:cs="仿宋_GB2312"/>
          <w:kern w:val="2"/>
          <w:sz w:val="32"/>
          <w:szCs w:val="32"/>
          <w:lang w:val="en-US" w:eastAsia="zh-CN" w:bidi="ar-SA"/>
        </w:rPr>
        <w:t>以提供更加准确、方便、快捷、优质的电子化阅档服务为方向，对干部人事档案进行数字化管理，建立健全规章制度，加强干部人事档案内容建设和基础设施建设，构建以市委组织部为资源中心，实行统一领导、统一标准、统一建设、统一管理，形成按照干部管理权限分级、分单位赋权提供阅档服务的工作格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楷体" w:eastAsia="仿宋_GB2312" w:cs="仿宋_GB2312"/>
          <w:sz w:val="32"/>
          <w:szCs w:val="32"/>
          <w:lang w:val="en-US" w:eastAsia="zh-CN"/>
        </w:rPr>
      </w:pPr>
      <w:r>
        <w:rPr>
          <w:rFonts w:hint="eastAsia" w:ascii="仿宋_GB2312" w:eastAsia="仿宋_GB2312"/>
          <w:bCs/>
          <w:snapToGrid w:val="0"/>
          <w:color w:val="000000"/>
          <w:sz w:val="32"/>
          <w:szCs w:val="32"/>
        </w:rPr>
        <w:t>自全市干部人事档案数字化管理工作启动实施以来，我局严格按照中央和省、市委组织部的统一安排部署，认真规划、严格标准、整体推进，从严从实抓好干部人事档案数字化工作。指导15所直属学校、6家事业单位全面启动了干部人事档案数字化管理工作2420卷的专项审核、整理分类、数字化扫描和高清处理。</w:t>
      </w:r>
      <w:r>
        <w:rPr>
          <w:rFonts w:hint="eastAsia" w:ascii="仿宋_GB2312" w:eastAsia="仿宋_GB2312"/>
          <w:sz w:val="32"/>
          <w:szCs w:val="32"/>
        </w:rPr>
        <w:t>我局把干部档案数字化建设作为全局重点工作，成立了干部档案数字化管理工作领导小组，细化了广元市教育局党组《开展干部人事档案数字化管理工作的实施方案》，明确专人负责干部人事档案数字化日常工作的开展，并抽调各直属学校、直属事业单位一名人事干部配合完成该项工作，做到了人员、技术、时间“三到位的要求。在实施设备的配备上严格按照管档标准与要求配置了相应的配套设施，做到了资金、设备、合同“三落实”。在管理模式上推出“集中存放、统一管理、分类负责”的干部档案管理工作新模式，确保了干部人事档案管理工作科学、规范、长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一是提高档案利用率；二是提高科学有效用档率；三是提升档案利用综合效应。</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干部人事档案数字化管理工作的完成，实现了计算机查询、无纸化管理与利用，大大提升了我局干部人事档案工作信息化管理水平，不仅提高了查档准确率，减轻了管档人员劳动强度，同时也保证了档案原件的安全性和完整性。此外，为干部人事档案建立数字化“副本”，实现干部“双档管理”，能够有效防止档案材料“涂改造假”现象发生，为杜绝干部“带病提拔”起到了重要作用。</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bCs/>
          <w:snapToGrid w:val="0"/>
          <w:color w:val="000000"/>
          <w:kern w:val="0"/>
          <w:sz w:val="32"/>
          <w:szCs w:val="32"/>
          <w:lang w:val="en-US" w:eastAsia="zh-CN" w:bidi="ar-SA"/>
        </w:rPr>
        <w:t>目前，我局现有直属学校15所和事业单位6个，归档管理干部人事档案3608卷（其中：在职人员：2420卷、离退休人员1015 卷、死亡人员173卷），而且干部人事档案逐年递增，档案管理任务重、难度大，难以为干部提供准确、方便、快捷、优质的电子化干部阅档服务，特别是与新形势、新任务、新要求相比，档案管理效率与服务对象的期望和档案标准化管理要求还有待提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干部人事档案数字化管理工作是一项长期性工作，建议政府继续加大资金的投入力度。在优先保证干部人事档案工作的日常工作开支的同时，财政部门应每年将干部人事档案日常管理等费用纳入财政预算，为干部档案数字化建设工作提供持续的经费保障。</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教师职称评审</w:t>
      </w:r>
      <w:r>
        <w:rPr>
          <w:rFonts w:hint="eastAsia" w:ascii="黑体" w:hAnsi="黑体" w:eastAsia="黑体" w:cs="方正小标宋简体"/>
          <w:sz w:val="44"/>
          <w:szCs w:val="44"/>
        </w:rPr>
        <w:t>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根据市教育局《关于做好2018年中小学教师职称评审工作的通知》（广教函〔2018〕237号）精神，制定了《广元市2018年中小学教师职称评审工作安排方案》，一是中级专业技术职务评审安排，11月17日-19日，其中，17日-18日进行专业测试及答辩（为便于申报教师参加答辩，特安排周末进行），19日学科组评议评审。二是高级职称。11月29日-12月5日，其中，11月30日、12月1-2日进行专业测试及答辩（为便于申报教师参加答辩，答辩时间尽量安排周末进行），12月3日-5日进行专家评议评审。三是设置学科评议组11个：政治学科（含政治、思想品德、心理健康、少先队活动课）；语文学科；数学学科；物理学科（含物理、小学科学）；生物学科；化学学科；历史学科；地理学科；外语学科；艺体学科（含音乐、体育、美术、幼教）；职电劳学科（含职教专业课、电化教育、信息技术、劳动（通用）技术、地方（学校）课程等），每个学科组任命组长1名（工作量大的学科组可增设副组长1名），各学科组聘请专家若干，因学科需求配备工作人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2018年，我市继续加大职称改革力度，市教育局直接评审了青川县、昭化区、朝天区和直属学校中小学教师中级职务290人，经评审，有288人符合任职资格条件。全市推荐上报高级教师职务人员960人，经评审953人通过高级职务任职资格。</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省人社厅、财政厅关于印发《四川省人事考试考务费支出管理暂行办法》的通知（川人社办发〔2017〕933号）《关于印发&lt;四川省人力资源和社会保障厅人事考试劳务费支出标准&gt;的通知》(川人社厅办〔2017〕32号) 和委办公厅、省政府办公厅《关于深化职称改革的实施意见》（川委办〔2018〕13号）《四川省中小学教师专业技术水平评价办法》《四川省中小学教师专业技术水平评价标准》等政策依据，开展中小学、中专学校中级、高级职称评审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60" w:lineRule="exact"/>
        <w:ind w:firstLine="645"/>
        <w:jc w:val="left"/>
        <w:rPr>
          <w:rFonts w:ascii="仿宋" w:hAnsi="仿宋" w:eastAsia="仿宋"/>
          <w:color w:val="333333"/>
          <w:sz w:val="32"/>
          <w:szCs w:val="32"/>
          <w:shd w:val="clear" w:color="auto" w:fill="FFFFFF"/>
        </w:rPr>
      </w:pPr>
      <w:r>
        <w:rPr>
          <w:rFonts w:hint="eastAsia" w:ascii="仿宋_GB2312" w:hAnsi="宋体" w:eastAsia="仿宋_GB2312" w:cs="宋体"/>
          <w:bCs/>
          <w:snapToGrid w:val="0"/>
          <w:color w:val="000000"/>
          <w:kern w:val="0"/>
          <w:sz w:val="32"/>
          <w:szCs w:val="32"/>
          <w:lang w:val="en-US" w:eastAsia="zh-CN" w:bidi="ar-SA"/>
        </w:rPr>
        <w:t>根据省物价局、省财政厅川价字费〔1999〕265号文件规定，申报高级职务每人次320元（含答辩费80元）、中级职务每人次200元（含答辩费60元）、初级职务每人次100元，主要用于评审过程中发生的评审专家、工作人员的劳务费、场地费以及评审所需要的办公保障费用等支出。评审费全部由市教育局政务中心窗口统一收取，进入财政专户帐。支出的所需费用由市教育局计财科负责全力保障，全力做好各项费用报销和支付工作，确保评审工作顺利进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_GB2312" w:hAnsi="宋体" w:eastAsia="仿宋_GB2312" w:cs="宋体"/>
          <w:bCs/>
          <w:snapToGrid w:val="0"/>
          <w:color w:val="000000"/>
          <w:kern w:val="0"/>
          <w:sz w:val="32"/>
          <w:szCs w:val="32"/>
          <w:lang w:val="en-US" w:eastAsia="zh-CN" w:bidi="ar-SA"/>
        </w:rPr>
        <w:t>2018年12月25日前，完成了全市中级、高级职称评审工作，专家评审考核补助费14万元。评审工作材料及部署费9万元。对高级职务申报人员建立了“答辩测试+评议+评审”评价体系，对960名申报人员实施了全员答辩，根据所学专业与所从事专业是否相近或相似，安排了现场答辩和远程答辩两种形式。有398名申报人参加了现场答辩测试，有562名申报人员参加了远程答辩。中级288人，高级953人，正高9人。学校、教师、社会满意认可，提高了教师的工作积极性，全面推动提升广元教育教学质量。</w:t>
      </w:r>
    </w:p>
    <w:p>
      <w:pPr>
        <w:numPr>
          <w:ilvl w:val="0"/>
          <w:numId w:val="0"/>
        </w:numPr>
        <w:spacing w:line="580" w:lineRule="exact"/>
        <w:ind w:leftChars="200" w:firstLine="320" w:firstLineChars="1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hAnsi="宋体" w:eastAsia="仿宋_GB2312" w:cs="宋体"/>
          <w:bCs/>
          <w:snapToGrid w:val="0"/>
          <w:color w:val="000000"/>
          <w:kern w:val="0"/>
          <w:sz w:val="32"/>
          <w:szCs w:val="32"/>
          <w:lang w:val="en-US" w:eastAsia="zh-CN" w:bidi="ar-SA"/>
        </w:rPr>
        <w:t>随着职称改革深入推进，我市承接了高级职务评审权，各地各校教师职称岗位比例增大，各县区今年又实施农村工作满30年教师申报高一级教师职称时不受岗位比例限制政策，参加评审人员成2-3倍增加，评审工作量大任务重，人员数据信息表册繁多，经费紧张。教师专业职称评审亟待推动信息化建设，平台建设维护所需费用列入财政预算。</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（一）建议推动建立中小学和职业学校教师专业技术职称申报信息化平台，所需经费列入财政预算。</w:t>
      </w:r>
    </w:p>
    <w:p>
      <w:pPr>
        <w:numPr>
          <w:ilvl w:val="0"/>
          <w:numId w:val="0"/>
        </w:num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（二）建立健全组织机构。设立学校教师专业技术职称管理中心，配备专职人员负责教师职称评审日常工作，推动教师职称深化改革。</w:t>
      </w:r>
    </w:p>
    <w:p>
      <w:pPr>
        <w:numPr>
          <w:ilvl w:val="0"/>
          <w:numId w:val="0"/>
        </w:numPr>
        <w:spacing w:line="580" w:lineRule="exact"/>
        <w:ind w:firstLine="640" w:firstLineChars="200"/>
        <w:rPr>
          <w:rFonts w:hint="eastAsia" w:ascii="仿宋_GB2312" w:hAnsi="宋体" w:eastAsia="仿宋_GB2312" w:cs="宋体"/>
          <w:bCs/>
          <w:snapToGrid w:val="0"/>
          <w:color w:val="000000"/>
          <w:kern w:val="0"/>
          <w:sz w:val="32"/>
          <w:szCs w:val="32"/>
          <w:lang w:val="en-US" w:eastAsia="zh-CN" w:bidi="ar-SA"/>
        </w:rPr>
      </w:pPr>
      <w:r>
        <w:rPr>
          <w:rFonts w:hint="eastAsia" w:ascii="仿宋_GB2312" w:hAnsi="宋体" w:eastAsia="仿宋_GB2312" w:cs="宋体"/>
          <w:bCs/>
          <w:snapToGrid w:val="0"/>
          <w:color w:val="000000"/>
          <w:kern w:val="0"/>
          <w:sz w:val="32"/>
          <w:szCs w:val="32"/>
          <w:lang w:val="en-US" w:eastAsia="zh-CN" w:bidi="ar-SA"/>
        </w:rPr>
        <w:t>（三）支持评审的硬件设施设备。评委会办公室无法为学科专家组提供远程答辩的电脑、音箱和视频，各组自行准备的设备在使用过程中存在各种问题。</w:t>
      </w: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ind w:firstLine="640" w:firstLineChars="200"/>
        <w:rPr>
          <w:rStyle w:val="27"/>
          <w:rFonts w:ascii="仿宋" w:hAnsi="仿宋" w:eastAsia="仿宋" w:cs="仿宋_GB2312"/>
          <w:b w:val="0"/>
          <w:bCs w:val="0"/>
          <w:kern w:val="2"/>
          <w:sz w:val="32"/>
          <w:szCs w:val="32"/>
        </w:rPr>
      </w:pPr>
    </w:p>
    <w:p>
      <w:pPr>
        <w:spacing w:line="580" w:lineRule="exact"/>
        <w:rPr>
          <w:rStyle w:val="27"/>
          <w:rFonts w:ascii="仿宋" w:hAnsi="仿宋" w:eastAsia="仿宋" w:cs="仿宋_GB2312"/>
          <w:b w:val="0"/>
          <w:bCs w:val="0"/>
          <w:kern w:val="2"/>
          <w:sz w:val="32"/>
          <w:szCs w:val="32"/>
        </w:rPr>
      </w:pPr>
      <w:bookmarkStart w:id="88" w:name="_GoBack"/>
      <w:bookmarkEnd w:id="88"/>
    </w:p>
    <w:p>
      <w:pPr>
        <w:spacing w:line="600" w:lineRule="exact"/>
        <w:jc w:val="center"/>
        <w:outlineLvl w:val="0"/>
        <w:rPr>
          <w:rStyle w:val="27"/>
          <w:rFonts w:ascii="黑体" w:hAnsi="黑体" w:eastAsia="黑体"/>
          <w:b w:val="0"/>
        </w:rPr>
      </w:pPr>
      <w:bookmarkStart w:id="74"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70"/>
      <w:bookmarkEnd w:id="74"/>
    </w:p>
    <w:p>
      <w:pPr>
        <w:spacing w:line="600" w:lineRule="exact"/>
        <w:jc w:val="center"/>
        <w:outlineLvl w:val="0"/>
        <w:rPr>
          <w:rStyle w:val="27"/>
          <w:rFonts w:ascii="黑体" w:hAnsi="黑体" w:eastAsia="黑体"/>
          <w:b w:val="0"/>
        </w:rPr>
      </w:pPr>
    </w:p>
    <w:p>
      <w:pPr>
        <w:pStyle w:val="3"/>
        <w:rPr>
          <w:rFonts w:ascii="仿宋" w:hAnsi="仿宋" w:eastAsia="仿宋"/>
          <w:color w:val="000000"/>
        </w:rPr>
      </w:pPr>
      <w:bookmarkStart w:id="75"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75"/>
    </w:p>
    <w:p>
      <w:pPr>
        <w:pStyle w:val="3"/>
        <w:rPr>
          <w:rFonts w:ascii="仿宋" w:hAnsi="仿宋" w:eastAsia="仿宋"/>
          <w:color w:val="000000"/>
        </w:rPr>
      </w:pPr>
      <w:bookmarkStart w:id="76" w:name="_Toc15396620"/>
      <w:r>
        <w:rPr>
          <w:rFonts w:hint="eastAsia" w:ascii="仿宋" w:hAnsi="仿宋" w:eastAsia="仿宋"/>
          <w:b w:val="0"/>
          <w:color w:val="000000"/>
        </w:rPr>
        <w:t>二、收</w:t>
      </w:r>
      <w:r>
        <w:rPr>
          <w:rStyle w:val="28"/>
          <w:rFonts w:hint="eastAsia" w:ascii="仿宋" w:hAnsi="仿宋" w:eastAsia="仿宋"/>
          <w:b w:val="0"/>
          <w:bCs w:val="0"/>
        </w:rPr>
        <w:t>入总表</w:t>
      </w:r>
      <w:bookmarkEnd w:id="76"/>
    </w:p>
    <w:p>
      <w:pPr>
        <w:pStyle w:val="3"/>
        <w:rPr>
          <w:rFonts w:ascii="仿宋" w:hAnsi="仿宋" w:eastAsia="仿宋"/>
          <w:color w:val="000000"/>
        </w:rPr>
      </w:pPr>
      <w:bookmarkStart w:id="77"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出总表</w:t>
      </w:r>
      <w:bookmarkEnd w:id="77"/>
    </w:p>
    <w:p>
      <w:pPr>
        <w:pStyle w:val="3"/>
        <w:rPr>
          <w:rFonts w:ascii="仿宋" w:hAnsi="仿宋" w:eastAsia="仿宋"/>
          <w:b w:val="0"/>
          <w:color w:val="000000"/>
        </w:rPr>
      </w:pPr>
      <w:bookmarkStart w:id="78"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78"/>
    </w:p>
    <w:p>
      <w:pPr>
        <w:pStyle w:val="3"/>
        <w:rPr>
          <w:rFonts w:ascii="仿宋" w:hAnsi="仿宋" w:eastAsia="仿宋"/>
          <w:color w:val="000000"/>
        </w:rPr>
      </w:pPr>
      <w:bookmarkStart w:id="79"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政拨款支出决算明细表（政府经济分类科目）</w:t>
      </w:r>
      <w:bookmarkEnd w:id="79"/>
    </w:p>
    <w:p>
      <w:pPr>
        <w:pStyle w:val="3"/>
        <w:rPr>
          <w:rFonts w:ascii="仿宋" w:hAnsi="仿宋" w:eastAsia="仿宋"/>
          <w:color w:val="000000"/>
        </w:rPr>
      </w:pPr>
      <w:bookmarkStart w:id="80" w:name="_Toc15396624"/>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80"/>
    </w:p>
    <w:p>
      <w:pPr>
        <w:pStyle w:val="3"/>
        <w:rPr>
          <w:rFonts w:ascii="仿宋" w:hAnsi="仿宋" w:eastAsia="仿宋"/>
          <w:color w:val="000000"/>
        </w:rPr>
      </w:pPr>
      <w:bookmarkStart w:id="81"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81"/>
    </w:p>
    <w:p>
      <w:pPr>
        <w:pStyle w:val="3"/>
        <w:rPr>
          <w:rFonts w:ascii="仿宋" w:hAnsi="仿宋" w:eastAsia="仿宋"/>
          <w:color w:val="000000"/>
        </w:rPr>
      </w:pPr>
      <w:bookmarkStart w:id="82"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82"/>
    </w:p>
    <w:p>
      <w:pPr>
        <w:pStyle w:val="3"/>
        <w:rPr>
          <w:rFonts w:ascii="仿宋" w:hAnsi="仿宋" w:eastAsia="仿宋"/>
          <w:color w:val="000000"/>
        </w:rPr>
      </w:pPr>
      <w:bookmarkStart w:id="83"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83"/>
    </w:p>
    <w:p>
      <w:pPr>
        <w:pStyle w:val="3"/>
        <w:rPr>
          <w:rFonts w:ascii="仿宋" w:hAnsi="仿宋" w:eastAsia="仿宋"/>
          <w:color w:val="000000"/>
        </w:rPr>
      </w:pPr>
      <w:bookmarkStart w:id="84"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84"/>
    </w:p>
    <w:p>
      <w:pPr>
        <w:pStyle w:val="3"/>
        <w:rPr>
          <w:rFonts w:ascii="仿宋" w:hAnsi="仿宋" w:eastAsia="仿宋"/>
          <w:color w:val="000000"/>
        </w:rPr>
      </w:pPr>
      <w:bookmarkStart w:id="85"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85"/>
    </w:p>
    <w:p>
      <w:pPr>
        <w:pStyle w:val="3"/>
        <w:rPr>
          <w:rFonts w:ascii="仿宋" w:hAnsi="仿宋" w:eastAsia="仿宋"/>
          <w:color w:val="000000"/>
        </w:rPr>
      </w:pPr>
      <w:bookmarkStart w:id="86"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86"/>
    </w:p>
    <w:p>
      <w:pPr>
        <w:pStyle w:val="3"/>
        <w:rPr>
          <w:rFonts w:ascii="仿宋" w:hAnsi="仿宋" w:eastAsia="仿宋"/>
          <w:color w:val="000000" w:themeColor="text1"/>
          <w14:textFill>
            <w14:solidFill>
              <w14:schemeClr w14:val="tx1"/>
            </w14:solidFill>
          </w14:textFill>
        </w:rPr>
      </w:pPr>
      <w:bookmarkStart w:id="87"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8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_GB2312"/>
    <w:panose1 w:val="00000000000000000000"/>
    <w:charset w:val="00"/>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28A97"/>
    <w:multiLevelType w:val="singleLevel"/>
    <w:tmpl w:val="9DC28A97"/>
    <w:lvl w:ilvl="0" w:tentative="0">
      <w:start w:val="2"/>
      <w:numFmt w:val="chineseCounting"/>
      <w:suff w:val="nothing"/>
      <w:lvlText w:val="（%1）"/>
      <w:lvlJc w:val="left"/>
      <w:rPr>
        <w:rFonts w:hint="eastAsia"/>
      </w:rPr>
    </w:lvl>
  </w:abstractNum>
  <w:abstractNum w:abstractNumId="1">
    <w:nsid w:val="C1AFCA65"/>
    <w:multiLevelType w:val="singleLevel"/>
    <w:tmpl w:val="C1AFCA65"/>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F33C2A4B"/>
    <w:multiLevelType w:val="singleLevel"/>
    <w:tmpl w:val="F33C2A4B"/>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6"/>
  </w:num>
  <w:num w:numId="2">
    <w:abstractNumId w:val="2"/>
  </w:num>
  <w:num w:numId="3">
    <w:abstractNumId w:val="7"/>
  </w:num>
  <w:num w:numId="4">
    <w:abstractNumId w:val="4"/>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1E24"/>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51C25"/>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87188"/>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ACA"/>
    <w:rsid w:val="007D3F19"/>
    <w:rsid w:val="007E23B0"/>
    <w:rsid w:val="007F1991"/>
    <w:rsid w:val="007F2C2F"/>
    <w:rsid w:val="007F3B10"/>
    <w:rsid w:val="007F55FC"/>
    <w:rsid w:val="007F5665"/>
    <w:rsid w:val="00800112"/>
    <w:rsid w:val="008215AD"/>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069B5"/>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58B"/>
    <w:rsid w:val="00A91760"/>
    <w:rsid w:val="00A93B00"/>
    <w:rsid w:val="00A93C21"/>
    <w:rsid w:val="00A97862"/>
    <w:rsid w:val="00AC3C6A"/>
    <w:rsid w:val="00AD5620"/>
    <w:rsid w:val="00AD7C1B"/>
    <w:rsid w:val="00AE16BA"/>
    <w:rsid w:val="00AE1EBE"/>
    <w:rsid w:val="00B03C9D"/>
    <w:rsid w:val="00B060AE"/>
    <w:rsid w:val="00B10517"/>
    <w:rsid w:val="00B14E76"/>
    <w:rsid w:val="00B161B8"/>
    <w:rsid w:val="00B174FE"/>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1605A"/>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62674"/>
    <w:rsid w:val="00F63B8D"/>
    <w:rsid w:val="00F81FD9"/>
    <w:rsid w:val="00F841AA"/>
    <w:rsid w:val="00FA23E8"/>
    <w:rsid w:val="00FD3CC1"/>
    <w:rsid w:val="00FF1E02"/>
    <w:rsid w:val="00FF30B4"/>
    <w:rsid w:val="01C02E99"/>
    <w:rsid w:val="01FF7C29"/>
    <w:rsid w:val="021C5D47"/>
    <w:rsid w:val="021D342E"/>
    <w:rsid w:val="02286CFB"/>
    <w:rsid w:val="029E26CF"/>
    <w:rsid w:val="03737965"/>
    <w:rsid w:val="039107D8"/>
    <w:rsid w:val="043A6818"/>
    <w:rsid w:val="04894D09"/>
    <w:rsid w:val="04BD5FA4"/>
    <w:rsid w:val="05071D5A"/>
    <w:rsid w:val="05346313"/>
    <w:rsid w:val="055B6E39"/>
    <w:rsid w:val="05925368"/>
    <w:rsid w:val="05C477C1"/>
    <w:rsid w:val="06032CD1"/>
    <w:rsid w:val="062772CF"/>
    <w:rsid w:val="067279B2"/>
    <w:rsid w:val="0757109E"/>
    <w:rsid w:val="07CD6D21"/>
    <w:rsid w:val="080C2C75"/>
    <w:rsid w:val="082450C2"/>
    <w:rsid w:val="08315C3F"/>
    <w:rsid w:val="085C7988"/>
    <w:rsid w:val="08A72A74"/>
    <w:rsid w:val="08DC32B8"/>
    <w:rsid w:val="08E0410F"/>
    <w:rsid w:val="08E27C21"/>
    <w:rsid w:val="09940B80"/>
    <w:rsid w:val="09A747AB"/>
    <w:rsid w:val="09DD00ED"/>
    <w:rsid w:val="09F0193B"/>
    <w:rsid w:val="0A0C2995"/>
    <w:rsid w:val="0A2B45A3"/>
    <w:rsid w:val="0A923CCB"/>
    <w:rsid w:val="0AC14CD5"/>
    <w:rsid w:val="0AD262E0"/>
    <w:rsid w:val="0AD7099B"/>
    <w:rsid w:val="0AD8109D"/>
    <w:rsid w:val="0B2D1D07"/>
    <w:rsid w:val="0B337B6B"/>
    <w:rsid w:val="0B34588A"/>
    <w:rsid w:val="0B721EA5"/>
    <w:rsid w:val="0B726322"/>
    <w:rsid w:val="0B7A2483"/>
    <w:rsid w:val="0B933BF1"/>
    <w:rsid w:val="0B96418F"/>
    <w:rsid w:val="0BB81821"/>
    <w:rsid w:val="0BCA3F7F"/>
    <w:rsid w:val="0BF1147B"/>
    <w:rsid w:val="0C322F99"/>
    <w:rsid w:val="0C8D2683"/>
    <w:rsid w:val="0CDB590F"/>
    <w:rsid w:val="0D066F95"/>
    <w:rsid w:val="0D4057FA"/>
    <w:rsid w:val="0D4A278C"/>
    <w:rsid w:val="0D927C4E"/>
    <w:rsid w:val="0D9A6F8D"/>
    <w:rsid w:val="0DF2432E"/>
    <w:rsid w:val="0E344A60"/>
    <w:rsid w:val="0E4565B3"/>
    <w:rsid w:val="0E7D45C7"/>
    <w:rsid w:val="0EA62F58"/>
    <w:rsid w:val="0ED444FA"/>
    <w:rsid w:val="0F344A9D"/>
    <w:rsid w:val="0F566E2C"/>
    <w:rsid w:val="0FC6478B"/>
    <w:rsid w:val="0FF6427A"/>
    <w:rsid w:val="108A3583"/>
    <w:rsid w:val="10BC1B4E"/>
    <w:rsid w:val="10C055FF"/>
    <w:rsid w:val="10FB4416"/>
    <w:rsid w:val="11232C65"/>
    <w:rsid w:val="11A02D2C"/>
    <w:rsid w:val="11D92009"/>
    <w:rsid w:val="11E83204"/>
    <w:rsid w:val="11E87B1E"/>
    <w:rsid w:val="12037953"/>
    <w:rsid w:val="1210284A"/>
    <w:rsid w:val="122C031D"/>
    <w:rsid w:val="12361068"/>
    <w:rsid w:val="123D2B49"/>
    <w:rsid w:val="125A179F"/>
    <w:rsid w:val="12E937D0"/>
    <w:rsid w:val="132E4CEB"/>
    <w:rsid w:val="136E3855"/>
    <w:rsid w:val="13BE5685"/>
    <w:rsid w:val="13BF33D5"/>
    <w:rsid w:val="14404855"/>
    <w:rsid w:val="14883405"/>
    <w:rsid w:val="14944B78"/>
    <w:rsid w:val="14952FCD"/>
    <w:rsid w:val="14B273B2"/>
    <w:rsid w:val="14BB1296"/>
    <w:rsid w:val="14D569DB"/>
    <w:rsid w:val="154505AC"/>
    <w:rsid w:val="15465220"/>
    <w:rsid w:val="15562F0D"/>
    <w:rsid w:val="15691AC9"/>
    <w:rsid w:val="15B8181F"/>
    <w:rsid w:val="15E6759D"/>
    <w:rsid w:val="15FB5465"/>
    <w:rsid w:val="162C4B19"/>
    <w:rsid w:val="166B70C1"/>
    <w:rsid w:val="16B654C2"/>
    <w:rsid w:val="16BB723D"/>
    <w:rsid w:val="16D141C4"/>
    <w:rsid w:val="171600DA"/>
    <w:rsid w:val="17356E78"/>
    <w:rsid w:val="175052B1"/>
    <w:rsid w:val="177B5683"/>
    <w:rsid w:val="181C1091"/>
    <w:rsid w:val="183728AF"/>
    <w:rsid w:val="19231BA4"/>
    <w:rsid w:val="197868E1"/>
    <w:rsid w:val="199F669F"/>
    <w:rsid w:val="19D82000"/>
    <w:rsid w:val="1A031F70"/>
    <w:rsid w:val="1A4A0ED9"/>
    <w:rsid w:val="1ACB35E8"/>
    <w:rsid w:val="1AED5451"/>
    <w:rsid w:val="1AFA675E"/>
    <w:rsid w:val="1B0308BC"/>
    <w:rsid w:val="1B064557"/>
    <w:rsid w:val="1B1601DE"/>
    <w:rsid w:val="1B4045D7"/>
    <w:rsid w:val="1B46467D"/>
    <w:rsid w:val="1B6814C8"/>
    <w:rsid w:val="1BA934CA"/>
    <w:rsid w:val="1BBA42AA"/>
    <w:rsid w:val="1BC73B4C"/>
    <w:rsid w:val="1BDC49AC"/>
    <w:rsid w:val="1BF974B9"/>
    <w:rsid w:val="1C100E4F"/>
    <w:rsid w:val="1C4875F3"/>
    <w:rsid w:val="1C59321E"/>
    <w:rsid w:val="1C6D181E"/>
    <w:rsid w:val="1C9F4A8A"/>
    <w:rsid w:val="1CCD194A"/>
    <w:rsid w:val="1D0C31C9"/>
    <w:rsid w:val="1D294D7B"/>
    <w:rsid w:val="1D3D357D"/>
    <w:rsid w:val="1D6468E0"/>
    <w:rsid w:val="1D9D64F1"/>
    <w:rsid w:val="1DDA3328"/>
    <w:rsid w:val="1E0567B2"/>
    <w:rsid w:val="1E65013A"/>
    <w:rsid w:val="1E6F77E2"/>
    <w:rsid w:val="1EEF5104"/>
    <w:rsid w:val="1F1353CA"/>
    <w:rsid w:val="1F253BD7"/>
    <w:rsid w:val="1F763A17"/>
    <w:rsid w:val="1F925D1C"/>
    <w:rsid w:val="1FC5341C"/>
    <w:rsid w:val="203D4E7D"/>
    <w:rsid w:val="20A60CFB"/>
    <w:rsid w:val="20E32939"/>
    <w:rsid w:val="212E7B12"/>
    <w:rsid w:val="21387F29"/>
    <w:rsid w:val="21EF240F"/>
    <w:rsid w:val="22233A23"/>
    <w:rsid w:val="22554A3E"/>
    <w:rsid w:val="228F3121"/>
    <w:rsid w:val="229D042D"/>
    <w:rsid w:val="229F629B"/>
    <w:rsid w:val="22A65333"/>
    <w:rsid w:val="2307238B"/>
    <w:rsid w:val="23415332"/>
    <w:rsid w:val="23700920"/>
    <w:rsid w:val="23980183"/>
    <w:rsid w:val="23EE1999"/>
    <w:rsid w:val="240371BF"/>
    <w:rsid w:val="240F09D3"/>
    <w:rsid w:val="24137D1A"/>
    <w:rsid w:val="242D09EE"/>
    <w:rsid w:val="244E206D"/>
    <w:rsid w:val="246F2197"/>
    <w:rsid w:val="24816970"/>
    <w:rsid w:val="253667C1"/>
    <w:rsid w:val="25DD6260"/>
    <w:rsid w:val="25F13969"/>
    <w:rsid w:val="26403A7C"/>
    <w:rsid w:val="26454E4F"/>
    <w:rsid w:val="265A3833"/>
    <w:rsid w:val="26964A15"/>
    <w:rsid w:val="26A45936"/>
    <w:rsid w:val="271A088D"/>
    <w:rsid w:val="272B7A7C"/>
    <w:rsid w:val="274C0E9F"/>
    <w:rsid w:val="27882304"/>
    <w:rsid w:val="27B35970"/>
    <w:rsid w:val="27C36FA4"/>
    <w:rsid w:val="27CD1FA3"/>
    <w:rsid w:val="28330C99"/>
    <w:rsid w:val="283B5AFE"/>
    <w:rsid w:val="283B6A9D"/>
    <w:rsid w:val="28C67768"/>
    <w:rsid w:val="28CB2030"/>
    <w:rsid w:val="29071338"/>
    <w:rsid w:val="290F5625"/>
    <w:rsid w:val="29225410"/>
    <w:rsid w:val="29550D17"/>
    <w:rsid w:val="29CF2A8B"/>
    <w:rsid w:val="29D9070F"/>
    <w:rsid w:val="29DC60BB"/>
    <w:rsid w:val="29FD04D3"/>
    <w:rsid w:val="2A6C24E8"/>
    <w:rsid w:val="2A7114F8"/>
    <w:rsid w:val="2A9931CF"/>
    <w:rsid w:val="2B245DA8"/>
    <w:rsid w:val="2B2D0B8A"/>
    <w:rsid w:val="2B3508AC"/>
    <w:rsid w:val="2B564AC8"/>
    <w:rsid w:val="2BD97B0B"/>
    <w:rsid w:val="2C7F43AF"/>
    <w:rsid w:val="2CC72E6B"/>
    <w:rsid w:val="2CF40FB9"/>
    <w:rsid w:val="2D207AA6"/>
    <w:rsid w:val="2DCD7D0D"/>
    <w:rsid w:val="2DDF2C7C"/>
    <w:rsid w:val="2E00348B"/>
    <w:rsid w:val="2E0B0155"/>
    <w:rsid w:val="2E187083"/>
    <w:rsid w:val="2E6A174F"/>
    <w:rsid w:val="2E8E6687"/>
    <w:rsid w:val="2EB506C9"/>
    <w:rsid w:val="2ECE61DF"/>
    <w:rsid w:val="2EF86A4F"/>
    <w:rsid w:val="2F005E83"/>
    <w:rsid w:val="2F043B4D"/>
    <w:rsid w:val="2F06184A"/>
    <w:rsid w:val="2F0C1FFE"/>
    <w:rsid w:val="2F1D07BE"/>
    <w:rsid w:val="2F302E2B"/>
    <w:rsid w:val="2F417DF8"/>
    <w:rsid w:val="2F71478C"/>
    <w:rsid w:val="2F857B76"/>
    <w:rsid w:val="2F994CB5"/>
    <w:rsid w:val="2FB55FD7"/>
    <w:rsid w:val="2FB67D9B"/>
    <w:rsid w:val="2FC853FD"/>
    <w:rsid w:val="2FF075DF"/>
    <w:rsid w:val="3016183C"/>
    <w:rsid w:val="30326C46"/>
    <w:rsid w:val="304065DD"/>
    <w:rsid w:val="30790BB6"/>
    <w:rsid w:val="30BD2B13"/>
    <w:rsid w:val="30FF3553"/>
    <w:rsid w:val="310B4F8F"/>
    <w:rsid w:val="313202B6"/>
    <w:rsid w:val="3146388E"/>
    <w:rsid w:val="316A55FF"/>
    <w:rsid w:val="319F7F4E"/>
    <w:rsid w:val="31D53AE7"/>
    <w:rsid w:val="321B003A"/>
    <w:rsid w:val="32506EAE"/>
    <w:rsid w:val="33304624"/>
    <w:rsid w:val="334435C2"/>
    <w:rsid w:val="336E4B97"/>
    <w:rsid w:val="338845E6"/>
    <w:rsid w:val="33B53773"/>
    <w:rsid w:val="33CD34CA"/>
    <w:rsid w:val="33D27411"/>
    <w:rsid w:val="344A5341"/>
    <w:rsid w:val="34503B5E"/>
    <w:rsid w:val="35581ADC"/>
    <w:rsid w:val="35943FE7"/>
    <w:rsid w:val="35AC239B"/>
    <w:rsid w:val="35E049D9"/>
    <w:rsid w:val="360C40C3"/>
    <w:rsid w:val="365830CC"/>
    <w:rsid w:val="36C60859"/>
    <w:rsid w:val="371F42E7"/>
    <w:rsid w:val="372A7DA0"/>
    <w:rsid w:val="37376DD2"/>
    <w:rsid w:val="374D65F7"/>
    <w:rsid w:val="377D4FFD"/>
    <w:rsid w:val="379D45B9"/>
    <w:rsid w:val="37F075AB"/>
    <w:rsid w:val="37F61B25"/>
    <w:rsid w:val="380662B7"/>
    <w:rsid w:val="38185AFF"/>
    <w:rsid w:val="38345844"/>
    <w:rsid w:val="38711D4C"/>
    <w:rsid w:val="38961DC6"/>
    <w:rsid w:val="38C72EF0"/>
    <w:rsid w:val="39235239"/>
    <w:rsid w:val="39A477CE"/>
    <w:rsid w:val="3A1A4E04"/>
    <w:rsid w:val="3A66343D"/>
    <w:rsid w:val="3A665E5B"/>
    <w:rsid w:val="3A765FA6"/>
    <w:rsid w:val="3AE75349"/>
    <w:rsid w:val="3AF94E26"/>
    <w:rsid w:val="3B47102C"/>
    <w:rsid w:val="3B83444A"/>
    <w:rsid w:val="3B9B4E0D"/>
    <w:rsid w:val="3BA44CFC"/>
    <w:rsid w:val="3BC013B9"/>
    <w:rsid w:val="3BC35712"/>
    <w:rsid w:val="3BC73EC2"/>
    <w:rsid w:val="3BCA578F"/>
    <w:rsid w:val="3BFE61A6"/>
    <w:rsid w:val="3C661844"/>
    <w:rsid w:val="3D3B3884"/>
    <w:rsid w:val="3D86019C"/>
    <w:rsid w:val="3DA707F2"/>
    <w:rsid w:val="3DC46D7F"/>
    <w:rsid w:val="3E0201F0"/>
    <w:rsid w:val="3E192962"/>
    <w:rsid w:val="3E1E3D79"/>
    <w:rsid w:val="3E204F8A"/>
    <w:rsid w:val="3E2365D2"/>
    <w:rsid w:val="3E283D58"/>
    <w:rsid w:val="3E2A0C16"/>
    <w:rsid w:val="3EE62463"/>
    <w:rsid w:val="3EF87732"/>
    <w:rsid w:val="3F754C5C"/>
    <w:rsid w:val="3F837F5D"/>
    <w:rsid w:val="3F8B555A"/>
    <w:rsid w:val="3FA00F1D"/>
    <w:rsid w:val="3FC95967"/>
    <w:rsid w:val="3FCB0B74"/>
    <w:rsid w:val="3FED3666"/>
    <w:rsid w:val="3FF236E0"/>
    <w:rsid w:val="4011658F"/>
    <w:rsid w:val="402B2E02"/>
    <w:rsid w:val="407925C2"/>
    <w:rsid w:val="40870E19"/>
    <w:rsid w:val="41257AC9"/>
    <w:rsid w:val="414E7CD9"/>
    <w:rsid w:val="415F72BF"/>
    <w:rsid w:val="417C0451"/>
    <w:rsid w:val="419C0ADD"/>
    <w:rsid w:val="41A44374"/>
    <w:rsid w:val="41B36F82"/>
    <w:rsid w:val="41BD0F60"/>
    <w:rsid w:val="41BF07A7"/>
    <w:rsid w:val="42485F80"/>
    <w:rsid w:val="425A46CD"/>
    <w:rsid w:val="42AD1D19"/>
    <w:rsid w:val="42B92FCD"/>
    <w:rsid w:val="431A6E79"/>
    <w:rsid w:val="433969F6"/>
    <w:rsid w:val="434B64DD"/>
    <w:rsid w:val="43521073"/>
    <w:rsid w:val="4354576E"/>
    <w:rsid w:val="439327BA"/>
    <w:rsid w:val="439F2779"/>
    <w:rsid w:val="43C15BA3"/>
    <w:rsid w:val="43C8619A"/>
    <w:rsid w:val="44112E15"/>
    <w:rsid w:val="441C465A"/>
    <w:rsid w:val="442D3C3E"/>
    <w:rsid w:val="44A846D6"/>
    <w:rsid w:val="44C70D7C"/>
    <w:rsid w:val="44E1296C"/>
    <w:rsid w:val="450F7D94"/>
    <w:rsid w:val="453426EB"/>
    <w:rsid w:val="4562397D"/>
    <w:rsid w:val="457917A1"/>
    <w:rsid w:val="457B7054"/>
    <w:rsid w:val="459630D9"/>
    <w:rsid w:val="45BF55E9"/>
    <w:rsid w:val="45FE2B07"/>
    <w:rsid w:val="460F0054"/>
    <w:rsid w:val="466D5F9C"/>
    <w:rsid w:val="46CC22EB"/>
    <w:rsid w:val="46F86A84"/>
    <w:rsid w:val="470252F0"/>
    <w:rsid w:val="47250A5E"/>
    <w:rsid w:val="47370D67"/>
    <w:rsid w:val="477751E4"/>
    <w:rsid w:val="479A3B9E"/>
    <w:rsid w:val="47B3764B"/>
    <w:rsid w:val="48007326"/>
    <w:rsid w:val="482109D9"/>
    <w:rsid w:val="48580BC9"/>
    <w:rsid w:val="48B16543"/>
    <w:rsid w:val="48D43BDE"/>
    <w:rsid w:val="48F21328"/>
    <w:rsid w:val="49013AC1"/>
    <w:rsid w:val="492750D4"/>
    <w:rsid w:val="497308C3"/>
    <w:rsid w:val="49B93C68"/>
    <w:rsid w:val="49BA2C19"/>
    <w:rsid w:val="49C14F93"/>
    <w:rsid w:val="49C32B1F"/>
    <w:rsid w:val="49E36A17"/>
    <w:rsid w:val="4A6A4BAD"/>
    <w:rsid w:val="4AA56771"/>
    <w:rsid w:val="4AC103FC"/>
    <w:rsid w:val="4AEE26B8"/>
    <w:rsid w:val="4B1C72DA"/>
    <w:rsid w:val="4B2A30E1"/>
    <w:rsid w:val="4B2B78F8"/>
    <w:rsid w:val="4B602CA9"/>
    <w:rsid w:val="4B6F6ED9"/>
    <w:rsid w:val="4B8065EE"/>
    <w:rsid w:val="4B8B60E3"/>
    <w:rsid w:val="4BAC5508"/>
    <w:rsid w:val="4BE753EB"/>
    <w:rsid w:val="4BFA057C"/>
    <w:rsid w:val="4C056404"/>
    <w:rsid w:val="4C154FE5"/>
    <w:rsid w:val="4C182071"/>
    <w:rsid w:val="4C402153"/>
    <w:rsid w:val="4CC801AC"/>
    <w:rsid w:val="4CE265C7"/>
    <w:rsid w:val="4CE408B6"/>
    <w:rsid w:val="4D1265BA"/>
    <w:rsid w:val="4D45074F"/>
    <w:rsid w:val="4D7B3785"/>
    <w:rsid w:val="4D8427CC"/>
    <w:rsid w:val="4E035C84"/>
    <w:rsid w:val="4E0C390B"/>
    <w:rsid w:val="4E825266"/>
    <w:rsid w:val="4E9D1B16"/>
    <w:rsid w:val="4EBE26A7"/>
    <w:rsid w:val="4F51766D"/>
    <w:rsid w:val="4FA25966"/>
    <w:rsid w:val="50615459"/>
    <w:rsid w:val="508156D0"/>
    <w:rsid w:val="50852620"/>
    <w:rsid w:val="50AA2F85"/>
    <w:rsid w:val="51156DB3"/>
    <w:rsid w:val="512428AC"/>
    <w:rsid w:val="513F4692"/>
    <w:rsid w:val="51497D8A"/>
    <w:rsid w:val="514D4713"/>
    <w:rsid w:val="51DF22F2"/>
    <w:rsid w:val="52710E73"/>
    <w:rsid w:val="529F01AB"/>
    <w:rsid w:val="52D22810"/>
    <w:rsid w:val="52FF4E8A"/>
    <w:rsid w:val="531C7DD7"/>
    <w:rsid w:val="53A90959"/>
    <w:rsid w:val="53FB4D68"/>
    <w:rsid w:val="545479FE"/>
    <w:rsid w:val="546806A3"/>
    <w:rsid w:val="54F55E12"/>
    <w:rsid w:val="55673D4C"/>
    <w:rsid w:val="55843271"/>
    <w:rsid w:val="55970760"/>
    <w:rsid w:val="55DD12A9"/>
    <w:rsid w:val="55E745D8"/>
    <w:rsid w:val="566453B6"/>
    <w:rsid w:val="56712530"/>
    <w:rsid w:val="56804208"/>
    <w:rsid w:val="56A2495E"/>
    <w:rsid w:val="56BA1D77"/>
    <w:rsid w:val="56BA6D38"/>
    <w:rsid w:val="570F7AF9"/>
    <w:rsid w:val="573F725B"/>
    <w:rsid w:val="57724E94"/>
    <w:rsid w:val="577725AA"/>
    <w:rsid w:val="57775514"/>
    <w:rsid w:val="57A0450D"/>
    <w:rsid w:val="58654843"/>
    <w:rsid w:val="586A0250"/>
    <w:rsid w:val="58E87871"/>
    <w:rsid w:val="59137851"/>
    <w:rsid w:val="59355CF1"/>
    <w:rsid w:val="593F7E4B"/>
    <w:rsid w:val="59540536"/>
    <w:rsid w:val="59902A4D"/>
    <w:rsid w:val="59956CEE"/>
    <w:rsid w:val="599C42C9"/>
    <w:rsid w:val="59CA6A19"/>
    <w:rsid w:val="5A4D08F3"/>
    <w:rsid w:val="5A5A1636"/>
    <w:rsid w:val="5A5A4263"/>
    <w:rsid w:val="5AA84EA2"/>
    <w:rsid w:val="5B134065"/>
    <w:rsid w:val="5B383793"/>
    <w:rsid w:val="5B4A37C7"/>
    <w:rsid w:val="5B5324B0"/>
    <w:rsid w:val="5C016301"/>
    <w:rsid w:val="5C28117C"/>
    <w:rsid w:val="5CD74B30"/>
    <w:rsid w:val="5CEA1B6C"/>
    <w:rsid w:val="5CFF344F"/>
    <w:rsid w:val="5D7033B0"/>
    <w:rsid w:val="5D9C1C8C"/>
    <w:rsid w:val="5DA023A2"/>
    <w:rsid w:val="5E5129E8"/>
    <w:rsid w:val="5E5D44E1"/>
    <w:rsid w:val="5E6167CE"/>
    <w:rsid w:val="5E912CE8"/>
    <w:rsid w:val="5EE37DB5"/>
    <w:rsid w:val="5EFC7A01"/>
    <w:rsid w:val="5F752F5F"/>
    <w:rsid w:val="5F76452A"/>
    <w:rsid w:val="5F833DC7"/>
    <w:rsid w:val="5F8466C6"/>
    <w:rsid w:val="5FA42338"/>
    <w:rsid w:val="5FAD52B9"/>
    <w:rsid w:val="5FC25558"/>
    <w:rsid w:val="5FE575F8"/>
    <w:rsid w:val="5FF33643"/>
    <w:rsid w:val="60182C68"/>
    <w:rsid w:val="603C3543"/>
    <w:rsid w:val="605A5131"/>
    <w:rsid w:val="60F1193D"/>
    <w:rsid w:val="60F41F7F"/>
    <w:rsid w:val="60FD2D07"/>
    <w:rsid w:val="616C2D4E"/>
    <w:rsid w:val="619E2037"/>
    <w:rsid w:val="619E56ED"/>
    <w:rsid w:val="61A27F07"/>
    <w:rsid w:val="61B27FC4"/>
    <w:rsid w:val="61C15165"/>
    <w:rsid w:val="62035F17"/>
    <w:rsid w:val="62051DDD"/>
    <w:rsid w:val="6216479B"/>
    <w:rsid w:val="6238704B"/>
    <w:rsid w:val="62545FB8"/>
    <w:rsid w:val="627A2CEB"/>
    <w:rsid w:val="629A0233"/>
    <w:rsid w:val="63111E9A"/>
    <w:rsid w:val="631325E4"/>
    <w:rsid w:val="631B517F"/>
    <w:rsid w:val="6355005C"/>
    <w:rsid w:val="63722DB9"/>
    <w:rsid w:val="637F4800"/>
    <w:rsid w:val="63CE3940"/>
    <w:rsid w:val="63DC7047"/>
    <w:rsid w:val="642E2871"/>
    <w:rsid w:val="64385D30"/>
    <w:rsid w:val="64585537"/>
    <w:rsid w:val="646B1AFF"/>
    <w:rsid w:val="648421AC"/>
    <w:rsid w:val="65572C62"/>
    <w:rsid w:val="656A2971"/>
    <w:rsid w:val="65851D75"/>
    <w:rsid w:val="65A86237"/>
    <w:rsid w:val="65DF75A0"/>
    <w:rsid w:val="65EF00CD"/>
    <w:rsid w:val="65F12063"/>
    <w:rsid w:val="66043EBC"/>
    <w:rsid w:val="665613F1"/>
    <w:rsid w:val="666E5386"/>
    <w:rsid w:val="66866C76"/>
    <w:rsid w:val="669E5B33"/>
    <w:rsid w:val="66AB0810"/>
    <w:rsid w:val="66C743B1"/>
    <w:rsid w:val="67377300"/>
    <w:rsid w:val="674E706E"/>
    <w:rsid w:val="67760D19"/>
    <w:rsid w:val="678A543A"/>
    <w:rsid w:val="679B0953"/>
    <w:rsid w:val="67D220C7"/>
    <w:rsid w:val="67E42368"/>
    <w:rsid w:val="68827A94"/>
    <w:rsid w:val="689107BE"/>
    <w:rsid w:val="68CC5D02"/>
    <w:rsid w:val="69851F61"/>
    <w:rsid w:val="698B409B"/>
    <w:rsid w:val="69C96A3A"/>
    <w:rsid w:val="69EE1B04"/>
    <w:rsid w:val="6A1006AF"/>
    <w:rsid w:val="6A5B5C5E"/>
    <w:rsid w:val="6A630679"/>
    <w:rsid w:val="6A8F4E38"/>
    <w:rsid w:val="6AC42C9F"/>
    <w:rsid w:val="6AD069BA"/>
    <w:rsid w:val="6B266B71"/>
    <w:rsid w:val="6B954C69"/>
    <w:rsid w:val="6BB56174"/>
    <w:rsid w:val="6BBD6B5A"/>
    <w:rsid w:val="6BBF6E16"/>
    <w:rsid w:val="6BC41B2D"/>
    <w:rsid w:val="6C1F086C"/>
    <w:rsid w:val="6C2059A3"/>
    <w:rsid w:val="6C23582B"/>
    <w:rsid w:val="6C2F05D1"/>
    <w:rsid w:val="6C387BC2"/>
    <w:rsid w:val="6D0D0242"/>
    <w:rsid w:val="6D1F0E8B"/>
    <w:rsid w:val="6D415D56"/>
    <w:rsid w:val="6D4F6DE2"/>
    <w:rsid w:val="6D5413FA"/>
    <w:rsid w:val="6D6474AD"/>
    <w:rsid w:val="6D6D37ED"/>
    <w:rsid w:val="6D777AC3"/>
    <w:rsid w:val="6D8352C8"/>
    <w:rsid w:val="6DC27DB9"/>
    <w:rsid w:val="6E0D302E"/>
    <w:rsid w:val="6E13089D"/>
    <w:rsid w:val="6E266B80"/>
    <w:rsid w:val="6E34311E"/>
    <w:rsid w:val="6E710D11"/>
    <w:rsid w:val="6F082EE8"/>
    <w:rsid w:val="6F3E18CD"/>
    <w:rsid w:val="6F4814D6"/>
    <w:rsid w:val="6FC26B94"/>
    <w:rsid w:val="6FD56820"/>
    <w:rsid w:val="6FEE4ECD"/>
    <w:rsid w:val="6FFC6614"/>
    <w:rsid w:val="70061378"/>
    <w:rsid w:val="7048351C"/>
    <w:rsid w:val="705915EC"/>
    <w:rsid w:val="70B07401"/>
    <w:rsid w:val="70CE4A70"/>
    <w:rsid w:val="70D5679B"/>
    <w:rsid w:val="71267379"/>
    <w:rsid w:val="714707AC"/>
    <w:rsid w:val="71D37807"/>
    <w:rsid w:val="72060451"/>
    <w:rsid w:val="72363856"/>
    <w:rsid w:val="72CA1015"/>
    <w:rsid w:val="72DA0418"/>
    <w:rsid w:val="7343386B"/>
    <w:rsid w:val="734B4BFE"/>
    <w:rsid w:val="73702018"/>
    <w:rsid w:val="73714D8D"/>
    <w:rsid w:val="73C64BB5"/>
    <w:rsid w:val="73DC1BD1"/>
    <w:rsid w:val="73FA1785"/>
    <w:rsid w:val="74030B82"/>
    <w:rsid w:val="74032D70"/>
    <w:rsid w:val="74094ABA"/>
    <w:rsid w:val="74221BC6"/>
    <w:rsid w:val="745C7AAB"/>
    <w:rsid w:val="746006EB"/>
    <w:rsid w:val="746869F4"/>
    <w:rsid w:val="748F7441"/>
    <w:rsid w:val="74970942"/>
    <w:rsid w:val="749D13B9"/>
    <w:rsid w:val="74A2318D"/>
    <w:rsid w:val="74BA6A05"/>
    <w:rsid w:val="75600F0D"/>
    <w:rsid w:val="759C769F"/>
    <w:rsid w:val="75AE2A88"/>
    <w:rsid w:val="75F95081"/>
    <w:rsid w:val="7667437B"/>
    <w:rsid w:val="768E2955"/>
    <w:rsid w:val="76A01F44"/>
    <w:rsid w:val="76AF4E42"/>
    <w:rsid w:val="76B81FA6"/>
    <w:rsid w:val="76C42CD5"/>
    <w:rsid w:val="77120787"/>
    <w:rsid w:val="77556BE4"/>
    <w:rsid w:val="77C83706"/>
    <w:rsid w:val="77CC580B"/>
    <w:rsid w:val="7809186F"/>
    <w:rsid w:val="78750CE6"/>
    <w:rsid w:val="78790319"/>
    <w:rsid w:val="789E7EC7"/>
    <w:rsid w:val="78BC449F"/>
    <w:rsid w:val="78F6032D"/>
    <w:rsid w:val="79214A37"/>
    <w:rsid w:val="7942300C"/>
    <w:rsid w:val="794F0D7E"/>
    <w:rsid w:val="79521491"/>
    <w:rsid w:val="795720A1"/>
    <w:rsid w:val="796D2438"/>
    <w:rsid w:val="79821C97"/>
    <w:rsid w:val="79DA432D"/>
    <w:rsid w:val="79F17A3F"/>
    <w:rsid w:val="7A146CA3"/>
    <w:rsid w:val="7A2F7081"/>
    <w:rsid w:val="7A872E96"/>
    <w:rsid w:val="7A9B5DB8"/>
    <w:rsid w:val="7AA2382B"/>
    <w:rsid w:val="7B2027BD"/>
    <w:rsid w:val="7BA30ED3"/>
    <w:rsid w:val="7BC620E8"/>
    <w:rsid w:val="7C146437"/>
    <w:rsid w:val="7C186F0C"/>
    <w:rsid w:val="7C1D7EEC"/>
    <w:rsid w:val="7C50633E"/>
    <w:rsid w:val="7C5713D7"/>
    <w:rsid w:val="7C584651"/>
    <w:rsid w:val="7C5D0D85"/>
    <w:rsid w:val="7C604837"/>
    <w:rsid w:val="7CC47CA6"/>
    <w:rsid w:val="7CC50E9F"/>
    <w:rsid w:val="7D0400A4"/>
    <w:rsid w:val="7D1A3D68"/>
    <w:rsid w:val="7D356706"/>
    <w:rsid w:val="7D3B324C"/>
    <w:rsid w:val="7DE36C9B"/>
    <w:rsid w:val="7DE779FC"/>
    <w:rsid w:val="7DE94D01"/>
    <w:rsid w:val="7E642FA7"/>
    <w:rsid w:val="7E6E692E"/>
    <w:rsid w:val="7EA10954"/>
    <w:rsid w:val="7F63541C"/>
    <w:rsid w:val="7F735016"/>
    <w:rsid w:val="7F8776FE"/>
    <w:rsid w:val="7FB64B89"/>
    <w:rsid w:val="7FF623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99"/>
    <w:rPr>
      <w:rFonts w:ascii="宋体" w:hAnsi="Courier New" w:cs="宋体"/>
    </w:r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FollowedHyperlink"/>
    <w:basedOn w:val="15"/>
    <w:semiHidden/>
    <w:unhideWhenUsed/>
    <w:qFormat/>
    <w:uiPriority w:val="99"/>
    <w:rPr>
      <w:color w:val="800080"/>
      <w:sz w:val="18"/>
      <w:szCs w:val="18"/>
      <w:u w:val="non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Normal (Web)"/>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1431</Words>
  <Characters>8161</Characters>
  <Lines>68</Lines>
  <Paragraphs>19</Paragraphs>
  <TotalTime>3</TotalTime>
  <ScaleCrop>false</ScaleCrop>
  <LinksUpToDate>false</LinksUpToDate>
  <CharactersWithSpaces>9573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2019-09-11T07:18:00Z</cp:lastPrinted>
  <dcterms:modified xsi:type="dcterms:W3CDTF">2019-09-27T03:25:21Z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