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E1" w:rsidRPr="0085084D" w:rsidRDefault="000D4FE1" w:rsidP="0085084D">
      <w:pPr>
        <w:jc w:val="center"/>
        <w:rPr>
          <w:rFonts w:ascii="方正小标宋简体" w:eastAsia="方正小标宋简体" w:hAnsi="宋体" w:cs="宋体"/>
          <w:sz w:val="44"/>
          <w:szCs w:val="44"/>
        </w:rPr>
      </w:pPr>
      <w:r w:rsidRPr="0085084D">
        <w:rPr>
          <w:rFonts w:ascii="方正小标宋简体" w:eastAsia="方正小标宋简体" w:hAnsi="宋体" w:cs="方正小标宋简体" w:hint="eastAsia"/>
          <w:sz w:val="44"/>
          <w:szCs w:val="44"/>
        </w:rPr>
        <w:t>广元市人民防空办公室责任清单</w:t>
      </w: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 xml:space="preserve">1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7693"/>
      </w:tblGrid>
      <w:tr w:rsidR="000D4FE1" w:rsidRPr="0085084D" w:rsidTr="0085084D">
        <w:trPr>
          <w:trHeight w:val="454"/>
          <w:jc w:val="center"/>
        </w:trPr>
        <w:tc>
          <w:tcPr>
            <w:tcW w:w="1155" w:type="dxa"/>
            <w:tcMar>
              <w:left w:w="28" w:type="dxa"/>
              <w:right w:w="28" w:type="dxa"/>
            </w:tcMar>
            <w:vAlign w:val="center"/>
          </w:tcPr>
          <w:p w:rsidR="000D4FE1" w:rsidRPr="0085084D" w:rsidRDefault="000D4FE1" w:rsidP="0085084D">
            <w:pPr>
              <w:spacing w:line="320" w:lineRule="exact"/>
              <w:jc w:val="center"/>
              <w:rPr>
                <w:rFonts w:ascii="宋体" w:cs="宋体"/>
                <w:szCs w:val="21"/>
              </w:rPr>
            </w:pPr>
            <w:r w:rsidRPr="0085084D">
              <w:rPr>
                <w:rFonts w:ascii="宋体" w:hAnsi="宋体" w:cs="宋体" w:hint="eastAsia"/>
                <w:szCs w:val="21"/>
              </w:rPr>
              <w:t>主体责任</w:t>
            </w:r>
          </w:p>
        </w:tc>
        <w:tc>
          <w:tcPr>
            <w:tcW w:w="8136" w:type="dxa"/>
            <w:tcMar>
              <w:left w:w="28" w:type="dxa"/>
              <w:right w:w="28" w:type="dxa"/>
            </w:tcMar>
            <w:vAlign w:val="center"/>
          </w:tcPr>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贯彻执行国家有关人民防空、民防工作的方针、政策和法律、法规、规章，拟订全市人民防空和民防工作的政策规定。</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拟订全市人民防空、民防事业发展规划和年度计划，经批准后组织实施。</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参与审核人民防空、民防建设与城市建设相结合的规划，审核城市总体规划中贯彻落实人民防空、民防要求及人民防空、民防建设规划情况，负责指导和监督检查人防城市和重要经济目标的人民防空、民防建设。</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负责人民防空、民防组织指挥工作，指导县区制订城市防空袭方案，监督检查城市防空袭方案和各项保障方案的落实，指导群众防空组织建设和训练工作。</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负责人民防空、民防信息化建设，制订人民防空、民防通信、警报网建设规划并组织实施。</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负责人民防空工作中涉及的防空防灾一体化建设，承担政府赋予的应急救援任务，参与制订应急救援工作规划和年度工作计划，拟订人民防空、民防应急救援方案并组织实施，参与拟订人民防空、民防医疗救护、物资储备、水电供应等保障方案并监督实施，负责人防工程避难场所的规划、建设与管理，负责组织开展人民防空、民防志愿者队伍的业务培训和动员人员应急疏散。</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拟订全市人民防空、民防建设总体规划，负责人民防空、民防工程建设、维护的监督管理及其开发利用，监督检查和指导城市建设、基本建设和城市开发利用地下空间贯彻人民防空、民防建设要求的执行情况，组织修建人民防空、民防指挥工程、公用的人员掩蔽工程和疏散干道工程。</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组织开展人民防空、民防宣传教育，制订人民防空、民防教育计划，会同相关部门组织实施并负责监督检查，普及人民防空、民防基本知识和技能。</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负责人民防空、民防经费、物资和资产的管理，拟订人民防空、民防经费预决算并监督检查其使用情况。</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组织人民防空、民防科学技术研究，推广应用科研成果。</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战时负责发放空袭警报和组织实施灯火管制，组织指挥人民防空、民防疏散和掩蔽，配合要地防空和城市防卫作战，协助有关部门做好生活供应和其他保障工作，组织消除空袭后果，协助有关部门恢复正常的生产和生活秩序。平时利用防空警报系统发放防灾警报音响信号。</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指导县区人民防空、民防工作，协助管理县区人防部门领导干部。</w:t>
            </w:r>
          </w:p>
          <w:p w:rsidR="000D4FE1" w:rsidRPr="0085084D" w:rsidRDefault="000D4FE1" w:rsidP="000D4FE1">
            <w:pPr>
              <w:pStyle w:val="NormalWeb"/>
              <w:widowControl/>
              <w:numPr>
                <w:ilvl w:val="0"/>
                <w:numId w:val="2"/>
              </w:numPr>
              <w:spacing w:line="320" w:lineRule="exact"/>
              <w:ind w:firstLineChars="200" w:firstLine="31680"/>
              <w:jc w:val="left"/>
              <w:rPr>
                <w:rFonts w:ascii="宋体"/>
                <w:color w:val="000000"/>
                <w:sz w:val="21"/>
                <w:szCs w:val="21"/>
              </w:rPr>
            </w:pPr>
            <w:r w:rsidRPr="0085084D">
              <w:rPr>
                <w:rFonts w:ascii="宋体" w:hAnsi="宋体" w:hint="eastAsia"/>
                <w:sz w:val="21"/>
                <w:szCs w:val="21"/>
              </w:rPr>
              <w:t>承担由市政府公布的有关行政审批事项。</w:t>
            </w:r>
            <w:r w:rsidRPr="0085084D">
              <w:rPr>
                <w:rFonts w:ascii="宋体"/>
                <w:sz w:val="21"/>
                <w:szCs w:val="21"/>
              </w:rPr>
              <w:t> </w:t>
            </w:r>
          </w:p>
          <w:p w:rsidR="000D4FE1" w:rsidRPr="0085084D" w:rsidRDefault="000D4FE1" w:rsidP="000D4FE1">
            <w:pPr>
              <w:pStyle w:val="NormalWeb"/>
              <w:widowControl/>
              <w:numPr>
                <w:ilvl w:val="0"/>
                <w:numId w:val="2"/>
              </w:numPr>
              <w:spacing w:line="320" w:lineRule="exact"/>
              <w:ind w:firstLineChars="200" w:firstLine="31680"/>
              <w:jc w:val="left"/>
              <w:rPr>
                <w:rFonts w:ascii="宋体"/>
                <w:sz w:val="21"/>
                <w:szCs w:val="21"/>
              </w:rPr>
            </w:pPr>
            <w:r w:rsidRPr="0085084D">
              <w:rPr>
                <w:rFonts w:ascii="宋体" w:hAnsi="宋体" w:hint="eastAsia"/>
                <w:sz w:val="21"/>
                <w:szCs w:val="21"/>
              </w:rPr>
              <w:t>承办市政府、市国防动员委员会交办的其他事项。</w:t>
            </w:r>
          </w:p>
          <w:p w:rsidR="000D4FE1" w:rsidRPr="0085084D" w:rsidRDefault="000D4FE1" w:rsidP="00290A16">
            <w:pPr>
              <w:pStyle w:val="NormalWeb"/>
              <w:spacing w:line="320" w:lineRule="exact"/>
              <w:rPr>
                <w:rFonts w:ascii="宋体"/>
                <w:sz w:val="21"/>
                <w:szCs w:val="21"/>
              </w:rPr>
            </w:pPr>
            <w:r w:rsidRPr="0085084D">
              <w:rPr>
                <w:rFonts w:ascii="宋体" w:hAnsi="宋体" w:hint="eastAsia"/>
                <w:sz w:val="21"/>
                <w:szCs w:val="21"/>
              </w:rPr>
              <w:t>《关于调整市人防办机构编制事项的通知》（广编发〔</w:t>
            </w:r>
            <w:r w:rsidRPr="0085084D">
              <w:rPr>
                <w:rFonts w:ascii="宋体" w:hAnsi="宋体"/>
                <w:sz w:val="21"/>
                <w:szCs w:val="21"/>
              </w:rPr>
              <w:t>2019</w:t>
            </w:r>
            <w:r w:rsidRPr="0085084D">
              <w:rPr>
                <w:rFonts w:ascii="宋体" w:hAnsi="宋体" w:hint="eastAsia"/>
                <w:sz w:val="21"/>
                <w:szCs w:val="21"/>
              </w:rPr>
              <w:t>〕</w:t>
            </w:r>
            <w:r w:rsidRPr="0085084D">
              <w:rPr>
                <w:rFonts w:ascii="宋体" w:hAnsi="宋体"/>
                <w:sz w:val="21"/>
                <w:szCs w:val="21"/>
              </w:rPr>
              <w:t>47</w:t>
            </w:r>
            <w:r w:rsidRPr="0085084D">
              <w:rPr>
                <w:rFonts w:ascii="宋体" w:hAnsi="宋体" w:hint="eastAsia"/>
                <w:sz w:val="21"/>
                <w:szCs w:val="21"/>
              </w:rPr>
              <w:t>号）：</w:t>
            </w:r>
          </w:p>
          <w:p w:rsidR="000D4FE1" w:rsidRPr="0085084D" w:rsidRDefault="000D4FE1" w:rsidP="00290A16">
            <w:pPr>
              <w:pStyle w:val="NormalWeb"/>
              <w:spacing w:line="320" w:lineRule="exact"/>
              <w:rPr>
                <w:rFonts w:ascii="宋体"/>
                <w:sz w:val="21"/>
                <w:szCs w:val="21"/>
              </w:rPr>
            </w:pPr>
            <w:r w:rsidRPr="0085084D">
              <w:rPr>
                <w:rFonts w:ascii="宋体" w:hAnsi="宋体" w:hint="eastAsia"/>
                <w:sz w:val="21"/>
                <w:szCs w:val="21"/>
              </w:rPr>
              <w:t>一、事业单位行政职能划转</w:t>
            </w:r>
          </w:p>
          <w:p w:rsidR="000D4FE1" w:rsidRPr="0085084D" w:rsidRDefault="000D4FE1" w:rsidP="00290A16">
            <w:pPr>
              <w:pStyle w:val="NormalWeb"/>
              <w:spacing w:line="320" w:lineRule="exact"/>
              <w:rPr>
                <w:rFonts w:ascii="宋体"/>
                <w:sz w:val="21"/>
                <w:szCs w:val="21"/>
              </w:rPr>
            </w:pPr>
            <w:r w:rsidRPr="0085084D">
              <w:rPr>
                <w:rFonts w:ascii="宋体" w:hAnsi="宋体" w:hint="eastAsia"/>
                <w:sz w:val="21"/>
                <w:szCs w:val="21"/>
              </w:rPr>
              <w:t>将市人防工程质量监督站、市人防行政执法支队的行政执法职责划入市人防办。</w:t>
            </w:r>
          </w:p>
        </w:tc>
      </w:tr>
      <w:tr w:rsidR="000D4FE1" w:rsidRPr="0085084D" w:rsidTr="0085084D">
        <w:trPr>
          <w:trHeight w:val="454"/>
          <w:jc w:val="center"/>
        </w:trPr>
        <w:tc>
          <w:tcPr>
            <w:tcW w:w="1155" w:type="dxa"/>
            <w:tcMar>
              <w:left w:w="28" w:type="dxa"/>
              <w:right w:w="28" w:type="dxa"/>
            </w:tcMar>
            <w:vAlign w:val="center"/>
          </w:tcPr>
          <w:p w:rsidR="000D4FE1" w:rsidRPr="0085084D" w:rsidRDefault="000D4FE1" w:rsidP="0085084D">
            <w:pPr>
              <w:spacing w:line="320" w:lineRule="exact"/>
              <w:jc w:val="center"/>
              <w:rPr>
                <w:rFonts w:ascii="宋体" w:cs="宋体"/>
                <w:szCs w:val="21"/>
              </w:rPr>
            </w:pPr>
            <w:r w:rsidRPr="0085084D">
              <w:rPr>
                <w:rFonts w:ascii="宋体" w:hAnsi="宋体" w:cs="宋体" w:hint="eastAsia"/>
                <w:szCs w:val="21"/>
              </w:rPr>
              <w:t>职责边界</w:t>
            </w:r>
          </w:p>
        </w:tc>
        <w:tc>
          <w:tcPr>
            <w:tcW w:w="8136" w:type="dxa"/>
            <w:tcMar>
              <w:left w:w="28" w:type="dxa"/>
              <w:right w:w="28" w:type="dxa"/>
            </w:tcMar>
            <w:vAlign w:val="center"/>
          </w:tcPr>
          <w:p w:rsidR="000D4FE1" w:rsidRPr="0085084D" w:rsidRDefault="000D4FE1" w:rsidP="000D4FE1">
            <w:pPr>
              <w:pStyle w:val="NormalWeb"/>
              <w:widowControl/>
              <w:numPr>
                <w:ilvl w:val="0"/>
                <w:numId w:val="3"/>
              </w:numPr>
              <w:spacing w:line="320" w:lineRule="exact"/>
              <w:ind w:firstLineChars="200" w:firstLine="31680"/>
              <w:jc w:val="left"/>
              <w:rPr>
                <w:rFonts w:ascii="宋体"/>
                <w:sz w:val="21"/>
                <w:szCs w:val="21"/>
              </w:rPr>
            </w:pPr>
            <w:r w:rsidRPr="0085084D">
              <w:rPr>
                <w:rFonts w:ascii="宋体" w:hAnsi="宋体" w:hint="eastAsia"/>
                <w:sz w:val="21"/>
                <w:szCs w:val="21"/>
              </w:rPr>
              <w:t>环境保护工作职责。按照中共广元市机构编制委员会《关于进一步落实环境保护工作职责的通知》（广编发〔</w:t>
            </w:r>
            <w:r w:rsidRPr="0085084D">
              <w:rPr>
                <w:rFonts w:ascii="宋体" w:hAnsi="宋体"/>
                <w:sz w:val="21"/>
                <w:szCs w:val="21"/>
              </w:rPr>
              <w:t>2017</w:t>
            </w:r>
            <w:r w:rsidRPr="0085084D">
              <w:rPr>
                <w:rFonts w:ascii="宋体" w:hAnsi="宋体" w:hint="eastAsia"/>
                <w:sz w:val="21"/>
                <w:szCs w:val="21"/>
              </w:rPr>
              <w:t>〕</w:t>
            </w:r>
            <w:r w:rsidRPr="0085084D">
              <w:rPr>
                <w:rFonts w:ascii="宋体" w:hAnsi="宋体"/>
                <w:sz w:val="21"/>
                <w:szCs w:val="21"/>
              </w:rPr>
              <w:t>53</w:t>
            </w:r>
            <w:r w:rsidRPr="0085084D">
              <w:rPr>
                <w:rFonts w:ascii="宋体" w:hAnsi="宋体" w:hint="eastAsia"/>
                <w:sz w:val="21"/>
                <w:szCs w:val="21"/>
              </w:rPr>
              <w:t>号）执行。对本行业领域的环境保护工作实施监督管理，履行环境保护行业监督管理职责和本单位环境保护工作职责。</w:t>
            </w:r>
          </w:p>
          <w:p w:rsidR="000D4FE1" w:rsidRPr="0085084D" w:rsidRDefault="000D4FE1" w:rsidP="000D4FE1">
            <w:pPr>
              <w:pStyle w:val="NormalWeb"/>
              <w:widowControl/>
              <w:numPr>
                <w:ilvl w:val="0"/>
                <w:numId w:val="3"/>
              </w:numPr>
              <w:spacing w:line="320" w:lineRule="exact"/>
              <w:ind w:firstLineChars="200" w:firstLine="31680"/>
              <w:jc w:val="left"/>
              <w:rPr>
                <w:rFonts w:ascii="宋体"/>
                <w:sz w:val="21"/>
                <w:szCs w:val="21"/>
              </w:rPr>
            </w:pPr>
            <w:r w:rsidRPr="0085084D">
              <w:rPr>
                <w:rFonts w:ascii="宋体" w:hAnsi="宋体" w:hint="eastAsia"/>
                <w:sz w:val="21"/>
                <w:szCs w:val="21"/>
              </w:rPr>
              <w:t>安全生产监管职责。按照中共广元市机构编制委员会办公室《关于进一步落实安全生产监管职责分工的通知》（广编发〔</w:t>
            </w:r>
            <w:r w:rsidRPr="0085084D">
              <w:rPr>
                <w:rFonts w:ascii="宋体" w:hAnsi="宋体"/>
                <w:sz w:val="21"/>
                <w:szCs w:val="21"/>
              </w:rPr>
              <w:t>2017</w:t>
            </w:r>
            <w:r w:rsidRPr="0085084D">
              <w:rPr>
                <w:rFonts w:ascii="宋体" w:hAnsi="宋体" w:hint="eastAsia"/>
                <w:sz w:val="21"/>
                <w:szCs w:val="21"/>
              </w:rPr>
              <w:t>〕</w:t>
            </w:r>
            <w:r w:rsidRPr="0085084D">
              <w:rPr>
                <w:rFonts w:ascii="宋体" w:hAnsi="宋体"/>
                <w:sz w:val="21"/>
                <w:szCs w:val="21"/>
              </w:rPr>
              <w:t>23</w:t>
            </w:r>
            <w:r w:rsidRPr="0085084D">
              <w:rPr>
                <w:rFonts w:ascii="宋体" w:hAnsi="宋体" w:hint="eastAsia"/>
                <w:sz w:val="21"/>
                <w:szCs w:val="21"/>
              </w:rPr>
              <w:t>号）执行。对本行业领域的安全生产工作实施监督管理，履行安全生产行业监督管理职责和本单位安全生产工作职责。</w:t>
            </w:r>
          </w:p>
        </w:tc>
      </w:tr>
    </w:tbl>
    <w:p w:rsidR="000D4FE1" w:rsidRPr="0085084D" w:rsidRDefault="000D4FE1" w:rsidP="00290A16">
      <w:pPr>
        <w:spacing w:line="320" w:lineRule="exact"/>
        <w:jc w:val="center"/>
        <w:rPr>
          <w:rFonts w:ascii="宋体" w:cs="宋体"/>
          <w:szCs w:val="21"/>
        </w:rPr>
      </w:pPr>
    </w:p>
    <w:p w:rsidR="000D4FE1" w:rsidRPr="0085084D" w:rsidRDefault="000D4FE1" w:rsidP="00290A16">
      <w:pPr>
        <w:spacing w:line="320" w:lineRule="exact"/>
        <w:jc w:val="center"/>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7"/>
        <w:gridCol w:w="7092"/>
      </w:tblGrid>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序号</w:t>
            </w:r>
          </w:p>
        </w:tc>
        <w:tc>
          <w:tcPr>
            <w:tcW w:w="7765"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szCs w:val="21"/>
              </w:rPr>
              <w:t>256</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权力类型</w:t>
            </w:r>
          </w:p>
        </w:tc>
        <w:tc>
          <w:tcPr>
            <w:tcW w:w="7765"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行政许可</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权力项目名称</w:t>
            </w:r>
          </w:p>
        </w:tc>
        <w:tc>
          <w:tcPr>
            <w:tcW w:w="7765"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拆除人民防空工程审批</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实施依据</w:t>
            </w:r>
          </w:p>
        </w:tc>
        <w:tc>
          <w:tcPr>
            <w:tcW w:w="7765" w:type="dxa"/>
            <w:tcMar>
              <w:left w:w="28" w:type="dxa"/>
              <w:right w:w="28" w:type="dxa"/>
            </w:tcMar>
            <w:vAlign w:val="center"/>
          </w:tcPr>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《中华人民共和国人民防空法》第二十八条“任何组织或者个人不得擅自拆除本法第二十一条规定的人民防空工程；确需拆除的，必须报经人民防空主管部门批准，并由拆除单位负责补建或者补偿。”</w:t>
            </w:r>
          </w:p>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szCs w:val="21"/>
              </w:rPr>
              <w:t>2.</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二十三条“任何单位和个人不得擅自拆除人民防空工程和设施。确需拆除的，建设单位应向人民防空主管部门申报审批，并由拆除单位补建不少于原面积、不低于现行防护等级的人民防空工程，或者按现行工程造价给予补偿，由人民防空主管部门择地统建。”</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责任主体</w:t>
            </w:r>
          </w:p>
        </w:tc>
        <w:tc>
          <w:tcPr>
            <w:tcW w:w="7765"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工程建设管理科（行政审批科）</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765"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受理责任：公示应当提交的材料；对书面申请材料进行审查，一次性告知补正材料；依法受理或不予受理（不予受理应当告知理由）。</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审查责任：对书面申请材料进行审查，提出审核意见。</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决定责任：在规定时限内，作出行政许可或者不予行政许可决定（不予许可的应当书面告知理由），按时办结，法定告知。</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事后监管责任：开展定期和不定期检查，依法采取相关处置措施。</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5.</w:t>
            </w:r>
            <w:r w:rsidRPr="0085084D">
              <w:rPr>
                <w:rFonts w:ascii="宋体" w:hAnsi="宋体" w:cs="宋体" w:hint="eastAsia"/>
                <w:szCs w:val="21"/>
              </w:rPr>
              <w:t>其他责任：法律法规规章文件规定应履行的其他责任。</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765"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765"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7"/>
        <w:gridCol w:w="7092"/>
      </w:tblGrid>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序号</w:t>
            </w:r>
          </w:p>
        </w:tc>
        <w:tc>
          <w:tcPr>
            <w:tcW w:w="7765"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szCs w:val="21"/>
              </w:rPr>
              <w:t>257</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权力类型</w:t>
            </w:r>
          </w:p>
        </w:tc>
        <w:tc>
          <w:tcPr>
            <w:tcW w:w="7765"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行政许可</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权力项目名称</w:t>
            </w:r>
          </w:p>
        </w:tc>
        <w:tc>
          <w:tcPr>
            <w:tcW w:w="7765"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应建防空地下室的民用建筑项目报建审批</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实施依据</w:t>
            </w:r>
          </w:p>
        </w:tc>
        <w:tc>
          <w:tcPr>
            <w:tcW w:w="7765" w:type="dxa"/>
            <w:tcMar>
              <w:left w:w="28" w:type="dxa"/>
              <w:right w:w="28" w:type="dxa"/>
            </w:tcMar>
            <w:vAlign w:val="center"/>
          </w:tcPr>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《中华人民共和国人民防空法》第二十二条“城市新建民用建筑，按照国家有关规定修建战时可用于防空的地下室。”</w:t>
            </w:r>
          </w:p>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szCs w:val="21"/>
              </w:rPr>
              <w:t>2.</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实施办法》第十三条“城市新建民用建筑，应当按照国家有关规定修建战时可用于防空的地下室。防空地下室的设计应纳入该民用建筑的总体设计，配套实施建设。”</w:t>
            </w:r>
          </w:p>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szCs w:val="21"/>
              </w:rPr>
              <w:t>3.</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十四条“按照国家和省的规定应当进行初步设计文件审核的建设项目，建设行政主管部门应当会同人民防空主管部门对防空地下室的设计进行审核。未经审核，不得核发建设用地规划许可证和建设工程规划许可证。”</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责任主体</w:t>
            </w:r>
          </w:p>
        </w:tc>
        <w:tc>
          <w:tcPr>
            <w:tcW w:w="7765"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工程建设管理科（行政审批科）</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765"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受理责任：公示应当提交的材料；对书面申请材料进行审查，一次性告知补正材料；依法受理或不予受理（不予受理应当告知理由）。</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审查责任：对书面申请材料进行审查，提出审核意见。</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决定责任：在规定时限内，作出行政许可或者不予行政许可决定（不予许可的应当书面告知理由），按时办结，法定告知。</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事后监管责任：开展定期和不定期检查，依法采取相关处置措施。</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5.</w:t>
            </w:r>
            <w:r w:rsidRPr="0085084D">
              <w:rPr>
                <w:rFonts w:ascii="宋体" w:hAnsi="宋体" w:cs="宋体" w:hint="eastAsia"/>
                <w:szCs w:val="21"/>
              </w:rPr>
              <w:t>其他责任：法律法规规章文件规定应履行的其他责任。</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765"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85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765"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7228"/>
      </w:tblGrid>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序号</w:t>
            </w:r>
          </w:p>
        </w:tc>
        <w:tc>
          <w:tcPr>
            <w:tcW w:w="7867"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szCs w:val="21"/>
              </w:rPr>
              <w:t>258</w:t>
            </w:r>
          </w:p>
        </w:tc>
      </w:tr>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权力类型</w:t>
            </w:r>
          </w:p>
        </w:tc>
        <w:tc>
          <w:tcPr>
            <w:tcW w:w="786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行政许可</w:t>
            </w:r>
          </w:p>
        </w:tc>
      </w:tr>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权力项目名称</w:t>
            </w:r>
          </w:p>
        </w:tc>
        <w:tc>
          <w:tcPr>
            <w:tcW w:w="786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人民防空警报设施拆除审批</w:t>
            </w:r>
          </w:p>
        </w:tc>
      </w:tr>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实施依据</w:t>
            </w:r>
          </w:p>
        </w:tc>
        <w:tc>
          <w:tcPr>
            <w:tcW w:w="7867" w:type="dxa"/>
            <w:tcMar>
              <w:left w:w="28" w:type="dxa"/>
              <w:right w:w="28" w:type="dxa"/>
            </w:tcMar>
            <w:vAlign w:val="center"/>
          </w:tcPr>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人民防空法》第三十五条“人民防空通信、警报设施必须保持良好使用状态。设置在有关单位的人民防空警报设施，由其所在单位维护管理，不得擅自拆除。县级以上地方各级政府根据需要可以组织试鸣防空警报，并在试鸣五日以前发布公告。”</w:t>
            </w:r>
          </w:p>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szCs w:val="21"/>
              </w:rPr>
              <w:t>2.</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二十五条“人民防空警报设施由人民防空主管部门组织安装，有关单位或个人应当提供方便条件，不得阻挠。警报设施由所在单位负责日常管理。拆除警报设施必须经人民防空主管部门批准，由拆除单位补建。”</w:t>
            </w:r>
          </w:p>
        </w:tc>
      </w:tr>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责任主体</w:t>
            </w:r>
          </w:p>
        </w:tc>
        <w:tc>
          <w:tcPr>
            <w:tcW w:w="786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工程建设管理科（行政审批科）</w:t>
            </w:r>
          </w:p>
        </w:tc>
      </w:tr>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867"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受理责任：公示应当提交的材料；对书面申请材料进行审查，一次性告知补正材料；依法受理或不予受理（不予受理应当告知理由）。</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审查责任：对书面申请材料进行审查，提出审核意见。</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决定责任：在规定时限内，作出行政许可或者不予行政许可决定（不予许可的应当书面告知理由），按时办结，法定告知。</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事后监管责任：开展定期和不定期检查，依法采取相关处置措施。</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5.</w:t>
            </w:r>
            <w:r w:rsidRPr="0085084D">
              <w:rPr>
                <w:rFonts w:ascii="宋体" w:hAnsi="宋体" w:cs="宋体" w:hint="eastAsia"/>
                <w:szCs w:val="21"/>
              </w:rPr>
              <w:t>其他责任：法律法规规章文件规定应履行的其他责任。</w:t>
            </w:r>
          </w:p>
        </w:tc>
      </w:tr>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867"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694"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867"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7230"/>
      </w:tblGrid>
      <w:tr w:rsidR="000D4FE1" w:rsidRPr="0085084D" w:rsidTr="0085084D">
        <w:trPr>
          <w:trHeight w:val="454"/>
          <w:jc w:val="center"/>
        </w:trPr>
        <w:tc>
          <w:tcPr>
            <w:tcW w:w="169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序号</w:t>
            </w:r>
          </w:p>
        </w:tc>
        <w:tc>
          <w:tcPr>
            <w:tcW w:w="7869" w:type="dxa"/>
            <w:tcMar>
              <w:left w:w="28" w:type="dxa"/>
              <w:right w:w="28" w:type="dxa"/>
            </w:tcMar>
            <w:vAlign w:val="center"/>
          </w:tcPr>
          <w:p w:rsidR="000D4FE1" w:rsidRPr="0085084D" w:rsidRDefault="000D4FE1" w:rsidP="00290A16">
            <w:pPr>
              <w:spacing w:line="320" w:lineRule="exact"/>
              <w:jc w:val="center"/>
              <w:rPr>
                <w:rFonts w:ascii="宋体" w:hAnsi="宋体" w:cs="宋体"/>
                <w:color w:val="000000"/>
                <w:kern w:val="0"/>
                <w:szCs w:val="21"/>
              </w:rPr>
            </w:pPr>
            <w:r w:rsidRPr="0085084D">
              <w:rPr>
                <w:rFonts w:ascii="宋体" w:hAnsi="宋体" w:cs="宋体"/>
                <w:color w:val="000000"/>
                <w:kern w:val="0"/>
                <w:szCs w:val="21"/>
              </w:rPr>
              <w:t>3781</w:t>
            </w:r>
          </w:p>
        </w:tc>
      </w:tr>
      <w:tr w:rsidR="000D4FE1" w:rsidRPr="0085084D" w:rsidTr="0085084D">
        <w:trPr>
          <w:trHeight w:val="454"/>
          <w:jc w:val="center"/>
        </w:trPr>
        <w:tc>
          <w:tcPr>
            <w:tcW w:w="169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权力类型</w:t>
            </w:r>
          </w:p>
        </w:tc>
        <w:tc>
          <w:tcPr>
            <w:tcW w:w="786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行政处罚</w:t>
            </w:r>
          </w:p>
        </w:tc>
      </w:tr>
      <w:tr w:rsidR="000D4FE1" w:rsidRPr="0085084D" w:rsidTr="0085084D">
        <w:trPr>
          <w:trHeight w:val="454"/>
          <w:jc w:val="center"/>
        </w:trPr>
        <w:tc>
          <w:tcPr>
            <w:tcW w:w="169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权力项目名称</w:t>
            </w:r>
          </w:p>
        </w:tc>
        <w:tc>
          <w:tcPr>
            <w:tcW w:w="7869"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color w:val="000000"/>
                <w:szCs w:val="21"/>
              </w:rPr>
              <w:t>对危害人民防空安全行为的处罚</w:t>
            </w:r>
          </w:p>
        </w:tc>
      </w:tr>
      <w:tr w:rsidR="000D4FE1" w:rsidRPr="0085084D" w:rsidTr="0085084D">
        <w:trPr>
          <w:trHeight w:val="454"/>
          <w:jc w:val="center"/>
        </w:trPr>
        <w:tc>
          <w:tcPr>
            <w:tcW w:w="1692"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实施依据</w:t>
            </w:r>
          </w:p>
        </w:tc>
        <w:tc>
          <w:tcPr>
            <w:tcW w:w="7869"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w:t>
            </w:r>
            <w:r w:rsidRPr="0085084D">
              <w:rPr>
                <w:rFonts w:ascii="宋体" w:hAnsi="宋体" w:cs="宋体"/>
                <w:szCs w:val="21"/>
              </w:rPr>
              <w:t xml:space="preserve"> </w:t>
            </w:r>
            <w:r w:rsidRPr="0085084D">
              <w:rPr>
                <w:rFonts w:ascii="宋体" w:hAnsi="宋体" w:cs="宋体" w:hint="eastAsia"/>
                <w:szCs w:val="21"/>
              </w:rPr>
              <w:t>（二）不按照国家规定的防护标准和质量标准修建人民防空工程的；</w:t>
            </w:r>
            <w:r w:rsidRPr="0085084D">
              <w:rPr>
                <w:rFonts w:ascii="宋体" w:hAnsi="宋体" w:cs="宋体"/>
                <w:szCs w:val="21"/>
              </w:rPr>
              <w:t xml:space="preserve"> </w:t>
            </w:r>
            <w:r w:rsidRPr="0085084D">
              <w:rPr>
                <w:rFonts w:ascii="宋体" w:hAnsi="宋体" w:cs="宋体" w:hint="eastAsia"/>
                <w:szCs w:val="21"/>
              </w:rPr>
              <w:t>（三）违反国家有关规定，改变人民防空工程主体结构、拆除人民防空工程设备设施或者采用其他方法危害人民防空工程的安全和使用效能的；</w:t>
            </w:r>
            <w:r w:rsidRPr="0085084D">
              <w:rPr>
                <w:rFonts w:ascii="宋体" w:hAnsi="宋体" w:cs="宋体"/>
                <w:szCs w:val="21"/>
              </w:rPr>
              <w:t xml:space="preserve"> </w:t>
            </w:r>
            <w:r w:rsidRPr="0085084D">
              <w:rPr>
                <w:rFonts w:ascii="宋体" w:hAnsi="宋体" w:cs="宋体" w:hint="eastAsia"/>
                <w:szCs w:val="21"/>
              </w:rPr>
              <w:t>（四）拆除人民防空工程后拒不补建的；</w:t>
            </w:r>
            <w:r w:rsidRPr="0085084D">
              <w:rPr>
                <w:rFonts w:ascii="宋体" w:hAnsi="宋体" w:cs="宋体"/>
                <w:szCs w:val="21"/>
              </w:rPr>
              <w:t xml:space="preserve"> </w:t>
            </w:r>
            <w:r w:rsidRPr="0085084D">
              <w:rPr>
                <w:rFonts w:ascii="宋体" w:hAnsi="宋体" w:cs="宋体" w:hint="eastAsia"/>
                <w:szCs w:val="21"/>
              </w:rPr>
              <w:t>（五）占用人民防空通信专用频率、使用与防空警报相同的音响信号或者擅自拆除人民防空通信、警报设备设施的；</w:t>
            </w:r>
            <w:r w:rsidRPr="0085084D">
              <w:rPr>
                <w:rFonts w:ascii="宋体" w:hAnsi="宋体" w:cs="宋体"/>
                <w:szCs w:val="21"/>
              </w:rPr>
              <w:t xml:space="preserve"> </w:t>
            </w:r>
            <w:r w:rsidRPr="0085084D">
              <w:rPr>
                <w:rFonts w:ascii="宋体" w:hAnsi="宋体" w:cs="宋体" w:hint="eastAsia"/>
                <w:szCs w:val="21"/>
              </w:rPr>
              <w:t>（六）阻挠安装人民防空通信、警报设施，拒不改正的；</w:t>
            </w:r>
            <w:r w:rsidRPr="0085084D">
              <w:rPr>
                <w:rFonts w:ascii="宋体" w:hAnsi="宋体" w:cs="宋体"/>
                <w:szCs w:val="21"/>
              </w:rPr>
              <w:t xml:space="preserve"> </w:t>
            </w:r>
            <w:r w:rsidRPr="0085084D">
              <w:rPr>
                <w:rFonts w:ascii="宋体" w:hAnsi="宋体" w:cs="宋体" w:hint="eastAsia"/>
                <w:szCs w:val="21"/>
              </w:rPr>
              <w:t>（七）向人民防空工程内排入废水、废气或者倾倒废弃物的。”</w:t>
            </w:r>
          </w:p>
        </w:tc>
      </w:tr>
      <w:tr w:rsidR="000D4FE1" w:rsidRPr="0085084D" w:rsidTr="0085084D">
        <w:trPr>
          <w:trHeight w:val="454"/>
          <w:jc w:val="center"/>
        </w:trPr>
        <w:tc>
          <w:tcPr>
            <w:tcW w:w="169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责任主体</w:t>
            </w:r>
          </w:p>
        </w:tc>
        <w:tc>
          <w:tcPr>
            <w:tcW w:w="7869"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工程建设管理科（行政审批科）</w:t>
            </w:r>
          </w:p>
        </w:tc>
      </w:tr>
      <w:tr w:rsidR="000D4FE1" w:rsidRPr="0085084D" w:rsidTr="0085084D">
        <w:trPr>
          <w:trHeight w:val="454"/>
          <w:jc w:val="center"/>
        </w:trPr>
        <w:tc>
          <w:tcPr>
            <w:tcW w:w="169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869"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立案责任：在检查中发现或者接到举报、控告的对违反《中华人民共和国防空法》第四十九条侵占人民防空工程的；不按照国家规定的防护标准和质量标准修建人民防空工程的；改变人民防空工程主体结构、拆除人民防空工程设备设施或者采用其他方法危害人民防空工程的安全和使用效能的；拆除人民防空工程后拒不补建的；占用人民防空通信专用频率、使用与防空警报相同的音响信号或者擅自拆除人民防空通信、警报设备设施的；阻挠安装人民防空通信、警报设施，拒不改正的；向人民防空工程内排入废水、废气或者倾倒废弃物的等危害人民防空安全行为的违法案件，予以审查，决定是否立案。</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调查责任：对立案的案件，指定专人负责，执法人员不得少于两人，与当事人有直接利害关系的应当回避。调查时应当出示执法证件，允许当事人辩解陈述。执法人员应保守有关秘密。</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审查责任：对案件违法事实、证据、调查取证程序、法律适用、处罚种类和幅度、当事人陈述和申辩理由等方面进行审查，提出处理意见。</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告知责任：在做出行政处罚决定前，应书面告知当事人违法事实及其享有的陈述、申辩、要求听证等权利，并载明行政处罚告知的事实、理由、依据以及当事人依法享有的陈述、申辩、听证权利。</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5.</w:t>
            </w:r>
            <w:r w:rsidRPr="0085084D">
              <w:rPr>
                <w:rFonts w:ascii="宋体" w:hAnsi="宋体" w:cs="宋体" w:hint="eastAsia"/>
                <w:szCs w:val="21"/>
              </w:rPr>
              <w:t>决定责任：经审查应予处罚的，应制作人防行政处罚决定书，载明违法事实和证据、处罚依据和内容、申请行政复议或提起行政诉讼的途径和期限等内容及当事人依法享有复议和诉讼的权利。自立案之日起，应当在</w:t>
            </w:r>
            <w:r w:rsidRPr="0085084D">
              <w:rPr>
                <w:rFonts w:ascii="宋体" w:hAnsi="宋体" w:cs="宋体"/>
                <w:szCs w:val="21"/>
              </w:rPr>
              <w:t>30</w:t>
            </w:r>
            <w:r w:rsidRPr="0085084D">
              <w:rPr>
                <w:rFonts w:ascii="宋体" w:hAnsi="宋体" w:cs="宋体" w:hint="eastAsia"/>
                <w:szCs w:val="21"/>
              </w:rPr>
              <w:t>天内作出处理决定，情况复杂的经批准至多可以延长至</w:t>
            </w:r>
            <w:r w:rsidRPr="0085084D">
              <w:rPr>
                <w:rFonts w:ascii="宋体" w:hAnsi="宋体" w:cs="宋体"/>
                <w:szCs w:val="21"/>
              </w:rPr>
              <w:t>6</w:t>
            </w:r>
            <w:r w:rsidRPr="0085084D">
              <w:rPr>
                <w:rFonts w:ascii="宋体" w:hAnsi="宋体" w:cs="宋体" w:hint="eastAsia"/>
                <w:szCs w:val="21"/>
              </w:rPr>
              <w:t>个月。</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6.</w:t>
            </w:r>
            <w:r w:rsidRPr="0085084D">
              <w:rPr>
                <w:rFonts w:ascii="宋体" w:hAnsi="宋体" w:cs="宋体" w:hint="eastAsia"/>
                <w:szCs w:val="21"/>
              </w:rPr>
              <w:t>送达责任：行政处罚决定书应在</w:t>
            </w:r>
            <w:r w:rsidRPr="0085084D">
              <w:rPr>
                <w:rFonts w:ascii="宋体" w:hAnsi="宋体" w:cs="宋体"/>
                <w:szCs w:val="21"/>
              </w:rPr>
              <w:t>7</w:t>
            </w:r>
            <w:r w:rsidRPr="0085084D">
              <w:rPr>
                <w:rFonts w:ascii="宋体" w:hAnsi="宋体" w:cs="宋体" w:hint="eastAsia"/>
                <w:szCs w:val="21"/>
              </w:rPr>
              <w:t>日内送达当事人。</w:t>
            </w:r>
          </w:p>
          <w:p w:rsidR="000D4FE1" w:rsidRPr="0085084D" w:rsidRDefault="000D4FE1" w:rsidP="000D4FE1">
            <w:pPr>
              <w:spacing w:line="320" w:lineRule="exact"/>
              <w:ind w:firstLineChars="200" w:firstLine="31680"/>
              <w:rPr>
                <w:rFonts w:ascii="宋体" w:hAnsi="宋体" w:cs="宋体"/>
                <w:szCs w:val="21"/>
              </w:rPr>
            </w:pPr>
            <w:r w:rsidRPr="0085084D">
              <w:rPr>
                <w:rFonts w:ascii="宋体" w:hAnsi="宋体" w:cs="宋体"/>
                <w:szCs w:val="21"/>
              </w:rPr>
              <w:t>7.</w:t>
            </w:r>
            <w:r w:rsidRPr="0085084D">
              <w:rPr>
                <w:rFonts w:ascii="宋体" w:hAnsi="宋体" w:cs="宋体" w:hint="eastAsia"/>
                <w:szCs w:val="21"/>
              </w:rPr>
              <w:t>执行责任：执行生效的行政处罚决定，对逾期不履行行政处罚决定的采取加罚</w:t>
            </w:r>
            <w:r w:rsidRPr="0085084D">
              <w:rPr>
                <w:rFonts w:ascii="宋体" w:cs="宋体"/>
                <w:szCs w:val="21"/>
              </w:rPr>
              <w:t>,</w:t>
            </w:r>
            <w:r w:rsidRPr="0085084D">
              <w:rPr>
                <w:rFonts w:ascii="宋体" w:hAnsi="宋体" w:cs="宋体" w:hint="eastAsia"/>
                <w:szCs w:val="21"/>
              </w:rPr>
              <w:t>监管下级人防主管部门的行政处罚行为，接受申诉、行政复议。</w:t>
            </w:r>
            <w:r w:rsidRPr="0085084D">
              <w:rPr>
                <w:rFonts w:ascii="宋体" w:hAnsi="宋体" w:cs="宋体"/>
                <w:szCs w:val="21"/>
              </w:rPr>
              <w:t xml:space="preserve"> </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8.</w:t>
            </w:r>
            <w:r w:rsidRPr="0085084D">
              <w:rPr>
                <w:rFonts w:ascii="宋体" w:hAnsi="宋体" w:cs="宋体" w:hint="eastAsia"/>
                <w:szCs w:val="21"/>
              </w:rPr>
              <w:t>其他责任：法律法规政策规定应履行的其他责任。</w:t>
            </w:r>
          </w:p>
        </w:tc>
      </w:tr>
      <w:tr w:rsidR="000D4FE1" w:rsidRPr="0085084D" w:rsidTr="0085084D">
        <w:trPr>
          <w:trHeight w:val="454"/>
          <w:jc w:val="center"/>
        </w:trPr>
        <w:tc>
          <w:tcPr>
            <w:tcW w:w="169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869"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69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869"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7228"/>
      </w:tblGrid>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序号</w:t>
            </w:r>
          </w:p>
        </w:tc>
        <w:tc>
          <w:tcPr>
            <w:tcW w:w="7890" w:type="dxa"/>
            <w:tcMar>
              <w:left w:w="28" w:type="dxa"/>
              <w:right w:w="28" w:type="dxa"/>
            </w:tcMar>
            <w:vAlign w:val="center"/>
          </w:tcPr>
          <w:p w:rsidR="000D4FE1" w:rsidRPr="0085084D" w:rsidRDefault="000D4FE1" w:rsidP="00290A16">
            <w:pPr>
              <w:spacing w:line="320" w:lineRule="exact"/>
              <w:jc w:val="center"/>
              <w:rPr>
                <w:rFonts w:ascii="宋体" w:hAnsi="宋体" w:cs="宋体"/>
                <w:kern w:val="0"/>
                <w:szCs w:val="21"/>
              </w:rPr>
            </w:pPr>
            <w:r w:rsidRPr="0085084D">
              <w:rPr>
                <w:rFonts w:ascii="宋体" w:hAnsi="宋体" w:cs="宋体"/>
                <w:kern w:val="0"/>
                <w:szCs w:val="21"/>
              </w:rPr>
              <w:t>3782</w:t>
            </w:r>
          </w:p>
        </w:tc>
      </w:tr>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权力类型</w:t>
            </w:r>
          </w:p>
        </w:tc>
        <w:tc>
          <w:tcPr>
            <w:tcW w:w="7890"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行政处罚</w:t>
            </w:r>
          </w:p>
        </w:tc>
      </w:tr>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权力项目名称</w:t>
            </w:r>
          </w:p>
        </w:tc>
        <w:tc>
          <w:tcPr>
            <w:tcW w:w="7890"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对城市新建民用建筑不修建防空地下室的处罚</w:t>
            </w:r>
          </w:p>
        </w:tc>
      </w:tr>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实施依据</w:t>
            </w:r>
          </w:p>
        </w:tc>
        <w:tc>
          <w:tcPr>
            <w:tcW w:w="7890"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szCs w:val="21"/>
              </w:rPr>
              <w:t>2.</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三十五条“城市新建民用建筑，违反国家有关规定不修建战时可用于防空的地下室的，依照《中华人民共和国人民防空法》第四十八条处罚。责令限期修建的，当事人应当在限期内依法修建。无法修建的，当事人应当按照本实施办法第十五条的规定申请缴纳易地建设费。逾期不申请、不修建又不缴纳易地建设费的，由县级以上人民防空主管部门作出追缴易地建设费的决定。当事人拒不缴纳的，由人民防空主管部门申请人民法院强制执行。”</w:t>
            </w:r>
          </w:p>
        </w:tc>
      </w:tr>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责任主体</w:t>
            </w:r>
          </w:p>
        </w:tc>
        <w:tc>
          <w:tcPr>
            <w:tcW w:w="7890"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工程建设管理科（行政审批科）</w:t>
            </w:r>
          </w:p>
        </w:tc>
      </w:tr>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责任事项</w:t>
            </w:r>
          </w:p>
        </w:tc>
        <w:tc>
          <w:tcPr>
            <w:tcW w:w="7890" w:type="dxa"/>
            <w:tcMar>
              <w:left w:w="28" w:type="dxa"/>
              <w:right w:w="28" w:type="dxa"/>
            </w:tcMar>
            <w:vAlign w:val="center"/>
          </w:tcPr>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立案责任：在检查中发现或者接到举报、控告的对违反《四川省〈中华人民共和国人民防空法〉实施办法》第三十五条的行为的，依照《中华人民共和国人民防空法》第四十八条不修建战时可用于防空的地下室的违法案件，应予以审查，决定是否立案。</w:t>
            </w: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2.</w:t>
            </w:r>
            <w:r w:rsidRPr="0085084D">
              <w:rPr>
                <w:rFonts w:ascii="宋体" w:hAnsi="宋体" w:cs="宋体" w:hint="eastAsia"/>
                <w:color w:val="000000"/>
                <w:kern w:val="0"/>
                <w:szCs w:val="21"/>
              </w:rPr>
              <w:t>调查责任：对立案的案件，指定专人负责，执法人员不得少于两人，与当事人有直接利害关系的应当回避。调查时应出示执法证件，允许当事人辩解陈述。执法人员应保守有关秘密。</w:t>
            </w: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3.</w:t>
            </w:r>
            <w:r w:rsidRPr="0085084D">
              <w:rPr>
                <w:rFonts w:ascii="宋体" w:hAnsi="宋体" w:cs="宋体" w:hint="eastAsia"/>
                <w:color w:val="000000"/>
                <w:kern w:val="0"/>
                <w:szCs w:val="21"/>
              </w:rPr>
              <w:t>审查责任：对案件违法事实、证据、调查取证程序、法律适用、处罚种类和幅度、当事人陈述和申辩理由等方面进行审查，提出处理意见。</w:t>
            </w: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4.</w:t>
            </w:r>
            <w:r w:rsidRPr="0085084D">
              <w:rPr>
                <w:rFonts w:ascii="宋体" w:hAnsi="宋体" w:cs="宋体" w:hint="eastAsia"/>
                <w:color w:val="000000"/>
                <w:kern w:val="0"/>
                <w:szCs w:val="21"/>
              </w:rPr>
              <w:t>告知责任：在做出行政处罚决定前，应书面告知当事人违法事实及其享有的陈述、申辩、要求听证等权利，</w:t>
            </w:r>
            <w:r w:rsidRPr="0085084D">
              <w:rPr>
                <w:rFonts w:ascii="宋体" w:hAnsi="宋体" w:cs="宋体" w:hint="eastAsia"/>
                <w:szCs w:val="21"/>
              </w:rPr>
              <w:t>并载明行政处罚告知的事实、理由、依据以及当事人依法享有的陈述、申辩、听证权利。</w:t>
            </w: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5.</w:t>
            </w:r>
            <w:r w:rsidRPr="0085084D">
              <w:rPr>
                <w:rFonts w:ascii="宋体" w:hAnsi="宋体" w:cs="宋体" w:hint="eastAsia"/>
                <w:color w:val="000000"/>
                <w:kern w:val="0"/>
                <w:szCs w:val="21"/>
              </w:rPr>
              <w:t>决定责任：经审查应予以处罚的，应制作人防行政处罚决定书，载明违法事实和证据、处罚依据和内容、申请行政复议或提起行政诉讼的途径和期限等内容</w:t>
            </w:r>
            <w:r w:rsidRPr="0085084D">
              <w:rPr>
                <w:rFonts w:ascii="宋体" w:hAnsi="宋体" w:cs="宋体" w:hint="eastAsia"/>
                <w:szCs w:val="21"/>
              </w:rPr>
              <w:t>及当事人依法享有复议和诉讼的权利。</w:t>
            </w:r>
            <w:r w:rsidRPr="0085084D">
              <w:rPr>
                <w:rFonts w:ascii="宋体" w:hAnsi="宋体" w:cs="宋体" w:hint="eastAsia"/>
                <w:color w:val="000000"/>
                <w:kern w:val="0"/>
                <w:szCs w:val="21"/>
              </w:rPr>
              <w:t>人防行政处罚案件自立案之日起，应当在</w:t>
            </w:r>
            <w:r w:rsidRPr="0085084D">
              <w:rPr>
                <w:rFonts w:ascii="宋体" w:hAnsi="宋体" w:cs="宋体"/>
                <w:color w:val="000000"/>
                <w:kern w:val="0"/>
                <w:szCs w:val="21"/>
              </w:rPr>
              <w:t>6</w:t>
            </w:r>
            <w:r w:rsidRPr="0085084D">
              <w:rPr>
                <w:rFonts w:ascii="宋体" w:hAnsi="宋体" w:cs="宋体" w:hint="eastAsia"/>
                <w:color w:val="000000"/>
                <w:kern w:val="0"/>
                <w:szCs w:val="21"/>
              </w:rPr>
              <w:t>个月内作出处理决定。</w:t>
            </w: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6.</w:t>
            </w:r>
            <w:r w:rsidRPr="0085084D">
              <w:rPr>
                <w:rFonts w:ascii="宋体" w:hAnsi="宋体" w:cs="宋体" w:hint="eastAsia"/>
                <w:color w:val="000000"/>
                <w:kern w:val="0"/>
                <w:szCs w:val="21"/>
              </w:rPr>
              <w:t>送达责任：行政处罚决定书应在</w:t>
            </w:r>
            <w:r w:rsidRPr="0085084D">
              <w:rPr>
                <w:rFonts w:ascii="宋体" w:hAnsi="宋体" w:cs="宋体"/>
                <w:color w:val="000000"/>
                <w:kern w:val="0"/>
                <w:szCs w:val="21"/>
              </w:rPr>
              <w:t>7</w:t>
            </w:r>
            <w:r w:rsidRPr="0085084D">
              <w:rPr>
                <w:rFonts w:ascii="宋体" w:hAnsi="宋体" w:cs="宋体" w:hint="eastAsia"/>
                <w:color w:val="000000"/>
                <w:kern w:val="0"/>
                <w:szCs w:val="21"/>
              </w:rPr>
              <w:t>日内送达当事人。</w:t>
            </w:r>
          </w:p>
          <w:p w:rsidR="000D4FE1" w:rsidRPr="0085084D" w:rsidRDefault="000D4FE1" w:rsidP="000D4FE1">
            <w:pPr>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执行责任：对逾期不履行行政处罚决定的采取加罚，监管下级人防主管机构的行政处罚行为，接受申诉、行政复议。</w:t>
            </w: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8.</w:t>
            </w:r>
            <w:r w:rsidRPr="0085084D">
              <w:rPr>
                <w:rFonts w:ascii="宋体" w:hAnsi="宋体" w:cs="宋体" w:hint="eastAsia"/>
                <w:color w:val="000000"/>
                <w:kern w:val="0"/>
                <w:szCs w:val="21"/>
              </w:rPr>
              <w:t>其他责任：法律法规政策规定应履行的其他责任。</w:t>
            </w:r>
          </w:p>
        </w:tc>
      </w:tr>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追责情形</w:t>
            </w:r>
          </w:p>
        </w:tc>
        <w:tc>
          <w:tcPr>
            <w:tcW w:w="7890" w:type="dxa"/>
            <w:tcMar>
              <w:left w:w="28" w:type="dxa"/>
              <w:right w:w="28" w:type="dxa"/>
            </w:tcMar>
            <w:vAlign w:val="center"/>
          </w:tcPr>
          <w:p w:rsidR="000D4FE1" w:rsidRPr="0085084D" w:rsidRDefault="000D4FE1" w:rsidP="000D4FE1">
            <w:pPr>
              <w:spacing w:line="320" w:lineRule="exact"/>
              <w:ind w:firstLineChars="200" w:firstLine="31680"/>
              <w:jc w:val="left"/>
              <w:rPr>
                <w:rFonts w:ascii="宋体" w:cs="宋体"/>
                <w:color w:val="000000"/>
                <w:kern w:val="0"/>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699" w:type="dxa"/>
            <w:tcMar>
              <w:left w:w="28" w:type="dxa"/>
              <w:right w:w="28" w:type="dxa"/>
            </w:tcMar>
            <w:vAlign w:val="center"/>
          </w:tcPr>
          <w:p w:rsidR="000D4FE1" w:rsidRPr="0085084D" w:rsidRDefault="000D4FE1" w:rsidP="00290A16">
            <w:pPr>
              <w:spacing w:line="320" w:lineRule="exact"/>
              <w:jc w:val="center"/>
              <w:rPr>
                <w:rFonts w:ascii="宋体" w:cs="宋体"/>
                <w:color w:val="000000"/>
                <w:kern w:val="0"/>
                <w:szCs w:val="21"/>
              </w:rPr>
            </w:pPr>
            <w:r w:rsidRPr="0085084D">
              <w:rPr>
                <w:rFonts w:ascii="宋体" w:hAnsi="宋体" w:cs="宋体" w:hint="eastAsia"/>
                <w:color w:val="000000"/>
                <w:kern w:val="0"/>
                <w:szCs w:val="21"/>
              </w:rPr>
              <w:t>监督电话</w:t>
            </w:r>
          </w:p>
        </w:tc>
        <w:tc>
          <w:tcPr>
            <w:tcW w:w="7890" w:type="dxa"/>
            <w:tcMar>
              <w:left w:w="28" w:type="dxa"/>
              <w:right w:w="28" w:type="dxa"/>
            </w:tcMar>
            <w:vAlign w:val="center"/>
          </w:tcPr>
          <w:p w:rsidR="000D4FE1" w:rsidRPr="0085084D" w:rsidRDefault="000D4FE1" w:rsidP="00290A16">
            <w:pPr>
              <w:spacing w:line="320" w:lineRule="exact"/>
              <w:jc w:val="center"/>
              <w:rPr>
                <w:rFonts w:ascii="宋体" w:hAnsi="宋体" w:cs="宋体"/>
                <w:color w:val="000000"/>
                <w:kern w:val="0"/>
                <w:szCs w:val="21"/>
              </w:rPr>
            </w:pPr>
            <w:r w:rsidRPr="0085084D">
              <w:rPr>
                <w:rFonts w:ascii="宋体" w:hAnsi="宋体" w:cs="宋体" w:hint="eastAsia"/>
                <w:color w:val="000000"/>
                <w:kern w:val="0"/>
                <w:szCs w:val="21"/>
              </w:rPr>
              <w:t>（</w:t>
            </w:r>
            <w:r w:rsidRPr="0085084D">
              <w:rPr>
                <w:rFonts w:ascii="宋体" w:hAnsi="宋体" w:cs="宋体"/>
                <w:color w:val="000000"/>
                <w:kern w:val="0"/>
                <w:szCs w:val="21"/>
              </w:rPr>
              <w:t>0839</w:t>
            </w:r>
            <w:r w:rsidRPr="0085084D">
              <w:rPr>
                <w:rFonts w:ascii="宋体" w:hAnsi="宋体" w:cs="宋体" w:hint="eastAsia"/>
                <w:color w:val="000000"/>
                <w:kern w:val="0"/>
                <w:szCs w:val="21"/>
              </w:rPr>
              <w:t>）</w:t>
            </w:r>
            <w:r w:rsidRPr="0085084D">
              <w:rPr>
                <w:rFonts w:ascii="宋体" w:hAnsi="宋体" w:cs="宋体"/>
                <w:color w:val="000000"/>
                <w:kern w:val="0"/>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7228"/>
      </w:tblGrid>
      <w:tr w:rsidR="000D4FE1" w:rsidRPr="0085084D" w:rsidTr="0085084D">
        <w:trPr>
          <w:trHeight w:val="454"/>
          <w:jc w:val="center"/>
        </w:trPr>
        <w:tc>
          <w:tcPr>
            <w:tcW w:w="1701"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序号</w:t>
            </w:r>
          </w:p>
        </w:tc>
        <w:tc>
          <w:tcPr>
            <w:tcW w:w="7902"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szCs w:val="21"/>
              </w:rPr>
              <w:t>23</w:t>
            </w:r>
          </w:p>
        </w:tc>
      </w:tr>
      <w:tr w:rsidR="000D4FE1" w:rsidRPr="0085084D" w:rsidTr="0085084D">
        <w:trPr>
          <w:trHeight w:val="454"/>
          <w:jc w:val="center"/>
        </w:trPr>
        <w:tc>
          <w:tcPr>
            <w:tcW w:w="1701"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权力类型</w:t>
            </w:r>
          </w:p>
        </w:tc>
        <w:tc>
          <w:tcPr>
            <w:tcW w:w="790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行政征收</w:t>
            </w:r>
          </w:p>
        </w:tc>
      </w:tr>
      <w:tr w:rsidR="000D4FE1" w:rsidRPr="0085084D" w:rsidTr="0085084D">
        <w:trPr>
          <w:trHeight w:val="454"/>
          <w:jc w:val="center"/>
        </w:trPr>
        <w:tc>
          <w:tcPr>
            <w:tcW w:w="1701" w:type="dxa"/>
            <w:tcMar>
              <w:left w:w="28" w:type="dxa"/>
              <w:right w:w="28" w:type="dxa"/>
            </w:tcMar>
            <w:vAlign w:val="center"/>
          </w:tcPr>
          <w:p w:rsidR="000D4FE1" w:rsidRPr="0085084D" w:rsidRDefault="000D4FE1" w:rsidP="000D4FE1">
            <w:pPr>
              <w:spacing w:line="320" w:lineRule="exact"/>
              <w:ind w:firstLineChars="100" w:firstLine="31680"/>
              <w:rPr>
                <w:rFonts w:ascii="宋体" w:cs="宋体"/>
                <w:szCs w:val="21"/>
              </w:rPr>
            </w:pPr>
            <w:r w:rsidRPr="0085084D">
              <w:rPr>
                <w:rFonts w:ascii="宋体" w:hAnsi="宋体" w:cs="宋体" w:hint="eastAsia"/>
                <w:szCs w:val="21"/>
              </w:rPr>
              <w:t>权力项目名称</w:t>
            </w:r>
          </w:p>
        </w:tc>
        <w:tc>
          <w:tcPr>
            <w:tcW w:w="790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color w:val="000000"/>
                <w:szCs w:val="21"/>
              </w:rPr>
              <w:t>对人防工程易地建设费的征收</w:t>
            </w:r>
          </w:p>
        </w:tc>
      </w:tr>
      <w:tr w:rsidR="000D4FE1" w:rsidRPr="0085084D" w:rsidTr="0085084D">
        <w:trPr>
          <w:trHeight w:val="454"/>
          <w:jc w:val="center"/>
        </w:trPr>
        <w:tc>
          <w:tcPr>
            <w:tcW w:w="1701" w:type="dxa"/>
            <w:tcMar>
              <w:left w:w="28" w:type="dxa"/>
              <w:right w:w="28" w:type="dxa"/>
            </w:tcMar>
            <w:vAlign w:val="center"/>
          </w:tcPr>
          <w:p w:rsidR="000D4FE1" w:rsidRPr="0085084D" w:rsidRDefault="000D4FE1" w:rsidP="000D4FE1">
            <w:pPr>
              <w:spacing w:line="320" w:lineRule="exact"/>
              <w:ind w:firstLineChars="100" w:firstLine="31680"/>
              <w:rPr>
                <w:rFonts w:ascii="宋体" w:cs="宋体"/>
                <w:szCs w:val="21"/>
              </w:rPr>
            </w:pPr>
            <w:r w:rsidRPr="0085084D">
              <w:rPr>
                <w:rFonts w:ascii="宋体" w:hAnsi="宋体" w:cs="宋体" w:hint="eastAsia"/>
                <w:szCs w:val="21"/>
              </w:rPr>
              <w:t>实施依据</w:t>
            </w:r>
          </w:p>
        </w:tc>
        <w:tc>
          <w:tcPr>
            <w:tcW w:w="7902" w:type="dxa"/>
            <w:tcMar>
              <w:left w:w="28" w:type="dxa"/>
              <w:right w:w="28" w:type="dxa"/>
            </w:tcMar>
            <w:vAlign w:val="center"/>
          </w:tcPr>
          <w:p w:rsidR="000D4FE1" w:rsidRPr="0085084D" w:rsidRDefault="000D4FE1" w:rsidP="000D4FE1">
            <w:pPr>
              <w:spacing w:line="320" w:lineRule="exact"/>
              <w:ind w:firstLineChars="200" w:firstLine="31680"/>
              <w:rPr>
                <w:rFonts w:ascii="宋体" w:cs="宋体"/>
                <w:color w:val="000000"/>
                <w:kern w:val="0"/>
                <w:szCs w:val="21"/>
              </w:rPr>
            </w:pPr>
          </w:p>
          <w:p w:rsidR="000D4FE1" w:rsidRPr="0085084D" w:rsidRDefault="000D4FE1" w:rsidP="000D4FE1">
            <w:pPr>
              <w:spacing w:line="320" w:lineRule="exact"/>
              <w:ind w:firstLineChars="200" w:firstLine="31680"/>
              <w:rPr>
                <w:rFonts w:ascii="宋体" w:cs="宋体"/>
                <w:color w:val="000000"/>
                <w:kern w:val="0"/>
                <w:szCs w:val="21"/>
              </w:rPr>
            </w:pPr>
            <w:r w:rsidRPr="0085084D">
              <w:rPr>
                <w:rFonts w:ascii="宋体" w:hAnsi="宋体" w:cs="宋体" w:hint="eastAsia"/>
                <w:color w:val="000000"/>
                <w:kern w:val="0"/>
                <w:szCs w:val="21"/>
              </w:rPr>
              <w:t>《四川省</w:t>
            </w:r>
            <w:r w:rsidRPr="0085084D">
              <w:rPr>
                <w:rFonts w:ascii="宋体" w:hAnsi="宋体" w:cs="宋体"/>
                <w:color w:val="000000"/>
                <w:kern w:val="0"/>
                <w:szCs w:val="21"/>
              </w:rPr>
              <w:t>&lt;</w:t>
            </w:r>
            <w:r w:rsidRPr="0085084D">
              <w:rPr>
                <w:rFonts w:ascii="宋体" w:hAnsi="宋体" w:cs="宋体" w:hint="eastAsia"/>
                <w:color w:val="000000"/>
                <w:kern w:val="0"/>
                <w:szCs w:val="21"/>
              </w:rPr>
              <w:t>中华人民共和国人民防空法</w:t>
            </w:r>
            <w:r w:rsidRPr="0085084D">
              <w:rPr>
                <w:rFonts w:ascii="宋体" w:hAnsi="宋体" w:cs="宋体"/>
                <w:color w:val="000000"/>
                <w:kern w:val="0"/>
                <w:szCs w:val="21"/>
              </w:rPr>
              <w:t>&gt;</w:t>
            </w:r>
            <w:r w:rsidRPr="0085084D">
              <w:rPr>
                <w:rFonts w:ascii="宋体" w:hAnsi="宋体" w:cs="宋体" w:hint="eastAsia"/>
                <w:color w:val="000000"/>
                <w:kern w:val="0"/>
                <w:szCs w:val="21"/>
              </w:rPr>
              <w:t>实施办法》第十五条“新建民用建筑项目因下列条件限制不能修建防空地下室的，建设单位应向人民防空主管部门提出易地建设的申请，按照国家有关规定缴纳易地建设费，由城市人民防空主管部门按照城市规划的要求择地统建。建设单位属中央在川单位和省属单位的，应向省人民防空主管部门或其委托的城市人民防空主管部门提出申请：（一）采用桩基且桩基承台顶面埋置深度小于三米或者不足规定的地下室空间净高的；（二）按规定标准应建防空地下室的面积小于建筑首层的面积、基础和结构处理困难或者修建成本很不合理的；（三）因流沙、暗河等工程地质条件限制不宜修建的；（四）因建设场址所在区域的房屋或地下管道设施密集，防空地下室不能施工或者难以采取措施保障施工安全的。”</w:t>
            </w:r>
          </w:p>
          <w:p w:rsidR="000D4FE1" w:rsidRPr="0085084D" w:rsidRDefault="000D4FE1" w:rsidP="000D4FE1">
            <w:pPr>
              <w:spacing w:line="320" w:lineRule="exact"/>
              <w:ind w:firstLineChars="200" w:firstLine="31680"/>
              <w:rPr>
                <w:rFonts w:ascii="宋体" w:hAnsi="宋体" w:cs="宋体"/>
                <w:szCs w:val="21"/>
              </w:rPr>
            </w:pPr>
            <w:r w:rsidRPr="0085084D">
              <w:rPr>
                <w:rFonts w:ascii="宋体" w:hAnsi="宋体" w:cs="宋体"/>
                <w:szCs w:val="21"/>
              </w:rPr>
              <w:t xml:space="preserve"> </w:t>
            </w:r>
          </w:p>
        </w:tc>
      </w:tr>
      <w:tr w:rsidR="000D4FE1" w:rsidRPr="0085084D" w:rsidTr="0085084D">
        <w:trPr>
          <w:trHeight w:val="454"/>
          <w:jc w:val="center"/>
        </w:trPr>
        <w:tc>
          <w:tcPr>
            <w:tcW w:w="1701"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责任主体</w:t>
            </w:r>
          </w:p>
        </w:tc>
        <w:tc>
          <w:tcPr>
            <w:tcW w:w="790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工程建设管理科（行政审批科）</w:t>
            </w:r>
          </w:p>
        </w:tc>
      </w:tr>
      <w:tr w:rsidR="000D4FE1" w:rsidRPr="0085084D" w:rsidTr="0085084D">
        <w:trPr>
          <w:trHeight w:val="454"/>
          <w:jc w:val="center"/>
        </w:trPr>
        <w:tc>
          <w:tcPr>
            <w:tcW w:w="1701"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902"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受理责任：公示告知人防易地建设费征收金额计算方式、征收方式、免缴、减缴条件、需要提交的全部材料目录以及其他应当公示的内容，并按申请人的要求进行相关解释说明。</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审核责任：审核《新建民用建筑防空地下室易地建设申请书》及相关材料，组织技术人员进行现场实地勘察，对于批准易地建设的项目，再核定应缴纳易地建设费的金额。审查免缴、减缴易地建设费的理由和减缴幅度及金额等。</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决定责任：做出审核决定，开具《四川省政府非税收入一般缴款书》；</w:t>
            </w:r>
            <w:r w:rsidRPr="0085084D">
              <w:rPr>
                <w:rFonts w:ascii="宋体" w:hAnsi="宋体" w:cs="宋体" w:hint="eastAsia"/>
                <w:color w:val="000000"/>
                <w:szCs w:val="21"/>
              </w:rPr>
              <w:t>对存在问题的建设单位及时稽查，加强对建设单位履行缴费义务的日常监管。符合免缴、减缴条件的，做出免收、减收易地建设费的决定。</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事后监管责任：加强对建设单位履行缴费义务的日常监管。开展年度定期检查，对存在问题的建设单位及时稽查。自觉接受财政、发改、审计等部门的监督检查。</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5.</w:t>
            </w:r>
            <w:r w:rsidRPr="0085084D">
              <w:rPr>
                <w:rFonts w:ascii="宋体" w:hAnsi="宋体" w:cs="宋体" w:hint="eastAsia"/>
                <w:szCs w:val="21"/>
              </w:rPr>
              <w:t>其他责任：法律法规规章文件规定应履行的其他责任。</w:t>
            </w:r>
          </w:p>
        </w:tc>
      </w:tr>
      <w:tr w:rsidR="000D4FE1" w:rsidRPr="0085084D" w:rsidTr="0085084D">
        <w:trPr>
          <w:trHeight w:val="454"/>
          <w:jc w:val="center"/>
        </w:trPr>
        <w:tc>
          <w:tcPr>
            <w:tcW w:w="1701"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902" w:type="dxa"/>
            <w:tcMar>
              <w:left w:w="28" w:type="dxa"/>
              <w:right w:w="28" w:type="dxa"/>
            </w:tcMar>
            <w:vAlign w:val="center"/>
          </w:tcPr>
          <w:p w:rsidR="000D4FE1" w:rsidRPr="0085084D" w:rsidRDefault="000D4FE1" w:rsidP="000D4FE1">
            <w:pPr>
              <w:spacing w:line="320" w:lineRule="exact"/>
              <w:ind w:firstLineChars="200" w:firstLine="31680"/>
              <w:jc w:val="left"/>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701"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90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color w:val="000000"/>
                <w:kern w:val="0"/>
                <w:szCs w:val="21"/>
              </w:rPr>
              <w:t>（</w:t>
            </w:r>
            <w:r w:rsidRPr="0085084D">
              <w:rPr>
                <w:rFonts w:ascii="宋体" w:hAnsi="宋体" w:cs="宋体"/>
                <w:color w:val="000000"/>
                <w:kern w:val="0"/>
                <w:szCs w:val="21"/>
              </w:rPr>
              <w:t>0839</w:t>
            </w:r>
            <w:r w:rsidRPr="0085084D">
              <w:rPr>
                <w:rFonts w:ascii="宋体" w:hAnsi="宋体" w:cs="宋体" w:hint="eastAsia"/>
                <w:color w:val="000000"/>
                <w:kern w:val="0"/>
                <w:szCs w:val="21"/>
              </w:rPr>
              <w:t>）</w:t>
            </w:r>
            <w:r w:rsidRPr="0085084D">
              <w:rPr>
                <w:rFonts w:ascii="宋体" w:hAnsi="宋体" w:cs="宋体"/>
                <w:color w:val="000000"/>
                <w:kern w:val="0"/>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9"/>
        <w:gridCol w:w="7060"/>
      </w:tblGrid>
      <w:tr w:rsidR="000D4FE1" w:rsidRPr="0085084D" w:rsidTr="0085084D">
        <w:trPr>
          <w:trHeight w:val="454"/>
          <w:jc w:val="center"/>
        </w:trPr>
        <w:tc>
          <w:tcPr>
            <w:tcW w:w="188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序号</w:t>
            </w:r>
          </w:p>
        </w:tc>
        <w:tc>
          <w:tcPr>
            <w:tcW w:w="7730"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szCs w:val="21"/>
              </w:rPr>
              <w:t>136</w:t>
            </w:r>
          </w:p>
        </w:tc>
      </w:tr>
      <w:tr w:rsidR="000D4FE1" w:rsidRPr="0085084D" w:rsidTr="0085084D">
        <w:trPr>
          <w:trHeight w:val="454"/>
          <w:jc w:val="center"/>
        </w:trPr>
        <w:tc>
          <w:tcPr>
            <w:tcW w:w="188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权力类型</w:t>
            </w:r>
          </w:p>
        </w:tc>
        <w:tc>
          <w:tcPr>
            <w:tcW w:w="7730"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行政强制</w:t>
            </w:r>
          </w:p>
        </w:tc>
      </w:tr>
      <w:tr w:rsidR="000D4FE1" w:rsidRPr="0085084D" w:rsidTr="0085084D">
        <w:trPr>
          <w:trHeight w:val="454"/>
          <w:jc w:val="center"/>
        </w:trPr>
        <w:tc>
          <w:tcPr>
            <w:tcW w:w="188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权力项目名称</w:t>
            </w:r>
          </w:p>
        </w:tc>
        <w:tc>
          <w:tcPr>
            <w:tcW w:w="7730"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color w:val="000000"/>
                <w:szCs w:val="21"/>
              </w:rPr>
              <w:t>加处罚款与加收滞纳金</w:t>
            </w:r>
          </w:p>
        </w:tc>
      </w:tr>
      <w:tr w:rsidR="000D4FE1" w:rsidRPr="0085084D" w:rsidTr="0085084D">
        <w:trPr>
          <w:trHeight w:val="454"/>
          <w:jc w:val="center"/>
        </w:trPr>
        <w:tc>
          <w:tcPr>
            <w:tcW w:w="1887" w:type="dxa"/>
            <w:tcMar>
              <w:left w:w="28" w:type="dxa"/>
              <w:right w:w="28" w:type="dxa"/>
            </w:tcMar>
            <w:vAlign w:val="center"/>
          </w:tcPr>
          <w:p w:rsidR="000D4FE1" w:rsidRPr="0085084D" w:rsidRDefault="000D4FE1" w:rsidP="000D4FE1">
            <w:pPr>
              <w:spacing w:line="320" w:lineRule="exact"/>
              <w:ind w:firstLineChars="150" w:firstLine="31680"/>
              <w:rPr>
                <w:rFonts w:ascii="宋体" w:cs="宋体"/>
                <w:color w:val="000000"/>
                <w:szCs w:val="21"/>
              </w:rPr>
            </w:pPr>
            <w:r w:rsidRPr="0085084D">
              <w:rPr>
                <w:rFonts w:ascii="宋体" w:hAnsi="宋体" w:cs="宋体" w:hint="eastAsia"/>
                <w:color w:val="000000"/>
                <w:szCs w:val="21"/>
              </w:rPr>
              <w:t>实施依据</w:t>
            </w:r>
          </w:p>
        </w:tc>
        <w:tc>
          <w:tcPr>
            <w:tcW w:w="7730"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行政强制法》第四十五条“行政机关依法作出金钱给付务的行政决定，当事人逾期不履行的，行政机关可以依法加处罚款或者滞纳金。加处罚款或者滞纳金的标准应当告知当事人。加处罚款或者滞纳金的数额不得超出金钱给付义务的数额。”</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《中华人民共和国行政处罚法》第五十一条“当事人逾期不履行行政处罚决定的，作出行政处罚决定的行政机关可以采取下列措施：</w:t>
            </w:r>
            <w:r w:rsidRPr="0085084D">
              <w:rPr>
                <w:rFonts w:ascii="宋体" w:hAnsi="宋体" w:cs="宋体"/>
                <w:szCs w:val="21"/>
              </w:rPr>
              <w:t>(</w:t>
            </w:r>
            <w:r w:rsidRPr="0085084D">
              <w:rPr>
                <w:rFonts w:ascii="宋体" w:hAnsi="宋体" w:cs="宋体" w:hint="eastAsia"/>
                <w:szCs w:val="21"/>
              </w:rPr>
              <w:t>一</w:t>
            </w:r>
            <w:r w:rsidRPr="0085084D">
              <w:rPr>
                <w:rFonts w:ascii="宋体" w:hAnsi="宋体" w:cs="宋体"/>
                <w:szCs w:val="21"/>
              </w:rPr>
              <w:t>)</w:t>
            </w:r>
            <w:r w:rsidRPr="0085084D">
              <w:rPr>
                <w:rFonts w:ascii="宋体" w:hAnsi="宋体" w:cs="宋体" w:hint="eastAsia"/>
                <w:szCs w:val="21"/>
              </w:rPr>
              <w:t>到期不缴纳罚款的，每日按罚款数额的百分之三加处罚款；</w:t>
            </w:r>
            <w:r w:rsidRPr="0085084D">
              <w:rPr>
                <w:rFonts w:ascii="宋体" w:hAnsi="宋体" w:cs="宋体"/>
                <w:szCs w:val="21"/>
              </w:rPr>
              <w:t>(</w:t>
            </w:r>
            <w:r w:rsidRPr="0085084D">
              <w:rPr>
                <w:rFonts w:ascii="宋体" w:hAnsi="宋体" w:cs="宋体" w:hint="eastAsia"/>
                <w:szCs w:val="21"/>
              </w:rPr>
              <w:t>二</w:t>
            </w:r>
            <w:r w:rsidRPr="0085084D">
              <w:rPr>
                <w:rFonts w:ascii="宋体" w:hAnsi="宋体" w:cs="宋体"/>
                <w:szCs w:val="21"/>
              </w:rPr>
              <w:t>)</w:t>
            </w:r>
            <w:r w:rsidRPr="0085084D">
              <w:rPr>
                <w:rFonts w:ascii="宋体" w:hAnsi="宋体" w:cs="宋体" w:hint="eastAsia"/>
                <w:szCs w:val="21"/>
              </w:rPr>
              <w:t>根据法律规定，将查封、扣押的财物拍卖或者将冻结的存款划拨抵缴罚款；</w:t>
            </w:r>
            <w:r w:rsidRPr="0085084D">
              <w:rPr>
                <w:rFonts w:ascii="宋体" w:hAnsi="宋体" w:cs="宋体"/>
                <w:szCs w:val="21"/>
              </w:rPr>
              <w:t>(</w:t>
            </w:r>
            <w:r w:rsidRPr="0085084D">
              <w:rPr>
                <w:rFonts w:ascii="宋体" w:hAnsi="宋体" w:cs="宋体" w:hint="eastAsia"/>
                <w:szCs w:val="21"/>
              </w:rPr>
              <w:t>三</w:t>
            </w:r>
            <w:r w:rsidRPr="0085084D">
              <w:rPr>
                <w:rFonts w:ascii="宋体" w:hAnsi="宋体" w:cs="宋体"/>
                <w:szCs w:val="21"/>
              </w:rPr>
              <w:t>)</w:t>
            </w:r>
            <w:r w:rsidRPr="0085084D">
              <w:rPr>
                <w:rFonts w:ascii="宋体" w:hAnsi="宋体" w:cs="宋体" w:hint="eastAsia"/>
                <w:szCs w:val="21"/>
              </w:rPr>
              <w:t>申请人民法院强制执行。”</w:t>
            </w:r>
          </w:p>
        </w:tc>
      </w:tr>
      <w:tr w:rsidR="000D4FE1" w:rsidRPr="0085084D" w:rsidTr="0085084D">
        <w:trPr>
          <w:trHeight w:val="454"/>
          <w:jc w:val="center"/>
        </w:trPr>
        <w:tc>
          <w:tcPr>
            <w:tcW w:w="188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责任主体</w:t>
            </w:r>
          </w:p>
        </w:tc>
        <w:tc>
          <w:tcPr>
            <w:tcW w:w="7730"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工程建设管理科（行政审批科）</w:t>
            </w:r>
          </w:p>
        </w:tc>
      </w:tr>
      <w:tr w:rsidR="000D4FE1" w:rsidRPr="0085084D" w:rsidTr="0085084D">
        <w:trPr>
          <w:trHeight w:val="454"/>
          <w:jc w:val="center"/>
        </w:trPr>
        <w:tc>
          <w:tcPr>
            <w:tcW w:w="188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730"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催告责任：检查发现当事人逾期不履行行政处罚决定规定之违法行为时，有权作出以下决定：（</w:t>
            </w:r>
            <w:r w:rsidRPr="0085084D">
              <w:rPr>
                <w:rFonts w:ascii="宋体" w:hAnsi="宋体" w:cs="宋体"/>
                <w:szCs w:val="21"/>
              </w:rPr>
              <w:t>1</w:t>
            </w:r>
            <w:r w:rsidRPr="0085084D">
              <w:rPr>
                <w:rFonts w:ascii="宋体" w:hAnsi="宋体" w:cs="宋体" w:hint="eastAsia"/>
                <w:szCs w:val="21"/>
              </w:rPr>
              <w:t>）到期不缴纳罚款的，每日按罚款数额的百分之三加处罚款；（</w:t>
            </w:r>
            <w:r w:rsidRPr="0085084D">
              <w:rPr>
                <w:rFonts w:ascii="宋体" w:hAnsi="宋体" w:cs="宋体"/>
                <w:szCs w:val="21"/>
              </w:rPr>
              <w:t>2</w:t>
            </w:r>
            <w:r w:rsidRPr="0085084D">
              <w:rPr>
                <w:rFonts w:ascii="宋体" w:hAnsi="宋体" w:cs="宋体" w:hint="eastAsia"/>
                <w:szCs w:val="21"/>
              </w:rPr>
              <w:t>）根据法律规定，将查封、扣押的财物拍卖或者将冻结的存款划拨抵缴罚款；（</w:t>
            </w:r>
            <w:r w:rsidRPr="0085084D">
              <w:rPr>
                <w:rFonts w:ascii="宋体" w:hAnsi="宋体" w:cs="宋体"/>
                <w:szCs w:val="21"/>
              </w:rPr>
              <w:t>3</w:t>
            </w:r>
            <w:r w:rsidRPr="0085084D">
              <w:rPr>
                <w:rFonts w:ascii="宋体" w:hAnsi="宋体" w:cs="宋体" w:hint="eastAsia"/>
                <w:szCs w:val="21"/>
              </w:rPr>
              <w:t>）申请人民法院强制执行。</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决定责任：被检查单位应及时报告执法人员是否履行处罚决定。</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执行责任：经人防办机关负责人批准，申请人民法院强制执行。</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事后监管责任：密切跟踪当事人履行行政处罚进度。</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5.</w:t>
            </w:r>
            <w:r w:rsidRPr="0085084D">
              <w:rPr>
                <w:rFonts w:ascii="宋体" w:hAnsi="宋体" w:cs="宋体" w:hint="eastAsia"/>
                <w:szCs w:val="21"/>
              </w:rPr>
              <w:t>其他责任：其他法律法规政策规定应履行的责任。</w:t>
            </w:r>
          </w:p>
        </w:tc>
      </w:tr>
      <w:tr w:rsidR="000D4FE1" w:rsidRPr="0085084D" w:rsidTr="0085084D">
        <w:trPr>
          <w:trHeight w:val="454"/>
          <w:jc w:val="center"/>
        </w:trPr>
        <w:tc>
          <w:tcPr>
            <w:tcW w:w="188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730"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887"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730"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gridCol w:w="7038"/>
      </w:tblGrid>
      <w:tr w:rsidR="000D4FE1" w:rsidRPr="0085084D" w:rsidTr="0085084D">
        <w:trPr>
          <w:trHeight w:val="454"/>
          <w:jc w:val="center"/>
        </w:trPr>
        <w:tc>
          <w:tcPr>
            <w:tcW w:w="192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序号</w:t>
            </w:r>
          </w:p>
        </w:tc>
        <w:tc>
          <w:tcPr>
            <w:tcW w:w="7739" w:type="dxa"/>
            <w:tcMar>
              <w:left w:w="28" w:type="dxa"/>
              <w:right w:w="28" w:type="dxa"/>
            </w:tcMar>
            <w:vAlign w:val="center"/>
          </w:tcPr>
          <w:p w:rsidR="000D4FE1" w:rsidRPr="0085084D" w:rsidRDefault="000D4FE1" w:rsidP="00290A16">
            <w:pPr>
              <w:spacing w:line="320" w:lineRule="exact"/>
              <w:jc w:val="center"/>
              <w:rPr>
                <w:rFonts w:ascii="宋体" w:hAnsi="宋体" w:cs="宋体"/>
                <w:color w:val="000000"/>
                <w:szCs w:val="21"/>
                <w:shd w:val="clear" w:color="auto" w:fill="FFFFFF"/>
              </w:rPr>
            </w:pPr>
            <w:r w:rsidRPr="0085084D">
              <w:rPr>
                <w:rFonts w:ascii="宋体" w:hAnsi="宋体" w:cs="宋体"/>
                <w:color w:val="000000"/>
                <w:szCs w:val="21"/>
                <w:shd w:val="clear" w:color="auto" w:fill="FFFFFF"/>
              </w:rPr>
              <w:t>225</w:t>
            </w:r>
          </w:p>
        </w:tc>
      </w:tr>
      <w:tr w:rsidR="000D4FE1" w:rsidRPr="0085084D" w:rsidTr="0085084D">
        <w:trPr>
          <w:trHeight w:val="454"/>
          <w:jc w:val="center"/>
        </w:trPr>
        <w:tc>
          <w:tcPr>
            <w:tcW w:w="192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权力类型</w:t>
            </w:r>
          </w:p>
        </w:tc>
        <w:tc>
          <w:tcPr>
            <w:tcW w:w="7739"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行政检查</w:t>
            </w:r>
          </w:p>
        </w:tc>
      </w:tr>
      <w:tr w:rsidR="000D4FE1" w:rsidRPr="0085084D" w:rsidTr="0085084D">
        <w:trPr>
          <w:trHeight w:val="454"/>
          <w:jc w:val="center"/>
        </w:trPr>
        <w:tc>
          <w:tcPr>
            <w:tcW w:w="192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权力项目名称</w:t>
            </w:r>
          </w:p>
        </w:tc>
        <w:tc>
          <w:tcPr>
            <w:tcW w:w="7739"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对城市和重要经济目标的人民防空建设进行监督检查</w:t>
            </w:r>
          </w:p>
        </w:tc>
      </w:tr>
      <w:tr w:rsidR="000D4FE1" w:rsidRPr="0085084D" w:rsidTr="0085084D">
        <w:trPr>
          <w:trHeight w:val="454"/>
          <w:jc w:val="center"/>
        </w:trPr>
        <w:tc>
          <w:tcPr>
            <w:tcW w:w="1920"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实施依据</w:t>
            </w:r>
          </w:p>
        </w:tc>
        <w:tc>
          <w:tcPr>
            <w:tcW w:w="7739"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《中华人民共和国人民防空法》第十七条“人民防空主管部门应当依照规定对城市和经济目标的人民防空建设进行监督检查。被检查单位应当如实提供情况和必要的资料。”</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九条“城市是人民防空的重点。城市的防护类别和标准，按照国务院、中央军委的规定执行。重要工矿企业、科研基地、交通和通信枢纽、桥梁、水库、仓库、电站等重要经济目标，应采取有效措施预防空袭。人民防空主管部门对城市和重要经济目标落实人民防空的情况实施检查监督，被检查单位应如实提供有关情况和资料。”</w:t>
            </w:r>
          </w:p>
        </w:tc>
      </w:tr>
      <w:tr w:rsidR="000D4FE1" w:rsidRPr="0085084D" w:rsidTr="0085084D">
        <w:trPr>
          <w:trHeight w:val="454"/>
          <w:jc w:val="center"/>
        </w:trPr>
        <w:tc>
          <w:tcPr>
            <w:tcW w:w="192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责任主体</w:t>
            </w:r>
          </w:p>
        </w:tc>
        <w:tc>
          <w:tcPr>
            <w:tcW w:w="7739"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指挥通信科</w:t>
            </w:r>
          </w:p>
        </w:tc>
      </w:tr>
      <w:tr w:rsidR="000D4FE1" w:rsidRPr="0085084D" w:rsidTr="0085084D">
        <w:trPr>
          <w:trHeight w:val="454"/>
          <w:jc w:val="center"/>
        </w:trPr>
        <w:tc>
          <w:tcPr>
            <w:tcW w:w="1920"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739"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检查责任：根据年度监督检查计划，结合本地区实际情况，定期或不定期对城市和经济目标的人民防空建设进行监督检查。</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处置责任：根据检查情况，依法依规采取相应处置措施。</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移送责任：对构成犯罪的进行移交。</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事后管理责任：建立实施监督检查的运行机制和管理制度，开展定期和不定期检查，依法采取相关处置措施。</w:t>
            </w:r>
          </w:p>
        </w:tc>
      </w:tr>
      <w:tr w:rsidR="000D4FE1" w:rsidRPr="0085084D" w:rsidTr="0085084D">
        <w:trPr>
          <w:trHeight w:val="454"/>
          <w:jc w:val="center"/>
        </w:trPr>
        <w:tc>
          <w:tcPr>
            <w:tcW w:w="1920"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739"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920"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739"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bCs/>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229"/>
      </w:tblGrid>
      <w:tr w:rsidR="000D4FE1" w:rsidRPr="0085084D" w:rsidTr="0085084D">
        <w:trPr>
          <w:trHeight w:val="454"/>
          <w:jc w:val="center"/>
        </w:trPr>
        <w:tc>
          <w:tcPr>
            <w:tcW w:w="171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序号</w:t>
            </w:r>
          </w:p>
        </w:tc>
        <w:tc>
          <w:tcPr>
            <w:tcW w:w="7961" w:type="dxa"/>
            <w:tcMar>
              <w:left w:w="28" w:type="dxa"/>
              <w:right w:w="28" w:type="dxa"/>
            </w:tcMar>
            <w:vAlign w:val="center"/>
          </w:tcPr>
          <w:p w:rsidR="000D4FE1" w:rsidRPr="0085084D" w:rsidRDefault="000D4FE1" w:rsidP="00290A16">
            <w:pPr>
              <w:spacing w:line="320" w:lineRule="exact"/>
              <w:jc w:val="center"/>
              <w:rPr>
                <w:rFonts w:ascii="宋体" w:hAnsi="宋体" w:cs="宋体"/>
                <w:color w:val="000000"/>
                <w:szCs w:val="21"/>
                <w:shd w:val="clear" w:color="auto" w:fill="FFFFFF"/>
              </w:rPr>
            </w:pPr>
            <w:r w:rsidRPr="0085084D">
              <w:rPr>
                <w:rFonts w:ascii="宋体" w:hAnsi="宋体" w:cs="宋体"/>
                <w:color w:val="000000"/>
                <w:szCs w:val="21"/>
                <w:shd w:val="clear" w:color="auto" w:fill="FFFFFF"/>
              </w:rPr>
              <w:t>226</w:t>
            </w:r>
          </w:p>
        </w:tc>
      </w:tr>
      <w:tr w:rsidR="000D4FE1" w:rsidRPr="0085084D" w:rsidTr="0085084D">
        <w:trPr>
          <w:trHeight w:val="454"/>
          <w:jc w:val="center"/>
        </w:trPr>
        <w:tc>
          <w:tcPr>
            <w:tcW w:w="171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权力类型</w:t>
            </w:r>
          </w:p>
        </w:tc>
        <w:tc>
          <w:tcPr>
            <w:tcW w:w="7961"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行政检查</w:t>
            </w:r>
          </w:p>
        </w:tc>
      </w:tr>
      <w:tr w:rsidR="000D4FE1" w:rsidRPr="0085084D" w:rsidTr="0085084D">
        <w:trPr>
          <w:trHeight w:val="454"/>
          <w:jc w:val="center"/>
        </w:trPr>
        <w:tc>
          <w:tcPr>
            <w:tcW w:w="171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权力项目名称</w:t>
            </w:r>
          </w:p>
        </w:tc>
        <w:tc>
          <w:tcPr>
            <w:tcW w:w="7961"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对人民防空工程的维护管理进行监督检查</w:t>
            </w:r>
          </w:p>
        </w:tc>
      </w:tr>
      <w:tr w:rsidR="000D4FE1" w:rsidRPr="0085084D" w:rsidTr="0085084D">
        <w:trPr>
          <w:trHeight w:val="454"/>
          <w:jc w:val="center"/>
        </w:trPr>
        <w:tc>
          <w:tcPr>
            <w:tcW w:w="1712"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实施依据</w:t>
            </w:r>
          </w:p>
        </w:tc>
        <w:tc>
          <w:tcPr>
            <w:tcW w:w="7961"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《中华人民共和国人民防空法》第二十五条“人民防空主管部门对人民防空工程的维护管理进行监督检查。公用的人民防空工程的维护管理由人民防空主管部门负责。</w:t>
            </w:r>
            <w:r w:rsidRPr="0085084D">
              <w:rPr>
                <w:rFonts w:ascii="宋体" w:hAnsi="宋体" w:cs="宋体"/>
                <w:szCs w:val="21"/>
              </w:rPr>
              <w:t xml:space="preserve"> </w:t>
            </w:r>
            <w:r w:rsidRPr="0085084D">
              <w:rPr>
                <w:rFonts w:ascii="宋体" w:hAnsi="宋体" w:cs="宋体" w:hint="eastAsia"/>
                <w:szCs w:val="21"/>
              </w:rPr>
              <w:t>有关单位应当按照国家规定对已经修建或者使用的人民防空工程进行维护管理，使其保持良好使用状态。”</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二十二条“人民防空工程和设施的消防、安全和维护管理，平时由使用者负责。人民防空主管部门应加强监督、检查和指导。对未使用的人防公共工程，人民防空主管部门应加强维护、整治和管理。”</w:t>
            </w:r>
          </w:p>
        </w:tc>
      </w:tr>
      <w:tr w:rsidR="000D4FE1" w:rsidRPr="0085084D" w:rsidTr="0085084D">
        <w:trPr>
          <w:trHeight w:val="454"/>
          <w:jc w:val="center"/>
        </w:trPr>
        <w:tc>
          <w:tcPr>
            <w:tcW w:w="171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责任主体</w:t>
            </w:r>
          </w:p>
        </w:tc>
        <w:tc>
          <w:tcPr>
            <w:tcW w:w="7961"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工程建设管理科（行政审批科）</w:t>
            </w:r>
          </w:p>
        </w:tc>
      </w:tr>
      <w:tr w:rsidR="000D4FE1" w:rsidRPr="0085084D" w:rsidTr="0085084D">
        <w:trPr>
          <w:trHeight w:val="454"/>
          <w:jc w:val="center"/>
        </w:trPr>
        <w:tc>
          <w:tcPr>
            <w:tcW w:w="171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责任事项</w:t>
            </w:r>
          </w:p>
        </w:tc>
        <w:tc>
          <w:tcPr>
            <w:tcW w:w="7961"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检查责任：根据年度监督检查计划，结合本地区实际情况，定期或不定期对人民防空工程的维护管理进行监督检查。</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2.</w:t>
            </w:r>
            <w:r w:rsidRPr="0085084D">
              <w:rPr>
                <w:rFonts w:ascii="宋体" w:hAnsi="宋体" w:cs="宋体" w:hint="eastAsia"/>
                <w:szCs w:val="21"/>
              </w:rPr>
              <w:t>处置责任：根据检查情况，依法依规采取相应处置措施。</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3.</w:t>
            </w:r>
            <w:r w:rsidRPr="0085084D">
              <w:rPr>
                <w:rFonts w:ascii="宋体" w:hAnsi="宋体" w:cs="宋体" w:hint="eastAsia"/>
                <w:szCs w:val="21"/>
              </w:rPr>
              <w:t>移送责任：对构成犯罪的进行移交。</w:t>
            </w:r>
          </w:p>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4.</w:t>
            </w:r>
            <w:r w:rsidRPr="0085084D">
              <w:rPr>
                <w:rFonts w:ascii="宋体" w:hAnsi="宋体" w:cs="宋体" w:hint="eastAsia"/>
                <w:szCs w:val="21"/>
              </w:rPr>
              <w:t>事后管理责任：建立实施监督检查的运行机制和管理制度，开展定期和不定期检查，依法采取相关处置措施。</w:t>
            </w:r>
          </w:p>
        </w:tc>
      </w:tr>
      <w:tr w:rsidR="000D4FE1" w:rsidRPr="0085084D" w:rsidTr="0085084D">
        <w:trPr>
          <w:trHeight w:val="454"/>
          <w:jc w:val="center"/>
        </w:trPr>
        <w:tc>
          <w:tcPr>
            <w:tcW w:w="171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追责情形</w:t>
            </w:r>
          </w:p>
        </w:tc>
        <w:tc>
          <w:tcPr>
            <w:tcW w:w="7961" w:type="dxa"/>
            <w:tcMar>
              <w:left w:w="28" w:type="dxa"/>
              <w:right w:w="28" w:type="dxa"/>
            </w:tcMa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712" w:type="dxa"/>
            <w:tcMar>
              <w:left w:w="28" w:type="dxa"/>
              <w:right w:w="28" w:type="dxa"/>
            </w:tcMar>
            <w:vAlign w:val="center"/>
          </w:tcPr>
          <w:p w:rsidR="000D4FE1" w:rsidRPr="0085084D" w:rsidRDefault="000D4FE1" w:rsidP="00290A16">
            <w:pPr>
              <w:spacing w:line="320" w:lineRule="exact"/>
              <w:jc w:val="center"/>
              <w:rPr>
                <w:rFonts w:ascii="宋体" w:cs="宋体"/>
                <w:szCs w:val="21"/>
              </w:rPr>
            </w:pPr>
            <w:r w:rsidRPr="0085084D">
              <w:rPr>
                <w:rFonts w:ascii="宋体" w:hAnsi="宋体" w:cs="宋体" w:hint="eastAsia"/>
                <w:szCs w:val="21"/>
              </w:rPr>
              <w:t>监督电话</w:t>
            </w:r>
          </w:p>
        </w:tc>
        <w:tc>
          <w:tcPr>
            <w:tcW w:w="7961" w:type="dxa"/>
            <w:tcMar>
              <w:left w:w="28" w:type="dxa"/>
              <w:right w:w="28" w:type="dxa"/>
            </w:tcMar>
            <w:vAlign w:val="center"/>
          </w:tcPr>
          <w:p w:rsidR="000D4FE1" w:rsidRPr="0085084D" w:rsidRDefault="000D4FE1" w:rsidP="00290A16">
            <w:pPr>
              <w:spacing w:line="320" w:lineRule="exact"/>
              <w:jc w:val="center"/>
              <w:rPr>
                <w:rFonts w:ascii="宋体" w:hAnsi="宋体" w:cs="宋体"/>
                <w:szCs w:val="21"/>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8"/>
        <w:gridCol w:w="7231"/>
      </w:tblGrid>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序号</w:t>
            </w:r>
          </w:p>
        </w:tc>
        <w:tc>
          <w:tcPr>
            <w:tcW w:w="7952" w:type="dxa"/>
            <w:tcMar>
              <w:left w:w="28" w:type="dxa"/>
              <w:right w:w="28" w:type="dxa"/>
            </w:tcMar>
            <w:vAlign w:val="center"/>
          </w:tcPr>
          <w:p w:rsidR="000D4FE1" w:rsidRPr="0085084D" w:rsidRDefault="000D4FE1" w:rsidP="00290A16">
            <w:pPr>
              <w:spacing w:line="320" w:lineRule="exact"/>
              <w:jc w:val="center"/>
              <w:rPr>
                <w:rFonts w:ascii="宋体" w:hAnsi="宋体" w:cs="宋体"/>
                <w:color w:val="000000"/>
                <w:szCs w:val="21"/>
                <w:shd w:val="clear" w:color="auto" w:fill="FFFFFF"/>
              </w:rPr>
            </w:pPr>
            <w:r w:rsidRPr="0085084D">
              <w:rPr>
                <w:rFonts w:ascii="宋体" w:hAnsi="宋体" w:cs="宋体"/>
                <w:color w:val="000000"/>
                <w:szCs w:val="21"/>
                <w:shd w:val="clear" w:color="auto" w:fill="FFFFFF"/>
              </w:rPr>
              <w:t>96</w:t>
            </w:r>
          </w:p>
        </w:tc>
      </w:tr>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权力类型</w:t>
            </w:r>
          </w:p>
        </w:tc>
        <w:tc>
          <w:tcPr>
            <w:tcW w:w="795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行政奖励</w:t>
            </w:r>
          </w:p>
        </w:tc>
      </w:tr>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权力项目名称</w:t>
            </w:r>
          </w:p>
        </w:tc>
        <w:tc>
          <w:tcPr>
            <w:tcW w:w="795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对先进单位或个人的表彰奖励</w:t>
            </w:r>
          </w:p>
        </w:tc>
      </w:tr>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实施依据</w:t>
            </w:r>
          </w:p>
        </w:tc>
        <w:tc>
          <w:tcPr>
            <w:tcW w:w="7952"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szCs w:val="21"/>
              </w:rPr>
              <w:t>1.</w:t>
            </w:r>
            <w:r w:rsidRPr="0085084D">
              <w:rPr>
                <w:rFonts w:ascii="宋体" w:hAnsi="宋体" w:cs="宋体" w:hint="eastAsia"/>
                <w:szCs w:val="21"/>
              </w:rPr>
              <w:t>《中华人民共和国人民防空法》第十条“县级以上人民政府和军事机关对在人民防空工作中做出显著成绩的组织或者个人，给予奖励。”</w:t>
            </w:r>
          </w:p>
          <w:p w:rsidR="000D4FE1" w:rsidRPr="0085084D" w:rsidRDefault="000D4FE1" w:rsidP="000D4FE1">
            <w:pPr>
              <w:spacing w:line="320" w:lineRule="exact"/>
              <w:ind w:firstLineChars="200" w:firstLine="31680"/>
              <w:rPr>
                <w:rFonts w:ascii="宋体" w:cs="宋体"/>
                <w:color w:val="000000"/>
                <w:szCs w:val="21"/>
                <w:shd w:val="clear" w:color="auto" w:fill="FFFFFF"/>
              </w:rPr>
            </w:pPr>
            <w:r w:rsidRPr="0085084D">
              <w:rPr>
                <w:rFonts w:ascii="宋体" w:hAnsi="宋体" w:cs="宋体"/>
                <w:szCs w:val="21"/>
              </w:rPr>
              <w:t>2.</w:t>
            </w:r>
            <w:r w:rsidRPr="0085084D">
              <w:rPr>
                <w:rFonts w:ascii="宋体" w:hAnsi="宋体" w:cs="宋体" w:hint="eastAsia"/>
                <w:szCs w:val="21"/>
              </w:rPr>
              <w:t>《四川省</w:t>
            </w:r>
            <w:r w:rsidRPr="0085084D">
              <w:rPr>
                <w:rFonts w:ascii="宋体" w:hAnsi="宋体" w:cs="宋体"/>
                <w:szCs w:val="21"/>
              </w:rPr>
              <w:t>&lt;</w:t>
            </w:r>
            <w:r w:rsidRPr="0085084D">
              <w:rPr>
                <w:rFonts w:ascii="宋体" w:hAnsi="宋体" w:cs="宋体" w:hint="eastAsia"/>
                <w:szCs w:val="21"/>
              </w:rPr>
              <w:t>中华人民共和国人民防空法</w:t>
            </w:r>
            <w:r w:rsidRPr="0085084D">
              <w:rPr>
                <w:rFonts w:ascii="宋体" w:hAnsi="宋体" w:cs="宋体"/>
                <w:szCs w:val="21"/>
              </w:rPr>
              <w:t>&gt;</w:t>
            </w:r>
            <w:r w:rsidRPr="0085084D">
              <w:rPr>
                <w:rFonts w:ascii="宋体" w:hAnsi="宋体" w:cs="宋体" w:hint="eastAsia"/>
                <w:szCs w:val="21"/>
              </w:rPr>
              <w:t>实施办法》第三十四条“县级以上人民政府和同级军事机关对人民防空工作中作出显著成绩的单位和个人，给予表彰奖励。”</w:t>
            </w:r>
          </w:p>
        </w:tc>
      </w:tr>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责任主体</w:t>
            </w:r>
          </w:p>
        </w:tc>
        <w:tc>
          <w:tcPr>
            <w:tcW w:w="795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综合科</w:t>
            </w:r>
          </w:p>
        </w:tc>
      </w:tr>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责任事项</w:t>
            </w:r>
          </w:p>
        </w:tc>
        <w:tc>
          <w:tcPr>
            <w:tcW w:w="7952" w:type="dxa"/>
            <w:tcMar>
              <w:left w:w="28" w:type="dxa"/>
              <w:right w:w="28" w:type="dxa"/>
            </w:tcMar>
          </w:tcPr>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1.</w:t>
            </w:r>
            <w:r w:rsidRPr="0085084D">
              <w:rPr>
                <w:rFonts w:ascii="宋体" w:hAnsi="宋体" w:cs="宋体" w:hint="eastAsia"/>
                <w:color w:val="000000"/>
                <w:szCs w:val="21"/>
                <w:shd w:val="clear" w:color="auto" w:fill="FFFFFF"/>
              </w:rPr>
              <w:t>制定方案责任：结合本系统的工作性质和特点，科学制定表彰方案。</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2.</w:t>
            </w:r>
            <w:r w:rsidRPr="0085084D">
              <w:rPr>
                <w:rFonts w:ascii="宋体" w:hAnsi="宋体" w:cs="宋体" w:hint="eastAsia"/>
                <w:color w:val="000000"/>
                <w:szCs w:val="21"/>
                <w:shd w:val="clear" w:color="auto" w:fill="FFFFFF"/>
              </w:rPr>
              <w:t>组织推荐责任：严格按照表彰方案规定的条件、程序，组织推荐工作，对推荐对象进行初审。</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3.</w:t>
            </w:r>
            <w:r w:rsidRPr="0085084D">
              <w:rPr>
                <w:rFonts w:ascii="宋体" w:hAnsi="宋体" w:cs="宋体" w:hint="eastAsia"/>
                <w:color w:val="000000"/>
                <w:szCs w:val="21"/>
                <w:shd w:val="clear" w:color="auto" w:fill="FFFFFF"/>
              </w:rPr>
              <w:t>审核公示责任：对符合条件的推荐对象进行审核，并报请研究审定，并进行公示。</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4.</w:t>
            </w:r>
            <w:r w:rsidRPr="0085084D">
              <w:rPr>
                <w:rFonts w:ascii="宋体" w:hAnsi="宋体" w:cs="宋体" w:hint="eastAsia"/>
                <w:color w:val="000000"/>
                <w:szCs w:val="21"/>
                <w:shd w:val="clear" w:color="auto" w:fill="FFFFFF"/>
              </w:rPr>
              <w:t>表彰责任：按照程序报批后，以市政府或人防主管部门名义表彰。</w:t>
            </w:r>
          </w:p>
          <w:p w:rsidR="000D4FE1" w:rsidRPr="0085084D" w:rsidRDefault="000D4FE1" w:rsidP="000D4FE1">
            <w:pPr>
              <w:spacing w:line="320" w:lineRule="exact"/>
              <w:ind w:firstLineChars="200" w:firstLine="31680"/>
              <w:rPr>
                <w:rFonts w:ascii="宋体" w:cs="宋体"/>
                <w:color w:val="000000"/>
                <w:szCs w:val="21"/>
                <w:shd w:val="clear" w:color="auto" w:fill="FFFFFF"/>
              </w:rPr>
            </w:pPr>
            <w:r w:rsidRPr="0085084D">
              <w:rPr>
                <w:rFonts w:ascii="宋体" w:hAnsi="宋体" w:cs="宋体"/>
                <w:color w:val="000000"/>
                <w:szCs w:val="21"/>
                <w:shd w:val="clear" w:color="auto" w:fill="FFFFFF"/>
              </w:rPr>
              <w:t>5.</w:t>
            </w:r>
            <w:r w:rsidRPr="0085084D">
              <w:rPr>
                <w:rFonts w:ascii="宋体" w:hAnsi="宋体" w:cs="宋体" w:hint="eastAsia"/>
                <w:color w:val="000000"/>
                <w:szCs w:val="21"/>
                <w:shd w:val="clear" w:color="auto" w:fill="FFFFFF"/>
              </w:rPr>
              <w:t>其他责任：法律法规规章文件规定应履行的其他责任。</w:t>
            </w:r>
          </w:p>
        </w:tc>
      </w:tr>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追责情形</w:t>
            </w:r>
          </w:p>
        </w:tc>
        <w:tc>
          <w:tcPr>
            <w:tcW w:w="7952" w:type="dxa"/>
            <w:tcMar>
              <w:left w:w="28" w:type="dxa"/>
              <w:right w:w="28" w:type="dxa"/>
            </w:tcMar>
          </w:tcPr>
          <w:p w:rsidR="000D4FE1" w:rsidRPr="0085084D" w:rsidRDefault="000D4FE1" w:rsidP="000D4FE1">
            <w:pPr>
              <w:spacing w:line="320" w:lineRule="exact"/>
              <w:ind w:firstLineChars="200" w:firstLine="31680"/>
              <w:rPr>
                <w:rFonts w:ascii="宋体" w:cs="宋体"/>
                <w:color w:val="000000"/>
                <w:szCs w:val="21"/>
                <w:shd w:val="clear" w:color="auto" w:fill="FFFFFF"/>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707"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监督电话</w:t>
            </w:r>
          </w:p>
        </w:tc>
        <w:tc>
          <w:tcPr>
            <w:tcW w:w="7952"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cs="宋体"/>
          <w:szCs w:val="21"/>
        </w:rPr>
      </w:pPr>
    </w:p>
    <w:p w:rsidR="000D4FE1" w:rsidRPr="0085084D" w:rsidRDefault="000D4FE1"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1"/>
        <w:gridCol w:w="7058"/>
      </w:tblGrid>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序号</w:t>
            </w:r>
          </w:p>
        </w:tc>
        <w:tc>
          <w:tcPr>
            <w:tcW w:w="7750" w:type="dxa"/>
            <w:tcMar>
              <w:left w:w="28" w:type="dxa"/>
              <w:right w:w="28" w:type="dxa"/>
            </w:tcMar>
            <w:vAlign w:val="center"/>
          </w:tcPr>
          <w:p w:rsidR="000D4FE1" w:rsidRPr="0085084D" w:rsidRDefault="000D4FE1" w:rsidP="00290A16">
            <w:pPr>
              <w:spacing w:line="320" w:lineRule="exact"/>
              <w:jc w:val="center"/>
              <w:rPr>
                <w:rFonts w:ascii="宋体" w:hAnsi="宋体" w:cs="宋体"/>
                <w:color w:val="000000"/>
                <w:szCs w:val="21"/>
                <w:shd w:val="clear" w:color="auto" w:fill="FFFFFF"/>
              </w:rPr>
            </w:pPr>
            <w:r w:rsidRPr="0085084D">
              <w:rPr>
                <w:rFonts w:ascii="宋体" w:hAnsi="宋体" w:cs="宋体"/>
                <w:color w:val="000000"/>
                <w:szCs w:val="21"/>
                <w:shd w:val="clear" w:color="auto" w:fill="FFFFFF"/>
              </w:rPr>
              <w:t>177</w:t>
            </w:r>
          </w:p>
        </w:tc>
      </w:tr>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权力类型</w:t>
            </w:r>
          </w:p>
        </w:tc>
        <w:tc>
          <w:tcPr>
            <w:tcW w:w="775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其他行政权力</w:t>
            </w:r>
          </w:p>
        </w:tc>
      </w:tr>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权力项目名称</w:t>
            </w:r>
          </w:p>
        </w:tc>
        <w:tc>
          <w:tcPr>
            <w:tcW w:w="775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城市地下空间的规划和开发利用审批</w:t>
            </w:r>
          </w:p>
        </w:tc>
      </w:tr>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实施依据</w:t>
            </w:r>
          </w:p>
        </w:tc>
        <w:tc>
          <w:tcPr>
            <w:tcW w:w="7750" w:type="dxa"/>
            <w:tcMar>
              <w:left w:w="28" w:type="dxa"/>
              <w:right w:w="28" w:type="dxa"/>
            </w:tcMar>
            <w:vAlign w:val="center"/>
          </w:tcPr>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1.</w:t>
            </w:r>
            <w:r w:rsidRPr="0085084D">
              <w:rPr>
                <w:rFonts w:ascii="宋体" w:hAnsi="宋体" w:cs="宋体" w:hint="eastAsia"/>
                <w:color w:val="000000"/>
                <w:szCs w:val="21"/>
                <w:shd w:val="clear" w:color="auto" w:fill="FFFFFF"/>
              </w:rPr>
              <w:t>《中华人民共和国人民防空法》第十四条“城市的地下交通干线以及其他地下工程的建设，应当兼顾人民防空需要。”</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2.</w:t>
            </w:r>
            <w:r w:rsidRPr="0085084D">
              <w:rPr>
                <w:rFonts w:ascii="宋体" w:hAnsi="宋体" w:cs="宋体" w:hint="eastAsia"/>
                <w:color w:val="000000"/>
                <w:szCs w:val="21"/>
                <w:shd w:val="clear" w:color="auto" w:fill="FFFFFF"/>
              </w:rPr>
              <w:t>《四川省</w:t>
            </w:r>
            <w:r w:rsidRPr="0085084D">
              <w:rPr>
                <w:rFonts w:ascii="宋体" w:hAnsi="宋体" w:cs="宋体"/>
                <w:color w:val="000000"/>
                <w:szCs w:val="21"/>
                <w:shd w:val="clear" w:color="auto" w:fill="FFFFFF"/>
              </w:rPr>
              <w:t>&lt;</w:t>
            </w:r>
            <w:r w:rsidRPr="0085084D">
              <w:rPr>
                <w:rFonts w:ascii="宋体" w:hAnsi="宋体" w:cs="宋体" w:hint="eastAsia"/>
                <w:color w:val="000000"/>
                <w:szCs w:val="21"/>
                <w:shd w:val="clear" w:color="auto" w:fill="FFFFFF"/>
              </w:rPr>
              <w:t>中华人民共和国人民防空法</w:t>
            </w:r>
            <w:r w:rsidRPr="0085084D">
              <w:rPr>
                <w:rFonts w:ascii="宋体" w:hAnsi="宋体" w:cs="宋体"/>
                <w:color w:val="000000"/>
                <w:szCs w:val="21"/>
                <w:shd w:val="clear" w:color="auto" w:fill="FFFFFF"/>
              </w:rPr>
              <w:t>&gt;</w:t>
            </w:r>
            <w:r w:rsidRPr="0085084D">
              <w:rPr>
                <w:rFonts w:ascii="宋体" w:hAnsi="宋体" w:cs="宋体" w:hint="eastAsia"/>
                <w:color w:val="000000"/>
                <w:szCs w:val="21"/>
                <w:shd w:val="clear" w:color="auto" w:fill="FFFFFF"/>
              </w:rPr>
              <w:t>实施办法》第十七条“城市地下空间开发利用应兼顾人民防空需要，人民防空主管部门负责人民防空防护要求的管理和监督检查，并和规划建设等部门共同搞好城市地下空间的规划和开发利用。”</w:t>
            </w:r>
          </w:p>
        </w:tc>
      </w:tr>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责任主体</w:t>
            </w:r>
          </w:p>
        </w:tc>
        <w:tc>
          <w:tcPr>
            <w:tcW w:w="775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工程建设管理科（行政审批科）</w:t>
            </w:r>
          </w:p>
        </w:tc>
      </w:tr>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责任事项</w:t>
            </w:r>
          </w:p>
        </w:tc>
        <w:tc>
          <w:tcPr>
            <w:tcW w:w="7750" w:type="dxa"/>
            <w:tcMar>
              <w:left w:w="28" w:type="dxa"/>
              <w:right w:w="28" w:type="dxa"/>
            </w:tcMar>
          </w:tcPr>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1.</w:t>
            </w:r>
            <w:r w:rsidRPr="0085084D">
              <w:rPr>
                <w:rFonts w:ascii="宋体" w:hAnsi="宋体" w:cs="宋体" w:hint="eastAsia"/>
                <w:color w:val="000000"/>
                <w:szCs w:val="21"/>
                <w:shd w:val="clear" w:color="auto" w:fill="FFFFFF"/>
              </w:rPr>
              <w:t>立项责任：根据本地城市地下空间的规划和开发利用实际，统筹兼顾，科学合理布局。</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2.</w:t>
            </w:r>
            <w:r w:rsidRPr="0085084D">
              <w:rPr>
                <w:rFonts w:ascii="宋体" w:hAnsi="宋体" w:cs="宋体" w:hint="eastAsia"/>
                <w:color w:val="000000"/>
                <w:szCs w:val="21"/>
                <w:shd w:val="clear" w:color="auto" w:fill="FFFFFF"/>
              </w:rPr>
              <w:t>审查责任：在规定时间内对提出城市地下空间的规划和开发利用审批申请进行审查，并提出审查意见。</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3.</w:t>
            </w:r>
            <w:r w:rsidRPr="0085084D">
              <w:rPr>
                <w:rFonts w:ascii="宋体" w:hAnsi="宋体" w:cs="宋体" w:hint="eastAsia"/>
                <w:color w:val="000000"/>
                <w:szCs w:val="21"/>
                <w:shd w:val="clear" w:color="auto" w:fill="FFFFFF"/>
              </w:rPr>
              <w:t>决定公布责任：作出行政许可或者不予行政许可的决定，法定告知（不予许可的应当书面告知理由）。对城市地下空间的规划和开发利用审批材料进行归档和信息公开。</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4.</w:t>
            </w:r>
            <w:r w:rsidRPr="0085084D">
              <w:rPr>
                <w:rFonts w:ascii="宋体" w:hAnsi="宋体" w:cs="宋体" w:hint="eastAsia"/>
                <w:color w:val="000000"/>
                <w:szCs w:val="21"/>
                <w:shd w:val="clear" w:color="auto" w:fill="FFFFFF"/>
              </w:rPr>
              <w:t>解释备案责任：制定本地城市地下空间的规划和开发利用方案，并向建设单位作出解释。</w:t>
            </w:r>
          </w:p>
          <w:p w:rsidR="000D4FE1" w:rsidRPr="0085084D" w:rsidRDefault="000D4FE1" w:rsidP="000D4FE1">
            <w:pPr>
              <w:spacing w:line="320" w:lineRule="exact"/>
              <w:ind w:firstLineChars="200" w:firstLine="31680"/>
              <w:jc w:val="left"/>
              <w:rPr>
                <w:rFonts w:ascii="宋体" w:cs="宋体"/>
                <w:color w:val="000000"/>
                <w:szCs w:val="21"/>
                <w:shd w:val="clear" w:color="auto" w:fill="FFFFFF"/>
              </w:rPr>
            </w:pPr>
            <w:r w:rsidRPr="0085084D">
              <w:rPr>
                <w:rFonts w:ascii="宋体" w:hAnsi="宋体" w:cs="宋体"/>
                <w:color w:val="000000"/>
                <w:szCs w:val="21"/>
                <w:shd w:val="clear" w:color="auto" w:fill="FFFFFF"/>
              </w:rPr>
              <w:t>5.</w:t>
            </w:r>
            <w:r w:rsidRPr="0085084D">
              <w:rPr>
                <w:rFonts w:ascii="宋体" w:hAnsi="宋体" w:cs="宋体" w:hint="eastAsia"/>
                <w:color w:val="000000"/>
                <w:szCs w:val="21"/>
                <w:shd w:val="clear" w:color="auto" w:fill="FFFFFF"/>
              </w:rPr>
              <w:t>其他责任：法律法规政策规定应履行的其他责任。</w:t>
            </w:r>
          </w:p>
        </w:tc>
      </w:tr>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追责情形</w:t>
            </w:r>
          </w:p>
        </w:tc>
        <w:tc>
          <w:tcPr>
            <w:tcW w:w="7750" w:type="dxa"/>
            <w:tcMar>
              <w:left w:w="28" w:type="dxa"/>
              <w:right w:w="28" w:type="dxa"/>
            </w:tcMar>
            <w:vAlign w:val="center"/>
          </w:tcPr>
          <w:p w:rsidR="000D4FE1" w:rsidRPr="0085084D" w:rsidRDefault="000D4FE1" w:rsidP="000D4FE1">
            <w:pPr>
              <w:spacing w:line="320" w:lineRule="exact"/>
              <w:ind w:firstLineChars="200" w:firstLine="31680"/>
              <w:rPr>
                <w:rFonts w:ascii="宋体" w:cs="宋体"/>
                <w:szCs w:val="21"/>
              </w:rPr>
            </w:pPr>
            <w:r w:rsidRPr="0085084D">
              <w:rPr>
                <w:rFonts w:ascii="宋体" w:hAnsi="宋体" w:cs="宋体" w:hint="eastAsia"/>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0D4FE1" w:rsidRPr="0085084D" w:rsidTr="0085084D">
        <w:trPr>
          <w:trHeight w:val="454"/>
          <w:jc w:val="center"/>
        </w:trPr>
        <w:tc>
          <w:tcPr>
            <w:tcW w:w="1895"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color w:val="000000"/>
                <w:szCs w:val="21"/>
                <w:shd w:val="clear" w:color="auto" w:fill="FFFFFF"/>
              </w:rPr>
              <w:t>监督电话</w:t>
            </w:r>
          </w:p>
        </w:tc>
        <w:tc>
          <w:tcPr>
            <w:tcW w:w="7750" w:type="dxa"/>
            <w:tcMar>
              <w:left w:w="28" w:type="dxa"/>
              <w:right w:w="28" w:type="dxa"/>
            </w:tcMar>
            <w:vAlign w:val="center"/>
          </w:tcPr>
          <w:p w:rsidR="000D4FE1" w:rsidRPr="0085084D" w:rsidRDefault="000D4FE1" w:rsidP="00290A16">
            <w:pPr>
              <w:spacing w:line="320" w:lineRule="exact"/>
              <w:jc w:val="center"/>
              <w:rPr>
                <w:rFonts w:ascii="宋体" w:cs="宋体"/>
                <w:color w:val="000000"/>
                <w:szCs w:val="21"/>
                <w:shd w:val="clear" w:color="auto" w:fill="FFFFFF"/>
              </w:rPr>
            </w:pPr>
            <w:r w:rsidRPr="0085084D">
              <w:rPr>
                <w:rFonts w:ascii="宋体" w:hAnsi="宋体" w:cs="宋体" w:hint="eastAsia"/>
                <w:szCs w:val="21"/>
              </w:rPr>
              <w:t>（</w:t>
            </w:r>
            <w:r w:rsidRPr="0085084D">
              <w:rPr>
                <w:rFonts w:ascii="宋体" w:hAnsi="宋体" w:cs="宋体"/>
                <w:szCs w:val="21"/>
              </w:rPr>
              <w:t>0839</w:t>
            </w:r>
            <w:r w:rsidRPr="0085084D">
              <w:rPr>
                <w:rFonts w:ascii="宋体" w:hAnsi="宋体" w:cs="宋体" w:hint="eastAsia"/>
                <w:szCs w:val="21"/>
              </w:rPr>
              <w:t>）</w:t>
            </w:r>
            <w:r w:rsidRPr="0085084D">
              <w:rPr>
                <w:rFonts w:ascii="宋体" w:hAnsi="宋体" w:cs="宋体"/>
                <w:szCs w:val="21"/>
              </w:rPr>
              <w:t>3307883</w:t>
            </w:r>
          </w:p>
        </w:tc>
      </w:tr>
    </w:tbl>
    <w:p w:rsidR="000D4FE1" w:rsidRPr="0085084D" w:rsidRDefault="000D4FE1" w:rsidP="00290A16">
      <w:pPr>
        <w:spacing w:line="320" w:lineRule="exact"/>
        <w:rPr>
          <w:rFonts w:ascii="宋体" w:cs="宋体"/>
          <w:szCs w:val="21"/>
        </w:rPr>
      </w:pPr>
    </w:p>
    <w:p w:rsidR="000D4FE1" w:rsidRPr="0085084D" w:rsidRDefault="000D4FE1" w:rsidP="00290A16">
      <w:pPr>
        <w:pStyle w:val="NormalWeb"/>
        <w:spacing w:line="320" w:lineRule="exact"/>
        <w:rPr>
          <w:rFonts w:ascii="宋体" w:cs="方正仿宋_GBK"/>
          <w:color w:val="000000"/>
          <w:sz w:val="21"/>
          <w:szCs w:val="21"/>
        </w:rPr>
      </w:pPr>
    </w:p>
    <w:p w:rsidR="000D4FE1" w:rsidRPr="0085084D" w:rsidRDefault="000D4FE1" w:rsidP="00290A16">
      <w:pPr>
        <w:spacing w:line="320" w:lineRule="exact"/>
        <w:rPr>
          <w:rFonts w:ascii="宋体"/>
          <w:szCs w:val="21"/>
        </w:rPr>
      </w:pPr>
    </w:p>
    <w:p w:rsidR="000D4FE1" w:rsidRPr="0085084D" w:rsidRDefault="000D4FE1" w:rsidP="002B0C61">
      <w:pPr>
        <w:jc w:val="center"/>
      </w:pPr>
      <w:r w:rsidRPr="0085084D">
        <w:t xml:space="preserve"> </w:t>
      </w:r>
    </w:p>
    <w:p w:rsidR="000D4FE1" w:rsidRPr="0085084D" w:rsidRDefault="000D4FE1" w:rsidP="00290A16">
      <w:pPr>
        <w:spacing w:line="320" w:lineRule="exact"/>
        <w:rPr>
          <w:rFonts w:ascii="宋体"/>
          <w:szCs w:val="21"/>
        </w:rPr>
      </w:pPr>
    </w:p>
    <w:sectPr w:rsidR="000D4FE1" w:rsidRPr="0085084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E1" w:rsidRDefault="000D4FE1" w:rsidP="00A8170E">
      <w:r>
        <w:separator/>
      </w:r>
    </w:p>
  </w:endnote>
  <w:endnote w:type="continuationSeparator" w:id="0">
    <w:p w:rsidR="000D4FE1" w:rsidRDefault="000D4FE1" w:rsidP="00A8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E1" w:rsidRDefault="000D4FE1" w:rsidP="00290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D4FE1" w:rsidRDefault="000D4FE1" w:rsidP="00290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E1" w:rsidRPr="00290A16" w:rsidRDefault="000D4FE1" w:rsidP="00290A16">
    <w:pPr>
      <w:pStyle w:val="Footer"/>
      <w:framePr w:wrap="around" w:vAnchor="text" w:hAnchor="margin" w:xAlign="outside" w:y="1"/>
      <w:rPr>
        <w:rFonts w:ascii="Times New Roman" w:hAnsi="Times New Roman" w:cs="Times New Roman"/>
      </w:rPr>
    </w:pPr>
    <w:r>
      <w:rPr>
        <w:rStyle w:val="PageNumber"/>
        <w:rFonts w:ascii="Times New Roman" w:hAnsi="Times New Roman"/>
        <w:sz w:val="28"/>
      </w:rPr>
      <w:t xml:space="preserve">— </w:t>
    </w:r>
    <w:r w:rsidRPr="00290A16">
      <w:rPr>
        <w:rStyle w:val="PageNumber"/>
        <w:rFonts w:ascii="Times New Roman" w:hAnsi="Times New Roman"/>
        <w:sz w:val="28"/>
      </w:rPr>
      <w:fldChar w:fldCharType="begin"/>
    </w:r>
    <w:r w:rsidRPr="00290A16">
      <w:rPr>
        <w:rStyle w:val="PageNumber"/>
        <w:rFonts w:ascii="Times New Roman" w:hAnsi="Times New Roman"/>
        <w:sz w:val="28"/>
      </w:rPr>
      <w:instrText xml:space="preserve"> PAGE  </w:instrText>
    </w:r>
    <w:r w:rsidRPr="00290A16">
      <w:rPr>
        <w:rStyle w:val="PageNumber"/>
        <w:rFonts w:ascii="Times New Roman" w:hAnsi="Times New Roman"/>
        <w:sz w:val="28"/>
      </w:rPr>
      <w:fldChar w:fldCharType="separate"/>
    </w:r>
    <w:r>
      <w:rPr>
        <w:rStyle w:val="PageNumber"/>
        <w:rFonts w:ascii="Times New Roman" w:hAnsi="Times New Roman"/>
        <w:noProof/>
        <w:sz w:val="28"/>
      </w:rPr>
      <w:t>11</w:t>
    </w:r>
    <w:r w:rsidRPr="00290A16">
      <w:rPr>
        <w:rStyle w:val="PageNumber"/>
        <w:rFonts w:ascii="Times New Roman" w:hAnsi="Times New Roman"/>
        <w:sz w:val="28"/>
      </w:rPr>
      <w:fldChar w:fldCharType="end"/>
    </w:r>
    <w:r>
      <w:rPr>
        <w:rStyle w:val="PageNumber"/>
        <w:rFonts w:ascii="Times New Roman" w:hAnsi="Times New Roman"/>
        <w:sz w:val="28"/>
      </w:rPr>
      <w:t xml:space="preserve"> —</w:t>
    </w:r>
  </w:p>
  <w:p w:rsidR="000D4FE1" w:rsidRDefault="000D4FE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E1" w:rsidRDefault="000D4FE1" w:rsidP="00A8170E">
      <w:r>
        <w:separator/>
      </w:r>
    </w:p>
  </w:footnote>
  <w:footnote w:type="continuationSeparator" w:id="0">
    <w:p w:rsidR="000D4FE1" w:rsidRDefault="000D4FE1" w:rsidP="00A8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A274"/>
    <w:multiLevelType w:val="singleLevel"/>
    <w:tmpl w:val="950FA274"/>
    <w:lvl w:ilvl="0">
      <w:start w:val="1"/>
      <w:numFmt w:val="chineseCounting"/>
      <w:suff w:val="nothing"/>
      <w:lvlText w:val="（%1）"/>
      <w:lvlJc w:val="left"/>
      <w:rPr>
        <w:rFonts w:cs="Times New Roman" w:hint="eastAsia"/>
      </w:rPr>
    </w:lvl>
  </w:abstractNum>
  <w:abstractNum w:abstractNumId="1">
    <w:nsid w:val="E24164B1"/>
    <w:multiLevelType w:val="singleLevel"/>
    <w:tmpl w:val="E24164B1"/>
    <w:lvl w:ilvl="0">
      <w:start w:val="1"/>
      <w:numFmt w:val="chineseCounting"/>
      <w:suff w:val="nothing"/>
      <w:lvlText w:val="（%1）"/>
      <w:lvlJc w:val="left"/>
      <w:rPr>
        <w:rFonts w:cs="Times New Roman" w:hint="eastAsia"/>
      </w:rPr>
    </w:lvl>
  </w:abstractNum>
  <w:abstractNum w:abstractNumId="2">
    <w:nsid w:val="05FC4C11"/>
    <w:multiLevelType w:val="multilevel"/>
    <w:tmpl w:val="05FC4C11"/>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C5C3625"/>
    <w:multiLevelType w:val="multilevel"/>
    <w:tmpl w:val="1C5C362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324D28"/>
    <w:multiLevelType w:val="multilevel"/>
    <w:tmpl w:val="28324D28"/>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80B341"/>
    <w:multiLevelType w:val="singleLevel"/>
    <w:tmpl w:val="2980B341"/>
    <w:lvl w:ilvl="0">
      <w:start w:val="1"/>
      <w:numFmt w:val="decimal"/>
      <w:suff w:val="nothing"/>
      <w:lvlText w:val="%1．"/>
      <w:lvlJc w:val="left"/>
      <w:pPr>
        <w:ind w:firstLine="400"/>
      </w:pPr>
      <w:rPr>
        <w:rFonts w:cs="Times New Roman" w:hint="default"/>
      </w:rPr>
    </w:lvl>
  </w:abstractNum>
  <w:abstractNum w:abstractNumId="6">
    <w:nsid w:val="32291054"/>
    <w:multiLevelType w:val="multilevel"/>
    <w:tmpl w:val="32291054"/>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DD82CDE"/>
    <w:multiLevelType w:val="multilevel"/>
    <w:tmpl w:val="4DD82CD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83"/>
    <w:rsid w:val="000D4FE1"/>
    <w:rsid w:val="00113A04"/>
    <w:rsid w:val="00125139"/>
    <w:rsid w:val="001C0165"/>
    <w:rsid w:val="00200383"/>
    <w:rsid w:val="00290A16"/>
    <w:rsid w:val="002B0C61"/>
    <w:rsid w:val="002C233A"/>
    <w:rsid w:val="003373EB"/>
    <w:rsid w:val="00486D78"/>
    <w:rsid w:val="00486F75"/>
    <w:rsid w:val="004D0FC9"/>
    <w:rsid w:val="004F256B"/>
    <w:rsid w:val="005A7ACD"/>
    <w:rsid w:val="005C177D"/>
    <w:rsid w:val="005D149B"/>
    <w:rsid w:val="005F68CF"/>
    <w:rsid w:val="006444F8"/>
    <w:rsid w:val="00695EDB"/>
    <w:rsid w:val="006E5F56"/>
    <w:rsid w:val="00765470"/>
    <w:rsid w:val="00806FE0"/>
    <w:rsid w:val="0085084D"/>
    <w:rsid w:val="008A4CA7"/>
    <w:rsid w:val="008D24C4"/>
    <w:rsid w:val="008D60B6"/>
    <w:rsid w:val="00974522"/>
    <w:rsid w:val="00A77EF6"/>
    <w:rsid w:val="00A8170E"/>
    <w:rsid w:val="00A95286"/>
    <w:rsid w:val="00D651D5"/>
    <w:rsid w:val="00E75675"/>
    <w:rsid w:val="00F35EB8"/>
    <w:rsid w:val="00F846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3"/>
    <w:pPr>
      <w:widowControl w:val="0"/>
      <w:jc w:val="both"/>
    </w:pPr>
    <w:rPr>
      <w:rFonts w:cs="黑体"/>
      <w:szCs w:val="24"/>
    </w:rPr>
  </w:style>
  <w:style w:type="paragraph" w:styleId="Heading1">
    <w:name w:val="heading 1"/>
    <w:basedOn w:val="Normal"/>
    <w:next w:val="Normal"/>
    <w:link w:val="Heading1Char1"/>
    <w:uiPriority w:val="99"/>
    <w:qFormat/>
    <w:locked/>
    <w:rsid w:val="00290A16"/>
    <w:pPr>
      <w:keepNext/>
      <w:keepLines/>
      <w:spacing w:before="340" w:after="330" w:line="578" w:lineRule="auto"/>
      <w:outlineLvl w:val="0"/>
    </w:pPr>
    <w:rPr>
      <w:rFonts w:cs="宋体"/>
      <w:b/>
      <w:bCs/>
      <w:kern w:val="44"/>
      <w:sz w:val="44"/>
      <w:szCs w:val="44"/>
    </w:rPr>
  </w:style>
  <w:style w:type="paragraph" w:styleId="Heading2">
    <w:name w:val="heading 2"/>
    <w:basedOn w:val="Normal"/>
    <w:link w:val="Heading2Char1"/>
    <w:uiPriority w:val="99"/>
    <w:qFormat/>
    <w:locked/>
    <w:rsid w:val="00290A16"/>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1"/>
    <w:uiPriority w:val="99"/>
    <w:qFormat/>
    <w:locked/>
    <w:rsid w:val="00290A16"/>
    <w:pPr>
      <w:keepNext/>
      <w:keepLines/>
      <w:spacing w:before="260" w:after="260" w:line="416" w:lineRule="auto"/>
      <w:outlineLvl w:val="2"/>
    </w:pPr>
    <w:rPr>
      <w:rFonts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60B6"/>
    <w:rPr>
      <w:rFonts w:cs="黑体"/>
      <w:b/>
      <w:bCs/>
      <w:kern w:val="44"/>
      <w:sz w:val="44"/>
      <w:szCs w:val="44"/>
    </w:rPr>
  </w:style>
  <w:style w:type="character" w:customStyle="1" w:styleId="Heading2Char">
    <w:name w:val="Heading 2 Char"/>
    <w:basedOn w:val="DefaultParagraphFont"/>
    <w:link w:val="Heading2"/>
    <w:uiPriority w:val="99"/>
    <w:semiHidden/>
    <w:locked/>
    <w:rsid w:val="008D60B6"/>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8D60B6"/>
    <w:rPr>
      <w:rFonts w:cs="黑体"/>
      <w:b/>
      <w:bCs/>
      <w:sz w:val="32"/>
      <w:szCs w:val="32"/>
    </w:rPr>
  </w:style>
  <w:style w:type="character" w:customStyle="1" w:styleId="Heading1Char1">
    <w:name w:val="Heading 1 Char1"/>
    <w:basedOn w:val="DefaultParagraphFont"/>
    <w:link w:val="Heading1"/>
    <w:uiPriority w:val="99"/>
    <w:locked/>
    <w:rsid w:val="00290A16"/>
    <w:rPr>
      <w:rFonts w:ascii="Calibri" w:eastAsia="宋体" w:hAnsi="Calibri" w:cs="宋体"/>
      <w:b/>
      <w:bCs/>
      <w:kern w:val="44"/>
      <w:sz w:val="44"/>
      <w:szCs w:val="44"/>
      <w:lang w:val="en-US" w:eastAsia="zh-CN" w:bidi="ar-SA"/>
    </w:rPr>
  </w:style>
  <w:style w:type="character" w:customStyle="1" w:styleId="Heading2Char1">
    <w:name w:val="Heading 2 Char1"/>
    <w:basedOn w:val="DefaultParagraphFont"/>
    <w:link w:val="Heading2"/>
    <w:uiPriority w:val="99"/>
    <w:locked/>
    <w:rsid w:val="00290A16"/>
    <w:rPr>
      <w:rFonts w:ascii="宋体" w:eastAsia="宋体" w:hAnsi="Calibri" w:cs="宋体"/>
      <w:b/>
      <w:bCs/>
      <w:sz w:val="36"/>
      <w:szCs w:val="36"/>
      <w:lang w:val="en-US" w:eastAsia="zh-CN" w:bidi="ar-SA"/>
    </w:rPr>
  </w:style>
  <w:style w:type="character" w:customStyle="1" w:styleId="Heading3Char1">
    <w:name w:val="Heading 3 Char1"/>
    <w:basedOn w:val="DefaultParagraphFont"/>
    <w:link w:val="Heading3"/>
    <w:uiPriority w:val="99"/>
    <w:semiHidden/>
    <w:locked/>
    <w:rsid w:val="00290A16"/>
    <w:rPr>
      <w:rFonts w:ascii="Calibri" w:eastAsia="宋体" w:hAnsi="Calibri" w:cs="宋体"/>
      <w:b/>
      <w:bCs/>
      <w:kern w:val="2"/>
      <w:sz w:val="32"/>
      <w:szCs w:val="32"/>
      <w:lang w:val="en-US" w:eastAsia="zh-CN" w:bidi="ar-SA"/>
    </w:rPr>
  </w:style>
  <w:style w:type="character" w:styleId="PageNumber">
    <w:name w:val="page number"/>
    <w:basedOn w:val="DefaultParagraphFont"/>
    <w:uiPriority w:val="99"/>
    <w:rsid w:val="00200383"/>
    <w:rPr>
      <w:rFonts w:cs="Times New Roman"/>
    </w:rPr>
  </w:style>
  <w:style w:type="paragraph" w:styleId="Footer">
    <w:name w:val="footer"/>
    <w:basedOn w:val="Normal"/>
    <w:link w:val="FooterChar"/>
    <w:uiPriority w:val="99"/>
    <w:rsid w:val="002003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0383"/>
    <w:rPr>
      <w:rFonts w:ascii="Calibri" w:eastAsia="宋体" w:hAnsi="Calibri" w:cs="黑体"/>
      <w:sz w:val="18"/>
      <w:szCs w:val="18"/>
    </w:rPr>
  </w:style>
  <w:style w:type="paragraph" w:styleId="Header">
    <w:name w:val="header"/>
    <w:basedOn w:val="Normal"/>
    <w:link w:val="HeaderChar"/>
    <w:uiPriority w:val="99"/>
    <w:semiHidden/>
    <w:rsid w:val="005C17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77D"/>
    <w:rPr>
      <w:rFonts w:ascii="Calibri" w:eastAsia="宋体" w:hAnsi="Calibri" w:cs="黑体"/>
      <w:sz w:val="18"/>
      <w:szCs w:val="18"/>
    </w:rPr>
  </w:style>
  <w:style w:type="character" w:customStyle="1" w:styleId="CharChar">
    <w:name w:val="Char Char"/>
    <w:basedOn w:val="DefaultParagraphFont"/>
    <w:uiPriority w:val="99"/>
    <w:rsid w:val="00290A16"/>
    <w:rPr>
      <w:rFonts w:ascii="Calibri" w:eastAsia="宋体" w:hAnsi="Calibri" w:cs="Times New Roman"/>
      <w:kern w:val="2"/>
      <w:sz w:val="18"/>
      <w:szCs w:val="18"/>
    </w:rPr>
  </w:style>
  <w:style w:type="character" w:customStyle="1" w:styleId="HTMLPreformattedChar1">
    <w:name w:val="HTML Preformatted Char1"/>
    <w:uiPriority w:val="99"/>
    <w:locked/>
    <w:rsid w:val="00290A16"/>
    <w:rPr>
      <w:rFonts w:ascii="Calibri" w:eastAsia="宋体" w:hAnsi="Calibri"/>
      <w:kern w:val="2"/>
      <w:sz w:val="18"/>
    </w:rPr>
  </w:style>
  <w:style w:type="paragraph" w:styleId="HTMLPreformatted">
    <w:name w:val="HTML Preformatted"/>
    <w:basedOn w:val="Normal"/>
    <w:link w:val="HTMLPreformattedChar"/>
    <w:uiPriority w:val="99"/>
    <w:rsid w:val="0029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character" w:customStyle="1" w:styleId="HTMLPreformattedChar">
    <w:name w:val="HTML Preformatted Char"/>
    <w:basedOn w:val="DefaultParagraphFont"/>
    <w:link w:val="HTMLPreformatted"/>
    <w:uiPriority w:val="99"/>
    <w:semiHidden/>
    <w:locked/>
    <w:rsid w:val="008D60B6"/>
    <w:rPr>
      <w:rFonts w:ascii="Courier New" w:hAnsi="Courier New" w:cs="Courier New"/>
      <w:sz w:val="20"/>
      <w:szCs w:val="20"/>
    </w:rPr>
  </w:style>
  <w:style w:type="paragraph" w:styleId="NormalWeb">
    <w:name w:val="Normal (Web)"/>
    <w:basedOn w:val="Normal"/>
    <w:uiPriority w:val="99"/>
    <w:rsid w:val="00290A16"/>
    <w:rPr>
      <w:rFonts w:cs="Times New Roman"/>
      <w:sz w:val="24"/>
    </w:rPr>
  </w:style>
  <w:style w:type="paragraph" w:customStyle="1" w:styleId="msonospacing0">
    <w:name w:val="msonospacing"/>
    <w:basedOn w:val="Normal"/>
    <w:uiPriority w:val="99"/>
    <w:rsid w:val="00290A16"/>
    <w:pPr>
      <w:ind w:firstLineChars="200" w:firstLine="200"/>
    </w:pPr>
    <w:rPr>
      <w:rFonts w:eastAsia="仿宋_GB2312" w:cs="Times New Roman"/>
      <w:sz w:val="32"/>
      <w:szCs w:val="22"/>
    </w:rPr>
  </w:style>
  <w:style w:type="table" w:styleId="TableGrid">
    <w:name w:val="Table Grid"/>
    <w:basedOn w:val="TableNormal"/>
    <w:uiPriority w:val="99"/>
    <w:locked/>
    <w:rsid w:val="00290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290A16"/>
    <w:rPr>
      <w:rFonts w:ascii="Times New Roman" w:hAnsi="Times New Roman" w:cs="Times New Roman"/>
      <w:szCs w:val="21"/>
    </w:rPr>
  </w:style>
  <w:style w:type="paragraph" w:customStyle="1" w:styleId="CharCharCharCharCharChar">
    <w:name w:val="Char Char Char Char Char Char"/>
    <w:basedOn w:val="Normal"/>
    <w:autoRedefine/>
    <w:uiPriority w:val="99"/>
    <w:rsid w:val="00290A16"/>
    <w:pPr>
      <w:widowControl/>
      <w:spacing w:after="160" w:line="240" w:lineRule="exact"/>
      <w:jc w:val="left"/>
    </w:pPr>
    <w:rPr>
      <w:rFonts w:ascii="Verdana" w:eastAsia="仿宋_GB2312" w:hAnsi="Verdana" w:cs="Verdana"/>
      <w:kern w:val="0"/>
      <w:sz w:val="24"/>
      <w:lang w:eastAsia="en-US"/>
    </w:rPr>
  </w:style>
  <w:style w:type="character" w:customStyle="1" w:styleId="15">
    <w:name w:val="15"/>
    <w:basedOn w:val="DefaultParagraphFont"/>
    <w:uiPriority w:val="99"/>
    <w:rsid w:val="00290A16"/>
    <w:rPr>
      <w:rFonts w:ascii="Times New Roman" w:hAnsi="Times New Roman" w:cs="Times New Roman"/>
    </w:rPr>
  </w:style>
  <w:style w:type="character" w:styleId="FollowedHyperlink">
    <w:name w:val="FollowedHyperlink"/>
    <w:basedOn w:val="DefaultParagraphFont"/>
    <w:uiPriority w:val="99"/>
    <w:rsid w:val="00290A16"/>
    <w:rPr>
      <w:rFonts w:cs="Times New Roman"/>
      <w:color w:val="000000"/>
      <w:u w:val="none"/>
    </w:rPr>
  </w:style>
  <w:style w:type="character" w:styleId="Strong">
    <w:name w:val="Strong"/>
    <w:basedOn w:val="DefaultParagraphFont"/>
    <w:uiPriority w:val="99"/>
    <w:qFormat/>
    <w:locked/>
    <w:rsid w:val="00290A16"/>
    <w:rPr>
      <w:rFonts w:cs="Times New Roman"/>
      <w:b/>
      <w:bCs/>
    </w:rPr>
  </w:style>
  <w:style w:type="character" w:customStyle="1" w:styleId="title">
    <w:name w:val="title"/>
    <w:basedOn w:val="DefaultParagraphFont"/>
    <w:uiPriority w:val="99"/>
    <w:rsid w:val="00290A16"/>
    <w:rPr>
      <w:rFonts w:cs="Times New Roman"/>
    </w:rPr>
  </w:style>
  <w:style w:type="character" w:styleId="Hyperlink">
    <w:name w:val="Hyperlink"/>
    <w:basedOn w:val="DefaultParagraphFont"/>
    <w:uiPriority w:val="99"/>
    <w:rsid w:val="00290A16"/>
    <w:rPr>
      <w:rFonts w:cs="Times New Roman"/>
      <w:color w:val="000000"/>
      <w:u w:val="none"/>
    </w:rPr>
  </w:style>
  <w:style w:type="paragraph" w:customStyle="1" w:styleId="5">
    <w:name w:val="样式5"/>
    <w:basedOn w:val="Normal"/>
    <w:uiPriority w:val="99"/>
    <w:rsid w:val="00290A16"/>
    <w:rPr>
      <w:rFonts w:cs="宋体"/>
      <w:sz w:val="24"/>
    </w:rPr>
  </w:style>
  <w:style w:type="paragraph" w:styleId="BalloonText">
    <w:name w:val="Balloon Text"/>
    <w:basedOn w:val="Normal"/>
    <w:link w:val="BalloonTextChar"/>
    <w:uiPriority w:val="99"/>
    <w:semiHidden/>
    <w:rsid w:val="00290A16"/>
    <w:rPr>
      <w:rFonts w:ascii="仿宋_GB2312" w:eastAsia="仿宋_GB2312" w:hAnsi="华文仿宋" w:cs="Times New Roman"/>
      <w:kern w:val="0"/>
      <w:sz w:val="18"/>
      <w:szCs w:val="18"/>
      <w:u w:color="000000"/>
    </w:rPr>
  </w:style>
  <w:style w:type="character" w:customStyle="1" w:styleId="BalloonTextChar">
    <w:name w:val="Balloon Text Char"/>
    <w:basedOn w:val="DefaultParagraphFont"/>
    <w:link w:val="BalloonText"/>
    <w:uiPriority w:val="99"/>
    <w:semiHidden/>
    <w:locked/>
    <w:rsid w:val="00290A16"/>
    <w:rPr>
      <w:rFonts w:ascii="仿宋_GB2312" w:eastAsia="仿宋_GB2312" w:hAnsi="华文仿宋" w:cs="Times New Roman"/>
      <w:sz w:val="18"/>
      <w:szCs w:val="18"/>
      <w:u w:color="000000"/>
      <w:lang w:val="en-US" w:eastAsia="zh-CN" w:bidi="ar-SA"/>
    </w:rPr>
  </w:style>
  <w:style w:type="paragraph" w:customStyle="1" w:styleId="Default">
    <w:name w:val="Default"/>
    <w:uiPriority w:val="99"/>
    <w:rsid w:val="00290A16"/>
    <w:pPr>
      <w:widowControl w:val="0"/>
      <w:autoSpaceDE w:val="0"/>
      <w:autoSpaceDN w:val="0"/>
      <w:adjustRightInd w:val="0"/>
    </w:pPr>
    <w:rPr>
      <w:rFonts w:ascii="宋体" w:hAnsi="Times New Roman" w:cs="宋体"/>
      <w:color w:val="000000"/>
      <w:kern w:val="0"/>
      <w:sz w:val="24"/>
      <w:szCs w:val="24"/>
    </w:rPr>
  </w:style>
  <w:style w:type="paragraph" w:customStyle="1" w:styleId="p0">
    <w:name w:val="p0"/>
    <w:basedOn w:val="Normal"/>
    <w:uiPriority w:val="99"/>
    <w:rsid w:val="00290A16"/>
    <w:pPr>
      <w:widowControl/>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1497</Words>
  <Characters>8534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广元市体育局责任清单</dc:title>
  <dc:subject/>
  <dc:creator>罗飞</dc:creator>
  <cp:keywords/>
  <dc:description/>
  <cp:lastModifiedBy>微软用户</cp:lastModifiedBy>
  <cp:revision>4</cp:revision>
  <dcterms:created xsi:type="dcterms:W3CDTF">2020-07-23T14:51:00Z</dcterms:created>
  <dcterms:modified xsi:type="dcterms:W3CDTF">2020-07-23T18:42:00Z</dcterms:modified>
</cp:coreProperties>
</file>