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96475"/>
      <w:bookmarkStart w:id="3" w:name="_Toc15377425"/>
      <w:bookmarkStart w:id="4" w:name="_Toc15396597"/>
      <w:bookmarkStart w:id="5" w:name="_Toc15378441"/>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52"/>
          <w:szCs w:val="52"/>
        </w:rPr>
      </w:pPr>
      <w:bookmarkStart w:id="70" w:name="_GoBack"/>
      <w:bookmarkStart w:id="6" w:name="_Toc15377426"/>
      <w:bookmarkStart w:id="7" w:name="_Toc15396476"/>
      <w:bookmarkStart w:id="8" w:name="_Toc15396598"/>
      <w:bookmarkStart w:id="9" w:name="_Toc15378442"/>
      <w:bookmarkStart w:id="10" w:name="_Toc15377194"/>
      <w:r>
        <w:rPr>
          <w:rFonts w:hint="eastAsia" w:ascii="方正小标宋简体" w:hAnsi="宋体" w:eastAsia="方正小标宋简体"/>
          <w:color w:val="000000"/>
          <w:sz w:val="52"/>
          <w:szCs w:val="52"/>
        </w:rPr>
        <w:t>广元市</w:t>
      </w:r>
      <w:bookmarkEnd w:id="0"/>
      <w:bookmarkStart w:id="11" w:name="_Toc15306268"/>
      <w:r>
        <w:rPr>
          <w:rFonts w:hint="eastAsia" w:ascii="方正小标宋简体" w:hAnsi="宋体" w:eastAsia="方正小标宋简体"/>
          <w:color w:val="000000"/>
          <w:sz w:val="52"/>
          <w:szCs w:val="52"/>
        </w:rPr>
        <w:t>公安局交通警察支队</w:t>
      </w:r>
    </w:p>
    <w:bookmarkEnd w:id="70"/>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门</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决</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算</w:t>
      </w:r>
      <w:bookmarkEnd w:id="6"/>
      <w:bookmarkEnd w:id="7"/>
      <w:bookmarkEnd w:id="8"/>
      <w:bookmarkEnd w:id="9"/>
      <w:bookmarkEnd w:id="10"/>
      <w:bookmarkEnd w:id="11"/>
    </w:p>
    <w:p>
      <w:pPr>
        <w:widowControl/>
        <w:jc w:val="center"/>
        <w:rPr>
          <w:rFonts w:ascii="黑体" w:hAnsi="黑体" w:eastAsia="黑体"/>
          <w:color w:val="000000"/>
          <w:sz w:val="44"/>
          <w:szCs w:val="48"/>
        </w:rPr>
      </w:pPr>
      <w:r>
        <w:rPr>
          <w:rFonts w:ascii="方正小标宋简体" w:hAnsi="宋体" w:eastAsia="方正小标宋简体"/>
          <w:color w:val="000000"/>
          <w:sz w:val="36"/>
          <w:szCs w:val="36"/>
        </w:rPr>
        <w:br w:type="page"/>
      </w:r>
      <w:r>
        <w:rPr>
          <w:rFonts w:hint="eastAsia" w:ascii="黑体" w:hAnsi="黑体" w:eastAsia="黑体"/>
          <w:color w:val="000000"/>
          <w:sz w:val="44"/>
          <w:szCs w:val="48"/>
        </w:rPr>
        <w:t>目录</w:t>
      </w:r>
    </w:p>
    <w:p/>
    <w:p>
      <w:pPr>
        <w:pStyle w:val="10"/>
        <w:adjustRightInd w:val="0"/>
        <w:spacing w:before="0" w:line="360" w:lineRule="auto"/>
        <w:jc w:val="left"/>
        <w:rPr>
          <w:rFonts w:ascii="宋体" w:hAnsi="宋体" w:eastAsia="宋体"/>
          <w:sz w:val="30"/>
          <w:szCs w:val="30"/>
        </w:rPr>
      </w:pPr>
      <w:r>
        <w:rPr>
          <w:rFonts w:hint="eastAsia" w:ascii="宋体" w:hAnsi="宋体" w:eastAsia="宋体"/>
          <w:sz w:val="30"/>
          <w:szCs w:val="30"/>
        </w:rPr>
        <w:t>第一部分部门概况………………………………………3—4</w:t>
      </w:r>
    </w:p>
    <w:p>
      <w:pPr>
        <w:pStyle w:val="11"/>
        <w:adjustRightInd w:val="0"/>
        <w:spacing w:line="360" w:lineRule="auto"/>
        <w:jc w:val="left"/>
        <w:rPr>
          <w:rFonts w:ascii="宋体" w:hAnsi="宋体"/>
          <w:sz w:val="30"/>
          <w:szCs w:val="30"/>
        </w:rPr>
      </w:pPr>
      <w:r>
        <w:rPr>
          <w:rFonts w:hint="eastAsia" w:ascii="宋体" w:hAnsi="宋体"/>
          <w:sz w:val="30"/>
          <w:szCs w:val="30"/>
        </w:rPr>
        <w:t>一、基本职能及主要工作………………………………3</w:t>
      </w:r>
    </w:p>
    <w:p>
      <w:pPr>
        <w:pStyle w:val="11"/>
        <w:adjustRightInd w:val="0"/>
        <w:spacing w:line="360" w:lineRule="auto"/>
        <w:jc w:val="left"/>
        <w:rPr>
          <w:rFonts w:ascii="宋体" w:hAnsi="宋体" w:cstheme="minorBidi"/>
          <w:sz w:val="30"/>
          <w:szCs w:val="30"/>
        </w:rPr>
      </w:pPr>
      <w:r>
        <w:rPr>
          <w:rFonts w:hint="eastAsia" w:ascii="宋体" w:hAnsi="宋体"/>
          <w:sz w:val="30"/>
          <w:szCs w:val="30"/>
        </w:rPr>
        <w:t>二、机构设置……………………………………………4</w:t>
      </w:r>
    </w:p>
    <w:p>
      <w:pPr>
        <w:pStyle w:val="10"/>
        <w:adjustRightInd w:val="0"/>
        <w:spacing w:before="0" w:line="360" w:lineRule="auto"/>
        <w:jc w:val="left"/>
        <w:rPr>
          <w:rFonts w:ascii="宋体" w:hAnsi="宋体" w:eastAsia="宋体"/>
          <w:sz w:val="30"/>
          <w:szCs w:val="30"/>
        </w:rPr>
      </w:pPr>
      <w:r>
        <w:rPr>
          <w:rFonts w:hint="eastAsia" w:ascii="宋体" w:hAnsi="宋体" w:eastAsia="宋体"/>
          <w:sz w:val="30"/>
          <w:szCs w:val="30"/>
        </w:rPr>
        <w:t>第二部分 2019年度部门决算情况说明………………5—</w:t>
      </w:r>
    </w:p>
    <w:p>
      <w:pPr>
        <w:pStyle w:val="11"/>
        <w:adjustRightInd w:val="0"/>
        <w:spacing w:line="360" w:lineRule="auto"/>
        <w:jc w:val="left"/>
        <w:rPr>
          <w:rFonts w:ascii="宋体" w:hAnsi="宋体" w:cstheme="minorBidi"/>
          <w:sz w:val="30"/>
          <w:szCs w:val="30"/>
        </w:rPr>
      </w:pPr>
      <w:r>
        <w:rPr>
          <w:rFonts w:hint="eastAsia" w:ascii="宋体" w:hAnsi="宋体"/>
          <w:sz w:val="30"/>
          <w:szCs w:val="30"/>
        </w:rPr>
        <w:t>一、收入支出决算总体情况说明………………………5</w:t>
      </w:r>
    </w:p>
    <w:p>
      <w:pPr>
        <w:pStyle w:val="11"/>
        <w:adjustRightInd w:val="0"/>
        <w:spacing w:line="360" w:lineRule="auto"/>
        <w:jc w:val="left"/>
        <w:rPr>
          <w:rFonts w:ascii="宋体" w:hAnsi="宋体" w:cstheme="minorBidi"/>
          <w:sz w:val="30"/>
          <w:szCs w:val="30"/>
        </w:rPr>
      </w:pPr>
      <w:r>
        <w:rPr>
          <w:rFonts w:hint="eastAsia" w:ascii="宋体" w:hAnsi="宋体"/>
          <w:sz w:val="30"/>
          <w:szCs w:val="30"/>
        </w:rPr>
        <w:t>二、收入决算情况说明…………………………………5</w:t>
      </w:r>
    </w:p>
    <w:p>
      <w:pPr>
        <w:pStyle w:val="11"/>
        <w:adjustRightInd w:val="0"/>
        <w:spacing w:line="360" w:lineRule="auto"/>
        <w:jc w:val="left"/>
        <w:rPr>
          <w:rFonts w:ascii="宋体" w:hAnsi="宋体" w:cstheme="minorBidi"/>
          <w:sz w:val="30"/>
          <w:szCs w:val="30"/>
        </w:rPr>
      </w:pPr>
      <w:r>
        <w:rPr>
          <w:rFonts w:hint="eastAsia" w:ascii="宋体" w:hAnsi="宋体"/>
          <w:sz w:val="30"/>
          <w:szCs w:val="30"/>
        </w:rPr>
        <w:t>三、支出决算情况说明…………………………………5</w:t>
      </w:r>
    </w:p>
    <w:p>
      <w:pPr>
        <w:pStyle w:val="11"/>
        <w:adjustRightInd w:val="0"/>
        <w:spacing w:line="360" w:lineRule="auto"/>
        <w:jc w:val="left"/>
        <w:rPr>
          <w:rFonts w:ascii="宋体" w:hAnsi="宋体" w:cstheme="minorBidi"/>
          <w:sz w:val="30"/>
          <w:szCs w:val="30"/>
        </w:rPr>
      </w:pPr>
      <w:r>
        <w:rPr>
          <w:rFonts w:hint="eastAsia" w:ascii="宋体" w:hAnsi="宋体"/>
          <w:sz w:val="30"/>
          <w:szCs w:val="30"/>
        </w:rPr>
        <w:t>四、财政拨款收入支出决算总体情况说明……………5</w:t>
      </w:r>
    </w:p>
    <w:p>
      <w:pPr>
        <w:pStyle w:val="11"/>
        <w:adjustRightInd w:val="0"/>
        <w:spacing w:line="360" w:lineRule="auto"/>
        <w:jc w:val="left"/>
        <w:rPr>
          <w:rFonts w:ascii="宋体" w:hAnsi="宋体" w:cstheme="minorBidi"/>
          <w:sz w:val="30"/>
          <w:szCs w:val="30"/>
        </w:rPr>
      </w:pPr>
      <w:r>
        <w:rPr>
          <w:rFonts w:hint="eastAsia" w:ascii="宋体" w:hAnsi="宋体"/>
          <w:sz w:val="30"/>
          <w:szCs w:val="30"/>
        </w:rPr>
        <w:t>五、一般公共预算财政拨款支出决算情况说明……5—6</w:t>
      </w:r>
    </w:p>
    <w:p>
      <w:pPr>
        <w:pStyle w:val="11"/>
        <w:adjustRightInd w:val="0"/>
        <w:spacing w:line="360" w:lineRule="auto"/>
        <w:jc w:val="left"/>
        <w:rPr>
          <w:rFonts w:ascii="宋体" w:hAnsi="宋体" w:cstheme="minorBidi"/>
          <w:sz w:val="30"/>
          <w:szCs w:val="30"/>
        </w:rPr>
      </w:pPr>
      <w:r>
        <w:rPr>
          <w:rFonts w:hint="eastAsia" w:ascii="宋体" w:hAnsi="宋体"/>
          <w:sz w:val="30"/>
          <w:szCs w:val="30"/>
        </w:rPr>
        <w:t>六、一般公共预算财政拨款基本支出决算情况说明……7</w:t>
      </w:r>
    </w:p>
    <w:p>
      <w:pPr>
        <w:pStyle w:val="11"/>
        <w:adjustRightInd w:val="0"/>
        <w:spacing w:line="360" w:lineRule="auto"/>
        <w:jc w:val="left"/>
        <w:rPr>
          <w:rFonts w:ascii="宋体" w:hAnsi="宋体" w:cstheme="minorBidi"/>
          <w:sz w:val="30"/>
          <w:szCs w:val="30"/>
        </w:rPr>
      </w:pPr>
      <w:r>
        <w:rPr>
          <w:rFonts w:hint="eastAsia" w:ascii="宋体" w:hAnsi="宋体"/>
          <w:sz w:val="30"/>
          <w:szCs w:val="30"/>
        </w:rPr>
        <w:t>七、“三公”经费财政拨款支出决算情况说明……7—9</w:t>
      </w:r>
    </w:p>
    <w:p>
      <w:pPr>
        <w:pStyle w:val="11"/>
        <w:adjustRightInd w:val="0"/>
        <w:spacing w:line="360" w:lineRule="auto"/>
        <w:rPr>
          <w:rFonts w:ascii="宋体" w:hAnsi="宋体" w:cstheme="minorBidi"/>
          <w:sz w:val="30"/>
          <w:szCs w:val="30"/>
        </w:rPr>
      </w:pPr>
      <w:r>
        <w:rPr>
          <w:rFonts w:hint="eastAsia" w:ascii="宋体" w:hAnsi="宋体"/>
          <w:sz w:val="30"/>
          <w:szCs w:val="30"/>
        </w:rPr>
        <w:t>八、政府性基金预算支出决算情况说明……………9</w:t>
      </w:r>
    </w:p>
    <w:p>
      <w:pPr>
        <w:pStyle w:val="11"/>
        <w:adjustRightInd w:val="0"/>
        <w:spacing w:line="360" w:lineRule="auto"/>
        <w:ind w:leftChars="0"/>
        <w:jc w:val="left"/>
        <w:rPr>
          <w:rFonts w:ascii="宋体" w:hAnsi="宋体"/>
          <w:sz w:val="30"/>
          <w:szCs w:val="30"/>
        </w:rPr>
      </w:pPr>
      <w:r>
        <w:rPr>
          <w:rFonts w:hint="eastAsia" w:ascii="宋体" w:hAnsi="宋体"/>
          <w:sz w:val="30"/>
          <w:szCs w:val="30"/>
        </w:rPr>
        <w:t>九、 国有资本经营预算支出决算情况说明…………9</w:t>
      </w:r>
    </w:p>
    <w:p>
      <w:pPr>
        <w:adjustRightInd w:val="0"/>
        <w:spacing w:line="360" w:lineRule="auto"/>
        <w:ind w:firstLine="450" w:firstLineChars="150"/>
        <w:jc w:val="left"/>
        <w:rPr>
          <w:rFonts w:ascii="宋体" w:hAnsi="宋体" w:cstheme="minorBidi"/>
          <w:sz w:val="30"/>
          <w:szCs w:val="30"/>
        </w:rPr>
      </w:pPr>
      <w:r>
        <w:rPr>
          <w:rStyle w:val="16"/>
          <w:rFonts w:hint="eastAsia" w:ascii="宋体" w:hAnsi="宋体"/>
          <w:color w:val="000000" w:themeColor="text1"/>
          <w:sz w:val="30"/>
          <w:szCs w:val="30"/>
          <w:u w:val="none"/>
        </w:rPr>
        <w:t>十、</w:t>
      </w:r>
      <w:r>
        <w:rPr>
          <w:rFonts w:hint="eastAsia" w:ascii="宋体" w:hAnsi="宋体"/>
          <w:sz w:val="30"/>
          <w:szCs w:val="30"/>
        </w:rPr>
        <w:t>其他重要事项的情况说明……………………9—20</w:t>
      </w:r>
    </w:p>
    <w:p>
      <w:pPr>
        <w:pStyle w:val="10"/>
        <w:adjustRightInd w:val="0"/>
        <w:spacing w:before="0" w:line="360" w:lineRule="auto"/>
        <w:jc w:val="left"/>
        <w:rPr>
          <w:rFonts w:ascii="宋体" w:hAnsi="宋体" w:eastAsia="宋体" w:cstheme="minorBidi"/>
          <w:sz w:val="30"/>
          <w:szCs w:val="30"/>
        </w:rPr>
      </w:pPr>
      <w:r>
        <w:rPr>
          <w:rFonts w:hint="eastAsia" w:ascii="宋体" w:hAnsi="宋体" w:eastAsia="宋体"/>
          <w:sz w:val="30"/>
          <w:szCs w:val="30"/>
        </w:rPr>
        <w:t>第三部分 名词解释……………………………………20—21</w:t>
      </w:r>
    </w:p>
    <w:p>
      <w:pPr>
        <w:pStyle w:val="10"/>
        <w:adjustRightInd w:val="0"/>
        <w:spacing w:before="0" w:line="360" w:lineRule="auto"/>
        <w:jc w:val="left"/>
        <w:rPr>
          <w:rFonts w:ascii="宋体" w:hAnsi="宋体" w:eastAsia="宋体" w:cstheme="minorBidi"/>
          <w:sz w:val="30"/>
          <w:szCs w:val="30"/>
        </w:rPr>
      </w:pPr>
      <w:r>
        <w:rPr>
          <w:rFonts w:hint="eastAsia" w:ascii="宋体" w:hAnsi="宋体" w:eastAsia="宋体"/>
          <w:sz w:val="30"/>
          <w:szCs w:val="30"/>
        </w:rPr>
        <w:t>第四部分 附表…………………………………………22—35</w:t>
      </w:r>
    </w:p>
    <w:p>
      <w:pPr>
        <w:pStyle w:val="11"/>
        <w:adjustRightInd w:val="0"/>
        <w:spacing w:line="360" w:lineRule="auto"/>
        <w:jc w:val="left"/>
        <w:rPr>
          <w:rFonts w:ascii="宋体" w:hAnsi="宋体" w:cstheme="minorBidi"/>
          <w:sz w:val="30"/>
          <w:szCs w:val="30"/>
        </w:rPr>
      </w:pPr>
      <w:r>
        <w:rPr>
          <w:rFonts w:hint="eastAsia" w:ascii="宋体" w:hAnsi="宋体"/>
          <w:sz w:val="30"/>
          <w:szCs w:val="30"/>
        </w:rPr>
        <w:t>一、收入支出决算总表…………………………………23</w:t>
      </w:r>
    </w:p>
    <w:p>
      <w:pPr>
        <w:pStyle w:val="11"/>
        <w:adjustRightInd w:val="0"/>
        <w:spacing w:line="360" w:lineRule="auto"/>
        <w:jc w:val="left"/>
        <w:rPr>
          <w:rFonts w:ascii="宋体" w:hAnsi="宋体" w:cstheme="minorBidi"/>
          <w:sz w:val="30"/>
          <w:szCs w:val="30"/>
        </w:rPr>
      </w:pPr>
      <w:r>
        <w:rPr>
          <w:rFonts w:hint="eastAsia" w:ascii="宋体" w:hAnsi="宋体"/>
          <w:sz w:val="30"/>
          <w:szCs w:val="30"/>
        </w:rPr>
        <w:t>二、收入决算表…………………………………………24</w:t>
      </w:r>
    </w:p>
    <w:p>
      <w:pPr>
        <w:pStyle w:val="11"/>
        <w:adjustRightInd w:val="0"/>
        <w:spacing w:line="360" w:lineRule="auto"/>
        <w:jc w:val="left"/>
        <w:rPr>
          <w:rFonts w:ascii="宋体" w:hAnsi="宋体" w:cstheme="minorBidi"/>
          <w:sz w:val="30"/>
          <w:szCs w:val="30"/>
        </w:rPr>
      </w:pPr>
      <w:r>
        <w:rPr>
          <w:rFonts w:hint="eastAsia" w:ascii="宋体" w:hAnsi="宋体"/>
          <w:sz w:val="30"/>
          <w:szCs w:val="30"/>
        </w:rPr>
        <w:t>三、支出决算表…………………………………………25</w:t>
      </w:r>
    </w:p>
    <w:p>
      <w:pPr>
        <w:pStyle w:val="11"/>
        <w:adjustRightInd w:val="0"/>
        <w:spacing w:line="360" w:lineRule="auto"/>
        <w:jc w:val="left"/>
        <w:rPr>
          <w:rFonts w:ascii="宋体" w:hAnsi="宋体" w:cstheme="minorBidi"/>
          <w:sz w:val="30"/>
          <w:szCs w:val="30"/>
        </w:rPr>
      </w:pPr>
      <w:r>
        <w:rPr>
          <w:rFonts w:hint="eastAsia" w:ascii="宋体" w:hAnsi="宋体"/>
          <w:sz w:val="30"/>
          <w:szCs w:val="30"/>
        </w:rPr>
        <w:t>四、财政拨款收入支出决算总表………………………26</w:t>
      </w:r>
    </w:p>
    <w:p>
      <w:pPr>
        <w:pStyle w:val="11"/>
        <w:adjustRightInd w:val="0"/>
        <w:spacing w:line="360" w:lineRule="auto"/>
        <w:jc w:val="left"/>
        <w:rPr>
          <w:rFonts w:ascii="宋体" w:hAnsi="宋体"/>
          <w:sz w:val="30"/>
          <w:szCs w:val="30"/>
        </w:rPr>
      </w:pPr>
      <w:r>
        <w:rPr>
          <w:rFonts w:hint="eastAsia" w:ascii="宋体" w:hAnsi="宋体"/>
          <w:sz w:val="30"/>
          <w:szCs w:val="30"/>
        </w:rPr>
        <w:t>五、财政拨款支出决算明细表…………………………27</w:t>
      </w:r>
    </w:p>
    <w:p>
      <w:pPr>
        <w:pStyle w:val="11"/>
        <w:adjustRightInd w:val="0"/>
        <w:spacing w:line="360" w:lineRule="auto"/>
        <w:ind w:left="0" w:leftChars="0" w:firstLine="150" w:firstLineChars="50"/>
        <w:jc w:val="left"/>
        <w:rPr>
          <w:rFonts w:ascii="宋体" w:hAnsi="宋体" w:cstheme="minorBidi"/>
          <w:sz w:val="30"/>
          <w:szCs w:val="30"/>
        </w:rPr>
      </w:pPr>
      <w:r>
        <w:rPr>
          <w:rFonts w:hint="eastAsia" w:ascii="宋体" w:hAnsi="宋体"/>
          <w:sz w:val="30"/>
          <w:szCs w:val="30"/>
        </w:rPr>
        <w:t>六、一般公共预算财政拨款支出决算表…………………28</w:t>
      </w:r>
    </w:p>
    <w:p>
      <w:pPr>
        <w:pStyle w:val="11"/>
        <w:adjustRightInd w:val="0"/>
        <w:spacing w:line="360" w:lineRule="auto"/>
        <w:ind w:left="0" w:leftChars="0" w:firstLine="150" w:firstLineChars="50"/>
        <w:jc w:val="left"/>
        <w:rPr>
          <w:rFonts w:ascii="宋体" w:hAnsi="宋体"/>
          <w:sz w:val="30"/>
          <w:szCs w:val="30"/>
        </w:rPr>
      </w:pPr>
      <w:r>
        <w:rPr>
          <w:rFonts w:hint="eastAsia" w:ascii="宋体" w:hAnsi="宋体"/>
          <w:sz w:val="30"/>
          <w:szCs w:val="30"/>
        </w:rPr>
        <w:t>七、一般公共预算财政拨款支出决算明细表……………29</w:t>
      </w:r>
    </w:p>
    <w:p>
      <w:pPr>
        <w:pStyle w:val="11"/>
        <w:adjustRightInd w:val="0"/>
        <w:spacing w:line="360" w:lineRule="auto"/>
        <w:ind w:left="0" w:leftChars="0" w:firstLine="150" w:firstLineChars="50"/>
        <w:jc w:val="left"/>
        <w:rPr>
          <w:rFonts w:ascii="宋体" w:hAnsi="宋体"/>
          <w:sz w:val="30"/>
          <w:szCs w:val="30"/>
        </w:rPr>
      </w:pPr>
      <w:r>
        <w:rPr>
          <w:rFonts w:hint="eastAsia" w:ascii="宋体" w:hAnsi="宋体"/>
          <w:sz w:val="30"/>
          <w:szCs w:val="30"/>
        </w:rPr>
        <w:t>八、一般公共预算财政拨款基本支出决算表……………30</w:t>
      </w:r>
    </w:p>
    <w:p>
      <w:pPr>
        <w:pStyle w:val="11"/>
        <w:adjustRightInd w:val="0"/>
        <w:spacing w:line="360" w:lineRule="auto"/>
        <w:ind w:left="0" w:leftChars="0" w:firstLine="150" w:firstLineChars="50"/>
        <w:jc w:val="left"/>
        <w:rPr>
          <w:rFonts w:ascii="宋体" w:hAnsi="宋体" w:cstheme="minorBidi"/>
          <w:sz w:val="30"/>
          <w:szCs w:val="30"/>
        </w:rPr>
      </w:pPr>
      <w:r>
        <w:rPr>
          <w:rFonts w:hint="eastAsia" w:ascii="宋体" w:hAnsi="宋体"/>
          <w:sz w:val="30"/>
          <w:szCs w:val="30"/>
        </w:rPr>
        <w:t>九、一般公共预算财政拨款项目支出决算表……………31</w:t>
      </w:r>
    </w:p>
    <w:p>
      <w:pPr>
        <w:pStyle w:val="11"/>
        <w:adjustRightInd w:val="0"/>
        <w:spacing w:line="360" w:lineRule="auto"/>
        <w:ind w:left="0" w:leftChars="0" w:firstLine="150" w:firstLineChars="50"/>
        <w:jc w:val="left"/>
        <w:rPr>
          <w:rFonts w:ascii="宋体" w:hAnsi="宋体" w:cstheme="minorBidi"/>
          <w:sz w:val="30"/>
          <w:szCs w:val="30"/>
        </w:rPr>
      </w:pPr>
      <w:r>
        <w:rPr>
          <w:rFonts w:hint="eastAsia" w:ascii="宋体" w:hAnsi="宋体"/>
          <w:sz w:val="30"/>
          <w:szCs w:val="30"/>
        </w:rPr>
        <w:t>十、一般公共预算财政拨款“三公”经费支出决算表…32</w:t>
      </w:r>
    </w:p>
    <w:p>
      <w:pPr>
        <w:pStyle w:val="11"/>
        <w:adjustRightInd w:val="0"/>
        <w:spacing w:line="360" w:lineRule="auto"/>
        <w:ind w:left="0" w:leftChars="0" w:firstLine="150" w:firstLineChars="50"/>
        <w:jc w:val="left"/>
        <w:rPr>
          <w:rFonts w:ascii="宋体" w:hAnsi="宋体" w:cstheme="minorBidi"/>
          <w:sz w:val="30"/>
          <w:szCs w:val="30"/>
        </w:rPr>
      </w:pPr>
      <w:r>
        <w:rPr>
          <w:rFonts w:hint="eastAsia" w:ascii="宋体" w:hAnsi="宋体"/>
          <w:sz w:val="30"/>
          <w:szCs w:val="30"/>
        </w:rPr>
        <w:t>十一、政府性基金预算财政拨款收入支出决算表………33</w:t>
      </w:r>
    </w:p>
    <w:p>
      <w:pPr>
        <w:pStyle w:val="11"/>
        <w:adjustRightInd w:val="0"/>
        <w:spacing w:line="360" w:lineRule="auto"/>
        <w:ind w:left="0" w:leftChars="0" w:firstLine="140" w:firstLineChars="50"/>
        <w:rPr>
          <w:rFonts w:ascii="宋体" w:hAnsi="宋体" w:cstheme="minorBidi"/>
          <w:sz w:val="28"/>
          <w:szCs w:val="28"/>
        </w:rPr>
      </w:pPr>
      <w:r>
        <w:rPr>
          <w:rFonts w:hint="eastAsia" w:ascii="宋体" w:hAnsi="宋体"/>
          <w:sz w:val="28"/>
          <w:szCs w:val="28"/>
        </w:rPr>
        <w:t>十二、政府性基金预算财政拨款“三公”经费支出决算表…34</w:t>
      </w:r>
    </w:p>
    <w:p>
      <w:pPr>
        <w:pStyle w:val="11"/>
        <w:adjustRightInd w:val="0"/>
        <w:spacing w:line="360" w:lineRule="auto"/>
        <w:ind w:left="0" w:leftChars="0" w:firstLine="150" w:firstLineChars="50"/>
        <w:jc w:val="left"/>
        <w:rPr>
          <w:rFonts w:ascii="宋体" w:hAnsi="宋体"/>
          <w:sz w:val="30"/>
          <w:szCs w:val="30"/>
        </w:rPr>
      </w:pPr>
      <w:r>
        <w:rPr>
          <w:rFonts w:hint="eastAsia" w:ascii="宋体" w:hAnsi="宋体"/>
          <w:sz w:val="30"/>
          <w:szCs w:val="30"/>
        </w:rPr>
        <w:t>十三、国有资本经营预算支出决算表</w:t>
      </w:r>
      <w:bookmarkStart w:id="12" w:name="_Toc15377196"/>
      <w:bookmarkStart w:id="13" w:name="_Toc15396599"/>
      <w:r>
        <w:rPr>
          <w:rFonts w:hint="eastAsia" w:ascii="宋体" w:hAnsi="宋体"/>
          <w:sz w:val="30"/>
          <w:szCs w:val="30"/>
        </w:rPr>
        <w:t>……………………35</w:t>
      </w:r>
    </w:p>
    <w:p>
      <w:pPr>
        <w:jc w:val="center"/>
        <w:rPr>
          <w:rFonts w:ascii="宋体" w:hAnsi="宋体"/>
          <w:sz w:val="30"/>
          <w:szCs w:val="30"/>
        </w:rPr>
      </w:pPr>
    </w:p>
    <w:p>
      <w:pPr>
        <w:jc w:val="center"/>
        <w:rPr>
          <w:rFonts w:ascii="黑体" w:hAnsi="黑体" w:eastAsia="黑体"/>
          <w:sz w:val="44"/>
          <w:szCs w:val="32"/>
        </w:rPr>
      </w:pPr>
    </w:p>
    <w:p>
      <w:pPr>
        <w:jc w:val="center"/>
        <w:rPr>
          <w:rFonts w:ascii="黑体" w:hAnsi="黑体" w:eastAsia="黑体"/>
          <w:sz w:val="44"/>
          <w:szCs w:val="32"/>
        </w:rPr>
      </w:pPr>
    </w:p>
    <w:p>
      <w:pPr>
        <w:jc w:val="center"/>
        <w:rPr>
          <w:rFonts w:ascii="黑体" w:hAnsi="黑体" w:eastAsia="黑体"/>
          <w:sz w:val="44"/>
          <w:szCs w:val="32"/>
        </w:rPr>
      </w:pPr>
    </w:p>
    <w:p>
      <w:pPr>
        <w:jc w:val="center"/>
        <w:rPr>
          <w:rFonts w:ascii="黑体" w:hAnsi="黑体" w:eastAsia="黑体"/>
          <w:sz w:val="44"/>
          <w:szCs w:val="32"/>
        </w:rPr>
      </w:pPr>
    </w:p>
    <w:p>
      <w:pPr>
        <w:jc w:val="center"/>
        <w:rPr>
          <w:rFonts w:ascii="黑体" w:hAnsi="黑体" w:eastAsia="黑体"/>
          <w:sz w:val="44"/>
          <w:szCs w:val="32"/>
        </w:rPr>
      </w:pPr>
    </w:p>
    <w:p>
      <w:pPr>
        <w:jc w:val="center"/>
        <w:rPr>
          <w:rFonts w:ascii="黑体" w:hAnsi="黑体" w:eastAsia="黑体"/>
          <w:sz w:val="44"/>
          <w:szCs w:val="32"/>
        </w:rPr>
      </w:pPr>
    </w:p>
    <w:p>
      <w:pPr>
        <w:jc w:val="center"/>
        <w:rPr>
          <w:rFonts w:ascii="黑体" w:hAnsi="黑体" w:eastAsia="黑体"/>
          <w:sz w:val="44"/>
          <w:szCs w:val="32"/>
        </w:rPr>
      </w:pPr>
    </w:p>
    <w:p>
      <w:pPr>
        <w:jc w:val="center"/>
        <w:rPr>
          <w:rFonts w:ascii="黑体" w:hAnsi="黑体" w:eastAsia="黑体"/>
          <w:sz w:val="44"/>
          <w:szCs w:val="32"/>
        </w:rPr>
      </w:pPr>
    </w:p>
    <w:p>
      <w:pPr>
        <w:jc w:val="center"/>
        <w:rPr>
          <w:rFonts w:ascii="黑体" w:hAnsi="黑体" w:eastAsia="黑体"/>
          <w:sz w:val="44"/>
          <w:szCs w:val="32"/>
        </w:rPr>
      </w:pPr>
    </w:p>
    <w:p>
      <w:pPr>
        <w:jc w:val="center"/>
        <w:rPr>
          <w:rFonts w:ascii="黑体" w:hAnsi="黑体" w:eastAsia="黑体"/>
          <w:sz w:val="44"/>
          <w:szCs w:val="32"/>
        </w:rPr>
      </w:pPr>
    </w:p>
    <w:p>
      <w:pPr>
        <w:jc w:val="center"/>
        <w:rPr>
          <w:rFonts w:ascii="黑体" w:hAnsi="黑体" w:eastAsia="黑体"/>
          <w:sz w:val="44"/>
          <w:szCs w:val="32"/>
        </w:rPr>
      </w:pPr>
    </w:p>
    <w:p>
      <w:pPr>
        <w:jc w:val="center"/>
        <w:rPr>
          <w:rFonts w:ascii="黑体" w:hAnsi="黑体" w:eastAsia="黑体"/>
          <w:sz w:val="44"/>
          <w:szCs w:val="32"/>
        </w:rPr>
      </w:pPr>
    </w:p>
    <w:p>
      <w:pPr>
        <w:jc w:val="center"/>
        <w:rPr>
          <w:rFonts w:ascii="黑体" w:hAnsi="黑体" w:eastAsia="黑体"/>
          <w:sz w:val="44"/>
          <w:szCs w:val="32"/>
        </w:rPr>
      </w:pPr>
    </w:p>
    <w:p>
      <w:pPr>
        <w:jc w:val="center"/>
        <w:rPr>
          <w:rFonts w:ascii="黑体" w:hAnsi="黑体" w:eastAsia="黑体"/>
          <w:sz w:val="44"/>
          <w:szCs w:val="32"/>
        </w:rPr>
      </w:pPr>
    </w:p>
    <w:p>
      <w:pPr>
        <w:jc w:val="center"/>
        <w:rPr>
          <w:rFonts w:ascii="黑体" w:hAnsi="黑体" w:eastAsia="黑体"/>
          <w:sz w:val="44"/>
          <w:szCs w:val="32"/>
        </w:rPr>
      </w:pPr>
      <w:r>
        <w:rPr>
          <w:rFonts w:hint="eastAsia" w:ascii="黑体" w:hAnsi="黑体" w:eastAsia="黑体"/>
          <w:sz w:val="44"/>
          <w:szCs w:val="32"/>
        </w:rPr>
        <w:t>第一部分 部门概况</w:t>
      </w:r>
      <w:bookmarkEnd w:id="12"/>
      <w:bookmarkEnd w:id="13"/>
    </w:p>
    <w:p>
      <w:pPr>
        <w:rPr>
          <w:rFonts w:ascii="仿宋_GB2312" w:eastAsia="仿宋_GB2312"/>
          <w:color w:val="000000"/>
          <w:sz w:val="32"/>
          <w:szCs w:val="32"/>
        </w:rPr>
      </w:pPr>
      <w:bookmarkStart w:id="14" w:name="_Toc15396600"/>
      <w:bookmarkStart w:id="15" w:name="_Toc15377197"/>
    </w:p>
    <w:p>
      <w:pPr>
        <w:spacing w:line="360" w:lineRule="auto"/>
        <w:ind w:firstLine="480" w:firstLineChars="150"/>
        <w:rPr>
          <w:rFonts w:ascii="黑体" w:hAnsi="黑体" w:eastAsia="黑体"/>
          <w:bCs/>
          <w:sz w:val="32"/>
          <w:szCs w:val="32"/>
        </w:rPr>
      </w:pPr>
      <w:r>
        <w:rPr>
          <w:rFonts w:hint="eastAsia" w:ascii="黑体" w:hAnsi="黑体" w:eastAsia="黑体"/>
          <w:bCs/>
          <w:sz w:val="32"/>
          <w:szCs w:val="32"/>
        </w:rPr>
        <w:t>一、基本职能及主要工作</w:t>
      </w:r>
      <w:bookmarkEnd w:id="14"/>
      <w:bookmarkEnd w:id="15"/>
      <w:bookmarkStart w:id="16" w:name="_Toc15378445"/>
      <w:bookmarkStart w:id="17" w:name="_Toc15377198"/>
    </w:p>
    <w:p>
      <w:pPr>
        <w:spacing w:line="360" w:lineRule="auto"/>
        <w:ind w:firstLine="643" w:firstLineChars="200"/>
        <w:rPr>
          <w:rFonts w:ascii="楷体" w:hAnsi="楷体" w:eastAsia="楷体"/>
          <w:b/>
          <w:sz w:val="32"/>
          <w:szCs w:val="32"/>
        </w:rPr>
      </w:pPr>
      <w:r>
        <w:rPr>
          <w:rFonts w:hint="eastAsia" w:ascii="楷体" w:hAnsi="楷体" w:eastAsia="楷体"/>
          <w:b/>
          <w:color w:val="000000"/>
          <w:sz w:val="32"/>
          <w:szCs w:val="32"/>
        </w:rPr>
        <w:t>（一）主要职能。</w:t>
      </w:r>
      <w:bookmarkEnd w:id="16"/>
      <w:bookmarkEnd w:id="17"/>
      <w:bookmarkStart w:id="18" w:name="_Toc15378446"/>
      <w:bookmarkStart w:id="19" w:name="_Toc15377199"/>
    </w:p>
    <w:p>
      <w:pPr>
        <w:spacing w:line="360" w:lineRule="auto"/>
        <w:ind w:firstLine="643" w:firstLineChars="200"/>
        <w:rPr>
          <w:rFonts w:ascii="仿宋_GB2312" w:eastAsia="仿宋_GB2312"/>
          <w:sz w:val="32"/>
          <w:szCs w:val="32"/>
        </w:rPr>
      </w:pPr>
      <w:r>
        <w:rPr>
          <w:rFonts w:hint="eastAsia" w:ascii="仿宋_GB2312" w:hAnsi="仿宋" w:eastAsia="仿宋_GB2312"/>
          <w:b/>
          <w:sz w:val="32"/>
          <w:szCs w:val="32"/>
        </w:rPr>
        <w:t>1．</w:t>
      </w:r>
      <w:r>
        <w:rPr>
          <w:rFonts w:hint="eastAsia" w:ascii="仿宋_GB2312" w:eastAsia="仿宋_GB2312"/>
          <w:b/>
          <w:sz w:val="32"/>
          <w:szCs w:val="32"/>
        </w:rPr>
        <w:t>主要职能职责。</w:t>
      </w:r>
      <w:r>
        <w:rPr>
          <w:rFonts w:hint="eastAsia" w:ascii="仿宋_GB2312" w:eastAsia="仿宋_GB2312"/>
          <w:sz w:val="32"/>
          <w:szCs w:val="32"/>
        </w:rPr>
        <w:t>一是负责全市1.95万余公里道路（城市及县乡村道路1.7万公里、国省道0.19万公里）交通安全管理，纠正交通违章，维护交通秩序，处理突发事件，配合开展警卫工作；二是负责全市机动车及非机动车注册登记、核发牌证、过户、转籍等工作；三是负责全市机动车驾驶人考试及驾驶证的核发、补发等工作；四是负责交通事故责任认定、交通安全宣传以及参与道路交通管理工作规划。</w:t>
      </w:r>
    </w:p>
    <w:p>
      <w:pPr>
        <w:spacing w:line="360" w:lineRule="auto"/>
        <w:ind w:firstLine="643" w:firstLineChars="200"/>
        <w:rPr>
          <w:rFonts w:ascii="楷体" w:hAnsi="楷体" w:eastAsia="楷体"/>
          <w:b/>
          <w:color w:val="000000"/>
          <w:sz w:val="32"/>
          <w:szCs w:val="32"/>
        </w:rPr>
      </w:pPr>
      <w:r>
        <w:rPr>
          <w:rFonts w:hint="eastAsia" w:ascii="楷体" w:hAnsi="楷体" w:eastAsia="楷体"/>
          <w:b/>
          <w:color w:val="000000"/>
          <w:sz w:val="32"/>
          <w:szCs w:val="32"/>
        </w:rPr>
        <w:t>（二）2019年重点工作完成情况。</w:t>
      </w:r>
      <w:bookmarkEnd w:id="18"/>
      <w:bookmarkEnd w:id="19"/>
    </w:p>
    <w:p>
      <w:pPr>
        <w:pStyle w:val="12"/>
        <w:spacing w:line="360" w:lineRule="auto"/>
        <w:ind w:firstLine="645"/>
        <w:jc w:val="both"/>
        <w:rPr>
          <w:rFonts w:hint="eastAsia" w:ascii="仿宋_GB2312" w:hAnsi="ˎ̥" w:eastAsia="仿宋_GB2312" w:cs="仿宋_GB2312"/>
          <w:color w:val="000000"/>
          <w:sz w:val="32"/>
          <w:szCs w:val="32"/>
        </w:rPr>
      </w:pPr>
      <w:r>
        <w:rPr>
          <w:rFonts w:hint="eastAsia" w:ascii="仿宋_GB2312" w:hAnsi="ˎ̥" w:eastAsia="仿宋_GB2312" w:cs="仿宋_GB2312"/>
          <w:color w:val="000000"/>
          <w:sz w:val="32"/>
          <w:szCs w:val="32"/>
        </w:rPr>
        <w:t>2019年，支队</w:t>
      </w:r>
      <w:r>
        <w:rPr>
          <w:rFonts w:hint="eastAsia" w:ascii="仿宋_GB2312" w:eastAsia="仿宋_GB2312"/>
          <w:color w:val="000000"/>
          <w:sz w:val="32"/>
          <w:szCs w:val="32"/>
        </w:rPr>
        <w:t>按照“践行新使命、忠诚保大庆”总要求，</w:t>
      </w:r>
      <w:r>
        <w:rPr>
          <w:rFonts w:hint="eastAsia" w:ascii="仿宋_GB2312" w:hAnsi="ˎ̥" w:eastAsia="仿宋_GB2312" w:cs="仿宋_GB2312"/>
          <w:color w:val="000000"/>
          <w:sz w:val="32"/>
          <w:szCs w:val="32"/>
        </w:rPr>
        <w:t>在市委市政府的坚强领导下，扎实依法履行道路交通安全管理职责，</w:t>
      </w:r>
      <w:r>
        <w:rPr>
          <w:rFonts w:hint="eastAsia" w:ascii="仿宋_GB2312" w:eastAsia="仿宋_GB2312"/>
          <w:color w:val="000000"/>
          <w:sz w:val="32"/>
          <w:szCs w:val="32"/>
        </w:rPr>
        <w:t>圆满实现了</w:t>
      </w:r>
      <w:r>
        <w:rPr>
          <w:rFonts w:hint="eastAsia" w:ascii="仿宋_GB2312" w:eastAsia="仿宋_GB2312"/>
          <w:color w:val="000000"/>
          <w:sz w:val="32"/>
          <w:szCs w:val="32"/>
          <w:lang w:val="en-US" w:eastAsia="zh-CN"/>
        </w:rPr>
        <w:t>新中国成立</w:t>
      </w:r>
      <w:r>
        <w:rPr>
          <w:rFonts w:hint="eastAsia" w:ascii="仿宋_GB2312" w:eastAsia="仿宋_GB2312"/>
          <w:color w:val="000000"/>
          <w:sz w:val="32"/>
          <w:szCs w:val="32"/>
        </w:rPr>
        <w:t>70周年大庆安保“五个坚决防止、三个确保”工作目标，</w:t>
      </w:r>
      <w:r>
        <w:rPr>
          <w:rFonts w:hint="eastAsia" w:ascii="仿宋_GB2312" w:hAnsi="Times New Roman" w:eastAsia="仿宋_GB2312" w:cs="Times New Roman"/>
          <w:color w:val="000000"/>
          <w:sz w:val="32"/>
          <w:szCs w:val="32"/>
        </w:rPr>
        <w:t>为加快建设川陕甘结合部区域中心城市、北向东出桥头堡建设贡献交警应有力量。</w:t>
      </w:r>
      <w:r>
        <w:rPr>
          <w:rFonts w:hint="eastAsia" w:ascii="仿宋_GB2312" w:hAnsi="楷体" w:eastAsia="仿宋_GB2312" w:cs="楷体_GB2312"/>
          <w:b/>
          <w:color w:val="000000"/>
          <w:sz w:val="32"/>
          <w:szCs w:val="32"/>
        </w:rPr>
        <w:t>一是保持了安全形势持续平稳。</w:t>
      </w:r>
      <w:r>
        <w:rPr>
          <w:rFonts w:hint="eastAsia" w:ascii="仿宋_GB2312" w:eastAsia="仿宋_GB2312"/>
          <w:color w:val="000000"/>
          <w:sz w:val="32"/>
          <w:szCs w:val="32"/>
        </w:rPr>
        <w:t>全市共发生一般道路交通事故1150起、死亡200人、伤1569人、直接经济损失365万元，同比分别上升20.2%、下降0.5%、上升22%、上升1.1%；全年没有发生一起一次死亡5人的道路交通事故，连续22年未发生一起一次死亡10人以上的重特大恶性交通事故，安全形势持续稳定。</w:t>
      </w:r>
      <w:r>
        <w:rPr>
          <w:rFonts w:hint="eastAsia" w:ascii="仿宋_GB2312" w:hAnsi="楷体" w:eastAsia="仿宋_GB2312" w:cs="楷体_GB2312"/>
          <w:b/>
          <w:color w:val="000000"/>
          <w:sz w:val="32"/>
          <w:szCs w:val="32"/>
        </w:rPr>
        <w:t>二是保持了城市道路畅通有序。</w:t>
      </w:r>
      <w:r>
        <w:rPr>
          <w:rFonts w:hint="eastAsia" w:ascii="仿宋_GB2312" w:eastAsia="仿宋_GB2312"/>
          <w:color w:val="000000"/>
          <w:sz w:val="32"/>
          <w:szCs w:val="32"/>
        </w:rPr>
        <w:t>支队推动市政府出台《广元市打好市城区缓堵保畅三年攻坚战总体方案》及7个子方案，制定实施“市城区交通缓堵保畅十条措施”，缓解机动车高速增长态势下的交通供需矛盾。2019年，市城区交通拥堵警情同比下降2%，交通拥堵现状处于全省中等偏下；圆满完成了266批次交通安保任务，特别是实现了全国产业扶贫推进会、原政治局常委吴官正来广视察期间的“绝对安全、万无一失”。</w:t>
      </w:r>
      <w:r>
        <w:rPr>
          <w:rFonts w:hint="eastAsia" w:ascii="仿宋_GB2312" w:hAnsi="楷体" w:eastAsia="仿宋_GB2312" w:cs="楷体_GB2312"/>
          <w:b/>
          <w:color w:val="000000"/>
          <w:sz w:val="32"/>
          <w:szCs w:val="32"/>
        </w:rPr>
        <w:t>三是服务了经济社会优质高效发展。</w:t>
      </w:r>
      <w:r>
        <w:rPr>
          <w:rFonts w:hint="eastAsia" w:ascii="仿宋_GB2312" w:eastAsia="仿宋_GB2312"/>
          <w:color w:val="000000"/>
          <w:sz w:val="32"/>
          <w:szCs w:val="32"/>
        </w:rPr>
        <w:t>支队贯彻落实《全市公安机关促进民营经济健康发展二十五条措施》，研究制定《交管业务服务民营企业十条措施》，最大限度方便货运物流企业和群众办理业务；推动建成车驾管服务代办点15家、“警保联动”车驾管社会服务站11家，提升服务管理效能，打造了“最强服务品牌”。</w:t>
      </w:r>
    </w:p>
    <w:p>
      <w:pPr>
        <w:spacing w:line="360" w:lineRule="auto"/>
        <w:ind w:firstLine="640" w:firstLineChars="200"/>
        <w:rPr>
          <w:rFonts w:ascii="黑体" w:hAnsi="黑体" w:eastAsia="黑体" w:cs="仿宋_GB2312"/>
          <w:color w:val="000000"/>
          <w:sz w:val="32"/>
          <w:szCs w:val="32"/>
        </w:rPr>
      </w:pPr>
      <w:bookmarkStart w:id="20" w:name="_Toc15377200"/>
      <w:bookmarkStart w:id="21" w:name="_Toc15396601"/>
      <w:r>
        <w:rPr>
          <w:rFonts w:hint="eastAsia" w:ascii="黑体" w:hAnsi="黑体" w:eastAsia="黑体" w:cs="仿宋_GB2312"/>
          <w:color w:val="000000"/>
          <w:sz w:val="32"/>
          <w:szCs w:val="32"/>
        </w:rPr>
        <w:t>二、机构设置</w:t>
      </w:r>
      <w:bookmarkEnd w:id="20"/>
      <w:bookmarkEnd w:id="21"/>
    </w:p>
    <w:p>
      <w:pPr>
        <w:spacing w:line="360" w:lineRule="auto"/>
        <w:ind w:firstLine="640" w:firstLineChars="200"/>
        <w:rPr>
          <w:rFonts w:ascii="仿宋_GB2312" w:eastAsia="仿宋_GB2312"/>
          <w:color w:val="000000"/>
          <w:sz w:val="32"/>
          <w:szCs w:val="32"/>
        </w:rPr>
      </w:pPr>
      <w:r>
        <w:rPr>
          <w:rFonts w:hint="eastAsia" w:ascii="仿宋_GB2312" w:hAnsi="仿宋" w:eastAsia="仿宋_GB2312"/>
          <w:sz w:val="32"/>
          <w:szCs w:val="32"/>
        </w:rPr>
        <w:t>交警支队下属二级预算单位0个，</w:t>
      </w:r>
      <w:r>
        <w:rPr>
          <w:rFonts w:hint="eastAsia" w:ascii="仿宋_GB2312" w:eastAsia="仿宋_GB2312"/>
          <w:sz w:val="32"/>
          <w:szCs w:val="32"/>
        </w:rPr>
        <w:t>下设交警一大队、二大队、三大队、四大队、特勤大队和办公室、政工科、事故科、秩序科、宣法科、指挥中心、车管所、非机所等13个正科级单位；业务指导和监督</w:t>
      </w:r>
      <w:r>
        <w:rPr>
          <w:rFonts w:hint="eastAsia" w:ascii="仿宋_GB2312" w:eastAsia="仿宋_GB2312"/>
          <w:color w:val="000000"/>
          <w:sz w:val="32"/>
          <w:szCs w:val="32"/>
        </w:rPr>
        <w:t xml:space="preserve">苍溪、剑阁、旺苍、青川、元坝、朝天六个县区交警大队，本年机构情况无变化。 </w:t>
      </w:r>
    </w:p>
    <w:p>
      <w:pPr>
        <w:spacing w:line="360" w:lineRule="auto"/>
        <w:rPr>
          <w:rFonts w:ascii="仿宋_GB2312" w:hAnsi="仿宋" w:eastAsia="仿宋_GB2312"/>
          <w:color w:val="000000"/>
          <w:kern w:val="0"/>
          <w:sz w:val="32"/>
          <w:szCs w:val="32"/>
        </w:rPr>
      </w:pPr>
    </w:p>
    <w:p>
      <w:pPr>
        <w:spacing w:line="360" w:lineRule="auto"/>
        <w:jc w:val="center"/>
        <w:rPr>
          <w:rStyle w:val="25"/>
          <w:rFonts w:ascii="黑体" w:hAnsi="黑体" w:eastAsia="黑体"/>
          <w:b w:val="0"/>
        </w:rPr>
      </w:pPr>
      <w:bookmarkStart w:id="22" w:name="_Toc15396602"/>
      <w:bookmarkStart w:id="23" w:name="_Toc15377204"/>
    </w:p>
    <w:p>
      <w:pPr>
        <w:spacing w:line="360" w:lineRule="auto"/>
        <w:jc w:val="center"/>
        <w:rPr>
          <w:rStyle w:val="25"/>
          <w:rFonts w:ascii="黑体" w:hAnsi="黑体" w:eastAsia="黑体"/>
          <w:b w:val="0"/>
        </w:rPr>
      </w:pPr>
      <w:r>
        <w:rPr>
          <w:rStyle w:val="25"/>
          <w:rFonts w:hint="eastAsia" w:ascii="黑体" w:hAnsi="黑体" w:eastAsia="黑体"/>
          <w:b w:val="0"/>
        </w:rPr>
        <w:t>第二部分2019年度部门决算情况说明</w:t>
      </w:r>
      <w:bookmarkEnd w:id="22"/>
      <w:bookmarkEnd w:id="23"/>
    </w:p>
    <w:p>
      <w:pPr>
        <w:spacing w:line="360" w:lineRule="auto"/>
        <w:rPr>
          <w:rFonts w:ascii="仿宋_GB2312" w:eastAsia="仿宋_GB2312"/>
          <w:sz w:val="32"/>
          <w:szCs w:val="32"/>
        </w:rPr>
      </w:pPr>
    </w:p>
    <w:p>
      <w:pPr>
        <w:spacing w:line="360" w:lineRule="auto"/>
        <w:ind w:firstLine="640" w:firstLineChars="200"/>
        <w:rPr>
          <w:rStyle w:val="26"/>
          <w:rFonts w:ascii="黑体" w:hAnsi="黑体" w:eastAsia="黑体"/>
          <w:b w:val="0"/>
        </w:rPr>
      </w:pPr>
      <w:bookmarkStart w:id="24" w:name="_Toc15396603"/>
      <w:bookmarkStart w:id="25" w:name="_Toc15377205"/>
      <w:r>
        <w:rPr>
          <w:rFonts w:hint="eastAsia" w:ascii="黑体" w:hAnsi="黑体" w:eastAsia="黑体"/>
          <w:color w:val="000000"/>
          <w:sz w:val="32"/>
          <w:szCs w:val="32"/>
        </w:rPr>
        <w:t>一、收</w:t>
      </w:r>
      <w:r>
        <w:rPr>
          <w:rStyle w:val="26"/>
          <w:rFonts w:hint="eastAsia" w:ascii="黑体" w:hAnsi="黑体" w:eastAsia="黑体"/>
          <w:b w:val="0"/>
        </w:rPr>
        <w:t>入支出决算总体情况说明</w:t>
      </w:r>
      <w:bookmarkEnd w:id="24"/>
      <w:bookmarkEnd w:id="25"/>
    </w:p>
    <w:p>
      <w:pPr>
        <w:spacing w:line="360" w:lineRule="auto"/>
        <w:ind w:firstLine="680" w:firstLineChars="200"/>
        <w:rPr>
          <w:rFonts w:ascii="仿宋_GB2312" w:hAnsi="仿宋" w:eastAsia="仿宋_GB2312"/>
          <w:sz w:val="32"/>
          <w:szCs w:val="32"/>
        </w:rPr>
      </w:pPr>
      <w:r>
        <w:rPr>
          <w:rFonts w:hint="eastAsia" w:ascii="仿宋_GB2312" w:eastAsia="仿宋_GB2312"/>
          <w:spacing w:val="10"/>
          <w:sz w:val="32"/>
          <w:szCs w:val="32"/>
        </w:rPr>
        <w:t>2019年财政拨款收支总决算9386.95万元。与2018年相比，财政拨款收支总计增加154.72万元，增长1.68</w:t>
      </w:r>
      <w:r>
        <w:rPr>
          <w:rFonts w:hint="eastAsia" w:ascii="仿宋_GB2312" w:eastAsia="仿宋_GB2312"/>
          <w:sz w:val="32"/>
          <w:szCs w:val="32"/>
        </w:rPr>
        <w:t>%</w:t>
      </w:r>
      <w:r>
        <w:rPr>
          <w:rFonts w:hint="eastAsia" w:ascii="仿宋_GB2312" w:hAnsi="仿宋" w:eastAsia="仿宋_GB2312"/>
          <w:sz w:val="32"/>
          <w:szCs w:val="32"/>
        </w:rPr>
        <w:t>。</w:t>
      </w:r>
      <w:r>
        <w:rPr>
          <w:rFonts w:hint="eastAsia" w:ascii="仿宋_GB2312" w:eastAsia="仿宋_GB2312"/>
          <w:spacing w:val="10"/>
          <w:sz w:val="32"/>
          <w:szCs w:val="32"/>
        </w:rPr>
        <w:t>主要变动原因是协警员社会保险上调和民警职级套改，造成人员和劳务费增加。</w:t>
      </w:r>
    </w:p>
    <w:p>
      <w:pPr>
        <w:spacing w:line="360" w:lineRule="auto"/>
        <w:ind w:firstLine="640" w:firstLineChars="200"/>
        <w:rPr>
          <w:rStyle w:val="26"/>
          <w:rFonts w:ascii="黑体" w:hAnsi="黑体" w:eastAsia="黑体"/>
          <w:b w:val="0"/>
        </w:rPr>
      </w:pPr>
      <w:r>
        <w:rPr>
          <w:rStyle w:val="26"/>
          <w:rFonts w:hint="eastAsia" w:ascii="黑体" w:hAnsi="黑体" w:eastAsia="黑体"/>
          <w:b w:val="0"/>
        </w:rPr>
        <w:t>二、收入决算情况说明</w:t>
      </w:r>
    </w:p>
    <w:p>
      <w:pPr>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2019年本年收入合计8748.95万元，其中：一般公共预算财政拨款收入8348.00万元，占95.42%；政府性基金预算财政拨款收入300.00万元，占3.43%；其他收入100.95万元，占1.15%。</w:t>
      </w:r>
    </w:p>
    <w:p>
      <w:pPr>
        <w:spacing w:line="360" w:lineRule="auto"/>
        <w:ind w:firstLine="640" w:firstLineChars="200"/>
        <w:rPr>
          <w:rStyle w:val="26"/>
          <w:rFonts w:ascii="黑体" w:hAnsi="黑体" w:eastAsia="黑体"/>
          <w:b w:val="0"/>
        </w:rPr>
      </w:pPr>
      <w:bookmarkStart w:id="26" w:name="_Toc15396605"/>
      <w:bookmarkStart w:id="27" w:name="_Toc15377207"/>
      <w:r>
        <w:rPr>
          <w:rFonts w:hint="eastAsia" w:ascii="黑体" w:hAnsi="黑体" w:eastAsia="黑体"/>
          <w:color w:val="000000"/>
          <w:sz w:val="32"/>
          <w:szCs w:val="32"/>
        </w:rPr>
        <w:t>三、支</w:t>
      </w:r>
      <w:r>
        <w:rPr>
          <w:rStyle w:val="26"/>
          <w:rFonts w:hint="eastAsia" w:ascii="黑体" w:hAnsi="黑体" w:eastAsia="黑体"/>
          <w:b w:val="0"/>
        </w:rPr>
        <w:t>出决算情况说明</w:t>
      </w:r>
      <w:bookmarkEnd w:id="26"/>
      <w:bookmarkEnd w:id="27"/>
    </w:p>
    <w:p>
      <w:pPr>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2019年本年支出合计8629.96万元，其中：基本支出7262.29万元，占84.15%；项目支出1367.67万元，占15.85%</w:t>
      </w:r>
      <w:bookmarkStart w:id="28" w:name="_Toc15396606"/>
      <w:bookmarkStart w:id="29" w:name="_Toc15377208"/>
      <w:r>
        <w:rPr>
          <w:rFonts w:hint="eastAsia" w:ascii="仿宋_GB2312" w:hAnsi="仿宋" w:eastAsia="仿宋_GB2312"/>
          <w:color w:val="000000"/>
          <w:sz w:val="32"/>
          <w:szCs w:val="32"/>
        </w:rPr>
        <w:t>.</w:t>
      </w:r>
    </w:p>
    <w:p>
      <w:pPr>
        <w:spacing w:line="360" w:lineRule="auto"/>
        <w:ind w:firstLine="640" w:firstLineChars="200"/>
        <w:rPr>
          <w:rStyle w:val="26"/>
          <w:rFonts w:ascii="黑体" w:hAnsi="黑体" w:eastAsia="黑体"/>
          <w:b w:val="0"/>
        </w:rPr>
      </w:pPr>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28"/>
      <w:bookmarkEnd w:id="29"/>
    </w:p>
    <w:p>
      <w:pPr>
        <w:spacing w:line="360" w:lineRule="auto"/>
        <w:ind w:firstLine="640" w:firstLineChars="200"/>
        <w:rPr>
          <w:rFonts w:ascii="仿宋_GB2312" w:hAnsi="仿宋" w:eastAsia="仿宋_GB2312"/>
          <w:sz w:val="32"/>
          <w:szCs w:val="32"/>
        </w:rPr>
      </w:pPr>
      <w:r>
        <w:rPr>
          <w:rFonts w:hint="eastAsia" w:ascii="仿宋_GB2312" w:hAnsi="仿宋" w:eastAsia="仿宋_GB2312"/>
          <w:color w:val="000000"/>
          <w:sz w:val="32"/>
          <w:szCs w:val="32"/>
        </w:rPr>
        <w:t>2019年财政拨款收、支总计9272.80万元。与2018年相比，财政拨款收、支总计各增加40.57万元，增长0.44%。主要变动原因是</w:t>
      </w:r>
      <w:r>
        <w:rPr>
          <w:rFonts w:hint="eastAsia" w:ascii="仿宋_GB2312" w:eastAsia="仿宋_GB2312"/>
          <w:spacing w:val="10"/>
          <w:sz w:val="32"/>
          <w:szCs w:val="32"/>
        </w:rPr>
        <w:t>是协警员社会保险上调和民警职级套改，造成人员和劳务费增加。</w:t>
      </w:r>
    </w:p>
    <w:p>
      <w:pPr>
        <w:spacing w:line="360" w:lineRule="auto"/>
        <w:ind w:firstLine="640" w:firstLineChars="200"/>
        <w:rPr>
          <w:rStyle w:val="26"/>
          <w:rFonts w:ascii="黑体" w:hAnsi="黑体" w:eastAsia="黑体"/>
          <w:b w:val="0"/>
        </w:rPr>
      </w:pPr>
      <w:bookmarkStart w:id="30" w:name="_Toc15396607"/>
      <w:bookmarkStart w:id="31" w:name="_Toc15377209"/>
      <w:r>
        <w:rPr>
          <w:rFonts w:hint="eastAsia" w:ascii="黑体" w:hAnsi="黑体" w:eastAsia="黑体"/>
          <w:color w:val="000000"/>
          <w:sz w:val="32"/>
          <w:szCs w:val="32"/>
        </w:rPr>
        <w:t>五、一</w:t>
      </w:r>
      <w:r>
        <w:rPr>
          <w:rStyle w:val="26"/>
          <w:rFonts w:hint="eastAsia" w:ascii="黑体" w:hAnsi="黑体" w:eastAsia="黑体"/>
          <w:b w:val="0"/>
        </w:rPr>
        <w:t>般公共预算财政拨款支出决算情况说明</w:t>
      </w:r>
      <w:bookmarkEnd w:id="30"/>
      <w:bookmarkEnd w:id="31"/>
    </w:p>
    <w:p>
      <w:pPr>
        <w:spacing w:line="360" w:lineRule="auto"/>
        <w:ind w:firstLine="643" w:firstLineChars="200"/>
        <w:rPr>
          <w:rFonts w:ascii="楷体" w:hAnsi="楷体" w:eastAsia="楷体"/>
          <w:b/>
          <w:color w:val="000000"/>
          <w:sz w:val="32"/>
          <w:szCs w:val="32"/>
        </w:rPr>
      </w:pPr>
      <w:bookmarkStart w:id="32" w:name="_Toc15377210"/>
      <w:r>
        <w:rPr>
          <w:rFonts w:hint="eastAsia" w:ascii="楷体" w:hAnsi="楷体" w:eastAsia="楷体"/>
          <w:b/>
          <w:color w:val="000000"/>
          <w:sz w:val="32"/>
          <w:szCs w:val="32"/>
        </w:rPr>
        <w:t>（一）一般公共预算财政拨款支出决算总体情况</w:t>
      </w:r>
      <w:bookmarkEnd w:id="32"/>
    </w:p>
    <w:p>
      <w:pPr>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2019年一般公共预算财政拨款支出8329.96万元，占本年支出合计的96.52%。与2018年相比，一般公共预算财政拨款减少27.46万元，下降0.33%。主要变动原因是</w:t>
      </w:r>
      <w:r>
        <w:rPr>
          <w:rFonts w:hint="eastAsia" w:ascii="仿宋_GB2312" w:hAnsi="仿宋" w:eastAsia="仿宋_GB2312" w:cs="仿宋_GB2312"/>
          <w:color w:val="000000"/>
          <w:sz w:val="32"/>
          <w:szCs w:val="32"/>
        </w:rPr>
        <w:t>积极响应政府压缩公用经费的号召，大幅压减公用支出。</w:t>
      </w:r>
    </w:p>
    <w:p>
      <w:pPr>
        <w:spacing w:line="360" w:lineRule="auto"/>
        <w:ind w:firstLine="643" w:firstLineChars="200"/>
        <w:rPr>
          <w:rFonts w:ascii="楷体" w:hAnsi="楷体" w:eastAsia="楷体"/>
          <w:b/>
          <w:color w:val="000000"/>
          <w:sz w:val="32"/>
          <w:szCs w:val="32"/>
        </w:rPr>
      </w:pPr>
      <w:bookmarkStart w:id="33" w:name="_Toc15377211"/>
      <w:r>
        <w:rPr>
          <w:rFonts w:hint="eastAsia" w:ascii="楷体" w:hAnsi="楷体" w:eastAsia="楷体"/>
          <w:b/>
          <w:color w:val="000000"/>
          <w:sz w:val="32"/>
          <w:szCs w:val="32"/>
        </w:rPr>
        <w:t>（二）一般公共预算财政拨款支出决算结构情况</w:t>
      </w:r>
      <w:bookmarkEnd w:id="33"/>
    </w:p>
    <w:p>
      <w:pPr>
        <w:spacing w:line="360" w:lineRule="auto"/>
        <w:ind w:firstLine="640" w:firstLineChars="200"/>
        <w:rPr>
          <w:rFonts w:ascii="仿宋_GB2312" w:eastAsia="仿宋_GB2312"/>
          <w:sz w:val="32"/>
          <w:szCs w:val="32"/>
        </w:rPr>
      </w:pPr>
      <w:r>
        <w:rPr>
          <w:rFonts w:hint="eastAsia" w:ascii="仿宋_GB2312" w:eastAsia="仿宋_GB2312"/>
          <w:sz w:val="32"/>
          <w:szCs w:val="32"/>
        </w:rPr>
        <w:t>2019年度一般公共预算财政拨款支出8329.96万元，主要用于以下方面：公共安全支出7473.66万元，占支出的</w:t>
      </w:r>
      <w:r>
        <w:rPr>
          <w:rFonts w:hint="eastAsia" w:ascii="仿宋_GB2312" w:eastAsia="仿宋_GB2312"/>
          <w:spacing w:val="10"/>
          <w:sz w:val="32"/>
          <w:szCs w:val="32"/>
        </w:rPr>
        <w:t>89.72</w:t>
      </w:r>
      <w:r>
        <w:rPr>
          <w:rFonts w:hint="eastAsia" w:ascii="仿宋_GB2312" w:eastAsia="仿宋_GB2312"/>
          <w:sz w:val="32"/>
          <w:szCs w:val="32"/>
        </w:rPr>
        <w:t>%；社会保障和就业支出333.50万元，占支出的</w:t>
      </w:r>
      <w:r>
        <w:rPr>
          <w:rFonts w:hint="eastAsia" w:ascii="仿宋_GB2312" w:eastAsia="仿宋_GB2312"/>
          <w:spacing w:val="10"/>
          <w:sz w:val="32"/>
          <w:szCs w:val="32"/>
        </w:rPr>
        <w:t>4.00</w:t>
      </w:r>
      <w:r>
        <w:rPr>
          <w:rFonts w:hint="eastAsia" w:ascii="仿宋_GB2312" w:eastAsia="仿宋_GB2312"/>
          <w:sz w:val="32"/>
          <w:szCs w:val="32"/>
        </w:rPr>
        <w:t>%；医疗卫生与计划生育支出144.80万元，占支出的</w:t>
      </w:r>
      <w:r>
        <w:rPr>
          <w:rFonts w:hint="eastAsia" w:ascii="仿宋_GB2312" w:eastAsia="仿宋_GB2312"/>
          <w:spacing w:val="10"/>
          <w:sz w:val="32"/>
          <w:szCs w:val="32"/>
        </w:rPr>
        <w:t>1.74</w:t>
      </w:r>
      <w:r>
        <w:rPr>
          <w:rFonts w:hint="eastAsia" w:ascii="仿宋_GB2312" w:eastAsia="仿宋_GB2312"/>
          <w:sz w:val="32"/>
          <w:szCs w:val="32"/>
        </w:rPr>
        <w:t>%；住房保障支出378.00万元，占支出的</w:t>
      </w:r>
      <w:r>
        <w:rPr>
          <w:rFonts w:hint="eastAsia" w:ascii="仿宋_GB2312" w:eastAsia="仿宋_GB2312"/>
          <w:spacing w:val="10"/>
          <w:sz w:val="32"/>
          <w:szCs w:val="32"/>
        </w:rPr>
        <w:t>4.54</w:t>
      </w:r>
      <w:r>
        <w:rPr>
          <w:rFonts w:hint="eastAsia" w:ascii="仿宋_GB2312" w:eastAsia="仿宋_GB2312"/>
          <w:sz w:val="32"/>
          <w:szCs w:val="32"/>
        </w:rPr>
        <w:t>%。</w:t>
      </w:r>
    </w:p>
    <w:p>
      <w:pPr>
        <w:spacing w:line="360" w:lineRule="auto"/>
        <w:ind w:firstLine="643" w:firstLineChars="200"/>
        <w:rPr>
          <w:rFonts w:ascii="楷体" w:hAnsi="楷体" w:eastAsia="楷体"/>
          <w:b/>
          <w:color w:val="000000"/>
          <w:sz w:val="32"/>
          <w:szCs w:val="32"/>
        </w:rPr>
      </w:pPr>
      <w:bookmarkStart w:id="34" w:name="_Toc15377212"/>
      <w:r>
        <w:rPr>
          <w:rFonts w:hint="eastAsia" w:ascii="楷体" w:hAnsi="楷体" w:eastAsia="楷体"/>
          <w:b/>
          <w:color w:val="000000"/>
          <w:sz w:val="32"/>
          <w:szCs w:val="32"/>
        </w:rPr>
        <w:t>（三）一般公共预算财政拨款支出决算具体情况</w:t>
      </w:r>
      <w:bookmarkEnd w:id="34"/>
    </w:p>
    <w:p>
      <w:pPr>
        <w:spacing w:line="360" w:lineRule="auto"/>
        <w:ind w:firstLine="640" w:firstLineChars="200"/>
        <w:rPr>
          <w:rFonts w:ascii="仿宋_GB2312" w:hAnsi="仿宋" w:eastAsia="仿宋_GB2312"/>
          <w:color w:val="000000" w:themeColor="text1"/>
          <w:sz w:val="32"/>
          <w:szCs w:val="32"/>
        </w:rPr>
      </w:pPr>
      <w:bookmarkStart w:id="35" w:name="_Toc15378460"/>
      <w:bookmarkStart w:id="36" w:name="_Toc15377213"/>
      <w:bookmarkStart w:id="37" w:name="_Toc15377444"/>
      <w:r>
        <w:rPr>
          <w:rFonts w:hint="eastAsia" w:ascii="仿宋_GB2312" w:hAnsi="仿宋" w:eastAsia="仿宋_GB2312"/>
          <w:color w:val="000000" w:themeColor="text1"/>
          <w:sz w:val="32"/>
          <w:szCs w:val="32"/>
        </w:rPr>
        <w:t>2019年一般公共预算支出决算数为8329.96万元，完成预算92.83%。其中：</w:t>
      </w:r>
      <w:bookmarkEnd w:id="35"/>
      <w:bookmarkEnd w:id="36"/>
      <w:bookmarkEnd w:id="37"/>
    </w:p>
    <w:p>
      <w:pPr>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1. 公共安全支出(类)公安（款）其他公安支出（项）：</w:t>
      </w:r>
      <w:r>
        <w:rPr>
          <w:rFonts w:hint="eastAsia" w:ascii="仿宋_GB2312" w:hAnsi="仿宋" w:eastAsia="仿宋_GB2312"/>
          <w:color w:val="000000" w:themeColor="text1"/>
          <w:sz w:val="32"/>
          <w:szCs w:val="32"/>
        </w:rPr>
        <w:t>支出决算为7473.65万元，完成预算92.07%；决算数小于预算数的主要原因是：一是城区交通管理设施建设经费年底才到账，部分资金尚未支付完毕，二是民警部分奖金因未完成考核，没有完成支付。</w:t>
      </w:r>
    </w:p>
    <w:p>
      <w:pPr>
        <w:spacing w:line="360" w:lineRule="auto"/>
        <w:ind w:firstLine="630" w:firstLineChars="196"/>
        <w:rPr>
          <w:rFonts w:ascii="仿宋_GB2312" w:hAnsi="仿宋" w:eastAsia="仿宋_GB2312"/>
          <w:color w:val="000000"/>
          <w:sz w:val="32"/>
          <w:szCs w:val="32"/>
        </w:rPr>
      </w:pPr>
      <w:r>
        <w:rPr>
          <w:rStyle w:val="15"/>
          <w:rFonts w:hint="eastAsia" w:ascii="仿宋_GB2312" w:hAnsi="仿宋" w:eastAsia="仿宋_GB2312"/>
          <w:bCs/>
          <w:color w:val="000000"/>
          <w:sz w:val="32"/>
          <w:szCs w:val="32"/>
        </w:rPr>
        <w:t>2.社会保障和就业支出（类）行政单位离退休（款）:其中：</w:t>
      </w:r>
      <w:r>
        <w:rPr>
          <w:rStyle w:val="15"/>
          <w:rFonts w:hint="eastAsia" w:ascii="仿宋_GB2312" w:hAnsi="仿宋" w:eastAsia="仿宋_GB2312"/>
          <w:color w:val="000000"/>
          <w:sz w:val="32"/>
          <w:szCs w:val="32"/>
        </w:rPr>
        <w:t>机关事业单位基本养老保险缴费（项）</w:t>
      </w:r>
      <w:r>
        <w:rPr>
          <w:rStyle w:val="15"/>
          <w:rFonts w:hint="eastAsia" w:ascii="仿宋_GB2312" w:hAnsi="仿宋" w:eastAsia="仿宋_GB2312"/>
          <w:b w:val="0"/>
          <w:bCs/>
          <w:color w:val="000000"/>
          <w:sz w:val="32"/>
          <w:szCs w:val="32"/>
        </w:rPr>
        <w:t>支出决算为324.09万元，完成预算100%；</w:t>
      </w:r>
      <w:r>
        <w:rPr>
          <w:rStyle w:val="15"/>
          <w:rFonts w:hint="eastAsia" w:ascii="仿宋_GB2312" w:hAnsi="仿宋" w:eastAsia="仿宋_GB2312"/>
          <w:color w:val="000000"/>
          <w:sz w:val="32"/>
          <w:szCs w:val="32"/>
        </w:rPr>
        <w:t>机关事业单位职业年金缴费（项）</w:t>
      </w:r>
      <w:r>
        <w:rPr>
          <w:rStyle w:val="15"/>
          <w:rFonts w:hint="eastAsia" w:ascii="仿宋_GB2312" w:hAnsi="仿宋" w:eastAsia="仿宋_GB2312"/>
          <w:b w:val="0"/>
          <w:bCs/>
          <w:color w:val="000000"/>
          <w:sz w:val="32"/>
          <w:szCs w:val="32"/>
        </w:rPr>
        <w:t>支出决算为9.41万元，完成预算100%.</w:t>
      </w:r>
    </w:p>
    <w:p>
      <w:pPr>
        <w:spacing w:line="360" w:lineRule="auto"/>
        <w:ind w:firstLine="630" w:firstLineChars="196"/>
        <w:rPr>
          <w:rFonts w:ascii="仿宋_GB2312" w:hAnsi="仿宋" w:eastAsia="仿宋_GB2312"/>
          <w:color w:val="000000"/>
          <w:sz w:val="32"/>
          <w:szCs w:val="32"/>
        </w:rPr>
      </w:pPr>
      <w:r>
        <w:rPr>
          <w:rStyle w:val="15"/>
          <w:rFonts w:hint="eastAsia" w:ascii="仿宋_GB2312" w:hAnsi="仿宋" w:eastAsia="仿宋_GB2312"/>
          <w:bCs/>
          <w:color w:val="000000"/>
          <w:sz w:val="32"/>
          <w:szCs w:val="32"/>
        </w:rPr>
        <w:t>3.卫生健康支出（类）行政事业单位医疗（款）行政单位医疗（项）:</w:t>
      </w:r>
      <w:r>
        <w:rPr>
          <w:rStyle w:val="15"/>
          <w:rFonts w:hint="eastAsia" w:ascii="仿宋_GB2312" w:hAnsi="仿宋" w:eastAsia="仿宋_GB2312"/>
          <w:b w:val="0"/>
          <w:bCs/>
          <w:color w:val="000000"/>
          <w:sz w:val="32"/>
          <w:szCs w:val="32"/>
        </w:rPr>
        <w:t>支出决算为144.80万元，完成预算100%。</w:t>
      </w:r>
    </w:p>
    <w:p>
      <w:pPr>
        <w:spacing w:line="360" w:lineRule="auto"/>
        <w:ind w:firstLine="630" w:firstLineChars="196"/>
        <w:rPr>
          <w:rFonts w:ascii="仿宋_GB2312" w:hAnsi="仿宋" w:eastAsia="仿宋_GB2312"/>
          <w:color w:val="000000"/>
          <w:sz w:val="32"/>
          <w:szCs w:val="32"/>
        </w:rPr>
      </w:pPr>
      <w:r>
        <w:rPr>
          <w:rStyle w:val="15"/>
          <w:rFonts w:hint="eastAsia" w:ascii="仿宋_GB2312" w:hAnsi="仿宋" w:eastAsia="仿宋_GB2312"/>
          <w:bCs/>
          <w:color w:val="000000"/>
          <w:sz w:val="32"/>
          <w:szCs w:val="32"/>
        </w:rPr>
        <w:t>4.住房保障支出（类）住房改革支出（款）住房公积金（项）:</w:t>
      </w:r>
      <w:r>
        <w:rPr>
          <w:rStyle w:val="15"/>
          <w:rFonts w:hint="eastAsia" w:ascii="仿宋_GB2312" w:hAnsi="仿宋" w:eastAsia="仿宋_GB2312"/>
          <w:b w:val="0"/>
          <w:bCs/>
          <w:color w:val="000000"/>
          <w:sz w:val="32"/>
          <w:szCs w:val="32"/>
        </w:rPr>
        <w:t>支出决算为378.00万元，完成预算100%。</w:t>
      </w:r>
    </w:p>
    <w:p>
      <w:pPr>
        <w:spacing w:line="360" w:lineRule="auto"/>
        <w:ind w:firstLine="640" w:firstLineChars="200"/>
        <w:rPr>
          <w:rStyle w:val="26"/>
          <w:rFonts w:ascii="黑体" w:hAnsi="黑体" w:eastAsia="黑体"/>
        </w:rPr>
      </w:pPr>
      <w:bookmarkStart w:id="38" w:name="_Toc15377214"/>
      <w:bookmarkStart w:id="39" w:name="_Toc15396608"/>
      <w:r>
        <w:rPr>
          <w:rFonts w:hint="eastAsia" w:ascii="黑体" w:hAnsi="黑体" w:eastAsia="黑体"/>
          <w:color w:val="000000"/>
          <w:sz w:val="32"/>
          <w:szCs w:val="32"/>
        </w:rPr>
        <w:t>六、一</w:t>
      </w:r>
      <w:r>
        <w:rPr>
          <w:rStyle w:val="26"/>
          <w:rFonts w:hint="eastAsia" w:ascii="黑体" w:hAnsi="黑体" w:eastAsia="黑体"/>
          <w:b w:val="0"/>
        </w:rPr>
        <w:t>般公共预算财政拨款基本支出决算情况说明</w:t>
      </w:r>
      <w:bookmarkEnd w:id="38"/>
      <w:bookmarkEnd w:id="39"/>
      <w:r>
        <w:rPr>
          <w:rStyle w:val="26"/>
          <w:rFonts w:hint="eastAsia" w:ascii="黑体" w:hAnsi="黑体" w:eastAsia="黑体"/>
          <w:b w:val="0"/>
        </w:rPr>
        <w:tab/>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2019年度一般公共预算财政拨款基本支出7262.28万元，其中：</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人员经费支出4435.99万元，主要包括：基本工资、津贴补贴、奖金、其他社会保障缴费，伙食补助，机关事业单位基本养老保险缴费，其他工资福利支出，生活补助，住房公积金，其他对个人和家庭的补助支出。</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公用经费支出2826.29万元，主要包括：办公费、印刷费、手续费、水费、电费、邮电费、物业管理费、差旅费、维修（护）费、租赁费、会议费、培训费、公务接待费、专用材料费、被装购置费、劳务费、委托业务费、工会经费、福利费、公务用车运行维护费、其他交通费，其他商品和服务支出。</w:t>
      </w:r>
    </w:p>
    <w:p>
      <w:pPr>
        <w:spacing w:line="360" w:lineRule="auto"/>
        <w:ind w:firstLine="640" w:firstLineChars="200"/>
        <w:rPr>
          <w:rStyle w:val="26"/>
          <w:rFonts w:ascii="黑体" w:hAnsi="黑体" w:eastAsia="黑体"/>
          <w:b w:val="0"/>
        </w:rPr>
      </w:pPr>
      <w:bookmarkStart w:id="40" w:name="_Toc15396609"/>
      <w:bookmarkStart w:id="41" w:name="_Toc15377215"/>
      <w:r>
        <w:rPr>
          <w:rFonts w:hint="eastAsia" w:ascii="黑体" w:hAns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0"/>
      <w:bookmarkEnd w:id="41"/>
    </w:p>
    <w:p>
      <w:pPr>
        <w:spacing w:line="360" w:lineRule="auto"/>
        <w:ind w:firstLine="643" w:firstLineChars="200"/>
        <w:rPr>
          <w:rFonts w:ascii="楷体" w:hAnsi="楷体" w:eastAsia="楷体"/>
          <w:b/>
          <w:color w:val="000000"/>
          <w:sz w:val="32"/>
          <w:szCs w:val="32"/>
        </w:rPr>
      </w:pPr>
      <w:bookmarkStart w:id="42" w:name="_Toc15377216"/>
      <w:r>
        <w:rPr>
          <w:rFonts w:hint="eastAsia" w:ascii="楷体" w:hAnsi="楷体" w:eastAsia="楷体"/>
          <w:b/>
          <w:color w:val="000000"/>
          <w:sz w:val="32"/>
          <w:szCs w:val="32"/>
        </w:rPr>
        <w:t>（一）“三公”经费财政拨款支出决算总体情况说明</w:t>
      </w:r>
      <w:bookmarkEnd w:id="42"/>
      <w:r>
        <w:rPr>
          <w:rFonts w:hint="eastAsia" w:ascii="楷体" w:hAnsi="楷体" w:eastAsia="楷体"/>
          <w:b/>
          <w:color w:val="000000"/>
          <w:sz w:val="32"/>
          <w:szCs w:val="32"/>
        </w:rPr>
        <w:t>。</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2019年“三公”经费财政拨款支出决算为262.77万元，完成年初预算的99.89%，决算数与预算数基本持平。</w:t>
      </w:r>
    </w:p>
    <w:p>
      <w:pPr>
        <w:spacing w:line="360" w:lineRule="auto"/>
        <w:ind w:firstLine="643" w:firstLineChars="200"/>
        <w:rPr>
          <w:rFonts w:ascii="楷体" w:hAnsi="楷体" w:eastAsia="楷体"/>
          <w:b/>
          <w:color w:val="000000"/>
          <w:sz w:val="32"/>
          <w:szCs w:val="32"/>
        </w:rPr>
      </w:pPr>
      <w:bookmarkStart w:id="43" w:name="_Toc15377217"/>
      <w:r>
        <w:rPr>
          <w:rFonts w:hint="eastAsia" w:ascii="楷体" w:hAnsi="楷体" w:eastAsia="楷体"/>
          <w:b/>
          <w:color w:val="000000"/>
          <w:sz w:val="32"/>
          <w:szCs w:val="32"/>
        </w:rPr>
        <w:t>（二）“三公”经费财政拨款支出决算具体情况说明</w:t>
      </w:r>
      <w:bookmarkEnd w:id="43"/>
      <w:r>
        <w:rPr>
          <w:rFonts w:hint="eastAsia" w:ascii="楷体" w:hAnsi="楷体" w:eastAsia="楷体"/>
          <w:b/>
          <w:color w:val="000000"/>
          <w:sz w:val="32"/>
          <w:szCs w:val="32"/>
        </w:rPr>
        <w:t>。</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2019年度“三公”经费财政拨款支出决算中，因公出国（境）费支出决算0万元；公务用车购置及运行维护费决算数258.05万元，占“三公”经费支出的98.20%；公务接待费决算数4.73万元，占“三公”经费支出的1.80%。</w:t>
      </w:r>
    </w:p>
    <w:p>
      <w:pPr>
        <w:spacing w:line="360" w:lineRule="auto"/>
        <w:ind w:firstLine="640" w:firstLineChars="200"/>
        <w:rPr>
          <w:rFonts w:ascii="仿宋_GB2312" w:eastAsia="仿宋_GB2312"/>
          <w:sz w:val="32"/>
          <w:szCs w:val="32"/>
        </w:rPr>
      </w:pPr>
      <w:r>
        <w:rPr>
          <w:rFonts w:hint="eastAsia" w:ascii="仿宋_GB2312" w:eastAsia="仿宋_GB2312"/>
          <w:color w:val="000000"/>
          <w:sz w:val="32"/>
          <w:szCs w:val="32"/>
        </w:rPr>
        <w:t>1.因公出国（境）经费支出0万元，</w:t>
      </w:r>
      <w:r>
        <w:rPr>
          <w:rFonts w:hint="eastAsia" w:ascii="仿宋_GB2312" w:eastAsia="仿宋_GB2312"/>
          <w:sz w:val="32"/>
          <w:szCs w:val="32"/>
        </w:rPr>
        <w:t>2019年因公出国（境）费支出决算与2018年决算数持平。</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2.公务用车购置及运行维护费支出258.05万元,</w:t>
      </w:r>
      <w:r>
        <w:rPr>
          <w:rStyle w:val="15"/>
          <w:rFonts w:hint="eastAsia" w:ascii="仿宋_GB2312" w:hAnsi="仿宋" w:eastAsia="仿宋_GB2312"/>
          <w:b w:val="0"/>
          <w:bCs/>
          <w:color w:val="000000"/>
          <w:sz w:val="32"/>
          <w:szCs w:val="32"/>
        </w:rPr>
        <w:t>完成预算100%。</w:t>
      </w:r>
      <w:r>
        <w:rPr>
          <w:rFonts w:hint="eastAsia" w:ascii="仿宋_GB2312" w:eastAsia="仿宋_GB2312"/>
          <w:color w:val="000000"/>
          <w:sz w:val="32"/>
          <w:szCs w:val="32"/>
        </w:rPr>
        <w:t>公务用车购置及运行维护费支出决算比2018年减少25.58万元，下降9.02%。主要原因是2019年无车辆购置支出。</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其中：公务用车购置支出0万元。截至2019年12月底，单位共有公务用车195辆，其中：</w:t>
      </w:r>
      <w:r>
        <w:rPr>
          <w:rFonts w:hint="eastAsia" w:ascii="仿宋_GB2312" w:hAnsi="仿宋" w:eastAsia="仿宋_GB2312" w:cs="仿宋_GB2312"/>
          <w:color w:val="000000"/>
          <w:sz w:val="32"/>
          <w:szCs w:val="32"/>
        </w:rPr>
        <w:t>执勤执法用车48辆，特种车辆9辆，摩托车138辆。</w:t>
      </w:r>
    </w:p>
    <w:p>
      <w:pPr>
        <w:spacing w:line="360" w:lineRule="auto"/>
        <w:ind w:firstLine="640" w:firstLineChars="200"/>
        <w:rPr>
          <w:rFonts w:ascii="仿宋_GB2312" w:eastAsia="仿宋_GB2312"/>
          <w:sz w:val="32"/>
          <w:szCs w:val="32"/>
        </w:rPr>
      </w:pPr>
      <w:r>
        <w:rPr>
          <w:rFonts w:hint="eastAsia" w:ascii="仿宋_GB2312" w:eastAsia="仿宋_GB2312"/>
          <w:color w:val="000000"/>
          <w:sz w:val="32"/>
          <w:szCs w:val="32"/>
        </w:rPr>
        <w:t>公务用车运行维护费支出258.05万元。</w:t>
      </w:r>
      <w:r>
        <w:rPr>
          <w:rFonts w:hint="eastAsia" w:ascii="仿宋_GB2312" w:eastAsia="仿宋_GB2312"/>
          <w:sz w:val="32"/>
          <w:szCs w:val="32"/>
        </w:rPr>
        <w:t>用于城区巡逻检查、处理事故、警卫开道、出差等所需的公务用车燃料费、维修费、过路过桥费、保险费支出。</w:t>
      </w:r>
    </w:p>
    <w:p>
      <w:pPr>
        <w:spacing w:line="360" w:lineRule="auto"/>
        <w:ind w:firstLine="640" w:firstLineChars="200"/>
        <w:rPr>
          <w:rFonts w:ascii="仿宋_GB2312" w:hAnsi="仿宋" w:eastAsia="仿宋_GB2312" w:cs="仿宋_GB2312"/>
          <w:color w:val="000000"/>
          <w:sz w:val="32"/>
          <w:szCs w:val="32"/>
        </w:rPr>
      </w:pPr>
      <w:r>
        <w:rPr>
          <w:rFonts w:hint="eastAsia" w:ascii="仿宋_GB2312" w:eastAsia="仿宋_GB2312"/>
          <w:color w:val="000000"/>
          <w:sz w:val="32"/>
          <w:szCs w:val="32"/>
        </w:rPr>
        <w:t>3.公务接待费支出4.73万元，与预算基本持平</w:t>
      </w:r>
      <w:r>
        <w:rPr>
          <w:rStyle w:val="15"/>
          <w:rFonts w:hint="eastAsia" w:ascii="仿宋_GB2312" w:hAnsi="仿宋" w:eastAsia="仿宋_GB2312"/>
          <w:b w:val="0"/>
          <w:bCs/>
          <w:color w:val="000000"/>
          <w:sz w:val="32"/>
          <w:szCs w:val="32"/>
        </w:rPr>
        <w:t>。</w:t>
      </w:r>
      <w:r>
        <w:rPr>
          <w:rFonts w:hint="eastAsia" w:ascii="仿宋_GB2312" w:eastAsia="仿宋_GB2312"/>
          <w:color w:val="000000"/>
          <w:sz w:val="32"/>
          <w:szCs w:val="32"/>
        </w:rPr>
        <w:t>公务接待费支出决算比2018年减少4.64万元，下降50.48%。</w:t>
      </w:r>
      <w:r>
        <w:rPr>
          <w:rFonts w:hint="eastAsia" w:ascii="仿宋_GB2312" w:hAnsi="仿宋" w:eastAsia="仿宋_GB2312" w:cs="仿宋_GB2312"/>
          <w:color w:val="000000"/>
          <w:sz w:val="32"/>
          <w:szCs w:val="32"/>
        </w:rPr>
        <w:t>下降的主要原因是积极响应政府压缩公用经费的号召，大力压     缩公务接待支出，其中：</w:t>
      </w:r>
    </w:p>
    <w:p>
      <w:pPr>
        <w:spacing w:line="360" w:lineRule="auto"/>
        <w:ind w:firstLine="640" w:firstLineChars="200"/>
        <w:rPr>
          <w:rFonts w:ascii="仿宋_GB2312" w:eastAsia="仿宋_GB2312"/>
          <w:sz w:val="32"/>
          <w:szCs w:val="32"/>
        </w:rPr>
      </w:pPr>
      <w:r>
        <w:rPr>
          <w:rFonts w:hint="eastAsia" w:ascii="仿宋_GB2312" w:hAnsi="仿宋" w:eastAsia="仿宋_GB2312"/>
          <w:color w:val="000000"/>
          <w:sz w:val="32"/>
          <w:szCs w:val="32"/>
        </w:rPr>
        <w:t>国内公务接待支出4.73</w:t>
      </w:r>
      <w:r>
        <w:rPr>
          <w:rFonts w:hint="eastAsia" w:ascii="仿宋_GB2312" w:eastAsia="仿宋_GB2312"/>
          <w:color w:val="000000"/>
          <w:sz w:val="32"/>
          <w:szCs w:val="32"/>
        </w:rPr>
        <w:t>万元，</w:t>
      </w:r>
      <w:r>
        <w:rPr>
          <w:rFonts w:hint="eastAsia" w:ascii="仿宋_GB2312" w:eastAsia="仿宋_GB2312"/>
          <w:sz w:val="32"/>
          <w:szCs w:val="32"/>
        </w:rPr>
        <w:t>公务接待费主要用于执行公务、开展业务活动开支的交通费、住宿费、用餐费等。其中：</w:t>
      </w:r>
      <w:r>
        <w:rPr>
          <w:rFonts w:hint="eastAsia" w:ascii="仿宋_GB2312" w:eastAsia="仿宋_GB2312"/>
          <w:color w:val="000000"/>
          <w:sz w:val="32"/>
          <w:szCs w:val="32"/>
        </w:rPr>
        <w:t>国内公务接待38批次，280人次（不包括陪同人员），共计支出4.73万元，</w:t>
      </w:r>
      <w:r>
        <w:rPr>
          <w:rFonts w:hint="eastAsia" w:ascii="仿宋_GB2312" w:eastAsia="仿宋_GB2312"/>
          <w:sz w:val="32"/>
          <w:szCs w:val="32"/>
        </w:rPr>
        <w:t>具体开支内容包括：接待上级单位检查工作人员支出1.75万元，接待其他省市交警学习交流人员支出1.4万元，接待下级交警大队办事民警支出1.58万元。</w:t>
      </w:r>
    </w:p>
    <w:p>
      <w:pPr>
        <w:spacing w:line="360" w:lineRule="auto"/>
        <w:ind w:firstLine="640" w:firstLineChars="200"/>
        <w:rPr>
          <w:rFonts w:ascii="仿宋_GB2312" w:eastAsia="仿宋_GB2312"/>
          <w:color w:val="000000" w:themeColor="text1"/>
          <w:sz w:val="32"/>
          <w:szCs w:val="32"/>
        </w:rPr>
      </w:pPr>
      <w:r>
        <w:rPr>
          <w:rFonts w:hint="eastAsia" w:ascii="仿宋_GB2312" w:hAnsi="仿宋" w:eastAsia="仿宋_GB2312"/>
          <w:color w:val="000000"/>
          <w:sz w:val="32"/>
          <w:szCs w:val="32"/>
        </w:rPr>
        <w:t>外事接待支出0</w:t>
      </w:r>
      <w:r>
        <w:rPr>
          <w:rFonts w:hint="eastAsia" w:ascii="仿宋_GB2312" w:eastAsia="仿宋_GB2312"/>
          <w:color w:val="000000"/>
          <w:sz w:val="32"/>
          <w:szCs w:val="32"/>
        </w:rPr>
        <w:t>元</w:t>
      </w:r>
      <w:r>
        <w:rPr>
          <w:rFonts w:hint="eastAsia" w:ascii="仿宋_GB2312" w:eastAsia="仿宋_GB2312"/>
          <w:color w:val="000000" w:themeColor="text1"/>
          <w:sz w:val="32"/>
          <w:szCs w:val="32"/>
        </w:rPr>
        <w:t xml:space="preserve">。 </w:t>
      </w:r>
      <w:bookmarkStart w:id="44" w:name="_Toc15396610"/>
      <w:bookmarkStart w:id="45" w:name="_Toc15377218"/>
    </w:p>
    <w:p>
      <w:pPr>
        <w:spacing w:line="360" w:lineRule="auto"/>
        <w:ind w:firstLine="640" w:firstLineChars="200"/>
        <w:rPr>
          <w:rStyle w:val="26"/>
          <w:rFonts w:ascii="黑体" w:hAnsi="黑体" w:eastAsia="黑体"/>
        </w:rPr>
      </w:pPr>
      <w:r>
        <w:rPr>
          <w:rFonts w:hint="eastAsia" w:ascii="黑体" w:hAnsi="黑体" w:eastAsia="黑体"/>
          <w:color w:val="000000"/>
          <w:sz w:val="32"/>
          <w:szCs w:val="32"/>
        </w:rPr>
        <w:t>八、</w:t>
      </w:r>
      <w:r>
        <w:rPr>
          <w:rStyle w:val="26"/>
          <w:rFonts w:hint="eastAsia" w:ascii="黑体" w:hAnsi="黑体" w:eastAsia="黑体"/>
          <w:b w:val="0"/>
        </w:rPr>
        <w:t>政府性基金预算支出决算情况说明</w:t>
      </w:r>
      <w:bookmarkEnd w:id="44"/>
      <w:bookmarkEnd w:id="45"/>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2019年政府性基金预算拨款支出300万元。</w:t>
      </w:r>
    </w:p>
    <w:p>
      <w:pPr>
        <w:spacing w:line="360" w:lineRule="auto"/>
        <w:ind w:firstLine="640" w:firstLineChars="200"/>
        <w:rPr>
          <w:rStyle w:val="26"/>
          <w:rFonts w:ascii="黑体" w:hAnsi="黑体" w:eastAsia="黑体"/>
          <w:b w:val="0"/>
        </w:rPr>
      </w:pPr>
      <w:bookmarkStart w:id="46" w:name="_Toc15396611"/>
      <w:bookmarkStart w:id="47" w:name="_Toc15377219"/>
      <w:r>
        <w:rPr>
          <w:rStyle w:val="26"/>
          <w:rFonts w:hint="eastAsia" w:ascii="黑体" w:hAnsi="黑体" w:eastAsia="黑体"/>
          <w:b w:val="0"/>
        </w:rPr>
        <w:t>九、国有资本经营预算支出决算情况说明</w:t>
      </w:r>
      <w:bookmarkEnd w:id="46"/>
      <w:bookmarkEnd w:id="47"/>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2019年国有资本经营预算拨款支出0万元。</w:t>
      </w:r>
    </w:p>
    <w:p>
      <w:pPr>
        <w:spacing w:line="360" w:lineRule="auto"/>
        <w:ind w:firstLine="643" w:firstLineChars="200"/>
        <w:rPr>
          <w:rStyle w:val="26"/>
          <w:rFonts w:ascii="黑体" w:hAnsi="黑体" w:eastAsia="黑体"/>
          <w:b w:val="0"/>
        </w:rPr>
      </w:pPr>
      <w:bookmarkStart w:id="48" w:name="_Toc15396612"/>
      <w:bookmarkStart w:id="49" w:name="_Toc15377221"/>
      <w:r>
        <w:rPr>
          <w:rStyle w:val="26"/>
          <w:rFonts w:hint="eastAsia" w:ascii="黑体" w:hAnsi="黑体" w:eastAsia="黑体"/>
        </w:rPr>
        <w:t>十</w:t>
      </w:r>
      <w:r>
        <w:rPr>
          <w:rStyle w:val="26"/>
          <w:rFonts w:hint="eastAsia" w:ascii="黑体" w:hAnsi="黑体" w:eastAsia="黑体"/>
          <w:b w:val="0"/>
        </w:rPr>
        <w:t>、其他重要事项的情况说明</w:t>
      </w:r>
      <w:bookmarkEnd w:id="48"/>
      <w:bookmarkEnd w:id="49"/>
    </w:p>
    <w:p>
      <w:pPr>
        <w:spacing w:line="360" w:lineRule="auto"/>
        <w:ind w:firstLine="643" w:firstLineChars="200"/>
        <w:rPr>
          <w:rFonts w:ascii="楷体" w:hAnsi="楷体" w:eastAsia="楷体"/>
          <w:b/>
          <w:color w:val="000000"/>
          <w:sz w:val="32"/>
          <w:szCs w:val="32"/>
        </w:rPr>
      </w:pPr>
      <w:bookmarkStart w:id="50" w:name="_Toc15377222"/>
      <w:r>
        <w:rPr>
          <w:rFonts w:hint="eastAsia" w:ascii="楷体" w:hAnsi="楷体" w:eastAsia="楷体"/>
          <w:b/>
          <w:color w:val="000000"/>
          <w:sz w:val="32"/>
          <w:szCs w:val="32"/>
        </w:rPr>
        <w:t>（一）机关运行经费支出情况</w:t>
      </w:r>
      <w:bookmarkEnd w:id="50"/>
      <w:r>
        <w:rPr>
          <w:rFonts w:hint="eastAsia" w:ascii="楷体" w:hAnsi="楷体" w:eastAsia="楷体"/>
          <w:b/>
          <w:color w:val="000000"/>
          <w:sz w:val="32"/>
          <w:szCs w:val="32"/>
        </w:rPr>
        <w:t>。</w:t>
      </w:r>
    </w:p>
    <w:p>
      <w:pPr>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s="仿宋_GB2312"/>
          <w:color w:val="000000"/>
          <w:sz w:val="32"/>
          <w:szCs w:val="32"/>
        </w:rPr>
        <w:t>2019年机关运行经费支出2826.29万元，比2018年增加33.49万元，增长1.19%增加的主要原因是：协警员保险保险标准上调，导致劳务费支出增加。</w:t>
      </w:r>
    </w:p>
    <w:p>
      <w:pPr>
        <w:spacing w:line="360" w:lineRule="auto"/>
        <w:ind w:firstLine="643" w:firstLineChars="200"/>
        <w:rPr>
          <w:rFonts w:ascii="楷体" w:hAnsi="楷体" w:eastAsia="楷体"/>
          <w:b/>
          <w:color w:val="000000"/>
          <w:sz w:val="32"/>
          <w:szCs w:val="32"/>
        </w:rPr>
      </w:pPr>
      <w:bookmarkStart w:id="51" w:name="_Toc15377223"/>
      <w:r>
        <w:rPr>
          <w:rFonts w:hint="eastAsia" w:ascii="楷体" w:hAnsi="楷体" w:eastAsia="楷体"/>
          <w:b/>
          <w:color w:val="000000"/>
          <w:sz w:val="32"/>
          <w:szCs w:val="32"/>
        </w:rPr>
        <w:t>（二）政府采购支出情况</w:t>
      </w:r>
      <w:bookmarkEnd w:id="51"/>
      <w:r>
        <w:rPr>
          <w:rFonts w:hint="eastAsia" w:ascii="楷体" w:hAnsi="楷体" w:eastAsia="楷体"/>
          <w:b/>
          <w:color w:val="000000"/>
          <w:sz w:val="32"/>
          <w:szCs w:val="32"/>
        </w:rPr>
        <w:t>。</w:t>
      </w:r>
    </w:p>
    <w:p>
      <w:pPr>
        <w:spacing w:line="360" w:lineRule="auto"/>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2019年政府采购支出922.15万元，其中：政府采购货物支出794.43万元，政府采购服务支出127.72万元。主要用于执勤执法装备购置、城区交通管理设施维护和建设、车管业务、违法处理等。授于小微企业合同金额794.43万元，</w:t>
      </w:r>
      <w:r>
        <w:rPr>
          <w:rFonts w:hint="eastAsia" w:ascii="仿宋_GB2312" w:eastAsia="仿宋_GB2312"/>
          <w:color w:val="000000"/>
          <w:sz w:val="32"/>
          <w:szCs w:val="32"/>
        </w:rPr>
        <w:t>占政府采购支出总额的86.14%</w:t>
      </w:r>
      <w:r>
        <w:rPr>
          <w:rFonts w:hint="eastAsia" w:ascii="仿宋_GB2312" w:hAnsi="仿宋" w:eastAsia="仿宋_GB2312" w:cs="仿宋_GB2312"/>
          <w:color w:val="000000"/>
          <w:sz w:val="32"/>
          <w:szCs w:val="32"/>
        </w:rPr>
        <w:t>。</w:t>
      </w:r>
    </w:p>
    <w:p>
      <w:pPr>
        <w:spacing w:line="360" w:lineRule="auto"/>
        <w:ind w:firstLine="643" w:firstLineChars="200"/>
        <w:rPr>
          <w:rFonts w:ascii="楷体" w:hAnsi="楷体" w:eastAsia="楷体"/>
          <w:b/>
          <w:color w:val="000000"/>
          <w:sz w:val="32"/>
          <w:szCs w:val="32"/>
        </w:rPr>
      </w:pPr>
      <w:bookmarkStart w:id="52" w:name="_Toc15377224"/>
      <w:r>
        <w:rPr>
          <w:rFonts w:hint="eastAsia" w:ascii="楷体" w:hAnsi="楷体" w:eastAsia="楷体"/>
          <w:b/>
          <w:color w:val="000000"/>
          <w:sz w:val="32"/>
          <w:szCs w:val="32"/>
        </w:rPr>
        <w:t>（三）国有资产占有使用情况</w:t>
      </w:r>
      <w:bookmarkEnd w:id="52"/>
      <w:r>
        <w:rPr>
          <w:rFonts w:hint="eastAsia" w:ascii="楷体" w:hAnsi="楷体" w:eastAsia="楷体"/>
          <w:b/>
          <w:color w:val="000000"/>
          <w:sz w:val="32"/>
          <w:szCs w:val="32"/>
        </w:rPr>
        <w:t>。</w:t>
      </w:r>
    </w:p>
    <w:p>
      <w:pPr>
        <w:spacing w:line="360" w:lineRule="auto"/>
        <w:ind w:firstLine="640" w:firstLineChars="200"/>
        <w:rPr>
          <w:rFonts w:ascii="仿宋_GB2312" w:eastAsia="仿宋_GB2312"/>
          <w:sz w:val="32"/>
          <w:szCs w:val="32"/>
        </w:rPr>
      </w:pPr>
      <w:r>
        <w:rPr>
          <w:rFonts w:hint="eastAsia" w:ascii="仿宋_GB2312" w:eastAsia="仿宋_GB2312"/>
          <w:color w:val="000000"/>
          <w:sz w:val="32"/>
          <w:szCs w:val="32"/>
        </w:rPr>
        <w:t>截至2019年12月31日，交警支队共有车辆195辆，其中：</w:t>
      </w:r>
      <w:r>
        <w:rPr>
          <w:rFonts w:hint="eastAsia" w:ascii="仿宋_GB2312" w:hAnsi="仿宋" w:eastAsia="仿宋_GB2312" w:cs="仿宋_GB2312"/>
          <w:color w:val="000000"/>
          <w:sz w:val="32"/>
          <w:szCs w:val="32"/>
        </w:rPr>
        <w:t>执勤执法用车48辆，特种车辆9辆，摩托车138辆。主要</w:t>
      </w:r>
      <w:r>
        <w:rPr>
          <w:rFonts w:hint="eastAsia" w:ascii="仿宋_GB2312" w:eastAsia="仿宋_GB2312"/>
          <w:sz w:val="32"/>
          <w:szCs w:val="32"/>
        </w:rPr>
        <w:t>用于城区巡逻检查、处理事故、警卫开道、出差等，</w:t>
      </w:r>
      <w:r>
        <w:rPr>
          <w:rFonts w:hint="eastAsia" w:ascii="仿宋_GB2312" w:eastAsia="仿宋_GB2312"/>
          <w:color w:val="000000" w:themeColor="text1"/>
          <w:sz w:val="32"/>
          <w:szCs w:val="32"/>
        </w:rPr>
        <w:t>单价50万元以上通用设备9台（套），单价100</w:t>
      </w:r>
      <w:r>
        <w:rPr>
          <w:rFonts w:hint="eastAsia" w:ascii="仿宋_GB2312" w:eastAsia="仿宋_GB2312"/>
          <w:color w:val="000000"/>
          <w:sz w:val="32"/>
          <w:szCs w:val="32"/>
        </w:rPr>
        <w:t>万元以上专用设备2台（套）。</w:t>
      </w:r>
    </w:p>
    <w:p>
      <w:pPr>
        <w:spacing w:line="360" w:lineRule="auto"/>
        <w:ind w:firstLine="643" w:firstLineChars="200"/>
        <w:rPr>
          <w:rFonts w:ascii="楷体" w:hAnsi="楷体" w:eastAsia="楷体"/>
          <w:b/>
          <w:color w:val="000000"/>
          <w:sz w:val="32"/>
          <w:szCs w:val="32"/>
        </w:rPr>
      </w:pPr>
      <w:r>
        <w:rPr>
          <w:rFonts w:hint="eastAsia" w:ascii="楷体" w:hAnsi="楷体" w:eastAsia="楷体"/>
          <w:b/>
          <w:color w:val="000000"/>
          <w:sz w:val="32"/>
          <w:szCs w:val="32"/>
        </w:rPr>
        <w:t>（四）预算绩效管理情况。</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根据预算绩效管理要求，本单位在年初预算编制阶段，组织对9个项目编制了绩效目标，预算执行过程中，选取5个项目开展绩效监控，年终执行完毕后，对5个项目开展了绩效目标完成情况自评。</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部门整体预算执行情况较好，无超预算、无预算安排开支费用。本部门还自行组织了5个项目绩效评价，从评价情况来看，项目的预算资金管理科学合理，使用规范，完成了项目的既定目标，达到了预期使用效果。</w:t>
      </w:r>
    </w:p>
    <w:p>
      <w:pPr>
        <w:spacing w:line="360" w:lineRule="auto"/>
        <w:ind w:firstLine="643" w:firstLineChars="200"/>
        <w:rPr>
          <w:rFonts w:ascii="仿宋_GB2312" w:hAnsi="楷体_GB2312" w:eastAsia="仿宋_GB2312" w:cs="楷体_GB2312"/>
          <w:sz w:val="32"/>
          <w:szCs w:val="32"/>
        </w:rPr>
      </w:pPr>
      <w:r>
        <w:rPr>
          <w:rFonts w:hint="eastAsia" w:ascii="仿宋_GB2312" w:hAnsi="楷体_GB2312" w:eastAsia="仿宋_GB2312" w:cs="楷体_GB2312"/>
          <w:b/>
          <w:bCs/>
          <w:sz w:val="32"/>
          <w:szCs w:val="32"/>
        </w:rPr>
        <w:t>1.项目绩效目标完成情况。</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在2019年度部门决算中反映“交通安全宣传费””交通事故处理成本”“事故车辆检测费”“城区交通管理设施购置和维护费”“道路交通事故救助基金管理中心工作经费”等5个项目绩效目标实际完成情况。</w:t>
      </w:r>
    </w:p>
    <w:p>
      <w:pPr>
        <w:spacing w:line="360" w:lineRule="auto"/>
        <w:ind w:firstLine="643" w:firstLineChars="200"/>
        <w:rPr>
          <w:rFonts w:ascii="仿宋_GB2312" w:hAnsi="仿宋_GB2312" w:eastAsia="仿宋_GB2312" w:cs="仿宋_GB2312"/>
          <w:sz w:val="32"/>
          <w:szCs w:val="32"/>
        </w:rPr>
      </w:pPr>
      <w:r>
        <w:rPr>
          <w:rFonts w:hint="eastAsia" w:cs="仿宋_GB2312" w:asciiTheme="minorEastAsia" w:hAnsiTheme="minorEastAsia" w:eastAsiaTheme="minorEastAsia"/>
          <w:b/>
          <w:sz w:val="32"/>
          <w:szCs w:val="32"/>
        </w:rPr>
        <w:t>（1）交通安全宣传费项目绩效目标完成情况综述。</w:t>
      </w:r>
      <w:r>
        <w:rPr>
          <w:rFonts w:hint="eastAsia" w:ascii="仿宋_GB2312" w:hAnsi="仿宋_GB2312" w:eastAsia="仿宋_GB2312" w:cs="仿宋_GB2312"/>
          <w:sz w:val="32"/>
          <w:szCs w:val="32"/>
        </w:rPr>
        <w:t>项目全年预算数86.00元，执行数为86.00万元，完成预算的100%。通过项目实施，极大提升了交通参与者的素质交通安全形势明显趋好，交通事故成逐年下降趋势。发现的主要问题：虽然交通安全宣传力度逐年加大，但还是有许多交通参与者交通安全意识淡薄，特别是非机车驾驶员和行人。下一步改进措施：加大安全宣传力度，提高广大交通参与者的安全意识。</w:t>
      </w:r>
    </w:p>
    <w:p>
      <w:pPr>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229" w:type="dxa"/>
        <w:tblInd w:w="0" w:type="dxa"/>
        <w:tblLayout w:type="fixed"/>
        <w:tblCellMar>
          <w:top w:w="0" w:type="dxa"/>
          <w:left w:w="0" w:type="dxa"/>
          <w:bottom w:w="0" w:type="dxa"/>
          <w:right w:w="0" w:type="dxa"/>
        </w:tblCellMar>
      </w:tblPr>
      <w:tblGrid>
        <w:gridCol w:w="390"/>
        <w:gridCol w:w="1367"/>
        <w:gridCol w:w="1025"/>
        <w:gridCol w:w="2053"/>
        <w:gridCol w:w="2410"/>
        <w:gridCol w:w="323"/>
        <w:gridCol w:w="1661"/>
      </w:tblGrid>
      <w:tr>
        <w:tblPrEx>
          <w:tblCellMar>
            <w:top w:w="0" w:type="dxa"/>
            <w:left w:w="0" w:type="dxa"/>
            <w:bottom w:w="0" w:type="dxa"/>
            <w:right w:w="0" w:type="dxa"/>
          </w:tblCellMar>
        </w:tblPrEx>
        <w:trPr>
          <w:trHeight w:val="1034" w:hRule="atLeast"/>
        </w:trPr>
        <w:tc>
          <w:tcPr>
            <w:tcW w:w="9229" w:type="dxa"/>
            <w:gridSpan w:val="7"/>
            <w:tcMar>
              <w:top w:w="15" w:type="dxa"/>
              <w:left w:w="15" w:type="dxa"/>
              <w:bottom w:w="0" w:type="dxa"/>
              <w:right w:w="15" w:type="dxa"/>
            </w:tcMar>
            <w:vAlign w:val="center"/>
          </w:tcPr>
          <w:p>
            <w:pPr>
              <w:jc w:val="center"/>
              <w:rPr>
                <w:rFonts w:ascii="黑体" w:hAnsi="黑体" w:eastAsia="黑体"/>
                <w:kern w:val="0"/>
                <w:sz w:val="32"/>
              </w:rPr>
            </w:pPr>
            <w:r>
              <w:rPr>
                <w:rFonts w:hint="eastAsia" w:ascii="黑体" w:hAnsi="黑体" w:eastAsia="黑体"/>
                <w:kern w:val="0"/>
                <w:sz w:val="32"/>
              </w:rPr>
              <w:t>项目支出绩效目标完成情况表</w:t>
            </w:r>
          </w:p>
          <w:p>
            <w:pPr>
              <w:jc w:val="center"/>
              <w:rPr>
                <w:rFonts w:ascii="宋体" w:hAnsi="宋体"/>
                <w:sz w:val="36"/>
                <w:szCs w:val="36"/>
              </w:rPr>
            </w:pPr>
            <w:r>
              <w:rPr>
                <w:rFonts w:hint="eastAsia" w:ascii="仿宋_GB2312" w:hAnsi="宋体" w:eastAsia="仿宋_GB2312"/>
                <w:kern w:val="0"/>
                <w:sz w:val="28"/>
              </w:rPr>
              <w:t>(2019年度)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644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交通安全宣传费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644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广元市公安局交通警察支队</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86</w:t>
            </w:r>
          </w:p>
        </w:tc>
        <w:tc>
          <w:tcPr>
            <w:tcW w:w="273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16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86</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86</w:t>
            </w:r>
          </w:p>
        </w:tc>
        <w:tc>
          <w:tcPr>
            <w:tcW w:w="273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6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86</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73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6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44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39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44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 xml:space="preserve">  通过报纸、电台、电视台、互联网等宣传交通安全知识，提升交通参与者的素质。</w:t>
            </w:r>
          </w:p>
          <w:p>
            <w:pPr>
              <w:widowControl/>
              <w:jc w:val="center"/>
              <w:textAlignment w:val="center"/>
              <w:rPr>
                <w:rFonts w:ascii="宋体" w:hAnsi="宋体" w:cs="宋体"/>
                <w:color w:val="000000"/>
                <w:sz w:val="24"/>
              </w:rPr>
            </w:pPr>
          </w:p>
        </w:tc>
        <w:tc>
          <w:tcPr>
            <w:tcW w:w="439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通过报纸、电台、电视台、互联网等宣传交通安全知识，实时开展了“大曝光”、“大警示”、“大直播”等宣传行动，曝光典型案例，公布终身禁驾人员，举办交通安全宣传，开展执法大直播，极大提升了交通参与者的素质。</w:t>
            </w:r>
          </w:p>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1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55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p>
          <w:p>
            <w:pPr>
              <w:rPr>
                <w:rFonts w:ascii="宋体" w:hAnsi="宋体" w:cs="宋体"/>
                <w:sz w:val="24"/>
              </w:rPr>
            </w:pPr>
            <w:r>
              <w:rPr>
                <w:rFonts w:hint="eastAsia" w:ascii="宋体" w:hAnsi="宋体" w:cs="宋体"/>
                <w:sz w:val="24"/>
              </w:rPr>
              <w:t>数量指标</w:t>
            </w:r>
          </w:p>
          <w:p>
            <w:pPr>
              <w:rPr>
                <w:rFonts w:ascii="宋体" w:hAnsi="宋体" w:cs="宋体"/>
                <w:sz w:val="24"/>
              </w:rPr>
            </w:pP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典型案例曝光率</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曝光典型案例500起</w:t>
            </w:r>
          </w:p>
        </w:tc>
        <w:tc>
          <w:tcPr>
            <w:tcW w:w="1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曝光典型案例600余起</w:t>
            </w:r>
          </w:p>
        </w:tc>
      </w:tr>
      <w:tr>
        <w:tblPrEx>
          <w:tblCellMar>
            <w:top w:w="0" w:type="dxa"/>
            <w:left w:w="0" w:type="dxa"/>
            <w:bottom w:w="0" w:type="dxa"/>
            <w:right w:w="0" w:type="dxa"/>
          </w:tblCellMar>
        </w:tblPrEx>
        <w:trPr>
          <w:trHeight w:val="82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color w:val="000000"/>
                <w:sz w:val="24"/>
              </w:rPr>
            </w:pPr>
          </w:p>
        </w:tc>
        <w:tc>
          <w:tcPr>
            <w:tcW w:w="1025" w:type="dxa"/>
            <w:vMerge w:val="continue"/>
            <w:tcBorders>
              <w:left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举办现场交通安全宣传</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举办现场交通安全宣传100次</w:t>
            </w:r>
          </w:p>
        </w:tc>
        <w:tc>
          <w:tcPr>
            <w:tcW w:w="1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举办现场交通安全宣传110余次</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color w:val="000000"/>
                <w:sz w:val="24"/>
              </w:rPr>
            </w:pP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推送宣传短信</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推送宣传短信40万条</w:t>
            </w:r>
          </w:p>
        </w:tc>
        <w:tc>
          <w:tcPr>
            <w:tcW w:w="1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推送宣传短信50余万条</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color w:val="000000"/>
                <w:kern w:val="0"/>
                <w:sz w:val="24"/>
              </w:rPr>
            </w:pPr>
          </w:p>
        </w:tc>
        <w:tc>
          <w:tcPr>
            <w:tcW w:w="102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p>
            <w:pPr>
              <w:jc w:val="center"/>
              <w:textAlignment w:val="center"/>
              <w:rPr>
                <w:rFonts w:ascii="宋体" w:hAnsi="宋体" w:cs="宋体"/>
                <w:color w:val="000000"/>
                <w:sz w:val="24"/>
              </w:rPr>
            </w:pP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交通安全参与者的素质</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提高交通参与者的素质</w:t>
            </w:r>
          </w:p>
        </w:tc>
        <w:tc>
          <w:tcPr>
            <w:tcW w:w="1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大大提高了交通参与者的素质</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color w:val="000000"/>
                <w:sz w:val="24"/>
              </w:rPr>
            </w:pP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交通安全形势</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交通安全形势趋好，降低交通事故发生率。</w:t>
            </w:r>
          </w:p>
        </w:tc>
        <w:tc>
          <w:tcPr>
            <w:tcW w:w="1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交通安全形势明显趋好，交通事故成逐年下降趋势。</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时效指标</w:t>
            </w: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完成时间</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2019年12月31日</w:t>
            </w:r>
          </w:p>
        </w:tc>
        <w:tc>
          <w:tcPr>
            <w:tcW w:w="1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2019年12月31日</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p>
            <w:pPr>
              <w:jc w:val="center"/>
              <w:textAlignment w:val="center"/>
              <w:rPr>
                <w:rFonts w:ascii="宋体" w:hAnsi="宋体" w:cs="宋体"/>
                <w:color w:val="000000"/>
                <w:sz w:val="24"/>
              </w:rPr>
            </w:pPr>
          </w:p>
        </w:tc>
        <w:tc>
          <w:tcPr>
            <w:tcW w:w="102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社会效益</w:t>
            </w:r>
            <w:r>
              <w:rPr>
                <w:rFonts w:hint="eastAsia"/>
              </w:rPr>
              <w:br w:type="textWrapping"/>
            </w:r>
            <w:r>
              <w:rPr>
                <w:rFonts w:hint="eastAsia"/>
              </w:rPr>
              <w:t>指标</w:t>
            </w: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交通安全参与者的素质</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提高交通参与者的素质。</w:t>
            </w:r>
          </w:p>
        </w:tc>
        <w:tc>
          <w:tcPr>
            <w:tcW w:w="1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大大提高了交通参与者的素质</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rPr>
              <w:t>交通安全形势</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交通安全形势趋好，降低交通事故发生率。</w:t>
            </w:r>
          </w:p>
        </w:tc>
        <w:tc>
          <w:tcPr>
            <w:tcW w:w="1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交通安全形势明显趋好，交通事故成逐年下降趋势。</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群众满意度指标</w:t>
            </w: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交通参与者</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满意度达到100%。</w:t>
            </w:r>
          </w:p>
        </w:tc>
        <w:tc>
          <w:tcPr>
            <w:tcW w:w="1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rPr>
              <w:t>满意度达到95%以上。</w:t>
            </w:r>
          </w:p>
        </w:tc>
      </w:tr>
    </w:tbl>
    <w:p>
      <w:pPr>
        <w:spacing w:line="580" w:lineRule="exact"/>
        <w:rPr>
          <w:rFonts w:ascii="仿宋_GB2312" w:hAnsi="仿宋_GB2312" w:eastAsia="仿宋_GB2312" w:cs="仿宋_GB2312"/>
          <w:sz w:val="32"/>
          <w:szCs w:val="32"/>
        </w:rPr>
      </w:pPr>
    </w:p>
    <w:p>
      <w:pPr>
        <w:spacing w:line="580" w:lineRule="exact"/>
        <w:ind w:firstLine="482" w:firstLineChars="150"/>
        <w:rPr>
          <w:rFonts w:ascii="仿宋_GB2312" w:hAnsi="仿宋_GB2312" w:eastAsia="仿宋_GB2312" w:cs="仿宋_GB2312"/>
          <w:sz w:val="32"/>
          <w:szCs w:val="32"/>
        </w:rPr>
      </w:pPr>
      <w:r>
        <w:rPr>
          <w:rFonts w:hint="eastAsia" w:cs="仿宋_GB2312" w:asciiTheme="minorEastAsia" w:hAnsiTheme="minorEastAsia" w:eastAsiaTheme="minorEastAsia"/>
          <w:b/>
          <w:sz w:val="32"/>
          <w:szCs w:val="32"/>
        </w:rPr>
        <w:t>（2）交通事故处理成本项目绩效目标完成情况综述。</w:t>
      </w:r>
      <w:r>
        <w:rPr>
          <w:rFonts w:hint="eastAsia" w:ascii="仿宋_GB2312" w:hAnsi="仿宋_GB2312" w:eastAsia="仿宋_GB2312" w:cs="仿宋_GB2312"/>
          <w:sz w:val="32"/>
          <w:szCs w:val="32"/>
        </w:rPr>
        <w:t>项目全年预算数84.00万元，执行数为84.30万元，完成预算的100%。通过项目实施，交通事故得到快速有效的处理，逃逸案得到及时侦破，有效地提高了办案效率和人民群众满意度.发现的主要问题：在事故处理过程因多方面的原因,不能让人民群众100%满意,造成了有上访案件。下一步改进措施：一是在事故处理过程中，尽量做到处理程序、法律法规的应用无瑕疵。二是耐心做好解释工作和法律法规的宣讲，争取让人民群众100%满意。</w:t>
      </w:r>
    </w:p>
    <w:tbl>
      <w:tblPr>
        <w:tblStyle w:val="13"/>
        <w:tblpPr w:leftFromText="180" w:rightFromText="180" w:vertAnchor="text" w:horzAnchor="page" w:tblpXSpec="center" w:tblpY="423"/>
        <w:tblOverlap w:val="never"/>
        <w:tblW w:w="9796" w:type="dxa"/>
        <w:tblInd w:w="0" w:type="dxa"/>
        <w:tblLayout w:type="fixed"/>
        <w:tblCellMar>
          <w:top w:w="0" w:type="dxa"/>
          <w:left w:w="0" w:type="dxa"/>
          <w:bottom w:w="0" w:type="dxa"/>
          <w:right w:w="0" w:type="dxa"/>
        </w:tblCellMar>
      </w:tblPr>
      <w:tblGrid>
        <w:gridCol w:w="502"/>
        <w:gridCol w:w="1367"/>
        <w:gridCol w:w="668"/>
        <w:gridCol w:w="357"/>
        <w:gridCol w:w="2392"/>
        <w:gridCol w:w="2394"/>
        <w:gridCol w:w="2116"/>
      </w:tblGrid>
      <w:tr>
        <w:tblPrEx>
          <w:tblCellMar>
            <w:top w:w="0" w:type="dxa"/>
            <w:left w:w="0" w:type="dxa"/>
            <w:bottom w:w="0" w:type="dxa"/>
            <w:right w:w="0" w:type="dxa"/>
          </w:tblCellMar>
        </w:tblPrEx>
        <w:trPr>
          <w:trHeight w:val="1034" w:hRule="atLeast"/>
        </w:trPr>
        <w:tc>
          <w:tcPr>
            <w:tcW w:w="9796" w:type="dxa"/>
            <w:gridSpan w:val="7"/>
            <w:tcMar>
              <w:top w:w="15" w:type="dxa"/>
              <w:left w:w="15" w:type="dxa"/>
              <w:bottom w:w="0" w:type="dxa"/>
              <w:right w:w="15" w:type="dxa"/>
            </w:tcMar>
            <w:vAlign w:val="center"/>
          </w:tcPr>
          <w:p>
            <w:pPr>
              <w:pStyle w:val="24"/>
              <w:widowControl/>
              <w:spacing w:before="93"/>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(2019年度)</w:t>
            </w:r>
          </w:p>
        </w:tc>
      </w:tr>
      <w:tr>
        <w:tblPrEx>
          <w:tblCellMar>
            <w:top w:w="0" w:type="dxa"/>
            <w:left w:w="0" w:type="dxa"/>
            <w:bottom w:w="0" w:type="dxa"/>
            <w:right w:w="0" w:type="dxa"/>
          </w:tblCellMar>
        </w:tblPrEx>
        <w:trPr>
          <w:trHeight w:val="276" w:hRule="atLeast"/>
        </w:trPr>
        <w:tc>
          <w:tcPr>
            <w:tcW w:w="253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259"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交通事故处理成本</w:t>
            </w:r>
          </w:p>
        </w:tc>
      </w:tr>
      <w:tr>
        <w:tblPrEx>
          <w:tblCellMar>
            <w:top w:w="0" w:type="dxa"/>
            <w:left w:w="0" w:type="dxa"/>
            <w:bottom w:w="0" w:type="dxa"/>
            <w:right w:w="0" w:type="dxa"/>
          </w:tblCellMar>
        </w:tblPrEx>
        <w:trPr>
          <w:trHeight w:val="276" w:hRule="atLeast"/>
        </w:trPr>
        <w:tc>
          <w:tcPr>
            <w:tcW w:w="253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259"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广元市公安局交通警察支队</w:t>
            </w:r>
          </w:p>
        </w:tc>
      </w:tr>
      <w:tr>
        <w:tblPrEx>
          <w:tblCellMar>
            <w:top w:w="0" w:type="dxa"/>
            <w:left w:w="0" w:type="dxa"/>
            <w:bottom w:w="0" w:type="dxa"/>
            <w:right w:w="0" w:type="dxa"/>
          </w:tblCellMar>
        </w:tblPrEx>
        <w:trPr>
          <w:trHeight w:val="276" w:hRule="atLeast"/>
        </w:trPr>
        <w:tc>
          <w:tcPr>
            <w:tcW w:w="50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0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74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84.3</w:t>
            </w:r>
          </w:p>
        </w:tc>
      </w:tr>
      <w:tr>
        <w:tblPrEx>
          <w:tblCellMar>
            <w:top w:w="0" w:type="dxa"/>
            <w:left w:w="0" w:type="dxa"/>
            <w:bottom w:w="0" w:type="dxa"/>
            <w:right w:w="0" w:type="dxa"/>
          </w:tblCellMar>
        </w:tblPrEx>
        <w:trPr>
          <w:trHeight w:val="276" w:hRule="atLeast"/>
        </w:trPr>
        <w:tc>
          <w:tcPr>
            <w:tcW w:w="50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0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74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84.3</w:t>
            </w:r>
          </w:p>
        </w:tc>
      </w:tr>
      <w:tr>
        <w:tblPrEx>
          <w:tblCellMar>
            <w:top w:w="0" w:type="dxa"/>
            <w:left w:w="0" w:type="dxa"/>
            <w:bottom w:w="0" w:type="dxa"/>
            <w:right w:w="0" w:type="dxa"/>
          </w:tblCellMar>
        </w:tblPrEx>
        <w:trPr>
          <w:trHeight w:val="1511" w:hRule="atLeast"/>
        </w:trPr>
        <w:tc>
          <w:tcPr>
            <w:tcW w:w="50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0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74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50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51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50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1、道路交通事故现场处置。2、交通事故责任认定。3、交通事故调解和逃逸案件的侦破。</w:t>
            </w:r>
          </w:p>
        </w:tc>
        <w:tc>
          <w:tcPr>
            <w:tcW w:w="451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全年处理交通事故1万九千余起，现场处置率达到100%，事故调解率达到98.8%，</w:t>
            </w:r>
            <w:r>
              <w:rPr>
                <w:rFonts w:hint="eastAsia"/>
              </w:rPr>
              <w:t>侦破交通肇事逃逸案10余起，破案率达到100%。</w:t>
            </w:r>
          </w:p>
        </w:tc>
      </w:tr>
      <w:tr>
        <w:tblPrEx>
          <w:tblCellMar>
            <w:top w:w="0" w:type="dxa"/>
            <w:left w:w="0" w:type="dxa"/>
            <w:bottom w:w="0" w:type="dxa"/>
            <w:right w:w="0" w:type="dxa"/>
          </w:tblCellMar>
        </w:tblPrEx>
        <w:trPr>
          <w:trHeight w:val="1042" w:hRule="atLeast"/>
        </w:trPr>
        <w:tc>
          <w:tcPr>
            <w:tcW w:w="50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50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p>
            <w:pPr>
              <w:jc w:val="center"/>
              <w:textAlignment w:val="center"/>
              <w:rPr>
                <w:rFonts w:ascii="宋体" w:hAnsi="宋体" w:cs="宋体"/>
                <w:color w:val="000000"/>
                <w:sz w:val="24"/>
              </w:rPr>
            </w:pP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交通事故处理量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预计处理交通事故2万余起。</w:t>
            </w: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实际处理交通事故1万九千余起。</w:t>
            </w:r>
          </w:p>
        </w:tc>
      </w:tr>
      <w:tr>
        <w:tblPrEx>
          <w:tblCellMar>
            <w:top w:w="0" w:type="dxa"/>
            <w:left w:w="0" w:type="dxa"/>
            <w:bottom w:w="0" w:type="dxa"/>
            <w:right w:w="0" w:type="dxa"/>
          </w:tblCellMar>
        </w:tblPrEx>
        <w:trPr>
          <w:trHeight w:val="1297" w:hRule="atLeast"/>
        </w:trPr>
        <w:tc>
          <w:tcPr>
            <w:tcW w:w="50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color w:val="000000"/>
                <w:sz w:val="24"/>
              </w:rPr>
            </w:pPr>
          </w:p>
        </w:tc>
        <w:tc>
          <w:tcPr>
            <w:tcW w:w="1025" w:type="dxa"/>
            <w:gridSpan w:val="2"/>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事故调解率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事故调解率达到100%</w:t>
            </w: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rPr>
              <w:t>事故调解率达到98.8%</w:t>
            </w:r>
          </w:p>
        </w:tc>
      </w:tr>
      <w:tr>
        <w:tblPrEx>
          <w:tblCellMar>
            <w:top w:w="0" w:type="dxa"/>
            <w:left w:w="0" w:type="dxa"/>
            <w:bottom w:w="0" w:type="dxa"/>
            <w:right w:w="0" w:type="dxa"/>
          </w:tblCellMar>
        </w:tblPrEx>
        <w:trPr>
          <w:trHeight w:val="1042" w:hRule="atLeast"/>
        </w:trPr>
        <w:tc>
          <w:tcPr>
            <w:tcW w:w="50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color w:val="000000"/>
                <w:sz w:val="24"/>
              </w:rPr>
            </w:pPr>
          </w:p>
        </w:tc>
        <w:tc>
          <w:tcPr>
            <w:tcW w:w="1025" w:type="dxa"/>
            <w:gridSpan w:val="2"/>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现场处置快速高效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接到报警电话后，白天5分钟、夜间10分钟内出发，所有事故处置率达到100%。</w:t>
            </w: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rPr>
              <w:t>接到报警电话后，白天5分钟、夜间10分钟内出发，所有事故处置率达到100%。</w:t>
            </w:r>
          </w:p>
        </w:tc>
      </w:tr>
      <w:tr>
        <w:tblPrEx>
          <w:tblCellMar>
            <w:top w:w="0" w:type="dxa"/>
            <w:left w:w="0" w:type="dxa"/>
            <w:bottom w:w="0" w:type="dxa"/>
            <w:right w:w="0" w:type="dxa"/>
          </w:tblCellMar>
        </w:tblPrEx>
        <w:trPr>
          <w:trHeight w:val="1042" w:hRule="atLeast"/>
        </w:trPr>
        <w:tc>
          <w:tcPr>
            <w:tcW w:w="50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color w:val="000000"/>
                <w:kern w:val="0"/>
                <w:sz w:val="24"/>
              </w:rPr>
            </w:pPr>
          </w:p>
        </w:tc>
        <w:tc>
          <w:tcPr>
            <w:tcW w:w="1025" w:type="dxa"/>
            <w:gridSpan w:val="2"/>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逃逸案件破案率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侦破交通肇事逃逸案破案率100%。</w:t>
            </w: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侦破交通肇事逃逸案10余起，破案率达到100%。</w:t>
            </w:r>
          </w:p>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50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 xml:space="preserve"> 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2019年12月31日</w:t>
            </w: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rPr>
              <w:t>2019年12月31日</w:t>
            </w:r>
          </w:p>
        </w:tc>
      </w:tr>
      <w:tr>
        <w:tblPrEx>
          <w:tblCellMar>
            <w:top w:w="0" w:type="dxa"/>
            <w:left w:w="0" w:type="dxa"/>
            <w:bottom w:w="0" w:type="dxa"/>
            <w:right w:w="0" w:type="dxa"/>
          </w:tblCellMar>
        </w:tblPrEx>
        <w:trPr>
          <w:trHeight w:val="1552" w:hRule="atLeast"/>
        </w:trPr>
        <w:tc>
          <w:tcPr>
            <w:tcW w:w="50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社会效益</w:t>
            </w:r>
            <w:r>
              <w:rPr>
                <w:rFonts w:hint="eastAsia"/>
              </w:rPr>
              <w:br w:type="textWrapping"/>
            </w:r>
            <w:r>
              <w:rPr>
                <w:rFonts w:hint="eastAsia"/>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交通事故得到快速有效的处理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让所有交通事故得到快速有效的处理，逃逸案得到及时侦破。</w:t>
            </w: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所有交通事故得到快速有效的处理，逃逸案得到及时侦破，有效地提高了办案效率和人民群众满意度。</w:t>
            </w:r>
          </w:p>
        </w:tc>
      </w:tr>
      <w:tr>
        <w:tblPrEx>
          <w:tblCellMar>
            <w:top w:w="0" w:type="dxa"/>
            <w:left w:w="0" w:type="dxa"/>
            <w:bottom w:w="0" w:type="dxa"/>
            <w:right w:w="0" w:type="dxa"/>
          </w:tblCellMar>
        </w:tblPrEx>
        <w:trPr>
          <w:trHeight w:val="1050" w:hRule="atLeast"/>
        </w:trPr>
        <w:tc>
          <w:tcPr>
            <w:tcW w:w="50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交通事故发生者</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满意度达到100%。</w:t>
            </w: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rPr>
              <w:t>满意度达到98%以上。</w:t>
            </w:r>
          </w:p>
        </w:tc>
      </w:tr>
    </w:tbl>
    <w:p>
      <w:pPr>
        <w:spacing w:line="580" w:lineRule="exact"/>
        <w:rPr>
          <w:rFonts w:ascii="仿宋_GB2312" w:hAnsi="仿宋_GB2312" w:eastAsia="仿宋_GB2312" w:cs="仿宋_GB2312"/>
          <w:sz w:val="32"/>
          <w:szCs w:val="32"/>
        </w:rPr>
      </w:pPr>
    </w:p>
    <w:p>
      <w:pPr>
        <w:widowControl/>
        <w:spacing w:line="360" w:lineRule="auto"/>
        <w:ind w:firstLine="639" w:firstLineChars="199"/>
        <w:jc w:val="left"/>
        <w:rPr>
          <w:rFonts w:ascii="仿宋_GB2312" w:hAnsi="宋体" w:eastAsia="仿宋_GB2312" w:cs="宋体"/>
          <w:color w:val="000000"/>
          <w:kern w:val="0"/>
          <w:sz w:val="32"/>
          <w:szCs w:val="32"/>
        </w:rPr>
      </w:pPr>
      <w:r>
        <w:rPr>
          <w:rFonts w:hint="eastAsia" w:cs="仿宋_GB2312" w:asciiTheme="minorEastAsia" w:hAnsiTheme="minorEastAsia" w:eastAsiaTheme="minorEastAsia"/>
          <w:b/>
          <w:sz w:val="32"/>
          <w:szCs w:val="32"/>
        </w:rPr>
        <w:t>（3）城区交通管理设施购置和维护项目绩效目标完成情况综述。</w:t>
      </w:r>
      <w:r>
        <w:rPr>
          <w:rFonts w:hint="eastAsia" w:ascii="仿宋_GB2312" w:hAnsi="仿宋_GB2312" w:eastAsia="仿宋_GB2312" w:cs="仿宋_GB2312"/>
          <w:sz w:val="32"/>
          <w:szCs w:val="32"/>
        </w:rPr>
        <w:t>项目全年预算数300万元，执行数为300万元，完成预算的100%。通过项目实施，对</w:t>
      </w:r>
      <w:r>
        <w:rPr>
          <w:rFonts w:hint="eastAsia" w:ascii="仿宋_GB2312" w:eastAsia="仿宋_GB2312"/>
          <w:sz w:val="32"/>
          <w:szCs w:val="32"/>
        </w:rPr>
        <w:t>支队道路交通管理起到了极大的推动作用，提升了人民群众出行的安全感、畅通感和出行满意度，大大缓解了城区交通拥堵情况。</w:t>
      </w:r>
      <w:r>
        <w:rPr>
          <w:rFonts w:hint="eastAsia" w:ascii="仿宋_GB2312" w:hAnsi="仿宋_GB2312" w:eastAsia="仿宋_GB2312" w:cs="仿宋_GB2312"/>
          <w:sz w:val="32"/>
          <w:szCs w:val="32"/>
        </w:rPr>
        <w:t>发现的主要问题：</w:t>
      </w:r>
      <w:r>
        <w:rPr>
          <w:rFonts w:hint="eastAsia" w:ascii="仿宋_GB2312" w:hAnsi="宋体" w:eastAsia="仿宋_GB2312" w:cs="宋体"/>
          <w:color w:val="000000"/>
          <w:kern w:val="0"/>
          <w:sz w:val="32"/>
          <w:szCs w:val="32"/>
        </w:rPr>
        <w:t>随着我市经济社会快速发展，市建成区域不断扩展，人口和机动车数量大幅增加，城市交通拥堵路段逐步增多，但由于财力保障有限，道路交通信号灯、标志标牌等交通设施建设远远落后于市城区交通管理及群众实际需求。</w:t>
      </w:r>
      <w:r>
        <w:rPr>
          <w:rFonts w:hint="eastAsia" w:ascii="仿宋_GB2312" w:hAnsi="仿宋_GB2312" w:eastAsia="仿宋_GB2312" w:cs="仿宋_GB2312"/>
          <w:sz w:val="32"/>
          <w:szCs w:val="32"/>
        </w:rPr>
        <w:t>下一步改进措施：一是更加科学地规划城区信号灯的设置、标线的施化。二是</w:t>
      </w:r>
      <w:r>
        <w:rPr>
          <w:rFonts w:hint="eastAsia" w:ascii="仿宋_GB2312" w:hAnsi="宋体" w:eastAsia="仿宋_GB2312" w:cs="宋体"/>
          <w:color w:val="000000"/>
          <w:kern w:val="0"/>
          <w:sz w:val="32"/>
          <w:szCs w:val="32"/>
        </w:rPr>
        <w:t>建议市财政在今后预算中加大城区交通管理实施建设的投入。</w:t>
      </w:r>
    </w:p>
    <w:p>
      <w:pPr>
        <w:widowControl/>
        <w:spacing w:line="360" w:lineRule="auto"/>
        <w:ind w:firstLine="636" w:firstLineChars="199"/>
        <w:jc w:val="left"/>
        <w:rPr>
          <w:rFonts w:ascii="仿宋_GB2312" w:hAnsi="宋体" w:eastAsia="仿宋_GB2312" w:cs="宋体"/>
          <w:color w:val="000000"/>
          <w:kern w:val="0"/>
          <w:sz w:val="32"/>
          <w:szCs w:val="32"/>
        </w:rPr>
      </w:pPr>
    </w:p>
    <w:p>
      <w:pPr>
        <w:widowControl/>
        <w:spacing w:line="360" w:lineRule="auto"/>
        <w:ind w:firstLine="636" w:firstLineChars="199"/>
        <w:jc w:val="left"/>
        <w:rPr>
          <w:rFonts w:ascii="仿宋_GB2312" w:hAnsi="宋体" w:eastAsia="仿宋_GB2312" w:cs="宋体"/>
          <w:color w:val="000000"/>
          <w:kern w:val="0"/>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352"/>
        <w:gridCol w:w="1559"/>
        <w:gridCol w:w="481"/>
        <w:gridCol w:w="2394"/>
        <w:gridCol w:w="2392"/>
      </w:tblGrid>
      <w:tr>
        <w:tblPrEx>
          <w:tblCellMar>
            <w:top w:w="0" w:type="dxa"/>
            <w:left w:w="0" w:type="dxa"/>
            <w:bottom w:w="0" w:type="dxa"/>
            <w:right w:w="0" w:type="dxa"/>
          </w:tblCellMar>
        </w:tblPrEx>
        <w:trPr>
          <w:trHeight w:val="1034" w:hRule="atLeast"/>
        </w:trPr>
        <w:tc>
          <w:tcPr>
            <w:tcW w:w="9960" w:type="dxa"/>
            <w:gridSpan w:val="8"/>
            <w:tcMar>
              <w:top w:w="15" w:type="dxa"/>
              <w:left w:w="15" w:type="dxa"/>
              <w:bottom w:w="0" w:type="dxa"/>
              <w:right w:w="15" w:type="dxa"/>
            </w:tcMar>
            <w:vAlign w:val="center"/>
          </w:tcPr>
          <w:p>
            <w:pPr>
              <w:pStyle w:val="24"/>
              <w:widowControl/>
              <w:spacing w:before="93"/>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城区交通管理设施购置和维护</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广元市公安局交通警察支队</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191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300</w:t>
            </w:r>
          </w:p>
        </w:tc>
        <w:tc>
          <w:tcPr>
            <w:tcW w:w="28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300</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91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300</w:t>
            </w:r>
          </w:p>
        </w:tc>
        <w:tc>
          <w:tcPr>
            <w:tcW w:w="28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300</w:t>
            </w:r>
          </w:p>
        </w:tc>
      </w:tr>
      <w:tr>
        <w:tblPrEx>
          <w:tblCellMar>
            <w:top w:w="0" w:type="dxa"/>
            <w:left w:w="0" w:type="dxa"/>
            <w:bottom w:w="0" w:type="dxa"/>
            <w:right w:w="0" w:type="dxa"/>
          </w:tblCellMar>
        </w:tblPrEx>
        <w:trPr>
          <w:trHeight w:val="118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91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8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303"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526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303"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通过项目的实施，提升人民群众出行的安全感、畅通感和出行满意度，缓解城区交通拥堵情况。</w:t>
            </w:r>
          </w:p>
        </w:tc>
        <w:tc>
          <w:tcPr>
            <w:tcW w:w="526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通过项目实施，对支队道路交通管理起到了极大的推动作用，提升了人民群众出行的安全感、畅通感和出行满意度，大大缓解了城区交通拥堵情况。</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191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8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p>
            <w:pPr>
              <w:jc w:val="center"/>
              <w:textAlignment w:val="center"/>
              <w:rPr>
                <w:rFonts w:ascii="宋体" w:hAnsi="宋体" w:cs="宋体"/>
                <w:color w:val="000000"/>
                <w:sz w:val="24"/>
              </w:rPr>
            </w:pPr>
          </w:p>
        </w:tc>
        <w:tc>
          <w:tcPr>
            <w:tcW w:w="102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191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新建信号灯和监控系统数</w:t>
            </w:r>
          </w:p>
        </w:tc>
        <w:tc>
          <w:tcPr>
            <w:tcW w:w="28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新建信号灯和监控系统数各4套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在城区4各路口新建了信号灯和监控系统</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color w:val="000000"/>
                <w:sz w:val="24"/>
              </w:rPr>
            </w:pPr>
          </w:p>
        </w:tc>
        <w:tc>
          <w:tcPr>
            <w:tcW w:w="102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91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新建雷达测速卡口数</w:t>
            </w:r>
          </w:p>
        </w:tc>
        <w:tc>
          <w:tcPr>
            <w:tcW w:w="28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新建雷达测速卡口2个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新建了雷达测速卡口2个</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color w:val="000000"/>
                <w:sz w:val="24"/>
              </w:rPr>
            </w:pP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91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新施化标线数</w:t>
            </w:r>
          </w:p>
        </w:tc>
        <w:tc>
          <w:tcPr>
            <w:tcW w:w="28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新施化标线2万平方米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新施化了普通标线21250平方米。</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color w:val="000000"/>
                <w:kern w:val="0"/>
                <w:sz w:val="24"/>
              </w:rPr>
            </w:pPr>
          </w:p>
        </w:tc>
        <w:tc>
          <w:tcPr>
            <w:tcW w:w="102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191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信号灯故障维修率</w:t>
            </w:r>
          </w:p>
        </w:tc>
        <w:tc>
          <w:tcPr>
            <w:tcW w:w="28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故障维修率100%。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所有信号灯故障都在规定时间内，完成了维修和恢复。</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color w:val="000000"/>
                <w:sz w:val="24"/>
              </w:rPr>
            </w:pPr>
          </w:p>
        </w:tc>
        <w:tc>
          <w:tcPr>
            <w:tcW w:w="102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91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数据上传率</w:t>
            </w:r>
          </w:p>
        </w:tc>
        <w:tc>
          <w:tcPr>
            <w:tcW w:w="28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数据上传率100%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实际数据上传率达到90%以上。</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color w:val="000000"/>
                <w:sz w:val="24"/>
              </w:rPr>
            </w:pP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91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交通秩序畅通程度</w:t>
            </w:r>
          </w:p>
        </w:tc>
        <w:tc>
          <w:tcPr>
            <w:tcW w:w="28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最大程度缓解城区交通拥堵情况。</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大大缓解了城区交通拥堵情况，提高了人民群众出行安全感。</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191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 xml:space="preserve"> 完成时间</w:t>
            </w:r>
          </w:p>
        </w:tc>
        <w:tc>
          <w:tcPr>
            <w:tcW w:w="28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2019年12月31日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rPr>
              <w:t>2019年12月31日</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tc>
        <w:tc>
          <w:tcPr>
            <w:tcW w:w="191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人民群众出行满意度</w:t>
            </w:r>
          </w:p>
        </w:tc>
        <w:tc>
          <w:tcPr>
            <w:tcW w:w="28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最大程度保证人民群众出行安全、畅通、有序。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提升了人民群众出行的安全感、畅通感和出行满意度，大大缓解了城区交通拥堵情况。</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群众满意度指标</w:t>
            </w:r>
          </w:p>
        </w:tc>
        <w:tc>
          <w:tcPr>
            <w:tcW w:w="191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交通参与者</w:t>
            </w:r>
          </w:p>
        </w:tc>
        <w:tc>
          <w:tcPr>
            <w:tcW w:w="28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满意度达到95%以上。</w:t>
            </w:r>
          </w:p>
        </w:tc>
      </w:tr>
      <w:tr>
        <w:tblPrEx>
          <w:tblCellMar>
            <w:top w:w="0" w:type="dxa"/>
            <w:left w:w="0" w:type="dxa"/>
            <w:bottom w:w="0" w:type="dxa"/>
            <w:right w:w="0" w:type="dxa"/>
          </w:tblCellMar>
        </w:tblPrEx>
        <w:trPr>
          <w:trHeight w:val="1034" w:hRule="atLeast"/>
        </w:trPr>
        <w:tc>
          <w:tcPr>
            <w:tcW w:w="9960" w:type="dxa"/>
            <w:gridSpan w:val="8"/>
            <w:tcMar>
              <w:top w:w="15" w:type="dxa"/>
              <w:left w:w="15" w:type="dxa"/>
              <w:bottom w:w="0" w:type="dxa"/>
              <w:right w:w="15" w:type="dxa"/>
            </w:tcMar>
            <w:vAlign w:val="center"/>
          </w:tcPr>
          <w:p>
            <w:pPr>
              <w:spacing w:line="580" w:lineRule="exact"/>
              <w:ind w:firstLine="540" w:firstLineChars="150"/>
              <w:rPr>
                <w:rFonts w:ascii="黑体" w:hAnsi="黑体" w:eastAsia="黑体" w:cs="宋体"/>
                <w:bCs/>
                <w:color w:val="000000"/>
                <w:kern w:val="0"/>
                <w:sz w:val="36"/>
                <w:szCs w:val="36"/>
              </w:rPr>
            </w:pPr>
          </w:p>
          <w:p>
            <w:pPr>
              <w:spacing w:line="580" w:lineRule="exact"/>
              <w:ind w:firstLine="482" w:firstLineChars="150"/>
              <w:rPr>
                <w:rFonts w:ascii="仿宋_GB2312" w:hAnsi="仿宋_GB2312" w:eastAsia="仿宋_GB2312" w:cs="仿宋_GB2312"/>
                <w:sz w:val="32"/>
                <w:szCs w:val="32"/>
              </w:rPr>
            </w:pPr>
            <w:r>
              <w:rPr>
                <w:rFonts w:hint="eastAsia" w:cs="仿宋_GB2312" w:asciiTheme="minorEastAsia" w:hAnsiTheme="minorEastAsia" w:eastAsiaTheme="minorEastAsia"/>
                <w:b/>
                <w:sz w:val="32"/>
                <w:szCs w:val="32"/>
              </w:rPr>
              <w:t>（4）道路交通事故救助基金项目完成情况综述。</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u w:val="single"/>
              </w:rPr>
              <w:t>25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u w:val="single"/>
              </w:rPr>
              <w:t>25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u w:val="single"/>
              </w:rPr>
              <w:t>100</w:t>
            </w:r>
            <w:r>
              <w:rPr>
                <w:rFonts w:hint="eastAsia" w:ascii="仿宋_GB2312" w:hAnsi="仿宋_GB2312" w:eastAsia="仿宋_GB2312" w:cs="仿宋_GB2312"/>
                <w:sz w:val="32"/>
                <w:szCs w:val="32"/>
              </w:rPr>
              <w:t>%。通过项目实施，让交通事故中符合救助的伤员得到及时治疗，大大降低了事故的死亡率，死亡人员得到及时安葬。发现的主要问题：由于宣传还不到位，许多符合条件的救助者还不知道道路事故救助基金的存在。下一步改进措施：加大宣传力度，让更多符合条件的救助者受益。</w:t>
            </w:r>
          </w:p>
          <w:p>
            <w:pPr>
              <w:spacing w:line="580" w:lineRule="exact"/>
              <w:ind w:firstLine="480" w:firstLineChars="150"/>
              <w:rPr>
                <w:rFonts w:ascii="仿宋_GB2312" w:hAnsi="仿宋_GB2312" w:eastAsia="仿宋_GB2312" w:cs="仿宋_GB2312"/>
                <w:sz w:val="32"/>
                <w:szCs w:val="32"/>
              </w:rPr>
            </w:pPr>
          </w:p>
          <w:p>
            <w:pPr>
              <w:jc w:val="center"/>
              <w:rPr>
                <w:kern w:val="0"/>
              </w:rPr>
            </w:pPr>
          </w:p>
          <w:p>
            <w:pPr>
              <w:jc w:val="center"/>
              <w:rPr>
                <w:rFonts w:ascii="宋体" w:hAnsi="宋体"/>
                <w:b/>
                <w:kern w:val="0"/>
                <w:sz w:val="32"/>
              </w:rPr>
            </w:pPr>
            <w:r>
              <w:rPr>
                <w:rFonts w:hint="eastAsia"/>
                <w:kern w:val="0"/>
                <w:sz w:val="32"/>
              </w:rPr>
              <w:t>项目支出绩效目标完成情况表</w:t>
            </w:r>
          </w:p>
          <w:p>
            <w:pPr>
              <w:jc w:val="center"/>
              <w:rPr>
                <w:rFonts w:ascii="楷体" w:hAnsi="楷体" w:eastAsia="楷体"/>
                <w:b/>
              </w:rPr>
            </w:pPr>
            <w:r>
              <w:rPr>
                <w:rFonts w:hint="eastAsia" w:ascii="楷体" w:hAnsi="楷体" w:eastAsia="楷体"/>
                <w:b/>
                <w:kern w:val="0"/>
                <w:sz w:val="28"/>
              </w:rPr>
              <w:t>(2019年度)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道路交通事故救助基金管理中心工作经费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广元市公安局交通警察支队</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25</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25</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w:t>
            </w:r>
            <w:r>
              <w:rPr>
                <w:rFonts w:hint="eastAsia" w:cs="宋体" w:asciiTheme="minorEastAsia" w:hAnsiTheme="minorEastAsia"/>
                <w:color w:val="000000"/>
                <w:sz w:val="24"/>
              </w:rPr>
              <w:t>、</w:t>
            </w:r>
            <w:r>
              <w:rPr>
                <w:rFonts w:hint="eastAsia" w:ascii="宋体" w:hAnsi="宋体" w:cs="宋体"/>
                <w:color w:val="000000"/>
                <w:sz w:val="24"/>
              </w:rPr>
              <w:t xml:space="preserve">交通事故中，所有逃逸和未保险车辆造成的人员伤亡产生的医疗和丧葬费的垫付。                2、救助基金如何使用的宣传工作。   </w:t>
            </w:r>
          </w:p>
          <w:p>
            <w:pPr>
              <w:widowControl/>
              <w:jc w:val="center"/>
              <w:textAlignment w:val="center"/>
              <w:rPr>
                <w:rFonts w:ascii="宋体" w:hAnsi="宋体" w:cs="宋体"/>
                <w:color w:val="000000"/>
                <w:sz w:val="24"/>
              </w:rPr>
            </w:pPr>
            <w:r>
              <w:rPr>
                <w:rFonts w:hint="eastAsia" w:ascii="宋体" w:hAnsi="宋体" w:cs="宋体"/>
                <w:color w:val="000000"/>
                <w:sz w:val="24"/>
              </w:rPr>
              <w:t xml:space="preserve">3、基金的追偿和核销工作。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百分之九十以上的逃逸和未买保险的事故得到救助，需要追偿的资金都如数追回。</w:t>
            </w:r>
          </w:p>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3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p>
            <w:pPr>
              <w:jc w:val="center"/>
              <w:textAlignment w:val="center"/>
              <w:rPr>
                <w:rFonts w:ascii="宋体" w:hAnsi="宋体" w:cs="宋体"/>
                <w:color w:val="000000"/>
                <w:sz w:val="24"/>
              </w:rPr>
            </w:pPr>
          </w:p>
        </w:tc>
        <w:tc>
          <w:tcPr>
            <w:tcW w:w="13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质量指标</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道路交通事故基金使用率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所有的逃逸和未买保险的事故得到救助。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90%以上符合条件的救助者得到救助。</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3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时效指标</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2019年12月31日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2019年12月31日</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项目效益</w:t>
            </w:r>
          </w:p>
        </w:tc>
        <w:tc>
          <w:tcPr>
            <w:tcW w:w="13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社会效益</w:t>
            </w:r>
            <w:r>
              <w:rPr>
                <w:rFonts w:hint="eastAsia"/>
              </w:rPr>
              <w:br w:type="textWrapping"/>
            </w:r>
            <w:r>
              <w:rPr>
                <w:rFonts w:hint="eastAsia"/>
              </w:rPr>
              <w:t>指标</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事故伤亡人员救助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让符合救助的伤员得到及时治疗，死亡人员得到及时安葬。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符合救助的伤员得到及时治疗，大大降低了事故的死亡率，死亡人员得到及时安葬。</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满意度指标</w:t>
            </w:r>
          </w:p>
        </w:tc>
        <w:tc>
          <w:tcPr>
            <w:tcW w:w="13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满意度指标</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受救助者</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满意率达到100%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rPr>
              <w:t>满意率达到100%</w:t>
            </w:r>
          </w:p>
        </w:tc>
      </w:tr>
    </w:tbl>
    <w:p>
      <w:pPr>
        <w:jc w:val="left"/>
        <w:rPr>
          <w:rFonts w:ascii="仿宋_GB2312" w:hAnsi="黑体" w:eastAsia="仿宋_GB2312" w:cs="宋体"/>
          <w:bCs/>
          <w:color w:val="000000"/>
          <w:kern w:val="0"/>
          <w:sz w:val="32"/>
          <w:szCs w:val="32"/>
        </w:rPr>
      </w:pPr>
    </w:p>
    <w:p>
      <w:pPr>
        <w:ind w:firstLine="482" w:firstLineChars="150"/>
        <w:jc w:val="left"/>
        <w:rPr>
          <w:rFonts w:ascii="仿宋_GB2312" w:hAnsi="仿宋_GB2312" w:eastAsia="仿宋_GB2312" w:cs="仿宋_GB2312"/>
          <w:sz w:val="32"/>
          <w:szCs w:val="32"/>
        </w:rPr>
      </w:pPr>
      <w:r>
        <w:rPr>
          <w:rFonts w:hint="eastAsia" w:cs="仿宋_GB2312" w:asciiTheme="minorEastAsia" w:hAnsiTheme="minorEastAsia" w:eastAsiaTheme="minorEastAsia"/>
          <w:b/>
          <w:sz w:val="32"/>
          <w:szCs w:val="32"/>
        </w:rPr>
        <w:t>（5</w:t>
      </w:r>
      <w:r>
        <w:rPr>
          <w:rFonts w:cs="仿宋_GB2312" w:asciiTheme="minorEastAsia" w:hAnsiTheme="minorEastAsia" w:eastAsiaTheme="minorEastAsia"/>
          <w:b/>
          <w:sz w:val="32"/>
          <w:szCs w:val="32"/>
        </w:rPr>
        <w:t>）</w:t>
      </w:r>
      <w:r>
        <w:rPr>
          <w:rFonts w:hint="eastAsia" w:cs="仿宋_GB2312" w:asciiTheme="minorEastAsia" w:hAnsiTheme="minorEastAsia" w:eastAsiaTheme="minorEastAsia"/>
          <w:b/>
          <w:sz w:val="32"/>
          <w:szCs w:val="32"/>
        </w:rPr>
        <w:t>事故车辆检测项目完成情况综述。</w:t>
      </w:r>
      <w:r>
        <w:rPr>
          <w:rFonts w:hint="eastAsia" w:ascii="仿宋_GB2312" w:hAnsi="仿宋_GB2312" w:eastAsia="仿宋_GB2312" w:cs="仿宋_GB2312"/>
          <w:sz w:val="32"/>
          <w:szCs w:val="32"/>
        </w:rPr>
        <w:t>项目全年预算数21万元，执行数为21.2万元，完成预算的100%。通过项目实施，给交通事故处理提供了强有力的依据，大大提高了交通事故责任认定的准确率。项目运行几年一切良好。</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1291"/>
        <w:gridCol w:w="709"/>
        <w:gridCol w:w="1276"/>
        <w:gridCol w:w="1898"/>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jc w:val="center"/>
              <w:rPr>
                <w:rFonts w:ascii="黑体" w:hAnsi="黑体" w:eastAsia="黑体"/>
                <w:kern w:val="0"/>
                <w:sz w:val="36"/>
                <w:szCs w:val="32"/>
              </w:rPr>
            </w:pPr>
            <w:r>
              <w:rPr>
                <w:rFonts w:hint="eastAsia" w:ascii="黑体" w:hAnsi="黑体" w:eastAsia="黑体"/>
                <w:kern w:val="0"/>
                <w:sz w:val="36"/>
                <w:szCs w:val="32"/>
              </w:rPr>
              <w:t>项目支出绩效目标完成情况表</w:t>
            </w:r>
          </w:p>
          <w:p>
            <w:pPr>
              <w:jc w:val="center"/>
              <w:rPr>
                <w:rFonts w:ascii="宋体" w:hAnsi="宋体"/>
                <w:b/>
              </w:rPr>
            </w:pPr>
            <w:r>
              <w:rPr>
                <w:rFonts w:hint="eastAsia" w:ascii="仿宋_GB2312" w:hAnsi="宋体" w:eastAsia="仿宋_GB2312"/>
                <w:b/>
                <w:kern w:val="0"/>
                <w:sz w:val="32"/>
                <w:szCs w:val="32"/>
              </w:rPr>
              <w:t>(2019年度)</w:t>
            </w:r>
          </w:p>
        </w:tc>
      </w:tr>
      <w:tr>
        <w:tblPrEx>
          <w:tblCellMar>
            <w:top w:w="0" w:type="dxa"/>
            <w:left w:w="0" w:type="dxa"/>
            <w:bottom w:w="0" w:type="dxa"/>
            <w:right w:w="0" w:type="dxa"/>
          </w:tblCellMar>
        </w:tblPrEx>
        <w:trPr>
          <w:trHeight w:val="276" w:hRule="atLeast"/>
        </w:trPr>
        <w:tc>
          <w:tcPr>
            <w:tcW w:w="327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66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事故车辆检测费</w:t>
            </w:r>
          </w:p>
        </w:tc>
      </w:tr>
      <w:tr>
        <w:tblPrEx>
          <w:tblCellMar>
            <w:top w:w="0" w:type="dxa"/>
            <w:left w:w="0" w:type="dxa"/>
            <w:bottom w:w="0" w:type="dxa"/>
            <w:right w:w="0" w:type="dxa"/>
          </w:tblCellMar>
        </w:tblPrEx>
        <w:trPr>
          <w:trHeight w:val="276" w:hRule="atLeast"/>
        </w:trPr>
        <w:tc>
          <w:tcPr>
            <w:tcW w:w="327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66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广元市公安局交通警察支队</w:t>
            </w:r>
          </w:p>
        </w:tc>
      </w:tr>
      <w:tr>
        <w:tblPrEx>
          <w:tblCellMar>
            <w:top w:w="0" w:type="dxa"/>
            <w:left w:w="0" w:type="dxa"/>
            <w:bottom w:w="0" w:type="dxa"/>
            <w:right w:w="0" w:type="dxa"/>
          </w:tblCellMar>
        </w:tblPrEx>
        <w:trPr>
          <w:trHeight w:val="276" w:hRule="atLeast"/>
        </w:trPr>
        <w:tc>
          <w:tcPr>
            <w:tcW w:w="129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198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21.2</w:t>
            </w:r>
          </w:p>
        </w:tc>
      </w:tr>
      <w:tr>
        <w:tblPrEx>
          <w:tblCellMar>
            <w:top w:w="0" w:type="dxa"/>
            <w:left w:w="0" w:type="dxa"/>
            <w:bottom w:w="0" w:type="dxa"/>
            <w:right w:w="0" w:type="dxa"/>
          </w:tblCellMar>
        </w:tblPrEx>
        <w:trPr>
          <w:trHeight w:val="276" w:hRule="atLeast"/>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98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21.2</w:t>
            </w:r>
          </w:p>
        </w:tc>
      </w:tr>
      <w:tr>
        <w:tblPrEx>
          <w:tblCellMar>
            <w:top w:w="0" w:type="dxa"/>
            <w:left w:w="0" w:type="dxa"/>
            <w:bottom w:w="0" w:type="dxa"/>
            <w:right w:w="0" w:type="dxa"/>
          </w:tblCellMar>
        </w:tblPrEx>
        <w:trPr>
          <w:trHeight w:val="633" w:hRule="atLeast"/>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98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129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388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702" w:hRule="atLeast"/>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388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对交通事故中需要检测车辆进行检测并出具报告。</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交通事故中需要送检车辆检测率达到100%，检测结果准确率达到100%。</w:t>
            </w:r>
          </w:p>
        </w:tc>
      </w:tr>
      <w:tr>
        <w:tblPrEx>
          <w:tblCellMar>
            <w:top w:w="0" w:type="dxa"/>
            <w:left w:w="0" w:type="dxa"/>
            <w:bottom w:w="0" w:type="dxa"/>
            <w:right w:w="0" w:type="dxa"/>
          </w:tblCellMar>
        </w:tblPrEx>
        <w:trPr>
          <w:trHeight w:val="1042" w:hRule="atLeast"/>
        </w:trPr>
        <w:tc>
          <w:tcPr>
            <w:tcW w:w="129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709"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p>
            <w:pPr>
              <w:jc w:val="center"/>
              <w:textAlignment w:val="center"/>
              <w:rPr>
                <w:rFonts w:ascii="宋体" w:hAnsi="宋体" w:cs="宋体"/>
                <w:color w:val="000000"/>
                <w:sz w:val="24"/>
              </w:rPr>
            </w:pPr>
          </w:p>
        </w:tc>
        <w:tc>
          <w:tcPr>
            <w:tcW w:w="1276"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质量指标</w:t>
            </w: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检测结果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检测结果准确率达到100%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rPr>
              <w:t>检测结果准确率达到100%</w:t>
            </w:r>
          </w:p>
        </w:tc>
      </w:tr>
      <w:tr>
        <w:tblPrEx>
          <w:tblCellMar>
            <w:top w:w="0" w:type="dxa"/>
            <w:left w:w="0" w:type="dxa"/>
            <w:bottom w:w="0" w:type="dxa"/>
            <w:right w:w="0" w:type="dxa"/>
          </w:tblCellMar>
        </w:tblPrEx>
        <w:trPr>
          <w:trHeight w:val="1297" w:hRule="atLeast"/>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709"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color w:val="000000"/>
                <w:sz w:val="24"/>
              </w:rPr>
            </w:pPr>
          </w:p>
        </w:tc>
        <w:tc>
          <w:tcPr>
            <w:tcW w:w="1276"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送检率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送检率达到100%。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送检率达到100%。</w:t>
            </w:r>
          </w:p>
        </w:tc>
      </w:tr>
      <w:tr>
        <w:tblPrEx>
          <w:tblCellMar>
            <w:top w:w="0" w:type="dxa"/>
            <w:left w:w="0" w:type="dxa"/>
            <w:bottom w:w="0" w:type="dxa"/>
            <w:right w:w="0" w:type="dxa"/>
          </w:tblCellMar>
        </w:tblPrEx>
        <w:trPr>
          <w:trHeight w:val="1042" w:hRule="atLeast"/>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709"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时效指标</w:t>
            </w: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2019年12月31日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2019年12月31日</w:t>
            </w:r>
          </w:p>
        </w:tc>
      </w:tr>
      <w:tr>
        <w:tblPrEx>
          <w:tblCellMar>
            <w:top w:w="0" w:type="dxa"/>
            <w:left w:w="0" w:type="dxa"/>
            <w:bottom w:w="0" w:type="dxa"/>
            <w:right w:w="0" w:type="dxa"/>
          </w:tblCellMar>
        </w:tblPrEx>
        <w:trPr>
          <w:trHeight w:val="1042" w:hRule="atLeast"/>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709"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p>
            <w:pPr>
              <w:jc w:val="center"/>
              <w:textAlignment w:val="center"/>
              <w:rPr>
                <w:rFonts w:ascii="宋体" w:hAnsi="宋体" w:cs="宋体"/>
                <w:color w:val="000000"/>
                <w:sz w:val="24"/>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经济效益</w:t>
            </w:r>
            <w:r>
              <w:rPr>
                <w:rFonts w:hint="eastAsia"/>
              </w:rPr>
              <w:br w:type="textWrapping"/>
            </w:r>
            <w:r>
              <w:rPr>
                <w:rFonts w:hint="eastAsia"/>
              </w:rPr>
              <w:t>指标</w:t>
            </w: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交通事故发生者</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减轻交通事故发生者的经济负担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减轻了交通事故发生者的经济负担</w:t>
            </w:r>
          </w:p>
        </w:tc>
      </w:tr>
      <w:tr>
        <w:tblPrEx>
          <w:tblCellMar>
            <w:top w:w="0" w:type="dxa"/>
            <w:left w:w="0" w:type="dxa"/>
            <w:bottom w:w="0" w:type="dxa"/>
            <w:right w:w="0" w:type="dxa"/>
          </w:tblCellMar>
        </w:tblPrEx>
        <w:trPr>
          <w:trHeight w:val="1297" w:hRule="atLeast"/>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709"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社会效益</w:t>
            </w:r>
            <w:r>
              <w:rPr>
                <w:rFonts w:hint="eastAsia"/>
              </w:rPr>
              <w:br w:type="textWrapping"/>
            </w:r>
            <w:r>
              <w:rPr>
                <w:rFonts w:hint="eastAsia"/>
              </w:rPr>
              <w:t>指标</w:t>
            </w: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为交通事故处理提供技术支持</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 xml:space="preserve"> 为交通事故处理提供强有力的依据，提高交通事故责任认定的准确率。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 xml:space="preserve"> 为交通事故处理提供了强有力的依据，大大提高了交通事故责任认定的准确率。</w:t>
            </w:r>
          </w:p>
        </w:tc>
      </w:tr>
      <w:tr>
        <w:tblPrEx>
          <w:tblCellMar>
            <w:top w:w="0" w:type="dxa"/>
            <w:left w:w="0" w:type="dxa"/>
            <w:bottom w:w="0" w:type="dxa"/>
            <w:right w:w="0" w:type="dxa"/>
          </w:tblCellMar>
        </w:tblPrEx>
        <w:trPr>
          <w:trHeight w:val="1050" w:hRule="atLeast"/>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709"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rPr>
              <w:t>满意度指标</w:t>
            </w:r>
          </w:p>
        </w:tc>
        <w:tc>
          <w:tcPr>
            <w:tcW w:w="1276"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满意度指标</w:t>
            </w: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交通事故发生者满意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满意度达到100%以上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rPr>
              <w:t>满意度达到95%以上</w:t>
            </w:r>
          </w:p>
        </w:tc>
      </w:tr>
      <w:tr>
        <w:tblPrEx>
          <w:tblCellMar>
            <w:top w:w="0" w:type="dxa"/>
            <w:left w:w="0" w:type="dxa"/>
            <w:bottom w:w="0" w:type="dxa"/>
            <w:right w:w="0" w:type="dxa"/>
          </w:tblCellMar>
        </w:tblPrEx>
        <w:trPr>
          <w:trHeight w:val="1050" w:hRule="atLeast"/>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709"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276"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交通事故处理部门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满意度达到100%以上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rPr>
              <w:t>满意度达到95%以上</w:t>
            </w:r>
          </w:p>
        </w:tc>
      </w:tr>
    </w:tbl>
    <w:p>
      <w:pPr>
        <w:spacing w:line="580" w:lineRule="exact"/>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b/>
          <w:bCs/>
          <w:sz w:val="32"/>
          <w:szCs w:val="32"/>
        </w:rPr>
        <w:t>2.部门绩效评价结果</w:t>
      </w:r>
      <w:r>
        <w:rPr>
          <w:rFonts w:hint="eastAsia" w:ascii="楷体_GB2312" w:hAnsi="楷体_GB2312" w:eastAsia="楷体_GB2312" w:cs="楷体_GB2312"/>
          <w:sz w:val="32"/>
          <w:szCs w:val="32"/>
        </w:rPr>
        <w:t>。</w:t>
      </w:r>
    </w:p>
    <w:p>
      <w:pPr>
        <w:spacing w:line="58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ascii="仿宋_GB2312" w:eastAsia="仿宋_GB2312"/>
          <w:sz w:val="32"/>
          <w:szCs w:val="32"/>
        </w:rPr>
        <w:t>自评得分99.</w:t>
      </w:r>
      <w:r>
        <w:rPr>
          <w:rFonts w:hint="eastAsia" w:ascii="仿宋_GB2312" w:eastAsia="仿宋_GB2312"/>
          <w:sz w:val="32"/>
          <w:szCs w:val="32"/>
        </w:rPr>
        <w:t>00</w:t>
      </w:r>
      <w:r>
        <w:rPr>
          <w:rFonts w:ascii="仿宋_GB2312" w:eastAsia="仿宋_GB2312"/>
          <w:sz w:val="32"/>
          <w:szCs w:val="32"/>
        </w:rPr>
        <w:t>分。</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1"/>
        </w:numPr>
        <w:spacing w:line="600" w:lineRule="exact"/>
        <w:ind w:firstLine="660" w:firstLineChars="150"/>
        <w:jc w:val="center"/>
        <w:outlineLvl w:val="0"/>
        <w:rPr>
          <w:rStyle w:val="25"/>
          <w:rFonts w:ascii="黑体" w:hAnsi="黑体" w:eastAsia="黑体"/>
          <w:b w:val="0"/>
        </w:rPr>
      </w:pPr>
      <w:bookmarkStart w:id="53" w:name="_Toc15377225"/>
      <w:bookmarkStart w:id="54" w:name="_Toc15396613"/>
      <w:r>
        <w:rPr>
          <w:rFonts w:hint="eastAsia" w:ascii="黑体" w:hAnsi="黑体" w:eastAsia="黑体"/>
          <w:color w:val="000000"/>
          <w:sz w:val="44"/>
          <w:szCs w:val="44"/>
        </w:rPr>
        <w:t>名</w:t>
      </w:r>
      <w:r>
        <w:rPr>
          <w:rStyle w:val="25"/>
          <w:rFonts w:hint="eastAsia" w:ascii="黑体" w:hAnsi="黑体" w:eastAsia="黑体"/>
          <w:b w:val="0"/>
        </w:rPr>
        <w:t>词解释</w:t>
      </w:r>
      <w:bookmarkEnd w:id="53"/>
      <w:bookmarkEnd w:id="54"/>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2、其他收入：指单位取得的除上述收入以外的各项收入。主要是利息、上级部门拨款、财政拨入暂存代管资金等。 </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3、年初结转和结余：指以前年度尚未完成、结转到本年按有关规定继续使用的资金。</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4、年末结转和结余：指单位按有关规定结转到下年或以后年度继续使用的资金。</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5、公共安全（类）公安（款）道路交通管理（项）：指各级公安机关开展各类道路交通管理工作的支出。</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6、社会保障和就业（类）行政单位事业离退休（款）机关单位基本养老保险缴费支出（项）：指财政部门集中安排的基本养老保险缴费。</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7、社会保障和就业（类）抚恤（款）死亡抚恤缴费支（项）：指按规定用于病故人员家属的一次性和定期抚恤金以及丧葬补助费。</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8、医疗卫生与计划生育（类）行政事业单位医疗（款）行政单位医疗（项）：指财政部门集中安排的行政单位基本医疗缴费支出。</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9、城乡社区（类）城市基础设施配套费及对应专项债务收入安排支出（款）城市公共设施（项）：指城区道路、公共交通、照明等公共设施建设维护与管理方面的支出。</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10、住房保障（类）住房改革支出（款）住房公积金（项）：指行政事业单位按人力资源和社会保障部、财政部规定的基本工资和津贴补贴以及规定比例为职工缴纳的住房公积金。</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11、基本支出：指为保障机构正常运转、完成日常工作任务而发生的人员支出和公用支出。</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12、项目支出：指在基本支出之外为完成特定行政任务和事业发展目标所发生的支出。 </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Style w:val="25"/>
          <w:rFonts w:ascii="仿宋_GB2312" w:eastAsia="仿宋_GB2312"/>
          <w:b w:val="0"/>
          <w:bCs w:val="0"/>
          <w:sz w:val="32"/>
          <w:szCs w:val="32"/>
        </w:rPr>
      </w:pPr>
      <w:r>
        <w:rPr>
          <w:rFonts w:hint="eastAsia" w:ascii="仿宋_GB2312" w:eastAsia="仿宋_GB2312"/>
          <w:sz w:val="32"/>
          <w:szCs w:val="32"/>
        </w:rPr>
        <w:t>14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ascii="仿宋_GB2312" w:eastAsia="仿宋_GB2312"/>
          <w:sz w:val="32"/>
          <w:szCs w:val="32"/>
        </w:rPr>
      </w:pPr>
    </w:p>
    <w:p>
      <w:pPr>
        <w:pStyle w:val="23"/>
        <w:spacing w:line="560" w:lineRule="exact"/>
        <w:ind w:firstLine="640" w:firstLineChars="200"/>
        <w:rPr>
          <w:rFonts w:ascii="仿宋_GB2312" w:eastAsia="仿宋_GB2312"/>
          <w:sz w:val="32"/>
          <w:szCs w:val="32"/>
        </w:rPr>
      </w:pPr>
    </w:p>
    <w:p>
      <w:pPr>
        <w:pStyle w:val="23"/>
        <w:spacing w:line="560" w:lineRule="exact"/>
        <w:ind w:firstLine="2240" w:firstLineChars="700"/>
        <w:rPr>
          <w:rFonts w:ascii="仿宋_GB2312" w:eastAsia="仿宋_GB2312"/>
          <w:sz w:val="32"/>
          <w:szCs w:val="32"/>
        </w:rPr>
      </w:pPr>
    </w:p>
    <w:p>
      <w:pPr>
        <w:widowControl/>
        <w:spacing w:line="360" w:lineRule="auto"/>
        <w:ind w:firstLine="636" w:firstLineChars="199"/>
        <w:jc w:val="left"/>
        <w:rPr>
          <w:rFonts w:ascii="仿宋_GB2312" w:hAnsi="宋体" w:eastAsia="仿宋_GB2312" w:cs="宋体"/>
          <w:color w:val="000000"/>
          <w:kern w:val="0"/>
          <w:sz w:val="32"/>
          <w:szCs w:val="32"/>
        </w:rPr>
      </w:pPr>
    </w:p>
    <w:p>
      <w:pPr>
        <w:spacing w:line="600" w:lineRule="exact"/>
        <w:jc w:val="center"/>
        <w:outlineLvl w:val="0"/>
        <w:rPr>
          <w:rStyle w:val="25"/>
          <w:rFonts w:ascii="黑体" w:hAnsi="黑体" w:eastAsia="黑体"/>
          <w:b w:val="0"/>
        </w:rPr>
      </w:pPr>
      <w:bookmarkStart w:id="55" w:name="_Toc15377226"/>
    </w:p>
    <w:p>
      <w:pPr>
        <w:spacing w:line="600" w:lineRule="exact"/>
        <w:jc w:val="center"/>
        <w:outlineLvl w:val="0"/>
        <w:rPr>
          <w:rStyle w:val="25"/>
          <w:rFonts w:ascii="黑体" w:hAnsi="黑体" w:eastAsia="黑体"/>
          <w:b w:val="0"/>
        </w:rPr>
      </w:pPr>
      <w:bookmarkStart w:id="56" w:name="_Toc15396618"/>
      <w:r>
        <w:rPr>
          <w:rFonts w:hint="eastAsia" w:ascii="黑体" w:hAnsi="黑体" w:eastAsia="黑体"/>
          <w:color w:val="000000"/>
          <w:sz w:val="44"/>
          <w:szCs w:val="44"/>
        </w:rPr>
        <w:t>第</w:t>
      </w:r>
      <w:r>
        <w:rPr>
          <w:rStyle w:val="25"/>
          <w:rFonts w:hint="eastAsia" w:ascii="黑体" w:hAnsi="黑体" w:eastAsia="黑体"/>
          <w:b w:val="0"/>
        </w:rPr>
        <w:t>四部分  附表</w:t>
      </w:r>
      <w:bookmarkEnd w:id="55"/>
      <w:bookmarkEnd w:id="56"/>
    </w:p>
    <w:p>
      <w:pPr>
        <w:spacing w:line="600" w:lineRule="exact"/>
        <w:jc w:val="center"/>
        <w:outlineLvl w:val="0"/>
        <w:rPr>
          <w:rFonts w:ascii="仿宋" w:hAnsi="仿宋" w:eastAsia="仿宋"/>
          <w:b/>
          <w:color w:val="000000"/>
          <w:sz w:val="44"/>
          <w:szCs w:val="44"/>
        </w:rPr>
      </w:pPr>
    </w:p>
    <w:p>
      <w:pPr>
        <w:rPr>
          <w:rFonts w:ascii="仿宋_GB2312" w:eastAsia="仿宋_GB2312"/>
          <w:color w:val="000000"/>
          <w:sz w:val="32"/>
          <w:szCs w:val="32"/>
        </w:rPr>
      </w:pPr>
      <w:bookmarkStart w:id="57" w:name="_Toc15396619"/>
      <w:r>
        <w:rPr>
          <w:rFonts w:hint="eastAsia" w:ascii="仿宋_GB2312" w:eastAsia="仿宋_GB2312"/>
          <w:color w:val="000000"/>
          <w:sz w:val="32"/>
          <w:szCs w:val="32"/>
        </w:rPr>
        <w:t>一、收</w:t>
      </w:r>
      <w:r>
        <w:rPr>
          <w:rStyle w:val="26"/>
          <w:rFonts w:hint="eastAsia" w:ascii="仿宋_GB2312" w:hAnsi="仿宋" w:eastAsia="仿宋_GB2312"/>
          <w:b w:val="0"/>
        </w:rPr>
        <w:t>入支出决算总表</w:t>
      </w:r>
      <w:bookmarkEnd w:id="57"/>
    </w:p>
    <w:p>
      <w:pPr>
        <w:rPr>
          <w:rFonts w:ascii="仿宋_GB2312" w:eastAsia="仿宋_GB2312"/>
          <w:color w:val="000000"/>
          <w:sz w:val="32"/>
          <w:szCs w:val="32"/>
        </w:rPr>
      </w:pPr>
      <w:bookmarkStart w:id="58" w:name="_Toc15396620"/>
      <w:r>
        <w:rPr>
          <w:rFonts w:hint="eastAsia" w:ascii="仿宋_GB2312" w:eastAsia="仿宋_GB2312"/>
          <w:color w:val="000000"/>
          <w:sz w:val="32"/>
          <w:szCs w:val="32"/>
        </w:rPr>
        <w:t>二、收</w:t>
      </w:r>
      <w:r>
        <w:rPr>
          <w:rStyle w:val="26"/>
          <w:rFonts w:hint="eastAsia" w:ascii="仿宋_GB2312" w:hAnsi="仿宋" w:eastAsia="仿宋_GB2312"/>
          <w:b w:val="0"/>
        </w:rPr>
        <w:t>入决算表</w:t>
      </w:r>
      <w:bookmarkEnd w:id="58"/>
    </w:p>
    <w:p>
      <w:pPr>
        <w:rPr>
          <w:rFonts w:ascii="仿宋_GB2312" w:eastAsia="仿宋_GB2312"/>
          <w:color w:val="000000"/>
          <w:sz w:val="32"/>
          <w:szCs w:val="32"/>
        </w:rPr>
      </w:pPr>
      <w:bookmarkStart w:id="59" w:name="_Toc15396621"/>
      <w:r>
        <w:rPr>
          <w:rStyle w:val="26"/>
          <w:rFonts w:hint="eastAsia" w:ascii="仿宋_GB2312" w:hAnsi="仿宋" w:eastAsia="仿宋_GB2312"/>
          <w:b w:val="0"/>
        </w:rPr>
        <w:t>三、</w:t>
      </w:r>
      <w:r>
        <w:rPr>
          <w:rFonts w:hint="eastAsia" w:ascii="仿宋_GB2312" w:eastAsia="仿宋_GB2312"/>
          <w:color w:val="000000"/>
          <w:sz w:val="32"/>
          <w:szCs w:val="32"/>
        </w:rPr>
        <w:t>支</w:t>
      </w:r>
      <w:r>
        <w:rPr>
          <w:rStyle w:val="26"/>
          <w:rFonts w:hint="eastAsia" w:ascii="仿宋_GB2312" w:hAnsi="仿宋" w:eastAsia="仿宋_GB2312"/>
          <w:b w:val="0"/>
        </w:rPr>
        <w:t>出决算表</w:t>
      </w:r>
      <w:bookmarkEnd w:id="59"/>
    </w:p>
    <w:p>
      <w:pPr>
        <w:rPr>
          <w:rFonts w:ascii="仿宋_GB2312" w:eastAsia="仿宋_GB2312"/>
          <w:color w:val="000000"/>
          <w:sz w:val="32"/>
          <w:szCs w:val="32"/>
        </w:rPr>
      </w:pPr>
      <w:bookmarkStart w:id="60" w:name="_Toc15396622"/>
      <w:r>
        <w:rPr>
          <w:rStyle w:val="26"/>
          <w:rFonts w:hint="eastAsia" w:ascii="仿宋_GB2312" w:hAnsi="仿宋" w:eastAsia="仿宋_GB2312"/>
          <w:b w:val="0"/>
        </w:rPr>
        <w:t>四、</w:t>
      </w:r>
      <w:r>
        <w:rPr>
          <w:rFonts w:hint="eastAsia" w:ascii="仿宋_GB2312" w:eastAsia="仿宋_GB2312"/>
          <w:color w:val="000000"/>
          <w:sz w:val="32"/>
          <w:szCs w:val="32"/>
        </w:rPr>
        <w:t>财</w:t>
      </w:r>
      <w:r>
        <w:rPr>
          <w:rStyle w:val="26"/>
          <w:rFonts w:hint="eastAsia" w:ascii="仿宋_GB2312" w:hAnsi="仿宋" w:eastAsia="仿宋_GB2312"/>
          <w:b w:val="0"/>
        </w:rPr>
        <w:t>政拨款收入支出决算总表</w:t>
      </w:r>
      <w:bookmarkEnd w:id="60"/>
    </w:p>
    <w:p>
      <w:pPr>
        <w:rPr>
          <w:rStyle w:val="26"/>
          <w:rFonts w:ascii="仿宋_GB2312" w:hAnsi="仿宋" w:eastAsia="仿宋_GB2312"/>
          <w:b w:val="0"/>
        </w:rPr>
      </w:pPr>
      <w:bookmarkStart w:id="61" w:name="_Toc15396623"/>
      <w:r>
        <w:rPr>
          <w:rStyle w:val="26"/>
          <w:rFonts w:hint="eastAsia" w:ascii="仿宋_GB2312" w:hAnsi="仿宋" w:eastAsia="仿宋_GB2312"/>
          <w:b w:val="0"/>
        </w:rPr>
        <w:t>五、</w:t>
      </w:r>
      <w:r>
        <w:rPr>
          <w:rFonts w:hint="eastAsia" w:ascii="仿宋_GB2312" w:eastAsia="仿宋_GB2312"/>
          <w:color w:val="000000"/>
          <w:sz w:val="32"/>
          <w:szCs w:val="32"/>
        </w:rPr>
        <w:t>财</w:t>
      </w:r>
      <w:r>
        <w:rPr>
          <w:rStyle w:val="26"/>
          <w:rFonts w:hint="eastAsia" w:ascii="仿宋_GB2312" w:hAnsi="仿宋" w:eastAsia="仿宋_GB2312"/>
          <w:b w:val="0"/>
        </w:rPr>
        <w:t>政拨款支出决算明细表</w:t>
      </w:r>
      <w:bookmarkEnd w:id="61"/>
      <w:bookmarkStart w:id="62" w:name="_Toc15396624"/>
    </w:p>
    <w:p>
      <w:pPr>
        <w:rPr>
          <w:rFonts w:ascii="仿宋_GB2312" w:eastAsia="仿宋_GB2312"/>
          <w:color w:val="000000"/>
          <w:sz w:val="32"/>
          <w:szCs w:val="32"/>
        </w:rPr>
      </w:pPr>
      <w:r>
        <w:rPr>
          <w:rStyle w:val="26"/>
          <w:rFonts w:hint="eastAsia" w:ascii="仿宋_GB2312" w:hAnsi="仿宋" w:eastAsia="仿宋_GB2312"/>
          <w:b w:val="0"/>
        </w:rPr>
        <w:t>六、</w:t>
      </w:r>
      <w:r>
        <w:rPr>
          <w:rFonts w:hint="eastAsia" w:ascii="仿宋_GB2312" w:eastAsia="仿宋_GB2312"/>
          <w:color w:val="000000"/>
          <w:sz w:val="32"/>
          <w:szCs w:val="32"/>
        </w:rPr>
        <w:t>一</w:t>
      </w:r>
      <w:r>
        <w:rPr>
          <w:rStyle w:val="26"/>
          <w:rFonts w:hint="eastAsia" w:ascii="仿宋_GB2312" w:hAnsi="仿宋" w:eastAsia="仿宋_GB2312"/>
          <w:b w:val="0"/>
        </w:rPr>
        <w:t>般公共预算财政拨款支出决算表</w:t>
      </w:r>
      <w:bookmarkEnd w:id="62"/>
    </w:p>
    <w:p>
      <w:pPr>
        <w:rPr>
          <w:rFonts w:ascii="仿宋_GB2312" w:eastAsia="仿宋_GB2312"/>
          <w:color w:val="000000"/>
          <w:sz w:val="32"/>
          <w:szCs w:val="32"/>
        </w:rPr>
      </w:pPr>
      <w:bookmarkStart w:id="63" w:name="_Toc15396625"/>
      <w:r>
        <w:rPr>
          <w:rStyle w:val="26"/>
          <w:rFonts w:hint="eastAsia" w:ascii="仿宋_GB2312" w:hAnsi="仿宋" w:eastAsia="仿宋_GB2312"/>
          <w:b w:val="0"/>
        </w:rPr>
        <w:t>七、</w:t>
      </w:r>
      <w:r>
        <w:rPr>
          <w:rFonts w:hint="eastAsia" w:ascii="仿宋_GB2312" w:eastAsia="仿宋_GB2312"/>
          <w:color w:val="000000"/>
          <w:sz w:val="32"/>
          <w:szCs w:val="32"/>
        </w:rPr>
        <w:t>一</w:t>
      </w:r>
      <w:r>
        <w:rPr>
          <w:rStyle w:val="26"/>
          <w:rFonts w:hint="eastAsia" w:ascii="仿宋_GB2312" w:hAnsi="仿宋" w:eastAsia="仿宋_GB2312"/>
          <w:b w:val="0"/>
        </w:rPr>
        <w:t>般公共预算财政拨款支出决算明细表</w:t>
      </w:r>
      <w:bookmarkEnd w:id="63"/>
    </w:p>
    <w:p>
      <w:pPr>
        <w:rPr>
          <w:rFonts w:ascii="仿宋_GB2312" w:eastAsia="仿宋_GB2312"/>
          <w:color w:val="000000"/>
          <w:sz w:val="32"/>
          <w:szCs w:val="32"/>
        </w:rPr>
      </w:pPr>
      <w:bookmarkStart w:id="64" w:name="_Toc15396626"/>
      <w:r>
        <w:rPr>
          <w:rStyle w:val="26"/>
          <w:rFonts w:hint="eastAsia" w:ascii="仿宋_GB2312" w:hAnsi="仿宋" w:eastAsia="仿宋_GB2312"/>
          <w:b w:val="0"/>
        </w:rPr>
        <w:t>八、</w:t>
      </w:r>
      <w:r>
        <w:rPr>
          <w:rFonts w:hint="eastAsia" w:ascii="仿宋_GB2312" w:eastAsia="仿宋_GB2312"/>
          <w:color w:val="000000"/>
          <w:sz w:val="32"/>
          <w:szCs w:val="32"/>
        </w:rPr>
        <w:t>一</w:t>
      </w:r>
      <w:r>
        <w:rPr>
          <w:rStyle w:val="26"/>
          <w:rFonts w:hint="eastAsia" w:ascii="仿宋_GB2312" w:hAnsi="仿宋" w:eastAsia="仿宋_GB2312"/>
          <w:b w:val="0"/>
        </w:rPr>
        <w:t>般公共预算财政拨款基本支出决算表</w:t>
      </w:r>
      <w:bookmarkEnd w:id="64"/>
    </w:p>
    <w:p>
      <w:pPr>
        <w:rPr>
          <w:rFonts w:ascii="仿宋_GB2312" w:eastAsia="仿宋_GB2312"/>
          <w:color w:val="000000"/>
          <w:sz w:val="32"/>
          <w:szCs w:val="32"/>
        </w:rPr>
      </w:pPr>
      <w:bookmarkStart w:id="65" w:name="_Toc15396627"/>
      <w:r>
        <w:rPr>
          <w:rStyle w:val="26"/>
          <w:rFonts w:hint="eastAsia" w:ascii="仿宋_GB2312" w:hAnsi="仿宋" w:eastAsia="仿宋_GB2312"/>
          <w:b w:val="0"/>
        </w:rPr>
        <w:t>九、</w:t>
      </w:r>
      <w:r>
        <w:rPr>
          <w:rFonts w:hint="eastAsia" w:ascii="仿宋_GB2312" w:eastAsia="仿宋_GB2312"/>
          <w:color w:val="000000"/>
          <w:sz w:val="32"/>
          <w:szCs w:val="32"/>
        </w:rPr>
        <w:t>一</w:t>
      </w:r>
      <w:r>
        <w:rPr>
          <w:rStyle w:val="26"/>
          <w:rFonts w:hint="eastAsia" w:ascii="仿宋_GB2312" w:hAnsi="仿宋" w:eastAsia="仿宋_GB2312"/>
          <w:b w:val="0"/>
        </w:rPr>
        <w:t>般公共预算财政拨款项目支出决算表</w:t>
      </w:r>
      <w:bookmarkEnd w:id="65"/>
    </w:p>
    <w:p>
      <w:pPr>
        <w:rPr>
          <w:rFonts w:ascii="仿宋_GB2312" w:eastAsia="仿宋_GB2312"/>
          <w:color w:val="000000"/>
          <w:sz w:val="32"/>
          <w:szCs w:val="32"/>
        </w:rPr>
      </w:pPr>
      <w:bookmarkStart w:id="66" w:name="_Toc15396628"/>
      <w:r>
        <w:rPr>
          <w:rStyle w:val="26"/>
          <w:rFonts w:hint="eastAsia" w:ascii="仿宋_GB2312" w:hAnsi="仿宋" w:eastAsia="仿宋_GB2312"/>
          <w:b w:val="0"/>
        </w:rPr>
        <w:t>十、</w:t>
      </w:r>
      <w:r>
        <w:rPr>
          <w:rFonts w:hint="eastAsia" w:ascii="仿宋_GB2312" w:eastAsia="仿宋_GB2312"/>
          <w:color w:val="000000"/>
          <w:sz w:val="32"/>
          <w:szCs w:val="32"/>
        </w:rPr>
        <w:t>一</w:t>
      </w:r>
      <w:r>
        <w:rPr>
          <w:rStyle w:val="26"/>
          <w:rFonts w:hint="eastAsia" w:ascii="仿宋_GB2312" w:hAnsi="仿宋" w:eastAsia="仿宋_GB2312"/>
          <w:b w:val="0"/>
        </w:rPr>
        <w:t>般公共预算财政拨款“三公”经费支出决算表</w:t>
      </w:r>
      <w:bookmarkEnd w:id="66"/>
    </w:p>
    <w:p>
      <w:pPr>
        <w:rPr>
          <w:rFonts w:ascii="仿宋_GB2312" w:eastAsia="仿宋_GB2312"/>
          <w:color w:val="000000"/>
          <w:sz w:val="32"/>
          <w:szCs w:val="32"/>
        </w:rPr>
      </w:pPr>
      <w:bookmarkStart w:id="67" w:name="_Toc15396629"/>
      <w:r>
        <w:rPr>
          <w:rStyle w:val="26"/>
          <w:rFonts w:hint="eastAsia" w:ascii="仿宋_GB2312" w:hAnsi="仿宋" w:eastAsia="仿宋_GB2312"/>
          <w:b w:val="0"/>
        </w:rPr>
        <w:t>十一、</w:t>
      </w:r>
      <w:r>
        <w:rPr>
          <w:rFonts w:hint="eastAsia" w:ascii="仿宋_GB2312" w:eastAsia="仿宋_GB2312"/>
          <w:color w:val="000000"/>
          <w:sz w:val="32"/>
          <w:szCs w:val="32"/>
        </w:rPr>
        <w:t>政</w:t>
      </w:r>
      <w:r>
        <w:rPr>
          <w:rStyle w:val="26"/>
          <w:rFonts w:hint="eastAsia" w:ascii="仿宋_GB2312" w:hAnsi="仿宋" w:eastAsia="仿宋_GB2312"/>
          <w:b w:val="0"/>
        </w:rPr>
        <w:t>府性基金预算财政拨款收入支出决算表</w:t>
      </w:r>
      <w:bookmarkEnd w:id="67"/>
    </w:p>
    <w:p>
      <w:pPr>
        <w:rPr>
          <w:rFonts w:ascii="仿宋_GB2312" w:eastAsia="仿宋_GB2312"/>
          <w:color w:val="000000"/>
          <w:sz w:val="32"/>
          <w:szCs w:val="32"/>
        </w:rPr>
      </w:pPr>
      <w:bookmarkStart w:id="68" w:name="_Toc15396630"/>
      <w:r>
        <w:rPr>
          <w:rStyle w:val="26"/>
          <w:rFonts w:hint="eastAsia" w:ascii="仿宋_GB2312" w:hAnsi="仿宋" w:eastAsia="仿宋_GB2312"/>
          <w:b w:val="0"/>
        </w:rPr>
        <w:t>十二、</w:t>
      </w:r>
      <w:r>
        <w:rPr>
          <w:rFonts w:hint="eastAsia" w:ascii="仿宋_GB2312" w:eastAsia="仿宋_GB2312"/>
          <w:color w:val="000000"/>
          <w:sz w:val="32"/>
          <w:szCs w:val="32"/>
        </w:rPr>
        <w:t>政</w:t>
      </w:r>
      <w:r>
        <w:rPr>
          <w:rStyle w:val="26"/>
          <w:rFonts w:hint="eastAsia" w:ascii="仿宋_GB2312" w:hAnsi="仿宋" w:eastAsia="仿宋_GB2312"/>
          <w:b w:val="0"/>
        </w:rPr>
        <w:t>府性基金预算财政拨款“三公”经费支出决算表</w:t>
      </w:r>
      <w:bookmarkEnd w:id="68"/>
    </w:p>
    <w:p>
      <w:pPr>
        <w:rPr>
          <w:rFonts w:ascii="仿宋_GB2312" w:eastAsia="仿宋_GB2312"/>
          <w:color w:val="000000" w:themeColor="text1"/>
          <w:sz w:val="32"/>
          <w:szCs w:val="32"/>
        </w:rPr>
      </w:pPr>
      <w:bookmarkStart w:id="69" w:name="_Toc15396631"/>
      <w:r>
        <w:rPr>
          <w:rStyle w:val="26"/>
          <w:rFonts w:hint="eastAsia" w:ascii="仿宋_GB2312" w:hAnsi="仿宋" w:eastAsia="仿宋_GB2312"/>
          <w:b w:val="0"/>
        </w:rPr>
        <w:t>十三、</w:t>
      </w:r>
      <w:r>
        <w:rPr>
          <w:rFonts w:hint="eastAsia" w:ascii="仿宋_GB2312" w:eastAsia="仿宋_GB2312"/>
          <w:color w:val="000000"/>
          <w:sz w:val="32"/>
          <w:szCs w:val="32"/>
        </w:rPr>
        <w:t>国</w:t>
      </w:r>
      <w:r>
        <w:rPr>
          <w:rStyle w:val="26"/>
          <w:rFonts w:hint="eastAsia" w:ascii="仿宋_GB2312" w:hAnsi="仿宋" w:eastAsia="仿宋_GB2312"/>
          <w:b w:val="0"/>
        </w:rPr>
        <w:t>有资本经营预算支出决算表</w:t>
      </w:r>
      <w:bookmarkEnd w:id="69"/>
    </w:p>
    <w:sectPr>
      <w:headerReference r:id="rId3" w:type="default"/>
      <w:footerReference r:id="rId4"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61797"/>
    </w:sdtPr>
    <w:sdtContent>
      <w:p>
        <w:pPr>
          <w:pStyle w:val="8"/>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017F9"/>
    <w:rsid w:val="000222C6"/>
    <w:rsid w:val="0002549F"/>
    <w:rsid w:val="000468DB"/>
    <w:rsid w:val="000606EC"/>
    <w:rsid w:val="0006487A"/>
    <w:rsid w:val="00065F8F"/>
    <w:rsid w:val="00070A43"/>
    <w:rsid w:val="000768F2"/>
    <w:rsid w:val="000870E9"/>
    <w:rsid w:val="0009184B"/>
    <w:rsid w:val="00094236"/>
    <w:rsid w:val="0009593C"/>
    <w:rsid w:val="00097322"/>
    <w:rsid w:val="000A6A92"/>
    <w:rsid w:val="000B047F"/>
    <w:rsid w:val="000B5923"/>
    <w:rsid w:val="000B5A48"/>
    <w:rsid w:val="000B6FF3"/>
    <w:rsid w:val="000C0F81"/>
    <w:rsid w:val="000C1D9C"/>
    <w:rsid w:val="000C3467"/>
    <w:rsid w:val="000C3CA6"/>
    <w:rsid w:val="000D1267"/>
    <w:rsid w:val="000D1D50"/>
    <w:rsid w:val="000D5782"/>
    <w:rsid w:val="000D74FB"/>
    <w:rsid w:val="000E3F89"/>
    <w:rsid w:val="000E6613"/>
    <w:rsid w:val="000E7119"/>
    <w:rsid w:val="001061E6"/>
    <w:rsid w:val="00114E9B"/>
    <w:rsid w:val="00134F16"/>
    <w:rsid w:val="00142216"/>
    <w:rsid w:val="00144D6A"/>
    <w:rsid w:val="0014729F"/>
    <w:rsid w:val="00147D89"/>
    <w:rsid w:val="00155188"/>
    <w:rsid w:val="00157BAB"/>
    <w:rsid w:val="001654D1"/>
    <w:rsid w:val="00174518"/>
    <w:rsid w:val="0018106D"/>
    <w:rsid w:val="001877A7"/>
    <w:rsid w:val="00191536"/>
    <w:rsid w:val="001956E4"/>
    <w:rsid w:val="00196687"/>
    <w:rsid w:val="001C0962"/>
    <w:rsid w:val="001C0DAA"/>
    <w:rsid w:val="001D7531"/>
    <w:rsid w:val="001E737D"/>
    <w:rsid w:val="001F0592"/>
    <w:rsid w:val="001F0669"/>
    <w:rsid w:val="001F0DBC"/>
    <w:rsid w:val="001F3E79"/>
    <w:rsid w:val="001F7506"/>
    <w:rsid w:val="002006CD"/>
    <w:rsid w:val="00202B36"/>
    <w:rsid w:val="00204B7A"/>
    <w:rsid w:val="00204CDE"/>
    <w:rsid w:val="0021101A"/>
    <w:rsid w:val="00220536"/>
    <w:rsid w:val="00230EB0"/>
    <w:rsid w:val="00235629"/>
    <w:rsid w:val="00260C38"/>
    <w:rsid w:val="002616C0"/>
    <w:rsid w:val="00265372"/>
    <w:rsid w:val="002662AA"/>
    <w:rsid w:val="00280496"/>
    <w:rsid w:val="0029044D"/>
    <w:rsid w:val="00294DC9"/>
    <w:rsid w:val="00295495"/>
    <w:rsid w:val="002A31DE"/>
    <w:rsid w:val="002B2613"/>
    <w:rsid w:val="002D19B0"/>
    <w:rsid w:val="002D6D05"/>
    <w:rsid w:val="002F1818"/>
    <w:rsid w:val="002F567B"/>
    <w:rsid w:val="00316255"/>
    <w:rsid w:val="003216A9"/>
    <w:rsid w:val="00335A74"/>
    <w:rsid w:val="00336A1F"/>
    <w:rsid w:val="00350C64"/>
    <w:rsid w:val="00364C43"/>
    <w:rsid w:val="0036561B"/>
    <w:rsid w:val="003675C7"/>
    <w:rsid w:val="0037013F"/>
    <w:rsid w:val="00373B38"/>
    <w:rsid w:val="00380C92"/>
    <w:rsid w:val="003A484F"/>
    <w:rsid w:val="003A4883"/>
    <w:rsid w:val="003B0BE0"/>
    <w:rsid w:val="003B0C1B"/>
    <w:rsid w:val="003B688C"/>
    <w:rsid w:val="003C0291"/>
    <w:rsid w:val="003C39AE"/>
    <w:rsid w:val="003C7B60"/>
    <w:rsid w:val="003C7CFB"/>
    <w:rsid w:val="003D0C0F"/>
    <w:rsid w:val="003D1FB2"/>
    <w:rsid w:val="003D66DA"/>
    <w:rsid w:val="003E1310"/>
    <w:rsid w:val="003E6F55"/>
    <w:rsid w:val="00406254"/>
    <w:rsid w:val="00416CD4"/>
    <w:rsid w:val="004201DE"/>
    <w:rsid w:val="004223DE"/>
    <w:rsid w:val="00434489"/>
    <w:rsid w:val="00437085"/>
    <w:rsid w:val="00443880"/>
    <w:rsid w:val="004464F4"/>
    <w:rsid w:val="00452387"/>
    <w:rsid w:val="00471401"/>
    <w:rsid w:val="00472AC7"/>
    <w:rsid w:val="00473F31"/>
    <w:rsid w:val="0048263A"/>
    <w:rsid w:val="00487E5D"/>
    <w:rsid w:val="004951B1"/>
    <w:rsid w:val="004A711F"/>
    <w:rsid w:val="004B199D"/>
    <w:rsid w:val="004B4690"/>
    <w:rsid w:val="004E0A2D"/>
    <w:rsid w:val="004E206B"/>
    <w:rsid w:val="004E6DF7"/>
    <w:rsid w:val="004F0FBD"/>
    <w:rsid w:val="004F403E"/>
    <w:rsid w:val="00505A47"/>
    <w:rsid w:val="00506A4E"/>
    <w:rsid w:val="00512FDA"/>
    <w:rsid w:val="00520DA0"/>
    <w:rsid w:val="005664BB"/>
    <w:rsid w:val="00566FFA"/>
    <w:rsid w:val="0057481D"/>
    <w:rsid w:val="00575F0B"/>
    <w:rsid w:val="0058486E"/>
    <w:rsid w:val="00585B33"/>
    <w:rsid w:val="0059014D"/>
    <w:rsid w:val="00594A29"/>
    <w:rsid w:val="005B5C64"/>
    <w:rsid w:val="005C2576"/>
    <w:rsid w:val="005C6BD0"/>
    <w:rsid w:val="005C6C4C"/>
    <w:rsid w:val="005D1C8B"/>
    <w:rsid w:val="005D468D"/>
    <w:rsid w:val="005D5CED"/>
    <w:rsid w:val="005E56B3"/>
    <w:rsid w:val="005F1A4C"/>
    <w:rsid w:val="006055C2"/>
    <w:rsid w:val="00605688"/>
    <w:rsid w:val="006070AF"/>
    <w:rsid w:val="00607E6C"/>
    <w:rsid w:val="006101B1"/>
    <w:rsid w:val="00614E44"/>
    <w:rsid w:val="00616D58"/>
    <w:rsid w:val="0062270A"/>
    <w:rsid w:val="00622830"/>
    <w:rsid w:val="00623DA0"/>
    <w:rsid w:val="00630AEF"/>
    <w:rsid w:val="006325F8"/>
    <w:rsid w:val="00633463"/>
    <w:rsid w:val="00634C9A"/>
    <w:rsid w:val="00635D06"/>
    <w:rsid w:val="00641E1B"/>
    <w:rsid w:val="006440E4"/>
    <w:rsid w:val="006632B1"/>
    <w:rsid w:val="0066343B"/>
    <w:rsid w:val="00664777"/>
    <w:rsid w:val="006748A4"/>
    <w:rsid w:val="00681A31"/>
    <w:rsid w:val="00683E73"/>
    <w:rsid w:val="006A14B3"/>
    <w:rsid w:val="006A3141"/>
    <w:rsid w:val="006A5E34"/>
    <w:rsid w:val="006A754A"/>
    <w:rsid w:val="006B058B"/>
    <w:rsid w:val="006B2422"/>
    <w:rsid w:val="006B2B9A"/>
    <w:rsid w:val="006C1937"/>
    <w:rsid w:val="006F020C"/>
    <w:rsid w:val="006F2B23"/>
    <w:rsid w:val="006F53A6"/>
    <w:rsid w:val="007127B7"/>
    <w:rsid w:val="0071798E"/>
    <w:rsid w:val="0072016C"/>
    <w:rsid w:val="00727533"/>
    <w:rsid w:val="007416B6"/>
    <w:rsid w:val="00746F48"/>
    <w:rsid w:val="0075404D"/>
    <w:rsid w:val="0076182A"/>
    <w:rsid w:val="00767B7E"/>
    <w:rsid w:val="007770C3"/>
    <w:rsid w:val="00784D24"/>
    <w:rsid w:val="00785FBA"/>
    <w:rsid w:val="00786E4A"/>
    <w:rsid w:val="007875EB"/>
    <w:rsid w:val="0079426B"/>
    <w:rsid w:val="007B2CE9"/>
    <w:rsid w:val="007B701B"/>
    <w:rsid w:val="007C44D6"/>
    <w:rsid w:val="007D1682"/>
    <w:rsid w:val="007D312A"/>
    <w:rsid w:val="007D3F19"/>
    <w:rsid w:val="007D3FCB"/>
    <w:rsid w:val="007D71C6"/>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4E6C"/>
    <w:rsid w:val="00885AF4"/>
    <w:rsid w:val="008939CD"/>
    <w:rsid w:val="008B768C"/>
    <w:rsid w:val="008C4DB1"/>
    <w:rsid w:val="008C4EAF"/>
    <w:rsid w:val="008C5176"/>
    <w:rsid w:val="008C7FD0"/>
    <w:rsid w:val="008D6656"/>
    <w:rsid w:val="008E1DE7"/>
    <w:rsid w:val="008E707C"/>
    <w:rsid w:val="008F13B3"/>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3556"/>
    <w:rsid w:val="0098660A"/>
    <w:rsid w:val="009931C3"/>
    <w:rsid w:val="009A487E"/>
    <w:rsid w:val="009A6930"/>
    <w:rsid w:val="009B2212"/>
    <w:rsid w:val="009B2C43"/>
    <w:rsid w:val="009B4EAE"/>
    <w:rsid w:val="009B7573"/>
    <w:rsid w:val="009C014D"/>
    <w:rsid w:val="009C22F4"/>
    <w:rsid w:val="009C2E3F"/>
    <w:rsid w:val="009C2E98"/>
    <w:rsid w:val="009C37FB"/>
    <w:rsid w:val="009D3447"/>
    <w:rsid w:val="009D4711"/>
    <w:rsid w:val="009F1185"/>
    <w:rsid w:val="009F18CD"/>
    <w:rsid w:val="009F2A13"/>
    <w:rsid w:val="009F7527"/>
    <w:rsid w:val="009F7D66"/>
    <w:rsid w:val="00A039ED"/>
    <w:rsid w:val="00A04EB0"/>
    <w:rsid w:val="00A13CC1"/>
    <w:rsid w:val="00A16847"/>
    <w:rsid w:val="00A237D8"/>
    <w:rsid w:val="00A268C4"/>
    <w:rsid w:val="00A307CD"/>
    <w:rsid w:val="00A331C8"/>
    <w:rsid w:val="00A35117"/>
    <w:rsid w:val="00A36A8C"/>
    <w:rsid w:val="00A40A00"/>
    <w:rsid w:val="00A4142F"/>
    <w:rsid w:val="00A422EB"/>
    <w:rsid w:val="00A45BB7"/>
    <w:rsid w:val="00A56DF2"/>
    <w:rsid w:val="00A56E6E"/>
    <w:rsid w:val="00A67AB5"/>
    <w:rsid w:val="00A733B2"/>
    <w:rsid w:val="00A741C2"/>
    <w:rsid w:val="00A91760"/>
    <w:rsid w:val="00A93B00"/>
    <w:rsid w:val="00A93C21"/>
    <w:rsid w:val="00AA02C5"/>
    <w:rsid w:val="00AA13EF"/>
    <w:rsid w:val="00AA3CCB"/>
    <w:rsid w:val="00AA4D12"/>
    <w:rsid w:val="00AB2456"/>
    <w:rsid w:val="00AB64C9"/>
    <w:rsid w:val="00AC3C6A"/>
    <w:rsid w:val="00AD0F83"/>
    <w:rsid w:val="00AD44DE"/>
    <w:rsid w:val="00AD5620"/>
    <w:rsid w:val="00AD656B"/>
    <w:rsid w:val="00AD7C1B"/>
    <w:rsid w:val="00AE16BA"/>
    <w:rsid w:val="00AE1EBE"/>
    <w:rsid w:val="00B02519"/>
    <w:rsid w:val="00B03826"/>
    <w:rsid w:val="00B03C35"/>
    <w:rsid w:val="00B03C9D"/>
    <w:rsid w:val="00B060AE"/>
    <w:rsid w:val="00B10517"/>
    <w:rsid w:val="00B14E76"/>
    <w:rsid w:val="00B161B8"/>
    <w:rsid w:val="00B2048C"/>
    <w:rsid w:val="00B244FF"/>
    <w:rsid w:val="00B276B3"/>
    <w:rsid w:val="00B310B9"/>
    <w:rsid w:val="00B35F3F"/>
    <w:rsid w:val="00B36CBB"/>
    <w:rsid w:val="00B425E0"/>
    <w:rsid w:val="00B440AA"/>
    <w:rsid w:val="00B44B70"/>
    <w:rsid w:val="00B47EA3"/>
    <w:rsid w:val="00B52CBE"/>
    <w:rsid w:val="00B53C56"/>
    <w:rsid w:val="00B57DAF"/>
    <w:rsid w:val="00B77EA6"/>
    <w:rsid w:val="00B81598"/>
    <w:rsid w:val="00B841F1"/>
    <w:rsid w:val="00B9442A"/>
    <w:rsid w:val="00B944D6"/>
    <w:rsid w:val="00BB4DF0"/>
    <w:rsid w:val="00BB7344"/>
    <w:rsid w:val="00BC289F"/>
    <w:rsid w:val="00BC2D50"/>
    <w:rsid w:val="00BC5361"/>
    <w:rsid w:val="00BC5460"/>
    <w:rsid w:val="00BC6B50"/>
    <w:rsid w:val="00BD0E25"/>
    <w:rsid w:val="00BD1508"/>
    <w:rsid w:val="00BF5BD6"/>
    <w:rsid w:val="00C03E31"/>
    <w:rsid w:val="00C04B98"/>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030C7"/>
    <w:rsid w:val="00D114F0"/>
    <w:rsid w:val="00D20620"/>
    <w:rsid w:val="00D254F7"/>
    <w:rsid w:val="00D26091"/>
    <w:rsid w:val="00D2685C"/>
    <w:rsid w:val="00D32980"/>
    <w:rsid w:val="00D34E7C"/>
    <w:rsid w:val="00D35489"/>
    <w:rsid w:val="00D36AFE"/>
    <w:rsid w:val="00D40813"/>
    <w:rsid w:val="00D51276"/>
    <w:rsid w:val="00D64C31"/>
    <w:rsid w:val="00D7035F"/>
    <w:rsid w:val="00DA634F"/>
    <w:rsid w:val="00DA65AC"/>
    <w:rsid w:val="00DB1913"/>
    <w:rsid w:val="00DB2A70"/>
    <w:rsid w:val="00DC410D"/>
    <w:rsid w:val="00DC5A81"/>
    <w:rsid w:val="00DC5DEE"/>
    <w:rsid w:val="00DC68CA"/>
    <w:rsid w:val="00DC7CBA"/>
    <w:rsid w:val="00DD73B7"/>
    <w:rsid w:val="00DF28BC"/>
    <w:rsid w:val="00DF34B9"/>
    <w:rsid w:val="00DF7B9E"/>
    <w:rsid w:val="00E01053"/>
    <w:rsid w:val="00E07ACF"/>
    <w:rsid w:val="00E331A1"/>
    <w:rsid w:val="00E33202"/>
    <w:rsid w:val="00E336A9"/>
    <w:rsid w:val="00E472B1"/>
    <w:rsid w:val="00E50624"/>
    <w:rsid w:val="00E537CB"/>
    <w:rsid w:val="00E568DF"/>
    <w:rsid w:val="00E62E28"/>
    <w:rsid w:val="00E64269"/>
    <w:rsid w:val="00E66797"/>
    <w:rsid w:val="00E72C32"/>
    <w:rsid w:val="00E82267"/>
    <w:rsid w:val="00E853CE"/>
    <w:rsid w:val="00E867B6"/>
    <w:rsid w:val="00E87F08"/>
    <w:rsid w:val="00E90D32"/>
    <w:rsid w:val="00EA010F"/>
    <w:rsid w:val="00EC1437"/>
    <w:rsid w:val="00ED1B63"/>
    <w:rsid w:val="00ED3C1F"/>
    <w:rsid w:val="00ED4085"/>
    <w:rsid w:val="00ED420E"/>
    <w:rsid w:val="00ED6FBE"/>
    <w:rsid w:val="00EE2F57"/>
    <w:rsid w:val="00EF171B"/>
    <w:rsid w:val="00EF4C34"/>
    <w:rsid w:val="00EF77C6"/>
    <w:rsid w:val="00F05438"/>
    <w:rsid w:val="00F13066"/>
    <w:rsid w:val="00F1361C"/>
    <w:rsid w:val="00F156F0"/>
    <w:rsid w:val="00F160C7"/>
    <w:rsid w:val="00F2408F"/>
    <w:rsid w:val="00F240E9"/>
    <w:rsid w:val="00F30AB1"/>
    <w:rsid w:val="00F36D8F"/>
    <w:rsid w:val="00F417B1"/>
    <w:rsid w:val="00F45853"/>
    <w:rsid w:val="00F469D7"/>
    <w:rsid w:val="00F51CAF"/>
    <w:rsid w:val="00F602DF"/>
    <w:rsid w:val="00F754A1"/>
    <w:rsid w:val="00F81FD9"/>
    <w:rsid w:val="00F82AD5"/>
    <w:rsid w:val="00F841AA"/>
    <w:rsid w:val="00F84A94"/>
    <w:rsid w:val="00F87E96"/>
    <w:rsid w:val="00FA1CE0"/>
    <w:rsid w:val="00FA23E8"/>
    <w:rsid w:val="00FA5225"/>
    <w:rsid w:val="00FD3CC1"/>
    <w:rsid w:val="00FF1E02"/>
    <w:rsid w:val="00FF30B4"/>
    <w:rsid w:val="10C055FF"/>
    <w:rsid w:val="14FF7D2F"/>
    <w:rsid w:val="16BB723D"/>
    <w:rsid w:val="240371BF"/>
    <w:rsid w:val="246468A0"/>
    <w:rsid w:val="29FD04D3"/>
    <w:rsid w:val="319F7F4E"/>
    <w:rsid w:val="3FA94378"/>
    <w:rsid w:val="40164256"/>
    <w:rsid w:val="4B63707E"/>
    <w:rsid w:val="4ECE2238"/>
    <w:rsid w:val="5156340C"/>
    <w:rsid w:val="61970135"/>
    <w:rsid w:val="72734D9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uiPriority w:val="99"/>
    <w:pPr>
      <w:widowControl w:val="0"/>
    </w:pPr>
    <w:rPr>
      <w:rFonts w:ascii="宋体" w:hAnsi="宋体" w:eastAsia="宋体" w:cs="宋体"/>
      <w:sz w:val="24"/>
      <w:szCs w:val="24"/>
      <w:lang w:val="en-US" w:eastAsia="zh-CN" w:bidi="ar-SA"/>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1">
    <w:name w:val="Char"/>
    <w:basedOn w:val="1"/>
    <w:uiPriority w:val="0"/>
    <w:pPr>
      <w:spacing w:before="100" w:beforeAutospacing="1" w:after="100" w:afterAutospacing="1"/>
    </w:pPr>
    <w:rPr>
      <w:rFonts w:ascii="仿宋_GB2312" w:eastAsia="仿宋_GB2312"/>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23</Pages>
  <Words>1589</Words>
  <Characters>9060</Characters>
  <Lines>75</Lines>
  <Paragraphs>21</Paragraphs>
  <TotalTime>24</TotalTime>
  <ScaleCrop>false</ScaleCrop>
  <LinksUpToDate>false</LinksUpToDate>
  <CharactersWithSpaces>10628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2020-09-18T12:40:00Z</dcterms:created>
  <dc:creator>曹颖</dc:creator>
  <cp:lastModifiedBy>木子什么女单</cp:lastModifiedBy>
  <cp:lastPrinted>2020-07-23T02:58:00Z</cp:lastPrinted>
  <dcterms:modified xsi:type="dcterms:W3CDTF">2020-09-25T02:09:46Z</dcterms:modified>
  <dc:title>四川省***</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