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6" w:lineRule="exact"/>
        <w:jc w:val="center"/>
        <w:rPr>
          <w:rFonts w:ascii="方正小标宋简体" w:hAnsi="方正小标宋简体" w:eastAsia="方正小标宋简体" w:cs="Times New Roman"/>
          <w:b w:val="0"/>
          <w:bCs w:val="0"/>
        </w:rPr>
      </w:pPr>
      <w:r>
        <w:rPr>
          <w:rFonts w:hint="eastAsia" w:ascii="方正小标宋简体" w:hAnsi="方正小标宋简体" w:eastAsia="方正小标宋简体" w:cs="方正小标宋简体"/>
          <w:b w:val="0"/>
          <w:bCs w:val="0"/>
        </w:rPr>
        <w:t>中共广元市委三江新区建设办公室</w:t>
      </w:r>
    </w:p>
    <w:p>
      <w:pPr>
        <w:pStyle w:val="2"/>
        <w:spacing w:line="576" w:lineRule="exact"/>
        <w:jc w:val="center"/>
        <w:rPr>
          <w:rFonts w:ascii="方正小标宋简体" w:hAnsi="方正小标宋简体" w:eastAsia="方正小标宋简体" w:cs="Times New Roman"/>
          <w:b w:val="0"/>
          <w:bCs w:val="0"/>
        </w:rPr>
      </w:pPr>
      <w:r>
        <w:rPr>
          <w:rFonts w:ascii="方正小标宋简体" w:hAnsi="方正小标宋简体" w:eastAsia="方正小标宋简体" w:cs="方正小标宋简体"/>
          <w:b w:val="0"/>
          <w:bCs w:val="0"/>
        </w:rPr>
        <w:t>2020</w:t>
      </w:r>
      <w:r>
        <w:rPr>
          <w:rFonts w:hint="eastAsia" w:ascii="方正小标宋简体" w:hAnsi="方正小标宋简体" w:eastAsia="方正小标宋简体" w:cs="方正小标宋简体"/>
          <w:b w:val="0"/>
          <w:bCs w:val="0"/>
        </w:rPr>
        <w:t>年部门预算编制说明</w:t>
      </w:r>
    </w:p>
    <w:p>
      <w:pPr>
        <w:spacing w:line="576" w:lineRule="exact"/>
        <w:rPr>
          <w:rFonts w:ascii="仿宋_GB2312" w:hAnsi="仿宋_GB2312" w:eastAsia="仿宋_GB2312" w:cs="Times New Roman"/>
        </w:rPr>
      </w:pP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一、基本职能及主要工作</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（一）市委三江新区办职能简介</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贯彻落实党的路线方针政策、省委的重大战略部署、市委市政府有关决策安排。</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坚持新发展理念，研究建立协同配合、高效运转的工作机制，指导有关区、市级部门（单位）参与三江新区建设，推进一体化、快速、高质量发展。</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牵头组织研究三江新区中长期发展战略规划、修建性详细规划、各类专项规划的修订工作。统筹协调各项规划的衔接和实施，发挥规划引领作用。</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负责组织研究三江新区基础设施建设、产业发展和社会事业发展中存在的重大问题，向市委提出工作建议，发挥参谋作用。</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负责拟订三江新区建设工作计划，统筹安排各类建设项目，分解下达目标任务。监督检查有关区和市级部门（单位）任务完成情况，发挥督促作用。</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牵头做好三江新区投融资相关工作，分解落实年度投资计划，下达项目资金争取的目标任务。</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牵头负责三江新区建设项目的监督管理。监督指导有</w:t>
      </w:r>
    </w:p>
    <w:p>
      <w:pPr>
        <w:spacing w:line="576"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关国有投资公司项目建设、成本控制有关工作。参与质量监督、竣工验收、工程决算审计等活动。</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牵头拟订三江新区有关政策措施。会同有关部门开展</w:t>
      </w:r>
    </w:p>
    <w:p>
      <w:pPr>
        <w:spacing w:line="576"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项目的策划、包装、推介工作，开展重大投资促进活动，推进重大项目落地建设。</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完成市委、市政府交办的其他任务。</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（二）</w:t>
      </w:r>
      <w:r>
        <w:rPr>
          <w:rFonts w:ascii="楷体" w:hAnsi="楷体" w:eastAsia="楷体" w:cs="楷体"/>
          <w:sz w:val="32"/>
          <w:szCs w:val="32"/>
        </w:rPr>
        <w:t>2020</w:t>
      </w:r>
      <w:r>
        <w:rPr>
          <w:rFonts w:hint="eastAsia" w:ascii="楷体" w:hAnsi="楷体" w:eastAsia="楷体" w:cs="楷体"/>
          <w:sz w:val="32"/>
          <w:szCs w:val="32"/>
        </w:rPr>
        <w:t>年重点工作</w:t>
      </w:r>
    </w:p>
    <w:p>
      <w:pPr>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实施三江新区“基础设施建设攻坚年”活动，全年固定资产投资增长</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以上，实施重大项目</w:t>
      </w:r>
      <w:r>
        <w:rPr>
          <w:rFonts w:ascii="仿宋_GB2312" w:hAnsi="仿宋_GB2312" w:eastAsia="仿宋_GB2312" w:cs="仿宋_GB2312"/>
          <w:sz w:val="32"/>
          <w:szCs w:val="32"/>
        </w:rPr>
        <w:t>51</w:t>
      </w:r>
      <w:r>
        <w:rPr>
          <w:rFonts w:hint="eastAsia" w:ascii="仿宋_GB2312" w:hAnsi="仿宋_GB2312" w:eastAsia="仿宋_GB2312" w:cs="仿宋_GB2312"/>
          <w:sz w:val="32"/>
          <w:szCs w:val="32"/>
        </w:rPr>
        <w:t>个，其中：基础设施项目</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个，房地产项目</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个，民生及社会事业项目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个，物流项目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个，市考核项目完成投资</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亿元以上。新增整理城市建设用地</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亩，新增园区面积</w:t>
      </w:r>
      <w:r>
        <w:rPr>
          <w:rFonts w:ascii="仿宋_GB2312" w:hAnsi="仿宋_GB2312" w:eastAsia="仿宋_GB2312" w:cs="仿宋_GB2312"/>
          <w:sz w:val="32"/>
          <w:szCs w:val="32"/>
        </w:rPr>
        <w:t>1100</w:t>
      </w:r>
      <w:r>
        <w:rPr>
          <w:rFonts w:hint="eastAsia" w:ascii="仿宋_GB2312" w:hAnsi="仿宋_GB2312" w:eastAsia="仿宋_GB2312" w:cs="仿宋_GB2312"/>
          <w:sz w:val="32"/>
          <w:szCs w:val="32"/>
        </w:rPr>
        <w:t>亩。</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二、部门预算单位构成</w:t>
      </w:r>
    </w:p>
    <w:p>
      <w:pPr>
        <w:spacing w:line="576"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从预算单位构成看，市委三江新区办部门预算只有部门本级预算。</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三、财政拨款收支预算情况说明</w:t>
      </w:r>
    </w:p>
    <w:p>
      <w:pPr>
        <w:spacing w:line="576"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年财政拨款收支总预算</w:t>
      </w:r>
      <w:r>
        <w:rPr>
          <w:rFonts w:ascii="仿宋_GB2312" w:hAnsi="仿宋_GB2312" w:eastAsia="仿宋_GB2312" w:cs="仿宋_GB2312"/>
          <w:sz w:val="32"/>
          <w:szCs w:val="32"/>
        </w:rPr>
        <w:t>250.71</w:t>
      </w:r>
      <w:r>
        <w:rPr>
          <w:rFonts w:hint="eastAsia" w:ascii="仿宋_GB2312" w:hAnsi="仿宋_GB2312" w:eastAsia="仿宋_GB2312" w:cs="仿宋_GB2312"/>
          <w:sz w:val="32"/>
          <w:szCs w:val="32"/>
        </w:rPr>
        <w:t>万元。收入包括：一般公共预算当年拨款收入</w:t>
      </w:r>
      <w:r>
        <w:rPr>
          <w:rFonts w:ascii="仿宋_GB2312" w:hAnsi="仿宋_GB2312" w:eastAsia="仿宋_GB2312" w:cs="仿宋_GB2312"/>
          <w:sz w:val="32"/>
          <w:szCs w:val="32"/>
        </w:rPr>
        <w:t>250.71</w:t>
      </w:r>
      <w:r>
        <w:rPr>
          <w:rFonts w:hint="eastAsia" w:ascii="仿宋_GB2312" w:hAnsi="仿宋_GB2312" w:eastAsia="仿宋_GB2312" w:cs="仿宋_GB2312"/>
          <w:sz w:val="32"/>
          <w:szCs w:val="32"/>
        </w:rPr>
        <w:t>万元；支出包括：一般公共服务支出</w:t>
      </w:r>
      <w:r>
        <w:rPr>
          <w:rFonts w:ascii="仿宋_GB2312" w:hAnsi="仿宋_GB2312" w:eastAsia="仿宋_GB2312" w:cs="仿宋_GB2312"/>
          <w:sz w:val="32"/>
          <w:szCs w:val="32"/>
        </w:rPr>
        <w:t>211.02</w:t>
      </w:r>
      <w:r>
        <w:rPr>
          <w:rFonts w:hint="eastAsia" w:ascii="仿宋_GB2312" w:hAnsi="仿宋_GB2312" w:eastAsia="仿宋_GB2312" w:cs="仿宋_GB2312"/>
          <w:sz w:val="32"/>
          <w:szCs w:val="32"/>
        </w:rPr>
        <w:t>万元、社会保障和就业支出</w:t>
      </w:r>
      <w:r>
        <w:rPr>
          <w:rFonts w:ascii="仿宋_GB2312" w:hAnsi="仿宋_GB2312" w:eastAsia="仿宋_GB2312" w:cs="仿宋_GB2312"/>
          <w:sz w:val="32"/>
          <w:szCs w:val="32"/>
        </w:rPr>
        <w:t>16.39</w:t>
      </w:r>
      <w:r>
        <w:rPr>
          <w:rFonts w:hint="eastAsia" w:ascii="仿宋_GB2312" w:hAnsi="仿宋_GB2312" w:eastAsia="仿宋_GB2312" w:cs="仿宋_GB2312"/>
          <w:sz w:val="32"/>
          <w:szCs w:val="32"/>
        </w:rPr>
        <w:t>万元、卫生健康支出</w:t>
      </w:r>
      <w:r>
        <w:rPr>
          <w:rFonts w:ascii="仿宋_GB2312" w:hAnsi="仿宋_GB2312" w:eastAsia="仿宋_GB2312" w:cs="仿宋_GB2312"/>
          <w:sz w:val="32"/>
          <w:szCs w:val="32"/>
        </w:rPr>
        <w:t>7.42</w:t>
      </w:r>
      <w:r>
        <w:rPr>
          <w:rFonts w:hint="eastAsia" w:ascii="仿宋_GB2312" w:hAnsi="仿宋_GB2312" w:eastAsia="仿宋_GB2312" w:cs="仿宋_GB2312"/>
          <w:sz w:val="32"/>
          <w:szCs w:val="32"/>
        </w:rPr>
        <w:t>万元、住房保障支出</w:t>
      </w:r>
      <w:r>
        <w:rPr>
          <w:rFonts w:ascii="仿宋_GB2312" w:hAnsi="仿宋_GB2312" w:eastAsia="仿宋_GB2312" w:cs="仿宋_GB2312"/>
          <w:sz w:val="32"/>
          <w:szCs w:val="32"/>
        </w:rPr>
        <w:t>15.88</w:t>
      </w:r>
      <w:r>
        <w:rPr>
          <w:rFonts w:hint="eastAsia" w:ascii="仿宋_GB2312" w:hAnsi="仿宋_GB2312" w:eastAsia="仿宋_GB2312" w:cs="仿宋_GB2312"/>
          <w:sz w:val="32"/>
          <w:szCs w:val="32"/>
        </w:rPr>
        <w:t>万元。</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四、一般公共预算当年拨款情况说明</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（一）一般公共预算当年拨款规模变化情况</w:t>
      </w:r>
    </w:p>
    <w:p>
      <w:pPr>
        <w:widowControl/>
        <w:spacing w:line="576"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市委三江新区办</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年一般公共预算当年拨款</w:t>
      </w:r>
      <w:r>
        <w:rPr>
          <w:rFonts w:ascii="仿宋_GB2312" w:hAnsi="仿宋_GB2312" w:eastAsia="仿宋_GB2312" w:cs="仿宋_GB2312"/>
          <w:sz w:val="32"/>
          <w:szCs w:val="32"/>
        </w:rPr>
        <w:t>250.71</w:t>
      </w:r>
      <w:r>
        <w:rPr>
          <w:rFonts w:hint="eastAsia" w:ascii="仿宋_GB2312" w:hAnsi="仿宋_GB2312" w:eastAsia="仿宋_GB2312" w:cs="仿宋_GB2312"/>
          <w:sz w:val="32"/>
          <w:szCs w:val="32"/>
        </w:rPr>
        <w:t>万元，比</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年预算数</w:t>
      </w:r>
      <w:r>
        <w:rPr>
          <w:rFonts w:ascii="仿宋_GB2312" w:hAnsi="仿宋_GB2312" w:eastAsia="仿宋_GB2312" w:cs="仿宋_GB2312"/>
          <w:sz w:val="32"/>
          <w:szCs w:val="32"/>
        </w:rPr>
        <w:t>249.65</w:t>
      </w:r>
      <w:r>
        <w:rPr>
          <w:rFonts w:hint="eastAsia" w:ascii="仿宋_GB2312" w:hAnsi="仿宋_GB2312" w:eastAsia="仿宋_GB2312" w:cs="仿宋_GB2312"/>
          <w:sz w:val="32"/>
          <w:szCs w:val="32"/>
        </w:rPr>
        <w:t>万元增加</w:t>
      </w:r>
      <w:r>
        <w:rPr>
          <w:rFonts w:ascii="仿宋_GB2312" w:hAnsi="仿宋_GB2312" w:eastAsia="仿宋_GB2312" w:cs="仿宋_GB2312"/>
          <w:sz w:val="32"/>
          <w:szCs w:val="32"/>
        </w:rPr>
        <w:t>1.06</w:t>
      </w:r>
      <w:r>
        <w:rPr>
          <w:rFonts w:hint="eastAsia" w:ascii="仿宋_GB2312" w:hAnsi="仿宋_GB2312" w:eastAsia="仿宋_GB2312" w:cs="仿宋_GB2312"/>
          <w:sz w:val="32"/>
          <w:szCs w:val="32"/>
        </w:rPr>
        <w:t>万元，增长</w:t>
      </w:r>
      <w:r>
        <w:rPr>
          <w:rFonts w:ascii="仿宋_GB2312" w:hAnsi="仿宋_GB2312" w:eastAsia="仿宋_GB2312" w:cs="仿宋_GB2312"/>
          <w:sz w:val="32"/>
          <w:szCs w:val="32"/>
        </w:rPr>
        <w:t>0.42 %</w:t>
      </w:r>
      <w:r>
        <w:rPr>
          <w:rFonts w:hint="eastAsia" w:ascii="仿宋_GB2312" w:hAnsi="仿宋_GB2312" w:eastAsia="仿宋_GB2312" w:cs="仿宋_GB2312"/>
          <w:sz w:val="32"/>
          <w:szCs w:val="32"/>
        </w:rPr>
        <w:t>，变动的主要原因是</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年人员经费增加</w:t>
      </w:r>
      <w:r>
        <w:rPr>
          <w:rFonts w:hint="eastAsia" w:ascii="仿宋_GB2312" w:hAnsi="仿宋_GB2312" w:eastAsia="仿宋_GB2312" w:cs="仿宋_GB2312"/>
          <w:sz w:val="32"/>
          <w:szCs w:val="32"/>
        </w:rPr>
        <w:t>。</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（二）一般公共预算当年拨款结构情况</w:t>
      </w:r>
    </w:p>
    <w:p>
      <w:pPr>
        <w:spacing w:line="576"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一般公共服务（类）支出</w:t>
      </w:r>
      <w:r>
        <w:rPr>
          <w:rFonts w:ascii="仿宋_GB2312" w:hAnsi="仿宋_GB2312" w:eastAsia="仿宋_GB2312" w:cs="仿宋_GB2312"/>
          <w:sz w:val="32"/>
          <w:szCs w:val="32"/>
        </w:rPr>
        <w:t>211.02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84.17 %</w:t>
      </w:r>
      <w:r>
        <w:rPr>
          <w:rFonts w:hint="eastAsia" w:ascii="仿宋_GB2312" w:hAnsi="仿宋_GB2312" w:eastAsia="仿宋_GB2312" w:cs="仿宋_GB2312"/>
          <w:sz w:val="32"/>
          <w:szCs w:val="32"/>
        </w:rPr>
        <w:t>；社会保障和就业支出</w:t>
      </w:r>
      <w:r>
        <w:rPr>
          <w:rFonts w:ascii="仿宋_GB2312" w:hAnsi="仿宋_GB2312" w:eastAsia="仿宋_GB2312" w:cs="仿宋_GB2312"/>
          <w:sz w:val="32"/>
          <w:szCs w:val="32"/>
        </w:rPr>
        <w:t>16.39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6.53 %</w:t>
      </w:r>
      <w:r>
        <w:rPr>
          <w:rFonts w:hint="eastAsia" w:ascii="仿宋_GB2312" w:hAnsi="仿宋_GB2312" w:eastAsia="仿宋_GB2312" w:cs="仿宋_GB2312"/>
          <w:sz w:val="32"/>
          <w:szCs w:val="32"/>
        </w:rPr>
        <w:t>；卫生健康支出</w:t>
      </w:r>
      <w:r>
        <w:rPr>
          <w:rFonts w:ascii="仿宋_GB2312" w:hAnsi="仿宋_GB2312" w:eastAsia="仿宋_GB2312" w:cs="仿宋_GB2312"/>
          <w:sz w:val="32"/>
          <w:szCs w:val="32"/>
        </w:rPr>
        <w:t>7.42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2.96 %</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15.88</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6.34 %</w:t>
      </w:r>
      <w:r>
        <w:rPr>
          <w:rFonts w:hint="eastAsia" w:ascii="仿宋_GB2312" w:hAnsi="仿宋_GB2312" w:eastAsia="仿宋_GB2312" w:cs="仿宋_GB2312"/>
          <w:sz w:val="32"/>
          <w:szCs w:val="32"/>
        </w:rPr>
        <w:t>。</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（三）一般公共预算当年拨款具体使用情况</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一般公共服务支出（类）党委办公厅（室）及相关机构事务（款）行政运行（项）预算数为</w:t>
      </w:r>
      <w:r>
        <w:rPr>
          <w:rFonts w:ascii="仿宋_GB2312" w:hAnsi="仿宋_GB2312" w:eastAsia="仿宋_GB2312" w:cs="仿宋_GB2312"/>
          <w:kern w:val="0"/>
          <w:sz w:val="32"/>
          <w:szCs w:val="32"/>
          <w:shd w:val="clear" w:color="auto" w:fill="FFFFFF"/>
        </w:rPr>
        <w:t>166.32</w:t>
      </w:r>
      <w:r>
        <w:rPr>
          <w:rFonts w:hint="eastAsia" w:ascii="仿宋_GB2312" w:hAnsi="仿宋_GB2312" w:eastAsia="仿宋_GB2312" w:cs="仿宋_GB2312"/>
          <w:kern w:val="0"/>
          <w:sz w:val="32"/>
          <w:szCs w:val="32"/>
          <w:shd w:val="clear" w:color="auto" w:fill="FFFFFF"/>
        </w:rPr>
        <w:t>万元，比</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116.19</w:t>
      </w:r>
      <w:r>
        <w:rPr>
          <w:rFonts w:hint="eastAsia" w:ascii="仿宋_GB2312" w:hAnsi="仿宋_GB2312" w:eastAsia="仿宋_GB2312" w:cs="仿宋_GB2312"/>
          <w:kern w:val="0"/>
          <w:sz w:val="32"/>
          <w:szCs w:val="32"/>
          <w:shd w:val="clear" w:color="auto" w:fill="FFFFFF"/>
        </w:rPr>
        <w:t>万元增加</w:t>
      </w:r>
      <w:r>
        <w:rPr>
          <w:rFonts w:ascii="仿宋_GB2312" w:hAnsi="仿宋_GB2312" w:eastAsia="仿宋_GB2312" w:cs="仿宋_GB2312"/>
          <w:kern w:val="0"/>
          <w:sz w:val="32"/>
          <w:szCs w:val="32"/>
          <w:shd w:val="clear" w:color="auto" w:fill="FFFFFF"/>
        </w:rPr>
        <w:t>50.13</w:t>
      </w:r>
      <w:r>
        <w:rPr>
          <w:rFonts w:hint="eastAsia" w:ascii="仿宋_GB2312" w:hAnsi="仿宋_GB2312" w:eastAsia="仿宋_GB2312" w:cs="仿宋_GB2312"/>
          <w:kern w:val="0"/>
          <w:sz w:val="32"/>
          <w:szCs w:val="32"/>
          <w:shd w:val="clear" w:color="auto" w:fill="FFFFFF"/>
        </w:rPr>
        <w:t>万元，变动的主要原因是新调入人员</w:t>
      </w:r>
      <w:r>
        <w:rPr>
          <w:rFonts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rPr>
        <w:t>名导致人员经费增加。主要用于人员基本工资、津贴补贴、奖金、其他社会保障缴费、办公费、印刷费、水电费、邮电费、差旅费、物业管理费、租赁费、维修</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护</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费、培训费、接待费、工会费、福利费、其他交通费用及其他商品和服务支出。</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一般公共服务支出（类）党委办公厅（室）及相关机构事务（款）一般行政管理实务（项）预算数为</w:t>
      </w:r>
      <w:r>
        <w:rPr>
          <w:rFonts w:ascii="仿宋_GB2312" w:hAnsi="仿宋_GB2312" w:eastAsia="仿宋_GB2312" w:cs="仿宋_GB2312"/>
          <w:kern w:val="0"/>
          <w:sz w:val="32"/>
          <w:szCs w:val="32"/>
          <w:shd w:val="clear" w:color="auto" w:fill="FFFFFF"/>
        </w:rPr>
        <w:t>44.7</w:t>
      </w:r>
      <w:r>
        <w:rPr>
          <w:rFonts w:hint="eastAsia" w:ascii="仿宋_GB2312" w:hAnsi="仿宋_GB2312" w:eastAsia="仿宋_GB2312" w:cs="仿宋_GB2312"/>
          <w:kern w:val="0"/>
          <w:sz w:val="32"/>
          <w:szCs w:val="32"/>
          <w:shd w:val="clear" w:color="auto" w:fill="FFFFFF"/>
        </w:rPr>
        <w:t>万元，比</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100.38</w:t>
      </w:r>
      <w:r>
        <w:rPr>
          <w:rFonts w:hint="eastAsia" w:ascii="仿宋_GB2312" w:hAnsi="仿宋_GB2312" w:eastAsia="仿宋_GB2312" w:cs="仿宋_GB2312"/>
          <w:kern w:val="0"/>
          <w:sz w:val="32"/>
          <w:szCs w:val="32"/>
          <w:shd w:val="clear" w:color="auto" w:fill="FFFFFF"/>
        </w:rPr>
        <w:t>万元减少</w:t>
      </w:r>
      <w:r>
        <w:rPr>
          <w:rFonts w:ascii="仿宋_GB2312" w:hAnsi="仿宋_GB2312" w:eastAsia="仿宋_GB2312" w:cs="仿宋_GB2312"/>
          <w:kern w:val="0"/>
          <w:sz w:val="32"/>
          <w:szCs w:val="32"/>
          <w:shd w:val="clear" w:color="auto" w:fill="FFFFFF"/>
        </w:rPr>
        <w:t>55.68</w:t>
      </w:r>
      <w:r>
        <w:rPr>
          <w:rFonts w:hint="eastAsia" w:ascii="仿宋_GB2312" w:hAnsi="仿宋_GB2312" w:eastAsia="仿宋_GB2312" w:cs="仿宋_GB2312"/>
          <w:kern w:val="0"/>
          <w:sz w:val="32"/>
          <w:szCs w:val="32"/>
          <w:shd w:val="clear" w:color="auto" w:fill="FFFFFF"/>
        </w:rPr>
        <w:t>万元，，减少</w:t>
      </w:r>
      <w:r>
        <w:rPr>
          <w:rFonts w:ascii="仿宋_GB2312" w:hAnsi="仿宋_GB2312" w:eastAsia="仿宋_GB2312" w:cs="仿宋_GB2312"/>
          <w:kern w:val="0"/>
          <w:sz w:val="32"/>
          <w:szCs w:val="32"/>
          <w:shd w:val="clear" w:color="auto" w:fill="FFFFFF"/>
        </w:rPr>
        <w:t>55.47%</w:t>
      </w:r>
      <w:r>
        <w:rPr>
          <w:rFonts w:hint="eastAsia" w:ascii="仿宋_GB2312" w:hAnsi="仿宋_GB2312" w:eastAsia="仿宋_GB2312" w:cs="仿宋_GB2312"/>
          <w:kern w:val="0"/>
          <w:sz w:val="32"/>
          <w:szCs w:val="32"/>
          <w:shd w:val="clear" w:color="auto" w:fill="FFFFFF"/>
        </w:rPr>
        <w:t>。变动的主要原因是财政根据中央、省、市“过紧日子”思想的要求对一般性支出继续压减。主要用于办公费、会议费、培训费、文印费、劳务费、公务用车运行维护费、其他商品和服务支出、设备购置经费等。</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社会保障和就业支出（类）行政事业单位养老支出（款）机关事业单位基本养老保险缴费支出（项）预算数为</w:t>
      </w:r>
      <w:r>
        <w:rPr>
          <w:rFonts w:ascii="仿宋_GB2312" w:hAnsi="仿宋_GB2312" w:eastAsia="仿宋_GB2312" w:cs="仿宋_GB2312"/>
          <w:kern w:val="0"/>
          <w:sz w:val="32"/>
          <w:szCs w:val="32"/>
          <w:shd w:val="clear" w:color="auto" w:fill="FFFFFF"/>
        </w:rPr>
        <w:t>16.39</w:t>
      </w:r>
      <w:r>
        <w:rPr>
          <w:rFonts w:hint="eastAsia" w:ascii="仿宋_GB2312" w:hAnsi="仿宋_GB2312" w:eastAsia="仿宋_GB2312" w:cs="仿宋_GB2312"/>
          <w:kern w:val="0"/>
          <w:sz w:val="32"/>
          <w:szCs w:val="32"/>
          <w:shd w:val="clear" w:color="auto" w:fill="FFFFFF"/>
        </w:rPr>
        <w:t>万元，比</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15.1</w:t>
      </w:r>
      <w:r>
        <w:rPr>
          <w:rFonts w:hint="eastAsia" w:ascii="仿宋_GB2312" w:hAnsi="仿宋_GB2312" w:eastAsia="仿宋_GB2312" w:cs="仿宋_GB2312"/>
          <w:kern w:val="0"/>
          <w:sz w:val="32"/>
          <w:szCs w:val="32"/>
          <w:shd w:val="clear" w:color="auto" w:fill="FFFFFF"/>
        </w:rPr>
        <w:t>万元增加</w:t>
      </w:r>
      <w:r>
        <w:rPr>
          <w:rFonts w:ascii="仿宋_GB2312" w:hAnsi="仿宋_GB2312" w:eastAsia="仿宋_GB2312" w:cs="仿宋_GB2312"/>
          <w:kern w:val="0"/>
          <w:sz w:val="32"/>
          <w:szCs w:val="32"/>
          <w:shd w:val="clear" w:color="auto" w:fill="FFFFFF"/>
        </w:rPr>
        <w:t>1.29</w:t>
      </w:r>
      <w:r>
        <w:rPr>
          <w:rFonts w:hint="eastAsia" w:ascii="仿宋_GB2312" w:hAnsi="仿宋_GB2312" w:eastAsia="仿宋_GB2312" w:cs="仿宋_GB2312"/>
          <w:kern w:val="0"/>
          <w:sz w:val="32"/>
          <w:szCs w:val="32"/>
          <w:shd w:val="clear" w:color="auto" w:fill="FFFFFF"/>
        </w:rPr>
        <w:t>万元，变动的主要原因是人员变动及职级晋升工资调整相应的经费变动。主要用于职工养老保险缴费等。</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医疗卫生与计划生育（类）行政事业单位医疗（款）行政单位医疗（项）预算数为</w:t>
      </w:r>
      <w:r>
        <w:rPr>
          <w:rFonts w:ascii="仿宋_GB2312" w:hAnsi="仿宋_GB2312" w:eastAsia="仿宋_GB2312" w:cs="仿宋_GB2312"/>
          <w:kern w:val="0"/>
          <w:sz w:val="32"/>
          <w:szCs w:val="32"/>
          <w:shd w:val="clear" w:color="auto" w:fill="FFFFFF"/>
        </w:rPr>
        <w:t>7.42</w:t>
      </w:r>
      <w:r>
        <w:rPr>
          <w:rFonts w:hint="eastAsia" w:ascii="仿宋_GB2312" w:hAnsi="仿宋_GB2312" w:eastAsia="仿宋_GB2312" w:cs="仿宋_GB2312"/>
          <w:kern w:val="0"/>
          <w:sz w:val="32"/>
          <w:szCs w:val="32"/>
          <w:shd w:val="clear" w:color="auto" w:fill="FFFFFF"/>
        </w:rPr>
        <w:t>万元，比与</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5.66</w:t>
      </w:r>
      <w:r>
        <w:rPr>
          <w:rFonts w:hint="eastAsia" w:ascii="仿宋_GB2312" w:hAnsi="仿宋_GB2312" w:eastAsia="仿宋_GB2312" w:cs="仿宋_GB2312"/>
          <w:kern w:val="0"/>
          <w:sz w:val="32"/>
          <w:szCs w:val="32"/>
          <w:shd w:val="clear" w:color="auto" w:fill="FFFFFF"/>
        </w:rPr>
        <w:t>万元增加</w:t>
      </w:r>
      <w:r>
        <w:rPr>
          <w:rFonts w:ascii="仿宋_GB2312" w:hAnsi="仿宋_GB2312" w:eastAsia="仿宋_GB2312" w:cs="仿宋_GB2312"/>
          <w:kern w:val="0"/>
          <w:sz w:val="32"/>
          <w:szCs w:val="32"/>
          <w:shd w:val="clear" w:color="auto" w:fill="FFFFFF"/>
        </w:rPr>
        <w:t>1.76</w:t>
      </w:r>
      <w:r>
        <w:rPr>
          <w:rFonts w:hint="eastAsia" w:ascii="仿宋_GB2312" w:hAnsi="仿宋_GB2312" w:eastAsia="仿宋_GB2312" w:cs="仿宋_GB2312"/>
          <w:kern w:val="0"/>
          <w:sz w:val="32"/>
          <w:szCs w:val="32"/>
          <w:shd w:val="clear" w:color="auto" w:fill="FFFFFF"/>
        </w:rPr>
        <w:t>万元，变动的主要原因是人员变动及职级晋升工资调整相应的经费变动。主要用于职工医疗保险费的缴纳。</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住房保障支出（类）住房改革支出（款）住房公积金（项）预算数为</w:t>
      </w:r>
      <w:r>
        <w:rPr>
          <w:rFonts w:ascii="仿宋_GB2312" w:hAnsi="仿宋_GB2312" w:eastAsia="仿宋_GB2312" w:cs="仿宋_GB2312"/>
          <w:kern w:val="0"/>
          <w:sz w:val="32"/>
          <w:szCs w:val="32"/>
          <w:shd w:val="clear" w:color="auto" w:fill="FFFFFF"/>
        </w:rPr>
        <w:t>15.88</w:t>
      </w:r>
      <w:r>
        <w:rPr>
          <w:rFonts w:hint="eastAsia" w:ascii="仿宋_GB2312" w:hAnsi="仿宋_GB2312" w:eastAsia="仿宋_GB2312" w:cs="仿宋_GB2312"/>
          <w:kern w:val="0"/>
          <w:sz w:val="32"/>
          <w:szCs w:val="32"/>
          <w:shd w:val="clear" w:color="auto" w:fill="FFFFFF"/>
        </w:rPr>
        <w:t>万元，比</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12.32</w:t>
      </w:r>
      <w:r>
        <w:rPr>
          <w:rFonts w:hint="eastAsia" w:ascii="仿宋_GB2312" w:hAnsi="仿宋_GB2312" w:eastAsia="仿宋_GB2312" w:cs="仿宋_GB2312"/>
          <w:kern w:val="0"/>
          <w:sz w:val="32"/>
          <w:szCs w:val="32"/>
          <w:shd w:val="clear" w:color="auto" w:fill="FFFFFF"/>
        </w:rPr>
        <w:t>万元增加</w:t>
      </w:r>
      <w:r>
        <w:rPr>
          <w:rFonts w:ascii="仿宋_GB2312" w:hAnsi="仿宋_GB2312" w:eastAsia="仿宋_GB2312" w:cs="仿宋_GB2312"/>
          <w:kern w:val="0"/>
          <w:sz w:val="32"/>
          <w:szCs w:val="32"/>
          <w:shd w:val="clear" w:color="auto" w:fill="FFFFFF"/>
        </w:rPr>
        <w:t>3.56</w:t>
      </w:r>
      <w:r>
        <w:rPr>
          <w:rFonts w:hint="eastAsia" w:ascii="仿宋_GB2312" w:hAnsi="仿宋_GB2312" w:eastAsia="仿宋_GB2312" w:cs="仿宋_GB2312"/>
          <w:kern w:val="0"/>
          <w:sz w:val="32"/>
          <w:szCs w:val="32"/>
          <w:shd w:val="clear" w:color="auto" w:fill="FFFFFF"/>
        </w:rPr>
        <w:t>万元，变动的主要原因是人员变动及职级晋升工资调整引起的住房公积金增加。主要用于单位应缴纳部分公积金缴费。</w:t>
      </w:r>
      <w:r>
        <w:rPr>
          <w:rFonts w:ascii="仿宋_GB2312" w:hAnsi="仿宋_GB2312" w:eastAsia="仿宋_GB2312" w:cs="仿宋_GB2312"/>
          <w:kern w:val="0"/>
          <w:sz w:val="32"/>
          <w:szCs w:val="32"/>
          <w:shd w:val="clear" w:color="auto" w:fill="FFFFFF"/>
        </w:rPr>
        <w:t xml:space="preserve"> </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五、一般公共预算基本支出情况说明</w:t>
      </w:r>
    </w:p>
    <w:p>
      <w:pPr>
        <w:widowControl/>
        <w:spacing w:line="576" w:lineRule="exact"/>
        <w:ind w:firstLine="624"/>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年一般公共预算基本支出</w:t>
      </w:r>
      <w:r>
        <w:rPr>
          <w:rFonts w:ascii="仿宋_GB2312" w:hAnsi="仿宋_GB2312" w:eastAsia="仿宋_GB2312" w:cs="仿宋_GB2312"/>
          <w:spacing w:val="-4"/>
          <w:sz w:val="32"/>
          <w:szCs w:val="32"/>
        </w:rPr>
        <w:t>206.01</w:t>
      </w:r>
      <w:r>
        <w:rPr>
          <w:rFonts w:hint="eastAsia" w:ascii="仿宋_GB2312" w:hAnsi="仿宋_GB2312" w:eastAsia="仿宋_GB2312" w:cs="仿宋_GB2312"/>
          <w:kern w:val="0"/>
          <w:sz w:val="32"/>
          <w:szCs w:val="32"/>
          <w:shd w:val="clear" w:color="auto" w:fill="FFFFFF"/>
        </w:rPr>
        <w:t>万元，其中：</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人员支出</w:t>
      </w:r>
      <w:r>
        <w:rPr>
          <w:rFonts w:ascii="仿宋_GB2312" w:hAnsi="仿宋_GB2312" w:eastAsia="仿宋_GB2312" w:cs="仿宋_GB2312"/>
          <w:spacing w:val="-4"/>
          <w:sz w:val="32"/>
          <w:szCs w:val="32"/>
        </w:rPr>
        <w:t>165.61</w:t>
      </w:r>
      <w:r>
        <w:rPr>
          <w:rFonts w:hint="eastAsia" w:ascii="仿宋_GB2312" w:hAnsi="仿宋_GB2312" w:eastAsia="仿宋_GB2312" w:cs="仿宋_GB2312"/>
          <w:kern w:val="0"/>
          <w:sz w:val="32"/>
          <w:szCs w:val="32"/>
          <w:shd w:val="clear" w:color="auto" w:fill="FFFFFF"/>
        </w:rPr>
        <w:t>万元。主要用于：基本工资、津贴补贴、奖金、绩效工资、其他工资及福利、社会保险缴费、住房公积金、对个人和家庭的补助支出等。</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日常公用支出</w:t>
      </w:r>
      <w:r>
        <w:rPr>
          <w:rFonts w:ascii="仿宋_GB2312" w:hAnsi="仿宋_GB2312" w:eastAsia="仿宋_GB2312" w:cs="仿宋_GB2312"/>
          <w:spacing w:val="-4"/>
          <w:sz w:val="32"/>
          <w:szCs w:val="32"/>
        </w:rPr>
        <w:t>40.4</w:t>
      </w:r>
      <w:r>
        <w:rPr>
          <w:rFonts w:hint="eastAsia" w:ascii="仿宋_GB2312" w:hAnsi="仿宋_GB2312" w:eastAsia="仿宋_GB2312" w:cs="仿宋_GB2312"/>
          <w:kern w:val="0"/>
          <w:sz w:val="32"/>
          <w:szCs w:val="32"/>
          <w:shd w:val="clear" w:color="auto" w:fill="FFFFFF"/>
        </w:rPr>
        <w:t>万元。主要用于：办公费、印刷费、差旅费、会议费、培训费、维修费、邮电费、公务接待费、公务用车运行维护费、其他交通费、工会经费、福利费、其他商品及服务支出等。</w:t>
      </w:r>
      <w:r>
        <w:rPr>
          <w:rFonts w:ascii="仿宋_GB2312" w:hAnsi="仿宋_GB2312" w:eastAsia="仿宋_GB2312" w:cs="仿宋_GB2312"/>
          <w:kern w:val="0"/>
          <w:sz w:val="32"/>
          <w:szCs w:val="32"/>
          <w:shd w:val="clear" w:color="auto" w:fill="FFFFFF"/>
        </w:rPr>
        <w:t xml:space="preserve"> </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六、“三公”经费财政拨款预算安排情况说明</w:t>
      </w:r>
    </w:p>
    <w:p>
      <w:pPr>
        <w:widowControl/>
        <w:spacing w:line="576" w:lineRule="exact"/>
        <w:ind w:firstLine="624"/>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财政拨款安排“三公”经费预算数为</w:t>
      </w:r>
      <w:r>
        <w:rPr>
          <w:rFonts w:hint="eastAsia" w:ascii="仿宋_GB2312" w:hAnsi="仿宋_GB2312" w:eastAsia="仿宋_GB2312" w:cs="仿宋_GB2312"/>
          <w:kern w:val="0"/>
          <w:sz w:val="32"/>
          <w:szCs w:val="32"/>
          <w:shd w:val="clear" w:color="auto" w:fill="FFFFFF"/>
          <w:lang w:val="en-US" w:eastAsia="zh-CN"/>
        </w:rPr>
        <w:t>0.48</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shd w:val="clear" w:color="auto" w:fill="FFFFFF"/>
          <w:lang w:eastAsia="zh-CN"/>
        </w:rPr>
        <w:t>其中，</w:t>
      </w:r>
      <w:r>
        <w:rPr>
          <w:rFonts w:hint="eastAsia" w:ascii="仿宋_GB2312" w:hAnsi="仿宋_GB2312" w:eastAsia="仿宋_GB2312" w:cs="仿宋_GB2312"/>
          <w:kern w:val="0"/>
          <w:sz w:val="32"/>
          <w:szCs w:val="32"/>
          <w:shd w:val="clear" w:color="auto" w:fill="FFFFFF"/>
        </w:rPr>
        <w:t>因公出国（境）</w:t>
      </w:r>
      <w:r>
        <w:rPr>
          <w:rFonts w:hint="eastAsia" w:ascii="仿宋_GB2312" w:hAnsi="仿宋_GB2312" w:eastAsia="仿宋_GB2312" w:cs="仿宋_GB2312"/>
          <w:kern w:val="0"/>
          <w:sz w:val="32"/>
          <w:szCs w:val="32"/>
          <w:shd w:val="clear" w:color="auto" w:fill="FFFFFF"/>
          <w:lang w:eastAsia="zh-CN"/>
        </w:rPr>
        <w:t>费用预算</w:t>
      </w:r>
      <w:r>
        <w:rPr>
          <w:rFonts w:hint="eastAsia" w:ascii="仿宋_GB2312" w:hAnsi="仿宋_GB2312" w:eastAsia="仿宋_GB2312" w:cs="仿宋_GB2312"/>
          <w:kern w:val="0"/>
          <w:sz w:val="32"/>
          <w:szCs w:val="32"/>
          <w:shd w:val="clear" w:color="auto" w:fill="FFFFFF"/>
          <w:lang w:val="en-US" w:eastAsia="zh-CN"/>
        </w:rPr>
        <w:t>0元</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与</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年预算数持平；公务接待费预算数为</w:t>
      </w:r>
      <w:r>
        <w:rPr>
          <w:rFonts w:hint="eastAsia" w:ascii="仿宋_GB2312" w:hAnsi="仿宋_GB2312" w:eastAsia="仿宋_GB2312" w:cs="仿宋_GB2312"/>
          <w:kern w:val="0"/>
          <w:sz w:val="32"/>
          <w:szCs w:val="32"/>
          <w:shd w:val="clear" w:color="auto" w:fill="FFFFFF"/>
          <w:lang w:val="en-US" w:eastAsia="zh-CN"/>
        </w:rPr>
        <w:t>0.48</w:t>
      </w:r>
      <w:r>
        <w:rPr>
          <w:rFonts w:hint="eastAsia" w:ascii="仿宋_GB2312" w:hAnsi="仿宋_GB2312" w:eastAsia="仿宋_GB2312" w:cs="仿宋_GB2312"/>
          <w:kern w:val="0"/>
          <w:sz w:val="32"/>
          <w:szCs w:val="32"/>
          <w:shd w:val="clear" w:color="auto" w:fill="FFFFFF"/>
        </w:rPr>
        <w:t>万元，比</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年预算</w:t>
      </w:r>
      <w:r>
        <w:rPr>
          <w:rFonts w:hint="eastAsia" w:ascii="仿宋_GB2312" w:hAnsi="仿宋_GB2312" w:eastAsia="仿宋_GB2312" w:cs="仿宋_GB2312"/>
          <w:kern w:val="0"/>
          <w:sz w:val="32"/>
          <w:szCs w:val="32"/>
          <w:shd w:val="clear" w:color="auto" w:fill="FFFFFF"/>
          <w:lang w:val="en-US" w:eastAsia="zh-CN"/>
        </w:rPr>
        <w:t>0.5</w:t>
      </w:r>
      <w:r>
        <w:rPr>
          <w:rFonts w:hint="eastAsia" w:ascii="仿宋_GB2312" w:hAnsi="仿宋_GB2312" w:eastAsia="仿宋_GB2312" w:cs="仿宋_GB2312"/>
          <w:kern w:val="0"/>
          <w:sz w:val="32"/>
          <w:szCs w:val="32"/>
          <w:shd w:val="clear" w:color="auto" w:fill="FFFFFF"/>
        </w:rPr>
        <w:t>万元减少</w:t>
      </w:r>
      <w:r>
        <w:rPr>
          <w:rFonts w:hint="eastAsia" w:ascii="仿宋_GB2312" w:hAnsi="仿宋_GB2312" w:eastAsia="仿宋_GB2312" w:cs="仿宋_GB2312"/>
          <w:kern w:val="0"/>
          <w:sz w:val="32"/>
          <w:szCs w:val="32"/>
          <w:shd w:val="clear" w:color="auto" w:fill="FFFFFF"/>
          <w:lang w:val="en-US" w:eastAsia="zh-CN"/>
        </w:rPr>
        <w:t>0.02</w:t>
      </w:r>
      <w:r>
        <w:rPr>
          <w:rFonts w:hint="eastAsia" w:ascii="仿宋_GB2312" w:hAnsi="仿宋_GB2312" w:eastAsia="仿宋_GB2312" w:cs="仿宋_GB2312"/>
          <w:kern w:val="0"/>
          <w:sz w:val="32"/>
          <w:szCs w:val="32"/>
          <w:shd w:val="clear" w:color="auto" w:fill="FFFFFF"/>
        </w:rPr>
        <w:t>万元，减少</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。主要原因是进一步贯彻落实党中央国务院关于党政机关改进作风、厉行节约的决策部署</w:t>
      </w:r>
      <w:r>
        <w:rPr>
          <w:rFonts w:hint="eastAsia" w:ascii="仿宋_GB2312" w:hAnsi="仿宋_GB2312" w:eastAsia="仿宋_GB2312" w:cs="仿宋_GB2312"/>
          <w:kern w:val="0"/>
          <w:sz w:val="32"/>
          <w:szCs w:val="32"/>
          <w:shd w:val="clear" w:color="auto" w:fill="FFFFFF"/>
          <w:lang w:eastAsia="zh-CN"/>
        </w:rPr>
        <w:t>，严格控制支出</w:t>
      </w:r>
      <w:bookmarkStart w:id="0" w:name="_GoBack"/>
      <w:bookmarkEnd w:id="0"/>
      <w:r>
        <w:rPr>
          <w:rFonts w:hint="eastAsia" w:ascii="仿宋_GB2312" w:hAnsi="仿宋_GB2312" w:eastAsia="仿宋_GB2312" w:cs="仿宋_GB2312"/>
          <w:kern w:val="0"/>
          <w:sz w:val="32"/>
          <w:szCs w:val="32"/>
          <w:shd w:val="clear" w:color="auto" w:fill="FFFFFF"/>
        </w:rPr>
        <w:t>；</w:t>
      </w: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年公务用车购置及运行维护费预算</w:t>
      </w:r>
      <w:r>
        <w:rPr>
          <w:rFonts w:hint="eastAsia" w:ascii="仿宋_GB2312" w:hAnsi="仿宋_GB2312" w:eastAsia="仿宋_GB2312" w:cs="仿宋_GB2312"/>
          <w:kern w:val="0"/>
          <w:sz w:val="32"/>
          <w:szCs w:val="32"/>
          <w:shd w:val="clear" w:color="auto" w:fill="FFFFFF"/>
          <w:lang w:val="en-US" w:eastAsia="zh-CN"/>
        </w:rPr>
        <w:t>0元</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CN"/>
        </w:rPr>
        <w:t>较</w:t>
      </w:r>
      <w:r>
        <w:rPr>
          <w:rFonts w:hint="eastAsia" w:ascii="仿宋_GB2312" w:hAnsi="仿宋_GB2312" w:eastAsia="仿宋_GB2312" w:cs="仿宋_GB2312"/>
          <w:kern w:val="0"/>
          <w:sz w:val="32"/>
          <w:szCs w:val="32"/>
          <w:shd w:val="clear" w:color="auto" w:fill="FFFFFF"/>
          <w:lang w:val="en-US" w:eastAsia="zh-CN"/>
        </w:rPr>
        <w:t>2019年预算2.8万元减少2.8万元</w:t>
      </w:r>
      <w:r>
        <w:rPr>
          <w:rFonts w:hint="eastAsia" w:ascii="仿宋_GB2312" w:hAnsi="仿宋_GB2312" w:eastAsia="仿宋_GB2312" w:cs="仿宋_GB2312"/>
          <w:kern w:val="0"/>
          <w:sz w:val="32"/>
          <w:szCs w:val="32"/>
          <w:shd w:val="clear" w:color="auto" w:fill="FFFFFF"/>
          <w:lang w:eastAsia="zh-CN"/>
        </w:rPr>
        <w:t>，主要原因是因公务用车改革，单位未保留公务车辆</w:t>
      </w:r>
      <w:r>
        <w:rPr>
          <w:rFonts w:hint="eastAsia" w:ascii="仿宋_GB2312" w:hAnsi="仿宋_GB2312" w:eastAsia="仿宋_GB2312" w:cs="仿宋_GB2312"/>
          <w:kern w:val="0"/>
          <w:sz w:val="32"/>
          <w:szCs w:val="32"/>
          <w:shd w:val="clear" w:color="auto" w:fill="FFFFFF"/>
        </w:rPr>
        <w:t>。</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七、政府性基金预算支出情况说明</w:t>
      </w:r>
    </w:p>
    <w:p>
      <w:pPr>
        <w:spacing w:line="576"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年没有使用政府性基金预算拨款安排的支出。</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八、国有资本经营预算支出情况说明</w:t>
      </w:r>
    </w:p>
    <w:p>
      <w:pPr>
        <w:spacing w:line="576" w:lineRule="exact"/>
        <w:rPr>
          <w:rFonts w:ascii="仿宋_GB2312" w:hAnsi="仿宋_GB2312" w:eastAsia="仿宋_GB2312" w:cs="Times New Roman"/>
          <w:sz w:val="32"/>
          <w:szCs w:val="32"/>
        </w:rPr>
      </w:pP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年没有使用国有资本经营预算拨款安排的支出。</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九、其他重要事项的情况说明</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widowControl/>
        <w:spacing w:line="576" w:lineRule="exact"/>
        <w:ind w:firstLine="640"/>
        <w:rPr>
          <w:rFonts w:ascii="仿宋_GB2312" w:hAnsi="仿宋_GB2312" w:eastAsia="仿宋_GB2312" w:cs="Times New Roman"/>
          <w:sz w:val="32"/>
          <w:szCs w:val="32"/>
        </w:rPr>
      </w:pPr>
      <w:r>
        <w:rPr>
          <w:rFonts w:hint="eastAsia" w:ascii="仿宋_GB2312" w:hAnsi="仿宋_GB2312" w:eastAsia="仿宋_GB2312" w:cs="仿宋_GB2312"/>
          <w:kern w:val="0"/>
          <w:sz w:val="32"/>
          <w:szCs w:val="32"/>
          <w:shd w:val="clear" w:color="auto" w:fill="FFFFFF"/>
        </w:rPr>
        <w:t>履行一般行政管理职能、维持机关日常运转而开支的机关运行经费，合计</w:t>
      </w:r>
      <w:r>
        <w:rPr>
          <w:rFonts w:ascii="仿宋_GB2312" w:hAnsi="仿宋_GB2312" w:eastAsia="仿宋_GB2312" w:cs="仿宋_GB2312"/>
          <w:kern w:val="0"/>
          <w:sz w:val="32"/>
          <w:szCs w:val="32"/>
          <w:shd w:val="clear" w:color="auto" w:fill="FFFFFF"/>
        </w:rPr>
        <w:t>40.4</w:t>
      </w:r>
      <w:r>
        <w:rPr>
          <w:rFonts w:hint="eastAsia" w:ascii="仿宋_GB2312" w:hAnsi="仿宋_GB2312" w:eastAsia="仿宋_GB2312" w:cs="仿宋_GB2312"/>
          <w:kern w:val="0"/>
          <w:sz w:val="32"/>
          <w:szCs w:val="32"/>
          <w:shd w:val="clear" w:color="auto" w:fill="FFFFFF"/>
        </w:rPr>
        <w:t>万元。</w:t>
      </w:r>
      <w:r>
        <w:rPr>
          <w:rFonts w:ascii="仿宋_GB2312" w:hAnsi="仿宋_GB2312" w:eastAsia="仿宋_GB2312" w:cs="仿宋_GB2312"/>
          <w:kern w:val="0"/>
          <w:sz w:val="32"/>
          <w:szCs w:val="32"/>
          <w:shd w:val="clear" w:color="auto" w:fill="FFFFFF"/>
        </w:rPr>
        <w:t xml:space="preserve"> </w:t>
      </w:r>
    </w:p>
    <w:p>
      <w:pPr>
        <w:spacing w:line="576" w:lineRule="exact"/>
        <w:ind w:firstLine="640" w:firstLineChars="200"/>
        <w:rPr>
          <w:rFonts w:ascii="仿宋_GB2312" w:hAnsi="仿宋_GB2312" w:eastAsia="仿宋_GB2312" w:cs="Times New Roman"/>
          <w:sz w:val="32"/>
          <w:szCs w:val="32"/>
        </w:rPr>
      </w:pPr>
      <w:r>
        <w:rPr>
          <w:rFonts w:hint="eastAsia" w:ascii="楷体" w:hAnsi="楷体" w:eastAsia="楷体" w:cs="楷体"/>
          <w:sz w:val="32"/>
          <w:szCs w:val="32"/>
        </w:rPr>
        <w:t>（二）政府采购情况</w:t>
      </w:r>
    </w:p>
    <w:p>
      <w:pPr>
        <w:spacing w:line="576"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年无</w:t>
      </w:r>
      <w:r>
        <w:rPr>
          <w:rFonts w:hint="eastAsia" w:ascii="仿宋_GB2312" w:hAnsi="仿宋_GB2312" w:eastAsia="仿宋_GB2312" w:cs="仿宋_GB2312"/>
          <w:sz w:val="32"/>
          <w:szCs w:val="32"/>
        </w:rPr>
        <w:t>采购计划。</w:t>
      </w: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（三）国有资产占有使用情况</w:t>
      </w:r>
    </w:p>
    <w:p>
      <w:pPr>
        <w:autoSpaceDE w:val="0"/>
        <w:autoSpaceDN w:val="0"/>
        <w:adjustRightInd w:val="0"/>
        <w:spacing w:line="576" w:lineRule="exact"/>
        <w:ind w:firstLine="640" w:firstLineChars="200"/>
        <w:rPr>
          <w:rFonts w:ascii="仿宋_GB2312" w:eastAsia="仿宋_GB2312" w:cs="Times New Roman"/>
          <w:b/>
          <w:bCs/>
          <w:sz w:val="32"/>
          <w:szCs w:val="32"/>
        </w:rPr>
      </w:pPr>
      <w:r>
        <w:rPr>
          <w:rFonts w:hint="eastAsia" w:ascii="仿宋_GB2312" w:hAnsi="仿宋_GB2312" w:eastAsia="仿宋_GB2312" w:cs="仿宋_GB2312"/>
          <w:kern w:val="0"/>
          <w:sz w:val="32"/>
          <w:szCs w:val="32"/>
          <w:shd w:val="clear" w:color="auto" w:fill="FFFFFF"/>
        </w:rPr>
        <w:t>不占有使用大型设备。</w:t>
      </w:r>
      <w:r>
        <w:rPr>
          <w:rFonts w:ascii="仿宋_GB2312" w:hAnsi="仿宋_GB2312" w:eastAsia="仿宋_GB2312" w:cs="仿宋_GB2312"/>
          <w:kern w:val="0"/>
          <w:sz w:val="32"/>
          <w:szCs w:val="32"/>
          <w:shd w:val="clear" w:color="auto" w:fill="FFFFFF"/>
        </w:rPr>
        <w:t xml:space="preserve"> </w:t>
      </w:r>
      <w:r>
        <w:rPr>
          <w:rFonts w:hint="eastAsia" w:ascii="仿宋_GB2312" w:eastAsia="仿宋_GB2312" w:cs="仿宋_GB2312"/>
          <w:sz w:val="32"/>
          <w:szCs w:val="32"/>
        </w:rPr>
        <w:t>截至</w:t>
      </w:r>
      <w:r>
        <w:rPr>
          <w:rFonts w:ascii="仿宋_GB2312" w:eastAsia="仿宋_GB2312" w:cs="仿宋_GB2312"/>
          <w:sz w:val="32"/>
          <w:szCs w:val="32"/>
        </w:rPr>
        <w:t>201</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日，市委三江新区办共有车辆</w:t>
      </w:r>
      <w:r>
        <w:rPr>
          <w:rFonts w:ascii="仿宋_GB2312" w:eastAsia="仿宋_GB2312" w:cs="仿宋_GB2312"/>
          <w:sz w:val="32"/>
          <w:szCs w:val="32"/>
        </w:rPr>
        <w:t>0</w:t>
      </w:r>
      <w:r>
        <w:rPr>
          <w:rFonts w:hint="eastAsia" w:ascii="仿宋_GB2312" w:eastAsia="仿宋_GB2312" w:cs="仿宋_GB2312"/>
          <w:sz w:val="32"/>
          <w:szCs w:val="32"/>
        </w:rPr>
        <w:t>辆。单价</w:t>
      </w:r>
      <w:r>
        <w:rPr>
          <w:rFonts w:ascii="仿宋_GB2312" w:eastAsia="仿宋_GB2312" w:cs="仿宋_GB2312"/>
          <w:sz w:val="32"/>
          <w:szCs w:val="32"/>
        </w:rPr>
        <w:t>50</w:t>
      </w:r>
      <w:r>
        <w:rPr>
          <w:rFonts w:hint="eastAsia" w:ascii="仿宋_GB2312" w:eastAsia="仿宋_GB2312" w:cs="仿宋_GB2312"/>
          <w:sz w:val="32"/>
          <w:szCs w:val="32"/>
        </w:rPr>
        <w:t>万元以上通用设备</w:t>
      </w:r>
      <w:r>
        <w:rPr>
          <w:rFonts w:ascii="仿宋_GB2312" w:eastAsia="仿宋_GB2312" w:cs="仿宋_GB2312"/>
          <w:sz w:val="32"/>
          <w:szCs w:val="32"/>
        </w:rPr>
        <w:t>0</w:t>
      </w:r>
      <w:r>
        <w:rPr>
          <w:rFonts w:hint="eastAsia" w:ascii="仿宋_GB2312" w:eastAsia="仿宋_GB2312" w:cs="仿宋_GB2312"/>
          <w:sz w:val="32"/>
          <w:szCs w:val="32"/>
        </w:rPr>
        <w:t>台（套），单价</w:t>
      </w:r>
      <w:r>
        <w:rPr>
          <w:rFonts w:ascii="仿宋_GB2312" w:eastAsia="仿宋_GB2312" w:cs="仿宋_GB2312"/>
          <w:sz w:val="32"/>
          <w:szCs w:val="32"/>
        </w:rPr>
        <w:t>100</w:t>
      </w:r>
      <w:r>
        <w:rPr>
          <w:rFonts w:hint="eastAsia" w:ascii="仿宋_GB2312" w:eastAsia="仿宋_GB2312" w:cs="仿宋_GB2312"/>
          <w:sz w:val="32"/>
          <w:szCs w:val="32"/>
        </w:rPr>
        <w:t>万元以上专用设备</w:t>
      </w:r>
      <w:r>
        <w:rPr>
          <w:rFonts w:ascii="仿宋_GB2312" w:eastAsia="仿宋_GB2312" w:cs="仿宋_GB2312"/>
          <w:sz w:val="32"/>
          <w:szCs w:val="32"/>
        </w:rPr>
        <w:t>0</w:t>
      </w:r>
      <w:r>
        <w:rPr>
          <w:rFonts w:hint="eastAsia" w:ascii="仿宋_GB2312" w:eastAsia="仿宋_GB2312" w:cs="仿宋_GB2312"/>
          <w:sz w:val="32"/>
          <w:szCs w:val="32"/>
        </w:rPr>
        <w:t>台（套）。</w:t>
      </w:r>
    </w:p>
    <w:p>
      <w:pPr>
        <w:widowControl/>
        <w:spacing w:line="576" w:lineRule="exact"/>
        <w:ind w:firstLine="640"/>
        <w:rPr>
          <w:rFonts w:ascii="仿宋_GB2312" w:hAnsi="仿宋_GB2312" w:eastAsia="仿宋_GB2312" w:cs="Times New Roman"/>
          <w:sz w:val="32"/>
          <w:szCs w:val="32"/>
        </w:rPr>
      </w:pPr>
    </w:p>
    <w:p>
      <w:pPr>
        <w:spacing w:line="576" w:lineRule="exact"/>
        <w:ind w:firstLine="640" w:firstLineChars="200"/>
        <w:rPr>
          <w:rFonts w:ascii="楷体" w:hAnsi="楷体" w:eastAsia="楷体" w:cs="Times New Roman"/>
          <w:sz w:val="32"/>
          <w:szCs w:val="32"/>
        </w:rPr>
      </w:pPr>
      <w:r>
        <w:rPr>
          <w:rFonts w:hint="eastAsia" w:ascii="楷体" w:hAnsi="楷体" w:eastAsia="楷体" w:cs="楷体"/>
          <w:sz w:val="32"/>
          <w:szCs w:val="32"/>
        </w:rPr>
        <w:t>（四）绩效目标设置情况</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2020</w:t>
      </w:r>
      <w:r>
        <w:rPr>
          <w:rFonts w:hint="eastAsia" w:ascii="仿宋_GB2312" w:hAnsi="仿宋_GB2312" w:eastAsia="仿宋_GB2312" w:cs="仿宋_GB2312"/>
          <w:kern w:val="0"/>
          <w:sz w:val="32"/>
          <w:szCs w:val="32"/>
          <w:shd w:val="clear" w:color="auto" w:fill="FFFFFF"/>
        </w:rPr>
        <w:t>年市委三江新区办实行绩效目标管理的项目</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个，涉及预算</w:t>
      </w:r>
      <w:r>
        <w:rPr>
          <w:rFonts w:ascii="仿宋_GB2312" w:hAnsi="仿宋_GB2312" w:eastAsia="仿宋_GB2312" w:cs="仿宋_GB2312"/>
          <w:kern w:val="0"/>
          <w:sz w:val="32"/>
          <w:szCs w:val="32"/>
          <w:shd w:val="clear" w:color="auto" w:fill="FFFFFF"/>
        </w:rPr>
        <w:t>44.7</w:t>
      </w:r>
      <w:r>
        <w:rPr>
          <w:rFonts w:hint="eastAsia" w:ascii="仿宋_GB2312" w:hAnsi="仿宋_GB2312" w:eastAsia="仿宋_GB2312" w:cs="仿宋_GB2312"/>
          <w:kern w:val="0"/>
          <w:sz w:val="32"/>
          <w:szCs w:val="32"/>
          <w:shd w:val="clear" w:color="auto" w:fill="FFFFFF"/>
        </w:rPr>
        <w:t>万元，其中，一般公共预算</w:t>
      </w:r>
      <w:r>
        <w:rPr>
          <w:rFonts w:ascii="仿宋_GB2312" w:hAnsi="仿宋_GB2312" w:eastAsia="仿宋_GB2312" w:cs="仿宋_GB2312"/>
          <w:kern w:val="0"/>
          <w:sz w:val="32"/>
          <w:szCs w:val="32"/>
          <w:shd w:val="clear" w:color="auto" w:fill="FFFFFF"/>
        </w:rPr>
        <w:t>44.7</w:t>
      </w:r>
      <w:r>
        <w:rPr>
          <w:rFonts w:hint="eastAsia" w:ascii="仿宋_GB2312" w:hAnsi="仿宋_GB2312" w:eastAsia="仿宋_GB2312" w:cs="仿宋_GB2312"/>
          <w:kern w:val="0"/>
          <w:sz w:val="32"/>
          <w:szCs w:val="32"/>
          <w:shd w:val="clear" w:color="auto" w:fill="FFFFFF"/>
        </w:rPr>
        <w:t>万元。</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十、名词解释</w:t>
      </w:r>
    </w:p>
    <w:p>
      <w:pPr>
        <w:pStyle w:val="6"/>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财政拨款收入：指单位从同级财政部门取得的财政预算资金。</w:t>
      </w:r>
      <w:r>
        <w:rPr>
          <w:rFonts w:ascii="仿宋_GB2312" w:hAnsi="仿宋_GB2312" w:eastAsia="仿宋_GB2312" w:cs="仿宋_GB2312"/>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 xml:space="preserve">2. </w:t>
      </w:r>
      <w:r>
        <w:rPr>
          <w:rFonts w:hint="eastAsia" w:ascii="仿宋_GB2312" w:hAnsi="仿宋_GB2312" w:eastAsia="仿宋_GB2312" w:cs="仿宋_GB2312"/>
          <w:kern w:val="0"/>
          <w:sz w:val="32"/>
          <w:szCs w:val="32"/>
          <w:shd w:val="clear" w:color="auto" w:fill="FFFFFF"/>
        </w:rPr>
        <w:t>一般公共服务（类）党委办公厅（室）及相关机构事务（款）行政运行（项）：反映行政单位（包括实行公务员管理的事业单位）的基本支出。</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 xml:space="preserve">3. </w:t>
      </w:r>
      <w:r>
        <w:rPr>
          <w:rFonts w:hint="eastAsia" w:ascii="仿宋_GB2312" w:hAnsi="仿宋_GB2312" w:eastAsia="仿宋_GB2312" w:cs="仿宋_GB2312"/>
          <w:kern w:val="0"/>
          <w:sz w:val="32"/>
          <w:szCs w:val="32"/>
          <w:shd w:val="clear" w:color="auto" w:fill="FFFFFF"/>
        </w:rPr>
        <w:t>一般公共服务（类）党委办公厅（室）及相关机构事务（款）一般行政管理事务（项）：反映行政单位（包括实行公务员管理的事业单位）未单独设置项级科目的其他项目支出。</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社会保障和就业（类）行政事业单位离退休（款）机关事业单位基本养老保险缴费支出（项）：反映机关事业单位实施养老保险制度由单位缴纳的基本养老保险费支出。</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医疗卫生与计划生育（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rPr>
        <w:t>住房保障（类）住房改革支出（款）住房公积金（项）：反映行政事业单位按人力资源和社会保障部、财政部规定的基本工资和津贴补贴以及规定比例为职工缴纳的住房公积金。</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rPr>
        <w:t>基本支出：指为保障机构正常运转、完成日常工作任务而发生的人员支出和公用支出。</w:t>
      </w:r>
      <w:r>
        <w:rPr>
          <w:rFonts w:ascii="仿宋_GB2312" w:hAnsi="仿宋_GB2312" w:eastAsia="仿宋_GB2312" w:cs="仿宋_GB2312"/>
          <w:kern w:val="0"/>
          <w:sz w:val="32"/>
          <w:szCs w:val="32"/>
          <w:shd w:val="clear" w:color="auto" w:fill="FFFFFF"/>
        </w:rPr>
        <w:t xml:space="preserve"> </w:t>
      </w:r>
    </w:p>
    <w:p>
      <w:pPr>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kern w:val="0"/>
          <w:sz w:val="32"/>
          <w:szCs w:val="32"/>
          <w:shd w:val="clear" w:color="auto" w:fill="FFFFFF"/>
        </w:rPr>
        <w:t>8.</w:t>
      </w:r>
      <w:r>
        <w:rPr>
          <w:rFonts w:hint="eastAsia" w:ascii="仿宋_GB2312" w:hAnsi="仿宋_GB2312" w:eastAsia="仿宋_GB2312" w:cs="仿宋_GB2312"/>
          <w:kern w:val="0"/>
          <w:sz w:val="32"/>
          <w:szCs w:val="32"/>
          <w:shd w:val="clear" w:color="auto" w:fill="FFFFFF"/>
        </w:rPr>
        <w:t>项目支出：指在基本支出之外为完成特定行政任务和事业发展目标所发生的支出。</w:t>
      </w:r>
      <w:r>
        <w:rPr>
          <w:rFonts w:ascii="仿宋_GB2312" w:hAnsi="仿宋_GB2312" w:eastAsia="仿宋_GB2312" w:cs="仿宋_GB2312"/>
          <w:kern w:val="0"/>
          <w:sz w:val="32"/>
          <w:szCs w:val="32"/>
          <w:shd w:val="clear" w:color="auto" w:fill="FFFFFF"/>
        </w:rPr>
        <w:t xml:space="preserve"> </w:t>
      </w:r>
    </w:p>
    <w:p>
      <w:pPr>
        <w:pStyle w:val="6"/>
        <w:widowControl/>
        <w:spacing w:line="576" w:lineRule="exact"/>
        <w:ind w:firstLine="640"/>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hAnsi="仿宋_GB2312" w:eastAsia="仿宋_GB2312" w:cs="仿宋_GB2312"/>
          <w:sz w:val="32"/>
          <w:szCs w:val="32"/>
          <w:shd w:val="clear" w:color="auto" w:fill="FFFFFF"/>
        </w:rPr>
        <w:t xml:space="preserve"> </w:t>
      </w:r>
    </w:p>
    <w:p>
      <w:pPr>
        <w:pStyle w:val="6"/>
        <w:widowControl/>
        <w:spacing w:line="576" w:lineRule="exact"/>
        <w:ind w:firstLine="640"/>
        <w:rPr>
          <w:rFonts w:cs="Times New Roman"/>
        </w:rPr>
      </w:pP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hAnsi="仿宋_GB2312" w:eastAsia="仿宋_GB2312" w:cs="仿宋_GB2312"/>
          <w:sz w:val="32"/>
          <w:szCs w:val="32"/>
          <w:shd w:val="clear" w:color="auto" w:fill="FFFFFF"/>
        </w:rPr>
        <w:t xml:space="preserve"> </w:t>
      </w:r>
    </w:p>
    <w:p>
      <w:pPr>
        <w:pStyle w:val="3"/>
        <w:widowControl/>
        <w:spacing w:before="270" w:beforeAutospacing="0" w:afterAutospacing="0" w:line="450" w:lineRule="atLeast"/>
        <w:ind w:left="720"/>
        <w:jc w:val="both"/>
        <w:rPr>
          <w:rFonts w:cs="Times New Roman"/>
          <w:color w:val="000000"/>
          <w:shd w:val="clear" w:color="auto" w:fill="FFFFFF"/>
        </w:rPr>
      </w:pPr>
    </w:p>
    <w:p>
      <w:pPr>
        <w:pStyle w:val="6"/>
        <w:widowControl/>
        <w:spacing w:line="576" w:lineRule="exact"/>
        <w:ind w:left="1918" w:leftChars="304" w:hanging="1280" w:hangingChars="400"/>
        <w:rPr>
          <w:rFonts w:ascii="仿宋_GB2312" w:hAnsi="仿宋_GB2312" w:eastAsia="仿宋_GB2312" w:cs="Times New Roman"/>
          <w:sz w:val="32"/>
          <w:szCs w:val="32"/>
          <w:shd w:val="clear" w:color="auto" w:fill="FFFFFF"/>
        </w:rPr>
      </w:pPr>
      <w:r>
        <w:rPr>
          <w:rFonts w:hint="eastAsia" w:ascii="仿宋_GB2312" w:hAnsi="仿宋_GB2312" w:eastAsia="仿宋_GB2312" w:cs="仿宋_GB2312"/>
          <w:sz w:val="32"/>
          <w:szCs w:val="32"/>
          <w:shd w:val="clear" w:color="auto" w:fill="FFFFFF"/>
        </w:rPr>
        <w:t>附件：</w:t>
      </w:r>
      <w:r>
        <w:rPr>
          <w:rFonts w:ascii="仿宋_GB2312" w:hAnsi="仿宋_GB2312" w:eastAsia="仿宋_GB2312" w:cs="仿宋_GB2312"/>
          <w:sz w:val="32"/>
          <w:szCs w:val="32"/>
          <w:shd w:val="clear" w:color="auto" w:fill="FFFFFF"/>
        </w:rPr>
        <w:t>1.</w:t>
      </w:r>
      <w:r>
        <w:fldChar w:fldCharType="begin"/>
      </w:r>
      <w:r>
        <w:instrText xml:space="preserve"> HYPERLINK "http://www.cngy.gov.cn/UploadFile/SiteFile/20160720104022133/2020/07/08/12164baf832a4e19a2688a89de6cc2fe.xls" \o "点击下载" </w:instrText>
      </w:r>
      <w:r>
        <w:fldChar w:fldCharType="separate"/>
      </w:r>
      <w:r>
        <w:rPr>
          <w:rFonts w:hint="eastAsia" w:ascii="仿宋_GB2312" w:hAnsi="仿宋_GB2312" w:eastAsia="仿宋_GB2312" w:cs="仿宋_GB2312"/>
          <w:sz w:val="32"/>
          <w:szCs w:val="32"/>
          <w:shd w:val="clear" w:color="auto" w:fill="FFFFFF"/>
        </w:rPr>
        <w:t>中共广元市委三江新区建设办公室</w:t>
      </w:r>
      <w:r>
        <w:rPr>
          <w:rFonts w:ascii="仿宋_GB2312" w:hAnsi="仿宋_GB2312" w:eastAsia="仿宋_GB2312" w:cs="仿宋_GB2312"/>
          <w:sz w:val="32"/>
          <w:szCs w:val="32"/>
          <w:shd w:val="clear" w:color="auto" w:fill="FFFFFF"/>
        </w:rPr>
        <w:t>2020</w:t>
      </w:r>
      <w:r>
        <w:rPr>
          <w:rFonts w:hint="eastAsia" w:ascii="仿宋_GB2312" w:hAnsi="仿宋_GB2312" w:eastAsia="仿宋_GB2312" w:cs="仿宋_GB2312"/>
          <w:sz w:val="32"/>
          <w:szCs w:val="32"/>
          <w:shd w:val="clear" w:color="auto" w:fill="FFFFFF"/>
        </w:rPr>
        <w:t>年预算绩效目标批复表</w:t>
      </w:r>
      <w:r>
        <w:rPr>
          <w:rFonts w:ascii="仿宋_GB2312" w:hAnsi="仿宋_GB2312" w:eastAsia="仿宋_GB2312" w:cs="仿宋_GB2312"/>
          <w:sz w:val="32"/>
          <w:szCs w:val="32"/>
          <w:shd w:val="clear" w:color="auto" w:fill="FFFFFF"/>
        </w:rPr>
        <w:t>.xls</w:t>
      </w:r>
      <w:r>
        <w:rPr>
          <w:rFonts w:ascii="仿宋_GB2312" w:hAnsi="仿宋_GB2312" w:eastAsia="仿宋_GB2312" w:cs="仿宋_GB2312"/>
          <w:sz w:val="32"/>
          <w:szCs w:val="32"/>
          <w:shd w:val="clear" w:color="auto" w:fill="FFFFFF"/>
        </w:rPr>
        <w:fldChar w:fldCharType="end"/>
      </w:r>
    </w:p>
    <w:p>
      <w:pPr>
        <w:pStyle w:val="6"/>
        <w:widowControl/>
        <w:spacing w:line="576" w:lineRule="exact"/>
        <w:ind w:left="1916" w:leftChars="760" w:hanging="320" w:hangingChars="100"/>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2.</w:t>
      </w:r>
      <w:r>
        <w:fldChar w:fldCharType="begin"/>
      </w:r>
      <w:r>
        <w:instrText xml:space="preserve"> HYPERLINK "http://www.cngy.gov.cn/UploadFile/SiteFile/20160720104022133/2020/07/08/f505f6a5efe4417e94d91f8b24d731e1.xls" \o "点击下载" </w:instrText>
      </w:r>
      <w:r>
        <w:fldChar w:fldCharType="separate"/>
      </w:r>
      <w:r>
        <w:rPr>
          <w:rFonts w:hint="eastAsia" w:ascii="仿宋_GB2312" w:hAnsi="仿宋_GB2312" w:eastAsia="仿宋_GB2312" w:cs="仿宋_GB2312"/>
          <w:sz w:val="32"/>
          <w:szCs w:val="32"/>
          <w:shd w:val="clear" w:color="auto" w:fill="FFFFFF"/>
        </w:rPr>
        <w:t>中共广元市委三江新区建设办公室</w:t>
      </w:r>
      <w:r>
        <w:rPr>
          <w:rFonts w:ascii="仿宋_GB2312" w:hAnsi="仿宋_GB2312" w:eastAsia="仿宋_GB2312" w:cs="仿宋_GB2312"/>
          <w:sz w:val="32"/>
          <w:szCs w:val="32"/>
          <w:shd w:val="clear" w:color="auto" w:fill="FFFFFF"/>
        </w:rPr>
        <w:t>2020</w:t>
      </w:r>
      <w:r>
        <w:rPr>
          <w:rFonts w:hint="eastAsia" w:ascii="仿宋_GB2312" w:hAnsi="仿宋_GB2312" w:eastAsia="仿宋_GB2312" w:cs="仿宋_GB2312"/>
          <w:sz w:val="32"/>
          <w:szCs w:val="32"/>
          <w:shd w:val="clear" w:color="auto" w:fill="FFFFFF"/>
        </w:rPr>
        <w:t>年部门预算明细表</w:t>
      </w:r>
      <w:r>
        <w:rPr>
          <w:rFonts w:ascii="仿宋_GB2312" w:hAnsi="仿宋_GB2312" w:eastAsia="仿宋_GB2312" w:cs="仿宋_GB2312"/>
          <w:sz w:val="32"/>
          <w:szCs w:val="32"/>
          <w:shd w:val="clear" w:color="auto" w:fill="FFFFFF"/>
        </w:rPr>
        <w:t>.xls</w:t>
      </w:r>
      <w:r>
        <w:rPr>
          <w:rFonts w:ascii="仿宋_GB2312" w:hAnsi="仿宋_GB2312" w:eastAsia="仿宋_GB2312" w:cs="仿宋_GB2312"/>
          <w:sz w:val="32"/>
          <w:szCs w:val="32"/>
          <w:shd w:val="clear" w:color="auto" w:fill="FFFFFF"/>
        </w:rPr>
        <w:fldChar w:fldCharType="end"/>
      </w:r>
    </w:p>
    <w:p>
      <w:pPr>
        <w:widowControl/>
        <w:spacing w:before="542" w:line="450" w:lineRule="atLeast"/>
        <w:rPr>
          <w:rFonts w:cs="Times New Roman"/>
        </w:rPr>
      </w:pPr>
    </w:p>
    <w:p>
      <w:pPr>
        <w:spacing w:line="576" w:lineRule="exact"/>
        <w:rPr>
          <w:rFonts w:ascii="仿宋_GB2312" w:hAnsi="仿宋_GB2312"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56"/>
    <w:rsid w:val="00057EB7"/>
    <w:rsid w:val="00067BD7"/>
    <w:rsid w:val="000B064C"/>
    <w:rsid w:val="000C553F"/>
    <w:rsid w:val="000D0863"/>
    <w:rsid w:val="0010274C"/>
    <w:rsid w:val="00127BA2"/>
    <w:rsid w:val="001A3E6D"/>
    <w:rsid w:val="001C25CF"/>
    <w:rsid w:val="003C0384"/>
    <w:rsid w:val="00416CC5"/>
    <w:rsid w:val="00435166"/>
    <w:rsid w:val="00601AB5"/>
    <w:rsid w:val="00677200"/>
    <w:rsid w:val="006E495C"/>
    <w:rsid w:val="00755F7A"/>
    <w:rsid w:val="007737E5"/>
    <w:rsid w:val="00776256"/>
    <w:rsid w:val="00781EBC"/>
    <w:rsid w:val="00793E2E"/>
    <w:rsid w:val="008F67C5"/>
    <w:rsid w:val="00956CA1"/>
    <w:rsid w:val="009B7CD2"/>
    <w:rsid w:val="00AC3410"/>
    <w:rsid w:val="00B052B3"/>
    <w:rsid w:val="00B10F05"/>
    <w:rsid w:val="00B2130D"/>
    <w:rsid w:val="00B679AC"/>
    <w:rsid w:val="00BA58F5"/>
    <w:rsid w:val="00CA2DF2"/>
    <w:rsid w:val="00D641FE"/>
    <w:rsid w:val="00D66C6E"/>
    <w:rsid w:val="00D87C37"/>
    <w:rsid w:val="00D9440B"/>
    <w:rsid w:val="00D95D5D"/>
    <w:rsid w:val="00DF5FC2"/>
    <w:rsid w:val="00EC574D"/>
    <w:rsid w:val="00EE4E2A"/>
    <w:rsid w:val="00F65B71"/>
    <w:rsid w:val="00FB6510"/>
    <w:rsid w:val="0C681D2D"/>
    <w:rsid w:val="1E9C3BFE"/>
    <w:rsid w:val="20840A2A"/>
    <w:rsid w:val="2B98659A"/>
    <w:rsid w:val="2FFE1F9F"/>
    <w:rsid w:val="3C5406EF"/>
    <w:rsid w:val="4EF006F9"/>
    <w:rsid w:val="59200DB8"/>
    <w:rsid w:val="657B5788"/>
    <w:rsid w:val="665150D5"/>
    <w:rsid w:val="77512F88"/>
    <w:rsid w:val="7D3A7B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qFormat="1" w:unhideWhenUsed="0"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uiPriority="99" w:name="HTML Preformatted"/>
    <w:lsdException w:qFormat="1" w:unhideWhenUsed="0" w:uiPriority="99" w:name="HTML Sample"/>
    <w:lsdException w:uiPriority="99" w:name="HTML Typewriter"/>
    <w:lsdException w:qFormat="1" w:unhideWhenUsed="0"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3"/>
    <w:basedOn w:val="1"/>
    <w:next w:val="1"/>
    <w:link w:val="20"/>
    <w:qFormat/>
    <w:uiPriority w:val="99"/>
    <w:pPr>
      <w:spacing w:beforeAutospacing="1" w:afterAutospacing="1"/>
      <w:jc w:val="left"/>
      <w:outlineLvl w:val="2"/>
    </w:pPr>
    <w:rPr>
      <w:rFonts w:ascii="宋体" w:hAnsi="宋体" w:cs="宋体"/>
      <w:b/>
      <w:bCs/>
      <w:kern w:val="0"/>
      <w:sz w:val="24"/>
      <w:szCs w:val="2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1"/>
    <w:semiHidden/>
    <w:qFormat/>
    <w:uiPriority w:val="99"/>
    <w:pPr>
      <w:tabs>
        <w:tab w:val="center" w:pos="4153"/>
        <w:tab w:val="right" w:pos="8306"/>
      </w:tabs>
      <w:snapToGrid w:val="0"/>
      <w:jc w:val="left"/>
    </w:pPr>
    <w:rPr>
      <w:sz w:val="18"/>
      <w:szCs w:val="18"/>
    </w:rPr>
  </w:style>
  <w:style w:type="paragraph" w:styleId="5">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rPr>
      <w:sz w:val="24"/>
      <w:szCs w:val="24"/>
    </w:rPr>
  </w:style>
  <w:style w:type="character" w:styleId="9">
    <w:name w:val="Strong"/>
    <w:basedOn w:val="8"/>
    <w:qFormat/>
    <w:uiPriority w:val="99"/>
    <w:rPr>
      <w:b/>
      <w:bCs/>
    </w:rPr>
  </w:style>
  <w:style w:type="character" w:styleId="10">
    <w:name w:val="FollowedHyperlink"/>
    <w:basedOn w:val="8"/>
    <w:semiHidden/>
    <w:qFormat/>
    <w:uiPriority w:val="99"/>
    <w:rPr>
      <w:color w:val="800080"/>
      <w:u w:val="none"/>
    </w:rPr>
  </w:style>
  <w:style w:type="character" w:styleId="11">
    <w:name w:val="Emphasis"/>
    <w:basedOn w:val="8"/>
    <w:qFormat/>
    <w:uiPriority w:val="99"/>
    <w:rPr>
      <w:b/>
      <w:bCs/>
    </w:rPr>
  </w:style>
  <w:style w:type="character" w:styleId="12">
    <w:name w:val="HTML Definition"/>
    <w:basedOn w:val="8"/>
    <w:semiHidden/>
    <w:qFormat/>
    <w:uiPriority w:val="99"/>
  </w:style>
  <w:style w:type="character" w:styleId="13">
    <w:name w:val="HTML Variable"/>
    <w:basedOn w:val="8"/>
    <w:semiHidden/>
    <w:qFormat/>
    <w:uiPriority w:val="99"/>
  </w:style>
  <w:style w:type="character" w:styleId="14">
    <w:name w:val="Hyperlink"/>
    <w:basedOn w:val="8"/>
    <w:semiHidden/>
    <w:uiPriority w:val="99"/>
    <w:rPr>
      <w:color w:val="0000FF"/>
      <w:u w:val="none"/>
    </w:rPr>
  </w:style>
  <w:style w:type="character" w:styleId="15">
    <w:name w:val="HTML Code"/>
    <w:basedOn w:val="8"/>
    <w:semiHidden/>
    <w:qFormat/>
    <w:uiPriority w:val="99"/>
    <w:rPr>
      <w:rFonts w:ascii="Courier New" w:hAnsi="Courier New" w:cs="Courier New"/>
      <w:sz w:val="20"/>
      <w:szCs w:val="20"/>
    </w:rPr>
  </w:style>
  <w:style w:type="character" w:styleId="16">
    <w:name w:val="HTML Cite"/>
    <w:basedOn w:val="8"/>
    <w:semiHidden/>
    <w:qFormat/>
    <w:uiPriority w:val="99"/>
  </w:style>
  <w:style w:type="character" w:styleId="17">
    <w:name w:val="HTML Keyboard"/>
    <w:basedOn w:val="8"/>
    <w:semiHidden/>
    <w:qFormat/>
    <w:uiPriority w:val="99"/>
    <w:rPr>
      <w:rFonts w:ascii="Courier New" w:hAnsi="Courier New" w:cs="Courier New"/>
      <w:sz w:val="20"/>
      <w:szCs w:val="20"/>
    </w:rPr>
  </w:style>
  <w:style w:type="character" w:styleId="18">
    <w:name w:val="HTML Sample"/>
    <w:basedOn w:val="8"/>
    <w:semiHidden/>
    <w:qFormat/>
    <w:uiPriority w:val="99"/>
    <w:rPr>
      <w:rFonts w:ascii="Courier New" w:hAnsi="Courier New" w:cs="Courier New"/>
    </w:rPr>
  </w:style>
  <w:style w:type="character" w:customStyle="1" w:styleId="19">
    <w:name w:val="Heading 1 Char"/>
    <w:basedOn w:val="8"/>
    <w:link w:val="2"/>
    <w:qFormat/>
    <w:locked/>
    <w:uiPriority w:val="99"/>
    <w:rPr>
      <w:b/>
      <w:bCs/>
      <w:kern w:val="44"/>
      <w:sz w:val="44"/>
      <w:szCs w:val="44"/>
    </w:rPr>
  </w:style>
  <w:style w:type="character" w:customStyle="1" w:styleId="20">
    <w:name w:val="Heading 3 Char"/>
    <w:basedOn w:val="8"/>
    <w:link w:val="3"/>
    <w:semiHidden/>
    <w:qFormat/>
    <w:uiPriority w:val="9"/>
    <w:rPr>
      <w:rFonts w:ascii="Calibri" w:hAnsi="Calibri" w:cs="Calibri"/>
      <w:b/>
      <w:bCs/>
      <w:sz w:val="32"/>
      <w:szCs w:val="32"/>
    </w:rPr>
  </w:style>
  <w:style w:type="character" w:customStyle="1" w:styleId="21">
    <w:name w:val="Footer Char"/>
    <w:basedOn w:val="8"/>
    <w:link w:val="4"/>
    <w:semiHidden/>
    <w:qFormat/>
    <w:locked/>
    <w:uiPriority w:val="99"/>
    <w:rPr>
      <w:sz w:val="18"/>
      <w:szCs w:val="18"/>
    </w:rPr>
  </w:style>
  <w:style w:type="character" w:customStyle="1" w:styleId="22">
    <w:name w:val="Header Char"/>
    <w:basedOn w:val="8"/>
    <w:link w:val="5"/>
    <w:semiHidden/>
    <w:qFormat/>
    <w:locked/>
    <w:uiPriority w:val="99"/>
    <w:rPr>
      <w:sz w:val="18"/>
      <w:szCs w:val="18"/>
    </w:rPr>
  </w:style>
  <w:style w:type="character" w:customStyle="1" w:styleId="23">
    <w:name w:val="first-child"/>
    <w:basedOn w:val="8"/>
    <w:qFormat/>
    <w:uiPriority w:val="99"/>
  </w:style>
  <w:style w:type="character" w:customStyle="1" w:styleId="24">
    <w:name w:val="layui-layer-tabnow"/>
    <w:basedOn w:val="8"/>
    <w:qFormat/>
    <w:uiPriority w:val="99"/>
    <w:rPr>
      <w:bdr w:val="single" w:color="auto" w:sz="6" w:space="0"/>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8</Pages>
  <Words>570</Words>
  <Characters>3254</Characters>
  <Lines>0</Lines>
  <Paragraphs>0</Paragraphs>
  <TotalTime>24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2020-06-19T07:51:00Z</dcterms:created>
  <dc:creator>预算科:侯雯</dc:creator>
  <cp:lastModifiedBy>听梦</cp:lastModifiedBy>
  <cp:lastPrinted>2020-07-08T08:15:00Z</cp:lastPrinted>
  <dcterms:modified xsi:type="dcterms:W3CDTF">2021-05-22T10:11:12Z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3F3D8EE49A7846D996818B03106FAA9D</vt:lpwstr>
  </property>
</Properties>
</file>