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32"/>
          <w:szCs w:val="32"/>
        </w:rPr>
      </w:pPr>
    </w:p>
    <w:p>
      <w:pPr>
        <w:adjustRightInd w:val="0"/>
        <w:snapToGrid w:val="0"/>
        <w:spacing w:line="700" w:lineRule="exact"/>
        <w:jc w:val="center"/>
        <w:outlineLvl w:val="0"/>
        <w:rPr>
          <w:rFonts w:ascii="方正小标宋_GBK" w:hAnsi="宋体" w:eastAsia="方正小标宋_GBK"/>
          <w:color w:val="000000"/>
          <w:sz w:val="48"/>
          <w:szCs w:val="48"/>
        </w:rPr>
      </w:pPr>
      <w:bookmarkStart w:id="1" w:name="_Toc15396475"/>
      <w:bookmarkStart w:id="2" w:name="_Toc15396597"/>
      <w:bookmarkStart w:id="3" w:name="_Toc15377425"/>
      <w:bookmarkStart w:id="4" w:name="_Toc15378441"/>
      <w:bookmarkStart w:id="5" w:name="_Toc15377193"/>
      <w:r>
        <w:rPr>
          <w:rFonts w:ascii="方正小标宋_GBK" w:hAnsi="黑体" w:eastAsia="方正小标宋_GBK" w:cs="方正小标宋_GBK"/>
          <w:color w:val="000000"/>
          <w:sz w:val="48"/>
          <w:szCs w:val="48"/>
        </w:rPr>
        <w:t>2019</w:t>
      </w:r>
      <w:r>
        <w:rPr>
          <w:rFonts w:hint="eastAsia" w:ascii="方正小标宋_GBK" w:hAnsi="宋体" w:eastAsia="方正小标宋_GBK" w:cs="方正小标宋_GBK"/>
          <w:color w:val="000000"/>
          <w:sz w:val="48"/>
          <w:szCs w:val="48"/>
        </w:rPr>
        <w:t>年度</w:t>
      </w:r>
      <w:bookmarkEnd w:id="1"/>
      <w:bookmarkEnd w:id="2"/>
      <w:bookmarkEnd w:id="3"/>
      <w:bookmarkEnd w:id="4"/>
      <w:bookmarkEnd w:id="5"/>
    </w:p>
    <w:p>
      <w:pPr>
        <w:adjustRightInd w:val="0"/>
        <w:snapToGrid w:val="0"/>
        <w:spacing w:line="700" w:lineRule="exact"/>
        <w:jc w:val="center"/>
        <w:outlineLvl w:val="0"/>
        <w:rPr>
          <w:rFonts w:ascii="方正小标宋_GBK" w:hAnsi="宋体" w:eastAsia="方正小标宋_GBK"/>
          <w:color w:val="000000"/>
          <w:sz w:val="48"/>
          <w:szCs w:val="48"/>
        </w:rPr>
      </w:pPr>
      <w:bookmarkStart w:id="6" w:name="_Toc15396598"/>
      <w:bookmarkStart w:id="7" w:name="_Toc15378442"/>
      <w:bookmarkStart w:id="8" w:name="_Toc15377426"/>
      <w:bookmarkStart w:id="9" w:name="_Toc15396476"/>
      <w:bookmarkStart w:id="10" w:name="_Toc15377194"/>
      <w:r>
        <w:rPr>
          <w:rFonts w:hint="eastAsia" w:ascii="方正小标宋_GBK" w:hAnsi="宋体" w:eastAsia="方正小标宋_GBK" w:cs="方正小标宋_GBK"/>
          <w:color w:val="000000"/>
          <w:sz w:val="48"/>
          <w:szCs w:val="48"/>
        </w:rPr>
        <w:t>广元市</w:t>
      </w:r>
      <w:bookmarkEnd w:id="0"/>
      <w:bookmarkStart w:id="11" w:name="_Toc15306268"/>
      <w:r>
        <w:rPr>
          <w:rFonts w:hint="eastAsia" w:ascii="方正小标宋_GBK" w:hAnsi="宋体" w:eastAsia="方正小标宋_GBK" w:cs="方正小标宋_GBK"/>
          <w:color w:val="000000"/>
          <w:sz w:val="48"/>
          <w:szCs w:val="48"/>
        </w:rPr>
        <w:t>自然资源局部门决算</w:t>
      </w:r>
      <w:bookmarkEnd w:id="6"/>
      <w:bookmarkEnd w:id="7"/>
      <w:bookmarkEnd w:id="8"/>
      <w:bookmarkEnd w:id="9"/>
      <w:bookmarkEnd w:id="10"/>
      <w:bookmarkEnd w:id="11"/>
      <w:r>
        <w:rPr>
          <w:rFonts w:hint="eastAsia" w:ascii="方正小标宋_GBK" w:hAnsi="宋体" w:eastAsia="方正小标宋_GBK" w:cs="方正小标宋_GBK"/>
          <w:color w:val="000000"/>
          <w:sz w:val="48"/>
          <w:szCs w:val="48"/>
        </w:rPr>
        <w:t>编制说明</w:t>
      </w: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52"/>
          <w:szCs w:val="52"/>
        </w:rPr>
      </w:pPr>
    </w:p>
    <w:p>
      <w:pPr>
        <w:widowControl/>
        <w:jc w:val="center"/>
        <w:rPr>
          <w:rFonts w:ascii="黑体" w:hAnsi="黑体" w:eastAsia="黑体"/>
          <w:color w:val="000000"/>
          <w:sz w:val="36"/>
          <w:szCs w:val="36"/>
        </w:rPr>
      </w:pPr>
      <w:r>
        <w:rPr>
          <w:rFonts w:ascii="方正小标宋简体" w:hAnsi="宋体" w:eastAsia="方正小标宋简体"/>
          <w:color w:val="000000"/>
          <w:sz w:val="36"/>
          <w:szCs w:val="36"/>
        </w:rPr>
        <w:br w:type="page"/>
      </w:r>
      <w:r>
        <w:rPr>
          <w:rFonts w:hint="eastAsia" w:ascii="黑体" w:hAnsi="黑体" w:eastAsia="黑体" w:cs="黑体"/>
          <w:color w:val="000000"/>
          <w:sz w:val="36"/>
          <w:szCs w:val="36"/>
        </w:rPr>
        <w:t>目</w:t>
      </w:r>
      <w:r>
        <w:rPr>
          <w:rFonts w:ascii="黑体" w:hAnsi="黑体" w:eastAsia="黑体" w:cs="黑体"/>
          <w:color w:val="000000"/>
          <w:sz w:val="36"/>
          <w:szCs w:val="36"/>
        </w:rPr>
        <w:t xml:space="preserve">    </w:t>
      </w:r>
      <w:r>
        <w:rPr>
          <w:rFonts w:hint="eastAsia" w:ascii="黑体" w:hAnsi="黑体" w:eastAsia="黑体" w:cs="黑体"/>
          <w:color w:val="000000"/>
          <w:sz w:val="36"/>
          <w:szCs w:val="36"/>
        </w:rPr>
        <w:t>录</w:t>
      </w:r>
    </w:p>
    <w:p/>
    <w:p>
      <w:pPr>
        <w:pStyle w:val="10"/>
        <w:rPr>
          <w:rFonts w:cs="Times New Roman"/>
        </w:rPr>
      </w:pPr>
      <w:r>
        <w:rPr>
          <w:rFonts w:hint="eastAsia"/>
        </w:rPr>
        <w:t>第一部分</w:t>
      </w:r>
      <w:r>
        <w:t xml:space="preserve"> </w:t>
      </w:r>
      <w:r>
        <w:rPr>
          <w:rFonts w:hint="eastAsia"/>
        </w:rPr>
        <w:t>部门概况</w:t>
      </w:r>
    </w:p>
    <w:p>
      <w:pPr>
        <w:pStyle w:val="11"/>
        <w:adjustRightInd w:val="0"/>
        <w:snapToGrid w:val="0"/>
        <w:spacing w:line="380" w:lineRule="exact"/>
        <w:jc w:val="left"/>
        <w:rPr>
          <w:rFonts w:ascii="仿宋" w:eastAsia="仿宋"/>
          <w:sz w:val="24"/>
          <w:szCs w:val="24"/>
        </w:rPr>
      </w:pPr>
      <w:r>
        <w:rPr>
          <w:rFonts w:hint="eastAsia" w:cs="宋体"/>
          <w:sz w:val="24"/>
          <w:szCs w:val="24"/>
        </w:rPr>
        <w:t>一、基本职能及主要工作…………………………………………………………………</w:t>
      </w:r>
      <w:r>
        <w:rPr>
          <w:rFonts w:cs="宋体"/>
          <w:sz w:val="24"/>
          <w:szCs w:val="24"/>
        </w:rPr>
        <w:t>1</w:t>
      </w:r>
    </w:p>
    <w:p>
      <w:pPr>
        <w:pStyle w:val="11"/>
        <w:adjustRightInd w:val="0"/>
        <w:snapToGrid w:val="0"/>
        <w:spacing w:line="380" w:lineRule="exact"/>
        <w:jc w:val="left"/>
        <w:rPr>
          <w:rFonts w:ascii="仿宋" w:hAnsi="仿宋" w:eastAsia="仿宋"/>
          <w:sz w:val="24"/>
          <w:szCs w:val="24"/>
        </w:rPr>
      </w:pPr>
      <w:r>
        <w:rPr>
          <w:rFonts w:hint="eastAsia" w:cs="宋体"/>
          <w:sz w:val="24"/>
          <w:szCs w:val="24"/>
        </w:rPr>
        <w:t>二、机构设置………………………………………………………………………………</w:t>
      </w:r>
      <w:r>
        <w:rPr>
          <w:rFonts w:cs="宋体"/>
          <w:sz w:val="24"/>
          <w:szCs w:val="24"/>
        </w:rPr>
        <w:t>10</w:t>
      </w:r>
    </w:p>
    <w:p>
      <w:pPr>
        <w:pStyle w:val="10"/>
        <w:rPr>
          <w:rFonts w:cs="Times New Roman"/>
        </w:rPr>
      </w:pPr>
      <w:r>
        <w:rPr>
          <w:rFonts w:hint="eastAsia"/>
        </w:rPr>
        <w:t>第二部分</w:t>
      </w:r>
      <w:r>
        <w:t xml:space="preserve"> 2019</w:t>
      </w:r>
      <w:r>
        <w:rPr>
          <w:rFonts w:hint="eastAsia"/>
        </w:rPr>
        <w:t>年度部门决算情况说明</w:t>
      </w:r>
    </w:p>
    <w:p>
      <w:pPr>
        <w:pStyle w:val="11"/>
        <w:adjustRightInd w:val="0"/>
        <w:snapToGrid w:val="0"/>
        <w:spacing w:line="380" w:lineRule="exact"/>
        <w:jc w:val="left"/>
        <w:rPr>
          <w:rFonts w:ascii="仿宋" w:hAnsi="仿宋" w:eastAsia="仿宋"/>
          <w:sz w:val="24"/>
          <w:szCs w:val="24"/>
        </w:rPr>
      </w:pPr>
      <w:r>
        <w:rPr>
          <w:rFonts w:hint="eastAsia" w:cs="宋体"/>
          <w:sz w:val="24"/>
          <w:szCs w:val="24"/>
        </w:rPr>
        <w:t>一、收入支出决算总体情况说明…………………………………………………………</w:t>
      </w:r>
      <w:r>
        <w:rPr>
          <w:rFonts w:cs="宋体"/>
          <w:sz w:val="24"/>
          <w:szCs w:val="24"/>
        </w:rPr>
        <w:t>11</w:t>
      </w:r>
    </w:p>
    <w:p>
      <w:pPr>
        <w:pStyle w:val="11"/>
        <w:adjustRightInd w:val="0"/>
        <w:snapToGrid w:val="0"/>
        <w:spacing w:line="380" w:lineRule="exact"/>
        <w:jc w:val="left"/>
        <w:rPr>
          <w:rFonts w:ascii="仿宋" w:hAnsi="仿宋" w:eastAsia="仿宋"/>
          <w:sz w:val="24"/>
          <w:szCs w:val="24"/>
        </w:rPr>
      </w:pPr>
      <w:r>
        <w:rPr>
          <w:rFonts w:hint="eastAsia" w:cs="宋体"/>
          <w:sz w:val="24"/>
          <w:szCs w:val="24"/>
        </w:rPr>
        <w:t>二、收入决算情况说明……………………………………………………………………</w:t>
      </w:r>
      <w:r>
        <w:rPr>
          <w:rFonts w:cs="宋体"/>
          <w:sz w:val="24"/>
          <w:szCs w:val="24"/>
        </w:rPr>
        <w:t>11</w:t>
      </w:r>
    </w:p>
    <w:p>
      <w:pPr>
        <w:pStyle w:val="11"/>
        <w:adjustRightInd w:val="0"/>
        <w:snapToGrid w:val="0"/>
        <w:spacing w:line="380" w:lineRule="exact"/>
        <w:jc w:val="left"/>
        <w:rPr>
          <w:rFonts w:ascii="仿宋" w:hAnsi="仿宋" w:eastAsia="仿宋"/>
          <w:sz w:val="24"/>
          <w:szCs w:val="24"/>
        </w:rPr>
      </w:pPr>
      <w:r>
        <w:rPr>
          <w:rFonts w:hint="eastAsia" w:cs="宋体"/>
          <w:sz w:val="24"/>
          <w:szCs w:val="24"/>
        </w:rPr>
        <w:t>三、支出决算情况说明……………………………………………………………………</w:t>
      </w:r>
      <w:r>
        <w:rPr>
          <w:rFonts w:cs="宋体"/>
          <w:sz w:val="24"/>
          <w:szCs w:val="24"/>
        </w:rPr>
        <w:t>11</w:t>
      </w:r>
    </w:p>
    <w:p>
      <w:pPr>
        <w:pStyle w:val="11"/>
        <w:adjustRightInd w:val="0"/>
        <w:snapToGrid w:val="0"/>
        <w:spacing w:line="380" w:lineRule="exact"/>
        <w:jc w:val="left"/>
        <w:rPr>
          <w:rFonts w:ascii="仿宋" w:hAnsi="仿宋" w:eastAsia="仿宋"/>
          <w:sz w:val="24"/>
          <w:szCs w:val="24"/>
        </w:rPr>
      </w:pPr>
      <w:r>
        <w:rPr>
          <w:rFonts w:hint="eastAsia" w:cs="宋体"/>
          <w:sz w:val="24"/>
          <w:szCs w:val="24"/>
        </w:rPr>
        <w:t>四、财政拨款收入支出决算总体情况说明………………………………………………</w:t>
      </w:r>
      <w:r>
        <w:rPr>
          <w:rFonts w:cs="宋体"/>
          <w:sz w:val="24"/>
          <w:szCs w:val="24"/>
        </w:rPr>
        <w:t>11</w:t>
      </w:r>
    </w:p>
    <w:p>
      <w:pPr>
        <w:pStyle w:val="11"/>
        <w:adjustRightInd w:val="0"/>
        <w:snapToGrid w:val="0"/>
        <w:spacing w:line="380" w:lineRule="exact"/>
        <w:jc w:val="left"/>
        <w:rPr>
          <w:rFonts w:ascii="仿宋" w:hAnsi="仿宋" w:eastAsia="仿宋"/>
          <w:sz w:val="24"/>
          <w:szCs w:val="24"/>
        </w:rPr>
      </w:pPr>
      <w:r>
        <w:rPr>
          <w:rFonts w:hint="eastAsia" w:cs="宋体"/>
          <w:sz w:val="24"/>
          <w:szCs w:val="24"/>
        </w:rPr>
        <w:t>五、一般公共预算财政拨款支出决算情况说明…………………………………………</w:t>
      </w:r>
      <w:r>
        <w:rPr>
          <w:rFonts w:cs="宋体"/>
          <w:sz w:val="24"/>
          <w:szCs w:val="24"/>
        </w:rPr>
        <w:t>11</w:t>
      </w:r>
    </w:p>
    <w:p>
      <w:pPr>
        <w:pStyle w:val="11"/>
        <w:adjustRightInd w:val="0"/>
        <w:snapToGrid w:val="0"/>
        <w:spacing w:line="380" w:lineRule="exact"/>
        <w:jc w:val="left"/>
        <w:rPr>
          <w:rFonts w:ascii="仿宋" w:hAnsi="仿宋" w:eastAsia="仿宋"/>
          <w:sz w:val="24"/>
          <w:szCs w:val="24"/>
        </w:rPr>
      </w:pPr>
      <w:r>
        <w:rPr>
          <w:rFonts w:hint="eastAsia" w:cs="宋体"/>
          <w:sz w:val="24"/>
          <w:szCs w:val="24"/>
        </w:rPr>
        <w:t>六、一般公共预算财政拨款基本支出决算情况说明……………………………………</w:t>
      </w:r>
      <w:r>
        <w:rPr>
          <w:rFonts w:cs="宋体"/>
          <w:sz w:val="24"/>
          <w:szCs w:val="24"/>
        </w:rPr>
        <w:t>13</w:t>
      </w:r>
    </w:p>
    <w:p>
      <w:pPr>
        <w:pStyle w:val="11"/>
        <w:adjustRightInd w:val="0"/>
        <w:snapToGrid w:val="0"/>
        <w:spacing w:line="380" w:lineRule="exact"/>
        <w:jc w:val="left"/>
        <w:rPr>
          <w:rFonts w:ascii="仿宋" w:hAnsi="仿宋" w:eastAsia="仿宋"/>
          <w:sz w:val="24"/>
          <w:szCs w:val="24"/>
        </w:rPr>
      </w:pPr>
      <w:r>
        <w:rPr>
          <w:rFonts w:hint="eastAsia" w:cs="宋体"/>
          <w:sz w:val="24"/>
          <w:szCs w:val="24"/>
        </w:rPr>
        <w:t>七、</w:t>
      </w:r>
      <w:r>
        <w:rPr>
          <w:sz w:val="24"/>
          <w:szCs w:val="24"/>
        </w:rPr>
        <w:t>“</w:t>
      </w:r>
      <w:r>
        <w:rPr>
          <w:rFonts w:hint="eastAsia" w:cs="宋体"/>
          <w:sz w:val="24"/>
          <w:szCs w:val="24"/>
        </w:rPr>
        <w:t>三公”经费财政拨款支出决算情况说明…………………………………………</w:t>
      </w:r>
      <w:r>
        <w:rPr>
          <w:rFonts w:cs="宋体"/>
          <w:sz w:val="24"/>
          <w:szCs w:val="24"/>
        </w:rPr>
        <w:t>13</w:t>
      </w:r>
    </w:p>
    <w:p>
      <w:pPr>
        <w:pStyle w:val="11"/>
        <w:adjustRightInd w:val="0"/>
        <w:snapToGrid w:val="0"/>
        <w:spacing w:line="380" w:lineRule="exact"/>
        <w:jc w:val="left"/>
        <w:rPr>
          <w:rFonts w:ascii="仿宋" w:hAnsi="仿宋" w:eastAsia="仿宋"/>
          <w:sz w:val="24"/>
          <w:szCs w:val="24"/>
        </w:rPr>
      </w:pPr>
      <w:r>
        <w:rPr>
          <w:rFonts w:hint="eastAsia" w:cs="宋体"/>
          <w:sz w:val="24"/>
          <w:szCs w:val="24"/>
        </w:rPr>
        <w:t>八、政府性基金预算支出决算情况说明…………………………………………………</w:t>
      </w:r>
      <w:r>
        <w:rPr>
          <w:rFonts w:cs="宋体"/>
          <w:sz w:val="24"/>
          <w:szCs w:val="24"/>
        </w:rPr>
        <w:t>15</w:t>
      </w:r>
    </w:p>
    <w:p>
      <w:pPr>
        <w:pStyle w:val="11"/>
        <w:adjustRightInd w:val="0"/>
        <w:snapToGrid w:val="0"/>
        <w:spacing w:line="380" w:lineRule="exact"/>
        <w:ind w:leftChars="0"/>
        <w:jc w:val="left"/>
        <w:rPr>
          <w:rFonts w:ascii="仿宋" w:hAnsi="仿宋" w:eastAsia="仿宋"/>
          <w:sz w:val="24"/>
          <w:szCs w:val="24"/>
        </w:rPr>
      </w:pPr>
      <w:r>
        <w:rPr>
          <w:rFonts w:hint="eastAsia" w:ascii="仿宋" w:hAnsi="仿宋" w:eastAsia="仿宋" w:cs="仿宋"/>
          <w:sz w:val="24"/>
          <w:szCs w:val="24"/>
        </w:rPr>
        <w:t>九、</w:t>
      </w:r>
      <w:r>
        <w:rPr>
          <w:sz w:val="24"/>
          <w:szCs w:val="24"/>
        </w:rPr>
        <w:t xml:space="preserve"> </w:t>
      </w:r>
      <w:r>
        <w:rPr>
          <w:rFonts w:hint="eastAsia" w:cs="宋体"/>
          <w:sz w:val="24"/>
          <w:szCs w:val="24"/>
        </w:rPr>
        <w:t>国有资本经营预算支出决算情况说明……………………………………………</w:t>
      </w:r>
      <w:r>
        <w:rPr>
          <w:rFonts w:cs="宋体"/>
          <w:sz w:val="24"/>
          <w:szCs w:val="24"/>
        </w:rPr>
        <w:t>15</w:t>
      </w:r>
    </w:p>
    <w:p>
      <w:pPr>
        <w:adjustRightInd w:val="0"/>
        <w:snapToGrid w:val="0"/>
        <w:spacing w:line="380" w:lineRule="exact"/>
        <w:ind w:firstLine="480" w:firstLineChars="200"/>
        <w:jc w:val="left"/>
        <w:rPr>
          <w:rFonts w:ascii="仿宋" w:hAnsi="仿宋" w:eastAsia="仿宋"/>
          <w:sz w:val="24"/>
          <w:szCs w:val="24"/>
        </w:rPr>
      </w:pPr>
      <w:r>
        <w:rPr>
          <w:rStyle w:val="16"/>
          <w:rFonts w:hint="eastAsia" w:ascii="仿宋" w:hAnsi="仿宋" w:eastAsia="仿宋" w:cs="仿宋"/>
          <w:color w:val="000000"/>
          <w:sz w:val="24"/>
          <w:szCs w:val="24"/>
          <w:u w:val="none"/>
        </w:rPr>
        <w:t>十、</w:t>
      </w:r>
      <w:r>
        <w:rPr>
          <w:rFonts w:hint="eastAsia" w:cs="宋体"/>
          <w:sz w:val="24"/>
          <w:szCs w:val="24"/>
        </w:rPr>
        <w:t>其他重要事项的情况说明…………………………………………………………</w:t>
      </w:r>
      <w:r>
        <w:rPr>
          <w:rFonts w:cs="宋体"/>
          <w:sz w:val="24"/>
          <w:szCs w:val="24"/>
        </w:rPr>
        <w:t>15</w:t>
      </w:r>
    </w:p>
    <w:p>
      <w:pPr>
        <w:adjustRightInd w:val="0"/>
        <w:snapToGrid w:val="0"/>
        <w:spacing w:line="380" w:lineRule="exact"/>
        <w:jc w:val="left"/>
        <w:rPr>
          <w:rFonts w:hint="eastAsia" w:ascii="仿宋" w:hAnsi="仿宋" w:eastAsia="宋体"/>
          <w:sz w:val="24"/>
          <w:szCs w:val="24"/>
          <w:lang w:val="en-US" w:eastAsia="zh-CN"/>
        </w:rPr>
      </w:pPr>
      <w:r>
        <w:rPr>
          <w:rFonts w:hint="eastAsia" w:ascii="黑体" w:hAnsi="黑体" w:eastAsia="黑体" w:cs="黑体"/>
          <w:kern w:val="2"/>
          <w:sz w:val="24"/>
          <w:szCs w:val="24"/>
          <w:lang w:val="en-US" w:eastAsia="zh-CN" w:bidi="ar-SA"/>
        </w:rPr>
        <w:t>第三部分 名词解释…</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cs="宋体"/>
          <w:sz w:val="24"/>
          <w:szCs w:val="24"/>
        </w:rPr>
        <w:t>1</w:t>
      </w:r>
      <w:r>
        <w:rPr>
          <w:rFonts w:hint="eastAsia" w:cs="宋体"/>
          <w:sz w:val="24"/>
          <w:szCs w:val="24"/>
          <w:lang w:val="en-US" w:eastAsia="zh-CN"/>
        </w:rPr>
        <w:t>6</w:t>
      </w:r>
    </w:p>
    <w:p>
      <w:pPr>
        <w:pStyle w:val="10"/>
        <w:rPr>
          <w:rFonts w:cs="Times New Roman"/>
        </w:rPr>
      </w:pPr>
    </w:p>
    <w:p>
      <w:pPr>
        <w:adjustRightInd w:val="0"/>
        <w:snapToGrid w:val="0"/>
        <w:spacing w:line="380" w:lineRule="exact"/>
        <w:jc w:val="left"/>
        <w:rPr>
          <w:rFonts w:hint="default" w:ascii="仿宋" w:hAnsi="仿宋" w:eastAsia="宋体"/>
          <w:sz w:val="24"/>
          <w:szCs w:val="24"/>
          <w:lang w:val="en-US" w:eastAsia="zh-CN"/>
        </w:rPr>
      </w:pPr>
      <w:r>
        <w:rPr>
          <w:rFonts w:hint="eastAsia" w:ascii="黑体" w:hAnsi="黑体" w:eastAsia="黑体" w:cs="黑体"/>
          <w:kern w:val="2"/>
          <w:sz w:val="24"/>
          <w:szCs w:val="24"/>
          <w:lang w:val="en-US" w:eastAsia="zh-CN" w:bidi="ar-SA"/>
        </w:rPr>
        <w:t>第四部分 附件…</w:t>
      </w:r>
      <w:r>
        <w:rPr>
          <w:rFonts w:hint="eastAsia" w:cs="宋体"/>
          <w:sz w:val="24"/>
          <w:szCs w:val="24"/>
        </w:rPr>
        <w:t>……………………………………</w:t>
      </w:r>
      <w:r>
        <w:rPr>
          <w:rFonts w:hint="eastAsia" w:cs="宋体"/>
          <w:sz w:val="24"/>
          <w:szCs w:val="24"/>
          <w:lang w:val="en-US" w:eastAsia="zh-CN"/>
        </w:rPr>
        <w:t xml:space="preserve"> </w:t>
      </w:r>
      <w:r>
        <w:rPr>
          <w:rFonts w:hint="eastAsia" w:cs="宋体"/>
          <w:sz w:val="24"/>
          <w:szCs w:val="24"/>
        </w:rPr>
        <w:t>…………………………</w:t>
      </w:r>
      <w:r>
        <w:rPr>
          <w:rFonts w:hint="eastAsia" w:cs="宋体"/>
          <w:sz w:val="24"/>
          <w:szCs w:val="24"/>
          <w:lang w:val="en-US" w:eastAsia="zh-CN"/>
        </w:rPr>
        <w:t>18</w:t>
      </w:r>
    </w:p>
    <w:p>
      <w:pPr>
        <w:pStyle w:val="10"/>
        <w:rPr>
          <w:rFonts w:cs="Times New Roman"/>
        </w:rPr>
      </w:pPr>
    </w:p>
    <w:p>
      <w:pPr>
        <w:pStyle w:val="11"/>
        <w:adjustRightInd w:val="0"/>
        <w:snapToGrid w:val="0"/>
        <w:spacing w:line="380" w:lineRule="exact"/>
        <w:jc w:val="left"/>
        <w:rPr>
          <w:rFonts w:ascii="仿宋" w:hAnsi="仿宋" w:eastAsia="仿宋"/>
          <w:sz w:val="24"/>
          <w:szCs w:val="24"/>
        </w:rPr>
      </w:pPr>
      <w:r>
        <w:rPr>
          <w:rFonts w:hint="eastAsia" w:cs="宋体"/>
          <w:sz w:val="24"/>
          <w:szCs w:val="24"/>
        </w:rPr>
        <w:t>附件</w:t>
      </w:r>
      <w:r>
        <w:rPr>
          <w:sz w:val="24"/>
          <w:szCs w:val="24"/>
        </w:rPr>
        <w:t>1</w:t>
      </w:r>
    </w:p>
    <w:p>
      <w:pPr>
        <w:pStyle w:val="11"/>
        <w:adjustRightInd w:val="0"/>
        <w:snapToGrid w:val="0"/>
        <w:spacing w:line="380" w:lineRule="exact"/>
        <w:jc w:val="left"/>
        <w:rPr>
          <w:rFonts w:ascii="仿宋" w:hAnsi="仿宋" w:eastAsia="仿宋"/>
          <w:sz w:val="24"/>
          <w:szCs w:val="24"/>
        </w:rPr>
      </w:pPr>
      <w:r>
        <w:rPr>
          <w:rFonts w:hint="eastAsia" w:cs="宋体"/>
          <w:sz w:val="24"/>
          <w:szCs w:val="24"/>
        </w:rPr>
        <w:t>附件</w:t>
      </w:r>
      <w:r>
        <w:rPr>
          <w:sz w:val="24"/>
          <w:szCs w:val="24"/>
        </w:rPr>
        <w:t>2</w:t>
      </w:r>
    </w:p>
    <w:p>
      <w:pPr>
        <w:pStyle w:val="10"/>
        <w:rPr>
          <w:rFonts w:cs="Times New Roman"/>
        </w:rPr>
      </w:pPr>
      <w:r>
        <w:rPr>
          <w:rFonts w:hint="eastAsia"/>
        </w:rPr>
        <w:t>第五部分</w:t>
      </w:r>
      <w:r>
        <w:t xml:space="preserve"> </w:t>
      </w:r>
      <w:r>
        <w:rPr>
          <w:rFonts w:hint="eastAsia"/>
        </w:rPr>
        <w:t>附表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一、收入支出决算总表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二、收入决算表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四、财政拨款收入支出决算总表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五、财政拨款支出决算明细表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六、一般公共预算财政拨款支出决算表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七、一般公共预算财政拨款支出决算明细表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八、一般公共预算财政拨款基本支出决算表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九、一般公共预算财政拨款项目支出决算表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十、一般公共预算财政拨款“三公”经费支出决算表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十一、政府性基金预算财政拨款收入支出决算表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十二、政府性基金预算财政拨款“三公”经费支出决算表</w:t>
      </w:r>
    </w:p>
    <w:p>
      <w:pPr>
        <w:pStyle w:val="11"/>
        <w:adjustRightInd w:val="0"/>
        <w:snapToGrid w:val="0"/>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十三、国有资本经营预算支出决算表</w:t>
      </w:r>
    </w:p>
    <w:p>
      <w:pPr>
        <w:widowControl/>
        <w:adjustRightInd w:val="0"/>
        <w:snapToGrid w:val="0"/>
        <w:spacing w:line="380" w:lineRule="exact"/>
        <w:jc w:val="left"/>
        <w:rPr>
          <w:rFonts w:asciiTheme="minorEastAsia" w:hAnsiTheme="minorEastAsia" w:eastAsiaTheme="minorEastAsia" w:cstheme="minorEastAsia"/>
          <w:b/>
          <w:bCs/>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134" w:left="1418" w:header="851" w:footer="1134" w:gutter="0"/>
          <w:pgNumType w:start="1"/>
          <w:cols w:space="425" w:num="1"/>
          <w:titlePg/>
          <w:docGrid w:type="lines" w:linePitch="312" w:charSpace="0"/>
        </w:sectPr>
      </w:pPr>
      <w:r>
        <w:rPr>
          <w:rFonts w:hint="eastAsia" w:asciiTheme="minorEastAsia" w:hAnsiTheme="minorEastAsia" w:eastAsiaTheme="minorEastAsia" w:cstheme="minorEastAsia"/>
          <w:sz w:val="24"/>
          <w:szCs w:val="24"/>
        </w:rPr>
        <w:t xml:space="preserve">    (注：请部门根据实际注明页码)</w:t>
      </w:r>
      <w:bookmarkStart w:id="12" w:name="_Toc15396599"/>
      <w:bookmarkStart w:id="13" w:name="_Toc15377196"/>
    </w:p>
    <w:p>
      <w:pPr>
        <w:widowControl/>
        <w:spacing w:line="440" w:lineRule="exact"/>
        <w:jc w:val="left"/>
        <w:rPr>
          <w:rFonts w:ascii="仿宋" w:hAnsi="仿宋" w:eastAsia="仿宋"/>
          <w:kern w:val="44"/>
          <w:sz w:val="24"/>
          <w:szCs w:val="24"/>
        </w:rPr>
      </w:pPr>
    </w:p>
    <w:p>
      <w:pPr>
        <w:pStyle w:val="2"/>
        <w:jc w:val="center"/>
        <w:rPr>
          <w:rStyle w:val="17"/>
          <w:rFonts w:ascii="方正小标宋_GBK" w:hAnsi="黑体" w:eastAsia="方正小标宋_GBK"/>
          <w:b/>
          <w:bCs/>
          <w:sz w:val="40"/>
          <w:szCs w:val="40"/>
        </w:rPr>
      </w:pPr>
      <w:r>
        <w:rPr>
          <w:rFonts w:hint="eastAsia" w:ascii="方正小标宋_GBK" w:hAnsi="黑体" w:eastAsia="方正小标宋_GBK" w:cs="方正小标宋_GBK"/>
          <w:b w:val="0"/>
          <w:bCs w:val="0"/>
          <w:sz w:val="40"/>
          <w:szCs w:val="40"/>
        </w:rPr>
        <w:t>第一部分</w:t>
      </w:r>
      <w:r>
        <w:rPr>
          <w:rFonts w:ascii="方正小标宋_GBK" w:hAnsi="黑体" w:eastAsia="方正小标宋_GBK" w:cs="方正小标宋_GBK"/>
          <w:b w:val="0"/>
          <w:bCs w:val="0"/>
          <w:sz w:val="40"/>
          <w:szCs w:val="40"/>
        </w:rPr>
        <w:t xml:space="preserve"> </w:t>
      </w:r>
      <w:r>
        <w:rPr>
          <w:rStyle w:val="17"/>
          <w:rFonts w:hint="eastAsia" w:ascii="方正小标宋_GBK" w:hAnsi="黑体" w:eastAsia="方正小标宋_GBK" w:cs="方正小标宋_GBK"/>
          <w:b w:val="0"/>
          <w:bCs w:val="0"/>
          <w:sz w:val="40"/>
          <w:szCs w:val="40"/>
        </w:rPr>
        <w:t>部门概况</w:t>
      </w:r>
      <w:bookmarkEnd w:id="12"/>
      <w:bookmarkEnd w:id="13"/>
    </w:p>
    <w:p>
      <w:pPr>
        <w:pStyle w:val="3"/>
        <w:spacing w:before="0" w:after="0" w:line="500" w:lineRule="exact"/>
        <w:rPr>
          <w:rStyle w:val="18"/>
          <w:rFonts w:ascii="仿宋" w:hAnsi="仿宋" w:eastAsia="仿宋" w:cs="Times New Roman"/>
          <w:b w:val="0"/>
          <w:bCs w:val="0"/>
          <w:sz w:val="30"/>
          <w:szCs w:val="30"/>
        </w:rPr>
      </w:pPr>
      <w:bookmarkStart w:id="14" w:name="_Toc15396600"/>
      <w:bookmarkStart w:id="15" w:name="_Toc15377197"/>
      <w:r>
        <w:rPr>
          <w:rFonts w:ascii="黑体" w:hAnsi="黑体" w:eastAsia="黑体" w:cs="黑体"/>
          <w:b w:val="0"/>
          <w:bCs w:val="0"/>
          <w:color w:val="000000"/>
        </w:rPr>
        <w:t xml:space="preserve">   </w:t>
      </w:r>
      <w:r>
        <w:rPr>
          <w:rFonts w:ascii="黑体" w:hAnsi="黑体" w:eastAsia="黑体" w:cs="黑体"/>
          <w:b w:val="0"/>
          <w:bCs w:val="0"/>
          <w:color w:val="000000"/>
          <w:sz w:val="30"/>
          <w:szCs w:val="30"/>
        </w:rPr>
        <w:t xml:space="preserve">  </w:t>
      </w:r>
      <w:r>
        <w:rPr>
          <w:rFonts w:hint="eastAsia" w:ascii="黑体" w:hAnsi="黑体" w:eastAsia="黑体" w:cs="黑体"/>
          <w:b w:val="0"/>
          <w:bCs w:val="0"/>
          <w:color w:val="000000"/>
          <w:sz w:val="30"/>
          <w:szCs w:val="30"/>
        </w:rPr>
        <w:t>一、基</w:t>
      </w:r>
      <w:r>
        <w:rPr>
          <w:rStyle w:val="18"/>
          <w:rFonts w:hint="eastAsia" w:ascii="黑体" w:hAnsi="黑体" w:eastAsia="黑体" w:cs="黑体"/>
          <w:b w:val="0"/>
          <w:bCs w:val="0"/>
          <w:sz w:val="30"/>
          <w:szCs w:val="30"/>
        </w:rPr>
        <w:t>本职能及主要工作</w:t>
      </w:r>
      <w:bookmarkEnd w:id="14"/>
      <w:bookmarkEnd w:id="15"/>
    </w:p>
    <w:p>
      <w:pPr>
        <w:pStyle w:val="5"/>
        <w:adjustRightInd w:val="0"/>
        <w:snapToGrid w:val="0"/>
        <w:spacing w:before="93" w:line="500" w:lineRule="exact"/>
        <w:ind w:firstLine="672" w:firstLineChars="210"/>
        <w:outlineLvl w:val="2"/>
        <w:rPr>
          <w:rFonts w:hAnsi="仿宋_GB2312" w:cs="仿宋_GB2312"/>
          <w:color w:val="000000"/>
          <w:sz w:val="32"/>
          <w:szCs w:val="32"/>
        </w:rPr>
      </w:pPr>
      <w:bookmarkStart w:id="16" w:name="_Toc15377198"/>
      <w:bookmarkStart w:id="17" w:name="_Toc15378445"/>
      <w:r>
        <w:rPr>
          <w:rFonts w:hint="eastAsia" w:hAnsi="仿宋_GB2312" w:cs="仿宋_GB2312"/>
          <w:color w:val="000000"/>
          <w:sz w:val="32"/>
          <w:szCs w:val="32"/>
        </w:rPr>
        <w:t>（一）主要职能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3.负责全市自然资源统一确权登记工作。组织实施各类自然资源和不动产统一确权登记、权籍调查、不动产测绘、争议</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调处、成果应用的制度、标准、规范。建立健全全市自然资源和不动产登记信息管理基础平台。负责自然资源和不动产登记资料收集、整理、共享、汇交管理等。指导监督自然资源和不动产确权登记工作。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负责全市自然资源的合理开发利用。组织拟订并实施自然资源发展规划和战略，建立政府公示自然资源价格体系，组织开展自然资源分等定级价格评估，开展自然资源利用评价考核，指导节约集约利用。负责自然资源市场監管。组织研究自然资源管理涉及宏观调控、区域协调和城乡统筹的政策措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负责管理全市地质勘察和地质工作。拟订全市地质勘查规划并监督检查执行情况。组织实施重大地质矿产勘查专项。负责地质灾害预防和治理，监督管理地下水过量开釆及引发的地面沉降等地质问题。负责古生物化石的监督管理。</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负责全市矿产资源管理工作。负责矿产资源储量管理及压覆矿产资源审核报批。负责矿业权管理。会同有关部门承担保护性开釆的特定矿种、优势矿产的调控及相关管理工作。监督指导矿产资源合理利用和保护。</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14.负责职责范围内的安全生产和职业健康、生态环境保护、审批服务便民化等工作。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15.负责测绘地理信息管理。负责基础测绘和测绘行业管理。监督管理全市测绘地理信息安全和市场秩序。负责地理信息公共服务管理和测量标志保护。</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16.统一领导和管理广元市林业局（简称林业局）。</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17.完成市委、市政府交办的其他任务。</w:t>
      </w:r>
    </w:p>
    <w:bookmarkEnd w:id="16"/>
    <w:bookmarkEnd w:id="17"/>
    <w:p>
      <w:pPr>
        <w:pStyle w:val="5"/>
        <w:adjustRightInd w:val="0"/>
        <w:snapToGrid w:val="0"/>
        <w:spacing w:beforeLines="0" w:line="500" w:lineRule="exact"/>
        <w:ind w:firstLine="630" w:firstLineChars="210"/>
        <w:outlineLvl w:val="2"/>
        <w:rPr>
          <w:rFonts w:hAnsi="仿宋_GB2312" w:cs="仿宋_GB2312"/>
          <w:color w:val="000000"/>
          <w:sz w:val="30"/>
          <w:szCs w:val="30"/>
        </w:rPr>
      </w:pPr>
      <w:bookmarkStart w:id="18" w:name="_Toc15377199"/>
      <w:bookmarkStart w:id="19" w:name="_Toc15378446"/>
      <w:r>
        <w:rPr>
          <w:rFonts w:hint="eastAsia" w:hAnsi="仿宋_GB2312" w:cs="仿宋_GB2312"/>
          <w:color w:val="000000"/>
          <w:sz w:val="30"/>
          <w:szCs w:val="30"/>
        </w:rPr>
        <w:t>（二）2019年重点工作完成情况</w:t>
      </w:r>
      <w:bookmarkEnd w:id="18"/>
      <w:bookmarkEnd w:id="19"/>
    </w:p>
    <w:p>
      <w:pPr>
        <w:spacing w:line="500" w:lineRule="exact"/>
        <w:ind w:firstLine="602" w:firstLineChars="200"/>
        <w:jc w:val="left"/>
        <w:rPr>
          <w:rFonts w:ascii="仿宋_GB2312" w:hAnsi="仿宋_GB2312" w:eastAsia="仿宋_GB2312" w:cs="仿宋_GB2312"/>
          <w:b/>
          <w:bCs/>
          <w:sz w:val="30"/>
          <w:szCs w:val="30"/>
        </w:rPr>
      </w:pPr>
      <w:bookmarkStart w:id="20" w:name="_Hlk14363010"/>
      <w:r>
        <w:rPr>
          <w:rFonts w:hint="eastAsia" w:ascii="仿宋_GB2312" w:hAnsi="仿宋_GB2312" w:eastAsia="仿宋_GB2312" w:cs="仿宋_GB2312"/>
          <w:b/>
          <w:bCs/>
          <w:sz w:val="30"/>
          <w:szCs w:val="30"/>
        </w:rPr>
        <w:t>1.严格履行“两统一”职责，全力释放自然资源新机构新优势</w:t>
      </w: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（1）强管控优布局，释放新机构的空间统筹新优势。</w:t>
      </w:r>
      <w:r>
        <w:rPr>
          <w:rFonts w:hint="eastAsia" w:ascii="仿宋_GB2312" w:hAnsi="仿宋_GB2312" w:eastAsia="仿宋_GB2312" w:cs="仿宋_GB2312"/>
          <w:b/>
          <w:bCs/>
          <w:sz w:val="30"/>
          <w:szCs w:val="30"/>
        </w:rPr>
        <w:t>一是统筹国土空间总体规划编制。</w:t>
      </w:r>
      <w:r>
        <w:rPr>
          <w:rFonts w:hint="eastAsia" w:ascii="仿宋_GB2312" w:hAnsi="仿宋_GB2312" w:eastAsia="仿宋_GB2312" w:cs="仿宋_GB2312"/>
          <w:sz w:val="30"/>
          <w:szCs w:val="30"/>
        </w:rPr>
        <w:t>按照“多规合一”要求，整合城乡规划、土地利用总体规划、矿产资源规划等各类空间规划，印发《广元市国土空间总体规划编制方案》，成立全市国土空间规划编制工作领导小组和工作专班，赴遂宁、宜宾和双流区学习国土空间规划编制经验和做法，全面启动国土空间规划编制工作。目前，市、县正在进行编制单位招标，正在开展国土空间规划“一张图”建设和现状评估工作，预计明年7月底前完成规划成果编制。</w:t>
      </w:r>
      <w:r>
        <w:rPr>
          <w:rFonts w:hint="eastAsia" w:ascii="仿宋_GB2312" w:hAnsi="仿宋_GB2312" w:eastAsia="仿宋_GB2312" w:cs="仿宋_GB2312"/>
          <w:b/>
          <w:bCs/>
          <w:sz w:val="30"/>
          <w:szCs w:val="30"/>
        </w:rPr>
        <w:t>二是完善城乡规划体系建设。</w:t>
      </w:r>
      <w:r>
        <w:rPr>
          <w:rFonts w:hint="eastAsia" w:ascii="仿宋_GB2312" w:hAnsi="仿宋_GB2312" w:eastAsia="仿宋_GB2312" w:cs="仿宋_GB2312"/>
          <w:sz w:val="30"/>
          <w:szCs w:val="30"/>
        </w:rPr>
        <w:t>已完成总规、中心城区5大片区控规以及四县总规等法定规划编制，历史文化名城保护规划也已经省政府批复同意。结合“乡村振兴”战略，完成月坝旅游特色小镇等15个重点镇、鸳溪镇龙回村等29个扶贫村规划编制。目前，全市乡镇总规覆盖率已达96%、城镇控详规覆盖率已达60%，乡村规划覆盖率已达40%，全市城乡规划体系基本形成。</w:t>
      </w:r>
      <w:r>
        <w:rPr>
          <w:rFonts w:hint="eastAsia" w:ascii="仿宋_GB2312" w:hAnsi="仿宋_GB2312" w:eastAsia="仿宋_GB2312" w:cs="仿宋_GB2312"/>
          <w:b/>
          <w:bCs/>
          <w:sz w:val="30"/>
          <w:szCs w:val="30"/>
        </w:rPr>
        <w:t>三是推进土地利用规划局部修改。</w:t>
      </w:r>
      <w:r>
        <w:rPr>
          <w:rFonts w:hint="eastAsia" w:ascii="仿宋_GB2312" w:hAnsi="仿宋_GB2312" w:eastAsia="仿宋_GB2312" w:cs="仿宋_GB2312"/>
          <w:sz w:val="30"/>
          <w:szCs w:val="30"/>
        </w:rPr>
        <w:t>已审查批复7个县区13个土地利用规划修改方案，调整规模306.33公顷。已组织昭化区、青川县、剑阁县、旺苍县、苍溪县调整土地利用规划6个批次，调整规模145.7公顷。已启动苍溪县136.46公顷规划指标跨县区到昭化区，市中心城区147.17公顷规划指标到经开区，保障中国西部绿色家居产业城、三江新区发展建设等项目用地。</w:t>
      </w:r>
      <w:r>
        <w:rPr>
          <w:rFonts w:hint="eastAsia" w:ascii="仿宋_GB2312" w:hAnsi="仿宋_GB2312" w:eastAsia="仿宋_GB2312" w:cs="仿宋_GB2312"/>
          <w:b/>
          <w:bCs/>
          <w:sz w:val="30"/>
          <w:szCs w:val="30"/>
        </w:rPr>
        <w:t>四是强化规划项目设计及预审。</w:t>
      </w:r>
      <w:r>
        <w:rPr>
          <w:rFonts w:hint="eastAsia" w:ascii="仿宋_GB2312" w:hAnsi="仿宋_GB2312" w:eastAsia="仿宋_GB2312" w:cs="仿宋_GB2312"/>
          <w:sz w:val="30"/>
          <w:szCs w:val="30"/>
        </w:rPr>
        <w:t>对标“特区”、“新区”、“强区”建设目标，完成《广元市三江新区核心区宝轮片区策划及概念规划》设计。完成美丽旅途等18项专项规划和南河片区海绵城市等13项规划设计，正加快推进《剑门蜀道风景名胜区（广元段）详细规划》审批。建立了重点项目用地保障台账和局领导联系省重点项目工作机制，正积极推进G5（广元绵阳段）复线、G542公路、七盘关到曾家山旅游扶贫公路、S411公路等重大基础设施建设项目用地预审。</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（2）重保护抓治理，释放新机构的资源保护新优势。</w:t>
      </w:r>
      <w:r>
        <w:rPr>
          <w:rFonts w:hint="eastAsia" w:ascii="仿宋_GB2312" w:hAnsi="仿宋_GB2312" w:eastAsia="仿宋_GB2312" w:cs="仿宋_GB2312"/>
          <w:b/>
          <w:bCs/>
          <w:sz w:val="30"/>
          <w:szCs w:val="30"/>
        </w:rPr>
        <w:t>一是加强耕地保护。</w:t>
      </w:r>
      <w:r>
        <w:rPr>
          <w:rFonts w:hint="eastAsia" w:ascii="仿宋_GB2312" w:hAnsi="仿宋_GB2312" w:eastAsia="仿宋_GB2312" w:cs="仿宋_GB2312"/>
          <w:sz w:val="30"/>
          <w:szCs w:val="30"/>
        </w:rPr>
        <w:t>出台新的《广元市县（区）政府耕地保护责任目标考核办法》，建立以政府主导、相关部门齐抓共管的耕地保护共同责任机制，全市耕地面积达32.79万公顷、基本农田保护面积达27.11万公顷，总体保持面积不减少，质量不降低。按照部省统一安排，采取正排工序、倒排工期、逐天逐县督查通报的工作办法，完成全市永久基本农田储备区划定并顺利通过省级验证，全市共上报划定永久基本农田储备区面积12万亩。有序评估生态保护红线，对原划定的边界不一致的进行调整优化、对极重要、敏感区未划入的38744.7公顷调入生态红线进行保护。对青川县前进乡和剑阁县迎水乡破坏耕地程度进行现场踏勘并出具破坏耕地鉴定意见，严厉打击破坏耕地行为。</w:t>
      </w:r>
      <w:r>
        <w:rPr>
          <w:rFonts w:hint="eastAsia" w:ascii="仿宋_GB2312" w:hAnsi="仿宋_GB2312" w:eastAsia="仿宋_GB2312" w:cs="仿宋_GB2312"/>
          <w:b/>
          <w:bCs/>
          <w:sz w:val="30"/>
          <w:szCs w:val="30"/>
        </w:rPr>
        <w:t>二是扎实推进土地综合整治。</w:t>
      </w:r>
      <w:r>
        <w:rPr>
          <w:rFonts w:hint="eastAsia" w:ascii="仿宋_GB2312" w:hAnsi="仿宋_GB2312" w:eastAsia="仿宋_GB2312" w:cs="仿宋_GB2312"/>
          <w:sz w:val="30"/>
          <w:szCs w:val="30"/>
        </w:rPr>
        <w:t>印发《广元市土地整治项目技术核查办法（试行）》，强化剑阁县公兴镇等10个省投资农村土地整治扶贫项目的技术指导和督导检查，争取省以上补助资金1.953亿元，建设规模13.58万亩,项目完成后耕地质量平均提升1个等级。已完成旺苍木门镇等27个农村土地整治项目的省厅终验整改核实工作，并对37个土地整理项目发出整改通知书及核查报告，复核整改完成率达70%。全力打好项目验收攻坚战，已完成2015年前立项实施的42个项目的资料审查和现场验收，2016-2018年立项实施的66个项目完工率达100%，正在稳步推进自查、初验、技术核查等验收工作。加快增减挂钩项目实施，2019年获省厅批复项目45个占全市申报立项总个数的50%，涉及贫困户6908户21711人。全市正在实施增减挂钩项目95个，规模3.23万亩，对外流转节余指标2213亩到位财政资金9.9亿元，力争到2020年实现市域所有乡镇增减挂钩项目全覆盖。</w:t>
      </w:r>
      <w:r>
        <w:rPr>
          <w:rFonts w:hint="eastAsia" w:ascii="仿宋_GB2312" w:hAnsi="仿宋_GB2312" w:eastAsia="仿宋_GB2312" w:cs="仿宋_GB2312"/>
          <w:b/>
          <w:bCs/>
          <w:sz w:val="30"/>
          <w:szCs w:val="30"/>
        </w:rPr>
        <w:t>三是加强矿产资源管理及生态修复治理。</w:t>
      </w:r>
      <w:r>
        <w:rPr>
          <w:rFonts w:hint="eastAsia" w:ascii="仿宋_GB2312" w:hAnsi="仿宋_GB2312" w:eastAsia="仿宋_GB2312" w:cs="仿宋_GB2312"/>
          <w:sz w:val="30"/>
          <w:szCs w:val="30"/>
        </w:rPr>
        <w:t>今年来，共依法办理采矿权各类审批业务35宗，其中出让采矿权8宗，实现出让收益1600万元，超去年出让收益45.8%。在青川县境内探明一处约45万吨的玉石矿，为我省首例已探明玉石矿资源储量矿山，填补了我省该项矿种的空白。积极谋划嘉陵江上游山水林田湖草生态保护修复工作，统筹编制《广元市嘉陵江流域上游山水林田湖草生态保护修复工程 3 年行动计划总体方案》。已争取中央、省财政重点生态保护修复治理资金7929.05万元，专项用于嘉陵江流域232.5公顷废弃露天矿山生态修复治理和旺苍县81公顷废弃露天矿山生态修复治理。</w:t>
      </w:r>
      <w:r>
        <w:rPr>
          <w:rFonts w:hint="eastAsia" w:ascii="仿宋_GB2312" w:hAnsi="仿宋_GB2312" w:eastAsia="仿宋_GB2312" w:cs="仿宋_GB2312"/>
          <w:b/>
          <w:bCs/>
          <w:sz w:val="30"/>
          <w:szCs w:val="30"/>
        </w:rPr>
        <w:t>针对</w:t>
      </w:r>
      <w:r>
        <w:rPr>
          <w:rFonts w:hint="eastAsia" w:ascii="仿宋_GB2312" w:hAnsi="仿宋_GB2312" w:eastAsia="仿宋_GB2312" w:cs="仿宋_GB2312"/>
          <w:sz w:val="30"/>
          <w:szCs w:val="30"/>
        </w:rPr>
        <w:t>今年旺苍县境内5家矿企和矿井涌水问题，派出骨干人员赴泸州学习涌水处理案例，组织全市范围内就安全隐患类型、分布、规模以及危害程度等方面开展非煤矿山全覆盖排查，根据非煤矿山类型和问题类型，对489个问题矿山，逐一编制治理方案，落实治理责任人和治理时限。目前已完成非煤矿山整治256个，完成率为52.3%，明年10月底前完成非煤矿山生态环境问题治理。</w:t>
      </w:r>
      <w:r>
        <w:rPr>
          <w:rFonts w:hint="eastAsia" w:ascii="仿宋_GB2312" w:hAnsi="仿宋_GB2312" w:eastAsia="仿宋_GB2312" w:cs="仿宋_GB2312"/>
          <w:b/>
          <w:bCs/>
          <w:sz w:val="30"/>
          <w:szCs w:val="30"/>
        </w:rPr>
        <w:t>四是严肃查处违法违规行为。</w:t>
      </w:r>
      <w:r>
        <w:rPr>
          <w:rFonts w:hint="eastAsia" w:ascii="仿宋_GB2312" w:hAnsi="仿宋_GB2312" w:eastAsia="仿宋_GB2312" w:cs="仿宋_GB2312"/>
          <w:sz w:val="30"/>
          <w:szCs w:val="30"/>
        </w:rPr>
        <w:t>全面清理整治“大棚房”问题，结合国家自然资源督察成都局提取的1423个图斑和从历年卫片执法监督检查中提取的59个卫片图斑数据，再次组织对14251个农业设施从土地承包、备案等环节进行复核，所涉及的8个项目，10个问题已全部整改到位。聚焦未依法依规履行环评、规划、用地手续的“违建”问题，清查自然保护区、风景名胜区等6类重要生态功能区域，对排查出的重点区域违规违法占用国家资源挤占生态空间14个问题抓实整改，整改率100%。积极开展土地例行督察后续整改工作，已按整改进度整改问题70个，整改面积1074.22亩，整改到位金额16.29亿元，占后续整改问题分别为88.67%、30.84%、46.80%。积极组织开展动态巡查1500次，发现国土资源违法行为51件，制止率100%。</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（3）稳增长促转型，释放新机构的高效保障新优势。</w:t>
      </w:r>
      <w:r>
        <w:rPr>
          <w:rFonts w:hint="eastAsia" w:ascii="仿宋_GB2312" w:hAnsi="仿宋_GB2312" w:eastAsia="仿宋_GB2312" w:cs="仿宋_GB2312"/>
          <w:b/>
          <w:bCs/>
          <w:sz w:val="30"/>
          <w:szCs w:val="30"/>
        </w:rPr>
        <w:t>一是完善用地计划管理。</w:t>
      </w:r>
      <w:r>
        <w:rPr>
          <w:rFonts w:hint="eastAsia" w:ascii="仿宋_GB2312" w:hAnsi="仿宋_GB2312" w:eastAsia="仿宋_GB2312" w:cs="仿宋_GB2312"/>
          <w:sz w:val="30"/>
          <w:szCs w:val="30"/>
        </w:rPr>
        <w:t>编制《2019年广元市国有建设用地供应计划》，计划国有建设用地供地24262亩同比减少了4.83%。为维护土地市场平稳运行，增加商住用地供应满足市民购房刚性需求，在城东西南北片区、三江新区等范围内计划商住用地8000余亩，同比增长166.67%。降低传统商服用地供应协调市场供需平衡，计划商服用地911亩，同比下降44.79%。截止目前，全市实际土地供应839宗，供地面积为13182.7亩，出让价款30.4亿元，其中市本级供应各类建设用地</w:t>
      </w:r>
      <w:r>
        <w:rPr>
          <w:rFonts w:hint="eastAsia" w:ascii="仿宋_GB2312" w:hAnsi="仿宋_GB2312" w:eastAsia="仿宋_GB2312" w:cs="仿宋_GB2312"/>
          <w:color w:val="000000"/>
          <w:sz w:val="30"/>
          <w:szCs w:val="30"/>
        </w:rPr>
        <w:t>55</w:t>
      </w:r>
      <w:r>
        <w:rPr>
          <w:rFonts w:hint="eastAsia" w:ascii="仿宋_GB2312" w:hAnsi="仿宋_GB2312" w:eastAsia="仿宋_GB2312" w:cs="仿宋_GB2312"/>
          <w:sz w:val="30"/>
          <w:szCs w:val="30"/>
        </w:rPr>
        <w:t>宗，总用地面积2067.15亩，土地价款收缴入库23.3亿元，较去年同期增加2亿元，超今年目标13.3亿元，实现同期、全年双超越。我市2014年-2018年87.48%的供地率高出全省要求70%供地率17个百分点，排名全省前三。</w:t>
      </w:r>
      <w:r>
        <w:rPr>
          <w:rFonts w:hint="eastAsia" w:ascii="仿宋_GB2312" w:hAnsi="仿宋_GB2312" w:eastAsia="仿宋_GB2312" w:cs="仿宋_GB2312"/>
          <w:b/>
          <w:bCs/>
          <w:sz w:val="30"/>
          <w:szCs w:val="30"/>
        </w:rPr>
        <w:t>二是强化用地报批服务。</w:t>
      </w:r>
      <w:r>
        <w:rPr>
          <w:rFonts w:hint="eastAsia" w:ascii="仿宋_GB2312" w:hAnsi="仿宋_GB2312" w:eastAsia="仿宋_GB2312" w:cs="仿宋_GB2312"/>
          <w:sz w:val="30"/>
          <w:szCs w:val="30"/>
        </w:rPr>
        <w:t>继续推行“相对集中，均衡报征”并运用网上远程直报的方式做好土地报征工作。利州区、朝天区、苍溪县、青川县等通过网上远程直报上报11个批次用地，并顺利通过网上预检，优先保障了城市基础设施、新兴产业、产业园及棚户区改造等省市重点项目、重点产业用地需求。今年来，市本级已上报4个批次报件，第5批城市建设用地正在组卷上报。目前全市共报征土地11832.45亩，</w:t>
      </w:r>
      <w:r>
        <w:rPr>
          <w:rFonts w:hint="eastAsia" w:ascii="仿宋_GB2312" w:hAnsi="仿宋_GB2312" w:eastAsia="仿宋_GB2312" w:cs="仿宋_GB2312"/>
          <w:color w:val="000000"/>
          <w:sz w:val="30"/>
          <w:szCs w:val="30"/>
        </w:rPr>
        <w:t>60%的报批率远高于全省30% 的平均水平，</w:t>
      </w:r>
      <w:r>
        <w:rPr>
          <w:rFonts w:hint="eastAsia" w:ascii="仿宋_GB2312" w:hAnsi="仿宋_GB2312" w:eastAsia="仿宋_GB2312" w:cs="仿宋_GB2312"/>
          <w:sz w:val="30"/>
          <w:szCs w:val="30"/>
        </w:rPr>
        <w:t>土地报件无退件无补正情况，我市的土地报征在报征数量与质量上均位居全省第一</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b/>
          <w:bCs/>
          <w:sz w:val="30"/>
          <w:szCs w:val="30"/>
        </w:rPr>
        <w:t>三是推进资源集约利用。</w:t>
      </w:r>
      <w:r>
        <w:rPr>
          <w:rFonts w:hint="eastAsia" w:ascii="仿宋_GB2312" w:hAnsi="仿宋_GB2312" w:eastAsia="仿宋_GB2312" w:cs="仿宋_GB2312"/>
          <w:sz w:val="30"/>
          <w:szCs w:val="30"/>
        </w:rPr>
        <w:t>拟定出台《广元市进一步提高工业用地节约集约利用水平十条措施》，对新引入的工业项目在招商、选址等阶段，对项目的产业类型、投资规模及总平面设计图进行研究会商，科学、合理确定用地规模，作为确定选址及供地面积的依据。严格落实建设用地“增存挂钩”措施，盘活利用存量，鼓励地上、地下空间开发利用，支持智慧停车场等用地供应，计划全年完成棚户区和旧城区改造1374亩。经清理我市2019年批而未供面积有4.52万亩，2019年批而未供处置目标任务为1.13万亩，截止目前，已实现“增存挂钩”批地6231.2亩，批而未供处置率13.8%，力争年底完成省厅25%目标任务。</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（4）强改革惠民生，释放新机构的高效服务新优势。</w:t>
      </w:r>
      <w:r>
        <w:rPr>
          <w:rFonts w:hint="eastAsia" w:ascii="仿宋_GB2312" w:hAnsi="仿宋_GB2312" w:eastAsia="仿宋_GB2312" w:cs="仿宋_GB2312"/>
          <w:b/>
          <w:bCs/>
          <w:sz w:val="30"/>
          <w:szCs w:val="30"/>
        </w:rPr>
        <w:t>一是持续深化不动产登记改革。</w:t>
      </w:r>
      <w:r>
        <w:rPr>
          <w:rFonts w:hint="eastAsia" w:ascii="仿宋_GB2312" w:hAnsi="仿宋_GB2312" w:eastAsia="仿宋_GB2312" w:cs="仿宋_GB2312"/>
          <w:kern w:val="0"/>
          <w:sz w:val="30"/>
          <w:szCs w:val="30"/>
        </w:rPr>
        <w:t>对标“跑一次是底线、一次不用跑是常态”要求，合并登记服务流程，实现税务、房管、不动产登记“一窗受理”。过去二手房交易需准备并提交的三套25个材料，现在精简为一套12个材料，效率提高52%；</w:t>
      </w:r>
      <w:r>
        <w:rPr>
          <w:rFonts w:hint="eastAsia" w:ascii="仿宋_GB2312" w:hAnsi="仿宋_GB2312" w:eastAsia="仿宋_GB2312" w:cs="仿宋_GB2312"/>
          <w:sz w:val="30"/>
          <w:szCs w:val="30"/>
        </w:rPr>
        <w:t>办结时间由原来的20个工作日</w:t>
      </w:r>
      <w:r>
        <w:rPr>
          <w:rFonts w:hint="eastAsia" w:ascii="仿宋_GB2312" w:hAnsi="仿宋_GB2312" w:eastAsia="仿宋_GB2312" w:cs="仿宋_GB2312"/>
          <w:kern w:val="0"/>
          <w:sz w:val="30"/>
          <w:szCs w:val="30"/>
        </w:rPr>
        <w:t>全部</w:t>
      </w:r>
      <w:r>
        <w:rPr>
          <w:rFonts w:hint="eastAsia" w:ascii="仿宋_GB2312" w:hAnsi="仿宋_GB2312" w:eastAsia="仿宋_GB2312" w:cs="仿宋_GB2312"/>
          <w:sz w:val="30"/>
          <w:szCs w:val="30"/>
        </w:rPr>
        <w:t>缩短到5个工作日</w:t>
      </w:r>
      <w:r>
        <w:rPr>
          <w:rFonts w:hint="eastAsia" w:ascii="仿宋_GB2312" w:hAnsi="仿宋_GB2312" w:eastAsia="仿宋_GB2312" w:cs="仿宋_GB2312"/>
          <w:kern w:val="0"/>
          <w:sz w:val="30"/>
          <w:szCs w:val="30"/>
        </w:rPr>
        <w:t>办结，</w:t>
      </w:r>
      <w:r>
        <w:rPr>
          <w:rFonts w:hint="eastAsia" w:ascii="仿宋_GB2312" w:hAnsi="仿宋_GB2312" w:eastAsia="仿宋_GB2312" w:cs="仿宋_GB2312"/>
          <w:sz w:val="30"/>
          <w:szCs w:val="30"/>
        </w:rPr>
        <w:t>效率提升75%</w:t>
      </w:r>
      <w:r>
        <w:rPr>
          <w:rFonts w:hint="eastAsia" w:ascii="仿宋_GB2312" w:hAnsi="仿宋_GB2312" w:eastAsia="仿宋_GB2312" w:cs="仿宋_GB2312"/>
          <w:kern w:val="0"/>
          <w:sz w:val="30"/>
          <w:szCs w:val="30"/>
        </w:rPr>
        <w:t>。市本级、苍溪县、旺苍县、朝天区已开通抵押端口，抵押服务进一步延伸至银行，在银行设立抵押登记服务代办点，已实现办理抵押登记“一次不来”。</w:t>
      </w:r>
      <w:r>
        <w:rPr>
          <w:rFonts w:hint="eastAsia" w:ascii="仿宋_GB2312" w:hAnsi="仿宋_GB2312" w:eastAsia="仿宋_GB2312" w:cs="仿宋_GB2312"/>
          <w:sz w:val="30"/>
          <w:szCs w:val="30"/>
        </w:rPr>
        <w:t>我市是全省率先将不动产登记延伸到部分乡镇、率先推行银行设立抵押权登记受理窗口的市州之一。利用“外网受理、内网审核”模式，开辟“绿色”登记通道等方式加快问题楼盘的办证进度，已完成天悦府、启明星花园、汉寿雅居、821小区等14个问题楼盘办证问题，为4000多户业主办理不动产权证。</w:t>
      </w:r>
      <w:r>
        <w:rPr>
          <w:rFonts w:hint="eastAsia" w:ascii="仿宋_GB2312" w:hAnsi="仿宋_GB2312" w:eastAsia="仿宋_GB2312" w:cs="仿宋_GB2312"/>
          <w:b/>
          <w:bCs/>
          <w:sz w:val="30"/>
          <w:szCs w:val="30"/>
        </w:rPr>
        <w:t>二是优化营商环境和工程项目审批制度改革。</w:t>
      </w:r>
      <w:r>
        <w:rPr>
          <w:rFonts w:hint="eastAsia" w:ascii="仿宋_GB2312" w:hAnsi="仿宋_GB2312" w:eastAsia="仿宋_GB2312" w:cs="仿宋_GB2312"/>
          <w:sz w:val="30"/>
          <w:szCs w:val="30"/>
        </w:rPr>
        <w:t>严格按照省、市关于“放管服”改革的要求，精简行政许可事项和程序,将涉及我局各项改革任务落实到具体科室，并明确完成时限，制定《广元市自然资源局工程建设项目审批制度改革实施方案》，作为指导推进自然资源系统改革各项工作指导性文件。先后拟定出台《广元市自然资源局建设项目规划选址与用地预审合并办理实施方案》、《广元市自然资源局规划许可和用地批准合并办理改革方案》、《广元市自然资源局建设工程规划核实与建设用地开发利用竣工综合核查合并办理实施方案》以及《广元市工程建设项目竣工验收“多测合一”实施细则》等方案细则，从合并办理到“多测合一”等方面，进一步完善了行政许可及公共服务办事指南。行政许可和公共服务事项所需资料减少了61项，减少率38%；27项行政许可和公共服务事项办理效率提高43.1%。</w:t>
      </w:r>
      <w:r>
        <w:rPr>
          <w:rFonts w:hint="eastAsia" w:ascii="仿宋_GB2312" w:hAnsi="仿宋_GB2312" w:eastAsia="仿宋_GB2312" w:cs="仿宋_GB2312"/>
          <w:b/>
          <w:bCs/>
          <w:sz w:val="30"/>
          <w:szCs w:val="30"/>
        </w:rPr>
        <w:t>三是深入开展地质灾害防治工作。</w:t>
      </w:r>
      <w:r>
        <w:rPr>
          <w:rFonts w:hint="eastAsia" w:ascii="仿宋_GB2312" w:hAnsi="仿宋_GB2312" w:eastAsia="仿宋_GB2312" w:cs="仿宋_GB2312"/>
          <w:sz w:val="30"/>
          <w:szCs w:val="30"/>
        </w:rPr>
        <w:t>一年来，全系统扎实开展地质灾害防治工作，层层签订《地质灾害防治目标责任书》，压实属地责任，已连续实现十一年预案点内“零伤亡”。汛前，印发《广元市2019年度地质灾害防治方案》，同步启动会商机制，密切关注青川县、旺苍县、朝天区北部等地质灾害易发地区，及时监测有无滑坡、崩塌、泥石流等地灾形势，报告险情及处置123次，全年预警38次，黄色预警9次，橙色预警3次，预警信息36402条。汛期，对1431处地灾隐患点实行全天候安全隐患无盲区、全覆盖、拉网式再排查,对已销号的326处隐患点开展“回头看”，实时追踪。并抽调36名地灾防治技术骨干力量组建8个防汛减灾工作督导组分县区进行督导，开展地灾督导巡查32次。积极开展地质灾害自动化监测工作，布置监测设备共157台，设备在线率95.29%。积极组织地灾防治培训，全市共组织培训647场次，培训19410人次，演练1272场次，参与演练达129446人次。剑阁县柏垭乡移民安置点滑坡等8个省重点地灾治理工程项目已全部竣工，资金拨付率97%。</w:t>
      </w:r>
      <w:r>
        <w:rPr>
          <w:rFonts w:hint="eastAsia" w:ascii="仿宋_GB2312" w:hAnsi="仿宋_GB2312" w:eastAsia="仿宋_GB2312" w:cs="仿宋_GB2312"/>
          <w:b/>
          <w:bCs/>
          <w:sz w:val="30"/>
          <w:szCs w:val="30"/>
        </w:rPr>
        <w:t>四是抓实脱贫攻坚工作。</w:t>
      </w:r>
      <w:r>
        <w:rPr>
          <w:rFonts w:hint="eastAsia" w:ascii="仿宋_GB2312" w:hAnsi="仿宋_GB2312" w:eastAsia="仿宋_GB2312" w:cs="仿宋_GB2312"/>
          <w:sz w:val="30"/>
          <w:szCs w:val="30"/>
        </w:rPr>
        <w:t>在行业扶贫方面，全年实施行业扶贫项目50个，新增耕地面积1.09万亩，整治田间道路168公里，生产路82.4公里，整治山坪塘54口，蓄水池221口，改善8个贫困村、15个非贫困村，1241贫困户和8147贫困人口的农村生产生活条件。在生态建设扶贫方面，实施生态建设扶贫项目11个，配合省修复院抽查在建治理工程征信情况6处，开展督查指导40次，保护生态环境面积约30余公顷。在驻村帮扶方面，机关干部严格按照帮扶要求到村入户，开展帮扶300余人次，确保龙台村、三堆村、卫星村顺利通过国家脱贫验收，实现脱贫摘帽。继续做好龙台村245亩贵妃枣产业园的管理，在巩固发展260亩核心药材种植园基础上，村集体种植药材147亩，实现村集体纯收入约30万元。三堆村集体经济管理公司发展鸡蛋产业，月销售鸡蛋4000余个，月集体经济收入3000余元。在东西部扶贫协作方面，选派6名优秀年轻干部先后分2批次分别到浙江省丽水市、台州市和湖州市自然资源主管部门交流学习，积极探索、推进占补平衡指标和城乡建设用地增减挂钩指标跨省流动。</w:t>
      </w:r>
    </w:p>
    <w:p>
      <w:pPr>
        <w:spacing w:line="50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（5）打基础利长远，释放新机构的数据资源新优势。</w:t>
      </w:r>
      <w:r>
        <w:rPr>
          <w:rFonts w:hint="eastAsia" w:ascii="仿宋_GB2312" w:hAnsi="仿宋_GB2312" w:eastAsia="仿宋_GB2312" w:cs="仿宋_GB2312"/>
          <w:b/>
          <w:bCs/>
          <w:sz w:val="30"/>
          <w:szCs w:val="30"/>
        </w:rPr>
        <w:t>一是加快推进“三调”工作。</w:t>
      </w:r>
      <w:r>
        <w:rPr>
          <w:rFonts w:hint="eastAsia" w:ascii="仿宋_GB2312" w:hAnsi="仿宋_GB2312" w:eastAsia="仿宋_GB2312" w:cs="仿宋_GB2312"/>
          <w:sz w:val="30"/>
          <w:szCs w:val="30"/>
        </w:rPr>
        <w:t>严格按照《广元市第三次全国国土调查实施方案》，高质量推进调查工作。全市7个县（区）已完成233个调查单元共计2543个村的初始阶段调查工作，调查面积共计16318.63 Km</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图斑数量达1221693个，举证图斑量达353795个。目前，我市三调初始阶段调查成果已顺利通过国家核查，成果质量全部达到国家核查要求的1%以下，各县区平均差错率为0.14%，乡镇抽查平均差错率为0.45%，在全省排名第五。</w:t>
      </w:r>
      <w:r>
        <w:rPr>
          <w:rFonts w:hint="eastAsia" w:ascii="仿宋_GB2312" w:hAnsi="仿宋_GB2312" w:eastAsia="仿宋_GB2312" w:cs="仿宋_GB2312"/>
          <w:b/>
          <w:bCs/>
          <w:sz w:val="30"/>
          <w:szCs w:val="30"/>
        </w:rPr>
        <w:t>二是做好地理信息测绘工作。</w:t>
      </w:r>
      <w:r>
        <w:rPr>
          <w:rFonts w:hint="eastAsia" w:ascii="仿宋_GB2312" w:hAnsi="仿宋_GB2312" w:eastAsia="仿宋_GB2312" w:cs="仿宋_GB2312"/>
          <w:sz w:val="30"/>
          <w:szCs w:val="30"/>
        </w:rPr>
        <w:t>对45个测量标志点开展巡查，完成年度目标任务的150%。督促全市测绘资质单位依法完成2019年度测绘成果目录汇交工作，汇交率100%。完成我市100平方公里倾斜航空摄影和实景三维模型制作工作，并纳入广元市三维规划辅助决策系统应用。今年来，实施的广元市中心城区大比例尺（1:1000）航测项目荣获“四川省地理信息产业优秀工程奖（银奖）”，实施的广元市地下管网信息平台建设项目获得2019年四川省测绘地理信息科技进步奖二等奖。</w:t>
      </w:r>
      <w:r>
        <w:rPr>
          <w:rFonts w:hint="eastAsia" w:ascii="仿宋_GB2312" w:hAnsi="仿宋_GB2312" w:eastAsia="仿宋_GB2312" w:cs="仿宋_GB2312"/>
          <w:b/>
          <w:bCs/>
          <w:sz w:val="30"/>
          <w:szCs w:val="30"/>
        </w:rPr>
        <w:t>三是大力推进数据整合及平台建设。</w:t>
      </w:r>
      <w:r>
        <w:rPr>
          <w:rFonts w:hint="eastAsia" w:ascii="仿宋_GB2312" w:hAnsi="仿宋_GB2312" w:eastAsia="仿宋_GB2312" w:cs="仿宋_GB2312"/>
          <w:sz w:val="30"/>
          <w:szCs w:val="30"/>
        </w:rPr>
        <w:t>完成全市2018年土地变更调查，监测图斑数量共1407个，监测面积15648.8亩，率先在全省完成了数据成果的提交和验收。积极做好“天地图·广元”与市政务信息资源共享平台的对接工作，编制《广元市基础地理信息数据库与市级共享平台的对接实施方案》；建成全市遥感影像专题数据库，完成广元市遥感影像统筹服务平台的搭建；完成广元市城镇地下管线综合管理信息系统建设和部署；全市不动产登记信息数据中心机房已建成，将逐步实现全市不动产登记信息数据整合汇交。加快整理“一张图”系统相关资料，争取在本年度内完成“一张图”系统终验，并及时做好系统等保测评，保障系统安全运转。</w:t>
      </w:r>
    </w:p>
    <w:bookmarkEnd w:id="20"/>
    <w:p>
      <w:pPr>
        <w:pStyle w:val="3"/>
        <w:spacing w:before="0" w:after="0" w:line="500" w:lineRule="exact"/>
        <w:rPr>
          <w:rStyle w:val="18"/>
          <w:rFonts w:cs="Times New Roman"/>
          <w:b w:val="0"/>
          <w:bCs w:val="0"/>
          <w:sz w:val="30"/>
          <w:szCs w:val="30"/>
        </w:rPr>
      </w:pPr>
      <w:bookmarkStart w:id="21" w:name="_Toc15396601"/>
      <w:bookmarkStart w:id="22" w:name="_Toc15377200"/>
      <w:r>
        <w:rPr>
          <w:rFonts w:ascii="黑体" w:eastAsia="黑体" w:cs="黑体"/>
          <w:b w:val="0"/>
          <w:bCs w:val="0"/>
          <w:color w:val="000000"/>
          <w:sz w:val="30"/>
          <w:szCs w:val="30"/>
        </w:rPr>
        <w:t xml:space="preserve">    </w:t>
      </w:r>
      <w:r>
        <w:rPr>
          <w:rFonts w:hint="eastAsia" w:ascii="黑体" w:eastAsia="黑体" w:cs="黑体"/>
          <w:b w:val="0"/>
          <w:bCs w:val="0"/>
          <w:color w:val="000000"/>
          <w:sz w:val="30"/>
          <w:szCs w:val="30"/>
        </w:rPr>
        <w:t>二、</w:t>
      </w:r>
      <w:r>
        <w:rPr>
          <w:rFonts w:hint="eastAsia" w:ascii="黑体" w:hAnsi="黑体" w:eastAsia="黑体" w:cs="黑体"/>
          <w:b w:val="0"/>
          <w:bCs w:val="0"/>
          <w:color w:val="000000"/>
          <w:sz w:val="30"/>
          <w:szCs w:val="30"/>
        </w:rPr>
        <w:t>机</w:t>
      </w:r>
      <w:r>
        <w:rPr>
          <w:rStyle w:val="18"/>
          <w:rFonts w:hint="eastAsia" w:ascii="黑体" w:hAnsi="黑体" w:eastAsia="黑体" w:cs="黑体"/>
          <w:b w:val="0"/>
          <w:bCs w:val="0"/>
          <w:sz w:val="30"/>
          <w:szCs w:val="30"/>
        </w:rPr>
        <w:t>构设置</w:t>
      </w:r>
      <w:bookmarkEnd w:id="21"/>
      <w:bookmarkEnd w:id="22"/>
    </w:p>
    <w:p>
      <w:pPr>
        <w:spacing w:line="500" w:lineRule="exact"/>
        <w:ind w:firstLine="750" w:firstLineChars="250"/>
        <w:rPr>
          <w:rFonts w:ascii="仿宋_GB2312" w:hAnsi="仿宋" w:eastAsia="仿宋_GB2312"/>
          <w:sz w:val="30"/>
          <w:szCs w:val="30"/>
        </w:rPr>
      </w:pPr>
      <w:r>
        <w:rPr>
          <w:rFonts w:hint="eastAsia" w:ascii="仿宋_GB2312" w:hAnsi="仿宋" w:eastAsia="仿宋_GB2312" w:cs="仿宋_GB2312"/>
          <w:sz w:val="30"/>
          <w:szCs w:val="30"/>
        </w:rPr>
        <w:t>广元市自然资源局局机关（包括非独立核算的事业单位市自然资源信息档案中心和土地执法监察支队）及下属二级单位共</w:t>
      </w:r>
      <w:r>
        <w:rPr>
          <w:rFonts w:ascii="仿宋_GB2312" w:hAnsi="仿宋" w:eastAsia="仿宋_GB2312" w:cs="仿宋_GB2312"/>
          <w:sz w:val="30"/>
          <w:szCs w:val="30"/>
        </w:rPr>
        <w:t>10</w:t>
      </w:r>
      <w:r>
        <w:rPr>
          <w:rFonts w:hint="eastAsia" w:ascii="仿宋_GB2312" w:hAnsi="仿宋" w:eastAsia="仿宋_GB2312" w:cs="仿宋_GB2312"/>
          <w:sz w:val="30"/>
          <w:szCs w:val="30"/>
        </w:rPr>
        <w:t>个，其中行政单位</w:t>
      </w:r>
      <w:r>
        <w:rPr>
          <w:rFonts w:ascii="仿宋_GB2312" w:hAnsi="仿宋" w:eastAsia="仿宋_GB2312" w:cs="仿宋_GB2312"/>
          <w:sz w:val="30"/>
          <w:szCs w:val="30"/>
        </w:rPr>
        <w:t>1</w:t>
      </w:r>
      <w:r>
        <w:rPr>
          <w:rFonts w:hint="eastAsia" w:ascii="仿宋_GB2312" w:hAnsi="仿宋" w:eastAsia="仿宋_GB2312" w:cs="仿宋_GB2312"/>
          <w:sz w:val="30"/>
          <w:szCs w:val="30"/>
        </w:rPr>
        <w:t>个，参照公务员法管理的事业单位</w:t>
      </w:r>
      <w:r>
        <w:rPr>
          <w:rFonts w:ascii="仿宋_GB2312" w:hAnsi="仿宋" w:eastAsia="仿宋_GB2312" w:cs="仿宋_GB2312"/>
          <w:sz w:val="30"/>
          <w:szCs w:val="30"/>
        </w:rPr>
        <w:t>2</w:t>
      </w:r>
      <w:r>
        <w:rPr>
          <w:rFonts w:hint="eastAsia" w:ascii="仿宋_GB2312" w:hAnsi="仿宋" w:eastAsia="仿宋_GB2312" w:cs="仿宋_GB2312"/>
          <w:sz w:val="30"/>
          <w:szCs w:val="30"/>
        </w:rPr>
        <w:t>个，其他事业单位</w:t>
      </w:r>
      <w:r>
        <w:rPr>
          <w:rFonts w:ascii="仿宋_GB2312" w:hAnsi="仿宋" w:eastAsia="仿宋_GB2312" w:cs="仿宋_GB2312"/>
          <w:sz w:val="30"/>
          <w:szCs w:val="30"/>
        </w:rPr>
        <w:t>7</w:t>
      </w:r>
      <w:r>
        <w:rPr>
          <w:rFonts w:hint="eastAsia" w:ascii="仿宋_GB2312" w:hAnsi="仿宋" w:eastAsia="仿宋_GB2312" w:cs="仿宋_GB2312"/>
          <w:sz w:val="30"/>
          <w:szCs w:val="30"/>
        </w:rPr>
        <w:t>个。</w:t>
      </w:r>
    </w:p>
    <w:p>
      <w:pPr>
        <w:pStyle w:val="5"/>
        <w:adjustRightInd w:val="0"/>
        <w:snapToGrid w:val="0"/>
        <w:spacing w:beforeLines="0" w:line="500" w:lineRule="exact"/>
        <w:ind w:firstLine="630" w:firstLineChars="210"/>
        <w:rPr>
          <w:rFonts w:hAnsi="仿宋"/>
          <w:kern w:val="2"/>
          <w:sz w:val="30"/>
          <w:szCs w:val="30"/>
        </w:rPr>
      </w:pPr>
      <w:r>
        <w:rPr>
          <w:rFonts w:hint="eastAsia" w:hAnsi="仿宋"/>
          <w:kern w:val="2"/>
          <w:sz w:val="30"/>
          <w:szCs w:val="30"/>
        </w:rPr>
        <w:t>纳入广元市自然资源局</w:t>
      </w:r>
      <w:r>
        <w:rPr>
          <w:rFonts w:hAnsi="仿宋"/>
          <w:kern w:val="2"/>
          <w:sz w:val="30"/>
          <w:szCs w:val="30"/>
        </w:rPr>
        <w:t>2019</w:t>
      </w:r>
      <w:r>
        <w:rPr>
          <w:rFonts w:hint="eastAsia" w:hAnsi="仿宋"/>
          <w:kern w:val="2"/>
          <w:sz w:val="30"/>
          <w:szCs w:val="30"/>
        </w:rPr>
        <w:t>年度部门决算编制范围的二级预算单位包括：</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广元市自然资源局经济开发区事务中心</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广元市地质环境监测站</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广元市不动产登记中心</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广元市国土整治中心</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广元市自然资源储备交易中心</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广元市测绘地理信息中心</w:t>
      </w:r>
    </w:p>
    <w:p>
      <w:pPr>
        <w:pStyle w:val="5"/>
        <w:numPr>
          <w:ilvl w:val="0"/>
          <w:numId w:val="1"/>
        </w:numPr>
        <w:adjustRightInd w:val="0"/>
        <w:snapToGrid w:val="0"/>
        <w:spacing w:beforeLines="0" w:line="500" w:lineRule="exact"/>
        <w:outlineLvl w:val="2"/>
        <w:rPr>
          <w:rFonts w:hAnsi="仿宋"/>
          <w:kern w:val="2"/>
          <w:sz w:val="30"/>
          <w:szCs w:val="30"/>
        </w:rPr>
      </w:pPr>
      <w:r>
        <w:rPr>
          <w:rFonts w:hint="eastAsia" w:hAnsi="仿宋"/>
          <w:kern w:val="2"/>
          <w:sz w:val="30"/>
          <w:szCs w:val="30"/>
        </w:rPr>
        <w:t>广元市地籍地政事务中心</w:t>
      </w:r>
    </w:p>
    <w:p>
      <w:pPr>
        <w:widowControl/>
        <w:spacing w:line="500" w:lineRule="exact"/>
        <w:jc w:val="center"/>
        <w:rPr>
          <w:rStyle w:val="17"/>
          <w:rFonts w:ascii="黑体" w:hAnsi="黑体" w:eastAsia="黑体"/>
          <w:b w:val="0"/>
          <w:bCs w:val="0"/>
          <w:sz w:val="30"/>
          <w:szCs w:val="30"/>
        </w:rPr>
      </w:pPr>
      <w:r>
        <w:rPr>
          <w:rFonts w:ascii="仿宋" w:hAnsi="仿宋" w:eastAsia="仿宋"/>
          <w:color w:val="000000"/>
          <w:sz w:val="30"/>
          <w:szCs w:val="30"/>
        </w:rPr>
        <w:br w:type="page"/>
      </w:r>
      <w:bookmarkStart w:id="23" w:name="_Toc15396602"/>
      <w:bookmarkStart w:id="24" w:name="_Toc15377204"/>
      <w:r>
        <w:rPr>
          <w:rFonts w:hint="eastAsia" w:ascii="黑体" w:hAnsi="黑体" w:eastAsia="黑体" w:cs="黑体"/>
          <w:color w:val="000000"/>
          <w:sz w:val="30"/>
          <w:szCs w:val="30"/>
        </w:rPr>
        <w:t>第二部分</w:t>
      </w:r>
      <w:r>
        <w:rPr>
          <w:rFonts w:ascii="黑体" w:hAnsi="黑体" w:eastAsia="黑体" w:cs="黑体"/>
          <w:color w:val="000000"/>
          <w:sz w:val="30"/>
          <w:szCs w:val="30"/>
        </w:rPr>
        <w:t xml:space="preserve"> </w:t>
      </w:r>
      <w:r>
        <w:rPr>
          <w:rStyle w:val="17"/>
          <w:rFonts w:ascii="黑体" w:hAnsi="黑体" w:eastAsia="黑体" w:cs="黑体"/>
          <w:b w:val="0"/>
          <w:bCs w:val="0"/>
          <w:sz w:val="30"/>
          <w:szCs w:val="30"/>
        </w:rPr>
        <w:t>2019</w:t>
      </w:r>
      <w:r>
        <w:rPr>
          <w:rStyle w:val="17"/>
          <w:rFonts w:hint="eastAsia" w:ascii="黑体" w:hAnsi="黑体" w:eastAsia="黑体" w:cs="黑体"/>
          <w:b w:val="0"/>
          <w:bCs w:val="0"/>
          <w:sz w:val="30"/>
          <w:szCs w:val="30"/>
        </w:rPr>
        <w:t>年度部门决算情况说明</w:t>
      </w:r>
      <w:bookmarkEnd w:id="23"/>
      <w:bookmarkEnd w:id="24"/>
    </w:p>
    <w:p>
      <w:pPr>
        <w:spacing w:line="500" w:lineRule="exact"/>
        <w:rPr>
          <w:sz w:val="30"/>
          <w:szCs w:val="30"/>
        </w:rPr>
      </w:pPr>
    </w:p>
    <w:p>
      <w:pPr>
        <w:pStyle w:val="28"/>
        <w:numPr>
          <w:ilvl w:val="0"/>
          <w:numId w:val="2"/>
        </w:numPr>
        <w:spacing w:line="500" w:lineRule="exact"/>
        <w:ind w:firstLineChars="0"/>
        <w:outlineLvl w:val="1"/>
        <w:rPr>
          <w:rStyle w:val="18"/>
          <w:rFonts w:ascii="黑体" w:hAnsi="黑体" w:eastAsia="黑体" w:cs="Times New Roman"/>
          <w:b w:val="0"/>
          <w:bCs w:val="0"/>
          <w:sz w:val="30"/>
          <w:szCs w:val="30"/>
        </w:rPr>
      </w:pPr>
      <w:bookmarkStart w:id="25" w:name="_Toc15377205"/>
      <w:bookmarkStart w:id="26" w:name="_Toc15396603"/>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入支出决算总体情况说明</w:t>
      </w:r>
      <w:bookmarkEnd w:id="25"/>
      <w:bookmarkEnd w:id="26"/>
    </w:p>
    <w:p>
      <w:pPr>
        <w:spacing w:line="500" w:lineRule="exact"/>
        <w:ind w:firstLine="600" w:firstLineChars="200"/>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年度收、支总计</w:t>
      </w:r>
      <w:r>
        <w:rPr>
          <w:rFonts w:ascii="仿宋_GB2312" w:hAnsi="仿宋" w:eastAsia="仿宋_GB2312" w:cs="仿宋_GB2312"/>
          <w:color w:val="000000"/>
          <w:sz w:val="30"/>
          <w:szCs w:val="30"/>
        </w:rPr>
        <w:t>15850.57</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2018</w:t>
      </w:r>
      <w:r>
        <w:rPr>
          <w:rFonts w:hint="eastAsia" w:ascii="仿宋_GB2312" w:hAnsi="仿宋" w:eastAsia="仿宋_GB2312" w:cs="仿宋_GB2312"/>
          <w:color w:val="000000"/>
          <w:sz w:val="30"/>
          <w:szCs w:val="30"/>
        </w:rPr>
        <w:t>年相比，收、支总计各增加</w:t>
      </w:r>
      <w:r>
        <w:rPr>
          <w:rFonts w:ascii="仿宋_GB2312" w:hAnsi="仿宋" w:eastAsia="仿宋_GB2312" w:cs="仿宋_GB2312"/>
          <w:color w:val="000000"/>
          <w:sz w:val="30"/>
          <w:szCs w:val="30"/>
        </w:rPr>
        <w:t>2547.84</w:t>
      </w:r>
      <w:r>
        <w:rPr>
          <w:rFonts w:hint="eastAsia" w:ascii="仿宋_GB2312" w:hAnsi="仿宋" w:eastAsia="仿宋_GB2312" w:cs="仿宋_GB2312"/>
          <w:color w:val="000000"/>
          <w:sz w:val="30"/>
          <w:szCs w:val="30"/>
        </w:rPr>
        <w:t>万元，增长</w:t>
      </w:r>
      <w:r>
        <w:rPr>
          <w:rFonts w:ascii="仿宋_GB2312" w:hAnsi="仿宋" w:eastAsia="仿宋_GB2312" w:cs="仿宋_GB2312"/>
          <w:color w:val="000000"/>
          <w:sz w:val="30"/>
          <w:szCs w:val="30"/>
        </w:rPr>
        <w:t>19.15%</w:t>
      </w:r>
      <w:r>
        <w:rPr>
          <w:rFonts w:hint="eastAsia" w:ascii="仿宋_GB2312" w:hAnsi="仿宋" w:eastAsia="仿宋_GB2312" w:cs="仿宋_GB2312"/>
          <w:color w:val="000000"/>
          <w:sz w:val="30"/>
          <w:szCs w:val="30"/>
        </w:rPr>
        <w:t>。主要变动原因一是我局属于机改单位，职能职责及人员增加。二是局机关和局属单位不动产登记中心</w:t>
      </w: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年度基建项目收支增加。</w:t>
      </w:r>
    </w:p>
    <w:p>
      <w:pPr>
        <w:pStyle w:val="28"/>
        <w:numPr>
          <w:ilvl w:val="0"/>
          <w:numId w:val="2"/>
        </w:numPr>
        <w:spacing w:line="500" w:lineRule="exact"/>
        <w:ind w:firstLineChars="0"/>
        <w:outlineLvl w:val="1"/>
        <w:rPr>
          <w:rStyle w:val="18"/>
          <w:rFonts w:ascii="黑体" w:hAnsi="黑体" w:eastAsia="黑体" w:cs="Times New Roman"/>
          <w:b w:val="0"/>
          <w:bCs w:val="0"/>
          <w:sz w:val="30"/>
          <w:szCs w:val="30"/>
        </w:rPr>
      </w:pPr>
      <w:bookmarkStart w:id="27" w:name="_Toc15396604"/>
      <w:bookmarkStart w:id="28" w:name="_Toc15377206"/>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入决算情况说明</w:t>
      </w:r>
      <w:bookmarkEnd w:id="27"/>
      <w:bookmarkEnd w:id="28"/>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年本年收入合计</w:t>
      </w:r>
      <w:r>
        <w:rPr>
          <w:rFonts w:ascii="仿宋_GB2312" w:hAnsi="仿宋" w:eastAsia="仿宋_GB2312" w:cs="仿宋_GB2312"/>
          <w:color w:val="000000"/>
          <w:sz w:val="30"/>
          <w:szCs w:val="30"/>
        </w:rPr>
        <w:t>12620.70</w:t>
      </w:r>
      <w:r>
        <w:rPr>
          <w:rFonts w:hint="eastAsia" w:ascii="仿宋_GB2312" w:hAnsi="仿宋" w:eastAsia="仿宋_GB2312" w:cs="仿宋_GB2312"/>
          <w:color w:val="000000"/>
          <w:sz w:val="30"/>
          <w:szCs w:val="30"/>
        </w:rPr>
        <w:t>万元，其中：一般公共预算财政拨款收入</w:t>
      </w:r>
      <w:r>
        <w:rPr>
          <w:rFonts w:ascii="仿宋_GB2312" w:hAnsi="仿宋" w:eastAsia="仿宋_GB2312" w:cs="仿宋_GB2312"/>
          <w:color w:val="000000"/>
          <w:sz w:val="30"/>
          <w:szCs w:val="30"/>
        </w:rPr>
        <w:t>4028.51</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31.92%</w:t>
      </w:r>
      <w:r>
        <w:rPr>
          <w:rFonts w:hint="eastAsia" w:ascii="仿宋_GB2312" w:hAnsi="仿宋" w:eastAsia="仿宋_GB2312" w:cs="仿宋_GB2312"/>
          <w:color w:val="000000"/>
          <w:sz w:val="30"/>
          <w:szCs w:val="30"/>
        </w:rPr>
        <w:t>；政府性基金预算财政拨款收入</w:t>
      </w:r>
      <w:r>
        <w:rPr>
          <w:rFonts w:ascii="仿宋_GB2312" w:hAnsi="仿宋" w:eastAsia="仿宋_GB2312" w:cs="仿宋_GB2312"/>
          <w:color w:val="000000"/>
          <w:sz w:val="30"/>
          <w:szCs w:val="30"/>
        </w:rPr>
        <w:t>5369.31</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42.54%</w:t>
      </w:r>
      <w:r>
        <w:rPr>
          <w:rFonts w:hint="eastAsia" w:ascii="仿宋_GB2312" w:hAnsi="仿宋" w:eastAsia="仿宋_GB2312" w:cs="仿宋_GB2312"/>
          <w:color w:val="000000"/>
          <w:sz w:val="30"/>
          <w:szCs w:val="30"/>
        </w:rPr>
        <w:t>；其他收入</w:t>
      </w:r>
      <w:r>
        <w:rPr>
          <w:rFonts w:ascii="仿宋_GB2312" w:hAnsi="仿宋" w:eastAsia="仿宋_GB2312" w:cs="仿宋_GB2312"/>
          <w:color w:val="000000"/>
          <w:sz w:val="30"/>
          <w:szCs w:val="30"/>
        </w:rPr>
        <w:t>3222.88</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25.54%</w:t>
      </w:r>
      <w:r>
        <w:rPr>
          <w:rFonts w:hint="eastAsia" w:ascii="仿宋_GB2312" w:hAnsi="仿宋" w:eastAsia="仿宋_GB2312" w:cs="仿宋_GB2312"/>
          <w:color w:val="000000"/>
          <w:sz w:val="30"/>
          <w:szCs w:val="30"/>
        </w:rPr>
        <w:t>。</w:t>
      </w:r>
    </w:p>
    <w:p>
      <w:pPr>
        <w:pStyle w:val="28"/>
        <w:numPr>
          <w:ilvl w:val="0"/>
          <w:numId w:val="2"/>
        </w:numPr>
        <w:spacing w:line="500" w:lineRule="exact"/>
        <w:ind w:firstLineChars="0"/>
        <w:outlineLvl w:val="1"/>
        <w:rPr>
          <w:rStyle w:val="18"/>
          <w:rFonts w:ascii="黑体" w:hAnsi="黑体" w:eastAsia="黑体" w:cs="Times New Roman"/>
          <w:b w:val="0"/>
          <w:bCs w:val="0"/>
          <w:sz w:val="30"/>
          <w:szCs w:val="30"/>
        </w:rPr>
      </w:pPr>
      <w:bookmarkStart w:id="29" w:name="_Toc15377207"/>
      <w:bookmarkStart w:id="30" w:name="_Toc15396605"/>
      <w:r>
        <w:rPr>
          <w:rFonts w:hint="eastAsia" w:ascii="黑体" w:hAnsi="黑体" w:eastAsia="黑体" w:cs="黑体"/>
          <w:color w:val="000000"/>
          <w:sz w:val="30"/>
          <w:szCs w:val="30"/>
        </w:rPr>
        <w:t>支</w:t>
      </w:r>
      <w:r>
        <w:rPr>
          <w:rStyle w:val="18"/>
          <w:rFonts w:hint="eastAsia" w:ascii="黑体" w:hAnsi="黑体" w:eastAsia="黑体" w:cs="黑体"/>
          <w:b w:val="0"/>
          <w:bCs w:val="0"/>
          <w:sz w:val="30"/>
          <w:szCs w:val="30"/>
        </w:rPr>
        <w:t>出决算情况说明</w:t>
      </w:r>
      <w:bookmarkEnd w:id="29"/>
      <w:bookmarkEnd w:id="30"/>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年本年支出合计</w:t>
      </w:r>
      <w:r>
        <w:rPr>
          <w:rFonts w:ascii="仿宋_GB2312" w:hAnsi="仿宋" w:eastAsia="仿宋_GB2312" w:cs="仿宋_GB2312"/>
          <w:color w:val="000000"/>
          <w:sz w:val="30"/>
          <w:szCs w:val="30"/>
        </w:rPr>
        <w:t>12151.63</w:t>
      </w:r>
      <w:r>
        <w:rPr>
          <w:rFonts w:hint="eastAsia" w:ascii="仿宋_GB2312" w:hAnsi="仿宋" w:eastAsia="仿宋_GB2312" w:cs="仿宋_GB2312"/>
          <w:color w:val="000000"/>
          <w:sz w:val="30"/>
          <w:szCs w:val="30"/>
        </w:rPr>
        <w:t>万元，其中：基本支出</w:t>
      </w:r>
      <w:r>
        <w:rPr>
          <w:rFonts w:ascii="仿宋_GB2312" w:hAnsi="仿宋" w:eastAsia="仿宋_GB2312" w:cs="仿宋_GB2312"/>
          <w:color w:val="000000"/>
          <w:sz w:val="30"/>
          <w:szCs w:val="30"/>
        </w:rPr>
        <w:t>2553.54</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21.01%</w:t>
      </w:r>
      <w:r>
        <w:rPr>
          <w:rFonts w:hint="eastAsia" w:ascii="仿宋_GB2312" w:hAnsi="仿宋" w:eastAsia="仿宋_GB2312" w:cs="仿宋_GB2312"/>
          <w:color w:val="000000"/>
          <w:sz w:val="30"/>
          <w:szCs w:val="30"/>
        </w:rPr>
        <w:t>；项目支出</w:t>
      </w:r>
      <w:r>
        <w:rPr>
          <w:rFonts w:ascii="仿宋_GB2312" w:hAnsi="仿宋" w:eastAsia="仿宋_GB2312" w:cs="仿宋_GB2312"/>
          <w:color w:val="000000"/>
          <w:sz w:val="30"/>
          <w:szCs w:val="30"/>
        </w:rPr>
        <w:t>9598.08</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78.99%</w:t>
      </w:r>
      <w:r>
        <w:rPr>
          <w:rFonts w:hint="eastAsia" w:ascii="仿宋_GB2312" w:hAnsi="仿宋" w:eastAsia="仿宋_GB2312" w:cs="仿宋_GB2312"/>
          <w:color w:val="000000"/>
          <w:sz w:val="30"/>
          <w:szCs w:val="30"/>
        </w:rPr>
        <w:t>。</w:t>
      </w:r>
    </w:p>
    <w:p>
      <w:pPr>
        <w:spacing w:line="500" w:lineRule="exact"/>
        <w:ind w:firstLine="600" w:firstLineChars="200"/>
        <w:outlineLvl w:val="1"/>
        <w:rPr>
          <w:rStyle w:val="18"/>
          <w:rFonts w:ascii="黑体" w:hAnsi="黑体" w:eastAsia="黑体" w:cs="Times New Roman"/>
          <w:b w:val="0"/>
          <w:bCs w:val="0"/>
          <w:sz w:val="30"/>
          <w:szCs w:val="30"/>
        </w:rPr>
      </w:pPr>
      <w:bookmarkStart w:id="31" w:name="_Toc15396606"/>
      <w:bookmarkStart w:id="32" w:name="_Toc15377208"/>
      <w:r>
        <w:rPr>
          <w:rFonts w:hint="eastAsia" w:ascii="黑体" w:hAnsi="黑体" w:eastAsia="黑体" w:cs="黑体"/>
          <w:color w:val="000000"/>
          <w:sz w:val="30"/>
          <w:szCs w:val="30"/>
        </w:rPr>
        <w:t>四、财</w:t>
      </w:r>
      <w:r>
        <w:rPr>
          <w:rStyle w:val="18"/>
          <w:rFonts w:hint="eastAsia" w:ascii="黑体" w:hAnsi="黑体" w:eastAsia="黑体" w:cs="黑体"/>
          <w:b w:val="0"/>
          <w:bCs w:val="0"/>
          <w:sz w:val="30"/>
          <w:szCs w:val="30"/>
        </w:rPr>
        <w:t>政拨款收入支出决算总体情况说明</w:t>
      </w:r>
      <w:bookmarkEnd w:id="31"/>
      <w:bookmarkEnd w:id="32"/>
    </w:p>
    <w:p>
      <w:pPr>
        <w:spacing w:line="500" w:lineRule="exact"/>
        <w:ind w:firstLine="640"/>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年财政拨款收、支总计</w:t>
      </w:r>
      <w:r>
        <w:rPr>
          <w:rFonts w:ascii="仿宋_GB2312" w:hAnsi="仿宋" w:eastAsia="仿宋_GB2312" w:cs="仿宋_GB2312"/>
          <w:color w:val="000000"/>
          <w:sz w:val="30"/>
          <w:szCs w:val="30"/>
        </w:rPr>
        <w:t>12163.71</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2018</w:t>
      </w:r>
      <w:r>
        <w:rPr>
          <w:rFonts w:hint="eastAsia" w:ascii="仿宋_GB2312" w:hAnsi="仿宋" w:eastAsia="仿宋_GB2312" w:cs="仿宋_GB2312"/>
          <w:color w:val="000000"/>
          <w:sz w:val="30"/>
          <w:szCs w:val="30"/>
        </w:rPr>
        <w:t>年相比，财政拨款收、支总计各增加</w:t>
      </w:r>
      <w:r>
        <w:rPr>
          <w:rFonts w:ascii="仿宋_GB2312" w:hAnsi="仿宋" w:eastAsia="仿宋_GB2312" w:cs="仿宋_GB2312"/>
          <w:color w:val="000000"/>
          <w:sz w:val="30"/>
          <w:szCs w:val="30"/>
        </w:rPr>
        <w:t>78.48</w:t>
      </w:r>
      <w:r>
        <w:rPr>
          <w:rFonts w:hint="eastAsia" w:ascii="仿宋_GB2312" w:hAnsi="仿宋" w:eastAsia="仿宋_GB2312" w:cs="仿宋_GB2312"/>
          <w:color w:val="000000"/>
          <w:sz w:val="30"/>
          <w:szCs w:val="30"/>
        </w:rPr>
        <w:t>万元，增长</w:t>
      </w:r>
      <w:r>
        <w:rPr>
          <w:rFonts w:ascii="仿宋_GB2312" w:hAnsi="仿宋" w:eastAsia="仿宋_GB2312" w:cs="仿宋_GB2312"/>
          <w:color w:val="000000"/>
          <w:sz w:val="30"/>
          <w:szCs w:val="30"/>
        </w:rPr>
        <w:t>0.65%</w:t>
      </w:r>
      <w:r>
        <w:rPr>
          <w:rFonts w:hint="eastAsia" w:ascii="仿宋_GB2312" w:hAnsi="仿宋" w:eastAsia="仿宋_GB2312" w:cs="仿宋_GB2312"/>
          <w:color w:val="000000"/>
          <w:sz w:val="30"/>
          <w:szCs w:val="30"/>
        </w:rPr>
        <w:t>。主要变动原因是我局属于机改合并单位，单位职能职责及人员增加。</w:t>
      </w:r>
    </w:p>
    <w:p>
      <w:pPr>
        <w:spacing w:line="500" w:lineRule="exact"/>
        <w:ind w:firstLine="600" w:firstLineChars="200"/>
        <w:outlineLvl w:val="1"/>
        <w:rPr>
          <w:rStyle w:val="18"/>
          <w:rFonts w:ascii="黑体" w:hAnsi="黑体" w:eastAsia="黑体" w:cs="Times New Roman"/>
          <w:b w:val="0"/>
          <w:bCs w:val="0"/>
          <w:sz w:val="30"/>
          <w:szCs w:val="30"/>
        </w:rPr>
      </w:pPr>
      <w:bookmarkStart w:id="33" w:name="_Toc15377209"/>
      <w:bookmarkStart w:id="34" w:name="_Toc15396607"/>
      <w:r>
        <w:rPr>
          <w:rFonts w:hint="eastAsia" w:ascii="黑体" w:hAnsi="黑体" w:eastAsia="黑体" w:cs="黑体"/>
          <w:color w:val="000000"/>
          <w:sz w:val="30"/>
          <w:szCs w:val="30"/>
        </w:rPr>
        <w:t>五、</w:t>
      </w:r>
      <w:r>
        <w:rPr>
          <w:rFonts w:hint="eastAsia" w:ascii="黑体" w:hAnsi="黑体" w:eastAsia="黑体" w:cs="黑体"/>
          <w:b/>
          <w:bCs/>
          <w:color w:val="000000"/>
          <w:sz w:val="30"/>
          <w:szCs w:val="30"/>
        </w:rPr>
        <w:t>一</w:t>
      </w:r>
      <w:r>
        <w:rPr>
          <w:rStyle w:val="18"/>
          <w:rFonts w:hint="eastAsia" w:ascii="黑体" w:hAnsi="黑体" w:eastAsia="黑体" w:cs="黑体"/>
          <w:b w:val="0"/>
          <w:bCs w:val="0"/>
          <w:sz w:val="30"/>
          <w:szCs w:val="30"/>
        </w:rPr>
        <w:t>般公共预算财政拨款支出决算情况说明</w:t>
      </w:r>
      <w:bookmarkEnd w:id="33"/>
      <w:bookmarkEnd w:id="34"/>
    </w:p>
    <w:p>
      <w:pPr>
        <w:spacing w:line="500" w:lineRule="exact"/>
        <w:ind w:firstLine="602" w:firstLineChars="200"/>
        <w:outlineLvl w:val="2"/>
        <w:rPr>
          <w:rFonts w:ascii="仿宋" w:hAnsi="仿宋" w:eastAsia="仿宋"/>
          <w:b/>
          <w:bCs/>
          <w:color w:val="000000"/>
          <w:sz w:val="30"/>
          <w:szCs w:val="30"/>
        </w:rPr>
      </w:pPr>
      <w:bookmarkStart w:id="35" w:name="_Toc15377210"/>
      <w:r>
        <w:rPr>
          <w:rFonts w:hint="eastAsia" w:ascii="仿宋" w:hAnsi="仿宋" w:eastAsia="仿宋" w:cs="仿宋"/>
          <w:b/>
          <w:bCs/>
          <w:color w:val="000000"/>
          <w:sz w:val="30"/>
          <w:szCs w:val="30"/>
        </w:rPr>
        <w:t>（一）一般公共预算财政拨款支出决算总体情况</w:t>
      </w:r>
      <w:bookmarkEnd w:id="35"/>
    </w:p>
    <w:p>
      <w:pPr>
        <w:spacing w:line="500" w:lineRule="exact"/>
        <w:ind w:firstLine="640"/>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年一般公共预算财政拨款支出</w:t>
      </w:r>
      <w:r>
        <w:rPr>
          <w:rFonts w:ascii="仿宋_GB2312" w:hAnsi="仿宋" w:eastAsia="仿宋_GB2312" w:cs="仿宋_GB2312"/>
          <w:color w:val="000000"/>
          <w:sz w:val="30"/>
          <w:szCs w:val="30"/>
        </w:rPr>
        <w:t>3935.01</w:t>
      </w:r>
      <w:r>
        <w:rPr>
          <w:rFonts w:hint="eastAsia" w:ascii="仿宋_GB2312" w:hAnsi="仿宋" w:eastAsia="仿宋_GB2312" w:cs="仿宋_GB2312"/>
          <w:color w:val="000000"/>
          <w:sz w:val="30"/>
          <w:szCs w:val="30"/>
        </w:rPr>
        <w:t>万元，占本年支出合计的</w:t>
      </w:r>
      <w:r>
        <w:rPr>
          <w:rFonts w:ascii="仿宋_GB2312" w:hAnsi="仿宋" w:eastAsia="仿宋_GB2312" w:cs="仿宋_GB2312"/>
          <w:color w:val="000000"/>
          <w:sz w:val="30"/>
          <w:szCs w:val="30"/>
        </w:rPr>
        <w:t>24.83%</w:t>
      </w:r>
      <w:r>
        <w:rPr>
          <w:rFonts w:hint="eastAsia" w:ascii="仿宋_GB2312" w:hAnsi="仿宋" w:eastAsia="仿宋_GB2312" w:cs="仿宋_GB2312"/>
          <w:color w:val="000000"/>
          <w:sz w:val="30"/>
          <w:szCs w:val="30"/>
        </w:rPr>
        <w:t>。与</w:t>
      </w:r>
      <w:r>
        <w:rPr>
          <w:rFonts w:ascii="仿宋_GB2312" w:hAnsi="仿宋" w:eastAsia="仿宋_GB2312" w:cs="仿宋_GB2312"/>
          <w:color w:val="000000"/>
          <w:sz w:val="30"/>
          <w:szCs w:val="30"/>
        </w:rPr>
        <w:t>2018</w:t>
      </w:r>
      <w:r>
        <w:rPr>
          <w:rFonts w:hint="eastAsia" w:ascii="仿宋_GB2312" w:hAnsi="仿宋" w:eastAsia="仿宋_GB2312" w:cs="仿宋_GB2312"/>
          <w:color w:val="000000"/>
          <w:sz w:val="30"/>
          <w:szCs w:val="30"/>
        </w:rPr>
        <w:t>年相比，一般公共预算财政拨款增加</w:t>
      </w:r>
      <w:r>
        <w:rPr>
          <w:rFonts w:ascii="仿宋_GB2312" w:hAnsi="仿宋" w:eastAsia="仿宋_GB2312" w:cs="仿宋_GB2312"/>
          <w:color w:val="000000"/>
          <w:sz w:val="30"/>
          <w:szCs w:val="30"/>
        </w:rPr>
        <w:t>251.24</w:t>
      </w:r>
      <w:r>
        <w:rPr>
          <w:rFonts w:hint="eastAsia" w:ascii="仿宋_GB2312" w:hAnsi="仿宋" w:eastAsia="仿宋_GB2312" w:cs="仿宋_GB2312"/>
          <w:color w:val="000000"/>
          <w:sz w:val="30"/>
          <w:szCs w:val="30"/>
        </w:rPr>
        <w:t>万元，增长</w:t>
      </w:r>
      <w:r>
        <w:rPr>
          <w:rFonts w:ascii="仿宋_GB2312" w:hAnsi="仿宋" w:eastAsia="仿宋_GB2312" w:cs="仿宋_GB2312"/>
          <w:color w:val="000000"/>
          <w:sz w:val="30"/>
          <w:szCs w:val="30"/>
        </w:rPr>
        <w:t>6.82%</w:t>
      </w:r>
      <w:r>
        <w:rPr>
          <w:rFonts w:hint="eastAsia" w:ascii="仿宋_GB2312" w:hAnsi="仿宋" w:eastAsia="仿宋_GB2312" w:cs="仿宋_GB2312"/>
          <w:color w:val="000000"/>
          <w:sz w:val="30"/>
          <w:szCs w:val="30"/>
        </w:rPr>
        <w:t>。主要变动原因是我局属于机改合并单位，单位职能职责及人员增加。</w:t>
      </w:r>
    </w:p>
    <w:p>
      <w:pPr>
        <w:spacing w:line="500" w:lineRule="exact"/>
        <w:ind w:firstLine="602" w:firstLineChars="200"/>
        <w:outlineLvl w:val="2"/>
        <w:rPr>
          <w:rFonts w:ascii="仿宋" w:hAnsi="仿宋" w:eastAsia="仿宋"/>
          <w:b/>
          <w:bCs/>
          <w:color w:val="000000"/>
          <w:sz w:val="30"/>
          <w:szCs w:val="30"/>
        </w:rPr>
      </w:pPr>
      <w:bookmarkStart w:id="36" w:name="_Toc15377211"/>
      <w:r>
        <w:rPr>
          <w:rFonts w:hint="eastAsia" w:ascii="仿宋" w:hAnsi="仿宋" w:eastAsia="仿宋" w:cs="仿宋"/>
          <w:b/>
          <w:bCs/>
          <w:color w:val="000000"/>
          <w:sz w:val="30"/>
          <w:szCs w:val="30"/>
        </w:rPr>
        <w:t>（二）一般公共预算财政拨款支出决算结构情况</w:t>
      </w:r>
      <w:bookmarkEnd w:id="36"/>
    </w:p>
    <w:p>
      <w:pPr>
        <w:spacing w:line="500" w:lineRule="exact"/>
        <w:ind w:firstLine="640"/>
        <w:rPr>
          <w:rFonts w:ascii="仿宋" w:hAnsi="仿宋" w:eastAsia="仿宋"/>
          <w:b/>
          <w:bCs/>
          <w:color w:val="000000"/>
          <w:sz w:val="30"/>
          <w:szCs w:val="30"/>
        </w:rPr>
      </w:pPr>
      <w:r>
        <w:rPr>
          <w:rFonts w:ascii="仿宋" w:hAnsi="仿宋" w:eastAsia="仿宋" w:cs="仿宋"/>
          <w:color w:val="000000"/>
          <w:sz w:val="30"/>
          <w:szCs w:val="30"/>
        </w:rPr>
        <w:t>2019</w:t>
      </w:r>
      <w:r>
        <w:rPr>
          <w:rFonts w:hint="eastAsia" w:ascii="仿宋" w:hAnsi="仿宋" w:eastAsia="仿宋" w:cs="仿宋"/>
          <w:color w:val="000000"/>
          <w:sz w:val="30"/>
          <w:szCs w:val="30"/>
        </w:rPr>
        <w:t>年一般公共预算财政拨款支出</w:t>
      </w:r>
      <w:r>
        <w:rPr>
          <w:rFonts w:ascii="仿宋" w:hAnsi="仿宋" w:eastAsia="仿宋" w:cs="仿宋"/>
          <w:color w:val="000000"/>
          <w:sz w:val="30"/>
          <w:szCs w:val="30"/>
        </w:rPr>
        <w:t>3935.01</w:t>
      </w:r>
      <w:r>
        <w:rPr>
          <w:rFonts w:hint="eastAsia" w:ascii="仿宋" w:hAnsi="仿宋" w:eastAsia="仿宋" w:cs="仿宋"/>
          <w:color w:val="000000"/>
          <w:sz w:val="30"/>
          <w:szCs w:val="30"/>
        </w:rPr>
        <w:t>万元，主要用于以下方面</w:t>
      </w:r>
      <w:r>
        <w:rPr>
          <w:rFonts w:ascii="仿宋" w:hAnsi="仿宋" w:eastAsia="仿宋" w:cs="仿宋"/>
          <w:color w:val="000000"/>
          <w:sz w:val="30"/>
          <w:szCs w:val="30"/>
        </w:rPr>
        <w:t>:</w:t>
      </w:r>
      <w:r>
        <w:rPr>
          <w:rFonts w:hint="eastAsia" w:ascii="仿宋" w:hAnsi="仿宋" w:eastAsia="仿宋" w:cs="仿宋"/>
          <w:b/>
          <w:bCs/>
          <w:color w:val="000000"/>
          <w:sz w:val="30"/>
          <w:szCs w:val="30"/>
        </w:rPr>
        <w:t>教育支出</w:t>
      </w:r>
      <w:r>
        <w:rPr>
          <w:rFonts w:ascii="仿宋" w:hAnsi="仿宋" w:eastAsia="仿宋" w:cs="仿宋"/>
          <w:b/>
          <w:bCs/>
          <w:color w:val="000000"/>
          <w:sz w:val="30"/>
          <w:szCs w:val="30"/>
        </w:rPr>
        <w:t>9</w:t>
      </w:r>
      <w:r>
        <w:rPr>
          <w:rFonts w:hint="eastAsia" w:ascii="仿宋" w:hAnsi="仿宋" w:eastAsia="仿宋" w:cs="仿宋"/>
          <w:color w:val="000000"/>
          <w:sz w:val="30"/>
          <w:szCs w:val="30"/>
        </w:rPr>
        <w:t>万元，占</w:t>
      </w:r>
      <w:r>
        <w:rPr>
          <w:rFonts w:ascii="仿宋" w:hAnsi="仿宋" w:eastAsia="仿宋" w:cs="仿宋"/>
          <w:color w:val="000000"/>
          <w:sz w:val="30"/>
          <w:szCs w:val="30"/>
        </w:rPr>
        <w:t>0.23%</w:t>
      </w:r>
      <w:r>
        <w:rPr>
          <w:rFonts w:hint="eastAsia" w:ascii="仿宋" w:hAnsi="仿宋" w:eastAsia="仿宋" w:cs="仿宋"/>
          <w:color w:val="000000"/>
          <w:sz w:val="30"/>
          <w:szCs w:val="30"/>
        </w:rPr>
        <w:t>；</w:t>
      </w:r>
      <w:r>
        <w:rPr>
          <w:rFonts w:hint="eastAsia" w:ascii="仿宋" w:hAnsi="仿宋" w:eastAsia="仿宋" w:cs="仿宋"/>
          <w:b/>
          <w:color w:val="000000"/>
          <w:sz w:val="30"/>
          <w:szCs w:val="30"/>
        </w:rPr>
        <w:t>自然资源事务</w:t>
      </w:r>
      <w:r>
        <w:rPr>
          <w:rFonts w:ascii="仿宋" w:hAnsi="仿宋" w:eastAsia="仿宋" w:cs="仿宋"/>
          <w:color w:val="000000"/>
          <w:sz w:val="30"/>
          <w:szCs w:val="30"/>
        </w:rPr>
        <w:t>3446.09</w:t>
      </w:r>
      <w:r>
        <w:rPr>
          <w:rFonts w:hint="eastAsia" w:ascii="仿宋" w:hAnsi="仿宋" w:eastAsia="仿宋" w:cs="仿宋"/>
          <w:color w:val="000000"/>
          <w:sz w:val="30"/>
          <w:szCs w:val="30"/>
        </w:rPr>
        <w:t>万元，占</w:t>
      </w:r>
      <w:r>
        <w:rPr>
          <w:rFonts w:ascii="仿宋" w:hAnsi="仿宋" w:eastAsia="仿宋" w:cs="仿宋"/>
          <w:color w:val="000000"/>
          <w:sz w:val="30"/>
          <w:szCs w:val="30"/>
        </w:rPr>
        <w:t>87.58%</w:t>
      </w:r>
      <w:r>
        <w:rPr>
          <w:rFonts w:hint="eastAsia" w:ascii="仿宋" w:hAnsi="仿宋" w:eastAsia="仿宋" w:cs="仿宋"/>
          <w:color w:val="000000"/>
          <w:sz w:val="30"/>
          <w:szCs w:val="30"/>
        </w:rPr>
        <w:t>；</w:t>
      </w:r>
      <w:r>
        <w:rPr>
          <w:rFonts w:hint="eastAsia" w:ascii="仿宋" w:hAnsi="仿宋" w:eastAsia="仿宋" w:cs="仿宋"/>
          <w:b/>
          <w:bCs/>
          <w:color w:val="000000"/>
          <w:sz w:val="30"/>
          <w:szCs w:val="30"/>
        </w:rPr>
        <w:t>社会保障和就业</w:t>
      </w:r>
      <w:r>
        <w:rPr>
          <w:rFonts w:hint="eastAsia" w:ascii="仿宋" w:hAnsi="仿宋" w:eastAsia="仿宋" w:cs="仿宋"/>
          <w:color w:val="000000"/>
          <w:sz w:val="30"/>
          <w:szCs w:val="30"/>
        </w:rPr>
        <w:t>支出</w:t>
      </w:r>
      <w:r>
        <w:rPr>
          <w:rFonts w:ascii="仿宋" w:hAnsi="仿宋" w:eastAsia="仿宋" w:cs="仿宋"/>
          <w:color w:val="000000"/>
          <w:sz w:val="30"/>
          <w:szCs w:val="30"/>
        </w:rPr>
        <w:t>193.03</w:t>
      </w:r>
      <w:r>
        <w:rPr>
          <w:rFonts w:hint="eastAsia" w:ascii="仿宋" w:hAnsi="仿宋" w:eastAsia="仿宋" w:cs="仿宋"/>
          <w:color w:val="000000"/>
          <w:sz w:val="30"/>
          <w:szCs w:val="30"/>
        </w:rPr>
        <w:t>万元，占</w:t>
      </w:r>
      <w:r>
        <w:rPr>
          <w:rFonts w:ascii="仿宋" w:hAnsi="仿宋" w:eastAsia="仿宋" w:cs="仿宋"/>
          <w:color w:val="000000"/>
          <w:sz w:val="30"/>
          <w:szCs w:val="30"/>
        </w:rPr>
        <w:t>4.90%</w:t>
      </w:r>
      <w:r>
        <w:rPr>
          <w:rFonts w:hint="eastAsia" w:ascii="仿宋" w:hAnsi="仿宋" w:eastAsia="仿宋" w:cs="仿宋"/>
          <w:color w:val="000000"/>
          <w:sz w:val="30"/>
          <w:szCs w:val="30"/>
        </w:rPr>
        <w:t>；</w:t>
      </w:r>
      <w:r>
        <w:rPr>
          <w:rFonts w:hint="eastAsia" w:ascii="仿宋" w:hAnsi="仿宋" w:eastAsia="仿宋" w:cs="仿宋"/>
          <w:b/>
          <w:bCs/>
          <w:color w:val="000000"/>
          <w:sz w:val="30"/>
          <w:szCs w:val="30"/>
        </w:rPr>
        <w:t>卫生健康支出</w:t>
      </w:r>
      <w:r>
        <w:rPr>
          <w:rFonts w:ascii="仿宋" w:hAnsi="仿宋" w:eastAsia="仿宋" w:cs="仿宋"/>
          <w:b/>
          <w:bCs/>
          <w:color w:val="000000"/>
          <w:sz w:val="30"/>
          <w:szCs w:val="30"/>
        </w:rPr>
        <w:t>72.81</w:t>
      </w:r>
      <w:r>
        <w:rPr>
          <w:rFonts w:hint="eastAsia" w:ascii="仿宋" w:hAnsi="仿宋" w:eastAsia="仿宋" w:cs="仿宋"/>
          <w:color w:val="000000"/>
          <w:sz w:val="30"/>
          <w:szCs w:val="30"/>
        </w:rPr>
        <w:t>万元，占</w:t>
      </w:r>
      <w:r>
        <w:rPr>
          <w:rFonts w:ascii="仿宋" w:hAnsi="仿宋" w:eastAsia="仿宋" w:cs="仿宋"/>
          <w:color w:val="000000"/>
          <w:sz w:val="30"/>
          <w:szCs w:val="30"/>
        </w:rPr>
        <w:t>1.85%</w:t>
      </w:r>
      <w:r>
        <w:rPr>
          <w:rFonts w:hint="eastAsia" w:ascii="仿宋" w:hAnsi="仿宋" w:eastAsia="仿宋" w:cs="仿宋"/>
          <w:color w:val="000000"/>
          <w:sz w:val="30"/>
          <w:szCs w:val="30"/>
        </w:rPr>
        <w:t>；</w:t>
      </w:r>
      <w:r>
        <w:rPr>
          <w:rFonts w:hint="eastAsia" w:ascii="仿宋" w:hAnsi="仿宋" w:eastAsia="仿宋" w:cs="仿宋"/>
          <w:b/>
          <w:color w:val="000000"/>
          <w:sz w:val="30"/>
          <w:szCs w:val="30"/>
        </w:rPr>
        <w:t>住房保障支出</w:t>
      </w:r>
      <w:r>
        <w:rPr>
          <w:rFonts w:ascii="仿宋" w:hAnsi="仿宋" w:eastAsia="仿宋" w:cs="仿宋"/>
          <w:color w:val="000000"/>
          <w:sz w:val="30"/>
          <w:szCs w:val="30"/>
        </w:rPr>
        <w:t>214.09</w:t>
      </w:r>
      <w:r>
        <w:rPr>
          <w:rFonts w:hint="eastAsia" w:ascii="仿宋" w:hAnsi="仿宋" w:eastAsia="仿宋" w:cs="仿宋"/>
          <w:color w:val="000000"/>
          <w:sz w:val="30"/>
          <w:szCs w:val="30"/>
        </w:rPr>
        <w:t>万元，占</w:t>
      </w:r>
      <w:r>
        <w:rPr>
          <w:rFonts w:ascii="仿宋" w:hAnsi="仿宋" w:eastAsia="仿宋" w:cs="仿宋"/>
          <w:color w:val="000000"/>
          <w:sz w:val="30"/>
          <w:szCs w:val="30"/>
        </w:rPr>
        <w:t>5.44%</w:t>
      </w:r>
      <w:r>
        <w:rPr>
          <w:rFonts w:hint="eastAsia" w:ascii="仿宋" w:hAnsi="仿宋" w:eastAsia="仿宋" w:cs="仿宋"/>
          <w:color w:val="000000"/>
          <w:sz w:val="30"/>
          <w:szCs w:val="30"/>
        </w:rPr>
        <w:t>。</w:t>
      </w:r>
    </w:p>
    <w:p>
      <w:pPr>
        <w:spacing w:line="500" w:lineRule="exact"/>
        <w:ind w:firstLine="602" w:firstLineChars="200"/>
        <w:outlineLvl w:val="2"/>
        <w:rPr>
          <w:rFonts w:ascii="仿宋" w:hAnsi="仿宋" w:eastAsia="仿宋"/>
          <w:b/>
          <w:bCs/>
          <w:color w:val="000000"/>
          <w:sz w:val="30"/>
          <w:szCs w:val="30"/>
        </w:rPr>
      </w:pPr>
      <w:bookmarkStart w:id="37" w:name="_Toc15377212"/>
      <w:r>
        <w:rPr>
          <w:rFonts w:hint="eastAsia" w:ascii="仿宋" w:hAnsi="仿宋" w:eastAsia="仿宋" w:cs="仿宋"/>
          <w:b/>
          <w:bCs/>
          <w:color w:val="000000"/>
          <w:sz w:val="30"/>
          <w:szCs w:val="30"/>
        </w:rPr>
        <w:t>（三）一般公共预算财政拨款支出决算具体情况</w:t>
      </w:r>
      <w:bookmarkEnd w:id="37"/>
    </w:p>
    <w:p>
      <w:pPr>
        <w:spacing w:line="500" w:lineRule="exact"/>
        <w:ind w:firstLine="602" w:firstLineChars="200"/>
        <w:outlineLvl w:val="2"/>
        <w:rPr>
          <w:rFonts w:ascii="仿宋" w:hAnsi="仿宋" w:eastAsia="仿宋"/>
          <w:color w:val="FF0000"/>
          <w:sz w:val="30"/>
          <w:szCs w:val="30"/>
        </w:rPr>
      </w:pPr>
      <w:bookmarkStart w:id="38" w:name="_Toc15377444"/>
      <w:bookmarkStart w:id="39" w:name="_Toc15378460"/>
      <w:bookmarkStart w:id="40" w:name="_Toc15377213"/>
      <w:r>
        <w:rPr>
          <w:rFonts w:ascii="仿宋" w:hAnsi="仿宋" w:eastAsia="仿宋" w:cs="仿宋"/>
          <w:b/>
          <w:bCs/>
          <w:color w:val="000000"/>
          <w:sz w:val="30"/>
          <w:szCs w:val="30"/>
        </w:rPr>
        <w:t>2019</w:t>
      </w:r>
      <w:r>
        <w:rPr>
          <w:rFonts w:hint="eastAsia" w:ascii="仿宋" w:hAnsi="仿宋" w:eastAsia="仿宋" w:cs="仿宋"/>
          <w:b/>
          <w:bCs/>
          <w:color w:val="000000"/>
          <w:sz w:val="30"/>
          <w:szCs w:val="30"/>
        </w:rPr>
        <w:t>年一般公共预算支出决算数为</w:t>
      </w:r>
      <w:r>
        <w:rPr>
          <w:rFonts w:ascii="仿宋" w:hAnsi="仿宋" w:eastAsia="仿宋" w:cs="仿宋"/>
          <w:b/>
          <w:bCs/>
          <w:color w:val="000000"/>
          <w:sz w:val="30"/>
          <w:szCs w:val="30"/>
        </w:rPr>
        <w:t>3935.01</w:t>
      </w:r>
      <w:r>
        <w:rPr>
          <w:rFonts w:hint="eastAsia" w:ascii="仿宋" w:hAnsi="仿宋" w:eastAsia="仿宋" w:cs="仿宋"/>
          <w:color w:val="000000"/>
          <w:sz w:val="30"/>
          <w:szCs w:val="30"/>
        </w:rPr>
        <w:t>，</w:t>
      </w:r>
      <w:r>
        <w:rPr>
          <w:rStyle w:val="14"/>
          <w:rFonts w:hint="eastAsia" w:ascii="仿宋" w:hAnsi="仿宋" w:eastAsia="仿宋" w:cs="仿宋"/>
          <w:color w:val="000000"/>
          <w:sz w:val="30"/>
          <w:szCs w:val="30"/>
        </w:rPr>
        <w:t>完成预算</w:t>
      </w:r>
      <w:r>
        <w:rPr>
          <w:rStyle w:val="14"/>
          <w:rFonts w:ascii="仿宋" w:hAnsi="仿宋" w:eastAsia="仿宋" w:cs="仿宋"/>
          <w:color w:val="000000"/>
          <w:sz w:val="30"/>
          <w:szCs w:val="30"/>
        </w:rPr>
        <w:t>62.46%</w:t>
      </w:r>
      <w:r>
        <w:rPr>
          <w:rStyle w:val="14"/>
          <w:rFonts w:hint="eastAsia" w:ascii="仿宋" w:hAnsi="仿宋" w:eastAsia="仿宋" w:cs="仿宋"/>
          <w:color w:val="000000"/>
          <w:sz w:val="30"/>
          <w:szCs w:val="30"/>
        </w:rPr>
        <w:t>。其中：</w:t>
      </w:r>
      <w:bookmarkEnd w:id="38"/>
      <w:bookmarkEnd w:id="39"/>
      <w:bookmarkEnd w:id="40"/>
    </w:p>
    <w:p>
      <w:pPr>
        <w:spacing w:line="500" w:lineRule="exact"/>
        <w:ind w:firstLine="602" w:firstLineChars="200"/>
        <w:rPr>
          <w:rFonts w:ascii="仿宋" w:hAnsi="仿宋" w:eastAsia="仿宋"/>
          <w:b/>
          <w:bCs/>
          <w:color w:val="000000"/>
          <w:sz w:val="30"/>
          <w:szCs w:val="30"/>
        </w:rPr>
      </w:pPr>
      <w:r>
        <w:rPr>
          <w:rStyle w:val="14"/>
          <w:rFonts w:ascii="仿宋" w:hAnsi="仿宋" w:eastAsia="仿宋" w:cs="仿宋"/>
          <w:color w:val="000000"/>
          <w:sz w:val="30"/>
          <w:szCs w:val="30"/>
        </w:rPr>
        <w:t>1.</w:t>
      </w:r>
      <w:r>
        <w:rPr>
          <w:rStyle w:val="14"/>
          <w:rFonts w:hint="eastAsia" w:ascii="仿宋" w:hAnsi="仿宋" w:eastAsia="仿宋" w:cs="仿宋"/>
          <w:color w:val="000000"/>
          <w:sz w:val="30"/>
          <w:szCs w:val="30"/>
        </w:rPr>
        <w:t>教育（类）进修及培训（款）培训支出（项）</w:t>
      </w:r>
      <w:r>
        <w:rPr>
          <w:rStyle w:val="14"/>
          <w:rFonts w:ascii="仿宋" w:hAnsi="仿宋" w:eastAsia="仿宋" w:cs="仿宋"/>
          <w:color w:val="000000"/>
          <w:sz w:val="30"/>
          <w:szCs w:val="30"/>
        </w:rPr>
        <w:t>:</w:t>
      </w:r>
      <w:r>
        <w:rPr>
          <w:rStyle w:val="14"/>
          <w:rFonts w:ascii="仿宋" w:hAnsi="仿宋" w:eastAsia="仿宋" w:cs="仿宋"/>
          <w:b w:val="0"/>
          <w:bCs w:val="0"/>
          <w:color w:val="000000"/>
          <w:sz w:val="30"/>
          <w:szCs w:val="30"/>
        </w:rPr>
        <w:t xml:space="preserve"> </w:t>
      </w:r>
      <w:r>
        <w:rPr>
          <w:rStyle w:val="14"/>
          <w:rFonts w:hint="eastAsia" w:ascii="仿宋" w:hAnsi="仿宋" w:eastAsia="仿宋" w:cs="仿宋"/>
          <w:b w:val="0"/>
          <w:bCs w:val="0"/>
          <w:color w:val="000000"/>
          <w:sz w:val="30"/>
          <w:szCs w:val="30"/>
        </w:rPr>
        <w:t>支出决算为</w:t>
      </w:r>
      <w:r>
        <w:rPr>
          <w:rStyle w:val="14"/>
          <w:rFonts w:ascii="仿宋" w:hAnsi="仿宋" w:eastAsia="仿宋" w:cs="仿宋"/>
          <w:b w:val="0"/>
          <w:bCs w:val="0"/>
          <w:color w:val="000000"/>
          <w:sz w:val="30"/>
          <w:szCs w:val="30"/>
        </w:rPr>
        <w:t>9</w:t>
      </w:r>
      <w:r>
        <w:rPr>
          <w:rStyle w:val="14"/>
          <w:rFonts w:hint="eastAsia" w:ascii="仿宋" w:hAnsi="仿宋" w:eastAsia="仿宋" w:cs="仿宋"/>
          <w:b w:val="0"/>
          <w:bCs w:val="0"/>
          <w:color w:val="000000"/>
          <w:sz w:val="30"/>
          <w:szCs w:val="30"/>
        </w:rPr>
        <w:t>万元，完成预算</w:t>
      </w:r>
      <w:r>
        <w:rPr>
          <w:rStyle w:val="14"/>
          <w:rFonts w:ascii="仿宋" w:hAnsi="仿宋" w:eastAsia="仿宋" w:cs="仿宋"/>
          <w:b w:val="0"/>
          <w:bCs w:val="0"/>
          <w:color w:val="000000"/>
          <w:sz w:val="30"/>
          <w:szCs w:val="30"/>
        </w:rPr>
        <w:t>100%</w:t>
      </w:r>
      <w:r>
        <w:rPr>
          <w:rStyle w:val="14"/>
          <w:rFonts w:hint="eastAsia" w:ascii="仿宋" w:hAnsi="仿宋" w:eastAsia="仿宋" w:cs="仿宋"/>
          <w:b w:val="0"/>
          <w:bCs w:val="0"/>
          <w:color w:val="000000"/>
          <w:sz w:val="30"/>
          <w:szCs w:val="30"/>
        </w:rPr>
        <w:t>。</w:t>
      </w:r>
    </w:p>
    <w:p>
      <w:pPr>
        <w:spacing w:line="500" w:lineRule="exact"/>
        <w:ind w:firstLine="602" w:firstLineChars="200"/>
        <w:rPr>
          <w:rFonts w:ascii="仿宋" w:hAnsi="仿宋" w:eastAsia="仿宋"/>
          <w:b/>
          <w:bCs/>
          <w:color w:val="000000"/>
          <w:sz w:val="30"/>
          <w:szCs w:val="30"/>
        </w:rPr>
      </w:pPr>
      <w:r>
        <w:rPr>
          <w:rStyle w:val="14"/>
          <w:rFonts w:ascii="仿宋" w:hAnsi="仿宋" w:eastAsia="仿宋" w:cs="仿宋"/>
          <w:color w:val="000000"/>
          <w:sz w:val="30"/>
          <w:szCs w:val="30"/>
        </w:rPr>
        <w:t>2.</w:t>
      </w:r>
      <w:r>
        <w:rPr>
          <w:rStyle w:val="14"/>
          <w:rFonts w:hint="eastAsia" w:ascii="仿宋" w:hAnsi="仿宋" w:eastAsia="仿宋" w:cs="仿宋"/>
          <w:color w:val="000000"/>
          <w:sz w:val="30"/>
          <w:szCs w:val="30"/>
        </w:rPr>
        <w:t>社会保障和就业（类）行政事业单位离退休（款）机关事业单位基本养老保险及职业年金缴费支出（项）</w:t>
      </w:r>
      <w:r>
        <w:rPr>
          <w:rStyle w:val="14"/>
          <w:rFonts w:ascii="仿宋" w:hAnsi="仿宋" w:eastAsia="仿宋" w:cs="仿宋"/>
          <w:color w:val="000000"/>
          <w:sz w:val="30"/>
          <w:szCs w:val="30"/>
        </w:rPr>
        <w:t>:</w:t>
      </w:r>
      <w:r>
        <w:rPr>
          <w:rStyle w:val="14"/>
          <w:rFonts w:ascii="仿宋" w:hAnsi="仿宋" w:eastAsia="仿宋" w:cs="仿宋"/>
          <w:b w:val="0"/>
          <w:bCs w:val="0"/>
          <w:color w:val="000000"/>
          <w:sz w:val="30"/>
          <w:szCs w:val="30"/>
        </w:rPr>
        <w:t xml:space="preserve"> </w:t>
      </w:r>
      <w:r>
        <w:rPr>
          <w:rStyle w:val="14"/>
          <w:rFonts w:hint="eastAsia" w:ascii="仿宋" w:hAnsi="仿宋" w:eastAsia="仿宋" w:cs="仿宋"/>
          <w:b w:val="0"/>
          <w:bCs w:val="0"/>
          <w:color w:val="000000"/>
          <w:sz w:val="30"/>
          <w:szCs w:val="30"/>
        </w:rPr>
        <w:t>支出决算为</w:t>
      </w:r>
      <w:r>
        <w:rPr>
          <w:rStyle w:val="14"/>
          <w:rFonts w:ascii="仿宋" w:hAnsi="仿宋" w:eastAsia="仿宋" w:cs="仿宋"/>
          <w:b w:val="0"/>
          <w:bCs w:val="0"/>
          <w:color w:val="000000"/>
          <w:sz w:val="30"/>
          <w:szCs w:val="30"/>
        </w:rPr>
        <w:t>193.03</w:t>
      </w:r>
      <w:r>
        <w:rPr>
          <w:rStyle w:val="14"/>
          <w:rFonts w:hint="eastAsia" w:ascii="仿宋" w:hAnsi="仿宋" w:eastAsia="仿宋" w:cs="仿宋"/>
          <w:b w:val="0"/>
          <w:bCs w:val="0"/>
          <w:color w:val="000000"/>
          <w:sz w:val="30"/>
          <w:szCs w:val="30"/>
        </w:rPr>
        <w:t>万元，完成预算</w:t>
      </w:r>
      <w:r>
        <w:rPr>
          <w:rStyle w:val="14"/>
          <w:rFonts w:ascii="仿宋" w:hAnsi="仿宋" w:eastAsia="仿宋" w:cs="仿宋"/>
          <w:b w:val="0"/>
          <w:bCs w:val="0"/>
          <w:color w:val="000000"/>
          <w:sz w:val="30"/>
          <w:szCs w:val="30"/>
        </w:rPr>
        <w:t>100%</w:t>
      </w:r>
      <w:r>
        <w:rPr>
          <w:rStyle w:val="14"/>
          <w:rFonts w:hint="eastAsia" w:ascii="仿宋" w:hAnsi="仿宋" w:eastAsia="仿宋" w:cs="仿宋"/>
          <w:b w:val="0"/>
          <w:bCs w:val="0"/>
          <w:color w:val="000000"/>
          <w:sz w:val="30"/>
          <w:szCs w:val="30"/>
        </w:rPr>
        <w:t>。</w:t>
      </w:r>
    </w:p>
    <w:p>
      <w:pPr>
        <w:spacing w:line="500" w:lineRule="exact"/>
        <w:ind w:firstLine="602" w:firstLineChars="200"/>
        <w:rPr>
          <w:rFonts w:ascii="仿宋" w:hAnsi="仿宋" w:eastAsia="仿宋"/>
          <w:b/>
          <w:bCs/>
          <w:color w:val="000000"/>
          <w:sz w:val="30"/>
          <w:szCs w:val="30"/>
        </w:rPr>
      </w:pPr>
      <w:r>
        <w:rPr>
          <w:rStyle w:val="14"/>
          <w:rFonts w:ascii="仿宋" w:hAnsi="仿宋" w:eastAsia="仿宋" w:cs="仿宋"/>
          <w:color w:val="000000"/>
          <w:sz w:val="30"/>
          <w:szCs w:val="30"/>
        </w:rPr>
        <w:t>3.</w:t>
      </w:r>
      <w:r>
        <w:rPr>
          <w:rFonts w:hint="eastAsia" w:ascii="仿宋" w:hAnsi="仿宋" w:eastAsia="仿宋" w:cs="仿宋"/>
          <w:b/>
          <w:bCs/>
          <w:color w:val="000000"/>
          <w:sz w:val="30"/>
          <w:szCs w:val="30"/>
        </w:rPr>
        <w:t>卫生健康</w:t>
      </w:r>
      <w:r>
        <w:rPr>
          <w:rStyle w:val="14"/>
          <w:rFonts w:hint="eastAsia" w:ascii="仿宋" w:hAnsi="仿宋" w:eastAsia="仿宋" w:cs="仿宋"/>
          <w:color w:val="000000"/>
          <w:sz w:val="30"/>
          <w:szCs w:val="30"/>
        </w:rPr>
        <w:t>（类）行政事业单位医疗（款）行政及事业单位医疗保险缴费（项）</w:t>
      </w:r>
      <w:r>
        <w:rPr>
          <w:rStyle w:val="14"/>
          <w:rFonts w:ascii="仿宋" w:hAnsi="仿宋" w:eastAsia="仿宋" w:cs="仿宋"/>
          <w:color w:val="000000"/>
          <w:sz w:val="30"/>
          <w:szCs w:val="30"/>
        </w:rPr>
        <w:t>:</w:t>
      </w:r>
      <w:r>
        <w:rPr>
          <w:rStyle w:val="14"/>
          <w:rFonts w:hint="eastAsia" w:ascii="仿宋" w:hAnsi="仿宋" w:eastAsia="仿宋" w:cs="仿宋"/>
          <w:b w:val="0"/>
          <w:bCs w:val="0"/>
          <w:color w:val="000000"/>
          <w:sz w:val="30"/>
          <w:szCs w:val="30"/>
        </w:rPr>
        <w:t>支出决算为</w:t>
      </w:r>
      <w:r>
        <w:rPr>
          <w:rStyle w:val="14"/>
          <w:rFonts w:ascii="仿宋" w:hAnsi="仿宋" w:eastAsia="仿宋" w:cs="仿宋"/>
          <w:b w:val="0"/>
          <w:bCs w:val="0"/>
          <w:color w:val="000000"/>
          <w:sz w:val="30"/>
          <w:szCs w:val="30"/>
        </w:rPr>
        <w:t>72.81</w:t>
      </w:r>
      <w:r>
        <w:rPr>
          <w:rStyle w:val="14"/>
          <w:rFonts w:hint="eastAsia" w:ascii="仿宋" w:hAnsi="仿宋" w:eastAsia="仿宋" w:cs="仿宋"/>
          <w:b w:val="0"/>
          <w:bCs w:val="0"/>
          <w:color w:val="000000"/>
          <w:sz w:val="30"/>
          <w:szCs w:val="30"/>
        </w:rPr>
        <w:t>万元，完成预算</w:t>
      </w:r>
      <w:r>
        <w:rPr>
          <w:rStyle w:val="14"/>
          <w:rFonts w:ascii="仿宋" w:hAnsi="仿宋" w:eastAsia="仿宋" w:cs="仿宋"/>
          <w:b w:val="0"/>
          <w:bCs w:val="0"/>
          <w:color w:val="000000"/>
          <w:sz w:val="30"/>
          <w:szCs w:val="30"/>
        </w:rPr>
        <w:t>100%</w:t>
      </w:r>
      <w:r>
        <w:rPr>
          <w:rStyle w:val="14"/>
          <w:rFonts w:hint="eastAsia" w:ascii="仿宋" w:hAnsi="仿宋" w:eastAsia="仿宋" w:cs="仿宋"/>
          <w:b w:val="0"/>
          <w:bCs w:val="0"/>
          <w:color w:val="000000"/>
          <w:sz w:val="30"/>
          <w:szCs w:val="30"/>
        </w:rPr>
        <w:t>。</w:t>
      </w:r>
    </w:p>
    <w:p>
      <w:pPr>
        <w:spacing w:line="500" w:lineRule="exact"/>
        <w:ind w:firstLine="600" w:firstLineChars="200"/>
        <w:rPr>
          <w:rFonts w:ascii="仿宋_GB2312" w:hAnsi="仿宋" w:eastAsia="仿宋_GB2312"/>
          <w:color w:val="000000"/>
          <w:sz w:val="30"/>
          <w:szCs w:val="30"/>
        </w:rPr>
      </w:pPr>
      <w:r>
        <w:rPr>
          <w:rFonts w:hint="eastAsia" w:ascii="仿宋_GB2312" w:hAnsi="仿宋" w:eastAsia="仿宋_GB2312" w:cs="仿宋_GB2312"/>
          <w:color w:val="000000"/>
          <w:sz w:val="30"/>
          <w:szCs w:val="30"/>
        </w:rPr>
        <w:t>4</w:t>
      </w:r>
      <w:r>
        <w:rPr>
          <w:rFonts w:ascii="仿宋_GB2312" w:hAnsi="仿宋" w:eastAsia="仿宋_GB2312" w:cs="仿宋_GB2312"/>
          <w:color w:val="000000"/>
          <w:sz w:val="30"/>
          <w:szCs w:val="30"/>
        </w:rPr>
        <w:t>.</w:t>
      </w:r>
      <w:r>
        <w:rPr>
          <w:rFonts w:hint="eastAsia" w:ascii="仿宋_GB2312" w:hAnsi="仿宋" w:eastAsia="仿宋_GB2312" w:cs="仿宋_GB2312"/>
          <w:b/>
          <w:color w:val="000000"/>
          <w:sz w:val="30"/>
          <w:szCs w:val="30"/>
        </w:rPr>
        <w:t>自然资源海洋气象等（类）自然资源事务（款</w:t>
      </w:r>
      <w:r>
        <w:rPr>
          <w:rFonts w:ascii="仿宋_GB2312" w:hAnsi="仿宋" w:eastAsia="仿宋_GB2312" w:cs="仿宋_GB2312"/>
          <w:b/>
          <w:color w:val="000000"/>
          <w:sz w:val="30"/>
          <w:szCs w:val="30"/>
        </w:rPr>
        <w:t>)</w:t>
      </w:r>
      <w:r>
        <w:rPr>
          <w:rFonts w:hint="eastAsia" w:ascii="仿宋_GB2312" w:hAnsi="仿宋" w:eastAsia="仿宋_GB2312" w:cs="仿宋_GB2312"/>
          <w:b/>
          <w:color w:val="000000"/>
          <w:sz w:val="30"/>
          <w:szCs w:val="30"/>
        </w:rPr>
        <w:t>行政运行、一般行政管理事务、国土整治、事业运行、其他自然资源事务支出（项）</w:t>
      </w:r>
      <w:r>
        <w:rPr>
          <w:rFonts w:hint="eastAsia" w:ascii="仿宋_GB2312" w:hAnsi="仿宋" w:eastAsia="仿宋_GB2312" w:cs="仿宋_GB2312"/>
          <w:color w:val="000000"/>
          <w:sz w:val="30"/>
          <w:szCs w:val="30"/>
        </w:rPr>
        <w:t>，支出决算</w:t>
      </w:r>
      <w:r>
        <w:rPr>
          <w:rFonts w:ascii="仿宋_GB2312" w:hAnsi="仿宋" w:eastAsia="仿宋_GB2312" w:cs="仿宋_GB2312"/>
          <w:color w:val="000000"/>
          <w:sz w:val="30"/>
          <w:szCs w:val="30"/>
        </w:rPr>
        <w:t>3446.09</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59.64%</w:t>
      </w:r>
      <w:r>
        <w:rPr>
          <w:rFonts w:hint="eastAsia" w:ascii="仿宋_GB2312" w:hAnsi="仿宋" w:eastAsia="仿宋_GB2312" w:cs="仿宋_GB2312"/>
          <w:color w:val="000000"/>
          <w:sz w:val="30"/>
          <w:szCs w:val="30"/>
        </w:rPr>
        <w:t>，决算数小于预算数是因为局机关及直属事业单位的有些项目是跨年度项目，财政当年年底才下达，由以后年度陆续支付。其中：</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行政运行</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842.80</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80%</w:t>
      </w:r>
      <w:r>
        <w:rPr>
          <w:rFonts w:hint="eastAsia" w:ascii="仿宋_GB2312" w:hAnsi="仿宋" w:eastAsia="仿宋_GB2312" w:cs="仿宋_GB2312"/>
          <w:color w:val="000000"/>
          <w:sz w:val="30"/>
          <w:szCs w:val="30"/>
        </w:rPr>
        <w:t>，决算数小于预算数是因为存在以前年度暂收暂付款项。</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一般行政管理事务：</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123.76</w:t>
      </w:r>
      <w:r>
        <w:rPr>
          <w:rFonts w:hint="eastAsia" w:ascii="仿宋_GB2312" w:hAnsi="仿宋" w:eastAsia="仿宋_GB2312" w:cs="仿宋_GB2312"/>
          <w:color w:val="000000"/>
          <w:sz w:val="30"/>
          <w:szCs w:val="30"/>
        </w:rPr>
        <w:t>万元，完成预算100% 。</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国土整治：</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275.66</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22.38%</w:t>
      </w:r>
      <w:r>
        <w:rPr>
          <w:rFonts w:hint="eastAsia" w:ascii="仿宋_GB2312" w:hAnsi="仿宋" w:eastAsia="仿宋_GB2312" w:cs="仿宋_GB2312"/>
          <w:color w:val="000000"/>
          <w:sz w:val="30"/>
          <w:szCs w:val="30"/>
        </w:rPr>
        <w:t>，决算数小于预算数一是因为</w:t>
      </w:r>
      <w:r>
        <w:rPr>
          <w:rFonts w:ascii="仿宋_GB2312" w:hAnsi="仿宋" w:eastAsia="仿宋_GB2312" w:cs="仿宋_GB2312"/>
          <w:color w:val="000000"/>
          <w:sz w:val="30"/>
          <w:szCs w:val="30"/>
        </w:rPr>
        <w:t>2017</w:t>
      </w:r>
      <w:r>
        <w:rPr>
          <w:rFonts w:hint="eastAsia" w:ascii="仿宋_GB2312" w:hAnsi="仿宋" w:eastAsia="仿宋_GB2312" w:cs="仿宋_GB2312"/>
          <w:color w:val="000000"/>
          <w:sz w:val="30"/>
          <w:szCs w:val="30"/>
        </w:rPr>
        <w:t>年财政拨给我局局机关市级第一批土地整理项目</w:t>
      </w:r>
      <w:r>
        <w:rPr>
          <w:rFonts w:ascii="仿宋_GB2312" w:hAnsi="仿宋" w:eastAsia="仿宋_GB2312" w:cs="仿宋_GB2312"/>
          <w:color w:val="000000"/>
          <w:sz w:val="30"/>
          <w:szCs w:val="30"/>
        </w:rPr>
        <w:t>808</w:t>
      </w:r>
      <w:r>
        <w:rPr>
          <w:rFonts w:hint="eastAsia" w:ascii="仿宋_GB2312" w:hAnsi="仿宋" w:eastAsia="仿宋_GB2312" w:cs="仿宋_GB2312"/>
          <w:color w:val="000000"/>
          <w:sz w:val="30"/>
          <w:szCs w:val="30"/>
        </w:rPr>
        <w:t>万元因为各种原因未支付出去，</w:t>
      </w:r>
      <w:r>
        <w:rPr>
          <w:rFonts w:ascii="仿宋_GB2312" w:hAnsi="仿宋" w:eastAsia="仿宋_GB2312" w:cs="仿宋_GB2312"/>
          <w:color w:val="000000"/>
          <w:sz w:val="30"/>
          <w:szCs w:val="30"/>
        </w:rPr>
        <w:t>2020</w:t>
      </w:r>
      <w:r>
        <w:rPr>
          <w:rFonts w:hint="eastAsia" w:ascii="仿宋_GB2312" w:hAnsi="仿宋" w:eastAsia="仿宋_GB2312" w:cs="仿宋_GB2312"/>
          <w:color w:val="000000"/>
          <w:sz w:val="30"/>
          <w:szCs w:val="30"/>
        </w:rPr>
        <w:t>年年初财政已收回；二是土地整理项目专项资金都是跨年度项目且年底下达资金，当年未支付，以后年度陆续支付。</w:t>
      </w:r>
    </w:p>
    <w:p>
      <w:pPr>
        <w:spacing w:line="500" w:lineRule="exact"/>
        <w:ind w:firstLine="600" w:firstLineChars="200"/>
        <w:rPr>
          <w:rFonts w:ascii="仿宋_GB2312" w:hAnsi="仿宋" w:eastAsia="仿宋_GB2312"/>
          <w:color w:val="000000"/>
          <w:sz w:val="30"/>
          <w:szCs w:val="30"/>
        </w:rPr>
      </w:pPr>
      <w:r>
        <w:rPr>
          <w:rFonts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事业运行</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1060.22</w:t>
      </w:r>
      <w:r>
        <w:rPr>
          <w:rFonts w:hint="eastAsia" w:ascii="仿宋_GB2312" w:hAnsi="仿宋" w:eastAsia="仿宋_GB2312" w:cs="仿宋_GB2312"/>
          <w:color w:val="000000"/>
          <w:sz w:val="30"/>
          <w:szCs w:val="30"/>
        </w:rPr>
        <w:t>万元，决算数与预算数持平。</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其他自然资源事务支出</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1143.65</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72.85%</w:t>
      </w:r>
      <w:r>
        <w:rPr>
          <w:rFonts w:hint="eastAsia" w:ascii="仿宋_GB2312" w:hAnsi="仿宋" w:eastAsia="仿宋_GB2312" w:cs="仿宋_GB2312"/>
          <w:color w:val="000000"/>
          <w:sz w:val="30"/>
          <w:szCs w:val="30"/>
        </w:rPr>
        <w:t>，预算数小于决算数是因为不动产场馆建设及其他项目属于跨年度项目，本年度按进度拨款。</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住房保障支出</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214.09</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87.85%</w:t>
      </w:r>
      <w:r>
        <w:rPr>
          <w:rFonts w:hint="eastAsia" w:ascii="仿宋_GB2312" w:hAnsi="仿宋" w:eastAsia="仿宋_GB2312" w:cs="仿宋_GB2312"/>
          <w:color w:val="000000"/>
          <w:sz w:val="30"/>
          <w:szCs w:val="30"/>
        </w:rPr>
        <w:t>，预算数小于决算数是因为引进人才安家及生活补助费因博士生未就职，</w:t>
      </w:r>
      <w:r>
        <w:rPr>
          <w:rFonts w:ascii="仿宋_GB2312" w:hAnsi="仿宋" w:eastAsia="仿宋_GB2312" w:cs="仿宋_GB2312"/>
          <w:color w:val="000000"/>
          <w:sz w:val="30"/>
          <w:szCs w:val="30"/>
        </w:rPr>
        <w:t>2020</w:t>
      </w:r>
      <w:r>
        <w:rPr>
          <w:rFonts w:hint="eastAsia" w:ascii="仿宋_GB2312" w:hAnsi="仿宋" w:eastAsia="仿宋_GB2312" w:cs="仿宋_GB2312"/>
          <w:color w:val="000000"/>
          <w:sz w:val="30"/>
          <w:szCs w:val="30"/>
        </w:rPr>
        <w:t>年年初财政已收回。其中：</w:t>
      </w:r>
    </w:p>
    <w:p>
      <w:pPr>
        <w:spacing w:line="500" w:lineRule="exact"/>
        <w:ind w:firstLine="602" w:firstLineChars="200"/>
        <w:rPr>
          <w:rFonts w:ascii="仿宋_GB2312" w:hAnsi="仿宋" w:eastAsia="仿宋_GB2312"/>
          <w:color w:val="000000"/>
          <w:sz w:val="30"/>
          <w:szCs w:val="30"/>
        </w:rPr>
      </w:pPr>
      <w:r>
        <w:rPr>
          <w:rFonts w:hint="eastAsia" w:ascii="仿宋_GB2312" w:hAnsi="仿宋" w:eastAsia="仿宋_GB2312" w:cs="仿宋_GB2312"/>
          <w:b/>
          <w:color w:val="000000"/>
          <w:sz w:val="30"/>
          <w:szCs w:val="30"/>
        </w:rPr>
        <w:t>住房公积金支出</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164.89</w:t>
      </w:r>
      <w:r>
        <w:rPr>
          <w:rFonts w:hint="eastAsia" w:ascii="仿宋_GB2312" w:hAnsi="仿宋" w:eastAsia="仿宋_GB2312" w:cs="仿宋_GB2312"/>
          <w:color w:val="000000"/>
          <w:sz w:val="30"/>
          <w:szCs w:val="30"/>
        </w:rPr>
        <w:t>万元，完成预算100% 。</w:t>
      </w:r>
    </w:p>
    <w:p>
      <w:pPr>
        <w:spacing w:line="500" w:lineRule="exact"/>
        <w:ind w:firstLine="602" w:firstLineChars="200"/>
        <w:rPr>
          <w:rFonts w:ascii="仿宋_GB2312" w:hAnsi="仿宋" w:eastAsia="仿宋_GB2312"/>
          <w:b/>
          <w:bCs/>
          <w:color w:val="FF0000"/>
          <w:sz w:val="30"/>
          <w:szCs w:val="30"/>
        </w:rPr>
      </w:pPr>
      <w:r>
        <w:rPr>
          <w:rFonts w:hint="eastAsia" w:ascii="仿宋_GB2312" w:hAnsi="仿宋" w:eastAsia="仿宋_GB2312" w:cs="仿宋_GB2312"/>
          <w:b/>
          <w:color w:val="000000"/>
          <w:sz w:val="30"/>
          <w:szCs w:val="30"/>
        </w:rPr>
        <w:t>购房补贴支出</w:t>
      </w:r>
      <w:r>
        <w:rPr>
          <w:rFonts w:hint="eastAsia" w:ascii="仿宋_GB2312" w:hAnsi="仿宋" w:eastAsia="仿宋_GB2312" w:cs="仿宋_GB2312"/>
          <w:color w:val="000000"/>
          <w:sz w:val="30"/>
          <w:szCs w:val="30"/>
        </w:rPr>
        <w:t>：支出决算数</w:t>
      </w:r>
      <w:r>
        <w:rPr>
          <w:rFonts w:ascii="仿宋_GB2312" w:hAnsi="仿宋" w:eastAsia="仿宋_GB2312" w:cs="仿宋_GB2312"/>
          <w:color w:val="000000"/>
          <w:sz w:val="30"/>
          <w:szCs w:val="30"/>
        </w:rPr>
        <w:t>49.20</w:t>
      </w:r>
      <w:r>
        <w:rPr>
          <w:rFonts w:hint="eastAsia" w:ascii="仿宋_GB2312" w:hAnsi="仿宋" w:eastAsia="仿宋_GB2312" w:cs="仿宋_GB2312"/>
          <w:color w:val="000000"/>
          <w:sz w:val="30"/>
          <w:szCs w:val="30"/>
        </w:rPr>
        <w:t>万元，完成预算</w:t>
      </w:r>
      <w:r>
        <w:rPr>
          <w:rFonts w:ascii="仿宋_GB2312" w:hAnsi="仿宋" w:eastAsia="仿宋_GB2312" w:cs="仿宋_GB2312"/>
          <w:color w:val="000000"/>
          <w:sz w:val="30"/>
          <w:szCs w:val="30"/>
        </w:rPr>
        <w:t>72.67%</w:t>
      </w:r>
      <w:r>
        <w:rPr>
          <w:rFonts w:hint="eastAsia" w:ascii="仿宋_GB2312" w:hAnsi="仿宋" w:eastAsia="仿宋_GB2312" w:cs="仿宋_GB2312"/>
          <w:color w:val="000000"/>
          <w:sz w:val="30"/>
          <w:szCs w:val="30"/>
        </w:rPr>
        <w:t>。</w:t>
      </w:r>
    </w:p>
    <w:p>
      <w:pPr>
        <w:tabs>
          <w:tab w:val="right" w:pos="8306"/>
        </w:tabs>
        <w:spacing w:line="500" w:lineRule="exact"/>
        <w:ind w:firstLine="640"/>
        <w:outlineLvl w:val="1"/>
        <w:rPr>
          <w:rStyle w:val="18"/>
          <w:b w:val="0"/>
          <w:sz w:val="30"/>
          <w:szCs w:val="30"/>
        </w:rPr>
      </w:pPr>
      <w:bookmarkStart w:id="41" w:name="_Toc15396608"/>
      <w:bookmarkStart w:id="42" w:name="_Toc15377214"/>
      <w:r>
        <w:rPr>
          <w:rFonts w:hint="eastAsia" w:ascii="黑体" w:eastAsia="黑体" w:cs="黑体"/>
          <w:b/>
          <w:color w:val="000000"/>
          <w:sz w:val="30"/>
          <w:szCs w:val="30"/>
        </w:rPr>
        <w:t>六</w:t>
      </w:r>
      <w:r>
        <w:rPr>
          <w:rFonts w:hint="eastAsia" w:ascii="黑体" w:eastAsia="黑体" w:cs="黑体"/>
          <w:b/>
          <w:bCs/>
          <w:color w:val="000000"/>
          <w:sz w:val="30"/>
          <w:szCs w:val="30"/>
        </w:rPr>
        <w:t>、</w:t>
      </w:r>
      <w:r>
        <w:rPr>
          <w:rFonts w:hint="eastAsia" w:ascii="黑体" w:hAnsi="黑体" w:eastAsia="黑体" w:cs="黑体"/>
          <w:b/>
          <w:bCs/>
          <w:color w:val="000000"/>
          <w:sz w:val="30"/>
          <w:szCs w:val="30"/>
        </w:rPr>
        <w:t>一</w:t>
      </w:r>
      <w:r>
        <w:rPr>
          <w:rStyle w:val="18"/>
          <w:rFonts w:hint="eastAsia" w:ascii="黑体" w:hAnsi="黑体" w:eastAsia="黑体" w:cs="黑体"/>
          <w:b w:val="0"/>
          <w:bCs w:val="0"/>
          <w:sz w:val="30"/>
          <w:szCs w:val="30"/>
        </w:rPr>
        <w:t>般公共预算财政拨款基本支出决算情况说明</w:t>
      </w:r>
      <w:bookmarkEnd w:id="41"/>
      <w:bookmarkEnd w:id="42"/>
      <w:r>
        <w:rPr>
          <w:rStyle w:val="18"/>
          <w:rFonts w:ascii="黑体" w:hAnsi="黑体" w:eastAsia="黑体" w:cs="Times New Roman"/>
          <w:b w:val="0"/>
          <w:bCs w:val="0"/>
          <w:sz w:val="30"/>
          <w:szCs w:val="30"/>
        </w:rPr>
        <w:tab/>
      </w:r>
    </w:p>
    <w:p>
      <w:pPr>
        <w:spacing w:line="500" w:lineRule="exact"/>
        <w:ind w:firstLine="645"/>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年一般公共预算财政拨款基本支出</w:t>
      </w:r>
      <w:r>
        <w:rPr>
          <w:rFonts w:ascii="仿宋_GB2312" w:hAnsi="仿宋" w:eastAsia="仿宋_GB2312" w:cs="仿宋_GB2312"/>
          <w:color w:val="000000"/>
          <w:sz w:val="30"/>
          <w:szCs w:val="30"/>
        </w:rPr>
        <w:t>2551.77</w:t>
      </w:r>
      <w:r>
        <w:rPr>
          <w:rFonts w:hint="eastAsia" w:ascii="仿宋_GB2312" w:hAnsi="仿宋" w:eastAsia="仿宋_GB2312" w:cs="仿宋_GB2312"/>
          <w:color w:val="000000"/>
          <w:sz w:val="30"/>
          <w:szCs w:val="30"/>
        </w:rPr>
        <w:t>万元，其中：</w:t>
      </w:r>
    </w:p>
    <w:p>
      <w:pPr>
        <w:spacing w:line="500" w:lineRule="exact"/>
        <w:ind w:firstLine="645"/>
        <w:rPr>
          <w:rFonts w:ascii="仿宋_GB2312" w:hAnsi="仿宋" w:eastAsia="仿宋_GB2312"/>
          <w:color w:val="000000"/>
          <w:sz w:val="30"/>
          <w:szCs w:val="30"/>
        </w:rPr>
      </w:pPr>
      <w:r>
        <w:rPr>
          <w:rFonts w:hint="eastAsia" w:ascii="仿宋_GB2312" w:hAnsi="仿宋" w:eastAsia="仿宋_GB2312" w:cs="仿宋_GB2312"/>
          <w:color w:val="000000"/>
          <w:sz w:val="30"/>
          <w:szCs w:val="30"/>
        </w:rPr>
        <w:t>人员经费</w:t>
      </w:r>
      <w:r>
        <w:rPr>
          <w:rFonts w:ascii="仿宋_GB2312" w:hAnsi="仿宋" w:eastAsia="仿宋_GB2312" w:cs="仿宋_GB2312"/>
          <w:color w:val="000000"/>
          <w:sz w:val="30"/>
          <w:szCs w:val="30"/>
        </w:rPr>
        <w:t>2105.91</w:t>
      </w:r>
      <w:r>
        <w:rPr>
          <w:rFonts w:hint="eastAsia" w:ascii="仿宋_GB2312" w:hAnsi="仿宋" w:eastAsia="仿宋_GB2312" w:cs="仿宋_GB2312"/>
          <w:color w:val="000000"/>
          <w:sz w:val="30"/>
          <w:szCs w:val="30"/>
        </w:rPr>
        <w:t>万元，主要包括：基本工资、津贴补贴、奖金、绩效工资、机关事业单位基本养老保险缴费、职业年金缴费、职工基本医疗保险费</w:t>
      </w:r>
      <w:r>
        <w:rPr>
          <w:rFonts w:hint="eastAsia" w:ascii="仿宋_GB2312" w:hAnsi="仿宋" w:eastAsia="仿宋_GB2312" w:cs="仿宋_GB2312"/>
          <w:color w:val="000000"/>
          <w:sz w:val="30"/>
          <w:szCs w:val="30"/>
          <w:lang w:eastAsia="zh-CN"/>
        </w:rPr>
        <w:t>、</w:t>
      </w:r>
      <w:r>
        <w:rPr>
          <w:rFonts w:hint="eastAsia" w:ascii="仿宋_GB2312" w:hAnsi="仿宋" w:eastAsia="仿宋_GB2312" w:cs="仿宋_GB2312"/>
          <w:color w:val="000000"/>
          <w:sz w:val="30"/>
          <w:szCs w:val="30"/>
        </w:rPr>
        <w:t>其他社会保障缴费、其他工资福利支出、抚恤金、生活补助、奖励金、住房公积金、其他对个人和家庭的补助支出等。</w:t>
      </w:r>
      <w:r>
        <w:rPr>
          <w:rFonts w:ascii="仿宋_GB2312" w:hAnsi="仿宋" w:eastAsia="仿宋_GB2312"/>
          <w:color w:val="000000"/>
          <w:sz w:val="30"/>
          <w:szCs w:val="30"/>
        </w:rPr>
        <w:br w:type="textWrapping"/>
      </w:r>
      <w:r>
        <w:rPr>
          <w:rFonts w:hint="eastAsia" w:ascii="仿宋_GB2312" w:hAnsi="仿宋" w:eastAsia="仿宋_GB2312" w:cs="仿宋_GB2312"/>
          <w:color w:val="000000"/>
          <w:sz w:val="30"/>
          <w:szCs w:val="30"/>
        </w:rPr>
        <w:t>　　日常公用经费</w:t>
      </w:r>
      <w:r>
        <w:rPr>
          <w:rFonts w:ascii="仿宋_GB2312" w:hAnsi="仿宋" w:eastAsia="仿宋_GB2312" w:cs="仿宋_GB2312"/>
          <w:color w:val="000000"/>
          <w:sz w:val="30"/>
          <w:szCs w:val="30"/>
        </w:rPr>
        <w:t>445.86</w:t>
      </w:r>
      <w:r>
        <w:rPr>
          <w:rFonts w:hint="eastAsia" w:ascii="仿宋_GB2312" w:hAnsi="仿宋" w:eastAsia="仿宋_GB2312" w:cs="仿宋_GB2312"/>
          <w:color w:val="000000"/>
          <w:sz w:val="30"/>
          <w:szCs w:val="30"/>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等。</w:t>
      </w:r>
    </w:p>
    <w:p>
      <w:pPr>
        <w:spacing w:line="500" w:lineRule="exact"/>
        <w:ind w:firstLine="640"/>
        <w:outlineLvl w:val="1"/>
        <w:rPr>
          <w:rStyle w:val="18"/>
          <w:rFonts w:ascii="黑体" w:hAnsi="黑体" w:eastAsia="黑体" w:cs="Times New Roman"/>
          <w:b w:val="0"/>
          <w:bCs w:val="0"/>
          <w:sz w:val="30"/>
          <w:szCs w:val="30"/>
        </w:rPr>
      </w:pPr>
      <w:bookmarkStart w:id="43" w:name="_Toc15377215"/>
      <w:bookmarkStart w:id="44" w:name="_Toc15396609"/>
      <w:r>
        <w:rPr>
          <w:rFonts w:hint="eastAsia" w:ascii="黑体" w:eastAsia="黑体" w:cs="黑体"/>
          <w:color w:val="000000"/>
          <w:sz w:val="30"/>
          <w:szCs w:val="30"/>
        </w:rPr>
        <w:t>七、</w:t>
      </w:r>
      <w:r>
        <w:rPr>
          <w:rStyle w:val="18"/>
          <w:rFonts w:hint="eastAsia" w:ascii="黑体" w:hAnsi="黑体" w:eastAsia="黑体" w:cs="黑体"/>
          <w:sz w:val="30"/>
          <w:szCs w:val="30"/>
        </w:rPr>
        <w:t>“</w:t>
      </w:r>
      <w:r>
        <w:rPr>
          <w:rStyle w:val="18"/>
          <w:rFonts w:hint="eastAsia" w:ascii="黑体" w:hAnsi="黑体" w:eastAsia="黑体" w:cs="黑体"/>
          <w:b w:val="0"/>
          <w:bCs w:val="0"/>
          <w:sz w:val="30"/>
          <w:szCs w:val="30"/>
        </w:rPr>
        <w:t>三公”经费财政拨款支出决算情况说明</w:t>
      </w:r>
      <w:bookmarkEnd w:id="43"/>
      <w:bookmarkEnd w:id="44"/>
    </w:p>
    <w:p>
      <w:pPr>
        <w:spacing w:line="500" w:lineRule="exact"/>
        <w:ind w:firstLine="640"/>
        <w:outlineLvl w:val="2"/>
        <w:rPr>
          <w:rFonts w:ascii="仿宋" w:hAnsi="仿宋" w:eastAsia="仿宋"/>
          <w:b/>
          <w:bCs/>
          <w:color w:val="000000"/>
          <w:sz w:val="30"/>
          <w:szCs w:val="30"/>
        </w:rPr>
      </w:pPr>
      <w:bookmarkStart w:id="45" w:name="_Toc15377216"/>
      <w:r>
        <w:rPr>
          <w:rFonts w:hint="eastAsia" w:ascii="仿宋" w:hAnsi="仿宋" w:eastAsia="仿宋" w:cs="仿宋"/>
          <w:b/>
          <w:bCs/>
          <w:color w:val="000000"/>
          <w:sz w:val="30"/>
          <w:szCs w:val="30"/>
        </w:rPr>
        <w:t>（一）“三公”经费财政拨款支出决算总体情况说明</w:t>
      </w:r>
      <w:bookmarkEnd w:id="45"/>
    </w:p>
    <w:p>
      <w:pPr>
        <w:spacing w:line="500" w:lineRule="exact"/>
        <w:ind w:firstLine="640"/>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年“三公”经费财政拨款支出决算为66.00万元，完成预算79.59%。</w:t>
      </w:r>
    </w:p>
    <w:p>
      <w:pPr>
        <w:spacing w:line="500" w:lineRule="exact"/>
        <w:ind w:firstLine="640"/>
        <w:outlineLvl w:val="2"/>
        <w:rPr>
          <w:rFonts w:ascii="仿宋" w:hAnsi="仿宋" w:eastAsia="仿宋"/>
          <w:b/>
          <w:bCs/>
          <w:color w:val="000000"/>
          <w:sz w:val="30"/>
          <w:szCs w:val="30"/>
        </w:rPr>
      </w:pPr>
      <w:bookmarkStart w:id="46" w:name="_Toc15377217"/>
      <w:r>
        <w:rPr>
          <w:rFonts w:hint="eastAsia" w:ascii="仿宋" w:hAnsi="仿宋" w:eastAsia="仿宋" w:cs="仿宋"/>
          <w:b/>
          <w:bCs/>
          <w:color w:val="000000"/>
          <w:sz w:val="30"/>
          <w:szCs w:val="30"/>
        </w:rPr>
        <w:t>（二）“三公”经费财政拨款支出决算具体情况说明</w:t>
      </w:r>
      <w:bookmarkEnd w:id="46"/>
    </w:p>
    <w:p>
      <w:pPr>
        <w:spacing w:line="500" w:lineRule="exact"/>
        <w:ind w:firstLine="640"/>
        <w:rPr>
          <w:rFonts w:ascii="仿宋_GB2312" w:hAnsi="仿宋" w:eastAsia="仿宋_GB2312"/>
          <w:color w:val="000000"/>
          <w:sz w:val="30"/>
          <w:szCs w:val="30"/>
        </w:rPr>
      </w:pPr>
      <w:r>
        <w:rPr>
          <w:rFonts w:ascii="仿宋_GB2312" w:hAnsi="仿宋" w:eastAsia="仿宋_GB2312" w:cs="仿宋_GB2312"/>
          <w:color w:val="000000"/>
          <w:sz w:val="30"/>
          <w:szCs w:val="30"/>
        </w:rPr>
        <w:t>2019</w:t>
      </w:r>
      <w:r>
        <w:rPr>
          <w:rFonts w:hint="eastAsia" w:ascii="仿宋_GB2312" w:hAnsi="仿宋" w:eastAsia="仿宋_GB2312" w:cs="仿宋_GB2312"/>
          <w:color w:val="000000"/>
          <w:sz w:val="30"/>
          <w:szCs w:val="30"/>
        </w:rPr>
        <w:t>年“三公”经费财政拨款支出决算中，因公出国（境）费支出决算</w:t>
      </w:r>
      <w:r>
        <w:rPr>
          <w:rFonts w:ascii="仿宋_GB2312" w:hAnsi="仿宋" w:eastAsia="仿宋_GB2312" w:cs="仿宋_GB2312"/>
          <w:color w:val="000000"/>
          <w:sz w:val="30"/>
          <w:szCs w:val="30"/>
        </w:rPr>
        <w:t>10.93</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13.05%</w:t>
      </w:r>
      <w:r>
        <w:rPr>
          <w:rFonts w:hint="eastAsia" w:ascii="仿宋_GB2312" w:hAnsi="仿宋" w:eastAsia="仿宋_GB2312" w:cs="仿宋_GB2312"/>
          <w:color w:val="000000"/>
          <w:sz w:val="30"/>
          <w:szCs w:val="30"/>
        </w:rPr>
        <w:t>；公务用车购置及运行维护费支出决算</w:t>
      </w:r>
      <w:r>
        <w:rPr>
          <w:rFonts w:ascii="仿宋_GB2312" w:hAnsi="仿宋" w:eastAsia="仿宋_GB2312" w:cs="仿宋_GB2312"/>
          <w:color w:val="000000"/>
          <w:sz w:val="30"/>
          <w:szCs w:val="30"/>
        </w:rPr>
        <w:t>60.7</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72.49%</w:t>
      </w:r>
      <w:r>
        <w:rPr>
          <w:rFonts w:hint="eastAsia" w:ascii="仿宋_GB2312" w:hAnsi="仿宋" w:eastAsia="仿宋_GB2312" w:cs="仿宋_GB2312"/>
          <w:color w:val="000000"/>
          <w:sz w:val="30"/>
          <w:szCs w:val="30"/>
        </w:rPr>
        <w:t>；公务接待费支出决算</w:t>
      </w:r>
      <w:r>
        <w:rPr>
          <w:rFonts w:ascii="仿宋_GB2312" w:hAnsi="仿宋" w:eastAsia="仿宋_GB2312" w:cs="仿宋_GB2312"/>
          <w:color w:val="000000"/>
          <w:sz w:val="30"/>
          <w:szCs w:val="30"/>
        </w:rPr>
        <w:t>12.11</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14.46%</w:t>
      </w:r>
      <w:r>
        <w:rPr>
          <w:rFonts w:hint="eastAsia" w:ascii="仿宋_GB2312" w:hAnsi="仿宋" w:eastAsia="仿宋_GB2312" w:cs="仿宋_GB2312"/>
          <w:color w:val="000000"/>
          <w:sz w:val="30"/>
          <w:szCs w:val="30"/>
        </w:rPr>
        <w:t>。具体情况如下：</w:t>
      </w:r>
    </w:p>
    <w:p>
      <w:pPr>
        <w:spacing w:line="500" w:lineRule="exact"/>
        <w:ind w:firstLine="640"/>
        <w:rPr>
          <w:rFonts w:ascii="仿宋_GB2312" w:eastAsia="仿宋_GB2312"/>
          <w:b/>
          <w:bCs/>
          <w:color w:val="000000"/>
          <w:sz w:val="30"/>
          <w:szCs w:val="30"/>
        </w:rPr>
      </w:pPr>
      <w:r>
        <w:rPr>
          <w:rFonts w:ascii="仿宋_GB2312" w:eastAsia="仿宋_GB2312" w:cs="仿宋_GB2312"/>
          <w:b/>
          <w:bCs/>
          <w:color w:val="000000"/>
          <w:sz w:val="30"/>
          <w:szCs w:val="30"/>
        </w:rPr>
        <w:t>1.</w:t>
      </w:r>
      <w:r>
        <w:rPr>
          <w:rFonts w:hint="eastAsia" w:ascii="仿宋_GB2312" w:eastAsia="仿宋_GB2312" w:cs="仿宋_GB2312"/>
          <w:b/>
          <w:bCs/>
          <w:color w:val="000000"/>
          <w:sz w:val="30"/>
          <w:szCs w:val="30"/>
        </w:rPr>
        <w:t>因公出国（境）经费支出</w:t>
      </w:r>
      <w:r>
        <w:rPr>
          <w:rFonts w:ascii="仿宋_GB2312" w:eastAsia="仿宋_GB2312" w:cs="仿宋_GB2312"/>
          <w:b/>
          <w:bCs/>
          <w:color w:val="000000"/>
          <w:sz w:val="30"/>
          <w:szCs w:val="30"/>
        </w:rPr>
        <w:t>10.93</w:t>
      </w:r>
      <w:r>
        <w:rPr>
          <w:rFonts w:hint="eastAsia" w:ascii="仿宋_GB2312" w:eastAsia="仿宋_GB2312" w:cs="仿宋_GB2312"/>
          <w:color w:val="000000"/>
          <w:sz w:val="30"/>
          <w:szCs w:val="30"/>
        </w:rPr>
        <w:t>万元，</w:t>
      </w:r>
      <w:r>
        <w:rPr>
          <w:rStyle w:val="14"/>
          <w:rFonts w:hint="eastAsia" w:ascii="仿宋" w:hAnsi="仿宋" w:eastAsia="仿宋" w:cs="仿宋"/>
          <w:b w:val="0"/>
          <w:bCs w:val="0"/>
          <w:color w:val="000000"/>
          <w:sz w:val="30"/>
          <w:szCs w:val="30"/>
        </w:rPr>
        <w:t>完成预算</w:t>
      </w:r>
      <w:r>
        <w:rPr>
          <w:rStyle w:val="14"/>
          <w:rFonts w:ascii="仿宋" w:hAnsi="仿宋" w:eastAsia="仿宋" w:cs="仿宋"/>
          <w:b w:val="0"/>
          <w:bCs w:val="0"/>
          <w:color w:val="000000"/>
          <w:sz w:val="30"/>
          <w:szCs w:val="30"/>
        </w:rPr>
        <w:t>100%</w:t>
      </w:r>
      <w:r>
        <w:rPr>
          <w:rStyle w:val="14"/>
          <w:rFonts w:hint="eastAsia" w:ascii="仿宋" w:hAnsi="仿宋" w:eastAsia="仿宋" w:cs="仿宋"/>
          <w:b w:val="0"/>
          <w:bCs w:val="0"/>
          <w:color w:val="000000"/>
          <w:sz w:val="30"/>
          <w:szCs w:val="30"/>
        </w:rPr>
        <w:t>。</w:t>
      </w:r>
      <w:r>
        <w:rPr>
          <w:rFonts w:hint="eastAsia" w:ascii="仿宋_GB2312" w:eastAsia="仿宋_GB2312" w:cs="仿宋_GB2312"/>
          <w:color w:val="000000"/>
          <w:sz w:val="30"/>
          <w:szCs w:val="30"/>
        </w:rPr>
        <w:t>全年安排因公出国（境）团组</w:t>
      </w:r>
      <w:r>
        <w:rPr>
          <w:rFonts w:ascii="仿宋_GB2312" w:eastAsia="仿宋_GB2312" w:cs="仿宋_GB2312"/>
          <w:color w:val="000000"/>
          <w:sz w:val="30"/>
          <w:szCs w:val="30"/>
        </w:rPr>
        <w:t>2</w:t>
      </w:r>
      <w:r>
        <w:rPr>
          <w:rFonts w:hint="eastAsia" w:ascii="仿宋_GB2312" w:eastAsia="仿宋_GB2312" w:cs="仿宋_GB2312"/>
          <w:color w:val="000000"/>
          <w:sz w:val="30"/>
          <w:szCs w:val="30"/>
        </w:rPr>
        <w:t>次，出国（境）</w:t>
      </w:r>
      <w:r>
        <w:rPr>
          <w:rFonts w:ascii="仿宋_GB2312" w:eastAsia="仿宋_GB2312" w:cs="仿宋_GB2312"/>
          <w:color w:val="000000"/>
          <w:sz w:val="30"/>
          <w:szCs w:val="30"/>
        </w:rPr>
        <w:t>2</w:t>
      </w:r>
      <w:r>
        <w:rPr>
          <w:rFonts w:hint="eastAsia" w:ascii="仿宋_GB2312" w:eastAsia="仿宋_GB2312" w:cs="仿宋_GB2312"/>
          <w:color w:val="000000"/>
          <w:sz w:val="30"/>
          <w:szCs w:val="30"/>
        </w:rPr>
        <w:t>人。因公出国（境）支出决算比</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年增加</w:t>
      </w:r>
      <w:r>
        <w:rPr>
          <w:rFonts w:ascii="仿宋_GB2312" w:eastAsia="仿宋_GB2312" w:cs="仿宋_GB2312"/>
          <w:color w:val="000000"/>
          <w:sz w:val="30"/>
          <w:szCs w:val="30"/>
        </w:rPr>
        <w:t>4.99</w:t>
      </w:r>
      <w:r>
        <w:rPr>
          <w:rFonts w:hint="eastAsia" w:ascii="仿宋_GB2312" w:eastAsia="仿宋_GB2312" w:cs="仿宋_GB2312"/>
          <w:color w:val="000000"/>
          <w:sz w:val="30"/>
          <w:szCs w:val="30"/>
        </w:rPr>
        <w:t>万元，增长</w:t>
      </w:r>
      <w:r>
        <w:rPr>
          <w:rFonts w:ascii="仿宋_GB2312" w:eastAsia="仿宋_GB2312" w:cs="仿宋_GB2312"/>
          <w:color w:val="000000"/>
          <w:sz w:val="30"/>
          <w:szCs w:val="30"/>
        </w:rPr>
        <w:t>84%</w:t>
      </w:r>
      <w:r>
        <w:rPr>
          <w:rFonts w:hint="eastAsia" w:ascii="仿宋_GB2312" w:eastAsia="仿宋_GB2312" w:cs="仿宋_GB2312"/>
          <w:color w:val="000000"/>
          <w:sz w:val="30"/>
          <w:szCs w:val="30"/>
        </w:rPr>
        <w:t>。主要原因是根据工作需要和市政府及省自然资源厅安排考察学习不动产登记及自然资源管理工作。</w:t>
      </w:r>
    </w:p>
    <w:p>
      <w:pPr>
        <w:spacing w:line="500" w:lineRule="exact"/>
        <w:ind w:firstLine="640"/>
        <w:rPr>
          <w:rFonts w:ascii="仿宋_GB2312" w:eastAsia="仿宋_GB2312"/>
          <w:b/>
          <w:bCs/>
          <w:color w:val="000000"/>
          <w:sz w:val="30"/>
          <w:szCs w:val="30"/>
        </w:rPr>
      </w:pPr>
      <w:r>
        <w:rPr>
          <w:rFonts w:ascii="仿宋_GB2312" w:eastAsia="仿宋_GB2312" w:cs="仿宋_GB2312"/>
          <w:b/>
          <w:bCs/>
          <w:color w:val="000000"/>
          <w:sz w:val="30"/>
          <w:szCs w:val="30"/>
        </w:rPr>
        <w:t>2.</w:t>
      </w:r>
      <w:r>
        <w:rPr>
          <w:rFonts w:hint="eastAsia" w:ascii="仿宋_GB2312" w:eastAsia="仿宋_GB2312" w:cs="仿宋_GB2312"/>
          <w:b/>
          <w:bCs/>
          <w:color w:val="000000"/>
          <w:sz w:val="30"/>
          <w:szCs w:val="30"/>
        </w:rPr>
        <w:t>公务用车购置及运行维护费支出</w:t>
      </w:r>
      <w:r>
        <w:rPr>
          <w:rFonts w:ascii="仿宋_GB2312" w:eastAsia="仿宋_GB2312" w:cs="仿宋_GB2312"/>
          <w:b/>
          <w:bCs/>
          <w:color w:val="000000"/>
          <w:sz w:val="30"/>
          <w:szCs w:val="30"/>
        </w:rPr>
        <w:t>60.70</w:t>
      </w:r>
      <w:r>
        <w:rPr>
          <w:rFonts w:hint="eastAsia" w:ascii="仿宋_GB2312" w:eastAsia="仿宋_GB2312" w:cs="仿宋_GB2312"/>
          <w:color w:val="000000"/>
          <w:sz w:val="30"/>
          <w:szCs w:val="30"/>
        </w:rPr>
        <w:t>万元</w:t>
      </w:r>
      <w:r>
        <w:rPr>
          <w:rFonts w:ascii="仿宋_GB2312" w:eastAsia="仿宋_GB2312" w:cs="仿宋_GB2312"/>
          <w:color w:val="000000"/>
          <w:sz w:val="30"/>
          <w:szCs w:val="30"/>
        </w:rPr>
        <w:t>,</w:t>
      </w:r>
      <w:r>
        <w:rPr>
          <w:rFonts w:hint="eastAsia" w:ascii="仿宋_GB2312" w:eastAsia="仿宋_GB2312" w:cs="仿宋_GB2312"/>
          <w:color w:val="000000"/>
          <w:sz w:val="30"/>
          <w:szCs w:val="30"/>
        </w:rPr>
        <w:t>完成预算100%</w:t>
      </w:r>
      <w:r>
        <w:rPr>
          <w:rStyle w:val="14"/>
          <w:rFonts w:hint="eastAsia" w:ascii="仿宋" w:hAnsi="仿宋" w:eastAsia="仿宋" w:cs="仿宋"/>
          <w:b w:val="0"/>
          <w:bCs w:val="0"/>
          <w:color w:val="000000"/>
          <w:sz w:val="30"/>
          <w:szCs w:val="30"/>
        </w:rPr>
        <w:t>。</w:t>
      </w:r>
      <w:r>
        <w:rPr>
          <w:rFonts w:hint="eastAsia" w:ascii="仿宋_GB2312" w:eastAsia="仿宋_GB2312" w:cs="仿宋_GB2312"/>
          <w:color w:val="000000"/>
          <w:sz w:val="30"/>
          <w:szCs w:val="30"/>
        </w:rPr>
        <w:t>公务用车购置及运行维护费支出决算比</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年增加</w:t>
      </w:r>
      <w:r>
        <w:rPr>
          <w:rFonts w:ascii="仿宋_GB2312" w:eastAsia="仿宋_GB2312" w:cs="仿宋_GB2312"/>
          <w:color w:val="000000"/>
          <w:sz w:val="30"/>
          <w:szCs w:val="30"/>
        </w:rPr>
        <w:t>19.98</w:t>
      </w:r>
      <w:r>
        <w:rPr>
          <w:rFonts w:hint="eastAsia" w:ascii="仿宋_GB2312" w:eastAsia="仿宋_GB2312" w:cs="仿宋_GB2312"/>
          <w:color w:val="000000"/>
          <w:sz w:val="30"/>
          <w:szCs w:val="30"/>
        </w:rPr>
        <w:t>万元，增长</w:t>
      </w:r>
      <w:r>
        <w:rPr>
          <w:rFonts w:ascii="仿宋_GB2312" w:eastAsia="仿宋_GB2312" w:cs="仿宋_GB2312"/>
          <w:color w:val="000000"/>
          <w:sz w:val="30"/>
          <w:szCs w:val="30"/>
        </w:rPr>
        <w:t>49.06%</w:t>
      </w:r>
      <w:r>
        <w:rPr>
          <w:rFonts w:hint="eastAsia" w:ascii="仿宋_GB2312" w:eastAsia="仿宋_GB2312" w:cs="仿宋_GB2312"/>
          <w:color w:val="000000"/>
          <w:sz w:val="30"/>
          <w:szCs w:val="30"/>
        </w:rPr>
        <w:t>。主要原因是</w:t>
      </w:r>
      <w:r>
        <w:rPr>
          <w:rFonts w:ascii="仿宋_GB2312" w:eastAsia="仿宋_GB2312" w:cs="仿宋_GB2312"/>
          <w:color w:val="000000"/>
          <w:sz w:val="30"/>
          <w:szCs w:val="30"/>
        </w:rPr>
        <w:t>2019</w:t>
      </w:r>
      <w:r>
        <w:rPr>
          <w:rFonts w:hint="eastAsia" w:ascii="仿宋_GB2312" w:eastAsia="仿宋_GB2312" w:cs="仿宋_GB2312"/>
          <w:color w:val="000000"/>
          <w:sz w:val="30"/>
          <w:szCs w:val="30"/>
        </w:rPr>
        <w:t>年是全国土地第三次调查年、土地增减挂钩项目、土地整理项目、地籍测绘等项目下县区督导、检查公务用车增多。</w:t>
      </w:r>
    </w:p>
    <w:p>
      <w:pPr>
        <w:spacing w:line="500" w:lineRule="exact"/>
        <w:ind w:firstLine="600" w:firstLineChars="200"/>
        <w:rPr>
          <w:rFonts w:ascii="仿宋_GB2312" w:eastAsia="仿宋_GB2312"/>
          <w:color w:val="000000"/>
          <w:sz w:val="30"/>
          <w:szCs w:val="30"/>
        </w:rPr>
      </w:pPr>
      <w:r>
        <w:rPr>
          <w:rFonts w:hint="eastAsia" w:ascii="仿宋_GB2312" w:eastAsia="仿宋_GB2312" w:cs="仿宋_GB2312"/>
          <w:color w:val="000000"/>
          <w:sz w:val="30"/>
          <w:szCs w:val="30"/>
        </w:rPr>
        <w:t>其中：</w:t>
      </w:r>
      <w:r>
        <w:rPr>
          <w:rFonts w:hint="eastAsia" w:ascii="仿宋_GB2312" w:eastAsia="仿宋_GB2312" w:cs="仿宋_GB2312"/>
          <w:b/>
          <w:bCs/>
          <w:color w:val="000000"/>
          <w:sz w:val="30"/>
          <w:szCs w:val="30"/>
        </w:rPr>
        <w:t>公务用车购置支出</w:t>
      </w:r>
      <w:r>
        <w:rPr>
          <w:rFonts w:ascii="仿宋_GB2312" w:eastAsia="仿宋_GB2312" w:cs="仿宋_GB2312"/>
          <w:b/>
          <w:bCs/>
          <w:color w:val="000000"/>
          <w:sz w:val="30"/>
          <w:szCs w:val="30"/>
        </w:rPr>
        <w:t>0</w:t>
      </w:r>
      <w:r>
        <w:rPr>
          <w:rFonts w:hint="eastAsia" w:ascii="仿宋_GB2312" w:eastAsia="仿宋_GB2312" w:cs="仿宋_GB2312"/>
          <w:color w:val="000000"/>
          <w:sz w:val="30"/>
          <w:szCs w:val="30"/>
        </w:rPr>
        <w:t>万元。全年按规定更新购置公务用车</w:t>
      </w:r>
      <w:r>
        <w:rPr>
          <w:rFonts w:ascii="仿宋_GB2312" w:eastAsia="仿宋_GB2312" w:cs="仿宋_GB2312"/>
          <w:color w:val="000000"/>
          <w:sz w:val="30"/>
          <w:szCs w:val="30"/>
        </w:rPr>
        <w:t>0</w:t>
      </w:r>
      <w:r>
        <w:rPr>
          <w:rFonts w:hint="eastAsia" w:ascii="仿宋_GB2312" w:eastAsia="仿宋_GB2312" w:cs="仿宋_GB2312"/>
          <w:color w:val="000000"/>
          <w:sz w:val="30"/>
          <w:szCs w:val="30"/>
        </w:rPr>
        <w:t>辆，金额</w:t>
      </w:r>
      <w:r>
        <w:rPr>
          <w:rFonts w:ascii="仿宋_GB2312" w:eastAsia="仿宋_GB2312" w:cs="仿宋_GB2312"/>
          <w:color w:val="000000"/>
          <w:sz w:val="30"/>
          <w:szCs w:val="30"/>
        </w:rPr>
        <w:t>0</w:t>
      </w:r>
      <w:r>
        <w:rPr>
          <w:rFonts w:hint="eastAsia" w:ascii="仿宋_GB2312" w:eastAsia="仿宋_GB2312" w:cs="仿宋_GB2312"/>
          <w:color w:val="000000"/>
          <w:sz w:val="30"/>
          <w:szCs w:val="30"/>
        </w:rPr>
        <w:t>万元。截至</w:t>
      </w:r>
      <w:r>
        <w:rPr>
          <w:rFonts w:ascii="仿宋_GB2312" w:eastAsia="仿宋_GB2312" w:cs="仿宋_GB2312"/>
          <w:color w:val="000000"/>
          <w:sz w:val="30"/>
          <w:szCs w:val="30"/>
        </w:rPr>
        <w:t>2019</w:t>
      </w:r>
      <w:r>
        <w:rPr>
          <w:rFonts w:hint="eastAsia" w:ascii="仿宋_GB2312" w:eastAsia="仿宋_GB2312" w:cs="仿宋_GB2312"/>
          <w:color w:val="000000"/>
          <w:sz w:val="30"/>
          <w:szCs w:val="30"/>
        </w:rPr>
        <w:t>年</w:t>
      </w:r>
      <w:r>
        <w:rPr>
          <w:rFonts w:ascii="仿宋_GB2312" w:eastAsia="仿宋_GB2312" w:cs="仿宋_GB2312"/>
          <w:color w:val="000000"/>
          <w:sz w:val="30"/>
          <w:szCs w:val="30"/>
        </w:rPr>
        <w:t>12</w:t>
      </w:r>
      <w:r>
        <w:rPr>
          <w:rFonts w:hint="eastAsia" w:ascii="仿宋_GB2312" w:eastAsia="仿宋_GB2312" w:cs="仿宋_GB2312"/>
          <w:color w:val="000000"/>
          <w:sz w:val="30"/>
          <w:szCs w:val="30"/>
        </w:rPr>
        <w:t>月底，单位共有公务用车</w:t>
      </w:r>
      <w:r>
        <w:rPr>
          <w:rFonts w:ascii="仿宋_GB2312" w:eastAsia="仿宋_GB2312" w:cs="仿宋_GB2312"/>
          <w:color w:val="000000"/>
          <w:sz w:val="30"/>
          <w:szCs w:val="30"/>
        </w:rPr>
        <w:t>8</w:t>
      </w:r>
      <w:r>
        <w:rPr>
          <w:rFonts w:hint="eastAsia" w:ascii="仿宋_GB2312" w:eastAsia="仿宋_GB2312" w:cs="仿宋_GB2312"/>
          <w:color w:val="000000"/>
          <w:sz w:val="30"/>
          <w:szCs w:val="30"/>
        </w:rPr>
        <w:t>辆，其中：主要领导干部用车</w:t>
      </w:r>
      <w:r>
        <w:rPr>
          <w:rFonts w:ascii="仿宋_GB2312" w:eastAsia="仿宋_GB2312" w:cs="仿宋_GB2312"/>
          <w:color w:val="000000"/>
          <w:sz w:val="30"/>
          <w:szCs w:val="30"/>
        </w:rPr>
        <w:t>2</w:t>
      </w:r>
      <w:r>
        <w:rPr>
          <w:rFonts w:hint="eastAsia" w:ascii="仿宋_GB2312" w:eastAsia="仿宋_GB2312" w:cs="仿宋_GB2312"/>
          <w:color w:val="000000"/>
          <w:sz w:val="30"/>
          <w:szCs w:val="30"/>
        </w:rPr>
        <w:t>辆，其他用车</w:t>
      </w:r>
      <w:r>
        <w:rPr>
          <w:rFonts w:ascii="仿宋_GB2312" w:eastAsia="仿宋_GB2312" w:cs="仿宋_GB2312"/>
          <w:color w:val="000000"/>
          <w:sz w:val="30"/>
          <w:szCs w:val="30"/>
        </w:rPr>
        <w:t>6</w:t>
      </w:r>
      <w:r>
        <w:rPr>
          <w:rFonts w:hint="eastAsia" w:ascii="仿宋_GB2312" w:eastAsia="仿宋_GB2312" w:cs="仿宋_GB2312"/>
          <w:color w:val="000000"/>
          <w:sz w:val="30"/>
          <w:szCs w:val="30"/>
        </w:rPr>
        <w:t>辆。</w:t>
      </w:r>
    </w:p>
    <w:p>
      <w:pPr>
        <w:spacing w:line="500" w:lineRule="exact"/>
        <w:ind w:firstLine="640"/>
        <w:rPr>
          <w:rFonts w:ascii="仿宋_GB2312" w:eastAsia="仿宋_GB2312"/>
          <w:color w:val="000000"/>
          <w:sz w:val="30"/>
          <w:szCs w:val="30"/>
        </w:rPr>
      </w:pPr>
      <w:r>
        <w:rPr>
          <w:rFonts w:hint="eastAsia" w:ascii="仿宋_GB2312" w:eastAsia="仿宋_GB2312" w:cs="仿宋_GB2312"/>
          <w:b/>
          <w:bCs/>
          <w:color w:val="000000"/>
          <w:sz w:val="30"/>
          <w:szCs w:val="30"/>
        </w:rPr>
        <w:t>公务用车运行维护费支出</w:t>
      </w:r>
      <w:r>
        <w:rPr>
          <w:rFonts w:ascii="仿宋_GB2312" w:eastAsia="仿宋_GB2312" w:cs="仿宋_GB2312"/>
          <w:b/>
          <w:bCs/>
          <w:color w:val="000000"/>
          <w:sz w:val="30"/>
          <w:szCs w:val="30"/>
        </w:rPr>
        <w:t>60.7</w:t>
      </w:r>
      <w:r>
        <w:rPr>
          <w:rFonts w:hint="eastAsia" w:ascii="仿宋_GB2312" w:eastAsia="仿宋_GB2312" w:cs="仿宋_GB2312"/>
          <w:color w:val="000000"/>
          <w:sz w:val="30"/>
          <w:szCs w:val="30"/>
        </w:rPr>
        <w:t>万元。主要用于广元市全国第三次土地调查项目、耕地保护，卫片执法、地质灾害防治、地籍测绘、土地整治、矿产管理等项目所需的公务用车燃料费、维修费、过路过桥费、保险费等支出。</w:t>
      </w:r>
    </w:p>
    <w:p>
      <w:pPr>
        <w:spacing w:line="500" w:lineRule="exact"/>
        <w:ind w:firstLine="640"/>
        <w:rPr>
          <w:rFonts w:ascii="仿宋_GB2312" w:eastAsia="仿宋_GB2312"/>
          <w:color w:val="000000"/>
          <w:sz w:val="30"/>
          <w:szCs w:val="30"/>
        </w:rPr>
      </w:pPr>
      <w:r>
        <w:rPr>
          <w:rFonts w:ascii="仿宋_GB2312" w:eastAsia="仿宋_GB2312" w:cs="仿宋_GB2312"/>
          <w:b/>
          <w:bCs/>
          <w:color w:val="000000"/>
          <w:sz w:val="30"/>
          <w:szCs w:val="30"/>
        </w:rPr>
        <w:t>3.</w:t>
      </w:r>
      <w:r>
        <w:rPr>
          <w:rFonts w:hint="eastAsia" w:ascii="仿宋_GB2312" w:eastAsia="仿宋_GB2312" w:cs="仿宋_GB2312"/>
          <w:b/>
          <w:bCs/>
          <w:color w:val="000000"/>
          <w:sz w:val="30"/>
          <w:szCs w:val="30"/>
        </w:rPr>
        <w:t>公务接待费支出</w:t>
      </w:r>
      <w:r>
        <w:rPr>
          <w:rFonts w:ascii="仿宋_GB2312" w:eastAsia="仿宋_GB2312" w:cs="仿宋_GB2312"/>
          <w:b/>
          <w:bCs/>
          <w:color w:val="000000"/>
          <w:sz w:val="30"/>
          <w:szCs w:val="30"/>
        </w:rPr>
        <w:t>12.11</w:t>
      </w:r>
      <w:r>
        <w:rPr>
          <w:rFonts w:hint="eastAsia" w:ascii="仿宋_GB2312" w:eastAsia="仿宋_GB2312" w:cs="仿宋_GB2312"/>
          <w:color w:val="000000"/>
          <w:sz w:val="30"/>
          <w:szCs w:val="30"/>
        </w:rPr>
        <w:t>万元，</w:t>
      </w:r>
      <w:r>
        <w:rPr>
          <w:rStyle w:val="14"/>
          <w:rFonts w:hint="eastAsia" w:ascii="仿宋" w:hAnsi="仿宋" w:eastAsia="仿宋" w:cs="仿宋"/>
          <w:b w:val="0"/>
          <w:bCs w:val="0"/>
          <w:color w:val="000000"/>
          <w:sz w:val="30"/>
          <w:szCs w:val="30"/>
        </w:rPr>
        <w:t>完成预算</w:t>
      </w:r>
      <w:r>
        <w:rPr>
          <w:rStyle w:val="14"/>
          <w:rFonts w:ascii="仿宋" w:hAnsi="仿宋" w:eastAsia="仿宋" w:cs="仿宋"/>
          <w:b w:val="0"/>
          <w:bCs w:val="0"/>
          <w:color w:val="000000"/>
          <w:sz w:val="30"/>
          <w:szCs w:val="30"/>
        </w:rPr>
        <w:t>51.68%</w:t>
      </w:r>
      <w:r>
        <w:rPr>
          <w:rStyle w:val="14"/>
          <w:rFonts w:hint="eastAsia" w:ascii="仿宋" w:hAnsi="仿宋" w:eastAsia="仿宋" w:cs="仿宋"/>
          <w:b w:val="0"/>
          <w:bCs w:val="0"/>
          <w:color w:val="000000"/>
          <w:sz w:val="30"/>
          <w:szCs w:val="30"/>
        </w:rPr>
        <w:t>。</w:t>
      </w:r>
      <w:r>
        <w:rPr>
          <w:rFonts w:hint="eastAsia" w:ascii="仿宋_GB2312" w:eastAsia="仿宋_GB2312" w:cs="仿宋_GB2312"/>
          <w:color w:val="000000"/>
          <w:sz w:val="30"/>
          <w:szCs w:val="30"/>
        </w:rPr>
        <w:t>公务接待费支出决算比</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年减少</w:t>
      </w:r>
      <w:r>
        <w:rPr>
          <w:rFonts w:ascii="仿宋_GB2312" w:eastAsia="仿宋_GB2312" w:cs="仿宋_GB2312"/>
          <w:color w:val="000000"/>
          <w:sz w:val="30"/>
          <w:szCs w:val="30"/>
        </w:rPr>
        <w:t>3.48</w:t>
      </w:r>
      <w:r>
        <w:rPr>
          <w:rFonts w:hint="eastAsia" w:ascii="仿宋_GB2312" w:eastAsia="仿宋_GB2312" w:cs="仿宋_GB2312"/>
          <w:color w:val="000000"/>
          <w:sz w:val="30"/>
          <w:szCs w:val="30"/>
        </w:rPr>
        <w:t>万元，下降</w:t>
      </w:r>
      <w:r>
        <w:rPr>
          <w:rFonts w:ascii="仿宋_GB2312" w:eastAsia="仿宋_GB2312" w:cs="仿宋_GB2312"/>
          <w:color w:val="000000"/>
          <w:sz w:val="30"/>
          <w:szCs w:val="30"/>
        </w:rPr>
        <w:t>22.32%</w:t>
      </w:r>
      <w:r>
        <w:rPr>
          <w:rFonts w:hint="eastAsia" w:ascii="仿宋_GB2312" w:eastAsia="仿宋_GB2312" w:cs="仿宋_GB2312"/>
          <w:color w:val="000000"/>
          <w:sz w:val="30"/>
          <w:szCs w:val="30"/>
        </w:rPr>
        <w:t>。主要原因是例行节约、压缩开支。其中：</w:t>
      </w:r>
    </w:p>
    <w:p>
      <w:pPr>
        <w:spacing w:line="500" w:lineRule="exact"/>
        <w:ind w:firstLine="640"/>
        <w:rPr>
          <w:rFonts w:ascii="仿宋_GB2312" w:eastAsia="仿宋_GB2312"/>
          <w:color w:val="000000"/>
          <w:sz w:val="30"/>
          <w:szCs w:val="30"/>
        </w:rPr>
      </w:pPr>
      <w:r>
        <w:rPr>
          <w:rFonts w:hint="eastAsia" w:ascii="仿宋" w:hAnsi="仿宋" w:eastAsia="仿宋" w:cs="仿宋"/>
          <w:b/>
          <w:bCs/>
          <w:color w:val="000000"/>
          <w:sz w:val="30"/>
          <w:szCs w:val="30"/>
        </w:rPr>
        <w:t>国内公务接待支出</w:t>
      </w:r>
      <w:r>
        <w:rPr>
          <w:rFonts w:ascii="仿宋" w:hAnsi="仿宋" w:eastAsia="仿宋" w:cs="仿宋"/>
          <w:b/>
          <w:bCs/>
          <w:color w:val="000000"/>
          <w:sz w:val="30"/>
          <w:szCs w:val="30"/>
        </w:rPr>
        <w:t>12.11</w:t>
      </w:r>
      <w:r>
        <w:rPr>
          <w:rFonts w:hint="eastAsia" w:ascii="仿宋_GB2312" w:eastAsia="仿宋_GB2312" w:cs="仿宋_GB2312"/>
          <w:color w:val="000000"/>
          <w:sz w:val="30"/>
          <w:szCs w:val="30"/>
        </w:rPr>
        <w:t>万元，主要用于省厅及县区局工作衔接和关于地质灾害防治、土地整理、卫片执法、政策法规咨询和矿产管理等执行公务工作用餐。国内公务接待</w:t>
      </w:r>
      <w:r>
        <w:rPr>
          <w:rFonts w:ascii="仿宋_GB2312" w:eastAsia="仿宋_GB2312" w:cs="仿宋_GB2312"/>
          <w:color w:val="000000"/>
          <w:sz w:val="30"/>
          <w:szCs w:val="30"/>
        </w:rPr>
        <w:t>162</w:t>
      </w:r>
      <w:r>
        <w:rPr>
          <w:rFonts w:hint="eastAsia" w:ascii="仿宋_GB2312" w:eastAsia="仿宋_GB2312" w:cs="仿宋_GB2312"/>
          <w:color w:val="000000"/>
          <w:sz w:val="30"/>
          <w:szCs w:val="30"/>
        </w:rPr>
        <w:t>批次，</w:t>
      </w:r>
      <w:r>
        <w:rPr>
          <w:rFonts w:ascii="仿宋_GB2312" w:eastAsia="仿宋_GB2312" w:cs="仿宋_GB2312"/>
          <w:color w:val="000000"/>
          <w:sz w:val="30"/>
          <w:szCs w:val="30"/>
        </w:rPr>
        <w:t>1354</w:t>
      </w:r>
      <w:r>
        <w:rPr>
          <w:rFonts w:hint="eastAsia" w:ascii="仿宋_GB2312" w:eastAsia="仿宋_GB2312" w:cs="仿宋_GB2312"/>
          <w:color w:val="000000"/>
          <w:sz w:val="30"/>
          <w:szCs w:val="30"/>
        </w:rPr>
        <w:t>人次（不包括陪同人员），共计支出</w:t>
      </w:r>
      <w:r>
        <w:rPr>
          <w:rFonts w:ascii="仿宋_GB2312" w:eastAsia="仿宋_GB2312" w:cs="仿宋_GB2312"/>
          <w:color w:val="000000"/>
          <w:sz w:val="30"/>
          <w:szCs w:val="30"/>
        </w:rPr>
        <w:t>12.11</w:t>
      </w:r>
      <w:r>
        <w:rPr>
          <w:rFonts w:hint="eastAsia" w:ascii="仿宋_GB2312" w:eastAsia="仿宋_GB2312" w:cs="仿宋_GB2312"/>
          <w:color w:val="000000"/>
          <w:sz w:val="30"/>
          <w:szCs w:val="30"/>
        </w:rPr>
        <w:t>万元。</w:t>
      </w:r>
    </w:p>
    <w:p>
      <w:pPr>
        <w:spacing w:line="500" w:lineRule="exact"/>
        <w:ind w:firstLine="602" w:firstLineChars="200"/>
        <w:rPr>
          <w:rFonts w:ascii="仿宋_GB2312" w:eastAsia="仿宋_GB2312"/>
          <w:color w:val="000000"/>
          <w:sz w:val="30"/>
          <w:szCs w:val="30"/>
        </w:rPr>
      </w:pPr>
      <w:r>
        <w:rPr>
          <w:rFonts w:hint="eastAsia" w:ascii="仿宋" w:hAnsi="仿宋" w:eastAsia="仿宋" w:cs="仿宋"/>
          <w:b/>
          <w:bCs/>
          <w:color w:val="000000"/>
          <w:sz w:val="30"/>
          <w:szCs w:val="30"/>
        </w:rPr>
        <w:t>外事接待支出</w:t>
      </w:r>
      <w:r>
        <w:rPr>
          <w:rFonts w:ascii="仿宋" w:hAnsi="仿宋" w:eastAsia="仿宋" w:cs="仿宋"/>
          <w:b/>
          <w:bCs/>
          <w:color w:val="000000"/>
          <w:sz w:val="30"/>
          <w:szCs w:val="30"/>
        </w:rPr>
        <w:t>0</w:t>
      </w:r>
      <w:r>
        <w:rPr>
          <w:rFonts w:hint="eastAsia" w:ascii="仿宋_GB2312" w:eastAsia="仿宋_GB2312" w:cs="仿宋_GB2312"/>
          <w:color w:val="000000"/>
          <w:sz w:val="30"/>
          <w:szCs w:val="30"/>
        </w:rPr>
        <w:t>万元，外事接待</w:t>
      </w:r>
      <w:r>
        <w:rPr>
          <w:rFonts w:ascii="仿宋_GB2312" w:eastAsia="仿宋_GB2312" w:cs="仿宋_GB2312"/>
          <w:color w:val="000000"/>
          <w:sz w:val="30"/>
          <w:szCs w:val="30"/>
        </w:rPr>
        <w:t>0</w:t>
      </w:r>
      <w:r>
        <w:rPr>
          <w:rFonts w:hint="eastAsia" w:ascii="仿宋_GB2312" w:eastAsia="仿宋_GB2312" w:cs="仿宋_GB2312"/>
          <w:color w:val="000000"/>
          <w:sz w:val="30"/>
          <w:szCs w:val="30"/>
        </w:rPr>
        <w:t>批次，</w:t>
      </w:r>
      <w:r>
        <w:rPr>
          <w:rFonts w:ascii="仿宋_GB2312" w:eastAsia="仿宋_GB2312" w:cs="仿宋_GB2312"/>
          <w:color w:val="000000"/>
          <w:sz w:val="30"/>
          <w:szCs w:val="30"/>
        </w:rPr>
        <w:t>0</w:t>
      </w:r>
      <w:r>
        <w:rPr>
          <w:rFonts w:hint="eastAsia" w:ascii="仿宋_GB2312" w:eastAsia="仿宋_GB2312" w:cs="仿宋_GB2312"/>
          <w:color w:val="000000"/>
          <w:sz w:val="30"/>
          <w:szCs w:val="30"/>
        </w:rPr>
        <w:t>人，共计支出</w:t>
      </w:r>
      <w:r>
        <w:rPr>
          <w:rFonts w:ascii="仿宋_GB2312" w:eastAsia="仿宋_GB2312" w:cs="仿宋_GB2312"/>
          <w:color w:val="000000"/>
          <w:sz w:val="30"/>
          <w:szCs w:val="30"/>
        </w:rPr>
        <w:t>0</w:t>
      </w:r>
      <w:r>
        <w:rPr>
          <w:rFonts w:hint="eastAsia" w:ascii="仿宋_GB2312" w:eastAsia="仿宋_GB2312" w:cs="仿宋_GB2312"/>
          <w:color w:val="000000"/>
          <w:sz w:val="30"/>
          <w:szCs w:val="30"/>
        </w:rPr>
        <w:t>万元。</w:t>
      </w:r>
    </w:p>
    <w:p>
      <w:pPr>
        <w:spacing w:line="500" w:lineRule="exact"/>
        <w:ind w:firstLine="640"/>
        <w:outlineLvl w:val="1"/>
        <w:rPr>
          <w:rFonts w:ascii="黑体" w:eastAsia="黑体"/>
          <w:color w:val="000000"/>
          <w:sz w:val="30"/>
          <w:szCs w:val="30"/>
        </w:rPr>
      </w:pPr>
      <w:bookmarkStart w:id="47" w:name="_Toc15396610"/>
      <w:bookmarkStart w:id="48" w:name="_Toc15377218"/>
    </w:p>
    <w:p>
      <w:pPr>
        <w:spacing w:line="500" w:lineRule="exact"/>
        <w:ind w:firstLine="640"/>
        <w:outlineLvl w:val="1"/>
        <w:rPr>
          <w:rStyle w:val="18"/>
          <w:rFonts w:ascii="黑体" w:hAnsi="黑体" w:eastAsia="黑体" w:cs="Times New Roman"/>
          <w:sz w:val="30"/>
          <w:szCs w:val="30"/>
        </w:rPr>
      </w:pPr>
      <w:r>
        <w:rPr>
          <w:rFonts w:hint="eastAsia" w:ascii="黑体" w:eastAsia="黑体" w:cs="黑体"/>
          <w:color w:val="000000"/>
          <w:sz w:val="30"/>
          <w:szCs w:val="30"/>
        </w:rPr>
        <w:t>八、</w:t>
      </w:r>
      <w:r>
        <w:rPr>
          <w:rStyle w:val="18"/>
          <w:rFonts w:hint="eastAsia" w:ascii="黑体" w:hAnsi="黑体" w:eastAsia="黑体" w:cs="黑体"/>
          <w:b w:val="0"/>
          <w:bCs w:val="0"/>
          <w:sz w:val="30"/>
          <w:szCs w:val="30"/>
        </w:rPr>
        <w:t>政府性基金预算支出决算情况说明</w:t>
      </w:r>
      <w:bookmarkEnd w:id="47"/>
      <w:bookmarkEnd w:id="48"/>
    </w:p>
    <w:p>
      <w:pPr>
        <w:spacing w:line="500" w:lineRule="exact"/>
        <w:ind w:firstLine="640"/>
        <w:rPr>
          <w:rFonts w:ascii="仿宋_GB2312" w:eastAsia="仿宋_GB2312"/>
          <w:color w:val="000000"/>
          <w:sz w:val="30"/>
          <w:szCs w:val="30"/>
        </w:rPr>
      </w:pPr>
      <w:r>
        <w:rPr>
          <w:rFonts w:ascii="仿宋_GB2312" w:eastAsia="仿宋_GB2312" w:cs="仿宋_GB2312"/>
          <w:color w:val="000000"/>
          <w:sz w:val="30"/>
          <w:szCs w:val="30"/>
        </w:rPr>
        <w:t>2019</w:t>
      </w:r>
      <w:r>
        <w:rPr>
          <w:rFonts w:hint="eastAsia" w:ascii="仿宋_GB2312" w:eastAsia="仿宋_GB2312" w:cs="仿宋_GB2312"/>
          <w:color w:val="000000"/>
          <w:sz w:val="30"/>
          <w:szCs w:val="30"/>
        </w:rPr>
        <w:t>年政府性基金预算拨款支出5132.36万元。</w:t>
      </w:r>
    </w:p>
    <w:p>
      <w:pPr>
        <w:numPr>
          <w:ilvl w:val="0"/>
          <w:numId w:val="3"/>
        </w:numPr>
        <w:spacing w:line="500" w:lineRule="exact"/>
        <w:ind w:firstLine="640"/>
        <w:outlineLvl w:val="1"/>
        <w:rPr>
          <w:rStyle w:val="18"/>
          <w:rFonts w:ascii="黑体" w:hAnsi="黑体" w:eastAsia="黑体" w:cs="Times New Roman"/>
          <w:b w:val="0"/>
          <w:bCs w:val="0"/>
          <w:sz w:val="30"/>
          <w:szCs w:val="30"/>
        </w:rPr>
      </w:pPr>
      <w:bookmarkStart w:id="49" w:name="_Toc15377219"/>
      <w:bookmarkStart w:id="50" w:name="_Toc15396611"/>
      <w:r>
        <w:rPr>
          <w:rStyle w:val="18"/>
          <w:rFonts w:hint="eastAsia" w:ascii="黑体" w:hAnsi="黑体" w:eastAsia="黑体" w:cs="黑体"/>
          <w:b w:val="0"/>
          <w:bCs w:val="0"/>
          <w:sz w:val="30"/>
          <w:szCs w:val="30"/>
        </w:rPr>
        <w:t>国有资本经营预算支出决算情况说明</w:t>
      </w:r>
      <w:bookmarkEnd w:id="49"/>
      <w:bookmarkEnd w:id="50"/>
    </w:p>
    <w:p>
      <w:pPr>
        <w:spacing w:line="500" w:lineRule="exact"/>
        <w:ind w:firstLine="640"/>
        <w:rPr>
          <w:rFonts w:ascii="仿宋_GB2312" w:eastAsia="仿宋_GB2312"/>
          <w:color w:val="000000"/>
          <w:sz w:val="30"/>
          <w:szCs w:val="30"/>
        </w:rPr>
      </w:pPr>
      <w:r>
        <w:rPr>
          <w:rFonts w:ascii="仿宋_GB2312" w:eastAsia="仿宋_GB2312" w:cs="仿宋_GB2312"/>
          <w:color w:val="000000"/>
          <w:sz w:val="30"/>
          <w:szCs w:val="30"/>
        </w:rPr>
        <w:t>2019</w:t>
      </w:r>
      <w:r>
        <w:rPr>
          <w:rFonts w:hint="eastAsia" w:ascii="仿宋_GB2312" w:eastAsia="仿宋_GB2312" w:cs="仿宋_GB2312"/>
          <w:color w:val="000000"/>
          <w:sz w:val="30"/>
          <w:szCs w:val="30"/>
        </w:rPr>
        <w:t>年国有资本经营预算拨款支出</w:t>
      </w:r>
      <w:r>
        <w:rPr>
          <w:rFonts w:ascii="仿宋_GB2312" w:eastAsia="仿宋_GB2312" w:cs="仿宋_GB2312"/>
          <w:color w:val="000000"/>
          <w:sz w:val="30"/>
          <w:szCs w:val="30"/>
        </w:rPr>
        <w:t>0</w:t>
      </w:r>
      <w:r>
        <w:rPr>
          <w:rFonts w:hint="eastAsia" w:ascii="仿宋_GB2312" w:eastAsia="仿宋_GB2312" w:cs="仿宋_GB2312"/>
          <w:color w:val="000000"/>
          <w:sz w:val="30"/>
          <w:szCs w:val="30"/>
        </w:rPr>
        <w:t>万元。</w:t>
      </w:r>
    </w:p>
    <w:p>
      <w:pPr>
        <w:numPr>
          <w:ilvl w:val="0"/>
          <w:numId w:val="3"/>
        </w:numPr>
        <w:spacing w:line="500" w:lineRule="exact"/>
        <w:ind w:firstLine="640"/>
        <w:outlineLvl w:val="1"/>
        <w:rPr>
          <w:rStyle w:val="18"/>
          <w:rFonts w:ascii="黑体" w:hAnsi="黑体" w:eastAsia="黑体" w:cs="Times New Roman"/>
          <w:b w:val="0"/>
          <w:bCs w:val="0"/>
          <w:sz w:val="30"/>
          <w:szCs w:val="30"/>
        </w:rPr>
      </w:pPr>
      <w:bookmarkStart w:id="51" w:name="_Toc15396612"/>
      <w:bookmarkStart w:id="52" w:name="_Toc15377221"/>
      <w:r>
        <w:rPr>
          <w:rStyle w:val="18"/>
          <w:rFonts w:hint="eastAsia" w:ascii="黑体" w:hAnsi="黑体" w:eastAsia="黑体" w:cs="黑体"/>
          <w:b w:val="0"/>
          <w:bCs w:val="0"/>
          <w:sz w:val="30"/>
          <w:szCs w:val="30"/>
        </w:rPr>
        <w:t>其他重要事项的情况说明</w:t>
      </w:r>
      <w:bookmarkEnd w:id="51"/>
      <w:bookmarkEnd w:id="52"/>
    </w:p>
    <w:p>
      <w:pPr>
        <w:spacing w:line="500" w:lineRule="exact"/>
        <w:ind w:firstLine="602" w:firstLineChars="200"/>
        <w:outlineLvl w:val="2"/>
        <w:rPr>
          <w:rFonts w:ascii="仿宋" w:hAnsi="仿宋" w:eastAsia="仿宋"/>
          <w:color w:val="000000"/>
          <w:sz w:val="30"/>
          <w:szCs w:val="30"/>
        </w:rPr>
      </w:pPr>
      <w:bookmarkStart w:id="53" w:name="_Toc15377222"/>
      <w:r>
        <w:rPr>
          <w:rFonts w:hint="eastAsia" w:ascii="仿宋" w:hAnsi="仿宋" w:eastAsia="仿宋" w:cs="仿宋"/>
          <w:b/>
          <w:bCs/>
          <w:color w:val="000000"/>
          <w:sz w:val="30"/>
          <w:szCs w:val="30"/>
        </w:rPr>
        <w:t>（一）机关运行经费支出情况</w:t>
      </w:r>
      <w:bookmarkEnd w:id="53"/>
    </w:p>
    <w:p>
      <w:pPr>
        <w:spacing w:line="500" w:lineRule="exact"/>
        <w:ind w:firstLine="600" w:firstLineChars="200"/>
        <w:rPr>
          <w:rFonts w:ascii="仿宋_GB2312" w:eastAsia="仿宋_GB2312"/>
          <w:color w:val="000000"/>
          <w:sz w:val="30"/>
          <w:szCs w:val="30"/>
        </w:rPr>
      </w:pPr>
      <w:r>
        <w:rPr>
          <w:rFonts w:ascii="仿宋_GB2312" w:eastAsia="仿宋_GB2312" w:cs="仿宋_GB2312"/>
          <w:color w:val="000000"/>
          <w:sz w:val="30"/>
          <w:szCs w:val="30"/>
        </w:rPr>
        <w:t>2019</w:t>
      </w:r>
      <w:r>
        <w:rPr>
          <w:rFonts w:hint="eastAsia" w:ascii="仿宋_GB2312" w:eastAsia="仿宋_GB2312" w:cs="仿宋_GB2312"/>
          <w:color w:val="000000"/>
          <w:sz w:val="30"/>
          <w:szCs w:val="30"/>
        </w:rPr>
        <w:t>年，广元市自然资源局机关运行经费支出</w:t>
      </w:r>
      <w:r>
        <w:rPr>
          <w:rFonts w:ascii="仿宋_GB2312" w:eastAsia="仿宋_GB2312" w:cs="仿宋_GB2312"/>
          <w:color w:val="000000"/>
          <w:sz w:val="30"/>
          <w:szCs w:val="30"/>
        </w:rPr>
        <w:t>268.18</w:t>
      </w:r>
      <w:r>
        <w:rPr>
          <w:rFonts w:hint="eastAsia" w:ascii="仿宋_GB2312" w:eastAsia="仿宋_GB2312" w:cs="仿宋_GB2312"/>
          <w:color w:val="000000"/>
          <w:sz w:val="30"/>
          <w:szCs w:val="30"/>
        </w:rPr>
        <w:t>万元，比</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减少</w:t>
      </w:r>
      <w:r>
        <w:rPr>
          <w:rFonts w:ascii="仿宋_GB2312" w:eastAsia="仿宋_GB2312" w:cs="仿宋_GB2312"/>
          <w:color w:val="000000"/>
          <w:sz w:val="30"/>
          <w:szCs w:val="30"/>
        </w:rPr>
        <w:t>88.87</w:t>
      </w:r>
      <w:r>
        <w:rPr>
          <w:rFonts w:hint="eastAsia" w:ascii="仿宋_GB2312" w:eastAsia="仿宋_GB2312" w:cs="仿宋_GB2312"/>
          <w:color w:val="000000"/>
          <w:sz w:val="30"/>
          <w:szCs w:val="30"/>
        </w:rPr>
        <w:t>万元，下降</w:t>
      </w:r>
      <w:r>
        <w:rPr>
          <w:rFonts w:ascii="仿宋_GB2312" w:eastAsia="仿宋_GB2312" w:cs="仿宋_GB2312"/>
          <w:color w:val="000000"/>
          <w:sz w:val="30"/>
          <w:szCs w:val="30"/>
        </w:rPr>
        <w:t>24.89%</w:t>
      </w:r>
      <w:r>
        <w:rPr>
          <w:rFonts w:hint="eastAsia" w:ascii="仿宋_GB2312" w:eastAsia="仿宋_GB2312" w:cs="仿宋_GB2312"/>
          <w:color w:val="000000"/>
          <w:sz w:val="30"/>
          <w:szCs w:val="30"/>
        </w:rPr>
        <w:t>，主要原因是响应国家政策，厉行节约，压缩开支。</w:t>
      </w:r>
    </w:p>
    <w:p>
      <w:pPr>
        <w:autoSpaceDE w:val="0"/>
        <w:autoSpaceDN w:val="0"/>
        <w:adjustRightInd w:val="0"/>
        <w:spacing w:line="500" w:lineRule="exact"/>
        <w:ind w:firstLine="602" w:firstLineChars="200"/>
        <w:jc w:val="left"/>
        <w:outlineLvl w:val="2"/>
        <w:rPr>
          <w:rFonts w:ascii="仿宋" w:hAnsi="仿宋" w:eastAsia="仿宋"/>
          <w:b/>
          <w:bCs/>
          <w:color w:val="000000"/>
          <w:sz w:val="30"/>
          <w:szCs w:val="30"/>
        </w:rPr>
      </w:pPr>
      <w:bookmarkStart w:id="54" w:name="_Toc15377223"/>
      <w:r>
        <w:rPr>
          <w:rFonts w:hint="eastAsia" w:ascii="仿宋" w:hAnsi="仿宋" w:eastAsia="仿宋" w:cs="仿宋"/>
          <w:b/>
          <w:bCs/>
          <w:color w:val="000000"/>
          <w:sz w:val="30"/>
          <w:szCs w:val="30"/>
        </w:rPr>
        <w:t>（二）政府采购支出情况</w:t>
      </w:r>
      <w:bookmarkEnd w:id="54"/>
    </w:p>
    <w:p>
      <w:pPr>
        <w:spacing w:line="500" w:lineRule="exact"/>
        <w:ind w:firstLine="600" w:firstLineChars="200"/>
        <w:rPr>
          <w:rFonts w:ascii="仿宋_GB2312" w:eastAsia="仿宋_GB2312"/>
          <w:color w:val="000000"/>
          <w:sz w:val="30"/>
          <w:szCs w:val="30"/>
        </w:rPr>
      </w:pPr>
      <w:r>
        <w:rPr>
          <w:rFonts w:ascii="仿宋_GB2312" w:eastAsia="仿宋_GB2312" w:cs="仿宋_GB2312"/>
          <w:color w:val="000000"/>
          <w:sz w:val="30"/>
          <w:szCs w:val="30"/>
        </w:rPr>
        <w:t>2019</w:t>
      </w:r>
      <w:r>
        <w:rPr>
          <w:rFonts w:hint="eastAsia" w:ascii="仿宋_GB2312" w:eastAsia="仿宋_GB2312" w:cs="仿宋_GB2312"/>
          <w:color w:val="000000"/>
          <w:sz w:val="30"/>
          <w:szCs w:val="30"/>
        </w:rPr>
        <w:t>年，广元市自然资源局政府采购支出总额</w:t>
      </w:r>
      <w:r>
        <w:rPr>
          <w:rFonts w:ascii="仿宋_GB2312" w:eastAsia="仿宋_GB2312" w:cs="仿宋_GB2312"/>
          <w:color w:val="000000"/>
          <w:sz w:val="30"/>
          <w:szCs w:val="30"/>
        </w:rPr>
        <w:t>967.41</w:t>
      </w:r>
      <w:r>
        <w:rPr>
          <w:rFonts w:hint="eastAsia" w:ascii="仿宋_GB2312" w:eastAsia="仿宋_GB2312" w:cs="仿宋_GB2312"/>
          <w:color w:val="000000"/>
          <w:sz w:val="30"/>
          <w:szCs w:val="30"/>
        </w:rPr>
        <w:t>万元，其中：政府采购货物支出</w:t>
      </w:r>
      <w:r>
        <w:rPr>
          <w:rFonts w:ascii="仿宋_GB2312" w:eastAsia="仿宋_GB2312" w:cs="仿宋_GB2312"/>
          <w:color w:val="000000"/>
          <w:sz w:val="30"/>
          <w:szCs w:val="30"/>
        </w:rPr>
        <w:t>967.41</w:t>
      </w:r>
      <w:r>
        <w:rPr>
          <w:rFonts w:hint="eastAsia" w:ascii="仿宋_GB2312" w:eastAsia="仿宋_GB2312" w:cs="仿宋_GB2312"/>
          <w:color w:val="000000"/>
          <w:sz w:val="30"/>
          <w:szCs w:val="30"/>
        </w:rPr>
        <w:t>万元、政府采购工程支出</w:t>
      </w:r>
      <w:r>
        <w:rPr>
          <w:rFonts w:ascii="仿宋_GB2312" w:eastAsia="仿宋_GB2312" w:cs="仿宋_GB2312"/>
          <w:color w:val="000000"/>
          <w:sz w:val="30"/>
          <w:szCs w:val="30"/>
        </w:rPr>
        <w:t>0</w:t>
      </w:r>
      <w:r>
        <w:rPr>
          <w:rFonts w:hint="eastAsia" w:ascii="仿宋_GB2312" w:eastAsia="仿宋_GB2312" w:cs="仿宋_GB2312"/>
          <w:color w:val="000000"/>
          <w:sz w:val="30"/>
          <w:szCs w:val="30"/>
        </w:rPr>
        <w:t>万元、政府采购服务支出</w:t>
      </w:r>
      <w:r>
        <w:rPr>
          <w:rFonts w:ascii="仿宋_GB2312" w:eastAsia="仿宋_GB2312" w:cs="仿宋_GB2312"/>
          <w:color w:val="000000"/>
          <w:sz w:val="30"/>
          <w:szCs w:val="30"/>
        </w:rPr>
        <w:t>0</w:t>
      </w:r>
      <w:r>
        <w:rPr>
          <w:rFonts w:hint="eastAsia" w:ascii="仿宋_GB2312" w:eastAsia="仿宋_GB2312" w:cs="仿宋_GB2312"/>
          <w:color w:val="000000"/>
          <w:sz w:val="30"/>
          <w:szCs w:val="30"/>
        </w:rPr>
        <w:t>万元。主要用于全国第三次土地调查、不动产登记等项目、日常办公设备采购。授予中小企业合同金额</w:t>
      </w:r>
      <w:r>
        <w:rPr>
          <w:rFonts w:ascii="仿宋_GB2312" w:eastAsia="仿宋_GB2312" w:cs="仿宋_GB2312"/>
          <w:color w:val="000000"/>
          <w:sz w:val="30"/>
          <w:szCs w:val="30"/>
        </w:rPr>
        <w:t>967.41</w:t>
      </w:r>
      <w:r>
        <w:rPr>
          <w:rFonts w:hint="eastAsia" w:ascii="仿宋_GB2312" w:eastAsia="仿宋_GB2312" w:cs="仿宋_GB2312"/>
          <w:color w:val="000000"/>
          <w:sz w:val="30"/>
          <w:szCs w:val="30"/>
        </w:rPr>
        <w:t>万元，占政府采购支出总额的</w:t>
      </w:r>
      <w:r>
        <w:rPr>
          <w:rFonts w:ascii="仿宋_GB2312" w:eastAsia="仿宋_GB2312" w:cs="仿宋_GB2312"/>
          <w:color w:val="000000"/>
          <w:sz w:val="30"/>
          <w:szCs w:val="30"/>
        </w:rPr>
        <w:t>100%</w:t>
      </w:r>
      <w:r>
        <w:rPr>
          <w:rFonts w:hint="eastAsia" w:ascii="仿宋_GB2312" w:eastAsia="仿宋_GB2312" w:cs="仿宋_GB2312"/>
          <w:color w:val="000000"/>
          <w:sz w:val="30"/>
          <w:szCs w:val="30"/>
        </w:rPr>
        <w:t>，其中：授予小微企业合同金额</w:t>
      </w:r>
      <w:r>
        <w:rPr>
          <w:rFonts w:ascii="仿宋_GB2312" w:eastAsia="仿宋_GB2312" w:cs="仿宋_GB2312"/>
          <w:color w:val="000000"/>
          <w:sz w:val="30"/>
          <w:szCs w:val="30"/>
        </w:rPr>
        <w:t>967.41</w:t>
      </w:r>
      <w:r>
        <w:rPr>
          <w:rFonts w:hint="eastAsia" w:ascii="仿宋_GB2312" w:eastAsia="仿宋_GB2312" w:cs="仿宋_GB2312"/>
          <w:color w:val="000000"/>
          <w:sz w:val="30"/>
          <w:szCs w:val="30"/>
        </w:rPr>
        <w:t>万元，占政府采购支出总额的</w:t>
      </w:r>
      <w:r>
        <w:rPr>
          <w:rFonts w:ascii="仿宋_GB2312" w:eastAsia="仿宋_GB2312" w:cs="仿宋_GB2312"/>
          <w:color w:val="000000"/>
          <w:sz w:val="30"/>
          <w:szCs w:val="30"/>
        </w:rPr>
        <w:t>100%</w:t>
      </w:r>
      <w:r>
        <w:rPr>
          <w:rFonts w:hint="eastAsia" w:ascii="仿宋_GB2312" w:eastAsia="仿宋_GB2312" w:cs="仿宋_GB2312"/>
          <w:color w:val="000000"/>
          <w:sz w:val="30"/>
          <w:szCs w:val="30"/>
        </w:rPr>
        <w:t>。</w:t>
      </w:r>
    </w:p>
    <w:p>
      <w:pPr>
        <w:autoSpaceDE w:val="0"/>
        <w:autoSpaceDN w:val="0"/>
        <w:adjustRightInd w:val="0"/>
        <w:spacing w:line="500" w:lineRule="exact"/>
        <w:ind w:firstLine="602" w:firstLineChars="200"/>
        <w:jc w:val="left"/>
        <w:outlineLvl w:val="2"/>
        <w:rPr>
          <w:rFonts w:ascii="仿宋" w:hAnsi="仿宋" w:eastAsia="仿宋"/>
          <w:b/>
          <w:bCs/>
          <w:color w:val="000000"/>
          <w:sz w:val="30"/>
          <w:szCs w:val="30"/>
        </w:rPr>
      </w:pPr>
      <w:bookmarkStart w:id="55" w:name="_Toc15377224"/>
      <w:r>
        <w:rPr>
          <w:rFonts w:hint="eastAsia" w:ascii="仿宋" w:hAnsi="仿宋" w:eastAsia="仿宋" w:cs="仿宋"/>
          <w:b/>
          <w:bCs/>
          <w:color w:val="000000"/>
          <w:sz w:val="30"/>
          <w:szCs w:val="30"/>
        </w:rPr>
        <w:t>（三）国有资产占有使用情况</w:t>
      </w:r>
      <w:bookmarkEnd w:id="55"/>
    </w:p>
    <w:p>
      <w:pPr>
        <w:autoSpaceDE w:val="0"/>
        <w:autoSpaceDN w:val="0"/>
        <w:adjustRightInd w:val="0"/>
        <w:spacing w:line="500" w:lineRule="exact"/>
        <w:ind w:firstLine="600" w:firstLineChars="200"/>
        <w:jc w:val="left"/>
        <w:rPr>
          <w:rFonts w:ascii="仿宋_GB2312" w:eastAsia="仿宋_GB2312" w:cs="仿宋_GB2312"/>
          <w:color w:val="000000"/>
          <w:sz w:val="30"/>
          <w:szCs w:val="30"/>
        </w:rPr>
      </w:pPr>
      <w:r>
        <w:rPr>
          <w:rFonts w:hint="eastAsia" w:ascii="仿宋_GB2312" w:eastAsia="仿宋_GB2312" w:cs="仿宋_GB2312"/>
          <w:color w:val="000000"/>
          <w:sz w:val="30"/>
          <w:szCs w:val="30"/>
        </w:rPr>
        <w:t>截至</w:t>
      </w:r>
      <w:r>
        <w:rPr>
          <w:rFonts w:ascii="仿宋_GB2312" w:eastAsia="仿宋_GB2312" w:cs="仿宋_GB2312"/>
          <w:color w:val="000000"/>
          <w:sz w:val="30"/>
          <w:szCs w:val="30"/>
        </w:rPr>
        <w:t>2019</w:t>
      </w:r>
      <w:r>
        <w:rPr>
          <w:rFonts w:hint="eastAsia" w:ascii="仿宋_GB2312" w:eastAsia="仿宋_GB2312" w:cs="仿宋_GB2312"/>
          <w:color w:val="000000"/>
          <w:sz w:val="30"/>
          <w:szCs w:val="30"/>
        </w:rPr>
        <w:t>年</w:t>
      </w:r>
      <w:r>
        <w:rPr>
          <w:rFonts w:ascii="仿宋_GB2312" w:eastAsia="仿宋_GB2312" w:cs="仿宋_GB2312"/>
          <w:color w:val="000000"/>
          <w:sz w:val="30"/>
          <w:szCs w:val="30"/>
        </w:rPr>
        <w:t>12</w:t>
      </w:r>
      <w:r>
        <w:rPr>
          <w:rFonts w:hint="eastAsia" w:ascii="仿宋_GB2312" w:eastAsia="仿宋_GB2312" w:cs="仿宋_GB2312"/>
          <w:color w:val="000000"/>
          <w:sz w:val="30"/>
          <w:szCs w:val="30"/>
        </w:rPr>
        <w:t>月</w:t>
      </w:r>
      <w:r>
        <w:rPr>
          <w:rFonts w:ascii="仿宋_GB2312" w:eastAsia="仿宋_GB2312" w:cs="仿宋_GB2312"/>
          <w:color w:val="000000"/>
          <w:sz w:val="30"/>
          <w:szCs w:val="30"/>
        </w:rPr>
        <w:t>31</w:t>
      </w:r>
      <w:r>
        <w:rPr>
          <w:rFonts w:hint="eastAsia" w:ascii="仿宋_GB2312" w:eastAsia="仿宋_GB2312" w:cs="仿宋_GB2312"/>
          <w:color w:val="000000"/>
          <w:sz w:val="30"/>
          <w:szCs w:val="30"/>
        </w:rPr>
        <w:t>日，广元市自然资源局及直属事业单位共有车辆</w:t>
      </w:r>
      <w:r>
        <w:rPr>
          <w:rFonts w:ascii="仿宋_GB2312" w:eastAsia="仿宋_GB2312" w:cs="仿宋_GB2312"/>
          <w:color w:val="000000"/>
          <w:sz w:val="30"/>
          <w:szCs w:val="30"/>
        </w:rPr>
        <w:t>8</w:t>
      </w:r>
      <w:r>
        <w:rPr>
          <w:rFonts w:hint="eastAsia" w:ascii="仿宋_GB2312" w:eastAsia="仿宋_GB2312" w:cs="仿宋_GB2312"/>
          <w:color w:val="000000"/>
          <w:sz w:val="30"/>
          <w:szCs w:val="30"/>
        </w:rPr>
        <w:t>辆，其中：主要领导干部用车</w:t>
      </w:r>
      <w:r>
        <w:rPr>
          <w:rFonts w:ascii="仿宋_GB2312" w:eastAsia="仿宋_GB2312" w:cs="仿宋_GB2312"/>
          <w:color w:val="000000"/>
          <w:sz w:val="30"/>
          <w:szCs w:val="30"/>
        </w:rPr>
        <w:t>2</w:t>
      </w:r>
      <w:r>
        <w:rPr>
          <w:rFonts w:hint="eastAsia" w:ascii="仿宋_GB2312" w:eastAsia="仿宋_GB2312" w:cs="仿宋_GB2312"/>
          <w:color w:val="000000"/>
          <w:sz w:val="30"/>
          <w:szCs w:val="30"/>
        </w:rPr>
        <w:t>辆、机要通信用车</w:t>
      </w:r>
      <w:r>
        <w:rPr>
          <w:rFonts w:ascii="仿宋_GB2312" w:eastAsia="仿宋_GB2312" w:cs="仿宋_GB2312"/>
          <w:color w:val="000000"/>
          <w:sz w:val="30"/>
          <w:szCs w:val="30"/>
        </w:rPr>
        <w:t>0</w:t>
      </w:r>
      <w:r>
        <w:rPr>
          <w:rFonts w:hint="eastAsia" w:ascii="仿宋_GB2312" w:eastAsia="仿宋_GB2312" w:cs="仿宋_GB2312"/>
          <w:color w:val="000000"/>
          <w:sz w:val="30"/>
          <w:szCs w:val="30"/>
        </w:rPr>
        <w:t>辆、应急保障用车</w:t>
      </w:r>
      <w:r>
        <w:rPr>
          <w:rFonts w:ascii="仿宋_GB2312" w:eastAsia="仿宋_GB2312" w:cs="仿宋_GB2312"/>
          <w:color w:val="000000"/>
          <w:sz w:val="30"/>
          <w:szCs w:val="30"/>
        </w:rPr>
        <w:t>0</w:t>
      </w:r>
      <w:r>
        <w:rPr>
          <w:rFonts w:hint="eastAsia" w:ascii="仿宋_GB2312" w:eastAsia="仿宋_GB2312" w:cs="仿宋_GB2312"/>
          <w:color w:val="000000"/>
          <w:sz w:val="30"/>
          <w:szCs w:val="30"/>
        </w:rPr>
        <w:t>辆、其他用车</w:t>
      </w:r>
      <w:r>
        <w:rPr>
          <w:rFonts w:ascii="仿宋_GB2312" w:eastAsia="仿宋_GB2312" w:cs="仿宋_GB2312"/>
          <w:color w:val="000000"/>
          <w:sz w:val="30"/>
          <w:szCs w:val="30"/>
        </w:rPr>
        <w:t>6</w:t>
      </w:r>
      <w:r>
        <w:rPr>
          <w:rFonts w:hint="eastAsia" w:ascii="仿宋_GB2312" w:eastAsia="仿宋_GB2312" w:cs="仿宋_GB2312"/>
          <w:color w:val="000000"/>
          <w:sz w:val="30"/>
          <w:szCs w:val="30"/>
        </w:rPr>
        <w:t>辆，其他用车主要是用于事业单位业务用车。单价</w:t>
      </w:r>
      <w:r>
        <w:rPr>
          <w:rFonts w:ascii="仿宋_GB2312" w:eastAsia="仿宋_GB2312" w:cs="仿宋_GB2312"/>
          <w:color w:val="000000"/>
          <w:sz w:val="30"/>
          <w:szCs w:val="30"/>
        </w:rPr>
        <w:t>50</w:t>
      </w:r>
      <w:r>
        <w:rPr>
          <w:rFonts w:hint="eastAsia" w:ascii="仿宋_GB2312" w:eastAsia="仿宋_GB2312" w:cs="仿宋_GB2312"/>
          <w:color w:val="000000"/>
          <w:sz w:val="30"/>
          <w:szCs w:val="30"/>
        </w:rPr>
        <w:t>万元以上通用设备</w:t>
      </w:r>
      <w:r>
        <w:rPr>
          <w:rFonts w:ascii="仿宋_GB2312" w:eastAsia="仿宋_GB2312" w:cs="仿宋_GB2312"/>
          <w:color w:val="000000"/>
          <w:sz w:val="30"/>
          <w:szCs w:val="30"/>
        </w:rPr>
        <w:t>0</w:t>
      </w:r>
      <w:r>
        <w:rPr>
          <w:rFonts w:hint="eastAsia" w:ascii="仿宋_GB2312" w:eastAsia="仿宋_GB2312" w:cs="仿宋_GB2312"/>
          <w:color w:val="000000"/>
          <w:sz w:val="30"/>
          <w:szCs w:val="30"/>
        </w:rPr>
        <w:t>台（套），单价</w:t>
      </w:r>
      <w:r>
        <w:rPr>
          <w:rFonts w:ascii="仿宋_GB2312" w:eastAsia="仿宋_GB2312" w:cs="仿宋_GB2312"/>
          <w:color w:val="000000"/>
          <w:sz w:val="30"/>
          <w:szCs w:val="30"/>
        </w:rPr>
        <w:t>100</w:t>
      </w:r>
      <w:r>
        <w:rPr>
          <w:rFonts w:hint="eastAsia" w:ascii="仿宋_GB2312" w:eastAsia="仿宋_GB2312" w:cs="仿宋_GB2312"/>
          <w:color w:val="000000"/>
          <w:sz w:val="30"/>
          <w:szCs w:val="30"/>
        </w:rPr>
        <w:t>万元以上专用设备</w:t>
      </w:r>
      <w:r>
        <w:rPr>
          <w:rFonts w:ascii="仿宋_GB2312" w:eastAsia="仿宋_GB2312" w:cs="仿宋_GB2312"/>
          <w:color w:val="000000"/>
          <w:sz w:val="30"/>
          <w:szCs w:val="30"/>
        </w:rPr>
        <w:t>0</w:t>
      </w:r>
      <w:r>
        <w:rPr>
          <w:rFonts w:hint="eastAsia" w:ascii="仿宋_GB2312" w:eastAsia="仿宋_GB2312" w:cs="仿宋_GB2312"/>
          <w:color w:val="000000"/>
          <w:sz w:val="30"/>
          <w:szCs w:val="30"/>
        </w:rPr>
        <w:t>台（套）。</w:t>
      </w:r>
    </w:p>
    <w:p>
      <w:pPr>
        <w:autoSpaceDE w:val="0"/>
        <w:autoSpaceDN w:val="0"/>
        <w:adjustRightInd w:val="0"/>
        <w:spacing w:line="500" w:lineRule="exact"/>
        <w:ind w:firstLine="600" w:firstLineChars="200"/>
        <w:jc w:val="left"/>
        <w:rPr>
          <w:rFonts w:ascii="仿宋_GB2312" w:eastAsia="仿宋_GB2312" w:cs="仿宋_GB2312"/>
          <w:color w:val="000000"/>
          <w:sz w:val="30"/>
          <w:szCs w:val="30"/>
        </w:rPr>
      </w:pPr>
      <w:r>
        <w:rPr>
          <w:rFonts w:hint="eastAsia" w:ascii="仿宋_GB2312" w:eastAsia="仿宋_GB2312" w:cs="仿宋_GB2312"/>
          <w:color w:val="000000"/>
          <w:sz w:val="30"/>
          <w:szCs w:val="30"/>
        </w:rPr>
        <w:t>（四）预算绩效管理情况</w:t>
      </w:r>
    </w:p>
    <w:p>
      <w:pPr>
        <w:autoSpaceDE w:val="0"/>
        <w:autoSpaceDN w:val="0"/>
        <w:adjustRightInd w:val="0"/>
        <w:spacing w:line="500" w:lineRule="exact"/>
        <w:ind w:firstLine="600" w:firstLineChars="200"/>
        <w:jc w:val="left"/>
        <w:rPr>
          <w:rFonts w:ascii="仿宋_GB2312" w:eastAsia="仿宋_GB2312" w:cs="仿宋_GB2312"/>
          <w:color w:val="000000"/>
          <w:sz w:val="30"/>
          <w:szCs w:val="30"/>
        </w:rPr>
      </w:pPr>
      <w:r>
        <w:rPr>
          <w:rFonts w:hint="eastAsia" w:ascii="仿宋_GB2312" w:eastAsia="仿宋_GB2312" w:cs="仿宋_GB2312"/>
          <w:color w:val="000000"/>
          <w:sz w:val="30"/>
          <w:szCs w:val="30"/>
        </w:rPr>
        <w:t>根据预算绩效管理要求，广元市自然资源局及直属事业单位在年初预算编制阶段，组织对15个项目编制了绩效目标。</w:t>
      </w:r>
    </w:p>
    <w:p>
      <w:pPr>
        <w:spacing w:line="500" w:lineRule="exact"/>
        <w:ind w:firstLine="720"/>
        <w:rPr>
          <w:rFonts w:ascii="仿宋_GB2312" w:hAnsi="仿宋" w:eastAsia="仿宋_GB2312"/>
          <w:sz w:val="30"/>
          <w:szCs w:val="30"/>
        </w:rPr>
      </w:pPr>
      <w:r>
        <w:rPr>
          <w:rFonts w:hint="eastAsia" w:ascii="仿宋_GB2312" w:eastAsia="仿宋_GB2312" w:cs="仿宋_GB2312"/>
          <w:color w:val="000000"/>
          <w:sz w:val="30"/>
          <w:szCs w:val="30"/>
        </w:rPr>
        <w:t>本部门按要求对2019年部门整体支出开展绩效自评，从评价情况来看，我局严格执行预算，执行中没有调整项目，且预算执行平衡，完成了本部门经济和社会发展的职能职责。自评得分100分，</w:t>
      </w:r>
      <w:r>
        <w:rPr>
          <w:rFonts w:hint="eastAsia" w:ascii="仿宋_GB2312" w:hAnsi="宋体" w:eastAsia="仿宋_GB2312" w:cs="仿宋_GB2312"/>
          <w:b/>
          <w:color w:val="000000"/>
          <w:kern w:val="0"/>
          <w:sz w:val="30"/>
          <w:szCs w:val="30"/>
          <w:shd w:val="clear" w:color="auto" w:fill="FFFFFF"/>
        </w:rPr>
        <w:t>一是尽心尽力维护民生工作</w:t>
      </w:r>
      <w:r>
        <w:rPr>
          <w:rFonts w:hint="eastAsia" w:ascii="仿宋_GB2312" w:hAnsi="宋体" w:eastAsia="仿宋_GB2312" w:cs="仿宋_GB2312"/>
          <w:color w:val="000000"/>
          <w:kern w:val="0"/>
          <w:sz w:val="30"/>
          <w:szCs w:val="30"/>
          <w:shd w:val="clear" w:color="auto" w:fill="FFFFFF"/>
        </w:rPr>
        <w:t>。保证干部职工的合法权益，提高干部职工的工作积极性，保证单位工作的正常运转，有效提升干部职工办事效率和推动全局工作高效完成。</w:t>
      </w:r>
      <w:r>
        <w:rPr>
          <w:rFonts w:hint="eastAsia" w:ascii="仿宋_GB2312" w:hAnsi="宋体" w:eastAsia="仿宋_GB2312" w:cs="仿宋_GB2312"/>
          <w:b/>
          <w:color w:val="000000"/>
          <w:kern w:val="0"/>
          <w:sz w:val="30"/>
          <w:szCs w:val="30"/>
          <w:shd w:val="clear" w:color="auto" w:fill="FFFFFF"/>
        </w:rPr>
        <w:t>二是加强耕地保护工作</w:t>
      </w:r>
      <w:r>
        <w:rPr>
          <w:rFonts w:hint="eastAsia" w:ascii="仿宋_GB2312" w:hAnsi="宋体" w:eastAsia="仿宋_GB2312" w:cs="仿宋_GB2312"/>
          <w:color w:val="000000"/>
          <w:kern w:val="0"/>
          <w:sz w:val="30"/>
          <w:szCs w:val="30"/>
          <w:shd w:val="clear" w:color="auto" w:fill="FFFFFF"/>
        </w:rPr>
        <w:t>。严格落实</w:t>
      </w:r>
      <w:r>
        <w:rPr>
          <w:rFonts w:ascii="仿宋_GB2312" w:hAnsi="宋体" w:eastAsia="仿宋_GB2312" w:cs="仿宋_GB2312"/>
          <w:color w:val="000000"/>
          <w:kern w:val="0"/>
          <w:sz w:val="30"/>
          <w:szCs w:val="30"/>
          <w:shd w:val="clear" w:color="auto" w:fill="FFFFFF"/>
        </w:rPr>
        <w:t>32.79</w:t>
      </w:r>
      <w:r>
        <w:rPr>
          <w:rFonts w:hint="eastAsia" w:ascii="仿宋_GB2312" w:hAnsi="宋体" w:eastAsia="仿宋_GB2312" w:cs="仿宋_GB2312"/>
          <w:color w:val="000000"/>
          <w:kern w:val="0"/>
          <w:sz w:val="30"/>
          <w:szCs w:val="30"/>
          <w:shd w:val="clear" w:color="auto" w:fill="FFFFFF"/>
        </w:rPr>
        <w:t>万公顷耕地保有量和</w:t>
      </w:r>
      <w:r>
        <w:rPr>
          <w:rFonts w:ascii="仿宋_GB2312" w:hAnsi="宋体" w:eastAsia="仿宋_GB2312" w:cs="仿宋_GB2312"/>
          <w:color w:val="000000"/>
          <w:kern w:val="0"/>
          <w:sz w:val="30"/>
          <w:szCs w:val="30"/>
          <w:shd w:val="clear" w:color="auto" w:fill="FFFFFF"/>
        </w:rPr>
        <w:t>27.11</w:t>
      </w:r>
      <w:r>
        <w:rPr>
          <w:rFonts w:hint="eastAsia" w:ascii="仿宋_GB2312" w:hAnsi="宋体" w:eastAsia="仿宋_GB2312" w:cs="仿宋_GB2312"/>
          <w:color w:val="000000"/>
          <w:kern w:val="0"/>
          <w:sz w:val="30"/>
          <w:szCs w:val="30"/>
          <w:shd w:val="clear" w:color="auto" w:fill="FFFFFF"/>
        </w:rPr>
        <w:t>万公顷基本农田保护责任。实施下达土地整理扶贫项目，监测更多高标准农田，增加新增耕地面积，做好增减挂钩工作，积极上报省厅申请增加挂钩立项并组织实施，积极推进挂钩结余指标流转，争取更多回笼资金。</w:t>
      </w:r>
      <w:r>
        <w:rPr>
          <w:rFonts w:hint="eastAsia" w:ascii="仿宋_GB2312" w:hAnsi="宋体" w:eastAsia="仿宋_GB2312" w:cs="仿宋_GB2312"/>
          <w:b/>
          <w:color w:val="000000"/>
          <w:kern w:val="0"/>
          <w:sz w:val="30"/>
          <w:szCs w:val="30"/>
          <w:shd w:val="clear" w:color="auto" w:fill="FFFFFF"/>
        </w:rPr>
        <w:t>三是抓好土地供应工作。</w:t>
      </w:r>
      <w:r>
        <w:rPr>
          <w:rFonts w:hint="eastAsia" w:ascii="仿宋_GB2312" w:hAnsi="宋体" w:eastAsia="仿宋_GB2312" w:cs="仿宋_GB2312"/>
          <w:color w:val="000000"/>
          <w:kern w:val="0"/>
          <w:sz w:val="30"/>
          <w:szCs w:val="30"/>
          <w:shd w:val="clear" w:color="auto" w:fill="FFFFFF"/>
        </w:rPr>
        <w:t>抓好</w:t>
      </w:r>
      <w:r>
        <w:rPr>
          <w:rFonts w:ascii="仿宋_GB2312" w:hAnsi="宋体" w:eastAsia="仿宋_GB2312" w:cs="仿宋_GB2312"/>
          <w:color w:val="000000"/>
          <w:kern w:val="0"/>
          <w:sz w:val="30"/>
          <w:szCs w:val="30"/>
          <w:shd w:val="clear" w:color="auto" w:fill="FFFFFF"/>
        </w:rPr>
        <w:t>2019</w:t>
      </w:r>
      <w:r>
        <w:rPr>
          <w:rFonts w:hint="eastAsia" w:ascii="仿宋_GB2312" w:hAnsi="宋体" w:eastAsia="仿宋_GB2312" w:cs="仿宋_GB2312"/>
          <w:color w:val="000000"/>
          <w:kern w:val="0"/>
          <w:sz w:val="30"/>
          <w:szCs w:val="30"/>
          <w:shd w:val="clear" w:color="auto" w:fill="FFFFFF"/>
        </w:rPr>
        <w:t>年度市本级及市辖区国有建设用地供应，实现合同价款目标，保障我市高供地率位居全省前列。</w:t>
      </w:r>
      <w:r>
        <w:rPr>
          <w:rFonts w:hint="eastAsia" w:ascii="仿宋_GB2312" w:hAnsi="宋体" w:eastAsia="仿宋_GB2312" w:cs="仿宋_GB2312"/>
          <w:b/>
          <w:color w:val="000000"/>
          <w:kern w:val="0"/>
          <w:sz w:val="30"/>
          <w:szCs w:val="30"/>
          <w:shd w:val="clear" w:color="auto" w:fill="FFFFFF"/>
        </w:rPr>
        <w:t>四是抓好民生工程</w:t>
      </w:r>
      <w:r>
        <w:rPr>
          <w:rFonts w:hint="eastAsia" w:ascii="仿宋_GB2312" w:hAnsi="宋体" w:eastAsia="仿宋_GB2312" w:cs="仿宋_GB2312"/>
          <w:color w:val="000000"/>
          <w:kern w:val="0"/>
          <w:sz w:val="30"/>
          <w:szCs w:val="30"/>
          <w:shd w:val="clear" w:color="auto" w:fill="FFFFFF"/>
        </w:rPr>
        <w:t>。抓实地质灾害排查、治理，完成民生工程和避险搬迁安置工程。</w:t>
      </w:r>
      <w:r>
        <w:rPr>
          <w:rFonts w:hint="eastAsia" w:ascii="仿宋_GB2312" w:hAnsi="宋体" w:eastAsia="仿宋_GB2312" w:cs="仿宋_GB2312"/>
          <w:b/>
          <w:color w:val="000000"/>
          <w:kern w:val="0"/>
          <w:sz w:val="30"/>
          <w:szCs w:val="30"/>
          <w:shd w:val="clear" w:color="auto" w:fill="FFFFFF"/>
        </w:rPr>
        <w:t>五是矿产资源管理工作</w:t>
      </w:r>
      <w:r>
        <w:rPr>
          <w:rFonts w:hint="eastAsia" w:ascii="仿宋_GB2312" w:hAnsi="宋体" w:eastAsia="仿宋_GB2312" w:cs="仿宋_GB2312"/>
          <w:color w:val="000000"/>
          <w:kern w:val="0"/>
          <w:sz w:val="30"/>
          <w:szCs w:val="30"/>
          <w:shd w:val="clear" w:color="auto" w:fill="FFFFFF"/>
        </w:rPr>
        <w:t>。开展矿业权实地核查，实现矿业权价款增长。</w:t>
      </w:r>
      <w:r>
        <w:rPr>
          <w:rFonts w:hint="eastAsia" w:ascii="仿宋_GB2312" w:hAnsi="宋体" w:eastAsia="仿宋_GB2312" w:cs="仿宋_GB2312"/>
          <w:b/>
          <w:color w:val="000000"/>
          <w:kern w:val="0"/>
          <w:sz w:val="30"/>
          <w:szCs w:val="30"/>
          <w:shd w:val="clear" w:color="auto" w:fill="FFFFFF"/>
        </w:rPr>
        <w:t>六是土地调查和不动产登记工作</w:t>
      </w:r>
      <w:r>
        <w:rPr>
          <w:rFonts w:hint="eastAsia" w:ascii="仿宋_GB2312" w:hAnsi="宋体" w:eastAsia="仿宋_GB2312" w:cs="仿宋_GB2312"/>
          <w:color w:val="000000"/>
          <w:kern w:val="0"/>
          <w:sz w:val="30"/>
          <w:szCs w:val="30"/>
          <w:shd w:val="clear" w:color="auto" w:fill="FFFFFF"/>
        </w:rPr>
        <w:t>。按计划稳步实施广元市第三次全国土地调查。严格按照《广元市第三次全国国土调查实施方案》，高质量推进工作，全市已完成233个调查单元共计2543个村的初始阶段调查工作，已顺利通过国家核查。</w:t>
      </w:r>
      <w:r>
        <w:rPr>
          <w:rFonts w:hint="eastAsia" w:ascii="仿宋_GB2312" w:hAnsi="宋体" w:eastAsia="仿宋_GB2312" w:cs="仿宋_GB2312"/>
          <w:b/>
          <w:color w:val="000000"/>
          <w:kern w:val="0"/>
          <w:sz w:val="30"/>
          <w:szCs w:val="30"/>
          <w:shd w:val="clear" w:color="auto" w:fill="FFFFFF"/>
        </w:rPr>
        <w:t>七是卫片执法监督工作</w:t>
      </w:r>
      <w:r>
        <w:rPr>
          <w:rFonts w:hint="eastAsia" w:ascii="仿宋_GB2312" w:hAnsi="宋体" w:eastAsia="仿宋_GB2312" w:cs="仿宋_GB2312"/>
          <w:color w:val="000000"/>
          <w:kern w:val="0"/>
          <w:sz w:val="30"/>
          <w:szCs w:val="30"/>
          <w:shd w:val="clear" w:color="auto" w:fill="FFFFFF"/>
        </w:rPr>
        <w:t>.加强土地动态巡查力度，实现重点区域覆盖率</w:t>
      </w:r>
      <w:r>
        <w:rPr>
          <w:rFonts w:ascii="仿宋_GB2312" w:hAnsi="宋体" w:eastAsia="仿宋_GB2312" w:cs="仿宋_GB2312"/>
          <w:color w:val="000000"/>
          <w:kern w:val="0"/>
          <w:sz w:val="30"/>
          <w:szCs w:val="30"/>
          <w:shd w:val="clear" w:color="auto" w:fill="FFFFFF"/>
        </w:rPr>
        <w:t>100%</w:t>
      </w:r>
      <w:r>
        <w:rPr>
          <w:rFonts w:hint="eastAsia" w:ascii="仿宋_GB2312" w:hAnsi="宋体" w:eastAsia="仿宋_GB2312" w:cs="仿宋_GB2312"/>
          <w:color w:val="000000"/>
          <w:kern w:val="0"/>
          <w:sz w:val="30"/>
          <w:szCs w:val="30"/>
          <w:shd w:val="clear" w:color="auto" w:fill="FFFFFF"/>
        </w:rPr>
        <w:t>，实现“零约谈、零问责”。</w:t>
      </w:r>
      <w:r>
        <w:rPr>
          <w:rFonts w:hint="eastAsia" w:ascii="仿宋_GB2312" w:hAnsi="宋体" w:eastAsia="仿宋_GB2312" w:cs="仿宋_GB2312"/>
          <w:b/>
          <w:color w:val="000000"/>
          <w:kern w:val="0"/>
          <w:sz w:val="30"/>
          <w:szCs w:val="30"/>
          <w:shd w:val="clear" w:color="auto" w:fill="FFFFFF"/>
        </w:rPr>
        <w:t>八是做好地理信息测绘工作。</w:t>
      </w:r>
      <w:r>
        <w:rPr>
          <w:rFonts w:hint="eastAsia" w:ascii="仿宋_GB2312" w:hAnsi="宋体" w:eastAsia="仿宋_GB2312" w:cs="仿宋_GB2312"/>
          <w:color w:val="000000"/>
          <w:kern w:val="0"/>
          <w:sz w:val="30"/>
          <w:szCs w:val="30"/>
          <w:shd w:val="clear" w:color="auto" w:fill="FFFFFF"/>
        </w:rPr>
        <w:t>对45个测量标志点开展巡查，完成目标任务的150%。</w:t>
      </w:r>
      <w:r>
        <w:rPr>
          <w:rFonts w:hint="eastAsia" w:ascii="仿宋_GB2312" w:hAnsi="宋体" w:eastAsia="仿宋_GB2312" w:cs="仿宋_GB2312"/>
          <w:b/>
          <w:color w:val="000000"/>
          <w:kern w:val="0"/>
          <w:sz w:val="30"/>
          <w:szCs w:val="30"/>
          <w:shd w:val="clear" w:color="auto" w:fill="FFFFFF"/>
        </w:rPr>
        <w:t>九是大力推进数据整合及平台建设</w:t>
      </w:r>
      <w:r>
        <w:rPr>
          <w:rFonts w:hint="eastAsia" w:ascii="仿宋_GB2312" w:hAnsi="宋体" w:eastAsia="仿宋_GB2312" w:cs="仿宋_GB2312"/>
          <w:color w:val="000000"/>
          <w:kern w:val="0"/>
          <w:sz w:val="30"/>
          <w:szCs w:val="30"/>
          <w:shd w:val="clear" w:color="auto" w:fill="FFFFFF"/>
        </w:rPr>
        <w:t>。完成全市2018年土地变更调查，检查图斑1407个，监测面积15648.8亩，率先在全省完成了数据成果的提交和验收。积极做好“天地图.广元”与市政务信息资源共享平台的对接工作。</w:t>
      </w:r>
      <w:r>
        <w:rPr>
          <w:rFonts w:hint="eastAsia" w:ascii="仿宋_GB2312" w:hAnsi="仿宋" w:eastAsia="仿宋_GB2312" w:cs="仿宋_GB2312"/>
          <w:sz w:val="30"/>
          <w:szCs w:val="30"/>
        </w:rPr>
        <w:t>全市不动产登记信息数据中心机房已建成，将</w:t>
      </w:r>
      <w:r>
        <w:rPr>
          <w:rFonts w:hint="eastAsia" w:ascii="仿宋_GB2312" w:hAnsi="微软雅黑" w:eastAsia="仿宋_GB2312" w:cs="仿宋_GB2312"/>
          <w:sz w:val="30"/>
          <w:szCs w:val="30"/>
        </w:rPr>
        <w:t>逐步实现全市不动产登记信息数据整合汇交</w:t>
      </w:r>
      <w:r>
        <w:rPr>
          <w:rFonts w:hint="eastAsia" w:ascii="仿宋_GB2312" w:hAnsi="仿宋" w:eastAsia="仿宋_GB2312" w:cs="仿宋_GB2312"/>
          <w:sz w:val="30"/>
          <w:szCs w:val="30"/>
        </w:rPr>
        <w:t>。加快</w:t>
      </w:r>
      <w:r>
        <w:rPr>
          <w:rFonts w:hint="eastAsia" w:ascii="仿宋_GB2312" w:hAnsi="微软雅黑" w:eastAsia="仿宋_GB2312" w:cs="仿宋_GB2312"/>
          <w:sz w:val="30"/>
          <w:szCs w:val="30"/>
        </w:rPr>
        <w:t>整理“一张图”系统相关资料，争取在本年度内完成“一张图”系统终验，并及时做好系统等保测评，保</w:t>
      </w:r>
      <w:r>
        <w:rPr>
          <w:rFonts w:hint="eastAsia" w:ascii="仿宋_GB2312" w:hAnsi="仿宋" w:eastAsia="仿宋_GB2312" w:cs="仿宋_GB2312"/>
          <w:sz w:val="30"/>
          <w:szCs w:val="30"/>
        </w:rPr>
        <w:t>障系统安全运转。</w:t>
      </w:r>
    </w:p>
    <w:p>
      <w:pPr>
        <w:autoSpaceDE w:val="0"/>
        <w:autoSpaceDN w:val="0"/>
        <w:adjustRightInd w:val="0"/>
        <w:spacing w:line="500" w:lineRule="exact"/>
        <w:ind w:firstLine="600" w:firstLineChars="200"/>
        <w:jc w:val="left"/>
        <w:rPr>
          <w:rFonts w:ascii="仿宋_GB2312" w:eastAsia="仿宋_GB2312"/>
          <w:color w:val="000000"/>
          <w:sz w:val="30"/>
          <w:szCs w:val="30"/>
        </w:rPr>
      </w:pPr>
    </w:p>
    <w:p>
      <w:pPr>
        <w:autoSpaceDE w:val="0"/>
        <w:autoSpaceDN w:val="0"/>
        <w:adjustRightInd w:val="0"/>
        <w:spacing w:line="500" w:lineRule="exact"/>
        <w:ind w:firstLine="602" w:firstLineChars="200"/>
        <w:jc w:val="left"/>
        <w:rPr>
          <w:rFonts w:ascii="仿宋" w:hAnsi="仿宋" w:eastAsia="仿宋"/>
          <w:b/>
          <w:bCs/>
          <w:color w:val="FF0000"/>
          <w:sz w:val="30"/>
          <w:szCs w:val="30"/>
        </w:rPr>
      </w:pPr>
    </w:p>
    <w:p>
      <w:pPr>
        <w:numPr>
          <w:ilvl w:val="0"/>
          <w:numId w:val="4"/>
        </w:numPr>
        <w:spacing w:line="500" w:lineRule="exact"/>
        <w:ind w:firstLine="450" w:firstLineChars="150"/>
        <w:jc w:val="center"/>
        <w:outlineLvl w:val="0"/>
        <w:rPr>
          <w:rStyle w:val="17"/>
          <w:rFonts w:ascii="黑体" w:hAnsi="黑体" w:eastAsia="黑体"/>
          <w:b w:val="0"/>
          <w:bCs w:val="0"/>
          <w:sz w:val="30"/>
          <w:szCs w:val="30"/>
        </w:rPr>
      </w:pPr>
      <w:bookmarkStart w:id="56" w:name="_Toc15396613"/>
      <w:bookmarkStart w:id="57" w:name="_Toc15377225"/>
      <w:r>
        <w:rPr>
          <w:rFonts w:hint="eastAsia" w:ascii="黑体" w:hAnsi="黑体" w:eastAsia="黑体" w:cs="黑体"/>
          <w:color w:val="000000"/>
          <w:sz w:val="30"/>
          <w:szCs w:val="30"/>
        </w:rPr>
        <w:t>名</w:t>
      </w:r>
      <w:r>
        <w:rPr>
          <w:rStyle w:val="17"/>
          <w:rFonts w:hint="eastAsia" w:ascii="黑体" w:hAnsi="黑体" w:eastAsia="黑体" w:cs="黑体"/>
          <w:b w:val="0"/>
          <w:bCs w:val="0"/>
          <w:sz w:val="30"/>
          <w:szCs w:val="30"/>
        </w:rPr>
        <w:t>词解释</w:t>
      </w:r>
      <w:bookmarkEnd w:id="56"/>
      <w:bookmarkEnd w:id="57"/>
    </w:p>
    <w:p>
      <w:pPr>
        <w:spacing w:line="500" w:lineRule="exact"/>
        <w:jc w:val="left"/>
        <w:rPr>
          <w:rFonts w:ascii="宋体"/>
          <w:b/>
          <w:bCs/>
          <w:color w:val="000000"/>
          <w:sz w:val="30"/>
          <w:szCs w:val="30"/>
        </w:rPr>
      </w:pP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1.财政拨款收入：指单位从同级财政部门取得的财政预算资金。</w:t>
      </w: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2.其他收入：指单位取得的除上述收入以外的各项收入。主要是单位利息收入和财政未通过大平台拨付单位的项目资金。 </w:t>
      </w: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2.年初结转和结余：指以前年度尚未完成、结转到本年按有关规定继续使用的资金。 </w:t>
      </w: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3、年末结转和结余：指单位按有关规定结转到下年或以后年度继续使用的资金。</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4.教育（类）进修与培训（款）培训支出（项）：指财政拨付我局用于城市空间规划培训专款。</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5.社会保障和就业（类）行政事业单位离退休（款）机关事业单位基本养老保险、职业年金缴费（项）：指我局机关及直属事业单位在编人员基本养老保险及离退休人员、调出人员、离职人员年金记实/补记缴费。</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6.医疗卫生与计划生育（类）医疗保障（款）行政事业单位医疗保险（项）：指单位在编人员的医疗保险缴费。</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7.城乡社区（类）其他城区社区支出（款）土地开发及出让支出（项）：指土地开发项目业务支出、土地拆迁补偿支出、土地出让业务支出。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8.自然资源海洋气象等（类）自然资源事务（款）行政运行、一般行政管理事务、国土整治、事业运行、其他自然资源事务支出（项），其中：</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行政运行：指单位行政机关人员基本工资、津贴补贴、奖金、及日常商品服务支出。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一般行政管理事务：指财政下达的一般公共预算的常规项目支出。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国土整治：指各级财政下达的土地整理项目专项资金支出。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事业运行：指我局事业单位人员的基本工资、绩效工资、津贴补贴、奖金及日常商品服务支出。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其他自然资源事务支出：指财政未通过大平台拨付的项目专项资金支出。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9.住房保障（类）住房改革支出（款住房公积金、购房补贴（项）：其中：</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住房公积金：指单位职工住房公积金缴费支出。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购房补贴：指单位引进人才的安家补助费。</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10.基本支出：指为保障机构正常运转、完成日常工作任务而发生的人员支出和公用支出。</w:t>
      </w:r>
    </w:p>
    <w:p>
      <w:pPr>
        <w:spacing w:line="5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11.项目支出：指在基本支出之外为完成特定行政任务和事业发展目标所发生的支出。 </w:t>
      </w: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00" w:lineRule="exact"/>
        <w:ind w:firstLine="600" w:firstLineChars="200"/>
        <w:rPr>
          <w:rFonts w:ascii="仿宋_GB2312" w:eastAsia="仿宋_GB2312" w:cs="Times New Roman"/>
          <w:sz w:val="30"/>
          <w:szCs w:val="30"/>
        </w:rPr>
      </w:pPr>
    </w:p>
    <w:p>
      <w:pPr>
        <w:spacing w:line="500" w:lineRule="exact"/>
        <w:jc w:val="center"/>
        <w:outlineLvl w:val="0"/>
        <w:rPr>
          <w:rStyle w:val="17"/>
          <w:rFonts w:ascii="黑体" w:hAnsi="黑体" w:eastAsia="黑体"/>
          <w:b w:val="0"/>
          <w:bCs w:val="0"/>
          <w:sz w:val="30"/>
          <w:szCs w:val="30"/>
        </w:rPr>
      </w:pPr>
      <w:bookmarkStart w:id="58" w:name="_Toc15396614"/>
      <w:bookmarkStart w:id="59" w:name="_Toc15377226"/>
      <w:r>
        <w:rPr>
          <w:rFonts w:hint="eastAsia" w:ascii="黑体" w:hAnsi="黑体" w:eastAsia="黑体" w:cs="黑体"/>
          <w:color w:val="000000"/>
          <w:sz w:val="30"/>
          <w:szCs w:val="30"/>
        </w:rPr>
        <w:t>第</w:t>
      </w:r>
      <w:r>
        <w:rPr>
          <w:rStyle w:val="17"/>
          <w:rFonts w:hint="eastAsia" w:ascii="黑体" w:hAnsi="黑体" w:eastAsia="黑体" w:cs="黑体"/>
          <w:b w:val="0"/>
          <w:bCs w:val="0"/>
          <w:sz w:val="30"/>
          <w:szCs w:val="30"/>
        </w:rPr>
        <w:t>四部分</w:t>
      </w:r>
      <w:r>
        <w:rPr>
          <w:rStyle w:val="17"/>
          <w:rFonts w:ascii="黑体" w:hAnsi="黑体" w:eastAsia="黑体" w:cs="黑体"/>
          <w:b w:val="0"/>
          <w:bCs w:val="0"/>
          <w:sz w:val="30"/>
          <w:szCs w:val="30"/>
        </w:rPr>
        <w:t xml:space="preserve"> </w:t>
      </w:r>
      <w:r>
        <w:rPr>
          <w:rStyle w:val="17"/>
          <w:rFonts w:hint="eastAsia" w:ascii="黑体" w:hAnsi="黑体" w:eastAsia="黑体" w:cs="黑体"/>
          <w:b w:val="0"/>
          <w:bCs w:val="0"/>
          <w:sz w:val="30"/>
          <w:szCs w:val="30"/>
        </w:rPr>
        <w:t>附件</w:t>
      </w:r>
      <w:bookmarkEnd w:id="58"/>
    </w:p>
    <w:p>
      <w:pPr>
        <w:spacing w:line="500" w:lineRule="exact"/>
        <w:outlineLvl w:val="0"/>
        <w:rPr>
          <w:rFonts w:ascii="方正小标宋简体" w:hAnsi="方正小标宋简体" w:eastAsia="方正小标宋简体"/>
          <w:sz w:val="30"/>
          <w:szCs w:val="30"/>
        </w:rPr>
      </w:pPr>
      <w:r>
        <w:rPr>
          <w:rStyle w:val="17"/>
          <w:rFonts w:ascii="黑体" w:hAnsi="黑体" w:eastAsia="黑体"/>
          <w:b w:val="0"/>
          <w:bCs w:val="0"/>
          <w:sz w:val="30"/>
          <w:szCs w:val="30"/>
        </w:rPr>
        <w:br w:type="page"/>
      </w:r>
      <w:r>
        <w:rPr>
          <w:rFonts w:hint="eastAsia" w:ascii="黑体" w:hAnsi="黑体" w:eastAsia="黑体" w:cs="黑体"/>
          <w:sz w:val="30"/>
          <w:szCs w:val="30"/>
        </w:rPr>
        <w:t>附件</w:t>
      </w:r>
      <w:r>
        <w:rPr>
          <w:rFonts w:ascii="黑体" w:hAnsi="黑体" w:eastAsia="黑体" w:cs="黑体"/>
          <w:sz w:val="30"/>
          <w:szCs w:val="30"/>
        </w:rPr>
        <w:t>1</w:t>
      </w:r>
    </w:p>
    <w:p>
      <w:pPr>
        <w:spacing w:line="500" w:lineRule="exact"/>
        <w:jc w:val="center"/>
        <w:rPr>
          <w:rFonts w:ascii="方正小标宋简体" w:hAnsi="方正小标宋简体" w:eastAsia="方正小标宋简体"/>
          <w:sz w:val="30"/>
          <w:szCs w:val="30"/>
        </w:rPr>
      </w:pPr>
    </w:p>
    <w:p>
      <w:pPr>
        <w:spacing w:line="500" w:lineRule="exact"/>
        <w:jc w:val="center"/>
        <w:rPr>
          <w:rFonts w:ascii="方正小标宋_GBK" w:hAnsi="宋体" w:eastAsia="方正小标宋_GBK"/>
          <w:color w:val="000000"/>
          <w:kern w:val="0"/>
          <w:sz w:val="30"/>
          <w:szCs w:val="30"/>
          <w:lang w:val="zh-CN"/>
        </w:rPr>
      </w:pPr>
      <w:r>
        <w:rPr>
          <w:rFonts w:hint="eastAsia" w:ascii="方正小标宋_GBK" w:hAnsi="宋体" w:eastAsia="方正小标宋_GBK" w:cs="方正小标宋_GBK"/>
          <w:color w:val="000000"/>
          <w:kern w:val="0"/>
          <w:sz w:val="30"/>
          <w:szCs w:val="30"/>
          <w:lang w:val="zh-CN"/>
        </w:rPr>
        <w:t>广元市自然资源局部门</w:t>
      </w:r>
      <w:r>
        <w:rPr>
          <w:rFonts w:ascii="方正小标宋_GBK" w:hAnsi="宋体" w:eastAsia="方正小标宋_GBK" w:cs="方正小标宋_GBK"/>
          <w:color w:val="000000"/>
          <w:kern w:val="0"/>
          <w:sz w:val="30"/>
          <w:szCs w:val="30"/>
        </w:rPr>
        <w:t>2019</w:t>
      </w:r>
      <w:r>
        <w:rPr>
          <w:rFonts w:hint="eastAsia" w:ascii="方正小标宋_GBK" w:hAnsi="宋体" w:eastAsia="方正小标宋_GBK" w:cs="方正小标宋_GBK"/>
          <w:color w:val="000000"/>
          <w:kern w:val="0"/>
          <w:sz w:val="30"/>
          <w:szCs w:val="30"/>
        </w:rPr>
        <w:t>年部门</w:t>
      </w:r>
      <w:r>
        <w:rPr>
          <w:rFonts w:hint="eastAsia" w:ascii="方正小标宋_GBK" w:hAnsi="宋体" w:eastAsia="方正小标宋_GBK" w:cs="方正小标宋_GBK"/>
          <w:color w:val="000000"/>
          <w:kern w:val="0"/>
          <w:sz w:val="30"/>
          <w:szCs w:val="30"/>
          <w:lang w:val="zh-CN"/>
        </w:rPr>
        <w:t>整体支出绩效评价报告</w:t>
      </w:r>
    </w:p>
    <w:p>
      <w:pPr>
        <w:widowControl/>
        <w:spacing w:line="500" w:lineRule="exact"/>
        <w:ind w:firstLine="600" w:firstLineChars="200"/>
        <w:jc w:val="center"/>
        <w:rPr>
          <w:rFonts w:ascii="方正小标宋_GBK" w:hAnsi="宋体" w:eastAsia="方正小标宋_GBK"/>
          <w:sz w:val="30"/>
          <w:szCs w:val="30"/>
          <w:shd w:val="clear" w:color="auto" w:fill="FFFFFF"/>
        </w:rPr>
      </w:pPr>
    </w:p>
    <w:p>
      <w:pPr>
        <w:widowControl/>
        <w:spacing w:line="500" w:lineRule="exact"/>
        <w:ind w:firstLine="600" w:firstLineChars="200"/>
        <w:jc w:val="center"/>
        <w:rPr>
          <w:rFonts w:ascii="方正小标宋_GBK" w:hAnsi="宋体" w:eastAsia="方正小标宋_GBK"/>
          <w:sz w:val="30"/>
          <w:szCs w:val="30"/>
          <w:shd w:val="clear" w:color="auto" w:fill="FFFFFF"/>
        </w:rPr>
      </w:pPr>
      <w:r>
        <w:rPr>
          <w:rFonts w:hint="eastAsia" w:ascii="方正小标宋_GBK" w:hAnsi="宋体" w:eastAsia="方正小标宋_GBK" w:cs="方正小标宋_GBK"/>
          <w:sz w:val="30"/>
          <w:szCs w:val="30"/>
          <w:shd w:val="clear" w:color="auto" w:fill="FFFFFF"/>
        </w:rPr>
        <w:t>（报告范围包括机关和下属单位）</w:t>
      </w:r>
    </w:p>
    <w:p>
      <w:pPr>
        <w:widowControl/>
        <w:adjustRightInd w:val="0"/>
        <w:snapToGrid w:val="0"/>
        <w:spacing w:line="500" w:lineRule="exact"/>
        <w:ind w:firstLine="600" w:firstLineChars="200"/>
        <w:jc w:val="left"/>
        <w:rPr>
          <w:rFonts w:ascii="黑体" w:hAnsi="宋体" w:eastAsia="黑体"/>
          <w:color w:val="000000"/>
          <w:kern w:val="0"/>
          <w:sz w:val="30"/>
          <w:szCs w:val="30"/>
          <w:shd w:val="clear" w:color="auto" w:fill="FFFFFF"/>
        </w:rPr>
      </w:pPr>
    </w:p>
    <w:p>
      <w:pPr>
        <w:widowControl/>
        <w:adjustRightInd w:val="0"/>
        <w:snapToGrid w:val="0"/>
        <w:spacing w:line="500" w:lineRule="exact"/>
        <w:ind w:firstLine="600" w:firstLineChars="200"/>
        <w:jc w:val="left"/>
        <w:rPr>
          <w:rFonts w:ascii="黑体" w:hAnsi="宋体" w:eastAsia="黑体"/>
          <w:color w:val="000000"/>
          <w:kern w:val="0"/>
          <w:sz w:val="30"/>
          <w:szCs w:val="30"/>
          <w:shd w:val="clear" w:color="auto" w:fill="FFFFFF"/>
          <w:lang w:val="zh-CN"/>
        </w:rPr>
      </w:pPr>
      <w:r>
        <w:rPr>
          <w:rFonts w:hint="eastAsia" w:ascii="黑体" w:hAnsi="宋体" w:eastAsia="黑体" w:cs="黑体"/>
          <w:color w:val="000000"/>
          <w:kern w:val="0"/>
          <w:sz w:val="30"/>
          <w:szCs w:val="30"/>
          <w:shd w:val="clear" w:color="auto" w:fill="FFFFFF"/>
        </w:rPr>
        <w:t>一、</w:t>
      </w:r>
      <w:r>
        <w:rPr>
          <w:rFonts w:hint="eastAsia" w:ascii="黑体" w:hAnsi="宋体" w:eastAsia="黑体" w:cs="黑体"/>
          <w:color w:val="000000"/>
          <w:kern w:val="0"/>
          <w:sz w:val="30"/>
          <w:szCs w:val="30"/>
          <w:shd w:val="clear" w:color="auto" w:fill="FFFFFF"/>
          <w:lang w:val="zh-CN"/>
        </w:rPr>
        <w:t>部门（单位）概况</w:t>
      </w:r>
    </w:p>
    <w:p>
      <w:pPr>
        <w:widowControl/>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lang w:val="zh-CN"/>
        </w:rPr>
      </w:pPr>
      <w:r>
        <w:rPr>
          <w:rFonts w:hint="eastAsia" w:ascii="仿宋_GB2312" w:hAnsi="宋体" w:eastAsia="仿宋_GB2312" w:cs="仿宋_GB2312"/>
          <w:color w:val="000000"/>
          <w:kern w:val="0"/>
          <w:sz w:val="30"/>
          <w:szCs w:val="30"/>
          <w:shd w:val="clear" w:color="auto" w:fill="FFFFFF"/>
          <w:lang w:val="zh-CN"/>
        </w:rPr>
        <w:t>（一）机构组成。</w:t>
      </w:r>
    </w:p>
    <w:p>
      <w:pPr>
        <w:widowControl/>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lang w:val="zh-CN"/>
        </w:rPr>
      </w:pPr>
      <w:r>
        <w:rPr>
          <w:rFonts w:hint="eastAsia" w:ascii="仿宋_GB2312" w:hAnsi="宋体" w:eastAsia="仿宋_GB2312" w:cs="仿宋_GB2312"/>
          <w:color w:val="000000"/>
          <w:kern w:val="0"/>
          <w:sz w:val="30"/>
          <w:szCs w:val="30"/>
          <w:shd w:val="clear" w:color="auto" w:fill="FFFFFF"/>
          <w:lang w:val="zh-CN"/>
        </w:rPr>
        <w:t>根据市编委的核定，我局由办公室、法规科（行政审批科）、自然资源所有者权益科、自然资源开发利用科、空间规划科、国土空间用途管制科、国土空间生态修复科、耕地保护监督科、地质灾害防治科、执法监察科、财务与资金运用科、人事科、地理信息管理科、自然资源督察信访办公室、矿业权管理科、机关党委办事机构。局属事业单位包括广元市自然资源局经济开发区事务中心、广元市地质环境监测站、广元市不动产登记中心、广元市自然资源储备交易中心、广元市国土整治中心、广元市地籍地政事务中心、广元市测绘地理信息中心、广元市自然资源信息档案中心、广元市土地执法监察支队。</w:t>
      </w:r>
    </w:p>
    <w:p>
      <w:pPr>
        <w:widowControl/>
        <w:numPr>
          <w:ilvl w:val="0"/>
          <w:numId w:val="5"/>
        </w:numPr>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lang w:val="zh-CN"/>
        </w:rPr>
      </w:pPr>
      <w:r>
        <w:rPr>
          <w:rFonts w:hint="eastAsia" w:ascii="仿宋_GB2312" w:hAnsi="宋体" w:eastAsia="仿宋_GB2312" w:cs="仿宋_GB2312"/>
          <w:color w:val="000000"/>
          <w:kern w:val="0"/>
          <w:sz w:val="30"/>
          <w:szCs w:val="30"/>
          <w:shd w:val="clear" w:color="auto" w:fill="FFFFFF"/>
          <w:lang w:val="zh-CN"/>
        </w:rPr>
        <w:t>机构职能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3.负责全市自然资源统一确权登记工作。组织实施各类自然资源和不动产统一确权登记、权籍调查、不动产测绘、争议</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调处、成果应用的制度、标准、规范。建立健全全市自然资源和不动产登记信息管理基础平台。负责自然资源和不动产登记资料收集、整理、共享、汇交管理等。指导监督自然资源和不动产确权登记工作。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负责全市自然资源的合理开发利用。组织拟订并实施自然资源发展规划和战略，建立政府公示自然资源价格体系，组织开展自然资源分等定级价格评估，开展自然资源利用评价考核，指导节约集约利用。负责自然资源市场監管。组织研究自然资源管理涉及宏观调控、区域协调和城乡统筹的政策措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负责管理全市地质勘察和地质工作。拟订全市地质勘查规划并监督检查执行情况。组织实施重大地质矿产勘查专项。负责地质灾害预防和治理，监督管理地下水过量开釆及引发的地面沉降等地质问题。负责古生物化石的监督管理。</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负责全市矿产资源管理工作。负责矿产资源储量管理及压覆矿产资源审核报批。负责矿业权管理。会同有关部门承担保护性开釆的特定矿种、优势矿产的调控及相关管理工作。监督指导矿产资源合理利用和保护。</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配合国家对县区政府落实党中央、国务院关于自然资源和国土空间规划的重大方针政策、决策部署及法律法规执行情况进行督察。按照市委、市政府安排，组织实施自然资源督查相关工作。查处全市自然资源开发利用、</w:t>
      </w:r>
      <w:r>
        <w:rPr>
          <w:rFonts w:hint="eastAsia" w:ascii="仿宋_GB2312" w:hAnsi="仿宋_GB2312" w:eastAsia="仿宋_GB2312" w:cs="仿宋_GB2312"/>
          <w:sz w:val="30"/>
          <w:szCs w:val="30"/>
          <w:lang w:eastAsia="zh-CN"/>
        </w:rPr>
        <w:t>国</w:t>
      </w:r>
      <w:r>
        <w:rPr>
          <w:rFonts w:hint="eastAsia" w:ascii="仿宋_GB2312" w:hAnsi="仿宋_GB2312" w:eastAsia="仿宋_GB2312" w:cs="仿宋_GB2312"/>
          <w:sz w:val="30"/>
          <w:szCs w:val="30"/>
        </w:rPr>
        <w:t>土空间规划等领域重大违法案件。指导县区有关行政执法工作。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14.负责职责范围内的安全生产和职业健康、生态环境保护、审批服务便民化等工作。</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15.负责测绘地理信息管理。负责基础测绘和测绘行业管理。监督管理全市测绘地理信息安全和市场秩序。负责地理信息公共服务管理和测量标志保护。</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16.统一领导和管理广元市林业局（简称林业局）。</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17.完成市委、市政府交办的其他任务。</w:t>
      </w:r>
    </w:p>
    <w:p>
      <w:pPr>
        <w:widowControl/>
        <w:adjustRightInd w:val="0"/>
        <w:snapToGrid w:val="0"/>
        <w:spacing w:line="500" w:lineRule="exact"/>
        <w:ind w:firstLine="600" w:firstLineChars="200"/>
        <w:jc w:val="left"/>
        <w:rPr>
          <w:rFonts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（三）人员概况</w:t>
      </w:r>
    </w:p>
    <w:p>
      <w:pPr>
        <w:widowControl/>
        <w:adjustRightInd w:val="0"/>
        <w:snapToGrid w:val="0"/>
        <w:spacing w:line="500" w:lineRule="exact"/>
        <w:ind w:firstLine="600" w:firstLineChars="200"/>
        <w:jc w:val="left"/>
        <w:rPr>
          <w:rFonts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zh-CN"/>
        </w:rPr>
        <w:t>广元市自然资源局局机关（包括非独立核算的事业单位信息档案管理中心和土地执法支队</w:t>
      </w:r>
      <w:r>
        <w:rPr>
          <w:rFonts w:hint="eastAsia" w:ascii="仿宋_GB2312" w:hAnsi="仿宋_GB2312" w:eastAsia="仿宋_GB2312" w:cs="仿宋_GB2312"/>
          <w:color w:val="000000"/>
          <w:kern w:val="0"/>
          <w:sz w:val="30"/>
          <w:szCs w:val="30"/>
          <w:shd w:val="clear" w:color="auto" w:fill="FFFFFF"/>
        </w:rPr>
        <w:t>)、独立核算的事业单位6个组成，总编制149名。其中:行政编制37名，工勤编制4名，其他事业编制108名。年末在职人员149人，其中行政人员37人，工勤人员4人，其他事业人员108人。</w:t>
      </w:r>
    </w:p>
    <w:p>
      <w:pPr>
        <w:widowControl/>
        <w:adjustRightInd w:val="0"/>
        <w:snapToGrid w:val="0"/>
        <w:spacing w:line="500" w:lineRule="exact"/>
        <w:ind w:firstLine="600" w:firstLineChars="200"/>
        <w:jc w:val="left"/>
        <w:rPr>
          <w:rFonts w:ascii="黑体" w:hAnsi="宋体" w:eastAsia="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二、部门财政资金收支情况</w:t>
      </w:r>
    </w:p>
    <w:p>
      <w:pPr>
        <w:widowControl/>
        <w:adjustRightInd w:val="0"/>
        <w:snapToGrid w:val="0"/>
        <w:spacing w:line="500" w:lineRule="exact"/>
        <w:ind w:firstLine="602" w:firstLineChars="200"/>
        <w:jc w:val="left"/>
        <w:rPr>
          <w:rFonts w:ascii="仿宋_GB2312" w:hAnsi="宋体" w:eastAsia="仿宋_GB2312"/>
          <w:b/>
          <w:bCs/>
          <w:color w:val="000000"/>
          <w:kern w:val="0"/>
          <w:sz w:val="30"/>
          <w:szCs w:val="30"/>
          <w:shd w:val="clear" w:color="auto" w:fill="FFFFFF"/>
          <w:lang w:val="zh-CN"/>
        </w:rPr>
      </w:pPr>
      <w:r>
        <w:rPr>
          <w:rFonts w:hint="eastAsia" w:ascii="仿宋_GB2312" w:hAnsi="宋体" w:eastAsia="仿宋_GB2312" w:cs="仿宋_GB2312"/>
          <w:b/>
          <w:bCs/>
          <w:color w:val="000000"/>
          <w:kern w:val="0"/>
          <w:sz w:val="30"/>
          <w:szCs w:val="30"/>
          <w:shd w:val="clear" w:color="auto" w:fill="FFFFFF"/>
          <w:lang w:val="zh-CN"/>
        </w:rPr>
        <w:t>（一）部门财政资金收入情况</w:t>
      </w:r>
    </w:p>
    <w:p>
      <w:pPr>
        <w:widowControl/>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2019</w:t>
      </w:r>
      <w:r>
        <w:rPr>
          <w:rFonts w:hint="eastAsia" w:ascii="仿宋_GB2312" w:hAnsi="宋体" w:eastAsia="仿宋_GB2312" w:cs="仿宋_GB2312"/>
          <w:color w:val="000000"/>
          <w:kern w:val="0"/>
          <w:sz w:val="30"/>
          <w:szCs w:val="30"/>
          <w:shd w:val="clear" w:color="auto" w:fill="FFFFFF"/>
        </w:rPr>
        <w:t>年度</w:t>
      </w:r>
      <w:r>
        <w:rPr>
          <w:rFonts w:hint="eastAsia" w:ascii="仿宋_GB2312" w:hAnsi="宋体" w:eastAsia="仿宋_GB2312" w:cs="仿宋_GB2312"/>
          <w:color w:val="000000"/>
          <w:kern w:val="0"/>
          <w:sz w:val="30"/>
          <w:szCs w:val="30"/>
          <w:shd w:val="clear" w:color="auto" w:fill="FFFFFF"/>
          <w:lang w:val="zh-CN"/>
        </w:rPr>
        <w:t>广元市自然资源局及直属事业单位财政拨款合计</w:t>
      </w:r>
      <w:r>
        <w:rPr>
          <w:rFonts w:ascii="仿宋_GB2312" w:hAnsi="宋体" w:eastAsia="仿宋_GB2312" w:cs="仿宋_GB2312"/>
          <w:color w:val="000000"/>
          <w:kern w:val="0"/>
          <w:sz w:val="30"/>
          <w:szCs w:val="30"/>
          <w:shd w:val="clear" w:color="auto" w:fill="FFFFFF"/>
        </w:rPr>
        <w:t>397.82</w:t>
      </w:r>
      <w:r>
        <w:rPr>
          <w:rFonts w:hint="eastAsia" w:ascii="仿宋_GB2312" w:hAnsi="宋体" w:eastAsia="仿宋_GB2312" w:cs="仿宋_GB2312"/>
          <w:color w:val="000000"/>
          <w:kern w:val="0"/>
          <w:sz w:val="30"/>
          <w:szCs w:val="30"/>
          <w:shd w:val="clear" w:color="auto" w:fill="FFFFFF"/>
        </w:rPr>
        <w:t>万元。其中：</w:t>
      </w:r>
      <w:r>
        <w:rPr>
          <w:rFonts w:hint="eastAsia" w:ascii="仿宋_GB2312" w:hAnsi="宋体" w:eastAsia="仿宋_GB2312" w:cs="仿宋_GB2312"/>
          <w:color w:val="000000"/>
          <w:kern w:val="0"/>
          <w:sz w:val="30"/>
          <w:szCs w:val="30"/>
          <w:shd w:val="clear" w:color="auto" w:fill="FFFFFF"/>
          <w:lang w:val="zh-CN"/>
        </w:rPr>
        <w:t>一般公共预算财政拨款收入</w:t>
      </w:r>
      <w:r>
        <w:rPr>
          <w:rFonts w:ascii="仿宋_GB2312" w:hAnsi="宋体" w:eastAsia="仿宋_GB2312" w:cs="仿宋_GB2312"/>
          <w:color w:val="000000"/>
          <w:kern w:val="0"/>
          <w:sz w:val="30"/>
          <w:szCs w:val="30"/>
          <w:shd w:val="clear" w:color="auto" w:fill="FFFFFF"/>
        </w:rPr>
        <w:t>4028.51</w:t>
      </w:r>
      <w:r>
        <w:rPr>
          <w:rFonts w:hint="eastAsia" w:ascii="仿宋_GB2312" w:hAnsi="宋体" w:eastAsia="仿宋_GB2312" w:cs="仿宋_GB2312"/>
          <w:color w:val="000000"/>
          <w:kern w:val="0"/>
          <w:sz w:val="30"/>
          <w:szCs w:val="30"/>
          <w:shd w:val="clear" w:color="auto" w:fill="FFFFFF"/>
        </w:rPr>
        <w:t>万元，政府基金预算财政拨款</w:t>
      </w:r>
      <w:r>
        <w:rPr>
          <w:rFonts w:ascii="仿宋_GB2312" w:hAnsi="宋体" w:eastAsia="仿宋_GB2312" w:cs="仿宋_GB2312"/>
          <w:color w:val="000000"/>
          <w:kern w:val="0"/>
          <w:sz w:val="30"/>
          <w:szCs w:val="30"/>
          <w:shd w:val="clear" w:color="auto" w:fill="FFFFFF"/>
        </w:rPr>
        <w:t>5624.23</w:t>
      </w:r>
      <w:r>
        <w:rPr>
          <w:rFonts w:hint="eastAsia" w:ascii="仿宋_GB2312" w:hAnsi="宋体" w:eastAsia="仿宋_GB2312" w:cs="仿宋_GB2312"/>
          <w:color w:val="000000"/>
          <w:kern w:val="0"/>
          <w:sz w:val="30"/>
          <w:szCs w:val="30"/>
          <w:shd w:val="clear" w:color="auto" w:fill="FFFFFF"/>
        </w:rPr>
        <w:t>万元。</w:t>
      </w:r>
    </w:p>
    <w:p>
      <w:pPr>
        <w:widowControl/>
        <w:numPr>
          <w:ilvl w:val="0"/>
          <w:numId w:val="5"/>
        </w:numPr>
        <w:adjustRightInd w:val="0"/>
        <w:snapToGrid w:val="0"/>
        <w:spacing w:line="500" w:lineRule="exact"/>
        <w:ind w:firstLine="602" w:firstLineChars="200"/>
        <w:jc w:val="left"/>
        <w:rPr>
          <w:rFonts w:ascii="仿宋_GB2312" w:hAnsi="宋体" w:eastAsia="仿宋_GB2312"/>
          <w:b/>
          <w:bCs/>
          <w:color w:val="000000"/>
          <w:kern w:val="0"/>
          <w:sz w:val="30"/>
          <w:szCs w:val="30"/>
          <w:shd w:val="clear" w:color="auto" w:fill="FFFFFF"/>
          <w:lang w:val="zh-CN"/>
        </w:rPr>
      </w:pPr>
      <w:r>
        <w:rPr>
          <w:rFonts w:hint="eastAsia" w:ascii="仿宋_GB2312" w:hAnsi="宋体" w:eastAsia="仿宋_GB2312" w:cs="仿宋_GB2312"/>
          <w:b/>
          <w:bCs/>
          <w:color w:val="000000"/>
          <w:kern w:val="0"/>
          <w:sz w:val="30"/>
          <w:szCs w:val="30"/>
          <w:shd w:val="clear" w:color="auto" w:fill="FFFFFF"/>
          <w:lang w:val="zh-CN"/>
        </w:rPr>
        <w:t>部门财政资金支出情况</w:t>
      </w:r>
    </w:p>
    <w:p>
      <w:pPr>
        <w:widowControl/>
        <w:adjustRightInd w:val="0"/>
        <w:snapToGrid w:val="0"/>
        <w:spacing w:line="500" w:lineRule="exact"/>
        <w:ind w:left="420" w:leftChars="200"/>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2019</w:t>
      </w:r>
      <w:r>
        <w:rPr>
          <w:rFonts w:hint="eastAsia" w:ascii="仿宋_GB2312" w:hAnsi="宋体" w:eastAsia="仿宋_GB2312" w:cs="仿宋_GB2312"/>
          <w:color w:val="000000"/>
          <w:kern w:val="0"/>
          <w:sz w:val="30"/>
          <w:szCs w:val="30"/>
          <w:shd w:val="clear" w:color="auto" w:fill="FFFFFF"/>
        </w:rPr>
        <w:t>年度广元市自然资源局及直属事业单位财政资金支出合计</w:t>
      </w:r>
      <w:r>
        <w:rPr>
          <w:rFonts w:ascii="仿宋_GB2312" w:hAnsi="宋体" w:eastAsia="仿宋_GB2312" w:cs="仿宋_GB2312"/>
          <w:color w:val="000000"/>
          <w:kern w:val="0"/>
          <w:sz w:val="30"/>
          <w:szCs w:val="30"/>
          <w:shd w:val="clear" w:color="auto" w:fill="FFFFFF"/>
        </w:rPr>
        <w:t>9067.39</w:t>
      </w:r>
      <w:r>
        <w:rPr>
          <w:rFonts w:hint="eastAsia" w:ascii="仿宋_GB2312" w:hAnsi="宋体" w:eastAsia="仿宋_GB2312" w:cs="仿宋_GB2312"/>
          <w:color w:val="000000"/>
          <w:kern w:val="0"/>
          <w:sz w:val="30"/>
          <w:szCs w:val="30"/>
          <w:shd w:val="clear" w:color="auto" w:fill="FFFFFF"/>
        </w:rPr>
        <w:t>万元。</w:t>
      </w:r>
    </w:p>
    <w:p>
      <w:pPr>
        <w:widowControl/>
        <w:numPr>
          <w:ilvl w:val="0"/>
          <w:numId w:val="6"/>
        </w:numPr>
        <w:adjustRightInd w:val="0"/>
        <w:snapToGrid w:val="0"/>
        <w:spacing w:line="500" w:lineRule="exact"/>
        <w:ind w:left="420" w:leftChars="200"/>
        <w:jc w:val="left"/>
        <w:rPr>
          <w:rFonts w:ascii="仿宋_GB2312" w:hAnsi="宋体" w:eastAsia="仿宋_GB2312"/>
          <w:color w:val="000000"/>
          <w:kern w:val="0"/>
          <w:sz w:val="30"/>
          <w:szCs w:val="30"/>
          <w:shd w:val="clear" w:color="auto" w:fill="FFFFFF"/>
        </w:rPr>
      </w:pPr>
      <w:r>
        <w:rPr>
          <w:rFonts w:hint="eastAsia" w:ascii="仿宋_GB2312" w:hAnsi="宋体" w:eastAsia="仿宋_GB2312" w:cs="仿宋_GB2312"/>
          <w:color w:val="000000"/>
          <w:kern w:val="0"/>
          <w:sz w:val="30"/>
          <w:szCs w:val="30"/>
          <w:shd w:val="clear" w:color="auto" w:fill="FFFFFF"/>
        </w:rPr>
        <w:t>一般公共预算财政拨款支出</w:t>
      </w:r>
      <w:r>
        <w:rPr>
          <w:rFonts w:ascii="仿宋_GB2312" w:hAnsi="宋体" w:eastAsia="仿宋_GB2312" w:cs="仿宋_GB2312"/>
          <w:color w:val="000000"/>
          <w:kern w:val="0"/>
          <w:sz w:val="30"/>
          <w:szCs w:val="30"/>
          <w:shd w:val="clear" w:color="auto" w:fill="FFFFFF"/>
        </w:rPr>
        <w:t>3935.03</w:t>
      </w:r>
      <w:r>
        <w:rPr>
          <w:rFonts w:hint="eastAsia" w:ascii="仿宋_GB2312" w:hAnsi="宋体" w:eastAsia="仿宋_GB2312" w:cs="仿宋_GB2312"/>
          <w:color w:val="000000"/>
          <w:kern w:val="0"/>
          <w:sz w:val="30"/>
          <w:szCs w:val="30"/>
          <w:shd w:val="clear" w:color="auto" w:fill="FFFFFF"/>
        </w:rPr>
        <w:t>万元，其中教育支出</w:t>
      </w:r>
      <w:r>
        <w:rPr>
          <w:rFonts w:ascii="仿宋_GB2312" w:hAnsi="宋体" w:eastAsia="仿宋_GB2312" w:cs="仿宋_GB2312"/>
          <w:color w:val="000000"/>
          <w:kern w:val="0"/>
          <w:sz w:val="30"/>
          <w:szCs w:val="30"/>
          <w:shd w:val="clear" w:color="auto" w:fill="FFFFFF"/>
        </w:rPr>
        <w:t>9</w:t>
      </w:r>
      <w:r>
        <w:rPr>
          <w:rFonts w:hint="eastAsia" w:ascii="仿宋_GB2312" w:hAnsi="宋体" w:eastAsia="仿宋_GB2312" w:cs="仿宋_GB2312"/>
          <w:color w:val="000000"/>
          <w:kern w:val="0"/>
          <w:sz w:val="30"/>
          <w:szCs w:val="30"/>
          <w:shd w:val="clear" w:color="auto" w:fill="FFFFFF"/>
        </w:rPr>
        <w:t>万元，基本养老保险及职业年金支出</w:t>
      </w:r>
      <w:r>
        <w:rPr>
          <w:rFonts w:ascii="仿宋_GB2312" w:hAnsi="宋体" w:eastAsia="仿宋_GB2312" w:cs="仿宋_GB2312"/>
          <w:color w:val="000000"/>
          <w:kern w:val="0"/>
          <w:sz w:val="30"/>
          <w:szCs w:val="30"/>
          <w:shd w:val="clear" w:color="auto" w:fill="FFFFFF"/>
        </w:rPr>
        <w:t>193.03</w:t>
      </w:r>
      <w:r>
        <w:rPr>
          <w:rFonts w:hint="eastAsia" w:ascii="仿宋_GB2312" w:hAnsi="宋体" w:eastAsia="仿宋_GB2312" w:cs="仿宋_GB2312"/>
          <w:color w:val="000000"/>
          <w:kern w:val="0"/>
          <w:sz w:val="30"/>
          <w:szCs w:val="30"/>
          <w:shd w:val="clear" w:color="auto" w:fill="FFFFFF"/>
        </w:rPr>
        <w:t>万元，基本医疗保险支出</w:t>
      </w:r>
      <w:r>
        <w:rPr>
          <w:rFonts w:ascii="仿宋_GB2312" w:hAnsi="宋体" w:eastAsia="仿宋_GB2312" w:cs="仿宋_GB2312"/>
          <w:color w:val="000000"/>
          <w:kern w:val="0"/>
          <w:sz w:val="30"/>
          <w:szCs w:val="30"/>
          <w:shd w:val="clear" w:color="auto" w:fill="FFFFFF"/>
        </w:rPr>
        <w:t>72.81</w:t>
      </w:r>
      <w:r>
        <w:rPr>
          <w:rFonts w:hint="eastAsia" w:ascii="仿宋_GB2312" w:hAnsi="宋体" w:eastAsia="仿宋_GB2312" w:cs="仿宋_GB2312"/>
          <w:color w:val="000000"/>
          <w:kern w:val="0"/>
          <w:sz w:val="30"/>
          <w:szCs w:val="30"/>
          <w:shd w:val="clear" w:color="auto" w:fill="FFFFFF"/>
        </w:rPr>
        <w:t>万元，自然资源管理事务支出</w:t>
      </w:r>
      <w:r>
        <w:rPr>
          <w:rFonts w:ascii="仿宋_GB2312" w:hAnsi="宋体" w:eastAsia="仿宋_GB2312" w:cs="仿宋_GB2312"/>
          <w:color w:val="000000"/>
          <w:kern w:val="0"/>
          <w:sz w:val="30"/>
          <w:szCs w:val="30"/>
          <w:shd w:val="clear" w:color="auto" w:fill="FFFFFF"/>
        </w:rPr>
        <w:t>3446.10</w:t>
      </w:r>
      <w:r>
        <w:rPr>
          <w:rFonts w:hint="eastAsia" w:ascii="仿宋_GB2312" w:hAnsi="宋体" w:eastAsia="仿宋_GB2312" w:cs="仿宋_GB2312"/>
          <w:color w:val="000000"/>
          <w:kern w:val="0"/>
          <w:sz w:val="30"/>
          <w:szCs w:val="30"/>
          <w:shd w:val="clear" w:color="auto" w:fill="FFFFFF"/>
        </w:rPr>
        <w:t>万元，住房公积金及引进人才安家及生活补助费</w:t>
      </w:r>
      <w:r>
        <w:rPr>
          <w:rFonts w:ascii="仿宋_GB2312" w:hAnsi="宋体" w:eastAsia="仿宋_GB2312" w:cs="仿宋_GB2312"/>
          <w:color w:val="000000"/>
          <w:kern w:val="0"/>
          <w:sz w:val="30"/>
          <w:szCs w:val="30"/>
          <w:shd w:val="clear" w:color="auto" w:fill="FFFFFF"/>
        </w:rPr>
        <w:t>214.09</w:t>
      </w:r>
      <w:r>
        <w:rPr>
          <w:rFonts w:hint="eastAsia" w:ascii="仿宋_GB2312" w:hAnsi="宋体" w:eastAsia="仿宋_GB2312" w:cs="仿宋_GB2312"/>
          <w:color w:val="000000"/>
          <w:kern w:val="0"/>
          <w:sz w:val="30"/>
          <w:szCs w:val="30"/>
          <w:shd w:val="clear" w:color="auto" w:fill="FFFFFF"/>
        </w:rPr>
        <w:t>万元。</w:t>
      </w:r>
    </w:p>
    <w:p>
      <w:pPr>
        <w:widowControl/>
        <w:numPr>
          <w:ilvl w:val="0"/>
          <w:numId w:val="6"/>
        </w:numPr>
        <w:adjustRightInd w:val="0"/>
        <w:snapToGrid w:val="0"/>
        <w:spacing w:line="500" w:lineRule="exact"/>
        <w:ind w:left="420" w:leftChars="200"/>
        <w:jc w:val="left"/>
        <w:rPr>
          <w:rFonts w:ascii="仿宋_GB2312" w:hAnsi="宋体" w:eastAsia="仿宋_GB2312"/>
          <w:color w:val="000000"/>
          <w:kern w:val="0"/>
          <w:sz w:val="30"/>
          <w:szCs w:val="30"/>
          <w:shd w:val="clear" w:color="auto" w:fill="FFFFFF"/>
        </w:rPr>
      </w:pPr>
      <w:r>
        <w:rPr>
          <w:rFonts w:hint="eastAsia" w:ascii="仿宋_GB2312" w:hAnsi="宋体" w:eastAsia="仿宋_GB2312" w:cs="仿宋_GB2312"/>
          <w:color w:val="000000"/>
          <w:kern w:val="0"/>
          <w:sz w:val="30"/>
          <w:szCs w:val="30"/>
          <w:shd w:val="clear" w:color="auto" w:fill="FFFFFF"/>
        </w:rPr>
        <w:t>政府性基金预算财政拨款土地开发及土地出让业务支出</w:t>
      </w:r>
      <w:r>
        <w:rPr>
          <w:rFonts w:ascii="仿宋_GB2312" w:hAnsi="宋体" w:eastAsia="仿宋_GB2312" w:cs="仿宋_GB2312"/>
          <w:color w:val="000000"/>
          <w:kern w:val="0"/>
          <w:sz w:val="30"/>
          <w:szCs w:val="30"/>
          <w:shd w:val="clear" w:color="auto" w:fill="FFFFFF"/>
        </w:rPr>
        <w:t>5132.36</w:t>
      </w:r>
      <w:r>
        <w:rPr>
          <w:rFonts w:hint="eastAsia" w:ascii="仿宋_GB2312" w:hAnsi="宋体" w:eastAsia="仿宋_GB2312" w:cs="仿宋_GB2312"/>
          <w:color w:val="000000"/>
          <w:kern w:val="0"/>
          <w:sz w:val="30"/>
          <w:szCs w:val="30"/>
          <w:shd w:val="clear" w:color="auto" w:fill="FFFFFF"/>
        </w:rPr>
        <w:t>万元。</w:t>
      </w:r>
    </w:p>
    <w:p>
      <w:pPr>
        <w:widowControl/>
        <w:adjustRightInd w:val="0"/>
        <w:snapToGrid w:val="0"/>
        <w:spacing w:line="500" w:lineRule="exact"/>
        <w:ind w:firstLine="600" w:firstLineChars="200"/>
        <w:jc w:val="left"/>
        <w:rPr>
          <w:rFonts w:ascii="黑体" w:hAnsi="宋体" w:eastAsia="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三、部门整体预算绩效管理情况</w:t>
      </w:r>
    </w:p>
    <w:p>
      <w:pPr>
        <w:widowControl/>
        <w:adjustRightInd w:val="0"/>
        <w:snapToGrid w:val="0"/>
        <w:spacing w:line="500" w:lineRule="exact"/>
        <w:ind w:firstLine="600" w:firstLineChars="200"/>
        <w:jc w:val="left"/>
        <w:rPr>
          <w:rFonts w:ascii="楷体_GB2312" w:hAnsi="宋体" w:eastAsia="楷体_GB2312"/>
          <w:color w:val="000000"/>
          <w:kern w:val="0"/>
          <w:sz w:val="30"/>
          <w:szCs w:val="30"/>
          <w:shd w:val="clear" w:color="auto" w:fill="FFFFFF"/>
          <w:lang w:val="zh-CN"/>
        </w:rPr>
      </w:pPr>
      <w:r>
        <w:rPr>
          <w:rFonts w:hint="eastAsia" w:ascii="楷体_GB2312" w:hAnsi="宋体" w:eastAsia="楷体_GB2312" w:cs="楷体_GB2312"/>
          <w:color w:val="000000"/>
          <w:kern w:val="0"/>
          <w:sz w:val="30"/>
          <w:szCs w:val="30"/>
          <w:shd w:val="clear" w:color="auto" w:fill="FFFFFF"/>
          <w:lang w:val="zh-CN"/>
        </w:rPr>
        <w:t>（一）部门预算管理</w:t>
      </w:r>
    </w:p>
    <w:p>
      <w:pPr>
        <w:widowControl/>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lang w:val="zh-CN"/>
        </w:rPr>
      </w:pPr>
      <w:r>
        <w:rPr>
          <w:rFonts w:hint="eastAsia" w:ascii="仿宋_GB2312" w:hAnsi="宋体" w:eastAsia="仿宋_GB2312" w:cs="仿宋_GB2312"/>
          <w:color w:val="000000"/>
          <w:kern w:val="0"/>
          <w:sz w:val="30"/>
          <w:szCs w:val="30"/>
          <w:shd w:val="clear" w:color="auto" w:fill="FFFFFF"/>
          <w:lang w:val="zh-CN"/>
        </w:rPr>
        <w:t>我局严格按照财政要求编制部门预算，达到了财政预算编制质量要求。做到编制完整无漏项，基础信息和科目使用准确，单位编制、人员情况与财政供养人员横向联网系统数据相符。项目名称、绩效指标、项目内容说明符合规范。总之，基本支出按人员编制和定额标准、项目支出按照本单位职能职责及上级和市委市政府下达的工作目标任务进行编制，做到资料完整，依据充分。</w:t>
      </w:r>
    </w:p>
    <w:p>
      <w:pPr>
        <w:widowControl/>
        <w:numPr>
          <w:ilvl w:val="0"/>
          <w:numId w:val="7"/>
        </w:numPr>
        <w:adjustRightInd w:val="0"/>
        <w:snapToGrid w:val="0"/>
        <w:spacing w:line="500" w:lineRule="exact"/>
        <w:ind w:firstLine="600" w:firstLineChars="200"/>
        <w:jc w:val="left"/>
        <w:rPr>
          <w:rFonts w:ascii="楷体_GB2312" w:hAnsi="宋体" w:eastAsia="楷体_GB2312"/>
          <w:color w:val="000000"/>
          <w:kern w:val="0"/>
          <w:sz w:val="30"/>
          <w:szCs w:val="30"/>
          <w:shd w:val="clear" w:color="auto" w:fill="FFFFFF"/>
          <w:lang w:val="zh-CN"/>
        </w:rPr>
      </w:pPr>
      <w:r>
        <w:rPr>
          <w:rFonts w:hint="eastAsia" w:ascii="楷体_GB2312" w:hAnsi="宋体" w:eastAsia="楷体_GB2312" w:cs="楷体_GB2312"/>
          <w:color w:val="000000"/>
          <w:kern w:val="0"/>
          <w:sz w:val="30"/>
          <w:szCs w:val="30"/>
          <w:shd w:val="clear" w:color="auto" w:fill="FFFFFF"/>
          <w:lang w:val="zh-CN"/>
        </w:rPr>
        <w:t>专项预算管理</w:t>
      </w:r>
    </w:p>
    <w:p>
      <w:pPr>
        <w:widowControl/>
        <w:tabs>
          <w:tab w:val="left" w:pos="312"/>
        </w:tabs>
        <w:adjustRightInd w:val="0"/>
        <w:snapToGrid w:val="0"/>
        <w:spacing w:line="500" w:lineRule="exact"/>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1.</w:t>
      </w:r>
      <w:r>
        <w:rPr>
          <w:rFonts w:hint="eastAsia" w:ascii="仿宋_GB2312" w:hAnsi="宋体" w:eastAsia="仿宋_GB2312" w:cs="仿宋_GB2312"/>
          <w:color w:val="000000"/>
          <w:kern w:val="0"/>
          <w:sz w:val="30"/>
          <w:szCs w:val="30"/>
          <w:shd w:val="clear" w:color="auto" w:fill="FFFFFF"/>
        </w:rPr>
        <w:t>预算执行刚性。我局严格执行预算，执行中没有调整项目。</w:t>
      </w:r>
    </w:p>
    <w:p>
      <w:pPr>
        <w:widowControl/>
        <w:tabs>
          <w:tab w:val="left" w:pos="312"/>
        </w:tabs>
        <w:adjustRightInd w:val="0"/>
        <w:snapToGrid w:val="0"/>
        <w:spacing w:line="500" w:lineRule="exact"/>
        <w:ind w:firstLine="600"/>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2.</w:t>
      </w:r>
      <w:r>
        <w:rPr>
          <w:rFonts w:hint="eastAsia" w:ascii="仿宋_GB2312" w:hAnsi="宋体" w:eastAsia="仿宋_GB2312" w:cs="仿宋_GB2312"/>
          <w:color w:val="000000"/>
          <w:kern w:val="0"/>
          <w:sz w:val="30"/>
          <w:szCs w:val="30"/>
          <w:shd w:val="clear" w:color="auto" w:fill="FFFFFF"/>
        </w:rPr>
        <w:t>预算执行平衡。本年度预算收支平衡，完成本部门经济和社会事业发展的职能职责，人员支出、项目支出部分按进度执行。</w:t>
      </w:r>
    </w:p>
    <w:p>
      <w:pPr>
        <w:widowControl/>
        <w:tabs>
          <w:tab w:val="left" w:pos="312"/>
        </w:tabs>
        <w:adjustRightInd w:val="0"/>
        <w:snapToGrid w:val="0"/>
        <w:spacing w:line="500" w:lineRule="exact"/>
        <w:ind w:firstLine="600"/>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shd w:val="clear" w:color="auto" w:fill="FFFFFF"/>
        </w:rPr>
        <w:t>部门决算编制和审查。及时进行年终账务清算，核实各项预算收支，按规定时间报送决算报表，决算数据真实准确，做到了账表一致，部门决算编制人员与供养系统数据相符。</w:t>
      </w:r>
    </w:p>
    <w:p>
      <w:pPr>
        <w:widowControl/>
        <w:adjustRightInd w:val="0"/>
        <w:snapToGrid w:val="0"/>
        <w:spacing w:line="500" w:lineRule="exact"/>
        <w:ind w:firstLine="600" w:firstLineChars="200"/>
        <w:jc w:val="left"/>
        <w:rPr>
          <w:rFonts w:ascii="楷体_GB2312" w:hAnsi="宋体" w:eastAsia="楷体_GB2312"/>
          <w:color w:val="000000"/>
          <w:kern w:val="0"/>
          <w:sz w:val="30"/>
          <w:szCs w:val="30"/>
          <w:shd w:val="clear" w:color="auto" w:fill="FFFFFF"/>
          <w:lang w:val="zh-CN"/>
        </w:rPr>
      </w:pPr>
      <w:r>
        <w:rPr>
          <w:rFonts w:hint="eastAsia" w:ascii="楷体_GB2312" w:hAnsi="宋体" w:eastAsia="楷体_GB2312" w:cs="楷体_GB2312"/>
          <w:color w:val="000000"/>
          <w:kern w:val="0"/>
          <w:sz w:val="30"/>
          <w:szCs w:val="30"/>
          <w:shd w:val="clear" w:color="auto" w:fill="FFFFFF"/>
          <w:lang w:val="zh-CN"/>
        </w:rPr>
        <w:t>（三）</w:t>
      </w:r>
      <w:r>
        <w:rPr>
          <w:rFonts w:hint="eastAsia" w:ascii="仿宋_GB2312" w:hAnsi="宋体" w:eastAsia="仿宋_GB2312" w:cs="仿宋_GB2312"/>
          <w:color w:val="000000"/>
          <w:kern w:val="0"/>
          <w:sz w:val="30"/>
          <w:szCs w:val="30"/>
          <w:shd w:val="clear" w:color="auto" w:fill="FFFFFF"/>
        </w:rPr>
        <w:t>结果应用情况</w:t>
      </w:r>
    </w:p>
    <w:p>
      <w:pPr>
        <w:spacing w:line="500" w:lineRule="exact"/>
        <w:rPr>
          <w:rFonts w:ascii="仿宋_GB2312" w:hAnsi="宋体" w:eastAsia="仿宋_GB2312"/>
          <w:color w:val="000000"/>
          <w:kern w:val="0"/>
          <w:sz w:val="30"/>
          <w:szCs w:val="30"/>
          <w:shd w:val="clear" w:color="auto" w:fill="FFFFFF"/>
        </w:rPr>
      </w:pPr>
      <w:r>
        <w:rPr>
          <w:sz w:val="30"/>
          <w:szCs w:val="30"/>
        </w:rPr>
        <w:t xml:space="preserve">   </w:t>
      </w:r>
      <w:r>
        <w:rPr>
          <w:rFonts w:ascii="仿宋_GB2312" w:hAnsi="宋体" w:eastAsia="仿宋_GB2312" w:cs="仿宋_GB2312"/>
          <w:color w:val="000000"/>
          <w:kern w:val="0"/>
          <w:sz w:val="30"/>
          <w:szCs w:val="30"/>
          <w:shd w:val="clear" w:color="auto" w:fill="FFFFFF"/>
        </w:rPr>
        <w:t xml:space="preserve"> </w:t>
      </w:r>
      <w:r>
        <w:rPr>
          <w:rFonts w:hint="eastAsia" w:ascii="仿宋_GB2312" w:hAnsi="宋体" w:eastAsia="仿宋_GB2312" w:cs="仿宋_GB2312"/>
          <w:color w:val="000000"/>
          <w:kern w:val="0"/>
          <w:sz w:val="30"/>
          <w:szCs w:val="30"/>
          <w:shd w:val="clear" w:color="auto" w:fill="FFFFFF"/>
        </w:rPr>
        <w:t>通过对部门整体支出评价，自评得分</w:t>
      </w:r>
      <w:r>
        <w:rPr>
          <w:rFonts w:ascii="仿宋_GB2312" w:hAnsi="宋体" w:eastAsia="仿宋_GB2312" w:cs="仿宋_GB2312"/>
          <w:color w:val="000000"/>
          <w:kern w:val="0"/>
          <w:sz w:val="30"/>
          <w:szCs w:val="30"/>
          <w:shd w:val="clear" w:color="auto" w:fill="FFFFFF"/>
        </w:rPr>
        <w:t>100</w:t>
      </w:r>
      <w:r>
        <w:rPr>
          <w:rFonts w:hint="eastAsia" w:ascii="仿宋_GB2312" w:hAnsi="宋体" w:eastAsia="仿宋_GB2312" w:cs="仿宋_GB2312"/>
          <w:color w:val="000000"/>
          <w:kern w:val="0"/>
          <w:sz w:val="30"/>
          <w:szCs w:val="30"/>
          <w:shd w:val="clear" w:color="auto" w:fill="FFFFFF"/>
        </w:rPr>
        <w:t>分。</w:t>
      </w:r>
      <w:r>
        <w:rPr>
          <w:rFonts w:hint="eastAsia" w:ascii="仿宋_GB2312" w:hAnsi="宋体" w:eastAsia="仿宋_GB2312" w:cs="仿宋_GB2312"/>
          <w:b/>
          <w:color w:val="000000"/>
          <w:kern w:val="0"/>
          <w:sz w:val="30"/>
          <w:szCs w:val="30"/>
          <w:shd w:val="clear" w:color="auto" w:fill="FFFFFF"/>
        </w:rPr>
        <w:t>一是尽心尽力维护民生</w:t>
      </w:r>
      <w:r>
        <w:rPr>
          <w:rFonts w:hint="eastAsia" w:ascii="仿宋_GB2312" w:hAnsi="宋体" w:eastAsia="仿宋_GB2312" w:cs="仿宋_GB2312"/>
          <w:color w:val="000000"/>
          <w:kern w:val="0"/>
          <w:sz w:val="30"/>
          <w:szCs w:val="30"/>
          <w:shd w:val="clear" w:color="auto" w:fill="FFFFFF"/>
        </w:rPr>
        <w:t>。保证干部职工的合法权益，提高干部职工的工作积极性，保证单位工作的正常运转，有效提升干部职工办事效率和推动全局工作高效完成。</w:t>
      </w:r>
      <w:r>
        <w:rPr>
          <w:rFonts w:hint="eastAsia" w:ascii="仿宋_GB2312" w:hAnsi="宋体" w:eastAsia="仿宋_GB2312" w:cs="仿宋_GB2312"/>
          <w:b/>
          <w:color w:val="000000"/>
          <w:kern w:val="0"/>
          <w:sz w:val="30"/>
          <w:szCs w:val="30"/>
          <w:shd w:val="clear" w:color="auto" w:fill="FFFFFF"/>
        </w:rPr>
        <w:t>二是加强耕地保护</w:t>
      </w:r>
      <w:r>
        <w:rPr>
          <w:rFonts w:hint="eastAsia" w:ascii="仿宋_GB2312" w:hAnsi="宋体" w:eastAsia="仿宋_GB2312" w:cs="仿宋_GB2312"/>
          <w:color w:val="000000"/>
          <w:kern w:val="0"/>
          <w:sz w:val="30"/>
          <w:szCs w:val="30"/>
          <w:shd w:val="clear" w:color="auto" w:fill="FFFFFF"/>
        </w:rPr>
        <w:t>。严格落实</w:t>
      </w:r>
      <w:r>
        <w:rPr>
          <w:rFonts w:ascii="仿宋_GB2312" w:hAnsi="宋体" w:eastAsia="仿宋_GB2312" w:cs="仿宋_GB2312"/>
          <w:color w:val="000000"/>
          <w:kern w:val="0"/>
          <w:sz w:val="30"/>
          <w:szCs w:val="30"/>
          <w:shd w:val="clear" w:color="auto" w:fill="FFFFFF"/>
        </w:rPr>
        <w:t>32.79</w:t>
      </w:r>
      <w:r>
        <w:rPr>
          <w:rFonts w:hint="eastAsia" w:ascii="仿宋_GB2312" w:hAnsi="宋体" w:eastAsia="仿宋_GB2312" w:cs="仿宋_GB2312"/>
          <w:color w:val="000000"/>
          <w:kern w:val="0"/>
          <w:sz w:val="30"/>
          <w:szCs w:val="30"/>
          <w:shd w:val="clear" w:color="auto" w:fill="FFFFFF"/>
        </w:rPr>
        <w:t>万公顷耕地保有量和</w:t>
      </w:r>
      <w:r>
        <w:rPr>
          <w:rFonts w:ascii="仿宋_GB2312" w:hAnsi="宋体" w:eastAsia="仿宋_GB2312" w:cs="仿宋_GB2312"/>
          <w:color w:val="000000"/>
          <w:kern w:val="0"/>
          <w:sz w:val="30"/>
          <w:szCs w:val="30"/>
          <w:shd w:val="clear" w:color="auto" w:fill="FFFFFF"/>
        </w:rPr>
        <w:t>27.11</w:t>
      </w:r>
      <w:r>
        <w:rPr>
          <w:rFonts w:hint="eastAsia" w:ascii="仿宋_GB2312" w:hAnsi="宋体" w:eastAsia="仿宋_GB2312" w:cs="仿宋_GB2312"/>
          <w:color w:val="000000"/>
          <w:kern w:val="0"/>
          <w:sz w:val="30"/>
          <w:szCs w:val="30"/>
          <w:shd w:val="clear" w:color="auto" w:fill="FFFFFF"/>
        </w:rPr>
        <w:t>万公顷基本农田保护责任。实施下达土地整理扶贫项目，监测更多高标准农田，增加新增耕地面积，做好增减挂钩工作，积极上报省厅申请增加挂钩立项并组织实施，积极推进挂钩结余指标流转，争取更多回笼资金。</w:t>
      </w:r>
      <w:r>
        <w:rPr>
          <w:rFonts w:hint="eastAsia" w:ascii="仿宋_GB2312" w:hAnsi="宋体" w:eastAsia="仿宋_GB2312" w:cs="仿宋_GB2312"/>
          <w:b/>
          <w:color w:val="000000"/>
          <w:kern w:val="0"/>
          <w:sz w:val="30"/>
          <w:szCs w:val="30"/>
          <w:shd w:val="clear" w:color="auto" w:fill="FFFFFF"/>
        </w:rPr>
        <w:t>三是抓好土地供应</w:t>
      </w:r>
      <w:r>
        <w:rPr>
          <w:rFonts w:hint="eastAsia" w:ascii="仿宋_GB2312" w:hAnsi="宋体" w:eastAsia="仿宋_GB2312" w:cs="仿宋_GB2312"/>
          <w:color w:val="000000"/>
          <w:kern w:val="0"/>
          <w:sz w:val="30"/>
          <w:szCs w:val="30"/>
          <w:shd w:val="clear" w:color="auto" w:fill="FFFFFF"/>
        </w:rPr>
        <w:t>。抓好</w:t>
      </w:r>
      <w:r>
        <w:rPr>
          <w:rFonts w:ascii="仿宋_GB2312" w:hAnsi="宋体" w:eastAsia="仿宋_GB2312" w:cs="仿宋_GB2312"/>
          <w:color w:val="000000"/>
          <w:kern w:val="0"/>
          <w:sz w:val="30"/>
          <w:szCs w:val="30"/>
          <w:shd w:val="clear" w:color="auto" w:fill="FFFFFF"/>
        </w:rPr>
        <w:t>2019</w:t>
      </w:r>
      <w:r>
        <w:rPr>
          <w:rFonts w:hint="eastAsia" w:ascii="仿宋_GB2312" w:hAnsi="宋体" w:eastAsia="仿宋_GB2312" w:cs="仿宋_GB2312"/>
          <w:color w:val="000000"/>
          <w:kern w:val="0"/>
          <w:sz w:val="30"/>
          <w:szCs w:val="30"/>
          <w:shd w:val="clear" w:color="auto" w:fill="FFFFFF"/>
        </w:rPr>
        <w:t>年度市本级及市辖区国有建设用地供应，实现合同价款目标，报账我市高供地率位居全省前列。</w:t>
      </w:r>
      <w:r>
        <w:rPr>
          <w:rFonts w:hint="eastAsia" w:ascii="仿宋_GB2312" w:hAnsi="宋体" w:eastAsia="仿宋_GB2312" w:cs="仿宋_GB2312"/>
          <w:b/>
          <w:color w:val="000000"/>
          <w:kern w:val="0"/>
          <w:sz w:val="30"/>
          <w:szCs w:val="30"/>
          <w:shd w:val="clear" w:color="auto" w:fill="FFFFFF"/>
        </w:rPr>
        <w:t>四是抓好民生工程</w:t>
      </w:r>
      <w:r>
        <w:rPr>
          <w:rFonts w:hint="eastAsia" w:ascii="仿宋_GB2312" w:hAnsi="宋体" w:eastAsia="仿宋_GB2312" w:cs="仿宋_GB2312"/>
          <w:color w:val="000000"/>
          <w:kern w:val="0"/>
          <w:sz w:val="30"/>
          <w:szCs w:val="30"/>
          <w:shd w:val="clear" w:color="auto" w:fill="FFFFFF"/>
        </w:rPr>
        <w:t>。抓实地质灾害排查、治理，完成民生工程和避险搬迁安置工程。</w:t>
      </w:r>
      <w:r>
        <w:rPr>
          <w:rFonts w:hint="eastAsia" w:ascii="仿宋_GB2312" w:hAnsi="宋体" w:eastAsia="仿宋_GB2312" w:cs="仿宋_GB2312"/>
          <w:b/>
          <w:color w:val="000000"/>
          <w:kern w:val="0"/>
          <w:sz w:val="30"/>
          <w:szCs w:val="30"/>
          <w:shd w:val="clear" w:color="auto" w:fill="FFFFFF"/>
        </w:rPr>
        <w:t>五是矿产资源管理</w:t>
      </w:r>
      <w:r>
        <w:rPr>
          <w:rFonts w:hint="eastAsia" w:ascii="仿宋_GB2312" w:hAnsi="宋体" w:eastAsia="仿宋_GB2312" w:cs="仿宋_GB2312"/>
          <w:color w:val="000000"/>
          <w:kern w:val="0"/>
          <w:sz w:val="30"/>
          <w:szCs w:val="30"/>
          <w:shd w:val="clear" w:color="auto" w:fill="FFFFFF"/>
        </w:rPr>
        <w:t>。开展矿业权实地核查，实现矿业权价款增长。</w:t>
      </w:r>
      <w:r>
        <w:rPr>
          <w:rFonts w:hint="eastAsia" w:ascii="仿宋_GB2312" w:hAnsi="宋体" w:eastAsia="仿宋_GB2312" w:cs="仿宋_GB2312"/>
          <w:b/>
          <w:color w:val="000000"/>
          <w:kern w:val="0"/>
          <w:sz w:val="30"/>
          <w:szCs w:val="30"/>
          <w:shd w:val="clear" w:color="auto" w:fill="FFFFFF"/>
        </w:rPr>
        <w:t>六是土地调查和不动产登记工作</w:t>
      </w:r>
      <w:r>
        <w:rPr>
          <w:rFonts w:hint="eastAsia" w:ascii="仿宋_GB2312" w:hAnsi="宋体" w:eastAsia="仿宋_GB2312" w:cs="仿宋_GB2312"/>
          <w:color w:val="000000"/>
          <w:kern w:val="0"/>
          <w:sz w:val="30"/>
          <w:szCs w:val="30"/>
          <w:shd w:val="clear" w:color="auto" w:fill="FFFFFF"/>
        </w:rPr>
        <w:t>。按计划稳步实施广元市第三次全国土地调查。</w:t>
      </w:r>
      <w:r>
        <w:rPr>
          <w:rFonts w:hint="eastAsia" w:ascii="仿宋_GB2312" w:hAnsi="宋体" w:eastAsia="仿宋_GB2312" w:cs="仿宋_GB2312"/>
          <w:b/>
          <w:color w:val="000000"/>
          <w:kern w:val="0"/>
          <w:sz w:val="30"/>
          <w:szCs w:val="30"/>
          <w:shd w:val="clear" w:color="auto" w:fill="FFFFFF"/>
        </w:rPr>
        <w:t>七是卫片执法监督工作</w:t>
      </w:r>
      <w:r>
        <w:rPr>
          <w:rFonts w:hint="eastAsia" w:ascii="仿宋_GB2312" w:hAnsi="宋体" w:eastAsia="仿宋_GB2312" w:cs="仿宋_GB2312"/>
          <w:color w:val="000000"/>
          <w:kern w:val="0"/>
          <w:sz w:val="30"/>
          <w:szCs w:val="30"/>
          <w:shd w:val="clear" w:color="auto" w:fill="FFFFFF"/>
        </w:rPr>
        <w:t>。加强土地动态巡查力度，实现重点区域覆盖率</w:t>
      </w:r>
      <w:r>
        <w:rPr>
          <w:rFonts w:ascii="仿宋_GB2312" w:hAnsi="宋体" w:eastAsia="仿宋_GB2312" w:cs="仿宋_GB2312"/>
          <w:color w:val="000000"/>
          <w:kern w:val="0"/>
          <w:sz w:val="30"/>
          <w:szCs w:val="30"/>
          <w:shd w:val="clear" w:color="auto" w:fill="FFFFFF"/>
        </w:rPr>
        <w:t>100%</w:t>
      </w:r>
      <w:r>
        <w:rPr>
          <w:rFonts w:hint="eastAsia" w:ascii="仿宋_GB2312" w:hAnsi="宋体" w:eastAsia="仿宋_GB2312" w:cs="仿宋_GB2312"/>
          <w:color w:val="000000"/>
          <w:kern w:val="0"/>
          <w:sz w:val="30"/>
          <w:szCs w:val="30"/>
          <w:shd w:val="clear" w:color="auto" w:fill="FFFFFF"/>
        </w:rPr>
        <w:t>，实现“零约谈、零问责”。具体如下：</w:t>
      </w:r>
    </w:p>
    <w:p>
      <w:pPr>
        <w:tabs>
          <w:tab w:val="left" w:pos="312"/>
        </w:tabs>
        <w:spacing w:line="500" w:lineRule="exac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1.</w:t>
      </w:r>
      <w:r>
        <w:rPr>
          <w:rFonts w:hint="eastAsia" w:ascii="仿宋_GB2312" w:hAnsi="宋体" w:eastAsia="仿宋_GB2312" w:cs="仿宋_GB2312"/>
          <w:color w:val="000000"/>
          <w:kern w:val="0"/>
          <w:sz w:val="30"/>
          <w:szCs w:val="30"/>
          <w:shd w:val="clear" w:color="auto" w:fill="FFFFFF"/>
        </w:rPr>
        <w:t>耕地占补平衡和土地报征方面：通过项目的实施，按照国家、省关于农村集体土地征收、征用的相关法律法规，保障各类建设项目用地，为征收土地提供了政策保障，达到了维护社会稳定，促进全市社会经济发展的目的。</w:t>
      </w:r>
    </w:p>
    <w:p>
      <w:pPr>
        <w:tabs>
          <w:tab w:val="left" w:pos="312"/>
        </w:tabs>
        <w:spacing w:line="500" w:lineRule="exac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rPr>
        <w:t xml:space="preserve">    2.</w:t>
      </w:r>
      <w:r>
        <w:rPr>
          <w:rFonts w:hint="eastAsia" w:ascii="仿宋_GB2312" w:hAnsi="宋体" w:eastAsia="仿宋_GB2312" w:cs="仿宋_GB2312"/>
          <w:color w:val="000000"/>
          <w:kern w:val="0"/>
          <w:sz w:val="30"/>
          <w:szCs w:val="30"/>
          <w:shd w:val="clear" w:color="auto" w:fill="FFFFFF"/>
        </w:rPr>
        <w:t>地质灾害防治工作方面：通过项目的实施，督察指导全市地质灾害隐患点防灾措施落实，开展监测预警，实现全市地质灾害隐患点群策群防，通过落实各项防灾措施，达到降低和规避地质灾害风险，为全市地质灾害防灾提供专业技术支撑和技术指导，最大限度减少国家和人民群众的人身和财产损失。</w:t>
      </w:r>
    </w:p>
    <w:p>
      <w:pPr>
        <w:tabs>
          <w:tab w:val="left" w:pos="312"/>
        </w:tabs>
        <w:spacing w:line="500" w:lineRule="exac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3.</w:t>
      </w:r>
      <w:r>
        <w:rPr>
          <w:rFonts w:hint="eastAsia" w:ascii="仿宋_GB2312" w:hAnsi="宋体" w:eastAsia="仿宋_GB2312" w:cs="仿宋_GB2312"/>
          <w:color w:val="000000"/>
          <w:kern w:val="0"/>
          <w:sz w:val="30"/>
          <w:szCs w:val="30"/>
          <w:shd w:val="clear" w:color="auto" w:fill="FFFFFF"/>
        </w:rPr>
        <w:t>卫片执法及案件查处方面：开展全市土地、矿产卫片执法检查，保障市本级违法案件、县区重大典型案件查处，矿产品生产销售数额的鉴定，违法占地面积的测绘，保障依法规范用地用矿行为，最大限度遏制查处土地矿产违法行为，实现“零问责、零约谈”的目标。</w:t>
      </w:r>
    </w:p>
    <w:p>
      <w:pPr>
        <w:tabs>
          <w:tab w:val="left" w:pos="312"/>
        </w:tabs>
        <w:spacing w:line="500" w:lineRule="exac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4.</w:t>
      </w:r>
      <w:r>
        <w:rPr>
          <w:rFonts w:hint="eastAsia" w:ascii="仿宋_GB2312" w:hAnsi="宋体" w:eastAsia="仿宋_GB2312" w:cs="仿宋_GB2312"/>
          <w:color w:val="000000"/>
          <w:kern w:val="0"/>
          <w:sz w:val="30"/>
          <w:szCs w:val="30"/>
          <w:shd w:val="clear" w:color="auto" w:fill="FFFFFF"/>
        </w:rPr>
        <w:t>土地权属争议调查方面：通过项目实施，一是依法、公正、及时地做好土地权属争议的调查处理公正。二是开展遥控监测，土地利用现状变化调查、基本农田情况调查、土地利用现状调查成果内外也的核查，用地管理信息整合、数据汇总统计与分析，通过国家级数据核查。</w:t>
      </w:r>
    </w:p>
    <w:p>
      <w:pPr>
        <w:tabs>
          <w:tab w:val="left" w:pos="312"/>
        </w:tabs>
        <w:spacing w:line="500" w:lineRule="exac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5.</w:t>
      </w:r>
      <w:r>
        <w:rPr>
          <w:rFonts w:hint="eastAsia" w:ascii="仿宋_GB2312" w:hAnsi="宋体" w:eastAsia="仿宋_GB2312" w:cs="仿宋_GB2312"/>
          <w:color w:val="000000"/>
          <w:kern w:val="0"/>
          <w:sz w:val="30"/>
          <w:szCs w:val="30"/>
          <w:shd w:val="clear" w:color="auto" w:fill="FFFFFF"/>
        </w:rPr>
        <w:t>信息化运行维护方面：通过项目实施，一是通过“互联网＋政务服务”规范行政权力透明度，提高公共服务的供给率和质量，便于政府及时了解公众需求，提高标准化、规范化的政务服务，不断提高人民群众对政府的满意度。二是有利于构建高效政务服务体系。三是有利于规范政务服务事项透明运行，有利于促进部门跨区域协同和实施有效管理。</w:t>
      </w:r>
    </w:p>
    <w:p>
      <w:pPr>
        <w:tabs>
          <w:tab w:val="left" w:pos="312"/>
        </w:tabs>
        <w:spacing w:line="500" w:lineRule="exact"/>
        <w:ind w:firstLine="600"/>
        <w:rPr>
          <w:rFonts w:ascii="仿宋_GB2312" w:hAnsi="宋体" w:eastAsia="仿宋_GB2312" w:cs="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6.</w:t>
      </w:r>
      <w:r>
        <w:rPr>
          <w:rFonts w:hint="eastAsia" w:ascii="仿宋_GB2312" w:hAnsi="宋体" w:eastAsia="仿宋_GB2312" w:cs="仿宋_GB2312"/>
          <w:color w:val="000000"/>
          <w:kern w:val="0"/>
          <w:sz w:val="30"/>
          <w:szCs w:val="30"/>
          <w:shd w:val="clear" w:color="auto" w:fill="FFFFFF"/>
        </w:rPr>
        <w:t>土地整治方面：完成全市</w:t>
      </w:r>
      <w:r>
        <w:rPr>
          <w:rFonts w:ascii="仿宋_GB2312" w:hAnsi="宋体" w:eastAsia="仿宋_GB2312" w:cs="仿宋_GB2312"/>
          <w:color w:val="000000"/>
          <w:kern w:val="0"/>
          <w:sz w:val="30"/>
          <w:szCs w:val="30"/>
          <w:shd w:val="clear" w:color="auto" w:fill="FFFFFF"/>
        </w:rPr>
        <w:t>4</w:t>
      </w:r>
      <w:r>
        <w:rPr>
          <w:rFonts w:hint="eastAsia" w:ascii="仿宋_GB2312" w:hAnsi="宋体" w:eastAsia="仿宋_GB2312" w:cs="仿宋_GB2312"/>
          <w:color w:val="000000"/>
          <w:kern w:val="0"/>
          <w:sz w:val="30"/>
          <w:szCs w:val="30"/>
          <w:shd w:val="clear" w:color="auto" w:fill="FFFFFF"/>
        </w:rPr>
        <w:t>县</w:t>
      </w:r>
      <w:r>
        <w:rPr>
          <w:rFonts w:ascii="仿宋_GB2312" w:hAnsi="宋体" w:eastAsia="仿宋_GB2312" w:cs="仿宋_GB2312"/>
          <w:color w:val="000000"/>
          <w:kern w:val="0"/>
          <w:sz w:val="30"/>
          <w:szCs w:val="30"/>
          <w:shd w:val="clear" w:color="auto" w:fill="FFFFFF"/>
        </w:rPr>
        <w:t>3</w:t>
      </w:r>
      <w:r>
        <w:rPr>
          <w:rFonts w:hint="eastAsia" w:ascii="仿宋_GB2312" w:hAnsi="宋体" w:eastAsia="仿宋_GB2312" w:cs="仿宋_GB2312"/>
          <w:color w:val="000000"/>
          <w:kern w:val="0"/>
          <w:sz w:val="30"/>
          <w:szCs w:val="30"/>
          <w:shd w:val="clear" w:color="auto" w:fill="FFFFFF"/>
        </w:rPr>
        <w:t>区</w:t>
      </w:r>
      <w:r>
        <w:rPr>
          <w:rFonts w:ascii="仿宋_GB2312" w:hAnsi="宋体" w:eastAsia="仿宋_GB2312" w:cs="仿宋_GB2312"/>
          <w:color w:val="000000"/>
          <w:kern w:val="0"/>
          <w:sz w:val="30"/>
          <w:szCs w:val="30"/>
          <w:shd w:val="clear" w:color="auto" w:fill="FFFFFF"/>
        </w:rPr>
        <w:t>76</w:t>
      </w:r>
      <w:r>
        <w:rPr>
          <w:rFonts w:hint="eastAsia" w:ascii="仿宋_GB2312" w:hAnsi="宋体" w:eastAsia="仿宋_GB2312" w:cs="仿宋_GB2312"/>
          <w:color w:val="000000"/>
          <w:kern w:val="0"/>
          <w:sz w:val="30"/>
          <w:szCs w:val="30"/>
          <w:shd w:val="clear" w:color="auto" w:fill="FFFFFF"/>
        </w:rPr>
        <w:t>个增减挂钩项目的入库立项踏勘和实施方案的审查，共计复垦城市建设用地指标</w:t>
      </w:r>
      <w:r>
        <w:rPr>
          <w:rFonts w:ascii="仿宋_GB2312" w:hAnsi="宋体" w:eastAsia="仿宋_GB2312" w:cs="仿宋_GB2312"/>
          <w:color w:val="000000"/>
          <w:kern w:val="0"/>
          <w:sz w:val="30"/>
          <w:szCs w:val="30"/>
          <w:shd w:val="clear" w:color="auto" w:fill="FFFFFF"/>
        </w:rPr>
        <w:t>2052.74</w:t>
      </w:r>
      <w:r>
        <w:rPr>
          <w:rFonts w:hint="eastAsia" w:ascii="仿宋_GB2312" w:hAnsi="宋体" w:eastAsia="仿宋_GB2312" w:cs="仿宋_GB2312"/>
          <w:color w:val="000000"/>
          <w:kern w:val="0"/>
          <w:sz w:val="30"/>
          <w:szCs w:val="30"/>
          <w:shd w:val="clear" w:color="auto" w:fill="FFFFFF"/>
        </w:rPr>
        <w:t>公顷。</w:t>
      </w:r>
    </w:p>
    <w:p>
      <w:pPr>
        <w:tabs>
          <w:tab w:val="left" w:pos="312"/>
        </w:tabs>
        <w:spacing w:line="500" w:lineRule="exact"/>
        <w:ind w:firstLine="600"/>
        <w:rPr>
          <w:rFonts w:ascii="仿宋_GB2312" w:hAnsi="宋体" w:eastAsia="仿宋_GB2312" w:cs="仿宋_GB2312"/>
          <w:color w:val="000000"/>
          <w:kern w:val="0"/>
          <w:sz w:val="30"/>
          <w:szCs w:val="30"/>
          <w:shd w:val="clear" w:color="auto" w:fill="FFFFFF"/>
        </w:rPr>
      </w:pPr>
      <w:r>
        <w:rPr>
          <w:rFonts w:hint="eastAsia" w:ascii="仿宋_GB2312" w:hAnsi="宋体" w:eastAsia="仿宋_GB2312" w:cs="仿宋_GB2312"/>
          <w:color w:val="000000"/>
          <w:kern w:val="0"/>
          <w:sz w:val="30"/>
          <w:szCs w:val="30"/>
          <w:shd w:val="clear" w:color="auto" w:fill="FFFFFF"/>
        </w:rPr>
        <w:t>7.地理信息测绘工作方面。对45个测量标志点开展巡查，完成目标任务的150%。督促全市测绘资质单位依法完成2019年度测绘成果目录汇交工作，汇交率100%。完成我市100平方公里倾斜航空摄影和实景三维模型制作工作，并纳入广元市三维规划辅助决策系统应用。</w:t>
      </w:r>
    </w:p>
    <w:p>
      <w:pPr>
        <w:spacing w:line="500" w:lineRule="exact"/>
        <w:ind w:firstLine="720"/>
        <w:rPr>
          <w:rFonts w:hint="eastAsia" w:ascii="仿宋_GB2312" w:hAnsi="仿宋" w:eastAsia="仿宋_GB2312" w:cs="仿宋_GB2312"/>
          <w:sz w:val="30"/>
          <w:szCs w:val="30"/>
        </w:rPr>
      </w:pPr>
      <w:r>
        <w:rPr>
          <w:rFonts w:hint="eastAsia" w:ascii="仿宋_GB2312" w:hAnsi="宋体" w:eastAsia="仿宋_GB2312" w:cs="仿宋_GB2312"/>
          <w:color w:val="000000"/>
          <w:kern w:val="0"/>
          <w:sz w:val="30"/>
          <w:szCs w:val="30"/>
          <w:shd w:val="clear" w:color="auto" w:fill="FFFFFF"/>
        </w:rPr>
        <w:t>8.不动产登记工作方面。大力推进数据整合及平台建设。完成全市2018年土地变更调查，检查图斑1407个，监测面积15648.8亩，率先在全省完成了数据成果的提交和验收。积极做好“天地图.广元”与市政务信息资源共享平台的对接工作。</w:t>
      </w:r>
      <w:r>
        <w:rPr>
          <w:rFonts w:hint="eastAsia" w:ascii="仿宋_GB2312" w:hAnsi="仿宋" w:eastAsia="仿宋_GB2312" w:cs="仿宋_GB2312"/>
          <w:sz w:val="30"/>
          <w:szCs w:val="30"/>
        </w:rPr>
        <w:t>全市不动产登记信息数据中心机房已建成，将</w:t>
      </w:r>
      <w:r>
        <w:rPr>
          <w:rFonts w:hint="eastAsia" w:ascii="仿宋_GB2312" w:hAnsi="微软雅黑" w:eastAsia="仿宋_GB2312" w:cs="仿宋_GB2312"/>
          <w:sz w:val="30"/>
          <w:szCs w:val="30"/>
        </w:rPr>
        <w:t>逐步实现全市不动产登记信息数据整合汇交</w:t>
      </w:r>
      <w:r>
        <w:rPr>
          <w:rFonts w:hint="eastAsia" w:ascii="仿宋_GB2312" w:hAnsi="仿宋" w:eastAsia="仿宋_GB2312" w:cs="仿宋_GB2312"/>
          <w:sz w:val="30"/>
          <w:szCs w:val="30"/>
        </w:rPr>
        <w:t>。加快</w:t>
      </w:r>
      <w:r>
        <w:rPr>
          <w:rFonts w:hint="eastAsia" w:ascii="仿宋_GB2312" w:hAnsi="微软雅黑" w:eastAsia="仿宋_GB2312" w:cs="仿宋_GB2312"/>
          <w:sz w:val="30"/>
          <w:szCs w:val="30"/>
        </w:rPr>
        <w:t>整理“一张图”系统相关资料，争取在本年度内完成“一张图”系统终验，并及时做好系统等保测评，保</w:t>
      </w:r>
      <w:r>
        <w:rPr>
          <w:rFonts w:hint="eastAsia" w:ascii="仿宋_GB2312" w:hAnsi="仿宋" w:eastAsia="仿宋_GB2312" w:cs="仿宋_GB2312"/>
          <w:sz w:val="30"/>
          <w:szCs w:val="30"/>
        </w:rPr>
        <w:t>障系统安全运转。</w:t>
      </w: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hint="eastAsia" w:ascii="仿宋_GB2312" w:hAnsi="仿宋_GB2312" w:eastAsia="仿宋_GB2312" w:cs="仿宋_GB2312"/>
          <w:color w:val="000000"/>
          <w:kern w:val="0"/>
          <w:sz w:val="40"/>
          <w:szCs w:val="40"/>
        </w:rPr>
      </w:pPr>
    </w:p>
    <w:p>
      <w:pPr>
        <w:spacing w:line="580" w:lineRule="exact"/>
        <w:jc w:val="center"/>
        <w:rPr>
          <w:rFonts w:ascii="仿宋_GB2312" w:hAnsi="仿宋_GB2312" w:eastAsia="仿宋_GB2312" w:cs="仿宋_GB2312"/>
          <w:color w:val="000000"/>
          <w:kern w:val="0"/>
          <w:sz w:val="40"/>
          <w:szCs w:val="40"/>
        </w:rPr>
      </w:pPr>
      <w:r>
        <w:rPr>
          <w:rFonts w:hint="eastAsia" w:ascii="仿宋_GB2312" w:hAnsi="仿宋_GB2312" w:eastAsia="仿宋_GB2312" w:cs="仿宋_GB2312"/>
          <w:color w:val="000000"/>
          <w:kern w:val="0"/>
          <w:sz w:val="40"/>
          <w:szCs w:val="40"/>
        </w:rPr>
        <w:t>项目支出绩效目标完成情况表</w:t>
      </w:r>
    </w:p>
    <w:p>
      <w:pPr>
        <w:spacing w:line="580" w:lineRule="exact"/>
        <w:jc w:val="center"/>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9年度</w:t>
      </w:r>
      <w:r>
        <w:rPr>
          <w:rFonts w:ascii="仿宋_GB2312" w:hAnsi="仿宋_GB2312" w:eastAsia="仿宋_GB2312" w:cs="仿宋_GB2312"/>
          <w:color w:val="000000"/>
          <w:kern w:val="0"/>
          <w:sz w:val="32"/>
          <w:szCs w:val="32"/>
        </w:rPr>
        <w:t>)</w:t>
      </w:r>
    </w:p>
    <w:tbl>
      <w:tblPr>
        <w:tblStyle w:val="12"/>
        <w:tblpPr w:leftFromText="180" w:rightFromText="180" w:vertAnchor="text" w:horzAnchor="page" w:tblpXSpec="center" w:tblpY="423"/>
        <w:tblOverlap w:val="never"/>
        <w:tblW w:w="10087" w:type="dxa"/>
        <w:tblInd w:w="0" w:type="dxa"/>
        <w:tblLayout w:type="fixed"/>
        <w:tblCellMar>
          <w:top w:w="0" w:type="dxa"/>
          <w:left w:w="0" w:type="dxa"/>
          <w:bottom w:w="0" w:type="dxa"/>
          <w:right w:w="0" w:type="dxa"/>
        </w:tblCellMar>
      </w:tblPr>
      <w:tblGrid>
        <w:gridCol w:w="855"/>
        <w:gridCol w:w="127"/>
        <w:gridCol w:w="808"/>
        <w:gridCol w:w="94"/>
        <w:gridCol w:w="871"/>
        <w:gridCol w:w="154"/>
        <w:gridCol w:w="2192"/>
        <w:gridCol w:w="299"/>
        <w:gridCol w:w="1861"/>
        <w:gridCol w:w="434"/>
        <w:gridCol w:w="1816"/>
        <w:gridCol w:w="576"/>
      </w:tblGrid>
      <w:tr>
        <w:tblPrEx>
          <w:tblCellMar>
            <w:top w:w="0" w:type="dxa"/>
            <w:left w:w="0" w:type="dxa"/>
            <w:bottom w:w="0" w:type="dxa"/>
            <w:right w:w="0" w:type="dxa"/>
          </w:tblCellMar>
        </w:tblPrEx>
        <w:trPr>
          <w:gridAfter w:val="1"/>
          <w:wAfter w:w="576" w:type="dxa"/>
          <w:trHeight w:val="276" w:hRule="atLeast"/>
        </w:trPr>
        <w:tc>
          <w:tcPr>
            <w:tcW w:w="275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项目名称</w:t>
            </w:r>
          </w:p>
        </w:tc>
        <w:tc>
          <w:tcPr>
            <w:tcW w:w="675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地质灾害防治工作</w:t>
            </w:r>
          </w:p>
        </w:tc>
      </w:tr>
      <w:tr>
        <w:tblPrEx>
          <w:tblCellMar>
            <w:top w:w="0" w:type="dxa"/>
            <w:left w:w="0" w:type="dxa"/>
            <w:bottom w:w="0" w:type="dxa"/>
            <w:right w:w="0" w:type="dxa"/>
          </w:tblCellMar>
        </w:tblPrEx>
        <w:trPr>
          <w:gridAfter w:val="1"/>
          <w:wAfter w:w="576" w:type="dxa"/>
          <w:trHeight w:val="276" w:hRule="atLeast"/>
        </w:trPr>
        <w:tc>
          <w:tcPr>
            <w:tcW w:w="275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预算单位</w:t>
            </w:r>
          </w:p>
        </w:tc>
        <w:tc>
          <w:tcPr>
            <w:tcW w:w="675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广元市国土资源局</w:t>
            </w:r>
          </w:p>
        </w:tc>
      </w:tr>
      <w:tr>
        <w:tblPrEx>
          <w:tblCellMar>
            <w:top w:w="0" w:type="dxa"/>
            <w:left w:w="0" w:type="dxa"/>
            <w:bottom w:w="0" w:type="dxa"/>
            <w:right w:w="0" w:type="dxa"/>
          </w:tblCellMar>
        </w:tblPrEx>
        <w:trPr>
          <w:gridAfter w:val="1"/>
          <w:wAfter w:w="576" w:type="dxa"/>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预算执行情况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万元</w:t>
            </w:r>
            <w:r>
              <w:rPr>
                <w:rFonts w:ascii="仿宋_GB2312" w:hAnsi="仿宋_GB2312" w:eastAsia="仿宋_GB2312" w:cs="仿宋_GB2312"/>
                <w:color w:val="000000"/>
                <w:kern w:val="0"/>
              </w:rPr>
              <w:t>)</w:t>
            </w:r>
          </w:p>
        </w:tc>
        <w:tc>
          <w:tcPr>
            <w:tcW w:w="19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预算数</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24.78</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执行数</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24.78</w:t>
            </w:r>
          </w:p>
        </w:tc>
      </w:tr>
      <w:tr>
        <w:tblPrEx>
          <w:tblCellMar>
            <w:top w:w="0" w:type="dxa"/>
            <w:left w:w="0" w:type="dxa"/>
            <w:bottom w:w="0" w:type="dxa"/>
            <w:right w:w="0" w:type="dxa"/>
          </w:tblCellMar>
        </w:tblPrEx>
        <w:trPr>
          <w:gridAfter w:val="1"/>
          <w:wAfter w:w="576" w:type="dxa"/>
          <w:trHeight w:val="276"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24.78</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24.78</w:t>
            </w:r>
          </w:p>
        </w:tc>
      </w:tr>
      <w:tr>
        <w:tblPrEx>
          <w:tblCellMar>
            <w:top w:w="0" w:type="dxa"/>
            <w:left w:w="0" w:type="dxa"/>
            <w:bottom w:w="0" w:type="dxa"/>
            <w:right w:w="0" w:type="dxa"/>
          </w:tblCellMar>
        </w:tblPrEx>
        <w:trPr>
          <w:gridAfter w:val="1"/>
          <w:wAfter w:w="576" w:type="dxa"/>
          <w:trHeight w:val="37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0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color w:val="000000"/>
              </w:rPr>
            </w:pPr>
          </w:p>
        </w:tc>
      </w:tr>
      <w:tr>
        <w:tblPrEx>
          <w:tblCellMar>
            <w:top w:w="0" w:type="dxa"/>
            <w:left w:w="0" w:type="dxa"/>
            <w:bottom w:w="0" w:type="dxa"/>
            <w:right w:w="0" w:type="dxa"/>
          </w:tblCellMar>
        </w:tblPrEx>
        <w:trPr>
          <w:gridAfter w:val="1"/>
          <w:wAfter w:w="576" w:type="dxa"/>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年度目标完成情况</w:t>
            </w:r>
          </w:p>
        </w:tc>
        <w:tc>
          <w:tcPr>
            <w:tcW w:w="42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预期目标</w:t>
            </w:r>
          </w:p>
        </w:tc>
        <w:tc>
          <w:tcPr>
            <w:tcW w:w="4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实际完成目标</w:t>
            </w:r>
          </w:p>
        </w:tc>
      </w:tr>
      <w:tr>
        <w:tblPrEx>
          <w:tblCellMar>
            <w:top w:w="0" w:type="dxa"/>
            <w:left w:w="0" w:type="dxa"/>
            <w:bottom w:w="0" w:type="dxa"/>
            <w:right w:w="0" w:type="dxa"/>
          </w:tblCellMar>
        </w:tblPrEx>
        <w:trPr>
          <w:gridAfter w:val="1"/>
          <w:wAfter w:w="576" w:type="dxa"/>
          <w:trHeight w:val="18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42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落实各项防灾措施，分层次开展培训和应急演练，有效提升全社会防灾避险能力。实现全市地质灾害隐患点群防群策，搞好汛期排查、汛期巡查和讯后核查工作，实现地质灾害隐患点零伤亡。</w:t>
            </w:r>
          </w:p>
        </w:tc>
        <w:tc>
          <w:tcPr>
            <w:tcW w:w="4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强化地质灾害防治工作，完成全市地质灾害隐患点</w:t>
            </w:r>
            <w:r>
              <w:rPr>
                <w:rFonts w:ascii="仿宋_GB2312" w:hAnsi="仿宋_GB2312" w:eastAsia="仿宋_GB2312" w:cs="仿宋_GB2312"/>
                <w:color w:val="000000"/>
              </w:rPr>
              <w:t>1600</w:t>
            </w:r>
            <w:r>
              <w:rPr>
                <w:rFonts w:hint="eastAsia" w:ascii="仿宋_GB2312" w:hAnsi="仿宋_GB2312" w:eastAsia="仿宋_GB2312" w:cs="仿宋_GB2312"/>
                <w:color w:val="000000"/>
              </w:rPr>
              <w:t>各；</w:t>
            </w:r>
            <w:r>
              <w:rPr>
                <w:rFonts w:ascii="仿宋_GB2312" w:hAnsi="仿宋_GB2312" w:eastAsia="仿宋_GB2312" w:cs="仿宋_GB2312"/>
                <w:color w:val="000000"/>
              </w:rPr>
              <w:t>2.</w:t>
            </w:r>
            <w:r>
              <w:rPr>
                <w:rFonts w:hint="eastAsia" w:ascii="仿宋_GB2312" w:hAnsi="仿宋_GB2312" w:eastAsia="仿宋_GB2312" w:cs="仿宋_GB2312"/>
                <w:color w:val="000000"/>
              </w:rPr>
              <w:t>完成汛期隐患点排查、检查、督导</w:t>
            </w:r>
            <w:r>
              <w:rPr>
                <w:rFonts w:ascii="仿宋_GB2312" w:hAnsi="仿宋_GB2312" w:eastAsia="仿宋_GB2312" w:cs="仿宋_GB2312"/>
                <w:color w:val="000000"/>
              </w:rPr>
              <w:t>30</w:t>
            </w:r>
            <w:r>
              <w:rPr>
                <w:rFonts w:hint="eastAsia" w:ascii="仿宋_GB2312" w:hAnsi="仿宋_GB2312" w:eastAsia="仿宋_GB2312" w:cs="仿宋_GB2312"/>
                <w:color w:val="000000"/>
              </w:rPr>
              <w:t>次；</w:t>
            </w:r>
            <w:r>
              <w:rPr>
                <w:rFonts w:ascii="仿宋_GB2312" w:hAnsi="仿宋_GB2312" w:eastAsia="仿宋_GB2312" w:cs="仿宋_GB2312"/>
                <w:color w:val="000000"/>
              </w:rPr>
              <w:t>3.</w:t>
            </w:r>
            <w:r>
              <w:rPr>
                <w:rFonts w:hint="eastAsia" w:ascii="仿宋_GB2312" w:hAnsi="仿宋_GB2312" w:eastAsia="仿宋_GB2312" w:cs="仿宋_GB2312"/>
                <w:color w:val="000000"/>
              </w:rPr>
              <w:t>实施全市各县地质灾害应急演练</w:t>
            </w:r>
            <w:r>
              <w:rPr>
                <w:rFonts w:ascii="仿宋_GB2312" w:hAnsi="仿宋_GB2312" w:eastAsia="仿宋_GB2312" w:cs="仿宋_GB2312"/>
                <w:color w:val="000000"/>
              </w:rPr>
              <w:t>6</w:t>
            </w:r>
            <w:r>
              <w:rPr>
                <w:rFonts w:hint="eastAsia" w:ascii="仿宋_GB2312" w:hAnsi="仿宋_GB2312" w:eastAsia="仿宋_GB2312" w:cs="仿宋_GB2312"/>
                <w:color w:val="000000"/>
              </w:rPr>
              <w:t>次；</w:t>
            </w:r>
            <w:r>
              <w:rPr>
                <w:rFonts w:ascii="仿宋_GB2312" w:hAnsi="仿宋_GB2312" w:eastAsia="仿宋_GB2312" w:cs="仿宋_GB2312"/>
                <w:color w:val="000000"/>
              </w:rPr>
              <w:t>4.</w:t>
            </w:r>
            <w:r>
              <w:rPr>
                <w:rFonts w:hint="eastAsia" w:ascii="仿宋_GB2312" w:hAnsi="仿宋_GB2312" w:eastAsia="仿宋_GB2312" w:cs="仿宋_GB2312"/>
                <w:color w:val="000000"/>
              </w:rPr>
              <w:t>进行全市地质灾害宣传培训</w:t>
            </w:r>
            <w:r>
              <w:rPr>
                <w:rFonts w:ascii="仿宋_GB2312" w:hAnsi="仿宋_GB2312" w:eastAsia="仿宋_GB2312" w:cs="仿宋_GB2312"/>
                <w:color w:val="000000"/>
              </w:rPr>
              <w:t>1</w:t>
            </w:r>
            <w:r>
              <w:rPr>
                <w:rFonts w:hint="eastAsia" w:ascii="仿宋_GB2312" w:hAnsi="仿宋_GB2312" w:eastAsia="仿宋_GB2312" w:cs="仿宋_GB2312"/>
                <w:color w:val="000000"/>
              </w:rPr>
              <w:t>次。</w:t>
            </w:r>
          </w:p>
        </w:tc>
      </w:tr>
      <w:tr>
        <w:tblPrEx>
          <w:tblCellMar>
            <w:top w:w="0" w:type="dxa"/>
            <w:left w:w="0" w:type="dxa"/>
            <w:bottom w:w="0" w:type="dxa"/>
            <w:right w:w="0" w:type="dxa"/>
          </w:tblCellMar>
        </w:tblPrEx>
        <w:trPr>
          <w:gridAfter w:val="1"/>
          <w:wAfter w:w="576" w:type="dxa"/>
          <w:trHeight w:val="767"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绩效指标完成情况</w:t>
            </w: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一级</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二级指标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三级指标</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r>
      <w:tr>
        <w:tblPrEx>
          <w:tblCellMar>
            <w:top w:w="0" w:type="dxa"/>
            <w:left w:w="0" w:type="dxa"/>
            <w:bottom w:w="0" w:type="dxa"/>
            <w:right w:w="0" w:type="dxa"/>
          </w:tblCellMar>
        </w:tblPrEx>
        <w:trPr>
          <w:gridAfter w:val="1"/>
          <w:wAfter w:w="576" w:type="dxa"/>
          <w:trHeight w:val="718"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强化地质灾害防治工作，完成全市地质灾害隐患点</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1600</w:t>
            </w:r>
            <w:r>
              <w:rPr>
                <w:rFonts w:hint="eastAsia" w:ascii="仿宋_GB2312" w:hAnsi="仿宋_GB2312" w:eastAsia="仿宋_GB2312" w:cs="仿宋_GB2312"/>
                <w:color w:val="000000"/>
              </w:rPr>
              <w:t>点</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1600</w:t>
            </w:r>
            <w:r>
              <w:rPr>
                <w:rFonts w:hint="eastAsia" w:ascii="仿宋_GB2312" w:hAnsi="仿宋_GB2312" w:eastAsia="仿宋_GB2312" w:cs="仿宋_GB2312"/>
                <w:color w:val="000000"/>
              </w:rPr>
              <w:t>点</w:t>
            </w:r>
          </w:p>
        </w:tc>
      </w:tr>
      <w:tr>
        <w:tblPrEx>
          <w:tblCellMar>
            <w:top w:w="0" w:type="dxa"/>
            <w:left w:w="0" w:type="dxa"/>
            <w:bottom w:w="0" w:type="dxa"/>
            <w:right w:w="0" w:type="dxa"/>
          </w:tblCellMar>
        </w:tblPrEx>
        <w:trPr>
          <w:gridAfter w:val="1"/>
          <w:wAfter w:w="576" w:type="dxa"/>
          <w:trHeight w:val="75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完成汛期隐患点排查、</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检查、督导</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30</w:t>
            </w:r>
            <w:r>
              <w:rPr>
                <w:rFonts w:hint="eastAsia" w:ascii="仿宋_GB2312" w:hAnsi="仿宋_GB2312" w:eastAsia="仿宋_GB2312" w:cs="仿宋_GB2312"/>
                <w:color w:val="000000"/>
              </w:rPr>
              <w:t>次</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30</w:t>
            </w:r>
            <w:r>
              <w:rPr>
                <w:rFonts w:hint="eastAsia" w:ascii="仿宋_GB2312" w:hAnsi="仿宋_GB2312" w:eastAsia="仿宋_GB2312" w:cs="仿宋_GB2312"/>
                <w:color w:val="000000"/>
              </w:rPr>
              <w:t>次</w:t>
            </w:r>
          </w:p>
        </w:tc>
      </w:tr>
      <w:tr>
        <w:tblPrEx>
          <w:tblCellMar>
            <w:top w:w="0" w:type="dxa"/>
            <w:left w:w="0" w:type="dxa"/>
            <w:bottom w:w="0" w:type="dxa"/>
            <w:right w:w="0" w:type="dxa"/>
          </w:tblCellMar>
        </w:tblPrEx>
        <w:trPr>
          <w:gridAfter w:val="1"/>
          <w:wAfter w:w="576" w:type="dxa"/>
          <w:trHeight w:val="59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实施全市各县地质</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灾害应急演练</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w:t>
            </w:r>
            <w:r>
              <w:rPr>
                <w:rFonts w:hint="eastAsia" w:ascii="仿宋_GB2312" w:hAnsi="仿宋_GB2312" w:eastAsia="仿宋_GB2312" w:cs="仿宋_GB2312"/>
                <w:color w:val="000000"/>
              </w:rPr>
              <w:t>次</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w:t>
            </w:r>
            <w:r>
              <w:rPr>
                <w:rFonts w:hint="eastAsia" w:ascii="仿宋_GB2312" w:hAnsi="仿宋_GB2312" w:eastAsia="仿宋_GB2312" w:cs="仿宋_GB2312"/>
                <w:color w:val="000000"/>
              </w:rPr>
              <w:t>次</w:t>
            </w:r>
          </w:p>
        </w:tc>
      </w:tr>
      <w:tr>
        <w:tblPrEx>
          <w:tblCellMar>
            <w:top w:w="0" w:type="dxa"/>
            <w:left w:w="0" w:type="dxa"/>
            <w:bottom w:w="0" w:type="dxa"/>
            <w:right w:w="0" w:type="dxa"/>
          </w:tblCellMar>
        </w:tblPrEx>
        <w:trPr>
          <w:gridAfter w:val="1"/>
          <w:wAfter w:w="576" w:type="dxa"/>
          <w:trHeight w:val="591"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进行全市地质灾害</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宣传培训</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次</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次</w:t>
            </w:r>
          </w:p>
        </w:tc>
      </w:tr>
      <w:tr>
        <w:tblPrEx>
          <w:tblCellMar>
            <w:top w:w="0" w:type="dxa"/>
            <w:left w:w="0" w:type="dxa"/>
            <w:bottom w:w="0" w:type="dxa"/>
            <w:right w:w="0" w:type="dxa"/>
          </w:tblCellMar>
        </w:tblPrEx>
        <w:trPr>
          <w:gridAfter w:val="1"/>
          <w:wAfter w:w="576" w:type="dxa"/>
          <w:trHeight w:val="59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地质灾害隐患点大幅减少</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r>
              <w:rPr>
                <w:rFonts w:ascii="仿宋_GB2312" w:hAnsi="仿宋_GB2312" w:eastAsia="仿宋_GB2312" w:cs="仿宋_GB2312"/>
                <w:color w:val="000000"/>
              </w:rPr>
              <w:t>100%</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r>
              <w:rPr>
                <w:rFonts w:ascii="仿宋_GB2312" w:hAnsi="仿宋_GB2312" w:eastAsia="仿宋_GB2312" w:cs="仿宋_GB2312"/>
                <w:color w:val="000000"/>
              </w:rPr>
              <w:t>100%</w:t>
            </w:r>
          </w:p>
        </w:tc>
      </w:tr>
      <w:tr>
        <w:tblPrEx>
          <w:tblCellMar>
            <w:top w:w="0" w:type="dxa"/>
            <w:left w:w="0" w:type="dxa"/>
            <w:bottom w:w="0" w:type="dxa"/>
            <w:right w:w="0" w:type="dxa"/>
          </w:tblCellMar>
        </w:tblPrEx>
        <w:trPr>
          <w:gridAfter w:val="1"/>
          <w:wAfter w:w="576" w:type="dxa"/>
          <w:trHeight w:val="141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效益</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加强地质</w:t>
            </w:r>
            <w:r>
              <w:rPr>
                <w:rFonts w:hint="eastAsia" w:ascii="仿宋_GB2312" w:hAnsi="仿宋_GB2312" w:eastAsia="仿宋_GB2312" w:cs="仿宋_GB2312"/>
                <w:color w:val="000000"/>
                <w:spacing w:val="-6"/>
              </w:rPr>
              <w:t>灾害防治工作，不断提升地质灾害防治能力，最大限度保护人民群众生命财产安全，有效保障</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r>
              <w:rPr>
                <w:rFonts w:ascii="仿宋_GB2312" w:hAnsi="仿宋_GB2312" w:eastAsia="仿宋_GB2312" w:cs="仿宋_GB2312"/>
                <w:color w:val="000000"/>
              </w:rPr>
              <w:t>100%</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r>
              <w:rPr>
                <w:rFonts w:ascii="仿宋_GB2312" w:hAnsi="仿宋_GB2312" w:eastAsia="仿宋_GB2312" w:cs="仿宋_GB2312"/>
                <w:color w:val="000000"/>
              </w:rPr>
              <w:t>100%</w:t>
            </w:r>
          </w:p>
        </w:tc>
      </w:tr>
      <w:tr>
        <w:tblPrEx>
          <w:tblCellMar>
            <w:top w:w="0" w:type="dxa"/>
            <w:left w:w="0" w:type="dxa"/>
            <w:bottom w:w="0" w:type="dxa"/>
            <w:right w:w="0" w:type="dxa"/>
          </w:tblCellMar>
        </w:tblPrEx>
        <w:trPr>
          <w:gridAfter w:val="1"/>
          <w:wAfter w:w="576" w:type="dxa"/>
          <w:trHeight w:val="129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可持续影响指标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减少地质灾害发生</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让老百姓安居乐业，</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没有后顾之忧。</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让老百姓安居乐业，</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没有后顾之</w:t>
            </w:r>
          </w:p>
        </w:tc>
      </w:tr>
      <w:tr>
        <w:tblPrEx>
          <w:tblCellMar>
            <w:top w:w="0" w:type="dxa"/>
            <w:left w:w="0" w:type="dxa"/>
            <w:bottom w:w="0" w:type="dxa"/>
            <w:right w:w="0" w:type="dxa"/>
          </w:tblCellMar>
        </w:tblPrEx>
        <w:trPr>
          <w:gridAfter w:val="1"/>
          <w:wAfter w:w="576" w:type="dxa"/>
          <w:trHeight w:val="60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96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社会满意度</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gridAfter w:val="1"/>
          <w:wAfter w:w="576" w:type="dxa"/>
          <w:trHeight w:val="60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96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人民群众满意度</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p>
            <w:pPr>
              <w:widowControl/>
              <w:spacing w:line="300" w:lineRule="exact"/>
              <w:jc w:val="center"/>
              <w:textAlignment w:val="center"/>
              <w:rPr>
                <w:rFonts w:ascii="仿宋_GB2312" w:hAnsi="仿宋_GB2312" w:eastAsia="仿宋_GB2312" w:cs="仿宋_GB2312"/>
                <w:color w:val="000000"/>
              </w:rPr>
            </w:pP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trHeight w:val="1034" w:hRule="atLeast"/>
        </w:trPr>
        <w:tc>
          <w:tcPr>
            <w:tcW w:w="10087" w:type="dxa"/>
            <w:gridSpan w:val="12"/>
            <w:tcMar>
              <w:top w:w="15" w:type="dxa"/>
              <w:left w:w="15" w:type="dxa"/>
              <w:bottom w:w="0" w:type="dxa"/>
              <w:right w:w="15" w:type="dxa"/>
            </w:tcMar>
            <w:vAlign w:val="center"/>
          </w:tcPr>
          <w:p>
            <w:pPr>
              <w:pStyle w:val="31"/>
              <w:widowControl/>
              <w:spacing w:line="560" w:lineRule="exact"/>
              <w:ind w:left="4331" w:leftChars="1310" w:hanging="1580" w:hangingChars="395"/>
              <w:textAlignment w:val="center"/>
              <w:rPr>
                <w:rFonts w:ascii="仿宋_GB2312" w:hAnsi="仿宋_GB2312" w:eastAsia="仿宋_GB2312" w:cs="仿宋_GB2312"/>
                <w:color w:val="000000"/>
                <w:sz w:val="40"/>
                <w:szCs w:val="40"/>
              </w:rPr>
            </w:pPr>
            <w:r>
              <w:rPr>
                <w:rFonts w:hint="eastAsia" w:ascii="仿宋_GB2312" w:hAnsi="仿宋_GB2312" w:eastAsia="仿宋_GB2312" w:cs="仿宋_GB2312"/>
                <w:color w:val="000000"/>
                <w:kern w:val="0"/>
                <w:sz w:val="40"/>
                <w:szCs w:val="40"/>
              </w:rPr>
              <w:t>项目支出绩效目标完成情况表</w:t>
            </w:r>
            <w:r>
              <w:rPr>
                <w:rFonts w:ascii="仿宋_GB2312" w:hAnsi="仿宋_GB2312" w:eastAsia="仿宋_GB2312" w:cs="仿宋_GB2312"/>
                <w:b/>
                <w:bCs/>
                <w:color w:val="000000"/>
                <w:kern w:val="0"/>
                <w:sz w:val="40"/>
                <w:szCs w:val="40"/>
              </w:rPr>
              <w:br w:type="textWrapping"/>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9年度</w:t>
            </w:r>
            <w:r>
              <w:rPr>
                <w:rFonts w:ascii="仿宋_GB2312" w:hAnsi="仿宋_GB2312" w:eastAsia="仿宋_GB2312" w:cs="仿宋_GB2312"/>
                <w:color w:val="000000"/>
                <w:kern w:val="0"/>
                <w:sz w:val="32"/>
                <w:szCs w:val="32"/>
              </w:rPr>
              <w:t>)</w:t>
            </w:r>
          </w:p>
        </w:tc>
      </w:tr>
      <w:tr>
        <w:tblPrEx>
          <w:tblCellMar>
            <w:top w:w="0" w:type="dxa"/>
            <w:left w:w="0" w:type="dxa"/>
            <w:bottom w:w="0" w:type="dxa"/>
            <w:right w:w="0" w:type="dxa"/>
          </w:tblCellMar>
        </w:tblPrEx>
        <w:trPr>
          <w:trHeight w:val="553" w:hRule="atLeast"/>
        </w:trPr>
        <w:tc>
          <w:tcPr>
            <w:tcW w:w="2909"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矿业权人勘查开采信息公示系统</w:t>
            </w:r>
          </w:p>
        </w:tc>
      </w:tr>
      <w:tr>
        <w:tblPrEx>
          <w:tblCellMar>
            <w:top w:w="0" w:type="dxa"/>
            <w:left w:w="0" w:type="dxa"/>
            <w:bottom w:w="0" w:type="dxa"/>
            <w:right w:w="0" w:type="dxa"/>
          </w:tblCellMar>
        </w:tblPrEx>
        <w:trPr>
          <w:trHeight w:val="447" w:hRule="atLeast"/>
        </w:trPr>
        <w:tc>
          <w:tcPr>
            <w:tcW w:w="2909"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广元市国土资源局</w:t>
            </w:r>
          </w:p>
        </w:tc>
      </w:tr>
      <w:tr>
        <w:tblPrEx>
          <w:tblCellMar>
            <w:top w:w="0" w:type="dxa"/>
            <w:left w:w="0" w:type="dxa"/>
            <w:bottom w:w="0" w:type="dxa"/>
            <w:right w:w="0" w:type="dxa"/>
          </w:tblCellMar>
        </w:tblPrEx>
        <w:trPr>
          <w:trHeight w:val="452" w:hRule="atLeast"/>
        </w:trPr>
        <w:tc>
          <w:tcPr>
            <w:tcW w:w="98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预算执行情况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万元</w:t>
            </w:r>
            <w:r>
              <w:rPr>
                <w:rFonts w:ascii="仿宋_GB2312" w:hAnsi="仿宋_GB2312" w:eastAsia="仿宋_GB2312" w:cs="仿宋_GB2312"/>
                <w:color w:val="000000"/>
                <w:kern w:val="0"/>
              </w:rPr>
              <w:t>)</w:t>
            </w:r>
          </w:p>
        </w:tc>
        <w:tc>
          <w:tcPr>
            <w:tcW w:w="1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预算数</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7.6</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执行数</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7.6</w:t>
            </w:r>
          </w:p>
        </w:tc>
      </w:tr>
      <w:tr>
        <w:tblPrEx>
          <w:tblCellMar>
            <w:top w:w="0" w:type="dxa"/>
            <w:left w:w="0" w:type="dxa"/>
            <w:bottom w:w="0" w:type="dxa"/>
            <w:right w:w="0" w:type="dxa"/>
          </w:tblCellMar>
        </w:tblPrEx>
        <w:trPr>
          <w:trHeight w:val="43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7.6</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7.6</w:t>
            </w:r>
          </w:p>
        </w:tc>
      </w:tr>
      <w:tr>
        <w:tblPrEx>
          <w:tblCellMar>
            <w:top w:w="0" w:type="dxa"/>
            <w:left w:w="0" w:type="dxa"/>
            <w:bottom w:w="0" w:type="dxa"/>
            <w:right w:w="0" w:type="dxa"/>
          </w:tblCellMar>
        </w:tblPrEx>
        <w:trPr>
          <w:trHeight w:val="592"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color w:val="000000"/>
              </w:rPr>
            </w:pPr>
          </w:p>
        </w:tc>
      </w:tr>
      <w:tr>
        <w:tblPrEx>
          <w:tblCellMar>
            <w:top w:w="0" w:type="dxa"/>
            <w:left w:w="0" w:type="dxa"/>
            <w:bottom w:w="0" w:type="dxa"/>
            <w:right w:w="0" w:type="dxa"/>
          </w:tblCellMar>
        </w:tblPrEx>
        <w:trPr>
          <w:trHeight w:val="614" w:hRule="atLeast"/>
        </w:trPr>
        <w:tc>
          <w:tcPr>
            <w:tcW w:w="98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年度目标完成情况</w:t>
            </w:r>
          </w:p>
        </w:tc>
        <w:tc>
          <w:tcPr>
            <w:tcW w:w="441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预期目标</w:t>
            </w:r>
          </w:p>
        </w:tc>
        <w:tc>
          <w:tcPr>
            <w:tcW w:w="46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实际完成目标</w:t>
            </w:r>
          </w:p>
        </w:tc>
      </w:tr>
      <w:tr>
        <w:tblPrEx>
          <w:tblCellMar>
            <w:top w:w="0" w:type="dxa"/>
            <w:left w:w="0" w:type="dxa"/>
            <w:bottom w:w="0" w:type="dxa"/>
            <w:right w:w="0" w:type="dxa"/>
          </w:tblCellMar>
        </w:tblPrEx>
        <w:trPr>
          <w:trHeight w:val="1684"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441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kern w:val="0"/>
              </w:rPr>
            </w:pPr>
          </w:p>
          <w:p>
            <w:pPr>
              <w:widowControl/>
              <w:spacing w:line="30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完成矿业权人勘查开采信息公示实地核查</w:t>
            </w: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，拟</w:t>
            </w:r>
            <w:r>
              <w:rPr>
                <w:rFonts w:hint="eastAsia" w:ascii="仿宋_GB2312" w:hAnsi="仿宋_GB2312" w:eastAsia="仿宋_GB2312" w:cs="仿宋_GB2312"/>
                <w:color w:val="000000"/>
              </w:rPr>
              <w:t>提交相应成果资料。</w:t>
            </w:r>
          </w:p>
          <w:p>
            <w:pPr>
              <w:widowControl/>
              <w:spacing w:line="300" w:lineRule="exact"/>
              <w:textAlignment w:val="center"/>
              <w:rPr>
                <w:rFonts w:ascii="仿宋_GB2312" w:hAnsi="仿宋_GB2312" w:eastAsia="仿宋_GB2312" w:cs="仿宋_GB2312"/>
                <w:color w:val="000000"/>
              </w:rPr>
            </w:pPr>
          </w:p>
        </w:tc>
        <w:tc>
          <w:tcPr>
            <w:tcW w:w="46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仿宋_GB2312" w:hAnsi="仿宋_GB2312" w:eastAsia="仿宋_GB2312" w:cs="仿宋_GB2312"/>
                <w:color w:val="000000"/>
              </w:rPr>
            </w:pPr>
          </w:p>
          <w:p>
            <w:pPr>
              <w:widowControl/>
              <w:spacing w:line="30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开展已列入异常名录</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个矿业权实地核查工作，另抽查全市矿业权总数的</w:t>
            </w: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以上（约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个），专项抽查约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w:t>
            </w:r>
          </w:p>
        </w:tc>
      </w:tr>
      <w:tr>
        <w:tblPrEx>
          <w:tblCellMar>
            <w:top w:w="0" w:type="dxa"/>
            <w:left w:w="0" w:type="dxa"/>
            <w:bottom w:w="0" w:type="dxa"/>
            <w:right w:w="0" w:type="dxa"/>
          </w:tblCellMar>
        </w:tblPrEx>
        <w:trPr>
          <w:trHeight w:val="899" w:hRule="atLeast"/>
        </w:trPr>
        <w:tc>
          <w:tcPr>
            <w:tcW w:w="98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绩效指标完成情况</w:t>
            </w: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二级指标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三级指标</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r>
      <w:tr>
        <w:tblPrEx>
          <w:tblCellMar>
            <w:top w:w="0" w:type="dxa"/>
            <w:left w:w="0" w:type="dxa"/>
            <w:bottom w:w="0" w:type="dxa"/>
            <w:right w:w="0" w:type="dxa"/>
          </w:tblCellMar>
        </w:tblPrEx>
        <w:trPr>
          <w:trHeight w:val="215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完成矿业权人勘查开采信息公示实地核查。</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开展已列入异常名录</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个矿业权实地核查工作，另抽查全市矿业权总数的</w:t>
            </w: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以上（约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个），专项抽查约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开展已列入异常名录</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个矿业权实地核查工作，另抽查全市矿业权总数的</w:t>
            </w:r>
            <w:r>
              <w:rPr>
                <w:rFonts w:ascii="仿宋_GB2312" w:hAnsi="仿宋_GB2312" w:eastAsia="仿宋_GB2312" w:cs="仿宋_GB2312"/>
                <w:color w:val="000000"/>
                <w:kern w:val="0"/>
              </w:rPr>
              <w:t>5%</w:t>
            </w:r>
            <w:r>
              <w:rPr>
                <w:rFonts w:hint="eastAsia" w:ascii="仿宋_GB2312" w:hAnsi="仿宋_GB2312" w:eastAsia="仿宋_GB2312" w:cs="仿宋_GB2312"/>
                <w:color w:val="000000"/>
                <w:kern w:val="0"/>
              </w:rPr>
              <w:t>以上（约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个），专项抽查约</w:t>
            </w:r>
            <w:r>
              <w:rPr>
                <w:rFonts w:ascii="仿宋_GB2312" w:hAnsi="仿宋_GB2312" w:eastAsia="仿宋_GB2312" w:cs="仿宋_GB2312"/>
                <w:color w:val="000000"/>
                <w:kern w:val="0"/>
              </w:rPr>
              <w:t>20</w:t>
            </w:r>
            <w:r>
              <w:rPr>
                <w:rFonts w:hint="eastAsia" w:ascii="仿宋_GB2312" w:hAnsi="仿宋_GB2312" w:eastAsia="仿宋_GB2312" w:cs="仿宋_GB2312"/>
                <w:color w:val="000000"/>
                <w:kern w:val="0"/>
              </w:rPr>
              <w:t>个。</w:t>
            </w:r>
          </w:p>
        </w:tc>
      </w:tr>
      <w:tr>
        <w:tblPrEx>
          <w:tblCellMar>
            <w:top w:w="0" w:type="dxa"/>
            <w:left w:w="0" w:type="dxa"/>
            <w:bottom w:w="0" w:type="dxa"/>
            <w:right w:w="0" w:type="dxa"/>
          </w:tblCellMar>
        </w:tblPrEx>
        <w:trPr>
          <w:trHeight w:val="903"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按时按质公开公示</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100%</w:t>
            </w:r>
          </w:p>
        </w:tc>
      </w:tr>
      <w:tr>
        <w:tblPrEx>
          <w:tblCellMar>
            <w:top w:w="0" w:type="dxa"/>
            <w:left w:w="0" w:type="dxa"/>
            <w:bottom w:w="0" w:type="dxa"/>
            <w:right w:w="0" w:type="dxa"/>
          </w:tblCellMar>
        </w:tblPrEx>
        <w:trPr>
          <w:trHeight w:val="1052"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开展地质调查、资源勘查和储量核实等工作</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根据政府配置情况产生</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相应效益</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根据政府配置情况产生相</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应效益</w:t>
            </w:r>
          </w:p>
        </w:tc>
      </w:tr>
      <w:tr>
        <w:tblPrEx>
          <w:tblCellMar>
            <w:top w:w="0" w:type="dxa"/>
            <w:left w:w="0" w:type="dxa"/>
            <w:bottom w:w="0" w:type="dxa"/>
            <w:right w:w="0" w:type="dxa"/>
          </w:tblCellMar>
        </w:tblPrEx>
        <w:trPr>
          <w:trHeight w:val="1064"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经济效益</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开展地质调查、资源勘查和储量核实等工作</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为矿业权出让提供基础资</w:t>
            </w:r>
            <w:r>
              <w:rPr>
                <w:rFonts w:hint="eastAsia" w:ascii="仿宋_GB2312" w:hAnsi="仿宋_GB2312" w:eastAsia="仿宋_GB2312" w:cs="仿宋_GB2312"/>
                <w:color w:val="000000"/>
              </w:rPr>
              <w:t>料</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矿业权出让提供基础资</w:t>
            </w:r>
            <w:r>
              <w:rPr>
                <w:rFonts w:hint="eastAsia" w:ascii="仿宋_GB2312" w:hAnsi="仿宋_GB2312" w:eastAsia="仿宋_GB2312" w:cs="仿宋_GB2312"/>
                <w:color w:val="000000"/>
              </w:rPr>
              <w:t>资料</w:t>
            </w:r>
          </w:p>
        </w:tc>
      </w:tr>
      <w:tr>
        <w:tblPrEx>
          <w:tblCellMar>
            <w:top w:w="0" w:type="dxa"/>
            <w:left w:w="0" w:type="dxa"/>
            <w:bottom w:w="0" w:type="dxa"/>
            <w:right w:w="0" w:type="dxa"/>
          </w:tblCellMar>
        </w:tblPrEx>
        <w:trPr>
          <w:trHeight w:val="604"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025" w:type="dxa"/>
            <w:gridSpan w:val="2"/>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实地核查工作</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bl>
    <w:p>
      <w:pPr>
        <w:spacing w:line="300" w:lineRule="exact"/>
        <w:rPr>
          <w:rFonts w:ascii="仿宋_GB2312" w:hAnsi="仿宋_GB2312" w:eastAsia="仿宋_GB2312" w:cs="仿宋_GB231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60"/>
        <w:gridCol w:w="797"/>
        <w:gridCol w:w="1025"/>
        <w:gridCol w:w="2483"/>
        <w:gridCol w:w="2205"/>
        <w:gridCol w:w="98"/>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1"/>
              <w:widowControl/>
              <w:spacing w:line="560" w:lineRule="exact"/>
              <w:ind w:left="4331" w:leftChars="1310" w:hanging="1580" w:hangingChars="395"/>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40"/>
                <w:szCs w:val="40"/>
              </w:rPr>
              <w:t>项目支出绩效目标完成情况表</w:t>
            </w:r>
            <w:r>
              <w:rPr>
                <w:rFonts w:ascii="仿宋_GB2312" w:hAnsi="仿宋_GB2312" w:eastAsia="仿宋_GB2312" w:cs="仿宋_GB2312"/>
                <w:b/>
                <w:bCs/>
                <w:color w:val="000000"/>
                <w:kern w:val="0"/>
                <w:sz w:val="40"/>
                <w:szCs w:val="40"/>
              </w:rPr>
              <w:br w:type="textWrapping"/>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9年度</w:t>
            </w:r>
            <w:r>
              <w:rPr>
                <w:rFonts w:ascii="仿宋_GB2312" w:hAnsi="仿宋_GB2312" w:eastAsia="仿宋_GB2312" w:cs="仿宋_GB2312"/>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信息化运行维护工作经费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广元市国土资源局</w:t>
            </w: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预算执行情况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万元</w:t>
            </w:r>
            <w:r>
              <w:rPr>
                <w:rFonts w:ascii="仿宋_GB2312" w:hAnsi="仿宋_GB2312" w:eastAsia="仿宋_GB2312" w:cs="仿宋_GB2312"/>
                <w:color w:val="000000"/>
                <w:kern w:val="0"/>
              </w:rPr>
              <w:t>)</w:t>
            </w: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预算数</w:t>
            </w:r>
            <w:r>
              <w:rPr>
                <w:rFonts w:ascii="仿宋_GB2312" w:hAnsi="仿宋_GB2312" w:eastAsia="仿宋_GB2312" w:cs="仿宋_GB2312"/>
                <w:color w:val="000000"/>
                <w:kern w:val="0"/>
              </w:rPr>
              <w:t>:</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6.62</w:t>
            </w: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执行数</w:t>
            </w:r>
            <w:r>
              <w:rPr>
                <w:rFonts w:ascii="仿宋_GB2312" w:hAnsi="仿宋_GB2312" w:eastAsia="仿宋_GB2312" w:cs="仿宋_GB2312"/>
                <w:color w:val="000000"/>
                <w:kern w:val="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6.62</w:t>
            </w:r>
          </w:p>
        </w:tc>
      </w:tr>
      <w:tr>
        <w:tblPrEx>
          <w:tblCellMar>
            <w:top w:w="0" w:type="dxa"/>
            <w:left w:w="0" w:type="dxa"/>
            <w:bottom w:w="0" w:type="dxa"/>
            <w:right w:w="0" w:type="dxa"/>
          </w:tblCellMar>
        </w:tblPrEx>
        <w:trPr>
          <w:trHeight w:val="276"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6.62</w:t>
            </w: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6.62</w:t>
            </w:r>
          </w:p>
        </w:tc>
      </w:tr>
      <w:tr>
        <w:tblPrEx>
          <w:tblCellMar>
            <w:top w:w="0" w:type="dxa"/>
            <w:left w:w="0" w:type="dxa"/>
            <w:bottom w:w="0" w:type="dxa"/>
            <w:right w:w="0" w:type="dxa"/>
          </w:tblCellMar>
        </w:tblPrEx>
        <w:trPr>
          <w:trHeight w:val="332"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18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3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仿宋_GB2312" w:hAnsi="仿宋_GB2312" w:eastAsia="仿宋_GB2312" w:cs="仿宋_GB2312"/>
                <w:color w:val="000000"/>
              </w:rPr>
            </w:pPr>
          </w:p>
        </w:tc>
      </w:tr>
      <w:tr>
        <w:tblPrEx>
          <w:tblCellMar>
            <w:top w:w="0" w:type="dxa"/>
            <w:left w:w="0" w:type="dxa"/>
            <w:bottom w:w="0" w:type="dxa"/>
            <w:right w:w="0" w:type="dxa"/>
          </w:tblCellMar>
        </w:tblPrEx>
        <w:trPr>
          <w:trHeight w:val="27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年度目标完成情况</w:t>
            </w:r>
          </w:p>
        </w:tc>
        <w:tc>
          <w:tcPr>
            <w:tcW w:w="43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预期目标</w:t>
            </w:r>
          </w:p>
        </w:tc>
        <w:tc>
          <w:tcPr>
            <w:tcW w:w="46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实际完成目标</w:t>
            </w:r>
          </w:p>
        </w:tc>
      </w:tr>
      <w:tr>
        <w:tblPrEx>
          <w:tblCellMar>
            <w:top w:w="0" w:type="dxa"/>
            <w:left w:w="0" w:type="dxa"/>
            <w:bottom w:w="0" w:type="dxa"/>
            <w:right w:w="0" w:type="dxa"/>
          </w:tblCellMar>
        </w:tblPrEx>
        <w:trPr>
          <w:trHeight w:val="2094"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43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完成市国土资源局信息化运维工作；根据广元市人民政府榜公示印发广元市政务信息系统整合共享方案的通知（广府办发【</w:t>
            </w:r>
            <w:r>
              <w:rPr>
                <w:rFonts w:ascii="仿宋_GB2312" w:hAnsi="仿宋_GB2312" w:eastAsia="仿宋_GB2312" w:cs="仿宋_GB2312"/>
                <w:color w:val="000000"/>
                <w:kern w:val="0"/>
              </w:rPr>
              <w:t>2017</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123</w:t>
            </w:r>
            <w:r>
              <w:rPr>
                <w:rFonts w:hint="eastAsia" w:ascii="仿宋_GB2312" w:hAnsi="仿宋_GB2312" w:eastAsia="仿宋_GB2312" w:cs="仿宋_GB2312"/>
                <w:color w:val="000000"/>
                <w:kern w:val="0"/>
              </w:rPr>
              <w:t>号文对广元市国土资源档案系统、人事管理系统、违法行为处理系统、土地动态监测预监管系统等和国土资源网站等信息系统进行自查、编目、清理、整合、接入、共享、协调，纳入政府统一平台，实现信息共享。</w:t>
            </w:r>
          </w:p>
        </w:tc>
        <w:tc>
          <w:tcPr>
            <w:tcW w:w="46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完成市国土资源局信息化运行和维护</w:t>
            </w:r>
            <w:r>
              <w:rPr>
                <w:rFonts w:ascii="仿宋_GB2312" w:hAnsi="仿宋_GB2312" w:eastAsia="仿宋_GB2312" w:cs="仿宋_GB2312"/>
                <w:color w:val="000000"/>
                <w:kern w:val="0"/>
              </w:rPr>
              <w:t>,</w:t>
            </w:r>
          </w:p>
          <w:p>
            <w:pPr>
              <w:widowControl/>
              <w:spacing w:line="260" w:lineRule="exact"/>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保障国土资源信息化正常运行和维护，保障国土资源网络通讯正常运行、升级国土资源主干网络，提升安全等级，确保国土资源管理工作正常开展。</w:t>
            </w:r>
          </w:p>
          <w:p>
            <w:pPr>
              <w:widowControl/>
              <w:spacing w:line="260" w:lineRule="exact"/>
              <w:textAlignment w:val="center"/>
              <w:rPr>
                <w:rFonts w:ascii="仿宋_GB2312" w:hAnsi="仿宋_GB2312" w:eastAsia="仿宋_GB2312" w:cs="仿宋_GB2312"/>
                <w:color w:val="000000"/>
                <w:kern w:val="0"/>
              </w:rPr>
            </w:pPr>
          </w:p>
          <w:p>
            <w:pPr>
              <w:widowControl/>
              <w:spacing w:line="260" w:lineRule="exact"/>
              <w:textAlignment w:val="center"/>
              <w:rPr>
                <w:rFonts w:ascii="仿宋_GB2312" w:hAnsi="仿宋_GB2312" w:eastAsia="仿宋_GB2312" w:cs="仿宋_GB2312"/>
                <w:color w:val="000000"/>
              </w:rPr>
            </w:pPr>
          </w:p>
        </w:tc>
      </w:tr>
      <w:tr>
        <w:tblPrEx>
          <w:tblCellMar>
            <w:top w:w="0" w:type="dxa"/>
            <w:left w:w="0" w:type="dxa"/>
            <w:bottom w:w="0" w:type="dxa"/>
            <w:right w:w="0" w:type="dxa"/>
          </w:tblCellMar>
        </w:tblPrEx>
        <w:trPr>
          <w:trHeight w:val="585"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绩效指标完成情况</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一级</w:t>
            </w:r>
          </w:p>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二级指标</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r>
      <w:tr>
        <w:tblPrEx>
          <w:tblCellMar>
            <w:top w:w="0" w:type="dxa"/>
            <w:left w:w="0" w:type="dxa"/>
            <w:bottom w:w="0" w:type="dxa"/>
            <w:right w:w="0" w:type="dxa"/>
          </w:tblCellMar>
        </w:tblPrEx>
        <w:trPr>
          <w:trHeight w:val="1841"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完成市国土资源局信息化运行和维护</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保障国土资源信息化正常运行和维护，保障国土资源网络通讯正常运行、升级国土资源主干网络，提升安全等级，确保国土资源管理工作正常开展。</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保障国土资源信息化正常运行和维护，保障国土资源网络通讯正常运行、升级国土资源主干网络，提升安全等级，确保国土资源管理工作正常开展。</w:t>
            </w:r>
          </w:p>
        </w:tc>
      </w:tr>
      <w:tr>
        <w:tblPrEx>
          <w:tblCellMar>
            <w:top w:w="0" w:type="dxa"/>
            <w:left w:w="0" w:type="dxa"/>
            <w:bottom w:w="0" w:type="dxa"/>
            <w:right w:w="0" w:type="dxa"/>
          </w:tblCellMar>
        </w:tblPrEx>
        <w:trPr>
          <w:trHeight w:val="1138"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国土资源信息化保障能力大幅度提升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安全保密等级提升、节约电费、环保、信息化保障到位，提升我局行办公能力</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安全保密等级提升、节约电费、环保、信息化保障到位，提升我局行政办公能力</w:t>
            </w:r>
          </w:p>
        </w:tc>
      </w:tr>
      <w:tr>
        <w:tblPrEx>
          <w:tblCellMar>
            <w:top w:w="0" w:type="dxa"/>
            <w:left w:w="0" w:type="dxa"/>
            <w:bottom w:w="0" w:type="dxa"/>
            <w:right w:w="0" w:type="dxa"/>
          </w:tblCellMar>
        </w:tblPrEx>
        <w:trPr>
          <w:trHeight w:val="938"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效益</w:t>
            </w:r>
          </w:p>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对国土资源管理工作的促进作用</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信息化保密、安全、运行保障、效率等更进一步提高，实现政府统一信息共享</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信息化保密、安全、运行保障、效率等更进一步提高，实现政府统一信息共享</w:t>
            </w:r>
          </w:p>
        </w:tc>
      </w:tr>
      <w:tr>
        <w:tblPrEx>
          <w:tblCellMar>
            <w:top w:w="0" w:type="dxa"/>
            <w:left w:w="0" w:type="dxa"/>
            <w:bottom w:w="0" w:type="dxa"/>
            <w:right w:w="0" w:type="dxa"/>
          </w:tblCellMar>
        </w:tblPrEx>
        <w:trPr>
          <w:trHeight w:val="55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效益</w:t>
            </w:r>
          </w:p>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p>
        </w:tc>
      </w:tr>
      <w:tr>
        <w:tblPrEx>
          <w:tblCellMar>
            <w:top w:w="0" w:type="dxa"/>
            <w:left w:w="0" w:type="dxa"/>
            <w:bottom w:w="0" w:type="dxa"/>
            <w:right w:w="0" w:type="dxa"/>
          </w:tblCellMar>
        </w:tblPrEx>
        <w:trPr>
          <w:trHeight w:val="43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widowControl/>
              <w:spacing w:line="26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信息安全管理部门满意度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trHeight w:val="603"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满意度指标</w:t>
            </w: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4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信息化使用者满意度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4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bl>
    <w:p>
      <w:pPr>
        <w:spacing w:line="580" w:lineRule="exact"/>
        <w:rPr>
          <w:rFonts w:ascii="仿宋_GB2312" w:hAnsi="仿宋_GB2312" w:eastAsia="仿宋_GB2312" w:cs="仿宋_GB2312"/>
          <w:sz w:val="32"/>
          <w:szCs w:val="32"/>
        </w:rPr>
      </w:pPr>
    </w:p>
    <w:p>
      <w:pPr>
        <w:spacing w:line="300" w:lineRule="exact"/>
        <w:rPr>
          <w:rFonts w:ascii="仿宋_GB2312" w:hAnsi="仿宋_GB2312" w:eastAsia="仿宋_GB2312" w:cs="仿宋_GB231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55"/>
        <w:gridCol w:w="76"/>
        <w:gridCol w:w="732"/>
        <w:gridCol w:w="94"/>
        <w:gridCol w:w="871"/>
        <w:gridCol w:w="154"/>
        <w:gridCol w:w="2192"/>
        <w:gridCol w:w="299"/>
        <w:gridCol w:w="1861"/>
        <w:gridCol w:w="434"/>
        <w:gridCol w:w="1816"/>
        <w:gridCol w:w="576"/>
      </w:tblGrid>
      <w:tr>
        <w:tblPrEx>
          <w:tblCellMar>
            <w:top w:w="0" w:type="dxa"/>
            <w:left w:w="0" w:type="dxa"/>
            <w:bottom w:w="0" w:type="dxa"/>
            <w:right w:w="0" w:type="dxa"/>
          </w:tblCellMar>
        </w:tblPrEx>
        <w:trPr>
          <w:trHeight w:val="1034" w:hRule="atLeast"/>
        </w:trPr>
        <w:tc>
          <w:tcPr>
            <w:tcW w:w="9960" w:type="dxa"/>
            <w:gridSpan w:val="12"/>
            <w:tcMar>
              <w:top w:w="15" w:type="dxa"/>
              <w:left w:w="15" w:type="dxa"/>
              <w:bottom w:w="0" w:type="dxa"/>
              <w:right w:w="15" w:type="dxa"/>
            </w:tcMar>
            <w:vAlign w:val="center"/>
          </w:tcPr>
          <w:p>
            <w:pPr>
              <w:pStyle w:val="32"/>
              <w:widowControl/>
              <w:spacing w:line="560" w:lineRule="exact"/>
              <w:ind w:left="4331" w:leftChars="1310" w:hanging="1580" w:hangingChars="395"/>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40"/>
                <w:szCs w:val="40"/>
              </w:rPr>
              <w:t>项目支出绩效目标完成情况表</w:t>
            </w:r>
            <w:r>
              <w:rPr>
                <w:rFonts w:ascii="仿宋_GB2312" w:hAnsi="仿宋_GB2312" w:eastAsia="仿宋_GB2312" w:cs="仿宋_GB2312"/>
                <w:b/>
                <w:bCs/>
                <w:color w:val="000000"/>
                <w:kern w:val="0"/>
              </w:rPr>
              <w:br w:type="textWrapping"/>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9年度</w:t>
            </w:r>
            <w:r>
              <w:rPr>
                <w:rFonts w:ascii="仿宋_GB2312" w:hAnsi="仿宋_GB2312" w:eastAsia="仿宋_GB2312" w:cs="仿宋_GB2312"/>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土地整治和土地报证专项工作经费</w:t>
            </w:r>
          </w:p>
        </w:tc>
      </w:tr>
      <w:tr>
        <w:tblPrEx>
          <w:tblCellMar>
            <w:top w:w="0" w:type="dxa"/>
            <w:left w:w="0" w:type="dxa"/>
            <w:bottom w:w="0" w:type="dxa"/>
            <w:right w:w="0" w:type="dxa"/>
          </w:tblCellMar>
        </w:tblPrEx>
        <w:trPr>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广元市国土资源局</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预算执行情况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万元</w:t>
            </w:r>
            <w:r>
              <w:rPr>
                <w:rFonts w:ascii="仿宋_GB2312" w:hAnsi="仿宋_GB2312" w:eastAsia="仿宋_GB2312" w:cs="仿宋_GB2312"/>
                <w:color w:val="000000"/>
                <w:kern w:val="0"/>
              </w:rPr>
              <w:t>)</w:t>
            </w:r>
          </w:p>
        </w:tc>
        <w:tc>
          <w:tcPr>
            <w:tcW w:w="192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预算数</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24.78</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执行数</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24.78</w:t>
            </w:r>
          </w:p>
        </w:tc>
      </w:tr>
      <w:tr>
        <w:tblPrEx>
          <w:tblCellMar>
            <w:top w:w="0" w:type="dxa"/>
            <w:left w:w="0" w:type="dxa"/>
            <w:bottom w:w="0" w:type="dxa"/>
            <w:right w:w="0" w:type="dxa"/>
          </w:tblCellMar>
        </w:tblPrEx>
        <w:trPr>
          <w:trHeight w:val="276"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2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24.78</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24.78</w:t>
            </w:r>
          </w:p>
        </w:tc>
      </w:tr>
      <w:tr>
        <w:tblPrEx>
          <w:tblCellMar>
            <w:top w:w="0" w:type="dxa"/>
            <w:left w:w="0" w:type="dxa"/>
            <w:bottom w:w="0" w:type="dxa"/>
            <w:right w:w="0" w:type="dxa"/>
          </w:tblCellMar>
        </w:tblPrEx>
        <w:trPr>
          <w:trHeight w:val="35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92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color w:val="000000"/>
              </w:rPr>
            </w:pP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年度目标完成情况</w:t>
            </w:r>
          </w:p>
        </w:tc>
        <w:tc>
          <w:tcPr>
            <w:tcW w:w="4418"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预期目标</w:t>
            </w:r>
          </w:p>
        </w:tc>
        <w:tc>
          <w:tcPr>
            <w:tcW w:w="46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实际完成目标</w:t>
            </w:r>
          </w:p>
        </w:tc>
      </w:tr>
      <w:tr>
        <w:tblPrEx>
          <w:tblCellMar>
            <w:top w:w="0" w:type="dxa"/>
            <w:left w:w="0" w:type="dxa"/>
            <w:bottom w:w="0" w:type="dxa"/>
            <w:right w:w="0" w:type="dxa"/>
          </w:tblCellMar>
        </w:tblPrEx>
        <w:trPr>
          <w:trHeight w:val="115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4418"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开展全市各县（区）土地整治高标准项目和扶贫项目监管管理，完成</w:t>
            </w:r>
            <w:r>
              <w:rPr>
                <w:rFonts w:ascii="仿宋_GB2312" w:hAnsi="仿宋_GB2312" w:eastAsia="仿宋_GB2312" w:cs="仿宋_GB2312"/>
                <w:color w:val="000000"/>
              </w:rPr>
              <w:t>201</w:t>
            </w:r>
            <w:r>
              <w:rPr>
                <w:rFonts w:hint="eastAsia" w:ascii="仿宋_GB2312" w:hAnsi="仿宋_GB2312" w:eastAsia="仿宋_GB2312" w:cs="仿宋_GB2312"/>
                <w:color w:val="000000"/>
              </w:rPr>
              <w:t>9年以前以竣工项目的验收；开展</w:t>
            </w:r>
            <w:r>
              <w:rPr>
                <w:rFonts w:ascii="仿宋_GB2312" w:hAnsi="仿宋_GB2312" w:eastAsia="仿宋_GB2312" w:cs="仿宋_GB2312"/>
                <w:color w:val="000000"/>
              </w:rPr>
              <w:t>201</w:t>
            </w:r>
            <w:r>
              <w:rPr>
                <w:rFonts w:hint="eastAsia" w:ascii="仿宋_GB2312" w:hAnsi="仿宋_GB2312" w:eastAsia="仿宋_GB2312" w:cs="仿宋_GB2312"/>
                <w:color w:val="000000"/>
              </w:rPr>
              <w:t>9年度土地整治项目实施管理，开展整治项目入库、立项和资料归档；按省厅下达我市的土地利用年度计划指标，完成年度土地报征工作。</w:t>
            </w:r>
          </w:p>
        </w:tc>
        <w:tc>
          <w:tcPr>
            <w:tcW w:w="46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按权限完成项目的初验</w:t>
            </w:r>
            <w:r>
              <w:rPr>
                <w:rFonts w:ascii="仿宋_GB2312" w:hAnsi="仿宋_GB2312" w:eastAsia="仿宋_GB2312" w:cs="仿宋_GB2312"/>
                <w:color w:val="000000"/>
              </w:rPr>
              <w:t>20</w:t>
            </w:r>
            <w:r>
              <w:rPr>
                <w:rFonts w:hint="eastAsia" w:ascii="仿宋_GB2312" w:hAnsi="仿宋_GB2312" w:eastAsia="仿宋_GB2312" w:cs="仿宋_GB2312"/>
                <w:color w:val="000000"/>
              </w:rPr>
              <w:t>个，开展</w:t>
            </w:r>
            <w:r>
              <w:rPr>
                <w:rFonts w:ascii="仿宋_GB2312" w:hAnsi="仿宋_GB2312" w:eastAsia="仿宋_GB2312" w:cs="仿宋_GB2312"/>
                <w:color w:val="000000"/>
              </w:rPr>
              <w:t>201</w:t>
            </w:r>
            <w:r>
              <w:rPr>
                <w:rFonts w:hint="eastAsia" w:ascii="仿宋_GB2312" w:hAnsi="仿宋_GB2312" w:eastAsia="仿宋_GB2312" w:cs="仿宋_GB2312"/>
                <w:color w:val="000000"/>
              </w:rPr>
              <w:t>9年项目的验收20个，开展</w:t>
            </w:r>
            <w:r>
              <w:rPr>
                <w:rFonts w:ascii="仿宋_GB2312" w:hAnsi="仿宋_GB2312" w:eastAsia="仿宋_GB2312" w:cs="仿宋_GB2312"/>
                <w:color w:val="000000"/>
              </w:rPr>
              <w:t>20</w:t>
            </w:r>
            <w:r>
              <w:rPr>
                <w:rFonts w:hint="eastAsia" w:ascii="仿宋_GB2312" w:hAnsi="仿宋_GB2312" w:eastAsia="仿宋_GB2312" w:cs="仿宋_GB2312"/>
                <w:color w:val="000000"/>
              </w:rPr>
              <w:t>20年项目入库和立项工作30个。完成县区用地的审查和转报，完成市本级项目的土地报征。</w:t>
            </w:r>
          </w:p>
        </w:tc>
      </w:tr>
      <w:tr>
        <w:tblPrEx>
          <w:tblCellMar>
            <w:top w:w="0" w:type="dxa"/>
            <w:left w:w="0" w:type="dxa"/>
            <w:bottom w:w="0" w:type="dxa"/>
            <w:right w:w="0" w:type="dxa"/>
          </w:tblCellMar>
        </w:tblPrEx>
        <w:trPr>
          <w:trHeight w:val="623"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绩效指标完成情况</w:t>
            </w: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二级指标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三级指标</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r>
      <w:tr>
        <w:tblPrEx>
          <w:tblCellMar>
            <w:top w:w="0" w:type="dxa"/>
            <w:left w:w="0" w:type="dxa"/>
            <w:bottom w:w="0" w:type="dxa"/>
            <w:right w:w="0" w:type="dxa"/>
          </w:tblCellMar>
        </w:tblPrEx>
        <w:trPr>
          <w:trHeight w:val="43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按权限完成项目的初验</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20</w:t>
            </w:r>
            <w:r>
              <w:rPr>
                <w:rFonts w:hint="eastAsia" w:ascii="仿宋_GB2312" w:hAnsi="仿宋_GB2312" w:eastAsia="仿宋_GB2312" w:cs="仿宋_GB2312"/>
                <w:color w:val="000000"/>
              </w:rPr>
              <w:t>个</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20</w:t>
            </w:r>
            <w:r>
              <w:rPr>
                <w:rFonts w:hint="eastAsia" w:ascii="仿宋_GB2312" w:hAnsi="仿宋_GB2312" w:eastAsia="仿宋_GB2312" w:cs="仿宋_GB2312"/>
                <w:color w:val="000000"/>
              </w:rPr>
              <w:t>个</w:t>
            </w:r>
          </w:p>
        </w:tc>
      </w:tr>
      <w:tr>
        <w:tblPrEx>
          <w:tblCellMar>
            <w:top w:w="0" w:type="dxa"/>
            <w:left w:w="0" w:type="dxa"/>
            <w:bottom w:w="0" w:type="dxa"/>
            <w:right w:w="0" w:type="dxa"/>
          </w:tblCellMar>
        </w:tblPrEx>
        <w:trPr>
          <w:trHeight w:val="58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开展</w:t>
            </w:r>
            <w:r>
              <w:rPr>
                <w:rFonts w:ascii="仿宋_GB2312" w:hAnsi="仿宋_GB2312" w:eastAsia="仿宋_GB2312" w:cs="仿宋_GB2312"/>
                <w:color w:val="000000"/>
              </w:rPr>
              <w:t>201</w:t>
            </w:r>
            <w:r>
              <w:rPr>
                <w:rFonts w:hint="eastAsia" w:ascii="仿宋_GB2312" w:hAnsi="仿宋_GB2312" w:eastAsia="仿宋_GB2312" w:cs="仿宋_GB2312"/>
                <w:color w:val="000000"/>
              </w:rPr>
              <w:t>9年项目的进度及质量监管</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20</w:t>
            </w:r>
            <w:r>
              <w:rPr>
                <w:rFonts w:hint="eastAsia" w:ascii="仿宋_GB2312" w:hAnsi="仿宋_GB2312" w:eastAsia="仿宋_GB2312" w:cs="仿宋_GB2312"/>
                <w:color w:val="000000"/>
              </w:rPr>
              <w:t>个</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20</w:t>
            </w:r>
            <w:r>
              <w:rPr>
                <w:rFonts w:hint="eastAsia" w:ascii="仿宋_GB2312" w:hAnsi="仿宋_GB2312" w:eastAsia="仿宋_GB2312" w:cs="仿宋_GB2312"/>
                <w:color w:val="000000"/>
              </w:rPr>
              <w:t>个</w:t>
            </w:r>
          </w:p>
        </w:tc>
      </w:tr>
      <w:tr>
        <w:tblPrEx>
          <w:tblCellMar>
            <w:top w:w="0" w:type="dxa"/>
            <w:left w:w="0" w:type="dxa"/>
            <w:bottom w:w="0" w:type="dxa"/>
            <w:right w:w="0" w:type="dxa"/>
          </w:tblCellMar>
        </w:tblPrEx>
        <w:trPr>
          <w:trHeight w:val="59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开展</w:t>
            </w:r>
            <w:r>
              <w:rPr>
                <w:rFonts w:ascii="仿宋_GB2312" w:hAnsi="仿宋_GB2312" w:eastAsia="仿宋_GB2312" w:cs="仿宋_GB2312"/>
                <w:color w:val="000000"/>
              </w:rPr>
              <w:t>20</w:t>
            </w:r>
            <w:r>
              <w:rPr>
                <w:rFonts w:hint="eastAsia" w:ascii="仿宋_GB2312" w:hAnsi="仿宋_GB2312" w:eastAsia="仿宋_GB2312" w:cs="仿宋_GB2312"/>
                <w:color w:val="000000"/>
              </w:rPr>
              <w:t>20年项目的入库和立项工作</w:t>
            </w:r>
            <w:r>
              <w:rPr>
                <w:rFonts w:ascii="仿宋_GB2312" w:hAnsi="仿宋_GB2312" w:eastAsia="仿宋_GB2312" w:cs="仿宋_GB2312"/>
                <w:color w:val="000000"/>
              </w:rPr>
              <w:t>3</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30</w:t>
            </w:r>
            <w:r>
              <w:rPr>
                <w:rFonts w:hint="eastAsia" w:ascii="仿宋_GB2312" w:hAnsi="仿宋_GB2312" w:eastAsia="仿宋_GB2312" w:cs="仿宋_GB2312"/>
                <w:color w:val="000000"/>
              </w:rPr>
              <w:t>个</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30</w:t>
            </w:r>
            <w:r>
              <w:rPr>
                <w:rFonts w:hint="eastAsia" w:ascii="仿宋_GB2312" w:hAnsi="仿宋_GB2312" w:eastAsia="仿宋_GB2312" w:cs="仿宋_GB2312"/>
                <w:color w:val="000000"/>
              </w:rPr>
              <w:t>个</w:t>
            </w:r>
          </w:p>
        </w:tc>
      </w:tr>
      <w:tr>
        <w:tblPrEx>
          <w:tblCellMar>
            <w:top w:w="0" w:type="dxa"/>
            <w:left w:w="0" w:type="dxa"/>
            <w:bottom w:w="0" w:type="dxa"/>
            <w:right w:w="0" w:type="dxa"/>
          </w:tblCellMar>
        </w:tblPrEx>
        <w:trPr>
          <w:trHeight w:val="7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完成县区用地的审查和转报、完成市本级土地报征</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6</w:t>
            </w:r>
            <w:r>
              <w:rPr>
                <w:rFonts w:ascii="仿宋_GB2312" w:hAnsi="仿宋_GB2312" w:eastAsia="仿宋_GB2312" w:cs="仿宋_GB2312"/>
                <w:color w:val="000000"/>
              </w:rPr>
              <w:t>00</w:t>
            </w:r>
            <w:r>
              <w:rPr>
                <w:rFonts w:hint="eastAsia" w:ascii="仿宋_GB2312" w:hAnsi="仿宋_GB2312" w:eastAsia="仿宋_GB2312" w:cs="仿宋_GB2312"/>
                <w:color w:val="000000"/>
              </w:rPr>
              <w:t>公顷</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6</w:t>
            </w:r>
            <w:r>
              <w:rPr>
                <w:rFonts w:ascii="仿宋_GB2312" w:hAnsi="仿宋_GB2312" w:eastAsia="仿宋_GB2312" w:cs="仿宋_GB2312"/>
                <w:color w:val="000000"/>
              </w:rPr>
              <w:t>00</w:t>
            </w:r>
            <w:r>
              <w:rPr>
                <w:rFonts w:hint="eastAsia" w:ascii="仿宋_GB2312" w:hAnsi="仿宋_GB2312" w:eastAsia="仿宋_GB2312" w:cs="仿宋_GB2312"/>
                <w:color w:val="000000"/>
              </w:rPr>
              <w:t>公顷</w:t>
            </w:r>
          </w:p>
        </w:tc>
      </w:tr>
      <w:tr>
        <w:tblPrEx>
          <w:tblCellMar>
            <w:top w:w="0" w:type="dxa"/>
            <w:left w:w="0" w:type="dxa"/>
            <w:bottom w:w="0" w:type="dxa"/>
            <w:right w:w="0" w:type="dxa"/>
          </w:tblCellMar>
        </w:tblPrEx>
        <w:trPr>
          <w:trHeight w:val="43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已竣工的项目</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达到相关的验收补标准</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达到相关的验收补标准</w:t>
            </w:r>
          </w:p>
        </w:tc>
      </w:tr>
      <w:tr>
        <w:tblPrEx>
          <w:tblCellMar>
            <w:top w:w="0" w:type="dxa"/>
            <w:left w:w="0" w:type="dxa"/>
            <w:bottom w:w="0" w:type="dxa"/>
            <w:right w:w="0" w:type="dxa"/>
          </w:tblCellMar>
        </w:tblPrEx>
        <w:trPr>
          <w:trHeight w:val="58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入库和立项的项目</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达到相关的立库和立项的标准</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达到相关的立库和立项的标准</w:t>
            </w:r>
          </w:p>
        </w:tc>
      </w:tr>
      <w:tr>
        <w:tblPrEx>
          <w:tblCellMar>
            <w:top w:w="0" w:type="dxa"/>
            <w:left w:w="0" w:type="dxa"/>
            <w:bottom w:w="0" w:type="dxa"/>
            <w:right w:w="0" w:type="dxa"/>
          </w:tblCellMar>
        </w:tblPrEx>
        <w:trPr>
          <w:trHeight w:val="75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审查和转报县区土地报征资料</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依法依规按程序审查，到到报征标准。</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依法依规按程序审查，到到报征标准</w:t>
            </w:r>
          </w:p>
        </w:tc>
      </w:tr>
      <w:tr>
        <w:tblPrEx>
          <w:tblCellMar>
            <w:top w:w="0" w:type="dxa"/>
            <w:left w:w="0" w:type="dxa"/>
            <w:bottom w:w="0" w:type="dxa"/>
            <w:right w:w="0" w:type="dxa"/>
          </w:tblCellMar>
        </w:tblPrEx>
        <w:trPr>
          <w:trHeight w:val="45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102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完成市本级土地报征</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达到保证标准，取得用地批复。</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达到保证标准，取得用地批复。</w:t>
            </w:r>
          </w:p>
        </w:tc>
      </w:tr>
      <w:tr>
        <w:tblPrEx>
          <w:tblCellMar>
            <w:top w:w="0" w:type="dxa"/>
            <w:left w:w="0" w:type="dxa"/>
            <w:bottom w:w="0" w:type="dxa"/>
            <w:right w:w="0" w:type="dxa"/>
          </w:tblCellMar>
        </w:tblPrEx>
        <w:trPr>
          <w:trHeight w:val="756"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增加耕地面积，提供项目用地保障。</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提高粮食生产能力，改善项目区群众生产和生活水平</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提高粮食生产能力，改善项目区群众生产和生活水平</w:t>
            </w:r>
          </w:p>
        </w:tc>
      </w:tr>
      <w:tr>
        <w:tblPrEx>
          <w:tblCellMar>
            <w:top w:w="0" w:type="dxa"/>
            <w:left w:w="0" w:type="dxa"/>
            <w:bottom w:w="0" w:type="dxa"/>
            <w:right w:w="0" w:type="dxa"/>
          </w:tblCellMar>
        </w:tblPrEx>
        <w:trPr>
          <w:trHeight w:val="45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经济效益</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推动经济发展</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推动经济发展</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推动经济发展</w:t>
            </w:r>
          </w:p>
        </w:tc>
      </w:tr>
      <w:tr>
        <w:tblPrEx>
          <w:tblCellMar>
            <w:top w:w="0" w:type="dxa"/>
            <w:left w:w="0" w:type="dxa"/>
            <w:bottom w:w="0" w:type="dxa"/>
            <w:right w:w="0" w:type="dxa"/>
          </w:tblCellMar>
        </w:tblPrEx>
        <w:trPr>
          <w:trHeight w:val="43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28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上级部门考核满意度</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trHeight w:val="594"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9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102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项目区群众满意度</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gridAfter w:val="1"/>
          <w:wAfter w:w="576" w:type="dxa"/>
          <w:trHeight w:val="1034" w:hRule="atLeast"/>
        </w:trPr>
        <w:tc>
          <w:tcPr>
            <w:tcW w:w="9384" w:type="dxa"/>
            <w:gridSpan w:val="11"/>
            <w:tcMar>
              <w:top w:w="15" w:type="dxa"/>
              <w:left w:w="15" w:type="dxa"/>
              <w:bottom w:w="0" w:type="dxa"/>
              <w:right w:w="15" w:type="dxa"/>
            </w:tcMar>
            <w:vAlign w:val="center"/>
          </w:tcPr>
          <w:p>
            <w:pPr>
              <w:pStyle w:val="32"/>
              <w:widowControl/>
              <w:spacing w:line="560" w:lineRule="exact"/>
              <w:ind w:firstLine="0" w:firstLineChars="0"/>
              <w:jc w:val="center"/>
              <w:textAlignment w:val="center"/>
              <w:rPr>
                <w:rFonts w:ascii="仿宋_GB2312" w:hAnsi="仿宋_GB2312" w:eastAsia="仿宋_GB2312" w:cs="仿宋_GB2312"/>
                <w:color w:val="000000"/>
                <w:sz w:val="40"/>
                <w:szCs w:val="40"/>
              </w:rPr>
            </w:pPr>
            <w:r>
              <w:rPr>
                <w:rFonts w:hint="eastAsia" w:ascii="仿宋_GB2312" w:hAnsi="仿宋_GB2312" w:eastAsia="仿宋_GB2312" w:cs="仿宋_GB2312"/>
                <w:color w:val="000000"/>
                <w:kern w:val="0"/>
                <w:sz w:val="40"/>
                <w:szCs w:val="40"/>
              </w:rPr>
              <w:t>项目支出绩效目标完成情况表</w:t>
            </w:r>
            <w:r>
              <w:rPr>
                <w:rFonts w:ascii="仿宋_GB2312" w:hAnsi="仿宋_GB2312" w:eastAsia="仿宋_GB2312" w:cs="仿宋_GB2312"/>
                <w:b/>
                <w:bCs/>
                <w:color w:val="000000"/>
                <w:kern w:val="0"/>
                <w:sz w:val="40"/>
                <w:szCs w:val="40"/>
              </w:rPr>
              <w:br w:type="textWrapping"/>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9年度</w:t>
            </w:r>
            <w:r>
              <w:rPr>
                <w:rFonts w:ascii="仿宋_GB2312" w:hAnsi="仿宋_GB2312" w:eastAsia="仿宋_GB2312" w:cs="仿宋_GB2312"/>
                <w:color w:val="000000"/>
                <w:kern w:val="0"/>
                <w:sz w:val="32"/>
                <w:szCs w:val="32"/>
              </w:rPr>
              <w:t>)</w:t>
            </w:r>
          </w:p>
        </w:tc>
      </w:tr>
      <w:tr>
        <w:tblPrEx>
          <w:tblCellMar>
            <w:top w:w="0" w:type="dxa"/>
            <w:left w:w="0" w:type="dxa"/>
            <w:bottom w:w="0" w:type="dxa"/>
            <w:right w:w="0" w:type="dxa"/>
          </w:tblCellMar>
        </w:tblPrEx>
        <w:trPr>
          <w:gridAfter w:val="1"/>
          <w:wAfter w:w="576" w:type="dxa"/>
          <w:trHeight w:val="276" w:hRule="atLeast"/>
        </w:trPr>
        <w:tc>
          <w:tcPr>
            <w:tcW w:w="262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项目名称</w:t>
            </w:r>
          </w:p>
        </w:tc>
        <w:tc>
          <w:tcPr>
            <w:tcW w:w="675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土地权属争议调处及土地变更查工作</w:t>
            </w:r>
          </w:p>
        </w:tc>
      </w:tr>
      <w:tr>
        <w:tblPrEx>
          <w:tblCellMar>
            <w:top w:w="0" w:type="dxa"/>
            <w:left w:w="0" w:type="dxa"/>
            <w:bottom w:w="0" w:type="dxa"/>
            <w:right w:w="0" w:type="dxa"/>
          </w:tblCellMar>
        </w:tblPrEx>
        <w:trPr>
          <w:gridAfter w:val="1"/>
          <w:wAfter w:w="576" w:type="dxa"/>
          <w:trHeight w:val="276" w:hRule="atLeast"/>
        </w:trPr>
        <w:tc>
          <w:tcPr>
            <w:tcW w:w="262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预算单位</w:t>
            </w:r>
          </w:p>
        </w:tc>
        <w:tc>
          <w:tcPr>
            <w:tcW w:w="675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广元市国土资源局机关</w:t>
            </w:r>
          </w:p>
        </w:tc>
      </w:tr>
      <w:tr>
        <w:tblPrEx>
          <w:tblCellMar>
            <w:top w:w="0" w:type="dxa"/>
            <w:left w:w="0" w:type="dxa"/>
            <w:bottom w:w="0" w:type="dxa"/>
            <w:right w:w="0" w:type="dxa"/>
          </w:tblCellMar>
        </w:tblPrEx>
        <w:trPr>
          <w:gridAfter w:val="1"/>
          <w:wAfter w:w="576" w:type="dxa"/>
          <w:trHeight w:val="276" w:hRule="atLeast"/>
        </w:trPr>
        <w:tc>
          <w:tcPr>
            <w:tcW w:w="9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预算执行情况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万元</w:t>
            </w:r>
            <w:r>
              <w:rPr>
                <w:rFonts w:ascii="仿宋_GB2312" w:hAnsi="仿宋_GB2312" w:eastAsia="仿宋_GB2312" w:cs="仿宋_GB2312"/>
                <w:color w:val="000000"/>
                <w:kern w:val="0"/>
              </w:rPr>
              <w:t>)</w:t>
            </w:r>
          </w:p>
        </w:tc>
        <w:tc>
          <w:tcPr>
            <w:tcW w:w="169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预算数</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16.52</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执行数</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16.52</w:t>
            </w:r>
          </w:p>
        </w:tc>
      </w:tr>
      <w:tr>
        <w:tblPrEx>
          <w:tblCellMar>
            <w:top w:w="0" w:type="dxa"/>
            <w:left w:w="0" w:type="dxa"/>
            <w:bottom w:w="0" w:type="dxa"/>
            <w:right w:w="0" w:type="dxa"/>
          </w:tblCellMar>
        </w:tblPrEx>
        <w:trPr>
          <w:gridAfter w:val="1"/>
          <w:wAfter w:w="576" w:type="dxa"/>
          <w:trHeight w:val="276"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69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16.52</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其中</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财政拨款</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16.52</w:t>
            </w:r>
          </w:p>
        </w:tc>
      </w:tr>
      <w:tr>
        <w:tblPrEx>
          <w:tblCellMar>
            <w:top w:w="0" w:type="dxa"/>
            <w:left w:w="0" w:type="dxa"/>
            <w:bottom w:w="0" w:type="dxa"/>
            <w:right w:w="0" w:type="dxa"/>
          </w:tblCellMar>
        </w:tblPrEx>
        <w:trPr>
          <w:gridAfter w:val="1"/>
          <w:wAfter w:w="576" w:type="dxa"/>
          <w:trHeight w:val="348"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169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kern w:val="0"/>
              </w:rPr>
              <w:t>0</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其它资金</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80" w:lineRule="exact"/>
              <w:jc w:val="center"/>
              <w:rPr>
                <w:rFonts w:ascii="仿宋_GB2312" w:hAnsi="仿宋_GB2312" w:eastAsia="仿宋_GB2312" w:cs="仿宋_GB2312"/>
                <w:color w:val="000000"/>
              </w:rPr>
            </w:pPr>
          </w:p>
        </w:tc>
      </w:tr>
      <w:tr>
        <w:tblPrEx>
          <w:tblCellMar>
            <w:top w:w="0" w:type="dxa"/>
            <w:left w:w="0" w:type="dxa"/>
            <w:bottom w:w="0" w:type="dxa"/>
            <w:right w:w="0" w:type="dxa"/>
          </w:tblCellMar>
        </w:tblPrEx>
        <w:trPr>
          <w:gridAfter w:val="1"/>
          <w:wAfter w:w="576" w:type="dxa"/>
          <w:trHeight w:val="276" w:hRule="atLeast"/>
        </w:trPr>
        <w:tc>
          <w:tcPr>
            <w:tcW w:w="9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年度目标完成情况</w:t>
            </w:r>
          </w:p>
        </w:tc>
        <w:tc>
          <w:tcPr>
            <w:tcW w:w="404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预期目标</w:t>
            </w:r>
          </w:p>
        </w:tc>
        <w:tc>
          <w:tcPr>
            <w:tcW w:w="4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实际完成目标</w:t>
            </w:r>
          </w:p>
        </w:tc>
      </w:tr>
      <w:tr>
        <w:tblPrEx>
          <w:tblCellMar>
            <w:top w:w="0" w:type="dxa"/>
            <w:left w:w="0" w:type="dxa"/>
            <w:bottom w:w="0" w:type="dxa"/>
            <w:right w:w="0" w:type="dxa"/>
          </w:tblCellMar>
        </w:tblPrEx>
        <w:trPr>
          <w:gridAfter w:val="1"/>
          <w:wAfter w:w="576" w:type="dxa"/>
          <w:trHeight w:val="1159"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404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做好土地权属争议及调查工作，保护当事人的合法权益，维护土地的社会主义公有制；根据《土地调查条例》（第</w:t>
            </w:r>
            <w:r>
              <w:rPr>
                <w:rFonts w:ascii="仿宋_GB2312" w:hAnsi="仿宋_GB2312" w:eastAsia="仿宋_GB2312" w:cs="仿宋_GB2312"/>
                <w:color w:val="000000"/>
              </w:rPr>
              <w:t>518</w:t>
            </w:r>
            <w:r>
              <w:rPr>
                <w:rFonts w:hint="eastAsia" w:ascii="仿宋_GB2312" w:hAnsi="仿宋_GB2312" w:eastAsia="仿宋_GB2312" w:cs="仿宋_GB2312"/>
                <w:color w:val="000000"/>
              </w:rPr>
              <w:t>号国务院令）要求，国家根据国民经济和社会发展要求，每</w:t>
            </w:r>
            <w:r>
              <w:rPr>
                <w:rFonts w:ascii="仿宋_GB2312" w:hAnsi="仿宋_GB2312" w:eastAsia="仿宋_GB2312" w:cs="仿宋_GB2312"/>
                <w:color w:val="000000"/>
              </w:rPr>
              <w:t>10</w:t>
            </w:r>
            <w:r>
              <w:rPr>
                <w:rFonts w:hint="eastAsia" w:ascii="仿宋_GB2312" w:hAnsi="仿宋_GB2312" w:eastAsia="仿宋_GB2312" w:cs="仿宋_GB2312"/>
                <w:color w:val="000000"/>
              </w:rPr>
              <w:t>年进行一次全国大调查，根据土地管理工作需要，每年进行土地变更调查。</w:t>
            </w:r>
          </w:p>
        </w:tc>
        <w:tc>
          <w:tcPr>
            <w:tcW w:w="4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对提交的争议事件全部进行调查处理，满意度</w:t>
            </w:r>
            <w:r>
              <w:rPr>
                <w:rFonts w:ascii="仿宋_GB2312" w:hAnsi="仿宋_GB2312" w:eastAsia="仿宋_GB2312" w:cs="仿宋_GB2312"/>
                <w:color w:val="000000"/>
              </w:rPr>
              <w:t>100%</w:t>
            </w:r>
            <w:r>
              <w:rPr>
                <w:rFonts w:hint="eastAsia" w:ascii="仿宋_GB2312" w:hAnsi="仿宋_GB2312" w:eastAsia="仿宋_GB2312" w:cs="仿宋_GB2312"/>
                <w:color w:val="000000"/>
              </w:rPr>
              <w:t>；对全市</w:t>
            </w:r>
            <w:r>
              <w:rPr>
                <w:rFonts w:ascii="仿宋_GB2312" w:hAnsi="仿宋_GB2312" w:eastAsia="仿宋_GB2312" w:cs="仿宋_GB2312"/>
                <w:color w:val="000000"/>
              </w:rPr>
              <w:t>7</w:t>
            </w:r>
            <w:r>
              <w:rPr>
                <w:rFonts w:hint="eastAsia" w:ascii="仿宋_GB2312" w:hAnsi="仿宋_GB2312" w:eastAsia="仿宋_GB2312" w:cs="仿宋_GB2312"/>
                <w:color w:val="000000"/>
              </w:rPr>
              <w:t>县区变更调查成果数据进行统计和汇总分析；全市变更调查成果通过国家级数据核查。</w:t>
            </w:r>
          </w:p>
        </w:tc>
      </w:tr>
      <w:tr>
        <w:tblPrEx>
          <w:tblCellMar>
            <w:top w:w="0" w:type="dxa"/>
            <w:left w:w="0" w:type="dxa"/>
            <w:bottom w:w="0" w:type="dxa"/>
            <w:right w:w="0" w:type="dxa"/>
          </w:tblCellMar>
        </w:tblPrEx>
        <w:trPr>
          <w:gridAfter w:val="1"/>
          <w:wAfter w:w="576" w:type="dxa"/>
          <w:trHeight w:val="631" w:hRule="atLeast"/>
        </w:trPr>
        <w:tc>
          <w:tcPr>
            <w:tcW w:w="93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绩效指标完成情况</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一级</w:t>
            </w:r>
          </w:p>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二级指标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三级指标</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预期指标值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实际完成指标值</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包含数字及文字描述</w:t>
            </w:r>
            <w:r>
              <w:rPr>
                <w:rFonts w:ascii="仿宋_GB2312" w:hAnsi="仿宋_GB2312" w:eastAsia="仿宋_GB2312" w:cs="仿宋_GB2312"/>
                <w:color w:val="000000"/>
                <w:kern w:val="0"/>
              </w:rPr>
              <w:t>)</w:t>
            </w:r>
          </w:p>
        </w:tc>
      </w:tr>
      <w:tr>
        <w:tblPrEx>
          <w:tblCellMar>
            <w:top w:w="0" w:type="dxa"/>
            <w:left w:w="0" w:type="dxa"/>
            <w:bottom w:w="0" w:type="dxa"/>
            <w:right w:w="0" w:type="dxa"/>
          </w:tblCellMar>
        </w:tblPrEx>
        <w:trPr>
          <w:gridAfter w:val="1"/>
          <w:wAfter w:w="576" w:type="dxa"/>
          <w:trHeight w:val="426"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对提交的争议事件全部进行调查处理</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p>
        </w:tc>
      </w:tr>
      <w:tr>
        <w:tblPrEx>
          <w:tblCellMar>
            <w:top w:w="0" w:type="dxa"/>
            <w:left w:w="0" w:type="dxa"/>
            <w:bottom w:w="0" w:type="dxa"/>
            <w:right w:w="0" w:type="dxa"/>
          </w:tblCellMar>
        </w:tblPrEx>
        <w:trPr>
          <w:gridAfter w:val="1"/>
          <w:wAfter w:w="576" w:type="dxa"/>
          <w:trHeight w:val="902"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按照《土地权属争议调查处理办法》依法公正及时做好调查处理工作</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以法律、法规和土地规章为依据，从实际出发，尊重历史，面对现实，公正处理。</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以法律、法规和土地规章为依据，从实际出发，尊重历史，面对现实，公正处理。</w:t>
            </w:r>
          </w:p>
        </w:tc>
      </w:tr>
      <w:tr>
        <w:tblPrEx>
          <w:tblCellMar>
            <w:top w:w="0" w:type="dxa"/>
            <w:left w:w="0" w:type="dxa"/>
            <w:bottom w:w="0" w:type="dxa"/>
            <w:right w:w="0" w:type="dxa"/>
          </w:tblCellMar>
        </w:tblPrEx>
        <w:trPr>
          <w:gridAfter w:val="1"/>
          <w:wAfter w:w="576" w:type="dxa"/>
          <w:trHeight w:val="622"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spacing w:val="-6"/>
              </w:rPr>
            </w:pPr>
            <w:r>
              <w:rPr>
                <w:rFonts w:hint="eastAsia" w:ascii="仿宋_GB2312" w:hAnsi="仿宋_GB2312" w:eastAsia="仿宋_GB2312" w:cs="仿宋_GB2312"/>
                <w:color w:val="000000"/>
                <w:spacing w:val="-6"/>
              </w:rPr>
              <w:t>对全市</w:t>
            </w:r>
            <w:r>
              <w:rPr>
                <w:rFonts w:ascii="仿宋_GB2312" w:hAnsi="仿宋_GB2312" w:eastAsia="仿宋_GB2312" w:cs="仿宋_GB2312"/>
                <w:color w:val="000000"/>
                <w:spacing w:val="-6"/>
              </w:rPr>
              <w:t>7</w:t>
            </w:r>
            <w:r>
              <w:rPr>
                <w:rFonts w:hint="eastAsia" w:ascii="仿宋_GB2312" w:hAnsi="仿宋_GB2312" w:eastAsia="仿宋_GB2312" w:cs="仿宋_GB2312"/>
                <w:color w:val="000000"/>
                <w:spacing w:val="-6"/>
              </w:rPr>
              <w:t>县区变更调查成果数据进行统计、汇总分析。</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spacing w:val="-6"/>
              </w:rPr>
            </w:pPr>
            <w:r>
              <w:rPr>
                <w:rFonts w:hint="eastAsia" w:ascii="仿宋_GB2312" w:hAnsi="仿宋_GB2312" w:eastAsia="仿宋_GB2312" w:cs="仿宋_GB2312"/>
                <w:color w:val="000000"/>
                <w:spacing w:val="-6"/>
              </w:rPr>
              <w:t>已对全市县区提供的数据进行核实和汇总分析。</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已对全市县区提供的数据进行核实和汇总分析。</w:t>
            </w:r>
          </w:p>
        </w:tc>
      </w:tr>
      <w:tr>
        <w:tblPrEx>
          <w:tblCellMar>
            <w:top w:w="0" w:type="dxa"/>
            <w:left w:w="0" w:type="dxa"/>
            <w:bottom w:w="0" w:type="dxa"/>
            <w:right w:w="0" w:type="dxa"/>
          </w:tblCellMar>
        </w:tblPrEx>
        <w:trPr>
          <w:gridAfter w:val="1"/>
          <w:wAfter w:w="576" w:type="dxa"/>
          <w:trHeight w:val="758"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项目完成指标</w:t>
            </w:r>
          </w:p>
        </w:tc>
        <w:tc>
          <w:tcPr>
            <w:tcW w:w="96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全市变更调查成果通过国家级数据核查</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包括全市</w:t>
            </w:r>
            <w:r>
              <w:rPr>
                <w:rFonts w:ascii="仿宋_GB2312" w:hAnsi="仿宋_GB2312" w:eastAsia="仿宋_GB2312" w:cs="仿宋_GB2312"/>
                <w:color w:val="000000"/>
              </w:rPr>
              <w:t>7</w:t>
            </w:r>
            <w:r>
              <w:rPr>
                <w:rFonts w:hint="eastAsia" w:ascii="仿宋_GB2312" w:hAnsi="仿宋_GB2312" w:eastAsia="仿宋_GB2312" w:cs="仿宋_GB2312"/>
                <w:color w:val="000000"/>
              </w:rPr>
              <w:t>县区的数据汇总、分析</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包括全市</w:t>
            </w:r>
            <w:r>
              <w:rPr>
                <w:rFonts w:ascii="仿宋_GB2312" w:hAnsi="仿宋_GB2312" w:eastAsia="仿宋_GB2312" w:cs="仿宋_GB2312"/>
                <w:color w:val="000000"/>
              </w:rPr>
              <w:t>7</w:t>
            </w:r>
            <w:r>
              <w:rPr>
                <w:rFonts w:hint="eastAsia" w:ascii="仿宋_GB2312" w:hAnsi="仿宋_GB2312" w:eastAsia="仿宋_GB2312" w:cs="仿宋_GB2312"/>
                <w:color w:val="000000"/>
              </w:rPr>
              <w:t>县区的数据汇总、分析</w:t>
            </w:r>
          </w:p>
        </w:tc>
      </w:tr>
      <w:tr>
        <w:tblPrEx>
          <w:tblCellMar>
            <w:top w:w="0" w:type="dxa"/>
            <w:left w:w="0" w:type="dxa"/>
            <w:bottom w:w="0" w:type="dxa"/>
            <w:right w:w="0" w:type="dxa"/>
          </w:tblCellMar>
        </w:tblPrEx>
        <w:trPr>
          <w:gridAfter w:val="1"/>
          <w:wAfter w:w="576" w:type="dxa"/>
          <w:trHeight w:val="1042"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项目完成指标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对全市</w:t>
            </w:r>
            <w:r>
              <w:rPr>
                <w:rFonts w:ascii="仿宋_GB2312" w:hAnsi="仿宋_GB2312" w:eastAsia="仿宋_GB2312" w:cs="仿宋_GB2312"/>
                <w:color w:val="000000"/>
              </w:rPr>
              <w:t>7</w:t>
            </w:r>
            <w:r>
              <w:rPr>
                <w:rFonts w:hint="eastAsia" w:ascii="仿宋_GB2312" w:hAnsi="仿宋_GB2312" w:eastAsia="仿宋_GB2312" w:cs="仿宋_GB2312"/>
                <w:color w:val="000000"/>
              </w:rPr>
              <w:t>县区变更调查成果数据进行统计、汇总分析。对全市</w:t>
            </w:r>
            <w:r>
              <w:rPr>
                <w:rFonts w:ascii="仿宋_GB2312" w:hAnsi="仿宋_GB2312" w:eastAsia="仿宋_GB2312" w:cs="仿宋_GB2312"/>
                <w:color w:val="000000"/>
              </w:rPr>
              <w:t>7</w:t>
            </w:r>
            <w:r>
              <w:rPr>
                <w:rFonts w:hint="eastAsia" w:ascii="仿宋_GB2312" w:hAnsi="仿宋_GB2312" w:eastAsia="仿宋_GB2312" w:cs="仿宋_GB2312"/>
                <w:color w:val="000000"/>
              </w:rPr>
              <w:t>县区变更调查成果数据进行统计、汇总分析。</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以法律、法规和土地规章为依据，从实际出发，尊重历史，面对现实，公正处理。已对全市县区提供的数据进行核实和汇总分析。</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以法律、法规和土地规章为依据，从实际出发，尊重历史，面对现实，公正处理。已对全市县区提供的数据进行核实和汇总分析。</w:t>
            </w:r>
          </w:p>
        </w:tc>
      </w:tr>
      <w:tr>
        <w:tblPrEx>
          <w:tblCellMar>
            <w:top w:w="0" w:type="dxa"/>
            <w:left w:w="0" w:type="dxa"/>
            <w:bottom w:w="0" w:type="dxa"/>
            <w:right w:w="0" w:type="dxa"/>
          </w:tblCellMar>
        </w:tblPrEx>
        <w:trPr>
          <w:gridAfter w:val="1"/>
          <w:wAfter w:w="576" w:type="dxa"/>
          <w:trHeight w:val="1042"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保护当事人的合法权益，维护土地的社会主义公有制。</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调查土地权属争议，减少纷争，维护社会和谐。</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调查土地权属争议，减少纷争，维护社会和谐。</w:t>
            </w:r>
          </w:p>
        </w:tc>
      </w:tr>
      <w:tr>
        <w:tblPrEx>
          <w:tblCellMar>
            <w:top w:w="0" w:type="dxa"/>
            <w:left w:w="0" w:type="dxa"/>
            <w:bottom w:w="0" w:type="dxa"/>
            <w:right w:w="0" w:type="dxa"/>
          </w:tblCellMar>
        </w:tblPrEx>
        <w:trPr>
          <w:gridAfter w:val="1"/>
          <w:wAfter w:w="576" w:type="dxa"/>
          <w:trHeight w:val="1155"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效益指标</w:t>
            </w:r>
          </w:p>
        </w:tc>
        <w:tc>
          <w:tcPr>
            <w:tcW w:w="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社会效益标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做好土地变更调查工作，为自然资源管理提供可靠的基础数据。</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开展</w:t>
            </w:r>
            <w:r>
              <w:rPr>
                <w:rFonts w:hint="eastAsia" w:ascii="仿宋_GB2312" w:hAnsi="仿宋_GB2312" w:eastAsia="仿宋_GB2312" w:cs="仿宋_GB2312"/>
                <w:color w:val="000000"/>
                <w:spacing w:val="-6"/>
              </w:rPr>
              <w:t>调查、监测、汇总、统计和分析，准确掌握土地利用现状、权属变化及各类用地管理</w:t>
            </w:r>
            <w:r>
              <w:rPr>
                <w:rFonts w:hint="eastAsia" w:ascii="仿宋_GB2312" w:hAnsi="仿宋_GB2312" w:eastAsia="仿宋_GB2312" w:cs="仿宋_GB2312"/>
                <w:color w:val="000000"/>
              </w:rPr>
              <w:t>信息。</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开展调查、监测、汇总、统计和分析，准确掌握土地利用现状、权属变化及各类用地管理信息。</w:t>
            </w:r>
          </w:p>
        </w:tc>
      </w:tr>
      <w:tr>
        <w:tblPrEx>
          <w:tblCellMar>
            <w:top w:w="0" w:type="dxa"/>
            <w:left w:w="0" w:type="dxa"/>
            <w:bottom w:w="0" w:type="dxa"/>
            <w:right w:w="0" w:type="dxa"/>
          </w:tblCellMar>
        </w:tblPrEx>
        <w:trPr>
          <w:gridAfter w:val="1"/>
          <w:wAfter w:w="576" w:type="dxa"/>
          <w:trHeight w:val="512"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满意度指标</w:t>
            </w:r>
          </w:p>
        </w:tc>
        <w:tc>
          <w:tcPr>
            <w:tcW w:w="96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满意度指标</w:t>
            </w: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依法公正及时做好土地权属争议的调查处理工作</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r>
              <w:rPr>
                <w:rFonts w:hint="eastAsia" w:ascii="仿宋_GB2312" w:hAnsi="仿宋_GB2312" w:eastAsia="仿宋_GB2312" w:cs="仿宋_GB2312"/>
                <w:color w:val="000000"/>
              </w:rPr>
              <w:t>进行调查处理</w:t>
            </w:r>
            <w:r>
              <w:rPr>
                <w:rFonts w:ascii="仿宋_GB2312" w:hAnsi="仿宋_GB2312" w:eastAsia="仿宋_GB2312" w:cs="仿宋_GB2312"/>
                <w:color w:val="000000"/>
              </w:rPr>
              <w:t>100%</w:t>
            </w:r>
            <w:r>
              <w:rPr>
                <w:rFonts w:hint="eastAsia" w:ascii="仿宋_GB2312" w:hAnsi="仿宋_GB2312" w:eastAsia="仿宋_GB2312" w:cs="仿宋_GB2312"/>
                <w:color w:val="000000"/>
              </w:rPr>
              <w:t>满意</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r>
              <w:rPr>
                <w:rFonts w:hint="eastAsia" w:ascii="仿宋_GB2312" w:hAnsi="仿宋_GB2312" w:eastAsia="仿宋_GB2312" w:cs="仿宋_GB2312"/>
                <w:color w:val="000000"/>
              </w:rPr>
              <w:t>进行调查处理</w:t>
            </w:r>
            <w:r>
              <w:rPr>
                <w:rFonts w:ascii="仿宋_GB2312" w:hAnsi="仿宋_GB2312" w:eastAsia="仿宋_GB2312" w:cs="仿宋_GB2312"/>
                <w:color w:val="000000"/>
              </w:rPr>
              <w:t>100%</w:t>
            </w:r>
            <w:r>
              <w:rPr>
                <w:rFonts w:hint="eastAsia" w:ascii="仿宋_GB2312" w:hAnsi="仿宋_GB2312" w:eastAsia="仿宋_GB2312" w:cs="仿宋_GB2312"/>
                <w:color w:val="000000"/>
              </w:rPr>
              <w:t>满意</w:t>
            </w:r>
          </w:p>
        </w:tc>
      </w:tr>
      <w:tr>
        <w:tblPrEx>
          <w:tblCellMar>
            <w:top w:w="0" w:type="dxa"/>
            <w:left w:w="0" w:type="dxa"/>
            <w:bottom w:w="0" w:type="dxa"/>
            <w:right w:w="0" w:type="dxa"/>
          </w:tblCellMar>
        </w:tblPrEx>
        <w:trPr>
          <w:gridAfter w:val="1"/>
          <w:wAfter w:w="576" w:type="dxa"/>
          <w:trHeight w:val="608" w:hRule="atLeast"/>
        </w:trPr>
        <w:tc>
          <w:tcPr>
            <w:tcW w:w="9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仿宋_GB2312" w:eastAsia="仿宋_GB2312" w:cs="仿宋_GB2312"/>
                <w:color w:val="000000"/>
              </w:rPr>
            </w:pP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满意度指标</w:t>
            </w:r>
          </w:p>
        </w:tc>
        <w:tc>
          <w:tcPr>
            <w:tcW w:w="96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p>
        </w:tc>
        <w:tc>
          <w:tcPr>
            <w:tcW w:w="23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变更调查成果通过国家级数据核查</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r>
              <w:rPr>
                <w:rFonts w:hint="eastAsia" w:ascii="仿宋_GB2312" w:hAnsi="仿宋_GB2312" w:eastAsia="仿宋_GB2312" w:cs="仿宋_GB2312"/>
                <w:color w:val="000000"/>
              </w:rPr>
              <w:t>通过国家级数据核查，</w:t>
            </w:r>
            <w:r>
              <w:rPr>
                <w:rFonts w:ascii="仿宋_GB2312" w:hAnsi="仿宋_GB2312" w:eastAsia="仿宋_GB2312" w:cs="仿宋_GB2312"/>
                <w:color w:val="000000"/>
              </w:rPr>
              <w:t>100%</w:t>
            </w:r>
            <w:r>
              <w:rPr>
                <w:rFonts w:hint="eastAsia" w:ascii="仿宋_GB2312" w:hAnsi="仿宋_GB2312" w:eastAsia="仿宋_GB2312" w:cs="仿宋_GB2312"/>
                <w:color w:val="000000"/>
              </w:rPr>
              <w:t>满意</w:t>
            </w:r>
          </w:p>
        </w:tc>
        <w:tc>
          <w:tcPr>
            <w:tcW w:w="22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rPr>
            </w:pPr>
            <w:r>
              <w:rPr>
                <w:rFonts w:ascii="仿宋_GB2312" w:hAnsi="仿宋_GB2312" w:eastAsia="仿宋_GB2312" w:cs="仿宋_GB2312"/>
                <w:color w:val="000000"/>
              </w:rPr>
              <w:t>100%</w:t>
            </w:r>
            <w:r>
              <w:rPr>
                <w:rFonts w:hint="eastAsia" w:ascii="仿宋_GB2312" w:hAnsi="仿宋_GB2312" w:eastAsia="仿宋_GB2312" w:cs="仿宋_GB2312"/>
                <w:color w:val="000000"/>
              </w:rPr>
              <w:t>通过国家级数据核查，</w:t>
            </w:r>
            <w:r>
              <w:rPr>
                <w:rFonts w:ascii="仿宋_GB2312" w:hAnsi="仿宋_GB2312" w:eastAsia="仿宋_GB2312" w:cs="仿宋_GB2312"/>
                <w:color w:val="000000"/>
              </w:rPr>
              <w:t>100%</w:t>
            </w:r>
            <w:r>
              <w:rPr>
                <w:rFonts w:hint="eastAsia" w:ascii="仿宋_GB2312" w:hAnsi="仿宋_GB2312" w:eastAsia="仿宋_GB2312" w:cs="仿宋_GB2312"/>
                <w:color w:val="000000"/>
              </w:rPr>
              <w:t>满意</w:t>
            </w:r>
          </w:p>
        </w:tc>
      </w:tr>
    </w:tbl>
    <w:p>
      <w:pPr>
        <w:spacing w:line="500" w:lineRule="exact"/>
        <w:ind w:firstLine="720"/>
        <w:rPr>
          <w:rFonts w:hint="eastAsia" w:ascii="仿宋_GB2312" w:hAnsi="仿宋" w:eastAsia="仿宋_GB2312" w:cs="仿宋_GB2312"/>
          <w:sz w:val="30"/>
          <w:szCs w:val="30"/>
        </w:rPr>
      </w:pPr>
    </w:p>
    <w:p>
      <w:pPr>
        <w:widowControl/>
        <w:adjustRightInd w:val="0"/>
        <w:snapToGrid w:val="0"/>
        <w:spacing w:line="500" w:lineRule="exact"/>
        <w:ind w:firstLine="600" w:firstLineChars="200"/>
        <w:jc w:val="left"/>
        <w:rPr>
          <w:rFonts w:ascii="黑体" w:hAnsi="黑体" w:eastAsia="黑体"/>
          <w:color w:val="000000"/>
          <w:kern w:val="0"/>
          <w:sz w:val="30"/>
          <w:szCs w:val="30"/>
          <w:shd w:val="clear" w:color="auto" w:fill="FFFFFF"/>
        </w:rPr>
      </w:pPr>
      <w:r>
        <w:rPr>
          <w:rFonts w:hint="eastAsia" w:ascii="黑体" w:hAnsi="黑体" w:eastAsia="黑体" w:cs="黑体"/>
          <w:color w:val="000000"/>
          <w:kern w:val="0"/>
          <w:sz w:val="30"/>
          <w:szCs w:val="30"/>
          <w:shd w:val="clear" w:color="auto" w:fill="FFFFFF"/>
        </w:rPr>
        <w:t>四、评价结论及建议</w:t>
      </w:r>
    </w:p>
    <w:p>
      <w:pPr>
        <w:widowControl/>
        <w:adjustRightInd w:val="0"/>
        <w:snapToGrid w:val="0"/>
        <w:spacing w:line="500" w:lineRule="exact"/>
        <w:ind w:firstLine="600" w:firstLineChars="200"/>
        <w:jc w:val="left"/>
        <w:rPr>
          <w:rFonts w:ascii="楷体_GB2312" w:hAnsi="宋体" w:eastAsia="楷体_GB2312"/>
          <w:color w:val="000000"/>
          <w:kern w:val="0"/>
          <w:sz w:val="30"/>
          <w:szCs w:val="30"/>
          <w:shd w:val="clear" w:color="auto" w:fill="FFFFFF"/>
        </w:rPr>
      </w:pPr>
      <w:r>
        <w:rPr>
          <w:rFonts w:hint="eastAsia" w:ascii="楷体_GB2312" w:hAnsi="宋体" w:eastAsia="楷体_GB2312" w:cs="楷体_GB2312"/>
          <w:color w:val="000000"/>
          <w:kern w:val="0"/>
          <w:sz w:val="30"/>
          <w:szCs w:val="30"/>
          <w:shd w:val="clear" w:color="auto" w:fill="FFFFFF"/>
        </w:rPr>
        <w:t>（一）评价结论</w:t>
      </w:r>
    </w:p>
    <w:p>
      <w:pPr>
        <w:widowControl/>
        <w:adjustRightInd w:val="0"/>
        <w:snapToGrid w:val="0"/>
        <w:spacing w:line="500" w:lineRule="exact"/>
        <w:ind w:firstLine="600" w:firstLineChars="200"/>
        <w:jc w:val="left"/>
        <w:rPr>
          <w:rFonts w:ascii="仿宋_GB2312" w:hAnsi="宋体" w:eastAsia="仿宋_GB2312"/>
          <w:color w:val="000000"/>
          <w:kern w:val="0"/>
          <w:sz w:val="30"/>
          <w:szCs w:val="30"/>
          <w:shd w:val="clear" w:color="auto" w:fill="FFFFFF"/>
        </w:rPr>
      </w:pPr>
      <w:r>
        <w:rPr>
          <w:rFonts w:hint="eastAsia" w:ascii="仿宋_GB2312" w:hAnsi="宋体" w:eastAsia="仿宋_GB2312" w:cs="仿宋_GB2312"/>
          <w:color w:val="000000"/>
          <w:kern w:val="0"/>
          <w:sz w:val="30"/>
          <w:szCs w:val="30"/>
          <w:shd w:val="clear" w:color="auto" w:fill="FFFFFF"/>
        </w:rPr>
        <w:t>本部门对</w:t>
      </w:r>
      <w:r>
        <w:rPr>
          <w:rFonts w:ascii="仿宋_GB2312" w:hAnsi="宋体" w:eastAsia="仿宋_GB2312" w:cs="仿宋_GB2312"/>
          <w:color w:val="000000"/>
          <w:kern w:val="0"/>
          <w:sz w:val="30"/>
          <w:szCs w:val="30"/>
          <w:shd w:val="clear" w:color="auto" w:fill="FFFFFF"/>
        </w:rPr>
        <w:t>201</w:t>
      </w:r>
      <w:r>
        <w:rPr>
          <w:rFonts w:hint="eastAsia" w:ascii="仿宋_GB2312" w:hAnsi="宋体" w:eastAsia="仿宋_GB2312" w:cs="仿宋_GB2312"/>
          <w:color w:val="000000"/>
          <w:kern w:val="0"/>
          <w:sz w:val="30"/>
          <w:szCs w:val="30"/>
          <w:shd w:val="clear" w:color="auto" w:fill="FFFFFF"/>
        </w:rPr>
        <w:t>9年部门整体支出开展绩效自评，从评价情况来看，自评得分</w:t>
      </w:r>
      <w:r>
        <w:rPr>
          <w:rFonts w:ascii="仿宋_GB2312" w:hAnsi="宋体" w:eastAsia="仿宋_GB2312" w:cs="仿宋_GB2312"/>
          <w:color w:val="000000"/>
          <w:kern w:val="0"/>
          <w:sz w:val="30"/>
          <w:szCs w:val="30"/>
          <w:shd w:val="clear" w:color="auto" w:fill="FFFFFF"/>
        </w:rPr>
        <w:t>100</w:t>
      </w:r>
      <w:r>
        <w:rPr>
          <w:rFonts w:hint="eastAsia" w:ascii="仿宋_GB2312" w:hAnsi="宋体" w:eastAsia="仿宋_GB2312" w:cs="仿宋_GB2312"/>
          <w:color w:val="000000"/>
          <w:kern w:val="0"/>
          <w:sz w:val="30"/>
          <w:szCs w:val="30"/>
          <w:shd w:val="clear" w:color="auto" w:fill="FFFFFF"/>
        </w:rPr>
        <w:t>分。</w:t>
      </w:r>
    </w:p>
    <w:p>
      <w:pPr>
        <w:widowControl/>
        <w:adjustRightInd w:val="0"/>
        <w:snapToGrid w:val="0"/>
        <w:spacing w:line="500" w:lineRule="exact"/>
        <w:ind w:firstLine="450" w:firstLineChars="150"/>
        <w:jc w:val="left"/>
        <w:rPr>
          <w:rFonts w:ascii="楷体_GB2312" w:hAnsi="宋体" w:eastAsia="楷体_GB2312"/>
          <w:color w:val="000000"/>
          <w:kern w:val="0"/>
          <w:sz w:val="30"/>
          <w:szCs w:val="30"/>
          <w:shd w:val="clear" w:color="auto" w:fill="FFFFFF"/>
        </w:rPr>
      </w:pPr>
      <w:r>
        <w:rPr>
          <w:rFonts w:hint="eastAsia" w:ascii="楷体_GB2312" w:hAnsi="宋体" w:eastAsia="楷体_GB2312" w:cs="楷体_GB2312"/>
          <w:color w:val="000000"/>
          <w:kern w:val="0"/>
          <w:sz w:val="30"/>
          <w:szCs w:val="30"/>
          <w:shd w:val="clear" w:color="auto" w:fill="FFFFFF"/>
        </w:rPr>
        <w:t>（二）存在问题</w:t>
      </w:r>
    </w:p>
    <w:p>
      <w:pPr>
        <w:widowControl/>
        <w:adjustRightInd w:val="0"/>
        <w:snapToGrid w:val="0"/>
        <w:spacing w:line="500" w:lineRule="exact"/>
        <w:jc w:val="left"/>
        <w:rPr>
          <w:rFonts w:ascii="仿宋_GB2312" w:hAnsi="宋体" w:eastAsia="仿宋_GB2312"/>
          <w:color w:val="000000"/>
          <w:kern w:val="0"/>
          <w:sz w:val="30"/>
          <w:szCs w:val="30"/>
          <w:shd w:val="clear" w:color="auto" w:fill="FFFFFF"/>
        </w:rPr>
      </w:pPr>
      <w:r>
        <w:rPr>
          <w:rFonts w:ascii="仿宋_GB2312" w:hAnsi="宋体" w:eastAsia="仿宋_GB2312" w:cs="仿宋_GB2312"/>
          <w:color w:val="000000"/>
          <w:kern w:val="0"/>
          <w:sz w:val="30"/>
          <w:szCs w:val="30"/>
          <w:shd w:val="clear" w:color="auto" w:fill="FFFFFF"/>
        </w:rPr>
        <w:t xml:space="preserve">    </w:t>
      </w:r>
      <w:r>
        <w:rPr>
          <w:rFonts w:hint="eastAsia" w:ascii="仿宋_GB2312" w:hAnsi="宋体" w:eastAsia="仿宋_GB2312" w:cs="仿宋_GB2312"/>
          <w:color w:val="000000"/>
          <w:kern w:val="0"/>
          <w:sz w:val="30"/>
          <w:szCs w:val="30"/>
          <w:shd w:val="clear" w:color="auto" w:fill="FFFFFF"/>
        </w:rPr>
        <w:t>我局属于机改合并单位，单位职能职责及人员增加，年初财政部门除人员、公用经费按标准、按定额拨付，项目经费从</w:t>
      </w:r>
      <w:r>
        <w:rPr>
          <w:rFonts w:ascii="仿宋_GB2312" w:hAnsi="宋体" w:eastAsia="仿宋_GB2312" w:cs="仿宋_GB2312"/>
          <w:color w:val="000000"/>
          <w:kern w:val="0"/>
          <w:sz w:val="30"/>
          <w:szCs w:val="30"/>
          <w:shd w:val="clear" w:color="auto" w:fill="FFFFFF"/>
        </w:rPr>
        <w:t>2017</w:t>
      </w:r>
      <w:r>
        <w:rPr>
          <w:rFonts w:hint="eastAsia" w:ascii="仿宋_GB2312" w:hAnsi="宋体" w:eastAsia="仿宋_GB2312" w:cs="仿宋_GB2312"/>
          <w:color w:val="000000"/>
          <w:kern w:val="0"/>
          <w:sz w:val="30"/>
          <w:szCs w:val="30"/>
          <w:shd w:val="clear" w:color="auto" w:fill="FFFFFF"/>
        </w:rPr>
        <w:t>年度开始每年在减少，</w:t>
      </w:r>
      <w:r>
        <w:rPr>
          <w:rFonts w:ascii="仿宋_GB2312" w:hAnsi="宋体" w:eastAsia="仿宋_GB2312" w:cs="仿宋_GB2312"/>
          <w:color w:val="000000"/>
          <w:kern w:val="0"/>
          <w:sz w:val="30"/>
          <w:szCs w:val="30"/>
          <w:shd w:val="clear" w:color="auto" w:fill="FFFFFF"/>
        </w:rPr>
        <w:t>2017</w:t>
      </w:r>
      <w:r>
        <w:rPr>
          <w:rFonts w:hint="eastAsia" w:ascii="仿宋_GB2312" w:hAnsi="宋体" w:eastAsia="仿宋_GB2312" w:cs="仿宋_GB2312"/>
          <w:color w:val="000000"/>
          <w:kern w:val="0"/>
          <w:sz w:val="30"/>
          <w:szCs w:val="30"/>
          <w:shd w:val="clear" w:color="auto" w:fill="FFFFFF"/>
        </w:rPr>
        <w:t>年度财政下达</w:t>
      </w:r>
      <w:r>
        <w:rPr>
          <w:rFonts w:ascii="仿宋_GB2312" w:hAnsi="宋体" w:eastAsia="仿宋_GB2312" w:cs="仿宋_GB2312"/>
          <w:color w:val="000000"/>
          <w:kern w:val="0"/>
          <w:sz w:val="30"/>
          <w:szCs w:val="30"/>
          <w:shd w:val="clear" w:color="auto" w:fill="FFFFFF"/>
        </w:rPr>
        <w:t>200</w:t>
      </w:r>
      <w:r>
        <w:rPr>
          <w:rFonts w:hint="eastAsia" w:ascii="仿宋_GB2312" w:hAnsi="宋体" w:eastAsia="仿宋_GB2312" w:cs="仿宋_GB2312"/>
          <w:color w:val="000000"/>
          <w:kern w:val="0"/>
          <w:sz w:val="30"/>
          <w:szCs w:val="30"/>
          <w:shd w:val="clear" w:color="auto" w:fill="FFFFFF"/>
        </w:rPr>
        <w:t>万元，</w:t>
      </w:r>
      <w:r>
        <w:rPr>
          <w:rFonts w:ascii="仿宋_GB2312" w:hAnsi="宋体" w:eastAsia="仿宋_GB2312" w:cs="仿宋_GB2312"/>
          <w:color w:val="000000"/>
          <w:kern w:val="0"/>
          <w:sz w:val="30"/>
          <w:szCs w:val="30"/>
          <w:shd w:val="clear" w:color="auto" w:fill="FFFFFF"/>
        </w:rPr>
        <w:t>2018</w:t>
      </w:r>
      <w:r>
        <w:rPr>
          <w:rFonts w:hint="eastAsia" w:ascii="仿宋_GB2312" w:hAnsi="宋体" w:eastAsia="仿宋_GB2312" w:cs="仿宋_GB2312"/>
          <w:color w:val="000000"/>
          <w:kern w:val="0"/>
          <w:sz w:val="30"/>
          <w:szCs w:val="30"/>
          <w:shd w:val="clear" w:color="auto" w:fill="FFFFFF"/>
        </w:rPr>
        <w:t>年</w:t>
      </w:r>
      <w:r>
        <w:rPr>
          <w:rFonts w:ascii="仿宋_GB2312" w:hAnsi="宋体" w:eastAsia="仿宋_GB2312" w:cs="仿宋_GB2312"/>
          <w:color w:val="000000"/>
          <w:kern w:val="0"/>
          <w:sz w:val="30"/>
          <w:szCs w:val="30"/>
          <w:shd w:val="clear" w:color="auto" w:fill="FFFFFF"/>
        </w:rPr>
        <w:t>122</w:t>
      </w:r>
      <w:r>
        <w:rPr>
          <w:rFonts w:hint="eastAsia" w:ascii="仿宋_GB2312" w:hAnsi="宋体" w:eastAsia="仿宋_GB2312" w:cs="仿宋_GB2312"/>
          <w:color w:val="000000"/>
          <w:kern w:val="0"/>
          <w:sz w:val="30"/>
          <w:szCs w:val="30"/>
          <w:shd w:val="clear" w:color="auto" w:fill="FFFFFF"/>
        </w:rPr>
        <w:t>万元，到</w:t>
      </w:r>
      <w:r>
        <w:rPr>
          <w:rFonts w:ascii="仿宋_GB2312" w:hAnsi="宋体" w:eastAsia="仿宋_GB2312" w:cs="仿宋_GB2312"/>
          <w:color w:val="000000"/>
          <w:kern w:val="0"/>
          <w:sz w:val="30"/>
          <w:szCs w:val="30"/>
          <w:shd w:val="clear" w:color="auto" w:fill="FFFFFF"/>
        </w:rPr>
        <w:t>2019</w:t>
      </w:r>
      <w:r>
        <w:rPr>
          <w:rFonts w:hint="eastAsia" w:ascii="仿宋_GB2312" w:hAnsi="宋体" w:eastAsia="仿宋_GB2312" w:cs="仿宋_GB2312"/>
          <w:color w:val="000000"/>
          <w:kern w:val="0"/>
          <w:sz w:val="30"/>
          <w:szCs w:val="30"/>
          <w:shd w:val="clear" w:color="auto" w:fill="FFFFFF"/>
        </w:rPr>
        <w:t>年只有</w:t>
      </w:r>
      <w:r>
        <w:rPr>
          <w:rFonts w:ascii="仿宋_GB2312" w:hAnsi="宋体" w:eastAsia="仿宋_GB2312" w:cs="仿宋_GB2312"/>
          <w:color w:val="000000"/>
          <w:kern w:val="0"/>
          <w:sz w:val="30"/>
          <w:szCs w:val="30"/>
          <w:shd w:val="clear" w:color="auto" w:fill="FFFFFF"/>
        </w:rPr>
        <w:t>97.59</w:t>
      </w:r>
      <w:r>
        <w:rPr>
          <w:rFonts w:hint="eastAsia" w:ascii="仿宋_GB2312" w:hAnsi="宋体" w:eastAsia="仿宋_GB2312" w:cs="仿宋_GB2312"/>
          <w:color w:val="000000"/>
          <w:kern w:val="0"/>
          <w:sz w:val="30"/>
          <w:szCs w:val="30"/>
          <w:shd w:val="clear" w:color="auto" w:fill="FFFFFF"/>
        </w:rPr>
        <w:t>万元，还包括我局未独立核算的事业单位土地执法支队和信息和档案管理中心。由于我局职能职责不断增加，项目多工作量大，财政经费严重不足，年初部门预算经费无法保障我局各项目的正常开展。来年，希望财政部门酌情考虑我局具体情况，根据自然资源项目实际以及工作保障需要，在年初部门预算中酌情考虑资金安排。</w:t>
      </w:r>
    </w:p>
    <w:p>
      <w:pPr>
        <w:widowControl/>
        <w:numPr>
          <w:ilvl w:val="0"/>
          <w:numId w:val="7"/>
        </w:numPr>
        <w:adjustRightInd w:val="0"/>
        <w:snapToGrid w:val="0"/>
        <w:spacing w:line="500" w:lineRule="exact"/>
        <w:ind w:firstLine="600" w:firstLineChars="200"/>
        <w:jc w:val="left"/>
        <w:rPr>
          <w:rFonts w:ascii="楷体_GB2312" w:hAnsi="宋体" w:eastAsia="楷体_GB2312"/>
          <w:color w:val="000000"/>
          <w:kern w:val="0"/>
          <w:sz w:val="30"/>
          <w:szCs w:val="30"/>
          <w:shd w:val="clear" w:color="auto" w:fill="FFFFFF"/>
          <w:lang w:val="zh-CN"/>
        </w:rPr>
      </w:pPr>
      <w:r>
        <w:rPr>
          <w:rFonts w:hint="eastAsia" w:ascii="楷体_GB2312" w:hAnsi="宋体" w:eastAsia="楷体_GB2312" w:cs="楷体_GB2312"/>
          <w:color w:val="000000"/>
          <w:kern w:val="0"/>
          <w:sz w:val="30"/>
          <w:szCs w:val="30"/>
          <w:shd w:val="clear" w:color="auto" w:fill="FFFFFF"/>
          <w:lang w:val="zh-CN"/>
        </w:rPr>
        <w:t>改进建议</w:t>
      </w:r>
    </w:p>
    <w:p>
      <w:pPr>
        <w:widowControl/>
        <w:adjustRightInd w:val="0"/>
        <w:snapToGrid w:val="0"/>
        <w:spacing w:line="500" w:lineRule="exact"/>
        <w:jc w:val="left"/>
        <w:rPr>
          <w:rFonts w:ascii="仿宋_GB2312" w:hAnsi="宋体" w:eastAsia="仿宋_GB2312"/>
          <w:color w:val="000000"/>
          <w:kern w:val="0"/>
          <w:sz w:val="30"/>
          <w:szCs w:val="30"/>
          <w:shd w:val="clear" w:color="auto" w:fill="FFFFFF"/>
          <w:lang w:val="zh-CN"/>
        </w:rPr>
      </w:pPr>
      <w:r>
        <w:rPr>
          <w:rFonts w:ascii="仿宋_GB2312" w:hAnsi="宋体" w:eastAsia="仿宋_GB2312" w:cs="仿宋_GB2312"/>
          <w:color w:val="000000"/>
          <w:kern w:val="0"/>
          <w:sz w:val="30"/>
          <w:szCs w:val="30"/>
          <w:shd w:val="clear" w:color="auto" w:fill="FFFFFF"/>
          <w:lang w:val="zh-CN"/>
        </w:rPr>
        <w:t xml:space="preserve">    </w:t>
      </w:r>
      <w:r>
        <w:rPr>
          <w:rFonts w:hint="eastAsia" w:ascii="仿宋_GB2312" w:hAnsi="宋体" w:eastAsia="仿宋_GB2312" w:cs="仿宋_GB2312"/>
          <w:color w:val="000000"/>
          <w:kern w:val="0"/>
          <w:sz w:val="30"/>
          <w:szCs w:val="30"/>
          <w:shd w:val="clear" w:color="auto" w:fill="FFFFFF"/>
          <w:lang w:val="zh-CN"/>
        </w:rPr>
        <w:t>一是建议财政加强财务人员的培训力度，让毎一位财务人员及时掌握财政新政策，把握号财经纪律，建议将财务人员定期培训工作纳入目标任务。二是建议通过财政支出和项目绩效评价结果，财政根据各单位的项目工作任务及政府目标考核纳入项目工作经费，确保各单位履行行政职能职责有保障。</w:t>
      </w:r>
    </w:p>
    <w:p>
      <w:pPr>
        <w:widowControl/>
        <w:spacing w:line="500" w:lineRule="exact"/>
        <w:jc w:val="left"/>
        <w:rPr>
          <w:rStyle w:val="17"/>
          <w:rFonts w:ascii="黑体" w:hAnsi="黑体" w:eastAsia="黑体"/>
          <w:b w:val="0"/>
          <w:bCs w:val="0"/>
          <w:sz w:val="30"/>
          <w:szCs w:val="30"/>
        </w:rPr>
      </w:pPr>
    </w:p>
    <w:p>
      <w:pPr>
        <w:widowControl/>
        <w:spacing w:line="500" w:lineRule="exact"/>
        <w:jc w:val="left"/>
        <w:rPr>
          <w:rStyle w:val="17"/>
          <w:rFonts w:ascii="黑体" w:hAnsi="黑体" w:eastAsia="黑体"/>
          <w:b w:val="0"/>
          <w:bCs w:val="0"/>
          <w:sz w:val="30"/>
          <w:szCs w:val="30"/>
        </w:rPr>
      </w:pPr>
    </w:p>
    <w:p>
      <w:pPr>
        <w:spacing w:line="500" w:lineRule="exact"/>
        <w:jc w:val="center"/>
        <w:outlineLvl w:val="0"/>
        <w:rPr>
          <w:rFonts w:hint="eastAsia" w:ascii="黑体" w:hAnsi="黑体" w:eastAsia="黑体" w:cs="黑体"/>
          <w:color w:val="000000"/>
          <w:sz w:val="30"/>
          <w:szCs w:val="30"/>
        </w:rPr>
      </w:pPr>
      <w:bookmarkStart w:id="60" w:name="_Toc15396618"/>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Fonts w:hint="eastAsia" w:ascii="黑体" w:hAnsi="黑体" w:eastAsia="黑体" w:cs="黑体"/>
          <w:color w:val="000000"/>
          <w:sz w:val="30"/>
          <w:szCs w:val="30"/>
        </w:rPr>
      </w:pPr>
    </w:p>
    <w:p>
      <w:pPr>
        <w:spacing w:line="500" w:lineRule="exact"/>
        <w:jc w:val="center"/>
        <w:outlineLvl w:val="0"/>
        <w:rPr>
          <w:rStyle w:val="17"/>
          <w:rFonts w:ascii="黑体" w:hAnsi="黑体" w:eastAsia="黑体"/>
          <w:b w:val="0"/>
          <w:bCs w:val="0"/>
          <w:sz w:val="30"/>
          <w:szCs w:val="30"/>
        </w:rPr>
      </w:pPr>
      <w:r>
        <w:rPr>
          <w:rFonts w:hint="eastAsia" w:ascii="黑体" w:hAnsi="黑体" w:eastAsia="黑体" w:cs="黑体"/>
          <w:color w:val="000000"/>
          <w:sz w:val="30"/>
          <w:szCs w:val="30"/>
        </w:rPr>
        <w:t>第</w:t>
      </w:r>
      <w:r>
        <w:rPr>
          <w:rStyle w:val="17"/>
          <w:rFonts w:hint="eastAsia" w:ascii="黑体" w:hAnsi="黑体" w:eastAsia="黑体" w:cs="黑体"/>
          <w:b w:val="0"/>
          <w:bCs w:val="0"/>
          <w:sz w:val="30"/>
          <w:szCs w:val="30"/>
        </w:rPr>
        <w:t>五部分</w:t>
      </w:r>
      <w:r>
        <w:rPr>
          <w:rStyle w:val="17"/>
          <w:rFonts w:ascii="黑体" w:hAnsi="黑体" w:eastAsia="黑体" w:cs="黑体"/>
          <w:b w:val="0"/>
          <w:bCs w:val="0"/>
          <w:sz w:val="30"/>
          <w:szCs w:val="30"/>
        </w:rPr>
        <w:t xml:space="preserve">   </w:t>
      </w:r>
      <w:r>
        <w:rPr>
          <w:rStyle w:val="17"/>
          <w:rFonts w:hint="eastAsia" w:ascii="黑体" w:hAnsi="黑体" w:eastAsia="黑体" w:cs="黑体"/>
          <w:b w:val="0"/>
          <w:bCs w:val="0"/>
          <w:sz w:val="30"/>
          <w:szCs w:val="30"/>
        </w:rPr>
        <w:t>附</w:t>
      </w:r>
      <w:r>
        <w:rPr>
          <w:rStyle w:val="17"/>
          <w:rFonts w:ascii="黑体" w:hAnsi="黑体" w:eastAsia="黑体" w:cs="黑体"/>
          <w:b w:val="0"/>
          <w:bCs w:val="0"/>
          <w:sz w:val="30"/>
          <w:szCs w:val="30"/>
        </w:rPr>
        <w:t xml:space="preserve">  </w:t>
      </w:r>
      <w:r>
        <w:rPr>
          <w:rStyle w:val="17"/>
          <w:rFonts w:hint="eastAsia" w:ascii="黑体" w:hAnsi="黑体" w:eastAsia="黑体" w:cs="黑体"/>
          <w:b w:val="0"/>
          <w:bCs w:val="0"/>
          <w:sz w:val="30"/>
          <w:szCs w:val="30"/>
        </w:rPr>
        <w:t>表</w:t>
      </w:r>
      <w:bookmarkEnd w:id="59"/>
      <w:bookmarkEnd w:id="60"/>
    </w:p>
    <w:p>
      <w:pPr>
        <w:spacing w:line="500" w:lineRule="exact"/>
        <w:jc w:val="center"/>
        <w:outlineLvl w:val="0"/>
        <w:rPr>
          <w:rFonts w:ascii="仿宋" w:hAnsi="仿宋" w:eastAsia="仿宋"/>
          <w:b/>
          <w:bCs/>
          <w:color w:val="000000"/>
          <w:sz w:val="30"/>
          <w:szCs w:val="30"/>
        </w:rPr>
      </w:pPr>
    </w:p>
    <w:p>
      <w:pPr>
        <w:pStyle w:val="3"/>
        <w:spacing w:before="0" w:after="0" w:line="500" w:lineRule="exact"/>
        <w:rPr>
          <w:rFonts w:ascii="仿宋" w:hAnsi="仿宋" w:eastAsia="仿宋" w:cs="Times New Roman"/>
          <w:color w:val="000000"/>
          <w:sz w:val="30"/>
          <w:szCs w:val="30"/>
        </w:rPr>
      </w:pPr>
      <w:bookmarkStart w:id="61" w:name="_Toc15396619"/>
      <w:r>
        <w:rPr>
          <w:rFonts w:hint="eastAsia" w:ascii="仿宋" w:hAnsi="仿宋" w:eastAsia="仿宋" w:cs="仿宋"/>
          <w:b w:val="0"/>
          <w:bCs w:val="0"/>
          <w:color w:val="000000"/>
          <w:sz w:val="30"/>
          <w:szCs w:val="30"/>
        </w:rPr>
        <w:t>一、收</w:t>
      </w:r>
      <w:r>
        <w:rPr>
          <w:rStyle w:val="18"/>
          <w:rFonts w:hint="eastAsia" w:ascii="仿宋" w:hAnsi="仿宋" w:eastAsia="仿宋" w:cs="仿宋"/>
          <w:b w:val="0"/>
          <w:bCs w:val="0"/>
          <w:sz w:val="30"/>
          <w:szCs w:val="30"/>
        </w:rPr>
        <w:t>入支出决算总表</w:t>
      </w:r>
      <w:bookmarkEnd w:id="61"/>
    </w:p>
    <w:p>
      <w:pPr>
        <w:pStyle w:val="3"/>
        <w:spacing w:before="0" w:after="0" w:line="500" w:lineRule="exact"/>
        <w:rPr>
          <w:rFonts w:ascii="仿宋" w:hAnsi="仿宋" w:eastAsia="仿宋" w:cs="Times New Roman"/>
          <w:color w:val="000000"/>
          <w:sz w:val="30"/>
          <w:szCs w:val="30"/>
        </w:rPr>
      </w:pPr>
      <w:bookmarkStart w:id="62" w:name="_Toc15396620"/>
      <w:r>
        <w:rPr>
          <w:rFonts w:hint="eastAsia" w:ascii="仿宋" w:hAnsi="仿宋" w:eastAsia="仿宋" w:cs="仿宋"/>
          <w:b w:val="0"/>
          <w:bCs w:val="0"/>
          <w:color w:val="000000"/>
          <w:sz w:val="30"/>
          <w:szCs w:val="30"/>
        </w:rPr>
        <w:t>二、收</w:t>
      </w:r>
      <w:r>
        <w:rPr>
          <w:rStyle w:val="18"/>
          <w:rFonts w:hint="eastAsia" w:ascii="仿宋" w:hAnsi="仿宋" w:eastAsia="仿宋" w:cs="仿宋"/>
          <w:b w:val="0"/>
          <w:bCs w:val="0"/>
          <w:sz w:val="30"/>
          <w:szCs w:val="30"/>
        </w:rPr>
        <w:t>入决算表</w:t>
      </w:r>
      <w:bookmarkEnd w:id="62"/>
    </w:p>
    <w:p>
      <w:pPr>
        <w:pStyle w:val="3"/>
        <w:spacing w:before="0" w:after="0" w:line="500" w:lineRule="exact"/>
        <w:rPr>
          <w:rFonts w:ascii="仿宋" w:hAnsi="仿宋" w:eastAsia="仿宋" w:cs="Times New Roman"/>
          <w:color w:val="000000"/>
          <w:sz w:val="30"/>
          <w:szCs w:val="30"/>
        </w:rPr>
      </w:pPr>
      <w:bookmarkStart w:id="63" w:name="_Toc15396621"/>
      <w:r>
        <w:rPr>
          <w:rStyle w:val="18"/>
          <w:rFonts w:hint="eastAsia" w:ascii="仿宋" w:hAnsi="仿宋" w:eastAsia="仿宋" w:cs="仿宋"/>
          <w:b w:val="0"/>
          <w:bCs w:val="0"/>
          <w:sz w:val="30"/>
          <w:szCs w:val="30"/>
        </w:rPr>
        <w:t>三、</w:t>
      </w:r>
      <w:r>
        <w:rPr>
          <w:rFonts w:hint="eastAsia" w:ascii="仿宋" w:hAnsi="仿宋" w:eastAsia="仿宋" w:cs="仿宋"/>
          <w:b w:val="0"/>
          <w:bCs w:val="0"/>
          <w:color w:val="000000"/>
          <w:sz w:val="30"/>
          <w:szCs w:val="30"/>
        </w:rPr>
        <w:t>支</w:t>
      </w:r>
      <w:r>
        <w:rPr>
          <w:rStyle w:val="18"/>
          <w:rFonts w:hint="eastAsia" w:ascii="仿宋" w:hAnsi="仿宋" w:eastAsia="仿宋" w:cs="仿宋"/>
          <w:b w:val="0"/>
          <w:bCs w:val="0"/>
          <w:sz w:val="30"/>
          <w:szCs w:val="30"/>
        </w:rPr>
        <w:t>出决算表</w:t>
      </w:r>
      <w:bookmarkEnd w:id="63"/>
    </w:p>
    <w:p>
      <w:pPr>
        <w:pStyle w:val="3"/>
        <w:spacing w:before="0" w:after="0" w:line="500" w:lineRule="exact"/>
        <w:rPr>
          <w:rFonts w:ascii="仿宋" w:hAnsi="仿宋" w:eastAsia="仿宋" w:cs="Times New Roman"/>
          <w:b w:val="0"/>
          <w:bCs w:val="0"/>
          <w:color w:val="000000"/>
          <w:sz w:val="30"/>
          <w:szCs w:val="30"/>
        </w:rPr>
      </w:pPr>
      <w:bookmarkStart w:id="64" w:name="_Toc15396622"/>
      <w:r>
        <w:rPr>
          <w:rStyle w:val="18"/>
          <w:rFonts w:hint="eastAsia" w:ascii="仿宋" w:hAnsi="仿宋" w:eastAsia="仿宋" w:cs="仿宋"/>
          <w:b w:val="0"/>
          <w:bCs w:val="0"/>
          <w:sz w:val="30"/>
          <w:szCs w:val="30"/>
        </w:rPr>
        <w:t>四、</w:t>
      </w:r>
      <w:r>
        <w:rPr>
          <w:rFonts w:hint="eastAsia" w:ascii="仿宋" w:hAnsi="仿宋" w:eastAsia="仿宋" w:cs="仿宋"/>
          <w:b w:val="0"/>
          <w:bCs w:val="0"/>
          <w:color w:val="000000"/>
          <w:sz w:val="30"/>
          <w:szCs w:val="30"/>
        </w:rPr>
        <w:t>财</w:t>
      </w:r>
      <w:r>
        <w:rPr>
          <w:rStyle w:val="18"/>
          <w:rFonts w:hint="eastAsia" w:ascii="仿宋" w:hAnsi="仿宋" w:eastAsia="仿宋" w:cs="仿宋"/>
          <w:b w:val="0"/>
          <w:bCs w:val="0"/>
          <w:sz w:val="30"/>
          <w:szCs w:val="30"/>
        </w:rPr>
        <w:t>政拨款收入支出决算总表</w:t>
      </w:r>
      <w:bookmarkEnd w:id="64"/>
    </w:p>
    <w:p>
      <w:pPr>
        <w:pStyle w:val="3"/>
        <w:spacing w:before="0" w:after="0" w:line="500" w:lineRule="exact"/>
        <w:rPr>
          <w:rStyle w:val="18"/>
          <w:rFonts w:ascii="仿宋" w:hAnsi="仿宋" w:eastAsia="仿宋" w:cs="Times New Roman"/>
          <w:b w:val="0"/>
          <w:bCs w:val="0"/>
          <w:sz w:val="30"/>
          <w:szCs w:val="30"/>
        </w:rPr>
      </w:pPr>
      <w:bookmarkStart w:id="65" w:name="_Toc15396623"/>
      <w:r>
        <w:rPr>
          <w:rStyle w:val="18"/>
          <w:rFonts w:hint="eastAsia" w:ascii="仿宋" w:hAnsi="仿宋" w:eastAsia="仿宋" w:cs="仿宋"/>
          <w:b w:val="0"/>
          <w:bCs w:val="0"/>
          <w:sz w:val="30"/>
          <w:szCs w:val="30"/>
        </w:rPr>
        <w:t>五、</w:t>
      </w:r>
      <w:r>
        <w:rPr>
          <w:rFonts w:hint="eastAsia" w:ascii="仿宋" w:hAnsi="仿宋" w:eastAsia="仿宋" w:cs="仿宋"/>
          <w:b w:val="0"/>
          <w:bCs w:val="0"/>
          <w:color w:val="000000"/>
          <w:sz w:val="30"/>
          <w:szCs w:val="30"/>
        </w:rPr>
        <w:t>财</w:t>
      </w:r>
      <w:r>
        <w:rPr>
          <w:rStyle w:val="18"/>
          <w:rFonts w:hint="eastAsia" w:ascii="仿宋" w:hAnsi="仿宋" w:eastAsia="仿宋" w:cs="仿宋"/>
          <w:b w:val="0"/>
          <w:bCs w:val="0"/>
          <w:sz w:val="30"/>
          <w:szCs w:val="30"/>
        </w:rPr>
        <w:t>政拨款支出决算明细表</w:t>
      </w:r>
      <w:bookmarkEnd w:id="65"/>
      <w:bookmarkStart w:id="66" w:name="_Toc15396624"/>
    </w:p>
    <w:p>
      <w:pPr>
        <w:pStyle w:val="3"/>
        <w:spacing w:before="0" w:after="0" w:line="500" w:lineRule="exact"/>
        <w:rPr>
          <w:rFonts w:ascii="仿宋" w:hAnsi="仿宋" w:eastAsia="仿宋" w:cs="Times New Roman"/>
          <w:color w:val="000000"/>
          <w:sz w:val="30"/>
          <w:szCs w:val="30"/>
        </w:rPr>
      </w:pPr>
      <w:r>
        <w:rPr>
          <w:rStyle w:val="18"/>
          <w:rFonts w:hint="eastAsia" w:ascii="仿宋" w:hAnsi="仿宋" w:eastAsia="仿宋" w:cs="仿宋"/>
          <w:b w:val="0"/>
          <w:bCs w:val="0"/>
          <w:sz w:val="30"/>
          <w:szCs w:val="30"/>
        </w:rPr>
        <w:t>六、</w:t>
      </w:r>
      <w:r>
        <w:rPr>
          <w:rFonts w:hint="eastAsia" w:ascii="仿宋" w:hAnsi="仿宋" w:eastAsia="仿宋" w:cs="仿宋"/>
          <w:b w:val="0"/>
          <w:bCs w:val="0"/>
          <w:color w:val="000000"/>
          <w:sz w:val="30"/>
          <w:szCs w:val="30"/>
        </w:rPr>
        <w:t>一</w:t>
      </w:r>
      <w:r>
        <w:rPr>
          <w:rStyle w:val="18"/>
          <w:rFonts w:hint="eastAsia" w:ascii="仿宋" w:hAnsi="仿宋" w:eastAsia="仿宋" w:cs="仿宋"/>
          <w:b w:val="0"/>
          <w:bCs w:val="0"/>
          <w:sz w:val="30"/>
          <w:szCs w:val="30"/>
        </w:rPr>
        <w:t>般公共预算财政拨款支出决算表</w:t>
      </w:r>
      <w:bookmarkEnd w:id="66"/>
    </w:p>
    <w:p>
      <w:pPr>
        <w:pStyle w:val="3"/>
        <w:spacing w:before="0" w:after="0" w:line="500" w:lineRule="exact"/>
        <w:rPr>
          <w:rFonts w:ascii="仿宋" w:hAnsi="仿宋" w:eastAsia="仿宋" w:cs="Times New Roman"/>
          <w:color w:val="000000"/>
          <w:sz w:val="30"/>
          <w:szCs w:val="30"/>
        </w:rPr>
      </w:pPr>
      <w:bookmarkStart w:id="67" w:name="_Toc15396625"/>
      <w:r>
        <w:rPr>
          <w:rStyle w:val="18"/>
          <w:rFonts w:hint="eastAsia" w:ascii="仿宋" w:hAnsi="仿宋" w:eastAsia="仿宋" w:cs="仿宋"/>
          <w:b w:val="0"/>
          <w:bCs w:val="0"/>
          <w:sz w:val="30"/>
          <w:szCs w:val="30"/>
        </w:rPr>
        <w:t>七、</w:t>
      </w:r>
      <w:r>
        <w:rPr>
          <w:rFonts w:hint="eastAsia" w:ascii="仿宋" w:hAnsi="仿宋" w:eastAsia="仿宋" w:cs="仿宋"/>
          <w:b w:val="0"/>
          <w:bCs w:val="0"/>
          <w:color w:val="000000"/>
          <w:sz w:val="30"/>
          <w:szCs w:val="30"/>
        </w:rPr>
        <w:t>一</w:t>
      </w:r>
      <w:r>
        <w:rPr>
          <w:rStyle w:val="18"/>
          <w:rFonts w:hint="eastAsia" w:ascii="仿宋" w:hAnsi="仿宋" w:eastAsia="仿宋" w:cs="仿宋"/>
          <w:b w:val="0"/>
          <w:bCs w:val="0"/>
          <w:sz w:val="30"/>
          <w:szCs w:val="30"/>
        </w:rPr>
        <w:t>般公共预算财政拨款支出决算明细表</w:t>
      </w:r>
      <w:bookmarkEnd w:id="67"/>
    </w:p>
    <w:p>
      <w:pPr>
        <w:pStyle w:val="3"/>
        <w:spacing w:before="0" w:after="0" w:line="500" w:lineRule="exact"/>
        <w:rPr>
          <w:rFonts w:ascii="仿宋" w:hAnsi="仿宋" w:eastAsia="仿宋" w:cs="Times New Roman"/>
          <w:color w:val="000000"/>
          <w:sz w:val="30"/>
          <w:szCs w:val="30"/>
        </w:rPr>
      </w:pPr>
      <w:bookmarkStart w:id="68" w:name="_Toc15396626"/>
      <w:r>
        <w:rPr>
          <w:rStyle w:val="18"/>
          <w:rFonts w:hint="eastAsia" w:ascii="仿宋" w:hAnsi="仿宋" w:eastAsia="仿宋" w:cs="仿宋"/>
          <w:b w:val="0"/>
          <w:bCs w:val="0"/>
          <w:sz w:val="30"/>
          <w:szCs w:val="30"/>
        </w:rPr>
        <w:t>八、</w:t>
      </w:r>
      <w:r>
        <w:rPr>
          <w:rFonts w:hint="eastAsia" w:ascii="仿宋" w:hAnsi="仿宋" w:eastAsia="仿宋" w:cs="仿宋"/>
          <w:b w:val="0"/>
          <w:bCs w:val="0"/>
          <w:color w:val="000000"/>
          <w:sz w:val="30"/>
          <w:szCs w:val="30"/>
        </w:rPr>
        <w:t>一</w:t>
      </w:r>
      <w:r>
        <w:rPr>
          <w:rStyle w:val="18"/>
          <w:rFonts w:hint="eastAsia" w:ascii="仿宋" w:hAnsi="仿宋" w:eastAsia="仿宋" w:cs="仿宋"/>
          <w:b w:val="0"/>
          <w:bCs w:val="0"/>
          <w:sz w:val="30"/>
          <w:szCs w:val="30"/>
        </w:rPr>
        <w:t>般公共预算财政拨款基本支出决算表</w:t>
      </w:r>
      <w:bookmarkEnd w:id="68"/>
    </w:p>
    <w:p>
      <w:pPr>
        <w:pStyle w:val="3"/>
        <w:spacing w:before="0" w:after="0" w:line="500" w:lineRule="exact"/>
        <w:rPr>
          <w:rFonts w:ascii="仿宋" w:hAnsi="仿宋" w:eastAsia="仿宋" w:cs="Times New Roman"/>
          <w:color w:val="000000"/>
          <w:sz w:val="30"/>
          <w:szCs w:val="30"/>
        </w:rPr>
      </w:pPr>
      <w:bookmarkStart w:id="69" w:name="_Toc15396627"/>
      <w:r>
        <w:rPr>
          <w:rStyle w:val="18"/>
          <w:rFonts w:hint="eastAsia" w:ascii="仿宋" w:hAnsi="仿宋" w:eastAsia="仿宋" w:cs="仿宋"/>
          <w:b w:val="0"/>
          <w:bCs w:val="0"/>
          <w:sz w:val="30"/>
          <w:szCs w:val="30"/>
        </w:rPr>
        <w:t>九、</w:t>
      </w:r>
      <w:r>
        <w:rPr>
          <w:rFonts w:hint="eastAsia" w:ascii="仿宋" w:hAnsi="仿宋" w:eastAsia="仿宋" w:cs="仿宋"/>
          <w:b w:val="0"/>
          <w:bCs w:val="0"/>
          <w:color w:val="000000"/>
          <w:sz w:val="30"/>
          <w:szCs w:val="30"/>
        </w:rPr>
        <w:t>一</w:t>
      </w:r>
      <w:r>
        <w:rPr>
          <w:rStyle w:val="18"/>
          <w:rFonts w:hint="eastAsia" w:ascii="仿宋" w:hAnsi="仿宋" w:eastAsia="仿宋" w:cs="仿宋"/>
          <w:b w:val="0"/>
          <w:bCs w:val="0"/>
          <w:sz w:val="30"/>
          <w:szCs w:val="30"/>
        </w:rPr>
        <w:t>般公共预算财政拨款项目支出决算表</w:t>
      </w:r>
      <w:bookmarkEnd w:id="69"/>
    </w:p>
    <w:p>
      <w:pPr>
        <w:pStyle w:val="3"/>
        <w:spacing w:before="0" w:after="0" w:line="500" w:lineRule="exact"/>
        <w:rPr>
          <w:rFonts w:ascii="仿宋" w:hAnsi="仿宋" w:eastAsia="仿宋" w:cs="Times New Roman"/>
          <w:color w:val="000000"/>
          <w:sz w:val="30"/>
          <w:szCs w:val="30"/>
        </w:rPr>
      </w:pPr>
      <w:bookmarkStart w:id="70" w:name="_Toc15396628"/>
      <w:r>
        <w:rPr>
          <w:rStyle w:val="18"/>
          <w:rFonts w:hint="eastAsia" w:ascii="仿宋" w:hAnsi="仿宋" w:eastAsia="仿宋" w:cs="仿宋"/>
          <w:b w:val="0"/>
          <w:bCs w:val="0"/>
          <w:sz w:val="30"/>
          <w:szCs w:val="30"/>
        </w:rPr>
        <w:t>十、</w:t>
      </w:r>
      <w:r>
        <w:rPr>
          <w:rFonts w:hint="eastAsia" w:ascii="仿宋" w:hAnsi="仿宋" w:eastAsia="仿宋" w:cs="仿宋"/>
          <w:b w:val="0"/>
          <w:bCs w:val="0"/>
          <w:color w:val="000000"/>
          <w:sz w:val="30"/>
          <w:szCs w:val="30"/>
        </w:rPr>
        <w:t>一</w:t>
      </w:r>
      <w:r>
        <w:rPr>
          <w:rStyle w:val="18"/>
          <w:rFonts w:hint="eastAsia" w:ascii="仿宋" w:hAnsi="仿宋" w:eastAsia="仿宋" w:cs="仿宋"/>
          <w:b w:val="0"/>
          <w:bCs w:val="0"/>
          <w:sz w:val="30"/>
          <w:szCs w:val="30"/>
        </w:rPr>
        <w:t>般公共预算财政拨款“三公”经费支出决算表</w:t>
      </w:r>
      <w:bookmarkEnd w:id="70"/>
    </w:p>
    <w:p>
      <w:pPr>
        <w:pStyle w:val="3"/>
        <w:spacing w:before="0" w:after="0" w:line="500" w:lineRule="exact"/>
        <w:rPr>
          <w:rFonts w:ascii="仿宋" w:hAnsi="仿宋" w:eastAsia="仿宋" w:cs="Times New Roman"/>
          <w:color w:val="000000"/>
          <w:sz w:val="30"/>
          <w:szCs w:val="30"/>
        </w:rPr>
      </w:pPr>
      <w:bookmarkStart w:id="71" w:name="_Toc15396629"/>
      <w:r>
        <w:rPr>
          <w:rStyle w:val="18"/>
          <w:rFonts w:hint="eastAsia" w:ascii="仿宋" w:hAnsi="仿宋" w:eastAsia="仿宋" w:cs="仿宋"/>
          <w:b w:val="0"/>
          <w:bCs w:val="0"/>
          <w:sz w:val="30"/>
          <w:szCs w:val="30"/>
        </w:rPr>
        <w:t>十一、</w:t>
      </w:r>
      <w:r>
        <w:rPr>
          <w:rFonts w:hint="eastAsia" w:ascii="仿宋" w:hAnsi="仿宋" w:eastAsia="仿宋" w:cs="仿宋"/>
          <w:b w:val="0"/>
          <w:bCs w:val="0"/>
          <w:color w:val="000000"/>
          <w:sz w:val="30"/>
          <w:szCs w:val="30"/>
        </w:rPr>
        <w:t>政</w:t>
      </w:r>
      <w:r>
        <w:rPr>
          <w:rStyle w:val="18"/>
          <w:rFonts w:hint="eastAsia" w:ascii="仿宋" w:hAnsi="仿宋" w:eastAsia="仿宋" w:cs="仿宋"/>
          <w:b w:val="0"/>
          <w:bCs w:val="0"/>
          <w:sz w:val="30"/>
          <w:szCs w:val="30"/>
        </w:rPr>
        <w:t>府性基金预算财政拨款收入支出决算表</w:t>
      </w:r>
      <w:bookmarkEnd w:id="71"/>
    </w:p>
    <w:p>
      <w:pPr>
        <w:pStyle w:val="3"/>
        <w:spacing w:before="0" w:after="0" w:line="500" w:lineRule="exact"/>
        <w:rPr>
          <w:rFonts w:ascii="仿宋" w:hAnsi="仿宋" w:eastAsia="仿宋" w:cs="Times New Roman"/>
          <w:color w:val="000000"/>
          <w:sz w:val="30"/>
          <w:szCs w:val="30"/>
        </w:rPr>
      </w:pPr>
      <w:bookmarkStart w:id="72" w:name="_Toc15396630"/>
      <w:r>
        <w:rPr>
          <w:rStyle w:val="18"/>
          <w:rFonts w:hint="eastAsia" w:ascii="仿宋" w:hAnsi="仿宋" w:eastAsia="仿宋" w:cs="仿宋"/>
          <w:b w:val="0"/>
          <w:bCs w:val="0"/>
          <w:sz w:val="30"/>
          <w:szCs w:val="30"/>
        </w:rPr>
        <w:t>十二、</w:t>
      </w:r>
      <w:r>
        <w:rPr>
          <w:rFonts w:hint="eastAsia" w:ascii="仿宋" w:hAnsi="仿宋" w:eastAsia="仿宋" w:cs="仿宋"/>
          <w:b w:val="0"/>
          <w:bCs w:val="0"/>
          <w:color w:val="000000"/>
          <w:sz w:val="30"/>
          <w:szCs w:val="30"/>
        </w:rPr>
        <w:t>政</w:t>
      </w:r>
      <w:r>
        <w:rPr>
          <w:rStyle w:val="18"/>
          <w:rFonts w:hint="eastAsia" w:ascii="仿宋" w:hAnsi="仿宋" w:eastAsia="仿宋" w:cs="仿宋"/>
          <w:b w:val="0"/>
          <w:bCs w:val="0"/>
          <w:sz w:val="30"/>
          <w:szCs w:val="30"/>
        </w:rPr>
        <w:t>府性基金预算财政拨款“三公”经费支出决算表</w:t>
      </w:r>
      <w:bookmarkEnd w:id="72"/>
    </w:p>
    <w:p>
      <w:pPr>
        <w:pStyle w:val="3"/>
        <w:spacing w:before="0" w:after="0" w:line="500" w:lineRule="exact"/>
        <w:rPr>
          <w:rStyle w:val="18"/>
          <w:rFonts w:ascii="仿宋" w:hAnsi="仿宋" w:eastAsia="仿宋" w:cs="仿宋"/>
          <w:b w:val="0"/>
          <w:bCs w:val="0"/>
        </w:rPr>
      </w:pPr>
      <w:bookmarkStart w:id="73" w:name="_Toc15396631"/>
      <w:r>
        <w:rPr>
          <w:rStyle w:val="18"/>
          <w:rFonts w:hint="eastAsia" w:ascii="仿宋" w:hAnsi="仿宋" w:eastAsia="仿宋" w:cs="仿宋"/>
          <w:b w:val="0"/>
          <w:bCs w:val="0"/>
          <w:sz w:val="30"/>
          <w:szCs w:val="30"/>
        </w:rPr>
        <w:t>十三、</w:t>
      </w:r>
      <w:r>
        <w:rPr>
          <w:rFonts w:hint="eastAsia" w:ascii="仿宋" w:hAnsi="仿宋" w:eastAsia="仿宋" w:cs="仿宋"/>
          <w:b w:val="0"/>
          <w:bCs w:val="0"/>
          <w:color w:val="000000"/>
          <w:sz w:val="30"/>
          <w:szCs w:val="30"/>
        </w:rPr>
        <w:t>国</w:t>
      </w:r>
      <w:r>
        <w:rPr>
          <w:rStyle w:val="18"/>
          <w:rFonts w:hint="eastAsia" w:ascii="仿宋" w:hAnsi="仿宋" w:eastAsia="仿宋" w:cs="仿宋"/>
          <w:b w:val="0"/>
          <w:bCs w:val="0"/>
          <w:sz w:val="30"/>
          <w:szCs w:val="30"/>
        </w:rPr>
        <w:t>有资本经营预算支出决</w:t>
      </w:r>
      <w:r>
        <w:rPr>
          <w:rStyle w:val="18"/>
          <w:rFonts w:hint="eastAsia" w:ascii="仿宋" w:hAnsi="仿宋" w:eastAsia="仿宋" w:cs="仿宋"/>
          <w:b w:val="0"/>
          <w:bCs w:val="0"/>
        </w:rPr>
        <w:t>算</w:t>
      </w:r>
      <w:bookmarkEnd w:id="73"/>
    </w:p>
    <w:p/>
    <w:sectPr>
      <w:footerReference r:id="rId9" w:type="default"/>
      <w:pgSz w:w="11906" w:h="16838"/>
      <w:pgMar w:top="1440" w:right="1304" w:bottom="1134" w:left="1418" w:header="851"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31</w:t>
    </w:r>
    <w:r>
      <w:rPr>
        <w:rStyle w:val="15"/>
      </w:rPr>
      <w:fldChar w:fldCharType="end"/>
    </w:r>
  </w:p>
  <w:p>
    <w:pPr>
      <w:pStyle w:val="8"/>
      <w:ind w:right="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B99DE"/>
    <w:multiLevelType w:val="singleLevel"/>
    <w:tmpl w:val="9FEB99DE"/>
    <w:lvl w:ilvl="0" w:tentative="0">
      <w:start w:val="2"/>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C35B284"/>
    <w:multiLevelType w:val="singleLevel"/>
    <w:tmpl w:val="DC35B284"/>
    <w:lvl w:ilvl="0" w:tentative="0">
      <w:start w:val="1"/>
      <w:numFmt w:val="decimal"/>
      <w:lvlText w:val="%1."/>
      <w:lvlJc w:val="left"/>
      <w:pPr>
        <w:tabs>
          <w:tab w:val="left" w:pos="312"/>
        </w:tabs>
      </w:pPr>
      <w:rPr>
        <w:rFonts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02F5207D"/>
    <w:multiLevelType w:val="singleLevel"/>
    <w:tmpl w:val="02F5207D"/>
    <w:lvl w:ilvl="0" w:tentative="0">
      <w:start w:val="2"/>
      <w:numFmt w:val="chineseCounting"/>
      <w:suff w:val="nothing"/>
      <w:lvlText w:val="（%1）"/>
      <w:lvlJc w:val="left"/>
      <w:rPr>
        <w:rFonts w:hint="eastAsia" w:cs="Times New Roman"/>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3BA4"/>
    <w:rsid w:val="000222C6"/>
    <w:rsid w:val="0002549F"/>
    <w:rsid w:val="00035BAF"/>
    <w:rsid w:val="00036507"/>
    <w:rsid w:val="000468DB"/>
    <w:rsid w:val="00056652"/>
    <w:rsid w:val="0006487A"/>
    <w:rsid w:val="00065F8F"/>
    <w:rsid w:val="00070A43"/>
    <w:rsid w:val="00071F1B"/>
    <w:rsid w:val="00072EEA"/>
    <w:rsid w:val="000763B8"/>
    <w:rsid w:val="000768F2"/>
    <w:rsid w:val="000824A7"/>
    <w:rsid w:val="00087B0F"/>
    <w:rsid w:val="0009184B"/>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4E9B"/>
    <w:rsid w:val="00142216"/>
    <w:rsid w:val="00144D6A"/>
    <w:rsid w:val="0014729F"/>
    <w:rsid w:val="0015174A"/>
    <w:rsid w:val="00157BAB"/>
    <w:rsid w:val="001654D1"/>
    <w:rsid w:val="00172DB9"/>
    <w:rsid w:val="00174518"/>
    <w:rsid w:val="0018106D"/>
    <w:rsid w:val="001877A7"/>
    <w:rsid w:val="00191536"/>
    <w:rsid w:val="00196687"/>
    <w:rsid w:val="001A03B9"/>
    <w:rsid w:val="001C0962"/>
    <w:rsid w:val="001D2E85"/>
    <w:rsid w:val="001D7531"/>
    <w:rsid w:val="001E18D7"/>
    <w:rsid w:val="001E737D"/>
    <w:rsid w:val="001F0592"/>
    <w:rsid w:val="001F7506"/>
    <w:rsid w:val="002006CD"/>
    <w:rsid w:val="00202B36"/>
    <w:rsid w:val="00204B7A"/>
    <w:rsid w:val="00204CDE"/>
    <w:rsid w:val="0021101A"/>
    <w:rsid w:val="00220536"/>
    <w:rsid w:val="002307CB"/>
    <w:rsid w:val="002328DD"/>
    <w:rsid w:val="00235629"/>
    <w:rsid w:val="00260C38"/>
    <w:rsid w:val="002616C0"/>
    <w:rsid w:val="00265372"/>
    <w:rsid w:val="002662AA"/>
    <w:rsid w:val="00280496"/>
    <w:rsid w:val="00294DC9"/>
    <w:rsid w:val="00295495"/>
    <w:rsid w:val="00296E64"/>
    <w:rsid w:val="002A31DE"/>
    <w:rsid w:val="002B2613"/>
    <w:rsid w:val="002B413C"/>
    <w:rsid w:val="002D19B0"/>
    <w:rsid w:val="002D6D05"/>
    <w:rsid w:val="002F1818"/>
    <w:rsid w:val="002F567B"/>
    <w:rsid w:val="003216A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7B60"/>
    <w:rsid w:val="003D0C0F"/>
    <w:rsid w:val="003D1FB2"/>
    <w:rsid w:val="003D66DA"/>
    <w:rsid w:val="003E1310"/>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530"/>
    <w:rsid w:val="00451544"/>
    <w:rsid w:val="0046577C"/>
    <w:rsid w:val="00471401"/>
    <w:rsid w:val="00473F31"/>
    <w:rsid w:val="0048263A"/>
    <w:rsid w:val="00486EE5"/>
    <w:rsid w:val="00487E5D"/>
    <w:rsid w:val="00496CB4"/>
    <w:rsid w:val="004A48F5"/>
    <w:rsid w:val="004A588C"/>
    <w:rsid w:val="004A711F"/>
    <w:rsid w:val="004B199D"/>
    <w:rsid w:val="004B4690"/>
    <w:rsid w:val="004B4C77"/>
    <w:rsid w:val="004E0A2D"/>
    <w:rsid w:val="004E206B"/>
    <w:rsid w:val="004E6DF7"/>
    <w:rsid w:val="004F0FBD"/>
    <w:rsid w:val="004F403E"/>
    <w:rsid w:val="004F6F23"/>
    <w:rsid w:val="00505A47"/>
    <w:rsid w:val="00512FDA"/>
    <w:rsid w:val="0051532A"/>
    <w:rsid w:val="00520DA0"/>
    <w:rsid w:val="00565AEA"/>
    <w:rsid w:val="005664BB"/>
    <w:rsid w:val="00566FFA"/>
    <w:rsid w:val="0057481D"/>
    <w:rsid w:val="00575F0B"/>
    <w:rsid w:val="0058054A"/>
    <w:rsid w:val="0058486E"/>
    <w:rsid w:val="00585B33"/>
    <w:rsid w:val="0059014D"/>
    <w:rsid w:val="005B5C64"/>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E73"/>
    <w:rsid w:val="006A3141"/>
    <w:rsid w:val="006A5E34"/>
    <w:rsid w:val="006B2422"/>
    <w:rsid w:val="006B2B9A"/>
    <w:rsid w:val="006C1937"/>
    <w:rsid w:val="006C570B"/>
    <w:rsid w:val="006E4764"/>
    <w:rsid w:val="006E76A7"/>
    <w:rsid w:val="006F020C"/>
    <w:rsid w:val="007127B7"/>
    <w:rsid w:val="00712E44"/>
    <w:rsid w:val="00715723"/>
    <w:rsid w:val="0071798E"/>
    <w:rsid w:val="00727533"/>
    <w:rsid w:val="007416B6"/>
    <w:rsid w:val="00746F48"/>
    <w:rsid w:val="0075404D"/>
    <w:rsid w:val="00757C91"/>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3576"/>
    <w:rsid w:val="007F53D9"/>
    <w:rsid w:val="007F55FC"/>
    <w:rsid w:val="007F5665"/>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4DB1"/>
    <w:rsid w:val="008C4EAF"/>
    <w:rsid w:val="008C5176"/>
    <w:rsid w:val="008C7FD0"/>
    <w:rsid w:val="008E1DE7"/>
    <w:rsid w:val="008E707C"/>
    <w:rsid w:val="008F3EF3"/>
    <w:rsid w:val="00900B08"/>
    <w:rsid w:val="00902155"/>
    <w:rsid w:val="00902FA3"/>
    <w:rsid w:val="00921781"/>
    <w:rsid w:val="00923564"/>
    <w:rsid w:val="0092392E"/>
    <w:rsid w:val="009315F9"/>
    <w:rsid w:val="00933499"/>
    <w:rsid w:val="00935C98"/>
    <w:rsid w:val="00946945"/>
    <w:rsid w:val="00951248"/>
    <w:rsid w:val="0095152F"/>
    <w:rsid w:val="00954C49"/>
    <w:rsid w:val="00955E37"/>
    <w:rsid w:val="0097099F"/>
    <w:rsid w:val="00971997"/>
    <w:rsid w:val="00971FFC"/>
    <w:rsid w:val="009735B5"/>
    <w:rsid w:val="00973FB7"/>
    <w:rsid w:val="00981ACD"/>
    <w:rsid w:val="0098660A"/>
    <w:rsid w:val="009931C3"/>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2709"/>
    <w:rsid w:val="00C44F57"/>
    <w:rsid w:val="00C533CC"/>
    <w:rsid w:val="00C5751C"/>
    <w:rsid w:val="00C61BFC"/>
    <w:rsid w:val="00C62B85"/>
    <w:rsid w:val="00C65438"/>
    <w:rsid w:val="00C80440"/>
    <w:rsid w:val="00C91CBB"/>
    <w:rsid w:val="00C92A53"/>
    <w:rsid w:val="00CA570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4D2"/>
    <w:rsid w:val="00D51276"/>
    <w:rsid w:val="00D51920"/>
    <w:rsid w:val="00D63930"/>
    <w:rsid w:val="00D7035F"/>
    <w:rsid w:val="00DA5BC9"/>
    <w:rsid w:val="00DA634F"/>
    <w:rsid w:val="00DA65AC"/>
    <w:rsid w:val="00DB1913"/>
    <w:rsid w:val="00DC1361"/>
    <w:rsid w:val="00DC410D"/>
    <w:rsid w:val="00DC5A81"/>
    <w:rsid w:val="00DC68CA"/>
    <w:rsid w:val="00DC7CBA"/>
    <w:rsid w:val="00DD73B7"/>
    <w:rsid w:val="00DF28BC"/>
    <w:rsid w:val="00DF34B9"/>
    <w:rsid w:val="00E01053"/>
    <w:rsid w:val="00E04239"/>
    <w:rsid w:val="00E07ACF"/>
    <w:rsid w:val="00E331A1"/>
    <w:rsid w:val="00E33202"/>
    <w:rsid w:val="00E336A9"/>
    <w:rsid w:val="00E45202"/>
    <w:rsid w:val="00E472B1"/>
    <w:rsid w:val="00E4740A"/>
    <w:rsid w:val="00E50624"/>
    <w:rsid w:val="00E568DF"/>
    <w:rsid w:val="00E64269"/>
    <w:rsid w:val="00E66797"/>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408F"/>
    <w:rsid w:val="00F240E9"/>
    <w:rsid w:val="00F35E63"/>
    <w:rsid w:val="00F36D8F"/>
    <w:rsid w:val="00F417B1"/>
    <w:rsid w:val="00F45853"/>
    <w:rsid w:val="00F602DF"/>
    <w:rsid w:val="00F71E92"/>
    <w:rsid w:val="00F754A1"/>
    <w:rsid w:val="00F81FD9"/>
    <w:rsid w:val="00F841AA"/>
    <w:rsid w:val="00F84A94"/>
    <w:rsid w:val="00F87E96"/>
    <w:rsid w:val="00F91249"/>
    <w:rsid w:val="00FA23E8"/>
    <w:rsid w:val="00FA586E"/>
    <w:rsid w:val="00FD3CC1"/>
    <w:rsid w:val="00FE7366"/>
    <w:rsid w:val="00FE7819"/>
    <w:rsid w:val="00FF1E02"/>
    <w:rsid w:val="00FF30B4"/>
    <w:rsid w:val="058C072B"/>
    <w:rsid w:val="07DE0A6C"/>
    <w:rsid w:val="09CF1707"/>
    <w:rsid w:val="0A3C0A6C"/>
    <w:rsid w:val="0A4B1C59"/>
    <w:rsid w:val="0AFC619F"/>
    <w:rsid w:val="0B3B1F00"/>
    <w:rsid w:val="0DD75714"/>
    <w:rsid w:val="0E1E2A88"/>
    <w:rsid w:val="0E946040"/>
    <w:rsid w:val="10C055FF"/>
    <w:rsid w:val="10C07695"/>
    <w:rsid w:val="10DE3302"/>
    <w:rsid w:val="111051E3"/>
    <w:rsid w:val="1248787E"/>
    <w:rsid w:val="131D1574"/>
    <w:rsid w:val="1438021D"/>
    <w:rsid w:val="14600B8F"/>
    <w:rsid w:val="14FF7D2F"/>
    <w:rsid w:val="1515286D"/>
    <w:rsid w:val="160E2BE2"/>
    <w:rsid w:val="1627130E"/>
    <w:rsid w:val="16BB723D"/>
    <w:rsid w:val="16F81AAD"/>
    <w:rsid w:val="17B776CF"/>
    <w:rsid w:val="18A800DC"/>
    <w:rsid w:val="18A8056D"/>
    <w:rsid w:val="19026AB4"/>
    <w:rsid w:val="19627B5E"/>
    <w:rsid w:val="199968DD"/>
    <w:rsid w:val="1A4B1CDF"/>
    <w:rsid w:val="1C1C5ED4"/>
    <w:rsid w:val="1D957489"/>
    <w:rsid w:val="1E1938A6"/>
    <w:rsid w:val="1E864938"/>
    <w:rsid w:val="1EA11F9F"/>
    <w:rsid w:val="1ED1539A"/>
    <w:rsid w:val="1EF4767A"/>
    <w:rsid w:val="204A4A1C"/>
    <w:rsid w:val="20BD0DD2"/>
    <w:rsid w:val="2123219E"/>
    <w:rsid w:val="240371BF"/>
    <w:rsid w:val="268B12D0"/>
    <w:rsid w:val="295364FC"/>
    <w:rsid w:val="29FD04D3"/>
    <w:rsid w:val="2A990C6A"/>
    <w:rsid w:val="2AD71259"/>
    <w:rsid w:val="2AE913DA"/>
    <w:rsid w:val="2B8D5151"/>
    <w:rsid w:val="2DB027A8"/>
    <w:rsid w:val="308E13C4"/>
    <w:rsid w:val="319F7F4E"/>
    <w:rsid w:val="31A04E90"/>
    <w:rsid w:val="31E103CC"/>
    <w:rsid w:val="32566F47"/>
    <w:rsid w:val="360A7919"/>
    <w:rsid w:val="362C5056"/>
    <w:rsid w:val="3678361F"/>
    <w:rsid w:val="37422BA0"/>
    <w:rsid w:val="39EA3F3A"/>
    <w:rsid w:val="39FE6156"/>
    <w:rsid w:val="3B5C50A2"/>
    <w:rsid w:val="3BC84E62"/>
    <w:rsid w:val="3C1B662B"/>
    <w:rsid w:val="3C233C19"/>
    <w:rsid w:val="3C340349"/>
    <w:rsid w:val="3C740204"/>
    <w:rsid w:val="3CD07AAA"/>
    <w:rsid w:val="3D527E33"/>
    <w:rsid w:val="3E7F5346"/>
    <w:rsid w:val="3E865794"/>
    <w:rsid w:val="40A02CF9"/>
    <w:rsid w:val="40EE2169"/>
    <w:rsid w:val="415B6549"/>
    <w:rsid w:val="419E0DFD"/>
    <w:rsid w:val="41EA284C"/>
    <w:rsid w:val="42467679"/>
    <w:rsid w:val="427C1B91"/>
    <w:rsid w:val="42B67EDD"/>
    <w:rsid w:val="4478018A"/>
    <w:rsid w:val="447A7E94"/>
    <w:rsid w:val="44DE0C91"/>
    <w:rsid w:val="46826F27"/>
    <w:rsid w:val="47580A3F"/>
    <w:rsid w:val="48147B0E"/>
    <w:rsid w:val="48AB0499"/>
    <w:rsid w:val="4A742A2B"/>
    <w:rsid w:val="4B544FC7"/>
    <w:rsid w:val="4D532219"/>
    <w:rsid w:val="4E4E5C98"/>
    <w:rsid w:val="4ECE2238"/>
    <w:rsid w:val="4F20722D"/>
    <w:rsid w:val="4F9E3D48"/>
    <w:rsid w:val="509609B8"/>
    <w:rsid w:val="51423736"/>
    <w:rsid w:val="52962D15"/>
    <w:rsid w:val="529F4220"/>
    <w:rsid w:val="52FB61EE"/>
    <w:rsid w:val="53FD0FD0"/>
    <w:rsid w:val="551A04A3"/>
    <w:rsid w:val="566C64F2"/>
    <w:rsid w:val="5861216A"/>
    <w:rsid w:val="59870923"/>
    <w:rsid w:val="5A7826CE"/>
    <w:rsid w:val="5AE052DB"/>
    <w:rsid w:val="5C605F53"/>
    <w:rsid w:val="5DEB64B6"/>
    <w:rsid w:val="5E413410"/>
    <w:rsid w:val="5F3E27B6"/>
    <w:rsid w:val="5F8222E6"/>
    <w:rsid w:val="5F956146"/>
    <w:rsid w:val="5FF2518A"/>
    <w:rsid w:val="60984E8D"/>
    <w:rsid w:val="61E47C14"/>
    <w:rsid w:val="63676635"/>
    <w:rsid w:val="63FA097E"/>
    <w:rsid w:val="63FF2A9B"/>
    <w:rsid w:val="644276AC"/>
    <w:rsid w:val="660855D2"/>
    <w:rsid w:val="67736FF5"/>
    <w:rsid w:val="67C839AC"/>
    <w:rsid w:val="6854692B"/>
    <w:rsid w:val="691A348B"/>
    <w:rsid w:val="6A194C42"/>
    <w:rsid w:val="6A543F22"/>
    <w:rsid w:val="6B534062"/>
    <w:rsid w:val="6B942172"/>
    <w:rsid w:val="6BB96779"/>
    <w:rsid w:val="6D4076D6"/>
    <w:rsid w:val="6DCB7D73"/>
    <w:rsid w:val="6E245129"/>
    <w:rsid w:val="6E633B4F"/>
    <w:rsid w:val="6FB502F8"/>
    <w:rsid w:val="71D27A57"/>
    <w:rsid w:val="72734D90"/>
    <w:rsid w:val="769B4839"/>
    <w:rsid w:val="76C25776"/>
    <w:rsid w:val="77B55D7E"/>
    <w:rsid w:val="78CB58F9"/>
    <w:rsid w:val="78E87F4E"/>
    <w:rsid w:val="79306B95"/>
    <w:rsid w:val="799B1046"/>
    <w:rsid w:val="7A6969ED"/>
    <w:rsid w:val="7AB71011"/>
    <w:rsid w:val="7ABF427F"/>
    <w:rsid w:val="7D3E4C1B"/>
    <w:rsid w:val="7E1F67A2"/>
    <w:rsid w:val="7E4321D4"/>
    <w:rsid w:val="7FDD5EE9"/>
    <w:rsid w:val="DCBD1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semiHidden/>
    <w:qFormat/>
    <w:uiPriority w:val="99"/>
    <w:pPr>
      <w:tabs>
        <w:tab w:val="right" w:leader="dot" w:pos="8296"/>
      </w:tabs>
      <w:adjustRightInd w:val="0"/>
      <w:snapToGrid w:val="0"/>
      <w:spacing w:line="380" w:lineRule="exact"/>
      <w:jc w:val="left"/>
    </w:pPr>
    <w:rPr>
      <w:rFonts w:ascii="黑体" w:hAnsi="黑体" w:eastAsia="黑体" w:cs="黑体"/>
      <w:sz w:val="24"/>
      <w:szCs w:val="24"/>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标题 1 Char"/>
    <w:basedOn w:val="13"/>
    <w:link w:val="2"/>
    <w:qFormat/>
    <w:locked/>
    <w:uiPriority w:val="99"/>
    <w:rPr>
      <w:rFonts w:ascii="Times New Roman" w:hAnsi="Times New Roman" w:cs="Times New Roman"/>
      <w:b/>
      <w:bCs/>
      <w:kern w:val="44"/>
      <w:sz w:val="44"/>
      <w:szCs w:val="44"/>
    </w:rPr>
  </w:style>
  <w:style w:type="character" w:customStyle="1" w:styleId="18">
    <w:name w:val="标题 2 Char"/>
    <w:basedOn w:val="13"/>
    <w:link w:val="3"/>
    <w:qFormat/>
    <w:locked/>
    <w:uiPriority w:val="99"/>
    <w:rPr>
      <w:rFonts w:ascii="Cambria" w:hAnsi="Cambria" w:eastAsia="宋体" w:cs="Cambria"/>
      <w:b/>
      <w:bCs/>
      <w:kern w:val="2"/>
      <w:sz w:val="32"/>
      <w:szCs w:val="32"/>
    </w:rPr>
  </w:style>
  <w:style w:type="character" w:customStyle="1" w:styleId="19">
    <w:name w:val="标题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批注框文本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列出段落1"/>
    <w:basedOn w:val="1"/>
    <w:qFormat/>
    <w:uiPriority w:val="0"/>
    <w:pPr>
      <w:ind w:firstLine="420" w:firstLineChars="200"/>
    </w:pPr>
  </w:style>
  <w:style w:type="paragraph" w:customStyle="1" w:styleId="3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3547</Words>
  <Characters>20221</Characters>
  <Lines>168</Lines>
  <Paragraphs>47</Paragraphs>
  <TotalTime>7</TotalTime>
  <ScaleCrop>false</ScaleCrop>
  <LinksUpToDate>false</LinksUpToDate>
  <CharactersWithSpaces>23721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2020-09-24T10:00:00Z</dcterms:created>
  <dc:creator>曹颖</dc:creator>
  <cp:lastModifiedBy>lenovo</cp:lastModifiedBy>
  <cp:lastPrinted>2021-05-21T21:39:00Z</cp:lastPrinted>
  <dcterms:modified xsi:type="dcterms:W3CDTF">2021-05-31T06:45:50Z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EA410B031CC54280B9B9542B1A0B50A9</vt:lpwstr>
  </property>
</Properties>
</file>