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b/>
          <w:sz w:val="44"/>
          <w:szCs w:val="44"/>
        </w:rPr>
      </w:pPr>
      <w:bookmarkStart w:id="1" w:name="_GoBack"/>
      <w:bookmarkEnd w:id="1"/>
      <w:bookmarkStart w:id="0" w:name="_Toc444792090"/>
      <w:r>
        <w:rPr>
          <w:rFonts w:hint="eastAsia" w:ascii="仿宋" w:hAnsi="仿宋" w:eastAsia="仿宋"/>
          <w:b/>
          <w:sz w:val="44"/>
          <w:szCs w:val="44"/>
        </w:rPr>
        <w:t>广元广播电视大学</w:t>
      </w:r>
    </w:p>
    <w:p>
      <w:pPr>
        <w:spacing w:line="580" w:lineRule="exact"/>
        <w:jc w:val="center"/>
        <w:rPr>
          <w:rFonts w:ascii="仿宋" w:hAnsi="仿宋" w:eastAsia="仿宋"/>
          <w:b/>
          <w:sz w:val="44"/>
          <w:szCs w:val="44"/>
        </w:rPr>
      </w:pPr>
      <w:r>
        <w:rPr>
          <w:rFonts w:hint="eastAsia" w:ascii="仿宋" w:hAnsi="仿宋" w:eastAsia="仿宋"/>
          <w:b/>
          <w:sz w:val="44"/>
          <w:szCs w:val="44"/>
        </w:rPr>
        <w:t>2017年部门决算编制说明</w:t>
      </w:r>
    </w:p>
    <w:p>
      <w:pPr>
        <w:spacing w:line="580" w:lineRule="exact"/>
        <w:jc w:val="center"/>
        <w:rPr>
          <w:rFonts w:ascii="方正小标宋简体" w:hAnsi="宋体" w:eastAsia="方正小标宋简体"/>
          <w:b/>
          <w:sz w:val="44"/>
          <w:szCs w:val="44"/>
        </w:rPr>
      </w:pP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一、基本职能及主要工作</w:t>
      </w:r>
    </w:p>
    <w:p>
      <w:pPr>
        <w:pStyle w:val="2"/>
        <w:adjustRightInd w:val="0"/>
        <w:snapToGrid w:val="0"/>
        <w:spacing w:beforeLines="0" w:line="580" w:lineRule="exact"/>
        <w:ind w:firstLine="482" w:firstLineChars="150"/>
        <w:rPr>
          <w:rFonts w:ascii="仿宋" w:hAnsi="仿宋" w:eastAsia="仿宋"/>
          <w:b/>
          <w:bCs/>
          <w:sz w:val="32"/>
          <w:szCs w:val="32"/>
        </w:rPr>
      </w:pPr>
      <w:r>
        <w:rPr>
          <w:rFonts w:hint="eastAsia" w:ascii="仿宋" w:hAnsi="仿宋" w:eastAsia="仿宋"/>
          <w:b/>
          <w:sz w:val="32"/>
          <w:szCs w:val="32"/>
        </w:rPr>
        <w:t>（一）主要职能</w:t>
      </w:r>
    </w:p>
    <w:p>
      <w:pPr>
        <w:spacing w:line="580" w:lineRule="exact"/>
        <w:ind w:firstLine="627" w:firstLineChars="196"/>
        <w:rPr>
          <w:rFonts w:ascii="仿宋" w:hAnsi="仿宋" w:eastAsia="仿宋"/>
          <w:sz w:val="32"/>
          <w:szCs w:val="32"/>
        </w:rPr>
      </w:pPr>
      <w:r>
        <w:rPr>
          <w:rFonts w:hint="eastAsia" w:ascii="仿宋" w:hAnsi="仿宋" w:eastAsia="仿宋"/>
          <w:sz w:val="32"/>
          <w:szCs w:val="32"/>
        </w:rPr>
        <w:t>广元广播电视大学是国家开放大学（原中央广播电视大学）系统办学机构,是经市人民政府批准、四川广播电视大学同意，我市设立最早，规模最大的成人高等教育机构。从1985年建立至今，累计毕业40余个专业，本、专科学生近4万人。主要职责是：开展成人高等学历教育，负责全市干部网络教育培训，负责搭建覆盖社区居民终生学习教育公共服务平台和教育服务，开展市场化线下各类培训。</w:t>
      </w:r>
    </w:p>
    <w:p>
      <w:pPr>
        <w:autoSpaceDE w:val="0"/>
        <w:autoSpaceDN w:val="0"/>
        <w:adjustRightInd w:val="0"/>
        <w:spacing w:line="580" w:lineRule="exact"/>
        <w:ind w:firstLine="482" w:firstLineChars="150"/>
        <w:rPr>
          <w:rFonts w:ascii="仿宋" w:hAnsi="仿宋" w:eastAsia="仿宋"/>
          <w:b/>
          <w:sz w:val="32"/>
          <w:szCs w:val="32"/>
        </w:rPr>
      </w:pPr>
      <w:r>
        <w:rPr>
          <w:rFonts w:hint="eastAsia" w:ascii="仿宋" w:hAnsi="仿宋" w:eastAsia="仿宋"/>
          <w:b/>
          <w:sz w:val="32"/>
          <w:szCs w:val="32"/>
        </w:rPr>
        <w:t>（二）2017年重点工作完成情况</w:t>
      </w:r>
      <w:bookmarkEnd w:id="0"/>
    </w:p>
    <w:p>
      <w:pPr>
        <w:adjustRightInd w:val="0"/>
        <w:snapToGrid w:val="0"/>
        <w:spacing w:line="576" w:lineRule="exact"/>
        <w:ind w:firstLine="640" w:firstLineChars="200"/>
        <w:rPr>
          <w:rFonts w:ascii="仿宋" w:hAnsi="仿宋" w:eastAsia="仿宋"/>
          <w:kern w:val="0"/>
          <w:sz w:val="32"/>
          <w:szCs w:val="32"/>
        </w:rPr>
      </w:pPr>
      <w:r>
        <w:rPr>
          <w:rFonts w:ascii="仿宋" w:hAnsi="仿宋" w:eastAsia="仿宋"/>
          <w:kern w:val="0"/>
          <w:sz w:val="32"/>
          <w:szCs w:val="32"/>
        </w:rPr>
        <w:t>2017年，我校在市委、市政府和教育主管部门的领导下，在省电大的指导下，坚持以习近平新时代中国特色社会主义思想为指导，认真学习贯彻党的十九大、省委、市委党代会和历次全会精神。按照市委、市政府工作部署,对标市教育局和</w:t>
      </w:r>
      <w:r>
        <w:rPr>
          <w:rFonts w:ascii="仿宋" w:hAnsi="仿宋" w:eastAsia="仿宋"/>
          <w:color w:val="000000"/>
          <w:kern w:val="0"/>
          <w:sz w:val="32"/>
          <w:szCs w:val="32"/>
        </w:rPr>
        <w:t>省电大目标管理体系和工作要求</w:t>
      </w:r>
      <w:r>
        <w:rPr>
          <w:rFonts w:ascii="仿宋" w:hAnsi="仿宋" w:eastAsia="仿宋"/>
          <w:kern w:val="0"/>
          <w:sz w:val="32"/>
          <w:szCs w:val="32"/>
        </w:rPr>
        <w:t>，围绕学校“一二三三四”办学定位和发展目标，求真务实，开拓创新，各项事业取得长足发展，转型发展迈出坚实步伐。学校先后被省人社厅考核命名为“全省专技人员继续教育优秀基地”、被中成协评审命名为“中国成人优秀继续教育院校”；荣获省电大年度综合目标考核“一等奖”、“特别奖”，多项工作成为全省经验或先进；系统5个分校（工作站）有3个被省电大表扬为先进县级电大。现</w:t>
      </w:r>
      <w:r>
        <w:rPr>
          <w:rFonts w:hint="eastAsia" w:ascii="仿宋" w:hAnsi="仿宋" w:eastAsia="仿宋"/>
          <w:kern w:val="0"/>
          <w:sz w:val="32"/>
          <w:szCs w:val="32"/>
        </w:rPr>
        <w:t>将</w:t>
      </w:r>
      <w:r>
        <w:rPr>
          <w:rFonts w:ascii="仿宋" w:hAnsi="仿宋" w:eastAsia="仿宋"/>
          <w:kern w:val="0"/>
          <w:sz w:val="32"/>
          <w:szCs w:val="32"/>
        </w:rPr>
        <w:t>一年来学校主要工作总结如下：</w:t>
      </w:r>
    </w:p>
    <w:p>
      <w:pPr>
        <w:adjustRightInd w:val="0"/>
        <w:snapToGrid w:val="0"/>
        <w:spacing w:line="576" w:lineRule="exact"/>
        <w:ind w:firstLine="643" w:firstLineChars="200"/>
        <w:rPr>
          <w:rFonts w:ascii="仿宋" w:hAnsi="仿宋" w:eastAsia="仿宋"/>
          <w:b/>
          <w:color w:val="000000"/>
          <w:kern w:val="0"/>
          <w:sz w:val="32"/>
          <w:szCs w:val="32"/>
        </w:rPr>
      </w:pPr>
      <w:r>
        <w:rPr>
          <w:rFonts w:hint="eastAsia" w:ascii="仿宋" w:hAnsi="仿宋" w:eastAsia="仿宋"/>
          <w:b/>
          <w:color w:val="000000"/>
          <w:kern w:val="0"/>
          <w:sz w:val="32"/>
          <w:szCs w:val="32"/>
        </w:rPr>
        <w:t>一、牢固树立“抓好党建就是最大政绩”的工作理念，党建各项工作取得新进展</w:t>
      </w:r>
    </w:p>
    <w:p>
      <w:pPr>
        <w:adjustRightInd w:val="0"/>
        <w:snapToGrid w:val="0"/>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（一）以习近平新时代中国特色社会主义思想和党的十九大精神学习为统领，切实加强领导班子自身建设。</w:t>
      </w:r>
    </w:p>
    <w:p>
      <w:pPr>
        <w:adjustRightInd w:val="0"/>
        <w:snapToGrid w:val="0"/>
        <w:spacing w:line="576" w:lineRule="exact"/>
        <w:ind w:firstLine="643" w:firstLineChars="200"/>
        <w:rPr>
          <w:rFonts w:ascii="仿宋" w:hAnsi="仿宋" w:eastAsia="仿宋"/>
          <w:sz w:val="32"/>
          <w:szCs w:val="32"/>
        </w:rPr>
      </w:pPr>
      <w:r>
        <w:rPr>
          <w:rFonts w:ascii="仿宋" w:hAnsi="仿宋" w:eastAsia="仿宋"/>
          <w:b/>
          <w:color w:val="000000"/>
          <w:kern w:val="0"/>
          <w:sz w:val="32"/>
          <w:szCs w:val="32"/>
        </w:rPr>
        <w:t>一是强化理论学习，坚持用最新理论成果武装头脑。</w:t>
      </w:r>
      <w:r>
        <w:rPr>
          <w:rFonts w:ascii="仿宋" w:hAnsi="仿宋" w:eastAsia="仿宋"/>
          <w:color w:val="000000"/>
          <w:kern w:val="0"/>
          <w:sz w:val="32"/>
          <w:szCs w:val="32"/>
        </w:rPr>
        <w:t>学校始终坚持把政治建设放在首位，坚持用习近平新时代中国特色社会主义思想和党的十九大精神武装头脑，不断增强“四个意识”，提高政治站位，提升指导推动各项工作的能力水平。</w:t>
      </w:r>
      <w:r>
        <w:rPr>
          <w:rFonts w:ascii="仿宋" w:hAnsi="仿宋" w:eastAsia="仿宋"/>
          <w:sz w:val="32"/>
          <w:szCs w:val="32"/>
        </w:rPr>
        <w:t>今年以来，学校理论学习中心组集中学习十九大精神、习近平总书记系列重要讲话和党规党纪10次，省委第十一次党代会和十一届二次全会精神3次，市委七届二次、六次全会3次；举办党的十九大精神集中宣讲学习3次，省第十一次党代会精神宣讲报告会1次，市委“三个一、三个三”发展战略解读专题辅导报告1次；</w:t>
      </w:r>
      <w:r>
        <w:rPr>
          <w:rFonts w:ascii="仿宋" w:hAnsi="仿宋" w:eastAsia="仿宋"/>
          <w:color w:val="000000"/>
          <w:sz w:val="32"/>
          <w:szCs w:val="32"/>
        </w:rPr>
        <w:t>观看警示教育片2次；</w:t>
      </w:r>
      <w:r>
        <w:rPr>
          <w:rFonts w:ascii="仿宋" w:hAnsi="仿宋" w:eastAsia="仿宋"/>
          <w:sz w:val="32"/>
          <w:szCs w:val="32"/>
        </w:rPr>
        <w:t>专题讲党课4次。做学习笔记人均近万字，人均撰写心得体会1-2篇。</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二是严格制度机制，严肃党内政治生活。</w:t>
      </w:r>
      <w:r>
        <w:rPr>
          <w:rFonts w:ascii="仿宋" w:hAnsi="仿宋" w:eastAsia="仿宋"/>
          <w:color w:val="000000"/>
          <w:kern w:val="0"/>
          <w:sz w:val="32"/>
          <w:szCs w:val="32"/>
        </w:rPr>
        <w:t>认真执行《党委议事规则》，坚持“三重一大”集体讨论决定，严格执行民主集中制；严格权力运行“三同”机制，注重党务政务公开，接受多方监督，确保“权利在阳光下运行”；严肃党内政治生活，全面落实“三会一课”和“领导干部双重组织生活”制度。</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三是着力问题整改，强化担当作为。</w:t>
      </w:r>
      <w:r>
        <w:rPr>
          <w:rFonts w:ascii="仿宋" w:hAnsi="仿宋" w:eastAsia="仿宋"/>
          <w:color w:val="000000"/>
          <w:kern w:val="0"/>
          <w:sz w:val="32"/>
          <w:szCs w:val="32"/>
        </w:rPr>
        <w:t>始终坚持问题导向，以“三项整改”回头看、巡察整改“回头看”和“三大行动”为抓手，全面梳理问题，列单建账；落实问题认领，细化整改措施，责任到人，即知即改；领导干部率先垂范，强化责任担当。</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四是抓实“两个责任”，严格落实“一岗双责”。</w:t>
      </w:r>
      <w:r>
        <w:rPr>
          <w:rFonts w:ascii="仿宋" w:hAnsi="仿宋" w:eastAsia="仿宋"/>
          <w:color w:val="000000"/>
          <w:kern w:val="0"/>
          <w:sz w:val="32"/>
          <w:szCs w:val="32"/>
        </w:rPr>
        <w:t>全面建立“管党治党、</w:t>
      </w:r>
      <w:r>
        <w:rPr>
          <w:rFonts w:hint="eastAsia" w:ascii="仿宋" w:hAnsi="仿宋" w:eastAsia="仿宋"/>
          <w:color w:val="000000"/>
          <w:kern w:val="0"/>
          <w:sz w:val="32"/>
          <w:szCs w:val="32"/>
          <w:lang w:eastAsia="zh-CN"/>
        </w:rPr>
        <w:t>全面从严治党</w:t>
      </w:r>
      <w:r>
        <w:rPr>
          <w:rFonts w:ascii="仿宋" w:hAnsi="仿宋" w:eastAsia="仿宋"/>
          <w:color w:val="000000"/>
          <w:kern w:val="0"/>
          <w:sz w:val="32"/>
          <w:szCs w:val="32"/>
        </w:rPr>
        <w:t>”理念，全面建立“一肩扛党建责任，一肩扛工作业务责任”观念，既要抓业务推动，更要抓担当引领。班子成员全面落实党风廉政建设“一岗双责”，做到既管事，又管人，作风建设成效明显。</w:t>
      </w:r>
    </w:p>
    <w:p>
      <w:pPr>
        <w:adjustRightInd w:val="0"/>
        <w:snapToGrid w:val="0"/>
        <w:spacing w:line="576"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一年来，班子和成员在学校发展中发挥了核心作用；在作风建设、教学科研等工作中发挥了带头作用。</w:t>
      </w:r>
    </w:p>
    <w:p>
      <w:pPr>
        <w:adjustRightInd w:val="0"/>
        <w:snapToGrid w:val="0"/>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（二）以推进“两学一做”学习教育常态化制度化和开展“三大行动”为抓手，切实加强支部和党员队伍建设。</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一是以“学”为基础，全面加强思想建设。</w:t>
      </w:r>
      <w:r>
        <w:rPr>
          <w:rFonts w:ascii="仿宋" w:hAnsi="仿宋" w:eastAsia="仿宋"/>
          <w:color w:val="000000"/>
          <w:kern w:val="0"/>
          <w:sz w:val="32"/>
          <w:szCs w:val="32"/>
        </w:rPr>
        <w:t>以支部为重点，以全体党员为主体，立足于学，推进思想建设。各支部、全体党员充分利用“三会一课”、警示教育、集中专题学习、自主学习等形式，大力开展纪律规矩教育、师德师风教育、                                                                             “砥砺奋进的五年”主题教育，组织党员干部对</w:t>
      </w:r>
      <w:r>
        <w:rPr>
          <w:rFonts w:hint="eastAsia" w:ascii="仿宋" w:hAnsi="仿宋" w:eastAsia="仿宋"/>
          <w:color w:val="000000"/>
          <w:kern w:val="0"/>
          <w:sz w:val="32"/>
          <w:szCs w:val="32"/>
          <w:lang w:eastAsia="zh-CN"/>
        </w:rPr>
        <w:t>《中国共产党章程》</w:t>
      </w:r>
      <w:r>
        <w:rPr>
          <w:rFonts w:ascii="仿宋" w:hAnsi="仿宋" w:eastAsia="仿宋"/>
          <w:color w:val="000000"/>
          <w:kern w:val="0"/>
          <w:sz w:val="32"/>
          <w:szCs w:val="32"/>
        </w:rPr>
        <w:t>《党规》及习近平总书记系列重要讲话精神、十九大报告、省委、市委党代会和历次全会的学习。支部书记、支部成员带头讲党课、谈认识，全体党员写心得、谈体会。</w:t>
      </w:r>
      <w:r>
        <w:rPr>
          <w:rFonts w:ascii="仿宋" w:hAnsi="仿宋" w:eastAsia="仿宋"/>
          <w:sz w:val="32"/>
          <w:szCs w:val="32"/>
        </w:rPr>
        <w:t>党员做学习笔记人均5千字以上，人均撰写心得体会1-2篇。</w:t>
      </w:r>
      <w:r>
        <w:rPr>
          <w:rFonts w:ascii="仿宋" w:hAnsi="仿宋" w:eastAsia="仿宋"/>
          <w:color w:val="000000"/>
          <w:kern w:val="0"/>
          <w:sz w:val="32"/>
          <w:szCs w:val="32"/>
        </w:rPr>
        <w:t>通过学习，全体党员干部理想信念进一步坚定，思想政治觉悟进一步增强。</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二是以活动为载体，以“做”为落脚点，推动支部和党员作用发挥。</w:t>
      </w:r>
      <w:r>
        <w:rPr>
          <w:rFonts w:ascii="仿宋" w:hAnsi="仿宋" w:eastAsia="仿宋"/>
          <w:color w:val="000000"/>
          <w:kern w:val="0"/>
          <w:sz w:val="32"/>
          <w:szCs w:val="32"/>
        </w:rPr>
        <w:t>各支部结合教育教学和岗位特点认真开展“合格党员”标准大讨论，开展“六不”问题专项整治，开展“迎接十九大、做合格党员、当干事先锋”、“重温入党誓词”、“立足岗位做贡献” 、“党员示范团队”、“党员示范岗”、“党员名师工作室”等主题实践活动。在“七一”建党节，开展表彰优秀党员、优秀党务工作者、优秀支部活动。全年共组织党员志愿者服务活动6次，开展主题党日活动8次，帮扶校内外困难党员、困难职工、困难群众40余户。通过一系列活动的开展，党员干部 “比质量、比效率、比干劲”的良好作风逐渐形成，支部战斗堡垒作用得以充分发挥。</w:t>
      </w:r>
    </w:p>
    <w:p>
      <w:pPr>
        <w:adjustRightInd w:val="0"/>
        <w:snapToGrid w:val="0"/>
        <w:spacing w:line="576" w:lineRule="exact"/>
        <w:ind w:firstLine="803" w:firstLineChars="250"/>
        <w:rPr>
          <w:rFonts w:ascii="仿宋" w:hAnsi="仿宋" w:eastAsia="仿宋"/>
          <w:color w:val="000000"/>
          <w:kern w:val="0"/>
          <w:sz w:val="32"/>
          <w:szCs w:val="32"/>
        </w:rPr>
      </w:pPr>
      <w:r>
        <w:rPr>
          <w:rFonts w:ascii="仿宋" w:hAnsi="仿宋" w:eastAsia="仿宋"/>
          <w:b/>
          <w:color w:val="000000"/>
          <w:kern w:val="0"/>
          <w:sz w:val="32"/>
          <w:szCs w:val="32"/>
        </w:rPr>
        <w:t>三是按照市委要求，以开展“三大行动”为抓手，持续治理“庸懒散浮拖”。</w:t>
      </w:r>
      <w:r>
        <w:rPr>
          <w:rFonts w:ascii="仿宋" w:hAnsi="仿宋" w:eastAsia="仿宋"/>
          <w:color w:val="000000"/>
          <w:kern w:val="0"/>
          <w:sz w:val="32"/>
          <w:szCs w:val="32"/>
        </w:rPr>
        <w:t>通过把“三大行动”纳入支部“三会一课”、“组织生活会”、“教职工会”、民主评议等，进一步激发党员干部、教职工“撸起袖子加油干”的实干精神，学校形成了干事创业良好风气。</w:t>
      </w:r>
    </w:p>
    <w:p>
      <w:pPr>
        <w:adjustRightInd w:val="0"/>
        <w:snapToGrid w:val="0"/>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（三）坚持党管干部原则和“从严从实”要求，加强学校中层干部队伍建设。</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一是注重干部选用。</w:t>
      </w:r>
      <w:r>
        <w:rPr>
          <w:rFonts w:ascii="仿宋" w:hAnsi="仿宋" w:eastAsia="仿宋"/>
          <w:color w:val="000000"/>
          <w:kern w:val="0"/>
          <w:sz w:val="32"/>
          <w:szCs w:val="32"/>
        </w:rPr>
        <w:t>严格按照《干部选拔任用工作条例》及有关文件精神，坚持正确用人导向，把想干事，能干事，能干成事的同志选拔到管理岗位上来，同时注重创造条件，鼓励支持建工立业。</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二是转作风，提效能。</w:t>
      </w:r>
      <w:r>
        <w:rPr>
          <w:rFonts w:ascii="仿宋" w:hAnsi="仿宋" w:eastAsia="仿宋"/>
          <w:color w:val="000000"/>
          <w:kern w:val="0"/>
          <w:sz w:val="32"/>
          <w:szCs w:val="32"/>
        </w:rPr>
        <w:t>以“三大行动”为契机，持续用力“庸懒散浮拖”专项治理，各处室结合主体业务，作出“马上办”“限时办”“认真办”承诺。学校党政办确立专人担任“三办”督查员，按月督查通报，强化作风转变，提升办事效能。</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三是强化培养、培训。</w:t>
      </w:r>
      <w:r>
        <w:rPr>
          <w:rFonts w:ascii="仿宋" w:hAnsi="仿宋" w:eastAsia="仿宋"/>
          <w:color w:val="000000"/>
          <w:kern w:val="0"/>
          <w:sz w:val="32"/>
          <w:szCs w:val="32"/>
        </w:rPr>
        <w:t>高度重视干部培养和提能培训工作。遴选推荐年轻干部俞晶奎同志担任驻村第一书记，努力培养、提升其综合素质和管理能力；选派干部和有发展潜质的教师参加党校、省电大、各高校培训平台各类干部培训20余人次，注重干部整体提能和后备干部培养。</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四是重视干部档案。</w:t>
      </w:r>
      <w:r>
        <w:rPr>
          <w:rFonts w:ascii="仿宋" w:hAnsi="仿宋" w:eastAsia="仿宋"/>
          <w:color w:val="000000"/>
          <w:kern w:val="0"/>
          <w:sz w:val="32"/>
          <w:szCs w:val="32"/>
        </w:rPr>
        <w:t>开展干部人事档案“回头看”，对中层以上干部人事档案进行了全面清理整改，并形成专项报告，报市委组织部。</w:t>
      </w:r>
    </w:p>
    <w:p>
      <w:pPr>
        <w:adjustRightInd w:val="0"/>
        <w:snapToGrid w:val="0"/>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（四）坚持从严管党治党原则，党风廉政建设工作进一步落实。</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一是抓实教育学习，从思想上增强领导班子、党员干部拒腐防变的意识和能力。</w:t>
      </w:r>
      <w:r>
        <w:rPr>
          <w:rFonts w:ascii="仿宋" w:hAnsi="仿宋" w:eastAsia="仿宋"/>
          <w:color w:val="000000"/>
          <w:kern w:val="0"/>
          <w:sz w:val="32"/>
          <w:szCs w:val="32"/>
        </w:rPr>
        <w:t>全年组织领导班子成员、中心组成员及党员干部专题学习《廉洁自律准则》《中国共产党纪律处分条例》《党内政治生活若干准则》《中国共产党党内监督条例》，及习近平总书记有关“</w:t>
      </w:r>
      <w:r>
        <w:rPr>
          <w:rFonts w:hint="eastAsia" w:ascii="仿宋" w:hAnsi="仿宋" w:eastAsia="仿宋"/>
          <w:color w:val="000000"/>
          <w:kern w:val="0"/>
          <w:sz w:val="32"/>
          <w:szCs w:val="32"/>
          <w:lang w:eastAsia="zh-CN"/>
        </w:rPr>
        <w:t>全面从严治党</w:t>
      </w:r>
      <w:r>
        <w:rPr>
          <w:rFonts w:ascii="仿宋" w:hAnsi="仿宋" w:eastAsia="仿宋"/>
          <w:color w:val="000000"/>
          <w:kern w:val="0"/>
          <w:sz w:val="32"/>
          <w:szCs w:val="32"/>
        </w:rPr>
        <w:t>”重要论述10余次。召开党风廉政建设专题会议2次。观看警示教育片、参观警示教育基地2次。通过深入学习教育，全体党员干部拒腐防变、廉洁自律意识得到进一步增强。</w:t>
      </w:r>
    </w:p>
    <w:p>
      <w:pPr>
        <w:adjustRightInd w:val="0"/>
        <w:snapToGrid w:val="0"/>
        <w:spacing w:line="576" w:lineRule="exact"/>
        <w:ind w:firstLine="643" w:firstLineChars="200"/>
        <w:rPr>
          <w:rFonts w:ascii="仿宋" w:hAnsi="仿宋" w:eastAsia="仿宋"/>
          <w:sz w:val="32"/>
          <w:szCs w:val="32"/>
        </w:rPr>
      </w:pPr>
      <w:r>
        <w:rPr>
          <w:rFonts w:ascii="仿宋" w:hAnsi="仿宋" w:eastAsia="仿宋"/>
          <w:b/>
          <w:sz w:val="32"/>
          <w:szCs w:val="32"/>
        </w:rPr>
        <w:t>二是完善制度机制</w:t>
      </w:r>
      <w:r>
        <w:rPr>
          <w:rFonts w:ascii="仿宋" w:hAnsi="仿宋" w:eastAsia="仿宋"/>
          <w:color w:val="000000"/>
          <w:kern w:val="0"/>
          <w:sz w:val="32"/>
          <w:szCs w:val="32"/>
        </w:rPr>
        <w:t>，</w:t>
      </w:r>
      <w:r>
        <w:rPr>
          <w:rFonts w:ascii="仿宋" w:hAnsi="仿宋" w:eastAsia="仿宋"/>
          <w:b/>
          <w:color w:val="000000"/>
          <w:kern w:val="0"/>
          <w:sz w:val="32"/>
          <w:szCs w:val="32"/>
        </w:rPr>
        <w:t>从制度上推进党风廉政建设工作不断深入。</w:t>
      </w:r>
      <w:r>
        <w:rPr>
          <w:rFonts w:ascii="仿宋" w:hAnsi="仿宋" w:eastAsia="仿宋"/>
          <w:sz w:val="32"/>
          <w:szCs w:val="32"/>
        </w:rPr>
        <w:t>根据巡察反馈问题，结合市纪委、市教育局纪检组的安排部署，协同校党委</w:t>
      </w:r>
      <w:r>
        <w:rPr>
          <w:rFonts w:ascii="仿宋" w:hAnsi="仿宋" w:eastAsia="仿宋"/>
          <w:color w:val="000000"/>
          <w:sz w:val="32"/>
          <w:szCs w:val="32"/>
        </w:rPr>
        <w:t>重点修订（新建）了《党委议事规则》《支部活动经费申报审批报销程序规则》《专项维修管理办法》《20万元以下工程项目建设流程图》等制度规章。根据工作实际开展情况，</w:t>
      </w:r>
      <w:r>
        <w:rPr>
          <w:rFonts w:ascii="仿宋" w:hAnsi="仿宋" w:eastAsia="仿宋"/>
          <w:sz w:val="32"/>
          <w:szCs w:val="32"/>
        </w:rPr>
        <w:t>进一步完善规范了“三重一大”议事规则，以及党委中心组学习会、党风廉政建设专题会、党性分析会等会议制度。建立“三办”工作机制，各处室、重点岗位公开承诺“三办”事项。</w:t>
      </w:r>
    </w:p>
    <w:p>
      <w:pPr>
        <w:adjustRightInd w:val="0"/>
        <w:snapToGrid w:val="0"/>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三是以上率下，党风廉政建设、作风建设不断取得实效。</w:t>
      </w:r>
      <w:r>
        <w:rPr>
          <w:rFonts w:ascii="仿宋" w:hAnsi="仿宋" w:eastAsia="仿宋"/>
          <w:color w:val="000000"/>
          <w:kern w:val="0"/>
          <w:sz w:val="32"/>
          <w:szCs w:val="32"/>
        </w:rPr>
        <w:t>班子成员按要求报告个人事项，带头签订《不违规收送红包礼金承诺书》，党员、中层干部也全面落实报告制度。全体党员干部政治立场坚定、政治纪律、政治规矩意识进一步增强。学校风清气正，政令畅通。干部作风、教职工作风明显转变。全年没有违纪违规事件发生。</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四是坚持预防为主，着力抓早抓小，常态化开展谈心谈话，深化“三早”预警。</w:t>
      </w:r>
      <w:r>
        <w:rPr>
          <w:rFonts w:ascii="仿宋" w:hAnsi="仿宋" w:eastAsia="仿宋"/>
          <w:color w:val="000000"/>
          <w:sz w:val="32"/>
          <w:szCs w:val="32"/>
        </w:rPr>
        <w:t>校党委班子成员严格履行党风廉政建设“一岗双责”，认真落实管人管事相结合机制，坚持对苗头性、倾向性问题早发现、早提醒、早纠正原则，把问题杜绝在萌芽状态。一年来，党委班子成员对中层干部开展提醒诫勉累计20人次，</w:t>
      </w:r>
      <w:r>
        <w:rPr>
          <w:rFonts w:ascii="仿宋" w:hAnsi="仿宋" w:eastAsia="仿宋"/>
          <w:kern w:val="0"/>
          <w:sz w:val="32"/>
          <w:szCs w:val="32"/>
        </w:rPr>
        <w:t>党委书记集体谈心谈话2次48人次，党委书记、纪委书记个别警示谈话8人次。</w:t>
      </w:r>
    </w:p>
    <w:p>
      <w:pPr>
        <w:spacing w:line="576" w:lineRule="exact"/>
        <w:ind w:firstLine="643" w:firstLineChars="200"/>
        <w:rPr>
          <w:rFonts w:ascii="仿宋" w:hAnsi="仿宋" w:eastAsia="仿宋"/>
          <w:color w:val="FF0000"/>
          <w:sz w:val="32"/>
          <w:szCs w:val="32"/>
        </w:rPr>
      </w:pPr>
      <w:r>
        <w:rPr>
          <w:rFonts w:ascii="仿宋" w:hAnsi="仿宋" w:eastAsia="仿宋"/>
          <w:b/>
          <w:sz w:val="32"/>
          <w:szCs w:val="32"/>
        </w:rPr>
        <w:t>五是抓实专项治理，着力作风转变，努力形成风清气正、干事创业政治生态。</w:t>
      </w:r>
      <w:r>
        <w:rPr>
          <w:rFonts w:ascii="仿宋" w:hAnsi="仿宋" w:eastAsia="仿宋"/>
          <w:sz w:val="32"/>
          <w:szCs w:val="32"/>
        </w:rPr>
        <w:t>以开展“三大行动”为抓手，以作风建设为主题，抓实“师德师风建设”、“根治庸懒散浮拖”、“巡察反馈问题整改”等专项治理，推进领导干部、教职工作风大转变。各处（室）、各支部竞相开展比贡献、晒业绩活动，形成“做示范，当先锋”良好氛围。</w:t>
      </w:r>
    </w:p>
    <w:p>
      <w:pPr>
        <w:spacing w:line="576" w:lineRule="exact"/>
        <w:ind w:firstLine="643" w:firstLineChars="200"/>
        <w:rPr>
          <w:rFonts w:ascii="仿宋" w:hAnsi="仿宋" w:eastAsia="仿宋"/>
          <w:sz w:val="32"/>
          <w:szCs w:val="32"/>
        </w:rPr>
      </w:pPr>
      <w:r>
        <w:rPr>
          <w:rFonts w:ascii="仿宋" w:hAnsi="仿宋" w:eastAsia="仿宋"/>
          <w:b/>
          <w:sz w:val="32"/>
          <w:szCs w:val="32"/>
        </w:rPr>
        <w:t>六是严守“八项规定”，坚持问题导向，驰而不息纠“四风”。</w:t>
      </w:r>
      <w:r>
        <w:rPr>
          <w:rFonts w:ascii="仿宋" w:hAnsi="仿宋" w:eastAsia="仿宋"/>
          <w:sz w:val="32"/>
          <w:szCs w:val="32"/>
        </w:rPr>
        <w:t>坚持运用 “群教活动”、“三严三实”、“两学一做”、“三大行动”等主题教育实践活动成果，持续着力“三项问题”整改回头看。特别是市委巡察反馈会议和市教育局党组﹝2017﹞19号《通知》下发后，校党委多次召开会议，对标自查，主动“认领”问题，并举一反三，全面梳理工作推进和制度机制两个层面存在的各种问题，列出问题清单，按党委分工明确整改牵头人，按职能职责落实整改责任处室和责任人，细化整改措施，限定整改时间，4月底学校就六项突出问题整改方案形成专项报告上报局党组。</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七是严格落实纪委监督执纪问责职能。</w:t>
      </w:r>
      <w:r>
        <w:rPr>
          <w:rFonts w:ascii="仿宋" w:hAnsi="仿宋" w:eastAsia="仿宋"/>
          <w:color w:val="000000"/>
          <w:sz w:val="32"/>
          <w:szCs w:val="32"/>
        </w:rPr>
        <w:t>校纪委坚持把作风建设摆在重要位置，加强对“关键少数”尤其是一把手、人事、财务后勤等重点岗位、以及根治“庸懒散浮拖”的专项监督检查。坚持</w:t>
      </w:r>
      <w:r>
        <w:rPr>
          <w:rFonts w:ascii="仿宋" w:hAnsi="仿宋" w:eastAsia="仿宋"/>
          <w:sz w:val="32"/>
          <w:szCs w:val="32"/>
        </w:rPr>
        <w:t>“警钟长鸣”，</w:t>
      </w:r>
      <w:r>
        <w:rPr>
          <w:rFonts w:ascii="仿宋" w:hAnsi="仿宋" w:eastAsia="仿宋"/>
          <w:color w:val="000000"/>
          <w:sz w:val="32"/>
          <w:szCs w:val="32"/>
        </w:rPr>
        <w:t>定期或不定期开展谈心谈话，加强防控廉政风险意识，以思想转变促进作风大转变。</w:t>
      </w:r>
    </w:p>
    <w:p>
      <w:pPr>
        <w:spacing w:line="576" w:lineRule="exact"/>
        <w:ind w:firstLine="643" w:firstLineChars="200"/>
        <w:rPr>
          <w:rFonts w:ascii="仿宋" w:hAnsi="仿宋" w:eastAsia="仿宋"/>
          <w:sz w:val="32"/>
          <w:szCs w:val="32"/>
        </w:rPr>
      </w:pPr>
      <w:r>
        <w:rPr>
          <w:rFonts w:ascii="仿宋" w:hAnsi="仿宋" w:eastAsia="仿宋"/>
          <w:b/>
          <w:sz w:val="32"/>
          <w:szCs w:val="32"/>
        </w:rPr>
        <w:t>八是狠抓宣传教育，强化舆论引导，大力营造崇廉尚实氛围。</w:t>
      </w:r>
      <w:r>
        <w:rPr>
          <w:rFonts w:ascii="仿宋" w:hAnsi="仿宋" w:eastAsia="仿宋"/>
          <w:sz w:val="32"/>
          <w:szCs w:val="32"/>
        </w:rPr>
        <w:t>充分利用党委中心组、专题民主生活会、支部“三会一课”，以及一月一次的教职工会和暑期的师德师风专题教育会，加强对党员干部、教职工的反腐倡廉教育。充分利用学校宣传橱窗、校园网站、LED显示屏、微信群等平台和媒介，及时宣传贯彻党的十九大精神、</w:t>
      </w:r>
      <w:r>
        <w:rPr>
          <w:rFonts w:hint="eastAsia" w:ascii="仿宋" w:hAnsi="仿宋" w:eastAsia="仿宋"/>
          <w:sz w:val="32"/>
          <w:szCs w:val="32"/>
          <w:lang w:eastAsia="zh-CN"/>
        </w:rPr>
        <w:t>习近平新时代中国特色社会主义思想</w:t>
      </w:r>
      <w:r>
        <w:rPr>
          <w:rFonts w:ascii="仿宋" w:hAnsi="仿宋" w:eastAsia="仿宋"/>
          <w:sz w:val="32"/>
          <w:szCs w:val="32"/>
        </w:rPr>
        <w:t>、省、市党代会和历次全会，以及“两学一做”学习教育动态和典型事迹，推进廉政文化建设。</w:t>
      </w:r>
    </w:p>
    <w:p>
      <w:pPr>
        <w:adjustRightInd w:val="0"/>
        <w:snapToGrid w:val="0"/>
        <w:spacing w:line="576"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二、以党建促发展，开放教育各项业务工作取得新成就</w:t>
      </w:r>
    </w:p>
    <w:p>
      <w:pPr>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（一）注重内涵发展，成人高等学历教育健康、平稳发展。</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一是突出基础，学历教育招生创历史新高。</w:t>
      </w:r>
      <w:r>
        <w:rPr>
          <w:rFonts w:ascii="仿宋" w:hAnsi="仿宋" w:eastAsia="仿宋"/>
          <w:color w:val="000000"/>
          <w:kern w:val="0"/>
          <w:sz w:val="32"/>
          <w:szCs w:val="32"/>
        </w:rPr>
        <w:t>全年省校下达我市开放教育招生任务1750人（市教育局下达开放教育招生任务1500人），实际招生2601人，超省上下达任务751人，超市上下达任务1101人。奥鹏学习中心网络教育招生计划全市500人，实际完成693人。我市以全省市州人口基数排位第十七的劣势取得招生总数排位第四的好成绩。</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二是细化实化教学各环节工作，教学质量取得新提升。</w:t>
      </w:r>
      <w:r>
        <w:rPr>
          <w:rFonts w:ascii="仿宋" w:hAnsi="仿宋" w:eastAsia="仿宋"/>
          <w:color w:val="000000"/>
          <w:kern w:val="0"/>
          <w:sz w:val="32"/>
          <w:szCs w:val="32"/>
        </w:rPr>
        <w:t>我市以省电大综合业务目标考核体系为指导，不断健全和完善制度，细化教学管理，建立全市系统目标考核体系，加强对市校、县区各分校业务工作的管理和指导。坚持面授辅导与网上教学相结合，努力提高教学质量和学生毕业通过率。严格按照省电大总体要求，安排45名面授辅导教师、61名网上辅导教师对83门课程进行面授辅导、461门课程进行网上辅导，毕业本、专科学生1760人。</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三是教务工作严谨细致，有序推进。</w:t>
      </w:r>
      <w:r>
        <w:rPr>
          <w:rFonts w:ascii="仿宋" w:hAnsi="仿宋" w:eastAsia="仿宋"/>
          <w:color w:val="000000"/>
          <w:sz w:val="32"/>
          <w:szCs w:val="32"/>
        </w:rPr>
        <w:t>学籍管理、毕业预审全面按国开要求规范进行；学分银行建设起步良好，在读学生激活率达60%以上。</w:t>
      </w:r>
    </w:p>
    <w:p>
      <w:pPr>
        <w:spacing w:line="576" w:lineRule="exact"/>
        <w:ind w:firstLine="643" w:firstLineChars="200"/>
        <w:rPr>
          <w:rFonts w:ascii="仿宋" w:hAnsi="仿宋" w:eastAsia="仿宋"/>
          <w:color w:val="000000"/>
          <w:sz w:val="32"/>
          <w:szCs w:val="32"/>
        </w:rPr>
      </w:pPr>
      <w:r>
        <w:rPr>
          <w:rFonts w:ascii="仿宋" w:hAnsi="仿宋" w:eastAsia="仿宋"/>
          <w:b/>
          <w:color w:val="000000"/>
          <w:kern w:val="0"/>
          <w:sz w:val="32"/>
          <w:szCs w:val="32"/>
        </w:rPr>
        <w:t>四是严肃考风考纪，精心组织各类考试。</w:t>
      </w:r>
      <w:r>
        <w:rPr>
          <w:rFonts w:ascii="仿宋" w:hAnsi="仿宋" w:eastAsia="仿宋"/>
          <w:color w:val="000000"/>
          <w:kern w:val="0"/>
          <w:sz w:val="32"/>
          <w:szCs w:val="32"/>
        </w:rPr>
        <w:t>严</w:t>
      </w:r>
      <w:r>
        <w:rPr>
          <w:rFonts w:ascii="仿宋" w:hAnsi="仿宋" w:eastAsia="仿宋"/>
          <w:color w:val="000000"/>
          <w:sz w:val="32"/>
          <w:szCs w:val="32"/>
        </w:rPr>
        <w:t>格遵循国开大、省电大有关考试规定，规范设置考点、布置考场，保管试卷。全年共组织网教统考、国家开放大学、四川电大联办高校各类全国性考试上百次万余人、6万余科次，其中开放教育9000余人、5万余科次，做到了安全有序无事故。</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五是建立健全制度，提升服务学生质量，学生各项工作取得新成绩。</w:t>
      </w:r>
      <w:r>
        <w:rPr>
          <w:rFonts w:ascii="仿宋" w:hAnsi="仿宋" w:eastAsia="仿宋"/>
          <w:color w:val="000000"/>
          <w:sz w:val="32"/>
          <w:szCs w:val="32"/>
        </w:rPr>
        <w:t>今年修订（新增）了《开放教育课管员工作明细》《对专升本学员实行助学金制度》《对建卡贫困户报读电大实行助学金制度》《教育教学检查工作机制》等各项制度；完善报名缴费、结算流程；大力组织开展各项学生技能竞赛活动，多项获得省校以上奖项；奖学金、助学金评审、发放公开透明、公平公正。进一步满足了学生学习各项需求，提升了开放教育服务质量。</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六是充分发挥成人高校学历教育职能，助力脱贫攻坚。</w:t>
      </w:r>
      <w:r>
        <w:rPr>
          <w:rFonts w:ascii="仿宋" w:hAnsi="仿宋" w:eastAsia="仿宋"/>
          <w:color w:val="000000"/>
          <w:sz w:val="32"/>
          <w:szCs w:val="32"/>
        </w:rPr>
        <w:t>为全省成人高校服务地方经济社会发展，服务</w:t>
      </w:r>
      <w:r>
        <w:rPr>
          <w:rFonts w:ascii="仿宋" w:hAnsi="仿宋" w:eastAsia="仿宋"/>
          <w:sz w:val="32"/>
          <w:szCs w:val="32"/>
        </w:rPr>
        <w:t>乡村振兴战略提高了探索</w:t>
      </w:r>
      <w:r>
        <w:rPr>
          <w:rFonts w:ascii="仿宋" w:hAnsi="仿宋" w:eastAsia="仿宋"/>
          <w:color w:val="000000"/>
          <w:sz w:val="32"/>
          <w:szCs w:val="32"/>
        </w:rPr>
        <w:t>和实践经验。按照《中共广元市委组织部关于做好村党组织带头人学历提升计划工作的通知》（广组通〔2017〕71号）要求，以“培养不走的第一书记，打造不走的工作队”为办学主张，实施“村党组带头人学历提升计划”，。首期推荐、选拔、招录学员317名（其中，苍溪县单招117名）。</w:t>
      </w:r>
    </w:p>
    <w:p>
      <w:pPr>
        <w:spacing w:line="576" w:lineRule="exact"/>
        <w:ind w:firstLine="643" w:firstLineChars="200"/>
        <w:rPr>
          <w:rFonts w:ascii="仿宋" w:hAnsi="仿宋" w:eastAsia="仿宋"/>
          <w:b/>
          <w:sz w:val="32"/>
          <w:szCs w:val="32"/>
        </w:rPr>
      </w:pPr>
      <w:r>
        <w:rPr>
          <w:rFonts w:ascii="仿宋" w:hAnsi="仿宋" w:eastAsia="仿宋"/>
          <w:b/>
          <w:color w:val="000000"/>
          <w:kern w:val="0"/>
          <w:sz w:val="32"/>
          <w:szCs w:val="32"/>
        </w:rPr>
        <w:t>（二）强化科研引领，</w:t>
      </w:r>
      <w:r>
        <w:rPr>
          <w:rFonts w:ascii="仿宋" w:hAnsi="仿宋" w:eastAsia="仿宋"/>
          <w:b/>
          <w:sz w:val="32"/>
          <w:szCs w:val="32"/>
        </w:rPr>
        <w:t>科研工作取得新成果，科研氛围进一步浓厚。</w:t>
      </w:r>
    </w:p>
    <w:p>
      <w:pPr>
        <w:spacing w:line="576"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学校始终把科研工作作为学校的重要职能，不断建立、完善科研奖励政策和制度，鼓励和支持开展教学科研工作。持续坚持为副高以上专技人员订阅相关专业前沿杂志，为具有研究生学历和双本科学历的教师发放学历津贴。定期举办科研成果展览、兑现科研成果奖励。这些政策和措施促进了教学、科研工作的开展。</w:t>
      </w:r>
    </w:p>
    <w:p>
      <w:pPr>
        <w:spacing w:line="576" w:lineRule="exact"/>
        <w:ind w:firstLine="640" w:firstLineChars="200"/>
        <w:rPr>
          <w:rFonts w:ascii="仿宋" w:hAnsi="仿宋" w:eastAsia="仿宋"/>
          <w:sz w:val="32"/>
          <w:szCs w:val="32"/>
        </w:rPr>
      </w:pPr>
      <w:r>
        <w:rPr>
          <w:rFonts w:ascii="仿宋" w:hAnsi="仿宋" w:eastAsia="仿宋"/>
          <w:color w:val="000000"/>
          <w:kern w:val="0"/>
          <w:sz w:val="32"/>
          <w:szCs w:val="32"/>
        </w:rPr>
        <w:t>今年，校本教师参与并</w:t>
      </w:r>
      <w:r>
        <w:rPr>
          <w:rFonts w:ascii="仿宋" w:hAnsi="仿宋" w:eastAsia="仿宋"/>
          <w:sz w:val="32"/>
          <w:szCs w:val="32"/>
        </w:rPr>
        <w:t>结题国家级课题《职业教育全面质量管理策略研究》教育部中国智慧教育督导“十三五”规划重点课题“教师专业发展的探讨与研究”、省级课题《对藏区“9+3”学生实施分层教学的策略研究》各1个；校本教师主研并结题校级课题3个，其中，《职业技能指导下的高校会计教学研究》获广元市第八届教育教研优秀成果三等奖；《会计教学模式改革与创新的对策研究》《基层电大师资队伍建设研究》2个已发表武大核心期刊文章2篇；“教育供给侧结构性改革”科研课题研究已发表论文2篇，该课题文章获四川省职业教育学会二等奖，已于12月结题；《成人高校思想政治教育工作研究》已发表武大核心期刊文章1篇，已于12月结题；完成学术专著2部；全校论文总量37篇(其中核心期刊6篇)。</w:t>
      </w:r>
    </w:p>
    <w:p>
      <w:pPr>
        <w:spacing w:line="576" w:lineRule="exact"/>
        <w:ind w:firstLine="643" w:firstLineChars="200"/>
        <w:rPr>
          <w:rFonts w:ascii="仿宋" w:hAnsi="仿宋" w:eastAsia="仿宋"/>
          <w:b/>
          <w:kern w:val="0"/>
          <w:sz w:val="32"/>
          <w:szCs w:val="32"/>
        </w:rPr>
      </w:pPr>
      <w:r>
        <w:rPr>
          <w:rFonts w:ascii="仿宋" w:hAnsi="仿宋" w:eastAsia="仿宋"/>
          <w:b/>
          <w:color w:val="000000"/>
          <w:kern w:val="0"/>
          <w:sz w:val="32"/>
          <w:szCs w:val="32"/>
        </w:rPr>
        <w:t>（三）非学历继续教育规模不断扩大，</w:t>
      </w:r>
      <w:r>
        <w:rPr>
          <w:rFonts w:ascii="仿宋" w:hAnsi="仿宋" w:eastAsia="仿宋"/>
          <w:b/>
          <w:kern w:val="0"/>
          <w:sz w:val="32"/>
          <w:szCs w:val="32"/>
        </w:rPr>
        <w:t>质量进一步提升，为地方经济、社会发展和人才队伍建设提供了积极支持。</w:t>
      </w:r>
    </w:p>
    <w:p>
      <w:pPr>
        <w:spacing w:line="576" w:lineRule="exact"/>
        <w:ind w:firstLine="643" w:firstLineChars="200"/>
        <w:rPr>
          <w:rFonts w:ascii="仿宋" w:hAnsi="仿宋" w:eastAsia="仿宋"/>
          <w:kern w:val="0"/>
          <w:sz w:val="32"/>
          <w:szCs w:val="32"/>
        </w:rPr>
      </w:pPr>
      <w:r>
        <w:rPr>
          <w:rFonts w:ascii="仿宋" w:hAnsi="仿宋" w:eastAsia="仿宋"/>
          <w:b/>
          <w:color w:val="000000"/>
          <w:kern w:val="0"/>
          <w:sz w:val="32"/>
          <w:szCs w:val="32"/>
        </w:rPr>
        <w:t>一是机构进一步建立健全，继续教育网络覆盖和职能拓展进一步扩大。</w:t>
      </w:r>
      <w:r>
        <w:rPr>
          <w:rFonts w:ascii="仿宋" w:hAnsi="仿宋" w:eastAsia="仿宋"/>
          <w:kern w:val="0"/>
          <w:sz w:val="32"/>
          <w:szCs w:val="32"/>
        </w:rPr>
        <w:t>根据继续教育工作开展需要，我们主动争取有关部门支持，在机构和职能上不断健全和完善。2017年，市人民政府建立了“市社区教育领导小组”，加强了对全市继续教育的领导。市教育局召开了全市社区教育工作会议，推动了全市继续教育、社区教育工作的开展。在市校已经建立“广元市干部网络培训学院”、“广元市人力资源培训学院”、“广元市社区大学”、“广元市民学校”等机构的基础上，推动县区继续教育机构建设，苍溪、剑阁、青川社区学院已经获批挂牌。市校本部和县区分校（社区学院）依托城镇街道居委会和农村农民夜校新建立社区学习中心20余个。继续教育体系进一步健全，职能进一步扩展，为持续开展继续教育提供了保障。</w:t>
      </w:r>
    </w:p>
    <w:p>
      <w:pPr>
        <w:spacing w:line="576" w:lineRule="exact"/>
        <w:ind w:firstLine="643" w:firstLineChars="200"/>
        <w:rPr>
          <w:rFonts w:ascii="仿宋" w:hAnsi="仿宋" w:eastAsia="仿宋"/>
          <w:kern w:val="0"/>
          <w:sz w:val="32"/>
          <w:szCs w:val="32"/>
        </w:rPr>
      </w:pPr>
      <w:r>
        <w:rPr>
          <w:rFonts w:ascii="仿宋" w:hAnsi="仿宋" w:eastAsia="仿宋"/>
          <w:b/>
          <w:kern w:val="0"/>
          <w:sz w:val="32"/>
          <w:szCs w:val="32"/>
        </w:rPr>
        <w:t>二是设施设备进一步改善，开展继续教育的条件和功能进一步优化。</w:t>
      </w:r>
      <w:r>
        <w:rPr>
          <w:rFonts w:ascii="仿宋" w:hAnsi="仿宋" w:eastAsia="仿宋"/>
          <w:kern w:val="0"/>
          <w:sz w:val="32"/>
          <w:szCs w:val="32"/>
        </w:rPr>
        <w:t>随着机构的进一步完善和职能的扩展，我校多方筹措资金，不断改进和完善继续教育设施设备。投资120余万元建立的干部网络学习培训平台已正式上线；投资60余万元对原“专技人员继续教育”、“公务员培训”、“社区教育”平台进行改造升级；投资60余万元更新2个计算机教室；投资近60万元购买全国知名专家、学者优质课件资源300余学时，并首次开发地方课件资源；投资10万元改进和完善普通话测试中心设施设备；投资30余万元维修和购进教学、培训课桌椅；投资10余万元改善后勤保障体系；投资30余万元支持各社区学院、社区学习中心改善社区教育设施设备和开展各类社区教育活动。</w:t>
      </w:r>
    </w:p>
    <w:p>
      <w:pPr>
        <w:spacing w:line="576" w:lineRule="exact"/>
        <w:ind w:firstLine="643" w:firstLineChars="200"/>
        <w:rPr>
          <w:rFonts w:ascii="仿宋" w:hAnsi="仿宋" w:eastAsia="仿宋"/>
          <w:b/>
          <w:kern w:val="0"/>
          <w:sz w:val="32"/>
          <w:szCs w:val="32"/>
        </w:rPr>
      </w:pPr>
      <w:r>
        <w:rPr>
          <w:rFonts w:ascii="仿宋" w:hAnsi="仿宋" w:eastAsia="仿宋"/>
          <w:b/>
          <w:kern w:val="0"/>
          <w:sz w:val="32"/>
          <w:szCs w:val="32"/>
        </w:rPr>
        <w:t>三是教育培训总量取得突破，质量进一步提升。</w:t>
      </w:r>
      <w:r>
        <w:rPr>
          <w:rFonts w:ascii="仿宋" w:hAnsi="仿宋" w:eastAsia="仿宋"/>
          <w:kern w:val="0"/>
          <w:sz w:val="32"/>
          <w:szCs w:val="32"/>
        </w:rPr>
        <w:t>全年完成继续教育10万人次以上，其中，网上继续教育5万人次以上；开展线下各类培训和社区教育学习300余场次（校本部120余场次），教育培训4万人次以上，为地方经济、社会发展和人才队伍建设提供了积极支持。</w:t>
      </w:r>
    </w:p>
    <w:p>
      <w:pPr>
        <w:spacing w:line="576" w:lineRule="exact"/>
        <w:ind w:firstLine="643" w:firstLineChars="200"/>
        <w:rPr>
          <w:rFonts w:ascii="仿宋" w:hAnsi="仿宋" w:eastAsia="仿宋"/>
          <w:kern w:val="0"/>
          <w:sz w:val="32"/>
          <w:szCs w:val="32"/>
        </w:rPr>
      </w:pPr>
      <w:r>
        <w:rPr>
          <w:rFonts w:ascii="仿宋" w:hAnsi="仿宋" w:eastAsia="仿宋"/>
          <w:b/>
          <w:kern w:val="0"/>
          <w:sz w:val="32"/>
          <w:szCs w:val="32"/>
        </w:rPr>
        <w:t>四是争创优秀继续教育基地和全国优秀成人继续教育院校，继教基地的影响和声誉进一步扩大。第一，</w:t>
      </w:r>
      <w:r>
        <w:rPr>
          <w:rFonts w:ascii="仿宋" w:hAnsi="仿宋" w:eastAsia="仿宋"/>
          <w:kern w:val="0"/>
          <w:sz w:val="32"/>
          <w:szCs w:val="32"/>
        </w:rPr>
        <w:t>争创省级优秀继教基地。2017年省人社厅发文认定我校为2016年度全省10个优秀继续教育基地之一。</w:t>
      </w:r>
      <w:r>
        <w:rPr>
          <w:rFonts w:ascii="仿宋" w:hAnsi="仿宋" w:eastAsia="仿宋"/>
          <w:b/>
          <w:kern w:val="0"/>
          <w:sz w:val="32"/>
          <w:szCs w:val="32"/>
        </w:rPr>
        <w:t>第二，</w:t>
      </w:r>
      <w:r>
        <w:rPr>
          <w:rFonts w:ascii="仿宋" w:hAnsi="仿宋" w:eastAsia="仿宋"/>
          <w:kern w:val="0"/>
          <w:sz w:val="32"/>
          <w:szCs w:val="32"/>
        </w:rPr>
        <w:t>争创和申报全国优秀成人继续教育院校。我校被中国成人教育协会评为2017年全国优秀成人继续教育院校（中成协</w:t>
      </w:r>
      <w:r>
        <w:rPr>
          <w:rFonts w:ascii="仿宋" w:hAnsi="仿宋" w:eastAsia="仿宋"/>
          <w:sz w:val="32"/>
          <w:szCs w:val="32"/>
        </w:rPr>
        <w:t>〔2017〕</w:t>
      </w:r>
      <w:r>
        <w:rPr>
          <w:rFonts w:ascii="仿宋" w:hAnsi="仿宋" w:eastAsia="仿宋"/>
          <w:kern w:val="0"/>
          <w:sz w:val="32"/>
          <w:szCs w:val="32"/>
        </w:rPr>
        <w:t>038号文件）（全国179所，四川全省高校系统仅7所）。</w:t>
      </w:r>
      <w:r>
        <w:rPr>
          <w:rFonts w:ascii="仿宋" w:hAnsi="仿宋" w:eastAsia="仿宋"/>
          <w:b/>
          <w:kern w:val="0"/>
          <w:sz w:val="32"/>
          <w:szCs w:val="32"/>
        </w:rPr>
        <w:t>第三，</w:t>
      </w:r>
      <w:r>
        <w:rPr>
          <w:rFonts w:ascii="仿宋" w:hAnsi="仿宋" w:eastAsia="仿宋"/>
          <w:kern w:val="0"/>
          <w:sz w:val="32"/>
          <w:szCs w:val="32"/>
        </w:rPr>
        <w:t>社区教育、学历教育助力脱贫攻坚的思路和做法得到多家国家级主流媒体的关注。我校利用学历教育实施的“村党组织带头人学历提升计划”、培养“不走的第一书记和工作队”，利用农村社区教育学习中心对农村居民开展脱贫攻坚政策宣讲、技术培训的做法，新华社、中国新闻网、四川日报等多家主流媒体于2017年进行了集中采访和报道。</w:t>
      </w:r>
    </w:p>
    <w:p>
      <w:pPr>
        <w:spacing w:line="576" w:lineRule="exact"/>
        <w:ind w:firstLine="643" w:firstLineChars="200"/>
        <w:rPr>
          <w:rFonts w:ascii="仿宋" w:hAnsi="仿宋" w:eastAsia="仿宋"/>
          <w:b/>
          <w:color w:val="000000"/>
          <w:sz w:val="32"/>
          <w:szCs w:val="32"/>
        </w:rPr>
      </w:pPr>
      <w:r>
        <w:rPr>
          <w:rFonts w:ascii="仿宋" w:hAnsi="仿宋" w:eastAsia="仿宋"/>
          <w:b/>
          <w:color w:val="000000"/>
          <w:sz w:val="32"/>
          <w:szCs w:val="32"/>
        </w:rPr>
        <w:t>（四）以提升能力和师德师风建设为重点，多措并举，师资队伍建设取得新成效。</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一是以推进</w:t>
      </w:r>
      <w:r>
        <w:rPr>
          <w:rFonts w:hint="eastAsia" w:ascii="仿宋" w:hAnsi="仿宋" w:eastAsia="仿宋"/>
          <w:b/>
          <w:color w:val="000000"/>
          <w:sz w:val="32"/>
          <w:szCs w:val="32"/>
          <w:lang w:eastAsia="zh-CN"/>
        </w:rPr>
        <w:t>“两学一做”学习教育常态化制度化</w:t>
      </w:r>
      <w:r>
        <w:rPr>
          <w:rFonts w:ascii="仿宋" w:hAnsi="仿宋" w:eastAsia="仿宋"/>
          <w:b/>
          <w:color w:val="000000"/>
          <w:sz w:val="32"/>
          <w:szCs w:val="32"/>
        </w:rPr>
        <w:t>为抓手，以开展“三大行动”为载体，大力加强师德师风建设。</w:t>
      </w:r>
      <w:r>
        <w:rPr>
          <w:rFonts w:ascii="仿宋" w:hAnsi="仿宋" w:eastAsia="仿宋"/>
          <w:color w:val="000000"/>
          <w:sz w:val="32"/>
          <w:szCs w:val="32"/>
        </w:rPr>
        <w:t>全年坚持一月一次和假期教职工集中学习制度。落实假期集中开展师德师风专项集中学习教育。建立师德师风成长档案袋。教职工思想政治觉悟进一步提高，工作作风进一步转变，干事激情大大提升。</w:t>
      </w:r>
    </w:p>
    <w:p>
      <w:pPr>
        <w:spacing w:line="576" w:lineRule="exact"/>
        <w:ind w:firstLine="643" w:firstLineChars="200"/>
        <w:rPr>
          <w:rFonts w:ascii="仿宋" w:hAnsi="仿宋" w:eastAsia="仿宋"/>
          <w:kern w:val="0"/>
          <w:sz w:val="32"/>
          <w:szCs w:val="32"/>
        </w:rPr>
      </w:pPr>
      <w:r>
        <w:rPr>
          <w:rFonts w:ascii="仿宋" w:hAnsi="仿宋" w:eastAsia="仿宋"/>
          <w:b/>
          <w:color w:val="000000"/>
          <w:sz w:val="32"/>
          <w:szCs w:val="32"/>
        </w:rPr>
        <w:t>二是强化业务培训，进一步提升教师素养。</w:t>
      </w:r>
      <w:r>
        <w:rPr>
          <w:rFonts w:ascii="仿宋" w:hAnsi="仿宋" w:eastAsia="仿宋"/>
          <w:color w:val="000000"/>
          <w:sz w:val="32"/>
          <w:szCs w:val="32"/>
        </w:rPr>
        <w:t>督促教职工及时参加“专技人员公需科目培训”和考试。组织</w:t>
      </w:r>
      <w:r>
        <w:rPr>
          <w:rFonts w:ascii="仿宋" w:hAnsi="仿宋" w:eastAsia="仿宋"/>
          <w:kern w:val="0"/>
          <w:sz w:val="32"/>
          <w:szCs w:val="32"/>
        </w:rPr>
        <w:t>全体教师按要求参加不同层次和专业的继续教育，有30余人先后到清华大学、中央电大、省电大、湖南电大、井冈山干部学院以及境外高校等高等学府研修和学习。</w:t>
      </w:r>
    </w:p>
    <w:p>
      <w:pPr>
        <w:spacing w:line="576" w:lineRule="exact"/>
        <w:ind w:firstLine="643" w:firstLineChars="200"/>
        <w:rPr>
          <w:rFonts w:ascii="仿宋" w:hAnsi="仿宋" w:eastAsia="仿宋"/>
          <w:kern w:val="0"/>
          <w:sz w:val="32"/>
          <w:szCs w:val="32"/>
        </w:rPr>
      </w:pPr>
      <w:r>
        <w:rPr>
          <w:rFonts w:ascii="仿宋" w:hAnsi="仿宋" w:eastAsia="仿宋"/>
          <w:b/>
          <w:color w:val="000000"/>
          <w:sz w:val="32"/>
          <w:szCs w:val="32"/>
        </w:rPr>
        <w:t>三是进一步加强本校教师队伍建设的同时，不断扩大外聘师资库。</w:t>
      </w:r>
      <w:r>
        <w:rPr>
          <w:rFonts w:ascii="仿宋" w:hAnsi="仿宋" w:eastAsia="仿宋"/>
          <w:color w:val="000000"/>
          <w:sz w:val="32"/>
          <w:szCs w:val="32"/>
        </w:rPr>
        <w:t>今年，</w:t>
      </w:r>
      <w:r>
        <w:rPr>
          <w:rFonts w:ascii="仿宋" w:hAnsi="仿宋" w:eastAsia="仿宋"/>
          <w:sz w:val="32"/>
          <w:szCs w:val="32"/>
        </w:rPr>
        <w:t>新进遴选教师2名，安置专业军人1名，引进研究生1名，多人申报副高职称。</w:t>
      </w:r>
      <w:r>
        <w:rPr>
          <w:rFonts w:ascii="仿宋" w:hAnsi="仿宋" w:eastAsia="仿宋"/>
          <w:kern w:val="0"/>
          <w:sz w:val="32"/>
          <w:szCs w:val="32"/>
        </w:rPr>
        <w:t>培训处、网络与信息管理处、普通话测试中心和社区教育处先后聘请（聘任）成都体育学院、成都理工大学、省农科院、西南农大、北师大、省电大以及广元各行各业专家、学者、名人40余人充实校外师资库参与继续教育授课或咨询服务。</w:t>
      </w:r>
    </w:p>
    <w:p>
      <w:pPr>
        <w:spacing w:line="576" w:lineRule="exact"/>
        <w:ind w:firstLine="643" w:firstLineChars="200"/>
        <w:rPr>
          <w:rFonts w:ascii="仿宋" w:hAnsi="仿宋" w:eastAsia="仿宋"/>
          <w:b/>
          <w:sz w:val="32"/>
          <w:szCs w:val="32"/>
        </w:rPr>
      </w:pPr>
      <w:r>
        <w:rPr>
          <w:rFonts w:ascii="仿宋" w:hAnsi="仿宋" w:eastAsia="仿宋"/>
          <w:b/>
          <w:sz w:val="32"/>
          <w:szCs w:val="32"/>
        </w:rPr>
        <w:t>（五）普通话测试、教育作协和“名师办”工作进一步推进。</w:t>
      </w:r>
    </w:p>
    <w:p>
      <w:pPr>
        <w:spacing w:line="576" w:lineRule="exact"/>
        <w:ind w:firstLine="640" w:firstLineChars="200"/>
        <w:rPr>
          <w:rFonts w:ascii="仿宋" w:hAnsi="仿宋" w:eastAsia="仿宋"/>
          <w:sz w:val="32"/>
          <w:szCs w:val="32"/>
        </w:rPr>
      </w:pPr>
      <w:r>
        <w:rPr>
          <w:rFonts w:ascii="仿宋" w:hAnsi="仿宋" w:eastAsia="仿宋"/>
          <w:sz w:val="32"/>
          <w:szCs w:val="32"/>
        </w:rPr>
        <w:t>全年组织开展普通话等级达标培训和等级测试共18次，参训（考测）人员逾4000人。编印出版教育作协机关刊物《葭萌》4期4000册，文学、书画作品400余篇（幅），读稿审稿近百万字，发送四县三区及省市级相关单位。“名师办”协助教育局组织名师到浙江师范大学、台湾等地培训交流，配合教育局相关科室完成全收集全市第一、二批市名师的《名师成长档案》146份，收集整理全市名师录播课件200件，上传市教育局教育公众服务平台优质名师录播课件150件，出市级简报4期。</w:t>
      </w:r>
    </w:p>
    <w:p>
      <w:pPr>
        <w:spacing w:line="576" w:lineRule="exact"/>
        <w:ind w:firstLine="643" w:firstLineChars="200"/>
        <w:rPr>
          <w:rFonts w:ascii="仿宋" w:hAnsi="仿宋" w:eastAsia="仿宋"/>
          <w:b/>
          <w:color w:val="000000"/>
          <w:kern w:val="0"/>
          <w:sz w:val="32"/>
          <w:szCs w:val="32"/>
        </w:rPr>
      </w:pPr>
      <w:r>
        <w:rPr>
          <w:rFonts w:ascii="仿宋" w:hAnsi="仿宋" w:eastAsia="仿宋"/>
          <w:b/>
          <w:color w:val="000000"/>
          <w:sz w:val="32"/>
          <w:szCs w:val="32"/>
        </w:rPr>
        <w:t>（六）</w:t>
      </w:r>
      <w:r>
        <w:rPr>
          <w:rFonts w:ascii="仿宋" w:hAnsi="仿宋" w:eastAsia="仿宋"/>
          <w:b/>
          <w:color w:val="000000"/>
          <w:kern w:val="0"/>
          <w:sz w:val="32"/>
          <w:szCs w:val="32"/>
        </w:rPr>
        <w:t>强化服务，后勤保障更有力。</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一是加大投入，改善学校基础设施建设。</w:t>
      </w:r>
      <w:r>
        <w:rPr>
          <w:rFonts w:ascii="仿宋" w:hAnsi="仿宋" w:eastAsia="仿宋"/>
          <w:color w:val="000000"/>
          <w:sz w:val="32"/>
          <w:szCs w:val="32"/>
        </w:rPr>
        <w:t>学校通过多方努力，积极筹措资金，全年投入近400万元。主要用于：进一步改善继续教育培训设施设备、开展各类线上线下继续教育活动、校园绿化以及基础设施建设、维修等，后勤保障体系进一步建立健全。</w:t>
      </w:r>
    </w:p>
    <w:p>
      <w:pPr>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二是学校建立并落实安全工作责任制。</w:t>
      </w:r>
      <w:r>
        <w:rPr>
          <w:rFonts w:ascii="仿宋" w:hAnsi="仿宋" w:eastAsia="仿宋"/>
          <w:color w:val="000000"/>
          <w:sz w:val="32"/>
          <w:szCs w:val="32"/>
        </w:rPr>
        <w:t>分管领导、责任处室和有关人员经常排查安全隐患，制定和建立各类安全应急预案。校园安全基础设施不断完善。开展各类专题教育，加大对教职工和学生安全教育。全年校园安全无事故。</w:t>
      </w:r>
    </w:p>
    <w:p>
      <w:pPr>
        <w:adjustRightInd w:val="0"/>
        <w:snapToGrid w:val="0"/>
        <w:spacing w:line="576" w:lineRule="exact"/>
        <w:ind w:firstLine="643" w:firstLineChars="200"/>
        <w:rPr>
          <w:rFonts w:ascii="仿宋" w:hAnsi="仿宋" w:eastAsia="仿宋"/>
          <w:color w:val="000000"/>
          <w:sz w:val="32"/>
          <w:szCs w:val="32"/>
        </w:rPr>
      </w:pPr>
      <w:r>
        <w:rPr>
          <w:rFonts w:ascii="仿宋" w:hAnsi="仿宋" w:eastAsia="仿宋"/>
          <w:b/>
          <w:color w:val="000000"/>
          <w:sz w:val="32"/>
          <w:szCs w:val="32"/>
        </w:rPr>
        <w:t>三是全面开展健康教育和疫情防控。</w:t>
      </w:r>
      <w:r>
        <w:rPr>
          <w:rFonts w:ascii="仿宋" w:hAnsi="仿宋" w:eastAsia="仿宋"/>
          <w:color w:val="000000"/>
          <w:sz w:val="32"/>
          <w:szCs w:val="32"/>
        </w:rPr>
        <w:t>学校成立了卫生工作领导小组，切实做好传染病、常见病及地方病的防控工作。制定健康教育工作计划。全年，制作健康教育专栏5期，发放各种防控资料近500份。</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四是严格按照市委市政府、市教育局要求，扎实开展创卫工作。</w:t>
      </w:r>
      <w:r>
        <w:rPr>
          <w:rFonts w:ascii="仿宋" w:hAnsi="仿宋" w:eastAsia="仿宋"/>
          <w:color w:val="000000"/>
          <w:kern w:val="0"/>
          <w:sz w:val="32"/>
          <w:szCs w:val="32"/>
        </w:rPr>
        <w:t>落实专人、专室负责此项工作，制定了创卫详细方案，并印发相关宣传资料。利用“党员活动日”集中组织教职工对本单位所负责区域进行垃圾清理、政策宣讲、公物维护等。暑假期间，后勤处轮流派人值班，保证负责区域及校园内持续有人清扫，有人督查，有人维护。</w:t>
      </w:r>
    </w:p>
    <w:p>
      <w:pPr>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（七）宣传、信访工作落实落地。</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一是围绕“三大行动”、省市党代会精神，大力开展宣传思想工作，营造积极向上、勤奋工作氛围。</w:t>
      </w:r>
      <w:r>
        <w:rPr>
          <w:rFonts w:ascii="仿宋" w:hAnsi="仿宋" w:eastAsia="仿宋"/>
          <w:color w:val="000000"/>
          <w:kern w:val="0"/>
          <w:sz w:val="32"/>
          <w:szCs w:val="32"/>
        </w:rPr>
        <w:t>积极开展“我的学习故事”、“优秀教师评选”等活动。加大校园宣传和对外信息报送力度，截至目前，报送各类信息100余条，被四川省教育网、省电大、市组工网、市教育局网、广元日报、川北在线等多家媒体采用。在校园LED屏发布宣传标语30余条，办校园宣传专栏20余期，书写校园宣传标语10余条。在全省电大系统考核中，荣获“四川广播电视大学十大新闻称号”。</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二是配合处理网络舆情，及时处理各类网上和实地信访、上访事宜。</w:t>
      </w:r>
      <w:r>
        <w:rPr>
          <w:rFonts w:ascii="仿宋" w:hAnsi="仿宋" w:eastAsia="仿宋"/>
          <w:color w:val="000000"/>
          <w:kern w:val="0"/>
          <w:sz w:val="32"/>
          <w:szCs w:val="32"/>
        </w:rPr>
        <w:t>全年处理网上信访、咨询10余起；处理群众信访、电话咨询及本人上访30余起。没有发生群访或越级上访以及因上访没得到及时处理而引起不良后果等事件。</w:t>
      </w:r>
    </w:p>
    <w:p>
      <w:pPr>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（八）精神文明建设、法制校园建设扎实推进。</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一是以各种活动为载体，在教职工中大力开展“师德师风”教育活动。</w:t>
      </w:r>
      <w:r>
        <w:rPr>
          <w:rFonts w:ascii="仿宋" w:hAnsi="仿宋" w:eastAsia="仿宋"/>
          <w:color w:val="000000"/>
          <w:kern w:val="0"/>
          <w:sz w:val="32"/>
          <w:szCs w:val="32"/>
        </w:rPr>
        <w:t>开展“文明市民”、“文明处室”创建、评比活动。开展“三大行动”，治理“庸、懒、散、浮、拖”，提升党员干部、全体教职工干事创业的激情，提高学校整体工作效率。全年，荣获“摄影比赛优秀组织奖”、“主题书法大赛组织奖”等各类奖项10余项。</w:t>
      </w:r>
    </w:p>
    <w:p>
      <w:pPr>
        <w:spacing w:line="576"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二是深入开展“七五普法”，推进法制校园建设。</w:t>
      </w:r>
      <w:r>
        <w:rPr>
          <w:rFonts w:ascii="仿宋" w:hAnsi="仿宋" w:eastAsia="仿宋"/>
          <w:color w:val="000000"/>
          <w:kern w:val="0"/>
          <w:sz w:val="32"/>
          <w:szCs w:val="32"/>
        </w:rPr>
        <w:t>围绕“七五”普法，结合上级部门要求，利用校园网、LED屏等开展《网络安全法》的宣传教育，组织教职工关注“广元普法”微信公众号参加在线学法考试活动，组织全体教职工观看普法宣传栏目，利用教职工大会、专题宣讲会普及各项法律法规。通过广泛开展各种形式的普法教育和法制宣传活动，“依法治校”、“法制进校园”建设取得实效。</w:t>
      </w:r>
    </w:p>
    <w:p>
      <w:pPr>
        <w:spacing w:line="576" w:lineRule="exact"/>
        <w:ind w:firstLine="643" w:firstLineChars="200"/>
        <w:rPr>
          <w:rFonts w:ascii="仿宋" w:hAnsi="仿宋" w:eastAsia="仿宋"/>
          <w:b/>
          <w:color w:val="000000"/>
          <w:kern w:val="0"/>
          <w:sz w:val="32"/>
          <w:szCs w:val="32"/>
        </w:rPr>
      </w:pPr>
      <w:r>
        <w:rPr>
          <w:rFonts w:ascii="仿宋" w:hAnsi="仿宋" w:eastAsia="仿宋"/>
          <w:b/>
          <w:color w:val="000000"/>
          <w:kern w:val="0"/>
          <w:sz w:val="32"/>
          <w:szCs w:val="32"/>
        </w:rPr>
        <w:t>（九）围绕大局，服务中心，“精准扶贫”持续深化。</w:t>
      </w:r>
    </w:p>
    <w:p>
      <w:pPr>
        <w:spacing w:line="576" w:lineRule="exact"/>
        <w:ind w:firstLine="640" w:firstLineChars="200"/>
        <w:rPr>
          <w:rFonts w:ascii="仿宋" w:hAnsi="仿宋" w:eastAsia="仿宋"/>
          <w:sz w:val="32"/>
          <w:szCs w:val="32"/>
        </w:rPr>
      </w:pPr>
      <w:r>
        <w:rPr>
          <w:rFonts w:ascii="仿宋" w:hAnsi="仿宋" w:eastAsia="仿宋"/>
          <w:color w:val="000000"/>
          <w:kern w:val="0"/>
          <w:sz w:val="32"/>
          <w:szCs w:val="32"/>
        </w:rPr>
        <w:t>在抓好电大自身业务工作的同时，按照市委、市政府的统一要求，把“精准扶贫”工作作为一项重要政治任务来抓。第一，</w:t>
      </w:r>
      <w:r>
        <w:rPr>
          <w:rFonts w:ascii="仿宋" w:hAnsi="仿宋" w:eastAsia="仿宋"/>
          <w:sz w:val="32"/>
          <w:szCs w:val="32"/>
        </w:rPr>
        <w:t>为扎实推进帮扶工作，学校进一步充实帮扶工作力量，调整剑阁县店子乡尖山村“第一书记”为党政办副主任俞晶奎同志，并分别向非贫困村天台村、联盟村各增派“第一书记”1名。第二，积极应对帮扶任务的增加和精准扶贫对象的变化，开展全员帮扶，学校全体教职工结对帮扶86户精准贫困户、54户插花贫困户。第三，以深入开展“三同”活动为契机，户户见面对接，掌握基本信息，主动跟进脱贫规划的落地落实。第四，在尖山、黄垭、印坪、月坝等12个贫困村（社区）建立社区教育学习中心，先后聘请市扶贫移民局、畜牧、农林等领域专家，采取“课堂+现场”“固定+流动”“集中+分散”“实训+网络”等方式授课，宣讲实用技术。全年共开展此类培训35场次，受惠群众2万余人。这项工作受到省电大肯定，国内、省内多家主流媒体关注和报道。第五，利用“六一”儿童节、“七一”建党节、元旦节、春节等组织全体教职工开展节日慰问送温暖。平时教职工个人走访慰问、电话联系对结户已基本常态化。</w:t>
      </w:r>
    </w:p>
    <w:p>
      <w:pPr>
        <w:spacing w:line="576" w:lineRule="exact"/>
        <w:ind w:firstLine="640" w:firstLineChars="200"/>
        <w:rPr>
          <w:rFonts w:ascii="仿宋" w:hAnsi="仿宋" w:eastAsia="仿宋"/>
          <w:sz w:val="32"/>
          <w:szCs w:val="32"/>
        </w:rPr>
      </w:pPr>
      <w:r>
        <w:rPr>
          <w:rFonts w:ascii="仿宋" w:hAnsi="仿宋" w:eastAsia="仿宋"/>
          <w:sz w:val="32"/>
          <w:szCs w:val="32"/>
        </w:rPr>
        <w:t>全年共投入扶贫慰问资金30余万元，慰问精准扶贫户、党员、教职工、学生总量超过170户（人）次。并对结对帮扶的6所村教学点逐一走访调研，捐赠75套课桌椅、3台电视机、140张学生用床、10张幼儿专用桌子、60把幼儿专用凳子，为8名建卡户儿童送去每人300元的慰问现金。</w:t>
      </w:r>
    </w:p>
    <w:p>
      <w:pPr>
        <w:spacing w:line="576" w:lineRule="exact"/>
        <w:ind w:firstLine="643" w:firstLineChars="200"/>
        <w:rPr>
          <w:rFonts w:ascii="仿宋" w:hAnsi="仿宋" w:eastAsia="仿宋"/>
          <w:b/>
          <w:color w:val="000000"/>
          <w:kern w:val="0"/>
          <w:sz w:val="32"/>
          <w:szCs w:val="32"/>
        </w:rPr>
      </w:pPr>
      <w:r>
        <w:rPr>
          <w:rFonts w:hint="eastAsia" w:ascii="仿宋" w:hAnsi="仿宋" w:eastAsia="仿宋"/>
          <w:b/>
          <w:color w:val="000000"/>
          <w:kern w:val="0"/>
          <w:sz w:val="32"/>
          <w:szCs w:val="32"/>
        </w:rPr>
        <w:t>三、特色亮点工作</w:t>
      </w:r>
    </w:p>
    <w:p>
      <w:pPr>
        <w:widowControl/>
        <w:spacing w:line="576" w:lineRule="exact"/>
        <w:ind w:firstLine="643" w:firstLineChars="200"/>
        <w:rPr>
          <w:rFonts w:ascii="仿宋" w:hAnsi="仿宋" w:eastAsia="仿宋"/>
          <w:kern w:val="0"/>
          <w:sz w:val="32"/>
          <w:szCs w:val="32"/>
        </w:rPr>
      </w:pPr>
      <w:r>
        <w:rPr>
          <w:rFonts w:ascii="仿宋" w:hAnsi="仿宋" w:eastAsia="仿宋"/>
          <w:b/>
          <w:sz w:val="32"/>
          <w:szCs w:val="32"/>
        </w:rPr>
        <w:t>（一）</w:t>
      </w:r>
      <w:r>
        <w:rPr>
          <w:rFonts w:ascii="仿宋" w:hAnsi="仿宋" w:eastAsia="仿宋"/>
          <w:sz w:val="32"/>
          <w:szCs w:val="32"/>
        </w:rPr>
        <w:t>招生连续四年超额完成省校下达任务的基础上，再创历史新高。今年招录新生2601人，超去年31%（去年共招生1992人）。以全省市州人口总数排位第十七的劣势取得招生规模排位第四的好成绩。</w:t>
      </w:r>
    </w:p>
    <w:p>
      <w:pPr>
        <w:widowControl/>
        <w:spacing w:line="576" w:lineRule="exact"/>
        <w:ind w:firstLine="643" w:firstLineChars="200"/>
        <w:rPr>
          <w:rFonts w:ascii="仿宋" w:hAnsi="仿宋" w:eastAsia="仿宋"/>
          <w:kern w:val="0"/>
          <w:sz w:val="32"/>
          <w:szCs w:val="32"/>
        </w:rPr>
      </w:pPr>
      <w:r>
        <w:rPr>
          <w:rFonts w:ascii="仿宋" w:hAnsi="仿宋" w:eastAsia="仿宋"/>
          <w:b/>
          <w:kern w:val="0"/>
          <w:sz w:val="32"/>
          <w:szCs w:val="32"/>
        </w:rPr>
        <w:t>（二）</w:t>
      </w:r>
      <w:r>
        <w:rPr>
          <w:rFonts w:ascii="仿宋" w:hAnsi="仿宋" w:eastAsia="仿宋"/>
          <w:kern w:val="0"/>
          <w:sz w:val="32"/>
          <w:szCs w:val="32"/>
        </w:rPr>
        <w:t>发挥成人高校职能，围绕市委“三个一、三个三”兴广战略，实施“村党组织带头人学历提升计划”，培养“不走的第一书记和工作队”，助推脱贫攻坚。全市首批招录村党组织带头人及后备干部300余人，开全省之先，得到省电大高度肯定和社会好评。</w:t>
      </w:r>
    </w:p>
    <w:p>
      <w:pPr>
        <w:widowControl/>
        <w:spacing w:line="576" w:lineRule="exact"/>
        <w:ind w:firstLine="643" w:firstLineChars="200"/>
        <w:rPr>
          <w:rFonts w:ascii="仿宋" w:hAnsi="仿宋" w:eastAsia="仿宋"/>
          <w:kern w:val="0"/>
          <w:sz w:val="32"/>
          <w:szCs w:val="32"/>
        </w:rPr>
      </w:pPr>
      <w:r>
        <w:rPr>
          <w:rFonts w:ascii="仿宋" w:hAnsi="仿宋" w:eastAsia="仿宋"/>
          <w:b/>
          <w:kern w:val="0"/>
          <w:sz w:val="32"/>
          <w:szCs w:val="32"/>
        </w:rPr>
        <w:t>（三）</w:t>
      </w:r>
      <w:r>
        <w:rPr>
          <w:rFonts w:ascii="仿宋" w:hAnsi="仿宋" w:eastAsia="仿宋"/>
          <w:kern w:val="0"/>
          <w:sz w:val="32"/>
          <w:szCs w:val="32"/>
        </w:rPr>
        <w:t>发挥社区教育职能，依托“农民夜校”建立农村社区教育学习中心，对贫困村民开展实用技术、扶贫政策、四好新村建设宣讲教育，此举得到基层党委、村两委和农民朋友的广泛欢迎和好评，得到省电大和多家中央、省市主流媒体的关注和报道。为社区教育服务中心工作提供了参考和经验。</w:t>
      </w:r>
    </w:p>
    <w:p>
      <w:pPr>
        <w:widowControl/>
        <w:spacing w:line="576" w:lineRule="exact"/>
        <w:ind w:firstLine="643" w:firstLineChars="200"/>
        <w:rPr>
          <w:rFonts w:ascii="仿宋" w:hAnsi="仿宋" w:eastAsia="仿宋"/>
          <w:kern w:val="0"/>
          <w:sz w:val="32"/>
          <w:szCs w:val="32"/>
        </w:rPr>
      </w:pPr>
      <w:r>
        <w:rPr>
          <w:rFonts w:ascii="仿宋" w:hAnsi="仿宋" w:eastAsia="仿宋"/>
          <w:b/>
          <w:kern w:val="0"/>
          <w:sz w:val="32"/>
          <w:szCs w:val="32"/>
        </w:rPr>
        <w:t>（</w:t>
      </w:r>
      <w:r>
        <w:rPr>
          <w:rFonts w:ascii="仿宋" w:hAnsi="仿宋" w:eastAsia="仿宋"/>
          <w:kern w:val="0"/>
          <w:sz w:val="32"/>
          <w:szCs w:val="32"/>
        </w:rPr>
        <w:t>四</w:t>
      </w:r>
      <w:r>
        <w:rPr>
          <w:rFonts w:ascii="仿宋" w:hAnsi="仿宋" w:eastAsia="仿宋"/>
          <w:b/>
          <w:kern w:val="0"/>
          <w:sz w:val="32"/>
          <w:szCs w:val="32"/>
        </w:rPr>
        <w:t>）</w:t>
      </w:r>
      <w:r>
        <w:rPr>
          <w:rFonts w:ascii="仿宋" w:hAnsi="仿宋" w:eastAsia="仿宋"/>
          <w:kern w:val="0"/>
          <w:sz w:val="32"/>
          <w:szCs w:val="32"/>
        </w:rPr>
        <w:t>在全省率先出台成人教育助力脱贫攻坚政策，对精准贫困户和贫困村三职干部报读电大实行奖（助）学金政策。首批奖（助）学金发放额突破10万元。</w:t>
      </w:r>
    </w:p>
    <w:p>
      <w:pPr>
        <w:widowControl/>
        <w:spacing w:line="576" w:lineRule="exact"/>
        <w:ind w:firstLine="643" w:firstLineChars="200"/>
        <w:rPr>
          <w:rFonts w:ascii="仿宋" w:hAnsi="仿宋" w:eastAsia="仿宋"/>
          <w:kern w:val="0"/>
          <w:sz w:val="32"/>
          <w:szCs w:val="32"/>
        </w:rPr>
      </w:pPr>
      <w:r>
        <w:rPr>
          <w:rFonts w:ascii="仿宋" w:hAnsi="仿宋" w:eastAsia="仿宋"/>
          <w:b/>
          <w:kern w:val="0"/>
          <w:sz w:val="32"/>
          <w:szCs w:val="32"/>
        </w:rPr>
        <w:t>（</w:t>
      </w:r>
      <w:r>
        <w:rPr>
          <w:rFonts w:ascii="仿宋" w:hAnsi="仿宋" w:eastAsia="仿宋"/>
          <w:kern w:val="0"/>
          <w:sz w:val="32"/>
          <w:szCs w:val="32"/>
        </w:rPr>
        <w:t>五</w:t>
      </w:r>
      <w:r>
        <w:rPr>
          <w:rFonts w:ascii="仿宋" w:hAnsi="仿宋" w:eastAsia="仿宋"/>
          <w:b/>
          <w:kern w:val="0"/>
          <w:sz w:val="32"/>
          <w:szCs w:val="32"/>
        </w:rPr>
        <w:t>）</w:t>
      </w:r>
      <w:r>
        <w:rPr>
          <w:rFonts w:ascii="仿宋" w:hAnsi="仿宋" w:eastAsia="仿宋"/>
          <w:kern w:val="0"/>
          <w:sz w:val="32"/>
          <w:szCs w:val="32"/>
        </w:rPr>
        <w:t>申报并争取国家开放大学长征带精准扶贫项目在苍溪电大落地实施。该项目每年投入80至100万元，连续四年用于该区域贫困人口技能培训和学历提升。（全省仅两个，广元争取到一个）</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二、部门概况</w:t>
      </w:r>
    </w:p>
    <w:p>
      <w:pPr>
        <w:spacing w:line="580" w:lineRule="exact"/>
        <w:ind w:firstLine="627" w:firstLineChars="196"/>
        <w:rPr>
          <w:rFonts w:ascii="仿宋" w:hAnsi="仿宋" w:eastAsia="仿宋"/>
          <w:sz w:val="32"/>
          <w:szCs w:val="32"/>
        </w:rPr>
      </w:pPr>
      <w:r>
        <w:rPr>
          <w:rFonts w:hint="eastAsia" w:ascii="仿宋" w:hAnsi="仿宋" w:eastAsia="仿宋"/>
          <w:sz w:val="32"/>
          <w:szCs w:val="32"/>
        </w:rPr>
        <w:t>广元广播电视大学属广元市直属单位，人员编制76人、在职人员64人其中教授、副教授、高级讲师40余人，编外人员12人，学生人数5500人。</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三、收支决算总体情况</w:t>
      </w:r>
    </w:p>
    <w:p>
      <w:pPr>
        <w:spacing w:line="560" w:lineRule="exact"/>
        <w:ind w:firstLine="640"/>
        <w:rPr>
          <w:rFonts w:ascii="仿宋" w:hAnsi="仿宋" w:eastAsia="仿宋"/>
          <w:sz w:val="32"/>
          <w:szCs w:val="32"/>
        </w:rPr>
      </w:pPr>
      <w:r>
        <w:rPr>
          <w:rFonts w:hint="eastAsia" w:ascii="仿宋" w:hAnsi="仿宋" w:eastAsia="仿宋"/>
          <w:sz w:val="32"/>
          <w:szCs w:val="32"/>
        </w:rPr>
        <w:t>2017年本年收入合计2293.75万元，其中：一般公共预算财政拨款收入1755.71万元，占76.5%；年初结转和结余538.04万元，占23.5%。</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2017年本年支出合计1912.96万元，其中：基本支出1912.96万元，占100%。</w:t>
      </w:r>
    </w:p>
    <w:p>
      <w:pPr>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四、财政拨款收支决算情况</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2017年度财政拨款收、支总计</w:t>
      </w:r>
      <w:r>
        <w:rPr>
          <w:rFonts w:ascii="仿宋" w:hAnsi="仿宋" w:eastAsia="仿宋"/>
          <w:color w:val="000000" w:themeColor="text1"/>
          <w:sz w:val="32"/>
          <w:szCs w:val="32"/>
        </w:rPr>
        <w:t>2,293.75</w:t>
      </w:r>
      <w:r>
        <w:rPr>
          <w:rFonts w:hint="eastAsia" w:ascii="仿宋" w:hAnsi="仿宋" w:eastAsia="仿宋"/>
          <w:color w:val="000000" w:themeColor="text1"/>
          <w:sz w:val="32"/>
          <w:szCs w:val="32"/>
        </w:rPr>
        <w:t>万元。与2016年相比，财政拨款收、支总计增加462.08万元，增长25%。</w:t>
      </w:r>
    </w:p>
    <w:p>
      <w:pPr>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五、一般公共预算财政拨款支出决算情况</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（一）一般公共预算财政拨款支出决算总体情况</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2017年度一般公共预算财政拨款支出1912.96万元，占本年支出合计的100%。与2016年相比，一般公共预算财政拨款增加661.28万元，增长52.8%。</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（二）一般公共预算财政拨款支出决算结构情况</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2017年一般公共预算财政拨款支出1912.96万元，主要用于以下方面:教育支出1713.68万元，占89.6%；社会保障和就业支出93.77万元，占4.8%；医疗卫生与计划生育支出35.17万元，占1.8%；住房保障支出73.34万元，占3.8%。</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（三）一般公共预算财政拨款支出决算具体情况</w:t>
      </w:r>
    </w:p>
    <w:p>
      <w:pPr>
        <w:spacing w:line="580" w:lineRule="exact"/>
        <w:ind w:firstLine="640" w:firstLineChars="200"/>
        <w:rPr>
          <w:rFonts w:ascii="仿宋" w:hAnsi="仿宋" w:eastAsia="仿宋"/>
          <w:color w:val="000000" w:themeColor="text1"/>
          <w:sz w:val="32"/>
          <w:szCs w:val="32"/>
        </w:rPr>
      </w:pPr>
      <w:r>
        <w:rPr>
          <w:rStyle w:val="8"/>
          <w:rFonts w:hint="eastAsia" w:ascii="仿宋" w:hAnsi="仿宋" w:eastAsia="仿宋"/>
          <w:b w:val="0"/>
          <w:color w:val="000000" w:themeColor="text1"/>
          <w:sz w:val="32"/>
          <w:szCs w:val="32"/>
        </w:rPr>
        <w:t>1.教育支出-广播电视教育-广播电视学校:</w:t>
      </w:r>
      <w:r>
        <w:rPr>
          <w:rFonts w:hint="eastAsia" w:ascii="仿宋" w:hAnsi="仿宋" w:eastAsia="仿宋"/>
          <w:color w:val="000000" w:themeColor="text1"/>
          <w:sz w:val="32"/>
          <w:szCs w:val="32"/>
        </w:rPr>
        <w:t>支出决算数为1713.68万元，完成预算81.9%，决算数小于预算数的主要原因是公用经费的减少。</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rPr>
        <w:t>　　</w:t>
      </w:r>
      <w:r>
        <w:rPr>
          <w:rStyle w:val="8"/>
          <w:rFonts w:hint="eastAsia" w:ascii="仿宋" w:hAnsi="仿宋" w:eastAsia="仿宋"/>
          <w:b w:val="0"/>
          <w:color w:val="000000" w:themeColor="text1"/>
          <w:sz w:val="32"/>
          <w:szCs w:val="32"/>
        </w:rPr>
        <w:t>2.社会保障和就业支出-行政事业单位离退休-机关事业单位基本养老保险缴费支出:</w:t>
      </w:r>
      <w:r>
        <w:rPr>
          <w:rFonts w:hint="eastAsia" w:ascii="仿宋" w:hAnsi="仿宋" w:eastAsia="仿宋"/>
          <w:color w:val="000000" w:themeColor="text1"/>
          <w:sz w:val="32"/>
          <w:szCs w:val="32"/>
        </w:rPr>
        <w:t>支出决算数为93.77万元，完成预算100%。</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rPr>
        <w:t>　　</w:t>
      </w:r>
      <w:r>
        <w:rPr>
          <w:rStyle w:val="8"/>
          <w:rFonts w:hint="eastAsia" w:ascii="仿宋" w:hAnsi="仿宋" w:eastAsia="仿宋"/>
          <w:b w:val="0"/>
          <w:color w:val="000000" w:themeColor="text1"/>
          <w:sz w:val="32"/>
          <w:szCs w:val="32"/>
        </w:rPr>
        <w:t>3.医疗卫生与计划生育支出-行政事业单位医疗-事业单位医疗:</w:t>
      </w:r>
      <w:r>
        <w:rPr>
          <w:rFonts w:hint="eastAsia" w:ascii="仿宋" w:hAnsi="仿宋" w:eastAsia="仿宋"/>
          <w:color w:val="000000" w:themeColor="text1"/>
          <w:sz w:val="32"/>
          <w:szCs w:val="32"/>
        </w:rPr>
        <w:t>支出决算数为35.17万元，完成预算100%。</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4、住房保障支出-住房改革支出-住房公积金</w:t>
      </w:r>
      <w:r>
        <w:rPr>
          <w:rStyle w:val="8"/>
          <w:rFonts w:hint="eastAsia" w:ascii="仿宋" w:hAnsi="仿宋" w:eastAsia="仿宋"/>
          <w:b w:val="0"/>
          <w:color w:val="000000" w:themeColor="text1"/>
          <w:sz w:val="32"/>
          <w:szCs w:val="32"/>
        </w:rPr>
        <w:t>:</w:t>
      </w:r>
      <w:r>
        <w:rPr>
          <w:rFonts w:hint="eastAsia" w:ascii="仿宋" w:hAnsi="仿宋" w:eastAsia="仿宋"/>
          <w:color w:val="000000" w:themeColor="text1"/>
          <w:sz w:val="32"/>
          <w:szCs w:val="32"/>
        </w:rPr>
        <w:t>支出决算数为70.34万元，完成预算97%，决算数小于预算数的主要原因是欠教职工住房公积金。</w:t>
      </w:r>
    </w:p>
    <w:p>
      <w:pPr>
        <w:spacing w:line="58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六、一般公共预算财政拨款基本支出决算情况</w:t>
      </w:r>
    </w:p>
    <w:p>
      <w:pPr>
        <w:spacing w:line="580" w:lineRule="exact"/>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2017年一般公共预算财政拨款基本支出1912.96万元，其中：</w:t>
      </w:r>
    </w:p>
    <w:p>
      <w:pPr>
        <w:spacing w:line="580" w:lineRule="exact"/>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人员经费932.08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Pr>
          <w:rFonts w:hint="eastAsia" w:ascii="仿宋" w:hAnsi="仿宋" w:eastAsia="仿宋"/>
          <w:color w:val="000000" w:themeColor="text1"/>
          <w:sz w:val="32"/>
          <w:szCs w:val="32"/>
        </w:rPr>
        <w:br w:type="textWrapping"/>
      </w:r>
      <w:r>
        <w:rPr>
          <w:rFonts w:hint="eastAsia" w:ascii="仿宋" w:hAnsi="仿宋" w:eastAsia="仿宋"/>
          <w:color w:val="000000" w:themeColor="text1"/>
          <w:sz w:val="32"/>
          <w:szCs w:val="32"/>
        </w:rPr>
        <w:t>　　公用经费980.88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pPr>
        <w:spacing w:line="58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七、“三公”经费财政拨款支出决算情况</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（一）“三公”经费财政拨款支出决算总体情况说明</w:t>
      </w:r>
    </w:p>
    <w:p>
      <w:pPr>
        <w:spacing w:line="56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度“三公”经费财政拨款支出决算为12.9万元，完成预算53.8%，其中：公务用车购置及运行维护费支出决算为5.66万元，完成预算37.7%；公务接待费支出决算为7.24万元，完成预算80.7%。决算数小于预算数的主要原因是学校开展了多项措施开源节流。</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（二）“三公”经费财政拨款支出决算具体情况说明</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2017年度“三公”经费财政拨款支出决算中，因公出国（境）费支出决算0万元，占0%；公务用车购置及运行维护费支出决算5.66万元，占43.9%；公务接待费支出决算7.24万元，占56.1%。具体情况如下：</w:t>
      </w:r>
    </w:p>
    <w:p>
      <w:pPr>
        <w:spacing w:line="580" w:lineRule="exact"/>
        <w:ind w:firstLine="640"/>
        <w:rPr>
          <w:rFonts w:ascii="仿宋" w:hAnsi="仿宋" w:eastAsia="仿宋"/>
          <w:b/>
          <w:color w:val="000000" w:themeColor="text1"/>
          <w:sz w:val="32"/>
          <w:szCs w:val="32"/>
        </w:rPr>
      </w:pPr>
      <w:r>
        <w:rPr>
          <w:rFonts w:hint="eastAsia" w:ascii="仿宋" w:hAnsi="仿宋" w:eastAsia="仿宋"/>
          <w:color w:val="000000" w:themeColor="text1"/>
          <w:sz w:val="32"/>
          <w:szCs w:val="32"/>
        </w:rPr>
        <w:t>1.因公出国（</w:t>
      </w:r>
      <w:r>
        <w:rPr>
          <w:rFonts w:hint="eastAsia" w:ascii="仿宋" w:hAnsi="仿宋" w:eastAsia="仿宋"/>
          <w:b/>
          <w:color w:val="000000" w:themeColor="text1"/>
          <w:sz w:val="32"/>
          <w:szCs w:val="32"/>
        </w:rPr>
        <w:t>境）经费</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2017年因公出国（境）费0万元。全年安排因公出国（境）团组0次，出国（境）0人。</w:t>
      </w:r>
    </w:p>
    <w:p>
      <w:pPr>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2.公务用车购置及运行维护费</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2017年公务用车购置及运行维护费万元,其中：</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截至2017年12月底，单位共有公务用车3辆，其中：轿车2辆、越野车1辆。</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公务用车运行维护费支出5.66万元。主要用于运送教材、试卷、精准扶贫等所需的公务用车燃料费、维修费、过路过桥费、保险费等支出。</w:t>
      </w:r>
    </w:p>
    <w:p>
      <w:pPr>
        <w:spacing w:line="56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公务用车购置及运行维护费支出决算比2016年减少3.58万元，下降38.7%。主要原因是学校开展了多项措施开源节流。</w:t>
      </w:r>
    </w:p>
    <w:p>
      <w:pPr>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3.公务接待费</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2017年公务接待费7.24万元。主要用于执行公务、开展业务活动开支的交通费、住宿费、用餐费等。国内公务接待批45次，596人，共计支出6.2万元，具体内容包括：上级巡考、分校及其他电大交流学习等。</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公务接待费支出决算比2016年减少2.99万元，下降29.2%。主要原因是主要原因是学校开展了多项措施开源节流。</w:t>
      </w:r>
    </w:p>
    <w:p>
      <w:pPr>
        <w:spacing w:line="56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八、政府性基金预算支出决算情况说明</w:t>
      </w:r>
    </w:p>
    <w:p>
      <w:pPr>
        <w:spacing w:line="56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2017年度政府性基金预算拨款支出0万元。</w:t>
      </w:r>
    </w:p>
    <w:p>
      <w:pPr>
        <w:spacing w:line="56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九、国有资本经营预算支出决算情况说明</w:t>
      </w:r>
    </w:p>
    <w:p>
      <w:pPr>
        <w:spacing w:line="56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2017年度国有资本经营预算拨款支出0万元。</w:t>
      </w:r>
    </w:p>
    <w:p>
      <w:pPr>
        <w:spacing w:line="58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十、其他重要事项的情况说明</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w:t>
      </w:r>
      <w:r>
        <w:rPr>
          <w:rFonts w:hint="eastAsia" w:ascii="仿宋" w:hAnsi="仿宋" w:eastAsia="仿宋" w:cs="楷体_GB2312"/>
          <w:b/>
          <w:color w:val="000000" w:themeColor="text1"/>
          <w:sz w:val="32"/>
          <w:szCs w:val="32"/>
        </w:rPr>
        <w:t>机关运行经费支出情况</w:t>
      </w:r>
    </w:p>
    <w:p>
      <w:pPr>
        <w:spacing w:line="58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为事业单位，无机关运行经费。</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（二）政府采购支出情况</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2017年度，政府采购支出总额116.11万元，其中：政府采购货物支出116.11万元。主要用于网络培训项目。授予中小企业合同金额0万元，占政府采购支出总额的0%，其中：授予小微企业合同金额0万元，占政府采购支出总额的0%。</w:t>
      </w:r>
    </w:p>
    <w:p>
      <w:pPr>
        <w:autoSpaceDE w:val="0"/>
        <w:autoSpaceDN w:val="0"/>
        <w:adjustRightInd w:val="0"/>
        <w:spacing w:line="580" w:lineRule="exact"/>
        <w:ind w:firstLine="482" w:firstLineChars="150"/>
        <w:rPr>
          <w:rFonts w:ascii="仿宋" w:hAnsi="仿宋" w:eastAsia="仿宋"/>
          <w:b/>
          <w:color w:val="000000" w:themeColor="text1"/>
          <w:sz w:val="32"/>
          <w:szCs w:val="32"/>
        </w:rPr>
      </w:pPr>
      <w:r>
        <w:rPr>
          <w:rFonts w:hint="eastAsia" w:ascii="仿宋" w:hAnsi="仿宋" w:eastAsia="仿宋"/>
          <w:b/>
          <w:color w:val="000000" w:themeColor="text1"/>
          <w:sz w:val="32"/>
          <w:szCs w:val="32"/>
        </w:rPr>
        <w:t>（三）国有资产占有使用情况</w:t>
      </w:r>
    </w:p>
    <w:p>
      <w:pPr>
        <w:autoSpaceDE w:val="0"/>
        <w:autoSpaceDN w:val="0"/>
        <w:adjustRightInd w:val="0"/>
        <w:spacing w:line="560" w:lineRule="exact"/>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截至2017年12月31日，公有车辆3辆，其中：一般公务用车3辆。单价50万元以上通用设备0台（套），单价100万元以上专用设备0台（套）。</w:t>
      </w:r>
    </w:p>
    <w:p>
      <w:pPr>
        <w:autoSpaceDE w:val="0"/>
        <w:autoSpaceDN w:val="0"/>
        <w:adjustRightInd w:val="0"/>
        <w:spacing w:line="58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（四）预算绩效情况</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按照预算绩效管理要求，本部门对2017年一般公共预算项目支出开展了绩效目标管理，绩效自评92分。</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1.绩效目标管理情况。</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按照预算绩效管理要求，本部门对2017年一般公共预算项目支出开展了绩效目标管理，共编制绩效目标1个，涉及财政资金1912.96万元，覆盖率达到100%。</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2.部门整体支出绩效自评开展情况。</w:t>
      </w:r>
    </w:p>
    <w:p>
      <w:pPr>
        <w:widowControl/>
        <w:shd w:val="clear" w:color="auto" w:fill="FFFFFF"/>
        <w:spacing w:before="180" w:after="180" w:line="480" w:lineRule="auto"/>
        <w:ind w:firstLine="405"/>
        <w:jc w:val="left"/>
        <w:rPr>
          <w:rFonts w:ascii="仿宋" w:hAnsi="仿宋" w:eastAsia="仿宋" w:cs="宋体"/>
          <w:bCs/>
          <w:color w:val="000000" w:themeColor="text1"/>
          <w:kern w:val="0"/>
          <w:sz w:val="32"/>
          <w:szCs w:val="32"/>
        </w:rPr>
      </w:pPr>
      <w:r>
        <w:rPr>
          <w:rFonts w:hint="eastAsia" w:ascii="仿宋" w:hAnsi="仿宋" w:eastAsia="仿宋"/>
          <w:color w:val="000000" w:themeColor="text1"/>
          <w:sz w:val="32"/>
          <w:szCs w:val="32"/>
        </w:rPr>
        <w:t>按照预算绩效管理要求，本部门对2017年整体支出开展绩效自评，自评得分92分，存在的问题：</w:t>
      </w:r>
      <w:r>
        <w:rPr>
          <w:rFonts w:hint="eastAsia" w:ascii="仿宋" w:hAnsi="仿宋" w:eastAsia="仿宋" w:cs="宋体"/>
          <w:bCs/>
          <w:color w:val="000000" w:themeColor="text1"/>
          <w:kern w:val="0"/>
          <w:sz w:val="32"/>
          <w:szCs w:val="32"/>
        </w:rPr>
        <w:t>一是内控制度管理不够全面。</w:t>
      </w:r>
      <w:r>
        <w:rPr>
          <w:rFonts w:hint="eastAsia" w:ascii="仿宋" w:hAnsi="仿宋" w:eastAsia="仿宋" w:cs="宋体"/>
          <w:color w:val="000000" w:themeColor="text1"/>
          <w:kern w:val="0"/>
          <w:sz w:val="32"/>
          <w:szCs w:val="32"/>
        </w:rPr>
        <w:t>虽然我们制定了相关的管理办法和实施细则，但在执行过程中不够科学，还不完善。</w:t>
      </w:r>
      <w:r>
        <w:rPr>
          <w:rFonts w:hint="eastAsia" w:ascii="仿宋" w:hAnsi="仿宋" w:eastAsia="仿宋"/>
          <w:color w:val="000000" w:themeColor="text1"/>
          <w:sz w:val="32"/>
          <w:szCs w:val="32"/>
        </w:rPr>
        <w:t>二是</w:t>
      </w:r>
      <w:r>
        <w:rPr>
          <w:rFonts w:hint="eastAsia" w:ascii="仿宋" w:hAnsi="仿宋" w:eastAsia="仿宋" w:cs="宋体"/>
          <w:bCs/>
          <w:color w:val="000000" w:themeColor="text1"/>
          <w:kern w:val="0"/>
          <w:sz w:val="32"/>
          <w:szCs w:val="32"/>
        </w:rPr>
        <w:t>整体支出绩效评价预算编制还不完善。</w:t>
      </w:r>
      <w:r>
        <w:rPr>
          <w:rFonts w:hint="eastAsia" w:ascii="仿宋" w:hAnsi="仿宋" w:eastAsia="仿宋" w:cs="宋体"/>
          <w:color w:val="000000" w:themeColor="text1"/>
          <w:kern w:val="0"/>
          <w:sz w:val="32"/>
          <w:szCs w:val="32"/>
        </w:rPr>
        <w:t>由于预算绩效管理工作开展时间短，涉及面广，专业性强，加上缺乏系统的培训，对预算绩效管理理解不充分，对预算绩效管理业务不精通，在一定程度上影响了绩效评价工作质量。</w:t>
      </w:r>
      <w:r>
        <w:rPr>
          <w:rFonts w:hint="eastAsia" w:ascii="仿宋" w:hAnsi="仿宋" w:eastAsia="仿宋"/>
          <w:color w:val="000000" w:themeColor="text1"/>
          <w:sz w:val="32"/>
          <w:szCs w:val="32"/>
        </w:rPr>
        <w:t>下一步改进措施：一是聘请专业人员，</w:t>
      </w:r>
      <w:r>
        <w:rPr>
          <w:rFonts w:hint="eastAsia" w:ascii="仿宋" w:hAnsi="仿宋" w:eastAsia="仿宋" w:cs="宋体"/>
          <w:bCs/>
          <w:color w:val="000000" w:themeColor="text1"/>
          <w:kern w:val="0"/>
          <w:sz w:val="32"/>
          <w:szCs w:val="32"/>
        </w:rPr>
        <w:t>完善绩效评价工作制度</w:t>
      </w:r>
      <w:r>
        <w:rPr>
          <w:rFonts w:hint="eastAsia" w:ascii="仿宋" w:hAnsi="仿宋" w:eastAsia="仿宋"/>
          <w:color w:val="000000" w:themeColor="text1"/>
          <w:sz w:val="32"/>
          <w:szCs w:val="32"/>
        </w:rPr>
        <w:t>，二是加强学习，提高业务能力。</w:t>
      </w:r>
    </w:p>
    <w:p>
      <w:pPr>
        <w:spacing w:line="560" w:lineRule="exact"/>
        <w:jc w:val="center"/>
        <w:rPr>
          <w:rFonts w:ascii="仿宋" w:hAnsi="仿宋" w:eastAsia="仿宋" w:cs="方正小标宋简体"/>
          <w:color w:val="000000" w:themeColor="text1"/>
          <w:sz w:val="44"/>
          <w:szCs w:val="44"/>
        </w:rPr>
      </w:pPr>
      <w:r>
        <w:rPr>
          <w:rFonts w:hint="eastAsia" w:ascii="仿宋" w:hAnsi="仿宋" w:eastAsia="仿宋" w:cs="方正小标宋简体"/>
          <w:color w:val="000000" w:themeColor="text1"/>
          <w:sz w:val="44"/>
          <w:szCs w:val="44"/>
        </w:rPr>
        <w:t>2017年部门整体支出绩效评价得分表</w:t>
      </w:r>
    </w:p>
    <w:p>
      <w:pPr>
        <w:spacing w:line="400" w:lineRule="exact"/>
        <w:jc w:val="center"/>
        <w:rPr>
          <w:rFonts w:ascii="仿宋" w:hAnsi="仿宋" w:eastAsia="仿宋" w:cs="方正小标宋简体"/>
          <w:color w:val="000000" w:themeColor="text1"/>
          <w:sz w:val="44"/>
          <w:szCs w:val="44"/>
        </w:rPr>
      </w:pPr>
    </w:p>
    <w:tbl>
      <w:tblPr>
        <w:tblStyle w:val="6"/>
        <w:tblW w:w="0" w:type="auto"/>
        <w:jc w:val="center"/>
        <w:tblLayout w:type="fixed"/>
        <w:tblCellMar>
          <w:top w:w="0" w:type="dxa"/>
          <w:left w:w="108" w:type="dxa"/>
          <w:bottom w:w="0" w:type="dxa"/>
          <w:right w:w="108" w:type="dxa"/>
        </w:tblCellMar>
      </w:tblPr>
      <w:tblGrid>
        <w:gridCol w:w="1702"/>
        <w:gridCol w:w="2422"/>
        <w:gridCol w:w="3248"/>
        <w:gridCol w:w="2126"/>
      </w:tblGrid>
      <w:tr>
        <w:tblPrEx>
          <w:tblCellMar>
            <w:top w:w="0" w:type="dxa"/>
            <w:left w:w="108" w:type="dxa"/>
            <w:bottom w:w="0" w:type="dxa"/>
            <w:right w:w="108" w:type="dxa"/>
          </w:tblCellMar>
        </w:tblPrEx>
        <w:trPr>
          <w:trHeight w:val="34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一级指标</w:t>
            </w:r>
          </w:p>
        </w:tc>
        <w:tc>
          <w:tcPr>
            <w:tcW w:w="24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二级指标</w:t>
            </w:r>
          </w:p>
        </w:tc>
        <w:tc>
          <w:tcPr>
            <w:tcW w:w="32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三级指标</w:t>
            </w:r>
          </w:p>
        </w:tc>
        <w:tc>
          <w:tcPr>
            <w:tcW w:w="2126" w:type="dxa"/>
            <w:tcBorders>
              <w:top w:val="single" w:color="auto" w:sz="4" w:space="0"/>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得分</w:t>
            </w:r>
          </w:p>
        </w:tc>
      </w:tr>
      <w:tr>
        <w:tblPrEx>
          <w:tblCellMar>
            <w:top w:w="0" w:type="dxa"/>
            <w:left w:w="108" w:type="dxa"/>
            <w:bottom w:w="0" w:type="dxa"/>
            <w:right w:w="108" w:type="dxa"/>
          </w:tblCellMar>
        </w:tblPrEx>
        <w:trPr>
          <w:trHeight w:val="340" w:hRule="atLeast"/>
          <w:jc w:val="center"/>
        </w:trPr>
        <w:tc>
          <w:tcPr>
            <w:tcW w:w="1702" w:type="dxa"/>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部门决策（25分）</w:t>
            </w: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目标任务（15分）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相关性（5分）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明确性（5分）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合理性（5分）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预算编制（10分）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测算依据（5分）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4.5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目标管理（5分）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5</w:t>
            </w:r>
          </w:p>
        </w:tc>
      </w:tr>
      <w:tr>
        <w:tblPrEx>
          <w:tblCellMar>
            <w:top w:w="0" w:type="dxa"/>
            <w:left w:w="108" w:type="dxa"/>
            <w:bottom w:w="0" w:type="dxa"/>
            <w:right w:w="108" w:type="dxa"/>
          </w:tblCellMar>
        </w:tblPrEx>
        <w:trPr>
          <w:trHeight w:val="340" w:hRule="atLeast"/>
          <w:jc w:val="center"/>
        </w:trPr>
        <w:tc>
          <w:tcPr>
            <w:tcW w:w="1702" w:type="dxa"/>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综合管理（30分）</w:t>
            </w: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专项资金分配时限（2分）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省级财力专项预算分配时限（1分）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中央专款分配合规率（1分）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中期评估（2分）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执行中期评估（2分）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绩效监控（5分）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预算执行进度监控（2分）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绩效目标动态监控（3分）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非税收入执收情况（2分）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非税收入征收情况（1分）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非税收入上缴情况（1分）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资产管理（6分）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资产管理信息化情况（2分）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行政事业单位资产报告情况（2分）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资产管理与预算管理相结合（2分）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内控制度管理（2分）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内部控制度健全完整（2分）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信息公开（6分）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预算公开（2分）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决算公开（2分）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绩效信息公开（2分）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绩效评价（5分）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绩效评价开展（2分）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评价结果应用（3分）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2.5</w:t>
            </w:r>
          </w:p>
        </w:tc>
      </w:tr>
      <w:tr>
        <w:tblPrEx>
          <w:tblCellMar>
            <w:top w:w="0" w:type="dxa"/>
            <w:left w:w="108" w:type="dxa"/>
            <w:bottom w:w="0" w:type="dxa"/>
            <w:right w:w="108" w:type="dxa"/>
          </w:tblCellMar>
        </w:tblPrEx>
        <w:trPr>
          <w:trHeight w:val="340" w:hRule="atLeast"/>
          <w:jc w:val="center"/>
        </w:trPr>
        <w:tc>
          <w:tcPr>
            <w:tcW w:w="1702" w:type="dxa"/>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部门绩效情况（45分）</w:t>
            </w: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履职成效（20分）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部门特性指标</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20</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可持续发展能力（15分）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重点改革（重点工作）完成情况（5分）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4.5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科技（制度、方法、机制等）创新（5分）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4.5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人才培养（5分）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4.5</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满意度（10分）</w:t>
            </w: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协作部门满意度（3分）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3</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2422" w:type="dxa"/>
            <w:vMerge w:val="continue"/>
            <w:tcBorders>
              <w:left w:val="single" w:color="auto" w:sz="4" w:space="0"/>
              <w:right w:val="single" w:color="auto" w:sz="4" w:space="0"/>
            </w:tcBorders>
            <w:vAlign w:val="center"/>
          </w:tcPr>
          <w:p>
            <w:pPr>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管理对象满意度（3分）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3</w:t>
            </w:r>
          </w:p>
        </w:tc>
      </w:tr>
      <w:tr>
        <w:tblPrEx>
          <w:tblCellMar>
            <w:top w:w="0" w:type="dxa"/>
            <w:left w:w="108" w:type="dxa"/>
            <w:bottom w:w="0" w:type="dxa"/>
            <w:right w:w="108" w:type="dxa"/>
          </w:tblCellMar>
        </w:tblPrEx>
        <w:trPr>
          <w:trHeight w:val="340" w:hRule="atLeast"/>
          <w:jc w:val="center"/>
        </w:trPr>
        <w:tc>
          <w:tcPr>
            <w:tcW w:w="170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242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p>
        </w:tc>
        <w:tc>
          <w:tcPr>
            <w:tcW w:w="324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社会公众满意度（4分）</w:t>
            </w:r>
          </w:p>
        </w:tc>
        <w:tc>
          <w:tcPr>
            <w:tcW w:w="2126" w:type="dxa"/>
            <w:tcBorders>
              <w:top w:val="nil"/>
              <w:left w:val="nil"/>
              <w:bottom w:val="single" w:color="auto" w:sz="4" w:space="0"/>
              <w:right w:val="single" w:color="auto" w:sz="4" w:space="0"/>
            </w:tcBorders>
          </w:tcPr>
          <w:p>
            <w:pPr>
              <w:widowControl/>
              <w:spacing w:line="240" w:lineRule="exact"/>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4</w:t>
            </w:r>
          </w:p>
        </w:tc>
      </w:tr>
    </w:tbl>
    <w:p>
      <w:pPr>
        <w:spacing w:line="560" w:lineRule="exact"/>
        <w:ind w:firstLine="640" w:firstLineChars="200"/>
        <w:jc w:val="left"/>
        <w:rPr>
          <w:rFonts w:ascii="仿宋" w:hAnsi="仿宋" w:eastAsia="仿宋"/>
          <w:color w:val="000000" w:themeColor="text1"/>
          <w:sz w:val="32"/>
          <w:szCs w:val="32"/>
        </w:rPr>
      </w:pP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3.部门自行组织绩效评价开展情况。</w:t>
      </w:r>
    </w:p>
    <w:p>
      <w:pPr>
        <w:rPr>
          <w:rFonts w:ascii="仿宋" w:hAnsi="仿宋" w:eastAsia="仿宋"/>
          <w:color w:val="000000" w:themeColor="text1"/>
          <w:sz w:val="32"/>
          <w:szCs w:val="32"/>
        </w:rPr>
      </w:pPr>
      <w:r>
        <w:rPr>
          <w:rFonts w:hint="eastAsia" w:ascii="仿宋" w:hAnsi="仿宋" w:eastAsia="仿宋"/>
          <w:color w:val="000000" w:themeColor="text1"/>
          <w:sz w:val="32"/>
          <w:szCs w:val="32"/>
        </w:rPr>
        <w:t>本部门无下属单位，因此未开展整体支出绩效评价。</w:t>
      </w:r>
    </w:p>
    <w:p>
      <w:pPr>
        <w:autoSpaceDE w:val="0"/>
        <w:autoSpaceDN w:val="0"/>
        <w:adjustRightInd w:val="0"/>
        <w:spacing w:line="560" w:lineRule="exact"/>
        <w:ind w:firstLine="643" w:firstLineChars="200"/>
        <w:jc w:val="left"/>
        <w:rPr>
          <w:rFonts w:ascii="仿宋" w:hAnsi="仿宋" w:eastAsia="仿宋"/>
          <w:b/>
          <w:color w:val="000000" w:themeColor="text1"/>
          <w:sz w:val="32"/>
          <w:szCs w:val="32"/>
        </w:rPr>
      </w:pPr>
      <w:r>
        <w:rPr>
          <w:rFonts w:hint="eastAsia" w:ascii="仿宋" w:hAnsi="仿宋" w:eastAsia="仿宋"/>
          <w:b/>
          <w:color w:val="000000" w:themeColor="text1"/>
          <w:sz w:val="32"/>
          <w:szCs w:val="32"/>
        </w:rPr>
        <w:t>十一、名词解释</w:t>
      </w:r>
    </w:p>
    <w:p>
      <w:pPr>
        <w:pStyle w:val="14"/>
        <w:spacing w:line="560" w:lineRule="exact"/>
        <w:ind w:firstLine="640" w:firstLineChars="200"/>
        <w:rPr>
          <w:rFonts w:hAnsi="仿宋"/>
          <w:color w:val="000000" w:themeColor="text1"/>
          <w:sz w:val="32"/>
          <w:szCs w:val="32"/>
        </w:rPr>
      </w:pPr>
      <w:r>
        <w:rPr>
          <w:rFonts w:hint="eastAsia" w:hAnsi="仿宋"/>
          <w:color w:val="000000" w:themeColor="text1"/>
          <w:sz w:val="32"/>
          <w:szCs w:val="32"/>
        </w:rPr>
        <w:t>1.财政拨款收入：指单位从同级财政部门取得的财政预算资金。</w:t>
      </w:r>
    </w:p>
    <w:p>
      <w:pPr>
        <w:pStyle w:val="14"/>
        <w:spacing w:line="560" w:lineRule="exact"/>
        <w:ind w:firstLine="640" w:firstLineChars="200"/>
        <w:rPr>
          <w:rFonts w:hAnsi="仿宋"/>
          <w:color w:val="000000" w:themeColor="text1"/>
          <w:sz w:val="32"/>
          <w:szCs w:val="32"/>
        </w:rPr>
      </w:pPr>
      <w:r>
        <w:rPr>
          <w:rFonts w:hint="eastAsia" w:hAnsi="仿宋"/>
          <w:color w:val="000000" w:themeColor="text1"/>
          <w:sz w:val="32"/>
          <w:szCs w:val="32"/>
        </w:rPr>
        <w:t xml:space="preserve">2.年初结转和结余：指以前年度尚未完成、结转到本年按有关规定继续使用的资金。 </w:t>
      </w:r>
    </w:p>
    <w:p>
      <w:pPr>
        <w:pStyle w:val="14"/>
        <w:spacing w:line="560" w:lineRule="exact"/>
        <w:ind w:firstLine="640" w:firstLineChars="200"/>
        <w:rPr>
          <w:rFonts w:hAnsi="仿宋"/>
          <w:color w:val="000000" w:themeColor="text1"/>
          <w:sz w:val="32"/>
          <w:szCs w:val="32"/>
        </w:rPr>
      </w:pPr>
      <w:r>
        <w:rPr>
          <w:rFonts w:hint="eastAsia" w:hAnsi="仿宋"/>
          <w:color w:val="000000" w:themeColor="text1"/>
          <w:sz w:val="32"/>
          <w:szCs w:val="32"/>
        </w:rPr>
        <w:t>3.结余分配：指事业单位按照事业单位会计制度的规定从非财政补助结余中分配的事业基金和职工福利基金等。</w:t>
      </w:r>
    </w:p>
    <w:p>
      <w:pPr>
        <w:pStyle w:val="14"/>
        <w:spacing w:line="560" w:lineRule="exact"/>
        <w:ind w:firstLine="640" w:firstLineChars="200"/>
        <w:rPr>
          <w:rFonts w:hAnsi="仿宋"/>
          <w:color w:val="000000" w:themeColor="text1"/>
          <w:sz w:val="32"/>
          <w:szCs w:val="32"/>
        </w:rPr>
      </w:pPr>
      <w:r>
        <w:rPr>
          <w:rFonts w:hint="eastAsia" w:hAnsi="仿宋"/>
          <w:color w:val="000000" w:themeColor="text1"/>
          <w:sz w:val="32"/>
          <w:szCs w:val="32"/>
        </w:rPr>
        <w:t>3、年末结转和结余：指单位按有关规定结转到下年或以后年度继续使用的资金。</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4.教育支出-广播电视教育-广播电视学校：指各部门举办广播电视学校的支出。</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5.社会保障和就业支出-行政事业单位离退休-机关事业单位基本养老保险费缴费支出：指机关事业单位实施养老保险制度由单位缴纳的基本养老保险费支出。</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6.医疗卫生与计划生育支出-行政事业单位医疗-事业单位医疗：指财政部门集中安排的事业单位基本工医疗保险缴费经费。</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7、.住房保障支出-住房改革支出-住房公积金：指行政事业单位按人力资源和社会保障部、财政部规定的基本工资和津贴补贴以及规定比例为职工的住房公积金。</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8.基本支出：指为保障机构正常运转、完成日常工作任务而发生的人员支出和公用支出。</w:t>
      </w:r>
    </w:p>
    <w:p>
      <w:pPr>
        <w:pStyle w:val="14"/>
        <w:spacing w:line="560" w:lineRule="exact"/>
        <w:ind w:firstLine="640" w:firstLineChars="200"/>
        <w:rPr>
          <w:rFonts w:hAnsi="仿宋"/>
          <w:color w:val="000000" w:themeColor="text1"/>
          <w:sz w:val="32"/>
          <w:szCs w:val="32"/>
        </w:rPr>
      </w:pPr>
      <w:r>
        <w:rPr>
          <w:rFonts w:hint="eastAsia" w:hAnsi="仿宋"/>
          <w:color w:val="000000" w:themeColor="text1"/>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spacing w:line="560" w:lineRule="exact"/>
        <w:ind w:firstLine="640" w:firstLineChars="200"/>
        <w:rPr>
          <w:rFonts w:hAnsi="仿宋"/>
          <w:color w:val="000000" w:themeColor="text1"/>
          <w:sz w:val="32"/>
          <w:szCs w:val="32"/>
        </w:rPr>
      </w:pPr>
    </w:p>
    <w:p>
      <w:pPr>
        <w:pStyle w:val="14"/>
        <w:spacing w:line="560" w:lineRule="exact"/>
        <w:ind w:firstLine="640" w:firstLineChars="200"/>
        <w:rPr>
          <w:rFonts w:hAnsi="仿宋"/>
          <w:color w:val="000000" w:themeColor="text1"/>
          <w:sz w:val="32"/>
          <w:szCs w:val="32"/>
          <w:shd w:val="pct10" w:color="auto" w:fill="FFFFFF"/>
        </w:rPr>
      </w:pPr>
    </w:p>
    <w:p>
      <w:pPr>
        <w:rPr>
          <w:rFonts w:ascii="仿宋" w:hAnsi="仿宋" w:eastAsia="仿宋"/>
          <w:color w:val="000000" w:themeColor="text1"/>
          <w:shd w:val="pct10" w:color="auto" w:fill="FFFFFF"/>
        </w:rPr>
      </w:pPr>
    </w:p>
    <w:p>
      <w:pPr>
        <w:autoSpaceDE w:val="0"/>
        <w:autoSpaceDN w:val="0"/>
        <w:adjustRightInd w:val="0"/>
        <w:spacing w:line="580" w:lineRule="exact"/>
        <w:ind w:firstLine="640" w:firstLineChars="200"/>
        <w:rPr>
          <w:rFonts w:ascii="仿宋" w:hAnsi="仿宋" w:eastAsia="仿宋"/>
          <w:color w:val="000000" w:themeColor="text1"/>
          <w:sz w:val="32"/>
          <w:szCs w:val="32"/>
          <w:shd w:val="pct10" w:color="auto" w:fill="FFFFFF"/>
        </w:rPr>
      </w:pPr>
    </w:p>
    <w:p>
      <w:pPr>
        <w:autoSpaceDE w:val="0"/>
        <w:autoSpaceDN w:val="0"/>
        <w:adjustRightInd w:val="0"/>
        <w:spacing w:line="580" w:lineRule="exact"/>
        <w:ind w:firstLine="640" w:firstLineChars="200"/>
        <w:rPr>
          <w:rFonts w:ascii="仿宋" w:hAnsi="仿宋" w:eastAsia="仿宋"/>
          <w:color w:val="000000" w:themeColor="text1"/>
          <w:sz w:val="32"/>
          <w:szCs w:val="32"/>
          <w:shd w:val="pct10" w:color="auto" w:fill="FFFFFF"/>
        </w:rPr>
      </w:pPr>
    </w:p>
    <w:p>
      <w:pPr>
        <w:rPr>
          <w:rFonts w:ascii="仿宋" w:hAnsi="仿宋" w:eastAsia="仿宋"/>
          <w:color w:val="000000" w:themeColor="text1"/>
          <w:shd w:val="pct10" w:color="auto" w:fill="FFFFFF"/>
        </w:rPr>
      </w:pPr>
    </w:p>
    <w:sectPr>
      <w:headerReference r:id="rId3" w:type="default"/>
      <w:footerReference r:id="rId5" w:type="default"/>
      <w:headerReference r:id="rId4" w:type="even"/>
      <w:footerReference r:id="rId6"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szCs w:val="28"/>
      </w:rPr>
    </w:pPr>
    <w:r>
      <w:rPr>
        <w:rStyle w:val="9"/>
        <w:rFonts w:hint="eastAsia"/>
        <w:sz w:val="28"/>
        <w:szCs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25</w:t>
    </w:r>
    <w:r>
      <w:rPr>
        <w:rStyle w:val="9"/>
        <w:sz w:val="28"/>
        <w:szCs w:val="28"/>
      </w:rPr>
      <w:fldChar w:fldCharType="end"/>
    </w:r>
    <w:r>
      <w:rPr>
        <w:rStyle w:val="9"/>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8"/>
      </w:rPr>
    </w:pPr>
    <w:r>
      <w:rPr>
        <w:rFonts w:hint="eastAsia"/>
        <w:sz w:val="28"/>
        <w:szCs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22</w:t>
    </w:r>
    <w:r>
      <w:rPr>
        <w:rStyle w:val="9"/>
        <w:sz w:val="28"/>
        <w:szCs w:val="28"/>
      </w:rPr>
      <w:fldChar w:fldCharType="end"/>
    </w:r>
    <w:r>
      <w:rPr>
        <w:rStyle w:val="9"/>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753"/>
    <w:rsid w:val="00014848"/>
    <w:rsid w:val="000208BF"/>
    <w:rsid w:val="000319FB"/>
    <w:rsid w:val="000372B1"/>
    <w:rsid w:val="0006234E"/>
    <w:rsid w:val="00070093"/>
    <w:rsid w:val="000A4D2C"/>
    <w:rsid w:val="000C6B5A"/>
    <w:rsid w:val="000D323B"/>
    <w:rsid w:val="000E19E9"/>
    <w:rsid w:val="000F49DD"/>
    <w:rsid w:val="00105FCF"/>
    <w:rsid w:val="001242EC"/>
    <w:rsid w:val="0013273C"/>
    <w:rsid w:val="00134A2C"/>
    <w:rsid w:val="002143B2"/>
    <w:rsid w:val="002214A4"/>
    <w:rsid w:val="00235A1A"/>
    <w:rsid w:val="002426AE"/>
    <w:rsid w:val="00281A3E"/>
    <w:rsid w:val="002A7671"/>
    <w:rsid w:val="002E3235"/>
    <w:rsid w:val="003035E8"/>
    <w:rsid w:val="00333E55"/>
    <w:rsid w:val="00365CBC"/>
    <w:rsid w:val="00397391"/>
    <w:rsid w:val="003B4C37"/>
    <w:rsid w:val="003C60B4"/>
    <w:rsid w:val="00400D7E"/>
    <w:rsid w:val="004119E2"/>
    <w:rsid w:val="00427410"/>
    <w:rsid w:val="00440BAD"/>
    <w:rsid w:val="00461044"/>
    <w:rsid w:val="00484687"/>
    <w:rsid w:val="00487433"/>
    <w:rsid w:val="004D15C6"/>
    <w:rsid w:val="004D5BD0"/>
    <w:rsid w:val="005117A2"/>
    <w:rsid w:val="0054311F"/>
    <w:rsid w:val="00545B76"/>
    <w:rsid w:val="005564B0"/>
    <w:rsid w:val="00556BC5"/>
    <w:rsid w:val="00565350"/>
    <w:rsid w:val="0057202A"/>
    <w:rsid w:val="00580156"/>
    <w:rsid w:val="005A1846"/>
    <w:rsid w:val="005D4347"/>
    <w:rsid w:val="005E33BB"/>
    <w:rsid w:val="005F3D94"/>
    <w:rsid w:val="006050CF"/>
    <w:rsid w:val="006173BC"/>
    <w:rsid w:val="00640708"/>
    <w:rsid w:val="006411FE"/>
    <w:rsid w:val="006462D6"/>
    <w:rsid w:val="00646D43"/>
    <w:rsid w:val="00657E71"/>
    <w:rsid w:val="00671053"/>
    <w:rsid w:val="0069231B"/>
    <w:rsid w:val="006A6039"/>
    <w:rsid w:val="006D11CB"/>
    <w:rsid w:val="006D618E"/>
    <w:rsid w:val="006E5542"/>
    <w:rsid w:val="007141B7"/>
    <w:rsid w:val="00724AB4"/>
    <w:rsid w:val="0075346B"/>
    <w:rsid w:val="00764B2A"/>
    <w:rsid w:val="0077549F"/>
    <w:rsid w:val="007C369E"/>
    <w:rsid w:val="007C61EA"/>
    <w:rsid w:val="00801A2D"/>
    <w:rsid w:val="00801F29"/>
    <w:rsid w:val="008172FC"/>
    <w:rsid w:val="008735A4"/>
    <w:rsid w:val="0087402D"/>
    <w:rsid w:val="00876B1A"/>
    <w:rsid w:val="00892A10"/>
    <w:rsid w:val="008C72CB"/>
    <w:rsid w:val="008E4093"/>
    <w:rsid w:val="008E5503"/>
    <w:rsid w:val="008F01EB"/>
    <w:rsid w:val="008F7278"/>
    <w:rsid w:val="009142A8"/>
    <w:rsid w:val="00917A65"/>
    <w:rsid w:val="009210CA"/>
    <w:rsid w:val="009435ED"/>
    <w:rsid w:val="00943C80"/>
    <w:rsid w:val="009451E8"/>
    <w:rsid w:val="00961376"/>
    <w:rsid w:val="0097318D"/>
    <w:rsid w:val="009B556B"/>
    <w:rsid w:val="009B716F"/>
    <w:rsid w:val="009D66BE"/>
    <w:rsid w:val="00A1496E"/>
    <w:rsid w:val="00A56287"/>
    <w:rsid w:val="00A647C2"/>
    <w:rsid w:val="00AB0CDF"/>
    <w:rsid w:val="00AD16A1"/>
    <w:rsid w:val="00AD409C"/>
    <w:rsid w:val="00AF2561"/>
    <w:rsid w:val="00AF3839"/>
    <w:rsid w:val="00B01D78"/>
    <w:rsid w:val="00B42D50"/>
    <w:rsid w:val="00B4372D"/>
    <w:rsid w:val="00B47E8D"/>
    <w:rsid w:val="00B6018A"/>
    <w:rsid w:val="00B60EDE"/>
    <w:rsid w:val="00B761F0"/>
    <w:rsid w:val="00B9478A"/>
    <w:rsid w:val="00BA5F19"/>
    <w:rsid w:val="00BB4CF9"/>
    <w:rsid w:val="00BB5F24"/>
    <w:rsid w:val="00BE4BF1"/>
    <w:rsid w:val="00BF1454"/>
    <w:rsid w:val="00BF7B39"/>
    <w:rsid w:val="00C20826"/>
    <w:rsid w:val="00C24F97"/>
    <w:rsid w:val="00C574B4"/>
    <w:rsid w:val="00CA1CD7"/>
    <w:rsid w:val="00CA214E"/>
    <w:rsid w:val="00CA3248"/>
    <w:rsid w:val="00CC1117"/>
    <w:rsid w:val="00CD20EB"/>
    <w:rsid w:val="00CE6AF7"/>
    <w:rsid w:val="00CF6668"/>
    <w:rsid w:val="00D21D55"/>
    <w:rsid w:val="00D37803"/>
    <w:rsid w:val="00D462B3"/>
    <w:rsid w:val="00D5026E"/>
    <w:rsid w:val="00D50556"/>
    <w:rsid w:val="00D74792"/>
    <w:rsid w:val="00D9798D"/>
    <w:rsid w:val="00DF7CC2"/>
    <w:rsid w:val="00E04C97"/>
    <w:rsid w:val="00E11139"/>
    <w:rsid w:val="00E337B1"/>
    <w:rsid w:val="00E503E0"/>
    <w:rsid w:val="00E57E1D"/>
    <w:rsid w:val="00EC3633"/>
    <w:rsid w:val="00ED020B"/>
    <w:rsid w:val="00EE1F3D"/>
    <w:rsid w:val="00EF50E3"/>
    <w:rsid w:val="00EF60C5"/>
    <w:rsid w:val="00EF6F85"/>
    <w:rsid w:val="00F06B46"/>
    <w:rsid w:val="00F35ADE"/>
    <w:rsid w:val="00F41D3B"/>
    <w:rsid w:val="00F53F05"/>
    <w:rsid w:val="00F77B47"/>
    <w:rsid w:val="00F81753"/>
    <w:rsid w:val="00FA1A52"/>
    <w:rsid w:val="00FC70B8"/>
    <w:rsid w:val="225D2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spacing w:beforeLines="30"/>
    </w:pPr>
    <w:rPr>
      <w:rFonts w:ascii="仿宋_GB2312" w:eastAsia="仿宋_GB2312"/>
      <w:sz w:val="30"/>
    </w:rPr>
  </w:style>
  <w:style w:type="paragraph" w:styleId="3">
    <w:name w:val="Plain Text"/>
    <w:basedOn w:val="1"/>
    <w:link w:val="12"/>
    <w:uiPriority w:val="0"/>
    <w:rPr>
      <w:rFonts w:ascii="宋体" w:hAnsi="Courier New" w:cs="Courier New"/>
      <w:szCs w:val="21"/>
    </w:rPr>
  </w:style>
  <w:style w:type="paragraph" w:styleId="4">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22"/>
    <w:rPr>
      <w:b/>
      <w:bCs/>
    </w:rPr>
  </w:style>
  <w:style w:type="character" w:styleId="9">
    <w:name w:val="page number"/>
    <w:basedOn w:val="7"/>
    <w:uiPriority w:val="0"/>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纯文本 Char"/>
    <w:basedOn w:val="7"/>
    <w:link w:val="3"/>
    <w:uiPriority w:val="0"/>
    <w:rPr>
      <w:rFonts w:ascii="宋体" w:hAnsi="Courier New" w:eastAsia="宋体" w:cs="Courier New"/>
      <w:szCs w:val="21"/>
    </w:rPr>
  </w:style>
  <w:style w:type="character" w:customStyle="1" w:styleId="13">
    <w:name w:val="正文文本 Char"/>
    <w:basedOn w:val="7"/>
    <w:link w:val="2"/>
    <w:uiPriority w:val="0"/>
    <w:rPr>
      <w:rFonts w:ascii="仿宋_GB2312" w:hAnsi="Times New Roman" w:eastAsia="仿宋_GB2312" w:cs="Times New Roman"/>
      <w:sz w:val="30"/>
      <w:szCs w:val="24"/>
    </w:rPr>
  </w:style>
  <w:style w:type="paragraph" w:customStyle="1" w:styleId="14">
    <w:name w:val="Defaul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2050</Words>
  <Characters>11685</Characters>
  <Lines>97</Lines>
  <Paragraphs>27</Paragraphs>
  <TotalTime>358</TotalTime>
  <ScaleCrop>false</ScaleCrop>
  <LinksUpToDate>false</LinksUpToDate>
  <CharactersWithSpaces>13708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2018-09-11T06:11:00Z</dcterms:created>
  <dc:creator>广元市广播电视大学</dc:creator>
  <cp:lastModifiedBy>彭飞</cp:lastModifiedBy>
  <dcterms:modified xsi:type="dcterms:W3CDTF">2022-04-24T01:05:26Z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0DDF54A3251D4724A250424EFC80C8E7</vt:lpwstr>
  </property>
</Properties>
</file>