
<file path=[Content_Types].xml><?xml version="1.0" encoding="utf-8"?>
<Types xmlns="http://schemas.openxmlformats.org/package/2006/content-types">
  <Default Extension="xml" ContentType="application/xml"/>
  <Default Extension="xls" ContentType="application/vnd.ms-exce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378441"/>
      <w:bookmarkStart w:id="4" w:name="_Toc15396475"/>
      <w:bookmarkStart w:id="5" w:name="_Toc15377193"/>
      <w:r>
        <w:rPr>
          <w:rFonts w:ascii="方正小标宋简体" w:hAnsi="黑体" w:eastAsia="方正小标宋简体" w:cs="方正小标宋简体"/>
          <w:color w:val="000000"/>
          <w:sz w:val="72"/>
          <w:szCs w:val="72"/>
        </w:rPr>
        <w:t>20</w:t>
      </w:r>
      <w:r>
        <w:rPr>
          <w:rFonts w:hint="eastAsia" w:ascii="方正小标宋简体" w:hAnsi="黑体" w:eastAsia="方正小标宋简体" w:cs="方正小标宋简体"/>
          <w:color w:val="000000"/>
          <w:sz w:val="72"/>
          <w:szCs w:val="72"/>
        </w:rPr>
        <w:t>20</w:t>
      </w:r>
      <w:r>
        <w:rPr>
          <w:rFonts w:hint="eastAsia" w:ascii="方正小标宋简体" w:hAnsi="宋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7194"/>
      <w:bookmarkStart w:id="8" w:name="_Toc15396476"/>
      <w:bookmarkStart w:id="9" w:name="_Toc15378442"/>
      <w:bookmarkStart w:id="10" w:name="_Toc15396598"/>
      <w:r>
        <w:rPr>
          <w:rFonts w:hint="eastAsia" w:ascii="方正小标宋简体" w:hAnsi="宋体" w:eastAsia="方正小标宋简体" w:cs="方正小标宋简体"/>
          <w:color w:val="000000"/>
          <w:sz w:val="72"/>
          <w:szCs w:val="72"/>
        </w:rPr>
        <w:t>广元市</w:t>
      </w:r>
      <w:bookmarkEnd w:id="0"/>
      <w:bookmarkStart w:id="11" w:name="_Toc15306268"/>
      <w:r>
        <w:rPr>
          <w:rFonts w:hint="eastAsia" w:ascii="方正小标宋简体" w:hAnsi="宋体" w:eastAsia="方正小标宋简体" w:cs="方正小标宋简体"/>
          <w:color w:val="000000"/>
          <w:sz w:val="72"/>
          <w:szCs w:val="72"/>
        </w:rPr>
        <w:t>医疗保障局部门决算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黑体" w:eastAsia="方正小标宋简体"/>
          <w:color w:val="000000"/>
          <w:sz w:val="44"/>
          <w:szCs w:val="44"/>
        </w:rPr>
      </w:pPr>
      <w:r>
        <w:rPr>
          <w:rFonts w:ascii="方正小标宋简体" w:hAnsi="宋体" w:eastAsia="方正小标宋简体"/>
          <w:color w:val="000000"/>
          <w:sz w:val="36"/>
          <w:szCs w:val="36"/>
        </w:rPr>
        <w:br w:type="page"/>
      </w:r>
      <w:r>
        <w:rPr>
          <w:rFonts w:hint="eastAsia" w:ascii="方正小标宋简体" w:hAnsi="黑体" w:eastAsia="方正小标宋简体" w:cs="方正小标宋简体"/>
          <w:color w:val="000000"/>
          <w:sz w:val="44"/>
          <w:szCs w:val="44"/>
        </w:rPr>
        <w:t>目      录</w:t>
      </w:r>
    </w:p>
    <w:p>
      <w:pPr>
        <w:pStyle w:val="11"/>
        <w:jc w:val="center"/>
        <w:rPr>
          <w:rFonts w:ascii="仿宋_GB2312" w:hAnsi="Times New Roman" w:eastAsia="仿宋_GB2312" w:cs="仿宋_GB2312"/>
        </w:rPr>
      </w:pPr>
      <w:r>
        <w:rPr>
          <w:rFonts w:hint="eastAsia" w:ascii="仿宋_GB2312" w:hAnsi="Times New Roman" w:eastAsia="仿宋_GB2312" w:cs="仿宋_GB2312"/>
        </w:rPr>
        <w:t>公开时间：2021年9月18日</w:t>
      </w:r>
    </w:p>
    <w:p>
      <w:pPr>
        <w:spacing w:line="300" w:lineRule="exact"/>
      </w:pPr>
    </w:p>
    <w:p>
      <w:pPr>
        <w:pStyle w:val="11"/>
        <w:rPr>
          <w:rFonts w:cs="Times New Roman"/>
        </w:rPr>
      </w:pPr>
      <w:r>
        <w:rPr>
          <w:rFonts w:hint="eastAsia"/>
        </w:rPr>
        <w:t>第一部分 部门概况</w:t>
      </w:r>
    </w:p>
    <w:p>
      <w:pPr>
        <w:pStyle w:val="12"/>
        <w:adjustRightInd w:val="0"/>
        <w:snapToGrid w:val="0"/>
        <w:spacing w:line="572" w:lineRule="exact"/>
        <w:ind w:left="0" w:leftChars="0" w:firstLine="640" w:firstLineChars="200"/>
        <w:rPr>
          <w:rFonts w:ascii="仿宋_GB2312" w:hAnsi="仿宋" w:eastAsia="仿宋_GB2312"/>
          <w:sz w:val="32"/>
          <w:szCs w:val="32"/>
        </w:rPr>
      </w:pPr>
      <w:r>
        <w:rPr>
          <w:rFonts w:hint="eastAsia" w:ascii="仿宋_GB2312" w:eastAsia="仿宋_GB2312" w:cs="仿宋_GB2312"/>
          <w:sz w:val="32"/>
          <w:szCs w:val="32"/>
        </w:rPr>
        <w:t>一、基本职能及主要工作……………………………… （4）</w:t>
      </w:r>
    </w:p>
    <w:p>
      <w:pPr>
        <w:pStyle w:val="12"/>
        <w:adjustRightInd w:val="0"/>
        <w:snapToGrid w:val="0"/>
        <w:spacing w:line="572" w:lineRule="exact"/>
        <w:ind w:left="0" w:leftChars="0" w:firstLine="640" w:firstLineChars="200"/>
        <w:rPr>
          <w:rFonts w:ascii="仿宋_GB2312" w:hAnsi="仿宋" w:eastAsia="仿宋_GB2312"/>
          <w:sz w:val="32"/>
          <w:szCs w:val="32"/>
        </w:rPr>
      </w:pPr>
      <w:r>
        <w:rPr>
          <w:rFonts w:hint="eastAsia" w:ascii="仿宋_GB2312" w:eastAsia="仿宋_GB2312" w:cs="仿宋_GB2312"/>
          <w:sz w:val="32"/>
          <w:szCs w:val="32"/>
        </w:rPr>
        <w:t>二、机构设置………………………………………………（8）</w:t>
      </w:r>
    </w:p>
    <w:p>
      <w:pPr>
        <w:pStyle w:val="11"/>
        <w:rPr>
          <w:rFonts w:cs="Times New Roman"/>
        </w:rPr>
      </w:pPr>
      <w:r>
        <w:rPr>
          <w:rFonts w:hint="eastAsia"/>
        </w:rPr>
        <w:t>第二部分</w:t>
      </w:r>
      <w:r>
        <w:t xml:space="preserve"> 20</w:t>
      </w:r>
      <w:r>
        <w:rPr>
          <w:rFonts w:hint="eastAsia"/>
        </w:rPr>
        <w:t>20年度部门决算情况说明</w:t>
      </w:r>
    </w:p>
    <w:p>
      <w:pPr>
        <w:pStyle w:val="12"/>
        <w:adjustRightInd w:val="0"/>
        <w:snapToGrid w:val="0"/>
        <w:spacing w:line="572" w:lineRule="exact"/>
        <w:ind w:left="0" w:leftChars="0" w:firstLine="640" w:firstLineChars="200"/>
        <w:rPr>
          <w:rFonts w:ascii="仿宋_GB2312" w:hAnsi="仿宋" w:eastAsia="仿宋_GB2312"/>
          <w:sz w:val="32"/>
          <w:szCs w:val="32"/>
        </w:rPr>
      </w:pPr>
      <w:r>
        <w:rPr>
          <w:rFonts w:hint="eastAsia" w:ascii="仿宋_GB2312" w:eastAsia="仿宋_GB2312" w:cs="仿宋_GB2312"/>
          <w:sz w:val="32"/>
          <w:szCs w:val="32"/>
        </w:rPr>
        <w:t>一、收入支出决算总体情况说明…………………………（9）</w:t>
      </w:r>
    </w:p>
    <w:p>
      <w:pPr>
        <w:pStyle w:val="12"/>
        <w:adjustRightInd w:val="0"/>
        <w:snapToGrid w:val="0"/>
        <w:spacing w:line="572" w:lineRule="exact"/>
        <w:ind w:left="0" w:leftChars="0" w:firstLine="640" w:firstLineChars="200"/>
        <w:rPr>
          <w:rFonts w:ascii="仿宋_GB2312" w:hAnsi="仿宋" w:eastAsia="仿宋_GB2312"/>
          <w:sz w:val="32"/>
          <w:szCs w:val="32"/>
        </w:rPr>
      </w:pPr>
      <w:r>
        <w:rPr>
          <w:rFonts w:hint="eastAsia" w:ascii="仿宋_GB2312" w:eastAsia="仿宋_GB2312" w:cs="仿宋_GB2312"/>
          <w:sz w:val="32"/>
          <w:szCs w:val="32"/>
        </w:rPr>
        <w:t>二、收入决算情况说明……………………………………（9）</w:t>
      </w:r>
    </w:p>
    <w:p>
      <w:pPr>
        <w:pStyle w:val="12"/>
        <w:adjustRightInd w:val="0"/>
        <w:snapToGrid w:val="0"/>
        <w:spacing w:line="572" w:lineRule="exact"/>
        <w:ind w:left="0" w:leftChars="0" w:firstLine="640" w:firstLineChars="200"/>
        <w:rPr>
          <w:rFonts w:ascii="仿宋_GB2312" w:hAnsi="仿宋" w:eastAsia="仿宋_GB2312"/>
          <w:sz w:val="32"/>
          <w:szCs w:val="32"/>
        </w:rPr>
      </w:pPr>
      <w:r>
        <w:rPr>
          <w:rFonts w:hint="eastAsia" w:ascii="仿宋_GB2312" w:eastAsia="仿宋_GB2312" w:cs="仿宋_GB2312"/>
          <w:sz w:val="32"/>
          <w:szCs w:val="32"/>
        </w:rPr>
        <w:t>三、支出决算情况说明……………………………………（10）</w:t>
      </w:r>
    </w:p>
    <w:p>
      <w:pPr>
        <w:pStyle w:val="12"/>
        <w:adjustRightInd w:val="0"/>
        <w:snapToGrid w:val="0"/>
        <w:spacing w:line="572" w:lineRule="exact"/>
        <w:ind w:left="0" w:leftChars="0" w:firstLine="640" w:firstLineChars="200"/>
        <w:rPr>
          <w:rFonts w:ascii="仿宋_GB2312" w:hAnsi="仿宋" w:eastAsia="仿宋_GB2312"/>
          <w:sz w:val="32"/>
          <w:szCs w:val="32"/>
        </w:rPr>
      </w:pPr>
      <w:r>
        <w:rPr>
          <w:rFonts w:hint="eastAsia" w:ascii="仿宋_GB2312" w:eastAsia="仿宋_GB2312" w:cs="仿宋_GB2312"/>
          <w:sz w:val="32"/>
          <w:szCs w:val="32"/>
        </w:rPr>
        <w:t>四、财政拨款收入支出决算总体情况说明………………（10）</w:t>
      </w:r>
    </w:p>
    <w:p>
      <w:pPr>
        <w:pStyle w:val="12"/>
        <w:adjustRightInd w:val="0"/>
        <w:snapToGrid w:val="0"/>
        <w:spacing w:line="572" w:lineRule="exact"/>
        <w:ind w:left="0" w:leftChars="0" w:firstLine="640" w:firstLineChars="200"/>
        <w:rPr>
          <w:rFonts w:ascii="仿宋_GB2312" w:hAnsi="仿宋" w:eastAsia="仿宋_GB2312"/>
          <w:sz w:val="32"/>
          <w:szCs w:val="32"/>
        </w:rPr>
      </w:pPr>
      <w:r>
        <w:rPr>
          <w:rFonts w:hint="eastAsia" w:ascii="仿宋_GB2312" w:eastAsia="仿宋_GB2312" w:cs="仿宋_GB2312"/>
          <w:sz w:val="32"/>
          <w:szCs w:val="32"/>
        </w:rPr>
        <w:t>五、一般公共预算财政拨款支出决算情况说明………（11）</w:t>
      </w:r>
    </w:p>
    <w:p>
      <w:pPr>
        <w:pStyle w:val="12"/>
        <w:adjustRightInd w:val="0"/>
        <w:snapToGrid w:val="0"/>
        <w:spacing w:line="572" w:lineRule="exact"/>
        <w:ind w:left="0" w:leftChars="0" w:firstLine="640" w:firstLineChars="200"/>
        <w:rPr>
          <w:rFonts w:ascii="仿宋_GB2312" w:hAnsi="仿宋" w:eastAsia="仿宋_GB2312"/>
          <w:sz w:val="32"/>
          <w:szCs w:val="32"/>
        </w:rPr>
      </w:pPr>
      <w:r>
        <w:rPr>
          <w:rFonts w:hint="eastAsia" w:ascii="仿宋_GB2312" w:eastAsia="仿宋_GB2312" w:cs="仿宋_GB2312"/>
          <w:sz w:val="32"/>
          <w:szCs w:val="32"/>
        </w:rPr>
        <w:t>六、一般公共预算财政拨款基本支出决算情况说明…（13）</w:t>
      </w:r>
    </w:p>
    <w:p>
      <w:pPr>
        <w:pStyle w:val="12"/>
        <w:adjustRightInd w:val="0"/>
        <w:snapToGrid w:val="0"/>
        <w:spacing w:line="572" w:lineRule="exact"/>
        <w:ind w:left="0" w:leftChars="0" w:firstLine="640" w:firstLineChars="200"/>
        <w:rPr>
          <w:rFonts w:ascii="仿宋_GB2312" w:hAnsi="仿宋" w:eastAsia="仿宋_GB2312"/>
          <w:sz w:val="32"/>
          <w:szCs w:val="32"/>
        </w:rPr>
      </w:pPr>
      <w:r>
        <w:rPr>
          <w:rFonts w:hint="eastAsia" w:ascii="仿宋_GB2312" w:eastAsia="仿宋_GB2312" w:cs="仿宋_GB2312"/>
          <w:sz w:val="32"/>
          <w:szCs w:val="32"/>
        </w:rPr>
        <w:t>七、“三公”经费财政拨款支出决算情况说明………（13）</w:t>
      </w:r>
    </w:p>
    <w:p>
      <w:pPr>
        <w:pStyle w:val="12"/>
        <w:adjustRightInd w:val="0"/>
        <w:snapToGrid w:val="0"/>
        <w:spacing w:line="572" w:lineRule="exact"/>
        <w:ind w:left="0" w:leftChars="0" w:firstLine="640" w:firstLineChars="200"/>
        <w:rPr>
          <w:rFonts w:ascii="仿宋_GB2312" w:hAnsi="仿宋" w:eastAsia="仿宋_GB2312"/>
          <w:sz w:val="32"/>
          <w:szCs w:val="32"/>
        </w:rPr>
      </w:pPr>
      <w:r>
        <w:rPr>
          <w:rFonts w:hint="eastAsia" w:ascii="仿宋_GB2312" w:eastAsia="仿宋_GB2312" w:cs="仿宋_GB2312"/>
          <w:sz w:val="32"/>
          <w:szCs w:val="32"/>
        </w:rPr>
        <w:t>八、政府性基金预算支出决算情况说明…………………（15）</w:t>
      </w:r>
    </w:p>
    <w:p>
      <w:pPr>
        <w:pStyle w:val="12"/>
        <w:adjustRightInd w:val="0"/>
        <w:snapToGrid w:val="0"/>
        <w:spacing w:line="572" w:lineRule="exact"/>
        <w:ind w:left="0" w:leftChars="0" w:firstLine="640" w:firstLineChars="200"/>
        <w:rPr>
          <w:rFonts w:ascii="仿宋_GB2312" w:hAnsi="仿宋" w:eastAsia="仿宋_GB2312"/>
          <w:sz w:val="32"/>
          <w:szCs w:val="32"/>
        </w:rPr>
      </w:pPr>
      <w:r>
        <w:rPr>
          <w:rFonts w:hint="eastAsia" w:ascii="仿宋_GB2312" w:hAnsi="仿宋" w:eastAsia="仿宋_GB2312" w:cs="仿宋_GB2312"/>
          <w:sz w:val="32"/>
          <w:szCs w:val="32"/>
        </w:rPr>
        <w:t>九、</w:t>
      </w:r>
      <w:r>
        <w:rPr>
          <w:rFonts w:hint="eastAsia" w:ascii="仿宋_GB2312" w:eastAsia="仿宋_GB2312" w:cs="仿宋_GB2312"/>
          <w:sz w:val="32"/>
          <w:szCs w:val="32"/>
        </w:rPr>
        <w:t>国有资本经营预算支出决算情况说明………………（15）</w:t>
      </w:r>
    </w:p>
    <w:p>
      <w:pPr>
        <w:adjustRightInd w:val="0"/>
        <w:snapToGrid w:val="0"/>
        <w:spacing w:line="572" w:lineRule="exact"/>
        <w:ind w:firstLine="640" w:firstLineChars="200"/>
        <w:rPr>
          <w:rFonts w:ascii="仿宋_GB2312" w:hAnsi="仿宋" w:eastAsia="仿宋_GB2312"/>
          <w:sz w:val="32"/>
          <w:szCs w:val="32"/>
        </w:rPr>
      </w:pPr>
      <w:r>
        <w:rPr>
          <w:rStyle w:val="17"/>
          <w:rFonts w:hint="eastAsia" w:ascii="仿宋_GB2312" w:hAnsi="仿宋" w:eastAsia="仿宋_GB2312" w:cs="仿宋_GB2312"/>
          <w:color w:val="000000"/>
          <w:sz w:val="32"/>
          <w:szCs w:val="32"/>
          <w:u w:val="none"/>
        </w:rPr>
        <w:t>十、</w:t>
      </w:r>
      <w:r>
        <w:rPr>
          <w:rFonts w:hint="eastAsia" w:ascii="仿宋_GB2312" w:eastAsia="仿宋_GB2312" w:cs="仿宋_GB2312"/>
          <w:sz w:val="32"/>
          <w:szCs w:val="32"/>
        </w:rPr>
        <w:t>其他重要事项的情况说明</w:t>
      </w:r>
      <w:r>
        <w:rPr>
          <w:rFonts w:hint="eastAsia" w:ascii="仿宋_GB2312" w:hAnsi="仿宋" w:eastAsia="仿宋_GB2312"/>
          <w:sz w:val="32"/>
          <w:szCs w:val="32"/>
        </w:rPr>
        <w:t>……</w:t>
      </w:r>
      <w:r>
        <w:rPr>
          <w:rFonts w:hint="eastAsia" w:ascii="仿宋_GB2312" w:eastAsia="仿宋_GB2312" w:cs="仿宋_GB2312"/>
          <w:sz w:val="32"/>
          <w:szCs w:val="32"/>
        </w:rPr>
        <w:t>………………………（15）</w:t>
      </w:r>
    </w:p>
    <w:p>
      <w:pPr>
        <w:pStyle w:val="11"/>
        <w:rPr>
          <w:rFonts w:cs="Times New Roman"/>
        </w:rPr>
      </w:pPr>
      <w:r>
        <w:rPr>
          <w:rFonts w:hint="eastAsia"/>
        </w:rPr>
        <w:t>第三部分 名词解释</w:t>
      </w:r>
      <w:r>
        <w:rPr>
          <w:rFonts w:hint="eastAsia" w:ascii="仿宋_GB2312" w:eastAsia="仿宋_GB2312"/>
        </w:rPr>
        <w:t>……</w:t>
      </w:r>
      <w:r>
        <w:rPr>
          <w:rFonts w:hint="eastAsia" w:ascii="仿宋_GB2312" w:eastAsia="仿宋_GB2312" w:cs="仿宋_GB2312"/>
        </w:rPr>
        <w:t>…………………………………（25）</w:t>
      </w:r>
    </w:p>
    <w:p>
      <w:pPr>
        <w:pStyle w:val="11"/>
      </w:pPr>
      <w:r>
        <w:rPr>
          <w:rFonts w:hint="eastAsia"/>
        </w:rPr>
        <w:t>第四部分 附件</w:t>
      </w:r>
      <w:r>
        <w:rPr>
          <w:rFonts w:hint="eastAsia" w:ascii="仿宋_GB2312" w:eastAsia="仿宋_GB2312"/>
        </w:rPr>
        <w:t>……</w:t>
      </w:r>
      <w:r>
        <w:rPr>
          <w:rFonts w:hint="eastAsia" w:ascii="仿宋_GB2312" w:eastAsia="仿宋_GB2312" w:cs="仿宋_GB2312"/>
        </w:rPr>
        <w:t>………………………………………（27）</w:t>
      </w:r>
    </w:p>
    <w:p>
      <w:pPr>
        <w:pStyle w:val="11"/>
        <w:rPr>
          <w:rFonts w:cs="Times New Roman"/>
        </w:rPr>
      </w:pPr>
      <w:r>
        <w:rPr>
          <w:rFonts w:hint="eastAsia"/>
        </w:rPr>
        <w:t>第五部分 附表</w:t>
      </w:r>
      <w:r>
        <w:rPr>
          <w:rFonts w:hint="eastAsia" w:ascii="仿宋_GB2312" w:eastAsia="仿宋_GB2312"/>
        </w:rPr>
        <w:t>……</w:t>
      </w:r>
      <w:r>
        <w:rPr>
          <w:rFonts w:hint="eastAsia" w:ascii="仿宋_GB2312" w:eastAsia="仿宋_GB2312" w:cs="仿宋_GB2312"/>
        </w:rPr>
        <w:t>………………………………………（48）</w:t>
      </w:r>
    </w:p>
    <w:p>
      <w:pPr>
        <w:pStyle w:val="12"/>
        <w:adjustRightInd w:val="0"/>
        <w:snapToGrid w:val="0"/>
        <w:spacing w:line="572" w:lineRule="exact"/>
        <w:ind w:left="0" w:leftChars="0" w:firstLine="640" w:firstLineChars="200"/>
        <w:rPr>
          <w:rFonts w:ascii="仿宋_GB2312" w:eastAsia="仿宋_GB2312" w:cs="仿宋_GB2312"/>
          <w:sz w:val="32"/>
          <w:szCs w:val="32"/>
        </w:rPr>
      </w:pPr>
      <w:bookmarkStart w:id="12" w:name="_Toc15377196"/>
      <w:bookmarkStart w:id="13" w:name="_Toc15396599"/>
      <w:r>
        <w:rPr>
          <w:rFonts w:hint="eastAsia" w:ascii="仿宋_GB2312" w:eastAsia="仿宋_GB2312" w:cs="仿宋_GB2312"/>
          <w:sz w:val="32"/>
          <w:szCs w:val="32"/>
        </w:rPr>
        <w:t>一、收入支出决算总表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二、收入决算表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三、支出决算表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四、财政拨款收入支出决算总表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五、财政拨款支出决算明细表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六、一般公共预算财政拨款支出决算表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七、一般公共预算财政拨款支出决算明细表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八、一般公共预算财政拨款基本支出决算表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九、一般公共预算财政拨款项目支出决算表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十、一般公共预算财政拨款“三公”经费支出决算表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十一、政府性基金预算财政拨款收入支出决算表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十二、政府性基金预算财政拨款“三公”经费支出决算表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十三、国有资本经营预算财政拨款收入支出决算表</w:t>
      </w:r>
    </w:p>
    <w:p>
      <w:pPr>
        <w:pStyle w:val="12"/>
        <w:adjustRightInd w:val="0"/>
        <w:snapToGrid w:val="0"/>
        <w:spacing w:line="572" w:lineRule="exact"/>
        <w:ind w:left="0" w:leftChars="0" w:firstLine="640" w:firstLineChars="200"/>
        <w:rPr>
          <w:rFonts w:ascii="仿宋_GB2312" w:eastAsia="仿宋_GB2312" w:cs="仿宋_GB2312"/>
          <w:sz w:val="32"/>
          <w:szCs w:val="32"/>
        </w:rPr>
      </w:pPr>
      <w:r>
        <w:rPr>
          <w:rFonts w:hint="eastAsia" w:ascii="仿宋_GB2312" w:eastAsia="仿宋_GB2312" w:cs="仿宋_GB2312"/>
          <w:sz w:val="32"/>
          <w:szCs w:val="32"/>
        </w:rPr>
        <w:t>十四、国有资本经营预算财政拨款支出决算表</w:t>
      </w:r>
    </w:p>
    <w:p>
      <w:pPr>
        <w:widowControl/>
        <w:numPr>
          <w:ilvl w:val="0"/>
          <w:numId w:val="1"/>
        </w:numPr>
        <w:spacing w:line="440" w:lineRule="exact"/>
        <w:jc w:val="center"/>
        <w:rPr>
          <w:rStyle w:val="18"/>
          <w:rFonts w:ascii="方正小标宋简体" w:hAnsi="黑体" w:eastAsia="方正小标宋简体"/>
          <w:b w:val="0"/>
          <w:bCs w:val="0"/>
        </w:rPr>
      </w:pPr>
      <w:r>
        <w:rPr>
          <w:rFonts w:ascii="仿宋" w:hAnsi="仿宋" w:eastAsia="仿宋"/>
          <w:sz w:val="24"/>
          <w:szCs w:val="24"/>
        </w:rPr>
        <w:br w:type="page"/>
      </w:r>
      <w:r>
        <w:rPr>
          <w:rFonts w:hint="eastAsia" w:ascii="方正小标宋简体" w:eastAsia="方正小标宋简体" w:cs="方正小标宋简体"/>
          <w:sz w:val="44"/>
          <w:szCs w:val="44"/>
        </w:rPr>
        <w:t xml:space="preserve">  </w:t>
      </w:r>
      <w:r>
        <w:rPr>
          <w:rStyle w:val="18"/>
          <w:rFonts w:hint="eastAsia" w:ascii="方正小标宋简体" w:hAnsi="黑体" w:eastAsia="方正小标宋简体" w:cs="方正小标宋简体"/>
          <w:b w:val="0"/>
          <w:bCs w:val="0"/>
        </w:rPr>
        <w:t>部门概况</w:t>
      </w:r>
      <w:bookmarkEnd w:id="12"/>
      <w:bookmarkEnd w:id="13"/>
    </w:p>
    <w:p>
      <w:pPr>
        <w:pStyle w:val="4"/>
        <w:spacing w:before="0" w:after="0" w:line="576" w:lineRule="exact"/>
        <w:ind w:firstLine="640" w:firstLineChars="200"/>
        <w:rPr>
          <w:rFonts w:ascii="黑体" w:hAnsi="黑体" w:eastAsia="黑体" w:cs="Times New Roman"/>
          <w:b w:val="0"/>
          <w:bCs w:val="0"/>
          <w:color w:val="000000"/>
        </w:rPr>
      </w:pPr>
      <w:bookmarkStart w:id="14" w:name="_Toc15396600"/>
      <w:bookmarkStart w:id="15" w:name="_Toc15377197"/>
    </w:p>
    <w:p>
      <w:pPr>
        <w:pStyle w:val="4"/>
        <w:spacing w:before="0" w:after="0" w:line="576" w:lineRule="exact"/>
        <w:ind w:firstLine="640" w:firstLineChars="200"/>
        <w:rPr>
          <w:rStyle w:val="19"/>
          <w:rFonts w:ascii="方正黑体简体" w:hAnsi="仿宋" w:eastAsia="方正黑体简体" w:cs="Times New Roman"/>
          <w:b w:val="0"/>
          <w:bCs w:val="0"/>
        </w:rPr>
      </w:pPr>
      <w:r>
        <w:rPr>
          <w:rFonts w:hint="eastAsia" w:ascii="方正黑体简体" w:hAnsi="黑体" w:eastAsia="方正黑体简体" w:cs="方正黑体简体"/>
          <w:b w:val="0"/>
          <w:bCs w:val="0"/>
          <w:color w:val="000000"/>
        </w:rPr>
        <w:t>一、基</w:t>
      </w:r>
      <w:r>
        <w:rPr>
          <w:rStyle w:val="19"/>
          <w:rFonts w:hint="eastAsia" w:ascii="方正黑体简体" w:hAnsi="黑体" w:eastAsia="方正黑体简体" w:cs="方正黑体简体"/>
          <w:b w:val="0"/>
          <w:bCs w:val="0"/>
        </w:rPr>
        <w:t>本职能及主要工作</w:t>
      </w:r>
      <w:bookmarkEnd w:id="14"/>
      <w:bookmarkEnd w:id="15"/>
    </w:p>
    <w:p>
      <w:pPr>
        <w:pStyle w:val="6"/>
        <w:adjustRightInd w:val="0"/>
        <w:snapToGrid w:val="0"/>
        <w:spacing w:beforeLines="0" w:line="576" w:lineRule="exact"/>
        <w:ind w:firstLine="640" w:firstLineChars="200"/>
        <w:rPr>
          <w:rFonts w:ascii="方正楷体简体" w:hAnsi="仿宋" w:eastAsia="方正楷体简体"/>
          <w:color w:val="000000"/>
          <w:sz w:val="32"/>
          <w:szCs w:val="32"/>
        </w:rPr>
      </w:pPr>
      <w:bookmarkStart w:id="16" w:name="_Toc15378445"/>
      <w:bookmarkStart w:id="17" w:name="_Toc15377198"/>
      <w:r>
        <w:rPr>
          <w:rFonts w:hint="eastAsia" w:ascii="方正楷体简体" w:hAnsi="仿宋" w:eastAsia="方正楷体简体" w:cs="方正楷体简体"/>
          <w:color w:val="000000"/>
          <w:sz w:val="32"/>
          <w:szCs w:val="32"/>
        </w:rPr>
        <w:t>（一）主要职能。</w:t>
      </w:r>
      <w:bookmarkEnd w:id="16"/>
      <w:bookmarkEnd w:id="17"/>
    </w:p>
    <w:p>
      <w:pPr>
        <w:spacing w:line="576" w:lineRule="exact"/>
        <w:ind w:firstLine="640" w:firstLineChars="200"/>
        <w:rPr>
          <w:rFonts w:ascii="仿宋_GB2312" w:eastAsia="仿宋_GB2312"/>
          <w:sz w:val="32"/>
          <w:szCs w:val="32"/>
        </w:rPr>
      </w:pPr>
      <w:bookmarkStart w:id="18" w:name="_Toc15378446"/>
      <w:bookmarkStart w:id="19" w:name="_Toc15377199"/>
      <w:r>
        <w:rPr>
          <w:rFonts w:ascii="仿宋_GB2312" w:eastAsia="仿宋_GB2312" w:cs="仿宋_GB2312"/>
          <w:sz w:val="32"/>
          <w:szCs w:val="32"/>
        </w:rPr>
        <w:t xml:space="preserve">1. </w:t>
      </w:r>
      <w:r>
        <w:rPr>
          <w:rFonts w:hint="eastAsia" w:ascii="仿宋_GB2312" w:eastAsia="仿宋_GB2312" w:cs="仿宋_GB2312"/>
          <w:sz w:val="32"/>
          <w:szCs w:val="32"/>
        </w:rPr>
        <w:t>负责贯彻执行国家、省、市有关医疗保险、生育保险、医疗救助、长期护理保险等医疗保障政策制度。</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2. </w:t>
      </w:r>
      <w:r>
        <w:rPr>
          <w:rFonts w:hint="eastAsia" w:ascii="仿宋_GB2312" w:eastAsia="仿宋_GB2312" w:cs="仿宋_GB2312"/>
          <w:sz w:val="32"/>
          <w:szCs w:val="32"/>
        </w:rPr>
        <w:t>组织起草有关地方性法规和规章，草案。负责拟订全市医疗保障事业发展规划、政策和标准，并组织实施和监督检查。</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3. </w:t>
      </w:r>
      <w:r>
        <w:rPr>
          <w:rFonts w:hint="eastAsia" w:ascii="仿宋_GB2312" w:eastAsia="仿宋_GB2312" w:cs="仿宋_GB2312"/>
          <w:spacing w:val="-6"/>
          <w:sz w:val="32"/>
          <w:szCs w:val="32"/>
        </w:rPr>
        <w:t>组织拟订并实施医疗保障基金监督管理制度，建立健全医疗保障基金安全防控机制，监督强化全市医疗保障基金运行管理。</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4. </w:t>
      </w:r>
      <w:r>
        <w:rPr>
          <w:rFonts w:hint="eastAsia" w:ascii="仿宋_GB2312" w:eastAsia="仿宋_GB2312" w:cs="仿宋_GB2312"/>
          <w:sz w:val="32"/>
          <w:szCs w:val="32"/>
        </w:rPr>
        <w:t>组织拟订医疗保障筹资和待遇政策，负责医疗保障基金归集，拟订医疗保障基金年度收支计划，按政策和标准支付医疗待遇；完善动态调整和区域调剂平衡机制，统筹城乡医疗保障待遇标准，建立健全与筹资水平相适应的待遇调整机制。</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5. </w:t>
      </w:r>
      <w:r>
        <w:rPr>
          <w:rFonts w:hint="eastAsia" w:ascii="仿宋_GB2312" w:eastAsia="仿宋_GB2312" w:cs="仿宋_GB2312"/>
          <w:spacing w:val="-6"/>
          <w:sz w:val="32"/>
          <w:szCs w:val="32"/>
        </w:rPr>
        <w:t>贯彻执行上级药品目录、医用耗材、医疗服务项目、医疗服务设施等医疗保障目录和支付标准政策。拟订全市药品目录、医用耗材、医疗服务项目、医疗服务设施等医疗保障目录和支付标准政策。拟订全市有关医保目录准入谈判规则并组织实施。</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6. </w:t>
      </w:r>
      <w:r>
        <w:rPr>
          <w:rFonts w:hint="eastAsia" w:ascii="仿宋_GB2312" w:eastAsia="仿宋_GB2312" w:cs="仿宋_GB2312"/>
          <w:sz w:val="32"/>
          <w:szCs w:val="32"/>
        </w:rPr>
        <w:t>贯彻执行上级药品、医用耗材价格和医疗服务项目、医疗服务设施收费等政策，负责拟订全市医用耗材价格和医疗服务项目、医疗服务设施收费等政策。建立医保支付医药服务价格合理确定和动态调整机制。推动建立市场主导的社会医药服务价格形成机制；建立价格信息监测和信息发布制度。</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7. </w:t>
      </w:r>
      <w:r>
        <w:rPr>
          <w:rFonts w:hint="eastAsia" w:ascii="仿宋_GB2312" w:eastAsia="仿宋_GB2312" w:cs="仿宋_GB2312"/>
          <w:sz w:val="32"/>
          <w:szCs w:val="32"/>
        </w:rPr>
        <w:t>贯彻执行上级药品、医用耗材的招标采购政策并监督实施。负责全市药品、医用耗材招标采购平台建设。组织实施大病保险招标准入和业务指导。</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8. </w:t>
      </w:r>
      <w:r>
        <w:rPr>
          <w:rFonts w:hint="eastAsia" w:ascii="仿宋_GB2312" w:eastAsia="仿宋_GB2312" w:cs="仿宋_GB2312"/>
          <w:sz w:val="32"/>
          <w:szCs w:val="32"/>
        </w:rPr>
        <w:t>推进医疗保障基金支付方式改革，拟订全市定点医药机构协议和支付管理办法并组织实施。负责全市医疗保障定点机构管理和考核工作。</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9. </w:t>
      </w:r>
      <w:r>
        <w:rPr>
          <w:rFonts w:hint="eastAsia" w:ascii="仿宋_GB2312" w:eastAsia="仿宋_GB2312" w:cs="仿宋_GB2312"/>
          <w:sz w:val="32"/>
          <w:szCs w:val="32"/>
        </w:rPr>
        <w:t>建立健全医疗保障信用评价体系和信息披露制度。推进协议服务机构标准化建设，建立协议服务机构准入和退出机制。监督管理纳入医保范围内的医疗服务行为和医疗费用，依法查处医疗保障领域违法违规行为。</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10. </w:t>
      </w:r>
      <w:r>
        <w:rPr>
          <w:rFonts w:hint="eastAsia" w:ascii="仿宋_GB2312" w:eastAsia="仿宋_GB2312" w:cs="仿宋_GB2312"/>
          <w:sz w:val="32"/>
          <w:szCs w:val="32"/>
        </w:rPr>
        <w:t>负责全市医疗保障经办管理、公共服务体系建设。组织拟订和完善异地就医管理和费用结算政策。建立健全医疗保障关系转移接续制度。监督管理全市医保经办服务工作；开展医疗保障领域对外合作交流。</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11. </w:t>
      </w:r>
      <w:r>
        <w:rPr>
          <w:rFonts w:hint="eastAsia" w:ascii="仿宋_GB2312" w:eastAsia="仿宋_GB2312" w:cs="仿宋_GB2312"/>
          <w:sz w:val="32"/>
          <w:szCs w:val="32"/>
        </w:rPr>
        <w:t>负责推进实施全市医疗保障信息化建设，组织开展医疗保障大数据管理和应用。</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12. </w:t>
      </w:r>
      <w:r>
        <w:rPr>
          <w:rFonts w:hint="eastAsia" w:ascii="仿宋_GB2312" w:eastAsia="仿宋_GB2312" w:cs="仿宋_GB2312"/>
          <w:sz w:val="32"/>
          <w:szCs w:val="32"/>
        </w:rPr>
        <w:t>负责职责范围内的安全生产和职业健康、生态环境保护、审批服务便民化等工作。</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13. </w:t>
      </w:r>
      <w:r>
        <w:rPr>
          <w:rFonts w:hint="eastAsia" w:ascii="仿宋_GB2312" w:eastAsia="仿宋_GB2312" w:cs="仿宋_GB2312"/>
          <w:sz w:val="32"/>
          <w:szCs w:val="32"/>
        </w:rPr>
        <w:t>完成市委和市政府交办的其他任务。</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14. </w:t>
      </w:r>
      <w:r>
        <w:rPr>
          <w:rFonts w:hint="eastAsia" w:ascii="仿宋_GB2312" w:eastAsia="仿宋_GB2312" w:cs="仿宋_GB2312"/>
          <w:sz w:val="32"/>
          <w:szCs w:val="32"/>
        </w:rPr>
        <w:t>职能转变。完善统一的城乡居民基本医疗保险制度和大病保险制度，不断提高医疗保障水平，建立健全覆盖全民、城乡统筹的多层次医疗保障体系，确保医保资金合理使用、安全可控，推进医疗、医保、医药“三医联动”改革，更好保障人民群众就医需求、减轻医药费用负担。</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15. </w:t>
      </w:r>
      <w:r>
        <w:rPr>
          <w:rFonts w:hint="eastAsia" w:ascii="仿宋_GB2312" w:eastAsia="仿宋_GB2312" w:cs="仿宋_GB2312"/>
          <w:sz w:val="32"/>
          <w:szCs w:val="32"/>
        </w:rPr>
        <w:t>有关职责分工。市卫生健康委员会、市医疗保障局和市市场监督管理局等部门在医疗、医保、医药等方面加强制度、政策衔接，建立沟通协商机制，协同推进改革，提高医疗资源使用效率和医疗保障水平。</w:t>
      </w:r>
    </w:p>
    <w:p>
      <w:pPr>
        <w:spacing w:line="576" w:lineRule="exact"/>
        <w:ind w:firstLine="640" w:firstLineChars="200"/>
        <w:rPr>
          <w:rFonts w:ascii="方正楷体简体" w:eastAsia="方正楷体简体" w:cs="仿宋_GB2312"/>
          <w:sz w:val="32"/>
          <w:szCs w:val="32"/>
        </w:rPr>
      </w:pPr>
      <w:r>
        <w:rPr>
          <w:rFonts w:hint="eastAsia" w:ascii="方正楷体简体" w:eastAsia="方正楷体简体" w:cs="仿宋_GB2312"/>
          <w:sz w:val="32"/>
          <w:szCs w:val="32"/>
        </w:rPr>
        <w:t>（二）2020年重点工作完成情况。</w:t>
      </w:r>
      <w:bookmarkEnd w:id="18"/>
      <w:bookmarkEnd w:id="19"/>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2020年,全市医疗保障工作的总体要求是：坚持以习近平新时代中国特色社会主义思想为指导，深入贯彻党的十九大和十九届二中、三中、四中全会精神，认真落实党中央国务院、省委省政府、市委市政府决策部署和全国、全省医疗保障工作会议精神，大力实施“三个一、三个三”兴广战略，聚焦新冠疫情防控、全面小康实现、脱贫攻坚大考，聚焦川陕甘结合部医疗中心建设，聚焦医疗保障高质量发展重点任务，进一步完善政策制度、提升保障能力、展现医保担当、树立医保形象，推动医保事业高质量发展，为群众提供更加可及、优质、便捷的医保服务，增强人民群众获得感、幸福感和安全感。</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 坚决打赢新冠肺炎疫情防控阻击战</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（1）落实疫情防控医保政策。</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（2）筑牢疫情防控医保防线。</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（3）减征缓征受疫情影响企业职工医保费。</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 坚决打赢医保脱贫攻坚战</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（4）高质量完成行业扶贫任务。</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w:t>
      </w:r>
      <w:r>
        <w:rPr>
          <w:rFonts w:hint="eastAsia" w:ascii="仿宋_GB2312" w:eastAsia="仿宋_GB2312" w:cs="仿宋_GB2312"/>
          <w:spacing w:val="-6"/>
          <w:sz w:val="32"/>
          <w:szCs w:val="32"/>
        </w:rPr>
        <w:t>高质量完成帮扶任务。</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 健全完善医保制度政策体系</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（6）健全医疗保障和救助制度。</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（7）完善医保“三目录”管理制度。</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（8）优化基本医保政策和基金使用机制。</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 深化医药卫生体制改革</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（9）扎实推进药械集中采购工作。</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（10）建立医疗服务价格动态调整机制和强化价格监测。</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（11）纵深推进医保支付方式改革。</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（12）支持朝天区县域医共体建设试点。</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 持之以恒加强医保基金监管</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（13）推动基金监管长效机制建设。</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（14）保持打击欺诈骗保高压态势。</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（15）严控医疗费用不合理增长。</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 巩固提升医保公共服务能力水平</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（16）千方百计做好参保征收工作。</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（17）健全医保经办服务体系。</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（18）深入推进行风建设。</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（19）推进异地就医结算服务扩围提质。</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 提升医保信息化保障能力建设</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（20）确保旧医保系统平稳运行。</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（21）同步一体推进新医保信息系统建设。</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（22）加大医保大数据应用开发力度。</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 推进医疗保障法治化建设</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（23）推进法治医保建设。</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（24）全面推进预算绩效管理。</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（25）深化医保治理体系和能力建设。</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 全面夯实医保事业发展组织保障</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（26）以政治建设统揽全面从严治党。</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（27）以纯洁政治生态统揽党风廉政建设。</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（28）以“模范六型机关”统揽班子队伍建设。</w:t>
      </w:r>
      <w:bookmarkStart w:id="20" w:name="_Toc15377200"/>
      <w:bookmarkStart w:id="21" w:name="_Toc15396601"/>
    </w:p>
    <w:p>
      <w:pPr>
        <w:spacing w:line="576" w:lineRule="exact"/>
        <w:ind w:firstLine="640" w:firstLineChars="200"/>
        <w:rPr>
          <w:rFonts w:ascii="方正黑体简体" w:hAnsi="黑体" w:eastAsia="方正黑体简体"/>
          <w:color w:val="000000"/>
          <w:sz w:val="32"/>
          <w:szCs w:val="32"/>
        </w:rPr>
      </w:pPr>
      <w:r>
        <w:rPr>
          <w:rFonts w:hint="eastAsia" w:ascii="方正黑体简体" w:hAnsi="黑体" w:eastAsia="方正黑体简体" w:cs="方正黑体简体"/>
          <w:bCs/>
          <w:color w:val="000000"/>
          <w:sz w:val="32"/>
          <w:szCs w:val="32"/>
        </w:rPr>
        <w:t>二、机</w:t>
      </w:r>
      <w:r>
        <w:rPr>
          <w:rFonts w:hint="eastAsia" w:ascii="方正黑体简体" w:eastAsia="方正黑体简体" w:cs="方正黑体简体"/>
          <w:bCs/>
          <w:color w:val="000000"/>
          <w:sz w:val="32"/>
          <w:szCs w:val="32"/>
        </w:rPr>
        <w:t>构设置</w:t>
      </w:r>
      <w:bookmarkEnd w:id="20"/>
      <w:bookmarkEnd w:id="21"/>
    </w:p>
    <w:p>
      <w:pPr>
        <w:spacing w:line="576"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广元市医疗保障局下属二级单位</w:t>
      </w:r>
      <w:r>
        <w:rPr>
          <w:rFonts w:ascii="仿宋_GB2312" w:hAnsi="仿宋" w:eastAsia="仿宋_GB2312" w:cs="仿宋_GB2312"/>
          <w:sz w:val="32"/>
          <w:szCs w:val="32"/>
        </w:rPr>
        <w:t>2</w:t>
      </w:r>
      <w:r>
        <w:rPr>
          <w:rFonts w:hint="eastAsia" w:ascii="仿宋_GB2312" w:hAnsi="仿宋" w:eastAsia="仿宋_GB2312" w:cs="仿宋_GB2312"/>
          <w:sz w:val="32"/>
          <w:szCs w:val="32"/>
        </w:rPr>
        <w:t>个，其中参照公务员法管理的事业单位</w:t>
      </w:r>
      <w:r>
        <w:rPr>
          <w:rFonts w:ascii="仿宋_GB2312" w:hAnsi="仿宋" w:eastAsia="仿宋_GB2312" w:cs="仿宋_GB2312"/>
          <w:sz w:val="32"/>
          <w:szCs w:val="32"/>
        </w:rPr>
        <w:t>1</w:t>
      </w:r>
      <w:r>
        <w:rPr>
          <w:rFonts w:hint="eastAsia" w:ascii="仿宋_GB2312" w:hAnsi="仿宋" w:eastAsia="仿宋_GB2312" w:cs="仿宋_GB2312"/>
          <w:sz w:val="32"/>
          <w:szCs w:val="32"/>
        </w:rPr>
        <w:t>个，其他事业单位</w:t>
      </w:r>
      <w:r>
        <w:rPr>
          <w:rFonts w:ascii="仿宋_GB2312" w:hAnsi="仿宋" w:eastAsia="仿宋_GB2312" w:cs="仿宋_GB2312"/>
          <w:sz w:val="32"/>
          <w:szCs w:val="32"/>
        </w:rPr>
        <w:t>1</w:t>
      </w:r>
      <w:r>
        <w:rPr>
          <w:rFonts w:hint="eastAsia" w:ascii="仿宋_GB2312" w:hAnsi="仿宋" w:eastAsia="仿宋_GB2312" w:cs="仿宋_GB2312"/>
          <w:sz w:val="32"/>
          <w:szCs w:val="32"/>
        </w:rPr>
        <w:t>个。</w:t>
      </w:r>
    </w:p>
    <w:p>
      <w:pPr>
        <w:pStyle w:val="6"/>
        <w:adjustRightInd w:val="0"/>
        <w:snapToGrid w:val="0"/>
        <w:spacing w:beforeLines="0" w:line="576" w:lineRule="exact"/>
        <w:ind w:firstLine="640" w:firstLineChars="200"/>
        <w:rPr>
          <w:rFonts w:hAnsi="仿宋"/>
          <w:color w:val="000000"/>
          <w:sz w:val="32"/>
          <w:szCs w:val="32"/>
        </w:rPr>
      </w:pPr>
      <w:r>
        <w:rPr>
          <w:rFonts w:hint="eastAsia" w:hAnsi="仿宋"/>
          <w:color w:val="000000"/>
          <w:sz w:val="32"/>
          <w:szCs w:val="32"/>
        </w:rPr>
        <w:t>纳入广元市医疗保障局</w:t>
      </w:r>
      <w:r>
        <w:rPr>
          <w:rFonts w:hAnsi="仿宋"/>
          <w:color w:val="000000"/>
          <w:sz w:val="32"/>
          <w:szCs w:val="32"/>
        </w:rPr>
        <w:t>20</w:t>
      </w:r>
      <w:r>
        <w:rPr>
          <w:rFonts w:hint="eastAsia" w:hAnsi="仿宋"/>
          <w:color w:val="000000"/>
          <w:sz w:val="32"/>
          <w:szCs w:val="32"/>
        </w:rPr>
        <w:t>20年度部门决算编制范围的二级预算单位包括：</w:t>
      </w:r>
    </w:p>
    <w:p>
      <w:pPr>
        <w:pStyle w:val="6"/>
        <w:adjustRightInd w:val="0"/>
        <w:snapToGrid w:val="0"/>
        <w:spacing w:beforeLines="0" w:line="576" w:lineRule="exact"/>
        <w:ind w:firstLine="640" w:firstLineChars="200"/>
        <w:rPr>
          <w:rFonts w:hAnsi="仿宋"/>
          <w:color w:val="000000"/>
          <w:sz w:val="32"/>
          <w:szCs w:val="32"/>
        </w:rPr>
      </w:pPr>
      <w:r>
        <w:rPr>
          <w:rFonts w:hint="eastAsia" w:hAnsi="仿宋"/>
          <w:color w:val="000000"/>
          <w:sz w:val="32"/>
          <w:szCs w:val="32"/>
        </w:rPr>
        <w:t>（一）广元市医疗保障事务中心</w:t>
      </w:r>
    </w:p>
    <w:p>
      <w:pPr>
        <w:pStyle w:val="6"/>
        <w:adjustRightInd w:val="0"/>
        <w:snapToGrid w:val="0"/>
        <w:spacing w:beforeLines="0" w:line="576" w:lineRule="exact"/>
        <w:ind w:left="640"/>
        <w:rPr>
          <w:rFonts w:hAnsi="仿宋"/>
          <w:color w:val="000000"/>
          <w:sz w:val="32"/>
          <w:szCs w:val="32"/>
        </w:rPr>
      </w:pPr>
      <w:r>
        <w:rPr>
          <w:rFonts w:hint="eastAsia" w:hAnsi="仿宋"/>
          <w:color w:val="000000"/>
          <w:sz w:val="32"/>
          <w:szCs w:val="32"/>
        </w:rPr>
        <w:t>（二）广元市医保信息中心</w:t>
      </w:r>
    </w:p>
    <w:p>
      <w:pPr>
        <w:widowControl/>
        <w:jc w:val="center"/>
        <w:rPr>
          <w:rStyle w:val="18"/>
          <w:rFonts w:ascii="方正小标宋简体" w:hAnsi="黑体" w:eastAsia="方正小标宋简体"/>
          <w:b w:val="0"/>
        </w:rPr>
      </w:pPr>
      <w:r>
        <w:rPr>
          <w:rFonts w:ascii="仿宋" w:hAnsi="仿宋" w:eastAsia="仿宋"/>
          <w:color w:val="000000"/>
          <w:sz w:val="32"/>
          <w:szCs w:val="32"/>
        </w:rPr>
        <w:br w:type="page"/>
      </w:r>
      <w:bookmarkStart w:id="22" w:name="_Toc15396602"/>
      <w:bookmarkStart w:id="23" w:name="_Toc15377204"/>
      <w:r>
        <w:rPr>
          <w:rFonts w:hint="eastAsia" w:ascii="方正小标宋简体" w:eastAsia="方正小标宋简体" w:cs="方正小标宋简体"/>
          <w:color w:val="000000"/>
          <w:sz w:val="44"/>
          <w:szCs w:val="44"/>
        </w:rPr>
        <w:t xml:space="preserve">第二部分  </w:t>
      </w:r>
      <w:r>
        <w:rPr>
          <w:rStyle w:val="18"/>
          <w:rFonts w:ascii="方正小标宋简体" w:hAnsi="黑体" w:eastAsia="方正小标宋简体" w:cs="方正小标宋简体"/>
          <w:b w:val="0"/>
          <w:bCs w:val="0"/>
        </w:rPr>
        <w:t>20</w:t>
      </w:r>
      <w:r>
        <w:rPr>
          <w:rStyle w:val="18"/>
          <w:rFonts w:hint="eastAsia" w:ascii="方正小标宋简体" w:hAnsi="黑体" w:eastAsia="方正小标宋简体" w:cs="方正小标宋简体"/>
          <w:b w:val="0"/>
          <w:bCs w:val="0"/>
        </w:rPr>
        <w:t>20年度部门决算情况说明</w:t>
      </w:r>
      <w:bookmarkEnd w:id="22"/>
      <w:bookmarkEnd w:id="23"/>
    </w:p>
    <w:p/>
    <w:p>
      <w:pPr>
        <w:pStyle w:val="29"/>
        <w:numPr>
          <w:ilvl w:val="0"/>
          <w:numId w:val="2"/>
        </w:numPr>
        <w:spacing w:line="600" w:lineRule="exact"/>
        <w:ind w:firstLineChars="0"/>
        <w:outlineLvl w:val="1"/>
        <w:rPr>
          <w:rStyle w:val="19"/>
          <w:rFonts w:ascii="黑体" w:hAnsi="黑体" w:eastAsia="黑体" w:cs="Times New Roman"/>
          <w:b w:val="0"/>
          <w:bCs w:val="0"/>
        </w:rPr>
      </w:pPr>
      <w:bookmarkStart w:id="24" w:name="_Toc15377205"/>
      <w:bookmarkStart w:id="25" w:name="_Toc15396603"/>
      <w:r>
        <w:rPr>
          <w:rFonts w:hint="eastAsia" w:ascii="黑体" w:hAnsi="黑体" w:eastAsia="黑体" w:cs="黑体"/>
          <w:color w:val="000000"/>
          <w:sz w:val="32"/>
          <w:szCs w:val="32"/>
        </w:rPr>
        <w:t>收</w:t>
      </w:r>
      <w:r>
        <w:rPr>
          <w:rStyle w:val="19"/>
          <w:rFonts w:hint="eastAsia" w:ascii="黑体" w:hAnsi="黑体" w:eastAsia="黑体" w:cs="黑体"/>
          <w:b w:val="0"/>
          <w:bCs w:val="0"/>
        </w:rPr>
        <w:t>入支出决算总体情况说明</w:t>
      </w:r>
      <w:bookmarkEnd w:id="24"/>
      <w:bookmarkEnd w:id="25"/>
    </w:p>
    <w:p>
      <w:pPr>
        <w:spacing w:line="600" w:lineRule="exact"/>
        <w:ind w:firstLine="640" w:firstLineChars="200"/>
        <w:rPr>
          <w:rFonts w:ascii="仿宋" w:hAnsi="仿宋" w:eastAsia="仿宋" w:cs="仿宋"/>
          <w:color w:val="FFFFFF"/>
          <w:sz w:val="32"/>
          <w:szCs w:val="32"/>
        </w:rPr>
      </w:pPr>
      <w:r>
        <w:rPr>
          <w:rFonts w:ascii="仿宋" w:hAnsi="仿宋" w:eastAsia="仿宋" w:cs="仿宋"/>
          <w:color w:val="FFFFFF"/>
          <w:sz w:val="32"/>
          <w:szCs w:val="32"/>
        </w:rPr>
        <w:pict>
          <v:shape id="_x0000_s1045" o:spid="_x0000_s1045" o:spt="75" type="#_x0000_t75" style="position:absolute;left:0pt;margin-left:65.7pt;margin-top:117pt;height:238.45pt;width:338.25pt;mso-wrap-distance-bottom:0pt;mso-wrap-distance-top:0pt;z-index:251659264;mso-width-relative:page;mso-height-relative:page;" o:ole="t" filled="f" o:preferrelative="t" stroked="f" coordsize="21600,21600">
            <v:path/>
            <v:fill on="f" focussize="0,0"/>
            <v:stroke on="f" joinstyle="miter"/>
            <v:imagedata r:id="rId11" o:title=""/>
            <o:lock v:ext="edit" aspectratio="t"/>
            <w10:wrap type="topAndBottom"/>
          </v:shape>
          <o:OLEObject Type="Embed" ProgID="Excel.Sheet.8" ShapeID="_x0000_s1045" DrawAspect="Content" ObjectID="_1468075725" r:id="rId10">
            <o:LockedField>false</o:LockedField>
          </o:OLEObject>
        </w:pict>
      </w:r>
      <w:r>
        <w:rPr>
          <w:rFonts w:ascii="仿宋_GB2312" w:hAnsi="仿宋" w:eastAsia="仿宋_GB2312" w:cs="仿宋_GB2312"/>
          <w:color w:val="000000"/>
          <w:sz w:val="32"/>
          <w:szCs w:val="32"/>
        </w:rPr>
        <w:t>20</w:t>
      </w:r>
      <w:r>
        <w:rPr>
          <w:rFonts w:hint="eastAsia" w:ascii="仿宋_GB2312" w:hAnsi="仿宋" w:eastAsia="仿宋_GB2312" w:cs="仿宋_GB2312"/>
          <w:color w:val="000000"/>
          <w:sz w:val="32"/>
          <w:szCs w:val="32"/>
        </w:rPr>
        <w:t>20年度收、支总计1532.12万元。与</w:t>
      </w:r>
      <w:r>
        <w:rPr>
          <w:rFonts w:ascii="仿宋_GB2312" w:hAnsi="仿宋" w:eastAsia="仿宋_GB2312" w:cs="仿宋_GB2312"/>
          <w:color w:val="000000"/>
          <w:sz w:val="32"/>
          <w:szCs w:val="32"/>
        </w:rPr>
        <w:t>201</w:t>
      </w:r>
      <w:r>
        <w:rPr>
          <w:rFonts w:hint="eastAsia" w:ascii="仿宋_GB2312" w:hAnsi="仿宋" w:eastAsia="仿宋_GB2312" w:cs="仿宋_GB2312"/>
          <w:color w:val="000000"/>
          <w:sz w:val="32"/>
          <w:szCs w:val="32"/>
        </w:rPr>
        <w:t>9年相比，收、支总计各减少255万元，下降</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4.27</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。主要变动原因是2020年医疗救助等医保基金直接拨入基金账户没有纳入经费决算。</w:t>
      </w:r>
      <w:r>
        <w:rPr>
          <w:rFonts w:hint="eastAsia" w:ascii="仿宋" w:hAnsi="仿宋" w:eastAsia="仿宋" w:cs="仿宋"/>
          <w:color w:val="FFFFFF"/>
          <w:sz w:val="32"/>
          <w:szCs w:val="32"/>
        </w:rPr>
        <w:t>）</w:t>
      </w:r>
    </w:p>
    <w:p>
      <w:pPr>
        <w:spacing w:line="600" w:lineRule="exact"/>
        <w:ind w:firstLine="640" w:firstLineChars="200"/>
        <w:jc w:val="center"/>
        <w:rPr>
          <w:rFonts w:ascii="仿宋" w:hAnsi="仿宋" w:eastAsia="仿宋"/>
          <w:color w:val="FFFFFF"/>
          <w:sz w:val="32"/>
          <w:szCs w:val="32"/>
        </w:rPr>
      </w:pPr>
      <w:r>
        <w:rPr>
          <w:rFonts w:hint="eastAsia" w:ascii="仿宋" w:hAnsi="仿宋" w:eastAsia="仿宋" w:cs="仿宋"/>
          <w:color w:val="FFFFFF"/>
          <w:sz w:val="32"/>
          <w:szCs w:val="32"/>
        </w:rPr>
        <w:t>（）</w: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29"/>
        <w:numPr>
          <w:ilvl w:val="0"/>
          <w:numId w:val="2"/>
        </w:numPr>
        <w:spacing w:line="600" w:lineRule="exact"/>
        <w:ind w:firstLineChars="0"/>
        <w:outlineLvl w:val="1"/>
        <w:rPr>
          <w:rStyle w:val="19"/>
          <w:rFonts w:ascii="黑体" w:hAnsi="黑体" w:eastAsia="黑体" w:cs="Times New Roman"/>
          <w:b w:val="0"/>
          <w:bCs w:val="0"/>
        </w:rPr>
      </w:pPr>
      <w:bookmarkStart w:id="26" w:name="_Toc15377206"/>
      <w:bookmarkStart w:id="27" w:name="_Toc15396604"/>
      <w:r>
        <w:rPr>
          <w:rFonts w:hint="eastAsia" w:ascii="黑体" w:hAnsi="黑体" w:eastAsia="黑体" w:cs="黑体"/>
          <w:color w:val="000000"/>
          <w:sz w:val="32"/>
          <w:szCs w:val="32"/>
        </w:rPr>
        <w:t>收</w:t>
      </w:r>
      <w:r>
        <w:rPr>
          <w:rStyle w:val="19"/>
          <w:rFonts w:hint="eastAsia" w:ascii="黑体" w:hAnsi="黑体" w:eastAsia="黑体" w:cs="黑体"/>
          <w:b w:val="0"/>
          <w:bCs w:val="0"/>
        </w:rPr>
        <w:t>入决算情况说明</w:t>
      </w:r>
      <w:bookmarkEnd w:id="26"/>
      <w:bookmarkEnd w:id="27"/>
    </w:p>
    <w:p>
      <w:pPr>
        <w:spacing w:line="600" w:lineRule="exact"/>
        <w:ind w:firstLine="640" w:firstLineChars="200"/>
        <w:outlineLvl w:val="1"/>
        <w:rPr>
          <w:rFonts w:ascii="仿宋_GB2312" w:hAnsi="仿宋" w:eastAsia="仿宋_GB2312" w:cs="仿宋_GB2312"/>
          <w:color w:val="FFFFFF"/>
          <w:sz w:val="32"/>
          <w:szCs w:val="32"/>
        </w:rPr>
      </w:pPr>
      <w:r>
        <w:rPr>
          <w:rFonts w:ascii="仿宋_GB2312" w:hAnsi="仿宋" w:eastAsia="仿宋_GB2312" w:cs="仿宋_GB2312"/>
          <w:color w:val="000000"/>
          <w:sz w:val="32"/>
          <w:szCs w:val="32"/>
        </w:rPr>
        <w:t>20</w:t>
      </w:r>
      <w:r>
        <w:rPr>
          <w:rFonts w:hint="eastAsia" w:ascii="仿宋_GB2312" w:hAnsi="仿宋" w:eastAsia="仿宋_GB2312" w:cs="仿宋_GB2312"/>
          <w:color w:val="000000"/>
          <w:sz w:val="32"/>
          <w:szCs w:val="32"/>
        </w:rPr>
        <w:t>20年本年度收入合计1310.85万元</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其中：一般公共预算财政拨款收入1310.85万元，100</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；政府性基金预算财政拨款收入0万元；其他收入</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FFFFFF"/>
          <w:sz w:val="32"/>
          <w:szCs w:val="32"/>
        </w:rPr>
        <w:t>（图</w:t>
      </w:r>
      <w:r>
        <w:rPr>
          <w:rFonts w:ascii="仿宋_GB2312" w:hAnsi="仿宋" w:eastAsia="仿宋_GB2312" w:cs="仿宋_GB2312"/>
          <w:color w:val="FFFFFF"/>
          <w:sz w:val="32"/>
          <w:szCs w:val="32"/>
        </w:rPr>
        <w:t>2</w:t>
      </w:r>
    </w:p>
    <w:p>
      <w:pPr>
        <w:spacing w:line="600" w:lineRule="exact"/>
        <w:ind w:firstLine="640" w:firstLineChars="200"/>
        <w:jc w:val="center"/>
        <w:outlineLvl w:val="1"/>
        <w:rPr>
          <w:rFonts w:ascii="仿宋_GB2312" w:hAnsi="仿宋" w:eastAsia="仿宋_GB2312" w:cs="仿宋_GB2312"/>
          <w:color w:val="FFFFFF"/>
          <w:sz w:val="32"/>
          <w:szCs w:val="32"/>
        </w:rPr>
      </w:pPr>
      <w:r>
        <w:rPr>
          <w:rFonts w:hint="eastAsia" w:ascii="仿宋_GB2312" w:hAnsi="仿宋" w:eastAsia="仿宋_GB2312" w:cs="仿宋_GB2312"/>
          <w:color w:val="FFFFFF"/>
          <w:sz w:val="32"/>
          <w:szCs w:val="32"/>
        </w:rPr>
        <w:t>：收</w:t>
      </w:r>
    </w:p>
    <w:p>
      <w:pPr>
        <w:spacing w:line="600" w:lineRule="exact"/>
        <w:ind w:firstLine="640" w:firstLineChars="200"/>
        <w:outlineLvl w:val="1"/>
        <w:rPr>
          <w:rFonts w:ascii="仿宋_GB2312" w:hAnsi="仿宋" w:eastAsia="仿宋_GB2312" w:cs="仿宋_GB2312"/>
          <w:color w:val="FFFFFF"/>
          <w:sz w:val="32"/>
          <w:szCs w:val="32"/>
        </w:rPr>
      </w:pPr>
      <w:r>
        <w:rPr>
          <w:rFonts w:ascii="仿宋_GB2312" w:hAnsi="仿宋" w:eastAsia="仿宋_GB2312" w:cs="仿宋_GB2312"/>
          <w:color w:val="FFFFFF"/>
          <w:sz w:val="32"/>
          <w:szCs w:val="32"/>
        </w:rPr>
        <w:pict>
          <v:shape id="_x0000_s1046" o:spid="_x0000_s1046" o:spt="75" type="#_x0000_t75" style="position:absolute;left:0pt;margin-left:47.2pt;margin-top:-38.15pt;height:186pt;width:330.05pt;mso-wrap-distance-left:9pt;mso-wrap-distance-right:9pt;z-index:-251656192;mso-width-relative:page;mso-height-relative:page;" o:ole="t" filled="f" o:preferrelative="t" stroked="f" coordsize="21600,21600" wrapcoords="21592 -2 0 0 0 21600 21592 21602 8 21602 21600 21600 21600 0 8 -2 21592 -2">
            <v:path/>
            <v:fill on="f" focussize="0,0"/>
            <v:stroke on="f" joinstyle="miter"/>
            <v:imagedata r:id="rId13" o:title=""/>
            <o:lock v:ext="edit" aspectratio="t"/>
            <w10:wrap type="tight"/>
          </v:shape>
          <o:OLEObject Type="Embed" ProgID="Excel.Sheet.8" ShapeID="_x0000_s1046" DrawAspect="Content" ObjectID="_1468075726" r:id="rId12">
            <o:LockedField>false</o:LockedField>
          </o:OLEObject>
        </w:pict>
      </w:r>
      <w:r>
        <w:rPr>
          <w:rFonts w:hint="eastAsia" w:ascii="仿宋_GB2312" w:hAnsi="仿宋" w:eastAsia="仿宋_GB2312" w:cs="仿宋_GB2312"/>
          <w:color w:val="FFFFFF"/>
          <w:sz w:val="32"/>
          <w:szCs w:val="32"/>
        </w:rPr>
        <w:t>入决算结构图）（饼状图）</w:t>
      </w:r>
    </w:p>
    <w:p>
      <w:pPr>
        <w:spacing w:line="600" w:lineRule="exact"/>
        <w:ind w:firstLine="640" w:firstLineChars="200"/>
        <w:jc w:val="center"/>
        <w:outlineLvl w:val="1"/>
        <w:rPr>
          <w:rFonts w:ascii="仿宋" w:hAnsi="仿宋" w:eastAsia="仿宋"/>
          <w:color w:val="000000"/>
          <w:sz w:val="32"/>
          <w:szCs w:val="32"/>
        </w:rPr>
      </w:pPr>
    </w:p>
    <w:p>
      <w:pPr>
        <w:spacing w:line="600" w:lineRule="exact"/>
        <w:ind w:firstLine="640" w:firstLineChars="200"/>
        <w:jc w:val="center"/>
        <w:outlineLvl w:val="1"/>
        <w:rPr>
          <w:rFonts w:ascii="仿宋_GB2312" w:hAnsi="仿宋" w:eastAsia="仿宋_GB2312"/>
          <w:color w:val="FFFFFF"/>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29"/>
        <w:numPr>
          <w:ilvl w:val="0"/>
          <w:numId w:val="2"/>
        </w:numPr>
        <w:spacing w:line="600" w:lineRule="exact"/>
        <w:ind w:firstLineChars="0"/>
        <w:outlineLvl w:val="1"/>
        <w:rPr>
          <w:rStyle w:val="19"/>
          <w:rFonts w:ascii="黑体" w:hAnsi="黑体" w:eastAsia="黑体" w:cs="Times New Roman"/>
          <w:b w:val="0"/>
          <w:bCs w:val="0"/>
        </w:rPr>
      </w:pPr>
      <w:bookmarkStart w:id="28" w:name="_Toc15377207"/>
      <w:bookmarkStart w:id="29" w:name="_Toc15396605"/>
      <w:r>
        <w:rPr>
          <w:rFonts w:hint="eastAsia" w:ascii="黑体" w:hAnsi="黑体" w:eastAsia="黑体" w:cs="黑体"/>
          <w:color w:val="000000"/>
          <w:sz w:val="32"/>
          <w:szCs w:val="32"/>
        </w:rPr>
        <w:t>支</w:t>
      </w:r>
      <w:r>
        <w:rPr>
          <w:rStyle w:val="19"/>
          <w:rFonts w:hint="eastAsia" w:ascii="黑体" w:hAnsi="黑体" w:eastAsia="黑体" w:cs="黑体"/>
          <w:b w:val="0"/>
          <w:bCs w:val="0"/>
        </w:rPr>
        <w:t>出决算情况说明</w:t>
      </w:r>
      <w:bookmarkEnd w:id="28"/>
      <w:bookmarkEnd w:id="29"/>
    </w:p>
    <w:p>
      <w:pPr>
        <w:spacing w:line="600" w:lineRule="exact"/>
        <w:ind w:firstLine="640" w:firstLineChars="200"/>
        <w:outlineLvl w:val="1"/>
        <w:rPr>
          <w:rFonts w:ascii="仿宋_GB2312" w:hAnsi="仿宋" w:eastAsia="仿宋_GB2312"/>
          <w:color w:val="000000"/>
          <w:sz w:val="32"/>
          <w:szCs w:val="32"/>
        </w:rPr>
      </w:pPr>
      <w:r>
        <w:rPr>
          <w:rFonts w:ascii="仿宋_GB2312" w:hAnsi="仿宋" w:eastAsia="仿宋_GB2312" w:cs="仿宋_GB2312"/>
          <w:color w:val="000000"/>
          <w:sz w:val="32"/>
          <w:szCs w:val="32"/>
        </w:rPr>
        <w:t>20</w:t>
      </w:r>
      <w:r>
        <w:rPr>
          <w:rFonts w:hint="eastAsia" w:ascii="仿宋_GB2312" w:hAnsi="仿宋" w:eastAsia="仿宋_GB2312" w:cs="仿宋_GB2312"/>
          <w:color w:val="000000"/>
          <w:sz w:val="32"/>
          <w:szCs w:val="32"/>
        </w:rPr>
        <w:t>20年本年支出合计</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283.68万元，其中：基本支出496.43万元，占38.67</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；项目支出787.25万元，占61.33</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w:t>
      </w:r>
    </w:p>
    <w:p>
      <w:pPr>
        <w:spacing w:line="600" w:lineRule="exact"/>
        <w:ind w:firstLine="420" w:firstLineChars="200"/>
        <w:outlineLvl w:val="1"/>
        <w:rPr>
          <w:rFonts w:ascii="仿宋" w:hAnsi="仿宋" w:eastAsia="仿宋"/>
          <w:color w:val="000000"/>
          <w:sz w:val="32"/>
          <w:szCs w:val="32"/>
        </w:rPr>
      </w:pPr>
      <w:r>
        <w:pict>
          <v:shape id="_x0000_s1029" o:spid="_x0000_s1029" o:spt="75" type="#_x0000_t75" style="position:absolute;left:0pt;margin-left:51.45pt;margin-top:18.45pt;height:197pt;width:338.15pt;mso-wrap-distance-left:9pt;mso-wrap-distance-right:9pt;z-index:-251656192;mso-width-relative:page;mso-height-relative:page;" o:ole="t" filled="f" o:preferrelative="t" stroked="f" coordsize="21600,21600" wrapcoords="21592 -2 0 0 0 21600 21592 21602 8 21602 21600 21600 21600 0 8 -2 21592 -2">
            <v:path/>
            <v:fill on="f" focussize="0,0"/>
            <v:stroke on="f" joinstyle="miter"/>
            <v:imagedata r:id="rId15" o:title=""/>
            <o:lock v:ext="edit" aspectratio="t"/>
            <w10:wrap type="tight"/>
          </v:shape>
          <o:OLEObject Type="Embed" ProgID="Excel.Sheet.8" ShapeID="_x0000_s1029" DrawAspect="Content" ObjectID="_1468075727" r:id="rId14">
            <o:LockedField>false</o:LockedField>
          </o:OLEObject>
        </w:pic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jc w:val="center"/>
        <w:rPr>
          <w:rFonts w:ascii="仿宋_GB2312" w:hAnsi="仿宋" w:eastAsia="仿宋_GB2312"/>
          <w:color w:val="FFFFFF"/>
          <w:sz w:val="32"/>
          <w:szCs w:val="32"/>
        </w:rPr>
      </w:pPr>
      <w:r>
        <w:rPr>
          <w:rFonts w:hint="eastAsia" w:ascii="仿宋_GB2312" w:hAnsi="仿宋" w:eastAsia="仿宋_GB2312" w:cs="仿宋_GB2312"/>
          <w:color w:val="FFFFFF"/>
          <w:sz w:val="32"/>
          <w:szCs w:val="32"/>
        </w:rPr>
        <w:t>（图</w:t>
      </w:r>
      <w:r>
        <w:rPr>
          <w:rFonts w:ascii="仿宋_GB2312" w:hAnsi="仿宋" w:eastAsia="仿宋_GB2312" w:cs="仿宋_GB2312"/>
          <w:color w:val="FFFFFF"/>
          <w:sz w:val="32"/>
          <w:szCs w:val="32"/>
        </w:rPr>
        <w:t>3</w:t>
      </w:r>
      <w:r>
        <w:rPr>
          <w:rFonts w:hint="eastAsia" w:ascii="仿宋_GB2312" w:hAnsi="仿宋" w:eastAsia="仿宋_GB2312" w:cs="仿宋_GB2312"/>
          <w:color w:val="FFFFFF"/>
          <w:sz w:val="32"/>
          <w:szCs w:val="32"/>
        </w:rPr>
        <w:t>：支出决算）（</w:t>
      </w: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19"/>
          <w:rFonts w:ascii="黑体" w:hAnsi="黑体" w:eastAsia="黑体" w:cs="Times New Roman"/>
          <w:b w:val="0"/>
          <w:bCs w:val="0"/>
        </w:rPr>
      </w:pPr>
      <w:bookmarkStart w:id="30" w:name="_Toc15396606"/>
      <w:bookmarkStart w:id="31" w:name="_Toc15377208"/>
      <w:r>
        <w:rPr>
          <w:rFonts w:hint="eastAsia" w:ascii="黑体" w:hAnsi="黑体" w:eastAsia="黑体" w:cs="黑体"/>
          <w:color w:val="000000"/>
          <w:sz w:val="32"/>
          <w:szCs w:val="32"/>
        </w:rPr>
        <w:t>四、财</w:t>
      </w:r>
      <w:r>
        <w:rPr>
          <w:rStyle w:val="19"/>
          <w:rFonts w:hint="eastAsia" w:ascii="黑体" w:hAnsi="黑体" w:eastAsia="黑体" w:cs="黑体"/>
          <w:b w:val="0"/>
          <w:bCs w:val="0"/>
        </w:rPr>
        <w:t>政拨款收入支出决算总体情况说明</w:t>
      </w:r>
      <w:bookmarkEnd w:id="30"/>
      <w:bookmarkEnd w:id="31"/>
    </w:p>
    <w:p>
      <w:pPr>
        <w:spacing w:line="600" w:lineRule="exact"/>
        <w:ind w:firstLine="616" w:firstLineChars="200"/>
        <w:rPr>
          <w:rFonts w:ascii="仿宋_GB2312" w:hAnsi="仿宋" w:eastAsia="仿宋_GB2312" w:cs="仿宋_GB2312"/>
          <w:color w:val="000000"/>
          <w:spacing w:val="-6"/>
          <w:sz w:val="32"/>
          <w:szCs w:val="32"/>
        </w:rPr>
      </w:pPr>
      <w:r>
        <w:rPr>
          <w:rFonts w:ascii="仿宋_GB2312" w:hAnsi="仿宋" w:eastAsia="仿宋_GB2312" w:cs="仿宋_GB2312"/>
          <w:color w:val="000000"/>
          <w:spacing w:val="-6"/>
          <w:sz w:val="32"/>
          <w:szCs w:val="32"/>
        </w:rPr>
        <w:t>20</w:t>
      </w:r>
      <w:r>
        <w:rPr>
          <w:rFonts w:hint="eastAsia" w:ascii="仿宋_GB2312" w:hAnsi="仿宋" w:eastAsia="仿宋_GB2312" w:cs="仿宋_GB2312"/>
          <w:color w:val="000000"/>
          <w:spacing w:val="-6"/>
          <w:sz w:val="32"/>
          <w:szCs w:val="32"/>
        </w:rPr>
        <w:t>20年财政拨款收、支总计1532.12万元元。与</w:t>
      </w:r>
      <w:r>
        <w:rPr>
          <w:rFonts w:ascii="仿宋_GB2312" w:hAnsi="仿宋" w:eastAsia="仿宋_GB2312" w:cs="仿宋_GB2312"/>
          <w:color w:val="000000"/>
          <w:spacing w:val="-6"/>
          <w:sz w:val="32"/>
          <w:szCs w:val="32"/>
        </w:rPr>
        <w:t>201</w:t>
      </w:r>
      <w:r>
        <w:rPr>
          <w:rFonts w:hint="eastAsia" w:ascii="仿宋_GB2312" w:hAnsi="仿宋" w:eastAsia="仿宋_GB2312" w:cs="仿宋_GB2312"/>
          <w:color w:val="000000"/>
          <w:spacing w:val="-6"/>
          <w:sz w:val="32"/>
          <w:szCs w:val="32"/>
        </w:rPr>
        <w:t>9年相比，财政拨款收、支总计各减少255万元，下降</w:t>
      </w:r>
      <w:r>
        <w:rPr>
          <w:rFonts w:ascii="仿宋_GB2312" w:hAnsi="仿宋" w:eastAsia="仿宋_GB2312" w:cs="仿宋_GB2312"/>
          <w:color w:val="000000"/>
          <w:spacing w:val="-6"/>
          <w:sz w:val="32"/>
          <w:szCs w:val="32"/>
        </w:rPr>
        <w:t>1</w:t>
      </w:r>
      <w:r>
        <w:rPr>
          <w:rFonts w:hint="eastAsia" w:ascii="仿宋_GB2312" w:hAnsi="仿宋" w:eastAsia="仿宋_GB2312" w:cs="仿宋_GB2312"/>
          <w:color w:val="000000"/>
          <w:spacing w:val="-6"/>
          <w:sz w:val="32"/>
          <w:szCs w:val="32"/>
        </w:rPr>
        <w:t>4.27</w:t>
      </w:r>
      <w:r>
        <w:rPr>
          <w:rFonts w:ascii="仿宋_GB2312" w:hAnsi="仿宋" w:eastAsia="仿宋_GB2312" w:cs="仿宋_GB2312"/>
          <w:color w:val="000000"/>
          <w:spacing w:val="-6"/>
          <w:sz w:val="32"/>
          <w:szCs w:val="32"/>
        </w:rPr>
        <w:t>%</w:t>
      </w:r>
      <w:r>
        <w:rPr>
          <w:rFonts w:hint="eastAsia" w:ascii="仿宋_GB2312" w:hAnsi="仿宋" w:eastAsia="仿宋_GB2312" w:cs="仿宋_GB2312"/>
          <w:color w:val="000000"/>
          <w:spacing w:val="-6"/>
          <w:sz w:val="32"/>
          <w:szCs w:val="32"/>
        </w:rPr>
        <w:t>。主要变动原因是2020年</w:t>
      </w:r>
      <w:r>
        <w:rPr>
          <w:rFonts w:hint="eastAsia" w:ascii="仿宋_GB2312" w:hAnsi="仿宋" w:eastAsia="仿宋_GB2312" w:cs="仿宋_GB2312"/>
          <w:color w:val="000000"/>
          <w:sz w:val="32"/>
          <w:szCs w:val="32"/>
        </w:rPr>
        <w:t>医疗救助等医保基金直接拨入基金账户没有纳入经费决算</w:t>
      </w:r>
      <w:r>
        <w:rPr>
          <w:rFonts w:hint="eastAsia" w:ascii="仿宋_GB2312" w:hAnsi="仿宋" w:eastAsia="仿宋_GB2312" w:cs="仿宋_GB2312"/>
          <w:color w:val="000000"/>
          <w:spacing w:val="-6"/>
          <w:sz w:val="32"/>
          <w:szCs w:val="32"/>
        </w:rPr>
        <w:t>。</w:t>
      </w:r>
    </w:p>
    <w:p>
      <w:pPr>
        <w:spacing w:line="600" w:lineRule="exact"/>
        <w:ind w:firstLine="616" w:firstLineChars="200"/>
        <w:jc w:val="center"/>
        <w:rPr>
          <w:rFonts w:ascii="黑体" w:hAnsi="黑体" w:eastAsia="黑体" w:cs="黑体"/>
          <w:color w:val="000000"/>
          <w:sz w:val="32"/>
          <w:szCs w:val="32"/>
        </w:rPr>
      </w:pPr>
      <w:r>
        <w:rPr>
          <w:rFonts w:ascii="仿宋_GB2312" w:hAnsi="仿宋" w:eastAsia="仿宋_GB2312" w:cs="仿宋_GB2312"/>
          <w:color w:val="000000"/>
          <w:spacing w:val="-6"/>
          <w:sz w:val="32"/>
          <w:szCs w:val="32"/>
        </w:rPr>
        <w:pict>
          <v:shape id="_x0000_s1037" o:spid="_x0000_s1037" o:spt="75" type="#_x0000_t75" style="position:absolute;left:0pt;margin-left:53.8pt;margin-top:4.25pt;height:186.05pt;width:320.95pt;mso-wrap-distance-bottom:0pt;mso-wrap-distance-top:0pt;z-index:251659264;mso-width-relative:page;mso-height-relative:page;" o:ole="t" filled="f" o:preferrelative="t" stroked="f" coordsize="21600,21600">
            <v:path/>
            <v:fill on="f" focussize="0,0"/>
            <v:stroke on="f" joinstyle="miter"/>
            <v:imagedata r:id="rId17" o:title=""/>
            <o:lock v:ext="edit" aspectratio="t"/>
            <w10:wrap type="topAndBottom"/>
          </v:shape>
          <o:OLEObject Type="Embed" ProgID="Excel.Sheet.8" ShapeID="_x0000_s1037" DrawAspect="Content" ObjectID="_1468075728" r:id="rId16">
            <o:LockedField>false</o:LockedField>
          </o:OLEObject>
        </w:pict>
      </w:r>
      <w:bookmarkStart w:id="32" w:name="_Toc15396607"/>
      <w:bookmarkStart w:id="33" w:name="_Toc15377209"/>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19"/>
          <w:rFonts w:ascii="黑体" w:hAnsi="黑体" w:eastAsia="黑体" w:cs="Times New Roman"/>
          <w:b w:val="0"/>
          <w:bCs w:val="0"/>
        </w:rPr>
      </w:pPr>
      <w:r>
        <w:rPr>
          <w:rFonts w:hint="eastAsia" w:ascii="黑体" w:hAnsi="黑体" w:eastAsia="黑体" w:cs="黑体"/>
          <w:color w:val="000000"/>
          <w:sz w:val="32"/>
          <w:szCs w:val="32"/>
        </w:rPr>
        <w:t>五、</w:t>
      </w:r>
      <w:r>
        <w:rPr>
          <w:rFonts w:hint="eastAsia" w:ascii="黑体" w:hAnsi="黑体" w:eastAsia="黑体" w:cs="黑体"/>
          <w:bCs/>
          <w:color w:val="000000"/>
          <w:sz w:val="32"/>
          <w:szCs w:val="32"/>
        </w:rPr>
        <w:t>一</w:t>
      </w:r>
      <w:r>
        <w:rPr>
          <w:rStyle w:val="19"/>
          <w:rFonts w:hint="eastAsia" w:ascii="黑体" w:hAnsi="黑体" w:eastAsia="黑体" w:cs="黑体"/>
          <w:b w:val="0"/>
          <w:bCs w:val="0"/>
        </w:rPr>
        <w:t>般公共预算财政拨款支出决算情况说明</w:t>
      </w:r>
      <w:bookmarkEnd w:id="32"/>
      <w:bookmarkEnd w:id="33"/>
    </w:p>
    <w:p>
      <w:pPr>
        <w:spacing w:line="600" w:lineRule="exact"/>
        <w:ind w:firstLine="640" w:firstLineChars="200"/>
        <w:outlineLvl w:val="2"/>
        <w:rPr>
          <w:rFonts w:ascii="方正楷体简体" w:hAnsi="仿宋" w:eastAsia="方正楷体简体"/>
          <w:color w:val="000000"/>
          <w:sz w:val="32"/>
          <w:szCs w:val="32"/>
        </w:rPr>
      </w:pPr>
      <w:bookmarkStart w:id="34" w:name="_Toc15377210"/>
      <w:r>
        <w:rPr>
          <w:rFonts w:hint="eastAsia" w:ascii="方正楷体简体" w:hAnsi="仿宋" w:eastAsia="方正楷体简体" w:cs="方正楷体简体"/>
          <w:color w:val="000000"/>
          <w:sz w:val="32"/>
          <w:szCs w:val="32"/>
        </w:rPr>
        <w:t>（一）一般公共预算财政拨款支出决算总体情况</w:t>
      </w:r>
      <w:bookmarkEnd w:id="34"/>
    </w:p>
    <w:p>
      <w:pPr>
        <w:spacing w:line="600" w:lineRule="exact"/>
        <w:jc w:val="center"/>
        <w:rPr>
          <w:rFonts w:ascii="仿宋_GB2312" w:hAnsi="仿宋" w:eastAsia="仿宋_GB2312" w:cs="仿宋_GB2312"/>
          <w:color w:val="000000"/>
          <w:sz w:val="32"/>
          <w:szCs w:val="32"/>
        </w:rPr>
      </w:pPr>
      <w:r>
        <w:rPr>
          <w:rFonts w:ascii="仿宋_GB2312" w:hAnsi="仿宋" w:eastAsia="仿宋_GB2312" w:cs="仿宋_GB2312"/>
          <w:color w:val="000000"/>
          <w:sz w:val="32"/>
          <w:szCs w:val="32"/>
        </w:rPr>
        <w:pict>
          <v:shape id="_x0000_s1039" o:spid="_x0000_s1039" o:spt="75" type="#_x0000_t75" style="position:absolute;left:0pt;margin-left:65.75pt;margin-top:131.55pt;height:182.2pt;width:311.2pt;mso-wrap-distance-bottom:0pt;mso-wrap-distance-top:0pt;z-index:251659264;mso-width-relative:page;mso-height-relative:page;" o:ole="t" filled="f" o:preferrelative="t" stroked="f" coordsize="21600,21600">
            <v:path/>
            <v:fill on="f" focussize="0,0"/>
            <v:stroke on="f" joinstyle="miter"/>
            <v:imagedata r:id="rId19" o:title=""/>
            <o:lock v:ext="edit" aspectratio="t"/>
            <w10:wrap type="topAndBottom"/>
          </v:shape>
          <o:OLEObject Type="Embed" ProgID="Excel.Sheet.8" ShapeID="_x0000_s1039" DrawAspect="Content" ObjectID="_1468075729" r:id="rId18">
            <o:LockedField>false</o:LockedField>
          </o:OLEObject>
        </w:pict>
      </w:r>
      <w:r>
        <w:rPr>
          <w:rFonts w:ascii="仿宋_GB2312" w:hAnsi="仿宋" w:eastAsia="仿宋_GB2312" w:cs="仿宋_GB2312"/>
          <w:color w:val="000000"/>
          <w:sz w:val="32"/>
          <w:szCs w:val="32"/>
        </w:rPr>
        <w:t>20</w:t>
      </w:r>
      <w:r>
        <w:rPr>
          <w:rFonts w:hint="eastAsia" w:ascii="仿宋_GB2312" w:hAnsi="仿宋" w:eastAsia="仿宋_GB2312" w:cs="仿宋_GB2312"/>
          <w:color w:val="000000"/>
          <w:sz w:val="32"/>
          <w:szCs w:val="32"/>
        </w:rPr>
        <w:t>20年一般公共预算财政拨款支出1283.68万元，占本年支出合计的100</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。与</w:t>
      </w:r>
      <w:r>
        <w:rPr>
          <w:rFonts w:ascii="仿宋_GB2312" w:hAnsi="仿宋" w:eastAsia="仿宋_GB2312" w:cs="仿宋_GB2312"/>
          <w:color w:val="000000"/>
          <w:sz w:val="32"/>
          <w:szCs w:val="32"/>
        </w:rPr>
        <w:t>201</w:t>
      </w:r>
      <w:r>
        <w:rPr>
          <w:rFonts w:hint="eastAsia" w:ascii="仿宋_GB2312" w:hAnsi="仿宋" w:eastAsia="仿宋_GB2312" w:cs="仿宋_GB2312"/>
          <w:color w:val="000000"/>
          <w:sz w:val="32"/>
          <w:szCs w:val="32"/>
        </w:rPr>
        <w:t>9年相比，一般公共预算财政拨款增加276.96万元，增长27.51</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。主要变动原因是机改人员和职能职责增加。</w: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0" w:firstLineChars="200"/>
        <w:jc w:val="left"/>
        <w:rPr>
          <w:rFonts w:ascii="方正楷体简体" w:hAnsi="仿宋" w:eastAsia="方正楷体简体"/>
          <w:color w:val="000000"/>
          <w:sz w:val="32"/>
          <w:szCs w:val="32"/>
        </w:rPr>
      </w:pPr>
      <w:bookmarkStart w:id="35" w:name="_Toc15377211"/>
      <w:r>
        <w:rPr>
          <w:rFonts w:hint="eastAsia" w:ascii="方正楷体简体" w:hAnsi="仿宋" w:eastAsia="方正楷体简体" w:cs="方正楷体简体"/>
          <w:color w:val="000000"/>
          <w:sz w:val="32"/>
          <w:szCs w:val="32"/>
        </w:rPr>
        <w:t>（二）一般公共预算财政拨款支出决算结构情况</w:t>
      </w:r>
      <w:bookmarkEnd w:id="35"/>
    </w:p>
    <w:p>
      <w:pPr>
        <w:spacing w:line="600" w:lineRule="exact"/>
        <w:ind w:firstLine="608" w:firstLineChars="200"/>
        <w:rPr>
          <w:rFonts w:ascii="仿宋_GB2312" w:hAnsi="仿宋" w:eastAsia="仿宋_GB2312" w:cs="仿宋_GB2312"/>
          <w:color w:val="000000"/>
          <w:spacing w:val="-8"/>
          <w:sz w:val="32"/>
          <w:szCs w:val="32"/>
        </w:rPr>
      </w:pPr>
      <w:r>
        <w:rPr>
          <w:rFonts w:ascii="仿宋_GB2312" w:hAnsi="仿宋" w:eastAsia="仿宋_GB2312" w:cs="仿宋_GB2312"/>
          <w:color w:val="000000"/>
          <w:spacing w:val="-8"/>
          <w:sz w:val="32"/>
          <w:szCs w:val="32"/>
        </w:rPr>
        <w:t>20</w:t>
      </w:r>
      <w:r>
        <w:rPr>
          <w:rFonts w:hint="eastAsia" w:ascii="仿宋_GB2312" w:hAnsi="仿宋" w:eastAsia="仿宋_GB2312" w:cs="仿宋_GB2312"/>
          <w:color w:val="000000"/>
          <w:spacing w:val="-8"/>
          <w:sz w:val="32"/>
          <w:szCs w:val="32"/>
        </w:rPr>
        <w:t>20年一般公共预算财政拨款支出</w:t>
      </w:r>
      <w:r>
        <w:rPr>
          <w:rFonts w:hint="eastAsia" w:ascii="仿宋_GB2312" w:hAnsi="仿宋" w:eastAsia="仿宋_GB2312" w:cs="仿宋_GB2312"/>
          <w:color w:val="000000"/>
          <w:sz w:val="32"/>
          <w:szCs w:val="32"/>
        </w:rPr>
        <w:t>1283.68</w:t>
      </w:r>
      <w:r>
        <w:rPr>
          <w:rFonts w:hint="eastAsia" w:ascii="仿宋_GB2312" w:hAnsi="仿宋" w:eastAsia="仿宋_GB2312" w:cs="仿宋_GB2312"/>
          <w:color w:val="000000"/>
          <w:spacing w:val="-8"/>
          <w:sz w:val="32"/>
          <w:szCs w:val="32"/>
        </w:rPr>
        <w:t>万元，主要用于以下方面</w:t>
      </w:r>
      <w:r>
        <w:rPr>
          <w:rFonts w:ascii="仿宋_GB2312" w:hAnsi="仿宋" w:eastAsia="仿宋_GB2312" w:cs="仿宋_GB2312"/>
          <w:color w:val="000000"/>
          <w:spacing w:val="-8"/>
          <w:sz w:val="32"/>
          <w:szCs w:val="32"/>
        </w:rPr>
        <w:t>:</w:t>
      </w:r>
      <w:r>
        <w:rPr>
          <w:rFonts w:hint="eastAsia" w:ascii="仿宋_GB2312" w:hAnsi="仿宋" w:eastAsia="仿宋_GB2312" w:cs="仿宋_GB2312"/>
          <w:bCs/>
          <w:color w:val="000000"/>
          <w:spacing w:val="-8"/>
          <w:sz w:val="32"/>
          <w:szCs w:val="32"/>
        </w:rPr>
        <w:t>社会保障和就业（类）</w:t>
      </w:r>
      <w:r>
        <w:rPr>
          <w:rFonts w:hint="eastAsia" w:ascii="仿宋_GB2312" w:hAnsi="仿宋" w:eastAsia="仿宋_GB2312" w:cs="仿宋_GB2312"/>
          <w:color w:val="000000"/>
          <w:spacing w:val="-8"/>
          <w:sz w:val="32"/>
          <w:szCs w:val="32"/>
        </w:rPr>
        <w:t>支出290.29万元，占22.61</w:t>
      </w:r>
      <w:r>
        <w:rPr>
          <w:rFonts w:ascii="仿宋_GB2312" w:hAnsi="仿宋" w:eastAsia="仿宋_GB2312" w:cs="仿宋_GB2312"/>
          <w:color w:val="000000"/>
          <w:spacing w:val="-8"/>
          <w:sz w:val="32"/>
          <w:szCs w:val="32"/>
        </w:rPr>
        <w:t>%</w:t>
      </w:r>
      <w:r>
        <w:rPr>
          <w:rFonts w:hint="eastAsia" w:ascii="仿宋_GB2312" w:hAnsi="仿宋" w:eastAsia="仿宋_GB2312" w:cs="仿宋_GB2312"/>
          <w:color w:val="000000"/>
          <w:spacing w:val="-8"/>
          <w:sz w:val="32"/>
          <w:szCs w:val="32"/>
        </w:rPr>
        <w:t>；</w:t>
      </w:r>
      <w:r>
        <w:rPr>
          <w:rFonts w:hint="eastAsia" w:ascii="仿宋_GB2312" w:hAnsi="仿宋" w:eastAsia="仿宋_GB2312" w:cs="仿宋_GB2312"/>
          <w:bCs/>
          <w:color w:val="000000"/>
          <w:spacing w:val="-8"/>
          <w:sz w:val="32"/>
          <w:szCs w:val="32"/>
        </w:rPr>
        <w:t>卫生健康支出</w:t>
      </w:r>
      <w:r>
        <w:rPr>
          <w:rFonts w:hint="eastAsia" w:ascii="仿宋_GB2312" w:hAnsi="仿宋" w:eastAsia="仿宋_GB2312" w:cs="仿宋_GB2312"/>
          <w:color w:val="000000"/>
          <w:spacing w:val="-8"/>
          <w:sz w:val="32"/>
          <w:szCs w:val="32"/>
        </w:rPr>
        <w:t>956.80万元，占74.54</w:t>
      </w:r>
      <w:r>
        <w:rPr>
          <w:rFonts w:ascii="仿宋_GB2312" w:hAnsi="仿宋" w:eastAsia="仿宋_GB2312" w:cs="仿宋_GB2312"/>
          <w:color w:val="000000"/>
          <w:spacing w:val="-8"/>
          <w:sz w:val="32"/>
          <w:szCs w:val="32"/>
        </w:rPr>
        <w:t>%</w:t>
      </w:r>
      <w:r>
        <w:rPr>
          <w:rFonts w:hint="eastAsia" w:ascii="仿宋_GB2312" w:hAnsi="仿宋" w:eastAsia="仿宋_GB2312" w:cs="仿宋_GB2312"/>
          <w:color w:val="000000"/>
          <w:spacing w:val="-8"/>
          <w:sz w:val="32"/>
          <w:szCs w:val="32"/>
        </w:rPr>
        <w:t>；住房保障支出36.59万元，占2.85</w:t>
      </w:r>
      <w:r>
        <w:rPr>
          <w:rFonts w:ascii="仿宋_GB2312" w:hAnsi="仿宋" w:eastAsia="仿宋_GB2312" w:cs="仿宋_GB2312"/>
          <w:color w:val="000000"/>
          <w:spacing w:val="-8"/>
          <w:sz w:val="32"/>
          <w:szCs w:val="32"/>
        </w:rPr>
        <w:t>%</w:t>
      </w:r>
      <w:r>
        <w:rPr>
          <w:rFonts w:hint="eastAsia" w:ascii="仿宋_GB2312" w:hAnsi="仿宋" w:eastAsia="仿宋_GB2312" w:cs="仿宋_GB2312"/>
          <w:color w:val="000000"/>
          <w:spacing w:val="-8"/>
          <w:sz w:val="32"/>
          <w:szCs w:val="32"/>
        </w:rPr>
        <w:t>。</w:t>
      </w:r>
    </w:p>
    <w:p>
      <w:pPr>
        <w:spacing w:line="600" w:lineRule="exact"/>
        <w:ind w:firstLine="608" w:firstLineChars="200"/>
        <w:rPr>
          <w:rFonts w:ascii="仿宋_GB2312" w:hAnsi="仿宋" w:eastAsia="仿宋_GB2312" w:cs="仿宋_GB2312"/>
          <w:color w:val="000000"/>
          <w:spacing w:val="-8"/>
          <w:sz w:val="32"/>
          <w:szCs w:val="32"/>
        </w:rPr>
      </w:pPr>
      <w:r>
        <w:rPr>
          <w:rFonts w:ascii="仿宋_GB2312" w:hAnsi="仿宋" w:eastAsia="仿宋_GB2312" w:cs="仿宋_GB2312"/>
          <w:color w:val="000000"/>
          <w:spacing w:val="-8"/>
          <w:sz w:val="32"/>
          <w:szCs w:val="32"/>
        </w:rPr>
        <w:pict>
          <v:shape id="_x0000_s1043" o:spid="_x0000_s1043" o:spt="75" type="#_x0000_t75" style="position:absolute;left:0pt;margin-left:54.5pt;margin-top:4.6pt;height:222.75pt;width:339.7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21" o:title=""/>
            <o:lock v:ext="edit" aspectratio="t"/>
            <w10:wrap type="square"/>
          </v:shape>
          <o:OLEObject Type="Embed" ProgID="Excel.Sheet.8" ShapeID="_x0000_s1043" DrawAspect="Content" ObjectID="_1468075730" r:id="rId20">
            <o:LockedField>false</o:LockedField>
          </o:OLEObject>
        </w:pict>
      </w:r>
    </w:p>
    <w:p>
      <w:pPr>
        <w:spacing w:line="600" w:lineRule="exact"/>
        <w:ind w:firstLine="640" w:firstLineChars="200"/>
        <w:rPr>
          <w:rFonts w:ascii="方正楷体简体" w:hAnsi="仿宋" w:eastAsia="方正楷体简体" w:cs="方正楷体简体"/>
          <w:color w:val="000000"/>
          <w:sz w:val="32"/>
          <w:szCs w:val="32"/>
        </w:rPr>
      </w:pPr>
      <w:bookmarkStart w:id="36" w:name="_Toc15377212"/>
    </w:p>
    <w:p>
      <w:pPr>
        <w:spacing w:line="600" w:lineRule="exact"/>
        <w:ind w:firstLine="640" w:firstLineChars="200"/>
        <w:rPr>
          <w:rFonts w:ascii="方正楷体简体" w:hAnsi="仿宋" w:eastAsia="方正楷体简体" w:cs="方正楷体简体"/>
          <w:color w:val="000000"/>
          <w:sz w:val="32"/>
          <w:szCs w:val="32"/>
        </w:rPr>
      </w:pPr>
    </w:p>
    <w:p>
      <w:pPr>
        <w:spacing w:line="600" w:lineRule="exact"/>
        <w:ind w:firstLine="640" w:firstLineChars="200"/>
        <w:rPr>
          <w:rFonts w:ascii="方正楷体简体" w:hAnsi="仿宋" w:eastAsia="方正楷体简体" w:cs="方正楷体简体"/>
          <w:color w:val="00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0" w:firstLineChars="200"/>
        <w:rPr>
          <w:rFonts w:ascii="方正楷体简体" w:hAnsi="仿宋" w:eastAsia="方正楷体简体"/>
          <w:color w:val="000000"/>
          <w:sz w:val="32"/>
          <w:szCs w:val="32"/>
        </w:rPr>
      </w:pPr>
      <w:r>
        <w:rPr>
          <w:rFonts w:hint="eastAsia" w:ascii="方正楷体简体" w:hAnsi="仿宋" w:eastAsia="方正楷体简体" w:cs="方正楷体简体"/>
          <w:color w:val="000000"/>
          <w:sz w:val="32"/>
          <w:szCs w:val="32"/>
        </w:rPr>
        <w:t>（三）一般公共预算财政拨款支出决算具体情况</w:t>
      </w:r>
      <w:bookmarkEnd w:id="36"/>
    </w:p>
    <w:p>
      <w:pPr>
        <w:spacing w:line="576" w:lineRule="exact"/>
        <w:ind w:firstLine="640" w:firstLineChars="200"/>
        <w:rPr>
          <w:rFonts w:ascii="仿宋_GB2312" w:hAnsi="仿宋" w:eastAsia="仿宋_GB2312"/>
          <w:color w:val="FF0000"/>
          <w:sz w:val="32"/>
          <w:szCs w:val="32"/>
        </w:rPr>
      </w:pPr>
      <w:bookmarkStart w:id="37" w:name="_Toc15378460"/>
      <w:bookmarkStart w:id="38" w:name="_Toc15377213"/>
      <w:bookmarkStart w:id="39" w:name="_Toc15377444"/>
      <w:r>
        <w:rPr>
          <w:rFonts w:ascii="仿宋_GB2312" w:hAnsi="仿宋" w:eastAsia="仿宋_GB2312" w:cs="仿宋_GB2312"/>
          <w:bCs/>
          <w:color w:val="000000"/>
          <w:sz w:val="32"/>
          <w:szCs w:val="32"/>
        </w:rPr>
        <w:t>20</w:t>
      </w:r>
      <w:r>
        <w:rPr>
          <w:rFonts w:hint="eastAsia" w:ascii="仿宋_GB2312" w:hAnsi="仿宋" w:eastAsia="仿宋_GB2312" w:cs="仿宋_GB2312"/>
          <w:bCs/>
          <w:color w:val="000000"/>
          <w:sz w:val="32"/>
          <w:szCs w:val="32"/>
        </w:rPr>
        <w:t>20年一般公共预算支出决算数为</w:t>
      </w:r>
      <w:r>
        <w:rPr>
          <w:rFonts w:hint="eastAsia" w:ascii="仿宋_GB2312" w:hAnsi="仿宋" w:eastAsia="仿宋_GB2312" w:cs="仿宋_GB2312"/>
          <w:color w:val="000000"/>
          <w:sz w:val="32"/>
          <w:szCs w:val="32"/>
        </w:rPr>
        <w:t>1283.68</w:t>
      </w:r>
      <w:r>
        <w:rPr>
          <w:rFonts w:hint="eastAsia" w:ascii="仿宋_GB2312" w:hAnsi="仿宋" w:eastAsia="仿宋_GB2312" w:cs="仿宋_GB2312"/>
          <w:bCs/>
          <w:color w:val="000000"/>
          <w:sz w:val="32"/>
          <w:szCs w:val="32"/>
        </w:rPr>
        <w:t>万元，</w:t>
      </w:r>
      <w:r>
        <w:rPr>
          <w:rStyle w:val="15"/>
          <w:rFonts w:hint="eastAsia" w:ascii="仿宋_GB2312" w:hAnsi="仿宋" w:eastAsia="仿宋_GB2312" w:cs="仿宋_GB2312"/>
          <w:b w:val="0"/>
          <w:color w:val="000000"/>
          <w:sz w:val="32"/>
          <w:szCs w:val="32"/>
        </w:rPr>
        <w:t>完成预算97.93</w:t>
      </w:r>
      <w:r>
        <w:rPr>
          <w:rStyle w:val="15"/>
          <w:rFonts w:ascii="仿宋_GB2312" w:hAnsi="仿宋" w:eastAsia="仿宋_GB2312" w:cs="仿宋_GB2312"/>
          <w:b w:val="0"/>
          <w:color w:val="000000"/>
          <w:sz w:val="32"/>
          <w:szCs w:val="32"/>
        </w:rPr>
        <w:t>%</w:t>
      </w:r>
      <w:r>
        <w:rPr>
          <w:rStyle w:val="15"/>
          <w:rFonts w:hint="eastAsia" w:ascii="仿宋_GB2312" w:hAnsi="仿宋" w:eastAsia="仿宋_GB2312" w:cs="仿宋_GB2312"/>
          <w:b w:val="0"/>
          <w:color w:val="000000"/>
          <w:sz w:val="32"/>
          <w:szCs w:val="32"/>
        </w:rPr>
        <w:t>。其中：</w:t>
      </w:r>
      <w:bookmarkEnd w:id="37"/>
      <w:bookmarkEnd w:id="38"/>
      <w:bookmarkEnd w:id="39"/>
    </w:p>
    <w:p>
      <w:pPr>
        <w:spacing w:line="576" w:lineRule="exact"/>
        <w:ind w:firstLine="640" w:firstLineChars="200"/>
        <w:rPr>
          <w:rFonts w:ascii="仿宋_GB2312" w:hAnsi="仿宋" w:eastAsia="仿宋_GB2312"/>
          <w:bCs/>
          <w:color w:val="000000"/>
          <w:sz w:val="32"/>
          <w:szCs w:val="32"/>
        </w:rPr>
      </w:pPr>
      <w:r>
        <w:rPr>
          <w:rStyle w:val="15"/>
          <w:rFonts w:ascii="仿宋_GB2312" w:hAnsi="仿宋" w:eastAsia="仿宋_GB2312" w:cs="仿宋_GB2312"/>
          <w:b w:val="0"/>
          <w:color w:val="000000"/>
          <w:sz w:val="32"/>
          <w:szCs w:val="32"/>
        </w:rPr>
        <w:t>1.</w:t>
      </w:r>
      <w:r>
        <w:rPr>
          <w:rStyle w:val="15"/>
          <w:rFonts w:hint="eastAsia" w:ascii="仿宋_GB2312" w:hAnsi="仿宋" w:eastAsia="仿宋_GB2312" w:cs="仿宋_GB2312"/>
          <w:b w:val="0"/>
          <w:color w:val="000000"/>
          <w:sz w:val="32"/>
          <w:szCs w:val="32"/>
        </w:rPr>
        <w:t>社会保障和就业（类）人力资源和社会保障管理事务（款）社会保险经办机构（项）</w:t>
      </w:r>
      <w:r>
        <w:rPr>
          <w:rStyle w:val="15"/>
          <w:rFonts w:ascii="仿宋_GB2312" w:hAnsi="仿宋" w:eastAsia="仿宋_GB2312" w:cs="仿宋_GB2312"/>
          <w:b w:val="0"/>
          <w:color w:val="000000"/>
          <w:sz w:val="32"/>
          <w:szCs w:val="32"/>
        </w:rPr>
        <w:t>:</w:t>
      </w:r>
      <w:r>
        <w:rPr>
          <w:rStyle w:val="15"/>
          <w:rFonts w:hint="eastAsia" w:ascii="仿宋_GB2312" w:hAnsi="仿宋" w:eastAsia="仿宋_GB2312" w:cs="仿宋_GB2312"/>
          <w:b w:val="0"/>
          <w:bCs w:val="0"/>
          <w:color w:val="000000"/>
          <w:sz w:val="32"/>
          <w:szCs w:val="32"/>
        </w:rPr>
        <w:t>支出决算为</w:t>
      </w:r>
      <w:r>
        <w:rPr>
          <w:rFonts w:hint="eastAsia" w:ascii="仿宋_GB2312" w:hAnsi="仿宋" w:eastAsia="仿宋_GB2312" w:cs="仿宋_GB2312"/>
          <w:color w:val="000000"/>
          <w:spacing w:val="-8"/>
          <w:sz w:val="32"/>
          <w:szCs w:val="32"/>
        </w:rPr>
        <w:t>290.29</w:t>
      </w:r>
      <w:r>
        <w:rPr>
          <w:rStyle w:val="15"/>
          <w:rFonts w:hint="eastAsia" w:ascii="仿宋_GB2312" w:hAnsi="仿宋" w:eastAsia="仿宋_GB2312" w:cs="仿宋_GB2312"/>
          <w:b w:val="0"/>
          <w:bCs w:val="0"/>
          <w:color w:val="000000"/>
          <w:sz w:val="32"/>
          <w:szCs w:val="32"/>
        </w:rPr>
        <w:t>万元，完成预算10</w:t>
      </w:r>
      <w:r>
        <w:rPr>
          <w:rStyle w:val="15"/>
          <w:rFonts w:ascii="仿宋_GB2312" w:hAnsi="仿宋" w:eastAsia="仿宋_GB2312" w:cs="仿宋_GB2312"/>
          <w:b w:val="0"/>
          <w:bCs w:val="0"/>
          <w:color w:val="000000"/>
          <w:sz w:val="32"/>
          <w:szCs w:val="32"/>
        </w:rPr>
        <w:t>0%</w:t>
      </w:r>
      <w:r>
        <w:rPr>
          <w:rStyle w:val="15"/>
          <w:rFonts w:hint="eastAsia" w:ascii="仿宋_GB2312" w:hAnsi="仿宋" w:eastAsia="仿宋_GB2312" w:cs="仿宋_GB2312"/>
          <w:b w:val="0"/>
          <w:bCs w:val="0"/>
          <w:color w:val="000000"/>
          <w:sz w:val="32"/>
          <w:szCs w:val="32"/>
        </w:rPr>
        <w:t>。</w:t>
      </w:r>
    </w:p>
    <w:p>
      <w:pPr>
        <w:spacing w:line="576" w:lineRule="exact"/>
        <w:ind w:firstLine="640" w:firstLineChars="200"/>
        <w:rPr>
          <w:rFonts w:ascii="仿宋_GB2312" w:hAnsi="仿宋" w:eastAsia="仿宋_GB2312"/>
          <w:bCs/>
          <w:color w:val="000000"/>
          <w:sz w:val="32"/>
          <w:szCs w:val="32"/>
        </w:rPr>
      </w:pPr>
      <w:r>
        <w:rPr>
          <w:rStyle w:val="15"/>
          <w:rFonts w:ascii="仿宋_GB2312" w:hAnsi="仿宋" w:eastAsia="仿宋_GB2312" w:cs="仿宋_GB2312"/>
          <w:b w:val="0"/>
          <w:color w:val="000000"/>
          <w:sz w:val="32"/>
          <w:szCs w:val="32"/>
        </w:rPr>
        <w:t>2.</w:t>
      </w:r>
      <w:r>
        <w:rPr>
          <w:rFonts w:hint="eastAsia" w:ascii="仿宋_GB2312" w:hAnsi="仿宋" w:eastAsia="仿宋_GB2312" w:cs="仿宋_GB2312"/>
          <w:bCs/>
          <w:color w:val="000000"/>
          <w:sz w:val="32"/>
          <w:szCs w:val="32"/>
        </w:rPr>
        <w:t>卫生健康</w:t>
      </w:r>
      <w:r>
        <w:rPr>
          <w:rStyle w:val="15"/>
          <w:rFonts w:hint="eastAsia" w:ascii="仿宋_GB2312" w:hAnsi="仿宋" w:eastAsia="仿宋_GB2312" w:cs="仿宋_GB2312"/>
          <w:b w:val="0"/>
          <w:color w:val="000000"/>
          <w:sz w:val="32"/>
          <w:szCs w:val="32"/>
        </w:rPr>
        <w:t>（类）行政事业单位医疗（款）行政单位医疗（项）</w:t>
      </w:r>
      <w:r>
        <w:rPr>
          <w:rStyle w:val="15"/>
          <w:rFonts w:ascii="仿宋_GB2312" w:hAnsi="仿宋" w:eastAsia="仿宋_GB2312" w:cs="仿宋_GB2312"/>
          <w:b w:val="0"/>
          <w:color w:val="000000"/>
          <w:sz w:val="32"/>
          <w:szCs w:val="32"/>
        </w:rPr>
        <w:t>:</w:t>
      </w:r>
      <w:r>
        <w:rPr>
          <w:rStyle w:val="15"/>
          <w:rFonts w:hint="eastAsia" w:ascii="仿宋_GB2312" w:hAnsi="仿宋" w:eastAsia="仿宋_GB2312" w:cs="仿宋_GB2312"/>
          <w:b w:val="0"/>
          <w:bCs w:val="0"/>
          <w:color w:val="000000"/>
          <w:sz w:val="32"/>
          <w:szCs w:val="32"/>
        </w:rPr>
        <w:t>支出决算为956.80万元，完成预算97.24</w:t>
      </w:r>
      <w:r>
        <w:rPr>
          <w:rStyle w:val="15"/>
          <w:rFonts w:ascii="仿宋_GB2312" w:hAnsi="仿宋" w:eastAsia="仿宋_GB2312" w:cs="仿宋_GB2312"/>
          <w:b w:val="0"/>
          <w:bCs w:val="0"/>
          <w:color w:val="000000"/>
          <w:sz w:val="32"/>
          <w:szCs w:val="32"/>
        </w:rPr>
        <w:t>%</w:t>
      </w:r>
      <w:r>
        <w:rPr>
          <w:rStyle w:val="15"/>
          <w:rFonts w:hint="eastAsia" w:ascii="仿宋_GB2312" w:hAnsi="仿宋" w:eastAsia="仿宋_GB2312" w:cs="仿宋_GB2312"/>
          <w:b w:val="0"/>
          <w:bCs w:val="0"/>
          <w:color w:val="000000"/>
          <w:sz w:val="32"/>
          <w:szCs w:val="32"/>
        </w:rPr>
        <w:t>，没完成预算的原因是中央补助资金项目跨年度实施。</w:t>
      </w:r>
    </w:p>
    <w:p>
      <w:pPr>
        <w:spacing w:line="576" w:lineRule="exact"/>
        <w:ind w:firstLine="640" w:firstLineChars="200"/>
        <w:rPr>
          <w:rFonts w:ascii="仿宋_GB2312" w:hAnsi="仿宋" w:eastAsia="仿宋_GB2312"/>
          <w:color w:val="000000"/>
          <w:sz w:val="32"/>
          <w:szCs w:val="32"/>
        </w:rPr>
      </w:pPr>
      <w:r>
        <w:rPr>
          <w:rStyle w:val="15"/>
          <w:rFonts w:ascii="仿宋_GB2312" w:hAnsi="仿宋" w:eastAsia="仿宋_GB2312" w:cs="仿宋_GB2312"/>
          <w:b w:val="0"/>
          <w:color w:val="000000"/>
          <w:sz w:val="32"/>
          <w:szCs w:val="32"/>
        </w:rPr>
        <w:t>3.</w:t>
      </w:r>
      <w:r>
        <w:rPr>
          <w:rStyle w:val="15"/>
          <w:rFonts w:hint="eastAsia" w:ascii="仿宋_GB2312" w:hAnsi="仿宋" w:eastAsia="仿宋_GB2312" w:cs="仿宋_GB2312"/>
          <w:b w:val="0"/>
          <w:color w:val="000000"/>
          <w:sz w:val="32"/>
          <w:szCs w:val="32"/>
        </w:rPr>
        <w:t>住房保障支出（类）住房改革支出（款）住房公积金（项）：</w:t>
      </w:r>
      <w:r>
        <w:rPr>
          <w:rStyle w:val="15"/>
          <w:rFonts w:hint="eastAsia" w:ascii="仿宋_GB2312" w:hAnsi="仿宋" w:eastAsia="仿宋_GB2312" w:cs="仿宋_GB2312"/>
          <w:b w:val="0"/>
          <w:bCs w:val="0"/>
          <w:color w:val="000000"/>
          <w:sz w:val="32"/>
          <w:szCs w:val="32"/>
        </w:rPr>
        <w:t>支出决算为36.59 万元，完成预算</w:t>
      </w:r>
      <w:r>
        <w:rPr>
          <w:rStyle w:val="15"/>
          <w:rFonts w:ascii="仿宋_GB2312" w:hAnsi="仿宋" w:eastAsia="仿宋_GB2312" w:cs="仿宋_GB2312"/>
          <w:b w:val="0"/>
          <w:bCs w:val="0"/>
          <w:color w:val="000000"/>
          <w:sz w:val="32"/>
          <w:szCs w:val="32"/>
        </w:rPr>
        <w:t>100%</w:t>
      </w:r>
      <w:r>
        <w:rPr>
          <w:rStyle w:val="15"/>
          <w:rFonts w:hint="eastAsia" w:ascii="仿宋_GB2312" w:hAnsi="仿宋" w:eastAsia="仿宋_GB2312" w:cs="仿宋_GB2312"/>
          <w:b w:val="0"/>
          <w:bCs w:val="0"/>
          <w:color w:val="000000"/>
          <w:sz w:val="32"/>
          <w:szCs w:val="32"/>
        </w:rPr>
        <w:t>。</w:t>
      </w:r>
    </w:p>
    <w:p>
      <w:pPr>
        <w:spacing w:line="576" w:lineRule="exact"/>
        <w:ind w:firstLine="640" w:firstLineChars="200"/>
        <w:rPr>
          <w:rStyle w:val="19"/>
          <w:rFonts w:ascii="方正黑体简体" w:hAnsi="黑体" w:eastAsia="方正黑体简体" w:cs="Times New Roman"/>
          <w:b w:val="0"/>
          <w:bCs w:val="0"/>
        </w:rPr>
      </w:pPr>
      <w:bookmarkStart w:id="40" w:name="_Toc15377214"/>
      <w:bookmarkStart w:id="41" w:name="_Toc15396608"/>
      <w:r>
        <w:rPr>
          <w:rFonts w:hint="eastAsia" w:ascii="方正黑体简体" w:eastAsia="方正黑体简体" w:cs="方正黑体简体"/>
          <w:color w:val="000000"/>
          <w:sz w:val="32"/>
          <w:szCs w:val="32"/>
        </w:rPr>
        <w:t>六</w:t>
      </w:r>
      <w:r>
        <w:rPr>
          <w:rFonts w:hint="eastAsia" w:ascii="方正黑体简体" w:eastAsia="方正黑体简体" w:cs="方正黑体简体"/>
          <w:bCs/>
          <w:color w:val="000000"/>
          <w:sz w:val="32"/>
          <w:szCs w:val="32"/>
        </w:rPr>
        <w:t>、</w:t>
      </w:r>
      <w:r>
        <w:rPr>
          <w:rFonts w:hint="eastAsia" w:ascii="方正黑体简体" w:hAnsi="黑体" w:eastAsia="方正黑体简体" w:cs="方正黑体简体"/>
          <w:bCs/>
          <w:color w:val="000000"/>
          <w:sz w:val="32"/>
          <w:szCs w:val="32"/>
        </w:rPr>
        <w:t>一</w:t>
      </w:r>
      <w:r>
        <w:rPr>
          <w:rStyle w:val="19"/>
          <w:rFonts w:hint="eastAsia" w:ascii="方正黑体简体" w:hAnsi="黑体" w:eastAsia="方正黑体简体" w:cs="方正黑体简体"/>
          <w:b w:val="0"/>
          <w:bCs w:val="0"/>
        </w:rPr>
        <w:t>般公共预算财政拨款基本支出决算情况说明</w:t>
      </w:r>
      <w:bookmarkEnd w:id="40"/>
      <w:bookmarkEnd w:id="41"/>
      <w:r>
        <w:rPr>
          <w:rStyle w:val="19"/>
          <w:rFonts w:ascii="方正黑体简体" w:hAnsi="黑体" w:eastAsia="方正黑体简体" w:cs="Times New Roman"/>
          <w:b w:val="0"/>
          <w:bCs w:val="0"/>
        </w:rPr>
        <w:tab/>
      </w:r>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20</w:t>
      </w:r>
      <w:r>
        <w:rPr>
          <w:rFonts w:hint="eastAsia" w:ascii="仿宋_GB2312" w:hAnsi="仿宋" w:eastAsia="仿宋_GB2312" w:cs="仿宋_GB2312"/>
          <w:color w:val="000000"/>
          <w:sz w:val="32"/>
          <w:szCs w:val="32"/>
        </w:rPr>
        <w:t>20年一般公共预算财政拨款基本支出496.43万元，其中：</w:t>
      </w:r>
    </w:p>
    <w:p>
      <w:pPr>
        <w:spacing w:line="576" w:lineRule="exact"/>
        <w:ind w:firstLine="640" w:firstLineChars="200"/>
        <w:rPr>
          <w:rFonts w:ascii="仿宋_GB2312" w:hAnsi="仿宋" w:eastAsia="仿宋_GB2312"/>
          <w:color w:val="000000"/>
          <w:sz w:val="32"/>
          <w:szCs w:val="32"/>
        </w:rPr>
      </w:pPr>
      <w:r>
        <w:rPr>
          <w:rFonts w:hint="eastAsia" w:ascii="仿宋_GB2312" w:hAnsi="仿宋" w:eastAsia="仿宋_GB2312" w:cs="仿宋_GB2312"/>
          <w:color w:val="000000"/>
          <w:sz w:val="32"/>
          <w:szCs w:val="32"/>
        </w:rPr>
        <w:t>人员经费412.49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76" w:lineRule="exact"/>
        <w:ind w:firstLine="576" w:firstLineChars="200"/>
        <w:rPr>
          <w:rFonts w:ascii="仿宋_GB2312" w:hAnsi="仿宋" w:eastAsia="仿宋_GB2312"/>
          <w:color w:val="000000"/>
          <w:spacing w:val="-16"/>
          <w:sz w:val="32"/>
          <w:szCs w:val="32"/>
        </w:rPr>
      </w:pPr>
      <w:r>
        <w:rPr>
          <w:rFonts w:hint="eastAsia" w:ascii="仿宋_GB2312" w:hAnsi="仿宋" w:eastAsia="仿宋_GB2312" w:cs="仿宋_GB2312"/>
          <w:color w:val="000000"/>
          <w:spacing w:val="-16"/>
          <w:sz w:val="32"/>
          <w:szCs w:val="32"/>
        </w:rPr>
        <w:t>日常公用经费83.94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bookmarkStart w:id="42" w:name="_Toc15377215"/>
      <w:bookmarkStart w:id="43" w:name="_Toc15396609"/>
    </w:p>
    <w:p>
      <w:pPr>
        <w:spacing w:line="576" w:lineRule="exact"/>
        <w:ind w:firstLine="640" w:firstLineChars="200"/>
        <w:rPr>
          <w:rFonts w:ascii="方正黑体简体" w:eastAsia="方正黑体简体"/>
          <w:color w:val="000000"/>
          <w:sz w:val="32"/>
          <w:szCs w:val="32"/>
        </w:rPr>
      </w:pPr>
      <w:r>
        <w:rPr>
          <w:rFonts w:hint="eastAsia" w:ascii="方正黑体简体" w:eastAsia="方正黑体简体" w:cs="方正黑体简体"/>
          <w:color w:val="000000"/>
          <w:sz w:val="32"/>
          <w:szCs w:val="32"/>
        </w:rPr>
        <w:t>七、</w:t>
      </w:r>
      <w:r>
        <w:rPr>
          <w:rFonts w:hint="eastAsia" w:ascii="方正黑体简体" w:eastAsia="方正黑体简体" w:cs="方正黑体简体"/>
          <w:bCs/>
          <w:color w:val="000000"/>
          <w:sz w:val="32"/>
          <w:szCs w:val="32"/>
        </w:rPr>
        <w:t>“</w:t>
      </w:r>
      <w:r>
        <w:rPr>
          <w:rFonts w:hint="eastAsia" w:ascii="方正黑体简体" w:eastAsia="方正黑体简体" w:cs="方正黑体简体"/>
          <w:color w:val="000000"/>
          <w:sz w:val="32"/>
          <w:szCs w:val="32"/>
        </w:rPr>
        <w:t>三公”经费财政拨款支出决算情况说明</w:t>
      </w:r>
      <w:bookmarkEnd w:id="42"/>
      <w:bookmarkEnd w:id="43"/>
      <w:bookmarkStart w:id="44" w:name="_Toc15377216"/>
    </w:p>
    <w:p>
      <w:pPr>
        <w:spacing w:line="600" w:lineRule="exact"/>
        <w:ind w:firstLine="640" w:firstLineChars="200"/>
        <w:outlineLvl w:val="2"/>
        <w:rPr>
          <w:rFonts w:ascii="方正楷体简体" w:hAnsi="仿宋" w:eastAsia="方正楷体简体"/>
          <w:color w:val="000000"/>
          <w:sz w:val="32"/>
          <w:szCs w:val="32"/>
        </w:rPr>
      </w:pPr>
      <w:r>
        <w:rPr>
          <w:rFonts w:hint="eastAsia" w:ascii="方正楷体简体" w:hAnsi="仿宋" w:eastAsia="方正楷体简体" w:cs="方正楷体简体"/>
          <w:color w:val="000000"/>
          <w:sz w:val="32"/>
          <w:szCs w:val="32"/>
        </w:rPr>
        <w:t>（一）“三公”经费财政拨款支出决算总体情况说明</w:t>
      </w:r>
      <w:bookmarkEnd w:id="44"/>
    </w:p>
    <w:p>
      <w:pPr>
        <w:spacing w:line="576" w:lineRule="exact"/>
        <w:ind w:firstLine="640" w:firstLineChars="200"/>
        <w:rPr>
          <w:rFonts w:ascii="仿宋_GB2312" w:eastAsia="仿宋_GB2312"/>
          <w:sz w:val="32"/>
          <w:szCs w:val="32"/>
        </w:rPr>
      </w:pPr>
      <w:r>
        <w:rPr>
          <w:rFonts w:ascii="仿宋_GB2312" w:hAnsi="仿宋" w:eastAsia="仿宋_GB2312" w:cs="仿宋_GB2312"/>
          <w:color w:val="000000"/>
          <w:sz w:val="32"/>
          <w:szCs w:val="32"/>
        </w:rPr>
        <w:t>20</w:t>
      </w:r>
      <w:r>
        <w:rPr>
          <w:rFonts w:hint="eastAsia" w:ascii="仿宋_GB2312" w:hAnsi="仿宋" w:eastAsia="仿宋_GB2312" w:cs="仿宋_GB2312"/>
          <w:color w:val="000000"/>
          <w:sz w:val="32"/>
          <w:szCs w:val="32"/>
        </w:rPr>
        <w:t>20年“三公”经费财政拨款支出决算为1.36万元，完成预算35.05</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，决算数小于预算数的主要原因是严格</w:t>
      </w:r>
      <w:r>
        <w:rPr>
          <w:rFonts w:hint="eastAsia" w:ascii="仿宋_GB2312" w:eastAsia="仿宋_GB2312" w:cs="仿宋_GB2312"/>
          <w:sz w:val="32"/>
          <w:szCs w:val="32"/>
        </w:rPr>
        <w:t>落实转变作风、厉行节约有关要求，严格控制接待标准，压缩接待规模。</w:t>
      </w:r>
      <w:bookmarkStart w:id="45" w:name="_Toc15377217"/>
    </w:p>
    <w:p>
      <w:pPr>
        <w:spacing w:line="600" w:lineRule="exact"/>
        <w:ind w:firstLine="640" w:firstLineChars="200"/>
        <w:outlineLvl w:val="2"/>
        <w:rPr>
          <w:rFonts w:ascii="方正楷体简体" w:hAnsi="仿宋" w:eastAsia="方正楷体简体"/>
          <w:color w:val="000000"/>
          <w:sz w:val="32"/>
          <w:szCs w:val="32"/>
        </w:rPr>
      </w:pPr>
      <w:r>
        <w:rPr>
          <w:rFonts w:hint="eastAsia" w:ascii="方正楷体简体" w:hAnsi="仿宋" w:eastAsia="方正楷体简体" w:cs="方正楷体简体"/>
          <w:color w:val="000000"/>
          <w:sz w:val="32"/>
          <w:szCs w:val="32"/>
        </w:rPr>
        <w:t>（二）“三公”经费财政拨款支出决算具体情况说明</w:t>
      </w:r>
      <w:bookmarkEnd w:id="45"/>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color w:val="000000"/>
          <w:sz w:val="32"/>
          <w:szCs w:val="32"/>
        </w:rPr>
        <w:t>20</w:t>
      </w:r>
      <w:r>
        <w:rPr>
          <w:rFonts w:hint="eastAsia" w:ascii="仿宋_GB2312" w:hAnsi="仿宋" w:eastAsia="仿宋_GB2312" w:cs="仿宋_GB2312"/>
          <w:color w:val="000000"/>
          <w:sz w:val="32"/>
          <w:szCs w:val="32"/>
        </w:rPr>
        <w:t>20年“三公”经费财政拨款支出决算中，因公出国（境）费支出决算</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万元，占比为零；公务用车购置及运行维护费支出决算</w:t>
      </w:r>
      <w:r>
        <w:rPr>
          <w:rFonts w:ascii="仿宋_GB2312" w:hAnsi="仿宋" w:eastAsia="仿宋_GB2312" w:cs="仿宋_GB2312"/>
          <w:color w:val="000000"/>
          <w:sz w:val="32"/>
          <w:szCs w:val="32"/>
        </w:rPr>
        <w:t>0</w:t>
      </w:r>
      <w:r>
        <w:rPr>
          <w:rFonts w:hint="eastAsia" w:ascii="仿宋_GB2312" w:hAnsi="仿宋" w:eastAsia="仿宋_GB2312" w:cs="仿宋_GB2312"/>
          <w:color w:val="000000"/>
          <w:sz w:val="32"/>
          <w:szCs w:val="32"/>
        </w:rPr>
        <w:t>万元，占比为零；公务接待费支出决算1.36万元，占</w:t>
      </w:r>
      <w:r>
        <w:rPr>
          <w:rFonts w:ascii="仿宋_GB2312" w:hAnsi="仿宋" w:eastAsia="仿宋_GB2312" w:cs="仿宋_GB2312"/>
          <w:color w:val="000000"/>
          <w:sz w:val="32"/>
          <w:szCs w:val="32"/>
        </w:rPr>
        <w:t>100%</w:t>
      </w:r>
      <w:r>
        <w:rPr>
          <w:rFonts w:hint="eastAsia" w:ascii="仿宋_GB2312" w:hAnsi="仿宋" w:eastAsia="仿宋_GB2312" w:cs="仿宋_GB2312"/>
          <w:color w:val="000000"/>
          <w:sz w:val="32"/>
          <w:szCs w:val="32"/>
        </w:rPr>
        <w:t>。具体情况如下：</w:t>
      </w:r>
    </w:p>
    <w:p>
      <w:pPr>
        <w:spacing w:line="576" w:lineRule="exact"/>
        <w:ind w:firstLine="640" w:firstLineChars="200"/>
        <w:jc w:val="center"/>
        <w:rPr>
          <w:rFonts w:ascii="仿宋_GB2312" w:hAnsi="仿宋" w:eastAsia="仿宋_GB2312"/>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576" w:lineRule="exact"/>
        <w:ind w:firstLine="420" w:firstLineChars="200"/>
        <w:rPr>
          <w:rFonts w:ascii="仿宋_GB2312" w:hAnsi="仿宋" w:eastAsia="仿宋_GB2312"/>
          <w:color w:val="000000"/>
          <w:sz w:val="32"/>
          <w:szCs w:val="32"/>
        </w:rPr>
      </w:pPr>
      <w:r>
        <w:pict>
          <v:shape id="图片 20" o:spid="_x0000_s1047" o:spt="75" type="#_x0000_t75" style="position:absolute;left:0pt;margin-left:30.9pt;margin-top:4.55pt;height:194.4pt;width:362.9pt;mso-wrap-distance-bottom:0pt;mso-wrap-distance-left:9pt;mso-wrap-distance-right:9pt;mso-wrap-distance-top:0pt;z-index:251659264;mso-width-relative:page;mso-height-relative:page;"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RLOKA3wAAAAgBAAAPAAAAZHJzL2Rvd25y&#10;ZXYueG1sTI/NT4NAFMTvJv4Pm2fizS74AQV5NKaJl5r4UZvY4yusQGTfEva14H/vetLjZCYzvylW&#10;s+3VyYy+c4wQLyJQhitXd9wg7N4fr5agvBDX1Ds2CN/Gw6o8Pysor93Eb+a0lUaFEvY5IbQiQ661&#10;r1pjyS/cYDh4n260JEGOja5HmkK57fV1FCXaUsdhoaXBrFtTfW2PFqG5fXndPW3cx1Ttn+9o72Sz&#10;ZkG8vJgf7kGJmeUvDL/4AR3KwHRwR6696hGSOJALQhaDCna6TBNQB4SbLM1Al4X+f6D8AQAA//8D&#10;AFBLAwQUAAYACAAAACEAzxAVgBABAAA3AgAADgAAAGRycy9lMm9Eb2MueG1snJFNasMwEEb3hd5B&#10;zL6RY4zbmMjZhEJX3bQHmEqjWGBLYqTE7e2rJqakq0J28wOPN99sd5/TKE7EyQWvYL2qQJDXwTh/&#10;UPD+9vzwBCJl9AbH4EnBFyXY9fd32zl2VIchjIZYFIhP3RwVDDnHTsqkB5owrUIkX5Y28IS5tHyQ&#10;hnEu9GmUdVW1cg5sIgdNKZXp/rKE/sy3lnR+tTZRFmOxq9ebGkRW0FabFgQraKq2AfGhoH7cNCD7&#10;LXYHxjg4vTjhDUoTOl8MflF7zCiO7G5A6QE5F5buztUipW8mLYBy+f9BB2udpn3Qx4l8vqTNNGIu&#10;r06Di6kk2DmjgF/M+ic7+efi677U1//uvwE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LZnNeceAQAAcwEAACAAAABkcnMvY2hhcnRzL19yZWxzL2NoYXJ0MS54bWwucmVsc4TQzUrDQBAA&#10;4LvgO4QFj2bTHEQkSS8q9CCC1AdYdyc/muyG3VXSW1HqSTxakXjoQfAgiljQotKX6dr6Fi6CYEHw&#10;MjDMzDfDBM2qyJ0jkCoTPEQN10MOcCpYxpMQ7bY3l1eRozThjOSCQ4g6oFAzWlwIdiAn2g6pNCuV&#10;YxWuQpRqXa5hrGgKBVGuKIHbSixkQbRNZYJLQg9IAtj3vBUsfxsomjOdFguRbLEGctqd0m7+3xZx&#10;nFFYF/SwAK7/WIFFDtt7+0C1RYlMQIfIPN9M3uvZ4HbJ90z9HUdj0zsxL8fm7HV60Z+Mrz+vavPY&#10;9T3bMRqa06fpfd/07sxbd/Yw/Lg8d5mg1Y+4JZg9dqPSIDnJEY4CPPeq6AsAAP//AwBQSwMEFAAG&#10;AAgAAAAhAIwfQa3lBgAAGRkAABUAAABkcnMvY2hhcnRzL2NoYXJ0MS54bWzsWV9vE0cQf6/U73A9&#10;UfFQ2b7zv9gWNkpsUiGlJSLAS9WHzd2efWJ9d91dJ3GqSqhVitRSpKpVqSiVygNSHypQW6Tyny+T&#10;C/DUr9CZ3Tvb5yRgApH6kIs4383ezu7Mb2Z2ZjhxcqPPjDXKhR8GTdPOW6ZBAyd0/aDbNM+fW8zV&#10;TENIEriEhQFtmkMqzJOtd9854TScHuFyJSIONYBJIBpO0+xJGTUKBeH0aJ+IfBjRAMa8kPeJhFfe&#10;LbicrAPzPisULataUEzMhAE5AIM+8YN0Pp9lfuh5vkM7oTPo00DqXXDKiAQNiJ4fCbMFwrlEUrtu&#10;lY01wkAvZgGJjARdTdjs5dofa6KSAEfJQIbnfMlohzIqqZuZGrFQznNKNJthOJCKY+TTNqoRyWuE&#10;D9shC7nIzBSU46jvbmiypZcNuUt5hiI38Dsh+Vnq4ZPXOv5J/M+t7cc3nt/83YhvwL/7T+Otr+J7&#10;X8ZXHj776dr2019fXL8R/3mpaBWt+P7d+Ou/n92+Fm/9ET+69PzO3Z2fr+bd0Nn4dKVHqbSPv3ds&#10;4VjpRAEZ63XaBGDG50i2w0EgM9uOpAFbbpqWUudaa/vB9Z27f8VXHiCHtRbeIxAbfmDHCSf9orYP&#10;j4k80TLITxoiZL676DOmXnh3tc0S8SsL9YVOBZYhDcKiHkm2YeGFuirAZP29fp5kxAJjvWmW7Dk9&#10;PwhxBT2HBXp3an0wiGUFUhYG2GVCd5dWmUBd4AP+Zj9E20HQcaRPggFhS6P3BNd6vl6p2XPFsr6X&#10;7NqpXEljPdQi5ax8qTxXnLjsihJwmidsa7ycViP3nR5qaDV0h8vc4KFEaAwROYs+F3KJCLlMODgg&#10;ECEcyDNw81gIyqGMgVP4QtPBw0K+aRrrnERNU3w2IJyaBjsdCFBjzQaNG1K9gPNU4IVPjqxOjpDA&#10;AVZN05HcNPRLW8K78jXSYEKuyCGjAAZpROoG+3apd46srmw2zbpdLsNqOADEszCG3tk0tWcaAj6B&#10;3cAOVpVMvroPmmYAYQxDGvcvQjgLwhX1ZBoXKccACEEJphBBmY/hTi+wv+0pIxtZWcayIKAEhhxG&#10;1IMI2TQ/6Ac5JhEu0qBkaoASPeCIqQFHKIBTGZUBJw6hvIKP5KZB7vwKKJIBltN6QEXNqofZZV9U&#10;V7K/jIowmE7KHj+5/fzxnRe/bL14+L1pRCQIBeq2aC2AjZTgt2iV9d00MJwKCtaZs4vFPdT1hrwy&#10;Gn4jXhBWQPsIp2zZ+VIV4wwGNCAjcQSPssQjBEZoHg4C2/cuw9H276MrGRgADB06EBHwm6P4gRrR&#10;VntkoFZ5z3BzOAYaf/dbxjQnIoQ+uI4C+EyHweGgA6nC+1Pw0MDFjOjsTCesThtmyzRmP2Fnzy7i&#10;299uP/4hc7baVhXmlyw7/dvT2DOpyIG5ZEE52F4gMo1VrhMdlYDrzHVXPTBK1SFVhEydNEYEYKQp&#10;1POoI5cEllowX6SZPGToy2FSZK1SIRd9lZfBF71w/QKBenii5qMbyAHzdngyBhwSyc/bp6qV0ty8&#10;netUF9u5slet5Oqdup2D3LzcLtchg19Y+CItSh27sqss7fsOD0XoybwT9gu6Ik0rY6hI7WJSF8Oy&#10;diXJ5bUQsAklTLotrECSisNVZef/dvMoCSp4iRKoXJcgvc7UuSjneAT1rfFCMLFGq1eKFbBgrDo8&#10;yC/hsR+5UIEEXUx6u5C7YyGBhpBJRZPKT2sl8Sf86LUrxQiqpA4RPc1JraGzUw6lr4vgaLMbGVpB&#10;QTcpEgztA5+qHB2izAxKk0Mr4NvHiugJByrgsS/wzc2dq7fiJ1s7P96JL89eySeSgVshrsGgf4gC&#10;jjsUsM6oQ6E7UO3Qpa0PaUA5YUoPqi+lqLCvWboYOtGfamCMFwLdptLBo5IXfpMOjoeF9gqD5tN8&#10;2kbSlSMsPdEGSs1+FM9SD3h1lwLWyvSZaBciKqqcqadx0EPLnewR7GpJfASa0pZO3S7Vnw/3IqZN&#10;qXypZBcr2sHwnnTMks6Fla9BfVcrjS5IvdQW1hPHzJeKdbs6uiCQ6vHE3ay8PWfZpVp61TV/kDe7&#10;cyCMGx9voEhsPuks+ZX9Evsg/ZKD9D4wau3X6ai/RoF/sEZHpY5/Kr6yQR8sQQNXRcgRKjDSQf+M&#10;52lyKSVDUNy/9zbVJXjrHZJxOpHpDelYDXUhWIuGGc1m5CvoQRd8cSZgifEmpuz6IlqAVP2imE8O&#10;rk3KQ5Qdpo+awKnR7X8IvaRt8tYOug6kI53daNkpLFm0ain5ZWjNev5BFrd32jXlUZkGojagvTp+&#10;+1h9gqH20ZlxVucv9PkI6xBJDA5N2qbJT7sK4RRF9T8arf8AAAD//wMAUEsBAi0AFAAGAAgAAAAh&#10;AKTylZEcAQAAXgIAABMAAAAAAAAAAAAAAAAAAAAAAFtDb250ZW50X1R5cGVzXS54bWxQSwECLQAU&#10;AAYACAAAACEAOP0h/9YAAACUAQAACwAAAAAAAAAAAAAAAABNAQAAX3JlbHMvLnJlbHNQSwECLQAU&#10;AAYACAAAACEAUSzigN8AAAAIAQAADwAAAAAAAAAAAAAAAABMAgAAZHJzL2Rvd25yZXYueG1sUEsB&#10;Ai0AFAAGAAgAAAAhAM8QFYAQAQAANwIAAA4AAAAAAAAAAAAAAAAAWAMAAGRycy9lMm9Eb2MueG1s&#10;UEsBAi0AFAAGAAgAAAAhAKsWzUa5AAAAIgEAABkAAAAAAAAAAAAAAAAAlAQAAGRycy9fcmVscy9l&#10;Mm9Eb2MueG1sLnJlbHNQSwECLQAUAAYACAAAACEAtmc15x4BAABzAQAAIAAAAAAAAAAAAAAAAACE&#10;BQAAZHJzL2NoYXJ0cy9fcmVscy9jaGFydDEueG1sLnJlbHNQSwECLQAUAAYACAAAACEAjB9BreUG&#10;AAAZGQAAFQAAAAAAAAAAAAAAAADgBgAAZHJzL2NoYXJ0cy9jaGFydDEueG1sUEsFBgAAAAAHAAcA&#10;ywEAAPgNAAAAAA==&#10;">
            <v:path/>
            <v:fill on="f" focussize="0,0"/>
            <v:stroke on="f" joinstyle="miter"/>
            <v:imagedata r:id="rId22" o:title=""/>
            <o:lock v:ext="edit" aspectratio="f"/>
            <w10:wrap type="square"/>
          </v:shape>
        </w:pict>
      </w:r>
    </w:p>
    <w:p>
      <w:pPr>
        <w:spacing w:line="576" w:lineRule="exact"/>
        <w:ind w:firstLine="640" w:firstLineChars="200"/>
        <w:rPr>
          <w:rFonts w:ascii="仿宋_GB2312" w:hAnsi="仿宋" w:eastAsia="仿宋_GB2312"/>
          <w:color w:val="000000"/>
          <w:sz w:val="32"/>
          <w:szCs w:val="32"/>
        </w:rPr>
      </w:pPr>
    </w:p>
    <w:p>
      <w:pPr>
        <w:spacing w:line="576" w:lineRule="exact"/>
        <w:ind w:firstLine="640" w:firstLineChars="200"/>
        <w:rPr>
          <w:rFonts w:ascii="仿宋_GB2312" w:hAnsi="仿宋" w:eastAsia="仿宋_GB2312"/>
          <w:color w:val="000000"/>
          <w:sz w:val="32"/>
          <w:szCs w:val="32"/>
        </w:rPr>
      </w:pPr>
    </w:p>
    <w:p>
      <w:pPr>
        <w:spacing w:line="576" w:lineRule="exact"/>
        <w:ind w:firstLine="640" w:firstLineChars="200"/>
        <w:rPr>
          <w:rFonts w:ascii="仿宋_GB2312" w:hAnsi="仿宋" w:eastAsia="仿宋_GB2312"/>
          <w:color w:val="000000"/>
          <w:sz w:val="32"/>
          <w:szCs w:val="32"/>
        </w:rPr>
      </w:pPr>
    </w:p>
    <w:p>
      <w:pPr>
        <w:spacing w:line="576" w:lineRule="exact"/>
        <w:ind w:firstLine="640" w:firstLineChars="200"/>
        <w:rPr>
          <w:rFonts w:ascii="仿宋_GB2312" w:hAnsi="仿宋" w:eastAsia="仿宋_GB2312"/>
          <w:color w:val="000000"/>
          <w:sz w:val="32"/>
          <w:szCs w:val="32"/>
        </w:rPr>
      </w:pPr>
    </w:p>
    <w:p>
      <w:pPr>
        <w:spacing w:line="576" w:lineRule="exact"/>
        <w:ind w:firstLine="640" w:firstLineChars="200"/>
        <w:rPr>
          <w:rFonts w:ascii="仿宋_GB2312" w:hAnsi="仿宋" w:eastAsia="仿宋_GB2312"/>
          <w:color w:val="000000"/>
          <w:sz w:val="32"/>
          <w:szCs w:val="32"/>
        </w:rPr>
      </w:pPr>
    </w:p>
    <w:p>
      <w:pPr>
        <w:spacing w:line="576" w:lineRule="exact"/>
        <w:jc w:val="center"/>
        <w:rPr>
          <w:rFonts w:ascii="仿宋_GB2312" w:hAnsi="仿宋" w:eastAsia="仿宋_GB2312"/>
          <w:color w:val="FFFFFF"/>
          <w:sz w:val="32"/>
          <w:szCs w:val="32"/>
        </w:rPr>
      </w:pPr>
      <w:r>
        <w:rPr>
          <w:rFonts w:hint="eastAsia" w:ascii="仿宋_GB2312" w:hAnsi="仿宋" w:eastAsia="仿宋_GB2312" w:cs="仿宋_GB2312"/>
          <w:color w:val="FFFFFF"/>
          <w:sz w:val="32"/>
          <w:szCs w:val="32"/>
        </w:rPr>
        <w:t>（</w:t>
      </w:r>
      <w:r>
        <w:rPr>
          <w:rFonts w:ascii="仿宋_GB2312" w:hAnsi="仿宋" w:eastAsia="仿宋_GB2312" w:cs="仿宋_GB2312"/>
          <w:color w:val="FFFFFF"/>
          <w:sz w:val="32"/>
          <w:szCs w:val="32"/>
        </w:rPr>
        <w:t>7</w:t>
      </w:r>
      <w:r>
        <w:rPr>
          <w:rFonts w:hint="eastAsia" w:ascii="仿宋_GB2312" w:hAnsi="仿宋" w:eastAsia="仿宋_GB2312" w:cs="仿宋_GB2312"/>
          <w:color w:val="FFFFFF"/>
          <w:sz w:val="32"/>
          <w:szCs w:val="32"/>
        </w:rPr>
        <w:t>：</w:t>
      </w:r>
    </w:p>
    <w:p>
      <w:pPr>
        <w:spacing w:line="576" w:lineRule="exact"/>
        <w:ind w:firstLine="640" w:firstLineChars="200"/>
        <w:rPr>
          <w:rFonts w:ascii="仿宋_GB2312" w:eastAsia="仿宋_GB2312"/>
          <w:color w:val="000000"/>
          <w:sz w:val="32"/>
          <w:szCs w:val="32"/>
        </w:rPr>
      </w:pPr>
      <w:r>
        <w:rPr>
          <w:rFonts w:ascii="仿宋_GB2312" w:eastAsia="仿宋_GB2312" w:cs="仿宋_GB2312"/>
          <w:bCs/>
          <w:color w:val="000000"/>
          <w:sz w:val="32"/>
          <w:szCs w:val="32"/>
        </w:rPr>
        <w:t>1.</w:t>
      </w:r>
      <w:r>
        <w:rPr>
          <w:rFonts w:hint="eastAsia" w:ascii="仿宋_GB2312" w:eastAsia="仿宋_GB2312" w:cs="仿宋_GB2312"/>
          <w:bCs/>
          <w:color w:val="000000"/>
          <w:sz w:val="32"/>
          <w:szCs w:val="32"/>
        </w:rPr>
        <w:t>我局</w:t>
      </w:r>
      <w:r>
        <w:rPr>
          <w:rFonts w:ascii="仿宋_GB2312" w:eastAsia="仿宋_GB2312" w:cs="仿宋_GB2312"/>
          <w:bCs/>
          <w:color w:val="000000"/>
          <w:sz w:val="32"/>
          <w:szCs w:val="32"/>
        </w:rPr>
        <w:t>20</w:t>
      </w:r>
      <w:r>
        <w:rPr>
          <w:rFonts w:hint="eastAsia" w:ascii="仿宋_GB2312" w:eastAsia="仿宋_GB2312" w:cs="仿宋_GB2312"/>
          <w:bCs/>
          <w:color w:val="000000"/>
          <w:sz w:val="32"/>
          <w:szCs w:val="32"/>
        </w:rPr>
        <w:t>20年无因公出国（境）情况，与</w:t>
      </w:r>
      <w:r>
        <w:rPr>
          <w:rFonts w:ascii="仿宋_GB2312" w:eastAsia="仿宋_GB2312" w:cs="仿宋_GB2312"/>
          <w:bCs/>
          <w:color w:val="000000"/>
          <w:sz w:val="32"/>
          <w:szCs w:val="32"/>
        </w:rPr>
        <w:t>201</w:t>
      </w:r>
      <w:r>
        <w:rPr>
          <w:rFonts w:hint="eastAsia" w:ascii="仿宋_GB2312" w:eastAsia="仿宋_GB2312" w:cs="仿宋_GB2312"/>
          <w:bCs/>
          <w:color w:val="000000"/>
          <w:sz w:val="32"/>
          <w:szCs w:val="32"/>
        </w:rPr>
        <w:t>9年持平。</w:t>
      </w:r>
    </w:p>
    <w:p>
      <w:pPr>
        <w:spacing w:line="576" w:lineRule="exact"/>
        <w:ind w:firstLine="640" w:firstLineChars="200"/>
        <w:rPr>
          <w:rFonts w:ascii="仿宋_GB2312" w:eastAsia="仿宋_GB2312"/>
          <w:bCs/>
          <w:color w:val="000000"/>
          <w:sz w:val="32"/>
          <w:szCs w:val="32"/>
        </w:rPr>
      </w:pPr>
      <w:r>
        <w:rPr>
          <w:rFonts w:ascii="仿宋_GB2312" w:eastAsia="仿宋_GB2312" w:cs="仿宋_GB2312"/>
          <w:bCs/>
          <w:color w:val="000000"/>
          <w:sz w:val="32"/>
          <w:szCs w:val="32"/>
        </w:rPr>
        <w:t>2.</w:t>
      </w:r>
      <w:r>
        <w:rPr>
          <w:rFonts w:hint="eastAsia" w:ascii="仿宋_GB2312" w:eastAsia="仿宋_GB2312" w:cs="仿宋_GB2312"/>
          <w:bCs/>
          <w:color w:val="000000"/>
          <w:sz w:val="32"/>
          <w:szCs w:val="32"/>
        </w:rPr>
        <w:t>我局</w:t>
      </w:r>
      <w:r>
        <w:rPr>
          <w:rFonts w:ascii="仿宋_GB2312" w:eastAsia="仿宋_GB2312" w:cs="仿宋_GB2312"/>
          <w:bCs/>
          <w:color w:val="000000"/>
          <w:sz w:val="32"/>
          <w:szCs w:val="32"/>
        </w:rPr>
        <w:t>20</w:t>
      </w:r>
      <w:r>
        <w:rPr>
          <w:rFonts w:hint="eastAsia" w:ascii="仿宋_GB2312" w:eastAsia="仿宋_GB2312" w:cs="仿宋_GB2312"/>
          <w:bCs/>
          <w:color w:val="000000"/>
          <w:sz w:val="32"/>
          <w:szCs w:val="32"/>
        </w:rPr>
        <w:t>20年无公务用车购置及运行维护费支出</w:t>
      </w:r>
      <w:r>
        <w:rPr>
          <w:rFonts w:ascii="仿宋_GB2312" w:eastAsia="仿宋_GB2312" w:cs="仿宋_GB2312"/>
          <w:bCs/>
          <w:color w:val="000000"/>
          <w:sz w:val="32"/>
          <w:szCs w:val="32"/>
        </w:rPr>
        <w:t>0</w:t>
      </w:r>
      <w:r>
        <w:rPr>
          <w:rFonts w:hint="eastAsia" w:ascii="仿宋_GB2312" w:eastAsia="仿宋_GB2312" w:cs="仿宋_GB2312"/>
          <w:bCs/>
          <w:color w:val="000000"/>
          <w:sz w:val="32"/>
          <w:szCs w:val="32"/>
        </w:rPr>
        <w:t>万元，与</w:t>
      </w:r>
      <w:r>
        <w:rPr>
          <w:rFonts w:ascii="仿宋_GB2312" w:eastAsia="仿宋_GB2312" w:cs="仿宋_GB2312"/>
          <w:bCs/>
          <w:color w:val="000000"/>
          <w:sz w:val="32"/>
          <w:szCs w:val="32"/>
        </w:rPr>
        <w:t>201</w:t>
      </w:r>
      <w:r>
        <w:rPr>
          <w:rFonts w:hint="eastAsia" w:ascii="仿宋_GB2312" w:eastAsia="仿宋_GB2312" w:cs="仿宋_GB2312"/>
          <w:bCs/>
          <w:color w:val="000000"/>
          <w:sz w:val="32"/>
          <w:szCs w:val="32"/>
        </w:rPr>
        <w:t>9年持平。其中公务用车购置</w:t>
      </w:r>
      <w:r>
        <w:rPr>
          <w:rFonts w:ascii="仿宋_GB2312" w:eastAsia="仿宋_GB2312" w:cs="仿宋_GB2312"/>
          <w:bCs/>
          <w:color w:val="000000"/>
          <w:sz w:val="32"/>
          <w:szCs w:val="32"/>
        </w:rPr>
        <w:t>0</w:t>
      </w:r>
      <w:r>
        <w:rPr>
          <w:rFonts w:hint="eastAsia" w:ascii="仿宋_GB2312" w:eastAsia="仿宋_GB2312" w:cs="仿宋_GB2312"/>
          <w:bCs/>
          <w:color w:val="000000"/>
          <w:sz w:val="32"/>
          <w:szCs w:val="32"/>
        </w:rPr>
        <w:t>万元，公务用车运行维护费</w:t>
      </w:r>
      <w:r>
        <w:rPr>
          <w:rFonts w:ascii="仿宋_GB2312" w:eastAsia="仿宋_GB2312" w:cs="仿宋_GB2312"/>
          <w:bCs/>
          <w:color w:val="000000"/>
          <w:sz w:val="32"/>
          <w:szCs w:val="32"/>
        </w:rPr>
        <w:t>0</w:t>
      </w:r>
      <w:r>
        <w:rPr>
          <w:rFonts w:hint="eastAsia" w:ascii="仿宋_GB2312" w:eastAsia="仿宋_GB2312" w:cs="仿宋_GB2312"/>
          <w:bCs/>
          <w:color w:val="000000"/>
          <w:sz w:val="32"/>
          <w:szCs w:val="32"/>
        </w:rPr>
        <w:t>万元</w:t>
      </w:r>
      <w:r>
        <w:rPr>
          <w:rStyle w:val="15"/>
          <w:rFonts w:hint="eastAsia" w:ascii="仿宋_GB2312" w:hAnsi="仿宋" w:eastAsia="仿宋_GB2312" w:cs="仿宋_GB2312"/>
          <w:b w:val="0"/>
          <w:bCs w:val="0"/>
          <w:color w:val="000000"/>
          <w:sz w:val="32"/>
          <w:szCs w:val="32"/>
        </w:rPr>
        <w:t>。</w:t>
      </w:r>
    </w:p>
    <w:p>
      <w:pPr>
        <w:spacing w:line="576" w:lineRule="exact"/>
        <w:ind w:firstLine="640" w:firstLineChars="200"/>
        <w:rPr>
          <w:rFonts w:ascii="仿宋_GB2312" w:eastAsia="仿宋_GB2312"/>
          <w:color w:val="000000"/>
          <w:sz w:val="32"/>
          <w:szCs w:val="32"/>
        </w:rPr>
      </w:pPr>
      <w:r>
        <w:rPr>
          <w:rFonts w:ascii="仿宋_GB2312" w:eastAsia="仿宋_GB2312" w:cs="仿宋_GB2312"/>
          <w:bCs/>
          <w:color w:val="000000"/>
          <w:sz w:val="32"/>
          <w:szCs w:val="32"/>
        </w:rPr>
        <w:t>3.</w:t>
      </w:r>
      <w:r>
        <w:rPr>
          <w:rFonts w:hint="eastAsia" w:ascii="仿宋_GB2312" w:eastAsia="仿宋_GB2312" w:cs="仿宋_GB2312"/>
          <w:bCs/>
          <w:color w:val="000000"/>
          <w:sz w:val="32"/>
          <w:szCs w:val="32"/>
        </w:rPr>
        <w:t>公务接待费支出</w:t>
      </w:r>
      <w:r>
        <w:rPr>
          <w:rFonts w:hint="eastAsia" w:ascii="仿宋_GB2312" w:eastAsia="仿宋_GB2312" w:cs="仿宋_GB2312"/>
          <w:color w:val="000000"/>
          <w:sz w:val="32"/>
          <w:szCs w:val="32"/>
        </w:rPr>
        <w:t>1.36万元，</w:t>
      </w:r>
      <w:r>
        <w:rPr>
          <w:rStyle w:val="15"/>
          <w:rFonts w:hint="eastAsia" w:ascii="仿宋_GB2312" w:hAnsi="仿宋" w:eastAsia="仿宋_GB2312" w:cs="仿宋_GB2312"/>
          <w:b w:val="0"/>
          <w:bCs w:val="0"/>
          <w:color w:val="000000"/>
          <w:sz w:val="32"/>
          <w:szCs w:val="32"/>
        </w:rPr>
        <w:t>完成预算35.05</w:t>
      </w:r>
      <w:r>
        <w:rPr>
          <w:rStyle w:val="15"/>
          <w:rFonts w:ascii="仿宋_GB2312" w:hAnsi="仿宋" w:eastAsia="仿宋_GB2312" w:cs="仿宋_GB2312"/>
          <w:b w:val="0"/>
          <w:bCs w:val="0"/>
          <w:color w:val="000000"/>
          <w:sz w:val="32"/>
          <w:szCs w:val="32"/>
        </w:rPr>
        <w:t>%</w:t>
      </w:r>
      <w:r>
        <w:rPr>
          <w:rStyle w:val="15"/>
          <w:rFonts w:hint="eastAsia" w:ascii="仿宋_GB2312" w:hAnsi="仿宋" w:eastAsia="仿宋_GB2312" w:cs="仿宋_GB2312"/>
          <w:b w:val="0"/>
          <w:bCs w:val="0"/>
          <w:color w:val="000000"/>
          <w:sz w:val="32"/>
          <w:szCs w:val="32"/>
        </w:rPr>
        <w:t>。</w:t>
      </w:r>
      <w:r>
        <w:rPr>
          <w:rFonts w:hint="eastAsia" w:ascii="仿宋_GB2312" w:eastAsia="仿宋_GB2312" w:cs="仿宋_GB2312"/>
          <w:color w:val="000000"/>
          <w:sz w:val="32"/>
          <w:szCs w:val="32"/>
        </w:rPr>
        <w:t>公务接待费支出决算比</w:t>
      </w:r>
      <w:r>
        <w:rPr>
          <w:rFonts w:ascii="仿宋_GB2312" w:eastAsia="仿宋_GB2312" w:cs="仿宋_GB2312"/>
          <w:color w:val="000000"/>
          <w:sz w:val="32"/>
          <w:szCs w:val="32"/>
        </w:rPr>
        <w:t>201</w:t>
      </w:r>
      <w:r>
        <w:rPr>
          <w:rFonts w:hint="eastAsia" w:ascii="仿宋_GB2312" w:eastAsia="仿宋_GB2312" w:cs="仿宋_GB2312"/>
          <w:color w:val="000000"/>
          <w:sz w:val="32"/>
          <w:szCs w:val="32"/>
        </w:rPr>
        <w:t>9年增加</w:t>
      </w:r>
      <w:r>
        <w:rPr>
          <w:rFonts w:ascii="仿宋_GB2312" w:eastAsia="仿宋_GB2312" w:cs="仿宋_GB2312"/>
          <w:color w:val="000000"/>
          <w:sz w:val="32"/>
          <w:szCs w:val="32"/>
        </w:rPr>
        <w:t>0</w:t>
      </w:r>
      <w:r>
        <w:rPr>
          <w:rFonts w:hint="eastAsia" w:ascii="仿宋_GB2312" w:eastAsia="仿宋_GB2312" w:cs="仿宋_GB2312"/>
          <w:color w:val="000000"/>
          <w:sz w:val="32"/>
          <w:szCs w:val="32"/>
        </w:rPr>
        <w:t>.68万元，增长100</w:t>
      </w:r>
      <w:r>
        <w:rPr>
          <w:rFonts w:ascii="仿宋_GB2312" w:eastAsia="仿宋_GB2312" w:cs="仿宋_GB2312"/>
          <w:color w:val="000000"/>
          <w:sz w:val="32"/>
          <w:szCs w:val="32"/>
        </w:rPr>
        <w:t>%</w:t>
      </w:r>
      <w:r>
        <w:rPr>
          <w:rFonts w:hint="eastAsia" w:ascii="仿宋_GB2312" w:eastAsia="仿宋_GB2312" w:cs="仿宋_GB2312"/>
          <w:color w:val="000000"/>
          <w:sz w:val="32"/>
          <w:szCs w:val="32"/>
        </w:rPr>
        <w:t>。主要原因是新</w:t>
      </w:r>
      <w:r>
        <w:rPr>
          <w:rFonts w:hint="eastAsia" w:ascii="仿宋_GB2312" w:hAnsi="仿宋" w:eastAsia="仿宋_GB2312" w:cs="仿宋_GB2312"/>
          <w:color w:val="000000"/>
          <w:sz w:val="32"/>
          <w:szCs w:val="32"/>
        </w:rPr>
        <w:t>机构成立后接待人员和次数增加。</w:t>
      </w:r>
    </w:p>
    <w:p>
      <w:pPr>
        <w:spacing w:line="576" w:lineRule="exact"/>
        <w:ind w:firstLine="640" w:firstLineChars="200"/>
        <w:rPr>
          <w:rFonts w:ascii="仿宋_GB2312" w:eastAsia="仿宋_GB2312"/>
          <w:color w:val="000000"/>
          <w:sz w:val="32"/>
          <w:szCs w:val="32"/>
        </w:rPr>
      </w:pPr>
      <w:r>
        <w:rPr>
          <w:rFonts w:hint="eastAsia" w:ascii="仿宋_GB2312" w:hAnsi="仿宋" w:eastAsia="仿宋_GB2312" w:cs="仿宋_GB2312"/>
          <w:bCs/>
          <w:color w:val="000000"/>
          <w:sz w:val="32"/>
          <w:szCs w:val="32"/>
        </w:rPr>
        <w:t>国内公务接待支出</w:t>
      </w:r>
      <w:r>
        <w:rPr>
          <w:rFonts w:hint="eastAsia" w:ascii="仿宋_GB2312" w:hAnsi="仿宋" w:eastAsia="仿宋_GB2312" w:cs="仿宋_GB2312"/>
          <w:color w:val="000000"/>
          <w:sz w:val="32"/>
          <w:szCs w:val="32"/>
        </w:rPr>
        <w:t>1.36</w:t>
      </w:r>
      <w:r>
        <w:rPr>
          <w:rFonts w:hint="eastAsia" w:ascii="仿宋_GB2312" w:eastAsia="仿宋_GB2312" w:cs="仿宋_GB2312"/>
          <w:color w:val="000000"/>
          <w:sz w:val="32"/>
          <w:szCs w:val="32"/>
        </w:rPr>
        <w:t>万元，主要用于执行公务、开展业务活动开支的用餐费。国内公务接待11批次，113人次（不包括陪同人员），共计支出1.36万元，主要用于省局领导到广元调研和其他地市州到广元考察学习。</w:t>
      </w:r>
      <w:bookmarkStart w:id="46" w:name="_Toc15377218"/>
      <w:bookmarkStart w:id="47" w:name="_Toc15396610"/>
    </w:p>
    <w:p>
      <w:pPr>
        <w:spacing w:line="576" w:lineRule="exact"/>
        <w:ind w:firstLine="640" w:firstLineChars="200"/>
        <w:rPr>
          <w:rFonts w:ascii="仿宋_GB2312" w:eastAsia="仿宋_GB2312"/>
          <w:color w:val="000000"/>
          <w:sz w:val="32"/>
          <w:szCs w:val="32"/>
        </w:rPr>
      </w:pPr>
      <w:r>
        <w:rPr>
          <w:rFonts w:hint="eastAsia" w:ascii="仿宋_GB2312" w:hAnsi="仿宋" w:eastAsia="仿宋_GB2312" w:cs="仿宋_GB2312"/>
          <w:bCs/>
          <w:color w:val="000000"/>
          <w:sz w:val="32"/>
          <w:szCs w:val="32"/>
        </w:rPr>
        <w:t>外事接待支出</w:t>
      </w:r>
      <w:r>
        <w:rPr>
          <w:rFonts w:ascii="仿宋_GB2312" w:hAnsi="仿宋" w:eastAsia="仿宋_GB2312" w:cs="仿宋_GB2312"/>
          <w:color w:val="000000"/>
          <w:sz w:val="32"/>
          <w:szCs w:val="32"/>
        </w:rPr>
        <w:t>0</w:t>
      </w:r>
      <w:r>
        <w:rPr>
          <w:rFonts w:hint="eastAsia" w:ascii="仿宋_GB2312" w:eastAsia="仿宋_GB2312" w:cs="仿宋_GB2312"/>
          <w:color w:val="000000"/>
          <w:sz w:val="32"/>
          <w:szCs w:val="32"/>
        </w:rPr>
        <w:t>元。</w:t>
      </w:r>
    </w:p>
    <w:p>
      <w:pPr>
        <w:spacing w:line="576" w:lineRule="exact"/>
        <w:ind w:firstLine="640" w:firstLineChars="200"/>
        <w:rPr>
          <w:rFonts w:ascii="仿宋_GB2312" w:eastAsia="仿宋_GB2312"/>
          <w:color w:val="000000"/>
          <w:sz w:val="32"/>
          <w:szCs w:val="32"/>
        </w:rPr>
      </w:pPr>
      <w:r>
        <w:rPr>
          <w:rFonts w:hint="eastAsia" w:ascii="仿宋_GB2312" w:hAnsi="仿宋" w:eastAsia="仿宋_GB2312" w:cs="仿宋_GB2312"/>
          <w:bCs/>
          <w:color w:val="000000"/>
          <w:sz w:val="32"/>
          <w:szCs w:val="32"/>
        </w:rPr>
        <w:t>其他国内公务接待支出</w:t>
      </w:r>
      <w:r>
        <w:rPr>
          <w:rFonts w:ascii="仿宋_GB2312" w:hAnsi="仿宋" w:eastAsia="仿宋_GB2312" w:cs="仿宋_GB2312"/>
          <w:color w:val="000000"/>
          <w:sz w:val="32"/>
          <w:szCs w:val="32"/>
        </w:rPr>
        <w:t>0</w:t>
      </w:r>
      <w:r>
        <w:rPr>
          <w:rFonts w:hint="eastAsia" w:ascii="仿宋_GB2312" w:eastAsia="仿宋_GB2312" w:cs="仿宋_GB2312"/>
          <w:color w:val="000000"/>
          <w:sz w:val="32"/>
          <w:szCs w:val="32"/>
        </w:rPr>
        <w:t>万元。</w:t>
      </w:r>
    </w:p>
    <w:p>
      <w:pPr>
        <w:spacing w:line="576" w:lineRule="exact"/>
        <w:ind w:firstLine="640" w:firstLineChars="200"/>
        <w:rPr>
          <w:rFonts w:ascii="方正黑体简体" w:eastAsia="方正黑体简体"/>
          <w:bCs/>
          <w:color w:val="000000"/>
          <w:sz w:val="32"/>
          <w:szCs w:val="32"/>
        </w:rPr>
      </w:pPr>
      <w:r>
        <w:rPr>
          <w:rFonts w:hint="eastAsia" w:ascii="方正黑体简体" w:eastAsia="方正黑体简体" w:cs="方正黑体简体"/>
          <w:color w:val="000000"/>
          <w:sz w:val="32"/>
          <w:szCs w:val="32"/>
        </w:rPr>
        <w:t>八、政府性基金预算支出决算情况说明</w:t>
      </w:r>
      <w:bookmarkEnd w:id="46"/>
      <w:bookmarkEnd w:id="47"/>
    </w:p>
    <w:p>
      <w:pPr>
        <w:spacing w:line="576"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广元市医疗保障局</w:t>
      </w:r>
      <w:r>
        <w:rPr>
          <w:rFonts w:ascii="仿宋_GB2312" w:eastAsia="仿宋_GB2312" w:cs="仿宋_GB2312"/>
          <w:color w:val="000000"/>
          <w:sz w:val="32"/>
          <w:szCs w:val="32"/>
        </w:rPr>
        <w:t>20</w:t>
      </w:r>
      <w:r>
        <w:rPr>
          <w:rFonts w:hint="eastAsia" w:ascii="仿宋_GB2312" w:eastAsia="仿宋_GB2312" w:cs="仿宋_GB2312"/>
          <w:color w:val="000000"/>
          <w:sz w:val="32"/>
          <w:szCs w:val="32"/>
        </w:rPr>
        <w:t>20年无政府性基金预算拨款支出。</w:t>
      </w:r>
      <w:bookmarkStart w:id="48" w:name="_Toc15377219"/>
      <w:bookmarkStart w:id="49" w:name="_Toc15396611"/>
      <w:r>
        <w:rPr>
          <w:rFonts w:hint="eastAsia" w:ascii="仿宋_GB2312" w:eastAsia="仿宋_GB2312" w:cs="仿宋_GB2312"/>
          <w:color w:val="000000"/>
          <w:sz w:val="32"/>
          <w:szCs w:val="32"/>
        </w:rPr>
        <w:t>​</w:t>
      </w:r>
      <w:r>
        <w:rPr>
          <w:rFonts w:hint="default" w:ascii="仿宋_GB2312" w:eastAsia="仿宋_GB2312" w:cs="仿宋_GB2312"/>
          <w:color w:val="000000"/>
          <w:sz w:val="32"/>
          <w:szCs w:val="32"/>
        </w:rPr>
        <w:t>202</w:t>
      </w:r>
      <w:r>
        <w:rPr>
          <w:rFonts w:hint="eastAsia" w:ascii="仿宋_GB2312" w:eastAsia="仿宋_GB2312" w:cs="仿宋_GB2312"/>
          <w:color w:val="000000"/>
          <w:sz w:val="32"/>
          <w:szCs w:val="32"/>
          <w:lang w:val="en-US" w:eastAsia="zh-CN"/>
        </w:rPr>
        <w:t>0</w:t>
      </w:r>
      <w:r>
        <w:rPr>
          <w:rFonts w:hint="default" w:ascii="仿宋_GB2312" w:eastAsia="仿宋_GB2312" w:cs="仿宋_GB2312"/>
          <w:color w:val="000000"/>
          <w:sz w:val="32"/>
          <w:szCs w:val="32"/>
        </w:rPr>
        <w:t>年，本单位未在政府性基金中安排“三公经费”支出。​</w:t>
      </w:r>
    </w:p>
    <w:p>
      <w:pPr>
        <w:spacing w:line="576" w:lineRule="exact"/>
        <w:ind w:firstLine="640" w:firstLineChars="200"/>
        <w:rPr>
          <w:rFonts w:ascii="方正黑体简体" w:eastAsia="方正黑体简体"/>
          <w:color w:val="000000"/>
          <w:sz w:val="32"/>
          <w:szCs w:val="32"/>
        </w:rPr>
      </w:pPr>
      <w:r>
        <w:rPr>
          <w:rFonts w:hint="eastAsia" w:ascii="方正黑体简体" w:eastAsia="方正黑体简体" w:cs="方正黑体简体"/>
          <w:color w:val="000000"/>
          <w:sz w:val="32"/>
          <w:szCs w:val="32"/>
        </w:rPr>
        <w:t>九、国有资本经营预算支出决算情况说明</w:t>
      </w:r>
      <w:bookmarkEnd w:id="48"/>
      <w:bookmarkEnd w:id="49"/>
    </w:p>
    <w:p>
      <w:pPr>
        <w:spacing w:line="576"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广元市医疗保障局</w:t>
      </w:r>
      <w:r>
        <w:rPr>
          <w:rFonts w:ascii="仿宋_GB2312" w:eastAsia="仿宋_GB2312" w:cs="仿宋_GB2312"/>
          <w:color w:val="000000"/>
          <w:sz w:val="32"/>
          <w:szCs w:val="32"/>
        </w:rPr>
        <w:t>20</w:t>
      </w:r>
      <w:r>
        <w:rPr>
          <w:rFonts w:hint="eastAsia" w:ascii="仿宋_GB2312" w:eastAsia="仿宋_GB2312" w:cs="仿宋_GB2312"/>
          <w:color w:val="000000"/>
          <w:sz w:val="32"/>
          <w:szCs w:val="32"/>
        </w:rPr>
        <w:t>20年无国有资本经营预算拨款支出。</w:t>
      </w:r>
    </w:p>
    <w:p>
      <w:pPr>
        <w:spacing w:line="576" w:lineRule="exact"/>
        <w:ind w:firstLine="640" w:firstLineChars="200"/>
        <w:rPr>
          <w:rFonts w:ascii="方正黑体简体" w:eastAsia="方正黑体简体"/>
          <w:bCs/>
          <w:color w:val="000000"/>
          <w:sz w:val="32"/>
          <w:szCs w:val="32"/>
        </w:rPr>
      </w:pPr>
      <w:bookmarkStart w:id="50" w:name="_Toc15396612"/>
      <w:bookmarkStart w:id="51" w:name="_Toc15377221"/>
      <w:r>
        <w:rPr>
          <w:rFonts w:hint="eastAsia" w:ascii="方正黑体简体" w:eastAsia="方正黑体简体" w:cs="方正黑体简体"/>
          <w:color w:val="000000"/>
          <w:sz w:val="32"/>
          <w:szCs w:val="32"/>
        </w:rPr>
        <w:t>十</w:t>
      </w:r>
      <w:r>
        <w:rPr>
          <w:rFonts w:hint="eastAsia" w:ascii="方正黑体简体" w:eastAsia="方正黑体简体" w:cs="方正黑体简体"/>
          <w:bCs/>
          <w:color w:val="000000"/>
          <w:sz w:val="32"/>
          <w:szCs w:val="32"/>
        </w:rPr>
        <w:t>、</w:t>
      </w:r>
      <w:r>
        <w:rPr>
          <w:rFonts w:hint="eastAsia" w:ascii="方正黑体简体" w:eastAsia="方正黑体简体" w:cs="方正黑体简体"/>
          <w:color w:val="000000"/>
          <w:sz w:val="32"/>
          <w:szCs w:val="32"/>
        </w:rPr>
        <w:t>其他重要事项的情况说明</w:t>
      </w:r>
      <w:bookmarkEnd w:id="50"/>
      <w:bookmarkEnd w:id="51"/>
      <w:bookmarkStart w:id="120" w:name="_GoBack"/>
      <w:bookmarkEnd w:id="120"/>
    </w:p>
    <w:p>
      <w:pPr>
        <w:spacing w:line="576" w:lineRule="exact"/>
        <w:ind w:firstLine="640" w:firstLineChars="200"/>
        <w:outlineLvl w:val="2"/>
        <w:rPr>
          <w:rFonts w:ascii="方正楷体简体" w:hAnsi="仿宋" w:eastAsia="方正楷体简体"/>
          <w:color w:val="000000"/>
          <w:sz w:val="32"/>
          <w:szCs w:val="32"/>
        </w:rPr>
      </w:pPr>
      <w:bookmarkStart w:id="52" w:name="_Toc15377222"/>
      <w:r>
        <w:rPr>
          <w:rFonts w:hint="eastAsia" w:ascii="方正楷体简体" w:hAnsi="仿宋" w:eastAsia="方正楷体简体" w:cs="方正楷体简体"/>
          <w:color w:val="000000"/>
          <w:sz w:val="32"/>
          <w:szCs w:val="32"/>
        </w:rPr>
        <w:t>（一）机关运行经费支出情况</w:t>
      </w:r>
      <w:bookmarkEnd w:id="52"/>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20</w:t>
      </w:r>
      <w:r>
        <w:rPr>
          <w:rFonts w:hint="eastAsia" w:ascii="仿宋_GB2312" w:eastAsia="仿宋_GB2312" w:cs="仿宋_GB2312"/>
          <w:sz w:val="32"/>
          <w:szCs w:val="32"/>
        </w:rPr>
        <w:t>20年，广元市医疗保障局机关运行经费支出83.94万元，比</w:t>
      </w:r>
      <w:r>
        <w:rPr>
          <w:rFonts w:ascii="仿宋_GB2312" w:eastAsia="仿宋_GB2312" w:cs="仿宋_GB2312"/>
          <w:sz w:val="32"/>
          <w:szCs w:val="32"/>
        </w:rPr>
        <w:t>201</w:t>
      </w:r>
      <w:r>
        <w:rPr>
          <w:rFonts w:hint="eastAsia" w:ascii="仿宋_GB2312" w:eastAsia="仿宋_GB2312" w:cs="仿宋_GB2312"/>
          <w:sz w:val="32"/>
          <w:szCs w:val="32"/>
        </w:rPr>
        <w:t>9年减少118.78万元，下降58.59</w:t>
      </w:r>
      <w:r>
        <w:rPr>
          <w:rFonts w:ascii="仿宋_GB2312" w:eastAsia="仿宋_GB2312" w:cs="仿宋_GB2312"/>
          <w:sz w:val="32"/>
          <w:szCs w:val="32"/>
        </w:rPr>
        <w:t>%</w:t>
      </w:r>
      <w:r>
        <w:rPr>
          <w:rFonts w:hint="eastAsia" w:ascii="仿宋_GB2312" w:eastAsia="仿宋_GB2312" w:cs="仿宋_GB2312"/>
          <w:sz w:val="32"/>
          <w:szCs w:val="32"/>
        </w:rPr>
        <w:t>。主要原因是2020年预算资金结构发生变化。</w:t>
      </w:r>
    </w:p>
    <w:p>
      <w:pPr>
        <w:spacing w:line="576" w:lineRule="exact"/>
        <w:ind w:firstLine="640" w:firstLineChars="200"/>
        <w:outlineLvl w:val="2"/>
        <w:rPr>
          <w:rFonts w:ascii="方正楷体简体" w:hAnsi="仿宋" w:eastAsia="方正楷体简体"/>
          <w:color w:val="000000"/>
          <w:sz w:val="32"/>
          <w:szCs w:val="32"/>
        </w:rPr>
      </w:pPr>
      <w:bookmarkStart w:id="53" w:name="_Toc15377223"/>
      <w:r>
        <w:rPr>
          <w:rFonts w:hint="eastAsia" w:ascii="方正楷体简体" w:hAnsi="仿宋" w:eastAsia="方正楷体简体" w:cs="方正楷体简体"/>
          <w:color w:val="000000"/>
          <w:sz w:val="32"/>
          <w:szCs w:val="32"/>
        </w:rPr>
        <w:t>（二）政府采购支出情况</w:t>
      </w:r>
      <w:bookmarkEnd w:id="53"/>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w:t>
      </w:r>
      <w:r>
        <w:rPr>
          <w:rFonts w:hint="eastAsia" w:ascii="仿宋_GB2312" w:eastAsia="仿宋_GB2312" w:cs="仿宋_GB2312"/>
          <w:color w:val="000000"/>
          <w:sz w:val="32"/>
          <w:szCs w:val="32"/>
        </w:rPr>
        <w:t>20年，广元市医疗保障局政府采购支出总额312.48万元，其中政府采购货物支出76.89万元。占政府采购支出总额的24.61</w:t>
      </w:r>
      <w:r>
        <w:rPr>
          <w:rFonts w:ascii="仿宋_GB2312" w:eastAsia="仿宋_GB2312" w:cs="仿宋_GB2312"/>
          <w:color w:val="000000"/>
          <w:sz w:val="32"/>
          <w:szCs w:val="32"/>
        </w:rPr>
        <w:t>%</w:t>
      </w:r>
      <w:r>
        <w:rPr>
          <w:rFonts w:hint="eastAsia" w:ascii="仿宋_GB2312" w:eastAsia="仿宋_GB2312" w:cs="仿宋_GB2312"/>
          <w:color w:val="000000"/>
          <w:sz w:val="32"/>
          <w:szCs w:val="32"/>
        </w:rPr>
        <w:t>，政府采购服务支出235.59万元，其中占政府采购支出总额的75.39</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p>
    <w:p>
      <w:pPr>
        <w:spacing w:line="576" w:lineRule="exact"/>
        <w:ind w:firstLine="640" w:firstLineChars="200"/>
        <w:outlineLvl w:val="2"/>
        <w:rPr>
          <w:rFonts w:ascii="方正楷体简体" w:hAnsi="仿宋" w:eastAsia="方正楷体简体"/>
          <w:color w:val="000000"/>
          <w:sz w:val="32"/>
          <w:szCs w:val="32"/>
        </w:rPr>
      </w:pPr>
      <w:bookmarkStart w:id="54" w:name="_Toc15377224"/>
      <w:r>
        <w:rPr>
          <w:rFonts w:hint="eastAsia" w:ascii="方正楷体简体" w:hAnsi="仿宋" w:eastAsia="方正楷体简体" w:cs="方正楷体简体"/>
          <w:color w:val="000000"/>
          <w:sz w:val="32"/>
          <w:szCs w:val="32"/>
        </w:rPr>
        <w:t>（三）国有资产占有使用情况</w:t>
      </w:r>
      <w:bookmarkEnd w:id="54"/>
    </w:p>
    <w:p>
      <w:pPr>
        <w:autoSpaceDE w:val="0"/>
        <w:autoSpaceDN w:val="0"/>
        <w:adjustRightInd w:val="0"/>
        <w:spacing w:line="576" w:lineRule="exact"/>
        <w:ind w:firstLine="640" w:firstLineChars="200"/>
        <w:rPr>
          <w:rFonts w:ascii="仿宋_GB2312" w:hAnsi="仿宋" w:eastAsia="仿宋_GB2312"/>
          <w:bCs/>
          <w:color w:val="FF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w:t>
      </w:r>
      <w:r>
        <w:rPr>
          <w:rFonts w:hint="eastAsia" w:ascii="仿宋_GB2312" w:eastAsia="仿宋_GB2312" w:cs="仿宋_GB2312"/>
          <w:color w:val="000000"/>
          <w:sz w:val="32"/>
          <w:szCs w:val="32"/>
        </w:rPr>
        <w:t>20年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日，广元市医疗保障局共有车辆</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辆，其中：主要领导干部用车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辆、机要通信用车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辆、应急保障用车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辆、其他用车</w:t>
      </w:r>
      <w:r>
        <w:rPr>
          <w:rFonts w:ascii="仿宋_GB2312" w:eastAsia="仿宋_GB2312" w:cs="仿宋_GB2312"/>
          <w:color w:val="000000"/>
          <w:sz w:val="32"/>
          <w:szCs w:val="32"/>
        </w:rPr>
        <w:t>0</w:t>
      </w:r>
      <w:r>
        <w:rPr>
          <w:rFonts w:hint="eastAsia" w:ascii="仿宋_GB2312" w:eastAsia="仿宋_GB2312" w:cs="仿宋_GB2312"/>
          <w:color w:val="000000"/>
          <w:sz w:val="32"/>
          <w:szCs w:val="32"/>
        </w:rPr>
        <w:t>辆。单价</w:t>
      </w:r>
      <w:r>
        <w:rPr>
          <w:rFonts w:ascii="仿宋_GB2312" w:eastAsia="仿宋_GB2312" w:cs="仿宋_GB2312"/>
          <w:color w:val="000000"/>
          <w:sz w:val="32"/>
          <w:szCs w:val="32"/>
        </w:rPr>
        <w:t>50</w:t>
      </w:r>
      <w:r>
        <w:rPr>
          <w:rFonts w:hint="eastAsia" w:ascii="仿宋_GB2312" w:eastAsia="仿宋_GB2312" w:cs="仿宋_GB2312"/>
          <w:color w:val="000000"/>
          <w:sz w:val="32"/>
          <w:szCs w:val="32"/>
        </w:rPr>
        <w:t>万元以上通用设备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台（套），单价</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万元以上专用设备</w:t>
      </w:r>
      <w:r>
        <w:rPr>
          <w:rFonts w:ascii="仿宋_GB2312" w:eastAsia="仿宋_GB2312" w:cs="仿宋_GB2312"/>
          <w:color w:val="000000"/>
          <w:sz w:val="32"/>
          <w:szCs w:val="32"/>
        </w:rPr>
        <w:t>0</w:t>
      </w:r>
      <w:r>
        <w:rPr>
          <w:rFonts w:hint="eastAsia" w:ascii="仿宋_GB2312" w:eastAsia="仿宋_GB2312" w:cs="仿宋_GB2312"/>
          <w:color w:val="000000"/>
          <w:sz w:val="32"/>
          <w:szCs w:val="32"/>
        </w:rPr>
        <w:t>台（套）。</w:t>
      </w:r>
    </w:p>
    <w:p>
      <w:pPr>
        <w:spacing w:line="576" w:lineRule="exact"/>
        <w:ind w:firstLine="640" w:firstLineChars="200"/>
        <w:outlineLvl w:val="2"/>
        <w:rPr>
          <w:rFonts w:ascii="方正楷体简体" w:hAnsi="仿宋" w:eastAsia="方正楷体简体"/>
          <w:color w:val="000000"/>
          <w:sz w:val="32"/>
          <w:szCs w:val="32"/>
        </w:rPr>
      </w:pPr>
      <w:r>
        <w:rPr>
          <w:rFonts w:hint="eastAsia" w:ascii="方正楷体简体" w:hAnsi="仿宋" w:eastAsia="方正楷体简体" w:cs="方正楷体简体"/>
          <w:color w:val="000000"/>
          <w:sz w:val="32"/>
          <w:szCs w:val="32"/>
        </w:rPr>
        <w:t>（四）预算绩效管理情况。</w:t>
      </w:r>
    </w:p>
    <w:p>
      <w:pPr>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根据预算绩效管理要求，本部门（单位）在年初预算编制阶段，组织对1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个项目开展了绩效目标完成情况自评。</w:t>
      </w:r>
    </w:p>
    <w:p>
      <w:pPr>
        <w:spacing w:line="576" w:lineRule="exact"/>
        <w:ind w:firstLine="656" w:firstLineChars="200"/>
        <w:rPr>
          <w:rFonts w:ascii="仿宋_GB2312" w:eastAsia="仿宋_GB2312"/>
          <w:spacing w:val="-6"/>
          <w:sz w:val="32"/>
          <w:szCs w:val="32"/>
        </w:rPr>
      </w:pPr>
      <w:r>
        <w:rPr>
          <w:rFonts w:hint="eastAsia" w:ascii="仿宋_GB2312" w:hAnsi="仿宋_GB2312" w:eastAsia="仿宋_GB2312" w:cs="仿宋_GB2312"/>
          <w:spacing w:val="4"/>
          <w:sz w:val="32"/>
          <w:szCs w:val="32"/>
        </w:rPr>
        <w:t>本部门按要求对</w:t>
      </w:r>
      <w:r>
        <w:rPr>
          <w:rFonts w:ascii="仿宋_GB2312" w:hAnsi="仿宋_GB2312" w:eastAsia="仿宋_GB2312" w:cs="仿宋_GB2312"/>
          <w:spacing w:val="4"/>
          <w:sz w:val="32"/>
          <w:szCs w:val="32"/>
        </w:rPr>
        <w:t>20</w:t>
      </w:r>
      <w:r>
        <w:rPr>
          <w:rFonts w:hint="eastAsia" w:ascii="仿宋_GB2312" w:hAnsi="仿宋_GB2312" w:eastAsia="仿宋_GB2312" w:cs="仿宋_GB2312"/>
          <w:spacing w:val="4"/>
          <w:sz w:val="32"/>
          <w:szCs w:val="32"/>
        </w:rPr>
        <w:t>20年部门整体支出开展绩效自评，从评价情况来看</w:t>
      </w:r>
      <w:r>
        <w:rPr>
          <w:rFonts w:hint="eastAsia" w:ascii="仿宋_GB2312" w:eastAsia="仿宋_GB2312" w:cs="仿宋_GB2312"/>
          <w:spacing w:val="4"/>
          <w:sz w:val="32"/>
          <w:szCs w:val="32"/>
        </w:rPr>
        <w:t>在市委、市政府的坚强领导下，市医疗保障局主动适应发展新常态，坚决贯彻落实中央和省、市的决策部署，勇于担当、真抓实干，全面完成各项目标任务</w:t>
      </w:r>
      <w:r>
        <w:rPr>
          <w:rFonts w:ascii="仿宋_GB2312" w:eastAsia="仿宋_GB2312" w:cs="仿宋_GB2312"/>
          <w:spacing w:val="4"/>
          <w:sz w:val="32"/>
          <w:szCs w:val="32"/>
        </w:rPr>
        <w:t>,</w:t>
      </w:r>
      <w:r>
        <w:rPr>
          <w:rFonts w:hint="eastAsia" w:ascii="仿宋_GB2312" w:eastAsia="仿宋_GB2312" w:cs="仿宋_GB2312"/>
          <w:spacing w:val="4"/>
          <w:sz w:val="32"/>
          <w:szCs w:val="32"/>
        </w:rPr>
        <w:t>夯实了医疗保障事业基础，医疗保障事业取得明显成效，为医保扶贫和全市医疗保障作出了积极贡献。局党组高度重视财政绩效管理工作，出台一系列内部财务管理制度，科学化精细化管理部门预算，预算执行刚性、平衡，决算编制真实准确。进一步强化财务管理，会计核算规范，严格执行国库集中支付、公务卡改革、政府采购、非税收入征管等各项政策规定。坚持厉行节约，从严控制支出，主动接受财政、审计部门监督检查，项目支出立项科学、管理规范、注重绩效，实现财政资金管理的精细化、科学化和规范化。</w:t>
      </w:r>
      <w:r>
        <w:rPr>
          <w:rFonts w:hint="eastAsia" w:ascii="仿宋_GB2312" w:hAnsi="仿宋_GB2312" w:eastAsia="仿宋_GB2312" w:cs="仿宋_GB2312"/>
          <w:spacing w:val="4"/>
          <w:sz w:val="32"/>
          <w:szCs w:val="32"/>
        </w:rPr>
        <w:t>本部门还自行组织</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DRG</w:t>
      </w:r>
      <w:r>
        <w:rPr>
          <w:rFonts w:hint="eastAsia" w:ascii="仿宋_GB2312" w:hAnsi="仿宋_GB2312" w:eastAsia="仿宋_GB2312" w:cs="仿宋_GB2312"/>
          <w:sz w:val="32"/>
          <w:szCs w:val="32"/>
        </w:rPr>
        <w:t>项目和打击欺诈骗保业务经费支出绩效评价，从评价情况来看：</w:t>
      </w:r>
    </w:p>
    <w:p>
      <w:pPr>
        <w:spacing w:line="576" w:lineRule="exact"/>
        <w:ind w:firstLine="640" w:firstLineChars="200"/>
        <w:rPr>
          <w:rFonts w:ascii="仿宋_GB2312" w:hAnsi="楷体_GB2312" w:eastAsia="仿宋_GB2312" w:cs="仿宋_GB2312"/>
          <w:sz w:val="32"/>
          <w:szCs w:val="32"/>
        </w:rPr>
      </w:pPr>
      <w:r>
        <w:rPr>
          <w:rFonts w:ascii="仿宋_GB2312" w:hAnsi="楷体_GB2312" w:eastAsia="仿宋_GB2312" w:cs="仿宋_GB2312"/>
          <w:sz w:val="32"/>
          <w:szCs w:val="32"/>
        </w:rPr>
        <w:t>1.</w:t>
      </w:r>
      <w:r>
        <w:rPr>
          <w:rFonts w:hint="eastAsia" w:ascii="仿宋_GB2312" w:hAnsi="楷体_GB2312" w:eastAsia="仿宋_GB2312" w:cs="仿宋_GB2312"/>
          <w:sz w:val="32"/>
          <w:szCs w:val="32"/>
        </w:rPr>
        <w:t>项目绩效目标完成情况。</w:t>
      </w:r>
    </w:p>
    <w:p>
      <w:pPr>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20年度部门决算中反映“DRG项目经费”“打击欺诈骗保业务经费”“医保业务电子档案信息系统建设”“帮村扶贫专项经费”“办公会议设备采购”等5个项目目标实际完成情况。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（1）DRG项目经费项目绩效目标完成情况综述。该项目资金主要用于医疗费用支付方式改革。全年预算数5</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万元，执行数为46.73万元。支付完成预算的93.46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。通过项目实施，有效控制医保基金增长，减轻参保人员医疗支付负担，降低参保人员就医成本，提高基金使用效率。</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（2）打击欺诈骗保业务经费</w:t>
      </w:r>
      <w:r>
        <w:rPr>
          <w:rFonts w:hint="eastAsia" w:ascii="仿宋" w:hAnsi="仿宋" w:eastAsia="仿宋"/>
          <w:color w:val="000000"/>
          <w:sz w:val="32"/>
          <w:szCs w:val="32"/>
        </w:rPr>
        <w:t>项目绩效目标完成情况综述。</w:t>
      </w:r>
      <w:r>
        <w:rPr>
          <w:rFonts w:hint="eastAsia" w:ascii="仿宋_GB2312" w:hAnsi="仿宋_GB2312" w:eastAsia="仿宋_GB2312" w:cs="仿宋_GB2312"/>
          <w:sz w:val="32"/>
          <w:szCs w:val="32"/>
        </w:rPr>
        <w:t>主要用于为打击欺诈骗保实现医保精准监管，加大医保监管宣传力度，提升监管人员监管能力，增强市民对医保监管重要性的意识，奖励举报人，以保障医保基金安全。全年预算数10万元，执行数为10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。通过项目的实施，有效的净化了就医环境，保障了参保人员的利益和医保基金的安全。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（3）医保业务电子档案信息系统建设</w:t>
      </w:r>
      <w:r>
        <w:rPr>
          <w:rFonts w:hint="eastAsia" w:ascii="仿宋" w:hAnsi="仿宋" w:eastAsia="仿宋"/>
          <w:color w:val="000000"/>
          <w:sz w:val="32"/>
          <w:szCs w:val="32"/>
        </w:rPr>
        <w:t>项目绩效目标完成情况综述。</w:t>
      </w:r>
      <w:r>
        <w:rPr>
          <w:rFonts w:hint="eastAsia" w:ascii="仿宋_GB2312" w:hAnsi="仿宋_GB2312" w:eastAsia="仿宋_GB2312" w:cs="仿宋_GB2312"/>
          <w:sz w:val="32"/>
          <w:szCs w:val="32"/>
        </w:rPr>
        <w:t>主要用于医保业务电子档案信息系统建设，全年预算数30万元，执行数为20.51万元，完成预算的68.37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由于疫情项目实施的较晚，项目资金跨年度支付。通过项目实施，加强了医疗保险各类业务档案资料管理和使用，提升了医疗服务经办能力，为参保人员提供更优质的服务。真真切切做到了为老百姓办好事、办实事，提升了政府机关履职形象。</w:t>
      </w:r>
    </w:p>
    <w:p>
      <w:pPr>
        <w:spacing w:line="576" w:lineRule="exact"/>
        <w:ind w:firstLine="640" w:firstLineChars="200"/>
        <w:rPr>
          <w:rFonts w:ascii="仿宋_GB2312" w:hAnsi="仿宋_GB2312" w:eastAsia="仿宋_GB2312"/>
          <w:spacing w:val="-6"/>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spacing w:val="-6"/>
          <w:sz w:val="32"/>
          <w:szCs w:val="32"/>
        </w:rPr>
        <w:t>帮村扶贫专项经费</w:t>
      </w:r>
      <w:r>
        <w:rPr>
          <w:rFonts w:hint="eastAsia" w:ascii="仿宋" w:hAnsi="仿宋" w:eastAsia="仿宋"/>
          <w:color w:val="000000"/>
          <w:spacing w:val="-6"/>
          <w:sz w:val="32"/>
          <w:szCs w:val="32"/>
        </w:rPr>
        <w:t>项目绩效目标完成情况综述。</w:t>
      </w:r>
      <w:r>
        <w:rPr>
          <w:rFonts w:hint="eastAsia" w:ascii="仿宋_GB2312" w:hAnsi="仿宋_GB2312" w:eastAsia="仿宋_GB2312" w:cs="仿宋_GB2312"/>
          <w:spacing w:val="-6"/>
          <w:sz w:val="32"/>
          <w:szCs w:val="32"/>
        </w:rPr>
        <w:t>主要用于保障帮扶工作人员差旅费和工作经费。项目全年预算数</w:t>
      </w:r>
      <w:r>
        <w:rPr>
          <w:rFonts w:ascii="仿宋_GB2312" w:hAnsi="仿宋_GB2312" w:eastAsia="仿宋_GB2312" w:cs="仿宋_GB2312"/>
          <w:spacing w:val="-6"/>
          <w:sz w:val="32"/>
          <w:szCs w:val="32"/>
        </w:rPr>
        <w:t>3.72</w:t>
      </w:r>
      <w:r>
        <w:rPr>
          <w:rFonts w:hint="eastAsia" w:ascii="仿宋_GB2312" w:hAnsi="仿宋_GB2312" w:eastAsia="仿宋_GB2312" w:cs="仿宋_GB2312"/>
          <w:spacing w:val="-6"/>
          <w:sz w:val="32"/>
          <w:szCs w:val="32"/>
        </w:rPr>
        <w:t>万元，执行数为</w:t>
      </w:r>
      <w:r>
        <w:rPr>
          <w:rFonts w:ascii="仿宋_GB2312" w:hAnsi="仿宋_GB2312" w:eastAsia="仿宋_GB2312" w:cs="仿宋_GB2312"/>
          <w:spacing w:val="-6"/>
          <w:sz w:val="32"/>
          <w:szCs w:val="32"/>
        </w:rPr>
        <w:t>3.72</w:t>
      </w:r>
      <w:r>
        <w:rPr>
          <w:rFonts w:hint="eastAsia" w:ascii="仿宋_GB2312" w:hAnsi="仿宋_GB2312" w:eastAsia="仿宋_GB2312" w:cs="仿宋_GB2312"/>
          <w:spacing w:val="-6"/>
          <w:sz w:val="32"/>
          <w:szCs w:val="32"/>
        </w:rPr>
        <w:t>万元，完成预算的</w:t>
      </w:r>
      <w:r>
        <w:rPr>
          <w:rFonts w:ascii="仿宋_GB2312" w:hAnsi="仿宋_GB2312" w:eastAsia="仿宋_GB2312" w:cs="仿宋_GB2312"/>
          <w:spacing w:val="-6"/>
          <w:sz w:val="32"/>
          <w:szCs w:val="32"/>
        </w:rPr>
        <w:t>100%</w:t>
      </w:r>
      <w:r>
        <w:rPr>
          <w:rFonts w:hint="eastAsia" w:ascii="仿宋_GB2312" w:hAnsi="仿宋_GB2312" w:eastAsia="仿宋_GB2312" w:cs="仿宋_GB2312"/>
          <w:spacing w:val="-6"/>
          <w:sz w:val="32"/>
          <w:szCs w:val="32"/>
        </w:rPr>
        <w:t>。通过项目实施保障了帮村扶贫工作人员的出行和工作开支，有效的推进脱贫了工作。</w:t>
      </w:r>
    </w:p>
    <w:p>
      <w:pPr>
        <w:spacing w:line="576" w:lineRule="exact"/>
        <w:ind w:firstLine="640" w:firstLineChars="200"/>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）办公会议设备采购</w:t>
      </w:r>
      <w:r>
        <w:rPr>
          <w:rFonts w:hint="eastAsia" w:ascii="仿宋" w:hAnsi="仿宋" w:eastAsia="仿宋"/>
          <w:color w:val="000000"/>
          <w:sz w:val="32"/>
          <w:szCs w:val="32"/>
        </w:rPr>
        <w:t>项目绩效目标完成情况综述。</w:t>
      </w:r>
      <w:r>
        <w:rPr>
          <w:rFonts w:hint="eastAsia" w:ascii="仿宋_GB2312" w:hAnsi="仿宋_GB2312" w:eastAsia="仿宋_GB2312" w:cs="仿宋_GB2312"/>
          <w:spacing w:val="-6"/>
          <w:sz w:val="32"/>
          <w:szCs w:val="32"/>
        </w:rPr>
        <w:t>此项目用于购买办公设备费用。项目全年预算数4.8万元，执行数为4.8万元，完成预算数100</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通过项目实施部分保障了单位的基本办公条件。但是由于我局是机改新成立的单位，职能人员大幅增加，办公必需的电脑和打印机等设备由于安可产品的要求不能购买、调配的有些座椅和空调不能正常使用。下一步改进措施</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整合中央补助资金解决办公基本需求。</w:t>
      </w:r>
    </w:p>
    <w:p>
      <w:r>
        <w:br w:type="page"/>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87"/>
        <w:gridCol w:w="1353"/>
        <w:gridCol w:w="1095"/>
        <w:gridCol w:w="2640"/>
        <w:gridCol w:w="2115"/>
        <w:gridCol w:w="2070"/>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Cs/>
                <w:color w:val="000000"/>
                <w:kern w:val="0"/>
                <w:sz w:val="36"/>
                <w:szCs w:val="36"/>
              </w:rPr>
              <w:t>项目绩效目标完成情况表</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510" w:hRule="atLeast"/>
          <w:jc w:val="center"/>
        </w:trPr>
        <w:tc>
          <w:tcPr>
            <w:tcW w:w="313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项目名称</w:t>
            </w:r>
          </w:p>
        </w:tc>
        <w:tc>
          <w:tcPr>
            <w:tcW w:w="68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kern w:val="0"/>
                <w:sz w:val="22"/>
                <w:szCs w:val="22"/>
              </w:rPr>
              <w:t>DRG项目经费</w:t>
            </w:r>
          </w:p>
        </w:tc>
      </w:tr>
      <w:tr>
        <w:tblPrEx>
          <w:tblCellMar>
            <w:top w:w="0" w:type="dxa"/>
            <w:left w:w="0" w:type="dxa"/>
            <w:bottom w:w="0" w:type="dxa"/>
            <w:right w:w="0" w:type="dxa"/>
          </w:tblCellMar>
        </w:tblPrEx>
        <w:trPr>
          <w:trHeight w:val="510" w:hRule="atLeast"/>
          <w:jc w:val="center"/>
        </w:trPr>
        <w:tc>
          <w:tcPr>
            <w:tcW w:w="313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预算单位</w:t>
            </w:r>
          </w:p>
        </w:tc>
        <w:tc>
          <w:tcPr>
            <w:tcW w:w="68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kern w:val="0"/>
                <w:sz w:val="22"/>
                <w:szCs w:val="22"/>
              </w:rPr>
              <w:t>广元市医疗保障局</w:t>
            </w:r>
          </w:p>
        </w:tc>
      </w:tr>
      <w:tr>
        <w:tblPrEx>
          <w:tblCellMar>
            <w:top w:w="0" w:type="dxa"/>
            <w:left w:w="0" w:type="dxa"/>
            <w:bottom w:w="0" w:type="dxa"/>
            <w:right w:w="0" w:type="dxa"/>
          </w:tblCellMar>
        </w:tblPrEx>
        <w:trPr>
          <w:trHeight w:val="510"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预算执行情况</w:t>
            </w:r>
            <w:r>
              <w:rPr>
                <w:rFonts w:ascii="宋体" w:hAnsi="宋体" w:cs="宋体"/>
                <w:color w:val="000000"/>
                <w:kern w:val="0"/>
                <w:sz w:val="22"/>
                <w:szCs w:val="22"/>
              </w:rPr>
              <w:t>(</w:t>
            </w:r>
            <w:r>
              <w:rPr>
                <w:rFonts w:hint="eastAsia" w:ascii="宋体" w:hAnsi="宋体" w:cs="宋体"/>
                <w:color w:val="000000"/>
                <w:kern w:val="0"/>
                <w:sz w:val="22"/>
                <w:szCs w:val="22"/>
              </w:rPr>
              <w:t>万元</w:t>
            </w:r>
            <w:r>
              <w:rPr>
                <w:rFonts w:ascii="宋体" w:hAnsi="宋体" w:cs="宋体"/>
                <w:color w:val="000000"/>
                <w:kern w:val="0"/>
                <w:sz w:val="22"/>
                <w:szCs w:val="22"/>
              </w:rPr>
              <w:t>)</w:t>
            </w:r>
          </w:p>
        </w:tc>
        <w:tc>
          <w:tcPr>
            <w:tcW w:w="2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预算数</w:t>
            </w:r>
            <w:r>
              <w:rPr>
                <w:rFonts w:ascii="宋体" w:hAnsi="宋体" w:cs="宋体"/>
                <w:color w:val="000000"/>
                <w:kern w:val="0"/>
                <w:sz w:val="22"/>
                <w:szCs w:val="22"/>
              </w:rPr>
              <w:t>:</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50</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执行数</w:t>
            </w:r>
            <w:r>
              <w:rPr>
                <w:rFonts w:ascii="宋体" w:hAnsi="宋体" w:cs="宋体"/>
                <w:color w:val="000000"/>
                <w:kern w:val="0"/>
                <w:sz w:val="22"/>
                <w:szCs w:val="22"/>
              </w:rPr>
              <w:t>:</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46.73</w:t>
            </w:r>
          </w:p>
        </w:tc>
      </w:tr>
      <w:tr>
        <w:tblPrEx>
          <w:tblCellMar>
            <w:top w:w="0" w:type="dxa"/>
            <w:left w:w="0" w:type="dxa"/>
            <w:bottom w:w="0" w:type="dxa"/>
            <w:right w:w="0" w:type="dxa"/>
          </w:tblCellMar>
        </w:tblPrEx>
        <w:trPr>
          <w:trHeight w:val="510"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2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其中</w:t>
            </w:r>
            <w:r>
              <w:rPr>
                <w:rFonts w:ascii="宋体" w:cs="宋体"/>
                <w:color w:val="000000"/>
                <w:kern w:val="0"/>
                <w:sz w:val="22"/>
                <w:szCs w:val="22"/>
              </w:rPr>
              <w:t>-</w:t>
            </w:r>
            <w:r>
              <w:rPr>
                <w:rFonts w:hint="eastAsia" w:ascii="宋体" w:hAnsi="宋体" w:cs="宋体"/>
                <w:color w:val="000000"/>
                <w:kern w:val="0"/>
                <w:sz w:val="22"/>
                <w:szCs w:val="22"/>
              </w:rPr>
              <w:t>财政拨款</w:t>
            </w:r>
            <w:r>
              <w:rPr>
                <w:rFonts w:ascii="宋体" w:hAnsi="宋体" w:cs="宋体"/>
                <w:color w:val="000000"/>
                <w:kern w:val="0"/>
                <w:sz w:val="22"/>
                <w:szCs w:val="22"/>
              </w:rPr>
              <w:t>:</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50</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其中</w:t>
            </w:r>
            <w:r>
              <w:rPr>
                <w:rFonts w:ascii="宋体" w:cs="宋体"/>
                <w:color w:val="000000"/>
                <w:kern w:val="0"/>
                <w:sz w:val="22"/>
                <w:szCs w:val="22"/>
              </w:rPr>
              <w:t>-</w:t>
            </w:r>
            <w:r>
              <w:rPr>
                <w:rFonts w:hint="eastAsia" w:ascii="宋体" w:hAnsi="宋体" w:cs="宋体"/>
                <w:color w:val="000000"/>
                <w:kern w:val="0"/>
                <w:sz w:val="22"/>
                <w:szCs w:val="22"/>
              </w:rPr>
              <w:t>财政拨款</w:t>
            </w:r>
            <w:r>
              <w:rPr>
                <w:rFonts w:ascii="宋体" w:hAnsi="宋体" w:cs="宋体"/>
                <w:color w:val="000000"/>
                <w:kern w:val="0"/>
                <w:sz w:val="22"/>
                <w:szCs w:val="22"/>
              </w:rPr>
              <w:t>:</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46.73</w:t>
            </w:r>
          </w:p>
        </w:tc>
      </w:tr>
      <w:tr>
        <w:tblPrEx>
          <w:tblCellMar>
            <w:top w:w="0" w:type="dxa"/>
            <w:left w:w="0" w:type="dxa"/>
            <w:bottom w:w="0" w:type="dxa"/>
            <w:right w:w="0" w:type="dxa"/>
          </w:tblCellMar>
        </w:tblPrEx>
        <w:trPr>
          <w:trHeight w:val="510"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244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其它资金</w:t>
            </w:r>
            <w:r>
              <w:rPr>
                <w:rFonts w:ascii="宋体" w:hAnsi="宋体" w:cs="宋体"/>
                <w:color w:val="000000"/>
                <w:kern w:val="0"/>
                <w:sz w:val="22"/>
                <w:szCs w:val="22"/>
              </w:rPr>
              <w:t>:</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0</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其它资金</w:t>
            </w:r>
            <w:r>
              <w:rPr>
                <w:rFonts w:ascii="宋体" w:hAnsi="宋体" w:cs="宋体"/>
                <w:color w:val="000000"/>
                <w:kern w:val="0"/>
                <w:sz w:val="22"/>
                <w:szCs w:val="22"/>
              </w:rPr>
              <w:t>:</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r>
      <w:tr>
        <w:tblPrEx>
          <w:tblCellMar>
            <w:top w:w="0" w:type="dxa"/>
            <w:left w:w="0" w:type="dxa"/>
            <w:bottom w:w="0" w:type="dxa"/>
            <w:right w:w="0" w:type="dxa"/>
          </w:tblCellMar>
        </w:tblPrEx>
        <w:trPr>
          <w:trHeight w:val="510"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年度目标完成情况</w:t>
            </w:r>
          </w:p>
        </w:tc>
        <w:tc>
          <w:tcPr>
            <w:tcW w:w="508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预期目标</w:t>
            </w:r>
          </w:p>
        </w:tc>
        <w:tc>
          <w:tcPr>
            <w:tcW w:w="4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实际完成目标</w:t>
            </w:r>
          </w:p>
        </w:tc>
      </w:tr>
      <w:tr>
        <w:tblPrEx>
          <w:tblCellMar>
            <w:top w:w="0" w:type="dxa"/>
            <w:left w:w="0" w:type="dxa"/>
            <w:bottom w:w="0" w:type="dxa"/>
            <w:right w:w="0" w:type="dxa"/>
          </w:tblCellMar>
        </w:tblPrEx>
        <w:trPr>
          <w:trHeight w:val="974"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508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kern w:val="0"/>
                <w:sz w:val="22"/>
                <w:szCs w:val="22"/>
              </w:rPr>
              <w:t>有效控制医保基金增长，减轻参保人员医疗支付负担，提高基金使用效率，自2020年起，我市将在全市定点医院开展DRG付费方式改革。</w:t>
            </w:r>
          </w:p>
        </w:tc>
        <w:tc>
          <w:tcPr>
            <w:tcW w:w="4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kern w:val="0"/>
                <w:sz w:val="22"/>
                <w:szCs w:val="22"/>
              </w:rPr>
              <w:t>全市二级及以上定点医院实现DRG付费方式改革。</w:t>
            </w:r>
          </w:p>
        </w:tc>
      </w:tr>
      <w:tr>
        <w:tblPrEx>
          <w:tblCellMar>
            <w:top w:w="0" w:type="dxa"/>
            <w:left w:w="0" w:type="dxa"/>
            <w:bottom w:w="0" w:type="dxa"/>
            <w:right w:w="0" w:type="dxa"/>
          </w:tblCellMar>
        </w:tblPrEx>
        <w:trPr>
          <w:trHeight w:val="818" w:hRule="atLeast"/>
          <w:jc w:val="center"/>
        </w:trPr>
        <w:tc>
          <w:tcPr>
            <w:tcW w:w="68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sz w:val="22"/>
                <w:szCs w:val="22"/>
              </w:rPr>
              <w:t>绩效指标完成情况</w:t>
            </w:r>
          </w:p>
        </w:tc>
        <w:tc>
          <w:tcPr>
            <w:tcW w:w="13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一级指标</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二级指标</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三级指标</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预期指标值</w:t>
            </w:r>
            <w:r>
              <w:rPr>
                <w:rFonts w:ascii="宋体" w:hAnsi="宋体" w:cs="宋体"/>
                <w:color w:val="000000"/>
                <w:kern w:val="0"/>
                <w:sz w:val="22"/>
                <w:szCs w:val="22"/>
              </w:rPr>
              <w:t>(</w:t>
            </w:r>
            <w:r>
              <w:rPr>
                <w:rFonts w:hint="eastAsia" w:ascii="宋体" w:hAnsi="宋体" w:cs="宋体"/>
                <w:color w:val="000000"/>
                <w:kern w:val="0"/>
                <w:sz w:val="22"/>
                <w:szCs w:val="22"/>
              </w:rPr>
              <w:t>包含数字及文字描述</w:t>
            </w:r>
            <w:r>
              <w:rPr>
                <w:rFonts w:ascii="宋体" w:hAnsi="宋体" w:cs="宋体"/>
                <w:color w:val="000000"/>
                <w:kern w:val="0"/>
                <w:sz w:val="22"/>
                <w:szCs w:val="22"/>
              </w:rPr>
              <w:t>)</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实际完成指标值</w:t>
            </w:r>
            <w:r>
              <w:rPr>
                <w:rFonts w:ascii="宋体" w:hAnsi="宋体" w:cs="宋体"/>
                <w:color w:val="000000"/>
                <w:kern w:val="0"/>
                <w:sz w:val="22"/>
                <w:szCs w:val="22"/>
              </w:rPr>
              <w:t>(</w:t>
            </w:r>
            <w:r>
              <w:rPr>
                <w:rFonts w:hint="eastAsia" w:ascii="宋体" w:hAnsi="宋体" w:cs="宋体"/>
                <w:color w:val="000000"/>
                <w:kern w:val="0"/>
                <w:sz w:val="22"/>
                <w:szCs w:val="22"/>
              </w:rPr>
              <w:t>包含数字及文字描述</w:t>
            </w:r>
            <w:r>
              <w:rPr>
                <w:rFonts w:ascii="宋体" w:hAnsi="宋体" w:cs="宋体"/>
                <w:color w:val="000000"/>
                <w:kern w:val="0"/>
                <w:sz w:val="22"/>
                <w:szCs w:val="22"/>
              </w:rPr>
              <w:t>)</w:t>
            </w:r>
          </w:p>
        </w:tc>
      </w:tr>
      <w:tr>
        <w:tblPrEx>
          <w:tblCellMar>
            <w:top w:w="0" w:type="dxa"/>
            <w:left w:w="0" w:type="dxa"/>
            <w:bottom w:w="0" w:type="dxa"/>
            <w:right w:w="0" w:type="dxa"/>
          </w:tblCellMar>
        </w:tblPrEx>
        <w:trPr>
          <w:trHeight w:val="2221" w:hRule="atLeast"/>
          <w:jc w:val="center"/>
        </w:trPr>
        <w:tc>
          <w:tcPr>
            <w:tcW w:w="687"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项目完成指标</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数量指标</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指标1：病案管理培训</w:t>
            </w:r>
          </w:p>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指标2：DRG业务知识培训</w:t>
            </w:r>
          </w:p>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指标3：阶段性总结培训</w:t>
            </w:r>
          </w:p>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指标4：专项培训</w:t>
            </w:r>
          </w:p>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指标5：各市州、县区调研</w:t>
            </w:r>
          </w:p>
          <w:p>
            <w:pPr>
              <w:widowControl/>
              <w:textAlignment w:val="center"/>
              <w:rPr>
                <w:rFonts w:ascii="宋体" w:hAnsi="宋体" w:cs="宋体"/>
                <w:color w:val="000000"/>
                <w:kern w:val="0"/>
                <w:sz w:val="22"/>
                <w:szCs w:val="22"/>
              </w:rPr>
            </w:pPr>
            <w:r>
              <w:rPr>
                <w:rFonts w:hint="eastAsia" w:ascii="宋体" w:hAnsi="宋体" w:cs="宋体"/>
                <w:color w:val="000000"/>
                <w:kern w:val="0"/>
                <w:sz w:val="22"/>
                <w:szCs w:val="22"/>
              </w:rPr>
              <w:t>指标6：开展DRG付费方式改革宣传活动</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全年组织病案管理培训1次，业务知识培训2次，总结培训2次，专项培训3次，调研2次，印发资料4000份</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已完成</w:t>
            </w:r>
          </w:p>
        </w:tc>
      </w:tr>
      <w:tr>
        <w:tblPrEx>
          <w:tblCellMar>
            <w:top w:w="0" w:type="dxa"/>
            <w:left w:w="0" w:type="dxa"/>
            <w:bottom w:w="0" w:type="dxa"/>
            <w:right w:w="0" w:type="dxa"/>
          </w:tblCellMar>
        </w:tblPrEx>
        <w:trPr>
          <w:trHeight w:val="510" w:hRule="atLeast"/>
          <w:jc w:val="center"/>
        </w:trPr>
        <w:tc>
          <w:tcPr>
            <w:tcW w:w="687"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项目完成指标</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质量指标</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完成全市DRG付费方式改革</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提高</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已完成</w:t>
            </w:r>
          </w:p>
        </w:tc>
      </w:tr>
      <w:tr>
        <w:tblPrEx>
          <w:tblCellMar>
            <w:top w:w="0" w:type="dxa"/>
            <w:left w:w="0" w:type="dxa"/>
            <w:bottom w:w="0" w:type="dxa"/>
            <w:right w:w="0" w:type="dxa"/>
          </w:tblCellMar>
        </w:tblPrEx>
        <w:trPr>
          <w:trHeight w:val="510" w:hRule="atLeast"/>
          <w:jc w:val="center"/>
        </w:trPr>
        <w:tc>
          <w:tcPr>
            <w:tcW w:w="687"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项目完成指标</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时效指标</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完成时间</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2020年12月前</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已完成</w:t>
            </w:r>
          </w:p>
        </w:tc>
      </w:tr>
      <w:tr>
        <w:tblPrEx>
          <w:tblCellMar>
            <w:top w:w="0" w:type="dxa"/>
            <w:left w:w="0" w:type="dxa"/>
            <w:bottom w:w="0" w:type="dxa"/>
            <w:right w:w="0" w:type="dxa"/>
          </w:tblCellMar>
        </w:tblPrEx>
        <w:trPr>
          <w:trHeight w:val="622" w:hRule="atLeast"/>
          <w:jc w:val="center"/>
        </w:trPr>
        <w:tc>
          <w:tcPr>
            <w:tcW w:w="687"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效益指标</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社会效益</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持续加大付费方式改革力度</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减轻患者医疗负担发挥重要作用</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pacing w:val="-10"/>
                <w:sz w:val="22"/>
                <w:szCs w:val="22"/>
              </w:rPr>
            </w:pPr>
            <w:r>
              <w:rPr>
                <w:rFonts w:hint="eastAsia" w:ascii="宋体" w:hAnsi="宋体" w:cs="宋体"/>
                <w:color w:val="000000"/>
                <w:spacing w:val="-10"/>
                <w:kern w:val="0"/>
                <w:sz w:val="22"/>
                <w:szCs w:val="22"/>
              </w:rPr>
              <w:t>切实减轻患者医疗负担</w:t>
            </w:r>
          </w:p>
        </w:tc>
      </w:tr>
      <w:tr>
        <w:tblPrEx>
          <w:tblCellMar>
            <w:top w:w="0" w:type="dxa"/>
            <w:left w:w="0" w:type="dxa"/>
            <w:bottom w:w="0" w:type="dxa"/>
            <w:right w:w="0" w:type="dxa"/>
          </w:tblCellMar>
        </w:tblPrEx>
        <w:trPr>
          <w:trHeight w:val="674" w:hRule="atLeast"/>
          <w:jc w:val="center"/>
        </w:trPr>
        <w:tc>
          <w:tcPr>
            <w:tcW w:w="687"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效益指标</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可持续影响指标</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有效控制医疗费用增长</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提高基金使用效率</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有效提高基金使用效率，控制医疗费用增长</w:t>
            </w:r>
          </w:p>
        </w:tc>
      </w:tr>
      <w:tr>
        <w:tblPrEx>
          <w:tblCellMar>
            <w:top w:w="0" w:type="dxa"/>
            <w:left w:w="0" w:type="dxa"/>
            <w:bottom w:w="0" w:type="dxa"/>
            <w:right w:w="0" w:type="dxa"/>
          </w:tblCellMar>
        </w:tblPrEx>
        <w:trPr>
          <w:trHeight w:val="1042" w:hRule="atLeast"/>
          <w:jc w:val="center"/>
        </w:trPr>
        <w:tc>
          <w:tcPr>
            <w:tcW w:w="687"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满意度指标</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满意度指标</w:t>
            </w:r>
          </w:p>
        </w:tc>
        <w:tc>
          <w:tcPr>
            <w:tcW w:w="2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指标1：参保群众满意</w:t>
            </w:r>
          </w:p>
          <w:p>
            <w:pPr>
              <w:widowControl/>
              <w:jc w:val="center"/>
              <w:textAlignment w:val="center"/>
              <w:rPr>
                <w:rFonts w:ascii="宋体" w:cs="宋体"/>
                <w:color w:val="000000"/>
                <w:sz w:val="22"/>
                <w:szCs w:val="22"/>
              </w:rPr>
            </w:pPr>
            <w:r>
              <w:rPr>
                <w:rFonts w:hint="eastAsia" w:ascii="宋体" w:cs="宋体"/>
                <w:color w:val="000000"/>
                <w:sz w:val="22"/>
                <w:szCs w:val="22"/>
              </w:rPr>
              <w:t>指标2：定点医疗机构满意</w:t>
            </w:r>
          </w:p>
          <w:p>
            <w:pPr>
              <w:widowControl/>
              <w:jc w:val="center"/>
              <w:textAlignment w:val="center"/>
              <w:rPr>
                <w:rFonts w:ascii="宋体" w:hAnsi="宋体" w:cs="宋体"/>
                <w:color w:val="000000"/>
                <w:sz w:val="22"/>
                <w:szCs w:val="22"/>
              </w:rPr>
            </w:pPr>
            <w:r>
              <w:rPr>
                <w:rFonts w:hint="eastAsia" w:ascii="宋体" w:cs="宋体"/>
                <w:color w:val="000000"/>
                <w:sz w:val="22"/>
                <w:szCs w:val="22"/>
              </w:rPr>
              <w:t>指标3：主管部门满意</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大于99%</w:t>
            </w: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满意度99.5%</w:t>
            </w:r>
          </w:p>
        </w:tc>
      </w:tr>
    </w:tbl>
    <w:p>
      <w:pPr>
        <w:spacing w:line="100" w:lineRule="exact"/>
        <w:ind w:firstLine="616" w:firstLineChars="200"/>
        <w:rPr>
          <w:rFonts w:ascii="仿宋_GB2312" w:hAnsi="仿宋_GB2312" w:eastAsia="仿宋_GB2312"/>
          <w:spacing w:val="-6"/>
          <w:sz w:val="32"/>
          <w:szCs w:val="32"/>
        </w:rPr>
      </w:pPr>
    </w:p>
    <w:p>
      <w:r>
        <w:br w:type="page"/>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87"/>
        <w:gridCol w:w="1148"/>
        <w:gridCol w:w="1195"/>
        <w:gridCol w:w="2700"/>
        <w:gridCol w:w="1995"/>
        <w:gridCol w:w="2235"/>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Cs/>
                <w:color w:val="000000"/>
                <w:kern w:val="0"/>
                <w:sz w:val="36"/>
                <w:szCs w:val="36"/>
              </w:rPr>
              <w:t>项目绩效目标完成情况表</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510" w:hRule="atLeast"/>
          <w:jc w:val="center"/>
        </w:trPr>
        <w:tc>
          <w:tcPr>
            <w:tcW w:w="303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项目名称</w:t>
            </w:r>
          </w:p>
        </w:tc>
        <w:tc>
          <w:tcPr>
            <w:tcW w:w="693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kern w:val="0"/>
                <w:sz w:val="22"/>
                <w:szCs w:val="22"/>
              </w:rPr>
              <w:t>打击欺诈骗保业务经费</w:t>
            </w:r>
          </w:p>
        </w:tc>
      </w:tr>
      <w:tr>
        <w:tblPrEx>
          <w:tblCellMar>
            <w:top w:w="0" w:type="dxa"/>
            <w:left w:w="0" w:type="dxa"/>
            <w:bottom w:w="0" w:type="dxa"/>
            <w:right w:w="0" w:type="dxa"/>
          </w:tblCellMar>
        </w:tblPrEx>
        <w:trPr>
          <w:trHeight w:val="510" w:hRule="atLeast"/>
          <w:jc w:val="center"/>
        </w:trPr>
        <w:tc>
          <w:tcPr>
            <w:tcW w:w="303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预算单位</w:t>
            </w:r>
          </w:p>
        </w:tc>
        <w:tc>
          <w:tcPr>
            <w:tcW w:w="693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kern w:val="0"/>
                <w:sz w:val="22"/>
                <w:szCs w:val="22"/>
              </w:rPr>
              <w:t>广元市医疗保障局</w:t>
            </w:r>
          </w:p>
        </w:tc>
      </w:tr>
      <w:tr>
        <w:tblPrEx>
          <w:tblCellMar>
            <w:top w:w="0" w:type="dxa"/>
            <w:left w:w="0" w:type="dxa"/>
            <w:bottom w:w="0" w:type="dxa"/>
            <w:right w:w="0" w:type="dxa"/>
          </w:tblCellMar>
        </w:tblPrEx>
        <w:trPr>
          <w:trHeight w:val="510"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预算执行情况</w:t>
            </w:r>
            <w:r>
              <w:rPr>
                <w:rFonts w:ascii="宋体" w:hAnsi="宋体" w:cs="宋体"/>
                <w:color w:val="000000"/>
                <w:kern w:val="0"/>
                <w:sz w:val="22"/>
                <w:szCs w:val="22"/>
              </w:rPr>
              <w:t>(</w:t>
            </w:r>
            <w:r>
              <w:rPr>
                <w:rFonts w:hint="eastAsia" w:ascii="宋体" w:hAnsi="宋体" w:cs="宋体"/>
                <w:color w:val="000000"/>
                <w:kern w:val="0"/>
                <w:sz w:val="22"/>
                <w:szCs w:val="22"/>
              </w:rPr>
              <w:t>万元</w:t>
            </w:r>
            <w:r>
              <w:rPr>
                <w:rFonts w:ascii="宋体" w:hAnsi="宋体" w:cs="宋体"/>
                <w:color w:val="000000"/>
                <w:kern w:val="0"/>
                <w:sz w:val="22"/>
                <w:szCs w:val="22"/>
              </w:rPr>
              <w:t>)</w:t>
            </w:r>
          </w:p>
        </w:tc>
        <w:tc>
          <w:tcPr>
            <w:tcW w:w="2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预算数</w:t>
            </w:r>
            <w:r>
              <w:rPr>
                <w:rFonts w:ascii="宋体" w:hAnsi="宋体" w:cs="宋体"/>
                <w:color w:val="000000"/>
                <w:kern w:val="0"/>
                <w:sz w:val="22"/>
                <w:szCs w:val="22"/>
              </w:rPr>
              <w:t>:</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10</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执行数</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10</w:t>
            </w:r>
          </w:p>
        </w:tc>
      </w:tr>
      <w:tr>
        <w:tblPrEx>
          <w:tblCellMar>
            <w:top w:w="0" w:type="dxa"/>
            <w:left w:w="0" w:type="dxa"/>
            <w:bottom w:w="0" w:type="dxa"/>
            <w:right w:w="0" w:type="dxa"/>
          </w:tblCellMar>
        </w:tblPrEx>
        <w:trPr>
          <w:trHeight w:val="510"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2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其中</w:t>
            </w:r>
            <w:r>
              <w:rPr>
                <w:rFonts w:ascii="宋体" w:cs="宋体"/>
                <w:color w:val="000000"/>
                <w:kern w:val="0"/>
                <w:sz w:val="22"/>
                <w:szCs w:val="22"/>
              </w:rPr>
              <w:t>-</w:t>
            </w:r>
            <w:r>
              <w:rPr>
                <w:rFonts w:hint="eastAsia" w:ascii="宋体" w:hAnsi="宋体" w:cs="宋体"/>
                <w:color w:val="000000"/>
                <w:kern w:val="0"/>
                <w:sz w:val="22"/>
                <w:szCs w:val="22"/>
              </w:rPr>
              <w:t>财政拨款</w:t>
            </w:r>
            <w:r>
              <w:rPr>
                <w:rFonts w:ascii="宋体" w:hAnsi="宋体" w:cs="宋体"/>
                <w:color w:val="000000"/>
                <w:kern w:val="0"/>
                <w:sz w:val="22"/>
                <w:szCs w:val="22"/>
              </w:rPr>
              <w:t>:</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10</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其中</w:t>
            </w:r>
            <w:r>
              <w:rPr>
                <w:rFonts w:ascii="宋体" w:cs="宋体"/>
                <w:color w:val="000000"/>
                <w:kern w:val="0"/>
                <w:sz w:val="22"/>
                <w:szCs w:val="22"/>
              </w:rPr>
              <w:t>-</w:t>
            </w:r>
            <w:r>
              <w:rPr>
                <w:rFonts w:hint="eastAsia" w:ascii="宋体" w:hAnsi="宋体" w:cs="宋体"/>
                <w:color w:val="000000"/>
                <w:kern w:val="0"/>
                <w:sz w:val="22"/>
                <w:szCs w:val="22"/>
              </w:rPr>
              <w:t>财政拨款</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10</w:t>
            </w:r>
          </w:p>
        </w:tc>
      </w:tr>
      <w:tr>
        <w:tblPrEx>
          <w:tblCellMar>
            <w:top w:w="0" w:type="dxa"/>
            <w:left w:w="0" w:type="dxa"/>
            <w:bottom w:w="0" w:type="dxa"/>
            <w:right w:w="0" w:type="dxa"/>
          </w:tblCellMar>
        </w:tblPrEx>
        <w:trPr>
          <w:trHeight w:val="510"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2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其它资金</w:t>
            </w:r>
            <w:r>
              <w:rPr>
                <w:rFonts w:ascii="宋体" w:hAnsi="宋体" w:cs="宋体"/>
                <w:color w:val="000000"/>
                <w:kern w:val="0"/>
                <w:sz w:val="22"/>
                <w:szCs w:val="22"/>
              </w:rPr>
              <w:t>:</w:t>
            </w:r>
          </w:p>
        </w:tc>
        <w:tc>
          <w:tcPr>
            <w:tcW w:w="2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0</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其它资金</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r>
      <w:tr>
        <w:tblPrEx>
          <w:tblCellMar>
            <w:top w:w="0" w:type="dxa"/>
            <w:left w:w="0" w:type="dxa"/>
            <w:bottom w:w="0" w:type="dxa"/>
            <w:right w:w="0" w:type="dxa"/>
          </w:tblCellMar>
        </w:tblPrEx>
        <w:trPr>
          <w:trHeight w:val="510"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年度目标完成情况</w:t>
            </w:r>
          </w:p>
        </w:tc>
        <w:tc>
          <w:tcPr>
            <w:tcW w:w="504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预期目标</w:t>
            </w:r>
          </w:p>
        </w:tc>
        <w:tc>
          <w:tcPr>
            <w:tcW w:w="423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实际完成目标</w:t>
            </w:r>
          </w:p>
        </w:tc>
      </w:tr>
      <w:tr>
        <w:tblPrEx>
          <w:tblCellMar>
            <w:top w:w="0" w:type="dxa"/>
            <w:left w:w="0" w:type="dxa"/>
            <w:bottom w:w="0" w:type="dxa"/>
            <w:right w:w="0" w:type="dxa"/>
          </w:tblCellMar>
        </w:tblPrEx>
        <w:trPr>
          <w:trHeight w:val="1137" w:hRule="atLeast"/>
          <w:jc w:val="center"/>
        </w:trPr>
        <w:tc>
          <w:tcPr>
            <w:tcW w:w="687"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5043" w:type="dxa"/>
            <w:gridSpan w:val="3"/>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实现医保精准监管，加大医保监管宣传力度，提升监管人员监管能力，增强市民对医保监管重要性的意识，奖励举报人，以保障医保基金安全。</w:t>
            </w:r>
          </w:p>
        </w:tc>
        <w:tc>
          <w:tcPr>
            <w:tcW w:w="4230"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有效的净化了就医环境，保障了参保人员的利益和医保基金的安全。</w:t>
            </w:r>
          </w:p>
        </w:tc>
      </w:tr>
      <w:tr>
        <w:tblPrEx>
          <w:tblCellMar>
            <w:top w:w="0" w:type="dxa"/>
            <w:left w:w="0" w:type="dxa"/>
            <w:bottom w:w="0" w:type="dxa"/>
            <w:right w:w="0" w:type="dxa"/>
          </w:tblCellMar>
        </w:tblPrEx>
        <w:trPr>
          <w:trHeight w:val="732" w:hRule="atLeast"/>
          <w:jc w:val="center"/>
        </w:trPr>
        <w:tc>
          <w:tcPr>
            <w:tcW w:w="68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sz w:val="22"/>
                <w:szCs w:val="22"/>
              </w:rPr>
              <w:t>绩效指标完成情况</w:t>
            </w:r>
          </w:p>
        </w:tc>
        <w:tc>
          <w:tcPr>
            <w:tcW w:w="114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一级指标</w:t>
            </w:r>
          </w:p>
        </w:tc>
        <w:tc>
          <w:tcPr>
            <w:tcW w:w="11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二级指标</w:t>
            </w:r>
          </w:p>
        </w:tc>
        <w:tc>
          <w:tcPr>
            <w:tcW w:w="2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三级指标</w:t>
            </w:r>
          </w:p>
        </w:tc>
        <w:tc>
          <w:tcPr>
            <w:tcW w:w="19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预期指标值</w:t>
            </w:r>
            <w:r>
              <w:rPr>
                <w:rFonts w:ascii="宋体" w:hAnsi="宋体" w:cs="宋体"/>
                <w:color w:val="000000"/>
                <w:kern w:val="0"/>
                <w:sz w:val="22"/>
                <w:szCs w:val="22"/>
              </w:rPr>
              <w:t>(</w:t>
            </w:r>
            <w:r>
              <w:rPr>
                <w:rFonts w:hint="eastAsia" w:ascii="宋体" w:hAnsi="宋体" w:cs="宋体"/>
                <w:color w:val="000000"/>
                <w:kern w:val="0"/>
                <w:sz w:val="22"/>
                <w:szCs w:val="22"/>
              </w:rPr>
              <w:t>包含数字及文字描述</w:t>
            </w:r>
            <w:r>
              <w:rPr>
                <w:rFonts w:ascii="宋体" w:hAnsi="宋体" w:cs="宋体"/>
                <w:color w:val="000000"/>
                <w:kern w:val="0"/>
                <w:sz w:val="22"/>
                <w:szCs w:val="22"/>
              </w:rPr>
              <w:t>)</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实际完成指标值</w:t>
            </w:r>
            <w:r>
              <w:rPr>
                <w:rFonts w:ascii="宋体" w:hAnsi="宋体" w:cs="宋体"/>
                <w:color w:val="000000"/>
                <w:kern w:val="0"/>
                <w:sz w:val="22"/>
                <w:szCs w:val="22"/>
              </w:rPr>
              <w:t>(</w:t>
            </w:r>
            <w:r>
              <w:rPr>
                <w:rFonts w:hint="eastAsia" w:ascii="宋体" w:hAnsi="宋体" w:cs="宋体"/>
                <w:color w:val="000000"/>
                <w:kern w:val="0"/>
                <w:sz w:val="22"/>
                <w:szCs w:val="22"/>
              </w:rPr>
              <w:t>包含数字及文字描述</w:t>
            </w:r>
            <w:r>
              <w:rPr>
                <w:rFonts w:ascii="宋体" w:hAnsi="宋体" w:cs="宋体"/>
                <w:color w:val="000000"/>
                <w:kern w:val="0"/>
                <w:sz w:val="22"/>
                <w:szCs w:val="22"/>
              </w:rPr>
              <w:t>)</w:t>
            </w:r>
          </w:p>
        </w:tc>
      </w:tr>
      <w:tr>
        <w:tblPrEx>
          <w:tblCellMar>
            <w:top w:w="0" w:type="dxa"/>
            <w:left w:w="0" w:type="dxa"/>
            <w:bottom w:w="0" w:type="dxa"/>
            <w:right w:w="0" w:type="dxa"/>
          </w:tblCellMar>
        </w:tblPrEx>
        <w:trPr>
          <w:trHeight w:val="1738" w:hRule="atLeast"/>
          <w:jc w:val="center"/>
        </w:trPr>
        <w:tc>
          <w:tcPr>
            <w:tcW w:w="6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项目完成</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11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数量指标</w:t>
            </w:r>
          </w:p>
        </w:tc>
        <w:tc>
          <w:tcPr>
            <w:tcW w:w="2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cs="宋体"/>
                <w:color w:val="000000"/>
                <w:sz w:val="22"/>
                <w:szCs w:val="22"/>
              </w:rPr>
              <w:t>指标1：印制医保监管宣传资料</w:t>
            </w:r>
          </w:p>
          <w:p>
            <w:pPr>
              <w:widowControl/>
              <w:jc w:val="left"/>
              <w:textAlignment w:val="center"/>
              <w:rPr>
                <w:rFonts w:ascii="宋体" w:cs="宋体"/>
                <w:color w:val="000000"/>
                <w:sz w:val="22"/>
                <w:szCs w:val="22"/>
              </w:rPr>
            </w:pPr>
            <w:r>
              <w:rPr>
                <w:rFonts w:hint="eastAsia" w:ascii="宋体" w:cs="宋体"/>
                <w:color w:val="000000"/>
                <w:sz w:val="22"/>
                <w:szCs w:val="22"/>
              </w:rPr>
              <w:t>指标2：开展打击欺诈骗保业务培训</w:t>
            </w:r>
          </w:p>
          <w:p>
            <w:pPr>
              <w:widowControl/>
              <w:jc w:val="left"/>
              <w:textAlignment w:val="center"/>
              <w:rPr>
                <w:rFonts w:ascii="宋体" w:cs="宋体"/>
                <w:color w:val="000000"/>
                <w:sz w:val="22"/>
                <w:szCs w:val="22"/>
              </w:rPr>
            </w:pPr>
            <w:r>
              <w:rPr>
                <w:rFonts w:hint="eastAsia" w:ascii="宋体" w:cs="宋体"/>
                <w:color w:val="000000"/>
                <w:sz w:val="22"/>
                <w:szCs w:val="22"/>
              </w:rPr>
              <w:t>指标3：参加培训人员</w:t>
            </w:r>
          </w:p>
        </w:tc>
        <w:tc>
          <w:tcPr>
            <w:tcW w:w="19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印制宣传资料5000份，开展培训2次，参训人员100人次</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已完成</w:t>
            </w:r>
          </w:p>
        </w:tc>
      </w:tr>
      <w:tr>
        <w:tblPrEx>
          <w:tblCellMar>
            <w:top w:w="0" w:type="dxa"/>
            <w:left w:w="0" w:type="dxa"/>
            <w:bottom w:w="0" w:type="dxa"/>
            <w:right w:w="0" w:type="dxa"/>
          </w:tblCellMar>
        </w:tblPrEx>
        <w:trPr>
          <w:trHeight w:val="510" w:hRule="atLeast"/>
          <w:jc w:val="center"/>
        </w:trPr>
        <w:tc>
          <w:tcPr>
            <w:tcW w:w="6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项目完成</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11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质量指标</w:t>
            </w:r>
          </w:p>
        </w:tc>
        <w:tc>
          <w:tcPr>
            <w:tcW w:w="2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增强医保监管的广识度</w:t>
            </w:r>
          </w:p>
        </w:tc>
        <w:tc>
          <w:tcPr>
            <w:tcW w:w="19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提高</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有力提高增强医保监管的广识度</w:t>
            </w:r>
          </w:p>
        </w:tc>
      </w:tr>
      <w:tr>
        <w:tblPrEx>
          <w:tblCellMar>
            <w:top w:w="0" w:type="dxa"/>
            <w:left w:w="0" w:type="dxa"/>
            <w:bottom w:w="0" w:type="dxa"/>
            <w:right w:w="0" w:type="dxa"/>
          </w:tblCellMar>
        </w:tblPrEx>
        <w:trPr>
          <w:trHeight w:val="510" w:hRule="atLeast"/>
          <w:jc w:val="center"/>
        </w:trPr>
        <w:tc>
          <w:tcPr>
            <w:tcW w:w="6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项目完成</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11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时效指标</w:t>
            </w:r>
          </w:p>
        </w:tc>
        <w:tc>
          <w:tcPr>
            <w:tcW w:w="2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完成时间</w:t>
            </w:r>
          </w:p>
        </w:tc>
        <w:tc>
          <w:tcPr>
            <w:tcW w:w="19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cs="宋体"/>
                <w:color w:val="000000"/>
                <w:spacing w:val="-6"/>
                <w:sz w:val="22"/>
                <w:szCs w:val="22"/>
              </w:rPr>
            </w:pPr>
            <w:r>
              <w:rPr>
                <w:rFonts w:hint="eastAsia" w:ascii="宋体" w:cs="宋体"/>
                <w:color w:val="000000"/>
                <w:spacing w:val="-6"/>
                <w:sz w:val="22"/>
                <w:szCs w:val="22"/>
              </w:rPr>
              <w:t>2020年12月底前完成</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已完成</w:t>
            </w:r>
          </w:p>
        </w:tc>
      </w:tr>
      <w:tr>
        <w:tblPrEx>
          <w:tblCellMar>
            <w:top w:w="0" w:type="dxa"/>
            <w:left w:w="0" w:type="dxa"/>
            <w:bottom w:w="0" w:type="dxa"/>
            <w:right w:w="0" w:type="dxa"/>
          </w:tblCellMar>
        </w:tblPrEx>
        <w:trPr>
          <w:trHeight w:val="759" w:hRule="atLeast"/>
          <w:jc w:val="center"/>
        </w:trPr>
        <w:tc>
          <w:tcPr>
            <w:tcW w:w="6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效益指标</w:t>
            </w:r>
          </w:p>
        </w:tc>
        <w:tc>
          <w:tcPr>
            <w:tcW w:w="11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社会效益</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2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保障医保基金安全可控</w:t>
            </w:r>
          </w:p>
        </w:tc>
        <w:tc>
          <w:tcPr>
            <w:tcW w:w="19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cs="宋体"/>
                <w:color w:val="000000"/>
                <w:spacing w:val="-6"/>
                <w:sz w:val="22"/>
                <w:szCs w:val="22"/>
              </w:rPr>
            </w:pPr>
            <w:r>
              <w:rPr>
                <w:rFonts w:hint="eastAsia" w:ascii="宋体" w:hAnsi="宋体" w:cs="宋体"/>
                <w:color w:val="000000"/>
                <w:spacing w:val="-6"/>
                <w:kern w:val="0"/>
                <w:sz w:val="22"/>
                <w:szCs w:val="22"/>
              </w:rPr>
              <w:t>能及时发现医保违规问题并能及时处理</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及时发现医保违规问题并处理</w:t>
            </w:r>
          </w:p>
        </w:tc>
      </w:tr>
      <w:tr>
        <w:tblPrEx>
          <w:tblCellMar>
            <w:top w:w="0" w:type="dxa"/>
            <w:left w:w="0" w:type="dxa"/>
            <w:bottom w:w="0" w:type="dxa"/>
            <w:right w:w="0" w:type="dxa"/>
          </w:tblCellMar>
        </w:tblPrEx>
        <w:trPr>
          <w:trHeight w:val="759" w:hRule="atLeast"/>
          <w:jc w:val="center"/>
        </w:trPr>
        <w:tc>
          <w:tcPr>
            <w:tcW w:w="6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效益指标</w:t>
            </w:r>
          </w:p>
        </w:tc>
        <w:tc>
          <w:tcPr>
            <w:tcW w:w="11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可持续影响</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2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保障医保基金安全</w:t>
            </w:r>
          </w:p>
        </w:tc>
        <w:tc>
          <w:tcPr>
            <w:tcW w:w="19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保障医保基金可持续发展</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医保基金可持续发展</w:t>
            </w:r>
          </w:p>
        </w:tc>
      </w:tr>
      <w:tr>
        <w:tblPrEx>
          <w:tblCellMar>
            <w:top w:w="0" w:type="dxa"/>
            <w:left w:w="0" w:type="dxa"/>
            <w:bottom w:w="0" w:type="dxa"/>
            <w:right w:w="0" w:type="dxa"/>
          </w:tblCellMar>
        </w:tblPrEx>
        <w:trPr>
          <w:trHeight w:val="829" w:hRule="atLeast"/>
          <w:jc w:val="center"/>
        </w:trPr>
        <w:tc>
          <w:tcPr>
            <w:tcW w:w="687"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满意度指标</w:t>
            </w:r>
          </w:p>
        </w:tc>
        <w:tc>
          <w:tcPr>
            <w:tcW w:w="11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满意度指标</w:t>
            </w:r>
          </w:p>
        </w:tc>
        <w:tc>
          <w:tcPr>
            <w:tcW w:w="2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cs="宋体"/>
                <w:color w:val="000000"/>
                <w:sz w:val="22"/>
                <w:szCs w:val="22"/>
              </w:rPr>
              <w:t>指</w:t>
            </w:r>
            <w:r>
              <w:rPr>
                <w:rFonts w:hint="eastAsia" w:ascii="宋体" w:cs="宋体"/>
                <w:color w:val="000000"/>
                <w:spacing w:val="-8"/>
                <w:sz w:val="22"/>
                <w:szCs w:val="22"/>
              </w:rPr>
              <w:t>标1：医保监管机构满意度</w:t>
            </w:r>
          </w:p>
          <w:p>
            <w:pPr>
              <w:widowControl/>
              <w:jc w:val="left"/>
              <w:textAlignment w:val="center"/>
              <w:rPr>
                <w:rFonts w:ascii="宋体" w:cs="宋体"/>
                <w:color w:val="000000"/>
                <w:sz w:val="22"/>
                <w:szCs w:val="22"/>
              </w:rPr>
            </w:pPr>
            <w:r>
              <w:rPr>
                <w:rFonts w:hint="eastAsia" w:ascii="宋体" w:cs="宋体"/>
                <w:color w:val="000000"/>
                <w:sz w:val="22"/>
                <w:szCs w:val="22"/>
              </w:rPr>
              <w:t>指标2：社会各界满意度</w:t>
            </w:r>
          </w:p>
        </w:tc>
        <w:tc>
          <w:tcPr>
            <w:tcW w:w="19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≥90%</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95%</w:t>
            </w:r>
          </w:p>
        </w:tc>
      </w:tr>
    </w:tbl>
    <w:p>
      <w:pPr>
        <w:pStyle w:val="2"/>
        <w:spacing w:line="20" w:lineRule="exact"/>
      </w:pPr>
      <w:r>
        <w:br w:type="page"/>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73"/>
        <w:gridCol w:w="1142"/>
        <w:gridCol w:w="1110"/>
        <w:gridCol w:w="2595"/>
        <w:gridCol w:w="2205"/>
        <w:gridCol w:w="2235"/>
      </w:tblGrid>
      <w:tr>
        <w:tblPrEx>
          <w:tblCellMar>
            <w:top w:w="0" w:type="dxa"/>
            <w:left w:w="0" w:type="dxa"/>
            <w:bottom w:w="0" w:type="dxa"/>
            <w:right w:w="0" w:type="dxa"/>
          </w:tblCellMar>
        </w:tblPrEx>
        <w:trPr>
          <w:trHeight w:val="1034" w:hRule="atLeast"/>
          <w:jc w:val="center"/>
        </w:trPr>
        <w:tc>
          <w:tcPr>
            <w:tcW w:w="9960" w:type="dxa"/>
            <w:gridSpan w:val="6"/>
            <w:tcBorders>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36"/>
                <w:szCs w:val="36"/>
              </w:rPr>
            </w:pPr>
            <w:r>
              <w:br w:type="page"/>
            </w:r>
            <w:r>
              <w:rPr>
                <w:rFonts w:hint="eastAsia" w:ascii="宋体" w:hAnsi="宋体" w:cs="宋体"/>
                <w:bCs/>
                <w:color w:val="000000"/>
                <w:kern w:val="0"/>
                <w:sz w:val="36"/>
                <w:szCs w:val="36"/>
              </w:rPr>
              <w:t>项目绩效目标完成情况表</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510" w:hRule="atLeast"/>
          <w:jc w:val="center"/>
        </w:trPr>
        <w:tc>
          <w:tcPr>
            <w:tcW w:w="29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项目名称</w:t>
            </w:r>
          </w:p>
        </w:tc>
        <w:tc>
          <w:tcPr>
            <w:tcW w:w="703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业务档案电子信息系统建设</w:t>
            </w:r>
          </w:p>
        </w:tc>
      </w:tr>
      <w:tr>
        <w:tblPrEx>
          <w:tblCellMar>
            <w:top w:w="0" w:type="dxa"/>
            <w:left w:w="0" w:type="dxa"/>
            <w:bottom w:w="0" w:type="dxa"/>
            <w:right w:w="0" w:type="dxa"/>
          </w:tblCellMar>
        </w:tblPrEx>
        <w:trPr>
          <w:trHeight w:val="510" w:hRule="atLeast"/>
          <w:jc w:val="center"/>
        </w:trPr>
        <w:tc>
          <w:tcPr>
            <w:tcW w:w="29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预算单位</w:t>
            </w:r>
          </w:p>
        </w:tc>
        <w:tc>
          <w:tcPr>
            <w:tcW w:w="703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广元市医疗保障局</w:t>
            </w:r>
          </w:p>
        </w:tc>
      </w:tr>
      <w:tr>
        <w:tblPrEx>
          <w:tblCellMar>
            <w:top w:w="0" w:type="dxa"/>
            <w:left w:w="0" w:type="dxa"/>
            <w:bottom w:w="0" w:type="dxa"/>
            <w:right w:w="0" w:type="dxa"/>
          </w:tblCellMar>
        </w:tblPrEx>
        <w:trPr>
          <w:trHeight w:val="51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预算执行情况</w:t>
            </w:r>
            <w:r>
              <w:rPr>
                <w:rFonts w:ascii="宋体" w:hAnsi="宋体" w:cs="宋体"/>
                <w:color w:val="000000"/>
                <w:kern w:val="0"/>
                <w:sz w:val="22"/>
                <w:szCs w:val="22"/>
              </w:rPr>
              <w:t>(</w:t>
            </w:r>
            <w:r>
              <w:rPr>
                <w:rFonts w:hint="eastAsia" w:ascii="宋体" w:hAnsi="宋体" w:cs="宋体"/>
                <w:color w:val="000000"/>
                <w:kern w:val="0"/>
                <w:sz w:val="22"/>
                <w:szCs w:val="22"/>
              </w:rPr>
              <w:t>万元</w:t>
            </w:r>
            <w:r>
              <w:rPr>
                <w:rFonts w:ascii="宋体" w:hAnsi="宋体" w:cs="宋体"/>
                <w:color w:val="000000"/>
                <w:kern w:val="0"/>
                <w:sz w:val="22"/>
                <w:szCs w:val="22"/>
              </w:rPr>
              <w:t>)</w:t>
            </w:r>
          </w:p>
        </w:tc>
        <w:tc>
          <w:tcPr>
            <w:tcW w:w="22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预算数</w:t>
            </w:r>
            <w:r>
              <w:rPr>
                <w:rFonts w:ascii="宋体" w:hAnsi="宋体" w:cs="宋体"/>
                <w:color w:val="000000"/>
                <w:kern w:val="0"/>
                <w:sz w:val="22"/>
                <w:szCs w:val="22"/>
              </w:rPr>
              <w:t>:</w:t>
            </w: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30</w:t>
            </w: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执行数</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20.51</w:t>
            </w:r>
          </w:p>
        </w:tc>
      </w:tr>
      <w:tr>
        <w:tblPrEx>
          <w:tblCellMar>
            <w:top w:w="0" w:type="dxa"/>
            <w:left w:w="0" w:type="dxa"/>
            <w:bottom w:w="0" w:type="dxa"/>
            <w:right w:w="0" w:type="dxa"/>
          </w:tblCellMar>
        </w:tblPrEx>
        <w:trPr>
          <w:trHeight w:val="51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22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其中</w:t>
            </w:r>
            <w:r>
              <w:rPr>
                <w:rFonts w:ascii="宋体" w:cs="宋体"/>
                <w:color w:val="000000"/>
                <w:kern w:val="0"/>
                <w:sz w:val="22"/>
                <w:szCs w:val="22"/>
              </w:rPr>
              <w:t>-</w:t>
            </w:r>
            <w:r>
              <w:rPr>
                <w:rFonts w:hint="eastAsia" w:ascii="宋体" w:hAnsi="宋体" w:cs="宋体"/>
                <w:color w:val="000000"/>
                <w:kern w:val="0"/>
                <w:sz w:val="22"/>
                <w:szCs w:val="22"/>
              </w:rPr>
              <w:t>财政拨款</w:t>
            </w:r>
            <w:r>
              <w:rPr>
                <w:rFonts w:ascii="宋体" w:hAnsi="宋体" w:cs="宋体"/>
                <w:color w:val="000000"/>
                <w:kern w:val="0"/>
                <w:sz w:val="22"/>
                <w:szCs w:val="22"/>
              </w:rPr>
              <w:t>:</w:t>
            </w: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30</w:t>
            </w: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其中</w:t>
            </w:r>
            <w:r>
              <w:rPr>
                <w:rFonts w:ascii="宋体" w:cs="宋体"/>
                <w:color w:val="000000"/>
                <w:kern w:val="0"/>
                <w:sz w:val="22"/>
                <w:szCs w:val="22"/>
              </w:rPr>
              <w:t>-</w:t>
            </w:r>
            <w:r>
              <w:rPr>
                <w:rFonts w:hint="eastAsia" w:ascii="宋体" w:hAnsi="宋体" w:cs="宋体"/>
                <w:color w:val="000000"/>
                <w:kern w:val="0"/>
                <w:sz w:val="22"/>
                <w:szCs w:val="22"/>
              </w:rPr>
              <w:t>财政拨款</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20.51</w:t>
            </w:r>
          </w:p>
        </w:tc>
      </w:tr>
      <w:tr>
        <w:tblPrEx>
          <w:tblCellMar>
            <w:top w:w="0" w:type="dxa"/>
            <w:left w:w="0" w:type="dxa"/>
            <w:bottom w:w="0" w:type="dxa"/>
            <w:right w:w="0" w:type="dxa"/>
          </w:tblCellMar>
        </w:tblPrEx>
        <w:trPr>
          <w:trHeight w:val="51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22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其它资金</w:t>
            </w:r>
            <w:r>
              <w:rPr>
                <w:rFonts w:ascii="宋体" w:hAnsi="宋体" w:cs="宋体"/>
                <w:color w:val="000000"/>
                <w:kern w:val="0"/>
                <w:sz w:val="22"/>
                <w:szCs w:val="22"/>
              </w:rPr>
              <w:t>:</w:t>
            </w:r>
          </w:p>
        </w:tc>
        <w:tc>
          <w:tcPr>
            <w:tcW w:w="2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0</w:t>
            </w: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其它资金</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r>
      <w:tr>
        <w:tblPrEx>
          <w:tblCellMar>
            <w:top w:w="0" w:type="dxa"/>
            <w:left w:w="0" w:type="dxa"/>
            <w:bottom w:w="0" w:type="dxa"/>
            <w:right w:w="0" w:type="dxa"/>
          </w:tblCellMar>
        </w:tblPrEx>
        <w:trPr>
          <w:trHeight w:val="51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年度目标完成情况</w:t>
            </w:r>
          </w:p>
        </w:tc>
        <w:tc>
          <w:tcPr>
            <w:tcW w:w="48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预期目标</w:t>
            </w:r>
          </w:p>
        </w:tc>
        <w:tc>
          <w:tcPr>
            <w:tcW w:w="444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实际完成目标</w:t>
            </w:r>
          </w:p>
        </w:tc>
      </w:tr>
      <w:tr>
        <w:tblPrEx>
          <w:tblCellMar>
            <w:top w:w="0" w:type="dxa"/>
            <w:left w:w="0" w:type="dxa"/>
            <w:bottom w:w="0" w:type="dxa"/>
            <w:right w:w="0" w:type="dxa"/>
          </w:tblCellMar>
        </w:tblPrEx>
        <w:trPr>
          <w:trHeight w:val="1291" w:hRule="atLeast"/>
          <w:jc w:val="center"/>
        </w:trPr>
        <w:tc>
          <w:tcPr>
            <w:tcW w:w="673"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4847" w:type="dxa"/>
            <w:gridSpan w:val="3"/>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方便医疗保障各项业务档案资料管理，提升经办服务能力。</w:t>
            </w:r>
          </w:p>
        </w:tc>
        <w:tc>
          <w:tcPr>
            <w:tcW w:w="4440"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cs="宋体"/>
                <w:color w:val="000000"/>
                <w:sz w:val="22"/>
                <w:szCs w:val="22"/>
              </w:rPr>
              <w:t>加</w:t>
            </w:r>
            <w:r>
              <w:rPr>
                <w:rFonts w:hint="eastAsia" w:ascii="宋体" w:cs="宋体"/>
                <w:color w:val="000000"/>
                <w:spacing w:val="-8"/>
                <w:sz w:val="22"/>
                <w:szCs w:val="22"/>
              </w:rPr>
              <w:t>强了医疗保险各类业务档案资料管理和使用，提升了医疗服务经办能力，为参保人员提供更优质的服务。真真切切做到了为老百姓办好事、办实事，提升了政府机关履职形象。</w:t>
            </w:r>
          </w:p>
        </w:tc>
      </w:tr>
      <w:tr>
        <w:tblPrEx>
          <w:tblCellMar>
            <w:top w:w="0" w:type="dxa"/>
            <w:left w:w="0" w:type="dxa"/>
            <w:bottom w:w="0" w:type="dxa"/>
            <w:right w:w="0" w:type="dxa"/>
          </w:tblCellMar>
        </w:tblPrEx>
        <w:trPr>
          <w:trHeight w:val="510" w:hRule="atLeast"/>
          <w:jc w:val="center"/>
        </w:trPr>
        <w:tc>
          <w:tcPr>
            <w:tcW w:w="673"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sz w:val="22"/>
                <w:szCs w:val="22"/>
              </w:rPr>
              <w:t>绩效指标完成情况</w:t>
            </w:r>
          </w:p>
        </w:tc>
        <w:tc>
          <w:tcPr>
            <w:tcW w:w="1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一级指标</w:t>
            </w:r>
          </w:p>
        </w:tc>
        <w:tc>
          <w:tcPr>
            <w:tcW w:w="11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二级指标</w:t>
            </w:r>
          </w:p>
        </w:tc>
        <w:tc>
          <w:tcPr>
            <w:tcW w:w="25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三级指标</w:t>
            </w:r>
          </w:p>
        </w:tc>
        <w:tc>
          <w:tcPr>
            <w:tcW w:w="22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预期指标值</w:t>
            </w:r>
            <w:r>
              <w:rPr>
                <w:rFonts w:ascii="宋体" w:hAnsi="宋体" w:cs="宋体"/>
                <w:color w:val="000000"/>
                <w:kern w:val="0"/>
                <w:sz w:val="22"/>
                <w:szCs w:val="22"/>
              </w:rPr>
              <w:t>(</w:t>
            </w:r>
            <w:r>
              <w:rPr>
                <w:rFonts w:hint="eastAsia" w:ascii="宋体" w:hAnsi="宋体" w:cs="宋体"/>
                <w:color w:val="000000"/>
                <w:kern w:val="0"/>
                <w:sz w:val="22"/>
                <w:szCs w:val="22"/>
              </w:rPr>
              <w:t>包含数字及文字描述</w:t>
            </w:r>
            <w:r>
              <w:rPr>
                <w:rFonts w:ascii="宋体" w:hAnsi="宋体" w:cs="宋体"/>
                <w:color w:val="000000"/>
                <w:kern w:val="0"/>
                <w:sz w:val="22"/>
                <w:szCs w:val="22"/>
              </w:rPr>
              <w:t>)</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实际完成指标值</w:t>
            </w:r>
            <w:r>
              <w:rPr>
                <w:rFonts w:ascii="宋体" w:hAnsi="宋体" w:cs="宋体"/>
                <w:color w:val="000000"/>
                <w:kern w:val="0"/>
                <w:sz w:val="22"/>
                <w:szCs w:val="22"/>
              </w:rPr>
              <w:t>(</w:t>
            </w:r>
            <w:r>
              <w:rPr>
                <w:rFonts w:hint="eastAsia" w:ascii="宋体" w:hAnsi="宋体" w:cs="宋体"/>
                <w:color w:val="000000"/>
                <w:kern w:val="0"/>
                <w:sz w:val="22"/>
                <w:szCs w:val="22"/>
              </w:rPr>
              <w:t>包含数字及文字描述</w:t>
            </w:r>
            <w:r>
              <w:rPr>
                <w:rFonts w:ascii="宋体" w:hAnsi="宋体" w:cs="宋体"/>
                <w:color w:val="000000"/>
                <w:kern w:val="0"/>
                <w:sz w:val="22"/>
                <w:szCs w:val="22"/>
              </w:rPr>
              <w:t>)</w:t>
            </w:r>
          </w:p>
        </w:tc>
      </w:tr>
      <w:tr>
        <w:tblPrEx>
          <w:tblCellMar>
            <w:top w:w="0" w:type="dxa"/>
            <w:left w:w="0" w:type="dxa"/>
            <w:bottom w:w="0" w:type="dxa"/>
            <w:right w:w="0" w:type="dxa"/>
          </w:tblCellMar>
        </w:tblPrEx>
        <w:trPr>
          <w:trHeight w:val="510" w:hRule="atLeast"/>
          <w:jc w:val="center"/>
        </w:trPr>
        <w:tc>
          <w:tcPr>
            <w:tcW w:w="67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项目完成</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11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数量指标</w:t>
            </w:r>
          </w:p>
        </w:tc>
        <w:tc>
          <w:tcPr>
            <w:tcW w:w="25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cs="宋体"/>
                <w:color w:val="000000"/>
                <w:sz w:val="22"/>
                <w:szCs w:val="22"/>
              </w:rPr>
              <w:t>指标1：纸质档案录入电子档案</w:t>
            </w:r>
          </w:p>
          <w:p>
            <w:pPr>
              <w:widowControl/>
              <w:jc w:val="left"/>
              <w:textAlignment w:val="center"/>
              <w:rPr>
                <w:rFonts w:ascii="宋体" w:cs="宋体"/>
                <w:color w:val="000000"/>
                <w:sz w:val="22"/>
                <w:szCs w:val="22"/>
              </w:rPr>
            </w:pPr>
            <w:r>
              <w:rPr>
                <w:rFonts w:hint="eastAsia" w:ascii="宋体" w:cs="宋体"/>
                <w:color w:val="000000"/>
                <w:sz w:val="22"/>
                <w:szCs w:val="22"/>
              </w:rPr>
              <w:t>指标2：聘请软件技术人员</w:t>
            </w:r>
          </w:p>
          <w:p>
            <w:pPr>
              <w:widowControl/>
              <w:jc w:val="left"/>
              <w:textAlignment w:val="center"/>
              <w:rPr>
                <w:rFonts w:ascii="宋体" w:cs="宋体"/>
                <w:color w:val="000000"/>
                <w:sz w:val="22"/>
                <w:szCs w:val="22"/>
              </w:rPr>
            </w:pPr>
            <w:r>
              <w:rPr>
                <w:rFonts w:hint="eastAsia" w:ascii="宋体" w:cs="宋体"/>
                <w:color w:val="000000"/>
                <w:sz w:val="22"/>
                <w:szCs w:val="22"/>
              </w:rPr>
              <w:t>指标3：终端设备</w:t>
            </w:r>
          </w:p>
          <w:p>
            <w:pPr>
              <w:widowControl/>
              <w:jc w:val="left"/>
              <w:textAlignment w:val="center"/>
              <w:rPr>
                <w:rFonts w:ascii="宋体" w:cs="宋体"/>
                <w:color w:val="000000"/>
                <w:sz w:val="22"/>
                <w:szCs w:val="22"/>
              </w:rPr>
            </w:pPr>
            <w:r>
              <w:rPr>
                <w:rFonts w:hint="eastAsia" w:ascii="宋体" w:cs="宋体"/>
                <w:color w:val="000000"/>
                <w:sz w:val="22"/>
                <w:szCs w:val="22"/>
              </w:rPr>
              <w:t>指标4：软件</w:t>
            </w:r>
          </w:p>
        </w:tc>
        <w:tc>
          <w:tcPr>
            <w:tcW w:w="22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textAlignment w:val="center"/>
              <w:rPr>
                <w:rFonts w:ascii="宋体" w:cs="宋体"/>
                <w:color w:val="000000"/>
                <w:sz w:val="22"/>
                <w:szCs w:val="22"/>
              </w:rPr>
            </w:pPr>
            <w:r>
              <w:rPr>
                <w:rFonts w:hint="eastAsia" w:ascii="宋体" w:cs="宋体"/>
                <w:color w:val="000000"/>
                <w:sz w:val="22"/>
                <w:szCs w:val="22"/>
              </w:rPr>
              <w:t>录入电子档案500000份，聘请软件技术人员2人，购入终端设备5台，开发软件1套。</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已完成</w:t>
            </w:r>
          </w:p>
        </w:tc>
      </w:tr>
      <w:tr>
        <w:tblPrEx>
          <w:tblCellMar>
            <w:top w:w="0" w:type="dxa"/>
            <w:left w:w="0" w:type="dxa"/>
            <w:bottom w:w="0" w:type="dxa"/>
            <w:right w:w="0" w:type="dxa"/>
          </w:tblCellMar>
        </w:tblPrEx>
        <w:trPr>
          <w:trHeight w:val="510" w:hRule="atLeast"/>
          <w:jc w:val="center"/>
        </w:trPr>
        <w:tc>
          <w:tcPr>
            <w:tcW w:w="67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项目完成</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11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质量指标</w:t>
            </w:r>
          </w:p>
        </w:tc>
        <w:tc>
          <w:tcPr>
            <w:tcW w:w="25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cs="宋体"/>
                <w:color w:val="000000"/>
                <w:sz w:val="22"/>
                <w:szCs w:val="22"/>
              </w:rPr>
              <w:t>指标1：完成医疗保障所有业务档案的电子化管理</w:t>
            </w:r>
          </w:p>
          <w:p>
            <w:pPr>
              <w:widowControl/>
              <w:jc w:val="left"/>
              <w:textAlignment w:val="center"/>
              <w:rPr>
                <w:rFonts w:ascii="宋体" w:cs="宋体"/>
                <w:color w:val="000000"/>
                <w:sz w:val="22"/>
                <w:szCs w:val="22"/>
              </w:rPr>
            </w:pPr>
            <w:r>
              <w:rPr>
                <w:rFonts w:hint="eastAsia" w:ascii="宋体" w:cs="宋体"/>
                <w:color w:val="000000"/>
                <w:sz w:val="22"/>
                <w:szCs w:val="22"/>
              </w:rPr>
              <w:t>指标2：业务档案信息系统查询</w:t>
            </w:r>
          </w:p>
        </w:tc>
        <w:tc>
          <w:tcPr>
            <w:tcW w:w="22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≥99%</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已完成</w:t>
            </w:r>
          </w:p>
        </w:tc>
      </w:tr>
      <w:tr>
        <w:tblPrEx>
          <w:tblCellMar>
            <w:top w:w="0" w:type="dxa"/>
            <w:left w:w="0" w:type="dxa"/>
            <w:bottom w:w="0" w:type="dxa"/>
            <w:right w:w="0" w:type="dxa"/>
          </w:tblCellMar>
        </w:tblPrEx>
        <w:trPr>
          <w:trHeight w:val="510" w:hRule="atLeast"/>
          <w:jc w:val="center"/>
        </w:trPr>
        <w:tc>
          <w:tcPr>
            <w:tcW w:w="67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项目完成</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11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时效指标</w:t>
            </w:r>
          </w:p>
        </w:tc>
        <w:tc>
          <w:tcPr>
            <w:tcW w:w="25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完成时间</w:t>
            </w:r>
          </w:p>
        </w:tc>
        <w:tc>
          <w:tcPr>
            <w:tcW w:w="22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2020年底</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已完成</w:t>
            </w:r>
          </w:p>
        </w:tc>
      </w:tr>
      <w:tr>
        <w:tblPrEx>
          <w:tblCellMar>
            <w:top w:w="0" w:type="dxa"/>
            <w:left w:w="0" w:type="dxa"/>
            <w:bottom w:w="0" w:type="dxa"/>
            <w:right w:w="0" w:type="dxa"/>
          </w:tblCellMar>
        </w:tblPrEx>
        <w:trPr>
          <w:trHeight w:val="510" w:hRule="atLeast"/>
          <w:jc w:val="center"/>
        </w:trPr>
        <w:tc>
          <w:tcPr>
            <w:tcW w:w="67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效益指标</w:t>
            </w:r>
          </w:p>
        </w:tc>
        <w:tc>
          <w:tcPr>
            <w:tcW w:w="11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社会效益</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25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业务档案电子化管理</w:t>
            </w:r>
          </w:p>
        </w:tc>
        <w:tc>
          <w:tcPr>
            <w:tcW w:w="22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加强业务档案管理、不出现业务档案丢失、查询、提升经办服务能力</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强化了业务档案管理，有效提升了经办服务</w:t>
            </w:r>
          </w:p>
          <w:p>
            <w:pPr>
              <w:widowControl/>
              <w:jc w:val="left"/>
              <w:textAlignment w:val="center"/>
              <w:rPr>
                <w:rFonts w:ascii="宋体" w:cs="宋体"/>
                <w:color w:val="000000"/>
                <w:sz w:val="22"/>
                <w:szCs w:val="22"/>
              </w:rPr>
            </w:pPr>
            <w:r>
              <w:rPr>
                <w:rFonts w:hint="eastAsia" w:ascii="宋体" w:hAnsi="宋体" w:cs="宋体"/>
                <w:color w:val="000000"/>
                <w:kern w:val="0"/>
                <w:sz w:val="22"/>
                <w:szCs w:val="22"/>
              </w:rPr>
              <w:t>能力</w:t>
            </w:r>
          </w:p>
        </w:tc>
      </w:tr>
      <w:tr>
        <w:tblPrEx>
          <w:tblCellMar>
            <w:top w:w="0" w:type="dxa"/>
            <w:left w:w="0" w:type="dxa"/>
            <w:bottom w:w="0" w:type="dxa"/>
            <w:right w:w="0" w:type="dxa"/>
          </w:tblCellMar>
        </w:tblPrEx>
        <w:trPr>
          <w:trHeight w:val="510" w:hRule="atLeast"/>
          <w:jc w:val="center"/>
        </w:trPr>
        <w:tc>
          <w:tcPr>
            <w:tcW w:w="67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效益指标</w:t>
            </w:r>
          </w:p>
        </w:tc>
        <w:tc>
          <w:tcPr>
            <w:tcW w:w="11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可持续影响指标</w:t>
            </w:r>
          </w:p>
        </w:tc>
        <w:tc>
          <w:tcPr>
            <w:tcW w:w="25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业务档案的规范化管理</w:t>
            </w:r>
          </w:p>
        </w:tc>
        <w:tc>
          <w:tcPr>
            <w:tcW w:w="22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方便管理，不出现档案丢失</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未出现档案丢失</w:t>
            </w:r>
          </w:p>
        </w:tc>
      </w:tr>
      <w:tr>
        <w:tblPrEx>
          <w:tblCellMar>
            <w:top w:w="0" w:type="dxa"/>
            <w:left w:w="0" w:type="dxa"/>
            <w:bottom w:w="0" w:type="dxa"/>
            <w:right w:w="0" w:type="dxa"/>
          </w:tblCellMar>
        </w:tblPrEx>
        <w:trPr>
          <w:trHeight w:val="510" w:hRule="atLeast"/>
          <w:jc w:val="center"/>
        </w:trPr>
        <w:tc>
          <w:tcPr>
            <w:tcW w:w="673"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1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满意度指标</w:t>
            </w:r>
          </w:p>
        </w:tc>
        <w:tc>
          <w:tcPr>
            <w:tcW w:w="11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满意度</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25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cs="宋体"/>
                <w:color w:val="000000"/>
                <w:sz w:val="22"/>
                <w:szCs w:val="22"/>
              </w:rPr>
              <w:t>指标1：参保人员满意度</w:t>
            </w:r>
          </w:p>
          <w:p>
            <w:pPr>
              <w:widowControl/>
              <w:jc w:val="left"/>
              <w:textAlignment w:val="center"/>
              <w:rPr>
                <w:rFonts w:ascii="宋体" w:cs="宋体"/>
                <w:color w:val="000000"/>
                <w:sz w:val="22"/>
                <w:szCs w:val="22"/>
              </w:rPr>
            </w:pPr>
            <w:r>
              <w:rPr>
                <w:rFonts w:hint="eastAsia" w:ascii="宋体" w:cs="宋体"/>
                <w:color w:val="000000"/>
                <w:sz w:val="22"/>
                <w:szCs w:val="22"/>
              </w:rPr>
              <w:t>指标2：医保经办人员满意度</w:t>
            </w:r>
          </w:p>
        </w:tc>
        <w:tc>
          <w:tcPr>
            <w:tcW w:w="22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≥99%</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99%</w:t>
            </w:r>
          </w:p>
        </w:tc>
      </w:tr>
    </w:tbl>
    <w:p>
      <w:pPr>
        <w:pStyle w:val="2"/>
      </w:pPr>
      <w:r>
        <w:br w:type="page"/>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24"/>
        <w:gridCol w:w="1091"/>
        <w:gridCol w:w="1155"/>
        <w:gridCol w:w="2370"/>
        <w:gridCol w:w="2385"/>
        <w:gridCol w:w="2235"/>
      </w:tblGrid>
      <w:tr>
        <w:tblPrEx>
          <w:tblCellMar>
            <w:top w:w="0" w:type="dxa"/>
            <w:left w:w="0" w:type="dxa"/>
            <w:bottom w:w="0" w:type="dxa"/>
            <w:right w:w="0" w:type="dxa"/>
          </w:tblCellMar>
        </w:tblPrEx>
        <w:trPr>
          <w:trHeight w:val="800" w:hRule="atLeast"/>
          <w:jc w:val="center"/>
        </w:trPr>
        <w:tc>
          <w:tcPr>
            <w:tcW w:w="9960" w:type="dxa"/>
            <w:gridSpan w:val="6"/>
            <w:tcBorders>
              <w:bottom w:val="single" w:color="auto" w:sz="4" w:space="0"/>
            </w:tcBorders>
            <w:noWrap/>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Cs/>
                <w:color w:val="000000"/>
                <w:kern w:val="0"/>
                <w:sz w:val="36"/>
                <w:szCs w:val="36"/>
              </w:rPr>
              <w:t>项目绩效目标完成情况表</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567" w:hRule="atLeast"/>
          <w:jc w:val="center"/>
        </w:trPr>
        <w:tc>
          <w:tcPr>
            <w:tcW w:w="2970"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项目名称</w:t>
            </w:r>
          </w:p>
        </w:tc>
        <w:tc>
          <w:tcPr>
            <w:tcW w:w="6990"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帮村扶贫工作经费</w:t>
            </w:r>
          </w:p>
        </w:tc>
      </w:tr>
      <w:tr>
        <w:tblPrEx>
          <w:tblCellMar>
            <w:top w:w="0" w:type="dxa"/>
            <w:left w:w="0" w:type="dxa"/>
            <w:bottom w:w="0" w:type="dxa"/>
            <w:right w:w="0" w:type="dxa"/>
          </w:tblCellMar>
        </w:tblPrEx>
        <w:trPr>
          <w:trHeight w:val="567" w:hRule="atLeast"/>
          <w:jc w:val="center"/>
        </w:trPr>
        <w:tc>
          <w:tcPr>
            <w:tcW w:w="2970" w:type="dxa"/>
            <w:gridSpan w:val="3"/>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预算单位</w:t>
            </w:r>
          </w:p>
        </w:tc>
        <w:tc>
          <w:tcPr>
            <w:tcW w:w="6990" w:type="dxa"/>
            <w:gridSpan w:val="3"/>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广元市医疗保险管理局</w:t>
            </w:r>
          </w:p>
        </w:tc>
      </w:tr>
      <w:tr>
        <w:tblPrEx>
          <w:tblCellMar>
            <w:top w:w="0" w:type="dxa"/>
            <w:left w:w="0" w:type="dxa"/>
            <w:bottom w:w="0" w:type="dxa"/>
            <w:right w:w="0" w:type="dxa"/>
          </w:tblCellMar>
        </w:tblPrEx>
        <w:trPr>
          <w:trHeight w:val="567"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预算执行情况</w:t>
            </w:r>
            <w:r>
              <w:rPr>
                <w:rFonts w:ascii="宋体" w:hAnsi="宋体" w:cs="宋体"/>
                <w:color w:val="000000"/>
                <w:kern w:val="0"/>
                <w:sz w:val="22"/>
                <w:szCs w:val="22"/>
              </w:rPr>
              <w:t>(</w:t>
            </w:r>
            <w:r>
              <w:rPr>
                <w:rFonts w:hint="eastAsia" w:ascii="宋体" w:hAnsi="宋体" w:cs="宋体"/>
                <w:color w:val="000000"/>
                <w:kern w:val="0"/>
                <w:sz w:val="22"/>
                <w:szCs w:val="22"/>
              </w:rPr>
              <w:t>万元</w:t>
            </w:r>
            <w:r>
              <w:rPr>
                <w:rFonts w:ascii="宋体" w:hAnsi="宋体" w:cs="宋体"/>
                <w:color w:val="000000"/>
                <w:kern w:val="0"/>
                <w:sz w:val="22"/>
                <w:szCs w:val="22"/>
              </w:rPr>
              <w:t>)</w:t>
            </w:r>
          </w:p>
        </w:tc>
        <w:tc>
          <w:tcPr>
            <w:tcW w:w="22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预算数</w:t>
            </w:r>
            <w:r>
              <w:rPr>
                <w:rFonts w:ascii="宋体" w:hAnsi="宋体" w:cs="宋体"/>
                <w:color w:val="000000"/>
                <w:kern w:val="0"/>
                <w:sz w:val="22"/>
                <w:szCs w:val="22"/>
              </w:rPr>
              <w:t>:</w:t>
            </w:r>
          </w:p>
        </w:tc>
        <w:tc>
          <w:tcPr>
            <w:tcW w:w="23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3.72</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执行数</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3.72</w:t>
            </w:r>
          </w:p>
        </w:tc>
      </w:tr>
      <w:tr>
        <w:tblPrEx>
          <w:tblCellMar>
            <w:top w:w="0" w:type="dxa"/>
            <w:left w:w="0" w:type="dxa"/>
            <w:bottom w:w="0" w:type="dxa"/>
            <w:right w:w="0" w:type="dxa"/>
          </w:tblCellMar>
        </w:tblPrEx>
        <w:trPr>
          <w:trHeight w:val="567"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22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其中</w:t>
            </w:r>
            <w:r>
              <w:rPr>
                <w:rFonts w:ascii="宋体" w:cs="宋体"/>
                <w:color w:val="000000"/>
                <w:kern w:val="0"/>
                <w:sz w:val="22"/>
                <w:szCs w:val="22"/>
              </w:rPr>
              <w:t>-</w:t>
            </w:r>
            <w:r>
              <w:rPr>
                <w:rFonts w:hint="eastAsia" w:ascii="宋体" w:hAnsi="宋体" w:cs="宋体"/>
                <w:color w:val="000000"/>
                <w:kern w:val="0"/>
                <w:sz w:val="22"/>
                <w:szCs w:val="22"/>
              </w:rPr>
              <w:t>财政拨款</w:t>
            </w:r>
            <w:r>
              <w:rPr>
                <w:rFonts w:ascii="宋体" w:hAnsi="宋体" w:cs="宋体"/>
                <w:color w:val="000000"/>
                <w:kern w:val="0"/>
                <w:sz w:val="22"/>
                <w:szCs w:val="22"/>
              </w:rPr>
              <w:t>:</w:t>
            </w:r>
          </w:p>
        </w:tc>
        <w:tc>
          <w:tcPr>
            <w:tcW w:w="23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3.72</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其中</w:t>
            </w:r>
            <w:r>
              <w:rPr>
                <w:rFonts w:ascii="宋体" w:cs="宋体"/>
                <w:color w:val="000000"/>
                <w:kern w:val="0"/>
                <w:sz w:val="22"/>
                <w:szCs w:val="22"/>
              </w:rPr>
              <w:t>-</w:t>
            </w:r>
            <w:r>
              <w:rPr>
                <w:rFonts w:hint="eastAsia" w:ascii="宋体" w:hAnsi="宋体" w:cs="宋体"/>
                <w:color w:val="000000"/>
                <w:kern w:val="0"/>
                <w:sz w:val="22"/>
                <w:szCs w:val="22"/>
              </w:rPr>
              <w:t>财政拨款</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3.72</w:t>
            </w:r>
          </w:p>
        </w:tc>
      </w:tr>
      <w:tr>
        <w:tblPrEx>
          <w:tblCellMar>
            <w:top w:w="0" w:type="dxa"/>
            <w:left w:w="0" w:type="dxa"/>
            <w:bottom w:w="0" w:type="dxa"/>
            <w:right w:w="0" w:type="dxa"/>
          </w:tblCellMar>
        </w:tblPrEx>
        <w:trPr>
          <w:trHeight w:val="567"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22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其它资金</w:t>
            </w:r>
            <w:r>
              <w:rPr>
                <w:rFonts w:ascii="宋体" w:hAnsi="宋体" w:cs="宋体"/>
                <w:color w:val="000000"/>
                <w:kern w:val="0"/>
                <w:sz w:val="22"/>
                <w:szCs w:val="22"/>
              </w:rPr>
              <w:t>:</w:t>
            </w:r>
          </w:p>
        </w:tc>
        <w:tc>
          <w:tcPr>
            <w:tcW w:w="23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 xml:space="preserve">0 </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其它资金</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年度目标完成情况</w:t>
            </w:r>
          </w:p>
        </w:tc>
        <w:tc>
          <w:tcPr>
            <w:tcW w:w="461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预期目标</w:t>
            </w:r>
          </w:p>
        </w:tc>
        <w:tc>
          <w:tcPr>
            <w:tcW w:w="4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实际完成目标</w:t>
            </w:r>
          </w:p>
        </w:tc>
      </w:tr>
      <w:tr>
        <w:tblPrEx>
          <w:tblCellMar>
            <w:top w:w="0" w:type="dxa"/>
            <w:left w:w="0" w:type="dxa"/>
            <w:bottom w:w="0" w:type="dxa"/>
            <w:right w:w="0" w:type="dxa"/>
          </w:tblCellMar>
        </w:tblPrEx>
        <w:trPr>
          <w:trHeight w:val="925" w:hRule="atLeast"/>
          <w:jc w:val="center"/>
        </w:trPr>
        <w:tc>
          <w:tcPr>
            <w:tcW w:w="724"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4616" w:type="dxa"/>
            <w:gridSpan w:val="3"/>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顺利完成脱贫攻坚工作</w:t>
            </w:r>
          </w:p>
        </w:tc>
        <w:tc>
          <w:tcPr>
            <w:tcW w:w="4620"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ind w:firstLine="440" w:firstLineChars="200"/>
              <w:jc w:val="left"/>
              <w:textAlignment w:val="center"/>
              <w:rPr>
                <w:rFonts w:ascii="宋体" w:cs="宋体"/>
                <w:color w:val="000000"/>
                <w:sz w:val="22"/>
                <w:szCs w:val="22"/>
              </w:rPr>
            </w:pPr>
            <w:r>
              <w:rPr>
                <w:rFonts w:hint="eastAsia" w:ascii="宋体" w:cs="宋体"/>
                <w:color w:val="000000"/>
                <w:sz w:val="22"/>
                <w:szCs w:val="22"/>
              </w:rPr>
              <w:t>保障了帮村扶贫工作人员的出行和工作开支，有效的推进脱贫了工作。</w:t>
            </w:r>
          </w:p>
        </w:tc>
      </w:tr>
      <w:tr>
        <w:tblPrEx>
          <w:tblCellMar>
            <w:top w:w="0" w:type="dxa"/>
            <w:left w:w="0" w:type="dxa"/>
            <w:bottom w:w="0" w:type="dxa"/>
            <w:right w:w="0" w:type="dxa"/>
          </w:tblCellMar>
        </w:tblPrEx>
        <w:trPr>
          <w:trHeight w:val="771" w:hRule="atLeast"/>
          <w:jc w:val="center"/>
        </w:trPr>
        <w:tc>
          <w:tcPr>
            <w:tcW w:w="72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sz w:val="22"/>
                <w:szCs w:val="22"/>
              </w:rPr>
              <w:t>绩效指标完成情况</w:t>
            </w:r>
          </w:p>
        </w:tc>
        <w:tc>
          <w:tcPr>
            <w:tcW w:w="109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一级指标</w:t>
            </w:r>
          </w:p>
        </w:tc>
        <w:tc>
          <w:tcPr>
            <w:tcW w:w="11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二级指标</w:t>
            </w:r>
          </w:p>
        </w:tc>
        <w:tc>
          <w:tcPr>
            <w:tcW w:w="23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三级指标</w:t>
            </w:r>
          </w:p>
        </w:tc>
        <w:tc>
          <w:tcPr>
            <w:tcW w:w="23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预期指标值</w:t>
            </w:r>
            <w:r>
              <w:rPr>
                <w:rFonts w:ascii="宋体" w:hAnsi="宋体" w:cs="宋体"/>
                <w:color w:val="000000"/>
                <w:kern w:val="0"/>
                <w:sz w:val="22"/>
                <w:szCs w:val="22"/>
              </w:rPr>
              <w:t>(</w:t>
            </w:r>
            <w:r>
              <w:rPr>
                <w:rFonts w:hint="eastAsia" w:ascii="宋体" w:hAnsi="宋体" w:cs="宋体"/>
                <w:color w:val="000000"/>
                <w:kern w:val="0"/>
                <w:sz w:val="22"/>
                <w:szCs w:val="22"/>
              </w:rPr>
              <w:t>包含数字及文字描述</w:t>
            </w:r>
            <w:r>
              <w:rPr>
                <w:rFonts w:ascii="宋体" w:hAnsi="宋体" w:cs="宋体"/>
                <w:color w:val="000000"/>
                <w:kern w:val="0"/>
                <w:sz w:val="22"/>
                <w:szCs w:val="22"/>
              </w:rPr>
              <w:t>)</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实际完成指标值</w:t>
            </w:r>
            <w:r>
              <w:rPr>
                <w:rFonts w:ascii="宋体" w:hAnsi="宋体" w:cs="宋体"/>
                <w:color w:val="000000"/>
                <w:kern w:val="0"/>
                <w:sz w:val="22"/>
                <w:szCs w:val="22"/>
              </w:rPr>
              <w:t>(</w:t>
            </w:r>
            <w:r>
              <w:rPr>
                <w:rFonts w:hint="eastAsia" w:ascii="宋体" w:hAnsi="宋体" w:cs="宋体"/>
                <w:color w:val="000000"/>
                <w:kern w:val="0"/>
                <w:sz w:val="22"/>
                <w:szCs w:val="22"/>
              </w:rPr>
              <w:t>包含数字及文字描述</w:t>
            </w:r>
            <w:r>
              <w:rPr>
                <w:rFonts w:ascii="宋体" w:hAnsi="宋体" w:cs="宋体"/>
                <w:color w:val="000000"/>
                <w:kern w:val="0"/>
                <w:sz w:val="22"/>
                <w:szCs w:val="22"/>
              </w:rPr>
              <w:t>)</w:t>
            </w:r>
          </w:p>
        </w:tc>
      </w:tr>
      <w:tr>
        <w:tblPrEx>
          <w:tblCellMar>
            <w:top w:w="0" w:type="dxa"/>
            <w:left w:w="0" w:type="dxa"/>
            <w:bottom w:w="0" w:type="dxa"/>
            <w:right w:w="0" w:type="dxa"/>
          </w:tblCellMar>
        </w:tblPrEx>
        <w:trPr>
          <w:trHeight w:val="1023" w:hRule="atLeast"/>
          <w:jc w:val="center"/>
        </w:trPr>
        <w:tc>
          <w:tcPr>
            <w:tcW w:w="7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09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项目完成指标</w:t>
            </w:r>
          </w:p>
        </w:tc>
        <w:tc>
          <w:tcPr>
            <w:tcW w:w="11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数量指标</w:t>
            </w:r>
          </w:p>
        </w:tc>
        <w:tc>
          <w:tcPr>
            <w:tcW w:w="23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指标1：贫困村</w:t>
            </w:r>
          </w:p>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指标2：非贫困村</w:t>
            </w:r>
          </w:p>
        </w:tc>
        <w:tc>
          <w:tcPr>
            <w:tcW w:w="23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贫困村1个，非贫困村1个</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已完成</w:t>
            </w:r>
          </w:p>
        </w:tc>
      </w:tr>
      <w:tr>
        <w:tblPrEx>
          <w:tblCellMar>
            <w:top w:w="0" w:type="dxa"/>
            <w:left w:w="0" w:type="dxa"/>
            <w:bottom w:w="0" w:type="dxa"/>
            <w:right w:w="0" w:type="dxa"/>
          </w:tblCellMar>
        </w:tblPrEx>
        <w:trPr>
          <w:trHeight w:val="924" w:hRule="atLeast"/>
          <w:jc w:val="center"/>
        </w:trPr>
        <w:tc>
          <w:tcPr>
            <w:tcW w:w="7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09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项目完成指标</w:t>
            </w:r>
          </w:p>
        </w:tc>
        <w:tc>
          <w:tcPr>
            <w:tcW w:w="11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时效指标</w:t>
            </w:r>
          </w:p>
        </w:tc>
        <w:tc>
          <w:tcPr>
            <w:tcW w:w="23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完成时间</w:t>
            </w:r>
          </w:p>
        </w:tc>
        <w:tc>
          <w:tcPr>
            <w:tcW w:w="23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2020年底之前</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已完成</w:t>
            </w:r>
          </w:p>
        </w:tc>
      </w:tr>
      <w:tr>
        <w:tblPrEx>
          <w:tblCellMar>
            <w:top w:w="0" w:type="dxa"/>
            <w:left w:w="0" w:type="dxa"/>
            <w:bottom w:w="0" w:type="dxa"/>
            <w:right w:w="0" w:type="dxa"/>
          </w:tblCellMar>
        </w:tblPrEx>
        <w:trPr>
          <w:trHeight w:val="757" w:hRule="atLeast"/>
          <w:jc w:val="center"/>
        </w:trPr>
        <w:tc>
          <w:tcPr>
            <w:tcW w:w="72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09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项目完成指标</w:t>
            </w:r>
          </w:p>
        </w:tc>
        <w:tc>
          <w:tcPr>
            <w:tcW w:w="11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社会效益</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23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促进帮村扶贫工作开展</w:t>
            </w:r>
          </w:p>
        </w:tc>
        <w:tc>
          <w:tcPr>
            <w:tcW w:w="23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顺利完成脱贫攻坚工作</w:t>
            </w:r>
          </w:p>
        </w:tc>
        <w:tc>
          <w:tcPr>
            <w:tcW w:w="22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顺利完成脱贫攻坚工作</w:t>
            </w:r>
          </w:p>
        </w:tc>
      </w:tr>
    </w:tbl>
    <w:p>
      <w:r>
        <w:br w:type="page"/>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813"/>
        <w:gridCol w:w="1002"/>
        <w:gridCol w:w="1170"/>
        <w:gridCol w:w="2355"/>
        <w:gridCol w:w="2385"/>
        <w:gridCol w:w="2235"/>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36"/>
                <w:szCs w:val="36"/>
              </w:rPr>
            </w:pPr>
            <w:r>
              <w:br w:type="page"/>
            </w:r>
            <w:r>
              <w:br w:type="page"/>
            </w:r>
            <w:r>
              <w:rPr>
                <w:rFonts w:hint="eastAsia" w:ascii="宋体" w:hAnsi="宋体" w:cs="宋体"/>
                <w:bCs/>
                <w:color w:val="000000"/>
                <w:kern w:val="0"/>
                <w:sz w:val="36"/>
                <w:szCs w:val="36"/>
              </w:rPr>
              <w:t>项目绩效目标完成情况表</w:t>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567" w:hRule="atLeast"/>
          <w:jc w:val="center"/>
        </w:trPr>
        <w:tc>
          <w:tcPr>
            <w:tcW w:w="298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项目名称</w:t>
            </w:r>
          </w:p>
        </w:tc>
        <w:tc>
          <w:tcPr>
            <w:tcW w:w="69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办公会议设备采购</w:t>
            </w:r>
          </w:p>
        </w:tc>
      </w:tr>
      <w:tr>
        <w:tblPrEx>
          <w:tblCellMar>
            <w:top w:w="0" w:type="dxa"/>
            <w:left w:w="0" w:type="dxa"/>
            <w:bottom w:w="0" w:type="dxa"/>
            <w:right w:w="0" w:type="dxa"/>
          </w:tblCellMar>
        </w:tblPrEx>
        <w:trPr>
          <w:trHeight w:val="567" w:hRule="atLeast"/>
          <w:jc w:val="center"/>
        </w:trPr>
        <w:tc>
          <w:tcPr>
            <w:tcW w:w="298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预算单位</w:t>
            </w:r>
          </w:p>
        </w:tc>
        <w:tc>
          <w:tcPr>
            <w:tcW w:w="697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广元市医疗保障局</w:t>
            </w:r>
          </w:p>
        </w:tc>
      </w:tr>
      <w:tr>
        <w:tblPrEx>
          <w:tblCellMar>
            <w:top w:w="0" w:type="dxa"/>
            <w:left w:w="0" w:type="dxa"/>
            <w:bottom w:w="0" w:type="dxa"/>
            <w:right w:w="0" w:type="dxa"/>
          </w:tblCellMar>
        </w:tblPrEx>
        <w:trPr>
          <w:trHeight w:val="567" w:hRule="atLeast"/>
          <w:jc w:val="center"/>
        </w:trPr>
        <w:tc>
          <w:tcPr>
            <w:tcW w:w="81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预算执行情况</w:t>
            </w:r>
            <w:r>
              <w:rPr>
                <w:rFonts w:ascii="宋体" w:hAnsi="宋体" w:cs="宋体"/>
                <w:color w:val="000000"/>
                <w:kern w:val="0"/>
                <w:sz w:val="22"/>
                <w:szCs w:val="22"/>
              </w:rPr>
              <w:t>(</w:t>
            </w:r>
            <w:r>
              <w:rPr>
                <w:rFonts w:hint="eastAsia" w:ascii="宋体" w:hAnsi="宋体" w:cs="宋体"/>
                <w:color w:val="000000"/>
                <w:kern w:val="0"/>
                <w:sz w:val="22"/>
                <w:szCs w:val="22"/>
              </w:rPr>
              <w:t>万元</w:t>
            </w:r>
            <w:r>
              <w:rPr>
                <w:rFonts w:ascii="宋体" w:hAnsi="宋体" w:cs="宋体"/>
                <w:color w:val="000000"/>
                <w:kern w:val="0"/>
                <w:sz w:val="22"/>
                <w:szCs w:val="22"/>
              </w:rPr>
              <w:t>)</w:t>
            </w:r>
          </w:p>
        </w:tc>
        <w:tc>
          <w:tcPr>
            <w:tcW w:w="21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预算数</w:t>
            </w:r>
            <w:r>
              <w:rPr>
                <w:rFonts w:ascii="宋体" w:hAnsi="宋体" w:cs="宋体"/>
                <w:color w:val="000000"/>
                <w:kern w:val="0"/>
                <w:sz w:val="22"/>
                <w:szCs w:val="22"/>
              </w:rPr>
              <w:t>:</w:t>
            </w:r>
          </w:p>
        </w:tc>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4.8</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执行数</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4.8</w:t>
            </w:r>
          </w:p>
        </w:tc>
      </w:tr>
      <w:tr>
        <w:tblPrEx>
          <w:tblCellMar>
            <w:top w:w="0" w:type="dxa"/>
            <w:left w:w="0" w:type="dxa"/>
            <w:bottom w:w="0" w:type="dxa"/>
            <w:right w:w="0" w:type="dxa"/>
          </w:tblCellMar>
        </w:tblPrEx>
        <w:trPr>
          <w:trHeight w:val="567" w:hRule="atLeast"/>
          <w:jc w:val="center"/>
        </w:trPr>
        <w:tc>
          <w:tcPr>
            <w:tcW w:w="81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21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其中</w:t>
            </w:r>
            <w:r>
              <w:rPr>
                <w:rFonts w:ascii="宋体" w:cs="宋体"/>
                <w:color w:val="000000"/>
                <w:kern w:val="0"/>
                <w:sz w:val="22"/>
                <w:szCs w:val="22"/>
              </w:rPr>
              <w:t>-</w:t>
            </w:r>
            <w:r>
              <w:rPr>
                <w:rFonts w:hint="eastAsia" w:ascii="宋体" w:hAnsi="宋体" w:cs="宋体"/>
                <w:color w:val="000000"/>
                <w:kern w:val="0"/>
                <w:sz w:val="22"/>
                <w:szCs w:val="22"/>
              </w:rPr>
              <w:t>财政拨款</w:t>
            </w:r>
            <w:r>
              <w:rPr>
                <w:rFonts w:ascii="宋体" w:hAnsi="宋体" w:cs="宋体"/>
                <w:color w:val="000000"/>
                <w:kern w:val="0"/>
                <w:sz w:val="22"/>
                <w:szCs w:val="22"/>
              </w:rPr>
              <w:t>:</w:t>
            </w:r>
          </w:p>
        </w:tc>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4.8</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其中</w:t>
            </w:r>
            <w:r>
              <w:rPr>
                <w:rFonts w:ascii="宋体" w:cs="宋体"/>
                <w:color w:val="000000"/>
                <w:kern w:val="0"/>
                <w:sz w:val="22"/>
                <w:szCs w:val="22"/>
              </w:rPr>
              <w:t>-</w:t>
            </w:r>
            <w:r>
              <w:rPr>
                <w:rFonts w:hint="eastAsia" w:ascii="宋体" w:hAnsi="宋体" w:cs="宋体"/>
                <w:color w:val="000000"/>
                <w:kern w:val="0"/>
                <w:sz w:val="22"/>
                <w:szCs w:val="22"/>
              </w:rPr>
              <w:t>财政拨款</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4.8</w:t>
            </w:r>
          </w:p>
        </w:tc>
      </w:tr>
      <w:tr>
        <w:tblPrEx>
          <w:tblCellMar>
            <w:top w:w="0" w:type="dxa"/>
            <w:left w:w="0" w:type="dxa"/>
            <w:bottom w:w="0" w:type="dxa"/>
            <w:right w:w="0" w:type="dxa"/>
          </w:tblCellMar>
        </w:tblPrEx>
        <w:trPr>
          <w:trHeight w:val="567" w:hRule="atLeast"/>
          <w:jc w:val="center"/>
        </w:trPr>
        <w:tc>
          <w:tcPr>
            <w:tcW w:w="81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21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其它资金</w:t>
            </w:r>
            <w:r>
              <w:rPr>
                <w:rFonts w:ascii="宋体" w:hAnsi="宋体" w:cs="宋体"/>
                <w:color w:val="000000"/>
                <w:kern w:val="0"/>
                <w:sz w:val="22"/>
                <w:szCs w:val="22"/>
              </w:rPr>
              <w:t>:</w:t>
            </w:r>
          </w:p>
        </w:tc>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0</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其它资金</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r>
      <w:tr>
        <w:tblPrEx>
          <w:tblCellMar>
            <w:top w:w="0" w:type="dxa"/>
            <w:left w:w="0" w:type="dxa"/>
            <w:bottom w:w="0" w:type="dxa"/>
            <w:right w:w="0" w:type="dxa"/>
          </w:tblCellMar>
        </w:tblPrEx>
        <w:trPr>
          <w:trHeight w:val="567" w:hRule="atLeast"/>
          <w:jc w:val="center"/>
        </w:trPr>
        <w:tc>
          <w:tcPr>
            <w:tcW w:w="81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年度目标完成情况</w:t>
            </w:r>
          </w:p>
        </w:tc>
        <w:tc>
          <w:tcPr>
            <w:tcW w:w="452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预期目标</w:t>
            </w:r>
          </w:p>
        </w:tc>
        <w:tc>
          <w:tcPr>
            <w:tcW w:w="4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实际完成目标</w:t>
            </w:r>
          </w:p>
        </w:tc>
      </w:tr>
      <w:tr>
        <w:tblPrEx>
          <w:tblCellMar>
            <w:top w:w="0" w:type="dxa"/>
            <w:left w:w="0" w:type="dxa"/>
            <w:bottom w:w="0" w:type="dxa"/>
            <w:right w:w="0" w:type="dxa"/>
          </w:tblCellMar>
        </w:tblPrEx>
        <w:trPr>
          <w:trHeight w:val="567" w:hRule="atLeast"/>
          <w:jc w:val="center"/>
        </w:trPr>
        <w:tc>
          <w:tcPr>
            <w:tcW w:w="81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2"/>
                <w:szCs w:val="22"/>
              </w:rPr>
            </w:pPr>
          </w:p>
        </w:tc>
        <w:tc>
          <w:tcPr>
            <w:tcW w:w="452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cs="宋体"/>
                <w:color w:val="000000"/>
                <w:sz w:val="22"/>
                <w:szCs w:val="22"/>
              </w:rPr>
              <w:t xml:space="preserve"> 保障科室工作正常推进，医保经办工作的高效开展。</w:t>
            </w:r>
          </w:p>
        </w:tc>
        <w:tc>
          <w:tcPr>
            <w:tcW w:w="4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cs="宋体"/>
                <w:color w:val="000000"/>
                <w:sz w:val="22"/>
                <w:szCs w:val="22"/>
              </w:rPr>
              <w:t>保障了单位的基本办公条件，提升医保工作效率。</w:t>
            </w:r>
          </w:p>
        </w:tc>
      </w:tr>
      <w:tr>
        <w:tblPrEx>
          <w:tblCellMar>
            <w:top w:w="0" w:type="dxa"/>
            <w:left w:w="0" w:type="dxa"/>
            <w:bottom w:w="0" w:type="dxa"/>
            <w:right w:w="0" w:type="dxa"/>
          </w:tblCellMar>
        </w:tblPrEx>
        <w:trPr>
          <w:trHeight w:val="567" w:hRule="atLeast"/>
          <w:jc w:val="center"/>
        </w:trPr>
        <w:tc>
          <w:tcPr>
            <w:tcW w:w="81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sz w:val="22"/>
                <w:szCs w:val="22"/>
              </w:rPr>
              <w:t>绩效指标完成情况</w:t>
            </w:r>
          </w:p>
        </w:tc>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一级指标</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二级指标</w:t>
            </w:r>
          </w:p>
        </w:tc>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三级指标</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预期指标值</w:t>
            </w:r>
            <w:r>
              <w:rPr>
                <w:rFonts w:ascii="宋体" w:hAnsi="宋体" w:cs="宋体"/>
                <w:color w:val="000000"/>
                <w:kern w:val="0"/>
                <w:sz w:val="22"/>
                <w:szCs w:val="22"/>
              </w:rPr>
              <w:t>(</w:t>
            </w:r>
            <w:r>
              <w:rPr>
                <w:rFonts w:hint="eastAsia" w:ascii="宋体" w:hAnsi="宋体" w:cs="宋体"/>
                <w:color w:val="000000"/>
                <w:kern w:val="0"/>
                <w:sz w:val="22"/>
                <w:szCs w:val="22"/>
              </w:rPr>
              <w:t>包含数字及文字描述</w:t>
            </w:r>
            <w:r>
              <w:rPr>
                <w:rFonts w:ascii="宋体" w:hAnsi="宋体" w:cs="宋体"/>
                <w:color w:val="000000"/>
                <w:kern w:val="0"/>
                <w:sz w:val="22"/>
                <w:szCs w:val="22"/>
              </w:rPr>
              <w:t>)</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实际完成指标值</w:t>
            </w:r>
            <w:r>
              <w:rPr>
                <w:rFonts w:ascii="宋体" w:hAnsi="宋体" w:cs="宋体"/>
                <w:color w:val="000000"/>
                <w:kern w:val="0"/>
                <w:sz w:val="22"/>
                <w:szCs w:val="22"/>
              </w:rPr>
              <w:t>(</w:t>
            </w:r>
            <w:r>
              <w:rPr>
                <w:rFonts w:hint="eastAsia" w:ascii="宋体" w:hAnsi="宋体" w:cs="宋体"/>
                <w:color w:val="000000"/>
                <w:kern w:val="0"/>
                <w:sz w:val="22"/>
                <w:szCs w:val="22"/>
              </w:rPr>
              <w:t>包含数字及文字描述</w:t>
            </w:r>
            <w:r>
              <w:rPr>
                <w:rFonts w:ascii="宋体" w:hAnsi="宋体" w:cs="宋体"/>
                <w:color w:val="000000"/>
                <w:kern w:val="0"/>
                <w:sz w:val="22"/>
                <w:szCs w:val="22"/>
              </w:rPr>
              <w:t>)</w:t>
            </w:r>
          </w:p>
        </w:tc>
      </w:tr>
      <w:tr>
        <w:tblPrEx>
          <w:tblCellMar>
            <w:top w:w="0" w:type="dxa"/>
            <w:left w:w="0" w:type="dxa"/>
            <w:bottom w:w="0" w:type="dxa"/>
            <w:right w:w="0" w:type="dxa"/>
          </w:tblCellMar>
        </w:tblPrEx>
        <w:trPr>
          <w:trHeight w:val="812" w:hRule="atLeast"/>
          <w:jc w:val="center"/>
        </w:trPr>
        <w:tc>
          <w:tcPr>
            <w:tcW w:w="81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项目完成指标</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数量指标</w:t>
            </w:r>
          </w:p>
        </w:tc>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2"/>
                <w:szCs w:val="22"/>
              </w:rPr>
            </w:pPr>
            <w:r>
              <w:rPr>
                <w:rFonts w:hint="eastAsia" w:ascii="宋体" w:cs="宋体"/>
                <w:color w:val="000000"/>
                <w:sz w:val="22"/>
                <w:szCs w:val="22"/>
              </w:rPr>
              <w:t>指标1：办公室沙发</w:t>
            </w:r>
          </w:p>
          <w:p>
            <w:pPr>
              <w:widowControl/>
              <w:jc w:val="left"/>
              <w:textAlignment w:val="center"/>
              <w:rPr>
                <w:rFonts w:ascii="宋体" w:cs="宋体"/>
                <w:color w:val="000000"/>
                <w:sz w:val="22"/>
                <w:szCs w:val="22"/>
              </w:rPr>
            </w:pPr>
            <w:r>
              <w:rPr>
                <w:rFonts w:hint="eastAsia" w:ascii="宋体" w:cs="宋体"/>
                <w:color w:val="000000"/>
                <w:sz w:val="22"/>
                <w:szCs w:val="22"/>
              </w:rPr>
              <w:t>指标2：复印机</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购置办公沙发10套，复印机2台</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购置办公沙发10套，复印机2台</w:t>
            </w:r>
          </w:p>
        </w:tc>
      </w:tr>
      <w:tr>
        <w:tblPrEx>
          <w:tblCellMar>
            <w:top w:w="0" w:type="dxa"/>
            <w:left w:w="0" w:type="dxa"/>
            <w:bottom w:w="0" w:type="dxa"/>
            <w:right w:w="0" w:type="dxa"/>
          </w:tblCellMar>
        </w:tblPrEx>
        <w:trPr>
          <w:trHeight w:val="798" w:hRule="atLeast"/>
          <w:jc w:val="center"/>
        </w:trPr>
        <w:tc>
          <w:tcPr>
            <w:tcW w:w="81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项目完成指标</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质量指标</w:t>
            </w:r>
          </w:p>
        </w:tc>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保障各科室工作推进</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保障各科室工作推进</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有力保障工作推进</w:t>
            </w:r>
          </w:p>
        </w:tc>
      </w:tr>
      <w:tr>
        <w:tblPrEx>
          <w:tblCellMar>
            <w:top w:w="0" w:type="dxa"/>
            <w:left w:w="0" w:type="dxa"/>
            <w:bottom w:w="0" w:type="dxa"/>
            <w:right w:w="0" w:type="dxa"/>
          </w:tblCellMar>
        </w:tblPrEx>
        <w:trPr>
          <w:trHeight w:val="728" w:hRule="atLeast"/>
          <w:jc w:val="center"/>
        </w:trPr>
        <w:tc>
          <w:tcPr>
            <w:tcW w:w="81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项目完成指标</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时效指标</w:t>
            </w:r>
          </w:p>
        </w:tc>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完成时间</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2020年12月底前</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r>
      <w:tr>
        <w:tblPrEx>
          <w:tblCellMar>
            <w:top w:w="0" w:type="dxa"/>
            <w:left w:w="0" w:type="dxa"/>
            <w:bottom w:w="0" w:type="dxa"/>
            <w:right w:w="0" w:type="dxa"/>
          </w:tblCellMar>
        </w:tblPrEx>
        <w:trPr>
          <w:trHeight w:val="729" w:hRule="atLeast"/>
          <w:jc w:val="center"/>
        </w:trPr>
        <w:tc>
          <w:tcPr>
            <w:tcW w:w="81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效益指标</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社会效益</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参保人员受益率</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显著提高</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显著提高</w:t>
            </w:r>
          </w:p>
        </w:tc>
      </w:tr>
      <w:tr>
        <w:tblPrEx>
          <w:tblCellMar>
            <w:top w:w="0" w:type="dxa"/>
            <w:left w:w="0" w:type="dxa"/>
            <w:bottom w:w="0" w:type="dxa"/>
            <w:right w:w="0" w:type="dxa"/>
          </w:tblCellMar>
        </w:tblPrEx>
        <w:trPr>
          <w:trHeight w:val="770" w:hRule="atLeast"/>
          <w:jc w:val="center"/>
        </w:trPr>
        <w:tc>
          <w:tcPr>
            <w:tcW w:w="81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效益指标</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可持续影响指标</w:t>
            </w:r>
          </w:p>
        </w:tc>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医保经办工作效率</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有效提高</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有效提高</w:t>
            </w:r>
          </w:p>
        </w:tc>
      </w:tr>
      <w:tr>
        <w:tblPrEx>
          <w:tblCellMar>
            <w:top w:w="0" w:type="dxa"/>
            <w:left w:w="0" w:type="dxa"/>
            <w:bottom w:w="0" w:type="dxa"/>
            <w:right w:w="0" w:type="dxa"/>
          </w:tblCellMar>
        </w:tblPrEx>
        <w:trPr>
          <w:trHeight w:val="868" w:hRule="atLeast"/>
          <w:jc w:val="center"/>
        </w:trPr>
        <w:tc>
          <w:tcPr>
            <w:tcW w:w="81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p>
        </w:tc>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满意度</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指标</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满意度指标</w:t>
            </w:r>
          </w:p>
        </w:tc>
        <w:tc>
          <w:tcPr>
            <w:tcW w:w="2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2"/>
                <w:szCs w:val="22"/>
              </w:rPr>
            </w:pPr>
            <w:r>
              <w:rPr>
                <w:rFonts w:hint="eastAsia" w:ascii="宋体" w:cs="宋体"/>
                <w:color w:val="000000"/>
                <w:sz w:val="22"/>
                <w:szCs w:val="22"/>
              </w:rPr>
              <w:t>指标1：使用人满意度</w:t>
            </w:r>
          </w:p>
          <w:p>
            <w:pPr>
              <w:widowControl/>
              <w:jc w:val="center"/>
              <w:textAlignment w:val="center"/>
              <w:rPr>
                <w:rFonts w:ascii="宋体" w:cs="宋体"/>
                <w:color w:val="000000"/>
                <w:sz w:val="22"/>
                <w:szCs w:val="22"/>
              </w:rPr>
            </w:pPr>
            <w:r>
              <w:rPr>
                <w:rFonts w:hint="eastAsia" w:ascii="宋体" w:cs="宋体"/>
                <w:color w:val="000000"/>
                <w:sz w:val="22"/>
                <w:szCs w:val="22"/>
              </w:rPr>
              <w:t>指标2：服务对象满意度</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≥95%</w:t>
            </w:r>
          </w:p>
        </w:tc>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cs="宋体"/>
                <w:color w:val="000000"/>
                <w:sz w:val="22"/>
                <w:szCs w:val="22"/>
              </w:rPr>
              <w:t>95%</w:t>
            </w:r>
          </w:p>
        </w:tc>
      </w:tr>
    </w:tbl>
    <w:p>
      <w:pPr>
        <w:spacing w:line="576" w:lineRule="exact"/>
        <w:ind w:firstLine="640" w:firstLineChars="200"/>
        <w:rPr>
          <w:rFonts w:ascii="仿宋_GB2312" w:hAnsi="楷体_GB2312" w:eastAsia="仿宋_GB2312" w:cs="仿宋_GB2312"/>
          <w:sz w:val="32"/>
          <w:szCs w:val="32"/>
        </w:rPr>
      </w:pPr>
    </w:p>
    <w:p>
      <w:pPr>
        <w:pStyle w:val="2"/>
      </w:pPr>
      <w:r>
        <w:br w:type="page"/>
      </w:r>
    </w:p>
    <w:p>
      <w:pPr>
        <w:spacing w:line="576" w:lineRule="exact"/>
        <w:ind w:firstLine="640" w:firstLineChars="200"/>
        <w:rPr>
          <w:rFonts w:ascii="仿宋_GB2312" w:hAnsi="仿宋_GB2312" w:eastAsia="仿宋_GB2312" w:cs="仿宋_GB2312"/>
          <w:sz w:val="32"/>
          <w:szCs w:val="32"/>
        </w:rPr>
      </w:pPr>
      <w:r>
        <w:rPr>
          <w:rFonts w:hint="eastAsia" w:ascii="仿宋_GB2312" w:hAnsi="楷体_GB2312" w:eastAsia="仿宋_GB2312" w:cs="仿宋_GB2312"/>
          <w:sz w:val="32"/>
          <w:szCs w:val="32"/>
        </w:rPr>
        <w:t>2.部门绩效评价结果。</w:t>
      </w:r>
      <w:bookmarkStart w:id="55" w:name="_Toc15396613"/>
      <w:bookmarkStart w:id="56" w:name="_Toc15377225"/>
    </w:p>
    <w:p>
      <w:pPr>
        <w:spacing w:line="576"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本部门按要求对2020年部门整体支出绩效评价情况开展自评，《</w:t>
      </w:r>
      <w:r>
        <w:rPr>
          <w:rFonts w:hint="eastAsia" w:ascii="仿宋_GB2312" w:hAnsi="仿宋_GB2312" w:eastAsia="仿宋_GB2312" w:cs="仿宋_GB2312"/>
          <w:sz w:val="32"/>
          <w:szCs w:val="32"/>
        </w:rPr>
        <w:t>广元市医疗保障局</w:t>
      </w:r>
      <w:r>
        <w:rPr>
          <w:rFonts w:hint="eastAsia" w:ascii="仿宋_GB2312" w:hAnsi="仿宋" w:eastAsia="仿宋_GB2312"/>
          <w:color w:val="000000"/>
          <w:sz w:val="32"/>
          <w:szCs w:val="32"/>
        </w:rPr>
        <w:t>2020年部门整体支出绩效评价报告》见附件（附件1）。</w:t>
      </w:r>
    </w:p>
    <w:p>
      <w:pPr>
        <w:spacing w:line="576" w:lineRule="exact"/>
        <w:ind w:firstLine="640" w:firstLineChars="200"/>
        <w:rPr>
          <w:rFonts w:ascii="仿宋_GB2312" w:hAnsi="仿宋_GB2312" w:eastAsia="仿宋_GB2312" w:cs="仿宋_GB2312"/>
          <w:sz w:val="32"/>
          <w:szCs w:val="32"/>
        </w:rPr>
      </w:pPr>
      <w:r>
        <w:rPr>
          <w:rFonts w:hint="eastAsia" w:ascii="仿宋_GB2312" w:hAnsi="仿宋" w:eastAsia="仿宋_GB2312"/>
          <w:color w:val="000000"/>
          <w:sz w:val="32"/>
          <w:szCs w:val="32"/>
        </w:rPr>
        <w:t>本部门自行组织对</w:t>
      </w:r>
      <w:r>
        <w:rPr>
          <w:rFonts w:hint="eastAsia" w:ascii="仿宋_GB2312" w:hAnsi="仿宋_GB2312" w:eastAsia="仿宋_GB2312" w:cs="仿宋_GB2312"/>
          <w:sz w:val="32"/>
          <w:szCs w:val="32"/>
        </w:rPr>
        <w:t>DRG项目经费项目、打击欺诈骗保业务经费项目、医保业务电子档案信息系统建设</w:t>
      </w:r>
      <w:r>
        <w:rPr>
          <w:rFonts w:hint="eastAsia" w:ascii="仿宋_GB2312" w:hAnsi="仿宋" w:eastAsia="仿宋_GB2312"/>
          <w:color w:val="000000"/>
          <w:sz w:val="32"/>
          <w:szCs w:val="32"/>
        </w:rPr>
        <w:t>项目、帮村扶贫工作经费项目、办公会议设备采购项目开展了绩效评价，《</w:t>
      </w:r>
      <w:r>
        <w:rPr>
          <w:rFonts w:hint="eastAsia" w:ascii="仿宋_GB2312" w:hAnsi="仿宋_GB2312" w:eastAsia="仿宋_GB2312" w:cs="仿宋_GB2312"/>
          <w:sz w:val="32"/>
          <w:szCs w:val="32"/>
        </w:rPr>
        <w:t>DRG项目经费</w:t>
      </w:r>
      <w:r>
        <w:rPr>
          <w:rFonts w:hint="eastAsia" w:ascii="仿宋_GB2312" w:hAnsi="仿宋" w:eastAsia="仿宋_GB2312"/>
          <w:color w:val="000000"/>
          <w:sz w:val="32"/>
          <w:szCs w:val="32"/>
        </w:rPr>
        <w:t>项目2020年绩效评价报告》《</w:t>
      </w:r>
      <w:r>
        <w:rPr>
          <w:rFonts w:hint="eastAsia" w:ascii="仿宋_GB2312" w:hAnsi="仿宋_GB2312" w:eastAsia="仿宋_GB2312" w:cs="仿宋_GB2312"/>
          <w:sz w:val="32"/>
          <w:szCs w:val="32"/>
        </w:rPr>
        <w:t>打击欺诈骗保业务经费</w:t>
      </w:r>
      <w:r>
        <w:rPr>
          <w:rFonts w:hint="eastAsia" w:ascii="仿宋_GB2312" w:hAnsi="仿宋" w:eastAsia="仿宋_GB2312"/>
          <w:color w:val="000000"/>
          <w:sz w:val="32"/>
          <w:szCs w:val="32"/>
        </w:rPr>
        <w:t>项目2020年绩效评价报告》《</w:t>
      </w:r>
      <w:r>
        <w:rPr>
          <w:rFonts w:hint="eastAsia" w:ascii="仿宋_GB2312" w:hAnsi="仿宋_GB2312" w:eastAsia="仿宋_GB2312" w:cs="仿宋_GB2312"/>
          <w:sz w:val="32"/>
          <w:szCs w:val="32"/>
        </w:rPr>
        <w:t>医保业务电子档案信息系统建设</w:t>
      </w:r>
      <w:r>
        <w:rPr>
          <w:rFonts w:hint="eastAsia" w:ascii="仿宋_GB2312" w:hAnsi="仿宋" w:eastAsia="仿宋_GB2312"/>
          <w:color w:val="000000"/>
          <w:sz w:val="32"/>
          <w:szCs w:val="32"/>
        </w:rPr>
        <w:t>项目2020年绩效评价报告》《帮村扶贫工作经费项目2020年绩效评价报告》《办公会议设备采购项目2020年绩效评价报告》见附件（附件2）。</w:t>
      </w:r>
    </w:p>
    <w:p>
      <w:pPr>
        <w:spacing w:line="576" w:lineRule="exact"/>
        <w:ind w:firstLine="880" w:firstLineChars="200"/>
        <w:rPr>
          <w:rFonts w:ascii="黑体" w:hAnsi="黑体" w:eastAsia="黑体" w:cs="黑体"/>
          <w:color w:val="000000"/>
          <w:sz w:val="44"/>
          <w:szCs w:val="44"/>
        </w:rPr>
      </w:pPr>
    </w:p>
    <w:p>
      <w:pPr>
        <w:spacing w:line="576" w:lineRule="exact"/>
        <w:ind w:firstLine="880" w:firstLineChars="200"/>
        <w:rPr>
          <w:rFonts w:ascii="黑体" w:hAnsi="黑体" w:eastAsia="黑体" w:cs="黑体"/>
          <w:color w:val="000000"/>
          <w:sz w:val="44"/>
          <w:szCs w:val="44"/>
        </w:rPr>
      </w:pPr>
    </w:p>
    <w:p>
      <w:pPr>
        <w:spacing w:line="576" w:lineRule="exact"/>
        <w:jc w:val="center"/>
        <w:rPr>
          <w:rStyle w:val="18"/>
          <w:rFonts w:hint="eastAsia" w:ascii="方正小标宋简体" w:hAnsi="黑体" w:eastAsia="方正小标宋简体" w:cs="方正小标宋简体"/>
          <w:b w:val="0"/>
          <w:bCs w:val="0"/>
        </w:rPr>
      </w:pPr>
      <w:r>
        <w:rPr>
          <w:rFonts w:ascii="黑体" w:hAnsi="黑体" w:eastAsia="黑体" w:cs="黑体"/>
          <w:color w:val="000000"/>
          <w:sz w:val="44"/>
          <w:szCs w:val="44"/>
        </w:rPr>
        <w:br w:type="page"/>
      </w:r>
      <w:r>
        <w:rPr>
          <w:rFonts w:hint="eastAsia" w:ascii="方正小标宋简体" w:hAnsi="黑体" w:eastAsia="方正小标宋简体" w:cs="方正小标宋简体"/>
          <w:color w:val="000000"/>
          <w:sz w:val="44"/>
          <w:szCs w:val="44"/>
        </w:rPr>
        <w:t>第</w:t>
      </w:r>
      <w:r>
        <w:rPr>
          <w:rStyle w:val="18"/>
          <w:rFonts w:hint="eastAsia" w:ascii="方正小标宋简体" w:hAnsi="黑体" w:eastAsia="方正小标宋简体" w:cs="方正小标宋简体"/>
          <w:b w:val="0"/>
          <w:bCs w:val="0"/>
        </w:rPr>
        <w:t>三部分   附件</w:t>
      </w:r>
    </w:p>
    <w:p>
      <w:pPr>
        <w:pStyle w:val="2"/>
        <w:jc w:val="center"/>
        <w:rPr>
          <w:rFonts w:hint="eastAsia"/>
        </w:rPr>
      </w:pPr>
    </w:p>
    <w:p>
      <w:pPr>
        <w:spacing w:line="600" w:lineRule="exact"/>
        <w:jc w:val="center"/>
        <w:rPr>
          <w:rFonts w:hint="eastAsia" w:ascii="方正小标宋简体" w:hAnsi="宋体" w:eastAsia="方正小标宋简体" w:cs="方正小标宋简体"/>
          <w:color w:val="000000"/>
          <w:kern w:val="0"/>
          <w:sz w:val="44"/>
          <w:szCs w:val="44"/>
          <w:lang w:val="zh-CN"/>
        </w:rPr>
      </w:pPr>
      <w:r>
        <w:rPr>
          <w:rFonts w:hint="eastAsia" w:ascii="方正小标宋简体" w:hAnsi="宋体" w:eastAsia="方正小标宋简体" w:cs="方正小标宋简体"/>
          <w:color w:val="000000"/>
          <w:kern w:val="0"/>
          <w:sz w:val="44"/>
          <w:szCs w:val="44"/>
          <w:lang w:val="zh-CN"/>
        </w:rPr>
        <w:t>名   词   解   释</w:t>
      </w:r>
      <w:bookmarkEnd w:id="55"/>
      <w:bookmarkEnd w:id="56"/>
    </w:p>
    <w:p>
      <w:pPr>
        <w:pStyle w:val="2"/>
      </w:pPr>
    </w:p>
    <w:p>
      <w:pPr>
        <w:pStyle w:val="28"/>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pacing w:val="-12"/>
          <w:sz w:val="32"/>
          <w:szCs w:val="32"/>
        </w:rPr>
        <w:t>财政拨款收入：指单位从同级财政部门取得的财政预算资金。</w:t>
      </w:r>
    </w:p>
    <w:p>
      <w:pPr>
        <w:pStyle w:val="28"/>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其他收入：指单位取得的除上述收入以外的各项收入。主要是利息收入。</w:t>
      </w:r>
    </w:p>
    <w:p>
      <w:pPr>
        <w:pStyle w:val="28"/>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年初结转和结余：指以前年度尚未完成、结转到本年按有关规定继续使用的资金。</w:t>
      </w:r>
    </w:p>
    <w:p>
      <w:pPr>
        <w:pStyle w:val="28"/>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年末结转和结余：指单位按有关规定结转到下年或以后年度继续使用的资金。</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rPr>
        <w:t>社会保障和就业（类）行政事业单位离退休（款）机关事业单位基本养老保险缴费支出（项）：指反映部门实施养老保险制度由单位缴纳的养老保险费的支出。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社会保障和就业（类）行政事业单位离退休（款）机关事业单位职业年金缴费支出（项）：指反映部门实施职业年金制度由单位缴纳的职业年金的支出。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7.</w:t>
      </w:r>
      <w:r>
        <w:rPr>
          <w:rFonts w:hint="eastAsia" w:ascii="仿宋_GB2312" w:eastAsia="仿宋_GB2312" w:cs="仿宋_GB2312"/>
          <w:color w:val="000000"/>
          <w:sz w:val="32"/>
          <w:szCs w:val="32"/>
        </w:rPr>
        <w:t>社会保障和就业支出（类）人力资源和社会保障管理事务（款）社会保险经办机构（项）：反映社会保险经办机构开展业务工作的支出。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8.</w:t>
      </w:r>
      <w:r>
        <w:rPr>
          <w:rFonts w:hint="eastAsia" w:ascii="仿宋_GB2312" w:eastAsia="仿宋_GB2312" w:cs="仿宋_GB2312"/>
          <w:color w:val="000000"/>
          <w:sz w:val="32"/>
          <w:szCs w:val="32"/>
        </w:rPr>
        <w:t>卫生健康支出（类）行政事业单位医疗（款）行政单位医疗（项）：反映行政机关及参公管理事业单位用于缴纳单位基本医疗保险经费支出。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卫生健康支出（类）医疗保障管理事务（款）其他医疗保障管理事务支出</w:t>
      </w:r>
      <w:r>
        <w:rPr>
          <w:rFonts w:hint="eastAsia" w:ascii="仿宋_GB2312" w:eastAsia="仿宋_GB2312"/>
          <w:color w:val="000000"/>
          <w:sz w:val="32"/>
          <w:szCs w:val="32"/>
        </w:rPr>
        <w:t>（项）：</w:t>
      </w:r>
      <w:r>
        <w:rPr>
          <w:rFonts w:hint="eastAsia" w:ascii="仿宋_GB2312" w:eastAsia="仿宋_GB2312" w:cs="仿宋_GB2312"/>
          <w:color w:val="000000"/>
          <w:sz w:val="32"/>
          <w:szCs w:val="32"/>
        </w:rPr>
        <w:t>反映除上述项目以外的其他用于医疗保障管理事务方面的支出。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10.</w:t>
      </w:r>
      <w:r>
        <w:rPr>
          <w:rFonts w:hint="eastAsia" w:ascii="仿宋_GB2312" w:eastAsia="仿宋_GB2312" w:cs="仿宋_GB2312"/>
          <w:color w:val="000000"/>
          <w:sz w:val="32"/>
          <w:szCs w:val="32"/>
        </w:rPr>
        <w:t>基本支出：指为保障机构正常运转、完成日常工作任务而发生的人员支出和公用支出。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11.</w:t>
      </w:r>
      <w:r>
        <w:rPr>
          <w:rFonts w:hint="eastAsia" w:ascii="仿宋_GB2312" w:eastAsia="仿宋_GB2312" w:cs="仿宋_GB2312"/>
          <w:color w:val="000000"/>
          <w:sz w:val="32"/>
          <w:szCs w:val="32"/>
        </w:rPr>
        <w:t>项目支出：指在基本支出之外为完成特定行政任务和事业发展目标所发生的支出。</w:t>
      </w:r>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12.</w:t>
      </w:r>
      <w:r>
        <w:rPr>
          <w:rFonts w:hint="eastAsia" w:ascii="仿宋_GB2312" w:eastAsia="仿宋_GB2312" w:cs="仿宋_GB2312"/>
          <w:color w:val="000000"/>
          <w:sz w:val="32"/>
          <w:szCs w:val="32"/>
        </w:rPr>
        <w:t>经营支出：指事业单位在专业业务活动及其辅助活动之外开展非独立核算经营活动发生的支出。</w:t>
      </w:r>
    </w:p>
    <w:p>
      <w:pPr>
        <w:pStyle w:val="28"/>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13.</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76" w:lineRule="exact"/>
        <w:ind w:firstLine="640" w:firstLineChars="200"/>
        <w:rPr>
          <w:rFonts w:ascii="仿宋_GB2312" w:eastAsia="仿宋_GB2312" w:cs="Times New Roman"/>
          <w:sz w:val="32"/>
          <w:szCs w:val="32"/>
        </w:rPr>
      </w:pPr>
      <w:r>
        <w:rPr>
          <w:rFonts w:ascii="仿宋_GB2312" w:eastAsia="仿宋_GB2312" w:cs="仿宋_GB2312"/>
          <w:sz w:val="32"/>
          <w:szCs w:val="32"/>
        </w:rPr>
        <w:t>14.</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方正小标宋简体" w:hAnsi="黑体" w:eastAsia="方正小标宋简体"/>
          <w:b w:val="0"/>
          <w:bCs w:val="0"/>
        </w:rPr>
      </w:pPr>
      <w:bookmarkStart w:id="57" w:name="_Toc15396614"/>
      <w:bookmarkStart w:id="58" w:name="_Toc15377226"/>
      <w:r>
        <w:rPr>
          <w:rFonts w:ascii="黑体" w:hAnsi="黑体" w:eastAsia="黑体"/>
          <w:color w:val="000000"/>
          <w:sz w:val="44"/>
          <w:szCs w:val="44"/>
        </w:rPr>
        <w:br w:type="page"/>
      </w:r>
      <w:r>
        <w:rPr>
          <w:rFonts w:hint="eastAsia" w:ascii="方正小标宋简体" w:hAnsi="黑体" w:eastAsia="方正小标宋简体" w:cs="方正小标宋简体"/>
          <w:color w:val="000000"/>
          <w:sz w:val="44"/>
          <w:szCs w:val="44"/>
        </w:rPr>
        <w:t>第</w:t>
      </w:r>
      <w:r>
        <w:rPr>
          <w:rStyle w:val="18"/>
          <w:rFonts w:hint="eastAsia" w:ascii="方正小标宋简体" w:hAnsi="黑体" w:eastAsia="方正小标宋简体" w:cs="方正小标宋简体"/>
          <w:b w:val="0"/>
          <w:bCs w:val="0"/>
        </w:rPr>
        <w:t>四部分   附 件</w:t>
      </w:r>
      <w:bookmarkEnd w:id="57"/>
    </w:p>
    <w:p>
      <w:pPr>
        <w:spacing w:line="580" w:lineRule="exact"/>
        <w:jc w:val="center"/>
        <w:rPr>
          <w:rFonts w:ascii="方正小标宋简体" w:hAnsi="方正小标宋简体" w:eastAsia="方正小标宋简体"/>
          <w:sz w:val="44"/>
          <w:szCs w:val="44"/>
        </w:rPr>
      </w:pPr>
    </w:p>
    <w:p>
      <w:pPr>
        <w:spacing w:line="580" w:lineRule="exact"/>
        <w:rPr>
          <w:rFonts w:hint="eastAsia" w:ascii="方正小标宋简体" w:hAnsi="宋体" w:eastAsia="方正小标宋简体" w:cs="方正小标宋简体"/>
          <w:color w:val="000000"/>
          <w:kern w:val="0"/>
          <w:sz w:val="44"/>
          <w:szCs w:val="44"/>
          <w:lang w:val="zh-CN"/>
        </w:rPr>
      </w:pPr>
      <w:r>
        <w:rPr>
          <w:rFonts w:hint="eastAsia" w:ascii="黑体" w:hAnsi="黑体" w:eastAsia="黑体" w:cs="黑体"/>
          <w:sz w:val="32"/>
          <w:szCs w:val="32"/>
        </w:rPr>
        <w:t>附件1</w:t>
      </w:r>
    </w:p>
    <w:p>
      <w:pPr>
        <w:pStyle w:val="2"/>
        <w:rPr>
          <w:rFonts w:hint="eastAsia"/>
          <w:lang w:val="zh-CN"/>
        </w:rPr>
      </w:pPr>
    </w:p>
    <w:p>
      <w:pPr>
        <w:spacing w:line="600" w:lineRule="exact"/>
        <w:jc w:val="center"/>
        <w:rPr>
          <w:rFonts w:hint="eastAsia" w:ascii="方正小标宋简体" w:hAnsi="宋体" w:eastAsia="方正小标宋简体" w:cs="方正小标宋简体"/>
          <w:color w:val="000000"/>
          <w:kern w:val="0"/>
          <w:sz w:val="44"/>
          <w:szCs w:val="44"/>
          <w:lang w:val="zh-CN"/>
        </w:rPr>
      </w:pPr>
      <w:r>
        <w:rPr>
          <w:rFonts w:hint="eastAsia" w:ascii="方正小标宋简体" w:hAnsi="宋体" w:eastAsia="方正小标宋简体" w:cs="方正小标宋简体"/>
          <w:color w:val="000000"/>
          <w:kern w:val="0"/>
          <w:sz w:val="44"/>
          <w:szCs w:val="44"/>
          <w:lang w:val="zh-CN"/>
        </w:rPr>
        <w:t>广元市医疗保障局</w:t>
      </w:r>
    </w:p>
    <w:p>
      <w:pPr>
        <w:spacing w:line="600" w:lineRule="exact"/>
        <w:jc w:val="center"/>
        <w:rPr>
          <w:rFonts w:ascii="方正小标宋简体" w:hAnsi="宋体" w:eastAsia="方正小标宋简体" w:cs="方正小标宋简体"/>
          <w:color w:val="000000"/>
          <w:kern w:val="0"/>
          <w:sz w:val="44"/>
          <w:szCs w:val="44"/>
          <w:lang w:val="zh-CN"/>
        </w:rPr>
      </w:pPr>
      <w:r>
        <w:rPr>
          <w:rFonts w:hint="eastAsia" w:ascii="方正小标宋简体" w:hAnsi="宋体" w:eastAsia="方正小标宋简体" w:cs="方正小标宋简体"/>
          <w:color w:val="000000"/>
          <w:kern w:val="0"/>
          <w:sz w:val="44"/>
          <w:szCs w:val="44"/>
          <w:lang w:val="zh-CN"/>
        </w:rPr>
        <w:t>部门</w:t>
      </w:r>
      <w:r>
        <w:rPr>
          <w:rFonts w:ascii="方正小标宋简体" w:hAnsi="宋体" w:eastAsia="方正小标宋简体" w:cs="方正小标宋简体"/>
          <w:color w:val="000000"/>
          <w:kern w:val="0"/>
          <w:sz w:val="44"/>
          <w:szCs w:val="44"/>
          <w:lang w:val="zh-CN"/>
        </w:rPr>
        <w:t>20</w:t>
      </w:r>
      <w:r>
        <w:rPr>
          <w:rFonts w:hint="eastAsia" w:ascii="方正小标宋简体" w:hAnsi="宋体" w:eastAsia="方正小标宋简体" w:cs="方正小标宋简体"/>
          <w:color w:val="000000"/>
          <w:kern w:val="0"/>
          <w:sz w:val="44"/>
          <w:szCs w:val="44"/>
          <w:lang w:val="zh-CN"/>
        </w:rPr>
        <w:t>20年部门整体支出绩效评价报告</w:t>
      </w:r>
    </w:p>
    <w:p>
      <w:pPr>
        <w:widowControl/>
        <w:adjustRightInd w:val="0"/>
        <w:snapToGrid w:val="0"/>
        <w:spacing w:line="580" w:lineRule="exact"/>
        <w:ind w:firstLine="480" w:firstLineChars="200"/>
        <w:jc w:val="left"/>
        <w:rPr>
          <w:rFonts w:ascii="黑体" w:hAnsi="宋体" w:eastAsia="黑体"/>
          <w:color w:val="000000"/>
          <w:kern w:val="0"/>
          <w:sz w:val="24"/>
          <w:szCs w:val="24"/>
          <w:shd w:val="clear" w:color="auto" w:fill="FFFFFF"/>
        </w:rPr>
      </w:pPr>
    </w:p>
    <w:p>
      <w:pPr>
        <w:widowControl/>
        <w:adjustRightInd w:val="0"/>
        <w:snapToGrid w:val="0"/>
        <w:spacing w:line="580" w:lineRule="exact"/>
        <w:ind w:firstLine="640" w:firstLineChars="200"/>
        <w:jc w:val="left"/>
        <w:rPr>
          <w:rFonts w:ascii="黑体" w:hAnsi="宋体" w:eastAsia="黑体"/>
          <w:color w:val="000000"/>
          <w:kern w:val="0"/>
          <w:sz w:val="32"/>
          <w:szCs w:val="32"/>
          <w:shd w:val="clear" w:color="auto" w:fill="FFFFFF"/>
          <w:lang w:val="zh-CN"/>
        </w:rPr>
      </w:pPr>
      <w:r>
        <w:rPr>
          <w:rFonts w:hint="eastAsia" w:ascii="黑体" w:hAnsi="宋体" w:eastAsia="黑体" w:cs="黑体"/>
          <w:color w:val="000000"/>
          <w:kern w:val="0"/>
          <w:sz w:val="32"/>
          <w:szCs w:val="32"/>
          <w:shd w:val="clear" w:color="auto" w:fill="FFFFFF"/>
        </w:rPr>
        <w:t>一、</w:t>
      </w:r>
      <w:r>
        <w:rPr>
          <w:rFonts w:hint="eastAsia" w:ascii="黑体" w:hAnsi="宋体" w:eastAsia="黑体" w:cs="黑体"/>
          <w:color w:val="000000"/>
          <w:kern w:val="0"/>
          <w:sz w:val="32"/>
          <w:szCs w:val="32"/>
          <w:shd w:val="clear" w:color="auto" w:fill="FFFFFF"/>
          <w:lang w:val="zh-CN"/>
        </w:rPr>
        <w:t>部门（单位）概况</w:t>
      </w:r>
    </w:p>
    <w:p>
      <w:pPr>
        <w:widowControl/>
        <w:adjustRightInd w:val="0"/>
        <w:snapToGrid w:val="0"/>
        <w:spacing w:line="580" w:lineRule="exact"/>
        <w:ind w:firstLine="640" w:firstLineChars="200"/>
        <w:jc w:val="left"/>
        <w:rPr>
          <w:rFonts w:ascii="方正楷体简体" w:hAnsi="宋体" w:eastAsia="方正楷体简体"/>
          <w:color w:val="000000"/>
          <w:kern w:val="0"/>
          <w:sz w:val="32"/>
          <w:szCs w:val="32"/>
          <w:shd w:val="clear" w:color="auto" w:fill="FFFFFF"/>
          <w:lang w:val="zh-CN"/>
        </w:rPr>
      </w:pPr>
      <w:r>
        <w:rPr>
          <w:rFonts w:hint="eastAsia" w:ascii="方正楷体简体" w:hAnsi="宋体" w:eastAsia="方正楷体简体" w:cs="方正楷体简体"/>
          <w:color w:val="000000"/>
          <w:kern w:val="0"/>
          <w:sz w:val="32"/>
          <w:szCs w:val="32"/>
          <w:shd w:val="clear" w:color="auto" w:fill="FFFFFF"/>
          <w:lang w:val="zh-CN"/>
        </w:rPr>
        <w:t>（一）机构组成</w:t>
      </w:r>
    </w:p>
    <w:p>
      <w:pPr>
        <w:ind w:firstLine="800" w:firstLineChars="250"/>
        <w:rPr>
          <w:rFonts w:ascii="仿宋_GB2312" w:hAnsi="仿宋" w:eastAsia="仿宋_GB2312"/>
          <w:sz w:val="32"/>
          <w:szCs w:val="32"/>
        </w:rPr>
      </w:pPr>
      <w:r>
        <w:rPr>
          <w:rFonts w:hint="eastAsia" w:ascii="仿宋_GB2312" w:hAnsi="仿宋" w:eastAsia="仿宋_GB2312" w:cs="仿宋_GB2312"/>
          <w:sz w:val="32"/>
          <w:szCs w:val="32"/>
        </w:rPr>
        <w:t>广元市医疗</w:t>
      </w:r>
      <w:r>
        <w:rPr>
          <w:rFonts w:hint="eastAsia" w:ascii="仿宋_GB2312" w:hAnsi="仿宋" w:eastAsia="仿宋_GB2312" w:cs="仿宋_GB2312"/>
          <w:sz w:val="32"/>
          <w:szCs w:val="32"/>
          <w:lang w:eastAsia="zh-CN"/>
        </w:rPr>
        <w:t>保障</w:t>
      </w:r>
      <w:r>
        <w:rPr>
          <w:rFonts w:hint="eastAsia" w:ascii="仿宋_GB2312" w:hAnsi="仿宋" w:eastAsia="仿宋_GB2312" w:cs="仿宋_GB2312"/>
          <w:sz w:val="32"/>
          <w:szCs w:val="32"/>
        </w:rPr>
        <w:t>局下属二级单位</w:t>
      </w:r>
      <w:r>
        <w:rPr>
          <w:rFonts w:ascii="仿宋_GB2312" w:hAnsi="仿宋" w:eastAsia="仿宋_GB2312" w:cs="仿宋_GB2312"/>
          <w:sz w:val="32"/>
          <w:szCs w:val="32"/>
        </w:rPr>
        <w:t>2</w:t>
      </w:r>
      <w:r>
        <w:rPr>
          <w:rFonts w:hint="eastAsia" w:ascii="仿宋_GB2312" w:hAnsi="仿宋" w:eastAsia="仿宋_GB2312" w:cs="仿宋_GB2312"/>
          <w:sz w:val="32"/>
          <w:szCs w:val="32"/>
        </w:rPr>
        <w:t>个，其中参照公务员法管理的事业单位</w:t>
      </w:r>
      <w:r>
        <w:rPr>
          <w:rFonts w:ascii="仿宋_GB2312" w:hAnsi="仿宋" w:eastAsia="仿宋_GB2312" w:cs="仿宋_GB2312"/>
          <w:sz w:val="32"/>
          <w:szCs w:val="32"/>
        </w:rPr>
        <w:t>1</w:t>
      </w:r>
      <w:r>
        <w:rPr>
          <w:rFonts w:hint="eastAsia" w:ascii="仿宋_GB2312" w:hAnsi="仿宋" w:eastAsia="仿宋_GB2312" w:cs="仿宋_GB2312"/>
          <w:sz w:val="32"/>
          <w:szCs w:val="32"/>
        </w:rPr>
        <w:t>个，其他事业单位</w:t>
      </w:r>
      <w:r>
        <w:rPr>
          <w:rFonts w:ascii="仿宋_GB2312" w:hAnsi="仿宋" w:eastAsia="仿宋_GB2312" w:cs="仿宋_GB2312"/>
          <w:sz w:val="32"/>
          <w:szCs w:val="32"/>
        </w:rPr>
        <w:t>1</w:t>
      </w:r>
      <w:r>
        <w:rPr>
          <w:rFonts w:hint="eastAsia" w:ascii="仿宋_GB2312" w:hAnsi="仿宋" w:eastAsia="仿宋_GB2312" w:cs="仿宋_GB2312"/>
          <w:sz w:val="32"/>
          <w:szCs w:val="32"/>
        </w:rPr>
        <w:t>个。</w:t>
      </w:r>
    </w:p>
    <w:p>
      <w:pPr>
        <w:widowControl/>
        <w:adjustRightInd w:val="0"/>
        <w:snapToGrid w:val="0"/>
        <w:spacing w:line="580" w:lineRule="exact"/>
        <w:ind w:firstLine="640" w:firstLineChars="200"/>
        <w:jc w:val="left"/>
        <w:rPr>
          <w:rFonts w:ascii="方正楷体简体" w:hAnsi="宋体" w:eastAsia="方正楷体简体"/>
          <w:color w:val="000000"/>
          <w:kern w:val="0"/>
          <w:sz w:val="32"/>
          <w:szCs w:val="32"/>
          <w:shd w:val="clear" w:color="auto" w:fill="FFFFFF"/>
          <w:lang w:val="zh-CN"/>
        </w:rPr>
      </w:pPr>
      <w:r>
        <w:rPr>
          <w:rFonts w:hint="eastAsia" w:ascii="方正楷体简体" w:hAnsi="宋体" w:eastAsia="方正楷体简体" w:cs="方正楷体简体"/>
          <w:color w:val="000000"/>
          <w:kern w:val="0"/>
          <w:sz w:val="32"/>
          <w:szCs w:val="32"/>
          <w:shd w:val="clear" w:color="auto" w:fill="FFFFFF"/>
          <w:lang w:val="zh-CN"/>
        </w:rPr>
        <w:t>（二）机构职能</w:t>
      </w:r>
    </w:p>
    <w:p>
      <w:pPr>
        <w:spacing w:line="570" w:lineRule="exact"/>
        <w:ind w:firstLine="640" w:firstLineChars="200"/>
        <w:rPr>
          <w:rFonts w:ascii="仿宋_GB2312" w:eastAsia="仿宋_GB2312"/>
          <w:sz w:val="32"/>
          <w:szCs w:val="32"/>
        </w:rPr>
      </w:pPr>
      <w:r>
        <w:rPr>
          <w:rFonts w:ascii="仿宋_GB2312" w:eastAsia="仿宋_GB2312" w:cs="仿宋_GB2312"/>
          <w:sz w:val="32"/>
          <w:szCs w:val="32"/>
        </w:rPr>
        <w:t xml:space="preserve">1. </w:t>
      </w:r>
      <w:r>
        <w:rPr>
          <w:rFonts w:hint="eastAsia" w:ascii="仿宋_GB2312" w:eastAsia="仿宋_GB2312" w:cs="仿宋_GB2312"/>
          <w:sz w:val="32"/>
          <w:szCs w:val="32"/>
        </w:rPr>
        <w:t>负责贯彻执行国家、省、市有关医疗保险、生育保险、医疗救助、长期护理保险等医疗保障政策制度。</w:t>
      </w:r>
    </w:p>
    <w:p>
      <w:pPr>
        <w:spacing w:line="570" w:lineRule="exact"/>
        <w:ind w:firstLine="640" w:firstLineChars="200"/>
        <w:rPr>
          <w:rFonts w:ascii="仿宋_GB2312" w:eastAsia="仿宋_GB2312"/>
          <w:sz w:val="32"/>
          <w:szCs w:val="32"/>
        </w:rPr>
      </w:pPr>
      <w:r>
        <w:rPr>
          <w:rFonts w:ascii="仿宋_GB2312" w:eastAsia="仿宋_GB2312" w:cs="仿宋_GB2312"/>
          <w:sz w:val="32"/>
          <w:szCs w:val="32"/>
        </w:rPr>
        <w:t xml:space="preserve">2. </w:t>
      </w:r>
      <w:r>
        <w:rPr>
          <w:rFonts w:hint="eastAsia" w:ascii="仿宋_GB2312" w:eastAsia="仿宋_GB2312" w:cs="仿宋_GB2312"/>
          <w:spacing w:val="6"/>
          <w:sz w:val="32"/>
          <w:szCs w:val="32"/>
        </w:rPr>
        <w:t>组织起草有关地方性法规和规章，草案。负责拟订全市医疗保障事业发展规划、政策和标准，并组织实施和监督检查。</w:t>
      </w:r>
    </w:p>
    <w:p>
      <w:pPr>
        <w:spacing w:line="570" w:lineRule="exact"/>
        <w:ind w:firstLine="640" w:firstLineChars="200"/>
        <w:rPr>
          <w:rFonts w:ascii="仿宋_GB2312" w:eastAsia="仿宋_GB2312"/>
          <w:sz w:val="32"/>
          <w:szCs w:val="32"/>
        </w:rPr>
      </w:pPr>
      <w:r>
        <w:rPr>
          <w:rFonts w:ascii="仿宋_GB2312" w:eastAsia="仿宋_GB2312" w:cs="仿宋_GB2312"/>
          <w:sz w:val="32"/>
          <w:szCs w:val="32"/>
        </w:rPr>
        <w:t xml:space="preserve">3. </w:t>
      </w:r>
      <w:r>
        <w:rPr>
          <w:rFonts w:hint="eastAsia" w:ascii="仿宋_GB2312" w:eastAsia="仿宋_GB2312" w:cs="仿宋_GB2312"/>
          <w:spacing w:val="-6"/>
          <w:sz w:val="32"/>
          <w:szCs w:val="32"/>
        </w:rPr>
        <w:t>组织拟订并实施医疗保障基金监督管理制度，建立健全医疗保障基金安全防控机制，监督强化全市医疗保障基金运行管理。</w:t>
      </w:r>
    </w:p>
    <w:p>
      <w:pPr>
        <w:spacing w:line="570" w:lineRule="exact"/>
        <w:ind w:firstLine="640" w:firstLineChars="200"/>
        <w:rPr>
          <w:rFonts w:ascii="仿宋_GB2312" w:eastAsia="仿宋_GB2312"/>
          <w:sz w:val="32"/>
          <w:szCs w:val="32"/>
        </w:rPr>
      </w:pPr>
      <w:r>
        <w:rPr>
          <w:rFonts w:ascii="仿宋_GB2312" w:eastAsia="仿宋_GB2312" w:cs="仿宋_GB2312"/>
          <w:sz w:val="32"/>
          <w:szCs w:val="32"/>
        </w:rPr>
        <w:t xml:space="preserve">4. </w:t>
      </w:r>
      <w:r>
        <w:rPr>
          <w:rFonts w:hint="eastAsia" w:ascii="仿宋_GB2312" w:eastAsia="仿宋_GB2312" w:cs="仿宋_GB2312"/>
          <w:sz w:val="32"/>
          <w:szCs w:val="32"/>
        </w:rPr>
        <w:t>组织拟订医疗保障筹资和待遇政策，负责医疗保障基金归集，拟订医疗保障基金年度收支计划，按政策和标准支付医疗待遇；完善动态调整和区域调剂平衡机制，统筹城乡医疗保障待遇标准，建立健全与筹资水平相适应的待遇调整机制。</w:t>
      </w:r>
    </w:p>
    <w:p>
      <w:pPr>
        <w:spacing w:line="570" w:lineRule="exact"/>
        <w:ind w:firstLine="640" w:firstLineChars="200"/>
        <w:rPr>
          <w:rFonts w:ascii="仿宋_GB2312" w:eastAsia="仿宋_GB2312"/>
          <w:sz w:val="32"/>
          <w:szCs w:val="32"/>
        </w:rPr>
      </w:pPr>
      <w:r>
        <w:rPr>
          <w:rFonts w:ascii="仿宋_GB2312" w:eastAsia="仿宋_GB2312" w:cs="仿宋_GB2312"/>
          <w:sz w:val="32"/>
          <w:szCs w:val="32"/>
        </w:rPr>
        <w:t xml:space="preserve">5. </w:t>
      </w:r>
      <w:r>
        <w:rPr>
          <w:rFonts w:hint="eastAsia" w:ascii="仿宋_GB2312" w:eastAsia="仿宋_GB2312" w:cs="仿宋_GB2312"/>
          <w:spacing w:val="-6"/>
          <w:sz w:val="32"/>
          <w:szCs w:val="32"/>
        </w:rPr>
        <w:t>贯彻执行上级药品目录、医用耗材、医疗服务项目、医疗服务设施等医疗保障目录和支付标准政策。拟订全市药品目录、医用耗材、医疗服务项目、医疗服务设施等医疗保障目录和支付标准政策。拟订全市有关医保目录准入谈判规则并组织实施。</w:t>
      </w:r>
    </w:p>
    <w:p>
      <w:pPr>
        <w:spacing w:line="550" w:lineRule="exact"/>
        <w:ind w:firstLine="640" w:firstLineChars="200"/>
        <w:rPr>
          <w:rFonts w:ascii="仿宋_GB2312" w:eastAsia="仿宋_GB2312"/>
          <w:sz w:val="32"/>
          <w:szCs w:val="32"/>
        </w:rPr>
      </w:pPr>
      <w:r>
        <w:rPr>
          <w:rFonts w:ascii="仿宋_GB2312" w:eastAsia="仿宋_GB2312" w:cs="仿宋_GB2312"/>
          <w:sz w:val="32"/>
          <w:szCs w:val="32"/>
        </w:rPr>
        <w:t xml:space="preserve">6. </w:t>
      </w:r>
      <w:r>
        <w:rPr>
          <w:rFonts w:hint="eastAsia" w:ascii="仿宋_GB2312" w:eastAsia="仿宋_GB2312" w:cs="仿宋_GB2312"/>
          <w:sz w:val="32"/>
          <w:szCs w:val="32"/>
        </w:rPr>
        <w:t>贯彻执行上级药品、医用耗材价格和医疗服务项目、医疗服务设施收费等政策，负责拟订全市医用耗材价格和医疗服务项目、医疗服务设施收费等政策。建立医保支付医药服务价格合理确定和动态调整机制。推动建立市场主导的社会医药服务价格形成机制；建立价格信息监测和信息发布制度。</w:t>
      </w:r>
    </w:p>
    <w:p>
      <w:pPr>
        <w:spacing w:line="550" w:lineRule="exact"/>
        <w:ind w:firstLine="640" w:firstLineChars="200"/>
        <w:rPr>
          <w:rFonts w:ascii="仿宋_GB2312" w:eastAsia="仿宋_GB2312"/>
          <w:sz w:val="32"/>
          <w:szCs w:val="32"/>
        </w:rPr>
      </w:pPr>
      <w:r>
        <w:rPr>
          <w:rFonts w:ascii="仿宋_GB2312" w:eastAsia="仿宋_GB2312" w:cs="仿宋_GB2312"/>
          <w:sz w:val="32"/>
          <w:szCs w:val="32"/>
        </w:rPr>
        <w:t xml:space="preserve">7. </w:t>
      </w:r>
      <w:r>
        <w:rPr>
          <w:rFonts w:hint="eastAsia" w:ascii="仿宋_GB2312" w:eastAsia="仿宋_GB2312" w:cs="仿宋_GB2312"/>
          <w:sz w:val="32"/>
          <w:szCs w:val="32"/>
        </w:rPr>
        <w:t>贯彻执行上级药品、医用耗材的招标采购政策并监督实施。负责全市药品、医用耗材招标采购平台建设。组织实施大病保险招标准入和业务指导。</w:t>
      </w:r>
    </w:p>
    <w:p>
      <w:pPr>
        <w:spacing w:line="550" w:lineRule="exact"/>
        <w:ind w:firstLine="640" w:firstLineChars="200"/>
        <w:rPr>
          <w:rFonts w:ascii="仿宋_GB2312" w:eastAsia="仿宋_GB2312"/>
          <w:sz w:val="32"/>
          <w:szCs w:val="32"/>
        </w:rPr>
      </w:pPr>
      <w:r>
        <w:rPr>
          <w:rFonts w:ascii="仿宋_GB2312" w:eastAsia="仿宋_GB2312" w:cs="仿宋_GB2312"/>
          <w:sz w:val="32"/>
          <w:szCs w:val="32"/>
        </w:rPr>
        <w:t xml:space="preserve">8. </w:t>
      </w:r>
      <w:r>
        <w:rPr>
          <w:rFonts w:hint="eastAsia" w:ascii="仿宋_GB2312" w:eastAsia="仿宋_GB2312" w:cs="仿宋_GB2312"/>
          <w:sz w:val="32"/>
          <w:szCs w:val="32"/>
        </w:rPr>
        <w:t>推进医疗保障基金支付方式改革，拟订全市定点医药机构协议和支付管理办法并组织实施。负责全市医疗保障定点机构管理和考核工作。</w:t>
      </w:r>
    </w:p>
    <w:p>
      <w:pPr>
        <w:spacing w:line="550" w:lineRule="exact"/>
        <w:ind w:firstLine="640" w:firstLineChars="200"/>
        <w:rPr>
          <w:rFonts w:ascii="仿宋_GB2312" w:eastAsia="仿宋_GB2312"/>
          <w:sz w:val="32"/>
          <w:szCs w:val="32"/>
        </w:rPr>
      </w:pPr>
      <w:r>
        <w:rPr>
          <w:rFonts w:ascii="仿宋_GB2312" w:eastAsia="仿宋_GB2312" w:cs="仿宋_GB2312"/>
          <w:sz w:val="32"/>
          <w:szCs w:val="32"/>
        </w:rPr>
        <w:t xml:space="preserve">9. </w:t>
      </w:r>
      <w:r>
        <w:rPr>
          <w:rFonts w:hint="eastAsia" w:ascii="仿宋_GB2312" w:eastAsia="仿宋_GB2312" w:cs="仿宋_GB2312"/>
          <w:sz w:val="32"/>
          <w:szCs w:val="32"/>
        </w:rPr>
        <w:t>建立健全医疗保障信用评价体系和信息披露制度。推进协议服务机构标准化建设，建立协议服务机构准入和退出机制。监督管理纳入医保范围内的医疗服务行为和医疗费用，依法查处医疗保障领域违法违规行为。</w:t>
      </w:r>
    </w:p>
    <w:p>
      <w:pPr>
        <w:spacing w:line="550" w:lineRule="exact"/>
        <w:ind w:firstLine="640" w:firstLineChars="200"/>
        <w:rPr>
          <w:rFonts w:ascii="仿宋_GB2312" w:eastAsia="仿宋_GB2312"/>
          <w:sz w:val="32"/>
          <w:szCs w:val="32"/>
        </w:rPr>
      </w:pPr>
      <w:r>
        <w:rPr>
          <w:rFonts w:ascii="仿宋_GB2312" w:eastAsia="仿宋_GB2312" w:cs="仿宋_GB2312"/>
          <w:sz w:val="32"/>
          <w:szCs w:val="32"/>
        </w:rPr>
        <w:t xml:space="preserve">10. </w:t>
      </w:r>
      <w:r>
        <w:rPr>
          <w:rFonts w:hint="eastAsia" w:ascii="仿宋_GB2312" w:eastAsia="仿宋_GB2312" w:cs="仿宋_GB2312"/>
          <w:sz w:val="32"/>
          <w:szCs w:val="32"/>
        </w:rPr>
        <w:t>负责全市医疗保障经办管理、公共服务体系建设。组织拟订和完善异地就医管理和费用结算政策。建立健全医疗保障关系转移接续制度。监督管理全市医保经办服务工作；开展医疗保障领域对外合作交流。</w:t>
      </w:r>
    </w:p>
    <w:p>
      <w:pPr>
        <w:spacing w:line="550" w:lineRule="exact"/>
        <w:ind w:firstLine="640" w:firstLineChars="200"/>
        <w:rPr>
          <w:rFonts w:ascii="仿宋_GB2312" w:eastAsia="仿宋_GB2312"/>
          <w:sz w:val="32"/>
          <w:szCs w:val="32"/>
        </w:rPr>
      </w:pPr>
      <w:r>
        <w:rPr>
          <w:rFonts w:ascii="仿宋_GB2312" w:eastAsia="仿宋_GB2312" w:cs="仿宋_GB2312"/>
          <w:sz w:val="32"/>
          <w:szCs w:val="32"/>
        </w:rPr>
        <w:t xml:space="preserve">11. </w:t>
      </w:r>
      <w:r>
        <w:rPr>
          <w:rFonts w:hint="eastAsia" w:ascii="仿宋_GB2312" w:eastAsia="仿宋_GB2312" w:cs="仿宋_GB2312"/>
          <w:sz w:val="32"/>
          <w:szCs w:val="32"/>
        </w:rPr>
        <w:t>负责推进实施全市医疗保障信息化建设，组织开展医疗保障大数据管理和应用。</w:t>
      </w:r>
    </w:p>
    <w:p>
      <w:pPr>
        <w:spacing w:line="550" w:lineRule="exact"/>
        <w:ind w:firstLine="640" w:firstLineChars="200"/>
        <w:rPr>
          <w:rFonts w:ascii="仿宋_GB2312" w:eastAsia="仿宋_GB2312"/>
          <w:sz w:val="32"/>
          <w:szCs w:val="32"/>
        </w:rPr>
      </w:pPr>
      <w:r>
        <w:rPr>
          <w:rFonts w:ascii="仿宋_GB2312" w:eastAsia="仿宋_GB2312" w:cs="仿宋_GB2312"/>
          <w:sz w:val="32"/>
          <w:szCs w:val="32"/>
        </w:rPr>
        <w:t xml:space="preserve">12. </w:t>
      </w:r>
      <w:r>
        <w:rPr>
          <w:rFonts w:hint="eastAsia" w:ascii="仿宋_GB2312" w:eastAsia="仿宋_GB2312" w:cs="仿宋_GB2312"/>
          <w:sz w:val="32"/>
          <w:szCs w:val="32"/>
        </w:rPr>
        <w:t>负责职责范围内的安全生产和职业健康、生态环境保护、审批服务便民化等工作。</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13. </w:t>
      </w:r>
      <w:r>
        <w:rPr>
          <w:rFonts w:hint="eastAsia" w:ascii="仿宋_GB2312" w:eastAsia="仿宋_GB2312" w:cs="仿宋_GB2312"/>
          <w:sz w:val="32"/>
          <w:szCs w:val="32"/>
        </w:rPr>
        <w:t>完成市委和市政府交办的其他任务。</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14. </w:t>
      </w:r>
      <w:r>
        <w:rPr>
          <w:rFonts w:hint="eastAsia" w:ascii="仿宋_GB2312" w:eastAsia="仿宋_GB2312" w:cs="仿宋_GB2312"/>
          <w:sz w:val="32"/>
          <w:szCs w:val="32"/>
        </w:rPr>
        <w:t>职能转变。完善统一的城乡居民基本医疗保险制度和大病保险制度，不断提高医疗保障水平，建立健全覆盖全民、城乡统筹的多层次医疗保障体系，确保医保资金合理使用、安全可控，推进医疗、医保、医药“三医联动”改革，更好保障人民群众就医需求、减轻医药费用负担。</w:t>
      </w:r>
    </w:p>
    <w:p>
      <w:pPr>
        <w:spacing w:line="576" w:lineRule="exact"/>
        <w:ind w:firstLine="640" w:firstLineChars="200"/>
        <w:rPr>
          <w:rFonts w:ascii="仿宋_GB2312" w:eastAsia="仿宋_GB2312"/>
          <w:sz w:val="32"/>
          <w:szCs w:val="32"/>
        </w:rPr>
      </w:pPr>
      <w:r>
        <w:rPr>
          <w:rFonts w:ascii="仿宋_GB2312" w:eastAsia="仿宋_GB2312" w:cs="仿宋_GB2312"/>
          <w:sz w:val="32"/>
          <w:szCs w:val="32"/>
        </w:rPr>
        <w:t xml:space="preserve">15. </w:t>
      </w:r>
      <w:r>
        <w:rPr>
          <w:rFonts w:hint="eastAsia" w:ascii="仿宋_GB2312" w:eastAsia="仿宋_GB2312" w:cs="仿宋_GB2312"/>
          <w:sz w:val="32"/>
          <w:szCs w:val="32"/>
        </w:rPr>
        <w:t>有关职责分工。市卫生健康委员会、市医疗保障局和市市场监督管理局等部门在医疗、医保、医药等方面加强制度、政策衔接，建立沟通协商机制，协同推进改革，提高医疗资源使用效率和医疗保障水平。</w:t>
      </w:r>
    </w:p>
    <w:p>
      <w:pPr>
        <w:widowControl/>
        <w:adjustRightInd w:val="0"/>
        <w:snapToGrid w:val="0"/>
        <w:spacing w:line="580" w:lineRule="exact"/>
        <w:ind w:firstLine="640" w:firstLineChars="200"/>
        <w:jc w:val="left"/>
        <w:rPr>
          <w:rFonts w:ascii="方正楷体简体" w:hAnsi="宋体" w:eastAsia="方正楷体简体"/>
          <w:color w:val="000000"/>
          <w:kern w:val="0"/>
          <w:sz w:val="32"/>
          <w:szCs w:val="32"/>
          <w:shd w:val="clear" w:color="auto" w:fill="FFFFFF"/>
          <w:lang w:val="zh-CN"/>
        </w:rPr>
      </w:pPr>
      <w:r>
        <w:rPr>
          <w:rFonts w:hint="eastAsia" w:ascii="方正楷体简体" w:hAnsi="宋体" w:eastAsia="方正楷体简体" w:cs="方正楷体简体"/>
          <w:color w:val="000000"/>
          <w:kern w:val="0"/>
          <w:sz w:val="32"/>
          <w:szCs w:val="32"/>
          <w:shd w:val="clear" w:color="auto" w:fill="FFFFFF"/>
          <w:lang w:val="zh-CN"/>
        </w:rPr>
        <w:t>（三）人员概况。</w:t>
      </w:r>
    </w:p>
    <w:p>
      <w:pPr>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截至</w:t>
      </w:r>
      <w:r>
        <w:rPr>
          <w:rFonts w:ascii="仿宋_GB2312" w:eastAsia="仿宋_GB2312" w:cs="仿宋_GB2312"/>
          <w:sz w:val="32"/>
          <w:szCs w:val="32"/>
        </w:rPr>
        <w:t>20</w:t>
      </w:r>
      <w:r>
        <w:rPr>
          <w:rFonts w:hint="eastAsia" w:ascii="仿宋_GB2312" w:eastAsia="仿宋_GB2312" w:cs="仿宋_GB2312"/>
          <w:sz w:val="32"/>
          <w:szCs w:val="32"/>
        </w:rPr>
        <w:t>20年末，核定编制总数</w:t>
      </w:r>
      <w:r>
        <w:rPr>
          <w:rFonts w:ascii="仿宋_GB2312" w:eastAsia="仿宋_GB2312" w:cs="仿宋_GB2312"/>
          <w:sz w:val="32"/>
          <w:szCs w:val="32"/>
        </w:rPr>
        <w:t>42</w:t>
      </w:r>
      <w:r>
        <w:rPr>
          <w:rFonts w:hint="eastAsia" w:ascii="仿宋_GB2312" w:eastAsia="仿宋_GB2312" w:cs="仿宋_GB2312"/>
          <w:sz w:val="32"/>
          <w:szCs w:val="32"/>
        </w:rPr>
        <w:t>名，在职人员</w:t>
      </w:r>
      <w:r>
        <w:rPr>
          <w:rFonts w:ascii="仿宋_GB2312" w:eastAsia="仿宋_GB2312" w:cs="仿宋_GB2312"/>
          <w:sz w:val="32"/>
          <w:szCs w:val="32"/>
        </w:rPr>
        <w:t>32</w:t>
      </w:r>
      <w:r>
        <w:rPr>
          <w:rFonts w:hint="eastAsia" w:ascii="仿宋_GB2312" w:eastAsia="仿宋_GB2312" w:cs="仿宋_GB2312"/>
          <w:sz w:val="32"/>
          <w:szCs w:val="32"/>
        </w:rPr>
        <w:t>人，离退休人员6人，其他人员</w:t>
      </w:r>
      <w:r>
        <w:rPr>
          <w:rFonts w:ascii="仿宋_GB2312" w:eastAsia="仿宋_GB2312" w:cs="仿宋_GB2312"/>
          <w:sz w:val="32"/>
          <w:szCs w:val="32"/>
        </w:rPr>
        <w:t>5</w:t>
      </w:r>
      <w:r>
        <w:rPr>
          <w:rFonts w:hint="eastAsia" w:ascii="仿宋_GB2312" w:eastAsia="仿宋_GB2312" w:cs="仿宋_GB2312"/>
          <w:sz w:val="32"/>
          <w:szCs w:val="32"/>
        </w:rPr>
        <w:t>8人。</w:t>
      </w:r>
    </w:p>
    <w:p>
      <w:pPr>
        <w:widowControl/>
        <w:adjustRightInd w:val="0"/>
        <w:snapToGrid w:val="0"/>
        <w:spacing w:line="580" w:lineRule="exact"/>
        <w:ind w:firstLine="640" w:firstLineChars="200"/>
        <w:jc w:val="left"/>
        <w:rPr>
          <w:rFonts w:ascii="黑体" w:hAnsi="宋体" w:eastAsia="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二、部门财政资金收支情况</w:t>
      </w:r>
    </w:p>
    <w:p>
      <w:pPr>
        <w:widowControl/>
        <w:adjustRightInd w:val="0"/>
        <w:snapToGrid w:val="0"/>
        <w:spacing w:line="580" w:lineRule="exact"/>
        <w:ind w:firstLine="640" w:firstLineChars="200"/>
        <w:jc w:val="left"/>
        <w:rPr>
          <w:rFonts w:ascii="方正楷体简体" w:hAnsi="宋体" w:eastAsia="方正楷体简体"/>
          <w:color w:val="000000"/>
          <w:kern w:val="0"/>
          <w:sz w:val="32"/>
          <w:szCs w:val="32"/>
          <w:shd w:val="clear" w:color="auto" w:fill="FFFFFF"/>
          <w:lang w:val="zh-CN"/>
        </w:rPr>
      </w:pPr>
      <w:r>
        <w:rPr>
          <w:rFonts w:hint="eastAsia" w:ascii="方正楷体简体" w:hAnsi="宋体" w:eastAsia="方正楷体简体" w:cs="方正楷体简体"/>
          <w:color w:val="000000"/>
          <w:kern w:val="0"/>
          <w:sz w:val="32"/>
          <w:szCs w:val="32"/>
          <w:shd w:val="clear" w:color="auto" w:fill="FFFFFF"/>
          <w:lang w:val="zh-CN"/>
        </w:rPr>
        <w:t>（一）部门财政资金收入情况</w:t>
      </w:r>
    </w:p>
    <w:p>
      <w:pPr>
        <w:spacing w:line="600" w:lineRule="exact"/>
        <w:ind w:firstLine="608" w:firstLineChars="200"/>
        <w:outlineLvl w:val="1"/>
        <w:rPr>
          <w:rFonts w:ascii="仿宋_GB2312" w:hAnsi="仿宋" w:eastAsia="仿宋_GB2312"/>
          <w:color w:val="000000"/>
          <w:spacing w:val="-8"/>
          <w:sz w:val="32"/>
          <w:szCs w:val="32"/>
        </w:rPr>
      </w:pPr>
      <w:r>
        <w:rPr>
          <w:rFonts w:ascii="仿宋_GB2312" w:hAnsi="仿宋" w:eastAsia="仿宋_GB2312" w:cs="仿宋_GB2312"/>
          <w:color w:val="000000"/>
          <w:spacing w:val="-8"/>
          <w:sz w:val="32"/>
          <w:szCs w:val="32"/>
        </w:rPr>
        <w:t>20</w:t>
      </w:r>
      <w:r>
        <w:rPr>
          <w:rFonts w:hint="eastAsia" w:ascii="仿宋_GB2312" w:hAnsi="仿宋" w:eastAsia="仿宋_GB2312" w:cs="仿宋_GB2312"/>
          <w:color w:val="000000"/>
          <w:spacing w:val="-8"/>
          <w:sz w:val="32"/>
          <w:szCs w:val="32"/>
        </w:rPr>
        <w:t>20年本年收入合计1310.85万元，其中：一般公共预算财政拨款收入1310.85万元，占100</w:t>
      </w:r>
      <w:r>
        <w:rPr>
          <w:rFonts w:ascii="仿宋_GB2312" w:hAnsi="仿宋" w:eastAsia="仿宋_GB2312" w:cs="仿宋_GB2312"/>
          <w:color w:val="000000"/>
          <w:spacing w:val="-8"/>
          <w:sz w:val="32"/>
          <w:szCs w:val="32"/>
        </w:rPr>
        <w:t>%</w:t>
      </w:r>
      <w:r>
        <w:rPr>
          <w:rFonts w:hint="eastAsia" w:ascii="仿宋_GB2312" w:hAnsi="仿宋" w:eastAsia="仿宋_GB2312" w:cs="仿宋_GB2312"/>
          <w:color w:val="000000"/>
          <w:spacing w:val="-8"/>
          <w:sz w:val="32"/>
          <w:szCs w:val="32"/>
        </w:rPr>
        <w:t>；政府性基金预算财政拨款收入0万元，占比为零。</w:t>
      </w:r>
    </w:p>
    <w:p>
      <w:pPr>
        <w:widowControl/>
        <w:adjustRightInd w:val="0"/>
        <w:snapToGrid w:val="0"/>
        <w:spacing w:line="580" w:lineRule="exact"/>
        <w:ind w:firstLine="640" w:firstLineChars="200"/>
        <w:jc w:val="left"/>
        <w:rPr>
          <w:rFonts w:ascii="方正楷体简体" w:hAnsi="宋体" w:eastAsia="方正楷体简体"/>
          <w:color w:val="000000"/>
          <w:kern w:val="0"/>
          <w:sz w:val="32"/>
          <w:szCs w:val="32"/>
          <w:shd w:val="clear" w:color="auto" w:fill="FFFFFF"/>
          <w:lang w:val="zh-CN"/>
        </w:rPr>
      </w:pPr>
      <w:r>
        <w:rPr>
          <w:rFonts w:hint="eastAsia" w:ascii="方正楷体简体" w:hAnsi="宋体" w:eastAsia="方正楷体简体" w:cs="方正楷体简体"/>
          <w:color w:val="000000"/>
          <w:kern w:val="0"/>
          <w:sz w:val="32"/>
          <w:szCs w:val="32"/>
          <w:shd w:val="clear" w:color="auto" w:fill="FFFFFF"/>
          <w:lang w:val="zh-CN"/>
        </w:rPr>
        <w:t>（二）部门财政资金支出情况</w:t>
      </w:r>
    </w:p>
    <w:p>
      <w:pPr>
        <w:spacing w:line="600" w:lineRule="exact"/>
        <w:ind w:firstLine="640" w:firstLineChars="200"/>
        <w:rPr>
          <w:rFonts w:ascii="仿宋_GB2312" w:hAnsi="仿宋" w:eastAsia="仿宋_GB2312" w:cs="仿宋_GB2312"/>
          <w:color w:val="000000"/>
          <w:sz w:val="32"/>
          <w:szCs w:val="32"/>
        </w:rPr>
      </w:pPr>
      <w:r>
        <w:rPr>
          <w:rFonts w:ascii="仿宋_GB2312" w:hAnsi="仿宋" w:eastAsia="仿宋_GB2312" w:cs="仿宋_GB2312"/>
          <w:sz w:val="32"/>
          <w:szCs w:val="32"/>
        </w:rPr>
        <w:t>20</w:t>
      </w:r>
      <w:r>
        <w:rPr>
          <w:rFonts w:hint="eastAsia" w:ascii="仿宋_GB2312" w:hAnsi="仿宋" w:eastAsia="仿宋_GB2312" w:cs="仿宋_GB2312"/>
          <w:sz w:val="32"/>
          <w:szCs w:val="32"/>
        </w:rPr>
        <w:t>20年一般公共预算财政拨款支出1283.68万元，占本年支出合计的100</w:t>
      </w:r>
      <w:r>
        <w:rPr>
          <w:rFonts w:ascii="仿宋_GB2312" w:hAnsi="仿宋" w:eastAsia="仿宋_GB2312" w:cs="仿宋_GB2312"/>
          <w:sz w:val="32"/>
          <w:szCs w:val="32"/>
        </w:rPr>
        <w:t>%</w:t>
      </w:r>
      <w:r>
        <w:rPr>
          <w:rFonts w:hint="eastAsia" w:ascii="仿宋_GB2312" w:hAnsi="仿宋" w:eastAsia="仿宋_GB2312" w:cs="仿宋_GB2312"/>
          <w:sz w:val="32"/>
          <w:szCs w:val="32"/>
        </w:rPr>
        <w:t>。与</w:t>
      </w:r>
      <w:r>
        <w:rPr>
          <w:rFonts w:ascii="仿宋_GB2312" w:hAnsi="仿宋" w:eastAsia="仿宋_GB2312" w:cs="仿宋_GB2312"/>
          <w:sz w:val="32"/>
          <w:szCs w:val="32"/>
        </w:rPr>
        <w:t>201</w:t>
      </w:r>
      <w:r>
        <w:rPr>
          <w:rFonts w:hint="eastAsia" w:ascii="仿宋_GB2312" w:hAnsi="仿宋" w:eastAsia="仿宋_GB2312" w:cs="仿宋_GB2312"/>
          <w:sz w:val="32"/>
          <w:szCs w:val="32"/>
        </w:rPr>
        <w:t>9年相比，</w:t>
      </w:r>
      <w:r>
        <w:rPr>
          <w:rFonts w:hint="eastAsia" w:ascii="仿宋_GB2312" w:hAnsi="仿宋" w:eastAsia="仿宋_GB2312" w:cs="仿宋_GB2312"/>
          <w:color w:val="000000"/>
          <w:sz w:val="32"/>
          <w:szCs w:val="32"/>
        </w:rPr>
        <w:t>一般公共预算财政拨款增加102.62万元，增长8.49</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。主要变动原因是机改人员和职能职责增加.</w:t>
      </w:r>
    </w:p>
    <w:p>
      <w:pPr>
        <w:spacing w:line="600" w:lineRule="exact"/>
        <w:ind w:firstLine="640" w:firstLineChars="200"/>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三、部门整体预算绩效管理情况</w:t>
      </w:r>
    </w:p>
    <w:p>
      <w:pPr>
        <w:widowControl/>
        <w:adjustRightInd w:val="0"/>
        <w:snapToGrid w:val="0"/>
        <w:spacing w:line="580" w:lineRule="exact"/>
        <w:ind w:firstLine="640" w:firstLineChars="200"/>
        <w:jc w:val="left"/>
        <w:rPr>
          <w:rFonts w:ascii="方正楷体简体" w:hAnsi="宋体" w:eastAsia="方正楷体简体"/>
          <w:color w:val="000000"/>
          <w:kern w:val="0"/>
          <w:sz w:val="32"/>
          <w:szCs w:val="32"/>
          <w:shd w:val="clear" w:color="auto" w:fill="FFFFFF"/>
          <w:lang w:val="zh-CN"/>
        </w:rPr>
      </w:pPr>
      <w:r>
        <w:rPr>
          <w:rFonts w:hint="eastAsia" w:ascii="方正楷体简体" w:hAnsi="宋体" w:eastAsia="方正楷体简体" w:cs="方正楷体简体"/>
          <w:color w:val="000000"/>
          <w:kern w:val="0"/>
          <w:sz w:val="32"/>
          <w:szCs w:val="32"/>
          <w:shd w:val="clear" w:color="auto" w:fill="FFFFFF"/>
          <w:lang w:val="zh-CN"/>
        </w:rPr>
        <w:t>（一）部门预算管理</w:t>
      </w:r>
    </w:p>
    <w:p>
      <w:pPr>
        <w:spacing w:line="556" w:lineRule="exact"/>
        <w:ind w:firstLine="645"/>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科学编制预算。严格按照市财政局要求科学化精细化管理部门预算，按时按质完成部门预算编制工作。在编制部门预算时，认真核实本部门单位基础信息资料，对编制、人员（包括身份证号码、人员身份、所占编制性质、人员职级、经费发放渠道等）、资产、债务、公务用车（含编制和实有数量）等严格清理和据实填报，切实做到不错报、不漏报、不虚报。</w:t>
      </w:r>
      <w:r>
        <w:rPr>
          <w:rFonts w:hint="eastAsia" w:ascii="仿宋_GB2312" w:hAnsi="宋体" w:eastAsia="仿宋_GB2312" w:cs="仿宋_GB2312"/>
          <w:sz w:val="32"/>
          <w:szCs w:val="32"/>
        </w:rPr>
        <w:t>严格按照《广元市市级项目支出预算管理暂行办法》的要求，一个项目一个申报文本，客观详实地提供每一个项目的相关资料。项目预算编制做到了论证充分、资料翔实、科学合理。</w:t>
      </w:r>
    </w:p>
    <w:p>
      <w:pPr>
        <w:spacing w:line="556" w:lineRule="exact"/>
        <w:ind w:firstLine="645"/>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严格执行预算。切实加强预算执行管理，除政策性年中增支、应急支出等特殊事项，及市委市政府确定重大项目外，严格控制申报预算追加。基本支出严格按时间进度执行，项目支出严格按项目进度执行。年度预算执行收支平衡，未出现支出缺口，确保了医疗保障事业健康持续发展。</w:t>
      </w:r>
    </w:p>
    <w:p>
      <w:pPr>
        <w:spacing w:line="556" w:lineRule="exact"/>
        <w:ind w:firstLine="624" w:firstLineChars="200"/>
        <w:rPr>
          <w:rFonts w:ascii="仿宋_GB2312" w:eastAsia="仿宋_GB2312"/>
          <w:spacing w:val="-4"/>
          <w:sz w:val="32"/>
          <w:szCs w:val="32"/>
        </w:rPr>
      </w:pPr>
      <w:r>
        <w:rPr>
          <w:rFonts w:hint="eastAsia" w:ascii="仿宋_GB2312" w:hAnsi="宋体" w:eastAsia="仿宋_GB2312" w:cs="仿宋_GB2312"/>
          <w:spacing w:val="-4"/>
          <w:sz w:val="32"/>
          <w:szCs w:val="32"/>
        </w:rPr>
        <w:t>我局项目严格按照《广元市市级项目支出预算管理暂行办法》要求编报项目支出预算，科学设置项目绩效目标，客观详实地提供每一个项目的相关资料。项目预算编制做到了论证充分、资料翔实、科学合理。</w:t>
      </w:r>
      <w:r>
        <w:rPr>
          <w:rFonts w:hint="eastAsia" w:ascii="仿宋_GB2312" w:eastAsia="仿宋_GB2312" w:cs="仿宋_GB2312"/>
          <w:spacing w:val="-4"/>
          <w:sz w:val="32"/>
          <w:szCs w:val="32"/>
        </w:rPr>
        <w:t>在项目实施过程中，积极组织项目分管领导和财会人员学习财经规章，进一步增强以法理财、科学理财、规范理财的责任意识。严格按照《行政事业单位会计制度》规定进行会计核算，对经费管理做到科学安排、合理配置、专款专用，确保项目顺利开展，使项目资金最大限度地发挥其作用。</w:t>
      </w:r>
    </w:p>
    <w:p>
      <w:pPr>
        <w:widowControl/>
        <w:adjustRightInd w:val="0"/>
        <w:snapToGrid w:val="0"/>
        <w:spacing w:line="580" w:lineRule="exact"/>
        <w:ind w:firstLine="640" w:firstLineChars="200"/>
        <w:jc w:val="left"/>
        <w:rPr>
          <w:rFonts w:ascii="方正楷体简体" w:hAnsi="宋体" w:eastAsia="方正楷体简体"/>
          <w:color w:val="000000"/>
          <w:kern w:val="0"/>
          <w:sz w:val="32"/>
          <w:szCs w:val="32"/>
          <w:shd w:val="clear" w:color="auto" w:fill="FFFFFF"/>
          <w:lang w:val="zh-CN"/>
        </w:rPr>
      </w:pPr>
      <w:r>
        <w:rPr>
          <w:rFonts w:hint="eastAsia" w:ascii="方正楷体简体" w:hAnsi="宋体" w:eastAsia="方正楷体简体" w:cs="方正楷体简体"/>
          <w:color w:val="000000"/>
          <w:kern w:val="0"/>
          <w:sz w:val="32"/>
          <w:szCs w:val="32"/>
          <w:shd w:val="clear" w:color="auto" w:fill="FFFFFF"/>
          <w:lang w:val="zh-CN"/>
        </w:rPr>
        <w:t>（二）结果应用情况</w:t>
      </w:r>
    </w:p>
    <w:p>
      <w:pPr>
        <w:spacing w:line="576" w:lineRule="exact"/>
        <w:ind w:firstLine="640" w:firstLineChars="200"/>
        <w:rPr>
          <w:rFonts w:ascii="仿宋_GB2312" w:eastAsia="仿宋_GB2312"/>
          <w:spacing w:val="10"/>
          <w:sz w:val="32"/>
          <w:szCs w:val="32"/>
        </w:rPr>
      </w:pPr>
      <w:r>
        <w:rPr>
          <w:rFonts w:hint="eastAsia" w:ascii="仿宋_GB2312" w:eastAsia="仿宋_GB2312" w:cs="仿宋_GB2312"/>
          <w:sz w:val="32"/>
          <w:szCs w:val="32"/>
        </w:rPr>
        <w:t>我局成立了内控小组，负责经费中项目资金的绩效评价。形</w:t>
      </w:r>
      <w:r>
        <w:rPr>
          <w:rFonts w:hint="eastAsia" w:ascii="仿宋_GB2312" w:eastAsia="仿宋_GB2312" w:cs="仿宋_GB2312"/>
          <w:color w:val="000000"/>
          <w:sz w:val="32"/>
          <w:szCs w:val="32"/>
        </w:rPr>
        <w:t>成由办公室牵头组</w:t>
      </w:r>
      <w:r>
        <w:rPr>
          <w:rFonts w:hint="eastAsia" w:ascii="仿宋_GB2312" w:eastAsia="仿宋_GB2312" w:cs="仿宋_GB2312"/>
          <w:sz w:val="32"/>
          <w:szCs w:val="32"/>
        </w:rPr>
        <w:t>织实施、各相关业务科室（单位）密切配合的自评工作机制。</w:t>
      </w:r>
      <w:r>
        <w:rPr>
          <w:rFonts w:hint="eastAsia" w:ascii="仿宋_GB2312" w:eastAsia="仿宋_GB2312" w:cs="仿宋_GB2312"/>
          <w:spacing w:val="-6"/>
          <w:sz w:val="32"/>
          <w:szCs w:val="32"/>
        </w:rPr>
        <w:t>按照部门支出绩效评价指标体系，全面收集整理各类基础资料，包括部门预算、决算编制，财务管理，财政政策执行，财经纪律监督执行，项目申报、批复、实施等相关文件资料。对照部门绩效评价指标及评分标准，局内控小组进行科学分析，客观评价打分，形成自评报告。</w:t>
      </w:r>
      <w:r>
        <w:rPr>
          <w:rFonts w:hint="eastAsia" w:ascii="仿宋_GB2312" w:eastAsia="仿宋_GB2312" w:cs="仿宋_GB2312"/>
          <w:sz w:val="32"/>
          <w:szCs w:val="32"/>
        </w:rPr>
        <w:t>根据绩效自评结果，对自评</w:t>
      </w:r>
      <w:r>
        <w:rPr>
          <w:rFonts w:hint="eastAsia" w:ascii="仿宋_GB2312" w:eastAsia="仿宋_GB2312" w:cs="仿宋_GB2312"/>
          <w:spacing w:val="10"/>
          <w:sz w:val="32"/>
          <w:szCs w:val="32"/>
        </w:rPr>
        <w:t>发现的问题积极落实整改，查漏补缺，精益求精，切实提高财政资金使用绩效。</w:t>
      </w:r>
    </w:p>
    <w:p>
      <w:pPr>
        <w:widowControl/>
        <w:adjustRightInd w:val="0"/>
        <w:snapToGrid w:val="0"/>
        <w:spacing w:line="580" w:lineRule="exact"/>
        <w:ind w:firstLine="640" w:firstLineChars="200"/>
        <w:jc w:val="left"/>
        <w:rPr>
          <w:rFonts w:ascii="黑体" w:hAnsi="宋体" w:eastAsia="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四、评价结论及建议</w:t>
      </w:r>
    </w:p>
    <w:p>
      <w:pPr>
        <w:widowControl/>
        <w:adjustRightInd w:val="0"/>
        <w:snapToGrid w:val="0"/>
        <w:spacing w:line="580" w:lineRule="exact"/>
        <w:ind w:firstLine="640" w:firstLineChars="200"/>
        <w:jc w:val="left"/>
        <w:rPr>
          <w:rFonts w:ascii="方正楷体简体" w:hAnsi="宋体" w:eastAsia="方正楷体简体"/>
          <w:color w:val="000000"/>
          <w:kern w:val="0"/>
          <w:sz w:val="32"/>
          <w:szCs w:val="32"/>
          <w:shd w:val="clear" w:color="auto" w:fill="FFFFFF"/>
          <w:lang w:val="zh-CN"/>
        </w:rPr>
      </w:pPr>
      <w:r>
        <w:rPr>
          <w:rFonts w:hint="eastAsia" w:ascii="方正楷体简体" w:hAnsi="宋体" w:eastAsia="方正楷体简体" w:cs="方正楷体简体"/>
          <w:color w:val="000000"/>
          <w:kern w:val="0"/>
          <w:sz w:val="32"/>
          <w:szCs w:val="32"/>
          <w:shd w:val="clear" w:color="auto" w:fill="FFFFFF"/>
          <w:lang w:val="zh-CN"/>
        </w:rPr>
        <w:t>（一）评价结论</w:t>
      </w:r>
    </w:p>
    <w:p>
      <w:pPr>
        <w:spacing w:line="510" w:lineRule="exact"/>
        <w:ind w:firstLine="640" w:firstLineChars="200"/>
        <w:rPr>
          <w:rFonts w:ascii="仿宋_GB2312" w:eastAsia="仿宋_GB2312"/>
          <w:spacing w:val="-6"/>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_GB2312" w:eastAsia="仿宋_GB2312" w:cs="仿宋_GB2312"/>
          <w:spacing w:val="-6"/>
          <w:sz w:val="32"/>
          <w:szCs w:val="32"/>
        </w:rPr>
        <w:t>在市委、市政府的坚强领导下，市医疗保障局</w:t>
      </w:r>
      <w:r>
        <w:rPr>
          <w:rFonts w:hint="eastAsia" w:ascii="仿宋_GB2312" w:eastAsia="仿宋_GB2312" w:cs="仿宋_GB2312"/>
          <w:spacing w:val="2"/>
          <w:sz w:val="32"/>
          <w:szCs w:val="32"/>
        </w:rPr>
        <w:t>主动适应发展新常态，坚决贯彻落实中央和省、市的决策部署，勇于担当、真抓实干，</w:t>
      </w:r>
      <w:r>
        <w:rPr>
          <w:rFonts w:hint="eastAsia" w:ascii="仿宋_GB2312" w:eastAsia="仿宋_GB2312" w:cs="仿宋_GB2312"/>
          <w:spacing w:val="-6"/>
          <w:sz w:val="32"/>
          <w:szCs w:val="32"/>
        </w:rPr>
        <w:t>全面完成各项目标任务</w:t>
      </w:r>
      <w:r>
        <w:rPr>
          <w:rFonts w:ascii="仿宋_GB2312" w:eastAsia="仿宋_GB2312" w:cs="仿宋_GB2312"/>
          <w:spacing w:val="-6"/>
          <w:sz w:val="32"/>
          <w:szCs w:val="32"/>
        </w:rPr>
        <w:t>,</w:t>
      </w:r>
      <w:r>
        <w:rPr>
          <w:rFonts w:hint="eastAsia" w:ascii="仿宋_GB2312" w:eastAsia="仿宋_GB2312" w:cs="仿宋_GB2312"/>
          <w:spacing w:val="-6"/>
          <w:sz w:val="32"/>
          <w:szCs w:val="32"/>
        </w:rPr>
        <w:t>夯实了医疗保障事业基础，</w:t>
      </w:r>
      <w:r>
        <w:rPr>
          <w:rFonts w:hint="eastAsia" w:ascii="仿宋_GB2312" w:eastAsia="仿宋_GB2312" w:cs="仿宋_GB2312"/>
          <w:spacing w:val="2"/>
          <w:sz w:val="32"/>
          <w:szCs w:val="32"/>
        </w:rPr>
        <w:t>医疗保障事业取得明显成效，为医保扶贫和全市医疗保障作出了积极贡献。</w:t>
      </w:r>
      <w:r>
        <w:rPr>
          <w:rFonts w:hint="eastAsia" w:ascii="仿宋_GB2312" w:eastAsia="仿宋_GB2312" w:cs="仿宋_GB2312"/>
          <w:spacing w:val="-6"/>
          <w:sz w:val="32"/>
          <w:szCs w:val="32"/>
        </w:rPr>
        <w:t>局党组高度重视财政绩效管理工作，出台一系列内部财务管理制度，科学化精细化管理部门预算，预算执行刚性、平衡，决算编制真实准确。进一步强化财务管理，会计核算规范，严格执行国库集中支付、公务卡改革、政府采购、非税收入征管等各项政策规定。坚持厉行节约，从严控制支出，主动接受财政、审计部门监督检查，项目支出立项科学、管理规范、注重绩效，实现财政资金管理的精细化、科学化和规范化。</w:t>
      </w:r>
    </w:p>
    <w:p>
      <w:pPr>
        <w:widowControl/>
        <w:adjustRightInd w:val="0"/>
        <w:snapToGrid w:val="0"/>
        <w:spacing w:line="580" w:lineRule="exact"/>
        <w:ind w:firstLine="640" w:firstLineChars="200"/>
        <w:jc w:val="left"/>
        <w:rPr>
          <w:rFonts w:ascii="方正楷体简体" w:hAnsi="宋体" w:eastAsia="方正楷体简体"/>
          <w:color w:val="000000"/>
          <w:kern w:val="0"/>
          <w:sz w:val="32"/>
          <w:szCs w:val="32"/>
          <w:shd w:val="clear" w:color="auto" w:fill="FFFFFF"/>
          <w:lang w:val="zh-CN"/>
        </w:rPr>
      </w:pPr>
      <w:r>
        <w:rPr>
          <w:rFonts w:hint="eastAsia" w:ascii="方正楷体简体" w:hAnsi="宋体" w:eastAsia="方正楷体简体" w:cs="方正楷体简体"/>
          <w:color w:val="000000"/>
          <w:kern w:val="0"/>
          <w:sz w:val="32"/>
          <w:szCs w:val="32"/>
          <w:shd w:val="clear" w:color="auto" w:fill="FFFFFF"/>
          <w:lang w:val="zh-CN"/>
        </w:rPr>
        <w:t>（二）存在问题</w:t>
      </w:r>
    </w:p>
    <w:p>
      <w:pPr>
        <w:widowControl/>
        <w:adjustRightInd w:val="0"/>
        <w:snapToGrid w:val="0"/>
        <w:spacing w:line="576" w:lineRule="exact"/>
        <w:ind w:firstLine="640" w:firstLineChars="200"/>
        <w:contextualSpacing/>
        <w:rPr>
          <w:rFonts w:ascii="仿宋_GB2312" w:eastAsia="仿宋_GB2312"/>
          <w:sz w:val="32"/>
          <w:szCs w:val="32"/>
        </w:rPr>
      </w:pPr>
      <w:r>
        <w:rPr>
          <w:rFonts w:hint="eastAsia" w:ascii="仿宋_GB2312" w:hAnsi="仿宋" w:eastAsia="仿宋_GB2312" w:cs="宋体"/>
          <w:kern w:val="0"/>
          <w:sz w:val="32"/>
          <w:szCs w:val="32"/>
        </w:rPr>
        <w:t>一是个别专项经费因工作安排，当年无法全面完成支付，需跨年度继续执行，故执行率达不到预期。二是年末追加资金计划下达时间较晚，导致执行进度不能按期完成。</w:t>
      </w:r>
    </w:p>
    <w:p>
      <w:pPr>
        <w:widowControl/>
        <w:adjustRightInd w:val="0"/>
        <w:snapToGrid w:val="0"/>
        <w:spacing w:line="580" w:lineRule="exact"/>
        <w:ind w:firstLine="640" w:firstLineChars="200"/>
        <w:jc w:val="left"/>
        <w:rPr>
          <w:rFonts w:ascii="方正楷体简体" w:hAnsi="宋体" w:eastAsia="方正楷体简体"/>
          <w:color w:val="000000"/>
          <w:kern w:val="0"/>
          <w:sz w:val="32"/>
          <w:szCs w:val="32"/>
          <w:shd w:val="clear" w:color="auto" w:fill="FFFFFF"/>
          <w:lang w:val="zh-CN"/>
        </w:rPr>
      </w:pPr>
      <w:r>
        <w:rPr>
          <w:rFonts w:hint="eastAsia" w:ascii="方正楷体简体" w:hAnsi="宋体" w:eastAsia="方正楷体简体" w:cs="方正楷体简体"/>
          <w:color w:val="000000"/>
          <w:kern w:val="0"/>
          <w:sz w:val="32"/>
          <w:szCs w:val="32"/>
          <w:shd w:val="clear" w:color="auto" w:fill="FFFFFF"/>
          <w:lang w:val="zh-CN"/>
        </w:rPr>
        <w:t>（三）改进建议</w:t>
      </w:r>
    </w:p>
    <w:bookmarkEnd w:id="58"/>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一是强化组织领导，加大部门绩效自评工作力度，积极运用评价结果，提高资金使用效率。二是完善内控制度，简化流程，促进项目及时开展。</w:t>
      </w:r>
    </w:p>
    <w:p>
      <w:pPr>
        <w:spacing w:line="580" w:lineRule="exact"/>
        <w:rPr>
          <w:rFonts w:ascii="仿宋_GB2312" w:hAnsi="仿宋_GB2312" w:eastAsia="仿宋_GB2312" w:cs="仿宋_GB2312"/>
          <w:sz w:val="32"/>
          <w:szCs w:val="32"/>
        </w:rPr>
      </w:pPr>
      <w:r>
        <w:rPr>
          <w:rFonts w:ascii="黑体" w:hAnsi="黑体" w:eastAsia="黑体" w:cs="黑体"/>
          <w:sz w:val="32"/>
          <w:szCs w:val="32"/>
        </w:rPr>
        <w:br w:type="page"/>
      </w: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3" w:firstLineChars="200"/>
        <w:rPr>
          <w:rFonts w:ascii="仿宋_GB2312" w:hAnsi="仿宋_GB2312" w:eastAsia="仿宋_GB2312" w:cs="仿宋_GB2312"/>
          <w:b/>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DRG项目经费</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．项目主管部门在该项目管理中的职能。本项目主管部门是广元市医疗保障局，主要职能是根据基本职能第</w:t>
      </w:r>
      <w:r>
        <w:rPr>
          <w:rFonts w:hint="eastAsia" w:ascii="仿宋_GB2312" w:hAnsi="宋体" w:eastAsia="仿宋_GB2312"/>
          <w:sz w:val="32"/>
          <w:szCs w:val="32"/>
        </w:rPr>
        <w:t>8</w:t>
      </w:r>
      <w:r>
        <w:rPr>
          <w:rFonts w:hint="eastAsia" w:ascii="仿宋_GB2312" w:hAnsi="宋体" w:eastAsia="仿宋_GB2312"/>
          <w:sz w:val="32"/>
          <w:szCs w:val="32"/>
          <w:lang w:val="zh-CN"/>
        </w:rPr>
        <w:t>条推进医疗保障基金支付方式改革。</w:t>
      </w:r>
    </w:p>
    <w:p>
      <w:pPr>
        <w:numPr>
          <w:ilvl w:val="0"/>
          <w:numId w:val="3"/>
        </w:numPr>
        <w:adjustRightInd w:val="0"/>
        <w:snapToGrid w:val="0"/>
        <w:spacing w:line="600" w:lineRule="exact"/>
        <w:ind w:firstLine="720"/>
        <w:rPr>
          <w:rFonts w:ascii="仿宋_GB2312" w:hAnsi="宋体" w:eastAsia="仿宋_GB2312"/>
          <w:spacing w:val="-6"/>
          <w:sz w:val="32"/>
          <w:szCs w:val="32"/>
          <w:lang w:val="zh-CN"/>
        </w:rPr>
      </w:pPr>
      <w:r>
        <w:rPr>
          <w:rFonts w:hint="eastAsia" w:ascii="仿宋_GB2312" w:hAnsi="宋体" w:eastAsia="仿宋_GB2312"/>
          <w:sz w:val="32"/>
          <w:szCs w:val="32"/>
          <w:lang w:val="zh-CN"/>
        </w:rPr>
        <w:t>项</w:t>
      </w:r>
      <w:r>
        <w:rPr>
          <w:rFonts w:hint="eastAsia" w:ascii="仿宋_GB2312" w:hAnsi="宋体" w:eastAsia="仿宋_GB2312"/>
          <w:spacing w:val="-6"/>
          <w:sz w:val="32"/>
          <w:szCs w:val="32"/>
          <w:lang w:val="zh-CN"/>
        </w:rPr>
        <w:t>目立项、资金申报的依据。</w:t>
      </w:r>
      <w:r>
        <w:rPr>
          <w:rFonts w:hint="eastAsia" w:ascii="仿宋_GB2312" w:hAnsi="宋体" w:eastAsia="仿宋_GB2312" w:cs="宋体"/>
          <w:color w:val="000000"/>
          <w:spacing w:val="-6"/>
          <w:kern w:val="0"/>
          <w:sz w:val="32"/>
          <w:szCs w:val="32"/>
          <w:shd w:val="clear" w:color="auto" w:fill="FFFFFF"/>
          <w:lang w:val="zh-CN"/>
        </w:rPr>
        <w:t>本项目</w:t>
      </w:r>
      <w:r>
        <w:rPr>
          <w:rFonts w:hint="eastAsia" w:ascii="仿宋_GB2312" w:hAnsi="宋体" w:eastAsia="仿宋_GB2312"/>
          <w:spacing w:val="-6"/>
          <w:sz w:val="32"/>
          <w:szCs w:val="32"/>
          <w:lang w:val="zh-CN"/>
        </w:rPr>
        <w:t>根据市委市政府授予广元市医疗保障局医疗保障基金支付方式改革职能职责所设立。</w:t>
      </w:r>
    </w:p>
    <w:p>
      <w:pPr>
        <w:adjustRightInd w:val="0"/>
        <w:snapToGrid w:val="0"/>
        <w:spacing w:line="600" w:lineRule="exact"/>
        <w:ind w:firstLine="640" w:firstLineChars="200"/>
        <w:rPr>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．资金分配的原则及考虑因素。依据医疗保障基金支付方式改革的相关情况分配项目资金。</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（二）项目绩效目标</w:t>
      </w:r>
    </w:p>
    <w:p>
      <w:pPr>
        <w:adjustRightInd w:val="0"/>
        <w:snapToGrid w:val="0"/>
        <w:spacing w:line="60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．项目主要内容。组织开展病案管理、DRG业务知识、阶段性总结和专项培训，前往各市州、县区调研，在全市范围内开展DRG付费方式改革宣传活动，加快完成DRG付费方式改革</w:t>
      </w:r>
      <w:r>
        <w:rPr>
          <w:rFonts w:hint="eastAsia" w:ascii="仿宋_GB2312" w:hAnsi="宋体" w:eastAsia="仿宋_GB2312"/>
          <w:sz w:val="32"/>
          <w:szCs w:val="32"/>
        </w:rPr>
        <w:t>。</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w:t>
      </w:r>
      <w:r>
        <w:rPr>
          <w:rFonts w:hint="eastAsia" w:ascii="仿宋_GB2312" w:hAnsi="宋体" w:eastAsia="仿宋_GB2312"/>
          <w:spacing w:val="-12"/>
          <w:sz w:val="32"/>
          <w:szCs w:val="32"/>
          <w:lang w:val="zh-CN"/>
        </w:rPr>
        <w:t>项目绩效目标。全年组织病案管理培训1次，业务知识培训2次，总结培训2次，专项培训3次，调研2次，印发资料4000份。</w:t>
      </w:r>
    </w:p>
    <w:p>
      <w:pPr>
        <w:adjustRightInd w:val="0"/>
        <w:snapToGrid w:val="0"/>
        <w:spacing w:line="600" w:lineRule="exact"/>
        <w:ind w:left="720"/>
        <w:rPr>
          <w:rFonts w:ascii="仿宋_GB2312" w:hAnsi="宋体" w:eastAsia="仿宋_GB2312"/>
          <w:sz w:val="32"/>
          <w:szCs w:val="32"/>
          <w:lang w:val="zh-CN"/>
        </w:rPr>
      </w:pPr>
      <w:r>
        <w:rPr>
          <w:rFonts w:hint="eastAsia" w:ascii="仿宋_GB2312" w:hAnsi="宋体" w:eastAsia="仿宋_GB2312"/>
          <w:sz w:val="32"/>
          <w:szCs w:val="32"/>
        </w:rPr>
        <w:t>3.</w:t>
      </w:r>
      <w:r>
        <w:rPr>
          <w:rFonts w:hint="eastAsia" w:ascii="仿宋_GB2312" w:hAnsi="宋体" w:eastAsia="仿宋_GB2312"/>
          <w:sz w:val="32"/>
          <w:szCs w:val="32"/>
          <w:lang w:val="zh-CN"/>
        </w:rPr>
        <w:t>该项目工作经费申报内容与实际相符，合理可行。</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项目绩效自评按市财政局要求，部门决算后在规定时间内按规定内容进行自评。</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该项目资金年初统一向市财政局申报并编报预算绩效，市财政纳入当年预算执行，当年无调整。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（二）资金计划、到位及使用情况</w:t>
      </w:r>
    </w:p>
    <w:p>
      <w:pPr>
        <w:spacing w:line="560"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．资金计划及到位情况。</w:t>
      </w:r>
      <w:r>
        <w:rPr>
          <w:rFonts w:hint="eastAsia" w:ascii="仿宋_GB2312" w:hAnsi="宋体" w:eastAsia="仿宋_GB2312"/>
          <w:sz w:val="32"/>
          <w:szCs w:val="32"/>
          <w:lang w:val="zh-CN"/>
        </w:rPr>
        <w:t>本项目资金预算为</w:t>
      </w:r>
      <w:r>
        <w:rPr>
          <w:rFonts w:hint="eastAsia" w:ascii="仿宋_GB2312" w:hAnsi="宋体" w:eastAsia="仿宋_GB2312"/>
          <w:sz w:val="32"/>
          <w:szCs w:val="32"/>
        </w:rPr>
        <w:t>50万元，截至2020年底，市财政实际拨付资金50万元，资金拨付率为100%。</w:t>
      </w:r>
    </w:p>
    <w:p>
      <w:pPr>
        <w:spacing w:line="560" w:lineRule="exact"/>
        <w:ind w:firstLine="640" w:firstLineChars="200"/>
        <w:rPr>
          <w:rFonts w:ascii="仿宋_GB2312" w:hAnsi="宋体" w:eastAsia="仿宋_GB2312"/>
          <w:spacing w:val="-6"/>
          <w:sz w:val="32"/>
          <w:szCs w:val="32"/>
        </w:rPr>
      </w:pPr>
      <w:r>
        <w:rPr>
          <w:rFonts w:hint="eastAsia" w:ascii="楷体_GB2312" w:hAnsi="宋体" w:eastAsia="楷体_GB2312"/>
          <w:sz w:val="32"/>
          <w:szCs w:val="32"/>
        </w:rPr>
        <w:t>2</w:t>
      </w:r>
      <w:r>
        <w:rPr>
          <w:rFonts w:hint="eastAsia" w:ascii="楷体_GB2312" w:hAnsi="宋体" w:eastAsia="楷体_GB2312"/>
          <w:sz w:val="32"/>
          <w:szCs w:val="32"/>
          <w:lang w:val="zh-CN"/>
        </w:rPr>
        <w:t>．资</w:t>
      </w:r>
      <w:r>
        <w:rPr>
          <w:rFonts w:hint="eastAsia" w:ascii="楷体_GB2312" w:hAnsi="宋体" w:eastAsia="楷体_GB2312"/>
          <w:spacing w:val="-6"/>
          <w:sz w:val="32"/>
          <w:szCs w:val="32"/>
          <w:lang w:val="zh-CN"/>
        </w:rPr>
        <w:t>金使用。</w:t>
      </w:r>
      <w:r>
        <w:rPr>
          <w:rFonts w:hint="eastAsia" w:ascii="仿宋_GB2312" w:hAnsi="宋体" w:eastAsia="仿宋_GB2312"/>
          <w:spacing w:val="-6"/>
          <w:sz w:val="32"/>
          <w:szCs w:val="32"/>
          <w:lang w:val="zh-CN"/>
        </w:rPr>
        <w:t>本项目资金</w:t>
      </w:r>
      <w:r>
        <w:rPr>
          <w:rFonts w:hint="eastAsia" w:ascii="仿宋_GB2312" w:hAnsi="宋体" w:eastAsia="仿宋_GB2312"/>
          <w:spacing w:val="-6"/>
          <w:sz w:val="32"/>
          <w:szCs w:val="32"/>
        </w:rPr>
        <w:t>全年共支出46.73万元，支出进度为93.46%，主要是用于DRG付费方式改革所需</w:t>
      </w:r>
      <w:r>
        <w:rPr>
          <w:rFonts w:hint="eastAsia" w:ascii="仿宋_GB2312" w:hAnsi="宋体" w:eastAsia="仿宋_GB2312"/>
          <w:spacing w:val="-6"/>
          <w:sz w:val="32"/>
          <w:szCs w:val="32"/>
          <w:lang w:val="zh-CN"/>
        </w:rPr>
        <w:t>经费</w:t>
      </w:r>
      <w:r>
        <w:rPr>
          <w:rFonts w:hint="eastAsia" w:ascii="仿宋_GB2312" w:hAnsi="宋体" w:eastAsia="仿宋_GB2312"/>
          <w:spacing w:val="-6"/>
          <w:sz w:val="32"/>
          <w:szCs w:val="32"/>
        </w:rPr>
        <w:t>。在项目执行过程中，严格按照预算批复项目资金</w:t>
      </w:r>
      <w:r>
        <w:rPr>
          <w:rFonts w:hint="eastAsia" w:ascii="仿宋_GB2312" w:hAnsi="宋体" w:eastAsia="仿宋_GB2312"/>
          <w:spacing w:val="-6"/>
          <w:sz w:val="32"/>
          <w:szCs w:val="32"/>
          <w:lang w:val="zh-CN"/>
        </w:rPr>
        <w:t>支付范围、支付标准</w:t>
      </w:r>
      <w:r>
        <w:rPr>
          <w:rFonts w:hint="eastAsia" w:ascii="仿宋_GB2312" w:hAnsi="宋体" w:eastAsia="仿宋_GB2312"/>
          <w:spacing w:val="-6"/>
          <w:sz w:val="32"/>
          <w:szCs w:val="32"/>
        </w:rPr>
        <w:t>执行</w:t>
      </w:r>
      <w:r>
        <w:rPr>
          <w:rFonts w:hint="eastAsia" w:ascii="仿宋_GB2312" w:hAnsi="宋体" w:eastAsia="仿宋_GB2312"/>
          <w:spacing w:val="-6"/>
          <w:sz w:val="32"/>
          <w:szCs w:val="32"/>
          <w:lang w:val="zh-CN"/>
        </w:rPr>
        <w:t>，</w:t>
      </w:r>
      <w:r>
        <w:rPr>
          <w:rFonts w:hint="eastAsia" w:ascii="仿宋_GB2312" w:hAnsi="宋体" w:eastAsia="仿宋_GB2312"/>
          <w:spacing w:val="-6"/>
          <w:sz w:val="32"/>
          <w:szCs w:val="32"/>
        </w:rPr>
        <w:t>严控预算执行进度和经费支出情况，确保资金使用安全、规范、高效。</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我局财务管理制度健全，账务处理及时，会计核算规范。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（一）项目组织架构及实施流程。</w:t>
      </w:r>
      <w:r>
        <w:rPr>
          <w:rFonts w:hint="eastAsia" w:ascii="仿宋_GB2312" w:hAnsi="宋体" w:eastAsia="仿宋_GB2312"/>
          <w:sz w:val="32"/>
          <w:szCs w:val="32"/>
          <w:lang w:val="zh-CN"/>
        </w:rPr>
        <w:t>该项目工作经费按财政集中支付管理流程执行。</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（二）项目管理情况。</w:t>
      </w:r>
      <w:r>
        <w:rPr>
          <w:rFonts w:hint="eastAsia" w:ascii="仿宋_GB2312" w:hAnsi="宋体" w:eastAsia="仿宋_GB2312"/>
          <w:sz w:val="32"/>
          <w:szCs w:val="32"/>
          <w:lang w:val="zh-CN"/>
        </w:rPr>
        <w:t>我局严格按照项目工作经费使用范围，对于超过</w:t>
      </w:r>
      <w:r>
        <w:rPr>
          <w:rFonts w:hint="eastAsia" w:ascii="仿宋_GB2312" w:hAnsi="宋体" w:eastAsia="仿宋_GB2312"/>
          <w:sz w:val="32"/>
          <w:szCs w:val="32"/>
        </w:rPr>
        <w:t>3万元以上的支出，由局务会议集体研究决定后执行，超过5万元以上的支出。由局党组会议集体研究决定后执行。</w:t>
      </w:r>
    </w:p>
    <w:p>
      <w:pPr>
        <w:adjustRightInd w:val="0"/>
        <w:snapToGrid w:val="0"/>
        <w:spacing w:line="564"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（三）项目监管情况。</w:t>
      </w:r>
      <w:r>
        <w:rPr>
          <w:rFonts w:hint="eastAsia" w:ascii="仿宋_GB2312" w:hAnsi="宋体" w:eastAsia="仿宋_GB2312"/>
          <w:sz w:val="32"/>
          <w:szCs w:val="32"/>
          <w:lang w:val="zh-CN"/>
        </w:rPr>
        <w:t>该项目工作经费支出由局办公室严格审核把关，强化日常监管，并在规定使用范围内执行。</w:t>
      </w:r>
    </w:p>
    <w:p>
      <w:pPr>
        <w:adjustRightInd w:val="0"/>
        <w:snapToGrid w:val="0"/>
        <w:spacing w:line="564"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564"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（一）项目完成情况</w:t>
      </w:r>
    </w:p>
    <w:p>
      <w:pPr>
        <w:adjustRightInd w:val="0"/>
        <w:snapToGrid w:val="0"/>
        <w:spacing w:line="564" w:lineRule="exact"/>
        <w:ind w:firstLine="720"/>
        <w:rPr>
          <w:rFonts w:ascii="楷体_GB2312" w:hAnsi="宋体" w:eastAsia="楷体_GB2312"/>
          <w:sz w:val="32"/>
          <w:szCs w:val="32"/>
          <w:lang w:val="zh-CN"/>
        </w:rPr>
      </w:pPr>
      <w:r>
        <w:rPr>
          <w:rFonts w:hint="eastAsia" w:ascii="仿宋_GB2312" w:hAnsi="宋体" w:eastAsia="仿宋_GB2312"/>
          <w:sz w:val="32"/>
          <w:szCs w:val="32"/>
          <w:lang w:val="zh-CN"/>
        </w:rPr>
        <w:t>全年共组织病案管理培训1次，业务知识培训2次，总结培训</w:t>
      </w:r>
      <w:r>
        <w:rPr>
          <w:rFonts w:hint="eastAsia" w:ascii="仿宋_GB2312" w:hAnsi="宋体" w:eastAsia="仿宋_GB2312"/>
          <w:sz w:val="32"/>
          <w:szCs w:val="32"/>
        </w:rPr>
        <w:t>1</w:t>
      </w:r>
      <w:r>
        <w:rPr>
          <w:rFonts w:hint="eastAsia" w:ascii="仿宋_GB2312" w:hAnsi="宋体" w:eastAsia="仿宋_GB2312"/>
          <w:sz w:val="32"/>
          <w:szCs w:val="32"/>
          <w:lang w:val="zh-CN"/>
        </w:rPr>
        <w:t>次，专项培训3次，调研2次，印发资料4000份，开发支付项目软件</w:t>
      </w:r>
      <w:r>
        <w:rPr>
          <w:rFonts w:hint="eastAsia" w:ascii="仿宋_GB2312" w:hAnsi="宋体" w:eastAsia="仿宋_GB2312"/>
          <w:sz w:val="32"/>
          <w:szCs w:val="32"/>
        </w:rPr>
        <w:t>1套</w:t>
      </w:r>
      <w:r>
        <w:rPr>
          <w:rFonts w:hint="eastAsia" w:ascii="仿宋_GB2312" w:hAnsi="宋体" w:eastAsia="仿宋_GB2312"/>
          <w:sz w:val="32"/>
          <w:szCs w:val="32"/>
          <w:lang w:val="zh-CN"/>
        </w:rPr>
        <w:t>。</w:t>
      </w:r>
    </w:p>
    <w:p>
      <w:pPr>
        <w:adjustRightInd w:val="0"/>
        <w:snapToGrid w:val="0"/>
        <w:spacing w:line="564"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（二）项目效益情况</w:t>
      </w:r>
    </w:p>
    <w:p>
      <w:pPr>
        <w:adjustRightInd w:val="0"/>
        <w:snapToGrid w:val="0"/>
        <w:spacing w:line="564" w:lineRule="exact"/>
        <w:ind w:firstLine="720"/>
        <w:rPr>
          <w:rFonts w:ascii="仿宋_GB2312" w:hAnsi="宋体" w:eastAsia="仿宋_GB2312"/>
          <w:spacing w:val="-6"/>
          <w:sz w:val="32"/>
          <w:szCs w:val="32"/>
          <w:lang w:val="zh-CN"/>
        </w:rPr>
      </w:pPr>
      <w:r>
        <w:rPr>
          <w:rFonts w:hint="eastAsia" w:ascii="仿宋_GB2312" w:hAnsi="宋体" w:eastAsia="仿宋_GB2312"/>
          <w:spacing w:val="-6"/>
          <w:sz w:val="32"/>
          <w:szCs w:val="32"/>
          <w:lang w:val="zh-CN"/>
        </w:rPr>
        <w:t>项目顺利进行极大加快全市</w:t>
      </w:r>
      <w:r>
        <w:rPr>
          <w:rFonts w:hint="eastAsia" w:ascii="仿宋_GB2312" w:hAnsi="宋体" w:eastAsia="仿宋_GB2312"/>
          <w:spacing w:val="-6"/>
          <w:sz w:val="32"/>
          <w:szCs w:val="32"/>
        </w:rPr>
        <w:t>DRG</w:t>
      </w:r>
      <w:r>
        <w:rPr>
          <w:rFonts w:hint="eastAsia" w:ascii="仿宋_GB2312" w:hAnsi="宋体" w:eastAsia="仿宋_GB2312"/>
          <w:spacing w:val="-6"/>
          <w:sz w:val="32"/>
          <w:szCs w:val="32"/>
          <w:lang w:val="zh-CN"/>
        </w:rPr>
        <w:t>付费方式改革进程，减轻患者医疗负担，有效控制医疗费用增长</w:t>
      </w:r>
      <w:r>
        <w:rPr>
          <w:rFonts w:hint="eastAsia" w:ascii="仿宋_GB2312" w:hAnsi="宋体" w:eastAsia="仿宋_GB2312"/>
          <w:spacing w:val="-6"/>
          <w:sz w:val="32"/>
          <w:szCs w:val="32"/>
          <w:lang w:val="zh-CN"/>
        </w:rPr>
        <w:tab/>
      </w:r>
      <w:r>
        <w:rPr>
          <w:rFonts w:hint="eastAsia" w:ascii="仿宋_GB2312" w:hAnsi="宋体" w:eastAsia="仿宋_GB2312"/>
          <w:spacing w:val="-6"/>
          <w:sz w:val="32"/>
          <w:szCs w:val="32"/>
          <w:lang w:val="zh-CN"/>
        </w:rPr>
        <w:t>，提高医保基金使用效率。</w:t>
      </w:r>
    </w:p>
    <w:p>
      <w:pPr>
        <w:adjustRightInd w:val="0"/>
        <w:snapToGrid w:val="0"/>
        <w:spacing w:line="564"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64"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（一）评价结论</w:t>
      </w:r>
    </w:p>
    <w:p>
      <w:pPr>
        <w:adjustRightInd w:val="0"/>
        <w:snapToGrid w:val="0"/>
        <w:spacing w:line="564"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DRG项目经费项目符合医疗保障改革的政策，具有明确的绩效目标，项目实施过程中严格按照实际需要实施，有效控制医保基金增长，减轻参保人员医疗支付负担，降低参保人员就医成本，提高基金使用效率。</w:t>
      </w:r>
    </w:p>
    <w:p>
      <w:pPr>
        <w:adjustRightInd w:val="0"/>
        <w:snapToGrid w:val="0"/>
        <w:spacing w:line="564"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（二）存在的问题</w:t>
      </w:r>
    </w:p>
    <w:p>
      <w:pPr>
        <w:autoSpaceDE w:val="0"/>
        <w:autoSpaceDN w:val="0"/>
        <w:adjustRightInd w:val="0"/>
        <w:spacing w:line="564" w:lineRule="exact"/>
        <w:ind w:firstLine="640" w:firstLineChars="200"/>
        <w:jc w:val="left"/>
        <w:rPr>
          <w:rFonts w:ascii="仿宋_GB2312" w:hAnsi="宋体" w:eastAsia="仿宋_GB2312"/>
          <w:sz w:val="32"/>
          <w:szCs w:val="32"/>
          <w:lang w:val="zh-CN"/>
        </w:rPr>
      </w:pPr>
      <w:r>
        <w:rPr>
          <w:rFonts w:hint="eastAsia" w:ascii="仿宋_GB2312" w:hAnsi="宋体" w:eastAsia="仿宋_GB2312"/>
          <w:sz w:val="32"/>
          <w:szCs w:val="32"/>
          <w:lang w:val="zh-CN"/>
        </w:rPr>
        <w:t>绩效目标编制还需要进一步精细化，项目执行中期评估制度不成熟，有待完善。</w:t>
      </w:r>
    </w:p>
    <w:p>
      <w:pPr>
        <w:adjustRightInd w:val="0"/>
        <w:snapToGrid w:val="0"/>
        <w:spacing w:line="564"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（三）相关建议</w:t>
      </w:r>
    </w:p>
    <w:p>
      <w:pPr>
        <w:spacing w:line="564" w:lineRule="exact"/>
        <w:ind w:firstLine="640" w:firstLineChars="200"/>
        <w:rPr>
          <w:rFonts w:ascii="方正小标宋简体" w:hAnsi="宋体" w:eastAsia="方正小标宋简体"/>
          <w:color w:val="000000"/>
          <w:kern w:val="0"/>
          <w:sz w:val="40"/>
          <w:szCs w:val="40"/>
          <w:lang w:val="zh-CN"/>
        </w:rPr>
      </w:pPr>
      <w:r>
        <w:rPr>
          <w:rFonts w:hint="eastAsia" w:ascii="仿宋_GB2312" w:hAnsi="宋体" w:eastAsia="仿宋_GB2312"/>
          <w:sz w:val="32"/>
          <w:szCs w:val="32"/>
          <w:lang w:val="zh-CN"/>
        </w:rPr>
        <w:t>加大部门绩效目标编制工作，进一步将绩效目标编制更准确、精细，更符合工作实际，提高资金使用效率。</w:t>
      </w:r>
    </w:p>
    <w:p>
      <w:pPr>
        <w:widowControl/>
        <w:spacing w:line="640" w:lineRule="exact"/>
        <w:jc w:val="center"/>
        <w:rPr>
          <w:rFonts w:ascii="方正小标宋简体" w:hAnsi="宋体" w:eastAsia="方正小标宋简体"/>
          <w:color w:val="000000"/>
          <w:kern w:val="0"/>
          <w:sz w:val="44"/>
          <w:szCs w:val="44"/>
          <w:lang w:val="zh-CN"/>
        </w:rPr>
      </w:pPr>
      <w:r>
        <w:rPr>
          <w:rFonts w:cs="宋体"/>
          <w:szCs w:val="20"/>
        </w:rPr>
        <w:br w:type="page"/>
      </w:r>
      <w:r>
        <w:rPr>
          <w:rFonts w:hint="eastAsia" w:ascii="方正小标宋简体" w:hAnsi="宋体" w:eastAsia="方正小标宋简体"/>
          <w:color w:val="000000"/>
          <w:kern w:val="0"/>
          <w:sz w:val="44"/>
          <w:szCs w:val="44"/>
        </w:rPr>
        <w:t>打击欺诈骗保业务经费</w:t>
      </w:r>
      <w:r>
        <w:rPr>
          <w:rFonts w:hint="eastAsia" w:ascii="方正小标宋简体" w:hAnsi="宋体" w:eastAsia="方正小标宋简体"/>
          <w:color w:val="000000"/>
          <w:kern w:val="0"/>
          <w:sz w:val="44"/>
          <w:szCs w:val="44"/>
          <w:lang w:val="zh-CN"/>
        </w:rPr>
        <w:t>项目</w:t>
      </w:r>
    </w:p>
    <w:p>
      <w:pPr>
        <w:spacing w:line="64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（一）项目基本情况</w:t>
      </w:r>
    </w:p>
    <w:p>
      <w:pPr>
        <w:spacing w:line="57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．项目主管部门在该项目管理中的职能。本项目主管部门是广元市医疗保障局，主要职能是根据基本职能</w:t>
      </w:r>
      <w:r>
        <w:rPr>
          <w:rFonts w:hint="eastAsia" w:ascii="仿宋_GB2312" w:eastAsia="仿宋_GB2312" w:cs="仿宋_GB2312"/>
          <w:spacing w:val="-6"/>
          <w:sz w:val="32"/>
          <w:szCs w:val="32"/>
        </w:rPr>
        <w:t>第9条</w:t>
      </w:r>
      <w:r>
        <w:rPr>
          <w:rFonts w:hint="eastAsia" w:ascii="仿宋_GB2312" w:eastAsia="仿宋_GB2312" w:cs="仿宋_GB2312"/>
          <w:sz w:val="32"/>
          <w:szCs w:val="32"/>
        </w:rPr>
        <w:t>监督管理纳入医保范围内的医疗服务行为和医疗费用，依法查处医疗保障领域违法违规行为。</w:t>
      </w:r>
    </w:p>
    <w:p>
      <w:pPr>
        <w:numPr>
          <w:ilvl w:val="0"/>
          <w:numId w:val="3"/>
        </w:num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项目立项、资金申报的依据。</w:t>
      </w:r>
      <w:r>
        <w:rPr>
          <w:rFonts w:hint="eastAsia" w:ascii="仿宋_GB2312" w:hAnsi="宋体" w:eastAsia="仿宋_GB2312" w:cs="宋体"/>
          <w:color w:val="000000"/>
          <w:kern w:val="0"/>
          <w:sz w:val="32"/>
          <w:szCs w:val="32"/>
          <w:shd w:val="clear" w:color="auto" w:fill="FFFFFF"/>
          <w:lang w:val="zh-CN"/>
        </w:rPr>
        <w:t>本项目</w:t>
      </w:r>
      <w:r>
        <w:rPr>
          <w:rFonts w:hint="eastAsia" w:ascii="仿宋_GB2312" w:hAnsi="宋体" w:eastAsia="仿宋_GB2312"/>
          <w:sz w:val="32"/>
          <w:szCs w:val="32"/>
          <w:lang w:val="zh-CN"/>
        </w:rPr>
        <w:t>根据市委市政府授予广元市医疗保障局</w:t>
      </w:r>
      <w:r>
        <w:rPr>
          <w:rFonts w:hint="eastAsia" w:ascii="仿宋_GB2312" w:eastAsia="仿宋_GB2312" w:cs="仿宋_GB2312"/>
          <w:sz w:val="32"/>
          <w:szCs w:val="32"/>
        </w:rPr>
        <w:t>依法查处医疗保障领域违法违规行为</w:t>
      </w:r>
      <w:r>
        <w:rPr>
          <w:rFonts w:hint="eastAsia" w:ascii="仿宋_GB2312" w:hAnsi="宋体" w:eastAsia="仿宋_GB2312"/>
          <w:sz w:val="32"/>
          <w:szCs w:val="32"/>
          <w:lang w:val="zh-CN"/>
        </w:rPr>
        <w:t>职能职责所设立。</w:t>
      </w:r>
    </w:p>
    <w:p>
      <w:pPr>
        <w:adjustRightInd w:val="0"/>
        <w:snapToGrid w:val="0"/>
        <w:spacing w:line="600" w:lineRule="exact"/>
        <w:ind w:firstLine="640" w:firstLineChars="200"/>
        <w:rPr>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．资金分配的原则及考虑因素。依据</w:t>
      </w:r>
      <w:r>
        <w:rPr>
          <w:rFonts w:hint="eastAsia" w:ascii="仿宋_GB2312" w:eastAsia="仿宋_GB2312" w:cs="仿宋_GB2312"/>
          <w:sz w:val="32"/>
          <w:szCs w:val="32"/>
        </w:rPr>
        <w:t>打击欺诈骗保行为</w:t>
      </w:r>
      <w:r>
        <w:rPr>
          <w:rFonts w:hint="eastAsia" w:ascii="仿宋_GB2312" w:hAnsi="宋体" w:eastAsia="仿宋_GB2312"/>
          <w:sz w:val="32"/>
          <w:szCs w:val="32"/>
          <w:lang w:val="zh-CN"/>
        </w:rPr>
        <w:t>相关情况分配项目资金。</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（二）项目绩效目标</w:t>
      </w:r>
    </w:p>
    <w:p>
      <w:pPr>
        <w:adjustRightInd w:val="0"/>
        <w:snapToGrid w:val="0"/>
        <w:spacing w:line="60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．项目主要内容。购置医保行政检查设备，开展打击欺诈骗保业务培训，印制医保监管宣传资料，开展打击欺诈骗保行为举报奖励。</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．项目绩效目标。全年印制宣传资料5000份，开展培训2次，参训人员100人次，发放打击欺诈骗保行为举报奖励金。</w:t>
      </w:r>
    </w:p>
    <w:p>
      <w:pPr>
        <w:adjustRightInd w:val="0"/>
        <w:snapToGrid w:val="0"/>
        <w:spacing w:line="600" w:lineRule="exact"/>
        <w:ind w:left="720"/>
        <w:rPr>
          <w:rFonts w:ascii="仿宋_GB2312" w:hAnsi="宋体" w:eastAsia="仿宋_GB2312"/>
          <w:sz w:val="32"/>
          <w:szCs w:val="32"/>
          <w:lang w:val="zh-CN"/>
        </w:rPr>
      </w:pPr>
      <w:r>
        <w:rPr>
          <w:rFonts w:hint="eastAsia" w:ascii="仿宋_GB2312" w:hAnsi="宋体" w:eastAsia="仿宋_GB2312"/>
          <w:sz w:val="32"/>
          <w:szCs w:val="32"/>
        </w:rPr>
        <w:t>3.</w:t>
      </w:r>
      <w:r>
        <w:rPr>
          <w:rFonts w:hint="eastAsia" w:ascii="仿宋_GB2312" w:hAnsi="宋体" w:eastAsia="仿宋_GB2312"/>
          <w:sz w:val="32"/>
          <w:szCs w:val="32"/>
          <w:lang w:val="zh-CN"/>
        </w:rPr>
        <w:t>该项目工作经费申报内容与实际相符，合理可行。</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项目绩效自评按市财政局要求，部门决算后在规定时间内按规定内容进行自评。</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该项目资金年初统一向市财政局申报并编报预算绩效，市财政纳入当年预算执行，当年无调整。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（二）资金计划、到位及使用情况</w:t>
      </w:r>
    </w:p>
    <w:p>
      <w:pPr>
        <w:spacing w:line="560"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．资金计划及到位情况。</w:t>
      </w:r>
      <w:r>
        <w:rPr>
          <w:rFonts w:hint="eastAsia" w:ascii="仿宋_GB2312" w:hAnsi="宋体" w:eastAsia="仿宋_GB2312"/>
          <w:sz w:val="32"/>
          <w:szCs w:val="32"/>
          <w:lang w:val="zh-CN"/>
        </w:rPr>
        <w:t>本项目资金预算为</w:t>
      </w:r>
      <w:r>
        <w:rPr>
          <w:rFonts w:hint="eastAsia" w:ascii="仿宋_GB2312" w:hAnsi="宋体" w:eastAsia="仿宋_GB2312"/>
          <w:sz w:val="32"/>
          <w:szCs w:val="32"/>
        </w:rPr>
        <w:t>10万元，截至2020年底，市财政实际拨付资金10万元，资金拨付率为100%。</w:t>
      </w:r>
    </w:p>
    <w:p>
      <w:pPr>
        <w:spacing w:line="560" w:lineRule="exact"/>
        <w:ind w:firstLine="640" w:firstLineChars="200"/>
        <w:rPr>
          <w:rFonts w:ascii="仿宋_GB2312" w:hAnsi="宋体" w:eastAsia="仿宋_GB2312"/>
          <w:sz w:val="32"/>
          <w:szCs w:val="32"/>
        </w:rPr>
      </w:pPr>
      <w:r>
        <w:rPr>
          <w:rFonts w:hint="eastAsia" w:ascii="楷体_GB2312" w:hAnsi="宋体" w:eastAsia="楷体_GB2312"/>
          <w:sz w:val="32"/>
          <w:szCs w:val="32"/>
        </w:rPr>
        <w:t>2</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本项目资金</w:t>
      </w:r>
      <w:r>
        <w:rPr>
          <w:rFonts w:hint="eastAsia" w:ascii="仿宋_GB2312" w:hAnsi="宋体" w:eastAsia="仿宋_GB2312"/>
          <w:sz w:val="32"/>
          <w:szCs w:val="32"/>
        </w:rPr>
        <w:t>全年共支出10万元，支出进度为100%，主要是打击欺诈骗保业务所需</w:t>
      </w:r>
      <w:r>
        <w:rPr>
          <w:rFonts w:hint="eastAsia" w:ascii="仿宋_GB2312" w:hAnsi="宋体" w:eastAsia="仿宋_GB2312"/>
          <w:sz w:val="32"/>
          <w:szCs w:val="32"/>
          <w:lang w:val="zh-CN"/>
        </w:rPr>
        <w:t>经费</w:t>
      </w:r>
      <w:r>
        <w:rPr>
          <w:rFonts w:hint="eastAsia" w:ascii="仿宋_GB2312" w:hAnsi="宋体" w:eastAsia="仿宋_GB2312"/>
          <w:sz w:val="32"/>
          <w:szCs w:val="32"/>
        </w:rPr>
        <w:t>。在项目执行过程中，严格按照预算批复项目资金</w:t>
      </w:r>
      <w:r>
        <w:rPr>
          <w:rFonts w:hint="eastAsia" w:ascii="仿宋_GB2312" w:hAnsi="宋体" w:eastAsia="仿宋_GB2312"/>
          <w:sz w:val="32"/>
          <w:szCs w:val="32"/>
          <w:lang w:val="zh-CN"/>
        </w:rPr>
        <w:t>支付范围、支付标准</w:t>
      </w:r>
      <w:r>
        <w:rPr>
          <w:rFonts w:hint="eastAsia" w:ascii="仿宋_GB2312" w:hAnsi="宋体" w:eastAsia="仿宋_GB2312"/>
          <w:sz w:val="32"/>
          <w:szCs w:val="32"/>
        </w:rPr>
        <w:t>执行</w:t>
      </w:r>
      <w:r>
        <w:rPr>
          <w:rFonts w:hint="eastAsia" w:ascii="仿宋_GB2312" w:hAnsi="宋体" w:eastAsia="仿宋_GB2312"/>
          <w:sz w:val="32"/>
          <w:szCs w:val="32"/>
          <w:lang w:val="zh-CN"/>
        </w:rPr>
        <w:t>，</w:t>
      </w:r>
      <w:r>
        <w:rPr>
          <w:rFonts w:hint="eastAsia" w:ascii="仿宋_GB2312" w:hAnsi="宋体" w:eastAsia="仿宋_GB2312"/>
          <w:sz w:val="32"/>
          <w:szCs w:val="32"/>
        </w:rPr>
        <w:t>严控预算执行进度和经费支出情况，确保资金使用安全、规范、高效。</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我局财务管理制度健全，账务处理及时，会计核算规范。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（一）项目组织架构及实施流程。</w:t>
      </w:r>
      <w:r>
        <w:rPr>
          <w:rFonts w:hint="eastAsia" w:ascii="仿宋_GB2312" w:hAnsi="宋体" w:eastAsia="仿宋_GB2312"/>
          <w:sz w:val="32"/>
          <w:szCs w:val="32"/>
          <w:lang w:val="zh-CN"/>
        </w:rPr>
        <w:t>该项目工作经费按财政集中支付管理流程执行。</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（二）项目管理情况。</w:t>
      </w:r>
      <w:r>
        <w:rPr>
          <w:rFonts w:hint="eastAsia" w:ascii="仿宋_GB2312" w:hAnsi="宋体" w:eastAsia="仿宋_GB2312"/>
          <w:sz w:val="32"/>
          <w:szCs w:val="32"/>
          <w:lang w:val="zh-CN"/>
        </w:rPr>
        <w:t>我局严格按照项目工作经费使用范围，对于超过</w:t>
      </w:r>
      <w:r>
        <w:rPr>
          <w:rFonts w:hint="eastAsia" w:ascii="仿宋_GB2312" w:hAnsi="宋体" w:eastAsia="仿宋_GB2312"/>
          <w:sz w:val="32"/>
          <w:szCs w:val="32"/>
        </w:rPr>
        <w:t>3万元以上的支出，由局务会议集体研究决定后执行，超过5万元以上的支出。由局党组会议集体研究决定后执行。</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（三）项目监管情况。</w:t>
      </w:r>
      <w:r>
        <w:rPr>
          <w:rFonts w:hint="eastAsia" w:ascii="仿宋_GB2312" w:hAnsi="宋体" w:eastAsia="仿宋_GB2312"/>
          <w:sz w:val="32"/>
          <w:szCs w:val="32"/>
          <w:lang w:val="zh-CN"/>
        </w:rPr>
        <w:t>该项目工作经费支出由局办公室严格审核把关，强化日常监管，并在规定使用范围内执行。</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（一）项目完成情况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全年印制宣传资料5000份，开展培训6次，参训人员300人次，发放打击欺诈骗保行为举报奖励金5786元。</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项目顺利进行有效的净化了就医环境，保障了参保人员的利益和医保基金的安全。</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（一）评价结论</w:t>
      </w:r>
    </w:p>
    <w:p>
      <w:pPr>
        <w:spacing w:line="546" w:lineRule="exact"/>
        <w:ind w:firstLine="640" w:firstLineChars="200"/>
        <w:rPr>
          <w:rFonts w:ascii="仿宋_GB2312" w:hAnsi="宋体" w:eastAsia="仿宋_GB2312" w:cs="仿宋_GB2312"/>
          <w:color w:val="0000FF"/>
          <w:sz w:val="32"/>
          <w:szCs w:val="32"/>
          <w:lang w:val="zh-CN"/>
        </w:rPr>
      </w:pPr>
      <w:r>
        <w:rPr>
          <w:rFonts w:hint="eastAsia" w:ascii="仿宋_GB2312" w:hAnsi="宋体" w:eastAsia="仿宋_GB2312"/>
          <w:sz w:val="32"/>
          <w:szCs w:val="32"/>
          <w:lang w:val="zh-CN"/>
        </w:rPr>
        <w:t>打击欺诈骗保业务经费项目有效强化了医保基金监管，纯洁了医疗保障社会生态，切实减轻人民群众医疗费用负担，确保医保基金安全、持续、健康运行。</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（二）存在的问题</w:t>
      </w:r>
    </w:p>
    <w:p>
      <w:pPr>
        <w:autoSpaceDE w:val="0"/>
        <w:autoSpaceDN w:val="0"/>
        <w:adjustRightInd w:val="0"/>
        <w:spacing w:line="576" w:lineRule="exact"/>
        <w:ind w:firstLine="640" w:firstLineChars="200"/>
        <w:jc w:val="left"/>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（三）相关建议</w:t>
      </w:r>
    </w:p>
    <w:p>
      <w:pPr>
        <w:spacing w:line="600" w:lineRule="exact"/>
        <w:ind w:firstLine="640" w:firstLineChars="200"/>
        <w:rPr>
          <w:rFonts w:ascii="方正小标宋简体" w:hAnsi="宋体" w:eastAsia="方正小标宋简体"/>
          <w:color w:val="000000"/>
          <w:kern w:val="0"/>
          <w:sz w:val="40"/>
          <w:szCs w:val="40"/>
          <w:lang w:val="zh-CN"/>
        </w:rPr>
      </w:pPr>
      <w:r>
        <w:rPr>
          <w:rFonts w:hint="eastAsia" w:ascii="仿宋_GB2312" w:hAnsi="宋体" w:eastAsia="仿宋_GB2312"/>
          <w:sz w:val="32"/>
          <w:szCs w:val="32"/>
          <w:lang w:val="zh-CN"/>
        </w:rPr>
        <w:t>无。</w:t>
      </w:r>
    </w:p>
    <w:p>
      <w:pPr>
        <w:autoSpaceDE w:val="0"/>
        <w:autoSpaceDN w:val="0"/>
        <w:adjustRightInd w:val="0"/>
        <w:spacing w:line="576" w:lineRule="exact"/>
        <w:ind w:firstLine="640" w:firstLineChars="200"/>
        <w:jc w:val="left"/>
        <w:rPr>
          <w:rFonts w:ascii="仿宋_GB2312" w:hAnsi="宋体" w:eastAsia="仿宋_GB2312" w:cs="宋体"/>
          <w:color w:val="000000"/>
          <w:kern w:val="0"/>
          <w:sz w:val="32"/>
          <w:szCs w:val="32"/>
          <w:shd w:val="clear" w:color="auto" w:fill="FFFFFF"/>
          <w:lang w:val="zh-CN"/>
        </w:rPr>
      </w:pPr>
    </w:p>
    <w:p>
      <w:pPr>
        <w:spacing w:line="600" w:lineRule="exact"/>
        <w:jc w:val="center"/>
        <w:rPr>
          <w:rFonts w:ascii="方正小标宋简体" w:hAnsi="宋体" w:eastAsia="方正小标宋简体"/>
          <w:color w:val="000000"/>
          <w:kern w:val="0"/>
          <w:sz w:val="44"/>
          <w:szCs w:val="44"/>
        </w:rPr>
      </w:pPr>
    </w:p>
    <w:p>
      <w:pPr>
        <w:spacing w:line="640" w:lineRule="exact"/>
        <w:jc w:val="center"/>
        <w:rPr>
          <w:rFonts w:ascii="方正小标宋简体" w:hAnsi="宋体" w:eastAsia="方正小标宋简体"/>
          <w:color w:val="000000"/>
          <w:kern w:val="0"/>
          <w:sz w:val="44"/>
          <w:szCs w:val="44"/>
          <w:lang w:val="zh-CN"/>
        </w:rPr>
      </w:pPr>
      <w:bookmarkStart w:id="59" w:name="_Toc15396618"/>
      <w:r>
        <w:rPr>
          <w:rFonts w:hint="eastAsia" w:ascii="方正小标宋简体" w:hAnsi="宋体" w:eastAsia="方正小标宋简体"/>
          <w:color w:val="000000"/>
          <w:kern w:val="0"/>
          <w:sz w:val="44"/>
          <w:szCs w:val="44"/>
        </w:rPr>
        <w:t>业务档案电子信息系统建设</w:t>
      </w:r>
      <w:r>
        <w:rPr>
          <w:rFonts w:hint="eastAsia" w:ascii="方正小标宋简体" w:hAnsi="宋体" w:eastAsia="方正小标宋简体"/>
          <w:color w:val="000000"/>
          <w:kern w:val="0"/>
          <w:sz w:val="44"/>
          <w:szCs w:val="44"/>
          <w:lang w:val="zh-CN"/>
        </w:rPr>
        <w:t>项目</w:t>
      </w:r>
    </w:p>
    <w:p>
      <w:pPr>
        <w:spacing w:line="64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（一）项目基本情况</w:t>
      </w:r>
    </w:p>
    <w:p>
      <w:pPr>
        <w:spacing w:line="57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．项目主管部门在该项目管理中的职能。本项目主管部门是广元市医疗保障局，主要职能是根据基本职能</w:t>
      </w:r>
      <w:r>
        <w:rPr>
          <w:rFonts w:hint="eastAsia" w:ascii="仿宋_GB2312" w:eastAsia="仿宋_GB2312" w:cs="仿宋_GB2312"/>
          <w:spacing w:val="-6"/>
          <w:sz w:val="32"/>
          <w:szCs w:val="32"/>
        </w:rPr>
        <w:t>第10条</w:t>
      </w:r>
      <w:r>
        <w:rPr>
          <w:rFonts w:hint="eastAsia" w:ascii="仿宋_GB2312" w:eastAsia="仿宋_GB2312" w:cs="仿宋_GB2312"/>
          <w:sz w:val="32"/>
          <w:szCs w:val="32"/>
        </w:rPr>
        <w:t>负责全市医疗保障经办管理、公共服务体系建设。</w:t>
      </w:r>
    </w:p>
    <w:p>
      <w:pPr>
        <w:numPr>
          <w:ilvl w:val="0"/>
          <w:numId w:val="3"/>
        </w:num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项目立项、资金申报的依据。</w:t>
      </w:r>
      <w:r>
        <w:rPr>
          <w:rFonts w:hint="eastAsia" w:ascii="仿宋_GB2312" w:hAnsi="宋体" w:eastAsia="仿宋_GB2312" w:cs="宋体"/>
          <w:color w:val="000000"/>
          <w:kern w:val="0"/>
          <w:sz w:val="32"/>
          <w:szCs w:val="32"/>
          <w:shd w:val="clear" w:color="auto" w:fill="FFFFFF"/>
          <w:lang w:val="zh-CN"/>
        </w:rPr>
        <w:t>本项目</w:t>
      </w:r>
      <w:r>
        <w:rPr>
          <w:rFonts w:hint="eastAsia" w:ascii="仿宋_GB2312" w:hAnsi="宋体" w:eastAsia="仿宋_GB2312"/>
          <w:sz w:val="32"/>
          <w:szCs w:val="32"/>
          <w:lang w:val="zh-CN"/>
        </w:rPr>
        <w:t>根据市委市政府授予广元市医疗保障局</w:t>
      </w:r>
      <w:r>
        <w:rPr>
          <w:rFonts w:hint="eastAsia" w:ascii="仿宋_GB2312" w:eastAsia="仿宋_GB2312" w:cs="仿宋_GB2312"/>
          <w:sz w:val="32"/>
          <w:szCs w:val="32"/>
        </w:rPr>
        <w:t>负责全市医疗保障经办管理、公共服务体系建设</w:t>
      </w:r>
      <w:r>
        <w:rPr>
          <w:rFonts w:hint="eastAsia" w:ascii="仿宋_GB2312" w:hAnsi="宋体" w:eastAsia="仿宋_GB2312"/>
          <w:sz w:val="32"/>
          <w:szCs w:val="32"/>
          <w:lang w:val="zh-CN"/>
        </w:rPr>
        <w:t>职能职责所设立。</w:t>
      </w:r>
    </w:p>
    <w:p>
      <w:pPr>
        <w:adjustRightInd w:val="0"/>
        <w:snapToGrid w:val="0"/>
        <w:spacing w:line="600" w:lineRule="exact"/>
        <w:ind w:firstLine="640" w:firstLineChars="200"/>
        <w:rPr>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．资金分配的原则及考虑因素。依据业务档案电子信息系统建设相关情况分配项目资金。</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（二）项目绩效目标</w:t>
      </w:r>
    </w:p>
    <w:p>
      <w:pPr>
        <w:adjustRightInd w:val="0"/>
        <w:snapToGrid w:val="0"/>
        <w:spacing w:line="60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．项目主要内容。开展业务档案电子信息系统建设，聘请软件技术人员，开发相关系统，购入终端设备并将医保业务纸质档案录入电子档案。</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．项目绩效目标。录入电子档案500000份，聘请软件技术人员2人，购入终端设备5台，开发软件1套。</w:t>
      </w:r>
    </w:p>
    <w:p>
      <w:pPr>
        <w:adjustRightInd w:val="0"/>
        <w:snapToGrid w:val="0"/>
        <w:spacing w:line="600" w:lineRule="exact"/>
        <w:ind w:left="720"/>
        <w:rPr>
          <w:rFonts w:ascii="仿宋_GB2312" w:hAnsi="宋体" w:eastAsia="仿宋_GB2312"/>
          <w:sz w:val="32"/>
          <w:szCs w:val="32"/>
          <w:lang w:val="zh-CN"/>
        </w:rPr>
      </w:pPr>
      <w:r>
        <w:rPr>
          <w:rFonts w:hint="eastAsia" w:ascii="仿宋_GB2312" w:hAnsi="宋体" w:eastAsia="仿宋_GB2312"/>
          <w:sz w:val="32"/>
          <w:szCs w:val="32"/>
        </w:rPr>
        <w:t>3.</w:t>
      </w:r>
      <w:r>
        <w:rPr>
          <w:rFonts w:hint="eastAsia" w:ascii="仿宋_GB2312" w:hAnsi="宋体" w:eastAsia="仿宋_GB2312"/>
          <w:sz w:val="32"/>
          <w:szCs w:val="32"/>
          <w:lang w:val="zh-CN"/>
        </w:rPr>
        <w:t>该项目工作经费申报内容与实际相符，合理可行。</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项目绩效自评按市财政局要求，部门决算后在规定时间内按规定内容进行自评。</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该项目资金年初统一向市财政局申报并编报预算绩效，市财政纳入当年预算执行，当年无调整。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（二）资金计划、到位及使用情况</w:t>
      </w:r>
    </w:p>
    <w:p>
      <w:pPr>
        <w:spacing w:line="560"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．资金计划及到位情况。</w:t>
      </w:r>
      <w:r>
        <w:rPr>
          <w:rFonts w:hint="eastAsia" w:ascii="仿宋_GB2312" w:hAnsi="宋体" w:eastAsia="仿宋_GB2312"/>
          <w:sz w:val="32"/>
          <w:szCs w:val="32"/>
          <w:lang w:val="zh-CN"/>
        </w:rPr>
        <w:t>本项目资金预算为</w:t>
      </w:r>
      <w:r>
        <w:rPr>
          <w:rFonts w:hint="eastAsia" w:ascii="仿宋_GB2312" w:hAnsi="宋体" w:eastAsia="仿宋_GB2312"/>
          <w:sz w:val="32"/>
          <w:szCs w:val="32"/>
        </w:rPr>
        <w:t>30万元，截至2020年底，市财政实际拨付资金30万元，资金拨付率为100%。</w:t>
      </w:r>
    </w:p>
    <w:p>
      <w:pPr>
        <w:spacing w:line="560" w:lineRule="exact"/>
        <w:ind w:firstLine="640" w:firstLineChars="200"/>
        <w:rPr>
          <w:rFonts w:ascii="仿宋_GB2312" w:hAnsi="宋体" w:eastAsia="仿宋_GB2312"/>
          <w:sz w:val="32"/>
          <w:szCs w:val="32"/>
        </w:rPr>
      </w:pPr>
      <w:r>
        <w:rPr>
          <w:rFonts w:hint="eastAsia" w:ascii="楷体_GB2312" w:hAnsi="宋体" w:eastAsia="楷体_GB2312"/>
          <w:sz w:val="32"/>
          <w:szCs w:val="32"/>
        </w:rPr>
        <w:t>2</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本项目资金</w:t>
      </w:r>
      <w:r>
        <w:rPr>
          <w:rFonts w:hint="eastAsia" w:ascii="仿宋_GB2312" w:hAnsi="宋体" w:eastAsia="仿宋_GB2312"/>
          <w:sz w:val="32"/>
          <w:szCs w:val="32"/>
        </w:rPr>
        <w:t>全年共支出20.51万元，支出进度为68.37%，全部用于业务档案电子信息系统建设。在项目执行过程中，严格按照预算批复项目资金</w:t>
      </w:r>
      <w:r>
        <w:rPr>
          <w:rFonts w:hint="eastAsia" w:ascii="仿宋_GB2312" w:hAnsi="宋体" w:eastAsia="仿宋_GB2312"/>
          <w:sz w:val="32"/>
          <w:szCs w:val="32"/>
          <w:lang w:val="zh-CN"/>
        </w:rPr>
        <w:t>支付范围、支付标准</w:t>
      </w:r>
      <w:r>
        <w:rPr>
          <w:rFonts w:hint="eastAsia" w:ascii="仿宋_GB2312" w:hAnsi="宋体" w:eastAsia="仿宋_GB2312"/>
          <w:sz w:val="32"/>
          <w:szCs w:val="32"/>
        </w:rPr>
        <w:t>执行</w:t>
      </w:r>
      <w:r>
        <w:rPr>
          <w:rFonts w:hint="eastAsia" w:ascii="仿宋_GB2312" w:hAnsi="宋体" w:eastAsia="仿宋_GB2312"/>
          <w:sz w:val="32"/>
          <w:szCs w:val="32"/>
          <w:lang w:val="zh-CN"/>
        </w:rPr>
        <w:t>，</w:t>
      </w:r>
      <w:r>
        <w:rPr>
          <w:rFonts w:hint="eastAsia" w:ascii="仿宋_GB2312" w:hAnsi="宋体" w:eastAsia="仿宋_GB2312"/>
          <w:sz w:val="32"/>
          <w:szCs w:val="32"/>
        </w:rPr>
        <w:t>严控预算执行进度和经费支出情况，确保资金使用安全、规范、高效。</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我局财务管理制度健全，账务处理及时，会计核算规范。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（一）项目组织架构及实施流程。</w:t>
      </w:r>
      <w:r>
        <w:rPr>
          <w:rFonts w:hint="eastAsia" w:ascii="仿宋_GB2312" w:hAnsi="宋体" w:eastAsia="仿宋_GB2312"/>
          <w:sz w:val="32"/>
          <w:szCs w:val="32"/>
          <w:lang w:val="zh-CN"/>
        </w:rPr>
        <w:t>该项目工作经费按财政集中支付管理流程执行。</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（二）项目管理情况。</w:t>
      </w:r>
      <w:r>
        <w:rPr>
          <w:rFonts w:hint="eastAsia" w:ascii="仿宋_GB2312" w:hAnsi="宋体" w:eastAsia="仿宋_GB2312"/>
          <w:sz w:val="32"/>
          <w:szCs w:val="32"/>
          <w:lang w:val="zh-CN"/>
        </w:rPr>
        <w:t>我局严格按照项目工作经费使用范围，对于超过</w:t>
      </w:r>
      <w:r>
        <w:rPr>
          <w:rFonts w:hint="eastAsia" w:ascii="仿宋_GB2312" w:hAnsi="宋体" w:eastAsia="仿宋_GB2312"/>
          <w:sz w:val="32"/>
          <w:szCs w:val="32"/>
        </w:rPr>
        <w:t>3万元以上的支出，由局务会议集体研究决定后执行，超过5万元以上的支出。由局党组会议集体研究决定后执行。</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（三）项目监管情况。</w:t>
      </w:r>
      <w:r>
        <w:rPr>
          <w:rFonts w:hint="eastAsia" w:ascii="仿宋_GB2312" w:hAnsi="宋体" w:eastAsia="仿宋_GB2312"/>
          <w:sz w:val="32"/>
          <w:szCs w:val="32"/>
          <w:lang w:val="zh-CN"/>
        </w:rPr>
        <w:t>该项目工作经费支出由局办公室严格审核把关，强化日常监管，并在规定使用范围内执行。</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（一）项目完成情况</w:t>
      </w:r>
    </w:p>
    <w:p>
      <w:pPr>
        <w:adjustRightInd w:val="0"/>
        <w:snapToGrid w:val="0"/>
        <w:spacing w:line="600" w:lineRule="exact"/>
        <w:ind w:firstLine="720"/>
        <w:rPr>
          <w:rFonts w:ascii="仿宋_GB2312" w:hAnsi="宋体" w:eastAsia="仿宋_GB2312"/>
          <w:spacing w:val="-4"/>
          <w:sz w:val="32"/>
          <w:szCs w:val="32"/>
          <w:lang w:val="zh-CN"/>
        </w:rPr>
      </w:pPr>
      <w:r>
        <w:rPr>
          <w:rFonts w:hint="eastAsia" w:ascii="仿宋_GB2312" w:hAnsi="宋体" w:eastAsia="仿宋_GB2312"/>
          <w:spacing w:val="-4"/>
          <w:sz w:val="32"/>
          <w:szCs w:val="32"/>
          <w:lang w:val="zh-CN"/>
        </w:rPr>
        <w:t>已完成业务档案电子信息系统软件开发和接口改造，聘请软件技术人员2人，购入终端设备</w:t>
      </w:r>
      <w:r>
        <w:rPr>
          <w:rFonts w:hint="eastAsia" w:ascii="仿宋_GB2312" w:hAnsi="宋体" w:eastAsia="仿宋_GB2312"/>
          <w:spacing w:val="-4"/>
          <w:sz w:val="32"/>
          <w:szCs w:val="32"/>
        </w:rPr>
        <w:t>16</w:t>
      </w:r>
      <w:r>
        <w:rPr>
          <w:rFonts w:hint="eastAsia" w:ascii="仿宋_GB2312" w:hAnsi="宋体" w:eastAsia="仿宋_GB2312"/>
          <w:spacing w:val="-4"/>
          <w:sz w:val="32"/>
          <w:szCs w:val="32"/>
          <w:lang w:val="zh-CN"/>
        </w:rPr>
        <w:t>台，录入电子档案</w:t>
      </w:r>
      <w:r>
        <w:rPr>
          <w:rFonts w:hint="eastAsia" w:ascii="仿宋_GB2312" w:hAnsi="宋体" w:eastAsia="仿宋_GB2312"/>
          <w:spacing w:val="-4"/>
          <w:sz w:val="32"/>
          <w:szCs w:val="32"/>
        </w:rPr>
        <w:t>10</w:t>
      </w:r>
      <w:r>
        <w:rPr>
          <w:rFonts w:hint="eastAsia" w:ascii="仿宋_GB2312" w:hAnsi="宋体" w:eastAsia="仿宋_GB2312"/>
          <w:spacing w:val="-4"/>
          <w:sz w:val="32"/>
          <w:szCs w:val="32"/>
          <w:lang w:val="zh-CN"/>
        </w:rPr>
        <w:t>0000份。</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项目顺利进行加强了医保业务档案管理，避免出现业务档案丢失，方便档案查询，提升经办服务能力。</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（一）评价结论</w:t>
      </w:r>
    </w:p>
    <w:p>
      <w:pPr>
        <w:spacing w:line="546" w:lineRule="exact"/>
        <w:ind w:firstLine="640" w:firstLineChars="200"/>
        <w:rPr>
          <w:rFonts w:ascii="仿宋_GB2312" w:hAnsi="宋体" w:eastAsia="仿宋_GB2312" w:cs="仿宋_GB2312"/>
          <w:color w:val="0000FF"/>
          <w:sz w:val="32"/>
          <w:szCs w:val="32"/>
          <w:lang w:val="zh-CN"/>
        </w:rPr>
      </w:pPr>
      <w:r>
        <w:rPr>
          <w:rFonts w:hint="eastAsia" w:ascii="仿宋_GB2312" w:hAnsi="宋体" w:eastAsia="仿宋_GB2312"/>
          <w:sz w:val="32"/>
          <w:szCs w:val="32"/>
          <w:lang w:val="zh-CN"/>
        </w:rPr>
        <w:t>业务档案电子信息系统建设项目实现了医保档案管理电子一体化，有效提升档案管理的安全性和效率性，提高医保经办能力，推动医疗保障事业良好发展。</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（二）存在的问题</w:t>
      </w:r>
    </w:p>
    <w:p>
      <w:pPr>
        <w:autoSpaceDE w:val="0"/>
        <w:autoSpaceDN w:val="0"/>
        <w:adjustRightInd w:val="0"/>
        <w:spacing w:line="576" w:lineRule="exact"/>
        <w:ind w:firstLine="640" w:firstLineChars="200"/>
        <w:jc w:val="left"/>
        <w:rPr>
          <w:rFonts w:ascii="仿宋_GB2312" w:hAnsi="宋体" w:eastAsia="仿宋_GB2312"/>
          <w:sz w:val="32"/>
          <w:szCs w:val="32"/>
          <w:lang w:val="zh-CN"/>
        </w:rPr>
      </w:pPr>
      <w:r>
        <w:rPr>
          <w:rFonts w:hint="eastAsia" w:ascii="仿宋_GB2312" w:hAnsi="宋体" w:eastAsia="仿宋_GB2312"/>
          <w:sz w:val="32"/>
          <w:szCs w:val="32"/>
          <w:lang w:val="zh-CN"/>
        </w:rPr>
        <w:t>项目实施周期较长，存在跨年度支付情况。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（三）相关建议</w:t>
      </w:r>
    </w:p>
    <w:p>
      <w:pPr>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进一步细化绩效目标编制，加强项目执行中期评估。</w:t>
      </w:r>
    </w:p>
    <w:p>
      <w:pPr>
        <w:pStyle w:val="2"/>
        <w:rPr>
          <w:lang w:val="zh-CN"/>
        </w:rPr>
      </w:pPr>
    </w:p>
    <w:p>
      <w:pPr>
        <w:spacing w:line="64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br w:type="page"/>
      </w:r>
      <w:r>
        <w:rPr>
          <w:rFonts w:hint="eastAsia" w:ascii="方正小标宋简体" w:hAnsi="宋体" w:eastAsia="方正小标宋简体"/>
          <w:color w:val="000000"/>
          <w:kern w:val="0"/>
          <w:sz w:val="44"/>
          <w:szCs w:val="44"/>
        </w:rPr>
        <w:t>帮村扶贫工作经费</w:t>
      </w:r>
      <w:r>
        <w:rPr>
          <w:rFonts w:hint="eastAsia" w:ascii="方正小标宋简体" w:hAnsi="宋体" w:eastAsia="方正小标宋简体"/>
          <w:color w:val="000000"/>
          <w:kern w:val="0"/>
          <w:sz w:val="44"/>
          <w:szCs w:val="44"/>
          <w:lang w:val="zh-CN"/>
        </w:rPr>
        <w:t>项目</w:t>
      </w:r>
    </w:p>
    <w:p>
      <w:pPr>
        <w:spacing w:line="640" w:lineRule="exact"/>
        <w:jc w:val="center"/>
        <w:rPr>
          <w:rFonts w:ascii="黑体" w:hAnsi="黑体" w:eastAsia="黑体"/>
          <w:color w:val="000000"/>
          <w:sz w:val="44"/>
          <w:szCs w:val="44"/>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adjustRightInd w:val="0"/>
        <w:snapToGrid w:val="0"/>
        <w:spacing w:line="600" w:lineRule="exact"/>
        <w:ind w:firstLine="720"/>
        <w:rPr>
          <w:rFonts w:ascii="黑体" w:hAnsi="宋体" w:eastAsia="黑体"/>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（一）项目基本情况</w:t>
      </w:r>
    </w:p>
    <w:p>
      <w:pPr>
        <w:autoSpaceDE w:val="0"/>
        <w:autoSpaceDN w:val="0"/>
        <w:adjustRightInd w:val="0"/>
        <w:spacing w:line="576" w:lineRule="exact"/>
        <w:ind w:firstLine="640" w:firstLineChars="200"/>
        <w:jc w:val="left"/>
        <w:rPr>
          <w:rFonts w:ascii="仿宋_GB2312" w:hAnsi="宋体" w:eastAsia="仿宋_GB2312" w:cs="宋体"/>
          <w:bCs/>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本项目</w:t>
      </w:r>
      <w:r>
        <w:rPr>
          <w:rFonts w:hint="eastAsia" w:ascii="仿宋_GB2312" w:hAnsi="宋体" w:eastAsia="仿宋_GB2312"/>
          <w:sz w:val="32"/>
          <w:szCs w:val="32"/>
          <w:lang w:val="zh-CN"/>
        </w:rPr>
        <w:t>根据市委市政府对脱贫攻坚项目推进的要求所设立</w:t>
      </w:r>
      <w:r>
        <w:rPr>
          <w:rFonts w:hint="eastAsia" w:ascii="仿宋_GB2312" w:hAnsi="宋体" w:eastAsia="仿宋_GB2312"/>
          <w:sz w:val="32"/>
          <w:szCs w:val="32"/>
        </w:rPr>
        <w:t>,</w:t>
      </w:r>
      <w:r>
        <w:rPr>
          <w:rFonts w:hint="eastAsia" w:ascii="仿宋_GB2312" w:hAnsi="宋体" w:eastAsia="仿宋_GB2312" w:cs="宋体"/>
          <w:color w:val="000000"/>
          <w:kern w:val="0"/>
          <w:sz w:val="32"/>
          <w:szCs w:val="32"/>
          <w:shd w:val="clear" w:color="auto" w:fill="FFFFFF"/>
          <w:lang w:val="zh-CN"/>
        </w:rPr>
        <w:t>主管部门为广元市医疗保障局。</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（二）项目绩效目标</w:t>
      </w:r>
    </w:p>
    <w:p>
      <w:pPr>
        <w:autoSpaceDE w:val="0"/>
        <w:autoSpaceDN w:val="0"/>
        <w:adjustRightInd w:val="0"/>
        <w:spacing w:line="576" w:lineRule="exact"/>
        <w:ind w:firstLine="640" w:firstLineChars="200"/>
        <w:jc w:val="left"/>
        <w:rPr>
          <w:rFonts w:ascii="仿宋_GB2312" w:hAnsi="宋体" w:eastAsia="仿宋_GB2312"/>
          <w:sz w:val="32"/>
          <w:szCs w:val="32"/>
          <w:lang w:val="zh-CN"/>
        </w:rPr>
      </w:pPr>
      <w:r>
        <w:rPr>
          <w:rFonts w:hint="eastAsia" w:ascii="仿宋_GB2312" w:hAnsi="宋体" w:eastAsia="仿宋_GB2312"/>
          <w:sz w:val="32"/>
          <w:szCs w:val="32"/>
          <w:lang w:val="zh-CN"/>
        </w:rPr>
        <w:t>1.项目主要内容。保障</w:t>
      </w:r>
      <w:r>
        <w:rPr>
          <w:rFonts w:hint="eastAsia" w:ascii="仿宋_GB2312" w:hAnsi="宋体" w:eastAsia="仿宋_GB2312" w:cs="宋体"/>
          <w:color w:val="000000"/>
          <w:kern w:val="0"/>
          <w:sz w:val="32"/>
          <w:szCs w:val="32"/>
          <w:shd w:val="clear" w:color="auto" w:fill="FFFFFF"/>
          <w:lang w:val="zh-CN"/>
        </w:rPr>
        <w:t>帮扶工作正常开展所需经费</w:t>
      </w:r>
      <w:r>
        <w:rPr>
          <w:rFonts w:hint="eastAsia" w:ascii="仿宋_GB2312" w:hAnsi="宋体" w:eastAsia="仿宋_GB2312"/>
          <w:sz w:val="32"/>
          <w:szCs w:val="32"/>
          <w:lang w:val="zh-CN"/>
        </w:rPr>
        <w:t>。</w:t>
      </w:r>
    </w:p>
    <w:p>
      <w:pPr>
        <w:autoSpaceDE w:val="0"/>
        <w:autoSpaceDN w:val="0"/>
        <w:adjustRightInd w:val="0"/>
        <w:spacing w:line="576" w:lineRule="exact"/>
        <w:ind w:firstLine="640" w:firstLineChars="200"/>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2.项目绩效目标。</w:t>
      </w:r>
      <w:r>
        <w:rPr>
          <w:rFonts w:hint="eastAsia" w:ascii="仿宋_GB2312" w:hAnsi="宋体" w:eastAsia="仿宋_GB2312" w:cs="宋体"/>
          <w:color w:val="000000"/>
          <w:kern w:val="0"/>
          <w:sz w:val="32"/>
          <w:szCs w:val="32"/>
          <w:shd w:val="clear" w:color="auto" w:fill="FFFFFF"/>
          <w:lang w:val="zh-CN"/>
        </w:rPr>
        <w:t>按照市委市政府的总体要求，全力开展脱贫攻坚帮扶工作，为保障帮扶工作正常开展提供所需经费。</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项目绩效自评按市财政局要求，部门决算后在规定时间内按规定内容进行自评。</w:t>
      </w:r>
    </w:p>
    <w:p>
      <w:pPr>
        <w:spacing w:line="576"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该项目资金年初统一向市财政局申报并编报预算绩效，市财政纳入当年预算执行，当年无调整。</w:t>
      </w:r>
    </w:p>
    <w:p>
      <w:pPr>
        <w:adjustRightInd w:val="0"/>
        <w:snapToGrid w:val="0"/>
        <w:spacing w:line="600" w:lineRule="exact"/>
        <w:ind w:firstLine="720"/>
        <w:rPr>
          <w:rFonts w:ascii="仿宋_GB2312" w:hAnsi="宋体" w:eastAsia="仿宋_GB2312"/>
          <w:sz w:val="32"/>
          <w:szCs w:val="32"/>
        </w:rPr>
      </w:pPr>
      <w:r>
        <w:rPr>
          <w:rFonts w:hint="eastAsia" w:ascii="楷体_GB2312" w:hAnsi="宋体" w:eastAsia="楷体_GB2312"/>
          <w:sz w:val="32"/>
          <w:szCs w:val="32"/>
          <w:lang w:val="zh-CN"/>
        </w:rPr>
        <w:t>（二）资金计划、到位及使用情况</w:t>
      </w:r>
    </w:p>
    <w:p>
      <w:pPr>
        <w:spacing w:line="560" w:lineRule="exact"/>
        <w:ind w:firstLine="640" w:firstLineChars="200"/>
        <w:rPr>
          <w:rFonts w:ascii="仿宋_GB2312" w:hAnsi="宋体" w:eastAsia="仿宋_GB2312"/>
          <w:spacing w:val="-6"/>
          <w:sz w:val="32"/>
          <w:szCs w:val="32"/>
        </w:rPr>
      </w:pPr>
      <w:r>
        <w:rPr>
          <w:rFonts w:hint="eastAsia" w:ascii="仿宋_GB2312" w:hAnsi="宋体" w:eastAsia="仿宋_GB2312"/>
          <w:sz w:val="32"/>
          <w:szCs w:val="32"/>
          <w:lang w:val="zh-CN"/>
        </w:rPr>
        <w:t>1.</w:t>
      </w:r>
      <w:r>
        <w:rPr>
          <w:rFonts w:hint="eastAsia" w:ascii="仿宋_GB2312" w:hAnsi="宋体" w:eastAsia="仿宋_GB2312"/>
          <w:spacing w:val="-6"/>
          <w:sz w:val="32"/>
          <w:szCs w:val="32"/>
          <w:lang w:val="zh-CN"/>
        </w:rPr>
        <w:t>资金计划及到位情况。本项目资金预算为</w:t>
      </w:r>
      <w:r>
        <w:rPr>
          <w:rFonts w:hint="eastAsia" w:ascii="仿宋_GB2312" w:hAnsi="宋体" w:eastAsia="仿宋_GB2312"/>
          <w:spacing w:val="-6"/>
          <w:sz w:val="32"/>
          <w:szCs w:val="32"/>
        </w:rPr>
        <w:t>3.72万元，截至2020年底，市财政实际拨付资金3.72万元，资金拨付率为100%。</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zh-CN"/>
        </w:rPr>
        <w:t>资金使用情况。本项目资金</w:t>
      </w:r>
      <w:r>
        <w:rPr>
          <w:rFonts w:hint="eastAsia" w:ascii="仿宋_GB2312" w:hAnsi="宋体" w:eastAsia="仿宋_GB2312"/>
          <w:sz w:val="32"/>
          <w:szCs w:val="32"/>
        </w:rPr>
        <w:t>全年共支出3.72万元，支出进度为100%，主要是用于</w:t>
      </w:r>
      <w:r>
        <w:rPr>
          <w:rFonts w:hint="eastAsia" w:ascii="仿宋_GB2312" w:hAnsi="宋体" w:eastAsia="仿宋_GB2312"/>
          <w:sz w:val="32"/>
          <w:szCs w:val="32"/>
          <w:lang w:val="zh-CN"/>
        </w:rPr>
        <w:t>保障帮扶工作正常开展提供所需经费</w:t>
      </w:r>
      <w:r>
        <w:rPr>
          <w:rFonts w:hint="eastAsia" w:ascii="仿宋_GB2312" w:hAnsi="宋体" w:eastAsia="仿宋_GB2312"/>
          <w:sz w:val="32"/>
          <w:szCs w:val="32"/>
        </w:rPr>
        <w:t>。在项目执行过程中，严格按照预算批复项目资金</w:t>
      </w:r>
      <w:r>
        <w:rPr>
          <w:rFonts w:hint="eastAsia" w:ascii="仿宋_GB2312" w:hAnsi="宋体" w:eastAsia="仿宋_GB2312"/>
          <w:sz w:val="32"/>
          <w:szCs w:val="32"/>
          <w:lang w:val="zh-CN"/>
        </w:rPr>
        <w:t>支付范围、支付标准</w:t>
      </w:r>
      <w:r>
        <w:rPr>
          <w:rFonts w:hint="eastAsia" w:ascii="仿宋_GB2312" w:hAnsi="宋体" w:eastAsia="仿宋_GB2312"/>
          <w:sz w:val="32"/>
          <w:szCs w:val="32"/>
        </w:rPr>
        <w:t>执行</w:t>
      </w:r>
      <w:r>
        <w:rPr>
          <w:rFonts w:hint="eastAsia" w:ascii="仿宋_GB2312" w:hAnsi="宋体" w:eastAsia="仿宋_GB2312"/>
          <w:sz w:val="32"/>
          <w:szCs w:val="32"/>
          <w:lang w:val="zh-CN"/>
        </w:rPr>
        <w:t>，</w:t>
      </w:r>
      <w:r>
        <w:rPr>
          <w:rFonts w:hint="eastAsia" w:ascii="仿宋_GB2312" w:hAnsi="宋体" w:eastAsia="仿宋_GB2312"/>
          <w:sz w:val="32"/>
          <w:szCs w:val="32"/>
        </w:rPr>
        <w:t>严控预算执行进度和经费支出情况，确保资金使用安全、规范、高效。</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我局财务管理制度健全，账务处理及时，会计核算规范，严格按照财务管理相关制度规定</w:t>
      </w:r>
      <w:r>
        <w:rPr>
          <w:rFonts w:hint="eastAsia" w:ascii="仿宋_GB2312" w:hAnsi="宋体" w:eastAsia="仿宋_GB2312"/>
          <w:sz w:val="32"/>
          <w:szCs w:val="32"/>
        </w:rPr>
        <w:t>加强对帮扶部门工作经费的使用管理</w:t>
      </w:r>
      <w:r>
        <w:rPr>
          <w:rFonts w:hint="eastAsia" w:ascii="仿宋_GB2312" w:hAnsi="宋体" w:eastAsia="仿宋_GB2312"/>
          <w:sz w:val="32"/>
          <w:szCs w:val="32"/>
          <w:lang w:val="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（一）项目组织架构及实施流程。</w:t>
      </w:r>
      <w:r>
        <w:rPr>
          <w:rFonts w:hint="eastAsia" w:ascii="仿宋_GB2312" w:hAnsi="宋体" w:eastAsia="仿宋_GB2312"/>
          <w:sz w:val="32"/>
          <w:szCs w:val="32"/>
          <w:lang w:val="zh-CN"/>
        </w:rPr>
        <w:t>该项目工作经费按财政集中支付管理流程执行。</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（二）项目管理情况。</w:t>
      </w:r>
      <w:r>
        <w:rPr>
          <w:rFonts w:hint="eastAsia" w:ascii="仿宋_GB2312" w:hAnsi="宋体" w:eastAsia="仿宋_GB2312"/>
          <w:sz w:val="32"/>
          <w:szCs w:val="32"/>
          <w:lang w:val="zh-CN"/>
        </w:rPr>
        <w:t>我局严格按照项目工作经费使用范围，对于超过</w:t>
      </w:r>
      <w:r>
        <w:rPr>
          <w:rFonts w:hint="eastAsia" w:ascii="仿宋_GB2312" w:hAnsi="宋体" w:eastAsia="仿宋_GB2312"/>
          <w:sz w:val="32"/>
          <w:szCs w:val="32"/>
        </w:rPr>
        <w:t>3万元以上的支出，由局务会议集体研究决定后执行，超过5万元以上的支出。由局党组会议集体研究决定后执行。</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（三）项目监管情况。</w:t>
      </w:r>
      <w:r>
        <w:rPr>
          <w:rFonts w:hint="eastAsia" w:ascii="仿宋_GB2312" w:hAnsi="宋体" w:eastAsia="仿宋_GB2312"/>
          <w:sz w:val="32"/>
          <w:szCs w:val="32"/>
          <w:lang w:val="zh-CN"/>
        </w:rPr>
        <w:t>该项目工作经费支出由局党总支、局办公室严格审核把关，强化日常监管，并在规定使用范围内执行。</w:t>
      </w:r>
    </w:p>
    <w:p>
      <w:pPr>
        <w:spacing w:line="576"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（一）项目完成情况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确保了帮扶的</w:t>
      </w:r>
      <w:r>
        <w:rPr>
          <w:rFonts w:hint="eastAsia" w:ascii="仿宋_GB2312" w:hAnsi="宋体" w:eastAsia="仿宋_GB2312"/>
          <w:sz w:val="32"/>
          <w:szCs w:val="32"/>
        </w:rPr>
        <w:t>2</w:t>
      </w:r>
      <w:r>
        <w:rPr>
          <w:rFonts w:hint="eastAsia" w:ascii="仿宋_GB2312" w:hAnsi="宋体" w:eastAsia="仿宋_GB2312"/>
          <w:sz w:val="32"/>
          <w:szCs w:val="32"/>
          <w:lang w:val="zh-CN"/>
        </w:rPr>
        <w:t>个村</w:t>
      </w:r>
      <w:r>
        <w:rPr>
          <w:rFonts w:hint="eastAsia" w:ascii="仿宋_GB2312" w:hAnsi="宋体" w:eastAsia="仿宋_GB2312"/>
          <w:sz w:val="32"/>
          <w:szCs w:val="32"/>
        </w:rPr>
        <w:t>93</w:t>
      </w:r>
      <w:r>
        <w:rPr>
          <w:rFonts w:hint="eastAsia" w:ascii="仿宋_GB2312" w:hAnsi="宋体" w:eastAsia="仿宋_GB2312"/>
          <w:sz w:val="32"/>
          <w:szCs w:val="32"/>
          <w:lang w:val="zh-CN"/>
        </w:rPr>
        <w:t>户贫困户在2020年底顺利脱贫，未出现返贫情况。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（二）项目效益情况</w:t>
      </w:r>
    </w:p>
    <w:p>
      <w:pPr>
        <w:spacing w:line="576"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项目的顺利实施，为脱贫攻坚帮扶工作顺利开展提供了坚实的保障，保证了贫困村顺利退出，贫困户顺利脱贫，两村村容村貌、基础设施建设明显改善，村民生产生活发生了巨大变化，幸福感明显增强</w:t>
      </w:r>
      <w:r>
        <w:rPr>
          <w:rFonts w:hint="eastAsia" w:ascii="仿宋_GB2312" w:hAnsi="宋体" w:eastAsia="仿宋_GB2312"/>
          <w:sz w:val="32"/>
          <w:szCs w:val="32"/>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（一）评价结论</w:t>
      </w:r>
    </w:p>
    <w:p>
      <w:pPr>
        <w:spacing w:line="576"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本项目符合脱贫攻坚管理政策，具有明确的绩效目标，项目实施过程中严格按照实际需要实施，有力保障了脱贫攻坚帮扶各项工作顺利开展，保证了贫困村顺利退出，贫困户顺利脱贫，两村村容村貌、基础设施建设明显改善，村民生产生活发生了巨大变化，幸福感明显增强</w:t>
      </w:r>
      <w:r>
        <w:rPr>
          <w:rFonts w:hint="eastAsia" w:ascii="仿宋_GB2312" w:hAnsi="宋体" w:eastAsia="仿宋_GB2312"/>
          <w:sz w:val="32"/>
          <w:szCs w:val="32"/>
        </w:rPr>
        <w:t>。</w:t>
      </w:r>
    </w:p>
    <w:p>
      <w:pPr>
        <w:adjustRightInd w:val="0"/>
        <w:snapToGrid w:val="0"/>
        <w:spacing w:line="600" w:lineRule="exact"/>
        <w:ind w:firstLine="640" w:firstLineChars="200"/>
        <w:rPr>
          <w:rFonts w:ascii="楷体_GB2312" w:hAnsi="宋体" w:eastAsia="楷体_GB2312"/>
          <w:sz w:val="32"/>
          <w:szCs w:val="32"/>
          <w:lang w:val="zh-CN"/>
        </w:rPr>
      </w:pPr>
      <w:r>
        <w:rPr>
          <w:rFonts w:hint="eastAsia" w:ascii="楷体_GB2312" w:hAnsi="宋体" w:eastAsia="楷体_GB2312"/>
          <w:sz w:val="32"/>
          <w:szCs w:val="32"/>
          <w:lang w:val="zh-CN"/>
        </w:rPr>
        <w:t>（二）存在的问题</w:t>
      </w:r>
    </w:p>
    <w:p>
      <w:pPr>
        <w:autoSpaceDE w:val="0"/>
        <w:autoSpaceDN w:val="0"/>
        <w:adjustRightInd w:val="0"/>
        <w:spacing w:line="576" w:lineRule="exact"/>
        <w:ind w:firstLine="640" w:firstLineChars="200"/>
        <w:jc w:val="left"/>
        <w:rPr>
          <w:rFonts w:ascii="仿宋_GB2312" w:hAnsi="宋体" w:eastAsia="仿宋_GB2312"/>
          <w:sz w:val="32"/>
          <w:szCs w:val="32"/>
          <w:lang w:val="zh-CN"/>
        </w:rPr>
      </w:pPr>
      <w:r>
        <w:rPr>
          <w:rFonts w:hint="eastAsia" w:ascii="仿宋_GB2312" w:hAnsi="宋体" w:eastAsia="仿宋_GB2312"/>
          <w:sz w:val="32"/>
          <w:szCs w:val="32"/>
          <w:lang w:val="zh-CN"/>
        </w:rPr>
        <w:t>无。</w:t>
      </w:r>
    </w:p>
    <w:p>
      <w:pPr>
        <w:autoSpaceDE w:val="0"/>
        <w:autoSpaceDN w:val="0"/>
        <w:adjustRightInd w:val="0"/>
        <w:spacing w:line="576" w:lineRule="exact"/>
        <w:ind w:firstLine="640" w:firstLineChars="200"/>
        <w:jc w:val="left"/>
        <w:rPr>
          <w:rFonts w:ascii="楷体_GB2312" w:hAnsi="宋体" w:eastAsia="楷体_GB2312"/>
          <w:sz w:val="32"/>
          <w:szCs w:val="32"/>
          <w:lang w:val="zh-CN"/>
        </w:rPr>
      </w:pPr>
      <w:r>
        <w:rPr>
          <w:rFonts w:hint="eastAsia" w:ascii="楷体_GB2312" w:hAnsi="宋体" w:eastAsia="楷体_GB2312"/>
          <w:sz w:val="32"/>
          <w:szCs w:val="32"/>
          <w:lang w:val="zh-CN"/>
        </w:rPr>
        <w:t>（三）相关建议</w:t>
      </w:r>
    </w:p>
    <w:p>
      <w:pPr>
        <w:autoSpaceDE w:val="0"/>
        <w:autoSpaceDN w:val="0"/>
        <w:adjustRightInd w:val="0"/>
        <w:spacing w:line="576" w:lineRule="exact"/>
        <w:ind w:firstLine="640" w:firstLineChars="200"/>
        <w:jc w:val="left"/>
        <w:rPr>
          <w:rFonts w:ascii="仿宋_GB2312" w:hAnsi="宋体" w:eastAsia="仿宋_GB2312"/>
          <w:sz w:val="32"/>
          <w:szCs w:val="32"/>
          <w:lang w:val="zh-CN"/>
        </w:rPr>
      </w:pPr>
      <w:r>
        <w:rPr>
          <w:rFonts w:hint="eastAsia" w:ascii="仿宋_GB2312" w:hAnsi="宋体" w:eastAsia="仿宋_GB2312"/>
          <w:sz w:val="32"/>
          <w:szCs w:val="32"/>
          <w:lang w:val="zh-CN"/>
        </w:rPr>
        <w:t>无。</w:t>
      </w:r>
    </w:p>
    <w:p>
      <w:pPr>
        <w:spacing w:line="600" w:lineRule="exact"/>
        <w:ind w:firstLine="220" w:firstLineChars="50"/>
        <w:outlineLvl w:val="0"/>
        <w:rPr>
          <w:rFonts w:ascii="黑体" w:hAnsi="黑体" w:eastAsia="黑体"/>
          <w:color w:val="000000"/>
          <w:sz w:val="44"/>
          <w:szCs w:val="44"/>
        </w:rPr>
      </w:pPr>
    </w:p>
    <w:p>
      <w:pPr>
        <w:widowControl/>
        <w:spacing w:line="64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br w:type="page"/>
      </w:r>
      <w:r>
        <w:rPr>
          <w:rFonts w:hint="eastAsia" w:ascii="方正小标宋简体" w:hAnsi="宋体" w:eastAsia="方正小标宋简体"/>
          <w:color w:val="000000"/>
          <w:kern w:val="0"/>
          <w:sz w:val="44"/>
          <w:szCs w:val="44"/>
        </w:rPr>
        <w:t>办公会议设备采购</w:t>
      </w:r>
      <w:r>
        <w:rPr>
          <w:rFonts w:hint="eastAsia" w:ascii="方正小标宋简体" w:hAnsi="宋体" w:eastAsia="方正小标宋简体"/>
          <w:color w:val="000000"/>
          <w:kern w:val="0"/>
          <w:sz w:val="44"/>
          <w:szCs w:val="44"/>
          <w:lang w:val="zh-CN"/>
        </w:rPr>
        <w:t>项目</w:t>
      </w:r>
    </w:p>
    <w:p>
      <w:pPr>
        <w:widowControl/>
        <w:spacing w:line="64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（一）项目基本情况</w:t>
      </w:r>
    </w:p>
    <w:p>
      <w:pPr>
        <w:adjustRightInd w:val="0"/>
        <w:snapToGrid w:val="0"/>
        <w:spacing w:line="600" w:lineRule="exact"/>
        <w:ind w:firstLine="640" w:firstLineChars="200"/>
        <w:rPr>
          <w:lang w:val="zh-CN"/>
        </w:rPr>
      </w:pPr>
      <w:r>
        <w:rPr>
          <w:rFonts w:hint="eastAsia" w:ascii="仿宋_GB2312" w:hAnsi="宋体" w:eastAsia="仿宋_GB2312" w:cs="宋体"/>
          <w:color w:val="000000"/>
          <w:kern w:val="0"/>
          <w:sz w:val="32"/>
          <w:szCs w:val="32"/>
          <w:shd w:val="clear" w:color="auto" w:fill="FFFFFF"/>
          <w:lang w:val="zh-CN"/>
        </w:rPr>
        <w:t>本项目</w:t>
      </w:r>
      <w:r>
        <w:rPr>
          <w:rFonts w:hint="eastAsia" w:ascii="仿宋_GB2312" w:hAnsi="宋体" w:eastAsia="仿宋_GB2312"/>
          <w:sz w:val="32"/>
          <w:szCs w:val="32"/>
          <w:lang w:val="zh-CN"/>
        </w:rPr>
        <w:t>根据医疗保障办公职能的要求所设立</w:t>
      </w:r>
      <w:r>
        <w:rPr>
          <w:rFonts w:hint="eastAsia" w:ascii="仿宋_GB2312" w:hAnsi="宋体" w:eastAsia="仿宋_GB2312"/>
          <w:sz w:val="32"/>
          <w:szCs w:val="32"/>
        </w:rPr>
        <w:t>,</w:t>
      </w:r>
      <w:r>
        <w:rPr>
          <w:rFonts w:hint="eastAsia" w:ascii="仿宋_GB2312" w:hAnsi="宋体" w:eastAsia="仿宋_GB2312" w:cs="宋体"/>
          <w:color w:val="000000"/>
          <w:kern w:val="0"/>
          <w:sz w:val="32"/>
          <w:szCs w:val="32"/>
          <w:shd w:val="clear" w:color="auto" w:fill="FFFFFF"/>
          <w:lang w:val="zh-CN"/>
        </w:rPr>
        <w:t>主管部门为广元市医疗保障局。</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（二）项目绩效目标</w:t>
      </w:r>
    </w:p>
    <w:p>
      <w:pPr>
        <w:adjustRightInd w:val="0"/>
        <w:snapToGrid w:val="0"/>
        <w:spacing w:line="600"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．项目主要内容。购置办公会议设备，保证单位基本办公条件。</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．项目绩效目标。购置办公沙发10套，复印机2台。</w:t>
      </w:r>
    </w:p>
    <w:p>
      <w:pPr>
        <w:adjustRightInd w:val="0"/>
        <w:snapToGrid w:val="0"/>
        <w:spacing w:line="600" w:lineRule="exact"/>
        <w:ind w:left="720"/>
        <w:rPr>
          <w:rFonts w:ascii="仿宋_GB2312" w:hAnsi="宋体" w:eastAsia="仿宋_GB2312"/>
          <w:sz w:val="32"/>
          <w:szCs w:val="32"/>
          <w:lang w:val="zh-CN"/>
        </w:rPr>
      </w:pPr>
      <w:r>
        <w:rPr>
          <w:rFonts w:hint="eastAsia" w:ascii="仿宋_GB2312" w:hAnsi="宋体" w:eastAsia="仿宋_GB2312"/>
          <w:sz w:val="32"/>
          <w:szCs w:val="32"/>
        </w:rPr>
        <w:t>3.</w:t>
      </w:r>
      <w:r>
        <w:rPr>
          <w:rFonts w:hint="eastAsia" w:ascii="仿宋_GB2312" w:hAnsi="宋体" w:eastAsia="仿宋_GB2312"/>
          <w:sz w:val="32"/>
          <w:szCs w:val="32"/>
          <w:lang w:val="zh-CN"/>
        </w:rPr>
        <w:t>该项目工作经费申报内容与实际相符，合理可行。</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项目绩效自评按市财政局要求，部门决算后在规定时间内按规定内容进行自评。</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该项目资金年初统一向市财政局申报并编报预算绩效，市财政纳入当年预算执行，当年无调整。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（二）资金计划、到位及使用情况</w:t>
      </w:r>
    </w:p>
    <w:p>
      <w:pPr>
        <w:spacing w:line="560" w:lineRule="exact"/>
        <w:ind w:firstLine="640" w:firstLineChars="200"/>
        <w:rPr>
          <w:rFonts w:ascii="仿宋_GB2312" w:hAnsi="宋体" w:eastAsia="仿宋_GB2312"/>
          <w:spacing w:val="4"/>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w:t>
      </w:r>
      <w:r>
        <w:rPr>
          <w:rFonts w:hint="eastAsia" w:ascii="楷体_GB2312" w:hAnsi="宋体" w:eastAsia="楷体_GB2312"/>
          <w:spacing w:val="4"/>
          <w:sz w:val="32"/>
          <w:szCs w:val="32"/>
          <w:lang w:val="zh-CN"/>
        </w:rPr>
        <w:t>资金计划及到位情况。</w:t>
      </w:r>
      <w:r>
        <w:rPr>
          <w:rFonts w:hint="eastAsia" w:ascii="仿宋_GB2312" w:hAnsi="宋体" w:eastAsia="仿宋_GB2312"/>
          <w:spacing w:val="4"/>
          <w:sz w:val="32"/>
          <w:szCs w:val="32"/>
          <w:lang w:val="zh-CN"/>
        </w:rPr>
        <w:t>本项目资金预算为</w:t>
      </w:r>
      <w:r>
        <w:rPr>
          <w:rFonts w:hint="eastAsia" w:ascii="仿宋_GB2312" w:hAnsi="宋体" w:eastAsia="仿宋_GB2312"/>
          <w:spacing w:val="4"/>
          <w:sz w:val="32"/>
          <w:szCs w:val="32"/>
        </w:rPr>
        <w:t>4.8万元，截至2020年底，市财政实际拨付资金4.8万元，资金拨付率为100%。</w:t>
      </w:r>
    </w:p>
    <w:p>
      <w:pPr>
        <w:spacing w:line="560" w:lineRule="exact"/>
        <w:ind w:firstLine="640" w:firstLineChars="200"/>
        <w:rPr>
          <w:rFonts w:ascii="仿宋_GB2312" w:hAnsi="宋体" w:eastAsia="仿宋_GB2312"/>
          <w:sz w:val="32"/>
          <w:szCs w:val="32"/>
        </w:rPr>
      </w:pPr>
      <w:r>
        <w:rPr>
          <w:rFonts w:hint="eastAsia" w:ascii="楷体_GB2312" w:hAnsi="宋体" w:eastAsia="楷体_GB2312"/>
          <w:sz w:val="32"/>
          <w:szCs w:val="32"/>
        </w:rPr>
        <w:t>2</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本项目资金</w:t>
      </w:r>
      <w:r>
        <w:rPr>
          <w:rFonts w:hint="eastAsia" w:ascii="仿宋_GB2312" w:hAnsi="宋体" w:eastAsia="仿宋_GB2312"/>
          <w:sz w:val="32"/>
          <w:szCs w:val="32"/>
        </w:rPr>
        <w:t>全年共支出4.8万元，支出进度为100%，主要是购置办公设备所需</w:t>
      </w:r>
      <w:r>
        <w:rPr>
          <w:rFonts w:hint="eastAsia" w:ascii="仿宋_GB2312" w:hAnsi="宋体" w:eastAsia="仿宋_GB2312"/>
          <w:sz w:val="32"/>
          <w:szCs w:val="32"/>
          <w:lang w:val="zh-CN"/>
        </w:rPr>
        <w:t>经费</w:t>
      </w:r>
      <w:r>
        <w:rPr>
          <w:rFonts w:hint="eastAsia" w:ascii="仿宋_GB2312" w:hAnsi="宋体" w:eastAsia="仿宋_GB2312"/>
          <w:sz w:val="32"/>
          <w:szCs w:val="32"/>
        </w:rPr>
        <w:t>。在项目执行过程中，严格按照预算批复项目资金</w:t>
      </w:r>
      <w:r>
        <w:rPr>
          <w:rFonts w:hint="eastAsia" w:ascii="仿宋_GB2312" w:hAnsi="宋体" w:eastAsia="仿宋_GB2312"/>
          <w:sz w:val="32"/>
          <w:szCs w:val="32"/>
          <w:lang w:val="zh-CN"/>
        </w:rPr>
        <w:t>支付范围、支付标准</w:t>
      </w:r>
      <w:r>
        <w:rPr>
          <w:rFonts w:hint="eastAsia" w:ascii="仿宋_GB2312" w:hAnsi="宋体" w:eastAsia="仿宋_GB2312"/>
          <w:sz w:val="32"/>
          <w:szCs w:val="32"/>
        </w:rPr>
        <w:t>执行</w:t>
      </w:r>
      <w:r>
        <w:rPr>
          <w:rFonts w:hint="eastAsia" w:ascii="仿宋_GB2312" w:hAnsi="宋体" w:eastAsia="仿宋_GB2312"/>
          <w:sz w:val="32"/>
          <w:szCs w:val="32"/>
          <w:lang w:val="zh-CN"/>
        </w:rPr>
        <w:t>，</w:t>
      </w:r>
      <w:r>
        <w:rPr>
          <w:rFonts w:hint="eastAsia" w:ascii="仿宋_GB2312" w:hAnsi="宋体" w:eastAsia="仿宋_GB2312"/>
          <w:sz w:val="32"/>
          <w:szCs w:val="32"/>
        </w:rPr>
        <w:t>严控预算执行进度和经费支出情况，确保资金使用安全、规范、高效。</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我局财务管理制度健全，账务处理及时，会计核算规范。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（一）项目组织架构及实施流程。</w:t>
      </w:r>
      <w:r>
        <w:rPr>
          <w:rFonts w:hint="eastAsia" w:ascii="仿宋_GB2312" w:hAnsi="宋体" w:eastAsia="仿宋_GB2312"/>
          <w:sz w:val="32"/>
          <w:szCs w:val="32"/>
          <w:lang w:val="zh-CN"/>
        </w:rPr>
        <w:t>该项目工作经费按财政集中支付管理流程执行。</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（二）项目管理情况。</w:t>
      </w:r>
      <w:r>
        <w:rPr>
          <w:rFonts w:hint="eastAsia" w:ascii="仿宋_GB2312" w:hAnsi="宋体" w:eastAsia="仿宋_GB2312"/>
          <w:sz w:val="32"/>
          <w:szCs w:val="32"/>
          <w:lang w:val="zh-CN"/>
        </w:rPr>
        <w:t>我局严格按照项目工作经费使用范围，对于超过</w:t>
      </w:r>
      <w:r>
        <w:rPr>
          <w:rFonts w:hint="eastAsia" w:ascii="仿宋_GB2312" w:hAnsi="宋体" w:eastAsia="仿宋_GB2312"/>
          <w:sz w:val="32"/>
          <w:szCs w:val="32"/>
        </w:rPr>
        <w:t>3万元以上的支出，由局务会议集体研究决定后执行，超过5万元以上的支出。由局党组会议集体研究决定后执行。</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（三）项目监管情况。</w:t>
      </w:r>
      <w:r>
        <w:rPr>
          <w:rFonts w:hint="eastAsia" w:ascii="仿宋_GB2312" w:hAnsi="宋体" w:eastAsia="仿宋_GB2312"/>
          <w:sz w:val="32"/>
          <w:szCs w:val="32"/>
          <w:lang w:val="zh-CN"/>
        </w:rPr>
        <w:t>该项目工作经费支出由局办公室严格审核把关，强化日常监管，并在规定使用范围内执行。</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（一）项目完成情况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通过政府采购，共购置办公沙发、桌椅、文件柜</w:t>
      </w:r>
      <w:r>
        <w:rPr>
          <w:rFonts w:hint="eastAsia" w:ascii="仿宋_GB2312" w:hAnsi="宋体" w:eastAsia="仿宋_GB2312"/>
          <w:sz w:val="32"/>
          <w:szCs w:val="32"/>
        </w:rPr>
        <w:t>17</w:t>
      </w:r>
      <w:r>
        <w:rPr>
          <w:rFonts w:hint="eastAsia" w:ascii="仿宋_GB2312" w:hAnsi="宋体" w:eastAsia="仿宋_GB2312"/>
          <w:sz w:val="32"/>
          <w:szCs w:val="32"/>
          <w:lang w:val="zh-CN"/>
        </w:rPr>
        <w:t>件，执法记录设备</w:t>
      </w:r>
      <w:r>
        <w:rPr>
          <w:rFonts w:hint="eastAsia" w:ascii="仿宋_GB2312" w:hAnsi="宋体" w:eastAsia="仿宋_GB2312"/>
          <w:sz w:val="32"/>
          <w:szCs w:val="32"/>
        </w:rPr>
        <w:t>4台，打印机1台，显示器1台</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项目顺利进行保障了单位的基本办公条件，提升医保工作效率。</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（一）评价结论</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本项目符合政府采购有关政策，具有明确的绩效目标，项目实施过程中严格按照实际需要实施，保证了单位基本办公条件，保障了各科室工作顺利推进，提升了医保工作效率。</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（二）存在的问题</w:t>
      </w:r>
    </w:p>
    <w:p>
      <w:pPr>
        <w:autoSpaceDE w:val="0"/>
        <w:autoSpaceDN w:val="0"/>
        <w:adjustRightInd w:val="0"/>
        <w:spacing w:line="576" w:lineRule="exact"/>
        <w:ind w:firstLine="640" w:firstLineChars="200"/>
        <w:jc w:val="left"/>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（三）相关建议</w:t>
      </w:r>
    </w:p>
    <w:p>
      <w:pPr>
        <w:spacing w:line="600" w:lineRule="exact"/>
        <w:ind w:firstLine="640" w:firstLineChars="200"/>
        <w:rPr>
          <w:rFonts w:ascii="方正小标宋简体" w:hAnsi="宋体" w:eastAsia="方正小标宋简体"/>
          <w:color w:val="000000"/>
          <w:kern w:val="0"/>
          <w:sz w:val="40"/>
          <w:szCs w:val="40"/>
          <w:lang w:val="zh-CN"/>
        </w:rPr>
      </w:pPr>
      <w:r>
        <w:rPr>
          <w:rFonts w:hint="eastAsia" w:ascii="仿宋_GB2312" w:hAnsi="宋体" w:eastAsia="仿宋_GB2312"/>
          <w:sz w:val="32"/>
          <w:szCs w:val="32"/>
          <w:lang w:val="zh-CN"/>
        </w:rPr>
        <w:t>无。</w:t>
      </w:r>
    </w:p>
    <w:p>
      <w:pPr>
        <w:spacing w:line="600" w:lineRule="exact"/>
        <w:ind w:firstLine="220" w:firstLineChars="50"/>
        <w:outlineLvl w:val="0"/>
        <w:rPr>
          <w:rFonts w:ascii="黑体" w:hAnsi="黑体" w:eastAsia="黑体"/>
          <w:color w:val="000000"/>
          <w:sz w:val="44"/>
          <w:szCs w:val="44"/>
        </w:rPr>
      </w:pPr>
    </w:p>
    <w:p>
      <w:pPr>
        <w:spacing w:line="600" w:lineRule="exact"/>
        <w:ind w:firstLine="220" w:firstLineChars="50"/>
        <w:outlineLvl w:val="0"/>
        <w:rPr>
          <w:rFonts w:ascii="黑体" w:hAnsi="黑体" w:eastAsia="黑体"/>
          <w:color w:val="000000"/>
          <w:sz w:val="44"/>
          <w:szCs w:val="44"/>
        </w:rPr>
      </w:pPr>
    </w:p>
    <w:p>
      <w:pPr>
        <w:spacing w:line="600" w:lineRule="exact"/>
        <w:ind w:firstLine="220" w:firstLineChars="50"/>
        <w:outlineLvl w:val="0"/>
        <w:rPr>
          <w:rFonts w:ascii="黑体" w:hAnsi="黑体" w:eastAsia="黑体"/>
          <w:color w:val="000000"/>
          <w:sz w:val="44"/>
          <w:szCs w:val="44"/>
        </w:rPr>
      </w:pPr>
    </w:p>
    <w:bookmarkEnd w:id="59"/>
    <w:p>
      <w:pPr>
        <w:widowControl/>
        <w:jc w:val="center"/>
        <w:rPr>
          <w:rStyle w:val="18"/>
          <w:rFonts w:ascii="方正小标宋简体" w:hAnsi="黑体" w:eastAsia="方正小标宋简体"/>
          <w:b w:val="0"/>
        </w:rPr>
      </w:pPr>
      <w:bookmarkStart w:id="60" w:name="_Toc20868"/>
      <w:bookmarkStart w:id="61" w:name="_Toc19388"/>
      <w:bookmarkStart w:id="62" w:name="_Toc9220"/>
      <w:bookmarkStart w:id="63" w:name="_Toc5621"/>
      <w:r>
        <w:rPr>
          <w:rFonts w:ascii="方正小标宋简体" w:hAnsi="黑体" w:eastAsia="方正小标宋简体"/>
          <w:color w:val="000000"/>
          <w:sz w:val="44"/>
          <w:szCs w:val="44"/>
        </w:rPr>
        <w:br w:type="page"/>
      </w:r>
      <w:r>
        <w:rPr>
          <w:rFonts w:hint="eastAsia" w:ascii="方正小标宋简体" w:hAnsi="黑体" w:eastAsia="方正小标宋简体"/>
          <w:color w:val="000000"/>
          <w:sz w:val="44"/>
          <w:szCs w:val="44"/>
        </w:rPr>
        <w:t>第</w:t>
      </w:r>
      <w:r>
        <w:rPr>
          <w:rStyle w:val="18"/>
          <w:rFonts w:hint="eastAsia" w:ascii="方正小标宋简体" w:hAnsi="黑体" w:eastAsia="方正小标宋简体"/>
          <w:b w:val="0"/>
        </w:rPr>
        <w:t>五部分   附 表</w:t>
      </w:r>
      <w:bookmarkEnd w:id="60"/>
      <w:bookmarkEnd w:id="61"/>
      <w:bookmarkEnd w:id="62"/>
      <w:bookmarkEnd w:id="63"/>
    </w:p>
    <w:p>
      <w:pPr>
        <w:spacing w:line="600" w:lineRule="exact"/>
        <w:jc w:val="center"/>
        <w:rPr>
          <w:rFonts w:ascii="仿宋_GB2312" w:hAnsi="仿宋" w:eastAsia="仿宋_GB2312"/>
          <w:color w:val="000000"/>
        </w:rPr>
      </w:pPr>
    </w:p>
    <w:p>
      <w:pPr>
        <w:spacing w:line="600" w:lineRule="exact"/>
        <w:ind w:firstLine="640" w:firstLineChars="200"/>
        <w:jc w:val="left"/>
        <w:outlineLvl w:val="0"/>
        <w:rPr>
          <w:rFonts w:ascii="仿宋_GB2312" w:hAnsi="仿宋" w:eastAsia="仿宋_GB2312"/>
          <w:color w:val="000000"/>
          <w:sz w:val="32"/>
          <w:szCs w:val="32"/>
        </w:rPr>
      </w:pPr>
      <w:bookmarkStart w:id="64" w:name="_Toc2702"/>
      <w:bookmarkStart w:id="65" w:name="_Toc24908"/>
      <w:bookmarkStart w:id="66" w:name="_Toc24988"/>
      <w:bookmarkStart w:id="67" w:name="_Toc17271"/>
      <w:r>
        <w:rPr>
          <w:rFonts w:hint="eastAsia" w:ascii="仿宋_GB2312" w:hAnsi="仿宋" w:eastAsia="仿宋_GB2312"/>
          <w:color w:val="000000"/>
          <w:sz w:val="32"/>
          <w:szCs w:val="32"/>
        </w:rPr>
        <w:t>一、收入支出决算总表</w:t>
      </w:r>
      <w:bookmarkEnd w:id="64"/>
      <w:bookmarkEnd w:id="65"/>
      <w:bookmarkEnd w:id="66"/>
      <w:bookmarkEnd w:id="67"/>
    </w:p>
    <w:p>
      <w:pPr>
        <w:spacing w:line="600" w:lineRule="exact"/>
        <w:ind w:firstLine="640" w:firstLineChars="200"/>
        <w:jc w:val="left"/>
        <w:outlineLvl w:val="0"/>
        <w:rPr>
          <w:rFonts w:ascii="仿宋_GB2312" w:hAnsi="仿宋" w:eastAsia="仿宋_GB2312"/>
          <w:color w:val="000000"/>
          <w:sz w:val="32"/>
          <w:szCs w:val="32"/>
        </w:rPr>
      </w:pPr>
      <w:bookmarkStart w:id="68" w:name="_Toc22698"/>
      <w:bookmarkStart w:id="69" w:name="_Toc19903"/>
      <w:bookmarkStart w:id="70" w:name="_Toc16730"/>
      <w:bookmarkStart w:id="71" w:name="_Toc9097"/>
      <w:r>
        <w:rPr>
          <w:rFonts w:hint="eastAsia" w:ascii="仿宋_GB2312" w:hAnsi="仿宋" w:eastAsia="仿宋_GB2312"/>
          <w:color w:val="000000"/>
          <w:sz w:val="32"/>
          <w:szCs w:val="32"/>
        </w:rPr>
        <w:t>二、收入决算表</w:t>
      </w:r>
      <w:bookmarkEnd w:id="68"/>
      <w:bookmarkEnd w:id="69"/>
      <w:bookmarkEnd w:id="70"/>
      <w:bookmarkEnd w:id="71"/>
    </w:p>
    <w:p>
      <w:pPr>
        <w:spacing w:line="600" w:lineRule="exact"/>
        <w:ind w:firstLine="640" w:firstLineChars="200"/>
        <w:jc w:val="left"/>
        <w:outlineLvl w:val="0"/>
        <w:rPr>
          <w:rFonts w:ascii="仿宋_GB2312" w:hAnsi="仿宋" w:eastAsia="仿宋_GB2312"/>
          <w:color w:val="000000"/>
          <w:sz w:val="32"/>
          <w:szCs w:val="32"/>
        </w:rPr>
      </w:pPr>
      <w:bookmarkStart w:id="72" w:name="_Toc30947"/>
      <w:bookmarkStart w:id="73" w:name="_Toc3648"/>
      <w:bookmarkStart w:id="74" w:name="_Toc25515"/>
      <w:bookmarkStart w:id="75" w:name="_Toc19634"/>
      <w:r>
        <w:rPr>
          <w:rFonts w:hint="eastAsia" w:ascii="仿宋_GB2312" w:hAnsi="仿宋" w:eastAsia="仿宋_GB2312"/>
          <w:color w:val="000000"/>
          <w:sz w:val="32"/>
          <w:szCs w:val="32"/>
        </w:rPr>
        <w:t>三、支出决算表</w:t>
      </w:r>
      <w:bookmarkEnd w:id="72"/>
      <w:bookmarkEnd w:id="73"/>
      <w:bookmarkEnd w:id="74"/>
      <w:bookmarkEnd w:id="75"/>
    </w:p>
    <w:p>
      <w:pPr>
        <w:spacing w:line="600" w:lineRule="exact"/>
        <w:ind w:firstLine="640" w:firstLineChars="200"/>
        <w:jc w:val="left"/>
        <w:outlineLvl w:val="0"/>
        <w:rPr>
          <w:rFonts w:ascii="仿宋_GB2312" w:hAnsi="仿宋" w:eastAsia="仿宋_GB2312"/>
          <w:color w:val="000000"/>
          <w:sz w:val="32"/>
          <w:szCs w:val="32"/>
        </w:rPr>
      </w:pPr>
      <w:bookmarkStart w:id="76" w:name="_Toc10092"/>
      <w:bookmarkStart w:id="77" w:name="_Toc22427"/>
      <w:bookmarkStart w:id="78" w:name="_Toc9013"/>
      <w:bookmarkStart w:id="79" w:name="_Toc2413"/>
      <w:r>
        <w:rPr>
          <w:rFonts w:hint="eastAsia" w:ascii="仿宋_GB2312" w:hAnsi="仿宋" w:eastAsia="仿宋_GB2312"/>
          <w:color w:val="000000"/>
          <w:sz w:val="32"/>
          <w:szCs w:val="32"/>
        </w:rPr>
        <w:t>四、财政拨款收入支出决算总表</w:t>
      </w:r>
      <w:bookmarkEnd w:id="76"/>
      <w:bookmarkEnd w:id="77"/>
      <w:bookmarkEnd w:id="78"/>
      <w:bookmarkEnd w:id="79"/>
    </w:p>
    <w:p>
      <w:pPr>
        <w:spacing w:line="600" w:lineRule="exact"/>
        <w:ind w:firstLine="640" w:firstLineChars="200"/>
        <w:jc w:val="left"/>
        <w:outlineLvl w:val="0"/>
        <w:rPr>
          <w:rFonts w:ascii="仿宋_GB2312" w:hAnsi="仿宋" w:eastAsia="仿宋_GB2312"/>
          <w:color w:val="000000"/>
          <w:sz w:val="32"/>
          <w:szCs w:val="32"/>
        </w:rPr>
      </w:pPr>
      <w:bookmarkStart w:id="80" w:name="_Toc16850"/>
      <w:bookmarkStart w:id="81" w:name="_Toc14236"/>
      <w:bookmarkStart w:id="82" w:name="_Toc15265"/>
      <w:bookmarkStart w:id="83" w:name="_Toc20370"/>
      <w:r>
        <w:rPr>
          <w:rFonts w:hint="eastAsia" w:ascii="仿宋_GB2312" w:hAnsi="仿宋" w:eastAsia="仿宋_GB2312"/>
          <w:color w:val="000000"/>
          <w:sz w:val="32"/>
          <w:szCs w:val="32"/>
        </w:rPr>
        <w:t>五、财政拨款支出决算明细表</w:t>
      </w:r>
      <w:bookmarkEnd w:id="80"/>
      <w:bookmarkEnd w:id="81"/>
      <w:bookmarkEnd w:id="82"/>
      <w:bookmarkEnd w:id="83"/>
    </w:p>
    <w:p>
      <w:pPr>
        <w:spacing w:line="600" w:lineRule="exact"/>
        <w:ind w:firstLine="640" w:firstLineChars="200"/>
        <w:jc w:val="left"/>
        <w:outlineLvl w:val="0"/>
        <w:rPr>
          <w:rFonts w:ascii="仿宋_GB2312" w:hAnsi="仿宋" w:eastAsia="仿宋_GB2312"/>
          <w:color w:val="000000"/>
          <w:sz w:val="32"/>
          <w:szCs w:val="32"/>
        </w:rPr>
      </w:pPr>
      <w:bookmarkStart w:id="84" w:name="_Toc13143"/>
      <w:bookmarkStart w:id="85" w:name="_Toc7229"/>
      <w:bookmarkStart w:id="86" w:name="_Toc12566"/>
      <w:bookmarkStart w:id="87" w:name="_Toc31102"/>
      <w:r>
        <w:rPr>
          <w:rFonts w:hint="eastAsia" w:ascii="仿宋_GB2312" w:hAnsi="仿宋" w:eastAsia="仿宋_GB2312"/>
          <w:color w:val="000000"/>
          <w:sz w:val="32"/>
          <w:szCs w:val="32"/>
        </w:rPr>
        <w:t>六、一般公共预算财政拨款支出决算表</w:t>
      </w:r>
      <w:bookmarkEnd w:id="84"/>
      <w:bookmarkEnd w:id="85"/>
      <w:bookmarkEnd w:id="86"/>
      <w:bookmarkEnd w:id="87"/>
    </w:p>
    <w:p>
      <w:pPr>
        <w:spacing w:line="600" w:lineRule="exact"/>
        <w:ind w:firstLine="640" w:firstLineChars="200"/>
        <w:jc w:val="left"/>
        <w:outlineLvl w:val="0"/>
        <w:rPr>
          <w:rFonts w:ascii="仿宋_GB2312" w:hAnsi="仿宋" w:eastAsia="仿宋_GB2312"/>
          <w:color w:val="000000"/>
          <w:sz w:val="32"/>
          <w:szCs w:val="32"/>
        </w:rPr>
      </w:pPr>
      <w:bookmarkStart w:id="88" w:name="_Toc8149"/>
      <w:bookmarkStart w:id="89" w:name="_Toc16491"/>
      <w:bookmarkStart w:id="90" w:name="_Toc31808"/>
      <w:bookmarkStart w:id="91" w:name="_Toc22922"/>
      <w:r>
        <w:rPr>
          <w:rFonts w:hint="eastAsia" w:ascii="仿宋_GB2312" w:hAnsi="仿宋" w:eastAsia="仿宋_GB2312"/>
          <w:color w:val="000000"/>
          <w:sz w:val="32"/>
          <w:szCs w:val="32"/>
        </w:rPr>
        <w:t>七、一般公共预算财政拨款支出决算明细表</w:t>
      </w:r>
      <w:bookmarkEnd w:id="88"/>
      <w:bookmarkEnd w:id="89"/>
      <w:bookmarkEnd w:id="90"/>
      <w:bookmarkEnd w:id="91"/>
    </w:p>
    <w:p>
      <w:pPr>
        <w:spacing w:line="600" w:lineRule="exact"/>
        <w:ind w:firstLine="640" w:firstLineChars="200"/>
        <w:jc w:val="left"/>
        <w:outlineLvl w:val="0"/>
        <w:rPr>
          <w:rFonts w:ascii="仿宋_GB2312" w:hAnsi="仿宋" w:eastAsia="仿宋_GB2312"/>
          <w:color w:val="000000"/>
          <w:sz w:val="32"/>
          <w:szCs w:val="32"/>
        </w:rPr>
      </w:pPr>
      <w:bookmarkStart w:id="92" w:name="_Toc30242"/>
      <w:bookmarkStart w:id="93" w:name="_Toc30463"/>
      <w:bookmarkStart w:id="94" w:name="_Toc9773"/>
      <w:bookmarkStart w:id="95" w:name="_Toc16484"/>
      <w:r>
        <w:rPr>
          <w:rFonts w:hint="eastAsia" w:ascii="仿宋_GB2312" w:hAnsi="仿宋" w:eastAsia="仿宋_GB2312"/>
          <w:color w:val="000000"/>
          <w:sz w:val="32"/>
          <w:szCs w:val="32"/>
        </w:rPr>
        <w:t>八、一般公共预算财政拨款基本支出决算表</w:t>
      </w:r>
      <w:bookmarkEnd w:id="92"/>
      <w:bookmarkEnd w:id="93"/>
      <w:bookmarkEnd w:id="94"/>
      <w:bookmarkEnd w:id="95"/>
    </w:p>
    <w:p>
      <w:pPr>
        <w:spacing w:line="600" w:lineRule="exact"/>
        <w:ind w:firstLine="640" w:firstLineChars="200"/>
        <w:jc w:val="left"/>
        <w:outlineLvl w:val="0"/>
        <w:rPr>
          <w:rFonts w:ascii="仿宋_GB2312" w:hAnsi="仿宋" w:eastAsia="仿宋_GB2312"/>
          <w:color w:val="000000"/>
          <w:sz w:val="32"/>
          <w:szCs w:val="32"/>
        </w:rPr>
      </w:pPr>
      <w:bookmarkStart w:id="96" w:name="_Toc3292"/>
      <w:bookmarkStart w:id="97" w:name="_Toc29080"/>
      <w:bookmarkStart w:id="98" w:name="_Toc13899"/>
      <w:bookmarkStart w:id="99" w:name="_Toc24012"/>
      <w:r>
        <w:rPr>
          <w:rFonts w:hint="eastAsia" w:ascii="仿宋_GB2312" w:hAnsi="仿宋" w:eastAsia="仿宋_GB2312"/>
          <w:color w:val="000000"/>
          <w:sz w:val="32"/>
          <w:szCs w:val="32"/>
        </w:rPr>
        <w:t>九、一般公共预算财政拨款项目支出决算表</w:t>
      </w:r>
      <w:bookmarkEnd w:id="96"/>
      <w:bookmarkEnd w:id="97"/>
      <w:bookmarkEnd w:id="98"/>
      <w:bookmarkEnd w:id="99"/>
    </w:p>
    <w:p>
      <w:pPr>
        <w:spacing w:line="600" w:lineRule="exact"/>
        <w:ind w:firstLine="640" w:firstLineChars="200"/>
        <w:jc w:val="left"/>
        <w:outlineLvl w:val="0"/>
        <w:rPr>
          <w:rFonts w:ascii="仿宋_GB2312" w:hAnsi="仿宋" w:eastAsia="仿宋_GB2312"/>
          <w:color w:val="000000"/>
          <w:sz w:val="32"/>
          <w:szCs w:val="32"/>
        </w:rPr>
      </w:pPr>
      <w:bookmarkStart w:id="100" w:name="_Toc27794"/>
      <w:bookmarkStart w:id="101" w:name="_Toc13513"/>
      <w:bookmarkStart w:id="102" w:name="_Toc31289"/>
      <w:bookmarkStart w:id="103" w:name="_Toc20413"/>
      <w:r>
        <w:rPr>
          <w:rFonts w:hint="eastAsia" w:ascii="仿宋_GB2312" w:hAnsi="仿宋" w:eastAsia="仿宋_GB2312"/>
          <w:color w:val="000000"/>
          <w:sz w:val="32"/>
          <w:szCs w:val="32"/>
        </w:rPr>
        <w:t>十、一般公共预算财政拨款“三公”经费支出决算表</w:t>
      </w:r>
      <w:bookmarkEnd w:id="100"/>
      <w:bookmarkEnd w:id="101"/>
      <w:bookmarkEnd w:id="102"/>
      <w:bookmarkEnd w:id="103"/>
    </w:p>
    <w:p>
      <w:pPr>
        <w:spacing w:line="600" w:lineRule="exact"/>
        <w:ind w:firstLine="640" w:firstLineChars="200"/>
        <w:jc w:val="left"/>
        <w:outlineLvl w:val="0"/>
        <w:rPr>
          <w:rFonts w:ascii="仿宋_GB2312" w:hAnsi="仿宋" w:eastAsia="仿宋_GB2312"/>
          <w:color w:val="000000"/>
          <w:sz w:val="32"/>
          <w:szCs w:val="32"/>
        </w:rPr>
      </w:pPr>
      <w:bookmarkStart w:id="104" w:name="_Toc30809"/>
      <w:bookmarkStart w:id="105" w:name="_Toc7203"/>
      <w:bookmarkStart w:id="106" w:name="_Toc4271"/>
      <w:bookmarkStart w:id="107" w:name="_Toc26024"/>
      <w:r>
        <w:rPr>
          <w:rFonts w:hint="eastAsia" w:ascii="仿宋_GB2312" w:hAnsi="仿宋" w:eastAsia="仿宋_GB2312"/>
          <w:color w:val="000000"/>
          <w:sz w:val="32"/>
          <w:szCs w:val="32"/>
        </w:rPr>
        <w:t>十一、政府性基金预算财政拨款收入支出决算表</w:t>
      </w:r>
      <w:bookmarkEnd w:id="104"/>
      <w:bookmarkEnd w:id="105"/>
      <w:bookmarkEnd w:id="106"/>
      <w:bookmarkEnd w:id="107"/>
    </w:p>
    <w:p>
      <w:pPr>
        <w:spacing w:line="600" w:lineRule="exact"/>
        <w:ind w:firstLine="640" w:firstLineChars="200"/>
        <w:jc w:val="left"/>
        <w:outlineLvl w:val="0"/>
        <w:rPr>
          <w:rFonts w:ascii="仿宋_GB2312" w:hAnsi="仿宋" w:eastAsia="仿宋_GB2312"/>
          <w:color w:val="000000"/>
          <w:sz w:val="32"/>
          <w:szCs w:val="32"/>
        </w:rPr>
      </w:pPr>
      <w:bookmarkStart w:id="108" w:name="_Toc27648"/>
      <w:bookmarkStart w:id="109" w:name="_Toc26138"/>
      <w:bookmarkStart w:id="110" w:name="_Toc29529"/>
      <w:bookmarkStart w:id="111" w:name="_Toc11302"/>
      <w:r>
        <w:rPr>
          <w:rFonts w:hint="eastAsia" w:ascii="仿宋_GB2312" w:hAnsi="仿宋" w:eastAsia="仿宋_GB2312"/>
          <w:color w:val="000000"/>
          <w:sz w:val="32"/>
          <w:szCs w:val="32"/>
        </w:rPr>
        <w:t>十二、政府性基金预算财政拨款“三公”经费支出决算表</w:t>
      </w:r>
      <w:bookmarkEnd w:id="108"/>
      <w:bookmarkEnd w:id="109"/>
      <w:bookmarkEnd w:id="110"/>
      <w:bookmarkEnd w:id="111"/>
    </w:p>
    <w:p>
      <w:pPr>
        <w:spacing w:line="600" w:lineRule="exact"/>
        <w:ind w:firstLine="640" w:firstLineChars="200"/>
        <w:jc w:val="left"/>
        <w:outlineLvl w:val="0"/>
        <w:rPr>
          <w:rFonts w:ascii="仿宋_GB2312" w:hAnsi="仿宋" w:eastAsia="仿宋_GB2312"/>
          <w:color w:val="000000"/>
          <w:sz w:val="32"/>
          <w:szCs w:val="32"/>
        </w:rPr>
      </w:pPr>
      <w:bookmarkStart w:id="112" w:name="_Toc3932"/>
      <w:bookmarkStart w:id="113" w:name="_Toc9045"/>
      <w:bookmarkStart w:id="114" w:name="_Toc17639"/>
      <w:bookmarkStart w:id="115" w:name="_Toc11660"/>
      <w:r>
        <w:rPr>
          <w:rFonts w:hint="eastAsia" w:ascii="仿宋_GB2312" w:hAnsi="仿宋" w:eastAsia="仿宋_GB2312"/>
          <w:color w:val="000000"/>
          <w:sz w:val="32"/>
          <w:szCs w:val="32"/>
        </w:rPr>
        <w:t>十三、国有资本经营预算财政拨款收入支出决算表</w:t>
      </w:r>
      <w:bookmarkEnd w:id="112"/>
      <w:bookmarkEnd w:id="113"/>
      <w:bookmarkEnd w:id="114"/>
      <w:bookmarkEnd w:id="115"/>
    </w:p>
    <w:p>
      <w:pPr>
        <w:spacing w:line="600" w:lineRule="exact"/>
        <w:ind w:firstLine="640" w:firstLineChars="200"/>
        <w:jc w:val="left"/>
        <w:outlineLvl w:val="0"/>
        <w:rPr>
          <w:rFonts w:ascii="仿宋_GB2312" w:hAnsi="仿宋" w:eastAsia="仿宋_GB2312"/>
          <w:color w:val="000000"/>
          <w:sz w:val="32"/>
          <w:szCs w:val="32"/>
        </w:rPr>
      </w:pPr>
      <w:bookmarkStart w:id="116" w:name="_Toc14866"/>
      <w:bookmarkStart w:id="117" w:name="_Toc8679"/>
      <w:bookmarkStart w:id="118" w:name="_Toc27357"/>
      <w:bookmarkStart w:id="119" w:name="_Toc25806"/>
      <w:r>
        <w:rPr>
          <w:rFonts w:hint="eastAsia" w:ascii="仿宋_GB2312" w:hAnsi="仿宋" w:eastAsia="仿宋_GB2312"/>
          <w:color w:val="000000"/>
          <w:sz w:val="32"/>
          <w:szCs w:val="32"/>
        </w:rPr>
        <w:t>十四、国有资本经营预算财政拨款支出决算表</w:t>
      </w:r>
      <w:bookmarkEnd w:id="116"/>
      <w:bookmarkEnd w:id="117"/>
      <w:bookmarkEnd w:id="118"/>
      <w:bookmarkEnd w:id="119"/>
    </w:p>
    <w:p>
      <w:pPr>
        <w:pStyle w:val="4"/>
        <w:rPr>
          <w:rFonts w:ascii="仿宋_GB2312" w:hAnsi="仿宋" w:eastAsia="仿宋_GB2312" w:cs="Times New Roman"/>
          <w:b w:val="0"/>
          <w:color w:val="000000"/>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18"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text" w:hAnchor="margin" w:xAlign="outside" w:y="1"/>
      <w:rPr>
        <w:rStyle w:val="16"/>
        <w:rFonts w:ascii="宋体"/>
        <w:sz w:val="28"/>
        <w:szCs w:val="28"/>
      </w:rPr>
    </w:pPr>
    <w:r>
      <w:rPr>
        <w:rStyle w:val="16"/>
        <w:rFonts w:ascii="宋体" w:hAnsi="宋体" w:cs="宋体"/>
        <w:sz w:val="28"/>
        <w:szCs w:val="28"/>
      </w:rPr>
      <w:t xml:space="preserve">— </w:t>
    </w:r>
    <w:r>
      <w:rPr>
        <w:rStyle w:val="16"/>
        <w:rFonts w:ascii="宋体" w:hAnsi="宋体" w:cs="宋体"/>
        <w:sz w:val="28"/>
        <w:szCs w:val="28"/>
      </w:rPr>
      <w:fldChar w:fldCharType="begin"/>
    </w:r>
    <w:r>
      <w:rPr>
        <w:rStyle w:val="16"/>
        <w:rFonts w:ascii="宋体" w:hAnsi="宋体" w:cs="宋体"/>
        <w:sz w:val="28"/>
        <w:szCs w:val="28"/>
      </w:rPr>
      <w:instrText xml:space="preserve">PAGE  </w:instrText>
    </w:r>
    <w:r>
      <w:rPr>
        <w:rStyle w:val="16"/>
        <w:rFonts w:ascii="宋体" w:hAnsi="宋体" w:cs="宋体"/>
        <w:sz w:val="28"/>
        <w:szCs w:val="28"/>
      </w:rPr>
      <w:fldChar w:fldCharType="separate"/>
    </w:r>
    <w:r>
      <w:rPr>
        <w:rStyle w:val="16"/>
        <w:rFonts w:ascii="宋体" w:hAnsi="宋体" w:cs="宋体"/>
        <w:sz w:val="28"/>
        <w:szCs w:val="28"/>
      </w:rPr>
      <w:t>2</w:t>
    </w:r>
    <w:r>
      <w:rPr>
        <w:rStyle w:val="16"/>
        <w:rFonts w:ascii="宋体" w:hAnsi="宋体" w:cs="宋体"/>
        <w:sz w:val="28"/>
        <w:szCs w:val="28"/>
      </w:rPr>
      <w:fldChar w:fldCharType="end"/>
    </w:r>
    <w:r>
      <w:rPr>
        <w:rStyle w:val="16"/>
        <w:rFonts w:ascii="宋体" w:hAnsi="宋体" w:cs="宋体"/>
        <w:sz w:val="28"/>
        <w:szCs w:val="28"/>
      </w:rPr>
      <w:t xml:space="preserve"> —</w:t>
    </w:r>
  </w:p>
  <w:p>
    <w:pPr>
      <w:pStyle w:val="9"/>
      <w:ind w:right="360" w:firstLine="360"/>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0A9A8"/>
    <w:multiLevelType w:val="singleLevel"/>
    <w:tmpl w:val="05D0A9A8"/>
    <w:lvl w:ilvl="0" w:tentative="0">
      <w:start w:val="2"/>
      <w:numFmt w:val="decimal"/>
      <w:suff w:val="nothing"/>
      <w:lvlText w:val="%1．"/>
      <w:lvlJc w:val="left"/>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015536C"/>
    <w:multiLevelType w:val="multilevel"/>
    <w:tmpl w:val="3015536C"/>
    <w:lvl w:ilvl="0" w:tentative="0">
      <w:start w:val="1"/>
      <w:numFmt w:val="japaneseCounting"/>
      <w:lvlText w:val="第%1部"/>
      <w:lvlJc w:val="left"/>
      <w:pPr>
        <w:ind w:left="1740" w:hanging="1740"/>
      </w:pPr>
      <w:rPr>
        <w:rFonts w:hint="default" w:hAnsi="Times New Roman" w:cs="方正小标宋简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AzOGY0MzNkZDBjODhkNTQ2ZGJhN2VkNmUwZTIwNTAifQ=="/>
  </w:docVars>
  <w:rsids>
    <w:rsidRoot w:val="00F1361C"/>
    <w:rsid w:val="0000076D"/>
    <w:rsid w:val="00007AA7"/>
    <w:rsid w:val="000222C6"/>
    <w:rsid w:val="0002549F"/>
    <w:rsid w:val="000262D1"/>
    <w:rsid w:val="00026388"/>
    <w:rsid w:val="000468DB"/>
    <w:rsid w:val="000521FE"/>
    <w:rsid w:val="0005222A"/>
    <w:rsid w:val="000532C0"/>
    <w:rsid w:val="0005559A"/>
    <w:rsid w:val="0006487A"/>
    <w:rsid w:val="00065F8F"/>
    <w:rsid w:val="00066C8B"/>
    <w:rsid w:val="00070A43"/>
    <w:rsid w:val="000763A2"/>
    <w:rsid w:val="000768F2"/>
    <w:rsid w:val="00080CEB"/>
    <w:rsid w:val="00085BF4"/>
    <w:rsid w:val="000869F5"/>
    <w:rsid w:val="0009184B"/>
    <w:rsid w:val="00094236"/>
    <w:rsid w:val="0009593C"/>
    <w:rsid w:val="00097322"/>
    <w:rsid w:val="000A6A92"/>
    <w:rsid w:val="000B047F"/>
    <w:rsid w:val="000B5923"/>
    <w:rsid w:val="000B5A48"/>
    <w:rsid w:val="000B6FF3"/>
    <w:rsid w:val="000C007D"/>
    <w:rsid w:val="000C21D3"/>
    <w:rsid w:val="000C3467"/>
    <w:rsid w:val="000C3CA6"/>
    <w:rsid w:val="000C547E"/>
    <w:rsid w:val="000C6A01"/>
    <w:rsid w:val="000C7D1D"/>
    <w:rsid w:val="000D1267"/>
    <w:rsid w:val="000D1D50"/>
    <w:rsid w:val="000D5782"/>
    <w:rsid w:val="000D64D5"/>
    <w:rsid w:val="000D7F23"/>
    <w:rsid w:val="000E16AA"/>
    <w:rsid w:val="000E31E4"/>
    <w:rsid w:val="000E6613"/>
    <w:rsid w:val="000E7119"/>
    <w:rsid w:val="000E78EC"/>
    <w:rsid w:val="000F24B2"/>
    <w:rsid w:val="000F64B0"/>
    <w:rsid w:val="000F7B6B"/>
    <w:rsid w:val="0010120F"/>
    <w:rsid w:val="00114E9B"/>
    <w:rsid w:val="0011636B"/>
    <w:rsid w:val="001164FF"/>
    <w:rsid w:val="0013776A"/>
    <w:rsid w:val="00142216"/>
    <w:rsid w:val="00144242"/>
    <w:rsid w:val="00144D6A"/>
    <w:rsid w:val="00145C2B"/>
    <w:rsid w:val="0014729F"/>
    <w:rsid w:val="001509F3"/>
    <w:rsid w:val="00154482"/>
    <w:rsid w:val="00157BAB"/>
    <w:rsid w:val="00163FDC"/>
    <w:rsid w:val="001654D1"/>
    <w:rsid w:val="00167900"/>
    <w:rsid w:val="00174518"/>
    <w:rsid w:val="0018106D"/>
    <w:rsid w:val="00184526"/>
    <w:rsid w:val="001869EB"/>
    <w:rsid w:val="001877A7"/>
    <w:rsid w:val="00191536"/>
    <w:rsid w:val="00196687"/>
    <w:rsid w:val="001A47C2"/>
    <w:rsid w:val="001A57DF"/>
    <w:rsid w:val="001B292B"/>
    <w:rsid w:val="001C0962"/>
    <w:rsid w:val="001C2FBA"/>
    <w:rsid w:val="001D7531"/>
    <w:rsid w:val="001E155A"/>
    <w:rsid w:val="001E385D"/>
    <w:rsid w:val="001E400C"/>
    <w:rsid w:val="001E6FD2"/>
    <w:rsid w:val="001E737D"/>
    <w:rsid w:val="001F02E1"/>
    <w:rsid w:val="001F0592"/>
    <w:rsid w:val="001F7506"/>
    <w:rsid w:val="001F76AA"/>
    <w:rsid w:val="002004FE"/>
    <w:rsid w:val="002006CD"/>
    <w:rsid w:val="00201B98"/>
    <w:rsid w:val="00202B36"/>
    <w:rsid w:val="00204B7A"/>
    <w:rsid w:val="00204CDE"/>
    <w:rsid w:val="0021095D"/>
    <w:rsid w:val="0021101A"/>
    <w:rsid w:val="00211E80"/>
    <w:rsid w:val="00212E6A"/>
    <w:rsid w:val="002143B2"/>
    <w:rsid w:val="00220536"/>
    <w:rsid w:val="0022203D"/>
    <w:rsid w:val="00231BAA"/>
    <w:rsid w:val="002355F2"/>
    <w:rsid w:val="00235629"/>
    <w:rsid w:val="0024001E"/>
    <w:rsid w:val="0024034D"/>
    <w:rsid w:val="00254D6C"/>
    <w:rsid w:val="00260C38"/>
    <w:rsid w:val="002616C0"/>
    <w:rsid w:val="00265372"/>
    <w:rsid w:val="002662AA"/>
    <w:rsid w:val="00276598"/>
    <w:rsid w:val="002800B1"/>
    <w:rsid w:val="00280496"/>
    <w:rsid w:val="002870EC"/>
    <w:rsid w:val="00290351"/>
    <w:rsid w:val="00294DC9"/>
    <w:rsid w:val="00295495"/>
    <w:rsid w:val="00295C40"/>
    <w:rsid w:val="002A069E"/>
    <w:rsid w:val="002A213D"/>
    <w:rsid w:val="002A31DE"/>
    <w:rsid w:val="002B2613"/>
    <w:rsid w:val="002B54F6"/>
    <w:rsid w:val="002C35C8"/>
    <w:rsid w:val="002C3E56"/>
    <w:rsid w:val="002C5CC7"/>
    <w:rsid w:val="002D19B0"/>
    <w:rsid w:val="002D2D50"/>
    <w:rsid w:val="002D61E9"/>
    <w:rsid w:val="002D6D05"/>
    <w:rsid w:val="002E5142"/>
    <w:rsid w:val="002E51FC"/>
    <w:rsid w:val="002F05B0"/>
    <w:rsid w:val="002F1818"/>
    <w:rsid w:val="002F312F"/>
    <w:rsid w:val="002F44B1"/>
    <w:rsid w:val="002F567B"/>
    <w:rsid w:val="00310FE6"/>
    <w:rsid w:val="003216A9"/>
    <w:rsid w:val="00322795"/>
    <w:rsid w:val="0032356D"/>
    <w:rsid w:val="00335A74"/>
    <w:rsid w:val="00340079"/>
    <w:rsid w:val="00351F4B"/>
    <w:rsid w:val="0035278A"/>
    <w:rsid w:val="003637EF"/>
    <w:rsid w:val="0036561B"/>
    <w:rsid w:val="00367CD8"/>
    <w:rsid w:val="0037013F"/>
    <w:rsid w:val="00374350"/>
    <w:rsid w:val="003804D5"/>
    <w:rsid w:val="0038084A"/>
    <w:rsid w:val="00380C92"/>
    <w:rsid w:val="00395896"/>
    <w:rsid w:val="003A3EE5"/>
    <w:rsid w:val="003A484F"/>
    <w:rsid w:val="003A4883"/>
    <w:rsid w:val="003B0BE0"/>
    <w:rsid w:val="003B0C1B"/>
    <w:rsid w:val="003B22C3"/>
    <w:rsid w:val="003B5FAD"/>
    <w:rsid w:val="003B688C"/>
    <w:rsid w:val="003C0291"/>
    <w:rsid w:val="003C39AE"/>
    <w:rsid w:val="003C7B60"/>
    <w:rsid w:val="003D0996"/>
    <w:rsid w:val="003D0C0F"/>
    <w:rsid w:val="003D1FB2"/>
    <w:rsid w:val="003D3D6E"/>
    <w:rsid w:val="003D66DA"/>
    <w:rsid w:val="003D74B2"/>
    <w:rsid w:val="003E1310"/>
    <w:rsid w:val="003E257A"/>
    <w:rsid w:val="003E6F55"/>
    <w:rsid w:val="00405330"/>
    <w:rsid w:val="00406254"/>
    <w:rsid w:val="00410EF5"/>
    <w:rsid w:val="00416CD4"/>
    <w:rsid w:val="004223DE"/>
    <w:rsid w:val="0042412A"/>
    <w:rsid w:val="004256AE"/>
    <w:rsid w:val="00430C99"/>
    <w:rsid w:val="00434489"/>
    <w:rsid w:val="00435C05"/>
    <w:rsid w:val="00437085"/>
    <w:rsid w:val="00443880"/>
    <w:rsid w:val="00445206"/>
    <w:rsid w:val="004464F4"/>
    <w:rsid w:val="00471401"/>
    <w:rsid w:val="00473F31"/>
    <w:rsid w:val="0048263A"/>
    <w:rsid w:val="00487E5D"/>
    <w:rsid w:val="004A003C"/>
    <w:rsid w:val="004A711F"/>
    <w:rsid w:val="004B0A2B"/>
    <w:rsid w:val="004B199D"/>
    <w:rsid w:val="004B3100"/>
    <w:rsid w:val="004B4690"/>
    <w:rsid w:val="004B5BC1"/>
    <w:rsid w:val="004C5146"/>
    <w:rsid w:val="004D1F88"/>
    <w:rsid w:val="004E0A2D"/>
    <w:rsid w:val="004E206B"/>
    <w:rsid w:val="004E3A8A"/>
    <w:rsid w:val="004E64B0"/>
    <w:rsid w:val="004E6DF7"/>
    <w:rsid w:val="004F0A1F"/>
    <w:rsid w:val="004F0FBD"/>
    <w:rsid w:val="004F10B7"/>
    <w:rsid w:val="004F403E"/>
    <w:rsid w:val="00500C7F"/>
    <w:rsid w:val="00505A47"/>
    <w:rsid w:val="005060E3"/>
    <w:rsid w:val="00507CBA"/>
    <w:rsid w:val="00512FDA"/>
    <w:rsid w:val="00514AB2"/>
    <w:rsid w:val="00516520"/>
    <w:rsid w:val="00517ECE"/>
    <w:rsid w:val="00520DA0"/>
    <w:rsid w:val="00535FA9"/>
    <w:rsid w:val="00544220"/>
    <w:rsid w:val="005455AB"/>
    <w:rsid w:val="00550E9E"/>
    <w:rsid w:val="00551A26"/>
    <w:rsid w:val="005631A6"/>
    <w:rsid w:val="005664BB"/>
    <w:rsid w:val="00566FFA"/>
    <w:rsid w:val="0057481D"/>
    <w:rsid w:val="00575A61"/>
    <w:rsid w:val="00575F0B"/>
    <w:rsid w:val="005806C7"/>
    <w:rsid w:val="00582C6D"/>
    <w:rsid w:val="00583BB5"/>
    <w:rsid w:val="0058486E"/>
    <w:rsid w:val="00585B33"/>
    <w:rsid w:val="0059014D"/>
    <w:rsid w:val="00595D83"/>
    <w:rsid w:val="005961FE"/>
    <w:rsid w:val="005972E4"/>
    <w:rsid w:val="005A6CCE"/>
    <w:rsid w:val="005B1DA5"/>
    <w:rsid w:val="005B1F64"/>
    <w:rsid w:val="005B5097"/>
    <w:rsid w:val="005B5C64"/>
    <w:rsid w:val="005C6BD0"/>
    <w:rsid w:val="005C6C4C"/>
    <w:rsid w:val="005D1C8B"/>
    <w:rsid w:val="005D468D"/>
    <w:rsid w:val="005D5CED"/>
    <w:rsid w:val="005D6FEE"/>
    <w:rsid w:val="005D7AEE"/>
    <w:rsid w:val="005F0EAA"/>
    <w:rsid w:val="005F1A4C"/>
    <w:rsid w:val="005F637F"/>
    <w:rsid w:val="00604605"/>
    <w:rsid w:val="00605688"/>
    <w:rsid w:val="006070AF"/>
    <w:rsid w:val="00607E6C"/>
    <w:rsid w:val="006101B1"/>
    <w:rsid w:val="00614E44"/>
    <w:rsid w:val="006169EA"/>
    <w:rsid w:val="0062270A"/>
    <w:rsid w:val="00622830"/>
    <w:rsid w:val="00623DA0"/>
    <w:rsid w:val="00624546"/>
    <w:rsid w:val="00630AEF"/>
    <w:rsid w:val="006325F8"/>
    <w:rsid w:val="00633463"/>
    <w:rsid w:val="00634C9A"/>
    <w:rsid w:val="00637827"/>
    <w:rsid w:val="006429B2"/>
    <w:rsid w:val="006440E4"/>
    <w:rsid w:val="00660222"/>
    <w:rsid w:val="0066343B"/>
    <w:rsid w:val="00664777"/>
    <w:rsid w:val="006713E9"/>
    <w:rsid w:val="006748A4"/>
    <w:rsid w:val="00676F65"/>
    <w:rsid w:val="00677F57"/>
    <w:rsid w:val="0068135D"/>
    <w:rsid w:val="00681A31"/>
    <w:rsid w:val="00682FA1"/>
    <w:rsid w:val="00683E73"/>
    <w:rsid w:val="006863BB"/>
    <w:rsid w:val="0069723A"/>
    <w:rsid w:val="006A298E"/>
    <w:rsid w:val="006A3141"/>
    <w:rsid w:val="006A5769"/>
    <w:rsid w:val="006A5AD0"/>
    <w:rsid w:val="006A5E34"/>
    <w:rsid w:val="006B019B"/>
    <w:rsid w:val="006B2422"/>
    <w:rsid w:val="006B2B9A"/>
    <w:rsid w:val="006B6AFF"/>
    <w:rsid w:val="006C1847"/>
    <w:rsid w:val="006C1937"/>
    <w:rsid w:val="006C7E7E"/>
    <w:rsid w:val="006D5D68"/>
    <w:rsid w:val="006E0BA0"/>
    <w:rsid w:val="006F020C"/>
    <w:rsid w:val="006F1EFC"/>
    <w:rsid w:val="007027BD"/>
    <w:rsid w:val="00707110"/>
    <w:rsid w:val="007127B7"/>
    <w:rsid w:val="0071381A"/>
    <w:rsid w:val="00715899"/>
    <w:rsid w:val="0071798E"/>
    <w:rsid w:val="00727533"/>
    <w:rsid w:val="00733F96"/>
    <w:rsid w:val="00736112"/>
    <w:rsid w:val="007416B6"/>
    <w:rsid w:val="00742408"/>
    <w:rsid w:val="00743271"/>
    <w:rsid w:val="00746F48"/>
    <w:rsid w:val="00754028"/>
    <w:rsid w:val="0075404D"/>
    <w:rsid w:val="0076182A"/>
    <w:rsid w:val="007675AF"/>
    <w:rsid w:val="00767B7E"/>
    <w:rsid w:val="007770C3"/>
    <w:rsid w:val="00784D24"/>
    <w:rsid w:val="00785FBA"/>
    <w:rsid w:val="00786E4A"/>
    <w:rsid w:val="007875EB"/>
    <w:rsid w:val="00790410"/>
    <w:rsid w:val="0079217F"/>
    <w:rsid w:val="0079426B"/>
    <w:rsid w:val="007A430F"/>
    <w:rsid w:val="007A444B"/>
    <w:rsid w:val="007A5671"/>
    <w:rsid w:val="007B1B69"/>
    <w:rsid w:val="007B50E4"/>
    <w:rsid w:val="007C2CEC"/>
    <w:rsid w:val="007C356B"/>
    <w:rsid w:val="007C51CC"/>
    <w:rsid w:val="007D1682"/>
    <w:rsid w:val="007D312A"/>
    <w:rsid w:val="007D3F19"/>
    <w:rsid w:val="007E23B0"/>
    <w:rsid w:val="007F1991"/>
    <w:rsid w:val="007F2996"/>
    <w:rsid w:val="007F2C2F"/>
    <w:rsid w:val="007F328A"/>
    <w:rsid w:val="007F4D37"/>
    <w:rsid w:val="007F55FC"/>
    <w:rsid w:val="007F5665"/>
    <w:rsid w:val="007F73BF"/>
    <w:rsid w:val="00800112"/>
    <w:rsid w:val="008103BB"/>
    <w:rsid w:val="0081152D"/>
    <w:rsid w:val="0081167D"/>
    <w:rsid w:val="00813348"/>
    <w:rsid w:val="0082408D"/>
    <w:rsid w:val="008253BB"/>
    <w:rsid w:val="00831A43"/>
    <w:rsid w:val="00833962"/>
    <w:rsid w:val="0083706E"/>
    <w:rsid w:val="008408F6"/>
    <w:rsid w:val="00840C69"/>
    <w:rsid w:val="008423A5"/>
    <w:rsid w:val="00846D94"/>
    <w:rsid w:val="00850625"/>
    <w:rsid w:val="00853718"/>
    <w:rsid w:val="00855221"/>
    <w:rsid w:val="00860645"/>
    <w:rsid w:val="00867B77"/>
    <w:rsid w:val="00871F71"/>
    <w:rsid w:val="008728ED"/>
    <w:rsid w:val="00872FD8"/>
    <w:rsid w:val="00874F31"/>
    <w:rsid w:val="00875428"/>
    <w:rsid w:val="00877F7D"/>
    <w:rsid w:val="00885AF4"/>
    <w:rsid w:val="0089075B"/>
    <w:rsid w:val="008939CD"/>
    <w:rsid w:val="00894747"/>
    <w:rsid w:val="008A7235"/>
    <w:rsid w:val="008B0ED4"/>
    <w:rsid w:val="008B4C96"/>
    <w:rsid w:val="008B768C"/>
    <w:rsid w:val="008C113B"/>
    <w:rsid w:val="008C3B6F"/>
    <w:rsid w:val="008C4689"/>
    <w:rsid w:val="008C4DB1"/>
    <w:rsid w:val="008C4EAF"/>
    <w:rsid w:val="008C5176"/>
    <w:rsid w:val="008C7FD0"/>
    <w:rsid w:val="008D6171"/>
    <w:rsid w:val="008E16DA"/>
    <w:rsid w:val="008E1DE7"/>
    <w:rsid w:val="008E5838"/>
    <w:rsid w:val="008E707C"/>
    <w:rsid w:val="008F28A8"/>
    <w:rsid w:val="008F7B6B"/>
    <w:rsid w:val="00900B08"/>
    <w:rsid w:val="00901F37"/>
    <w:rsid w:val="00902155"/>
    <w:rsid w:val="00902668"/>
    <w:rsid w:val="00902FA3"/>
    <w:rsid w:val="00910341"/>
    <w:rsid w:val="00912349"/>
    <w:rsid w:val="00913B18"/>
    <w:rsid w:val="00923564"/>
    <w:rsid w:val="0092392E"/>
    <w:rsid w:val="009315F9"/>
    <w:rsid w:val="00933499"/>
    <w:rsid w:val="00935C98"/>
    <w:rsid w:val="00946945"/>
    <w:rsid w:val="00950B29"/>
    <w:rsid w:val="00951248"/>
    <w:rsid w:val="0095152F"/>
    <w:rsid w:val="00954C49"/>
    <w:rsid w:val="00955E37"/>
    <w:rsid w:val="0097033E"/>
    <w:rsid w:val="0097099F"/>
    <w:rsid w:val="00971997"/>
    <w:rsid w:val="00971FFC"/>
    <w:rsid w:val="009821BF"/>
    <w:rsid w:val="00982419"/>
    <w:rsid w:val="00983D5B"/>
    <w:rsid w:val="0098660A"/>
    <w:rsid w:val="00987698"/>
    <w:rsid w:val="009931C3"/>
    <w:rsid w:val="009A2291"/>
    <w:rsid w:val="009A312D"/>
    <w:rsid w:val="009B2C43"/>
    <w:rsid w:val="009B4EAE"/>
    <w:rsid w:val="009B4F19"/>
    <w:rsid w:val="009B64E7"/>
    <w:rsid w:val="009B6570"/>
    <w:rsid w:val="009B7573"/>
    <w:rsid w:val="009B7B0B"/>
    <w:rsid w:val="009C0F56"/>
    <w:rsid w:val="009C22F4"/>
    <w:rsid w:val="009C2E98"/>
    <w:rsid w:val="009C37FB"/>
    <w:rsid w:val="009D1142"/>
    <w:rsid w:val="009D3447"/>
    <w:rsid w:val="009D4711"/>
    <w:rsid w:val="009F0E7C"/>
    <w:rsid w:val="009F1185"/>
    <w:rsid w:val="009F18CD"/>
    <w:rsid w:val="009F2A13"/>
    <w:rsid w:val="009F2CAE"/>
    <w:rsid w:val="009F61E3"/>
    <w:rsid w:val="009F7527"/>
    <w:rsid w:val="00A039ED"/>
    <w:rsid w:val="00A040FF"/>
    <w:rsid w:val="00A04CCC"/>
    <w:rsid w:val="00A04EB0"/>
    <w:rsid w:val="00A06674"/>
    <w:rsid w:val="00A12FC7"/>
    <w:rsid w:val="00A13CC1"/>
    <w:rsid w:val="00A16847"/>
    <w:rsid w:val="00A1780A"/>
    <w:rsid w:val="00A2332C"/>
    <w:rsid w:val="00A237D8"/>
    <w:rsid w:val="00A25ECD"/>
    <w:rsid w:val="00A268C4"/>
    <w:rsid w:val="00A306DB"/>
    <w:rsid w:val="00A307CD"/>
    <w:rsid w:val="00A32973"/>
    <w:rsid w:val="00A331C8"/>
    <w:rsid w:val="00A35117"/>
    <w:rsid w:val="00A40A00"/>
    <w:rsid w:val="00A4142F"/>
    <w:rsid w:val="00A422EB"/>
    <w:rsid w:val="00A44F0E"/>
    <w:rsid w:val="00A45BB7"/>
    <w:rsid w:val="00A460E2"/>
    <w:rsid w:val="00A50F88"/>
    <w:rsid w:val="00A51164"/>
    <w:rsid w:val="00A51C91"/>
    <w:rsid w:val="00A56DF2"/>
    <w:rsid w:val="00A56E6E"/>
    <w:rsid w:val="00A60E90"/>
    <w:rsid w:val="00A67AB5"/>
    <w:rsid w:val="00A70829"/>
    <w:rsid w:val="00A733B2"/>
    <w:rsid w:val="00A741C2"/>
    <w:rsid w:val="00A91760"/>
    <w:rsid w:val="00A93A1C"/>
    <w:rsid w:val="00A93B00"/>
    <w:rsid w:val="00A93C21"/>
    <w:rsid w:val="00A95FD2"/>
    <w:rsid w:val="00AA0E3E"/>
    <w:rsid w:val="00AA2172"/>
    <w:rsid w:val="00AA32FA"/>
    <w:rsid w:val="00AB52A6"/>
    <w:rsid w:val="00AB64C9"/>
    <w:rsid w:val="00AC3C6A"/>
    <w:rsid w:val="00AC40E8"/>
    <w:rsid w:val="00AC6D06"/>
    <w:rsid w:val="00AD0F83"/>
    <w:rsid w:val="00AD5620"/>
    <w:rsid w:val="00AD656B"/>
    <w:rsid w:val="00AD7C1B"/>
    <w:rsid w:val="00AE16BA"/>
    <w:rsid w:val="00AE1EBE"/>
    <w:rsid w:val="00AF2DA3"/>
    <w:rsid w:val="00AF7472"/>
    <w:rsid w:val="00B03C9D"/>
    <w:rsid w:val="00B04C74"/>
    <w:rsid w:val="00B060AE"/>
    <w:rsid w:val="00B10517"/>
    <w:rsid w:val="00B14E76"/>
    <w:rsid w:val="00B161B8"/>
    <w:rsid w:val="00B163E0"/>
    <w:rsid w:val="00B2048C"/>
    <w:rsid w:val="00B239C4"/>
    <w:rsid w:val="00B310B9"/>
    <w:rsid w:val="00B35F3F"/>
    <w:rsid w:val="00B36CBB"/>
    <w:rsid w:val="00B40133"/>
    <w:rsid w:val="00B40904"/>
    <w:rsid w:val="00B40CE1"/>
    <w:rsid w:val="00B421D3"/>
    <w:rsid w:val="00B425E0"/>
    <w:rsid w:val="00B43B9D"/>
    <w:rsid w:val="00B440AA"/>
    <w:rsid w:val="00B44B70"/>
    <w:rsid w:val="00B53C56"/>
    <w:rsid w:val="00B55BD0"/>
    <w:rsid w:val="00B57DAF"/>
    <w:rsid w:val="00B616C9"/>
    <w:rsid w:val="00B740EE"/>
    <w:rsid w:val="00B76708"/>
    <w:rsid w:val="00B771D5"/>
    <w:rsid w:val="00B77643"/>
    <w:rsid w:val="00B77BDC"/>
    <w:rsid w:val="00B77EA6"/>
    <w:rsid w:val="00B81598"/>
    <w:rsid w:val="00B841F1"/>
    <w:rsid w:val="00B858C4"/>
    <w:rsid w:val="00B932AF"/>
    <w:rsid w:val="00B944D6"/>
    <w:rsid w:val="00BA7059"/>
    <w:rsid w:val="00BB2A3F"/>
    <w:rsid w:val="00BB3DF0"/>
    <w:rsid w:val="00BB4DF0"/>
    <w:rsid w:val="00BC289F"/>
    <w:rsid w:val="00BC2D50"/>
    <w:rsid w:val="00BC5361"/>
    <w:rsid w:val="00BC5460"/>
    <w:rsid w:val="00BC59B8"/>
    <w:rsid w:val="00BC6B50"/>
    <w:rsid w:val="00BD0E25"/>
    <w:rsid w:val="00BD3EB8"/>
    <w:rsid w:val="00BD5A21"/>
    <w:rsid w:val="00BE3B4F"/>
    <w:rsid w:val="00BE50E9"/>
    <w:rsid w:val="00BF091E"/>
    <w:rsid w:val="00BF5BD6"/>
    <w:rsid w:val="00C01246"/>
    <w:rsid w:val="00C03995"/>
    <w:rsid w:val="00C03E31"/>
    <w:rsid w:val="00C17A88"/>
    <w:rsid w:val="00C20514"/>
    <w:rsid w:val="00C27A8A"/>
    <w:rsid w:val="00C30E69"/>
    <w:rsid w:val="00C31C26"/>
    <w:rsid w:val="00C33E72"/>
    <w:rsid w:val="00C354B2"/>
    <w:rsid w:val="00C35554"/>
    <w:rsid w:val="00C42709"/>
    <w:rsid w:val="00C44A43"/>
    <w:rsid w:val="00C45809"/>
    <w:rsid w:val="00C533CC"/>
    <w:rsid w:val="00C55A9A"/>
    <w:rsid w:val="00C5751C"/>
    <w:rsid w:val="00C6082E"/>
    <w:rsid w:val="00C61BFC"/>
    <w:rsid w:val="00C62727"/>
    <w:rsid w:val="00C62B85"/>
    <w:rsid w:val="00C65438"/>
    <w:rsid w:val="00C66ED9"/>
    <w:rsid w:val="00C6765F"/>
    <w:rsid w:val="00C67FCE"/>
    <w:rsid w:val="00C749DC"/>
    <w:rsid w:val="00C8370F"/>
    <w:rsid w:val="00C86E95"/>
    <w:rsid w:val="00C91CBB"/>
    <w:rsid w:val="00CA1023"/>
    <w:rsid w:val="00CB4E70"/>
    <w:rsid w:val="00CB7B50"/>
    <w:rsid w:val="00CC09B6"/>
    <w:rsid w:val="00CC101C"/>
    <w:rsid w:val="00CC55F2"/>
    <w:rsid w:val="00CC666F"/>
    <w:rsid w:val="00CC6A23"/>
    <w:rsid w:val="00CD1E3F"/>
    <w:rsid w:val="00CD212D"/>
    <w:rsid w:val="00CD2A49"/>
    <w:rsid w:val="00CD4678"/>
    <w:rsid w:val="00CD57C8"/>
    <w:rsid w:val="00CE05D2"/>
    <w:rsid w:val="00CE33FD"/>
    <w:rsid w:val="00CE44F6"/>
    <w:rsid w:val="00CE49DA"/>
    <w:rsid w:val="00CE7B61"/>
    <w:rsid w:val="00CF4E34"/>
    <w:rsid w:val="00D00095"/>
    <w:rsid w:val="00D10085"/>
    <w:rsid w:val="00D114F0"/>
    <w:rsid w:val="00D16744"/>
    <w:rsid w:val="00D1677F"/>
    <w:rsid w:val="00D167E2"/>
    <w:rsid w:val="00D16D0D"/>
    <w:rsid w:val="00D20620"/>
    <w:rsid w:val="00D24ADE"/>
    <w:rsid w:val="00D24FC2"/>
    <w:rsid w:val="00D254F7"/>
    <w:rsid w:val="00D26091"/>
    <w:rsid w:val="00D2685C"/>
    <w:rsid w:val="00D34E7C"/>
    <w:rsid w:val="00D35489"/>
    <w:rsid w:val="00D36AFE"/>
    <w:rsid w:val="00D422C9"/>
    <w:rsid w:val="00D44905"/>
    <w:rsid w:val="00D50570"/>
    <w:rsid w:val="00D51276"/>
    <w:rsid w:val="00D53FF5"/>
    <w:rsid w:val="00D57808"/>
    <w:rsid w:val="00D6792C"/>
    <w:rsid w:val="00D7035F"/>
    <w:rsid w:val="00D73DE2"/>
    <w:rsid w:val="00D847F5"/>
    <w:rsid w:val="00D97227"/>
    <w:rsid w:val="00DA634F"/>
    <w:rsid w:val="00DA65AC"/>
    <w:rsid w:val="00DB012E"/>
    <w:rsid w:val="00DB1913"/>
    <w:rsid w:val="00DB5916"/>
    <w:rsid w:val="00DC0C59"/>
    <w:rsid w:val="00DC410D"/>
    <w:rsid w:val="00DC5A81"/>
    <w:rsid w:val="00DC68CA"/>
    <w:rsid w:val="00DC7CBA"/>
    <w:rsid w:val="00DD258E"/>
    <w:rsid w:val="00DD73B7"/>
    <w:rsid w:val="00DE09A5"/>
    <w:rsid w:val="00DF28BC"/>
    <w:rsid w:val="00DF34B9"/>
    <w:rsid w:val="00DF3505"/>
    <w:rsid w:val="00E01053"/>
    <w:rsid w:val="00E03584"/>
    <w:rsid w:val="00E036DF"/>
    <w:rsid w:val="00E04193"/>
    <w:rsid w:val="00E0462C"/>
    <w:rsid w:val="00E07ACF"/>
    <w:rsid w:val="00E1498C"/>
    <w:rsid w:val="00E16CFF"/>
    <w:rsid w:val="00E234F9"/>
    <w:rsid w:val="00E23C37"/>
    <w:rsid w:val="00E240F2"/>
    <w:rsid w:val="00E24500"/>
    <w:rsid w:val="00E24E30"/>
    <w:rsid w:val="00E2529A"/>
    <w:rsid w:val="00E331A1"/>
    <w:rsid w:val="00E33202"/>
    <w:rsid w:val="00E336A9"/>
    <w:rsid w:val="00E472B1"/>
    <w:rsid w:val="00E50624"/>
    <w:rsid w:val="00E525B1"/>
    <w:rsid w:val="00E53927"/>
    <w:rsid w:val="00E568DF"/>
    <w:rsid w:val="00E62EB6"/>
    <w:rsid w:val="00E64269"/>
    <w:rsid w:val="00E66797"/>
    <w:rsid w:val="00E776F0"/>
    <w:rsid w:val="00E82267"/>
    <w:rsid w:val="00E82D0D"/>
    <w:rsid w:val="00E853CE"/>
    <w:rsid w:val="00E867B6"/>
    <w:rsid w:val="00E87F08"/>
    <w:rsid w:val="00E916A4"/>
    <w:rsid w:val="00E978DB"/>
    <w:rsid w:val="00EA010F"/>
    <w:rsid w:val="00EA030D"/>
    <w:rsid w:val="00EB061B"/>
    <w:rsid w:val="00EB1569"/>
    <w:rsid w:val="00EB2A55"/>
    <w:rsid w:val="00EB5C4F"/>
    <w:rsid w:val="00EB688C"/>
    <w:rsid w:val="00EC16BF"/>
    <w:rsid w:val="00EC35EF"/>
    <w:rsid w:val="00ED1B63"/>
    <w:rsid w:val="00ED3C1F"/>
    <w:rsid w:val="00ED4085"/>
    <w:rsid w:val="00ED420E"/>
    <w:rsid w:val="00ED584E"/>
    <w:rsid w:val="00ED6FBE"/>
    <w:rsid w:val="00EE04E5"/>
    <w:rsid w:val="00EE2F57"/>
    <w:rsid w:val="00EE5E21"/>
    <w:rsid w:val="00EF4A5B"/>
    <w:rsid w:val="00EF4C34"/>
    <w:rsid w:val="00EF77C6"/>
    <w:rsid w:val="00F03B29"/>
    <w:rsid w:val="00F05438"/>
    <w:rsid w:val="00F1361C"/>
    <w:rsid w:val="00F14174"/>
    <w:rsid w:val="00F156F0"/>
    <w:rsid w:val="00F160C7"/>
    <w:rsid w:val="00F2408F"/>
    <w:rsid w:val="00F240E9"/>
    <w:rsid w:val="00F27758"/>
    <w:rsid w:val="00F27DFD"/>
    <w:rsid w:val="00F36D8F"/>
    <w:rsid w:val="00F405BC"/>
    <w:rsid w:val="00F417B1"/>
    <w:rsid w:val="00F43CF8"/>
    <w:rsid w:val="00F45853"/>
    <w:rsid w:val="00F46D77"/>
    <w:rsid w:val="00F558EB"/>
    <w:rsid w:val="00F602DF"/>
    <w:rsid w:val="00F61D7E"/>
    <w:rsid w:val="00F658D5"/>
    <w:rsid w:val="00F706B2"/>
    <w:rsid w:val="00F7302A"/>
    <w:rsid w:val="00F754A1"/>
    <w:rsid w:val="00F81E0D"/>
    <w:rsid w:val="00F81FD9"/>
    <w:rsid w:val="00F841AA"/>
    <w:rsid w:val="00F84A94"/>
    <w:rsid w:val="00F86031"/>
    <w:rsid w:val="00F87E96"/>
    <w:rsid w:val="00F90592"/>
    <w:rsid w:val="00F9107E"/>
    <w:rsid w:val="00FA23E8"/>
    <w:rsid w:val="00FB0952"/>
    <w:rsid w:val="00FC6DA1"/>
    <w:rsid w:val="00FC7FAB"/>
    <w:rsid w:val="00FD146E"/>
    <w:rsid w:val="00FD161C"/>
    <w:rsid w:val="00FD168E"/>
    <w:rsid w:val="00FD3CC1"/>
    <w:rsid w:val="00FD766B"/>
    <w:rsid w:val="00FE5740"/>
    <w:rsid w:val="00FE597E"/>
    <w:rsid w:val="00FF1E02"/>
    <w:rsid w:val="00FF30B4"/>
    <w:rsid w:val="00FF50AA"/>
    <w:rsid w:val="00FF5A3E"/>
    <w:rsid w:val="01B143AC"/>
    <w:rsid w:val="031F13C3"/>
    <w:rsid w:val="03264204"/>
    <w:rsid w:val="0364047F"/>
    <w:rsid w:val="03DE52A6"/>
    <w:rsid w:val="05F01BFE"/>
    <w:rsid w:val="07E90329"/>
    <w:rsid w:val="08354E0D"/>
    <w:rsid w:val="09C936CD"/>
    <w:rsid w:val="0A354225"/>
    <w:rsid w:val="0ABB4D83"/>
    <w:rsid w:val="0B5C7A39"/>
    <w:rsid w:val="0B864E6E"/>
    <w:rsid w:val="0C6A65FF"/>
    <w:rsid w:val="0EB41EF3"/>
    <w:rsid w:val="0F101AA6"/>
    <w:rsid w:val="0FCF537F"/>
    <w:rsid w:val="10C055FF"/>
    <w:rsid w:val="11CD4E45"/>
    <w:rsid w:val="13C1703D"/>
    <w:rsid w:val="13F00A92"/>
    <w:rsid w:val="14FF7D2F"/>
    <w:rsid w:val="16BB723D"/>
    <w:rsid w:val="16FD5A47"/>
    <w:rsid w:val="17180937"/>
    <w:rsid w:val="17F5283E"/>
    <w:rsid w:val="1886179D"/>
    <w:rsid w:val="189424F0"/>
    <w:rsid w:val="1A2E7067"/>
    <w:rsid w:val="1B5A2CE4"/>
    <w:rsid w:val="1B6C18CE"/>
    <w:rsid w:val="1DB02E82"/>
    <w:rsid w:val="1E0E2BCD"/>
    <w:rsid w:val="21A63F13"/>
    <w:rsid w:val="22256347"/>
    <w:rsid w:val="22277C18"/>
    <w:rsid w:val="232F445D"/>
    <w:rsid w:val="240371BF"/>
    <w:rsid w:val="2888440F"/>
    <w:rsid w:val="29FD04D3"/>
    <w:rsid w:val="2B005382"/>
    <w:rsid w:val="2BBB6829"/>
    <w:rsid w:val="2F2C6535"/>
    <w:rsid w:val="2F446429"/>
    <w:rsid w:val="30636416"/>
    <w:rsid w:val="308B0426"/>
    <w:rsid w:val="319F7F4E"/>
    <w:rsid w:val="324C37C3"/>
    <w:rsid w:val="36A00C47"/>
    <w:rsid w:val="37484374"/>
    <w:rsid w:val="38B347B6"/>
    <w:rsid w:val="397D3035"/>
    <w:rsid w:val="39C95F4A"/>
    <w:rsid w:val="3A013314"/>
    <w:rsid w:val="3B1E6FB5"/>
    <w:rsid w:val="3B854AA5"/>
    <w:rsid w:val="3D4550B3"/>
    <w:rsid w:val="3DB6008C"/>
    <w:rsid w:val="3EEF4BC7"/>
    <w:rsid w:val="40AA30B1"/>
    <w:rsid w:val="4141349F"/>
    <w:rsid w:val="42E6283C"/>
    <w:rsid w:val="44854FB3"/>
    <w:rsid w:val="454E0A8D"/>
    <w:rsid w:val="465C5400"/>
    <w:rsid w:val="4820486E"/>
    <w:rsid w:val="499B5133"/>
    <w:rsid w:val="4B992490"/>
    <w:rsid w:val="4DE026C3"/>
    <w:rsid w:val="4ECE2238"/>
    <w:rsid w:val="501B6E77"/>
    <w:rsid w:val="52020946"/>
    <w:rsid w:val="521B32CC"/>
    <w:rsid w:val="53D508E1"/>
    <w:rsid w:val="53D90FF8"/>
    <w:rsid w:val="53F06EED"/>
    <w:rsid w:val="54654187"/>
    <w:rsid w:val="55FD2FA3"/>
    <w:rsid w:val="564352C8"/>
    <w:rsid w:val="56A55DE1"/>
    <w:rsid w:val="56D54E8E"/>
    <w:rsid w:val="58503E56"/>
    <w:rsid w:val="5AB132FA"/>
    <w:rsid w:val="5D027150"/>
    <w:rsid w:val="5E5D4CE1"/>
    <w:rsid w:val="615920C9"/>
    <w:rsid w:val="61F83E1C"/>
    <w:rsid w:val="62057EB1"/>
    <w:rsid w:val="625A67EB"/>
    <w:rsid w:val="62D94F13"/>
    <w:rsid w:val="63AF7D09"/>
    <w:rsid w:val="64673E5D"/>
    <w:rsid w:val="65771C83"/>
    <w:rsid w:val="669F629C"/>
    <w:rsid w:val="67CC6617"/>
    <w:rsid w:val="689732F3"/>
    <w:rsid w:val="68B625EA"/>
    <w:rsid w:val="68D64590"/>
    <w:rsid w:val="693556A4"/>
    <w:rsid w:val="69391D97"/>
    <w:rsid w:val="696855DD"/>
    <w:rsid w:val="6AA17330"/>
    <w:rsid w:val="6BF500A5"/>
    <w:rsid w:val="6C6E79FD"/>
    <w:rsid w:val="6D8E524F"/>
    <w:rsid w:val="6F127297"/>
    <w:rsid w:val="72734D90"/>
    <w:rsid w:val="7314367A"/>
    <w:rsid w:val="731947E6"/>
    <w:rsid w:val="758A56E6"/>
    <w:rsid w:val="76BA79E4"/>
    <w:rsid w:val="78D941B0"/>
    <w:rsid w:val="7AD96878"/>
    <w:rsid w:val="7B1505E3"/>
    <w:rsid w:val="7B5F61EC"/>
    <w:rsid w:val="7C456EF2"/>
    <w:rsid w:val="7D130844"/>
    <w:rsid w:val="7F29496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样式 行距: 固定值 28.9 磅"/>
    <w:basedOn w:val="1"/>
    <w:qFormat/>
    <w:uiPriority w:val="0"/>
    <w:pPr>
      <w:spacing w:line="578" w:lineRule="exact"/>
    </w:pPr>
    <w:rPr>
      <w:rFonts w:cs="宋体"/>
      <w:szCs w:val="20"/>
    </w:rPr>
  </w:style>
  <w:style w:type="paragraph" w:styleId="6">
    <w:name w:val="Body Text"/>
    <w:basedOn w:val="1"/>
    <w:link w:val="27"/>
    <w:qFormat/>
    <w:uiPriority w:val="99"/>
    <w:pPr>
      <w:spacing w:beforeLines="30"/>
    </w:pPr>
    <w:rPr>
      <w:rFonts w:ascii="仿宋_GB2312" w:eastAsia="仿宋_GB2312"/>
      <w:kern w:val="0"/>
      <w:sz w:val="24"/>
      <w:szCs w:val="24"/>
    </w:rPr>
  </w:style>
  <w:style w:type="paragraph" w:styleId="7">
    <w:name w:val="toc 3"/>
    <w:basedOn w:val="1"/>
    <w:next w:val="1"/>
    <w:semiHidden/>
    <w:qFormat/>
    <w:uiPriority w:val="99"/>
    <w:pPr>
      <w:tabs>
        <w:tab w:val="right" w:leader="dot" w:pos="8296"/>
      </w:tabs>
      <w:ind w:left="840" w:leftChars="400"/>
    </w:pPr>
  </w:style>
  <w:style w:type="paragraph" w:styleId="8">
    <w:name w:val="Balloon Text"/>
    <w:basedOn w:val="1"/>
    <w:link w:val="22"/>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kern w:val="0"/>
      <w:sz w:val="18"/>
      <w:szCs w:val="18"/>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semiHidden/>
    <w:qFormat/>
    <w:uiPriority w:val="99"/>
    <w:pPr>
      <w:tabs>
        <w:tab w:val="right" w:leader="dot" w:pos="8296"/>
      </w:tabs>
      <w:adjustRightInd w:val="0"/>
      <w:snapToGrid w:val="0"/>
      <w:spacing w:line="572" w:lineRule="exact"/>
      <w:ind w:firstLine="640" w:firstLineChars="200"/>
    </w:pPr>
    <w:rPr>
      <w:rFonts w:ascii="方正黑体简体" w:hAnsi="仿宋" w:eastAsia="方正黑体简体" w:cs="方正黑体简体"/>
      <w:sz w:val="32"/>
      <w:szCs w:val="32"/>
    </w:rPr>
  </w:style>
  <w:style w:type="paragraph" w:styleId="12">
    <w:name w:val="toc 2"/>
    <w:basedOn w:val="1"/>
    <w:next w:val="1"/>
    <w:semiHidden/>
    <w:qFormat/>
    <w:uiPriority w:val="99"/>
    <w:pPr>
      <w:tabs>
        <w:tab w:val="right" w:leader="dot" w:pos="8296"/>
      </w:tabs>
      <w:ind w:left="420" w:leftChars="200"/>
    </w:pPr>
  </w:style>
  <w:style w:type="character" w:styleId="15">
    <w:name w:val="Strong"/>
    <w:basedOn w:val="14"/>
    <w:qFormat/>
    <w:uiPriority w:val="99"/>
    <w:rPr>
      <w:b/>
      <w:bCs/>
    </w:rPr>
  </w:style>
  <w:style w:type="character" w:styleId="16">
    <w:name w:val="page number"/>
    <w:basedOn w:val="14"/>
    <w:qFormat/>
    <w:uiPriority w:val="99"/>
  </w:style>
  <w:style w:type="character" w:styleId="17">
    <w:name w:val="Hyperlink"/>
    <w:basedOn w:val="14"/>
    <w:qFormat/>
    <w:uiPriority w:val="99"/>
    <w:rPr>
      <w:color w:val="0000FF"/>
      <w:u w:val="single"/>
    </w:rPr>
  </w:style>
  <w:style w:type="character" w:customStyle="1" w:styleId="18">
    <w:name w:val="标题 1 Char"/>
    <w:basedOn w:val="14"/>
    <w:link w:val="3"/>
    <w:qFormat/>
    <w:locked/>
    <w:uiPriority w:val="99"/>
    <w:rPr>
      <w:rFonts w:ascii="Times New Roman" w:hAnsi="Times New Roman" w:cs="Times New Roman"/>
      <w:b/>
      <w:bCs/>
      <w:kern w:val="44"/>
      <w:sz w:val="44"/>
      <w:szCs w:val="44"/>
    </w:rPr>
  </w:style>
  <w:style w:type="character" w:customStyle="1" w:styleId="19">
    <w:name w:val="标题 2 Char"/>
    <w:basedOn w:val="14"/>
    <w:link w:val="4"/>
    <w:qFormat/>
    <w:locked/>
    <w:uiPriority w:val="99"/>
    <w:rPr>
      <w:rFonts w:ascii="Cambria" w:hAnsi="Cambria" w:eastAsia="宋体" w:cs="Cambria"/>
      <w:b/>
      <w:bCs/>
      <w:kern w:val="2"/>
      <w:sz w:val="32"/>
      <w:szCs w:val="32"/>
    </w:rPr>
  </w:style>
  <w:style w:type="character" w:customStyle="1" w:styleId="20">
    <w:name w:val="标题 3 Char"/>
    <w:basedOn w:val="14"/>
    <w:link w:val="5"/>
    <w:qFormat/>
    <w:locked/>
    <w:uiPriority w:val="99"/>
    <w:rPr>
      <w:rFonts w:ascii="Times New Roman" w:hAnsi="Times New Roman" w:cs="Times New Roman"/>
      <w:b/>
      <w:bCs/>
      <w:kern w:val="2"/>
      <w:sz w:val="32"/>
      <w:szCs w:val="32"/>
    </w:rPr>
  </w:style>
  <w:style w:type="character" w:customStyle="1" w:styleId="21">
    <w:name w:val="Body Text Char"/>
    <w:basedOn w:val="14"/>
    <w:link w:val="6"/>
    <w:semiHidden/>
    <w:qFormat/>
    <w:locked/>
    <w:uiPriority w:val="99"/>
    <w:rPr>
      <w:rFonts w:ascii="Times New Roman" w:hAnsi="Times New Roman" w:cs="Times New Roman"/>
      <w:sz w:val="24"/>
      <w:szCs w:val="24"/>
    </w:rPr>
  </w:style>
  <w:style w:type="character" w:customStyle="1" w:styleId="22">
    <w:name w:val="批注框文本 Char"/>
    <w:basedOn w:val="14"/>
    <w:link w:val="8"/>
    <w:semiHidden/>
    <w:qFormat/>
    <w:locked/>
    <w:uiPriority w:val="99"/>
    <w:rPr>
      <w:rFonts w:ascii="Times New Roman" w:hAnsi="Times New Roman" w:cs="Times New Roman"/>
      <w:kern w:val="2"/>
      <w:sz w:val="18"/>
      <w:szCs w:val="18"/>
    </w:rPr>
  </w:style>
  <w:style w:type="character" w:customStyle="1" w:styleId="23">
    <w:name w:val="Footer Char"/>
    <w:basedOn w:val="14"/>
    <w:link w:val="9"/>
    <w:semiHidden/>
    <w:qFormat/>
    <w:locked/>
    <w:uiPriority w:val="99"/>
    <w:rPr>
      <w:rFonts w:ascii="Times New Roman" w:hAnsi="Times New Roman" w:cs="Times New Roman"/>
      <w:sz w:val="18"/>
      <w:szCs w:val="18"/>
    </w:rPr>
  </w:style>
  <w:style w:type="character" w:customStyle="1" w:styleId="24">
    <w:name w:val="Header Char"/>
    <w:basedOn w:val="14"/>
    <w:link w:val="10"/>
    <w:semiHidden/>
    <w:qFormat/>
    <w:locked/>
    <w:uiPriority w:val="99"/>
    <w:rPr>
      <w:rFonts w:ascii="Times New Roman" w:hAnsi="Times New Roman" w:cs="Times New Roman"/>
      <w:sz w:val="18"/>
      <w:szCs w:val="18"/>
    </w:rPr>
  </w:style>
  <w:style w:type="character" w:customStyle="1" w:styleId="25">
    <w:name w:val="页眉 Char"/>
    <w:link w:val="10"/>
    <w:semiHidden/>
    <w:qFormat/>
    <w:locked/>
    <w:uiPriority w:val="99"/>
    <w:rPr>
      <w:sz w:val="18"/>
      <w:szCs w:val="18"/>
    </w:rPr>
  </w:style>
  <w:style w:type="character" w:customStyle="1" w:styleId="26">
    <w:name w:val="页脚 Char"/>
    <w:link w:val="9"/>
    <w:qFormat/>
    <w:locked/>
    <w:uiPriority w:val="99"/>
    <w:rPr>
      <w:sz w:val="18"/>
      <w:szCs w:val="18"/>
    </w:rPr>
  </w:style>
  <w:style w:type="character" w:customStyle="1" w:styleId="27">
    <w:name w:val="正文文本 Char"/>
    <w:link w:val="6"/>
    <w:qFormat/>
    <w:locked/>
    <w:uiPriority w:val="99"/>
    <w:rPr>
      <w:rFonts w:ascii="仿宋_GB2312" w:hAnsi="Times New Roman" w:eastAsia="仿宋_GB2312" w:cs="仿宋_GB2312"/>
      <w:sz w:val="24"/>
      <w:szCs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9">
    <w:name w:val="列出段落1"/>
    <w:basedOn w:val="1"/>
    <w:qFormat/>
    <w:uiPriority w:val="99"/>
    <w:pPr>
      <w:ind w:firstLine="420" w:firstLineChars="200"/>
    </w:pPr>
  </w:style>
  <w:style w:type="paragraph" w:customStyle="1" w:styleId="30">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1">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styleId="32">
    <w:name w:val="List Paragraph"/>
    <w:basedOn w:val="1"/>
    <w:qFormat/>
    <w:uiPriority w:val="99"/>
    <w:pPr>
      <w:ind w:firstLine="420" w:firstLineChars="200"/>
    </w:pPr>
  </w:style>
  <w:style w:type="character" w:customStyle="1" w:styleId="33">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oleObject" Target="embeddings/Workbook6.xls"/><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oleObject" Target="embeddings/Workbook5.xls"/><Relationship Id="rId17" Type="http://schemas.openxmlformats.org/officeDocument/2006/relationships/image" Target="media/image4.emf"/><Relationship Id="rId16" Type="http://schemas.openxmlformats.org/officeDocument/2006/relationships/oleObject" Target="embeddings/Workbook4.xls"/><Relationship Id="rId15" Type="http://schemas.openxmlformats.org/officeDocument/2006/relationships/image" Target="media/image3.emf"/><Relationship Id="rId14" Type="http://schemas.openxmlformats.org/officeDocument/2006/relationships/oleObject" Target="embeddings/Workbook3.xls"/><Relationship Id="rId13" Type="http://schemas.openxmlformats.org/officeDocument/2006/relationships/image" Target="media/image2.emf"/><Relationship Id="rId12" Type="http://schemas.openxmlformats.org/officeDocument/2006/relationships/oleObject" Target="embeddings/Workbook2.xls"/><Relationship Id="rId11" Type="http://schemas.openxmlformats.org/officeDocument/2006/relationships/image" Target="media/image1.emf"/><Relationship Id="rId10" Type="http://schemas.openxmlformats.org/officeDocument/2006/relationships/oleObject" Target="embeddings/Workbook1.xls"/><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5"/>
    <customShpInfo spid="_x0000_s1046"/>
    <customShpInfo spid="_x0000_s1029"/>
    <customShpInfo spid="_x0000_s1037"/>
    <customShpInfo spid="_x0000_s1039"/>
    <customShpInfo spid="_x0000_s1043"/>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6068B-DBB0-43BD-8A59-EEB065538A9E}">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48</Pages>
  <Words>17935</Words>
  <Characters>18816</Characters>
  <Lines>140</Lines>
  <Paragraphs>39</Paragraphs>
  <TotalTime>53</TotalTime>
  <ScaleCrop>false</ScaleCrop>
  <LinksUpToDate>false</LinksUpToDate>
  <CharactersWithSpaces>18901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2020-09-21T09:26:00Z</dcterms:created>
  <dc:creator>曹颖</dc:creator>
  <cp:lastModifiedBy>淳麒文</cp:lastModifiedBy>
  <cp:lastPrinted>2021-09-18T09:00:00Z</cp:lastPrinted>
  <dcterms:modified xsi:type="dcterms:W3CDTF">2022-07-13T08:55:28Z</dcterms:modified>
  <dc:title>四川省***</dc:title>
  <cp:revision>696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2E8AED0492654CBD969F5928DE21F630</vt:lpwstr>
  </property>
</Properties>
</file>