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160020</wp:posOffset>
                </wp:positionV>
                <wp:extent cx="1026160" cy="1228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780405" y="1492250"/>
                          <a:ext cx="102616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45"/>
                                <w:sz w:val="138"/>
                                <w:szCs w:val="13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45"/>
                                <w:sz w:val="138"/>
                                <w:szCs w:val="138"/>
                                <w:lang w:eastAsia="zh-CN"/>
                              </w:rPr>
                              <w:t>文件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25pt;margin-top:12.6pt;height:96.7pt;width:80.8pt;z-index:251659264;mso-width-relative:page;mso-height-relative:page;" filled="f" stroked="f" coordsize="21600,21600" o:gfxdata="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nhqCYNsAAAAKAQAADwAAAAAAAAAB&#10;ACAAAAA4AAAAZHJzL2Rvd25yZXYueG1sUEsBAhQAFAAAAAgAh07iQJld2wMwAgAANwQAAA4AAAAA&#10;AAAAAQAgAAAAQ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45"/>
                          <w:sz w:val="138"/>
                          <w:szCs w:val="138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45"/>
                          <w:sz w:val="138"/>
                          <w:szCs w:val="138"/>
                          <w:lang w:eastAsia="zh-CN"/>
                        </w:rPr>
                        <w:t>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1304" w:rightChars="621" w:firstLine="134" w:firstLineChars="20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中共广元市委宣传部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1304" w:rightChars="621" w:firstLine="201" w:firstLineChars="30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0"/>
          <w:w w:val="8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元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司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70"/>
          <w:sz w:val="96"/>
          <w:szCs w:val="96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distribute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2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jc w:val="center"/>
        <w:textAlignment w:val="auto"/>
        <w:rPr>
          <w:rFonts w:hint="default" w:eastAsia="仿宋_GB2312"/>
          <w:w w:val="75"/>
          <w:sz w:val="80"/>
          <w:szCs w:val="8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广司〔2022〕16号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市委宣传部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司法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  <w:t>关于开展2016-2020年全市普法先进集体和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  <w:t>先进个人通报表扬工作的通知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各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县区委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宣传部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、各县区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司法局，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广元经开区管委会、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市天然气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广元铁路港管委会，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级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部门（单位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、行业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普法以来，全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各地各部门坚持以习近平新时代中国特色社会主义思想为指导，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贯彻党的十九大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和十九届历次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，深入学习宣传贯彻习近平法治思想，全面贯彻落实《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法治宣传教育第七个五年规划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）》《广元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人民代表大会常务委员会关于开展第七个五年法治宣传教育的决议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，切实加大全民普法力度，不断推动法治宣传教育工作深入开展，在全社会形成了办事依法、遇事找法、解决问题用法、化解矛盾靠法的法治良序，为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营造了浓厚的法治氛围。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激励先进、树立典型，充分发挥典型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带动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作用，进一步调动各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各部门工作积极性，持续推动全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市普法依法治理工作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深入开展，确保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普法开好局、起好步，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委主要领导同意，市委、市政府决定通报表扬一批在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年全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市普法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工作中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成绩突出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先进集体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和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先进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pacing w:val="0"/>
          <w:sz w:val="32"/>
          <w:szCs w:val="32"/>
        </w:rPr>
        <w:t>个人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，现将有关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事项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2"/>
          <w:szCs w:val="32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一、表扬对象范围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（一）2016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/>
        </w:rPr>
        <w:t>-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2020年全市普法先进集体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各县（区）党委、政府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2.各级党政机关、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普法依法治理工作机构等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3.人民团体、企事业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社会组织、新闻媒体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（二）2016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/>
        </w:rPr>
        <w:t>-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年全市普法先进个人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七五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普法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中作出突出贡献的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，重点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干部群众、基层法治工作者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倾斜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16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级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eastAsia="zh-CN"/>
        </w:rPr>
        <w:t>以上干部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比例原则上不超过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20%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适当考虑少数民族和妇女同志比例。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已被推荐为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年全国、全省普法工作先进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、先进个人和依法治理创建活动先进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的，不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参加本次表扬。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二、表扬条件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、表扬程序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（一）推荐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各县（区）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在基层单位申报的基础上，等额研究推荐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先进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、先进个人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5个工作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日后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报市司法局。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级部门（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、行业）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在基层单位申报的基础上，研究推荐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先进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、先进个人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名单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5个工作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日后报市司法局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市司法局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会同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市委宣传部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对各县（区）、市级部门（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、行业）的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名单和材料进行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审，研究提出拟表扬对象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初步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人选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2.由广元市“七五”普法表扬工作领导小组对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拟表扬对象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初步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人选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进行复核，形成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拟表扬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名单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对拟表扬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名单在全市范围内公示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5个工作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公示期满，市委宣传部、市司法局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拟表扬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名单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审定，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提请由市委、市政府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发文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市普法先进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、先进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个人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仿宋_GB2312" w:hAnsi="仿宋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本次表扬与表彰活动相区分，不层层发文部署评比推荐，不颁发奖牌、奖章、证书，不授予称号，不以表彰名义进行宣传。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申报表、申报名单汇总表及否定事项证明材料务必于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26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日前报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市司法局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。纸质版邮寄至：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广元市利州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雪峰大道15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号，电子版发送至：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12856873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QQ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.com。</w:t>
      </w:r>
      <w:r>
        <w:rPr>
          <w:rFonts w:hint="eastAsia" w:ascii="仿宋_GB2312" w:hAnsi="宋体" w:eastAsia="仿宋_GB2312" w:cs="宋体"/>
          <w:b w:val="0"/>
          <w:bCs w:val="0"/>
          <w:color w:val="000000"/>
          <w:spacing w:val="0"/>
          <w:kern w:val="0"/>
          <w:sz w:val="32"/>
          <w:szCs w:val="32"/>
        </w:rPr>
        <w:t>联系人：</w:t>
      </w:r>
      <w:r>
        <w:rPr>
          <w:rFonts w:hint="eastAsia" w:ascii="仿宋_GB2312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谭超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杨晓东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000000"/>
          <w:spacing w:val="0"/>
          <w:kern w:val="0"/>
          <w:sz w:val="32"/>
          <w:szCs w:val="32"/>
        </w:rPr>
        <w:t>联系方式：</w:t>
      </w:r>
      <w:r>
        <w:rPr>
          <w:rFonts w:hint="eastAsia" w:ascii="仿宋_GB2312" w:hAnsi="宋体" w:eastAsia="仿宋_GB2312" w:cs="宋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13308129066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,13</w:t>
      </w:r>
      <w:r>
        <w:rPr>
          <w:rFonts w:hint="eastAsia" w:ascii="仿宋_GB2312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881235779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。相关表格电子版请在“广元市司法局”门户网站通知公告栏下载。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</w:rPr>
        <w:t>1.2016-2020年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</w:rPr>
        <w:t>普法先进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  <w:lang w:eastAsia="zh-CN"/>
        </w:rPr>
        <w:t>集体和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</w:rPr>
        <w:t>先进个人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-11"/>
          <w:kern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1600" w:firstLineChars="500"/>
        <w:jc w:val="both"/>
        <w:textAlignment w:val="baseline"/>
        <w:rPr>
          <w:rFonts w:hint="default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2.广元市“七五”普法表扬工作领导小组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1916" w:leftChars="760" w:hanging="320" w:hangingChars="100"/>
        <w:jc w:val="both"/>
        <w:textAlignment w:val="baseline"/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3.2016-2020年全市普法先进集体和先进个人名额分配表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1600" w:firstLineChars="500"/>
        <w:jc w:val="both"/>
        <w:textAlignment w:val="baseline"/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4.2016-2020年全市普法先进集体申报表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1600" w:firstLineChars="500"/>
        <w:jc w:val="both"/>
        <w:textAlignment w:val="baseline"/>
        <w:rPr>
          <w:rFonts w:hint="default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5.2016-2020年全市普法先进个人申报表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6" w:leftChars="760" w:hanging="320" w:hangingChars="1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</w:rPr>
        <w:t>2016-2020年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</w:rPr>
        <w:t>普法先进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集体和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</w:rPr>
        <w:t>先进个人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申报名单汇总表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320" w:leftChars="0" w:hanging="320" w:hangingChars="100"/>
        <w:jc w:val="both"/>
        <w:textAlignment w:val="baseline"/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777" w:firstLineChars="24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777" w:firstLineChars="2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中共广元市委宣传部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广元市司法局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sectPr>
          <w:footerReference r:id="rId3" w:type="default"/>
          <w:pgSz w:w="11906" w:h="16838"/>
          <w:pgMar w:top="2041" w:right="1587" w:bottom="2041" w:left="1587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日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  <w:t>2016-2020年全市普法先进集体和先进个人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先进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集体申报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政治立场坚定。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坚持以习近平新时代中国特色社会主义思想为指导，坚持党对全民普法工作的领导，认真学习宣传贯彻习近平法治思想，全面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贯彻落实党中央决策部署，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增强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四个意识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、坚定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四个自信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拥护“两个确立”、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做到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两个维护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2.组织领导坚强有力。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认真贯彻落实党中央决策部署，结合实际建立健全普法依法治理领导小组和办事机构，将法治宣传教育和依法治理工作纳入重要议事日程，定期研究部署。制定本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集体“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七五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普法规划，年度工作有计划、有部署、有评估、有总结。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3.法治宣传教育工作扎实开展。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认真落实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谁执法谁普法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谁管理谁普法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谁服务谁普法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的普法责任，围绕中心、服务大局，持续深化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法律七进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”和“法律进重点项目”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工作，面向社会开展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一月一主题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”法治宣传教育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活动，宪法、民法典宣传纵深开展，疫情防控法治宣传取得实效。深入开展依法治理工作，把各项工作纳入法治化轨道。法治宣传教育阵地建设和队伍建设得到有力推进。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保障措施落实到位。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普法经费列入年度财政预算，按时足额到位，做到专款专用。建立健全法治宣传教育工作监督检查和奖惩制度。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5.成绩突出效果显著。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本地本部门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干部职工的法律素质和法治化水平明显提高，法治宣传教育工作在本地区、本部门、本行业处于领先水平。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七五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普法期间，有下列情形之一的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不予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推荐表扬：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领导班子成员发生重大违法违纪案件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因违法行政引发重大群体性事件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因失职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渎职引发重大公共卫生事件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重大生产安全事故或其他恶性事件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因生产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销售假冒伪劣产品造成人民群众生命财产重大损失，产生恶劣影响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发生重大环境责任事故或者造成恶劣影响的重大环境污染事件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其他造成恶劣影响的事件。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先进个人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政治立场坚定。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坚持以习近平新时代中国特色社会主义思想为指导，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认真学习宣传贯彻习近平法治思想，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拥护“两个确立”、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增强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四个意识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、坚定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四个自信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、做到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两个维护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贯彻落实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中央关于法治宣传教育的方针政策，在实施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七五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普法规划和决议过程中，发挥积极作用，成绩明显。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带头尊法学法守法用法。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模范遵守和执行党的路线、方针、政策和国家的法律法规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坚持依法决策、依法行政、依法管理、依法办事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自觉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维护宪法法律权威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在工作、学习和生活中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自觉做尊法学法守法用法的模范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热心普法依法治理工作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成绩突出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积极参与全民普法工作，积极参加社会主义法治实践和法治文化建设活动，为全社会形成办事依法、遇事找法、解决问题用法、化解矛盾靠法的良好氛围作出积极贡献。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在“七五”普法期间，发生违法违纪案件的，不予申报。</w:t>
      </w: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11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广元市“七五”普法表扬工作领导小组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组  长：袁  敏       市委常委、宣传部部长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副组长：曹建奎       市委常委、政法委书记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方万云       市政府副市长、公安局局长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成  员：张  阳       市法院院长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1920" w:firstLineChars="6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刘  萍       市检察院检察长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1920" w:firstLineChars="6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彭  彪       市委副秘书长、政法委常务副书记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1920" w:firstLineChars="6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李林桂       市政府副秘书长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夏思法       市司法局局长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王英荣       市委宣传部副部长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王洪奇       市司法局副局长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  <w:t>2016-2020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市普法先进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集体和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52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52"/>
        </w:rPr>
        <w:t>名额分配表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283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  <w:t>名  称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  <w:t>先进集体名额（个）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  <w:t>先进个人名额（人）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苍溪县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旺苍县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剑阁县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青川县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利州区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昭化区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朝天区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广元经开区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市级部门、企事业单位、市天然气综合利用工业园区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广元铁路港管委会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仿宋_GB2312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11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baseline"/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rPr>
          <w:rFonts w:ascii="Calibri" w:hAnsi="Calibri" w:eastAsia="宋体" w:cs="Times New Roman"/>
          <w:color w:val="auto"/>
          <w:szCs w:val="22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2016-2020年全市普法先进集体申报表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br w:type="textWrapping"/>
      </w:r>
    </w:p>
    <w:tbl>
      <w:tblPr>
        <w:tblStyle w:val="7"/>
        <w:tblW w:w="0" w:type="auto"/>
        <w:tblInd w:w="1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566"/>
        <w:gridCol w:w="1600"/>
        <w:gridCol w:w="25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单位级别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68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主要事迹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59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color w:val="auto"/>
                <w:sz w:val="28"/>
                <w:szCs w:val="28"/>
                <w:lang w:val="en-US" w:eastAsia="zh-CN"/>
              </w:rPr>
              <w:t>所属单位意见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68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（盖章）</w:t>
            </w:r>
          </w:p>
          <w:p>
            <w:pPr>
              <w:widowControl w:val="0"/>
              <w:ind w:left="1016" w:leftChars="484" w:firstLine="224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4"/>
                <w:rFonts w:ascii="Calibri" w:hAnsi="Calibri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28"/>
                <w:szCs w:val="28"/>
                <w:lang w:val="en-US" w:eastAsia="zh-CN"/>
              </w:rPr>
              <w:t>同级纪检监察部门意见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（需注明：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2016-2020年期间领导班子主要成员未发生违法违纪案件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tabs>
                <w:tab w:val="left" w:pos="3360"/>
              </w:tabs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tabs>
                <w:tab w:val="left" w:pos="3360"/>
              </w:tabs>
              <w:jc w:val="center"/>
              <w:rPr>
                <w:rStyle w:val="1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68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Style w:val="14"/>
                <w:color w:val="auto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1016" w:leftChars="484" w:firstLine="1680" w:firstLineChars="600"/>
              <w:jc w:val="both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ind w:left="1016" w:leftChars="484" w:firstLine="3640" w:firstLineChars="13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widowControl w:val="0"/>
              <w:ind w:left="1016" w:leftChars="484" w:firstLine="2240" w:firstLineChars="800"/>
              <w:jc w:val="both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6" w:firstLineChars="200"/>
        <w:jc w:val="both"/>
        <w:textAlignment w:val="baseline"/>
        <w:rPr>
          <w:rStyle w:val="13"/>
          <w:rFonts w:hint="eastAsia" w:ascii="黑体" w:hAnsi="黑体" w:eastAsia="黑体" w:cs="黑体"/>
          <w:color w:val="auto"/>
          <w:spacing w:val="-11"/>
          <w:kern w:val="2"/>
          <w:sz w:val="28"/>
          <w:szCs w:val="28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color w:val="auto"/>
          <w:spacing w:val="-11"/>
          <w:kern w:val="2"/>
          <w:sz w:val="28"/>
          <w:szCs w:val="28"/>
          <w:lang w:val="en-US" w:eastAsia="zh-CN" w:bidi="ar-SA"/>
        </w:rPr>
        <w:t>注：所属单位、申报单位相同的，均需盖章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sectPr>
          <w:pgSz w:w="11906" w:h="16838"/>
          <w:pgMar w:top="2041" w:right="1587" w:bottom="2041" w:left="1587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  <w:t>2016-2020年全市普法先进个人申报表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205"/>
        <w:gridCol w:w="195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主要事迹</w:t>
            </w:r>
          </w:p>
        </w:tc>
        <w:tc>
          <w:tcPr>
            <w:tcW w:w="63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所属单位意见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68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（盖章）</w:t>
            </w:r>
          </w:p>
          <w:p>
            <w:pPr>
              <w:widowControl w:val="0"/>
              <w:ind w:left="1016" w:leftChars="484" w:firstLine="224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同级纪检监察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631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（需注明：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2016-2020年间无违法违纪行为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tabs>
                <w:tab w:val="left" w:pos="3360"/>
                <w:tab w:val="left" w:pos="3570"/>
                <w:tab w:val="left" w:pos="3780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14"/>
                <w:rFonts w:hint="eastAsia"/>
                <w:color w:val="auto"/>
                <w:lang w:val="en-US" w:eastAsia="zh-CN"/>
              </w:rPr>
              <w:t>申报</w:t>
            </w:r>
            <w:r>
              <w:rPr>
                <w:rStyle w:val="14"/>
                <w:color w:val="auto"/>
                <w:lang w:val="en-US" w:eastAsia="zh-CN"/>
              </w:rPr>
              <w:t>单位意见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widowControl w:val="0"/>
              <w:ind w:left="1016" w:leftChars="484" w:firstLine="240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6" w:firstLineChars="200"/>
        <w:jc w:val="both"/>
        <w:textAlignment w:val="baseline"/>
        <w:rPr>
          <w:rStyle w:val="13"/>
          <w:rFonts w:hint="eastAsia" w:ascii="黑体" w:hAnsi="黑体" w:eastAsia="黑体" w:cs="黑体"/>
          <w:color w:val="auto"/>
          <w:spacing w:val="-11"/>
          <w:sz w:val="28"/>
          <w:szCs w:val="28"/>
          <w:lang w:val="en-US" w:eastAsia="zh-CN"/>
        </w:rPr>
        <w:sectPr>
          <w:pgSz w:w="11906" w:h="16838"/>
          <w:pgMar w:top="2041" w:right="1587" w:bottom="2041" w:left="1587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Style w:val="13"/>
          <w:rFonts w:hint="eastAsia" w:ascii="黑体" w:hAnsi="黑体" w:eastAsia="黑体" w:cs="黑体"/>
          <w:color w:val="auto"/>
          <w:spacing w:val="-11"/>
          <w:kern w:val="2"/>
          <w:sz w:val="28"/>
          <w:szCs w:val="28"/>
          <w:lang w:val="en-US" w:eastAsia="zh-CN" w:bidi="ar-SA"/>
        </w:rPr>
        <w:t>注：所属单位、申报单位相同的，均需盖章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jc w:val="both"/>
        <w:textAlignment w:val="baseline"/>
        <w:rPr>
          <w:rFonts w:hint="eastAsia" w:ascii="Arial" w:hAnsi="Arial" w:eastAsia="宋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2016-2020年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普法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先进集体和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申报名单汇总表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eastAsia="zh-CN"/>
        </w:rPr>
        <w:t>填表单位（盖章）：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eastAsia="zh-CN"/>
        </w:rPr>
        <w:t>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Fonts w:hint="eastAsia" w:ascii="宋体" w:hAnsi="Courier New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联系人：                         联系电话： </w:t>
      </w:r>
    </w:p>
    <w:tbl>
      <w:tblPr>
        <w:tblStyle w:val="8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个人姓名、性别、民族、工作单位、职务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eastAsia="zh-CN"/>
              </w:rPr>
              <w:t>先进集体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中共广元市委宣传部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广元市司法局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**科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先进个人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例：***（女 回族）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中共广元市委宣传部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***科四级主任科员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例：***（藏族）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广元市司法局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***科一级科员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ind w:left="0" w:leftChars="0" w:right="0" w:rightChars="0" w:firstLine="280" w:firstLineChars="100"/>
        <w:jc w:val="both"/>
        <w:textAlignment w:val="auto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广元市司法局办公室                      2022年5月7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1701" w:right="1587" w:bottom="1701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BSJW--GB1-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JW--GB1-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</wp:posOffset>
              </wp:positionV>
              <wp:extent cx="1828800" cy="2857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35pt;height:22.5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i5h+NtQAAAAGAQAADwAAAAAAAAABACAAAAA4AAAAZHJzL2Rvd25yZXYueG1sUEsB&#10;AhQAFAAAAAgAh07iQJYohKyqAQAANwMAAA4AAAAAAAAAAQAgAAAAO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FFFAB9"/>
    <w:rsid w:val="0BEB3C22"/>
    <w:rsid w:val="0BFF2B48"/>
    <w:rsid w:val="0EF7E3A2"/>
    <w:rsid w:val="14BB6C25"/>
    <w:rsid w:val="16F744F8"/>
    <w:rsid w:val="17FB54B8"/>
    <w:rsid w:val="1DED43C8"/>
    <w:rsid w:val="27A72B30"/>
    <w:rsid w:val="27FA9502"/>
    <w:rsid w:val="31BBA977"/>
    <w:rsid w:val="36E96AAB"/>
    <w:rsid w:val="3ABD2C86"/>
    <w:rsid w:val="3C1764A0"/>
    <w:rsid w:val="3EB7F961"/>
    <w:rsid w:val="3F476720"/>
    <w:rsid w:val="3F571BC2"/>
    <w:rsid w:val="3FAB13EA"/>
    <w:rsid w:val="3FDADD40"/>
    <w:rsid w:val="4285455F"/>
    <w:rsid w:val="45F5F811"/>
    <w:rsid w:val="47FDEF17"/>
    <w:rsid w:val="4A1947CF"/>
    <w:rsid w:val="4F7A6985"/>
    <w:rsid w:val="4FBF19C5"/>
    <w:rsid w:val="57F3F0E3"/>
    <w:rsid w:val="5B7E403A"/>
    <w:rsid w:val="5BDBF1FE"/>
    <w:rsid w:val="5DFEF0F4"/>
    <w:rsid w:val="5E3F5DEB"/>
    <w:rsid w:val="5EBEBD3A"/>
    <w:rsid w:val="5FB839CA"/>
    <w:rsid w:val="5FBB4D8A"/>
    <w:rsid w:val="5FBBFD71"/>
    <w:rsid w:val="5FFAC1A4"/>
    <w:rsid w:val="5FFFB489"/>
    <w:rsid w:val="63DF87FE"/>
    <w:rsid w:val="661D0215"/>
    <w:rsid w:val="67A5CED6"/>
    <w:rsid w:val="67CF02C1"/>
    <w:rsid w:val="6BAF8F10"/>
    <w:rsid w:val="6BDF6FF8"/>
    <w:rsid w:val="6BE1E908"/>
    <w:rsid w:val="6DFD558F"/>
    <w:rsid w:val="6E6D38A2"/>
    <w:rsid w:val="71F78677"/>
    <w:rsid w:val="75BD22C3"/>
    <w:rsid w:val="777744BE"/>
    <w:rsid w:val="79371CFB"/>
    <w:rsid w:val="79E32E52"/>
    <w:rsid w:val="7BDB1149"/>
    <w:rsid w:val="7BE768E4"/>
    <w:rsid w:val="7BF205F0"/>
    <w:rsid w:val="7BF35CF9"/>
    <w:rsid w:val="7C05B921"/>
    <w:rsid w:val="7CFF774F"/>
    <w:rsid w:val="7CFFB514"/>
    <w:rsid w:val="7D3A676D"/>
    <w:rsid w:val="7D7CDC56"/>
    <w:rsid w:val="7DFFB856"/>
    <w:rsid w:val="7E35775C"/>
    <w:rsid w:val="7EAF8368"/>
    <w:rsid w:val="7EBAB1D8"/>
    <w:rsid w:val="7F7F8623"/>
    <w:rsid w:val="7FBEB9AB"/>
    <w:rsid w:val="7FDC4BDF"/>
    <w:rsid w:val="7FDE6D94"/>
    <w:rsid w:val="7FEE9DFC"/>
    <w:rsid w:val="7FF70405"/>
    <w:rsid w:val="8B936500"/>
    <w:rsid w:val="8EFF35FB"/>
    <w:rsid w:val="9B7DDDE5"/>
    <w:rsid w:val="9B978F89"/>
    <w:rsid w:val="9D4B5CFF"/>
    <w:rsid w:val="9E6D68F1"/>
    <w:rsid w:val="9E7D501B"/>
    <w:rsid w:val="9FBBD22F"/>
    <w:rsid w:val="AACFD863"/>
    <w:rsid w:val="AD37F813"/>
    <w:rsid w:val="AEEFD167"/>
    <w:rsid w:val="AF0E71B0"/>
    <w:rsid w:val="AFED3C59"/>
    <w:rsid w:val="B5DD4E89"/>
    <w:rsid w:val="B7FFEAB4"/>
    <w:rsid w:val="BA7B23C6"/>
    <w:rsid w:val="BDC452F4"/>
    <w:rsid w:val="BE1A7337"/>
    <w:rsid w:val="BEBD0803"/>
    <w:rsid w:val="BEDF1BAA"/>
    <w:rsid w:val="BEDF3122"/>
    <w:rsid w:val="BFBF3BFB"/>
    <w:rsid w:val="BFDF3AED"/>
    <w:rsid w:val="C0FF539E"/>
    <w:rsid w:val="C2DF5132"/>
    <w:rsid w:val="D5DB6474"/>
    <w:rsid w:val="D65AC5FF"/>
    <w:rsid w:val="D6FEBE60"/>
    <w:rsid w:val="DBE2B04B"/>
    <w:rsid w:val="DD65E7F5"/>
    <w:rsid w:val="DDBA147A"/>
    <w:rsid w:val="DE2B7C4C"/>
    <w:rsid w:val="DEBB51F2"/>
    <w:rsid w:val="DFFE8B34"/>
    <w:rsid w:val="E2FC8197"/>
    <w:rsid w:val="E3FA514F"/>
    <w:rsid w:val="E44DED2A"/>
    <w:rsid w:val="E77D3BE9"/>
    <w:rsid w:val="E7AFD3E3"/>
    <w:rsid w:val="EBBEC877"/>
    <w:rsid w:val="EBFF3F21"/>
    <w:rsid w:val="ED680905"/>
    <w:rsid w:val="ED7FDBB2"/>
    <w:rsid w:val="EEDD1D57"/>
    <w:rsid w:val="EF9F5F3B"/>
    <w:rsid w:val="EFB78AF8"/>
    <w:rsid w:val="EFEFEA6E"/>
    <w:rsid w:val="EFF39C6C"/>
    <w:rsid w:val="F17E5AAA"/>
    <w:rsid w:val="F3569C61"/>
    <w:rsid w:val="F3766AD6"/>
    <w:rsid w:val="F3CA99FE"/>
    <w:rsid w:val="F4FFA3F9"/>
    <w:rsid w:val="F5DE2DC1"/>
    <w:rsid w:val="F6BFC4D1"/>
    <w:rsid w:val="F77F90EA"/>
    <w:rsid w:val="F7FB56DF"/>
    <w:rsid w:val="F7FC9D5D"/>
    <w:rsid w:val="F86E3461"/>
    <w:rsid w:val="FB2F5AF2"/>
    <w:rsid w:val="FBAD4A89"/>
    <w:rsid w:val="FBEF24F6"/>
    <w:rsid w:val="FBEFCB4A"/>
    <w:rsid w:val="FCCFFE01"/>
    <w:rsid w:val="FCD73498"/>
    <w:rsid w:val="FD391500"/>
    <w:rsid w:val="FDFF6790"/>
    <w:rsid w:val="FE734873"/>
    <w:rsid w:val="FE7947D4"/>
    <w:rsid w:val="FEAC988C"/>
    <w:rsid w:val="FED69468"/>
    <w:rsid w:val="FEFA49C5"/>
    <w:rsid w:val="FEFD0A1E"/>
    <w:rsid w:val="FEFD600C"/>
    <w:rsid w:val="FEFF5831"/>
    <w:rsid w:val="FFB9469D"/>
    <w:rsid w:val="FFDC1B00"/>
    <w:rsid w:val="FFEDDD05"/>
    <w:rsid w:val="FFEF60D7"/>
    <w:rsid w:val="FFEFDDCD"/>
    <w:rsid w:val="FFFB5481"/>
    <w:rsid w:val="FFFFD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  <w:style w:type="paragraph" w:customStyle="1" w:styleId="1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">
    <w:name w:val="fontstyle01"/>
    <w:basedOn w:val="9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14">
    <w:name w:val="fontstyle31"/>
    <w:basedOn w:val="9"/>
    <w:qFormat/>
    <w:uiPriority w:val="0"/>
    <w:rPr>
      <w:rFonts w:ascii="黑体" w:hAnsi="宋体" w:eastAsia="黑体" w:cs="黑体"/>
      <w:color w:val="000000"/>
      <w:sz w:val="30"/>
      <w:szCs w:val="30"/>
    </w:rPr>
  </w:style>
  <w:style w:type="character" w:customStyle="1" w:styleId="15">
    <w:name w:val="fontstyle61"/>
    <w:basedOn w:val="9"/>
    <w:qFormat/>
    <w:uiPriority w:val="0"/>
    <w:rPr>
      <w:rFonts w:ascii="FZFSJW--GB1-0" w:hAnsi="FZFSJW--GB1-0" w:eastAsia="FZFSJW--GB1-0" w:cs="FZFSJW--GB1-0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3117</Words>
  <Characters>3369</Characters>
  <Lines>0</Lines>
  <Paragraphs>0</Paragraphs>
  <TotalTime>1</TotalTime>
  <ScaleCrop>false</ScaleCrop>
  <LinksUpToDate>false</LinksUpToDate>
  <CharactersWithSpaces>3760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2018-07-22T23:11:00Z</dcterms:created>
  <dc:creator>d</dc:creator>
  <cp:lastModifiedBy>谭超</cp:lastModifiedBy>
  <cp:lastPrinted>2022-05-09T09:04:00Z</cp:lastPrinted>
  <dcterms:modified xsi:type="dcterms:W3CDTF">2022-05-11T09:00:00Z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24D307396AFF412BADAA9C5C7893C14E</vt:lpwstr>
  </property>
</Properties>
</file>