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9"/>
        <w:rPr>
          <w:rFonts w:hint="eastAsia" w:ascii="方正小标宋简体" w:eastAsia="方正小标宋简体"/>
          <w:color w:val="000000"/>
          <w:sz w:val="72"/>
          <w:szCs w:val="72"/>
        </w:rPr>
      </w:pPr>
      <w:bookmarkStart w:id="0" w:name="_Toc15306267"/>
    </w:p>
    <w:p>
      <w:pPr>
        <w:spacing w:line="600" w:lineRule="exact"/>
        <w:jc w:val="center"/>
        <w:outlineLvl w:val="9"/>
        <w:rPr>
          <w:rFonts w:hint="eastAsia" w:ascii="方正小标宋简体" w:eastAsia="方正小标宋简体"/>
          <w:color w:val="000000"/>
          <w:sz w:val="72"/>
          <w:szCs w:val="72"/>
        </w:rPr>
      </w:pPr>
    </w:p>
    <w:p>
      <w:pPr>
        <w:spacing w:line="600" w:lineRule="exact"/>
        <w:jc w:val="center"/>
        <w:outlineLvl w:val="9"/>
        <w:rPr>
          <w:rFonts w:hint="eastAsia" w:ascii="方正小标宋简体" w:eastAsia="方正小标宋简体"/>
          <w:color w:val="000000"/>
          <w:sz w:val="72"/>
          <w:szCs w:val="72"/>
        </w:rPr>
      </w:pPr>
    </w:p>
    <w:p>
      <w:pPr>
        <w:adjustRightInd w:val="0"/>
        <w:snapToGrid w:val="0"/>
        <w:spacing w:line="360" w:lineRule="auto"/>
        <w:jc w:val="center"/>
        <w:outlineLvl w:val="0"/>
        <w:rPr>
          <w:rFonts w:hint="eastAsia" w:ascii="方正小标宋简体" w:eastAsia="方正小标宋简体"/>
          <w:color w:val="000000"/>
          <w:sz w:val="72"/>
          <w:szCs w:val="72"/>
        </w:rPr>
      </w:pPr>
      <w:bookmarkStart w:id="1" w:name="_Toc15396475"/>
      <w:bookmarkStart w:id="2" w:name="_Toc29539"/>
      <w:bookmarkStart w:id="3" w:name="_Toc15396597"/>
      <w:bookmarkStart w:id="4" w:name="_Toc15378441"/>
      <w:bookmarkStart w:id="5" w:name="_Toc31641"/>
      <w:bookmarkStart w:id="6" w:name="_Toc15377193"/>
      <w:bookmarkStart w:id="7" w:name="_Toc15377425"/>
      <w:r>
        <w:rPr>
          <w:rFonts w:hint="eastAsia" w:ascii="黑体" w:eastAsia="黑体"/>
          <w:color w:val="000000"/>
          <w:sz w:val="72"/>
          <w:szCs w:val="72"/>
        </w:rPr>
        <w:t>2020</w:t>
      </w:r>
      <w:r>
        <w:rPr>
          <w:rFonts w:hint="eastAsia" w:ascii="方正小标宋简体" w:eastAsia="方正小标宋简体"/>
          <w:color w:val="000000"/>
          <w:sz w:val="72"/>
          <w:szCs w:val="72"/>
        </w:rPr>
        <w:t>年度</w:t>
      </w:r>
      <w:bookmarkEnd w:id="1"/>
      <w:bookmarkEnd w:id="2"/>
      <w:bookmarkEnd w:id="3"/>
      <w:bookmarkEnd w:id="4"/>
      <w:bookmarkEnd w:id="5"/>
      <w:bookmarkEnd w:id="6"/>
      <w:bookmarkEnd w:id="7"/>
    </w:p>
    <w:p>
      <w:pPr>
        <w:adjustRightInd w:val="0"/>
        <w:snapToGrid w:val="0"/>
        <w:spacing w:line="360" w:lineRule="auto"/>
        <w:jc w:val="center"/>
        <w:outlineLvl w:val="0"/>
        <w:rPr>
          <w:rFonts w:hint="eastAsia" w:ascii="方正小标宋简体" w:eastAsia="方正小标宋简体"/>
          <w:color w:val="000000"/>
          <w:sz w:val="72"/>
          <w:szCs w:val="72"/>
        </w:rPr>
      </w:pPr>
      <w:bookmarkStart w:id="8" w:name="_Toc1309"/>
      <w:bookmarkStart w:id="9" w:name="_Toc15377426"/>
      <w:bookmarkStart w:id="10" w:name="_Toc15396598"/>
      <w:bookmarkStart w:id="11" w:name="_Toc29257"/>
      <w:bookmarkStart w:id="12" w:name="_Toc15396476"/>
      <w:bookmarkStart w:id="13" w:name="_Toc15378442"/>
      <w:bookmarkStart w:id="14" w:name="_Toc15377194"/>
      <w:r>
        <w:rPr>
          <w:rFonts w:hint="eastAsia" w:ascii="方正小标宋简体" w:eastAsia="方正小标宋简体"/>
          <w:color w:val="000000"/>
          <w:sz w:val="72"/>
          <w:szCs w:val="72"/>
        </w:rPr>
        <w:t>广元</w:t>
      </w:r>
      <w:bookmarkEnd w:id="0"/>
      <w:bookmarkStart w:id="15" w:name="_Toc15306268"/>
      <w:r>
        <w:rPr>
          <w:rFonts w:hint="eastAsia" w:ascii="方正小标宋简体" w:eastAsia="方正小标宋简体"/>
          <w:color w:val="000000"/>
          <w:sz w:val="72"/>
          <w:szCs w:val="72"/>
          <w:lang w:eastAsia="zh-CN"/>
        </w:rPr>
        <w:t>市</w:t>
      </w:r>
      <w:r>
        <w:rPr>
          <w:rFonts w:hint="eastAsia" w:ascii="方正小标宋简体" w:eastAsia="方正小标宋简体"/>
          <w:color w:val="000000"/>
          <w:sz w:val="72"/>
          <w:szCs w:val="72"/>
          <w:lang w:val="en-US" w:eastAsia="zh-CN"/>
        </w:rPr>
        <w:t>城市建设事务中心</w:t>
      </w:r>
      <w:r>
        <w:rPr>
          <w:rFonts w:hint="eastAsia" w:ascii="方正小标宋简体" w:eastAsia="方正小标宋简体"/>
          <w:color w:val="000000"/>
          <w:sz w:val="72"/>
          <w:szCs w:val="72"/>
        </w:rPr>
        <w:t>部门决算</w:t>
      </w:r>
      <w:bookmarkEnd w:id="8"/>
      <w:bookmarkEnd w:id="9"/>
      <w:bookmarkEnd w:id="10"/>
      <w:bookmarkEnd w:id="11"/>
      <w:bookmarkEnd w:id="12"/>
      <w:bookmarkEnd w:id="13"/>
      <w:bookmarkEnd w:id="14"/>
      <w:bookmarkEnd w:id="15"/>
    </w:p>
    <w:p>
      <w:pPr>
        <w:widowControl/>
        <w:jc w:val="center"/>
        <w:rPr>
          <w:rFonts w:hint="eastAsia" w:ascii="黑体" w:eastAsia="黑体"/>
          <w:color w:val="000000"/>
          <w:sz w:val="48"/>
          <w:szCs w:val="48"/>
        </w:rPr>
      </w:pPr>
      <w:r>
        <w:rPr>
          <w:rFonts w:hint="eastAsia" w:ascii="方正小标宋简体" w:eastAsia="方正小标宋简体"/>
          <w:color w:val="000000"/>
          <w:sz w:val="36"/>
          <w:szCs w:val="36"/>
        </w:rPr>
        <w:br w:type="page"/>
      </w:r>
      <w:r>
        <w:rPr>
          <w:rFonts w:hint="eastAsia" w:ascii="黑体" w:eastAsia="黑体"/>
          <w:color w:val="000000"/>
          <w:sz w:val="48"/>
          <w:szCs w:val="48"/>
        </w:rPr>
        <w:t>目</w:t>
      </w:r>
      <w:r>
        <w:rPr>
          <w:rFonts w:hint="eastAsia" w:ascii="黑体" w:eastAsia="黑体"/>
          <w:color w:val="000000"/>
          <w:sz w:val="48"/>
          <w:szCs w:val="48"/>
          <w:lang w:val="en-US" w:eastAsia="zh-CN"/>
        </w:rPr>
        <w:t xml:space="preserve">    </w:t>
      </w:r>
      <w:bookmarkStart w:id="155" w:name="_GoBack"/>
      <w:bookmarkEnd w:id="155"/>
      <w:r>
        <w:rPr>
          <w:rFonts w:hint="eastAsia" w:ascii="黑体" w:eastAsia="黑体"/>
          <w:color w:val="000000"/>
          <w:sz w:val="48"/>
          <w:szCs w:val="48"/>
        </w:rPr>
        <w:t>录</w:t>
      </w:r>
    </w:p>
    <w:p>
      <w:pPr>
        <w:pStyle w:val="10"/>
        <w:rPr>
          <w:b/>
        </w:rPr>
      </w:pPr>
      <w:r>
        <w:fldChar w:fldCharType="begin"/>
      </w:r>
      <w:r>
        <w:instrText xml:space="preserve">TOC \o "1-2" \h \u </w:instrText>
      </w:r>
      <w:r>
        <w:fldChar w:fldCharType="separate"/>
      </w:r>
    </w:p>
    <w:p>
      <w:pPr>
        <w:pStyle w:val="26"/>
        <w:tabs>
          <w:tab w:val="right" w:leader="dot" w:pos="8306"/>
        </w:tabs>
        <w:rPr>
          <w:b/>
        </w:rPr>
      </w:pPr>
      <w:r>
        <w:fldChar w:fldCharType="begin"/>
      </w:r>
      <w:r>
        <w:instrText xml:space="preserve">TOC \o "1-2" \h \u </w:instrText>
      </w:r>
      <w:r>
        <w:fldChar w:fldCharType="separate"/>
      </w:r>
    </w:p>
    <w:p>
      <w:pPr>
        <w:pStyle w:val="26"/>
        <w:tabs>
          <w:tab w:val="right" w:leader="dot" w:pos="8306"/>
        </w:tabs>
        <w:rPr>
          <w:b/>
        </w:rPr>
      </w:pPr>
      <w:r>
        <w:rPr>
          <w:b/>
        </w:rPr>
        <w:fldChar w:fldCharType="begin"/>
      </w:r>
      <w:r>
        <w:rPr>
          <w:b/>
        </w:rPr>
        <w:instrText xml:space="preserve"> HYPERLINK \l _Toc21836 </w:instrText>
      </w:r>
      <w:r>
        <w:rPr>
          <w:b/>
        </w:rPr>
        <w:fldChar w:fldCharType="separate"/>
      </w:r>
      <w:r>
        <w:rPr>
          <w:rFonts w:hint="eastAsia" w:ascii="黑体" w:eastAsia="黑体"/>
          <w:b/>
        </w:rPr>
        <w:t xml:space="preserve">第一部分 </w:t>
      </w:r>
      <w:r>
        <w:rPr>
          <w:rFonts w:hint="eastAsia" w:ascii="黑体" w:eastAsia="黑体"/>
          <w:b/>
          <w:lang w:eastAsia="zh-CN"/>
        </w:rPr>
        <w:t>单位</w:t>
      </w:r>
      <w:r>
        <w:rPr>
          <w:rFonts w:hint="eastAsia" w:ascii="黑体" w:eastAsia="黑体"/>
          <w:b/>
        </w:rPr>
        <w:t>概况</w:t>
      </w:r>
      <w:r>
        <w:rPr>
          <w:b/>
        </w:rPr>
        <w:tab/>
      </w:r>
      <w:r>
        <w:rPr>
          <w:b/>
        </w:rPr>
        <w:fldChar w:fldCharType="begin"/>
      </w:r>
      <w:r>
        <w:rPr>
          <w:b/>
        </w:rPr>
        <w:instrText xml:space="preserve"> PAGEREF _Toc21836 \h </w:instrText>
      </w:r>
      <w:r>
        <w:rPr>
          <w:b/>
        </w:rPr>
        <w:fldChar w:fldCharType="separate"/>
      </w:r>
      <w:r>
        <w:rPr>
          <w:b/>
        </w:rPr>
        <w:t>3</w:t>
      </w:r>
      <w:r>
        <w:rPr>
          <w:b/>
        </w:rPr>
        <w:fldChar w:fldCharType="end"/>
      </w:r>
      <w:r>
        <w:rPr>
          <w:b/>
        </w:rPr>
        <w:fldChar w:fldCharType="end"/>
      </w:r>
    </w:p>
    <w:p>
      <w:pPr>
        <w:pStyle w:val="27"/>
        <w:tabs>
          <w:tab w:val="right" w:leader="dot" w:pos="8306"/>
        </w:tabs>
      </w:pPr>
      <w:r>
        <w:fldChar w:fldCharType="begin"/>
      </w:r>
      <w:r>
        <w:instrText xml:space="preserve"> HYPERLINK \l _Toc28953 </w:instrText>
      </w:r>
      <w:r>
        <w:fldChar w:fldCharType="separate"/>
      </w:r>
      <w:r>
        <w:rPr>
          <w:rFonts w:hint="eastAsia" w:ascii="黑体" w:eastAsia="黑体"/>
          <w:bCs w:val="0"/>
          <w:highlight w:val="none"/>
        </w:rPr>
        <w:t>一、基</w:t>
      </w:r>
      <w:r>
        <w:rPr>
          <w:rFonts w:hint="eastAsia" w:ascii="黑体" w:eastAsia="黑体"/>
          <w:highlight w:val="none"/>
        </w:rPr>
        <w:t>本职能及主要工作</w:t>
      </w:r>
      <w:r>
        <w:tab/>
      </w:r>
      <w:r>
        <w:fldChar w:fldCharType="begin"/>
      </w:r>
      <w:r>
        <w:instrText xml:space="preserve"> PAGEREF _Toc28953 \h </w:instrText>
      </w:r>
      <w:r>
        <w:fldChar w:fldCharType="separate"/>
      </w:r>
      <w:r>
        <w:t>3</w:t>
      </w:r>
      <w:r>
        <w:fldChar w:fldCharType="end"/>
      </w:r>
      <w:r>
        <w:fldChar w:fldCharType="end"/>
      </w:r>
    </w:p>
    <w:p>
      <w:pPr>
        <w:pStyle w:val="27"/>
        <w:tabs>
          <w:tab w:val="right" w:leader="dot" w:pos="8306"/>
        </w:tabs>
      </w:pPr>
      <w:r>
        <w:fldChar w:fldCharType="begin"/>
      </w:r>
      <w:r>
        <w:instrText xml:space="preserve"> HYPERLINK \l _Toc25428 </w:instrText>
      </w:r>
      <w:r>
        <w:fldChar w:fldCharType="separate"/>
      </w:r>
      <w:r>
        <w:rPr>
          <w:rFonts w:hint="eastAsia" w:ascii="黑体" w:eastAsia="黑体"/>
        </w:rPr>
        <w:t xml:space="preserve">二、 </w:t>
      </w:r>
      <w:r>
        <w:rPr>
          <w:rFonts w:hint="eastAsia" w:ascii="黑体" w:eastAsia="黑体"/>
          <w:highlight w:val="none"/>
        </w:rPr>
        <w:t>机</w:t>
      </w:r>
      <w:r>
        <w:rPr>
          <w:rFonts w:hint="eastAsia" w:ascii="黑体" w:eastAsia="黑体"/>
          <w:bCs/>
          <w:highlight w:val="none"/>
        </w:rPr>
        <w:t>构设置</w:t>
      </w:r>
      <w:r>
        <w:tab/>
      </w:r>
      <w:r>
        <w:fldChar w:fldCharType="begin"/>
      </w:r>
      <w:r>
        <w:instrText xml:space="preserve"> PAGEREF _Toc25428 \h </w:instrText>
      </w:r>
      <w:r>
        <w:fldChar w:fldCharType="separate"/>
      </w:r>
      <w:r>
        <w:t>7</w:t>
      </w:r>
      <w:r>
        <w:fldChar w:fldCharType="end"/>
      </w:r>
      <w:r>
        <w:fldChar w:fldCharType="end"/>
      </w:r>
    </w:p>
    <w:p>
      <w:pPr>
        <w:pStyle w:val="26"/>
        <w:tabs>
          <w:tab w:val="right" w:leader="dot" w:pos="8306"/>
        </w:tabs>
        <w:rPr>
          <w:b/>
        </w:rPr>
      </w:pPr>
      <w:r>
        <w:rPr>
          <w:b/>
        </w:rPr>
        <w:fldChar w:fldCharType="begin"/>
      </w:r>
      <w:r>
        <w:rPr>
          <w:b/>
        </w:rPr>
        <w:instrText xml:space="preserve"> HYPERLINK \l _Toc15285 </w:instrText>
      </w:r>
      <w:r>
        <w:rPr>
          <w:b/>
        </w:rPr>
        <w:fldChar w:fldCharType="separate"/>
      </w:r>
      <w:r>
        <w:rPr>
          <w:rFonts w:hint="eastAsia" w:ascii="黑体" w:eastAsia="黑体"/>
          <w:b/>
        </w:rPr>
        <w:t xml:space="preserve">第二部分 </w:t>
      </w:r>
      <w:r>
        <w:rPr>
          <w:rFonts w:hint="eastAsia" w:ascii="黑体" w:eastAsia="黑体"/>
          <w:b/>
          <w:bCs/>
        </w:rPr>
        <w:t>2020年度部门决算情况说明</w:t>
      </w:r>
      <w:r>
        <w:rPr>
          <w:b/>
        </w:rPr>
        <w:tab/>
      </w:r>
      <w:r>
        <w:rPr>
          <w:b/>
        </w:rPr>
        <w:fldChar w:fldCharType="begin"/>
      </w:r>
      <w:r>
        <w:rPr>
          <w:b/>
        </w:rPr>
        <w:instrText xml:space="preserve"> PAGEREF _Toc15285 \h </w:instrText>
      </w:r>
      <w:r>
        <w:rPr>
          <w:b/>
        </w:rPr>
        <w:fldChar w:fldCharType="separate"/>
      </w:r>
      <w:r>
        <w:rPr>
          <w:b/>
        </w:rPr>
        <w:t>8</w:t>
      </w:r>
      <w:r>
        <w:rPr>
          <w:b/>
        </w:rPr>
        <w:fldChar w:fldCharType="end"/>
      </w:r>
      <w:r>
        <w:rPr>
          <w:b/>
        </w:rPr>
        <w:fldChar w:fldCharType="end"/>
      </w:r>
    </w:p>
    <w:p>
      <w:pPr>
        <w:pStyle w:val="27"/>
        <w:tabs>
          <w:tab w:val="right" w:leader="dot" w:pos="8306"/>
        </w:tabs>
      </w:pPr>
      <w:r>
        <w:fldChar w:fldCharType="begin"/>
      </w:r>
      <w:r>
        <w:instrText xml:space="preserve"> HYPERLINK \l _Toc25995 </w:instrText>
      </w:r>
      <w:r>
        <w:fldChar w:fldCharType="separate"/>
      </w:r>
      <w:r>
        <w:rPr>
          <w:rFonts w:hint="default" w:ascii="黑体" w:eastAsia="黑体" w:cs="Times New Roman"/>
        </w:rPr>
        <w:t xml:space="preserve">一、 </w:t>
      </w:r>
      <w:r>
        <w:rPr>
          <w:rFonts w:hint="eastAsia" w:ascii="黑体" w:eastAsia="黑体"/>
          <w:szCs w:val="32"/>
        </w:rPr>
        <w:t>收</w:t>
      </w:r>
      <w:r>
        <w:rPr>
          <w:rFonts w:hint="eastAsia" w:ascii="黑体" w:eastAsia="黑体"/>
        </w:rPr>
        <w:t>入支出决算总体情况说明</w:t>
      </w:r>
      <w:r>
        <w:tab/>
      </w:r>
      <w:r>
        <w:fldChar w:fldCharType="begin"/>
      </w:r>
      <w:r>
        <w:instrText xml:space="preserve"> PAGEREF _Toc25995 \h </w:instrText>
      </w:r>
      <w:r>
        <w:fldChar w:fldCharType="separate"/>
      </w:r>
      <w:r>
        <w:t>8</w:t>
      </w:r>
      <w:r>
        <w:fldChar w:fldCharType="end"/>
      </w:r>
      <w:r>
        <w:fldChar w:fldCharType="end"/>
      </w:r>
    </w:p>
    <w:p>
      <w:pPr>
        <w:pStyle w:val="27"/>
        <w:tabs>
          <w:tab w:val="right" w:leader="dot" w:pos="8306"/>
        </w:tabs>
      </w:pPr>
      <w:r>
        <w:fldChar w:fldCharType="begin"/>
      </w:r>
      <w:r>
        <w:instrText xml:space="preserve"> HYPERLINK \l _Toc20108 </w:instrText>
      </w:r>
      <w:r>
        <w:fldChar w:fldCharType="separate"/>
      </w:r>
      <w:r>
        <w:rPr>
          <w:rFonts w:hint="default" w:ascii="黑体" w:eastAsia="黑体" w:cs="Times New Roman"/>
        </w:rPr>
        <w:t xml:space="preserve">二、 </w:t>
      </w:r>
      <w:r>
        <w:rPr>
          <w:rFonts w:hint="eastAsia" w:ascii="黑体" w:eastAsia="黑体"/>
          <w:szCs w:val="32"/>
        </w:rPr>
        <w:t>收</w:t>
      </w:r>
      <w:r>
        <w:rPr>
          <w:rFonts w:hint="eastAsia" w:ascii="黑体" w:eastAsia="黑体"/>
        </w:rPr>
        <w:t>入决算情况说明</w:t>
      </w:r>
      <w:r>
        <w:tab/>
      </w:r>
      <w:r>
        <w:fldChar w:fldCharType="begin"/>
      </w:r>
      <w:r>
        <w:instrText xml:space="preserve"> PAGEREF _Toc20108 \h </w:instrText>
      </w:r>
      <w:r>
        <w:fldChar w:fldCharType="separate"/>
      </w:r>
      <w:r>
        <w:t>8</w:t>
      </w:r>
      <w:r>
        <w:fldChar w:fldCharType="end"/>
      </w:r>
      <w:r>
        <w:fldChar w:fldCharType="end"/>
      </w:r>
    </w:p>
    <w:p>
      <w:pPr>
        <w:pStyle w:val="27"/>
        <w:tabs>
          <w:tab w:val="right" w:leader="dot" w:pos="8306"/>
        </w:tabs>
      </w:pPr>
      <w:r>
        <w:fldChar w:fldCharType="begin"/>
      </w:r>
      <w:r>
        <w:instrText xml:space="preserve"> HYPERLINK \l _Toc30935 </w:instrText>
      </w:r>
      <w:r>
        <w:fldChar w:fldCharType="separate"/>
      </w:r>
      <w:r>
        <w:rPr>
          <w:rFonts w:hint="default" w:ascii="黑体" w:eastAsia="黑体" w:cs="Times New Roman"/>
        </w:rPr>
        <w:t xml:space="preserve">三、 </w:t>
      </w:r>
      <w:r>
        <w:rPr>
          <w:rFonts w:hint="eastAsia" w:ascii="黑体" w:eastAsia="黑体"/>
          <w:szCs w:val="32"/>
        </w:rPr>
        <w:t>支</w:t>
      </w:r>
      <w:r>
        <w:rPr>
          <w:rFonts w:hint="eastAsia" w:ascii="黑体" w:eastAsia="黑体"/>
        </w:rPr>
        <w:t>出决算情况说明</w:t>
      </w:r>
      <w:r>
        <w:tab/>
      </w:r>
      <w:r>
        <w:fldChar w:fldCharType="begin"/>
      </w:r>
      <w:r>
        <w:instrText xml:space="preserve"> PAGEREF _Toc30935 \h </w:instrText>
      </w:r>
      <w:r>
        <w:fldChar w:fldCharType="separate"/>
      </w:r>
      <w:r>
        <w:t>9</w:t>
      </w:r>
      <w:r>
        <w:fldChar w:fldCharType="end"/>
      </w:r>
      <w:r>
        <w:fldChar w:fldCharType="end"/>
      </w:r>
    </w:p>
    <w:p>
      <w:pPr>
        <w:pStyle w:val="27"/>
        <w:tabs>
          <w:tab w:val="right" w:leader="dot" w:pos="8306"/>
        </w:tabs>
      </w:pPr>
      <w:r>
        <w:fldChar w:fldCharType="begin"/>
      </w:r>
      <w:r>
        <w:instrText xml:space="preserve"> HYPERLINK \l _Toc624 </w:instrText>
      </w:r>
      <w:r>
        <w:fldChar w:fldCharType="separate"/>
      </w:r>
      <w:r>
        <w:rPr>
          <w:rFonts w:hint="eastAsia" w:ascii="黑体" w:eastAsia="黑体"/>
          <w:szCs w:val="32"/>
        </w:rPr>
        <w:t>四、财</w:t>
      </w:r>
      <w:r>
        <w:rPr>
          <w:rFonts w:hint="eastAsia" w:ascii="黑体" w:eastAsia="黑体"/>
        </w:rPr>
        <w:t>政拨款收入支出决算总体情况说明</w:t>
      </w:r>
      <w:r>
        <w:tab/>
      </w:r>
      <w:r>
        <w:fldChar w:fldCharType="begin"/>
      </w:r>
      <w:r>
        <w:instrText xml:space="preserve"> PAGEREF _Toc624 \h </w:instrText>
      </w:r>
      <w:r>
        <w:fldChar w:fldCharType="separate"/>
      </w:r>
      <w:r>
        <w:t>10</w:t>
      </w:r>
      <w:r>
        <w:fldChar w:fldCharType="end"/>
      </w:r>
      <w:r>
        <w:fldChar w:fldCharType="end"/>
      </w:r>
    </w:p>
    <w:p>
      <w:pPr>
        <w:pStyle w:val="27"/>
        <w:tabs>
          <w:tab w:val="right" w:leader="dot" w:pos="8306"/>
        </w:tabs>
      </w:pPr>
      <w:r>
        <w:fldChar w:fldCharType="begin"/>
      </w:r>
      <w:r>
        <w:instrText xml:space="preserve"> HYPERLINK \l _Toc2390 </w:instrText>
      </w:r>
      <w:r>
        <w:fldChar w:fldCharType="separate"/>
      </w:r>
      <w:r>
        <w:rPr>
          <w:rFonts w:hint="eastAsia" w:ascii="黑体" w:eastAsia="黑体"/>
          <w:szCs w:val="32"/>
        </w:rPr>
        <w:t>五、一</w:t>
      </w:r>
      <w:r>
        <w:rPr>
          <w:rFonts w:hint="eastAsia" w:ascii="黑体" w:eastAsia="黑体"/>
        </w:rPr>
        <w:t>般公共预算财政拨款支出决算情况说明</w:t>
      </w:r>
      <w:r>
        <w:tab/>
      </w:r>
      <w:r>
        <w:fldChar w:fldCharType="begin"/>
      </w:r>
      <w:r>
        <w:instrText xml:space="preserve"> PAGEREF _Toc2390 \h </w:instrText>
      </w:r>
      <w:r>
        <w:fldChar w:fldCharType="separate"/>
      </w:r>
      <w:r>
        <w:t>11</w:t>
      </w:r>
      <w:r>
        <w:fldChar w:fldCharType="end"/>
      </w:r>
      <w:r>
        <w:fldChar w:fldCharType="end"/>
      </w:r>
    </w:p>
    <w:p>
      <w:pPr>
        <w:pStyle w:val="27"/>
        <w:tabs>
          <w:tab w:val="right" w:leader="dot" w:pos="8306"/>
        </w:tabs>
      </w:pPr>
      <w:r>
        <w:fldChar w:fldCharType="begin"/>
      </w:r>
      <w:r>
        <w:instrText xml:space="preserve"> HYPERLINK \l _Toc2067 </w:instrText>
      </w:r>
      <w:r>
        <w:fldChar w:fldCharType="separate"/>
      </w:r>
      <w:r>
        <w:rPr>
          <w:rFonts w:hint="eastAsia" w:ascii="黑体" w:eastAsia="黑体"/>
          <w:szCs w:val="32"/>
        </w:rPr>
        <w:t>六、一</w:t>
      </w:r>
      <w:r>
        <w:rPr>
          <w:rFonts w:hint="eastAsia" w:ascii="黑体" w:eastAsia="黑体"/>
        </w:rPr>
        <w:t>般公共预算财政拨款基本支出决算情况说明</w:t>
      </w:r>
      <w:r>
        <w:tab/>
      </w:r>
      <w:r>
        <w:fldChar w:fldCharType="begin"/>
      </w:r>
      <w:r>
        <w:instrText xml:space="preserve"> PAGEREF _Toc2067 \h </w:instrText>
      </w:r>
      <w:r>
        <w:fldChar w:fldCharType="separate"/>
      </w:r>
      <w:r>
        <w:t>13</w:t>
      </w:r>
      <w:r>
        <w:fldChar w:fldCharType="end"/>
      </w:r>
      <w:r>
        <w:fldChar w:fldCharType="end"/>
      </w:r>
    </w:p>
    <w:p>
      <w:pPr>
        <w:pStyle w:val="27"/>
        <w:tabs>
          <w:tab w:val="right" w:leader="dot" w:pos="8306"/>
        </w:tabs>
      </w:pPr>
      <w:r>
        <w:fldChar w:fldCharType="begin"/>
      </w:r>
      <w:r>
        <w:instrText xml:space="preserve"> HYPERLINK \l _Toc24514 </w:instrText>
      </w:r>
      <w:r>
        <w:fldChar w:fldCharType="separate"/>
      </w:r>
      <w:r>
        <w:rPr>
          <w:rFonts w:hint="eastAsia" w:ascii="黑体" w:eastAsia="黑体"/>
          <w:szCs w:val="32"/>
        </w:rPr>
        <w:t>七、</w:t>
      </w:r>
      <w:r>
        <w:rPr>
          <w:rFonts w:hint="eastAsia" w:ascii="黑体" w:eastAsia="黑体"/>
        </w:rPr>
        <w:t>“三公”经费财政拨款支出决算情况说明</w:t>
      </w:r>
      <w:r>
        <w:tab/>
      </w:r>
      <w:r>
        <w:fldChar w:fldCharType="begin"/>
      </w:r>
      <w:r>
        <w:instrText xml:space="preserve"> PAGEREF _Toc24514 \h </w:instrText>
      </w:r>
      <w:r>
        <w:fldChar w:fldCharType="separate"/>
      </w:r>
      <w:r>
        <w:t>14</w:t>
      </w:r>
      <w:r>
        <w:fldChar w:fldCharType="end"/>
      </w:r>
      <w:r>
        <w:fldChar w:fldCharType="end"/>
      </w:r>
    </w:p>
    <w:p>
      <w:pPr>
        <w:pStyle w:val="27"/>
        <w:tabs>
          <w:tab w:val="right" w:leader="dot" w:pos="8306"/>
        </w:tabs>
      </w:pPr>
      <w:r>
        <w:fldChar w:fldCharType="begin"/>
      </w:r>
      <w:r>
        <w:instrText xml:space="preserve"> HYPERLINK \l _Toc29297 </w:instrText>
      </w:r>
      <w:r>
        <w:fldChar w:fldCharType="separate"/>
      </w:r>
      <w:r>
        <w:rPr>
          <w:rFonts w:hint="eastAsia" w:ascii="黑体" w:eastAsia="黑体"/>
          <w:szCs w:val="32"/>
        </w:rPr>
        <w:t>八、</w:t>
      </w:r>
      <w:r>
        <w:rPr>
          <w:rFonts w:hint="eastAsia" w:ascii="黑体" w:eastAsia="黑体"/>
        </w:rPr>
        <w:t>政府性基金预算支出决算情况说明</w:t>
      </w:r>
      <w:r>
        <w:tab/>
      </w:r>
      <w:r>
        <w:fldChar w:fldCharType="begin"/>
      </w:r>
      <w:r>
        <w:instrText xml:space="preserve"> PAGEREF _Toc29297 \h </w:instrText>
      </w:r>
      <w:r>
        <w:fldChar w:fldCharType="separate"/>
      </w:r>
      <w:r>
        <w:t>14</w:t>
      </w:r>
      <w:r>
        <w:fldChar w:fldCharType="end"/>
      </w:r>
      <w:r>
        <w:fldChar w:fldCharType="end"/>
      </w:r>
    </w:p>
    <w:p>
      <w:pPr>
        <w:pStyle w:val="27"/>
        <w:tabs>
          <w:tab w:val="right" w:leader="dot" w:pos="8306"/>
        </w:tabs>
      </w:pPr>
      <w:r>
        <w:fldChar w:fldCharType="begin"/>
      </w:r>
      <w:r>
        <w:instrText xml:space="preserve"> HYPERLINK \l _Toc27871 </w:instrText>
      </w:r>
      <w:r>
        <w:fldChar w:fldCharType="separate"/>
      </w:r>
      <w:r>
        <w:rPr>
          <w:rFonts w:hint="eastAsia" w:ascii="黑体" w:eastAsia="黑体" w:cs="Times New Roman"/>
        </w:rPr>
        <w:t xml:space="preserve">九、 </w:t>
      </w:r>
      <w:r>
        <w:rPr>
          <w:rFonts w:hint="eastAsia" w:ascii="黑体" w:eastAsia="黑体"/>
        </w:rPr>
        <w:t>国有资本经营预算支出决算情况说明</w:t>
      </w:r>
      <w:r>
        <w:tab/>
      </w:r>
      <w:r>
        <w:fldChar w:fldCharType="begin"/>
      </w:r>
      <w:r>
        <w:instrText xml:space="preserve"> PAGEREF _Toc27871 \h </w:instrText>
      </w:r>
      <w:r>
        <w:fldChar w:fldCharType="separate"/>
      </w:r>
      <w:r>
        <w:t>14</w:t>
      </w:r>
      <w:r>
        <w:fldChar w:fldCharType="end"/>
      </w:r>
      <w:r>
        <w:fldChar w:fldCharType="end"/>
      </w:r>
    </w:p>
    <w:p>
      <w:pPr>
        <w:pStyle w:val="27"/>
        <w:tabs>
          <w:tab w:val="right" w:leader="dot" w:pos="8306"/>
        </w:tabs>
      </w:pPr>
      <w:r>
        <w:fldChar w:fldCharType="begin"/>
      </w:r>
      <w:r>
        <w:instrText xml:space="preserve"> HYPERLINK \l _Toc10002 </w:instrText>
      </w:r>
      <w:r>
        <w:fldChar w:fldCharType="separate"/>
      </w:r>
      <w:r>
        <w:rPr>
          <w:rFonts w:hint="eastAsia" w:ascii="黑体" w:eastAsia="黑体"/>
          <w:szCs w:val="32"/>
        </w:rPr>
        <w:t>十</w:t>
      </w:r>
      <w:r>
        <w:rPr>
          <w:rFonts w:hint="eastAsia" w:ascii="黑体" w:eastAsia="黑体"/>
        </w:rPr>
        <w:t>、其他重要事项的情况说明</w:t>
      </w:r>
      <w:r>
        <w:tab/>
      </w:r>
      <w:r>
        <w:fldChar w:fldCharType="begin"/>
      </w:r>
      <w:r>
        <w:instrText xml:space="preserve"> PAGEREF _Toc10002 \h </w:instrText>
      </w:r>
      <w:r>
        <w:fldChar w:fldCharType="separate"/>
      </w:r>
      <w:r>
        <w:t>14</w:t>
      </w:r>
      <w:r>
        <w:fldChar w:fldCharType="end"/>
      </w:r>
      <w:r>
        <w:fldChar w:fldCharType="end"/>
      </w:r>
    </w:p>
    <w:p>
      <w:pPr>
        <w:pStyle w:val="26"/>
        <w:tabs>
          <w:tab w:val="right" w:leader="dot" w:pos="8306"/>
        </w:tabs>
        <w:rPr>
          <w:b/>
        </w:rPr>
      </w:pPr>
      <w:r>
        <w:rPr>
          <w:b/>
        </w:rPr>
        <w:fldChar w:fldCharType="begin"/>
      </w:r>
      <w:r>
        <w:rPr>
          <w:b/>
        </w:rPr>
        <w:instrText xml:space="preserve"> HYPERLINK \l _Toc31025 </w:instrText>
      </w:r>
      <w:r>
        <w:rPr>
          <w:b/>
        </w:rPr>
        <w:fldChar w:fldCharType="separate"/>
      </w:r>
      <w:r>
        <w:rPr>
          <w:rFonts w:hint="eastAsia" w:ascii="黑体" w:eastAsia="黑体" w:cs="Times New Roman"/>
          <w:b/>
        </w:rPr>
        <w:t xml:space="preserve">第三部分 </w:t>
      </w:r>
      <w:r>
        <w:rPr>
          <w:rFonts w:hint="eastAsia" w:ascii="黑体" w:eastAsia="黑体"/>
          <w:b/>
          <w:szCs w:val="44"/>
        </w:rPr>
        <w:t>名</w:t>
      </w:r>
      <w:r>
        <w:rPr>
          <w:rFonts w:hint="eastAsia" w:ascii="黑体" w:eastAsia="黑体"/>
          <w:b/>
        </w:rPr>
        <w:t>词解释</w:t>
      </w:r>
      <w:r>
        <w:rPr>
          <w:b/>
        </w:rPr>
        <w:tab/>
      </w:r>
      <w:r>
        <w:rPr>
          <w:b/>
        </w:rPr>
        <w:fldChar w:fldCharType="begin"/>
      </w:r>
      <w:r>
        <w:rPr>
          <w:b/>
        </w:rPr>
        <w:instrText xml:space="preserve"> PAGEREF _Toc31025 \h </w:instrText>
      </w:r>
      <w:r>
        <w:rPr>
          <w:b/>
        </w:rPr>
        <w:fldChar w:fldCharType="separate"/>
      </w:r>
      <w:r>
        <w:rPr>
          <w:b/>
        </w:rPr>
        <w:t>17</w:t>
      </w:r>
      <w:r>
        <w:rPr>
          <w:b/>
        </w:rPr>
        <w:fldChar w:fldCharType="end"/>
      </w:r>
      <w:r>
        <w:rPr>
          <w:b/>
        </w:rPr>
        <w:fldChar w:fldCharType="end"/>
      </w:r>
    </w:p>
    <w:p>
      <w:pPr>
        <w:pStyle w:val="26"/>
        <w:tabs>
          <w:tab w:val="right" w:leader="dot" w:pos="8306"/>
        </w:tabs>
        <w:rPr>
          <w:b/>
        </w:rPr>
      </w:pPr>
      <w:r>
        <w:rPr>
          <w:b/>
        </w:rPr>
        <w:fldChar w:fldCharType="begin"/>
      </w:r>
      <w:r>
        <w:rPr>
          <w:b/>
        </w:rPr>
        <w:instrText xml:space="preserve"> HYPERLINK \l _Toc18717 </w:instrText>
      </w:r>
      <w:r>
        <w:rPr>
          <w:b/>
        </w:rPr>
        <w:fldChar w:fldCharType="separate"/>
      </w:r>
      <w:r>
        <w:rPr>
          <w:rFonts w:hint="eastAsia" w:ascii="黑体" w:eastAsia="黑体"/>
          <w:b/>
          <w:szCs w:val="44"/>
        </w:rPr>
        <w:t>第</w:t>
      </w:r>
      <w:r>
        <w:rPr>
          <w:rFonts w:hint="eastAsia" w:ascii="黑体" w:eastAsia="黑体"/>
          <w:b/>
        </w:rPr>
        <w:t>四部分 附件</w:t>
      </w:r>
      <w:r>
        <w:rPr>
          <w:b/>
        </w:rPr>
        <w:tab/>
      </w:r>
      <w:r>
        <w:rPr>
          <w:b/>
        </w:rPr>
        <w:fldChar w:fldCharType="begin"/>
      </w:r>
      <w:r>
        <w:rPr>
          <w:b/>
        </w:rPr>
        <w:instrText xml:space="preserve"> PAGEREF _Toc18717 \h </w:instrText>
      </w:r>
      <w:r>
        <w:rPr>
          <w:b/>
        </w:rPr>
        <w:fldChar w:fldCharType="separate"/>
      </w:r>
      <w:r>
        <w:rPr>
          <w:b/>
        </w:rPr>
        <w:t>19</w:t>
      </w:r>
      <w:r>
        <w:rPr>
          <w:b/>
        </w:rPr>
        <w:fldChar w:fldCharType="end"/>
      </w:r>
      <w:r>
        <w:rPr>
          <w:b/>
        </w:rPr>
        <w:fldChar w:fldCharType="end"/>
      </w:r>
    </w:p>
    <w:p>
      <w:pPr>
        <w:pStyle w:val="27"/>
        <w:tabs>
          <w:tab w:val="right" w:leader="dot" w:pos="8306"/>
        </w:tabs>
      </w:pPr>
      <w:r>
        <w:fldChar w:fldCharType="begin"/>
      </w:r>
      <w:r>
        <w:instrText xml:space="preserve"> HYPERLINK \l _Toc27948 </w:instrText>
      </w:r>
      <w:r>
        <w:fldChar w:fldCharType="separate"/>
      </w:r>
      <w:r>
        <w:rPr>
          <w:rFonts w:hint="eastAsia" w:ascii="黑体" w:eastAsia="黑体" w:cs="黑体"/>
          <w:szCs w:val="32"/>
          <w:lang w:bidi="ar-SA"/>
        </w:rPr>
        <w:t>附件1</w:t>
      </w:r>
      <w:r>
        <w:tab/>
      </w:r>
      <w:r>
        <w:fldChar w:fldCharType="begin"/>
      </w:r>
      <w:r>
        <w:instrText xml:space="preserve"> PAGEREF _Toc27948 \h </w:instrText>
      </w:r>
      <w:r>
        <w:fldChar w:fldCharType="separate"/>
      </w:r>
      <w:r>
        <w:t>19</w:t>
      </w:r>
      <w:r>
        <w:fldChar w:fldCharType="end"/>
      </w:r>
      <w:r>
        <w:fldChar w:fldCharType="end"/>
      </w:r>
    </w:p>
    <w:p>
      <w:pPr>
        <w:pStyle w:val="27"/>
        <w:tabs>
          <w:tab w:val="right" w:leader="dot" w:pos="8306"/>
        </w:tabs>
      </w:pPr>
      <w:r>
        <w:fldChar w:fldCharType="begin"/>
      </w:r>
      <w:r>
        <w:instrText xml:space="preserve"> HYPERLINK \l _Toc16619 </w:instrText>
      </w:r>
      <w:r>
        <w:fldChar w:fldCharType="separate"/>
      </w:r>
      <w:r>
        <w:rPr>
          <w:rFonts w:hint="eastAsia" w:ascii="黑体" w:eastAsia="黑体" w:cs="黑体"/>
          <w:szCs w:val="32"/>
          <w:lang w:bidi="ar-SA"/>
        </w:rPr>
        <w:t>附件2</w:t>
      </w:r>
      <w:r>
        <w:tab/>
      </w:r>
      <w:r>
        <w:fldChar w:fldCharType="begin"/>
      </w:r>
      <w:r>
        <w:instrText xml:space="preserve"> PAGEREF _Toc16619 \h </w:instrText>
      </w:r>
      <w:r>
        <w:fldChar w:fldCharType="separate"/>
      </w:r>
      <w:r>
        <w:t>22</w:t>
      </w:r>
      <w:r>
        <w:fldChar w:fldCharType="end"/>
      </w:r>
      <w:r>
        <w:fldChar w:fldCharType="end"/>
      </w:r>
    </w:p>
    <w:p>
      <w:pPr>
        <w:pStyle w:val="26"/>
        <w:tabs>
          <w:tab w:val="right" w:leader="dot" w:pos="8306"/>
        </w:tabs>
        <w:rPr>
          <w:b/>
        </w:rPr>
      </w:pPr>
      <w:r>
        <w:rPr>
          <w:b/>
        </w:rPr>
        <w:fldChar w:fldCharType="begin"/>
      </w:r>
      <w:r>
        <w:rPr>
          <w:b/>
        </w:rPr>
        <w:instrText xml:space="preserve"> HYPERLINK \l _Toc9698 </w:instrText>
      </w:r>
      <w:r>
        <w:rPr>
          <w:b/>
        </w:rPr>
        <w:fldChar w:fldCharType="separate"/>
      </w:r>
      <w:r>
        <w:rPr>
          <w:rFonts w:hint="eastAsia" w:ascii="黑体" w:eastAsia="黑体"/>
          <w:b/>
          <w:szCs w:val="44"/>
        </w:rPr>
        <w:t>第</w:t>
      </w:r>
      <w:r>
        <w:rPr>
          <w:rFonts w:hint="eastAsia" w:ascii="黑体" w:eastAsia="黑体"/>
          <w:b/>
        </w:rPr>
        <w:t>五部分 附表</w:t>
      </w:r>
      <w:r>
        <w:rPr>
          <w:b/>
        </w:rPr>
        <w:tab/>
      </w:r>
      <w:r>
        <w:rPr>
          <w:b/>
        </w:rPr>
        <w:fldChar w:fldCharType="begin"/>
      </w:r>
      <w:r>
        <w:rPr>
          <w:b/>
        </w:rPr>
        <w:instrText xml:space="preserve"> PAGEREF _Toc9698 \h </w:instrText>
      </w:r>
      <w:r>
        <w:rPr>
          <w:b/>
        </w:rPr>
        <w:fldChar w:fldCharType="separate"/>
      </w:r>
      <w:r>
        <w:rPr>
          <w:b/>
        </w:rPr>
        <w:t>26</w:t>
      </w:r>
      <w:r>
        <w:rPr>
          <w:b/>
        </w:rPr>
        <w:fldChar w:fldCharType="end"/>
      </w:r>
      <w:r>
        <w:rPr>
          <w:b/>
        </w:rPr>
        <w:fldChar w:fldCharType="end"/>
      </w:r>
    </w:p>
    <w:p>
      <w:pPr>
        <w:pStyle w:val="27"/>
        <w:tabs>
          <w:tab w:val="right" w:leader="dot" w:pos="8306"/>
        </w:tabs>
      </w:pPr>
      <w:r>
        <w:fldChar w:fldCharType="begin"/>
      </w:r>
      <w:r>
        <w:instrText xml:space="preserve"> HYPERLINK \l _Toc8316 </w:instrText>
      </w:r>
      <w:r>
        <w:fldChar w:fldCharType="separate"/>
      </w:r>
      <w:r>
        <w:rPr>
          <w:rFonts w:hint="eastAsia" w:ascii="仿宋" w:eastAsia="仿宋"/>
          <w:bCs/>
        </w:rPr>
        <w:t>一、收入支出决算总表</w:t>
      </w:r>
      <w:r>
        <w:tab/>
      </w:r>
      <w:r>
        <w:fldChar w:fldCharType="begin"/>
      </w:r>
      <w:r>
        <w:instrText xml:space="preserve"> PAGEREF _Toc8316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_Toc21825 </w:instrText>
      </w:r>
      <w:r>
        <w:fldChar w:fldCharType="separate"/>
      </w:r>
      <w:r>
        <w:rPr>
          <w:rFonts w:hint="eastAsia" w:ascii="仿宋" w:eastAsia="仿宋"/>
          <w:bCs/>
        </w:rPr>
        <w:t>二、收入决算表</w:t>
      </w:r>
      <w:r>
        <w:tab/>
      </w:r>
      <w:r>
        <w:fldChar w:fldCharType="begin"/>
      </w:r>
      <w:r>
        <w:instrText xml:space="preserve"> PAGEREF _Toc21825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_Toc15143 </w:instrText>
      </w:r>
      <w:r>
        <w:fldChar w:fldCharType="separate"/>
      </w:r>
      <w:r>
        <w:rPr>
          <w:rFonts w:hint="eastAsia" w:ascii="仿宋" w:eastAsia="仿宋"/>
          <w:bCs/>
        </w:rPr>
        <w:t>三、支出决算表</w:t>
      </w:r>
      <w:r>
        <w:tab/>
      </w:r>
      <w:r>
        <w:fldChar w:fldCharType="begin"/>
      </w:r>
      <w:r>
        <w:instrText xml:space="preserve"> PAGEREF _Toc15143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_Toc26375 </w:instrText>
      </w:r>
      <w:r>
        <w:fldChar w:fldCharType="separate"/>
      </w:r>
      <w:r>
        <w:rPr>
          <w:rFonts w:hint="eastAsia" w:ascii="仿宋" w:eastAsia="仿宋"/>
          <w:bCs/>
        </w:rPr>
        <w:t>四、财政拨款收入支出决算总表</w:t>
      </w:r>
      <w:r>
        <w:tab/>
      </w:r>
      <w:r>
        <w:fldChar w:fldCharType="begin"/>
      </w:r>
      <w:r>
        <w:instrText xml:space="preserve"> PAGEREF _Toc26375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_Toc19488 </w:instrText>
      </w:r>
      <w:r>
        <w:fldChar w:fldCharType="separate"/>
      </w:r>
      <w:r>
        <w:rPr>
          <w:rFonts w:hint="eastAsia" w:ascii="仿宋" w:eastAsia="仿宋"/>
          <w:bCs/>
        </w:rPr>
        <w:t>五、财政拨款支出决算明细表</w:t>
      </w:r>
      <w:r>
        <w:tab/>
      </w:r>
      <w:r>
        <w:fldChar w:fldCharType="begin"/>
      </w:r>
      <w:r>
        <w:instrText xml:space="preserve"> PAGEREF _Toc19488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_Toc7764 </w:instrText>
      </w:r>
      <w:r>
        <w:fldChar w:fldCharType="separate"/>
      </w:r>
      <w:r>
        <w:rPr>
          <w:rFonts w:hint="eastAsia" w:ascii="仿宋" w:eastAsia="仿宋"/>
          <w:bCs/>
        </w:rPr>
        <w:t>六、一般公共预算财政拨款支出决算表</w:t>
      </w:r>
      <w:r>
        <w:tab/>
      </w:r>
      <w:r>
        <w:fldChar w:fldCharType="begin"/>
      </w:r>
      <w:r>
        <w:instrText xml:space="preserve"> PAGEREF _Toc7764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_Toc12334 </w:instrText>
      </w:r>
      <w:r>
        <w:fldChar w:fldCharType="separate"/>
      </w:r>
      <w:r>
        <w:rPr>
          <w:rFonts w:hint="eastAsia" w:ascii="仿宋" w:eastAsia="仿宋"/>
          <w:bCs/>
        </w:rPr>
        <w:t>七、一般公共预算财政拨款支出决算明细表</w:t>
      </w:r>
      <w:r>
        <w:tab/>
      </w:r>
      <w:r>
        <w:fldChar w:fldCharType="begin"/>
      </w:r>
      <w:r>
        <w:instrText xml:space="preserve"> PAGEREF _Toc12334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_Toc31347 </w:instrText>
      </w:r>
      <w:r>
        <w:fldChar w:fldCharType="separate"/>
      </w:r>
      <w:r>
        <w:rPr>
          <w:rFonts w:hint="eastAsia" w:ascii="仿宋" w:eastAsia="仿宋"/>
          <w:bCs/>
        </w:rPr>
        <w:t>八、一般公共预算财政拨款基本支出决算表</w:t>
      </w:r>
      <w:r>
        <w:tab/>
      </w:r>
      <w:r>
        <w:fldChar w:fldCharType="begin"/>
      </w:r>
      <w:r>
        <w:instrText xml:space="preserve"> PAGEREF _Toc31347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_Toc4252 </w:instrText>
      </w:r>
      <w:r>
        <w:fldChar w:fldCharType="separate"/>
      </w:r>
      <w:r>
        <w:rPr>
          <w:rFonts w:hint="eastAsia" w:ascii="仿宋" w:eastAsia="仿宋"/>
          <w:bCs/>
        </w:rPr>
        <w:t>九、一般公共预算财政拨款项目支出决算表</w:t>
      </w:r>
      <w:r>
        <w:tab/>
      </w:r>
      <w:r>
        <w:fldChar w:fldCharType="begin"/>
      </w:r>
      <w:r>
        <w:instrText xml:space="preserve"> PAGEREF _Toc4252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_Toc20965 </w:instrText>
      </w:r>
      <w:r>
        <w:fldChar w:fldCharType="separate"/>
      </w:r>
      <w:r>
        <w:rPr>
          <w:rFonts w:hint="eastAsia" w:ascii="仿宋" w:eastAsia="仿宋"/>
          <w:bCs/>
        </w:rPr>
        <w:t>十、一般公共预算财政拨款“三公”经费支出决算表</w:t>
      </w:r>
      <w:r>
        <w:tab/>
      </w:r>
      <w:r>
        <w:fldChar w:fldCharType="begin"/>
      </w:r>
      <w:r>
        <w:instrText xml:space="preserve"> PAGEREF _Toc20965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_Toc6826 </w:instrText>
      </w:r>
      <w:r>
        <w:fldChar w:fldCharType="separate"/>
      </w:r>
      <w:r>
        <w:rPr>
          <w:rFonts w:hint="eastAsia" w:ascii="仿宋" w:eastAsia="仿宋"/>
          <w:bCs/>
        </w:rPr>
        <w:t>十一、政府性基金预算财政拨款收入支出决算表</w:t>
      </w:r>
      <w:r>
        <w:tab/>
      </w:r>
      <w:r>
        <w:fldChar w:fldCharType="begin"/>
      </w:r>
      <w:r>
        <w:instrText xml:space="preserve"> PAGEREF _Toc6826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_Toc4779 </w:instrText>
      </w:r>
      <w:r>
        <w:fldChar w:fldCharType="separate"/>
      </w:r>
      <w:r>
        <w:rPr>
          <w:rFonts w:hint="eastAsia" w:ascii="仿宋" w:eastAsia="仿宋"/>
          <w:bCs/>
        </w:rPr>
        <w:t>十二、政府性基金预算财政拨款“三公”经费支出决算表</w:t>
      </w:r>
      <w:r>
        <w:tab/>
      </w:r>
      <w:r>
        <w:fldChar w:fldCharType="begin"/>
      </w:r>
      <w:r>
        <w:instrText xml:space="preserve"> PAGEREF _Toc4779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_Toc2859 </w:instrText>
      </w:r>
      <w:r>
        <w:fldChar w:fldCharType="separate"/>
      </w:r>
      <w:r>
        <w:rPr>
          <w:rFonts w:hint="eastAsia" w:ascii="仿宋" w:eastAsia="仿宋"/>
          <w:bCs/>
        </w:rPr>
        <w:t>十三、国有资本经营预算财政拨款</w:t>
      </w:r>
      <w:r>
        <w:rPr>
          <w:rFonts w:hint="eastAsia" w:ascii="仿宋" w:eastAsia="仿宋"/>
          <w:bCs/>
          <w:lang w:eastAsia="zh-CN"/>
        </w:rPr>
        <w:t>收入</w:t>
      </w:r>
      <w:r>
        <w:rPr>
          <w:rFonts w:hint="eastAsia" w:ascii="仿宋" w:eastAsia="仿宋"/>
          <w:bCs/>
        </w:rPr>
        <w:t>支出决算表</w:t>
      </w:r>
      <w:r>
        <w:tab/>
      </w:r>
      <w:r>
        <w:fldChar w:fldCharType="begin"/>
      </w:r>
      <w:r>
        <w:instrText xml:space="preserve"> PAGEREF _Toc2859 \h </w:instrText>
      </w:r>
      <w:r>
        <w:fldChar w:fldCharType="separate"/>
      </w:r>
      <w:r>
        <w:t>27</w:t>
      </w:r>
      <w:r>
        <w:fldChar w:fldCharType="end"/>
      </w:r>
      <w:r>
        <w:fldChar w:fldCharType="end"/>
      </w:r>
    </w:p>
    <w:p>
      <w:pPr>
        <w:pStyle w:val="27"/>
        <w:tabs>
          <w:tab w:val="right" w:leader="dot" w:pos="8306"/>
        </w:tabs>
      </w:pPr>
      <w:r>
        <w:fldChar w:fldCharType="begin"/>
      </w:r>
      <w:r>
        <w:instrText xml:space="preserve"> HYPERLINK \l _Toc14804 </w:instrText>
      </w:r>
      <w:r>
        <w:fldChar w:fldCharType="separate"/>
      </w:r>
      <w:r>
        <w:rPr>
          <w:rFonts w:hint="eastAsia" w:ascii="仿宋" w:eastAsia="仿宋"/>
          <w:bCs/>
          <w:lang w:eastAsia="zh-CN"/>
        </w:rPr>
        <w:t>十四、</w:t>
      </w:r>
      <w:r>
        <w:rPr>
          <w:rFonts w:hint="eastAsia" w:ascii="仿宋" w:eastAsia="仿宋"/>
          <w:bCs/>
        </w:rPr>
        <w:t>国有资本经营预算财政拨款支出决算表</w:t>
      </w:r>
      <w:r>
        <w:tab/>
      </w:r>
      <w:r>
        <w:fldChar w:fldCharType="begin"/>
      </w:r>
      <w:r>
        <w:instrText xml:space="preserve"> PAGEREF _Toc14804 \h </w:instrText>
      </w:r>
      <w:r>
        <w:fldChar w:fldCharType="separate"/>
      </w:r>
      <w:r>
        <w:t>27</w:t>
      </w:r>
      <w:r>
        <w:fldChar w:fldCharType="end"/>
      </w:r>
      <w:r>
        <w:fldChar w:fldCharType="end"/>
      </w:r>
    </w:p>
    <w:p>
      <w:pPr>
        <w:pStyle w:val="27"/>
        <w:tabs>
          <w:tab w:val="right" w:leader="dot" w:pos="8306"/>
        </w:tabs>
      </w:pPr>
      <w:r>
        <w:rPr>
          <w:b/>
        </w:rPr>
        <w:fldChar w:fldCharType="end"/>
      </w:r>
    </w:p>
    <w:p>
      <w:pPr>
        <w:pStyle w:val="2"/>
      </w:pPr>
      <w:r>
        <w:rPr>
          <w:b/>
        </w:rPr>
        <w:fldChar w:fldCharType="end"/>
      </w:r>
    </w:p>
    <w:p>
      <w:pPr>
        <w:pStyle w:val="3"/>
        <w:jc w:val="center"/>
        <w:rPr>
          <w:rStyle w:val="16"/>
          <w:rFonts w:hint="eastAsia" w:ascii="黑体" w:eastAsia="黑体"/>
          <w:b w:val="0"/>
          <w:bCs w:val="0"/>
        </w:rPr>
      </w:pPr>
      <w:bookmarkStart w:id="16" w:name="_Toc15396599"/>
      <w:bookmarkStart w:id="17" w:name="_Toc2690"/>
      <w:bookmarkStart w:id="18" w:name="_Toc21836"/>
      <w:bookmarkStart w:id="19" w:name="_Toc15377196"/>
      <w:r>
        <w:rPr>
          <w:rFonts w:hint="eastAsia" w:ascii="黑体" w:eastAsia="黑体"/>
          <w:b w:val="0"/>
        </w:rPr>
        <w:t xml:space="preserve">第一部分 </w:t>
      </w:r>
      <w:r>
        <w:rPr>
          <w:rStyle w:val="16"/>
          <w:rFonts w:hint="eastAsia" w:ascii="黑体" w:eastAsia="黑体"/>
          <w:b w:val="0"/>
          <w:bCs w:val="0"/>
          <w:lang w:eastAsia="zh-CN"/>
        </w:rPr>
        <w:t>单位</w:t>
      </w:r>
      <w:r>
        <w:rPr>
          <w:rStyle w:val="16"/>
          <w:rFonts w:hint="eastAsia" w:ascii="黑体" w:eastAsia="黑体"/>
          <w:b w:val="0"/>
          <w:bCs w:val="0"/>
        </w:rPr>
        <w:t>概况</w:t>
      </w:r>
      <w:bookmarkEnd w:id="16"/>
      <w:bookmarkEnd w:id="17"/>
      <w:bookmarkEnd w:id="18"/>
      <w:bookmarkEnd w:id="19"/>
    </w:p>
    <w:p>
      <w:pPr>
        <w:pStyle w:val="4"/>
        <w:rPr>
          <w:rStyle w:val="17"/>
          <w:rFonts w:hint="eastAsia" w:ascii="仿宋" w:eastAsia="仿宋"/>
          <w:b w:val="0"/>
          <w:bCs w:val="0"/>
          <w:highlight w:val="none"/>
        </w:rPr>
      </w:pPr>
      <w:bookmarkStart w:id="20" w:name="_Toc28953"/>
      <w:bookmarkStart w:id="21" w:name="_Toc15396600"/>
      <w:bookmarkStart w:id="22" w:name="_Toc15377197"/>
      <w:bookmarkStart w:id="23" w:name="_Toc12525"/>
      <w:r>
        <w:rPr>
          <w:rFonts w:hint="eastAsia" w:ascii="黑体" w:eastAsia="黑体"/>
          <w:b w:val="0"/>
          <w:bCs w:val="0"/>
          <w:color w:val="000000"/>
          <w:highlight w:val="none"/>
        </w:rPr>
        <w:t>一、基</w:t>
      </w:r>
      <w:r>
        <w:rPr>
          <w:rStyle w:val="17"/>
          <w:rFonts w:hint="eastAsia" w:ascii="黑体" w:eastAsia="黑体"/>
          <w:b w:val="0"/>
          <w:bCs w:val="0"/>
          <w:highlight w:val="none"/>
        </w:rPr>
        <w:t>本职能及主要工作</w:t>
      </w:r>
      <w:bookmarkEnd w:id="20"/>
      <w:bookmarkEnd w:id="21"/>
      <w:bookmarkEnd w:id="22"/>
      <w:bookmarkEnd w:id="23"/>
    </w:p>
    <w:p>
      <w:pPr>
        <w:pStyle w:val="6"/>
        <w:adjustRightInd w:val="0"/>
        <w:snapToGrid w:val="0"/>
        <w:spacing w:before="93" w:beforeLines="0" w:line="600" w:lineRule="exact"/>
        <w:ind w:firstLine="668" w:firstLineChars="209"/>
        <w:outlineLvl w:val="2"/>
        <w:rPr>
          <w:rFonts w:hint="eastAsia" w:ascii="仿宋" w:eastAsia="仿宋"/>
          <w:bCs/>
          <w:color w:val="000000"/>
          <w:sz w:val="32"/>
          <w:szCs w:val="32"/>
          <w:highlight w:val="none"/>
        </w:rPr>
      </w:pPr>
      <w:bookmarkStart w:id="24" w:name="_Toc15378445"/>
      <w:bookmarkStart w:id="25" w:name="_Toc15377198"/>
      <w:r>
        <w:rPr>
          <w:rFonts w:hint="eastAsia" w:ascii="楷体_GB2312" w:eastAsia="楷体_GB2312" w:cs="楷体_GB2312"/>
          <w:bCs/>
          <w:color w:val="000000"/>
          <w:sz w:val="32"/>
          <w:szCs w:val="32"/>
          <w:highlight w:val="none"/>
          <w:lang w:bidi="ar-SA"/>
        </w:rPr>
        <w:t>（一）主要职能。</w:t>
      </w:r>
      <w:bookmarkEnd w:id="24"/>
      <w:bookmarkEnd w:id="25"/>
      <w:r>
        <w:rPr>
          <w:rFonts w:hint="eastAsia" w:ascii="仿宋_GB2312" w:eastAsia="仿宋_GB2312" w:cs="仿宋_GB2312"/>
          <w:bCs/>
          <w:color w:val="000000"/>
          <w:sz w:val="32"/>
          <w:szCs w:val="32"/>
          <w:highlight w:val="none"/>
          <w:lang w:bidi="ar-SA"/>
        </w:rPr>
        <w:t>负责市城区道路（人行道、车行道）、桥梁、人行下穿通道、人行天桥、隧道等市政基础设施建设及日常维修维护管理工作；组织和协调市城区</w:t>
      </w:r>
      <w:r>
        <w:rPr>
          <w:rFonts w:hint="eastAsia" w:ascii="仿宋_GB2312" w:eastAsia="仿宋_GB2312" w:cs="仿宋_GB2312"/>
          <w:bCs/>
          <w:color w:val="000000"/>
          <w:sz w:val="32"/>
          <w:szCs w:val="32"/>
          <w:highlight w:val="none"/>
          <w:lang w:eastAsia="zh-CN" w:bidi="ar-SA"/>
        </w:rPr>
        <w:t>排</w:t>
      </w:r>
      <w:r>
        <w:rPr>
          <w:rFonts w:hint="eastAsia" w:ascii="仿宋_GB2312" w:eastAsia="仿宋_GB2312" w:cs="仿宋_GB2312"/>
          <w:bCs/>
          <w:color w:val="000000"/>
          <w:sz w:val="32"/>
          <w:szCs w:val="32"/>
          <w:highlight w:val="none"/>
          <w:lang w:bidi="ar-SA"/>
        </w:rPr>
        <w:t>水防涝日常管理工作；配合做好地下管线（廊、道、沟）及窨井设施管理工作；做好市政公用设施运行、城镇燃气行业指导协调服务工作；协调推进市城区市政基础设施项目建设工作；参与拟订市政设施建设计划的中长期发展规划和专业规划的编制并组织实施；参与市城区市政设施设计审查、施工过程质量监管和竣工验收等工作；承担城市建设等相关辅助工作。</w:t>
      </w:r>
    </w:p>
    <w:p>
      <w:pPr>
        <w:pStyle w:val="6"/>
        <w:adjustRightInd w:val="0"/>
        <w:snapToGrid w:val="0"/>
        <w:spacing w:before="93" w:beforeLines="0" w:line="600" w:lineRule="exact"/>
        <w:ind w:firstLine="668" w:firstLineChars="209"/>
        <w:outlineLvl w:val="2"/>
        <w:rPr>
          <w:rFonts w:hint="eastAsia" w:ascii="楷体_GB2312" w:eastAsia="楷体_GB2312" w:cs="楷体_GB2312"/>
          <w:bCs/>
          <w:color w:val="000000"/>
          <w:sz w:val="32"/>
          <w:szCs w:val="32"/>
          <w:highlight w:val="none"/>
          <w:lang w:bidi="ar-SA"/>
        </w:rPr>
      </w:pPr>
      <w:bookmarkStart w:id="26" w:name="_Toc15377199"/>
      <w:bookmarkStart w:id="27" w:name="_Toc15378446"/>
      <w:r>
        <w:rPr>
          <w:rFonts w:hint="eastAsia" w:ascii="楷体_GB2312" w:eastAsia="楷体_GB2312" w:cs="楷体_GB2312"/>
          <w:bCs/>
          <w:color w:val="000000"/>
          <w:sz w:val="32"/>
          <w:szCs w:val="32"/>
          <w:highlight w:val="none"/>
          <w:lang w:bidi="ar-SA"/>
        </w:rPr>
        <w:t>（二）2020年重点工作完成情况。</w:t>
      </w:r>
      <w:bookmarkEnd w:id="26"/>
      <w:bookmarkEnd w:id="27"/>
    </w:p>
    <w:p>
      <w:pPr>
        <w:spacing w:line="576" w:lineRule="exact"/>
        <w:ind w:firstLine="640"/>
        <w:rPr>
          <w:rFonts w:hint="eastAsia" w:ascii="楷体_GB2312" w:eastAsia="楷体_GB2312" w:cs="楷体_GB2312"/>
          <w:b/>
          <w:sz w:val="32"/>
          <w:szCs w:val="32"/>
          <w:lang w:bidi="ar-SA"/>
        </w:rPr>
      </w:pPr>
      <w:r>
        <w:rPr>
          <w:rFonts w:hint="eastAsia" w:ascii="楷体_GB2312" w:eastAsia="楷体_GB2312" w:cs="楷体_GB2312"/>
          <w:b/>
          <w:sz w:val="32"/>
          <w:szCs w:val="32"/>
          <w:lang w:val="en-US" w:eastAsia="zh-CN" w:bidi="ar-SA"/>
        </w:rPr>
        <w:t>1.</w:t>
      </w:r>
      <w:r>
        <w:rPr>
          <w:rFonts w:hint="eastAsia" w:ascii="楷体_GB2312" w:eastAsia="楷体_GB2312" w:cs="楷体_GB2312"/>
          <w:b/>
          <w:sz w:val="32"/>
          <w:szCs w:val="32"/>
          <w:lang w:bidi="ar-SA"/>
        </w:rPr>
        <w:t>市政基础设施项目建设推进工作。</w:t>
      </w:r>
    </w:p>
    <w:p>
      <w:pPr>
        <w:spacing w:line="576" w:lineRule="exact"/>
        <w:ind w:firstLine="640"/>
        <w:rPr>
          <w:rFonts w:hint="eastAsia" w:ascii="仿宋_GB2312" w:eastAsia="仿宋_GB2312" w:cs="仿宋_GB2312"/>
          <w:sz w:val="32"/>
          <w:szCs w:val="32"/>
          <w:lang w:bidi="ar-SA"/>
        </w:rPr>
      </w:pPr>
      <w:r>
        <w:rPr>
          <w:rFonts w:hint="eastAsia" w:ascii="仿宋_GB2312" w:eastAsia="仿宋_GB2312" w:cs="仿宋_GB2312"/>
          <w:sz w:val="32"/>
          <w:szCs w:val="32"/>
          <w:lang w:bidi="ar-SA"/>
        </w:rPr>
        <w:t>一是认真落实重点项目挂联协调推进机制，全力加快推进北二环东延线、宝轮环线（南段）、中央森林康养大道、利州西路、育才路跨线桥、中心城区智慧停车场等项目，全面竣工环城南路提升改造工程、滨河南路水岸华府至碧桂园段景观绿化工程。二是加大对重点市政项目施工秩序的保障力度，加强项目推进过程中的社会稳定风险管控，落实工前告知制度、营造和谐稳定的工程建设环境，24个市政重点项目</w:t>
      </w:r>
      <w:r>
        <w:rPr>
          <w:rFonts w:hint="eastAsia" w:ascii="仿宋_GB2312" w:eastAsia="仿宋_GB2312" w:cs="仿宋_GB2312"/>
          <w:sz w:val="32"/>
          <w:szCs w:val="32"/>
          <w:lang w:eastAsia="zh-CN" w:bidi="ar-SA"/>
        </w:rPr>
        <w:t>全年</w:t>
      </w:r>
      <w:r>
        <w:rPr>
          <w:rFonts w:hint="eastAsia" w:ascii="仿宋_GB2312" w:eastAsia="仿宋_GB2312" w:cs="仿宋_GB2312"/>
          <w:sz w:val="32"/>
          <w:szCs w:val="32"/>
          <w:lang w:bidi="ar-SA"/>
        </w:rPr>
        <w:t>未发生群体性事件和集访群访事件。</w:t>
      </w:r>
    </w:p>
    <w:p>
      <w:pPr>
        <w:spacing w:line="576" w:lineRule="exact"/>
        <w:ind w:firstLine="640"/>
        <w:rPr>
          <w:rFonts w:hint="eastAsia" w:ascii="楷体_GB2312" w:eastAsia="楷体_GB2312" w:cs="楷体_GB2312"/>
          <w:b/>
          <w:bCs/>
          <w:sz w:val="32"/>
          <w:szCs w:val="32"/>
          <w:lang w:bidi="ar-SA"/>
        </w:rPr>
      </w:pPr>
      <w:r>
        <w:rPr>
          <w:rFonts w:hint="eastAsia" w:ascii="楷体_GB2312" w:eastAsia="楷体_GB2312" w:cs="楷体_GB2312"/>
          <w:b/>
          <w:bCs/>
          <w:sz w:val="32"/>
          <w:szCs w:val="32"/>
          <w:lang w:val="en-US" w:eastAsia="zh-CN" w:bidi="ar-SA"/>
        </w:rPr>
        <w:t>2.</w:t>
      </w:r>
      <w:r>
        <w:rPr>
          <w:rFonts w:hint="eastAsia" w:ascii="楷体_GB2312" w:eastAsia="楷体_GB2312" w:cs="楷体_GB2312"/>
          <w:b/>
          <w:bCs/>
          <w:sz w:val="32"/>
          <w:szCs w:val="32"/>
          <w:lang w:bidi="ar-SA"/>
        </w:rPr>
        <w:t>市政基础设施维护维修与管理工作。</w:t>
      </w:r>
    </w:p>
    <w:p>
      <w:pPr>
        <w:spacing w:line="576" w:lineRule="exact"/>
        <w:ind w:left="0" w:firstLine="640" w:firstLineChars="200"/>
        <w:rPr>
          <w:rFonts w:hint="eastAsia" w:ascii="仿宋_GB2312" w:eastAsia="仿宋_GB2312"/>
          <w:sz w:val="32"/>
          <w:szCs w:val="32"/>
        </w:rPr>
      </w:pPr>
      <w:r>
        <w:rPr>
          <w:rFonts w:hint="eastAsia" w:ascii="仿宋_GB2312" w:eastAsia="仿宋_GB2312" w:cs="黑体"/>
          <w:sz w:val="32"/>
          <w:szCs w:val="32"/>
          <w:lang w:bidi="ar-SA"/>
        </w:rPr>
        <w:t>一是严格</w:t>
      </w:r>
      <w:r>
        <w:rPr>
          <w:rFonts w:hint="eastAsia" w:ascii="仿宋_GB2312" w:eastAsia="仿宋_GB2312"/>
          <w:sz w:val="32"/>
          <w:szCs w:val="32"/>
        </w:rPr>
        <w:t>按照局重点权利运行廉政风险“联防联控”工作要求，切实加强市政维护维修规范化管理。实行2人巡查、现场核实病害点工程量，填报审批单，细化核实审批、质量管理、验收收方等工作流程，切实降低廉政风险。二是认真开展市城区市政道路安全隐患排查整治工作，建立日常安全隐患排查机制，督促千润公司定期开展全面巡查工作，对排查出的安全隐患按照轻重缓急的原则，及时安排处理。共维修花岗石、方块砖等人行道面砖5000余</w:t>
      </w:r>
      <w:r>
        <w:rPr>
          <w:rFonts w:hint="eastAsia" w:ascii="仿宋_GB2312" w:eastAsia="仿宋_GB2312" w:cs="宋体"/>
          <w:sz w:val="32"/>
          <w:szCs w:val="32"/>
          <w:lang w:bidi="ar-SA"/>
        </w:rPr>
        <w:t>平方米</w:t>
      </w:r>
      <w:r>
        <w:rPr>
          <w:rFonts w:hint="eastAsia" w:ascii="仿宋_GB2312" w:eastAsia="仿宋_GB2312" w:cs="仿宋_GB2312"/>
          <w:sz w:val="32"/>
          <w:szCs w:val="32"/>
          <w:lang w:bidi="ar-SA"/>
        </w:rPr>
        <w:t>，</w:t>
      </w:r>
      <w:r>
        <w:rPr>
          <w:rFonts w:hint="eastAsia" w:ascii="仿宋_GB2312" w:eastAsia="仿宋_GB2312"/>
          <w:sz w:val="32"/>
          <w:szCs w:val="32"/>
        </w:rPr>
        <w:t>混凝土、沥青路面等车行道路面14000余</w:t>
      </w:r>
      <w:r>
        <w:rPr>
          <w:rFonts w:hint="eastAsia" w:ascii="仿宋_GB2312" w:eastAsia="仿宋_GB2312" w:cs="宋体"/>
          <w:sz w:val="32"/>
          <w:szCs w:val="32"/>
          <w:lang w:bidi="ar-SA"/>
        </w:rPr>
        <w:t>平方米</w:t>
      </w:r>
      <w:r>
        <w:rPr>
          <w:rFonts w:hint="eastAsia" w:ascii="仿宋_GB2312" w:eastAsia="仿宋_GB2312" w:cs="仿宋_GB2312"/>
          <w:sz w:val="32"/>
          <w:szCs w:val="32"/>
          <w:lang w:bidi="ar-SA"/>
        </w:rPr>
        <w:t>，更换路沿石</w:t>
      </w:r>
      <w:r>
        <w:rPr>
          <w:rFonts w:hint="eastAsia" w:ascii="仿宋_GB2312" w:eastAsia="仿宋_GB2312"/>
          <w:sz w:val="32"/>
          <w:szCs w:val="32"/>
        </w:rPr>
        <w:t>430余米，</w:t>
      </w:r>
      <w:r>
        <w:rPr>
          <w:rFonts w:hint="eastAsia" w:ascii="仿宋_GB2312" w:eastAsia="仿宋_GB2312" w:cs="仿宋_GB2312"/>
          <w:sz w:val="32"/>
          <w:szCs w:val="32"/>
          <w:lang w:bidi="ar-SA"/>
        </w:rPr>
        <w:t>沥青路面灌缝</w:t>
      </w:r>
      <w:r>
        <w:rPr>
          <w:rFonts w:hint="eastAsia" w:ascii="仿宋_GB2312" w:eastAsia="仿宋_GB2312"/>
          <w:sz w:val="32"/>
          <w:szCs w:val="32"/>
        </w:rPr>
        <w:t>约11046米，切实保障了城市道路安全使用，整洁完好。三是严格落实“三重一大”。严格执行3万以上维修项目报局党组审定的规定。</w:t>
      </w:r>
      <w:r>
        <w:rPr>
          <w:rFonts w:hint="eastAsia" w:ascii="仿宋_GB2312" w:eastAsia="仿宋_GB2312" w:cs="仿宋_GB2312"/>
          <w:sz w:val="32"/>
          <w:szCs w:val="32"/>
          <w:lang w:bidi="ar-SA"/>
        </w:rPr>
        <w:t>四是绿道整治、盲道迁改及市城区缓堵保畅工作。处理完成东坝、南河、万源、老城等片区增设管道、疏通清理管道、雨水井、雨篦子、开孔、喷漆等绿道问题106处；完成市城区</w:t>
      </w:r>
      <w:r>
        <w:rPr>
          <w:rFonts w:hint="eastAsia" w:ascii="仿宋_GB2312" w:eastAsia="仿宋_GB2312" w:cs="仿宋_GB2312"/>
          <w:sz w:val="32"/>
          <w:szCs w:val="32"/>
          <w:lang w:val="en-US" w:eastAsia="zh-CN" w:bidi="ar-SA"/>
        </w:rPr>
        <w:t>20余</w:t>
      </w:r>
      <w:r>
        <w:rPr>
          <w:rFonts w:hint="eastAsia" w:ascii="仿宋_GB2312" w:eastAsia="仿宋_GB2312" w:cs="仿宋_GB2312"/>
          <w:sz w:val="32"/>
          <w:szCs w:val="32"/>
          <w:lang w:bidi="ar-SA"/>
        </w:rPr>
        <w:t>处盲道迁改工作；逐步实施市城区缓堵保畅微整形项目，完成兴安路、海口路、苴国路等约10处绿化带拆除及路面恢复项目。</w:t>
      </w:r>
      <w:r>
        <w:rPr>
          <w:rFonts w:hint="eastAsia" w:ascii="仿宋_GB2312" w:eastAsia="仿宋_GB2312"/>
          <w:sz w:val="32"/>
          <w:szCs w:val="32"/>
        </w:rPr>
        <w:t>五是全面加强桥梁安全隐患排查工作，坚持“一桥一档”原则，建立城市桥梁电子台帐。对市主城区范围内的60座市政桥梁进行安全隐患专项排查，并对栏杆裂缝、人行道砖破损等20余处隐患开展整治方案研究、及时维护维修，保障了市城区道路桥梁安全运营。</w:t>
      </w:r>
    </w:p>
    <w:p>
      <w:pPr>
        <w:spacing w:line="576" w:lineRule="exact"/>
        <w:ind w:left="420" w:leftChars="200"/>
        <w:jc w:val="left"/>
        <w:rPr>
          <w:rFonts w:hint="eastAsia" w:ascii="楷体_GB2312" w:eastAsia="楷体_GB2312" w:cs="楷体_GB2312"/>
          <w:b/>
          <w:bCs/>
          <w:sz w:val="32"/>
          <w:szCs w:val="32"/>
          <w:lang w:bidi="ar-SA"/>
        </w:rPr>
      </w:pPr>
      <w:r>
        <w:rPr>
          <w:rFonts w:hint="eastAsia" w:ascii="楷体_GB2312" w:eastAsia="楷体_GB2312" w:cs="楷体_GB2312"/>
          <w:b/>
          <w:bCs/>
          <w:sz w:val="32"/>
          <w:szCs w:val="32"/>
          <w:lang w:val="en-US" w:eastAsia="zh-CN" w:bidi="ar-SA"/>
        </w:rPr>
        <w:t>3.</w:t>
      </w:r>
      <w:r>
        <w:rPr>
          <w:rFonts w:hint="eastAsia" w:ascii="楷体_GB2312" w:eastAsia="楷体_GB2312" w:cs="楷体_GB2312"/>
          <w:b/>
          <w:bCs/>
          <w:sz w:val="32"/>
          <w:szCs w:val="32"/>
          <w:lang w:bidi="ar-SA"/>
        </w:rPr>
        <w:t>城镇燃气安全管理工作。</w:t>
      </w:r>
    </w:p>
    <w:p>
      <w:pPr>
        <w:spacing w:line="576" w:lineRule="exact"/>
        <w:ind w:firstLine="640" w:firstLineChars="200"/>
        <w:rPr>
          <w:rFonts w:hint="eastAsia" w:ascii="仿宋_GB2312" w:eastAsia="仿宋_GB2312"/>
          <w:bCs/>
          <w:sz w:val="32"/>
          <w:szCs w:val="32"/>
        </w:rPr>
      </w:pPr>
      <w:r>
        <w:rPr>
          <w:rFonts w:hint="eastAsia" w:ascii="仿宋_GB2312" w:eastAsia="仿宋_GB2312"/>
          <w:bCs/>
          <w:sz w:val="32"/>
          <w:szCs w:val="32"/>
        </w:rPr>
        <w:t>一是规范城镇燃气经营管理工作。出台《关于进一步加强全市城镇燃气行业管理工作的通知》，强化规范企业服务管理标准化、服务措施制度化、服务行为规范化，促进城镇燃气行业有序健康发展。二是全面推进安全生产清单制管理、双重预防机制建设等工作。积极指导市天然气有限责任公司建立安全生产清单制，建立健全城镇燃气企业《企业安全生产主体责任清单》《重大安全风险管控清单》《安全生产岗位责任清单》《日常安全工作清单》。完成了市天然气公司创建省安全文化示范、安全生产标准化企业建设，强化企业的引领示范作用。大力推行安全生产清单制管理，抓好双重预防机制建设，强化工作保障。三是强化城镇燃气生产安全隐患排查整治工作。结合建设系统安全专项整治及危险化学品安全综合治理等工作，扎实开展城镇燃气生产安全隐患排查整治工作。按照市安委会办公室《关于印发&lt;广元市疫情防控期间安全生产暗访检查工作实施方案&gt;的通知》，制定了《疫情防控期间燃气安全生产暗访检查工作方案》。并开展了全市城镇燃气“百日安全”专项整治行动，下发了《关于加强五一节期间城镇燃气安全生产工作的通知》，转发了《住房和城乡建设部办公厅关于瓶装液化石油气安全专项治理典型问题的通报》。与市市场监管局共同开展全市液化石油气瓶和瓶装液化石油气安全专项整治工作，督促检查了4家城镇燃气企业2家液化石油企业，发出检查通报1份，有效规范了燃气经营行为，保障了燃气安全。四是强化落实岗位责任制，提升安全责任意识。强化企业安全工作能力，全市城镇燃气企业全部设置了安全生产管理机构，配备专职安全管理人员100余人，占全市燃气行业从业人员比例达10%以上。进一步树牢了企业安全生产意识，增强了燃气经营企业规范化意识、从业人员安全生产责任意识。</w:t>
      </w:r>
    </w:p>
    <w:p>
      <w:pPr>
        <w:spacing w:line="576" w:lineRule="exact"/>
        <w:ind w:firstLine="642" w:firstLineChars="200"/>
        <w:rPr>
          <w:rFonts w:hint="eastAsia" w:ascii="楷体_GB2312" w:eastAsia="楷体_GB2312" w:cs="楷体_GB2312"/>
          <w:b/>
          <w:sz w:val="32"/>
          <w:szCs w:val="32"/>
          <w:lang w:bidi="ar-SA"/>
        </w:rPr>
      </w:pPr>
      <w:r>
        <w:rPr>
          <w:rFonts w:hint="eastAsia" w:ascii="楷体_GB2312" w:eastAsia="楷体_GB2312" w:cs="楷体_GB2312"/>
          <w:b/>
          <w:sz w:val="32"/>
          <w:szCs w:val="32"/>
          <w:lang w:val="en-US" w:eastAsia="zh-CN" w:bidi="ar-SA"/>
        </w:rPr>
        <w:t>4.</w:t>
      </w:r>
      <w:r>
        <w:rPr>
          <w:rFonts w:hint="eastAsia" w:ascii="楷体_GB2312" w:eastAsia="楷体_GB2312" w:cs="楷体_GB2312"/>
          <w:b/>
          <w:sz w:val="32"/>
          <w:szCs w:val="32"/>
          <w:lang w:bidi="ar-SA"/>
        </w:rPr>
        <w:t>城市防汛抢险工作。</w:t>
      </w:r>
    </w:p>
    <w:p>
      <w:pPr>
        <w:spacing w:line="576" w:lineRule="exact"/>
        <w:ind w:left="0" w:firstLine="640" w:firstLineChars="200"/>
        <w:rPr>
          <w:rFonts w:hint="eastAsia" w:ascii="仿宋_GB2312" w:eastAsia="仿宋_GB2312"/>
          <w:sz w:val="32"/>
          <w:szCs w:val="32"/>
        </w:rPr>
      </w:pPr>
      <w:r>
        <w:rPr>
          <w:rFonts w:hint="eastAsia" w:ascii="仿宋_GB2312" w:eastAsia="仿宋_GB2312" w:cs="仿宋"/>
          <w:sz w:val="32"/>
          <w:szCs w:val="32"/>
          <w:lang w:bidi="ar-SA"/>
        </w:rPr>
        <w:t>一是</w:t>
      </w:r>
      <w:r>
        <w:rPr>
          <w:rFonts w:hint="eastAsia" w:ascii="仿宋_GB2312" w:eastAsia="仿宋_GB2312"/>
          <w:sz w:val="32"/>
          <w:szCs w:val="32"/>
        </w:rPr>
        <w:t>制定局防汛应急预案并开展了城市内涝应急救援演练。5月27日我中心在上西吴家浩下穿按计划开展了城市内涝应急救援演练，参加人员25人，防汛演习在广元电视台、广元晚报及我局网站播放刊登，取得了良好效果。二是</w:t>
      </w:r>
      <w:r>
        <w:rPr>
          <w:rFonts w:hint="eastAsia" w:ascii="仿宋_GB2312" w:eastAsia="仿宋_GB2312" w:cs="仿宋"/>
          <w:sz w:val="32"/>
          <w:szCs w:val="32"/>
          <w:lang w:bidi="ar-SA"/>
        </w:rPr>
        <w:t>全面</w:t>
      </w:r>
      <w:r>
        <w:rPr>
          <w:rFonts w:hint="eastAsia" w:ascii="仿宋_GB2312" w:eastAsia="仿宋_GB2312"/>
          <w:sz w:val="32"/>
          <w:szCs w:val="32"/>
        </w:rPr>
        <w:t>开展汛前隐患排查工作。认真贯彻落实“以防为主，防重于抢”的防汛方针，加大对城区防洪堤坝、排水管网、行洪沟渠、道路桥梁、公共交通、低洼危房、险工险段等的日常检查和巡查，发现问题及时整改。三是认真抓好汛前易涝点排查及物资人员储备。对市城区低洼、下穿通道等28处易涝点进行全面排查梳理，组建应急抢险队伍，配足防汛物资、器材，落实防汛值班值守。四是今年汛期我市城市排水防涝工作有序开展，暴雨期间对重要低洼易涝点安排专人值守，其它重要地点采取不间断巡查，最大程度降低了暴雨对城市造成的经济损失。全市排水防涝工作进展顺利，未出现重大灾害险情，我中心共开展排水防涝、道路清淤等应急抢险任务30余次，出动排水防涝应急抢险人员1200余人,车辆300余台，确保城市安全度汛。</w:t>
      </w:r>
    </w:p>
    <w:p>
      <w:pPr>
        <w:spacing w:line="576" w:lineRule="exact"/>
        <w:ind w:left="0" w:firstLine="642" w:firstLineChars="200"/>
        <w:rPr>
          <w:rFonts w:hint="eastAsia" w:ascii="楷体_GB2312" w:eastAsia="楷体_GB2312" w:cs="楷体_GB2312"/>
          <w:b/>
          <w:bCs/>
          <w:sz w:val="32"/>
          <w:szCs w:val="32"/>
          <w:lang w:bidi="ar-SA"/>
        </w:rPr>
      </w:pPr>
      <w:r>
        <w:rPr>
          <w:rFonts w:hint="eastAsia" w:ascii="楷体_GB2312" w:eastAsia="楷体_GB2312" w:cs="楷体_GB2312"/>
          <w:b/>
          <w:bCs/>
          <w:sz w:val="32"/>
          <w:szCs w:val="32"/>
          <w:lang w:val="en-US" w:eastAsia="zh-CN" w:bidi="ar-SA"/>
        </w:rPr>
        <w:t>5.</w:t>
      </w:r>
      <w:r>
        <w:rPr>
          <w:rFonts w:hint="eastAsia" w:ascii="楷体_GB2312" w:eastAsia="楷体_GB2312" w:cs="楷体_GB2312"/>
          <w:b/>
          <w:bCs/>
          <w:sz w:val="32"/>
          <w:szCs w:val="32"/>
          <w:lang w:bidi="ar-SA"/>
        </w:rPr>
        <w:t>城市道路挖掘许可管理工作。</w:t>
      </w:r>
    </w:p>
    <w:p>
      <w:pPr>
        <w:spacing w:line="576" w:lineRule="exact"/>
        <w:ind w:left="0" w:firstLine="640" w:firstLineChars="200"/>
        <w:rPr>
          <w:rFonts w:hint="eastAsia" w:ascii="仿宋_GB2312" w:eastAsia="仿宋_GB2312" w:cs="仿宋_GB2312"/>
          <w:sz w:val="32"/>
          <w:szCs w:val="32"/>
          <w:lang w:bidi="ar-SA"/>
        </w:rPr>
      </w:pPr>
      <w:r>
        <w:rPr>
          <w:rFonts w:hint="eastAsia" w:ascii="仿宋_GB2312" w:eastAsia="仿宋_GB2312" w:cs="仿宋_GB2312"/>
          <w:sz w:val="32"/>
          <w:szCs w:val="32"/>
          <w:lang w:bidi="ar-SA"/>
        </w:rPr>
        <w:t>一是优化城市道路挖掘许可办理流程，进入四川省政务一体化平台审批，大大缩短办理时限；二是加大违法道路挖掘行为查处，共查处违法挖掘行为3起；三是严格挖掘施工过程管理，制定统一规范的挖掘道路施工告知牌，规范了挖掘施工行为，确保了道路恢复质量。</w:t>
      </w:r>
    </w:p>
    <w:p>
      <w:pPr>
        <w:spacing w:line="576" w:lineRule="exact"/>
        <w:ind w:left="0" w:firstLine="642" w:firstLineChars="200"/>
        <w:rPr>
          <w:rFonts w:hint="eastAsia" w:ascii="楷体_GB2312" w:eastAsia="楷体_GB2312" w:cs="楷体_GB2312"/>
          <w:b/>
          <w:bCs/>
          <w:sz w:val="32"/>
          <w:szCs w:val="32"/>
          <w:lang w:bidi="ar-SA"/>
        </w:rPr>
      </w:pPr>
      <w:r>
        <w:rPr>
          <w:rFonts w:hint="eastAsia" w:ascii="楷体_GB2312" w:eastAsia="楷体_GB2312" w:cs="楷体_GB2312"/>
          <w:b/>
          <w:bCs/>
          <w:sz w:val="32"/>
          <w:szCs w:val="32"/>
          <w:lang w:val="en-US" w:eastAsia="zh-CN" w:bidi="ar-SA"/>
        </w:rPr>
        <w:t>6.</w:t>
      </w:r>
      <w:r>
        <w:rPr>
          <w:rFonts w:hint="eastAsia" w:ascii="楷体_GB2312" w:eastAsia="楷体_GB2312" w:cs="楷体_GB2312"/>
          <w:b/>
          <w:bCs/>
          <w:sz w:val="32"/>
          <w:szCs w:val="32"/>
          <w:lang w:bidi="ar-SA"/>
        </w:rPr>
        <w:t>信访维稳工作。</w:t>
      </w:r>
    </w:p>
    <w:p>
      <w:pPr>
        <w:pStyle w:val="6"/>
        <w:adjustRightInd w:val="0"/>
        <w:snapToGrid w:val="0"/>
        <w:spacing w:before="93" w:beforeLines="0" w:line="600" w:lineRule="exact"/>
        <w:ind w:left="0" w:firstLine="640" w:firstLineChars="200"/>
        <w:outlineLvl w:val="2"/>
        <w:rPr>
          <w:rFonts w:hint="eastAsia" w:ascii="仿宋" w:eastAsia="仿宋"/>
          <w:bCs/>
          <w:color w:val="000000"/>
          <w:sz w:val="32"/>
          <w:szCs w:val="32"/>
          <w:highlight w:val="yellow"/>
        </w:rPr>
      </w:pPr>
      <w:r>
        <w:rPr>
          <w:rFonts w:hint="eastAsia" w:ascii="仿宋_GB2312" w:eastAsia="仿宋_GB2312" w:cs="仿宋"/>
          <w:sz w:val="32"/>
          <w:szCs w:val="32"/>
          <w:lang w:bidi="ar-SA"/>
        </w:rPr>
        <w:t>安排专人负责处理市民服务热线12345信访件、市长信箱及网络舆情等工作。处理市长信箱、网络舆情、市民服务热线信访200余件，较好完成了上级交办的信访件和网络舆情，做好了维稳工作。</w:t>
      </w:r>
    </w:p>
    <w:p>
      <w:pPr>
        <w:pStyle w:val="4"/>
        <w:numPr>
          <w:ilvl w:val="0"/>
          <w:numId w:val="1"/>
        </w:numPr>
        <w:rPr>
          <w:rStyle w:val="17"/>
          <w:rFonts w:hint="eastAsia" w:ascii="黑体" w:eastAsia="黑体"/>
          <w:b/>
          <w:bCs/>
          <w:highlight w:val="none"/>
        </w:rPr>
      </w:pPr>
      <w:bookmarkStart w:id="28" w:name="_Toc15377200"/>
      <w:bookmarkStart w:id="29" w:name="_Toc25428"/>
      <w:bookmarkStart w:id="30" w:name="_Toc15396601"/>
      <w:bookmarkStart w:id="31" w:name="_Toc1174"/>
      <w:r>
        <w:rPr>
          <w:rFonts w:hint="eastAsia" w:ascii="黑体" w:eastAsia="黑体"/>
          <w:b w:val="0"/>
          <w:color w:val="000000"/>
          <w:highlight w:val="none"/>
        </w:rPr>
        <w:t>机</w:t>
      </w:r>
      <w:r>
        <w:rPr>
          <w:rStyle w:val="17"/>
          <w:rFonts w:hint="eastAsia" w:ascii="黑体" w:eastAsia="黑体"/>
          <w:b/>
          <w:bCs/>
          <w:highlight w:val="none"/>
        </w:rPr>
        <w:t>构设置</w:t>
      </w:r>
      <w:bookmarkEnd w:id="28"/>
      <w:bookmarkEnd w:id="29"/>
      <w:bookmarkEnd w:id="30"/>
      <w:bookmarkEnd w:id="31"/>
    </w:p>
    <w:p>
      <w:pPr>
        <w:spacing w:line="576" w:lineRule="exact"/>
        <w:ind w:firstLine="420" w:firstLineChars="200"/>
        <w:rPr>
          <w:rFonts w:hint="eastAsia" w:ascii="仿宋_GB2312" w:eastAsia="仿宋_GB2312" w:cs="仿宋_GB2312"/>
          <w:color w:val="auto"/>
          <w:kern w:val="0"/>
          <w:sz w:val="32"/>
          <w:szCs w:val="32"/>
          <w:lang w:bidi="ar-SA"/>
        </w:rPr>
      </w:pPr>
      <w:r>
        <w:rPr>
          <w:rFonts w:hint="eastAsia"/>
          <w:lang w:val="en-US" w:eastAsia="zh-CN"/>
        </w:rPr>
        <w:t xml:space="preserve"> </w:t>
      </w:r>
      <w:r>
        <w:rPr>
          <w:rFonts w:hint="eastAsia" w:ascii="仿宋_GB2312" w:eastAsia="仿宋_GB2312" w:cs="仿宋_GB2312"/>
          <w:lang w:val="en-US" w:eastAsia="zh-CN" w:bidi="ar-SA"/>
        </w:rPr>
        <w:t xml:space="preserve"> </w:t>
      </w:r>
      <w:r>
        <w:rPr>
          <w:rFonts w:hint="eastAsia" w:ascii="仿宋_GB2312" w:eastAsia="仿宋_GB2312" w:cs="仿宋_GB2312"/>
          <w:color w:val="auto"/>
          <w:kern w:val="0"/>
          <w:sz w:val="32"/>
          <w:szCs w:val="32"/>
          <w:lang w:bidi="ar-SA"/>
        </w:rPr>
        <w:t>广元市</w:t>
      </w:r>
      <w:r>
        <w:rPr>
          <w:rFonts w:hint="eastAsia" w:ascii="仿宋_GB2312" w:eastAsia="仿宋_GB2312" w:cs="仿宋_GB2312"/>
          <w:color w:val="auto"/>
          <w:kern w:val="0"/>
          <w:sz w:val="32"/>
          <w:szCs w:val="32"/>
          <w:lang w:eastAsia="zh-CN" w:bidi="ar-SA"/>
        </w:rPr>
        <w:t>城市建设事务中心</w:t>
      </w:r>
      <w:r>
        <w:rPr>
          <w:rFonts w:hint="eastAsia" w:ascii="仿宋_GB2312" w:eastAsia="仿宋_GB2312" w:cs="仿宋_GB2312"/>
          <w:color w:val="auto"/>
          <w:kern w:val="0"/>
          <w:sz w:val="32"/>
          <w:szCs w:val="32"/>
          <w:lang w:bidi="ar-SA"/>
        </w:rPr>
        <w:t>是</w:t>
      </w:r>
      <w:r>
        <w:rPr>
          <w:rFonts w:hint="eastAsia" w:ascii="仿宋_GB2312" w:eastAsia="仿宋_GB2312" w:cs="仿宋_GB2312"/>
          <w:color w:val="auto"/>
          <w:kern w:val="0"/>
          <w:sz w:val="32"/>
          <w:szCs w:val="32"/>
          <w:lang w:eastAsia="zh-CN" w:bidi="ar-SA"/>
        </w:rPr>
        <w:t>财政全额拨款</w:t>
      </w:r>
      <w:r>
        <w:rPr>
          <w:rFonts w:hint="eastAsia" w:ascii="仿宋_GB2312" w:eastAsia="仿宋_GB2312" w:cs="仿宋_GB2312"/>
          <w:color w:val="auto"/>
          <w:kern w:val="0"/>
          <w:sz w:val="32"/>
          <w:szCs w:val="32"/>
          <w:lang w:bidi="ar-SA"/>
        </w:rPr>
        <w:t>事业单位，无下属单位。截止</w:t>
      </w:r>
      <w:r>
        <w:rPr>
          <w:rFonts w:hint="eastAsia" w:ascii="仿宋_GB2312" w:eastAsia="仿宋_GB2312" w:cs="仿宋_GB2312"/>
          <w:color w:val="auto"/>
          <w:kern w:val="0"/>
          <w:sz w:val="32"/>
          <w:szCs w:val="32"/>
          <w:lang w:val="en-US" w:eastAsia="zh-CN" w:bidi="ar-SA"/>
        </w:rPr>
        <w:t>2020</w:t>
      </w:r>
      <w:r>
        <w:rPr>
          <w:rFonts w:hint="eastAsia" w:ascii="仿宋_GB2312" w:eastAsia="仿宋_GB2312" w:cs="仿宋_GB2312"/>
          <w:color w:val="auto"/>
          <w:kern w:val="0"/>
          <w:sz w:val="32"/>
          <w:szCs w:val="32"/>
          <w:lang w:bidi="ar-SA"/>
        </w:rPr>
        <w:t>年年末，中心编制人数</w:t>
      </w:r>
      <w:r>
        <w:rPr>
          <w:rFonts w:hint="eastAsia" w:ascii="仿宋_GB2312" w:eastAsia="仿宋_GB2312" w:cs="仿宋_GB2312"/>
          <w:color w:val="auto"/>
          <w:kern w:val="0"/>
          <w:sz w:val="32"/>
          <w:szCs w:val="32"/>
          <w:lang w:val="en-US" w:eastAsia="zh-CN" w:bidi="ar-SA"/>
        </w:rPr>
        <w:t>24</w:t>
      </w:r>
      <w:r>
        <w:rPr>
          <w:rFonts w:hint="eastAsia" w:ascii="仿宋_GB2312" w:eastAsia="仿宋_GB2312" w:cs="仿宋_GB2312"/>
          <w:color w:val="auto"/>
          <w:kern w:val="0"/>
          <w:sz w:val="32"/>
          <w:szCs w:val="32"/>
          <w:lang w:bidi="ar-SA"/>
        </w:rPr>
        <w:t>人，实际在职人数</w:t>
      </w:r>
      <w:r>
        <w:rPr>
          <w:rFonts w:hint="eastAsia" w:ascii="仿宋_GB2312" w:eastAsia="仿宋_GB2312" w:cs="仿宋_GB2312"/>
          <w:color w:val="auto"/>
          <w:kern w:val="0"/>
          <w:sz w:val="32"/>
          <w:szCs w:val="32"/>
          <w:lang w:val="en-US" w:eastAsia="zh-CN" w:bidi="ar-SA"/>
        </w:rPr>
        <w:t>22</w:t>
      </w:r>
      <w:r>
        <w:rPr>
          <w:rFonts w:hint="eastAsia" w:ascii="仿宋_GB2312" w:eastAsia="仿宋_GB2312" w:cs="仿宋_GB2312"/>
          <w:color w:val="auto"/>
          <w:kern w:val="0"/>
          <w:sz w:val="32"/>
          <w:szCs w:val="32"/>
          <w:lang w:bidi="ar-SA"/>
        </w:rPr>
        <w:t>人。</w:t>
      </w:r>
    </w:p>
    <w:p>
      <w:pPr>
        <w:ind w:firstLine="420" w:firstLineChars="200"/>
        <w:rPr>
          <w:rFonts w:hint="eastAsia" w:ascii="仿宋_GB2312" w:eastAsia="仿宋_GB2312" w:cs="仿宋_GB2312"/>
          <w:color w:val="auto"/>
          <w:lang w:val="en-US" w:eastAsia="zh-CN" w:bidi="ar-SA"/>
        </w:rPr>
      </w:pPr>
      <w:r>
        <w:rPr>
          <w:rFonts w:hint="eastAsia" w:ascii="仿宋_GB2312" w:eastAsia="仿宋_GB2312" w:cs="仿宋_GB2312"/>
          <w:lang w:val="en-US" w:eastAsia="zh-CN" w:bidi="ar-SA"/>
        </w:rPr>
        <w:t xml:space="preserve">  </w:t>
      </w:r>
      <w:r>
        <w:rPr>
          <w:rFonts w:hint="eastAsia" w:ascii="仿宋_GB2312" w:eastAsia="仿宋_GB2312" w:cs="仿宋_GB2312"/>
          <w:color w:val="auto"/>
          <w:kern w:val="0"/>
          <w:sz w:val="32"/>
          <w:szCs w:val="32"/>
          <w:lang w:bidi="ar-SA"/>
        </w:rPr>
        <w:t>广元市</w:t>
      </w:r>
      <w:r>
        <w:rPr>
          <w:rFonts w:hint="eastAsia" w:ascii="仿宋_GB2312" w:eastAsia="仿宋_GB2312" w:cs="仿宋_GB2312"/>
          <w:color w:val="auto"/>
          <w:kern w:val="0"/>
          <w:sz w:val="32"/>
          <w:szCs w:val="32"/>
          <w:lang w:eastAsia="zh-CN" w:bidi="ar-SA"/>
        </w:rPr>
        <w:t>城市建设事务中心</w:t>
      </w:r>
      <w:r>
        <w:rPr>
          <w:rFonts w:hint="eastAsia" w:ascii="仿宋_GB2312" w:eastAsia="仿宋_GB2312" w:cs="仿宋_GB2312"/>
          <w:color w:val="auto"/>
          <w:sz w:val="32"/>
          <w:szCs w:val="32"/>
          <w:lang w:bidi="ar-SA"/>
        </w:rPr>
        <w:t>内设</w:t>
      </w:r>
      <w:r>
        <w:rPr>
          <w:rFonts w:hint="eastAsia" w:ascii="仿宋_GB2312" w:eastAsia="仿宋_GB2312" w:cs="仿宋_GB2312"/>
          <w:color w:val="auto"/>
          <w:sz w:val="32"/>
          <w:szCs w:val="32"/>
          <w:lang w:eastAsia="zh-CN" w:bidi="ar-SA"/>
        </w:rPr>
        <w:t>科室</w:t>
      </w:r>
      <w:r>
        <w:rPr>
          <w:rFonts w:hint="eastAsia" w:ascii="仿宋_GB2312" w:eastAsia="仿宋_GB2312" w:cs="仿宋_GB2312"/>
          <w:color w:val="auto"/>
          <w:sz w:val="32"/>
          <w:szCs w:val="32"/>
          <w:lang w:bidi="ar-SA"/>
        </w:rPr>
        <w:t>分别为：</w:t>
      </w:r>
      <w:r>
        <w:rPr>
          <w:rFonts w:hint="eastAsia" w:ascii="仿宋_GB2312" w:eastAsia="仿宋_GB2312" w:cs="仿宋_GB2312"/>
          <w:color w:val="auto"/>
          <w:sz w:val="32"/>
          <w:szCs w:val="32"/>
          <w:lang w:eastAsia="zh-CN" w:bidi="ar-SA"/>
        </w:rPr>
        <w:t>办公室、市政维修管理办公室、财务室、工程管理办公室、市政维修监理办公室。</w:t>
      </w:r>
    </w:p>
    <w:p>
      <w:pPr>
        <w:rPr>
          <w:rFonts w:hint="default"/>
          <w:lang w:val="en-US" w:eastAsia="zh-CN"/>
        </w:rPr>
      </w:pPr>
    </w:p>
    <w:p>
      <w:pPr>
        <w:widowControl/>
        <w:jc w:val="left"/>
        <w:rPr>
          <w:rFonts w:hint="eastAsia" w:ascii="仿宋" w:eastAsia="仿宋"/>
          <w:color w:val="000000"/>
          <w:kern w:val="0"/>
          <w:sz w:val="32"/>
          <w:szCs w:val="32"/>
        </w:rPr>
      </w:pPr>
    </w:p>
    <w:p>
      <w:pPr>
        <w:pStyle w:val="2"/>
        <w:rPr>
          <w:rFonts w:hint="eastAsia" w:ascii="仿宋" w:eastAsia="仿宋"/>
          <w:color w:val="000000"/>
          <w:kern w:val="0"/>
          <w:sz w:val="32"/>
          <w:szCs w:val="32"/>
        </w:rPr>
      </w:pPr>
    </w:p>
    <w:p>
      <w:pPr>
        <w:pStyle w:val="3"/>
        <w:ind w:right="440"/>
        <w:jc w:val="both"/>
        <w:rPr>
          <w:rFonts w:hint="eastAsia" w:ascii="黑体" w:eastAsia="黑体"/>
          <w:b w:val="0"/>
          <w:color w:val="000000"/>
        </w:rPr>
      </w:pPr>
      <w:bookmarkStart w:id="32" w:name="_Toc14413"/>
      <w:bookmarkStart w:id="33" w:name="_Toc15377204"/>
      <w:bookmarkStart w:id="34" w:name="_Toc15396602"/>
      <w:bookmarkStart w:id="35" w:name="_Toc15285"/>
    </w:p>
    <w:p>
      <w:pPr>
        <w:pStyle w:val="3"/>
        <w:ind w:right="440"/>
        <w:jc w:val="center"/>
      </w:pPr>
      <w:r>
        <w:rPr>
          <w:rFonts w:hint="eastAsia" w:ascii="黑体" w:eastAsia="黑体"/>
          <w:b w:val="0"/>
          <w:color w:val="000000"/>
        </w:rPr>
        <w:t>第二部分</w:t>
      </w:r>
      <w:r>
        <w:rPr>
          <w:rFonts w:hint="eastAsia" w:ascii="黑体" w:eastAsia="黑体"/>
          <w:color w:val="000000"/>
        </w:rPr>
        <w:t xml:space="preserve"> </w:t>
      </w:r>
      <w:r>
        <w:rPr>
          <w:rStyle w:val="16"/>
          <w:rFonts w:hint="eastAsia" w:ascii="黑体" w:eastAsia="黑体"/>
          <w:b/>
          <w:bCs/>
        </w:rPr>
        <w:t>2020年度部门决算情况说明</w:t>
      </w:r>
      <w:bookmarkEnd w:id="32"/>
      <w:bookmarkEnd w:id="33"/>
      <w:bookmarkEnd w:id="34"/>
      <w:bookmarkEnd w:id="35"/>
    </w:p>
    <w:p>
      <w:pPr>
        <w:pStyle w:val="23"/>
        <w:numPr>
          <w:ilvl w:val="0"/>
          <w:numId w:val="2"/>
        </w:numPr>
        <w:spacing w:line="600" w:lineRule="exact"/>
        <w:ind w:firstLineChars="0"/>
        <w:outlineLvl w:val="1"/>
        <w:rPr>
          <w:rStyle w:val="17"/>
          <w:rFonts w:hint="eastAsia" w:ascii="黑体" w:eastAsia="黑体"/>
          <w:b w:val="0"/>
        </w:rPr>
      </w:pPr>
      <w:bookmarkStart w:id="36" w:name="_Toc15377205"/>
      <w:bookmarkStart w:id="37" w:name="_Toc25995"/>
      <w:bookmarkStart w:id="38" w:name="_Toc15396603"/>
      <w:bookmarkStart w:id="39" w:name="_Toc18114"/>
      <w:r>
        <w:rPr>
          <w:rFonts w:hint="eastAsia" w:ascii="黑体" w:eastAsia="黑体"/>
          <w:color w:val="000000"/>
          <w:sz w:val="32"/>
          <w:szCs w:val="32"/>
        </w:rPr>
        <w:t>收</w:t>
      </w:r>
      <w:r>
        <w:rPr>
          <w:rStyle w:val="17"/>
          <w:rFonts w:hint="eastAsia" w:ascii="黑体" w:eastAsia="黑体"/>
          <w:b w:val="0"/>
        </w:rPr>
        <w:t>入支出决算总体情况说明</w:t>
      </w:r>
      <w:bookmarkEnd w:id="36"/>
      <w:bookmarkEnd w:id="37"/>
      <w:bookmarkEnd w:id="38"/>
      <w:bookmarkEnd w:id="39"/>
    </w:p>
    <w:p>
      <w:pPr>
        <w:spacing w:line="600" w:lineRule="exact"/>
        <w:ind w:firstLine="640" w:firstLineChars="200"/>
        <w:rPr>
          <w:rFonts w:hint="eastAsia"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2020年度收、支总计</w:t>
      </w:r>
      <w:r>
        <w:rPr>
          <w:rFonts w:hint="eastAsia" w:ascii="仿宋_GB2312" w:eastAsia="仿宋_GB2312" w:cs="仿宋_GB2312"/>
          <w:color w:val="000000"/>
          <w:sz w:val="32"/>
          <w:szCs w:val="32"/>
          <w:lang w:val="en-US" w:eastAsia="zh-CN" w:bidi="ar-SA"/>
        </w:rPr>
        <w:t>800.05</w:t>
      </w:r>
      <w:r>
        <w:rPr>
          <w:rFonts w:hint="eastAsia" w:ascii="仿宋_GB2312" w:eastAsia="仿宋_GB2312" w:cs="仿宋_GB2312"/>
          <w:color w:val="000000"/>
          <w:sz w:val="32"/>
          <w:szCs w:val="32"/>
          <w:lang w:bidi="ar-SA"/>
        </w:rPr>
        <w:t>万元。与2019年相比，收、支总计各增加</w:t>
      </w:r>
      <w:r>
        <w:rPr>
          <w:rFonts w:hint="eastAsia" w:ascii="仿宋_GB2312" w:eastAsia="仿宋_GB2312" w:cs="仿宋_GB2312"/>
          <w:color w:val="000000"/>
          <w:sz w:val="32"/>
          <w:szCs w:val="32"/>
          <w:lang w:val="en-US" w:eastAsia="zh-CN" w:bidi="ar-SA"/>
        </w:rPr>
        <w:t>338.65</w:t>
      </w:r>
      <w:r>
        <w:rPr>
          <w:rFonts w:hint="eastAsia" w:ascii="仿宋_GB2312" w:eastAsia="仿宋_GB2312" w:cs="仿宋_GB2312"/>
          <w:color w:val="000000"/>
          <w:sz w:val="32"/>
          <w:szCs w:val="32"/>
          <w:lang w:bidi="ar-SA"/>
        </w:rPr>
        <w:t>万元，增长</w:t>
      </w:r>
      <w:r>
        <w:rPr>
          <w:rFonts w:hint="eastAsia" w:ascii="仿宋_GB2312" w:eastAsia="仿宋_GB2312" w:cs="仿宋_GB2312"/>
          <w:color w:val="000000"/>
          <w:sz w:val="32"/>
          <w:szCs w:val="32"/>
          <w:lang w:val="en-US" w:eastAsia="zh-CN" w:bidi="ar-SA"/>
        </w:rPr>
        <w:t>73.4</w:t>
      </w:r>
      <w:r>
        <w:rPr>
          <w:rFonts w:hint="eastAsia" w:ascii="仿宋_GB2312" w:eastAsia="仿宋_GB2312" w:cs="仿宋_GB2312"/>
          <w:color w:val="000000"/>
          <w:sz w:val="32"/>
          <w:szCs w:val="32"/>
          <w:lang w:bidi="ar-SA"/>
        </w:rPr>
        <w:t>%。主要变动原因是</w:t>
      </w:r>
      <w:r>
        <w:rPr>
          <w:rFonts w:hint="eastAsia" w:ascii="仿宋_GB2312" w:eastAsia="仿宋_GB2312" w:cs="仿宋_GB2312"/>
          <w:color w:val="000000"/>
          <w:sz w:val="32"/>
          <w:szCs w:val="32"/>
          <w:lang w:val="en-US" w:eastAsia="zh-CN" w:bidi="ar-SA"/>
        </w:rPr>
        <w:t>增加了2020年春节氛围营造资金1.88万元和地方还债资金400万元。</w:t>
      </w:r>
    </w:p>
    <w:p>
      <w:pPr>
        <w:pStyle w:val="2"/>
        <w:jc w:val="center"/>
        <w:rPr>
          <w:rFonts w:hint="default"/>
          <w:lang w:val="en-US" w:eastAsia="zh-CN"/>
        </w:rPr>
      </w:pPr>
      <w:r>
        <w:drawing>
          <wp:inline distT="0" distB="0" distL="114300" distR="114300">
            <wp:extent cx="4095750" cy="2762250"/>
            <wp:effectExtent l="0" t="0" r="0" b="0"/>
            <wp:docPr id="1" name="图片 1" descr="0.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1" name="图片 1" descr="0.png"/>
                    <pic:cNvPicPr>
                      <a:picLocks noChangeAspect="true"/>
                    </pic:cNvPicPr>
                  </pic:nvPicPr>
                  <pic:blipFill>
                    <a:blip r:embed="rId6"/>
                    <a:stretch>
                      <a:fillRect/>
                    </a:stretch>
                  </pic:blipFill>
                  <pic:spPr>
                    <a:xfrm>
                      <a:off x="0" y="0"/>
                      <a:ext cx="4095750" cy="2762250"/>
                    </a:xfrm>
                    <a:prstGeom prst="rect">
                      <a:avLst/>
                    </a:prstGeom>
                    <a:noFill/>
                    <a:ln>
                      <a:noFill/>
                    </a:ln>
                  </pic:spPr>
                </pic:pic>
              </a:graphicData>
            </a:graphic>
          </wp:inline>
        </w:drawing>
      </w:r>
    </w:p>
    <w:p>
      <w:pPr>
        <w:spacing w:line="600" w:lineRule="exact"/>
        <w:ind w:firstLine="1280" w:firstLineChars="400"/>
        <w:rPr>
          <w:rFonts w:hint="eastAsia" w:ascii="仿宋" w:eastAsia="仿宋"/>
          <w:color w:val="000000"/>
          <w:sz w:val="32"/>
          <w:szCs w:val="32"/>
        </w:rPr>
      </w:pPr>
      <w:r>
        <w:rPr>
          <w:rFonts w:hint="eastAsia" w:ascii="仿宋" w:eastAsia="仿宋"/>
          <w:color w:val="000000"/>
          <w:sz w:val="32"/>
          <w:szCs w:val="32"/>
        </w:rPr>
        <w:t>（图1：收、支决算总计变动情况图）</w:t>
      </w:r>
    </w:p>
    <w:p>
      <w:pPr>
        <w:pStyle w:val="23"/>
        <w:numPr>
          <w:ilvl w:val="0"/>
          <w:numId w:val="2"/>
        </w:numPr>
        <w:spacing w:line="600" w:lineRule="exact"/>
        <w:ind w:firstLineChars="0"/>
        <w:outlineLvl w:val="1"/>
        <w:rPr>
          <w:rStyle w:val="17"/>
          <w:rFonts w:hint="eastAsia" w:ascii="黑体" w:eastAsia="黑体"/>
          <w:b w:val="0"/>
        </w:rPr>
      </w:pPr>
      <w:bookmarkStart w:id="40" w:name="_Toc15377206"/>
      <w:bookmarkStart w:id="41" w:name="_Toc20108"/>
      <w:bookmarkStart w:id="42" w:name="_Toc15746"/>
      <w:bookmarkStart w:id="43" w:name="_Toc15396604"/>
      <w:r>
        <w:rPr>
          <w:rFonts w:hint="eastAsia" w:ascii="黑体" w:eastAsia="黑体"/>
          <w:color w:val="000000"/>
          <w:sz w:val="32"/>
          <w:szCs w:val="32"/>
        </w:rPr>
        <w:t>收</w:t>
      </w:r>
      <w:r>
        <w:rPr>
          <w:rStyle w:val="17"/>
          <w:rFonts w:hint="eastAsia" w:ascii="黑体" w:eastAsia="黑体"/>
          <w:b w:val="0"/>
        </w:rPr>
        <w:t>入决算情况说明</w:t>
      </w:r>
      <w:bookmarkEnd w:id="40"/>
      <w:bookmarkEnd w:id="41"/>
      <w:bookmarkEnd w:id="42"/>
      <w:bookmarkEnd w:id="43"/>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_GB2312" w:eastAsia="仿宋_GB2312" w:cs="仿宋_GB2312"/>
          <w:color w:val="000000"/>
          <w:sz w:val="32"/>
          <w:szCs w:val="32"/>
          <w:lang w:bidi="ar-SA"/>
        </w:rPr>
      </w:pPr>
      <w:bookmarkStart w:id="44" w:name="_Toc22037"/>
      <w:bookmarkStart w:id="45" w:name="_Toc8620"/>
      <w:r>
        <w:rPr>
          <w:rFonts w:hint="eastAsia" w:ascii="仿宋_GB2312" w:eastAsia="仿宋_GB2312" w:cs="仿宋_GB2312"/>
          <w:color w:val="000000"/>
          <w:sz w:val="32"/>
          <w:szCs w:val="32"/>
          <w:lang w:bidi="ar-SA"/>
        </w:rPr>
        <w:t>2020年本年收入合计</w:t>
      </w:r>
      <w:r>
        <w:rPr>
          <w:rFonts w:hint="eastAsia" w:ascii="仿宋_GB2312" w:eastAsia="仿宋_GB2312" w:cs="仿宋_GB2312"/>
          <w:color w:val="000000"/>
          <w:sz w:val="32"/>
          <w:szCs w:val="32"/>
          <w:lang w:val="en-US" w:eastAsia="zh-CN" w:bidi="ar-SA"/>
        </w:rPr>
        <w:t>719.14</w:t>
      </w:r>
      <w:r>
        <w:rPr>
          <w:rFonts w:hint="eastAsia" w:ascii="仿宋_GB2312" w:eastAsia="仿宋_GB2312" w:cs="仿宋_GB2312"/>
          <w:color w:val="000000"/>
          <w:sz w:val="32"/>
          <w:szCs w:val="32"/>
          <w:lang w:bidi="ar-SA"/>
        </w:rPr>
        <w:t>万元，其中：一般公共预算财政拨款收入</w:t>
      </w:r>
      <w:r>
        <w:rPr>
          <w:rFonts w:hint="eastAsia" w:ascii="仿宋_GB2312" w:eastAsia="仿宋_GB2312" w:cs="仿宋_GB2312"/>
          <w:color w:val="000000"/>
          <w:sz w:val="32"/>
          <w:szCs w:val="32"/>
          <w:lang w:val="en-US" w:eastAsia="zh-CN" w:bidi="ar-SA"/>
        </w:rPr>
        <w:t>719.14</w:t>
      </w:r>
      <w:r>
        <w:rPr>
          <w:rFonts w:hint="eastAsia" w:ascii="仿宋_GB2312" w:eastAsia="仿宋_GB2312" w:cs="仿宋_GB2312"/>
          <w:color w:val="000000"/>
          <w:sz w:val="32"/>
          <w:szCs w:val="32"/>
          <w:lang w:bidi="ar-SA"/>
        </w:rPr>
        <w:t>万元，占</w:t>
      </w:r>
      <w:r>
        <w:rPr>
          <w:rFonts w:hint="eastAsia" w:ascii="仿宋_GB2312" w:eastAsia="仿宋_GB2312" w:cs="仿宋_GB2312"/>
          <w:color w:val="000000"/>
          <w:sz w:val="32"/>
          <w:szCs w:val="32"/>
          <w:lang w:val="en-US" w:eastAsia="zh-CN" w:bidi="ar-SA"/>
        </w:rPr>
        <w:t>100</w:t>
      </w:r>
      <w:r>
        <w:rPr>
          <w:rFonts w:hint="eastAsia" w:ascii="仿宋_GB2312" w:eastAsia="仿宋_GB2312" w:cs="仿宋_GB2312"/>
          <w:color w:val="000000"/>
          <w:sz w:val="32"/>
          <w:szCs w:val="32"/>
          <w:lang w:bidi="ar-SA"/>
        </w:rPr>
        <w:t>%。</w:t>
      </w:r>
      <w:bookmarkEnd w:id="44"/>
      <w:bookmarkEnd w:id="45"/>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center"/>
        <w:textAlignment w:val="auto"/>
        <w:outlineLvl w:val="9"/>
        <w:rPr>
          <w:rFonts w:hint="eastAsia" w:ascii="仿宋" w:eastAsia="仿宋"/>
          <w:color w:val="000000"/>
          <w:sz w:val="32"/>
          <w:szCs w:val="32"/>
        </w:rPr>
      </w:pPr>
      <w:r>
        <w:drawing>
          <wp:inline distT="0" distB="0" distL="114300" distR="114300">
            <wp:extent cx="4133850" cy="2914650"/>
            <wp:effectExtent l="0" t="0" r="0" b="0"/>
            <wp:docPr id="2" name="图片 2" descr="1.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2" name="图片 2" descr="1.png"/>
                    <pic:cNvPicPr>
                      <a:picLocks noChangeAspect="true"/>
                    </pic:cNvPicPr>
                  </pic:nvPicPr>
                  <pic:blipFill>
                    <a:blip r:embed="rId7"/>
                    <a:stretch>
                      <a:fillRect/>
                    </a:stretch>
                  </pic:blipFill>
                  <pic:spPr>
                    <a:xfrm>
                      <a:off x="0" y="0"/>
                      <a:ext cx="4133850" cy="29146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FF0000"/>
          <w:sz w:val="32"/>
          <w:szCs w:val="32"/>
        </w:rPr>
      </w:pPr>
      <w:r>
        <w:rPr>
          <w:rFonts w:hint="eastAsia" w:ascii="仿宋" w:eastAsia="仿宋"/>
          <w:color w:val="000000"/>
          <w:sz w:val="32"/>
          <w:szCs w:val="32"/>
        </w:rPr>
        <w:t>（图2：收入决算结构图）</w:t>
      </w:r>
    </w:p>
    <w:p>
      <w:pPr>
        <w:pStyle w:val="23"/>
        <w:numPr>
          <w:ilvl w:val="0"/>
          <w:numId w:val="2"/>
        </w:numPr>
        <w:spacing w:line="600" w:lineRule="exact"/>
        <w:ind w:firstLineChars="0"/>
        <w:outlineLvl w:val="1"/>
        <w:rPr>
          <w:rStyle w:val="17"/>
          <w:rFonts w:hint="eastAsia" w:ascii="黑体" w:eastAsia="黑体"/>
          <w:b w:val="0"/>
        </w:rPr>
      </w:pPr>
      <w:bookmarkStart w:id="46" w:name="_Toc15396605"/>
      <w:bookmarkStart w:id="47" w:name="_Toc30935"/>
      <w:bookmarkStart w:id="48" w:name="_Toc11348"/>
      <w:bookmarkStart w:id="49" w:name="_Toc15377207"/>
      <w:r>
        <w:rPr>
          <w:rFonts w:hint="eastAsia" w:ascii="黑体" w:eastAsia="黑体"/>
          <w:color w:val="000000"/>
          <w:sz w:val="32"/>
          <w:szCs w:val="32"/>
        </w:rPr>
        <w:t>支</w:t>
      </w:r>
      <w:r>
        <w:rPr>
          <w:rStyle w:val="17"/>
          <w:rFonts w:hint="eastAsia" w:ascii="黑体" w:eastAsia="黑体"/>
          <w:b w:val="0"/>
        </w:rPr>
        <w:t>出决算情况说明</w:t>
      </w:r>
      <w:bookmarkEnd w:id="46"/>
      <w:bookmarkEnd w:id="47"/>
      <w:bookmarkEnd w:id="48"/>
      <w:bookmarkEnd w:id="49"/>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_GB2312" w:eastAsia="仿宋_GB2312" w:cs="仿宋_GB2312"/>
          <w:color w:val="000000"/>
          <w:sz w:val="32"/>
          <w:szCs w:val="32"/>
          <w:lang w:bidi="ar-SA"/>
        </w:rPr>
      </w:pPr>
      <w:bookmarkStart w:id="50" w:name="_Toc20711"/>
      <w:bookmarkStart w:id="51" w:name="_Toc18017"/>
      <w:r>
        <w:rPr>
          <w:rFonts w:hint="eastAsia" w:ascii="仿宋_GB2312" w:eastAsia="仿宋_GB2312" w:cs="仿宋_GB2312"/>
          <w:color w:val="000000"/>
          <w:sz w:val="32"/>
          <w:szCs w:val="32"/>
          <w:lang w:bidi="ar-SA"/>
        </w:rPr>
        <w:t>2020年本年支出合计</w:t>
      </w:r>
      <w:r>
        <w:rPr>
          <w:rFonts w:hint="eastAsia" w:ascii="仿宋_GB2312" w:eastAsia="仿宋_GB2312" w:cs="仿宋_GB2312"/>
          <w:color w:val="000000"/>
          <w:sz w:val="32"/>
          <w:szCs w:val="32"/>
          <w:lang w:val="en-US" w:eastAsia="zh-CN" w:bidi="ar-SA"/>
        </w:rPr>
        <w:t>800.05</w:t>
      </w:r>
      <w:r>
        <w:rPr>
          <w:rFonts w:hint="eastAsia" w:ascii="仿宋_GB2312" w:eastAsia="仿宋_GB2312" w:cs="仿宋_GB2312"/>
          <w:color w:val="000000"/>
          <w:sz w:val="32"/>
          <w:szCs w:val="32"/>
          <w:lang w:bidi="ar-SA"/>
        </w:rPr>
        <w:t>万元，其中：基本支出</w:t>
      </w:r>
      <w:r>
        <w:rPr>
          <w:rFonts w:hint="eastAsia" w:ascii="仿宋_GB2312" w:eastAsia="仿宋_GB2312" w:cs="仿宋_GB2312"/>
          <w:color w:val="000000"/>
          <w:sz w:val="32"/>
          <w:szCs w:val="32"/>
          <w:lang w:val="en-US" w:eastAsia="zh-CN" w:bidi="ar-SA"/>
        </w:rPr>
        <w:t>398.17</w:t>
      </w:r>
      <w:r>
        <w:rPr>
          <w:rFonts w:hint="eastAsia" w:ascii="仿宋_GB2312" w:eastAsia="仿宋_GB2312" w:cs="仿宋_GB2312"/>
          <w:color w:val="000000"/>
          <w:sz w:val="32"/>
          <w:szCs w:val="32"/>
          <w:lang w:bidi="ar-SA"/>
        </w:rPr>
        <w:t>万元，占</w:t>
      </w:r>
      <w:r>
        <w:rPr>
          <w:rFonts w:hint="eastAsia" w:ascii="仿宋_GB2312" w:eastAsia="仿宋_GB2312" w:cs="仿宋_GB2312"/>
          <w:color w:val="000000"/>
          <w:sz w:val="32"/>
          <w:szCs w:val="32"/>
          <w:lang w:val="en-US" w:eastAsia="zh-CN" w:bidi="ar-SA"/>
        </w:rPr>
        <w:t>49.77</w:t>
      </w:r>
      <w:r>
        <w:rPr>
          <w:rFonts w:hint="eastAsia" w:ascii="仿宋_GB2312" w:eastAsia="仿宋_GB2312" w:cs="仿宋_GB2312"/>
          <w:color w:val="000000"/>
          <w:sz w:val="32"/>
          <w:szCs w:val="32"/>
          <w:lang w:bidi="ar-SA"/>
        </w:rPr>
        <w:t>%；项目支出</w:t>
      </w:r>
      <w:r>
        <w:rPr>
          <w:rFonts w:hint="eastAsia" w:ascii="仿宋_GB2312" w:eastAsia="仿宋_GB2312" w:cs="仿宋_GB2312"/>
          <w:color w:val="000000"/>
          <w:sz w:val="32"/>
          <w:szCs w:val="32"/>
          <w:lang w:val="en-US" w:eastAsia="zh-CN" w:bidi="ar-SA"/>
        </w:rPr>
        <w:t>401.88</w:t>
      </w:r>
      <w:r>
        <w:rPr>
          <w:rFonts w:hint="eastAsia" w:ascii="仿宋_GB2312" w:eastAsia="仿宋_GB2312" w:cs="仿宋_GB2312"/>
          <w:color w:val="000000"/>
          <w:sz w:val="32"/>
          <w:szCs w:val="32"/>
          <w:lang w:bidi="ar-SA"/>
        </w:rPr>
        <w:t>万元，占</w:t>
      </w:r>
      <w:r>
        <w:rPr>
          <w:rFonts w:hint="eastAsia" w:ascii="仿宋_GB2312" w:eastAsia="仿宋_GB2312" w:cs="仿宋_GB2312"/>
          <w:color w:val="000000"/>
          <w:sz w:val="32"/>
          <w:szCs w:val="32"/>
          <w:lang w:val="en-US" w:eastAsia="zh-CN" w:bidi="ar-SA"/>
        </w:rPr>
        <w:t>50.23</w:t>
      </w:r>
      <w:r>
        <w:rPr>
          <w:rFonts w:hint="eastAsia" w:ascii="仿宋_GB2312" w:eastAsia="仿宋_GB2312" w:cs="仿宋_GB2312"/>
          <w:color w:val="000000"/>
          <w:sz w:val="32"/>
          <w:szCs w:val="32"/>
          <w:lang w:bidi="ar-SA"/>
        </w:rPr>
        <w:t>%。</w:t>
      </w:r>
      <w:bookmarkEnd w:id="50"/>
      <w:bookmarkEnd w:id="51"/>
    </w:p>
    <w:p>
      <w:pPr>
        <w:keepNext w:val="0"/>
        <w:keepLines w:val="0"/>
        <w:pageBreakBefore w:val="0"/>
        <w:widowControl w:val="0"/>
        <w:kinsoku/>
        <w:wordWrap/>
        <w:overflowPunct/>
        <w:topLinePunct w:val="0"/>
        <w:autoSpaceDE/>
        <w:autoSpaceDN/>
        <w:bidi w:val="0"/>
        <w:adjustRightInd/>
        <w:snapToGrid/>
        <w:spacing w:line="240" w:lineRule="auto"/>
        <w:ind w:firstLine="640"/>
        <w:jc w:val="center"/>
        <w:textAlignment w:val="auto"/>
        <w:rPr>
          <w:rFonts w:hint="eastAsia" w:ascii="仿宋" w:eastAsia="仿宋"/>
          <w:color w:val="000000"/>
          <w:sz w:val="32"/>
          <w:szCs w:val="32"/>
          <w:shd w:val="pct10" w:color="auto" w:fill="FFFFFF"/>
        </w:rPr>
      </w:pPr>
      <w:r>
        <w:drawing>
          <wp:inline distT="0" distB="0" distL="114300" distR="114300">
            <wp:extent cx="4095750" cy="2990850"/>
            <wp:effectExtent l="0" t="0" r="0" b="0"/>
            <wp:docPr id="3" name="图片 3" descr="2.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3" name="图片 3" descr="2.png"/>
                    <pic:cNvPicPr>
                      <a:picLocks noChangeAspect="true"/>
                    </pic:cNvPicPr>
                  </pic:nvPicPr>
                  <pic:blipFill>
                    <a:blip r:embed="rId8"/>
                    <a:stretch>
                      <a:fillRect/>
                    </a:stretch>
                  </pic:blipFill>
                  <pic:spPr>
                    <a:xfrm>
                      <a:off x="0" y="0"/>
                      <a:ext cx="4095750" cy="29908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_GB2312" w:eastAsia="仿宋_GB2312"/>
          <w:color w:val="FF0000"/>
          <w:sz w:val="32"/>
          <w:szCs w:val="32"/>
          <w:lang w:val="en-US" w:eastAsia="zh-CN"/>
        </w:rPr>
      </w:pPr>
      <w:r>
        <w:rPr>
          <w:rFonts w:hint="eastAsia" w:ascii="仿宋" w:eastAsia="仿宋"/>
          <w:color w:val="000000"/>
          <w:sz w:val="32"/>
          <w:szCs w:val="32"/>
        </w:rPr>
        <w:t>（图3：支出决算结构图）</w:t>
      </w:r>
    </w:p>
    <w:p>
      <w:pPr>
        <w:spacing w:line="600" w:lineRule="exact"/>
        <w:ind w:firstLine="640" w:firstLineChars="200"/>
        <w:outlineLvl w:val="1"/>
        <w:rPr>
          <w:rStyle w:val="17"/>
          <w:rFonts w:hint="eastAsia" w:ascii="黑体" w:eastAsia="黑体"/>
          <w:b w:val="0"/>
        </w:rPr>
      </w:pPr>
      <w:bookmarkStart w:id="52" w:name="_Toc15377208"/>
      <w:bookmarkStart w:id="53" w:name="_Toc15396606"/>
      <w:bookmarkStart w:id="54" w:name="_Toc27596"/>
      <w:bookmarkStart w:id="55" w:name="_Toc624"/>
      <w:r>
        <w:rPr>
          <w:rFonts w:hint="eastAsia" w:ascii="黑体" w:eastAsia="黑体"/>
          <w:color w:val="000000"/>
          <w:sz w:val="32"/>
          <w:szCs w:val="32"/>
        </w:rPr>
        <w:t>四、财</w:t>
      </w:r>
      <w:r>
        <w:rPr>
          <w:rStyle w:val="17"/>
          <w:rFonts w:hint="eastAsia" w:ascii="黑体" w:eastAsia="黑体"/>
          <w:b w:val="0"/>
        </w:rPr>
        <w:t>政拨款收入支出决算总体情况说明</w:t>
      </w:r>
      <w:bookmarkEnd w:id="52"/>
      <w:bookmarkEnd w:id="53"/>
      <w:bookmarkEnd w:id="54"/>
      <w:bookmarkEnd w:id="55"/>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仿宋_GB2312"/>
          <w:color w:val="000000"/>
          <w:sz w:val="32"/>
          <w:szCs w:val="32"/>
          <w:lang w:val="en-US" w:eastAsia="zh-CN" w:bidi="ar-SA"/>
        </w:rPr>
      </w:pPr>
      <w:r>
        <w:rPr>
          <w:rFonts w:hint="eastAsia" w:ascii="仿宋_GB2312" w:eastAsia="仿宋_GB2312" w:cs="仿宋_GB2312"/>
          <w:color w:val="000000"/>
          <w:sz w:val="32"/>
          <w:szCs w:val="32"/>
          <w:lang w:bidi="ar-SA"/>
        </w:rPr>
        <w:t>2020年财政拨款收、支总计</w:t>
      </w:r>
      <w:r>
        <w:rPr>
          <w:rFonts w:hint="eastAsia" w:ascii="仿宋_GB2312" w:eastAsia="仿宋_GB2312" w:cs="仿宋_GB2312"/>
          <w:color w:val="000000"/>
          <w:sz w:val="32"/>
          <w:szCs w:val="32"/>
          <w:lang w:val="en-US" w:eastAsia="zh-CN" w:bidi="ar-SA"/>
        </w:rPr>
        <w:t>800.05</w:t>
      </w:r>
      <w:r>
        <w:rPr>
          <w:rFonts w:hint="eastAsia" w:ascii="仿宋_GB2312" w:eastAsia="仿宋_GB2312" w:cs="仿宋_GB2312"/>
          <w:color w:val="000000"/>
          <w:sz w:val="32"/>
          <w:szCs w:val="32"/>
          <w:lang w:bidi="ar-SA"/>
        </w:rPr>
        <w:t>万元。与2019年相比，财政拨款收、支总计各增加</w:t>
      </w:r>
      <w:r>
        <w:rPr>
          <w:rFonts w:hint="eastAsia" w:ascii="仿宋_GB2312" w:eastAsia="仿宋_GB2312" w:cs="仿宋_GB2312"/>
          <w:color w:val="000000"/>
          <w:sz w:val="32"/>
          <w:szCs w:val="32"/>
          <w:lang w:val="en-US" w:eastAsia="zh-CN" w:bidi="ar-SA"/>
        </w:rPr>
        <w:t>388.65</w:t>
      </w:r>
      <w:r>
        <w:rPr>
          <w:rFonts w:hint="eastAsia" w:ascii="仿宋_GB2312" w:eastAsia="仿宋_GB2312" w:cs="仿宋_GB2312"/>
          <w:color w:val="000000"/>
          <w:sz w:val="32"/>
          <w:szCs w:val="32"/>
          <w:lang w:bidi="ar-SA"/>
        </w:rPr>
        <w:t>万元，增长</w:t>
      </w:r>
      <w:r>
        <w:rPr>
          <w:rFonts w:hint="eastAsia" w:ascii="仿宋_GB2312" w:eastAsia="仿宋_GB2312" w:cs="仿宋_GB2312"/>
          <w:color w:val="000000"/>
          <w:sz w:val="32"/>
          <w:szCs w:val="32"/>
          <w:lang w:val="en-US" w:eastAsia="zh-CN" w:bidi="ar-SA"/>
        </w:rPr>
        <w:t>73.4</w:t>
      </w:r>
      <w:r>
        <w:rPr>
          <w:rFonts w:hint="eastAsia" w:ascii="仿宋_GB2312" w:eastAsia="仿宋_GB2312" w:cs="仿宋_GB2312"/>
          <w:color w:val="000000"/>
          <w:sz w:val="32"/>
          <w:szCs w:val="32"/>
          <w:lang w:bidi="ar-SA"/>
        </w:rPr>
        <w:t>%。主要变动原因是</w:t>
      </w:r>
      <w:r>
        <w:rPr>
          <w:rFonts w:hint="eastAsia" w:ascii="仿宋_GB2312" w:eastAsia="仿宋_GB2312" w:cs="仿宋_GB2312"/>
          <w:color w:val="000000"/>
          <w:sz w:val="32"/>
          <w:szCs w:val="32"/>
          <w:lang w:val="en-US" w:eastAsia="zh-CN" w:bidi="ar-SA"/>
        </w:rPr>
        <w:t>增加了2020年春节氛围营造资金1.88万元和地方还债资金400万元。</w:t>
      </w:r>
    </w:p>
    <w:p>
      <w:pPr>
        <w:keepNext w:val="0"/>
        <w:keepLines w:val="0"/>
        <w:pageBreakBefore w:val="0"/>
        <w:widowControl w:val="0"/>
        <w:kinsoku/>
        <w:wordWrap/>
        <w:overflowPunct/>
        <w:topLinePunct w:val="0"/>
        <w:autoSpaceDE/>
        <w:autoSpaceDN/>
        <w:bidi w:val="0"/>
        <w:adjustRightInd/>
        <w:snapToGrid/>
        <w:spacing w:line="240" w:lineRule="auto"/>
        <w:jc w:val="center"/>
        <w:textAlignment w:val="auto"/>
      </w:pPr>
      <w:r>
        <w:drawing>
          <wp:inline distT="0" distB="0" distL="114300" distR="114300">
            <wp:extent cx="4114800" cy="3086100"/>
            <wp:effectExtent l="0" t="0" r="0" b="0"/>
            <wp:docPr id="4" name="图片 4" descr="3.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4" name="图片 4" descr="3.png"/>
                    <pic:cNvPicPr>
                      <a:picLocks noChangeAspect="true"/>
                    </pic:cNvPicPr>
                  </pic:nvPicPr>
                  <pic:blipFill>
                    <a:blip r:embed="rId9"/>
                    <a:stretch>
                      <a:fillRect/>
                    </a:stretch>
                  </pic:blipFill>
                  <pic:spPr>
                    <a:xfrm>
                      <a:off x="0" y="0"/>
                      <a:ext cx="4114800" cy="308610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eastAsia="仿宋"/>
          <w:b/>
          <w:color w:val="00B050"/>
          <w:sz w:val="32"/>
          <w:szCs w:val="32"/>
        </w:rPr>
      </w:pPr>
      <w:r>
        <w:rPr>
          <w:rFonts w:hint="eastAsia" w:ascii="仿宋" w:eastAsia="仿宋"/>
          <w:color w:val="000000"/>
          <w:sz w:val="32"/>
          <w:szCs w:val="32"/>
        </w:rPr>
        <w:t>（图4：财政拨款收、支决算总计变动情况）</w:t>
      </w:r>
    </w:p>
    <w:p>
      <w:pPr>
        <w:spacing w:line="600" w:lineRule="exact"/>
        <w:ind w:firstLine="640" w:firstLineChars="200"/>
        <w:outlineLvl w:val="1"/>
        <w:rPr>
          <w:rStyle w:val="17"/>
          <w:rFonts w:hint="eastAsia" w:ascii="黑体" w:eastAsia="黑体"/>
          <w:b w:val="0"/>
        </w:rPr>
      </w:pPr>
      <w:bookmarkStart w:id="56" w:name="_Toc15396607"/>
      <w:bookmarkStart w:id="57" w:name="_Toc15377209"/>
      <w:bookmarkStart w:id="58" w:name="_Toc771"/>
      <w:bookmarkStart w:id="59" w:name="_Toc2390"/>
      <w:r>
        <w:rPr>
          <w:rFonts w:hint="eastAsia" w:ascii="黑体" w:eastAsia="黑体"/>
          <w:color w:val="000000"/>
          <w:sz w:val="32"/>
          <w:szCs w:val="32"/>
        </w:rPr>
        <w:t>五、</w:t>
      </w:r>
      <w:r>
        <w:rPr>
          <w:rFonts w:hint="eastAsia" w:ascii="黑体" w:eastAsia="黑体"/>
          <w:b/>
          <w:color w:val="000000"/>
          <w:sz w:val="32"/>
          <w:szCs w:val="32"/>
        </w:rPr>
        <w:t>一</w:t>
      </w:r>
      <w:r>
        <w:rPr>
          <w:rStyle w:val="17"/>
          <w:rFonts w:hint="eastAsia" w:ascii="黑体" w:eastAsia="黑体"/>
          <w:b w:val="0"/>
        </w:rPr>
        <w:t>般公共预算财政拨款支出决算情况说明</w:t>
      </w:r>
      <w:bookmarkEnd w:id="56"/>
      <w:bookmarkEnd w:id="57"/>
      <w:bookmarkEnd w:id="58"/>
      <w:bookmarkEnd w:id="59"/>
    </w:p>
    <w:p>
      <w:pPr>
        <w:spacing w:line="600" w:lineRule="exact"/>
        <w:ind w:firstLine="642" w:firstLineChars="200"/>
        <w:outlineLvl w:val="2"/>
        <w:rPr>
          <w:rFonts w:hint="eastAsia" w:ascii="仿宋" w:eastAsia="仿宋"/>
          <w:b/>
          <w:color w:val="000000"/>
          <w:sz w:val="32"/>
          <w:szCs w:val="32"/>
        </w:rPr>
      </w:pPr>
      <w:bookmarkStart w:id="60" w:name="_Toc15377210"/>
      <w:r>
        <w:rPr>
          <w:rFonts w:hint="eastAsia" w:ascii="仿宋" w:eastAsia="仿宋"/>
          <w:b/>
          <w:color w:val="000000"/>
          <w:sz w:val="32"/>
          <w:szCs w:val="32"/>
        </w:rPr>
        <w:t>（一）一般公共预算财政拨款支出决算总体情况</w:t>
      </w:r>
      <w:bookmarkEnd w:id="60"/>
    </w:p>
    <w:p>
      <w:pPr>
        <w:keepNext w:val="0"/>
        <w:keepLines w:val="0"/>
        <w:pageBreakBefore w:val="0"/>
        <w:widowControl w:val="0"/>
        <w:kinsoku/>
        <w:wordWrap/>
        <w:overflowPunct/>
        <w:topLinePunct w:val="0"/>
        <w:autoSpaceDE/>
        <w:autoSpaceDN/>
        <w:bidi w:val="0"/>
        <w:adjustRightInd/>
        <w:snapToGrid/>
        <w:spacing w:line="240" w:lineRule="auto"/>
        <w:ind w:firstLine="640" w:firstLineChars="200"/>
        <w:jc w:val="center"/>
        <w:textAlignment w:val="auto"/>
        <w:rPr>
          <w:rFonts w:hint="eastAsia" w:ascii="仿宋" w:eastAsia="仿宋"/>
          <w:color w:val="000000"/>
          <w:sz w:val="32"/>
          <w:szCs w:val="32"/>
        </w:rPr>
      </w:pPr>
      <w:r>
        <w:rPr>
          <w:rFonts w:hint="eastAsia" w:ascii="仿宋_GB2312" w:eastAsia="仿宋_GB2312" w:cs="仿宋_GB2312"/>
          <w:color w:val="000000"/>
          <w:sz w:val="32"/>
          <w:szCs w:val="32"/>
          <w:lang w:bidi="ar-SA"/>
        </w:rPr>
        <w:t>2020年一般公共预算财政拨款支出</w:t>
      </w:r>
      <w:r>
        <w:rPr>
          <w:rFonts w:hint="eastAsia" w:ascii="仿宋_GB2312" w:eastAsia="仿宋_GB2312" w:cs="仿宋_GB2312"/>
          <w:color w:val="000000"/>
          <w:sz w:val="32"/>
          <w:szCs w:val="32"/>
          <w:lang w:val="en-US" w:eastAsia="zh-CN" w:bidi="ar-SA"/>
        </w:rPr>
        <w:t>800.05</w:t>
      </w:r>
      <w:r>
        <w:rPr>
          <w:rFonts w:hint="eastAsia" w:ascii="仿宋_GB2312" w:eastAsia="仿宋_GB2312" w:cs="仿宋_GB2312"/>
          <w:color w:val="000000"/>
          <w:sz w:val="32"/>
          <w:szCs w:val="32"/>
          <w:lang w:bidi="ar-SA"/>
        </w:rPr>
        <w:t>万元，占本年支出合计的</w:t>
      </w:r>
      <w:r>
        <w:rPr>
          <w:rFonts w:hint="eastAsia" w:ascii="仿宋_GB2312" w:eastAsia="仿宋_GB2312" w:cs="仿宋_GB2312"/>
          <w:color w:val="000000"/>
          <w:sz w:val="32"/>
          <w:szCs w:val="32"/>
          <w:lang w:val="en-US" w:eastAsia="zh-CN" w:bidi="ar-SA"/>
        </w:rPr>
        <w:t>100</w:t>
      </w:r>
      <w:r>
        <w:rPr>
          <w:rFonts w:hint="eastAsia" w:ascii="仿宋_GB2312" w:eastAsia="仿宋_GB2312" w:cs="仿宋_GB2312"/>
          <w:color w:val="000000"/>
          <w:sz w:val="32"/>
          <w:szCs w:val="32"/>
          <w:lang w:bidi="ar-SA"/>
        </w:rPr>
        <w:t>%。与2019年相比，一般公共预算财政拨款增加</w:t>
      </w:r>
      <w:r>
        <w:rPr>
          <w:rFonts w:hint="eastAsia" w:ascii="仿宋_GB2312" w:eastAsia="仿宋_GB2312" w:cs="仿宋_GB2312"/>
          <w:color w:val="000000"/>
          <w:sz w:val="32"/>
          <w:szCs w:val="32"/>
          <w:lang w:val="en-US" w:eastAsia="zh-CN" w:bidi="ar-SA"/>
        </w:rPr>
        <w:t>458.44</w:t>
      </w:r>
      <w:r>
        <w:rPr>
          <w:rFonts w:hint="eastAsia" w:ascii="仿宋_GB2312" w:eastAsia="仿宋_GB2312" w:cs="仿宋_GB2312"/>
          <w:color w:val="000000"/>
          <w:sz w:val="32"/>
          <w:szCs w:val="32"/>
          <w:lang w:bidi="ar-SA"/>
        </w:rPr>
        <w:t>万元，增长</w:t>
      </w:r>
      <w:r>
        <w:rPr>
          <w:rFonts w:hint="eastAsia" w:ascii="仿宋_GB2312" w:eastAsia="仿宋_GB2312" w:cs="仿宋_GB2312"/>
          <w:color w:val="000000"/>
          <w:sz w:val="32"/>
          <w:szCs w:val="32"/>
          <w:lang w:val="en-US" w:eastAsia="zh-CN" w:bidi="ar-SA"/>
        </w:rPr>
        <w:t>134</w:t>
      </w:r>
      <w:r>
        <w:rPr>
          <w:rFonts w:hint="eastAsia" w:ascii="仿宋_GB2312" w:eastAsia="仿宋_GB2312" w:cs="仿宋_GB2312"/>
          <w:color w:val="000000"/>
          <w:sz w:val="32"/>
          <w:szCs w:val="32"/>
          <w:lang w:bidi="ar-SA"/>
        </w:rPr>
        <w:t>%。主要变动原因是</w:t>
      </w:r>
      <w:r>
        <w:rPr>
          <w:rFonts w:hint="eastAsia" w:ascii="仿宋_GB2312" w:eastAsia="仿宋_GB2312" w:cs="仿宋_GB2312"/>
          <w:color w:val="000000"/>
          <w:sz w:val="32"/>
          <w:szCs w:val="32"/>
          <w:lang w:val="en-US" w:eastAsia="zh-CN" w:bidi="ar-SA"/>
        </w:rPr>
        <w:t>增加了2020年春节氛围营造资金1.88万元和地方还债资金400万元。</w:t>
      </w:r>
      <w:r>
        <w:drawing>
          <wp:inline distT="0" distB="0" distL="114300" distR="114300">
            <wp:extent cx="4133850" cy="2990850"/>
            <wp:effectExtent l="0" t="0" r="0" b="0"/>
            <wp:docPr id="5" name="图片 5" descr="4.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5" name="图片 5" descr="4.png"/>
                    <pic:cNvPicPr>
                      <a:picLocks noChangeAspect="true"/>
                    </pic:cNvPicPr>
                  </pic:nvPicPr>
                  <pic:blipFill>
                    <a:blip r:embed="rId10"/>
                    <a:stretch>
                      <a:fillRect/>
                    </a:stretch>
                  </pic:blipFill>
                  <pic:spPr>
                    <a:xfrm>
                      <a:off x="0" y="0"/>
                      <a:ext cx="4133850" cy="299085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（图5：一般公共预算财政拨款支出决算变动情况）</w:t>
      </w:r>
    </w:p>
    <w:p>
      <w:pPr>
        <w:spacing w:line="600" w:lineRule="exact"/>
        <w:ind w:firstLine="642" w:firstLineChars="200"/>
        <w:outlineLvl w:val="2"/>
        <w:rPr>
          <w:rFonts w:hint="eastAsia" w:ascii="仿宋" w:eastAsia="仿宋"/>
          <w:b/>
          <w:color w:val="000000"/>
          <w:sz w:val="32"/>
          <w:szCs w:val="32"/>
        </w:rPr>
      </w:pPr>
      <w:bookmarkStart w:id="61" w:name="_Toc15377211"/>
      <w:r>
        <w:rPr>
          <w:rFonts w:hint="eastAsia" w:ascii="仿宋" w:eastAsia="仿宋"/>
          <w:b/>
          <w:color w:val="000000"/>
          <w:sz w:val="32"/>
          <w:szCs w:val="32"/>
        </w:rPr>
        <w:t>（二）一般公共预算财政拨款支出决算结构情况</w:t>
      </w:r>
      <w:bookmarkEnd w:id="61"/>
    </w:p>
    <w:p>
      <w:pPr>
        <w:spacing w:line="600"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2020年一般公共预算财政拨款支出</w:t>
      </w:r>
      <w:r>
        <w:rPr>
          <w:rFonts w:hint="eastAsia" w:ascii="仿宋_GB2312" w:eastAsia="仿宋_GB2312" w:cs="仿宋_GB2312"/>
          <w:color w:val="000000"/>
          <w:sz w:val="32"/>
          <w:szCs w:val="32"/>
          <w:lang w:val="en-US" w:eastAsia="zh-CN" w:bidi="ar-SA"/>
        </w:rPr>
        <w:t>800.05</w:t>
      </w:r>
      <w:r>
        <w:rPr>
          <w:rFonts w:hint="eastAsia" w:ascii="仿宋_GB2312" w:eastAsia="仿宋_GB2312" w:cs="仿宋_GB2312"/>
          <w:color w:val="000000"/>
          <w:sz w:val="32"/>
          <w:szCs w:val="32"/>
          <w:lang w:bidi="ar-SA"/>
        </w:rPr>
        <w:t>万元，主要用于以下方面:社会保障和就业（类）支出</w:t>
      </w:r>
      <w:r>
        <w:rPr>
          <w:rFonts w:hint="eastAsia" w:ascii="仿宋_GB2312" w:eastAsia="仿宋_GB2312" w:cs="仿宋_GB2312"/>
          <w:color w:val="000000"/>
          <w:sz w:val="32"/>
          <w:szCs w:val="32"/>
          <w:lang w:val="en-US" w:eastAsia="zh-CN" w:bidi="ar-SA"/>
        </w:rPr>
        <w:t>27.64</w:t>
      </w:r>
      <w:r>
        <w:rPr>
          <w:rFonts w:hint="eastAsia" w:ascii="仿宋_GB2312" w:eastAsia="仿宋_GB2312" w:cs="仿宋_GB2312"/>
          <w:color w:val="000000"/>
          <w:sz w:val="32"/>
          <w:szCs w:val="32"/>
          <w:lang w:bidi="ar-SA"/>
        </w:rPr>
        <w:t>万元，占</w:t>
      </w:r>
      <w:r>
        <w:rPr>
          <w:rFonts w:hint="eastAsia" w:ascii="仿宋_GB2312" w:eastAsia="仿宋_GB2312" w:cs="仿宋_GB2312"/>
          <w:color w:val="000000"/>
          <w:sz w:val="32"/>
          <w:szCs w:val="32"/>
          <w:lang w:val="en-US" w:eastAsia="zh-CN" w:bidi="ar-SA"/>
        </w:rPr>
        <w:t>3.45</w:t>
      </w:r>
      <w:r>
        <w:rPr>
          <w:rFonts w:hint="eastAsia" w:ascii="仿宋_GB2312" w:eastAsia="仿宋_GB2312" w:cs="仿宋_GB2312"/>
          <w:color w:val="000000"/>
          <w:sz w:val="32"/>
          <w:szCs w:val="32"/>
          <w:lang w:bidi="ar-SA"/>
        </w:rPr>
        <w:t>%；卫生健康支出</w:t>
      </w:r>
      <w:r>
        <w:rPr>
          <w:rFonts w:hint="eastAsia" w:ascii="仿宋_GB2312" w:eastAsia="仿宋_GB2312" w:cs="仿宋_GB2312"/>
          <w:color w:val="000000"/>
          <w:sz w:val="32"/>
          <w:szCs w:val="32"/>
          <w:lang w:val="en-US" w:eastAsia="zh-CN" w:bidi="ar-SA"/>
        </w:rPr>
        <w:t>14.67</w:t>
      </w:r>
      <w:r>
        <w:rPr>
          <w:rFonts w:hint="eastAsia" w:ascii="仿宋_GB2312" w:eastAsia="仿宋_GB2312" w:cs="仿宋_GB2312"/>
          <w:color w:val="000000"/>
          <w:sz w:val="32"/>
          <w:szCs w:val="32"/>
          <w:lang w:bidi="ar-SA"/>
        </w:rPr>
        <w:t>万元，占</w:t>
      </w:r>
      <w:r>
        <w:rPr>
          <w:rFonts w:hint="eastAsia" w:ascii="仿宋_GB2312" w:eastAsia="仿宋_GB2312" w:cs="仿宋_GB2312"/>
          <w:color w:val="000000"/>
          <w:sz w:val="32"/>
          <w:szCs w:val="32"/>
          <w:lang w:val="en-US" w:eastAsia="zh-CN" w:bidi="ar-SA"/>
        </w:rPr>
        <w:t>1.83</w:t>
      </w:r>
      <w:r>
        <w:rPr>
          <w:rFonts w:hint="eastAsia" w:ascii="仿宋_GB2312" w:eastAsia="仿宋_GB2312" w:cs="仿宋_GB2312"/>
          <w:color w:val="000000"/>
          <w:sz w:val="32"/>
          <w:szCs w:val="32"/>
          <w:lang w:bidi="ar-SA"/>
        </w:rPr>
        <w:t>%；住房保障支出</w:t>
      </w:r>
      <w:r>
        <w:rPr>
          <w:rFonts w:hint="eastAsia" w:ascii="仿宋_GB2312" w:eastAsia="仿宋_GB2312" w:cs="仿宋_GB2312"/>
          <w:color w:val="000000"/>
          <w:sz w:val="32"/>
          <w:szCs w:val="32"/>
          <w:lang w:val="en-US" w:eastAsia="zh-CN" w:bidi="ar-SA"/>
        </w:rPr>
        <w:t>24.88</w:t>
      </w:r>
      <w:r>
        <w:rPr>
          <w:rFonts w:hint="eastAsia" w:ascii="仿宋_GB2312" w:eastAsia="仿宋_GB2312" w:cs="仿宋_GB2312"/>
          <w:color w:val="000000"/>
          <w:sz w:val="32"/>
          <w:szCs w:val="32"/>
          <w:lang w:bidi="ar-SA"/>
        </w:rPr>
        <w:t>万元，占</w:t>
      </w:r>
      <w:r>
        <w:rPr>
          <w:rFonts w:hint="eastAsia" w:ascii="仿宋_GB2312" w:eastAsia="仿宋_GB2312" w:cs="仿宋_GB2312"/>
          <w:color w:val="000000"/>
          <w:sz w:val="32"/>
          <w:szCs w:val="32"/>
          <w:lang w:val="en-US" w:eastAsia="zh-CN" w:bidi="ar-SA"/>
        </w:rPr>
        <w:t>3.11</w:t>
      </w:r>
      <w:r>
        <w:rPr>
          <w:rFonts w:hint="eastAsia" w:ascii="仿宋_GB2312" w:eastAsia="仿宋_GB2312" w:cs="仿宋_GB2312"/>
          <w:color w:val="000000"/>
          <w:sz w:val="32"/>
          <w:szCs w:val="32"/>
          <w:lang w:bidi="ar-SA"/>
        </w:rPr>
        <w:t>%；城乡社区</w:t>
      </w:r>
      <w:r>
        <w:rPr>
          <w:rFonts w:hint="eastAsia" w:ascii="仿宋_GB2312" w:eastAsia="仿宋_GB2312" w:cs="仿宋_GB2312"/>
          <w:color w:val="000000"/>
          <w:sz w:val="32"/>
          <w:szCs w:val="32"/>
          <w:lang w:eastAsia="zh-CN" w:bidi="ar-SA"/>
        </w:rPr>
        <w:t>（类）</w:t>
      </w:r>
      <w:r>
        <w:rPr>
          <w:rFonts w:hint="eastAsia" w:ascii="仿宋_GB2312" w:eastAsia="仿宋_GB2312" w:cs="仿宋_GB2312"/>
          <w:color w:val="000000"/>
          <w:sz w:val="32"/>
          <w:szCs w:val="32"/>
          <w:lang w:val="en-US" w:eastAsia="zh-CN" w:bidi="ar-SA"/>
        </w:rPr>
        <w:t>732.86万元，</w:t>
      </w:r>
      <w:r>
        <w:rPr>
          <w:rFonts w:hint="eastAsia" w:ascii="仿宋_GB2312" w:eastAsia="仿宋_GB2312" w:cs="仿宋_GB2312"/>
          <w:color w:val="000000"/>
          <w:sz w:val="32"/>
          <w:szCs w:val="32"/>
          <w:lang w:bidi="ar-SA"/>
        </w:rPr>
        <w:t>占</w:t>
      </w:r>
      <w:r>
        <w:rPr>
          <w:rFonts w:hint="eastAsia" w:ascii="仿宋_GB2312" w:eastAsia="仿宋_GB2312" w:cs="仿宋_GB2312"/>
          <w:color w:val="000000"/>
          <w:sz w:val="32"/>
          <w:szCs w:val="32"/>
          <w:lang w:val="en-US" w:eastAsia="zh-CN" w:bidi="ar-SA"/>
        </w:rPr>
        <w:t>91.61</w:t>
      </w:r>
      <w:r>
        <w:rPr>
          <w:rFonts w:hint="eastAsia" w:ascii="仿宋_GB2312" w:eastAsia="仿宋_GB2312" w:cs="仿宋_GB2312"/>
          <w:color w:val="000000"/>
          <w:sz w:val="32"/>
          <w:szCs w:val="32"/>
          <w:lang w:bidi="ar-SA"/>
        </w:rPr>
        <w:t>%。</w:t>
      </w:r>
    </w:p>
    <w:p>
      <w:pPr>
        <w:pStyle w:val="2"/>
        <w:jc w:val="center"/>
        <w:rPr>
          <w:rFonts w:hint="eastAsia"/>
        </w:rPr>
      </w:pPr>
      <w:r>
        <w:drawing>
          <wp:inline distT="0" distB="0" distL="114300" distR="114300">
            <wp:extent cx="4152900" cy="2857500"/>
            <wp:effectExtent l="0" t="0" r="0" b="0"/>
            <wp:docPr id="6" name="图片 6" descr="5.png"/>
            <wp:cNvGraphicFramePr>
              <a:graphicFrameLocks xmlns:a="http://schemas.openxmlformats.org/drawingml/2006/main" noChangeAspect="true"/>
            </wp:cNvGraphicFramePr>
            <a:graphic xmlns:a="http://schemas.openxmlformats.org/drawingml/2006/main">
              <a:graphicData uri="http://schemas.openxmlformats.org/drawingml/2006/picture">
                <pic:pic xmlns:pic="http://schemas.openxmlformats.org/drawingml/2006/picture">
                  <pic:nvPicPr>
                    <pic:cNvPr id="6" name="图片 6" descr="5.png"/>
                    <pic:cNvPicPr>
                      <a:picLocks noChangeAspect="true"/>
                    </pic:cNvPicPr>
                  </pic:nvPicPr>
                  <pic:blipFill>
                    <a:blip r:embed="rId11"/>
                    <a:stretch>
                      <a:fillRect/>
                    </a:stretch>
                  </pic:blipFill>
                  <pic:spPr>
                    <a:xfrm>
                      <a:off x="0" y="0"/>
                      <a:ext cx="4152900" cy="2857500"/>
                    </a:xfrm>
                    <a:prstGeom prst="rect">
                      <a:avLst/>
                    </a:prstGeom>
                    <a:noFill/>
                    <a:ln>
                      <a:noFill/>
                    </a:ln>
                  </pic:spPr>
                </pic:pic>
              </a:graphicData>
            </a:graphic>
          </wp:inline>
        </w:drawing>
      </w:r>
    </w:p>
    <w:p>
      <w:pPr>
        <w:spacing w:line="600" w:lineRule="exact"/>
        <w:ind w:firstLine="960" w:firstLineChars="300"/>
        <w:jc w:val="both"/>
        <w:rPr>
          <w:rFonts w:hint="eastAsia" w:ascii="仿宋" w:eastAsia="仿宋"/>
          <w:color w:val="000000"/>
          <w:sz w:val="32"/>
          <w:szCs w:val="32"/>
        </w:rPr>
      </w:pPr>
      <w:r>
        <w:rPr>
          <w:rFonts w:hint="eastAsia" w:ascii="仿宋" w:eastAsia="仿宋"/>
          <w:color w:val="000000"/>
          <w:sz w:val="32"/>
          <w:szCs w:val="32"/>
        </w:rPr>
        <w:t>（图6：一般公共预算财政拨款支出决算结构）</w:t>
      </w:r>
    </w:p>
    <w:p>
      <w:pPr>
        <w:spacing w:line="600" w:lineRule="exact"/>
        <w:ind w:firstLine="642" w:firstLineChars="200"/>
        <w:outlineLvl w:val="2"/>
        <w:rPr>
          <w:rFonts w:hint="eastAsia" w:ascii="仿宋" w:eastAsia="仿宋"/>
          <w:b/>
          <w:color w:val="000000"/>
          <w:sz w:val="32"/>
          <w:szCs w:val="32"/>
        </w:rPr>
      </w:pPr>
      <w:bookmarkStart w:id="62" w:name="_Toc15377212"/>
      <w:r>
        <w:rPr>
          <w:rFonts w:hint="eastAsia" w:ascii="仿宋" w:eastAsia="仿宋"/>
          <w:b/>
          <w:color w:val="000000"/>
          <w:sz w:val="32"/>
          <w:szCs w:val="32"/>
        </w:rPr>
        <w:t>（三）一般公共预算财政拨款支出决算具体情况</w:t>
      </w:r>
      <w:bookmarkEnd w:id="62"/>
    </w:p>
    <w:p>
      <w:pPr>
        <w:spacing w:line="600" w:lineRule="exact"/>
        <w:ind w:firstLine="640" w:firstLineChars="200"/>
        <w:outlineLvl w:val="2"/>
        <w:rPr>
          <w:rFonts w:hint="eastAsia" w:ascii="仿宋_GB2312" w:hAnsi="仿宋_GB2312" w:eastAsia="仿宋_GB2312" w:cs="仿宋_GB2312"/>
          <w:color w:val="FF0000"/>
          <w:sz w:val="32"/>
          <w:szCs w:val="32"/>
        </w:rPr>
      </w:pPr>
      <w:bookmarkStart w:id="63" w:name="_Toc15377444"/>
      <w:bookmarkStart w:id="64" w:name="_Toc15378460"/>
      <w:bookmarkStart w:id="65" w:name="_Toc15377213"/>
      <w:r>
        <w:rPr>
          <w:rFonts w:hint="eastAsia" w:ascii="仿宋_GB2312" w:hAnsi="仿宋_GB2312" w:eastAsia="仿宋_GB2312" w:cs="仿宋_GB2312"/>
          <w:color w:val="000000"/>
          <w:sz w:val="32"/>
          <w:szCs w:val="32"/>
        </w:rPr>
        <w:t>2020年一般公共预算支出决算数为</w:t>
      </w:r>
      <w:r>
        <w:rPr>
          <w:rFonts w:hint="eastAsia" w:ascii="仿宋_GB2312" w:hAnsi="仿宋_GB2312" w:eastAsia="仿宋_GB2312" w:cs="仿宋_GB2312"/>
          <w:color w:val="000000"/>
          <w:sz w:val="32"/>
          <w:szCs w:val="32"/>
          <w:lang w:val="en-US" w:eastAsia="zh-CN"/>
        </w:rPr>
        <w:t>800.05</w:t>
      </w:r>
      <w:r>
        <w:rPr>
          <w:rFonts w:hint="eastAsia" w:ascii="仿宋_GB2312" w:hAnsi="仿宋_GB2312" w:eastAsia="仿宋_GB2312" w:cs="仿宋_GB2312"/>
          <w:color w:val="000000"/>
          <w:sz w:val="32"/>
          <w:szCs w:val="32"/>
        </w:rPr>
        <w:t>，</w:t>
      </w:r>
      <w:r>
        <w:rPr>
          <w:rStyle w:val="14"/>
          <w:rFonts w:hint="eastAsia" w:ascii="仿宋_GB2312" w:hAnsi="仿宋_GB2312" w:eastAsia="仿宋_GB2312" w:cs="仿宋_GB2312"/>
          <w:b w:val="0"/>
          <w:color w:val="000000"/>
          <w:sz w:val="32"/>
          <w:szCs w:val="32"/>
        </w:rPr>
        <w:t>完成预算</w:t>
      </w:r>
      <w:r>
        <w:rPr>
          <w:rStyle w:val="14"/>
          <w:rFonts w:hint="eastAsia" w:ascii="仿宋_GB2312" w:hAnsi="仿宋_GB2312" w:eastAsia="仿宋_GB2312" w:cs="仿宋_GB2312"/>
          <w:b w:val="0"/>
          <w:color w:val="000000"/>
          <w:sz w:val="32"/>
          <w:szCs w:val="32"/>
          <w:lang w:val="en-US" w:eastAsia="zh-CN"/>
        </w:rPr>
        <w:t>100</w:t>
      </w:r>
      <w:r>
        <w:rPr>
          <w:rStyle w:val="14"/>
          <w:rFonts w:hint="eastAsia" w:ascii="仿宋_GB2312" w:hAnsi="仿宋_GB2312" w:eastAsia="仿宋_GB2312" w:cs="仿宋_GB2312"/>
          <w:b w:val="0"/>
          <w:color w:val="000000"/>
          <w:sz w:val="32"/>
          <w:szCs w:val="32"/>
        </w:rPr>
        <w:t>%。其中：</w:t>
      </w:r>
      <w:bookmarkEnd w:id="63"/>
      <w:bookmarkEnd w:id="64"/>
      <w:bookmarkEnd w:id="65"/>
    </w:p>
    <w:p>
      <w:pPr>
        <w:spacing w:line="600" w:lineRule="exact"/>
        <w:ind w:firstLine="640" w:firstLineChars="200"/>
        <w:rPr>
          <w:rFonts w:hint="eastAsia" w:ascii="仿宋_GB2312" w:hAnsi="仿宋_GB2312" w:eastAsia="仿宋_GB2312" w:cs="仿宋_GB2312"/>
          <w:color w:val="auto"/>
          <w:sz w:val="32"/>
          <w:szCs w:val="32"/>
          <w:lang w:bidi="ar-SA"/>
        </w:rPr>
      </w:pPr>
      <w:r>
        <w:rPr>
          <w:rStyle w:val="14"/>
          <w:rFonts w:hint="eastAsia" w:ascii="仿宋_GB2312" w:hAnsi="仿宋_GB2312" w:eastAsia="仿宋_GB2312" w:cs="仿宋_GB2312"/>
          <w:b w:val="0"/>
          <w:color w:val="auto"/>
          <w:sz w:val="32"/>
          <w:szCs w:val="32"/>
          <w:lang w:val="en-US" w:eastAsia="zh-CN"/>
        </w:rPr>
        <w:t>1</w:t>
      </w:r>
      <w:r>
        <w:rPr>
          <w:rStyle w:val="14"/>
          <w:rFonts w:hint="eastAsia" w:ascii="仿宋_GB2312" w:hAnsi="仿宋_GB2312" w:eastAsia="仿宋_GB2312" w:cs="仿宋_GB2312"/>
          <w:b w:val="0"/>
          <w:color w:val="auto"/>
          <w:sz w:val="32"/>
          <w:szCs w:val="32"/>
        </w:rPr>
        <w:t xml:space="preserve">.社会保障和就业（类）行政事业单位养老支出（款）机关事业单位基本养老保险缴费支出（项）: </w:t>
      </w:r>
      <w:r>
        <w:rPr>
          <w:rStyle w:val="14"/>
          <w:rFonts w:hint="eastAsia" w:ascii="仿宋_GB2312" w:hAnsi="仿宋_GB2312" w:eastAsia="仿宋_GB2312" w:cs="仿宋_GB2312"/>
          <w:b w:val="0"/>
          <w:color w:val="auto"/>
          <w:sz w:val="32"/>
          <w:szCs w:val="32"/>
          <w:lang w:bidi="ar-SA"/>
        </w:rPr>
        <w:t>支出决算为</w:t>
      </w:r>
      <w:r>
        <w:rPr>
          <w:rStyle w:val="14"/>
          <w:rFonts w:hint="eastAsia" w:ascii="仿宋_GB2312" w:hAnsi="仿宋_GB2312" w:eastAsia="仿宋_GB2312" w:cs="仿宋_GB2312"/>
          <w:b w:val="0"/>
          <w:color w:val="auto"/>
          <w:sz w:val="32"/>
          <w:szCs w:val="32"/>
          <w:lang w:val="en-US" w:eastAsia="zh-CN" w:bidi="ar-SA"/>
        </w:rPr>
        <w:t>27.64</w:t>
      </w:r>
      <w:r>
        <w:rPr>
          <w:rStyle w:val="14"/>
          <w:rFonts w:hint="eastAsia" w:ascii="仿宋_GB2312" w:hAnsi="仿宋_GB2312" w:eastAsia="仿宋_GB2312" w:cs="仿宋_GB2312"/>
          <w:b w:val="0"/>
          <w:color w:val="auto"/>
          <w:sz w:val="32"/>
          <w:szCs w:val="32"/>
          <w:lang w:bidi="ar-SA"/>
        </w:rPr>
        <w:t>万元，完成预算</w:t>
      </w:r>
      <w:r>
        <w:rPr>
          <w:rStyle w:val="14"/>
          <w:rFonts w:hint="eastAsia" w:ascii="仿宋_GB2312" w:hAnsi="仿宋_GB2312" w:eastAsia="仿宋_GB2312" w:cs="仿宋_GB2312"/>
          <w:b w:val="0"/>
          <w:color w:val="auto"/>
          <w:sz w:val="32"/>
          <w:szCs w:val="32"/>
          <w:lang w:val="en-US" w:eastAsia="zh-CN" w:bidi="ar-SA"/>
        </w:rPr>
        <w:t>100</w:t>
      </w:r>
      <w:r>
        <w:rPr>
          <w:rStyle w:val="14"/>
          <w:rFonts w:hint="eastAsia" w:ascii="仿宋_GB2312" w:hAnsi="仿宋_GB2312" w:eastAsia="仿宋_GB2312" w:cs="仿宋_GB2312"/>
          <w:b w:val="0"/>
          <w:color w:val="auto"/>
          <w:sz w:val="32"/>
          <w:szCs w:val="32"/>
          <w:lang w:bidi="ar-SA"/>
        </w:rPr>
        <w:t>%，决算数等于预算数的主要原因是</w:t>
      </w:r>
      <w:r>
        <w:rPr>
          <w:rStyle w:val="14"/>
          <w:rFonts w:hint="eastAsia" w:ascii="仿宋_GB2312" w:hAnsi="仿宋_GB2312" w:eastAsia="仿宋_GB2312" w:cs="仿宋_GB2312"/>
          <w:b w:val="0"/>
          <w:color w:val="auto"/>
          <w:sz w:val="32"/>
          <w:szCs w:val="32"/>
          <w:lang w:eastAsia="zh-CN" w:bidi="ar-SA"/>
        </w:rPr>
        <w:t>用于缴纳职工养老保险</w:t>
      </w:r>
      <w:r>
        <w:rPr>
          <w:rStyle w:val="14"/>
          <w:rFonts w:hint="eastAsia" w:ascii="仿宋_GB2312" w:hAnsi="仿宋_GB2312" w:eastAsia="仿宋_GB2312" w:cs="仿宋_GB2312"/>
          <w:b w:val="0"/>
          <w:color w:val="auto"/>
          <w:sz w:val="32"/>
          <w:szCs w:val="32"/>
          <w:lang w:bidi="ar-SA"/>
        </w:rPr>
        <w:t>。</w:t>
      </w:r>
    </w:p>
    <w:p>
      <w:pPr>
        <w:spacing w:line="600" w:lineRule="exact"/>
        <w:ind w:firstLine="640" w:firstLineChars="200"/>
        <w:rPr>
          <w:rStyle w:val="14"/>
          <w:rFonts w:hint="eastAsia" w:ascii="仿宋_GB2312" w:hAnsi="仿宋_GB2312" w:eastAsia="仿宋_GB2312" w:cs="仿宋_GB2312"/>
          <w:b w:val="0"/>
          <w:color w:val="auto"/>
          <w:sz w:val="32"/>
          <w:szCs w:val="32"/>
          <w:lang w:bidi="ar-SA"/>
        </w:rPr>
      </w:pPr>
      <w:r>
        <w:rPr>
          <w:rStyle w:val="14"/>
          <w:rFonts w:hint="eastAsia" w:ascii="仿宋_GB2312" w:hAnsi="仿宋_GB2312" w:eastAsia="仿宋_GB2312" w:cs="仿宋_GB2312"/>
          <w:b w:val="0"/>
          <w:color w:val="auto"/>
          <w:sz w:val="32"/>
          <w:szCs w:val="32"/>
          <w:lang w:val="en-US" w:eastAsia="zh-CN"/>
        </w:rPr>
        <w:t>2</w:t>
      </w:r>
      <w:r>
        <w:rPr>
          <w:rStyle w:val="14"/>
          <w:rFonts w:hint="eastAsia" w:ascii="仿宋_GB2312" w:hAnsi="仿宋_GB2312" w:eastAsia="仿宋_GB2312" w:cs="仿宋_GB2312"/>
          <w:b w:val="0"/>
          <w:color w:val="auto"/>
          <w:sz w:val="32"/>
          <w:szCs w:val="32"/>
        </w:rPr>
        <w:t>.</w:t>
      </w:r>
      <w:r>
        <w:rPr>
          <w:rFonts w:hint="eastAsia" w:ascii="仿宋_GB2312" w:hAnsi="仿宋_GB2312" w:eastAsia="仿宋_GB2312" w:cs="仿宋_GB2312"/>
          <w:color w:val="auto"/>
          <w:sz w:val="32"/>
          <w:szCs w:val="32"/>
        </w:rPr>
        <w:t>卫生健康</w:t>
      </w:r>
      <w:r>
        <w:rPr>
          <w:rStyle w:val="14"/>
          <w:rFonts w:hint="eastAsia" w:ascii="仿宋_GB2312" w:hAnsi="仿宋_GB2312" w:eastAsia="仿宋_GB2312" w:cs="仿宋_GB2312"/>
          <w:b w:val="0"/>
          <w:color w:val="auto"/>
          <w:sz w:val="32"/>
          <w:szCs w:val="32"/>
        </w:rPr>
        <w:t>（类）行政事业单位医疗（款）事业单位医疗（项）:</w:t>
      </w:r>
      <w:r>
        <w:rPr>
          <w:rStyle w:val="14"/>
          <w:rFonts w:hint="eastAsia" w:ascii="仿宋_GB2312" w:hAnsi="仿宋_GB2312" w:eastAsia="仿宋_GB2312" w:cs="仿宋_GB2312"/>
          <w:b w:val="0"/>
          <w:color w:val="auto"/>
          <w:sz w:val="32"/>
          <w:szCs w:val="32"/>
          <w:lang w:bidi="ar-SA"/>
        </w:rPr>
        <w:t>支出决算为</w:t>
      </w:r>
      <w:r>
        <w:rPr>
          <w:rStyle w:val="14"/>
          <w:rFonts w:hint="eastAsia" w:ascii="仿宋_GB2312" w:hAnsi="仿宋_GB2312" w:eastAsia="仿宋_GB2312" w:cs="仿宋_GB2312"/>
          <w:b w:val="0"/>
          <w:color w:val="auto"/>
          <w:sz w:val="32"/>
          <w:szCs w:val="32"/>
          <w:lang w:val="en-US" w:eastAsia="zh-CN" w:bidi="ar-SA"/>
        </w:rPr>
        <w:t>14.67</w:t>
      </w:r>
      <w:r>
        <w:rPr>
          <w:rStyle w:val="14"/>
          <w:rFonts w:hint="eastAsia" w:ascii="仿宋_GB2312" w:hAnsi="仿宋_GB2312" w:eastAsia="仿宋_GB2312" w:cs="仿宋_GB2312"/>
          <w:b w:val="0"/>
          <w:color w:val="auto"/>
          <w:sz w:val="32"/>
          <w:szCs w:val="32"/>
          <w:lang w:bidi="ar-SA"/>
        </w:rPr>
        <w:t>万元，完成预算</w:t>
      </w:r>
      <w:r>
        <w:rPr>
          <w:rStyle w:val="14"/>
          <w:rFonts w:hint="eastAsia" w:ascii="仿宋_GB2312" w:hAnsi="仿宋_GB2312" w:eastAsia="仿宋_GB2312" w:cs="仿宋_GB2312"/>
          <w:b w:val="0"/>
          <w:color w:val="auto"/>
          <w:sz w:val="32"/>
          <w:szCs w:val="32"/>
          <w:lang w:val="en-US" w:eastAsia="zh-CN" w:bidi="ar-SA"/>
        </w:rPr>
        <w:t>100</w:t>
      </w:r>
      <w:r>
        <w:rPr>
          <w:rStyle w:val="14"/>
          <w:rFonts w:hint="eastAsia" w:ascii="仿宋_GB2312" w:hAnsi="仿宋_GB2312" w:eastAsia="仿宋_GB2312" w:cs="仿宋_GB2312"/>
          <w:b w:val="0"/>
          <w:color w:val="auto"/>
          <w:sz w:val="32"/>
          <w:szCs w:val="32"/>
          <w:lang w:bidi="ar-SA"/>
        </w:rPr>
        <w:t>%，决算数等于预算数的主要原因是</w:t>
      </w:r>
      <w:r>
        <w:rPr>
          <w:rStyle w:val="14"/>
          <w:rFonts w:hint="eastAsia" w:ascii="仿宋_GB2312" w:hAnsi="仿宋_GB2312" w:eastAsia="仿宋_GB2312" w:cs="仿宋_GB2312"/>
          <w:b w:val="0"/>
          <w:color w:val="auto"/>
          <w:sz w:val="32"/>
          <w:szCs w:val="32"/>
          <w:lang w:eastAsia="zh-CN" w:bidi="ar-SA"/>
        </w:rPr>
        <w:t>用于缴纳职工医疗保险</w:t>
      </w:r>
      <w:r>
        <w:rPr>
          <w:rStyle w:val="14"/>
          <w:rFonts w:hint="eastAsia" w:ascii="仿宋_GB2312" w:hAnsi="仿宋_GB2312" w:eastAsia="仿宋_GB2312" w:cs="仿宋_GB2312"/>
          <w:b w:val="0"/>
          <w:color w:val="auto"/>
          <w:sz w:val="32"/>
          <w:szCs w:val="32"/>
          <w:lang w:bidi="ar-SA"/>
        </w:rPr>
        <w:t>。</w:t>
      </w:r>
    </w:p>
    <w:p>
      <w:pPr>
        <w:spacing w:line="600" w:lineRule="exact"/>
        <w:ind w:firstLine="640" w:firstLineChars="200"/>
        <w:rPr>
          <w:rStyle w:val="14"/>
          <w:rFonts w:hint="eastAsia" w:ascii="仿宋_GB2312" w:hAnsi="仿宋_GB2312" w:eastAsia="仿宋_GB2312" w:cs="仿宋_GB2312"/>
          <w:b w:val="0"/>
          <w:color w:val="auto"/>
          <w:sz w:val="32"/>
          <w:szCs w:val="32"/>
        </w:rPr>
      </w:pPr>
      <w:r>
        <w:rPr>
          <w:rStyle w:val="14"/>
          <w:rFonts w:hint="eastAsia" w:ascii="仿宋_GB2312" w:hAnsi="仿宋_GB2312" w:eastAsia="仿宋_GB2312" w:cs="仿宋_GB2312"/>
          <w:b w:val="0"/>
          <w:color w:val="auto"/>
          <w:sz w:val="32"/>
          <w:szCs w:val="32"/>
          <w:lang w:val="en-US" w:eastAsia="zh-CN"/>
        </w:rPr>
        <w:t>3.住房保障（类）住房改革支出（款）住房公积金（项）：</w:t>
      </w:r>
      <w:r>
        <w:rPr>
          <w:rStyle w:val="14"/>
          <w:rFonts w:hint="eastAsia" w:ascii="仿宋_GB2312" w:hAnsi="仿宋_GB2312" w:eastAsia="仿宋_GB2312" w:cs="仿宋_GB2312"/>
          <w:b w:val="0"/>
          <w:color w:val="auto"/>
          <w:sz w:val="32"/>
          <w:szCs w:val="32"/>
          <w:lang w:bidi="ar-SA"/>
        </w:rPr>
        <w:t>支出决算为</w:t>
      </w:r>
      <w:r>
        <w:rPr>
          <w:rStyle w:val="14"/>
          <w:rFonts w:hint="eastAsia" w:ascii="仿宋_GB2312" w:hAnsi="仿宋_GB2312" w:eastAsia="仿宋_GB2312" w:cs="仿宋_GB2312"/>
          <w:b w:val="0"/>
          <w:color w:val="auto"/>
          <w:sz w:val="32"/>
          <w:szCs w:val="32"/>
          <w:lang w:val="en-US" w:eastAsia="zh-CN" w:bidi="ar-SA"/>
        </w:rPr>
        <w:t>24.88</w:t>
      </w:r>
      <w:r>
        <w:rPr>
          <w:rStyle w:val="14"/>
          <w:rFonts w:hint="eastAsia" w:ascii="仿宋_GB2312" w:hAnsi="仿宋_GB2312" w:eastAsia="仿宋_GB2312" w:cs="仿宋_GB2312"/>
          <w:b w:val="0"/>
          <w:color w:val="auto"/>
          <w:sz w:val="32"/>
          <w:szCs w:val="32"/>
          <w:lang w:bidi="ar-SA"/>
        </w:rPr>
        <w:t>万元，完成预算</w:t>
      </w:r>
      <w:r>
        <w:rPr>
          <w:rStyle w:val="14"/>
          <w:rFonts w:hint="eastAsia" w:ascii="仿宋_GB2312" w:hAnsi="仿宋_GB2312" w:eastAsia="仿宋_GB2312" w:cs="仿宋_GB2312"/>
          <w:b w:val="0"/>
          <w:color w:val="auto"/>
          <w:sz w:val="32"/>
          <w:szCs w:val="32"/>
          <w:lang w:val="en-US" w:eastAsia="zh-CN" w:bidi="ar-SA"/>
        </w:rPr>
        <w:t>100</w:t>
      </w:r>
      <w:r>
        <w:rPr>
          <w:rStyle w:val="14"/>
          <w:rFonts w:hint="eastAsia" w:ascii="仿宋_GB2312" w:hAnsi="仿宋_GB2312" w:eastAsia="仿宋_GB2312" w:cs="仿宋_GB2312"/>
          <w:b w:val="0"/>
          <w:color w:val="auto"/>
          <w:sz w:val="32"/>
          <w:szCs w:val="32"/>
          <w:lang w:bidi="ar-SA"/>
        </w:rPr>
        <w:t>%，决算数等于预算数的主要原因是</w:t>
      </w:r>
      <w:r>
        <w:rPr>
          <w:rStyle w:val="14"/>
          <w:rFonts w:hint="eastAsia" w:ascii="仿宋_GB2312" w:hAnsi="仿宋_GB2312" w:eastAsia="仿宋_GB2312" w:cs="仿宋_GB2312"/>
          <w:b w:val="0"/>
          <w:color w:val="auto"/>
          <w:sz w:val="32"/>
          <w:szCs w:val="32"/>
          <w:lang w:eastAsia="zh-CN" w:bidi="ar-SA"/>
        </w:rPr>
        <w:t>用于缴纳职工住房公积金</w:t>
      </w:r>
      <w:r>
        <w:rPr>
          <w:rStyle w:val="14"/>
          <w:rFonts w:hint="eastAsia" w:ascii="仿宋_GB2312" w:hAnsi="仿宋_GB2312" w:eastAsia="仿宋_GB2312" w:cs="仿宋_GB2312"/>
          <w:b w:val="0"/>
          <w:color w:val="auto"/>
          <w:sz w:val="32"/>
          <w:szCs w:val="32"/>
          <w:lang w:bidi="ar-SA"/>
        </w:rPr>
        <w:t>。</w:t>
      </w:r>
    </w:p>
    <w:p>
      <w:pPr>
        <w:spacing w:line="600" w:lineRule="exact"/>
        <w:ind w:firstLine="640" w:firstLineChars="200"/>
        <w:rPr>
          <w:rStyle w:val="14"/>
          <w:rFonts w:hint="eastAsia" w:ascii="仿宋_GB2312" w:hAnsi="仿宋_GB2312" w:eastAsia="仿宋_GB2312" w:cs="仿宋_GB2312"/>
          <w:b w:val="0"/>
          <w:color w:val="auto"/>
          <w:sz w:val="32"/>
          <w:szCs w:val="32"/>
          <w:lang w:bidi="ar-SA"/>
        </w:rPr>
      </w:pPr>
      <w:r>
        <w:rPr>
          <w:rStyle w:val="14"/>
          <w:rFonts w:hint="eastAsia" w:ascii="仿宋_GB2312" w:hAnsi="仿宋_GB2312" w:eastAsia="仿宋_GB2312" w:cs="仿宋_GB2312"/>
          <w:b w:val="0"/>
          <w:color w:val="auto"/>
          <w:sz w:val="32"/>
          <w:szCs w:val="32"/>
          <w:lang w:val="en-US" w:eastAsia="zh-CN"/>
        </w:rPr>
        <w:t>4.城乡社区（类）城乡社区管理事务（款） 工程建设标准规范编制与监管（项）：</w:t>
      </w:r>
      <w:r>
        <w:rPr>
          <w:rStyle w:val="14"/>
          <w:rFonts w:hint="eastAsia" w:ascii="仿宋_GB2312" w:hAnsi="仿宋_GB2312" w:eastAsia="仿宋_GB2312" w:cs="仿宋_GB2312"/>
          <w:b w:val="0"/>
          <w:color w:val="auto"/>
          <w:sz w:val="32"/>
          <w:szCs w:val="32"/>
          <w:lang w:bidi="ar-SA"/>
        </w:rPr>
        <w:t>支出决算为</w:t>
      </w:r>
      <w:r>
        <w:rPr>
          <w:rStyle w:val="14"/>
          <w:rFonts w:hint="eastAsia" w:ascii="仿宋_GB2312" w:hAnsi="仿宋_GB2312" w:eastAsia="仿宋_GB2312" w:cs="仿宋_GB2312"/>
          <w:b w:val="0"/>
          <w:color w:val="auto"/>
          <w:sz w:val="32"/>
          <w:szCs w:val="32"/>
          <w:lang w:val="en-US" w:eastAsia="zh-CN" w:bidi="ar-SA"/>
        </w:rPr>
        <w:t>330.98</w:t>
      </w:r>
      <w:r>
        <w:rPr>
          <w:rStyle w:val="14"/>
          <w:rFonts w:hint="eastAsia" w:ascii="仿宋_GB2312" w:hAnsi="仿宋_GB2312" w:eastAsia="仿宋_GB2312" w:cs="仿宋_GB2312"/>
          <w:b w:val="0"/>
          <w:color w:val="auto"/>
          <w:sz w:val="32"/>
          <w:szCs w:val="32"/>
          <w:lang w:bidi="ar-SA"/>
        </w:rPr>
        <w:t>万元，完成预算</w:t>
      </w:r>
      <w:r>
        <w:rPr>
          <w:rStyle w:val="14"/>
          <w:rFonts w:hint="eastAsia" w:ascii="仿宋_GB2312" w:hAnsi="仿宋_GB2312" w:eastAsia="仿宋_GB2312" w:cs="仿宋_GB2312"/>
          <w:b w:val="0"/>
          <w:color w:val="auto"/>
          <w:sz w:val="32"/>
          <w:szCs w:val="32"/>
          <w:lang w:val="en-US" w:eastAsia="zh-CN" w:bidi="ar-SA"/>
        </w:rPr>
        <w:t>100</w:t>
      </w:r>
      <w:r>
        <w:rPr>
          <w:rStyle w:val="14"/>
          <w:rFonts w:hint="eastAsia" w:ascii="仿宋_GB2312" w:hAnsi="仿宋_GB2312" w:eastAsia="仿宋_GB2312" w:cs="仿宋_GB2312"/>
          <w:b w:val="0"/>
          <w:color w:val="auto"/>
          <w:sz w:val="32"/>
          <w:szCs w:val="32"/>
          <w:lang w:bidi="ar-SA"/>
        </w:rPr>
        <w:t>%，决算数</w:t>
      </w:r>
      <w:r>
        <w:rPr>
          <w:rStyle w:val="14"/>
          <w:rFonts w:hint="eastAsia" w:ascii="仿宋_GB2312" w:hAnsi="仿宋_GB2312" w:eastAsia="仿宋_GB2312" w:cs="仿宋_GB2312"/>
          <w:b w:val="0"/>
          <w:color w:val="auto"/>
          <w:sz w:val="32"/>
          <w:szCs w:val="32"/>
          <w:lang w:eastAsia="zh-CN" w:bidi="ar-SA"/>
        </w:rPr>
        <w:t>等于</w:t>
      </w:r>
      <w:r>
        <w:rPr>
          <w:rStyle w:val="14"/>
          <w:rFonts w:hint="eastAsia" w:ascii="仿宋_GB2312" w:hAnsi="仿宋_GB2312" w:eastAsia="仿宋_GB2312" w:cs="仿宋_GB2312"/>
          <w:b w:val="0"/>
          <w:color w:val="auto"/>
          <w:sz w:val="32"/>
          <w:szCs w:val="32"/>
          <w:lang w:bidi="ar-SA"/>
        </w:rPr>
        <w:t>预算数的主要原因是</w:t>
      </w:r>
      <w:r>
        <w:rPr>
          <w:rStyle w:val="14"/>
          <w:rFonts w:hint="eastAsia" w:ascii="仿宋_GB2312" w:hAnsi="仿宋_GB2312" w:eastAsia="仿宋_GB2312" w:cs="仿宋_GB2312"/>
          <w:b w:val="0"/>
          <w:color w:val="auto"/>
          <w:sz w:val="32"/>
          <w:szCs w:val="32"/>
          <w:lang w:eastAsia="zh-CN" w:bidi="ar-SA"/>
        </w:rPr>
        <w:t>用于支付职工工资、公用经费等</w:t>
      </w:r>
      <w:r>
        <w:rPr>
          <w:rStyle w:val="14"/>
          <w:rFonts w:hint="eastAsia" w:ascii="仿宋_GB2312" w:hAnsi="仿宋_GB2312" w:eastAsia="仿宋_GB2312" w:cs="仿宋_GB2312"/>
          <w:b w:val="0"/>
          <w:color w:val="auto"/>
          <w:sz w:val="32"/>
          <w:szCs w:val="32"/>
          <w:lang w:bidi="ar-SA"/>
        </w:rPr>
        <w:t>。</w:t>
      </w:r>
    </w:p>
    <w:p>
      <w:pPr>
        <w:spacing w:line="600" w:lineRule="exact"/>
        <w:ind w:firstLine="640" w:firstLineChars="200"/>
        <w:rPr>
          <w:rStyle w:val="14"/>
          <w:rFonts w:hint="eastAsia" w:ascii="仿宋_GB2312" w:hAnsi="仿宋_GB2312" w:eastAsia="仿宋_GB2312" w:cs="仿宋_GB2312"/>
          <w:b w:val="0"/>
          <w:color w:val="auto"/>
          <w:sz w:val="32"/>
          <w:szCs w:val="32"/>
          <w:lang w:bidi="ar-SA"/>
        </w:rPr>
      </w:pPr>
      <w:r>
        <w:rPr>
          <w:rStyle w:val="14"/>
          <w:rFonts w:hint="eastAsia" w:ascii="仿宋_GB2312" w:hAnsi="仿宋_GB2312" w:eastAsia="仿宋_GB2312" w:cs="仿宋_GB2312"/>
          <w:b w:val="0"/>
          <w:color w:val="auto"/>
          <w:sz w:val="32"/>
          <w:szCs w:val="32"/>
          <w:lang w:val="en-US" w:eastAsia="zh-CN"/>
        </w:rPr>
        <w:t>5.城乡社区（类）城乡社区管理事务（款） 其他城乡社区管理事务支出（项）：</w:t>
      </w:r>
      <w:r>
        <w:rPr>
          <w:rStyle w:val="14"/>
          <w:rFonts w:hint="eastAsia" w:ascii="仿宋_GB2312" w:hAnsi="仿宋_GB2312" w:eastAsia="仿宋_GB2312" w:cs="仿宋_GB2312"/>
          <w:b w:val="0"/>
          <w:color w:val="auto"/>
          <w:sz w:val="32"/>
          <w:szCs w:val="32"/>
          <w:lang w:bidi="ar-SA"/>
        </w:rPr>
        <w:t>支出决算为</w:t>
      </w:r>
      <w:r>
        <w:rPr>
          <w:rStyle w:val="14"/>
          <w:rFonts w:hint="eastAsia" w:ascii="仿宋_GB2312" w:hAnsi="仿宋_GB2312" w:eastAsia="仿宋_GB2312" w:cs="仿宋_GB2312"/>
          <w:b w:val="0"/>
          <w:color w:val="auto"/>
          <w:sz w:val="32"/>
          <w:szCs w:val="32"/>
          <w:lang w:val="en-US" w:eastAsia="zh-CN" w:bidi="ar-SA"/>
        </w:rPr>
        <w:t>400</w:t>
      </w:r>
      <w:r>
        <w:rPr>
          <w:rStyle w:val="14"/>
          <w:rFonts w:hint="eastAsia" w:ascii="仿宋_GB2312" w:hAnsi="仿宋_GB2312" w:eastAsia="仿宋_GB2312" w:cs="仿宋_GB2312"/>
          <w:b w:val="0"/>
          <w:color w:val="auto"/>
          <w:sz w:val="32"/>
          <w:szCs w:val="32"/>
          <w:lang w:bidi="ar-SA"/>
        </w:rPr>
        <w:t>万元，完成预算</w:t>
      </w:r>
      <w:r>
        <w:rPr>
          <w:rStyle w:val="14"/>
          <w:rFonts w:hint="eastAsia" w:ascii="仿宋_GB2312" w:hAnsi="仿宋_GB2312" w:eastAsia="仿宋_GB2312" w:cs="仿宋_GB2312"/>
          <w:b w:val="0"/>
          <w:color w:val="auto"/>
          <w:sz w:val="32"/>
          <w:szCs w:val="32"/>
          <w:lang w:val="en-US" w:eastAsia="zh-CN" w:bidi="ar-SA"/>
        </w:rPr>
        <w:t>100</w:t>
      </w:r>
      <w:r>
        <w:rPr>
          <w:rStyle w:val="14"/>
          <w:rFonts w:hint="eastAsia" w:ascii="仿宋_GB2312" w:hAnsi="仿宋_GB2312" w:eastAsia="仿宋_GB2312" w:cs="仿宋_GB2312"/>
          <w:b w:val="0"/>
          <w:color w:val="auto"/>
          <w:sz w:val="32"/>
          <w:szCs w:val="32"/>
          <w:lang w:bidi="ar-SA"/>
        </w:rPr>
        <w:t>%，决算数</w:t>
      </w:r>
      <w:r>
        <w:rPr>
          <w:rStyle w:val="14"/>
          <w:rFonts w:hint="eastAsia" w:ascii="仿宋_GB2312" w:hAnsi="仿宋_GB2312" w:eastAsia="仿宋_GB2312" w:cs="仿宋_GB2312"/>
          <w:b w:val="0"/>
          <w:color w:val="auto"/>
          <w:sz w:val="32"/>
          <w:szCs w:val="32"/>
          <w:lang w:eastAsia="zh-CN" w:bidi="ar-SA"/>
        </w:rPr>
        <w:t>等于</w:t>
      </w:r>
      <w:r>
        <w:rPr>
          <w:rStyle w:val="14"/>
          <w:rFonts w:hint="eastAsia" w:ascii="仿宋_GB2312" w:hAnsi="仿宋_GB2312" w:eastAsia="仿宋_GB2312" w:cs="仿宋_GB2312"/>
          <w:b w:val="0"/>
          <w:color w:val="auto"/>
          <w:sz w:val="32"/>
          <w:szCs w:val="32"/>
          <w:lang w:bidi="ar-SA"/>
        </w:rPr>
        <w:t>预算数的主要原因</w:t>
      </w:r>
      <w:r>
        <w:rPr>
          <w:rStyle w:val="14"/>
          <w:rFonts w:hint="eastAsia" w:ascii="仿宋_GB2312" w:hAnsi="仿宋_GB2312" w:eastAsia="仿宋_GB2312" w:cs="仿宋_GB2312"/>
          <w:b w:val="0"/>
          <w:color w:val="auto"/>
          <w:sz w:val="32"/>
          <w:szCs w:val="32"/>
          <w:lang w:eastAsia="zh-CN" w:bidi="ar-SA"/>
        </w:rPr>
        <w:t>用于地方性债务还款</w:t>
      </w:r>
      <w:r>
        <w:rPr>
          <w:rStyle w:val="14"/>
          <w:rFonts w:hint="eastAsia" w:ascii="仿宋_GB2312" w:hAnsi="仿宋_GB2312" w:eastAsia="仿宋_GB2312" w:cs="仿宋_GB2312"/>
          <w:b w:val="0"/>
          <w:color w:val="auto"/>
          <w:sz w:val="32"/>
          <w:szCs w:val="32"/>
          <w:lang w:bidi="ar-SA"/>
        </w:rPr>
        <w:t>。</w:t>
      </w:r>
    </w:p>
    <w:p>
      <w:pPr>
        <w:spacing w:line="600" w:lineRule="exact"/>
        <w:ind w:firstLine="640" w:firstLineChars="200"/>
        <w:rPr>
          <w:rFonts w:hint="eastAsia" w:ascii="仿宋_GB2312" w:hAnsi="仿宋_GB2312" w:eastAsia="仿宋_GB2312" w:cs="仿宋_GB2312"/>
          <w:lang w:bidi="ar-SA"/>
        </w:rPr>
      </w:pPr>
      <w:r>
        <w:rPr>
          <w:rStyle w:val="14"/>
          <w:rFonts w:hint="eastAsia" w:ascii="仿宋_GB2312" w:hAnsi="仿宋_GB2312" w:eastAsia="仿宋_GB2312" w:cs="仿宋_GB2312"/>
          <w:b w:val="0"/>
          <w:color w:val="auto"/>
          <w:sz w:val="32"/>
          <w:szCs w:val="32"/>
          <w:lang w:val="en-US" w:eastAsia="zh-CN"/>
        </w:rPr>
        <w:t>6.城乡社区（类）城乡社区公共设施（款） 其他城乡社区公共设施支出（项）：</w:t>
      </w:r>
      <w:r>
        <w:rPr>
          <w:rStyle w:val="14"/>
          <w:rFonts w:hint="eastAsia" w:ascii="仿宋_GB2312" w:hAnsi="仿宋_GB2312" w:eastAsia="仿宋_GB2312" w:cs="仿宋_GB2312"/>
          <w:b w:val="0"/>
          <w:color w:val="auto"/>
          <w:sz w:val="32"/>
          <w:szCs w:val="32"/>
          <w:lang w:bidi="ar-SA"/>
        </w:rPr>
        <w:t>支出决算为</w:t>
      </w:r>
      <w:r>
        <w:rPr>
          <w:rStyle w:val="14"/>
          <w:rFonts w:hint="eastAsia" w:ascii="仿宋_GB2312" w:hAnsi="仿宋_GB2312" w:eastAsia="仿宋_GB2312" w:cs="仿宋_GB2312"/>
          <w:b w:val="0"/>
          <w:color w:val="auto"/>
          <w:sz w:val="32"/>
          <w:szCs w:val="32"/>
          <w:lang w:val="en-US" w:eastAsia="zh-CN" w:bidi="ar-SA"/>
        </w:rPr>
        <w:t>1.88</w:t>
      </w:r>
      <w:r>
        <w:rPr>
          <w:rStyle w:val="14"/>
          <w:rFonts w:hint="eastAsia" w:ascii="仿宋_GB2312" w:hAnsi="仿宋_GB2312" w:eastAsia="仿宋_GB2312" w:cs="仿宋_GB2312"/>
          <w:b w:val="0"/>
          <w:color w:val="auto"/>
          <w:sz w:val="32"/>
          <w:szCs w:val="32"/>
          <w:lang w:bidi="ar-SA"/>
        </w:rPr>
        <w:t>万元，完成预算</w:t>
      </w:r>
      <w:r>
        <w:rPr>
          <w:rStyle w:val="14"/>
          <w:rFonts w:hint="eastAsia" w:ascii="仿宋_GB2312" w:hAnsi="仿宋_GB2312" w:eastAsia="仿宋_GB2312" w:cs="仿宋_GB2312"/>
          <w:b w:val="0"/>
          <w:color w:val="auto"/>
          <w:sz w:val="32"/>
          <w:szCs w:val="32"/>
          <w:lang w:val="en-US" w:eastAsia="zh-CN" w:bidi="ar-SA"/>
        </w:rPr>
        <w:t>100</w:t>
      </w:r>
      <w:r>
        <w:rPr>
          <w:rStyle w:val="14"/>
          <w:rFonts w:hint="eastAsia" w:ascii="仿宋_GB2312" w:hAnsi="仿宋_GB2312" w:eastAsia="仿宋_GB2312" w:cs="仿宋_GB2312"/>
          <w:b w:val="0"/>
          <w:color w:val="auto"/>
          <w:sz w:val="32"/>
          <w:szCs w:val="32"/>
          <w:lang w:bidi="ar-SA"/>
        </w:rPr>
        <w:t>%，决算数</w:t>
      </w:r>
      <w:r>
        <w:rPr>
          <w:rStyle w:val="14"/>
          <w:rFonts w:hint="eastAsia" w:ascii="仿宋_GB2312" w:hAnsi="仿宋_GB2312" w:eastAsia="仿宋_GB2312" w:cs="仿宋_GB2312"/>
          <w:b w:val="0"/>
          <w:color w:val="auto"/>
          <w:sz w:val="32"/>
          <w:szCs w:val="32"/>
          <w:lang w:eastAsia="zh-CN" w:bidi="ar-SA"/>
        </w:rPr>
        <w:t>等于</w:t>
      </w:r>
      <w:r>
        <w:rPr>
          <w:rStyle w:val="14"/>
          <w:rFonts w:hint="eastAsia" w:ascii="仿宋_GB2312" w:hAnsi="仿宋_GB2312" w:eastAsia="仿宋_GB2312" w:cs="仿宋_GB2312"/>
          <w:b w:val="0"/>
          <w:color w:val="auto"/>
          <w:sz w:val="32"/>
          <w:szCs w:val="32"/>
          <w:lang w:bidi="ar-SA"/>
        </w:rPr>
        <w:t>预算数的主要原因</w:t>
      </w:r>
      <w:r>
        <w:rPr>
          <w:rStyle w:val="14"/>
          <w:rFonts w:hint="eastAsia" w:ascii="仿宋_GB2312" w:hAnsi="仿宋_GB2312" w:eastAsia="仿宋_GB2312" w:cs="仿宋_GB2312"/>
          <w:b w:val="0"/>
          <w:color w:val="auto"/>
          <w:sz w:val="32"/>
          <w:szCs w:val="32"/>
          <w:lang w:eastAsia="zh-CN" w:bidi="ar-SA"/>
        </w:rPr>
        <w:t>支付</w:t>
      </w:r>
      <w:r>
        <w:rPr>
          <w:rStyle w:val="14"/>
          <w:rFonts w:hint="eastAsia" w:ascii="仿宋_GB2312" w:hAnsi="仿宋_GB2312" w:eastAsia="仿宋_GB2312" w:cs="仿宋_GB2312"/>
          <w:b w:val="0"/>
          <w:color w:val="auto"/>
          <w:sz w:val="32"/>
          <w:szCs w:val="32"/>
          <w:lang w:val="en-US" w:eastAsia="zh-CN" w:bidi="ar-SA"/>
        </w:rPr>
        <w:t>2020年春节氛围营造款项</w:t>
      </w:r>
      <w:r>
        <w:rPr>
          <w:rStyle w:val="14"/>
          <w:rFonts w:hint="eastAsia" w:ascii="仿宋_GB2312" w:hAnsi="仿宋_GB2312" w:eastAsia="仿宋_GB2312" w:cs="仿宋_GB2312"/>
          <w:b w:val="0"/>
          <w:color w:val="auto"/>
          <w:sz w:val="32"/>
          <w:szCs w:val="32"/>
          <w:lang w:bidi="ar-SA"/>
        </w:rPr>
        <w:t>。</w:t>
      </w:r>
    </w:p>
    <w:p>
      <w:pPr>
        <w:tabs>
          <w:tab w:val="right" w:pos="8306"/>
        </w:tabs>
        <w:spacing w:line="600" w:lineRule="exact"/>
        <w:ind w:firstLine="640"/>
        <w:outlineLvl w:val="1"/>
        <w:rPr>
          <w:rStyle w:val="17"/>
        </w:rPr>
      </w:pPr>
      <w:bookmarkStart w:id="66" w:name="_Toc15396608"/>
      <w:bookmarkStart w:id="67" w:name="_Toc16487"/>
      <w:bookmarkStart w:id="68" w:name="_Toc15377214"/>
      <w:bookmarkStart w:id="69" w:name="_Toc2067"/>
      <w:r>
        <w:rPr>
          <w:rFonts w:hint="eastAsia" w:ascii="黑体" w:eastAsia="黑体"/>
          <w:color w:val="000000"/>
          <w:sz w:val="32"/>
          <w:szCs w:val="32"/>
        </w:rPr>
        <w:t>六</w:t>
      </w:r>
      <w:r>
        <w:rPr>
          <w:rFonts w:hint="eastAsia" w:ascii="黑体" w:eastAsia="黑体"/>
          <w:b/>
          <w:color w:val="000000"/>
          <w:sz w:val="32"/>
          <w:szCs w:val="32"/>
        </w:rPr>
        <w:t>、一</w:t>
      </w:r>
      <w:r>
        <w:rPr>
          <w:rStyle w:val="17"/>
          <w:rFonts w:hint="eastAsia" w:ascii="黑体" w:eastAsia="黑体"/>
          <w:b w:val="0"/>
        </w:rPr>
        <w:t>般公共预算财政拨款基本支出决算情况说明</w:t>
      </w:r>
      <w:bookmarkEnd w:id="66"/>
      <w:bookmarkEnd w:id="67"/>
      <w:bookmarkEnd w:id="68"/>
      <w:bookmarkEnd w:id="69"/>
      <w:r>
        <w:rPr>
          <w:rStyle w:val="17"/>
          <w:rFonts w:hint="eastAsia" w:ascii="黑体" w:eastAsia="黑体"/>
          <w:b w:val="0"/>
        </w:rPr>
        <w:tab/>
      </w:r>
    </w:p>
    <w:p>
      <w:pPr>
        <w:spacing w:line="600" w:lineRule="exact"/>
        <w:ind w:firstLine="645"/>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2020年一般公共预算财政拨款基本支出</w:t>
      </w:r>
      <w:r>
        <w:rPr>
          <w:rFonts w:hint="eastAsia" w:ascii="仿宋_GB2312" w:eastAsia="仿宋_GB2312" w:cs="仿宋_GB2312"/>
          <w:color w:val="000000"/>
          <w:sz w:val="32"/>
          <w:szCs w:val="32"/>
          <w:lang w:val="en-US" w:eastAsia="zh-CN" w:bidi="ar-SA"/>
        </w:rPr>
        <w:t>398.17</w:t>
      </w:r>
      <w:r>
        <w:rPr>
          <w:rFonts w:hint="eastAsia" w:ascii="仿宋_GB2312" w:eastAsia="仿宋_GB2312" w:cs="仿宋_GB2312"/>
          <w:color w:val="000000"/>
          <w:sz w:val="32"/>
          <w:szCs w:val="32"/>
          <w:lang w:bidi="ar-SA"/>
        </w:rPr>
        <w:t>万元，其中：</w:t>
      </w:r>
    </w:p>
    <w:p>
      <w:pPr>
        <w:spacing w:line="600" w:lineRule="exact"/>
        <w:ind w:firstLine="645"/>
        <w:rPr>
          <w:rFonts w:hint="eastAsia" w:ascii="仿宋_GB2312" w:eastAsia="仿宋_GB2312" w:cs="仿宋_GB2312"/>
          <w:b/>
          <w:color w:val="FF0000"/>
          <w:sz w:val="32"/>
          <w:szCs w:val="32"/>
          <w:lang w:eastAsia="zh-CN" w:bidi="ar-SA"/>
        </w:rPr>
      </w:pPr>
      <w:r>
        <w:rPr>
          <w:rFonts w:hint="eastAsia" w:ascii="仿宋_GB2312" w:eastAsia="仿宋_GB2312" w:cs="仿宋_GB2312"/>
          <w:color w:val="000000"/>
          <w:sz w:val="32"/>
          <w:szCs w:val="32"/>
          <w:lang w:bidi="ar-SA"/>
        </w:rPr>
        <w:t>人员经费</w:t>
      </w:r>
      <w:r>
        <w:rPr>
          <w:rFonts w:hint="eastAsia" w:ascii="仿宋_GB2312" w:eastAsia="仿宋_GB2312" w:cs="仿宋_GB2312"/>
          <w:color w:val="000000"/>
          <w:sz w:val="32"/>
          <w:szCs w:val="32"/>
          <w:lang w:val="en-US" w:eastAsia="zh-CN" w:bidi="ar-SA"/>
        </w:rPr>
        <w:t>364.44</w:t>
      </w:r>
      <w:r>
        <w:rPr>
          <w:rFonts w:hint="eastAsia" w:ascii="仿宋_GB2312" w:eastAsia="仿宋_GB2312" w:cs="仿宋_GB2312"/>
          <w:color w:val="000000"/>
          <w:sz w:val="32"/>
          <w:szCs w:val="32"/>
          <w:lang w:bidi="ar-SA"/>
        </w:rPr>
        <w:t>万元，主要包括：基本工资、津贴补贴、绩效工资、机关事业单位基本养老保险缴费、职业年金缴费、其他社会保障缴费、其他工资福利支出、生活补助、住房公积金、其他对个人和家庭的补助支出等。</w:t>
      </w:r>
      <w:r>
        <w:rPr>
          <w:rFonts w:hint="eastAsia" w:ascii="仿宋_GB2312" w:eastAsia="仿宋_GB2312" w:cs="仿宋_GB2312"/>
          <w:color w:val="000000"/>
          <w:sz w:val="32"/>
          <w:szCs w:val="32"/>
          <w:lang w:bidi="ar-SA"/>
        </w:rPr>
        <w:br w:type="textWrapping"/>
      </w:r>
      <w:r>
        <w:rPr>
          <w:rFonts w:hint="eastAsia" w:ascii="仿宋_GB2312" w:eastAsia="仿宋_GB2312" w:cs="仿宋_GB2312"/>
          <w:color w:val="000000"/>
          <w:sz w:val="32"/>
          <w:szCs w:val="32"/>
          <w:lang w:bidi="ar-SA"/>
        </w:rPr>
        <w:t>　　日常公用经费</w:t>
      </w:r>
      <w:r>
        <w:rPr>
          <w:rFonts w:hint="eastAsia" w:ascii="仿宋_GB2312" w:eastAsia="仿宋_GB2312" w:cs="仿宋_GB2312"/>
          <w:color w:val="000000"/>
          <w:sz w:val="32"/>
          <w:szCs w:val="32"/>
          <w:lang w:val="en-US" w:eastAsia="zh-CN" w:bidi="ar-SA"/>
        </w:rPr>
        <w:t>33.73</w:t>
      </w:r>
      <w:r>
        <w:rPr>
          <w:rFonts w:hint="eastAsia" w:ascii="仿宋_GB2312" w:eastAsia="仿宋_GB2312" w:cs="仿宋_GB2312"/>
          <w:color w:val="000000"/>
          <w:sz w:val="32"/>
          <w:szCs w:val="32"/>
          <w:lang w:bidi="ar-SA"/>
        </w:rPr>
        <w:t>万元，主要包括：办公费、印刷费、水费、电费、物业管理费、差旅费、维修（护）费、培训费、劳务费、委托业务费、工会经费、福利费、公务用车运行维护费、其他交通费、其他商品和服务支出等。</w:t>
      </w:r>
    </w:p>
    <w:p>
      <w:pPr>
        <w:spacing w:line="600" w:lineRule="exact"/>
        <w:ind w:firstLine="640"/>
        <w:outlineLvl w:val="1"/>
        <w:rPr>
          <w:rStyle w:val="17"/>
          <w:rFonts w:hint="eastAsia" w:ascii="黑体" w:eastAsia="黑体"/>
          <w:b w:val="0"/>
        </w:rPr>
      </w:pPr>
      <w:bookmarkStart w:id="70" w:name="_Toc29391"/>
      <w:bookmarkStart w:id="71" w:name="_Toc15377215"/>
      <w:bookmarkStart w:id="72" w:name="_Toc24514"/>
      <w:bookmarkStart w:id="73" w:name="_Toc15396609"/>
      <w:r>
        <w:rPr>
          <w:rFonts w:hint="eastAsia" w:ascii="黑体" w:eastAsia="黑体"/>
          <w:color w:val="000000"/>
          <w:sz w:val="32"/>
          <w:szCs w:val="32"/>
        </w:rPr>
        <w:t>七、</w:t>
      </w:r>
      <w:r>
        <w:rPr>
          <w:rStyle w:val="17"/>
          <w:rFonts w:hint="eastAsia" w:ascii="黑体" w:eastAsia="黑体"/>
        </w:rPr>
        <w:t>“</w:t>
      </w:r>
      <w:r>
        <w:rPr>
          <w:rStyle w:val="17"/>
          <w:rFonts w:hint="eastAsia" w:ascii="黑体" w:eastAsia="黑体"/>
          <w:b w:val="0"/>
        </w:rPr>
        <w:t>三公”经费财政拨款支出决算情况说明</w:t>
      </w:r>
      <w:bookmarkEnd w:id="70"/>
      <w:bookmarkEnd w:id="71"/>
      <w:bookmarkEnd w:id="72"/>
      <w:bookmarkEnd w:id="73"/>
    </w:p>
    <w:p>
      <w:pPr>
        <w:spacing w:line="600" w:lineRule="exact"/>
        <w:ind w:firstLine="640"/>
        <w:outlineLvl w:val="2"/>
        <w:rPr>
          <w:rFonts w:ascii="仿宋" w:hAnsi="仿宋" w:eastAsia="仿宋"/>
          <w:b/>
          <w:color w:val="000000"/>
          <w:sz w:val="32"/>
          <w:szCs w:val="32"/>
        </w:rPr>
      </w:pPr>
      <w:bookmarkStart w:id="74" w:name="_Toc15377216"/>
      <w:bookmarkStart w:id="75" w:name="_Toc15377218"/>
      <w:bookmarkStart w:id="76" w:name="_Toc203"/>
      <w:bookmarkStart w:id="77" w:name="_Toc15396610"/>
      <w:bookmarkStart w:id="78" w:name="_Toc29297"/>
      <w:r>
        <w:rPr>
          <w:rFonts w:hint="eastAsia" w:ascii="仿宋" w:hAnsi="仿宋" w:eastAsia="仿宋"/>
          <w:b/>
          <w:color w:val="000000"/>
          <w:sz w:val="32"/>
          <w:szCs w:val="32"/>
        </w:rPr>
        <w:t>（一）“三公”经费财政拨款支出决算总体情况说明</w:t>
      </w:r>
      <w:bookmarkEnd w:id="74"/>
    </w:p>
    <w:p>
      <w:pPr>
        <w:spacing w:line="600" w:lineRule="exact"/>
        <w:ind w:firstLine="640"/>
        <w:rPr>
          <w:rFonts w:hint="default"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2020年“三公”经费财政拨款支出决算为0万元，</w:t>
      </w:r>
      <w:r>
        <w:rPr>
          <w:rFonts w:hint="eastAsia" w:ascii="仿宋_GB2312" w:hAnsi="仿宋_GB2312" w:eastAsia="仿宋_GB2312" w:cs="仿宋_GB2312"/>
          <w:color w:val="000000"/>
          <w:sz w:val="32"/>
          <w:szCs w:val="32"/>
          <w:lang w:val="en-US" w:eastAsia="zh-CN"/>
        </w:rPr>
        <w:t>年初未安排预算，2020年</w:t>
      </w:r>
      <w:r>
        <w:rPr>
          <w:rFonts w:hint="eastAsia" w:ascii="仿宋_GB2312" w:hAnsi="仿宋_GB2312" w:eastAsia="仿宋_GB2312" w:cs="仿宋_GB2312"/>
          <w:color w:val="000000"/>
          <w:sz w:val="32"/>
          <w:szCs w:val="32"/>
          <w:lang w:eastAsia="zh-CN"/>
        </w:rPr>
        <w:t>与</w:t>
      </w:r>
      <w:r>
        <w:rPr>
          <w:rFonts w:hint="eastAsia" w:ascii="仿宋_GB2312" w:hAnsi="仿宋_GB2312" w:eastAsia="仿宋_GB2312" w:cs="仿宋_GB2312"/>
          <w:color w:val="000000"/>
          <w:sz w:val="32"/>
          <w:szCs w:val="32"/>
          <w:lang w:val="en-US" w:eastAsia="zh-CN"/>
        </w:rPr>
        <w:t>2019年比无变化。</w:t>
      </w:r>
    </w:p>
    <w:p>
      <w:pPr>
        <w:spacing w:line="600" w:lineRule="exact"/>
        <w:ind w:firstLine="640"/>
        <w:outlineLvl w:val="2"/>
        <w:rPr>
          <w:rFonts w:ascii="仿宋" w:hAnsi="仿宋" w:eastAsia="仿宋"/>
          <w:b/>
          <w:color w:val="000000"/>
          <w:sz w:val="32"/>
          <w:szCs w:val="32"/>
        </w:rPr>
      </w:pPr>
      <w:bookmarkStart w:id="79" w:name="_Toc15377217"/>
      <w:r>
        <w:rPr>
          <w:rFonts w:hint="eastAsia" w:ascii="仿宋" w:hAnsi="仿宋" w:eastAsia="仿宋"/>
          <w:b/>
          <w:color w:val="000000"/>
          <w:sz w:val="32"/>
          <w:szCs w:val="32"/>
        </w:rPr>
        <w:t>（二）“三公”经费财政拨款支出决算具体情况说明</w:t>
      </w:r>
      <w:bookmarkEnd w:id="79"/>
    </w:p>
    <w:p>
      <w:pPr>
        <w:spacing w:line="600" w:lineRule="exact"/>
        <w:ind w:firstLine="640"/>
        <w:rPr>
          <w:rFonts w:hint="eastAsia" w:ascii="仿宋_GB2312" w:hAnsi="仿宋_GB2312" w:eastAsia="仿宋_GB2312" w:cs="仿宋_GB2312"/>
          <w:color w:val="000000"/>
          <w:sz w:val="32"/>
          <w:szCs w:val="32"/>
          <w:lang w:val="en-US" w:eastAsia="zh-CN"/>
        </w:rPr>
      </w:pPr>
      <w:r>
        <w:rPr>
          <w:rFonts w:hint="eastAsia" w:ascii="仿宋_GB2312" w:hAnsi="仿宋_GB2312" w:eastAsia="仿宋_GB2312" w:cs="仿宋_GB2312"/>
          <w:color w:val="000000"/>
          <w:sz w:val="32"/>
          <w:szCs w:val="32"/>
        </w:rPr>
        <w:t>2020年“三公”经费财政拨款支出决算中，因公出国（境）费支出决算0万元；公务用车购置及运行维护费支出决算0万元；公务接待费支出决算0万元。</w:t>
      </w:r>
      <w:r>
        <w:rPr>
          <w:rFonts w:hint="eastAsia" w:ascii="仿宋_GB2312" w:hAnsi="仿宋_GB2312" w:eastAsia="仿宋_GB2312" w:cs="仿宋_GB2312"/>
          <w:color w:val="000000"/>
          <w:sz w:val="32"/>
          <w:szCs w:val="32"/>
          <w:lang w:val="en-US" w:eastAsia="zh-CN"/>
        </w:rPr>
        <w:t xml:space="preserve">  </w:t>
      </w:r>
    </w:p>
    <w:p>
      <w:pPr>
        <w:spacing w:line="600" w:lineRule="exact"/>
        <w:ind w:firstLine="640"/>
        <w:outlineLvl w:val="1"/>
        <w:rPr>
          <w:rFonts w:hint="eastAsia" w:ascii="黑体" w:eastAsia="黑体"/>
          <w:color w:val="000000"/>
          <w:sz w:val="32"/>
          <w:szCs w:val="32"/>
        </w:rPr>
      </w:pPr>
      <w:r>
        <w:rPr>
          <w:rFonts w:hint="eastAsia" w:ascii="仿宋_GB2312" w:hAnsi="仿宋_GB2312" w:eastAsia="仿宋_GB2312" w:cs="仿宋_GB2312"/>
          <w:color w:val="000000"/>
          <w:sz w:val="32"/>
          <w:szCs w:val="32"/>
        </w:rPr>
        <w:t>外事接待支出0万元，外事接待0批次，0人。</w:t>
      </w:r>
    </w:p>
    <w:p>
      <w:pPr>
        <w:spacing w:line="600" w:lineRule="exact"/>
        <w:ind w:firstLine="640"/>
        <w:outlineLvl w:val="1"/>
        <w:rPr>
          <w:rStyle w:val="17"/>
          <w:rFonts w:hint="eastAsia" w:ascii="黑体" w:eastAsia="黑体"/>
        </w:rPr>
      </w:pPr>
      <w:r>
        <w:rPr>
          <w:rFonts w:hint="eastAsia" w:ascii="黑体" w:eastAsia="黑体"/>
          <w:color w:val="000000"/>
          <w:sz w:val="32"/>
          <w:szCs w:val="32"/>
        </w:rPr>
        <w:t>八、</w:t>
      </w:r>
      <w:r>
        <w:rPr>
          <w:rStyle w:val="17"/>
          <w:rFonts w:hint="eastAsia" w:ascii="黑体" w:eastAsia="黑体"/>
          <w:b w:val="0"/>
        </w:rPr>
        <w:t>政府性基金预算支出决算情况说明</w:t>
      </w:r>
      <w:bookmarkEnd w:id="75"/>
      <w:bookmarkEnd w:id="76"/>
      <w:bookmarkEnd w:id="77"/>
      <w:bookmarkEnd w:id="78"/>
    </w:p>
    <w:p>
      <w:pPr>
        <w:spacing w:line="600"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bidi="ar-SA"/>
        </w:rPr>
        <w:t>2020年政府性基金预算拨款支出</w:t>
      </w:r>
      <w:r>
        <w:rPr>
          <w:rFonts w:hint="eastAsia" w:ascii="仿宋_GB2312" w:eastAsia="仿宋_GB2312" w:cs="仿宋_GB2312"/>
          <w:color w:val="000000"/>
          <w:sz w:val="32"/>
          <w:szCs w:val="32"/>
          <w:lang w:val="en-US" w:eastAsia="zh-CN" w:bidi="ar-SA"/>
        </w:rPr>
        <w:t>0</w:t>
      </w:r>
      <w:r>
        <w:rPr>
          <w:rFonts w:hint="eastAsia" w:ascii="仿宋_GB2312" w:eastAsia="仿宋_GB2312" w:cs="仿宋_GB2312"/>
          <w:color w:val="000000"/>
          <w:sz w:val="32"/>
          <w:szCs w:val="32"/>
          <w:lang w:bidi="ar-SA"/>
        </w:rPr>
        <w:t>万元。</w:t>
      </w:r>
    </w:p>
    <w:p>
      <w:pPr>
        <w:spacing w:line="600" w:lineRule="exact"/>
        <w:ind w:firstLine="640" w:firstLineChars="200"/>
        <w:rPr>
          <w:rFonts w:hint="default" w:ascii="仿宋_GB2312" w:eastAsia="仿宋_GB2312"/>
          <w:color w:val="000000"/>
          <w:sz w:val="32"/>
          <w:szCs w:val="32"/>
          <w:lang w:val="en-US" w:eastAsia="zh-CN"/>
        </w:rPr>
      </w:pPr>
      <w:r>
        <w:rPr>
          <w:rFonts w:hint="eastAsia" w:ascii="仿宋_GB2312" w:eastAsia="仿宋_GB2312" w:cs="仿宋_GB2312"/>
          <w:color w:val="000000"/>
          <w:sz w:val="32"/>
          <w:szCs w:val="32"/>
          <w:lang w:val="en-US" w:eastAsia="zh-CN" w:bidi="ar-SA"/>
        </w:rPr>
        <w:t>2020年本单位未在政府性基金预算拨款安排“三公经费”支出。</w:t>
      </w:r>
    </w:p>
    <w:p>
      <w:pPr>
        <w:numPr>
          <w:ilvl w:val="0"/>
          <w:numId w:val="3"/>
        </w:numPr>
        <w:spacing w:line="600" w:lineRule="exact"/>
        <w:ind w:left="0" w:firstLine="640"/>
        <w:outlineLvl w:val="1"/>
        <w:rPr>
          <w:rStyle w:val="17"/>
          <w:rFonts w:hint="eastAsia" w:ascii="黑体" w:eastAsia="黑体"/>
          <w:b w:val="0"/>
        </w:rPr>
      </w:pPr>
      <w:bookmarkStart w:id="80" w:name="_Toc15377219"/>
      <w:bookmarkStart w:id="81" w:name="_Toc15396611"/>
      <w:bookmarkStart w:id="82" w:name="_Toc30833"/>
      <w:bookmarkStart w:id="83" w:name="_Toc27871"/>
      <w:r>
        <w:rPr>
          <w:rStyle w:val="17"/>
          <w:rFonts w:hint="eastAsia" w:ascii="黑体" w:eastAsia="黑体"/>
          <w:b w:val="0"/>
        </w:rPr>
        <w:t>国有资本经营预算支出决算情况说明</w:t>
      </w:r>
      <w:bookmarkEnd w:id="80"/>
      <w:bookmarkEnd w:id="81"/>
      <w:bookmarkEnd w:id="82"/>
      <w:bookmarkEnd w:id="83"/>
    </w:p>
    <w:p>
      <w:pPr>
        <w:spacing w:line="600" w:lineRule="exact"/>
        <w:ind w:firstLine="640" w:firstLineChars="200"/>
        <w:rPr>
          <w:rFonts w:hint="eastAsia" w:ascii="仿宋_GB2312" w:eastAsia="仿宋_GB2312" w:cs="仿宋_GB2312"/>
          <w:sz w:val="44"/>
          <w:szCs w:val="44"/>
          <w:lang w:bidi="ar-SA"/>
        </w:rPr>
      </w:pPr>
      <w:r>
        <w:rPr>
          <w:rFonts w:hint="eastAsia" w:ascii="仿宋_GB2312" w:eastAsia="仿宋_GB2312" w:cs="仿宋_GB2312"/>
          <w:color w:val="000000"/>
          <w:sz w:val="32"/>
          <w:szCs w:val="32"/>
          <w:lang w:bidi="ar-SA"/>
        </w:rPr>
        <w:t>2020年国有资本经营预算拨款支出</w:t>
      </w:r>
      <w:r>
        <w:rPr>
          <w:rFonts w:hint="eastAsia" w:ascii="仿宋_GB2312" w:eastAsia="仿宋_GB2312" w:cs="仿宋_GB2312"/>
          <w:color w:val="000000"/>
          <w:sz w:val="32"/>
          <w:szCs w:val="32"/>
          <w:lang w:val="en-US" w:eastAsia="zh-CN" w:bidi="ar-SA"/>
        </w:rPr>
        <w:t>0</w:t>
      </w:r>
      <w:r>
        <w:rPr>
          <w:rFonts w:hint="eastAsia" w:ascii="仿宋_GB2312" w:eastAsia="仿宋_GB2312" w:cs="仿宋_GB2312"/>
          <w:color w:val="000000"/>
          <w:sz w:val="32"/>
          <w:szCs w:val="32"/>
          <w:lang w:bidi="ar-SA"/>
        </w:rPr>
        <w:t>万元。</w:t>
      </w:r>
    </w:p>
    <w:p>
      <w:pPr>
        <w:spacing w:line="600" w:lineRule="exact"/>
        <w:ind w:left="0" w:firstLine="640" w:firstLineChars="200"/>
        <w:outlineLvl w:val="1"/>
        <w:rPr>
          <w:rStyle w:val="17"/>
          <w:rFonts w:hint="eastAsia" w:ascii="黑体" w:eastAsia="黑体"/>
        </w:rPr>
      </w:pPr>
      <w:bookmarkStart w:id="84" w:name="_Toc10002"/>
      <w:bookmarkStart w:id="85" w:name="_Toc15396612"/>
      <w:bookmarkStart w:id="86" w:name="_Toc15377221"/>
      <w:bookmarkStart w:id="87" w:name="_Toc14629"/>
      <w:r>
        <w:rPr>
          <w:rFonts w:hint="eastAsia" w:ascii="黑体" w:eastAsia="黑体"/>
          <w:color w:val="000000"/>
          <w:sz w:val="32"/>
          <w:szCs w:val="32"/>
        </w:rPr>
        <w:t>十</w:t>
      </w:r>
      <w:r>
        <w:rPr>
          <w:rStyle w:val="17"/>
          <w:rFonts w:hint="eastAsia" w:ascii="黑体" w:eastAsia="黑体"/>
        </w:rPr>
        <w:t>、</w:t>
      </w:r>
      <w:r>
        <w:rPr>
          <w:rStyle w:val="17"/>
          <w:rFonts w:hint="eastAsia" w:ascii="黑体" w:eastAsia="黑体"/>
          <w:b w:val="0"/>
        </w:rPr>
        <w:t>其他重要事项的情况说明</w:t>
      </w:r>
      <w:bookmarkEnd w:id="84"/>
      <w:bookmarkEnd w:id="85"/>
      <w:bookmarkEnd w:id="86"/>
      <w:bookmarkEnd w:id="87"/>
    </w:p>
    <w:p>
      <w:pPr>
        <w:spacing w:line="600" w:lineRule="exact"/>
        <w:ind w:firstLine="642" w:firstLineChars="200"/>
        <w:outlineLvl w:val="2"/>
        <w:rPr>
          <w:rFonts w:hint="eastAsia" w:ascii="仿宋" w:eastAsia="仿宋"/>
          <w:color w:val="000000"/>
          <w:sz w:val="32"/>
          <w:szCs w:val="32"/>
        </w:rPr>
      </w:pPr>
      <w:bookmarkStart w:id="88" w:name="_Toc15377222"/>
      <w:r>
        <w:rPr>
          <w:rFonts w:hint="eastAsia" w:ascii="仿宋" w:eastAsia="仿宋"/>
          <w:b/>
          <w:color w:val="000000"/>
          <w:sz w:val="32"/>
          <w:szCs w:val="32"/>
        </w:rPr>
        <w:t>（一）机关运行经费支出情况</w:t>
      </w:r>
      <w:bookmarkEnd w:id="88"/>
    </w:p>
    <w:p>
      <w:pPr>
        <w:spacing w:line="600" w:lineRule="exact"/>
        <w:ind w:firstLine="640" w:firstLineChars="200"/>
        <w:rPr>
          <w:rFonts w:hint="eastAsia" w:ascii="仿宋_GB2312" w:eastAsia="仿宋_GB2312" w:cs="仿宋_GB2312"/>
          <w:b/>
          <w:color w:val="FF0000"/>
          <w:sz w:val="32"/>
          <w:szCs w:val="32"/>
          <w:lang w:bidi="ar-SA"/>
        </w:rPr>
      </w:pPr>
      <w:r>
        <w:rPr>
          <w:rFonts w:hint="eastAsia" w:ascii="仿宋_GB2312" w:eastAsia="仿宋_GB2312" w:cs="仿宋_GB2312"/>
          <w:color w:val="000000"/>
          <w:sz w:val="32"/>
          <w:szCs w:val="32"/>
          <w:lang w:eastAsia="zh-CN" w:bidi="ar-SA"/>
        </w:rPr>
        <w:t>本单位是事业单位，本年度未发生机关</w:t>
      </w:r>
      <w:r>
        <w:rPr>
          <w:rFonts w:hint="eastAsia" w:ascii="仿宋_GB2312" w:eastAsia="仿宋_GB2312" w:cs="仿宋_GB2312"/>
          <w:color w:val="000000"/>
          <w:sz w:val="32"/>
          <w:szCs w:val="32"/>
          <w:lang w:bidi="ar-SA"/>
        </w:rPr>
        <w:t>运行经费</w:t>
      </w:r>
      <w:r>
        <w:rPr>
          <w:rFonts w:hint="eastAsia" w:ascii="仿宋_GB2312" w:eastAsia="仿宋_GB2312" w:cs="仿宋_GB2312"/>
          <w:color w:val="000000"/>
          <w:sz w:val="32"/>
          <w:szCs w:val="32"/>
          <w:lang w:eastAsia="zh-CN" w:bidi="ar-SA"/>
        </w:rPr>
        <w:t>，</w:t>
      </w:r>
      <w:r>
        <w:rPr>
          <w:rFonts w:hint="eastAsia" w:ascii="仿宋_GB2312" w:eastAsia="仿宋_GB2312" w:cs="仿宋_GB2312"/>
          <w:color w:val="000000"/>
          <w:sz w:val="32"/>
          <w:szCs w:val="32"/>
          <w:lang w:bidi="ar-SA"/>
        </w:rPr>
        <w:t>与2019年决算数持平</w:t>
      </w:r>
      <w:r>
        <w:rPr>
          <w:rFonts w:hint="eastAsia" w:ascii="仿宋_GB2312" w:eastAsia="仿宋_GB2312" w:cs="仿宋_GB2312"/>
          <w:color w:val="000000"/>
          <w:sz w:val="32"/>
          <w:szCs w:val="32"/>
          <w:lang w:eastAsia="zh-CN" w:bidi="ar-SA"/>
        </w:rPr>
        <w:t>。</w:t>
      </w:r>
    </w:p>
    <w:p>
      <w:pPr>
        <w:autoSpaceDE w:val="0"/>
        <w:autoSpaceDN w:val="0"/>
        <w:adjustRightInd w:val="0"/>
        <w:spacing w:line="600" w:lineRule="exact"/>
        <w:ind w:firstLine="642" w:firstLineChars="200"/>
        <w:jc w:val="left"/>
        <w:outlineLvl w:val="2"/>
        <w:rPr>
          <w:rFonts w:hint="eastAsia" w:ascii="仿宋" w:eastAsia="仿宋"/>
          <w:b/>
          <w:color w:val="000000"/>
          <w:sz w:val="32"/>
          <w:szCs w:val="32"/>
        </w:rPr>
      </w:pPr>
      <w:bookmarkStart w:id="89" w:name="_Toc15377223"/>
      <w:r>
        <w:rPr>
          <w:rFonts w:hint="eastAsia" w:ascii="仿宋" w:eastAsia="仿宋"/>
          <w:b/>
          <w:color w:val="000000"/>
          <w:sz w:val="32"/>
          <w:szCs w:val="32"/>
        </w:rPr>
        <w:t>（二）政府采购支出情况</w:t>
      </w:r>
      <w:bookmarkEnd w:id="89"/>
    </w:p>
    <w:p>
      <w:pPr>
        <w:autoSpaceDE w:val="0"/>
        <w:autoSpaceDN w:val="0"/>
        <w:adjustRightInd w:val="0"/>
        <w:spacing w:line="600" w:lineRule="exact"/>
        <w:ind w:firstLine="640" w:firstLineChars="200"/>
        <w:jc w:val="left"/>
        <w:outlineLvl w:val="2"/>
        <w:rPr>
          <w:rFonts w:hint="eastAsia" w:ascii="仿宋_GB2312" w:eastAsia="仿宋_GB2312" w:cs="仿宋_GB2312"/>
          <w:color w:val="000000"/>
          <w:sz w:val="32"/>
          <w:szCs w:val="32"/>
          <w:lang w:bidi="ar-SA"/>
        </w:rPr>
      </w:pPr>
      <w:bookmarkStart w:id="90" w:name="_Toc15377224"/>
      <w:r>
        <w:rPr>
          <w:rFonts w:hint="eastAsia" w:ascii="仿宋_GB2312" w:eastAsia="仿宋_GB2312" w:cs="仿宋_GB2312"/>
          <w:color w:val="000000"/>
          <w:sz w:val="32"/>
          <w:szCs w:val="32"/>
          <w:lang w:bidi="ar-SA"/>
        </w:rPr>
        <w:t>2020年政府采购支出总额</w:t>
      </w:r>
      <w:r>
        <w:rPr>
          <w:rFonts w:hint="eastAsia" w:ascii="仿宋_GB2312" w:eastAsia="仿宋_GB2312" w:cs="仿宋_GB2312"/>
          <w:color w:val="000000"/>
          <w:sz w:val="32"/>
          <w:szCs w:val="32"/>
          <w:lang w:val="en-US" w:eastAsia="zh-CN" w:bidi="ar-SA"/>
        </w:rPr>
        <w:t>0</w:t>
      </w:r>
      <w:r>
        <w:rPr>
          <w:rFonts w:hint="eastAsia" w:ascii="仿宋_GB2312" w:eastAsia="仿宋_GB2312" w:cs="仿宋_GB2312"/>
          <w:color w:val="000000"/>
          <w:sz w:val="32"/>
          <w:szCs w:val="32"/>
          <w:lang w:bidi="ar-SA"/>
        </w:rPr>
        <w:t>万元。</w:t>
      </w:r>
    </w:p>
    <w:p>
      <w:pPr>
        <w:autoSpaceDE w:val="0"/>
        <w:autoSpaceDN w:val="0"/>
        <w:adjustRightInd w:val="0"/>
        <w:spacing w:line="600" w:lineRule="exact"/>
        <w:ind w:firstLine="642" w:firstLineChars="200"/>
        <w:jc w:val="left"/>
        <w:outlineLvl w:val="2"/>
        <w:rPr>
          <w:rFonts w:hint="eastAsia" w:ascii="仿宋" w:eastAsia="仿宋"/>
          <w:b/>
          <w:color w:val="000000"/>
          <w:sz w:val="32"/>
          <w:szCs w:val="32"/>
        </w:rPr>
      </w:pPr>
      <w:r>
        <w:rPr>
          <w:rFonts w:hint="eastAsia" w:ascii="仿宋" w:eastAsia="仿宋"/>
          <w:b/>
          <w:color w:val="000000"/>
          <w:sz w:val="32"/>
          <w:szCs w:val="32"/>
        </w:rPr>
        <w:t>（三）国有资产占有使用情况</w:t>
      </w:r>
      <w:bookmarkEnd w:id="90"/>
    </w:p>
    <w:p>
      <w:pPr>
        <w:autoSpaceDE w:val="0"/>
        <w:autoSpaceDN w:val="0"/>
        <w:adjustRightInd w:val="0"/>
        <w:spacing w:line="600" w:lineRule="exact"/>
        <w:ind w:firstLine="640" w:firstLineChars="200"/>
        <w:jc w:val="left"/>
        <w:rPr>
          <w:rFonts w:hint="eastAsia" w:ascii="仿宋_GB2312" w:eastAsia="仿宋_GB2312" w:cs="仿宋_GB2312"/>
          <w:b/>
          <w:color w:val="FF0000"/>
          <w:sz w:val="32"/>
          <w:szCs w:val="32"/>
          <w:lang w:bidi="ar-SA"/>
        </w:rPr>
      </w:pPr>
      <w:r>
        <w:rPr>
          <w:rFonts w:hint="eastAsia" w:ascii="仿宋_GB2312" w:eastAsia="仿宋_GB2312" w:cs="仿宋_GB2312"/>
          <w:color w:val="000000"/>
          <w:sz w:val="32"/>
          <w:szCs w:val="32"/>
          <w:lang w:bidi="ar-SA"/>
        </w:rPr>
        <w:t>截至2020年12月31日，</w:t>
      </w:r>
      <w:r>
        <w:rPr>
          <w:rFonts w:hint="eastAsia" w:ascii="仿宋_GB2312" w:eastAsia="仿宋_GB2312" w:cs="仿宋_GB2312"/>
          <w:color w:val="000000"/>
          <w:sz w:val="32"/>
          <w:szCs w:val="32"/>
          <w:lang w:eastAsia="zh-CN" w:bidi="ar-SA"/>
        </w:rPr>
        <w:t>广元市城市建设事务中心</w:t>
      </w:r>
      <w:r>
        <w:rPr>
          <w:rFonts w:hint="eastAsia" w:ascii="仿宋_GB2312" w:eastAsia="仿宋_GB2312" w:cs="仿宋_GB2312"/>
          <w:color w:val="000000"/>
          <w:sz w:val="32"/>
          <w:szCs w:val="32"/>
          <w:lang w:bidi="ar-SA"/>
        </w:rPr>
        <w:t>共有车辆</w:t>
      </w:r>
      <w:r>
        <w:rPr>
          <w:rFonts w:hint="eastAsia" w:ascii="仿宋_GB2312" w:eastAsia="仿宋_GB2312" w:cs="仿宋_GB2312"/>
          <w:color w:val="000000"/>
          <w:sz w:val="32"/>
          <w:szCs w:val="32"/>
          <w:lang w:val="en-US" w:eastAsia="zh-CN" w:bidi="ar-SA"/>
        </w:rPr>
        <w:t>0</w:t>
      </w:r>
      <w:r>
        <w:rPr>
          <w:rFonts w:hint="eastAsia" w:ascii="仿宋_GB2312" w:eastAsia="仿宋_GB2312" w:cs="仿宋_GB2312"/>
          <w:color w:val="000000"/>
          <w:sz w:val="32"/>
          <w:szCs w:val="32"/>
          <w:lang w:bidi="ar-SA"/>
        </w:rPr>
        <w:t>辆</w:t>
      </w:r>
      <w:r>
        <w:rPr>
          <w:rFonts w:hint="eastAsia" w:ascii="仿宋_GB2312" w:eastAsia="仿宋_GB2312" w:cs="仿宋_GB2312"/>
          <w:color w:val="000000"/>
          <w:sz w:val="32"/>
          <w:szCs w:val="32"/>
          <w:lang w:eastAsia="zh-CN" w:bidi="ar-SA"/>
        </w:rPr>
        <w:t>。</w:t>
      </w:r>
    </w:p>
    <w:p>
      <w:pPr>
        <w:autoSpaceDE w:val="0"/>
        <w:autoSpaceDN w:val="0"/>
        <w:adjustRightInd w:val="0"/>
        <w:spacing w:line="600" w:lineRule="exact"/>
        <w:ind w:firstLine="642" w:firstLineChars="200"/>
        <w:jc w:val="left"/>
        <w:outlineLvl w:val="2"/>
        <w:rPr>
          <w:rFonts w:hint="eastAsia" w:ascii="仿宋" w:eastAsia="仿宋"/>
          <w:b/>
          <w:color w:val="000000"/>
          <w:sz w:val="32"/>
          <w:szCs w:val="32"/>
        </w:rPr>
      </w:pPr>
      <w:r>
        <w:rPr>
          <w:rFonts w:hint="eastAsia" w:ascii="仿宋" w:eastAsia="仿宋"/>
          <w:b/>
          <w:color w:val="000000"/>
          <w:sz w:val="32"/>
          <w:szCs w:val="32"/>
        </w:rPr>
        <w:t>（四）预算绩效管理情况。</w:t>
      </w:r>
    </w:p>
    <w:p>
      <w:pPr>
        <w:spacing w:line="580" w:lineRule="exact"/>
        <w:ind w:firstLine="640" w:firstLineChars="200"/>
        <w:rPr>
          <w:rFonts w:hint="eastAsia" w:ascii="仿宋_GB2312" w:eastAsia="仿宋_GB2312" w:cs="仿宋_GB2312"/>
          <w:kern w:val="0"/>
          <w:sz w:val="32"/>
          <w:szCs w:val="32"/>
          <w:lang w:eastAsia="zh-CN" w:bidi="ar-SA"/>
        </w:rPr>
      </w:pPr>
      <w:r>
        <w:rPr>
          <w:rFonts w:hint="eastAsia" w:ascii="仿宋_GB2312" w:eastAsia="仿宋_GB2312" w:cs="仿宋_GB2312"/>
          <w:color w:val="000000"/>
          <w:sz w:val="32"/>
          <w:szCs w:val="32"/>
          <w:lang w:bidi="ar-SA"/>
        </w:rPr>
        <w:t>根据预算绩效管理要求，</w:t>
      </w:r>
      <w:r>
        <w:rPr>
          <w:rFonts w:hint="eastAsia" w:ascii="仿宋_GB2312" w:eastAsia="仿宋_GB2312" w:cs="仿宋_GB2312"/>
          <w:kern w:val="0"/>
          <w:sz w:val="32"/>
          <w:szCs w:val="32"/>
          <w:lang w:bidi="ar-SA"/>
        </w:rPr>
        <w:t>本部门开展的项目不属于重点建设项目，因此不需要开展预算事前绩效评估。按照工作要求，自行组织</w:t>
      </w:r>
      <w:r>
        <w:rPr>
          <w:rFonts w:hint="eastAsia" w:ascii="仿宋_GB2312" w:eastAsia="仿宋_GB2312" w:cs="仿宋_GB2312"/>
          <w:kern w:val="0"/>
          <w:sz w:val="32"/>
          <w:szCs w:val="32"/>
          <w:lang w:eastAsia="zh-CN" w:bidi="ar-SA"/>
        </w:rPr>
        <w:t>对</w:t>
      </w:r>
      <w:r>
        <w:rPr>
          <w:rFonts w:hint="eastAsia" w:ascii="仿宋_GB2312" w:eastAsia="仿宋_GB2312" w:cs="仿宋_GB2312"/>
          <w:kern w:val="0"/>
          <w:sz w:val="32"/>
          <w:szCs w:val="32"/>
          <w:lang w:bidi="ar-SA"/>
        </w:rPr>
        <w:t>“市政公用行业监督检查”项目编制了绩效目标，开展绩效监控和绩效目标完成情况梳理填报，从评价情况来看，总体绩效运行情况良好</w:t>
      </w:r>
      <w:r>
        <w:rPr>
          <w:rFonts w:hint="eastAsia" w:ascii="仿宋_GB2312" w:eastAsia="仿宋_GB2312" w:cs="仿宋_GB2312"/>
          <w:kern w:val="0"/>
          <w:sz w:val="32"/>
          <w:szCs w:val="32"/>
          <w:lang w:eastAsia="zh-CN" w:bidi="ar-SA"/>
        </w:rPr>
        <w:t>。</w:t>
      </w:r>
      <w:r>
        <w:rPr>
          <w:rFonts w:hint="eastAsia" w:ascii="仿宋_GB2312" w:eastAsia="仿宋_GB2312" w:cs="仿宋_GB2312"/>
          <w:sz w:val="32"/>
          <w:szCs w:val="32"/>
          <w:lang w:eastAsia="zh-CN" w:bidi="ar-SA"/>
        </w:rPr>
        <w:t>对</w:t>
      </w:r>
      <w:r>
        <w:rPr>
          <w:rFonts w:hint="eastAsia" w:ascii="仿宋_GB2312" w:eastAsia="仿宋_GB2312" w:cs="仿宋_GB2312"/>
          <w:sz w:val="32"/>
          <w:szCs w:val="32"/>
          <w:lang w:bidi="ar-SA"/>
        </w:rPr>
        <w:t>市城区市政道路</w:t>
      </w:r>
      <w:r>
        <w:rPr>
          <w:rFonts w:hint="eastAsia" w:ascii="仿宋_GB2312" w:eastAsia="仿宋_GB2312" w:cs="仿宋_GB2312"/>
          <w:sz w:val="32"/>
          <w:szCs w:val="32"/>
          <w:lang w:eastAsia="zh-CN" w:bidi="ar-SA"/>
        </w:rPr>
        <w:t>、桥梁等</w:t>
      </w:r>
      <w:r>
        <w:rPr>
          <w:rFonts w:hint="eastAsia" w:ascii="仿宋_GB2312" w:eastAsia="仿宋_GB2312" w:cs="仿宋_GB2312"/>
          <w:sz w:val="32"/>
          <w:szCs w:val="32"/>
          <w:lang w:bidi="ar-SA"/>
        </w:rPr>
        <w:t>安全隐患排查</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及时维护维修，保障市城区道路</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桥梁安全运营</w:t>
      </w:r>
    </w:p>
    <w:p>
      <w:pPr>
        <w:spacing w:line="600" w:lineRule="exact"/>
        <w:ind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本部门按要求对2020年部门整体支出开展绩效自评，从评价情况来看合理编制了计划、当年要完成的工作任务和预期要完成的绩效目标。项目绩效目标进一步明确和量化，包括数量、质量、成本、时效、社会效益、满意度等能较完整细致地反映部门年度预算执行情况及职责履行情况。项目实施中，加强项目实施监控，严肃财经纪律，规范财务管理，没有违纪违规情况，做到了资金专款专用。</w:t>
      </w:r>
    </w:p>
    <w:p>
      <w:pPr>
        <w:spacing w:line="580" w:lineRule="exact"/>
        <w:ind w:left="0" w:firstLine="640" w:firstLineChars="200"/>
        <w:rPr>
          <w:rFonts w:hint="eastAsia" w:ascii="仿宋_GB2312" w:eastAsia="仿宋_GB2312" w:cs="仿宋_GB2312"/>
          <w:color w:val="000000"/>
          <w:sz w:val="32"/>
          <w:szCs w:val="32"/>
          <w:lang w:bidi="ar-SA"/>
        </w:rPr>
      </w:pPr>
      <w:r>
        <w:rPr>
          <w:rFonts w:hint="eastAsia" w:ascii="仿宋_GB2312" w:eastAsia="仿宋_GB2312" w:cs="仿宋_GB2312"/>
          <w:color w:val="000000"/>
          <w:sz w:val="32"/>
          <w:szCs w:val="32"/>
          <w:lang w:val="en-US" w:eastAsia="zh-CN" w:bidi="ar-SA"/>
        </w:rPr>
        <w:t>1.</w:t>
      </w:r>
      <w:r>
        <w:rPr>
          <w:rFonts w:hint="eastAsia" w:ascii="仿宋_GB2312" w:eastAsia="仿宋_GB2312" w:cs="仿宋_GB2312"/>
          <w:color w:val="000000"/>
          <w:sz w:val="32"/>
          <w:szCs w:val="32"/>
          <w:lang w:bidi="ar-SA"/>
        </w:rPr>
        <w:t>项目绩效目标完成情况。</w:t>
      </w:r>
      <w:r>
        <w:rPr>
          <w:rFonts w:hint="eastAsia" w:ascii="仿宋_GB2312" w:eastAsia="仿宋_GB2312" w:cs="仿宋_GB2312"/>
          <w:color w:val="000000"/>
          <w:sz w:val="32"/>
          <w:szCs w:val="32"/>
          <w:lang w:bidi="ar-SA"/>
        </w:rPr>
        <w:br w:type="textWrapping"/>
      </w:r>
      <w:r>
        <w:rPr>
          <w:rFonts w:hint="eastAsia" w:ascii="仿宋_GB2312" w:eastAsia="仿宋_GB2312" w:cs="仿宋_GB2312"/>
          <w:color w:val="000000"/>
          <w:sz w:val="32"/>
          <w:szCs w:val="32"/>
          <w:lang w:bidi="ar-SA"/>
        </w:rPr>
        <w:t xml:space="preserve">   </w:t>
      </w:r>
      <w:r>
        <w:rPr>
          <w:rFonts w:hint="eastAsia" w:ascii="仿宋_GB2312" w:eastAsia="仿宋_GB2312" w:cs="仿宋_GB2312"/>
          <w:color w:val="000000"/>
          <w:sz w:val="32"/>
          <w:szCs w:val="32"/>
          <w:lang w:val="en-US" w:eastAsia="zh-CN" w:bidi="ar-SA"/>
        </w:rPr>
        <w:t xml:space="preserve"> </w:t>
      </w:r>
      <w:r>
        <w:rPr>
          <w:rFonts w:hint="eastAsia" w:ascii="仿宋_GB2312" w:eastAsia="仿宋_GB2312" w:cs="仿宋_GB2312"/>
          <w:kern w:val="0"/>
          <w:sz w:val="32"/>
          <w:szCs w:val="32"/>
          <w:lang w:bidi="ar-SA"/>
        </w:rPr>
        <w:t>市政公用行业监督检查</w:t>
      </w:r>
      <w:r>
        <w:rPr>
          <w:rFonts w:hint="eastAsia" w:ascii="仿宋_GB2312" w:eastAsia="仿宋_GB2312" w:cs="仿宋_GB2312"/>
          <w:color w:val="000000"/>
          <w:sz w:val="32"/>
          <w:szCs w:val="32"/>
          <w:lang w:bidi="ar-SA"/>
        </w:rPr>
        <w:t>项目绩效目标完成情况</w:t>
      </w:r>
      <w:r>
        <w:rPr>
          <w:rFonts w:hint="eastAsia" w:ascii="仿宋_GB2312" w:eastAsia="仿宋_GB2312" w:cs="仿宋_GB2312"/>
          <w:color w:val="000000"/>
          <w:sz w:val="32"/>
          <w:szCs w:val="32"/>
          <w:lang w:eastAsia="zh-CN" w:bidi="ar-SA"/>
        </w:rPr>
        <w:t>：</w:t>
      </w:r>
      <w:r>
        <w:rPr>
          <w:rFonts w:hint="eastAsia" w:ascii="仿宋_GB2312" w:eastAsia="仿宋_GB2312" w:cs="仿宋_GB2312"/>
          <w:color w:val="000000"/>
          <w:sz w:val="32"/>
          <w:szCs w:val="32"/>
          <w:lang w:bidi="ar-SA"/>
        </w:rPr>
        <w:t>全年预算数</w:t>
      </w:r>
      <w:r>
        <w:rPr>
          <w:rFonts w:hint="eastAsia" w:ascii="仿宋_GB2312" w:eastAsia="仿宋_GB2312" w:cs="仿宋_GB2312"/>
          <w:color w:val="000000"/>
          <w:sz w:val="32"/>
          <w:szCs w:val="32"/>
          <w:lang w:val="en-US" w:eastAsia="zh-CN" w:bidi="ar-SA"/>
        </w:rPr>
        <w:t>0.54</w:t>
      </w:r>
      <w:r>
        <w:rPr>
          <w:rFonts w:hint="eastAsia" w:ascii="仿宋_GB2312" w:eastAsia="仿宋_GB2312" w:cs="仿宋_GB2312"/>
          <w:color w:val="000000"/>
          <w:sz w:val="32"/>
          <w:szCs w:val="32"/>
          <w:lang w:bidi="ar-SA"/>
        </w:rPr>
        <w:t>万元，执行数为</w:t>
      </w:r>
      <w:r>
        <w:rPr>
          <w:rFonts w:hint="eastAsia" w:ascii="仿宋_GB2312" w:eastAsia="仿宋_GB2312" w:cs="仿宋_GB2312"/>
          <w:color w:val="000000"/>
          <w:sz w:val="32"/>
          <w:szCs w:val="32"/>
          <w:lang w:val="en-US" w:eastAsia="zh-CN" w:bidi="ar-SA"/>
        </w:rPr>
        <w:t>0.54</w:t>
      </w:r>
      <w:r>
        <w:rPr>
          <w:rFonts w:hint="eastAsia" w:ascii="仿宋_GB2312" w:eastAsia="仿宋_GB2312" w:cs="仿宋_GB2312"/>
          <w:color w:val="000000"/>
          <w:sz w:val="32"/>
          <w:szCs w:val="32"/>
          <w:lang w:bidi="ar-SA"/>
        </w:rPr>
        <w:t>万元，完成预算的</w:t>
      </w:r>
      <w:r>
        <w:rPr>
          <w:rFonts w:hint="eastAsia" w:ascii="仿宋_GB2312" w:eastAsia="仿宋_GB2312" w:cs="仿宋_GB2312"/>
          <w:color w:val="000000"/>
          <w:sz w:val="32"/>
          <w:szCs w:val="32"/>
          <w:lang w:val="en-US" w:eastAsia="zh-CN" w:bidi="ar-SA"/>
        </w:rPr>
        <w:t>100</w:t>
      </w:r>
      <w:r>
        <w:rPr>
          <w:rFonts w:hint="eastAsia" w:ascii="仿宋_GB2312" w:eastAsia="仿宋_GB2312" w:cs="仿宋_GB2312"/>
          <w:color w:val="000000"/>
          <w:sz w:val="32"/>
          <w:szCs w:val="32"/>
          <w:lang w:bidi="ar-SA"/>
        </w:rPr>
        <w:t>%</w:t>
      </w:r>
      <w:r>
        <w:rPr>
          <w:rFonts w:hint="eastAsia" w:ascii="仿宋_GB2312" w:eastAsia="仿宋_GB2312" w:cs="仿宋_GB2312"/>
          <w:kern w:val="0"/>
          <w:sz w:val="32"/>
          <w:szCs w:val="32"/>
          <w:lang w:bidi="ar-SA"/>
        </w:rPr>
        <w:t>。</w:t>
      </w:r>
    </w:p>
    <w:p>
      <w:pPr>
        <w:pStyle w:val="2"/>
        <w:rPr>
          <w:rFonts w:hint="eastAsia" w:ascii="仿宋" w:eastAsia="仿宋" w:cs="仿宋"/>
          <w:kern w:val="0"/>
          <w:sz w:val="32"/>
          <w:szCs w:val="32"/>
          <w:lang w:bidi="ar-SA"/>
        </w:rPr>
      </w:pPr>
    </w:p>
    <w:p>
      <w:pPr>
        <w:pStyle w:val="2"/>
        <w:rPr>
          <w:rFonts w:hint="eastAsia" w:ascii="仿宋" w:eastAsia="仿宋" w:cs="仿宋"/>
          <w:kern w:val="0"/>
          <w:sz w:val="32"/>
          <w:szCs w:val="32"/>
          <w:lang w:bidi="ar-SA"/>
        </w:rPr>
      </w:pPr>
    </w:p>
    <w:p>
      <w:pPr>
        <w:pStyle w:val="2"/>
        <w:rPr>
          <w:rFonts w:hint="eastAsia" w:ascii="仿宋" w:eastAsia="仿宋" w:cs="仿宋"/>
          <w:kern w:val="0"/>
          <w:sz w:val="32"/>
          <w:szCs w:val="32"/>
          <w:lang w:bidi="ar-SA"/>
        </w:rPr>
      </w:pPr>
    </w:p>
    <w:p>
      <w:pPr>
        <w:pStyle w:val="2"/>
        <w:rPr>
          <w:rFonts w:hint="eastAsia" w:ascii="仿宋" w:eastAsia="仿宋" w:cs="仿宋"/>
          <w:kern w:val="0"/>
          <w:sz w:val="32"/>
          <w:szCs w:val="32"/>
          <w:lang w:bidi="ar-SA"/>
        </w:rPr>
      </w:pPr>
    </w:p>
    <w:p>
      <w:pPr>
        <w:pStyle w:val="2"/>
        <w:rPr>
          <w:rFonts w:hint="eastAsia" w:ascii="仿宋" w:eastAsia="仿宋" w:cs="仿宋"/>
          <w:kern w:val="0"/>
          <w:sz w:val="32"/>
          <w:szCs w:val="32"/>
          <w:lang w:bidi="ar-SA"/>
        </w:rPr>
      </w:pPr>
    </w:p>
    <w:p>
      <w:pPr>
        <w:pStyle w:val="2"/>
        <w:rPr>
          <w:rFonts w:hint="eastAsia" w:ascii="仿宋" w:eastAsia="仿宋" w:cs="仿宋"/>
          <w:kern w:val="0"/>
          <w:sz w:val="32"/>
          <w:szCs w:val="32"/>
          <w:lang w:bidi="ar-SA"/>
        </w:rPr>
      </w:pPr>
    </w:p>
    <w:p>
      <w:pPr>
        <w:pStyle w:val="2"/>
        <w:rPr>
          <w:rFonts w:hint="eastAsia" w:ascii="仿宋" w:eastAsia="仿宋" w:cs="仿宋"/>
          <w:kern w:val="0"/>
          <w:sz w:val="32"/>
          <w:szCs w:val="32"/>
          <w:lang w:bidi="ar-SA"/>
        </w:rPr>
      </w:pPr>
    </w:p>
    <w:p>
      <w:pPr>
        <w:pStyle w:val="2"/>
        <w:rPr>
          <w:rFonts w:hint="eastAsia" w:ascii="仿宋" w:eastAsia="仿宋" w:cs="仿宋"/>
          <w:kern w:val="0"/>
          <w:sz w:val="32"/>
          <w:szCs w:val="32"/>
          <w:lang w:bidi="ar-SA"/>
        </w:rPr>
      </w:pPr>
    </w:p>
    <w:p>
      <w:pPr>
        <w:pStyle w:val="2"/>
        <w:rPr>
          <w:rFonts w:hint="eastAsia" w:ascii="仿宋" w:eastAsia="仿宋" w:cs="仿宋"/>
          <w:kern w:val="0"/>
          <w:sz w:val="32"/>
          <w:szCs w:val="32"/>
          <w:lang w:bidi="ar-SA"/>
        </w:rPr>
      </w:pPr>
    </w:p>
    <w:p>
      <w:pPr>
        <w:pStyle w:val="2"/>
        <w:rPr>
          <w:rFonts w:hint="eastAsia" w:ascii="仿宋" w:eastAsia="仿宋" w:cs="仿宋"/>
          <w:kern w:val="0"/>
          <w:sz w:val="32"/>
          <w:szCs w:val="32"/>
          <w:lang w:bidi="ar-SA"/>
        </w:rPr>
      </w:pPr>
    </w:p>
    <w:tbl>
      <w:tblPr>
        <w:tblStyle w:val="12"/>
        <w:tblpPr w:leftFromText="180" w:rightFromText="180" w:vertAnchor="text" w:horzAnchor="page" w:tblpX="997" w:tblpY="-11888"/>
        <w:tblOverlap w:val="never"/>
        <w:tblW w:w="9960" w:type="dxa"/>
        <w:tblInd w:w="15" w:type="dxa"/>
        <w:tblLayout w:type="fixed"/>
        <w:tblCellMar>
          <w:top w:w="0" w:type="dxa"/>
          <w:left w:w="0" w:type="dxa"/>
          <w:bottom w:w="0" w:type="dxa"/>
          <w:right w:w="0" w:type="dxa"/>
        </w:tblCellMar>
      </w:tblPr>
      <w:tblGrid>
        <w:gridCol w:w="390"/>
        <w:gridCol w:w="1367"/>
        <w:gridCol w:w="1513"/>
        <w:gridCol w:w="1904"/>
        <w:gridCol w:w="2394"/>
        <w:gridCol w:w="2392"/>
      </w:tblGrid>
      <w:tr>
        <w:tblPrEx>
          <w:tblCellMar>
            <w:top w:w="0" w:type="dxa"/>
            <w:left w:w="0" w:type="dxa"/>
            <w:bottom w:w="0" w:type="dxa"/>
            <w:right w:w="0" w:type="dxa"/>
          </w:tblCellMar>
        </w:tblPrEx>
        <w:trPr>
          <w:trHeight w:val="1034" w:hRule="atLeast"/>
        </w:trPr>
        <w:tc>
          <w:tcPr>
            <w:tcW w:w="9960" w:type="dxa"/>
            <w:gridSpan w:val="6"/>
            <w:tcBorders>
              <w:top w:val="nil"/>
              <w:left w:val="nil"/>
              <w:bottom w:val="nil"/>
              <w:right w:val="nil"/>
            </w:tcBorders>
            <w:noWrap w:val="0"/>
            <w:tcMar>
              <w:top w:w="15" w:type="dxa"/>
              <w:left w:w="15" w:type="dxa"/>
              <w:right w:w="15" w:type="dxa"/>
            </w:tcMar>
            <w:vAlign w:val="center"/>
          </w:tcPr>
          <w:p>
            <w:pPr>
              <w:widowControl/>
              <w:jc w:val="center"/>
              <w:textAlignment w:val="center"/>
              <w:rPr>
                <w:rFonts w:hint="eastAsia" w:ascii="宋体" w:cs="宋体"/>
                <w:color w:val="000000"/>
                <w:sz w:val="36"/>
                <w:szCs w:val="36"/>
                <w:lang w:bidi="ar-SA"/>
              </w:rPr>
            </w:pPr>
            <w:r>
              <w:rPr>
                <w:rFonts w:hint="eastAsia" w:ascii="宋体" w:cs="宋体"/>
                <w:b/>
                <w:bCs/>
                <w:color w:val="000000"/>
                <w:kern w:val="0"/>
                <w:sz w:val="36"/>
                <w:szCs w:val="36"/>
                <w:lang w:bidi="ar"/>
              </w:rPr>
              <w:t>项目绩效目标完成情况表</w:t>
            </w:r>
            <w:r>
              <w:rPr>
                <w:rFonts w:hint="eastAsia" w:ascii="宋体" w:cs="宋体"/>
                <w:b/>
                <w:bCs/>
                <w:color w:val="000000"/>
                <w:kern w:val="0"/>
                <w:sz w:val="36"/>
                <w:szCs w:val="36"/>
                <w:lang w:bidi="ar"/>
              </w:rPr>
              <w:br w:type="textWrapping"/>
            </w:r>
            <w:r>
              <w:rPr>
                <w:rFonts w:hint="eastAsia" w:ascii="宋体" w:cs="宋体"/>
                <w:color w:val="000000"/>
                <w:kern w:val="0"/>
                <w:sz w:val="36"/>
                <w:szCs w:val="36"/>
                <w:lang w:bidi="ar"/>
              </w:rPr>
              <w:t>(2020年度)</w:t>
            </w:r>
          </w:p>
        </w:tc>
      </w:tr>
      <w:tr>
        <w:tblPrEx>
          <w:tblCellMar>
            <w:top w:w="0" w:type="dxa"/>
            <w:left w:w="0" w:type="dxa"/>
            <w:bottom w:w="0" w:type="dxa"/>
            <w:right w:w="0" w:type="dxa"/>
          </w:tblCellMar>
        </w:tblPrEx>
        <w:trPr>
          <w:trHeight w:val="439" w:hRule="atLeast"/>
        </w:trPr>
        <w:tc>
          <w:tcPr>
            <w:tcW w:w="32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项目名称</w:t>
            </w:r>
          </w:p>
        </w:tc>
        <w:tc>
          <w:tcPr>
            <w:tcW w:w="66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eastAsia="宋体" w:cs="宋体"/>
                <w:kern w:val="0"/>
                <w:sz w:val="24"/>
                <w:szCs w:val="24"/>
                <w:lang w:bidi="ar-SA"/>
              </w:rPr>
              <w:t>市政公用行业监督检查</w:t>
            </w:r>
          </w:p>
        </w:tc>
      </w:tr>
      <w:tr>
        <w:tblPrEx>
          <w:tblCellMar>
            <w:top w:w="0" w:type="dxa"/>
            <w:left w:w="0" w:type="dxa"/>
            <w:bottom w:w="0" w:type="dxa"/>
            <w:right w:w="0" w:type="dxa"/>
          </w:tblCellMar>
        </w:tblPrEx>
        <w:trPr>
          <w:trHeight w:val="276" w:hRule="atLeast"/>
        </w:trPr>
        <w:tc>
          <w:tcPr>
            <w:tcW w:w="327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预算单位</w:t>
            </w:r>
          </w:p>
        </w:tc>
        <w:tc>
          <w:tcPr>
            <w:tcW w:w="6690"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bidi="ar-SA"/>
              </w:rPr>
            </w:pPr>
            <w:r>
              <w:rPr>
                <w:rFonts w:hint="eastAsia" w:ascii="宋体" w:cs="宋体"/>
                <w:color w:val="000000"/>
                <w:sz w:val="24"/>
                <w:lang w:eastAsia="zh-CN" w:bidi="ar-SA"/>
              </w:rPr>
              <w:t>广元市城市建设事务中心</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预算执行情况(万元)</w:t>
            </w:r>
          </w:p>
        </w:tc>
        <w:tc>
          <w:tcPr>
            <w:tcW w:w="28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预算数:</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bidi="ar-SA"/>
              </w:rPr>
            </w:pPr>
            <w:r>
              <w:rPr>
                <w:rFonts w:hint="eastAsia" w:ascii="宋体" w:cs="宋体"/>
                <w:color w:val="000000"/>
                <w:sz w:val="24"/>
                <w:lang w:val="en-US" w:eastAsia="zh-CN" w:bidi="ar-SA"/>
              </w:rPr>
              <w:t>0.54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执行数: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bidi="ar-SA"/>
              </w:rPr>
            </w:pPr>
            <w:r>
              <w:rPr>
                <w:rFonts w:hint="eastAsia" w:ascii="宋体" w:cs="宋体"/>
                <w:color w:val="000000"/>
                <w:sz w:val="24"/>
                <w:lang w:val="en-US" w:eastAsia="zh-CN" w:bidi="ar-SA"/>
              </w:rPr>
              <w:t>0.54</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28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其中-财政拨款:</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bidi="ar-SA"/>
              </w:rPr>
            </w:pPr>
            <w:r>
              <w:rPr>
                <w:rFonts w:hint="eastAsia" w:ascii="宋体" w:cs="宋体"/>
                <w:color w:val="000000"/>
                <w:sz w:val="24"/>
                <w:lang w:val="en-US" w:eastAsia="zh-CN" w:bidi="ar-SA"/>
              </w:rPr>
              <w:t>0.54</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其中-财政拨款:</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bidi="ar-SA"/>
              </w:rPr>
            </w:pPr>
            <w:r>
              <w:rPr>
                <w:rFonts w:hint="eastAsia" w:ascii="宋体" w:cs="宋体"/>
                <w:color w:val="000000"/>
                <w:sz w:val="24"/>
                <w:lang w:val="en-US" w:eastAsia="zh-CN" w:bidi="ar-SA"/>
              </w:rPr>
              <w:t>0.54</w:t>
            </w:r>
          </w:p>
        </w:tc>
      </w:tr>
      <w:tr>
        <w:tblPrEx>
          <w:tblCellMar>
            <w:top w:w="0" w:type="dxa"/>
            <w:left w:w="0" w:type="dxa"/>
            <w:bottom w:w="0" w:type="dxa"/>
            <w:right w:w="0" w:type="dxa"/>
          </w:tblCellMar>
        </w:tblPrEx>
        <w:trPr>
          <w:trHeight w:val="1482"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2880"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其它资金:</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其它资金:</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jc w:val="center"/>
              <w:rPr>
                <w:rFonts w:hint="eastAsia" w:ascii="宋体" w:cs="宋体"/>
                <w:color w:val="000000"/>
                <w:sz w:val="24"/>
                <w:lang w:bidi="ar-SA"/>
              </w:rPr>
            </w:pP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bidi="ar-SA"/>
              </w:rPr>
            </w:pPr>
            <w:r>
              <w:rPr>
                <w:rFonts w:hint="eastAsia" w:ascii="宋体" w:eastAsia="宋体" w:cs="宋体"/>
                <w:color w:val="000000"/>
                <w:kern w:val="0"/>
                <w:sz w:val="24"/>
                <w:lang w:bidi="ar"/>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bidi="ar-SA"/>
              </w:rPr>
            </w:pPr>
            <w:r>
              <w:rPr>
                <w:rFonts w:hint="eastAsia" w:ascii="宋体" w:eastAsia="宋体" w:cs="宋体"/>
                <w:color w:val="000000"/>
                <w:kern w:val="0"/>
                <w:sz w:val="24"/>
                <w:lang w:bidi="ar"/>
              </w:rPr>
              <w:t>预期目标</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4784" w:type="dxa"/>
            <w:gridSpan w:val="3"/>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bidi="ar-SA"/>
              </w:rPr>
            </w:pPr>
            <w:r>
              <w:rPr>
                <w:rFonts w:hint="eastAsia" w:ascii="宋体" w:eastAsia="宋体" w:cs="宋体"/>
                <w:sz w:val="24"/>
                <w:szCs w:val="24"/>
                <w:lang w:eastAsia="zh-CN" w:bidi="ar-SA"/>
              </w:rPr>
              <w:t>对</w:t>
            </w:r>
            <w:r>
              <w:rPr>
                <w:rFonts w:hint="eastAsia" w:ascii="宋体" w:eastAsia="宋体" w:cs="宋体"/>
                <w:sz w:val="24"/>
                <w:szCs w:val="24"/>
                <w:lang w:bidi="ar-SA"/>
              </w:rPr>
              <w:t>市城区市政道路</w:t>
            </w:r>
            <w:r>
              <w:rPr>
                <w:rFonts w:hint="eastAsia" w:ascii="宋体" w:eastAsia="宋体" w:cs="宋体"/>
                <w:sz w:val="24"/>
                <w:szCs w:val="24"/>
                <w:lang w:eastAsia="zh-CN" w:bidi="ar-SA"/>
              </w:rPr>
              <w:t>、桥梁等</w:t>
            </w:r>
            <w:r>
              <w:rPr>
                <w:rFonts w:hint="eastAsia" w:ascii="宋体" w:eastAsia="宋体" w:cs="宋体"/>
                <w:sz w:val="24"/>
                <w:szCs w:val="24"/>
                <w:lang w:bidi="ar-SA"/>
              </w:rPr>
              <w:t>安全隐患排查</w:t>
            </w:r>
            <w:r>
              <w:rPr>
                <w:rFonts w:hint="eastAsia" w:ascii="宋体" w:eastAsia="宋体" w:cs="宋体"/>
                <w:sz w:val="24"/>
                <w:szCs w:val="24"/>
                <w:lang w:eastAsia="zh-CN" w:bidi="ar-SA"/>
              </w:rPr>
              <w:t>，</w:t>
            </w:r>
            <w:r>
              <w:rPr>
                <w:rFonts w:hint="eastAsia" w:ascii="宋体" w:eastAsia="宋体" w:cs="宋体"/>
                <w:sz w:val="24"/>
                <w:szCs w:val="24"/>
                <w:lang w:bidi="ar-SA"/>
              </w:rPr>
              <w:t>及时维护维修，保障市城区道路</w:t>
            </w:r>
            <w:r>
              <w:rPr>
                <w:rFonts w:hint="eastAsia" w:ascii="宋体" w:eastAsia="宋体" w:cs="宋体"/>
                <w:sz w:val="24"/>
                <w:szCs w:val="24"/>
                <w:lang w:eastAsia="zh-CN" w:bidi="ar-SA"/>
              </w:rPr>
              <w:t>、</w:t>
            </w:r>
            <w:r>
              <w:rPr>
                <w:rFonts w:hint="eastAsia" w:ascii="宋体" w:eastAsia="宋体" w:cs="宋体"/>
                <w:sz w:val="24"/>
                <w:szCs w:val="24"/>
                <w:lang w:bidi="ar-SA"/>
              </w:rPr>
              <w:t>桥梁安全运营</w:t>
            </w:r>
            <w:r>
              <w:rPr>
                <w:rFonts w:hint="eastAsia" w:ascii="宋体" w:eastAsia="宋体" w:cs="宋体"/>
                <w:sz w:val="24"/>
                <w:szCs w:val="24"/>
                <w:lang w:eastAsia="zh-CN" w:bidi="ar-SA"/>
              </w:rPr>
              <w:t>，为市民出行提供安全的道路环境</w:t>
            </w:r>
          </w:p>
        </w:tc>
        <w:tc>
          <w:tcPr>
            <w:tcW w:w="4786" w:type="dxa"/>
            <w:gridSpan w:val="2"/>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bidi="ar-SA"/>
              </w:rPr>
            </w:pPr>
            <w:r>
              <w:rPr>
                <w:rFonts w:hint="eastAsia" w:ascii="宋体" w:eastAsia="宋体" w:cs="宋体"/>
                <w:sz w:val="24"/>
                <w:szCs w:val="24"/>
                <w:lang w:eastAsia="zh-CN" w:bidi="ar-SA"/>
              </w:rPr>
              <w:t>对</w:t>
            </w:r>
            <w:r>
              <w:rPr>
                <w:rFonts w:hint="eastAsia" w:ascii="宋体" w:eastAsia="宋体" w:cs="宋体"/>
                <w:sz w:val="24"/>
                <w:szCs w:val="24"/>
                <w:lang w:bidi="ar-SA"/>
              </w:rPr>
              <w:t>市城区市政道路</w:t>
            </w:r>
            <w:r>
              <w:rPr>
                <w:rFonts w:hint="eastAsia" w:ascii="宋体" w:eastAsia="宋体" w:cs="宋体"/>
                <w:sz w:val="24"/>
                <w:szCs w:val="24"/>
                <w:lang w:eastAsia="zh-CN" w:bidi="ar-SA"/>
              </w:rPr>
              <w:t>、桥梁等</w:t>
            </w:r>
            <w:r>
              <w:rPr>
                <w:rFonts w:hint="eastAsia" w:ascii="宋体" w:eastAsia="宋体" w:cs="宋体"/>
                <w:sz w:val="24"/>
                <w:szCs w:val="24"/>
                <w:lang w:bidi="ar-SA"/>
              </w:rPr>
              <w:t>安全隐患排查</w:t>
            </w:r>
            <w:r>
              <w:rPr>
                <w:rFonts w:hint="eastAsia" w:ascii="宋体" w:eastAsia="宋体" w:cs="宋体"/>
                <w:sz w:val="24"/>
                <w:szCs w:val="24"/>
                <w:lang w:eastAsia="zh-CN" w:bidi="ar-SA"/>
              </w:rPr>
              <w:t>，</w:t>
            </w:r>
            <w:r>
              <w:rPr>
                <w:rFonts w:hint="eastAsia" w:ascii="宋体" w:eastAsia="宋体" w:cs="宋体"/>
                <w:sz w:val="24"/>
                <w:szCs w:val="24"/>
                <w:lang w:bidi="ar-SA"/>
              </w:rPr>
              <w:t>及时维护维修，保障市城区道路</w:t>
            </w:r>
            <w:r>
              <w:rPr>
                <w:rFonts w:hint="eastAsia" w:ascii="宋体" w:eastAsia="宋体" w:cs="宋体"/>
                <w:sz w:val="24"/>
                <w:szCs w:val="24"/>
                <w:lang w:eastAsia="zh-CN" w:bidi="ar-SA"/>
              </w:rPr>
              <w:t>、</w:t>
            </w:r>
            <w:r>
              <w:rPr>
                <w:rFonts w:hint="eastAsia" w:ascii="宋体" w:eastAsia="宋体" w:cs="宋体"/>
                <w:sz w:val="24"/>
                <w:szCs w:val="24"/>
                <w:lang w:bidi="ar-SA"/>
              </w:rPr>
              <w:t>桥梁安全运营</w:t>
            </w:r>
            <w:r>
              <w:rPr>
                <w:rFonts w:hint="eastAsia" w:ascii="宋体" w:eastAsia="宋体" w:cs="宋体"/>
                <w:sz w:val="24"/>
                <w:szCs w:val="24"/>
                <w:lang w:eastAsia="zh-CN" w:bidi="ar-SA"/>
              </w:rPr>
              <w:t>，为市民出行提供安全的道路环</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nil"/>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绩效指标完成情况</w:t>
            </w: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一级指标</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二级指标</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三级指标</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实际完成指标值(包含数字及文字描述)</w:t>
            </w:r>
          </w:p>
        </w:tc>
      </w:tr>
      <w:tr>
        <w:tblPrEx>
          <w:tblCellMar>
            <w:top w:w="0" w:type="dxa"/>
            <w:left w:w="0" w:type="dxa"/>
            <w:bottom w:w="0" w:type="dxa"/>
            <w:right w:w="0" w:type="dxa"/>
          </w:tblCellMar>
        </w:tblPrEx>
        <w:trPr>
          <w:trHeight w:val="783" w:hRule="atLeast"/>
        </w:trPr>
        <w:tc>
          <w:tcPr>
            <w:tcW w:w="390"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项目完成指标</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数量指标</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完成市政巡查</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bidi="ar-SA"/>
              </w:rPr>
            </w:pPr>
            <w:r>
              <w:rPr>
                <w:rFonts w:hint="eastAsia" w:ascii="宋体" w:cs="宋体"/>
                <w:color w:val="000000"/>
                <w:sz w:val="24"/>
                <w:lang w:eastAsia="zh-CN" w:bidi="ar-SA"/>
              </w:rPr>
              <w:t>全年</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bidi="ar-SA"/>
              </w:rPr>
            </w:pPr>
            <w:r>
              <w:rPr>
                <w:rFonts w:hint="eastAsia" w:ascii="宋体" w:cs="宋体"/>
                <w:color w:val="000000"/>
                <w:sz w:val="24"/>
                <w:lang w:eastAsia="zh-CN" w:bidi="ar-SA"/>
              </w:rPr>
              <w:t>全年</w:t>
            </w:r>
          </w:p>
        </w:tc>
      </w:tr>
      <w:tr>
        <w:tblPrEx>
          <w:tblCellMar>
            <w:top w:w="0" w:type="dxa"/>
            <w:left w:w="0" w:type="dxa"/>
            <w:bottom w:w="0" w:type="dxa"/>
            <w:right w:w="0" w:type="dxa"/>
          </w:tblCellMar>
        </w:tblPrEx>
        <w:trPr>
          <w:trHeight w:val="827" w:hRule="atLeast"/>
        </w:trPr>
        <w:tc>
          <w:tcPr>
            <w:tcW w:w="390"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项目完成指标</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成本指标</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巡查经费</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bidi="ar-SA"/>
              </w:rPr>
            </w:pPr>
            <w:r>
              <w:rPr>
                <w:rFonts w:hint="eastAsia" w:ascii="宋体" w:cs="宋体"/>
                <w:color w:val="000000"/>
                <w:sz w:val="24"/>
                <w:lang w:val="en-US" w:eastAsia="zh-CN" w:bidi="ar-SA"/>
              </w:rPr>
              <w:t>0.54万元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val="en-US" w:eastAsia="zh-CN" w:bidi="ar-SA"/>
              </w:rPr>
            </w:pPr>
            <w:r>
              <w:rPr>
                <w:rFonts w:hint="eastAsia" w:ascii="宋体" w:cs="宋体"/>
                <w:color w:val="000000"/>
                <w:sz w:val="24"/>
                <w:lang w:val="en-US" w:eastAsia="zh-CN" w:bidi="ar-SA"/>
              </w:rPr>
              <w:t>0.54万元</w:t>
            </w:r>
          </w:p>
        </w:tc>
      </w:tr>
      <w:tr>
        <w:tblPrEx>
          <w:tblCellMar>
            <w:top w:w="0" w:type="dxa"/>
            <w:left w:w="0" w:type="dxa"/>
            <w:bottom w:w="0" w:type="dxa"/>
            <w:right w:w="0" w:type="dxa"/>
          </w:tblCellMar>
        </w:tblPrEx>
        <w:trPr>
          <w:trHeight w:val="842" w:hRule="atLeast"/>
        </w:trPr>
        <w:tc>
          <w:tcPr>
            <w:tcW w:w="390" w:type="dxa"/>
            <w:vMerge w:val="continue"/>
            <w:tcBorders>
              <w:top w:val="nil"/>
              <w:left w:val="single" w:color="000000" w:sz="4" w:space="0"/>
              <w:bottom w:val="nil"/>
              <w:right w:val="single" w:color="000000" w:sz="4" w:space="0"/>
            </w:tcBorders>
            <w:noWrap w:val="0"/>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效益指标</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社会效益</w:t>
            </w:r>
          </w:p>
          <w:p>
            <w:pPr>
              <w:widowControl/>
              <w:jc w:val="center"/>
              <w:textAlignment w:val="center"/>
              <w:rPr>
                <w:rFonts w:hint="eastAsia" w:ascii="宋体" w:cs="宋体"/>
                <w:color w:val="000000"/>
                <w:sz w:val="24"/>
                <w:lang w:bidi="ar-SA"/>
              </w:rPr>
            </w:pPr>
            <w:r>
              <w:rPr>
                <w:rFonts w:hint="eastAsia" w:ascii="宋体" w:cs="宋体"/>
                <w:color w:val="000000"/>
                <w:sz w:val="24"/>
                <w:lang w:bidi="ar-SA"/>
              </w:rPr>
              <w:t>指标</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完成市政巡查</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eastAsia="宋体" w:cs="宋体"/>
                <w:sz w:val="24"/>
                <w:szCs w:val="24"/>
                <w:lang w:eastAsia="zh-CN" w:bidi="ar-SA"/>
              </w:rPr>
              <w:t>为市民出行提供安全的道路环境</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eastAsia="宋体" w:cs="宋体"/>
                <w:sz w:val="24"/>
                <w:szCs w:val="24"/>
                <w:lang w:eastAsia="zh-CN" w:bidi="ar-SA"/>
              </w:rPr>
              <w:t>为市民出行提供安全的道路环境</w:t>
            </w:r>
          </w:p>
        </w:tc>
      </w:tr>
      <w:tr>
        <w:tblPrEx>
          <w:tblCellMar>
            <w:top w:w="0" w:type="dxa"/>
            <w:left w:w="0" w:type="dxa"/>
            <w:bottom w:w="0" w:type="dxa"/>
            <w:right w:w="0" w:type="dxa"/>
          </w:tblCellMar>
        </w:tblPrEx>
        <w:trPr>
          <w:trHeight w:val="530" w:hRule="atLeast"/>
        </w:trPr>
        <w:tc>
          <w:tcPr>
            <w:tcW w:w="390" w:type="dxa"/>
            <w:vMerge w:val="continue"/>
            <w:tcBorders>
              <w:top w:val="nil"/>
              <w:left w:val="single" w:color="000000" w:sz="4" w:space="0"/>
              <w:bottom w:val="single" w:color="000000" w:sz="4" w:space="0"/>
              <w:right w:val="single" w:color="000000" w:sz="4" w:space="0"/>
            </w:tcBorders>
            <w:noWrap w:val="0"/>
            <w:tcMar>
              <w:top w:w="15" w:type="dxa"/>
              <w:left w:w="15" w:type="dxa"/>
              <w:right w:w="15" w:type="dxa"/>
            </w:tcMar>
            <w:vAlign w:val="center"/>
          </w:tcPr>
          <w:p/>
        </w:tc>
        <w:tc>
          <w:tcPr>
            <w:tcW w:w="1367"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kern w:val="0"/>
                <w:sz w:val="24"/>
                <w:lang w:bidi="ar"/>
              </w:rPr>
              <w:t>满意度指标</w:t>
            </w:r>
          </w:p>
        </w:tc>
        <w:tc>
          <w:tcPr>
            <w:tcW w:w="1513"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满意度指标</w:t>
            </w:r>
          </w:p>
        </w:tc>
        <w:tc>
          <w:tcPr>
            <w:tcW w:w="190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eastAsia="宋体" w:cs="宋体"/>
                <w:color w:val="000000"/>
                <w:sz w:val="24"/>
                <w:lang w:eastAsia="zh-CN" w:bidi="ar-SA"/>
              </w:rPr>
            </w:pPr>
            <w:r>
              <w:rPr>
                <w:rFonts w:hint="eastAsia" w:ascii="宋体" w:cs="宋体"/>
                <w:color w:val="000000"/>
                <w:sz w:val="24"/>
                <w:lang w:eastAsia="zh-CN" w:bidi="ar-SA"/>
              </w:rPr>
              <w:t>市民满意度</w:t>
            </w:r>
          </w:p>
        </w:tc>
        <w:tc>
          <w:tcPr>
            <w:tcW w:w="2394"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≥90%</w:t>
            </w:r>
          </w:p>
        </w:tc>
        <w:tc>
          <w:tcPr>
            <w:tcW w:w="2392" w:type="dxa"/>
            <w:tcBorders>
              <w:top w:val="single" w:color="000000" w:sz="4" w:space="0"/>
              <w:left w:val="single" w:color="000000" w:sz="4" w:space="0"/>
              <w:bottom w:val="single" w:color="000000" w:sz="4" w:space="0"/>
              <w:right w:val="single" w:color="000000" w:sz="4" w:space="0"/>
            </w:tcBorders>
            <w:noWrap w:val="0"/>
            <w:tcMar>
              <w:top w:w="15" w:type="dxa"/>
              <w:left w:w="15" w:type="dxa"/>
              <w:right w:w="15" w:type="dxa"/>
            </w:tcMar>
            <w:vAlign w:val="center"/>
          </w:tcPr>
          <w:p>
            <w:pPr>
              <w:widowControl/>
              <w:jc w:val="center"/>
              <w:textAlignment w:val="center"/>
              <w:rPr>
                <w:rFonts w:hint="eastAsia" w:ascii="宋体" w:cs="宋体"/>
                <w:color w:val="000000"/>
                <w:sz w:val="24"/>
                <w:lang w:bidi="ar-SA"/>
              </w:rPr>
            </w:pPr>
            <w:r>
              <w:rPr>
                <w:rFonts w:hint="eastAsia" w:ascii="宋体" w:cs="宋体"/>
                <w:color w:val="000000"/>
                <w:sz w:val="24"/>
                <w:lang w:bidi="ar-SA"/>
              </w:rPr>
              <w:t>≥90%</w:t>
            </w:r>
          </w:p>
        </w:tc>
      </w:tr>
    </w:tbl>
    <w:p>
      <w:pPr>
        <w:spacing w:line="580" w:lineRule="exact"/>
        <w:ind w:firstLine="640" w:firstLineChars="200"/>
        <w:rPr>
          <w:rFonts w:hint="eastAsia" w:ascii="仿宋_GB2312" w:eastAsia="仿宋_GB2312" w:cs="仿宋_GB2312"/>
          <w:sz w:val="32"/>
          <w:szCs w:val="32"/>
          <w:lang w:bidi="ar-SA"/>
        </w:rPr>
      </w:pPr>
      <w:r>
        <w:rPr>
          <w:rFonts w:hint="eastAsia" w:ascii="楷体_GB2312" w:eastAsia="楷体_GB2312" w:cs="楷体_GB2312"/>
          <w:sz w:val="32"/>
          <w:szCs w:val="32"/>
          <w:lang w:bidi="ar-SA"/>
        </w:rPr>
        <w:t>2.部门绩效评价结果。</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textAlignment w:val="auto"/>
        <w:rPr>
          <w:rFonts w:hint="eastAsia" w:ascii="仿宋_GB2312" w:eastAsia="仿宋_GB2312" w:cs="仿宋_GB2312"/>
          <w:color w:val="000000"/>
          <w:sz w:val="32"/>
          <w:szCs w:val="32"/>
          <w:lang w:eastAsia="zh-CN" w:bidi="ar-SA"/>
        </w:rPr>
      </w:pPr>
      <w:r>
        <w:rPr>
          <w:rFonts w:hint="eastAsia" w:ascii="仿宋_GB2312" w:eastAsia="仿宋_GB2312" w:cs="仿宋_GB2312"/>
          <w:color w:val="000000"/>
          <w:sz w:val="32"/>
          <w:szCs w:val="32"/>
          <w:lang w:bidi="ar-SA"/>
        </w:rPr>
        <w:t>本部门按要求对2020年部门整体支出绩效评价情况开展自评，《</w:t>
      </w:r>
      <w:r>
        <w:rPr>
          <w:rFonts w:hint="eastAsia" w:ascii="仿宋_GB2312" w:eastAsia="仿宋_GB2312" w:cs="仿宋_GB2312"/>
          <w:color w:val="000000"/>
          <w:sz w:val="32"/>
          <w:szCs w:val="32"/>
          <w:lang w:eastAsia="zh-CN" w:bidi="ar-SA"/>
        </w:rPr>
        <w:t>广元市城市建设事务中心</w:t>
      </w:r>
      <w:r>
        <w:rPr>
          <w:rFonts w:hint="eastAsia" w:ascii="仿宋_GB2312" w:eastAsia="仿宋_GB2312" w:cs="仿宋_GB2312"/>
          <w:color w:val="000000"/>
          <w:sz w:val="32"/>
          <w:szCs w:val="32"/>
          <w:lang w:bidi="ar-SA"/>
        </w:rPr>
        <w:t>2020年部门整体支出绩效评价报告》见附件（附件1）</w:t>
      </w:r>
      <w:r>
        <w:rPr>
          <w:rFonts w:hint="eastAsia" w:ascii="仿宋_GB2312" w:eastAsia="仿宋_GB2312" w:cs="仿宋_GB2312"/>
          <w:color w:val="000000"/>
          <w:sz w:val="32"/>
          <w:szCs w:val="32"/>
          <w:lang w:eastAsia="zh-CN" w:bidi="ar-SA"/>
        </w:rPr>
        <w:t>。</w:t>
      </w:r>
    </w:p>
    <w:p>
      <w:pPr>
        <w:keepNext w:val="0"/>
        <w:keepLines w:val="0"/>
        <w:pageBreakBefore w:val="0"/>
        <w:widowControl w:val="0"/>
        <w:kinsoku/>
        <w:wordWrap/>
        <w:overflowPunct/>
        <w:topLinePunct w:val="0"/>
        <w:autoSpaceDE/>
        <w:autoSpaceDN/>
        <w:bidi w:val="0"/>
        <w:adjustRightInd/>
        <w:spacing w:line="576" w:lineRule="exact"/>
        <w:ind w:left="0" w:firstLine="640" w:firstLineChars="200"/>
        <w:textAlignment w:val="auto"/>
        <w:rPr>
          <w:rFonts w:hint="eastAsia" w:ascii="仿宋" w:eastAsia="仿宋"/>
          <w:color w:val="000000"/>
          <w:sz w:val="32"/>
          <w:szCs w:val="32"/>
          <w:lang w:eastAsia="zh-CN"/>
        </w:rPr>
      </w:pPr>
      <w:r>
        <w:rPr>
          <w:rFonts w:hint="eastAsia" w:ascii="仿宋_GB2312" w:eastAsia="仿宋_GB2312" w:cs="仿宋_GB2312"/>
          <w:color w:val="000000"/>
          <w:kern w:val="2"/>
          <w:sz w:val="32"/>
          <w:szCs w:val="32"/>
          <w:lang w:val="en-US" w:eastAsia="zh-CN" w:bidi="ar-SA"/>
        </w:rPr>
        <w:t>本部门自行组织对“市政公用行业监督检查”项目开展了绩效评价，评价报告见附件2</w:t>
      </w:r>
      <w:r>
        <w:rPr>
          <w:rFonts w:hint="eastAsia" w:ascii="仿宋_GB2312" w:eastAsia="仿宋_GB2312" w:cs="仿宋_GB2312"/>
          <w:color w:val="000000"/>
          <w:sz w:val="32"/>
          <w:szCs w:val="32"/>
          <w:lang w:bidi="ar-SA"/>
        </w:rPr>
        <w:t>。</w:t>
      </w:r>
    </w:p>
    <w:p>
      <w:pPr>
        <w:pStyle w:val="2"/>
        <w:rPr>
          <w:rFonts w:hint="eastAsia" w:ascii="仿宋" w:eastAsia="仿宋"/>
          <w:color w:val="000000"/>
          <w:sz w:val="32"/>
          <w:szCs w:val="32"/>
          <w:lang w:eastAsia="zh-CN"/>
        </w:rPr>
      </w:pPr>
    </w:p>
    <w:p>
      <w:pPr>
        <w:numPr>
          <w:ilvl w:val="0"/>
          <w:numId w:val="4"/>
        </w:numPr>
        <w:spacing w:line="600" w:lineRule="exact"/>
        <w:ind w:left="0" w:firstLine="660" w:firstLineChars="150"/>
        <w:jc w:val="center"/>
        <w:outlineLvl w:val="0"/>
        <w:rPr>
          <w:rStyle w:val="16"/>
          <w:rFonts w:hint="eastAsia" w:ascii="黑体" w:eastAsia="黑体"/>
          <w:b w:val="0"/>
        </w:rPr>
      </w:pPr>
      <w:bookmarkStart w:id="91" w:name="_Toc15377225"/>
      <w:bookmarkStart w:id="92" w:name="_Toc31025"/>
      <w:bookmarkStart w:id="93" w:name="_Toc6850"/>
      <w:bookmarkStart w:id="94" w:name="_Toc15396613"/>
      <w:r>
        <w:rPr>
          <w:rFonts w:hint="eastAsia" w:ascii="黑体" w:eastAsia="黑体"/>
          <w:color w:val="000000"/>
          <w:sz w:val="44"/>
          <w:szCs w:val="44"/>
        </w:rPr>
        <w:t>名</w:t>
      </w:r>
      <w:r>
        <w:rPr>
          <w:rStyle w:val="16"/>
          <w:rFonts w:hint="eastAsia" w:ascii="黑体" w:eastAsia="黑体"/>
          <w:b w:val="0"/>
        </w:rPr>
        <w:t>词解释</w:t>
      </w:r>
      <w:bookmarkEnd w:id="91"/>
      <w:bookmarkEnd w:id="92"/>
      <w:bookmarkEnd w:id="93"/>
      <w:bookmarkEnd w:id="94"/>
    </w:p>
    <w:p>
      <w:pPr>
        <w:spacing w:line="600" w:lineRule="exact"/>
        <w:jc w:val="left"/>
        <w:rPr>
          <w:rFonts w:hint="eastAsia" w:ascii="宋体"/>
          <w:b/>
          <w:color w:val="000000"/>
          <w:sz w:val="44"/>
          <w:szCs w:val="44"/>
        </w:rPr>
      </w:pPr>
    </w:p>
    <w:p>
      <w:pPr>
        <w:pStyle w:val="21"/>
        <w:spacing w:line="560" w:lineRule="exact"/>
        <w:ind w:firstLine="642" w:firstLineChars="200"/>
        <w:rPr>
          <w:rFonts w:hint="eastAsia" w:ascii="仿宋_GB2312" w:eastAsia="仿宋_GB2312"/>
          <w:sz w:val="32"/>
          <w:szCs w:val="32"/>
        </w:rPr>
      </w:pPr>
      <w:bookmarkStart w:id="95" w:name="_Toc15396614"/>
      <w:bookmarkStart w:id="96" w:name="_Toc15377226"/>
      <w:r>
        <w:rPr>
          <w:rFonts w:hint="eastAsia" w:ascii="仿宋_GB2312" w:eastAsia="仿宋_GB2312"/>
          <w:b/>
          <w:bCs/>
          <w:sz w:val="32"/>
          <w:szCs w:val="32"/>
        </w:rPr>
        <w:t>1.财政拨款收入：</w:t>
      </w:r>
      <w:r>
        <w:rPr>
          <w:rFonts w:hint="eastAsia" w:ascii="仿宋_GB2312" w:eastAsia="仿宋_GB2312"/>
          <w:sz w:val="32"/>
          <w:szCs w:val="32"/>
        </w:rPr>
        <w:t>指单位从同级财政部门取得的财政预算资金。</w:t>
      </w:r>
    </w:p>
    <w:p>
      <w:pPr>
        <w:pStyle w:val="21"/>
        <w:spacing w:line="560" w:lineRule="exact"/>
        <w:ind w:firstLine="642" w:firstLineChars="200"/>
        <w:rPr>
          <w:rFonts w:hint="eastAsia" w:ascii="仿宋_GB2312" w:eastAsia="仿宋_GB2312"/>
          <w:sz w:val="32"/>
          <w:szCs w:val="32"/>
        </w:rPr>
      </w:pPr>
      <w:r>
        <w:rPr>
          <w:rFonts w:hint="eastAsia" w:ascii="仿宋_GB2312" w:eastAsia="仿宋_GB2312"/>
          <w:b/>
          <w:bCs/>
          <w:sz w:val="32"/>
          <w:szCs w:val="32"/>
          <w:lang w:val="en-US" w:eastAsia="zh-CN"/>
        </w:rPr>
        <w:t>2</w:t>
      </w:r>
      <w:r>
        <w:rPr>
          <w:rFonts w:hint="eastAsia" w:ascii="仿宋_GB2312" w:eastAsia="仿宋_GB2312"/>
          <w:b/>
          <w:bCs/>
          <w:sz w:val="32"/>
          <w:szCs w:val="32"/>
        </w:rPr>
        <w:t>.其他收入：</w:t>
      </w:r>
      <w:r>
        <w:rPr>
          <w:rFonts w:hint="eastAsia" w:ascii="仿宋_GB2312" w:eastAsia="仿宋_GB2312"/>
          <w:sz w:val="32"/>
          <w:szCs w:val="32"/>
        </w:rPr>
        <w:t>指单位取得的除上述收入以外的各项收入。主要是</w:t>
      </w:r>
      <w:r>
        <w:rPr>
          <w:rFonts w:hint="eastAsia" w:ascii="仿宋_GB2312" w:eastAsia="仿宋_GB2312"/>
          <w:sz w:val="32"/>
          <w:szCs w:val="32"/>
          <w:lang w:eastAsia="zh-CN"/>
        </w:rPr>
        <w:t>利息收入</w:t>
      </w:r>
      <w:r>
        <w:rPr>
          <w:rFonts w:hint="eastAsia" w:ascii="仿宋_GB2312" w:eastAsia="仿宋_GB2312"/>
          <w:sz w:val="32"/>
          <w:szCs w:val="32"/>
        </w:rPr>
        <w:t xml:space="preserve">等。 </w:t>
      </w:r>
    </w:p>
    <w:p>
      <w:pPr>
        <w:pStyle w:val="21"/>
        <w:spacing w:line="560" w:lineRule="exact"/>
        <w:ind w:firstLine="642" w:firstLineChars="200"/>
        <w:rPr>
          <w:rFonts w:hint="eastAsia" w:ascii="仿宋_GB2312" w:eastAsia="仿宋_GB2312"/>
          <w:sz w:val="32"/>
          <w:szCs w:val="32"/>
        </w:rPr>
      </w:pPr>
      <w:r>
        <w:rPr>
          <w:rFonts w:hint="eastAsia" w:ascii="仿宋_GB2312" w:eastAsia="仿宋_GB2312"/>
          <w:b/>
          <w:bCs/>
          <w:sz w:val="32"/>
          <w:szCs w:val="32"/>
          <w:lang w:val="en-US" w:eastAsia="zh-CN"/>
        </w:rPr>
        <w:t>3</w:t>
      </w:r>
      <w:r>
        <w:rPr>
          <w:rFonts w:hint="eastAsia" w:ascii="仿宋_GB2312" w:eastAsia="仿宋_GB2312"/>
          <w:b/>
          <w:bCs/>
          <w:sz w:val="32"/>
          <w:szCs w:val="32"/>
        </w:rPr>
        <w:t>.年初结转和结余：</w:t>
      </w:r>
      <w:r>
        <w:rPr>
          <w:rFonts w:hint="eastAsia" w:ascii="仿宋_GB2312" w:eastAsia="仿宋_GB2312"/>
          <w:sz w:val="32"/>
          <w:szCs w:val="32"/>
        </w:rPr>
        <w:t xml:space="preserve">指以前年度尚未完成、结转到本年按有关规定继续使用的资金。 </w:t>
      </w:r>
    </w:p>
    <w:p>
      <w:pPr>
        <w:pStyle w:val="21"/>
        <w:spacing w:line="560" w:lineRule="exact"/>
        <w:ind w:firstLine="642" w:firstLineChars="200"/>
        <w:rPr>
          <w:rFonts w:hint="eastAsia" w:ascii="仿宋_GB2312" w:eastAsia="仿宋_GB2312"/>
          <w:sz w:val="32"/>
          <w:szCs w:val="32"/>
        </w:rPr>
      </w:pPr>
      <w:r>
        <w:rPr>
          <w:rFonts w:hint="eastAsia" w:ascii="仿宋_GB2312" w:eastAsia="仿宋_GB2312"/>
          <w:b/>
          <w:bCs/>
          <w:sz w:val="32"/>
          <w:szCs w:val="32"/>
          <w:lang w:val="en-US" w:eastAsia="zh-CN"/>
        </w:rPr>
        <w:t>4.</w:t>
      </w:r>
      <w:r>
        <w:rPr>
          <w:rFonts w:hint="eastAsia" w:ascii="仿宋_GB2312" w:eastAsia="仿宋_GB2312"/>
          <w:b/>
          <w:bCs/>
          <w:sz w:val="32"/>
          <w:szCs w:val="32"/>
        </w:rPr>
        <w:t>年末结转和结余：</w:t>
      </w:r>
      <w:r>
        <w:rPr>
          <w:rFonts w:hint="eastAsia" w:ascii="仿宋_GB2312" w:eastAsia="仿宋_GB2312"/>
          <w:sz w:val="32"/>
          <w:szCs w:val="32"/>
        </w:rPr>
        <w:t>指单位按有关规定结转到下年或以后年度继续使用的资金。</w:t>
      </w:r>
    </w:p>
    <w:p>
      <w:pPr>
        <w:spacing w:line="576" w:lineRule="exact"/>
        <w:ind w:firstLine="642" w:firstLineChars="200"/>
        <w:rPr>
          <w:rFonts w:hint="eastAsia" w:ascii="仿宋_GB2312" w:eastAsia="仿宋_GB2312"/>
          <w:color w:val="000000"/>
          <w:sz w:val="32"/>
          <w:szCs w:val="32"/>
        </w:rPr>
      </w:pPr>
      <w:r>
        <w:rPr>
          <w:rFonts w:hint="eastAsia" w:ascii="仿宋_GB2312" w:eastAsia="仿宋_GB2312" w:cs="仿宋_GB2312"/>
          <w:b/>
          <w:bCs/>
          <w:color w:val="000000"/>
          <w:sz w:val="32"/>
          <w:szCs w:val="32"/>
          <w:lang w:bidi="ar-SA"/>
        </w:rPr>
        <w:t>5.</w:t>
      </w:r>
      <w:r>
        <w:rPr>
          <w:rStyle w:val="14"/>
          <w:rFonts w:hint="eastAsia" w:ascii="仿宋_GB2312" w:eastAsia="仿宋_GB2312" w:cs="仿宋_GB2312"/>
          <w:bCs/>
          <w:color w:val="000000"/>
          <w:sz w:val="32"/>
          <w:szCs w:val="32"/>
          <w:lang w:bidi="ar-SA"/>
        </w:rPr>
        <w:t>社会保障和就业（类）行政事业单位离退休（款）机关事业单位基本养老保险缴费支出（项）</w:t>
      </w:r>
      <w:r>
        <w:rPr>
          <w:rFonts w:hint="eastAsia" w:ascii="仿宋_GB2312" w:eastAsia="仿宋_GB2312" w:cs="仿宋_GB2312"/>
          <w:b/>
          <w:bCs/>
          <w:color w:val="000000"/>
          <w:sz w:val="32"/>
          <w:szCs w:val="32"/>
          <w:lang w:bidi="ar-SA"/>
        </w:rPr>
        <w:t>：</w:t>
      </w:r>
      <w:r>
        <w:rPr>
          <w:rFonts w:hint="eastAsia" w:ascii="仿宋_GB2312" w:eastAsia="仿宋_GB2312" w:cs="仿宋_GB2312"/>
          <w:color w:val="000000"/>
          <w:sz w:val="32"/>
          <w:szCs w:val="32"/>
          <w:lang w:bidi="ar-SA"/>
        </w:rPr>
        <w:t>指反映机关事业单位实施养老保险制度由单位缴纳的基本养老保险支出。</w:t>
      </w:r>
    </w:p>
    <w:p>
      <w:pPr>
        <w:spacing w:line="576" w:lineRule="exact"/>
        <w:ind w:firstLine="642" w:firstLineChars="200"/>
        <w:rPr>
          <w:rFonts w:hint="eastAsia" w:ascii="仿宋_GB2312" w:eastAsia="仿宋_GB2312"/>
          <w:color w:val="000000"/>
          <w:sz w:val="32"/>
          <w:szCs w:val="32"/>
        </w:rPr>
      </w:pPr>
      <w:r>
        <w:rPr>
          <w:rFonts w:hint="eastAsia" w:ascii="仿宋_GB2312" w:eastAsia="仿宋_GB2312" w:cs="仿宋_GB2312"/>
          <w:b/>
          <w:bCs/>
          <w:color w:val="000000"/>
          <w:sz w:val="32"/>
          <w:szCs w:val="32"/>
          <w:lang w:bidi="ar-SA"/>
        </w:rPr>
        <w:t>6.</w:t>
      </w:r>
      <w:r>
        <w:rPr>
          <w:rFonts w:hint="eastAsia" w:ascii="仿宋_GB2312" w:eastAsia="仿宋_GB2312"/>
          <w:b/>
          <w:bCs/>
          <w:color w:val="000000"/>
          <w:sz w:val="32"/>
          <w:szCs w:val="32"/>
        </w:rPr>
        <w:t>医疗卫生与计划生育</w:t>
      </w:r>
      <w:r>
        <w:rPr>
          <w:rStyle w:val="14"/>
          <w:rFonts w:hint="eastAsia" w:ascii="仿宋_GB2312" w:eastAsia="仿宋_GB2312" w:cs="仿宋_GB2312"/>
          <w:bCs/>
          <w:color w:val="000000"/>
          <w:sz w:val="32"/>
          <w:szCs w:val="32"/>
          <w:lang w:bidi="ar-SA"/>
        </w:rPr>
        <w:t>（类）行政事业单位医疗（款）事业单位医疗（项）</w:t>
      </w:r>
      <w:r>
        <w:rPr>
          <w:rFonts w:hint="eastAsia" w:ascii="仿宋_GB2312" w:eastAsia="仿宋_GB2312" w:cs="仿宋_GB2312"/>
          <w:b/>
          <w:bCs/>
          <w:color w:val="000000"/>
          <w:sz w:val="32"/>
          <w:szCs w:val="32"/>
          <w:lang w:bidi="ar-SA"/>
        </w:rPr>
        <w:t>：</w:t>
      </w:r>
      <w:r>
        <w:rPr>
          <w:rFonts w:hint="eastAsia" w:ascii="仿宋_GB2312" w:eastAsia="仿宋_GB2312" w:cs="仿宋_GB2312"/>
          <w:color w:val="000000"/>
          <w:sz w:val="32"/>
          <w:szCs w:val="32"/>
          <w:lang w:bidi="ar-SA"/>
        </w:rPr>
        <w:t>指反映财政部门集中安排的事业单位基本医疗保险缴费经费，未参加医疗保险的事业单位的公费医疗经费，按国家规定享受离休人员待遇的医疗经费。</w:t>
      </w:r>
    </w:p>
    <w:p>
      <w:pPr>
        <w:spacing w:line="576" w:lineRule="exact"/>
        <w:ind w:firstLine="642" w:firstLineChars="200"/>
        <w:rPr>
          <w:rStyle w:val="14"/>
          <w:rFonts w:hint="eastAsia" w:ascii="仿宋_GB2312" w:eastAsia="仿宋_GB2312" w:cs="仿宋_GB2312"/>
          <w:b w:val="0"/>
          <w:color w:val="auto"/>
          <w:sz w:val="32"/>
          <w:szCs w:val="32"/>
          <w:lang w:bidi="ar-SA"/>
        </w:rPr>
      </w:pPr>
      <w:r>
        <w:rPr>
          <w:rStyle w:val="14"/>
          <w:rFonts w:hint="eastAsia" w:ascii="仿宋_GB2312" w:eastAsia="仿宋_GB2312" w:cs="仿宋_GB2312"/>
          <w:bCs/>
          <w:sz w:val="32"/>
          <w:szCs w:val="32"/>
          <w:lang w:val="en-US" w:eastAsia="zh-CN" w:bidi="ar-SA"/>
        </w:rPr>
        <w:t>7.</w:t>
      </w:r>
      <w:r>
        <w:rPr>
          <w:rStyle w:val="14"/>
          <w:rFonts w:hint="eastAsia" w:ascii="仿宋_GB2312" w:eastAsia="仿宋_GB2312" w:cs="仿宋_GB2312"/>
          <w:bCs/>
          <w:sz w:val="32"/>
          <w:szCs w:val="32"/>
          <w:lang w:bidi="ar-SA"/>
        </w:rPr>
        <w:t>城乡社区</w:t>
      </w:r>
      <w:r>
        <w:rPr>
          <w:rStyle w:val="14"/>
          <w:rFonts w:hint="eastAsia" w:ascii="仿宋_GB2312" w:eastAsia="仿宋_GB2312" w:cs="仿宋_GB2312"/>
          <w:bCs/>
          <w:color w:val="000000"/>
          <w:sz w:val="32"/>
          <w:szCs w:val="32"/>
          <w:lang w:bidi="ar-SA"/>
        </w:rPr>
        <w:t>（类）城乡社区管理事务</w:t>
      </w:r>
      <w:r>
        <w:rPr>
          <w:rStyle w:val="14"/>
          <w:rFonts w:hint="eastAsia" w:ascii="仿宋_GB2312" w:eastAsia="仿宋_GB2312" w:cs="仿宋_GB2312"/>
          <w:bCs/>
          <w:color w:val="auto"/>
          <w:sz w:val="32"/>
          <w:szCs w:val="32"/>
          <w:lang w:bidi="ar-SA"/>
        </w:rPr>
        <w:t>（款)</w:t>
      </w:r>
      <w:r>
        <w:rPr>
          <w:rStyle w:val="14"/>
          <w:rFonts w:hint="eastAsia" w:ascii="仿宋_GB2312" w:eastAsia="仿宋_GB2312" w:cs="仿宋_GB2312"/>
          <w:bCs/>
          <w:color w:val="auto"/>
          <w:sz w:val="32"/>
          <w:szCs w:val="32"/>
          <w:lang w:val="en-US" w:eastAsia="zh-CN" w:bidi="ar-SA"/>
        </w:rPr>
        <w:t>工程建设标准规范编制与监管</w:t>
      </w:r>
      <w:r>
        <w:rPr>
          <w:rStyle w:val="14"/>
          <w:rFonts w:hint="eastAsia" w:ascii="仿宋_GB2312" w:eastAsia="仿宋_GB2312" w:cs="仿宋_GB2312"/>
          <w:bCs/>
          <w:color w:val="auto"/>
          <w:sz w:val="32"/>
          <w:szCs w:val="32"/>
          <w:lang w:bidi="ar-SA"/>
        </w:rPr>
        <w:t>（项）：</w:t>
      </w:r>
      <w:r>
        <w:rPr>
          <w:rStyle w:val="14"/>
          <w:rFonts w:hint="eastAsia" w:ascii="仿宋_GB2312" w:eastAsia="仿宋_GB2312" w:cs="仿宋_GB2312"/>
          <w:b w:val="0"/>
          <w:color w:val="auto"/>
          <w:sz w:val="32"/>
          <w:szCs w:val="32"/>
          <w:lang w:bidi="ar-SA"/>
        </w:rPr>
        <w:t>指反映</w:t>
      </w:r>
      <w:r>
        <w:rPr>
          <w:rStyle w:val="14"/>
          <w:rFonts w:hint="eastAsia" w:ascii="仿宋_GB2312" w:eastAsia="仿宋_GB2312" w:cs="仿宋_GB2312"/>
          <w:b w:val="0"/>
          <w:color w:val="auto"/>
          <w:sz w:val="32"/>
          <w:szCs w:val="32"/>
          <w:lang w:eastAsia="zh-CN" w:bidi="ar-SA"/>
        </w:rPr>
        <w:t>拟定工程建设国家标准和部管行业标准、监督指导各类工程建设标准定额的实施、管理工程造价等方面的支出</w:t>
      </w:r>
      <w:r>
        <w:rPr>
          <w:rStyle w:val="14"/>
          <w:rFonts w:hint="eastAsia" w:ascii="仿宋_GB2312" w:eastAsia="仿宋_GB2312" w:cs="仿宋_GB2312"/>
          <w:b w:val="0"/>
          <w:color w:val="auto"/>
          <w:sz w:val="32"/>
          <w:szCs w:val="32"/>
          <w:lang w:bidi="ar-SA"/>
        </w:rPr>
        <w:t>。</w:t>
      </w:r>
    </w:p>
    <w:p>
      <w:pPr>
        <w:spacing w:line="576" w:lineRule="exact"/>
        <w:ind w:firstLine="642" w:firstLineChars="200"/>
        <w:rPr>
          <w:rStyle w:val="14"/>
          <w:rFonts w:hint="eastAsia" w:ascii="仿宋_GB2312" w:eastAsia="仿宋_GB2312" w:cs="仿宋_GB2312"/>
          <w:b w:val="0"/>
          <w:color w:val="auto"/>
          <w:sz w:val="32"/>
          <w:szCs w:val="32"/>
          <w:lang w:bidi="ar-SA"/>
        </w:rPr>
      </w:pPr>
      <w:r>
        <w:rPr>
          <w:rStyle w:val="14"/>
          <w:rFonts w:hint="eastAsia" w:ascii="仿宋_GB2312" w:eastAsia="仿宋_GB2312" w:cs="仿宋_GB2312"/>
          <w:bCs/>
          <w:sz w:val="32"/>
          <w:szCs w:val="32"/>
          <w:lang w:val="en-US" w:eastAsia="zh-CN" w:bidi="ar-SA"/>
        </w:rPr>
        <w:t>8.</w:t>
      </w:r>
      <w:r>
        <w:rPr>
          <w:rStyle w:val="14"/>
          <w:rFonts w:hint="eastAsia" w:ascii="仿宋_GB2312" w:eastAsia="仿宋_GB2312" w:cs="仿宋_GB2312"/>
          <w:bCs/>
          <w:sz w:val="32"/>
          <w:szCs w:val="32"/>
          <w:lang w:bidi="ar-SA"/>
        </w:rPr>
        <w:t>城乡社区</w:t>
      </w:r>
      <w:r>
        <w:rPr>
          <w:rStyle w:val="14"/>
          <w:rFonts w:hint="eastAsia" w:ascii="仿宋_GB2312" w:eastAsia="仿宋_GB2312" w:cs="仿宋_GB2312"/>
          <w:bCs/>
          <w:color w:val="000000"/>
          <w:sz w:val="32"/>
          <w:szCs w:val="32"/>
          <w:lang w:bidi="ar-SA"/>
        </w:rPr>
        <w:t>（类）城乡社区管理事务</w:t>
      </w:r>
      <w:r>
        <w:rPr>
          <w:rStyle w:val="14"/>
          <w:rFonts w:hint="eastAsia" w:ascii="仿宋_GB2312" w:eastAsia="仿宋_GB2312" w:cs="仿宋_GB2312"/>
          <w:bCs/>
          <w:color w:val="auto"/>
          <w:sz w:val="32"/>
          <w:szCs w:val="32"/>
          <w:lang w:bidi="ar-SA"/>
        </w:rPr>
        <w:t>（款)</w:t>
      </w:r>
      <w:r>
        <w:rPr>
          <w:rStyle w:val="14"/>
          <w:rFonts w:hint="eastAsia" w:ascii="仿宋_GB2312" w:eastAsia="仿宋_GB2312" w:cs="仿宋_GB2312"/>
          <w:bCs/>
          <w:color w:val="auto"/>
          <w:sz w:val="32"/>
          <w:szCs w:val="32"/>
          <w:lang w:val="en-US" w:eastAsia="zh-CN" w:bidi="ar-SA"/>
        </w:rPr>
        <w:t>其他城乡社区管理事务支出</w:t>
      </w:r>
      <w:r>
        <w:rPr>
          <w:rStyle w:val="14"/>
          <w:rFonts w:hint="eastAsia" w:ascii="仿宋_GB2312" w:eastAsia="仿宋_GB2312" w:cs="仿宋_GB2312"/>
          <w:bCs/>
          <w:color w:val="auto"/>
          <w:sz w:val="32"/>
          <w:szCs w:val="32"/>
          <w:lang w:bidi="ar-SA"/>
        </w:rPr>
        <w:t>（项）：</w:t>
      </w:r>
      <w:r>
        <w:rPr>
          <w:rStyle w:val="14"/>
          <w:rFonts w:hint="eastAsia" w:ascii="仿宋_GB2312" w:eastAsia="仿宋_GB2312" w:cs="仿宋_GB2312"/>
          <w:b w:val="0"/>
          <w:color w:val="auto"/>
          <w:sz w:val="32"/>
          <w:szCs w:val="32"/>
          <w:lang w:bidi="ar-SA"/>
        </w:rPr>
        <w:t>指反映</w:t>
      </w:r>
      <w:r>
        <w:rPr>
          <w:rStyle w:val="14"/>
          <w:rFonts w:hint="eastAsia" w:ascii="仿宋_GB2312" w:eastAsia="仿宋_GB2312" w:cs="仿宋_GB2312"/>
          <w:b w:val="0"/>
          <w:color w:val="auto"/>
          <w:sz w:val="32"/>
          <w:szCs w:val="32"/>
          <w:lang w:eastAsia="zh-CN" w:bidi="ar-SA"/>
        </w:rPr>
        <w:t>除上述项目以外其他用于城乡社区管理事务方面的支出</w:t>
      </w:r>
      <w:r>
        <w:rPr>
          <w:rStyle w:val="14"/>
          <w:rFonts w:hint="eastAsia" w:ascii="仿宋_GB2312" w:eastAsia="仿宋_GB2312" w:cs="仿宋_GB2312"/>
          <w:b w:val="0"/>
          <w:color w:val="auto"/>
          <w:sz w:val="32"/>
          <w:szCs w:val="32"/>
          <w:lang w:bidi="ar-SA"/>
        </w:rPr>
        <w:t>。</w:t>
      </w:r>
    </w:p>
    <w:p>
      <w:pPr>
        <w:spacing w:line="576" w:lineRule="exact"/>
        <w:ind w:firstLine="642" w:firstLineChars="200"/>
        <w:rPr>
          <w:rFonts w:hint="eastAsia"/>
        </w:rPr>
      </w:pPr>
      <w:r>
        <w:rPr>
          <w:rStyle w:val="14"/>
          <w:rFonts w:hint="eastAsia" w:ascii="仿宋_GB2312" w:eastAsia="仿宋_GB2312" w:cs="仿宋_GB2312"/>
          <w:bCs/>
          <w:sz w:val="32"/>
          <w:szCs w:val="32"/>
          <w:lang w:val="en-US" w:eastAsia="zh-CN" w:bidi="ar-SA"/>
        </w:rPr>
        <w:t>9.</w:t>
      </w:r>
      <w:r>
        <w:rPr>
          <w:rStyle w:val="14"/>
          <w:rFonts w:hint="eastAsia" w:ascii="仿宋_GB2312" w:eastAsia="仿宋_GB2312" w:cs="仿宋_GB2312"/>
          <w:bCs/>
          <w:sz w:val="32"/>
          <w:szCs w:val="32"/>
          <w:lang w:bidi="ar-SA"/>
        </w:rPr>
        <w:t>城乡社区</w:t>
      </w:r>
      <w:r>
        <w:rPr>
          <w:rStyle w:val="14"/>
          <w:rFonts w:hint="eastAsia" w:ascii="仿宋_GB2312" w:eastAsia="仿宋_GB2312" w:cs="仿宋_GB2312"/>
          <w:bCs/>
          <w:color w:val="000000"/>
          <w:sz w:val="32"/>
          <w:szCs w:val="32"/>
          <w:lang w:bidi="ar-SA"/>
        </w:rPr>
        <w:t>（类）城乡社区公共设施</w:t>
      </w:r>
      <w:r>
        <w:rPr>
          <w:rStyle w:val="14"/>
          <w:rFonts w:hint="eastAsia" w:ascii="仿宋_GB2312" w:eastAsia="仿宋_GB2312" w:cs="仿宋_GB2312"/>
          <w:bCs/>
          <w:color w:val="auto"/>
          <w:sz w:val="32"/>
          <w:szCs w:val="32"/>
          <w:lang w:bidi="ar-SA"/>
        </w:rPr>
        <w:t>（款)</w:t>
      </w:r>
      <w:r>
        <w:rPr>
          <w:rStyle w:val="14"/>
          <w:rFonts w:hint="eastAsia" w:ascii="仿宋_GB2312" w:eastAsia="仿宋_GB2312" w:cs="仿宋_GB2312"/>
          <w:bCs/>
          <w:color w:val="auto"/>
          <w:sz w:val="32"/>
          <w:szCs w:val="32"/>
          <w:lang w:val="en-US" w:eastAsia="zh-CN" w:bidi="ar-SA"/>
        </w:rPr>
        <w:t>其他城乡社区公共设施支出</w:t>
      </w:r>
      <w:r>
        <w:rPr>
          <w:rStyle w:val="14"/>
          <w:rFonts w:hint="eastAsia" w:ascii="仿宋_GB2312" w:eastAsia="仿宋_GB2312" w:cs="仿宋_GB2312"/>
          <w:bCs/>
          <w:color w:val="auto"/>
          <w:sz w:val="32"/>
          <w:szCs w:val="32"/>
          <w:lang w:bidi="ar-SA"/>
        </w:rPr>
        <w:t>（项）：</w:t>
      </w:r>
      <w:r>
        <w:rPr>
          <w:rStyle w:val="14"/>
          <w:rFonts w:hint="eastAsia" w:ascii="仿宋_GB2312" w:eastAsia="仿宋_GB2312" w:cs="仿宋_GB2312"/>
          <w:b w:val="0"/>
          <w:color w:val="auto"/>
          <w:sz w:val="32"/>
          <w:szCs w:val="32"/>
          <w:lang w:bidi="ar-SA"/>
        </w:rPr>
        <w:t>指反映</w:t>
      </w:r>
      <w:r>
        <w:rPr>
          <w:rStyle w:val="14"/>
          <w:rFonts w:hint="eastAsia" w:ascii="仿宋_GB2312" w:eastAsia="仿宋_GB2312" w:cs="仿宋_GB2312"/>
          <w:b w:val="0"/>
          <w:color w:val="auto"/>
          <w:sz w:val="32"/>
          <w:szCs w:val="32"/>
          <w:lang w:eastAsia="zh-CN" w:bidi="ar-SA"/>
        </w:rPr>
        <w:t>除上述项目以外其他用于城乡社区公共设施方面的支出</w:t>
      </w:r>
      <w:r>
        <w:rPr>
          <w:rStyle w:val="14"/>
          <w:rFonts w:hint="eastAsia" w:ascii="仿宋_GB2312" w:eastAsia="仿宋_GB2312" w:cs="仿宋_GB2312"/>
          <w:b w:val="0"/>
          <w:color w:val="auto"/>
          <w:sz w:val="32"/>
          <w:szCs w:val="32"/>
          <w:lang w:bidi="ar-SA"/>
        </w:rPr>
        <w:t>。</w:t>
      </w:r>
    </w:p>
    <w:p>
      <w:pPr>
        <w:spacing w:line="576" w:lineRule="exact"/>
        <w:ind w:firstLine="642" w:firstLineChars="200"/>
        <w:rPr>
          <w:rFonts w:hint="eastAsia" w:ascii="仿宋_GB2312" w:eastAsia="仿宋_GB2312"/>
          <w:color w:val="000000"/>
          <w:sz w:val="32"/>
          <w:szCs w:val="32"/>
        </w:rPr>
      </w:pPr>
      <w:r>
        <w:rPr>
          <w:rStyle w:val="14"/>
          <w:rFonts w:hint="eastAsia" w:ascii="仿宋_GB2312" w:eastAsia="仿宋_GB2312" w:cs="仿宋_GB2312"/>
          <w:bCs/>
          <w:sz w:val="32"/>
          <w:szCs w:val="32"/>
          <w:lang w:val="en-US" w:eastAsia="zh-CN" w:bidi="ar-SA"/>
        </w:rPr>
        <w:t>10.</w:t>
      </w:r>
      <w:r>
        <w:rPr>
          <w:rStyle w:val="14"/>
          <w:rFonts w:hint="eastAsia" w:ascii="仿宋_GB2312" w:eastAsia="仿宋_GB2312" w:cs="仿宋_GB2312"/>
          <w:bCs/>
          <w:sz w:val="32"/>
          <w:szCs w:val="32"/>
          <w:lang w:bidi="ar-SA"/>
        </w:rPr>
        <w:t>住房保障</w:t>
      </w:r>
      <w:r>
        <w:rPr>
          <w:rStyle w:val="14"/>
          <w:rFonts w:hint="eastAsia" w:ascii="仿宋_GB2312" w:eastAsia="仿宋_GB2312" w:cs="仿宋_GB2312"/>
          <w:bCs/>
          <w:color w:val="000000"/>
          <w:sz w:val="32"/>
          <w:szCs w:val="32"/>
          <w:lang w:bidi="ar-SA"/>
        </w:rPr>
        <w:t>（类）住房改革支出（款）住房公积金（项）</w:t>
      </w:r>
      <w:r>
        <w:rPr>
          <w:rFonts w:hint="eastAsia" w:ascii="仿宋_GB2312" w:eastAsia="仿宋_GB2312" w:cs="仿宋_GB2312"/>
          <w:b/>
          <w:bCs/>
          <w:color w:val="000000"/>
          <w:sz w:val="32"/>
          <w:szCs w:val="32"/>
          <w:lang w:bidi="ar-SA"/>
        </w:rPr>
        <w:t>：</w:t>
      </w:r>
      <w:r>
        <w:rPr>
          <w:rFonts w:hint="eastAsia" w:ascii="仿宋_GB2312" w:eastAsia="仿宋_GB2312" w:cs="仿宋_GB2312"/>
          <w:color w:val="000000"/>
          <w:sz w:val="32"/>
          <w:szCs w:val="32"/>
          <w:lang w:bidi="ar-SA"/>
        </w:rPr>
        <w:t>指反映行政事业单位按人力资源和社会保障部、财政部规定的基本工资和津贴补贴以及规定比例为职工缴纳住房公积金。</w:t>
      </w:r>
    </w:p>
    <w:p>
      <w:pPr>
        <w:ind w:firstLine="642" w:firstLineChars="200"/>
        <w:rPr>
          <w:rFonts w:hint="eastAsia" w:ascii="仿宋_GB2312" w:eastAsia="仿宋_GB2312"/>
          <w:color w:val="000000"/>
          <w:sz w:val="32"/>
          <w:szCs w:val="32"/>
        </w:rPr>
      </w:pPr>
      <w:r>
        <w:rPr>
          <w:rFonts w:hint="eastAsia" w:ascii="仿宋_GB2312" w:eastAsia="仿宋_GB2312"/>
          <w:b/>
          <w:bCs/>
          <w:color w:val="000000"/>
          <w:sz w:val="32"/>
          <w:szCs w:val="32"/>
          <w:lang w:val="en-US" w:eastAsia="zh-CN"/>
        </w:rPr>
        <w:t>11</w:t>
      </w:r>
      <w:r>
        <w:rPr>
          <w:rFonts w:hint="eastAsia" w:ascii="仿宋_GB2312" w:eastAsia="仿宋_GB2312"/>
          <w:b/>
          <w:bCs/>
          <w:color w:val="000000"/>
          <w:sz w:val="32"/>
          <w:szCs w:val="32"/>
        </w:rPr>
        <w:t>.基本支出：</w:t>
      </w:r>
      <w:r>
        <w:rPr>
          <w:rFonts w:hint="eastAsia" w:ascii="仿宋_GB2312" w:eastAsia="仿宋_GB2312"/>
          <w:color w:val="000000"/>
          <w:sz w:val="32"/>
          <w:szCs w:val="32"/>
        </w:rPr>
        <w:t xml:space="preserve">指为保障机构正常运转、完成日常工作任务而发生的人员支出和公用支出。 </w:t>
      </w:r>
    </w:p>
    <w:p>
      <w:pPr>
        <w:pStyle w:val="21"/>
        <w:spacing w:line="560" w:lineRule="exact"/>
        <w:ind w:firstLine="640" w:firstLineChars="200"/>
        <w:rPr>
          <w:rFonts w:hint="eastAsia" w:ascii="仿宋_GB2312" w:eastAsia="仿宋_GB2312"/>
          <w:sz w:val="32"/>
          <w:szCs w:val="32"/>
        </w:rPr>
      </w:pPr>
    </w:p>
    <w:p>
      <w:pPr>
        <w:pStyle w:val="21"/>
        <w:spacing w:line="560" w:lineRule="exact"/>
        <w:ind w:firstLine="640" w:firstLineChars="200"/>
        <w:rPr>
          <w:rFonts w:hint="eastAsia" w:ascii="仿宋_GB2312" w:eastAsia="仿宋_GB2312"/>
          <w:sz w:val="32"/>
          <w:szCs w:val="32"/>
        </w:rPr>
      </w:pPr>
    </w:p>
    <w:p>
      <w:pPr>
        <w:pStyle w:val="21"/>
        <w:spacing w:line="560" w:lineRule="exact"/>
        <w:ind w:firstLine="640" w:firstLineChars="200"/>
        <w:rPr>
          <w:rFonts w:hint="eastAsia" w:ascii="仿宋_GB2312" w:eastAsia="仿宋_GB2312"/>
          <w:sz w:val="32"/>
          <w:szCs w:val="32"/>
        </w:rPr>
      </w:pPr>
    </w:p>
    <w:p>
      <w:pPr>
        <w:pStyle w:val="21"/>
        <w:spacing w:line="560" w:lineRule="exact"/>
        <w:ind w:firstLine="640" w:firstLineChars="200"/>
        <w:rPr>
          <w:rFonts w:hint="eastAsia" w:ascii="仿宋_GB2312" w:eastAsia="仿宋_GB2312"/>
          <w:sz w:val="32"/>
          <w:szCs w:val="32"/>
        </w:rPr>
      </w:pPr>
    </w:p>
    <w:p>
      <w:pPr>
        <w:pStyle w:val="21"/>
        <w:spacing w:line="560" w:lineRule="exact"/>
        <w:ind w:firstLine="640" w:firstLineChars="200"/>
        <w:rPr>
          <w:rFonts w:hint="eastAsia" w:ascii="仿宋_GB2312" w:eastAsia="仿宋_GB2312"/>
          <w:sz w:val="32"/>
          <w:szCs w:val="32"/>
        </w:rPr>
      </w:pPr>
    </w:p>
    <w:p>
      <w:pPr>
        <w:pStyle w:val="21"/>
        <w:spacing w:line="560" w:lineRule="exact"/>
        <w:ind w:firstLine="640" w:firstLineChars="200"/>
        <w:rPr>
          <w:rFonts w:hint="eastAsia" w:ascii="仿宋_GB2312" w:eastAsia="仿宋_GB2312"/>
          <w:sz w:val="32"/>
          <w:szCs w:val="32"/>
        </w:rPr>
      </w:pPr>
    </w:p>
    <w:p>
      <w:pPr>
        <w:pStyle w:val="21"/>
        <w:spacing w:line="560" w:lineRule="exact"/>
        <w:ind w:firstLine="640" w:firstLineChars="200"/>
        <w:rPr>
          <w:rFonts w:hint="eastAsia" w:ascii="仿宋_GB2312" w:eastAsia="仿宋_GB2312"/>
          <w:sz w:val="32"/>
          <w:szCs w:val="32"/>
        </w:rPr>
      </w:pPr>
    </w:p>
    <w:p>
      <w:pPr>
        <w:pStyle w:val="21"/>
        <w:spacing w:line="560" w:lineRule="exact"/>
        <w:ind w:firstLine="640" w:firstLineChars="200"/>
        <w:rPr>
          <w:rFonts w:hint="eastAsia" w:ascii="仿宋_GB2312" w:eastAsia="仿宋_GB2312"/>
          <w:sz w:val="32"/>
          <w:szCs w:val="32"/>
        </w:rPr>
      </w:pPr>
    </w:p>
    <w:p>
      <w:pPr>
        <w:pStyle w:val="21"/>
        <w:spacing w:line="560" w:lineRule="exact"/>
        <w:ind w:firstLine="880" w:firstLineChars="200"/>
        <w:rPr>
          <w:rFonts w:hint="eastAsia" w:ascii="黑体" w:eastAsia="黑体"/>
          <w:color w:val="000000"/>
          <w:sz w:val="44"/>
          <w:szCs w:val="44"/>
        </w:rPr>
      </w:pPr>
    </w:p>
    <w:p>
      <w:pPr>
        <w:pStyle w:val="21"/>
        <w:spacing w:line="560" w:lineRule="exact"/>
        <w:ind w:firstLine="880" w:firstLineChars="200"/>
        <w:rPr>
          <w:rFonts w:hint="eastAsia" w:ascii="黑体" w:eastAsia="黑体"/>
          <w:color w:val="000000"/>
          <w:sz w:val="44"/>
          <w:szCs w:val="44"/>
        </w:rPr>
      </w:pPr>
    </w:p>
    <w:p>
      <w:pPr>
        <w:pStyle w:val="21"/>
        <w:spacing w:line="560" w:lineRule="exact"/>
        <w:ind w:firstLine="880" w:firstLineChars="200"/>
        <w:rPr>
          <w:rFonts w:hint="eastAsia" w:ascii="黑体" w:eastAsia="黑体"/>
          <w:color w:val="000000"/>
          <w:sz w:val="44"/>
          <w:szCs w:val="44"/>
        </w:rPr>
      </w:pPr>
    </w:p>
    <w:p>
      <w:pPr>
        <w:pStyle w:val="21"/>
        <w:spacing w:line="560" w:lineRule="exact"/>
        <w:ind w:firstLine="880" w:firstLineChars="200"/>
        <w:rPr>
          <w:rFonts w:hint="eastAsia" w:ascii="黑体" w:eastAsia="黑体"/>
          <w:color w:val="000000"/>
          <w:sz w:val="44"/>
          <w:szCs w:val="44"/>
        </w:rPr>
      </w:pPr>
    </w:p>
    <w:p>
      <w:pPr>
        <w:pStyle w:val="21"/>
        <w:spacing w:line="560" w:lineRule="exact"/>
        <w:ind w:firstLine="880" w:firstLineChars="200"/>
        <w:rPr>
          <w:rFonts w:hint="eastAsia" w:ascii="黑体" w:eastAsia="黑体"/>
          <w:color w:val="000000"/>
          <w:sz w:val="44"/>
          <w:szCs w:val="44"/>
        </w:rPr>
      </w:pPr>
    </w:p>
    <w:p>
      <w:pPr>
        <w:pStyle w:val="21"/>
        <w:spacing w:line="560" w:lineRule="exact"/>
        <w:ind w:firstLine="880" w:firstLineChars="200"/>
        <w:rPr>
          <w:rFonts w:hint="eastAsia" w:ascii="黑体" w:eastAsia="黑体"/>
          <w:color w:val="000000"/>
          <w:sz w:val="44"/>
          <w:szCs w:val="44"/>
        </w:rPr>
      </w:pPr>
    </w:p>
    <w:p>
      <w:pPr>
        <w:spacing w:line="600" w:lineRule="exact"/>
        <w:jc w:val="center"/>
        <w:outlineLvl w:val="9"/>
        <w:rPr>
          <w:rFonts w:hint="eastAsia" w:ascii="黑体" w:eastAsia="黑体"/>
          <w:color w:val="000000"/>
          <w:sz w:val="44"/>
          <w:szCs w:val="44"/>
        </w:rPr>
      </w:pPr>
    </w:p>
    <w:p>
      <w:pPr>
        <w:spacing w:line="600" w:lineRule="exact"/>
        <w:jc w:val="center"/>
        <w:outlineLvl w:val="0"/>
        <w:rPr>
          <w:rStyle w:val="16"/>
          <w:rFonts w:hint="eastAsia" w:ascii="黑体" w:eastAsia="黑体"/>
          <w:b w:val="0"/>
        </w:rPr>
      </w:pPr>
      <w:bookmarkStart w:id="97" w:name="_Toc18717"/>
      <w:bookmarkStart w:id="98" w:name="_Toc31402"/>
      <w:r>
        <w:rPr>
          <w:rFonts w:hint="eastAsia" w:ascii="黑体" w:eastAsia="黑体"/>
          <w:color w:val="000000"/>
          <w:sz w:val="44"/>
          <w:szCs w:val="44"/>
        </w:rPr>
        <w:t>第</w:t>
      </w:r>
      <w:r>
        <w:rPr>
          <w:rStyle w:val="16"/>
          <w:rFonts w:hint="eastAsia" w:ascii="黑体" w:eastAsia="黑体"/>
          <w:b w:val="0"/>
        </w:rPr>
        <w:t>四部分 附件</w:t>
      </w:r>
      <w:bookmarkEnd w:id="95"/>
      <w:bookmarkEnd w:id="97"/>
      <w:bookmarkEnd w:id="98"/>
    </w:p>
    <w:p>
      <w:pPr>
        <w:spacing w:line="600" w:lineRule="exact"/>
        <w:jc w:val="left"/>
        <w:outlineLvl w:val="1"/>
        <w:rPr>
          <w:rFonts w:hint="eastAsia" w:ascii="方正小标宋简体" w:eastAsia="方正小标宋简体" w:cs="方正小标宋简体"/>
          <w:sz w:val="32"/>
          <w:szCs w:val="32"/>
          <w:lang w:bidi="ar-SA"/>
        </w:rPr>
      </w:pPr>
      <w:bookmarkStart w:id="99" w:name="_Toc15590"/>
      <w:bookmarkStart w:id="100" w:name="_Toc27948"/>
      <w:r>
        <w:rPr>
          <w:rFonts w:hint="eastAsia" w:ascii="黑体" w:eastAsia="黑体" w:cs="黑体"/>
          <w:sz w:val="32"/>
          <w:szCs w:val="32"/>
          <w:lang w:bidi="ar-SA"/>
        </w:rPr>
        <w:t>附件1</w:t>
      </w:r>
      <w:bookmarkEnd w:id="99"/>
      <w:bookmarkEnd w:id="100"/>
    </w:p>
    <w:p>
      <w:pPr>
        <w:spacing w:line="580" w:lineRule="exact"/>
        <w:jc w:val="center"/>
        <w:rPr>
          <w:rFonts w:hint="eastAsia" w:ascii="方正小标宋简体" w:eastAsia="方正小标宋简体" w:cs="方正小标宋简体"/>
          <w:sz w:val="44"/>
          <w:szCs w:val="44"/>
          <w:lang w:bidi="ar-SA"/>
        </w:rPr>
      </w:pPr>
    </w:p>
    <w:p>
      <w:pPr>
        <w:spacing w:line="600" w:lineRule="exact"/>
        <w:jc w:val="center"/>
        <w:rPr>
          <w:rFonts w:hint="eastAsia" w:ascii="方正小标宋简体" w:eastAsia="方正小标宋简体"/>
          <w:color w:val="000000"/>
          <w:kern w:val="0"/>
          <w:sz w:val="40"/>
          <w:szCs w:val="44"/>
          <w:lang w:eastAsia="zh-CN"/>
        </w:rPr>
      </w:pPr>
      <w:r>
        <w:rPr>
          <w:rFonts w:hint="eastAsia" w:ascii="方正小标宋简体" w:eastAsia="方正小标宋简体"/>
          <w:color w:val="000000"/>
          <w:kern w:val="0"/>
          <w:sz w:val="40"/>
          <w:szCs w:val="44"/>
          <w:lang w:eastAsia="zh-CN"/>
        </w:rPr>
        <w:t>广元市城市建设事务中心</w:t>
      </w:r>
    </w:p>
    <w:p>
      <w:pPr>
        <w:spacing w:line="600" w:lineRule="exact"/>
        <w:jc w:val="center"/>
        <w:rPr>
          <w:rFonts w:hint="eastAsia" w:ascii="黑体" w:eastAsia="黑体" w:cs="宋体"/>
          <w:color w:val="000000"/>
          <w:kern w:val="0"/>
          <w:sz w:val="24"/>
          <w:szCs w:val="32"/>
          <w:shd w:val="clear" w:color="auto" w:fill="FFFFFF"/>
          <w:lang w:bidi="ar-SA"/>
        </w:rPr>
      </w:pPr>
      <w:r>
        <w:rPr>
          <w:rFonts w:hint="eastAsia" w:ascii="方正小标宋简体" w:eastAsia="方正小标宋简体"/>
          <w:color w:val="000000"/>
          <w:kern w:val="0"/>
          <w:sz w:val="40"/>
          <w:szCs w:val="44"/>
        </w:rPr>
        <w:t>2020年部门</w:t>
      </w:r>
      <w:r>
        <w:rPr>
          <w:rFonts w:hint="eastAsia" w:ascii="方正小标宋简体" w:eastAsia="方正小标宋简体"/>
          <w:color w:val="000000"/>
          <w:kern w:val="0"/>
          <w:sz w:val="40"/>
          <w:szCs w:val="44"/>
          <w:lang w:val="zh-CN" w:eastAsia="zh-CN"/>
        </w:rPr>
        <w:t>整体支出绩效评价报告</w:t>
      </w:r>
    </w:p>
    <w:p>
      <w:pPr>
        <w:widowControl/>
        <w:adjustRightInd w:val="0"/>
        <w:snapToGrid w:val="0"/>
        <w:spacing w:line="580" w:lineRule="exact"/>
        <w:ind w:firstLine="640" w:firstLineChars="200"/>
        <w:contextualSpacing/>
        <w:jc w:val="left"/>
        <w:rPr>
          <w:rFonts w:hint="eastAsia" w:ascii="黑体" w:eastAsia="黑体" w:cs="宋体"/>
          <w:color w:val="000000"/>
          <w:kern w:val="0"/>
          <w:sz w:val="32"/>
          <w:szCs w:val="32"/>
          <w:shd w:val="clear" w:color="auto" w:fill="FFFFFF"/>
          <w:lang w:val="zh-CN" w:eastAsia="zh-CN" w:bidi="ar-SA"/>
        </w:rPr>
      </w:pPr>
      <w:r>
        <w:rPr>
          <w:rFonts w:hint="eastAsia" w:ascii="黑体" w:eastAsia="黑体" w:cs="宋体"/>
          <w:color w:val="000000"/>
          <w:kern w:val="0"/>
          <w:sz w:val="32"/>
          <w:szCs w:val="32"/>
          <w:shd w:val="clear" w:color="auto" w:fill="FFFFFF"/>
          <w:lang w:bidi="ar-SA"/>
        </w:rPr>
        <w:t>一、</w:t>
      </w:r>
      <w:r>
        <w:rPr>
          <w:rFonts w:hint="eastAsia" w:ascii="黑体" w:eastAsia="黑体" w:cs="宋体"/>
          <w:color w:val="000000"/>
          <w:kern w:val="0"/>
          <w:sz w:val="32"/>
          <w:szCs w:val="32"/>
          <w:shd w:val="clear" w:color="auto" w:fill="FFFFFF"/>
          <w:lang w:val="zh-CN" w:eastAsia="zh-CN" w:bidi="ar-SA"/>
        </w:rPr>
        <w:t>单位概况</w:t>
      </w:r>
    </w:p>
    <w:p>
      <w:pPr>
        <w:widowControl/>
        <w:adjustRightInd w:val="0"/>
        <w:snapToGrid w:val="0"/>
        <w:spacing w:line="580" w:lineRule="exact"/>
        <w:ind w:firstLine="640" w:firstLineChars="200"/>
        <w:contextualSpacing/>
        <w:jc w:val="left"/>
        <w:rPr>
          <w:rFonts w:hint="eastAsia" w:ascii="楷体_GB2312" w:eastAsia="楷体_GB2312" w:cs="楷体_GB2312"/>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（一）机构组成。</w:t>
      </w:r>
    </w:p>
    <w:p>
      <w:pPr>
        <w:spacing w:line="576" w:lineRule="exact"/>
        <w:ind w:firstLine="640" w:firstLineChars="200"/>
        <w:rPr>
          <w:rFonts w:hint="eastAsia" w:ascii="仿宋_GB2312" w:eastAsia="仿宋_GB2312" w:cs="仿宋_GB2312"/>
          <w:lang w:val="zh-CN" w:eastAsia="zh-CN" w:bidi="ar-SA"/>
        </w:rPr>
      </w:pPr>
      <w:r>
        <w:rPr>
          <w:rFonts w:hint="eastAsia" w:ascii="仿宋_GB2312" w:eastAsia="仿宋_GB2312" w:cs="仿宋_GB2312"/>
          <w:color w:val="auto"/>
          <w:kern w:val="0"/>
          <w:sz w:val="32"/>
          <w:szCs w:val="32"/>
          <w:lang w:bidi="ar-SA"/>
        </w:rPr>
        <w:t>广元市</w:t>
      </w:r>
      <w:r>
        <w:rPr>
          <w:rFonts w:hint="eastAsia" w:ascii="仿宋_GB2312" w:eastAsia="仿宋_GB2312" w:cs="仿宋_GB2312"/>
          <w:color w:val="auto"/>
          <w:kern w:val="0"/>
          <w:sz w:val="32"/>
          <w:szCs w:val="32"/>
          <w:lang w:eastAsia="zh-CN" w:bidi="ar-SA"/>
        </w:rPr>
        <w:t>城市建设事务中心</w:t>
      </w:r>
      <w:r>
        <w:rPr>
          <w:rFonts w:hint="eastAsia" w:ascii="仿宋_GB2312" w:eastAsia="仿宋_GB2312" w:cs="仿宋_GB2312"/>
          <w:color w:val="auto"/>
          <w:kern w:val="0"/>
          <w:sz w:val="32"/>
          <w:szCs w:val="32"/>
          <w:lang w:bidi="ar-SA"/>
        </w:rPr>
        <w:t>是</w:t>
      </w:r>
      <w:r>
        <w:rPr>
          <w:rFonts w:hint="eastAsia" w:ascii="仿宋_GB2312" w:eastAsia="仿宋_GB2312" w:cs="仿宋_GB2312"/>
          <w:color w:val="auto"/>
          <w:kern w:val="0"/>
          <w:sz w:val="32"/>
          <w:szCs w:val="32"/>
          <w:lang w:eastAsia="zh-CN" w:bidi="ar-SA"/>
        </w:rPr>
        <w:t>财政全额拨款</w:t>
      </w:r>
      <w:r>
        <w:rPr>
          <w:rFonts w:hint="eastAsia" w:ascii="仿宋_GB2312" w:eastAsia="仿宋_GB2312" w:cs="仿宋_GB2312"/>
          <w:color w:val="auto"/>
          <w:kern w:val="0"/>
          <w:sz w:val="32"/>
          <w:szCs w:val="32"/>
          <w:lang w:bidi="ar-SA"/>
        </w:rPr>
        <w:t>事业单位，无下属单位。</w:t>
      </w:r>
      <w:r>
        <w:rPr>
          <w:rFonts w:hint="eastAsia" w:ascii="仿宋_GB2312" w:eastAsia="仿宋_GB2312" w:cs="仿宋_GB2312"/>
          <w:color w:val="auto"/>
          <w:kern w:val="0"/>
          <w:sz w:val="32"/>
          <w:szCs w:val="32"/>
          <w:lang w:eastAsia="zh-CN" w:bidi="ar-SA"/>
        </w:rPr>
        <w:t>中心</w:t>
      </w:r>
      <w:r>
        <w:rPr>
          <w:rFonts w:hint="eastAsia" w:ascii="仿宋_GB2312" w:eastAsia="仿宋_GB2312" w:cs="仿宋_GB2312"/>
          <w:color w:val="auto"/>
          <w:sz w:val="32"/>
          <w:szCs w:val="32"/>
          <w:lang w:bidi="ar-SA"/>
        </w:rPr>
        <w:t>内设</w:t>
      </w:r>
      <w:r>
        <w:rPr>
          <w:rFonts w:hint="eastAsia" w:ascii="仿宋_GB2312" w:eastAsia="仿宋_GB2312" w:cs="仿宋_GB2312"/>
          <w:color w:val="auto"/>
          <w:sz w:val="32"/>
          <w:szCs w:val="32"/>
          <w:lang w:eastAsia="zh-CN" w:bidi="ar-SA"/>
        </w:rPr>
        <w:t>科室</w:t>
      </w:r>
      <w:r>
        <w:rPr>
          <w:rFonts w:hint="eastAsia" w:ascii="仿宋_GB2312" w:eastAsia="仿宋_GB2312" w:cs="仿宋_GB2312"/>
          <w:color w:val="auto"/>
          <w:sz w:val="32"/>
          <w:szCs w:val="32"/>
          <w:lang w:bidi="ar-SA"/>
        </w:rPr>
        <w:t>分别为：</w:t>
      </w:r>
      <w:r>
        <w:rPr>
          <w:rFonts w:hint="eastAsia" w:ascii="仿宋_GB2312" w:eastAsia="仿宋_GB2312" w:cs="仿宋_GB2312"/>
          <w:color w:val="auto"/>
          <w:sz w:val="32"/>
          <w:szCs w:val="32"/>
          <w:lang w:eastAsia="zh-CN" w:bidi="ar-SA"/>
        </w:rPr>
        <w:t>办公室、市政维修管理办公室、财务室、工程管理办公室、市政维修监理办公室。</w:t>
      </w:r>
    </w:p>
    <w:p>
      <w:pPr>
        <w:widowControl/>
        <w:numPr>
          <w:ilvl w:val="0"/>
          <w:numId w:val="5"/>
        </w:numPr>
        <w:adjustRightInd w:val="0"/>
        <w:snapToGrid w:val="0"/>
        <w:spacing w:line="580" w:lineRule="exact"/>
        <w:ind w:left="0" w:firstLine="640" w:firstLineChars="200"/>
        <w:contextualSpacing/>
        <w:jc w:val="left"/>
        <w:rPr>
          <w:rFonts w:hint="eastAsia" w:ascii="楷体_GB2312" w:eastAsia="楷体_GB2312" w:cs="楷体_GB2312"/>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机构职能。</w:t>
      </w:r>
    </w:p>
    <w:p>
      <w:pPr>
        <w:pStyle w:val="6"/>
        <w:adjustRightInd w:val="0"/>
        <w:snapToGrid w:val="0"/>
        <w:spacing w:before="93" w:beforeLines="0" w:line="600" w:lineRule="exact"/>
        <w:ind w:firstLine="668" w:firstLineChars="209"/>
        <w:outlineLvl w:val="2"/>
        <w:rPr>
          <w:rFonts w:hint="eastAsia" w:ascii="仿宋_GB2312" w:eastAsia="仿宋_GB2312" w:cs="仿宋_GB2312"/>
          <w:bCs/>
          <w:color w:val="000000"/>
          <w:sz w:val="32"/>
          <w:szCs w:val="32"/>
          <w:highlight w:val="none"/>
          <w:lang w:bidi="ar-SA"/>
        </w:rPr>
      </w:pPr>
      <w:r>
        <w:rPr>
          <w:rFonts w:hint="eastAsia" w:ascii="仿宋_GB2312" w:eastAsia="仿宋_GB2312" w:cs="仿宋_GB2312"/>
          <w:bCs/>
          <w:color w:val="000000"/>
          <w:sz w:val="32"/>
          <w:szCs w:val="32"/>
          <w:highlight w:val="none"/>
          <w:lang w:bidi="ar-SA"/>
        </w:rPr>
        <w:t>负责市城区道路（人行道、车行道）、桥梁、人行下穿通道、人行天桥、隧道等市政基础设施建设及日常维修维护管理工作；组织和协调市城区</w:t>
      </w:r>
      <w:r>
        <w:rPr>
          <w:rFonts w:hint="eastAsia" w:ascii="仿宋_GB2312" w:eastAsia="仿宋_GB2312" w:cs="仿宋_GB2312"/>
          <w:bCs/>
          <w:color w:val="000000"/>
          <w:sz w:val="32"/>
          <w:szCs w:val="32"/>
          <w:highlight w:val="none"/>
          <w:lang w:eastAsia="zh-CN" w:bidi="ar-SA"/>
        </w:rPr>
        <w:t>排</w:t>
      </w:r>
      <w:r>
        <w:rPr>
          <w:rFonts w:hint="eastAsia" w:ascii="仿宋_GB2312" w:eastAsia="仿宋_GB2312" w:cs="仿宋_GB2312"/>
          <w:bCs/>
          <w:color w:val="000000"/>
          <w:sz w:val="32"/>
          <w:szCs w:val="32"/>
          <w:highlight w:val="none"/>
          <w:lang w:bidi="ar-SA"/>
        </w:rPr>
        <w:t>水防涝日常管理工作；配合做好地下管线（廊、道、沟）及窨井设施管理工作；做好市政公用设施运行、城镇燃气行业指导协调服务工作；协调推进市城区市政基础设施项目建设工作；参与拟订市政设施建设计划的中长期发展规划和专业规划的编制并组织实施；参与市城区市政设施设计审查、施工过程质量监管和竣工验收等工作；承担城市建设等相关辅助工作。</w:t>
      </w:r>
    </w:p>
    <w:p>
      <w:pPr>
        <w:pStyle w:val="2"/>
        <w:rPr>
          <w:lang w:val="zh-CN" w:eastAsia="zh-CN"/>
        </w:rPr>
      </w:pPr>
    </w:p>
    <w:p>
      <w:pPr>
        <w:widowControl/>
        <w:adjustRightInd w:val="0"/>
        <w:snapToGrid w:val="0"/>
        <w:spacing w:line="580" w:lineRule="exact"/>
        <w:ind w:firstLine="640" w:firstLineChars="200"/>
        <w:contextualSpacing/>
        <w:jc w:val="left"/>
        <w:rPr>
          <w:rFonts w:hint="eastAsia" w:ascii="楷体_GB2312" w:eastAsia="楷体_GB2312" w:cs="楷体_GB2312"/>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（三）人员概况。</w:t>
      </w:r>
    </w:p>
    <w:p>
      <w:pPr>
        <w:spacing w:line="576" w:lineRule="exact"/>
        <w:ind w:firstLine="640" w:firstLineChars="200"/>
        <w:rPr>
          <w:rFonts w:hint="eastAsia" w:ascii="仿宋_GB2312" w:eastAsia="仿宋_GB2312" w:cs="仿宋_GB2312"/>
          <w:color w:val="auto"/>
          <w:kern w:val="0"/>
          <w:sz w:val="32"/>
          <w:szCs w:val="32"/>
          <w:lang w:bidi="ar-SA"/>
        </w:rPr>
      </w:pPr>
      <w:r>
        <w:rPr>
          <w:rFonts w:hint="eastAsia" w:ascii="仿宋_GB2312" w:eastAsia="仿宋_GB2312" w:cs="仿宋_GB2312"/>
          <w:color w:val="auto"/>
          <w:kern w:val="0"/>
          <w:sz w:val="32"/>
          <w:szCs w:val="32"/>
          <w:lang w:bidi="ar-SA"/>
        </w:rPr>
        <w:t>截止</w:t>
      </w:r>
      <w:r>
        <w:rPr>
          <w:rFonts w:hint="eastAsia" w:ascii="仿宋_GB2312" w:eastAsia="仿宋_GB2312" w:cs="仿宋_GB2312"/>
          <w:color w:val="auto"/>
          <w:kern w:val="0"/>
          <w:sz w:val="32"/>
          <w:szCs w:val="32"/>
          <w:lang w:val="en-US" w:eastAsia="zh-CN" w:bidi="ar-SA"/>
        </w:rPr>
        <w:t>2020</w:t>
      </w:r>
      <w:r>
        <w:rPr>
          <w:rFonts w:hint="eastAsia" w:ascii="仿宋_GB2312" w:eastAsia="仿宋_GB2312" w:cs="仿宋_GB2312"/>
          <w:color w:val="auto"/>
          <w:kern w:val="0"/>
          <w:sz w:val="32"/>
          <w:szCs w:val="32"/>
          <w:lang w:bidi="ar-SA"/>
        </w:rPr>
        <w:t>年末，中心编制人数</w:t>
      </w:r>
      <w:r>
        <w:rPr>
          <w:rFonts w:hint="eastAsia" w:ascii="仿宋_GB2312" w:eastAsia="仿宋_GB2312" w:cs="仿宋_GB2312"/>
          <w:color w:val="auto"/>
          <w:kern w:val="0"/>
          <w:sz w:val="32"/>
          <w:szCs w:val="32"/>
          <w:lang w:val="en-US" w:eastAsia="zh-CN" w:bidi="ar-SA"/>
        </w:rPr>
        <w:t>24</w:t>
      </w:r>
      <w:r>
        <w:rPr>
          <w:rFonts w:hint="eastAsia" w:ascii="仿宋_GB2312" w:eastAsia="仿宋_GB2312" w:cs="仿宋_GB2312"/>
          <w:color w:val="auto"/>
          <w:kern w:val="0"/>
          <w:sz w:val="32"/>
          <w:szCs w:val="32"/>
          <w:lang w:bidi="ar-SA"/>
        </w:rPr>
        <w:t>人，实际在职人数</w:t>
      </w:r>
      <w:r>
        <w:rPr>
          <w:rFonts w:hint="eastAsia" w:ascii="仿宋_GB2312" w:eastAsia="仿宋_GB2312" w:cs="仿宋_GB2312"/>
          <w:color w:val="auto"/>
          <w:kern w:val="0"/>
          <w:sz w:val="32"/>
          <w:szCs w:val="32"/>
          <w:lang w:val="en-US" w:eastAsia="zh-CN" w:bidi="ar-SA"/>
        </w:rPr>
        <w:t>22</w:t>
      </w:r>
      <w:r>
        <w:rPr>
          <w:rFonts w:hint="eastAsia" w:ascii="仿宋_GB2312" w:eastAsia="仿宋_GB2312" w:cs="仿宋_GB2312"/>
          <w:color w:val="auto"/>
          <w:kern w:val="0"/>
          <w:sz w:val="32"/>
          <w:szCs w:val="32"/>
          <w:lang w:bidi="ar-SA"/>
        </w:rPr>
        <w:t>人。</w:t>
      </w:r>
    </w:p>
    <w:p>
      <w:pPr>
        <w:pStyle w:val="2"/>
        <w:rPr>
          <w:lang w:val="zh-CN" w:eastAsia="zh-CN"/>
        </w:rPr>
      </w:pPr>
    </w:p>
    <w:p>
      <w:pPr>
        <w:widowControl/>
        <w:adjustRightInd w:val="0"/>
        <w:snapToGrid w:val="0"/>
        <w:spacing w:line="580" w:lineRule="exact"/>
        <w:ind w:firstLine="640" w:firstLineChars="200"/>
        <w:contextualSpacing/>
        <w:jc w:val="left"/>
        <w:rPr>
          <w:rFonts w:hint="eastAsia" w:ascii="黑体" w:eastAsia="黑体" w:cs="宋体"/>
          <w:color w:val="000000"/>
          <w:kern w:val="0"/>
          <w:sz w:val="32"/>
          <w:szCs w:val="32"/>
          <w:shd w:val="clear" w:color="auto" w:fill="FFFFFF"/>
          <w:lang w:bidi="ar-SA"/>
        </w:rPr>
      </w:pPr>
      <w:r>
        <w:rPr>
          <w:rFonts w:hint="eastAsia" w:ascii="黑体" w:eastAsia="黑体" w:cs="宋体"/>
          <w:color w:val="000000"/>
          <w:kern w:val="0"/>
          <w:sz w:val="32"/>
          <w:szCs w:val="32"/>
          <w:shd w:val="clear" w:color="auto" w:fill="FFFFFF"/>
          <w:lang w:bidi="ar-SA"/>
        </w:rPr>
        <w:t>二、部门财政资金收支情况</w:t>
      </w:r>
    </w:p>
    <w:p>
      <w:pPr>
        <w:widowControl/>
        <w:adjustRightInd w:val="0"/>
        <w:snapToGrid w:val="0"/>
        <w:spacing w:line="580" w:lineRule="exact"/>
        <w:ind w:firstLine="640" w:firstLineChars="200"/>
        <w:contextualSpacing/>
        <w:jc w:val="left"/>
        <w:rPr>
          <w:rFonts w:hint="eastAsia" w:ascii="仿宋_GB2312" w:eastAsia="仿宋_GB2312" w:cs="宋体"/>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（一）部门财政资金收入情况</w:t>
      </w:r>
      <w:r>
        <w:rPr>
          <w:rFonts w:hint="eastAsia" w:ascii="仿宋_GB2312" w:eastAsia="仿宋_GB2312" w:cs="宋体"/>
          <w:color w:val="000000"/>
          <w:kern w:val="0"/>
          <w:sz w:val="32"/>
          <w:szCs w:val="32"/>
          <w:shd w:val="clear" w:color="auto" w:fill="FFFFFF"/>
          <w:lang w:val="zh-CN" w:eastAsia="zh-CN" w:bidi="ar-SA"/>
        </w:rPr>
        <w:t>。</w:t>
      </w:r>
    </w:p>
    <w:p>
      <w:pPr>
        <w:keepNext w:val="0"/>
        <w:keepLines w:val="0"/>
        <w:pageBreakBefore w:val="0"/>
        <w:widowControl w:val="0"/>
        <w:kinsoku/>
        <w:wordWrap/>
        <w:overflowPunct/>
        <w:topLinePunct w:val="0"/>
        <w:autoSpaceDE/>
        <w:autoSpaceDN/>
        <w:bidi w:val="0"/>
        <w:adjustRightInd/>
        <w:snapToGrid/>
        <w:spacing w:line="240" w:lineRule="auto"/>
        <w:ind w:firstLine="640" w:firstLineChars="200"/>
        <w:textAlignment w:val="auto"/>
        <w:outlineLvl w:val="1"/>
        <w:rPr>
          <w:rFonts w:hint="eastAsia" w:ascii="仿宋_GB2312" w:eastAsia="仿宋_GB2312" w:cs="仿宋_GB2312"/>
          <w:color w:val="auto"/>
          <w:kern w:val="0"/>
          <w:sz w:val="32"/>
          <w:szCs w:val="32"/>
          <w:shd w:val="clear" w:color="auto" w:fill="FFFFFF"/>
          <w:lang w:val="zh-CN" w:eastAsia="zh-CN" w:bidi="ar-SA"/>
        </w:rPr>
      </w:pPr>
      <w:bookmarkStart w:id="101" w:name="_Toc16323"/>
      <w:bookmarkStart w:id="102" w:name="_Toc20858"/>
      <w:r>
        <w:rPr>
          <w:rFonts w:hint="eastAsia" w:ascii="仿宋_GB2312" w:eastAsia="仿宋_GB2312" w:cs="仿宋_GB2312"/>
          <w:color w:val="auto"/>
          <w:sz w:val="32"/>
          <w:szCs w:val="32"/>
          <w:lang w:bidi="ar-SA"/>
        </w:rPr>
        <w:t>2020年</w:t>
      </w:r>
      <w:r>
        <w:rPr>
          <w:rFonts w:hint="eastAsia" w:ascii="仿宋_GB2312" w:eastAsia="仿宋_GB2312" w:cs="仿宋_GB2312"/>
          <w:color w:val="auto"/>
          <w:sz w:val="32"/>
          <w:szCs w:val="32"/>
          <w:lang w:eastAsia="zh-CN" w:bidi="ar-SA"/>
        </w:rPr>
        <w:t>年初结转结余</w:t>
      </w:r>
      <w:r>
        <w:rPr>
          <w:rFonts w:hint="eastAsia" w:ascii="仿宋_GB2312" w:eastAsia="仿宋_GB2312" w:cs="仿宋_GB2312"/>
          <w:color w:val="auto"/>
          <w:sz w:val="32"/>
          <w:szCs w:val="32"/>
          <w:lang w:val="en-US" w:eastAsia="zh-CN" w:bidi="ar-SA"/>
        </w:rPr>
        <w:t>80.91万元，</w:t>
      </w:r>
      <w:r>
        <w:rPr>
          <w:rFonts w:hint="eastAsia" w:ascii="仿宋_GB2312" w:eastAsia="仿宋_GB2312" w:cs="仿宋_GB2312"/>
          <w:color w:val="auto"/>
          <w:sz w:val="32"/>
          <w:szCs w:val="32"/>
          <w:lang w:bidi="ar-SA"/>
        </w:rPr>
        <w:t>本年收入合计</w:t>
      </w:r>
      <w:r>
        <w:rPr>
          <w:rFonts w:hint="eastAsia" w:ascii="仿宋_GB2312" w:eastAsia="仿宋_GB2312" w:cs="仿宋_GB2312"/>
          <w:color w:val="auto"/>
          <w:sz w:val="32"/>
          <w:szCs w:val="32"/>
          <w:lang w:val="en-US" w:eastAsia="zh-CN" w:bidi="ar-SA"/>
        </w:rPr>
        <w:t>719.14</w:t>
      </w:r>
      <w:r>
        <w:rPr>
          <w:rFonts w:hint="eastAsia" w:ascii="仿宋_GB2312" w:eastAsia="仿宋_GB2312" w:cs="仿宋_GB2312"/>
          <w:color w:val="auto"/>
          <w:sz w:val="32"/>
          <w:szCs w:val="32"/>
          <w:lang w:bidi="ar-SA"/>
        </w:rPr>
        <w:t>万元，其中：一般公共预算财政拨款收入</w:t>
      </w:r>
      <w:r>
        <w:rPr>
          <w:rFonts w:hint="eastAsia" w:ascii="仿宋_GB2312" w:eastAsia="仿宋_GB2312" w:cs="仿宋_GB2312"/>
          <w:color w:val="auto"/>
          <w:sz w:val="32"/>
          <w:szCs w:val="32"/>
          <w:lang w:val="en-US" w:eastAsia="zh-CN" w:bidi="ar-SA"/>
        </w:rPr>
        <w:t>719.14</w:t>
      </w:r>
      <w:r>
        <w:rPr>
          <w:rFonts w:hint="eastAsia" w:ascii="仿宋_GB2312" w:eastAsia="仿宋_GB2312" w:cs="仿宋_GB2312"/>
          <w:color w:val="auto"/>
          <w:sz w:val="32"/>
          <w:szCs w:val="32"/>
          <w:lang w:bidi="ar-SA"/>
        </w:rPr>
        <w:t>万元</w:t>
      </w:r>
      <w:r>
        <w:rPr>
          <w:rFonts w:hint="eastAsia" w:ascii="仿宋_GB2312" w:eastAsia="仿宋_GB2312" w:cs="仿宋_GB2312"/>
          <w:color w:val="auto"/>
          <w:sz w:val="32"/>
          <w:szCs w:val="32"/>
          <w:lang w:eastAsia="zh-CN" w:bidi="ar-SA"/>
        </w:rPr>
        <w:t>（包含地方还债资金</w:t>
      </w:r>
      <w:r>
        <w:rPr>
          <w:rFonts w:hint="eastAsia" w:ascii="仿宋_GB2312" w:eastAsia="仿宋_GB2312" w:cs="仿宋_GB2312"/>
          <w:color w:val="auto"/>
          <w:sz w:val="32"/>
          <w:szCs w:val="32"/>
          <w:lang w:val="en-US" w:eastAsia="zh-CN" w:bidi="ar-SA"/>
        </w:rPr>
        <w:t>400万元</w:t>
      </w:r>
      <w:r>
        <w:rPr>
          <w:rFonts w:hint="eastAsia" w:ascii="仿宋_GB2312" w:eastAsia="仿宋_GB2312" w:cs="仿宋_GB2312"/>
          <w:color w:val="auto"/>
          <w:sz w:val="32"/>
          <w:szCs w:val="32"/>
          <w:lang w:eastAsia="zh-CN" w:bidi="ar-SA"/>
        </w:rPr>
        <w:t>）</w:t>
      </w:r>
      <w:r>
        <w:rPr>
          <w:rFonts w:hint="eastAsia" w:ascii="仿宋_GB2312" w:eastAsia="仿宋_GB2312" w:cs="仿宋_GB2312"/>
          <w:color w:val="auto"/>
          <w:sz w:val="32"/>
          <w:szCs w:val="32"/>
          <w:lang w:bidi="ar-SA"/>
        </w:rPr>
        <w:t>，占</w:t>
      </w:r>
      <w:r>
        <w:rPr>
          <w:rFonts w:hint="eastAsia" w:ascii="仿宋_GB2312" w:eastAsia="仿宋_GB2312" w:cs="仿宋_GB2312"/>
          <w:color w:val="auto"/>
          <w:sz w:val="32"/>
          <w:szCs w:val="32"/>
          <w:lang w:val="en-US" w:eastAsia="zh-CN" w:bidi="ar-SA"/>
        </w:rPr>
        <w:t>100</w:t>
      </w:r>
      <w:r>
        <w:rPr>
          <w:rFonts w:hint="eastAsia" w:ascii="仿宋_GB2312" w:eastAsia="仿宋_GB2312" w:cs="仿宋_GB2312"/>
          <w:color w:val="auto"/>
          <w:sz w:val="32"/>
          <w:szCs w:val="32"/>
          <w:lang w:bidi="ar-SA"/>
        </w:rPr>
        <w:t>%；政府性基金预算财政拨款收入</w:t>
      </w:r>
      <w:r>
        <w:rPr>
          <w:rFonts w:hint="eastAsia" w:ascii="仿宋_GB2312" w:eastAsia="仿宋_GB2312" w:cs="仿宋_GB2312"/>
          <w:color w:val="auto"/>
          <w:sz w:val="32"/>
          <w:szCs w:val="32"/>
          <w:lang w:val="en-US" w:eastAsia="zh-CN" w:bidi="ar-SA"/>
        </w:rPr>
        <w:t>0</w:t>
      </w:r>
      <w:r>
        <w:rPr>
          <w:rFonts w:hint="eastAsia" w:ascii="仿宋_GB2312" w:eastAsia="仿宋_GB2312" w:cs="仿宋_GB2312"/>
          <w:color w:val="auto"/>
          <w:sz w:val="32"/>
          <w:szCs w:val="32"/>
          <w:lang w:bidi="ar-SA"/>
        </w:rPr>
        <w:t>万元，占</w:t>
      </w:r>
      <w:r>
        <w:rPr>
          <w:rFonts w:hint="eastAsia" w:ascii="仿宋_GB2312" w:eastAsia="仿宋_GB2312" w:cs="仿宋_GB2312"/>
          <w:color w:val="auto"/>
          <w:sz w:val="32"/>
          <w:szCs w:val="32"/>
          <w:lang w:val="en-US" w:eastAsia="zh-CN" w:bidi="ar-SA"/>
        </w:rPr>
        <w:t>0</w:t>
      </w:r>
      <w:r>
        <w:rPr>
          <w:rFonts w:hint="eastAsia" w:ascii="仿宋_GB2312" w:eastAsia="仿宋_GB2312" w:cs="仿宋_GB2312"/>
          <w:color w:val="auto"/>
          <w:sz w:val="32"/>
          <w:szCs w:val="32"/>
          <w:lang w:bidi="ar-SA"/>
        </w:rPr>
        <w:t>%；其他收入</w:t>
      </w:r>
      <w:r>
        <w:rPr>
          <w:rFonts w:hint="eastAsia" w:ascii="仿宋_GB2312" w:eastAsia="仿宋_GB2312" w:cs="仿宋_GB2312"/>
          <w:color w:val="auto"/>
          <w:sz w:val="32"/>
          <w:szCs w:val="32"/>
          <w:lang w:val="en-US" w:eastAsia="zh-CN" w:bidi="ar-SA"/>
        </w:rPr>
        <w:t>0</w:t>
      </w:r>
      <w:r>
        <w:rPr>
          <w:rFonts w:hint="eastAsia" w:ascii="仿宋_GB2312" w:eastAsia="仿宋_GB2312" w:cs="仿宋_GB2312"/>
          <w:color w:val="auto"/>
          <w:sz w:val="32"/>
          <w:szCs w:val="32"/>
          <w:lang w:bidi="ar-SA"/>
        </w:rPr>
        <w:t>万元，占</w:t>
      </w:r>
      <w:r>
        <w:rPr>
          <w:rFonts w:hint="eastAsia" w:ascii="仿宋_GB2312" w:eastAsia="仿宋_GB2312" w:cs="仿宋_GB2312"/>
          <w:color w:val="auto"/>
          <w:sz w:val="32"/>
          <w:szCs w:val="32"/>
          <w:lang w:val="en-US" w:eastAsia="zh-CN" w:bidi="ar-SA"/>
        </w:rPr>
        <w:t>0</w:t>
      </w:r>
      <w:r>
        <w:rPr>
          <w:rFonts w:hint="eastAsia" w:ascii="仿宋_GB2312" w:eastAsia="仿宋_GB2312" w:cs="仿宋_GB2312"/>
          <w:color w:val="auto"/>
          <w:sz w:val="32"/>
          <w:szCs w:val="32"/>
          <w:lang w:bidi="ar-SA"/>
        </w:rPr>
        <w:t>%。</w:t>
      </w:r>
      <w:bookmarkEnd w:id="101"/>
      <w:bookmarkEnd w:id="102"/>
    </w:p>
    <w:p>
      <w:pPr>
        <w:pStyle w:val="2"/>
        <w:rPr>
          <w:lang w:val="zh-CN" w:eastAsia="zh-CN"/>
        </w:rPr>
      </w:pPr>
    </w:p>
    <w:p>
      <w:pPr>
        <w:widowControl/>
        <w:adjustRightInd w:val="0"/>
        <w:snapToGrid w:val="0"/>
        <w:spacing w:line="580" w:lineRule="exact"/>
        <w:ind w:left="420" w:leftChars="200" w:firstLine="320" w:firstLineChars="100"/>
        <w:contextualSpacing/>
        <w:jc w:val="left"/>
        <w:rPr>
          <w:rFonts w:hint="eastAsia" w:ascii="楷体_GB2312" w:eastAsia="楷体_GB2312" w:cs="楷体_GB2312"/>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（二）部门财政资金支出情况。</w:t>
      </w:r>
    </w:p>
    <w:p>
      <w:pPr>
        <w:keepNext w:val="0"/>
        <w:keepLines w:val="0"/>
        <w:pageBreakBefore w:val="0"/>
        <w:widowControl w:val="0"/>
        <w:kinsoku/>
        <w:wordWrap/>
        <w:overflowPunct/>
        <w:topLinePunct w:val="0"/>
        <w:autoSpaceDE/>
        <w:autoSpaceDN/>
        <w:bidi w:val="0"/>
        <w:adjustRightInd/>
        <w:snapToGrid/>
        <w:spacing w:line="240" w:lineRule="auto"/>
        <w:ind w:left="0" w:firstLine="640" w:firstLineChars="200"/>
        <w:textAlignment w:val="auto"/>
        <w:outlineLvl w:val="1"/>
        <w:rPr>
          <w:rFonts w:hint="eastAsia" w:ascii="仿宋_GB2312" w:eastAsia="仿宋_GB2312" w:cs="仿宋_GB2312"/>
          <w:lang w:val="zh-CN" w:eastAsia="zh-CN" w:bidi="ar-SA"/>
        </w:rPr>
      </w:pPr>
      <w:bookmarkStart w:id="103" w:name="_Toc19499"/>
      <w:bookmarkStart w:id="104" w:name="_Toc20307"/>
      <w:r>
        <w:rPr>
          <w:rFonts w:hint="eastAsia" w:ascii="仿宋_GB2312" w:eastAsia="仿宋_GB2312" w:cs="仿宋_GB2312"/>
          <w:color w:val="auto"/>
          <w:sz w:val="32"/>
          <w:szCs w:val="32"/>
          <w:lang w:val="en-US" w:eastAsia="zh-CN" w:bidi="ar-SA"/>
        </w:rPr>
        <w:t>2020</w:t>
      </w:r>
      <w:r>
        <w:rPr>
          <w:rFonts w:hint="eastAsia" w:ascii="仿宋_GB2312" w:eastAsia="仿宋_GB2312" w:cs="仿宋_GB2312"/>
          <w:color w:val="auto"/>
          <w:sz w:val="32"/>
          <w:szCs w:val="32"/>
          <w:lang w:bidi="ar-SA"/>
        </w:rPr>
        <w:t>年本年支出合计</w:t>
      </w:r>
      <w:r>
        <w:rPr>
          <w:rFonts w:hint="eastAsia" w:ascii="仿宋_GB2312" w:eastAsia="仿宋_GB2312" w:cs="仿宋_GB2312"/>
          <w:color w:val="auto"/>
          <w:sz w:val="32"/>
          <w:szCs w:val="32"/>
          <w:lang w:val="en-US" w:eastAsia="zh-CN" w:bidi="ar-SA"/>
        </w:rPr>
        <w:t>800.05</w:t>
      </w:r>
      <w:r>
        <w:rPr>
          <w:rFonts w:hint="eastAsia" w:ascii="仿宋_GB2312" w:eastAsia="仿宋_GB2312" w:cs="仿宋_GB2312"/>
          <w:color w:val="auto"/>
          <w:sz w:val="32"/>
          <w:szCs w:val="32"/>
          <w:lang w:bidi="ar-SA"/>
        </w:rPr>
        <w:t>万元，其中：基本支出</w:t>
      </w:r>
      <w:r>
        <w:rPr>
          <w:rFonts w:hint="eastAsia" w:ascii="仿宋_GB2312" w:eastAsia="仿宋_GB2312" w:cs="仿宋_GB2312"/>
          <w:color w:val="auto"/>
          <w:sz w:val="32"/>
          <w:szCs w:val="32"/>
          <w:lang w:val="en-US" w:eastAsia="zh-CN" w:bidi="ar-SA"/>
        </w:rPr>
        <w:t>398.17</w:t>
      </w:r>
      <w:r>
        <w:rPr>
          <w:rFonts w:hint="eastAsia" w:ascii="仿宋_GB2312" w:eastAsia="仿宋_GB2312" w:cs="仿宋_GB2312"/>
          <w:color w:val="auto"/>
          <w:sz w:val="32"/>
          <w:szCs w:val="32"/>
          <w:lang w:bidi="ar-SA"/>
        </w:rPr>
        <w:t>万元，占</w:t>
      </w:r>
      <w:r>
        <w:rPr>
          <w:rFonts w:hint="eastAsia" w:ascii="仿宋_GB2312" w:eastAsia="仿宋_GB2312" w:cs="仿宋_GB2312"/>
          <w:color w:val="auto"/>
          <w:sz w:val="32"/>
          <w:szCs w:val="32"/>
          <w:lang w:val="en-US" w:eastAsia="zh-CN" w:bidi="ar-SA"/>
        </w:rPr>
        <w:t>49.77</w:t>
      </w:r>
      <w:r>
        <w:rPr>
          <w:rFonts w:hint="eastAsia" w:ascii="仿宋_GB2312" w:eastAsia="仿宋_GB2312" w:cs="仿宋_GB2312"/>
          <w:color w:val="auto"/>
          <w:sz w:val="32"/>
          <w:szCs w:val="32"/>
          <w:lang w:bidi="ar-SA"/>
        </w:rPr>
        <w:t>%；项目支出</w:t>
      </w:r>
      <w:r>
        <w:rPr>
          <w:rFonts w:hint="eastAsia" w:ascii="仿宋_GB2312" w:eastAsia="仿宋_GB2312" w:cs="仿宋_GB2312"/>
          <w:color w:val="auto"/>
          <w:sz w:val="32"/>
          <w:szCs w:val="32"/>
          <w:lang w:val="en-US" w:eastAsia="zh-CN" w:bidi="ar-SA"/>
        </w:rPr>
        <w:t>401.88</w:t>
      </w:r>
      <w:r>
        <w:rPr>
          <w:rFonts w:hint="eastAsia" w:ascii="仿宋_GB2312" w:eastAsia="仿宋_GB2312" w:cs="仿宋_GB2312"/>
          <w:color w:val="auto"/>
          <w:sz w:val="32"/>
          <w:szCs w:val="32"/>
          <w:lang w:bidi="ar-SA"/>
        </w:rPr>
        <w:t>万元，占</w:t>
      </w:r>
      <w:r>
        <w:rPr>
          <w:rFonts w:hint="eastAsia" w:ascii="仿宋_GB2312" w:eastAsia="仿宋_GB2312" w:cs="仿宋_GB2312"/>
          <w:color w:val="auto"/>
          <w:sz w:val="32"/>
          <w:szCs w:val="32"/>
          <w:lang w:val="en-US" w:eastAsia="zh-CN" w:bidi="ar-SA"/>
        </w:rPr>
        <w:t>50.23</w:t>
      </w:r>
      <w:r>
        <w:rPr>
          <w:rFonts w:hint="eastAsia" w:ascii="仿宋_GB2312" w:eastAsia="仿宋_GB2312" w:cs="仿宋_GB2312"/>
          <w:color w:val="auto"/>
          <w:sz w:val="32"/>
          <w:szCs w:val="32"/>
          <w:lang w:bidi="ar-SA"/>
        </w:rPr>
        <w:t>%</w:t>
      </w:r>
      <w:r>
        <w:rPr>
          <w:rFonts w:hint="eastAsia" w:ascii="仿宋_GB2312" w:eastAsia="仿宋_GB2312" w:cs="仿宋_GB2312"/>
          <w:color w:val="auto"/>
          <w:sz w:val="32"/>
          <w:szCs w:val="32"/>
          <w:lang w:eastAsia="zh-CN" w:bidi="ar-SA"/>
        </w:rPr>
        <w:t>。</w:t>
      </w:r>
      <w:bookmarkEnd w:id="103"/>
      <w:bookmarkEnd w:id="104"/>
    </w:p>
    <w:p>
      <w:pPr>
        <w:widowControl/>
        <w:adjustRightInd w:val="0"/>
        <w:snapToGrid w:val="0"/>
        <w:spacing w:line="580" w:lineRule="exact"/>
        <w:ind w:firstLine="640" w:firstLineChars="200"/>
        <w:contextualSpacing/>
        <w:jc w:val="left"/>
        <w:rPr>
          <w:rFonts w:hint="eastAsia" w:ascii="黑体" w:eastAsia="黑体" w:cs="宋体"/>
          <w:color w:val="000000"/>
          <w:kern w:val="0"/>
          <w:sz w:val="32"/>
          <w:szCs w:val="32"/>
          <w:shd w:val="clear" w:color="auto" w:fill="FFFFFF"/>
          <w:lang w:bidi="ar-SA"/>
        </w:rPr>
      </w:pPr>
      <w:r>
        <w:rPr>
          <w:rFonts w:hint="eastAsia" w:ascii="黑体" w:eastAsia="黑体" w:cs="宋体"/>
          <w:color w:val="000000"/>
          <w:kern w:val="0"/>
          <w:sz w:val="32"/>
          <w:szCs w:val="32"/>
          <w:shd w:val="clear" w:color="auto" w:fill="FFFFFF"/>
          <w:lang w:bidi="ar-SA"/>
        </w:rPr>
        <w:t>三、部门整体预算绩效管理情况</w:t>
      </w:r>
    </w:p>
    <w:p>
      <w:pPr>
        <w:widowControl/>
        <w:adjustRightInd w:val="0"/>
        <w:snapToGrid w:val="0"/>
        <w:spacing w:line="580" w:lineRule="exact"/>
        <w:ind w:firstLine="640" w:firstLineChars="200"/>
        <w:contextualSpacing/>
        <w:jc w:val="left"/>
        <w:rPr>
          <w:rFonts w:hint="eastAsia" w:ascii="楷体_GB2312" w:eastAsia="楷体_GB2312" w:cs="楷体_GB2312"/>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（一）部门预算管理。</w:t>
      </w:r>
    </w:p>
    <w:p>
      <w:pPr>
        <w:autoSpaceDE w:val="0"/>
        <w:autoSpaceDN w:val="0"/>
        <w:adjustRightInd w:val="0"/>
        <w:spacing w:line="576" w:lineRule="exact"/>
        <w:ind w:firstLine="640" w:firstLineChars="200"/>
        <w:jc w:val="left"/>
        <w:rPr>
          <w:rFonts w:hint="eastAsia" w:ascii="仿宋_GB2312" w:eastAsia="仿宋_GB2312" w:cs="仿宋_GB2312"/>
          <w:kern w:val="0"/>
          <w:sz w:val="32"/>
          <w:szCs w:val="32"/>
          <w:lang w:bidi="ar-SA"/>
        </w:rPr>
      </w:pPr>
      <w:r>
        <w:rPr>
          <w:rFonts w:hint="eastAsia" w:ascii="仿宋_GB2312" w:eastAsia="仿宋_GB2312" w:cs="仿宋_GB2312"/>
          <w:kern w:val="0"/>
          <w:sz w:val="32"/>
          <w:szCs w:val="32"/>
          <w:lang w:val="en-US" w:eastAsia="zh-CN" w:bidi="ar-SA"/>
        </w:rPr>
        <w:t>2020</w:t>
      </w:r>
      <w:r>
        <w:rPr>
          <w:rFonts w:hint="eastAsia" w:ascii="仿宋_GB2312" w:eastAsia="仿宋_GB2312" w:cs="仿宋_GB2312"/>
          <w:kern w:val="0"/>
          <w:sz w:val="32"/>
          <w:szCs w:val="32"/>
          <w:lang w:bidi="ar-SA"/>
        </w:rPr>
        <w:t>年，本</w:t>
      </w:r>
      <w:r>
        <w:rPr>
          <w:rFonts w:hint="eastAsia" w:ascii="仿宋_GB2312" w:eastAsia="仿宋_GB2312" w:cs="仿宋_GB2312"/>
          <w:kern w:val="0"/>
          <w:sz w:val="32"/>
          <w:szCs w:val="32"/>
          <w:lang w:eastAsia="zh-CN" w:bidi="ar-SA"/>
        </w:rPr>
        <w:t>单位</w:t>
      </w:r>
      <w:r>
        <w:rPr>
          <w:rFonts w:hint="eastAsia" w:ascii="仿宋_GB2312" w:eastAsia="仿宋_GB2312" w:cs="仿宋_GB2312"/>
          <w:kern w:val="0"/>
          <w:sz w:val="32"/>
          <w:szCs w:val="32"/>
          <w:lang w:bidi="ar-SA"/>
        </w:rPr>
        <w:t>认真开展预算编制，及时报送部门预算和项目绩效目标，预算编制完整无漏项，预算编制准确规范。在预算执行过程中规范财务管理，严格按照预算批复执行，强化预算执行的刚性约束，不随意改变财政预算资金的使用范围，严控预算执行进度和经费支出情况，提高资金使用效益。在预算执行过程中未存在违纪违规情况。</w:t>
      </w:r>
    </w:p>
    <w:p>
      <w:pPr>
        <w:widowControl/>
        <w:adjustRightInd w:val="0"/>
        <w:snapToGrid w:val="0"/>
        <w:spacing w:line="580" w:lineRule="exact"/>
        <w:ind w:firstLine="640" w:firstLineChars="200"/>
        <w:contextualSpacing/>
        <w:jc w:val="left"/>
        <w:rPr>
          <w:rFonts w:hint="eastAsia" w:ascii="楷体_GB2312" w:eastAsia="楷体_GB2312" w:cs="楷体_GB2312"/>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（二）结果应用情况。</w:t>
      </w:r>
    </w:p>
    <w:p>
      <w:pPr>
        <w:widowControl/>
        <w:adjustRightInd w:val="0"/>
        <w:snapToGrid w:val="0"/>
        <w:spacing w:line="580" w:lineRule="exact"/>
        <w:ind w:firstLine="640" w:firstLineChars="200"/>
        <w:contextualSpacing/>
        <w:jc w:val="left"/>
        <w:rPr>
          <w:rFonts w:hint="eastAsia" w:ascii="仿宋" w:eastAsia="仿宋" w:cs="仿宋"/>
          <w:bCs/>
          <w:kern w:val="0"/>
          <w:sz w:val="32"/>
          <w:szCs w:val="32"/>
          <w:lang w:eastAsia="zh-CN" w:bidi="ar-SA"/>
        </w:rPr>
      </w:pPr>
      <w:r>
        <w:rPr>
          <w:rFonts w:hint="eastAsia" w:ascii="仿宋_GB2312" w:eastAsia="仿宋_GB2312" w:cs="仿宋_GB2312"/>
          <w:kern w:val="0"/>
          <w:sz w:val="32"/>
          <w:szCs w:val="32"/>
          <w:lang w:bidi="ar-SA"/>
        </w:rPr>
        <w:t>通过强化预算编制和执行，规范项目实施</w:t>
      </w:r>
      <w:r>
        <w:rPr>
          <w:rFonts w:hint="eastAsia" w:ascii="仿宋_GB2312" w:eastAsia="仿宋_GB2312" w:cs="仿宋_GB2312"/>
          <w:kern w:val="0"/>
          <w:sz w:val="32"/>
          <w:szCs w:val="32"/>
          <w:lang w:eastAsia="zh-CN" w:bidi="ar-SA"/>
        </w:rPr>
        <w:t>。</w:t>
      </w:r>
      <w:r>
        <w:rPr>
          <w:rFonts w:hint="eastAsia" w:ascii="仿宋_GB2312" w:eastAsia="仿宋_GB2312" w:cs="仿宋_GB2312"/>
          <w:sz w:val="32"/>
          <w:szCs w:val="32"/>
          <w:lang w:val="en-US" w:eastAsia="zh-CN" w:bidi="ar-SA"/>
        </w:rPr>
        <w:t>全面完成各项目标任务，</w:t>
      </w:r>
      <w:r>
        <w:rPr>
          <w:rFonts w:hint="eastAsia" w:ascii="仿宋_GB2312" w:eastAsia="仿宋_GB2312" w:cs="仿宋_GB2312"/>
          <w:sz w:val="32"/>
          <w:szCs w:val="32"/>
          <w:lang w:bidi="ar-SA"/>
        </w:rPr>
        <w:t>助推市政</w:t>
      </w:r>
      <w:r>
        <w:rPr>
          <w:rFonts w:hint="eastAsia" w:ascii="仿宋_GB2312" w:eastAsia="仿宋_GB2312" w:cs="仿宋_GB2312"/>
          <w:sz w:val="32"/>
          <w:szCs w:val="32"/>
          <w:lang w:eastAsia="zh-CN" w:bidi="ar-SA"/>
        </w:rPr>
        <w:t>基础设施</w:t>
      </w:r>
      <w:r>
        <w:rPr>
          <w:rFonts w:hint="eastAsia" w:ascii="仿宋_GB2312" w:eastAsia="仿宋_GB2312" w:cs="仿宋_GB2312"/>
          <w:sz w:val="32"/>
          <w:szCs w:val="32"/>
          <w:lang w:bidi="ar-SA"/>
        </w:rPr>
        <w:t>项目建设工作，进一步提升市政</w:t>
      </w:r>
      <w:r>
        <w:rPr>
          <w:rFonts w:hint="eastAsia" w:ascii="仿宋_GB2312" w:eastAsia="仿宋_GB2312" w:cs="仿宋_GB2312"/>
          <w:sz w:val="32"/>
          <w:szCs w:val="32"/>
          <w:lang w:eastAsia="zh-CN" w:bidi="ar-SA"/>
        </w:rPr>
        <w:t>基础设施</w:t>
      </w:r>
      <w:r>
        <w:rPr>
          <w:rFonts w:hint="eastAsia" w:ascii="仿宋_GB2312" w:eastAsia="仿宋_GB2312" w:cs="仿宋_GB2312"/>
          <w:sz w:val="32"/>
          <w:szCs w:val="32"/>
          <w:lang w:bidi="ar-SA"/>
        </w:rPr>
        <w:t>项目建设管理水平。</w:t>
      </w:r>
    </w:p>
    <w:p>
      <w:pPr>
        <w:widowControl/>
        <w:adjustRightInd w:val="0"/>
        <w:snapToGrid w:val="0"/>
        <w:spacing w:line="580" w:lineRule="exact"/>
        <w:ind w:firstLine="640" w:firstLineChars="200"/>
        <w:contextualSpacing/>
        <w:jc w:val="left"/>
        <w:rPr>
          <w:rFonts w:hint="eastAsia" w:ascii="黑体" w:eastAsia="黑体" w:cs="宋体"/>
          <w:color w:val="000000"/>
          <w:kern w:val="0"/>
          <w:sz w:val="32"/>
          <w:szCs w:val="32"/>
          <w:shd w:val="clear" w:color="auto" w:fill="FFFFFF"/>
          <w:lang w:bidi="ar-SA"/>
        </w:rPr>
      </w:pPr>
      <w:r>
        <w:rPr>
          <w:rFonts w:hint="eastAsia" w:ascii="黑体" w:eastAsia="黑体" w:cs="宋体"/>
          <w:color w:val="000000"/>
          <w:kern w:val="0"/>
          <w:sz w:val="32"/>
          <w:szCs w:val="32"/>
          <w:shd w:val="clear" w:color="auto" w:fill="FFFFFF"/>
          <w:lang w:bidi="ar-SA"/>
        </w:rPr>
        <w:t>四、评价结论及建议</w:t>
      </w:r>
    </w:p>
    <w:p>
      <w:pPr>
        <w:widowControl/>
        <w:adjustRightInd w:val="0"/>
        <w:snapToGrid w:val="0"/>
        <w:spacing w:line="580" w:lineRule="exact"/>
        <w:ind w:firstLine="640" w:firstLineChars="200"/>
        <w:contextualSpacing/>
        <w:jc w:val="left"/>
        <w:rPr>
          <w:rFonts w:hint="eastAsia" w:ascii="楷体_GB2312" w:eastAsia="楷体_GB2312" w:cs="楷体_GB2312"/>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（一）评价结论。</w:t>
      </w:r>
    </w:p>
    <w:p>
      <w:pPr>
        <w:pStyle w:val="2"/>
        <w:ind w:firstLine="640" w:firstLineChars="200"/>
        <w:rPr>
          <w:rFonts w:hint="eastAsia" w:ascii="仿宋_GB2312" w:eastAsia="仿宋_GB2312" w:cs="仿宋_GB2312"/>
          <w:lang w:val="zh-CN" w:eastAsia="zh-CN" w:bidi="ar-SA"/>
        </w:rPr>
      </w:pPr>
      <w:r>
        <w:rPr>
          <w:rFonts w:hint="eastAsia" w:ascii="仿宋_GB2312" w:eastAsia="仿宋_GB2312" w:cs="仿宋_GB2312"/>
          <w:kern w:val="0"/>
          <w:sz w:val="32"/>
          <w:szCs w:val="32"/>
          <w:lang w:val="en-US" w:eastAsia="zh-CN" w:bidi="ar-SA"/>
        </w:rPr>
        <w:t>总体来说，本单位2020年部门整体支出情况良好，从预算到执行和收入、支出等，都严格按相关制度要求进行，全年收支平衡。有效保证了机构运转，圆满完成了上级下达的目标任务。</w:t>
      </w:r>
    </w:p>
    <w:p>
      <w:pPr>
        <w:widowControl/>
        <w:numPr>
          <w:ilvl w:val="0"/>
          <w:numId w:val="6"/>
        </w:numPr>
        <w:adjustRightInd w:val="0"/>
        <w:snapToGrid w:val="0"/>
        <w:spacing w:line="580" w:lineRule="exact"/>
        <w:ind w:left="0" w:firstLine="640" w:firstLineChars="200"/>
        <w:contextualSpacing/>
        <w:jc w:val="left"/>
        <w:rPr>
          <w:rFonts w:hint="eastAsia" w:ascii="楷体_GB2312" w:eastAsia="楷体_GB2312" w:cs="楷体_GB2312"/>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存在问题。</w:t>
      </w:r>
    </w:p>
    <w:p>
      <w:pPr>
        <w:spacing w:line="576" w:lineRule="exact"/>
        <w:ind w:firstLine="640" w:firstLineChars="200"/>
        <w:rPr>
          <w:rFonts w:hint="eastAsia" w:ascii="仿宋_GB2312" w:eastAsia="仿宋_GB2312" w:cs="仿宋_GB2312"/>
          <w:lang w:val="zh-CN" w:eastAsia="zh-CN" w:bidi="ar-SA"/>
        </w:rPr>
      </w:pPr>
      <w:r>
        <w:rPr>
          <w:rFonts w:hint="eastAsia" w:ascii="仿宋_GB2312" w:eastAsia="仿宋_GB2312" w:cs="仿宋_GB2312"/>
          <w:sz w:val="32"/>
          <w:szCs w:val="32"/>
          <w:lang w:bidi="ar-SA"/>
        </w:rPr>
        <w:t>绩效评价基础数据还不够准确</w:t>
      </w:r>
      <w:r>
        <w:rPr>
          <w:rFonts w:hint="eastAsia" w:ascii="仿宋_GB2312" w:eastAsia="仿宋_GB2312" w:cs="仿宋_GB2312"/>
          <w:sz w:val="32"/>
          <w:szCs w:val="32"/>
          <w:lang w:eastAsia="zh-CN" w:bidi="ar-SA"/>
        </w:rPr>
        <w:t>，</w:t>
      </w:r>
      <w:r>
        <w:rPr>
          <w:rFonts w:hint="eastAsia" w:ascii="仿宋_GB2312" w:eastAsia="仿宋_GB2312" w:cs="仿宋_GB2312"/>
          <w:sz w:val="32"/>
          <w:szCs w:val="32"/>
          <w:lang w:bidi="ar-SA"/>
        </w:rPr>
        <w:t>项目绩效管理有待提高</w:t>
      </w:r>
      <w:r>
        <w:rPr>
          <w:rFonts w:hint="eastAsia" w:ascii="仿宋_GB2312" w:eastAsia="仿宋_GB2312" w:cs="仿宋_GB2312"/>
          <w:sz w:val="32"/>
          <w:szCs w:val="32"/>
          <w:lang w:eastAsia="zh-CN" w:bidi="ar-SA"/>
        </w:rPr>
        <w:t>。</w:t>
      </w:r>
    </w:p>
    <w:p>
      <w:pPr>
        <w:widowControl/>
        <w:numPr>
          <w:ilvl w:val="0"/>
          <w:numId w:val="6"/>
        </w:numPr>
        <w:adjustRightInd w:val="0"/>
        <w:snapToGrid w:val="0"/>
        <w:spacing w:line="580" w:lineRule="exact"/>
        <w:ind w:left="0" w:firstLine="640" w:firstLineChars="200"/>
        <w:contextualSpacing/>
        <w:jc w:val="left"/>
        <w:rPr>
          <w:rFonts w:hint="eastAsia" w:ascii="楷体_GB2312" w:eastAsia="楷体_GB2312" w:cs="楷体_GB2312"/>
          <w:color w:val="000000"/>
          <w:kern w:val="0"/>
          <w:sz w:val="32"/>
          <w:szCs w:val="32"/>
          <w:shd w:val="clear" w:color="auto" w:fill="FFFFFF"/>
          <w:lang w:val="zh-CN" w:eastAsia="zh-CN" w:bidi="ar-SA"/>
        </w:rPr>
      </w:pPr>
      <w:r>
        <w:rPr>
          <w:rFonts w:hint="eastAsia" w:ascii="楷体_GB2312" w:eastAsia="楷体_GB2312" w:cs="楷体_GB2312"/>
          <w:color w:val="000000"/>
          <w:kern w:val="0"/>
          <w:sz w:val="32"/>
          <w:szCs w:val="32"/>
          <w:shd w:val="clear" w:color="auto" w:fill="FFFFFF"/>
          <w:lang w:val="zh-CN" w:eastAsia="zh-CN" w:bidi="ar-SA"/>
        </w:rPr>
        <w:t>改进建议。</w:t>
      </w:r>
    </w:p>
    <w:p>
      <w:pPr>
        <w:spacing w:line="576" w:lineRule="exact"/>
        <w:ind w:firstLine="640" w:firstLineChars="200"/>
        <w:jc w:val="left"/>
        <w:rPr>
          <w:rFonts w:hint="eastAsia" w:ascii="仿宋_GB2312" w:eastAsia="仿宋_GB2312" w:cs="仿宋_GB2312"/>
          <w:sz w:val="32"/>
          <w:szCs w:val="32"/>
          <w:lang w:bidi="ar-SA"/>
        </w:rPr>
      </w:pPr>
      <w:r>
        <w:rPr>
          <w:rFonts w:hint="eastAsia" w:ascii="仿宋_GB2312" w:eastAsia="仿宋_GB2312" w:cs="仿宋_GB2312"/>
          <w:sz w:val="32"/>
          <w:szCs w:val="32"/>
          <w:lang w:bidi="ar-SA"/>
        </w:rPr>
        <w:t>1.进一步加强项目绩效管理，严格预算执行力度，合理安排支出，提高项目资金使用。</w:t>
      </w:r>
    </w:p>
    <w:p>
      <w:pPr>
        <w:spacing w:line="576" w:lineRule="exact"/>
        <w:ind w:firstLine="640" w:firstLineChars="200"/>
        <w:jc w:val="left"/>
        <w:rPr>
          <w:rFonts w:hint="eastAsia" w:ascii="仿宋_GB2312" w:eastAsia="仿宋_GB2312" w:cs="仿宋_GB2312"/>
          <w:sz w:val="32"/>
          <w:szCs w:val="32"/>
          <w:lang w:bidi="ar-SA"/>
        </w:rPr>
      </w:pPr>
      <w:r>
        <w:rPr>
          <w:rFonts w:hint="eastAsia" w:ascii="仿宋_GB2312" w:eastAsia="仿宋_GB2312" w:cs="仿宋_GB2312"/>
          <w:sz w:val="32"/>
          <w:szCs w:val="32"/>
          <w:lang w:bidi="ar-SA"/>
        </w:rPr>
        <w:t>2.进一步加强财务人员职业培训，提高财务核算、财务管理的综合水平。</w:t>
      </w: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pStyle w:val="2"/>
        <w:rPr>
          <w:rFonts w:hint="eastAsia" w:ascii="仿宋_GB2312" w:eastAsia="仿宋_GB2312" w:cs="仿宋_GB2312"/>
          <w:sz w:val="32"/>
          <w:szCs w:val="32"/>
          <w:lang w:bidi="ar-SA"/>
        </w:rPr>
      </w:pPr>
    </w:p>
    <w:p>
      <w:pPr>
        <w:spacing w:line="580" w:lineRule="exact"/>
        <w:rPr>
          <w:rFonts w:hint="eastAsia" w:ascii="黑体" w:eastAsia="黑体" w:cs="黑体"/>
          <w:sz w:val="32"/>
          <w:szCs w:val="32"/>
          <w:lang w:bidi="ar-SA"/>
        </w:rPr>
      </w:pPr>
    </w:p>
    <w:p>
      <w:pPr>
        <w:spacing w:line="580" w:lineRule="exact"/>
        <w:outlineLvl w:val="1"/>
        <w:rPr>
          <w:rFonts w:hint="eastAsia" w:ascii="仿宋_GB2312" w:eastAsia="仿宋_GB2312" w:cs="仿宋_GB2312"/>
          <w:sz w:val="32"/>
          <w:szCs w:val="32"/>
          <w:lang w:bidi="ar-SA"/>
        </w:rPr>
      </w:pPr>
      <w:bookmarkStart w:id="105" w:name="_Toc21226"/>
      <w:bookmarkStart w:id="106" w:name="_Toc16619"/>
      <w:r>
        <w:rPr>
          <w:rFonts w:hint="eastAsia" w:ascii="黑体" w:eastAsia="黑体" w:cs="黑体"/>
          <w:sz w:val="32"/>
          <w:szCs w:val="32"/>
          <w:lang w:bidi="ar-SA"/>
        </w:rPr>
        <w:t>附件2</w:t>
      </w:r>
      <w:bookmarkEnd w:id="105"/>
      <w:bookmarkEnd w:id="106"/>
    </w:p>
    <w:p>
      <w:pPr>
        <w:pStyle w:val="2"/>
        <w:rPr>
          <w:rFonts w:hint="eastAsia" w:ascii="仿宋_GB2312" w:eastAsia="仿宋_GB2312" w:cs="仿宋_GB2312"/>
          <w:sz w:val="32"/>
          <w:szCs w:val="32"/>
          <w:lang w:bidi="ar-SA"/>
        </w:rPr>
      </w:pPr>
    </w:p>
    <w:p>
      <w:pPr>
        <w:spacing w:line="600" w:lineRule="exact"/>
        <w:jc w:val="center"/>
        <w:outlineLvl w:val="1"/>
        <w:rPr>
          <w:rFonts w:hint="eastAsia" w:ascii="方正小标宋简体" w:eastAsia="方正小标宋简体"/>
          <w:color w:val="000000"/>
          <w:kern w:val="0"/>
          <w:sz w:val="44"/>
          <w:szCs w:val="44"/>
          <w:lang w:val="zh-CN" w:eastAsia="zh-CN"/>
        </w:rPr>
      </w:pPr>
      <w:bookmarkStart w:id="107" w:name="_Toc10344"/>
      <w:bookmarkStart w:id="108" w:name="_Toc14842"/>
      <w:r>
        <w:rPr>
          <w:rFonts w:hint="eastAsia" w:ascii="方正小标宋简体" w:eastAsia="方正小标宋简体"/>
          <w:color w:val="000000"/>
          <w:kern w:val="0"/>
          <w:sz w:val="44"/>
          <w:szCs w:val="44"/>
          <w:lang w:val="zh-CN" w:eastAsia="zh-CN"/>
        </w:rPr>
        <w:t>市政公用行业监督检查项目</w:t>
      </w:r>
      <w:bookmarkEnd w:id="107"/>
      <w:bookmarkEnd w:id="108"/>
    </w:p>
    <w:p>
      <w:pPr>
        <w:spacing w:line="600" w:lineRule="exact"/>
        <w:jc w:val="center"/>
        <w:outlineLvl w:val="1"/>
        <w:rPr>
          <w:rFonts w:hint="eastAsia" w:ascii="方正小标宋简体" w:eastAsia="方正小标宋简体"/>
          <w:color w:val="000000"/>
          <w:kern w:val="0"/>
          <w:sz w:val="44"/>
          <w:szCs w:val="44"/>
          <w:lang w:val="zh-CN" w:eastAsia="zh-CN"/>
        </w:rPr>
      </w:pPr>
      <w:bookmarkStart w:id="109" w:name="_Toc1042"/>
      <w:bookmarkStart w:id="110" w:name="_Toc21841"/>
      <w:r>
        <w:rPr>
          <w:rFonts w:hint="eastAsia" w:ascii="方正小标宋简体" w:eastAsia="方正小标宋简体"/>
          <w:color w:val="000000"/>
          <w:kern w:val="0"/>
          <w:sz w:val="44"/>
          <w:szCs w:val="44"/>
        </w:rPr>
        <w:t>2020年</w:t>
      </w:r>
      <w:r>
        <w:rPr>
          <w:rFonts w:hint="eastAsia" w:ascii="方正小标宋简体" w:eastAsia="方正小标宋简体"/>
          <w:color w:val="000000"/>
          <w:kern w:val="0"/>
          <w:sz w:val="44"/>
          <w:szCs w:val="44"/>
          <w:lang w:val="zh-CN" w:eastAsia="zh-CN"/>
        </w:rPr>
        <w:t>绩效评价报告</w:t>
      </w:r>
      <w:bookmarkEnd w:id="109"/>
      <w:bookmarkEnd w:id="110"/>
    </w:p>
    <w:p>
      <w:pPr>
        <w:adjustRightInd w:val="0"/>
        <w:snapToGrid w:val="0"/>
        <w:spacing w:line="600" w:lineRule="exact"/>
        <w:ind w:firstLine="720"/>
        <w:rPr>
          <w:rFonts w:hint="eastAsia" w:ascii="黑体" w:eastAsia="黑体"/>
          <w:sz w:val="32"/>
          <w:szCs w:val="32"/>
        </w:rPr>
      </w:pPr>
    </w:p>
    <w:p>
      <w:pPr>
        <w:adjustRightInd w:val="0"/>
        <w:snapToGrid w:val="0"/>
        <w:spacing w:line="600" w:lineRule="exact"/>
        <w:ind w:firstLine="720"/>
        <w:rPr>
          <w:rFonts w:hint="eastAsia" w:ascii="黑体" w:eastAsia="黑体"/>
          <w:sz w:val="32"/>
          <w:szCs w:val="32"/>
          <w:lang w:val="zh-CN" w:eastAsia="zh-CN"/>
        </w:rPr>
      </w:pPr>
      <w:r>
        <w:rPr>
          <w:rFonts w:hint="eastAsia" w:ascii="黑体" w:eastAsia="黑体"/>
          <w:sz w:val="32"/>
          <w:szCs w:val="32"/>
        </w:rPr>
        <w:t>一、</w:t>
      </w:r>
      <w:r>
        <w:rPr>
          <w:rFonts w:hint="eastAsia" w:ascii="黑体" w:eastAsia="黑体"/>
          <w:sz w:val="32"/>
          <w:szCs w:val="32"/>
          <w:lang w:val="zh-CN" w:eastAsia="zh-CN"/>
        </w:rPr>
        <w:t>项目概况</w:t>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（一）项目基本情况。</w:t>
      </w:r>
    </w:p>
    <w:p>
      <w:pPr>
        <w:pStyle w:val="6"/>
        <w:adjustRightInd w:val="0"/>
        <w:snapToGrid w:val="0"/>
        <w:spacing w:before="93" w:beforeLines="0" w:line="600" w:lineRule="exact"/>
        <w:ind w:firstLine="668" w:firstLineChars="209"/>
        <w:outlineLvl w:val="2"/>
        <w:rPr>
          <w:rFonts w:hint="eastAsia" w:ascii="仿宋_GB2312" w:hAnsi="仿宋_GB2312" w:eastAsia="仿宋"/>
          <w:sz w:val="32"/>
          <w:szCs w:val="32"/>
          <w:highlight w:val="none"/>
          <w:lang w:val="en-US" w:eastAsia="zh-CN"/>
        </w:rPr>
      </w:pPr>
      <w:r>
        <w:rPr>
          <w:rFonts w:hint="eastAsia" w:ascii="仿宋_GB2312" w:eastAsia="仿宋_GB2312" w:cs="宋体"/>
          <w:kern w:val="0"/>
          <w:sz w:val="32"/>
          <w:szCs w:val="32"/>
          <w:lang w:eastAsia="zh-CN" w:bidi="ar-SA"/>
        </w:rPr>
        <w:t>市城市建设事务中心</w:t>
      </w:r>
      <w:r>
        <w:rPr>
          <w:rFonts w:hint="eastAsia" w:ascii="仿宋" w:eastAsia="仿宋"/>
          <w:sz w:val="32"/>
          <w:szCs w:val="32"/>
        </w:rPr>
        <w:t>负责</w:t>
      </w:r>
      <w:r>
        <w:rPr>
          <w:rFonts w:hint="eastAsia" w:ascii="仿宋_GB2312" w:eastAsia="仿宋_GB2312" w:cs="仿宋_GB2312"/>
          <w:bCs/>
          <w:color w:val="000000"/>
          <w:sz w:val="32"/>
          <w:szCs w:val="32"/>
          <w:highlight w:val="none"/>
          <w:lang w:bidi="ar-SA"/>
        </w:rPr>
        <w:t>市城区道路（人行道、车行道）、桥梁、人行下穿通道、人行天桥、隧道等市政基础设施建设及日常维修维护管理工作；组织和协调市城区</w:t>
      </w:r>
      <w:r>
        <w:rPr>
          <w:rFonts w:hint="eastAsia" w:ascii="仿宋_GB2312" w:eastAsia="仿宋_GB2312" w:cs="仿宋_GB2312"/>
          <w:bCs/>
          <w:color w:val="000000"/>
          <w:sz w:val="32"/>
          <w:szCs w:val="32"/>
          <w:highlight w:val="none"/>
          <w:lang w:eastAsia="zh-CN" w:bidi="ar-SA"/>
        </w:rPr>
        <w:t>排</w:t>
      </w:r>
      <w:r>
        <w:rPr>
          <w:rFonts w:hint="eastAsia" w:ascii="仿宋_GB2312" w:eastAsia="仿宋_GB2312" w:cs="仿宋_GB2312"/>
          <w:bCs/>
          <w:color w:val="000000"/>
          <w:sz w:val="32"/>
          <w:szCs w:val="32"/>
          <w:highlight w:val="none"/>
          <w:lang w:bidi="ar-SA"/>
        </w:rPr>
        <w:t>水防涝日常管理工作；配合做好地下管线（廊、道、沟）及窨井设施管理工作；做好市政公用设施运行、城镇燃气行业指导协调服务工作</w:t>
      </w:r>
      <w:r>
        <w:rPr>
          <w:rFonts w:hint="eastAsia" w:cs="仿宋_GB2312"/>
          <w:bCs/>
          <w:color w:val="000000"/>
          <w:sz w:val="32"/>
          <w:szCs w:val="32"/>
          <w:highlight w:val="none"/>
          <w:lang w:eastAsia="zh-CN" w:bidi="ar-SA"/>
        </w:rPr>
        <w:t>等</w:t>
      </w:r>
      <w:r>
        <w:rPr>
          <w:rFonts w:hint="eastAsia" w:ascii="仿宋" w:eastAsia="仿宋"/>
          <w:sz w:val="32"/>
          <w:szCs w:val="32"/>
        </w:rPr>
        <w:t>。</w:t>
      </w:r>
      <w:r>
        <w:rPr>
          <w:rFonts w:hint="eastAsia" w:ascii="仿宋_GB2312" w:eastAsia="仿宋_GB2312" w:cs="宋体"/>
          <w:kern w:val="0"/>
          <w:sz w:val="32"/>
          <w:szCs w:val="32"/>
          <w:lang w:eastAsia="zh-CN" w:bidi="ar-SA"/>
        </w:rPr>
        <w:t>根据需要，年初申</w:t>
      </w:r>
      <w:r>
        <w:rPr>
          <w:rFonts w:hint="eastAsia" w:ascii="仿宋" w:eastAsia="仿宋" w:cs="仿宋"/>
          <w:kern w:val="0"/>
          <w:sz w:val="32"/>
          <w:szCs w:val="32"/>
          <w:lang w:eastAsia="zh-CN" w:bidi="ar-SA"/>
        </w:rPr>
        <w:t>报</w:t>
      </w:r>
      <w:r>
        <w:rPr>
          <w:rFonts w:hint="eastAsia" w:ascii="仿宋" w:eastAsia="仿宋" w:cs="仿宋"/>
          <w:color w:val="000000"/>
          <w:kern w:val="0"/>
          <w:sz w:val="32"/>
          <w:szCs w:val="32"/>
          <w:lang w:val="zh-CN" w:eastAsia="zh-CN" w:bidi="ar-SA"/>
        </w:rPr>
        <w:t>市政公用行业监督检查</w:t>
      </w:r>
      <w:r>
        <w:rPr>
          <w:rFonts w:hint="eastAsia" w:ascii="仿宋" w:eastAsia="仿宋" w:cs="仿宋"/>
          <w:color w:val="000000"/>
          <w:sz w:val="32"/>
          <w:szCs w:val="32"/>
          <w:lang w:eastAsia="zh-CN" w:bidi="ar-SA"/>
        </w:rPr>
        <w:t>工</w:t>
      </w:r>
      <w:r>
        <w:rPr>
          <w:rFonts w:hint="eastAsia" w:ascii="仿宋_GB2312" w:eastAsia="仿宋_GB2312" w:cs="仿宋_GB2312"/>
          <w:color w:val="000000"/>
          <w:sz w:val="32"/>
          <w:szCs w:val="32"/>
          <w:lang w:eastAsia="zh-CN" w:bidi="ar-SA"/>
        </w:rPr>
        <w:t>作经费</w:t>
      </w:r>
      <w:r>
        <w:rPr>
          <w:rFonts w:hint="eastAsia" w:cs="仿宋_GB2312"/>
          <w:color w:val="000000"/>
          <w:sz w:val="32"/>
          <w:szCs w:val="32"/>
          <w:lang w:val="en-US" w:eastAsia="zh-CN" w:bidi="ar-SA"/>
        </w:rPr>
        <w:t>0.54</w:t>
      </w:r>
      <w:r>
        <w:rPr>
          <w:rFonts w:hint="eastAsia" w:ascii="仿宋_GB2312" w:eastAsia="仿宋_GB2312" w:cs="仿宋_GB2312"/>
          <w:color w:val="000000"/>
          <w:sz w:val="32"/>
          <w:szCs w:val="32"/>
          <w:lang w:eastAsia="zh-CN" w:bidi="ar-SA"/>
        </w:rPr>
        <w:t>万元；</w:t>
      </w:r>
      <w:r>
        <w:rPr>
          <w:rFonts w:hint="eastAsia" w:ascii="仿宋_GB2312" w:eastAsia="仿宋_GB2312"/>
          <w:sz w:val="32"/>
          <w:szCs w:val="32"/>
          <w:highlight w:val="none"/>
          <w:lang w:val="zh-CN" w:eastAsia="zh-CN"/>
        </w:rPr>
        <w:t>市财政局下达专项工作经费</w:t>
      </w:r>
      <w:r>
        <w:rPr>
          <w:rFonts w:hint="eastAsia"/>
          <w:sz w:val="32"/>
          <w:szCs w:val="32"/>
          <w:highlight w:val="none"/>
          <w:lang w:val="en-US" w:eastAsia="zh-CN"/>
        </w:rPr>
        <w:t>0.54</w:t>
      </w:r>
      <w:r>
        <w:rPr>
          <w:rFonts w:hint="eastAsia" w:ascii="仿宋_GB2312" w:eastAsia="仿宋_GB2312"/>
          <w:sz w:val="32"/>
          <w:szCs w:val="32"/>
          <w:highlight w:val="none"/>
          <w:lang w:val="en-US" w:eastAsia="zh-CN"/>
        </w:rPr>
        <w:t>万元，截至2020年底，共计支出</w:t>
      </w:r>
      <w:r>
        <w:rPr>
          <w:rFonts w:hint="eastAsia" w:ascii="仿宋" w:eastAsia="仿宋"/>
          <w:color w:val="000000"/>
          <w:sz w:val="32"/>
          <w:szCs w:val="32"/>
          <w:highlight w:val="none"/>
          <w:lang w:val="en-US" w:eastAsia="zh-CN"/>
        </w:rPr>
        <w:t>0.54万元</w:t>
      </w:r>
      <w:r>
        <w:rPr>
          <w:rFonts w:hint="eastAsia" w:ascii="仿宋" w:eastAsia="仿宋"/>
          <w:color w:val="000000"/>
          <w:sz w:val="32"/>
          <w:szCs w:val="32"/>
          <w:highlight w:val="none"/>
          <w:lang w:eastAsia="zh-CN"/>
        </w:rPr>
        <w:t>。</w:t>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（二）项目绩效目标。</w:t>
      </w:r>
    </w:p>
    <w:p>
      <w:pPr>
        <w:adjustRightInd w:val="0"/>
        <w:snapToGrid w:val="0"/>
        <w:spacing w:line="600" w:lineRule="exact"/>
        <w:ind w:firstLine="720"/>
        <w:rPr>
          <w:rFonts w:hint="eastAsia" w:ascii="仿宋_GB2312" w:eastAsia="仿宋_GB2312"/>
          <w:sz w:val="32"/>
          <w:szCs w:val="32"/>
          <w:lang w:val="zh-CN" w:eastAsia="zh-CN"/>
        </w:rPr>
      </w:pPr>
      <w:r>
        <w:rPr>
          <w:rFonts w:hint="eastAsia" w:ascii="仿宋_GB2312" w:eastAsia="仿宋_GB2312"/>
          <w:sz w:val="32"/>
          <w:szCs w:val="32"/>
          <w:lang w:val="zh-CN" w:eastAsia="zh-CN"/>
        </w:rPr>
        <w:t>确保市城区道路、</w:t>
      </w:r>
      <w:r>
        <w:rPr>
          <w:rFonts w:hint="eastAsia" w:ascii="仿宋_GB2312" w:eastAsia="仿宋_GB2312" w:cs="仿宋_GB2312"/>
          <w:bCs/>
          <w:color w:val="000000"/>
          <w:sz w:val="32"/>
          <w:szCs w:val="32"/>
          <w:highlight w:val="none"/>
          <w:lang w:bidi="ar-SA"/>
        </w:rPr>
        <w:t>桥梁、人行下穿通道、人行天桥、隧道</w:t>
      </w:r>
      <w:r>
        <w:rPr>
          <w:rFonts w:hint="eastAsia" w:ascii="仿宋_GB2312" w:eastAsia="仿宋_GB2312" w:cs="仿宋_GB2312"/>
          <w:bCs/>
          <w:color w:val="000000"/>
          <w:sz w:val="32"/>
          <w:szCs w:val="32"/>
          <w:highlight w:val="none"/>
          <w:lang w:eastAsia="zh-CN" w:bidi="ar-SA"/>
        </w:rPr>
        <w:t>等</w:t>
      </w:r>
      <w:r>
        <w:rPr>
          <w:rFonts w:hint="eastAsia" w:ascii="仿宋_GB2312" w:eastAsia="仿宋_GB2312" w:cs="仿宋_GB2312"/>
          <w:bCs/>
          <w:color w:val="000000"/>
          <w:sz w:val="32"/>
          <w:szCs w:val="32"/>
          <w:highlight w:val="none"/>
          <w:lang w:bidi="ar-SA"/>
        </w:rPr>
        <w:t>市政基础设施</w:t>
      </w:r>
      <w:r>
        <w:rPr>
          <w:rFonts w:hint="eastAsia" w:ascii="仿宋_GB2312" w:eastAsia="仿宋_GB2312"/>
          <w:sz w:val="32"/>
          <w:szCs w:val="32"/>
        </w:rPr>
        <w:t>安全使用，整洁完好</w:t>
      </w:r>
      <w:r>
        <w:rPr>
          <w:rFonts w:hint="eastAsia" w:ascii="仿宋_GB2312" w:eastAsia="仿宋_GB2312"/>
          <w:sz w:val="32"/>
          <w:szCs w:val="32"/>
          <w:lang w:val="zh-CN" w:eastAsia="zh-CN"/>
        </w:rPr>
        <w:t>；方便市民出行，满意度90%以上。通过该项目实施，申报内容与实际相符、申报目标合理可行。</w:t>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（三）项目自评步骤及方法。</w:t>
      </w:r>
    </w:p>
    <w:p>
      <w:pPr>
        <w:adjustRightInd w:val="0"/>
        <w:snapToGrid w:val="0"/>
        <w:spacing w:line="600" w:lineRule="exact"/>
        <w:ind w:firstLine="720"/>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本次评价采用现场调研与非现场评价相结合的形式开展。评价综合运用比较法（对项目绩效目标与实施效果、预算与实际支出对比）、对项目决策、过程、产出、效果四个方面进行综合评价。</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二、项目资金申报及使用情况</w:t>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（一）项目资金申报及批复情况。</w:t>
      </w:r>
    </w:p>
    <w:p>
      <w:pPr>
        <w:adjustRightInd w:val="0"/>
        <w:snapToGrid w:val="0"/>
        <w:spacing w:line="600" w:lineRule="exact"/>
        <w:ind w:firstLine="720"/>
        <w:rPr>
          <w:rFonts w:hint="eastAsia" w:ascii="仿宋" w:eastAsia="仿宋"/>
          <w:color w:val="000000"/>
          <w:sz w:val="32"/>
          <w:szCs w:val="32"/>
          <w:highlight w:val="none"/>
          <w:lang w:eastAsia="zh-CN"/>
        </w:rPr>
      </w:pPr>
      <w:r>
        <w:rPr>
          <w:rFonts w:hint="eastAsia" w:ascii="仿宋_GB2312" w:eastAsia="仿宋_GB2312"/>
          <w:sz w:val="32"/>
          <w:szCs w:val="32"/>
          <w:highlight w:val="none"/>
          <w:lang w:val="en-US" w:eastAsia="zh-CN"/>
        </w:rPr>
        <w:t>2020年年初部门预算时，该项目申报了0.54万元。2020年</w:t>
      </w:r>
      <w:r>
        <w:rPr>
          <w:rFonts w:hint="eastAsia" w:ascii="仿宋_GB2312" w:eastAsia="仿宋_GB2312"/>
          <w:sz w:val="32"/>
          <w:szCs w:val="32"/>
          <w:highlight w:val="none"/>
          <w:lang w:val="zh-CN" w:eastAsia="zh-CN"/>
        </w:rPr>
        <w:t>年初市财政局根据</w:t>
      </w:r>
      <w:r>
        <w:rPr>
          <w:rFonts w:hint="eastAsia" w:ascii="仿宋_GB2312" w:eastAsia="仿宋_GB2312"/>
          <w:sz w:val="32"/>
          <w:szCs w:val="32"/>
          <w:highlight w:val="none"/>
          <w:lang w:val="en-US" w:eastAsia="zh-CN"/>
        </w:rPr>
        <w:t>广财预〔2020〕8号文件</w:t>
      </w:r>
      <w:r>
        <w:rPr>
          <w:rFonts w:hint="eastAsia" w:ascii="仿宋_GB2312" w:eastAsia="仿宋_GB2312"/>
          <w:sz w:val="32"/>
          <w:szCs w:val="32"/>
          <w:highlight w:val="none"/>
          <w:lang w:val="zh-CN" w:eastAsia="zh-CN"/>
        </w:rPr>
        <w:t>下达专项工作经费</w:t>
      </w:r>
      <w:r>
        <w:rPr>
          <w:rFonts w:hint="eastAsia" w:ascii="仿宋_GB2312" w:eastAsia="仿宋_GB2312"/>
          <w:sz w:val="32"/>
          <w:szCs w:val="32"/>
          <w:highlight w:val="none"/>
          <w:lang w:val="en-US" w:eastAsia="zh-CN"/>
        </w:rPr>
        <w:t>0.54万元</w:t>
      </w:r>
      <w:r>
        <w:rPr>
          <w:rFonts w:hint="eastAsia" w:ascii="仿宋" w:eastAsia="仿宋"/>
          <w:color w:val="000000"/>
          <w:sz w:val="32"/>
          <w:szCs w:val="32"/>
          <w:highlight w:val="none"/>
          <w:lang w:eastAsia="zh-CN"/>
        </w:rPr>
        <w:t>。</w:t>
      </w:r>
    </w:p>
    <w:p>
      <w:pPr>
        <w:adjustRightInd w:val="0"/>
        <w:snapToGrid w:val="0"/>
        <w:spacing w:line="600" w:lineRule="exact"/>
        <w:ind w:firstLine="720"/>
        <w:rPr>
          <w:rFonts w:hint="eastAsia" w:ascii="仿宋_GB2312" w:eastAsia="仿宋_GB2312"/>
          <w:sz w:val="32"/>
          <w:szCs w:val="32"/>
          <w:lang w:val="zh-CN" w:eastAsia="zh-CN"/>
        </w:rPr>
      </w:pPr>
      <w:r>
        <w:rPr>
          <w:rFonts w:hint="eastAsia" w:ascii="楷体_GB2312" w:eastAsia="楷体_GB2312"/>
          <w:b/>
          <w:sz w:val="32"/>
          <w:szCs w:val="32"/>
          <w:lang w:val="zh-CN" w:eastAsia="zh-CN"/>
        </w:rPr>
        <w:t>（二）资金计划、到位及使用情况。</w:t>
      </w:r>
    </w:p>
    <w:p>
      <w:pPr>
        <w:adjustRightInd w:val="0"/>
        <w:snapToGrid w:val="0"/>
        <w:spacing w:line="600" w:lineRule="exact"/>
        <w:ind w:firstLine="720"/>
        <w:rPr>
          <w:rFonts w:hint="eastAsia" w:ascii="仿宋_GB2312" w:eastAsia="仿宋_GB2312" w:cs="仿宋_GB2312"/>
          <w:sz w:val="32"/>
          <w:szCs w:val="32"/>
          <w:lang w:val="en-US" w:eastAsia="zh-CN" w:bidi="ar-SA"/>
        </w:rPr>
      </w:pPr>
      <w:r>
        <w:rPr>
          <w:rFonts w:hint="eastAsia" w:ascii="仿宋_GB2312" w:eastAsia="仿宋_GB2312" w:cs="仿宋_GB2312"/>
          <w:sz w:val="32"/>
          <w:szCs w:val="32"/>
          <w:lang w:val="zh-CN" w:eastAsia="zh-CN" w:bidi="ar-SA"/>
        </w:rPr>
        <w:t>财政年初下达资金指标，按照进度进行支付，全年共计支出</w:t>
      </w:r>
      <w:r>
        <w:rPr>
          <w:rFonts w:hint="eastAsia" w:ascii="仿宋_GB2312" w:eastAsia="仿宋_GB2312" w:cs="仿宋_GB2312"/>
          <w:sz w:val="32"/>
          <w:szCs w:val="32"/>
          <w:lang w:val="en-US" w:eastAsia="zh-CN" w:bidi="ar-SA"/>
        </w:rPr>
        <w:t>0.54万元，完成预算100%。</w:t>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（三）项目财务管理情况。</w:t>
      </w:r>
    </w:p>
    <w:p>
      <w:pPr>
        <w:adjustRightInd w:val="0"/>
        <w:snapToGrid w:val="0"/>
        <w:spacing w:line="600" w:lineRule="exact"/>
        <w:ind w:firstLine="720"/>
        <w:rPr>
          <w:rFonts w:hint="eastAsia" w:ascii="仿宋_GB2312" w:eastAsia="仿宋_GB2312"/>
          <w:sz w:val="32"/>
          <w:szCs w:val="32"/>
          <w:lang w:val="zh-CN" w:eastAsia="zh-CN"/>
        </w:rPr>
      </w:pPr>
      <w:r>
        <w:rPr>
          <w:rFonts w:hint="eastAsia" w:ascii="仿宋_GB2312" w:eastAsia="仿宋_GB2312"/>
          <w:sz w:val="32"/>
          <w:szCs w:val="32"/>
          <w:highlight w:val="none"/>
          <w:lang w:val="zh-CN" w:eastAsia="zh-CN"/>
        </w:rPr>
        <w:t>项目资金到位及时，财务科负责项目资金管理工作，资金使用范围较规范，账务处理及时，会计核算规范，符合财务管理要求。</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三、项目实施及管理情况</w:t>
      </w:r>
    </w:p>
    <w:p>
      <w:pPr>
        <w:adjustRightInd w:val="0"/>
        <w:snapToGrid w:val="0"/>
        <w:spacing w:line="600" w:lineRule="exact"/>
        <w:ind w:firstLine="720"/>
        <w:rPr>
          <w:rFonts w:hint="eastAsia" w:ascii="仿宋_GB2312" w:eastAsia="仿宋_GB2312"/>
          <w:sz w:val="32"/>
          <w:szCs w:val="32"/>
          <w:highlight w:val="none"/>
          <w:lang w:val="zh-CN" w:eastAsia="zh-CN"/>
        </w:rPr>
      </w:pPr>
      <w:r>
        <w:rPr>
          <w:rFonts w:hint="eastAsia" w:ascii="仿宋_GB2312" w:eastAsia="仿宋_GB2312"/>
          <w:sz w:val="32"/>
          <w:szCs w:val="32"/>
          <w:highlight w:val="none"/>
          <w:lang w:val="zh-CN" w:eastAsia="zh-CN"/>
        </w:rPr>
        <w:t>该项目由市城市建设事务中心具体实施，制定了相应的项目管理制度，严格把关，全面完成了任务。</w:t>
      </w:r>
    </w:p>
    <w:p>
      <w:pPr>
        <w:adjustRightInd w:val="0"/>
        <w:snapToGrid w:val="0"/>
        <w:spacing w:line="600" w:lineRule="exact"/>
        <w:ind w:firstLine="720"/>
        <w:rPr>
          <w:rFonts w:hint="eastAsia" w:ascii="仿宋_GB2312" w:eastAsia="仿宋_GB2312"/>
          <w:sz w:val="32"/>
          <w:szCs w:val="32"/>
          <w:lang w:val="zh-CN" w:eastAsia="zh-CN"/>
        </w:rPr>
      </w:pPr>
      <w:r>
        <w:rPr>
          <w:rFonts w:hint="eastAsia" w:ascii="黑体" w:eastAsia="黑体"/>
          <w:sz w:val="32"/>
          <w:szCs w:val="32"/>
        </w:rPr>
        <w:t>四、项目绩效情况</w:t>
      </w:r>
      <w:r>
        <w:rPr>
          <w:rFonts w:hint="eastAsia" w:ascii="仿宋_GB2312" w:eastAsia="仿宋_GB2312"/>
          <w:sz w:val="32"/>
          <w:szCs w:val="32"/>
          <w:lang w:val="zh-CN" w:eastAsia="zh-CN"/>
        </w:rPr>
        <w:tab/>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（一）项目完成情况。</w:t>
      </w:r>
    </w:p>
    <w:p>
      <w:pPr>
        <w:pStyle w:val="2"/>
        <w:keepNext w:val="0"/>
        <w:keepLines w:val="0"/>
        <w:pageBreakBefore w:val="0"/>
        <w:widowControl w:val="0"/>
        <w:kinsoku/>
        <w:wordWrap/>
        <w:overflowPunct/>
        <w:topLinePunct w:val="0"/>
        <w:autoSpaceDE/>
        <w:autoSpaceDN/>
        <w:bidi w:val="0"/>
        <w:adjustRightInd/>
        <w:snapToGrid w:val="0"/>
        <w:spacing w:line="600" w:lineRule="exact"/>
        <w:ind w:firstLine="640" w:firstLineChars="200"/>
        <w:textAlignment w:val="auto"/>
        <w:rPr>
          <w:rFonts w:hint="eastAsia" w:ascii="仿宋_GB2312" w:eastAsia="仿宋_GB2312" w:cs="仿宋_GB2312"/>
          <w:sz w:val="32"/>
          <w:szCs w:val="32"/>
          <w:highlight w:val="none"/>
          <w:lang w:val="en-US" w:eastAsia="zh-CN" w:bidi="ar-SA"/>
        </w:rPr>
      </w:pPr>
      <w:r>
        <w:rPr>
          <w:rFonts w:hint="eastAsia" w:ascii="仿宋_GB2312" w:eastAsia="仿宋_GB2312" w:cs="黑体"/>
          <w:sz w:val="32"/>
          <w:szCs w:val="32"/>
          <w:lang w:bidi="ar-SA"/>
        </w:rPr>
        <w:t>一是严格</w:t>
      </w:r>
      <w:r>
        <w:rPr>
          <w:rFonts w:hint="eastAsia" w:ascii="仿宋_GB2312" w:eastAsia="仿宋_GB2312"/>
          <w:sz w:val="32"/>
          <w:szCs w:val="32"/>
        </w:rPr>
        <w:t>按照我局重点权利运行廉政风险“联防联控”工作要求，切实加强市政维护维修规范化管理。实行2人巡查、现场核实病害点工程量，填报审批单，细化核实审批、质量管理、验收收方等工作流程，切实降低廉政风险。二是认真开展市城区市政道路安全隐患排查整治工作，建立日常安全隐患排查机制，督促千润公司定期开展全面巡查工作，对排查出的安全隐患按照轻重缓急的原则，及时安排处理。截至目前我中心共维修花岗石、方块砖等人行道面砖5000余</w:t>
      </w:r>
      <w:r>
        <w:rPr>
          <w:rFonts w:hint="eastAsia" w:ascii="仿宋_GB2312" w:eastAsia="仿宋_GB2312" w:cs="宋体"/>
          <w:sz w:val="32"/>
          <w:szCs w:val="32"/>
          <w:lang w:bidi="ar-SA"/>
        </w:rPr>
        <w:t>平方米</w:t>
      </w:r>
      <w:r>
        <w:rPr>
          <w:rFonts w:hint="eastAsia" w:ascii="仿宋_GB2312" w:eastAsia="仿宋_GB2312" w:cs="仿宋_GB2312"/>
          <w:sz w:val="32"/>
          <w:szCs w:val="32"/>
          <w:lang w:bidi="ar-SA"/>
        </w:rPr>
        <w:t>，</w:t>
      </w:r>
      <w:r>
        <w:rPr>
          <w:rFonts w:hint="eastAsia" w:ascii="仿宋_GB2312" w:eastAsia="仿宋_GB2312"/>
          <w:sz w:val="32"/>
          <w:szCs w:val="32"/>
        </w:rPr>
        <w:t>混凝土、沥青路面等车行道路面14000余</w:t>
      </w:r>
      <w:r>
        <w:rPr>
          <w:rFonts w:hint="eastAsia" w:ascii="仿宋_GB2312" w:eastAsia="仿宋_GB2312" w:cs="宋体"/>
          <w:sz w:val="32"/>
          <w:szCs w:val="32"/>
          <w:lang w:bidi="ar-SA"/>
        </w:rPr>
        <w:t>平方米</w:t>
      </w:r>
      <w:r>
        <w:rPr>
          <w:rFonts w:hint="eastAsia" w:ascii="仿宋_GB2312" w:eastAsia="仿宋_GB2312" w:cs="仿宋_GB2312"/>
          <w:sz w:val="32"/>
          <w:szCs w:val="32"/>
          <w:lang w:bidi="ar-SA"/>
        </w:rPr>
        <w:t>，更换路沿石</w:t>
      </w:r>
      <w:r>
        <w:rPr>
          <w:rFonts w:hint="eastAsia" w:ascii="仿宋_GB2312" w:eastAsia="仿宋_GB2312"/>
          <w:sz w:val="32"/>
          <w:szCs w:val="32"/>
        </w:rPr>
        <w:t>430余米，</w:t>
      </w:r>
      <w:r>
        <w:rPr>
          <w:rFonts w:hint="eastAsia" w:ascii="仿宋_GB2312" w:eastAsia="仿宋_GB2312" w:cs="仿宋_GB2312"/>
          <w:sz w:val="32"/>
          <w:szCs w:val="32"/>
          <w:lang w:bidi="ar-SA"/>
        </w:rPr>
        <w:t>沥青路面灌缝</w:t>
      </w:r>
      <w:r>
        <w:rPr>
          <w:rFonts w:hint="eastAsia" w:ascii="仿宋_GB2312" w:eastAsia="仿宋_GB2312"/>
          <w:sz w:val="32"/>
          <w:szCs w:val="32"/>
        </w:rPr>
        <w:t>约11046米，切实保障了城市道路安全使用，整洁完好。</w:t>
      </w:r>
      <w:r>
        <w:rPr>
          <w:rFonts w:hint="eastAsia" w:ascii="仿宋_GB2312" w:eastAsia="仿宋_GB2312"/>
          <w:sz w:val="32"/>
          <w:szCs w:val="32"/>
          <w:lang w:eastAsia="zh-CN"/>
        </w:rPr>
        <w:t>三</w:t>
      </w:r>
      <w:r>
        <w:rPr>
          <w:rFonts w:hint="eastAsia" w:ascii="仿宋_GB2312" w:eastAsia="仿宋_GB2312" w:cs="仿宋_GB2312"/>
          <w:sz w:val="32"/>
          <w:szCs w:val="32"/>
          <w:lang w:bidi="ar-SA"/>
        </w:rPr>
        <w:t>是绿道整治、盲道迁改及市城区缓堵保畅工作。本年我中心处理完成东坝、南河、万源、老城等片区增设管道、疏通清理管道、雨水井、雨篦子、开孔、喷漆等绿道问题106处；</w:t>
      </w:r>
      <w:r>
        <w:rPr>
          <w:rFonts w:hint="eastAsia" w:ascii="仿宋_GB2312" w:eastAsia="仿宋_GB2312" w:cs="仿宋_GB2312"/>
          <w:sz w:val="32"/>
          <w:szCs w:val="32"/>
          <w:highlight w:val="none"/>
          <w:lang w:val="zh-CN" w:eastAsia="zh-CN" w:bidi="ar-SA"/>
        </w:rPr>
        <w:t>本项目</w:t>
      </w:r>
      <w:r>
        <w:rPr>
          <w:rFonts w:hint="eastAsia" w:ascii="仿宋_GB2312" w:eastAsia="仿宋_GB2312" w:cs="仿宋_GB2312"/>
          <w:sz w:val="32"/>
          <w:szCs w:val="32"/>
          <w:highlight w:val="none"/>
          <w:lang w:val="en-US" w:eastAsia="zh-CN" w:bidi="ar-SA"/>
        </w:rPr>
        <w:t>2020年</w:t>
      </w:r>
      <w:r>
        <w:rPr>
          <w:rFonts w:hint="eastAsia" w:ascii="仿宋_GB2312" w:eastAsia="仿宋_GB2312" w:cs="仿宋_GB2312"/>
          <w:sz w:val="32"/>
          <w:szCs w:val="32"/>
          <w:highlight w:val="none"/>
          <w:lang w:val="zh-CN" w:eastAsia="zh-CN" w:bidi="ar-SA"/>
        </w:rPr>
        <w:t>下达专项工作经费</w:t>
      </w:r>
      <w:r>
        <w:rPr>
          <w:rFonts w:hint="eastAsia" w:ascii="仿宋_GB2312" w:eastAsia="仿宋_GB2312" w:cs="仿宋_GB2312"/>
          <w:sz w:val="32"/>
          <w:szCs w:val="32"/>
          <w:highlight w:val="none"/>
          <w:lang w:val="en-US" w:eastAsia="zh-CN" w:bidi="ar-SA"/>
        </w:rPr>
        <w:t>0.54万元，实际决算数</w:t>
      </w:r>
      <w:r>
        <w:rPr>
          <w:rFonts w:hint="eastAsia" w:ascii="仿宋_GB2312" w:eastAsia="仿宋_GB2312" w:cs="仿宋_GB2312"/>
          <w:color w:val="000000"/>
          <w:sz w:val="32"/>
          <w:szCs w:val="32"/>
          <w:highlight w:val="none"/>
          <w:lang w:val="en-US" w:eastAsia="zh-CN" w:bidi="ar-SA"/>
        </w:rPr>
        <w:t>0.54</w:t>
      </w:r>
      <w:r>
        <w:rPr>
          <w:rFonts w:hint="eastAsia" w:ascii="仿宋_GB2312" w:eastAsia="仿宋_GB2312" w:cs="仿宋_GB2312"/>
          <w:color w:val="000000"/>
          <w:sz w:val="32"/>
          <w:szCs w:val="32"/>
          <w:highlight w:val="none"/>
          <w:lang w:bidi="ar-SA"/>
        </w:rPr>
        <w:t>万元</w:t>
      </w:r>
      <w:r>
        <w:rPr>
          <w:rFonts w:hint="eastAsia" w:ascii="仿宋_GB2312" w:eastAsia="仿宋_GB2312" w:cs="仿宋_GB2312"/>
          <w:color w:val="000000"/>
          <w:sz w:val="32"/>
          <w:szCs w:val="32"/>
          <w:highlight w:val="none"/>
          <w:lang w:eastAsia="zh-CN" w:bidi="ar-SA"/>
        </w:rPr>
        <w:t>。</w:t>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（二）项目效益情况。</w:t>
      </w:r>
    </w:p>
    <w:p>
      <w:pPr>
        <w:adjustRightInd w:val="0"/>
        <w:snapToGrid w:val="0"/>
        <w:spacing w:line="600" w:lineRule="exact"/>
        <w:ind w:firstLine="720"/>
        <w:rPr>
          <w:rFonts w:hint="eastAsia" w:ascii="仿宋_GB2312" w:eastAsia="仿宋_GB2312"/>
          <w:sz w:val="32"/>
          <w:szCs w:val="32"/>
          <w:lang w:val="zh-CN" w:eastAsia="zh-CN"/>
        </w:rPr>
      </w:pPr>
      <w:r>
        <w:rPr>
          <w:rFonts w:hint="eastAsia" w:ascii="仿宋_GB2312" w:eastAsia="仿宋_GB2312" w:cs="Times New Roman"/>
          <w:sz w:val="32"/>
          <w:szCs w:val="32"/>
          <w:highlight w:val="none"/>
          <w:lang w:val="zh-CN" w:eastAsia="zh-CN" w:bidi="ar-SA"/>
        </w:rPr>
        <w:t>通过本项目的实施，</w:t>
      </w:r>
      <w:r>
        <w:rPr>
          <w:rFonts w:hint="eastAsia" w:ascii="仿宋_GB2312" w:eastAsia="仿宋_GB2312"/>
          <w:sz w:val="32"/>
          <w:szCs w:val="32"/>
          <w:lang w:val="zh-CN" w:eastAsia="zh-CN"/>
        </w:rPr>
        <w:t>确保了市城区道路、</w:t>
      </w:r>
      <w:r>
        <w:rPr>
          <w:rFonts w:hint="eastAsia" w:ascii="仿宋_GB2312" w:eastAsia="仿宋_GB2312" w:cs="仿宋_GB2312"/>
          <w:bCs/>
          <w:color w:val="000000"/>
          <w:sz w:val="32"/>
          <w:szCs w:val="32"/>
          <w:highlight w:val="none"/>
          <w:lang w:bidi="ar-SA"/>
        </w:rPr>
        <w:t>桥梁、人行下穿通道、人行天桥、隧道</w:t>
      </w:r>
      <w:r>
        <w:rPr>
          <w:rFonts w:hint="eastAsia" w:ascii="仿宋_GB2312" w:eastAsia="仿宋_GB2312" w:cs="仿宋_GB2312"/>
          <w:bCs/>
          <w:color w:val="000000"/>
          <w:sz w:val="32"/>
          <w:szCs w:val="32"/>
          <w:highlight w:val="none"/>
          <w:lang w:eastAsia="zh-CN" w:bidi="ar-SA"/>
        </w:rPr>
        <w:t>等</w:t>
      </w:r>
      <w:r>
        <w:rPr>
          <w:rFonts w:hint="eastAsia" w:ascii="仿宋_GB2312" w:eastAsia="仿宋_GB2312" w:cs="仿宋_GB2312"/>
          <w:bCs/>
          <w:color w:val="000000"/>
          <w:sz w:val="32"/>
          <w:szCs w:val="32"/>
          <w:highlight w:val="none"/>
          <w:lang w:bidi="ar-SA"/>
        </w:rPr>
        <w:t>市政基础设施</w:t>
      </w:r>
      <w:r>
        <w:rPr>
          <w:rFonts w:hint="eastAsia" w:ascii="仿宋_GB2312" w:eastAsia="仿宋_GB2312"/>
          <w:sz w:val="32"/>
          <w:szCs w:val="32"/>
        </w:rPr>
        <w:t>安全使用，整洁完好</w:t>
      </w:r>
      <w:r>
        <w:rPr>
          <w:rFonts w:hint="eastAsia" w:ascii="仿宋_GB2312" w:eastAsia="仿宋_GB2312"/>
          <w:sz w:val="32"/>
          <w:szCs w:val="32"/>
          <w:lang w:eastAsia="zh-CN"/>
        </w:rPr>
        <w:t>，方便市民出行，</w:t>
      </w:r>
      <w:r>
        <w:rPr>
          <w:rFonts w:hint="eastAsia" w:ascii="仿宋_GB2312" w:eastAsia="仿宋_GB2312"/>
          <w:sz w:val="32"/>
          <w:szCs w:val="32"/>
          <w:lang w:val="zh-CN" w:eastAsia="zh-CN"/>
        </w:rPr>
        <w:t>满意度达到90%以上，完成了绩效目标。</w:t>
      </w:r>
    </w:p>
    <w:p>
      <w:pPr>
        <w:adjustRightInd w:val="0"/>
        <w:snapToGrid w:val="0"/>
        <w:spacing w:line="600" w:lineRule="exact"/>
        <w:ind w:firstLine="720"/>
        <w:rPr>
          <w:rFonts w:hint="eastAsia" w:ascii="黑体" w:eastAsia="黑体"/>
          <w:sz w:val="32"/>
          <w:szCs w:val="32"/>
        </w:rPr>
      </w:pPr>
      <w:r>
        <w:rPr>
          <w:rFonts w:hint="eastAsia" w:ascii="黑体" w:eastAsia="黑体"/>
          <w:sz w:val="32"/>
          <w:szCs w:val="32"/>
        </w:rPr>
        <w:t>五、评价结论及建议</w:t>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（一）评价结论。</w:t>
      </w:r>
    </w:p>
    <w:p>
      <w:pPr>
        <w:adjustRightInd w:val="0"/>
        <w:snapToGrid w:val="0"/>
        <w:spacing w:line="600" w:lineRule="exact"/>
        <w:ind w:firstLine="720"/>
        <w:rPr>
          <w:rFonts w:hint="eastAsia" w:ascii="仿宋_GB2312" w:eastAsia="仿宋_GB2312" w:cs="宋体"/>
          <w:color w:val="000000"/>
          <w:kern w:val="0"/>
          <w:sz w:val="32"/>
          <w:szCs w:val="32"/>
          <w:highlight w:val="none"/>
          <w:shd w:val="clear" w:color="auto" w:fill="FFFFFF"/>
          <w:lang w:val="zh-CN" w:eastAsia="zh-CN" w:bidi="ar-SA"/>
        </w:rPr>
      </w:pPr>
      <w:r>
        <w:rPr>
          <w:rFonts w:hint="eastAsia" w:ascii="仿宋_GB2312" w:eastAsia="仿宋_GB2312" w:cs="仿宋_GB2312"/>
          <w:sz w:val="32"/>
          <w:szCs w:val="32"/>
          <w:lang w:eastAsia="zh-CN" w:bidi="ar-SA"/>
        </w:rPr>
        <w:t>市城市建设事务中心</w:t>
      </w:r>
      <w:r>
        <w:rPr>
          <w:rFonts w:hint="eastAsia" w:ascii="仿宋_GB2312" w:eastAsia="仿宋_GB2312" w:cs="仿宋_GB2312"/>
          <w:sz w:val="32"/>
          <w:szCs w:val="32"/>
          <w:lang w:bidi="ar-SA"/>
        </w:rPr>
        <w:t>2020年</w:t>
      </w:r>
      <w:r>
        <w:rPr>
          <w:rFonts w:hint="eastAsia" w:ascii="仿宋_GB2312" w:eastAsia="仿宋_GB2312" w:cs="仿宋_GB2312"/>
          <w:color w:val="000000"/>
          <w:sz w:val="32"/>
          <w:szCs w:val="32"/>
          <w:lang w:bidi="ar-SA"/>
        </w:rPr>
        <w:t>市政公用行业监督检查</w:t>
      </w:r>
      <w:r>
        <w:rPr>
          <w:rFonts w:hint="eastAsia" w:ascii="仿宋_GB2312" w:eastAsia="仿宋_GB2312" w:cs="仿宋_GB2312"/>
          <w:color w:val="000000"/>
          <w:sz w:val="32"/>
          <w:szCs w:val="32"/>
          <w:lang w:eastAsia="zh-CN" w:bidi="ar-SA"/>
        </w:rPr>
        <w:t>项目</w:t>
      </w:r>
      <w:r>
        <w:rPr>
          <w:rFonts w:hint="eastAsia" w:ascii="仿宋_GB2312" w:eastAsia="仿宋_GB2312" w:cs="仿宋_GB2312"/>
          <w:sz w:val="32"/>
          <w:szCs w:val="32"/>
          <w:lang w:bidi="ar-SA"/>
        </w:rPr>
        <w:t>执行较好</w:t>
      </w:r>
      <w:r>
        <w:rPr>
          <w:rFonts w:hint="eastAsia" w:ascii="仿宋_GB2312" w:eastAsia="仿宋_GB2312" w:cs="宋体"/>
          <w:color w:val="000000"/>
          <w:kern w:val="0"/>
          <w:sz w:val="32"/>
          <w:szCs w:val="32"/>
          <w:highlight w:val="none"/>
          <w:shd w:val="clear" w:color="auto" w:fill="FFFFFF"/>
          <w:lang w:val="zh-CN" w:eastAsia="zh-CN" w:bidi="ar-SA"/>
        </w:rPr>
        <w:t>，基本按照计划完成年度工作任务，实现了年度绩效目标。</w:t>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（二）存在的问题。</w:t>
      </w:r>
    </w:p>
    <w:p>
      <w:pPr>
        <w:widowControl/>
        <w:adjustRightInd w:val="0"/>
        <w:snapToGrid w:val="0"/>
        <w:spacing w:line="580" w:lineRule="exact"/>
        <w:ind w:left="0" w:firstLine="640" w:firstLineChars="200"/>
        <w:contextualSpacing/>
        <w:jc w:val="left"/>
        <w:rPr>
          <w:rFonts w:hint="eastAsia" w:ascii="仿宋_GB2312" w:eastAsia="仿宋_GB2312" w:cs="宋体"/>
          <w:color w:val="000000"/>
          <w:kern w:val="0"/>
          <w:sz w:val="32"/>
          <w:szCs w:val="32"/>
          <w:highlight w:val="none"/>
          <w:shd w:val="clear" w:color="auto" w:fill="FFFFFF"/>
          <w:lang w:val="zh-CN" w:eastAsia="zh-CN" w:bidi="ar-SA"/>
        </w:rPr>
      </w:pPr>
      <w:r>
        <w:rPr>
          <w:rFonts w:hint="eastAsia" w:ascii="仿宋_GB2312" w:eastAsia="仿宋_GB2312" w:cs="宋体"/>
          <w:color w:val="000000"/>
          <w:kern w:val="0"/>
          <w:sz w:val="32"/>
          <w:szCs w:val="32"/>
          <w:highlight w:val="none"/>
          <w:shd w:val="clear" w:color="auto" w:fill="FFFFFF"/>
          <w:lang w:val="zh-CN" w:eastAsia="zh-CN" w:bidi="ar-SA"/>
        </w:rPr>
        <w:t>绩效目标不够全面，个别指标值设定模糊。绩效目标反映的工作内容未充分体现项目预期经济社会效益。</w:t>
      </w:r>
    </w:p>
    <w:p>
      <w:pPr>
        <w:adjustRightInd w:val="0"/>
        <w:snapToGrid w:val="0"/>
        <w:spacing w:line="600" w:lineRule="exact"/>
        <w:ind w:firstLine="720"/>
        <w:rPr>
          <w:rFonts w:hint="eastAsia" w:ascii="楷体_GB2312" w:eastAsia="楷体_GB2312"/>
          <w:b/>
          <w:sz w:val="32"/>
          <w:szCs w:val="32"/>
          <w:lang w:val="zh-CN" w:eastAsia="zh-CN"/>
        </w:rPr>
      </w:pPr>
      <w:r>
        <w:rPr>
          <w:rFonts w:hint="eastAsia" w:ascii="楷体_GB2312" w:eastAsia="楷体_GB2312"/>
          <w:b/>
          <w:sz w:val="32"/>
          <w:szCs w:val="32"/>
          <w:lang w:val="zh-CN" w:eastAsia="zh-CN"/>
        </w:rPr>
        <w:t>（三）相关建议。</w:t>
      </w:r>
    </w:p>
    <w:p>
      <w:pPr>
        <w:spacing w:line="580" w:lineRule="exact"/>
        <w:ind w:firstLine="640" w:firstLineChars="200"/>
        <w:rPr>
          <w:rFonts w:hint="eastAsia" w:ascii="仿宋_GB2312" w:eastAsia="仿宋_GB2312" w:cs="仿宋_GB2312"/>
          <w:sz w:val="32"/>
          <w:szCs w:val="32"/>
          <w:highlight w:val="none"/>
          <w:lang w:val="en-US" w:eastAsia="zh-CN" w:bidi="ar-SA"/>
        </w:rPr>
      </w:pPr>
      <w:r>
        <w:rPr>
          <w:rFonts w:hint="eastAsia" w:ascii="仿宋_GB2312" w:eastAsia="仿宋_GB2312" w:cs="仿宋_GB2312"/>
          <w:sz w:val="32"/>
          <w:szCs w:val="32"/>
          <w:highlight w:val="none"/>
          <w:lang w:val="en-US" w:eastAsia="zh-CN" w:bidi="ar-SA"/>
        </w:rPr>
        <w:t>1.强化项目计划编制工作，提高项目任务与预算匹配 度；</w:t>
      </w:r>
    </w:p>
    <w:p>
      <w:pPr>
        <w:pStyle w:val="2"/>
        <w:ind w:firstLine="640" w:firstLineChars="200"/>
      </w:pPr>
      <w:r>
        <w:rPr>
          <w:rFonts w:hint="eastAsia" w:ascii="仿宋_GB2312" w:eastAsia="仿宋_GB2312" w:cs="仿宋_GB2312"/>
          <w:sz w:val="32"/>
          <w:szCs w:val="32"/>
          <w:highlight w:val="none"/>
          <w:lang w:val="en-US" w:eastAsia="zh-CN" w:bidi="ar-SA"/>
        </w:rPr>
        <w:t>2.加强培训与研究，提高绩效目标设置科学性。</w:t>
      </w:r>
    </w:p>
    <w:p>
      <w:pPr>
        <w:pStyle w:val="2"/>
        <w:rPr>
          <w:rStyle w:val="16"/>
          <w:rFonts w:hint="eastAsia" w:ascii="黑体" w:eastAsia="黑体"/>
          <w:b w:val="0"/>
        </w:rPr>
      </w:pPr>
    </w:p>
    <w:p>
      <w:pPr>
        <w:pStyle w:val="2"/>
        <w:rPr>
          <w:rFonts w:hint="eastAsia" w:ascii="仿宋_GB2312" w:eastAsia="仿宋_GB2312" w:cs="仿宋_GB2312"/>
          <w:sz w:val="32"/>
          <w:szCs w:val="32"/>
          <w:lang w:bidi="ar-SA"/>
        </w:rPr>
      </w:pPr>
    </w:p>
    <w:p>
      <w:pPr>
        <w:spacing w:line="580" w:lineRule="exact"/>
        <w:ind w:firstLine="640" w:firstLineChars="200"/>
        <w:rPr>
          <w:rFonts w:hint="eastAsia" w:ascii="仿宋_GB2312" w:eastAsia="仿宋_GB2312" w:cs="仿宋_GB2312"/>
          <w:sz w:val="32"/>
          <w:szCs w:val="32"/>
          <w:lang w:bidi="ar-SA"/>
        </w:rPr>
      </w:pPr>
    </w:p>
    <w:p>
      <w:pPr>
        <w:spacing w:line="580" w:lineRule="exact"/>
        <w:ind w:firstLine="640" w:firstLineChars="200"/>
        <w:rPr>
          <w:rFonts w:hint="eastAsia" w:ascii="仿宋_GB2312" w:eastAsia="仿宋_GB2312" w:cs="仿宋_GB2312"/>
          <w:sz w:val="32"/>
          <w:szCs w:val="32"/>
          <w:lang w:bidi="ar-SA"/>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pStyle w:val="2"/>
        <w:rPr>
          <w:rStyle w:val="16"/>
          <w:rFonts w:hint="eastAsia" w:ascii="黑体" w:eastAsia="黑体"/>
          <w:b w:val="0"/>
        </w:rPr>
      </w:pPr>
    </w:p>
    <w:p>
      <w:pPr>
        <w:spacing w:line="600" w:lineRule="exact"/>
        <w:jc w:val="center"/>
        <w:outlineLvl w:val="0"/>
        <w:rPr>
          <w:rFonts w:hint="eastAsia" w:ascii="仿宋" w:eastAsia="仿宋"/>
          <w:b/>
          <w:color w:val="000000"/>
          <w:sz w:val="44"/>
          <w:szCs w:val="44"/>
        </w:rPr>
      </w:pPr>
      <w:bookmarkStart w:id="111" w:name="_Toc2664"/>
      <w:bookmarkStart w:id="112" w:name="_Toc15396618"/>
      <w:bookmarkStart w:id="113" w:name="_Toc9698"/>
      <w:r>
        <w:rPr>
          <w:rFonts w:hint="eastAsia" w:ascii="黑体" w:eastAsia="黑体"/>
          <w:color w:val="000000"/>
          <w:sz w:val="44"/>
          <w:szCs w:val="44"/>
        </w:rPr>
        <w:t>第</w:t>
      </w:r>
      <w:r>
        <w:rPr>
          <w:rStyle w:val="16"/>
          <w:rFonts w:hint="eastAsia" w:ascii="黑体" w:eastAsia="黑体"/>
          <w:b w:val="0"/>
        </w:rPr>
        <w:t>五部分 附表</w:t>
      </w:r>
      <w:bookmarkEnd w:id="96"/>
      <w:bookmarkEnd w:id="111"/>
      <w:bookmarkEnd w:id="112"/>
      <w:bookmarkEnd w:id="113"/>
    </w:p>
    <w:p>
      <w:pPr>
        <w:pStyle w:val="4"/>
        <w:rPr>
          <w:rFonts w:hint="eastAsia" w:ascii="仿宋" w:eastAsia="仿宋"/>
          <w:b w:val="0"/>
          <w:bCs/>
          <w:color w:val="000000"/>
        </w:rPr>
      </w:pPr>
      <w:bookmarkStart w:id="114" w:name="_Toc15396619"/>
      <w:bookmarkStart w:id="115" w:name="_Toc11197"/>
      <w:bookmarkStart w:id="116" w:name="_Toc8316"/>
      <w:r>
        <w:rPr>
          <w:rFonts w:hint="eastAsia" w:ascii="仿宋" w:eastAsia="仿宋"/>
          <w:b w:val="0"/>
          <w:bCs/>
          <w:color w:val="000000"/>
        </w:rPr>
        <w:t>一、收</w:t>
      </w:r>
      <w:r>
        <w:rPr>
          <w:rStyle w:val="17"/>
          <w:rFonts w:hint="eastAsia" w:ascii="仿宋" w:eastAsia="仿宋"/>
          <w:b w:val="0"/>
          <w:bCs/>
        </w:rPr>
        <w:t>入支出决算总表</w:t>
      </w:r>
      <w:bookmarkEnd w:id="114"/>
      <w:bookmarkEnd w:id="115"/>
      <w:bookmarkEnd w:id="116"/>
    </w:p>
    <w:p>
      <w:pPr>
        <w:pStyle w:val="4"/>
        <w:rPr>
          <w:rFonts w:hint="eastAsia" w:ascii="仿宋" w:eastAsia="仿宋"/>
          <w:b w:val="0"/>
          <w:bCs/>
          <w:color w:val="000000"/>
        </w:rPr>
      </w:pPr>
      <w:bookmarkStart w:id="117" w:name="_Toc21825"/>
      <w:bookmarkStart w:id="118" w:name="_Toc15396620"/>
      <w:bookmarkStart w:id="119" w:name="_Toc17440"/>
      <w:r>
        <w:rPr>
          <w:rFonts w:hint="eastAsia" w:ascii="仿宋" w:eastAsia="仿宋"/>
          <w:b w:val="0"/>
          <w:bCs/>
          <w:color w:val="000000"/>
        </w:rPr>
        <w:t>二、收</w:t>
      </w:r>
      <w:r>
        <w:rPr>
          <w:rStyle w:val="17"/>
          <w:rFonts w:hint="eastAsia" w:ascii="仿宋" w:eastAsia="仿宋"/>
          <w:b w:val="0"/>
          <w:bCs/>
        </w:rPr>
        <w:t>入决算表</w:t>
      </w:r>
      <w:bookmarkEnd w:id="117"/>
      <w:bookmarkEnd w:id="118"/>
      <w:bookmarkEnd w:id="119"/>
    </w:p>
    <w:p>
      <w:pPr>
        <w:pStyle w:val="4"/>
        <w:rPr>
          <w:rFonts w:hint="eastAsia" w:ascii="仿宋" w:eastAsia="仿宋"/>
          <w:b w:val="0"/>
          <w:bCs/>
          <w:color w:val="000000"/>
        </w:rPr>
      </w:pPr>
      <w:bookmarkStart w:id="120" w:name="_Toc2879"/>
      <w:bookmarkStart w:id="121" w:name="_Toc15143"/>
      <w:bookmarkStart w:id="122" w:name="_Toc15396621"/>
      <w:r>
        <w:rPr>
          <w:rStyle w:val="17"/>
          <w:rFonts w:hint="eastAsia" w:ascii="仿宋" w:eastAsia="仿宋"/>
          <w:b w:val="0"/>
          <w:bCs/>
        </w:rPr>
        <w:t>三、</w:t>
      </w:r>
      <w:r>
        <w:rPr>
          <w:rFonts w:hint="eastAsia" w:ascii="仿宋" w:eastAsia="仿宋"/>
          <w:b w:val="0"/>
          <w:bCs/>
          <w:color w:val="000000"/>
        </w:rPr>
        <w:t>支</w:t>
      </w:r>
      <w:r>
        <w:rPr>
          <w:rStyle w:val="17"/>
          <w:rFonts w:hint="eastAsia" w:ascii="仿宋" w:eastAsia="仿宋"/>
          <w:b w:val="0"/>
          <w:bCs/>
        </w:rPr>
        <w:t>出决算表</w:t>
      </w:r>
      <w:bookmarkEnd w:id="120"/>
      <w:bookmarkEnd w:id="121"/>
      <w:bookmarkEnd w:id="122"/>
    </w:p>
    <w:p>
      <w:pPr>
        <w:pStyle w:val="4"/>
        <w:rPr>
          <w:rFonts w:hint="eastAsia" w:ascii="仿宋" w:eastAsia="仿宋"/>
          <w:b w:val="0"/>
          <w:bCs/>
          <w:color w:val="000000"/>
        </w:rPr>
      </w:pPr>
      <w:bookmarkStart w:id="123" w:name="_Toc26375"/>
      <w:bookmarkStart w:id="124" w:name="_Toc13499"/>
      <w:bookmarkStart w:id="125" w:name="_Toc15396622"/>
      <w:r>
        <w:rPr>
          <w:rStyle w:val="17"/>
          <w:rFonts w:hint="eastAsia" w:ascii="仿宋" w:eastAsia="仿宋"/>
          <w:b w:val="0"/>
          <w:bCs/>
        </w:rPr>
        <w:t>四、</w:t>
      </w:r>
      <w:r>
        <w:rPr>
          <w:rFonts w:hint="eastAsia" w:ascii="仿宋" w:eastAsia="仿宋"/>
          <w:b w:val="0"/>
          <w:bCs/>
          <w:color w:val="000000"/>
        </w:rPr>
        <w:t>财</w:t>
      </w:r>
      <w:r>
        <w:rPr>
          <w:rStyle w:val="17"/>
          <w:rFonts w:hint="eastAsia" w:ascii="仿宋" w:eastAsia="仿宋"/>
          <w:b w:val="0"/>
          <w:bCs/>
        </w:rPr>
        <w:t>政拨款收入支出决算总表</w:t>
      </w:r>
      <w:bookmarkEnd w:id="123"/>
      <w:bookmarkEnd w:id="124"/>
      <w:bookmarkEnd w:id="125"/>
    </w:p>
    <w:p>
      <w:pPr>
        <w:pStyle w:val="4"/>
        <w:rPr>
          <w:rStyle w:val="17"/>
          <w:rFonts w:hint="eastAsia" w:ascii="仿宋" w:eastAsia="仿宋"/>
          <w:b w:val="0"/>
          <w:bCs/>
        </w:rPr>
      </w:pPr>
      <w:bookmarkStart w:id="126" w:name="_Toc19488"/>
      <w:bookmarkStart w:id="127" w:name="_Toc15396623"/>
      <w:bookmarkStart w:id="128" w:name="_Toc27824"/>
      <w:r>
        <w:rPr>
          <w:rStyle w:val="17"/>
          <w:rFonts w:hint="eastAsia" w:ascii="仿宋" w:eastAsia="仿宋"/>
          <w:b w:val="0"/>
          <w:bCs/>
        </w:rPr>
        <w:t>五、</w:t>
      </w:r>
      <w:r>
        <w:rPr>
          <w:rFonts w:hint="eastAsia" w:ascii="仿宋" w:eastAsia="仿宋"/>
          <w:b w:val="0"/>
          <w:bCs/>
          <w:color w:val="000000"/>
        </w:rPr>
        <w:t>财</w:t>
      </w:r>
      <w:r>
        <w:rPr>
          <w:rStyle w:val="17"/>
          <w:rFonts w:hint="eastAsia" w:ascii="仿宋" w:eastAsia="仿宋"/>
          <w:b w:val="0"/>
          <w:bCs/>
        </w:rPr>
        <w:t>政拨款支出决算明细表</w:t>
      </w:r>
      <w:bookmarkEnd w:id="126"/>
      <w:bookmarkEnd w:id="127"/>
      <w:bookmarkEnd w:id="128"/>
      <w:bookmarkStart w:id="129" w:name="_Toc15396624"/>
    </w:p>
    <w:p>
      <w:pPr>
        <w:pStyle w:val="4"/>
        <w:rPr>
          <w:rFonts w:hint="eastAsia" w:ascii="仿宋" w:eastAsia="仿宋"/>
          <w:b w:val="0"/>
          <w:bCs/>
          <w:color w:val="000000"/>
        </w:rPr>
      </w:pPr>
      <w:bookmarkStart w:id="130" w:name="_Toc21700"/>
      <w:bookmarkStart w:id="131" w:name="_Toc7764"/>
      <w:r>
        <w:rPr>
          <w:rStyle w:val="17"/>
          <w:rFonts w:hint="eastAsia" w:ascii="仿宋" w:eastAsia="仿宋"/>
          <w:b w:val="0"/>
          <w:bCs/>
        </w:rPr>
        <w:t>六、</w:t>
      </w:r>
      <w:r>
        <w:rPr>
          <w:rFonts w:hint="eastAsia" w:ascii="仿宋" w:eastAsia="仿宋"/>
          <w:b w:val="0"/>
          <w:bCs/>
          <w:color w:val="000000"/>
        </w:rPr>
        <w:t>一</w:t>
      </w:r>
      <w:r>
        <w:rPr>
          <w:rStyle w:val="17"/>
          <w:rFonts w:hint="eastAsia" w:ascii="仿宋" w:eastAsia="仿宋"/>
          <w:b w:val="0"/>
          <w:bCs/>
        </w:rPr>
        <w:t>般公共预算财政拨款支出决算表</w:t>
      </w:r>
      <w:bookmarkEnd w:id="129"/>
      <w:bookmarkEnd w:id="130"/>
      <w:bookmarkEnd w:id="131"/>
    </w:p>
    <w:p>
      <w:pPr>
        <w:pStyle w:val="4"/>
        <w:rPr>
          <w:rFonts w:hint="eastAsia" w:ascii="仿宋" w:eastAsia="仿宋"/>
          <w:b w:val="0"/>
          <w:bCs/>
          <w:color w:val="000000"/>
        </w:rPr>
      </w:pPr>
      <w:bookmarkStart w:id="132" w:name="_Toc15396625"/>
      <w:bookmarkStart w:id="133" w:name="_Toc12334"/>
      <w:bookmarkStart w:id="134" w:name="_Toc9503"/>
      <w:r>
        <w:rPr>
          <w:rStyle w:val="17"/>
          <w:rFonts w:hint="eastAsia" w:ascii="仿宋" w:eastAsia="仿宋"/>
          <w:b w:val="0"/>
          <w:bCs/>
        </w:rPr>
        <w:t>七、</w:t>
      </w:r>
      <w:r>
        <w:rPr>
          <w:rFonts w:hint="eastAsia" w:ascii="仿宋" w:eastAsia="仿宋"/>
          <w:b w:val="0"/>
          <w:bCs/>
          <w:color w:val="000000"/>
        </w:rPr>
        <w:t>一</w:t>
      </w:r>
      <w:r>
        <w:rPr>
          <w:rStyle w:val="17"/>
          <w:rFonts w:hint="eastAsia" w:ascii="仿宋" w:eastAsia="仿宋"/>
          <w:b w:val="0"/>
          <w:bCs/>
        </w:rPr>
        <w:t>般公共预算财政拨款支出决算明细表</w:t>
      </w:r>
      <w:bookmarkEnd w:id="132"/>
      <w:bookmarkEnd w:id="133"/>
      <w:bookmarkEnd w:id="134"/>
    </w:p>
    <w:p>
      <w:pPr>
        <w:pStyle w:val="4"/>
        <w:rPr>
          <w:rFonts w:hint="eastAsia" w:ascii="仿宋" w:eastAsia="仿宋"/>
          <w:b w:val="0"/>
          <w:bCs/>
          <w:color w:val="000000"/>
        </w:rPr>
      </w:pPr>
      <w:bookmarkStart w:id="135" w:name="_Toc12539"/>
      <w:bookmarkStart w:id="136" w:name="_Toc31347"/>
      <w:bookmarkStart w:id="137" w:name="_Toc15396626"/>
      <w:r>
        <w:rPr>
          <w:rStyle w:val="17"/>
          <w:rFonts w:hint="eastAsia" w:ascii="仿宋" w:eastAsia="仿宋"/>
          <w:b w:val="0"/>
          <w:bCs/>
        </w:rPr>
        <w:t>八、</w:t>
      </w:r>
      <w:r>
        <w:rPr>
          <w:rFonts w:hint="eastAsia" w:ascii="仿宋" w:eastAsia="仿宋"/>
          <w:b w:val="0"/>
          <w:bCs/>
          <w:color w:val="000000"/>
        </w:rPr>
        <w:t>一</w:t>
      </w:r>
      <w:r>
        <w:rPr>
          <w:rStyle w:val="17"/>
          <w:rFonts w:hint="eastAsia" w:ascii="仿宋" w:eastAsia="仿宋"/>
          <w:b w:val="0"/>
          <w:bCs/>
        </w:rPr>
        <w:t>般公共预算财政拨款基本支出决算表</w:t>
      </w:r>
      <w:bookmarkEnd w:id="135"/>
      <w:bookmarkEnd w:id="136"/>
      <w:bookmarkEnd w:id="137"/>
    </w:p>
    <w:p>
      <w:pPr>
        <w:pStyle w:val="4"/>
        <w:rPr>
          <w:rFonts w:hint="eastAsia" w:ascii="仿宋" w:eastAsia="仿宋"/>
          <w:b w:val="0"/>
          <w:bCs/>
          <w:color w:val="000000"/>
        </w:rPr>
      </w:pPr>
      <w:bookmarkStart w:id="138" w:name="_Toc15396627"/>
      <w:bookmarkStart w:id="139" w:name="_Toc4252"/>
      <w:bookmarkStart w:id="140" w:name="_Toc4749"/>
      <w:r>
        <w:rPr>
          <w:rStyle w:val="17"/>
          <w:rFonts w:hint="eastAsia" w:ascii="仿宋" w:eastAsia="仿宋"/>
          <w:b w:val="0"/>
          <w:bCs/>
        </w:rPr>
        <w:t>九、</w:t>
      </w:r>
      <w:r>
        <w:rPr>
          <w:rFonts w:hint="eastAsia" w:ascii="仿宋" w:eastAsia="仿宋"/>
          <w:b w:val="0"/>
          <w:bCs/>
          <w:color w:val="000000"/>
        </w:rPr>
        <w:t>一</w:t>
      </w:r>
      <w:r>
        <w:rPr>
          <w:rStyle w:val="17"/>
          <w:rFonts w:hint="eastAsia" w:ascii="仿宋" w:eastAsia="仿宋"/>
          <w:b w:val="0"/>
          <w:bCs/>
        </w:rPr>
        <w:t>般公共预算财政拨款项目支出决算表</w:t>
      </w:r>
      <w:bookmarkEnd w:id="138"/>
      <w:bookmarkEnd w:id="139"/>
      <w:bookmarkEnd w:id="140"/>
    </w:p>
    <w:p>
      <w:pPr>
        <w:pStyle w:val="4"/>
        <w:rPr>
          <w:rFonts w:hint="eastAsia" w:ascii="仿宋" w:eastAsia="仿宋"/>
          <w:b w:val="0"/>
          <w:bCs/>
          <w:color w:val="000000"/>
        </w:rPr>
      </w:pPr>
      <w:bookmarkStart w:id="141" w:name="_Toc10902"/>
      <w:bookmarkStart w:id="142" w:name="_Toc15396628"/>
      <w:bookmarkStart w:id="143" w:name="_Toc20965"/>
      <w:r>
        <w:rPr>
          <w:rStyle w:val="17"/>
          <w:rFonts w:hint="eastAsia" w:ascii="仿宋" w:eastAsia="仿宋"/>
          <w:b w:val="0"/>
          <w:bCs/>
        </w:rPr>
        <w:t>十、</w:t>
      </w:r>
      <w:r>
        <w:rPr>
          <w:rFonts w:hint="eastAsia" w:ascii="仿宋" w:eastAsia="仿宋"/>
          <w:b w:val="0"/>
          <w:bCs/>
          <w:color w:val="000000"/>
        </w:rPr>
        <w:t>一</w:t>
      </w:r>
      <w:r>
        <w:rPr>
          <w:rStyle w:val="17"/>
          <w:rFonts w:hint="eastAsia" w:ascii="仿宋" w:eastAsia="仿宋"/>
          <w:b w:val="0"/>
          <w:bCs/>
        </w:rPr>
        <w:t>般公共预算财政拨款“三公”经费支出决算表</w:t>
      </w:r>
      <w:bookmarkEnd w:id="141"/>
      <w:bookmarkEnd w:id="142"/>
      <w:bookmarkEnd w:id="143"/>
    </w:p>
    <w:p>
      <w:pPr>
        <w:pStyle w:val="4"/>
        <w:rPr>
          <w:rFonts w:hint="eastAsia" w:ascii="仿宋" w:eastAsia="仿宋"/>
          <w:b w:val="0"/>
          <w:bCs/>
          <w:color w:val="000000"/>
        </w:rPr>
      </w:pPr>
      <w:bookmarkStart w:id="144" w:name="_Toc6826"/>
      <w:bookmarkStart w:id="145" w:name="_Toc1964"/>
      <w:bookmarkStart w:id="146" w:name="_Toc15396629"/>
      <w:r>
        <w:rPr>
          <w:rStyle w:val="17"/>
          <w:rFonts w:hint="eastAsia" w:ascii="仿宋" w:eastAsia="仿宋"/>
          <w:b w:val="0"/>
          <w:bCs/>
        </w:rPr>
        <w:t>十一、</w:t>
      </w:r>
      <w:r>
        <w:rPr>
          <w:rFonts w:hint="eastAsia" w:ascii="仿宋" w:eastAsia="仿宋"/>
          <w:b w:val="0"/>
          <w:bCs/>
          <w:color w:val="000000"/>
        </w:rPr>
        <w:t>政</w:t>
      </w:r>
      <w:r>
        <w:rPr>
          <w:rStyle w:val="17"/>
          <w:rFonts w:hint="eastAsia" w:ascii="仿宋" w:eastAsia="仿宋"/>
          <w:b w:val="0"/>
          <w:bCs/>
        </w:rPr>
        <w:t>府性基金预算财政拨款收入支出决算表</w:t>
      </w:r>
      <w:bookmarkEnd w:id="144"/>
      <w:bookmarkEnd w:id="145"/>
      <w:bookmarkEnd w:id="146"/>
    </w:p>
    <w:p>
      <w:pPr>
        <w:pStyle w:val="4"/>
        <w:rPr>
          <w:rFonts w:hint="eastAsia" w:ascii="仿宋" w:eastAsia="仿宋"/>
          <w:b w:val="0"/>
          <w:bCs/>
          <w:color w:val="000000"/>
        </w:rPr>
      </w:pPr>
      <w:bookmarkStart w:id="147" w:name="_Toc4779"/>
      <w:bookmarkStart w:id="148" w:name="_Toc11913"/>
      <w:bookmarkStart w:id="149" w:name="_Toc15396630"/>
      <w:r>
        <w:rPr>
          <w:rStyle w:val="17"/>
          <w:rFonts w:hint="eastAsia" w:ascii="仿宋" w:eastAsia="仿宋"/>
          <w:b w:val="0"/>
          <w:bCs/>
        </w:rPr>
        <w:t>十二、</w:t>
      </w:r>
      <w:r>
        <w:rPr>
          <w:rFonts w:hint="eastAsia" w:ascii="仿宋" w:eastAsia="仿宋"/>
          <w:b w:val="0"/>
          <w:bCs/>
          <w:color w:val="000000"/>
        </w:rPr>
        <w:t>政</w:t>
      </w:r>
      <w:r>
        <w:rPr>
          <w:rStyle w:val="17"/>
          <w:rFonts w:hint="eastAsia" w:ascii="仿宋" w:eastAsia="仿宋"/>
          <w:b w:val="0"/>
          <w:bCs/>
        </w:rPr>
        <w:t>府性基金预算财政拨款“三公”经费支出决算表</w:t>
      </w:r>
      <w:bookmarkEnd w:id="147"/>
      <w:bookmarkEnd w:id="148"/>
      <w:bookmarkEnd w:id="149"/>
    </w:p>
    <w:p>
      <w:pPr>
        <w:pStyle w:val="4"/>
        <w:rPr>
          <w:rStyle w:val="17"/>
          <w:rFonts w:hint="eastAsia" w:ascii="仿宋" w:eastAsia="仿宋"/>
          <w:b w:val="0"/>
          <w:bCs/>
        </w:rPr>
      </w:pPr>
      <w:bookmarkStart w:id="150" w:name="_Toc15396631"/>
      <w:bookmarkStart w:id="151" w:name="_Toc2859"/>
      <w:bookmarkStart w:id="152" w:name="_Toc13952"/>
      <w:r>
        <w:rPr>
          <w:rStyle w:val="17"/>
          <w:rFonts w:hint="eastAsia" w:ascii="仿宋" w:eastAsia="仿宋"/>
          <w:b w:val="0"/>
          <w:bCs/>
        </w:rPr>
        <w:t>十三、</w:t>
      </w:r>
      <w:r>
        <w:rPr>
          <w:rFonts w:hint="eastAsia" w:ascii="仿宋" w:eastAsia="仿宋"/>
          <w:b w:val="0"/>
          <w:bCs/>
          <w:color w:val="000000"/>
        </w:rPr>
        <w:t>国</w:t>
      </w:r>
      <w:r>
        <w:rPr>
          <w:rStyle w:val="17"/>
          <w:rFonts w:hint="eastAsia" w:ascii="仿宋" w:eastAsia="仿宋"/>
          <w:b w:val="0"/>
          <w:bCs/>
        </w:rPr>
        <w:t>有资本经营预算财政拨款</w:t>
      </w:r>
      <w:r>
        <w:rPr>
          <w:rStyle w:val="17"/>
          <w:rFonts w:hint="eastAsia" w:ascii="仿宋" w:eastAsia="仿宋"/>
          <w:b w:val="0"/>
          <w:bCs/>
          <w:lang w:eastAsia="zh-CN"/>
        </w:rPr>
        <w:t>收入</w:t>
      </w:r>
      <w:r>
        <w:rPr>
          <w:rStyle w:val="17"/>
          <w:rFonts w:hint="eastAsia" w:ascii="仿宋" w:eastAsia="仿宋"/>
          <w:b w:val="0"/>
          <w:bCs/>
        </w:rPr>
        <w:t>支出决算表</w:t>
      </w:r>
      <w:bookmarkEnd w:id="150"/>
      <w:bookmarkEnd w:id="151"/>
      <w:bookmarkEnd w:id="152"/>
    </w:p>
    <w:p>
      <w:pPr>
        <w:pStyle w:val="4"/>
        <w:rPr>
          <w:rStyle w:val="17"/>
          <w:rFonts w:hint="eastAsia" w:ascii="仿宋" w:eastAsia="仿宋"/>
          <w:b w:val="0"/>
          <w:bCs/>
        </w:rPr>
      </w:pPr>
      <w:bookmarkStart w:id="153" w:name="_Toc14804"/>
      <w:bookmarkStart w:id="154" w:name="_Toc17445"/>
      <w:r>
        <w:rPr>
          <w:rStyle w:val="17"/>
          <w:rFonts w:hint="eastAsia" w:ascii="仿宋" w:eastAsia="仿宋"/>
          <w:b w:val="0"/>
          <w:bCs/>
          <w:lang w:eastAsia="zh-CN"/>
        </w:rPr>
        <w:t>十四、</w:t>
      </w:r>
      <w:r>
        <w:rPr>
          <w:rFonts w:hint="eastAsia" w:ascii="仿宋" w:eastAsia="仿宋"/>
          <w:b w:val="0"/>
          <w:bCs/>
          <w:color w:val="000000"/>
        </w:rPr>
        <w:t>国</w:t>
      </w:r>
      <w:r>
        <w:rPr>
          <w:rStyle w:val="17"/>
          <w:rFonts w:hint="eastAsia" w:ascii="仿宋" w:eastAsia="仿宋"/>
          <w:b w:val="0"/>
          <w:bCs/>
        </w:rPr>
        <w:t>有资本经营预算财政拨款支出决算表</w:t>
      </w:r>
      <w:bookmarkEnd w:id="153"/>
      <w:bookmarkEnd w:id="154"/>
    </w:p>
    <w:p>
      <w:pPr>
        <w:rPr>
          <w:rFonts w:hint="eastAsia" w:eastAsia="仿宋"/>
          <w:lang w:eastAsia="zh-CN"/>
        </w:rPr>
      </w:pPr>
    </w:p>
    <w:sectPr>
      <w:headerReference r:id="rId3" w:type="default"/>
      <w:footerReference r:id="rId4" w:type="default"/>
      <w:pgSz w:w="11906" w:h="16838"/>
      <w:pgMar w:top="1440" w:right="1800" w:bottom="1440" w:left="1800" w:header="851" w:footer="992" w:gutter="0"/>
      <w:pgNumType w:start="1"/>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Lucida Sans"/>
    <w:panose1 w:val="020F0502020204030204"/>
    <w:charset w:val="00"/>
    <w:family w:val="swiss"/>
    <w:pitch w:val="default"/>
    <w:sig w:usb0="00000000" w:usb1="00000000" w:usb2="00000001" w:usb3="00000000" w:csb0="0000019F" w:csb1="00000000"/>
  </w:font>
  <w:font w:name="AR PL UKai CN">
    <w:altName w:val="Unifont"/>
    <w:panose1 w:val="02000503000000000000"/>
    <w:charset w:val="86"/>
    <w:family w:val="script"/>
    <w:pitch w:val="default"/>
    <w:sig w:usb0="00000000" w:usb1="00000000" w:usb2="00000036" w:usb3="00000000" w:csb0="2016009F" w:csb1="DFD70000"/>
  </w:font>
  <w:font w:name="Cambria">
    <w:altName w:val="Noto Sans Syriac Eastern"/>
    <w:panose1 w:val="02040503050406030204"/>
    <w:charset w:val="00"/>
    <w:family w:val="roman"/>
    <w:pitch w:val="default"/>
    <w:sig w:usb0="00000000" w:usb1="00000000"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altName w:val="方正仿宋_GBK"/>
    <w:panose1 w:val="02010609060101010101"/>
    <w:charset w:val="86"/>
    <w:family w:val="modern"/>
    <w:pitch w:val="default"/>
    <w:sig w:usb0="00000000" w:usb1="00000000"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Lucida Sans">
    <w:panose1 w:val="020B0602030504020204"/>
    <w:charset w:val="00"/>
    <w:family w:val="auto"/>
    <w:pitch w:val="default"/>
    <w:sig w:usb0="00000000" w:usb1="00000000" w:usb2="00000000" w:usb3="00000000" w:csb0="00000000" w:csb1="00000000"/>
  </w:font>
  <w:font w:name="方正仿宋_GBK">
    <w:panose1 w:val="02000000000000000000"/>
    <w:charset w:val="86"/>
    <w:family w:val="auto"/>
    <w:pitch w:val="default"/>
    <w:sig w:usb0="00000001" w:usb1="08000000" w:usb2="00000000" w:usb3="00000000" w:csb0="00040000" w:csb1="00000000"/>
  </w:font>
  <w:font w:name="Unifont">
    <w:panose1 w:val="02000604000000000000"/>
    <w:charset w:val="86"/>
    <w:family w:val="auto"/>
    <w:pitch w:val="default"/>
    <w:sig w:usb0="FFFFFFFF" w:usb1="EBFFFFFF" w:usb2="E817FFFF" w:usb3="007F001F" w:csb0="603F01FF" w:csb1="FFFF0000"/>
  </w:font>
  <w:font w:name="Noto Sans Syriac Eastern">
    <w:panose1 w:val="02040503050306020203"/>
    <w:charset w:val="86"/>
    <w:family w:val="auto"/>
    <w:pitch w:val="default"/>
    <w:sig w:usb0="00000000" w:usb1="00000000" w:usb2="00000080" w:usb3="00000000" w:csb0="203E0161" w:csb1="D7FF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w:t>
    </w:r>
    <w:r>
      <w:fldChar w:fldCharType="end"/>
    </w:r>
  </w:p>
  <w:p>
    <w:pPr>
      <w:pStyle w:val="2"/>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652CEC"/>
    <w:multiLevelType w:val="singleLevel"/>
    <w:tmpl w:val="CF652CEC"/>
    <w:lvl w:ilvl="0" w:tentative="0">
      <w:start w:val="9"/>
      <w:numFmt w:val="chineseCounting"/>
      <w:suff w:val="nothing"/>
      <w:lvlText w:val="%1、"/>
      <w:lvlJc w:val="left"/>
      <w:pPr>
        <w:tabs>
          <w:tab w:val="left" w:pos="0"/>
        </w:tabs>
        <w:ind w:left="0" w:firstLine="0"/>
      </w:pPr>
      <w:rPr>
        <w:rFonts w:hint="eastAsia" w:cs="Times New Roman"/>
      </w:rPr>
    </w:lvl>
  </w:abstractNum>
  <w:abstractNum w:abstractNumId="1">
    <w:nsid w:val="E2FA047D"/>
    <w:multiLevelType w:val="singleLevel"/>
    <w:tmpl w:val="E2FA047D"/>
    <w:lvl w:ilvl="0" w:tentative="0">
      <w:start w:val="3"/>
      <w:numFmt w:val="chineseCounting"/>
      <w:suff w:val="space"/>
      <w:lvlText w:val="第%1部分"/>
      <w:lvlJc w:val="left"/>
      <w:pPr>
        <w:tabs>
          <w:tab w:val="left" w:pos="0"/>
        </w:tabs>
        <w:ind w:left="0" w:firstLine="0"/>
      </w:pPr>
      <w:rPr>
        <w:rFonts w:hint="eastAsia" w:cs="Times New Roman"/>
      </w:rPr>
    </w:lvl>
  </w:abstractNum>
  <w:abstractNum w:abstractNumId="2">
    <w:nsid w:val="1272550B"/>
    <w:multiLevelType w:val="multilevel"/>
    <w:tmpl w:val="1272550B"/>
    <w:lvl w:ilvl="0" w:tentative="0">
      <w:start w:val="1"/>
      <w:numFmt w:val="japaneseCounting"/>
      <w:lvlText w:val="%1、"/>
      <w:lvlJc w:val="left"/>
      <w:pPr>
        <w:tabs>
          <w:tab w:val="left" w:pos="0"/>
        </w:tabs>
        <w:ind w:left="1360" w:hanging="720"/>
      </w:pPr>
      <w:rPr>
        <w:rFonts w:hint="default" w:cs="Times New Roman"/>
        <w:b w:val="0"/>
      </w:rPr>
    </w:lvl>
    <w:lvl w:ilvl="1" w:tentative="0">
      <w:start w:val="1"/>
      <w:numFmt w:val="lowerLetter"/>
      <w:lvlText w:val="%2)"/>
      <w:lvlJc w:val="left"/>
      <w:pPr>
        <w:tabs>
          <w:tab w:val="left" w:pos="0"/>
        </w:tabs>
        <w:ind w:left="1480" w:hanging="420"/>
      </w:pPr>
      <w:rPr>
        <w:rFonts w:cs="Times New Roman"/>
      </w:rPr>
    </w:lvl>
    <w:lvl w:ilvl="2" w:tentative="0">
      <w:start w:val="1"/>
      <w:numFmt w:val="lowerRoman"/>
      <w:lvlText w:val="%3."/>
      <w:lvlJc w:val="right"/>
      <w:pPr>
        <w:tabs>
          <w:tab w:val="left" w:pos="0"/>
        </w:tabs>
        <w:ind w:left="1900" w:hanging="420"/>
      </w:pPr>
      <w:rPr>
        <w:rFonts w:cs="Times New Roman"/>
      </w:rPr>
    </w:lvl>
    <w:lvl w:ilvl="3" w:tentative="0">
      <w:start w:val="1"/>
      <w:numFmt w:val="decimal"/>
      <w:lvlText w:val="%4."/>
      <w:lvlJc w:val="left"/>
      <w:pPr>
        <w:tabs>
          <w:tab w:val="left" w:pos="0"/>
        </w:tabs>
        <w:ind w:left="2320" w:hanging="420"/>
      </w:pPr>
      <w:rPr>
        <w:rFonts w:cs="Times New Roman"/>
      </w:rPr>
    </w:lvl>
    <w:lvl w:ilvl="4" w:tentative="0">
      <w:start w:val="1"/>
      <w:numFmt w:val="lowerLetter"/>
      <w:lvlText w:val="%5)"/>
      <w:lvlJc w:val="left"/>
      <w:pPr>
        <w:tabs>
          <w:tab w:val="left" w:pos="0"/>
        </w:tabs>
        <w:ind w:left="2740" w:hanging="420"/>
      </w:pPr>
      <w:rPr>
        <w:rFonts w:cs="Times New Roman"/>
      </w:rPr>
    </w:lvl>
    <w:lvl w:ilvl="5" w:tentative="0">
      <w:start w:val="1"/>
      <w:numFmt w:val="lowerRoman"/>
      <w:lvlText w:val="%6."/>
      <w:lvlJc w:val="right"/>
      <w:pPr>
        <w:tabs>
          <w:tab w:val="left" w:pos="0"/>
        </w:tabs>
        <w:ind w:left="3160" w:hanging="420"/>
      </w:pPr>
      <w:rPr>
        <w:rFonts w:cs="Times New Roman"/>
      </w:rPr>
    </w:lvl>
    <w:lvl w:ilvl="6" w:tentative="0">
      <w:start w:val="1"/>
      <w:numFmt w:val="decimal"/>
      <w:lvlText w:val="%7."/>
      <w:lvlJc w:val="left"/>
      <w:pPr>
        <w:tabs>
          <w:tab w:val="left" w:pos="0"/>
        </w:tabs>
        <w:ind w:left="3580" w:hanging="420"/>
      </w:pPr>
      <w:rPr>
        <w:rFonts w:cs="Times New Roman"/>
      </w:rPr>
    </w:lvl>
    <w:lvl w:ilvl="7" w:tentative="0">
      <w:start w:val="1"/>
      <w:numFmt w:val="lowerLetter"/>
      <w:lvlText w:val="%8)"/>
      <w:lvlJc w:val="left"/>
      <w:pPr>
        <w:tabs>
          <w:tab w:val="left" w:pos="0"/>
        </w:tabs>
        <w:ind w:left="4000" w:hanging="420"/>
      </w:pPr>
      <w:rPr>
        <w:rFonts w:cs="Times New Roman"/>
      </w:rPr>
    </w:lvl>
    <w:lvl w:ilvl="8" w:tentative="0">
      <w:start w:val="1"/>
      <w:numFmt w:val="lowerRoman"/>
      <w:lvlText w:val="%9."/>
      <w:lvlJc w:val="right"/>
      <w:pPr>
        <w:tabs>
          <w:tab w:val="left" w:pos="0"/>
        </w:tabs>
        <w:ind w:left="4420" w:hanging="420"/>
      </w:pPr>
      <w:rPr>
        <w:rFonts w:cs="Times New Roman"/>
      </w:rPr>
    </w:lvl>
  </w:abstractNum>
  <w:abstractNum w:abstractNumId="3">
    <w:nsid w:val="295B67D5"/>
    <w:multiLevelType w:val="singleLevel"/>
    <w:tmpl w:val="295B67D5"/>
    <w:lvl w:ilvl="0" w:tentative="0">
      <w:start w:val="2"/>
      <w:numFmt w:val="chineseCounting"/>
      <w:suff w:val="nothing"/>
      <w:lvlText w:val="（%1）"/>
      <w:lvlJc w:val="left"/>
      <w:pPr>
        <w:tabs>
          <w:tab w:val="left" w:pos="0"/>
        </w:tabs>
        <w:ind w:left="0" w:firstLine="0"/>
      </w:pPr>
      <w:rPr>
        <w:rFonts w:hint="eastAsia"/>
      </w:rPr>
    </w:lvl>
  </w:abstractNum>
  <w:abstractNum w:abstractNumId="4">
    <w:nsid w:val="2BE7AEDE"/>
    <w:multiLevelType w:val="singleLevel"/>
    <w:tmpl w:val="2BE7AEDE"/>
    <w:lvl w:ilvl="0" w:tentative="0">
      <w:start w:val="2"/>
      <w:numFmt w:val="chineseCounting"/>
      <w:suff w:val="nothing"/>
      <w:lvlText w:val="（%1）"/>
      <w:lvlJc w:val="left"/>
      <w:pPr>
        <w:tabs>
          <w:tab w:val="left" w:pos="0"/>
        </w:tabs>
        <w:ind w:left="0" w:firstLine="0"/>
      </w:pPr>
      <w:rPr>
        <w:rFonts w:hint="eastAsia"/>
      </w:rPr>
    </w:lvl>
  </w:abstractNum>
  <w:abstractNum w:abstractNumId="5">
    <w:nsid w:val="616AAF70"/>
    <w:multiLevelType w:val="singleLevel"/>
    <w:tmpl w:val="616AAF70"/>
    <w:lvl w:ilvl="0" w:tentative="0">
      <w:start w:val="2"/>
      <w:numFmt w:val="chineseCounting"/>
      <w:suff w:val="nothing"/>
      <w:lvlText w:val="%1、"/>
      <w:lvlJc w:val="left"/>
      <w:pPr>
        <w:tabs>
          <w:tab w:val="left" w:pos="0"/>
        </w:tabs>
        <w:ind w:left="0" w:firstLine="0"/>
      </w:pPr>
      <w:rPr>
        <w:rFonts w:hint="eastAsia"/>
      </w:rPr>
    </w:lvl>
  </w:abstractNum>
  <w:num w:numId="1">
    <w:abstractNumId w:val="5"/>
  </w:num>
  <w:num w:numId="2">
    <w:abstractNumId w:val="2"/>
  </w:num>
  <w:num w:numId="3">
    <w:abstractNumId w:val="0"/>
  </w:num>
  <w:num w:numId="4">
    <w:abstractNumId w:val="1"/>
  </w:num>
  <w:num w:numId="5">
    <w:abstractNumId w:val="4"/>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4"/>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0"/>
  <w:displayVerticalDrawingGridEvery w:val="2"/>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NhOTEyMTA4OTM5OTkwODdjMzk3ZjZlZjk1OGViNzAifQ=="/>
  </w:docVars>
  <w:rsids>
    <w:rsidRoot w:val="00F1361C"/>
    <w:rsid w:val="027F6275"/>
    <w:rsid w:val="065D724F"/>
    <w:rsid w:val="06D86DA4"/>
    <w:rsid w:val="12607C39"/>
    <w:rsid w:val="13E83A4A"/>
    <w:rsid w:val="1B0209CF"/>
    <w:rsid w:val="1F7AD255"/>
    <w:rsid w:val="2A783938"/>
    <w:rsid w:val="3ACF4245"/>
    <w:rsid w:val="3AEB2905"/>
    <w:rsid w:val="3C86501B"/>
    <w:rsid w:val="475E7FEF"/>
    <w:rsid w:val="4AB41D53"/>
    <w:rsid w:val="6F535A68"/>
    <w:rsid w:val="77FEE9BA"/>
    <w:rsid w:val="79FF5D7E"/>
    <w:rsid w:val="7D3F92C4"/>
    <w:rsid w:val="7F5F334B"/>
    <w:rsid w:val="9EE66E19"/>
    <w:rsid w:val="BF7432D3"/>
    <w:rsid w:val="DABF4093"/>
    <w:rsid w:val="DDBA3B53"/>
    <w:rsid w:val="DFA7DBF3"/>
    <w:rsid w:val="DFFC2BBA"/>
    <w:rsid w:val="EB3D893E"/>
    <w:rsid w:val="EE9F2BFD"/>
    <w:rsid w:val="FFBF17E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EmbedSmartTag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 PL UKai CN" w:hAnsi="AR PL UKai CN" w:eastAsia="黑体" w:cs="AR PL UKai C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16"/>
    <w:qFormat/>
    <w:uiPriority w:val="0"/>
    <w:pPr>
      <w:keepNext/>
      <w:keepLines/>
      <w:widowControl w:val="0"/>
      <w:spacing w:before="340" w:after="330" w:line="578" w:lineRule="auto"/>
      <w:outlineLvl w:val="0"/>
    </w:pPr>
    <w:rPr>
      <w:b/>
      <w:bCs/>
      <w:kern w:val="44"/>
      <w:sz w:val="44"/>
      <w:szCs w:val="44"/>
    </w:rPr>
  </w:style>
  <w:style w:type="paragraph" w:styleId="4">
    <w:name w:val="heading 2"/>
    <w:basedOn w:val="1"/>
    <w:next w:val="1"/>
    <w:link w:val="17"/>
    <w:qFormat/>
    <w:uiPriority w:val="0"/>
    <w:pPr>
      <w:keepNext/>
      <w:keepLines/>
      <w:widowControl w:val="0"/>
      <w:spacing w:before="260" w:after="260" w:line="415" w:lineRule="auto"/>
      <w:outlineLvl w:val="1"/>
    </w:pPr>
    <w:rPr>
      <w:rFonts w:ascii="Cambria" w:hAnsi="Cambria"/>
      <w:b/>
      <w:bCs/>
      <w:sz w:val="32"/>
      <w:szCs w:val="32"/>
    </w:rPr>
  </w:style>
  <w:style w:type="paragraph" w:styleId="5">
    <w:name w:val="heading 3"/>
    <w:basedOn w:val="1"/>
    <w:next w:val="1"/>
    <w:qFormat/>
    <w:uiPriority w:val="0"/>
    <w:pPr>
      <w:keepNext/>
      <w:keepLines/>
      <w:widowControl w:val="0"/>
      <w:spacing w:before="260" w:after="260" w:line="415" w:lineRule="auto"/>
      <w:outlineLvl w:val="2"/>
    </w:pPr>
    <w:rPr>
      <w:b/>
      <w:bCs/>
      <w:sz w:val="32"/>
      <w:szCs w:val="32"/>
    </w:rPr>
  </w:style>
  <w:style w:type="character" w:default="1" w:styleId="13">
    <w:name w:val="Default Paragraph Font"/>
    <w:qFormat/>
    <w:uiPriority w:val="0"/>
  </w:style>
  <w:style w:type="table" w:default="1" w:styleId="12">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rFonts w:ascii="Calibri" w:hAnsi="Calibri"/>
      <w:kern w:val="0"/>
      <w:sz w:val="18"/>
      <w:szCs w:val="20"/>
    </w:rPr>
  </w:style>
  <w:style w:type="paragraph" w:styleId="6">
    <w:name w:val="Body Text"/>
    <w:basedOn w:val="1"/>
    <w:qFormat/>
    <w:uiPriority w:val="0"/>
    <w:pPr>
      <w:spacing w:before="30" w:beforeLines="30"/>
    </w:pPr>
    <w:rPr>
      <w:rFonts w:ascii="仿宋_GB2312" w:eastAsia="仿宋_GB2312"/>
      <w:kern w:val="0"/>
      <w:sz w:val="24"/>
      <w:szCs w:val="20"/>
    </w:rPr>
  </w:style>
  <w:style w:type="paragraph" w:styleId="7">
    <w:name w:val="toc 3"/>
    <w:basedOn w:val="1"/>
    <w:next w:val="1"/>
    <w:qFormat/>
    <w:uiPriority w:val="0"/>
    <w:pPr>
      <w:tabs>
        <w:tab w:val="right" w:leader="dot" w:pos="8296"/>
      </w:tabs>
      <w:ind w:left="400" w:leftChars="400"/>
    </w:pPr>
  </w:style>
  <w:style w:type="paragraph" w:styleId="8">
    <w:name w:val="Balloon Text"/>
    <w:basedOn w:val="1"/>
    <w:qFormat/>
    <w:uiPriority w:val="0"/>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rFonts w:ascii="Calibri" w:hAnsi="Calibri"/>
      <w:kern w:val="0"/>
      <w:sz w:val="18"/>
      <w:szCs w:val="20"/>
    </w:rPr>
  </w:style>
  <w:style w:type="paragraph" w:styleId="10">
    <w:name w:val="toc 1"/>
    <w:basedOn w:val="1"/>
    <w:next w:val="1"/>
    <w:qFormat/>
    <w:uiPriority w:val="0"/>
    <w:pPr>
      <w:tabs>
        <w:tab w:val="right" w:leader="dot" w:pos="8296"/>
      </w:tabs>
      <w:spacing w:before="93"/>
      <w:jc w:val="center"/>
    </w:pPr>
    <w:rPr>
      <w:rFonts w:ascii="仿宋" w:eastAsia="仿宋"/>
      <w:sz w:val="28"/>
      <w:szCs w:val="28"/>
    </w:rPr>
  </w:style>
  <w:style w:type="paragraph" w:styleId="11">
    <w:name w:val="toc 2"/>
    <w:basedOn w:val="1"/>
    <w:next w:val="1"/>
    <w:qFormat/>
    <w:uiPriority w:val="0"/>
    <w:pPr>
      <w:tabs>
        <w:tab w:val="right" w:leader="dot" w:pos="8296"/>
      </w:tabs>
      <w:ind w:left="200" w:leftChars="200"/>
    </w:pPr>
  </w:style>
  <w:style w:type="character" w:styleId="14">
    <w:name w:val="Strong"/>
    <w:basedOn w:val="13"/>
    <w:qFormat/>
    <w:uiPriority w:val="0"/>
    <w:rPr>
      <w:rFonts w:cs="Times New Roman"/>
      <w:b/>
      <w:lang w:bidi="ar-SA"/>
    </w:rPr>
  </w:style>
  <w:style w:type="character" w:styleId="15">
    <w:name w:val="Hyperlink"/>
    <w:basedOn w:val="13"/>
    <w:qFormat/>
    <w:uiPriority w:val="0"/>
    <w:rPr>
      <w:rFonts w:cs="Times New Roman"/>
      <w:color w:val="0000FF"/>
      <w:u w:val="single"/>
      <w:lang w:bidi="ar-SA"/>
    </w:rPr>
  </w:style>
  <w:style w:type="character" w:customStyle="1" w:styleId="16">
    <w:name w:val="标题 1 Char"/>
    <w:basedOn w:val="13"/>
    <w:link w:val="3"/>
    <w:qFormat/>
    <w:uiPriority w:val="0"/>
    <w:rPr>
      <w:rFonts w:ascii="Times New Roman" w:hAnsi="Times New Roman" w:eastAsia="宋体" w:cs="Times New Roman"/>
      <w:b/>
      <w:bCs/>
      <w:kern w:val="44"/>
      <w:sz w:val="44"/>
      <w:szCs w:val="44"/>
    </w:rPr>
  </w:style>
  <w:style w:type="character" w:customStyle="1" w:styleId="17">
    <w:name w:val="标题 2 Char"/>
    <w:basedOn w:val="13"/>
    <w:link w:val="4"/>
    <w:qFormat/>
    <w:uiPriority w:val="0"/>
    <w:rPr>
      <w:rFonts w:ascii="Cambria" w:hAnsi="Cambria" w:eastAsia="宋体" w:cs="Times New Roman"/>
      <w:b/>
      <w:bCs/>
      <w:kern w:val="2"/>
      <w:sz w:val="32"/>
      <w:szCs w:val="32"/>
    </w:rPr>
  </w:style>
  <w:style w:type="character" w:customStyle="1" w:styleId="18">
    <w:name w:val="Footer Char"/>
    <w:basedOn w:val="13"/>
    <w:qFormat/>
    <w:uiPriority w:val="0"/>
    <w:rPr>
      <w:rFonts w:ascii="Times New Roman" w:hAnsi="Times New Roman" w:cs="Times New Roman"/>
      <w:sz w:val="18"/>
      <w:szCs w:val="18"/>
      <w:lang w:bidi="ar-SA"/>
    </w:rPr>
  </w:style>
  <w:style w:type="character" w:customStyle="1" w:styleId="19">
    <w:name w:val="Header Char"/>
    <w:basedOn w:val="13"/>
    <w:qFormat/>
    <w:uiPriority w:val="0"/>
    <w:rPr>
      <w:rFonts w:ascii="Times New Roman" w:hAnsi="Times New Roman" w:cs="Times New Roman"/>
      <w:sz w:val="18"/>
      <w:szCs w:val="18"/>
      <w:lang w:bidi="ar-SA"/>
    </w:rPr>
  </w:style>
  <w:style w:type="character" w:customStyle="1" w:styleId="20">
    <w:name w:val="Body Text Char"/>
    <w:basedOn w:val="13"/>
    <w:qFormat/>
    <w:uiPriority w:val="0"/>
    <w:rPr>
      <w:rFonts w:ascii="Times New Roman" w:hAnsi="Times New Roman" w:cs="Times New Roman"/>
      <w:sz w:val="24"/>
      <w:szCs w:val="24"/>
      <w:lang w:bidi="ar-SA"/>
    </w:rPr>
  </w:style>
  <w:style w:type="paragraph" w:customStyle="1" w:styleId="21">
    <w:name w:val="Default"/>
    <w:qFormat/>
    <w:uiPriority w:val="0"/>
    <w:pPr>
      <w:widowControl w:val="0"/>
      <w:autoSpaceDE w:val="0"/>
      <w:autoSpaceDN w:val="0"/>
      <w:adjustRightInd w:val="0"/>
    </w:pPr>
    <w:rPr>
      <w:rFonts w:ascii="仿宋" w:hAnsi="AR PL UKai CN" w:eastAsia="仿宋" w:cs="仿宋"/>
      <w:color w:val="000000"/>
      <w:sz w:val="24"/>
      <w:szCs w:val="24"/>
      <w:lang w:val="en-US" w:eastAsia="zh-CN" w:bidi="ar-SA"/>
    </w:rPr>
  </w:style>
  <w:style w:type="paragraph" w:customStyle="1" w:styleId="22">
    <w:name w:val="TOC Heading1"/>
    <w:basedOn w:val="3"/>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paragraph" w:customStyle="1" w:styleId="23">
    <w:name w:val="List Paragraph"/>
    <w:basedOn w:val="1"/>
    <w:qFormat/>
    <w:uiPriority w:val="0"/>
    <w:pPr>
      <w:ind w:firstLine="200" w:firstLineChars="200"/>
    </w:pPr>
  </w:style>
  <w:style w:type="paragraph" w:customStyle="1" w:styleId="24">
    <w:name w:val="TOC 标题1"/>
    <w:basedOn w:val="3"/>
    <w:next w:val="1"/>
    <w:qFormat/>
    <w:uiPriority w:val="0"/>
    <w:pPr>
      <w:keepNext/>
      <w:keepLines/>
      <w:widowControl/>
      <w:spacing w:before="480" w:after="0" w:line="276" w:lineRule="auto"/>
      <w:jc w:val="left"/>
      <w:outlineLvl w:val="9"/>
    </w:pPr>
    <w:rPr>
      <w:rFonts w:ascii="Cambria" w:hAnsi="Cambria"/>
      <w:color w:val="365F91"/>
      <w:kern w:val="0"/>
      <w:sz w:val="28"/>
      <w:szCs w:val="28"/>
    </w:rPr>
  </w:style>
  <w:style w:type="character" w:customStyle="1" w:styleId="25">
    <w:name w:val="font71"/>
    <w:basedOn w:val="13"/>
    <w:qFormat/>
    <w:uiPriority w:val="0"/>
    <w:rPr>
      <w:rFonts w:ascii="Times New Roman" w:hAnsi="Times New Roman" w:eastAsia="楷体_GB2312" w:cs="楷体_GB2312"/>
      <w:sz w:val="28"/>
      <w:szCs w:val="24"/>
      <w:lang w:bidi="ar-SA"/>
    </w:rPr>
  </w:style>
  <w:style w:type="paragraph" w:customStyle="1" w:styleId="26">
    <w:name w:val="WPSOffice手动目录 1"/>
    <w:qFormat/>
    <w:uiPriority w:val="0"/>
    <w:pPr>
      <w:ind w:leftChars="0"/>
    </w:pPr>
    <w:rPr>
      <w:rFonts w:ascii="AR PL UKai CN" w:hAnsi="AR PL UKai CN" w:eastAsia="黑体" w:cs="AR PL UKai CN"/>
      <w:sz w:val="20"/>
      <w:szCs w:val="20"/>
    </w:rPr>
  </w:style>
  <w:style w:type="paragraph" w:customStyle="1" w:styleId="27">
    <w:name w:val="WPSOffice手动目录 2"/>
    <w:qFormat/>
    <w:uiPriority w:val="0"/>
    <w:pPr>
      <w:ind w:leftChars="200"/>
    </w:pPr>
    <w:rPr>
      <w:rFonts w:ascii="AR PL UKai CN" w:hAnsi="AR PL UKai CN" w:eastAsia="黑体" w:cs="AR PL UKai CN"/>
      <w:sz w:val="20"/>
      <w:szCs w:val="20"/>
    </w:rPr>
  </w:style>
</w:styles>
</file>

<file path=word/_rels/document.xml.rels><?xml version="1.0" encoding="UTF-8" standalone="yes"?>
<Relationships xmlns="http://schemas.openxmlformats.org/package/2006/relationships"><Relationship Id="rId9" Type="http://schemas.openxmlformats.org/officeDocument/2006/relationships/image" Target="media/image4.png"/><Relationship Id="rId8" Type="http://schemas.openxmlformats.org/officeDocument/2006/relationships/image" Target="media/image3.png"/><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numbering" Target="numbering.xml"/><Relationship Id="rId12" Type="http://schemas.openxmlformats.org/officeDocument/2006/relationships/customXml" Target="../customXml/item1.xml"/><Relationship Id="rId11" Type="http://schemas.openxmlformats.org/officeDocument/2006/relationships/image" Target="media/image6.png"/><Relationship Id="rId10" Type="http://schemas.openxmlformats.org/officeDocument/2006/relationships/image" Target="media/image5.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四川省财政厅</Company>
  <Pages>27</Pages>
  <Words>9509</Words>
  <Characters>10100</Characters>
  <TotalTime>2</TotalTime>
  <ScaleCrop>false</ScaleCrop>
  <LinksUpToDate>false</LinksUpToDate>
  <CharactersWithSpaces>10168</CharactersWithSpaces>
  <Application>WPS Office_11.8.2.9980_F1E327BC-269C-435d-A152-05C5408002CA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2020-08-06T09:49:00Z</dcterms:created>
  <dc:creator>曹颖</dc:creator>
  <cp:lastModifiedBy>user</cp:lastModifiedBy>
  <cp:lastPrinted>2021-07-31T11:56:00Z</cp:lastPrinted>
  <dcterms:modified xsi:type="dcterms:W3CDTF">2022-08-31T17:31:55Z</dcterms:modified>
  <dc:title>四川省***</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04614DBBD92D40BD995DC6D7496C841D</vt:lpwstr>
  </property>
</Properties>
</file>