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spacing w:line="560" w:lineRule="exact"/>
        <w:jc w:val="center"/>
        <w:rPr>
          <w:rFonts w:hint="eastAsia" w:ascii="黑体" w:hAnsi="黑体" w:eastAsia="黑体"/>
          <w:b/>
          <w:bCs/>
          <w:color w:val="000000"/>
          <w:sz w:val="48"/>
          <w:szCs w:val="48"/>
        </w:rPr>
      </w:pPr>
      <w:bookmarkStart w:id="0" w:name="_Toc22327"/>
      <w:bookmarkStart w:id="1" w:name="_Toc20309"/>
      <w:bookmarkStart w:id="2" w:name="_Toc15377197"/>
      <w:bookmarkStart w:id="3" w:name="_Toc15396600"/>
    </w:p>
    <w:p>
      <w:pPr>
        <w:pageBreakBefore w:val="0"/>
        <w:widowControl/>
        <w:kinsoku/>
        <w:wordWrap/>
        <w:overflowPunct/>
        <w:topLinePunct w:val="0"/>
        <w:bidi w:val="0"/>
        <w:spacing w:line="560" w:lineRule="exact"/>
        <w:jc w:val="center"/>
        <w:rPr>
          <w:rFonts w:hint="eastAsia" w:ascii="黑体" w:hAnsi="黑体" w:eastAsia="黑体"/>
          <w:b/>
          <w:bCs/>
          <w:color w:val="000000"/>
          <w:sz w:val="48"/>
          <w:szCs w:val="48"/>
        </w:rPr>
      </w:pPr>
    </w:p>
    <w:p>
      <w:pPr>
        <w:pageBreakBefore w:val="0"/>
        <w:widowControl/>
        <w:kinsoku/>
        <w:wordWrap/>
        <w:overflowPunct/>
        <w:topLinePunct w:val="0"/>
        <w:bidi w:val="0"/>
        <w:spacing w:line="560" w:lineRule="exact"/>
        <w:jc w:val="center"/>
        <w:rPr>
          <w:rFonts w:hint="eastAsia" w:ascii="黑体" w:hAnsi="黑体" w:eastAsia="黑体"/>
          <w:b/>
          <w:bCs/>
          <w:color w:val="000000"/>
          <w:sz w:val="48"/>
          <w:szCs w:val="48"/>
        </w:rPr>
      </w:pPr>
    </w:p>
    <w:p>
      <w:pPr>
        <w:pageBreakBefore w:val="0"/>
        <w:widowControl/>
        <w:kinsoku/>
        <w:wordWrap/>
        <w:overflowPunct/>
        <w:topLinePunct w:val="0"/>
        <w:bidi w:val="0"/>
        <w:spacing w:line="560" w:lineRule="exact"/>
        <w:jc w:val="center"/>
        <w:rPr>
          <w:rFonts w:hint="eastAsia" w:ascii="黑体" w:hAnsi="黑体" w:eastAsia="黑体"/>
          <w:b/>
          <w:bCs/>
          <w:color w:val="000000"/>
          <w:sz w:val="48"/>
          <w:szCs w:val="48"/>
        </w:rPr>
      </w:pPr>
    </w:p>
    <w:p>
      <w:pPr>
        <w:pageBreakBefore w:val="0"/>
        <w:widowControl/>
        <w:kinsoku/>
        <w:wordWrap/>
        <w:overflowPunct/>
        <w:topLinePunct w:val="0"/>
        <w:bidi w:val="0"/>
        <w:spacing w:line="560" w:lineRule="exact"/>
        <w:jc w:val="center"/>
        <w:rPr>
          <w:rFonts w:hint="eastAsia" w:ascii="黑体" w:hAnsi="黑体" w:eastAsia="黑体"/>
          <w:b/>
          <w:bCs/>
          <w:color w:val="000000"/>
          <w:sz w:val="48"/>
          <w:szCs w:val="4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宋体" w:eastAsia="方正小标宋简体"/>
          <w:color w:val="000000"/>
          <w:sz w:val="72"/>
          <w:szCs w:val="72"/>
          <w:lang w:eastAsia="zh-CN"/>
        </w:rPr>
      </w:pPr>
      <w:bookmarkStart w:id="4" w:name="_Toc16848"/>
      <w:bookmarkStart w:id="5" w:name="_Toc15377425"/>
      <w:bookmarkStart w:id="6" w:name="_Toc15396597"/>
      <w:bookmarkStart w:id="7" w:name="_Toc15378441"/>
      <w:bookmarkStart w:id="8" w:name="_Toc15377193"/>
      <w:bookmarkStart w:id="9" w:name="_Toc15396475"/>
      <w:bookmarkStart w:id="10" w:name="_Toc5753"/>
      <w:bookmarkStart w:id="11" w:name="_Toc23231"/>
      <w:r>
        <w:rPr>
          <w:rFonts w:hint="eastAsia" w:ascii="方正小标宋简体" w:hAnsi="宋体" w:eastAsia="方正小标宋简体"/>
          <w:color w:val="000000"/>
          <w:sz w:val="72"/>
          <w:szCs w:val="72"/>
          <w:lang w:eastAsia="zh-CN"/>
        </w:rPr>
        <w:t>20</w:t>
      </w:r>
      <w:r>
        <w:rPr>
          <w:rFonts w:hint="eastAsia" w:ascii="方正小标宋简体" w:hAnsi="宋体" w:eastAsia="方正小标宋简体"/>
          <w:color w:val="000000"/>
          <w:sz w:val="72"/>
          <w:szCs w:val="72"/>
          <w:lang w:val="en-US" w:eastAsia="zh-CN"/>
        </w:rPr>
        <w:t>20</w:t>
      </w:r>
      <w:r>
        <w:rPr>
          <w:rFonts w:hint="eastAsia" w:ascii="方正小标宋简体" w:hAnsi="宋体" w:eastAsia="方正小标宋简体"/>
          <w:color w:val="000000"/>
          <w:sz w:val="72"/>
          <w:szCs w:val="72"/>
          <w:lang w:eastAsia="zh-CN"/>
        </w:rPr>
        <w:t>年度</w:t>
      </w:r>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方正小标宋简体" w:hAnsi="宋体" w:eastAsia="方正小标宋简体"/>
          <w:color w:val="000000"/>
          <w:sz w:val="72"/>
          <w:szCs w:val="72"/>
        </w:rPr>
      </w:pPr>
      <w:bookmarkStart w:id="12" w:name="_Toc15377426"/>
      <w:bookmarkStart w:id="13" w:name="_Toc26186"/>
      <w:bookmarkStart w:id="14" w:name="_Toc19511"/>
      <w:bookmarkStart w:id="15" w:name="_Toc15377194"/>
      <w:bookmarkStart w:id="16" w:name="_Toc26060"/>
      <w:bookmarkStart w:id="17" w:name="_Toc15378442"/>
      <w:bookmarkStart w:id="18" w:name="_Toc15396598"/>
      <w:bookmarkStart w:id="19" w:name="_Toc15396476"/>
      <w:r>
        <w:rPr>
          <w:rFonts w:hint="eastAsia" w:ascii="方正小标宋简体" w:hAnsi="宋体" w:eastAsia="方正小标宋简体"/>
          <w:color w:val="000000"/>
          <w:sz w:val="72"/>
          <w:szCs w:val="72"/>
          <w:lang w:eastAsia="zh-CN"/>
        </w:rPr>
        <w:t>广元市</w:t>
      </w:r>
      <w:bookmarkStart w:id="20" w:name="_Toc15306268"/>
      <w:r>
        <w:rPr>
          <w:rFonts w:hint="eastAsia" w:ascii="方正小标宋简体" w:hAnsi="宋体" w:eastAsia="方正小标宋简体"/>
          <w:color w:val="000000"/>
          <w:sz w:val="72"/>
          <w:szCs w:val="72"/>
          <w:lang w:eastAsia="zh-CN"/>
        </w:rPr>
        <w:t>档案馆</w:t>
      </w:r>
      <w:r>
        <w:rPr>
          <w:rFonts w:hint="eastAsia" w:ascii="方正小标宋简体" w:hAnsi="宋体" w:eastAsia="方正小标宋简体"/>
          <w:color w:val="000000"/>
          <w:sz w:val="72"/>
          <w:szCs w:val="72"/>
        </w:rPr>
        <w:t>部门决算</w:t>
      </w:r>
      <w:bookmarkEnd w:id="12"/>
      <w:bookmarkEnd w:id="13"/>
      <w:bookmarkEnd w:id="14"/>
      <w:bookmarkEnd w:id="15"/>
      <w:bookmarkEnd w:id="16"/>
      <w:bookmarkEnd w:id="17"/>
      <w:bookmarkEnd w:id="18"/>
      <w:bookmarkEnd w:id="19"/>
      <w:bookmarkEnd w:id="20"/>
    </w:p>
    <w:p>
      <w:pPr>
        <w:pageBreakBefore w:val="0"/>
        <w:widowControl/>
        <w:kinsoku/>
        <w:wordWrap/>
        <w:overflowPunct/>
        <w:topLinePunct w:val="0"/>
        <w:bidi w:val="0"/>
        <w:spacing w:line="560" w:lineRule="exact"/>
        <w:jc w:val="center"/>
        <w:rPr>
          <w:rFonts w:hint="eastAsia" w:ascii="黑体" w:hAnsi="黑体" w:eastAsia="黑体"/>
          <w:b/>
          <w:bCs/>
          <w:color w:val="000000"/>
          <w:sz w:val="48"/>
          <w:szCs w:val="48"/>
        </w:rPr>
      </w:pPr>
    </w:p>
    <w:p>
      <w:pPr>
        <w:pStyle w:val="9"/>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00" w:lineRule="exact"/>
        <w:jc w:val="left"/>
        <w:textAlignment w:val="auto"/>
        <w:rPr>
          <w:rFonts w:hint="eastAsia" w:ascii="仿宋_GB2312" w:hAnsi="仿宋_GB2312" w:eastAsia="仿宋_GB2312" w:cs="仿宋_GB2312"/>
          <w:sz w:val="32"/>
          <w:szCs w:val="32"/>
        </w:rPr>
      </w:pPr>
    </w:p>
    <w:p>
      <w:pPr>
        <w:pStyle w:val="9"/>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00" w:lineRule="exact"/>
        <w:jc w:val="left"/>
        <w:textAlignment w:val="auto"/>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jc w:val="center"/>
        <w:rPr>
          <w:rFonts w:hint="eastAsia" w:ascii="黑体" w:hAnsi="黑体" w:eastAsia="黑体" w:cs="黑体"/>
          <w:b/>
          <w:bCs w:val="0"/>
        </w:rPr>
      </w:pPr>
    </w:p>
    <w:p>
      <w:pPr>
        <w:pStyle w:val="4"/>
        <w:pageBreakBefore w:val="0"/>
        <w:kinsoku/>
        <w:wordWrap/>
        <w:overflowPunct/>
        <w:topLinePunct w:val="0"/>
        <w:bidi w:val="0"/>
        <w:spacing w:line="560" w:lineRule="exact"/>
        <w:jc w:val="center"/>
        <w:rPr>
          <w:rFonts w:hint="eastAsia" w:ascii="黑体" w:hAnsi="黑体" w:eastAsia="黑体" w:cs="黑体"/>
          <w:b/>
          <w:bCs w:val="0"/>
        </w:rPr>
      </w:pPr>
    </w:p>
    <w:p>
      <w:pPr>
        <w:rPr>
          <w:rFonts w:hint="eastAsia" w:ascii="黑体" w:hAnsi="黑体" w:eastAsia="黑体" w:cs="黑体"/>
          <w:b/>
          <w:bCs w:val="0"/>
        </w:rPr>
      </w:pPr>
    </w:p>
    <w:p>
      <w:pPr>
        <w:pStyle w:val="2"/>
        <w:rPr>
          <w:rFonts w:hint="eastAsia" w:ascii="黑体" w:hAnsi="黑体" w:eastAsia="黑体" w:cs="黑体"/>
          <w:b/>
          <w:bCs w:val="0"/>
        </w:rPr>
      </w:pPr>
    </w:p>
    <w:p>
      <w:pPr>
        <w:pStyle w:val="2"/>
        <w:rPr>
          <w:rFonts w:hint="eastAsia" w:ascii="黑体" w:hAnsi="黑体" w:eastAsia="黑体" w:cs="黑体"/>
          <w:b/>
          <w:bCs w:val="0"/>
        </w:rPr>
      </w:pPr>
    </w:p>
    <w:p>
      <w:pPr>
        <w:pStyle w:val="2"/>
        <w:rPr>
          <w:rFonts w:hint="eastAsia" w:ascii="黑体" w:hAnsi="黑体" w:eastAsia="黑体" w:cs="黑体"/>
          <w:b/>
          <w:bCs w:val="0"/>
        </w:rPr>
      </w:pPr>
    </w:p>
    <w:p>
      <w:pPr>
        <w:pStyle w:val="2"/>
        <w:rPr>
          <w:rFonts w:hint="eastAsia" w:ascii="黑体" w:hAnsi="黑体" w:eastAsia="黑体" w:cs="黑体"/>
          <w:b/>
          <w:bCs w:val="0"/>
        </w:rPr>
      </w:pPr>
    </w:p>
    <w:p>
      <w:pPr>
        <w:pStyle w:val="2"/>
        <w:rPr>
          <w:rFonts w:hint="eastAsia" w:ascii="黑体" w:hAnsi="黑体" w:eastAsia="黑体" w:cs="黑体"/>
          <w:b/>
          <w:bCs w:val="0"/>
        </w:rPr>
      </w:pPr>
    </w:p>
    <w:p>
      <w:pPr>
        <w:pStyle w:val="2"/>
        <w:rPr>
          <w:rFonts w:hint="eastAsia" w:ascii="黑体" w:hAnsi="黑体" w:eastAsia="黑体" w:cs="黑体"/>
          <w:b/>
          <w:bCs w:val="0"/>
        </w:rPr>
      </w:pPr>
    </w:p>
    <w:p>
      <w:pPr>
        <w:rPr>
          <w:rFonts w:hint="eastAsia" w:ascii="黑体" w:hAnsi="黑体" w:eastAsia="黑体" w:cs="黑体"/>
          <w:b/>
          <w:bCs w:val="0"/>
        </w:rPr>
      </w:pPr>
    </w:p>
    <w:p>
      <w:pPr>
        <w:rPr>
          <w:rFonts w:hint="eastAsia"/>
        </w:rPr>
        <w:sectPr>
          <w:headerReference r:id="rId3" w:type="default"/>
          <w:pgSz w:w="11906" w:h="16838"/>
          <w:pgMar w:top="1440" w:right="1587" w:bottom="1440"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rPr>
        <w:t>目</w:t>
      </w:r>
      <w:r>
        <w:rPr>
          <w:rFonts w:hint="eastAsia" w:ascii="方正小标宋简体" w:hAnsi="方正小标宋简体" w:eastAsia="方正小标宋简体" w:cs="方正小标宋简体"/>
          <w:b/>
          <w:bCs/>
          <w:sz w:val="44"/>
          <w:szCs w:val="52"/>
          <w:lang w:val="en-US" w:eastAsia="zh-CN"/>
        </w:rPr>
        <w:t xml:space="preserve">   </w:t>
      </w:r>
      <w:r>
        <w:rPr>
          <w:rFonts w:hint="eastAsia" w:ascii="方正小标宋简体" w:hAnsi="方正小标宋简体" w:eastAsia="方正小标宋简体" w:cs="方正小标宋简体"/>
          <w:b/>
          <w:bCs/>
          <w:sz w:val="44"/>
          <w:szCs w:val="52"/>
        </w:rPr>
        <w:t>录</w:t>
      </w:r>
    </w:p>
    <w:p>
      <w:pPr>
        <w:pStyle w:val="9"/>
        <w:keepNext w:val="0"/>
        <w:keepLines w:val="0"/>
        <w:pageBreakBefore w:val="0"/>
        <w:widowControl w:val="0"/>
        <w:tabs>
          <w:tab w:val="right" w:leader="middleDot" w:pos="8732"/>
        </w:tabs>
        <w:kinsoku/>
        <w:wordWrap/>
        <w:overflowPunct/>
        <w:topLinePunct w:val="0"/>
        <w:autoSpaceDE/>
        <w:autoSpaceDN/>
        <w:bidi w:val="0"/>
        <w:adjustRightInd/>
        <w:snapToGrid/>
        <w:spacing w:line="560" w:lineRule="exact"/>
        <w:jc w:val="center"/>
        <w:textAlignment w:val="auto"/>
        <w:rPr>
          <w:sz w:val="28"/>
          <w:szCs w:val="36"/>
        </w:rPr>
      </w:pPr>
      <w:r>
        <w:rPr>
          <w:rFonts w:hint="eastAsia" w:ascii="仿宋_GB2312" w:hAnsi="仿宋_GB2312" w:eastAsia="仿宋_GB2312" w:cs="仿宋_GB2312"/>
          <w:sz w:val="28"/>
          <w:szCs w:val="36"/>
          <w:lang w:eastAsia="zh-CN"/>
        </w:rPr>
        <w:t>（公开时间：</w:t>
      </w:r>
      <w:r>
        <w:rPr>
          <w:rFonts w:hint="eastAsia" w:ascii="仿宋_GB2312" w:hAnsi="仿宋_GB2312" w:eastAsia="仿宋_GB2312" w:cs="仿宋_GB2312"/>
          <w:sz w:val="28"/>
          <w:szCs w:val="36"/>
          <w:lang w:val="en-US" w:eastAsia="zh-CN"/>
        </w:rPr>
        <w:t>2021年9月18日</w:t>
      </w:r>
      <w:r>
        <w:rPr>
          <w:rFonts w:hint="eastAsia" w:ascii="仿宋_GB2312" w:hAnsi="仿宋_GB2312" w:eastAsia="仿宋_GB2312" w:cs="仿宋_GB2312"/>
          <w:sz w:val="28"/>
          <w:szCs w:val="36"/>
          <w:lang w:eastAsia="zh-CN"/>
        </w:rPr>
        <w:t>）</w:t>
      </w:r>
      <w:r>
        <w:rPr>
          <w:rFonts w:hint="eastAsia"/>
          <w:sz w:val="28"/>
          <w:szCs w:val="36"/>
        </w:rPr>
        <w:fldChar w:fldCharType="begin"/>
      </w:r>
      <w:r>
        <w:rPr>
          <w:rFonts w:hint="eastAsia"/>
          <w:sz w:val="28"/>
          <w:szCs w:val="36"/>
        </w:rPr>
        <w:instrText xml:space="preserve">TOC \o "1-3" \h \u </w:instrText>
      </w:r>
      <w:r>
        <w:rPr>
          <w:rFonts w:hint="eastAsia"/>
          <w:sz w:val="28"/>
          <w:szCs w:val="36"/>
        </w:rPr>
        <w:fldChar w:fldCharType="separate"/>
      </w:r>
    </w:p>
    <w:p>
      <w:pPr>
        <w:pStyle w:val="9"/>
        <w:keepNext w:val="0"/>
        <w:keepLines w:val="0"/>
        <w:pageBreakBefore w:val="0"/>
        <w:widowControl w:val="0"/>
        <w:tabs>
          <w:tab w:val="right" w:leader="middleDot" w:pos="8732"/>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_Toc31326 </w:instrText>
      </w:r>
      <w:r>
        <w:rPr>
          <w:rFonts w:hint="eastAsia"/>
          <w:sz w:val="28"/>
          <w:szCs w:val="36"/>
        </w:rPr>
        <w:fldChar w:fldCharType="separate"/>
      </w:r>
      <w:r>
        <w:rPr>
          <w:rFonts w:hint="eastAsia" w:ascii="黑体" w:hAnsi="黑体" w:eastAsia="黑体" w:cs="黑体"/>
          <w:bCs w:val="0"/>
          <w:sz w:val="28"/>
          <w:szCs w:val="36"/>
        </w:rPr>
        <w:t>第</w:t>
      </w:r>
      <w:r>
        <w:rPr>
          <w:rFonts w:hint="eastAsia" w:ascii="黑体" w:hAnsi="黑体" w:eastAsia="黑体" w:cs="黑体"/>
          <w:bCs w:val="0"/>
          <w:sz w:val="28"/>
          <w:szCs w:val="36"/>
          <w:lang w:eastAsia="zh-CN"/>
        </w:rPr>
        <w:t>一</w:t>
      </w:r>
      <w:r>
        <w:rPr>
          <w:rFonts w:hint="eastAsia" w:ascii="黑体" w:hAnsi="黑体" w:eastAsia="黑体" w:cs="黑体"/>
          <w:bCs w:val="0"/>
          <w:sz w:val="28"/>
          <w:szCs w:val="36"/>
        </w:rPr>
        <w:t xml:space="preserve">部分 </w:t>
      </w:r>
      <w:r>
        <w:rPr>
          <w:rFonts w:hint="eastAsia" w:ascii="黑体" w:hAnsi="黑体" w:eastAsia="黑体" w:cs="黑体"/>
          <w:bCs w:val="0"/>
          <w:sz w:val="28"/>
          <w:szCs w:val="36"/>
          <w:lang w:val="en-US" w:eastAsia="zh-CN"/>
        </w:rPr>
        <w:t>部门概况</w:t>
      </w:r>
      <w:r>
        <w:rPr>
          <w:sz w:val="28"/>
          <w:szCs w:val="36"/>
        </w:rPr>
        <w:tab/>
      </w:r>
      <w:r>
        <w:rPr>
          <w:sz w:val="28"/>
          <w:szCs w:val="36"/>
        </w:rPr>
        <w:fldChar w:fldCharType="begin"/>
      </w:r>
      <w:r>
        <w:rPr>
          <w:sz w:val="28"/>
          <w:szCs w:val="36"/>
        </w:rPr>
        <w:instrText xml:space="preserve"> PAGEREF _Toc31326 \h </w:instrText>
      </w:r>
      <w:r>
        <w:rPr>
          <w:sz w:val="28"/>
          <w:szCs w:val="36"/>
        </w:rPr>
        <w:fldChar w:fldCharType="separate"/>
      </w:r>
      <w:r>
        <w:rPr>
          <w:sz w:val="28"/>
          <w:szCs w:val="36"/>
        </w:rPr>
        <w:t>2</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_Toc24141 </w:instrText>
      </w:r>
      <w:r>
        <w:rPr>
          <w:rFonts w:hint="eastAsia"/>
          <w:sz w:val="28"/>
          <w:szCs w:val="36"/>
        </w:rPr>
        <w:fldChar w:fldCharType="separate"/>
      </w:r>
      <w:r>
        <w:rPr>
          <w:rFonts w:hint="eastAsia" w:ascii="黑体" w:hAnsi="黑体" w:eastAsia="黑体" w:cs="黑体"/>
          <w:bCs w:val="0"/>
          <w:sz w:val="28"/>
          <w:szCs w:val="44"/>
        </w:rPr>
        <w:t>一、</w:t>
      </w:r>
      <w:r>
        <w:rPr>
          <w:rFonts w:hint="eastAsia" w:ascii="黑体" w:hAnsi="黑体" w:eastAsia="黑体" w:cs="黑体"/>
          <w:bCs w:val="0"/>
          <w:sz w:val="28"/>
          <w:szCs w:val="36"/>
        </w:rPr>
        <w:t>基本职能及主要工作</w:t>
      </w:r>
      <w:r>
        <w:rPr>
          <w:sz w:val="28"/>
          <w:szCs w:val="36"/>
        </w:rPr>
        <w:tab/>
      </w:r>
      <w:r>
        <w:rPr>
          <w:sz w:val="28"/>
          <w:szCs w:val="36"/>
        </w:rPr>
        <w:fldChar w:fldCharType="begin"/>
      </w:r>
      <w:r>
        <w:rPr>
          <w:sz w:val="28"/>
          <w:szCs w:val="36"/>
        </w:rPr>
        <w:instrText xml:space="preserve"> PAGEREF _Toc24141 \h </w:instrText>
      </w:r>
      <w:r>
        <w:rPr>
          <w:sz w:val="28"/>
          <w:szCs w:val="36"/>
        </w:rPr>
        <w:fldChar w:fldCharType="separate"/>
      </w:r>
      <w:r>
        <w:rPr>
          <w:sz w:val="28"/>
          <w:szCs w:val="36"/>
        </w:rPr>
        <w:t>2</w:t>
      </w:r>
      <w:r>
        <w:rPr>
          <w:sz w:val="28"/>
          <w:szCs w:val="36"/>
        </w:rPr>
        <w:fldChar w:fldCharType="end"/>
      </w:r>
      <w:r>
        <w:rPr>
          <w:rFonts w:hint="eastAsia"/>
          <w:sz w:val="28"/>
          <w:szCs w:val="36"/>
        </w:rPr>
        <w:fldChar w:fldCharType="end"/>
      </w:r>
    </w:p>
    <w:p>
      <w:pPr>
        <w:pStyle w:val="9"/>
        <w:keepNext w:val="0"/>
        <w:keepLines w:val="0"/>
        <w:pageBreakBefore w:val="0"/>
        <w:widowControl w:val="0"/>
        <w:tabs>
          <w:tab w:val="right" w:leader="middleDot" w:pos="8732"/>
        </w:tabs>
        <w:kinsoku/>
        <w:wordWrap/>
        <w:overflowPunct/>
        <w:topLinePunct w:val="0"/>
        <w:autoSpaceDE/>
        <w:autoSpaceDN/>
        <w:bidi w:val="0"/>
        <w:adjustRightInd/>
        <w:snapToGrid/>
        <w:spacing w:line="400" w:lineRule="exact"/>
        <w:ind w:left="0" w:leftChars="0" w:firstLine="420" w:firstLineChars="150"/>
        <w:textAlignment w:val="auto"/>
        <w:rPr>
          <w:sz w:val="28"/>
          <w:szCs w:val="36"/>
        </w:rPr>
      </w:pPr>
      <w:r>
        <w:rPr>
          <w:rFonts w:hint="eastAsia"/>
          <w:sz w:val="28"/>
          <w:szCs w:val="36"/>
        </w:rPr>
        <w:fldChar w:fldCharType="begin"/>
      </w:r>
      <w:r>
        <w:rPr>
          <w:rFonts w:hint="eastAsia"/>
          <w:sz w:val="28"/>
          <w:szCs w:val="36"/>
        </w:rPr>
        <w:instrText xml:space="preserve"> HYPERLINK \l _Toc22924 </w:instrText>
      </w:r>
      <w:r>
        <w:rPr>
          <w:rFonts w:hint="eastAsia"/>
          <w:sz w:val="28"/>
          <w:szCs w:val="36"/>
        </w:rPr>
        <w:fldChar w:fldCharType="separate"/>
      </w:r>
      <w:r>
        <w:rPr>
          <w:rFonts w:hint="eastAsia" w:ascii="黑体" w:hAnsi="黑体" w:eastAsia="黑体" w:cs="黑体"/>
          <w:b/>
          <w:bCs/>
          <w:kern w:val="2"/>
          <w:sz w:val="28"/>
          <w:szCs w:val="36"/>
          <w:lang w:val="en-US" w:eastAsia="zh-CN" w:bidi="ar-SA"/>
        </w:rPr>
        <w:t>二、</w:t>
      </w:r>
      <w:r>
        <w:rPr>
          <w:rFonts w:hint="eastAsia" w:ascii="黑体" w:hAnsi="黑体" w:eastAsia="黑体" w:cs="黑体"/>
          <w:bCs w:val="0"/>
          <w:sz w:val="28"/>
          <w:szCs w:val="36"/>
          <w:lang w:val="en-US" w:eastAsia="zh-CN" w:bidi="ar-SA"/>
        </w:rPr>
        <w:t>机构设置</w:t>
      </w:r>
      <w:r>
        <w:rPr>
          <w:sz w:val="28"/>
          <w:szCs w:val="36"/>
        </w:rPr>
        <w:tab/>
      </w:r>
      <w:r>
        <w:rPr>
          <w:sz w:val="28"/>
          <w:szCs w:val="36"/>
        </w:rPr>
        <w:fldChar w:fldCharType="begin"/>
      </w:r>
      <w:r>
        <w:rPr>
          <w:sz w:val="28"/>
          <w:szCs w:val="36"/>
        </w:rPr>
        <w:instrText xml:space="preserve"> PAGEREF _Toc22924 \h </w:instrText>
      </w:r>
      <w:r>
        <w:rPr>
          <w:sz w:val="28"/>
          <w:szCs w:val="36"/>
        </w:rPr>
        <w:fldChar w:fldCharType="separate"/>
      </w:r>
      <w:r>
        <w:rPr>
          <w:sz w:val="28"/>
          <w:szCs w:val="36"/>
        </w:rPr>
        <w:t>7</w:t>
      </w:r>
      <w:r>
        <w:rPr>
          <w:sz w:val="28"/>
          <w:szCs w:val="36"/>
        </w:rPr>
        <w:fldChar w:fldCharType="end"/>
      </w:r>
      <w:r>
        <w:rPr>
          <w:rFonts w:hint="eastAsia"/>
          <w:sz w:val="28"/>
          <w:szCs w:val="36"/>
        </w:rPr>
        <w:fldChar w:fldCharType="end"/>
      </w:r>
    </w:p>
    <w:p>
      <w:pPr>
        <w:pStyle w:val="9"/>
        <w:keepNext w:val="0"/>
        <w:keepLines w:val="0"/>
        <w:pageBreakBefore w:val="0"/>
        <w:widowControl w:val="0"/>
        <w:tabs>
          <w:tab w:val="right" w:leader="middleDot" w:pos="8732"/>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_Toc17508 </w:instrText>
      </w:r>
      <w:r>
        <w:rPr>
          <w:rFonts w:hint="eastAsia"/>
          <w:sz w:val="28"/>
          <w:szCs w:val="36"/>
        </w:rPr>
        <w:fldChar w:fldCharType="separate"/>
      </w:r>
      <w:r>
        <w:rPr>
          <w:rFonts w:hint="eastAsia" w:ascii="黑体" w:hAnsi="黑体" w:eastAsia="黑体" w:cs="黑体"/>
          <w:bCs w:val="0"/>
          <w:sz w:val="28"/>
          <w:szCs w:val="36"/>
        </w:rPr>
        <w:t xml:space="preserve">第二部分 </w:t>
      </w:r>
      <w:r>
        <w:rPr>
          <w:rFonts w:hint="eastAsia" w:ascii="黑体" w:hAnsi="黑体" w:eastAsia="黑体" w:cs="黑体"/>
          <w:bCs w:val="0"/>
          <w:sz w:val="28"/>
          <w:szCs w:val="36"/>
          <w:lang w:val="en-US" w:eastAsia="zh-CN"/>
        </w:rPr>
        <w:t>2020</w:t>
      </w:r>
      <w:r>
        <w:rPr>
          <w:rFonts w:hint="eastAsia" w:ascii="黑体" w:hAnsi="黑体" w:eastAsia="黑体" w:cs="黑体"/>
          <w:bCs w:val="0"/>
          <w:sz w:val="28"/>
          <w:szCs w:val="36"/>
        </w:rPr>
        <w:t>年度部门决算情况说明</w:t>
      </w:r>
      <w:r>
        <w:rPr>
          <w:sz w:val="28"/>
          <w:szCs w:val="36"/>
        </w:rPr>
        <w:tab/>
      </w:r>
      <w:r>
        <w:rPr>
          <w:sz w:val="28"/>
          <w:szCs w:val="36"/>
        </w:rPr>
        <w:fldChar w:fldCharType="begin"/>
      </w:r>
      <w:r>
        <w:rPr>
          <w:sz w:val="28"/>
          <w:szCs w:val="36"/>
        </w:rPr>
        <w:instrText xml:space="preserve"> PAGEREF _Toc17508 \h </w:instrText>
      </w:r>
      <w:r>
        <w:rPr>
          <w:sz w:val="28"/>
          <w:szCs w:val="36"/>
        </w:rPr>
        <w:fldChar w:fldCharType="separate"/>
      </w:r>
      <w:r>
        <w:rPr>
          <w:sz w:val="28"/>
          <w:szCs w:val="36"/>
        </w:rPr>
        <w:t>8</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_Toc6920 </w:instrText>
      </w:r>
      <w:r>
        <w:rPr>
          <w:rFonts w:hint="eastAsia"/>
          <w:sz w:val="28"/>
          <w:szCs w:val="36"/>
        </w:rPr>
        <w:fldChar w:fldCharType="separate"/>
      </w:r>
      <w:r>
        <w:rPr>
          <w:rFonts w:hint="default" w:ascii="黑体" w:hAnsi="黑体" w:eastAsia="黑体" w:cs="黑体"/>
          <w:bCs/>
          <w:sz w:val="28"/>
          <w:szCs w:val="36"/>
        </w:rPr>
        <w:t>一、</w:t>
      </w:r>
      <w:r>
        <w:rPr>
          <w:rFonts w:hint="eastAsia" w:ascii="黑体" w:hAnsi="黑体" w:eastAsia="黑体" w:cs="黑体"/>
          <w:bCs/>
          <w:sz w:val="28"/>
          <w:szCs w:val="44"/>
        </w:rPr>
        <w:t>收</w:t>
      </w:r>
      <w:r>
        <w:rPr>
          <w:rFonts w:hint="eastAsia" w:ascii="黑体" w:hAnsi="黑体" w:eastAsia="黑体" w:cs="黑体"/>
          <w:bCs/>
          <w:sz w:val="28"/>
          <w:szCs w:val="36"/>
        </w:rPr>
        <w:t>入支出决算总体情况说明</w:t>
      </w:r>
      <w:r>
        <w:rPr>
          <w:sz w:val="28"/>
          <w:szCs w:val="36"/>
        </w:rPr>
        <w:tab/>
      </w:r>
      <w:r>
        <w:rPr>
          <w:sz w:val="28"/>
          <w:szCs w:val="36"/>
        </w:rPr>
        <w:fldChar w:fldCharType="begin"/>
      </w:r>
      <w:r>
        <w:rPr>
          <w:sz w:val="28"/>
          <w:szCs w:val="36"/>
        </w:rPr>
        <w:instrText xml:space="preserve"> PAGEREF _Toc6920 \h </w:instrText>
      </w:r>
      <w:r>
        <w:rPr>
          <w:sz w:val="28"/>
          <w:szCs w:val="36"/>
        </w:rPr>
        <w:fldChar w:fldCharType="separate"/>
      </w:r>
      <w:r>
        <w:rPr>
          <w:sz w:val="28"/>
          <w:szCs w:val="36"/>
        </w:rPr>
        <w:t>8</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_Toc19140 </w:instrText>
      </w:r>
      <w:r>
        <w:rPr>
          <w:rFonts w:hint="eastAsia"/>
          <w:sz w:val="28"/>
          <w:szCs w:val="36"/>
        </w:rPr>
        <w:fldChar w:fldCharType="separate"/>
      </w:r>
      <w:r>
        <w:rPr>
          <w:rFonts w:hint="default" w:ascii="黑体" w:hAnsi="黑体" w:eastAsia="黑体" w:cs="黑体"/>
          <w:bCs/>
          <w:sz w:val="28"/>
          <w:szCs w:val="44"/>
        </w:rPr>
        <w:t>二、</w:t>
      </w:r>
      <w:r>
        <w:rPr>
          <w:rFonts w:hint="eastAsia" w:ascii="黑体" w:hAnsi="黑体" w:eastAsia="黑体" w:cs="黑体"/>
          <w:bCs/>
          <w:sz w:val="28"/>
          <w:szCs w:val="44"/>
        </w:rPr>
        <w:t>收入决算情况说明</w:t>
      </w:r>
      <w:r>
        <w:rPr>
          <w:sz w:val="28"/>
          <w:szCs w:val="36"/>
        </w:rPr>
        <w:tab/>
      </w:r>
      <w:r>
        <w:rPr>
          <w:sz w:val="28"/>
          <w:szCs w:val="36"/>
        </w:rPr>
        <w:fldChar w:fldCharType="begin"/>
      </w:r>
      <w:r>
        <w:rPr>
          <w:sz w:val="28"/>
          <w:szCs w:val="36"/>
        </w:rPr>
        <w:instrText xml:space="preserve"> PAGEREF _Toc19140 \h </w:instrText>
      </w:r>
      <w:r>
        <w:rPr>
          <w:sz w:val="28"/>
          <w:szCs w:val="36"/>
        </w:rPr>
        <w:fldChar w:fldCharType="separate"/>
      </w:r>
      <w:r>
        <w:rPr>
          <w:sz w:val="28"/>
          <w:szCs w:val="36"/>
        </w:rPr>
        <w:t>8</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_Toc3239 </w:instrText>
      </w:r>
      <w:r>
        <w:rPr>
          <w:rFonts w:hint="eastAsia"/>
          <w:sz w:val="28"/>
          <w:szCs w:val="36"/>
        </w:rPr>
        <w:fldChar w:fldCharType="separate"/>
      </w:r>
      <w:r>
        <w:rPr>
          <w:rFonts w:hint="default" w:ascii="黑体" w:hAnsi="黑体" w:eastAsia="黑体" w:cs="黑体"/>
          <w:bCs/>
          <w:sz w:val="28"/>
          <w:szCs w:val="44"/>
        </w:rPr>
        <w:t>三、</w:t>
      </w:r>
      <w:r>
        <w:rPr>
          <w:rFonts w:hint="eastAsia" w:ascii="黑体" w:hAnsi="黑体" w:eastAsia="黑体" w:cs="黑体"/>
          <w:bCs/>
          <w:sz w:val="28"/>
          <w:szCs w:val="44"/>
        </w:rPr>
        <w:t>支出决算情况说明</w:t>
      </w:r>
      <w:r>
        <w:rPr>
          <w:sz w:val="28"/>
          <w:szCs w:val="36"/>
        </w:rPr>
        <w:tab/>
      </w:r>
      <w:r>
        <w:rPr>
          <w:sz w:val="28"/>
          <w:szCs w:val="36"/>
        </w:rPr>
        <w:fldChar w:fldCharType="begin"/>
      </w:r>
      <w:r>
        <w:rPr>
          <w:sz w:val="28"/>
          <w:szCs w:val="36"/>
        </w:rPr>
        <w:instrText xml:space="preserve"> PAGEREF _Toc3239 \h </w:instrText>
      </w:r>
      <w:r>
        <w:rPr>
          <w:sz w:val="28"/>
          <w:szCs w:val="36"/>
        </w:rPr>
        <w:fldChar w:fldCharType="separate"/>
      </w:r>
      <w:r>
        <w:rPr>
          <w:sz w:val="28"/>
          <w:szCs w:val="36"/>
        </w:rPr>
        <w:t>9</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_Toc27265 </w:instrText>
      </w:r>
      <w:r>
        <w:rPr>
          <w:rFonts w:hint="eastAsia"/>
          <w:sz w:val="28"/>
          <w:szCs w:val="36"/>
        </w:rPr>
        <w:fldChar w:fldCharType="separate"/>
      </w:r>
      <w:r>
        <w:rPr>
          <w:rFonts w:hint="eastAsia" w:ascii="黑体" w:hAnsi="黑体" w:eastAsia="黑体" w:cs="黑体"/>
          <w:bCs/>
          <w:sz w:val="28"/>
          <w:szCs w:val="44"/>
        </w:rPr>
        <w:t>四、财政拨款收入支出决算总体情况说明</w:t>
      </w:r>
      <w:r>
        <w:rPr>
          <w:sz w:val="28"/>
          <w:szCs w:val="36"/>
        </w:rPr>
        <w:tab/>
      </w:r>
      <w:r>
        <w:rPr>
          <w:sz w:val="28"/>
          <w:szCs w:val="36"/>
        </w:rPr>
        <w:fldChar w:fldCharType="begin"/>
      </w:r>
      <w:r>
        <w:rPr>
          <w:sz w:val="28"/>
          <w:szCs w:val="36"/>
        </w:rPr>
        <w:instrText xml:space="preserve"> PAGEREF _Toc27265 \h </w:instrText>
      </w:r>
      <w:r>
        <w:rPr>
          <w:sz w:val="28"/>
          <w:szCs w:val="36"/>
        </w:rPr>
        <w:fldChar w:fldCharType="separate"/>
      </w:r>
      <w:r>
        <w:rPr>
          <w:sz w:val="28"/>
          <w:szCs w:val="36"/>
        </w:rPr>
        <w:t>9</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_Toc9506 </w:instrText>
      </w:r>
      <w:r>
        <w:rPr>
          <w:rFonts w:hint="eastAsia"/>
          <w:sz w:val="28"/>
          <w:szCs w:val="36"/>
        </w:rPr>
        <w:fldChar w:fldCharType="separate"/>
      </w:r>
      <w:r>
        <w:rPr>
          <w:rFonts w:hint="eastAsia" w:ascii="黑体" w:hAnsi="黑体" w:eastAsia="黑体" w:cs="黑体"/>
          <w:bCs/>
          <w:sz w:val="28"/>
          <w:szCs w:val="44"/>
        </w:rPr>
        <w:t>五、一般公共预算财政拨款支出决算情况说明</w:t>
      </w:r>
      <w:r>
        <w:rPr>
          <w:sz w:val="28"/>
          <w:szCs w:val="36"/>
        </w:rPr>
        <w:tab/>
      </w:r>
      <w:r>
        <w:rPr>
          <w:sz w:val="28"/>
          <w:szCs w:val="36"/>
        </w:rPr>
        <w:fldChar w:fldCharType="begin"/>
      </w:r>
      <w:r>
        <w:rPr>
          <w:sz w:val="28"/>
          <w:szCs w:val="36"/>
        </w:rPr>
        <w:instrText xml:space="preserve"> PAGEREF _Toc9506 \h </w:instrText>
      </w:r>
      <w:r>
        <w:rPr>
          <w:sz w:val="28"/>
          <w:szCs w:val="36"/>
        </w:rPr>
        <w:fldChar w:fldCharType="separate"/>
      </w:r>
      <w:r>
        <w:rPr>
          <w:sz w:val="28"/>
          <w:szCs w:val="36"/>
        </w:rPr>
        <w:t>10</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_Toc14477 </w:instrText>
      </w:r>
      <w:r>
        <w:rPr>
          <w:rFonts w:hint="eastAsia"/>
          <w:sz w:val="28"/>
          <w:szCs w:val="36"/>
        </w:rPr>
        <w:fldChar w:fldCharType="separate"/>
      </w:r>
      <w:r>
        <w:rPr>
          <w:rFonts w:hint="eastAsia" w:ascii="黑体" w:hAnsi="黑体" w:eastAsia="黑体" w:cs="黑体"/>
          <w:bCs/>
          <w:kern w:val="2"/>
          <w:sz w:val="28"/>
          <w:szCs w:val="44"/>
          <w:lang w:val="en-US" w:eastAsia="zh-CN" w:bidi="ar-SA"/>
        </w:rPr>
        <w:t>六、一般公共预算财政拨款基本支出决算情况说明</w:t>
      </w:r>
      <w:r>
        <w:rPr>
          <w:sz w:val="28"/>
          <w:szCs w:val="36"/>
        </w:rPr>
        <w:tab/>
      </w:r>
      <w:r>
        <w:rPr>
          <w:sz w:val="28"/>
          <w:szCs w:val="36"/>
        </w:rPr>
        <w:fldChar w:fldCharType="begin"/>
      </w:r>
      <w:r>
        <w:rPr>
          <w:sz w:val="28"/>
          <w:szCs w:val="36"/>
        </w:rPr>
        <w:instrText xml:space="preserve"> PAGEREF _Toc14477 \h </w:instrText>
      </w:r>
      <w:r>
        <w:rPr>
          <w:sz w:val="28"/>
          <w:szCs w:val="36"/>
        </w:rPr>
        <w:fldChar w:fldCharType="separate"/>
      </w:r>
      <w:r>
        <w:rPr>
          <w:sz w:val="28"/>
          <w:szCs w:val="36"/>
        </w:rPr>
        <w:t>13</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_Toc16286 </w:instrText>
      </w:r>
      <w:r>
        <w:rPr>
          <w:rFonts w:hint="eastAsia"/>
          <w:sz w:val="28"/>
          <w:szCs w:val="36"/>
        </w:rPr>
        <w:fldChar w:fldCharType="separate"/>
      </w:r>
      <w:r>
        <w:rPr>
          <w:rFonts w:hint="eastAsia" w:ascii="黑体" w:hAnsi="黑体" w:eastAsia="黑体" w:cs="黑体"/>
          <w:bCs/>
          <w:kern w:val="2"/>
          <w:sz w:val="28"/>
          <w:szCs w:val="44"/>
          <w:lang w:val="en-US" w:eastAsia="zh-CN" w:bidi="ar-SA"/>
        </w:rPr>
        <w:t>七、“三公”经费财政拨款支出决算情况说明</w:t>
      </w:r>
      <w:r>
        <w:rPr>
          <w:sz w:val="28"/>
          <w:szCs w:val="36"/>
        </w:rPr>
        <w:tab/>
      </w:r>
      <w:r>
        <w:rPr>
          <w:sz w:val="28"/>
          <w:szCs w:val="36"/>
        </w:rPr>
        <w:fldChar w:fldCharType="begin"/>
      </w:r>
      <w:r>
        <w:rPr>
          <w:sz w:val="28"/>
          <w:szCs w:val="36"/>
        </w:rPr>
        <w:instrText xml:space="preserve"> PAGEREF _Toc16286 \h </w:instrText>
      </w:r>
      <w:r>
        <w:rPr>
          <w:sz w:val="28"/>
          <w:szCs w:val="36"/>
        </w:rPr>
        <w:fldChar w:fldCharType="separate"/>
      </w:r>
      <w:r>
        <w:rPr>
          <w:sz w:val="28"/>
          <w:szCs w:val="36"/>
        </w:rPr>
        <w:t>13</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_Toc10910 </w:instrText>
      </w:r>
      <w:r>
        <w:rPr>
          <w:rFonts w:hint="eastAsia"/>
          <w:sz w:val="28"/>
          <w:szCs w:val="36"/>
        </w:rPr>
        <w:fldChar w:fldCharType="separate"/>
      </w:r>
      <w:r>
        <w:rPr>
          <w:rFonts w:hint="eastAsia" w:ascii="黑体" w:hAnsi="黑体" w:eastAsia="黑体" w:cs="黑体"/>
          <w:bCs/>
          <w:kern w:val="2"/>
          <w:sz w:val="28"/>
          <w:szCs w:val="44"/>
          <w:lang w:val="en-US" w:eastAsia="zh-CN" w:bidi="ar-SA"/>
        </w:rPr>
        <w:t>八、政府性基金预算支出决算情况说明</w:t>
      </w:r>
      <w:r>
        <w:rPr>
          <w:sz w:val="28"/>
          <w:szCs w:val="36"/>
        </w:rPr>
        <w:tab/>
      </w:r>
      <w:r>
        <w:rPr>
          <w:sz w:val="28"/>
          <w:szCs w:val="36"/>
        </w:rPr>
        <w:fldChar w:fldCharType="begin"/>
      </w:r>
      <w:r>
        <w:rPr>
          <w:sz w:val="28"/>
          <w:szCs w:val="36"/>
        </w:rPr>
        <w:instrText xml:space="preserve"> PAGEREF _Toc10910 \h </w:instrText>
      </w:r>
      <w:r>
        <w:rPr>
          <w:sz w:val="28"/>
          <w:szCs w:val="36"/>
        </w:rPr>
        <w:fldChar w:fldCharType="separate"/>
      </w:r>
      <w:r>
        <w:rPr>
          <w:sz w:val="28"/>
          <w:szCs w:val="36"/>
        </w:rPr>
        <w:t>15</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_Toc22142 </w:instrText>
      </w:r>
      <w:r>
        <w:rPr>
          <w:rFonts w:hint="eastAsia"/>
          <w:sz w:val="28"/>
          <w:szCs w:val="36"/>
        </w:rPr>
        <w:fldChar w:fldCharType="separate"/>
      </w:r>
      <w:r>
        <w:rPr>
          <w:rFonts w:hint="eastAsia" w:ascii="黑体" w:hAnsi="黑体" w:eastAsia="黑体" w:cs="黑体"/>
          <w:bCs/>
          <w:kern w:val="2"/>
          <w:sz w:val="28"/>
          <w:szCs w:val="44"/>
          <w:lang w:val="en-US" w:eastAsia="zh-CN" w:bidi="ar-SA"/>
        </w:rPr>
        <w:t>九、国有资本经营预算支出决算情况说明</w:t>
      </w:r>
      <w:r>
        <w:rPr>
          <w:sz w:val="28"/>
          <w:szCs w:val="36"/>
        </w:rPr>
        <w:tab/>
      </w:r>
      <w:r>
        <w:rPr>
          <w:sz w:val="28"/>
          <w:szCs w:val="36"/>
        </w:rPr>
        <w:fldChar w:fldCharType="begin"/>
      </w:r>
      <w:r>
        <w:rPr>
          <w:sz w:val="28"/>
          <w:szCs w:val="36"/>
        </w:rPr>
        <w:instrText xml:space="preserve"> PAGEREF _Toc22142 \h </w:instrText>
      </w:r>
      <w:r>
        <w:rPr>
          <w:sz w:val="28"/>
          <w:szCs w:val="36"/>
        </w:rPr>
        <w:fldChar w:fldCharType="separate"/>
      </w:r>
      <w:r>
        <w:rPr>
          <w:sz w:val="28"/>
          <w:szCs w:val="36"/>
        </w:rPr>
        <w:t>15</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_Toc28099 </w:instrText>
      </w:r>
      <w:r>
        <w:rPr>
          <w:rFonts w:hint="eastAsia"/>
          <w:sz w:val="28"/>
          <w:szCs w:val="36"/>
        </w:rPr>
        <w:fldChar w:fldCharType="separate"/>
      </w:r>
      <w:r>
        <w:rPr>
          <w:rFonts w:hint="eastAsia" w:ascii="黑体" w:hAnsi="黑体" w:eastAsia="黑体" w:cs="黑体"/>
          <w:bCs/>
          <w:kern w:val="2"/>
          <w:sz w:val="28"/>
          <w:szCs w:val="44"/>
          <w:lang w:val="en-US" w:eastAsia="zh-CN" w:bidi="ar-SA"/>
        </w:rPr>
        <w:t>十、其他重要事项的情况说明</w:t>
      </w:r>
      <w:r>
        <w:rPr>
          <w:sz w:val="28"/>
          <w:szCs w:val="36"/>
        </w:rPr>
        <w:tab/>
      </w:r>
      <w:r>
        <w:rPr>
          <w:sz w:val="28"/>
          <w:szCs w:val="36"/>
        </w:rPr>
        <w:fldChar w:fldCharType="begin"/>
      </w:r>
      <w:r>
        <w:rPr>
          <w:sz w:val="28"/>
          <w:szCs w:val="36"/>
        </w:rPr>
        <w:instrText xml:space="preserve"> PAGEREF _Toc28099 \h </w:instrText>
      </w:r>
      <w:r>
        <w:rPr>
          <w:sz w:val="28"/>
          <w:szCs w:val="36"/>
        </w:rPr>
        <w:fldChar w:fldCharType="separate"/>
      </w:r>
      <w:r>
        <w:rPr>
          <w:sz w:val="28"/>
          <w:szCs w:val="36"/>
        </w:rPr>
        <w:t>15</w:t>
      </w:r>
      <w:r>
        <w:rPr>
          <w:sz w:val="28"/>
          <w:szCs w:val="36"/>
        </w:rPr>
        <w:fldChar w:fldCharType="end"/>
      </w:r>
      <w:r>
        <w:rPr>
          <w:rFonts w:hint="eastAsia"/>
          <w:sz w:val="28"/>
          <w:szCs w:val="36"/>
        </w:rPr>
        <w:fldChar w:fldCharType="end"/>
      </w:r>
    </w:p>
    <w:p>
      <w:pPr>
        <w:pStyle w:val="9"/>
        <w:keepNext w:val="0"/>
        <w:keepLines w:val="0"/>
        <w:pageBreakBefore w:val="0"/>
        <w:widowControl w:val="0"/>
        <w:tabs>
          <w:tab w:val="right" w:leader="middleDot" w:pos="8732"/>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_Toc9154 </w:instrText>
      </w:r>
      <w:r>
        <w:rPr>
          <w:rFonts w:hint="eastAsia"/>
          <w:sz w:val="28"/>
          <w:szCs w:val="36"/>
        </w:rPr>
        <w:fldChar w:fldCharType="separate"/>
      </w:r>
      <w:r>
        <w:rPr>
          <w:rFonts w:hint="eastAsia" w:ascii="黑体" w:hAnsi="黑体" w:eastAsia="黑体" w:cs="黑体"/>
          <w:bCs/>
          <w:sz w:val="28"/>
          <w:szCs w:val="36"/>
        </w:rPr>
        <w:t xml:space="preserve">第三部分 </w:t>
      </w:r>
      <w:r>
        <w:rPr>
          <w:rFonts w:hint="eastAsia" w:ascii="黑体" w:hAnsi="黑体" w:eastAsia="黑体" w:cs="黑体"/>
          <w:bCs/>
          <w:sz w:val="28"/>
          <w:szCs w:val="56"/>
        </w:rPr>
        <w:t>名</w:t>
      </w:r>
      <w:r>
        <w:rPr>
          <w:rFonts w:hint="eastAsia" w:ascii="黑体" w:hAnsi="黑体" w:eastAsia="黑体" w:cs="黑体"/>
          <w:bCs/>
          <w:sz w:val="28"/>
          <w:szCs w:val="36"/>
        </w:rPr>
        <w:t>词</w:t>
      </w:r>
      <w:r>
        <w:rPr>
          <w:rFonts w:hint="eastAsia" w:ascii="黑体" w:hAnsi="黑体" w:eastAsia="黑体" w:cs="黑体"/>
          <w:bCs/>
          <w:sz w:val="28"/>
          <w:szCs w:val="56"/>
        </w:rPr>
        <w:t>解释</w:t>
      </w:r>
      <w:r>
        <w:rPr>
          <w:sz w:val="28"/>
          <w:szCs w:val="36"/>
        </w:rPr>
        <w:tab/>
      </w:r>
      <w:r>
        <w:rPr>
          <w:sz w:val="28"/>
          <w:szCs w:val="36"/>
        </w:rPr>
        <w:fldChar w:fldCharType="begin"/>
      </w:r>
      <w:r>
        <w:rPr>
          <w:sz w:val="28"/>
          <w:szCs w:val="36"/>
        </w:rPr>
        <w:instrText xml:space="preserve"> PAGEREF _Toc9154 \h </w:instrText>
      </w:r>
      <w:r>
        <w:rPr>
          <w:sz w:val="28"/>
          <w:szCs w:val="36"/>
        </w:rPr>
        <w:fldChar w:fldCharType="separate"/>
      </w:r>
      <w:r>
        <w:rPr>
          <w:sz w:val="28"/>
          <w:szCs w:val="36"/>
        </w:rPr>
        <w:t>27</w:t>
      </w:r>
      <w:r>
        <w:rPr>
          <w:sz w:val="28"/>
          <w:szCs w:val="36"/>
        </w:rPr>
        <w:fldChar w:fldCharType="end"/>
      </w:r>
      <w:r>
        <w:rPr>
          <w:rFonts w:hint="eastAsia"/>
          <w:sz w:val="28"/>
          <w:szCs w:val="36"/>
        </w:rPr>
        <w:fldChar w:fldCharType="end"/>
      </w:r>
    </w:p>
    <w:p>
      <w:pPr>
        <w:pStyle w:val="9"/>
        <w:keepNext w:val="0"/>
        <w:keepLines w:val="0"/>
        <w:pageBreakBefore w:val="0"/>
        <w:widowControl w:val="0"/>
        <w:tabs>
          <w:tab w:val="right" w:leader="middleDot" w:pos="8732"/>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_Toc15515 </w:instrText>
      </w:r>
      <w:r>
        <w:rPr>
          <w:rFonts w:hint="eastAsia"/>
          <w:sz w:val="28"/>
          <w:szCs w:val="36"/>
        </w:rPr>
        <w:fldChar w:fldCharType="separate"/>
      </w:r>
      <w:r>
        <w:rPr>
          <w:rFonts w:hint="eastAsia" w:ascii="黑体" w:hAnsi="黑体" w:eastAsia="黑体" w:cs="黑体"/>
          <w:bCs/>
          <w:sz w:val="28"/>
          <w:szCs w:val="56"/>
        </w:rPr>
        <w:t>第</w:t>
      </w:r>
      <w:r>
        <w:rPr>
          <w:rFonts w:hint="eastAsia" w:ascii="黑体" w:hAnsi="黑体" w:eastAsia="黑体" w:cs="黑体"/>
          <w:bCs/>
          <w:sz w:val="28"/>
          <w:szCs w:val="36"/>
        </w:rPr>
        <w:t>四部分 附件</w:t>
      </w:r>
      <w:r>
        <w:rPr>
          <w:sz w:val="28"/>
          <w:szCs w:val="36"/>
        </w:rPr>
        <w:tab/>
      </w:r>
      <w:r>
        <w:rPr>
          <w:sz w:val="28"/>
          <w:szCs w:val="36"/>
        </w:rPr>
        <w:fldChar w:fldCharType="begin"/>
      </w:r>
      <w:r>
        <w:rPr>
          <w:sz w:val="28"/>
          <w:szCs w:val="36"/>
        </w:rPr>
        <w:instrText xml:space="preserve"> PAGEREF _Toc15515 \h </w:instrText>
      </w:r>
      <w:r>
        <w:rPr>
          <w:sz w:val="28"/>
          <w:szCs w:val="36"/>
        </w:rPr>
        <w:fldChar w:fldCharType="separate"/>
      </w:r>
      <w:r>
        <w:rPr>
          <w:sz w:val="28"/>
          <w:szCs w:val="36"/>
        </w:rPr>
        <w:t>29</w:t>
      </w:r>
      <w:r>
        <w:rPr>
          <w:sz w:val="28"/>
          <w:szCs w:val="36"/>
        </w:rPr>
        <w:fldChar w:fldCharType="end"/>
      </w:r>
      <w:r>
        <w:rPr>
          <w:rFonts w:hint="eastAsia"/>
          <w:sz w:val="28"/>
          <w:szCs w:val="36"/>
        </w:rPr>
        <w:fldChar w:fldCharType="end"/>
      </w:r>
    </w:p>
    <w:p>
      <w:pPr>
        <w:pStyle w:val="9"/>
        <w:keepNext w:val="0"/>
        <w:keepLines w:val="0"/>
        <w:pageBreakBefore w:val="0"/>
        <w:widowControl w:val="0"/>
        <w:tabs>
          <w:tab w:val="right" w:leader="middleDot" w:pos="8732"/>
        </w:tabs>
        <w:kinsoku/>
        <w:wordWrap/>
        <w:overflowPunct/>
        <w:topLinePunct w:val="0"/>
        <w:autoSpaceDE/>
        <w:autoSpaceDN/>
        <w:bidi w:val="0"/>
        <w:adjustRightInd/>
        <w:snapToGrid/>
        <w:spacing w:line="400" w:lineRule="exact"/>
        <w:textAlignment w:val="auto"/>
        <w:rPr>
          <w:sz w:val="28"/>
          <w:szCs w:val="36"/>
        </w:rPr>
      </w:pPr>
      <w:r>
        <w:rPr>
          <w:rFonts w:hint="eastAsia"/>
          <w:sz w:val="28"/>
          <w:szCs w:val="36"/>
        </w:rPr>
        <w:fldChar w:fldCharType="begin"/>
      </w:r>
      <w:r>
        <w:rPr>
          <w:rFonts w:hint="eastAsia"/>
          <w:sz w:val="28"/>
          <w:szCs w:val="36"/>
        </w:rPr>
        <w:instrText xml:space="preserve"> HYPERLINK \l _Toc5715 </w:instrText>
      </w:r>
      <w:r>
        <w:rPr>
          <w:rFonts w:hint="eastAsia"/>
          <w:sz w:val="28"/>
          <w:szCs w:val="36"/>
        </w:rPr>
        <w:fldChar w:fldCharType="separate"/>
      </w:r>
      <w:r>
        <w:rPr>
          <w:rFonts w:hint="eastAsia" w:ascii="黑体" w:hAnsi="黑体" w:eastAsia="黑体"/>
          <w:bCs/>
          <w:sz w:val="28"/>
          <w:szCs w:val="56"/>
        </w:rPr>
        <w:t>第</w:t>
      </w:r>
      <w:r>
        <w:rPr>
          <w:rFonts w:hint="eastAsia" w:ascii="黑体" w:hAnsi="黑体" w:eastAsia="黑体"/>
          <w:bCs/>
          <w:sz w:val="28"/>
          <w:szCs w:val="36"/>
        </w:rPr>
        <w:t>五部分 附表</w:t>
      </w:r>
      <w:r>
        <w:rPr>
          <w:sz w:val="28"/>
          <w:szCs w:val="36"/>
        </w:rPr>
        <w:tab/>
      </w:r>
      <w:r>
        <w:rPr>
          <w:sz w:val="28"/>
          <w:szCs w:val="36"/>
        </w:rPr>
        <w:fldChar w:fldCharType="begin"/>
      </w:r>
      <w:r>
        <w:rPr>
          <w:sz w:val="28"/>
          <w:szCs w:val="36"/>
        </w:rPr>
        <w:instrText xml:space="preserve"> PAGEREF _Toc5715 \h </w:instrText>
      </w:r>
      <w:r>
        <w:rPr>
          <w:sz w:val="28"/>
          <w:szCs w:val="36"/>
        </w:rPr>
        <w:fldChar w:fldCharType="separate"/>
      </w:r>
      <w:r>
        <w:rPr>
          <w:sz w:val="28"/>
          <w:szCs w:val="36"/>
        </w:rPr>
        <w:t>47</w:t>
      </w:r>
      <w:r>
        <w:rPr>
          <w:sz w:val="28"/>
          <w:szCs w:val="36"/>
        </w:rPr>
        <w:fldChar w:fldCharType="end"/>
      </w:r>
      <w:r>
        <w:rPr>
          <w:rFonts w:hint="eastAsia"/>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_Toc16400 </w:instrText>
      </w:r>
      <w:r>
        <w:rPr>
          <w:rFonts w:hint="eastAsia" w:ascii="黑体" w:hAnsi="黑体" w:eastAsia="黑体" w:cs="黑体"/>
          <w:sz w:val="28"/>
          <w:szCs w:val="36"/>
        </w:rPr>
        <w:fldChar w:fldCharType="separate"/>
      </w:r>
      <w:r>
        <w:rPr>
          <w:rFonts w:hint="eastAsia" w:ascii="黑体" w:hAnsi="黑体" w:eastAsia="黑体" w:cs="黑体"/>
          <w:sz w:val="28"/>
          <w:szCs w:val="36"/>
        </w:rPr>
        <w:t>一、收</w:t>
      </w:r>
      <w:r>
        <w:rPr>
          <w:rFonts w:hint="eastAsia" w:ascii="黑体" w:hAnsi="黑体" w:eastAsia="黑体" w:cs="黑体"/>
          <w:bCs w:val="0"/>
          <w:sz w:val="28"/>
          <w:szCs w:val="36"/>
        </w:rPr>
        <w:t>入支出决算总表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_Toc16400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_Toc11326 </w:instrText>
      </w:r>
      <w:r>
        <w:rPr>
          <w:rFonts w:hint="eastAsia" w:ascii="黑体" w:hAnsi="黑体" w:eastAsia="黑体" w:cs="黑体"/>
          <w:sz w:val="28"/>
          <w:szCs w:val="36"/>
        </w:rPr>
        <w:fldChar w:fldCharType="separate"/>
      </w:r>
      <w:r>
        <w:rPr>
          <w:rFonts w:hint="eastAsia" w:ascii="黑体" w:hAnsi="黑体" w:eastAsia="黑体" w:cs="黑体"/>
          <w:sz w:val="28"/>
          <w:szCs w:val="36"/>
        </w:rPr>
        <w:t>二、收</w:t>
      </w:r>
      <w:r>
        <w:rPr>
          <w:rFonts w:hint="eastAsia" w:ascii="黑体" w:hAnsi="黑体" w:eastAsia="黑体" w:cs="黑体"/>
          <w:bCs w:val="0"/>
          <w:sz w:val="28"/>
          <w:szCs w:val="36"/>
        </w:rPr>
        <w:t>入决算表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_Toc11326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_Toc15283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三、</w:t>
      </w:r>
      <w:r>
        <w:rPr>
          <w:rFonts w:hint="eastAsia" w:ascii="黑体" w:hAnsi="黑体" w:eastAsia="黑体" w:cs="黑体"/>
          <w:sz w:val="28"/>
          <w:szCs w:val="36"/>
        </w:rPr>
        <w:t>支</w:t>
      </w:r>
      <w:r>
        <w:rPr>
          <w:rFonts w:hint="eastAsia" w:ascii="黑体" w:hAnsi="黑体" w:eastAsia="黑体" w:cs="黑体"/>
          <w:bCs w:val="0"/>
          <w:sz w:val="28"/>
          <w:szCs w:val="36"/>
        </w:rPr>
        <w:t>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_Toc15283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_Toc8396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四、</w:t>
      </w:r>
      <w:r>
        <w:rPr>
          <w:rFonts w:hint="eastAsia" w:ascii="黑体" w:hAnsi="黑体" w:eastAsia="黑体" w:cs="黑体"/>
          <w:sz w:val="28"/>
          <w:szCs w:val="36"/>
        </w:rPr>
        <w:t>财</w:t>
      </w:r>
      <w:r>
        <w:rPr>
          <w:rFonts w:hint="eastAsia" w:ascii="黑体" w:hAnsi="黑体" w:eastAsia="黑体" w:cs="黑体"/>
          <w:bCs w:val="0"/>
          <w:sz w:val="28"/>
          <w:szCs w:val="36"/>
        </w:rPr>
        <w:t>政拨款收入支出决算总表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_Toc8396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_Toc18631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五、</w:t>
      </w:r>
      <w:r>
        <w:rPr>
          <w:rFonts w:hint="eastAsia" w:ascii="黑体" w:hAnsi="黑体" w:eastAsia="黑体" w:cs="黑体"/>
          <w:sz w:val="28"/>
          <w:szCs w:val="36"/>
        </w:rPr>
        <w:t>财</w:t>
      </w:r>
      <w:r>
        <w:rPr>
          <w:rFonts w:hint="eastAsia" w:ascii="黑体" w:hAnsi="黑体" w:eastAsia="黑体" w:cs="黑体"/>
          <w:bCs w:val="0"/>
          <w:sz w:val="28"/>
          <w:szCs w:val="36"/>
        </w:rPr>
        <w:t>政拨款支出决算明细表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_Toc18631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_Toc22002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六、</w:t>
      </w:r>
      <w:r>
        <w:rPr>
          <w:rFonts w:hint="eastAsia" w:ascii="黑体" w:hAnsi="黑体" w:eastAsia="黑体" w:cs="黑体"/>
          <w:sz w:val="28"/>
          <w:szCs w:val="36"/>
        </w:rPr>
        <w:t>一</w:t>
      </w:r>
      <w:r>
        <w:rPr>
          <w:rFonts w:hint="eastAsia" w:ascii="黑体" w:hAnsi="黑体" w:eastAsia="黑体" w:cs="黑体"/>
          <w:bCs w:val="0"/>
          <w:sz w:val="28"/>
          <w:szCs w:val="36"/>
        </w:rPr>
        <w:t>般公共预算财政拨款支出决算表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_Toc22002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_Toc15943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七、</w:t>
      </w:r>
      <w:r>
        <w:rPr>
          <w:rFonts w:hint="eastAsia" w:ascii="黑体" w:hAnsi="黑体" w:eastAsia="黑体" w:cs="黑体"/>
          <w:sz w:val="28"/>
          <w:szCs w:val="36"/>
        </w:rPr>
        <w:t>一</w:t>
      </w:r>
      <w:r>
        <w:rPr>
          <w:rFonts w:hint="eastAsia" w:ascii="黑体" w:hAnsi="黑体" w:eastAsia="黑体" w:cs="黑体"/>
          <w:bCs w:val="0"/>
          <w:sz w:val="28"/>
          <w:szCs w:val="36"/>
        </w:rPr>
        <w:t>般公共预算财政拨款支出决算明细表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_Toc15943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_Toc14390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八、</w:t>
      </w:r>
      <w:r>
        <w:rPr>
          <w:rFonts w:hint="eastAsia" w:ascii="黑体" w:hAnsi="黑体" w:eastAsia="黑体" w:cs="黑体"/>
          <w:sz w:val="28"/>
          <w:szCs w:val="36"/>
        </w:rPr>
        <w:t>一</w:t>
      </w:r>
      <w:r>
        <w:rPr>
          <w:rFonts w:hint="eastAsia" w:ascii="黑体" w:hAnsi="黑体" w:eastAsia="黑体" w:cs="黑体"/>
          <w:bCs w:val="0"/>
          <w:sz w:val="28"/>
          <w:szCs w:val="36"/>
        </w:rPr>
        <w:t>般公共预算财政拨款基本支出决算表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_Toc14390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_Toc19022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九、</w:t>
      </w:r>
      <w:r>
        <w:rPr>
          <w:rFonts w:hint="eastAsia" w:ascii="黑体" w:hAnsi="黑体" w:eastAsia="黑体" w:cs="黑体"/>
          <w:sz w:val="28"/>
          <w:szCs w:val="36"/>
        </w:rPr>
        <w:t>一</w:t>
      </w:r>
      <w:r>
        <w:rPr>
          <w:rFonts w:hint="eastAsia" w:ascii="黑体" w:hAnsi="黑体" w:eastAsia="黑体" w:cs="黑体"/>
          <w:bCs w:val="0"/>
          <w:sz w:val="28"/>
          <w:szCs w:val="36"/>
        </w:rPr>
        <w:t>般公共预算财政拨款项目支出决算表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_Toc19022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_Toc2632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w:t>
      </w:r>
      <w:r>
        <w:rPr>
          <w:rFonts w:hint="eastAsia" w:ascii="黑体" w:hAnsi="黑体" w:eastAsia="黑体" w:cs="黑体"/>
          <w:sz w:val="28"/>
          <w:szCs w:val="36"/>
        </w:rPr>
        <w:t>一</w:t>
      </w:r>
      <w:r>
        <w:rPr>
          <w:rFonts w:hint="eastAsia" w:ascii="黑体" w:hAnsi="黑体" w:eastAsia="黑体" w:cs="黑体"/>
          <w:bCs w:val="0"/>
          <w:sz w:val="28"/>
          <w:szCs w:val="36"/>
        </w:rPr>
        <w:t>般公共预算财政拨款“三公”经费支出决算表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_Toc2632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_Toc17863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十一、</w:t>
      </w:r>
      <w:r>
        <w:rPr>
          <w:rFonts w:hint="eastAsia" w:ascii="黑体" w:hAnsi="黑体" w:eastAsia="黑体" w:cs="黑体"/>
          <w:sz w:val="28"/>
          <w:szCs w:val="36"/>
        </w:rPr>
        <w:t>政</w:t>
      </w:r>
      <w:r>
        <w:rPr>
          <w:rFonts w:hint="eastAsia" w:ascii="黑体" w:hAnsi="黑体" w:eastAsia="黑体" w:cs="黑体"/>
          <w:bCs w:val="0"/>
          <w:sz w:val="28"/>
          <w:szCs w:val="36"/>
        </w:rPr>
        <w:t>府性基金预算财政拨款收入支出决算表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_Toc17863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_Toc18042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十二、</w:t>
      </w:r>
      <w:r>
        <w:rPr>
          <w:rFonts w:hint="eastAsia" w:ascii="黑体" w:hAnsi="黑体" w:eastAsia="黑体" w:cs="黑体"/>
          <w:sz w:val="28"/>
          <w:szCs w:val="36"/>
        </w:rPr>
        <w:t>政</w:t>
      </w:r>
      <w:r>
        <w:rPr>
          <w:rFonts w:hint="eastAsia" w:ascii="黑体" w:hAnsi="黑体" w:eastAsia="黑体" w:cs="黑体"/>
          <w:bCs w:val="0"/>
          <w:sz w:val="28"/>
          <w:szCs w:val="36"/>
        </w:rPr>
        <w:t>府性基金预算财政拨款“三公”经费支出决算表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_Toc18042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_Toc31359 </w:instrText>
      </w:r>
      <w:r>
        <w:rPr>
          <w:rFonts w:hint="eastAsia" w:ascii="黑体" w:hAnsi="黑体" w:eastAsia="黑体" w:cs="黑体"/>
          <w:sz w:val="28"/>
          <w:szCs w:val="36"/>
        </w:rPr>
        <w:fldChar w:fldCharType="separate"/>
      </w:r>
      <w:r>
        <w:rPr>
          <w:rFonts w:hint="eastAsia" w:ascii="黑体" w:hAnsi="黑体" w:eastAsia="黑体" w:cs="黑体"/>
          <w:bCs w:val="0"/>
          <w:sz w:val="28"/>
          <w:szCs w:val="36"/>
        </w:rPr>
        <w:t>十三、</w:t>
      </w:r>
      <w:r>
        <w:rPr>
          <w:rFonts w:hint="eastAsia" w:ascii="黑体" w:hAnsi="黑体" w:eastAsia="黑体" w:cs="黑体"/>
          <w:sz w:val="28"/>
          <w:szCs w:val="36"/>
        </w:rPr>
        <w:t>国</w:t>
      </w:r>
      <w:r>
        <w:rPr>
          <w:rFonts w:hint="eastAsia" w:ascii="黑体" w:hAnsi="黑体" w:eastAsia="黑体" w:cs="黑体"/>
          <w:bCs w:val="0"/>
          <w:sz w:val="28"/>
          <w:szCs w:val="36"/>
        </w:rPr>
        <w:t>有资本经营预算支出决算</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_Toc31359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11"/>
        <w:keepNext w:val="0"/>
        <w:keepLines w:val="0"/>
        <w:pageBreakBefore w:val="0"/>
        <w:widowControl w:val="0"/>
        <w:tabs>
          <w:tab w:val="right" w:leader="middleDot" w:pos="8732"/>
          <w:tab w:val="clear" w:pos="8296"/>
        </w:tabs>
        <w:kinsoku/>
        <w:wordWrap/>
        <w:overflowPunct/>
        <w:topLinePunct w:val="0"/>
        <w:autoSpaceDE/>
        <w:autoSpaceDN/>
        <w:bidi w:val="0"/>
        <w:adjustRightInd/>
        <w:snapToGrid/>
        <w:spacing w:line="400" w:lineRule="exact"/>
        <w:textAlignment w:val="auto"/>
        <w:rPr>
          <w:sz w:val="28"/>
          <w:szCs w:val="36"/>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_Toc3331 </w:instrText>
      </w:r>
      <w:r>
        <w:rPr>
          <w:rFonts w:hint="eastAsia" w:ascii="黑体" w:hAnsi="黑体" w:eastAsia="黑体" w:cs="黑体"/>
          <w:sz w:val="28"/>
          <w:szCs w:val="36"/>
        </w:rPr>
        <w:fldChar w:fldCharType="separate"/>
      </w:r>
      <w:r>
        <w:rPr>
          <w:rFonts w:hint="eastAsia" w:ascii="黑体" w:hAnsi="黑体" w:eastAsia="黑体" w:cs="黑体"/>
          <w:bCs w:val="0"/>
          <w:sz w:val="28"/>
          <w:szCs w:val="36"/>
          <w:lang w:eastAsia="zh-CN"/>
        </w:rPr>
        <w:t>十四、国有资本经营预算财政拨款支出决算表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_Toc3331 \h </w:instrText>
      </w:r>
      <w:r>
        <w:rPr>
          <w:rFonts w:hint="eastAsia" w:ascii="黑体" w:hAnsi="黑体" w:eastAsia="黑体" w:cs="黑体"/>
          <w:sz w:val="28"/>
          <w:szCs w:val="36"/>
        </w:rPr>
        <w:fldChar w:fldCharType="separate"/>
      </w:r>
      <w:r>
        <w:rPr>
          <w:rFonts w:hint="eastAsia" w:ascii="黑体" w:hAnsi="黑体" w:eastAsia="黑体" w:cs="黑体"/>
          <w:sz w:val="28"/>
          <w:szCs w:val="36"/>
        </w:rPr>
        <w:t>47</w:t>
      </w:r>
      <w:r>
        <w:rPr>
          <w:rFonts w:hint="eastAsia" w:ascii="黑体" w:hAnsi="黑体" w:eastAsia="黑体" w:cs="黑体"/>
          <w:sz w:val="28"/>
          <w:szCs w:val="36"/>
        </w:rPr>
        <w:fldChar w:fldCharType="end"/>
      </w:r>
      <w:r>
        <w:rPr>
          <w:rFonts w:hint="eastAsia" w:ascii="黑体" w:hAnsi="黑体" w:eastAsia="黑体" w:cs="黑体"/>
          <w:sz w:val="28"/>
          <w:szCs w:val="36"/>
        </w:rPr>
        <w:fldChar w:fldCharType="end"/>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sz w:val="44"/>
          <w:szCs w:val="44"/>
        </w:rPr>
      </w:pPr>
      <w:r>
        <w:rPr>
          <w:rFonts w:hint="eastAsia"/>
          <w:sz w:val="44"/>
          <w:szCs w:val="44"/>
        </w:rPr>
        <w:fldChar w:fldCharType="end"/>
      </w:r>
    </w:p>
    <w:p>
      <w:pPr>
        <w:pStyle w:val="4"/>
        <w:pageBreakBefore w:val="0"/>
        <w:kinsoku/>
        <w:wordWrap/>
        <w:overflowPunct/>
        <w:topLinePunct w:val="0"/>
        <w:bidi w:val="0"/>
        <w:spacing w:line="560" w:lineRule="exact"/>
        <w:jc w:val="center"/>
        <w:rPr>
          <w:rFonts w:hint="eastAsia" w:ascii="黑体" w:hAnsi="黑体" w:eastAsia="黑体" w:cs="黑体"/>
          <w:b/>
          <w:bCs w:val="0"/>
          <w:color w:val="000000"/>
          <w:sz w:val="32"/>
          <w:szCs w:val="32"/>
        </w:rPr>
      </w:pPr>
      <w:bookmarkStart w:id="21" w:name="_Toc31326"/>
      <w:r>
        <w:rPr>
          <w:rFonts w:hint="eastAsia" w:ascii="黑体" w:hAnsi="黑体" w:eastAsia="黑体" w:cs="黑体"/>
          <w:b/>
          <w:bCs w:val="0"/>
        </w:rPr>
        <w:t>第</w:t>
      </w:r>
      <w:r>
        <w:rPr>
          <w:rFonts w:hint="eastAsia" w:ascii="黑体" w:hAnsi="黑体" w:eastAsia="黑体" w:cs="黑体"/>
          <w:b/>
          <w:bCs w:val="0"/>
          <w:lang w:eastAsia="zh-CN"/>
        </w:rPr>
        <w:t>一</w:t>
      </w:r>
      <w:r>
        <w:rPr>
          <w:rFonts w:hint="eastAsia" w:ascii="黑体" w:hAnsi="黑体" w:eastAsia="黑体" w:cs="黑体"/>
          <w:b/>
          <w:bCs w:val="0"/>
        </w:rPr>
        <w:t xml:space="preserve">部分 </w:t>
      </w:r>
      <w:r>
        <w:rPr>
          <w:rFonts w:hint="eastAsia" w:ascii="黑体" w:hAnsi="黑体" w:eastAsia="黑体" w:cs="黑体"/>
          <w:b/>
          <w:bCs w:val="0"/>
          <w:lang w:val="en-US" w:eastAsia="zh-CN"/>
        </w:rPr>
        <w:t>部门概况</w:t>
      </w:r>
      <w:bookmarkEnd w:id="0"/>
      <w:bookmarkEnd w:id="21"/>
    </w:p>
    <w:p>
      <w:pPr>
        <w:pStyle w:val="5"/>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840" w:leftChars="0"/>
        <w:textAlignment w:val="auto"/>
        <w:outlineLvl w:val="0"/>
        <w:rPr>
          <w:rFonts w:hint="eastAsia" w:ascii="黑体" w:hAnsi="黑体" w:eastAsia="黑体" w:cs="黑体"/>
          <w:b/>
          <w:bCs w:val="0"/>
          <w:color w:val="000000"/>
          <w:sz w:val="32"/>
          <w:szCs w:val="32"/>
        </w:rPr>
      </w:pPr>
      <w:bookmarkStart w:id="22" w:name="_Toc5405"/>
      <w:bookmarkStart w:id="23" w:name="_Toc24141"/>
      <w:r>
        <w:rPr>
          <w:rFonts w:hint="eastAsia" w:ascii="黑体" w:hAnsi="黑体" w:eastAsia="黑体" w:cs="黑体"/>
          <w:b/>
          <w:bCs w:val="0"/>
          <w:color w:val="000000"/>
        </w:rPr>
        <w:t>基</w:t>
      </w:r>
      <w:r>
        <w:rPr>
          <w:rStyle w:val="16"/>
          <w:rFonts w:hint="eastAsia" w:ascii="黑体" w:hAnsi="黑体" w:eastAsia="黑体" w:cs="黑体"/>
          <w:b/>
          <w:bCs w:val="0"/>
        </w:rPr>
        <w:t>本职能及主要工作</w:t>
      </w:r>
      <w:bookmarkEnd w:id="1"/>
      <w:bookmarkEnd w:id="2"/>
      <w:bookmarkEnd w:id="3"/>
      <w:bookmarkEnd w:id="22"/>
      <w:bookmarkEnd w:id="23"/>
      <w:bookmarkStart w:id="24" w:name="_Toc15377198"/>
      <w:bookmarkStart w:id="25" w:name="_Toc15378445"/>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2" w:firstLineChars="200"/>
        <w:textAlignment w:val="auto"/>
        <w:rPr>
          <w:rFonts w:hint="eastAsia" w:ascii="楷体" w:hAnsi="楷体" w:eastAsia="楷体" w:cs="楷体"/>
          <w:b/>
          <w:bCs/>
          <w:color w:val="000000"/>
          <w:sz w:val="32"/>
          <w:szCs w:val="32"/>
        </w:rPr>
      </w:pPr>
      <w:bookmarkStart w:id="26" w:name="_Toc9197"/>
      <w:bookmarkStart w:id="27" w:name="_Toc24977"/>
      <w:r>
        <w:rPr>
          <w:rFonts w:hint="eastAsia" w:ascii="楷体" w:hAnsi="楷体" w:eastAsia="楷体" w:cs="楷体"/>
          <w:b/>
          <w:bCs/>
          <w:color w:val="000000"/>
          <w:sz w:val="32"/>
          <w:szCs w:val="32"/>
        </w:rPr>
        <w:t>（一）主要职能</w:t>
      </w:r>
      <w:bookmarkEnd w:id="24"/>
      <w:bookmarkEnd w:id="25"/>
      <w:bookmarkEnd w:id="26"/>
      <w:bookmarkEnd w:id="27"/>
      <w:bookmarkStart w:id="28" w:name="_Toc15377199"/>
      <w:bookmarkStart w:id="29" w:name="_Toc15378446"/>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的路线方针政策和有关档案管理的法律、法规、规章制度，做好档案“收、管、用”，维护档案完整与安全，保守党和国家秘密。依法接收市级各机关、团体、事业单位、国有企业及其下属单位的档案；</w:t>
      </w:r>
      <w:r>
        <w:rPr>
          <w:rFonts w:hint="eastAsia" w:ascii="仿宋_GB2312" w:hAnsi="仿宋_GB2312" w:eastAsia="仿宋_GB2312" w:cs="仿宋_GB2312"/>
          <w:sz w:val="32"/>
          <w:szCs w:val="32"/>
          <w:lang w:eastAsia="zh-CN"/>
        </w:rPr>
        <w:t>接收</w:t>
      </w:r>
      <w:r>
        <w:rPr>
          <w:rFonts w:hint="eastAsia" w:ascii="仿宋_GB2312" w:hAnsi="仿宋_GB2312" w:eastAsia="仿宋_GB2312" w:cs="仿宋_GB2312"/>
          <w:sz w:val="32"/>
          <w:szCs w:val="32"/>
        </w:rPr>
        <w:t>市级重大活动等形成的档案；征集对国家和社会具有长久保存价值的重要档案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资料，开展主动建档存史工作。组织实施馆藏档案整理、鉴定、保管、保护、解密、划控、开放和销毁工作。负责馆藏档案信息化，</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数字档案馆</w:t>
      </w:r>
      <w:r>
        <w:rPr>
          <w:rFonts w:hint="eastAsia" w:ascii="仿宋_GB2312" w:hAnsi="仿宋_GB2312" w:eastAsia="仿宋_GB2312" w:cs="仿宋_GB2312"/>
          <w:sz w:val="32"/>
          <w:szCs w:val="32"/>
          <w:lang w:eastAsia="zh-CN"/>
        </w:rPr>
        <w:t>试点相关工作</w:t>
      </w:r>
      <w:r>
        <w:rPr>
          <w:rFonts w:hint="eastAsia" w:ascii="仿宋_GB2312" w:hAnsi="仿宋_GB2312" w:eastAsia="仿宋_GB2312" w:cs="仿宋_GB2312"/>
          <w:sz w:val="32"/>
          <w:szCs w:val="32"/>
        </w:rPr>
        <w:t>和市级档案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资料目录中心建设，依法接收电子档案，建立电子文件备份中心，</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数字档案资源安全。开展档案利用工作，依法向社会提供档案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和已公开的现行文件，开展民生档案等跨馆查档服务。负责馆藏档案资源开发工作，开展档案资政服务，编研档案史料，开发档案文化产品，举办档案展览，建设管理爱国主义教育基地，开展档案社会宣传教育。</w:t>
      </w:r>
      <w:r>
        <w:rPr>
          <w:rFonts w:hint="eastAsia" w:ascii="仿宋_GB2312" w:hAnsi="仿宋_GB2312" w:eastAsia="仿宋_GB2312" w:cs="仿宋_GB2312"/>
          <w:sz w:val="32"/>
          <w:szCs w:val="32"/>
          <w:lang w:eastAsia="zh-CN"/>
        </w:rPr>
        <w:t>对县（区）档案馆进行业务指导。</w:t>
      </w:r>
      <w:r>
        <w:rPr>
          <w:rFonts w:hint="eastAsia" w:ascii="仿宋_GB2312" w:hAnsi="仿宋_GB2312" w:eastAsia="仿宋_GB2312" w:cs="仿宋_GB2312"/>
          <w:sz w:val="32"/>
          <w:szCs w:val="32"/>
        </w:rPr>
        <w:t>组织开展档案学术研究、馆际合作和业务交流。完成市委、市政府交办的其他任务。</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2" w:firstLineChars="200"/>
        <w:textAlignment w:val="auto"/>
        <w:rPr>
          <w:rFonts w:hint="eastAsia" w:ascii="楷体" w:hAnsi="楷体" w:eastAsia="楷体" w:cs="楷体"/>
          <w:b/>
          <w:bCs/>
          <w:color w:val="000000"/>
          <w:sz w:val="32"/>
          <w:szCs w:val="32"/>
        </w:rPr>
      </w:pPr>
      <w:bookmarkStart w:id="30" w:name="_Toc18679"/>
      <w:bookmarkStart w:id="31" w:name="_Toc10580"/>
      <w:r>
        <w:rPr>
          <w:rFonts w:hint="eastAsia" w:ascii="楷体" w:hAnsi="楷体" w:eastAsia="楷体" w:cs="楷体"/>
          <w:b/>
          <w:bCs/>
          <w:color w:val="000000"/>
          <w:sz w:val="32"/>
          <w:szCs w:val="32"/>
        </w:rPr>
        <w:t>（二）</w:t>
      </w:r>
      <w:r>
        <w:rPr>
          <w:rFonts w:hint="eastAsia" w:ascii="楷体" w:hAnsi="楷体" w:eastAsia="楷体" w:cs="楷体"/>
          <w:b/>
          <w:bCs/>
          <w:color w:val="000000"/>
          <w:sz w:val="32"/>
          <w:szCs w:val="32"/>
          <w:lang w:val="en-US" w:eastAsia="zh-CN"/>
        </w:rPr>
        <w:t>2020</w:t>
      </w:r>
      <w:r>
        <w:rPr>
          <w:rFonts w:hint="eastAsia" w:ascii="楷体" w:hAnsi="楷体" w:eastAsia="楷体" w:cs="楷体"/>
          <w:b/>
          <w:bCs/>
          <w:color w:val="000000"/>
          <w:sz w:val="32"/>
          <w:szCs w:val="32"/>
        </w:rPr>
        <w:t>年重点工作完成情况</w:t>
      </w:r>
      <w:bookmarkEnd w:id="28"/>
      <w:bookmarkEnd w:id="29"/>
      <w:bookmarkEnd w:id="30"/>
      <w:bookmarkEnd w:id="31"/>
    </w:p>
    <w:p>
      <w:pPr>
        <w:spacing w:line="560" w:lineRule="exact"/>
        <w:ind w:firstLine="642" w:firstLineChars="200"/>
        <w:rPr>
          <w:rFonts w:hint="eastAsia" w:ascii="仿宋_GB2312" w:hAnsi="仿宋_GB2312" w:eastAsia="仿宋_GB2312" w:cs="仿宋_GB2312"/>
          <w:sz w:val="32"/>
          <w:szCs w:val="32"/>
        </w:rPr>
      </w:pPr>
      <w:bookmarkStart w:id="32" w:name="_Toc15377200"/>
      <w:bookmarkStart w:id="33" w:name="_Toc15396601"/>
      <w:bookmarkStart w:id="34" w:name="_Toc2584"/>
      <w:r>
        <w:rPr>
          <w:rFonts w:hint="eastAsia" w:ascii="楷体_GB2312" w:hAnsi="楷体" w:eastAsia="楷体_GB2312" w:cs="方正楷体简体"/>
          <w:b/>
          <w:bCs/>
          <w:sz w:val="32"/>
          <w:szCs w:val="32"/>
          <w:lang w:val="en-US" w:eastAsia="zh-CN"/>
        </w:rPr>
        <w:t>1.</w:t>
      </w:r>
      <w:r>
        <w:rPr>
          <w:rFonts w:hint="eastAsia" w:ascii="楷体_GB2312" w:hAnsi="楷体" w:eastAsia="楷体_GB2312" w:cs="方正楷体简体"/>
          <w:b/>
          <w:bCs/>
          <w:sz w:val="32"/>
          <w:szCs w:val="32"/>
        </w:rPr>
        <w:t>持之以恒抓学习，不断提升政治素养，牢牢把握正确前进方向</w:t>
      </w:r>
      <w:r>
        <w:rPr>
          <w:rFonts w:hint="eastAsia" w:ascii="楷体_GB2312" w:hAnsi="楷体" w:eastAsia="楷体_GB2312" w:cs="方正楷体简体"/>
          <w:b/>
          <w:bCs/>
          <w:sz w:val="32"/>
          <w:szCs w:val="32"/>
          <w:lang w:eastAsia="zh-CN"/>
        </w:rPr>
        <w:t>。</w:t>
      </w:r>
      <w:r>
        <w:rPr>
          <w:rFonts w:hint="eastAsia" w:ascii="仿宋_GB2312" w:hAnsi="仿宋_GB2312" w:eastAsia="仿宋_GB2312" w:cs="仿宋_GB2312"/>
          <w:sz w:val="32"/>
          <w:szCs w:val="32"/>
        </w:rPr>
        <w:t>深入学习贯彻习近平新时代中国特色社会主义思想和党的十九大、十九届二中、三中、四中、五中全会精神，认真领会落实习近平总书记对四川工作以及档案工作系列重要指示批示精神，及时跟进学习贯彻党中央和省委、市委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深化“不忘初心、牢记使命”主题教育成果，落实馆领导班子意识形态工作主体责任和中心组学习制度，坚持在学习教育中强化党性修养、坚定政治立场，增强“四个意识”、坚定“四个自信”、做到“两个维护”，自觉在思想上政治上行动上同以习近平同志为核心的党中央保持高度一致，确保各项工作始终沿着正确方向前进。深入贯彻省委十一届六次、七次、八次全会和市委七届十一次、十二次、十三次全会精神，始终把工作摆在全市大局中去谋划推动，切实推进“三个一、三个三”兴广战略部署，积极开展政治、经济、业务知识等方面学习，从思想上更加认知职责、使命和担当的内涵，激发全体干部职工积极推进新时期档案事业转型升级高质量发展。</w:t>
      </w:r>
    </w:p>
    <w:p>
      <w:pPr>
        <w:spacing w:line="560" w:lineRule="exact"/>
        <w:ind w:firstLine="642" w:firstLineChars="200"/>
        <w:rPr>
          <w:rFonts w:hint="eastAsia" w:ascii="仿宋_GB2312" w:hAnsi="仿宋_GB2312" w:eastAsia="仿宋_GB2312" w:cs="仿宋_GB2312"/>
          <w:sz w:val="32"/>
          <w:szCs w:val="32"/>
        </w:rPr>
      </w:pPr>
      <w:r>
        <w:rPr>
          <w:rFonts w:hint="eastAsia" w:ascii="楷体_GB2312" w:hAnsi="楷体" w:eastAsia="楷体_GB2312" w:cs="方正楷体简体"/>
          <w:b/>
          <w:bCs/>
          <w:sz w:val="32"/>
          <w:szCs w:val="32"/>
          <w:lang w:val="en-US" w:eastAsia="zh-CN"/>
        </w:rPr>
        <w:t>2.</w:t>
      </w:r>
      <w:r>
        <w:rPr>
          <w:rFonts w:hint="eastAsia" w:ascii="楷体_GB2312" w:hAnsi="楷体" w:eastAsia="楷体_GB2312" w:cs="方正楷体简体"/>
          <w:b/>
          <w:bCs/>
          <w:sz w:val="32"/>
          <w:szCs w:val="32"/>
        </w:rPr>
        <w:t>以高度的政治责任感使命感，主动投身疫情防控前线，助力打赢疫情</w:t>
      </w:r>
      <w:r>
        <w:rPr>
          <w:rFonts w:hint="eastAsia" w:ascii="楷体_GB2312" w:hAnsi="楷体" w:eastAsia="楷体_GB2312" w:cs="方正楷体简体"/>
          <w:b/>
          <w:bCs/>
          <w:sz w:val="32"/>
          <w:szCs w:val="32"/>
          <w:lang w:eastAsia="zh-CN"/>
        </w:rPr>
        <w:t>防控</w:t>
      </w:r>
      <w:r>
        <w:rPr>
          <w:rFonts w:hint="eastAsia" w:ascii="楷体_GB2312" w:hAnsi="楷体" w:eastAsia="楷体_GB2312" w:cs="方正楷体简体"/>
          <w:b/>
          <w:bCs/>
          <w:sz w:val="32"/>
          <w:szCs w:val="32"/>
        </w:rPr>
        <w:t>阻击战</w:t>
      </w:r>
      <w:r>
        <w:rPr>
          <w:rFonts w:hint="eastAsia" w:ascii="楷体_GB2312" w:hAnsi="楷体" w:eastAsia="楷体_GB2312" w:cs="方正楷体简体"/>
          <w:b/>
          <w:bCs/>
          <w:sz w:val="32"/>
          <w:szCs w:val="32"/>
          <w:lang w:eastAsia="zh-CN"/>
        </w:rPr>
        <w:t>。一是</w:t>
      </w:r>
      <w:r>
        <w:rPr>
          <w:rFonts w:hint="eastAsia" w:ascii="仿宋_GB2312" w:hAnsi="仿宋_GB2312" w:eastAsia="仿宋_GB2312" w:cs="仿宋_GB2312"/>
          <w:sz w:val="32"/>
          <w:szCs w:val="32"/>
        </w:rPr>
        <w:t>加强领导，切实强化组织保障。成立了以馆长为组长，班子成员为副组长，各科室负责人为成员的应对新冠肺炎疫情工作领导小组，明确了责任领导、责任科室，落实具体任务，形成全馆上下联动的疫情防控工作体系。</w:t>
      </w:r>
      <w:r>
        <w:rPr>
          <w:rFonts w:hint="eastAsia" w:ascii="楷体_GB2312" w:hAnsi="楷体" w:eastAsia="楷体_GB2312" w:cs="方正楷体简体"/>
          <w:b/>
          <w:bCs/>
          <w:sz w:val="32"/>
          <w:szCs w:val="32"/>
        </w:rPr>
        <w:t>二是</w:t>
      </w:r>
      <w:r>
        <w:rPr>
          <w:rFonts w:hint="eastAsia" w:ascii="仿宋_GB2312" w:hAnsi="仿宋_GB2312" w:eastAsia="仿宋_GB2312" w:cs="仿宋_GB2312"/>
          <w:sz w:val="32"/>
          <w:szCs w:val="32"/>
        </w:rPr>
        <w:t>科学应对，落实单位防控责任。第一时间通过门户网站发布《广元市档案馆临时闭馆公告》，暂停档案查阅、展览参观等对外服务功能，落实联防联控责任；组织人员定时对办公区域电梯、楼道等重点部位进行消杀；常态化防控阶段，</w:t>
      </w:r>
      <w:r>
        <w:rPr>
          <w:rFonts w:hint="eastAsia" w:ascii="仿宋_GB2312" w:hAnsi="仿宋_GB2312" w:eastAsia="仿宋_GB2312" w:cs="仿宋_GB2312"/>
          <w:sz w:val="32"/>
          <w:szCs w:val="32"/>
          <w:lang w:eastAsia="zh-CN"/>
        </w:rPr>
        <w:t>严格落实市委市政府统一部署要求，</w:t>
      </w:r>
      <w:r>
        <w:rPr>
          <w:rFonts w:hint="eastAsia" w:ascii="仿宋_GB2312" w:hAnsi="仿宋_GB2312" w:eastAsia="仿宋_GB2312" w:cs="仿宋_GB2312"/>
          <w:sz w:val="32"/>
          <w:szCs w:val="32"/>
        </w:rPr>
        <w:t>对进馆人员采取实名登记、体温测量、佩戴口罩等措施，加强内部防控工作，切实履行“外防输入、内防反弹”防疫工作要求。</w:t>
      </w:r>
      <w:r>
        <w:rPr>
          <w:rFonts w:hint="eastAsia" w:ascii="楷体_GB2312" w:hAnsi="楷体" w:eastAsia="楷体_GB2312" w:cs="方正楷体简体"/>
          <w:b/>
          <w:bCs/>
          <w:sz w:val="32"/>
          <w:szCs w:val="32"/>
        </w:rPr>
        <w:t>三是</w:t>
      </w:r>
      <w:r>
        <w:rPr>
          <w:rFonts w:hint="eastAsia" w:ascii="仿宋_GB2312" w:hAnsi="仿宋_GB2312" w:eastAsia="仿宋_GB2312" w:cs="仿宋_GB2312"/>
          <w:sz w:val="32"/>
          <w:szCs w:val="32"/>
        </w:rPr>
        <w:t>主动靠前，积极投身抗疫大局。全体党员干部以对党和人民高度负责的态度投身疫情防控前线。成立党员突击队协助上西则天北路社区和活力社区开展疫情防控工作，累计排查人员1500人次，车辆600余辆，有力保护了人民群众生命健康安全；组织驻村工作队于大年初四到帮扶村协助村两委开展宣传资料发放、防控知识推送、清洁消毒等工作；组织全馆干部向湖北疫区捐款5000余元，向帮扶村、社区提供消毒液、口罩、矿泉水、方便面等价值2000余元防疫、生活物资。</w:t>
      </w:r>
    </w:p>
    <w:p>
      <w:pPr>
        <w:spacing w:line="560" w:lineRule="exact"/>
        <w:ind w:firstLine="642" w:firstLineChars="200"/>
        <w:rPr>
          <w:rFonts w:ascii="楷体_GB2312" w:hAnsi="仿宋" w:eastAsia="楷体_GB2312"/>
          <w:b/>
          <w:sz w:val="32"/>
          <w:szCs w:val="32"/>
        </w:rPr>
      </w:pPr>
      <w:r>
        <w:rPr>
          <w:rFonts w:hint="eastAsia" w:ascii="楷体_GB2312" w:hAnsi="楷体" w:eastAsia="楷体_GB2312" w:cs="方正楷体简体"/>
          <w:b/>
          <w:bCs/>
          <w:sz w:val="32"/>
          <w:szCs w:val="32"/>
          <w:lang w:val="en-US" w:eastAsia="zh-CN"/>
        </w:rPr>
        <w:t>3.</w:t>
      </w:r>
      <w:r>
        <w:rPr>
          <w:rFonts w:hint="eastAsia" w:ascii="楷体_GB2312" w:hAnsi="楷体" w:eastAsia="楷体_GB2312" w:cs="方正楷体简体"/>
          <w:b/>
          <w:bCs/>
          <w:sz w:val="32"/>
          <w:szCs w:val="32"/>
        </w:rPr>
        <w:t>紧紧围绕全市工作大局，把握新时期转型升级新要求，推动档案事业高质量发展</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围绕中心，发挥档案服务能力。</w:t>
      </w:r>
      <w:r>
        <w:rPr>
          <w:rFonts w:hint="eastAsia" w:ascii="仿宋_GB2312" w:hAnsi="仿宋_GB2312" w:eastAsia="仿宋_GB2312" w:cs="仿宋_GB2312"/>
          <w:sz w:val="32"/>
          <w:szCs w:val="32"/>
        </w:rPr>
        <w:t>一是服务乡镇区划调整改革档案处置工作。认真落实省委彭清华书记来广调研期间关于乡镇区划调整改革档案工作的指示精神，与市档案局、市民政局组成检查组，多次赴县区进行调研指导，并向市委报送该项工作相关情况和建议。全年，指导各县区档案馆共接收相关档案27万</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件。二是服务经济社会稳定发展。根据疫情防控要求，不断调整档案查阅利用服务方式，通过采取来电来函、跨馆查阅等形式，最大限度克服疫情影响，保障查档需求，充分发挥档案服务社会功能。全年接待档案查询2000余人次，提供复制档案资料5000余份。三是服务疫情防控工作。疫情爆发之初，及时向市卫健委提供“非典”时期疫情防控相关档案资料，为全市应对新冠肺炎疫情防控工作提供了具有一定价值的参考。四是服务重大项目</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主动参与、及时跟进重大项目和重大活动档案服务工作。配合浙江丽水市广元窑烧制技艺恢复专家组来馆座谈，提供馆藏详实资料，寻根到广元窑起源、发展与消亡的时间脉络。目前，窑火暗沉上千年的广元窑复烧新品已面世，成为东西部扶贫协作项目的重要见证。</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强基固本，基础业务快速发展</w:t>
      </w:r>
      <w:r>
        <w:rPr>
          <w:rFonts w:hint="eastAsia" w:ascii="仿宋_GB2312" w:hAnsi="仿宋_GB2312" w:eastAsia="仿宋_GB2312" w:cs="仿宋_GB2312"/>
          <w:sz w:val="32"/>
          <w:szCs w:val="32"/>
        </w:rPr>
        <w:t>。一是强化档案资源建设。坚持应收尽收，不断优化馆藏结构。参与市疫情应急指挥部档案收集工作专班，协同市档案局制定收集范围、内容、标准，落实专人全面系统收集。共收集疫情防控文件资料9000余件、照片3000余张、音像视频600余部;援鄂医疗队签名队旗等有价值的实物档案10余件。主动做好市委办、防邪办、外侨办等单位和省运会重大活动档案进馆前指导；配合市扶贫开发局做好全市扶贫档案资料规范整理。全年接收各门类档案1.65万件；清理排架破产改制企业档案5万余卷。二是推进档案信息化建设。继续做好数字档案馆建设基础工作，加快数字档案资源积累。完成馆藏档案数字化扫描306万页，文件级著录48.5万条，存量档案实现全部数字化,顺利完成“十三五”既定目标。三是加强档案文化建设。完成《广元红军石刻标语选编》编印和《抗日战争档案汇编·广元卷（二）》撰写上报，《抗日战争档案汇编·广元卷（一）》已进入审核出版阶段。编写《纪念抗美援朝70周年史料》。开展清代档案《李申夫军事函札》考释。举办档案文化大讲堂八期。组织参加川渝地区档案馆爱教基地解说员风采大赛，获决赛优秀奖。发挥爱国主义教育基地暨廉政教育基地宣传教育功能，接待1100余人次参观。四是强化档案安全管理。全面落实安全生产工作责任制，不断加强和改进档案安全工作。建立并落实库房日常巡查制度，严格清查出入库档案数量，定期清点馆藏珍贵档案资料，检修库房设施设备。继续开展档案异地异质备份，抓好档案数字化加工现场管理。强化档案实体和信息安全。</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统筹兼顾，各项工作全面推进。</w:t>
      </w:r>
      <w:r>
        <w:rPr>
          <w:rFonts w:hint="eastAsia" w:ascii="仿宋_GB2312" w:hAnsi="仿宋_GB2312" w:eastAsia="仿宋_GB2312" w:cs="仿宋_GB2312"/>
          <w:sz w:val="32"/>
          <w:szCs w:val="32"/>
        </w:rPr>
        <w:t>一是加强基层党组织建设。认真落实“三会一课”、组织生活会等制度，发挥基层党组织战斗堡垒和党员先锋模范作用。组织开展“三会一课”25次、主题党日活动9次；表扬优秀党务工作者3名、优秀共产党员3名；2名年轻同志积极向党组织递交了入党申请书。二是落实依法治市重点任务。扎实开展法治政府建设示范创建活动，持续推进宪法学习宣传，把《民法典》《档案法》等法律纳入中心组和干部职工学习内容，全年开展集中学法4次，邀请法律顾问授课2次。三是加强干部队伍建设。严格执行《党政领导干部选拔任用工作条例》和好干部标准，坚持公正用人，树立正确用人导向。共选拔任用科级干部5人，完成职级晋升17人次，公开招考4人。组织干部赴成都、泸州、宜宾等五地开展馆际交流，学习先进经验和做法，找准差距、补齐短板、扩宽视野，激发干事创业活力。四是坚决</w:t>
      </w:r>
      <w:r>
        <w:rPr>
          <w:rFonts w:hint="eastAsia" w:ascii="仿宋_GB2312" w:hAnsi="仿宋_GB2312" w:eastAsia="仿宋_GB2312" w:cs="仿宋_GB2312"/>
          <w:sz w:val="32"/>
          <w:szCs w:val="32"/>
          <w:lang w:eastAsia="zh-CN"/>
        </w:rPr>
        <w:t>做好脱贫攻坚帮扶工作</w:t>
      </w:r>
      <w:r>
        <w:rPr>
          <w:rFonts w:hint="eastAsia" w:ascii="仿宋_GB2312" w:hAnsi="仿宋_GB2312" w:eastAsia="仿宋_GB2312" w:cs="仿宋_GB2312"/>
          <w:sz w:val="32"/>
          <w:szCs w:val="32"/>
        </w:rPr>
        <w:t>。紧紧围绕</w:t>
      </w:r>
      <w:r>
        <w:rPr>
          <w:rFonts w:hint="eastAsia" w:ascii="仿宋_GB2312" w:hAnsi="仿宋_GB2312" w:eastAsia="仿宋_GB2312" w:cs="仿宋_GB2312"/>
          <w:sz w:val="32"/>
          <w:szCs w:val="32"/>
          <w:lang w:val="ru-RU"/>
        </w:rPr>
        <w:t>“两不愁三保障”脱贫目标，持续</w:t>
      </w:r>
      <w:r>
        <w:rPr>
          <w:rFonts w:hint="eastAsia" w:ascii="仿宋_GB2312" w:hAnsi="仿宋_GB2312" w:eastAsia="仿宋_GB2312" w:cs="仿宋_GB2312"/>
          <w:sz w:val="32"/>
          <w:szCs w:val="32"/>
        </w:rPr>
        <w:t>在产业发展、基础设施、组织建设等方面加大帮扶力度</w:t>
      </w:r>
      <w:r>
        <w:rPr>
          <w:rFonts w:hint="eastAsia" w:ascii="仿宋_GB2312" w:hAnsi="仿宋_GB2312" w:eastAsia="仿宋_GB2312" w:cs="仿宋_GB2312"/>
          <w:sz w:val="32"/>
          <w:szCs w:val="32"/>
          <w:lang w:val="ru-RU"/>
        </w:rPr>
        <w:t>。通过向贫困户捐赠青脆李树苗、开展以购代扶、联系外出务工信息等方式，助力贫困户增产增收，实现稳定收入。直接</w:t>
      </w:r>
      <w:r>
        <w:rPr>
          <w:rFonts w:hint="eastAsia" w:ascii="仿宋_GB2312" w:hAnsi="仿宋_GB2312" w:eastAsia="仿宋_GB2312" w:cs="仿宋_GB2312"/>
          <w:sz w:val="32"/>
          <w:szCs w:val="32"/>
        </w:rPr>
        <w:t>帮助贫困户销售农副产品3.6万元；送去各种慰问物资价值5.1万元。市馆</w:t>
      </w:r>
      <w:r>
        <w:rPr>
          <w:rFonts w:hint="eastAsia" w:ascii="仿宋_GB2312" w:hAnsi="仿宋_GB2312" w:eastAsia="仿宋_GB2312" w:cs="仿宋_GB2312"/>
          <w:sz w:val="32"/>
          <w:szCs w:val="32"/>
          <w:lang w:val="ru-RU"/>
        </w:rPr>
        <w:t>被省委省政府</w:t>
      </w:r>
      <w:r>
        <w:rPr>
          <w:rFonts w:hint="eastAsia" w:ascii="仿宋_GB2312" w:hAnsi="仿宋_GB2312" w:eastAsia="仿宋_GB2312" w:cs="仿宋_GB2312"/>
          <w:sz w:val="32"/>
          <w:szCs w:val="32"/>
          <w:lang w:val="ru-RU" w:eastAsia="zh-CN"/>
        </w:rPr>
        <w:t>表彰</w:t>
      </w:r>
      <w:r>
        <w:rPr>
          <w:rFonts w:hint="eastAsia" w:ascii="仿宋_GB2312" w:hAnsi="仿宋_GB2312" w:eastAsia="仿宋_GB2312" w:cs="仿宋_GB2312"/>
          <w:sz w:val="32"/>
          <w:szCs w:val="32"/>
          <w:lang w:val="ru-RU"/>
        </w:rPr>
        <w:t>为</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lang w:val="ru-RU"/>
        </w:rPr>
        <w:t>脱贫攻坚“五个一”帮扶先进集体。</w:t>
      </w:r>
      <w:r>
        <w:rPr>
          <w:rFonts w:hint="eastAsia" w:ascii="仿宋_GB2312" w:hAnsi="仿宋_GB2312" w:eastAsia="仿宋_GB2312" w:cs="仿宋_GB2312"/>
          <w:sz w:val="32"/>
          <w:szCs w:val="32"/>
        </w:rPr>
        <w:t>五是积极开展国家级节约型公共机构示范单位和省级爱国主义教育基地创建;严格落实国家安全责任制，切实做好统战、党管武装、生态文明、安全生产、综治维稳、信访等工作。</w:t>
      </w:r>
    </w:p>
    <w:p>
      <w:pPr>
        <w:pageBreakBefore w:val="0"/>
        <w:widowControl/>
        <w:kinsoku/>
        <w:wordWrap/>
        <w:overflowPunct/>
        <w:topLinePunct w:val="0"/>
        <w:bidi w:val="0"/>
        <w:spacing w:line="560" w:lineRule="exact"/>
        <w:ind w:leftChars="300"/>
        <w:jc w:val="left"/>
        <w:outlineLvl w:val="0"/>
        <w:rPr>
          <w:rStyle w:val="16"/>
          <w:rFonts w:hint="eastAsia" w:ascii="黑体" w:hAnsi="黑体" w:eastAsia="黑体" w:cs="黑体"/>
          <w:bCs w:val="0"/>
          <w:lang w:val="en-US" w:eastAsia="zh-CN" w:bidi="ar-SA"/>
        </w:rPr>
      </w:pPr>
      <w:bookmarkStart w:id="35" w:name="_Toc25977"/>
      <w:bookmarkStart w:id="36" w:name="_Toc22924"/>
      <w:r>
        <w:rPr>
          <w:rStyle w:val="16"/>
          <w:rFonts w:hint="eastAsia" w:ascii="黑体" w:hAnsi="黑体" w:eastAsia="黑体" w:cs="黑体"/>
          <w:bCs w:val="0"/>
          <w:lang w:val="en-US" w:eastAsia="zh-CN" w:bidi="ar-SA"/>
        </w:rPr>
        <w:t>二、机构设置</w:t>
      </w:r>
      <w:bookmarkEnd w:id="32"/>
      <w:bookmarkEnd w:id="33"/>
      <w:bookmarkEnd w:id="35"/>
      <w:bookmarkEnd w:id="36"/>
    </w:p>
    <w:bookmarkEnd w:id="34"/>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市档案馆代管事业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（市现行文件服务中心）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未独立核算。</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ind w:left="0" w:leftChars="0" w:firstLine="0" w:firstLineChars="0"/>
        <w:rPr>
          <w:rFonts w:hint="eastAsia" w:ascii="仿宋_GB2312" w:hAnsi="仿宋_GB2312" w:eastAsia="仿宋_GB2312" w:cs="仿宋_GB2312"/>
          <w:sz w:val="32"/>
          <w:szCs w:val="32"/>
          <w:lang w:eastAsia="zh-CN"/>
        </w:rPr>
      </w:pPr>
    </w:p>
    <w:p>
      <w:pPr>
        <w:pStyle w:val="4"/>
        <w:pageBreakBefore w:val="0"/>
        <w:kinsoku/>
        <w:wordWrap/>
        <w:overflowPunct/>
        <w:topLinePunct w:val="0"/>
        <w:bidi w:val="0"/>
        <w:spacing w:line="560" w:lineRule="exact"/>
        <w:jc w:val="center"/>
        <w:rPr>
          <w:rFonts w:hint="eastAsia" w:ascii="仿宋_GB2312" w:hAnsi="仿宋_GB2312" w:eastAsia="仿宋_GB2312" w:cs="仿宋_GB2312"/>
          <w:b/>
          <w:bCs w:val="0"/>
        </w:rPr>
      </w:pPr>
      <w:bookmarkStart w:id="37" w:name="_Toc25940"/>
      <w:bookmarkStart w:id="38" w:name="_Toc10289"/>
      <w:bookmarkStart w:id="39" w:name="_Toc17508"/>
      <w:r>
        <w:rPr>
          <w:rFonts w:hint="eastAsia" w:ascii="黑体" w:hAnsi="黑体" w:eastAsia="黑体" w:cs="黑体"/>
          <w:b/>
          <w:bCs w:val="0"/>
        </w:rPr>
        <w:t xml:space="preserve">第二部分 </w:t>
      </w:r>
      <w:r>
        <w:rPr>
          <w:rFonts w:hint="eastAsia" w:ascii="黑体" w:hAnsi="黑体" w:eastAsia="黑体" w:cs="黑体"/>
          <w:b/>
          <w:bCs w:val="0"/>
          <w:lang w:val="en-US" w:eastAsia="zh-CN"/>
        </w:rPr>
        <w:t>2020</w:t>
      </w:r>
      <w:r>
        <w:rPr>
          <w:rFonts w:hint="eastAsia" w:ascii="黑体" w:hAnsi="黑体" w:eastAsia="黑体" w:cs="黑体"/>
          <w:b/>
          <w:bCs w:val="0"/>
        </w:rPr>
        <w:t>年度部门决算情况说明</w:t>
      </w:r>
      <w:bookmarkEnd w:id="37"/>
      <w:bookmarkEnd w:id="38"/>
      <w:bookmarkEnd w:id="39"/>
    </w:p>
    <w:p>
      <w:pPr>
        <w:pStyle w:val="18"/>
        <w:pageBreakBefore w:val="0"/>
        <w:numPr>
          <w:numId w:val="0"/>
        </w:numPr>
        <w:kinsoku/>
        <w:wordWrap/>
        <w:overflowPunct/>
        <w:topLinePunct w:val="0"/>
        <w:bidi w:val="0"/>
        <w:spacing w:line="560" w:lineRule="exact"/>
        <w:ind w:firstLine="642" w:firstLineChars="200"/>
        <w:outlineLvl w:val="1"/>
        <w:rPr>
          <w:rStyle w:val="16"/>
          <w:rFonts w:hint="eastAsia" w:ascii="黑体" w:hAnsi="黑体" w:eastAsia="黑体" w:cs="黑体"/>
          <w:b/>
          <w:bCs/>
        </w:rPr>
      </w:pPr>
      <w:bookmarkStart w:id="40" w:name="_Toc15377205"/>
      <w:bookmarkStart w:id="41" w:name="_Toc15396603"/>
      <w:bookmarkStart w:id="42" w:name="_Toc6920"/>
      <w:bookmarkStart w:id="43" w:name="_Toc10745"/>
      <w:r>
        <w:rPr>
          <w:rFonts w:hint="eastAsia" w:ascii="黑体" w:hAnsi="黑体" w:eastAsia="黑体" w:cs="黑体"/>
          <w:b/>
          <w:bCs/>
          <w:color w:val="000000"/>
          <w:sz w:val="32"/>
          <w:szCs w:val="32"/>
          <w:lang w:eastAsia="zh-CN"/>
        </w:rPr>
        <w:t>一、</w:t>
      </w:r>
      <w:r>
        <w:rPr>
          <w:rFonts w:hint="eastAsia" w:ascii="黑体" w:hAnsi="黑体" w:eastAsia="黑体" w:cs="黑体"/>
          <w:b/>
          <w:bCs/>
          <w:color w:val="000000"/>
          <w:sz w:val="32"/>
          <w:szCs w:val="32"/>
        </w:rPr>
        <w:t>收</w:t>
      </w:r>
      <w:r>
        <w:rPr>
          <w:rStyle w:val="16"/>
          <w:rFonts w:hint="eastAsia" w:ascii="黑体" w:hAnsi="黑体" w:eastAsia="黑体" w:cs="黑体"/>
          <w:b/>
          <w:bCs/>
        </w:rPr>
        <w:t>入支出决算总体情况说明</w:t>
      </w:r>
      <w:bookmarkEnd w:id="40"/>
      <w:bookmarkEnd w:id="41"/>
      <w:bookmarkEnd w:id="42"/>
      <w:bookmarkEnd w:id="43"/>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年度收、支总计</w:t>
      </w:r>
      <w:r>
        <w:rPr>
          <w:rFonts w:hint="eastAsia" w:ascii="仿宋_GB2312" w:hAnsi="仿宋_GB2312" w:eastAsia="仿宋_GB2312" w:cs="仿宋_GB2312"/>
          <w:color w:val="000000"/>
          <w:sz w:val="32"/>
          <w:szCs w:val="32"/>
          <w:lang w:val="en-US" w:eastAsia="zh-CN"/>
        </w:rPr>
        <w:t>632.17</w:t>
      </w:r>
      <w:r>
        <w:rPr>
          <w:rFonts w:hint="eastAsia" w:ascii="仿宋_GB2312" w:hAnsi="仿宋_GB2312" w:eastAsia="仿宋_GB2312" w:cs="仿宋_GB2312"/>
          <w:color w:val="000000"/>
          <w:sz w:val="32"/>
          <w:szCs w:val="32"/>
        </w:rPr>
        <w:t>万元。与20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年相比，收、支总计各减少</w:t>
      </w:r>
      <w:r>
        <w:rPr>
          <w:rFonts w:hint="eastAsia" w:ascii="仿宋_GB2312" w:hAnsi="仿宋_GB2312" w:eastAsia="仿宋_GB2312" w:cs="仿宋_GB2312"/>
          <w:color w:val="000000"/>
          <w:sz w:val="32"/>
          <w:szCs w:val="32"/>
          <w:lang w:val="en-US" w:eastAsia="zh-CN"/>
        </w:rPr>
        <w:t>213.56</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%。主要变动原因</w:t>
      </w:r>
      <w:r>
        <w:rPr>
          <w:rFonts w:hint="eastAsia" w:ascii="仿宋_GB2312" w:hAnsi="仿宋_GB2312" w:eastAsia="仿宋_GB2312" w:cs="仿宋_GB2312"/>
          <w:color w:val="000000"/>
          <w:sz w:val="32"/>
          <w:szCs w:val="32"/>
          <w:lang w:eastAsia="zh-CN"/>
        </w:rPr>
        <w:t>：一是市本级财政进一步压减一般公共预算支出；二是部分项目结转资金被市财政收回统筹安排。</w:t>
      </w:r>
    </w:p>
    <w:p>
      <w:pPr>
        <w:pStyle w:val="2"/>
        <w:rPr>
          <w:rFonts w:hint="eastAsia"/>
        </w:rPr>
      </w:pPr>
      <w:r>
        <w:drawing>
          <wp:inline distT="0" distB="0" distL="114300" distR="114300">
            <wp:extent cx="4572000" cy="2743200"/>
            <wp:effectExtent l="4445" t="4445" r="1460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8"/>
        <w:pageBreakBefore w:val="0"/>
        <w:numPr>
          <w:numId w:val="0"/>
        </w:numPr>
        <w:kinsoku/>
        <w:wordWrap/>
        <w:overflowPunct/>
        <w:topLinePunct w:val="0"/>
        <w:bidi w:val="0"/>
        <w:spacing w:line="560" w:lineRule="exact"/>
        <w:ind w:firstLine="642" w:firstLineChars="200"/>
        <w:outlineLvl w:val="1"/>
        <w:rPr>
          <w:rFonts w:hint="eastAsia" w:ascii="黑体" w:hAnsi="黑体" w:eastAsia="黑体" w:cs="黑体"/>
          <w:b/>
          <w:bCs/>
          <w:color w:val="000000"/>
          <w:sz w:val="32"/>
          <w:szCs w:val="32"/>
        </w:rPr>
      </w:pPr>
      <w:bookmarkStart w:id="44" w:name="_Toc15396604"/>
      <w:bookmarkStart w:id="45" w:name="_Toc15377206"/>
      <w:bookmarkStart w:id="46" w:name="_Toc19140"/>
      <w:bookmarkStart w:id="47" w:name="_Toc11307"/>
      <w:r>
        <w:rPr>
          <w:rFonts w:hint="eastAsia" w:ascii="黑体" w:hAnsi="黑体" w:eastAsia="黑体" w:cs="黑体"/>
          <w:b/>
          <w:bCs/>
          <w:color w:val="000000"/>
          <w:sz w:val="32"/>
          <w:szCs w:val="32"/>
          <w:lang w:eastAsia="zh-CN"/>
        </w:rPr>
        <w:t>二、</w:t>
      </w:r>
      <w:r>
        <w:rPr>
          <w:rFonts w:hint="eastAsia" w:ascii="黑体" w:hAnsi="黑体" w:eastAsia="黑体" w:cs="黑体"/>
          <w:b/>
          <w:bCs/>
          <w:color w:val="000000"/>
          <w:sz w:val="32"/>
          <w:szCs w:val="32"/>
        </w:rPr>
        <w:t>收入决算情况说明</w:t>
      </w:r>
      <w:bookmarkEnd w:id="44"/>
      <w:bookmarkEnd w:id="45"/>
      <w:bookmarkEnd w:id="46"/>
      <w:bookmarkEnd w:id="47"/>
    </w:p>
    <w:p>
      <w:pPr>
        <w:pageBreakBefore w:val="0"/>
        <w:kinsoku/>
        <w:wordWrap/>
        <w:overflowPunct/>
        <w:topLinePunct w:val="0"/>
        <w:bidi w:val="0"/>
        <w:spacing w:line="560" w:lineRule="exact"/>
        <w:ind w:firstLine="640" w:firstLineChars="200"/>
        <w:outlineLvl w:val="1"/>
        <w:rPr>
          <w:rFonts w:hint="eastAsia" w:ascii="仿宋_GB2312" w:hAnsi="仿宋_GB2312" w:eastAsia="仿宋_GB2312" w:cs="仿宋_GB2312"/>
          <w:color w:val="000000"/>
          <w:sz w:val="32"/>
          <w:szCs w:val="32"/>
        </w:rPr>
      </w:pPr>
      <w:bookmarkStart w:id="48" w:name="_Toc29953"/>
      <w:bookmarkStart w:id="49" w:name="_Toc20464"/>
      <w:bookmarkStart w:id="50" w:name="_Toc31657"/>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年本年收入合计</w:t>
      </w:r>
      <w:r>
        <w:rPr>
          <w:rFonts w:hint="eastAsia" w:ascii="仿宋_GB2312" w:hAnsi="仿宋_GB2312" w:eastAsia="仿宋_GB2312" w:cs="仿宋_GB2312"/>
          <w:color w:val="000000"/>
          <w:sz w:val="32"/>
          <w:szCs w:val="32"/>
          <w:lang w:val="en-US" w:eastAsia="zh-CN"/>
        </w:rPr>
        <w:t>539.67</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539.52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99.97</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0.15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0.03</w:t>
      </w:r>
      <w:r>
        <w:rPr>
          <w:rFonts w:hint="eastAsia" w:ascii="仿宋_GB2312" w:hAnsi="仿宋_GB2312" w:eastAsia="仿宋_GB2312" w:cs="仿宋_GB2312"/>
          <w:color w:val="000000"/>
          <w:sz w:val="32"/>
          <w:szCs w:val="32"/>
        </w:rPr>
        <w:t>%。</w:t>
      </w:r>
      <w:bookmarkEnd w:id="48"/>
      <w:bookmarkEnd w:id="49"/>
      <w:bookmarkEnd w:id="50"/>
    </w:p>
    <w:p>
      <w:pPr>
        <w:pStyle w:val="2"/>
        <w:rPr>
          <w:rFonts w:hint="eastAsia"/>
        </w:rPr>
      </w:pPr>
      <w:r>
        <w:drawing>
          <wp:inline distT="0" distB="0" distL="114300" distR="114300">
            <wp:extent cx="4572000" cy="2743200"/>
            <wp:effectExtent l="4445" t="4445" r="14605" b="1460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FF0000"/>
          <w:sz w:val="32"/>
          <w:szCs w:val="32"/>
        </w:rPr>
      </w:pPr>
    </w:p>
    <w:p>
      <w:pPr>
        <w:pStyle w:val="18"/>
        <w:pageBreakBefore w:val="0"/>
        <w:numPr>
          <w:numId w:val="0"/>
        </w:numPr>
        <w:kinsoku/>
        <w:wordWrap/>
        <w:overflowPunct/>
        <w:topLinePunct w:val="0"/>
        <w:bidi w:val="0"/>
        <w:spacing w:line="560" w:lineRule="exact"/>
        <w:ind w:firstLine="642" w:firstLineChars="200"/>
        <w:outlineLvl w:val="1"/>
        <w:rPr>
          <w:rFonts w:hint="eastAsia" w:ascii="黑体" w:hAnsi="黑体" w:eastAsia="黑体" w:cs="黑体"/>
          <w:b/>
          <w:bCs/>
          <w:color w:val="000000"/>
          <w:sz w:val="32"/>
          <w:szCs w:val="32"/>
        </w:rPr>
      </w:pPr>
      <w:bookmarkStart w:id="51" w:name="_Toc15377207"/>
      <w:bookmarkStart w:id="52" w:name="_Toc30628"/>
      <w:bookmarkStart w:id="53" w:name="_Toc3239"/>
      <w:bookmarkStart w:id="54" w:name="_Toc15396605"/>
      <w:r>
        <w:rPr>
          <w:rFonts w:hint="eastAsia" w:ascii="黑体" w:hAnsi="黑体" w:eastAsia="黑体" w:cs="黑体"/>
          <w:b/>
          <w:bCs/>
          <w:color w:val="000000"/>
          <w:sz w:val="32"/>
          <w:szCs w:val="32"/>
          <w:lang w:eastAsia="zh-CN"/>
        </w:rPr>
        <w:t>三、</w:t>
      </w:r>
      <w:r>
        <w:rPr>
          <w:rFonts w:hint="eastAsia" w:ascii="黑体" w:hAnsi="黑体" w:eastAsia="黑体" w:cs="黑体"/>
          <w:b/>
          <w:bCs/>
          <w:color w:val="000000"/>
          <w:sz w:val="32"/>
          <w:szCs w:val="32"/>
        </w:rPr>
        <w:t>支出决算情况说明</w:t>
      </w:r>
      <w:bookmarkEnd w:id="51"/>
      <w:bookmarkEnd w:id="52"/>
      <w:bookmarkEnd w:id="53"/>
      <w:bookmarkEnd w:id="54"/>
    </w:p>
    <w:p>
      <w:pPr>
        <w:pageBreakBefore w:val="0"/>
        <w:kinsoku/>
        <w:wordWrap/>
        <w:overflowPunct/>
        <w:topLinePunct w:val="0"/>
        <w:bidi w:val="0"/>
        <w:spacing w:line="560" w:lineRule="exact"/>
        <w:ind w:firstLine="640" w:firstLineChars="200"/>
        <w:outlineLvl w:val="1"/>
        <w:rPr>
          <w:rFonts w:hint="eastAsia" w:eastAsia="黑体"/>
          <w:lang w:eastAsia="zh-CN"/>
        </w:rPr>
      </w:pPr>
      <w:bookmarkStart w:id="55" w:name="_Toc15938"/>
      <w:bookmarkStart w:id="56" w:name="_Toc31374"/>
      <w:bookmarkStart w:id="57" w:name="_Toc17776"/>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600.66</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448.24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74.62</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152.41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25.38</w:t>
      </w:r>
      <w:r>
        <w:rPr>
          <w:rFonts w:hint="eastAsia" w:ascii="仿宋_GB2312" w:hAnsi="仿宋_GB2312" w:eastAsia="仿宋_GB2312" w:cs="仿宋_GB2312"/>
          <w:color w:val="000000"/>
          <w:sz w:val="32"/>
          <w:szCs w:val="32"/>
        </w:rPr>
        <w:t>%</w:t>
      </w:r>
      <w:bookmarkEnd w:id="55"/>
      <w:r>
        <w:rPr>
          <w:rFonts w:hint="eastAsia" w:ascii="仿宋_GB2312" w:hAnsi="仿宋_GB2312" w:eastAsia="仿宋_GB2312" w:cs="仿宋_GB2312"/>
          <w:color w:val="000000"/>
          <w:sz w:val="32"/>
          <w:szCs w:val="32"/>
          <w:lang w:eastAsia="zh-CN"/>
        </w:rPr>
        <w:t>。</w:t>
      </w:r>
      <w:bookmarkEnd w:id="56"/>
      <w:bookmarkEnd w:id="57"/>
    </w:p>
    <w:p>
      <w:pPr>
        <w:pStyle w:val="2"/>
        <w:rPr>
          <w:rFonts w:hint="eastAsia" w:ascii="仿宋_GB2312" w:hAnsi="仿宋_GB2312" w:eastAsia="仿宋_GB2312" w:cs="仿宋_GB2312"/>
          <w:color w:val="FF0000"/>
          <w:sz w:val="32"/>
          <w:szCs w:val="32"/>
        </w:rPr>
      </w:pPr>
      <w: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8"/>
        <w:pageBreakBefore w:val="0"/>
        <w:numPr>
          <w:ilvl w:val="0"/>
          <w:numId w:val="0"/>
        </w:numPr>
        <w:kinsoku/>
        <w:wordWrap/>
        <w:overflowPunct/>
        <w:topLinePunct w:val="0"/>
        <w:bidi w:val="0"/>
        <w:spacing w:line="560" w:lineRule="exact"/>
        <w:ind w:firstLine="642" w:firstLineChars="200"/>
        <w:outlineLvl w:val="1"/>
        <w:rPr>
          <w:rFonts w:hint="eastAsia" w:ascii="黑体" w:hAnsi="黑体" w:eastAsia="黑体" w:cs="黑体"/>
          <w:b/>
          <w:bCs/>
          <w:color w:val="000000"/>
          <w:sz w:val="32"/>
          <w:szCs w:val="32"/>
        </w:rPr>
      </w:pPr>
      <w:bookmarkStart w:id="58" w:name="_Toc15377208"/>
      <w:bookmarkStart w:id="59" w:name="_Toc3307"/>
      <w:bookmarkStart w:id="60" w:name="_Toc15396606"/>
      <w:bookmarkStart w:id="61" w:name="_Toc27265"/>
      <w:r>
        <w:rPr>
          <w:rFonts w:hint="eastAsia" w:ascii="黑体" w:hAnsi="黑体" w:eastAsia="黑体" w:cs="黑体"/>
          <w:b/>
          <w:bCs/>
          <w:color w:val="000000"/>
          <w:sz w:val="32"/>
          <w:szCs w:val="32"/>
        </w:rPr>
        <w:t>四、财政拨款收入支出决算总体情况说明</w:t>
      </w:r>
      <w:bookmarkEnd w:id="58"/>
      <w:bookmarkEnd w:id="59"/>
      <w:bookmarkEnd w:id="60"/>
      <w:bookmarkEnd w:id="61"/>
    </w:p>
    <w:p>
      <w:pPr>
        <w:pageBreakBefore w:val="0"/>
        <w:kinsoku/>
        <w:wordWrap/>
        <w:overflowPunct/>
        <w:topLinePunct w:val="0"/>
        <w:bidi w:val="0"/>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年财政拨款收、支</w:t>
      </w:r>
      <w:r>
        <w:rPr>
          <w:rFonts w:hint="eastAsia" w:ascii="仿宋_GB2312" w:hAnsi="仿宋_GB2312" w:eastAsia="仿宋_GB2312" w:cs="仿宋_GB2312"/>
          <w:color w:val="000000"/>
          <w:sz w:val="32"/>
          <w:szCs w:val="32"/>
          <w:lang w:eastAsia="zh-CN"/>
        </w:rPr>
        <w:t>总计</w:t>
      </w:r>
      <w:r>
        <w:rPr>
          <w:rFonts w:hint="eastAsia" w:ascii="仿宋_GB2312" w:hAnsi="仿宋_GB2312" w:eastAsia="仿宋_GB2312" w:cs="仿宋_GB2312"/>
          <w:color w:val="000000"/>
          <w:sz w:val="32"/>
          <w:szCs w:val="32"/>
          <w:lang w:val="en-US" w:eastAsia="zh-CN"/>
        </w:rPr>
        <w:t>603.87</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年相比，财政拨款收、支总计各减少</w:t>
      </w:r>
      <w:r>
        <w:rPr>
          <w:rFonts w:hint="eastAsia" w:ascii="仿宋_GB2312" w:hAnsi="仿宋_GB2312" w:eastAsia="仿宋_GB2312" w:cs="仿宋_GB2312"/>
          <w:color w:val="000000"/>
          <w:sz w:val="32"/>
          <w:szCs w:val="32"/>
          <w:lang w:val="en-US" w:eastAsia="zh-CN"/>
        </w:rPr>
        <w:t>201.97</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25.06</w:t>
      </w:r>
      <w:r>
        <w:rPr>
          <w:rFonts w:hint="eastAsia" w:ascii="仿宋_GB2312" w:hAnsi="仿宋_GB2312" w:eastAsia="仿宋_GB2312" w:cs="仿宋_GB2312"/>
          <w:color w:val="000000"/>
          <w:sz w:val="32"/>
          <w:szCs w:val="32"/>
        </w:rPr>
        <w:t>%。主要变动原因</w:t>
      </w:r>
      <w:r>
        <w:rPr>
          <w:rFonts w:hint="eastAsia" w:ascii="仿宋_GB2312" w:hAnsi="仿宋_GB2312" w:eastAsia="仿宋_GB2312" w:cs="仿宋_GB2312"/>
          <w:color w:val="000000"/>
          <w:sz w:val="32"/>
          <w:szCs w:val="32"/>
          <w:lang w:eastAsia="zh-CN"/>
        </w:rPr>
        <w:t>是市本级财政压减当年一般公共预算支出，部分项目结转资金被市财政收回统筹安排。</w:t>
      </w:r>
    </w:p>
    <w:p>
      <w:pPr>
        <w:pStyle w:val="2"/>
        <w:rPr>
          <w:rFonts w:hint="eastAsia" w:ascii="仿宋_GB2312" w:hAnsi="仿宋_GB2312" w:eastAsia="仿宋_GB2312" w:cs="仿宋_GB2312"/>
          <w:color w:val="000000"/>
          <w:sz w:val="32"/>
          <w:szCs w:val="32"/>
          <w:lang w:eastAsia="zh-CN"/>
        </w:rPr>
      </w:pPr>
      <w: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outlineLvl w:val="1"/>
        <w:rPr>
          <w:rFonts w:hint="eastAsia" w:ascii="黑体" w:hAnsi="黑体" w:eastAsia="黑体" w:cs="黑体"/>
          <w:b/>
          <w:bCs/>
          <w:color w:val="000000"/>
          <w:sz w:val="32"/>
          <w:szCs w:val="32"/>
        </w:rPr>
      </w:pPr>
      <w:bookmarkStart w:id="62" w:name="_Toc725"/>
      <w:bookmarkStart w:id="63" w:name="_Toc9506"/>
      <w:bookmarkStart w:id="64" w:name="_Toc15396607"/>
      <w:bookmarkStart w:id="65" w:name="_Toc15377209"/>
      <w:r>
        <w:rPr>
          <w:rFonts w:hint="eastAsia" w:ascii="黑体" w:hAnsi="黑体" w:eastAsia="黑体" w:cs="黑体"/>
          <w:b/>
          <w:bCs/>
          <w:color w:val="000000"/>
          <w:sz w:val="32"/>
          <w:szCs w:val="32"/>
        </w:rPr>
        <w:t>五、一般公共预算财政拨款支出决算情况说明</w:t>
      </w:r>
      <w:bookmarkEnd w:id="62"/>
      <w:bookmarkEnd w:id="63"/>
      <w:bookmarkEnd w:id="64"/>
      <w:bookmarkEnd w:id="65"/>
    </w:p>
    <w:p>
      <w:pPr>
        <w:pageBreakBefore w:val="0"/>
        <w:kinsoku/>
        <w:wordWrap/>
        <w:overflowPunct/>
        <w:topLinePunct w:val="0"/>
        <w:bidi w:val="0"/>
        <w:spacing w:line="560" w:lineRule="exact"/>
        <w:ind w:firstLine="642" w:firstLineChars="200"/>
        <w:outlineLvl w:val="2"/>
        <w:rPr>
          <w:rFonts w:hint="eastAsia" w:ascii="楷体" w:hAnsi="楷体" w:eastAsia="楷体" w:cs="楷体"/>
          <w:b/>
          <w:color w:val="000000"/>
          <w:sz w:val="32"/>
          <w:szCs w:val="32"/>
        </w:rPr>
      </w:pPr>
      <w:bookmarkStart w:id="66" w:name="_Toc24343"/>
      <w:bookmarkStart w:id="67" w:name="_Toc23653"/>
      <w:bookmarkStart w:id="68" w:name="_Toc28543"/>
      <w:bookmarkStart w:id="69" w:name="_Toc15377210"/>
      <w:r>
        <w:rPr>
          <w:rFonts w:hint="eastAsia" w:ascii="楷体" w:hAnsi="楷体" w:eastAsia="楷体" w:cs="楷体"/>
          <w:b/>
          <w:color w:val="000000"/>
          <w:sz w:val="32"/>
          <w:szCs w:val="32"/>
        </w:rPr>
        <w:t>（一）一般公共预算财政拨款支出决算总体情况</w:t>
      </w:r>
      <w:bookmarkEnd w:id="66"/>
      <w:bookmarkEnd w:id="67"/>
      <w:bookmarkEnd w:id="68"/>
      <w:bookmarkEnd w:id="69"/>
    </w:p>
    <w:p>
      <w:pPr>
        <w:pageBreakBefore w:val="0"/>
        <w:kinsoku/>
        <w:wordWrap/>
        <w:overflowPunct/>
        <w:topLinePunct w:val="0"/>
        <w:bidi w:val="0"/>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594.26</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98.93</w:t>
      </w:r>
      <w:r>
        <w:rPr>
          <w:rFonts w:hint="eastAsia" w:ascii="仿宋_GB2312" w:hAnsi="仿宋_GB2312" w:eastAsia="仿宋_GB2312" w:cs="仿宋_GB2312"/>
          <w:color w:val="000000"/>
          <w:sz w:val="32"/>
          <w:szCs w:val="32"/>
        </w:rPr>
        <w:t>%。与20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年相比，一般公共预算财政拨款</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减少</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11.21</w:t>
      </w:r>
      <w:r>
        <w:rPr>
          <w:rFonts w:hint="eastAsia" w:ascii="仿宋_GB2312" w:hAnsi="仿宋_GB2312" w:eastAsia="仿宋_GB2312" w:cs="仿宋_GB2312"/>
          <w:color w:val="000000"/>
          <w:sz w:val="32"/>
          <w:szCs w:val="32"/>
        </w:rPr>
        <w:t>%。主要变动原因</w:t>
      </w:r>
      <w:r>
        <w:rPr>
          <w:rFonts w:hint="eastAsia" w:ascii="仿宋_GB2312" w:hAnsi="仿宋_GB2312" w:eastAsia="仿宋_GB2312" w:cs="仿宋_GB2312"/>
          <w:color w:val="000000"/>
          <w:sz w:val="32"/>
          <w:szCs w:val="32"/>
          <w:lang w:eastAsia="zh-CN"/>
        </w:rPr>
        <w:t>是单位在职人员减少，同年绩效考核奖未全额发放，本年度未发生人员抚恤金支出。</w:t>
      </w:r>
    </w:p>
    <w:p>
      <w:pPr>
        <w:pStyle w:val="2"/>
        <w:rPr>
          <w:rFonts w:hint="eastAsia"/>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60" w:lineRule="exact"/>
        <w:ind w:firstLine="642" w:firstLineChars="200"/>
        <w:outlineLvl w:val="2"/>
        <w:rPr>
          <w:rFonts w:hint="eastAsia" w:ascii="楷体" w:hAnsi="楷体" w:eastAsia="楷体" w:cs="楷体"/>
          <w:b/>
          <w:color w:val="000000"/>
          <w:sz w:val="32"/>
          <w:szCs w:val="32"/>
        </w:rPr>
      </w:pPr>
      <w:bookmarkStart w:id="70" w:name="_Toc15377211"/>
      <w:bookmarkStart w:id="71" w:name="_Toc9536"/>
      <w:bookmarkStart w:id="72" w:name="_Toc5274"/>
      <w:bookmarkStart w:id="73" w:name="_Toc14828"/>
      <w:r>
        <w:rPr>
          <w:rFonts w:hint="eastAsia" w:ascii="楷体" w:hAnsi="楷体" w:eastAsia="楷体" w:cs="楷体"/>
          <w:b/>
          <w:color w:val="000000"/>
          <w:sz w:val="32"/>
          <w:szCs w:val="32"/>
        </w:rPr>
        <w:t>（二）一般公共预算财政拨款支出决算结构情况</w:t>
      </w:r>
      <w:bookmarkEnd w:id="70"/>
      <w:bookmarkEnd w:id="71"/>
      <w:bookmarkEnd w:id="72"/>
      <w:bookmarkEnd w:id="73"/>
    </w:p>
    <w:p>
      <w:pPr>
        <w:pageBreakBefore w:val="0"/>
        <w:kinsoku/>
        <w:wordWrap/>
        <w:overflowPunct/>
        <w:topLinePunct w:val="0"/>
        <w:bidi w:val="0"/>
        <w:spacing w:line="56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594.26</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一般公共服务（类）支出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497.56</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46.66</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16.59</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住房保障</w:t>
      </w:r>
      <w:r>
        <w:rPr>
          <w:rFonts w:hint="eastAsia" w:ascii="仿宋_GB2312" w:hAnsi="仿宋_GB2312" w:eastAsia="仿宋_GB2312" w:cs="仿宋_GB2312"/>
          <w:b/>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b/>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33.45</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rPr>
          <w:rFonts w:hint="eastAsia"/>
          <w:lang w:eastAsia="zh-CN"/>
        </w:rPr>
      </w:pP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r>
        <w:drawing>
          <wp:inline distT="0" distB="0" distL="114300" distR="114300">
            <wp:extent cx="4572000" cy="2743200"/>
            <wp:effectExtent l="4445" t="4445" r="14605" b="14605"/>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ageBreakBefore w:val="0"/>
        <w:kinsoku/>
        <w:wordWrap/>
        <w:overflowPunct/>
        <w:topLinePunct w:val="0"/>
        <w:bidi w:val="0"/>
        <w:spacing w:line="560" w:lineRule="exact"/>
        <w:ind w:firstLine="642" w:firstLineChars="200"/>
        <w:outlineLvl w:val="2"/>
        <w:rPr>
          <w:rFonts w:hint="eastAsia" w:ascii="楷体" w:hAnsi="楷体" w:eastAsia="楷体" w:cs="楷体"/>
          <w:b/>
          <w:color w:val="000000"/>
          <w:sz w:val="32"/>
          <w:szCs w:val="32"/>
        </w:rPr>
      </w:pPr>
      <w:bookmarkStart w:id="74" w:name="_Toc17194"/>
      <w:bookmarkStart w:id="75" w:name="_Toc15377212"/>
      <w:bookmarkStart w:id="76" w:name="_Toc32744"/>
      <w:bookmarkStart w:id="77" w:name="_Toc17509"/>
      <w:r>
        <w:rPr>
          <w:rFonts w:hint="eastAsia" w:ascii="楷体" w:hAnsi="楷体" w:eastAsia="楷体" w:cs="楷体"/>
          <w:b/>
          <w:color w:val="000000"/>
          <w:sz w:val="32"/>
          <w:szCs w:val="32"/>
        </w:rPr>
        <w:t>（三）一般公共预算财政拨款支出决算具体情况</w:t>
      </w:r>
      <w:bookmarkEnd w:id="74"/>
      <w:bookmarkEnd w:id="75"/>
      <w:bookmarkEnd w:id="76"/>
      <w:bookmarkEnd w:id="77"/>
    </w:p>
    <w:p>
      <w:pPr>
        <w:pageBreakBefore w:val="0"/>
        <w:kinsoku/>
        <w:wordWrap/>
        <w:overflowPunct/>
        <w:topLinePunct w:val="0"/>
        <w:bidi w:val="0"/>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bookmarkStart w:id="78" w:name="_Toc15378460"/>
      <w:bookmarkStart w:id="79" w:name="_Toc15377444"/>
      <w:bookmarkStart w:id="80" w:name="_Toc15377213"/>
      <w:bookmarkStart w:id="81" w:name="_Toc2167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594.26万元</w:t>
      </w:r>
      <w:r>
        <w:rPr>
          <w:rFonts w:hint="eastAsia" w:ascii="仿宋_GB2312" w:hAnsi="仿宋_GB2312" w:eastAsia="仿宋_GB2312" w:cs="仿宋_GB2312"/>
          <w:color w:val="000000" w:themeColor="text1"/>
          <w:sz w:val="32"/>
          <w:szCs w:val="32"/>
          <w14:textFill>
            <w14:solidFill>
              <w14:schemeClr w14:val="tx1"/>
            </w14:solidFill>
          </w14:textFill>
        </w:rPr>
        <w:t>，完成预算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98.41</w:t>
      </w:r>
      <w:r>
        <w:rPr>
          <w:rFonts w:hint="eastAsia" w:ascii="仿宋_GB2312" w:hAnsi="仿宋_GB2312" w:eastAsia="仿宋_GB2312" w:cs="仿宋_GB2312"/>
          <w:color w:val="000000" w:themeColor="text1"/>
          <w:sz w:val="32"/>
          <w:szCs w:val="32"/>
          <w14:textFill>
            <w14:solidFill>
              <w14:schemeClr w14:val="tx1"/>
            </w14:solidFill>
          </w14:textFill>
        </w:rPr>
        <w:t>%。其中：</w:t>
      </w:r>
      <w:bookmarkEnd w:id="78"/>
      <w:bookmarkEnd w:id="79"/>
      <w:bookmarkEnd w:id="80"/>
      <w:bookmarkEnd w:id="81"/>
    </w:p>
    <w:p>
      <w:pPr>
        <w:pageBreakBefore w:val="0"/>
        <w:numPr>
          <w:ilvl w:val="0"/>
          <w:numId w:val="0"/>
        </w:numPr>
        <w:kinsoku/>
        <w:wordWrap/>
        <w:overflowPunct/>
        <w:topLinePunct w:val="0"/>
        <w:bidi w:val="0"/>
        <w:spacing w:line="560" w:lineRule="exact"/>
        <w:ind w:firstLine="642" w:firstLineChars="200"/>
        <w:rPr>
          <w:rStyle w:val="15"/>
          <w:rFonts w:hint="eastAsia" w:ascii="仿宋_GB2312" w:hAnsi="仿宋_GB2312" w:eastAsia="仿宋_GB2312" w:cs="仿宋_GB2312"/>
          <w:b w:val="0"/>
          <w:bCs/>
          <w:color w:val="auto"/>
          <w:sz w:val="32"/>
          <w:szCs w:val="32"/>
          <w:lang w:eastAsia="zh-CN"/>
        </w:rPr>
      </w:pPr>
      <w:r>
        <w:rPr>
          <w:rStyle w:val="15"/>
          <w:rFonts w:hint="eastAsia" w:ascii="仿宋_GB2312" w:hAnsi="仿宋_GB2312" w:eastAsia="仿宋_GB2312" w:cs="仿宋_GB2312"/>
          <w:color w:val="auto"/>
          <w:sz w:val="32"/>
          <w:szCs w:val="32"/>
          <w:lang w:val="en-US" w:eastAsia="zh-CN"/>
        </w:rPr>
        <w:t>1.</w:t>
      </w:r>
      <w:r>
        <w:rPr>
          <w:rStyle w:val="15"/>
          <w:rFonts w:hint="eastAsia" w:ascii="仿宋_GB2312" w:hAnsi="仿宋_GB2312" w:eastAsia="仿宋_GB2312" w:cs="仿宋_GB2312"/>
          <w:color w:val="auto"/>
          <w:sz w:val="32"/>
          <w:szCs w:val="32"/>
        </w:rPr>
        <w:t>一般公共服务（类）档案事务（款）行政运行（项）</w:t>
      </w:r>
      <w:r>
        <w:rPr>
          <w:rStyle w:val="15"/>
          <w:rFonts w:hint="eastAsia" w:ascii="仿宋_GB2312" w:hAnsi="仿宋_GB2312" w:eastAsia="仿宋_GB2312" w:cs="仿宋_GB2312"/>
          <w:bCs/>
          <w:color w:val="auto"/>
          <w:sz w:val="32"/>
          <w:szCs w:val="32"/>
        </w:rPr>
        <w:t>:</w:t>
      </w:r>
      <w:r>
        <w:rPr>
          <w:rStyle w:val="15"/>
          <w:rFonts w:hint="eastAsia" w:ascii="仿宋_GB2312" w:hAnsi="仿宋_GB2312" w:eastAsia="仿宋_GB2312" w:cs="仿宋_GB2312"/>
          <w:b w:val="0"/>
          <w:bCs/>
          <w:color w:val="auto"/>
          <w:sz w:val="32"/>
          <w:szCs w:val="32"/>
        </w:rPr>
        <w:t>支出决算为</w:t>
      </w:r>
      <w:r>
        <w:rPr>
          <w:rStyle w:val="15"/>
          <w:rFonts w:hint="eastAsia" w:ascii="仿宋_GB2312" w:hAnsi="仿宋_GB2312" w:eastAsia="仿宋_GB2312" w:cs="仿宋_GB2312"/>
          <w:b w:val="0"/>
          <w:bCs/>
          <w:color w:val="auto"/>
          <w:sz w:val="32"/>
          <w:szCs w:val="32"/>
          <w:lang w:val="en-US" w:eastAsia="zh-CN"/>
        </w:rPr>
        <w:t>351.54</w:t>
      </w:r>
      <w:r>
        <w:rPr>
          <w:rStyle w:val="15"/>
          <w:rFonts w:hint="eastAsia" w:ascii="仿宋_GB2312" w:hAnsi="仿宋_GB2312" w:eastAsia="仿宋_GB2312" w:cs="仿宋_GB2312"/>
          <w:b w:val="0"/>
          <w:bCs/>
          <w:color w:val="auto"/>
          <w:sz w:val="32"/>
          <w:szCs w:val="32"/>
        </w:rPr>
        <w:t>万元，完成预算</w:t>
      </w:r>
      <w:r>
        <w:rPr>
          <w:rStyle w:val="15"/>
          <w:rFonts w:hint="eastAsia" w:ascii="仿宋_GB2312" w:hAnsi="仿宋_GB2312" w:eastAsia="仿宋_GB2312" w:cs="仿宋_GB2312"/>
          <w:b w:val="0"/>
          <w:bCs/>
          <w:color w:val="auto"/>
          <w:sz w:val="32"/>
          <w:szCs w:val="32"/>
          <w:lang w:val="en-US" w:eastAsia="zh-CN"/>
        </w:rPr>
        <w:t>99.32</w:t>
      </w:r>
      <w:r>
        <w:rPr>
          <w:rStyle w:val="15"/>
          <w:rFonts w:hint="eastAsia" w:ascii="仿宋_GB2312" w:hAnsi="仿宋_GB2312" w:eastAsia="仿宋_GB2312" w:cs="仿宋_GB2312"/>
          <w:b w:val="0"/>
          <w:bCs/>
          <w:color w:val="auto"/>
          <w:sz w:val="32"/>
          <w:szCs w:val="32"/>
        </w:rPr>
        <w:t>%</w:t>
      </w:r>
      <w:r>
        <w:rPr>
          <w:rStyle w:val="15"/>
          <w:rFonts w:hint="eastAsia" w:ascii="仿宋_GB2312" w:hAnsi="仿宋_GB2312" w:eastAsia="仿宋_GB2312" w:cs="仿宋_GB2312"/>
          <w:b w:val="0"/>
          <w:bCs/>
          <w:color w:val="auto"/>
          <w:sz w:val="32"/>
          <w:szCs w:val="32"/>
          <w:lang w:eastAsia="zh-CN"/>
        </w:rPr>
        <w:t>，决算数</w:t>
      </w:r>
      <w:r>
        <w:rPr>
          <w:rStyle w:val="15"/>
          <w:rFonts w:hint="eastAsia" w:ascii="仿宋_GB2312" w:hAnsi="仿宋_GB2312" w:eastAsia="仿宋_GB2312" w:cs="仿宋_GB2312"/>
          <w:b w:val="0"/>
          <w:bCs/>
          <w:color w:val="000000"/>
          <w:sz w:val="32"/>
          <w:szCs w:val="32"/>
          <w:lang w:eastAsia="zh-CN"/>
        </w:rPr>
        <w:t>与预算数基本持平，决算数小于预算主要原因是在职人员减少</w:t>
      </w:r>
      <w:r>
        <w:rPr>
          <w:rStyle w:val="15"/>
          <w:rFonts w:hint="eastAsia" w:ascii="仿宋_GB2312" w:hAnsi="仿宋_GB2312" w:eastAsia="仿宋_GB2312" w:cs="仿宋_GB2312"/>
          <w:b w:val="0"/>
          <w:bCs/>
          <w:color w:val="auto"/>
          <w:sz w:val="32"/>
          <w:szCs w:val="32"/>
          <w:lang w:eastAsia="zh-CN"/>
        </w:rPr>
        <w:t>。</w:t>
      </w:r>
    </w:p>
    <w:p>
      <w:pPr>
        <w:pageBreakBefore w:val="0"/>
        <w:numPr>
          <w:ilvl w:val="0"/>
          <w:numId w:val="0"/>
        </w:numPr>
        <w:kinsoku/>
        <w:wordWrap/>
        <w:overflowPunct/>
        <w:topLinePunct w:val="0"/>
        <w:bidi w:val="0"/>
        <w:spacing w:line="560" w:lineRule="exact"/>
        <w:ind w:firstLine="642" w:firstLineChars="200"/>
        <w:rPr>
          <w:rStyle w:val="15"/>
          <w:rFonts w:hint="eastAsia" w:ascii="仿宋_GB2312" w:hAnsi="仿宋_GB2312" w:eastAsia="仿宋_GB2312" w:cs="仿宋_GB2312"/>
          <w:b w:val="0"/>
          <w:bCs/>
          <w:color w:val="auto"/>
          <w:sz w:val="32"/>
          <w:szCs w:val="32"/>
          <w:lang w:eastAsia="zh-CN"/>
        </w:rPr>
      </w:pPr>
      <w:r>
        <w:rPr>
          <w:rStyle w:val="15"/>
          <w:rFonts w:hint="eastAsia" w:ascii="仿宋_GB2312" w:hAnsi="仿宋_GB2312" w:eastAsia="仿宋_GB2312" w:cs="仿宋_GB2312"/>
          <w:color w:val="auto"/>
          <w:sz w:val="32"/>
          <w:szCs w:val="32"/>
          <w:lang w:val="en-US" w:eastAsia="zh-CN"/>
        </w:rPr>
        <w:t>2.</w:t>
      </w:r>
      <w:r>
        <w:rPr>
          <w:rStyle w:val="15"/>
          <w:rFonts w:hint="eastAsia" w:ascii="仿宋_GB2312" w:hAnsi="仿宋_GB2312" w:eastAsia="仿宋_GB2312" w:cs="仿宋_GB2312"/>
          <w:color w:val="auto"/>
          <w:sz w:val="32"/>
          <w:szCs w:val="32"/>
        </w:rPr>
        <w:t>一般公共服务（类）档案事务（款）</w:t>
      </w:r>
      <w:r>
        <w:rPr>
          <w:rStyle w:val="15"/>
          <w:rFonts w:hint="eastAsia" w:ascii="仿宋_GB2312" w:hAnsi="仿宋_GB2312" w:eastAsia="仿宋_GB2312" w:cs="仿宋_GB2312"/>
          <w:color w:val="auto"/>
          <w:sz w:val="32"/>
          <w:szCs w:val="32"/>
          <w:lang w:eastAsia="zh-CN"/>
        </w:rPr>
        <w:t>一般行政管理事务</w:t>
      </w:r>
      <w:r>
        <w:rPr>
          <w:rStyle w:val="15"/>
          <w:rFonts w:hint="eastAsia" w:ascii="仿宋_GB2312" w:hAnsi="仿宋_GB2312" w:eastAsia="仿宋_GB2312" w:cs="仿宋_GB2312"/>
          <w:color w:val="auto"/>
          <w:sz w:val="32"/>
          <w:szCs w:val="32"/>
        </w:rPr>
        <w:t>（项）</w:t>
      </w:r>
      <w:r>
        <w:rPr>
          <w:rStyle w:val="15"/>
          <w:rFonts w:hint="eastAsia" w:ascii="仿宋_GB2312" w:hAnsi="仿宋_GB2312" w:eastAsia="仿宋_GB2312" w:cs="仿宋_GB2312"/>
          <w:bCs/>
          <w:color w:val="auto"/>
          <w:sz w:val="32"/>
          <w:szCs w:val="32"/>
        </w:rPr>
        <w:t>:</w:t>
      </w:r>
      <w:r>
        <w:rPr>
          <w:rStyle w:val="15"/>
          <w:rFonts w:hint="eastAsia" w:ascii="仿宋_GB2312" w:hAnsi="仿宋_GB2312" w:eastAsia="仿宋_GB2312" w:cs="仿宋_GB2312"/>
          <w:b w:val="0"/>
          <w:bCs/>
          <w:color w:val="auto"/>
          <w:sz w:val="32"/>
          <w:szCs w:val="32"/>
          <w:lang w:val="en-US" w:eastAsia="zh-CN"/>
        </w:rPr>
        <w:t>支出决算为3.72万元，完成预算的100%。</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sz w:val="32"/>
          <w:szCs w:val="32"/>
          <w:lang w:eastAsia="zh-CN"/>
        </w:rPr>
      </w:pPr>
      <w:r>
        <w:rPr>
          <w:rStyle w:val="15"/>
          <w:rFonts w:hint="eastAsia" w:ascii="仿宋_GB2312" w:hAnsi="仿宋_GB2312" w:eastAsia="仿宋_GB2312" w:cs="仿宋_GB2312"/>
          <w:bCs/>
          <w:color w:val="000000"/>
          <w:sz w:val="32"/>
          <w:szCs w:val="32"/>
          <w:lang w:val="en-US" w:eastAsia="zh-CN"/>
        </w:rPr>
        <w:t>3.</w:t>
      </w:r>
      <w:r>
        <w:rPr>
          <w:rStyle w:val="15"/>
          <w:rFonts w:hint="eastAsia" w:ascii="仿宋_GB2312" w:hAnsi="仿宋_GB2312" w:eastAsia="仿宋_GB2312" w:cs="仿宋_GB2312"/>
          <w:bCs/>
          <w:color w:val="000000"/>
          <w:sz w:val="32"/>
          <w:szCs w:val="32"/>
        </w:rPr>
        <w:t>一般公共服务（类）档案事务（款）档案馆（项）: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116.97</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97.87</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val="en-US" w:eastAsia="zh-CN"/>
        </w:rPr>
        <w:t>2020年度</w:t>
      </w:r>
      <w:r>
        <w:rPr>
          <w:rStyle w:val="15"/>
          <w:rFonts w:hint="eastAsia" w:ascii="仿宋_GB2312" w:hAnsi="仿宋_GB2312" w:eastAsia="仿宋_GB2312" w:cs="仿宋_GB2312"/>
          <w:b w:val="0"/>
          <w:bCs/>
          <w:color w:val="000000"/>
          <w:sz w:val="32"/>
          <w:szCs w:val="32"/>
          <w:lang w:eastAsia="zh-CN"/>
        </w:rPr>
        <w:t>保管保护经费根据合同约定，部分项目验收工作未结束，尾款暂不能支付</w:t>
      </w:r>
      <w:r>
        <w:rPr>
          <w:rFonts w:hint="eastAsia" w:ascii="仿宋_GB2312" w:hAnsi="仿宋_GB2312" w:eastAsia="仿宋_GB2312" w:cs="仿宋_GB2312"/>
          <w:sz w:val="32"/>
          <w:szCs w:val="32"/>
          <w:lang w:eastAsia="zh-CN"/>
        </w:rPr>
        <w:t>。</w:t>
      </w:r>
    </w:p>
    <w:p>
      <w:pPr>
        <w:pageBreakBefore w:val="0"/>
        <w:numPr>
          <w:ilvl w:val="0"/>
          <w:numId w:val="0"/>
        </w:numPr>
        <w:kinsoku/>
        <w:wordWrap/>
        <w:overflowPunct/>
        <w:topLinePunct w:val="0"/>
        <w:bidi w:val="0"/>
        <w:spacing w:line="560" w:lineRule="exact"/>
        <w:ind w:firstLine="642" w:firstLineChars="200"/>
        <w:rPr>
          <w:rStyle w:val="15"/>
          <w:rFonts w:hint="eastAsia" w:ascii="仿宋_GB2312" w:hAnsi="仿宋_GB2312" w:eastAsia="仿宋_GB2312" w:cs="仿宋_GB2312"/>
          <w:b w:val="0"/>
          <w:bCs/>
          <w:color w:val="000000"/>
          <w:sz w:val="32"/>
          <w:szCs w:val="32"/>
          <w:lang w:val="en-US" w:eastAsia="zh-CN"/>
        </w:rPr>
      </w:pPr>
      <w:r>
        <w:rPr>
          <w:rStyle w:val="15"/>
          <w:rFonts w:hint="eastAsia" w:ascii="仿宋_GB2312" w:hAnsi="仿宋_GB2312" w:eastAsia="仿宋_GB2312" w:cs="仿宋_GB2312"/>
          <w:bCs/>
          <w:color w:val="000000"/>
          <w:sz w:val="32"/>
          <w:szCs w:val="32"/>
          <w:lang w:val="en-US" w:eastAsia="zh-CN"/>
        </w:rPr>
        <w:t>4.</w:t>
      </w:r>
      <w:r>
        <w:rPr>
          <w:rStyle w:val="15"/>
          <w:rFonts w:hint="eastAsia" w:ascii="仿宋_GB2312" w:hAnsi="仿宋_GB2312" w:eastAsia="仿宋_GB2312" w:cs="仿宋_GB2312"/>
          <w:bCs/>
          <w:color w:val="000000"/>
          <w:sz w:val="32"/>
          <w:szCs w:val="32"/>
        </w:rPr>
        <w:t>一般公共服务（类）档案事务（款）</w:t>
      </w:r>
      <w:r>
        <w:rPr>
          <w:rStyle w:val="15"/>
          <w:rFonts w:hint="eastAsia" w:ascii="仿宋_GB2312" w:hAnsi="仿宋_GB2312" w:eastAsia="仿宋_GB2312" w:cs="仿宋_GB2312"/>
          <w:bCs/>
          <w:color w:val="000000"/>
          <w:sz w:val="32"/>
          <w:szCs w:val="32"/>
          <w:lang w:eastAsia="zh-CN"/>
        </w:rPr>
        <w:t>其他档案事务支出</w:t>
      </w:r>
      <w:r>
        <w:rPr>
          <w:rStyle w:val="15"/>
          <w:rFonts w:hint="eastAsia" w:ascii="仿宋_GB2312" w:hAnsi="仿宋_GB2312" w:eastAsia="仿宋_GB2312" w:cs="仿宋_GB2312"/>
          <w:bCs/>
          <w:color w:val="000000"/>
          <w:sz w:val="32"/>
          <w:szCs w:val="32"/>
        </w:rPr>
        <w:t>（项）</w:t>
      </w:r>
      <w:r>
        <w:rPr>
          <w:rStyle w:val="15"/>
          <w:rFonts w:hint="eastAsia" w:ascii="仿宋_GB2312" w:hAnsi="仿宋_GB2312" w:eastAsia="仿宋_GB2312" w:cs="仿宋_GB2312"/>
          <w:bCs/>
          <w:color w:val="000000"/>
          <w:sz w:val="32"/>
          <w:szCs w:val="32"/>
          <w:lang w:eastAsia="zh-CN"/>
        </w:rPr>
        <w:t>：支出决算为</w:t>
      </w:r>
      <w:r>
        <w:rPr>
          <w:rStyle w:val="15"/>
          <w:rFonts w:hint="eastAsia" w:ascii="仿宋_GB2312" w:hAnsi="仿宋_GB2312" w:eastAsia="仿宋_GB2312" w:cs="仿宋_GB2312"/>
          <w:bCs/>
          <w:color w:val="000000"/>
          <w:sz w:val="32"/>
          <w:szCs w:val="32"/>
          <w:lang w:val="en-US" w:eastAsia="zh-CN"/>
        </w:rPr>
        <w:t>25.33万元，完成预算84.43%。</w:t>
      </w:r>
      <w:r>
        <w:rPr>
          <w:rStyle w:val="15"/>
          <w:rFonts w:hint="eastAsia" w:ascii="仿宋_GB2312" w:hAnsi="仿宋_GB2312" w:eastAsia="仿宋_GB2312" w:cs="仿宋_GB2312"/>
          <w:b w:val="0"/>
          <w:bCs/>
          <w:color w:val="000000"/>
          <w:sz w:val="32"/>
          <w:szCs w:val="32"/>
          <w:lang w:val="en-US" w:eastAsia="zh-CN"/>
        </w:rPr>
        <w:t>决算数小于预算数的主要原因是数字化档案扫描项目加扫部分档案还未完工，资金暂未支付，结转资金由财政收回，按照项目完成情况次年重新向市财政申请。</w:t>
      </w:r>
    </w:p>
    <w:p>
      <w:pPr>
        <w:pageBreakBefore w:val="0"/>
        <w:kinsoku/>
        <w:wordWrap/>
        <w:overflowPunct/>
        <w:topLinePunct w:val="0"/>
        <w:bidi w:val="0"/>
        <w:spacing w:line="560" w:lineRule="exact"/>
        <w:ind w:firstLine="642" w:firstLineChars="200"/>
        <w:rPr>
          <w:rFonts w:hint="default"/>
          <w:lang w:val="en-US" w:eastAsia="zh-CN"/>
        </w:rPr>
      </w:pPr>
      <w:r>
        <w:rPr>
          <w:rStyle w:val="15"/>
          <w:rFonts w:hint="eastAsia" w:ascii="仿宋_GB2312" w:hAnsi="仿宋_GB2312" w:eastAsia="仿宋_GB2312" w:cs="仿宋_GB2312"/>
          <w:sz w:val="32"/>
          <w:szCs w:val="32"/>
          <w:lang w:val="en-US" w:eastAsia="zh-CN"/>
        </w:rPr>
        <w:t>5.</w:t>
      </w:r>
      <w:r>
        <w:rPr>
          <w:rStyle w:val="15"/>
          <w:rFonts w:hint="eastAsia" w:ascii="仿宋_GB2312" w:hAnsi="仿宋_GB2312" w:eastAsia="仿宋_GB2312" w:cs="仿宋_GB2312"/>
          <w:sz w:val="32"/>
          <w:szCs w:val="32"/>
        </w:rPr>
        <w:t>社会保障和就业（类）行政事业单位离退休（款）</w:t>
      </w:r>
      <w:r>
        <w:rPr>
          <w:rStyle w:val="15"/>
          <w:rFonts w:hint="eastAsia" w:ascii="仿宋_GB2312" w:hAnsi="仿宋_GB2312" w:eastAsia="仿宋_GB2312" w:cs="仿宋_GB2312"/>
          <w:sz w:val="32"/>
          <w:szCs w:val="32"/>
          <w:lang w:eastAsia="zh-CN"/>
        </w:rPr>
        <w:t>事业单位离退休</w:t>
      </w:r>
      <w:r>
        <w:rPr>
          <w:rStyle w:val="15"/>
          <w:rFonts w:hint="eastAsia" w:ascii="仿宋_GB2312" w:hAnsi="仿宋_GB2312" w:eastAsia="仿宋_GB2312" w:cs="仿宋_GB2312"/>
          <w:sz w:val="32"/>
          <w:szCs w:val="32"/>
        </w:rPr>
        <w:t>（项）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2.41</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000000"/>
          <w:sz w:val="32"/>
          <w:szCs w:val="32"/>
          <w:lang w:eastAsia="zh-CN"/>
        </w:rPr>
        <w:t>决算数与预算数持平。</w:t>
      </w:r>
    </w:p>
    <w:p>
      <w:pPr>
        <w:pageBreakBefore w:val="0"/>
        <w:kinsoku/>
        <w:wordWrap/>
        <w:overflowPunct/>
        <w:topLinePunct w:val="0"/>
        <w:bidi w:val="0"/>
        <w:spacing w:line="560" w:lineRule="exact"/>
        <w:ind w:firstLine="642" w:firstLineChars="200"/>
        <w:rPr>
          <w:rStyle w:val="15"/>
          <w:rFonts w:hint="default" w:ascii="仿宋_GB2312" w:hAnsi="仿宋_GB2312" w:eastAsia="仿宋_GB2312" w:cs="仿宋_GB2312"/>
          <w:b w:val="0"/>
          <w:bCs/>
          <w:color w:val="000000"/>
          <w:sz w:val="32"/>
          <w:szCs w:val="32"/>
          <w:lang w:val="en-US"/>
        </w:rPr>
      </w:pPr>
      <w:r>
        <w:rPr>
          <w:rStyle w:val="15"/>
          <w:rFonts w:hint="eastAsia" w:ascii="仿宋_GB2312" w:hAnsi="仿宋_GB2312" w:eastAsia="仿宋_GB2312" w:cs="仿宋_GB2312"/>
          <w:sz w:val="32"/>
          <w:szCs w:val="32"/>
          <w:lang w:val="en-US" w:eastAsia="zh-CN"/>
        </w:rPr>
        <w:t>6.</w:t>
      </w:r>
      <w:r>
        <w:rPr>
          <w:rStyle w:val="15"/>
          <w:rFonts w:hint="eastAsia" w:ascii="仿宋_GB2312" w:hAnsi="仿宋_GB2312" w:eastAsia="仿宋_GB2312" w:cs="仿宋_GB2312"/>
          <w:sz w:val="32"/>
          <w:szCs w:val="32"/>
        </w:rPr>
        <w:t>社会保障和就业（类）行政事业单位离退休（款）机关事业单位基本养老保险缴费（项）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31.65</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 xml:space="preserve">100 </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000000"/>
          <w:sz w:val="32"/>
          <w:szCs w:val="32"/>
          <w:lang w:eastAsia="zh-CN"/>
        </w:rPr>
        <w:t>决算数与预算数持平。</w:t>
      </w:r>
    </w:p>
    <w:p>
      <w:pPr>
        <w:pageBreakBefore w:val="0"/>
        <w:kinsoku/>
        <w:wordWrap/>
        <w:overflowPunct/>
        <w:topLinePunct w:val="0"/>
        <w:bidi w:val="0"/>
        <w:spacing w:line="560" w:lineRule="exact"/>
        <w:ind w:firstLine="642" w:firstLineChars="200"/>
        <w:rPr>
          <w:rStyle w:val="15"/>
          <w:rFonts w:hint="eastAsia" w:ascii="仿宋_GB2312" w:hAnsi="仿宋_GB2312" w:eastAsia="仿宋_GB2312" w:cs="仿宋_GB2312"/>
          <w:b w:val="0"/>
          <w:bCs/>
          <w:color w:val="000000"/>
          <w:sz w:val="32"/>
          <w:szCs w:val="32"/>
          <w:lang w:eastAsia="zh-CN"/>
        </w:rPr>
      </w:pPr>
      <w:r>
        <w:rPr>
          <w:rStyle w:val="15"/>
          <w:rFonts w:hint="eastAsia" w:ascii="仿宋_GB2312" w:hAnsi="仿宋_GB2312" w:eastAsia="仿宋_GB2312" w:cs="仿宋_GB2312"/>
          <w:b/>
          <w:bCs w:val="0"/>
          <w:color w:val="000000"/>
          <w:sz w:val="32"/>
          <w:szCs w:val="32"/>
          <w:lang w:val="en-US" w:eastAsia="zh-CN"/>
        </w:rPr>
        <w:t>7</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rPr>
        <w:t>社会保障和就业（类）行政事业单位离退休（款）机关事业单位</w:t>
      </w:r>
      <w:r>
        <w:rPr>
          <w:rStyle w:val="15"/>
          <w:rFonts w:hint="eastAsia" w:ascii="仿宋_GB2312" w:hAnsi="仿宋_GB2312" w:eastAsia="仿宋_GB2312" w:cs="仿宋_GB2312"/>
          <w:sz w:val="32"/>
          <w:szCs w:val="32"/>
          <w:lang w:eastAsia="zh-CN"/>
        </w:rPr>
        <w:t>职业年金缴费支出</w:t>
      </w:r>
      <w:r>
        <w:rPr>
          <w:rStyle w:val="15"/>
          <w:rFonts w:hint="eastAsia" w:ascii="仿宋_GB2312" w:hAnsi="仿宋_GB2312" w:eastAsia="仿宋_GB2312" w:cs="仿宋_GB2312"/>
          <w:sz w:val="32"/>
          <w:szCs w:val="32"/>
        </w:rPr>
        <w:t>（项）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3.45</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000000"/>
          <w:sz w:val="32"/>
          <w:szCs w:val="32"/>
          <w:lang w:eastAsia="zh-CN"/>
        </w:rPr>
        <w:t>决算数与预算数持平。</w:t>
      </w:r>
    </w:p>
    <w:p>
      <w:pPr>
        <w:pageBreakBefore w:val="0"/>
        <w:kinsoku/>
        <w:wordWrap/>
        <w:overflowPunct/>
        <w:topLinePunct w:val="0"/>
        <w:bidi w:val="0"/>
        <w:spacing w:line="560" w:lineRule="exact"/>
        <w:ind w:firstLine="642"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sz w:val="32"/>
          <w:szCs w:val="32"/>
          <w:lang w:val="en-US" w:eastAsia="zh-CN"/>
        </w:rPr>
        <w:t>8.</w:t>
      </w:r>
      <w:r>
        <w:rPr>
          <w:rStyle w:val="15"/>
          <w:rFonts w:hint="eastAsia" w:ascii="仿宋_GB2312" w:hAnsi="仿宋_GB2312" w:eastAsia="仿宋_GB2312" w:cs="仿宋_GB2312"/>
          <w:sz w:val="32"/>
          <w:szCs w:val="32"/>
        </w:rPr>
        <w:t>社会保障和就业（类）</w:t>
      </w:r>
      <w:r>
        <w:rPr>
          <w:rStyle w:val="15"/>
          <w:rFonts w:hint="eastAsia" w:ascii="仿宋_GB2312" w:hAnsi="仿宋_GB2312" w:eastAsia="仿宋_GB2312" w:cs="仿宋_GB2312"/>
          <w:sz w:val="32"/>
          <w:szCs w:val="32"/>
          <w:lang w:eastAsia="zh-CN"/>
        </w:rPr>
        <w:t>其他社会保障和就业（款）其他社会保障和就业</w:t>
      </w:r>
      <w:r>
        <w:rPr>
          <w:rStyle w:val="15"/>
          <w:rFonts w:hint="eastAsia" w:ascii="仿宋_GB2312" w:hAnsi="仿宋_GB2312" w:eastAsia="仿宋_GB2312" w:cs="仿宋_GB2312"/>
          <w:sz w:val="32"/>
          <w:szCs w:val="32"/>
        </w:rPr>
        <w:t>（项）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9.15</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000000"/>
          <w:sz w:val="32"/>
          <w:szCs w:val="32"/>
          <w:lang w:eastAsia="zh-CN"/>
        </w:rPr>
        <w:t>决算数与预算数持平。</w:t>
      </w:r>
    </w:p>
    <w:p>
      <w:pPr>
        <w:pageBreakBefore w:val="0"/>
        <w:kinsoku/>
        <w:wordWrap/>
        <w:overflowPunct/>
        <w:topLinePunct w:val="0"/>
        <w:bidi w:val="0"/>
        <w:spacing w:line="560" w:lineRule="exact"/>
        <w:ind w:firstLine="642"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bCs/>
          <w:color w:val="000000"/>
          <w:sz w:val="32"/>
          <w:szCs w:val="32"/>
          <w:lang w:val="en-US" w:eastAsia="zh-CN"/>
        </w:rPr>
        <w:t>9.</w:t>
      </w:r>
      <w:r>
        <w:rPr>
          <w:rStyle w:val="15"/>
          <w:rFonts w:hint="eastAsia" w:ascii="仿宋_GB2312" w:hAnsi="仿宋_GB2312" w:eastAsia="仿宋_GB2312" w:cs="仿宋_GB2312"/>
          <w:sz w:val="32"/>
          <w:szCs w:val="32"/>
        </w:rPr>
        <w:t>医疗卫生与计划生育（类）医疗保障（款）事业单位医疗（项）</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16.59</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000000"/>
          <w:sz w:val="32"/>
          <w:szCs w:val="32"/>
          <w:lang w:eastAsia="zh-CN"/>
        </w:rPr>
        <w:t>。决算数与预算数持平。</w:t>
      </w:r>
    </w:p>
    <w:p>
      <w:pPr>
        <w:pageBreakBefore w:val="0"/>
        <w:kinsoku/>
        <w:wordWrap/>
        <w:overflowPunct/>
        <w:topLinePunct w:val="0"/>
        <w:bidi w:val="0"/>
        <w:spacing w:line="560" w:lineRule="exact"/>
        <w:ind w:firstLine="642"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sz w:val="32"/>
          <w:szCs w:val="32"/>
          <w:lang w:val="en-US" w:eastAsia="zh-CN"/>
        </w:rPr>
        <w:t>10.</w:t>
      </w:r>
      <w:r>
        <w:rPr>
          <w:rStyle w:val="15"/>
          <w:rFonts w:hint="eastAsia" w:ascii="仿宋_GB2312" w:hAnsi="仿宋_GB2312" w:eastAsia="仿宋_GB2312" w:cs="仿宋_GB2312"/>
          <w:sz w:val="32"/>
          <w:szCs w:val="32"/>
        </w:rPr>
        <w:t>住房保障（类）住房改革（款）住房公积金（项）: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34.55</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bookmarkStart w:id="82" w:name="_Toc26889"/>
      <w:bookmarkStart w:id="83" w:name="_Toc15396608"/>
      <w:bookmarkStart w:id="84" w:name="_Toc15377214"/>
      <w:r>
        <w:rPr>
          <w:rStyle w:val="15"/>
          <w:rFonts w:hint="eastAsia" w:ascii="仿宋_GB2312" w:hAnsi="仿宋_GB2312" w:eastAsia="仿宋_GB2312" w:cs="仿宋_GB2312"/>
          <w:b w:val="0"/>
          <w:bCs/>
          <w:color w:val="000000"/>
          <w:sz w:val="32"/>
          <w:szCs w:val="32"/>
          <w:lang w:eastAsia="zh-CN"/>
        </w:rPr>
        <w:t>。决算数与预算数持平。</w:t>
      </w:r>
    </w:p>
    <w:p>
      <w:pPr>
        <w:pageBreakBefore w:val="0"/>
        <w:kinsoku/>
        <w:wordWrap/>
        <w:overflowPunct/>
        <w:topLinePunct w:val="0"/>
        <w:bidi w:val="0"/>
        <w:spacing w:line="560" w:lineRule="exact"/>
        <w:ind w:firstLine="642" w:firstLineChars="200"/>
        <w:outlineLvl w:val="1"/>
        <w:rPr>
          <w:rStyle w:val="16"/>
          <w:rFonts w:hint="eastAsia" w:ascii="仿宋_GB2312" w:hAnsi="仿宋_GB2312" w:eastAsia="仿宋_GB2312" w:cs="仿宋_GB2312"/>
        </w:rPr>
      </w:pPr>
      <w:bookmarkStart w:id="85" w:name="_Toc14477"/>
      <w:r>
        <w:rPr>
          <w:rFonts w:hint="eastAsia" w:ascii="黑体" w:hAnsi="黑体" w:eastAsia="黑体" w:cs="黑体"/>
          <w:b/>
          <w:bCs/>
          <w:color w:val="000000"/>
          <w:kern w:val="2"/>
          <w:sz w:val="32"/>
          <w:szCs w:val="32"/>
          <w:lang w:val="en-US" w:eastAsia="zh-CN" w:bidi="ar-SA"/>
        </w:rPr>
        <w:t>六、一般公共预算财政拨款基本支出决算情况说明</w:t>
      </w:r>
      <w:bookmarkEnd w:id="82"/>
      <w:bookmarkEnd w:id="83"/>
      <w:bookmarkEnd w:id="84"/>
      <w:bookmarkEnd w:id="85"/>
      <w:r>
        <w:rPr>
          <w:rStyle w:val="16"/>
          <w:rFonts w:hint="eastAsia" w:ascii="仿宋_GB2312" w:hAnsi="仿宋_GB2312" w:eastAsia="仿宋_GB2312" w:cs="仿宋_GB2312"/>
          <w:b w:val="0"/>
        </w:rPr>
        <w:tab/>
      </w:r>
    </w:p>
    <w:p>
      <w:pPr>
        <w:pageBreakBefore w:val="0"/>
        <w:kinsoku/>
        <w:wordWrap/>
        <w:overflowPunct/>
        <w:topLinePunct w:val="0"/>
        <w:bidi w:val="0"/>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448.25</w:t>
      </w:r>
      <w:r>
        <w:rPr>
          <w:rFonts w:hint="eastAsia" w:ascii="仿宋_GB2312" w:hAnsi="仿宋_GB2312" w:eastAsia="仿宋_GB2312" w:cs="仿宋_GB2312"/>
          <w:color w:val="000000"/>
          <w:sz w:val="32"/>
          <w:szCs w:val="32"/>
        </w:rPr>
        <w:t>万元，其中：</w:t>
      </w:r>
    </w:p>
    <w:p>
      <w:pPr>
        <w:pageBreakBefore w:val="0"/>
        <w:kinsoku/>
        <w:wordWrap/>
        <w:overflowPunct/>
        <w:topLinePunct w:val="0"/>
        <w:bidi w:val="0"/>
        <w:spacing w:line="56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385.13</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其他社会保障缴费、其他工资福利支出、退休费、抚恤金、奖励金、住房公积金、其他对个人和家庭的补助支出等。</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val="en-US" w:eastAsia="zh-CN"/>
        </w:rPr>
        <w:t>63.12</w:t>
      </w:r>
      <w:r>
        <w:rPr>
          <w:rFonts w:hint="eastAsia" w:ascii="仿宋_GB2312" w:hAnsi="仿宋_GB2312" w:eastAsia="仿宋_GB2312" w:cs="仿宋_GB2312"/>
          <w:color w:val="000000"/>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86" w:name="_Toc15377215"/>
      <w:bookmarkStart w:id="87" w:name="_Toc15396609"/>
      <w:bookmarkStart w:id="88" w:name="_Toc28979"/>
    </w:p>
    <w:p>
      <w:pPr>
        <w:pageBreakBefore w:val="0"/>
        <w:kinsoku/>
        <w:wordWrap/>
        <w:overflowPunct/>
        <w:topLinePunct w:val="0"/>
        <w:bidi w:val="0"/>
        <w:spacing w:line="560" w:lineRule="exact"/>
        <w:ind w:firstLine="645"/>
        <w:outlineLvl w:val="1"/>
        <w:rPr>
          <w:rFonts w:hint="eastAsia" w:ascii="黑体" w:hAnsi="黑体" w:eastAsia="黑体" w:cs="黑体"/>
          <w:b/>
          <w:bCs/>
          <w:color w:val="000000"/>
          <w:kern w:val="2"/>
          <w:sz w:val="32"/>
          <w:szCs w:val="32"/>
          <w:lang w:val="en-US" w:eastAsia="zh-CN" w:bidi="ar-SA"/>
        </w:rPr>
      </w:pPr>
      <w:bookmarkStart w:id="89" w:name="_Toc16286"/>
      <w:r>
        <w:rPr>
          <w:rFonts w:hint="eastAsia" w:ascii="黑体" w:hAnsi="黑体" w:eastAsia="黑体" w:cs="黑体"/>
          <w:b/>
          <w:bCs/>
          <w:color w:val="000000"/>
          <w:kern w:val="2"/>
          <w:sz w:val="32"/>
          <w:szCs w:val="32"/>
          <w:lang w:val="en-US" w:eastAsia="zh-CN" w:bidi="ar-SA"/>
        </w:rPr>
        <w:t>七、“三公”经费财政拨款支出决算情况说明</w:t>
      </w:r>
      <w:bookmarkEnd w:id="86"/>
      <w:bookmarkEnd w:id="87"/>
      <w:bookmarkEnd w:id="88"/>
      <w:bookmarkEnd w:id="89"/>
    </w:p>
    <w:p>
      <w:pPr>
        <w:pageBreakBefore w:val="0"/>
        <w:kinsoku/>
        <w:wordWrap/>
        <w:overflowPunct/>
        <w:topLinePunct w:val="0"/>
        <w:bidi w:val="0"/>
        <w:spacing w:line="560" w:lineRule="exact"/>
        <w:ind w:firstLine="640"/>
        <w:outlineLvl w:val="2"/>
        <w:rPr>
          <w:rFonts w:hint="eastAsia" w:ascii="楷体" w:hAnsi="楷体" w:eastAsia="楷体" w:cs="楷体"/>
          <w:b/>
          <w:color w:val="000000"/>
          <w:sz w:val="32"/>
          <w:szCs w:val="32"/>
        </w:rPr>
      </w:pPr>
      <w:bookmarkStart w:id="90" w:name="_Toc30045"/>
      <w:bookmarkStart w:id="91" w:name="_Toc25660"/>
      <w:bookmarkStart w:id="92" w:name="_Toc26933"/>
      <w:bookmarkStart w:id="93" w:name="_Toc15377216"/>
      <w:r>
        <w:rPr>
          <w:rFonts w:hint="eastAsia" w:ascii="楷体" w:hAnsi="楷体" w:eastAsia="楷体" w:cs="楷体"/>
          <w:b/>
          <w:color w:val="000000"/>
          <w:sz w:val="32"/>
          <w:szCs w:val="32"/>
        </w:rPr>
        <w:t>（一）“三公”经费财政拨款支出决算总体情况说明</w:t>
      </w:r>
      <w:bookmarkEnd w:id="90"/>
      <w:bookmarkEnd w:id="91"/>
      <w:bookmarkEnd w:id="92"/>
      <w:bookmarkEnd w:id="93"/>
    </w:p>
    <w:p>
      <w:pPr>
        <w:pStyle w:val="12"/>
        <w:pageBreakBefore w:val="0"/>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年“三公”经费财政拨款支出决算</w:t>
      </w:r>
      <w:r>
        <w:rPr>
          <w:rFonts w:hint="eastAsia" w:ascii="仿宋_GB2312" w:hAnsi="仿宋_GB2312" w:eastAsia="仿宋_GB2312" w:cs="仿宋_GB2312"/>
          <w:color w:val="000000"/>
          <w:sz w:val="32"/>
          <w:szCs w:val="32"/>
          <w:lang w:eastAsia="zh-CN"/>
        </w:rPr>
        <w:t>数</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3.81</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47.63</w:t>
      </w:r>
      <w:r>
        <w:rPr>
          <w:rFonts w:hint="eastAsia" w:ascii="仿宋_GB2312" w:hAnsi="仿宋_GB2312" w:eastAsia="仿宋_GB2312" w:cs="仿宋_GB2312"/>
          <w:color w:val="000000"/>
          <w:sz w:val="32"/>
          <w:szCs w:val="32"/>
        </w:rPr>
        <w:t>%，决算数小于预算数的主要原因</w:t>
      </w:r>
      <w:r>
        <w:rPr>
          <w:rFonts w:hint="eastAsia" w:ascii="仿宋_GB2312" w:hAnsi="仿宋_GB2312" w:eastAsia="仿宋_GB2312" w:cs="仿宋_GB2312"/>
          <w:color w:val="000000"/>
          <w:sz w:val="32"/>
          <w:szCs w:val="32"/>
          <w:lang w:eastAsia="zh-CN"/>
        </w:rPr>
        <w:t>是加强“三公”经费管理，厉行节俭。</w:t>
      </w:r>
    </w:p>
    <w:p>
      <w:pPr>
        <w:pageBreakBefore w:val="0"/>
        <w:kinsoku/>
        <w:wordWrap/>
        <w:overflowPunct/>
        <w:topLinePunct w:val="0"/>
        <w:bidi w:val="0"/>
        <w:spacing w:line="560" w:lineRule="exact"/>
        <w:ind w:firstLine="640"/>
        <w:outlineLvl w:val="2"/>
        <w:rPr>
          <w:rFonts w:hint="eastAsia" w:ascii="楷体" w:hAnsi="楷体" w:eastAsia="楷体" w:cs="楷体"/>
          <w:b/>
          <w:color w:val="000000"/>
          <w:sz w:val="32"/>
          <w:szCs w:val="32"/>
        </w:rPr>
      </w:pPr>
      <w:bookmarkStart w:id="94" w:name="_Toc15377217"/>
      <w:bookmarkStart w:id="95" w:name="_Toc28445"/>
      <w:bookmarkStart w:id="96" w:name="_Toc6518"/>
      <w:bookmarkStart w:id="97" w:name="_Toc3491"/>
      <w:r>
        <w:rPr>
          <w:rFonts w:hint="eastAsia" w:ascii="楷体" w:hAnsi="楷体" w:eastAsia="楷体" w:cs="楷体"/>
          <w:b/>
          <w:color w:val="000000"/>
          <w:sz w:val="32"/>
          <w:szCs w:val="32"/>
        </w:rPr>
        <w:t>（二）“三公”经费财政拨款支出决算具体情况说明</w:t>
      </w:r>
      <w:bookmarkEnd w:id="94"/>
      <w:bookmarkEnd w:id="95"/>
      <w:bookmarkEnd w:id="96"/>
      <w:bookmarkEnd w:id="97"/>
    </w:p>
    <w:p>
      <w:pPr>
        <w:pageBreakBefore w:val="0"/>
        <w:kinsoku/>
        <w:wordWrap/>
        <w:overflowPunct/>
        <w:topLinePunct w:val="0"/>
        <w:bidi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020</w:t>
      </w:r>
      <w:r>
        <w:rPr>
          <w:rFonts w:hint="eastAsia" w:ascii="仿宋_GB2312" w:hAnsi="仿宋_GB2312" w:eastAsia="仿宋_GB2312" w:cs="仿宋_GB2312"/>
          <w:color w:val="000000"/>
          <w:sz w:val="32"/>
          <w:szCs w:val="32"/>
        </w:rPr>
        <w:t>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3.54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93</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0.27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%。具体情况如下：</w:t>
      </w:r>
    </w:p>
    <w:p>
      <w:pPr>
        <w:pStyle w:val="2"/>
        <w:rPr>
          <w:rFonts w:hint="eastAsia"/>
        </w:rPr>
      </w:pPr>
      <w:r>
        <w:drawing>
          <wp:inline distT="0" distB="0" distL="114300" distR="114300">
            <wp:extent cx="4572000" cy="2743200"/>
            <wp:effectExtent l="4445" t="4445" r="14605" b="14605"/>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因公出国（境）经费支出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年初未安排预算，与</w:t>
      </w:r>
      <w:r>
        <w:rPr>
          <w:rFonts w:hint="eastAsia" w:ascii="仿宋_GB2312" w:hAnsi="仿宋_GB2312" w:eastAsia="仿宋_GB2312" w:cs="仿宋_GB2312"/>
          <w:color w:val="000000"/>
          <w:sz w:val="32"/>
          <w:szCs w:val="32"/>
          <w:lang w:val="en-US" w:eastAsia="zh-CN"/>
        </w:rPr>
        <w:t>上年数无变化。</w:t>
      </w:r>
    </w:p>
    <w:p>
      <w:pPr>
        <w:pageBreakBefore w:val="0"/>
        <w:numPr>
          <w:ilvl w:val="0"/>
          <w:numId w:val="0"/>
        </w:numPr>
        <w:kinsoku/>
        <w:wordWrap/>
        <w:overflowPunct/>
        <w:topLinePunct w:val="0"/>
        <w:bidi w:val="0"/>
        <w:spacing w:line="560" w:lineRule="exact"/>
        <w:ind w:firstLine="642" w:firstLineChars="200"/>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3.54</w:t>
      </w:r>
      <w:r>
        <w:rPr>
          <w:rFonts w:hint="eastAsia" w:ascii="仿宋_GB2312" w:hAnsi="仿宋_GB2312" w:eastAsia="仿宋_GB2312" w:cs="仿宋_GB2312"/>
          <w:color w:val="000000"/>
          <w:sz w:val="32"/>
          <w:szCs w:val="32"/>
        </w:rPr>
        <w:t>万元,</w:t>
      </w:r>
      <w:r>
        <w:rPr>
          <w:rStyle w:val="15"/>
          <w:rFonts w:hint="eastAsia" w:ascii="仿宋_GB2312" w:hAnsi="仿宋_GB2312" w:eastAsia="仿宋_GB2312" w:cs="仿宋_GB2312"/>
          <w:b w:val="0"/>
          <w:bCs/>
          <w:color w:val="000000"/>
          <w:sz w:val="32"/>
          <w:szCs w:val="32"/>
        </w:rPr>
        <w:t>完成预算</w:t>
      </w:r>
      <w:r>
        <w:rPr>
          <w:rStyle w:val="15"/>
          <w:rFonts w:hint="eastAsia" w:ascii="仿宋_GB2312" w:hAnsi="仿宋_GB2312" w:eastAsia="仿宋_GB2312" w:cs="仿宋_GB2312"/>
          <w:b w:val="0"/>
          <w:bCs/>
          <w:color w:val="000000"/>
          <w:sz w:val="32"/>
          <w:szCs w:val="32"/>
          <w:lang w:val="en-US" w:eastAsia="zh-CN"/>
        </w:rPr>
        <w:t>70.8</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eastAsia="zh-CN"/>
        </w:rPr>
        <w:t>数</w:t>
      </w:r>
      <w:r>
        <w:rPr>
          <w:rFonts w:hint="eastAsia" w:ascii="仿宋_GB2312" w:hAnsi="仿宋_GB2312" w:eastAsia="仿宋_GB2312" w:cs="仿宋_GB2312"/>
          <w:color w:val="000000"/>
          <w:sz w:val="32"/>
          <w:szCs w:val="32"/>
        </w:rPr>
        <w:t>比</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0.57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提高</w:t>
      </w:r>
      <w:r>
        <w:rPr>
          <w:rFonts w:hint="eastAsia" w:ascii="仿宋_GB2312" w:hAnsi="仿宋_GB2312" w:eastAsia="仿宋_GB2312" w:cs="仿宋_GB2312"/>
          <w:color w:val="000000"/>
          <w:sz w:val="32"/>
          <w:szCs w:val="32"/>
          <w:lang w:val="en-US" w:eastAsia="zh-CN"/>
        </w:rPr>
        <w:t>19.19</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eastAsia="zh-CN"/>
        </w:rPr>
        <w:t>一是</w:t>
      </w:r>
      <w:r>
        <w:rPr>
          <w:rFonts w:hint="eastAsia" w:ascii="仿宋_GB2312" w:hAnsi="仿宋_GB2312" w:eastAsia="仿宋_GB2312" w:cs="仿宋_GB2312"/>
          <w:color w:val="000000"/>
          <w:sz w:val="32"/>
          <w:szCs w:val="32"/>
          <w:lang w:val="en-US" w:eastAsia="zh-CN"/>
        </w:rPr>
        <w:t>2019年公务车运行维护费支出基数较低，二是2020年脱贫攻坚任务较重，公务用车较上年略有增加。</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b/>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，年初未安排预算</w:t>
      </w:r>
      <w:r>
        <w:rPr>
          <w:rFonts w:hint="eastAsia" w:ascii="仿宋_GB2312" w:hAnsi="仿宋_GB2312" w:eastAsia="仿宋_GB2312" w:cs="仿宋_GB2312"/>
          <w:color w:val="000000"/>
          <w:sz w:val="32"/>
          <w:szCs w:val="32"/>
        </w:rPr>
        <w:t>。截至</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年12月底，单位共有公务用车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辆、执法执勤用车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bidi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lang w:val="en-US" w:eastAsia="zh-CN"/>
        </w:rPr>
        <w:t>3.54</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集体下乡帮扶以及调研出差</w:t>
      </w:r>
      <w:r>
        <w:rPr>
          <w:rFonts w:hint="eastAsia" w:ascii="仿宋_GB2312" w:hAnsi="仿宋_GB2312" w:eastAsia="仿宋_GB2312" w:cs="仿宋_GB2312"/>
          <w:color w:val="000000"/>
          <w:sz w:val="32"/>
          <w:szCs w:val="32"/>
        </w:rPr>
        <w:t>等所需的公务用车燃料费、维修费、过路过桥费、保险费等支出。</w:t>
      </w:r>
    </w:p>
    <w:p>
      <w:pPr>
        <w:pageBreakBefore w:val="0"/>
        <w:kinsoku/>
        <w:wordWrap/>
        <w:overflowPunct/>
        <w:topLinePunct w:val="0"/>
        <w:bidi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lang w:val="en-US" w:eastAsia="zh-CN"/>
        </w:rPr>
        <w:t>0.27</w:t>
      </w:r>
      <w:r>
        <w:rPr>
          <w:rFonts w:hint="eastAsia" w:ascii="仿宋_GB2312" w:hAnsi="仿宋_GB2312" w:eastAsia="仿宋_GB2312" w:cs="仿宋_GB2312"/>
          <w:color w:val="000000"/>
          <w:sz w:val="32"/>
          <w:szCs w:val="32"/>
        </w:rPr>
        <w:t>万元，</w:t>
      </w:r>
      <w:r>
        <w:rPr>
          <w:rStyle w:val="15"/>
          <w:rFonts w:hint="eastAsia" w:ascii="仿宋_GB2312" w:hAnsi="仿宋_GB2312" w:eastAsia="仿宋_GB2312" w:cs="仿宋_GB2312"/>
          <w:b w:val="0"/>
          <w:bCs/>
          <w:color w:val="000000"/>
          <w:sz w:val="32"/>
          <w:szCs w:val="32"/>
        </w:rPr>
        <w:t>完成预算</w:t>
      </w:r>
      <w:r>
        <w:rPr>
          <w:rStyle w:val="15"/>
          <w:rFonts w:hint="eastAsia" w:ascii="仿宋_GB2312" w:hAnsi="仿宋_GB2312" w:eastAsia="仿宋_GB2312" w:cs="仿宋_GB2312"/>
          <w:b w:val="0"/>
          <w:bCs/>
          <w:color w:val="000000"/>
          <w:sz w:val="32"/>
          <w:szCs w:val="32"/>
          <w:lang w:val="en-US" w:eastAsia="zh-CN"/>
        </w:rPr>
        <w:t>9</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公务接待费支出决算比201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年减少</w:t>
      </w:r>
      <w:r>
        <w:rPr>
          <w:rFonts w:hint="eastAsia" w:ascii="仿宋_GB2312" w:hAnsi="仿宋_GB2312" w:eastAsia="仿宋_GB2312" w:cs="仿宋_GB2312"/>
          <w:color w:val="000000"/>
          <w:sz w:val="32"/>
          <w:szCs w:val="32"/>
          <w:lang w:val="en-US" w:eastAsia="zh-CN"/>
        </w:rPr>
        <w:t>0.31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53.45</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继续认真贯彻落实厉行节俭等各项规定。</w:t>
      </w:r>
      <w:r>
        <w:rPr>
          <w:rFonts w:hint="eastAsia" w:ascii="仿宋_GB2312" w:hAnsi="仿宋_GB2312" w:eastAsia="仿宋_GB2312" w:cs="仿宋_GB2312"/>
          <w:color w:val="000000"/>
          <w:sz w:val="32"/>
          <w:szCs w:val="32"/>
        </w:rPr>
        <w:t>其中：</w:t>
      </w:r>
    </w:p>
    <w:p>
      <w:pPr>
        <w:pageBreakBefore w:val="0"/>
        <w:kinsoku/>
        <w:wordWrap/>
        <w:overflowPunct/>
        <w:topLinePunct w:val="0"/>
        <w:bidi w:val="0"/>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国内公务接待支出</w:t>
      </w:r>
      <w:r>
        <w:rPr>
          <w:rFonts w:hint="eastAsia" w:ascii="仿宋_GB2312" w:hAnsi="仿宋_GB2312" w:eastAsia="仿宋_GB2312" w:cs="仿宋_GB2312"/>
          <w:color w:val="000000"/>
          <w:sz w:val="32"/>
          <w:szCs w:val="32"/>
          <w:lang w:val="en-US" w:eastAsia="zh-CN"/>
        </w:rPr>
        <w:t>0.27</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汇报工作、考察调研、检查指导等公务活动开支的餐饮费</w:t>
      </w:r>
      <w:r>
        <w:rPr>
          <w:rFonts w:hint="eastAsia" w:ascii="仿宋_GB2312" w:hAnsi="仿宋_GB2312" w:eastAsia="仿宋_GB2312" w:cs="仿宋_GB2312"/>
          <w:color w:val="000000"/>
          <w:sz w:val="32"/>
          <w:szCs w:val="32"/>
        </w:rPr>
        <w:t>。国内公务接待</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人次（不包括陪同人员），共计支出</w:t>
      </w:r>
      <w:r>
        <w:rPr>
          <w:rFonts w:hint="eastAsia" w:ascii="仿宋_GB2312" w:hAnsi="仿宋_GB2312" w:eastAsia="仿宋_GB2312" w:cs="仿宋_GB2312"/>
          <w:color w:val="000000"/>
          <w:sz w:val="32"/>
          <w:szCs w:val="32"/>
          <w:lang w:val="en-US" w:eastAsia="zh-CN"/>
        </w:rPr>
        <w:t>0.2</w:t>
      </w:r>
      <w:bookmarkStart w:id="210" w:name="_GoBack"/>
      <w:bookmarkEnd w:id="210"/>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万元，具体内容包括：</w:t>
      </w:r>
      <w:r>
        <w:rPr>
          <w:rFonts w:hint="eastAsia" w:ascii="仿宋_GB2312" w:hAnsi="仿宋_GB2312" w:eastAsia="仿宋_GB2312" w:cs="仿宋_GB2312"/>
          <w:color w:val="000000"/>
          <w:sz w:val="32"/>
          <w:szCs w:val="32"/>
          <w:lang w:eastAsia="zh-CN"/>
        </w:rPr>
        <w:t>接待上级档案部门业务指导、考察调研，县区档案部门汇报工作、交流学习等。</w:t>
      </w:r>
    </w:p>
    <w:p>
      <w:pPr>
        <w:pageBreakBefore w:val="0"/>
        <w:kinsoku/>
        <w:wordWrap/>
        <w:overflowPunct/>
        <w:topLinePunct w:val="0"/>
        <w:bidi w:val="0"/>
        <w:spacing w:line="560" w:lineRule="exact"/>
        <w:ind w:firstLine="642"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w:t>
      </w:r>
      <w:bookmarkStart w:id="98" w:name="_Toc15377218"/>
      <w:bookmarkStart w:id="99" w:name="_Toc15396610"/>
      <w:bookmarkStart w:id="100" w:name="_Toc30029"/>
      <w:r>
        <w:rPr>
          <w:rFonts w:hint="eastAsia" w:ascii="仿宋_GB2312" w:hAnsi="仿宋_GB2312" w:eastAsia="仿宋_GB2312" w:cs="仿宋_GB2312"/>
          <w:color w:val="000000" w:themeColor="text1"/>
          <w:sz w:val="32"/>
          <w:szCs w:val="32"/>
          <w:lang w:eastAsia="zh-CN"/>
          <w14:textFill>
            <w14:solidFill>
              <w14:schemeClr w14:val="tx1"/>
            </w14:solidFill>
          </w14:textFill>
        </w:rPr>
        <w:t>年初未安排预算。。</w:t>
      </w:r>
    </w:p>
    <w:p>
      <w:pPr>
        <w:pageBreakBefore w:val="0"/>
        <w:kinsoku/>
        <w:wordWrap/>
        <w:overflowPunct/>
        <w:topLinePunct w:val="0"/>
        <w:bidi w:val="0"/>
        <w:spacing w:line="560"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101" w:name="_Toc10910"/>
      <w:r>
        <w:rPr>
          <w:rFonts w:hint="eastAsia" w:ascii="黑体" w:hAnsi="黑体" w:eastAsia="黑体" w:cs="黑体"/>
          <w:b/>
          <w:bCs/>
          <w:color w:val="000000"/>
          <w:kern w:val="2"/>
          <w:sz w:val="32"/>
          <w:szCs w:val="32"/>
          <w:lang w:val="en-US" w:eastAsia="zh-CN" w:bidi="ar-SA"/>
        </w:rPr>
        <w:t>八、政府性基金预算支出决算情况说明</w:t>
      </w:r>
      <w:bookmarkEnd w:id="98"/>
      <w:bookmarkEnd w:id="99"/>
      <w:bookmarkEnd w:id="100"/>
      <w:bookmarkEnd w:id="101"/>
    </w:p>
    <w:p>
      <w:pPr>
        <w:pageBreakBefore w:val="0"/>
        <w:kinsoku/>
        <w:wordWrap/>
        <w:overflowPunct/>
        <w:topLinePunct w:val="0"/>
        <w:bidi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年政府性基金预算拨款支出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，年初未安排预算</w:t>
      </w:r>
      <w:r>
        <w:rPr>
          <w:rFonts w:hint="eastAsia" w:ascii="仿宋_GB2312" w:hAnsi="仿宋_GB2312" w:eastAsia="仿宋_GB2312" w:cs="仿宋_GB2312"/>
          <w:color w:val="000000"/>
          <w:sz w:val="32"/>
          <w:szCs w:val="32"/>
        </w:rPr>
        <w:t>。2020年本单位未在政府性基金预算拨款安排“三公经费”支出。</w:t>
      </w:r>
    </w:p>
    <w:p>
      <w:pPr>
        <w:keepNext w:val="0"/>
        <w:keepLines w:val="0"/>
        <w:pageBreakBefore w:val="0"/>
        <w:widowControl w:val="0"/>
        <w:tabs>
          <w:tab w:val="right" w:pos="8306"/>
        </w:tabs>
        <w:kinsoku/>
        <w:wordWrap/>
        <w:overflowPunct/>
        <w:topLinePunct w:val="0"/>
        <w:autoSpaceDE/>
        <w:autoSpaceDN/>
        <w:bidi w:val="0"/>
        <w:adjustRightInd/>
        <w:snapToGrid/>
        <w:spacing w:before="313" w:beforeLines="100" w:line="560" w:lineRule="exact"/>
        <w:ind w:firstLine="641"/>
        <w:textAlignment w:val="auto"/>
        <w:outlineLvl w:val="1"/>
        <w:rPr>
          <w:rFonts w:hint="eastAsia" w:ascii="黑体" w:hAnsi="黑体" w:eastAsia="黑体" w:cs="黑体"/>
          <w:b/>
          <w:bCs/>
          <w:color w:val="000000"/>
          <w:kern w:val="2"/>
          <w:sz w:val="32"/>
          <w:szCs w:val="32"/>
          <w:lang w:val="en-US" w:eastAsia="zh-CN" w:bidi="ar-SA"/>
        </w:rPr>
      </w:pPr>
      <w:bookmarkStart w:id="102" w:name="_Toc22142"/>
      <w:bookmarkStart w:id="103" w:name="_Toc13807"/>
      <w:bookmarkStart w:id="104" w:name="_Toc15396611"/>
      <w:bookmarkStart w:id="105" w:name="_Toc15377219"/>
      <w:r>
        <w:rPr>
          <w:rFonts w:hint="eastAsia" w:ascii="黑体" w:hAnsi="黑体" w:eastAsia="黑体" w:cs="黑体"/>
          <w:b/>
          <w:bCs/>
          <w:color w:val="000000"/>
          <w:kern w:val="2"/>
          <w:sz w:val="32"/>
          <w:szCs w:val="32"/>
          <w:lang w:val="en-US" w:eastAsia="zh-CN" w:bidi="ar-SA"/>
        </w:rPr>
        <w:t>九、国有资本经营预算支出决算情况说明</w:t>
      </w:r>
      <w:bookmarkEnd w:id="102"/>
      <w:bookmarkEnd w:id="103"/>
      <w:bookmarkEnd w:id="104"/>
      <w:bookmarkEnd w:id="105"/>
    </w:p>
    <w:p>
      <w:pPr>
        <w:pageBreakBefore w:val="0"/>
        <w:kinsoku/>
        <w:wordWrap/>
        <w:overflowPunct/>
        <w:topLinePunct w:val="0"/>
        <w:bidi w:val="0"/>
        <w:spacing w:line="560" w:lineRule="exact"/>
        <w:ind w:firstLine="640"/>
        <w:rPr>
          <w:rFonts w:hint="eastAsia" w:ascii="仿宋_GB2312" w:hAnsi="仿宋_GB2312" w:eastAsia="仿宋_GB2312" w:cs="仿宋_GB2312"/>
          <w:sz w:val="44"/>
          <w:szCs w:val="44"/>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年国有资本经营预算拨款支出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，年初未安排预算</w:t>
      </w:r>
      <w:r>
        <w:rPr>
          <w:rFonts w:hint="eastAsia" w:ascii="仿宋_GB2312" w:hAnsi="仿宋_GB2312" w:eastAsia="仿宋_GB2312" w:cs="仿宋_GB2312"/>
          <w:color w:val="000000"/>
          <w:sz w:val="32"/>
          <w:szCs w:val="32"/>
        </w:rPr>
        <w:t>。</w:t>
      </w:r>
    </w:p>
    <w:p>
      <w:pPr>
        <w:keepNext w:val="0"/>
        <w:keepLines w:val="0"/>
        <w:pageBreakBefore w:val="0"/>
        <w:widowControl w:val="0"/>
        <w:tabs>
          <w:tab w:val="right" w:pos="8306"/>
        </w:tabs>
        <w:kinsoku/>
        <w:wordWrap/>
        <w:overflowPunct/>
        <w:topLinePunct w:val="0"/>
        <w:autoSpaceDE/>
        <w:autoSpaceDN/>
        <w:bidi w:val="0"/>
        <w:adjustRightInd/>
        <w:snapToGrid/>
        <w:spacing w:before="313" w:beforeLines="100" w:line="560" w:lineRule="exact"/>
        <w:ind w:firstLine="641"/>
        <w:textAlignment w:val="auto"/>
        <w:outlineLvl w:val="1"/>
        <w:rPr>
          <w:rFonts w:hint="eastAsia" w:ascii="黑体" w:hAnsi="黑体" w:eastAsia="黑体" w:cs="黑体"/>
          <w:b/>
          <w:bCs/>
          <w:color w:val="000000"/>
          <w:kern w:val="2"/>
          <w:sz w:val="32"/>
          <w:szCs w:val="32"/>
          <w:lang w:val="en-US" w:eastAsia="zh-CN" w:bidi="ar-SA"/>
        </w:rPr>
      </w:pPr>
      <w:bookmarkStart w:id="106" w:name="_Toc27044"/>
      <w:bookmarkStart w:id="107" w:name="_Toc15396612"/>
      <w:bookmarkStart w:id="108" w:name="_Toc15377221"/>
      <w:bookmarkStart w:id="109" w:name="_Toc28099"/>
      <w:r>
        <w:rPr>
          <w:rFonts w:hint="eastAsia" w:ascii="黑体" w:hAnsi="黑体" w:eastAsia="黑体" w:cs="黑体"/>
          <w:b/>
          <w:bCs/>
          <w:color w:val="000000"/>
          <w:kern w:val="2"/>
          <w:sz w:val="32"/>
          <w:szCs w:val="32"/>
          <w:lang w:val="en-US" w:eastAsia="zh-CN" w:bidi="ar-SA"/>
        </w:rPr>
        <w:t>十、其他重要事项的情况说明</w:t>
      </w:r>
      <w:bookmarkEnd w:id="106"/>
      <w:bookmarkEnd w:id="107"/>
      <w:bookmarkEnd w:id="108"/>
      <w:bookmarkEnd w:id="109"/>
    </w:p>
    <w:p>
      <w:pPr>
        <w:pageBreakBefore w:val="0"/>
        <w:kinsoku/>
        <w:wordWrap/>
        <w:overflowPunct/>
        <w:topLinePunct w:val="0"/>
        <w:bidi w:val="0"/>
        <w:spacing w:line="560" w:lineRule="exact"/>
        <w:ind w:firstLine="642" w:firstLineChars="200"/>
        <w:outlineLvl w:val="2"/>
        <w:rPr>
          <w:rFonts w:hint="eastAsia" w:ascii="楷体" w:hAnsi="楷体" w:eastAsia="楷体" w:cs="楷体"/>
          <w:color w:val="000000"/>
          <w:sz w:val="32"/>
          <w:szCs w:val="32"/>
        </w:rPr>
      </w:pPr>
      <w:bookmarkStart w:id="110" w:name="_Toc24615"/>
      <w:bookmarkStart w:id="111" w:name="_Toc233"/>
      <w:bookmarkStart w:id="112" w:name="_Toc27769"/>
      <w:bookmarkStart w:id="113" w:name="_Toc15377222"/>
      <w:r>
        <w:rPr>
          <w:rFonts w:hint="eastAsia" w:ascii="楷体" w:hAnsi="楷体" w:eastAsia="楷体" w:cs="楷体"/>
          <w:b/>
          <w:color w:val="000000"/>
          <w:sz w:val="32"/>
          <w:szCs w:val="32"/>
        </w:rPr>
        <w:t>（一）机关运行经费支出情况</w:t>
      </w:r>
      <w:bookmarkEnd w:id="110"/>
      <w:bookmarkEnd w:id="111"/>
      <w:bookmarkEnd w:id="112"/>
      <w:bookmarkEnd w:id="113"/>
    </w:p>
    <w:p>
      <w:pPr>
        <w:pageBreakBefore w:val="0"/>
        <w:kinsoku/>
        <w:wordWrap/>
        <w:overflowPunct/>
        <w:topLinePunct w:val="0"/>
        <w:autoSpaceDE w:val="0"/>
        <w:autoSpaceDN w:val="0"/>
        <w:bidi w:val="0"/>
        <w:adjustRightInd w:val="0"/>
        <w:spacing w:line="560" w:lineRule="exact"/>
        <w:ind w:firstLine="640" w:firstLineChars="200"/>
        <w:jc w:val="left"/>
        <w:outlineLvl w:val="2"/>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14" w:name="_Toc12392"/>
      <w:bookmarkStart w:id="115" w:name="_Toc3040"/>
      <w:bookmarkStart w:id="116" w:name="_Toc9016"/>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市档案馆</w:t>
      </w:r>
      <w:r>
        <w:rPr>
          <w:rFonts w:hint="eastAsia" w:ascii="仿宋_GB2312" w:hAnsi="仿宋_GB2312" w:eastAsia="仿宋_GB2312" w:cs="仿宋_GB2312"/>
          <w:color w:val="000000"/>
          <w:sz w:val="32"/>
          <w:szCs w:val="32"/>
        </w:rPr>
        <w:t>机关运行经费支出</w:t>
      </w:r>
      <w:r>
        <w:rPr>
          <w:rFonts w:hint="eastAsia" w:ascii="仿宋_GB2312" w:hAnsi="仿宋_GB2312" w:eastAsia="仿宋_GB2312" w:cs="仿宋_GB2312"/>
          <w:color w:val="000000"/>
          <w:sz w:val="32"/>
          <w:szCs w:val="32"/>
          <w:lang w:val="en-US" w:eastAsia="zh-CN"/>
        </w:rPr>
        <w:t>63.12</w:t>
      </w:r>
      <w:r>
        <w:rPr>
          <w:rFonts w:hint="eastAsia" w:ascii="仿宋_GB2312" w:hAnsi="仿宋_GB2312" w:eastAsia="仿宋_GB2312" w:cs="仿宋_GB2312"/>
          <w:color w:val="000000"/>
          <w:sz w:val="32"/>
          <w:szCs w:val="32"/>
        </w:rPr>
        <w:t>万元，比201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年减少</w:t>
      </w:r>
      <w:r>
        <w:rPr>
          <w:rFonts w:hint="eastAsia" w:ascii="仿宋_GB2312" w:hAnsi="仿宋_GB2312" w:eastAsia="仿宋_GB2312" w:cs="仿宋_GB2312"/>
          <w:color w:val="000000"/>
          <w:sz w:val="32"/>
          <w:szCs w:val="32"/>
          <w:lang w:val="en-US" w:eastAsia="zh-CN"/>
        </w:rPr>
        <w:t>7.73</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10.91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严格树立“过紧日子”思想，继续贯彻落实厉行节俭各项规定。</w:t>
      </w:r>
      <w:bookmarkEnd w:id="114"/>
      <w:bookmarkEnd w:id="115"/>
      <w:bookmarkEnd w:id="116"/>
    </w:p>
    <w:p>
      <w:pPr>
        <w:pageBreakBefore w:val="0"/>
        <w:kinsoku/>
        <w:wordWrap/>
        <w:overflowPunct/>
        <w:topLinePunct w:val="0"/>
        <w:autoSpaceDE w:val="0"/>
        <w:autoSpaceDN w:val="0"/>
        <w:bidi w:val="0"/>
        <w:adjustRightInd w:val="0"/>
        <w:spacing w:line="560" w:lineRule="exact"/>
        <w:ind w:firstLine="642" w:firstLineChars="200"/>
        <w:jc w:val="left"/>
        <w:outlineLvl w:val="2"/>
        <w:rPr>
          <w:rFonts w:hint="eastAsia" w:ascii="楷体" w:hAnsi="楷体" w:eastAsia="楷体" w:cs="楷体"/>
          <w:b/>
          <w:color w:val="000000"/>
          <w:kern w:val="2"/>
          <w:sz w:val="32"/>
          <w:szCs w:val="32"/>
          <w:lang w:val="en-US" w:eastAsia="zh-CN" w:bidi="ar-SA"/>
        </w:rPr>
      </w:pPr>
      <w:bookmarkStart w:id="117" w:name="_Toc14166"/>
      <w:bookmarkStart w:id="118" w:name="_Toc10810"/>
      <w:bookmarkStart w:id="119" w:name="_Toc9482"/>
      <w:r>
        <w:rPr>
          <w:rFonts w:hint="eastAsia" w:ascii="楷体" w:hAnsi="楷体" w:eastAsia="楷体" w:cs="楷体"/>
          <w:b/>
          <w:color w:val="000000"/>
          <w:kern w:val="2"/>
          <w:sz w:val="32"/>
          <w:szCs w:val="32"/>
          <w:lang w:val="en-US" w:eastAsia="zh-CN" w:bidi="ar-SA"/>
        </w:rPr>
        <w:t>（二）政府采购支出情况</w:t>
      </w:r>
      <w:bookmarkEnd w:id="117"/>
      <w:bookmarkEnd w:id="118"/>
      <w:bookmarkEnd w:id="119"/>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市档案馆</w:t>
      </w:r>
      <w:r>
        <w:rPr>
          <w:rFonts w:hint="eastAsia" w:ascii="仿宋_GB2312" w:hAnsi="仿宋_GB2312" w:eastAsia="仿宋_GB2312" w:cs="仿宋_GB2312"/>
          <w:color w:val="000000"/>
          <w:sz w:val="32"/>
          <w:szCs w:val="32"/>
        </w:rPr>
        <w:t>政府采购支出总额</w:t>
      </w:r>
      <w:r>
        <w:rPr>
          <w:rFonts w:hint="eastAsia" w:ascii="仿宋_GB2312" w:hAnsi="仿宋_GB2312" w:eastAsia="仿宋_GB2312" w:cs="仿宋_GB2312"/>
          <w:color w:val="000000"/>
          <w:sz w:val="32"/>
          <w:szCs w:val="32"/>
          <w:lang w:val="en-US" w:eastAsia="zh-CN"/>
        </w:rPr>
        <w:t>90.94</w:t>
      </w:r>
      <w:r>
        <w:rPr>
          <w:rFonts w:hint="eastAsia" w:ascii="仿宋_GB2312" w:hAnsi="仿宋_GB2312" w:eastAsia="仿宋_GB2312" w:cs="仿宋_GB2312"/>
          <w:color w:val="000000"/>
          <w:sz w:val="32"/>
          <w:szCs w:val="32"/>
        </w:rPr>
        <w:t>万元，其中：政府采购服务支出</w:t>
      </w:r>
      <w:r>
        <w:rPr>
          <w:rFonts w:hint="eastAsia" w:ascii="仿宋_GB2312" w:hAnsi="仿宋_GB2312" w:eastAsia="仿宋_GB2312" w:cs="仿宋_GB2312"/>
          <w:color w:val="000000"/>
          <w:sz w:val="32"/>
          <w:szCs w:val="32"/>
          <w:lang w:val="en-US" w:eastAsia="zh-CN"/>
        </w:rPr>
        <w:t>90.94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档案数字化扫描工作</w:t>
      </w:r>
      <w:r>
        <w:rPr>
          <w:rFonts w:hint="eastAsia" w:ascii="仿宋_GB2312" w:hAnsi="仿宋_GB2312" w:eastAsia="仿宋_GB2312" w:cs="仿宋_GB2312"/>
          <w:color w:val="000000"/>
          <w:sz w:val="32"/>
          <w:szCs w:val="32"/>
        </w:rPr>
        <w:t>。授予中小企业合同金额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%，其中：授予小微企业合同金额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560" w:lineRule="exact"/>
        <w:ind w:firstLine="642" w:firstLineChars="200"/>
        <w:outlineLvl w:val="2"/>
        <w:rPr>
          <w:rFonts w:hint="eastAsia" w:ascii="楷体" w:hAnsi="楷体" w:eastAsia="楷体" w:cs="楷体"/>
          <w:b/>
          <w:color w:val="000000"/>
          <w:sz w:val="32"/>
          <w:szCs w:val="32"/>
        </w:rPr>
      </w:pPr>
      <w:bookmarkStart w:id="120" w:name="_Toc12627"/>
      <w:bookmarkStart w:id="121" w:name="_Toc6936"/>
      <w:bookmarkStart w:id="122" w:name="_Toc11058"/>
      <w:bookmarkStart w:id="123" w:name="_Toc15377224"/>
      <w:r>
        <w:rPr>
          <w:rFonts w:hint="eastAsia" w:ascii="楷体" w:hAnsi="楷体" w:eastAsia="楷体" w:cs="楷体"/>
          <w:b/>
          <w:color w:val="000000"/>
          <w:sz w:val="32"/>
          <w:szCs w:val="32"/>
        </w:rPr>
        <w:t>（三）国有资产占有使用情况</w:t>
      </w:r>
      <w:bookmarkEnd w:id="120"/>
      <w:bookmarkEnd w:id="121"/>
      <w:bookmarkEnd w:id="122"/>
      <w:bookmarkEnd w:id="123"/>
    </w:p>
    <w:p>
      <w:pPr>
        <w:pageBreakBefore w:val="0"/>
        <w:kinsoku/>
        <w:wordWrap/>
        <w:overflowPunct/>
        <w:topLinePunct w:val="0"/>
        <w:autoSpaceDE w:val="0"/>
        <w:autoSpaceDN w:val="0"/>
        <w:bidi w:val="0"/>
        <w:adjustRightInd w:val="0"/>
        <w:spacing w:line="560" w:lineRule="exact"/>
        <w:ind w:firstLine="640" w:firstLineChars="200"/>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截至</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年12月31日，</w:t>
      </w:r>
      <w:r>
        <w:rPr>
          <w:rFonts w:hint="eastAsia" w:ascii="仿宋_GB2312" w:hAnsi="仿宋_GB2312" w:eastAsia="仿宋_GB2312" w:cs="仿宋_GB2312"/>
          <w:color w:val="000000"/>
          <w:sz w:val="32"/>
          <w:szCs w:val="32"/>
          <w:lang w:eastAsia="zh-CN"/>
        </w:rPr>
        <w:t>市档案馆</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单价50万元以上通用设备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台（套），单价100</w:t>
      </w:r>
      <w:r>
        <w:rPr>
          <w:rFonts w:hint="eastAsia" w:ascii="仿宋_GB2312" w:hAnsi="仿宋_GB2312" w:eastAsia="仿宋_GB2312" w:cs="仿宋_GB2312"/>
          <w:color w:val="000000"/>
          <w:sz w:val="32"/>
          <w:szCs w:val="32"/>
        </w:rPr>
        <w:t>万元以上专用设备</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台（套）。</w:t>
      </w:r>
    </w:p>
    <w:p>
      <w:pPr>
        <w:pageBreakBefore w:val="0"/>
        <w:kinsoku/>
        <w:wordWrap/>
        <w:overflowPunct/>
        <w:topLinePunct w:val="0"/>
        <w:bidi w:val="0"/>
        <w:spacing w:line="560" w:lineRule="exact"/>
        <w:ind w:firstLine="642" w:firstLineChars="200"/>
        <w:outlineLvl w:val="2"/>
        <w:rPr>
          <w:rFonts w:hint="eastAsia" w:ascii="楷体" w:hAnsi="楷体" w:eastAsia="楷体" w:cs="楷体"/>
          <w:b/>
          <w:color w:val="000000"/>
          <w:sz w:val="32"/>
          <w:szCs w:val="32"/>
        </w:rPr>
      </w:pPr>
      <w:bookmarkStart w:id="124" w:name="_Toc4718"/>
      <w:bookmarkStart w:id="125" w:name="_Toc2921"/>
      <w:bookmarkStart w:id="126" w:name="_Toc7123"/>
      <w:r>
        <w:rPr>
          <w:rFonts w:hint="eastAsia" w:ascii="楷体" w:hAnsi="楷体" w:eastAsia="楷体" w:cs="楷体"/>
          <w:b/>
          <w:color w:val="000000"/>
          <w:sz w:val="32"/>
          <w:szCs w:val="32"/>
        </w:rPr>
        <w:t>（四）预算绩效管理情况</w:t>
      </w:r>
      <w:bookmarkEnd w:id="124"/>
      <w:bookmarkEnd w:id="125"/>
      <w:bookmarkEnd w:id="126"/>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档案馆大楼运行、馆藏档案保管保护、档案数字化扫描以及扶贫专项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w:t>
      </w:r>
      <w:r>
        <w:rPr>
          <w:rFonts w:hint="eastAsia" w:ascii="仿宋_GB2312" w:hAnsi="仿宋_GB2312" w:eastAsia="仿宋_GB2312" w:cs="仿宋_GB2312"/>
          <w:sz w:val="32"/>
          <w:szCs w:val="32"/>
          <w:lang w:eastAsia="zh-CN"/>
        </w:rPr>
        <w:t>对部门整体支出</w:t>
      </w:r>
      <w:r>
        <w:rPr>
          <w:rFonts w:hint="eastAsia" w:ascii="仿宋_GB2312" w:hAnsi="仿宋_GB2312" w:eastAsia="仿宋_GB2312" w:cs="仿宋_GB2312"/>
          <w:sz w:val="32"/>
          <w:szCs w:val="32"/>
        </w:rPr>
        <w:t>绩效目标完成情况自评</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4个部门项目进行了绩效评价</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全年支出保证了单位的正常运转，基本保证重点档案业务工作的开展，年初严格按照绩效管理要求编制项目支出绩效目标，在数量、质量、成本、时效、效益等方面设置指标，要素较为完整；预算执行过程中，支出控制良好，项目预算执行进度较去年有很大提升；预算完成情况较好，</w:t>
      </w:r>
      <w:r>
        <w:rPr>
          <w:rFonts w:hint="eastAsia" w:ascii="仿宋_GB2312" w:hAnsi="仿宋_GB2312" w:eastAsia="仿宋_GB2312" w:cs="仿宋_GB2312"/>
          <w:sz w:val="32"/>
          <w:szCs w:val="32"/>
          <w:lang w:val="en-US" w:eastAsia="zh-CN"/>
        </w:rPr>
        <w:t>4个项目基本完成年初目标，</w:t>
      </w:r>
      <w:r>
        <w:rPr>
          <w:rFonts w:hint="eastAsia" w:ascii="仿宋_GB2312" w:hAnsi="仿宋_GB2312" w:eastAsia="仿宋_GB2312" w:cs="仿宋_GB2312"/>
          <w:sz w:val="32"/>
          <w:szCs w:val="32"/>
          <w:lang w:eastAsia="zh-CN"/>
        </w:rPr>
        <w:t>无违纪违规问题。但部分绩效目标绩效指标设置还不够科学、完善。</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项目绩效目标完成情况</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档案馆大楼运行、馆藏档案保管保护、档案数字化扫描以及扶贫专项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pageBreakBefore w:val="0"/>
        <w:numPr>
          <w:ilvl w:val="0"/>
          <w:numId w:val="2"/>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档案馆大楼运行经费</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45.13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45.13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eastAsia="zh-CN"/>
        </w:rPr>
        <w:t>基本保证了市档案馆大楼正常运转，大楼管理相对规范有序，确保了市纪委监委、市委组织部、市自然资源局档案科室的正常办公。该项目为常规项目，项目资金执行过程中厉行节俭、严格管控，未发现明显问题，全年按照年初制定的绩效目标按进度分配资金，效益较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）档案数字化扫描</w:t>
      </w:r>
      <w:r>
        <w:rPr>
          <w:rFonts w:hint="eastAsia" w:ascii="仿宋_GB2312" w:hAnsi="仿宋_GB2312" w:eastAsia="仿宋_GB2312" w:cs="仿宋_GB2312"/>
          <w:sz w:val="32"/>
          <w:szCs w:val="32"/>
          <w:lang w:val="en-US" w:eastAsia="zh-CN"/>
        </w:rPr>
        <w:t>项目绩效目标完成情况综述。项目全年预算95.6万元，执行数为90.93万元，完成预算的95.12%，该项目已按照既定目标完成了全年扫描任务，根据实际馆藏档案情况，增加了部分扫描任务（总支出未超过中标金额），增量还未验收，结转少量资金待次年支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（3）馆藏档案保管保护经费项目绩效目标完成情况综述。项目全年预算数8.78万元，执行数为6.23万元，完成预算的70.96%。通过项目实施，对馆</w:t>
      </w:r>
      <w:r>
        <w:rPr>
          <w:rFonts w:hint="eastAsia" w:ascii="仿宋_GB2312" w:hAnsi="仿宋_GB2312" w:eastAsia="仿宋_GB2312" w:cs="仿宋_GB2312"/>
          <w:sz w:val="32"/>
          <w:szCs w:val="32"/>
          <w:lang w:eastAsia="zh-CN"/>
        </w:rPr>
        <w:t>藏破产企业档案进行了清理排架，添置了库房用品，基本保障了馆藏档案实体安全，</w:t>
      </w:r>
      <w:r>
        <w:rPr>
          <w:rFonts w:hint="eastAsia" w:ascii="仿宋_GB2312" w:hAnsi="仿宋_GB2312" w:eastAsia="仿宋_GB2312" w:cs="仿宋_GB2312"/>
          <w:sz w:val="32"/>
          <w:szCs w:val="32"/>
        </w:rPr>
        <w:t>完成《广元红军石刻标语选编》编印和《抗日战争档案汇编·广元卷（二）》</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eastAsia="zh-CN"/>
        </w:rPr>
        <w:t>发现的主要问题是破产企业档案整理工作，因数量较大，本年度未能及时全部验收，导致资金未能支付到位，预算执行率较低，下一步将和业务部门加强对接，督促跟进，提高项目执行进度。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扶贫专项经费</w:t>
      </w:r>
      <w:r>
        <w:rPr>
          <w:rFonts w:hint="eastAsia" w:ascii="仿宋_GB2312" w:hAnsi="仿宋_GB2312" w:eastAsia="仿宋_GB2312" w:cs="仿宋_GB2312"/>
          <w:sz w:val="32"/>
          <w:szCs w:val="32"/>
          <w:lang w:val="en-US" w:eastAsia="zh-CN"/>
        </w:rPr>
        <w:t>项目绩效目标完成情况综述。项目全年预算3.72万元，执行数3.72万元，完成预算的100%。项目主要保证驻村工作队人员生活补助。</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tbl>
      <w:tblPr>
        <w:tblStyle w:val="13"/>
        <w:tblpPr w:leftFromText="180" w:rightFromText="180" w:vertAnchor="text" w:horzAnchor="page" w:tblpXSpec="center" w:tblpY="423"/>
        <w:tblOverlap w:val="never"/>
        <w:tblW w:w="10232" w:type="dxa"/>
        <w:jc w:val="center"/>
        <w:tblLayout w:type="fixed"/>
        <w:tblCellMar>
          <w:top w:w="0" w:type="dxa"/>
          <w:left w:w="0" w:type="dxa"/>
          <w:bottom w:w="0" w:type="dxa"/>
          <w:right w:w="0" w:type="dxa"/>
        </w:tblCellMar>
      </w:tblPr>
      <w:tblGrid>
        <w:gridCol w:w="390"/>
        <w:gridCol w:w="1078"/>
        <w:gridCol w:w="1314"/>
        <w:gridCol w:w="1986"/>
        <w:gridCol w:w="2800"/>
        <w:gridCol w:w="2664"/>
      </w:tblGrid>
      <w:tr>
        <w:tblPrEx>
          <w:tblCellMar>
            <w:top w:w="0" w:type="dxa"/>
            <w:left w:w="0" w:type="dxa"/>
            <w:bottom w:w="0" w:type="dxa"/>
            <w:right w:w="0" w:type="dxa"/>
          </w:tblCellMar>
        </w:tblPrEx>
        <w:trPr>
          <w:trHeight w:val="1034" w:hRule="atLeast"/>
          <w:jc w:val="center"/>
        </w:trPr>
        <w:tc>
          <w:tcPr>
            <w:tcW w:w="10232"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rPr>
              <w:t>项目</w:t>
            </w:r>
            <w:r>
              <w:rPr>
                <w:rFonts w:hint="eastAsia" w:ascii="仿宋_GB2312" w:hAnsi="仿宋_GB2312" w:eastAsia="仿宋_GB2312" w:cs="仿宋_GB2312"/>
                <w:b/>
                <w:bCs/>
                <w:color w:val="000000"/>
                <w:kern w:val="0"/>
                <w:sz w:val="36"/>
                <w:szCs w:val="36"/>
                <w:lang w:eastAsia="zh-CN"/>
              </w:rPr>
              <w:t>绩效目标完成情况</w:t>
            </w:r>
            <w:r>
              <w:rPr>
                <w:rFonts w:hint="eastAsia" w:ascii="仿宋_GB2312" w:hAnsi="仿宋_GB2312" w:eastAsia="仿宋_GB2312" w:cs="仿宋_GB2312"/>
                <w:b/>
                <w:bCs/>
                <w:color w:val="000000"/>
                <w:kern w:val="0"/>
                <w:sz w:val="36"/>
                <w:szCs w:val="36"/>
              </w:rPr>
              <w:t>表</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kern w:val="0"/>
                <w:sz w:val="36"/>
                <w:szCs w:val="36"/>
              </w:rPr>
              <w:t>(</w:t>
            </w:r>
            <w:r>
              <w:rPr>
                <w:rFonts w:hint="eastAsia" w:ascii="仿宋_GB2312" w:hAnsi="仿宋_GB2312" w:eastAsia="仿宋_GB2312" w:cs="仿宋_GB2312"/>
                <w:color w:val="000000"/>
                <w:kern w:val="0"/>
                <w:sz w:val="36"/>
                <w:szCs w:val="36"/>
                <w:lang w:val="en-US" w:eastAsia="zh-CN"/>
              </w:rPr>
              <w:t>2020</w:t>
            </w:r>
            <w:r>
              <w:rPr>
                <w:rFonts w:hint="eastAsia" w:ascii="仿宋_GB2312" w:hAnsi="仿宋_GB2312" w:eastAsia="仿宋_GB2312" w:cs="仿宋_GB2312"/>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档案馆大楼运行经费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市档案馆</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45.13万元</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45.13万元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45.13万元</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45.13万元</w:t>
            </w:r>
          </w:p>
        </w:tc>
      </w:tr>
      <w:tr>
        <w:tblPrEx>
          <w:tblCellMar>
            <w:top w:w="0" w:type="dxa"/>
            <w:left w:w="0" w:type="dxa"/>
            <w:bottom w:w="0" w:type="dxa"/>
            <w:right w:w="0" w:type="dxa"/>
          </w:tblCellMar>
        </w:tblPrEx>
        <w:trPr>
          <w:trHeight w:val="220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其它资金</w:t>
            </w:r>
            <w:r>
              <w:rPr>
                <w:rFonts w:hint="eastAsia" w:ascii="仿宋_GB2312" w:hAnsi="仿宋_GB2312" w:eastAsia="仿宋_GB2312" w:cs="仿宋_GB2312"/>
                <w:color w:val="000000"/>
                <w:kern w:val="0"/>
                <w:sz w:val="24"/>
                <w:lang w:eastAsia="zh-CN"/>
              </w:rPr>
              <w:t>：</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确保</w:t>
            </w:r>
            <w:r>
              <w:rPr>
                <w:rFonts w:hint="eastAsia" w:ascii="仿宋_GB2312" w:hAnsi="仿宋_GB2312" w:eastAsia="仿宋_GB2312" w:cs="仿宋_GB2312"/>
                <w:color w:val="000000"/>
                <w:sz w:val="24"/>
                <w:lang w:val="en-US" w:eastAsia="zh-CN"/>
              </w:rPr>
              <w:t>2020</w:t>
            </w:r>
            <w:r>
              <w:rPr>
                <w:rFonts w:hint="eastAsia" w:ascii="仿宋_GB2312" w:hAnsi="仿宋_GB2312" w:eastAsia="仿宋_GB2312" w:cs="仿宋_GB2312"/>
                <w:color w:val="000000"/>
                <w:sz w:val="24"/>
              </w:rPr>
              <w:t>年全年档案馆综合大楼运转正常。</w:t>
            </w: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全年大楼运转正常、管理规范有序，未出现任何安全事故，保证了市纪委监委、市委组织部、市自然资源局档案部门及市档案馆日常办公。</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44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标</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水电畅通</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w:t>
            </w:r>
            <w:r>
              <w:rPr>
                <w:rStyle w:val="19"/>
                <w:rFonts w:hint="eastAsia" w:ascii="仿宋_GB2312" w:hAnsi="仿宋_GB2312" w:eastAsia="仿宋_GB2312" w:cs="仿宋_GB2312"/>
                <w:lang w:val="en-US" w:eastAsia="zh-CN" w:bidi="ar"/>
              </w:rPr>
              <w:t>12个月</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w:t>
            </w:r>
            <w:r>
              <w:rPr>
                <w:rStyle w:val="19"/>
                <w:rFonts w:hint="eastAsia" w:ascii="仿宋_GB2312" w:hAnsi="仿宋_GB2312" w:eastAsia="仿宋_GB2312" w:cs="仿宋_GB2312"/>
                <w:lang w:val="en-US" w:eastAsia="zh-CN" w:bidi="ar"/>
              </w:rPr>
              <w:t>12个月</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专用网络畅通</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w:t>
            </w:r>
            <w:r>
              <w:rPr>
                <w:rStyle w:val="19"/>
                <w:rFonts w:hint="eastAsia" w:ascii="仿宋_GB2312" w:hAnsi="仿宋_GB2312" w:eastAsia="仿宋_GB2312" w:cs="仿宋_GB2312"/>
                <w:lang w:val="en-US" w:eastAsia="zh-CN" w:bidi="ar"/>
              </w:rPr>
              <w:t>12个月</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w:t>
            </w:r>
            <w:r>
              <w:rPr>
                <w:rStyle w:val="19"/>
                <w:rFonts w:hint="eastAsia" w:ascii="仿宋_GB2312" w:hAnsi="仿宋_GB2312" w:eastAsia="仿宋_GB2312" w:cs="仿宋_GB2312"/>
                <w:lang w:val="en-US" w:eastAsia="zh-CN" w:bidi="ar"/>
              </w:rPr>
              <w:t>12个月</w:t>
            </w:r>
          </w:p>
        </w:tc>
      </w:tr>
      <w:tr>
        <w:tblPrEx>
          <w:tblCellMar>
            <w:top w:w="0" w:type="dxa"/>
            <w:left w:w="0" w:type="dxa"/>
            <w:bottom w:w="0" w:type="dxa"/>
            <w:right w:w="0" w:type="dxa"/>
          </w:tblCellMar>
        </w:tblPrEx>
        <w:trPr>
          <w:trHeight w:val="52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每半年进行1次消防维保</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每半年完成1次消防维保</w:t>
            </w:r>
          </w:p>
        </w:tc>
      </w:tr>
      <w:tr>
        <w:tblPrEx>
          <w:tblCellMar>
            <w:top w:w="0" w:type="dxa"/>
            <w:left w:w="0" w:type="dxa"/>
            <w:bottom w:w="0" w:type="dxa"/>
            <w:right w:w="0" w:type="dxa"/>
          </w:tblCellMar>
        </w:tblPrEx>
        <w:trPr>
          <w:trHeight w:val="67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电梯运行安全</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每半年进行1次电梯维护</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每半年完成1次电梯检测维护</w:t>
            </w:r>
          </w:p>
        </w:tc>
      </w:tr>
      <w:tr>
        <w:tblPrEx>
          <w:tblCellMar>
            <w:top w:w="0" w:type="dxa"/>
            <w:left w:w="0" w:type="dxa"/>
            <w:bottom w:w="0" w:type="dxa"/>
            <w:right w:w="0" w:type="dxa"/>
          </w:tblCellMar>
        </w:tblPrEx>
        <w:trPr>
          <w:trHeight w:val="5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物业管理规范有序</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提供专业物业管理公司</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聘请富兴物业管理公司</w:t>
            </w:r>
          </w:p>
        </w:tc>
      </w:tr>
      <w:tr>
        <w:tblPrEx>
          <w:tblCellMar>
            <w:top w:w="0" w:type="dxa"/>
            <w:left w:w="0" w:type="dxa"/>
            <w:bottom w:w="0" w:type="dxa"/>
            <w:right w:w="0" w:type="dxa"/>
          </w:tblCellMar>
        </w:tblPrEx>
        <w:trPr>
          <w:trHeight w:val="42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零星维修及时</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不影响正常使用</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全年正常</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保证大楼运转正常</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≧360天</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运转正常</w:t>
            </w:r>
          </w:p>
        </w:tc>
      </w:tr>
      <w:tr>
        <w:tblPrEx>
          <w:tblCellMar>
            <w:top w:w="0" w:type="dxa"/>
            <w:left w:w="0" w:type="dxa"/>
            <w:bottom w:w="0" w:type="dxa"/>
            <w:right w:w="0" w:type="dxa"/>
          </w:tblCellMar>
        </w:tblPrEx>
        <w:trPr>
          <w:trHeight w:val="55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完成时间</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≧360天</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按时完成</w:t>
            </w:r>
          </w:p>
        </w:tc>
      </w:tr>
      <w:tr>
        <w:tblPrEx>
          <w:tblCellMar>
            <w:top w:w="0" w:type="dxa"/>
            <w:left w:w="0" w:type="dxa"/>
            <w:bottom w:w="0" w:type="dxa"/>
            <w:right w:w="0" w:type="dxa"/>
          </w:tblCellMar>
        </w:tblPrEx>
        <w:trPr>
          <w:trHeight w:val="5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全年水电支出</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水：4.29元/吨，电：0.8元/度</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全年水电费</w:t>
            </w:r>
            <w:r>
              <w:rPr>
                <w:rFonts w:hint="eastAsia" w:ascii="仿宋_GB2312" w:hAnsi="仿宋_GB2312" w:eastAsia="仿宋_GB2312" w:cs="仿宋_GB2312"/>
                <w:color w:val="000000"/>
                <w:sz w:val="24"/>
                <w:lang w:val="en-US" w:eastAsia="zh-CN"/>
              </w:rPr>
              <w:t>10万元</w:t>
            </w:r>
          </w:p>
        </w:tc>
      </w:tr>
      <w:tr>
        <w:tblPrEx>
          <w:tblCellMar>
            <w:top w:w="0" w:type="dxa"/>
            <w:left w:w="0" w:type="dxa"/>
            <w:bottom w:w="0" w:type="dxa"/>
            <w:right w:w="0" w:type="dxa"/>
          </w:tblCellMar>
        </w:tblPrEx>
        <w:trPr>
          <w:trHeight w:val="7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全年电梯维护支出</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两部电梯维护及检测费，0.5万元/部</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1万元</w:t>
            </w:r>
          </w:p>
        </w:tc>
      </w:tr>
      <w:tr>
        <w:tblPrEx>
          <w:tblCellMar>
            <w:top w:w="0" w:type="dxa"/>
            <w:left w:w="0" w:type="dxa"/>
            <w:bottom w:w="0" w:type="dxa"/>
            <w:right w:w="0" w:type="dxa"/>
          </w:tblCellMar>
        </w:tblPrEx>
        <w:trPr>
          <w:trHeight w:val="789"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物业管理费支出</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物管费1.2万元/月，绿化费0.4万元/季度</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全年物业管理费用</w:t>
            </w:r>
            <w:r>
              <w:rPr>
                <w:rFonts w:hint="eastAsia" w:ascii="仿宋_GB2312" w:hAnsi="仿宋_GB2312" w:eastAsia="仿宋_GB2312" w:cs="仿宋_GB2312"/>
                <w:color w:val="000000"/>
                <w:sz w:val="24"/>
                <w:lang w:val="en-US" w:eastAsia="zh-CN"/>
              </w:rPr>
              <w:t>16万元</w:t>
            </w:r>
          </w:p>
        </w:tc>
      </w:tr>
      <w:tr>
        <w:tblPrEx>
          <w:tblCellMar>
            <w:top w:w="0" w:type="dxa"/>
            <w:left w:w="0" w:type="dxa"/>
            <w:bottom w:w="0" w:type="dxa"/>
            <w:right w:w="0" w:type="dxa"/>
          </w:tblCellMar>
        </w:tblPrEx>
        <w:trPr>
          <w:trHeight w:val="473"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网络租赁费支出</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8158元/月</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4"/>
                <w:szCs w:val="24"/>
                <w:u w:val="none"/>
                <w:lang w:val="en-US" w:eastAsia="zh-CN" w:bidi="ar"/>
              </w:rPr>
              <w:t>全年网络运行费用9.8万元</w:t>
            </w:r>
          </w:p>
        </w:tc>
      </w:tr>
      <w:tr>
        <w:tblPrEx>
          <w:tblCellMar>
            <w:top w:w="0" w:type="dxa"/>
            <w:left w:w="0" w:type="dxa"/>
            <w:bottom w:w="0" w:type="dxa"/>
            <w:right w:w="0" w:type="dxa"/>
          </w:tblCellMar>
        </w:tblPrEx>
        <w:trPr>
          <w:trHeight w:val="792" w:hRule="atLeast"/>
          <w:jc w:val="center"/>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零星维修支出</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购买材料6万元，人工费1万元</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零星维修支出</w:t>
            </w:r>
            <w:r>
              <w:rPr>
                <w:rFonts w:hint="eastAsia" w:ascii="仿宋_GB2312" w:hAnsi="仿宋_GB2312" w:eastAsia="仿宋_GB2312" w:cs="仿宋_GB2312"/>
                <w:color w:val="000000"/>
                <w:sz w:val="24"/>
                <w:lang w:val="en-US" w:eastAsia="zh-CN"/>
              </w:rPr>
              <w:t>8万元</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lang w:val="en-US" w:eastAsia="zh-CN"/>
              </w:rPr>
            </w:pPr>
            <w:r>
              <w:rPr>
                <w:rFonts w:hint="eastAsia" w:ascii="仿宋_GB2312" w:hAnsi="仿宋_GB2312" w:eastAsia="仿宋_GB2312" w:cs="仿宋_GB2312"/>
                <w:i w:val="0"/>
                <w:color w:val="000000"/>
                <w:kern w:val="0"/>
                <w:sz w:val="24"/>
                <w:szCs w:val="24"/>
                <w:u w:val="none"/>
                <w:lang w:val="en-US" w:eastAsia="zh-CN" w:bidi="ar"/>
              </w:rPr>
              <w:t>效益指标</w:t>
            </w:r>
          </w:p>
        </w:tc>
        <w:tc>
          <w:tcPr>
            <w:tcW w:w="13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对工作的促进作用</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保证大楼的正常运行，促进工作正常开展</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4"/>
                <w:szCs w:val="24"/>
                <w:u w:val="none"/>
                <w:lang w:val="en-US" w:eastAsia="zh-CN" w:bidi="ar"/>
              </w:rPr>
              <w:t>保证了2020年大楼的正常运转</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可持续影响指标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大楼持续运转</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≧50年</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2020年度运转正常</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群众满意度</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群众满意度</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≧95%</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i w:val="0"/>
                <w:color w:val="000000"/>
                <w:kern w:val="0"/>
                <w:sz w:val="24"/>
                <w:szCs w:val="24"/>
                <w:u w:val="none"/>
                <w:lang w:val="en-US" w:eastAsia="zh-CN" w:bidi="ar"/>
              </w:rPr>
              <w:t>≧95%</w:t>
            </w:r>
          </w:p>
        </w:tc>
      </w:tr>
    </w:tbl>
    <w:p>
      <w:pPr>
        <w:keepNext w:val="0"/>
        <w:keepLines w:val="0"/>
        <w:pageBreakBefore w:val="0"/>
        <w:kinsoku/>
        <w:wordWrap/>
        <w:overflowPunct/>
        <w:topLinePunct w:val="0"/>
        <w:autoSpaceDE/>
        <w:autoSpaceDN/>
        <w:bidi w:val="0"/>
        <w:adjustRightInd/>
        <w:snapToGrid/>
        <w:spacing w:line="480" w:lineRule="exact"/>
        <w:ind w:left="630"/>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ind w:left="0" w:leftChars="0" w:firstLine="0" w:firstLineChars="0"/>
        <w:rPr>
          <w:rFonts w:hint="eastAsia" w:ascii="仿宋_GB2312" w:hAnsi="仿宋_GB2312" w:eastAsia="仿宋_GB2312" w:cs="仿宋_GB2312"/>
          <w:sz w:val="32"/>
          <w:szCs w:val="32"/>
        </w:rPr>
      </w:pPr>
    </w:p>
    <w:tbl>
      <w:tblPr>
        <w:tblStyle w:val="13"/>
        <w:tblpPr w:leftFromText="180" w:rightFromText="180" w:vertAnchor="text" w:horzAnchor="page" w:tblpXSpec="center" w:tblpY="423"/>
        <w:tblOverlap w:val="never"/>
        <w:tblW w:w="10232" w:type="dxa"/>
        <w:jc w:val="center"/>
        <w:tblLayout w:type="fixed"/>
        <w:tblCellMar>
          <w:top w:w="0" w:type="dxa"/>
          <w:left w:w="0" w:type="dxa"/>
          <w:bottom w:w="0" w:type="dxa"/>
          <w:right w:w="0" w:type="dxa"/>
        </w:tblCellMar>
      </w:tblPr>
      <w:tblGrid>
        <w:gridCol w:w="390"/>
        <w:gridCol w:w="1078"/>
        <w:gridCol w:w="1314"/>
        <w:gridCol w:w="1986"/>
        <w:gridCol w:w="2800"/>
        <w:gridCol w:w="2664"/>
      </w:tblGrid>
      <w:tr>
        <w:tblPrEx>
          <w:tblCellMar>
            <w:top w:w="0" w:type="dxa"/>
            <w:left w:w="0" w:type="dxa"/>
            <w:bottom w:w="0" w:type="dxa"/>
            <w:right w:w="0" w:type="dxa"/>
          </w:tblCellMar>
        </w:tblPrEx>
        <w:trPr>
          <w:trHeight w:val="1034" w:hRule="atLeast"/>
          <w:jc w:val="center"/>
        </w:trPr>
        <w:tc>
          <w:tcPr>
            <w:tcW w:w="10232"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rPr>
              <w:t>项目</w:t>
            </w:r>
            <w:r>
              <w:rPr>
                <w:rFonts w:hint="eastAsia" w:ascii="仿宋_GB2312" w:hAnsi="仿宋_GB2312" w:eastAsia="仿宋_GB2312" w:cs="仿宋_GB2312"/>
                <w:b/>
                <w:bCs/>
                <w:color w:val="000000"/>
                <w:kern w:val="0"/>
                <w:sz w:val="36"/>
                <w:szCs w:val="36"/>
                <w:lang w:eastAsia="zh-CN"/>
              </w:rPr>
              <w:t>绩效目标完成情况</w:t>
            </w:r>
            <w:r>
              <w:rPr>
                <w:rFonts w:hint="eastAsia" w:ascii="仿宋_GB2312" w:hAnsi="仿宋_GB2312" w:eastAsia="仿宋_GB2312" w:cs="仿宋_GB2312"/>
                <w:b/>
                <w:bCs/>
                <w:color w:val="000000"/>
                <w:kern w:val="0"/>
                <w:sz w:val="36"/>
                <w:szCs w:val="36"/>
              </w:rPr>
              <w:t>表</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kern w:val="0"/>
                <w:sz w:val="36"/>
                <w:szCs w:val="36"/>
              </w:rPr>
              <w:t>(</w:t>
            </w:r>
            <w:r>
              <w:rPr>
                <w:rFonts w:hint="eastAsia" w:ascii="仿宋_GB2312" w:hAnsi="仿宋_GB2312" w:eastAsia="仿宋_GB2312" w:cs="仿宋_GB2312"/>
                <w:color w:val="000000"/>
                <w:kern w:val="0"/>
                <w:sz w:val="36"/>
                <w:szCs w:val="36"/>
                <w:lang w:val="en-US" w:eastAsia="zh-CN"/>
              </w:rPr>
              <w:t>2020</w:t>
            </w:r>
            <w:r>
              <w:rPr>
                <w:rFonts w:hint="eastAsia" w:ascii="仿宋_GB2312" w:hAnsi="仿宋_GB2312" w:eastAsia="仿宋_GB2312" w:cs="仿宋_GB2312"/>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lang w:eastAsia="zh-CN"/>
              </w:rPr>
              <w:t>馆藏档案数字化扫描经费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市档案馆</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95.6万元</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90.93万元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95.6万元</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90.93万元</w:t>
            </w:r>
          </w:p>
        </w:tc>
      </w:tr>
      <w:tr>
        <w:tblPrEx>
          <w:tblCellMar>
            <w:top w:w="0" w:type="dxa"/>
            <w:left w:w="0" w:type="dxa"/>
            <w:bottom w:w="0" w:type="dxa"/>
            <w:right w:w="0" w:type="dxa"/>
          </w:tblCellMar>
        </w:tblPrEx>
        <w:trPr>
          <w:trHeight w:val="220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其它资金</w:t>
            </w:r>
            <w:r>
              <w:rPr>
                <w:rFonts w:hint="eastAsia" w:ascii="仿宋_GB2312" w:hAnsi="仿宋_GB2312" w:eastAsia="仿宋_GB2312" w:cs="仿宋_GB2312"/>
                <w:color w:val="000000"/>
                <w:kern w:val="0"/>
                <w:sz w:val="24"/>
                <w:lang w:eastAsia="zh-CN"/>
              </w:rPr>
              <w:t>：</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86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通过对库存纸质档案进行扫描加工，完成</w:t>
            </w:r>
            <w:r>
              <w:rPr>
                <w:rFonts w:hint="eastAsia" w:ascii="仿宋_GB2312" w:hAnsi="仿宋_GB2312" w:eastAsia="仿宋_GB2312" w:cs="仿宋_GB2312"/>
                <w:color w:val="000000"/>
                <w:sz w:val="24"/>
                <w:lang w:val="en-US" w:eastAsia="zh-CN"/>
              </w:rPr>
              <w:t>2020年度档案扫描任务，最终实现所有馆藏档案数字化。</w:t>
            </w: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完成档案扫描</w:t>
            </w:r>
            <w:r>
              <w:rPr>
                <w:rFonts w:hint="eastAsia" w:ascii="仿宋_GB2312" w:hAnsi="仿宋_GB2312" w:eastAsia="仿宋_GB2312" w:cs="仿宋_GB2312"/>
                <w:color w:val="000000"/>
                <w:sz w:val="24"/>
                <w:lang w:val="en-US" w:eastAsia="zh-CN"/>
              </w:rPr>
              <w:t>305万页，著录48.5万条。现阶段市档案馆库存档案扫描完毕。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44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标</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olor w:val="000000"/>
                <w:kern w:val="0"/>
                <w:sz w:val="22"/>
                <w:szCs w:val="22"/>
                <w:u w:val="none"/>
                <w:lang w:val="en-US" w:eastAsia="zh-CN" w:bidi="ar"/>
              </w:rPr>
              <w:t>数字化扫描页数</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300万页</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305万页</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olor w:val="000000"/>
                <w:kern w:val="0"/>
                <w:sz w:val="22"/>
                <w:szCs w:val="22"/>
                <w:u w:val="none"/>
                <w:lang w:val="en-US" w:eastAsia="zh-CN" w:bidi="ar"/>
              </w:rPr>
              <w:t>著录条数</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40万条</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48.5万条</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olor w:val="000000"/>
                <w:kern w:val="0"/>
                <w:sz w:val="22"/>
                <w:szCs w:val="22"/>
                <w:u w:val="none"/>
                <w:lang w:val="en-US" w:eastAsia="zh-CN" w:bidi="ar"/>
              </w:rPr>
              <w:t>验收合格率</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rPr>
            </w:pPr>
            <w:r>
              <w:rPr>
                <w:rFonts w:hint="eastAsia" w:ascii="宋体" w:hAnsi="宋体" w:eastAsia="宋体" w:cs="宋体"/>
                <w:i w:val="0"/>
                <w:iCs w:val="0"/>
                <w:color w:val="000000"/>
                <w:kern w:val="0"/>
                <w:sz w:val="22"/>
                <w:szCs w:val="22"/>
                <w:u w:val="none"/>
                <w:lang w:val="en-US" w:eastAsia="zh-CN" w:bidi="ar"/>
              </w:rPr>
              <w:t>≥95%</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CellMar>
            <w:top w:w="0" w:type="dxa"/>
            <w:left w:w="0" w:type="dxa"/>
            <w:bottom w:w="0" w:type="dxa"/>
            <w:right w:w="0" w:type="dxa"/>
          </w:tblCellMar>
        </w:tblPrEx>
        <w:trPr>
          <w:trHeight w:val="7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完成时间</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2020年12月前</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按时完成</w:t>
            </w:r>
          </w:p>
        </w:tc>
      </w:tr>
      <w:tr>
        <w:tblPrEx>
          <w:tblCellMar>
            <w:top w:w="0" w:type="dxa"/>
            <w:left w:w="0" w:type="dxa"/>
            <w:bottom w:w="0" w:type="dxa"/>
            <w:right w:w="0" w:type="dxa"/>
          </w:tblCellMar>
        </w:tblPrEx>
        <w:trPr>
          <w:trHeight w:val="5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olor w:val="000000"/>
                <w:kern w:val="0"/>
                <w:sz w:val="22"/>
                <w:szCs w:val="22"/>
                <w:u w:val="none"/>
                <w:lang w:val="en-US" w:eastAsia="zh-CN" w:bidi="ar"/>
              </w:rPr>
              <w:t>档案清理、扫描、著录、数据效验、存储备份等</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olor w:val="000000"/>
                <w:kern w:val="0"/>
                <w:sz w:val="22"/>
                <w:szCs w:val="22"/>
                <w:u w:val="none"/>
                <w:lang w:val="en-US" w:eastAsia="zh-CN" w:bidi="ar"/>
              </w:rPr>
              <w:t>0.29元/页</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0.29元/页</w:t>
            </w:r>
          </w:p>
        </w:tc>
      </w:tr>
      <w:tr>
        <w:tblPrEx>
          <w:tblCellMar>
            <w:top w:w="0" w:type="dxa"/>
            <w:left w:w="0" w:type="dxa"/>
            <w:bottom w:w="0" w:type="dxa"/>
            <w:right w:w="0" w:type="dxa"/>
          </w:tblCellMar>
        </w:tblPrEx>
        <w:trPr>
          <w:trHeight w:val="7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olor w:val="000000"/>
                <w:kern w:val="0"/>
                <w:sz w:val="22"/>
                <w:szCs w:val="22"/>
                <w:u w:val="none"/>
                <w:lang w:val="en-US" w:eastAsia="zh-CN" w:bidi="ar"/>
              </w:rPr>
              <w:t>档案著录</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元/条</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0.2元/条</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lang w:val="en-US" w:eastAsia="zh-CN"/>
              </w:rPr>
            </w:pPr>
            <w:r>
              <w:rPr>
                <w:rFonts w:hint="eastAsia" w:ascii="仿宋_GB2312" w:hAnsi="仿宋_GB2312" w:eastAsia="仿宋_GB2312" w:cs="仿宋_GB2312"/>
                <w:i w:val="0"/>
                <w:color w:val="000000"/>
                <w:kern w:val="0"/>
                <w:sz w:val="24"/>
                <w:szCs w:val="24"/>
                <w:u w:val="none"/>
                <w:lang w:val="en-US" w:eastAsia="zh-CN" w:bidi="ar"/>
              </w:rPr>
              <w:t>效益指标</w:t>
            </w:r>
          </w:p>
        </w:tc>
        <w:tc>
          <w:tcPr>
            <w:tcW w:w="13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档案</w:t>
            </w:r>
            <w:r>
              <w:rPr>
                <w:rFonts w:hint="eastAsia" w:ascii="宋体" w:hAnsi="宋体" w:cs="宋体"/>
                <w:i w:val="0"/>
                <w:iCs w:val="0"/>
                <w:color w:val="000000"/>
                <w:kern w:val="0"/>
                <w:sz w:val="22"/>
                <w:szCs w:val="22"/>
                <w:u w:val="none"/>
                <w:lang w:val="en-US" w:eastAsia="zh-CN" w:bidi="ar"/>
              </w:rPr>
              <w:t>保存</w:t>
            </w:r>
            <w:r>
              <w:rPr>
                <w:rFonts w:hint="eastAsia" w:ascii="宋体" w:hAnsi="宋体" w:eastAsia="宋体" w:cs="宋体"/>
                <w:i w:val="0"/>
                <w:iCs w:val="0"/>
                <w:color w:val="000000"/>
                <w:kern w:val="0"/>
                <w:sz w:val="22"/>
                <w:szCs w:val="22"/>
                <w:u w:val="none"/>
                <w:lang w:val="en-US" w:eastAsia="zh-CN" w:bidi="ar"/>
              </w:rPr>
              <w:t>年限</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永久</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永久</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群众满意度</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档案使用者满意度</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未接到不满意投诉</w:t>
            </w:r>
          </w:p>
        </w:tc>
      </w:tr>
    </w:tbl>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3"/>
        <w:tblpPr w:leftFromText="180" w:rightFromText="180" w:vertAnchor="text" w:horzAnchor="page" w:tblpXSpec="center" w:tblpY="423"/>
        <w:tblOverlap w:val="never"/>
        <w:tblW w:w="10232" w:type="dxa"/>
        <w:jc w:val="center"/>
        <w:tblLayout w:type="fixed"/>
        <w:tblCellMar>
          <w:top w:w="0" w:type="dxa"/>
          <w:left w:w="0" w:type="dxa"/>
          <w:bottom w:w="0" w:type="dxa"/>
          <w:right w:w="0" w:type="dxa"/>
        </w:tblCellMar>
      </w:tblPr>
      <w:tblGrid>
        <w:gridCol w:w="390"/>
        <w:gridCol w:w="1078"/>
        <w:gridCol w:w="1314"/>
        <w:gridCol w:w="1986"/>
        <w:gridCol w:w="2657"/>
        <w:gridCol w:w="2807"/>
      </w:tblGrid>
      <w:tr>
        <w:tblPrEx>
          <w:tblCellMar>
            <w:top w:w="0" w:type="dxa"/>
            <w:left w:w="0" w:type="dxa"/>
            <w:bottom w:w="0" w:type="dxa"/>
            <w:right w:w="0" w:type="dxa"/>
          </w:tblCellMar>
        </w:tblPrEx>
        <w:trPr>
          <w:trHeight w:val="1034" w:hRule="atLeast"/>
          <w:jc w:val="center"/>
        </w:trPr>
        <w:tc>
          <w:tcPr>
            <w:tcW w:w="10232"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rPr>
              <w:t>项目绩效目标完成情况表</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kern w:val="0"/>
                <w:sz w:val="36"/>
                <w:szCs w:val="36"/>
              </w:rPr>
              <w:t>(</w:t>
            </w:r>
            <w:r>
              <w:rPr>
                <w:rFonts w:hint="eastAsia" w:ascii="仿宋_GB2312" w:hAnsi="仿宋_GB2312" w:eastAsia="仿宋_GB2312" w:cs="仿宋_GB2312"/>
                <w:color w:val="000000"/>
                <w:kern w:val="0"/>
                <w:sz w:val="36"/>
                <w:szCs w:val="36"/>
                <w:lang w:val="en-US" w:eastAsia="zh-CN"/>
              </w:rPr>
              <w:t>2020</w:t>
            </w:r>
            <w:r>
              <w:rPr>
                <w:rFonts w:hint="eastAsia" w:ascii="仿宋_GB2312" w:hAnsi="仿宋_GB2312" w:eastAsia="仿宋_GB2312" w:cs="仿宋_GB2312"/>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项目名称</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档案保管保护经费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预算单位</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市档案馆</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预算数:</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8.78万元</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执行数:</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6.23万元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其中-财政拨款:</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8.78万元</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其中-财政拨款:</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6.23万元</w:t>
            </w:r>
          </w:p>
        </w:tc>
      </w:tr>
      <w:tr>
        <w:tblPrEx>
          <w:tblCellMar>
            <w:top w:w="0" w:type="dxa"/>
            <w:left w:w="0" w:type="dxa"/>
            <w:bottom w:w="0" w:type="dxa"/>
            <w:right w:w="0" w:type="dxa"/>
          </w:tblCellMar>
        </w:tblPrEx>
        <w:trPr>
          <w:trHeight w:val="220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rPr>
              <w:t>其它资金</w:t>
            </w:r>
            <w:r>
              <w:rPr>
                <w:rFonts w:hint="eastAsia" w:ascii="仿宋_GB2312" w:hAnsi="仿宋_GB2312" w:eastAsia="仿宋_GB2312" w:cs="仿宋_GB2312"/>
                <w:color w:val="000000"/>
                <w:kern w:val="0"/>
                <w:sz w:val="24"/>
                <w:szCs w:val="24"/>
                <w:lang w:eastAsia="zh-CN"/>
              </w:rPr>
              <w:t>：</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szCs w:val="24"/>
              </w:rPr>
            </w:pP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其它资金:</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年度目标完成情况</w:t>
            </w: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预期目标</w:t>
            </w: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实际完成目标</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szCs w:val="24"/>
              </w:rPr>
            </w:pP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基本保证2020年度档案馆馆藏档案的安全和规范化管理</w:t>
            </w:r>
            <w:r>
              <w:rPr>
                <w:rFonts w:hint="eastAsia" w:ascii="仿宋_GB2312" w:hAnsi="仿宋_GB2312" w:eastAsia="仿宋_GB2312" w:cs="仿宋_GB2312"/>
                <w:color w:val="000000"/>
                <w:sz w:val="24"/>
                <w:szCs w:val="24"/>
                <w:lang w:eastAsia="zh-CN"/>
              </w:rPr>
              <w:t>，完成一批破产企业整理</w:t>
            </w:r>
            <w:r>
              <w:rPr>
                <w:rFonts w:hint="eastAsia" w:ascii="仿宋_GB2312" w:hAnsi="仿宋_GB2312" w:eastAsia="仿宋_GB2312" w:cs="仿宋_GB2312"/>
                <w:color w:val="000000"/>
                <w:sz w:val="24"/>
                <w:szCs w:val="24"/>
              </w:rPr>
              <w:t>。完成1种专题资料编著。</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szCs w:val="24"/>
              </w:rPr>
            </w:pP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完成破产企业第一机械厂档案整理工作，库房增加必要设施，基本保证档案库房的正常管理和运转。完成《广元红军石刻标语选编》编印</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绩效指标完成情况</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一级指标</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二级指标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三级指标</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预期指标值(包含数字及文字描述)</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实际完成指标值(包含数字及文字描述)</w:t>
            </w:r>
          </w:p>
        </w:tc>
      </w:tr>
      <w:tr>
        <w:tblPrEx>
          <w:tblCellMar>
            <w:top w:w="0" w:type="dxa"/>
            <w:left w:w="0" w:type="dxa"/>
            <w:bottom w:w="0" w:type="dxa"/>
            <w:right w:w="0" w:type="dxa"/>
          </w:tblCellMar>
        </w:tblPrEx>
        <w:trPr>
          <w:trHeight w:val="44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指</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标</w:t>
            </w:r>
          </w:p>
        </w:tc>
        <w:tc>
          <w:tcPr>
            <w:tcW w:w="131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完成零散档案整理</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5万卷</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完成破产企业第一机械厂档案整理排架</w:t>
            </w:r>
            <w:r>
              <w:rPr>
                <w:rFonts w:hint="eastAsia" w:ascii="仿宋_GB2312" w:hAnsi="仿宋_GB2312" w:eastAsia="仿宋_GB2312" w:cs="仿宋_GB2312"/>
                <w:color w:val="000000"/>
                <w:sz w:val="24"/>
                <w:szCs w:val="24"/>
                <w:lang w:val="en-US" w:eastAsia="zh-CN"/>
              </w:rPr>
              <w:t>5万卷</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31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库房日常维护</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库房运转正常</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保证档案实体安全</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31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专题资料编著</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1部</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《广元红军石刻标语选编》</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案卷规范归档率</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i w:val="0"/>
                <w:color w:val="000000"/>
                <w:kern w:val="0"/>
                <w:sz w:val="24"/>
                <w:szCs w:val="24"/>
                <w:u w:val="none"/>
                <w:lang w:val="en-US" w:eastAsia="zh-CN" w:bidi="ar"/>
              </w:rPr>
              <w:t>≧98%</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r>
      <w:tr>
        <w:tblPrEx>
          <w:tblCellMar>
            <w:top w:w="0" w:type="dxa"/>
            <w:left w:w="0" w:type="dxa"/>
            <w:bottom w:w="0" w:type="dxa"/>
            <w:right w:w="0" w:type="dxa"/>
          </w:tblCellMar>
        </w:tblPrEx>
        <w:trPr>
          <w:trHeight w:val="7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完成时间</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2020年12月31日前</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≧360天</w:t>
            </w:r>
          </w:p>
        </w:tc>
      </w:tr>
      <w:tr>
        <w:tblPrEx>
          <w:tblCellMar>
            <w:top w:w="0" w:type="dxa"/>
            <w:left w:w="0" w:type="dxa"/>
            <w:bottom w:w="0" w:type="dxa"/>
            <w:right w:w="0" w:type="dxa"/>
          </w:tblCellMar>
        </w:tblPrEx>
        <w:trPr>
          <w:trHeight w:val="5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szCs w:val="24"/>
              </w:rPr>
            </w:pPr>
          </w:p>
        </w:tc>
        <w:tc>
          <w:tcPr>
            <w:tcW w:w="131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档案整理费</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12元/卷</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10元/卷</w:t>
            </w:r>
          </w:p>
        </w:tc>
      </w:tr>
      <w:tr>
        <w:tblPrEx>
          <w:tblCellMar>
            <w:top w:w="0" w:type="dxa"/>
            <w:left w:w="0" w:type="dxa"/>
            <w:bottom w:w="0" w:type="dxa"/>
            <w:right w:w="0" w:type="dxa"/>
          </w:tblCellMar>
        </w:tblPrEx>
        <w:trPr>
          <w:trHeight w:val="7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31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库房日常维护</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易耗品购置：0.8万元，零星维修：1万元</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库房零星维修1万元，添置设备1万元。</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i w:val="0"/>
                <w:color w:val="000000"/>
                <w:kern w:val="0"/>
                <w:sz w:val="24"/>
                <w:szCs w:val="24"/>
                <w:u w:val="none"/>
                <w:lang w:val="en-US" w:eastAsia="zh-CN" w:bidi="ar"/>
              </w:rPr>
            </w:pPr>
          </w:p>
        </w:tc>
        <w:tc>
          <w:tcPr>
            <w:tcW w:w="131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印刷</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3万元</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3万元</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效益指标</w:t>
            </w:r>
          </w:p>
        </w:tc>
        <w:tc>
          <w:tcPr>
            <w:tcW w:w="13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改善档案质量，延长档案保管期限</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显著</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显著</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szCs w:val="24"/>
              </w:rPr>
            </w:pPr>
          </w:p>
        </w:tc>
        <w:tc>
          <w:tcPr>
            <w:tcW w:w="107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群众满意度</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服务对象满意度</w:t>
            </w:r>
          </w:p>
        </w:tc>
        <w:tc>
          <w:tcPr>
            <w:tcW w:w="2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未接到投诉</w:t>
            </w:r>
          </w:p>
        </w:tc>
      </w:tr>
    </w:tbl>
    <w:p>
      <w:pPr>
        <w:pStyle w:val="2"/>
        <w:pageBreakBefore w:val="0"/>
        <w:kinsoku/>
        <w:wordWrap/>
        <w:overflowPunct/>
        <w:topLinePunct w:val="0"/>
        <w:bidi w:val="0"/>
        <w:spacing w:line="560" w:lineRule="exact"/>
        <w:rPr>
          <w:rFonts w:hint="eastAsia" w:ascii="仿宋_GB2312" w:hAnsi="仿宋_GB2312" w:eastAsia="仿宋_GB2312" w:cs="仿宋_GB2312"/>
          <w:sz w:val="24"/>
          <w:szCs w:val="24"/>
        </w:rPr>
      </w:pPr>
    </w:p>
    <w:p>
      <w:pPr>
        <w:pStyle w:val="2"/>
        <w:pageBreakBefore w:val="0"/>
        <w:kinsoku/>
        <w:wordWrap/>
        <w:overflowPunct/>
        <w:topLinePunct w:val="0"/>
        <w:bidi w:val="0"/>
        <w:spacing w:line="560" w:lineRule="exact"/>
        <w:rPr>
          <w:rFonts w:hint="eastAsia" w:ascii="仿宋_GB2312" w:hAnsi="仿宋_GB2312" w:eastAsia="仿宋_GB2312" w:cs="仿宋_GB2312"/>
          <w:sz w:val="24"/>
          <w:szCs w:val="24"/>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
      <w:pPr>
        <w:pStyle w:val="2"/>
      </w:pPr>
    </w:p>
    <w:p>
      <w:pPr>
        <w:pStyle w:val="2"/>
      </w:pPr>
    </w:p>
    <w:p>
      <w:pPr>
        <w:pStyle w:val="2"/>
      </w:pPr>
    </w:p>
    <w:p>
      <w:pPr>
        <w:pStyle w:val="2"/>
      </w:pPr>
    </w:p>
    <w:p>
      <w:pPr>
        <w:pStyle w:val="2"/>
      </w:pPr>
    </w:p>
    <w:p>
      <w:pPr>
        <w:pStyle w:val="2"/>
      </w:pPr>
    </w:p>
    <w:p>
      <w:pPr>
        <w:pStyle w:val="2"/>
      </w:pPr>
    </w:p>
    <w:tbl>
      <w:tblPr>
        <w:tblStyle w:val="13"/>
        <w:tblpPr w:leftFromText="180" w:rightFromText="180" w:vertAnchor="text" w:horzAnchor="page" w:tblpXSpec="center" w:tblpY="423"/>
        <w:tblOverlap w:val="never"/>
        <w:tblW w:w="10232" w:type="dxa"/>
        <w:jc w:val="center"/>
        <w:tblLayout w:type="fixed"/>
        <w:tblCellMar>
          <w:top w:w="0" w:type="dxa"/>
          <w:left w:w="0" w:type="dxa"/>
          <w:bottom w:w="0" w:type="dxa"/>
          <w:right w:w="0" w:type="dxa"/>
        </w:tblCellMar>
      </w:tblPr>
      <w:tblGrid>
        <w:gridCol w:w="390"/>
        <w:gridCol w:w="1078"/>
        <w:gridCol w:w="1314"/>
        <w:gridCol w:w="1986"/>
        <w:gridCol w:w="2800"/>
        <w:gridCol w:w="2664"/>
      </w:tblGrid>
      <w:tr>
        <w:tblPrEx>
          <w:tblCellMar>
            <w:top w:w="0" w:type="dxa"/>
            <w:left w:w="0" w:type="dxa"/>
            <w:bottom w:w="0" w:type="dxa"/>
            <w:right w:w="0" w:type="dxa"/>
          </w:tblCellMar>
        </w:tblPrEx>
        <w:trPr>
          <w:trHeight w:val="1034" w:hRule="atLeast"/>
          <w:jc w:val="center"/>
        </w:trPr>
        <w:tc>
          <w:tcPr>
            <w:tcW w:w="10232"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rPr>
              <w:t>项目绩效目标完成情况表</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kern w:val="0"/>
                <w:sz w:val="36"/>
                <w:szCs w:val="36"/>
              </w:rPr>
              <w:t>(2</w:t>
            </w:r>
            <w:r>
              <w:rPr>
                <w:rFonts w:hint="eastAsia" w:ascii="仿宋_GB2312" w:hAnsi="仿宋_GB2312" w:eastAsia="仿宋_GB2312" w:cs="仿宋_GB2312"/>
                <w:color w:val="000000"/>
                <w:kern w:val="0"/>
                <w:sz w:val="36"/>
                <w:szCs w:val="36"/>
                <w:lang w:val="en-US" w:eastAsia="zh-CN"/>
              </w:rPr>
              <w:t>020</w:t>
            </w:r>
            <w:r>
              <w:rPr>
                <w:rFonts w:hint="eastAsia" w:ascii="仿宋_GB2312" w:hAnsi="仿宋_GB2312" w:eastAsia="仿宋_GB2312" w:cs="仿宋_GB2312"/>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扶贫专项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市档案馆</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3.72万元</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3.72万元</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4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基本保证第一书记和工作队员驻村期间的工作需要。</w:t>
            </w:r>
          </w:p>
        </w:tc>
        <w:tc>
          <w:tcPr>
            <w:tcW w:w="54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基本保证第一书记</w:t>
            </w:r>
            <w:r>
              <w:rPr>
                <w:rFonts w:hint="eastAsia" w:ascii="仿宋_GB2312" w:hAnsi="仿宋_GB2312" w:eastAsia="仿宋_GB2312" w:cs="仿宋_GB2312"/>
                <w:color w:val="000000"/>
                <w:sz w:val="24"/>
                <w:lang w:eastAsia="zh-CN"/>
              </w:rPr>
              <w:t>的生活补助和</w:t>
            </w:r>
            <w:r>
              <w:rPr>
                <w:rFonts w:hint="eastAsia" w:ascii="仿宋_GB2312" w:hAnsi="仿宋_GB2312" w:eastAsia="仿宋_GB2312" w:cs="仿宋_GB2312"/>
                <w:color w:val="000000"/>
                <w:sz w:val="24"/>
              </w:rPr>
              <w:t>工作需要。</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44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标</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提供第一书记和工作队员人身意外保险</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3人</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提供体检</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3人，一年1次</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52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提供租房补助</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1套</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67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提供办公必需品</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印刷、宣传、办公用品</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5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第一书记生活补贴</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2人</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第一书记及驻村队员脱岗天数</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Style w:val="20"/>
                <w:rFonts w:hint="eastAsia" w:ascii="仿宋_GB2312" w:hAnsi="仿宋_GB2312" w:eastAsia="仿宋_GB2312" w:cs="仿宋_GB2312"/>
                <w:lang w:val="en-US" w:eastAsia="zh-CN" w:bidi="ar"/>
              </w:rPr>
              <w:t>&lt;</w:t>
            </w:r>
            <w:r>
              <w:rPr>
                <w:rFonts w:hint="eastAsia" w:ascii="仿宋_GB2312" w:hAnsi="仿宋_GB2312" w:eastAsia="仿宋_GB2312" w:cs="仿宋_GB2312"/>
                <w:i w:val="0"/>
                <w:color w:val="000000"/>
                <w:kern w:val="0"/>
                <w:sz w:val="24"/>
                <w:szCs w:val="24"/>
                <w:u w:val="none"/>
                <w:lang w:val="en-US" w:eastAsia="zh-CN" w:bidi="ar"/>
              </w:rPr>
              <w:t>1天 不能有脱岗情况</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55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第一书记及驻村队员重大疾病发生率</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Style w:val="21"/>
                <w:rFonts w:hint="eastAsia" w:ascii="仿宋_GB2312" w:hAnsi="仿宋_GB2312" w:eastAsia="仿宋_GB2312" w:cs="仿宋_GB2312"/>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 xml:space="preserve">0.5% </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5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完成时间</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2020年12月31日前</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5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人身意外险</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200元/人/年</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7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体检</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1500元/人/年</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789"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租房</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3500元/套/年</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473"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办公费用</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印刷费：3000元/年 办公用品购置费3400元/年</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按预期值完成</w:t>
            </w:r>
          </w:p>
        </w:tc>
      </w:tr>
      <w:tr>
        <w:tblPrEx>
          <w:tblCellMar>
            <w:top w:w="0" w:type="dxa"/>
            <w:left w:w="0" w:type="dxa"/>
            <w:bottom w:w="0" w:type="dxa"/>
            <w:right w:w="0" w:type="dxa"/>
          </w:tblCellMar>
        </w:tblPrEx>
        <w:trPr>
          <w:trHeight w:val="802"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000000"/>
                <w:sz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生活补贴</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50元/人/天</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仅包括第一书记</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lang w:val="en-US" w:eastAsia="zh-CN"/>
              </w:rPr>
            </w:pPr>
            <w:r>
              <w:rPr>
                <w:rFonts w:hint="eastAsia" w:ascii="仿宋_GB2312" w:hAnsi="仿宋_GB2312" w:eastAsia="仿宋_GB2312" w:cs="仿宋_GB2312"/>
                <w:i w:val="0"/>
                <w:color w:val="000000"/>
                <w:kern w:val="0"/>
                <w:sz w:val="24"/>
                <w:szCs w:val="24"/>
                <w:u w:val="none"/>
                <w:lang w:val="en-US" w:eastAsia="zh-CN" w:bidi="ar"/>
              </w:rPr>
              <w:t>效益指标</w:t>
            </w:r>
          </w:p>
        </w:tc>
        <w:tc>
          <w:tcPr>
            <w:tcW w:w="13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群众脱贫率</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960" w:firstLineChars="40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131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color w:val="000000"/>
                <w:kern w:val="0"/>
                <w:sz w:val="24"/>
                <w:szCs w:val="24"/>
                <w:u w:val="none"/>
                <w:lang w:val="en-US" w:eastAsia="zh-CN" w:bidi="ar"/>
              </w:rPr>
              <w:t>群众满意度</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帮扶对象满意度</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未收到投诉举报</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000000"/>
                <w:sz w:val="24"/>
              </w:rPr>
            </w:pPr>
          </w:p>
        </w:tc>
        <w:tc>
          <w:tcPr>
            <w:tcW w:w="107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1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帮扶村其他群众满意度</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≧95%</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4"/>
                <w:szCs w:val="24"/>
                <w:u w:val="none"/>
                <w:lang w:val="en-US" w:eastAsia="zh-CN" w:bidi="ar"/>
              </w:rPr>
              <w:t>100%</w:t>
            </w:r>
          </w:p>
        </w:tc>
      </w:tr>
    </w:tbl>
    <w:p>
      <w:pPr>
        <w:pStyle w:val="2"/>
        <w:ind w:left="0" w:leftChars="0" w:firstLine="0" w:firstLineChars="0"/>
      </w:pPr>
    </w:p>
    <w:p>
      <w:pPr>
        <w:pStyle w:val="2"/>
      </w:pPr>
    </w:p>
    <w:p>
      <w:pPr>
        <w:pStyle w:val="2"/>
      </w:pPr>
    </w:p>
    <w:p>
      <w:pPr>
        <w:pStyle w:val="2"/>
        <w:ind w:left="0" w:leftChars="0" w:firstLine="0" w:firstLineChars="0"/>
      </w:pPr>
    </w:p>
    <w:p>
      <w:pPr>
        <w:pageBreakBefore w:val="0"/>
        <w:kinsoku/>
        <w:wordWrap/>
        <w:overflowPunct/>
        <w:topLinePunct w:val="0"/>
        <w:bidi w:val="0"/>
        <w:spacing w:line="560" w:lineRule="exact"/>
        <w:ind w:left="6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2.部门绩效评价结果。</w:t>
      </w:r>
      <w:r>
        <w:rPr>
          <w:rFonts w:hint="eastAsia" w:ascii="仿宋_GB2312" w:hAnsi="仿宋_GB2312" w:eastAsia="仿宋_GB2312" w:cs="仿宋_GB2312"/>
          <w:sz w:val="32"/>
          <w:szCs w:val="32"/>
          <w:lang w:val="en-US" w:eastAsia="zh-CN"/>
        </w:rPr>
        <w:t xml:space="preserve"> </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编制了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广元市档案馆</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lang w:val="en-US" w:eastAsia="zh-CN"/>
        </w:rPr>
        <w:t>本部门无专项项目，未开展专项项目绩效评价；自行组织对</w:t>
      </w:r>
      <w:r>
        <w:rPr>
          <w:rFonts w:hint="eastAsia" w:ascii="仿宋_GB2312" w:hAnsi="仿宋_GB2312" w:eastAsia="仿宋_GB2312" w:cs="仿宋_GB2312"/>
          <w:sz w:val="32"/>
          <w:szCs w:val="32"/>
          <w:lang w:eastAsia="zh-CN"/>
        </w:rPr>
        <w:t>档案馆大楼运行、馆藏档案保管保护、档案数字化扫描以及扶贫专项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val="en-US" w:eastAsia="zh-CN"/>
        </w:rPr>
        <w:t>开展了绩效评价，《2020年部门预算项目支出绩效自评报告》见附件3。</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numPr>
          <w:ilvl w:val="0"/>
          <w:numId w:val="3"/>
        </w:numPr>
        <w:spacing w:line="600" w:lineRule="exact"/>
        <w:ind w:firstLine="662" w:firstLineChars="150"/>
        <w:jc w:val="center"/>
        <w:outlineLvl w:val="0"/>
        <w:rPr>
          <w:rStyle w:val="22"/>
          <w:rFonts w:hint="eastAsia" w:ascii="黑体" w:hAnsi="黑体" w:eastAsia="黑体" w:cs="黑体"/>
          <w:b/>
          <w:bCs/>
        </w:rPr>
      </w:pPr>
      <w:bookmarkStart w:id="127" w:name="_Toc15869"/>
      <w:bookmarkStart w:id="128" w:name="_Toc9154"/>
      <w:bookmarkStart w:id="129" w:name="_Toc15396613"/>
      <w:bookmarkStart w:id="130" w:name="_Toc3793"/>
      <w:bookmarkStart w:id="131" w:name="_Toc15377225"/>
      <w:r>
        <w:rPr>
          <w:rFonts w:hint="eastAsia" w:ascii="黑体" w:hAnsi="黑体" w:eastAsia="黑体" w:cs="黑体"/>
          <w:b/>
          <w:bCs/>
          <w:color w:val="000000"/>
          <w:sz w:val="44"/>
          <w:szCs w:val="44"/>
        </w:rPr>
        <w:t>名</w:t>
      </w:r>
      <w:r>
        <w:rPr>
          <w:rStyle w:val="22"/>
          <w:rFonts w:hint="eastAsia" w:ascii="黑体" w:hAnsi="黑体" w:eastAsia="黑体" w:cs="黑体"/>
          <w:b/>
          <w:bCs/>
        </w:rPr>
        <w:t>词</w:t>
      </w:r>
      <w:r>
        <w:rPr>
          <w:rFonts w:hint="eastAsia" w:ascii="黑体" w:hAnsi="黑体" w:eastAsia="黑体" w:cs="黑体"/>
          <w:b/>
          <w:bCs/>
          <w:color w:val="000000"/>
          <w:sz w:val="44"/>
          <w:szCs w:val="44"/>
        </w:rPr>
        <w:t>解释</w:t>
      </w:r>
      <w:bookmarkEnd w:id="127"/>
      <w:bookmarkEnd w:id="128"/>
      <w:bookmarkEnd w:id="129"/>
      <w:bookmarkEnd w:id="130"/>
      <w:bookmarkEnd w:id="131"/>
    </w:p>
    <w:p>
      <w:pPr>
        <w:pageBreakBefore w:val="0"/>
        <w:kinsoku/>
        <w:wordWrap/>
        <w:overflowPunct/>
        <w:topLinePunct w:val="0"/>
        <w:bidi w:val="0"/>
        <w:spacing w:line="560" w:lineRule="exact"/>
        <w:jc w:val="left"/>
        <w:rPr>
          <w:rFonts w:hint="eastAsia" w:ascii="仿宋_GB2312" w:hAnsi="仿宋_GB2312" w:eastAsia="仿宋_GB2312" w:cs="仿宋_GB2312"/>
          <w:b/>
          <w:color w:val="000000"/>
          <w:sz w:val="44"/>
          <w:szCs w:val="44"/>
        </w:rPr>
      </w:pPr>
    </w:p>
    <w:p>
      <w:pPr>
        <w:pStyle w:val="23"/>
        <w:pageBreakBefore w:val="0"/>
        <w:kinsoku/>
        <w:wordWrap/>
        <w:overflowPunct/>
        <w:topLinePunct w:val="0"/>
        <w:bidi w:val="0"/>
        <w:spacing w:before="93"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1.财政拨款收入：指市级财政当年拨付的资金。 </w:t>
      </w:r>
    </w:p>
    <w:p>
      <w:pPr>
        <w:pStyle w:val="23"/>
        <w:pageBreakBefore w:val="0"/>
        <w:kinsoku/>
        <w:wordWrap/>
        <w:overflowPunct/>
        <w:topLinePunct w:val="0"/>
        <w:bidi w:val="0"/>
        <w:spacing w:before="93"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2.其他收入：主要是银行利息收入</w:t>
      </w:r>
      <w:r>
        <w:rPr>
          <w:rFonts w:hint="eastAsia" w:ascii="仿宋_GB2312" w:hAnsi="仿宋_GB2312" w:eastAsia="仿宋_GB2312" w:cs="仿宋_GB2312"/>
          <w:color w:val="auto"/>
          <w:sz w:val="32"/>
          <w:szCs w:val="32"/>
          <w:lang w:eastAsia="zh-CN"/>
        </w:rPr>
        <w:t>和国家、省下达的专项资金</w:t>
      </w:r>
      <w:r>
        <w:rPr>
          <w:rFonts w:hint="eastAsia" w:ascii="仿宋_GB2312" w:hAnsi="仿宋_GB2312" w:eastAsia="仿宋_GB2312" w:cs="仿宋_GB2312"/>
          <w:color w:val="auto"/>
          <w:sz w:val="32"/>
          <w:szCs w:val="32"/>
        </w:rPr>
        <w:t>。</w:t>
      </w:r>
    </w:p>
    <w:p>
      <w:pPr>
        <w:pStyle w:val="23"/>
        <w:pageBreakBefore w:val="0"/>
        <w:kinsoku/>
        <w:wordWrap/>
        <w:overflowPunct/>
        <w:topLinePunct w:val="0"/>
        <w:bidi w:val="0"/>
        <w:spacing w:before="93"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3.年初结转和结余：指以前年度尚未完成、结转到本年按有关规定继续使用的资金。 </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4.一般公共服务（类）档案事务（款）行政运行（项）：指单位的人员工资及日常工作基本支出。</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5.一般公共服务（类）档案事务（款）档案馆（项）：指档案资料征集，档案抢救、提供、利用，档案馆设备购置、维护，档案陈列展览等方面支出。</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社会保障和就业（类）行政事业单位离退休（款）</w:t>
      </w:r>
      <w:r>
        <w:rPr>
          <w:rFonts w:hint="eastAsia" w:ascii="仿宋_GB2312" w:hAnsi="仿宋_GB2312" w:eastAsia="仿宋_GB2312" w:cs="仿宋_GB2312"/>
          <w:sz w:val="32"/>
          <w:szCs w:val="32"/>
          <w:lang w:eastAsia="zh-CN"/>
        </w:rPr>
        <w:t>事业单位离退休</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：主要指</w:t>
      </w:r>
      <w:r>
        <w:rPr>
          <w:rFonts w:hint="eastAsia" w:ascii="仿宋_GB2312" w:hAnsi="仿宋_GB2312" w:eastAsia="仿宋_GB2312" w:cs="仿宋_GB2312"/>
          <w:sz w:val="32"/>
          <w:szCs w:val="32"/>
          <w:lang w:val="en-US" w:eastAsia="zh-CN"/>
        </w:rPr>
        <w:t>2004年之前退休干部的医疗补助费。</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.社会保障和就业（类）行政事业单位离退休（款）机关事业单位基本养老保险缴费支出（项）：指单位为职工缴纳的并轨养老保险。</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社会保障和就业（类）行政事业单位离退休（款）机关事业单位</w:t>
      </w:r>
      <w:r>
        <w:rPr>
          <w:rFonts w:hint="eastAsia" w:ascii="仿宋_GB2312" w:hAnsi="仿宋_GB2312" w:eastAsia="仿宋_GB2312" w:cs="仿宋_GB2312"/>
          <w:sz w:val="32"/>
          <w:szCs w:val="32"/>
          <w:lang w:eastAsia="zh-CN"/>
        </w:rPr>
        <w:t>职业年金缴费支出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：指机关事业单位实施养老保险制度由单位实际缴纳的职业年金支出。</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社会保障和就业（类）</w:t>
      </w:r>
      <w:r>
        <w:rPr>
          <w:rFonts w:hint="eastAsia" w:ascii="仿宋_GB2312" w:hAnsi="仿宋_GB2312" w:eastAsia="仿宋_GB2312" w:cs="仿宋_GB2312"/>
          <w:sz w:val="32"/>
          <w:szCs w:val="32"/>
          <w:lang w:eastAsia="zh-CN"/>
        </w:rPr>
        <w:t>其他社会保障和就业（款）其他社会保障和就业</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专指除养老、医疗以外的其他社会保险，例如失业、工伤等。</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 医疗卫生与计划生育（类）医疗保障（款）事业单位医疗（项）:指单位为职工缴纳的医疗</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住房保障（类）住房改革（款）住房公积金（项）:指单位为职工缴纳的住房公积金。</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年末结转和结余：指本年度或以前年度预算安排、因客观条件发生变化无法按原计划实施，需延迟到以后年度按有关规定继续使用的资金。</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pPr>
        <w:pStyle w:val="23"/>
        <w:pageBreakBefore w:val="0"/>
        <w:kinsoku/>
        <w:wordWrap/>
        <w:overflowPunct/>
        <w:topLinePunct w:val="0"/>
        <w:bidi w:val="0"/>
        <w:spacing w:before="93"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3"/>
        <w:pageBreakBefore w:val="0"/>
        <w:kinsoku/>
        <w:wordWrap/>
        <w:overflowPunct/>
        <w:topLinePunct w:val="0"/>
        <w:bidi w:val="0"/>
        <w:spacing w:before="93"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ageBreakBefore w:val="0"/>
        <w:kinsoku/>
        <w:wordWrap/>
        <w:overflowPunct/>
        <w:topLinePunct w:val="0"/>
        <w:bidi w:val="0"/>
        <w:spacing w:line="560" w:lineRule="exact"/>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color w:val="000000"/>
          <w:sz w:val="44"/>
          <w:szCs w:val="44"/>
        </w:rPr>
        <w:br w:type="page"/>
      </w:r>
      <w:bookmarkStart w:id="132" w:name="_Toc15515"/>
      <w:bookmarkStart w:id="133" w:name="_Toc30838"/>
      <w:bookmarkStart w:id="134" w:name="_Toc12293"/>
      <w:bookmarkStart w:id="135" w:name="_Toc15396614"/>
      <w:r>
        <w:rPr>
          <w:rFonts w:hint="eastAsia" w:ascii="黑体" w:hAnsi="黑体" w:eastAsia="黑体" w:cs="黑体"/>
          <w:b/>
          <w:bCs/>
          <w:color w:val="000000"/>
          <w:sz w:val="44"/>
          <w:szCs w:val="44"/>
        </w:rPr>
        <w:t>第</w:t>
      </w:r>
      <w:r>
        <w:rPr>
          <w:rStyle w:val="22"/>
          <w:rFonts w:hint="eastAsia" w:ascii="黑体" w:hAnsi="黑体" w:eastAsia="黑体" w:cs="黑体"/>
          <w:b/>
          <w:bCs/>
        </w:rPr>
        <w:t>四部分 附件</w:t>
      </w:r>
      <w:bookmarkEnd w:id="132"/>
      <w:bookmarkEnd w:id="133"/>
      <w:bookmarkEnd w:id="134"/>
      <w:bookmarkEnd w:id="135"/>
    </w:p>
    <w:p>
      <w:pPr>
        <w:pStyle w:val="2"/>
        <w:ind w:left="0" w:leftChars="0" w:firstLine="0" w:firstLineChars="0"/>
        <w:outlineLvl w:val="1"/>
        <w:rPr>
          <w:rFonts w:hint="eastAsia" w:ascii="黑体" w:hAnsi="黑体" w:eastAsia="黑体" w:cs="黑体"/>
          <w:b w:val="0"/>
          <w:bCs w:val="0"/>
          <w:color w:val="000000"/>
          <w:kern w:val="0"/>
          <w:sz w:val="32"/>
          <w:szCs w:val="32"/>
          <w:shd w:val="clear" w:color="auto" w:fill="FFFFFF"/>
          <w:lang w:val="en-US" w:eastAsia="zh-CN" w:bidi="ar-SA"/>
        </w:rPr>
      </w:pPr>
      <w:r>
        <w:rPr>
          <w:rFonts w:hint="eastAsia" w:ascii="黑体" w:hAnsi="黑体" w:eastAsia="黑体" w:cs="黑体"/>
          <w:b w:val="0"/>
          <w:bCs w:val="0"/>
          <w:color w:val="000000"/>
          <w:kern w:val="0"/>
          <w:sz w:val="32"/>
          <w:szCs w:val="32"/>
          <w:shd w:val="clear" w:color="auto" w:fill="FFFFFF"/>
          <w:lang w:val="en-US" w:eastAsia="zh-CN" w:bidi="ar-SA"/>
        </w:rPr>
        <w:t>附件1</w:t>
      </w:r>
    </w:p>
    <w:p>
      <w:pPr>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bCs/>
          <w:color w:val="000000"/>
          <w:kern w:val="0"/>
          <w:sz w:val="40"/>
          <w:szCs w:val="44"/>
          <w:lang w:eastAsia="zh-CN"/>
        </w:rPr>
      </w:pPr>
      <w:r>
        <w:rPr>
          <w:rFonts w:hint="eastAsia" w:ascii="方正小标宋简体" w:hAnsi="方正小标宋简体" w:eastAsia="方正小标宋简体" w:cs="方正小标宋简体"/>
          <w:b/>
          <w:bCs/>
          <w:color w:val="000000"/>
          <w:kern w:val="0"/>
          <w:sz w:val="40"/>
          <w:szCs w:val="44"/>
          <w:lang w:eastAsia="zh-CN"/>
        </w:rPr>
        <w:t>广元市档案馆</w:t>
      </w:r>
    </w:p>
    <w:p>
      <w:pPr>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bCs/>
          <w:color w:val="000000"/>
          <w:kern w:val="0"/>
          <w:sz w:val="40"/>
          <w:szCs w:val="44"/>
          <w:lang w:val="zh-CN"/>
        </w:rPr>
      </w:pPr>
      <w:r>
        <w:rPr>
          <w:rFonts w:hint="eastAsia" w:ascii="方正小标宋简体" w:hAnsi="方正小标宋简体" w:eastAsia="方正小标宋简体" w:cs="方正小标宋简体"/>
          <w:b/>
          <w:bCs/>
          <w:color w:val="000000"/>
          <w:kern w:val="0"/>
          <w:sz w:val="40"/>
          <w:szCs w:val="44"/>
          <w:lang w:val="en-US" w:eastAsia="zh-CN"/>
        </w:rPr>
        <w:t>2020</w:t>
      </w:r>
      <w:r>
        <w:rPr>
          <w:rFonts w:hint="eastAsia" w:ascii="方正小标宋简体" w:hAnsi="方正小标宋简体" w:eastAsia="方正小标宋简体" w:cs="方正小标宋简体"/>
          <w:b/>
          <w:bCs/>
          <w:color w:val="000000"/>
          <w:kern w:val="0"/>
          <w:sz w:val="40"/>
          <w:szCs w:val="44"/>
        </w:rPr>
        <w:t>年部门</w:t>
      </w:r>
      <w:r>
        <w:rPr>
          <w:rFonts w:hint="eastAsia" w:ascii="方正小标宋简体" w:hAnsi="方正小标宋简体" w:eastAsia="方正小标宋简体" w:cs="方正小标宋简体"/>
          <w:b/>
          <w:bCs/>
          <w:color w:val="000000"/>
          <w:kern w:val="0"/>
          <w:sz w:val="40"/>
          <w:szCs w:val="44"/>
          <w:lang w:val="zh-CN"/>
        </w:rPr>
        <w:t>整体支出绩效评价报告</w:t>
      </w:r>
    </w:p>
    <w:p>
      <w:pPr>
        <w:pageBreakBefore w:val="0"/>
        <w:widowControl/>
        <w:kinsoku/>
        <w:wordWrap/>
        <w:overflowPunct/>
        <w:topLinePunct w:val="0"/>
        <w:bidi w:val="0"/>
        <w:adjustRightInd w:val="0"/>
        <w:snapToGrid w:val="0"/>
        <w:spacing w:line="560" w:lineRule="exact"/>
        <w:ind w:firstLine="480" w:firstLineChars="200"/>
        <w:contextualSpacing/>
        <w:jc w:val="left"/>
        <w:rPr>
          <w:rFonts w:hint="eastAsia" w:ascii="黑体" w:hAnsi="黑体" w:eastAsia="黑体" w:cs="黑体"/>
          <w:color w:val="000000"/>
          <w:kern w:val="0"/>
          <w:sz w:val="24"/>
          <w:szCs w:val="32"/>
          <w:shd w:val="clear" w:color="auto" w:fill="FFFFFF"/>
        </w:rPr>
      </w:pP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黑体" w:hAnsi="黑体" w:eastAsia="黑体" w:cs="黑体"/>
          <w:b/>
          <w:bCs/>
          <w:color w:val="000000"/>
          <w:kern w:val="0"/>
          <w:sz w:val="32"/>
          <w:szCs w:val="32"/>
          <w:shd w:val="clear" w:color="auto" w:fill="FFFFFF"/>
          <w:lang w:val="zh-CN"/>
        </w:rPr>
      </w:pPr>
      <w:r>
        <w:rPr>
          <w:rFonts w:hint="eastAsia" w:ascii="黑体" w:hAnsi="黑体" w:eastAsia="黑体" w:cs="黑体"/>
          <w:b/>
          <w:bCs/>
          <w:color w:val="000000"/>
          <w:kern w:val="0"/>
          <w:sz w:val="32"/>
          <w:szCs w:val="32"/>
          <w:shd w:val="clear" w:color="auto" w:fill="FFFFFF"/>
        </w:rPr>
        <w:t>一、</w:t>
      </w:r>
      <w:r>
        <w:rPr>
          <w:rFonts w:hint="eastAsia" w:ascii="黑体" w:hAnsi="黑体" w:eastAsia="黑体" w:cs="黑体"/>
          <w:b/>
          <w:bCs/>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楷体" w:hAnsi="楷体" w:eastAsia="楷体" w:cs="楷体"/>
          <w:b/>
          <w:bCs/>
          <w:color w:val="000000"/>
          <w:kern w:val="0"/>
          <w:sz w:val="32"/>
          <w:szCs w:val="32"/>
          <w:shd w:val="clear" w:color="auto" w:fill="FFFFFF"/>
          <w:lang w:val="zh-CN"/>
        </w:rPr>
        <w:t>（一）机构组成。</w:t>
      </w:r>
      <w:r>
        <w:rPr>
          <w:rFonts w:hint="eastAsia" w:ascii="仿宋_GB2312" w:hAnsi="仿宋_GB2312" w:eastAsia="仿宋_GB2312" w:cs="仿宋_GB2312"/>
          <w:color w:val="000000"/>
          <w:kern w:val="0"/>
          <w:sz w:val="32"/>
          <w:szCs w:val="32"/>
          <w:shd w:val="clear" w:color="auto" w:fill="FFFFFF"/>
          <w:lang w:val="zh-CN"/>
        </w:rPr>
        <w:t>广元市档案馆为市委直属事业单位（参照公务员法管理），代管</w:t>
      </w:r>
      <w:r>
        <w:rPr>
          <w:rFonts w:hint="eastAsia" w:ascii="仿宋_GB2312" w:hAnsi="仿宋_GB2312" w:eastAsia="仿宋_GB2312" w:cs="仿宋_GB2312"/>
          <w:color w:val="000000"/>
          <w:kern w:val="0"/>
          <w:sz w:val="32"/>
          <w:szCs w:val="32"/>
          <w:shd w:val="clear" w:color="auto" w:fill="FFFFFF"/>
          <w:lang w:val="en-US" w:eastAsia="zh-CN"/>
        </w:rPr>
        <w:t>1个财政全额拨款事业单位市现行文件服务中心，未独立核算。</w:t>
      </w:r>
      <w:r>
        <w:rPr>
          <w:rFonts w:hint="eastAsia" w:ascii="仿宋_GB2312" w:hAnsi="仿宋_GB2312" w:eastAsia="仿宋_GB2312" w:cs="仿宋_GB2312"/>
          <w:color w:val="000000"/>
          <w:kern w:val="0"/>
          <w:sz w:val="32"/>
          <w:szCs w:val="32"/>
        </w:rPr>
        <w:t>内设一室六科</w:t>
      </w:r>
      <w:r>
        <w:rPr>
          <w:rFonts w:hint="eastAsia" w:ascii="仿宋_GB2312" w:hAnsi="仿宋_GB2312" w:eastAsia="仿宋_GB2312" w:cs="仿宋_GB2312"/>
          <w:color w:val="000000"/>
          <w:kern w:val="0"/>
          <w:sz w:val="32"/>
          <w:szCs w:val="32"/>
          <w:lang w:eastAsia="zh-CN"/>
        </w:rPr>
        <w:t>，即办公室、接收征集科、保管保护科、编研开发科、宣传文化科、服务利用科、信息技术科。</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（二）机构职能。</w:t>
      </w:r>
      <w:r>
        <w:rPr>
          <w:rFonts w:hint="eastAsia" w:ascii="仿宋_GB2312" w:hAnsi="仿宋_GB2312" w:eastAsia="仿宋_GB2312" w:cs="仿宋_GB2312"/>
          <w:sz w:val="32"/>
          <w:szCs w:val="32"/>
        </w:rPr>
        <w:t>贯彻落实党的路线方针政策和有关档案管理的法律、法规、规章制度，做好档案“收、管、用”，维护档案完整与安全，保守党和国家秘密。依法接收市级各机关、团体、事业单位、国有企业及其下属单位的档案；</w:t>
      </w:r>
      <w:r>
        <w:rPr>
          <w:rFonts w:hint="eastAsia" w:ascii="仿宋_GB2312" w:hAnsi="仿宋_GB2312" w:eastAsia="仿宋_GB2312" w:cs="仿宋_GB2312"/>
          <w:sz w:val="32"/>
          <w:szCs w:val="32"/>
          <w:lang w:eastAsia="zh-CN"/>
        </w:rPr>
        <w:t>接收</w:t>
      </w:r>
      <w:r>
        <w:rPr>
          <w:rFonts w:hint="eastAsia" w:ascii="仿宋_GB2312" w:hAnsi="仿宋_GB2312" w:eastAsia="仿宋_GB2312" w:cs="仿宋_GB2312"/>
          <w:sz w:val="32"/>
          <w:szCs w:val="32"/>
        </w:rPr>
        <w:t>市级重大活动等形成的档案；征集对国家和社会具有长久保存价值的重要档案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资料，开展主动建档存史工作。组织实施馆藏档案整理、鉴定、保管、保护、解密、划控、开放和销毁工作。负责馆藏档案信息化，</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数字档案馆和市级档案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资料目录中心建设，依法接收电子档案，建立电子文件备份中心，</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数字档案资源安全。开展档案利用工作，依法向社会提供档案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和已公开的现行文件，开展民生档案等跨馆查档服务。负责馆藏档案资源开发工作，开展档案资政服务，编研档案史料，开发档案文化产品，举办档案展览，建设管理爱国主义教育基地，开展档案社会宣传教育。</w:t>
      </w:r>
      <w:r>
        <w:rPr>
          <w:rFonts w:hint="eastAsia" w:ascii="仿宋_GB2312" w:hAnsi="仿宋_GB2312" w:eastAsia="仿宋_GB2312" w:cs="仿宋_GB2312"/>
          <w:sz w:val="32"/>
          <w:szCs w:val="32"/>
          <w:lang w:eastAsia="zh-CN"/>
        </w:rPr>
        <w:t>对县（区）档馆业务进行指导。</w:t>
      </w:r>
      <w:r>
        <w:rPr>
          <w:rFonts w:hint="eastAsia" w:ascii="仿宋_GB2312" w:hAnsi="仿宋_GB2312" w:eastAsia="仿宋_GB2312" w:cs="仿宋_GB2312"/>
          <w:sz w:val="32"/>
          <w:szCs w:val="32"/>
        </w:rPr>
        <w:t>组织开展档案学术研究、馆际合作和业务交流。完成市委、市政府交办的其他任务。</w:t>
      </w:r>
    </w:p>
    <w:p>
      <w:pPr>
        <w:pageBreakBefore w:val="0"/>
        <w:kinsoku/>
        <w:wordWrap/>
        <w:overflowPunct/>
        <w:topLinePunct w:val="0"/>
        <w:bidi w:val="0"/>
        <w:snapToGrid w:val="0"/>
        <w:spacing w:line="560" w:lineRule="exact"/>
        <w:ind w:firstLine="642"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（三）人员概况。</w:t>
      </w:r>
      <w:r>
        <w:rPr>
          <w:rFonts w:hint="eastAsia" w:ascii="仿宋_GB2312" w:hAnsi="仿宋_GB2312" w:eastAsia="仿宋_GB2312" w:cs="仿宋_GB2312"/>
          <w:color w:val="000000"/>
          <w:kern w:val="0"/>
          <w:sz w:val="32"/>
          <w:szCs w:val="32"/>
          <w:shd w:val="clear" w:color="auto" w:fill="FFFFFF"/>
          <w:lang w:val="zh-CN"/>
        </w:rPr>
        <w:t>广元市档案馆（含下属单位）事业编制数</w:t>
      </w:r>
      <w:r>
        <w:rPr>
          <w:rFonts w:hint="eastAsia" w:ascii="仿宋_GB2312" w:hAnsi="仿宋_GB2312" w:eastAsia="仿宋_GB2312" w:cs="仿宋_GB2312"/>
          <w:color w:val="000000"/>
          <w:kern w:val="0"/>
          <w:sz w:val="32"/>
          <w:szCs w:val="32"/>
          <w:shd w:val="clear" w:color="auto" w:fill="FFFFFF"/>
          <w:lang w:val="en-US" w:eastAsia="zh-CN"/>
        </w:rPr>
        <w:t>32个，其中参照公务员法管理事业人员编制数22个，其他事业编制数8个，工勤编制数2个。</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2020年12月31日，</w:t>
      </w:r>
      <w:r>
        <w:rPr>
          <w:rFonts w:hint="eastAsia" w:ascii="仿宋_GB2312" w:hAnsi="仿宋_GB2312" w:eastAsia="仿宋_GB2312" w:cs="仿宋_GB2312"/>
          <w:color w:val="000000"/>
          <w:kern w:val="0"/>
          <w:sz w:val="32"/>
          <w:szCs w:val="32"/>
        </w:rPr>
        <w:t>实</w:t>
      </w:r>
      <w:r>
        <w:rPr>
          <w:rFonts w:hint="eastAsia" w:ascii="仿宋_GB2312" w:hAnsi="仿宋_GB2312" w:eastAsia="仿宋_GB2312" w:cs="仿宋_GB2312"/>
          <w:color w:val="000000"/>
          <w:kern w:val="0"/>
          <w:sz w:val="32"/>
          <w:szCs w:val="32"/>
          <w:lang w:eastAsia="zh-CN"/>
        </w:rPr>
        <w:t>有</w:t>
      </w:r>
      <w:r>
        <w:rPr>
          <w:rFonts w:hint="eastAsia" w:ascii="仿宋_GB2312" w:hAnsi="仿宋_GB2312" w:eastAsia="仿宋_GB2312" w:cs="仿宋_GB2312"/>
          <w:color w:val="000000"/>
          <w:kern w:val="0"/>
          <w:sz w:val="32"/>
          <w:szCs w:val="32"/>
        </w:rPr>
        <w:t>在职人员</w:t>
      </w:r>
      <w:r>
        <w:rPr>
          <w:rFonts w:hint="eastAsia" w:ascii="仿宋_GB2312" w:hAnsi="仿宋_GB2312" w:eastAsia="仿宋_GB2312" w:cs="仿宋_GB2312"/>
          <w:color w:val="000000"/>
          <w:kern w:val="0"/>
          <w:sz w:val="32"/>
          <w:szCs w:val="32"/>
          <w:lang w:val="en-US" w:eastAsia="zh-CN"/>
        </w:rPr>
        <w:t>29</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val="en-US" w:eastAsia="zh-CN"/>
        </w:rPr>
        <w:t>其中参公人员21人，事业人员7人，工勤人员1人。</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黑体" w:hAnsi="黑体" w:eastAsia="黑体" w:cs="黑体"/>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rPr>
        <w:t>二、部门财政资金收支情况</w:t>
      </w:r>
    </w:p>
    <w:p>
      <w:pPr>
        <w:pageBreakBefore w:val="0"/>
        <w:kinsoku/>
        <w:wordWrap/>
        <w:overflowPunct/>
        <w:topLinePunct w:val="0"/>
        <w:bidi w:val="0"/>
        <w:snapToGrid w:val="0"/>
        <w:spacing w:line="560" w:lineRule="exact"/>
        <w:ind w:firstLine="642"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（一）部门财政资金收入情况。</w:t>
      </w:r>
      <w:r>
        <w:rPr>
          <w:rFonts w:hint="eastAsia" w:ascii="仿宋_GB2312" w:hAnsi="仿宋_GB2312" w:eastAsia="仿宋_GB2312" w:cs="仿宋_GB2312"/>
          <w:color w:val="000000"/>
          <w:kern w:val="0"/>
          <w:sz w:val="32"/>
          <w:szCs w:val="32"/>
          <w:lang w:val="en-US" w:eastAsia="zh-CN"/>
        </w:rPr>
        <w:t>2020年收入总计632.17万元，其中：当年财政拨款收入539.52万元，其他收入0.15万元，上年结转92.50万元。</w:t>
      </w:r>
    </w:p>
    <w:p>
      <w:pPr>
        <w:pageBreakBefore w:val="0"/>
        <w:kinsoku/>
        <w:wordWrap/>
        <w:overflowPunct/>
        <w:topLinePunct w:val="0"/>
        <w:bidi w:val="0"/>
        <w:spacing w:line="560" w:lineRule="exact"/>
        <w:ind w:firstLine="640"/>
        <w:rPr>
          <w:rFonts w:hint="eastAsia" w:ascii="仿宋_GB2312" w:hAnsi="仿宋_GB2312" w:eastAsia="仿宋_GB2312" w:cs="仿宋_GB2312"/>
          <w:color w:val="000000"/>
          <w:kern w:val="0"/>
          <w:sz w:val="32"/>
          <w:szCs w:val="32"/>
          <w:lang w:val="en-US" w:eastAsia="zh-CN"/>
        </w:rPr>
      </w:pPr>
      <w:r>
        <w:rPr>
          <w:rFonts w:hint="eastAsia" w:ascii="楷体" w:hAnsi="楷体" w:eastAsia="楷体" w:cs="楷体"/>
          <w:b/>
          <w:bCs/>
          <w:color w:val="000000"/>
          <w:kern w:val="0"/>
          <w:sz w:val="32"/>
          <w:szCs w:val="32"/>
          <w:shd w:val="clear" w:color="auto" w:fill="FFFFFF"/>
          <w:lang w:val="zh-CN"/>
        </w:rPr>
        <w:t>（二）部门财政资金支出情况。</w:t>
      </w:r>
      <w:r>
        <w:rPr>
          <w:rFonts w:hint="eastAsia" w:ascii="仿宋_GB2312" w:hAnsi="仿宋_GB2312" w:eastAsia="仿宋_GB2312" w:cs="仿宋_GB2312"/>
          <w:color w:val="000000"/>
          <w:kern w:val="0"/>
          <w:sz w:val="32"/>
          <w:szCs w:val="32"/>
          <w:lang w:val="en-US" w:eastAsia="zh-CN"/>
        </w:rPr>
        <w:t xml:space="preserve">2020年支出600.66万元，按支出功能分类：一般公共服务（类）支出497.56万元；社会保障和就业（类）支出46.66万元；卫生健康（类）支出16.59万元；住房保障（类）支出33.45万元。按支出性质分类：基本支出448.24万元，项目支出152.41万元。按支出经济分类:工资福利支出374.83万元，商品和服务支出211.01万元，对个人和家庭的补助10.30万元，资本性支出4.52万元。 </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lang w:val="en-US" w:eastAsia="zh-CN"/>
        </w:rPr>
        <w:t>2020年末结转结余31.51万元。</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黑体" w:hAnsi="黑体" w:eastAsia="黑体" w:cs="黑体"/>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（一）部门预算管理</w:t>
      </w:r>
    </w:p>
    <w:p>
      <w:pPr>
        <w:pageBreakBefore w:val="0"/>
        <w:numPr>
          <w:ilvl w:val="0"/>
          <w:numId w:val="0"/>
        </w:numPr>
        <w:kinsoku/>
        <w:wordWrap/>
        <w:overflowPunct/>
        <w:topLinePunct w:val="0"/>
        <w:bidi w:val="0"/>
        <w:spacing w:line="560" w:lineRule="exact"/>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1.预算编制情况</w:t>
      </w:r>
    </w:p>
    <w:p>
      <w:pPr>
        <w:pageBreakBefore w:val="0"/>
        <w:numPr>
          <w:ilvl w:val="0"/>
          <w:numId w:val="0"/>
        </w:numPr>
        <w:kinsoku/>
        <w:wordWrap/>
        <w:overflowPunct/>
        <w:topLinePunct w:val="0"/>
        <w:bidi w:val="0"/>
        <w:spacing w:line="560" w:lineRule="exact"/>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我馆认真贯彻落实国家、省档案局、省档案馆和市委、市</w:t>
      </w:r>
    </w:p>
    <w:p>
      <w:pPr>
        <w:pageBreakBefore w:val="0"/>
        <w:numPr>
          <w:ilvl w:val="0"/>
          <w:numId w:val="0"/>
        </w:numPr>
        <w:kinsoku/>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的安排部署，严格按照相关政策规定编制预算。按照“优先保障、严格标准、综合预算”的要求，根据定员情况和国家、省、市确定的工资、津贴补贴、社会保障等相关政策计算编制人员支出预算；按照“综合预算、定额管理”的要求，根据定员情况、职能职责和事业发展需要综合编制日常公用支出预算；依据市委、市政府确定的经济社会发展规划、部门职能职责及事业发展规划等要求, 严格按照预算绩效管理要求编制项目支出绩效目标，在产出、效益、满意度等方面合理细化、量化绩效目标,科学准确编制项目支出预算。</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2.预算执行情况 </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我馆严格按照市财政局要求开展本部门预算执行动态监控、 </w:t>
      </w:r>
    </w:p>
    <w:p>
      <w:pPr>
        <w:pageBreakBefore w:val="0"/>
        <w:numPr>
          <w:ilvl w:val="0"/>
          <w:numId w:val="0"/>
        </w:numPr>
        <w:kinsoku/>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期评估、绩效跟踪监控管理工作，主动开展日常预算执行监控，随时关注各项目执行进程，定期向馆领导汇报预算执行进度，对重大项目实行全程跟踪监控；针对执行进度较慢的项目积极查找原因，督促预算执行。 </w:t>
      </w:r>
    </w:p>
    <w:p>
      <w:pPr>
        <w:pageBreakBefore w:val="0"/>
        <w:numPr>
          <w:ilvl w:val="0"/>
          <w:numId w:val="0"/>
        </w:numPr>
        <w:kinsoku/>
        <w:wordWrap/>
        <w:overflowPunct/>
        <w:topLinePunct w:val="0"/>
        <w:bidi w:val="0"/>
        <w:spacing w:line="56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3.预算完成情况 </w:t>
      </w:r>
    </w:p>
    <w:p>
      <w:pPr>
        <w:pageBreakBefore w:val="0"/>
        <w:numPr>
          <w:ilvl w:val="0"/>
          <w:numId w:val="0"/>
        </w:numPr>
        <w:kinsoku/>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2020年我馆严格按照《预算法》等法律法规规定进行预算管理，预算执行情况较上年有了极大改善，基本完成年初既定事项。人员公用经费完成预算的99.32%，项目经费完成预算的95.29%。无违规违纪问题发生。</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（二）结果应用情况。</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馆严格按照市财政局要求，随预算向社会公开部门绩效目标，随决算公开部门整体绩效自评情况，按照绩效评价结果及时指导相关项目的执行方向、进度。采取比较法，对比年初绩效目标，按照有关标准办法，评价各项目产出效益情况，指导次年预算项目编制。</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黑体" w:hAnsi="黑体" w:eastAsia="黑体" w:cs="黑体"/>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（一）评价结论</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lang w:val="zh-CN"/>
        </w:rPr>
      </w:pPr>
      <w:r>
        <w:rPr>
          <w:rFonts w:hint="eastAsia" w:ascii="仿宋_GB2312" w:hAnsi="仿宋_GB2312" w:eastAsia="仿宋_GB2312" w:cs="仿宋_GB2312"/>
          <w:sz w:val="32"/>
          <w:szCs w:val="32"/>
          <w:lang w:val="en-US" w:eastAsia="zh-CN"/>
        </w:rPr>
        <w:t>2020年，我馆部门整体支出绩效评价自查自评结果较好，全年基本支出保证了部门正常运行和日常工作的正常开展，项目支出保障了档案重点业务工作的开展，基本达到预期绩效目标。</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（二）存在问题</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我馆每年虽然严格按照相关管理规定认真开展预算编报，进行预算执行监管，开展绩效管理，但在项目编报质量上还有待提升，项目前期的评估论证还比较欠缺，项目绩效目标指标的设定指向不够精细化。</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eastAsia" w:ascii="楷体" w:hAnsi="楷体" w:eastAsia="楷体" w:cs="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（三）改进建议</w:t>
      </w:r>
    </w:p>
    <w:p>
      <w:pPr>
        <w:keepNext w:val="0"/>
        <w:keepLines w:val="0"/>
        <w:widowControl/>
        <w:suppressLineNumbers w:val="0"/>
        <w:ind w:firstLine="622" w:firstLineChars="200"/>
        <w:jc w:val="left"/>
      </w:pPr>
      <w:r>
        <w:rPr>
          <w:rFonts w:ascii="仿宋_GB2312" w:hAnsi="宋体" w:eastAsia="仿宋_GB2312" w:cs="仿宋_GB2312"/>
          <w:b/>
          <w:bCs/>
          <w:color w:val="000000"/>
          <w:kern w:val="0"/>
          <w:sz w:val="31"/>
          <w:szCs w:val="31"/>
          <w:lang w:val="en-US" w:eastAsia="zh-CN" w:bidi="ar"/>
        </w:rPr>
        <w:t xml:space="preserve">1.提高预算绩效目标编制科学性和准确性 </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 xml:space="preserve">我馆将认真贯彻执行预算编制有关规定，进一步加强业务科室与财务部门的协作，结合工作计划，统筹考虑上年结转结余及项目绩效完成情况，按照“干多少事，花多少钱”的原则，根据“任务栏、时间表、标准值、成绩单”等绩效目标指标和指标值进行严格测算，进一步细化量化绩效目标指标值，提高预算绩效目标编制的科学性和准确性。 </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 xml:space="preserve">2.加强预算执行监控，提高财政资金使用绩效 </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 xml:space="preserve">进一步加强预算执行监控，动态了解和掌握项目资金使 </w:t>
      </w:r>
    </w:p>
    <w:p>
      <w:pPr>
        <w:keepNext w:val="0"/>
        <w:keepLines w:val="0"/>
        <w:widowControl/>
        <w:suppressLineNumbers w:val="0"/>
        <w:jc w:val="left"/>
      </w:pPr>
      <w:r>
        <w:rPr>
          <w:rFonts w:hint="eastAsia" w:ascii="仿宋_GB2312" w:hAnsi="仿宋_GB2312" w:eastAsia="仿宋_GB2312" w:cs="仿宋_GB2312"/>
          <w:sz w:val="32"/>
          <w:szCs w:val="32"/>
          <w:lang w:val="en-US" w:eastAsia="zh-CN"/>
        </w:rPr>
        <w:t>用、项目实施管理以及绩效目标实现程度等，定期向馆领导和馆长办公会汇报预算执行进度，针对执行进度较慢的项目积极查找原因，督促预算执行；在项目执行过程中发现实际情况与预期绩效目标发生偏差时，及时根据相关规定对项目预算和绩效指标作出切合实际</w:t>
      </w:r>
      <w:r>
        <w:rPr>
          <w:rFonts w:ascii="仿宋_GB2312" w:hAnsi="宋体" w:eastAsia="仿宋_GB2312" w:cs="仿宋_GB2312"/>
          <w:color w:val="000000"/>
          <w:kern w:val="0"/>
          <w:sz w:val="31"/>
          <w:szCs w:val="31"/>
          <w:lang w:val="en-US" w:eastAsia="zh-CN" w:bidi="ar"/>
        </w:rPr>
        <w:t>的调整，保证项目计划的整体实施效果，加快预算执行进</w:t>
      </w:r>
      <w:r>
        <w:rPr>
          <w:rFonts w:hint="eastAsia" w:ascii="仿宋_GB2312" w:hAnsi="宋体" w:eastAsia="仿宋_GB2312" w:cs="仿宋_GB2312"/>
          <w:color w:val="000000"/>
          <w:kern w:val="0"/>
          <w:sz w:val="31"/>
          <w:szCs w:val="31"/>
          <w:lang w:val="en-US" w:eastAsia="zh-CN" w:bidi="ar"/>
        </w:rPr>
        <w:t>度，确保年度绩效目标实现。</w:t>
      </w:r>
    </w:p>
    <w:p>
      <w:pPr>
        <w:pageBreakBefore w:val="0"/>
        <w:kinsoku/>
        <w:wordWrap/>
        <w:overflowPunct/>
        <w:topLinePunct w:val="0"/>
        <w:bidi w:val="0"/>
        <w:spacing w:line="560" w:lineRule="exact"/>
        <w:rPr>
          <w:rFonts w:hint="eastAsia" w:ascii="仿宋_GB2312" w:hAnsi="仿宋_GB2312" w:eastAsia="仿宋_GB2312" w:cs="仿宋_GB2312"/>
          <w:sz w:val="32"/>
          <w:szCs w:val="32"/>
          <w:lang w:val="zh-CN" w:eastAsia="zh-CN"/>
        </w:rPr>
      </w:pP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zh-CN" w:eastAsia="zh-CN"/>
        </w:rPr>
      </w:pPr>
    </w:p>
    <w:p>
      <w:pPr>
        <w:pageBreakBefore w:val="0"/>
        <w:widowControl/>
        <w:kinsoku/>
        <w:wordWrap/>
        <w:overflowPunct/>
        <w:topLinePunct w:val="0"/>
        <w:bidi w:val="0"/>
        <w:spacing w:line="560" w:lineRule="exact"/>
        <w:jc w:val="left"/>
        <w:rPr>
          <w:rStyle w:val="22"/>
          <w:rFonts w:ascii="黑体" w:hAnsi="黑体" w:eastAsia="黑体"/>
          <w:b w:val="0"/>
        </w:rPr>
      </w:pPr>
    </w:p>
    <w:p>
      <w:pPr>
        <w:pageBreakBefore w:val="0"/>
        <w:widowControl/>
        <w:kinsoku/>
        <w:wordWrap/>
        <w:overflowPunct/>
        <w:topLinePunct w:val="0"/>
        <w:bidi w:val="0"/>
        <w:spacing w:line="560" w:lineRule="exact"/>
        <w:jc w:val="left"/>
        <w:rPr>
          <w:rStyle w:val="22"/>
          <w:rFonts w:ascii="黑体" w:hAnsi="黑体" w:eastAsia="黑体"/>
          <w:b w:val="0"/>
        </w:rPr>
      </w:pPr>
      <w:r>
        <w:rPr>
          <w:rStyle w:val="22"/>
          <w:rFonts w:ascii="黑体" w:hAnsi="黑体" w:eastAsia="黑体"/>
          <w:b w:val="0"/>
        </w:rPr>
        <w:br w:type="page"/>
      </w:r>
    </w:p>
    <w:p>
      <w:pPr>
        <w:pStyle w:val="2"/>
        <w:ind w:left="0" w:leftChars="0" w:firstLine="0" w:firstLineChars="0"/>
        <w:outlineLvl w:val="1"/>
        <w:rPr>
          <w:rFonts w:hint="eastAsia" w:ascii="黑体" w:hAnsi="黑体" w:eastAsia="黑体" w:cs="黑体"/>
          <w:b w:val="0"/>
          <w:bCs w:val="0"/>
          <w:color w:val="000000"/>
          <w:kern w:val="0"/>
          <w:sz w:val="32"/>
          <w:szCs w:val="32"/>
          <w:shd w:val="clear" w:color="auto" w:fill="FFFFFF"/>
          <w:lang w:val="en-US" w:eastAsia="zh-CN" w:bidi="ar-SA"/>
        </w:rPr>
      </w:pPr>
      <w:r>
        <w:rPr>
          <w:rFonts w:hint="eastAsia" w:ascii="黑体" w:hAnsi="黑体" w:eastAsia="黑体" w:cs="黑体"/>
          <w:b w:val="0"/>
          <w:bCs w:val="0"/>
          <w:color w:val="000000"/>
          <w:kern w:val="0"/>
          <w:sz w:val="32"/>
          <w:szCs w:val="32"/>
          <w:shd w:val="clear" w:color="auto" w:fill="FFFFFF"/>
          <w:lang w:val="en-US" w:eastAsia="zh-CN" w:bidi="ar-SA"/>
        </w:rPr>
        <w:t>附件2</w:t>
      </w:r>
    </w:p>
    <w:p>
      <w:pPr>
        <w:pStyle w:val="2"/>
        <w:ind w:left="0" w:leftChars="0" w:firstLine="0" w:firstLineChars="0"/>
        <w:jc w:val="center"/>
      </w:pPr>
      <w:r>
        <w:rPr>
          <w:rFonts w:ascii="方正小标宋简体" w:hAnsi="方正小标宋简体" w:eastAsia="方正小标宋简体" w:cs="方正小标宋简体"/>
          <w:color w:val="000000"/>
          <w:kern w:val="0"/>
          <w:sz w:val="40"/>
          <w:szCs w:val="40"/>
          <w:lang w:val="en-US" w:eastAsia="zh-CN" w:bidi="ar"/>
        </w:rPr>
        <w:t>2020 年项目支出绩效自评报告</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本部门无专项项目，未开展专项项目绩效评价。</w:t>
      </w: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pStyle w:val="2"/>
        <w:rPr>
          <w:rFonts w:ascii="仿宋_GB2312" w:hAnsi="宋体" w:eastAsia="仿宋_GB2312" w:cs="仿宋_GB2312"/>
          <w:color w:val="000000"/>
          <w:kern w:val="0"/>
          <w:sz w:val="31"/>
          <w:szCs w:val="31"/>
          <w:lang w:val="en-US" w:eastAsia="zh-CN" w:bidi="ar"/>
        </w:rPr>
      </w:pPr>
    </w:p>
    <w:p>
      <w:pPr>
        <w:keepNext w:val="0"/>
        <w:keepLines w:val="0"/>
        <w:widowControl/>
        <w:suppressLineNumbers w:val="0"/>
        <w:jc w:val="left"/>
        <w:outlineLvl w:val="1"/>
      </w:pPr>
      <w:r>
        <w:rPr>
          <w:rFonts w:ascii="黑体" w:hAnsi="宋体" w:eastAsia="黑体" w:cs="黑体"/>
          <w:color w:val="000000"/>
          <w:kern w:val="0"/>
          <w:sz w:val="31"/>
          <w:szCs w:val="31"/>
          <w:lang w:val="en-US" w:eastAsia="zh-CN" w:bidi="ar"/>
        </w:rPr>
        <w:t>附件 3</w:t>
      </w:r>
    </w:p>
    <w:p>
      <w:pPr>
        <w:keepNext w:val="0"/>
        <w:keepLines w:val="0"/>
        <w:widowControl/>
        <w:suppressLineNumbers w:val="0"/>
        <w:jc w:val="center"/>
      </w:pPr>
      <w:r>
        <w:rPr>
          <w:rFonts w:ascii="方正小标宋简体" w:hAnsi="方正小标宋简体" w:eastAsia="方正小标宋简体" w:cs="方正小标宋简体"/>
          <w:color w:val="000000"/>
          <w:kern w:val="0"/>
          <w:sz w:val="40"/>
          <w:szCs w:val="40"/>
          <w:lang w:val="en-US" w:eastAsia="zh-CN" w:bidi="ar"/>
        </w:rPr>
        <w:t>2020 年部门预算项目支出绩效自评报告</w:t>
      </w:r>
    </w:p>
    <w:p>
      <w:pPr>
        <w:keepNext w:val="0"/>
        <w:keepLines w:val="0"/>
        <w:widowControl/>
        <w:suppressLineNumbers w:val="0"/>
        <w:jc w:val="center"/>
      </w:pP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档案馆大楼运行项目</w:t>
      </w:r>
      <w:r>
        <w:rPr>
          <w:rFonts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b/>
          <w:bCs/>
          <w:sz w:val="32"/>
          <w:szCs w:val="32"/>
        </w:rPr>
      </w:pPr>
      <w:r>
        <w:rPr>
          <w:rFonts w:ascii="黑体" w:hAnsi="宋体" w:eastAsia="黑体" w:cs="黑体"/>
          <w:b/>
          <w:bCs/>
          <w:color w:val="000000"/>
          <w:kern w:val="0"/>
          <w:sz w:val="32"/>
          <w:szCs w:val="32"/>
          <w:lang w:val="en-US" w:eastAsia="zh-CN" w:bidi="ar"/>
        </w:rPr>
        <w:t xml:space="preserve">一、基本情况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ascii="楷体" w:hAnsi="楷体" w:eastAsia="楷体" w:cs="楷体"/>
          <w:b/>
          <w:bCs/>
          <w:color w:val="000000"/>
          <w:kern w:val="0"/>
          <w:sz w:val="32"/>
          <w:szCs w:val="32"/>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档案</w:t>
      </w:r>
      <w:r>
        <w:rPr>
          <w:rFonts w:hint="eastAsia" w:ascii="仿宋_GB2312" w:hAnsi="宋体" w:eastAsia="仿宋_GB2312" w:cs="仿宋_GB2312"/>
          <w:color w:val="000000"/>
          <w:kern w:val="0"/>
          <w:sz w:val="32"/>
          <w:szCs w:val="32"/>
          <w:lang w:val="en-US" w:eastAsia="zh-CN" w:bidi="ar"/>
        </w:rPr>
        <w:t>馆大楼运行</w:t>
      </w:r>
      <w:r>
        <w:rPr>
          <w:rFonts w:ascii="仿宋_GB2312" w:hAnsi="宋体" w:eastAsia="仿宋_GB2312" w:cs="仿宋_GB2312"/>
          <w:color w:val="000000"/>
          <w:kern w:val="0"/>
          <w:sz w:val="32"/>
          <w:szCs w:val="32"/>
          <w:lang w:val="en-US" w:eastAsia="zh-CN" w:bidi="ar"/>
        </w:rPr>
        <w:t>项目是</w:t>
      </w:r>
      <w:r>
        <w:rPr>
          <w:rFonts w:hint="eastAsia" w:ascii="仿宋_GB2312" w:hAnsi="宋体" w:eastAsia="仿宋_GB2312" w:cs="仿宋_GB2312"/>
          <w:color w:val="000000"/>
          <w:kern w:val="0"/>
          <w:sz w:val="32"/>
          <w:szCs w:val="32"/>
          <w:lang w:val="en-US" w:eastAsia="zh-CN" w:bidi="ar"/>
        </w:rPr>
        <w:t>我</w:t>
      </w:r>
      <w:r>
        <w:rPr>
          <w:rFonts w:ascii="仿宋_GB2312" w:hAnsi="宋体" w:eastAsia="仿宋_GB2312" w:cs="仿宋_GB2312"/>
          <w:color w:val="000000"/>
          <w:kern w:val="0"/>
          <w:sz w:val="32"/>
          <w:szCs w:val="32"/>
          <w:lang w:val="en-US" w:eastAsia="zh-CN" w:bidi="ar"/>
        </w:rPr>
        <w:t>馆常年延续性项目，</w:t>
      </w:r>
      <w:r>
        <w:rPr>
          <w:rFonts w:hint="eastAsia" w:ascii="仿宋_GB2312" w:hAnsi="宋体" w:eastAsia="仿宋_GB2312" w:cs="仿宋_GB2312"/>
          <w:color w:val="000000"/>
          <w:kern w:val="0"/>
          <w:sz w:val="32"/>
          <w:szCs w:val="32"/>
          <w:lang w:val="en-US" w:eastAsia="zh-CN" w:bidi="ar"/>
        </w:rPr>
        <w:t>大楼2014年投入使用，总共15层，1层为查阅大厅，二层为爱教基地和多功能会议厅，3-5层为办公用房，6层为业务用房，7层为市纪委监委、市委组织部档案部门，8层为市自然资源局档案部门，9-15层为档案馆库房。因大楼日常管理维护开支较大，我馆于2014年9月联合原市纪委、市委组织部、原市国土局向市政府报请解决大楼运行经费的请示，得到市政府批准。项目主要用于大楼的日常管理，特别是档案实体安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（二）项目实施情况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2020年我馆通过比选，重新确定物业管理部门，全年减少物业管理费2万元。每月按时交清水电网费，保证零星修缮及时完成，优先保证库房的维修维护。为进一步加强管理，我馆申报了2020年度节能减排示范机关建设项目，将大楼水电设施改装为节能产品。全年大楼管理规范有序，保证了基本运转，未发生任何安全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（三）资金投入使用情况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档案馆大楼运行项目 2020 年度安排预算45.13万元，均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为财政拨款资金，预算执行数45.13 万元，预算执行率100%。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（四）项目绩效目标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年初我馆从数量指标、质量指标、时效指标、成本指标、社会效益指标、满意度指标 6 个方面对档案馆大楼运行项目编制绩效目标，并将其作为组织项目预算执行及开展绩效监控、绩效自评和绩效评价的重要依据。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b/>
          <w:bCs/>
          <w:sz w:val="32"/>
          <w:szCs w:val="32"/>
        </w:rPr>
      </w:pPr>
      <w:r>
        <w:rPr>
          <w:rFonts w:hint="eastAsia" w:ascii="黑体" w:hAnsi="宋体" w:eastAsia="黑体" w:cs="黑体"/>
          <w:b/>
          <w:bCs/>
          <w:color w:val="000000"/>
          <w:kern w:val="0"/>
          <w:sz w:val="32"/>
          <w:szCs w:val="32"/>
          <w:lang w:val="en-US" w:eastAsia="zh-CN" w:bidi="ar"/>
        </w:rPr>
        <w:t xml:space="preserve">二、评价工作开展情况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按照文件要求，市档案馆对照年初绩效目标开展了自评，基本完成年初各项目标。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b/>
          <w:bCs/>
          <w:sz w:val="32"/>
          <w:szCs w:val="32"/>
        </w:rPr>
      </w:pPr>
      <w:r>
        <w:rPr>
          <w:rFonts w:hint="eastAsia" w:ascii="黑体" w:hAnsi="宋体" w:eastAsia="黑体" w:cs="黑体"/>
          <w:b/>
          <w:bCs/>
          <w:color w:val="000000"/>
          <w:kern w:val="0"/>
          <w:sz w:val="32"/>
          <w:szCs w:val="32"/>
          <w:lang w:val="en-US" w:eastAsia="zh-CN" w:bidi="ar"/>
        </w:rPr>
        <w:t>三、综合评价结论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2020年市档案馆大楼运行支出绩效自评结果为“好”，项目预算支出保障了大楼正常运转。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黑体" w:hAnsi="宋体" w:eastAsia="黑体" w:cs="黑体"/>
          <w:b/>
          <w:bCs/>
          <w:color w:val="000000"/>
          <w:kern w:val="0"/>
          <w:sz w:val="32"/>
          <w:szCs w:val="32"/>
          <w:lang w:val="en-US" w:eastAsia="zh-CN" w:bidi="ar"/>
        </w:rPr>
        <w:t>四、绩效评价分析</w:t>
      </w:r>
      <w:r>
        <w:rPr>
          <w:rFonts w:hint="eastAsia"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ascii="楷体_GB2312" w:hAnsi="宋体" w:eastAsia="楷体_GB2312" w:cs="楷体_GB2312"/>
          <w:b/>
          <w:bCs/>
          <w:color w:val="000000"/>
          <w:kern w:val="0"/>
          <w:sz w:val="32"/>
          <w:szCs w:val="32"/>
          <w:lang w:val="en-US" w:eastAsia="zh-CN" w:bidi="ar"/>
        </w:rPr>
        <w:t xml:space="preserve">（一）项目决策情况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档案馆大楼运行项目的设立经过严格评估论证与部门职责相符，属于公共财政支持范围，与相关部门同类项目或部门内部项目不重复。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（二）项目管理情况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档案馆大楼运行项目的方案制定、采购、实施、验收等工作严格执行相关制度规定；在项目实施过程中不定期开展检查监督，对发现的问题及时进行督促整改；项目资金使用符合相关财务管理制度规定，预算执行率100%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（三）项目产出情况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完成了档案馆大楼节能设备改造，降低了水电等日常支出，重新比选物业管理公司，降低了物业管理费用支出。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（四）项目效益情况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lang w:val="en-US"/>
        </w:rPr>
      </w:pPr>
      <w:r>
        <w:rPr>
          <w:rFonts w:hint="eastAsia" w:ascii="仿宋_GB2312" w:hAnsi="宋体" w:eastAsia="仿宋_GB2312" w:cs="仿宋_GB2312"/>
          <w:color w:val="000000"/>
          <w:kern w:val="0"/>
          <w:sz w:val="32"/>
          <w:szCs w:val="32"/>
          <w:lang w:val="en-US" w:eastAsia="zh-CN" w:bidi="ar"/>
        </w:rPr>
        <w:t>保证了大楼正常运转，延长了大楼使用寿命，加强了国有资产管理。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 xml:space="preserve">五、存在主要问题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项目执行部门对项目绩效管理工作认识不够，绩效意识不强，对项目绩效指标的设置还不够准确。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 xml:space="preserve">六、相关措施建议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加强项目绩效宣传，按照“谁要钱，谁负责”原则，提高项目执行部门的绩效管理意识，把绩效理念融入项目执行的全过程，动态了解和掌握项目资金使用、项目实施管理以及绩效目标实现程度。</w:t>
      </w:r>
    </w:p>
    <w:p>
      <w:pPr>
        <w:pStyle w:val="2"/>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keepNext w:val="0"/>
        <w:keepLines w:val="0"/>
        <w:widowControl/>
        <w:suppressLineNumbers w:val="0"/>
        <w:jc w:val="both"/>
        <w:rPr>
          <w:rFonts w:ascii="方正小标宋简体" w:hAnsi="方正小标宋简体" w:eastAsia="方正小标宋简体" w:cs="方正小标宋简体"/>
          <w:color w:val="000000"/>
          <w:kern w:val="0"/>
          <w:sz w:val="32"/>
          <w:szCs w:val="32"/>
          <w:lang w:val="en-US" w:eastAsia="zh-CN" w:bidi="ar"/>
        </w:rPr>
      </w:pP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2020年部门预算项目支出绩效自评报告</w:t>
      </w:r>
    </w:p>
    <w:p>
      <w:pPr>
        <w:keepNext w:val="0"/>
        <w:keepLines w:val="0"/>
        <w:widowControl/>
        <w:suppressLineNumbers w:val="0"/>
        <w:jc w:val="center"/>
        <w:rPr>
          <w:sz w:val="32"/>
          <w:szCs w:val="32"/>
        </w:rPr>
      </w:pP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馆藏档案数字化扫描项目</w:t>
      </w:r>
      <w:r>
        <w:rPr>
          <w:rFonts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一、基本情况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ascii="楷体" w:hAnsi="楷体" w:eastAsia="楷体" w:cs="楷体"/>
          <w:b/>
          <w:bCs/>
          <w:color w:val="000000"/>
          <w:kern w:val="0"/>
          <w:sz w:val="32"/>
          <w:szCs w:val="32"/>
          <w:lang w:val="en-US" w:eastAsia="zh-CN" w:bidi="ar"/>
        </w:rPr>
      </w:pPr>
      <w:r>
        <w:rPr>
          <w:rFonts w:ascii="楷体" w:hAnsi="楷体" w:eastAsia="楷体" w:cs="楷体"/>
          <w:b/>
          <w:bCs/>
          <w:color w:val="000000"/>
          <w:kern w:val="0"/>
          <w:sz w:val="32"/>
          <w:szCs w:val="32"/>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馆藏档案数字化扫描项目是</w:t>
      </w:r>
      <w:r>
        <w:rPr>
          <w:rFonts w:ascii="仿宋_GB2312" w:hAnsi="宋体" w:eastAsia="仿宋_GB2312" w:cs="仿宋_GB2312"/>
          <w:color w:val="000000"/>
          <w:kern w:val="0"/>
          <w:sz w:val="32"/>
          <w:szCs w:val="32"/>
          <w:lang w:val="en-US" w:eastAsia="zh-CN" w:bidi="ar"/>
        </w:rPr>
        <w:t>档案馆常年延续性项目，</w:t>
      </w:r>
      <w:r>
        <w:rPr>
          <w:rFonts w:hint="eastAsia" w:ascii="仿宋_GB2312" w:hAnsi="宋体" w:eastAsia="仿宋_GB2312" w:cs="仿宋_GB2312"/>
          <w:color w:val="000000"/>
          <w:kern w:val="0"/>
          <w:sz w:val="32"/>
          <w:szCs w:val="32"/>
          <w:lang w:val="en-US" w:eastAsia="zh-CN" w:bidi="ar"/>
        </w:rPr>
        <w:t>整体目标是全部实现馆藏纸质档案数字化，</w:t>
      </w:r>
      <w:r>
        <w:rPr>
          <w:rFonts w:ascii="仿宋_GB2312" w:hAnsi="宋体" w:eastAsia="仿宋_GB2312" w:cs="仿宋_GB2312"/>
          <w:color w:val="000000"/>
          <w:kern w:val="0"/>
          <w:sz w:val="32"/>
          <w:szCs w:val="32"/>
          <w:lang w:val="en-US" w:eastAsia="zh-CN" w:bidi="ar"/>
        </w:rPr>
        <w:t>根据</w:t>
      </w:r>
      <w:r>
        <w:rPr>
          <w:rFonts w:hint="eastAsia" w:ascii="仿宋_GB2312" w:hAnsi="宋体" w:eastAsia="仿宋_GB2312" w:cs="仿宋_GB2312"/>
          <w:color w:val="000000"/>
          <w:kern w:val="0"/>
          <w:sz w:val="32"/>
          <w:szCs w:val="32"/>
          <w:lang w:val="en-US" w:eastAsia="zh-CN" w:bidi="ar"/>
        </w:rPr>
        <w:t>《关于进一步加强和改进新形势下档案工作的实施意见》以及《“十三五”全国档案事业发展规划》等要求设立，主要任务是继续开展建国后档案的数字化工作。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（二）项目实施情况 </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2020年度，完成纸质档案扫描305万页，著录45.5万条，于2020年底通过验收，顺利完成年度任务。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（三）资金投入使用情况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馆藏档案数字化扫描项目2020 年度安排预算70万元，上年度结转25.6万元，合计95.6万元，均为财政拨款资金，预算执行数90.93 万元，预算执行率为95%。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（四）项目绩效目标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馆藏档案数字化扫描项目从数量指标、质量指标、时效指标、成本指标、社会效益指标、满意度指标 6个方面编制绩效目标，并将其作为组织项目预算执行及开展绩效监控、绩效自评和绩效评价的重要依据。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二、评价工作开展情况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按照文件要求，我馆对照年初绩效目标开展了自评，完成了年初制定的各项目标任务。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三、综合评价结论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2020年馆藏档案数字化扫描项目支出绩效自评结果</w:t>
      </w:r>
      <w:r>
        <w:rPr>
          <w:rFonts w:hint="eastAsia" w:ascii="仿宋_GB2312" w:hAnsi="宋体" w:eastAsia="仿宋_GB2312" w:cs="仿宋_GB2312"/>
          <w:color w:val="000000"/>
          <w:kern w:val="0"/>
          <w:sz w:val="32"/>
          <w:szCs w:val="32"/>
          <w:lang w:val="en-US" w:eastAsia="zh-CN" w:bidi="ar"/>
        </w:rPr>
        <w:t>为“好”</w:t>
      </w:r>
      <w:r>
        <w:rPr>
          <w:rFonts w:hint="eastAsia" w:ascii="仿宋_GB2312" w:hAnsi="仿宋_GB2312" w:eastAsia="仿宋_GB2312" w:cs="仿宋_GB2312"/>
          <w:kern w:val="2"/>
          <w:sz w:val="32"/>
          <w:szCs w:val="32"/>
          <w:lang w:val="en-US" w:eastAsia="zh-CN" w:bidi="ar-SA"/>
        </w:rPr>
        <w:t>，项目预算支出保障了各项业务工作的开展，较好地完成预期绩效目标。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四、绩效评价分析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ascii="楷体_GB2312" w:hAnsi="宋体" w:eastAsia="楷体_GB2312" w:cs="楷体_GB2312"/>
          <w:b/>
          <w:bCs/>
          <w:color w:val="000000"/>
          <w:kern w:val="0"/>
          <w:sz w:val="32"/>
          <w:szCs w:val="32"/>
          <w:lang w:val="en-US" w:eastAsia="zh-CN" w:bidi="ar"/>
        </w:rPr>
      </w:pPr>
      <w:r>
        <w:rPr>
          <w:rFonts w:ascii="楷体_GB2312" w:hAnsi="宋体" w:eastAsia="楷体_GB2312" w:cs="楷体_GB2312"/>
          <w:b/>
          <w:bCs/>
          <w:color w:val="000000"/>
          <w:kern w:val="0"/>
          <w:sz w:val="32"/>
          <w:szCs w:val="32"/>
          <w:lang w:val="en-US" w:eastAsia="zh-CN" w:bidi="ar"/>
        </w:rPr>
        <w:t xml:space="preserve">（一）项目决策情况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馆藏档案数字化扫描项目是基于档案事业发展而开展的一项基础性工作，是为数字档案馆建设，档案信息化奠定数据基础。作为“十三五”档案工作的重点，我馆按照“增量电子化、存量数字化”工作要求，高度重视，统筹安排，对馆藏应扫未扫档案进行了摸排清理，于2017年进行了立项申请，当年底完成三年政府采购任务。项目决策是统筹考虑事业发展需求、部门工作实际作出的必要决定，完全符合档案事业发展需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宋体" w:eastAsia="楷体_GB2312" w:cs="楷体_GB2312"/>
          <w:b/>
          <w:bCs/>
          <w:color w:val="000000"/>
          <w:kern w:val="0"/>
          <w:sz w:val="32"/>
          <w:szCs w:val="32"/>
          <w:lang w:val="en-US" w:eastAsia="zh-CN" w:bidi="ar"/>
        </w:rPr>
      </w:pPr>
      <w:r>
        <w:rPr>
          <w:rFonts w:hint="eastAsia" w:ascii="楷体_GB2312" w:hAnsi="宋体" w:eastAsia="楷体_GB2312" w:cs="楷体_GB2312"/>
          <w:b/>
          <w:bCs/>
          <w:color w:val="000000"/>
          <w:kern w:val="0"/>
          <w:sz w:val="32"/>
          <w:szCs w:val="32"/>
          <w:lang w:val="en-US" w:eastAsia="zh-CN" w:bidi="ar"/>
        </w:rPr>
        <w:t xml:space="preserve">（二）项目管理情况 </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馆藏档案数字化扫描项目通过政府公开招标采购，确定了成都金档科技有限公司为任务承包方。为保证档案扫描和提名质量、档案安全，我馆明确了分管领导、具体责任科室，签订了项目合同和保密协议，对施工人员身份进行了审查备案，增添了监控设备等硬件设施，审核制定了项目工作流程和验收要求，根据扫描进度，通过计算机自动检验和人工检验相结合的方式分批进行验收，验收综合合格率达到95%以上才能进入资金支付环节。项目管理较为规范。</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宋体" w:eastAsia="楷体_GB2312" w:cs="楷体_GB2312"/>
          <w:b/>
          <w:bCs/>
          <w:color w:val="000000"/>
          <w:kern w:val="0"/>
          <w:sz w:val="32"/>
          <w:szCs w:val="32"/>
          <w:lang w:val="en-US" w:eastAsia="zh-CN" w:bidi="ar"/>
        </w:rPr>
      </w:pPr>
      <w:r>
        <w:rPr>
          <w:rFonts w:hint="eastAsia" w:ascii="楷体_GB2312" w:hAnsi="宋体" w:eastAsia="楷体_GB2312" w:cs="楷体_GB2312"/>
          <w:b/>
          <w:bCs/>
          <w:color w:val="000000"/>
          <w:kern w:val="0"/>
          <w:sz w:val="32"/>
          <w:szCs w:val="32"/>
          <w:lang w:val="en-US" w:eastAsia="zh-CN" w:bidi="ar"/>
        </w:rPr>
        <w:t xml:space="preserve">项目产出情况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2020年度完成了305万页的扫描任务，完成了48.5万条著录任务，我馆馆藏档案实现全部数字化。</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楷体_GB2312" w:hAnsi="宋体" w:eastAsia="楷体_GB2312" w:cs="楷体_GB2312"/>
          <w:b/>
          <w:bCs/>
          <w:color w:val="000000"/>
          <w:kern w:val="0"/>
          <w:sz w:val="32"/>
          <w:szCs w:val="32"/>
          <w:lang w:val="en-US" w:eastAsia="zh-CN" w:bidi="ar"/>
        </w:rPr>
      </w:pPr>
      <w:r>
        <w:rPr>
          <w:rFonts w:hint="eastAsia" w:ascii="楷体_GB2312" w:hAnsi="宋体" w:eastAsia="楷体_GB2312" w:cs="楷体_GB2312"/>
          <w:b/>
          <w:bCs/>
          <w:color w:val="000000"/>
          <w:kern w:val="0"/>
          <w:sz w:val="32"/>
          <w:szCs w:val="32"/>
          <w:lang w:val="en-US" w:eastAsia="zh-CN" w:bidi="ar"/>
        </w:rPr>
        <w:t xml:space="preserve">项目效益情况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改善了档案的储存条件，延长档案的使用寿命，为下一步档案信息化、档案的利用开发奠定了基础，极大地促进了档案事业的发展。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五、存在主要问题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市档案馆高度重视预算绩效管理，加强预算执行，档案馆数字化扫描项目绩效目标实现较好，但在绩效目标编制细化、量化方面还待加强，绩效指标的编制还需要进一步科学化、合理化，有利于评价。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六、相关措施建议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预算编制工作，按照“谁申请预算、谁使用资金、谁编制目标”的原则，压实绩效目标编制责任，由各相关业务科室按照“指向明确、细化量化、合理可行、相应匹配”的要求，依据其工作职能明细填报项目的绩效目标。</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keepNext w:val="0"/>
        <w:keepLines w:val="0"/>
        <w:widowControl/>
        <w:suppressLineNumbers w:val="0"/>
        <w:jc w:val="center"/>
        <w:rPr>
          <w:sz w:val="40"/>
          <w:szCs w:val="40"/>
        </w:rPr>
      </w:pPr>
      <w:r>
        <w:rPr>
          <w:rFonts w:ascii="方正小标宋简体" w:hAnsi="方正小标宋简体" w:eastAsia="方正小标宋简体" w:cs="方正小标宋简体"/>
          <w:color w:val="000000"/>
          <w:kern w:val="0"/>
          <w:sz w:val="40"/>
          <w:szCs w:val="40"/>
          <w:lang w:val="en-US" w:eastAsia="zh-CN" w:bidi="ar"/>
        </w:rPr>
        <w:t>202</w:t>
      </w:r>
      <w:r>
        <w:rPr>
          <w:rFonts w:hint="eastAsia" w:ascii="方正小标宋简体" w:hAnsi="方正小标宋简体" w:eastAsia="方正小标宋简体" w:cs="方正小标宋简体"/>
          <w:color w:val="000000"/>
          <w:kern w:val="0"/>
          <w:sz w:val="40"/>
          <w:szCs w:val="40"/>
          <w:lang w:val="en-US" w:eastAsia="zh-CN" w:bidi="ar"/>
        </w:rPr>
        <w:t>0</w:t>
      </w:r>
      <w:r>
        <w:rPr>
          <w:rFonts w:ascii="方正小标宋简体" w:hAnsi="方正小标宋简体" w:eastAsia="方正小标宋简体" w:cs="方正小标宋简体"/>
          <w:color w:val="000000"/>
          <w:kern w:val="0"/>
          <w:sz w:val="40"/>
          <w:szCs w:val="40"/>
          <w:lang w:val="en-US" w:eastAsia="zh-CN" w:bidi="ar"/>
        </w:rPr>
        <w:t>年部门预算项目支出绩效自评报告</w:t>
      </w:r>
    </w:p>
    <w:p>
      <w:pPr>
        <w:keepNext w:val="0"/>
        <w:keepLines w:val="0"/>
        <w:widowControl/>
        <w:suppressLineNumbers w:val="0"/>
        <w:jc w:val="center"/>
        <w:rPr>
          <w:sz w:val="32"/>
          <w:szCs w:val="32"/>
        </w:rPr>
      </w:pP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档案保管保护</w:t>
      </w:r>
      <w:r>
        <w:rPr>
          <w:rFonts w:ascii="仿宋_GB2312" w:hAnsi="宋体" w:eastAsia="仿宋_GB2312" w:cs="仿宋_GB2312"/>
          <w:color w:val="000000"/>
          <w:kern w:val="0"/>
          <w:sz w:val="32"/>
          <w:szCs w:val="32"/>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b/>
          <w:bCs/>
          <w:sz w:val="32"/>
          <w:szCs w:val="32"/>
        </w:rPr>
      </w:pPr>
      <w:r>
        <w:rPr>
          <w:rFonts w:ascii="黑体" w:hAnsi="宋体" w:eastAsia="黑体" w:cs="黑体"/>
          <w:b/>
          <w:bCs/>
          <w:color w:val="000000"/>
          <w:kern w:val="0"/>
          <w:sz w:val="32"/>
          <w:szCs w:val="32"/>
          <w:lang w:val="en-US" w:eastAsia="zh-CN" w:bidi="ar"/>
        </w:rPr>
        <w:t xml:space="preserve">一、基本情况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ascii="楷体" w:hAnsi="楷体" w:eastAsia="楷体" w:cs="楷体"/>
          <w:b/>
          <w:bCs/>
          <w:color w:val="000000"/>
          <w:kern w:val="0"/>
          <w:sz w:val="32"/>
          <w:szCs w:val="32"/>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eastAsia="zh-CN"/>
        </w:rPr>
      </w:pPr>
      <w:r>
        <w:rPr>
          <w:rFonts w:ascii="仿宋_GB2312" w:hAnsi="宋体" w:eastAsia="仿宋_GB2312" w:cs="仿宋_GB2312"/>
          <w:color w:val="000000"/>
          <w:kern w:val="0"/>
          <w:sz w:val="32"/>
          <w:szCs w:val="32"/>
          <w:lang w:val="en-US" w:eastAsia="zh-CN" w:bidi="ar"/>
        </w:rPr>
        <w:t>档案保管保护项目是</w:t>
      </w:r>
      <w:r>
        <w:rPr>
          <w:rFonts w:hint="eastAsia" w:ascii="仿宋_GB2312" w:hAnsi="宋体" w:eastAsia="仿宋_GB2312" w:cs="仿宋_GB2312"/>
          <w:color w:val="000000"/>
          <w:kern w:val="0"/>
          <w:sz w:val="32"/>
          <w:szCs w:val="32"/>
          <w:lang w:val="en-US" w:eastAsia="zh-CN" w:bidi="ar"/>
        </w:rPr>
        <w:t>市</w:t>
      </w:r>
      <w:r>
        <w:rPr>
          <w:rFonts w:ascii="仿宋_GB2312" w:hAnsi="宋体" w:eastAsia="仿宋_GB2312" w:cs="仿宋_GB2312"/>
          <w:color w:val="000000"/>
          <w:kern w:val="0"/>
          <w:sz w:val="32"/>
          <w:szCs w:val="32"/>
          <w:lang w:val="en-US" w:eastAsia="zh-CN" w:bidi="ar"/>
        </w:rPr>
        <w:t>档案馆常年延续性项目，根据</w:t>
      </w:r>
      <w:r>
        <w:rPr>
          <w:rFonts w:hint="eastAsia" w:ascii="仿宋_GB2312" w:hAnsi="宋体" w:eastAsia="仿宋_GB2312" w:cs="仿宋_GB2312"/>
          <w:color w:val="000000"/>
          <w:kern w:val="0"/>
          <w:sz w:val="32"/>
          <w:szCs w:val="32"/>
          <w:lang w:val="en-US" w:eastAsia="zh-CN" w:bidi="ar"/>
        </w:rPr>
        <w:t>市委办、市政府办《&lt;关于进一步加强全市档案工作的意见&gt;的通知》等文件要求设立，重点用于实体、电子档案的安全保护，档案的</w:t>
      </w:r>
      <w:r>
        <w:rPr>
          <w:rFonts w:hint="eastAsia" w:ascii="仿宋_GB2312" w:hAnsi="仿宋_GB2312" w:eastAsia="仿宋_GB2312" w:cs="仿宋_GB2312"/>
          <w:sz w:val="32"/>
          <w:szCs w:val="32"/>
        </w:rPr>
        <w:t>整理、鉴定、保管、保护、解密、划控、开放和销毁工作</w:t>
      </w:r>
      <w:r>
        <w:rPr>
          <w:rFonts w:hint="eastAsia" w:ascii="仿宋_GB2312" w:hAnsi="仿宋_GB2312" w:eastAsia="仿宋_GB2312" w:cs="仿宋_GB2312"/>
          <w:sz w:val="32"/>
          <w:szCs w:val="32"/>
          <w:lang w:eastAsia="zh-CN"/>
        </w:rPr>
        <w:t>等具体业务工作，今年的重点任务是破产企业档案的整理以及专题档案资源的开发。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（二）项目实施情况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lang w:val="en-US" w:eastAsia="zh-CN"/>
        </w:rPr>
      </w:pPr>
      <w:r>
        <w:rPr>
          <w:rFonts w:ascii="仿宋_GB2312" w:hAnsi="宋体" w:eastAsia="仿宋_GB2312" w:cs="仿宋_GB2312"/>
          <w:color w:val="000000"/>
          <w:kern w:val="0"/>
          <w:sz w:val="32"/>
          <w:szCs w:val="32"/>
          <w:lang w:val="en-US" w:eastAsia="zh-CN" w:bidi="ar"/>
        </w:rPr>
        <w:t>2020 年档案保管保护项目相关工作有序开展，完成</w:t>
      </w:r>
      <w:r>
        <w:rPr>
          <w:rFonts w:hint="eastAsia" w:ascii="仿宋_GB2312" w:hAnsi="宋体" w:eastAsia="仿宋_GB2312" w:cs="仿宋_GB2312"/>
          <w:color w:val="000000"/>
          <w:kern w:val="0"/>
          <w:sz w:val="32"/>
          <w:szCs w:val="32"/>
          <w:lang w:val="en-US" w:eastAsia="zh-CN" w:bidi="ar"/>
        </w:rPr>
        <w:t>第一机械厂档案清理排架3万余卷，为库房增添清洁设备，基本保障了档案库房的安全运转。在全市范围内收集了红军石刻标语，编印了 《广元红军石刻标语选编》。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（三）资金投入使用情况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档案保管保护项目</w:t>
      </w:r>
      <w:r>
        <w:rPr>
          <w:rFonts w:hint="eastAsia" w:ascii="仿宋_GB2312" w:hAnsi="宋体" w:eastAsia="仿宋_GB2312" w:cs="仿宋_GB2312"/>
          <w:color w:val="000000"/>
          <w:kern w:val="0"/>
          <w:sz w:val="32"/>
          <w:szCs w:val="32"/>
          <w:lang w:val="en-US" w:eastAsia="zh-CN" w:bidi="ar"/>
        </w:rPr>
        <w:t xml:space="preserve">项目 2020 年度安排预算8.78万元，均为财政拨款资金，预算执行数6.23万元，预算执行率为71%。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（四）项目绩效目标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档案保管保护项目</w:t>
      </w:r>
      <w:r>
        <w:rPr>
          <w:rFonts w:hint="eastAsia" w:ascii="仿宋_GB2312" w:hAnsi="宋体" w:eastAsia="仿宋_GB2312" w:cs="仿宋_GB2312"/>
          <w:color w:val="000000"/>
          <w:kern w:val="0"/>
          <w:sz w:val="32"/>
          <w:szCs w:val="32"/>
          <w:lang w:val="en-US" w:eastAsia="zh-CN" w:bidi="ar"/>
        </w:rPr>
        <w:t xml:space="preserve">从数量指标、质量指标、时效指标、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成本指标、社会效益指标、满意度指标 6 个方面编制绩效目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标，并将其作为组织项目预算执行及开展绩效监控、绩效自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评和绩效评价的重要依据。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b/>
          <w:bCs/>
          <w:sz w:val="32"/>
          <w:szCs w:val="32"/>
        </w:rPr>
      </w:pPr>
      <w:r>
        <w:rPr>
          <w:rFonts w:hint="eastAsia" w:ascii="黑体" w:hAnsi="宋体" w:eastAsia="黑体" w:cs="黑体"/>
          <w:b/>
          <w:bCs/>
          <w:color w:val="000000"/>
          <w:kern w:val="0"/>
          <w:sz w:val="32"/>
          <w:szCs w:val="32"/>
          <w:lang w:val="en-US" w:eastAsia="zh-CN" w:bidi="ar"/>
        </w:rPr>
        <w:t xml:space="preserve">二、评价工作开展情况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按照文件要求，市档案馆对照年初绩效目标开展了自评，基本完成年初各项目标。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b/>
          <w:bCs/>
          <w:sz w:val="32"/>
          <w:szCs w:val="32"/>
        </w:rPr>
      </w:pPr>
      <w:r>
        <w:rPr>
          <w:rFonts w:hint="eastAsia" w:ascii="黑体" w:hAnsi="宋体" w:eastAsia="黑体" w:cs="黑体"/>
          <w:b/>
          <w:bCs/>
          <w:color w:val="000000"/>
          <w:kern w:val="0"/>
          <w:sz w:val="32"/>
          <w:szCs w:val="32"/>
          <w:lang w:val="en-US" w:eastAsia="zh-CN" w:bidi="ar"/>
        </w:rPr>
        <w:t>三、综合评价结论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2020 年档案保管保护项目支出绩效自评结果为“较好”，基本完成年初绩效目标。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黑体" w:hAnsi="宋体" w:eastAsia="黑体" w:cs="黑体"/>
          <w:b/>
          <w:bCs/>
          <w:color w:val="000000"/>
          <w:kern w:val="0"/>
          <w:sz w:val="32"/>
          <w:szCs w:val="32"/>
          <w:lang w:val="en-US" w:eastAsia="zh-CN" w:bidi="ar"/>
        </w:rPr>
        <w:t>四、绩效评价分析</w:t>
      </w:r>
      <w:r>
        <w:rPr>
          <w:rFonts w:hint="eastAsia"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ascii="楷体_GB2312" w:hAnsi="宋体" w:eastAsia="楷体_GB2312" w:cs="楷体_GB2312"/>
          <w:b/>
          <w:bCs/>
          <w:color w:val="000000"/>
          <w:kern w:val="0"/>
          <w:sz w:val="32"/>
          <w:szCs w:val="32"/>
          <w:lang w:val="en-US" w:eastAsia="zh-CN" w:bidi="ar"/>
        </w:rPr>
        <w:t xml:space="preserve">（一）项目决策情况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档案保管保护项目的设立经过严格评估论证与部门职责相符，属于公共财政支持范围，与相关部门同类项目或部门内部项目不重复。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（二）项目管理情况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项目资金预算批复以后，按照绩效目标，我馆明确责任科室，分解各重点任务，项目执行过程中，由办公室牵头对各项目的实施进度、内容、支出情况进行监控，将结果及时上报分管领导和主管领导，保证项目按照绩效目标有序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（三）项目产出情况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sz w:val="32"/>
          <w:szCs w:val="32"/>
          <w:lang w:val="en-US"/>
        </w:rPr>
      </w:pPr>
      <w:r>
        <w:rPr>
          <w:rFonts w:hint="eastAsia" w:ascii="仿宋_GB2312" w:hAnsi="宋体" w:eastAsia="仿宋_GB2312" w:cs="仿宋_GB2312"/>
          <w:color w:val="000000"/>
          <w:kern w:val="0"/>
          <w:sz w:val="32"/>
          <w:szCs w:val="32"/>
          <w:lang w:val="en-US" w:eastAsia="zh-CN" w:bidi="ar"/>
        </w:rPr>
        <w:t xml:space="preserve">     2020年保管保护经费主要用于馆藏破产企业的整理和档案出版物编辑，完成对原广元第一机械厂近5万卷档案整理排架，编印了《广元红军石刻标语选编》。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（四）项目效益情况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lang w:val="en-US"/>
        </w:rPr>
      </w:pPr>
      <w:r>
        <w:rPr>
          <w:rFonts w:hint="eastAsia" w:ascii="仿宋_GB2312" w:hAnsi="宋体" w:eastAsia="仿宋_GB2312" w:cs="仿宋_GB2312"/>
          <w:color w:val="000000"/>
          <w:kern w:val="0"/>
          <w:sz w:val="32"/>
          <w:szCs w:val="32"/>
          <w:lang w:val="en-US" w:eastAsia="zh-CN" w:bidi="ar"/>
        </w:rPr>
        <w:t>破产企业档案的整理有利于后期档案的服务利用，现阶段该类企业原职工面临退休手续办理，急需档案资料进行佐证，整理后的档案方便为群众救急解难，用档案资料维护群众权益。《广元红军石刻标语选编》是对我市红色档案资源的收集挖掘，是对红色精神的传承和宣传，有利于发挥档案资政育人的社会功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 xml:space="preserve">五、存在主要问题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项目预算执行进度较慢，本年度未完成破产企业档案整理的审核复验工作，除审核纸质档案整理质量，还要将扫描、著录数据挂接我馆内部系统，进行数据审核，工作量较大，人手不足，年度预算资金未按期支付到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 xml:space="preserve">六、相关措施建议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一是加强项目管理，提前谋划准备，预算资金一经下达就直接开始实施。二是项目实施主体要增强绩效管理意识，围绕年初既定目标开展工作。</w:t>
      </w:r>
    </w:p>
    <w:p>
      <w:pPr>
        <w:pStyle w:val="2"/>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keepNext w:val="0"/>
        <w:keepLines w:val="0"/>
        <w:widowControl/>
        <w:suppressLineNumbers w:val="0"/>
        <w:jc w:val="both"/>
        <w:rPr>
          <w:rFonts w:ascii="方正小标宋简体" w:hAnsi="方正小标宋简体" w:eastAsia="方正小标宋简体" w:cs="方正小标宋简体"/>
          <w:color w:val="000000"/>
          <w:kern w:val="0"/>
          <w:sz w:val="32"/>
          <w:szCs w:val="32"/>
          <w:lang w:val="en-US" w:eastAsia="zh-CN" w:bidi="ar"/>
        </w:rPr>
      </w:pP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2020 年部门预算项目支出绩效自评报告</w:t>
      </w:r>
    </w:p>
    <w:p>
      <w:pPr>
        <w:keepNext w:val="0"/>
        <w:keepLines w:val="0"/>
        <w:widowControl/>
        <w:suppressLineNumbers w:val="0"/>
        <w:jc w:val="center"/>
        <w:rPr>
          <w:sz w:val="32"/>
          <w:szCs w:val="32"/>
        </w:rPr>
      </w:pP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扶贫专项经费</w:t>
      </w:r>
      <w:r>
        <w:rPr>
          <w:rFonts w:ascii="仿宋_GB2312" w:hAnsi="宋体" w:eastAsia="仿宋_GB2312" w:cs="仿宋_GB2312"/>
          <w:color w:val="000000"/>
          <w:kern w:val="0"/>
          <w:sz w:val="32"/>
          <w:szCs w:val="32"/>
          <w:lang w:val="en-US" w:eastAsia="zh-CN" w:bidi="ar"/>
        </w:rPr>
        <w:t>）</w:t>
      </w:r>
    </w:p>
    <w:p>
      <w:pPr>
        <w:keepNext w:val="0"/>
        <w:keepLines w:val="0"/>
        <w:widowControl/>
        <w:suppressLineNumbers w:val="0"/>
        <w:ind w:firstLine="640" w:firstLineChars="200"/>
        <w:jc w:val="left"/>
        <w:outlineLvl w:val="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bookmarkStart w:id="136" w:name="_Toc2904"/>
      <w:bookmarkStart w:id="137" w:name="_Toc26849"/>
      <w:bookmarkStart w:id="138" w:name="_Toc3019"/>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b/>
          <w:bCs/>
          <w:sz w:val="32"/>
          <w:szCs w:val="32"/>
        </w:rPr>
      </w:pPr>
      <w:r>
        <w:rPr>
          <w:rFonts w:ascii="黑体" w:hAnsi="宋体" w:eastAsia="黑体" w:cs="黑体"/>
          <w:b/>
          <w:bCs/>
          <w:color w:val="000000"/>
          <w:kern w:val="0"/>
          <w:sz w:val="32"/>
          <w:szCs w:val="32"/>
          <w:lang w:val="en-US" w:eastAsia="zh-CN" w:bidi="ar"/>
        </w:rPr>
        <w:t>一、基本情况</w:t>
      </w:r>
      <w:bookmarkEnd w:id="136"/>
      <w:bookmarkEnd w:id="137"/>
      <w:bookmarkEnd w:id="138"/>
      <w:r>
        <w:rPr>
          <w:rFonts w:ascii="黑体" w:hAnsi="宋体" w:eastAsia="黑体" w:cs="黑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sz w:val="32"/>
          <w:szCs w:val="32"/>
        </w:rPr>
      </w:pPr>
      <w:bookmarkStart w:id="139" w:name="_Toc22139"/>
      <w:bookmarkStart w:id="140" w:name="_Toc21976"/>
      <w:bookmarkStart w:id="141" w:name="_Toc18160"/>
      <w:r>
        <w:rPr>
          <w:rFonts w:ascii="楷体" w:hAnsi="楷体" w:eastAsia="楷体" w:cs="楷体"/>
          <w:b/>
          <w:bCs/>
          <w:color w:val="000000"/>
          <w:kern w:val="0"/>
          <w:sz w:val="32"/>
          <w:szCs w:val="32"/>
          <w:lang w:val="en-US" w:eastAsia="zh-CN" w:bidi="ar"/>
        </w:rPr>
        <w:t>（一）项目概况</w:t>
      </w:r>
      <w:bookmarkEnd w:id="139"/>
      <w:bookmarkEnd w:id="140"/>
      <w:bookmarkEnd w:id="141"/>
      <w:r>
        <w:rPr>
          <w:rFonts w:ascii="楷体" w:hAnsi="楷体" w:eastAsia="楷体" w:cs="楷体"/>
          <w:b/>
          <w:bCs/>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扶贫专项经费是我馆按照《中共四川省委组织部关于印发&lt;四川省贫困村第一书记及驻村工作队队员管理办法&gt;的通知》（川组通【2018】65号）文件中生活补助的规定申报的专项资金，我馆共帮扶一个贫困村和一个非贫困村，派驻一位驻村书记和两位工作队员，经费主要用于保障我馆驻村第一书记及驻村工作队员生活补助及公用经费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 w:hAnsi="楷体" w:eastAsia="楷体" w:cs="楷体"/>
          <w:b/>
          <w:bCs/>
          <w:color w:val="000000"/>
          <w:kern w:val="0"/>
          <w:sz w:val="32"/>
          <w:szCs w:val="32"/>
          <w:lang w:val="en-US" w:eastAsia="zh-CN" w:bidi="ar"/>
        </w:rPr>
      </w:pPr>
      <w:bookmarkStart w:id="142" w:name="_Toc16765"/>
      <w:bookmarkStart w:id="143" w:name="_Toc23191"/>
      <w:bookmarkStart w:id="144" w:name="_Toc1391"/>
      <w:r>
        <w:rPr>
          <w:rFonts w:hint="eastAsia" w:ascii="楷体" w:hAnsi="楷体" w:eastAsia="楷体" w:cs="楷体"/>
          <w:b/>
          <w:bCs/>
          <w:color w:val="000000"/>
          <w:kern w:val="0"/>
          <w:sz w:val="32"/>
          <w:szCs w:val="32"/>
          <w:lang w:val="en-US" w:eastAsia="zh-CN" w:bidi="ar"/>
        </w:rPr>
        <w:t>（二）项目实施情况</w:t>
      </w:r>
      <w:bookmarkEnd w:id="142"/>
      <w:bookmarkEnd w:id="143"/>
      <w:bookmarkEnd w:id="144"/>
      <w:r>
        <w:rPr>
          <w:rFonts w:hint="eastAsia" w:ascii="楷体" w:hAnsi="楷体" w:eastAsia="楷体" w:cs="楷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我馆按照报账制方式，第一书记及驻村队员每月按照考勤天数报销生活补贴，凭票据实报销实际产生的日常公用经费。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sz w:val="32"/>
          <w:szCs w:val="32"/>
        </w:rPr>
      </w:pPr>
      <w:bookmarkStart w:id="145" w:name="_Toc15198"/>
      <w:bookmarkStart w:id="146" w:name="_Toc25637"/>
      <w:bookmarkStart w:id="147" w:name="_Toc15693"/>
      <w:r>
        <w:rPr>
          <w:rFonts w:hint="eastAsia" w:ascii="楷体" w:hAnsi="楷体" w:eastAsia="楷体" w:cs="楷体"/>
          <w:b/>
          <w:bCs/>
          <w:color w:val="000000"/>
          <w:kern w:val="0"/>
          <w:sz w:val="32"/>
          <w:szCs w:val="32"/>
          <w:lang w:val="en-US" w:eastAsia="zh-CN" w:bidi="ar"/>
        </w:rPr>
        <w:t>（三）资金投入使用情况</w:t>
      </w:r>
      <w:bookmarkEnd w:id="145"/>
      <w:bookmarkEnd w:id="146"/>
      <w:bookmarkEnd w:id="147"/>
      <w:r>
        <w:rPr>
          <w:rFonts w:hint="eastAsia" w:ascii="楷体" w:hAnsi="楷体" w:eastAsia="楷体" w:cs="楷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扶贫专项资金 2020 年度安排预算3.75万元，均为财政拨款资金，预算执行数3.75万元，预算执行率为100%。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sz w:val="32"/>
          <w:szCs w:val="32"/>
        </w:rPr>
      </w:pPr>
      <w:bookmarkStart w:id="148" w:name="_Toc23032"/>
      <w:bookmarkStart w:id="149" w:name="_Toc13654"/>
      <w:bookmarkStart w:id="150" w:name="_Toc28478"/>
      <w:r>
        <w:rPr>
          <w:rFonts w:hint="eastAsia" w:ascii="楷体" w:hAnsi="楷体" w:eastAsia="楷体" w:cs="楷体"/>
          <w:b/>
          <w:bCs/>
          <w:color w:val="000000"/>
          <w:kern w:val="0"/>
          <w:sz w:val="32"/>
          <w:szCs w:val="32"/>
          <w:lang w:val="en-US" w:eastAsia="zh-CN" w:bidi="ar"/>
        </w:rPr>
        <w:t>（四）项目绩效目标</w:t>
      </w:r>
      <w:bookmarkEnd w:id="148"/>
      <w:bookmarkEnd w:id="149"/>
      <w:bookmarkEnd w:id="150"/>
      <w:r>
        <w:rPr>
          <w:rFonts w:hint="eastAsia" w:ascii="楷体" w:hAnsi="楷体" w:eastAsia="楷体" w:cs="楷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扶贫专项项目从数量指标、质量指标、时效指标、成本指标、社会效益指标、满意度指标 6 个方面编制绩效目标，并将其作为组织项目预算执行及开展绩效监控、绩效自评和绩效评价的重要依据。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b/>
          <w:bCs/>
          <w:sz w:val="32"/>
          <w:szCs w:val="32"/>
        </w:rPr>
      </w:pPr>
      <w:bookmarkStart w:id="151" w:name="_Toc20835"/>
      <w:bookmarkStart w:id="152" w:name="_Toc16685"/>
      <w:bookmarkStart w:id="153" w:name="_Toc23156"/>
      <w:r>
        <w:rPr>
          <w:rFonts w:hint="eastAsia" w:ascii="黑体" w:hAnsi="宋体" w:eastAsia="黑体" w:cs="黑体"/>
          <w:b/>
          <w:bCs/>
          <w:color w:val="000000"/>
          <w:kern w:val="0"/>
          <w:sz w:val="32"/>
          <w:szCs w:val="32"/>
          <w:lang w:val="en-US" w:eastAsia="zh-CN" w:bidi="ar"/>
        </w:rPr>
        <w:t>二、评价工作开展情况</w:t>
      </w:r>
      <w:bookmarkEnd w:id="151"/>
      <w:bookmarkEnd w:id="152"/>
      <w:bookmarkEnd w:id="153"/>
      <w:r>
        <w:rPr>
          <w:rFonts w:hint="eastAsia" w:ascii="黑体" w:hAnsi="宋体" w:eastAsia="黑体" w:cs="黑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按照文件要求，我馆对照年初绩效目标开展了自评，基本完成年初各项目标。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b/>
          <w:bCs/>
          <w:sz w:val="32"/>
          <w:szCs w:val="32"/>
        </w:rPr>
      </w:pPr>
      <w:bookmarkStart w:id="154" w:name="_Toc18859"/>
      <w:bookmarkStart w:id="155" w:name="_Toc11459"/>
      <w:bookmarkStart w:id="156" w:name="_Toc1157"/>
      <w:r>
        <w:rPr>
          <w:rFonts w:hint="eastAsia" w:ascii="黑体" w:hAnsi="宋体" w:eastAsia="黑体" w:cs="黑体"/>
          <w:b/>
          <w:bCs/>
          <w:color w:val="000000"/>
          <w:kern w:val="0"/>
          <w:sz w:val="32"/>
          <w:szCs w:val="32"/>
          <w:lang w:val="en-US" w:eastAsia="zh-CN" w:bidi="ar"/>
        </w:rPr>
        <w:t>三、综合评价结论</w:t>
      </w:r>
      <w:bookmarkEnd w:id="154"/>
      <w:bookmarkEnd w:id="155"/>
      <w:bookmarkEnd w:id="156"/>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2020 年扶贫专项支出绩效自评结果为“好”，项目预算支出基本保证第一书记及驻村队员的生活补助及公费支出。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sz w:val="32"/>
          <w:szCs w:val="32"/>
        </w:rPr>
      </w:pPr>
      <w:bookmarkStart w:id="157" w:name="_Toc31917"/>
      <w:bookmarkStart w:id="158" w:name="_Toc32214"/>
      <w:bookmarkStart w:id="159" w:name="_Toc3507"/>
      <w:r>
        <w:rPr>
          <w:rFonts w:hint="eastAsia" w:ascii="黑体" w:hAnsi="宋体" w:eastAsia="黑体" w:cs="黑体"/>
          <w:b/>
          <w:bCs/>
          <w:color w:val="000000"/>
          <w:kern w:val="0"/>
          <w:sz w:val="32"/>
          <w:szCs w:val="32"/>
          <w:lang w:val="en-US" w:eastAsia="zh-CN" w:bidi="ar"/>
        </w:rPr>
        <w:t>四、绩效评价分析</w:t>
      </w:r>
      <w:bookmarkEnd w:id="157"/>
      <w:bookmarkEnd w:id="158"/>
      <w:bookmarkEnd w:id="159"/>
      <w:r>
        <w:rPr>
          <w:rFonts w:hint="eastAsia"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ascii="楷体_GB2312" w:hAnsi="宋体" w:eastAsia="楷体_GB2312" w:cs="楷体_GB2312"/>
          <w:b/>
          <w:bCs/>
          <w:color w:val="000000"/>
          <w:kern w:val="0"/>
          <w:sz w:val="32"/>
          <w:szCs w:val="32"/>
          <w:lang w:val="en-US" w:eastAsia="zh-CN" w:bidi="ar"/>
        </w:rPr>
        <w:t xml:space="preserve">（一）项目决策情况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扶贫专项属于财政定额安排在每个单位的专项经费，主要用于支持弥补各单位驻村帮扶人员、公用经费支出，体现了本地财政对脱贫攻坚国家重大决策的落实。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（二）项目管理情况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我馆根据驻村工作队实际情况，在保障基本生活补贴及正常工作开展的基础上，厉行节俭，严控其他支出，做到了专款专用。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（三）项目产出情况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2020年扶贫专项为第一书记和工作队员购买人身意外保险3份，提供体检3人，保障租房支出，按需提供办公用品，报销3人在途差旅费以及工作期间的生活补贴，不够部分从我馆公用经费中列支。</w:t>
      </w:r>
      <w:r>
        <w:rPr>
          <w:rFonts w:hint="eastAsia" w:ascii="仿宋_GB2312" w:hAnsi="宋体" w:eastAsia="仿宋_GB2312" w:cs="仿宋_GB2312"/>
          <w:color w:val="000000"/>
          <w:kern w:val="0"/>
          <w:sz w:val="32"/>
          <w:szCs w:val="32"/>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 xml:space="preserve">（四）项目效益情况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扶贫专项基本保证了驻村工作队的合理支出，为开展驻村帮扶工作提供了保障。全年工作队</w:t>
      </w:r>
      <w:r>
        <w:rPr>
          <w:rFonts w:hint="eastAsia" w:ascii="仿宋_GB2312" w:hAnsi="宋体" w:eastAsia="仿宋_GB2312" w:cs="仿宋_GB2312"/>
          <w:color w:val="000000"/>
          <w:kern w:val="0"/>
          <w:sz w:val="32"/>
          <w:szCs w:val="32"/>
          <w:lang w:val="ru-RU" w:eastAsia="zh-CN" w:bidi="ar"/>
        </w:rPr>
        <w:t>助力贫困户增产增收，实现稳定收入。直接</w:t>
      </w:r>
      <w:r>
        <w:rPr>
          <w:rFonts w:hint="eastAsia" w:ascii="仿宋_GB2312" w:hAnsi="宋体" w:eastAsia="仿宋_GB2312" w:cs="仿宋_GB2312"/>
          <w:color w:val="000000"/>
          <w:kern w:val="0"/>
          <w:sz w:val="32"/>
          <w:szCs w:val="32"/>
          <w:lang w:val="en-US" w:eastAsia="zh-CN" w:bidi="ar"/>
        </w:rPr>
        <w:t>帮助贫困户销售农副产品3.6万元；争取各种慰问物资价值5.1万元。全年未收到贫困户不满意投诉，群众口碑较好。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黑体" w:hAnsi="宋体" w:eastAsia="黑体" w:cs="黑体"/>
          <w:b/>
          <w:bCs/>
          <w:color w:val="000000"/>
          <w:kern w:val="0"/>
          <w:sz w:val="32"/>
          <w:szCs w:val="32"/>
          <w:lang w:val="en-US" w:eastAsia="zh-CN" w:bidi="ar"/>
        </w:rPr>
      </w:pPr>
      <w:bookmarkStart w:id="160" w:name="_Toc26686"/>
      <w:bookmarkStart w:id="161" w:name="_Toc8200"/>
      <w:bookmarkStart w:id="162" w:name="_Toc10693"/>
      <w:r>
        <w:rPr>
          <w:rFonts w:hint="eastAsia" w:ascii="黑体" w:hAnsi="宋体" w:eastAsia="黑体" w:cs="黑体"/>
          <w:b/>
          <w:bCs/>
          <w:color w:val="000000"/>
          <w:kern w:val="0"/>
          <w:sz w:val="32"/>
          <w:szCs w:val="32"/>
          <w:lang w:val="en-US" w:eastAsia="zh-CN" w:bidi="ar"/>
        </w:rPr>
        <w:t>五、存在主要问题</w:t>
      </w:r>
      <w:bookmarkEnd w:id="160"/>
      <w:bookmarkEnd w:id="161"/>
      <w:bookmarkEnd w:id="162"/>
      <w:r>
        <w:rPr>
          <w:rFonts w:hint="eastAsia" w:ascii="黑体" w:hAnsi="宋体" w:eastAsia="黑体" w:cs="黑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黑体" w:hAnsi="宋体" w:eastAsia="黑体" w:cs="黑体"/>
          <w:b/>
          <w:bCs/>
          <w:color w:val="000000"/>
          <w:kern w:val="0"/>
          <w:sz w:val="32"/>
          <w:szCs w:val="32"/>
          <w:lang w:val="en-US" w:eastAsia="zh-CN" w:bidi="ar"/>
        </w:rPr>
      </w:pPr>
      <w:bookmarkStart w:id="163" w:name="_Toc18029"/>
      <w:bookmarkStart w:id="164" w:name="_Toc17166"/>
      <w:bookmarkStart w:id="165" w:name="_Toc4539"/>
      <w:r>
        <w:rPr>
          <w:rFonts w:hint="eastAsia" w:ascii="黑体" w:hAnsi="宋体" w:eastAsia="黑体" w:cs="黑体"/>
          <w:b/>
          <w:bCs/>
          <w:color w:val="000000"/>
          <w:kern w:val="0"/>
          <w:sz w:val="32"/>
          <w:szCs w:val="32"/>
          <w:lang w:val="en-US" w:eastAsia="zh-CN" w:bidi="ar"/>
        </w:rPr>
        <w:t>六、相关措施建议</w:t>
      </w:r>
      <w:bookmarkEnd w:id="163"/>
      <w:bookmarkEnd w:id="164"/>
      <w:bookmarkEnd w:id="165"/>
      <w:r>
        <w:rPr>
          <w:rFonts w:hint="eastAsia" w:ascii="黑体" w:hAnsi="宋体" w:eastAsia="黑体" w:cs="黑体"/>
          <w:b/>
          <w:bCs/>
          <w:color w:val="000000"/>
          <w:kern w:val="0"/>
          <w:sz w:val="32"/>
          <w:szCs w:val="32"/>
          <w:lang w:val="en-US" w:eastAsia="zh-CN" w:bidi="ar"/>
        </w:rPr>
        <w:t xml:space="preserve"> </w:t>
      </w:r>
    </w:p>
    <w:p>
      <w:pPr>
        <w:pStyle w:val="2"/>
        <w:keepNext w:val="0"/>
        <w:keepLines w:val="0"/>
        <w:pageBreakBefore w:val="0"/>
        <w:kinsoku/>
        <w:wordWrap/>
        <w:overflowPunct/>
        <w:topLinePunct w:val="0"/>
        <w:autoSpaceDE/>
        <w:autoSpaceDN/>
        <w:bidi w:val="0"/>
        <w:adjustRightInd/>
        <w:snapToGrid/>
        <w:spacing w:line="560" w:lineRule="exact"/>
        <w:textAlignment w:val="auto"/>
        <w:rPr>
          <w:sz w:val="32"/>
          <w:szCs w:val="32"/>
        </w:rPr>
      </w:pPr>
      <w:r>
        <w:rPr>
          <w:rFonts w:hint="eastAsia" w:ascii="仿宋_GB2312" w:hAnsi="宋体" w:eastAsia="仿宋_GB2312" w:cs="仿宋_GB2312"/>
          <w:color w:val="000000"/>
          <w:kern w:val="0"/>
          <w:sz w:val="32"/>
          <w:szCs w:val="32"/>
          <w:lang w:val="en-US" w:eastAsia="zh-CN" w:bidi="ar"/>
        </w:rPr>
        <w:t>无</w:t>
      </w:r>
    </w:p>
    <w:p>
      <w:pPr>
        <w:pStyle w:val="2"/>
        <w:rPr>
          <w:sz w:val="32"/>
          <w:szCs w:val="32"/>
        </w:rPr>
      </w:pPr>
    </w:p>
    <w:p>
      <w:pPr>
        <w:pStyle w:val="2"/>
        <w:rPr>
          <w:sz w:val="32"/>
          <w:szCs w:val="32"/>
        </w:rPr>
      </w:pPr>
    </w:p>
    <w:p>
      <w:pPr>
        <w:pStyle w:val="2"/>
        <w:rPr>
          <w:rFonts w:hint="eastAsia" w:ascii="仿宋_GB2312" w:hAnsi="宋体" w:eastAsia="仿宋_GB2312" w:cs="仿宋_GB2312"/>
          <w:color w:val="000000"/>
          <w:kern w:val="0"/>
          <w:sz w:val="32"/>
          <w:szCs w:val="32"/>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p>
    <w:p>
      <w:pPr>
        <w:pStyle w:val="2"/>
        <w:rPr>
          <w:rFonts w:hint="eastAsia" w:ascii="仿宋_GB2312" w:hAnsi="宋体" w:eastAsia="仿宋_GB2312" w:cs="仿宋_GB2312"/>
          <w:color w:val="000000"/>
          <w:kern w:val="0"/>
          <w:sz w:val="31"/>
          <w:szCs w:val="31"/>
          <w:lang w:val="en-US" w:eastAsia="zh-CN" w:bidi="ar"/>
        </w:rPr>
      </w:pPr>
    </w:p>
    <w:p>
      <w:pPr>
        <w:pStyle w:val="2"/>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p>
    <w:p>
      <w:pPr>
        <w:pStyle w:val="2"/>
      </w:pPr>
    </w:p>
    <w:p>
      <w:pPr>
        <w:pStyle w:val="2"/>
      </w:pPr>
    </w:p>
    <w:p>
      <w:pPr>
        <w:pStyle w:val="2"/>
      </w:pPr>
    </w:p>
    <w:p>
      <w:pPr>
        <w:pStyle w:val="2"/>
      </w:pPr>
    </w:p>
    <w:p>
      <w:pPr>
        <w:pStyle w:val="2"/>
      </w:pPr>
    </w:p>
    <w:p>
      <w:pPr>
        <w:pStyle w:val="2"/>
      </w:pPr>
    </w:p>
    <w:p>
      <w:pPr>
        <w:pageBreakBefore w:val="0"/>
        <w:kinsoku/>
        <w:wordWrap/>
        <w:overflowPunct/>
        <w:topLinePunct w:val="0"/>
        <w:bidi w:val="0"/>
        <w:spacing w:line="560" w:lineRule="exact"/>
        <w:jc w:val="both"/>
        <w:outlineLvl w:val="9"/>
        <w:rPr>
          <w:rStyle w:val="22"/>
          <w:rFonts w:ascii="黑体" w:hAnsi="黑体" w:eastAsia="黑体"/>
          <w:b w:val="0"/>
        </w:rPr>
      </w:pPr>
    </w:p>
    <w:p>
      <w:pPr>
        <w:pageBreakBefore w:val="0"/>
        <w:kinsoku/>
        <w:wordWrap/>
        <w:overflowPunct/>
        <w:topLinePunct w:val="0"/>
        <w:bidi w:val="0"/>
        <w:spacing w:line="560" w:lineRule="exact"/>
        <w:jc w:val="center"/>
        <w:outlineLvl w:val="0"/>
        <w:rPr>
          <w:rStyle w:val="22"/>
          <w:rFonts w:ascii="黑体" w:hAnsi="黑体" w:eastAsia="黑体"/>
          <w:b/>
          <w:bCs/>
        </w:rPr>
      </w:pPr>
      <w:bookmarkStart w:id="166" w:name="_Toc5715"/>
      <w:bookmarkStart w:id="167" w:name="_Toc15396618"/>
      <w:bookmarkStart w:id="168" w:name="_Toc31925"/>
      <w:bookmarkStart w:id="169" w:name="_Toc17147"/>
      <w:r>
        <w:rPr>
          <w:rFonts w:hint="eastAsia" w:ascii="黑体" w:hAnsi="黑体" w:eastAsia="黑体"/>
          <w:b/>
          <w:bCs/>
          <w:color w:val="000000"/>
          <w:sz w:val="44"/>
          <w:szCs w:val="44"/>
        </w:rPr>
        <w:t>第</w:t>
      </w:r>
      <w:r>
        <w:rPr>
          <w:rStyle w:val="22"/>
          <w:rFonts w:hint="eastAsia" w:ascii="黑体" w:hAnsi="黑体" w:eastAsia="黑体"/>
          <w:b/>
          <w:bCs/>
        </w:rPr>
        <w:t>五部分 附表</w:t>
      </w:r>
      <w:bookmarkEnd w:id="166"/>
      <w:bookmarkEnd w:id="167"/>
      <w:bookmarkEnd w:id="168"/>
      <w:bookmarkEnd w:id="169"/>
    </w:p>
    <w:p>
      <w:pPr>
        <w:pageBreakBefore w:val="0"/>
        <w:kinsoku/>
        <w:wordWrap/>
        <w:overflowPunct/>
        <w:topLinePunct w:val="0"/>
        <w:bidi w:val="0"/>
        <w:spacing w:line="560" w:lineRule="exact"/>
        <w:jc w:val="center"/>
        <w:outlineLvl w:val="9"/>
        <w:rPr>
          <w:rFonts w:ascii="仿宋" w:hAnsi="仿宋" w:eastAsia="仿宋"/>
          <w:b/>
          <w:color w:val="000000"/>
          <w:sz w:val="44"/>
          <w:szCs w:val="44"/>
        </w:rPr>
      </w:pPr>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70" w:name="_Toc26505"/>
      <w:bookmarkStart w:id="171" w:name="_Toc16400"/>
      <w:bookmarkStart w:id="172" w:name="_Toc15396619"/>
      <w:r>
        <w:rPr>
          <w:rFonts w:hint="eastAsia" w:ascii="仿宋_GB2312" w:hAnsi="仿宋_GB2312" w:eastAsia="仿宋_GB2312" w:cs="仿宋_GB2312"/>
          <w:b w:val="0"/>
          <w:color w:val="000000"/>
        </w:rPr>
        <w:t>一、收</w:t>
      </w:r>
      <w:r>
        <w:rPr>
          <w:rStyle w:val="16"/>
          <w:rFonts w:hint="eastAsia" w:ascii="仿宋_GB2312" w:hAnsi="仿宋_GB2312" w:eastAsia="仿宋_GB2312" w:cs="仿宋_GB2312"/>
          <w:b w:val="0"/>
          <w:bCs w:val="0"/>
        </w:rPr>
        <w:t>入支出决算总表</w:t>
      </w:r>
      <w:bookmarkEnd w:id="170"/>
      <w:bookmarkEnd w:id="171"/>
      <w:bookmarkEnd w:id="172"/>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73" w:name="_Toc11326"/>
      <w:bookmarkStart w:id="174" w:name="_Toc640"/>
      <w:bookmarkStart w:id="175" w:name="_Toc15396620"/>
      <w:r>
        <w:rPr>
          <w:rFonts w:hint="eastAsia" w:ascii="仿宋_GB2312" w:hAnsi="仿宋_GB2312" w:eastAsia="仿宋_GB2312" w:cs="仿宋_GB2312"/>
          <w:b w:val="0"/>
          <w:color w:val="000000"/>
        </w:rPr>
        <w:t>二、收</w:t>
      </w:r>
      <w:r>
        <w:rPr>
          <w:rStyle w:val="16"/>
          <w:rFonts w:hint="eastAsia" w:ascii="仿宋_GB2312" w:hAnsi="仿宋_GB2312" w:eastAsia="仿宋_GB2312" w:cs="仿宋_GB2312"/>
          <w:b w:val="0"/>
          <w:bCs w:val="0"/>
        </w:rPr>
        <w:t>入决算表</w:t>
      </w:r>
      <w:bookmarkEnd w:id="173"/>
      <w:bookmarkEnd w:id="174"/>
      <w:bookmarkEnd w:id="175"/>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76" w:name="_Toc15283"/>
      <w:bookmarkStart w:id="177" w:name="_Toc15396621"/>
      <w:bookmarkStart w:id="178" w:name="_Toc21480"/>
      <w:r>
        <w:rPr>
          <w:rStyle w:val="16"/>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16"/>
          <w:rFonts w:hint="eastAsia" w:ascii="仿宋_GB2312" w:hAnsi="仿宋_GB2312" w:eastAsia="仿宋_GB2312" w:cs="仿宋_GB2312"/>
          <w:b w:val="0"/>
          <w:bCs w:val="0"/>
        </w:rPr>
        <w:t>出决算表</w:t>
      </w:r>
      <w:bookmarkEnd w:id="176"/>
      <w:bookmarkEnd w:id="177"/>
      <w:bookmarkEnd w:id="178"/>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color w:val="000000"/>
        </w:rPr>
      </w:pPr>
      <w:bookmarkStart w:id="179" w:name="_Toc15396622"/>
      <w:bookmarkStart w:id="180" w:name="_Toc1082"/>
      <w:bookmarkStart w:id="181" w:name="_Toc8396"/>
      <w:r>
        <w:rPr>
          <w:rStyle w:val="16"/>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16"/>
          <w:rFonts w:hint="eastAsia" w:ascii="仿宋_GB2312" w:hAnsi="仿宋_GB2312" w:eastAsia="仿宋_GB2312" w:cs="仿宋_GB2312"/>
          <w:b w:val="0"/>
          <w:bCs w:val="0"/>
        </w:rPr>
        <w:t>政拨款收入支出决算总表</w:t>
      </w:r>
      <w:bookmarkEnd w:id="179"/>
      <w:bookmarkEnd w:id="180"/>
      <w:bookmarkEnd w:id="181"/>
    </w:p>
    <w:p>
      <w:pPr>
        <w:pStyle w:val="5"/>
        <w:keepNext/>
        <w:keepLines/>
        <w:pageBreakBefore w:val="0"/>
        <w:widowControl w:val="0"/>
        <w:kinsoku/>
        <w:wordWrap/>
        <w:overflowPunct/>
        <w:topLinePunct w:val="0"/>
        <w:autoSpaceDE/>
        <w:autoSpaceDN/>
        <w:bidi w:val="0"/>
        <w:adjustRightInd/>
        <w:snapToGrid/>
        <w:spacing w:line="440" w:lineRule="exact"/>
        <w:textAlignment w:val="auto"/>
        <w:rPr>
          <w:rStyle w:val="16"/>
          <w:rFonts w:hint="eastAsia" w:ascii="仿宋_GB2312" w:hAnsi="仿宋_GB2312" w:eastAsia="仿宋_GB2312" w:cs="仿宋_GB2312"/>
          <w:b w:val="0"/>
          <w:bCs w:val="0"/>
        </w:rPr>
      </w:pPr>
      <w:bookmarkStart w:id="182" w:name="_Toc15396623"/>
      <w:bookmarkStart w:id="183" w:name="_Toc18631"/>
      <w:bookmarkStart w:id="184" w:name="_Toc9041"/>
      <w:r>
        <w:rPr>
          <w:rStyle w:val="16"/>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16"/>
          <w:rFonts w:hint="eastAsia" w:ascii="仿宋_GB2312" w:hAnsi="仿宋_GB2312" w:eastAsia="仿宋_GB2312" w:cs="仿宋_GB2312"/>
          <w:b w:val="0"/>
          <w:bCs w:val="0"/>
        </w:rPr>
        <w:t>政拨款支出决算明细表</w:t>
      </w:r>
      <w:bookmarkEnd w:id="182"/>
      <w:bookmarkEnd w:id="183"/>
      <w:bookmarkEnd w:id="184"/>
      <w:bookmarkStart w:id="185" w:name="_Toc15396624"/>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86" w:name="_Toc7383"/>
      <w:bookmarkStart w:id="187" w:name="_Toc22002"/>
      <w:r>
        <w:rPr>
          <w:rStyle w:val="16"/>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般公共预算财政拨款支出决算表</w:t>
      </w:r>
      <w:bookmarkEnd w:id="185"/>
      <w:bookmarkEnd w:id="186"/>
      <w:bookmarkEnd w:id="187"/>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88" w:name="_Toc14104"/>
      <w:bookmarkStart w:id="189" w:name="_Toc15396625"/>
      <w:bookmarkStart w:id="190" w:name="_Toc15943"/>
      <w:r>
        <w:rPr>
          <w:rStyle w:val="16"/>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般公共预算财政拨款支出决算明细表</w:t>
      </w:r>
      <w:bookmarkEnd w:id="188"/>
      <w:bookmarkEnd w:id="189"/>
      <w:bookmarkEnd w:id="190"/>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91" w:name="_Toc15396626"/>
      <w:bookmarkStart w:id="192" w:name="_Toc29254"/>
      <w:bookmarkStart w:id="193" w:name="_Toc14390"/>
      <w:r>
        <w:rPr>
          <w:rStyle w:val="16"/>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般公共预算财政拨款基本支出决算表</w:t>
      </w:r>
      <w:bookmarkEnd w:id="191"/>
      <w:bookmarkEnd w:id="192"/>
      <w:bookmarkEnd w:id="193"/>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94" w:name="_Toc1944"/>
      <w:bookmarkStart w:id="195" w:name="_Toc19022"/>
      <w:bookmarkStart w:id="196" w:name="_Toc15396627"/>
      <w:r>
        <w:rPr>
          <w:rStyle w:val="16"/>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般公共预算财政拨款项目支出决算表</w:t>
      </w:r>
      <w:bookmarkEnd w:id="194"/>
      <w:bookmarkEnd w:id="195"/>
      <w:bookmarkEnd w:id="196"/>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197" w:name="_Toc1281"/>
      <w:bookmarkStart w:id="198" w:name="_Toc15396628"/>
      <w:bookmarkStart w:id="199" w:name="_Toc2632"/>
      <w:r>
        <w:rPr>
          <w:rStyle w:val="16"/>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般公共预算财政拨款“三公”经费支出决算表</w:t>
      </w:r>
      <w:bookmarkEnd w:id="197"/>
      <w:bookmarkEnd w:id="198"/>
      <w:bookmarkEnd w:id="199"/>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200" w:name="_Toc17863"/>
      <w:bookmarkStart w:id="201" w:name="_Toc15396629"/>
      <w:bookmarkStart w:id="202" w:name="_Toc24287"/>
      <w:r>
        <w:rPr>
          <w:rStyle w:val="16"/>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16"/>
          <w:rFonts w:hint="eastAsia" w:ascii="仿宋_GB2312" w:hAnsi="仿宋_GB2312" w:eastAsia="仿宋_GB2312" w:cs="仿宋_GB2312"/>
          <w:b w:val="0"/>
          <w:bCs w:val="0"/>
        </w:rPr>
        <w:t>府性基金预算财政拨款收入支出决算表</w:t>
      </w:r>
      <w:bookmarkEnd w:id="200"/>
      <w:bookmarkEnd w:id="201"/>
      <w:bookmarkEnd w:id="202"/>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rPr>
      </w:pPr>
      <w:bookmarkStart w:id="203" w:name="_Toc18042"/>
      <w:bookmarkStart w:id="204" w:name="_Toc15396630"/>
      <w:bookmarkStart w:id="205" w:name="_Toc31847"/>
      <w:r>
        <w:rPr>
          <w:rStyle w:val="16"/>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16"/>
          <w:rFonts w:hint="eastAsia" w:ascii="仿宋_GB2312" w:hAnsi="仿宋_GB2312" w:eastAsia="仿宋_GB2312" w:cs="仿宋_GB2312"/>
          <w:b w:val="0"/>
          <w:bCs w:val="0"/>
        </w:rPr>
        <w:t>府性基金预算财政拨款“三公”经费支出决算表</w:t>
      </w:r>
      <w:bookmarkEnd w:id="203"/>
      <w:bookmarkEnd w:id="204"/>
      <w:bookmarkEnd w:id="205"/>
    </w:p>
    <w:p>
      <w:pPr>
        <w:pStyle w:val="5"/>
        <w:keepNext/>
        <w:keepLines/>
        <w:pageBreakBefore w:val="0"/>
        <w:widowControl w:val="0"/>
        <w:kinsoku/>
        <w:wordWrap/>
        <w:overflowPunct/>
        <w:topLinePunct w:val="0"/>
        <w:autoSpaceDE/>
        <w:autoSpaceDN/>
        <w:bidi w:val="0"/>
        <w:adjustRightInd/>
        <w:snapToGrid/>
        <w:spacing w:line="440" w:lineRule="exact"/>
        <w:textAlignment w:val="auto"/>
        <w:rPr>
          <w:rStyle w:val="16"/>
          <w:rFonts w:hint="eastAsia" w:ascii="仿宋_GB2312" w:hAnsi="仿宋_GB2312" w:eastAsia="仿宋_GB2312" w:cs="仿宋_GB2312"/>
          <w:b w:val="0"/>
          <w:bCs w:val="0"/>
        </w:rPr>
      </w:pPr>
      <w:bookmarkStart w:id="206" w:name="_Toc15396631"/>
      <w:bookmarkStart w:id="207" w:name="_Toc31359"/>
      <w:bookmarkStart w:id="208" w:name="_Toc32276"/>
      <w:r>
        <w:rPr>
          <w:rStyle w:val="16"/>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16"/>
          <w:rFonts w:hint="eastAsia" w:ascii="仿宋_GB2312" w:hAnsi="仿宋_GB2312" w:eastAsia="仿宋_GB2312" w:cs="仿宋_GB2312"/>
          <w:b w:val="0"/>
          <w:bCs w:val="0"/>
        </w:rPr>
        <w:t>有资本经营预算支出决算</w:t>
      </w:r>
      <w:bookmarkEnd w:id="206"/>
      <w:bookmarkEnd w:id="207"/>
      <w:bookmarkEnd w:id="208"/>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eastAsia" w:eastAsia="仿宋_GB2312"/>
          <w:lang w:eastAsia="zh-CN"/>
        </w:rPr>
      </w:pPr>
      <w:bookmarkStart w:id="209" w:name="_Toc3331"/>
      <w:r>
        <w:rPr>
          <w:rStyle w:val="16"/>
          <w:rFonts w:hint="eastAsia" w:ascii="仿宋_GB2312" w:hAnsi="仿宋_GB2312" w:eastAsia="仿宋_GB2312" w:cs="仿宋_GB2312"/>
          <w:b w:val="0"/>
          <w:bCs w:val="0"/>
          <w:lang w:eastAsia="zh-CN"/>
        </w:rPr>
        <w:t>十四、国有资本经营预算财政拨款支出决算表</w:t>
      </w:r>
      <w:bookmarkEnd w:id="209"/>
    </w:p>
    <w:p>
      <w:pPr>
        <w:rPr>
          <w:rStyle w:val="16"/>
          <w:rFonts w:hint="eastAsia" w:ascii="仿宋_GB2312" w:hAnsi="仿宋_GB2312" w:eastAsia="仿宋_GB2312" w:cs="仿宋_GB2312"/>
          <w:b w:val="0"/>
          <w:bCs w:val="0"/>
        </w:rPr>
      </w:pPr>
    </w:p>
    <w:p>
      <w:pPr>
        <w:pStyle w:val="2"/>
        <w:rPr>
          <w:rStyle w:val="16"/>
          <w:rFonts w:hint="eastAsia" w:ascii="仿宋_GB2312" w:hAnsi="仿宋_GB2312" w:eastAsia="仿宋_GB2312" w:cs="仿宋_GB2312"/>
          <w:b w:val="0"/>
          <w:bCs w:val="0"/>
        </w:rPr>
      </w:pPr>
    </w:p>
    <w:p>
      <w:pPr>
        <w:pStyle w:val="2"/>
        <w:ind w:left="0" w:leftChars="0" w:firstLine="0" w:firstLineChars="0"/>
      </w:pPr>
    </w:p>
    <w:sectPr>
      <w:footerReference r:id="rId4" w:type="default"/>
      <w:pgSz w:w="11906" w:h="16838"/>
      <w:pgMar w:top="1440" w:right="1587" w:bottom="1440"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D114F"/>
    <w:multiLevelType w:val="singleLevel"/>
    <w:tmpl w:val="AA5D114F"/>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4EF6B0F0"/>
    <w:multiLevelType w:val="singleLevel"/>
    <w:tmpl w:val="4EF6B0F0"/>
    <w:lvl w:ilvl="0" w:tentative="0">
      <w:start w:val="3"/>
      <w:numFmt w:val="chineseCounting"/>
      <w:suff w:val="nothing"/>
      <w:lvlText w:val="（%1）"/>
      <w:lvlJc w:val="left"/>
      <w:rPr>
        <w:rFonts w:hint="eastAsia"/>
      </w:rPr>
    </w:lvl>
  </w:abstractNum>
  <w:abstractNum w:abstractNumId="3">
    <w:nsid w:val="544340F3"/>
    <w:multiLevelType w:val="singleLevel"/>
    <w:tmpl w:val="544340F3"/>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A76A5"/>
    <w:rsid w:val="01231784"/>
    <w:rsid w:val="01EE3A71"/>
    <w:rsid w:val="05043D61"/>
    <w:rsid w:val="07EF11F2"/>
    <w:rsid w:val="10A37AFB"/>
    <w:rsid w:val="18402976"/>
    <w:rsid w:val="233A76A5"/>
    <w:rsid w:val="286D56DB"/>
    <w:rsid w:val="299077F9"/>
    <w:rsid w:val="2B3F6AE1"/>
    <w:rsid w:val="2CF51B6C"/>
    <w:rsid w:val="32A666EE"/>
    <w:rsid w:val="37755995"/>
    <w:rsid w:val="38953835"/>
    <w:rsid w:val="3BC502D8"/>
    <w:rsid w:val="407038DE"/>
    <w:rsid w:val="4FFDFD86"/>
    <w:rsid w:val="52985432"/>
    <w:rsid w:val="56EA5610"/>
    <w:rsid w:val="583861AC"/>
    <w:rsid w:val="5D9B7272"/>
    <w:rsid w:val="6FEB3D71"/>
    <w:rsid w:val="745A7EA5"/>
    <w:rsid w:val="759D00A6"/>
    <w:rsid w:val="771B56E6"/>
    <w:rsid w:val="78C65493"/>
    <w:rsid w:val="7DFC71D3"/>
    <w:rsid w:val="7F7567C6"/>
    <w:rsid w:val="FFBE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qFormat/>
    <w:uiPriority w:val="99"/>
    <w:pPr>
      <w:ind w:firstLine="630"/>
      <w:jc w:val="left"/>
    </w:pPr>
    <w:rPr>
      <w:rFonts w:eastAsia="黑体"/>
      <w:sz w:val="32"/>
      <w:szCs w:val="32"/>
    </w:rPr>
  </w:style>
  <w:style w:type="paragraph" w:styleId="6">
    <w:name w:val="toc 3"/>
    <w:basedOn w:val="1"/>
    <w:next w:val="1"/>
    <w:qFormat/>
    <w:uiPriority w:val="0"/>
    <w:pPr>
      <w:ind w:left="840" w:leftChars="4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0"/>
  </w:style>
  <w:style w:type="paragraph" w:styleId="10">
    <w:name w:val="table of figures"/>
    <w:basedOn w:val="1"/>
    <w:next w:val="1"/>
    <w:semiHidden/>
    <w:qFormat/>
    <w:uiPriority w:val="99"/>
    <w:pPr>
      <w:ind w:left="200" w:leftChars="200" w:hanging="200" w:hangingChars="200"/>
    </w:p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character" w:styleId="15">
    <w:name w:val="Strong"/>
    <w:basedOn w:val="14"/>
    <w:qFormat/>
    <w:uiPriority w:val="99"/>
    <w:rPr>
      <w:b/>
    </w:rPr>
  </w:style>
  <w:style w:type="character" w:customStyle="1" w:styleId="16">
    <w:name w:val="标题 2 Char"/>
    <w:basedOn w:val="14"/>
    <w:link w:val="5"/>
    <w:qFormat/>
    <w:uiPriority w:val="9"/>
    <w:rPr>
      <w:rFonts w:asciiTheme="majorHAnsi" w:hAnsiTheme="majorHAnsi" w:eastAsiaTheme="majorEastAsia" w:cstheme="majorBidi"/>
      <w:b/>
      <w:bCs/>
      <w:sz w:val="32"/>
      <w:szCs w:val="32"/>
    </w:rPr>
  </w:style>
  <w:style w:type="paragraph" w:customStyle="1" w:styleId="17">
    <w:name w:val="15"/>
    <w:basedOn w:val="1"/>
    <w:qFormat/>
    <w:uiPriority w:val="99"/>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34"/>
    <w:pPr>
      <w:ind w:firstLine="420" w:firstLineChars="200"/>
    </w:pPr>
  </w:style>
  <w:style w:type="character" w:customStyle="1" w:styleId="19">
    <w:name w:val="font01"/>
    <w:basedOn w:val="14"/>
    <w:qFormat/>
    <w:uiPriority w:val="0"/>
    <w:rPr>
      <w:rFonts w:hint="eastAsia" w:ascii="宋体" w:hAnsi="宋体" w:eastAsia="宋体" w:cs="宋体"/>
      <w:color w:val="000000"/>
      <w:sz w:val="24"/>
      <w:szCs w:val="24"/>
      <w:u w:val="none"/>
    </w:rPr>
  </w:style>
  <w:style w:type="character" w:customStyle="1" w:styleId="20">
    <w:name w:val="font21"/>
    <w:basedOn w:val="14"/>
    <w:qFormat/>
    <w:uiPriority w:val="0"/>
    <w:rPr>
      <w:rFonts w:hint="eastAsia" w:ascii="微软雅黑" w:hAnsi="微软雅黑" w:eastAsia="微软雅黑" w:cs="微软雅黑"/>
      <w:color w:val="000000"/>
      <w:sz w:val="24"/>
      <w:szCs w:val="24"/>
      <w:u w:val="none"/>
    </w:rPr>
  </w:style>
  <w:style w:type="character" w:customStyle="1" w:styleId="21">
    <w:name w:val="font11"/>
    <w:basedOn w:val="14"/>
    <w:qFormat/>
    <w:uiPriority w:val="0"/>
    <w:rPr>
      <w:rFonts w:ascii="宋体" w:hAnsi="宋体" w:eastAsia="宋体" w:cs="宋体"/>
      <w:color w:val="000000"/>
      <w:sz w:val="24"/>
      <w:szCs w:val="24"/>
      <w:u w:val="none"/>
    </w:rPr>
  </w:style>
  <w:style w:type="character" w:customStyle="1" w:styleId="22">
    <w:name w:val="标题 1 Char"/>
    <w:basedOn w:val="14"/>
    <w:link w:val="4"/>
    <w:qFormat/>
    <w:uiPriority w:val="9"/>
    <w:rPr>
      <w:b/>
      <w:bCs/>
      <w:kern w:val="44"/>
      <w:sz w:val="44"/>
      <w:szCs w:val="4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'[新建 XLSX 工作表.xlsx]Sheet1'!$B$1</c:f>
              <c:strCache>
                <c:ptCount val="1"/>
                <c:pt idx="0">
                  <c:v>图1：收、支决算总计变动情况图</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工作表.xlsx]Sheet1'!$A$2:$A$4</c:f>
              <c:strCache>
                <c:ptCount val="3"/>
                <c:pt idx="0">
                  <c:v>2019年</c:v>
                </c:pt>
                <c:pt idx="1">
                  <c:v>2020年</c:v>
                </c:pt>
                <c:pt idx="2">
                  <c:v>单位：万元</c:v>
                </c:pt>
              </c:strCache>
            </c:strRef>
          </c:cat>
          <c:val>
            <c:numRef>
              <c:f>'[新建 XLSX 工作表.xlsx]Sheet1'!$B$2:$B$4</c:f>
              <c:numCache>
                <c:formatCode>General</c:formatCode>
                <c:ptCount val="3"/>
                <c:pt idx="0">
                  <c:v>845.73</c:v>
                </c:pt>
                <c:pt idx="1">
                  <c:v>632.17</c:v>
                </c:pt>
              </c:numCache>
            </c:numRef>
          </c:val>
        </c:ser>
        <c:dLbls>
          <c:showLegendKey val="false"/>
          <c:showVal val="true"/>
          <c:showCatName val="false"/>
          <c:showSerName val="false"/>
          <c:showPercent val="false"/>
          <c:showBubbleSize val="false"/>
        </c:dLbls>
        <c:gapWidth val="219"/>
        <c:overlap val="-27"/>
        <c:axId val="79073012"/>
        <c:axId val="698407326"/>
      </c:barChart>
      <c:catAx>
        <c:axId val="7907301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8407326"/>
        <c:crosses val="autoZero"/>
        <c:auto val="true"/>
        <c:lblAlgn val="ctr"/>
        <c:lblOffset val="100"/>
        <c:noMultiLvlLbl val="false"/>
      </c:catAx>
      <c:valAx>
        <c:axId val="69840732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07301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'[新建 XLSX 工作表.xlsx]Sheet1'!$B$1</c:f>
              <c:strCache>
                <c:ptCount val="1"/>
                <c:pt idx="0">
                  <c:v>图二：收入决算结构图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工作表.xlsx]Sheet1'!$A$2:$A$7</c:f>
              <c:strCache>
                <c:ptCount val="6"/>
                <c:pt idx="0">
                  <c:v>一般公共预算财政拨款收入</c:v>
                </c:pt>
                <c:pt idx="1">
                  <c:v>其他收入</c:v>
                </c:pt>
                <c:pt idx="2">
                  <c:v>单位：万元</c:v>
                </c:pt>
              </c:strCache>
            </c:strRef>
          </c:cat>
          <c:val>
            <c:numRef>
              <c:f>'[新建 XLSX 工作表.xlsx]Sheet1'!$B$2:$B$7</c:f>
              <c:numCache>
                <c:formatCode>General</c:formatCode>
                <c:ptCount val="6"/>
                <c:pt idx="0">
                  <c:v>539.52</c:v>
                </c:pt>
                <c:pt idx="1">
                  <c:v>0.15</c:v>
                </c:pt>
              </c:numCache>
            </c:numRef>
          </c:val>
        </c:ser>
        <c:ser>
          <c:idx val="1"/>
          <c:order val="1"/>
          <c:tx>
            <c:strRef>
              <c:f>'[新建 XLSX 工作表.xlsx]Sheet1'!$C$1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工作表.xlsx]Sheet1'!$A$2:$A$7</c:f>
              <c:strCache>
                <c:ptCount val="6"/>
                <c:pt idx="0">
                  <c:v>一般公共预算财政拨款收入</c:v>
                </c:pt>
                <c:pt idx="1">
                  <c:v>其他收入</c:v>
                </c:pt>
                <c:pt idx="2">
                  <c:v>单位：万元</c:v>
                </c:pt>
              </c:strCache>
            </c:strRef>
          </c:cat>
          <c:val>
            <c:numRef>
              <c:f>'[新建 XLSX 工作表.xlsx]Sheet1'!$C$2:$C$7</c:f>
              <c:numCache>
                <c:formatCode>General</c:formatCode>
                <c:ptCount val="6"/>
              </c:numCache>
            </c:numRef>
          </c:val>
        </c:ser>
        <c:ser>
          <c:idx val="2"/>
          <c:order val="2"/>
          <c:tx>
            <c:strRef>
              <c:f>'[新建 XLSX 工作表.xlsx]Sheet1'!$D$1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工作表.xlsx]Sheet1'!$A$2:$A$7</c:f>
              <c:strCache>
                <c:ptCount val="6"/>
                <c:pt idx="0">
                  <c:v>一般公共预算财政拨款收入</c:v>
                </c:pt>
                <c:pt idx="1">
                  <c:v>其他收入</c:v>
                </c:pt>
                <c:pt idx="2">
                  <c:v>单位：万元</c:v>
                </c:pt>
              </c:strCache>
            </c:strRef>
          </c:cat>
          <c:val>
            <c:numRef>
              <c:f>'[新建 XLSX 工作表.xlsx]Sheet1'!$D$2:$D$7</c:f>
              <c:numCache>
                <c:formatCode>General</c:formatCode>
                <c:ptCount val="6"/>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'[新建 XLSX 工作表.xlsx]Sheet1'!$B$1</c:f>
              <c:strCache>
                <c:ptCount val="1"/>
                <c:pt idx="0">
                  <c:v>图3：支出结构决算图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工作表.xlsx]Sheet1'!$A$2:$A$4</c:f>
              <c:strCache>
                <c:ptCount val="3"/>
                <c:pt idx="0">
                  <c:v>基本支出</c:v>
                </c:pt>
                <c:pt idx="1">
                  <c:v>项目支出</c:v>
                </c:pt>
                <c:pt idx="2">
                  <c:v>单位：万元</c:v>
                </c:pt>
              </c:strCache>
            </c:strRef>
          </c:cat>
          <c:val>
            <c:numRef>
              <c:f>'[新建 XLSX 工作表.xlsx]Sheet1'!$B$2:$B$4</c:f>
              <c:numCache>
                <c:formatCode>General</c:formatCode>
                <c:ptCount val="3"/>
                <c:pt idx="0">
                  <c:v>448.24</c:v>
                </c:pt>
                <c:pt idx="1">
                  <c:v>152.41</c:v>
                </c:pt>
              </c:numCache>
            </c:numRef>
          </c:val>
        </c:ser>
        <c:ser>
          <c:idx val="1"/>
          <c:order val="1"/>
          <c:tx>
            <c:strRef>
              <c:f>'[新建 XLSX 工作表.xlsx]Sheet1'!$C$1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工作表.xlsx]Sheet1'!$A$2:$A$4</c:f>
              <c:strCache>
                <c:ptCount val="3"/>
                <c:pt idx="0">
                  <c:v>基本支出</c:v>
                </c:pt>
                <c:pt idx="1">
                  <c:v>项目支出</c:v>
                </c:pt>
                <c:pt idx="2">
                  <c:v>单位：万元</c:v>
                </c:pt>
              </c:strCache>
            </c:strRef>
          </c:cat>
          <c:val>
            <c:numRef>
              <c:f>'[新建 XLSX 工作表.xlsx]Sheet1'!$C$2:$C$4</c:f>
              <c:numCache>
                <c:formatCode>General</c:formatCode>
                <c:ptCount val="3"/>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a:t>
            </a:r>
            <a:endParaRPr altLang="en-US"/>
          </a:p>
        </c:rich>
      </c:tx>
      <c:layout/>
      <c:overlay val="false"/>
      <c:spPr>
        <a:noFill/>
        <a:ln>
          <a:noFill/>
        </a:ln>
        <a:effectLst/>
      </c:spPr>
    </c:title>
    <c:autoTitleDeleted val="false"/>
    <c:plotArea>
      <c:layout/>
      <c:barChart>
        <c:barDir val="col"/>
        <c:grouping val="clustered"/>
        <c:varyColors val="false"/>
        <c:ser>
          <c:idx val="0"/>
          <c:order val="0"/>
          <c:tx>
            <c:strRef>
              <c:f>'[新建 XLSX 工作表.xlsx]Sheet1'!$B$1</c:f>
              <c:strCache>
                <c:ptCount val="1"/>
                <c:pt idx="0">
                  <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工作表.20210908145325731.xlsx]Sheet1'!$A$2:$A$4</c:f>
              <c:strCache>
                <c:ptCount val="3"/>
                <c:pt idx="0">
                  <c:v>2019年</c:v>
                </c:pt>
                <c:pt idx="1">
                  <c:v>2020年</c:v>
                </c:pt>
                <c:pt idx="2">
                  <c:v>单位：万元</c:v>
                </c:pt>
              </c:strCache>
            </c:strRef>
          </c:cat>
          <c:val>
            <c:numRef>
              <c:f>'[新建 xlsx 工作表.20210908145325731.xlsx]Sheet1'!$B$2:$B$4</c:f>
              <c:numCache>
                <c:formatCode>General</c:formatCode>
                <c:ptCount val="3"/>
                <c:pt idx="0">
                  <c:v>805.84</c:v>
                </c:pt>
                <c:pt idx="1">
                  <c:v>603.87</c:v>
                </c:pt>
              </c:numCache>
            </c:numRef>
          </c:val>
        </c:ser>
        <c:ser>
          <c:idx val="1"/>
          <c:order val="1"/>
          <c:tx>
            <c:strRef>
              <c:f>'[新建 XLSX 工作表.xlsx]Sheet1'!$C$1</c:f>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工作表.20210908145325731.xlsx]Sheet1'!$A$2:$A$4</c:f>
              <c:strCache>
                <c:ptCount val="3"/>
                <c:pt idx="0">
                  <c:v>2019年</c:v>
                </c:pt>
                <c:pt idx="1">
                  <c:v>2020年</c:v>
                </c:pt>
                <c:pt idx="2">
                  <c:v>单位：万元</c:v>
                </c:pt>
              </c:strCache>
            </c:strRef>
          </c:cat>
          <c:val>
            <c:numRef>
              <c:f>'[新建 xlsx 工作表.20210908145325731.xlsx]Sheet1'!$C$2:$C$4</c:f>
              <c:numCache>
                <c:formatCode>General</c:formatCode>
                <c:ptCount val="3"/>
              </c:numCache>
            </c:numRef>
          </c:val>
        </c:ser>
        <c:dLbls>
          <c:showLegendKey val="false"/>
          <c:showVal val="true"/>
          <c:showCatName val="false"/>
          <c:showSerName val="false"/>
          <c:showPercent val="false"/>
          <c:showBubbleSize val="false"/>
        </c:dLbls>
        <c:gapWidth val="219"/>
        <c:overlap val="-27"/>
        <c:axId val="232474957"/>
        <c:axId val="643464619"/>
      </c:barChart>
      <c:catAx>
        <c:axId val="23247495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3464619"/>
        <c:crosses val="autoZero"/>
        <c:auto val="true"/>
        <c:lblAlgn val="ctr"/>
        <c:lblOffset val="100"/>
        <c:noMultiLvlLbl val="false"/>
      </c:catAx>
      <c:valAx>
        <c:axId val="64346461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3247495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40" b="0" i="0" u="none" strike="noStrike" kern="1200" spc="0" baseline="0">
                <a:solidFill>
                  <a:schemeClr val="tx1">
                    <a:lumMod val="65000"/>
                    <a:lumOff val="35000"/>
                  </a:schemeClr>
                </a:solidFill>
                <a:latin typeface="+mn-lt"/>
                <a:ea typeface="+mn-ea"/>
                <a:cs typeface="+mn-cs"/>
              </a:defRPr>
            </a:pPr>
            <a:r>
              <a:rPr sz="1440"/>
              <a:t>图</a:t>
            </a:r>
            <a:r>
              <a:rPr lang="en-US" altLang="zh-CN" sz="1440"/>
              <a:t>5</a:t>
            </a:r>
            <a:r>
              <a:rPr altLang="en-US" sz="1440"/>
              <a:t>：一般公共预算财政拨款支出决算变动情况</a:t>
            </a:r>
            <a:endParaRPr altLang="en-US" sz="1440"/>
          </a:p>
        </c:rich>
      </c:tx>
      <c:layout>
        <c:manualLayout>
          <c:xMode val="edge"/>
          <c:yMode val="edge"/>
          <c:x val="0.185555555555555"/>
          <c:y val="0.0282407407407407"/>
        </c:manualLayout>
      </c:layout>
      <c:overlay val="false"/>
      <c:spPr>
        <a:noFill/>
        <a:ln>
          <a:noFill/>
        </a:ln>
        <a:effectLst/>
      </c:spPr>
    </c:title>
    <c:autoTitleDeleted val="false"/>
    <c:plotArea>
      <c:layout/>
      <c:barChart>
        <c:barDir val="col"/>
        <c:grouping val="clustered"/>
        <c:varyColors val="false"/>
        <c:ser>
          <c:idx val="0"/>
          <c:order val="0"/>
          <c:tx>
            <c:strRef>
              <c:f>'[新建 XLSX 工作表.xlsx]Sheet1'!$B$1</c:f>
              <c:strCache>
                <c:ptCount val="1"/>
                <c:pt idx="0">
                  <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工作表.xlsx]Sheet1'!$A$2:$A$4</c:f>
              <c:strCache>
                <c:ptCount val="3"/>
                <c:pt idx="0">
                  <c:v>2019年</c:v>
                </c:pt>
                <c:pt idx="1">
                  <c:v>2020年</c:v>
                </c:pt>
                <c:pt idx="2">
                  <c:v>单位：万元</c:v>
                </c:pt>
              </c:strCache>
            </c:strRef>
          </c:cat>
          <c:val>
            <c:numRef>
              <c:f>'[新建 XLSX 工作表.xlsx]Sheet1'!$B$2:$B$4</c:f>
              <c:numCache>
                <c:formatCode>General</c:formatCode>
                <c:ptCount val="3"/>
                <c:pt idx="0">
                  <c:v>669.29</c:v>
                </c:pt>
                <c:pt idx="1">
                  <c:v>594.26</c:v>
                </c:pt>
              </c:numCache>
            </c:numRef>
          </c:val>
        </c:ser>
        <c:ser>
          <c:idx val="1"/>
          <c:order val="1"/>
          <c:tx>
            <c:strRef>
              <c:f>'[新建 XLSX 工作表.xlsx]Sheet1'!$C$1</c:f>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工作表.xlsx]Sheet1'!$A$2:$A$4</c:f>
              <c:strCache>
                <c:ptCount val="3"/>
                <c:pt idx="0">
                  <c:v>2019年</c:v>
                </c:pt>
                <c:pt idx="1">
                  <c:v>2020年</c:v>
                </c:pt>
                <c:pt idx="2">
                  <c:v>单位：万元</c:v>
                </c:pt>
              </c:strCache>
            </c:strRef>
          </c:cat>
          <c:val>
            <c:numRef>
              <c:f>'[新建 XLSX 工作表.xlsx]Sheet1'!$C$2:$C$4</c:f>
              <c:numCache>
                <c:formatCode>General</c:formatCode>
                <c:ptCount val="3"/>
              </c:numCache>
            </c:numRef>
          </c:val>
        </c:ser>
        <c:dLbls>
          <c:showLegendKey val="false"/>
          <c:showVal val="true"/>
          <c:showCatName val="false"/>
          <c:showSerName val="false"/>
          <c:showPercent val="false"/>
          <c:showBubbleSize val="false"/>
        </c:dLbls>
        <c:gapWidth val="219"/>
        <c:overlap val="-27"/>
        <c:axId val="232474957"/>
        <c:axId val="643464619"/>
      </c:barChart>
      <c:catAx>
        <c:axId val="23247495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crossAx val="643464619"/>
        <c:crosses val="autoZero"/>
        <c:auto val="true"/>
        <c:lblAlgn val="ctr"/>
        <c:lblOffset val="100"/>
        <c:noMultiLvlLbl val="false"/>
      </c:catAx>
      <c:valAx>
        <c:axId val="64346461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crossAx val="23247495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工作表.xlsx]Sheet1'!$A$2:$A$5</c:f>
              <c:strCache>
                <c:ptCount val="4"/>
                <c:pt idx="0">
                  <c:v>一般公共服务（类）支出</c:v>
                </c:pt>
                <c:pt idx="1">
                  <c:v>社会保障和就业（类）支出</c:v>
                </c:pt>
                <c:pt idx="2">
                  <c:v>卫生健康（类）支出</c:v>
                </c:pt>
                <c:pt idx="3">
                  <c:v>住房保障（类）支出</c:v>
                </c:pt>
              </c:strCache>
            </c:strRef>
          </c:cat>
          <c:val>
            <c:numRef>
              <c:f>'[新建 XLSX 工作表.xlsx]Sheet1'!$B$2:$B$5</c:f>
              <c:numCache>
                <c:formatCode>General</c:formatCode>
                <c:ptCount val="4"/>
                <c:pt idx="0">
                  <c:v>497.56</c:v>
                </c:pt>
                <c:pt idx="1">
                  <c:v>46.66</c:v>
                </c:pt>
                <c:pt idx="2">
                  <c:v>16.59</c:v>
                </c:pt>
                <c:pt idx="3">
                  <c:v>33.45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图7：“三公”经费财政拨款支出结构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 93%</a:t>
                    </a:r>
                  </a:p>
                </c:rich>
              </c:tx>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XLSX 工作表.xlsx]Sheet1'!$A$3:$A$4</c:f>
              <c:strCache>
                <c:ptCount val="2"/>
                <c:pt idx="0">
                  <c:v>公务接待费</c:v>
                </c:pt>
                <c:pt idx="1">
                  <c:v>公务用车购置及运行维护费</c:v>
                </c:pt>
              </c:strCache>
            </c:strRef>
          </c:cat>
          <c:val>
            <c:numRef>
              <c:f>'[新建 XLSX 工作表.xlsx]Sheet1'!$B$3:$B$4</c:f>
              <c:numCache>
                <c:formatCode>General</c:formatCode>
                <c:ptCount val="2"/>
                <c:pt idx="0">
                  <c:v>0.27</c:v>
                </c:pt>
                <c:pt idx="1">
                  <c:v>3.54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246597222222222"/>
          <c:y val="0.87777777777777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2021-09-06T18:03:00Z</dcterms:created>
  <dc:creator>kaka</dc:creator>
  <cp:lastModifiedBy>user</cp:lastModifiedBy>
  <cp:lastPrinted>2021-09-18T20:02:00Z</cp:lastPrinted>
  <dcterms:modified xsi:type="dcterms:W3CDTF">2022-08-30T17:10:31Z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879EFD41B1CE45D1A2FDAFFDACC78F07</vt:lpwstr>
  </property>
</Properties>
</file>