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1"/>
        </w:rPr>
        <w:id w:val="147454959"/>
        <w:docPartObj>
          <w:docPartGallery w:val="Table of Contents"/>
          <w:docPartUnique/>
        </w:docPartObj>
      </w:sdtPr>
      <w:sdtEndPr>
        <w:rPr>
          <w:rFonts w:hint="eastAsia" w:ascii="方正小标宋简体" w:hAnsi="宋体" w:eastAsia="方正小标宋简体"/>
          <w:color w:val="000000"/>
          <w:sz w:val="32"/>
          <w:szCs w:val="72"/>
        </w:rPr>
      </w:sdtEndPr>
      <w:sdtContent>
        <w:p>
          <w:pPr>
            <w:spacing w:line="600" w:lineRule="exact"/>
            <w:outlineLvl w:val="0"/>
            <w:rPr>
              <w:rFonts w:ascii="方正小标宋_GBK" w:hAnsi="黑体" w:eastAsia="方正小标宋_GBK"/>
              <w:color w:val="000000"/>
              <w:sz w:val="84"/>
              <w:szCs w:val="84"/>
            </w:rPr>
          </w:pPr>
          <w:bookmarkStart w:id="0" w:name="_Toc15306267"/>
          <w:bookmarkEnd w:id="0"/>
        </w:p>
      </w:sdtContent>
    </w:sdt>
    <w:p>
      <w:pPr>
        <w:adjustRightInd w:val="0"/>
        <w:snapToGrid w:val="0"/>
        <w:spacing w:line="360" w:lineRule="auto"/>
        <w:jc w:val="center"/>
        <w:rPr>
          <w:rFonts w:ascii="方正小标宋_GBK" w:hAnsi="宋体" w:eastAsia="方正小标宋_GBK"/>
          <w:color w:val="000000"/>
          <w:sz w:val="84"/>
          <w:szCs w:val="84"/>
        </w:rPr>
      </w:pPr>
      <w:bookmarkStart w:id="1" w:name="_Toc3976"/>
      <w:r>
        <w:rPr>
          <w:rFonts w:hint="eastAsia" w:ascii="方正小标宋_GBK" w:hAnsi="黑体" w:eastAsia="方正小标宋_GBK"/>
          <w:color w:val="000000"/>
          <w:sz w:val="84"/>
          <w:szCs w:val="84"/>
        </w:rPr>
        <w:t>2020</w:t>
      </w:r>
      <w:r>
        <w:rPr>
          <w:rFonts w:hint="eastAsia" w:ascii="方正小标宋_GBK" w:hAnsi="宋体" w:eastAsia="方正小标宋_GBK"/>
          <w:color w:val="000000"/>
          <w:sz w:val="84"/>
          <w:szCs w:val="84"/>
        </w:rPr>
        <w:t>年度</w:t>
      </w:r>
      <w:bookmarkEnd w:id="1"/>
      <w:bookmarkStart w:id="2" w:name="_Toc15378442"/>
      <w:bookmarkStart w:id="3" w:name="_Toc15377426"/>
      <w:bookmarkStart w:id="4" w:name="_Toc15377194"/>
      <w:bookmarkStart w:id="5" w:name="_Toc15396476"/>
      <w:bookmarkStart w:id="6" w:name="_Toc15396598"/>
    </w:p>
    <w:p>
      <w:pPr>
        <w:adjustRightInd w:val="0"/>
        <w:snapToGrid w:val="0"/>
        <w:spacing w:line="360" w:lineRule="auto"/>
        <w:jc w:val="center"/>
        <w:rPr>
          <w:rFonts w:ascii="方正小标宋_GBK" w:hAnsi="宋体" w:eastAsia="方正小标宋_GBK"/>
          <w:color w:val="000000"/>
          <w:sz w:val="84"/>
          <w:szCs w:val="84"/>
        </w:rPr>
      </w:pPr>
      <w:bookmarkStart w:id="7" w:name="_Toc10314"/>
      <w:r>
        <w:rPr>
          <w:rFonts w:hint="eastAsia" w:ascii="方正小标宋_GBK" w:hAnsi="宋体" w:eastAsia="方正小标宋_GBK"/>
          <w:color w:val="000000"/>
          <w:sz w:val="84"/>
          <w:szCs w:val="84"/>
        </w:rPr>
        <w:t>广元市</w:t>
      </w:r>
      <w:bookmarkStart w:id="8" w:name="_Toc15306268"/>
      <w:r>
        <w:rPr>
          <w:rFonts w:hint="eastAsia" w:ascii="方正小标宋_GBK" w:hAnsi="宋体" w:eastAsia="方正小标宋_GBK"/>
          <w:color w:val="000000"/>
          <w:sz w:val="84"/>
          <w:szCs w:val="84"/>
        </w:rPr>
        <w:t>金融服务中心</w:t>
      </w:r>
      <w:bookmarkEnd w:id="7"/>
    </w:p>
    <w:p>
      <w:pPr>
        <w:adjustRightInd w:val="0"/>
        <w:snapToGrid w:val="0"/>
        <w:spacing w:line="360" w:lineRule="auto"/>
        <w:jc w:val="center"/>
        <w:rPr>
          <w:rFonts w:ascii="方正小标宋_GBK" w:hAnsi="宋体" w:eastAsia="方正小标宋_GBK"/>
          <w:color w:val="000000"/>
          <w:sz w:val="84"/>
          <w:szCs w:val="84"/>
        </w:rPr>
      </w:pPr>
      <w:bookmarkStart w:id="9" w:name="_Toc21209"/>
      <w:r>
        <w:rPr>
          <w:rFonts w:hint="eastAsia" w:ascii="方正小标宋_GBK" w:hAnsi="宋体" w:eastAsia="方正小标宋_GBK"/>
          <w:color w:val="000000"/>
          <w:sz w:val="84"/>
          <w:szCs w:val="84"/>
          <w:lang w:eastAsia="zh-CN"/>
        </w:rPr>
        <w:t>单位</w:t>
      </w:r>
      <w:r>
        <w:rPr>
          <w:rFonts w:hint="eastAsia" w:ascii="方正小标宋_GBK" w:hAnsi="宋体" w:eastAsia="方正小标宋_GBK"/>
          <w:color w:val="000000"/>
          <w:sz w:val="84"/>
          <w:szCs w:val="84"/>
        </w:rPr>
        <w:t>决算</w:t>
      </w:r>
      <w:bookmarkEnd w:id="2"/>
      <w:bookmarkEnd w:id="3"/>
      <w:bookmarkEnd w:id="4"/>
      <w:bookmarkEnd w:id="5"/>
      <w:bookmarkEnd w:id="6"/>
      <w:bookmarkEnd w:id="8"/>
      <w:bookmarkEnd w:id="9"/>
    </w:p>
    <w:p>
      <w:pPr>
        <w:pStyle w:val="17"/>
        <w:adjustRightInd w:val="0"/>
        <w:snapToGrid w:val="0"/>
        <w:spacing w:line="440" w:lineRule="exact"/>
        <w:ind w:left="640"/>
        <w:rPr>
          <w:rFonts w:asciiTheme="minorEastAsia" w:hAnsiTheme="minorEastAsia" w:eastAsiaTheme="minorEastAsia" w:cstheme="minorEastAsia"/>
          <w:szCs w:val="32"/>
        </w:rPr>
      </w:pPr>
      <w:r>
        <w:rPr>
          <w:rFonts w:ascii="方正小标宋简体" w:hAnsi="宋体" w:eastAsia="方正小标宋简体"/>
          <w:color w:val="000000"/>
          <w:sz w:val="36"/>
          <w:szCs w:val="36"/>
        </w:rPr>
        <w:br w:type="page"/>
      </w:r>
    </w:p>
    <w:p>
      <w:pPr>
        <w:widowControl/>
        <w:spacing w:line="576" w:lineRule="exact"/>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目  录</w:t>
      </w:r>
    </w:p>
    <w:p>
      <w:pPr>
        <w:pStyle w:val="15"/>
        <w:tabs>
          <w:tab w:val="right" w:leader="dot" w:pos="8844"/>
          <w:tab w:val="clear" w:pos="8296"/>
        </w:tabs>
        <w:rPr>
          <w:rFonts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color w:val="000000"/>
        </w:rPr>
        <w:instrText xml:space="preserve"> TOC \o "1-2" \h \z \u </w:instrText>
      </w:r>
      <w:r>
        <w:rPr>
          <w:rFonts w:hint="eastAsia" w:ascii="宋体" w:hAnsi="宋体" w:eastAsia="宋体" w:cs="宋体"/>
          <w:color w:val="000000"/>
        </w:rPr>
        <w:fldChar w:fldCharType="separate"/>
      </w:r>
      <w:r>
        <w:fldChar w:fldCharType="begin"/>
      </w:r>
      <w:r>
        <w:instrText xml:space="preserve"> HYPERLINK \l "_Toc24508" </w:instrText>
      </w:r>
      <w:r>
        <w:fldChar w:fldCharType="separate"/>
      </w:r>
      <w:r>
        <w:rPr>
          <w:rFonts w:hint="eastAsia" w:ascii="宋体" w:hAnsi="宋体" w:eastAsia="宋体" w:cs="宋体"/>
        </w:rPr>
        <w:t>第一部分 部门概况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_Toc24508 \h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844"/>
          <w:tab w:val="clear" w:pos="8296"/>
        </w:tabs>
        <w:rPr>
          <w:rFonts w:ascii="宋体" w:hAnsi="宋体" w:eastAsia="宋体" w:cs="宋体"/>
        </w:rPr>
      </w:pPr>
      <w:r>
        <w:fldChar w:fldCharType="begin"/>
      </w:r>
      <w:r>
        <w:instrText xml:space="preserve"> HYPERLINK \l "_Toc593" </w:instrText>
      </w:r>
      <w:r>
        <w:fldChar w:fldCharType="separate"/>
      </w:r>
      <w:r>
        <w:rPr>
          <w:rFonts w:hint="eastAsia" w:ascii="宋体" w:hAnsi="宋体" w:eastAsia="宋体" w:cs="宋体"/>
        </w:rPr>
        <w:t>第二部分2020年度部门决算情况说明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_Toc593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"_Toc10533" </w:instrText>
      </w:r>
      <w:r>
        <w:fldChar w:fldCharType="separate"/>
      </w:r>
      <w:r>
        <w:rPr>
          <w:rFonts w:hint="eastAsia" w:ascii="宋体" w:hAnsi="宋体" w:eastAsia="宋体" w:cs="宋体"/>
          <w:sz w:val="28"/>
          <w:szCs w:val="28"/>
        </w:rPr>
        <w:t>一、收入支出决算总体情况说明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_Toc10533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"_Toc7332" </w:instrText>
      </w:r>
      <w:r>
        <w:fldChar w:fldCharType="separate"/>
      </w:r>
      <w:r>
        <w:rPr>
          <w:rFonts w:hint="eastAsia" w:ascii="宋体" w:hAnsi="宋体" w:eastAsia="宋体" w:cs="宋体"/>
          <w:sz w:val="28"/>
          <w:szCs w:val="28"/>
        </w:rPr>
        <w:t>二、收入决算情况说明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_Toc7332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"_Toc3874" </w:instrText>
      </w:r>
      <w:r>
        <w:fldChar w:fldCharType="separate"/>
      </w:r>
      <w:r>
        <w:rPr>
          <w:rFonts w:hint="eastAsia" w:ascii="宋体" w:hAnsi="宋体" w:eastAsia="宋体" w:cs="宋体"/>
          <w:sz w:val="28"/>
          <w:szCs w:val="28"/>
        </w:rPr>
        <w:t>三、支出决算情况说明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_Toc3874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"_Toc489" </w:instrText>
      </w:r>
      <w:r>
        <w:fldChar w:fldCharType="separate"/>
      </w:r>
      <w:r>
        <w:rPr>
          <w:rFonts w:hint="eastAsia" w:ascii="宋体" w:hAnsi="宋体" w:eastAsia="宋体" w:cs="宋体"/>
          <w:sz w:val="28"/>
          <w:szCs w:val="28"/>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_Toc489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"_Toc30529" </w:instrText>
      </w:r>
      <w:r>
        <w:fldChar w:fldCharType="separate"/>
      </w:r>
      <w:r>
        <w:rPr>
          <w:rFonts w:hint="eastAsia" w:ascii="宋体" w:hAnsi="宋体" w:eastAsia="宋体" w:cs="宋体"/>
          <w:sz w:val="28"/>
          <w:szCs w:val="28"/>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_Toc30529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"_Toc26846" </w:instrText>
      </w:r>
      <w:r>
        <w:fldChar w:fldCharType="separate"/>
      </w:r>
      <w:r>
        <w:rPr>
          <w:rFonts w:hint="eastAsia" w:ascii="宋体" w:hAnsi="宋体" w:eastAsia="宋体" w:cs="宋体"/>
          <w:sz w:val="28"/>
          <w:szCs w:val="28"/>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_Toc26846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"_Toc12044" </w:instrText>
      </w:r>
      <w:r>
        <w:fldChar w:fldCharType="separate"/>
      </w:r>
      <w:r>
        <w:rPr>
          <w:rFonts w:hint="eastAsia" w:ascii="宋体" w:hAnsi="宋体" w:eastAsia="宋体" w:cs="宋体"/>
          <w:sz w:val="28"/>
          <w:szCs w:val="28"/>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_Toc12044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"_Toc7072" </w:instrText>
      </w:r>
      <w:r>
        <w:fldChar w:fldCharType="separate"/>
      </w:r>
      <w:r>
        <w:rPr>
          <w:rFonts w:hint="eastAsia" w:ascii="宋体" w:hAnsi="宋体" w:eastAsia="宋体" w:cs="宋体"/>
          <w:sz w:val="28"/>
          <w:szCs w:val="28"/>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_Toc7072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"_Toc10236" </w:instrText>
      </w:r>
      <w:r>
        <w:fldChar w:fldCharType="separate"/>
      </w:r>
      <w:r>
        <w:rPr>
          <w:rFonts w:hint="eastAsia" w:ascii="宋体" w:hAnsi="宋体" w:eastAsia="宋体" w:cs="宋体"/>
          <w:sz w:val="28"/>
          <w:szCs w:val="28"/>
        </w:rPr>
        <w:t>九、国有资本经营预算支出决算情况说明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_Toc10236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844"/>
          <w:tab w:val="clear" w:pos="8296"/>
        </w:tabs>
        <w:ind w:left="640"/>
        <w:rPr>
          <w:rFonts w:ascii="宋体" w:hAnsi="宋体" w:eastAsia="宋体" w:cs="宋体"/>
          <w:sz w:val="28"/>
          <w:szCs w:val="28"/>
        </w:rPr>
      </w:pPr>
      <w:r>
        <w:fldChar w:fldCharType="begin"/>
      </w:r>
      <w:r>
        <w:instrText xml:space="preserve"> HYPERLINK \l "_Toc7760" </w:instrText>
      </w:r>
      <w:r>
        <w:fldChar w:fldCharType="separate"/>
      </w:r>
      <w:r>
        <w:rPr>
          <w:rFonts w:hint="eastAsia" w:ascii="宋体" w:hAnsi="宋体" w:eastAsia="宋体" w:cs="宋体"/>
          <w:sz w:val="28"/>
          <w:szCs w:val="28"/>
        </w:rPr>
        <w:t>十、其他重要事项的情况说明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_Toc7760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844"/>
          <w:tab w:val="clear" w:pos="8296"/>
        </w:tabs>
        <w:rPr>
          <w:rFonts w:ascii="宋体" w:hAnsi="宋体" w:eastAsia="宋体" w:cs="宋体"/>
        </w:rPr>
      </w:pPr>
      <w:r>
        <w:fldChar w:fldCharType="begin"/>
      </w:r>
      <w:r>
        <w:instrText xml:space="preserve"> HYPERLINK \l "_Toc29713" </w:instrText>
      </w:r>
      <w:r>
        <w:fldChar w:fldCharType="separate"/>
      </w:r>
      <w:r>
        <w:rPr>
          <w:rFonts w:hint="eastAsia" w:ascii="宋体" w:hAnsi="宋体" w:eastAsia="宋体" w:cs="宋体"/>
        </w:rPr>
        <w:t xml:space="preserve">第三部分 </w:t>
      </w:r>
      <w:r>
        <w:rPr>
          <w:rFonts w:hint="eastAsia" w:ascii="宋体" w:hAnsi="宋体" w:eastAsia="宋体" w:cs="宋体"/>
          <w:bCs/>
        </w:rPr>
        <w:t>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_Toc29713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844"/>
          <w:tab w:val="clear" w:pos="8296"/>
        </w:tabs>
        <w:rPr>
          <w:rFonts w:ascii="宋体" w:hAnsi="宋体" w:eastAsia="宋体" w:cs="宋体"/>
        </w:rPr>
      </w:pPr>
      <w:r>
        <w:fldChar w:fldCharType="begin"/>
      </w:r>
      <w:r>
        <w:instrText xml:space="preserve"> HYPERLINK \l "_Toc26562" </w:instrText>
      </w:r>
      <w:r>
        <w:fldChar w:fldCharType="separate"/>
      </w:r>
      <w:r>
        <w:rPr>
          <w:rFonts w:hint="eastAsia" w:ascii="宋体" w:hAnsi="宋体" w:eastAsia="宋体" w:cs="宋体"/>
          <w:bCs/>
        </w:rPr>
        <w:t>第四部分 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_Toc26562 \h </w:instrText>
      </w:r>
      <w:r>
        <w:rPr>
          <w:rFonts w:hint="eastAsia" w:ascii="宋体" w:hAnsi="宋体" w:eastAsia="宋体" w:cs="宋体"/>
        </w:rPr>
        <w:fldChar w:fldCharType="separate"/>
      </w:r>
      <w:r>
        <w:rPr>
          <w:rFonts w:hint="eastAsia" w:ascii="宋体" w:hAnsi="宋体" w:eastAsia="宋体" w:cs="宋体"/>
        </w:rPr>
        <w:t>- 19 -</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844"/>
          <w:tab w:val="clear" w:pos="8296"/>
        </w:tabs>
        <w:rPr>
          <w:rFonts w:ascii="宋体" w:hAnsi="宋体" w:eastAsia="宋体" w:cs="宋体"/>
        </w:rPr>
      </w:pPr>
      <w:r>
        <w:fldChar w:fldCharType="begin"/>
      </w:r>
      <w:r>
        <w:instrText xml:space="preserve"> HYPERLINK \l "_Toc9423" </w:instrText>
      </w:r>
      <w:r>
        <w:fldChar w:fldCharType="separate"/>
      </w:r>
      <w:r>
        <w:rPr>
          <w:rFonts w:hint="eastAsia" w:ascii="宋体" w:hAnsi="宋体" w:eastAsia="宋体" w:cs="宋体"/>
          <w:bCs/>
        </w:rPr>
        <w:t>第五部分 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_Toc9423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rPr>
        <w:fldChar w:fldCharType="end"/>
      </w:r>
    </w:p>
    <w:p>
      <w:pPr>
        <w:widowControl/>
        <w:spacing w:line="576" w:lineRule="exact"/>
        <w:rPr>
          <w:rFonts w:ascii="仿宋" w:hAnsi="仿宋" w:eastAsia="仿宋"/>
          <w:color w:val="000000"/>
          <w:sz w:val="24"/>
        </w:rPr>
      </w:pPr>
      <w:r>
        <w:rPr>
          <w:rFonts w:hint="eastAsia" w:ascii="宋体" w:hAnsi="宋体" w:eastAsia="宋体" w:cs="宋体"/>
          <w:color w:val="000000"/>
          <w:sz w:val="28"/>
          <w:szCs w:val="28"/>
        </w:rPr>
        <w:fldChar w:fldCharType="end"/>
      </w:r>
    </w:p>
    <w:p>
      <w:pPr>
        <w:pStyle w:val="25"/>
        <w:rPr>
          <w:rFonts w:ascii="黑体" w:hAnsi="黑体"/>
          <w:b/>
        </w:rPr>
        <w:sectPr>
          <w:headerReference r:id="rId3" w:type="default"/>
          <w:footerReference r:id="rId5" w:type="default"/>
          <w:headerReference r:id="rId4" w:type="even"/>
          <w:pgSz w:w="11906" w:h="16838"/>
          <w:pgMar w:top="2098" w:right="1474" w:bottom="1985" w:left="1588" w:header="851" w:footer="992" w:gutter="0"/>
          <w:pgNumType w:fmt="numberInDash" w:start="1"/>
          <w:cols w:space="425" w:num="1"/>
          <w:titlePg/>
          <w:docGrid w:type="lines" w:linePitch="312" w:charSpace="0"/>
        </w:sectPr>
      </w:pPr>
      <w:bookmarkStart w:id="10" w:name="_Toc15377196"/>
      <w:r>
        <w:rPr>
          <w:rFonts w:ascii="黑体" w:hAnsi="黑体"/>
          <w:b/>
        </w:rPr>
        <w:br w:type="page"/>
      </w:r>
    </w:p>
    <w:p>
      <w:pPr>
        <w:pStyle w:val="25"/>
        <w:rPr>
          <w:rFonts w:ascii="黑体" w:hAnsi="黑体"/>
          <w:b/>
        </w:rPr>
      </w:pPr>
    </w:p>
    <w:p>
      <w:pPr>
        <w:pStyle w:val="19"/>
        <w:rPr>
          <w:rFonts w:ascii="方正小标宋_GBK" w:hAnsi="黑体" w:eastAsia="方正小标宋_GBK"/>
          <w:b w:val="0"/>
          <w:sz w:val="44"/>
          <w:szCs w:val="44"/>
        </w:rPr>
      </w:pPr>
      <w:bookmarkStart w:id="11" w:name="_Toc2940"/>
      <w:bookmarkStart w:id="12" w:name="_Toc24508"/>
      <w:r>
        <w:rPr>
          <w:rFonts w:hint="eastAsia" w:ascii="方正小标宋_GBK" w:eastAsia="方正小标宋_GBK"/>
          <w:b w:val="0"/>
          <w:sz w:val="44"/>
          <w:szCs w:val="44"/>
        </w:rPr>
        <w:t>第一部分 部门概况</w:t>
      </w:r>
      <w:bookmarkEnd w:id="10"/>
      <w:bookmarkEnd w:id="11"/>
      <w:bookmarkEnd w:id="12"/>
    </w:p>
    <w:p>
      <w:pPr>
        <w:pStyle w:val="18"/>
        <w:spacing w:before="0" w:beforeAutospacing="0" w:after="0" w:afterAutospacing="0" w:line="540" w:lineRule="exact"/>
        <w:ind w:right="45" w:firstLine="640" w:firstLineChars="200"/>
        <w:jc w:val="both"/>
        <w:rPr>
          <w:rFonts w:ascii="黑体" w:hAnsi="黑体" w:eastAsia="黑体"/>
          <w:bCs/>
          <w:color w:val="000000"/>
          <w:sz w:val="32"/>
          <w:szCs w:val="32"/>
        </w:rPr>
      </w:pPr>
      <w:bookmarkStart w:id="13" w:name="_Toc15377198"/>
      <w:bookmarkStart w:id="14" w:name="_Toc15378445"/>
      <w:r>
        <w:rPr>
          <w:rFonts w:hint="eastAsia" w:ascii="黑体" w:hAnsi="黑体" w:eastAsia="黑体"/>
          <w:bCs/>
          <w:color w:val="000000"/>
          <w:sz w:val="32"/>
          <w:szCs w:val="32"/>
        </w:rPr>
        <w:t>一、基本职能及主要工作</w:t>
      </w:r>
    </w:p>
    <w:bookmarkEnd w:id="13"/>
    <w:bookmarkEnd w:id="14"/>
    <w:p>
      <w:pPr>
        <w:pStyle w:val="18"/>
        <w:spacing w:before="0" w:beforeAutospacing="0" w:after="0" w:afterAutospacing="0" w:line="576" w:lineRule="exact"/>
        <w:ind w:firstLine="608" w:firstLineChars="190"/>
        <w:jc w:val="both"/>
        <w:rPr>
          <w:rFonts w:ascii="楷体_GB2312" w:hAnsi="楷体_GB2312" w:eastAsia="楷体_GB2312" w:cs="楷体_GB2312"/>
          <w:color w:val="000000"/>
          <w:sz w:val="32"/>
          <w:szCs w:val="32"/>
        </w:rPr>
      </w:pPr>
      <w:bookmarkStart w:id="15" w:name="_Toc15377199"/>
      <w:bookmarkStart w:id="16" w:name="_Toc15378446"/>
      <w:r>
        <w:rPr>
          <w:rFonts w:hint="eastAsia" w:ascii="楷体_GB2312" w:hAnsi="楷体_GB2312" w:eastAsia="楷体_GB2312" w:cs="楷体_GB2312"/>
          <w:color w:val="000000"/>
          <w:sz w:val="32"/>
          <w:szCs w:val="32"/>
        </w:rPr>
        <w:t>（一）主要职能</w:t>
      </w:r>
    </w:p>
    <w:p>
      <w:pPr>
        <w:pStyle w:val="18"/>
        <w:spacing w:before="0" w:beforeAutospacing="0" w:after="0" w:afterAutospacing="0" w:line="576" w:lineRule="exact"/>
        <w:ind w:firstLine="640" w:firstLineChars="200"/>
        <w:jc w:val="both"/>
        <w:rPr>
          <w:rFonts w:ascii="仿宋_GB2312" w:hAnsi="仿宋" w:cs="方正仿宋简体"/>
          <w:sz w:val="32"/>
          <w:szCs w:val="32"/>
        </w:rPr>
      </w:pPr>
      <w:r>
        <w:rPr>
          <w:rFonts w:hint="eastAsia" w:ascii="仿宋_GB2312" w:hAnsi="仿宋" w:cs="方正仿宋简体"/>
          <w:sz w:val="32"/>
          <w:szCs w:val="32"/>
        </w:rPr>
        <w:t>1.贯彻落实中央、省、市关于金融工作的方针、政策和决策部署，维护党对金融工作的集中统一领导；协助有关部门制定全市金融业发展规划和政策措施，并推动落实。</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2.会同有关部门联系国省驻市金融监管单位和辖区内金融机构，引导、支持金融机构服务实体经济和地方社会事业发展；推进全市金融业发展、改革、创新，参与全市投融资体制改革工作；会同有关部门推进普惠金融体系和农村金融服务体系建设；参与市政府对金融机构的评价、考核和激励等工作。</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3.会同有关部门推进金融机构合理布局和金融资源优化配置；做好域外金融机构引进服务工作。</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4.会同有关部门组建、培育、壮大地方法人金融机构，做好地方法人金融机构改革发展协调服务工作。</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5.服务全市企业直接融资工作，推进多层次资本市场培育和发展；做好全市企业挂牌和上市改制等金融协调服务工作；会同有关部门推动企业发行各种债券、开展资产证券化等工作，推进多渠道融资，参与指导各类投资基金的引进设立和规范发展；参与指导产权交易规范发展。</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6.会同有关部门指导各县区做好防范、化解和处置地方金融风险工作；协调各县区打击非法集资和非法金融活动，构建良好金融生态环境；会同有关部门推进全市地方金融风险监测预警与应急处置机制建设。</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7.受托负责“7+4”类及其他具有金融属性的地方金融组织的培育、发展和监管工作。</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8.会同有关部门做好促进地方金融机构、金融中介机构发展服务工作，参与拟订促进与金融业密切相关的中介服务机构发展的政策、规划，并配合有关部门实施。</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9.对各县区地方金融工作进行业务指导，推进市、县区两级金融监管体系建立和完善；组织开展全市金融业务培训，推进全市金融法律法规政策知识的宣传普及工作；配合指导地方金融组织行业协会工作。</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10.配合驻市人行、银保监部门做好金融监管相关工作，共享地方金融监管指标数据和金融业务发展情况，为辖区内金融机构做好服务工作。</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11.负责市级政府性投资项目融资服务工作。</w:t>
      </w:r>
    </w:p>
    <w:bookmarkEnd w:id="15"/>
    <w:bookmarkEnd w:id="16"/>
    <w:p>
      <w:pPr>
        <w:pStyle w:val="18"/>
        <w:spacing w:before="0" w:beforeAutospacing="0" w:after="0" w:afterAutospacing="0" w:line="560" w:lineRule="exact"/>
        <w:ind w:right="45" w:firstLine="640" w:firstLineChars="200"/>
        <w:jc w:val="both"/>
        <w:rPr>
          <w:rFonts w:ascii="楷体_GB2312" w:hAnsi="楷体_GB2312" w:eastAsia="楷体_GB2312" w:cs="楷体_GB2312"/>
          <w:color w:val="000000"/>
          <w:sz w:val="32"/>
          <w:szCs w:val="32"/>
        </w:rPr>
      </w:pPr>
      <w:bookmarkStart w:id="17" w:name="_Toc15377200"/>
      <w:r>
        <w:rPr>
          <w:rFonts w:hint="eastAsia" w:ascii="楷体_GB2312" w:hAnsi="楷体_GB2312" w:eastAsia="楷体_GB2312" w:cs="楷体_GB2312"/>
          <w:color w:val="000000"/>
          <w:sz w:val="32"/>
          <w:szCs w:val="32"/>
        </w:rPr>
        <w:t>（二）2020年重点工作完成情况</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1.银行机构存贷款情况。截至12月末，全市银行业机构各项存款余额1685.7亿元（含人民银行存款24.49亿元），比“十三五”初期增加550.52亿元，增幅48.49%，年均增长9.7%；比年初增加125.28亿元，增长8.03%。各项贷款余额1018.2亿元（含不良贷款处置金额16.5亿元），比“十三五”初期增加484.68亿元，增幅90.85%，年均增长18.17%；比年初增加113.1亿元，增长12.6%。存量存贷比61.29%，比“十三五”初期加快14.29个百分点；新增存贷比90%。制造业贷款30.1亿元（含剔除农行核销1.6亿元银团贷款），比“十三五”初期增加8.93亿元，增幅为42.18%。</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2.保险机构保费收入情况。12月末全市保费收入50.91亿元，同比增长13.47%，增速排名全省第2位。“十三五”期间，全市累计保费收入212.52亿元，较“十二五”净增93.73亿元。五年间，全市保险业累计提供风险保障超过6万亿元，累计赔给付金额达68.41亿元。</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3.金融支持疫情防控和复工复产情况。截止到12月末，中小微企业贷款（含个体工商户和小微企业主经营性贷款）余额640.93亿元，较年初增加72.77亿元，占全部企业贷款总额90.55%，其中，普惠型小微企业贷款余额164.37亿元，较年初增长13.38%，高于各项贷款增速2.4个百分点。引导银行机构对65户支持类和帮扶类企业稳贷、增贷211.98亿元。为受疫情影响企业办理贷款展期，涉及金额8.26亿元；办理续贷27.63亿元;给予延期付息安排，涉及贷款利息7718万元；全年新发放普惠型小微企业贷款利率为5.94%，较上年下降0.6个百分点。累计通过利率优惠、减免罚息和其他费用为中小企业节约融资成本7160.73万元。</w:t>
      </w:r>
    </w:p>
    <w:p>
      <w:pPr>
        <w:pStyle w:val="18"/>
        <w:spacing w:before="0" w:beforeAutospacing="0" w:after="0" w:afterAutospacing="0" w:line="560" w:lineRule="exact"/>
        <w:ind w:right="45" w:firstLine="640" w:firstLineChars="200"/>
        <w:jc w:val="both"/>
        <w:rPr>
          <w:rFonts w:ascii="仿宋_GB2312" w:hAnsi="仿宋" w:cs="方正仿宋简体"/>
          <w:sz w:val="32"/>
          <w:szCs w:val="32"/>
        </w:rPr>
      </w:pPr>
      <w:r>
        <w:rPr>
          <w:rFonts w:hint="eastAsia" w:ascii="仿宋_GB2312" w:hAnsi="仿宋" w:cs="方正仿宋简体"/>
          <w:sz w:val="32"/>
          <w:szCs w:val="32"/>
        </w:rPr>
        <w:t>4.省下</w:t>
      </w:r>
      <w:r>
        <w:rPr>
          <w:rFonts w:hint="eastAsia" w:ascii="仿宋_GB2312" w:hAnsi="仿宋" w:cs="方正仿宋简体"/>
          <w:sz w:val="32"/>
          <w:szCs w:val="32"/>
          <w:lang w:val="en-US" w:eastAsia="zh-CN"/>
        </w:rPr>
        <w:t>达</w:t>
      </w:r>
      <w:r>
        <w:rPr>
          <w:rFonts w:hint="eastAsia" w:ascii="仿宋_GB2312" w:hAnsi="仿宋" w:cs="方正仿宋简体"/>
          <w:sz w:val="32"/>
          <w:szCs w:val="32"/>
        </w:rPr>
        <w:t>目标完成情况。截</w:t>
      </w:r>
      <w:r>
        <w:rPr>
          <w:rFonts w:hint="eastAsia" w:ascii="仿宋_GB2312" w:hAnsi="仿宋" w:cs="方正仿宋简体"/>
          <w:sz w:val="32"/>
          <w:szCs w:val="32"/>
          <w:lang w:val="en-US" w:eastAsia="zh-CN"/>
        </w:rPr>
        <w:t>至</w:t>
      </w:r>
      <w:r>
        <w:rPr>
          <w:rFonts w:hint="eastAsia" w:ascii="仿宋_GB2312" w:hAnsi="仿宋" w:cs="方正仿宋简体"/>
          <w:sz w:val="32"/>
          <w:szCs w:val="32"/>
        </w:rPr>
        <w:t>12月末，全市通过资本市场直接融资28.6亿元，超省下直接融资与地区生产总值比率目标0.7个百分点；非法集资存案化解26件，超省下目标8件，超额完成目标任务。</w:t>
      </w:r>
    </w:p>
    <w:p>
      <w:pPr>
        <w:spacing w:line="560" w:lineRule="exact"/>
        <w:ind w:firstLine="640" w:firstLineChars="200"/>
        <w:rPr>
          <w:rStyle w:val="34"/>
          <w:rFonts w:ascii="黑体" w:hAnsi="黑体"/>
        </w:rPr>
      </w:pPr>
      <w:r>
        <w:rPr>
          <w:rFonts w:hint="eastAsia" w:ascii="黑体" w:hAnsi="黑体"/>
          <w:color w:val="000000"/>
          <w:szCs w:val="32"/>
        </w:rPr>
        <w:t>二、机构设置</w:t>
      </w:r>
      <w:bookmarkEnd w:id="17"/>
    </w:p>
    <w:p>
      <w:pPr>
        <w:pStyle w:val="2"/>
        <w:adjustRightInd w:val="0"/>
        <w:snapToGrid w:val="0"/>
        <w:spacing w:beforeLines="0" w:line="540" w:lineRule="exact"/>
        <w:ind w:firstLine="672" w:firstLineChars="210"/>
        <w:rPr>
          <w:rFonts w:hint="eastAsia" w:hAnsi="仿宋" w:cs="方正仿宋简体"/>
          <w:sz w:val="32"/>
          <w:szCs w:val="32"/>
        </w:rPr>
      </w:pPr>
      <w:r>
        <w:rPr>
          <w:rFonts w:hint="eastAsia" w:hAnsi="仿宋" w:cs="方正仿宋简体"/>
          <w:sz w:val="32"/>
          <w:szCs w:val="32"/>
        </w:rPr>
        <w:t>2020年市金融服务中心</w:t>
      </w:r>
      <w:r>
        <w:rPr>
          <w:rFonts w:hint="eastAsia" w:hAnsi="仿宋" w:cs="方正仿宋简体"/>
          <w:sz w:val="32"/>
          <w:szCs w:val="32"/>
          <w:lang w:eastAsia="zh-CN"/>
        </w:rPr>
        <w:t>属于</w:t>
      </w:r>
      <w:r>
        <w:rPr>
          <w:rFonts w:hint="eastAsia" w:hAnsi="仿宋" w:cs="方正仿宋简体"/>
          <w:sz w:val="32"/>
          <w:szCs w:val="32"/>
        </w:rPr>
        <w:t>二级预算单位，纳入2020年度部门决算编制。</w:t>
      </w: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2"/>
        <w:adjustRightInd w:val="0"/>
        <w:snapToGrid w:val="0"/>
        <w:spacing w:beforeLines="0" w:line="540" w:lineRule="exact"/>
        <w:ind w:firstLine="672" w:firstLineChars="210"/>
        <w:rPr>
          <w:rFonts w:hint="eastAsia" w:hAnsi="仿宋" w:cs="方正仿宋简体"/>
          <w:sz w:val="32"/>
          <w:szCs w:val="32"/>
        </w:rPr>
      </w:pPr>
    </w:p>
    <w:p>
      <w:pPr>
        <w:pStyle w:val="32"/>
        <w:spacing w:line="600" w:lineRule="exact"/>
        <w:ind w:firstLine="720"/>
        <w:rPr>
          <w:rFonts w:ascii="仿宋_GB2312" w:hAnsi="黑体" w:eastAsia="仿宋_GB2312"/>
          <w:sz w:val="36"/>
          <w:szCs w:val="36"/>
        </w:rPr>
      </w:pPr>
      <w:bookmarkStart w:id="18" w:name="_Toc15377205"/>
    </w:p>
    <w:p>
      <w:pPr>
        <w:spacing w:line="600" w:lineRule="exact"/>
        <w:jc w:val="center"/>
        <w:outlineLvl w:val="0"/>
        <w:rPr>
          <w:rFonts w:ascii="方正小标宋_GBK" w:hAnsi="黑体" w:eastAsia="方正小标宋_GBK"/>
          <w:sz w:val="44"/>
          <w:szCs w:val="44"/>
        </w:rPr>
      </w:pPr>
      <w:bookmarkStart w:id="19" w:name="_Toc12803"/>
      <w:bookmarkStart w:id="20" w:name="_Toc593"/>
      <w:r>
        <w:rPr>
          <w:rFonts w:hint="eastAsia" w:ascii="方正小标宋_GBK" w:hAnsi="黑体" w:eastAsia="方正小标宋_GBK"/>
          <w:sz w:val="44"/>
          <w:szCs w:val="44"/>
        </w:rPr>
        <w:t>第二部分2020年度部门决算情况说明</w:t>
      </w:r>
      <w:bookmarkEnd w:id="19"/>
      <w:bookmarkEnd w:id="20"/>
    </w:p>
    <w:p>
      <w:pPr>
        <w:pStyle w:val="25"/>
      </w:pPr>
    </w:p>
    <w:p>
      <w:pPr>
        <w:pStyle w:val="32"/>
        <w:spacing w:line="600" w:lineRule="exact"/>
        <w:ind w:firstLine="640"/>
        <w:outlineLvl w:val="1"/>
        <w:rPr>
          <w:rStyle w:val="34"/>
          <w:rFonts w:ascii="黑体" w:hAnsi="黑体"/>
          <w:b w:val="0"/>
        </w:rPr>
      </w:pPr>
      <w:bookmarkStart w:id="21" w:name="_Toc16084"/>
      <w:bookmarkStart w:id="22" w:name="_Toc10533"/>
      <w:r>
        <w:rPr>
          <w:rFonts w:hint="eastAsia" w:ascii="黑体" w:hAnsi="黑体"/>
          <w:color w:val="000000"/>
          <w:szCs w:val="32"/>
        </w:rPr>
        <w:t>一、收入支出决算总体情况说明</w:t>
      </w:r>
      <w:bookmarkEnd w:id="21"/>
      <w:bookmarkEnd w:id="22"/>
    </w:p>
    <w:p>
      <w:pPr>
        <w:spacing w:line="560" w:lineRule="exact"/>
        <w:ind w:firstLine="640" w:firstLineChars="200"/>
        <w:rPr>
          <w:rFonts w:hint="eastAsia" w:ascii="仿宋_GB2312" w:hAnsi="仿宋" w:eastAsia="仿宋_GB2312"/>
          <w:color w:val="000000"/>
          <w:szCs w:val="32"/>
        </w:rPr>
      </w:pPr>
      <w:r>
        <w:rPr>
          <w:rFonts w:hint="eastAsia" w:ascii="仿宋_GB2312" w:hAnsi="仿宋" w:eastAsia="仿宋_GB2312"/>
          <w:color w:val="000000"/>
          <w:szCs w:val="32"/>
        </w:rPr>
        <w:t>2020年度收、支总计</w:t>
      </w:r>
      <w:r>
        <w:rPr>
          <w:rFonts w:hint="default" w:ascii="仿宋_GB2312" w:hAnsi="仿宋" w:eastAsia="仿宋_GB2312"/>
          <w:color w:val="000000"/>
          <w:szCs w:val="32"/>
          <w:lang w:val="en" w:eastAsia="zh-CN"/>
        </w:rPr>
        <w:t>220</w:t>
      </w:r>
      <w:r>
        <w:rPr>
          <w:rFonts w:hint="eastAsia" w:ascii="仿宋_GB2312" w:hAnsi="仿宋" w:eastAsia="仿宋_GB2312"/>
          <w:color w:val="000000"/>
          <w:szCs w:val="32"/>
        </w:rPr>
        <w:t>万元。与2019年相比，收</w:t>
      </w:r>
      <w:r>
        <w:rPr>
          <w:rFonts w:hint="eastAsia" w:ascii="仿宋_GB2312" w:hAnsi="仿宋" w:eastAsia="仿宋_GB2312"/>
          <w:color w:val="000000"/>
          <w:szCs w:val="32"/>
          <w:lang w:eastAsia="zh-CN"/>
        </w:rPr>
        <w:t>、支各</w:t>
      </w:r>
      <w:r>
        <w:rPr>
          <w:rFonts w:hint="eastAsia" w:ascii="仿宋_GB2312" w:hAnsi="仿宋" w:eastAsia="仿宋_GB2312"/>
          <w:color w:val="000000"/>
          <w:szCs w:val="32"/>
          <w:highlight w:val="none"/>
        </w:rPr>
        <w:t>减少</w:t>
      </w:r>
      <w:r>
        <w:rPr>
          <w:rFonts w:hint="eastAsia" w:ascii="仿宋_GB2312" w:hAnsi="仿宋" w:eastAsia="仿宋_GB2312"/>
          <w:color w:val="000000"/>
          <w:szCs w:val="32"/>
          <w:highlight w:val="none"/>
          <w:lang w:val="en-US" w:eastAsia="zh-CN"/>
        </w:rPr>
        <w:t>39.6</w:t>
      </w:r>
      <w:r>
        <w:rPr>
          <w:rFonts w:hint="default" w:ascii="仿宋_GB2312" w:hAnsi="仿宋" w:eastAsia="仿宋_GB2312"/>
          <w:color w:val="000000"/>
          <w:szCs w:val="32"/>
          <w:highlight w:val="none"/>
          <w:lang w:val="en" w:eastAsia="zh-CN"/>
        </w:rPr>
        <w:t>3</w:t>
      </w:r>
      <w:r>
        <w:rPr>
          <w:rFonts w:hint="eastAsia" w:ascii="仿宋_GB2312" w:hAnsi="仿宋" w:eastAsia="仿宋_GB2312"/>
          <w:color w:val="000000"/>
          <w:szCs w:val="32"/>
          <w:highlight w:val="none"/>
        </w:rPr>
        <w:t>万元，下降</w:t>
      </w:r>
      <w:r>
        <w:rPr>
          <w:rFonts w:hint="eastAsia" w:ascii="仿宋_GB2312" w:hAnsi="仿宋" w:eastAsia="仿宋_GB2312"/>
          <w:color w:val="000000"/>
          <w:szCs w:val="32"/>
          <w:highlight w:val="none"/>
          <w:lang w:val="en-US" w:eastAsia="zh-CN"/>
        </w:rPr>
        <w:t>15.27</w:t>
      </w:r>
      <w:r>
        <w:rPr>
          <w:rFonts w:hint="eastAsia" w:ascii="仿宋_GB2312" w:hAnsi="仿宋" w:eastAsia="仿宋_GB2312"/>
          <w:color w:val="000000"/>
          <w:szCs w:val="32"/>
          <w:highlight w:val="none"/>
        </w:rPr>
        <w:t>%。</w:t>
      </w:r>
      <w:r>
        <w:rPr>
          <w:rFonts w:hint="eastAsia" w:ascii="仿宋_GB2312" w:hAnsi="仿宋" w:eastAsia="仿宋_GB2312"/>
          <w:color w:val="000000"/>
          <w:szCs w:val="32"/>
        </w:rPr>
        <w:t>主要变动原因是按</w:t>
      </w:r>
      <w:r>
        <w:rPr>
          <w:rFonts w:hint="eastAsia" w:ascii="仿宋_GB2312" w:hAnsi="仿宋" w:eastAsia="仿宋_GB2312"/>
          <w:color w:val="000000"/>
          <w:szCs w:val="32"/>
          <w:lang w:val="en-US" w:eastAsia="zh-CN"/>
        </w:rPr>
        <w:t>照</w:t>
      </w:r>
      <w:r>
        <w:rPr>
          <w:rFonts w:hint="eastAsia" w:ascii="仿宋_GB2312" w:hAnsi="仿宋" w:eastAsia="仿宋_GB2312"/>
          <w:color w:val="000000"/>
          <w:szCs w:val="32"/>
        </w:rPr>
        <w:t>市委、市政府要求厉行节约。</w:t>
      </w:r>
    </w:p>
    <w:bookmarkEnd w:id="18"/>
    <w:p>
      <w:pPr>
        <w:pStyle w:val="2"/>
        <w:jc w:val="center"/>
        <w:rPr>
          <w:rFonts w:hint="eastAsia" w:eastAsia="仿宋_GB2312"/>
          <w:lang w:eastAsia="zh-CN"/>
        </w:rPr>
      </w:pPr>
      <w:bookmarkStart w:id="23" w:name="_Toc15377206"/>
      <w:bookmarkStart w:id="24" w:name="_Toc13409"/>
      <w:bookmarkStart w:id="25" w:name="_Toc7332"/>
      <w:r>
        <w:rPr>
          <w:rFonts w:hint="eastAsia" w:eastAsia="仿宋_GB2312"/>
          <w:lang w:eastAsia="zh-CN"/>
        </w:rPr>
        <w:drawing>
          <wp:inline distT="0" distB="0" distL="114300" distR="114300">
            <wp:extent cx="5080000" cy="2875280"/>
            <wp:effectExtent l="4445" t="4445" r="20955" b="158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firstLine="1285" w:firstLineChars="400"/>
        <w:rPr>
          <w:rFonts w:hint="eastAsia" w:eastAsia="仿宋_GB231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（图1：收支决算总计变动情况图）</w:t>
      </w:r>
    </w:p>
    <w:p>
      <w:pPr>
        <w:pStyle w:val="32"/>
        <w:spacing w:line="560" w:lineRule="exact"/>
        <w:ind w:firstLine="640"/>
        <w:outlineLvl w:val="1"/>
        <w:rPr>
          <w:rFonts w:ascii="黑体" w:hAnsi="黑体"/>
          <w:color w:val="000000"/>
          <w:szCs w:val="32"/>
        </w:rPr>
      </w:pPr>
      <w:r>
        <w:rPr>
          <w:rFonts w:hint="eastAsia" w:ascii="黑体" w:hAnsi="黑体"/>
          <w:color w:val="000000"/>
          <w:szCs w:val="32"/>
        </w:rPr>
        <w:t>二、收入决算情况说明</w:t>
      </w:r>
      <w:bookmarkEnd w:id="23"/>
      <w:bookmarkEnd w:id="24"/>
      <w:bookmarkEnd w:id="25"/>
    </w:p>
    <w:p>
      <w:pPr>
        <w:spacing w:line="560" w:lineRule="exact"/>
        <w:ind w:firstLine="640" w:firstLineChars="200"/>
        <w:rPr>
          <w:rFonts w:hint="eastAsia" w:ascii="仿宋_GB2312" w:hAnsi="仿宋" w:eastAsia="仿宋_GB2312"/>
          <w:color w:val="000000"/>
          <w:szCs w:val="32"/>
        </w:rPr>
      </w:pPr>
      <w:r>
        <w:rPr>
          <w:rFonts w:hint="eastAsia" w:ascii="仿宋_GB2312" w:hAnsi="仿宋" w:eastAsia="仿宋_GB2312"/>
          <w:color w:val="000000"/>
          <w:szCs w:val="32"/>
        </w:rPr>
        <w:t>2020年市金融服务中心本年收入合计</w:t>
      </w:r>
      <w:r>
        <w:rPr>
          <w:rFonts w:hint="eastAsia" w:ascii="仿宋_GB2312" w:hAnsi="仿宋" w:eastAsia="仿宋_GB2312"/>
          <w:color w:val="000000"/>
          <w:szCs w:val="32"/>
          <w:lang w:val="en-US" w:eastAsia="zh-CN"/>
        </w:rPr>
        <w:t>219.94</w:t>
      </w:r>
      <w:r>
        <w:rPr>
          <w:rFonts w:hint="eastAsia" w:ascii="仿宋_GB2312" w:hAnsi="仿宋" w:eastAsia="仿宋_GB2312"/>
          <w:color w:val="000000"/>
          <w:szCs w:val="32"/>
        </w:rPr>
        <w:t>万元，其中：一般公共预算财政拨款收入204.2</w:t>
      </w:r>
      <w:r>
        <w:rPr>
          <w:rFonts w:hint="eastAsia" w:ascii="仿宋_GB2312" w:hAnsi="仿宋" w:eastAsia="仿宋_GB2312"/>
          <w:color w:val="000000"/>
          <w:szCs w:val="32"/>
          <w:lang w:val="en-US" w:eastAsia="zh-CN"/>
        </w:rPr>
        <w:t>3</w:t>
      </w:r>
      <w:r>
        <w:rPr>
          <w:rFonts w:hint="eastAsia" w:ascii="仿宋_GB2312" w:hAnsi="仿宋" w:eastAsia="仿宋_GB2312"/>
          <w:color w:val="000000"/>
          <w:szCs w:val="32"/>
        </w:rPr>
        <w:t>万元，占9</w:t>
      </w:r>
      <w:r>
        <w:rPr>
          <w:rFonts w:hint="eastAsia" w:ascii="仿宋_GB2312" w:hAnsi="仿宋" w:eastAsia="仿宋_GB2312"/>
          <w:color w:val="000000"/>
          <w:szCs w:val="32"/>
          <w:lang w:val="en-US" w:eastAsia="zh-CN"/>
        </w:rPr>
        <w:t>3</w:t>
      </w:r>
      <w:r>
        <w:rPr>
          <w:rFonts w:hint="eastAsia" w:ascii="仿宋_GB2312" w:hAnsi="仿宋" w:eastAsia="仿宋_GB2312"/>
          <w:color w:val="000000"/>
          <w:szCs w:val="32"/>
        </w:rPr>
        <w:t>%；其他收入15.71万元，占</w:t>
      </w:r>
      <w:r>
        <w:rPr>
          <w:rFonts w:hint="eastAsia" w:ascii="仿宋_GB2312" w:hAnsi="仿宋" w:eastAsia="仿宋_GB2312"/>
          <w:color w:val="000000"/>
          <w:szCs w:val="32"/>
          <w:lang w:val="en-US" w:eastAsia="zh-CN"/>
        </w:rPr>
        <w:t>7</w:t>
      </w:r>
      <w:r>
        <w:rPr>
          <w:rFonts w:hint="eastAsia" w:ascii="仿宋_GB2312" w:hAnsi="仿宋" w:eastAsia="仿宋_GB2312"/>
          <w:color w:val="000000"/>
          <w:szCs w:val="32"/>
        </w:rPr>
        <w:t>%。</w:t>
      </w:r>
    </w:p>
    <w:p>
      <w:pPr>
        <w:pStyle w:val="2"/>
        <w:jc w:val="center"/>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240" w:lineRule="auto"/>
        <w:ind w:left="976" w:leftChars="305" w:firstLine="1285" w:firstLineChars="400"/>
        <w:jc w:val="both"/>
        <w:outlineLvl w:val="1"/>
      </w:pPr>
      <w:r>
        <w:rPr>
          <w:rFonts w:hint="eastAsia" w:ascii="仿宋_GB2312" w:hAnsi="仿宋_GB2312" w:eastAsia="仿宋_GB2312" w:cs="仿宋_GB2312"/>
          <w:b/>
          <w:bCs/>
          <w:color w:val="000000" w:themeColor="text1"/>
          <w:sz w:val="32"/>
          <w:szCs w:val="32"/>
          <w14:textFill>
            <w14:solidFill>
              <w14:schemeClr w14:val="tx1"/>
            </w14:solidFill>
          </w14:textFill>
        </w:rPr>
        <w:t>（图2：收入决算结构图）</w:t>
      </w:r>
    </w:p>
    <w:p>
      <w:pPr>
        <w:pStyle w:val="32"/>
        <w:spacing w:line="560" w:lineRule="exact"/>
        <w:ind w:firstLine="640"/>
        <w:outlineLvl w:val="1"/>
        <w:rPr>
          <w:rFonts w:ascii="黑体" w:hAnsi="黑体"/>
          <w:color w:val="000000"/>
          <w:szCs w:val="32"/>
        </w:rPr>
      </w:pPr>
      <w:bookmarkStart w:id="26" w:name="_Toc15377207"/>
      <w:bookmarkStart w:id="27" w:name="_Toc3874"/>
      <w:bookmarkStart w:id="28" w:name="_Toc26669"/>
      <w:r>
        <w:rPr>
          <w:rFonts w:hint="eastAsia" w:ascii="黑体" w:hAnsi="黑体"/>
          <w:color w:val="000000"/>
          <w:szCs w:val="32"/>
        </w:rPr>
        <w:t>三、支出决算情况说明</w:t>
      </w:r>
      <w:bookmarkEnd w:id="26"/>
      <w:bookmarkEnd w:id="27"/>
      <w:bookmarkEnd w:id="28"/>
    </w:p>
    <w:p>
      <w:pPr>
        <w:spacing w:line="560" w:lineRule="exact"/>
        <w:ind w:firstLine="640" w:firstLineChars="200"/>
        <w:rPr>
          <w:rFonts w:hint="eastAsia" w:ascii="仿宋_GB2312" w:hAnsi="仿宋" w:eastAsia="仿宋_GB2312"/>
          <w:color w:val="000000"/>
          <w:szCs w:val="32"/>
        </w:rPr>
      </w:pPr>
      <w:r>
        <w:rPr>
          <w:rFonts w:hint="eastAsia" w:ascii="仿宋_GB2312" w:hAnsi="仿宋" w:eastAsia="仿宋_GB2312"/>
          <w:color w:val="000000"/>
          <w:szCs w:val="32"/>
        </w:rPr>
        <w:t>2020年市金融服务中心本年支出合计</w:t>
      </w:r>
      <w:r>
        <w:rPr>
          <w:rFonts w:hint="eastAsia" w:ascii="仿宋_GB2312" w:hAnsi="仿宋" w:eastAsia="仿宋_GB2312"/>
          <w:color w:val="000000"/>
          <w:szCs w:val="32"/>
          <w:lang w:val="en-US" w:eastAsia="zh-CN"/>
        </w:rPr>
        <w:t>215</w:t>
      </w:r>
      <w:r>
        <w:rPr>
          <w:rFonts w:hint="eastAsia" w:ascii="仿宋_GB2312" w:hAnsi="仿宋" w:eastAsia="仿宋_GB2312"/>
          <w:color w:val="000000"/>
          <w:szCs w:val="32"/>
        </w:rPr>
        <w:t>万元，其中：基本支出20</w:t>
      </w:r>
      <w:r>
        <w:rPr>
          <w:rFonts w:hint="eastAsia" w:ascii="仿宋_GB2312" w:hAnsi="仿宋" w:eastAsia="仿宋_GB2312"/>
          <w:color w:val="000000"/>
          <w:szCs w:val="32"/>
          <w:lang w:val="en-US" w:eastAsia="zh-CN"/>
        </w:rPr>
        <w:t>1.4</w:t>
      </w:r>
      <w:r>
        <w:rPr>
          <w:rFonts w:hint="eastAsia" w:ascii="仿宋_GB2312" w:hAnsi="仿宋" w:eastAsia="仿宋_GB2312"/>
          <w:color w:val="000000"/>
          <w:szCs w:val="32"/>
        </w:rPr>
        <w:t>万元，占9</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%；项目支出13.6万元，占</w:t>
      </w:r>
      <w:r>
        <w:rPr>
          <w:rFonts w:hint="eastAsia" w:ascii="仿宋_GB2312" w:hAnsi="仿宋" w:eastAsia="仿宋_GB2312"/>
          <w:color w:val="000000"/>
          <w:szCs w:val="32"/>
          <w:lang w:val="en-US" w:eastAsia="zh-CN"/>
        </w:rPr>
        <w:t>6</w:t>
      </w:r>
      <w:r>
        <w:rPr>
          <w:rFonts w:hint="eastAsia" w:ascii="仿宋_GB2312" w:hAnsi="仿宋" w:eastAsia="仿宋_GB2312"/>
          <w:color w:val="000000"/>
          <w:szCs w:val="32"/>
        </w:rPr>
        <w:t>%。</w:t>
      </w:r>
    </w:p>
    <w:p>
      <w:pPr>
        <w:pStyle w:val="2"/>
        <w:jc w:val="center"/>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76" w:lineRule="exact"/>
        <w:ind w:firstLine="642" w:firstLineChars="200"/>
        <w:jc w:val="center"/>
        <w:rPr>
          <w:rFonts w:hint="eastAsia" w:eastAsia="仿宋_GB2312"/>
          <w:lang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（图3：支出决算结构图）</w:t>
      </w:r>
    </w:p>
    <w:p>
      <w:pPr>
        <w:pStyle w:val="32"/>
        <w:spacing w:line="560" w:lineRule="exact"/>
        <w:ind w:firstLine="640"/>
        <w:outlineLvl w:val="1"/>
        <w:rPr>
          <w:rFonts w:ascii="黑体" w:hAnsi="黑体"/>
          <w:color w:val="000000"/>
          <w:szCs w:val="32"/>
        </w:rPr>
      </w:pPr>
      <w:bookmarkStart w:id="29" w:name="_Toc489"/>
      <w:bookmarkStart w:id="30" w:name="_Toc5668"/>
      <w:bookmarkStart w:id="31" w:name="_Toc15377208"/>
      <w:r>
        <w:rPr>
          <w:rFonts w:hint="eastAsia" w:ascii="黑体" w:hAnsi="黑体"/>
          <w:color w:val="000000"/>
          <w:szCs w:val="32"/>
        </w:rPr>
        <w:t>四、财政拨款收入支出决算总体情况说明</w:t>
      </w:r>
      <w:bookmarkEnd w:id="29"/>
      <w:bookmarkEnd w:id="30"/>
      <w:bookmarkEnd w:id="31"/>
    </w:p>
    <w:p>
      <w:pPr>
        <w:spacing w:line="560" w:lineRule="exact"/>
        <w:ind w:firstLine="640" w:firstLineChars="200"/>
        <w:rPr>
          <w:rFonts w:hint="eastAsia" w:ascii="仿宋_GB2312" w:hAnsi="仿宋" w:eastAsia="仿宋_GB2312"/>
          <w:color w:val="000000"/>
          <w:szCs w:val="32"/>
        </w:rPr>
      </w:pPr>
      <w:r>
        <w:rPr>
          <w:rFonts w:hint="eastAsia" w:ascii="仿宋_GB2312" w:hAnsi="仿宋" w:eastAsia="仿宋_GB2312"/>
          <w:color w:val="000000"/>
          <w:szCs w:val="32"/>
        </w:rPr>
        <w:t>2020年度财政拨款收、支总计</w:t>
      </w:r>
      <w:r>
        <w:rPr>
          <w:rFonts w:hint="eastAsia" w:ascii="仿宋_GB2312" w:hAnsi="仿宋" w:eastAsia="仿宋_GB2312"/>
          <w:color w:val="000000"/>
          <w:szCs w:val="32"/>
          <w:lang w:val="en-US" w:eastAsia="zh-CN"/>
        </w:rPr>
        <w:t>204.29</w:t>
      </w:r>
      <w:r>
        <w:rPr>
          <w:rFonts w:hint="eastAsia" w:ascii="仿宋_GB2312" w:hAnsi="仿宋" w:eastAsia="仿宋_GB2312"/>
          <w:color w:val="000000"/>
          <w:szCs w:val="32"/>
        </w:rPr>
        <w:t>万元。与2019年相比，财政拨款收、支总计减少</w:t>
      </w:r>
      <w:r>
        <w:rPr>
          <w:rFonts w:hint="eastAsia" w:ascii="仿宋_GB2312" w:hAnsi="仿宋" w:eastAsia="仿宋_GB2312"/>
          <w:color w:val="000000"/>
          <w:szCs w:val="32"/>
          <w:lang w:val="en-US" w:eastAsia="zh-CN"/>
        </w:rPr>
        <w:t>51.97</w:t>
      </w:r>
      <w:r>
        <w:rPr>
          <w:rFonts w:hint="eastAsia" w:ascii="仿宋_GB2312" w:hAnsi="仿宋" w:eastAsia="仿宋_GB2312"/>
          <w:color w:val="000000"/>
          <w:szCs w:val="32"/>
        </w:rPr>
        <w:t>万元，减少</w:t>
      </w:r>
      <w:r>
        <w:rPr>
          <w:rFonts w:hint="eastAsia" w:ascii="仿宋_GB2312" w:hAnsi="仿宋" w:eastAsia="仿宋_GB2312"/>
          <w:color w:val="000000"/>
          <w:szCs w:val="32"/>
          <w:lang w:val="en-US" w:eastAsia="zh-CN"/>
        </w:rPr>
        <w:t>20.21</w:t>
      </w:r>
      <w:r>
        <w:rPr>
          <w:rFonts w:hint="eastAsia" w:ascii="仿宋_GB2312" w:hAnsi="仿宋" w:eastAsia="仿宋_GB2312"/>
          <w:color w:val="000000"/>
          <w:szCs w:val="32"/>
        </w:rPr>
        <w:t>%。主要变动原因是按</w:t>
      </w:r>
      <w:r>
        <w:rPr>
          <w:rFonts w:hint="eastAsia" w:ascii="仿宋_GB2312" w:hAnsi="仿宋" w:eastAsia="仿宋_GB2312"/>
          <w:color w:val="000000"/>
          <w:szCs w:val="32"/>
          <w:lang w:val="en-US" w:eastAsia="zh-CN"/>
        </w:rPr>
        <w:t>照</w:t>
      </w:r>
      <w:r>
        <w:rPr>
          <w:rFonts w:hint="eastAsia" w:ascii="仿宋_GB2312" w:hAnsi="仿宋" w:eastAsia="仿宋_GB2312"/>
          <w:color w:val="000000"/>
          <w:szCs w:val="32"/>
        </w:rPr>
        <w:t>市委、市政府的要求，厉行节约,压缩支出。</w:t>
      </w:r>
    </w:p>
    <w:p>
      <w:pPr>
        <w:pStyle w:val="2"/>
        <w:jc w:val="center"/>
        <w:rPr>
          <w:rFonts w:hint="eastAsia" w:ascii="仿宋_GB2312" w:hAnsi="仿宋" w:eastAsia="仿宋_GB2312"/>
          <w:color w:val="000000"/>
          <w:szCs w:val="32"/>
          <w:lang w:eastAsia="zh-CN"/>
        </w:rPr>
      </w:pPr>
      <w:r>
        <w:rPr>
          <w:rFonts w:hint="eastAsia" w:ascii="仿宋_GB2312" w:hAnsi="仿宋" w:eastAsia="仿宋_GB2312"/>
          <w:color w:val="000000"/>
          <w:szCs w:val="32"/>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ind w:firstLine="642" w:firstLineChars="200"/>
        <w:jc w:val="center"/>
        <w:rPr>
          <w:rFonts w:hint="eastAsia" w:ascii="仿宋_GB2312" w:hAnsi="仿宋" w:eastAsia="仿宋_GB2312"/>
          <w:color w:val="000000"/>
          <w:szCs w:val="32"/>
          <w:lang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（图4：财政拨款收、支决算总计变动情况）</w:t>
      </w:r>
    </w:p>
    <w:p>
      <w:pPr>
        <w:spacing w:line="560" w:lineRule="exact"/>
        <w:ind w:firstLine="640" w:firstLineChars="200"/>
        <w:outlineLvl w:val="1"/>
        <w:rPr>
          <w:rStyle w:val="34"/>
          <w:rFonts w:ascii="黑体" w:hAnsi="黑体"/>
          <w:b w:val="0"/>
        </w:rPr>
      </w:pPr>
      <w:bookmarkStart w:id="32" w:name="_Toc15377209"/>
      <w:bookmarkStart w:id="33" w:name="_Toc23584"/>
      <w:bookmarkStart w:id="34" w:name="_Toc30529"/>
      <w:r>
        <w:rPr>
          <w:rStyle w:val="34"/>
          <w:rFonts w:hint="eastAsia" w:ascii="黑体" w:hAnsi="黑体"/>
          <w:b w:val="0"/>
        </w:rPr>
        <w:t>五、一般公共预算财政拨款支出决算情况说明</w:t>
      </w:r>
      <w:bookmarkEnd w:id="32"/>
      <w:bookmarkEnd w:id="33"/>
      <w:bookmarkEnd w:id="34"/>
    </w:p>
    <w:p>
      <w:pPr>
        <w:spacing w:line="600" w:lineRule="exact"/>
        <w:ind w:firstLine="640" w:firstLineChars="200"/>
        <w:outlineLvl w:val="2"/>
        <w:rPr>
          <w:rFonts w:ascii="楷体_GB2312" w:hAnsi="仿宋" w:eastAsia="楷体_GB2312"/>
          <w:color w:val="000000"/>
          <w:szCs w:val="32"/>
        </w:rPr>
      </w:pPr>
      <w:bookmarkStart w:id="35" w:name="_Toc22200"/>
      <w:bookmarkStart w:id="36" w:name="_Toc15377210"/>
      <w:r>
        <w:rPr>
          <w:rFonts w:hint="eastAsia" w:ascii="楷体_GB2312" w:hAnsi="仿宋" w:eastAsia="楷体_GB2312"/>
          <w:color w:val="000000"/>
          <w:szCs w:val="32"/>
        </w:rPr>
        <w:t>（一）一般公共预算财政拨款支出决算总体情况</w:t>
      </w:r>
      <w:bookmarkEnd w:id="35"/>
      <w:bookmarkEnd w:id="36"/>
    </w:p>
    <w:p>
      <w:pPr>
        <w:spacing w:line="600" w:lineRule="exact"/>
        <w:ind w:firstLine="640" w:firstLineChars="200"/>
        <w:rPr>
          <w:rFonts w:hint="eastAsia" w:ascii="仿宋_GB2312" w:hAnsi="仿宋" w:eastAsia="仿宋_GB2312"/>
          <w:color w:val="000000"/>
          <w:szCs w:val="32"/>
        </w:rPr>
      </w:pPr>
      <w:r>
        <w:rPr>
          <w:rFonts w:hint="eastAsia" w:ascii="仿宋_GB2312" w:hAnsi="仿宋" w:eastAsia="仿宋_GB2312"/>
          <w:color w:val="000000"/>
          <w:szCs w:val="32"/>
        </w:rPr>
        <w:t>2020年一般公共预算财政拨款支出199.28万元，占本年度支出合计的</w:t>
      </w:r>
      <w:r>
        <w:rPr>
          <w:rFonts w:hint="eastAsia" w:ascii="仿宋_GB2312" w:hAnsi="仿宋" w:eastAsia="仿宋_GB2312"/>
          <w:color w:val="000000"/>
          <w:szCs w:val="32"/>
          <w:lang w:val="en-US" w:eastAsia="zh-CN"/>
        </w:rPr>
        <w:t>92.69</w:t>
      </w:r>
      <w:r>
        <w:rPr>
          <w:rFonts w:hint="eastAsia" w:ascii="仿宋_GB2312" w:hAnsi="仿宋" w:eastAsia="仿宋_GB2312"/>
          <w:color w:val="000000"/>
          <w:szCs w:val="32"/>
        </w:rPr>
        <w:t>%。与2019年相比，一般公共预算财政拨款减少</w:t>
      </w:r>
      <w:r>
        <w:rPr>
          <w:rFonts w:hint="eastAsia" w:ascii="仿宋_GB2312" w:hAnsi="仿宋" w:eastAsia="仿宋_GB2312"/>
          <w:color w:val="000000"/>
          <w:szCs w:val="32"/>
          <w:highlight w:val="none"/>
          <w:lang w:val="en-US" w:eastAsia="zh-CN"/>
        </w:rPr>
        <w:t>60.29</w:t>
      </w:r>
      <w:r>
        <w:rPr>
          <w:rFonts w:hint="eastAsia" w:ascii="仿宋_GB2312" w:hAnsi="仿宋" w:eastAsia="仿宋_GB2312"/>
          <w:color w:val="000000"/>
          <w:szCs w:val="32"/>
        </w:rPr>
        <w:t>万元，下降</w:t>
      </w:r>
      <w:r>
        <w:rPr>
          <w:rFonts w:hint="eastAsia" w:ascii="仿宋_GB2312" w:hAnsi="仿宋" w:eastAsia="仿宋_GB2312"/>
          <w:color w:val="000000"/>
          <w:szCs w:val="32"/>
          <w:lang w:val="en-US" w:eastAsia="zh-CN"/>
        </w:rPr>
        <w:t>23</w:t>
      </w:r>
      <w:r>
        <w:rPr>
          <w:rFonts w:hint="eastAsia" w:ascii="仿宋_GB2312" w:hAnsi="仿宋" w:eastAsia="仿宋_GB2312"/>
          <w:color w:val="000000"/>
          <w:szCs w:val="32"/>
        </w:rPr>
        <w:t>%。主要是按</w:t>
      </w:r>
      <w:r>
        <w:rPr>
          <w:rFonts w:hint="eastAsia" w:ascii="仿宋_GB2312" w:hAnsi="仿宋" w:eastAsia="仿宋_GB2312"/>
          <w:color w:val="000000"/>
          <w:szCs w:val="32"/>
          <w:lang w:val="en-US" w:eastAsia="zh-CN"/>
        </w:rPr>
        <w:t>照</w:t>
      </w:r>
      <w:r>
        <w:rPr>
          <w:rFonts w:hint="eastAsia" w:ascii="仿宋_GB2312" w:hAnsi="仿宋" w:eastAsia="仿宋_GB2312"/>
          <w:color w:val="000000"/>
          <w:szCs w:val="32"/>
        </w:rPr>
        <w:t>市委、市政府的要求，厉行节约,压缩支出。</w:t>
      </w:r>
    </w:p>
    <w:p>
      <w:pPr>
        <w:pStyle w:val="2"/>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2" w:firstLineChars="200"/>
        <w:outlineLvl w:val="2"/>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bookmarkStart w:id="37" w:name="_Toc3260"/>
      <w:bookmarkStart w:id="38" w:name="_Toc15377211"/>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（图5：一般公共预算财政拨款支出决算变动情况）</w:t>
      </w:r>
    </w:p>
    <w:p>
      <w:pPr>
        <w:spacing w:line="600" w:lineRule="exact"/>
        <w:ind w:firstLine="640" w:firstLineChars="200"/>
        <w:outlineLvl w:val="2"/>
        <w:rPr>
          <w:rFonts w:ascii="楷体_GB2312" w:hAnsi="仿宋" w:eastAsia="楷体_GB2312"/>
          <w:szCs w:val="32"/>
        </w:rPr>
      </w:pPr>
      <w:r>
        <w:rPr>
          <w:rFonts w:hint="eastAsia" w:ascii="楷体_GB2312" w:hAnsi="仿宋" w:eastAsia="楷体_GB2312"/>
          <w:szCs w:val="32"/>
        </w:rPr>
        <w:t>（二）一般公共预算财政拨款支出决算结构情况</w:t>
      </w:r>
      <w:bookmarkEnd w:id="37"/>
      <w:bookmarkEnd w:id="38"/>
    </w:p>
    <w:p>
      <w:pPr>
        <w:spacing w:line="600" w:lineRule="exact"/>
        <w:ind w:firstLine="640" w:firstLineChars="200"/>
        <w:rPr>
          <w:rFonts w:hint="eastAsia" w:ascii="仿宋_GB2312" w:hAnsi="仿宋" w:eastAsia="仿宋_GB2312"/>
          <w:color w:val="000000"/>
          <w:szCs w:val="32"/>
        </w:rPr>
      </w:pPr>
      <w:r>
        <w:rPr>
          <w:rFonts w:hint="eastAsia" w:ascii="仿宋_GB2312" w:hAnsi="仿宋" w:eastAsia="仿宋_GB2312"/>
          <w:color w:val="000000"/>
          <w:szCs w:val="32"/>
        </w:rPr>
        <w:t>2020年一般公共预算财政拨款支出199.2</w:t>
      </w:r>
      <w:r>
        <w:rPr>
          <w:rFonts w:hint="eastAsia" w:ascii="仿宋_GB2312" w:hAnsi="仿宋" w:eastAsia="仿宋_GB2312"/>
          <w:color w:val="000000"/>
          <w:szCs w:val="32"/>
          <w:lang w:val="en-US" w:eastAsia="zh-CN"/>
        </w:rPr>
        <w:t>9</w:t>
      </w:r>
      <w:r>
        <w:rPr>
          <w:rFonts w:hint="eastAsia" w:ascii="仿宋_GB2312" w:hAnsi="仿宋" w:eastAsia="仿宋_GB2312"/>
          <w:color w:val="000000"/>
          <w:szCs w:val="32"/>
        </w:rPr>
        <w:t>万元，主要用于以下方面:一般公共服务支出</w:t>
      </w:r>
      <w:r>
        <w:rPr>
          <w:rFonts w:hint="eastAsia" w:ascii="仿宋_GB2312" w:hAnsi="仿宋" w:eastAsia="仿宋_GB2312"/>
          <w:color w:val="000000"/>
          <w:szCs w:val="32"/>
          <w:lang w:val="en-US" w:eastAsia="zh-CN"/>
        </w:rPr>
        <w:t>165.57万元，占83.08%；</w:t>
      </w:r>
      <w:r>
        <w:rPr>
          <w:rFonts w:hint="eastAsia" w:ascii="仿宋_GB2312" w:hAnsi="仿宋" w:eastAsia="仿宋_GB2312"/>
          <w:color w:val="000000"/>
          <w:szCs w:val="32"/>
        </w:rPr>
        <w:t>社会保障和就业支出12.3</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万元，占6</w:t>
      </w:r>
      <w:r>
        <w:rPr>
          <w:rFonts w:hint="eastAsia" w:ascii="仿宋_GB2312" w:hAnsi="仿宋" w:eastAsia="仿宋_GB2312"/>
          <w:color w:val="000000"/>
          <w:szCs w:val="32"/>
          <w:lang w:val="en-US" w:eastAsia="zh-CN"/>
        </w:rPr>
        <w:t>.19</w:t>
      </w:r>
      <w:r>
        <w:rPr>
          <w:rFonts w:hint="eastAsia" w:ascii="仿宋_GB2312" w:hAnsi="仿宋" w:eastAsia="仿宋_GB2312"/>
          <w:color w:val="000000"/>
          <w:szCs w:val="32"/>
        </w:rPr>
        <w:t>%；</w:t>
      </w:r>
      <w:r>
        <w:rPr>
          <w:rFonts w:hint="eastAsia" w:ascii="仿宋_GB2312" w:hAnsi="仿宋" w:eastAsia="仿宋_GB2312"/>
          <w:color w:val="000000"/>
          <w:szCs w:val="32"/>
          <w:lang w:eastAsia="zh-CN"/>
        </w:rPr>
        <w:t>卫生健康</w:t>
      </w:r>
      <w:r>
        <w:rPr>
          <w:rFonts w:hint="eastAsia" w:ascii="仿宋_GB2312" w:hAnsi="仿宋" w:eastAsia="仿宋_GB2312"/>
          <w:color w:val="000000"/>
          <w:szCs w:val="32"/>
        </w:rPr>
        <w:t>支出8.55万元，占4.2</w:t>
      </w:r>
      <w:r>
        <w:rPr>
          <w:rFonts w:hint="eastAsia" w:ascii="仿宋_GB2312" w:hAnsi="仿宋" w:eastAsia="仿宋_GB2312"/>
          <w:color w:val="000000"/>
          <w:szCs w:val="32"/>
          <w:lang w:val="en-US" w:eastAsia="zh-CN"/>
        </w:rPr>
        <w:t>9</w:t>
      </w:r>
      <w:r>
        <w:rPr>
          <w:rFonts w:hint="eastAsia" w:ascii="仿宋_GB2312" w:hAnsi="仿宋" w:eastAsia="仿宋_GB2312"/>
          <w:color w:val="000000"/>
          <w:szCs w:val="32"/>
        </w:rPr>
        <w:t>%；住房保障支出12.83万元，占6.</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4%。</w:t>
      </w:r>
    </w:p>
    <w:p>
      <w:pPr>
        <w:pStyle w:val="2"/>
        <w:jc w:val="center"/>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ageBreakBefore w:val="0"/>
        <w:kinsoku/>
        <w:wordWrap/>
        <w:overflowPunct/>
        <w:topLinePunct w:val="0"/>
        <w:bidi w:val="0"/>
        <w:spacing w:line="576" w:lineRule="exact"/>
        <w:ind w:firstLine="642" w:firstLineChars="200"/>
        <w:rPr>
          <w:rFonts w:hint="eastAsia" w:eastAsia="仿宋_GB2312"/>
          <w:lang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（图6：一般公共预算财政拨款支出决算结构）</w:t>
      </w:r>
    </w:p>
    <w:p>
      <w:pPr>
        <w:spacing w:line="600" w:lineRule="exact"/>
        <w:ind w:firstLine="640" w:firstLineChars="200"/>
        <w:outlineLvl w:val="2"/>
        <w:rPr>
          <w:rFonts w:ascii="楷体_GB2312" w:hAnsi="仿宋" w:eastAsia="楷体_GB2312"/>
          <w:color w:val="000000"/>
          <w:szCs w:val="32"/>
        </w:rPr>
      </w:pPr>
      <w:bookmarkStart w:id="39" w:name="_Toc15377212"/>
      <w:bookmarkStart w:id="40" w:name="_Toc5884"/>
      <w:r>
        <w:rPr>
          <w:rFonts w:hint="eastAsia" w:ascii="楷体_GB2312" w:hAnsi="仿宋" w:eastAsia="楷体_GB2312"/>
          <w:color w:val="000000"/>
          <w:szCs w:val="32"/>
        </w:rPr>
        <w:t>（三）一般公共预算财政拨款支出决算具体情况</w:t>
      </w:r>
      <w:bookmarkEnd w:id="39"/>
      <w:bookmarkEnd w:id="40"/>
    </w:p>
    <w:p>
      <w:pPr>
        <w:spacing w:line="560" w:lineRule="exact"/>
        <w:ind w:firstLine="640" w:firstLineChars="200"/>
        <w:rPr>
          <w:rFonts w:hint="eastAsia" w:ascii="仿宋_GB2312" w:hAnsi="仿宋" w:eastAsia="仿宋_GB2312"/>
          <w:color w:val="000000"/>
          <w:szCs w:val="32"/>
        </w:rPr>
      </w:pPr>
      <w:bookmarkStart w:id="41" w:name="_Toc15377444"/>
      <w:bookmarkStart w:id="42" w:name="_Toc15377213"/>
      <w:bookmarkStart w:id="43" w:name="_Toc15378460"/>
      <w:r>
        <w:rPr>
          <w:rFonts w:hint="eastAsia" w:ascii="仿宋_GB2312" w:hAnsi="仿宋" w:eastAsia="仿宋_GB2312"/>
          <w:color w:val="000000"/>
          <w:szCs w:val="32"/>
        </w:rPr>
        <w:t>2020年一般公共预算支出决算数为</w:t>
      </w:r>
      <w:r>
        <w:rPr>
          <w:rFonts w:hint="eastAsia" w:ascii="仿宋_GB2312" w:hAnsi="仿宋" w:eastAsia="仿宋_GB2312"/>
          <w:color w:val="000000"/>
          <w:szCs w:val="32"/>
          <w:lang w:val="en-US" w:eastAsia="zh-CN"/>
        </w:rPr>
        <w:t>199.29</w:t>
      </w:r>
      <w:r>
        <w:rPr>
          <w:rFonts w:hint="eastAsia" w:ascii="仿宋_GB2312" w:hAnsi="仿宋" w:eastAsia="仿宋_GB2312"/>
          <w:color w:val="000000"/>
          <w:szCs w:val="32"/>
        </w:rPr>
        <w:t>万元，完成预算9</w:t>
      </w:r>
      <w:r>
        <w:rPr>
          <w:rFonts w:hint="eastAsia" w:ascii="仿宋_GB2312" w:hAnsi="仿宋" w:eastAsia="仿宋_GB2312"/>
          <w:color w:val="000000"/>
          <w:szCs w:val="32"/>
          <w:lang w:val="en-US" w:eastAsia="zh-CN"/>
        </w:rPr>
        <w:t>7.7</w:t>
      </w:r>
      <w:r>
        <w:rPr>
          <w:rFonts w:hint="eastAsia" w:ascii="仿宋_GB2312" w:hAnsi="仿宋" w:eastAsia="仿宋_GB2312"/>
          <w:color w:val="000000"/>
          <w:szCs w:val="32"/>
        </w:rPr>
        <w:t>%。</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Cs w:val="32"/>
        </w:rPr>
      </w:pPr>
      <w:r>
        <w:rPr>
          <w:rFonts w:hint="eastAsia" w:ascii="仿宋_GB2312" w:hAnsi="仿宋" w:eastAsia="仿宋_GB2312"/>
          <w:color w:val="000000"/>
          <w:szCs w:val="32"/>
          <w:lang w:val="en-US" w:eastAsia="zh-CN"/>
        </w:rPr>
        <w:t>1.</w:t>
      </w:r>
      <w:r>
        <w:rPr>
          <w:rFonts w:hint="eastAsia" w:ascii="仿宋_GB2312" w:hAnsi="仿宋" w:eastAsia="仿宋_GB2312"/>
          <w:color w:val="000000"/>
          <w:szCs w:val="32"/>
        </w:rPr>
        <w:t>一般公共服务（类）政府办公厅（室）及相关机构事务（款）行政运行（项）:支出决算为</w:t>
      </w:r>
      <w:r>
        <w:rPr>
          <w:rFonts w:hint="eastAsia" w:ascii="仿宋_GB2312" w:hAnsi="仿宋" w:eastAsia="仿宋_GB2312"/>
          <w:color w:val="000000"/>
          <w:szCs w:val="32"/>
          <w:lang w:val="en-US" w:eastAsia="zh-CN"/>
        </w:rPr>
        <w:t>151.97</w:t>
      </w:r>
      <w:r>
        <w:rPr>
          <w:rFonts w:hint="eastAsia" w:ascii="仿宋_GB2312" w:hAnsi="仿宋" w:eastAsia="仿宋_GB2312"/>
          <w:color w:val="000000"/>
          <w:szCs w:val="32"/>
        </w:rPr>
        <w:t>万元，完成预算</w:t>
      </w:r>
      <w:r>
        <w:rPr>
          <w:rFonts w:hint="eastAsia" w:ascii="仿宋_GB2312" w:hAnsi="仿宋" w:eastAsia="仿宋_GB2312"/>
          <w:color w:val="000000"/>
          <w:szCs w:val="32"/>
          <w:lang w:val="en-US" w:eastAsia="zh-CN"/>
        </w:rPr>
        <w:t>96.8</w:t>
      </w:r>
      <w:r>
        <w:rPr>
          <w:rFonts w:hint="eastAsia" w:ascii="仿宋_GB2312" w:hAnsi="仿宋" w:eastAsia="仿宋_GB2312"/>
          <w:color w:val="000000"/>
          <w:szCs w:val="32"/>
        </w:rPr>
        <w:t>%</w:t>
      </w:r>
      <w:r>
        <w:rPr>
          <w:rFonts w:hint="eastAsia" w:ascii="仿宋_GB2312" w:hAnsi="仿宋" w:eastAsia="仿宋_GB2312"/>
          <w:color w:val="000000"/>
          <w:szCs w:val="32"/>
          <w:lang w:val="en-US" w:eastAsia="zh-CN"/>
        </w:rPr>
        <w:t>,原因为</w:t>
      </w:r>
      <w:r>
        <w:rPr>
          <w:rStyle w:val="23"/>
          <w:rFonts w:hint="eastAsia" w:ascii="仿宋" w:hAnsi="仿宋" w:eastAsia="仿宋"/>
          <w:b w:val="0"/>
          <w:bCs/>
          <w:color w:val="000000"/>
          <w:sz w:val="32"/>
          <w:szCs w:val="32"/>
        </w:rPr>
        <w:t>发生的部分费用</w:t>
      </w:r>
      <w:r>
        <w:rPr>
          <w:rStyle w:val="23"/>
          <w:rFonts w:hint="eastAsia" w:ascii="仿宋" w:hAnsi="仿宋" w:eastAsia="仿宋"/>
          <w:b w:val="0"/>
          <w:bCs/>
          <w:color w:val="000000"/>
          <w:sz w:val="32"/>
          <w:szCs w:val="32"/>
          <w:lang w:eastAsia="zh-CN"/>
        </w:rPr>
        <w:t>需要</w:t>
      </w:r>
      <w:r>
        <w:rPr>
          <w:rStyle w:val="23"/>
          <w:rFonts w:hint="eastAsia" w:ascii="仿宋" w:hAnsi="仿宋" w:eastAsia="仿宋"/>
          <w:b w:val="0"/>
          <w:bCs/>
          <w:color w:val="000000"/>
          <w:sz w:val="32"/>
          <w:szCs w:val="32"/>
        </w:rPr>
        <w:t>在2021年</w:t>
      </w:r>
      <w:r>
        <w:rPr>
          <w:rStyle w:val="23"/>
          <w:rFonts w:hint="eastAsia" w:ascii="仿宋" w:hAnsi="仿宋" w:eastAsia="仿宋"/>
          <w:b w:val="0"/>
          <w:bCs/>
          <w:color w:val="000000"/>
          <w:sz w:val="32"/>
          <w:szCs w:val="32"/>
          <w:lang w:eastAsia="zh-CN"/>
        </w:rPr>
        <w:t>初</w:t>
      </w:r>
      <w:r>
        <w:rPr>
          <w:rStyle w:val="23"/>
          <w:rFonts w:hint="eastAsia" w:ascii="仿宋" w:hAnsi="仿宋" w:eastAsia="仿宋"/>
          <w:b w:val="0"/>
          <w:bCs/>
          <w:color w:val="000000"/>
          <w:sz w:val="32"/>
          <w:szCs w:val="32"/>
        </w:rPr>
        <w:t>支付</w:t>
      </w:r>
      <w:r>
        <w:rPr>
          <w:rFonts w:hint="eastAsia" w:ascii="仿宋_GB2312" w:hAnsi="仿宋" w:eastAsia="仿宋_GB2312"/>
          <w:color w:val="00000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Cs w:val="32"/>
          <w:lang w:val="en-US" w:eastAsia="zh-CN"/>
        </w:rPr>
      </w:pPr>
      <w:r>
        <w:rPr>
          <w:rFonts w:hint="eastAsia" w:ascii="仿宋_GB2312" w:hAnsi="仿宋" w:eastAsia="仿宋_GB2312"/>
          <w:color w:val="000000"/>
          <w:szCs w:val="32"/>
          <w:lang w:val="en-US" w:eastAsia="zh-CN"/>
        </w:rPr>
        <w:t>2.一般公共服务（类）政府办公厅（室）及相关机构事务（款）一般行政管理事务（项）:</w:t>
      </w:r>
      <w:r>
        <w:rPr>
          <w:rStyle w:val="23"/>
          <w:rFonts w:hint="eastAsia" w:ascii="仿宋" w:hAnsi="仿宋" w:eastAsia="仿宋"/>
          <w:b w:val="0"/>
          <w:bCs/>
          <w:color w:val="000000"/>
          <w:sz w:val="32"/>
          <w:szCs w:val="32"/>
        </w:rPr>
        <w:t>支出决算为13.6</w:t>
      </w:r>
      <w:r>
        <w:rPr>
          <w:rStyle w:val="23"/>
          <w:rFonts w:hint="eastAsia" w:ascii="仿宋" w:hAnsi="仿宋" w:eastAsia="仿宋"/>
          <w:b w:val="0"/>
          <w:bCs/>
          <w:color w:val="000000"/>
          <w:sz w:val="32"/>
          <w:szCs w:val="32"/>
          <w:lang w:eastAsia="zh-CN"/>
        </w:rPr>
        <w:t>万元，</w:t>
      </w:r>
      <w:r>
        <w:rPr>
          <w:rFonts w:hint="eastAsia" w:ascii="仿宋_GB2312" w:hAnsi="仿宋" w:eastAsia="仿宋_GB2312"/>
          <w:color w:val="000000"/>
          <w:szCs w:val="32"/>
        </w:rPr>
        <w:t>完成预算</w:t>
      </w:r>
      <w:r>
        <w:rPr>
          <w:rFonts w:hint="eastAsia" w:ascii="仿宋_GB2312" w:hAnsi="仿宋" w:eastAsia="仿宋_GB2312"/>
          <w:color w:val="000000"/>
          <w:szCs w:val="32"/>
          <w:lang w:val="en-US" w:eastAsia="zh-CN"/>
        </w:rPr>
        <w:t>100</w:t>
      </w:r>
      <w:r>
        <w:rPr>
          <w:rFonts w:hint="eastAsia" w:ascii="仿宋_GB2312" w:hAnsi="仿宋" w:eastAsia="仿宋_GB2312"/>
          <w:color w:val="000000"/>
          <w:szCs w:val="32"/>
        </w:rPr>
        <w:t>%</w:t>
      </w:r>
      <w:r>
        <w:rPr>
          <w:rFonts w:hint="eastAsia" w:ascii="仿宋_GB2312" w:hAnsi="仿宋" w:eastAsia="仿宋_GB2312"/>
          <w:color w:val="00000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Cs w:val="32"/>
        </w:rPr>
      </w:pPr>
      <w:r>
        <w:rPr>
          <w:rFonts w:hint="eastAsia" w:ascii="仿宋_GB2312" w:hAnsi="仿宋" w:eastAsia="仿宋_GB2312"/>
          <w:color w:val="000000"/>
          <w:szCs w:val="32"/>
          <w:lang w:val="en-US" w:eastAsia="zh-CN"/>
        </w:rPr>
        <w:t>3.</w:t>
      </w:r>
      <w:r>
        <w:rPr>
          <w:rFonts w:hint="eastAsia" w:ascii="仿宋_GB2312" w:hAnsi="仿宋" w:eastAsia="仿宋_GB2312"/>
          <w:color w:val="000000"/>
          <w:szCs w:val="32"/>
        </w:rPr>
        <w:t>社会保障和就业（类）事业单位离退休（款）机关事业单位基本养老保险缴费支出（项）：支出决算数为12.3</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Cs w:val="32"/>
        </w:rPr>
      </w:pP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.卫生健康（类）行政事业单位医疗（款）事业单位医疗（项）:支出决算数8.55万元，完成预算100%。</w:t>
      </w:r>
    </w:p>
    <w:p>
      <w:pPr>
        <w:spacing w:line="560" w:lineRule="exact"/>
        <w:ind w:firstLine="640" w:firstLineChars="200"/>
        <w:rPr>
          <w:rStyle w:val="23"/>
          <w:rFonts w:ascii="仿宋_GB2312" w:hAnsi="仿宋" w:eastAsia="仿宋_GB2312" w:cs="方正仿宋简体"/>
          <w:b w:val="0"/>
          <w:szCs w:val="32"/>
        </w:rPr>
      </w:pPr>
      <w:r>
        <w:rPr>
          <w:rFonts w:hint="eastAsia" w:ascii="仿宋_GB2312" w:hAnsi="仿宋" w:eastAsia="仿宋_GB2312"/>
          <w:color w:val="000000"/>
          <w:szCs w:val="32"/>
          <w:lang w:val="en-US" w:eastAsia="zh-CN"/>
        </w:rPr>
        <w:t>5</w:t>
      </w:r>
      <w:r>
        <w:rPr>
          <w:rFonts w:hint="eastAsia" w:ascii="仿宋_GB2312" w:hAnsi="仿宋" w:eastAsia="仿宋_GB2312"/>
          <w:color w:val="000000"/>
          <w:szCs w:val="32"/>
        </w:rPr>
        <w:t>.住房保障支出（类）住房改革支出</w:t>
      </w:r>
      <w:r>
        <w:rPr>
          <w:rFonts w:hint="eastAsia" w:ascii="仿宋_GB2312" w:hAnsi="仿宋" w:eastAsia="仿宋_GB2312"/>
          <w:color w:val="000000"/>
          <w:szCs w:val="32"/>
          <w:lang w:val="en-US" w:eastAsia="zh-CN"/>
        </w:rPr>
        <w:t>(款）</w:t>
      </w:r>
      <w:r>
        <w:rPr>
          <w:rFonts w:hint="eastAsia" w:ascii="仿宋_GB2312" w:hAnsi="仿宋" w:eastAsia="仿宋_GB2312"/>
          <w:color w:val="000000"/>
          <w:szCs w:val="32"/>
        </w:rPr>
        <w:t>住房公积金（项）：2020年决算数为12.83万元，完成预算100%。</w:t>
      </w:r>
    </w:p>
    <w:p>
      <w:pPr>
        <w:tabs>
          <w:tab w:val="right" w:pos="8306"/>
        </w:tabs>
        <w:spacing w:line="600" w:lineRule="exact"/>
        <w:ind w:firstLine="640"/>
        <w:outlineLvl w:val="1"/>
        <w:rPr>
          <w:rStyle w:val="34"/>
          <w:rFonts w:ascii="黑体" w:hAnsi="黑体"/>
        </w:rPr>
      </w:pPr>
      <w:bookmarkStart w:id="44" w:name="_Toc23109"/>
      <w:bookmarkStart w:id="45" w:name="_Toc26846"/>
      <w:bookmarkStart w:id="46" w:name="_Toc15377214"/>
      <w:r>
        <w:rPr>
          <w:rStyle w:val="34"/>
          <w:rFonts w:hint="eastAsia" w:ascii="黑体" w:hAnsi="黑体"/>
          <w:b w:val="0"/>
        </w:rPr>
        <w:t>六、一般公共预算财政拨款基本支出决算情况说明</w:t>
      </w:r>
      <w:bookmarkEnd w:id="44"/>
      <w:bookmarkEnd w:id="45"/>
      <w:bookmarkEnd w:id="46"/>
      <w:r>
        <w:rPr>
          <w:rStyle w:val="34"/>
          <w:rFonts w:ascii="黑体" w:hAnsi="黑体"/>
          <w:b w:val="0"/>
        </w:rPr>
        <w:tab/>
      </w:r>
    </w:p>
    <w:p>
      <w:pPr>
        <w:topLinePunct/>
        <w:spacing w:line="560" w:lineRule="exact"/>
        <w:ind w:firstLine="646"/>
        <w:rPr>
          <w:rFonts w:ascii="仿宋_GB2312" w:hAnsi="仿宋" w:eastAsia="仿宋_GB2312"/>
          <w:color w:val="000000"/>
          <w:szCs w:val="32"/>
        </w:rPr>
      </w:pPr>
      <w:r>
        <w:rPr>
          <w:rFonts w:hint="eastAsia" w:ascii="仿宋_GB2312" w:hAnsi="仿宋" w:eastAsia="仿宋_GB2312"/>
          <w:color w:val="000000"/>
          <w:szCs w:val="32"/>
        </w:rPr>
        <w:t>2020年一般公共预算财政拨款基本支出1</w:t>
      </w:r>
      <w:r>
        <w:rPr>
          <w:rFonts w:hint="eastAsia" w:ascii="仿宋_GB2312" w:hAnsi="仿宋" w:eastAsia="仿宋_GB2312"/>
          <w:color w:val="000000"/>
          <w:szCs w:val="32"/>
          <w:lang w:val="en-US" w:eastAsia="zh-CN"/>
        </w:rPr>
        <w:t>85.68</w:t>
      </w:r>
      <w:r>
        <w:rPr>
          <w:rFonts w:hint="eastAsia" w:ascii="仿宋_GB2312" w:hAnsi="仿宋" w:eastAsia="仿宋_GB2312"/>
          <w:color w:val="000000"/>
          <w:szCs w:val="32"/>
        </w:rPr>
        <w:t>万元，其中：</w:t>
      </w:r>
    </w:p>
    <w:p>
      <w:pPr>
        <w:topLinePunct/>
        <w:spacing w:line="560" w:lineRule="exact"/>
        <w:ind w:firstLine="646"/>
        <w:rPr>
          <w:rFonts w:hint="eastAsia" w:ascii="仿宋_GB2312" w:hAnsi="仿宋" w:eastAsia="仿宋_GB2312"/>
          <w:color w:val="000000"/>
          <w:szCs w:val="32"/>
          <w:lang w:eastAsia="zh-CN"/>
        </w:rPr>
      </w:pPr>
      <w:r>
        <w:rPr>
          <w:rFonts w:hint="eastAsia" w:ascii="仿宋_GB2312" w:hAnsi="仿宋" w:eastAsia="仿宋_GB2312"/>
          <w:color w:val="000000"/>
          <w:szCs w:val="32"/>
        </w:rPr>
        <w:t>人员经费159.77万元，主要包括：基本工资、津贴补贴、奖金、伙食补助费、绩效工资、机关事业单位基本养老保险缴费、其他社会保障缴费、其他工资福利支出、奖励金、住房公积金等。</w:t>
      </w:r>
    </w:p>
    <w:p>
      <w:pPr>
        <w:topLinePunct/>
        <w:spacing w:line="560" w:lineRule="exact"/>
        <w:ind w:firstLine="646"/>
        <w:rPr>
          <w:rFonts w:ascii="仿宋_GB2312" w:hAnsi="仿宋" w:eastAsia="仿宋_GB2312"/>
          <w:color w:val="000000"/>
          <w:szCs w:val="32"/>
        </w:rPr>
      </w:pPr>
      <w:r>
        <w:rPr>
          <w:rFonts w:hint="eastAsia" w:ascii="仿宋_GB2312" w:hAnsi="仿宋" w:eastAsia="仿宋_GB2312"/>
          <w:color w:val="000000"/>
          <w:szCs w:val="32"/>
        </w:rPr>
        <w:t>公用经费</w:t>
      </w:r>
      <w:r>
        <w:rPr>
          <w:rFonts w:hint="eastAsia" w:ascii="仿宋_GB2312" w:hAnsi="仿宋" w:eastAsia="仿宋_GB2312"/>
          <w:color w:val="000000"/>
          <w:szCs w:val="32"/>
          <w:lang w:val="en-US" w:eastAsia="zh-CN"/>
        </w:rPr>
        <w:t>25.91</w:t>
      </w:r>
      <w:r>
        <w:rPr>
          <w:rFonts w:hint="eastAsia" w:ascii="仿宋_GB2312" w:hAnsi="仿宋" w:eastAsia="仿宋_GB2312"/>
          <w:color w:val="000000"/>
          <w:szCs w:val="32"/>
        </w:rPr>
        <w:t>万元，主要包括：办公费、印刷费、水费、</w:t>
      </w:r>
      <w:r>
        <w:rPr>
          <w:rFonts w:hint="eastAsia" w:ascii="仿宋_GB2312" w:hAnsi="仿宋" w:eastAsia="仿宋_GB2312"/>
          <w:color w:val="000000"/>
          <w:szCs w:val="32"/>
          <w:lang w:eastAsia="zh-CN"/>
        </w:rPr>
        <w:t>手续费、</w:t>
      </w:r>
      <w:r>
        <w:rPr>
          <w:rFonts w:hint="eastAsia" w:ascii="仿宋_GB2312" w:hAnsi="仿宋" w:eastAsia="仿宋_GB2312"/>
          <w:color w:val="000000"/>
          <w:szCs w:val="32"/>
        </w:rPr>
        <w:t>邮电费、差旅费、</w:t>
      </w:r>
      <w:r>
        <w:rPr>
          <w:rFonts w:hint="eastAsia" w:ascii="仿宋_GB2312" w:hAnsi="仿宋" w:eastAsia="仿宋_GB2312"/>
          <w:color w:val="000000"/>
          <w:szCs w:val="32"/>
          <w:lang w:eastAsia="zh-CN"/>
        </w:rPr>
        <w:t>委托业务费、</w:t>
      </w:r>
      <w:r>
        <w:rPr>
          <w:rFonts w:hint="eastAsia" w:ascii="仿宋_GB2312" w:hAnsi="仿宋" w:eastAsia="仿宋_GB2312"/>
          <w:color w:val="000000"/>
          <w:szCs w:val="32"/>
        </w:rPr>
        <w:t>工会经费、福利费、其他交通费</w:t>
      </w:r>
      <w:r>
        <w:rPr>
          <w:rFonts w:hint="eastAsia" w:ascii="仿宋_GB2312" w:hAnsi="仿宋" w:eastAsia="仿宋_GB2312"/>
          <w:color w:val="000000"/>
          <w:szCs w:val="32"/>
          <w:lang w:eastAsia="zh-CN"/>
        </w:rPr>
        <w:t>、其他商品和服务支出</w:t>
      </w:r>
      <w:r>
        <w:rPr>
          <w:rFonts w:hint="eastAsia" w:ascii="仿宋_GB2312" w:hAnsi="仿宋" w:eastAsia="仿宋_GB2312"/>
          <w:color w:val="000000"/>
          <w:szCs w:val="32"/>
        </w:rPr>
        <w:t>等。</w:t>
      </w:r>
    </w:p>
    <w:p>
      <w:pPr>
        <w:spacing w:line="560" w:lineRule="exact"/>
        <w:ind w:firstLine="640"/>
        <w:outlineLvl w:val="1"/>
        <w:rPr>
          <w:rStyle w:val="34"/>
          <w:rFonts w:ascii="黑体" w:hAnsi="黑体"/>
          <w:b w:val="0"/>
        </w:rPr>
      </w:pPr>
      <w:bookmarkStart w:id="47" w:name="_Toc30078"/>
      <w:bookmarkStart w:id="48" w:name="_Toc12044"/>
      <w:bookmarkStart w:id="49" w:name="_Toc15377215"/>
      <w:r>
        <w:rPr>
          <w:rStyle w:val="34"/>
          <w:rFonts w:hint="eastAsia" w:ascii="黑体" w:hAnsi="黑体"/>
          <w:b w:val="0"/>
        </w:rPr>
        <w:t>七、“三公”经费财政拨款支出决算情况说明</w:t>
      </w:r>
      <w:bookmarkEnd w:id="47"/>
      <w:bookmarkEnd w:id="48"/>
      <w:bookmarkEnd w:id="49"/>
    </w:p>
    <w:p>
      <w:pPr>
        <w:spacing w:line="600" w:lineRule="exact"/>
        <w:ind w:firstLine="640"/>
        <w:outlineLvl w:val="2"/>
        <w:rPr>
          <w:rFonts w:ascii="楷体_GB2312" w:hAnsi="仿宋" w:eastAsia="楷体_GB2312"/>
          <w:color w:val="000000"/>
          <w:szCs w:val="32"/>
        </w:rPr>
      </w:pPr>
      <w:bookmarkStart w:id="50" w:name="_Toc4868"/>
      <w:bookmarkStart w:id="51" w:name="_Toc15377216"/>
      <w:r>
        <w:rPr>
          <w:rFonts w:hint="eastAsia" w:ascii="楷体_GB2312" w:hAnsi="仿宋" w:eastAsia="楷体_GB2312"/>
          <w:color w:val="000000"/>
          <w:szCs w:val="32"/>
        </w:rPr>
        <w:t>（一）“三公”经费财政拨款支出决算总体情况说明</w:t>
      </w:r>
      <w:bookmarkEnd w:id="50"/>
      <w:bookmarkEnd w:id="51"/>
    </w:p>
    <w:p>
      <w:pPr>
        <w:topLinePunct/>
        <w:spacing w:line="600" w:lineRule="exact"/>
        <w:ind w:firstLine="641"/>
        <w:rPr>
          <w:rFonts w:hint="eastAsia" w:ascii="仿宋_GB2312" w:hAnsi="仿宋" w:eastAsia="仿宋_GB2312"/>
          <w:b/>
          <w:color w:val="000000" w:themeColor="text1"/>
          <w:szCs w:val="32"/>
          <w:lang w:eastAsia="zh-CN"/>
          <w14:textFill>
            <w14:solidFill>
              <w14:schemeClr w14:val="tx1"/>
            </w14:solidFill>
          </w14:textFill>
        </w:rPr>
      </w:pPr>
      <w:r>
        <w:rPr>
          <w:rFonts w:hint="eastAsia" w:ascii="仿宋_GB2312" w:hAnsi="仿宋" w:eastAsia="仿宋_GB2312"/>
          <w:color w:val="000000"/>
          <w:szCs w:val="32"/>
        </w:rPr>
        <w:t>2020年“三公”经费财政拨款支出决算为0万元，</w:t>
      </w:r>
      <w:r>
        <w:rPr>
          <w:rFonts w:hint="eastAsia" w:ascii="仿宋_GB2312" w:hAnsi="仿宋" w:eastAsia="仿宋_GB2312"/>
          <w:color w:val="000000"/>
          <w:szCs w:val="32"/>
          <w:lang w:eastAsia="zh-CN"/>
        </w:rPr>
        <w:t>年初未安排预算。</w:t>
      </w:r>
    </w:p>
    <w:p>
      <w:pPr>
        <w:spacing w:line="600" w:lineRule="exact"/>
        <w:ind w:firstLine="640"/>
        <w:outlineLvl w:val="2"/>
        <w:rPr>
          <w:rFonts w:ascii="楷体_GB2312" w:hAnsi="仿宋" w:eastAsia="楷体_GB2312"/>
          <w:color w:val="000000"/>
          <w:szCs w:val="32"/>
        </w:rPr>
      </w:pPr>
      <w:bookmarkStart w:id="52" w:name="_Toc15377217"/>
      <w:bookmarkStart w:id="53" w:name="_Toc20880"/>
      <w:r>
        <w:rPr>
          <w:rFonts w:hint="eastAsia" w:ascii="楷体_GB2312" w:hAnsi="仿宋" w:eastAsia="楷体_GB2312"/>
          <w:color w:val="000000"/>
          <w:szCs w:val="32"/>
        </w:rPr>
        <w:t>（二）“三公”经费财政拨款支出决算具体情况说明</w:t>
      </w:r>
      <w:bookmarkEnd w:id="52"/>
      <w:bookmarkEnd w:id="53"/>
    </w:p>
    <w:p>
      <w:pPr>
        <w:topLinePunct/>
        <w:spacing w:line="560" w:lineRule="exact"/>
        <w:ind w:firstLine="641"/>
        <w:rPr>
          <w:rFonts w:hint="eastAsia" w:ascii="仿宋_GB2312" w:hAnsi="仿宋" w:eastAsia="仿宋_GB2312"/>
          <w:color w:val="000000"/>
          <w:szCs w:val="32"/>
        </w:rPr>
      </w:pPr>
      <w:r>
        <w:rPr>
          <w:rFonts w:hint="eastAsia" w:ascii="仿宋_GB2312" w:hAnsi="仿宋" w:eastAsia="仿宋_GB2312"/>
          <w:color w:val="000000"/>
          <w:szCs w:val="32"/>
        </w:rPr>
        <w:t>2020年“三公”经费财政拨款支出决算中，因公出国（境）费支出决算0万元，占0%；公务用车购置及运行维护费支出决算0万元，占0%；公务接待费支出决算0万元，占0%。具体情况如下：</w:t>
      </w:r>
    </w:p>
    <w:p>
      <w:pPr>
        <w:pStyle w:val="2"/>
        <w:jc w:val="center"/>
        <w:rPr>
          <w:rFonts w:hint="eastAsia"/>
          <w:lang w:val="en-US" w:eastAsia="zh-CN"/>
        </w:rPr>
      </w:pPr>
      <w:r>
        <w:rPr>
          <w:rFonts w:hint="eastAsia"/>
          <w:lang w:val="en-US"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kinsoku/>
        <w:wordWrap/>
        <w:overflowPunct/>
        <w:topLinePunct w:val="0"/>
        <w:bidi w:val="0"/>
        <w:spacing w:line="576" w:lineRule="exact"/>
        <w:ind w:firstLine="642" w:firstLineChars="200"/>
        <w:jc w:val="cente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（图7：</w:t>
      </w:r>
      <w:r>
        <w:rPr>
          <w:rFonts w:hint="eastAsia" w:ascii="楷体_GB2312" w:hAnsi="楷体_GB2312" w:eastAsia="楷体_GB2312" w:cs="楷体_GB2312"/>
          <w:b/>
          <w:bCs/>
          <w:kern w:val="2"/>
          <w:sz w:val="32"/>
          <w:szCs w:val="32"/>
          <w:lang w:val="en-US" w:eastAsia="zh-CN" w:bidi="ar-SA"/>
        </w:rPr>
        <w:t>“三公”经费财政拨款支出</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结构）</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1.因公出国（境）经费0万元。</w:t>
      </w:r>
      <w:r>
        <w:rPr>
          <w:rFonts w:hint="eastAsia" w:ascii="仿宋_GB2312" w:hAnsi="仿宋" w:eastAsia="仿宋_GB2312"/>
          <w:color w:val="000000"/>
          <w:szCs w:val="32"/>
          <w:lang w:eastAsia="zh-CN"/>
        </w:rPr>
        <w:t>年初未安排预算</w:t>
      </w:r>
      <w:r>
        <w:rPr>
          <w:rFonts w:hint="eastAsia" w:ascii="仿宋_GB2312" w:hAnsi="仿宋" w:eastAsia="仿宋_GB2312"/>
          <w:color w:val="000000"/>
          <w:szCs w:val="32"/>
        </w:rPr>
        <w:t>。与2019年持平。</w:t>
      </w:r>
    </w:p>
    <w:p>
      <w:pPr>
        <w:topLinePunct/>
        <w:spacing w:line="560" w:lineRule="exact"/>
        <w:ind w:firstLine="641"/>
        <w:rPr>
          <w:rFonts w:hint="default" w:ascii="仿宋_GB2312" w:hAnsi="仿宋" w:eastAsia="仿宋_GB2312"/>
          <w:color w:val="000000"/>
          <w:szCs w:val="32"/>
          <w:lang w:val="en-US" w:eastAsia="zh-CN"/>
        </w:rPr>
      </w:pPr>
      <w:r>
        <w:rPr>
          <w:rFonts w:hint="eastAsia" w:ascii="仿宋_GB2312" w:hAnsi="仿宋" w:eastAsia="仿宋_GB2312"/>
          <w:color w:val="000000"/>
          <w:szCs w:val="32"/>
        </w:rPr>
        <w:t>2.公务用车购置及运行维护费支出0万元,</w:t>
      </w:r>
      <w:r>
        <w:rPr>
          <w:rFonts w:hint="eastAsia" w:ascii="仿宋_GB2312" w:hAnsi="仿宋" w:eastAsia="仿宋_GB2312"/>
          <w:color w:val="000000"/>
          <w:szCs w:val="32"/>
          <w:lang w:eastAsia="zh-CN"/>
        </w:rPr>
        <w:t>年初未安排预算</w:t>
      </w:r>
      <w:r>
        <w:rPr>
          <w:rFonts w:hint="eastAsia" w:ascii="仿宋_GB2312" w:hAnsi="仿宋" w:eastAsia="仿宋_GB2312"/>
          <w:color w:val="000000"/>
          <w:szCs w:val="32"/>
        </w:rPr>
        <w:t>。其中：公务用车购置支出0万元</w:t>
      </w:r>
      <w:r>
        <w:rPr>
          <w:rFonts w:hint="eastAsia" w:ascii="仿宋_GB2312" w:hAnsi="仿宋" w:eastAsia="仿宋_GB2312"/>
          <w:color w:val="000000"/>
          <w:szCs w:val="32"/>
          <w:lang w:eastAsia="zh-CN"/>
        </w:rPr>
        <w:t>，公务用车运行维护费</w:t>
      </w:r>
      <w:r>
        <w:rPr>
          <w:rFonts w:hint="eastAsia" w:ascii="仿宋_GB2312" w:hAnsi="仿宋" w:eastAsia="仿宋_GB2312"/>
          <w:color w:val="000000"/>
          <w:szCs w:val="32"/>
          <w:lang w:val="en-US" w:eastAsia="zh-CN"/>
        </w:rPr>
        <w:t>0万元。</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3.公务接待费支出0万元，</w:t>
      </w:r>
      <w:r>
        <w:rPr>
          <w:rFonts w:hint="eastAsia" w:ascii="仿宋_GB2312" w:hAnsi="仿宋" w:eastAsia="仿宋_GB2312"/>
          <w:color w:val="000000"/>
          <w:szCs w:val="32"/>
          <w:lang w:eastAsia="zh-CN"/>
        </w:rPr>
        <w:t>年初未安排预算</w:t>
      </w:r>
      <w:r>
        <w:rPr>
          <w:rFonts w:hint="eastAsia" w:ascii="仿宋_GB2312" w:hAnsi="仿宋" w:eastAsia="仿宋_GB2312"/>
          <w:color w:val="000000"/>
          <w:szCs w:val="32"/>
        </w:rPr>
        <w:t>。公务接待费支出决算比2019年下降0.52万元，主要原因一是按市委、市政府的要求，厉行节约,压缩支出；二是因为单位到了10月已经没有经费开支，导致接待费虽然发生的有，但是未支付。</w:t>
      </w:r>
    </w:p>
    <w:p>
      <w:pPr>
        <w:spacing w:line="560" w:lineRule="exact"/>
        <w:ind w:firstLine="640"/>
        <w:outlineLvl w:val="1"/>
        <w:rPr>
          <w:rStyle w:val="34"/>
          <w:rFonts w:ascii="黑体" w:hAnsi="黑体"/>
          <w:b w:val="0"/>
        </w:rPr>
      </w:pPr>
      <w:bookmarkStart w:id="54" w:name="_Toc25224"/>
      <w:bookmarkStart w:id="55" w:name="_Toc7072"/>
      <w:bookmarkStart w:id="56" w:name="_Toc15377218"/>
      <w:r>
        <w:rPr>
          <w:rStyle w:val="34"/>
          <w:rFonts w:hint="eastAsia" w:ascii="黑体" w:hAnsi="黑体"/>
          <w:b w:val="0"/>
        </w:rPr>
        <w:t>八、政府性基金预算支出决算情况说明</w:t>
      </w:r>
      <w:bookmarkEnd w:id="54"/>
      <w:bookmarkEnd w:id="55"/>
      <w:bookmarkEnd w:id="56"/>
    </w:p>
    <w:p>
      <w:pPr>
        <w:spacing w:line="600" w:lineRule="exact"/>
        <w:ind w:firstLine="640"/>
        <w:rPr>
          <w:rFonts w:hint="eastAsia" w:ascii="仿宋_GB2312" w:hAnsi="仿宋" w:eastAsia="仿宋_GB2312"/>
          <w:color w:val="000000"/>
          <w:szCs w:val="32"/>
          <w:lang w:eastAsia="zh-CN"/>
        </w:rPr>
      </w:pPr>
      <w:r>
        <w:rPr>
          <w:rFonts w:hint="eastAsia" w:ascii="仿宋_GB2312" w:hAnsi="仿宋" w:eastAsia="仿宋_GB2312"/>
          <w:color w:val="000000"/>
          <w:szCs w:val="32"/>
        </w:rPr>
        <w:t>2020年政府性基金预算拨款支出0万元</w:t>
      </w:r>
      <w:r>
        <w:rPr>
          <w:rFonts w:hint="eastAsia" w:ascii="仿宋_GB2312" w:hAnsi="仿宋" w:eastAsia="仿宋_GB2312"/>
          <w:color w:val="000000"/>
          <w:szCs w:val="32"/>
          <w:lang w:eastAsia="zh-CN"/>
        </w:rPr>
        <w:t>，2020年本单位未在政府性基金预算拨款安排“三公经费”支出。</w:t>
      </w:r>
    </w:p>
    <w:p>
      <w:pPr>
        <w:spacing w:line="560" w:lineRule="exact"/>
        <w:ind w:firstLine="640"/>
        <w:outlineLvl w:val="1"/>
        <w:rPr>
          <w:rStyle w:val="34"/>
          <w:rFonts w:ascii="黑体" w:hAnsi="黑体"/>
          <w:b w:val="0"/>
        </w:rPr>
      </w:pPr>
      <w:bookmarkStart w:id="57" w:name="_Toc21496"/>
      <w:bookmarkStart w:id="58" w:name="_Toc15377219"/>
      <w:bookmarkStart w:id="59" w:name="_Toc10236"/>
      <w:r>
        <w:rPr>
          <w:rStyle w:val="34"/>
          <w:rFonts w:hint="eastAsia" w:ascii="黑体" w:hAnsi="黑体"/>
          <w:b w:val="0"/>
        </w:rPr>
        <w:t>九、国有资本经营预算支出决算情况说明</w:t>
      </w:r>
      <w:bookmarkEnd w:id="57"/>
      <w:bookmarkEnd w:id="58"/>
      <w:bookmarkEnd w:id="59"/>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2020年度没有国有资本经营预算拨款支出。</w:t>
      </w:r>
    </w:p>
    <w:p>
      <w:pPr>
        <w:spacing w:line="560" w:lineRule="exact"/>
        <w:ind w:firstLine="640"/>
        <w:outlineLvl w:val="1"/>
        <w:rPr>
          <w:rStyle w:val="34"/>
          <w:rFonts w:ascii="黑体" w:hAnsi="黑体"/>
          <w:b w:val="0"/>
        </w:rPr>
      </w:pPr>
      <w:bookmarkStart w:id="60" w:name="_Toc13324"/>
      <w:bookmarkStart w:id="61" w:name="_Toc7760"/>
      <w:r>
        <w:rPr>
          <w:rStyle w:val="34"/>
          <w:rFonts w:hint="eastAsia" w:ascii="黑体" w:hAnsi="黑体"/>
          <w:b w:val="0"/>
        </w:rPr>
        <w:t>十、其他重要事项的情况说明</w:t>
      </w:r>
      <w:bookmarkEnd w:id="60"/>
      <w:bookmarkEnd w:id="61"/>
    </w:p>
    <w:p>
      <w:pPr>
        <w:spacing w:line="600" w:lineRule="exact"/>
        <w:ind w:firstLine="640" w:firstLineChars="200"/>
        <w:outlineLvl w:val="2"/>
        <w:rPr>
          <w:rFonts w:ascii="楷体_GB2312" w:hAnsi="仿宋" w:eastAsia="楷体_GB2312"/>
          <w:color w:val="000000"/>
          <w:szCs w:val="32"/>
        </w:rPr>
      </w:pPr>
      <w:bookmarkStart w:id="62" w:name="_Toc21077"/>
      <w:r>
        <w:rPr>
          <w:rFonts w:hint="eastAsia" w:ascii="楷体_GB2312" w:hAnsi="仿宋" w:eastAsia="楷体_GB2312"/>
          <w:color w:val="000000"/>
          <w:szCs w:val="32"/>
        </w:rPr>
        <w:t>（一）机关运行经费支出情况</w:t>
      </w:r>
      <w:bookmarkEnd w:id="62"/>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2020年，市金融服务中心机关运行经费支出</w:t>
      </w:r>
      <w:r>
        <w:rPr>
          <w:rFonts w:hint="eastAsia" w:ascii="仿宋_GB2312" w:hAnsi="仿宋" w:eastAsia="仿宋_GB2312"/>
          <w:color w:val="000000"/>
          <w:szCs w:val="32"/>
          <w:lang w:val="en-US" w:eastAsia="zh-CN"/>
        </w:rPr>
        <w:t>41.62</w:t>
      </w:r>
      <w:r>
        <w:rPr>
          <w:rFonts w:hint="eastAsia" w:ascii="仿宋_GB2312" w:hAnsi="仿宋" w:eastAsia="仿宋_GB2312"/>
          <w:color w:val="000000"/>
          <w:szCs w:val="32"/>
        </w:rPr>
        <w:t>万元</w:t>
      </w:r>
      <w:r>
        <w:rPr>
          <w:rFonts w:hint="eastAsia" w:ascii="仿宋_GB2312" w:hAnsi="仿宋" w:eastAsia="仿宋_GB2312"/>
          <w:color w:val="000000"/>
          <w:szCs w:val="32"/>
          <w:lang w:eastAsia="zh-CN"/>
        </w:rPr>
        <w:t>（其他收入</w:t>
      </w:r>
      <w:r>
        <w:rPr>
          <w:rFonts w:hint="eastAsia" w:ascii="仿宋_GB2312" w:hAnsi="仿宋" w:eastAsia="仿宋_GB2312"/>
          <w:color w:val="000000"/>
          <w:szCs w:val="32"/>
          <w:lang w:val="en-US" w:eastAsia="zh-CN"/>
        </w:rPr>
        <w:t>15.71万元</w:t>
      </w:r>
      <w:r>
        <w:rPr>
          <w:rFonts w:hint="eastAsia" w:ascii="仿宋_GB2312" w:hAnsi="仿宋" w:eastAsia="仿宋_GB2312"/>
          <w:color w:val="000000"/>
          <w:szCs w:val="32"/>
          <w:lang w:eastAsia="zh-CN"/>
        </w:rPr>
        <w:t>）</w:t>
      </w:r>
      <w:r>
        <w:rPr>
          <w:rFonts w:hint="eastAsia" w:ascii="仿宋_GB2312" w:hAnsi="仿宋" w:eastAsia="仿宋_GB2312"/>
          <w:color w:val="000000"/>
          <w:szCs w:val="32"/>
        </w:rPr>
        <w:t>，与2019年决算数减少9.91万元。主要是按</w:t>
      </w:r>
      <w:r>
        <w:rPr>
          <w:rFonts w:hint="eastAsia" w:ascii="仿宋_GB2312" w:hAnsi="仿宋" w:eastAsia="仿宋_GB2312"/>
          <w:color w:val="000000"/>
          <w:szCs w:val="32"/>
          <w:lang w:val="en-US" w:eastAsia="zh-CN"/>
        </w:rPr>
        <w:t>照</w:t>
      </w:r>
      <w:r>
        <w:rPr>
          <w:rFonts w:hint="eastAsia" w:ascii="仿宋_GB2312" w:hAnsi="仿宋" w:eastAsia="仿宋_GB2312"/>
          <w:color w:val="000000"/>
          <w:szCs w:val="32"/>
        </w:rPr>
        <w:t>市委、市政府的要求，厉行节约,压缩支出。</w:t>
      </w:r>
    </w:p>
    <w:p>
      <w:pPr>
        <w:autoSpaceDE w:val="0"/>
        <w:autoSpaceDN w:val="0"/>
        <w:adjustRightInd w:val="0"/>
        <w:spacing w:line="560" w:lineRule="exact"/>
        <w:ind w:firstLine="640" w:firstLineChars="200"/>
        <w:outlineLvl w:val="2"/>
        <w:rPr>
          <w:rFonts w:ascii="楷体_GB2312" w:hAnsi="仿宋" w:eastAsia="楷体_GB2312"/>
          <w:color w:val="000000"/>
          <w:szCs w:val="32"/>
        </w:rPr>
      </w:pPr>
      <w:bookmarkStart w:id="63" w:name="_Toc26840"/>
      <w:r>
        <w:rPr>
          <w:rFonts w:hint="eastAsia" w:ascii="楷体_GB2312" w:hAnsi="仿宋" w:eastAsia="楷体_GB2312"/>
          <w:color w:val="000000"/>
          <w:szCs w:val="32"/>
        </w:rPr>
        <w:t>（二）政府采购支出情况</w:t>
      </w:r>
      <w:bookmarkEnd w:id="63"/>
    </w:p>
    <w:p>
      <w:pPr>
        <w:spacing w:line="600" w:lineRule="exact"/>
        <w:ind w:firstLine="640" w:firstLineChars="200"/>
        <w:rPr>
          <w:rFonts w:ascii="仿宋_GB2312" w:eastAsia="仿宋_GB2312"/>
          <w:color w:val="000000"/>
          <w:szCs w:val="32"/>
        </w:rPr>
      </w:pPr>
      <w:r>
        <w:rPr>
          <w:rFonts w:hint="eastAsia" w:ascii="仿宋_GB2312" w:hAnsi="仿宋" w:eastAsia="仿宋_GB2312"/>
          <w:color w:val="000000"/>
          <w:szCs w:val="32"/>
        </w:rPr>
        <w:t>2020年，市金融服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560" w:lineRule="exact"/>
        <w:ind w:firstLine="640" w:firstLineChars="200"/>
        <w:outlineLvl w:val="2"/>
        <w:rPr>
          <w:rFonts w:ascii="楷体_GB2312" w:hAnsi="仿宋" w:eastAsia="楷体_GB2312"/>
          <w:color w:val="000000"/>
          <w:szCs w:val="32"/>
        </w:rPr>
      </w:pPr>
      <w:bookmarkStart w:id="64" w:name="_Toc2667"/>
      <w:r>
        <w:rPr>
          <w:rFonts w:hint="eastAsia" w:ascii="楷体_GB2312" w:hAnsi="仿宋" w:eastAsia="楷体_GB2312"/>
          <w:color w:val="000000"/>
          <w:szCs w:val="32"/>
        </w:rPr>
        <w:t>（三）国有资产占有使用情况</w:t>
      </w:r>
      <w:bookmarkEnd w:id="64"/>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截至2020年12月31日，市金融服务中心一般公务用车0辆。单价50万元以上通用设备0台（套），单价100万元以上专用设备0台（套）。</w:t>
      </w:r>
    </w:p>
    <w:p>
      <w:pPr>
        <w:autoSpaceDE w:val="0"/>
        <w:autoSpaceDN w:val="0"/>
        <w:adjustRightInd w:val="0"/>
        <w:spacing w:line="560" w:lineRule="exact"/>
        <w:ind w:firstLine="640" w:firstLineChars="200"/>
        <w:outlineLvl w:val="2"/>
        <w:rPr>
          <w:rFonts w:ascii="楷体_GB2312" w:hAnsi="仿宋" w:eastAsia="楷体_GB2312"/>
          <w:color w:val="000000"/>
          <w:szCs w:val="32"/>
        </w:rPr>
      </w:pPr>
      <w:bookmarkStart w:id="65" w:name="_Toc2770"/>
      <w:r>
        <w:rPr>
          <w:rFonts w:hint="eastAsia" w:ascii="楷体_GB2312" w:hAnsi="仿宋" w:eastAsia="楷体_GB2312"/>
          <w:color w:val="000000"/>
          <w:szCs w:val="32"/>
        </w:rPr>
        <w:t>（四）预算绩效管理情况</w:t>
      </w:r>
      <w:bookmarkEnd w:id="65"/>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根据预算绩效管理要求，本单位在年初预算编制阶段，组织对小贷、担保、农村资金互助社第三方检查、处置非法集资工作、项目融资工作、脱贫攻坚帮扶联系村工作、四川金融支持广元融入成渝地区双城经济圈建设推进会等项目开展了预算事前绩效评估，对5个项目编制了绩效目标，预算执行过程中，选取5个项目开展绩效监控，年终执行完毕后，对5个项目开展了绩效目标完成情况梳理填报。</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本单位按要求对2020年部门整体支出开展绩效自评，从评价情况来看预算编制及执行决算较为准确，支出管理较为规范，财务管理制度进一步完善，整体绩效较好。本单位还自行组织了5个项目支出绩效评价，从评价情况来看预算编制及执行决算较为准确，支出管理较为规范，财务管理制度进一步完善，部门整体绩效较好。</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本单位2020年度部门决算中包括小贷、担保、农村资金互助社第三方检查、处置非法集资工作、项目融资工作、脱贫攻坚帮扶联系村工作、四川金融支持广元融入成渝地区双城经济圈建设推进会等5个项目。</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小贷、担保、农村资金互助社第三方检查项目绩效目标完成情况综述。项目全年预算数1万元，执行数为1万元，完成预算的100%。通过项目实施，推动建立完善地方金融监管体系，强化地方金融监管职能，补齐地方金融监管短板。推动整合监管和服务职能，做好各类小额贷款公司的日常监测、分类指导、提质增效工作，农村资金互助组织的清理工作和典当行各项服务工作。按照《四川省地方金融监督管理条例》要求，配合建立完善“7+4+X”监测预警体系，提高小贷公司持续经营能力,促进地方金融组织合规经营，防范系统性风险。</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处置非法集资工作项目绩效目标完成情况综述。项目全年预算数1万元，执行数为1万元，完成预算的100%。通过项目实施，完善金融风险防范联动工作机制，强化金融风险监测和预警，预防非法集资案件“增量”，持续抓好互联网金融风险清理整顿，推动我市法人网贷平台风险早日实现出清，推动创富金融平台网贷业务在2021年6月底前完成资金清退。守住了不发生区域性系统性金融风险底线。</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项目融资工作绩效目标完成情况综述。项目全年预算数0.8万元，执行数为0.8万元，完成预算的100%。通过项目实施，切实做好“广元川陕甘高铁快运物流基地”“三江新区基础设施”“西湾水厂改造工程”“朝天区东西部扶贫协作共建产业园建设”“示范性综合实践基地二期”“旺苍县绿色家居产业城”等项目融资与相关金融机构的对接和资料申报。指导利州区、朝天区、昭化区存量贷款的发放和使用。积极协调市内各平台公司债务发行和协调银行机构认购债券；协调市内各平台公司在各金融机构贷款到期本金和利息偿还工作，维护好良好的金融生态环境。为我市重大项目广平高速在国开行贷款尾款使用提供指导和服务。</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脱贫攻坚帮扶联系村工作经费绩效目标完成情况综述。项目全年预算数3万元，执行数为3万元，完成预算的100%。通过项目实施，开设金融夜校，采取“金融夜校+种植业”“金融夜校+养殖业”模式，教会老百姓申请银行的扶贫贷款发展产业，利用保险防范农业生产和因病因灾带来风险。引导全市金融机构创造性开展消费扶贫，2020年以来，共计购销贫困户土鸡14500余只，采购蔬菜、水果、鸡蛋、山珍等各类扶贫产品共计金额1177万元。</w:t>
      </w:r>
    </w:p>
    <w:p>
      <w:pPr>
        <w:topLinePunct/>
        <w:spacing w:line="560" w:lineRule="exact"/>
        <w:ind w:firstLine="641"/>
        <w:rPr>
          <w:rFonts w:ascii="仿宋_GB2312" w:hAnsi="仿宋" w:eastAsia="仿宋_GB2312"/>
          <w:color w:val="000000"/>
          <w:szCs w:val="32"/>
        </w:rPr>
      </w:pPr>
      <w:r>
        <w:rPr>
          <w:rFonts w:hint="eastAsia" w:ascii="仿宋_GB2312" w:hAnsi="仿宋" w:eastAsia="仿宋_GB2312"/>
          <w:color w:val="000000"/>
          <w:szCs w:val="32"/>
        </w:rPr>
        <w:t>四川金融支持广元融入成渝地区双城经济圈建设推进会项目绩效目标完成情况综述。项目全年预算数7万元，执行数为7万元，完成预算的100%。通过项目实施，9月初在成都成功举办四川金融支持广元融入成渝地区双城经济圈建设推进会，广元市人民政府与国家开发银行四川省分行等22家省级金融机构签订未来五年融资总量达5620亿元的战略合作协议，签约成果正在逐步落地见效。</w:t>
      </w:r>
    </w:p>
    <w:p>
      <w:pPr>
        <w:spacing w:line="580" w:lineRule="exact"/>
        <w:jc w:val="center"/>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pStyle w:val="25"/>
        <w:rPr>
          <w:rFonts w:ascii="黑体" w:hAnsi="黑体" w:cs="宋体"/>
          <w:bCs/>
          <w:color w:val="000000"/>
          <w:kern w:val="0"/>
          <w:szCs w:val="32"/>
        </w:rPr>
      </w:pPr>
    </w:p>
    <w:p>
      <w:pPr>
        <w:spacing w:line="580" w:lineRule="exact"/>
        <w:jc w:val="center"/>
        <w:rPr>
          <w:rFonts w:ascii="黑体" w:hAnsi="黑体" w:cs="宋体"/>
          <w:bCs/>
          <w:color w:val="000000"/>
          <w:kern w:val="0"/>
          <w:szCs w:val="32"/>
        </w:rPr>
      </w:pPr>
      <w:r>
        <w:rPr>
          <w:rFonts w:hint="eastAsia" w:ascii="黑体" w:hAnsi="黑体" w:cs="宋体"/>
          <w:bCs/>
          <w:color w:val="000000"/>
          <w:kern w:val="0"/>
          <w:szCs w:val="32"/>
        </w:rPr>
        <w:t>项目支出绩效目标完成情况表</w:t>
      </w:r>
    </w:p>
    <w:p>
      <w:pPr>
        <w:spacing w:line="580" w:lineRule="exact"/>
        <w:jc w:val="center"/>
        <w:rPr>
          <w:rFonts w:ascii="黑体" w:hAnsi="黑体" w:cs="宋体"/>
          <w:bCs/>
          <w:color w:val="000000"/>
          <w:kern w:val="0"/>
          <w:szCs w:val="32"/>
        </w:rPr>
      </w:pPr>
      <w:r>
        <w:rPr>
          <w:rFonts w:hint="eastAsia" w:ascii="黑体" w:hAnsi="黑体" w:cs="宋体"/>
          <w:color w:val="000000"/>
          <w:kern w:val="0"/>
          <w:szCs w:val="32"/>
        </w:rPr>
        <w:t>(2020年度)</w:t>
      </w:r>
    </w:p>
    <w:tbl>
      <w:tblPr>
        <w:tblStyle w:val="20"/>
        <w:tblpPr w:leftFromText="180" w:rightFromText="180" w:vertAnchor="text" w:horzAnchor="page" w:tblpXSpec="center" w:tblpY="423"/>
        <w:tblOverlap w:val="never"/>
        <w:tblW w:w="10152" w:type="dxa"/>
        <w:tblInd w:w="0" w:type="dxa"/>
        <w:tblLayout w:type="fixed"/>
        <w:tblCellMar>
          <w:top w:w="0" w:type="dxa"/>
          <w:left w:w="0" w:type="dxa"/>
          <w:bottom w:w="0" w:type="dxa"/>
          <w:right w:w="0" w:type="dxa"/>
        </w:tblCellMar>
      </w:tblPr>
      <w:tblGrid>
        <w:gridCol w:w="582"/>
        <w:gridCol w:w="1367"/>
        <w:gridCol w:w="1025"/>
        <w:gridCol w:w="2392"/>
        <w:gridCol w:w="2304"/>
        <w:gridCol w:w="90"/>
        <w:gridCol w:w="2392"/>
      </w:tblGrid>
      <w:tr>
        <w:tblPrEx>
          <w:tblCellMar>
            <w:top w:w="0" w:type="dxa"/>
            <w:left w:w="0" w:type="dxa"/>
            <w:bottom w:w="0" w:type="dxa"/>
            <w:right w:w="0" w:type="dxa"/>
          </w:tblCellMar>
        </w:tblPrEx>
        <w:trPr>
          <w:trHeight w:val="497"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小贷、担保、农村资金互助社第三方检查目标</w:t>
            </w:r>
          </w:p>
        </w:tc>
      </w:tr>
      <w:tr>
        <w:tblPrEx>
          <w:tblCellMar>
            <w:top w:w="0" w:type="dxa"/>
            <w:left w:w="0" w:type="dxa"/>
            <w:bottom w:w="0" w:type="dxa"/>
            <w:right w:w="0" w:type="dxa"/>
          </w:tblCellMar>
        </w:tblPrEx>
        <w:trPr>
          <w:trHeight w:val="533"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广元市金融服务中心</w:t>
            </w:r>
          </w:p>
        </w:tc>
      </w:tr>
      <w:tr>
        <w:tblPrEx>
          <w:tblCellMar>
            <w:top w:w="0" w:type="dxa"/>
            <w:left w:w="0" w:type="dxa"/>
            <w:bottom w:w="0" w:type="dxa"/>
            <w:right w:w="0" w:type="dxa"/>
          </w:tblCellMar>
        </w:tblPrEx>
        <w:trPr>
          <w:trHeight w:val="64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w:t>
            </w:r>
          </w:p>
        </w:tc>
      </w:tr>
      <w:tr>
        <w:tblPrEx>
          <w:tblCellMar>
            <w:top w:w="0" w:type="dxa"/>
            <w:left w:w="0" w:type="dxa"/>
            <w:bottom w:w="0" w:type="dxa"/>
            <w:right w:w="0" w:type="dxa"/>
          </w:tblCellMar>
        </w:tblPrEx>
        <w:trPr>
          <w:trHeight w:val="68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1</w:t>
            </w:r>
          </w:p>
        </w:tc>
      </w:tr>
      <w:tr>
        <w:tblPrEx>
          <w:tblCellMar>
            <w:top w:w="0" w:type="dxa"/>
            <w:left w:w="0" w:type="dxa"/>
            <w:bottom w:w="0" w:type="dxa"/>
            <w:right w:w="0" w:type="dxa"/>
          </w:tblCellMar>
        </w:tblPrEx>
        <w:trPr>
          <w:trHeight w:val="63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622"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9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推动建立完善地方金融监管体系，强化地方金融监管职能，补齐地方金融监管短板                                                   </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全面完成省局安排的监督检查，建立完善了“7+4+X”监测预警体系，提高地方金融组织持续经营能力,促进地方金融组织合规经营，防范系统性风险。                                                                                                                                                                                 </w:t>
            </w:r>
          </w:p>
        </w:tc>
      </w:tr>
      <w:tr>
        <w:tblPrEx>
          <w:tblCellMar>
            <w:top w:w="0" w:type="dxa"/>
            <w:left w:w="0" w:type="dxa"/>
            <w:bottom w:w="0" w:type="dxa"/>
            <w:right w:w="0" w:type="dxa"/>
          </w:tblCellMar>
        </w:tblPrEx>
        <w:trPr>
          <w:trHeight w:val="717" w:hRule="atLeast"/>
        </w:trPr>
        <w:tc>
          <w:tcPr>
            <w:tcW w:w="58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0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48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469" w:hRule="atLeast"/>
        </w:trPr>
        <w:tc>
          <w:tcPr>
            <w:tcW w:w="582" w:type="dxa"/>
            <w:vMerge w:val="continue"/>
            <w:tcBorders>
              <w:left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项目完成指标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2021年严格开展几类公司合规检查</w:t>
            </w:r>
          </w:p>
        </w:tc>
        <w:tc>
          <w:tcPr>
            <w:tcW w:w="230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全年开展检查6次，请第三方机构检查一次，费用1万元。</w:t>
            </w:r>
          </w:p>
        </w:tc>
        <w:tc>
          <w:tcPr>
            <w:tcW w:w="248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全年开展检查6次，请第三方机构检查一次，费用1万元。</w:t>
            </w:r>
          </w:p>
        </w:tc>
      </w:tr>
      <w:tr>
        <w:tblPrEx>
          <w:tblCellMar>
            <w:top w:w="0" w:type="dxa"/>
            <w:left w:w="0" w:type="dxa"/>
            <w:bottom w:w="0" w:type="dxa"/>
            <w:right w:w="0" w:type="dxa"/>
          </w:tblCellMar>
        </w:tblPrEx>
        <w:trPr>
          <w:trHeight w:val="1707" w:hRule="atLeast"/>
        </w:trPr>
        <w:tc>
          <w:tcPr>
            <w:tcW w:w="582" w:type="dxa"/>
            <w:vMerge w:val="continue"/>
            <w:tcBorders>
              <w:left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效益指标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维护广元市金融稳定，防范监管准金融机构金融风险</w:t>
            </w:r>
            <w:r>
              <w:rPr>
                <w:rFonts w:hint="eastAsia" w:ascii="仿宋" w:hAnsi="仿宋" w:eastAsia="仿宋" w:cs="宋体"/>
                <w:color w:val="000000"/>
                <w:sz w:val="24"/>
                <w:lang w:eastAsia="zh-CN"/>
              </w:rPr>
              <w:t>。</w:t>
            </w:r>
          </w:p>
        </w:tc>
        <w:tc>
          <w:tcPr>
            <w:tcW w:w="230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维护广元市金融稳定，防范监管准金融机构金融风险</w:t>
            </w:r>
            <w:r>
              <w:rPr>
                <w:rFonts w:hint="eastAsia" w:ascii="仿宋" w:hAnsi="仿宋" w:eastAsia="仿宋" w:cs="宋体"/>
                <w:color w:val="000000"/>
                <w:sz w:val="24"/>
                <w:lang w:eastAsia="zh-CN"/>
              </w:rPr>
              <w:t>。</w:t>
            </w:r>
          </w:p>
        </w:tc>
        <w:tc>
          <w:tcPr>
            <w:tcW w:w="248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主要对我市已有的5类地方金融组织进行监管。分别是12家小贷公司、11家融资担保公司、10家典当行、7家农村资金互助组织、3家地方交易场所。</w:t>
            </w:r>
          </w:p>
        </w:tc>
      </w:tr>
      <w:tr>
        <w:tblPrEx>
          <w:tblCellMar>
            <w:top w:w="0" w:type="dxa"/>
            <w:left w:w="0" w:type="dxa"/>
            <w:bottom w:w="0" w:type="dxa"/>
            <w:right w:w="0" w:type="dxa"/>
          </w:tblCellMar>
        </w:tblPrEx>
        <w:trPr>
          <w:trHeight w:val="1106" w:hRule="atLeast"/>
        </w:trPr>
        <w:tc>
          <w:tcPr>
            <w:tcW w:w="582" w:type="dxa"/>
            <w:vMerge w:val="continue"/>
            <w:tcBorders>
              <w:left w:val="single" w:color="000000" w:sz="4" w:space="0"/>
              <w:bottom w:val="single" w:color="auto"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促进地方金融组织合规经营，防范系统性风险满意度90%以上</w:t>
            </w:r>
            <w:r>
              <w:rPr>
                <w:rFonts w:hint="eastAsia" w:ascii="仿宋" w:hAnsi="仿宋" w:eastAsia="仿宋" w:cs="宋体"/>
                <w:color w:val="000000"/>
                <w:sz w:val="24"/>
                <w:lang w:eastAsia="zh-CN"/>
              </w:rPr>
              <w:t>。</w:t>
            </w:r>
          </w:p>
        </w:tc>
        <w:tc>
          <w:tcPr>
            <w:tcW w:w="230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促进地方金融组织合规经营，防范系统性风险满意度达90%以上</w:t>
            </w:r>
            <w:r>
              <w:rPr>
                <w:rFonts w:hint="eastAsia" w:ascii="仿宋" w:hAnsi="仿宋" w:eastAsia="仿宋" w:cs="宋体"/>
                <w:color w:val="000000"/>
                <w:sz w:val="24"/>
                <w:lang w:eastAsia="zh-CN"/>
              </w:rPr>
              <w:t>。</w:t>
            </w:r>
          </w:p>
        </w:tc>
        <w:tc>
          <w:tcPr>
            <w:tcW w:w="248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促进地方金融组织合规经营，防范系统性风险满意度达到90%以上</w:t>
            </w:r>
            <w:r>
              <w:rPr>
                <w:rFonts w:hint="eastAsia" w:ascii="仿宋" w:hAnsi="仿宋" w:eastAsia="仿宋" w:cs="宋体"/>
                <w:color w:val="000000"/>
                <w:sz w:val="24"/>
                <w:lang w:eastAsia="zh-CN"/>
              </w:rPr>
              <w:t>。</w:t>
            </w:r>
          </w:p>
        </w:tc>
      </w:tr>
    </w:tbl>
    <w:p>
      <w:pPr>
        <w:rPr>
          <w:rFonts w:ascii="仿宋" w:hAnsi="仿宋" w:eastAsia="仿宋"/>
          <w:sz w:val="24"/>
        </w:rPr>
      </w:pPr>
    </w:p>
    <w:p>
      <w:pPr>
        <w:jc w:val="center"/>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jc w:val="center"/>
        <w:rPr>
          <w:rFonts w:ascii="仿宋" w:hAnsi="仿宋" w:eastAsia="仿宋"/>
          <w:sz w:val="24"/>
        </w:rPr>
      </w:pPr>
      <w:r>
        <w:rPr>
          <w:rFonts w:hint="eastAsia" w:ascii="黑体" w:hAnsi="黑体" w:cs="宋体"/>
          <w:bCs/>
          <w:color w:val="000000"/>
          <w:kern w:val="0"/>
          <w:szCs w:val="32"/>
        </w:rPr>
        <w:t>项目支出绩效目标完成情况表</w:t>
      </w:r>
    </w:p>
    <w:p>
      <w:pPr>
        <w:jc w:val="center"/>
        <w:rPr>
          <w:rFonts w:ascii="仿宋" w:hAnsi="仿宋" w:eastAsia="仿宋"/>
          <w:sz w:val="24"/>
        </w:rPr>
      </w:pPr>
      <w:r>
        <w:rPr>
          <w:rFonts w:hint="eastAsia" w:ascii="黑体" w:hAnsi="黑体" w:cs="宋体"/>
          <w:color w:val="000000"/>
          <w:kern w:val="0"/>
          <w:szCs w:val="32"/>
        </w:rPr>
        <w:t>(2020年度)</w:t>
      </w:r>
    </w:p>
    <w:tbl>
      <w:tblPr>
        <w:tblStyle w:val="20"/>
        <w:tblpPr w:leftFromText="180" w:rightFromText="180" w:vertAnchor="text" w:horzAnchor="page" w:tblpXSpec="center" w:tblpY="423"/>
        <w:tblOverlap w:val="never"/>
        <w:tblW w:w="10152" w:type="dxa"/>
        <w:tblInd w:w="0" w:type="dxa"/>
        <w:tblLayout w:type="fixed"/>
        <w:tblCellMar>
          <w:top w:w="0" w:type="dxa"/>
          <w:left w:w="0" w:type="dxa"/>
          <w:bottom w:w="0" w:type="dxa"/>
          <w:right w:w="0" w:type="dxa"/>
        </w:tblCellMar>
      </w:tblPr>
      <w:tblGrid>
        <w:gridCol w:w="839"/>
        <w:gridCol w:w="1110"/>
        <w:gridCol w:w="1025"/>
        <w:gridCol w:w="2392"/>
        <w:gridCol w:w="2394"/>
        <w:gridCol w:w="2392"/>
      </w:tblGrid>
      <w:tr>
        <w:tblPrEx>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_GB2312" w:cs="宋体"/>
                <w:color w:val="000000"/>
                <w:sz w:val="24"/>
              </w:rPr>
            </w:pPr>
            <w:r>
              <w:rPr>
                <w:rFonts w:hint="eastAsia" w:ascii="仿宋" w:hAnsi="仿宋" w:eastAsia="仿宋" w:cs="宋体"/>
                <w:color w:val="000000"/>
                <w:sz w:val="24"/>
              </w:rPr>
              <w:t>处置非法集资工作目标</w:t>
            </w:r>
          </w:p>
        </w:tc>
      </w:tr>
      <w:tr>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广元市金融服务中心</w:t>
            </w:r>
          </w:p>
        </w:tc>
      </w:tr>
      <w:tr>
        <w:tblPrEx>
          <w:tblCellMar>
            <w:top w:w="0" w:type="dxa"/>
            <w:left w:w="0" w:type="dxa"/>
            <w:bottom w:w="0" w:type="dxa"/>
            <w:right w:w="0" w:type="dxa"/>
          </w:tblCellMar>
        </w:tblPrEx>
        <w:trPr>
          <w:trHeight w:val="276" w:hRule="atLeast"/>
        </w:trPr>
        <w:tc>
          <w:tcPr>
            <w:tcW w:w="8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1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w:t>
            </w:r>
          </w:p>
        </w:tc>
      </w:tr>
      <w:tr>
        <w:tblPrEx>
          <w:tblCellMar>
            <w:top w:w="0" w:type="dxa"/>
            <w:left w:w="0" w:type="dxa"/>
            <w:bottom w:w="0" w:type="dxa"/>
            <w:right w:w="0"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1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1</w:t>
            </w:r>
          </w:p>
        </w:tc>
      </w:tr>
      <w:tr>
        <w:tblPrEx>
          <w:tblCellMar>
            <w:top w:w="0" w:type="dxa"/>
            <w:left w:w="0" w:type="dxa"/>
            <w:bottom w:w="0" w:type="dxa"/>
            <w:right w:w="0" w:type="dxa"/>
          </w:tblCellMar>
        </w:tblPrEx>
        <w:trPr>
          <w:trHeight w:val="426"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1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8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ascii="仿宋" w:hAnsi="仿宋" w:eastAsia="仿宋" w:cs="仿宋"/>
                <w:color w:val="000000"/>
                <w:sz w:val="24"/>
              </w:rPr>
            </w:pPr>
            <w:r>
              <w:rPr>
                <w:rFonts w:hint="eastAsia" w:ascii="仿宋" w:hAnsi="仿宋" w:eastAsia="仿宋" w:cs="仿宋"/>
                <w:color w:val="000000"/>
                <w:sz w:val="24"/>
              </w:rPr>
              <w:t>年度目标完成情况</w:t>
            </w:r>
          </w:p>
        </w:tc>
        <w:tc>
          <w:tcPr>
            <w:tcW w:w="45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color w:val="000000" w:themeColor="text1"/>
                <w:sz w:val="21"/>
                <w:szCs w:val="21"/>
                <w14:textFill>
                  <w14:solidFill>
                    <w14:schemeClr w14:val="tx1"/>
                  </w14:solidFill>
                </w14:textFill>
              </w:rPr>
            </w:pPr>
          </w:p>
        </w:tc>
        <w:tc>
          <w:tcPr>
            <w:tcW w:w="45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2020年协助处理投资理财公司非法集资案件22件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对27家网贷分支机构和合作机构清理整顿，截至目前已累计注销营业执照14家，吊销1家。依法开展对全市唯一P2P法人网贷机构创富金融平台的处置，截</w:t>
            </w:r>
            <w:r>
              <w:rPr>
                <w:rFonts w:hint="eastAsia" w:ascii="仿宋" w:hAnsi="仿宋" w:eastAsia="仿宋" w:cs="仿宋"/>
                <w:color w:val="000000" w:themeColor="text1"/>
                <w:sz w:val="21"/>
                <w:szCs w:val="21"/>
                <w:lang w:val="en-US" w:eastAsia="zh-CN"/>
                <w14:textFill>
                  <w14:solidFill>
                    <w14:schemeClr w14:val="tx1"/>
                  </w14:solidFill>
                </w14:textFill>
              </w:rPr>
              <w:t>至</w:t>
            </w:r>
            <w:r>
              <w:rPr>
                <w:rFonts w:hint="eastAsia" w:ascii="仿宋" w:hAnsi="仿宋" w:eastAsia="仿宋" w:cs="仿宋"/>
                <w:color w:val="000000" w:themeColor="text1"/>
                <w:sz w:val="21"/>
                <w:szCs w:val="21"/>
                <w14:textFill>
                  <w14:solidFill>
                    <w14:schemeClr w14:val="tx1"/>
                  </w14:solidFill>
                </w14:textFill>
              </w:rPr>
              <w:t>目前创富金融已累计清退1968.29万元、15人，达到“双降”工作目标。</w:t>
            </w:r>
          </w:p>
        </w:tc>
      </w:tr>
      <w:tr>
        <w:tblPrEx>
          <w:tblCellMar>
            <w:top w:w="0" w:type="dxa"/>
            <w:left w:w="0" w:type="dxa"/>
            <w:bottom w:w="0" w:type="dxa"/>
            <w:right w:w="0" w:type="dxa"/>
          </w:tblCellMar>
        </w:tblPrEx>
        <w:trPr>
          <w:trHeight w:val="1042" w:hRule="atLeast"/>
        </w:trPr>
        <w:tc>
          <w:tcPr>
            <w:tcW w:w="8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绩效指标完成情况</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1297"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cs="宋体"/>
                <w:color w:val="000000" w:themeColor="text1"/>
                <w:sz w:val="21"/>
                <w:szCs w:val="21"/>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both"/>
              <w:textAlignment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2020年协助处理投资理财公司非法集资案件22件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2020年协助处理投资理财公司非法集资案件22件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建立完善了金融风险防范联动工作机制，强化金融风险监测和预警，预防非法集资案件“增量”。</w:t>
            </w:r>
          </w:p>
        </w:tc>
      </w:tr>
      <w:tr>
        <w:tblPrEx>
          <w:tblCellMar>
            <w:top w:w="0" w:type="dxa"/>
            <w:left w:w="0" w:type="dxa"/>
            <w:bottom w:w="0" w:type="dxa"/>
            <w:right w:w="0" w:type="dxa"/>
          </w:tblCellMar>
        </w:tblPrEx>
        <w:trPr>
          <w:trHeight w:val="2155"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cs="宋体"/>
                <w:color w:val="000000" w:themeColor="text1"/>
                <w:sz w:val="21"/>
                <w:szCs w:val="21"/>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开展对27家网贷分支机构或合作机构清理整顿，截至目前已累计注销营业执照14家，吊销1家，创富金融已累计清退1968.29万元、15人，达到“双降”工作目标。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开展对27家网贷分支机构或合作机构清理整顿，截至目前已累计注销营业执照14家，吊销1家，创富金融已累计清退1968.29万元、15人，达到“双降”工作目标。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持续抓好互联网金融风险清理整顿，推动我市法人网贷平台风险早日实现出清，推动创富金融平台网贷业务在2021年6月底前完成资金清退。守住不发生区域性系统性金融风险底线。</w:t>
            </w:r>
          </w:p>
        </w:tc>
      </w:tr>
      <w:tr>
        <w:tblPrEx>
          <w:tblCellMar>
            <w:top w:w="0" w:type="dxa"/>
            <w:left w:w="0" w:type="dxa"/>
            <w:bottom w:w="0" w:type="dxa"/>
            <w:right w:w="0" w:type="dxa"/>
          </w:tblCellMar>
        </w:tblPrEx>
        <w:trPr>
          <w:trHeight w:val="1050" w:hRule="atLeast"/>
        </w:trPr>
        <w:tc>
          <w:tcPr>
            <w:tcW w:w="839"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40" w:lineRule="exact"/>
              <w:rPr>
                <w:rFonts w:ascii="仿宋" w:hAnsi="仿宋" w:eastAsia="仿宋" w:cs="宋体"/>
                <w:color w:val="000000" w:themeColor="text1"/>
                <w:sz w:val="21"/>
                <w:szCs w:val="21"/>
                <w14:textFill>
                  <w14:solidFill>
                    <w14:schemeClr w14:val="tx1"/>
                  </w14:solidFill>
                </w14:textFill>
              </w:rPr>
            </w:pPr>
          </w:p>
        </w:tc>
        <w:tc>
          <w:tcPr>
            <w:tcW w:w="111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100%完成省金融工作局下达的目标任务</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100%完成省金融工作局下达的目标任务</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100%完成省局下达的目标任务</w:t>
            </w:r>
          </w:p>
        </w:tc>
      </w:tr>
    </w:tbl>
    <w:p>
      <w:pPr>
        <w:pStyle w:val="2"/>
        <w:rPr>
          <w:rFonts w:hint="eastAsia" w:ascii="黑体" w:hAnsi="黑体" w:cs="宋体"/>
          <w:bCs/>
          <w:color w:val="000000"/>
          <w:kern w:val="0"/>
          <w:szCs w:val="32"/>
        </w:rPr>
      </w:pPr>
    </w:p>
    <w:p>
      <w:pPr>
        <w:spacing w:line="580" w:lineRule="exact"/>
        <w:jc w:val="center"/>
        <w:rPr>
          <w:rFonts w:ascii="仿宋" w:hAnsi="仿宋" w:eastAsia="仿宋" w:cs="仿宋_GB2312"/>
          <w:sz w:val="24"/>
        </w:rPr>
      </w:pPr>
      <w:r>
        <w:rPr>
          <w:rFonts w:hint="eastAsia" w:ascii="黑体" w:hAnsi="黑体" w:cs="宋体"/>
          <w:bCs/>
          <w:color w:val="000000"/>
          <w:kern w:val="0"/>
          <w:szCs w:val="32"/>
        </w:rPr>
        <w:t>项目支出绩效目标完成情况表</w:t>
      </w:r>
    </w:p>
    <w:p>
      <w:pPr>
        <w:spacing w:line="580" w:lineRule="exact"/>
        <w:jc w:val="center"/>
        <w:rPr>
          <w:rFonts w:ascii="仿宋" w:hAnsi="仿宋" w:eastAsia="仿宋" w:cs="仿宋_GB2312"/>
          <w:sz w:val="24"/>
        </w:rPr>
      </w:pPr>
      <w:r>
        <w:rPr>
          <w:rFonts w:hint="eastAsia" w:ascii="黑体" w:hAnsi="黑体" w:cs="宋体"/>
          <w:color w:val="000000"/>
          <w:kern w:val="0"/>
          <w:szCs w:val="32"/>
        </w:rPr>
        <w:t>(2020年度)</w:t>
      </w:r>
    </w:p>
    <w:tbl>
      <w:tblPr>
        <w:tblStyle w:val="2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仿宋_GB2312"/>
                <w:sz w:val="24"/>
              </w:rPr>
              <w:t>项目融资工作绩效目标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广元市金融服务中心</w:t>
            </w:r>
          </w:p>
        </w:tc>
      </w:tr>
      <w:tr>
        <w:tblPrEx>
          <w:tblCellMar>
            <w:top w:w="0" w:type="dxa"/>
            <w:left w:w="0" w:type="dxa"/>
            <w:bottom w:w="0" w:type="dxa"/>
            <w:right w:w="0" w:type="dxa"/>
          </w:tblCellMar>
        </w:tblPrEx>
        <w:trPr>
          <w:trHeight w:val="96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0.8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0.8</w:t>
            </w:r>
          </w:p>
        </w:tc>
      </w:tr>
      <w:tr>
        <w:tblPrEx>
          <w:tblCellMar>
            <w:top w:w="0" w:type="dxa"/>
            <w:left w:w="0" w:type="dxa"/>
            <w:bottom w:w="0" w:type="dxa"/>
            <w:right w:w="0" w:type="dxa"/>
          </w:tblCellMar>
        </w:tblPrEx>
        <w:trPr>
          <w:trHeight w:val="10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63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textAlignment w:val="center"/>
              <w:rPr>
                <w:rFonts w:ascii="仿宋" w:hAnsi="仿宋" w:eastAsia="仿宋" w:cs="宋体"/>
                <w:color w:val="000000"/>
                <w:sz w:val="24"/>
              </w:rPr>
            </w:pPr>
            <w:r>
              <w:rPr>
                <w:rFonts w:hint="eastAsia" w:ascii="仿宋" w:hAnsi="仿宋" w:eastAsia="仿宋" w:cs="宋体"/>
                <w:color w:val="000000"/>
                <w:sz w:val="24"/>
              </w:rPr>
              <w:t>为了进一步让银政企保资源得到整合，信息得到沟通，为企业融资提供有效的路径，收到较好的效果。通过政银保担企全方位对接，达成意向融资近百亿元。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为</w:t>
            </w:r>
            <w:r>
              <w:rPr>
                <w:rFonts w:hint="eastAsia" w:ascii="仿宋" w:hAnsi="仿宋" w:eastAsia="仿宋" w:cs="宋体"/>
                <w:color w:val="000000"/>
                <w:sz w:val="24"/>
              </w:rPr>
              <w:t>我市省、市级重大项目做好融资工作，资本市场直接融资28.6亿元，超省下直接融资与地区生产总值比率目标0.7个百分点</w:t>
            </w:r>
            <w:r>
              <w:rPr>
                <w:rFonts w:hint="eastAsia" w:ascii="仿宋" w:hAnsi="仿宋" w:eastAsia="仿宋" w:cs="宋体"/>
                <w:color w:val="000000"/>
                <w:sz w:val="24"/>
                <w:lang w:eastAsia="zh-CN"/>
              </w:rPr>
              <w:t>。</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 w:eastAsia="仿宋" w:cs="宋体"/>
                <w:i/>
                <w:color w:val="000000"/>
                <w:sz w:val="24"/>
                <w:lang w:eastAsia="zh-CN"/>
              </w:rPr>
            </w:pPr>
            <w:r>
              <w:rPr>
                <w:rFonts w:hint="eastAsia" w:ascii="仿宋" w:hAnsi="仿宋" w:eastAsia="仿宋" w:cs="宋体"/>
                <w:color w:val="000000"/>
                <w:sz w:val="18"/>
                <w:szCs w:val="18"/>
              </w:rPr>
              <w:t>为我市，省、市级重大项目做好融资工作，资本市场直接融资28.6亿元，超省下直接融资与地区生产总值比率目标0.7个百分点</w:t>
            </w:r>
            <w:r>
              <w:rPr>
                <w:rFonts w:hint="eastAsia" w:ascii="仿宋" w:hAnsi="仿宋" w:eastAsia="仿宋" w:cs="宋体"/>
                <w:color w:val="000000"/>
                <w:sz w:val="18"/>
                <w:szCs w:val="18"/>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hint="eastAsia" w:ascii="仿宋" w:hAnsi="仿宋" w:eastAsia="仿宋"/>
                <w:sz w:val="18"/>
                <w:szCs w:val="18"/>
                <w:lang w:eastAsia="zh-CN"/>
              </w:rPr>
            </w:pPr>
            <w:r>
              <w:rPr>
                <w:rFonts w:hint="eastAsia" w:ascii="仿宋" w:hAnsi="仿宋" w:eastAsia="仿宋" w:cs="宋体"/>
                <w:color w:val="000000"/>
                <w:sz w:val="18"/>
                <w:szCs w:val="18"/>
              </w:rPr>
              <w:t>资本市场直接融资28.6亿元，超省下直接融资与地区生产总值比率目标0.7个百分点</w:t>
            </w:r>
            <w:r>
              <w:rPr>
                <w:rFonts w:hint="eastAsia" w:ascii="仿宋" w:hAnsi="仿宋" w:eastAsia="仿宋" w:cs="宋体"/>
                <w:color w:val="000000"/>
                <w:sz w:val="18"/>
                <w:szCs w:val="18"/>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仿宋" w:hAnsi="仿宋" w:eastAsia="仿宋"/>
                <w:sz w:val="18"/>
                <w:szCs w:val="18"/>
                <w:lang w:eastAsia="zh-CN"/>
              </w:rPr>
            </w:pPr>
            <w:r>
              <w:rPr>
                <w:rFonts w:hint="eastAsia" w:ascii="仿宋" w:hAnsi="仿宋" w:eastAsia="仿宋" w:cs="宋体"/>
                <w:color w:val="000000"/>
                <w:sz w:val="18"/>
                <w:szCs w:val="18"/>
              </w:rPr>
              <w:t>资本市场直接融资28.6亿元，超省下直接融资与地区生产总值比率目标0.7个百分点</w:t>
            </w:r>
            <w:r>
              <w:rPr>
                <w:rFonts w:hint="eastAsia" w:ascii="仿宋" w:hAnsi="仿宋" w:eastAsia="仿宋" w:cs="宋体"/>
                <w:color w:val="000000"/>
                <w:sz w:val="18"/>
                <w:szCs w:val="18"/>
                <w:lang w:eastAsia="zh-CN"/>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积极搭建多层次、多领域、常态化的银政企对接平台，营造良好金融投资环境，为重大项目做好融资服务工作。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积极搭建多层次、多领域、常态化的银政企对接平台，营造良好金融投资环境，为重大项目做好融资服务工作。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积极搭建多层次、多领域、常态化的银政企对接平台，营造良好金融投资环境，为重大项目做好融资服务工作。</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为市级平台公司做好协调服务工作满意度95%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为市级平台公司做好协调服务工作满意度95%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为市级平台公司做好协调服务工作满意度达到95%以上</w:t>
            </w:r>
          </w:p>
        </w:tc>
      </w:tr>
    </w:tbl>
    <w:p>
      <w:pPr>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jc w:val="center"/>
        <w:rPr>
          <w:rFonts w:hint="eastAsia" w:ascii="黑体" w:hAnsi="黑体" w:eastAsia="黑体" w:cs="宋体"/>
          <w:bCs/>
          <w:color w:val="000000"/>
          <w:kern w:val="0"/>
          <w:szCs w:val="32"/>
          <w:lang w:eastAsia="zh-CN"/>
        </w:rPr>
      </w:pPr>
      <w:r>
        <w:rPr>
          <w:rFonts w:hint="eastAsia" w:ascii="黑体" w:hAnsi="黑体" w:cs="宋体"/>
          <w:bCs/>
          <w:color w:val="000000"/>
          <w:kern w:val="0"/>
          <w:szCs w:val="32"/>
        </w:rPr>
        <w:t>项目支出绩效目标完成情况表</w:t>
      </w:r>
    </w:p>
    <w:p>
      <w:pPr>
        <w:jc w:val="center"/>
        <w:rPr>
          <w:rFonts w:ascii="仿宋" w:hAnsi="仿宋" w:eastAsia="仿宋"/>
          <w:sz w:val="24"/>
        </w:rPr>
      </w:pPr>
      <w:r>
        <w:rPr>
          <w:rFonts w:hint="eastAsia" w:ascii="黑体" w:hAnsi="黑体" w:cs="宋体"/>
          <w:color w:val="000000"/>
          <w:kern w:val="0"/>
          <w:szCs w:val="32"/>
        </w:rPr>
        <w:t>(2020年度)</w:t>
      </w:r>
    </w:p>
    <w:tbl>
      <w:tblPr>
        <w:tblStyle w:val="20"/>
        <w:tblpPr w:leftFromText="180" w:rightFromText="180" w:vertAnchor="text" w:horzAnchor="margin" w:tblpXSpec="center" w:tblpY="498"/>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脱贫攻坚帮扶联系村工作经费绩效目标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广元市金融服务中心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按照财政局下达《广元市市级部门（单位）驻村帮扶联系村项目预算控制数》，贫困村帮扶部门工作经费2500元，驻村非贫困村帮扶工作经费2500元</w:t>
            </w:r>
            <w:r>
              <w:rPr>
                <w:rFonts w:hint="eastAsia" w:ascii="仿宋" w:hAnsi="仿宋" w:eastAsia="仿宋"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贫困村帮扶部门工作经费2500元，驻村非贫困村帮扶工作经费2500元，全部用于昭化区双龙村、剑阁县金仙村柏垭村开展帮扶工作。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全面完成2020年帮扶工作任务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全面完成2020年帮扶工作任务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24"/>
              </w:rPr>
              <w:t>帮扶村、帮扶对象全部脱贫，全面完成2020年帮扶工作任务</w:t>
            </w:r>
            <w:r>
              <w:rPr>
                <w:rFonts w:hint="eastAsia" w:ascii="仿宋" w:hAnsi="仿宋" w:eastAsia="仿宋" w:cs="宋体"/>
                <w:color w:val="000000"/>
                <w:sz w:val="18"/>
                <w:szCs w:val="18"/>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数字指标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贫困村双龙村、插花村剑阁金仙、柏垭村帮扶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贫困村双龙村、插花村剑阁金仙、柏垭村帮扶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每月第一书记驻村20天以上、工作队员驻村10天以上，慰问110户帮扶贫困户</w:t>
            </w:r>
            <w:r>
              <w:rPr>
                <w:rFonts w:hint="eastAsia" w:ascii="仿宋" w:hAnsi="仿宋" w:eastAsia="仿宋" w:cs="宋体"/>
                <w:color w:val="000000"/>
                <w:sz w:val="24"/>
                <w:lang w:eastAsia="zh-CN"/>
              </w:rPr>
              <w:t>。</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帮扶户满意度98%</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帮扶户满意度98%</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帮扶户满意度达到98%以上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0" w:type="dxa"/>
            <w:gridSpan w:val="6"/>
          </w:tcPr>
          <w:p>
            <w:pPr>
              <w:rPr>
                <w:rFonts w:ascii="仿宋" w:hAnsi="仿宋" w:eastAsia="仿宋"/>
                <w:sz w:val="24"/>
              </w:rPr>
            </w:pPr>
          </w:p>
        </w:tc>
      </w:tr>
    </w:tbl>
    <w:p>
      <w:pPr>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hint="eastAsia" w:ascii="仿宋" w:hAnsi="仿宋" w:eastAsia="仿宋"/>
          <w:sz w:val="24"/>
          <w:lang w:eastAsia="zh-CN"/>
        </w:rPr>
      </w:pPr>
    </w:p>
    <w:p>
      <w:pPr>
        <w:jc w:val="center"/>
        <w:rPr>
          <w:rFonts w:ascii="仿宋" w:hAnsi="仿宋" w:eastAsia="仿宋"/>
          <w:sz w:val="24"/>
        </w:rPr>
      </w:pPr>
      <w:r>
        <w:rPr>
          <w:rFonts w:hint="eastAsia" w:ascii="黑体" w:hAnsi="黑体" w:cs="宋体"/>
          <w:bCs/>
          <w:color w:val="000000"/>
          <w:kern w:val="0"/>
          <w:szCs w:val="32"/>
        </w:rPr>
        <w:t>项目支出绩效目标完成情况表</w:t>
      </w:r>
    </w:p>
    <w:p>
      <w:pPr>
        <w:jc w:val="center"/>
        <w:rPr>
          <w:rFonts w:ascii="仿宋" w:hAnsi="仿宋" w:eastAsia="仿宋"/>
          <w:sz w:val="24"/>
        </w:rPr>
      </w:pPr>
      <w:r>
        <w:rPr>
          <w:rFonts w:hint="eastAsia" w:ascii="黑体" w:hAnsi="黑体" w:cs="宋体"/>
          <w:color w:val="000000"/>
          <w:kern w:val="0"/>
          <w:szCs w:val="32"/>
        </w:rPr>
        <w:t>(2020年度)</w:t>
      </w:r>
    </w:p>
    <w:tbl>
      <w:tblPr>
        <w:tblStyle w:val="20"/>
        <w:tblpPr w:leftFromText="180" w:rightFromText="180" w:vertAnchor="text" w:horzAnchor="page" w:tblpXSpec="center" w:tblpY="423"/>
        <w:tblOverlap w:val="never"/>
        <w:tblW w:w="10152" w:type="dxa"/>
        <w:tblInd w:w="0" w:type="dxa"/>
        <w:tblLayout w:type="fixed"/>
        <w:tblCellMar>
          <w:top w:w="0" w:type="dxa"/>
          <w:left w:w="0" w:type="dxa"/>
          <w:bottom w:w="0" w:type="dxa"/>
          <w:right w:w="0" w:type="dxa"/>
        </w:tblCellMar>
      </w:tblPr>
      <w:tblGrid>
        <w:gridCol w:w="582"/>
        <w:gridCol w:w="1367"/>
        <w:gridCol w:w="1025"/>
        <w:gridCol w:w="2392"/>
        <w:gridCol w:w="2394"/>
        <w:gridCol w:w="2392"/>
      </w:tblGrid>
      <w:tr>
        <w:tblPrEx>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_GB2312" w:cs="宋体"/>
                <w:color w:val="000000"/>
                <w:sz w:val="24"/>
              </w:rPr>
            </w:pPr>
            <w:r>
              <w:rPr>
                <w:rFonts w:hint="eastAsia" w:ascii="仿宋" w:hAnsi="仿宋" w:eastAsia="仿宋" w:cs="宋体"/>
                <w:color w:val="000000"/>
                <w:sz w:val="24"/>
              </w:rPr>
              <w:t>四川金融支持广元融入成渝地区双城经济圈建设推进会项目</w:t>
            </w:r>
          </w:p>
        </w:tc>
      </w:tr>
      <w:tr>
        <w:tblPrEx>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广元市金融服务中心</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7</w:t>
            </w:r>
          </w:p>
        </w:tc>
      </w:tr>
      <w:tr>
        <w:tblPrEx>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7</w:t>
            </w:r>
          </w:p>
        </w:tc>
      </w:tr>
      <w:tr>
        <w:tblPrEx>
          <w:tblCellMar>
            <w:top w:w="0" w:type="dxa"/>
            <w:left w:w="0" w:type="dxa"/>
            <w:bottom w:w="0" w:type="dxa"/>
            <w:right w:w="0" w:type="dxa"/>
          </w:tblCellMar>
        </w:tblPrEx>
        <w:trPr>
          <w:trHeight w:val="11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ascii="仿宋" w:hAnsi="仿宋" w:eastAsia="仿宋" w:cs="仿宋"/>
                <w:color w:val="000000"/>
                <w:sz w:val="24"/>
              </w:rPr>
            </w:pPr>
            <w:r>
              <w:rPr>
                <w:rFonts w:hint="eastAsia" w:ascii="仿宋" w:hAnsi="仿宋" w:eastAsia="仿宋" w:cs="仿宋"/>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ascii="仿宋" w:hAnsi="仿宋" w:eastAsia="仿宋" w:cs="仿宋"/>
                <w:color w:val="000000"/>
                <w:sz w:val="24"/>
              </w:rPr>
            </w:pPr>
            <w:r>
              <w:rPr>
                <w:rFonts w:hint="eastAsia" w:ascii="仿宋" w:hAnsi="仿宋" w:eastAsia="仿宋" w:cs="仿宋"/>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rPr>
                <w:rFonts w:hint="eastAsia" w:ascii="仿宋" w:hAnsi="仿宋" w:eastAsia="仿宋" w:cs="仿宋"/>
                <w:color w:val="000000"/>
                <w:sz w:val="24"/>
                <w:lang w:eastAsia="zh-CN"/>
              </w:rPr>
            </w:pPr>
            <w:r>
              <w:rPr>
                <w:rFonts w:hint="eastAsia" w:ascii="仿宋" w:hAnsi="仿宋" w:eastAsia="仿宋" w:cs="仿宋"/>
                <w:color w:val="000000"/>
                <w:sz w:val="24"/>
              </w:rPr>
              <w:t xml:space="preserve">   9月初在成都成功举办四川金融支持广元融入成渝地区双城经济圈建设推进会，邀请省级金融机构参加，并签订五年意向融资协议书</w:t>
            </w:r>
            <w:r>
              <w:rPr>
                <w:rFonts w:hint="eastAsia" w:ascii="仿宋" w:hAnsi="仿宋" w:eastAsia="仿宋" w:cs="仿宋"/>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仿宋"/>
                <w:color w:val="000000"/>
                <w:sz w:val="24"/>
              </w:rPr>
            </w:pPr>
            <w:r>
              <w:rPr>
                <w:rFonts w:hint="eastAsia" w:ascii="仿宋" w:hAnsi="仿宋" w:eastAsia="仿宋" w:cs="仿宋"/>
                <w:color w:val="000000"/>
                <w:sz w:val="24"/>
              </w:rPr>
              <w:t xml:space="preserve">   9月7在成都成功举办四川金融支持广元融入成渝地区双城经济圈建设推进会，广元市人民政府与国家开发银行四川省分行等22家省级金融机构签订未来五年融资总量达5620亿元的战略合作协议，签约成果逐步落地见效。</w:t>
            </w:r>
          </w:p>
        </w:tc>
      </w:tr>
      <w:tr>
        <w:tblPrEx>
          <w:tblCellMar>
            <w:top w:w="0" w:type="dxa"/>
            <w:left w:w="0" w:type="dxa"/>
            <w:bottom w:w="0" w:type="dxa"/>
            <w:right w:w="0" w:type="dxa"/>
          </w:tblCellMar>
        </w:tblPrEx>
        <w:trPr>
          <w:trHeight w:val="1042"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邀请省级金融机构参加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邀请省级金融机构参加，并签订五年意向融资协议书</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仿宋"/>
                <w:color w:val="000000"/>
                <w:sz w:val="24"/>
              </w:rPr>
              <w:t>22家省级金融机构签订未来五年融资总量达5620亿元的战略合作协议</w:t>
            </w:r>
          </w:p>
        </w:tc>
      </w:tr>
      <w:tr>
        <w:tblPrEx>
          <w:tblCellMar>
            <w:top w:w="0" w:type="dxa"/>
            <w:left w:w="0" w:type="dxa"/>
            <w:bottom w:w="0" w:type="dxa"/>
            <w:right w:w="0" w:type="dxa"/>
          </w:tblCellMar>
        </w:tblPrEx>
        <w:trPr>
          <w:trHeight w:val="215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支持国家级绿色金融创新试点、健全金融服务体系、完善多元化资本市场建设、促进地方金融组织体系特色化发展等方面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提出13条具体措施，为金融支持广元积极融入成渝地区双城经济圈建设提供了政策指引</w:t>
            </w:r>
            <w:r>
              <w:rPr>
                <w:rFonts w:hint="eastAsia" w:ascii="仿宋" w:hAnsi="仿宋" w:eastAsia="仿宋"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4"/>
              </w:rPr>
            </w:pPr>
            <w:r>
              <w:rPr>
                <w:rFonts w:hint="eastAsia" w:ascii="仿宋" w:hAnsi="仿宋" w:eastAsia="仿宋" w:cs="仿宋"/>
                <w:color w:val="000000"/>
                <w:sz w:val="24"/>
              </w:rPr>
              <w:t>进一步加强合作，争取省级金融机构在旅游康养、特色产业等更多方面、更宽领域支持广元发展</w:t>
            </w:r>
          </w:p>
        </w:tc>
      </w:tr>
      <w:tr>
        <w:tblPrEx>
          <w:tblCellMar>
            <w:top w:w="0" w:type="dxa"/>
            <w:left w:w="0" w:type="dxa"/>
            <w:bottom w:w="0" w:type="dxa"/>
            <w:right w:w="0" w:type="dxa"/>
          </w:tblCellMar>
        </w:tblPrEx>
        <w:trPr>
          <w:trHeight w:val="1050" w:hRule="atLeast"/>
        </w:trPr>
        <w:tc>
          <w:tcPr>
            <w:tcW w:w="582" w:type="dxa"/>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金融机构满意90%以上</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金融机构满意90%以上</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金融机构满意90%以上</w:t>
            </w:r>
          </w:p>
        </w:tc>
      </w:tr>
    </w:tbl>
    <w:p>
      <w:pPr>
        <w:pStyle w:val="3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本单位按要求对2020年部门整体支出开展绩效自评，从评价情况来看，取得了良好社会效益，金融服务体系不断完善，服务实体经济举措有力，金融风险防范扎实有效，创新举措开展脱贫攻坚工作取得显著成效。</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2.部门绩效评价结果。</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市金融服务中心按要求对2020年部门整体支出绩效评价情况开展自评，《市金融服务中心2020年部门整体支出绩效评价报告》见附件（附件1）。</w:t>
      </w:r>
    </w:p>
    <w:p>
      <w:pPr>
        <w:pStyle w:val="10"/>
        <w:rPr>
          <w:rFonts w:eastAsia="仿宋_GB2312"/>
        </w:rPr>
      </w:pPr>
    </w:p>
    <w:p>
      <w:pPr>
        <w:numPr>
          <w:ilvl w:val="0"/>
          <w:numId w:val="1"/>
        </w:numPr>
        <w:spacing w:line="600" w:lineRule="exact"/>
        <w:ind w:firstLine="660" w:firstLineChars="150"/>
        <w:jc w:val="center"/>
        <w:outlineLvl w:val="0"/>
        <w:rPr>
          <w:rStyle w:val="33"/>
          <w:rFonts w:ascii="方正小标宋_GBK" w:hAnsi="黑体"/>
          <w:b w:val="0"/>
        </w:rPr>
      </w:pPr>
      <w:bookmarkStart w:id="66" w:name="_Toc15377225"/>
      <w:bookmarkStart w:id="67" w:name="_Toc23785"/>
      <w:bookmarkStart w:id="68" w:name="_Toc29713"/>
      <w:r>
        <w:rPr>
          <w:rFonts w:hint="eastAsia" w:ascii="方正小标宋_GBK" w:eastAsia="方正小标宋_GBK" w:hAnsiTheme="majorHAnsi" w:cstheme="majorBidi"/>
          <w:bCs/>
          <w:sz w:val="44"/>
          <w:szCs w:val="44"/>
        </w:rPr>
        <w:t>名词解释</w:t>
      </w:r>
      <w:bookmarkEnd w:id="66"/>
      <w:bookmarkEnd w:id="67"/>
      <w:bookmarkEnd w:id="68"/>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1.财政拨款收入：指单位从同级财政部门取得的财政预算资金。</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 xml:space="preserve">2.其他收入：指单位取得的除上述收入以外的各项收入。主要是银行存款利息收入等。 </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 xml:space="preserve">3.年初结转和结余：指以前年度尚未完成、结转到本年按有关规定继续使用的资金。 </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4.年末结转和结余：指单位按有关规定结转到下年或以后年度继续使用的资金。</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5.政府办公厅（室）及相关机构事务（款）行政运行（项）：是指行政单位（包括实行公务员管理的事业单位）的基本支出。</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6.基本支出：指为保障机构正常运转、完成日常工作任务而发生的人员支出和公用支出。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 xml:space="preserve">7.一般公共服务（类）政府办公厅（室）及相关机构事务（款）一般行政管理事务（项）：指单位开展专项工作所发生的费用。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9.社会保障和就业（类）行政事业单位离退休（款）机关事业单位基本养老保险缴费支出（项）：指单位为职工缴纳的并轨养老保险。</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单位医疗（项）：指单位为职工缴纳的基本医疗保险。</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住房保障（类）住房改革支出（款）住房公积金（项）：指单位为职工缴纳的住房公积金。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w:t>
      </w:r>
      <w:bookmarkStart w:id="83" w:name="_GoBack"/>
      <w:bookmarkEnd w:id="83"/>
      <w:r>
        <w:rPr>
          <w:rFonts w:hint="eastAsia" w:ascii="仿宋_GB2312" w:eastAsia="仿宋_GB2312"/>
          <w:color w:val="000000"/>
          <w:sz w:val="32"/>
          <w:szCs w:val="32"/>
        </w:rPr>
        <w:t>办公用房物业管理费、公务用车运行维护费以及其他费用。</w:t>
      </w:r>
    </w:p>
    <w:p>
      <w:pPr>
        <w:pStyle w:val="16"/>
        <w:rPr>
          <w:rFonts w:hint="default"/>
          <w:lang w:val="en-US" w:eastAsia="zh-CN"/>
        </w:rPr>
      </w:pPr>
    </w:p>
    <w:p>
      <w:pPr>
        <w:pStyle w:val="25"/>
      </w:pPr>
      <w:bookmarkStart w:id="69" w:name="_Toc15377226"/>
    </w:p>
    <w:p>
      <w:pPr>
        <w:pStyle w:val="25"/>
      </w:pPr>
    </w:p>
    <w:p>
      <w:pPr>
        <w:pStyle w:val="25"/>
      </w:pPr>
    </w:p>
    <w:p>
      <w:pPr>
        <w:pStyle w:val="25"/>
      </w:pPr>
    </w:p>
    <w:p>
      <w:pPr>
        <w:pStyle w:val="25"/>
      </w:pPr>
    </w:p>
    <w:p>
      <w:pPr>
        <w:pStyle w:val="25"/>
      </w:pPr>
    </w:p>
    <w:p>
      <w:pPr>
        <w:pStyle w:val="25"/>
      </w:pPr>
    </w:p>
    <w:p>
      <w:pPr>
        <w:pStyle w:val="25"/>
      </w:pPr>
    </w:p>
    <w:p>
      <w:pPr>
        <w:numPr>
          <w:ilvl w:val="0"/>
          <w:numId w:val="1"/>
        </w:numPr>
        <w:spacing w:line="600" w:lineRule="exact"/>
        <w:ind w:firstLine="660" w:firstLineChars="150"/>
        <w:jc w:val="center"/>
        <w:outlineLvl w:val="0"/>
        <w:rPr>
          <w:rFonts w:ascii="方正小标宋_GBK" w:eastAsia="方正小标宋_GBK" w:hAnsiTheme="majorHAnsi" w:cstheme="majorBidi"/>
          <w:bCs/>
          <w:sz w:val="44"/>
          <w:szCs w:val="44"/>
        </w:rPr>
      </w:pPr>
      <w:bookmarkStart w:id="70" w:name="_Toc9390"/>
      <w:bookmarkStart w:id="71" w:name="_Toc26562"/>
      <w:r>
        <w:rPr>
          <w:rFonts w:hint="eastAsia" w:ascii="方正小标宋_GBK" w:eastAsia="方正小标宋_GBK" w:hAnsiTheme="majorHAnsi" w:cstheme="majorBidi"/>
          <w:bCs/>
          <w:sz w:val="44"/>
          <w:szCs w:val="44"/>
        </w:rPr>
        <w:t>附件</w:t>
      </w:r>
      <w:bookmarkEnd w:id="70"/>
      <w:bookmarkEnd w:id="71"/>
    </w:p>
    <w:p>
      <w:pPr>
        <w:pStyle w:val="25"/>
        <w:rPr>
          <w:rFonts w:ascii="方正小标宋_GBK" w:hAnsi="黑体" w:eastAsia="方正小标宋_GBK" w:cs="Times New Roman"/>
          <w:kern w:val="2"/>
          <w:sz w:val="44"/>
          <w:szCs w:val="44"/>
        </w:rPr>
      </w:pPr>
    </w:p>
    <w:p>
      <w:pPr>
        <w:spacing w:line="576" w:lineRule="exact"/>
        <w:rPr>
          <w:rStyle w:val="33"/>
          <w:rFonts w:ascii="黑体" w:hAnsi="黑体" w:eastAsia="黑体"/>
          <w:b w:val="0"/>
          <w:sz w:val="32"/>
          <w:szCs w:val="32"/>
        </w:rPr>
      </w:pPr>
      <w:bookmarkStart w:id="72" w:name="_Toc15396615"/>
      <w:bookmarkStart w:id="73" w:name="_Toc4158"/>
      <w:bookmarkStart w:id="74" w:name="_Toc235"/>
      <w:bookmarkStart w:id="75" w:name="_Toc11126"/>
      <w:r>
        <w:rPr>
          <w:rStyle w:val="33"/>
          <w:rFonts w:hint="eastAsia" w:ascii="黑体" w:hAnsi="黑体" w:eastAsia="黑体"/>
          <w:b w:val="0"/>
          <w:sz w:val="32"/>
          <w:szCs w:val="32"/>
        </w:rPr>
        <w:t>附件1</w:t>
      </w:r>
      <w:bookmarkEnd w:id="72"/>
    </w:p>
    <w:bookmarkEnd w:id="73"/>
    <w:bookmarkEnd w:id="74"/>
    <w:bookmarkEnd w:id="75"/>
    <w:p>
      <w:pPr>
        <w:spacing w:line="576" w:lineRule="exact"/>
        <w:jc w:val="center"/>
        <w:rPr>
          <w:rFonts w:ascii="方正小标宋_GBK" w:hAnsi="黑体" w:eastAsia="方正小标宋_GBK" w:cs="方正小标宋简体"/>
          <w:sz w:val="44"/>
          <w:szCs w:val="44"/>
        </w:rPr>
      </w:pPr>
      <w:bookmarkStart w:id="76" w:name="_Toc18734"/>
      <w:bookmarkStart w:id="77" w:name="_Toc15396616"/>
      <w:r>
        <w:rPr>
          <w:rFonts w:hint="eastAsia" w:ascii="方正小标宋_GBK" w:hAnsi="黑体" w:eastAsia="方正小标宋_GBK" w:cs="方正小标宋简体"/>
          <w:sz w:val="44"/>
          <w:szCs w:val="44"/>
        </w:rPr>
        <w:t>广元市金融服务中心</w:t>
      </w:r>
      <w:bookmarkEnd w:id="76"/>
    </w:p>
    <w:p>
      <w:pPr>
        <w:spacing w:line="576" w:lineRule="exact"/>
        <w:jc w:val="center"/>
        <w:rPr>
          <w:rFonts w:ascii="方正小标宋_GBK" w:hAnsi="黑体" w:eastAsia="方正小标宋_GBK" w:cs="方正小标宋简体"/>
          <w:sz w:val="44"/>
          <w:szCs w:val="44"/>
        </w:rPr>
      </w:pPr>
      <w:bookmarkStart w:id="78" w:name="_Toc9986"/>
      <w:r>
        <w:rPr>
          <w:rFonts w:hint="eastAsia" w:ascii="方正小标宋_GBK" w:hAnsi="黑体" w:eastAsia="方正小标宋_GBK" w:cs="方正小标宋简体"/>
          <w:sz w:val="44"/>
          <w:szCs w:val="44"/>
        </w:rPr>
        <w:t>2020年部门整体支出绩效评价报告</w:t>
      </w:r>
      <w:bookmarkEnd w:id="77"/>
      <w:bookmarkEnd w:id="78"/>
    </w:p>
    <w:p>
      <w:pPr>
        <w:spacing w:line="576" w:lineRule="exact"/>
        <w:ind w:firstLine="880" w:firstLineChars="200"/>
        <w:rPr>
          <w:rFonts w:ascii="黑体" w:hAnsi="黑体" w:cs="黑体"/>
          <w:sz w:val="44"/>
          <w:szCs w:val="44"/>
        </w:rPr>
      </w:pPr>
    </w:p>
    <w:p>
      <w:pPr>
        <w:spacing w:line="576" w:lineRule="exact"/>
        <w:ind w:firstLine="640" w:firstLineChars="200"/>
        <w:rPr>
          <w:rFonts w:ascii="黑体" w:hAnsi="黑体" w:cs="黑体"/>
          <w:szCs w:val="32"/>
        </w:rPr>
      </w:pPr>
      <w:r>
        <w:rPr>
          <w:rFonts w:hint="eastAsia" w:ascii="黑体" w:hAnsi="黑体" w:cs="黑体"/>
          <w:szCs w:val="32"/>
        </w:rPr>
        <w:t>一、部门（单位）概况</w:t>
      </w:r>
    </w:p>
    <w:p>
      <w:pPr>
        <w:spacing w:line="576" w:lineRule="exact"/>
        <w:ind w:firstLine="640" w:firstLineChars="200"/>
        <w:rPr>
          <w:rFonts w:ascii="楷体_GB2312" w:hAnsi="仿宋" w:eastAsia="楷体_GB2312" w:cs="仿宋_GB2312"/>
          <w:szCs w:val="32"/>
        </w:rPr>
      </w:pPr>
      <w:r>
        <w:rPr>
          <w:rFonts w:hint="eastAsia" w:ascii="楷体_GB2312" w:hAnsi="仿宋" w:eastAsia="楷体_GB2312" w:cs="仿宋_GB2312"/>
          <w:szCs w:val="32"/>
        </w:rPr>
        <w:t>（一）机构组成</w:t>
      </w:r>
    </w:p>
    <w:p>
      <w:pPr>
        <w:spacing w:line="576" w:lineRule="exact"/>
        <w:ind w:firstLine="640" w:firstLineChars="200"/>
        <w:rPr>
          <w:rFonts w:ascii="仿宋_GB2312" w:hAnsi="仿宋" w:eastAsia="仿宋_GB2312" w:cs="仿宋_GB2312"/>
          <w:szCs w:val="32"/>
        </w:rPr>
      </w:pPr>
      <w:r>
        <w:rPr>
          <w:rFonts w:hint="eastAsia" w:ascii="仿宋_GB2312" w:hAnsi="仿宋" w:eastAsia="仿宋_GB2312" w:cs="宋体"/>
          <w:color w:val="000000"/>
          <w:kern w:val="0"/>
          <w:szCs w:val="32"/>
        </w:rPr>
        <w:t>广元市金融服务中心建于2019年3月，确定为副县级机构，为市政府直属事业单位，保留参公管理，编制和财政单列，直接由广元市人民政府管辖。广元市金融服务中心内设综合科、银行保险科、资本市场科、地方金融科、项目投融资服务科等五个科室。</w:t>
      </w:r>
    </w:p>
    <w:p>
      <w:pPr>
        <w:pStyle w:val="18"/>
        <w:spacing w:before="0" w:beforeAutospacing="0" w:after="0" w:afterAutospacing="0" w:line="576" w:lineRule="exact"/>
        <w:ind w:firstLine="608" w:firstLineChars="190"/>
        <w:jc w:val="both"/>
        <w:rPr>
          <w:rFonts w:ascii="楷体_GB2312" w:hAnsi="仿宋" w:eastAsia="楷体_GB2312" w:cs="仿宋_GB2312"/>
          <w:kern w:val="2"/>
          <w:sz w:val="32"/>
          <w:szCs w:val="32"/>
        </w:rPr>
      </w:pPr>
      <w:r>
        <w:rPr>
          <w:rFonts w:ascii="楷体_GB2312" w:hAnsi="仿宋" w:eastAsia="楷体_GB2312" w:cs="仿宋_GB2312"/>
          <w:kern w:val="2"/>
          <w:sz w:val="32"/>
          <w:szCs w:val="32"/>
        </w:rPr>
        <w:t>（二）机构职能</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1.贯彻落实中央、省、市关于金融工作的方针、政策和决策部署，维护党对金融工作的集中统一领导；协助有关部门制定全市金融业发展规划和政策措施，并推动落实。</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2.会同有关部门联系国省驻市金融监管单位和辖区内金融机构，引导、支持金融机构服务实体经济和地方社会事业发展；推进全市金融业发展、改革、创新，参与全市投融资体制改革工作；会同有关部门推进普惠金融体系和农村金融服务体系建设；参与市政府对金融机构的评价、考核和激励等工作。</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3.会同有关部门推进金融机构合理布局和金融资源优化配置；做好域外金融机构引进服务工作。</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4.会同有关部门组建、培育、壮大地方法人金融机构，做好地方法人金融机构改革发展协调服务工作。</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5.服务全市企业直接融资工作，推进多层次资本市场培育和发展；做好全市企业挂牌和上市改制等金融协调服务工作；会同有关部门推动企业发行各种债券、开展资产证券化等工作，推进多渠道融资，参与指导各类投资基金的引进设立和规范发展；参与指导产权交易规范发展。</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6.会同有关部门指导各县区做好防范、化解和处置地方金融风险工作；协调各县区打击非法集资和非法金融活动，构建良好金融生态环境；会同有关部门推进全市地方金融风险监测预警与应急处置机制建设。</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7.受托负责“7+4”类及其他具有金融属性的地方金融组织的培育、发展和监管工作。</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8.会同有关部门做好促进地方金融机构、金融中介机构发展服务工作，参与拟订促进与金融业密切相关的中介服务机构发展的政策、规划，并配合有关部门实施。</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9.对各县区地方金融工作进行业务指导，推进市、县区两级金融监管体系建立和完善；组织开展全市金融业务培训，推进全市金融法律法规政策知识的宣传普及工作；配合指导地方金融组织行业协会工作。</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10.配合驻市人行、银保监部门做好金融监管相关工作，共享地方金融监管指标数据和金融业务发展情况，为辖区内金融机构做好服务工作。</w:t>
      </w:r>
    </w:p>
    <w:p>
      <w:pPr>
        <w:pStyle w:val="18"/>
        <w:spacing w:before="0" w:beforeAutospacing="0" w:after="0" w:afterAutospacing="0" w:line="576" w:lineRule="exact"/>
        <w:ind w:firstLine="608" w:firstLineChars="190"/>
        <w:jc w:val="both"/>
        <w:rPr>
          <w:rFonts w:ascii="仿宋_GB2312" w:hAnsi="仿宋" w:cs="方正仿宋简体"/>
          <w:sz w:val="32"/>
          <w:szCs w:val="32"/>
        </w:rPr>
      </w:pPr>
      <w:r>
        <w:rPr>
          <w:rFonts w:hint="eastAsia" w:ascii="仿宋_GB2312" w:hAnsi="仿宋" w:cs="方正仿宋简体"/>
          <w:sz w:val="32"/>
          <w:szCs w:val="32"/>
        </w:rPr>
        <w:t>11.负责市级政府性投资项目融资服务工作。</w:t>
      </w:r>
    </w:p>
    <w:p>
      <w:pPr>
        <w:pStyle w:val="18"/>
        <w:spacing w:before="0" w:beforeAutospacing="0" w:after="0" w:afterAutospacing="0" w:line="576" w:lineRule="exact"/>
        <w:ind w:firstLine="608" w:firstLineChars="190"/>
        <w:jc w:val="both"/>
        <w:rPr>
          <w:rFonts w:ascii="楷体_GB2312" w:hAnsi="仿宋" w:eastAsia="楷体_GB2312" w:cs="仿宋_GB2312"/>
          <w:kern w:val="2"/>
          <w:sz w:val="32"/>
          <w:szCs w:val="32"/>
        </w:rPr>
      </w:pPr>
      <w:r>
        <w:rPr>
          <w:rFonts w:ascii="楷体_GB2312" w:hAnsi="仿宋" w:eastAsia="楷体_GB2312" w:cs="仿宋_GB2312"/>
          <w:kern w:val="2"/>
          <w:sz w:val="32"/>
          <w:szCs w:val="32"/>
        </w:rPr>
        <w:t>（三）人员概况</w:t>
      </w:r>
    </w:p>
    <w:p>
      <w:pPr>
        <w:pStyle w:val="18"/>
        <w:spacing w:before="0" w:beforeAutospacing="0" w:after="0" w:afterAutospacing="0" w:line="576" w:lineRule="exact"/>
        <w:ind w:firstLine="592" w:firstLineChars="190"/>
        <w:jc w:val="both"/>
        <w:rPr>
          <w:rFonts w:hAnsi="仿宋" w:cs="仿宋_GB2312"/>
          <w:sz w:val="32"/>
          <w:szCs w:val="32"/>
        </w:rPr>
      </w:pPr>
      <w:r>
        <w:rPr>
          <w:rFonts w:hint="eastAsia" w:hAnsi="仿宋"/>
          <w:color w:val="000000"/>
          <w:spacing w:val="-4"/>
          <w:sz w:val="32"/>
          <w:szCs w:val="32"/>
        </w:rPr>
        <w:t>市</w:t>
      </w:r>
      <w:r>
        <w:rPr>
          <w:rFonts w:hint="eastAsia" w:hAnsi="仿宋"/>
          <w:color w:val="000000"/>
          <w:sz w:val="32"/>
          <w:szCs w:val="32"/>
        </w:rPr>
        <w:t>金融服务中心编制15名，其中：参公事业编制14名，工勤编制1名。在职人员总数15人，其参公事业人员14人，工勤人员1人。退休人员10人。</w:t>
      </w:r>
    </w:p>
    <w:p>
      <w:pPr>
        <w:spacing w:line="576" w:lineRule="exact"/>
        <w:ind w:firstLine="640" w:firstLineChars="200"/>
        <w:rPr>
          <w:rFonts w:ascii="黑体" w:hAnsi="黑体" w:cs="黑体"/>
          <w:szCs w:val="32"/>
        </w:rPr>
      </w:pPr>
      <w:r>
        <w:rPr>
          <w:rFonts w:ascii="黑体" w:hAnsi="黑体" w:cs="黑体"/>
          <w:szCs w:val="32"/>
        </w:rPr>
        <w:t>二、部门财政资金收支情况</w:t>
      </w:r>
    </w:p>
    <w:p>
      <w:pPr>
        <w:spacing w:line="576" w:lineRule="exact"/>
        <w:ind w:firstLine="640" w:firstLineChars="200"/>
        <w:rPr>
          <w:rFonts w:ascii="楷体_GB2312" w:hAnsi="仿宋" w:eastAsia="楷体_GB2312" w:cs="仿宋_GB2312"/>
          <w:szCs w:val="32"/>
        </w:rPr>
      </w:pPr>
      <w:r>
        <w:rPr>
          <w:rFonts w:hint="eastAsia" w:ascii="楷体_GB2312" w:hAnsi="仿宋" w:eastAsia="楷体_GB2312" w:cs="仿宋_GB2312"/>
          <w:szCs w:val="32"/>
        </w:rPr>
        <w:t>（一）部门财政资金收入情况</w:t>
      </w:r>
    </w:p>
    <w:p>
      <w:pPr>
        <w:spacing w:line="576" w:lineRule="exact"/>
        <w:ind w:firstLine="624" w:firstLineChars="200"/>
        <w:rPr>
          <w:rFonts w:ascii="仿宋_GB2312" w:hAnsi="仿宋" w:eastAsia="仿宋_GB2312"/>
          <w:color w:val="000000"/>
          <w:spacing w:val="-4"/>
          <w:szCs w:val="32"/>
        </w:rPr>
      </w:pPr>
      <w:r>
        <w:rPr>
          <w:rFonts w:hint="eastAsia" w:ascii="仿宋_GB2312" w:hAnsi="仿宋" w:eastAsia="仿宋_GB2312"/>
          <w:color w:val="000000"/>
          <w:spacing w:val="-4"/>
          <w:szCs w:val="32"/>
        </w:rPr>
        <w:t>市</w:t>
      </w:r>
      <w:r>
        <w:rPr>
          <w:rFonts w:hint="eastAsia" w:ascii="仿宋_GB2312" w:hAnsi="仿宋" w:eastAsia="仿宋_GB2312"/>
          <w:color w:val="000000"/>
          <w:szCs w:val="32"/>
        </w:rPr>
        <w:t>金融服务中心</w:t>
      </w:r>
      <w:r>
        <w:rPr>
          <w:rFonts w:hint="eastAsia" w:ascii="仿宋_GB2312" w:hAnsi="仿宋" w:eastAsia="仿宋_GB2312"/>
          <w:color w:val="000000"/>
          <w:spacing w:val="-4"/>
          <w:szCs w:val="32"/>
        </w:rPr>
        <w:t>2020年部门预算收入总数204.2</w:t>
      </w:r>
      <w:r>
        <w:rPr>
          <w:rFonts w:hint="eastAsia" w:ascii="仿宋_GB2312" w:hAnsi="仿宋" w:eastAsia="仿宋_GB2312"/>
          <w:color w:val="000000"/>
          <w:spacing w:val="-4"/>
          <w:szCs w:val="32"/>
          <w:lang w:val="en-US" w:eastAsia="zh-CN"/>
        </w:rPr>
        <w:t>3</w:t>
      </w:r>
      <w:r>
        <w:rPr>
          <w:rFonts w:hint="eastAsia" w:ascii="仿宋_GB2312" w:hAnsi="仿宋" w:eastAsia="仿宋_GB2312"/>
          <w:color w:val="000000"/>
          <w:spacing w:val="-4"/>
          <w:szCs w:val="32"/>
        </w:rPr>
        <w:t>万元</w:t>
      </w:r>
      <w:r>
        <w:rPr>
          <w:rFonts w:hint="eastAsia" w:ascii="仿宋_GB2312" w:hAnsi="仿宋" w:eastAsia="仿宋_GB2312"/>
          <w:color w:val="000000"/>
          <w:spacing w:val="-4"/>
          <w:szCs w:val="32"/>
          <w:lang w:eastAsia="zh-CN"/>
        </w:rPr>
        <w:t>（不含上年结转</w:t>
      </w:r>
      <w:r>
        <w:rPr>
          <w:rFonts w:hint="eastAsia" w:ascii="仿宋_GB2312" w:hAnsi="仿宋" w:eastAsia="仿宋_GB2312"/>
          <w:color w:val="000000"/>
          <w:spacing w:val="-4"/>
          <w:szCs w:val="32"/>
          <w:lang w:val="en-US" w:eastAsia="zh-CN"/>
        </w:rPr>
        <w:t>0.6万元</w:t>
      </w:r>
      <w:r>
        <w:rPr>
          <w:rFonts w:hint="eastAsia" w:ascii="仿宋_GB2312" w:hAnsi="仿宋" w:eastAsia="仿宋_GB2312"/>
          <w:color w:val="000000"/>
          <w:spacing w:val="-4"/>
          <w:szCs w:val="32"/>
          <w:lang w:eastAsia="zh-CN"/>
        </w:rPr>
        <w:t>）</w:t>
      </w:r>
      <w:r>
        <w:rPr>
          <w:rFonts w:hint="eastAsia" w:ascii="仿宋_GB2312" w:hAnsi="仿宋" w:eastAsia="仿宋_GB2312"/>
          <w:color w:val="000000"/>
          <w:spacing w:val="-4"/>
          <w:szCs w:val="32"/>
        </w:rPr>
        <w:t>，较2019年部门预算收入总数256.28万元，减少52.2</w:t>
      </w:r>
      <w:r>
        <w:rPr>
          <w:rFonts w:hint="eastAsia" w:ascii="仿宋_GB2312" w:hAnsi="仿宋" w:eastAsia="仿宋_GB2312"/>
          <w:color w:val="000000"/>
          <w:spacing w:val="-4"/>
          <w:szCs w:val="32"/>
          <w:lang w:val="en-US" w:eastAsia="zh-CN"/>
        </w:rPr>
        <w:t>7</w:t>
      </w:r>
      <w:r>
        <w:rPr>
          <w:rFonts w:hint="eastAsia" w:ascii="仿宋_GB2312" w:hAnsi="仿宋" w:eastAsia="仿宋_GB2312"/>
          <w:color w:val="000000"/>
          <w:spacing w:val="-4"/>
          <w:szCs w:val="32"/>
        </w:rPr>
        <w:t>万元，下降25%。</w:t>
      </w:r>
    </w:p>
    <w:p>
      <w:pPr>
        <w:numPr>
          <w:ilvl w:val="0"/>
          <w:numId w:val="2"/>
        </w:numPr>
        <w:spacing w:line="576" w:lineRule="exact"/>
        <w:ind w:firstLine="646"/>
        <w:rPr>
          <w:rFonts w:ascii="仿宋_GB2312" w:hAnsi="仿宋" w:eastAsia="仿宋_GB2312"/>
          <w:color w:val="000000"/>
          <w:spacing w:val="-4"/>
          <w:szCs w:val="32"/>
        </w:rPr>
      </w:pPr>
      <w:r>
        <w:rPr>
          <w:rFonts w:hint="eastAsia" w:ascii="楷体_GB2312" w:hAnsi="仿宋" w:eastAsia="楷体_GB2312" w:cs="仿宋_GB2312"/>
          <w:szCs w:val="32"/>
        </w:rPr>
        <w:t>部门财政资金支出情况</w:t>
      </w:r>
    </w:p>
    <w:p>
      <w:pPr>
        <w:spacing w:line="576" w:lineRule="exact"/>
        <w:ind w:firstLine="624" w:firstLineChars="200"/>
        <w:rPr>
          <w:rFonts w:ascii="仿宋_GB2312" w:hAnsi="仿宋" w:eastAsia="仿宋_GB2312"/>
          <w:color w:val="000000"/>
          <w:spacing w:val="-4"/>
          <w:szCs w:val="32"/>
        </w:rPr>
      </w:pPr>
      <w:r>
        <w:rPr>
          <w:rFonts w:hint="eastAsia" w:ascii="仿宋_GB2312" w:hAnsi="仿宋" w:eastAsia="仿宋_GB2312"/>
          <w:color w:val="000000"/>
          <w:spacing w:val="-4"/>
          <w:szCs w:val="32"/>
        </w:rPr>
        <w:t>2020年部门预算支出总数199.2</w:t>
      </w:r>
      <w:r>
        <w:rPr>
          <w:rFonts w:hint="eastAsia" w:ascii="仿宋_GB2312" w:hAnsi="仿宋" w:eastAsia="仿宋_GB2312"/>
          <w:color w:val="000000"/>
          <w:spacing w:val="-4"/>
          <w:szCs w:val="32"/>
          <w:lang w:val="en-US" w:eastAsia="zh-CN"/>
        </w:rPr>
        <w:t>9</w:t>
      </w:r>
      <w:r>
        <w:rPr>
          <w:rFonts w:hint="eastAsia" w:ascii="仿宋_GB2312" w:hAnsi="仿宋" w:eastAsia="仿宋_GB2312"/>
          <w:color w:val="000000"/>
          <w:spacing w:val="-4"/>
          <w:szCs w:val="32"/>
        </w:rPr>
        <w:t>万元，较2019年部门预算支出总数259.57万元，减少60.29万元，下降30％。</w:t>
      </w:r>
    </w:p>
    <w:p>
      <w:pPr>
        <w:spacing w:line="576" w:lineRule="exact"/>
        <w:ind w:firstLine="640" w:firstLineChars="200"/>
        <w:rPr>
          <w:rFonts w:ascii="黑体" w:hAnsi="黑体" w:cs="黑体"/>
          <w:szCs w:val="32"/>
        </w:rPr>
      </w:pPr>
      <w:r>
        <w:rPr>
          <w:rFonts w:ascii="黑体" w:hAnsi="黑体" w:cs="黑体"/>
          <w:szCs w:val="32"/>
        </w:rPr>
        <w:t>三、部门整体预算绩效管理情况</w:t>
      </w:r>
    </w:p>
    <w:p>
      <w:pPr>
        <w:widowControl/>
        <w:spacing w:line="576" w:lineRule="exact"/>
        <w:ind w:firstLine="640" w:firstLineChars="200"/>
        <w:rPr>
          <w:rFonts w:ascii="楷体_GB2312" w:hAnsi="仿宋" w:eastAsia="楷体_GB2312" w:cs="宋体"/>
          <w:kern w:val="0"/>
          <w:szCs w:val="32"/>
        </w:rPr>
      </w:pPr>
      <w:r>
        <w:rPr>
          <w:rFonts w:hint="eastAsia" w:ascii="楷体_GB2312" w:hAnsi="仿宋" w:eastAsia="楷体_GB2312" w:cs="宋体"/>
          <w:kern w:val="0"/>
          <w:szCs w:val="32"/>
        </w:rPr>
        <w:t>（一）部门预算管理</w:t>
      </w:r>
    </w:p>
    <w:p>
      <w:pPr>
        <w:adjustRightInd w:val="0"/>
        <w:snapToGrid w:val="0"/>
        <w:spacing w:line="576" w:lineRule="exact"/>
        <w:ind w:firstLine="640" w:firstLineChars="200"/>
        <w:rPr>
          <w:rFonts w:hint="eastAsia" w:ascii="仿宋_GB2312" w:hAnsi="仿宋" w:eastAsia="仿宋_GB2312" w:cs="宋体"/>
          <w:kern w:val="0"/>
          <w:szCs w:val="32"/>
          <w:lang w:eastAsia="zh-CN"/>
        </w:rPr>
      </w:pPr>
      <w:r>
        <w:rPr>
          <w:rFonts w:hint="eastAsia" w:ascii="仿宋_GB2312" w:hAnsi="仿宋" w:eastAsia="仿宋_GB2312" w:cs="宋体"/>
          <w:kern w:val="0"/>
          <w:szCs w:val="32"/>
        </w:rPr>
        <w:t>我中心严格按照市财政局预算编制通知有关要求，按时完成部门基础信息、项目资料立项及预算编制等工作，并及时报送部门预算。预算编制完整无漏项，信息准确，项目名称、绩效指标、项目内容说明等符合规范。严格执行部门预算，执行中力争不调整预算项目。年度预算执行收支平衡，圆满完成本部门工作职能职责，人员支出按时间进度执行。</w:t>
      </w:r>
    </w:p>
    <w:p>
      <w:pPr>
        <w:adjustRightInd w:val="0"/>
        <w:snapToGrid w:val="0"/>
        <w:spacing w:line="576" w:lineRule="exact"/>
        <w:ind w:firstLine="640" w:firstLineChars="200"/>
        <w:rPr>
          <w:rFonts w:hint="eastAsia" w:ascii="仿宋_GB2312" w:hAnsi="仿宋" w:eastAsia="仿宋_GB2312" w:cs="宋体"/>
          <w:kern w:val="0"/>
          <w:szCs w:val="32"/>
          <w:lang w:eastAsia="zh-CN"/>
        </w:rPr>
      </w:pPr>
      <w:r>
        <w:rPr>
          <w:rFonts w:hint="eastAsia" w:ascii="楷体_GB2312" w:hAnsi="仿宋" w:eastAsia="楷体_GB2312" w:cs="宋体"/>
          <w:kern w:val="0"/>
          <w:szCs w:val="32"/>
        </w:rPr>
        <w:t xml:space="preserve"> </w:t>
      </w:r>
      <w:r>
        <w:rPr>
          <w:rFonts w:ascii="楷体_GB2312" w:hAnsi="仿宋" w:eastAsia="楷体_GB2312" w:cs="宋体"/>
          <w:kern w:val="0"/>
          <w:szCs w:val="32"/>
        </w:rPr>
        <w:t>（二）专项预算管理</w:t>
      </w:r>
    </w:p>
    <w:p>
      <w:pPr>
        <w:adjustRightInd w:val="0"/>
        <w:snapToGrid w:val="0"/>
        <w:spacing w:line="576" w:lineRule="exact"/>
        <w:ind w:firstLine="640" w:firstLineChars="200"/>
        <w:rPr>
          <w:rFonts w:hint="eastAsia" w:ascii="仿宋_GB2312" w:hAnsi="仿宋" w:eastAsia="仿宋_GB2312" w:cs="宋体"/>
          <w:kern w:val="0"/>
          <w:szCs w:val="32"/>
        </w:rPr>
      </w:pPr>
      <w:r>
        <w:rPr>
          <w:rFonts w:hint="eastAsia" w:ascii="仿宋_GB2312" w:hAnsi="仿宋" w:eastAsia="仿宋_GB2312" w:cs="宋体"/>
          <w:kern w:val="0"/>
          <w:szCs w:val="32"/>
        </w:rPr>
        <w:t>专项预算程序严密、规划合理、结果符合、分配科学、分配及时、完成后能达到专项预算绩效目标。</w:t>
      </w:r>
    </w:p>
    <w:p>
      <w:pPr>
        <w:adjustRightInd w:val="0"/>
        <w:snapToGrid w:val="0"/>
        <w:spacing w:line="576" w:lineRule="exact"/>
        <w:ind w:firstLine="640" w:firstLineChars="200"/>
        <w:rPr>
          <w:rFonts w:hint="eastAsia" w:ascii="楷体_GB2312" w:hAnsi="仿宋" w:eastAsia="楷体_GB2312" w:cs="宋体"/>
          <w:kern w:val="0"/>
          <w:szCs w:val="32"/>
          <w:lang w:eastAsia="zh-CN"/>
        </w:rPr>
      </w:pPr>
      <w:r>
        <w:rPr>
          <w:rFonts w:hint="eastAsia" w:ascii="楷体_GB2312" w:hAnsi="仿宋" w:eastAsia="楷体_GB2312" w:cs="宋体"/>
          <w:kern w:val="0"/>
          <w:szCs w:val="32"/>
        </w:rPr>
        <w:t>（三）结果应用情况</w:t>
      </w:r>
    </w:p>
    <w:p>
      <w:pPr>
        <w:adjustRightInd w:val="0"/>
        <w:snapToGrid w:val="0"/>
        <w:spacing w:line="576" w:lineRule="exact"/>
        <w:ind w:firstLine="640" w:firstLineChars="200"/>
        <w:rPr>
          <w:rFonts w:ascii="仿宋_GB2312" w:hAnsi="仿宋" w:eastAsia="仿宋_GB2312" w:cs="宋体"/>
          <w:kern w:val="0"/>
          <w:szCs w:val="32"/>
        </w:rPr>
      </w:pPr>
      <w:r>
        <w:rPr>
          <w:rFonts w:hint="eastAsia" w:ascii="仿宋_GB2312" w:hAnsi="仿宋" w:eastAsia="仿宋_GB2312" w:cs="宋体"/>
          <w:kern w:val="0"/>
          <w:szCs w:val="32"/>
        </w:rPr>
        <w:t xml:space="preserve"> 为进一步落实服务实体经济、防控金融风险、深化金融改革三项任务，突出金融服务经济建设“三大主战场”，深入推进金融供给侧结构性改革，多元化资本市场融资，成广、渝广金融合作，绿色金融、普惠金融、科技金融等金融改革创新工作。2020年，进一步引导金融机构加大了信贷投放，为实体经济发展提供优质精准的金融服务，奋力打造陕甘结合部绿色金融高地，有效助力广元建设成渝地区北向重要门户枢纽、高品质生态康养“后花园”、绿色产品供给地和产业协作配套基地，实现广元经济社会高质量发展，我单位多次召开专题工作会，为确保各个项目有序推进，推动全市金融加快发展，取得了良好社会效益。</w:t>
      </w:r>
    </w:p>
    <w:p>
      <w:pPr>
        <w:adjustRightInd w:val="0"/>
        <w:snapToGrid w:val="0"/>
        <w:spacing w:line="576"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rPr>
        <w:t>年初绩效目标全部予以公开，实施过程公开透明，随时接受社会监督。</w:t>
      </w:r>
    </w:p>
    <w:p>
      <w:pPr>
        <w:spacing w:line="576" w:lineRule="exact"/>
        <w:ind w:firstLine="640" w:firstLineChars="200"/>
        <w:rPr>
          <w:rFonts w:ascii="黑体" w:hAnsi="黑体" w:cs="黑体"/>
          <w:szCs w:val="32"/>
        </w:rPr>
      </w:pPr>
      <w:r>
        <w:rPr>
          <w:rFonts w:ascii="黑体" w:hAnsi="黑体" w:cs="黑体"/>
          <w:szCs w:val="32"/>
        </w:rPr>
        <w:t>四、评价结论及建议</w:t>
      </w:r>
    </w:p>
    <w:p>
      <w:pPr>
        <w:adjustRightInd w:val="0"/>
        <w:snapToGrid w:val="0"/>
        <w:spacing w:line="576" w:lineRule="exact"/>
        <w:ind w:firstLine="640" w:firstLineChars="200"/>
        <w:rPr>
          <w:rFonts w:ascii="楷体_GB2312" w:hAnsi="仿宋" w:eastAsia="楷体_GB2312" w:cs="仿宋_GB2312"/>
          <w:szCs w:val="32"/>
        </w:rPr>
      </w:pPr>
      <w:r>
        <w:rPr>
          <w:rFonts w:hint="eastAsia" w:ascii="楷体_GB2312" w:hAnsi="仿宋" w:eastAsia="楷体_GB2312" w:cs="仿宋_GB2312"/>
          <w:szCs w:val="32"/>
        </w:rPr>
        <w:t>（一）评价结论</w:t>
      </w:r>
    </w:p>
    <w:p>
      <w:pPr>
        <w:adjustRightInd w:val="0"/>
        <w:snapToGrid w:val="0"/>
        <w:spacing w:line="576" w:lineRule="exact"/>
        <w:ind w:firstLine="640" w:firstLineChars="200"/>
        <w:rPr>
          <w:rFonts w:ascii="仿宋_GB2312" w:hAnsi="仿宋" w:eastAsia="仿宋_GB2312" w:cs="宋体"/>
          <w:kern w:val="0"/>
          <w:szCs w:val="32"/>
        </w:rPr>
      </w:pPr>
      <w:r>
        <w:rPr>
          <w:rFonts w:hint="eastAsia" w:ascii="仿宋_GB2312" w:hAnsi="仿宋" w:eastAsia="仿宋_GB2312" w:cs="仿宋_GB2312"/>
          <w:szCs w:val="32"/>
        </w:rPr>
        <w:t>通过对绩效目标的实施，</w:t>
      </w:r>
      <w:r>
        <w:rPr>
          <w:rFonts w:hint="eastAsia" w:ascii="仿宋_GB2312" w:hAnsi="仿宋" w:eastAsia="仿宋_GB2312" w:cs="宋体"/>
          <w:kern w:val="0"/>
          <w:szCs w:val="32"/>
        </w:rPr>
        <w:t>为进一步落实紧紧围绕服务实体经济、防控金融风险、深化金融改革三项任务，突出金融服务经济建设“三大主战场”，深入推进金融供给侧结构性改革，多元化资本市场融资，成广、渝广金融合作，绿色金融、普惠金融、科技金融等金融改革创新工作，取得了良好社会效益。</w:t>
      </w:r>
    </w:p>
    <w:p>
      <w:pPr>
        <w:numPr>
          <w:ilvl w:val="0"/>
          <w:numId w:val="2"/>
        </w:numPr>
        <w:spacing w:line="576" w:lineRule="exact"/>
        <w:ind w:firstLine="646"/>
        <w:rPr>
          <w:rFonts w:ascii="楷体_GB2312" w:hAnsi="仿宋" w:eastAsia="楷体_GB2312" w:cs="仿宋_GB2312"/>
          <w:szCs w:val="32"/>
        </w:rPr>
      </w:pPr>
      <w:r>
        <w:rPr>
          <w:rFonts w:hint="eastAsia" w:ascii="楷体_GB2312" w:hAnsi="仿宋" w:eastAsia="楷体_GB2312" w:cs="仿宋_GB2312"/>
          <w:szCs w:val="32"/>
        </w:rPr>
        <w:t>存在问题</w:t>
      </w:r>
    </w:p>
    <w:p>
      <w:pPr>
        <w:adjustRightInd w:val="0"/>
        <w:snapToGrid w:val="0"/>
        <w:spacing w:line="576"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由于有些项目资金安排不能满足实际项目的开支需要，导致专项经费支出占用了公用经费支出，出现全年行政经费支出不足的问题。</w:t>
      </w:r>
    </w:p>
    <w:p>
      <w:pPr>
        <w:numPr>
          <w:ilvl w:val="0"/>
          <w:numId w:val="2"/>
        </w:numPr>
        <w:spacing w:line="576" w:lineRule="exact"/>
        <w:ind w:firstLine="646"/>
        <w:rPr>
          <w:rFonts w:ascii="仿宋_GB2312" w:hAnsi="仿宋" w:eastAsia="仿宋_GB2312" w:cs="仿宋_GB2312"/>
          <w:szCs w:val="32"/>
        </w:rPr>
      </w:pPr>
      <w:r>
        <w:rPr>
          <w:rFonts w:hint="eastAsia" w:ascii="楷体_GB2312" w:hAnsi="仿宋" w:eastAsia="楷体_GB2312" w:cs="仿宋_GB2312"/>
          <w:szCs w:val="32"/>
        </w:rPr>
        <w:t>改进建议</w:t>
      </w:r>
      <w:bookmarkStart w:id="79" w:name="_Toc15396617"/>
    </w:p>
    <w:p>
      <w:pPr>
        <w:adjustRightInd w:val="0"/>
        <w:snapToGrid w:val="0"/>
        <w:spacing w:line="576"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项目融资工作、处置非法集资工作事务多、任务重，处非工作按照省上要求每年都需要开展处非宣传月宣传、非法集资存案化解、金融风险防控等工作，需要一定的资金保障。建议增加专项资金额度</w:t>
      </w:r>
      <w:bookmarkEnd w:id="79"/>
      <w:r>
        <w:rPr>
          <w:rFonts w:hint="eastAsia" w:ascii="仿宋_GB2312" w:hAnsi="仿宋" w:eastAsia="仿宋_GB2312" w:cs="仿宋_GB2312"/>
          <w:szCs w:val="32"/>
        </w:rPr>
        <w:t xml:space="preserve">。 </w:t>
      </w:r>
    </w:p>
    <w:p>
      <w:pPr>
        <w:spacing w:line="576" w:lineRule="exact"/>
        <w:jc w:val="center"/>
        <w:rPr>
          <w:rFonts w:ascii="方正小标宋_GBK" w:eastAsia="方正小标宋_GBK" w:hAnsiTheme="majorEastAsia"/>
          <w:color w:val="000000"/>
          <w:sz w:val="44"/>
          <w:szCs w:val="44"/>
        </w:rPr>
      </w:pPr>
    </w:p>
    <w:p>
      <w:pPr>
        <w:pStyle w:val="25"/>
      </w:pPr>
    </w:p>
    <w:p>
      <w:pPr>
        <w:pStyle w:val="25"/>
      </w:pPr>
    </w:p>
    <w:p>
      <w:pPr>
        <w:pStyle w:val="25"/>
      </w:pPr>
    </w:p>
    <w:p>
      <w:pPr>
        <w:pStyle w:val="25"/>
      </w:pPr>
    </w:p>
    <w:p>
      <w:pPr>
        <w:pStyle w:val="25"/>
      </w:pPr>
    </w:p>
    <w:p>
      <w:pPr>
        <w:pStyle w:val="25"/>
      </w:pPr>
    </w:p>
    <w:p>
      <w:pPr>
        <w:pStyle w:val="25"/>
      </w:pPr>
    </w:p>
    <w:p>
      <w:pPr>
        <w:spacing w:line="576" w:lineRule="exact"/>
        <w:jc w:val="center"/>
        <w:outlineLvl w:val="0"/>
        <w:rPr>
          <w:rFonts w:ascii="方正小标宋_GBK" w:eastAsia="方正小标宋_GBK" w:hAnsiTheme="majorHAnsi" w:cstheme="majorBidi"/>
          <w:bCs/>
          <w:sz w:val="44"/>
          <w:szCs w:val="44"/>
        </w:rPr>
      </w:pPr>
      <w:bookmarkStart w:id="80" w:name="_Toc9423"/>
      <w:bookmarkStart w:id="81" w:name="_Toc29768"/>
      <w:r>
        <w:rPr>
          <w:rFonts w:hint="eastAsia" w:ascii="方正小标宋_GBK" w:eastAsia="方正小标宋_GBK" w:hAnsiTheme="majorHAnsi" w:cstheme="majorBidi"/>
          <w:bCs/>
          <w:sz w:val="44"/>
          <w:szCs w:val="44"/>
        </w:rPr>
        <w:t>第五部分 附表</w:t>
      </w:r>
      <w:bookmarkEnd w:id="69"/>
      <w:bookmarkEnd w:id="80"/>
      <w:bookmarkEnd w:id="81"/>
    </w:p>
    <w:p>
      <w:pPr>
        <w:spacing w:line="576" w:lineRule="exact"/>
        <w:outlineLvl w:val="0"/>
        <w:rPr>
          <w:rStyle w:val="33"/>
          <w:rFonts w:ascii="仿宋" w:hAnsi="仿宋" w:eastAsia="仿宋"/>
          <w:b w:val="0"/>
          <w:sz w:val="32"/>
          <w:szCs w:val="32"/>
        </w:rPr>
      </w:pPr>
    </w:p>
    <w:p>
      <w:pPr>
        <w:spacing w:line="576" w:lineRule="exact"/>
        <w:rPr>
          <w:rFonts w:asciiTheme="minorEastAsia" w:hAnsiTheme="minorEastAsia" w:eastAsiaTheme="minorEastAsia"/>
        </w:rPr>
      </w:pPr>
      <w:r>
        <w:rPr>
          <w:rFonts w:hint="eastAsia" w:asciiTheme="minorEastAsia" w:hAnsiTheme="minorEastAsia" w:eastAsiaTheme="minorEastAsia"/>
        </w:rPr>
        <w:t>一、收入支出决算总表</w:t>
      </w:r>
    </w:p>
    <w:p>
      <w:pPr>
        <w:spacing w:line="576" w:lineRule="exact"/>
        <w:rPr>
          <w:rFonts w:asciiTheme="minorEastAsia" w:hAnsiTheme="minorEastAsia" w:eastAsiaTheme="minorEastAsia"/>
        </w:rPr>
      </w:pPr>
      <w:r>
        <w:rPr>
          <w:rFonts w:hint="eastAsia" w:asciiTheme="minorEastAsia" w:hAnsiTheme="minorEastAsia" w:eastAsiaTheme="minorEastAsia"/>
        </w:rPr>
        <w:t>二、收入总表</w:t>
      </w:r>
    </w:p>
    <w:p>
      <w:pPr>
        <w:spacing w:line="576" w:lineRule="exact"/>
        <w:rPr>
          <w:rFonts w:asciiTheme="minorEastAsia" w:hAnsiTheme="minorEastAsia" w:eastAsiaTheme="minorEastAsia"/>
        </w:rPr>
      </w:pPr>
      <w:r>
        <w:rPr>
          <w:rFonts w:hint="eastAsia" w:asciiTheme="minorEastAsia" w:hAnsiTheme="minorEastAsia" w:eastAsiaTheme="minorEastAsia"/>
        </w:rPr>
        <w:t>三、支出总表</w:t>
      </w:r>
    </w:p>
    <w:p>
      <w:pPr>
        <w:spacing w:line="576" w:lineRule="exact"/>
        <w:rPr>
          <w:rFonts w:asciiTheme="minorEastAsia" w:hAnsiTheme="minorEastAsia" w:eastAsiaTheme="minorEastAsia"/>
        </w:rPr>
      </w:pPr>
      <w:r>
        <w:rPr>
          <w:rFonts w:hint="eastAsia" w:asciiTheme="minorEastAsia" w:hAnsiTheme="minorEastAsia" w:eastAsiaTheme="minorEastAsia"/>
        </w:rPr>
        <w:t>四、财政拨款收入支出决算总表</w:t>
      </w:r>
    </w:p>
    <w:p>
      <w:pPr>
        <w:spacing w:line="576" w:lineRule="exact"/>
        <w:rPr>
          <w:rFonts w:asciiTheme="minorEastAsia" w:hAnsiTheme="minorEastAsia" w:eastAsiaTheme="minorEastAsia"/>
        </w:rPr>
      </w:pPr>
      <w:bookmarkStart w:id="82" w:name="_Toc15396623"/>
      <w:r>
        <w:rPr>
          <w:rFonts w:hint="eastAsia" w:asciiTheme="minorEastAsia" w:hAnsiTheme="minorEastAsia" w:eastAsiaTheme="minorEastAsia"/>
        </w:rPr>
        <w:t>五、财政拨款支出决算明细表（政府经济分类科目）</w:t>
      </w:r>
      <w:bookmarkEnd w:id="82"/>
    </w:p>
    <w:p>
      <w:pPr>
        <w:spacing w:line="576" w:lineRule="exact"/>
        <w:rPr>
          <w:rFonts w:asciiTheme="minorEastAsia" w:hAnsiTheme="minorEastAsia" w:eastAsiaTheme="minorEastAsia"/>
        </w:rPr>
      </w:pPr>
      <w:r>
        <w:rPr>
          <w:rFonts w:hint="eastAsia" w:asciiTheme="minorEastAsia" w:hAnsiTheme="minorEastAsia" w:eastAsiaTheme="minorEastAsia"/>
        </w:rPr>
        <w:t>六、一般公共预算财政拨款支出决算表</w:t>
      </w:r>
    </w:p>
    <w:p>
      <w:pPr>
        <w:spacing w:line="576" w:lineRule="exact"/>
        <w:rPr>
          <w:rFonts w:asciiTheme="minorEastAsia" w:hAnsiTheme="minorEastAsia" w:eastAsiaTheme="minorEastAsia"/>
        </w:rPr>
      </w:pPr>
      <w:r>
        <w:rPr>
          <w:rFonts w:hint="eastAsia" w:asciiTheme="minorEastAsia" w:hAnsiTheme="minorEastAsia" w:eastAsiaTheme="minorEastAsia"/>
        </w:rPr>
        <w:t>七、一般公共预算财政拨款支出决算明细表</w:t>
      </w:r>
    </w:p>
    <w:p>
      <w:pPr>
        <w:spacing w:line="576" w:lineRule="exact"/>
        <w:rPr>
          <w:rFonts w:asciiTheme="minorEastAsia" w:hAnsiTheme="minorEastAsia" w:eastAsiaTheme="minorEastAsia"/>
        </w:rPr>
      </w:pPr>
      <w:r>
        <w:rPr>
          <w:rFonts w:hint="eastAsia" w:asciiTheme="minorEastAsia" w:hAnsiTheme="minorEastAsia" w:eastAsiaTheme="minorEastAsia"/>
        </w:rPr>
        <w:t>八、一般公共预算财政拨款基本支出决算表</w:t>
      </w:r>
    </w:p>
    <w:p>
      <w:pPr>
        <w:spacing w:line="576" w:lineRule="exact"/>
        <w:rPr>
          <w:rFonts w:asciiTheme="minorEastAsia" w:hAnsiTheme="minorEastAsia" w:eastAsiaTheme="minorEastAsia"/>
        </w:rPr>
      </w:pPr>
      <w:r>
        <w:rPr>
          <w:rFonts w:hint="eastAsia" w:asciiTheme="minorEastAsia" w:hAnsiTheme="minorEastAsia" w:eastAsiaTheme="minorEastAsia"/>
        </w:rPr>
        <w:t>九、一般公共预算财政拨款项目支出决算表</w:t>
      </w:r>
    </w:p>
    <w:p>
      <w:pPr>
        <w:spacing w:line="576" w:lineRule="exact"/>
        <w:rPr>
          <w:rFonts w:asciiTheme="minorEastAsia" w:hAnsiTheme="minorEastAsia" w:eastAsiaTheme="minorEastAsia"/>
        </w:rPr>
      </w:pPr>
      <w:r>
        <w:rPr>
          <w:rFonts w:hint="eastAsia" w:asciiTheme="minorEastAsia" w:hAnsiTheme="minorEastAsia" w:eastAsiaTheme="minorEastAsia"/>
        </w:rPr>
        <w:t>十、一般公共预算财政拨款“三公”经费支出决算表</w:t>
      </w:r>
    </w:p>
    <w:p>
      <w:pPr>
        <w:spacing w:line="576" w:lineRule="exact"/>
        <w:rPr>
          <w:rFonts w:asciiTheme="minorEastAsia" w:hAnsiTheme="minorEastAsia" w:eastAsiaTheme="minorEastAsia"/>
        </w:rPr>
      </w:pPr>
      <w:r>
        <w:rPr>
          <w:rFonts w:hint="eastAsia" w:asciiTheme="minorEastAsia" w:hAnsiTheme="minorEastAsia" w:eastAsiaTheme="minorEastAsia"/>
        </w:rPr>
        <w:t>十一、政府性基金预算财政拨款收入支出决算表</w:t>
      </w:r>
    </w:p>
    <w:p>
      <w:pPr>
        <w:spacing w:line="576" w:lineRule="exact"/>
        <w:rPr>
          <w:rFonts w:asciiTheme="minorEastAsia" w:hAnsiTheme="minorEastAsia" w:eastAsiaTheme="minorEastAsia"/>
        </w:rPr>
      </w:pPr>
      <w:r>
        <w:rPr>
          <w:rFonts w:hint="eastAsia" w:asciiTheme="minorEastAsia" w:hAnsiTheme="minorEastAsia" w:eastAsiaTheme="minorEastAsia"/>
        </w:rPr>
        <w:t>十二、政府性基金预算财政拨款“三公”经费支出决算表</w:t>
      </w:r>
    </w:p>
    <w:p>
      <w:pPr>
        <w:spacing w:line="576" w:lineRule="exact"/>
        <w:rPr>
          <w:rFonts w:hint="eastAsia" w:asciiTheme="minorEastAsia" w:hAnsiTheme="minorEastAsia" w:eastAsiaTheme="minorEastAsia"/>
        </w:rPr>
      </w:pPr>
      <w:r>
        <w:rPr>
          <w:rFonts w:hint="eastAsia" w:asciiTheme="minorEastAsia" w:hAnsiTheme="minorEastAsia" w:eastAsiaTheme="minorEastAsia"/>
        </w:rPr>
        <w:t>十三、国有资本经营预算财政拨款</w:t>
      </w:r>
      <w:r>
        <w:rPr>
          <w:rFonts w:hint="eastAsia" w:asciiTheme="minorEastAsia" w:hAnsiTheme="minorEastAsia" w:eastAsiaTheme="minorEastAsia"/>
          <w:lang w:eastAsia="zh-CN"/>
        </w:rPr>
        <w:t>收入</w:t>
      </w:r>
      <w:r>
        <w:rPr>
          <w:rFonts w:hint="eastAsia" w:asciiTheme="minorEastAsia" w:hAnsiTheme="minorEastAsia" w:eastAsiaTheme="minorEastAsia"/>
        </w:rPr>
        <w:t>支出决算表</w:t>
      </w:r>
    </w:p>
    <w:p>
      <w:pPr>
        <w:spacing w:line="576" w:lineRule="exact"/>
        <w:rPr>
          <w:rFonts w:hint="eastAsia" w:asciiTheme="minorEastAsia" w:hAnsiTheme="minorEastAsia" w:eastAsiaTheme="minorEastAsia"/>
        </w:rPr>
      </w:pPr>
      <w:r>
        <w:rPr>
          <w:rFonts w:hint="eastAsia" w:asciiTheme="minorEastAsia" w:hAnsiTheme="minorEastAsia" w:eastAsiaTheme="minorEastAsia"/>
          <w:lang w:eastAsia="zh-CN"/>
        </w:rPr>
        <w:t>十四、</w:t>
      </w:r>
      <w:r>
        <w:rPr>
          <w:rFonts w:hint="eastAsia" w:asciiTheme="minorEastAsia" w:hAnsiTheme="minorEastAsia" w:eastAsiaTheme="minorEastAsia"/>
        </w:rPr>
        <w:t>国有资本经营预算</w:t>
      </w:r>
      <w:r>
        <w:rPr>
          <w:rFonts w:hint="eastAsia" w:asciiTheme="minorEastAsia" w:hAnsiTheme="minorEastAsia" w:eastAsiaTheme="minorEastAsia"/>
          <w:lang w:eastAsia="zh-CN"/>
        </w:rPr>
        <w:t>财政拨款</w:t>
      </w:r>
      <w:r>
        <w:rPr>
          <w:rFonts w:hint="eastAsia" w:asciiTheme="minorEastAsia" w:hAnsiTheme="minorEastAsia" w:eastAsiaTheme="minorEastAsia"/>
        </w:rPr>
        <w:t>支出决算表</w:t>
      </w:r>
    </w:p>
    <w:p>
      <w:pPr>
        <w:pStyle w:val="2"/>
      </w:pPr>
    </w:p>
    <w:sectPr>
      <w:footerReference r:id="rId8" w:type="first"/>
      <w:footerReference r:id="rId6" w:type="default"/>
      <w:footerReference r:id="rId7" w:type="even"/>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2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3175" b="635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3"/>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- 27 -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Fs9TQdIAAAADAQAADwAAAAAAAAABACAAAAA4AAAA&#10;ZHJzL2Rvd25yZXYueG1sUEsBAhQAFAAAAAgAh07iQNmN2eswAgAAUwQAAA4AAAAAAAAAAQAgAAAA&#10;NwEAAGRycy9lMm9Eb2MueG1sUEsFBgAAAAAGAAYAWQEAANkFAAAAAA==&#10;">
              <v:fill on="f" focussize="0,0"/>
              <v:stroke on="f" weight="0.5pt"/>
              <v:imagedata o:title=""/>
              <o:lock v:ext="edit" aspectratio="f"/>
              <v:textbox inset="0mm,0mm,0mm,0mm" style="mso-fit-shape-to-text:t;">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- 27 -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-139065</wp:posOffset>
              </wp:positionV>
              <wp:extent cx="534035" cy="230505"/>
              <wp:effectExtent l="0" t="0" r="12065" b="10795"/>
              <wp:wrapNone/>
              <wp:docPr id="5" name="文本框 5"/>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pt;margin-top:-10.95pt;height:18.15pt;width:42.05pt;mso-position-horizontal-relative:margin;mso-wrap-style:none;z-index:251661312;mso-width-relative:page;mso-height-relative:page;" filled="f" stroked="f" coordsize="21600,21600" o:gfxdata="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&#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vprNCtQAAAAHAQAADwAAAAAAAAABACAAAAA4AAAA&#10;ZHJzL2Rvd25yZXYueG1sUEsBAhQAFAAAAAgAh07iQKVCum0uAgAAUwQAAA4AAAAAAAAAAQAgAAAA&#10;OQEAAGRycy9lMm9Eb2MueG1sUEsFBgAAAAAGAAYAWQEAANkFAAAAAA==&#10;">
              <v:fill on="f" focussize="0,0"/>
              <v:stroke on="f" weight="0.5pt"/>
              <v:imagedata o:title=""/>
              <o:lock v:ext="edit" aspectratio="f"/>
              <v:textbox inset="0mm,0mm,0mm,0mm" style="mso-fit-shape-to-text:t;">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- 28 -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5715" b="10795"/>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9F74C"/>
    <w:multiLevelType w:val="singleLevel"/>
    <w:tmpl w:val="A149F74C"/>
    <w:lvl w:ilvl="0" w:tentative="0">
      <w:start w:val="2"/>
      <w:numFmt w:val="chineseCounting"/>
      <w:suff w:val="nothing"/>
      <w:lvlText w:val="（%1）"/>
      <w:lvlJc w:val="left"/>
      <w:pPr>
        <w:ind w:left="-6"/>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GM2Y2IyNDU4NzZiOWUwMTAyNTgyODNkMWM4MDMifQ=="/>
  </w:docVars>
  <w:rsids>
    <w:rsidRoot w:val="00F1361C"/>
    <w:rsid w:val="00002B41"/>
    <w:rsid w:val="000132F2"/>
    <w:rsid w:val="000155AF"/>
    <w:rsid w:val="000222C6"/>
    <w:rsid w:val="0002549F"/>
    <w:rsid w:val="00047BC6"/>
    <w:rsid w:val="000524B5"/>
    <w:rsid w:val="00054939"/>
    <w:rsid w:val="00054ADA"/>
    <w:rsid w:val="00055F10"/>
    <w:rsid w:val="00060002"/>
    <w:rsid w:val="0006487A"/>
    <w:rsid w:val="00065693"/>
    <w:rsid w:val="00065F8F"/>
    <w:rsid w:val="00071A7F"/>
    <w:rsid w:val="000768F2"/>
    <w:rsid w:val="0008623C"/>
    <w:rsid w:val="0009184B"/>
    <w:rsid w:val="0009256C"/>
    <w:rsid w:val="0009593C"/>
    <w:rsid w:val="00096705"/>
    <w:rsid w:val="000A4912"/>
    <w:rsid w:val="000A7799"/>
    <w:rsid w:val="000B047F"/>
    <w:rsid w:val="000B5923"/>
    <w:rsid w:val="000B5A48"/>
    <w:rsid w:val="000B6FF3"/>
    <w:rsid w:val="000C0689"/>
    <w:rsid w:val="000C1E24"/>
    <w:rsid w:val="000C3467"/>
    <w:rsid w:val="000C3CA6"/>
    <w:rsid w:val="000C7A16"/>
    <w:rsid w:val="000D1267"/>
    <w:rsid w:val="000D1D50"/>
    <w:rsid w:val="000D44F4"/>
    <w:rsid w:val="000D5782"/>
    <w:rsid w:val="000D626E"/>
    <w:rsid w:val="000E16F1"/>
    <w:rsid w:val="000E6613"/>
    <w:rsid w:val="000E7119"/>
    <w:rsid w:val="00107771"/>
    <w:rsid w:val="00114CE1"/>
    <w:rsid w:val="00114E9B"/>
    <w:rsid w:val="001152FB"/>
    <w:rsid w:val="00115CD9"/>
    <w:rsid w:val="00125364"/>
    <w:rsid w:val="00133CAE"/>
    <w:rsid w:val="001378A9"/>
    <w:rsid w:val="00141AAE"/>
    <w:rsid w:val="0014729F"/>
    <w:rsid w:val="00157BAB"/>
    <w:rsid w:val="001654D1"/>
    <w:rsid w:val="00166A11"/>
    <w:rsid w:val="0017297D"/>
    <w:rsid w:val="00177961"/>
    <w:rsid w:val="0018106D"/>
    <w:rsid w:val="001877A7"/>
    <w:rsid w:val="00191536"/>
    <w:rsid w:val="00191838"/>
    <w:rsid w:val="00196687"/>
    <w:rsid w:val="00197923"/>
    <w:rsid w:val="001A233A"/>
    <w:rsid w:val="001A48E8"/>
    <w:rsid w:val="001B5AC8"/>
    <w:rsid w:val="001C0962"/>
    <w:rsid w:val="001D0B79"/>
    <w:rsid w:val="001D1B28"/>
    <w:rsid w:val="001D3186"/>
    <w:rsid w:val="001D7531"/>
    <w:rsid w:val="001E737D"/>
    <w:rsid w:val="001F0592"/>
    <w:rsid w:val="001F3D93"/>
    <w:rsid w:val="001F59A7"/>
    <w:rsid w:val="001F7506"/>
    <w:rsid w:val="001F7CA1"/>
    <w:rsid w:val="002006CD"/>
    <w:rsid w:val="00202AB9"/>
    <w:rsid w:val="00202B36"/>
    <w:rsid w:val="00204B7A"/>
    <w:rsid w:val="0021101A"/>
    <w:rsid w:val="002148B2"/>
    <w:rsid w:val="00220536"/>
    <w:rsid w:val="0023439F"/>
    <w:rsid w:val="00235629"/>
    <w:rsid w:val="002477E5"/>
    <w:rsid w:val="00260C38"/>
    <w:rsid w:val="002616C0"/>
    <w:rsid w:val="002662AA"/>
    <w:rsid w:val="00270D3F"/>
    <w:rsid w:val="00271B56"/>
    <w:rsid w:val="00280496"/>
    <w:rsid w:val="0028297F"/>
    <w:rsid w:val="00295495"/>
    <w:rsid w:val="002A401B"/>
    <w:rsid w:val="002B1208"/>
    <w:rsid w:val="002B2613"/>
    <w:rsid w:val="002C0BD1"/>
    <w:rsid w:val="002D6C75"/>
    <w:rsid w:val="002F1818"/>
    <w:rsid w:val="002F567B"/>
    <w:rsid w:val="002F5B4A"/>
    <w:rsid w:val="002F6731"/>
    <w:rsid w:val="00316280"/>
    <w:rsid w:val="003216A9"/>
    <w:rsid w:val="003246EE"/>
    <w:rsid w:val="003274BE"/>
    <w:rsid w:val="003405FD"/>
    <w:rsid w:val="00342AB3"/>
    <w:rsid w:val="00351C25"/>
    <w:rsid w:val="00351C56"/>
    <w:rsid w:val="00354BC2"/>
    <w:rsid w:val="003559C6"/>
    <w:rsid w:val="00361E81"/>
    <w:rsid w:val="00363756"/>
    <w:rsid w:val="0037013F"/>
    <w:rsid w:val="00380C92"/>
    <w:rsid w:val="0038429C"/>
    <w:rsid w:val="003A484F"/>
    <w:rsid w:val="003A71A0"/>
    <w:rsid w:val="003B0BE0"/>
    <w:rsid w:val="003B0C1B"/>
    <w:rsid w:val="003B688C"/>
    <w:rsid w:val="003C0291"/>
    <w:rsid w:val="003C39AE"/>
    <w:rsid w:val="003C7B60"/>
    <w:rsid w:val="003D0C76"/>
    <w:rsid w:val="003D1FB2"/>
    <w:rsid w:val="003D66DA"/>
    <w:rsid w:val="003E1310"/>
    <w:rsid w:val="003E6F55"/>
    <w:rsid w:val="003F317F"/>
    <w:rsid w:val="003F666B"/>
    <w:rsid w:val="00405BE5"/>
    <w:rsid w:val="00406254"/>
    <w:rsid w:val="004223DE"/>
    <w:rsid w:val="00427CC4"/>
    <w:rsid w:val="00434489"/>
    <w:rsid w:val="00437085"/>
    <w:rsid w:val="00443880"/>
    <w:rsid w:val="004464F4"/>
    <w:rsid w:val="00451A34"/>
    <w:rsid w:val="00467699"/>
    <w:rsid w:val="00470188"/>
    <w:rsid w:val="00471401"/>
    <w:rsid w:val="00473D63"/>
    <w:rsid w:val="00473F31"/>
    <w:rsid w:val="00476995"/>
    <w:rsid w:val="00477B40"/>
    <w:rsid w:val="0048263A"/>
    <w:rsid w:val="00487E5D"/>
    <w:rsid w:val="00493564"/>
    <w:rsid w:val="004A608D"/>
    <w:rsid w:val="004A711F"/>
    <w:rsid w:val="004B199D"/>
    <w:rsid w:val="004B4690"/>
    <w:rsid w:val="004C4D87"/>
    <w:rsid w:val="004C614A"/>
    <w:rsid w:val="004D0E39"/>
    <w:rsid w:val="004D517E"/>
    <w:rsid w:val="004E0A2D"/>
    <w:rsid w:val="004E206B"/>
    <w:rsid w:val="004E6DF7"/>
    <w:rsid w:val="004F0FBD"/>
    <w:rsid w:val="00505692"/>
    <w:rsid w:val="00505A47"/>
    <w:rsid w:val="00505D26"/>
    <w:rsid w:val="00512FDA"/>
    <w:rsid w:val="00520DA0"/>
    <w:rsid w:val="00535557"/>
    <w:rsid w:val="00541EAC"/>
    <w:rsid w:val="0054430B"/>
    <w:rsid w:val="00563532"/>
    <w:rsid w:val="0056477F"/>
    <w:rsid w:val="005664BB"/>
    <w:rsid w:val="00566788"/>
    <w:rsid w:val="0057481D"/>
    <w:rsid w:val="005823EA"/>
    <w:rsid w:val="00583BC6"/>
    <w:rsid w:val="0058486E"/>
    <w:rsid w:val="005A396C"/>
    <w:rsid w:val="005C4033"/>
    <w:rsid w:val="005C4E60"/>
    <w:rsid w:val="005C72A8"/>
    <w:rsid w:val="005D0185"/>
    <w:rsid w:val="005D1C8B"/>
    <w:rsid w:val="005D33F9"/>
    <w:rsid w:val="005D5CED"/>
    <w:rsid w:val="005E1310"/>
    <w:rsid w:val="005E59B9"/>
    <w:rsid w:val="005E7A88"/>
    <w:rsid w:val="005F1A4C"/>
    <w:rsid w:val="0060033B"/>
    <w:rsid w:val="00605688"/>
    <w:rsid w:val="006070AF"/>
    <w:rsid w:val="00607E6C"/>
    <w:rsid w:val="006101B1"/>
    <w:rsid w:val="00614E44"/>
    <w:rsid w:val="00617FD1"/>
    <w:rsid w:val="00622830"/>
    <w:rsid w:val="00627A21"/>
    <w:rsid w:val="00630AEF"/>
    <w:rsid w:val="006325F8"/>
    <w:rsid w:val="006333EB"/>
    <w:rsid w:val="0063407B"/>
    <w:rsid w:val="00634C9A"/>
    <w:rsid w:val="00643209"/>
    <w:rsid w:val="006440E4"/>
    <w:rsid w:val="00652936"/>
    <w:rsid w:val="00652F91"/>
    <w:rsid w:val="00655073"/>
    <w:rsid w:val="00655FC3"/>
    <w:rsid w:val="0066343B"/>
    <w:rsid w:val="00664777"/>
    <w:rsid w:val="006748A4"/>
    <w:rsid w:val="00675134"/>
    <w:rsid w:val="0068083B"/>
    <w:rsid w:val="00683E73"/>
    <w:rsid w:val="00685E7C"/>
    <w:rsid w:val="00687188"/>
    <w:rsid w:val="00691CC8"/>
    <w:rsid w:val="006A293F"/>
    <w:rsid w:val="006A3141"/>
    <w:rsid w:val="006A3ECB"/>
    <w:rsid w:val="006A5E34"/>
    <w:rsid w:val="006A604B"/>
    <w:rsid w:val="006B1AB1"/>
    <w:rsid w:val="006B2422"/>
    <w:rsid w:val="006B2B9A"/>
    <w:rsid w:val="006C0560"/>
    <w:rsid w:val="006C1937"/>
    <w:rsid w:val="006C744E"/>
    <w:rsid w:val="006D2213"/>
    <w:rsid w:val="006D348E"/>
    <w:rsid w:val="006E166A"/>
    <w:rsid w:val="006F020C"/>
    <w:rsid w:val="006F53E8"/>
    <w:rsid w:val="007127B7"/>
    <w:rsid w:val="00715853"/>
    <w:rsid w:val="007247AC"/>
    <w:rsid w:val="00725CEC"/>
    <w:rsid w:val="00726F16"/>
    <w:rsid w:val="00736863"/>
    <w:rsid w:val="007370CC"/>
    <w:rsid w:val="007416B6"/>
    <w:rsid w:val="007428CE"/>
    <w:rsid w:val="00746F48"/>
    <w:rsid w:val="00751D44"/>
    <w:rsid w:val="0075404D"/>
    <w:rsid w:val="0076182A"/>
    <w:rsid w:val="007638D9"/>
    <w:rsid w:val="007645CF"/>
    <w:rsid w:val="00764BBC"/>
    <w:rsid w:val="00767B7E"/>
    <w:rsid w:val="007770C3"/>
    <w:rsid w:val="00784D24"/>
    <w:rsid w:val="00785C8D"/>
    <w:rsid w:val="00785EA3"/>
    <w:rsid w:val="00785FBA"/>
    <w:rsid w:val="00786E4A"/>
    <w:rsid w:val="007875EB"/>
    <w:rsid w:val="0079212E"/>
    <w:rsid w:val="0079426B"/>
    <w:rsid w:val="007D312A"/>
    <w:rsid w:val="007D3ACA"/>
    <w:rsid w:val="007D3F19"/>
    <w:rsid w:val="007E23B0"/>
    <w:rsid w:val="007E4C2F"/>
    <w:rsid w:val="007E65F6"/>
    <w:rsid w:val="007F1991"/>
    <w:rsid w:val="007F2C2F"/>
    <w:rsid w:val="007F3B10"/>
    <w:rsid w:val="007F55FC"/>
    <w:rsid w:val="007F5665"/>
    <w:rsid w:val="007F5689"/>
    <w:rsid w:val="00800112"/>
    <w:rsid w:val="00800A43"/>
    <w:rsid w:val="00804396"/>
    <w:rsid w:val="0081441E"/>
    <w:rsid w:val="00820F8B"/>
    <w:rsid w:val="008253BB"/>
    <w:rsid w:val="0082788C"/>
    <w:rsid w:val="008336F2"/>
    <w:rsid w:val="0083706E"/>
    <w:rsid w:val="008423A5"/>
    <w:rsid w:val="008438AB"/>
    <w:rsid w:val="00850625"/>
    <w:rsid w:val="00853718"/>
    <w:rsid w:val="00855221"/>
    <w:rsid w:val="00856947"/>
    <w:rsid w:val="00860645"/>
    <w:rsid w:val="00866065"/>
    <w:rsid w:val="00867D94"/>
    <w:rsid w:val="00871F71"/>
    <w:rsid w:val="0088343F"/>
    <w:rsid w:val="00885AF4"/>
    <w:rsid w:val="008939CD"/>
    <w:rsid w:val="008973A5"/>
    <w:rsid w:val="008A0099"/>
    <w:rsid w:val="008B768C"/>
    <w:rsid w:val="008C4DB1"/>
    <w:rsid w:val="008C4EAF"/>
    <w:rsid w:val="008C5176"/>
    <w:rsid w:val="008C7FD0"/>
    <w:rsid w:val="008D2FFF"/>
    <w:rsid w:val="008E0A77"/>
    <w:rsid w:val="008E1DE7"/>
    <w:rsid w:val="008E2F21"/>
    <w:rsid w:val="008E707C"/>
    <w:rsid w:val="00900B08"/>
    <w:rsid w:val="00902155"/>
    <w:rsid w:val="00902FA3"/>
    <w:rsid w:val="00903F9C"/>
    <w:rsid w:val="00905A62"/>
    <w:rsid w:val="009060AE"/>
    <w:rsid w:val="009069B5"/>
    <w:rsid w:val="00911101"/>
    <w:rsid w:val="00923119"/>
    <w:rsid w:val="00923564"/>
    <w:rsid w:val="0092360C"/>
    <w:rsid w:val="0092392E"/>
    <w:rsid w:val="009315F9"/>
    <w:rsid w:val="00944C1A"/>
    <w:rsid w:val="00946945"/>
    <w:rsid w:val="00951248"/>
    <w:rsid w:val="0095152F"/>
    <w:rsid w:val="009548CA"/>
    <w:rsid w:val="00954C49"/>
    <w:rsid w:val="00967122"/>
    <w:rsid w:val="0097099F"/>
    <w:rsid w:val="00971997"/>
    <w:rsid w:val="00971FFC"/>
    <w:rsid w:val="00980274"/>
    <w:rsid w:val="00982411"/>
    <w:rsid w:val="0098660A"/>
    <w:rsid w:val="009931C3"/>
    <w:rsid w:val="009965BB"/>
    <w:rsid w:val="009B2C43"/>
    <w:rsid w:val="009B4EAE"/>
    <w:rsid w:val="009B7573"/>
    <w:rsid w:val="009C22F4"/>
    <w:rsid w:val="009C2E98"/>
    <w:rsid w:val="009C325E"/>
    <w:rsid w:val="009D17A5"/>
    <w:rsid w:val="009D3447"/>
    <w:rsid w:val="009D42AC"/>
    <w:rsid w:val="009D4711"/>
    <w:rsid w:val="009E4AEE"/>
    <w:rsid w:val="009E6D2C"/>
    <w:rsid w:val="009E7A05"/>
    <w:rsid w:val="009F1185"/>
    <w:rsid w:val="009F18CD"/>
    <w:rsid w:val="009F2A13"/>
    <w:rsid w:val="00A00869"/>
    <w:rsid w:val="00A01F78"/>
    <w:rsid w:val="00A04EB0"/>
    <w:rsid w:val="00A12215"/>
    <w:rsid w:val="00A12591"/>
    <w:rsid w:val="00A13CC1"/>
    <w:rsid w:val="00A16847"/>
    <w:rsid w:val="00A237D8"/>
    <w:rsid w:val="00A268C4"/>
    <w:rsid w:val="00A307CD"/>
    <w:rsid w:val="00A3552E"/>
    <w:rsid w:val="00A35D9E"/>
    <w:rsid w:val="00A35FBC"/>
    <w:rsid w:val="00A40A00"/>
    <w:rsid w:val="00A4142F"/>
    <w:rsid w:val="00A45502"/>
    <w:rsid w:val="00A56DF2"/>
    <w:rsid w:val="00A67AB5"/>
    <w:rsid w:val="00A75E9B"/>
    <w:rsid w:val="00A81783"/>
    <w:rsid w:val="00A8600E"/>
    <w:rsid w:val="00A91760"/>
    <w:rsid w:val="00A93B00"/>
    <w:rsid w:val="00A93C21"/>
    <w:rsid w:val="00A9796C"/>
    <w:rsid w:val="00AA0C1D"/>
    <w:rsid w:val="00AC3C6A"/>
    <w:rsid w:val="00AC3CC5"/>
    <w:rsid w:val="00AC64C1"/>
    <w:rsid w:val="00AD1B9E"/>
    <w:rsid w:val="00AD32FC"/>
    <w:rsid w:val="00AD5620"/>
    <w:rsid w:val="00AD7C1B"/>
    <w:rsid w:val="00AE16BA"/>
    <w:rsid w:val="00AE1EBE"/>
    <w:rsid w:val="00AF03B1"/>
    <w:rsid w:val="00AF085C"/>
    <w:rsid w:val="00B03C9D"/>
    <w:rsid w:val="00B05FDC"/>
    <w:rsid w:val="00B060AE"/>
    <w:rsid w:val="00B06AF0"/>
    <w:rsid w:val="00B10517"/>
    <w:rsid w:val="00B11864"/>
    <w:rsid w:val="00B148C3"/>
    <w:rsid w:val="00B14E76"/>
    <w:rsid w:val="00B161B8"/>
    <w:rsid w:val="00B174FE"/>
    <w:rsid w:val="00B2048C"/>
    <w:rsid w:val="00B21EFE"/>
    <w:rsid w:val="00B265D0"/>
    <w:rsid w:val="00B27213"/>
    <w:rsid w:val="00B310B9"/>
    <w:rsid w:val="00B3499D"/>
    <w:rsid w:val="00B35C0B"/>
    <w:rsid w:val="00B35F3F"/>
    <w:rsid w:val="00B36CBB"/>
    <w:rsid w:val="00B425E0"/>
    <w:rsid w:val="00B440AA"/>
    <w:rsid w:val="00B44B70"/>
    <w:rsid w:val="00B515E9"/>
    <w:rsid w:val="00B53C56"/>
    <w:rsid w:val="00B61DCE"/>
    <w:rsid w:val="00B73063"/>
    <w:rsid w:val="00B77EA6"/>
    <w:rsid w:val="00B81598"/>
    <w:rsid w:val="00B841F1"/>
    <w:rsid w:val="00B854A8"/>
    <w:rsid w:val="00B862A4"/>
    <w:rsid w:val="00B8630A"/>
    <w:rsid w:val="00B944D6"/>
    <w:rsid w:val="00BB4DF0"/>
    <w:rsid w:val="00BC170A"/>
    <w:rsid w:val="00BC289F"/>
    <w:rsid w:val="00BC5361"/>
    <w:rsid w:val="00BC5460"/>
    <w:rsid w:val="00BC5AF5"/>
    <w:rsid w:val="00BC6B50"/>
    <w:rsid w:val="00BD0E25"/>
    <w:rsid w:val="00BD3EAD"/>
    <w:rsid w:val="00BD3F33"/>
    <w:rsid w:val="00BF5BD6"/>
    <w:rsid w:val="00C03E31"/>
    <w:rsid w:val="00C06739"/>
    <w:rsid w:val="00C06F40"/>
    <w:rsid w:val="00C3272C"/>
    <w:rsid w:val="00C33E72"/>
    <w:rsid w:val="00C354B2"/>
    <w:rsid w:val="00C35554"/>
    <w:rsid w:val="00C36AA0"/>
    <w:rsid w:val="00C41F00"/>
    <w:rsid w:val="00C42709"/>
    <w:rsid w:val="00C510CE"/>
    <w:rsid w:val="00C52F0F"/>
    <w:rsid w:val="00C533CC"/>
    <w:rsid w:val="00C56BA8"/>
    <w:rsid w:val="00C5751C"/>
    <w:rsid w:val="00C61BFC"/>
    <w:rsid w:val="00C62B85"/>
    <w:rsid w:val="00C63D15"/>
    <w:rsid w:val="00C64467"/>
    <w:rsid w:val="00C65438"/>
    <w:rsid w:val="00C654FD"/>
    <w:rsid w:val="00C74FF3"/>
    <w:rsid w:val="00C771A6"/>
    <w:rsid w:val="00C84154"/>
    <w:rsid w:val="00C91875"/>
    <w:rsid w:val="00C91CBB"/>
    <w:rsid w:val="00C93824"/>
    <w:rsid w:val="00C965C9"/>
    <w:rsid w:val="00C96699"/>
    <w:rsid w:val="00CA736E"/>
    <w:rsid w:val="00CB281D"/>
    <w:rsid w:val="00CB2A08"/>
    <w:rsid w:val="00CC09B6"/>
    <w:rsid w:val="00CC666F"/>
    <w:rsid w:val="00CD072E"/>
    <w:rsid w:val="00CD1E3F"/>
    <w:rsid w:val="00CE44F6"/>
    <w:rsid w:val="00CE49DA"/>
    <w:rsid w:val="00CE7B61"/>
    <w:rsid w:val="00D00095"/>
    <w:rsid w:val="00D02CA5"/>
    <w:rsid w:val="00D10A7C"/>
    <w:rsid w:val="00D20620"/>
    <w:rsid w:val="00D2139C"/>
    <w:rsid w:val="00D21915"/>
    <w:rsid w:val="00D26091"/>
    <w:rsid w:val="00D309C1"/>
    <w:rsid w:val="00D34E7C"/>
    <w:rsid w:val="00D35489"/>
    <w:rsid w:val="00D43BA7"/>
    <w:rsid w:val="00D43FD1"/>
    <w:rsid w:val="00D4763D"/>
    <w:rsid w:val="00D51276"/>
    <w:rsid w:val="00D57784"/>
    <w:rsid w:val="00D616DB"/>
    <w:rsid w:val="00D67711"/>
    <w:rsid w:val="00D7035F"/>
    <w:rsid w:val="00D771A9"/>
    <w:rsid w:val="00D83A78"/>
    <w:rsid w:val="00D87F33"/>
    <w:rsid w:val="00D952CB"/>
    <w:rsid w:val="00D95416"/>
    <w:rsid w:val="00D96FAA"/>
    <w:rsid w:val="00D97945"/>
    <w:rsid w:val="00DA5D3C"/>
    <w:rsid w:val="00DA65AC"/>
    <w:rsid w:val="00DA78EA"/>
    <w:rsid w:val="00DB0D04"/>
    <w:rsid w:val="00DB1913"/>
    <w:rsid w:val="00DC2FAF"/>
    <w:rsid w:val="00DC3FCA"/>
    <w:rsid w:val="00DC410D"/>
    <w:rsid w:val="00DC68CA"/>
    <w:rsid w:val="00DC6FD7"/>
    <w:rsid w:val="00DC7CBA"/>
    <w:rsid w:val="00DD73B7"/>
    <w:rsid w:val="00DF1955"/>
    <w:rsid w:val="00DF28BC"/>
    <w:rsid w:val="00DF34B9"/>
    <w:rsid w:val="00DF575C"/>
    <w:rsid w:val="00E01053"/>
    <w:rsid w:val="00E07ACF"/>
    <w:rsid w:val="00E1605A"/>
    <w:rsid w:val="00E2478B"/>
    <w:rsid w:val="00E25F3B"/>
    <w:rsid w:val="00E27278"/>
    <w:rsid w:val="00E331A1"/>
    <w:rsid w:val="00E33202"/>
    <w:rsid w:val="00E336A9"/>
    <w:rsid w:val="00E33A54"/>
    <w:rsid w:val="00E349E7"/>
    <w:rsid w:val="00E34C4F"/>
    <w:rsid w:val="00E50624"/>
    <w:rsid w:val="00E53CE0"/>
    <w:rsid w:val="00E568DF"/>
    <w:rsid w:val="00E5775F"/>
    <w:rsid w:val="00E64269"/>
    <w:rsid w:val="00E729E7"/>
    <w:rsid w:val="00E76C3F"/>
    <w:rsid w:val="00E77C14"/>
    <w:rsid w:val="00E82267"/>
    <w:rsid w:val="00E85548"/>
    <w:rsid w:val="00E96DBD"/>
    <w:rsid w:val="00EA010F"/>
    <w:rsid w:val="00EA23DD"/>
    <w:rsid w:val="00EA4DE0"/>
    <w:rsid w:val="00EA54A4"/>
    <w:rsid w:val="00EB4ECF"/>
    <w:rsid w:val="00ED1B63"/>
    <w:rsid w:val="00ED3C1F"/>
    <w:rsid w:val="00ED4085"/>
    <w:rsid w:val="00ED420E"/>
    <w:rsid w:val="00EE22AE"/>
    <w:rsid w:val="00EE2F57"/>
    <w:rsid w:val="00EF4C34"/>
    <w:rsid w:val="00EF77C6"/>
    <w:rsid w:val="00F05438"/>
    <w:rsid w:val="00F12878"/>
    <w:rsid w:val="00F1361C"/>
    <w:rsid w:val="00F160C7"/>
    <w:rsid w:val="00F261E6"/>
    <w:rsid w:val="00F26CBA"/>
    <w:rsid w:val="00F30006"/>
    <w:rsid w:val="00F36D8F"/>
    <w:rsid w:val="00F417B1"/>
    <w:rsid w:val="00F51327"/>
    <w:rsid w:val="00F57BBD"/>
    <w:rsid w:val="00F602DF"/>
    <w:rsid w:val="00F64FDD"/>
    <w:rsid w:val="00F663CD"/>
    <w:rsid w:val="00F66B58"/>
    <w:rsid w:val="00F76AF4"/>
    <w:rsid w:val="00F77BAC"/>
    <w:rsid w:val="00F8119B"/>
    <w:rsid w:val="00F81FD9"/>
    <w:rsid w:val="00F82491"/>
    <w:rsid w:val="00F82F39"/>
    <w:rsid w:val="00F841AA"/>
    <w:rsid w:val="00F85517"/>
    <w:rsid w:val="00F95318"/>
    <w:rsid w:val="00F95985"/>
    <w:rsid w:val="00F9642D"/>
    <w:rsid w:val="00FA23E8"/>
    <w:rsid w:val="00FA2C84"/>
    <w:rsid w:val="00FA38D8"/>
    <w:rsid w:val="00FA588C"/>
    <w:rsid w:val="00FA7937"/>
    <w:rsid w:val="00FB1153"/>
    <w:rsid w:val="00FB622F"/>
    <w:rsid w:val="00FB6C08"/>
    <w:rsid w:val="00FD3CC1"/>
    <w:rsid w:val="00FE2B00"/>
    <w:rsid w:val="00FF1E02"/>
    <w:rsid w:val="00FF30B4"/>
    <w:rsid w:val="01401371"/>
    <w:rsid w:val="02340EDC"/>
    <w:rsid w:val="046917C8"/>
    <w:rsid w:val="047D739D"/>
    <w:rsid w:val="05727FC9"/>
    <w:rsid w:val="05743B18"/>
    <w:rsid w:val="06556B64"/>
    <w:rsid w:val="072E65CD"/>
    <w:rsid w:val="08AC25CB"/>
    <w:rsid w:val="09094A2E"/>
    <w:rsid w:val="0AD74215"/>
    <w:rsid w:val="0B66483A"/>
    <w:rsid w:val="0D332BF1"/>
    <w:rsid w:val="0DA357A6"/>
    <w:rsid w:val="0EC363FB"/>
    <w:rsid w:val="0F304D48"/>
    <w:rsid w:val="0F802FCF"/>
    <w:rsid w:val="103B35B7"/>
    <w:rsid w:val="10B07E35"/>
    <w:rsid w:val="10C055FF"/>
    <w:rsid w:val="11A917C5"/>
    <w:rsid w:val="128535CE"/>
    <w:rsid w:val="14092D2D"/>
    <w:rsid w:val="14453381"/>
    <w:rsid w:val="147F16C8"/>
    <w:rsid w:val="147F2D2E"/>
    <w:rsid w:val="14D436E4"/>
    <w:rsid w:val="161513CF"/>
    <w:rsid w:val="16BB723D"/>
    <w:rsid w:val="16F641AF"/>
    <w:rsid w:val="17FBD90E"/>
    <w:rsid w:val="18231EAF"/>
    <w:rsid w:val="188034A7"/>
    <w:rsid w:val="1A270004"/>
    <w:rsid w:val="1A2A60A1"/>
    <w:rsid w:val="1A3A4980"/>
    <w:rsid w:val="1B3E2B1B"/>
    <w:rsid w:val="1CC2155D"/>
    <w:rsid w:val="1EA32355"/>
    <w:rsid w:val="1F907FA8"/>
    <w:rsid w:val="1FAE39F7"/>
    <w:rsid w:val="1FCB2E64"/>
    <w:rsid w:val="202F7005"/>
    <w:rsid w:val="20A633E1"/>
    <w:rsid w:val="20DD78DA"/>
    <w:rsid w:val="20E12D37"/>
    <w:rsid w:val="21076A0C"/>
    <w:rsid w:val="229812E0"/>
    <w:rsid w:val="22EA0B24"/>
    <w:rsid w:val="240371BF"/>
    <w:rsid w:val="25F52E8E"/>
    <w:rsid w:val="260C71B9"/>
    <w:rsid w:val="26B41762"/>
    <w:rsid w:val="26CB1B25"/>
    <w:rsid w:val="27232AED"/>
    <w:rsid w:val="29040409"/>
    <w:rsid w:val="29BF4AC5"/>
    <w:rsid w:val="29CF781C"/>
    <w:rsid w:val="29FD04D3"/>
    <w:rsid w:val="2C101FB4"/>
    <w:rsid w:val="2D7A3A78"/>
    <w:rsid w:val="2EAE52D8"/>
    <w:rsid w:val="2EB97CA5"/>
    <w:rsid w:val="30AF1920"/>
    <w:rsid w:val="30EEA0AF"/>
    <w:rsid w:val="31423C85"/>
    <w:rsid w:val="319F7F4E"/>
    <w:rsid w:val="3455090A"/>
    <w:rsid w:val="345A7E54"/>
    <w:rsid w:val="35E505F4"/>
    <w:rsid w:val="362A00F2"/>
    <w:rsid w:val="36F2683F"/>
    <w:rsid w:val="37151AC7"/>
    <w:rsid w:val="382A2524"/>
    <w:rsid w:val="3892176C"/>
    <w:rsid w:val="38B706D0"/>
    <w:rsid w:val="39352FA5"/>
    <w:rsid w:val="3B312338"/>
    <w:rsid w:val="3DD67602"/>
    <w:rsid w:val="3F086945"/>
    <w:rsid w:val="3FE83EEA"/>
    <w:rsid w:val="3FED505B"/>
    <w:rsid w:val="3FFAA7EE"/>
    <w:rsid w:val="3FFB75E3"/>
    <w:rsid w:val="408A0AF4"/>
    <w:rsid w:val="40B90005"/>
    <w:rsid w:val="423B5665"/>
    <w:rsid w:val="429F3E58"/>
    <w:rsid w:val="42B9058E"/>
    <w:rsid w:val="437215BA"/>
    <w:rsid w:val="44500529"/>
    <w:rsid w:val="44B85C86"/>
    <w:rsid w:val="45406E1A"/>
    <w:rsid w:val="45875457"/>
    <w:rsid w:val="45D95A0E"/>
    <w:rsid w:val="46E91F45"/>
    <w:rsid w:val="47541888"/>
    <w:rsid w:val="4773A335"/>
    <w:rsid w:val="48054E76"/>
    <w:rsid w:val="489B08F9"/>
    <w:rsid w:val="49521A32"/>
    <w:rsid w:val="4962383C"/>
    <w:rsid w:val="4BD117B0"/>
    <w:rsid w:val="4D021D86"/>
    <w:rsid w:val="4E1E6427"/>
    <w:rsid w:val="4E538EA4"/>
    <w:rsid w:val="4E6179BA"/>
    <w:rsid w:val="4E9B7FA5"/>
    <w:rsid w:val="4EFE20DA"/>
    <w:rsid w:val="50301893"/>
    <w:rsid w:val="50EE52EB"/>
    <w:rsid w:val="51EE1805"/>
    <w:rsid w:val="52667DEF"/>
    <w:rsid w:val="52DE792F"/>
    <w:rsid w:val="53786340"/>
    <w:rsid w:val="54545944"/>
    <w:rsid w:val="54A62DF0"/>
    <w:rsid w:val="54A826DD"/>
    <w:rsid w:val="55045A94"/>
    <w:rsid w:val="556E6776"/>
    <w:rsid w:val="55A16D1C"/>
    <w:rsid w:val="563B5AEA"/>
    <w:rsid w:val="576E23B2"/>
    <w:rsid w:val="57891A51"/>
    <w:rsid w:val="59590632"/>
    <w:rsid w:val="5B114FB2"/>
    <w:rsid w:val="5B994FEA"/>
    <w:rsid w:val="5BB012D2"/>
    <w:rsid w:val="5C026295"/>
    <w:rsid w:val="5D9736CF"/>
    <w:rsid w:val="5FD1337A"/>
    <w:rsid w:val="60143373"/>
    <w:rsid w:val="617E0443"/>
    <w:rsid w:val="650B1879"/>
    <w:rsid w:val="6649695D"/>
    <w:rsid w:val="67BD8990"/>
    <w:rsid w:val="68113573"/>
    <w:rsid w:val="692C69C6"/>
    <w:rsid w:val="69670BC7"/>
    <w:rsid w:val="69CB0CFD"/>
    <w:rsid w:val="6A92554F"/>
    <w:rsid w:val="6AB376A8"/>
    <w:rsid w:val="6B727E06"/>
    <w:rsid w:val="6B97534E"/>
    <w:rsid w:val="6C255110"/>
    <w:rsid w:val="6C433903"/>
    <w:rsid w:val="6D6B7A0E"/>
    <w:rsid w:val="6D76659E"/>
    <w:rsid w:val="6F3C6681"/>
    <w:rsid w:val="6F5778B8"/>
    <w:rsid w:val="6FCFC78F"/>
    <w:rsid w:val="720435A0"/>
    <w:rsid w:val="72205154"/>
    <w:rsid w:val="72666402"/>
    <w:rsid w:val="72727400"/>
    <w:rsid w:val="735D0A79"/>
    <w:rsid w:val="74050456"/>
    <w:rsid w:val="75A47870"/>
    <w:rsid w:val="75E918F7"/>
    <w:rsid w:val="768E354B"/>
    <w:rsid w:val="769C6936"/>
    <w:rsid w:val="76F571EA"/>
    <w:rsid w:val="78817C94"/>
    <w:rsid w:val="797706BD"/>
    <w:rsid w:val="79907400"/>
    <w:rsid w:val="79AF7897"/>
    <w:rsid w:val="79C330C2"/>
    <w:rsid w:val="7B3A0EFB"/>
    <w:rsid w:val="7BBD2207"/>
    <w:rsid w:val="7D5F4CF1"/>
    <w:rsid w:val="7DD503FB"/>
    <w:rsid w:val="7E774B00"/>
    <w:rsid w:val="7F15EB1D"/>
    <w:rsid w:val="7F4F4FBB"/>
    <w:rsid w:val="7F65059D"/>
    <w:rsid w:val="7F7660C4"/>
    <w:rsid w:val="7FBFEEDF"/>
    <w:rsid w:val="9F9FC4EE"/>
    <w:rsid w:val="9FFC6ED6"/>
    <w:rsid w:val="A6D5F0B4"/>
    <w:rsid w:val="B7BFD893"/>
    <w:rsid w:val="BEC7DA18"/>
    <w:rsid w:val="BFBF206F"/>
    <w:rsid w:val="BFDF8D9D"/>
    <w:rsid w:val="C9BF41EF"/>
    <w:rsid w:val="DDBE9ACD"/>
    <w:rsid w:val="DDBF7327"/>
    <w:rsid w:val="DFDB19BD"/>
    <w:rsid w:val="DFE73D9B"/>
    <w:rsid w:val="DFED0592"/>
    <w:rsid w:val="E9EF8AE1"/>
    <w:rsid w:val="EC776F5C"/>
    <w:rsid w:val="EF7BA39A"/>
    <w:rsid w:val="EFE734F0"/>
    <w:rsid w:val="F79FE7DC"/>
    <w:rsid w:val="F7BBDE95"/>
    <w:rsid w:val="F9DAFD70"/>
    <w:rsid w:val="FB649706"/>
    <w:rsid w:val="FBFF6910"/>
    <w:rsid w:val="FCBF3F65"/>
    <w:rsid w:val="FF773705"/>
    <w:rsid w:val="FFE76EEE"/>
    <w:rsid w:val="FFE9D06B"/>
    <w:rsid w:val="FFF77D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黑体" w:cs="Times New Roman"/>
      <w:kern w:val="2"/>
      <w:sz w:val="32"/>
      <w:szCs w:val="24"/>
      <w:lang w:val="en-US" w:eastAsia="zh-CN" w:bidi="ar-SA"/>
    </w:rPr>
  </w:style>
  <w:style w:type="paragraph" w:styleId="3">
    <w:name w:val="heading 1"/>
    <w:basedOn w:val="1"/>
    <w:next w:val="1"/>
    <w:link w:val="33"/>
    <w:qFormat/>
    <w:uiPriority w:val="9"/>
    <w:pPr>
      <w:keepNext/>
      <w:keepLines/>
      <w:spacing w:before="340" w:after="330" w:line="578" w:lineRule="auto"/>
      <w:jc w:val="center"/>
      <w:outlineLvl w:val="0"/>
    </w:pPr>
    <w:rPr>
      <w:rFonts w:eastAsia="方正小标宋_GBK"/>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cstheme="majorBidi"/>
      <w:b/>
      <w:bCs/>
      <w:szCs w:val="32"/>
    </w:rPr>
  </w:style>
  <w:style w:type="paragraph" w:styleId="5">
    <w:name w:val="heading 3"/>
    <w:basedOn w:val="1"/>
    <w:next w:val="1"/>
    <w:link w:val="37"/>
    <w:unhideWhenUsed/>
    <w:qFormat/>
    <w:uiPriority w:val="9"/>
    <w:pPr>
      <w:keepNext/>
      <w:keepLines/>
      <w:spacing w:before="260" w:after="260" w:line="416" w:lineRule="auto"/>
      <w:outlineLvl w:val="2"/>
    </w:pPr>
    <w:rPr>
      <w:b/>
      <w:bCs/>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2"/>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43"/>
    <w:unhideWhenUsed/>
    <w:qFormat/>
    <w:uiPriority w:val="9"/>
    <w:pPr>
      <w:keepNext/>
      <w:keepLines/>
      <w:spacing w:before="240" w:after="64" w:line="320" w:lineRule="auto"/>
      <w:outlineLvl w:val="6"/>
    </w:pPr>
    <w:rPr>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99"/>
    <w:pPr>
      <w:spacing w:beforeLines="30"/>
    </w:pPr>
    <w:rPr>
      <w:rFonts w:ascii="仿宋_GB2312" w:eastAsia="仿宋_GB2312"/>
      <w:kern w:val="0"/>
      <w:sz w:val="30"/>
    </w:rPr>
  </w:style>
  <w:style w:type="paragraph" w:styleId="10">
    <w:name w:val="Salutation"/>
    <w:basedOn w:val="1"/>
    <w:next w:val="1"/>
    <w:unhideWhenUsed/>
    <w:qFormat/>
    <w:uiPriority w:val="99"/>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6"/>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pPr>
    <w:rPr>
      <w:rFonts w:ascii="Calibri" w:hAnsi="Calibri"/>
      <w:kern w:val="0"/>
      <w:sz w:val="18"/>
      <w:szCs w:val="18"/>
    </w:rPr>
  </w:style>
  <w:style w:type="paragraph" w:styleId="14">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footnote text"/>
    <w:basedOn w:val="1"/>
    <w:qFormat/>
    <w:uiPriority w:val="0"/>
    <w:pPr>
      <w:snapToGrid w:val="0"/>
      <w:jc w:val="left"/>
    </w:pPr>
    <w:rPr>
      <w:sz w:val="18"/>
      <w:szCs w:val="18"/>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99"/>
    <w:pPr>
      <w:widowControl/>
      <w:spacing w:before="100" w:beforeAutospacing="1" w:after="100" w:afterAutospacing="1"/>
    </w:pPr>
    <w:rPr>
      <w:rFonts w:ascii="宋体" w:hAnsi="宋体" w:eastAsia="仿宋_GB2312" w:cs="宋体"/>
      <w:kern w:val="0"/>
      <w:sz w:val="24"/>
    </w:rPr>
  </w:style>
  <w:style w:type="paragraph" w:styleId="19">
    <w:name w:val="Title"/>
    <w:basedOn w:val="1"/>
    <w:next w:val="1"/>
    <w:link w:val="39"/>
    <w:qFormat/>
    <w:uiPriority w:val="10"/>
    <w:pPr>
      <w:spacing w:before="240" w:after="60"/>
      <w:jc w:val="center"/>
      <w:outlineLvl w:val="0"/>
    </w:pPr>
    <w:rPr>
      <w:rFonts w:asciiTheme="majorHAnsi" w:hAnsiTheme="majorHAnsi" w:cstheme="majorBidi"/>
      <w:b/>
      <w:bCs/>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paragraph" w:customStyle="1" w:styleId="2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6">
    <w:name w:val="Header Char"/>
    <w:basedOn w:val="22"/>
    <w:semiHidden/>
    <w:qFormat/>
    <w:uiPriority w:val="99"/>
    <w:rPr>
      <w:rFonts w:ascii="Times New Roman" w:hAnsi="Times New Roman"/>
      <w:sz w:val="18"/>
      <w:szCs w:val="18"/>
    </w:rPr>
  </w:style>
  <w:style w:type="character" w:customStyle="1" w:styleId="27">
    <w:name w:val="页眉 Char"/>
    <w:link w:val="14"/>
    <w:semiHidden/>
    <w:qFormat/>
    <w:locked/>
    <w:uiPriority w:val="99"/>
    <w:rPr>
      <w:sz w:val="18"/>
    </w:rPr>
  </w:style>
  <w:style w:type="character" w:customStyle="1" w:styleId="28">
    <w:name w:val="Footer Char"/>
    <w:basedOn w:val="22"/>
    <w:semiHidden/>
    <w:qFormat/>
    <w:uiPriority w:val="99"/>
    <w:rPr>
      <w:rFonts w:ascii="Times New Roman" w:hAnsi="Times New Roman"/>
      <w:sz w:val="18"/>
      <w:szCs w:val="18"/>
    </w:rPr>
  </w:style>
  <w:style w:type="character" w:customStyle="1" w:styleId="29">
    <w:name w:val="页脚 Char"/>
    <w:link w:val="13"/>
    <w:qFormat/>
    <w:locked/>
    <w:uiPriority w:val="99"/>
    <w:rPr>
      <w:sz w:val="18"/>
    </w:rPr>
  </w:style>
  <w:style w:type="character" w:customStyle="1" w:styleId="30">
    <w:name w:val="Body Text Char"/>
    <w:basedOn w:val="22"/>
    <w:semiHidden/>
    <w:qFormat/>
    <w:uiPriority w:val="99"/>
    <w:rPr>
      <w:rFonts w:ascii="Times New Roman" w:hAnsi="Times New Roman"/>
      <w:szCs w:val="24"/>
    </w:rPr>
  </w:style>
  <w:style w:type="character" w:customStyle="1" w:styleId="31">
    <w:name w:val="正文文本 Char"/>
    <w:link w:val="2"/>
    <w:qFormat/>
    <w:locked/>
    <w:uiPriority w:val="99"/>
    <w:rPr>
      <w:rFonts w:ascii="仿宋_GB2312" w:hAnsi="Times New Roman" w:eastAsia="仿宋_GB2312"/>
      <w:sz w:val="24"/>
    </w:rPr>
  </w:style>
  <w:style w:type="paragraph" w:styleId="32">
    <w:name w:val="List Paragraph"/>
    <w:basedOn w:val="1"/>
    <w:qFormat/>
    <w:uiPriority w:val="34"/>
    <w:pPr>
      <w:ind w:firstLine="420" w:firstLineChars="200"/>
    </w:pPr>
  </w:style>
  <w:style w:type="character" w:customStyle="1" w:styleId="33">
    <w:name w:val="标题 1 Char"/>
    <w:basedOn w:val="22"/>
    <w:link w:val="3"/>
    <w:qFormat/>
    <w:uiPriority w:val="9"/>
    <w:rPr>
      <w:rFonts w:ascii="Times New Roman" w:hAnsi="Times New Roman" w:eastAsia="方正小标宋_GBK"/>
      <w:b/>
      <w:bCs/>
      <w:kern w:val="44"/>
      <w:sz w:val="44"/>
      <w:szCs w:val="44"/>
    </w:rPr>
  </w:style>
  <w:style w:type="character" w:customStyle="1" w:styleId="34">
    <w:name w:val="标题 2 Char"/>
    <w:basedOn w:val="22"/>
    <w:link w:val="4"/>
    <w:qFormat/>
    <w:uiPriority w:val="9"/>
    <w:rPr>
      <w:rFonts w:eastAsia="黑体" w:asciiTheme="majorHAnsi" w:hAnsiTheme="majorHAnsi"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2"/>
    <w:link w:val="12"/>
    <w:semiHidden/>
    <w:qFormat/>
    <w:uiPriority w:val="99"/>
    <w:rPr>
      <w:rFonts w:ascii="Times New Roman" w:hAnsi="Times New Roman"/>
      <w:kern w:val="2"/>
      <w:sz w:val="18"/>
      <w:szCs w:val="18"/>
    </w:rPr>
  </w:style>
  <w:style w:type="character" w:customStyle="1" w:styleId="37">
    <w:name w:val="标题 3 Char"/>
    <w:basedOn w:val="22"/>
    <w:link w:val="5"/>
    <w:qFormat/>
    <w:uiPriority w:val="9"/>
    <w:rPr>
      <w:rFonts w:ascii="Times New Roman" w:hAnsi="Times New Roman"/>
      <w:b/>
      <w:bCs/>
      <w:kern w:val="2"/>
      <w:sz w:val="32"/>
      <w:szCs w:val="32"/>
    </w:rPr>
  </w:style>
  <w:style w:type="paragraph" w:customStyle="1" w:styleId="38">
    <w:name w:val="列出段落1"/>
    <w:basedOn w:val="1"/>
    <w:qFormat/>
    <w:uiPriority w:val="34"/>
    <w:pPr>
      <w:ind w:firstLine="420" w:firstLineChars="200"/>
    </w:pPr>
  </w:style>
  <w:style w:type="character" w:customStyle="1" w:styleId="39">
    <w:name w:val="标题 Char"/>
    <w:basedOn w:val="22"/>
    <w:link w:val="19"/>
    <w:qFormat/>
    <w:uiPriority w:val="10"/>
    <w:rPr>
      <w:rFonts w:asciiTheme="majorHAnsi" w:hAnsiTheme="majorHAnsi" w:cstheme="majorBidi"/>
      <w:b/>
      <w:bCs/>
      <w:kern w:val="2"/>
      <w:sz w:val="32"/>
      <w:szCs w:val="32"/>
    </w:rPr>
  </w:style>
  <w:style w:type="character" w:customStyle="1" w:styleId="40">
    <w:name w:val="标题 4 Char"/>
    <w:basedOn w:val="22"/>
    <w:link w:val="6"/>
    <w:qFormat/>
    <w:uiPriority w:val="9"/>
    <w:rPr>
      <w:rFonts w:asciiTheme="majorHAnsi" w:hAnsiTheme="majorHAnsi" w:eastAsiaTheme="majorEastAsia" w:cstheme="majorBidi"/>
      <w:b/>
      <w:bCs/>
      <w:kern w:val="2"/>
      <w:sz w:val="28"/>
      <w:szCs w:val="28"/>
    </w:rPr>
  </w:style>
  <w:style w:type="character" w:customStyle="1" w:styleId="41">
    <w:name w:val="标题 5 Char"/>
    <w:basedOn w:val="22"/>
    <w:link w:val="7"/>
    <w:qFormat/>
    <w:uiPriority w:val="9"/>
    <w:rPr>
      <w:rFonts w:ascii="Times New Roman" w:hAnsi="Times New Roman"/>
      <w:b/>
      <w:bCs/>
      <w:kern w:val="2"/>
      <w:sz w:val="28"/>
      <w:szCs w:val="28"/>
    </w:rPr>
  </w:style>
  <w:style w:type="character" w:customStyle="1" w:styleId="42">
    <w:name w:val="标题 6 Char"/>
    <w:basedOn w:val="22"/>
    <w:link w:val="8"/>
    <w:qFormat/>
    <w:uiPriority w:val="9"/>
    <w:rPr>
      <w:rFonts w:asciiTheme="majorHAnsi" w:hAnsiTheme="majorHAnsi" w:eastAsiaTheme="majorEastAsia" w:cstheme="majorBidi"/>
      <w:b/>
      <w:bCs/>
      <w:kern w:val="2"/>
      <w:sz w:val="24"/>
      <w:szCs w:val="24"/>
    </w:rPr>
  </w:style>
  <w:style w:type="character" w:customStyle="1" w:styleId="43">
    <w:name w:val="标题 7 Char"/>
    <w:basedOn w:val="22"/>
    <w:link w:val="9"/>
    <w:qFormat/>
    <w:uiPriority w:val="9"/>
    <w:rPr>
      <w:rFonts w:ascii="Times New Roman" w:hAnsi="Times New Roman"/>
      <w:b/>
      <w:bCs/>
      <w:kern w:val="2"/>
      <w:sz w:val="24"/>
      <w:szCs w:val="24"/>
    </w:rPr>
  </w:style>
  <w:style w:type="character" w:customStyle="1" w:styleId="44">
    <w:name w:val="15"/>
    <w:basedOn w:val="22"/>
    <w:qFormat/>
    <w:uiPriority w:val="0"/>
    <w:rPr>
      <w:rFonts w:hint="default" w:ascii="Calibri" w:hAnsi="Calibri" w:cs="Times New Roman"/>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收、支决算总计变动图</a:t>
            </a:r>
          </a:p>
        </c:rich>
      </c:tx>
      <c:layout/>
      <c:overlay val="0"/>
      <c:spPr>
        <a:noFill/>
        <a:ln>
          <a:noFill/>
        </a:ln>
        <a:effectLst/>
      </c:spPr>
    </c:title>
    <c:autoTitleDeleted val="0"/>
    <c:plotArea>
      <c:layout>
        <c:manualLayout>
          <c:layoutTarget val="inner"/>
          <c:xMode val="edge"/>
          <c:yMode val="edge"/>
          <c:x val="0.067325"/>
          <c:y val="0.16232332155477"/>
          <c:w val="0.905175"/>
          <c:h val="0.724911660777385"/>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259.63</c:v>
                </c:pt>
                <c:pt idx="1">
                  <c:v>220</c:v>
                </c:pt>
              </c:numCache>
            </c:numRef>
          </c:val>
        </c:ser>
        <c:dLbls>
          <c:showLegendKey val="0"/>
          <c:showVal val="0"/>
          <c:showCatName val="0"/>
          <c:showSerName val="0"/>
          <c:showPercent val="0"/>
          <c:showBubbleSize val="0"/>
        </c:dLbls>
        <c:gapWidth val="150"/>
        <c:overlap val="100"/>
        <c:axId val="312499782"/>
        <c:axId val="315424283"/>
      </c:barChart>
      <c:catAx>
        <c:axId val="3124997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5424283"/>
        <c:crosses val="autoZero"/>
        <c:auto val="1"/>
        <c:lblAlgn val="ctr"/>
        <c:lblOffset val="100"/>
        <c:noMultiLvlLbl val="0"/>
      </c:catAx>
      <c:valAx>
        <c:axId val="315424283"/>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2499782"/>
        <c:crosses val="autoZero"/>
        <c:crossBetween val="between"/>
        <c:majorUnit val="100"/>
        <c:min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0.00%</c:formatCode>
                <c:ptCount val="2"/>
                <c:pt idx="0">
                  <c:v>0.93</c:v>
                </c:pt>
                <c:pt idx="1">
                  <c:v>0.07</c:v>
                </c:pt>
              </c:numCache>
            </c:numRef>
          </c:val>
        </c:ser>
        <c:ser>
          <c:idx val="1"/>
          <c:order val="1"/>
          <c:tx>
            <c:strRef>
              <c:f>Sheet1!#REF!</c:f>
              <c:strCache>
                <c:ptCount val="1"/>
                <c:pt idx="0">
                  <c:v/>
                </c:pt>
              </c:strCache>
            </c:strRef>
          </c:tx>
          <c:spPr/>
          <c:explosion val="0"/>
          <c:dPt>
            <c:idx val="0"/>
            <c:bubble3D val="0"/>
            <c:spPr>
              <a:solidFill>
                <a:schemeClr val="accent1"/>
              </a:solidFill>
              <a:ln>
                <a:noFill/>
              </a:ln>
              <a:effectLst/>
            </c:spPr>
          </c:dPt>
          <c:dLbls>
            <c:delete val="1"/>
          </c:dLbls>
          <c:cat>
            <c:strRef>
              <c:f>Sheet1!$A$2:$A$3</c:f>
              <c:strCache>
                <c:ptCount val="2"/>
                <c:pt idx="0">
                  <c:v>一般公共预算财政拨款</c:v>
                </c:pt>
                <c:pt idx="1">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c:spPr>
          </c:dPt>
          <c:dLbls>
            <c:delete val="1"/>
          </c:dLbls>
          <c:cat>
            <c:strRef>
              <c:f>Sheet1!$A$2:$A$3</c:f>
              <c:strCache>
                <c:ptCount val="2"/>
                <c:pt idx="0">
                  <c:v>一般公共预算财政拨款</c:v>
                </c:pt>
                <c:pt idx="1">
                  <c:v>其他收入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0.94</c:v>
                </c:pt>
                <c:pt idx="1">
                  <c:v>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财政拨款收入支出决算总计变动情况</a:t>
            </a:r>
          </a:p>
        </c:rich>
      </c:tx>
      <c:layout>
        <c:manualLayout>
          <c:xMode val="edge"/>
          <c:yMode val="edge"/>
          <c:x val="0.203125"/>
          <c:y val="0.0108333333333333"/>
        </c:manualLayout>
      </c:layout>
      <c:overlay val="0"/>
      <c:spPr>
        <a:noFill/>
        <a:ln>
          <a:noFill/>
        </a:ln>
        <a:effectLst/>
      </c:spPr>
    </c:title>
    <c:autoTitleDeleted val="0"/>
    <c:plotArea>
      <c:layout>
        <c:manualLayout>
          <c:layoutTarget val="inner"/>
          <c:xMode val="edge"/>
          <c:yMode val="edge"/>
          <c:x val="0.077575"/>
          <c:y val="0.124833333333333"/>
          <c:w val="0.89655"/>
          <c:h val="0.792733333333333"/>
        </c:manualLayout>
      </c:layout>
      <c:barChart>
        <c:barDir val="col"/>
        <c:grouping val="stack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Lbls>
            <c:dLbl>
              <c:idx val="0"/>
              <c:layout>
                <c:manualLayout>
                  <c:x val="-0.001625"/>
                  <c:y val="0.231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
                  <c:y val="0.02595766190476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256.26</c:v>
                </c:pt>
                <c:pt idx="1">
                  <c:v>204.29</c:v>
                </c:pt>
              </c:numCache>
            </c:numRef>
          </c:val>
        </c:ser>
        <c:dLbls>
          <c:showLegendKey val="0"/>
          <c:showVal val="1"/>
          <c:showCatName val="0"/>
          <c:showSerName val="0"/>
          <c:showPercent val="0"/>
          <c:showBubbleSize val="0"/>
        </c:dLbls>
        <c:gapWidth val="219"/>
        <c:overlap val="100"/>
        <c:axId val="832705162"/>
        <c:axId val="311521584"/>
      </c:barChart>
      <c:catAx>
        <c:axId val="8327051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521584"/>
        <c:crosses val="autoZero"/>
        <c:auto val="1"/>
        <c:lblAlgn val="ctr"/>
        <c:lblOffset val="100"/>
        <c:noMultiLvlLbl val="0"/>
      </c:catAx>
      <c:valAx>
        <c:axId val="31152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70516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一般公共预算财政拨款支出决算变动表</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259.57</c:v>
                </c:pt>
                <c:pt idx="1">
                  <c:v>199.28</c:v>
                </c:pt>
              </c:numCache>
            </c:numRef>
          </c:val>
        </c:ser>
        <c:dLbls>
          <c:showLegendKey val="0"/>
          <c:showVal val="0"/>
          <c:showCatName val="0"/>
          <c:showSerName val="0"/>
          <c:showPercent val="0"/>
          <c:showBubbleSize val="0"/>
        </c:dLbls>
        <c:gapWidth val="150"/>
        <c:overlap val="100"/>
        <c:axId val="750131566"/>
        <c:axId val="858086317"/>
      </c:barChart>
      <c:catAx>
        <c:axId val="7501315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086317"/>
        <c:crosses val="autoZero"/>
        <c:auto val="1"/>
        <c:lblAlgn val="ctr"/>
        <c:lblOffset val="100"/>
        <c:noMultiLvlLbl val="0"/>
      </c:catAx>
      <c:valAx>
        <c:axId val="8580863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01315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医疗卫生支出</c:v>
                </c:pt>
                <c:pt idx="3">
                  <c:v>住房保障支出</c:v>
                </c:pt>
              </c:strCache>
            </c:strRef>
          </c:cat>
          <c:val>
            <c:numRef>
              <c:f>Sheet1!$B$2:$B$5</c:f>
              <c:numCache>
                <c:formatCode>0.00%</c:formatCode>
                <c:ptCount val="4"/>
                <c:pt idx="0">
                  <c:v>0.8308</c:v>
                </c:pt>
                <c:pt idx="1">
                  <c:v>0.0619</c:v>
                </c:pt>
                <c:pt idx="2">
                  <c:v>0.0429</c:v>
                </c:pt>
                <c:pt idx="3">
                  <c:v>0.0644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11297</Words>
  <Characters>12124</Characters>
  <Lines>97</Lines>
  <Paragraphs>27</Paragraphs>
  <TotalTime>17</TotalTime>
  <ScaleCrop>false</ScaleCrop>
  <LinksUpToDate>false</LinksUpToDate>
  <CharactersWithSpaces>12452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2021-10-03T01:43:00Z</dcterms:created>
  <dc:creator>张彬茜</dc:creator>
  <cp:lastModifiedBy> </cp:lastModifiedBy>
  <cp:lastPrinted>2021-09-19T01:07:00Z</cp:lastPrinted>
  <dcterms:modified xsi:type="dcterms:W3CDTF">2022-08-31T16:09:39Z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BA7FA6D66EFD4DB2800C16434FC95561</vt:lpwstr>
  </property>
</Properties>
</file>