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ind w:left="-17" w:leftChars="-8" w:right="-218" w:rightChars="-104" w:firstLine="17" w:firstLineChars="0"/>
        <w:jc w:val="center"/>
        <w:outlineLvl w:val="9"/>
        <w:rPr>
          <w:rFonts w:ascii="方正小标宋简体" w:hAnsi="宋体" w:eastAsia="方正小标宋简体"/>
          <w:color w:val="000000"/>
          <w:sz w:val="72"/>
          <w:szCs w:val="72"/>
        </w:rPr>
      </w:pPr>
    </w:p>
    <w:p>
      <w:pPr>
        <w:spacing w:line="600" w:lineRule="exact"/>
        <w:ind w:left="-17" w:leftChars="-8" w:right="-218" w:rightChars="-104" w:firstLine="17" w:firstLineChars="0"/>
        <w:jc w:val="center"/>
        <w:outlineLvl w:val="9"/>
        <w:rPr>
          <w:rFonts w:ascii="方正小标宋简体" w:hAnsi="宋体" w:eastAsia="方正小标宋简体"/>
          <w:color w:val="000000"/>
          <w:sz w:val="72"/>
          <w:szCs w:val="72"/>
        </w:rPr>
      </w:pPr>
    </w:p>
    <w:p>
      <w:pPr>
        <w:spacing w:line="600" w:lineRule="exact"/>
        <w:ind w:left="-17" w:leftChars="-8" w:right="-218" w:rightChars="-104" w:firstLine="17" w:firstLineChars="0"/>
        <w:jc w:val="center"/>
        <w:outlineLvl w:val="9"/>
        <w:rPr>
          <w:rFonts w:ascii="方正小标宋简体" w:hAnsi="宋体" w:eastAsia="方正小标宋简体"/>
          <w:color w:val="000000"/>
          <w:sz w:val="72"/>
          <w:szCs w:val="72"/>
        </w:rPr>
      </w:pPr>
    </w:p>
    <w:p>
      <w:pPr>
        <w:adjustRightInd w:val="0"/>
        <w:snapToGrid w:val="0"/>
        <w:spacing w:line="360" w:lineRule="auto"/>
        <w:ind w:left="-17" w:leftChars="-8" w:right="-218" w:rightChars="-104" w:firstLine="17" w:firstLineChars="0"/>
        <w:jc w:val="center"/>
        <w:outlineLvl w:val="0"/>
        <w:rPr>
          <w:rFonts w:ascii="方正小标宋简体" w:hAnsi="宋体" w:eastAsia="方正小标宋简体"/>
          <w:color w:val="000000"/>
          <w:sz w:val="72"/>
          <w:szCs w:val="72"/>
        </w:rPr>
      </w:pPr>
      <w:bookmarkStart w:id="1" w:name="_Toc15377425"/>
      <w:bookmarkStart w:id="2" w:name="_Toc15396475"/>
      <w:bookmarkStart w:id="3" w:name="_Toc15396597"/>
      <w:bookmarkStart w:id="4" w:name="_Toc3067"/>
      <w:bookmarkStart w:id="5" w:name="_Toc15377193"/>
      <w:bookmarkStart w:id="6" w:name="_Toc15378441"/>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0"/>
        <w:rPr>
          <w:rFonts w:hint="eastAsia" w:ascii="方正小标宋简体" w:hAnsi="宋体" w:eastAsia="方正小标宋简体"/>
          <w:color w:val="000000"/>
          <w:spacing w:val="-34"/>
          <w:w w:val="100"/>
          <w:sz w:val="72"/>
          <w:szCs w:val="72"/>
          <w:lang w:eastAsia="zh-CN"/>
        </w:rPr>
      </w:pPr>
      <w:bookmarkStart w:id="7" w:name="_Toc20462"/>
      <w:bookmarkStart w:id="8" w:name="_Toc15396598"/>
      <w:bookmarkStart w:id="9" w:name="_Toc15396476"/>
      <w:bookmarkStart w:id="10" w:name="_Toc15377194"/>
      <w:bookmarkStart w:id="11" w:name="_Toc15378442"/>
      <w:bookmarkStart w:id="12" w:name="_Toc15306268"/>
      <w:bookmarkStart w:id="13" w:name="_Toc15377426"/>
      <w:r>
        <w:rPr>
          <w:rFonts w:hint="eastAsia" w:ascii="方正小标宋简体" w:hAnsi="宋体" w:eastAsia="方正小标宋简体"/>
          <w:color w:val="000000"/>
          <w:spacing w:val="-34"/>
          <w:w w:val="100"/>
          <w:sz w:val="72"/>
          <w:szCs w:val="72"/>
          <w:lang w:eastAsia="zh-CN"/>
        </w:rPr>
        <w:t>川北幼儿师范高等专科学校</w:t>
      </w:r>
      <w:bookmarkEnd w:id="7"/>
    </w:p>
    <w:p>
      <w:pPr>
        <w:adjustRightInd w:val="0"/>
        <w:snapToGrid w:val="0"/>
        <w:spacing w:line="360" w:lineRule="auto"/>
        <w:ind w:left="-17" w:leftChars="-8" w:right="-218" w:rightChars="-104" w:firstLine="17" w:firstLineChars="0"/>
        <w:jc w:val="center"/>
        <w:outlineLvl w:val="1"/>
        <w:rPr>
          <w:rFonts w:ascii="方正小标宋简体" w:hAnsi="宋体" w:eastAsia="方正小标宋简体"/>
          <w:color w:val="000000"/>
          <w:sz w:val="72"/>
          <w:szCs w:val="72"/>
        </w:rPr>
      </w:pPr>
      <w:bookmarkStart w:id="14" w:name="_Toc32670"/>
      <w:r>
        <w:rPr>
          <w:rFonts w:hint="eastAsia" w:ascii="方正小标宋简体" w:hAnsi="宋体" w:eastAsia="方正小标宋简体"/>
          <w:color w:val="000000"/>
          <w:sz w:val="72"/>
          <w:szCs w:val="72"/>
        </w:rPr>
        <w:t>部门决算</w:t>
      </w:r>
      <w:bookmarkEnd w:id="8"/>
      <w:bookmarkEnd w:id="9"/>
      <w:bookmarkEnd w:id="10"/>
      <w:bookmarkEnd w:id="11"/>
      <w:bookmarkEnd w:id="12"/>
      <w:bookmarkEnd w:id="13"/>
      <w:bookmarkEnd w:id="14"/>
    </w:p>
    <w:p>
      <w:pPr>
        <w:adjustRightInd w:val="0"/>
        <w:snapToGrid w:val="0"/>
        <w:spacing w:line="360" w:lineRule="auto"/>
        <w:ind w:left="-17" w:leftChars="-8" w:right="0" w:rightChars="0" w:firstLine="17" w:firstLineChars="0"/>
        <w:jc w:val="center"/>
        <w:outlineLvl w:val="9"/>
        <w:rPr>
          <w:rFonts w:ascii="方正小标宋简体" w:hAnsi="宋体" w:eastAsia="方正小标宋简体"/>
          <w:color w:val="000000"/>
          <w:sz w:val="52"/>
          <w:szCs w:val="52"/>
        </w:rPr>
      </w:pPr>
    </w:p>
    <w:p>
      <w:pPr>
        <w:pStyle w:val="17"/>
        <w:rPr>
          <w:rFonts w:ascii="方正小标宋简体" w:hAnsi="宋体" w:eastAsia="方正小标宋简体"/>
          <w:color w:val="000000"/>
          <w:sz w:val="52"/>
          <w:szCs w:val="52"/>
        </w:rPr>
      </w:pPr>
    </w:p>
    <w:p>
      <w:pPr>
        <w:pStyle w:val="17"/>
        <w:rPr>
          <w:rFonts w:ascii="方正小标宋简体" w:hAnsi="宋体" w:eastAsia="方正小标宋简体"/>
          <w:color w:val="000000"/>
          <w:sz w:val="52"/>
          <w:szCs w:val="52"/>
        </w:rPr>
      </w:pPr>
    </w:p>
    <w:p>
      <w:pPr>
        <w:pStyle w:val="11"/>
        <w:adjustRightInd w:val="0"/>
        <w:snapToGrid w:val="0"/>
        <w:spacing w:line="440" w:lineRule="exact"/>
        <w:jc w:val="left"/>
        <w:rPr>
          <w:rFonts w:ascii="仿宋" w:hAnsi="仿宋" w:eastAsia="仿宋" w:cstheme="minorBidi"/>
          <w:sz w:val="24"/>
        </w:rPr>
      </w:pPr>
      <w:r>
        <w:rPr>
          <w:rFonts w:ascii="方正小标宋简体" w:hAnsi="宋体" w:eastAsia="方正小标宋简体"/>
          <w:color w:val="000000"/>
          <w:sz w:val="36"/>
          <w:szCs w:val="36"/>
        </w:rPr>
        <w:br w:type="page"/>
      </w:r>
    </w:p>
    <w:p>
      <w:pPr>
        <w:ind w:firstLine="3840" w:firstLineChars="800"/>
        <w:jc w:val="left"/>
        <w:rPr>
          <w:rFonts w:ascii="黑体" w:hAnsi="黑体" w:eastAsia="黑体"/>
          <w:color w:val="000000"/>
          <w:sz w:val="48"/>
          <w:szCs w:val="48"/>
        </w:rPr>
      </w:pPr>
      <w:bookmarkStart w:id="15" w:name="_Toc15396599"/>
      <w:bookmarkStart w:id="16" w:name="_Toc15377196"/>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21</w:t>
      </w:r>
      <w:r>
        <w:rPr>
          <w:rFonts w:hint="eastAsia"/>
        </w:rPr>
        <w:t>年9月</w:t>
      </w:r>
      <w:r>
        <w:rPr>
          <w:rFonts w:hint="eastAsia"/>
          <w:lang w:val="en-US" w:eastAsia="zh-CN"/>
        </w:rPr>
        <w:t>16</w:t>
      </w:r>
      <w:r>
        <w:rPr>
          <w:rFonts w:hint="eastAsia"/>
        </w:rPr>
        <w:t>日</w:t>
      </w:r>
    </w:p>
    <w:p/>
    <w:p>
      <w:pPr>
        <w:pStyle w:val="10"/>
      </w:pPr>
      <w:r>
        <w:rPr>
          <w:rFonts w:hint="eastAsia"/>
        </w:rPr>
        <w:fldChar w:fldCharType="begin"/>
      </w:r>
      <w:r>
        <w:instrText xml:space="preserve"> HYPERLINK \l "_Toc15396599" </w:instrText>
      </w:r>
      <w:r>
        <w:rPr>
          <w:rFonts w:hint="eastAsia"/>
        </w:rPr>
        <w:fldChar w:fldCharType="separate"/>
      </w:r>
      <w:r>
        <w:rPr>
          <w:rStyle w:val="16"/>
          <w:rFonts w:hint="eastAsia"/>
        </w:rPr>
        <w:t>第一部分部门概况</w:t>
      </w:r>
      <w:r>
        <w:tab/>
      </w:r>
      <w:r>
        <w:rPr>
          <w:rFonts w:hint="eastAsia"/>
        </w:rPr>
        <w:t>4</w:t>
      </w:r>
      <w:r>
        <w:rPr>
          <w:rFonts w:hint="eastAsia"/>
        </w:rPr>
        <w:fldChar w:fldCharType="end"/>
      </w:r>
    </w:p>
    <w:p>
      <w:pPr>
        <w:pStyle w:val="11"/>
        <w:rPr>
          <w:rFonts w:ascii="仿宋" w:hAnsi="仿宋" w:eastAsia="仿宋"/>
          <w:sz w:val="28"/>
          <w:szCs w:val="28"/>
        </w:rPr>
      </w:pPr>
      <w:r>
        <w:rPr>
          <w:rFonts w:hint="eastAsia"/>
        </w:rPr>
        <w:fldChar w:fldCharType="begin"/>
      </w:r>
      <w:r>
        <w:instrText xml:space="preserve"> HYPERLINK \l "_Toc15396600" </w:instrText>
      </w:r>
      <w:r>
        <w:rPr>
          <w:rFonts w:hint="eastAsia"/>
        </w:rP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w:t>
      </w:r>
      <w:r>
        <w:rPr>
          <w:rStyle w:val="16"/>
          <w:rFonts w:hint="eastAsia"/>
          <w:lang w:val="en-US" w:eastAsia="zh-CN"/>
        </w:rPr>
        <w:t>020</w:t>
      </w:r>
      <w:r>
        <w:rPr>
          <w:rStyle w:val="16"/>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Style w:val="16"/>
          <w:rFonts w:hint="eastAsia" w:ascii="仿宋" w:hAnsi="仿宋" w:eastAsia="仿宋"/>
          <w:bCs/>
          <w:sz w:val="28"/>
          <w:szCs w:val="28"/>
        </w:rPr>
        <w:t>一、</w:t>
      </w:r>
      <w:r>
        <w:rPr>
          <w:rStyle w:val="16"/>
          <w:rFonts w:hint="eastAsia" w:ascii="仿宋" w:hAnsi="仿宋" w:eastAsia="仿宋"/>
          <w:sz w:val="28"/>
          <w:szCs w:val="28"/>
        </w:rPr>
        <w:t>收</w:t>
      </w:r>
      <w:r>
        <w:rPr>
          <w:rStyle w:val="16"/>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Style w:val="16"/>
          <w:rFonts w:hint="eastAsia" w:ascii="仿宋" w:hAnsi="仿宋" w:eastAsia="仿宋"/>
          <w:bCs/>
          <w:sz w:val="28"/>
          <w:szCs w:val="28"/>
        </w:rPr>
        <w:t>二、</w:t>
      </w:r>
      <w:r>
        <w:rPr>
          <w:rStyle w:val="16"/>
          <w:rFonts w:hint="eastAsia" w:ascii="仿宋" w:hAnsi="仿宋" w:eastAsia="仿宋"/>
          <w:sz w:val="28"/>
          <w:szCs w:val="28"/>
        </w:rPr>
        <w:t>收</w:t>
      </w:r>
      <w:r>
        <w:rPr>
          <w:rStyle w:val="16"/>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Style w:val="16"/>
          <w:rFonts w:hint="eastAsia" w:ascii="仿宋" w:hAnsi="仿宋" w:eastAsia="仿宋"/>
          <w:bCs/>
          <w:sz w:val="28"/>
          <w:szCs w:val="28"/>
        </w:rPr>
        <w:t>三、</w:t>
      </w:r>
      <w:r>
        <w:rPr>
          <w:rStyle w:val="16"/>
          <w:rFonts w:hint="eastAsia" w:ascii="仿宋" w:hAnsi="仿宋" w:eastAsia="仿宋"/>
          <w:sz w:val="28"/>
          <w:szCs w:val="28"/>
        </w:rPr>
        <w:t>支</w:t>
      </w:r>
      <w:r>
        <w:rPr>
          <w:rStyle w:val="16"/>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bCs/>
          <w:sz w:val="28"/>
          <w:szCs w:val="28"/>
        </w:rPr>
        <w:t>九、</w:t>
      </w:r>
      <w:r>
        <w:rPr>
          <w:rStyle w:val="16"/>
          <w:rFonts w:hint="eastAsia" w:ascii="仿宋" w:hAnsi="仿宋" w:eastAsia="仿宋"/>
          <w:sz w:val="28"/>
          <w:szCs w:val="28"/>
        </w:rPr>
        <w:t xml:space="preserve"> 国</w:t>
      </w:r>
      <w:r>
        <w:rPr>
          <w:rStyle w:val="16"/>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bCs/>
          <w:sz w:val="28"/>
          <w:szCs w:val="28"/>
        </w:rPr>
        <w:t>、其他重要事项的情况说明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0"/>
        <w:rPr>
          <w:rFonts w:hint="eastAsia" w:eastAsia="仿宋"/>
          <w:lang w:val="en-US" w:eastAsia="zh-CN"/>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rPr>
          <w:rFonts w:hint="eastAsia"/>
          <w:lang w:val="en-US" w:eastAsia="zh-CN"/>
        </w:rPr>
        <w:t>2</w:t>
      </w:r>
      <w:r>
        <w:fldChar w:fldCharType="end"/>
      </w:r>
      <w:r>
        <w:rPr>
          <w:rFonts w:hint="eastAsia"/>
          <w:lang w:val="en-US" w:eastAsia="zh-CN"/>
        </w:rPr>
        <w:t>2</w:t>
      </w:r>
    </w:p>
    <w:p>
      <w:pPr>
        <w:pStyle w:val="10"/>
        <w:rPr>
          <w:rFonts w:hint="eastAsia" w:ascii="仿宋" w:hAnsi="仿宋" w:eastAsia="仿宋"/>
          <w:sz w:val="28"/>
          <w:szCs w:val="28"/>
          <w:lang w:val="en-US" w:eastAsia="zh-CN"/>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rPr>
          <w:rFonts w:hint="eastAsia"/>
          <w:lang w:val="en-US" w:eastAsia="zh-CN"/>
        </w:rPr>
        <w:t>2</w:t>
      </w:r>
      <w:r>
        <w:fldChar w:fldCharType="end"/>
      </w:r>
      <w:r>
        <w:rPr>
          <w:rFonts w:hint="eastAsia"/>
          <w:lang w:val="en-US" w:eastAsia="zh-CN"/>
        </w:rPr>
        <w:t>5</w:t>
      </w:r>
    </w:p>
    <w:p>
      <w:pPr>
        <w:pStyle w:val="11"/>
        <w:ind w:left="0" w:leftChars="0" w:firstLine="280" w:firstLineChars="100"/>
        <w:rPr>
          <w:rFonts w:hint="eastAsia" w:eastAsia="仿宋"/>
          <w:lang w:eastAsia="zh-CN"/>
        </w:rPr>
      </w:pPr>
      <w:r>
        <w:rPr>
          <w:rFonts w:hint="eastAsia" w:ascii="仿宋" w:hAnsi="仿宋" w:eastAsia="仿宋"/>
          <w:sz w:val="28"/>
          <w:szCs w:val="28"/>
        </w:rPr>
        <w:t xml:space="preserve"> </w:t>
      </w: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hint="eastAsia" w:ascii="仿宋" w:hAnsi="仿宋" w:eastAsia="仿宋"/>
          <w:kern w:val="44"/>
          <w:sz w:val="28"/>
          <w:szCs w:val="28"/>
          <w:lang w:val="en-US" w:eastAsia="zh-CN"/>
        </w:rPr>
        <w:t>1</w:t>
      </w:r>
      <w:r>
        <w:rPr>
          <w:rFonts w:ascii="仿宋" w:hAnsi="仿宋" w:eastAsia="仿宋"/>
          <w:sz w:val="28"/>
          <w:szCs w:val="28"/>
        </w:rPr>
        <w:tab/>
      </w:r>
      <w:r>
        <w:rPr>
          <w:rFonts w:hint="eastAsia" w:ascii="仿宋" w:hAnsi="仿宋" w:eastAsia="仿宋"/>
          <w:sz w:val="28"/>
          <w:szCs w:val="28"/>
        </w:rPr>
        <w:t>2</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ind w:left="0" w:leftChars="0" w:firstLine="420" w:firstLineChars="200"/>
        <w:rPr>
          <w:rFonts w:hint="eastAsia" w:eastAsia="仿宋"/>
          <w:lang w:eastAsia="zh-CN"/>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hint="eastAsia" w:ascii="仿宋" w:hAnsi="仿宋" w:eastAsia="仿宋"/>
          <w:kern w:val="44"/>
          <w:sz w:val="28"/>
          <w:szCs w:val="28"/>
          <w:lang w:val="en-US" w:eastAsia="zh-CN"/>
        </w:rPr>
        <w:t>2</w:t>
      </w:r>
      <w:r>
        <w:rPr>
          <w:rFonts w:ascii="仿宋" w:hAnsi="仿宋" w:eastAsia="仿宋"/>
          <w:sz w:val="28"/>
          <w:szCs w:val="28"/>
        </w:rPr>
        <w:tab/>
      </w:r>
      <w:r>
        <w:rPr>
          <w:rFonts w:hint="eastAsia" w:ascii="仿宋" w:hAnsi="仿宋" w:eastAsia="仿宋"/>
          <w:sz w:val="28"/>
          <w:szCs w:val="28"/>
        </w:rPr>
        <w:t>2</w:t>
      </w:r>
      <w:r>
        <w:rPr>
          <w:rFonts w:ascii="仿宋" w:hAnsi="仿宋" w:eastAsia="仿宋"/>
          <w:sz w:val="28"/>
          <w:szCs w:val="28"/>
        </w:rPr>
        <w:fldChar w:fldCharType="end"/>
      </w:r>
      <w:r>
        <w:rPr>
          <w:rFonts w:hint="eastAsia" w:ascii="仿宋" w:hAnsi="仿宋" w:eastAsia="仿宋"/>
          <w:sz w:val="28"/>
          <w:szCs w:val="28"/>
          <w:lang w:val="en-US" w:eastAsia="zh-CN"/>
        </w:rPr>
        <w:t>8</w:t>
      </w:r>
    </w:p>
    <w:p>
      <w:pPr>
        <w:rPr>
          <w:rFonts w:eastAsia="仿宋"/>
        </w:rPr>
      </w:pPr>
    </w:p>
    <w:p>
      <w:pPr>
        <w:pStyle w:val="11"/>
        <w:ind w:left="420" w:leftChars="0" w:hanging="420" w:hangingChars="150"/>
        <w:rPr>
          <w:rStyle w:val="16"/>
          <w:rFonts w:hint="eastAsia" w:ascii="Times New Roman" w:hAnsi="Times New Roman" w:eastAsia="宋体" w:cs="Times New Roman"/>
          <w:bCs/>
          <w:kern w:val="44"/>
          <w:sz w:val="28"/>
          <w:szCs w:val="28"/>
          <w:lang w:val="en-US" w:eastAsia="zh-CN" w:bidi="ar-SA"/>
        </w:rPr>
      </w:pPr>
      <w:r>
        <w:rPr>
          <w:rStyle w:val="16"/>
          <w:rFonts w:hint="eastAsia" w:ascii="仿宋" w:hAnsi="仿宋" w:eastAsia="仿宋" w:cs="仿宋"/>
          <w:bCs/>
          <w:kern w:val="44"/>
          <w:sz w:val="28"/>
          <w:szCs w:val="28"/>
          <w:lang w:val="en-US" w:eastAsia="zh-CN" w:bidi="ar-SA"/>
        </w:rPr>
        <w:fldChar w:fldCharType="begin"/>
      </w:r>
      <w:r>
        <w:rPr>
          <w:rStyle w:val="16"/>
          <w:rFonts w:hint="eastAsia" w:ascii="仿宋" w:hAnsi="仿宋" w:eastAsia="仿宋" w:cs="仿宋"/>
          <w:bCs/>
          <w:kern w:val="44"/>
          <w:sz w:val="28"/>
          <w:szCs w:val="28"/>
          <w:lang w:val="en-US" w:eastAsia="zh-CN" w:bidi="ar-SA"/>
        </w:rPr>
        <w:instrText xml:space="preserve"> HYPERLINK \l "_Toc15396618" </w:instrText>
      </w:r>
      <w:r>
        <w:rPr>
          <w:rStyle w:val="16"/>
          <w:rFonts w:hint="eastAsia" w:ascii="仿宋" w:hAnsi="仿宋" w:eastAsia="仿宋" w:cs="仿宋"/>
          <w:bCs/>
          <w:kern w:val="44"/>
          <w:sz w:val="28"/>
          <w:szCs w:val="28"/>
          <w:lang w:val="en-US" w:eastAsia="zh-CN" w:bidi="ar-SA"/>
        </w:rPr>
        <w:fldChar w:fldCharType="separate"/>
      </w:r>
      <w:r>
        <w:rPr>
          <w:rStyle w:val="16"/>
          <w:rFonts w:hint="eastAsia" w:ascii="仿宋" w:hAnsi="仿宋" w:eastAsia="仿宋" w:cs="仿宋"/>
          <w:kern w:val="2"/>
          <w:sz w:val="28"/>
          <w:szCs w:val="28"/>
          <w:lang w:val="en-US" w:eastAsia="zh-CN" w:bidi="ar-SA"/>
        </w:rPr>
        <w:t>第五部分附表</w:t>
      </w:r>
      <w:r>
        <w:rPr>
          <w:rStyle w:val="16"/>
          <w:rFonts w:hint="eastAsia" w:ascii="仿宋" w:hAnsi="仿宋" w:eastAsia="仿宋" w:cs="仿宋"/>
          <w:bCs/>
          <w:kern w:val="44"/>
          <w:sz w:val="28"/>
          <w:szCs w:val="28"/>
          <w:lang w:val="en-US" w:eastAsia="zh-CN" w:bidi="ar-SA"/>
        </w:rPr>
        <w:tab/>
      </w:r>
      <w:r>
        <w:rPr>
          <w:rStyle w:val="16"/>
          <w:rFonts w:hint="eastAsia" w:ascii="仿宋" w:hAnsi="仿宋" w:eastAsia="仿宋" w:cs="仿宋"/>
          <w:bCs/>
          <w:kern w:val="44"/>
          <w:sz w:val="28"/>
          <w:szCs w:val="28"/>
          <w:lang w:val="en-US" w:eastAsia="zh-CN" w:bidi="ar-SA"/>
        </w:rPr>
        <w:t>4</w:t>
      </w:r>
      <w:r>
        <w:rPr>
          <w:rStyle w:val="16"/>
          <w:rFonts w:hint="eastAsia" w:ascii="仿宋" w:hAnsi="仿宋" w:eastAsia="仿宋" w:cs="仿宋"/>
          <w:bCs/>
          <w:kern w:val="44"/>
          <w:sz w:val="28"/>
          <w:szCs w:val="28"/>
          <w:lang w:val="en-US" w:eastAsia="zh-CN" w:bidi="ar-SA"/>
        </w:rPr>
        <w:fldChar w:fldCharType="end"/>
      </w:r>
      <w:r>
        <w:rPr>
          <w:rStyle w:val="16"/>
          <w:rFonts w:hint="eastAsia" w:ascii="仿宋" w:hAnsi="仿宋" w:eastAsia="仿宋" w:cs="仿宋"/>
          <w:bCs/>
          <w:kern w:val="44"/>
          <w:sz w:val="28"/>
          <w:szCs w:val="28"/>
          <w:lang w:val="en-US" w:eastAsia="zh-CN" w:bidi="ar-SA"/>
        </w:rPr>
        <w:t>8</w:t>
      </w:r>
    </w:p>
    <w:p>
      <w:pPr>
        <w:pStyle w:val="11"/>
        <w:ind w:left="420" w:leftChars="200" w:firstLine="0" w:firstLineChars="0"/>
        <w:rPr>
          <w:rFonts w:hint="eastAsia" w:ascii="仿宋" w:hAnsi="仿宋" w:eastAsia="仿宋"/>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ind w:left="420" w:leftChars="200" w:firstLine="0" w:firstLineChars="0"/>
        <w:rPr>
          <w:rFonts w:hint="eastAsia" w:ascii="仿宋" w:hAnsi="仿宋" w:eastAsia="仿宋"/>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ind w:left="420" w:leftChars="200" w:firstLine="0" w:firstLineChars="0"/>
        <w:rPr>
          <w:rFonts w:hint="eastAsia" w:ascii="仿宋" w:hAnsi="仿宋" w:eastAsia="仿宋"/>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ind w:left="420" w:leftChars="200" w:firstLine="0" w:firstLineChars="0"/>
        <w:rPr>
          <w:rFonts w:hint="eastAsia" w:ascii="仿宋" w:hAnsi="仿宋" w:eastAsia="仿宋"/>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ind w:left="420" w:leftChars="200" w:firstLine="0" w:firstLineChars="0"/>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ind w:left="420" w:leftChars="200" w:firstLine="0" w:firstLineChars="0"/>
        <w:rPr>
          <w:rFonts w:hint="eastAsia" w:ascii="仿宋" w:hAnsi="仿宋" w:eastAsia="仿宋"/>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ind w:left="420" w:leftChars="200" w:firstLine="0" w:firstLineChars="0"/>
        <w:rPr>
          <w:rFonts w:hint="eastAsia" w:ascii="仿宋" w:hAnsi="仿宋" w:eastAsia="仿宋"/>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ind w:left="420" w:leftChars="200" w:firstLine="0" w:firstLineChars="0"/>
        <w:rPr>
          <w:rFonts w:hint="eastAsia" w:ascii="仿宋" w:hAnsi="仿宋" w:eastAsia="仿宋"/>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ind w:left="420" w:leftChars="200" w:firstLine="0" w:firstLineChars="0"/>
        <w:rPr>
          <w:rFonts w:hint="eastAsia" w:ascii="仿宋" w:hAnsi="仿宋" w:eastAsia="仿宋"/>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ind w:left="420" w:leftChars="200" w:firstLine="0" w:firstLineChars="0"/>
        <w:rPr>
          <w:rFonts w:hint="eastAsia" w:ascii="仿宋" w:hAnsi="仿宋" w:eastAsia="仿宋"/>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ind w:left="420" w:leftChars="200" w:firstLine="0" w:firstLineChars="0"/>
        <w:rPr>
          <w:rFonts w:hint="eastAsia" w:ascii="仿宋" w:hAnsi="仿宋" w:eastAsia="仿宋"/>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ind w:left="420" w:leftChars="200" w:firstLine="0" w:firstLineChars="0"/>
        <w:rPr>
          <w:rFonts w:hint="eastAsia" w:ascii="仿宋" w:hAnsi="仿宋" w:eastAsia="仿宋"/>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ind w:left="420" w:leftChars="200" w:firstLine="0" w:firstLineChars="0"/>
        <w:rPr>
          <w:rFonts w:hint="eastAsia" w:ascii="仿宋" w:hAnsi="仿宋" w:eastAsia="仿宋"/>
          <w:sz w:val="28"/>
          <w:szCs w:val="28"/>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w:t>
      </w:r>
      <w:r>
        <w:rPr>
          <w:rStyle w:val="16"/>
          <w:rFonts w:hint="eastAsia" w:ascii="仿宋" w:hAnsi="仿宋" w:eastAsia="仿宋"/>
          <w:sz w:val="28"/>
          <w:szCs w:val="28"/>
          <w:lang w:eastAsia="zh-CN"/>
        </w:rPr>
        <w:t>财政拨款收入</w:t>
      </w:r>
      <w:r>
        <w:rPr>
          <w:rStyle w:val="16"/>
          <w:rFonts w:hint="eastAsia" w:ascii="仿宋" w:hAnsi="仿宋" w:eastAsia="仿宋"/>
          <w:sz w:val="28"/>
          <w:szCs w:val="28"/>
        </w:rPr>
        <w:t>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ind w:left="420" w:leftChars="200" w:firstLine="0" w:firstLineChars="0"/>
        <w:rPr>
          <w:rFonts w:hint="eastAsia" w:ascii="仿宋" w:hAnsi="仿宋" w:eastAsia="仿宋"/>
          <w:sz w:val="28"/>
          <w:szCs w:val="28"/>
          <w:lang w:val="en-US" w:eastAsia="zh-CN"/>
        </w:rPr>
      </w:pPr>
      <w:r>
        <w:rPr>
          <w:rFonts w:hint="eastAsia" w:ascii="仿宋" w:hAnsi="仿宋" w:eastAsia="仿宋"/>
          <w:sz w:val="28"/>
          <w:szCs w:val="28"/>
        </w:rPr>
        <w:t>十</w:t>
      </w:r>
      <w:r>
        <w:rPr>
          <w:rFonts w:hint="eastAsia" w:ascii="仿宋" w:hAnsi="仿宋" w:eastAsia="仿宋"/>
          <w:sz w:val="28"/>
          <w:szCs w:val="28"/>
          <w:lang w:eastAsia="zh-CN"/>
        </w:rPr>
        <w:t>四</w:t>
      </w:r>
      <w:r>
        <w:rPr>
          <w:rFonts w:hint="eastAsia" w:ascii="仿宋" w:hAnsi="仿宋" w:eastAsia="仿宋"/>
          <w:sz w:val="28"/>
          <w:szCs w:val="28"/>
        </w:rPr>
        <w:t>、</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w:t>
      </w:r>
      <w:r>
        <w:rPr>
          <w:rStyle w:val="16"/>
          <w:rFonts w:hint="eastAsia" w:ascii="仿宋" w:hAnsi="仿宋" w:eastAsia="仿宋"/>
          <w:sz w:val="28"/>
          <w:szCs w:val="28"/>
          <w:lang w:eastAsia="zh-CN"/>
        </w:rPr>
        <w:t>财政拨款</w:t>
      </w:r>
      <w:r>
        <w:rPr>
          <w:rStyle w:val="16"/>
          <w:rFonts w:hint="eastAsia" w:ascii="仿宋" w:hAnsi="仿宋" w:eastAsia="仿宋"/>
          <w:sz w:val="28"/>
          <w:szCs w:val="28"/>
        </w:rPr>
        <w:t>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0"/>
      </w:pPr>
    </w:p>
    <w:p>
      <w:pPr>
        <w:pStyle w:val="3"/>
        <w:jc w:val="both"/>
        <w:rPr>
          <w:rFonts w:ascii="仿宋" w:hAnsi="仿宋" w:eastAsia="仿宋"/>
          <w:color w:val="000000"/>
          <w:sz w:val="24"/>
        </w:rPr>
      </w:pPr>
      <w:r>
        <w:rPr>
          <w:rFonts w:ascii="仿宋" w:hAnsi="仿宋" w:eastAsia="仿宋"/>
          <w:color w:val="000000"/>
          <w:sz w:val="24"/>
        </w:rPr>
        <w:fldChar w:fldCharType="end"/>
      </w:r>
      <w:bookmarkStart w:id="17" w:name="_Toc14371"/>
    </w:p>
    <w:p>
      <w:pPr>
        <w:rPr>
          <w:rFonts w:ascii="仿宋" w:hAnsi="仿宋" w:eastAsia="仿宋"/>
          <w:color w:val="000000"/>
          <w:sz w:val="24"/>
        </w:rPr>
      </w:pPr>
    </w:p>
    <w:p>
      <w:pPr>
        <w:pStyle w:val="17"/>
        <w:rPr>
          <w:rFonts w:ascii="仿宋" w:hAnsi="仿宋" w:eastAsia="仿宋"/>
          <w:color w:val="000000"/>
          <w:sz w:val="24"/>
        </w:rPr>
      </w:pPr>
    </w:p>
    <w:p>
      <w:pPr>
        <w:pStyle w:val="17"/>
        <w:rPr>
          <w:rFonts w:ascii="仿宋" w:hAnsi="仿宋" w:eastAsia="仿宋"/>
          <w:color w:val="000000"/>
          <w:sz w:val="24"/>
        </w:rPr>
      </w:pPr>
    </w:p>
    <w:p>
      <w:pPr>
        <w:pStyle w:val="17"/>
        <w:rPr>
          <w:rFonts w:ascii="仿宋" w:hAnsi="仿宋" w:eastAsia="仿宋"/>
          <w:color w:val="000000"/>
          <w:sz w:val="24"/>
        </w:rPr>
      </w:pPr>
    </w:p>
    <w:p>
      <w:pPr>
        <w:pStyle w:val="17"/>
        <w:rPr>
          <w:rFonts w:ascii="仿宋" w:hAnsi="仿宋" w:eastAsia="仿宋"/>
          <w:color w:val="000000"/>
          <w:sz w:val="24"/>
        </w:rPr>
      </w:pPr>
    </w:p>
    <w:p>
      <w:pPr>
        <w:pStyle w:val="17"/>
        <w:rPr>
          <w:rFonts w:ascii="仿宋" w:hAnsi="仿宋" w:eastAsia="仿宋"/>
          <w:color w:val="000000"/>
          <w:sz w:val="24"/>
        </w:rPr>
      </w:pPr>
    </w:p>
    <w:p>
      <w:pPr>
        <w:pStyle w:val="17"/>
        <w:rPr>
          <w:rFonts w:ascii="仿宋" w:hAnsi="仿宋" w:eastAsia="仿宋"/>
          <w:color w:val="000000"/>
          <w:sz w:val="24"/>
        </w:rPr>
      </w:pPr>
    </w:p>
    <w:p>
      <w:pPr>
        <w:pStyle w:val="17"/>
        <w:rPr>
          <w:rFonts w:ascii="仿宋" w:hAnsi="仿宋" w:eastAsia="仿宋"/>
          <w:color w:val="000000"/>
          <w:sz w:val="24"/>
        </w:rPr>
      </w:pPr>
    </w:p>
    <w:p>
      <w:pPr>
        <w:pStyle w:val="17"/>
        <w:rPr>
          <w:rFonts w:ascii="仿宋" w:hAnsi="仿宋" w:eastAsia="仿宋"/>
          <w:color w:val="000000"/>
          <w:sz w:val="24"/>
        </w:rPr>
      </w:pPr>
    </w:p>
    <w:p>
      <w:pPr>
        <w:pStyle w:val="17"/>
        <w:rPr>
          <w:rFonts w:ascii="仿宋" w:hAnsi="仿宋" w:eastAsia="仿宋"/>
          <w:color w:val="000000"/>
          <w:sz w:val="24"/>
        </w:rPr>
      </w:pPr>
    </w:p>
    <w:p>
      <w:pPr>
        <w:pStyle w:val="17"/>
        <w:rPr>
          <w:rFonts w:ascii="仿宋" w:hAnsi="仿宋" w:eastAsia="仿宋"/>
          <w:color w:val="000000"/>
          <w:sz w:val="24"/>
        </w:rPr>
      </w:pPr>
    </w:p>
    <w:p>
      <w:pPr>
        <w:pStyle w:val="17"/>
        <w:rPr>
          <w:rFonts w:ascii="仿宋" w:hAnsi="仿宋" w:eastAsia="仿宋"/>
          <w:color w:val="000000"/>
          <w:sz w:val="24"/>
        </w:rPr>
      </w:pPr>
    </w:p>
    <w:p>
      <w:pPr>
        <w:pStyle w:val="17"/>
        <w:rPr>
          <w:rFonts w:ascii="仿宋" w:hAnsi="仿宋" w:eastAsia="仿宋"/>
          <w:color w:val="000000"/>
          <w:sz w:val="24"/>
        </w:rPr>
      </w:pPr>
    </w:p>
    <w:p>
      <w:pPr>
        <w:pStyle w:val="17"/>
        <w:rPr>
          <w:rFonts w:ascii="仿宋" w:hAnsi="仿宋" w:eastAsia="仿宋"/>
          <w:color w:val="000000"/>
          <w:sz w:val="24"/>
        </w:rPr>
      </w:pPr>
    </w:p>
    <w:p>
      <w:pPr>
        <w:pStyle w:val="17"/>
        <w:rPr>
          <w:rFonts w:hint="eastAsia" w:ascii="仿宋" w:hAnsi="仿宋" w:eastAsia="仿宋"/>
          <w:color w:val="000000"/>
          <w:sz w:val="24"/>
        </w:rPr>
      </w:pPr>
    </w:p>
    <w:p>
      <w:pPr>
        <w:pStyle w:val="3"/>
        <w:numPr>
          <w:ilvl w:val="0"/>
          <w:numId w:val="1"/>
        </w:numPr>
        <w:jc w:val="center"/>
        <w:rPr>
          <w:rStyle w:val="26"/>
          <w:rFonts w:hint="eastAsia" w:ascii="黑体" w:hAnsi="黑体" w:eastAsia="黑体"/>
          <w:b w:val="0"/>
          <w:bCs w:val="0"/>
        </w:rPr>
      </w:pPr>
      <w:r>
        <w:rPr>
          <w:rStyle w:val="26"/>
          <w:rFonts w:hint="eastAsia" w:ascii="黑体" w:hAnsi="黑体" w:eastAsia="黑体"/>
          <w:b w:val="0"/>
          <w:bCs w:val="0"/>
        </w:rPr>
        <w:t>部门概况</w:t>
      </w:r>
      <w:bookmarkEnd w:id="15"/>
      <w:bookmarkEnd w:id="16"/>
      <w:bookmarkEnd w:id="17"/>
    </w:p>
    <w:p>
      <w:pPr>
        <w:numPr>
          <w:ilvl w:val="0"/>
          <w:numId w:val="0"/>
        </w:numPr>
      </w:pPr>
    </w:p>
    <w:p>
      <w:pPr>
        <w:pStyle w:val="4"/>
        <w:rPr>
          <w:rStyle w:val="27"/>
          <w:rFonts w:ascii="仿宋" w:hAnsi="仿宋" w:eastAsia="仿宋"/>
          <w:b w:val="0"/>
          <w:bCs w:val="0"/>
        </w:rPr>
      </w:pPr>
      <w:bookmarkStart w:id="18" w:name="_Toc15396600"/>
      <w:bookmarkStart w:id="19" w:name="_Toc15377197"/>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8"/>
      <w:bookmarkEnd w:id="19"/>
    </w:p>
    <w:p>
      <w:pPr>
        <w:pStyle w:val="6"/>
        <w:adjustRightInd w:val="0"/>
        <w:snapToGrid w:val="0"/>
        <w:spacing w:beforeLines="0" w:line="560" w:lineRule="exact"/>
        <w:ind w:left="0" w:leftChars="0" w:firstLine="419" w:firstLineChars="131"/>
        <w:rPr>
          <w:rFonts w:ascii="楷体_GB2312" w:eastAsia="楷体_GB2312"/>
          <w:sz w:val="32"/>
          <w:szCs w:val="32"/>
        </w:rPr>
      </w:pPr>
      <w:bookmarkStart w:id="20" w:name="_Toc15377199"/>
      <w:bookmarkStart w:id="21" w:name="_Toc15378446"/>
      <w:r>
        <w:rPr>
          <w:rFonts w:hint="eastAsia" w:ascii="楷体_GB2312" w:eastAsia="楷体_GB2312"/>
          <w:sz w:val="32"/>
          <w:szCs w:val="32"/>
        </w:rPr>
        <w:t>（一）主要职能</w:t>
      </w:r>
    </w:p>
    <w:p>
      <w:pPr>
        <w:pStyle w:val="6"/>
        <w:adjustRightInd w:val="0"/>
        <w:snapToGrid w:val="0"/>
        <w:spacing w:beforeLines="0" w:line="560" w:lineRule="exact"/>
        <w:ind w:firstLine="640" w:firstLineChars="200"/>
        <w:rPr>
          <w:rFonts w:hint="eastAsia" w:eastAsia="仿宋_GB2312"/>
          <w:bCs/>
          <w:sz w:val="32"/>
          <w:szCs w:val="32"/>
          <w:lang w:eastAsia="zh-CN"/>
        </w:rPr>
      </w:pPr>
      <w:r>
        <w:rPr>
          <w:rFonts w:hint="eastAsia"/>
          <w:bCs/>
          <w:sz w:val="32"/>
          <w:szCs w:val="32"/>
        </w:rPr>
        <w:t>川北幼儿师范高等专科学校是经四川省人民政府批准成立的公办全日制普通高等专科学校,负责</w:t>
      </w:r>
      <w:r>
        <w:rPr>
          <w:bCs/>
          <w:sz w:val="32"/>
          <w:szCs w:val="32"/>
        </w:rPr>
        <w:t>培养</w:t>
      </w:r>
      <w:r>
        <w:rPr>
          <w:rFonts w:hint="eastAsia"/>
          <w:bCs/>
          <w:sz w:val="32"/>
          <w:szCs w:val="32"/>
        </w:rPr>
        <w:t>具有普通高等</w:t>
      </w:r>
      <w:r>
        <w:rPr>
          <w:bCs/>
          <w:sz w:val="32"/>
          <w:szCs w:val="32"/>
        </w:rPr>
        <w:t>专科</w:t>
      </w:r>
      <w:r>
        <w:rPr>
          <w:rFonts w:hint="eastAsia"/>
          <w:bCs/>
          <w:sz w:val="32"/>
          <w:szCs w:val="32"/>
        </w:rPr>
        <w:t>学历</w:t>
      </w:r>
      <w:r>
        <w:rPr>
          <w:bCs/>
          <w:sz w:val="32"/>
          <w:szCs w:val="32"/>
        </w:rPr>
        <w:t>的</w:t>
      </w:r>
      <w:r>
        <w:rPr>
          <w:rFonts w:hint="eastAsia"/>
          <w:bCs/>
          <w:sz w:val="32"/>
          <w:szCs w:val="32"/>
        </w:rPr>
        <w:t>师资</w:t>
      </w:r>
      <w:r>
        <w:rPr>
          <w:bCs/>
          <w:sz w:val="32"/>
          <w:szCs w:val="32"/>
        </w:rPr>
        <w:t>人才</w:t>
      </w:r>
      <w:r>
        <w:rPr>
          <w:rFonts w:hint="eastAsia"/>
          <w:bCs/>
          <w:sz w:val="32"/>
          <w:szCs w:val="32"/>
        </w:rPr>
        <w:t>、</w:t>
      </w:r>
      <w:r>
        <w:rPr>
          <w:bCs/>
          <w:sz w:val="32"/>
          <w:szCs w:val="32"/>
        </w:rPr>
        <w:t>医药卫生人才</w:t>
      </w:r>
      <w:r>
        <w:rPr>
          <w:rFonts w:hint="eastAsia"/>
          <w:bCs/>
          <w:sz w:val="32"/>
          <w:szCs w:val="32"/>
        </w:rPr>
        <w:t>及</w:t>
      </w:r>
      <w:r>
        <w:rPr>
          <w:bCs/>
          <w:sz w:val="32"/>
          <w:szCs w:val="32"/>
        </w:rPr>
        <w:t>其他</w:t>
      </w:r>
      <w:r>
        <w:rPr>
          <w:rFonts w:hint="eastAsia"/>
          <w:bCs/>
          <w:sz w:val="32"/>
          <w:szCs w:val="32"/>
        </w:rPr>
        <w:t>职业</w:t>
      </w:r>
      <w:r>
        <w:rPr>
          <w:bCs/>
          <w:sz w:val="32"/>
          <w:szCs w:val="32"/>
        </w:rPr>
        <w:t>技术人才</w:t>
      </w:r>
      <w:r>
        <w:rPr>
          <w:rFonts w:hint="eastAsia"/>
          <w:bCs/>
          <w:sz w:val="32"/>
          <w:szCs w:val="32"/>
        </w:rPr>
        <w:t>，</w:t>
      </w:r>
      <w:r>
        <w:rPr>
          <w:bCs/>
          <w:sz w:val="32"/>
          <w:szCs w:val="32"/>
        </w:rPr>
        <w:t>负责</w:t>
      </w:r>
      <w:r>
        <w:rPr>
          <w:rFonts w:hint="eastAsia"/>
          <w:bCs/>
          <w:sz w:val="32"/>
          <w:szCs w:val="32"/>
        </w:rPr>
        <w:t>幼儿园</w:t>
      </w:r>
      <w:r>
        <w:rPr>
          <w:bCs/>
          <w:sz w:val="32"/>
          <w:szCs w:val="32"/>
        </w:rPr>
        <w:t>教师、</w:t>
      </w:r>
      <w:r>
        <w:rPr>
          <w:rFonts w:hint="eastAsia"/>
          <w:bCs/>
          <w:sz w:val="32"/>
          <w:szCs w:val="32"/>
        </w:rPr>
        <w:t>中小学</w:t>
      </w:r>
      <w:r>
        <w:rPr>
          <w:bCs/>
          <w:sz w:val="32"/>
          <w:szCs w:val="32"/>
        </w:rPr>
        <w:t>教师</w:t>
      </w:r>
      <w:r>
        <w:rPr>
          <w:rFonts w:hint="eastAsia"/>
          <w:bCs/>
          <w:sz w:val="32"/>
          <w:szCs w:val="32"/>
        </w:rPr>
        <w:t>、</w:t>
      </w:r>
      <w:r>
        <w:rPr>
          <w:bCs/>
          <w:sz w:val="32"/>
          <w:szCs w:val="32"/>
        </w:rPr>
        <w:t>基层</w:t>
      </w:r>
      <w:r>
        <w:rPr>
          <w:rFonts w:hint="eastAsia"/>
          <w:bCs/>
          <w:sz w:val="32"/>
          <w:szCs w:val="32"/>
        </w:rPr>
        <w:t>医护人员的</w:t>
      </w:r>
      <w:r>
        <w:rPr>
          <w:bCs/>
          <w:sz w:val="32"/>
          <w:szCs w:val="32"/>
        </w:rPr>
        <w:t>培训工作</w:t>
      </w:r>
      <w:r>
        <w:rPr>
          <w:rFonts w:hint="eastAsia"/>
          <w:bCs/>
          <w:sz w:val="32"/>
          <w:szCs w:val="32"/>
        </w:rPr>
        <w:t>，负责</w:t>
      </w:r>
      <w:r>
        <w:rPr>
          <w:bCs/>
          <w:sz w:val="32"/>
          <w:szCs w:val="32"/>
        </w:rPr>
        <w:t>开展</w:t>
      </w:r>
      <w:r>
        <w:rPr>
          <w:rFonts w:hint="eastAsia"/>
          <w:bCs/>
          <w:sz w:val="32"/>
          <w:szCs w:val="32"/>
          <w:lang w:eastAsia="zh-CN"/>
        </w:rPr>
        <w:t>人才培养、</w:t>
      </w:r>
      <w:r>
        <w:rPr>
          <w:rFonts w:hint="eastAsia"/>
          <w:bCs/>
          <w:sz w:val="32"/>
          <w:szCs w:val="32"/>
        </w:rPr>
        <w:t>科学</w:t>
      </w:r>
      <w:r>
        <w:rPr>
          <w:bCs/>
          <w:sz w:val="32"/>
          <w:szCs w:val="32"/>
        </w:rPr>
        <w:t>研究</w:t>
      </w:r>
      <w:r>
        <w:rPr>
          <w:rFonts w:hint="eastAsia"/>
          <w:bCs/>
          <w:sz w:val="32"/>
          <w:szCs w:val="32"/>
        </w:rPr>
        <w:t>、</w:t>
      </w:r>
      <w:r>
        <w:rPr>
          <w:rFonts w:hint="eastAsia"/>
          <w:bCs/>
          <w:sz w:val="32"/>
          <w:szCs w:val="32"/>
          <w:lang w:eastAsia="zh-CN"/>
        </w:rPr>
        <w:t>社会服务、文化传承与创新、国际交流与合作等工作。</w:t>
      </w:r>
    </w:p>
    <w:p>
      <w:pPr>
        <w:pStyle w:val="6"/>
        <w:adjustRightInd w:val="0"/>
        <w:snapToGrid w:val="0"/>
        <w:spacing w:beforeLines="0" w:line="560" w:lineRule="exact"/>
        <w:ind w:left="0" w:leftChars="0" w:firstLine="419" w:firstLineChars="131"/>
        <w:rPr>
          <w:rFonts w:ascii="楷体_GB2312" w:eastAsia="楷体_GB2312"/>
          <w:sz w:val="32"/>
          <w:szCs w:val="32"/>
        </w:rPr>
      </w:pPr>
      <w:r>
        <w:rPr>
          <w:rFonts w:hint="eastAsia" w:ascii="楷体_GB2312" w:eastAsia="楷体_GB2312"/>
          <w:sz w:val="32"/>
          <w:szCs w:val="32"/>
        </w:rPr>
        <w:t>（二）20</w:t>
      </w:r>
      <w:r>
        <w:rPr>
          <w:rFonts w:hint="eastAsia" w:ascii="楷体_GB2312" w:eastAsia="楷体_GB2312"/>
          <w:sz w:val="32"/>
          <w:szCs w:val="32"/>
          <w:lang w:val="en-US" w:eastAsia="zh-CN"/>
        </w:rPr>
        <w:t>20</w:t>
      </w:r>
      <w:r>
        <w:rPr>
          <w:rFonts w:hint="eastAsia" w:ascii="楷体_GB2312" w:eastAsia="楷体_GB2312"/>
          <w:sz w:val="32"/>
          <w:szCs w:val="32"/>
        </w:rPr>
        <w:t>年重点工作完成情况</w:t>
      </w:r>
      <w:bookmarkEnd w:id="20"/>
      <w:bookmarkEnd w:id="21"/>
    </w:p>
    <w:p>
      <w:pPr>
        <w:spacing w:line="580" w:lineRule="exact"/>
        <w:ind w:firstLine="602" w:firstLineChars="200"/>
      </w:pPr>
      <w:r>
        <w:rPr>
          <w:rFonts w:hint="eastAsia" w:ascii="仿宋" w:hAnsi="仿宋" w:eastAsia="仿宋" w:cs="仿宋"/>
          <w:b/>
          <w:sz w:val="30"/>
          <w:szCs w:val="30"/>
          <w:lang w:eastAsia="zh-CN"/>
        </w:rPr>
        <w:t>一是</w:t>
      </w:r>
      <w:r>
        <w:rPr>
          <w:rFonts w:hint="eastAsia" w:ascii="仿宋" w:hAnsi="仿宋" w:eastAsia="仿宋" w:cs="仿宋"/>
          <w:b w:val="0"/>
          <w:sz w:val="30"/>
          <w:szCs w:val="30"/>
          <w:lang w:eastAsia="zh-CN"/>
        </w:rPr>
        <w:t>全面从严治党，持续提高办学治校水平。严实履行党委主体责任，</w:t>
      </w:r>
      <w:r>
        <w:rPr>
          <w:rFonts w:hint="eastAsia" w:ascii="仿宋" w:hAnsi="仿宋" w:eastAsia="仿宋" w:cs="仿宋"/>
          <w:sz w:val="30"/>
          <w:szCs w:val="30"/>
        </w:rPr>
        <w:t>强化管党治党、办学治校主体责任</w:t>
      </w:r>
      <w:r>
        <w:rPr>
          <w:rFonts w:hint="eastAsia" w:ascii="仿宋" w:hAnsi="仿宋" w:eastAsia="仿宋" w:cs="仿宋"/>
          <w:sz w:val="30"/>
          <w:szCs w:val="30"/>
          <w:lang w:eastAsia="zh-CN"/>
        </w:rPr>
        <w:t>；持续加强意识形态工作，全面夯实基层党建基础；积极推动统战群团工作以及党风廉政建设。</w:t>
      </w:r>
      <w:r>
        <w:rPr>
          <w:rFonts w:hint="eastAsia" w:ascii="仿宋" w:hAnsi="仿宋" w:eastAsia="仿宋" w:cs="仿宋"/>
          <w:b/>
          <w:sz w:val="30"/>
          <w:szCs w:val="30"/>
          <w:lang w:eastAsia="zh-CN"/>
        </w:rPr>
        <w:t>二是</w:t>
      </w:r>
      <w:r>
        <w:rPr>
          <w:rFonts w:hint="eastAsia" w:ascii="仿宋" w:hAnsi="仿宋" w:eastAsia="仿宋" w:cs="仿宋"/>
          <w:b w:val="0"/>
          <w:sz w:val="30"/>
          <w:szCs w:val="30"/>
          <w:lang w:eastAsia="zh-CN"/>
        </w:rPr>
        <w:t>落实立德树人，不断提升人才培养质量。切实落实思想政治教育，</w:t>
      </w:r>
      <w:r>
        <w:rPr>
          <w:rFonts w:hint="eastAsia" w:ascii="仿宋" w:hAnsi="仿宋" w:eastAsia="仿宋" w:cs="仿宋"/>
          <w:b w:val="0"/>
          <w:color w:val="000000"/>
          <w:sz w:val="30"/>
          <w:szCs w:val="30"/>
        </w:rPr>
        <w:t>不断提升学生综合素质</w:t>
      </w:r>
      <w:r>
        <w:rPr>
          <w:rFonts w:hint="eastAsia" w:ascii="仿宋" w:hAnsi="仿宋" w:eastAsia="仿宋" w:cs="仿宋"/>
          <w:sz w:val="30"/>
          <w:szCs w:val="30"/>
          <w:lang w:eastAsia="zh-CN"/>
        </w:rPr>
        <w:t>；</w:t>
      </w:r>
      <w:r>
        <w:rPr>
          <w:rFonts w:hint="eastAsia" w:ascii="仿宋" w:hAnsi="仿宋" w:eastAsia="仿宋" w:cs="仿宋"/>
          <w:b w:val="0"/>
          <w:color w:val="000000"/>
          <w:sz w:val="30"/>
          <w:szCs w:val="30"/>
        </w:rPr>
        <w:t>稳步推进招生就业创业</w:t>
      </w:r>
      <w:r>
        <w:rPr>
          <w:rFonts w:hint="eastAsia" w:ascii="仿宋" w:hAnsi="仿宋" w:eastAsia="仿宋" w:cs="仿宋"/>
          <w:b w:val="0"/>
          <w:color w:val="000000"/>
          <w:sz w:val="30"/>
          <w:szCs w:val="30"/>
          <w:lang w:eastAsia="zh-CN"/>
        </w:rPr>
        <w:t>，</w:t>
      </w:r>
      <w:r>
        <w:rPr>
          <w:rFonts w:hint="eastAsia" w:ascii="仿宋" w:hAnsi="仿宋" w:eastAsia="仿宋" w:cs="仿宋"/>
          <w:sz w:val="30"/>
          <w:szCs w:val="30"/>
        </w:rPr>
        <w:t>启用“招生智能机器人”系统，拓展“线上宣传”，招生2644名，报到率92.48%</w:t>
      </w:r>
      <w:r>
        <w:rPr>
          <w:rFonts w:hint="eastAsia" w:ascii="仿宋" w:hAnsi="仿宋" w:eastAsia="仿宋" w:cs="仿宋"/>
          <w:sz w:val="30"/>
          <w:szCs w:val="30"/>
          <w:lang w:eastAsia="zh-CN"/>
        </w:rPr>
        <w:t>；</w:t>
      </w:r>
      <w:r>
        <w:rPr>
          <w:rFonts w:hint="eastAsia" w:ascii="仿宋" w:hAnsi="仿宋" w:eastAsia="仿宋" w:cs="仿宋"/>
          <w:sz w:val="30"/>
          <w:szCs w:val="30"/>
        </w:rPr>
        <w:t>2020届2372名毕业生签订就业协议，就业率95.53%，261名建档立卡毕业生全部就业</w:t>
      </w:r>
      <w:r>
        <w:rPr>
          <w:rFonts w:hint="eastAsia" w:ascii="仿宋" w:hAnsi="仿宋" w:eastAsia="仿宋" w:cs="仿宋"/>
          <w:sz w:val="30"/>
          <w:szCs w:val="30"/>
          <w:lang w:eastAsia="zh-CN"/>
        </w:rPr>
        <w:t>；</w:t>
      </w:r>
      <w:r>
        <w:rPr>
          <w:rFonts w:hint="eastAsia" w:ascii="仿宋" w:hAnsi="仿宋" w:eastAsia="仿宋" w:cs="仿宋"/>
          <w:sz w:val="30"/>
          <w:szCs w:val="30"/>
        </w:rPr>
        <w:t>启动2021届毕业生就业工作，签约人数600余人</w:t>
      </w:r>
      <w:r>
        <w:rPr>
          <w:rFonts w:hint="eastAsia" w:ascii="仿宋" w:hAnsi="仿宋" w:eastAsia="仿宋" w:cs="仿宋"/>
          <w:sz w:val="30"/>
          <w:szCs w:val="30"/>
          <w:lang w:eastAsia="zh-CN"/>
        </w:rPr>
        <w:t>。</w:t>
      </w:r>
      <w:r>
        <w:rPr>
          <w:rFonts w:hint="eastAsia" w:ascii="仿宋" w:hAnsi="仿宋" w:eastAsia="仿宋" w:cs="仿宋"/>
          <w:b/>
          <w:sz w:val="30"/>
          <w:szCs w:val="30"/>
          <w:lang w:eastAsia="zh-CN"/>
        </w:rPr>
        <w:t>三是</w:t>
      </w:r>
      <w:r>
        <w:rPr>
          <w:rFonts w:hint="eastAsia" w:ascii="仿宋" w:hAnsi="仿宋" w:eastAsia="仿宋" w:cs="仿宋"/>
          <w:b w:val="0"/>
          <w:sz w:val="30"/>
          <w:szCs w:val="30"/>
          <w:lang w:eastAsia="zh-CN"/>
        </w:rPr>
        <w:t>坚持教学中心，稳步提高教育教学质量。提升教学管理质量，</w:t>
      </w:r>
      <w:r>
        <w:rPr>
          <w:rFonts w:hint="eastAsia" w:ascii="仿宋" w:hAnsi="仿宋" w:eastAsia="仿宋" w:cs="仿宋"/>
          <w:sz w:val="30"/>
          <w:szCs w:val="30"/>
        </w:rPr>
        <w:t>采取“一主多模”方式全面推行在线课程教学</w:t>
      </w:r>
      <w:r>
        <w:rPr>
          <w:rFonts w:hint="eastAsia" w:ascii="仿宋" w:hAnsi="仿宋" w:eastAsia="仿宋" w:cs="仿宋"/>
          <w:sz w:val="30"/>
          <w:szCs w:val="30"/>
          <w:lang w:eastAsia="zh-CN"/>
        </w:rPr>
        <w:t>；赋能人才培养质量，积极申报和开展1+X证书制度试点工作；加快专业内涵建设，修订2020版专业人才培养方案，新增虚拟现实应用技术专业；深化课堂教学督导，强化教学质量监控。</w:t>
      </w:r>
      <w:r>
        <w:rPr>
          <w:rFonts w:hint="eastAsia" w:ascii="仿宋" w:hAnsi="仿宋" w:eastAsia="仿宋" w:cs="仿宋"/>
          <w:b/>
          <w:sz w:val="30"/>
          <w:szCs w:val="30"/>
          <w:lang w:eastAsia="zh-CN"/>
        </w:rPr>
        <w:t>四是</w:t>
      </w:r>
      <w:r>
        <w:rPr>
          <w:rFonts w:hint="eastAsia" w:ascii="仿宋" w:hAnsi="仿宋" w:eastAsia="仿宋" w:cs="仿宋"/>
          <w:sz w:val="30"/>
          <w:szCs w:val="30"/>
          <w:lang w:eastAsia="zh-CN"/>
        </w:rPr>
        <w:t>聚焦专业素质，持续抓好师资队伍建设。全力做好人才“引育用服”，扎实推进学术科研工作，切实加强师德师风建设。</w:t>
      </w:r>
      <w:r>
        <w:rPr>
          <w:rFonts w:hint="eastAsia" w:ascii="仿宋" w:hAnsi="仿宋" w:eastAsia="仿宋" w:cs="仿宋"/>
          <w:b/>
          <w:sz w:val="30"/>
          <w:szCs w:val="30"/>
          <w:lang w:eastAsia="zh-CN"/>
        </w:rPr>
        <w:t>五是</w:t>
      </w:r>
      <w:r>
        <w:rPr>
          <w:rFonts w:hint="eastAsia" w:ascii="仿宋" w:hAnsi="仿宋" w:eastAsia="仿宋" w:cs="仿宋"/>
          <w:b w:val="0"/>
          <w:sz w:val="30"/>
          <w:szCs w:val="30"/>
          <w:lang w:eastAsia="zh-CN"/>
        </w:rPr>
        <w:t>有效服务社会，稳步提升开放办学水平。聚焦打赢脱贫攻坚，开</w:t>
      </w:r>
      <w:r>
        <w:rPr>
          <w:rFonts w:hint="eastAsia" w:ascii="仿宋" w:hAnsi="仿宋" w:eastAsia="仿宋" w:cs="仿宋"/>
          <w:sz w:val="30"/>
          <w:szCs w:val="30"/>
        </w:rPr>
        <w:t>展定点帮扶村产业扶贫项目3个、生态保护扶贫项目2个，开展建设美丽乡村4个</w:t>
      </w:r>
      <w:r>
        <w:rPr>
          <w:rFonts w:hint="eastAsia" w:ascii="仿宋" w:hAnsi="仿宋" w:eastAsia="仿宋" w:cs="仿宋"/>
          <w:sz w:val="30"/>
          <w:szCs w:val="30"/>
          <w:lang w:eastAsia="zh-CN"/>
        </w:rPr>
        <w:t>；提升服务地方能力，</w:t>
      </w:r>
      <w:r>
        <w:rPr>
          <w:rFonts w:hint="eastAsia" w:ascii="仿宋" w:hAnsi="仿宋" w:eastAsia="仿宋" w:cs="仿宋"/>
          <w:sz w:val="30"/>
          <w:szCs w:val="30"/>
        </w:rPr>
        <w:t>参与建设广元卫健产教联盟</w:t>
      </w:r>
      <w:r>
        <w:rPr>
          <w:rFonts w:hint="eastAsia" w:ascii="仿宋" w:hAnsi="仿宋" w:eastAsia="仿宋" w:cs="仿宋"/>
          <w:sz w:val="30"/>
          <w:szCs w:val="30"/>
          <w:lang w:eastAsia="zh-CN"/>
        </w:rPr>
        <w:t>；</w:t>
      </w:r>
      <w:r>
        <w:rPr>
          <w:rFonts w:hint="eastAsia" w:ascii="仿宋" w:hAnsi="仿宋" w:eastAsia="仿宋" w:cs="仿宋"/>
          <w:sz w:val="30"/>
          <w:szCs w:val="30"/>
        </w:rPr>
        <w:t>抢抓成渝地区双城经济圈战略机遇</w:t>
      </w:r>
      <w:r>
        <w:rPr>
          <w:rFonts w:hint="eastAsia" w:ascii="仿宋" w:hAnsi="仿宋" w:eastAsia="仿宋" w:cs="仿宋"/>
          <w:sz w:val="30"/>
          <w:szCs w:val="30"/>
          <w:lang w:eastAsia="zh-CN"/>
        </w:rPr>
        <w:t>，提升开放办学水平。</w:t>
      </w:r>
      <w:r>
        <w:rPr>
          <w:rFonts w:hint="eastAsia" w:ascii="仿宋" w:hAnsi="仿宋" w:eastAsia="仿宋" w:cs="仿宋"/>
          <w:b/>
          <w:sz w:val="30"/>
          <w:szCs w:val="30"/>
          <w:lang w:eastAsia="zh-CN"/>
        </w:rPr>
        <w:t>六是</w:t>
      </w:r>
      <w:r>
        <w:rPr>
          <w:rFonts w:hint="eastAsia" w:ascii="仿宋" w:hAnsi="仿宋" w:eastAsia="仿宋" w:cs="仿宋"/>
          <w:b w:val="0"/>
          <w:sz w:val="30"/>
          <w:szCs w:val="30"/>
          <w:lang w:eastAsia="zh-CN"/>
        </w:rPr>
        <w:t>优化内部治理，细化落实管理育人理念。提升学校信息化建设水平，</w:t>
      </w:r>
      <w:r>
        <w:rPr>
          <w:rFonts w:hint="eastAsia" w:ascii="仿宋" w:hAnsi="仿宋" w:eastAsia="仿宋" w:cs="仿宋"/>
          <w:sz w:val="30"/>
          <w:szCs w:val="30"/>
        </w:rPr>
        <w:t>修订《网络与信息安全责任书》，完成校园WIFI建设</w:t>
      </w:r>
      <w:r>
        <w:rPr>
          <w:rFonts w:hint="eastAsia" w:ascii="仿宋" w:hAnsi="仿宋" w:eastAsia="仿宋" w:cs="仿宋"/>
          <w:sz w:val="30"/>
          <w:szCs w:val="30"/>
          <w:lang w:eastAsia="zh-CN"/>
        </w:rPr>
        <w:t>；提升法治文化综合服务，</w:t>
      </w:r>
      <w:r>
        <w:rPr>
          <w:rFonts w:hint="eastAsia" w:ascii="仿宋" w:hAnsi="仿宋" w:eastAsia="仿宋" w:cs="仿宋"/>
          <w:sz w:val="30"/>
          <w:szCs w:val="30"/>
        </w:rPr>
        <w:t>持续推进“七五”普法</w:t>
      </w:r>
      <w:r>
        <w:rPr>
          <w:rFonts w:hint="eastAsia" w:ascii="仿宋" w:hAnsi="仿宋" w:eastAsia="仿宋" w:cs="仿宋"/>
          <w:sz w:val="30"/>
          <w:szCs w:val="30"/>
          <w:lang w:eastAsia="zh-CN"/>
        </w:rPr>
        <w:t>；</w:t>
      </w:r>
      <w:r>
        <w:rPr>
          <w:rFonts w:hint="eastAsia" w:ascii="仿宋" w:hAnsi="仿宋" w:eastAsia="仿宋" w:cs="仿宋"/>
          <w:b w:val="0"/>
          <w:sz w:val="30"/>
          <w:szCs w:val="30"/>
        </w:rPr>
        <w:t>提升后勤保障服务质量</w:t>
      </w:r>
      <w:r>
        <w:rPr>
          <w:rFonts w:hint="eastAsia" w:ascii="仿宋" w:hAnsi="仿宋" w:eastAsia="仿宋" w:cs="仿宋"/>
          <w:b w:val="0"/>
          <w:sz w:val="30"/>
          <w:szCs w:val="30"/>
          <w:lang w:eastAsia="zh-CN"/>
        </w:rPr>
        <w:t>，</w:t>
      </w:r>
      <w:r>
        <w:rPr>
          <w:rFonts w:hint="eastAsia" w:ascii="仿宋" w:hAnsi="仿宋" w:eastAsia="仿宋" w:cs="仿宋"/>
          <w:sz w:val="30"/>
          <w:szCs w:val="30"/>
        </w:rPr>
        <w:t>编订《学校内部控制规范手册》</w:t>
      </w:r>
      <w:r>
        <w:rPr>
          <w:rFonts w:hint="eastAsia" w:ascii="仿宋" w:hAnsi="仿宋" w:eastAsia="仿宋" w:cs="仿宋"/>
          <w:sz w:val="30"/>
          <w:szCs w:val="30"/>
          <w:lang w:eastAsia="zh-CN"/>
        </w:rPr>
        <w:t>，</w:t>
      </w:r>
      <w:r>
        <w:rPr>
          <w:rFonts w:hint="eastAsia" w:ascii="仿宋" w:hAnsi="仿宋" w:eastAsia="仿宋" w:cs="仿宋"/>
          <w:sz w:val="30"/>
          <w:szCs w:val="30"/>
        </w:rPr>
        <w:t>增设财务稽核岗</w:t>
      </w:r>
      <w:r>
        <w:rPr>
          <w:rFonts w:hint="eastAsia" w:ascii="仿宋" w:hAnsi="仿宋" w:eastAsia="仿宋" w:cs="仿宋"/>
          <w:sz w:val="30"/>
          <w:szCs w:val="30"/>
          <w:lang w:eastAsia="zh-CN"/>
        </w:rPr>
        <w:t>，</w:t>
      </w:r>
      <w:r>
        <w:rPr>
          <w:rFonts w:hint="eastAsia" w:ascii="仿宋" w:hAnsi="仿宋" w:eastAsia="仿宋" w:cs="仿宋"/>
          <w:sz w:val="30"/>
          <w:szCs w:val="30"/>
        </w:rPr>
        <w:t>财政生均经费拨款足额到位</w:t>
      </w:r>
      <w:r>
        <w:rPr>
          <w:rFonts w:hint="eastAsia" w:ascii="仿宋" w:hAnsi="仿宋" w:eastAsia="仿宋" w:cs="仿宋"/>
          <w:sz w:val="30"/>
          <w:szCs w:val="30"/>
          <w:lang w:eastAsia="zh-CN"/>
        </w:rPr>
        <w:t>。</w:t>
      </w:r>
      <w:r>
        <w:rPr>
          <w:rFonts w:hint="eastAsia" w:ascii="仿宋" w:hAnsi="仿宋" w:eastAsia="仿宋" w:cs="仿宋"/>
          <w:b/>
          <w:sz w:val="30"/>
          <w:szCs w:val="30"/>
          <w:lang w:eastAsia="zh-CN"/>
        </w:rPr>
        <w:t>七是</w:t>
      </w:r>
      <w:r>
        <w:rPr>
          <w:rFonts w:hint="eastAsia" w:ascii="仿宋" w:hAnsi="仿宋" w:eastAsia="仿宋" w:cs="仿宋"/>
          <w:b w:val="0"/>
          <w:sz w:val="30"/>
          <w:szCs w:val="30"/>
          <w:lang w:eastAsia="zh-CN"/>
        </w:rPr>
        <w:t>优化办学环境，有力夯实优质办学基础。</w:t>
      </w:r>
      <w:r>
        <w:rPr>
          <w:rFonts w:hint="eastAsia" w:ascii="仿宋" w:hAnsi="仿宋" w:eastAsia="仿宋" w:cs="仿宋"/>
          <w:b w:val="0"/>
          <w:sz w:val="30"/>
          <w:szCs w:val="30"/>
        </w:rPr>
        <w:t>规范招投标国资管理</w:t>
      </w:r>
      <w:r>
        <w:rPr>
          <w:rFonts w:hint="eastAsia" w:ascii="仿宋" w:hAnsi="仿宋" w:eastAsia="仿宋" w:cs="仿宋"/>
          <w:b w:val="0"/>
          <w:sz w:val="30"/>
          <w:szCs w:val="30"/>
          <w:lang w:eastAsia="zh-CN"/>
        </w:rPr>
        <w:t>，</w:t>
      </w:r>
      <w:r>
        <w:rPr>
          <w:rFonts w:hint="eastAsia" w:ascii="仿宋" w:hAnsi="仿宋" w:eastAsia="仿宋" w:cs="仿宋"/>
          <w:b w:val="0"/>
          <w:sz w:val="30"/>
          <w:szCs w:val="30"/>
        </w:rPr>
        <w:t>加快推进硬件设施建设</w:t>
      </w:r>
      <w:r>
        <w:rPr>
          <w:rFonts w:hint="eastAsia" w:ascii="仿宋" w:hAnsi="仿宋" w:eastAsia="仿宋" w:cs="仿宋"/>
          <w:b w:val="0"/>
          <w:sz w:val="30"/>
          <w:szCs w:val="30"/>
          <w:lang w:eastAsia="zh-CN"/>
        </w:rPr>
        <w:t>，</w:t>
      </w:r>
      <w:r>
        <w:rPr>
          <w:rFonts w:hint="eastAsia" w:ascii="仿宋" w:hAnsi="仿宋" w:eastAsia="仿宋" w:cs="仿宋"/>
          <w:b w:val="0"/>
          <w:sz w:val="30"/>
          <w:szCs w:val="30"/>
        </w:rPr>
        <w:t>完善平安校园工作体系</w:t>
      </w:r>
      <w:r>
        <w:rPr>
          <w:rFonts w:hint="eastAsia" w:ascii="仿宋" w:hAnsi="仿宋" w:eastAsia="仿宋" w:cs="仿宋"/>
          <w:b w:val="0"/>
          <w:sz w:val="30"/>
          <w:szCs w:val="30"/>
          <w:lang w:eastAsia="zh-CN"/>
        </w:rPr>
        <w:t>。</w:t>
      </w:r>
      <w:r>
        <w:rPr>
          <w:rFonts w:hint="eastAsia" w:ascii="仿宋" w:hAnsi="仿宋" w:eastAsia="仿宋" w:cs="仿宋"/>
          <w:b/>
          <w:sz w:val="30"/>
          <w:szCs w:val="30"/>
          <w:lang w:val="en-US" w:eastAsia="zh-CN"/>
        </w:rPr>
        <w:t>八是</w:t>
      </w:r>
      <w:r>
        <w:rPr>
          <w:rFonts w:hint="eastAsia" w:ascii="仿宋" w:hAnsi="仿宋" w:eastAsia="仿宋" w:cs="仿宋"/>
          <w:sz w:val="30"/>
          <w:szCs w:val="30"/>
          <w:lang w:val="en-US" w:eastAsia="zh-CN"/>
        </w:rPr>
        <w:t>落实联防联控，全面做好疫情常态防控。学校持续构建常态防疫体系，</w:t>
      </w:r>
      <w:r>
        <w:rPr>
          <w:rFonts w:hint="eastAsia" w:ascii="仿宋" w:hAnsi="仿宋" w:eastAsia="仿宋" w:cs="仿宋"/>
          <w:sz w:val="30"/>
          <w:szCs w:val="30"/>
        </w:rPr>
        <w:t>细化实施“七案七制三流程”</w:t>
      </w:r>
      <w:r>
        <w:rPr>
          <w:rFonts w:hint="eastAsia" w:ascii="仿宋" w:hAnsi="仿宋" w:eastAsia="仿宋" w:cs="仿宋"/>
          <w:sz w:val="30"/>
          <w:szCs w:val="30"/>
          <w:lang w:eastAsia="zh-CN"/>
        </w:rPr>
        <w:t>；</w:t>
      </w:r>
      <w:r>
        <w:rPr>
          <w:rFonts w:hint="eastAsia" w:ascii="仿宋" w:hAnsi="仿宋" w:eastAsia="仿宋" w:cs="仿宋"/>
          <w:sz w:val="30"/>
          <w:szCs w:val="30"/>
        </w:rPr>
        <w:t>编印《新冠肺炎疫情防控指导手册》</w:t>
      </w:r>
      <w:r>
        <w:rPr>
          <w:rFonts w:hint="eastAsia" w:ascii="仿宋" w:hAnsi="仿宋" w:eastAsia="仿宋" w:cs="仿宋"/>
          <w:sz w:val="30"/>
          <w:szCs w:val="30"/>
          <w:lang w:eastAsia="zh-CN"/>
        </w:rPr>
        <w:t>，</w:t>
      </w:r>
      <w:r>
        <w:rPr>
          <w:rFonts w:hint="eastAsia" w:ascii="仿宋" w:hAnsi="仿宋" w:eastAsia="仿宋" w:cs="仿宋"/>
          <w:sz w:val="30"/>
          <w:szCs w:val="30"/>
        </w:rPr>
        <w:t>全覆盖开展防疫知识技能培训</w:t>
      </w:r>
      <w:r>
        <w:rPr>
          <w:rFonts w:hint="eastAsia" w:ascii="仿宋" w:hAnsi="仿宋" w:eastAsia="仿宋" w:cs="仿宋"/>
          <w:sz w:val="30"/>
          <w:szCs w:val="30"/>
          <w:lang w:eastAsia="zh-CN"/>
        </w:rPr>
        <w:t>；</w:t>
      </w:r>
      <w:r>
        <w:rPr>
          <w:rFonts w:hint="eastAsia" w:ascii="仿宋" w:hAnsi="仿宋" w:eastAsia="仿宋" w:cs="仿宋"/>
          <w:sz w:val="30"/>
          <w:szCs w:val="30"/>
        </w:rPr>
        <w:t>严格执行《校园清洁消毒与环境管理制度》</w:t>
      </w:r>
      <w:r>
        <w:rPr>
          <w:rFonts w:hint="eastAsia" w:ascii="仿宋" w:hAnsi="仿宋" w:eastAsia="仿宋" w:cs="仿宋"/>
          <w:sz w:val="30"/>
          <w:szCs w:val="30"/>
          <w:lang w:eastAsia="zh-CN"/>
        </w:rPr>
        <w:t>，</w:t>
      </w:r>
      <w:r>
        <w:rPr>
          <w:rFonts w:hint="eastAsia" w:ascii="仿宋" w:hAnsi="仿宋" w:eastAsia="仿宋" w:cs="仿宋"/>
          <w:sz w:val="30"/>
          <w:szCs w:val="30"/>
        </w:rPr>
        <w:t>常态化做好校园卫生、清洁消毒等工作</w:t>
      </w:r>
      <w:r>
        <w:rPr>
          <w:rFonts w:hint="eastAsia" w:ascii="仿宋" w:hAnsi="仿宋" w:eastAsia="仿宋" w:cs="仿宋"/>
          <w:sz w:val="30"/>
          <w:szCs w:val="30"/>
          <w:lang w:eastAsia="zh-CN"/>
        </w:rPr>
        <w:t>。</w:t>
      </w:r>
    </w:p>
    <w:p>
      <w:pPr>
        <w:pStyle w:val="4"/>
        <w:outlineLvl w:val="9"/>
        <w:rPr>
          <w:rFonts w:hint="eastAsia" w:ascii="黑体" w:eastAsia="黑体"/>
          <w:b w:val="0"/>
          <w:color w:val="000000"/>
        </w:rPr>
      </w:pPr>
      <w:bookmarkStart w:id="22" w:name="_Toc15396601"/>
      <w:bookmarkStart w:id="23" w:name="_Toc15377200"/>
    </w:p>
    <w:p>
      <w:pPr>
        <w:pStyle w:val="4"/>
        <w:rPr>
          <w:rStyle w:val="27"/>
          <w:b w:val="0"/>
          <w:bCs w:val="0"/>
        </w:rPr>
      </w:pPr>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2"/>
      <w:bookmarkEnd w:id="23"/>
    </w:p>
    <w:p>
      <w:pPr>
        <w:ind w:firstLine="640" w:firstLineChars="200"/>
        <w:rPr>
          <w:rFonts w:hint="eastAsia" w:ascii="黑体" w:hAnsi="黑体" w:eastAsia="黑体"/>
          <w:b w:val="0"/>
          <w:color w:val="000000"/>
        </w:rPr>
      </w:pPr>
      <w:bookmarkStart w:id="24" w:name="_Toc15378448"/>
      <w:bookmarkStart w:id="25" w:name="_Toc15377201"/>
      <w:bookmarkStart w:id="26" w:name="_Toc15377432"/>
      <w:bookmarkStart w:id="27" w:name="_Toc15306275"/>
      <w:r>
        <w:rPr>
          <w:rFonts w:hint="eastAsia" w:ascii="仿宋" w:hAnsi="仿宋" w:eastAsia="仿宋"/>
          <w:sz w:val="32"/>
          <w:szCs w:val="32"/>
        </w:rPr>
        <w:t>川北幼儿师范高等专科学校</w:t>
      </w:r>
      <w:r>
        <w:rPr>
          <w:rFonts w:hint="eastAsia" w:ascii="仿宋" w:hAnsi="仿宋" w:eastAsia="仿宋"/>
          <w:sz w:val="32"/>
          <w:szCs w:val="32"/>
          <w:lang w:eastAsia="zh-CN"/>
        </w:rPr>
        <w:t>为市级一级预算单位，</w:t>
      </w:r>
      <w:r>
        <w:rPr>
          <w:rFonts w:hint="eastAsia" w:ascii="仿宋" w:hAnsi="仿宋" w:eastAsia="仿宋"/>
          <w:sz w:val="32"/>
          <w:szCs w:val="32"/>
        </w:rPr>
        <w:t>无下属二级单位。</w:t>
      </w:r>
      <w:bookmarkEnd w:id="24"/>
      <w:bookmarkEnd w:id="25"/>
      <w:bookmarkEnd w:id="26"/>
      <w:bookmarkEnd w:id="27"/>
      <w:bookmarkStart w:id="28" w:name="_Toc15396602"/>
      <w:bookmarkStart w:id="29" w:name="_Toc15377204"/>
    </w:p>
    <w:p>
      <w:pPr>
        <w:pStyle w:val="3"/>
        <w:ind w:right="440"/>
        <w:jc w:val="both"/>
        <w:rPr>
          <w:rStyle w:val="26"/>
          <w:rFonts w:ascii="黑体" w:hAnsi="黑体" w:eastAsia="黑体"/>
          <w:b w:val="0"/>
          <w:bCs w:val="0"/>
        </w:rPr>
      </w:pPr>
      <w:r>
        <w:rPr>
          <w:rFonts w:hint="eastAsia" w:ascii="黑体" w:hAnsi="黑体" w:eastAsia="黑体"/>
          <w:b w:val="0"/>
          <w:color w:val="000000"/>
          <w:lang w:val="en-US" w:eastAsia="zh-CN"/>
        </w:rPr>
        <w:t xml:space="preserve"> </w:t>
      </w:r>
      <w:bookmarkStart w:id="30" w:name="_Toc18756"/>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w:t>
      </w:r>
      <w:r>
        <w:rPr>
          <w:rStyle w:val="26"/>
          <w:rFonts w:hint="eastAsia" w:ascii="黑体" w:hAnsi="黑体" w:eastAsia="黑体"/>
          <w:b w:val="0"/>
          <w:bCs w:val="0"/>
          <w:lang w:val="en-US" w:eastAsia="zh-CN"/>
        </w:rPr>
        <w:t>20</w:t>
      </w:r>
      <w:r>
        <w:rPr>
          <w:rStyle w:val="26"/>
          <w:rFonts w:hint="eastAsia" w:ascii="黑体" w:hAnsi="黑体" w:eastAsia="黑体"/>
          <w:b w:val="0"/>
          <w:bCs w:val="0"/>
        </w:rPr>
        <w:t>年度部门决算情况说明</w:t>
      </w:r>
      <w:bookmarkEnd w:id="28"/>
      <w:bookmarkEnd w:id="29"/>
      <w:bookmarkEnd w:id="30"/>
    </w:p>
    <w:p/>
    <w:p>
      <w:pPr>
        <w:pStyle w:val="25"/>
        <w:numPr>
          <w:ilvl w:val="0"/>
          <w:numId w:val="2"/>
        </w:numPr>
        <w:spacing w:line="600" w:lineRule="exact"/>
        <w:ind w:firstLineChars="0"/>
        <w:outlineLvl w:val="1"/>
        <w:rPr>
          <w:rStyle w:val="27"/>
          <w:rFonts w:hint="eastAsia" w:ascii="黑体" w:hAnsi="黑体" w:eastAsia="黑体" w:cs="Times New Roman"/>
          <w:b w:val="0"/>
          <w:bCs w:val="0"/>
        </w:rPr>
      </w:pPr>
      <w:bookmarkStart w:id="31" w:name="_Toc15377205"/>
      <w:bookmarkStart w:id="32" w:name="_Toc15396603"/>
      <w:r>
        <w:rPr>
          <w:rStyle w:val="27"/>
          <w:rFonts w:hint="eastAsia" w:ascii="黑体" w:hAnsi="黑体" w:eastAsia="黑体" w:cs="Times New Roman"/>
          <w:b w:val="0"/>
          <w:bCs w:val="0"/>
        </w:rPr>
        <w:t>收入支出决算总体情况说明</w:t>
      </w:r>
      <w:bookmarkEnd w:id="31"/>
      <w:bookmarkEnd w:id="3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
          <w:lang w:val="en-US" w:eastAsia="zh-CN"/>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19938.51</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345.22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2020年事业收入减少。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
          <w:lang w:eastAsia="zh-CN"/>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：收入、支出决算总计变动情况图</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Style w:val="27"/>
          <w:rFonts w:hint="eastAsia" w:ascii="黑体" w:hAnsi="黑体" w:eastAsia="黑体"/>
          <w:b w:val="0"/>
          <w:lang w:eastAsia="zh-CN"/>
        </w:rPr>
      </w:pPr>
      <w:bookmarkStart w:id="33" w:name="_Toc15377206"/>
      <w:bookmarkStart w:id="34" w:name="_Toc15396604"/>
      <w:r>
        <w:drawing>
          <wp:anchor distT="0" distB="0" distL="114300" distR="114300" simplePos="0" relativeHeight="251660288" behindDoc="0" locked="0" layoutInCell="1" allowOverlap="1">
            <wp:simplePos x="0" y="0"/>
            <wp:positionH relativeFrom="column">
              <wp:posOffset>411480</wp:posOffset>
            </wp:positionH>
            <wp:positionV relativeFrom="paragraph">
              <wp:posOffset>260985</wp:posOffset>
            </wp:positionV>
            <wp:extent cx="4201160" cy="1744345"/>
            <wp:effectExtent l="4445" t="5080" r="23495" b="22225"/>
            <wp:wrapSquare wrapText="bothSides"/>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firstLine="640" w:firstLineChars="200"/>
        <w:textAlignment w:val="auto"/>
        <w:outlineLvl w:val="9"/>
        <w:rPr>
          <w:rStyle w:val="27"/>
          <w:rFonts w:ascii="黑体" w:hAnsi="黑体" w:eastAsia="黑体"/>
          <w:b w:val="0"/>
        </w:rPr>
      </w:pPr>
    </w:p>
    <w:p>
      <w:pPr>
        <w:pStyle w:val="2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firstLine="640" w:firstLineChars="200"/>
        <w:textAlignment w:val="auto"/>
        <w:outlineLvl w:val="9"/>
        <w:rPr>
          <w:rStyle w:val="27"/>
          <w:rFonts w:ascii="黑体" w:hAnsi="黑体" w:eastAsia="黑体"/>
          <w:b w:val="0"/>
        </w:rPr>
      </w:pPr>
    </w:p>
    <w:p>
      <w:pPr>
        <w:pStyle w:val="2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firstLine="640" w:firstLineChars="200"/>
        <w:textAlignment w:val="auto"/>
        <w:outlineLvl w:val="9"/>
        <w:rPr>
          <w:rStyle w:val="27"/>
          <w:rFonts w:ascii="黑体" w:hAnsi="黑体" w:eastAsia="黑体"/>
          <w:b w:val="0"/>
        </w:rPr>
      </w:pPr>
    </w:p>
    <w:p>
      <w:pPr>
        <w:pStyle w:val="2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firstLine="640" w:firstLineChars="200"/>
        <w:textAlignment w:val="auto"/>
        <w:outlineLvl w:val="9"/>
        <w:rPr>
          <w:rStyle w:val="27"/>
          <w:rFonts w:ascii="黑体" w:hAnsi="黑体" w:eastAsia="黑体"/>
          <w:b w:val="0"/>
        </w:rPr>
      </w:pPr>
    </w:p>
    <w:p>
      <w:pPr>
        <w:pStyle w:val="25"/>
        <w:numPr>
          <w:ilvl w:val="0"/>
          <w:numId w:val="0"/>
        </w:numPr>
        <w:spacing w:line="600" w:lineRule="exact"/>
        <w:outlineLvl w:val="1"/>
        <w:rPr>
          <w:rStyle w:val="27"/>
          <w:rFonts w:hint="eastAsia" w:ascii="黑体" w:hAnsi="黑体" w:eastAsia="黑体" w:cs="Times New Roman"/>
          <w:b w:val="0"/>
          <w:bCs w:val="0"/>
        </w:rPr>
      </w:pPr>
    </w:p>
    <w:p>
      <w:pPr>
        <w:pStyle w:val="25"/>
        <w:numPr>
          <w:ilvl w:val="0"/>
          <w:numId w:val="2"/>
        </w:numPr>
        <w:spacing w:line="600" w:lineRule="exact"/>
        <w:ind w:firstLineChars="0"/>
        <w:outlineLvl w:val="1"/>
        <w:rPr>
          <w:rStyle w:val="27"/>
          <w:rFonts w:hint="eastAsia" w:ascii="黑体" w:hAnsi="黑体" w:eastAsia="黑体" w:cs="Times New Roman"/>
          <w:b w:val="0"/>
          <w:bCs w:val="0"/>
        </w:rPr>
      </w:pPr>
      <w:r>
        <w:rPr>
          <w:rStyle w:val="27"/>
          <w:rFonts w:hint="eastAsia" w:ascii="黑体" w:hAnsi="黑体" w:eastAsia="黑体" w:cs="Times New Roman"/>
          <w:b w:val="0"/>
          <w:bCs w:val="0"/>
        </w:rPr>
        <w:t>收入决算情况说明</w:t>
      </w:r>
      <w:bookmarkEnd w:id="33"/>
      <w:bookmarkEnd w:id="34"/>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15052.76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11792.79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78.34</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705.13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4.68</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2425.78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16.12</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129.06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0.86</w:t>
      </w:r>
      <w:r>
        <w:rPr>
          <w:rFonts w:ascii="仿宋" w:hAnsi="仿宋" w:eastAsia="仿宋"/>
          <w:color w:val="000000"/>
          <w:sz w:val="32"/>
          <w:szCs w:val="32"/>
        </w:rPr>
        <w:t>%</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sz w:val="32"/>
          <w:szCs w:val="32"/>
        </w:rPr>
      </w:pPr>
      <w:bookmarkStart w:id="35" w:name="_Toc15396605"/>
      <w:bookmarkStart w:id="36" w:name="_Toc15377207"/>
      <w:r>
        <w:rPr>
          <w:rFonts w:hint="eastAsia" w:ascii="仿宋" w:hAnsi="仿宋" w:eastAsia="仿宋"/>
          <w:color w:val="000000"/>
          <w:sz w:val="32"/>
          <w:szCs w:val="32"/>
        </w:rPr>
        <w:t>图2：收入决算结构图</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firstLine="420" w:firstLineChars="200"/>
        <w:textAlignment w:val="auto"/>
        <w:outlineLvl w:val="9"/>
        <w:rPr>
          <w:rStyle w:val="27"/>
          <w:rFonts w:ascii="黑体" w:hAnsi="黑体" w:eastAsia="黑体"/>
          <w:b w:val="0"/>
        </w:rPr>
      </w:pPr>
      <w:r>
        <w:drawing>
          <wp:anchor distT="0" distB="0" distL="114300" distR="114300" simplePos="0" relativeHeight="251659264" behindDoc="1" locked="0" layoutInCell="1" allowOverlap="1">
            <wp:simplePos x="0" y="0"/>
            <wp:positionH relativeFrom="column">
              <wp:posOffset>442595</wp:posOffset>
            </wp:positionH>
            <wp:positionV relativeFrom="paragraph">
              <wp:posOffset>203835</wp:posOffset>
            </wp:positionV>
            <wp:extent cx="4152265" cy="2135505"/>
            <wp:effectExtent l="4445" t="4445" r="72390" b="12700"/>
            <wp:wrapTight wrapText="bothSides">
              <wp:wrapPolygon>
                <wp:start x="-23" y="-45"/>
                <wp:lineTo x="-23" y="21536"/>
                <wp:lineTo x="21481" y="21536"/>
                <wp:lineTo x="21481" y="-45"/>
                <wp:lineTo x="-23" y="-45"/>
              </wp:wrapPolygon>
            </wp:wrapTight>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firstLine="640" w:firstLineChars="200"/>
        <w:textAlignment w:val="auto"/>
        <w:outlineLvl w:val="9"/>
        <w:rPr>
          <w:rStyle w:val="27"/>
          <w:rFonts w:ascii="黑体" w:hAnsi="黑体" w:eastAsia="黑体"/>
          <w:b w:val="0"/>
        </w:rPr>
      </w:pPr>
    </w:p>
    <w:p>
      <w:pPr>
        <w:pStyle w:val="2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firstLine="640" w:firstLineChars="200"/>
        <w:textAlignment w:val="auto"/>
        <w:outlineLvl w:val="9"/>
        <w:rPr>
          <w:rStyle w:val="27"/>
          <w:rFonts w:ascii="黑体" w:hAnsi="黑体" w:eastAsia="黑体"/>
          <w:b w:val="0"/>
        </w:rPr>
      </w:pPr>
    </w:p>
    <w:p>
      <w:pPr>
        <w:pStyle w:val="2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firstLine="640" w:firstLineChars="200"/>
        <w:textAlignment w:val="auto"/>
        <w:outlineLvl w:val="9"/>
        <w:rPr>
          <w:rStyle w:val="27"/>
          <w:rFonts w:ascii="黑体" w:hAnsi="黑体" w:eastAsia="黑体"/>
          <w:b w:val="0"/>
        </w:rPr>
      </w:pPr>
    </w:p>
    <w:p>
      <w:pPr>
        <w:pStyle w:val="25"/>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黑体" w:hAnsi="黑体" w:eastAsia="黑体"/>
          <w:color w:val="000000"/>
          <w:sz w:val="32"/>
          <w:szCs w:val="32"/>
          <w:lang w:eastAsia="zh-CN"/>
        </w:rPr>
      </w:pPr>
    </w:p>
    <w:p>
      <w:pPr>
        <w:pStyle w:val="2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olor w:val="000000"/>
          <w:sz w:val="32"/>
          <w:szCs w:val="32"/>
          <w:lang w:eastAsia="zh-CN"/>
        </w:rPr>
      </w:pPr>
    </w:p>
    <w:p>
      <w:pPr>
        <w:pStyle w:val="2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olor w:val="000000"/>
          <w:sz w:val="32"/>
          <w:szCs w:val="32"/>
          <w:lang w:eastAsia="zh-CN"/>
        </w:rPr>
      </w:pPr>
    </w:p>
    <w:p>
      <w:pPr>
        <w:pStyle w:val="2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7"/>
          <w:rFonts w:ascii="黑体" w:hAnsi="黑体" w:eastAsia="黑体"/>
          <w:b w:val="0"/>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7"/>
          <w:rFonts w:hint="eastAsia" w:ascii="黑体" w:hAnsi="黑体" w:eastAsia="黑体"/>
          <w:b w:val="0"/>
        </w:rPr>
        <w:t>出决算情况说明</w:t>
      </w:r>
      <w:bookmarkEnd w:id="35"/>
      <w:bookmarkEnd w:id="3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14655.5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9242.67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63.07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5412.83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36.93</w:t>
      </w:r>
      <w:r>
        <w:rPr>
          <w:rFonts w:ascii="仿宋" w:hAnsi="仿宋" w:eastAsia="仿宋"/>
          <w:color w:val="000000"/>
          <w:sz w:val="32"/>
          <w:szCs w:val="32"/>
        </w:rPr>
        <w:t>%</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sz w:val="32"/>
          <w:szCs w:val="32"/>
        </w:rPr>
      </w:pPr>
      <w:bookmarkStart w:id="37" w:name="_Toc15377208"/>
      <w:bookmarkStart w:id="38" w:name="_Toc15396606"/>
      <w:r>
        <w:rPr>
          <w:rFonts w:hint="eastAsia" w:ascii="仿宋" w:hAnsi="仿宋" w:eastAsia="仿宋"/>
          <w:color w:val="000000"/>
          <w:sz w:val="32"/>
          <w:szCs w:val="32"/>
        </w:rPr>
        <w:t>图3：支出决算结构图</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eastAsia" w:ascii="黑体" w:hAnsi="黑体" w:eastAsia="黑体"/>
          <w:color w:val="000000"/>
          <w:sz w:val="32"/>
          <w:szCs w:val="32"/>
        </w:rPr>
      </w:pPr>
      <w:r>
        <w:drawing>
          <wp:anchor distT="0" distB="0" distL="114300" distR="114300" simplePos="0" relativeHeight="251662336" behindDoc="0" locked="0" layoutInCell="1" allowOverlap="1">
            <wp:simplePos x="0" y="0"/>
            <wp:positionH relativeFrom="column">
              <wp:posOffset>433705</wp:posOffset>
            </wp:positionH>
            <wp:positionV relativeFrom="paragraph">
              <wp:posOffset>175895</wp:posOffset>
            </wp:positionV>
            <wp:extent cx="4200525" cy="2031365"/>
            <wp:effectExtent l="4445" t="4445" r="5080" b="21590"/>
            <wp:wrapSquare wrapText="bothSides"/>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7"/>
          <w:rFonts w:ascii="黑体" w:hAnsi="黑体" w:eastAsia="黑体"/>
          <w:b w:val="0"/>
        </w:rPr>
      </w:pPr>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7"/>
      <w:bookmarkEnd w:id="3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16470.23</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年相比，财政拨款收、支总计各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2187.41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15.31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2020年初财政拨款结转数增加</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color w:val="000000"/>
          <w:sz w:val="32"/>
          <w:szCs w:val="32"/>
        </w:rPr>
      </w:pPr>
      <w:bookmarkStart w:id="39" w:name="_Toc15377209"/>
      <w:bookmarkStart w:id="40" w:name="_Toc15396607"/>
      <w:r>
        <w:rPr>
          <w:rFonts w:hint="eastAsia" w:ascii="仿宋" w:hAnsi="仿宋" w:eastAsia="仿宋"/>
          <w:color w:val="000000"/>
          <w:sz w:val="32"/>
          <w:szCs w:val="32"/>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eastAsia" w:ascii="黑体" w:hAnsi="黑体" w:eastAsia="黑体"/>
          <w:color w:val="000000"/>
          <w:sz w:val="32"/>
          <w:szCs w:val="32"/>
        </w:rPr>
      </w:pPr>
      <w:r>
        <w:drawing>
          <wp:anchor distT="0" distB="0" distL="114300" distR="114300" simplePos="0" relativeHeight="251663360" behindDoc="0" locked="0" layoutInCell="1" allowOverlap="1">
            <wp:simplePos x="0" y="0"/>
            <wp:positionH relativeFrom="column">
              <wp:posOffset>414020</wp:posOffset>
            </wp:positionH>
            <wp:positionV relativeFrom="paragraph">
              <wp:posOffset>138430</wp:posOffset>
            </wp:positionV>
            <wp:extent cx="4238625" cy="2000885"/>
            <wp:effectExtent l="4445" t="5080" r="5080" b="13335"/>
            <wp:wrapSquare wrapText="bothSides"/>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olor w:val="000000"/>
          <w:sz w:val="32"/>
          <w:szCs w:val="32"/>
        </w:rPr>
      </w:pPr>
    </w:p>
    <w:bookmarkEnd w:id="39"/>
    <w:bookmarkEnd w:id="40"/>
    <w:p>
      <w:pPr>
        <w:spacing w:line="600" w:lineRule="exact"/>
        <w:outlineLvl w:val="1"/>
        <w:rPr>
          <w:rFonts w:hint="eastAsia" w:ascii="黑体" w:hAnsi="黑体" w:eastAsia="黑体"/>
          <w:color w:val="000000"/>
          <w:sz w:val="32"/>
          <w:szCs w:val="32"/>
        </w:rPr>
      </w:pPr>
      <w:bookmarkStart w:id="41" w:name="_Toc15377210"/>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仿宋" w:hAnsi="仿宋" w:eastAsia="仿宋"/>
          <w:b/>
          <w:color w:val="000000"/>
          <w:sz w:val="32"/>
          <w:szCs w:val="32"/>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仿宋" w:hAnsi="仿宋" w:eastAsia="仿宋"/>
          <w:b/>
          <w:color w:val="000000"/>
          <w:sz w:val="32"/>
          <w:szCs w:val="32"/>
        </w:rPr>
      </w:pPr>
      <w:r>
        <w:rPr>
          <w:rFonts w:hint="eastAsia" w:ascii="仿宋" w:hAnsi="仿宋" w:eastAsia="仿宋"/>
          <w:b/>
          <w:color w:val="000000"/>
          <w:sz w:val="32"/>
          <w:szCs w:val="32"/>
        </w:rPr>
        <w:t>（一）一般公共预算财政拨款支出决算总体情况</w:t>
      </w:r>
      <w:bookmarkEnd w:id="4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11448.87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78.12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支出增加</w:t>
      </w:r>
      <w:r>
        <w:rPr>
          <w:rFonts w:hint="eastAsia" w:ascii="仿宋" w:hAnsi="仿宋" w:eastAsia="仿宋"/>
          <w:color w:val="000000"/>
          <w:sz w:val="32"/>
          <w:szCs w:val="32"/>
          <w:lang w:val="en-US" w:eastAsia="zh-CN"/>
        </w:rPr>
        <w:t>2357.37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25.93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2020年教育支出增加。</w:t>
      </w:r>
    </w:p>
    <w:p>
      <w:pPr>
        <w:spacing w:line="600" w:lineRule="exact"/>
        <w:ind w:firstLine="640" w:firstLineChars="200"/>
      </w:pPr>
      <w:r>
        <w:rPr>
          <w:rFonts w:hint="eastAsia" w:ascii="仿宋" w:hAnsi="仿宋" w:eastAsia="仿宋"/>
          <w:color w:val="000000"/>
          <w:sz w:val="32"/>
          <w:szCs w:val="32"/>
        </w:rPr>
        <w:t>图5：一般公共预算财政拨款支出决算变动情况</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ascii="仿宋" w:hAnsi="仿宋" w:eastAsia="仿宋"/>
          <w:b/>
          <w:color w:val="000000"/>
          <w:sz w:val="32"/>
          <w:szCs w:val="32"/>
        </w:rPr>
      </w:pPr>
      <w:bookmarkStart w:id="42" w:name="_Toc15377211"/>
      <w:r>
        <w:drawing>
          <wp:anchor distT="0" distB="0" distL="114300" distR="114300" simplePos="0" relativeHeight="251664384" behindDoc="1" locked="0" layoutInCell="1" allowOverlap="1">
            <wp:simplePos x="0" y="0"/>
            <wp:positionH relativeFrom="column">
              <wp:posOffset>452755</wp:posOffset>
            </wp:positionH>
            <wp:positionV relativeFrom="page">
              <wp:posOffset>7439025</wp:posOffset>
            </wp:positionV>
            <wp:extent cx="4322445" cy="1898015"/>
            <wp:effectExtent l="5080" t="4445" r="15875" b="21590"/>
            <wp:wrapTight wrapText="bothSides">
              <wp:wrapPolygon>
                <wp:start x="-25" y="-51"/>
                <wp:lineTo x="-25" y="21412"/>
                <wp:lineTo x="21489" y="21412"/>
                <wp:lineTo x="21489" y="-51"/>
                <wp:lineTo x="-25" y="-51"/>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b/>
          <w:color w:val="000000"/>
          <w:sz w:val="32"/>
          <w:szCs w:val="32"/>
        </w:rPr>
        <w:t>（二）一般公共预算财政拨款支出决算结构情况</w:t>
      </w:r>
      <w:bookmarkEnd w:id="4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lang w:val="en-US" w:eastAsia="zh-CN"/>
        </w:rPr>
        <w:t>11448.87</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val="0"/>
          <w:bCs/>
          <w:color w:val="000000" w:themeColor="text1"/>
          <w:sz w:val="32"/>
          <w:szCs w:val="32"/>
        </w:rPr>
        <w:t>教育支出</w:t>
      </w:r>
      <w:r>
        <w:rPr>
          <w:rFonts w:hint="eastAsia" w:ascii="仿宋" w:hAnsi="仿宋" w:eastAsia="仿宋"/>
          <w:color w:val="000000" w:themeColor="text1"/>
          <w:sz w:val="32"/>
          <w:szCs w:val="32"/>
          <w:lang w:val="en-US" w:eastAsia="zh-CN"/>
        </w:rPr>
        <w:t>10265.87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89.67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val="0"/>
          <w:bCs/>
          <w:color w:val="000000" w:themeColor="text1"/>
          <w:sz w:val="32"/>
          <w:szCs w:val="32"/>
        </w:rPr>
        <w:t>社会保障和就业</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475.5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4.15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val="0"/>
          <w:bCs w:val="0"/>
          <w:color w:val="000000" w:themeColor="text1"/>
          <w:sz w:val="32"/>
          <w:szCs w:val="32"/>
        </w:rPr>
        <w:t>卫生健康支出</w:t>
      </w:r>
      <w:r>
        <w:rPr>
          <w:rFonts w:hint="eastAsia" w:ascii="仿宋" w:hAnsi="仿宋" w:eastAsia="仿宋"/>
          <w:color w:val="000000" w:themeColor="text1"/>
          <w:sz w:val="32"/>
          <w:szCs w:val="32"/>
          <w:lang w:val="en-US" w:eastAsia="zh-CN"/>
        </w:rPr>
        <w:t>245.16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2.14</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462.35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4.04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b/>
          <w:color w:val="000000"/>
          <w:sz w:val="32"/>
          <w:szCs w:val="32"/>
        </w:rPr>
      </w:pPr>
      <w:bookmarkStart w:id="43" w:name="_Toc15377212"/>
      <w:r>
        <w:rPr>
          <w:rFonts w:hint="eastAsia" w:ascii="仿宋" w:hAnsi="仿宋" w:eastAsia="仿宋"/>
          <w:color w:val="000000"/>
          <w:sz w:val="32"/>
          <w:szCs w:val="32"/>
        </w:rPr>
        <w:t>图6：一般公共预算财政拨款支出决算结构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ascii="仿宋" w:hAnsi="仿宋" w:eastAsia="仿宋"/>
          <w:b/>
          <w:color w:val="000000"/>
          <w:sz w:val="32"/>
          <w:szCs w:val="32"/>
        </w:rPr>
      </w:pPr>
      <w:r>
        <w:drawing>
          <wp:anchor distT="0" distB="0" distL="114300" distR="114300" simplePos="0" relativeHeight="251665408" behindDoc="0" locked="0" layoutInCell="1" allowOverlap="1">
            <wp:simplePos x="0" y="0"/>
            <wp:positionH relativeFrom="column">
              <wp:posOffset>433070</wp:posOffset>
            </wp:positionH>
            <wp:positionV relativeFrom="paragraph">
              <wp:posOffset>52705</wp:posOffset>
            </wp:positionV>
            <wp:extent cx="4324350" cy="2094865"/>
            <wp:effectExtent l="4445" t="5080" r="14605" b="14605"/>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End w:id="43"/>
      <w:bookmarkStart w:id="44" w:name="_Toc15378460"/>
      <w:bookmarkStart w:id="45" w:name="_Toc15377444"/>
      <w:bookmarkStart w:id="46" w:name="_Toc15377213"/>
      <w:r>
        <w:rPr>
          <w:rFonts w:hint="eastAsia" w:ascii="仿宋" w:hAnsi="仿宋" w:eastAsia="仿宋"/>
          <w:b/>
          <w:color w:val="000000"/>
          <w:sz w:val="32"/>
          <w:szCs w:val="32"/>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 w:hAnsi="仿宋" w:eastAsia="仿宋"/>
          <w:color w:val="FF0000"/>
          <w:sz w:val="32"/>
          <w:szCs w:val="32"/>
        </w:rPr>
      </w:pPr>
      <w:r>
        <w:rPr>
          <w:rFonts w:hint="eastAsia" w:ascii="仿宋" w:hAnsi="仿宋" w:eastAsia="仿宋"/>
          <w:b w:val="0"/>
          <w:bCs/>
          <w:color w:val="000000" w:themeColor="text1"/>
          <w:sz w:val="32"/>
          <w:szCs w:val="32"/>
          <w:lang w:val="en-US" w:eastAsia="zh-CN"/>
        </w:rPr>
        <w:t>2020</w:t>
      </w:r>
      <w:r>
        <w:rPr>
          <w:rFonts w:hint="eastAsia" w:ascii="仿宋" w:hAnsi="仿宋" w:eastAsia="仿宋"/>
          <w:b w:val="0"/>
          <w:bCs/>
          <w:color w:val="000000" w:themeColor="text1"/>
          <w:sz w:val="32"/>
          <w:szCs w:val="32"/>
        </w:rPr>
        <w:t>年</w:t>
      </w:r>
      <w:r>
        <w:rPr>
          <w:rFonts w:hint="eastAsia" w:ascii="仿宋" w:hAnsi="仿宋" w:eastAsia="仿宋"/>
          <w:b w:val="0"/>
          <w:bCs/>
          <w:color w:val="000000" w:themeColor="text1"/>
          <w:sz w:val="32"/>
          <w:szCs w:val="32"/>
          <w:lang w:eastAsia="zh-CN"/>
        </w:rPr>
        <w:t>一</w:t>
      </w:r>
      <w:r>
        <w:rPr>
          <w:rFonts w:hint="eastAsia" w:ascii="仿宋" w:hAnsi="仿宋" w:eastAsia="仿宋"/>
          <w:b w:val="0"/>
          <w:bCs/>
          <w:color w:val="000000" w:themeColor="text1"/>
          <w:sz w:val="32"/>
          <w:szCs w:val="32"/>
        </w:rPr>
        <w:t>般公共预算支出决算数为</w:t>
      </w:r>
      <w:r>
        <w:rPr>
          <w:rFonts w:hint="eastAsia" w:ascii="仿宋" w:hAnsi="仿宋" w:eastAsia="仿宋"/>
          <w:b w:val="0"/>
          <w:bCs/>
          <w:color w:val="000000"/>
          <w:sz w:val="32"/>
          <w:szCs w:val="32"/>
          <w:lang w:val="en-US" w:eastAsia="zh-CN"/>
        </w:rPr>
        <w:t>11448.87万元</w:t>
      </w:r>
      <w:r>
        <w:rPr>
          <w:rFonts w:hint="eastAsia" w:ascii="仿宋" w:hAnsi="仿宋" w:eastAsia="仿宋"/>
          <w:b w:val="0"/>
          <w:bCs/>
          <w:color w:val="000000" w:themeColor="text1"/>
          <w:sz w:val="32"/>
          <w:szCs w:val="32"/>
        </w:rPr>
        <w:t>，</w:t>
      </w:r>
      <w:r>
        <w:rPr>
          <w:rStyle w:val="15"/>
          <w:rFonts w:hint="eastAsia" w:ascii="仿宋" w:hAnsi="仿宋" w:eastAsia="仿宋"/>
          <w:b w:val="0"/>
          <w:bCs/>
          <w:color w:val="000000" w:themeColor="text1"/>
          <w:sz w:val="32"/>
          <w:szCs w:val="32"/>
        </w:rPr>
        <w:t>完成</w:t>
      </w:r>
      <w:r>
        <w:rPr>
          <w:rStyle w:val="15"/>
          <w:rFonts w:hint="eastAsia" w:ascii="仿宋" w:hAnsi="仿宋" w:eastAsia="仿宋"/>
          <w:b w:val="0"/>
          <w:bCs/>
          <w:color w:val="000000"/>
          <w:sz w:val="32"/>
          <w:szCs w:val="32"/>
        </w:rPr>
        <w:t>预算</w:t>
      </w:r>
      <w:r>
        <w:rPr>
          <w:rStyle w:val="15"/>
          <w:rFonts w:hint="eastAsia" w:ascii="仿宋" w:hAnsi="仿宋" w:eastAsia="仿宋"/>
          <w:b w:val="0"/>
          <w:bCs/>
          <w:color w:val="000000"/>
          <w:sz w:val="32"/>
          <w:szCs w:val="32"/>
          <w:lang w:val="en-US" w:eastAsia="zh-CN"/>
        </w:rPr>
        <w:t>72.76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。其中：</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b/>
          <w:color w:val="auto"/>
          <w:sz w:val="32"/>
          <w:szCs w:val="32"/>
          <w:lang w:eastAsia="zh-CN"/>
        </w:rPr>
      </w:pPr>
      <w:r>
        <w:rPr>
          <w:rStyle w:val="15"/>
          <w:rFonts w:hint="eastAsia" w:ascii="仿宋" w:hAnsi="仿宋" w:eastAsia="仿宋"/>
          <w:bCs/>
          <w:color w:val="000000"/>
          <w:sz w:val="32"/>
          <w:szCs w:val="32"/>
        </w:rPr>
        <w:t>1</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教育（类）职业教育（款）高等职业教育（项）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rPr>
        <w:t>10265.87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70.58</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决算数小于预算数的主要原因是</w:t>
      </w:r>
      <w:r>
        <w:rPr>
          <w:rStyle w:val="15"/>
          <w:rFonts w:hint="eastAsia" w:ascii="仿宋" w:hAnsi="仿宋" w:eastAsia="仿宋"/>
          <w:b w:val="0"/>
          <w:bCs/>
          <w:color w:val="auto"/>
          <w:sz w:val="32"/>
          <w:szCs w:val="32"/>
          <w:lang w:eastAsia="zh-CN"/>
        </w:rPr>
        <w:t>预留经费用于保障学校基建工程稳步开展。</w:t>
      </w:r>
    </w:p>
    <w:p>
      <w:pPr>
        <w:spacing w:line="600" w:lineRule="exact"/>
        <w:ind w:firstLine="642" w:firstLineChars="200"/>
        <w:rPr>
          <w:rStyle w:val="15"/>
          <w:rFonts w:hint="default" w:ascii="仿宋" w:hAnsi="仿宋" w:eastAsia="仿宋"/>
          <w:bCs/>
          <w:color w:val="000000"/>
          <w:sz w:val="32"/>
          <w:szCs w:val="32"/>
          <w:lang w:val="en-US" w:eastAsia="zh-CN"/>
        </w:rPr>
      </w:pPr>
      <w:r>
        <w:rPr>
          <w:rStyle w:val="15"/>
          <w:rFonts w:hint="eastAsia" w:ascii="仿宋" w:hAnsi="仿宋" w:eastAsia="仿宋"/>
          <w:bCs/>
          <w:color w:val="000000"/>
          <w:sz w:val="32"/>
          <w:szCs w:val="32"/>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社会保障和就业（类）人力资源和社会保障管理事务（款）其他人力资源和社会保障管理事务支出（项）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48.9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90.56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。决算数小于预算数的主要原因是研究生学历教育学费</w:t>
      </w:r>
      <w:r>
        <w:rPr>
          <w:rStyle w:val="15"/>
          <w:rFonts w:hint="eastAsia" w:ascii="仿宋" w:hAnsi="仿宋" w:eastAsia="仿宋"/>
          <w:b w:val="0"/>
          <w:bCs/>
          <w:color w:val="000000"/>
          <w:sz w:val="32"/>
          <w:szCs w:val="32"/>
          <w:lang w:val="en-US" w:eastAsia="zh-CN"/>
        </w:rPr>
        <w:t>5.1万元预算下达时间较晚，结转下年开支。</w:t>
      </w:r>
    </w:p>
    <w:p>
      <w:pPr>
        <w:spacing w:line="600" w:lineRule="exact"/>
        <w:ind w:firstLine="642"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社会保障和就业（类）机关事业单位离退休（款）机关事业单位基本养老保险缴费支出（项）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384.05</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4.</w:t>
      </w:r>
      <w:r>
        <w:rPr>
          <w:rStyle w:val="15"/>
          <w:rFonts w:hint="eastAsia" w:ascii="仿宋" w:hAnsi="仿宋" w:eastAsia="仿宋"/>
          <w:bCs/>
          <w:color w:val="000000"/>
          <w:sz w:val="32"/>
          <w:szCs w:val="32"/>
        </w:rPr>
        <w:t>社会保障和就业（类）机关事业单位离退休（款）机关事业单位职业年金缴费支出（项）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25.61</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5.</w:t>
      </w:r>
      <w:r>
        <w:rPr>
          <w:rStyle w:val="15"/>
          <w:rFonts w:hint="eastAsia" w:ascii="仿宋" w:hAnsi="仿宋" w:eastAsia="仿宋"/>
          <w:bCs/>
          <w:color w:val="000000"/>
          <w:sz w:val="32"/>
          <w:szCs w:val="32"/>
        </w:rPr>
        <w:t>社会保障和就业（类）其他社会保障和就业支出（款）其他社会保障和就业支出（项）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16.93</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6</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医疗卫生与计划生育（类）行政事业单位医疗（款）</w:t>
      </w:r>
      <w:r>
        <w:rPr>
          <w:rStyle w:val="15"/>
          <w:rFonts w:hint="eastAsia" w:ascii="仿宋" w:hAnsi="仿宋" w:eastAsia="仿宋"/>
          <w:bCs/>
          <w:color w:val="000000"/>
          <w:sz w:val="32"/>
          <w:szCs w:val="32"/>
          <w:lang w:eastAsia="zh-CN"/>
        </w:rPr>
        <w:t>事业</w:t>
      </w:r>
      <w:r>
        <w:rPr>
          <w:rStyle w:val="15"/>
          <w:rFonts w:hint="eastAsia" w:ascii="仿宋" w:hAnsi="仿宋" w:eastAsia="仿宋"/>
          <w:bCs/>
          <w:color w:val="000000"/>
          <w:sz w:val="32"/>
          <w:szCs w:val="32"/>
        </w:rPr>
        <w:t>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rPr>
        <w:t>245.16</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hint="eastAsia" w:ascii="黑体" w:eastAsia="黑体"/>
          <w:color w:val="000000"/>
          <w:sz w:val="32"/>
          <w:szCs w:val="32"/>
        </w:rPr>
      </w:pPr>
      <w:r>
        <w:rPr>
          <w:rStyle w:val="15"/>
          <w:rFonts w:hint="eastAsia" w:ascii="仿宋" w:hAnsi="仿宋" w:eastAsia="仿宋"/>
          <w:bCs/>
          <w:color w:val="000000"/>
          <w:sz w:val="32"/>
          <w:szCs w:val="32"/>
          <w:lang w:val="en-US" w:eastAsia="zh-CN"/>
        </w:rPr>
        <w:t>7</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住房保障支出（类）住房改革支出（款）住房公积金（项）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rPr>
        <w:t>462.35</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bookmarkStart w:id="47" w:name="_Toc15377214"/>
      <w:bookmarkStart w:id="48" w:name="_Toc15396608"/>
    </w:p>
    <w:p>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firstLineChars="200"/>
        <w:textAlignment w:val="auto"/>
        <w:outlineLvl w:val="1"/>
        <w:rPr>
          <w:rStyle w:val="27"/>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7"/>
      <w:bookmarkEnd w:id="48"/>
      <w:r>
        <w:rPr>
          <w:rStyle w:val="27"/>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7107.86</w:t>
      </w:r>
      <w:r>
        <w:rPr>
          <w:rFonts w:hint="eastAsia" w:ascii="仿宋" w:hAnsi="仿宋" w:eastAsia="仿宋"/>
          <w:color w:val="000000"/>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6965.33</w:t>
      </w:r>
      <w:r>
        <w:rPr>
          <w:rFonts w:hint="eastAsia" w:ascii="仿宋" w:hAnsi="仿宋" w:eastAsia="仿宋"/>
          <w:color w:val="000000"/>
          <w:sz w:val="32"/>
          <w:szCs w:val="32"/>
        </w:rPr>
        <w:t>万元，主要包括：基本工资、津贴补贴、绩效工资、机关事业单位基本养老保险缴费、职业年金缴费、职工基本医疗保险缴费</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其他社会保障缴费、住房公积金、其他工资福利支出、生活补助、</w:t>
      </w:r>
      <w:r>
        <w:rPr>
          <w:rFonts w:hint="eastAsia" w:ascii="仿宋" w:hAnsi="仿宋" w:eastAsia="仿宋"/>
          <w:color w:val="000000"/>
          <w:sz w:val="32"/>
          <w:szCs w:val="32"/>
          <w:lang w:eastAsia="zh-CN"/>
        </w:rPr>
        <w:t>助学金、</w:t>
      </w:r>
      <w:r>
        <w:rPr>
          <w:rFonts w:hint="eastAsia" w:ascii="仿宋" w:hAnsi="仿宋" w:eastAsia="仿宋"/>
          <w:color w:val="000000"/>
          <w:sz w:val="32"/>
          <w:szCs w:val="32"/>
        </w:rPr>
        <w:t>奖励金</w:t>
      </w:r>
      <w:r>
        <w:rPr>
          <w:rFonts w:hint="eastAsia" w:ascii="仿宋" w:hAnsi="仿宋" w:eastAsia="仿宋"/>
          <w:color w:val="000000"/>
          <w:sz w:val="32"/>
          <w:szCs w:val="32"/>
          <w:lang w:eastAsia="zh-CN"/>
        </w:rPr>
        <w:t>和</w:t>
      </w:r>
      <w:r>
        <w:rPr>
          <w:rFonts w:hint="eastAsia" w:ascii="仿宋" w:hAnsi="仿宋" w:eastAsia="仿宋"/>
          <w:color w:val="000000"/>
          <w:sz w:val="32"/>
          <w:szCs w:val="32"/>
        </w:rPr>
        <w:t>其他对个人和家庭的补助支出。</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142.53</w:t>
      </w:r>
      <w:r>
        <w:rPr>
          <w:rFonts w:hint="eastAsia" w:ascii="仿宋" w:hAnsi="仿宋" w:eastAsia="仿宋"/>
          <w:color w:val="000000"/>
          <w:sz w:val="32"/>
          <w:szCs w:val="32"/>
        </w:rPr>
        <w:t>万元，主要包括：办公费、印刷费、手续费、差旅费、培训费、劳务费、工会经费、福利费、其他交通费</w:t>
      </w:r>
      <w:r>
        <w:rPr>
          <w:rFonts w:hint="eastAsia" w:ascii="仿宋" w:hAnsi="仿宋" w:eastAsia="仿宋"/>
          <w:color w:val="000000"/>
          <w:sz w:val="32"/>
          <w:szCs w:val="32"/>
          <w:lang w:eastAsia="zh-CN"/>
        </w:rPr>
        <w:t>和</w:t>
      </w:r>
      <w:r>
        <w:rPr>
          <w:rFonts w:hint="eastAsia" w:ascii="仿宋" w:hAnsi="仿宋" w:eastAsia="仿宋"/>
          <w:color w:val="000000"/>
          <w:sz w:val="32"/>
          <w:szCs w:val="32"/>
        </w:rPr>
        <w:t>其他商品和服务支出。</w:t>
      </w:r>
      <w:bookmarkStart w:id="49" w:name="_Toc15396609"/>
      <w:bookmarkStart w:id="50" w:name="_Toc1537721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7"/>
          <w:rFonts w:ascii="黑体" w:hAnsi="黑体" w:eastAsia="黑体"/>
          <w:b w:val="0"/>
          <w:color w:val="auto"/>
        </w:rPr>
      </w:pPr>
      <w:r>
        <w:rPr>
          <w:rFonts w:hint="eastAsia" w:ascii="黑体" w:eastAsia="黑体"/>
          <w:color w:val="auto"/>
          <w:sz w:val="32"/>
          <w:szCs w:val="32"/>
        </w:rPr>
        <w:t>七、</w:t>
      </w:r>
      <w:r>
        <w:rPr>
          <w:rStyle w:val="27"/>
          <w:rFonts w:hint="eastAsia" w:ascii="黑体" w:hAnsi="黑体" w:eastAsia="黑体"/>
          <w:color w:val="auto"/>
        </w:rPr>
        <w:t>“</w:t>
      </w:r>
      <w:r>
        <w:rPr>
          <w:rStyle w:val="27"/>
          <w:rFonts w:hint="eastAsia" w:ascii="黑体" w:hAnsi="黑体" w:eastAsia="黑体"/>
          <w:b w:val="0"/>
          <w:color w:val="auto"/>
        </w:rPr>
        <w:t>三公”经费财政拨款支出决算情况说明</w:t>
      </w:r>
      <w:bookmarkEnd w:id="49"/>
      <w:bookmarkEnd w:id="50"/>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仿宋" w:hAnsi="仿宋" w:eastAsia="仿宋"/>
          <w:b/>
          <w:color w:val="auto"/>
          <w:sz w:val="32"/>
          <w:szCs w:val="32"/>
        </w:rPr>
      </w:pPr>
      <w:bookmarkStart w:id="51" w:name="_Toc15377216"/>
      <w:r>
        <w:rPr>
          <w:rFonts w:hint="eastAsia" w:ascii="仿宋" w:hAnsi="仿宋" w:eastAsia="仿宋"/>
          <w:b/>
          <w:color w:val="auto"/>
          <w:sz w:val="32"/>
          <w:szCs w:val="32"/>
        </w:rPr>
        <w:t>（一）“三公”经费财政拨款支出决算总体情况说明</w:t>
      </w:r>
      <w:bookmarkEnd w:id="51"/>
    </w:p>
    <w:p>
      <w:pPr>
        <w:spacing w:line="560" w:lineRule="exact"/>
        <w:ind w:firstLine="640"/>
        <w:rPr>
          <w:rFonts w:ascii="仿宋" w:hAnsi="仿宋" w:eastAsia="仿宋"/>
          <w:color w:val="auto"/>
          <w:sz w:val="32"/>
          <w:szCs w:val="32"/>
        </w:rPr>
      </w:pPr>
      <w:bookmarkStart w:id="52" w:name="_Toc15377217"/>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年“三公”经费财政拨款支出决算为0万元，</w:t>
      </w:r>
      <w:r>
        <w:rPr>
          <w:rFonts w:hint="eastAsia" w:ascii="仿宋" w:hAnsi="仿宋" w:eastAsia="仿宋"/>
          <w:color w:val="auto"/>
          <w:sz w:val="32"/>
          <w:szCs w:val="32"/>
          <w:lang w:eastAsia="zh-CN"/>
        </w:rPr>
        <w:t>年初未安排</w:t>
      </w:r>
      <w:r>
        <w:rPr>
          <w:rFonts w:hint="eastAsia" w:ascii="仿宋" w:hAnsi="仿宋" w:eastAsia="仿宋"/>
          <w:color w:val="auto"/>
          <w:sz w:val="32"/>
          <w:szCs w:val="32"/>
        </w:rPr>
        <w:t>财政拨款支出</w:t>
      </w:r>
      <w:r>
        <w:rPr>
          <w:rFonts w:hint="eastAsia" w:ascii="仿宋" w:hAnsi="仿宋" w:eastAsia="仿宋"/>
          <w:color w:val="auto"/>
          <w:sz w:val="32"/>
          <w:szCs w:val="32"/>
          <w:lang w:eastAsia="zh-CN"/>
        </w:rPr>
        <w:t>预算</w:t>
      </w:r>
      <w:r>
        <w:rPr>
          <w:rFonts w:hint="eastAsia" w:ascii="仿宋" w:hAnsi="仿宋" w:eastAsia="仿宋"/>
          <w:color w:val="auto"/>
          <w:sz w:val="32"/>
          <w:szCs w:val="32"/>
        </w:rPr>
        <w:t>，“三公”经费支出均为财政专户管理资金支出</w:t>
      </w:r>
      <w:r>
        <w:rPr>
          <w:rFonts w:ascii="仿宋_GB2312" w:eastAsia="仿宋_GB2312"/>
          <w:color w:val="auto"/>
          <w:sz w:val="32"/>
          <w:szCs w:val="32"/>
        </w:rPr>
        <w:t>。</w:t>
      </w:r>
    </w:p>
    <w:p>
      <w:pPr>
        <w:spacing w:line="600" w:lineRule="exact"/>
        <w:ind w:firstLine="640"/>
        <w:outlineLvl w:val="2"/>
        <w:rPr>
          <w:rFonts w:ascii="仿宋" w:hAnsi="仿宋" w:eastAsia="仿宋"/>
          <w:b/>
          <w:color w:val="auto"/>
          <w:sz w:val="32"/>
          <w:szCs w:val="32"/>
        </w:rPr>
      </w:pPr>
      <w:r>
        <w:rPr>
          <w:rFonts w:hint="eastAsia" w:ascii="仿宋" w:hAnsi="仿宋" w:eastAsia="仿宋"/>
          <w:b/>
          <w:color w:val="auto"/>
          <w:sz w:val="32"/>
          <w:szCs w:val="32"/>
        </w:rPr>
        <w:t>（二）“三公”经费财政拨款支出决算具体情况说明</w:t>
      </w:r>
      <w:bookmarkEnd w:id="52"/>
    </w:p>
    <w:p>
      <w:pPr>
        <w:spacing w:line="600" w:lineRule="exact"/>
        <w:ind w:firstLine="64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2020</w:t>
      </w:r>
      <w:r>
        <w:rPr>
          <w:rFonts w:hint="eastAsia" w:ascii="仿宋" w:hAnsi="仿宋" w:eastAsia="仿宋"/>
          <w:color w:val="auto"/>
          <w:sz w:val="32"/>
          <w:szCs w:val="32"/>
        </w:rPr>
        <w:t>年“三公”经费财政拨款支出决算中，因公出国（境）费支出决算0万元；公务用车购置及运行维护费支出决算0万元；公务接待费支出决算0万元</w:t>
      </w:r>
      <w:r>
        <w:rPr>
          <w:rFonts w:hint="eastAsia" w:ascii="仿宋" w:hAnsi="仿宋" w:eastAsia="仿宋"/>
          <w:color w:val="auto"/>
          <w:sz w:val="32"/>
          <w:szCs w:val="32"/>
          <w:lang w:eastAsia="zh-CN"/>
        </w:rPr>
        <w:t>。</w:t>
      </w:r>
    </w:p>
    <w:p>
      <w:pPr>
        <w:numPr>
          <w:ilvl w:val="0"/>
          <w:numId w:val="0"/>
        </w:numPr>
        <w:spacing w:line="600" w:lineRule="exact"/>
        <w:ind w:firstLine="642" w:firstLineChars="200"/>
        <w:rPr>
          <w:rFonts w:hint="default" w:ascii="仿宋_GB2312" w:eastAsia="仿宋_GB2312"/>
          <w:color w:val="auto"/>
          <w:sz w:val="32"/>
          <w:szCs w:val="32"/>
          <w:lang w:val="en-US" w:eastAsia="zh-CN"/>
        </w:rPr>
      </w:pPr>
      <w:r>
        <w:rPr>
          <w:rFonts w:hint="eastAsia" w:ascii="仿宋_GB2312" w:eastAsia="仿宋_GB2312"/>
          <w:b/>
          <w:bCs w:val="0"/>
          <w:color w:val="auto"/>
          <w:sz w:val="32"/>
          <w:szCs w:val="32"/>
          <w:lang w:val="en-US" w:eastAsia="zh-CN"/>
        </w:rPr>
        <w:t>1.</w:t>
      </w:r>
      <w:r>
        <w:rPr>
          <w:rFonts w:hint="eastAsia" w:ascii="仿宋_GB2312" w:eastAsia="仿宋_GB2312"/>
          <w:b w:val="0"/>
          <w:bCs/>
          <w:color w:val="auto"/>
          <w:sz w:val="32"/>
          <w:szCs w:val="32"/>
        </w:rPr>
        <w:t>因公出国（境）经费支出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，年初未安排</w:t>
      </w:r>
      <w:r>
        <w:rPr>
          <w:rFonts w:hint="eastAsia" w:ascii="仿宋" w:hAnsi="仿宋" w:eastAsia="仿宋"/>
          <w:color w:val="auto"/>
          <w:sz w:val="32"/>
          <w:szCs w:val="32"/>
        </w:rPr>
        <w:t>财政拨款支出</w:t>
      </w:r>
      <w:r>
        <w:rPr>
          <w:rFonts w:hint="eastAsia" w:ascii="仿宋_GB2312" w:eastAsia="仿宋_GB2312"/>
          <w:color w:val="auto"/>
          <w:sz w:val="32"/>
          <w:szCs w:val="32"/>
          <w:lang w:eastAsia="zh-CN"/>
        </w:rPr>
        <w:t>预算，</w:t>
      </w:r>
      <w:r>
        <w:rPr>
          <w:rFonts w:hint="eastAsia" w:ascii="仿宋_GB2312" w:eastAsia="仿宋_GB2312"/>
          <w:color w:val="auto"/>
          <w:sz w:val="32"/>
          <w:szCs w:val="32"/>
        </w:rPr>
        <w:t>因公出国（境）支出决算</w:t>
      </w:r>
      <w:r>
        <w:rPr>
          <w:rFonts w:hint="eastAsia" w:ascii="仿宋_GB2312" w:eastAsia="仿宋_GB2312"/>
          <w:color w:val="auto"/>
          <w:sz w:val="32"/>
          <w:szCs w:val="32"/>
          <w:lang w:eastAsia="zh-CN"/>
        </w:rPr>
        <w:t>相</w:t>
      </w:r>
      <w:r>
        <w:rPr>
          <w:rFonts w:hint="eastAsia" w:ascii="仿宋_GB2312" w:eastAsia="仿宋_GB2312"/>
          <w:color w:val="auto"/>
          <w:sz w:val="32"/>
          <w:szCs w:val="32"/>
        </w:rPr>
        <w:t>比</w:t>
      </w:r>
      <w:r>
        <w:rPr>
          <w:rFonts w:ascii="仿宋_GB2312" w:eastAsia="仿宋_GB2312"/>
          <w:color w:val="auto"/>
          <w:sz w:val="32"/>
          <w:szCs w:val="32"/>
        </w:rPr>
        <w:t>20</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年无变化。</w:t>
      </w:r>
      <w:r>
        <w:rPr>
          <w:rFonts w:hint="eastAsia" w:ascii="仿宋_GB2312" w:eastAsia="仿宋_GB2312"/>
          <w:color w:val="auto"/>
          <w:sz w:val="32"/>
          <w:szCs w:val="32"/>
          <w:lang w:eastAsia="zh-CN"/>
        </w:rPr>
        <w:t>主要原因是我校</w:t>
      </w:r>
      <w:r>
        <w:rPr>
          <w:rFonts w:hint="eastAsia" w:ascii="仿宋_GB2312" w:eastAsia="仿宋_GB2312"/>
          <w:color w:val="auto"/>
          <w:sz w:val="32"/>
          <w:szCs w:val="32"/>
          <w:lang w:val="en-US" w:eastAsia="zh-CN"/>
        </w:rPr>
        <w:t>2020年未开展因公出国（境）活动。</w:t>
      </w:r>
    </w:p>
    <w:p>
      <w:pPr>
        <w:numPr>
          <w:ilvl w:val="0"/>
          <w:numId w:val="0"/>
        </w:numPr>
        <w:spacing w:line="600" w:lineRule="exact"/>
        <w:ind w:firstLine="642" w:firstLineChars="200"/>
        <w:rPr>
          <w:rFonts w:hint="eastAsia" w:ascii="仿宋_GB2312" w:eastAsia="仿宋_GB2312"/>
          <w:b/>
          <w:color w:val="auto"/>
          <w:sz w:val="32"/>
          <w:szCs w:val="32"/>
          <w:lang w:eastAsia="zh-CN"/>
        </w:rPr>
      </w:pPr>
      <w:r>
        <w:rPr>
          <w:rFonts w:hint="eastAsia" w:ascii="仿宋_GB2312" w:eastAsia="仿宋_GB2312"/>
          <w:b/>
          <w:bCs w:val="0"/>
          <w:color w:val="auto"/>
          <w:sz w:val="32"/>
          <w:szCs w:val="32"/>
          <w:lang w:val="en-US" w:eastAsia="zh-CN"/>
        </w:rPr>
        <w:t>2.</w:t>
      </w:r>
      <w:r>
        <w:rPr>
          <w:rFonts w:hint="eastAsia" w:ascii="仿宋_GB2312" w:eastAsia="仿宋_GB2312"/>
          <w:b w:val="0"/>
          <w:bCs/>
          <w:color w:val="auto"/>
          <w:sz w:val="32"/>
          <w:szCs w:val="32"/>
        </w:rPr>
        <w:t>公务用车购置及运行维护费支出</w:t>
      </w:r>
      <w:r>
        <w:rPr>
          <w:rFonts w:hint="eastAsia" w:ascii="仿宋_GB2312" w:eastAsia="仿宋_GB2312"/>
          <w:b w:val="0"/>
          <w:bCs/>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，年初未安排</w:t>
      </w:r>
      <w:r>
        <w:rPr>
          <w:rFonts w:hint="eastAsia" w:ascii="仿宋" w:hAnsi="仿宋" w:eastAsia="仿宋"/>
          <w:color w:val="auto"/>
          <w:sz w:val="32"/>
          <w:szCs w:val="32"/>
        </w:rPr>
        <w:t>财政拨款支出</w:t>
      </w:r>
      <w:r>
        <w:rPr>
          <w:rFonts w:hint="eastAsia" w:ascii="仿宋_GB2312" w:eastAsia="仿宋_GB2312"/>
          <w:color w:val="auto"/>
          <w:sz w:val="32"/>
          <w:szCs w:val="32"/>
          <w:lang w:eastAsia="zh-CN"/>
        </w:rPr>
        <w:t>预算，</w:t>
      </w:r>
      <w:r>
        <w:rPr>
          <w:rFonts w:hint="eastAsia" w:ascii="仿宋_GB2312" w:eastAsia="仿宋_GB2312"/>
          <w:color w:val="auto"/>
          <w:sz w:val="32"/>
          <w:szCs w:val="32"/>
        </w:rPr>
        <w:t>公务用车购置及运行维护费支出决算</w:t>
      </w:r>
      <w:r>
        <w:rPr>
          <w:rFonts w:hint="eastAsia" w:ascii="仿宋_GB2312" w:eastAsia="仿宋_GB2312"/>
          <w:color w:val="auto"/>
          <w:sz w:val="32"/>
          <w:szCs w:val="32"/>
          <w:lang w:eastAsia="zh-CN"/>
        </w:rPr>
        <w:t>相</w:t>
      </w:r>
      <w:r>
        <w:rPr>
          <w:rFonts w:hint="eastAsia" w:ascii="仿宋_GB2312" w:eastAsia="仿宋_GB2312"/>
          <w:color w:val="auto"/>
          <w:sz w:val="32"/>
          <w:szCs w:val="32"/>
        </w:rPr>
        <w:t>比</w:t>
      </w:r>
      <w:r>
        <w:rPr>
          <w:rFonts w:hint="eastAsia" w:ascii="仿宋_GB2312" w:eastAsia="仿宋_GB2312"/>
          <w:color w:val="auto"/>
          <w:sz w:val="32"/>
          <w:szCs w:val="32"/>
          <w:lang w:val="en-US" w:eastAsia="zh-CN"/>
        </w:rPr>
        <w:t>2019</w:t>
      </w:r>
      <w:r>
        <w:rPr>
          <w:rFonts w:hint="eastAsia" w:ascii="仿宋_GB2312" w:eastAsia="仿宋_GB2312"/>
          <w:color w:val="auto"/>
          <w:sz w:val="32"/>
          <w:szCs w:val="32"/>
        </w:rPr>
        <w:t>年</w:t>
      </w:r>
      <w:r>
        <w:rPr>
          <w:rFonts w:hint="eastAsia" w:ascii="仿宋_GB2312" w:eastAsia="仿宋_GB2312"/>
          <w:color w:val="auto"/>
          <w:sz w:val="32"/>
          <w:szCs w:val="32"/>
          <w:lang w:eastAsia="zh-CN"/>
        </w:rPr>
        <w:t>无变化。</w:t>
      </w:r>
      <w:r>
        <w:rPr>
          <w:rFonts w:hint="eastAsia" w:ascii="仿宋_GB2312" w:eastAsia="仿宋_GB2312"/>
          <w:color w:val="auto"/>
          <w:sz w:val="32"/>
          <w:szCs w:val="32"/>
        </w:rPr>
        <w:t>主要原因</w:t>
      </w:r>
      <w:r>
        <w:rPr>
          <w:rFonts w:hint="eastAsia" w:ascii="仿宋" w:hAnsi="仿宋" w:eastAsia="仿宋"/>
          <w:color w:val="auto"/>
          <w:sz w:val="32"/>
          <w:szCs w:val="32"/>
        </w:rPr>
        <w:t>我校</w:t>
      </w:r>
      <w:r>
        <w:rPr>
          <w:rFonts w:hint="eastAsia" w:ascii="仿宋" w:hAnsi="仿宋" w:eastAsia="仿宋"/>
          <w:color w:val="auto"/>
          <w:sz w:val="32"/>
          <w:szCs w:val="32"/>
          <w:lang w:val="en-US" w:eastAsia="zh-CN"/>
        </w:rPr>
        <w:t>2020</w:t>
      </w:r>
      <w:r>
        <w:rPr>
          <w:rFonts w:hint="eastAsia" w:ascii="仿宋" w:hAnsi="仿宋" w:eastAsia="仿宋"/>
          <w:color w:val="auto"/>
          <w:sz w:val="32"/>
          <w:szCs w:val="32"/>
        </w:rPr>
        <w:t>年</w:t>
      </w:r>
      <w:r>
        <w:rPr>
          <w:rFonts w:hint="eastAsia" w:ascii="仿宋" w:hAnsi="仿宋" w:eastAsia="仿宋"/>
          <w:color w:val="auto"/>
          <w:sz w:val="32"/>
          <w:szCs w:val="32"/>
          <w:lang w:eastAsia="zh-CN"/>
        </w:rPr>
        <w:t>未发生</w:t>
      </w:r>
      <w:r>
        <w:rPr>
          <w:rFonts w:hint="eastAsia" w:ascii="仿宋_GB2312" w:eastAsia="仿宋_GB2312"/>
          <w:b w:val="0"/>
          <w:bCs/>
          <w:color w:val="auto"/>
          <w:sz w:val="32"/>
          <w:szCs w:val="32"/>
        </w:rPr>
        <w:t>公务用车购置</w:t>
      </w:r>
      <w:r>
        <w:rPr>
          <w:rFonts w:hint="eastAsia" w:ascii="仿宋_GB2312" w:eastAsia="仿宋_GB2312"/>
          <w:b w:val="0"/>
          <w:bCs/>
          <w:color w:val="auto"/>
          <w:sz w:val="32"/>
          <w:szCs w:val="32"/>
          <w:lang w:eastAsia="zh-CN"/>
        </w:rPr>
        <w:t>费用，公务用车</w:t>
      </w:r>
      <w:r>
        <w:rPr>
          <w:rFonts w:hint="eastAsia" w:ascii="仿宋_GB2312" w:eastAsia="仿宋_GB2312"/>
          <w:b w:val="0"/>
          <w:bCs/>
          <w:color w:val="auto"/>
          <w:sz w:val="32"/>
          <w:szCs w:val="32"/>
        </w:rPr>
        <w:t>运行维护费</w:t>
      </w:r>
      <w:r>
        <w:rPr>
          <w:rFonts w:hint="eastAsia" w:ascii="仿宋" w:hAnsi="仿宋" w:eastAsia="仿宋"/>
          <w:color w:val="auto"/>
          <w:sz w:val="32"/>
          <w:szCs w:val="32"/>
        </w:rPr>
        <w:t>均为财政专户管理资金支出</w:t>
      </w:r>
      <w:r>
        <w:rPr>
          <w:rFonts w:ascii="仿宋_GB2312" w:eastAsia="仿宋_GB2312"/>
          <w:color w:val="auto"/>
          <w:sz w:val="32"/>
          <w:szCs w:val="32"/>
        </w:rPr>
        <w:t>。</w:t>
      </w:r>
    </w:p>
    <w:p>
      <w:pPr>
        <w:spacing w:line="600" w:lineRule="exact"/>
        <w:ind w:firstLine="642" w:firstLineChars="200"/>
        <w:rPr>
          <w:rFonts w:ascii="黑体" w:eastAsia="黑体"/>
          <w:color w:val="auto"/>
          <w:sz w:val="32"/>
          <w:szCs w:val="32"/>
        </w:rPr>
      </w:pPr>
      <w:r>
        <w:rPr>
          <w:rFonts w:hint="eastAsia" w:ascii="仿宋_GB2312" w:eastAsia="仿宋_GB2312"/>
          <w:b/>
          <w:color w:val="auto"/>
          <w:sz w:val="32"/>
          <w:szCs w:val="32"/>
          <w:lang w:val="en-US" w:eastAsia="zh-CN"/>
        </w:rPr>
        <w:t>3.</w:t>
      </w:r>
      <w:r>
        <w:rPr>
          <w:rFonts w:hint="eastAsia" w:ascii="仿宋_GB2312" w:eastAsia="仿宋_GB2312"/>
          <w:b w:val="0"/>
          <w:bCs/>
          <w:color w:val="auto"/>
          <w:sz w:val="32"/>
          <w:szCs w:val="32"/>
        </w:rPr>
        <w:t>公务接待费支出</w:t>
      </w:r>
      <w:r>
        <w:rPr>
          <w:rFonts w:hint="eastAsia" w:ascii="仿宋_GB2312" w:eastAsia="仿宋_GB2312"/>
          <w:b w:val="0"/>
          <w:bCs/>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，年初未安排</w:t>
      </w:r>
      <w:r>
        <w:rPr>
          <w:rFonts w:hint="eastAsia" w:ascii="仿宋" w:hAnsi="仿宋" w:eastAsia="仿宋"/>
          <w:color w:val="auto"/>
          <w:sz w:val="32"/>
          <w:szCs w:val="32"/>
        </w:rPr>
        <w:t>财政拨款支出</w:t>
      </w:r>
      <w:r>
        <w:rPr>
          <w:rFonts w:hint="eastAsia" w:ascii="仿宋_GB2312" w:eastAsia="仿宋_GB2312"/>
          <w:color w:val="auto"/>
          <w:sz w:val="32"/>
          <w:szCs w:val="32"/>
          <w:lang w:eastAsia="zh-CN"/>
        </w:rPr>
        <w:t>预算，</w:t>
      </w:r>
      <w:r>
        <w:rPr>
          <w:rFonts w:hint="eastAsia" w:ascii="仿宋_GB2312" w:eastAsia="仿宋_GB2312"/>
          <w:color w:val="auto"/>
          <w:sz w:val="32"/>
          <w:szCs w:val="32"/>
        </w:rPr>
        <w:t>公务接待费支出决算</w:t>
      </w:r>
      <w:r>
        <w:rPr>
          <w:rFonts w:hint="eastAsia" w:ascii="仿宋_GB2312" w:eastAsia="仿宋_GB2312"/>
          <w:color w:val="auto"/>
          <w:sz w:val="32"/>
          <w:szCs w:val="32"/>
          <w:lang w:eastAsia="zh-CN"/>
        </w:rPr>
        <w:t>相</w:t>
      </w:r>
      <w:r>
        <w:rPr>
          <w:rFonts w:hint="eastAsia" w:ascii="仿宋_GB2312" w:eastAsia="仿宋_GB2312"/>
          <w:color w:val="auto"/>
          <w:sz w:val="32"/>
          <w:szCs w:val="32"/>
        </w:rPr>
        <w:t>比</w:t>
      </w:r>
      <w:r>
        <w:rPr>
          <w:rFonts w:hint="eastAsia" w:ascii="仿宋_GB2312" w:eastAsia="仿宋_GB2312"/>
          <w:color w:val="auto"/>
          <w:sz w:val="32"/>
          <w:szCs w:val="32"/>
          <w:lang w:val="en-US" w:eastAsia="zh-CN"/>
        </w:rPr>
        <w:t>2019</w:t>
      </w:r>
      <w:r>
        <w:rPr>
          <w:rFonts w:hint="eastAsia" w:ascii="仿宋_GB2312" w:eastAsia="仿宋_GB2312"/>
          <w:color w:val="auto"/>
          <w:sz w:val="32"/>
          <w:szCs w:val="32"/>
        </w:rPr>
        <w:t>年</w:t>
      </w:r>
      <w:r>
        <w:rPr>
          <w:rFonts w:hint="eastAsia" w:ascii="仿宋_GB2312" w:eastAsia="仿宋_GB2312"/>
          <w:color w:val="auto"/>
          <w:sz w:val="32"/>
          <w:szCs w:val="32"/>
          <w:lang w:eastAsia="zh-CN"/>
        </w:rPr>
        <w:t>无变化</w:t>
      </w:r>
      <w:r>
        <w:rPr>
          <w:rFonts w:hint="eastAsia" w:ascii="仿宋_GB2312" w:eastAsia="仿宋_GB2312"/>
          <w:color w:val="auto"/>
          <w:sz w:val="32"/>
          <w:szCs w:val="32"/>
        </w:rPr>
        <w:t>。主要原因</w:t>
      </w:r>
      <w:r>
        <w:rPr>
          <w:rFonts w:hint="eastAsia" w:ascii="仿宋" w:hAnsi="仿宋" w:eastAsia="仿宋"/>
          <w:color w:val="auto"/>
          <w:sz w:val="32"/>
          <w:szCs w:val="32"/>
        </w:rPr>
        <w:t>我校</w:t>
      </w:r>
      <w:r>
        <w:rPr>
          <w:rFonts w:hint="eastAsia" w:ascii="仿宋" w:hAnsi="仿宋" w:eastAsia="仿宋"/>
          <w:color w:val="auto"/>
          <w:sz w:val="32"/>
          <w:szCs w:val="32"/>
          <w:lang w:val="en-US" w:eastAsia="zh-CN"/>
        </w:rPr>
        <w:t>2020</w:t>
      </w:r>
      <w:r>
        <w:rPr>
          <w:rFonts w:hint="eastAsia" w:ascii="仿宋" w:hAnsi="仿宋" w:eastAsia="仿宋"/>
          <w:color w:val="auto"/>
          <w:sz w:val="32"/>
          <w:szCs w:val="32"/>
        </w:rPr>
        <w:t>年</w:t>
      </w:r>
      <w:r>
        <w:rPr>
          <w:rFonts w:hint="eastAsia" w:ascii="仿宋" w:hAnsi="仿宋" w:eastAsia="仿宋"/>
          <w:color w:val="auto"/>
          <w:sz w:val="32"/>
          <w:szCs w:val="32"/>
          <w:lang w:eastAsia="zh-CN"/>
        </w:rPr>
        <w:t>公务接待费</w:t>
      </w:r>
      <w:r>
        <w:rPr>
          <w:rFonts w:hint="eastAsia" w:ascii="仿宋" w:hAnsi="仿宋" w:eastAsia="仿宋"/>
          <w:color w:val="auto"/>
          <w:sz w:val="32"/>
          <w:szCs w:val="32"/>
        </w:rPr>
        <w:t>均为财政专户管理资金支出</w:t>
      </w:r>
      <w:r>
        <w:rPr>
          <w:rFonts w:ascii="仿宋_GB2312" w:eastAsia="仿宋_GB2312"/>
          <w:color w:val="auto"/>
          <w:sz w:val="32"/>
          <w:szCs w:val="32"/>
        </w:rPr>
        <w:t>。</w:t>
      </w:r>
      <w:bookmarkStart w:id="53" w:name="_Toc15377218"/>
      <w:bookmarkStart w:id="54" w:name="_Toc15396610"/>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53"/>
      <w:bookmarkEnd w:id="5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736.09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。我校</w:t>
      </w:r>
      <w:r>
        <w:rPr>
          <w:rFonts w:hint="eastAsia" w:ascii="仿宋_GB2312" w:eastAsia="仿宋_GB2312"/>
          <w:color w:val="000000"/>
          <w:sz w:val="32"/>
          <w:szCs w:val="32"/>
          <w:lang w:val="en-US" w:eastAsia="zh-CN"/>
        </w:rPr>
        <w:t>2020年未在政府性基金预算拨款安排“三公经费”支出。</w:t>
      </w:r>
    </w:p>
    <w:p>
      <w:pPr>
        <w:numPr>
          <w:ilvl w:val="0"/>
          <w:numId w:val="3"/>
        </w:numPr>
        <w:spacing w:line="600" w:lineRule="exact"/>
        <w:ind w:firstLine="640"/>
        <w:outlineLvl w:val="1"/>
        <w:rPr>
          <w:rStyle w:val="27"/>
          <w:rFonts w:ascii="黑体" w:hAnsi="黑体" w:eastAsia="黑体"/>
          <w:b w:val="0"/>
        </w:rPr>
      </w:pPr>
      <w:bookmarkStart w:id="55" w:name="_Toc15377219"/>
      <w:bookmarkStart w:id="56" w:name="_Toc15396611"/>
      <w:r>
        <w:rPr>
          <w:rStyle w:val="27"/>
          <w:rFonts w:hint="eastAsia" w:ascii="黑体" w:hAnsi="黑体" w:eastAsia="黑体"/>
          <w:b w:val="0"/>
        </w:rPr>
        <w:t>国有资本经营预算支出决算情况说明</w:t>
      </w:r>
      <w:bookmarkEnd w:id="55"/>
      <w:bookmarkEnd w:id="56"/>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7"/>
          <w:rFonts w:ascii="黑体" w:hAnsi="黑体" w:eastAsia="黑体"/>
        </w:rPr>
      </w:pPr>
      <w:bookmarkStart w:id="57" w:name="_Toc15396612"/>
      <w:bookmarkStart w:id="58"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57"/>
      <w:bookmarkEnd w:id="58"/>
    </w:p>
    <w:p>
      <w:pPr>
        <w:spacing w:line="600" w:lineRule="exact"/>
        <w:ind w:firstLine="642" w:firstLineChars="200"/>
        <w:outlineLvl w:val="2"/>
        <w:rPr>
          <w:rFonts w:ascii="仿宋" w:hAnsi="仿宋" w:eastAsia="仿宋"/>
          <w:color w:val="000000"/>
          <w:sz w:val="32"/>
          <w:szCs w:val="32"/>
        </w:rPr>
      </w:pPr>
      <w:bookmarkStart w:id="59" w:name="_Toc15377222"/>
      <w:r>
        <w:rPr>
          <w:rFonts w:hint="eastAsia" w:ascii="仿宋" w:hAnsi="仿宋" w:eastAsia="仿宋"/>
          <w:b/>
          <w:color w:val="000000"/>
          <w:sz w:val="32"/>
          <w:szCs w:val="32"/>
        </w:rPr>
        <w:t>（一）机关运行经费支出情况</w:t>
      </w:r>
      <w:bookmarkEnd w:id="59"/>
    </w:p>
    <w:p>
      <w:pPr>
        <w:autoSpaceDE w:val="0"/>
        <w:autoSpaceDN w:val="0"/>
        <w:adjustRightInd w:val="0"/>
        <w:spacing w:line="600" w:lineRule="exact"/>
        <w:ind w:firstLine="640" w:firstLineChars="200"/>
        <w:jc w:val="left"/>
        <w:outlineLvl w:val="2"/>
        <w:rPr>
          <w:rFonts w:hint="eastAsia" w:ascii="仿宋" w:hAnsi="仿宋" w:eastAsia="仿宋"/>
          <w:b w:val="0"/>
          <w:bCs/>
          <w:color w:val="000000"/>
          <w:sz w:val="32"/>
          <w:szCs w:val="32"/>
          <w:lang w:val="en-US" w:eastAsia="zh-CN"/>
        </w:rPr>
      </w:pPr>
      <w:bookmarkStart w:id="60" w:name="_Toc15377223"/>
      <w:r>
        <w:rPr>
          <w:rFonts w:hint="eastAsia" w:ascii="仿宋" w:hAnsi="仿宋" w:eastAsia="仿宋"/>
          <w:b w:val="0"/>
          <w:bCs/>
          <w:color w:val="000000"/>
          <w:sz w:val="32"/>
          <w:szCs w:val="32"/>
          <w:lang w:val="en-US" w:eastAsia="zh-CN"/>
        </w:rPr>
        <w:t xml:space="preserve"> 我校无机关运行经费支出。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60"/>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我校</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403.04</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334.16</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68.88</w:t>
      </w:r>
      <w:r>
        <w:rPr>
          <w:rFonts w:hint="eastAsia" w:ascii="仿宋_GB2312" w:eastAsia="仿宋_GB2312"/>
          <w:color w:val="000000"/>
          <w:sz w:val="32"/>
          <w:szCs w:val="32"/>
        </w:rPr>
        <w:t>万元。主要用于学校学生生活及实习</w:t>
      </w:r>
      <w:r>
        <w:rPr>
          <w:rFonts w:ascii="仿宋_GB2312" w:eastAsia="仿宋_GB2312"/>
          <w:color w:val="000000"/>
          <w:sz w:val="32"/>
          <w:szCs w:val="32"/>
        </w:rPr>
        <w:t>实训设备</w:t>
      </w:r>
      <w:r>
        <w:rPr>
          <w:rFonts w:hint="eastAsia" w:ascii="仿宋_GB2312" w:eastAsia="仿宋_GB2312"/>
          <w:color w:val="000000"/>
          <w:sz w:val="32"/>
          <w:szCs w:val="32"/>
        </w:rPr>
        <w:t>、教学</w:t>
      </w:r>
      <w:r>
        <w:rPr>
          <w:rFonts w:ascii="仿宋_GB2312" w:eastAsia="仿宋_GB2312"/>
          <w:color w:val="000000"/>
          <w:sz w:val="32"/>
          <w:szCs w:val="32"/>
        </w:rPr>
        <w:t>办公设备</w:t>
      </w:r>
      <w:r>
        <w:rPr>
          <w:rFonts w:hint="eastAsia" w:ascii="仿宋_GB2312" w:eastAsia="仿宋_GB2312"/>
          <w:color w:val="000000"/>
          <w:sz w:val="32"/>
          <w:szCs w:val="32"/>
        </w:rPr>
        <w:t>、</w:t>
      </w:r>
      <w:r>
        <w:rPr>
          <w:rFonts w:ascii="仿宋_GB2312" w:eastAsia="仿宋_GB2312"/>
          <w:color w:val="000000"/>
          <w:sz w:val="32"/>
          <w:szCs w:val="32"/>
        </w:rPr>
        <w:t>信息化软件</w:t>
      </w:r>
      <w:r>
        <w:rPr>
          <w:rFonts w:hint="eastAsia" w:ascii="仿宋_GB2312" w:eastAsia="仿宋_GB2312"/>
          <w:color w:val="000000"/>
          <w:sz w:val="32"/>
          <w:szCs w:val="32"/>
        </w:rPr>
        <w:t>等</w:t>
      </w:r>
      <w:r>
        <w:rPr>
          <w:rFonts w:ascii="仿宋_GB2312" w:eastAsia="仿宋_GB2312"/>
          <w:color w:val="000000"/>
          <w:sz w:val="32"/>
          <w:szCs w:val="32"/>
        </w:rPr>
        <w:t>购置支出</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29.50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7.32</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61" w:name="_Toc15377224"/>
      <w:r>
        <w:rPr>
          <w:rFonts w:hint="eastAsia" w:ascii="仿宋" w:hAnsi="仿宋" w:eastAsia="仿宋"/>
          <w:b/>
          <w:color w:val="000000"/>
          <w:sz w:val="32"/>
          <w:szCs w:val="32"/>
        </w:rPr>
        <w:t>（三）国有资产占有使用情况</w:t>
      </w:r>
      <w:bookmarkEnd w:id="61"/>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我校</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均为其他用车。</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我校</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年部门整体支出开展绩效自评，从评价情况来</w:t>
      </w:r>
      <w:r>
        <w:rPr>
          <w:rFonts w:hint="eastAsia" w:ascii="仿宋_GB2312" w:hAnsi="仿宋_GB2312" w:eastAsia="仿宋_GB2312" w:cs="仿宋_GB2312"/>
          <w:sz w:val="32"/>
          <w:szCs w:val="32"/>
          <w:lang w:eastAsia="zh-CN"/>
        </w:rPr>
        <w:t>整体运行情况较好，保障学校正常运转</w:t>
      </w:r>
      <w:r>
        <w:rPr>
          <w:rFonts w:hint="eastAsia" w:ascii="仿宋_GB2312" w:hAnsi="仿宋_GB2312" w:eastAsia="仿宋_GB2312" w:cs="仿宋_GB2312"/>
          <w:sz w:val="32"/>
          <w:szCs w:val="32"/>
        </w:rPr>
        <w:t>。</w:t>
      </w:r>
      <w:r>
        <w:rPr>
          <w:rFonts w:hint="eastAsia" w:ascii="仿宋" w:hAnsi="仿宋" w:eastAsia="仿宋"/>
          <w:color w:val="000000"/>
          <w:sz w:val="32"/>
          <w:szCs w:val="32"/>
        </w:rPr>
        <w:t>本部门还自行组织了</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个项目支出绩效评价，从评价情况来看</w:t>
      </w:r>
      <w:r>
        <w:rPr>
          <w:rFonts w:hint="eastAsia" w:ascii="仿宋_GB2312" w:hAnsi="仿宋_GB2312" w:eastAsia="仿宋_GB2312" w:cs="仿宋_GB2312"/>
          <w:sz w:val="32"/>
          <w:szCs w:val="32"/>
          <w:lang w:eastAsia="zh-CN"/>
        </w:rPr>
        <w:t>各类项目稳步进行，促进学校可持续发展。</w:t>
      </w:r>
    </w:p>
    <w:p>
      <w:pPr>
        <w:numPr>
          <w:ilvl w:val="0"/>
          <w:numId w:val="4"/>
        </w:numPr>
        <w:spacing w:line="58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val="en-US" w:eastAsia="zh-CN"/>
        </w:rPr>
        <w:t>2020年学生资助补助经费（高等教育）</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、“高校共建与发展专项资金”、“2020年现代职业教育质量提升计划专项资金”等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w:t>
      </w:r>
      <w:r>
        <w:rPr>
          <w:rFonts w:hint="eastAsia" w:ascii="仿宋_GB2312" w:hAnsi="仿宋_GB2312" w:eastAsia="仿宋_GB2312" w:cs="仿宋_GB2312"/>
          <w:color w:val="auto"/>
          <w:sz w:val="32"/>
          <w:szCs w:val="32"/>
        </w:rPr>
        <w:t>绩效目标实际完成情况。</w:t>
      </w:r>
    </w:p>
    <w:p>
      <w:pPr>
        <w:numPr>
          <w:ilvl w:val="0"/>
          <w:numId w:val="0"/>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（1）“2020年学生资助补助经费（高等教育）”</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814.43</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814.43</w:t>
      </w:r>
      <w:r>
        <w:rPr>
          <w:rFonts w:hint="eastAsia" w:ascii="仿宋_GB2312" w:hAnsi="仿宋_GB2312" w:eastAsia="仿宋_GB2312" w:cs="仿宋_GB2312"/>
          <w:color w:val="auto"/>
          <w:sz w:val="32"/>
          <w:szCs w:val="32"/>
        </w:rPr>
        <w:t>万元，完成预</w:t>
      </w:r>
      <w:r>
        <w:rPr>
          <w:rFonts w:hint="eastAsia" w:ascii="仿宋_GB2312" w:hAnsi="仿宋_GB2312" w:eastAsia="仿宋_GB2312" w:cs="仿宋_GB2312"/>
          <w:sz w:val="32"/>
          <w:szCs w:val="32"/>
        </w:rPr>
        <w:t>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通过项目实施，</w:t>
      </w:r>
      <w:r>
        <w:rPr>
          <w:rFonts w:hint="eastAsia" w:ascii="仿宋_GB2312" w:hAnsi="仿宋_GB2312" w:eastAsia="仿宋_GB2312" w:cs="仿宋_GB2312"/>
          <w:color w:val="auto"/>
          <w:sz w:val="32"/>
          <w:szCs w:val="32"/>
          <w:lang w:eastAsia="zh-CN"/>
        </w:rPr>
        <w:t>有效</w:t>
      </w:r>
      <w:r>
        <w:rPr>
          <w:rFonts w:hint="eastAsia" w:ascii="仿宋" w:hAnsi="仿宋" w:eastAsia="仿宋" w:cs="仿宋_GB2312"/>
          <w:sz w:val="32"/>
          <w:szCs w:val="32"/>
        </w:rPr>
        <w:t>减轻了贫困学生家庭负担</w:t>
      </w:r>
      <w:r>
        <w:rPr>
          <w:rFonts w:hint="eastAsia" w:ascii="仿宋" w:hAnsi="仿宋" w:eastAsia="仿宋" w:cs="仿宋_GB2312"/>
          <w:sz w:val="32"/>
          <w:szCs w:val="32"/>
          <w:lang w:eastAsia="zh-CN"/>
        </w:rPr>
        <w:t>，激励学生成长成才</w:t>
      </w:r>
      <w:r>
        <w:rPr>
          <w:rFonts w:hint="eastAsia" w:ascii="仿宋_GB2312" w:hAnsi="仿宋_GB2312" w:eastAsia="仿宋_GB2312" w:cs="仿宋_GB2312"/>
          <w:color w:val="auto"/>
          <w:sz w:val="32"/>
          <w:szCs w:val="32"/>
        </w:rPr>
        <w:t>。发现的主要问题:</w:t>
      </w:r>
      <w:r>
        <w:rPr>
          <w:rFonts w:hint="eastAsia" w:ascii="仿宋_GB2312" w:hAnsi="仿宋_GB2312" w:eastAsia="仿宋_GB2312" w:cs="仿宋_GB2312"/>
          <w:color w:val="auto"/>
          <w:sz w:val="32"/>
          <w:szCs w:val="32"/>
          <w:lang w:eastAsia="zh-CN"/>
        </w:rPr>
        <w:t>少数学生提供银行卡号迟缓或卡号不准确，给支付资金带来一定困难</w:t>
      </w:r>
      <w:r>
        <w:rPr>
          <w:rFonts w:hint="eastAsia" w:ascii="仿宋_GB2312" w:hAnsi="仿宋_GB2312" w:eastAsia="仿宋_GB2312" w:cs="仿宋_GB2312"/>
          <w:color w:val="auto"/>
          <w:sz w:val="32"/>
          <w:szCs w:val="32"/>
        </w:rPr>
        <w:t>。下一步改进措施:将培养青年学生全面发展作为资助育人工作的总目标，要抓住“培育和践行社会主义核心价值观”这一核心命题，引导大学生健康成长、建功立业；要加强励志教育、诚信教育和社会责任感教育“三项教育”，培养青年学生自立自强、诚实守信、知恩感恩、勇于担当的良好品质。</w:t>
      </w:r>
    </w:p>
    <w:p>
      <w:pPr>
        <w:numPr>
          <w:ilvl w:val="0"/>
          <w:numId w:val="0"/>
        </w:num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lang w:eastAsia="zh-CN"/>
        </w:rPr>
        <w:t>高校共建与发展专项资金（公费师范生补助）”</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174.35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174.35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通过项目实施，保障</w:t>
      </w:r>
      <w:r>
        <w:rPr>
          <w:rFonts w:hint="eastAsia" w:ascii="仿宋_GB2312" w:hAnsi="仿宋_GB2312" w:eastAsia="仿宋_GB2312" w:cs="仿宋_GB2312"/>
          <w:color w:val="auto"/>
          <w:sz w:val="32"/>
          <w:szCs w:val="32"/>
          <w:lang w:eastAsia="zh-CN"/>
        </w:rPr>
        <w:t>了公费师范生定向培养的专款专用，为学生提供生活补助、减轻经济压力，顺利完成学业。</w:t>
      </w:r>
      <w:r>
        <w:rPr>
          <w:rFonts w:hint="eastAsia" w:ascii="仿宋_GB2312" w:hAnsi="仿宋_GB2312" w:eastAsia="仿宋_GB2312" w:cs="仿宋_GB2312"/>
          <w:color w:val="auto"/>
          <w:sz w:val="32"/>
          <w:szCs w:val="32"/>
        </w:rPr>
        <w:t>下一步措施:</w:t>
      </w:r>
      <w:r>
        <w:rPr>
          <w:rFonts w:hint="eastAsia" w:ascii="仿宋_GB2312" w:hAnsi="仿宋_GB2312" w:eastAsia="仿宋_GB2312" w:cs="仿宋_GB2312"/>
          <w:color w:val="auto"/>
          <w:sz w:val="32"/>
          <w:szCs w:val="32"/>
          <w:lang w:val="zh-CN" w:eastAsia="zh-CN"/>
        </w:rPr>
        <w:t>积极贯彻落实党中央、国务院决策部署，认真做好公费师范生培养补助项目，全面推进精准资助，确保资助政策的有效落实。</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年高校共建与发展专项资金（困难大学生就业帮扶与就业工作经费）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18.36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18.36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%。通过该项目的实施，促进了</w:t>
      </w:r>
      <w:r>
        <w:rPr>
          <w:rFonts w:hint="eastAsia" w:ascii="仿宋_GB2312" w:hAnsi="仿宋_GB2312" w:eastAsia="仿宋_GB2312" w:cs="仿宋_GB2312"/>
          <w:sz w:val="32"/>
          <w:szCs w:val="32"/>
          <w:lang w:val="en-US" w:eastAsia="zh-CN"/>
        </w:rPr>
        <w:t>306</w:t>
      </w:r>
      <w:r>
        <w:rPr>
          <w:rFonts w:hint="eastAsia" w:ascii="仿宋_GB2312" w:hAnsi="仿宋_GB2312" w:eastAsia="仿宋_GB2312" w:cs="仿宋_GB2312"/>
          <w:sz w:val="32"/>
          <w:szCs w:val="32"/>
        </w:rPr>
        <w:t>名困难大学生的就业问题，减轻家庭经济困难毕业生经济压力，</w:t>
      </w:r>
      <w:r>
        <w:rPr>
          <w:rFonts w:hint="eastAsia" w:ascii="仿宋_GB2312" w:hAnsi="仿宋_GB2312" w:eastAsia="仿宋_GB2312" w:cs="仿宋_GB2312"/>
          <w:sz w:val="32"/>
          <w:szCs w:val="32"/>
          <w:lang w:eastAsia="zh-CN"/>
        </w:rPr>
        <w:t>帮助</w:t>
      </w:r>
      <w:r>
        <w:rPr>
          <w:rFonts w:hint="eastAsia" w:ascii="仿宋_GB2312" w:hAnsi="仿宋_GB2312" w:eastAsia="仿宋_GB2312" w:cs="仿宋_GB2312"/>
          <w:sz w:val="32"/>
          <w:szCs w:val="32"/>
        </w:rPr>
        <w:t>困难大学生顺利就业。发现问题：</w:t>
      </w:r>
      <w:r>
        <w:rPr>
          <w:rFonts w:hint="eastAsia" w:ascii="仿宋_GB2312" w:hAnsi="仿宋_GB2312" w:eastAsia="仿宋_GB2312" w:cs="仿宋_GB2312"/>
          <w:sz w:val="32"/>
          <w:szCs w:val="32"/>
          <w:lang w:eastAsia="zh-CN"/>
        </w:rPr>
        <w:t>少数困难大学生就业观念偏差，存在缓就业想法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下一步措施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要通过各种途径和方式帮助贫困大学生树立起正确的就业观</w:t>
      </w:r>
      <w:r>
        <w:rPr>
          <w:rFonts w:hint="eastAsia" w:ascii="仿宋_GB2312" w:hAnsi="仿宋_GB2312" w:eastAsia="仿宋_GB2312" w:cs="仿宋_GB2312"/>
          <w:sz w:val="32"/>
          <w:szCs w:val="32"/>
          <w:lang w:eastAsia="zh-CN"/>
        </w:rPr>
        <w:t>，消除自卑心理，</w:t>
      </w:r>
      <w:r>
        <w:rPr>
          <w:rFonts w:hint="eastAsia" w:ascii="仿宋_GB2312" w:hAnsi="仿宋_GB2312" w:eastAsia="仿宋_GB2312" w:cs="仿宋_GB2312"/>
          <w:sz w:val="32"/>
          <w:szCs w:val="32"/>
        </w:rPr>
        <w:t>主动</w:t>
      </w:r>
      <w:r>
        <w:rPr>
          <w:rFonts w:hint="eastAsia" w:ascii="仿宋_GB2312" w:hAnsi="仿宋_GB2312" w:eastAsia="仿宋_GB2312" w:cs="仿宋_GB2312"/>
          <w:sz w:val="32"/>
          <w:szCs w:val="32"/>
          <w:lang w:eastAsia="zh-CN"/>
        </w:rPr>
        <w:t>、积极参与</w:t>
      </w:r>
      <w:r>
        <w:rPr>
          <w:rFonts w:hint="eastAsia" w:ascii="仿宋_GB2312" w:hAnsi="仿宋_GB2312" w:eastAsia="仿宋_GB2312" w:cs="仿宋_GB2312"/>
          <w:sz w:val="32"/>
          <w:szCs w:val="32"/>
        </w:rPr>
        <w:t>就业竞争</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eastAsia="zh-CN"/>
        </w:rPr>
        <w:t>就业</w:t>
      </w:r>
      <w:r>
        <w:rPr>
          <w:rFonts w:hint="eastAsia" w:ascii="仿宋_GB2312" w:hAnsi="仿宋_GB2312" w:eastAsia="仿宋_GB2312" w:cs="仿宋_GB2312"/>
          <w:sz w:val="32"/>
          <w:szCs w:val="32"/>
        </w:rPr>
        <w:t>渠道上给予支持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建设和完善学校毕业生就业市场，进一步拓宽就业渠道</w:t>
      </w:r>
      <w:r>
        <w:rPr>
          <w:rFonts w:hint="eastAsia" w:ascii="仿宋_GB2312" w:hAnsi="仿宋_GB2312" w:eastAsia="仿宋_GB2312" w:cs="仿宋_GB2312"/>
          <w:sz w:val="32"/>
          <w:szCs w:val="32"/>
          <w:lang w:eastAsia="zh-CN"/>
        </w:rPr>
        <w:t>。</w:t>
      </w:r>
    </w:p>
    <w:p>
      <w:pPr>
        <w:numPr>
          <w:ilvl w:val="0"/>
          <w:numId w:val="0"/>
        </w:numPr>
        <w:spacing w:line="580" w:lineRule="exact"/>
        <w:ind w:firstLine="640" w:firstLineChars="200"/>
        <w:rPr>
          <w:rFonts w:hint="eastAsia" w:ascii="仿宋" w:hAnsi="仿宋" w:eastAsia="仿宋_GB2312" w:cs="仿宋_GB2312"/>
          <w:color w:val="auto"/>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彩票公益金支出—2020年9月临时价格补贴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8.33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8.33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通过项目实施，</w:t>
      </w:r>
      <w:r>
        <w:rPr>
          <w:rFonts w:hint="eastAsia" w:ascii="仿宋_GB2312" w:hAnsi="仿宋_GB2312" w:eastAsia="仿宋_GB2312" w:cs="仿宋_GB2312"/>
          <w:color w:val="auto"/>
          <w:sz w:val="32"/>
          <w:szCs w:val="32"/>
          <w:lang w:eastAsia="zh-CN"/>
        </w:rPr>
        <w:t>为学生提供生活补助，减轻经济压力，顺利完成学业。</w:t>
      </w:r>
      <w:r>
        <w:rPr>
          <w:rFonts w:hint="eastAsia" w:ascii="仿宋_GB2312" w:hAnsi="仿宋_GB2312" w:eastAsia="仿宋_GB2312" w:cs="仿宋_GB2312"/>
          <w:color w:val="auto"/>
          <w:sz w:val="32"/>
          <w:szCs w:val="32"/>
        </w:rPr>
        <w:t>下一步措施:</w:t>
      </w:r>
      <w:r>
        <w:rPr>
          <w:rFonts w:hint="eastAsia" w:ascii="仿宋_GB2312" w:hAnsi="仿宋_GB2312" w:eastAsia="仿宋_GB2312" w:cs="仿宋_GB2312"/>
          <w:color w:val="auto"/>
          <w:sz w:val="32"/>
          <w:szCs w:val="32"/>
          <w:lang w:val="zh-CN" w:eastAsia="zh-CN"/>
        </w:rPr>
        <w:t>认真做好价格补贴项目，确保补贴政策的有效落实。</w:t>
      </w:r>
    </w:p>
    <w:p>
      <w:pPr>
        <w:snapToGrid w:val="0"/>
        <w:spacing w:line="560" w:lineRule="exact"/>
        <w:ind w:firstLine="640" w:firstLineChars="200"/>
        <w:jc w:val="both"/>
        <w:rPr>
          <w:rFonts w:hint="eastAsia" w:ascii="仿宋" w:hAnsi="仿宋" w:eastAsia="仿宋"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年现代职业教育质量提升计划专项资金（高职生均拨款奖补）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293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293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 w:hAnsi="仿宋" w:eastAsia="仿宋" w:cs="Times New Roman"/>
          <w:sz w:val="32"/>
          <w:szCs w:val="32"/>
        </w:rPr>
        <w:t>学校进一步改善了办学条件，</w:t>
      </w:r>
      <w:r>
        <w:rPr>
          <w:rFonts w:hint="eastAsia" w:ascii="仿宋" w:hAnsi="仿宋" w:eastAsia="仿宋" w:cs="楷体"/>
          <w:sz w:val="32"/>
          <w:szCs w:val="32"/>
        </w:rPr>
        <w:t>推进了基础能力标准化建设</w:t>
      </w:r>
      <w:r>
        <w:rPr>
          <w:rFonts w:hint="eastAsia" w:ascii="仿宋" w:hAnsi="仿宋" w:eastAsia="仿宋" w:cs="楷体"/>
          <w:sz w:val="32"/>
          <w:szCs w:val="32"/>
          <w:lang w:eastAsia="zh-CN"/>
        </w:rPr>
        <w:t>，</w:t>
      </w:r>
      <w:r>
        <w:rPr>
          <w:rFonts w:ascii="仿宋" w:hAnsi="仿宋" w:eastAsia="仿宋" w:cs="Times New Roman"/>
          <w:sz w:val="32"/>
          <w:szCs w:val="32"/>
        </w:rPr>
        <w:t>丰富了专业建设内涵，提高了师</w:t>
      </w:r>
      <w:r>
        <w:rPr>
          <w:rFonts w:hint="eastAsia" w:ascii="仿宋" w:hAnsi="仿宋" w:eastAsia="仿宋" w:cs="Times New Roman"/>
          <w:sz w:val="32"/>
          <w:szCs w:val="32"/>
          <w:lang w:val="en-US" w:eastAsia="zh-CN"/>
        </w:rPr>
        <w:t>·</w:t>
      </w:r>
      <w:r>
        <w:rPr>
          <w:rFonts w:ascii="仿宋" w:hAnsi="仿宋" w:eastAsia="仿宋" w:cs="Times New Roman"/>
          <w:sz w:val="32"/>
          <w:szCs w:val="32"/>
        </w:rPr>
        <w:t>资队伍水平</w:t>
      </w:r>
      <w:r>
        <w:rPr>
          <w:rFonts w:hint="eastAsia" w:ascii="仿宋" w:hAnsi="仿宋" w:eastAsia="仿宋" w:cs="Times New Roman"/>
          <w:sz w:val="32"/>
          <w:szCs w:val="32"/>
          <w:lang w:eastAsia="zh-CN"/>
        </w:rPr>
        <w:t>和</w:t>
      </w:r>
      <w:r>
        <w:rPr>
          <w:rFonts w:ascii="仿宋" w:hAnsi="仿宋" w:eastAsia="仿宋" w:cs="Times New Roman"/>
          <w:sz w:val="32"/>
          <w:szCs w:val="32"/>
        </w:rPr>
        <w:t>人才培养质量</w:t>
      </w:r>
      <w:r>
        <w:rPr>
          <w:rFonts w:hint="eastAsia" w:ascii="仿宋" w:hAnsi="仿宋" w:eastAsia="仿宋" w:cs="Times New Roman"/>
          <w:sz w:val="32"/>
          <w:szCs w:val="32"/>
          <w:lang w:eastAsia="zh-CN"/>
        </w:rPr>
        <w:t>，</w:t>
      </w:r>
      <w:r>
        <w:rPr>
          <w:rFonts w:ascii="仿宋" w:hAnsi="仿宋" w:eastAsia="仿宋" w:cs="Times New Roman"/>
          <w:sz w:val="32"/>
          <w:szCs w:val="32"/>
        </w:rPr>
        <w:t>加强了</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1+X”证书制度试点</w:t>
      </w:r>
      <w:r>
        <w:rPr>
          <w:rFonts w:ascii="仿宋" w:hAnsi="仿宋" w:eastAsia="仿宋" w:cs="Times New Roman"/>
          <w:sz w:val="32"/>
          <w:szCs w:val="32"/>
        </w:rPr>
        <w:t>和现代学徒制试点工作探索。</w:t>
      </w:r>
      <w:r>
        <w:rPr>
          <w:rFonts w:hint="eastAsia" w:ascii="仿宋_GB2312" w:hAnsi="仿宋_GB2312" w:eastAsia="仿宋_GB2312" w:cs="仿宋_GB2312"/>
          <w:sz w:val="32"/>
          <w:szCs w:val="32"/>
          <w:lang w:eastAsia="zh-CN"/>
        </w:rPr>
        <w:t>下一步改进措施：</w:t>
      </w:r>
      <w:r>
        <w:rPr>
          <w:rFonts w:hint="eastAsia" w:ascii="仿宋" w:hAnsi="仿宋" w:eastAsia="仿宋" w:cs="Times New Roman"/>
          <w:b w:val="0"/>
          <w:bCs/>
          <w:sz w:val="32"/>
          <w:szCs w:val="32"/>
          <w:lang w:eastAsia="zh-CN"/>
        </w:rPr>
        <w:t>一</w:t>
      </w:r>
      <w:r>
        <w:rPr>
          <w:rFonts w:hint="eastAsia" w:ascii="仿宋" w:hAnsi="仿宋" w:eastAsia="仿宋" w:cs="Times New Roman"/>
          <w:b w:val="0"/>
          <w:bCs/>
          <w:sz w:val="32"/>
          <w:szCs w:val="32"/>
        </w:rPr>
        <w:t>是在优化布局的基础上，改扩建校内实训场地，特别要支持“</w:t>
      </w:r>
      <w:r>
        <w:rPr>
          <w:rFonts w:ascii="仿宋" w:hAnsi="仿宋" w:eastAsia="仿宋" w:cs="Times New Roman"/>
          <w:b w:val="0"/>
          <w:bCs/>
          <w:sz w:val="32"/>
          <w:szCs w:val="32"/>
        </w:rPr>
        <w:t>1+</w:t>
      </w:r>
      <w:r>
        <w:rPr>
          <w:rFonts w:hint="eastAsia" w:ascii="仿宋" w:hAnsi="仿宋" w:eastAsia="仿宋" w:cs="Times New Roman"/>
          <w:b w:val="0"/>
          <w:bCs/>
          <w:sz w:val="32"/>
          <w:szCs w:val="32"/>
          <w:lang w:val="en-US" w:eastAsia="zh-CN"/>
        </w:rPr>
        <w:t>X</w:t>
      </w:r>
      <w:r>
        <w:rPr>
          <w:rFonts w:ascii="仿宋" w:hAnsi="仿宋" w:eastAsia="仿宋" w:cs="Times New Roman"/>
          <w:b w:val="0"/>
          <w:bCs/>
          <w:sz w:val="32"/>
          <w:szCs w:val="32"/>
        </w:rPr>
        <w:t>”证书</w:t>
      </w:r>
      <w:r>
        <w:rPr>
          <w:rFonts w:hint="eastAsia" w:ascii="仿宋" w:hAnsi="仿宋" w:eastAsia="仿宋" w:cs="Times New Roman"/>
          <w:b w:val="0"/>
          <w:bCs/>
          <w:sz w:val="32"/>
          <w:szCs w:val="32"/>
          <w:lang w:eastAsia="zh-CN"/>
        </w:rPr>
        <w:t>制度</w:t>
      </w:r>
      <w:r>
        <w:rPr>
          <w:rFonts w:ascii="仿宋" w:hAnsi="仿宋" w:eastAsia="仿宋" w:cs="Times New Roman"/>
          <w:b w:val="0"/>
          <w:bCs/>
          <w:sz w:val="32"/>
          <w:szCs w:val="32"/>
        </w:rPr>
        <w:t>试点专业的实训设施设备更新和完善</w:t>
      </w:r>
      <w:r>
        <w:rPr>
          <w:rFonts w:hint="eastAsia" w:ascii="仿宋" w:hAnsi="仿宋" w:eastAsia="仿宋" w:cs="Times New Roman"/>
          <w:b w:val="0"/>
          <w:bCs/>
          <w:sz w:val="32"/>
          <w:szCs w:val="32"/>
          <w:lang w:eastAsia="zh-CN"/>
        </w:rPr>
        <w:t>；</w:t>
      </w:r>
      <w:r>
        <w:rPr>
          <w:rFonts w:hint="eastAsia" w:ascii="仿宋" w:hAnsi="仿宋" w:eastAsia="仿宋" w:cs="Times New Roman"/>
          <w:b w:val="0"/>
          <w:bCs/>
          <w:sz w:val="32"/>
          <w:szCs w:val="32"/>
        </w:rPr>
        <w:t>二是</w:t>
      </w:r>
      <w:r>
        <w:rPr>
          <w:rFonts w:hint="eastAsia" w:ascii="仿宋" w:hAnsi="仿宋" w:eastAsia="仿宋" w:cs="Times New Roman"/>
          <w:b w:val="0"/>
          <w:bCs/>
          <w:sz w:val="32"/>
          <w:szCs w:val="32"/>
          <w:lang w:eastAsia="zh-CN"/>
        </w:rPr>
        <w:t>加强前期调研，合理规划经费使用，</w:t>
      </w:r>
      <w:r>
        <w:rPr>
          <w:rFonts w:hint="eastAsia" w:ascii="仿宋" w:hAnsi="仿宋" w:eastAsia="仿宋" w:cs="Times New Roman"/>
          <w:b w:val="0"/>
          <w:bCs/>
          <w:sz w:val="32"/>
          <w:szCs w:val="32"/>
        </w:rPr>
        <w:t>建立完善以改革和绩效为导向的经费拨付机制</w:t>
      </w:r>
      <w:r>
        <w:rPr>
          <w:rFonts w:hint="eastAsia" w:ascii="仿宋" w:hAnsi="仿宋" w:eastAsia="仿宋" w:cs="Times New Roman"/>
          <w:b w:val="0"/>
          <w:bCs/>
          <w:sz w:val="32"/>
          <w:szCs w:val="32"/>
          <w:lang w:eastAsia="zh-CN"/>
        </w:rPr>
        <w:t>；三</w:t>
      </w:r>
      <w:r>
        <w:rPr>
          <w:rFonts w:hint="eastAsia" w:ascii="仿宋" w:hAnsi="仿宋" w:eastAsia="仿宋" w:cs="Times New Roman"/>
          <w:b w:val="0"/>
          <w:bCs/>
          <w:sz w:val="32"/>
          <w:szCs w:val="32"/>
        </w:rPr>
        <w:t>是加强</w:t>
      </w:r>
      <w:r>
        <w:rPr>
          <w:rFonts w:hint="eastAsia" w:ascii="仿宋" w:hAnsi="仿宋" w:eastAsia="仿宋" w:cs="Times New Roman"/>
          <w:sz w:val="32"/>
          <w:szCs w:val="32"/>
        </w:rPr>
        <w:t>“双师型”专任教师培养培训力度，加强兼职教师岗位聘用改革，优化教师队伍人员结构，提高教师教育教学水平</w:t>
      </w:r>
      <w:r>
        <w:rPr>
          <w:rFonts w:hint="eastAsia" w:ascii="仿宋" w:hAnsi="仿宋" w:eastAsia="仿宋" w:cs="Times New Roman"/>
          <w:sz w:val="32"/>
          <w:szCs w:val="32"/>
          <w:lang w:eastAsia="zh-CN"/>
        </w:rPr>
        <w:t>，</w:t>
      </w:r>
      <w:r>
        <w:rPr>
          <w:rFonts w:hint="eastAsia" w:ascii="仿宋" w:hAnsi="仿宋" w:eastAsia="仿宋" w:cs="Times New Roman"/>
          <w:sz w:val="32"/>
          <w:szCs w:val="32"/>
        </w:rPr>
        <w:t>更好</w:t>
      </w:r>
      <w:r>
        <w:rPr>
          <w:rFonts w:hint="eastAsia" w:ascii="仿宋" w:hAnsi="仿宋" w:eastAsia="仿宋" w:cs="Times New Roman"/>
          <w:sz w:val="32"/>
          <w:szCs w:val="32"/>
          <w:lang w:eastAsia="zh-CN"/>
        </w:rPr>
        <w:t>地</w:t>
      </w:r>
      <w:r>
        <w:rPr>
          <w:rFonts w:ascii="仿宋" w:hAnsi="仿宋" w:eastAsia="仿宋" w:cs="Times New Roman"/>
          <w:sz w:val="32"/>
          <w:szCs w:val="32"/>
        </w:rPr>
        <w:t>为教育事业和地方</w:t>
      </w:r>
      <w:r>
        <w:rPr>
          <w:rFonts w:hint="eastAsia" w:ascii="仿宋" w:hAnsi="仿宋" w:eastAsia="仿宋" w:cs="Times New Roman"/>
          <w:sz w:val="32"/>
          <w:szCs w:val="32"/>
        </w:rPr>
        <w:t>发展</w:t>
      </w:r>
      <w:r>
        <w:rPr>
          <w:rFonts w:ascii="仿宋" w:hAnsi="仿宋" w:eastAsia="仿宋" w:cs="Times New Roman"/>
          <w:sz w:val="32"/>
          <w:szCs w:val="32"/>
        </w:rPr>
        <w:t>服务。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sz w:val="32"/>
          <w:szCs w:val="32"/>
        </w:rPr>
        <w:sectPr>
          <w:headerReference r:id="rId3" w:type="default"/>
          <w:footerReference r:id="rId4" w:type="default"/>
          <w:pgSz w:w="11906" w:h="16838"/>
          <w:pgMar w:top="1440" w:right="2126" w:bottom="1440" w:left="1800" w:header="851" w:footer="992" w:gutter="0"/>
          <w:pgBorders>
            <w:top w:val="none" w:sz="0" w:space="0"/>
            <w:left w:val="none" w:sz="0" w:space="0"/>
            <w:bottom w:val="none" w:sz="0" w:space="0"/>
            <w:right w:val="none" w:sz="0" w:space="0"/>
          </w:pgBorders>
          <w:pgNumType w:start="1"/>
          <w:cols w:space="425" w:num="1"/>
          <w:titlePg/>
          <w:docGrid w:type="lines" w:linePitch="312" w:charSpace="0"/>
        </w:sectPr>
      </w:pPr>
    </w:p>
    <w:tbl>
      <w:tblPr>
        <w:tblStyle w:val="13"/>
        <w:tblW w:w="8647" w:type="dxa"/>
        <w:jc w:val="center"/>
        <w:shd w:val="clear" w:color="auto" w:fill="auto"/>
        <w:tblLayout w:type="autofit"/>
        <w:tblCellMar>
          <w:top w:w="0" w:type="dxa"/>
          <w:left w:w="0" w:type="dxa"/>
          <w:bottom w:w="0" w:type="dxa"/>
          <w:right w:w="0" w:type="dxa"/>
        </w:tblCellMar>
      </w:tblPr>
      <w:tblGrid>
        <w:gridCol w:w="823"/>
        <w:gridCol w:w="823"/>
        <w:gridCol w:w="825"/>
        <w:gridCol w:w="2955"/>
        <w:gridCol w:w="1590"/>
        <w:gridCol w:w="1631"/>
      </w:tblGrid>
      <w:tr>
        <w:tblPrEx>
          <w:tblCellMar>
            <w:top w:w="0" w:type="dxa"/>
            <w:left w:w="0" w:type="dxa"/>
            <w:bottom w:w="0" w:type="dxa"/>
            <w:right w:w="0" w:type="dxa"/>
          </w:tblCellMar>
        </w:tblPrEx>
        <w:trPr>
          <w:trHeight w:val="620" w:hRule="atLeast"/>
          <w:jc w:val="center"/>
        </w:trPr>
        <w:tc>
          <w:tcPr>
            <w:tcW w:w="8647"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项目绩效目标完成情况表</w:t>
            </w:r>
          </w:p>
        </w:tc>
      </w:tr>
      <w:tr>
        <w:tblPrEx>
          <w:tblCellMar>
            <w:top w:w="0" w:type="dxa"/>
            <w:left w:w="0" w:type="dxa"/>
            <w:bottom w:w="0" w:type="dxa"/>
            <w:right w:w="0" w:type="dxa"/>
          </w:tblCellMar>
        </w:tblPrEx>
        <w:trPr>
          <w:trHeight w:val="620" w:hRule="atLeast"/>
          <w:jc w:val="center"/>
        </w:trPr>
        <w:tc>
          <w:tcPr>
            <w:tcW w:w="8647"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(20</w:t>
            </w:r>
            <w:r>
              <w:rPr>
                <w:rFonts w:hint="eastAsia" w:ascii="宋体" w:hAnsi="宋体" w:cs="宋体"/>
                <w:i w:val="0"/>
                <w:color w:val="000000"/>
                <w:kern w:val="0"/>
                <w:sz w:val="32"/>
                <w:szCs w:val="32"/>
                <w:u w:val="none"/>
                <w:lang w:val="en-US" w:eastAsia="zh-CN" w:bidi="ar"/>
              </w:rPr>
              <w:t>20</w:t>
            </w:r>
            <w:r>
              <w:rPr>
                <w:rFonts w:hint="eastAsia" w:ascii="宋体" w:hAnsi="宋体" w:eastAsia="宋体" w:cs="宋体"/>
                <w:i w:val="0"/>
                <w:color w:val="000000"/>
                <w:kern w:val="0"/>
                <w:sz w:val="32"/>
                <w:szCs w:val="32"/>
                <w:u w:val="none"/>
                <w:lang w:val="en-US" w:eastAsia="zh-CN" w:bidi="ar"/>
              </w:rPr>
              <w:t xml:space="preserve"> 年度)</w:t>
            </w:r>
          </w:p>
        </w:tc>
      </w:tr>
      <w:tr>
        <w:tblPrEx>
          <w:tblCellMar>
            <w:top w:w="0" w:type="dxa"/>
            <w:left w:w="0" w:type="dxa"/>
            <w:bottom w:w="0" w:type="dxa"/>
            <w:right w:w="0" w:type="dxa"/>
          </w:tblCellMar>
        </w:tblPrEx>
        <w:trPr>
          <w:trHeight w:val="480" w:hRule="atLeast"/>
          <w:jc w:val="center"/>
        </w:trPr>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6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2020年学生资助补助经费（高等教育）</w:t>
            </w:r>
          </w:p>
        </w:tc>
      </w:tr>
      <w:tr>
        <w:tblPrEx>
          <w:shd w:val="clear" w:color="auto" w:fill="auto"/>
          <w:tblCellMar>
            <w:top w:w="0" w:type="dxa"/>
            <w:left w:w="0" w:type="dxa"/>
            <w:bottom w:w="0" w:type="dxa"/>
            <w:right w:w="0" w:type="dxa"/>
          </w:tblCellMar>
        </w:tblPrEx>
        <w:trPr>
          <w:trHeight w:val="460" w:hRule="atLeast"/>
          <w:jc w:val="center"/>
        </w:trPr>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w:t>
            </w:r>
          </w:p>
        </w:tc>
        <w:tc>
          <w:tcPr>
            <w:tcW w:w="6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川北幼儿师范高等专科学校</w:t>
            </w:r>
          </w:p>
        </w:tc>
      </w:tr>
      <w:tr>
        <w:tblPrEx>
          <w:tblCellMar>
            <w:top w:w="0" w:type="dxa"/>
            <w:left w:w="0" w:type="dxa"/>
            <w:bottom w:w="0" w:type="dxa"/>
            <w:right w:w="0" w:type="dxa"/>
          </w:tblCellMar>
        </w:tblPrEx>
        <w:trPr>
          <w:trHeight w:val="44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预算执行情况(万元)</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814.43</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执行数:</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814.43</w:t>
            </w:r>
          </w:p>
        </w:tc>
      </w:tr>
      <w:tr>
        <w:tblPrEx>
          <w:tblCellMar>
            <w:top w:w="0" w:type="dxa"/>
            <w:left w:w="0" w:type="dxa"/>
            <w:bottom w:w="0" w:type="dxa"/>
            <w:right w:w="0" w:type="dxa"/>
          </w:tblCellMar>
        </w:tblPrEx>
        <w:trPr>
          <w:trHeight w:val="4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814.43</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814.43</w:t>
            </w:r>
          </w:p>
        </w:tc>
      </w:tr>
      <w:tr>
        <w:tblPrEx>
          <w:tblCellMar>
            <w:top w:w="0" w:type="dxa"/>
            <w:left w:w="0" w:type="dxa"/>
            <w:bottom w:w="0" w:type="dxa"/>
            <w:right w:w="0" w:type="dxa"/>
          </w:tblCellMar>
        </w:tblPrEx>
        <w:trPr>
          <w:trHeight w:val="3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其它资金:</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其它资金:</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年度目标完成情况</w:t>
            </w:r>
          </w:p>
        </w:tc>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2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实际完成目标</w:t>
            </w:r>
          </w:p>
        </w:tc>
      </w:tr>
      <w:tr>
        <w:tblPrEx>
          <w:tblCellMar>
            <w:top w:w="0" w:type="dxa"/>
            <w:left w:w="0" w:type="dxa"/>
            <w:bottom w:w="0" w:type="dxa"/>
            <w:right w:w="0" w:type="dxa"/>
          </w:tblCellMar>
        </w:tblPrEx>
        <w:trPr>
          <w:trHeight w:val="4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按时发放各项国家奖助学金</w:t>
            </w:r>
          </w:p>
        </w:tc>
        <w:tc>
          <w:tcPr>
            <w:tcW w:w="32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按时发放各项国家奖助学金</w:t>
            </w:r>
          </w:p>
        </w:tc>
      </w:tr>
      <w:tr>
        <w:tblPrEx>
          <w:tblCellMar>
            <w:top w:w="0" w:type="dxa"/>
            <w:left w:w="0" w:type="dxa"/>
            <w:bottom w:w="0" w:type="dxa"/>
            <w:right w:w="0" w:type="dxa"/>
          </w:tblCellMar>
        </w:tblPrEx>
        <w:trPr>
          <w:trHeight w:val="7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绩效指标完成情况</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预期指标值(包含数字及文字描述)</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实际完成指标值(包含数字及文字描述)</w:t>
            </w:r>
          </w:p>
        </w:tc>
      </w:tr>
      <w:tr>
        <w:tblPrEx>
          <w:shd w:val="clear" w:color="auto" w:fill="auto"/>
          <w:tblCellMar>
            <w:top w:w="0" w:type="dxa"/>
            <w:left w:w="0" w:type="dxa"/>
            <w:bottom w:w="0" w:type="dxa"/>
            <w:right w:w="0" w:type="dxa"/>
          </w:tblCellMar>
        </w:tblPrEx>
        <w:trPr>
          <w:trHeight w:val="70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为地方属普通高等学校家庭经济困难学生发放国家助学金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春季2627人，秋季人2602人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春季2627人，秋季人2602人</w:t>
            </w:r>
          </w:p>
        </w:tc>
      </w:tr>
      <w:tr>
        <w:tblPrEx>
          <w:tblCellMar>
            <w:top w:w="0" w:type="dxa"/>
            <w:left w:w="0" w:type="dxa"/>
            <w:bottom w:w="0" w:type="dxa"/>
            <w:right w:w="0" w:type="dxa"/>
          </w:tblCellMar>
        </w:tblPrEx>
        <w:trPr>
          <w:trHeight w:val="6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为高校优秀学生发放国家奖学金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9人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9人</w:t>
            </w:r>
          </w:p>
        </w:tc>
      </w:tr>
      <w:tr>
        <w:tblPrEx>
          <w:tblCellMar>
            <w:top w:w="0" w:type="dxa"/>
            <w:left w:w="0" w:type="dxa"/>
            <w:bottom w:w="0" w:type="dxa"/>
            <w:right w:w="0" w:type="dxa"/>
          </w:tblCellMar>
        </w:tblPrEx>
        <w:trPr>
          <w:trHeight w:val="88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为地方属普通高等学校家庭经济困难优秀学生提供国家励志奖学金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234人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234人</w:t>
            </w:r>
          </w:p>
        </w:tc>
      </w:tr>
      <w:tr>
        <w:tblPrEx>
          <w:tblCellMar>
            <w:top w:w="0" w:type="dxa"/>
            <w:left w:w="0" w:type="dxa"/>
            <w:bottom w:w="0" w:type="dxa"/>
            <w:right w:w="0" w:type="dxa"/>
          </w:tblCellMar>
        </w:tblPrEx>
        <w:trPr>
          <w:trHeight w:val="7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为地方属普通高等学校家庭经济困难学生发放国家助学金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3300元/生.年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3300元/生.年</w:t>
            </w:r>
          </w:p>
        </w:tc>
      </w:tr>
      <w:tr>
        <w:tblPrEx>
          <w:tblCellMar>
            <w:top w:w="0" w:type="dxa"/>
            <w:left w:w="0" w:type="dxa"/>
            <w:bottom w:w="0" w:type="dxa"/>
            <w:right w:w="0" w:type="dxa"/>
          </w:tblCellMar>
        </w:tblPrEx>
        <w:trPr>
          <w:trHeight w:val="7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为高校优秀学生发放国家奖学金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生.年</w:t>
            </w:r>
          </w:p>
        </w:tc>
      </w:tr>
      <w:tr>
        <w:tblPrEx>
          <w:tblCellMar>
            <w:top w:w="0" w:type="dxa"/>
            <w:left w:w="0" w:type="dxa"/>
            <w:bottom w:w="0" w:type="dxa"/>
            <w:right w:w="0" w:type="dxa"/>
          </w:tblCellMar>
        </w:tblPrEx>
        <w:trPr>
          <w:trHeight w:val="9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为地方属普通高等学校家庭经济困难优秀学生提供国家励志奖学金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生.年</w:t>
            </w:r>
          </w:p>
        </w:tc>
      </w:tr>
      <w:tr>
        <w:tblPrEx>
          <w:tblCellMar>
            <w:top w:w="0" w:type="dxa"/>
            <w:left w:w="0" w:type="dxa"/>
            <w:bottom w:w="0" w:type="dxa"/>
            <w:right w:w="0" w:type="dxa"/>
          </w:tblCellMar>
        </w:tblPrEx>
        <w:trPr>
          <w:trHeight w:val="11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及时发放到位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春6月底前发放到位，秋季12月底前时发放到位。</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春6月底前发放到位，秋季12月底前时发放到位。</w:t>
            </w:r>
          </w:p>
        </w:tc>
      </w:tr>
      <w:tr>
        <w:tblPrEx>
          <w:shd w:val="clear" w:color="auto" w:fill="auto"/>
          <w:tblCellMar>
            <w:top w:w="0" w:type="dxa"/>
            <w:left w:w="0" w:type="dxa"/>
            <w:bottom w:w="0" w:type="dxa"/>
            <w:right w:w="0" w:type="dxa"/>
          </w:tblCellMar>
        </w:tblPrEx>
        <w:trPr>
          <w:trHeight w:val="9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减轻普通高等学校家庭经济困难学生经济压力，激励学生成长成才</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r>
      <w:tr>
        <w:tblPrEx>
          <w:tblCellMar>
            <w:top w:w="0" w:type="dxa"/>
            <w:left w:w="0" w:type="dxa"/>
            <w:bottom w:w="0" w:type="dxa"/>
            <w:right w:w="0" w:type="dxa"/>
          </w:tblCellMar>
        </w:tblPrEx>
        <w:trPr>
          <w:trHeight w:val="9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学生、家长满意度</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bl>
    <w:p>
      <w:pPr>
        <w:spacing w:line="580" w:lineRule="exact"/>
        <w:rPr>
          <w:rFonts w:hint="eastAsia" w:ascii="楷体_GB2312" w:hAnsi="楷体_GB2312" w:eastAsia="楷体_GB2312" w:cs="楷体_GB2312"/>
          <w:sz w:val="32"/>
          <w:szCs w:val="32"/>
        </w:rPr>
        <w:sectPr>
          <w:footerReference r:id="rId6" w:type="first"/>
          <w:footerReference r:id="rId5" w:type="default"/>
          <w:pgSz w:w="11906" w:h="16838"/>
          <w:pgMar w:top="1440" w:right="2126" w:bottom="1440" w:left="1800" w:header="851" w:footer="992" w:gutter="0"/>
          <w:pgBorders>
            <w:top w:val="none" w:sz="0" w:space="0"/>
            <w:left w:val="none" w:sz="0" w:space="0"/>
            <w:bottom w:val="none" w:sz="0" w:space="0"/>
            <w:right w:val="none" w:sz="0" w:space="0"/>
          </w:pgBorders>
          <w:pgNumType w:fmt="decimal" w:start="16"/>
          <w:cols w:space="425" w:num="1"/>
          <w:titlePg/>
          <w:docGrid w:type="lines" w:linePitch="312" w:charSpace="0"/>
        </w:sectPr>
      </w:pPr>
    </w:p>
    <w:tbl>
      <w:tblPr>
        <w:tblStyle w:val="13"/>
        <w:tblW w:w="8745" w:type="dxa"/>
        <w:jc w:val="center"/>
        <w:shd w:val="clear" w:color="auto" w:fill="auto"/>
        <w:tblLayout w:type="autofit"/>
        <w:tblCellMar>
          <w:top w:w="0" w:type="dxa"/>
          <w:left w:w="0" w:type="dxa"/>
          <w:bottom w:w="0" w:type="dxa"/>
          <w:right w:w="0" w:type="dxa"/>
        </w:tblCellMar>
      </w:tblPr>
      <w:tblGrid>
        <w:gridCol w:w="1350"/>
        <w:gridCol w:w="855"/>
        <w:gridCol w:w="975"/>
        <w:gridCol w:w="1950"/>
        <w:gridCol w:w="1905"/>
        <w:gridCol w:w="1710"/>
      </w:tblGrid>
      <w:tr>
        <w:tblPrEx>
          <w:tblCellMar>
            <w:top w:w="0" w:type="dxa"/>
            <w:left w:w="0" w:type="dxa"/>
            <w:bottom w:w="0" w:type="dxa"/>
            <w:right w:w="0" w:type="dxa"/>
          </w:tblCellMar>
        </w:tblPrEx>
        <w:trPr>
          <w:trHeight w:val="620" w:hRule="atLeast"/>
          <w:jc w:val="center"/>
        </w:trPr>
        <w:tc>
          <w:tcPr>
            <w:tcW w:w="874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项目绩效目标完成情况表</w:t>
            </w:r>
          </w:p>
        </w:tc>
      </w:tr>
      <w:tr>
        <w:tblPrEx>
          <w:tblCellMar>
            <w:top w:w="0" w:type="dxa"/>
            <w:left w:w="0" w:type="dxa"/>
            <w:bottom w:w="0" w:type="dxa"/>
            <w:right w:w="0" w:type="dxa"/>
          </w:tblCellMar>
        </w:tblPrEx>
        <w:trPr>
          <w:trHeight w:val="620" w:hRule="atLeast"/>
          <w:jc w:val="center"/>
        </w:trPr>
        <w:tc>
          <w:tcPr>
            <w:tcW w:w="874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w:t>
            </w:r>
            <w:r>
              <w:rPr>
                <w:rFonts w:hint="eastAsia" w:ascii="宋体" w:hAnsi="宋体" w:cs="宋体"/>
                <w:i w:val="0"/>
                <w:color w:val="000000"/>
                <w:kern w:val="0"/>
                <w:sz w:val="32"/>
                <w:szCs w:val="32"/>
                <w:u w:val="none"/>
                <w:lang w:val="en-US" w:eastAsia="zh-CN" w:bidi="ar"/>
              </w:rPr>
              <w:t>2020</w:t>
            </w:r>
            <w:r>
              <w:rPr>
                <w:rFonts w:hint="eastAsia" w:ascii="宋体" w:hAnsi="宋体" w:eastAsia="宋体" w:cs="宋体"/>
                <w:i w:val="0"/>
                <w:color w:val="000000"/>
                <w:kern w:val="0"/>
                <w:sz w:val="32"/>
                <w:szCs w:val="32"/>
                <w:u w:val="none"/>
                <w:lang w:val="en-US" w:eastAsia="zh-CN" w:bidi="ar"/>
              </w:rPr>
              <w:t xml:space="preserve"> 年度)</w:t>
            </w:r>
          </w:p>
        </w:tc>
      </w:tr>
      <w:tr>
        <w:tblPrEx>
          <w:tblCellMar>
            <w:top w:w="0" w:type="dxa"/>
            <w:left w:w="0" w:type="dxa"/>
            <w:bottom w:w="0" w:type="dxa"/>
            <w:right w:w="0" w:type="dxa"/>
          </w:tblCellMar>
        </w:tblPrEx>
        <w:trPr>
          <w:trHeight w:val="540" w:hRule="atLeast"/>
          <w:jc w:val="center"/>
        </w:trPr>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5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r>
              <w:rPr>
                <w:rFonts w:hint="eastAsia" w:ascii="宋体" w:hAnsi="宋体" w:cs="宋体"/>
                <w:i w:val="0"/>
                <w:color w:val="000000"/>
                <w:kern w:val="0"/>
                <w:sz w:val="22"/>
                <w:szCs w:val="22"/>
                <w:u w:val="none"/>
                <w:lang w:val="en-US" w:eastAsia="zh-CN" w:bidi="ar"/>
              </w:rPr>
              <w:t>20</w:t>
            </w:r>
            <w:r>
              <w:rPr>
                <w:rFonts w:hint="eastAsia" w:ascii="宋体" w:hAnsi="宋体" w:eastAsia="宋体" w:cs="宋体"/>
                <w:i w:val="0"/>
                <w:color w:val="000000"/>
                <w:kern w:val="0"/>
                <w:sz w:val="22"/>
                <w:szCs w:val="22"/>
                <w:u w:val="none"/>
                <w:lang w:val="en-US" w:eastAsia="zh-CN" w:bidi="ar"/>
              </w:rPr>
              <w:t>年第一批高校共建与发展专项资金-公费师范生培养补助</w:t>
            </w:r>
          </w:p>
        </w:tc>
      </w:tr>
      <w:tr>
        <w:tblPrEx>
          <w:tblCellMar>
            <w:top w:w="0" w:type="dxa"/>
            <w:left w:w="0" w:type="dxa"/>
            <w:bottom w:w="0" w:type="dxa"/>
            <w:right w:w="0" w:type="dxa"/>
          </w:tblCellMar>
        </w:tblPrEx>
        <w:trPr>
          <w:trHeight w:val="460" w:hRule="atLeast"/>
          <w:jc w:val="center"/>
        </w:trPr>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w:t>
            </w:r>
          </w:p>
        </w:tc>
        <w:tc>
          <w:tcPr>
            <w:tcW w:w="5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川北幼儿师范高等专科学校</w:t>
            </w:r>
          </w:p>
        </w:tc>
      </w:tr>
      <w:tr>
        <w:tblPrEx>
          <w:tblCellMar>
            <w:top w:w="0" w:type="dxa"/>
            <w:left w:w="0" w:type="dxa"/>
            <w:bottom w:w="0" w:type="dxa"/>
            <w:right w:w="0" w:type="dxa"/>
          </w:tblCellMar>
        </w:tblPrEx>
        <w:trPr>
          <w:trHeight w:val="520"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预算执行情况(万元)</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174.35</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执行数:</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174.35</w:t>
            </w:r>
          </w:p>
        </w:tc>
      </w:tr>
      <w:tr>
        <w:tblPrEx>
          <w:tblCellMar>
            <w:top w:w="0" w:type="dxa"/>
            <w:left w:w="0" w:type="dxa"/>
            <w:bottom w:w="0" w:type="dxa"/>
            <w:right w:w="0" w:type="dxa"/>
          </w:tblCellMar>
        </w:tblPrEx>
        <w:trPr>
          <w:trHeight w:val="404"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174.35</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174.35</w:t>
            </w:r>
          </w:p>
        </w:tc>
      </w:tr>
      <w:tr>
        <w:tblPrEx>
          <w:tblCellMar>
            <w:top w:w="0" w:type="dxa"/>
            <w:left w:w="0" w:type="dxa"/>
            <w:bottom w:w="0" w:type="dxa"/>
            <w:right w:w="0" w:type="dxa"/>
          </w:tblCellMar>
        </w:tblPrEx>
        <w:trPr>
          <w:trHeight w:val="52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其它资金:</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其它资金:</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5"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年度目标完成情况</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实际完成目标</w:t>
            </w:r>
          </w:p>
        </w:tc>
      </w:tr>
      <w:tr>
        <w:tblPrEx>
          <w:tblCellMar>
            <w:top w:w="0" w:type="dxa"/>
            <w:left w:w="0" w:type="dxa"/>
            <w:bottom w:w="0" w:type="dxa"/>
            <w:right w:w="0" w:type="dxa"/>
          </w:tblCellMar>
        </w:tblPrEx>
        <w:trPr>
          <w:trHeight w:val="77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用于优秀学生免费攻读师范类专业</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100" w:firstLineChars="5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按标准按时发放</w:t>
            </w:r>
          </w:p>
        </w:tc>
      </w:tr>
      <w:tr>
        <w:tblPrEx>
          <w:shd w:val="clear" w:color="auto" w:fill="auto"/>
          <w:tblCellMar>
            <w:top w:w="0" w:type="dxa"/>
            <w:left w:w="0" w:type="dxa"/>
            <w:bottom w:w="0" w:type="dxa"/>
            <w:right w:w="0" w:type="dxa"/>
          </w:tblCellMar>
        </w:tblPrEx>
        <w:trPr>
          <w:trHeight w:val="805"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绩效指标完成情况</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预期指标值(包含数字及文字描述)</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实际完成指标值(包含数字及文字描述)</w:t>
            </w:r>
          </w:p>
        </w:tc>
      </w:tr>
      <w:tr>
        <w:tblPrEx>
          <w:shd w:val="clear" w:color="auto" w:fill="auto"/>
          <w:tblCellMar>
            <w:top w:w="0" w:type="dxa"/>
            <w:left w:w="0" w:type="dxa"/>
            <w:bottom w:w="0" w:type="dxa"/>
            <w:right w:w="0" w:type="dxa"/>
          </w:tblCellMar>
        </w:tblPrEx>
        <w:trPr>
          <w:trHeight w:val="70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2018级公费师范生生活补助</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93人</w:t>
            </w:r>
          </w:p>
        </w:tc>
      </w:tr>
      <w:tr>
        <w:tblPrEx>
          <w:tblCellMar>
            <w:top w:w="0" w:type="dxa"/>
            <w:left w:w="0" w:type="dxa"/>
            <w:bottom w:w="0" w:type="dxa"/>
            <w:right w:w="0" w:type="dxa"/>
          </w:tblCellMar>
        </w:tblPrEx>
        <w:trPr>
          <w:trHeight w:val="70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2019级公费师范生生活补助</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人</w:t>
            </w:r>
          </w:p>
        </w:tc>
      </w:tr>
      <w:tr>
        <w:tblPrEx>
          <w:tblCellMar>
            <w:top w:w="0" w:type="dxa"/>
            <w:left w:w="0" w:type="dxa"/>
            <w:bottom w:w="0" w:type="dxa"/>
            <w:right w:w="0" w:type="dxa"/>
          </w:tblCellMar>
        </w:tblPrEx>
        <w:trPr>
          <w:trHeight w:val="68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项目完成指标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数量指标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2020级公费师范生生活补助</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73人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73人</w:t>
            </w:r>
          </w:p>
        </w:tc>
      </w:tr>
      <w:tr>
        <w:tblPrEx>
          <w:tblCellMar>
            <w:top w:w="0" w:type="dxa"/>
            <w:left w:w="0" w:type="dxa"/>
            <w:bottom w:w="0" w:type="dxa"/>
            <w:right w:w="0" w:type="dxa"/>
          </w:tblCellMar>
        </w:tblPrEx>
        <w:trPr>
          <w:trHeight w:val="57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公费师范生生活补助</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6000元/生.年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6000元/生.年</w:t>
            </w:r>
          </w:p>
        </w:tc>
      </w:tr>
      <w:tr>
        <w:tblPrEx>
          <w:tblCellMar>
            <w:top w:w="0" w:type="dxa"/>
            <w:left w:w="0" w:type="dxa"/>
            <w:bottom w:w="0" w:type="dxa"/>
            <w:right w:w="0" w:type="dxa"/>
          </w:tblCellMar>
        </w:tblPrEx>
        <w:trPr>
          <w:trHeight w:val="539"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公费师范生学费</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4000元/生.年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4000元/生.年</w:t>
            </w:r>
          </w:p>
        </w:tc>
      </w:tr>
      <w:tr>
        <w:tblPrEx>
          <w:tblCellMar>
            <w:top w:w="0" w:type="dxa"/>
            <w:left w:w="0" w:type="dxa"/>
            <w:bottom w:w="0" w:type="dxa"/>
            <w:right w:w="0" w:type="dxa"/>
          </w:tblCellMar>
        </w:tblPrEx>
        <w:trPr>
          <w:trHeight w:val="614"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公费师范生住宿费</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1000元/生.年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1000元/生.年</w:t>
            </w:r>
          </w:p>
        </w:tc>
      </w:tr>
      <w:tr>
        <w:tblPrEx>
          <w:tblCellMar>
            <w:top w:w="0" w:type="dxa"/>
            <w:left w:w="0" w:type="dxa"/>
            <w:bottom w:w="0" w:type="dxa"/>
            <w:right w:w="0" w:type="dxa"/>
          </w:tblCellMar>
        </w:tblPrEx>
        <w:trPr>
          <w:trHeight w:val="65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及时发放到位</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按月发放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按月发放</w:t>
            </w:r>
          </w:p>
        </w:tc>
      </w:tr>
      <w:tr>
        <w:tblPrEx>
          <w:tblCellMar>
            <w:top w:w="0" w:type="dxa"/>
            <w:left w:w="0" w:type="dxa"/>
            <w:bottom w:w="0" w:type="dxa"/>
            <w:right w:w="0" w:type="dxa"/>
          </w:tblCellMar>
        </w:tblPrEx>
        <w:trPr>
          <w:trHeight w:val="77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为学生提供生活补助、减轻经济压力</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r>
      <w:tr>
        <w:tblPrEx>
          <w:tblCellMar>
            <w:top w:w="0" w:type="dxa"/>
            <w:left w:w="0" w:type="dxa"/>
            <w:bottom w:w="0" w:type="dxa"/>
            <w:right w:w="0" w:type="dxa"/>
          </w:tblCellMar>
        </w:tblPrEx>
        <w:trPr>
          <w:trHeight w:val="696"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学生、家长满意度</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00%</w:t>
            </w:r>
          </w:p>
        </w:tc>
      </w:tr>
    </w:tbl>
    <w:p>
      <w:pPr>
        <w:spacing w:line="580" w:lineRule="exact"/>
        <w:rPr>
          <w:rFonts w:hint="eastAsia" w:ascii="楷体_GB2312" w:hAnsi="楷体_GB2312" w:eastAsia="楷体_GB2312" w:cs="楷体_GB2312"/>
          <w:sz w:val="32"/>
          <w:szCs w:val="32"/>
        </w:rPr>
        <w:sectPr>
          <w:pgSz w:w="11906" w:h="16838"/>
          <w:pgMar w:top="1440" w:right="2126"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tbl>
      <w:tblPr>
        <w:tblStyle w:val="13"/>
        <w:tblW w:w="8761" w:type="dxa"/>
        <w:jc w:val="center"/>
        <w:shd w:val="clear" w:color="auto" w:fill="auto"/>
        <w:tblLayout w:type="autofit"/>
        <w:tblCellMar>
          <w:top w:w="0" w:type="dxa"/>
          <w:left w:w="0" w:type="dxa"/>
          <w:bottom w:w="0" w:type="dxa"/>
          <w:right w:w="0" w:type="dxa"/>
        </w:tblCellMar>
      </w:tblPr>
      <w:tblGrid>
        <w:gridCol w:w="980"/>
        <w:gridCol w:w="663"/>
        <w:gridCol w:w="1064"/>
        <w:gridCol w:w="2078"/>
        <w:gridCol w:w="1852"/>
        <w:gridCol w:w="2124"/>
      </w:tblGrid>
      <w:tr>
        <w:tblPrEx>
          <w:tblCellMar>
            <w:top w:w="0" w:type="dxa"/>
            <w:left w:w="0" w:type="dxa"/>
            <w:bottom w:w="0" w:type="dxa"/>
            <w:right w:w="0" w:type="dxa"/>
          </w:tblCellMar>
        </w:tblPrEx>
        <w:trPr>
          <w:trHeight w:val="450" w:hRule="atLeast"/>
          <w:jc w:val="center"/>
        </w:trPr>
        <w:tc>
          <w:tcPr>
            <w:tcW w:w="8761"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项目绩效目标完成情况表</w:t>
            </w:r>
          </w:p>
        </w:tc>
      </w:tr>
      <w:tr>
        <w:tblPrEx>
          <w:tblCellMar>
            <w:top w:w="0" w:type="dxa"/>
            <w:left w:w="0" w:type="dxa"/>
            <w:bottom w:w="0" w:type="dxa"/>
            <w:right w:w="0" w:type="dxa"/>
          </w:tblCellMar>
        </w:tblPrEx>
        <w:trPr>
          <w:trHeight w:val="450" w:hRule="atLeast"/>
          <w:jc w:val="center"/>
        </w:trPr>
        <w:tc>
          <w:tcPr>
            <w:tcW w:w="8761"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(20</w:t>
            </w:r>
            <w:r>
              <w:rPr>
                <w:rFonts w:hint="eastAsia" w:ascii="宋体" w:hAnsi="宋体" w:cs="宋体"/>
                <w:i w:val="0"/>
                <w:color w:val="000000"/>
                <w:kern w:val="0"/>
                <w:sz w:val="32"/>
                <w:szCs w:val="32"/>
                <w:u w:val="none"/>
                <w:lang w:val="en-US" w:eastAsia="zh-CN" w:bidi="ar"/>
              </w:rPr>
              <w:t>20</w:t>
            </w:r>
            <w:r>
              <w:rPr>
                <w:rFonts w:hint="eastAsia" w:ascii="宋体" w:hAnsi="宋体" w:eastAsia="宋体" w:cs="宋体"/>
                <w:i w:val="0"/>
                <w:color w:val="000000"/>
                <w:kern w:val="0"/>
                <w:sz w:val="32"/>
                <w:szCs w:val="32"/>
                <w:u w:val="none"/>
                <w:lang w:val="en-US" w:eastAsia="zh-CN" w:bidi="ar"/>
              </w:rPr>
              <w:t xml:space="preserve"> 年度)</w:t>
            </w:r>
          </w:p>
        </w:tc>
      </w:tr>
      <w:tr>
        <w:tblPrEx>
          <w:tblCellMar>
            <w:top w:w="0" w:type="dxa"/>
            <w:left w:w="0" w:type="dxa"/>
            <w:bottom w:w="0" w:type="dxa"/>
            <w:right w:w="0" w:type="dxa"/>
          </w:tblCellMar>
        </w:tblPrEx>
        <w:trPr>
          <w:trHeight w:val="839" w:hRule="atLeast"/>
          <w:jc w:val="center"/>
        </w:trPr>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60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2020年高校共建与发展专项资金（困难大学生就业帮扶与就业工作经费）</w:t>
            </w:r>
          </w:p>
        </w:tc>
      </w:tr>
      <w:tr>
        <w:tblPrEx>
          <w:tblCellMar>
            <w:top w:w="0" w:type="dxa"/>
            <w:left w:w="0" w:type="dxa"/>
            <w:bottom w:w="0" w:type="dxa"/>
            <w:right w:w="0" w:type="dxa"/>
          </w:tblCellMar>
        </w:tblPrEx>
        <w:trPr>
          <w:trHeight w:val="665" w:hRule="atLeast"/>
          <w:jc w:val="center"/>
        </w:trPr>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w:t>
            </w:r>
          </w:p>
        </w:tc>
        <w:tc>
          <w:tcPr>
            <w:tcW w:w="60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川北幼儿师范高等专科学校</w:t>
            </w:r>
          </w:p>
        </w:tc>
      </w:tr>
      <w:tr>
        <w:tblPrEx>
          <w:tblCellMar>
            <w:top w:w="0" w:type="dxa"/>
            <w:left w:w="0" w:type="dxa"/>
            <w:bottom w:w="0" w:type="dxa"/>
            <w:right w:w="0" w:type="dxa"/>
          </w:tblCellMar>
        </w:tblPrEx>
        <w:trPr>
          <w:trHeight w:val="650"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预算执行情况(万元)</w:t>
            </w:r>
          </w:p>
        </w:tc>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18.36</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执行数:</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18.36</w:t>
            </w:r>
          </w:p>
        </w:tc>
      </w:tr>
      <w:tr>
        <w:tblPrEx>
          <w:tblCellMar>
            <w:top w:w="0" w:type="dxa"/>
            <w:left w:w="0" w:type="dxa"/>
            <w:bottom w:w="0" w:type="dxa"/>
            <w:right w:w="0" w:type="dxa"/>
          </w:tblCellMar>
        </w:tblPrEx>
        <w:trPr>
          <w:trHeight w:val="48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18.36</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18.36</w:t>
            </w:r>
          </w:p>
        </w:tc>
      </w:tr>
      <w:tr>
        <w:tblPrEx>
          <w:tblCellMar>
            <w:top w:w="0" w:type="dxa"/>
            <w:left w:w="0" w:type="dxa"/>
            <w:bottom w:w="0" w:type="dxa"/>
            <w:right w:w="0" w:type="dxa"/>
          </w:tblCellMar>
        </w:tblPrEx>
        <w:trPr>
          <w:trHeight w:val="48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其它资金:</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其它资金:</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年度目标完成情况</w:t>
            </w:r>
          </w:p>
        </w:tc>
        <w:tc>
          <w:tcPr>
            <w:tcW w:w="38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实际完成目标</w:t>
            </w:r>
          </w:p>
        </w:tc>
      </w:tr>
      <w:tr>
        <w:tblPrEx>
          <w:tblCellMar>
            <w:top w:w="0" w:type="dxa"/>
            <w:left w:w="0" w:type="dxa"/>
            <w:bottom w:w="0" w:type="dxa"/>
            <w:right w:w="0" w:type="dxa"/>
          </w:tblCellMar>
        </w:tblPrEx>
        <w:trPr>
          <w:trHeight w:val="118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为家庭经济困难和就业困难毕业生发放就业帮扶专项经费，助推困难大学生充分就业。</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按时发放就业帮扶经费</w:t>
            </w:r>
          </w:p>
        </w:tc>
      </w:tr>
      <w:tr>
        <w:tblPrEx>
          <w:tblCellMar>
            <w:top w:w="0" w:type="dxa"/>
            <w:left w:w="0" w:type="dxa"/>
            <w:bottom w:w="0" w:type="dxa"/>
            <w:right w:w="0" w:type="dxa"/>
          </w:tblCellMar>
        </w:tblPrEx>
        <w:trPr>
          <w:trHeight w:val="1040"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绩效指标完成情况</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预期指标值(包含数字及文字描述)</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实际完成指标值(包含数字及文字描述)</w:t>
            </w:r>
          </w:p>
        </w:tc>
      </w:tr>
      <w:tr>
        <w:tblPrEx>
          <w:shd w:val="clear" w:color="auto" w:fill="auto"/>
          <w:tblCellMar>
            <w:top w:w="0" w:type="dxa"/>
            <w:left w:w="0" w:type="dxa"/>
            <w:bottom w:w="0" w:type="dxa"/>
            <w:right w:w="0" w:type="dxa"/>
          </w:tblCellMar>
        </w:tblPrEx>
        <w:trPr>
          <w:trHeight w:val="104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就业帮扶经费发放人数</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306</w:t>
            </w:r>
            <w:r>
              <w:rPr>
                <w:rFonts w:hint="eastAsia" w:ascii="宋体" w:hAnsi="宋体" w:eastAsia="宋体" w:cs="宋体"/>
                <w:i w:val="0"/>
                <w:color w:val="000000"/>
                <w:kern w:val="0"/>
                <w:sz w:val="22"/>
                <w:szCs w:val="22"/>
                <w:u w:val="none"/>
                <w:lang w:val="en-US" w:eastAsia="zh-CN" w:bidi="ar"/>
              </w:rPr>
              <w:t>人</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306</w:t>
            </w:r>
            <w:r>
              <w:rPr>
                <w:rFonts w:hint="eastAsia" w:ascii="宋体" w:hAnsi="宋体" w:eastAsia="宋体" w:cs="宋体"/>
                <w:i w:val="0"/>
                <w:color w:val="000000"/>
                <w:kern w:val="0"/>
                <w:sz w:val="22"/>
                <w:szCs w:val="22"/>
                <w:u w:val="none"/>
                <w:lang w:val="en-US" w:eastAsia="zh-CN" w:bidi="ar"/>
              </w:rPr>
              <w:t>人</w:t>
            </w:r>
          </w:p>
        </w:tc>
      </w:tr>
      <w:tr>
        <w:tblPrEx>
          <w:tblCellMar>
            <w:top w:w="0" w:type="dxa"/>
            <w:left w:w="0" w:type="dxa"/>
            <w:bottom w:w="0" w:type="dxa"/>
            <w:right w:w="0" w:type="dxa"/>
          </w:tblCellMar>
        </w:tblPrEx>
        <w:trPr>
          <w:trHeight w:val="104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帮扶经费发放标准</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600元/生</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600元/生</w:t>
            </w:r>
          </w:p>
        </w:tc>
      </w:tr>
      <w:tr>
        <w:tblPrEx>
          <w:tblCellMar>
            <w:top w:w="0" w:type="dxa"/>
            <w:left w:w="0" w:type="dxa"/>
            <w:bottom w:w="0" w:type="dxa"/>
            <w:right w:w="0" w:type="dxa"/>
          </w:tblCellMar>
        </w:tblPrEx>
        <w:trPr>
          <w:trHeight w:val="104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项目完成指标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时效指标</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及时发放到位</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7月发放到位</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7月发放到位</w:t>
            </w:r>
          </w:p>
        </w:tc>
      </w:tr>
      <w:tr>
        <w:tblPrEx>
          <w:tblCellMar>
            <w:top w:w="0" w:type="dxa"/>
            <w:left w:w="0" w:type="dxa"/>
            <w:bottom w:w="0" w:type="dxa"/>
            <w:right w:w="0" w:type="dxa"/>
          </w:tblCellMar>
        </w:tblPrEx>
        <w:trPr>
          <w:trHeight w:val="104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减轻家庭经济困难毕业生经济压力，使学生顺利就业</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r>
      <w:tr>
        <w:tblPrEx>
          <w:tblCellMar>
            <w:top w:w="0" w:type="dxa"/>
            <w:left w:w="0" w:type="dxa"/>
            <w:bottom w:w="0" w:type="dxa"/>
            <w:right w:w="0" w:type="dxa"/>
          </w:tblCellMar>
        </w:tblPrEx>
        <w:trPr>
          <w:trHeight w:val="104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学生、家长满意度</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100</w:t>
            </w:r>
            <w:r>
              <w:rPr>
                <w:rFonts w:hint="eastAsia" w:ascii="宋体" w:hAnsi="宋体" w:eastAsia="宋体" w:cs="宋体"/>
                <w:i w:val="0"/>
                <w:color w:val="000000"/>
                <w:kern w:val="0"/>
                <w:sz w:val="22"/>
                <w:szCs w:val="22"/>
                <w:u w:val="none"/>
                <w:lang w:val="en-US" w:eastAsia="zh-CN" w:bidi="ar"/>
              </w:rPr>
              <w:t>%</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100</w:t>
            </w:r>
            <w:r>
              <w:rPr>
                <w:rFonts w:hint="eastAsia" w:ascii="宋体" w:hAnsi="宋体" w:eastAsia="宋体" w:cs="宋体"/>
                <w:i w:val="0"/>
                <w:color w:val="000000"/>
                <w:kern w:val="0"/>
                <w:sz w:val="22"/>
                <w:szCs w:val="22"/>
                <w:u w:val="none"/>
                <w:lang w:val="en-US" w:eastAsia="zh-CN" w:bidi="ar"/>
              </w:rPr>
              <w:t>%</w:t>
            </w:r>
          </w:p>
        </w:tc>
      </w:tr>
    </w:tbl>
    <w:p>
      <w:pPr>
        <w:spacing w:line="580" w:lineRule="exact"/>
        <w:rPr>
          <w:rFonts w:hint="eastAsia" w:ascii="楷体_GB2312" w:hAnsi="楷体_GB2312" w:eastAsia="楷体_GB2312" w:cs="楷体_GB2312"/>
          <w:sz w:val="32"/>
          <w:szCs w:val="32"/>
        </w:rPr>
        <w:sectPr>
          <w:pgSz w:w="11906" w:h="16838"/>
          <w:pgMar w:top="1440" w:right="2126"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tbl>
      <w:tblPr>
        <w:tblStyle w:val="13"/>
        <w:tblW w:w="8798" w:type="dxa"/>
        <w:jc w:val="center"/>
        <w:shd w:val="clear" w:color="auto" w:fill="auto"/>
        <w:tblLayout w:type="autofit"/>
        <w:tblCellMar>
          <w:top w:w="0" w:type="dxa"/>
          <w:left w:w="0" w:type="dxa"/>
          <w:bottom w:w="0" w:type="dxa"/>
          <w:right w:w="0" w:type="dxa"/>
        </w:tblCellMar>
      </w:tblPr>
      <w:tblGrid>
        <w:gridCol w:w="961"/>
        <w:gridCol w:w="512"/>
        <w:gridCol w:w="658"/>
        <w:gridCol w:w="3517"/>
        <w:gridCol w:w="1560"/>
        <w:gridCol w:w="1590"/>
      </w:tblGrid>
      <w:tr>
        <w:tblPrEx>
          <w:tblCellMar>
            <w:top w:w="0" w:type="dxa"/>
            <w:left w:w="0" w:type="dxa"/>
            <w:bottom w:w="0" w:type="dxa"/>
            <w:right w:w="0" w:type="dxa"/>
          </w:tblCellMar>
        </w:tblPrEx>
        <w:trPr>
          <w:trHeight w:val="620" w:hRule="atLeast"/>
          <w:jc w:val="center"/>
        </w:trPr>
        <w:tc>
          <w:tcPr>
            <w:tcW w:w="8798"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项目绩效目标完成情况表</w:t>
            </w:r>
          </w:p>
        </w:tc>
      </w:tr>
      <w:tr>
        <w:tblPrEx>
          <w:tblCellMar>
            <w:top w:w="0" w:type="dxa"/>
            <w:left w:w="0" w:type="dxa"/>
            <w:bottom w:w="0" w:type="dxa"/>
            <w:right w:w="0" w:type="dxa"/>
          </w:tblCellMar>
        </w:tblPrEx>
        <w:trPr>
          <w:trHeight w:val="620" w:hRule="atLeast"/>
          <w:jc w:val="center"/>
        </w:trPr>
        <w:tc>
          <w:tcPr>
            <w:tcW w:w="8798"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w:t>
            </w:r>
            <w:r>
              <w:rPr>
                <w:rFonts w:hint="eastAsia" w:ascii="宋体" w:hAnsi="宋体" w:cs="宋体"/>
                <w:i w:val="0"/>
                <w:color w:val="000000"/>
                <w:kern w:val="0"/>
                <w:sz w:val="32"/>
                <w:szCs w:val="32"/>
                <w:u w:val="none"/>
                <w:lang w:val="en-US" w:eastAsia="zh-CN" w:bidi="ar"/>
              </w:rPr>
              <w:t>2020</w:t>
            </w:r>
            <w:r>
              <w:rPr>
                <w:rFonts w:hint="eastAsia" w:ascii="宋体" w:hAnsi="宋体" w:eastAsia="宋体" w:cs="宋体"/>
                <w:i w:val="0"/>
                <w:color w:val="000000"/>
                <w:kern w:val="0"/>
                <w:sz w:val="32"/>
                <w:szCs w:val="32"/>
                <w:u w:val="none"/>
                <w:lang w:val="en-US" w:eastAsia="zh-CN" w:bidi="ar"/>
              </w:rPr>
              <w:t>年度)</w:t>
            </w:r>
          </w:p>
        </w:tc>
      </w:tr>
      <w:tr>
        <w:tblPrEx>
          <w:tblCellMar>
            <w:top w:w="0" w:type="dxa"/>
            <w:left w:w="0" w:type="dxa"/>
            <w:bottom w:w="0" w:type="dxa"/>
            <w:right w:w="0" w:type="dxa"/>
          </w:tblCellMar>
        </w:tblPrEx>
        <w:trPr>
          <w:trHeight w:val="480" w:hRule="atLeast"/>
          <w:jc w:val="center"/>
        </w:trPr>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66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彩票公益金支出—2020年9月临时价格补贴</w:t>
            </w:r>
          </w:p>
        </w:tc>
      </w:tr>
      <w:tr>
        <w:tblPrEx>
          <w:shd w:val="clear" w:color="auto" w:fill="auto"/>
          <w:tblCellMar>
            <w:top w:w="0" w:type="dxa"/>
            <w:left w:w="0" w:type="dxa"/>
            <w:bottom w:w="0" w:type="dxa"/>
            <w:right w:w="0" w:type="dxa"/>
          </w:tblCellMar>
        </w:tblPrEx>
        <w:trPr>
          <w:trHeight w:val="460" w:hRule="atLeast"/>
          <w:jc w:val="center"/>
        </w:trPr>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w:t>
            </w:r>
          </w:p>
        </w:tc>
        <w:tc>
          <w:tcPr>
            <w:tcW w:w="66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川北幼儿师范高等专科学校</w:t>
            </w:r>
          </w:p>
        </w:tc>
      </w:tr>
      <w:tr>
        <w:tblPrEx>
          <w:tblCellMar>
            <w:top w:w="0" w:type="dxa"/>
            <w:left w:w="0" w:type="dxa"/>
            <w:bottom w:w="0" w:type="dxa"/>
            <w:right w:w="0" w:type="dxa"/>
          </w:tblCellMar>
        </w:tblPrEx>
        <w:trPr>
          <w:trHeight w:val="620"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预算执行情况(万元)</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8.33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8.33</w:t>
            </w:r>
          </w:p>
        </w:tc>
      </w:tr>
      <w:tr>
        <w:tblPrEx>
          <w:tblCellMar>
            <w:top w:w="0" w:type="dxa"/>
            <w:left w:w="0" w:type="dxa"/>
            <w:bottom w:w="0" w:type="dxa"/>
            <w:right w:w="0" w:type="dxa"/>
          </w:tblCellMar>
        </w:tblPrEx>
        <w:trPr>
          <w:trHeight w:val="60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8.33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8.33</w:t>
            </w:r>
          </w:p>
        </w:tc>
      </w:tr>
      <w:tr>
        <w:tblPrEx>
          <w:tblCellMar>
            <w:top w:w="0" w:type="dxa"/>
            <w:left w:w="0" w:type="dxa"/>
            <w:bottom w:w="0" w:type="dxa"/>
            <w:right w:w="0" w:type="dxa"/>
          </w:tblCellMar>
        </w:tblPrEx>
        <w:trPr>
          <w:trHeight w:val="60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其它资金:</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其它资金: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年度目标完成情况</w:t>
            </w:r>
          </w:p>
        </w:tc>
        <w:tc>
          <w:tcPr>
            <w:tcW w:w="46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实际完成目标</w:t>
            </w:r>
          </w:p>
        </w:tc>
      </w:tr>
      <w:tr>
        <w:tblPrEx>
          <w:tblCellMar>
            <w:top w:w="0" w:type="dxa"/>
            <w:left w:w="0" w:type="dxa"/>
            <w:bottom w:w="0" w:type="dxa"/>
            <w:right w:w="0" w:type="dxa"/>
          </w:tblCellMar>
        </w:tblPrEx>
        <w:trPr>
          <w:trHeight w:val="62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660" w:firstLineChars="3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为困难学生提供临时价格补贴</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按时发放临时价格补贴</w:t>
            </w:r>
          </w:p>
        </w:tc>
      </w:tr>
      <w:tr>
        <w:tblPrEx>
          <w:shd w:val="clear" w:color="auto" w:fill="auto"/>
          <w:tblCellMar>
            <w:top w:w="0" w:type="dxa"/>
            <w:left w:w="0" w:type="dxa"/>
            <w:bottom w:w="0" w:type="dxa"/>
            <w:right w:w="0" w:type="dxa"/>
          </w:tblCellMar>
        </w:tblPrEx>
        <w:trPr>
          <w:trHeight w:val="880"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绩效指标完成情况</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预期指标值(包含数字及文字描述)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实际完成指标值(包含数字及文字描述)</w:t>
            </w:r>
          </w:p>
        </w:tc>
      </w:tr>
      <w:tr>
        <w:tblPrEx>
          <w:shd w:val="clear" w:color="auto" w:fill="auto"/>
          <w:tblCellMar>
            <w:top w:w="0" w:type="dxa"/>
            <w:left w:w="0" w:type="dxa"/>
            <w:bottom w:w="0" w:type="dxa"/>
            <w:right w:w="0" w:type="dxa"/>
          </w:tblCellMar>
        </w:tblPrEx>
        <w:trPr>
          <w:trHeight w:val="62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大专学生</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2602人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2602人</w:t>
            </w:r>
          </w:p>
        </w:tc>
      </w:tr>
      <w:tr>
        <w:tblPrEx>
          <w:tblCellMar>
            <w:top w:w="0" w:type="dxa"/>
            <w:left w:w="0" w:type="dxa"/>
            <w:bottom w:w="0" w:type="dxa"/>
            <w:right w:w="0" w:type="dxa"/>
          </w:tblCellMar>
        </w:tblPrEx>
        <w:trPr>
          <w:trHeight w:val="14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中专学生</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112人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112人</w:t>
            </w:r>
          </w:p>
        </w:tc>
      </w:tr>
      <w:tr>
        <w:tblPrEx>
          <w:tblCellMar>
            <w:top w:w="0" w:type="dxa"/>
            <w:left w:w="0" w:type="dxa"/>
            <w:bottom w:w="0" w:type="dxa"/>
            <w:right w:w="0" w:type="dxa"/>
          </w:tblCellMar>
        </w:tblPrEx>
        <w:trPr>
          <w:trHeight w:val="5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时效指标</w:t>
            </w:r>
          </w:p>
        </w:tc>
        <w:tc>
          <w:tcPr>
            <w:tcW w:w="35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及时发放到位</w:t>
            </w:r>
          </w:p>
        </w:tc>
        <w:tc>
          <w:tcPr>
            <w:tcW w:w="15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2020年内发放到位</w:t>
            </w:r>
          </w:p>
        </w:tc>
        <w:tc>
          <w:tcPr>
            <w:tcW w:w="15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2020年11月发放到位</w:t>
            </w:r>
          </w:p>
        </w:tc>
      </w:tr>
      <w:tr>
        <w:tblPrEx>
          <w:tblCellMar>
            <w:top w:w="0" w:type="dxa"/>
            <w:left w:w="0" w:type="dxa"/>
            <w:bottom w:w="0" w:type="dxa"/>
            <w:right w:w="0" w:type="dxa"/>
          </w:tblCellMar>
        </w:tblPrEx>
        <w:trPr>
          <w:trHeight w:val="94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减轻困难学生生活压力，激励学生成长成才</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r>
      <w:tr>
        <w:tblPrEx>
          <w:tblCellMar>
            <w:top w:w="0" w:type="dxa"/>
            <w:left w:w="0" w:type="dxa"/>
            <w:bottom w:w="0" w:type="dxa"/>
            <w:right w:w="0" w:type="dxa"/>
          </w:tblCellMar>
        </w:tblPrEx>
        <w:trPr>
          <w:trHeight w:val="100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学生、家长满意度</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100%</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100%</w:t>
            </w:r>
          </w:p>
        </w:tc>
      </w:tr>
    </w:tbl>
    <w:p>
      <w:pPr>
        <w:spacing w:line="580" w:lineRule="exact"/>
        <w:rPr>
          <w:rFonts w:hint="eastAsia" w:ascii="楷体_GB2312" w:hAnsi="楷体_GB2312" w:eastAsia="楷体_GB2312" w:cs="楷体_GB2312"/>
          <w:sz w:val="32"/>
          <w:szCs w:val="32"/>
        </w:rPr>
        <w:sectPr>
          <w:pgSz w:w="11906" w:h="16838"/>
          <w:pgMar w:top="1440" w:right="2126"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tbl>
      <w:tblPr>
        <w:tblStyle w:val="13"/>
        <w:tblW w:w="8696" w:type="dxa"/>
        <w:jc w:val="center"/>
        <w:shd w:val="clear" w:color="auto" w:fill="auto"/>
        <w:tblLayout w:type="autofit"/>
        <w:tblCellMar>
          <w:top w:w="0" w:type="dxa"/>
          <w:left w:w="0" w:type="dxa"/>
          <w:bottom w:w="0" w:type="dxa"/>
          <w:right w:w="0" w:type="dxa"/>
        </w:tblCellMar>
      </w:tblPr>
      <w:tblGrid>
        <w:gridCol w:w="620"/>
        <w:gridCol w:w="851"/>
        <w:gridCol w:w="1163"/>
        <w:gridCol w:w="2183"/>
        <w:gridCol w:w="1892"/>
        <w:gridCol w:w="1987"/>
      </w:tblGrid>
      <w:tr>
        <w:tblPrEx>
          <w:tblCellMar>
            <w:top w:w="0" w:type="dxa"/>
            <w:left w:w="0" w:type="dxa"/>
            <w:bottom w:w="0" w:type="dxa"/>
            <w:right w:w="0" w:type="dxa"/>
          </w:tblCellMar>
        </w:tblPrEx>
        <w:trPr>
          <w:trHeight w:val="620" w:hRule="atLeast"/>
          <w:jc w:val="center"/>
        </w:trPr>
        <w:tc>
          <w:tcPr>
            <w:tcW w:w="8696"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项目绩效目标完成情况表</w:t>
            </w:r>
          </w:p>
        </w:tc>
      </w:tr>
      <w:tr>
        <w:tblPrEx>
          <w:tblCellMar>
            <w:top w:w="0" w:type="dxa"/>
            <w:left w:w="0" w:type="dxa"/>
            <w:bottom w:w="0" w:type="dxa"/>
            <w:right w:w="0" w:type="dxa"/>
          </w:tblCellMar>
        </w:tblPrEx>
        <w:trPr>
          <w:trHeight w:val="620" w:hRule="atLeast"/>
          <w:jc w:val="center"/>
        </w:trPr>
        <w:tc>
          <w:tcPr>
            <w:tcW w:w="8696"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(20</w:t>
            </w:r>
            <w:r>
              <w:rPr>
                <w:rFonts w:hint="eastAsia" w:ascii="宋体" w:hAnsi="宋体" w:cs="宋体"/>
                <w:i w:val="0"/>
                <w:color w:val="000000"/>
                <w:kern w:val="0"/>
                <w:sz w:val="32"/>
                <w:szCs w:val="32"/>
                <w:u w:val="none"/>
                <w:lang w:val="en-US" w:eastAsia="zh-CN" w:bidi="ar"/>
              </w:rPr>
              <w:t>20</w:t>
            </w:r>
            <w:r>
              <w:rPr>
                <w:rFonts w:hint="eastAsia" w:ascii="宋体" w:hAnsi="宋体" w:eastAsia="宋体" w:cs="宋体"/>
                <w:i w:val="0"/>
                <w:color w:val="000000"/>
                <w:kern w:val="0"/>
                <w:sz w:val="32"/>
                <w:szCs w:val="32"/>
                <w:u w:val="none"/>
                <w:lang w:val="en-US" w:eastAsia="zh-CN" w:bidi="ar"/>
              </w:rPr>
              <w:t xml:space="preserve"> 年度)</w:t>
            </w:r>
          </w:p>
        </w:tc>
      </w:tr>
      <w:tr>
        <w:tblPrEx>
          <w:tblCellMar>
            <w:top w:w="0" w:type="dxa"/>
            <w:left w:w="0" w:type="dxa"/>
            <w:bottom w:w="0" w:type="dxa"/>
            <w:right w:w="0" w:type="dxa"/>
          </w:tblCellMar>
        </w:tblPrEx>
        <w:trPr>
          <w:trHeight w:val="48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60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r>
              <w:rPr>
                <w:rFonts w:hint="eastAsia" w:ascii="宋体" w:hAnsi="宋体" w:cs="宋体"/>
                <w:i w:val="0"/>
                <w:color w:val="000000"/>
                <w:kern w:val="0"/>
                <w:sz w:val="22"/>
                <w:szCs w:val="22"/>
                <w:u w:val="none"/>
                <w:lang w:val="en-US" w:eastAsia="zh-CN" w:bidi="ar"/>
              </w:rPr>
              <w:t>20</w:t>
            </w:r>
            <w:r>
              <w:rPr>
                <w:rFonts w:hint="eastAsia" w:ascii="宋体" w:hAnsi="宋体" w:eastAsia="宋体" w:cs="宋体"/>
                <w:i w:val="0"/>
                <w:color w:val="000000"/>
                <w:kern w:val="0"/>
                <w:sz w:val="22"/>
                <w:szCs w:val="22"/>
                <w:u w:val="none"/>
                <w:lang w:val="en-US" w:eastAsia="zh-CN" w:bidi="ar"/>
              </w:rPr>
              <w:t>年现代职业教育质量提升计划专项资金（高职生均拨款奖补）</w:t>
            </w:r>
          </w:p>
        </w:tc>
      </w:tr>
      <w:tr>
        <w:tblPrEx>
          <w:tblCellMar>
            <w:top w:w="0" w:type="dxa"/>
            <w:left w:w="0" w:type="dxa"/>
            <w:bottom w:w="0" w:type="dxa"/>
            <w:right w:w="0" w:type="dxa"/>
          </w:tblCellMar>
        </w:tblPrEx>
        <w:trPr>
          <w:trHeight w:val="46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w:t>
            </w:r>
          </w:p>
        </w:tc>
        <w:tc>
          <w:tcPr>
            <w:tcW w:w="60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川北幼儿师范高等专科学校</w:t>
            </w:r>
          </w:p>
        </w:tc>
      </w:tr>
      <w:tr>
        <w:tblPrEx>
          <w:tblCellMar>
            <w:top w:w="0" w:type="dxa"/>
            <w:left w:w="0" w:type="dxa"/>
            <w:bottom w:w="0" w:type="dxa"/>
            <w:right w:w="0" w:type="dxa"/>
          </w:tblCellMar>
        </w:tblPrEx>
        <w:trPr>
          <w:trHeight w:val="6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预算执行情况(万元)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293</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执行数:</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293</w:t>
            </w:r>
          </w:p>
        </w:tc>
      </w:tr>
      <w:tr>
        <w:tblPrEx>
          <w:tblCellMar>
            <w:top w:w="0" w:type="dxa"/>
            <w:left w:w="0" w:type="dxa"/>
            <w:bottom w:w="0" w:type="dxa"/>
            <w:right w:w="0"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293</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293</w:t>
            </w:r>
          </w:p>
        </w:tc>
      </w:tr>
      <w:tr>
        <w:tblPrEx>
          <w:tblCellMar>
            <w:top w:w="0" w:type="dxa"/>
            <w:left w:w="0" w:type="dxa"/>
            <w:bottom w:w="0" w:type="dxa"/>
            <w:right w:w="0"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其它资金: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其它资金:</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年度目标完成情况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实际完成目标</w:t>
            </w:r>
          </w:p>
        </w:tc>
      </w:tr>
      <w:tr>
        <w:tblPrEx>
          <w:tblCellMar>
            <w:top w:w="0" w:type="dxa"/>
            <w:left w:w="0" w:type="dxa"/>
            <w:bottom w:w="0" w:type="dxa"/>
            <w:right w:w="0" w:type="dxa"/>
          </w:tblCellMar>
        </w:tblPrEx>
        <w:trPr>
          <w:trHeight w:val="14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1.教学钢琴采购；                                 2.推进“1+X证书制度试点”项目；                       3.推进现代学徒制试点建设；                         4.提高学校“双师型”教师队伍素质和能力</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   </w:t>
            </w:r>
          </w:p>
        </w:tc>
        <w:tc>
          <w:tcPr>
            <w:tcW w:w="3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1.完成钢琴采购，推进基础能力标准化建设；                             2.“1+X证书制度试点”项目有效推进；                       3.现代学徒制试点建设有效推进；                         4.一定程度提高了“双师型”教师队伍素质和能力</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88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预期指标值(包含数字及文字描述)</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实际完成指标值(包含数字及文字描述)</w:t>
            </w:r>
          </w:p>
        </w:tc>
      </w:tr>
      <w:tr>
        <w:tblPrEx>
          <w:shd w:val="clear" w:color="auto" w:fill="auto"/>
          <w:tblCellMar>
            <w:top w:w="0" w:type="dxa"/>
            <w:left w:w="0" w:type="dxa"/>
            <w:bottom w:w="0" w:type="dxa"/>
            <w:right w:w="0" w:type="dxa"/>
          </w:tblCellMar>
        </w:tblPrEx>
        <w:trPr>
          <w:trHeight w:val="4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教师素质提高培训人数</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≥20人</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24人</w:t>
            </w:r>
          </w:p>
        </w:tc>
      </w:tr>
      <w:tr>
        <w:tblPrEx>
          <w:tblCellMar>
            <w:top w:w="0" w:type="dxa"/>
            <w:left w:w="0" w:type="dxa"/>
            <w:bottom w:w="0" w:type="dxa"/>
            <w:right w:w="0" w:type="dxa"/>
          </w:tblCellMar>
        </w:tblPrEx>
        <w:trPr>
          <w:trHeight w:val="7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教学钢琴及进口三角钢琴采购</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112台</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112台</w:t>
            </w:r>
          </w:p>
        </w:tc>
      </w:tr>
      <w:tr>
        <w:tblPrEx>
          <w:tblCellMar>
            <w:top w:w="0" w:type="dxa"/>
            <w:left w:w="0" w:type="dxa"/>
            <w:bottom w:w="0" w:type="dxa"/>
            <w:right w:w="0" w:type="dxa"/>
          </w:tblCellMar>
        </w:tblPrEx>
        <w:trPr>
          <w:trHeight w:val="4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数量</w:t>
            </w:r>
            <w:r>
              <w:rPr>
                <w:rFonts w:hint="eastAsia" w:ascii="宋体" w:hAnsi="宋体" w:eastAsia="宋体" w:cs="宋体"/>
                <w:i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特色专业项目建设</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2个</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2个</w:t>
            </w:r>
          </w:p>
        </w:tc>
      </w:tr>
      <w:tr>
        <w:tblPrEx>
          <w:tblCellMar>
            <w:top w:w="0" w:type="dxa"/>
            <w:left w:w="0" w:type="dxa"/>
            <w:bottom w:w="0" w:type="dxa"/>
            <w:right w:w="0" w:type="dxa"/>
          </w:tblCellMar>
        </w:tblPrEx>
        <w:trPr>
          <w:trHeight w:val="5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质量</w:t>
            </w:r>
            <w:r>
              <w:rPr>
                <w:rFonts w:hint="eastAsia" w:ascii="宋体" w:hAnsi="宋体" w:eastAsia="宋体" w:cs="宋体"/>
                <w:i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参训教师结业率</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≥90%</w:t>
            </w:r>
          </w:p>
        </w:tc>
        <w:tc>
          <w:tcPr>
            <w:tcW w:w="198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60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按照规划完成2020年培训目标</w:t>
            </w:r>
          </w:p>
        </w:tc>
        <w:tc>
          <w:tcPr>
            <w:tcW w:w="189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100%</w:t>
            </w:r>
          </w:p>
        </w:tc>
        <w:tc>
          <w:tcPr>
            <w:tcW w:w="198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7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为社会经济发展，提供技术技能型人才</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≥20人</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24人</w:t>
            </w:r>
          </w:p>
        </w:tc>
      </w:tr>
      <w:tr>
        <w:tblPrEx>
          <w:tblCellMar>
            <w:top w:w="0" w:type="dxa"/>
            <w:left w:w="0" w:type="dxa"/>
            <w:bottom w:w="0" w:type="dxa"/>
            <w:right w:w="0" w:type="dxa"/>
          </w:tblCellMar>
        </w:tblPrEx>
        <w:trPr>
          <w:trHeight w:val="95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职业教育受益学生</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≥2000名</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≥2000名</w:t>
            </w:r>
          </w:p>
        </w:tc>
      </w:tr>
      <w:tr>
        <w:tblPrEx>
          <w:tblCellMar>
            <w:top w:w="0" w:type="dxa"/>
            <w:left w:w="0" w:type="dxa"/>
            <w:bottom w:w="0" w:type="dxa"/>
            <w:right w:w="0" w:type="dxa"/>
          </w:tblCellMar>
        </w:tblPrEx>
        <w:trPr>
          <w:trHeight w:val="95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教师、学生和家长对项目的综合满意度</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r>
    </w:tbl>
    <w:p>
      <w:pPr>
        <w:spacing w:line="580" w:lineRule="exact"/>
        <w:jc w:val="center"/>
        <w:rPr>
          <w:rFonts w:hint="eastAsia" w:ascii="楷体_GB2312" w:hAnsi="楷体_GB2312" w:eastAsia="楷体_GB2312" w:cs="楷体_GB2312"/>
          <w:sz w:val="32"/>
          <w:szCs w:val="32"/>
        </w:rPr>
        <w:sectPr>
          <w:pgSz w:w="11906" w:h="16838"/>
          <w:pgMar w:top="1440" w:right="2126"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川北幼儿师范高等专科学校</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年部门整体支出绩效评价报告》见附件（附件1）。</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本部门自行组织对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2020年学生资助补助经费（高等教育）</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、“高校共建与发展专项资金（公费师范生补助）”、“高校共建与发展专项资金（困难大学生就业帮扶与就业工作经费）”、“</w:t>
      </w:r>
      <w:r>
        <w:rPr>
          <w:rFonts w:hint="eastAsia" w:ascii="仿宋_GB2312" w:hAnsi="仿宋_GB2312" w:eastAsia="仿宋_GB2312" w:cs="仿宋_GB2312"/>
          <w:sz w:val="32"/>
          <w:szCs w:val="32"/>
        </w:rPr>
        <w:t>彩票公益金支出</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—2020年9月临时价格补贴</w:t>
      </w:r>
      <w:r>
        <w:rPr>
          <w:rFonts w:hint="eastAsia" w:ascii="仿宋_GB2312" w:hAnsi="仿宋_GB2312" w:eastAsia="仿宋_GB2312" w:cs="仿宋_GB2312"/>
          <w:sz w:val="32"/>
          <w:szCs w:val="32"/>
          <w:lang w:eastAsia="zh-CN"/>
        </w:rPr>
        <w:t>”、“2020年现代职业教育质量提升计划专项资金”</w:t>
      </w:r>
      <w:r>
        <w:rPr>
          <w:rFonts w:hint="eastAsia" w:ascii="仿宋_GB2312" w:hAnsi="仿宋_GB2312" w:eastAsia="仿宋_GB2312" w:cs="仿宋_GB2312"/>
          <w:sz w:val="32"/>
          <w:szCs w:val="32"/>
          <w:lang w:val="en-US" w:eastAsia="zh-CN"/>
        </w:rPr>
        <w:t>5个项目</w:t>
      </w:r>
      <w:r>
        <w:rPr>
          <w:rFonts w:hint="eastAsia" w:ascii="仿宋" w:hAnsi="仿宋" w:eastAsia="仿宋"/>
          <w:color w:val="000000"/>
          <w:sz w:val="32"/>
          <w:szCs w:val="32"/>
        </w:rPr>
        <w:t>开展了绩效评价，</w:t>
      </w:r>
      <w:r>
        <w:rPr>
          <w:rFonts w:hint="eastAsia" w:ascii="仿宋" w:hAnsi="仿宋" w:eastAsia="仿宋"/>
          <w:color w:val="000000"/>
          <w:sz w:val="32"/>
          <w:szCs w:val="32"/>
          <w:lang w:eastAsia="zh-CN"/>
        </w:rPr>
        <w:t>各项目绩效评价报告</w:t>
      </w:r>
      <w:r>
        <w:rPr>
          <w:rFonts w:hint="eastAsia" w:ascii="仿宋" w:hAnsi="仿宋" w:eastAsia="仿宋"/>
          <w:color w:val="000000"/>
          <w:sz w:val="32"/>
          <w:szCs w:val="32"/>
        </w:rPr>
        <w:t>见附件（附件</w:t>
      </w:r>
      <w:r>
        <w:rPr>
          <w:rFonts w:ascii="仿宋" w:hAnsi="仿宋" w:eastAsia="仿宋"/>
          <w:color w:val="000000"/>
          <w:sz w:val="32"/>
          <w:szCs w:val="32"/>
        </w:rPr>
        <w:t>2</w:t>
      </w:r>
      <w:r>
        <w:rPr>
          <w:rFonts w:hint="eastAsia" w:ascii="仿宋" w:hAnsi="仿宋" w:eastAsia="仿宋"/>
          <w:color w:val="000000"/>
          <w:sz w:val="32"/>
          <w:szCs w:val="32"/>
        </w:rPr>
        <w:t>）。</w:t>
      </w:r>
    </w:p>
    <w:p>
      <w:pPr>
        <w:keepNext w:val="0"/>
        <w:keepLines w:val="0"/>
        <w:pageBreakBefore w:val="0"/>
        <w:widowControl/>
        <w:kinsoku/>
        <w:wordWrap/>
        <w:overflowPunct/>
        <w:topLinePunct w:val="0"/>
        <w:autoSpaceDE/>
        <w:autoSpaceDN/>
        <w:bidi w:val="0"/>
        <w:adjustRightInd/>
        <w:snapToGrid/>
        <w:ind w:firstLine="642" w:firstLineChars="200"/>
        <w:jc w:val="left"/>
        <w:textAlignment w:val="auto"/>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6"/>
          <w:rFonts w:ascii="黑体" w:hAnsi="黑体" w:eastAsia="黑体"/>
          <w:b w:val="0"/>
        </w:rPr>
      </w:pPr>
      <w:bookmarkStart w:id="62" w:name="_Toc29059"/>
      <w:bookmarkStart w:id="63" w:name="_Toc15377225"/>
      <w:bookmarkStart w:id="64" w:name="_Toc15396613"/>
      <w:r>
        <w:rPr>
          <w:rFonts w:hint="eastAsia" w:ascii="黑体" w:hAnsi="黑体" w:eastAsia="黑体"/>
          <w:color w:val="000000"/>
          <w:sz w:val="44"/>
          <w:szCs w:val="44"/>
        </w:rPr>
        <w:t>名</w:t>
      </w:r>
      <w:r>
        <w:rPr>
          <w:rStyle w:val="26"/>
          <w:rFonts w:hint="eastAsia" w:ascii="黑体" w:hAnsi="黑体" w:eastAsia="黑体"/>
          <w:b w:val="0"/>
        </w:rPr>
        <w:t>词解释</w:t>
      </w:r>
      <w:bookmarkEnd w:id="62"/>
      <w:bookmarkEnd w:id="63"/>
      <w:bookmarkEnd w:id="64"/>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事业收入：指事业单位开展专业业务活动及辅助活动取得的收入。如学费、住宿费</w:t>
      </w:r>
      <w:r>
        <w:rPr>
          <w:rFonts w:ascii="仿宋_GB2312" w:eastAsia="仿宋_GB2312"/>
          <w:sz w:val="32"/>
          <w:szCs w:val="32"/>
        </w:rPr>
        <w:t>、短期培训费</w:t>
      </w:r>
      <w:r>
        <w:rPr>
          <w:rFonts w:hint="eastAsia" w:ascii="仿宋_GB2312" w:eastAsia="仿宋_GB2312"/>
          <w:sz w:val="32"/>
          <w:szCs w:val="32"/>
        </w:rPr>
        <w:t>等。</w:t>
      </w:r>
    </w:p>
    <w:p>
      <w:pPr>
        <w:pStyle w:val="24"/>
        <w:spacing w:line="560" w:lineRule="exact"/>
        <w:ind w:firstLine="640" w:firstLineChars="200"/>
        <w:rPr>
          <w:rFonts w:hint="eastAsia" w:ascii="仿宋_GB2312" w:eastAsia="仿宋_GB2312"/>
          <w:color w:val="auto"/>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w:t>
      </w:r>
      <w:r>
        <w:rPr>
          <w:rFonts w:hint="eastAsia" w:ascii="仿宋_GB2312" w:eastAsia="仿宋_GB2312"/>
          <w:color w:val="auto"/>
          <w:sz w:val="32"/>
          <w:szCs w:val="32"/>
        </w:rPr>
        <w:t>主要是利息</w:t>
      </w:r>
      <w:r>
        <w:rPr>
          <w:rFonts w:ascii="仿宋_GB2312" w:eastAsia="仿宋_GB2312"/>
          <w:color w:val="auto"/>
          <w:sz w:val="32"/>
          <w:szCs w:val="32"/>
        </w:rPr>
        <w:t>收入、捐赠收入</w:t>
      </w:r>
      <w:r>
        <w:rPr>
          <w:rFonts w:hint="eastAsia" w:ascii="仿宋_GB2312" w:eastAsia="仿宋_GB2312"/>
          <w:color w:val="auto"/>
          <w:sz w:val="32"/>
          <w:szCs w:val="32"/>
        </w:rPr>
        <w:t>等。</w:t>
      </w:r>
    </w:p>
    <w:p>
      <w:pPr>
        <w:pStyle w:val="24"/>
        <w:spacing w:line="560" w:lineRule="exact"/>
        <w:ind w:firstLine="640" w:firstLineChars="200"/>
        <w:rPr>
          <w:rFonts w:hint="eastAsia" w:ascii="仿宋_GB2312" w:eastAsia="仿宋_GB2312"/>
          <w:color w:val="auto"/>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使用非财政拨款结余：指事业单位使用以前年度积累的非财政拨款结余弥补当年收支差额的金额。</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结余分配：指事业单位按照会计制度规定缴纳的所得税、提取的专用结余以及转入非财政拨款结余的金额等。</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、年末结转和结余：指单位按有关规定结转到下年或以后年度继续使用的资金。</w:t>
      </w:r>
    </w:p>
    <w:p>
      <w:pPr>
        <w:spacing w:line="560" w:lineRule="exact"/>
        <w:ind w:firstLine="640" w:firstLineChars="200"/>
        <w:rPr>
          <w:rFonts w:ascii="仿宋_GB2312" w:hAnsi="Calibri" w:eastAsia="仿宋_GB2312" w:cs="仿宋"/>
          <w:color w:val="000000"/>
          <w:kern w:val="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ascii="仿宋_GB2312" w:hAnsi="Calibri" w:eastAsia="仿宋_GB2312" w:cs="仿宋"/>
          <w:color w:val="000000"/>
          <w:kern w:val="0"/>
          <w:sz w:val="32"/>
          <w:szCs w:val="32"/>
        </w:rPr>
        <w:t>教育（类）职业教育（款）高等职业教育（项）：指经国家批准设立的高等职业大学、专科职业教育等方面的支出。</w:t>
      </w:r>
    </w:p>
    <w:p>
      <w:pPr>
        <w:spacing w:line="560" w:lineRule="exact"/>
        <w:ind w:firstLine="640" w:firstLineChars="200"/>
        <w:rPr>
          <w:rFonts w:ascii="仿宋_GB2312" w:hAnsi="Calibri" w:eastAsia="仿宋_GB2312" w:cs="仿宋"/>
          <w:color w:val="000000"/>
          <w:kern w:val="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ascii="仿宋_GB2312" w:hAnsi="Calibri" w:eastAsia="仿宋_GB2312" w:cs="仿宋"/>
          <w:color w:val="000000"/>
          <w:kern w:val="0"/>
          <w:sz w:val="32"/>
          <w:szCs w:val="32"/>
        </w:rPr>
        <w:t>社会保障和就业（类）行政事业单位离退休（款）机关事业单位基本养老保险缴费支出（项）：指机关事业单位实施养老保险制度由单位缴纳的基本养老保险费支出。</w:t>
      </w:r>
    </w:p>
    <w:p>
      <w:pPr>
        <w:spacing w:line="560" w:lineRule="exact"/>
        <w:ind w:firstLine="640" w:firstLineChars="200"/>
        <w:rPr>
          <w:rFonts w:ascii="仿宋_GB2312" w:hAnsi="Calibri" w:eastAsia="仿宋_GB2312" w:cs="仿宋"/>
          <w:color w:val="000000"/>
          <w:kern w:val="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ascii="仿宋_GB2312" w:hAnsi="Calibri" w:eastAsia="仿宋_GB2312" w:cs="仿宋"/>
          <w:color w:val="000000"/>
          <w:kern w:val="0"/>
          <w:sz w:val="32"/>
          <w:szCs w:val="32"/>
        </w:rPr>
        <w:t>医疗卫生与计划生育（类）医疗保障（款）事业单位医疗（项）：指财政部门集中安排的事业单位基本医疗保险缴费经费，未参加医疗保险的事业单位的公费医疗经费，按国家规定享受离休人员待遇人员的医疗经费。</w:t>
      </w:r>
    </w:p>
    <w:p>
      <w:pPr>
        <w:spacing w:line="560" w:lineRule="exact"/>
        <w:ind w:firstLine="640" w:firstLineChars="200"/>
        <w:rPr>
          <w:rFonts w:ascii="仿宋_GB2312" w:hAnsi="Calibri" w:eastAsia="仿宋_GB2312" w:cs="仿宋"/>
          <w:color w:val="000000"/>
          <w:kern w:val="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ascii="仿宋_GB2312" w:hAnsi="Calibri" w:eastAsia="仿宋_GB2312" w:cs="仿宋"/>
          <w:color w:val="000000"/>
          <w:kern w:val="0"/>
          <w:sz w:val="32"/>
          <w:szCs w:val="32"/>
        </w:rPr>
        <w:t>住房保障（类）住房改革支出（款）住房公积金（项）：指行政事业单位按人力资源和社会保障部、财政部规定的基本工资和津贴补贴以及规定比例为职工缴纳的住房公积金。</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both"/>
        <w:outlineLvl w:val="0"/>
        <w:rPr>
          <w:rStyle w:val="26"/>
          <w:rFonts w:ascii="黑体" w:hAnsi="黑体" w:eastAsia="黑体"/>
          <w:b w:val="0"/>
        </w:rPr>
      </w:pPr>
      <w:bookmarkStart w:id="65" w:name="_Toc15377226"/>
      <w:bookmarkStart w:id="87" w:name="_GoBack"/>
      <w:bookmarkEnd w:id="87"/>
      <w:r>
        <w:rPr>
          <w:rFonts w:ascii="宋体"/>
          <w:b/>
          <w:color w:val="000000"/>
          <w:sz w:val="44"/>
          <w:szCs w:val="44"/>
        </w:rPr>
        <w:br w:type="page"/>
      </w:r>
      <w:bookmarkStart w:id="66" w:name="_Toc15396614"/>
      <w:bookmarkStart w:id="67" w:name="_Toc719"/>
      <w:r>
        <w:rPr>
          <w:rFonts w:hint="eastAsia" w:ascii="黑体" w:hAnsi="黑体" w:eastAsia="黑体"/>
          <w:color w:val="000000"/>
          <w:sz w:val="44"/>
          <w:szCs w:val="44"/>
        </w:rPr>
        <w:t>第</w:t>
      </w:r>
      <w:r>
        <w:rPr>
          <w:rStyle w:val="26"/>
          <w:rFonts w:hint="eastAsia" w:ascii="黑体" w:hAnsi="黑体" w:eastAsia="黑体"/>
          <w:b w:val="0"/>
        </w:rPr>
        <w:t>四部分 附件</w:t>
      </w:r>
      <w:bookmarkEnd w:id="66"/>
      <w:bookmarkEnd w:id="67"/>
    </w:p>
    <w:p>
      <w:pPr>
        <w:spacing w:line="600" w:lineRule="exact"/>
        <w:jc w:val="left"/>
        <w:outlineLvl w:val="0"/>
        <w:rPr>
          <w:rFonts w:ascii="方正小标宋简体" w:hAnsi="方正小标宋简体" w:eastAsia="方正小标宋简体" w:cs="方正小标宋简体"/>
          <w:sz w:val="32"/>
          <w:szCs w:val="32"/>
        </w:rPr>
      </w:pPr>
      <w:bookmarkStart w:id="68" w:name="_Toc6658"/>
      <w:r>
        <w:rPr>
          <w:rFonts w:hint="eastAsia" w:ascii="黑体" w:hAnsi="黑体" w:eastAsia="黑体" w:cs="黑体"/>
          <w:sz w:val="32"/>
          <w:szCs w:val="32"/>
        </w:rPr>
        <w:t>附件1</w:t>
      </w:r>
      <w:bookmarkEnd w:id="68"/>
    </w:p>
    <w:p>
      <w:pPr>
        <w:spacing w:line="580" w:lineRule="exact"/>
        <w:jc w:val="center"/>
        <w:rPr>
          <w:rFonts w:ascii="方正小标宋简体" w:hAnsi="方正小标宋简体" w:eastAsia="方正小标宋简体" w:cs="方正小标宋简体"/>
          <w:sz w:val="44"/>
          <w:szCs w:val="44"/>
        </w:rPr>
      </w:pPr>
    </w:p>
    <w:p>
      <w:pPr>
        <w:spacing w:line="600" w:lineRule="exact"/>
        <w:jc w:val="center"/>
        <w:outlineLvl w:val="0"/>
        <w:rPr>
          <w:rFonts w:ascii="黑体" w:hAnsi="黑体" w:eastAsia="黑体" w:cs="方正小标宋简体"/>
          <w:sz w:val="36"/>
          <w:szCs w:val="36"/>
        </w:rPr>
      </w:pPr>
      <w:bookmarkStart w:id="69" w:name="_Toc30613"/>
      <w:bookmarkStart w:id="70" w:name="_Toc15396616"/>
      <w:r>
        <w:rPr>
          <w:rFonts w:hint="eastAsia" w:ascii="黑体" w:hAnsi="黑体" w:eastAsia="黑体" w:cs="方正小标宋简体"/>
          <w:sz w:val="36"/>
          <w:szCs w:val="36"/>
        </w:rPr>
        <w:t>川北幼儿师范高等专科学校</w:t>
      </w:r>
      <w:bookmarkEnd w:id="69"/>
    </w:p>
    <w:p>
      <w:pPr>
        <w:spacing w:line="600" w:lineRule="exact"/>
        <w:jc w:val="center"/>
        <w:outlineLvl w:val="0"/>
        <w:rPr>
          <w:rFonts w:ascii="黑体" w:hAnsi="黑体" w:eastAsia="黑体" w:cs="方正小标宋简体"/>
          <w:sz w:val="36"/>
          <w:szCs w:val="36"/>
        </w:rPr>
      </w:pPr>
      <w:bookmarkStart w:id="71" w:name="_Toc10245"/>
      <w:r>
        <w:rPr>
          <w:rFonts w:hint="eastAsia" w:ascii="黑体" w:hAnsi="黑体" w:eastAsia="黑体" w:cs="方正小标宋简体"/>
          <w:sz w:val="36"/>
          <w:szCs w:val="36"/>
        </w:rPr>
        <w:t>20</w:t>
      </w:r>
      <w:r>
        <w:rPr>
          <w:rFonts w:hint="eastAsia" w:ascii="黑体" w:hAnsi="黑体" w:eastAsia="黑体" w:cs="方正小标宋简体"/>
          <w:sz w:val="36"/>
          <w:szCs w:val="36"/>
          <w:lang w:val="en-US" w:eastAsia="zh-CN"/>
        </w:rPr>
        <w:t>20</w:t>
      </w:r>
      <w:r>
        <w:rPr>
          <w:rFonts w:hint="eastAsia" w:ascii="黑体" w:hAnsi="黑体" w:eastAsia="黑体" w:cs="方正小标宋简体"/>
          <w:sz w:val="36"/>
          <w:szCs w:val="36"/>
        </w:rPr>
        <w:t>年部门整体支出绩效评价报告</w:t>
      </w:r>
      <w:bookmarkEnd w:id="70"/>
      <w:bookmarkEnd w:id="71"/>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一、部门概况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川北幼儿师范高等专科学校是经四川省人民政府批准成立、教育部备案的公办全日制普通高等学校,是在原四川省广元师范学校基础上创建的，由广元市教育局管理的独立核算一级预算单位，执行</w:t>
      </w:r>
      <w:r>
        <w:rPr>
          <w:rFonts w:hint="eastAsia" w:ascii="仿宋_GB2312" w:hAnsi="宋体" w:eastAsia="仿宋_GB2312" w:cs="宋体"/>
          <w:kern w:val="0"/>
          <w:sz w:val="32"/>
          <w:szCs w:val="32"/>
          <w:lang w:eastAsia="zh-CN"/>
        </w:rPr>
        <w:t>政府会计制度</w:t>
      </w:r>
      <w:r>
        <w:rPr>
          <w:rFonts w:hint="eastAsia" w:ascii="仿宋_GB2312" w:hAnsi="宋体" w:eastAsia="仿宋_GB2312" w:cs="宋体"/>
          <w:kern w:val="0"/>
          <w:sz w:val="32"/>
          <w:szCs w:val="32"/>
        </w:rPr>
        <w:t>。学校以培养学前教育、小学教育师资人才为主，是四川省五年制学前教育、初等教育大专试点学校，是川北地区最大的职业教育基地。</w:t>
      </w:r>
      <w:r>
        <w:rPr>
          <w:rFonts w:hint="eastAsia" w:ascii="仿宋" w:hAnsi="仿宋" w:eastAsia="仿宋" w:cs="仿宋_GB2312"/>
          <w:sz w:val="32"/>
          <w:szCs w:val="32"/>
        </w:rPr>
        <w:t>学校设置</w:t>
      </w:r>
      <w:r>
        <w:rPr>
          <w:rFonts w:ascii="仿宋" w:hAnsi="仿宋" w:eastAsia="仿宋" w:cs="仿宋_GB2312"/>
          <w:sz w:val="32"/>
          <w:szCs w:val="32"/>
        </w:rPr>
        <w:t>10</w:t>
      </w:r>
      <w:r>
        <w:rPr>
          <w:rFonts w:hint="eastAsia" w:ascii="仿宋" w:hAnsi="仿宋" w:eastAsia="仿宋" w:cs="仿宋_GB2312"/>
          <w:sz w:val="32"/>
          <w:szCs w:val="32"/>
        </w:rPr>
        <w:t>个教学系部，开设</w:t>
      </w:r>
      <w:r>
        <w:rPr>
          <w:rFonts w:ascii="仿宋" w:hAnsi="仿宋" w:eastAsia="仿宋" w:cs="仿宋_GB2312"/>
          <w:sz w:val="32"/>
          <w:szCs w:val="32"/>
        </w:rPr>
        <w:t>23</w:t>
      </w:r>
      <w:r>
        <w:rPr>
          <w:rFonts w:hint="eastAsia" w:ascii="仿宋" w:hAnsi="仿宋" w:eastAsia="仿宋" w:cs="仿宋_GB2312"/>
          <w:sz w:val="32"/>
          <w:szCs w:val="32"/>
        </w:rPr>
        <w:t>个大专专业，其中学前教育、语文教育两个专业列为中央财政支持重点建设专业。</w:t>
      </w:r>
      <w:r>
        <w:rPr>
          <w:rFonts w:hint="eastAsia" w:ascii="仿宋" w:hAnsi="仿宋" w:eastAsia="仿宋" w:cs="仿宋_GB2312"/>
          <w:sz w:val="32"/>
          <w:szCs w:val="32"/>
          <w:lang w:eastAsia="zh-CN"/>
        </w:rPr>
        <w:t>截止</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底学校在职人员</w:t>
      </w:r>
      <w:r>
        <w:rPr>
          <w:rFonts w:hint="eastAsia" w:ascii="仿宋_GB2312" w:hAnsi="宋体" w:eastAsia="仿宋_GB2312" w:cs="宋体"/>
          <w:kern w:val="0"/>
          <w:sz w:val="32"/>
          <w:szCs w:val="32"/>
          <w:lang w:val="en-US" w:eastAsia="zh-CN"/>
        </w:rPr>
        <w:t>356</w:t>
      </w:r>
      <w:r>
        <w:rPr>
          <w:rFonts w:hint="eastAsia" w:ascii="仿宋_GB2312" w:hAnsi="宋体" w:eastAsia="仿宋_GB2312" w:cs="宋体"/>
          <w:kern w:val="0"/>
          <w:sz w:val="32"/>
          <w:szCs w:val="32"/>
        </w:rPr>
        <w:t>人</w:t>
      </w:r>
      <w:r>
        <w:rPr>
          <w:rFonts w:ascii="仿宋_GB2312" w:hAnsi="宋体" w:eastAsia="仿宋_GB2312" w:cs="宋体"/>
          <w:kern w:val="0"/>
          <w:sz w:val="32"/>
          <w:szCs w:val="32"/>
        </w:rPr>
        <w:t>，</w:t>
      </w:r>
      <w:r>
        <w:rPr>
          <w:rFonts w:hint="eastAsia" w:ascii="仿宋_GB2312" w:hAnsi="宋体" w:eastAsia="仿宋_GB2312" w:cs="宋体"/>
          <w:kern w:val="0"/>
          <w:sz w:val="32"/>
          <w:szCs w:val="32"/>
        </w:rPr>
        <w:t>学生</w:t>
      </w:r>
      <w:r>
        <w:rPr>
          <w:rFonts w:hint="eastAsia" w:ascii="仿宋_GB2312" w:hAnsi="宋体" w:eastAsia="仿宋_GB2312" w:cs="宋体"/>
          <w:kern w:val="0"/>
          <w:sz w:val="32"/>
          <w:szCs w:val="32"/>
          <w:lang w:val="en-US" w:eastAsia="zh-CN"/>
        </w:rPr>
        <w:t>8725</w:t>
      </w:r>
      <w:r>
        <w:rPr>
          <w:rFonts w:hint="eastAsia" w:ascii="仿宋_GB2312" w:hAnsi="宋体" w:eastAsia="仿宋_GB2312" w:cs="宋体"/>
          <w:kern w:val="0"/>
          <w:sz w:val="32"/>
          <w:szCs w:val="32"/>
        </w:rPr>
        <w:t>人</w:t>
      </w:r>
      <w:r>
        <w:rPr>
          <w:rFonts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（一）</w:t>
      </w: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年财政资金收入</w:t>
      </w:r>
      <w:r>
        <w:rPr>
          <w:rFonts w:hint="eastAsia" w:ascii="仿宋" w:hAnsi="仿宋" w:eastAsia="仿宋" w:cs="仿宋_GB2312"/>
          <w:sz w:val="32"/>
          <w:szCs w:val="32"/>
          <w:lang w:val="en-US" w:eastAsia="zh-CN"/>
        </w:rPr>
        <w:t>12497.92</w:t>
      </w:r>
      <w:r>
        <w:rPr>
          <w:rFonts w:hint="eastAsia" w:ascii="仿宋" w:hAnsi="仿宋" w:eastAsia="仿宋" w:cs="仿宋_GB2312"/>
          <w:sz w:val="32"/>
          <w:szCs w:val="32"/>
        </w:rPr>
        <w:t>万元，</w:t>
      </w:r>
      <w:r>
        <w:rPr>
          <w:rFonts w:hint="eastAsia" w:ascii="仿宋" w:hAnsi="仿宋" w:eastAsia="仿宋" w:cs="仿宋_GB2312"/>
          <w:sz w:val="32"/>
          <w:szCs w:val="32"/>
          <w:lang w:eastAsia="zh-CN"/>
        </w:rPr>
        <w:t>其中：一般公共预算财政拨款收入</w:t>
      </w:r>
      <w:r>
        <w:rPr>
          <w:rFonts w:hint="eastAsia" w:ascii="仿宋" w:hAnsi="仿宋" w:eastAsia="仿宋" w:cs="仿宋_GB2312"/>
          <w:sz w:val="32"/>
          <w:szCs w:val="32"/>
          <w:lang w:val="en-US" w:eastAsia="zh-CN"/>
        </w:rPr>
        <w:t>11792.79万元；政府性基金预算财政拨款收入705.13万元。</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（二）</w:t>
      </w: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年财政资金支出</w:t>
      </w:r>
      <w:r>
        <w:rPr>
          <w:rFonts w:hint="eastAsia" w:ascii="仿宋" w:hAnsi="仿宋" w:eastAsia="仿宋" w:cs="仿宋_GB2312"/>
          <w:sz w:val="32"/>
          <w:szCs w:val="32"/>
          <w:lang w:val="en-US" w:eastAsia="zh-CN"/>
        </w:rPr>
        <w:t>12184.96</w:t>
      </w:r>
      <w:r>
        <w:rPr>
          <w:rFonts w:hint="eastAsia" w:ascii="仿宋" w:hAnsi="仿宋" w:eastAsia="仿宋" w:cs="仿宋_GB2312"/>
          <w:sz w:val="32"/>
          <w:szCs w:val="32"/>
        </w:rPr>
        <w:t>万元，</w:t>
      </w:r>
      <w:r>
        <w:rPr>
          <w:rFonts w:hint="eastAsia" w:ascii="仿宋" w:hAnsi="仿宋" w:eastAsia="仿宋" w:cs="仿宋_GB2312"/>
          <w:sz w:val="32"/>
          <w:szCs w:val="32"/>
          <w:lang w:eastAsia="zh-CN"/>
        </w:rPr>
        <w:t>其中：一般公共预算财政拨款支出</w:t>
      </w:r>
      <w:r>
        <w:rPr>
          <w:rFonts w:hint="eastAsia" w:ascii="仿宋" w:hAnsi="仿宋" w:eastAsia="仿宋" w:cs="仿宋_GB2312"/>
          <w:sz w:val="32"/>
          <w:szCs w:val="32"/>
          <w:lang w:val="en-US" w:eastAsia="zh-CN"/>
        </w:rPr>
        <w:t>11448.87万元；政府性基金预算财政拨款支出736.09万元。</w:t>
      </w:r>
    </w:p>
    <w:p>
      <w:pPr>
        <w:spacing w:line="580" w:lineRule="exact"/>
        <w:ind w:left="640"/>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部门整体预算绩效管理情况</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一</w:t>
      </w:r>
      <w:r>
        <w:rPr>
          <w:rFonts w:hint="eastAsia" w:ascii="仿宋_GB2312" w:hAnsi="宋体" w:eastAsia="仿宋_GB2312" w:cs="宋体"/>
          <w:kern w:val="0"/>
          <w:sz w:val="32"/>
          <w:szCs w:val="32"/>
        </w:rPr>
        <w:t>）</w:t>
      </w:r>
      <w:r>
        <w:rPr>
          <w:rFonts w:hint="eastAsia" w:ascii="仿宋_GB2312" w:hAnsi="宋体" w:eastAsia="仿宋_GB2312" w:cs="宋体"/>
          <w:color w:val="000000"/>
          <w:kern w:val="0"/>
          <w:sz w:val="32"/>
          <w:szCs w:val="32"/>
          <w:shd w:val="clear" w:color="auto" w:fill="FFFFFF"/>
          <w:lang w:val="zh-CN"/>
        </w:rPr>
        <w:t>部门预算管理</w:t>
      </w:r>
    </w:p>
    <w:p>
      <w:pPr>
        <w:spacing w:line="600" w:lineRule="exact"/>
        <w:ind w:firstLine="627" w:firstLineChars="196"/>
        <w:rPr>
          <w:rFonts w:hint="eastAsia" w:ascii="仿宋_GB2312" w:hAnsi="宋体" w:eastAsia="仿宋_GB2312"/>
          <w:sz w:val="32"/>
          <w:szCs w:val="32"/>
        </w:rPr>
      </w:pP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19</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11月</w:t>
      </w:r>
      <w:r>
        <w:rPr>
          <w:rFonts w:hint="eastAsia" w:ascii="仿宋_GB2312" w:hAnsi="宋体" w:eastAsia="仿宋_GB2312" w:cs="宋体"/>
          <w:kern w:val="0"/>
          <w:sz w:val="32"/>
          <w:szCs w:val="32"/>
        </w:rPr>
        <w:t>，我校严格</w:t>
      </w:r>
      <w:r>
        <w:rPr>
          <w:rFonts w:hint="eastAsia" w:ascii="仿宋_GB2312" w:eastAsia="仿宋_GB2312"/>
          <w:sz w:val="32"/>
          <w:szCs w:val="32"/>
        </w:rPr>
        <w:t>按照广元市财政局</w:t>
      </w:r>
      <w:r>
        <w:rPr>
          <w:rFonts w:hint="eastAsia" w:ascii="仿宋_GB2312" w:eastAsia="仿宋_GB2312"/>
          <w:sz w:val="32"/>
          <w:szCs w:val="32"/>
          <w:lang w:eastAsia="zh-CN"/>
        </w:rPr>
        <w:t>编制</w:t>
      </w:r>
      <w:r>
        <w:rPr>
          <w:rFonts w:hint="eastAsia" w:ascii="仿宋_GB2312" w:eastAsia="仿宋_GB2312"/>
          <w:sz w:val="32"/>
          <w:szCs w:val="32"/>
          <w:lang w:val="en-US" w:eastAsia="zh-CN"/>
        </w:rPr>
        <w:t>2020年预算</w:t>
      </w:r>
      <w:r>
        <w:rPr>
          <w:rFonts w:hint="eastAsia" w:ascii="仿宋_GB2312" w:eastAsia="仿宋_GB2312"/>
          <w:sz w:val="32"/>
          <w:szCs w:val="32"/>
          <w:lang w:eastAsia="zh-CN"/>
        </w:rPr>
        <w:t>的</w:t>
      </w:r>
      <w:r>
        <w:rPr>
          <w:rFonts w:hint="eastAsia" w:ascii="仿宋_GB2312" w:eastAsia="仿宋_GB2312"/>
          <w:sz w:val="32"/>
          <w:szCs w:val="32"/>
        </w:rPr>
        <w:t>有关规定和要求</w:t>
      </w:r>
      <w:r>
        <w:rPr>
          <w:rFonts w:hint="eastAsia" w:ascii="仿宋_GB2312" w:eastAsia="仿宋_GB2312"/>
          <w:sz w:val="32"/>
          <w:szCs w:val="32"/>
          <w:lang w:eastAsia="zh-CN"/>
        </w:rPr>
        <w:t>，</w:t>
      </w:r>
      <w:r>
        <w:rPr>
          <w:rFonts w:hint="eastAsia" w:ascii="仿宋_GB2312" w:eastAsia="仿宋_GB2312"/>
          <w:sz w:val="32"/>
          <w:szCs w:val="32"/>
        </w:rPr>
        <w:t>按时报送基础库、项目库</w:t>
      </w:r>
      <w:r>
        <w:rPr>
          <w:rFonts w:hint="eastAsia" w:ascii="仿宋_GB2312" w:eastAsia="仿宋_GB2312"/>
          <w:sz w:val="32"/>
          <w:szCs w:val="32"/>
          <w:lang w:eastAsia="zh-CN"/>
        </w:rPr>
        <w:t>和绩效目标申报表。</w:t>
      </w:r>
      <w:r>
        <w:rPr>
          <w:rFonts w:hint="eastAsia" w:ascii="仿宋_GB2312" w:eastAsia="仿宋_GB2312"/>
          <w:sz w:val="32"/>
          <w:szCs w:val="32"/>
        </w:rPr>
        <w:t>对各项收入、支出预算的编制</w:t>
      </w:r>
      <w:r>
        <w:rPr>
          <w:rFonts w:hint="eastAsia" w:ascii="仿宋_GB2312" w:eastAsia="仿宋_GB2312"/>
          <w:sz w:val="32"/>
          <w:szCs w:val="32"/>
          <w:lang w:eastAsia="zh-CN"/>
        </w:rPr>
        <w:t>尽量</w:t>
      </w:r>
      <w:r>
        <w:rPr>
          <w:rFonts w:hint="eastAsia" w:ascii="仿宋_GB2312" w:eastAsia="仿宋_GB2312"/>
          <w:sz w:val="32"/>
          <w:szCs w:val="32"/>
        </w:rPr>
        <w:t>做到完整、准确、规范</w:t>
      </w:r>
      <w:r>
        <w:rPr>
          <w:rFonts w:hint="eastAsia" w:ascii="仿宋_GB2312" w:eastAsia="仿宋_GB2312"/>
          <w:sz w:val="32"/>
          <w:szCs w:val="32"/>
          <w:lang w:eastAsia="zh-CN"/>
        </w:rPr>
        <w:t>；对各项目绩效目标的编制尽量做到真实、可行、科学。学校</w:t>
      </w:r>
      <w:r>
        <w:rPr>
          <w:rFonts w:hint="eastAsia" w:ascii="仿宋_GB2312" w:eastAsia="仿宋_GB2312"/>
          <w:sz w:val="32"/>
          <w:szCs w:val="32"/>
        </w:rPr>
        <w:t>严格执行部门预算编制的审批程序，</w:t>
      </w:r>
      <w:r>
        <w:rPr>
          <w:rFonts w:hint="eastAsia" w:ascii="仿宋_GB2312" w:hAnsi="宋体" w:eastAsia="仿宋_GB2312"/>
          <w:sz w:val="32"/>
          <w:szCs w:val="32"/>
        </w:rPr>
        <w:t>按时完成部门预算的编制工作，报分管业务科室并按照预算科预审意见及时修改预算草稿。</w:t>
      </w:r>
    </w:p>
    <w:p>
      <w:pPr>
        <w:spacing w:line="60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在</w:t>
      </w:r>
      <w:r>
        <w:rPr>
          <w:rFonts w:ascii="仿宋_GB2312" w:hAnsi="宋体" w:eastAsia="仿宋_GB2312"/>
          <w:sz w:val="32"/>
          <w:szCs w:val="32"/>
        </w:rPr>
        <w:t>预算执行中，我</w:t>
      </w:r>
      <w:r>
        <w:rPr>
          <w:rFonts w:hint="eastAsia" w:ascii="仿宋_GB2312" w:hAnsi="宋体" w:eastAsia="仿宋_GB2312"/>
          <w:sz w:val="32"/>
          <w:szCs w:val="32"/>
        </w:rPr>
        <w:t>校</w:t>
      </w:r>
      <w:r>
        <w:rPr>
          <w:rFonts w:ascii="仿宋_GB2312" w:hAnsi="宋体" w:eastAsia="仿宋_GB2312"/>
          <w:sz w:val="32"/>
          <w:szCs w:val="32"/>
        </w:rPr>
        <w:t>重视</w:t>
      </w:r>
      <w:r>
        <w:rPr>
          <w:rFonts w:hint="eastAsia" w:ascii="仿宋_GB2312" w:hAnsi="宋体" w:eastAsia="仿宋_GB2312"/>
          <w:sz w:val="32"/>
          <w:szCs w:val="32"/>
        </w:rPr>
        <w:t>预算执行的刚性和平衡</w:t>
      </w:r>
      <w:r>
        <w:rPr>
          <w:rFonts w:ascii="仿宋_GB2312" w:hAnsi="宋体" w:eastAsia="仿宋_GB2312"/>
          <w:sz w:val="32"/>
          <w:szCs w:val="32"/>
        </w:rPr>
        <w:t>，严格按照文件要求，切实加强市级财政支出预算执行管理，努力提高财政资金使用绩效。</w:t>
      </w:r>
      <w:r>
        <w:rPr>
          <w:rFonts w:hint="eastAsia" w:ascii="仿宋_GB2312" w:hAnsi="宋体" w:eastAsia="仿宋_GB2312"/>
          <w:b/>
          <w:bCs/>
          <w:sz w:val="32"/>
          <w:szCs w:val="32"/>
          <w:lang w:eastAsia="zh-CN"/>
        </w:rPr>
        <w:t>一</w:t>
      </w:r>
      <w:r>
        <w:rPr>
          <w:rFonts w:ascii="仿宋_GB2312" w:hAnsi="宋体" w:eastAsia="仿宋_GB2312"/>
          <w:b/>
          <w:bCs/>
          <w:sz w:val="32"/>
          <w:szCs w:val="32"/>
        </w:rPr>
        <w:t>是</w:t>
      </w:r>
      <w:r>
        <w:rPr>
          <w:rFonts w:ascii="仿宋_GB2312" w:hAnsi="宋体" w:eastAsia="仿宋_GB2312"/>
          <w:sz w:val="32"/>
          <w:szCs w:val="32"/>
        </w:rPr>
        <w:t>狠抓预算执行进度管理，在</w:t>
      </w:r>
      <w:r>
        <w:rPr>
          <w:rFonts w:hint="eastAsia" w:ascii="仿宋_GB2312" w:hAnsi="宋体" w:eastAsia="仿宋_GB2312"/>
          <w:sz w:val="32"/>
          <w:szCs w:val="32"/>
        </w:rPr>
        <w:t>各季度末</w:t>
      </w:r>
      <w:r>
        <w:rPr>
          <w:rFonts w:ascii="仿宋_GB2312" w:hAnsi="宋体" w:eastAsia="仿宋_GB2312"/>
          <w:sz w:val="32"/>
          <w:szCs w:val="32"/>
        </w:rPr>
        <w:t>提前统计分析预算执行进度情况，并召开专题会议会商预算执行中存在的困难和问题，确保预算执行达到相关进度要求。</w:t>
      </w:r>
      <w:r>
        <w:rPr>
          <w:rFonts w:hint="eastAsia" w:ascii="仿宋_GB2312" w:hAnsi="宋体" w:eastAsia="仿宋_GB2312"/>
          <w:b/>
          <w:bCs/>
          <w:sz w:val="32"/>
          <w:szCs w:val="32"/>
          <w:lang w:eastAsia="zh-CN"/>
        </w:rPr>
        <w:t>二</w:t>
      </w:r>
      <w:r>
        <w:rPr>
          <w:rFonts w:ascii="仿宋_GB2312" w:hAnsi="宋体" w:eastAsia="仿宋_GB2312"/>
          <w:b/>
          <w:bCs/>
          <w:sz w:val="32"/>
          <w:szCs w:val="32"/>
        </w:rPr>
        <w:t>是</w:t>
      </w:r>
      <w:r>
        <w:rPr>
          <w:rFonts w:ascii="仿宋_GB2312" w:hAnsi="宋体" w:eastAsia="仿宋_GB2312"/>
          <w:sz w:val="32"/>
          <w:szCs w:val="32"/>
        </w:rPr>
        <w:t>强化预算刚性约束，严格按照批复的部门支出预算执行，没有随意改变专项资金规定用途和自行扩大支出范围和提高支出标准的行为。</w:t>
      </w:r>
      <w:r>
        <w:rPr>
          <w:rFonts w:hint="eastAsia" w:ascii="仿宋_GB2312" w:hAnsi="宋体" w:eastAsia="仿宋_GB2312"/>
          <w:b/>
          <w:bCs/>
          <w:sz w:val="32"/>
          <w:szCs w:val="32"/>
          <w:lang w:eastAsia="zh-CN"/>
        </w:rPr>
        <w:t>三</w:t>
      </w:r>
      <w:r>
        <w:rPr>
          <w:rFonts w:ascii="仿宋_GB2312" w:hAnsi="宋体" w:eastAsia="仿宋_GB2312"/>
          <w:b/>
          <w:bCs/>
          <w:sz w:val="32"/>
          <w:szCs w:val="32"/>
        </w:rPr>
        <w:t>是</w:t>
      </w:r>
      <w:r>
        <w:rPr>
          <w:rFonts w:ascii="仿宋_GB2312" w:hAnsi="宋体" w:eastAsia="仿宋_GB2312"/>
          <w:sz w:val="32"/>
          <w:szCs w:val="32"/>
        </w:rPr>
        <w:t>严格控制“三公”经费</w:t>
      </w:r>
      <w:r>
        <w:rPr>
          <w:rFonts w:hint="eastAsia" w:ascii="仿宋_GB2312" w:hAnsi="宋体" w:eastAsia="仿宋_GB2312"/>
          <w:sz w:val="32"/>
          <w:szCs w:val="32"/>
          <w:lang w:eastAsia="zh-CN"/>
        </w:rPr>
        <w:t>支出，</w:t>
      </w:r>
      <w:r>
        <w:rPr>
          <w:rFonts w:hint="eastAsia" w:ascii="仿宋_GB2312" w:hAnsi="宋体" w:eastAsia="仿宋_GB2312"/>
          <w:sz w:val="32"/>
          <w:szCs w:val="32"/>
          <w:lang w:val="en-US" w:eastAsia="zh-CN"/>
        </w:rPr>
        <w:t>2020年“三公经费”开支均未超预算。</w:t>
      </w:r>
    </w:p>
    <w:p>
      <w:pPr>
        <w:spacing w:line="60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在绩效目标监控管理中，我校严格按照财政局通知要求填报相关绩效监控表，及时开展跟踪监控工作，确保资金使用方向与目标保持一致。</w:t>
      </w:r>
    </w:p>
    <w:p>
      <w:pPr>
        <w:spacing w:line="600" w:lineRule="exact"/>
        <w:ind w:firstLine="640" w:firstLineChars="200"/>
        <w:rPr>
          <w:rFonts w:ascii="仿宋_GB2312" w:hAnsi="宋体" w:eastAsia="仿宋_GB2312"/>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二</w:t>
      </w:r>
      <w:r>
        <w:rPr>
          <w:rFonts w:hint="eastAsia" w:ascii="仿宋_GB2312" w:hAnsi="宋体" w:eastAsia="仿宋_GB2312" w:cs="宋体"/>
          <w:kern w:val="0"/>
          <w:sz w:val="32"/>
          <w:szCs w:val="32"/>
        </w:rPr>
        <w:t>）</w:t>
      </w:r>
      <w:r>
        <w:rPr>
          <w:rFonts w:hint="eastAsia" w:ascii="仿宋_GB2312" w:hAnsi="宋体" w:eastAsia="仿宋_GB2312" w:cs="宋体"/>
          <w:color w:val="000000"/>
          <w:kern w:val="0"/>
          <w:sz w:val="32"/>
          <w:szCs w:val="32"/>
          <w:shd w:val="clear" w:color="auto" w:fill="FFFFFF"/>
          <w:lang w:val="zh-CN"/>
        </w:rPr>
        <w:t>结果应用情况</w:t>
      </w:r>
    </w:p>
    <w:p>
      <w:pPr>
        <w:pStyle w:val="12"/>
        <w:spacing w:line="420" w:lineRule="atLeast"/>
        <w:ind w:firstLine="800" w:firstLineChars="250"/>
        <w:jc w:val="both"/>
        <w:rPr>
          <w:rFonts w:ascii="黑体" w:hAnsi="黑体" w:eastAsia="黑体" w:cs="黑体"/>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年整体支出情况良好，所有</w:t>
      </w:r>
      <w:r>
        <w:rPr>
          <w:rFonts w:hint="eastAsia" w:ascii="仿宋_GB2312" w:hAnsi="仿宋_GB2312" w:eastAsia="仿宋_GB2312" w:cs="仿宋_GB2312"/>
          <w:sz w:val="32"/>
          <w:szCs w:val="32"/>
          <w:lang w:eastAsia="zh-CN"/>
        </w:rPr>
        <w:t>重大</w:t>
      </w:r>
      <w:r>
        <w:rPr>
          <w:rFonts w:hint="eastAsia" w:ascii="仿宋_GB2312" w:hAnsi="仿宋_GB2312" w:eastAsia="仿宋_GB2312" w:cs="仿宋_GB2312"/>
          <w:sz w:val="32"/>
          <w:szCs w:val="32"/>
        </w:rPr>
        <w:t>专项项目实施均由学校</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党委会研究立项，严格执行</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事业支出审批制度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，厉行节约原则，</w:t>
      </w:r>
      <w:r>
        <w:rPr>
          <w:rFonts w:hint="eastAsia" w:ascii="仿宋_GB2312" w:hAnsi="仿宋_GB2312" w:eastAsia="仿宋_GB2312" w:cs="仿宋_GB2312"/>
          <w:sz w:val="32"/>
          <w:szCs w:val="32"/>
          <w:lang w:eastAsia="zh-CN"/>
        </w:rPr>
        <w:t>充分发挥了</w:t>
      </w:r>
      <w:r>
        <w:rPr>
          <w:rFonts w:hint="eastAsia" w:ascii="仿宋_GB2312" w:hAnsi="仿宋_GB2312" w:eastAsia="仿宋_GB2312" w:cs="仿宋_GB2312"/>
          <w:sz w:val="32"/>
          <w:szCs w:val="32"/>
        </w:rPr>
        <w:t>资金的经济效益、社会效益。</w:t>
      </w:r>
      <w:r>
        <w:rPr>
          <w:rFonts w:hint="eastAsia" w:ascii="仿宋_GB2312" w:hAnsi="仿宋_GB2312" w:eastAsia="仿宋_GB2312" w:cs="仿宋_GB2312"/>
          <w:sz w:val="32"/>
          <w:szCs w:val="32"/>
          <w:lang w:eastAsia="zh-CN"/>
        </w:rPr>
        <w:t>所有项目资金均</w:t>
      </w:r>
      <w:r>
        <w:rPr>
          <w:rFonts w:hint="eastAsia" w:ascii="仿宋_GB2312" w:hAnsi="仿宋_GB2312" w:eastAsia="仿宋_GB2312" w:cs="仿宋_GB2312"/>
          <w:sz w:val="32"/>
          <w:szCs w:val="32"/>
        </w:rPr>
        <w:t>按</w:t>
      </w:r>
      <w:r>
        <w:rPr>
          <w:rFonts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资金申报</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使用用途一致</w:t>
      </w:r>
      <w:r>
        <w:rPr>
          <w:rFonts w:hint="eastAsia" w:ascii="仿宋_GB2312" w:hAnsi="仿宋_GB2312" w:eastAsia="仿宋_GB2312" w:cs="仿宋_GB2312"/>
          <w:sz w:val="32"/>
          <w:szCs w:val="32"/>
        </w:rPr>
        <w:t>，无超报、虚报现象，达到项目预期效果。</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600" w:lineRule="exact"/>
        <w:ind w:firstLine="640" w:firstLineChars="200"/>
        <w:rPr>
          <w:rFonts w:ascii="仿宋" w:hAnsi="仿宋" w:eastAsia="仿宋" w:cs="仿宋_GB2312"/>
          <w:sz w:val="32"/>
          <w:szCs w:val="32"/>
        </w:rPr>
      </w:pP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学校部门支出绩效总体情况较好，圆满地完成了各项目标任务</w:t>
      </w:r>
      <w:r>
        <w:rPr>
          <w:rFonts w:ascii="仿宋_GB2312" w:hAnsi="宋体" w:eastAsia="仿宋_GB2312" w:cs="宋体"/>
          <w:kern w:val="0"/>
          <w:sz w:val="32"/>
          <w:szCs w:val="32"/>
        </w:rPr>
        <w:t>。主要表现在：及时、准确地完成了预算编制；预算执行</w:t>
      </w:r>
      <w:r>
        <w:rPr>
          <w:rFonts w:hint="eastAsia" w:ascii="仿宋_GB2312" w:hAnsi="宋体" w:eastAsia="仿宋_GB2312" w:cs="宋体"/>
          <w:kern w:val="0"/>
          <w:sz w:val="32"/>
          <w:szCs w:val="32"/>
          <w:lang w:eastAsia="zh-CN"/>
        </w:rPr>
        <w:t>及支付进度较好，无</w:t>
      </w:r>
      <w:r>
        <w:rPr>
          <w:rFonts w:ascii="仿宋_GB2312" w:hAnsi="宋体" w:eastAsia="仿宋_GB2312" w:cs="宋体"/>
          <w:kern w:val="0"/>
          <w:sz w:val="32"/>
          <w:szCs w:val="32"/>
        </w:rPr>
        <w:t>因违规支出受到</w:t>
      </w:r>
      <w:r>
        <w:rPr>
          <w:rFonts w:hint="eastAsia" w:ascii="仿宋_GB2312" w:hAnsi="宋体" w:eastAsia="仿宋_GB2312" w:cs="宋体"/>
          <w:kern w:val="0"/>
          <w:sz w:val="32"/>
          <w:szCs w:val="32"/>
        </w:rPr>
        <w:t>市财政局</w:t>
      </w:r>
      <w:r>
        <w:rPr>
          <w:rFonts w:ascii="仿宋_GB2312" w:hAnsi="宋体" w:eastAsia="仿宋_GB2312" w:cs="宋体"/>
          <w:kern w:val="0"/>
          <w:sz w:val="32"/>
          <w:szCs w:val="32"/>
        </w:rPr>
        <w:t>、</w:t>
      </w:r>
      <w:r>
        <w:rPr>
          <w:rFonts w:hint="eastAsia" w:ascii="仿宋_GB2312" w:hAnsi="宋体" w:eastAsia="仿宋_GB2312" w:cs="宋体"/>
          <w:kern w:val="0"/>
          <w:sz w:val="32"/>
          <w:szCs w:val="32"/>
        </w:rPr>
        <w:t>市教育局</w:t>
      </w:r>
      <w:r>
        <w:rPr>
          <w:rFonts w:ascii="仿宋_GB2312" w:hAnsi="宋体" w:eastAsia="仿宋_GB2312" w:cs="宋体"/>
          <w:kern w:val="0"/>
          <w:sz w:val="32"/>
          <w:szCs w:val="32"/>
        </w:rPr>
        <w:t>通报的情况；支出管理</w:t>
      </w:r>
      <w:r>
        <w:rPr>
          <w:rFonts w:hint="eastAsia" w:ascii="仿宋_GB2312" w:hAnsi="宋体" w:eastAsia="仿宋_GB2312" w:cs="宋体"/>
          <w:kern w:val="0"/>
          <w:sz w:val="32"/>
          <w:szCs w:val="32"/>
        </w:rPr>
        <w:t>在资金使用及会计核算方面总体较为规范，</w:t>
      </w:r>
      <w:r>
        <w:rPr>
          <w:rFonts w:ascii="仿宋_GB2312" w:hAnsi="宋体" w:eastAsia="仿宋_GB2312" w:cs="宋体"/>
          <w:kern w:val="0"/>
          <w:sz w:val="32"/>
          <w:szCs w:val="32"/>
        </w:rPr>
        <w:t>制度</w:t>
      </w:r>
      <w:r>
        <w:rPr>
          <w:rFonts w:hint="eastAsia" w:ascii="仿宋_GB2312" w:hAnsi="宋体" w:eastAsia="仿宋_GB2312" w:cs="宋体"/>
          <w:kern w:val="0"/>
          <w:sz w:val="32"/>
          <w:szCs w:val="32"/>
        </w:rPr>
        <w:t>基本</w:t>
      </w:r>
      <w:r>
        <w:rPr>
          <w:rFonts w:ascii="仿宋_GB2312" w:hAnsi="宋体" w:eastAsia="仿宋_GB2312" w:cs="宋体"/>
          <w:kern w:val="0"/>
          <w:sz w:val="32"/>
          <w:szCs w:val="32"/>
        </w:rPr>
        <w:t>健全，</w:t>
      </w:r>
      <w:r>
        <w:rPr>
          <w:rFonts w:hint="eastAsia" w:ascii="仿宋_GB2312" w:hAnsi="宋体" w:eastAsia="仿宋_GB2312" w:cs="宋体"/>
          <w:kern w:val="0"/>
          <w:sz w:val="32"/>
          <w:szCs w:val="32"/>
        </w:rPr>
        <w:t>能够按照相关会计制度和财务管理办法进行核算，账目设置清晰，会计资料及支付依据基本完整。</w:t>
      </w:r>
    </w:p>
    <w:p>
      <w:pPr>
        <w:numPr>
          <w:ilvl w:val="0"/>
          <w:numId w:val="6"/>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存在问题。</w:t>
      </w:r>
    </w:p>
    <w:p>
      <w:pPr>
        <w:spacing w:line="580" w:lineRule="exact"/>
        <w:ind w:left="0" w:leftChars="0"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1.学校其他资金收支预算</w:t>
      </w:r>
      <w:r>
        <w:rPr>
          <w:rFonts w:hint="eastAsia" w:ascii="仿宋_GB2312" w:hAnsi="宋体" w:eastAsia="仿宋_GB2312" w:cs="宋体"/>
          <w:kern w:val="0"/>
          <w:sz w:val="32"/>
          <w:szCs w:val="32"/>
          <w:lang w:eastAsia="zh-CN"/>
        </w:rPr>
        <w:t>及政府采购预算编制有待细化。</w:t>
      </w:r>
    </w:p>
    <w:p>
      <w:pPr>
        <w:spacing w:line="580" w:lineRule="exact"/>
        <w:ind w:left="64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eastAsia="zh-CN"/>
        </w:rPr>
        <w:t>预算执行分析需要进一步加强</w:t>
      </w:r>
      <w:r>
        <w:rPr>
          <w:rFonts w:hint="eastAsia" w:ascii="仿宋_GB2312" w:hAnsi="宋体" w:eastAsia="仿宋_GB2312" w:cs="宋体"/>
          <w:kern w:val="0"/>
          <w:sz w:val="32"/>
          <w:szCs w:val="32"/>
        </w:rPr>
        <w:t>。</w:t>
      </w:r>
    </w:p>
    <w:p>
      <w:pPr>
        <w:spacing w:line="580" w:lineRule="exact"/>
        <w:ind w:left="0" w:leftChars="0" w:firstLine="636" w:firstLineChars="19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eastAsia="zh-CN"/>
        </w:rPr>
        <w:t>绩效管理水平需要进一步提高。</w:t>
      </w:r>
    </w:p>
    <w:p>
      <w:pPr>
        <w:numPr>
          <w:ilvl w:val="0"/>
          <w:numId w:val="6"/>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改进建议。</w:t>
      </w:r>
    </w:p>
    <w:p>
      <w:pPr>
        <w:spacing w:line="580" w:lineRule="exact"/>
        <w:ind w:left="0" w:leftChars="0"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eastAsia="zh-CN"/>
        </w:rPr>
        <w:t>进一步细化学校其他资金及政府采购预算的预算编制工作。建议深入加强学校内部各系部、各职能处室的预算管理意识，强化政府采购预算编制和执行，坚持无预算不采购。</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2.进一步加强</w:t>
      </w:r>
      <w:r>
        <w:rPr>
          <w:rFonts w:hint="eastAsia" w:ascii="仿宋_GB2312" w:hAnsi="宋体" w:eastAsia="仿宋_GB2312" w:cs="宋体"/>
          <w:kern w:val="0"/>
          <w:sz w:val="32"/>
          <w:szCs w:val="32"/>
          <w:lang w:eastAsia="zh-CN"/>
        </w:rPr>
        <w:t>预算执行分析。建议</w:t>
      </w:r>
      <w:r>
        <w:rPr>
          <w:rFonts w:hint="eastAsia" w:ascii="仿宋_GB2312" w:hAnsi="仿宋_GB2312" w:eastAsia="仿宋_GB2312" w:cs="仿宋_GB2312"/>
          <w:b w:val="0"/>
          <w:bCs w:val="0"/>
          <w:kern w:val="0"/>
          <w:sz w:val="32"/>
          <w:szCs w:val="32"/>
          <w:lang w:eastAsia="zh-CN"/>
        </w:rPr>
        <w:t>每年预算编制后，根据实际情况，定期做好预算分析，掌握预算执行进度</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lang w:eastAsia="zh-CN"/>
        </w:rPr>
        <w:t>及时找出预算实际执行情况与预算目标之间存在的差距，纠正偏差，确保绩效目标的完成，并为下一次科学、准确地编制部门预算积累经验。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pPr>
      <w:r>
        <w:rPr>
          <w:rFonts w:hint="eastAsia" w:ascii="仿宋_GB2312" w:hAnsi="宋体" w:eastAsia="仿宋_GB2312" w:cs="宋体"/>
          <w:kern w:val="0"/>
          <w:sz w:val="32"/>
          <w:szCs w:val="32"/>
        </w:rPr>
        <w:t>3.进一步</w:t>
      </w:r>
      <w:r>
        <w:rPr>
          <w:rFonts w:hint="eastAsia" w:ascii="仿宋_GB2312" w:hAnsi="宋体" w:eastAsia="仿宋_GB2312" w:cs="宋体"/>
          <w:kern w:val="0"/>
          <w:sz w:val="32"/>
          <w:szCs w:val="32"/>
          <w:lang w:eastAsia="zh-CN"/>
        </w:rPr>
        <w:t>提高绩效管理水平。</w:t>
      </w:r>
      <w:r>
        <w:rPr>
          <w:rFonts w:hint="eastAsia" w:ascii="仿宋_GB2312" w:hAnsi="仿宋_GB2312" w:eastAsia="仿宋_GB2312" w:cs="仿宋_GB2312"/>
          <w:b w:val="0"/>
          <w:bCs w:val="0"/>
          <w:kern w:val="0"/>
          <w:sz w:val="32"/>
          <w:szCs w:val="32"/>
          <w:lang w:val="en-US" w:eastAsia="zh-CN" w:bidi="ar-SA"/>
        </w:rPr>
        <w:t>建议在今后的工作中，加强与财政部门的紧密结合，开展好整体支出及项目资金绩效评价工作，重视绩效评估结果应用，实行预算绩效管理通报问责机制，推进预算和绩效管理一体化。</w:t>
      </w:r>
    </w:p>
    <w:p>
      <w:pPr>
        <w:spacing w:line="580" w:lineRule="exact"/>
        <w:rPr>
          <w:rFonts w:hint="eastAsia" w:ascii="黑体" w:hAnsi="黑体" w:eastAsia="黑体" w:cs="黑体"/>
          <w:sz w:val="32"/>
          <w:szCs w:val="32"/>
        </w:rPr>
      </w:pPr>
    </w:p>
    <w:p>
      <w:pPr>
        <w:spacing w:line="580" w:lineRule="exact"/>
        <w:rPr>
          <w:rFonts w:hint="default" w:ascii="仿宋_GB2312" w:hAnsi="仿宋_GB2312" w:eastAsia="黑体" w:cs="仿宋_GB2312"/>
          <w:sz w:val="32"/>
          <w:szCs w:val="32"/>
          <w:lang w:val="en-US" w:eastAsia="zh-CN"/>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lang w:val="en-US" w:eastAsia="zh-CN"/>
        </w:rPr>
        <w:t>-1</w:t>
      </w:r>
    </w:p>
    <w:p>
      <w:pPr>
        <w:spacing w:line="600" w:lineRule="exact"/>
        <w:jc w:val="center"/>
        <w:outlineLvl w:val="0"/>
        <w:rPr>
          <w:rFonts w:hint="eastAsia" w:ascii="黑体" w:hAnsi="黑体" w:eastAsia="黑体" w:cs="方正小标宋简体"/>
          <w:sz w:val="36"/>
          <w:szCs w:val="36"/>
          <w:lang w:val="zh-CN"/>
        </w:rPr>
      </w:pPr>
      <w:r>
        <w:rPr>
          <w:rFonts w:hint="eastAsia" w:ascii="黑体" w:hAnsi="黑体" w:eastAsia="黑体" w:cs="方正小标宋简体"/>
          <w:sz w:val="36"/>
          <w:szCs w:val="36"/>
          <w:lang w:val="en-US" w:eastAsia="zh-CN"/>
        </w:rPr>
        <w:t>川北幼儿师范高等专科学校</w:t>
      </w:r>
    </w:p>
    <w:p>
      <w:pPr>
        <w:spacing w:line="600" w:lineRule="exact"/>
        <w:jc w:val="center"/>
        <w:outlineLvl w:val="0"/>
        <w:rPr>
          <w:rFonts w:hint="eastAsia" w:ascii="黑体" w:hAnsi="黑体" w:eastAsia="黑体" w:cs="方正小标宋简体"/>
          <w:sz w:val="36"/>
          <w:szCs w:val="36"/>
          <w:lang w:val="en-US" w:eastAsia="zh-CN"/>
        </w:rPr>
      </w:pPr>
      <w:r>
        <w:rPr>
          <w:rFonts w:hint="eastAsia" w:ascii="黑体" w:hAnsi="黑体" w:eastAsia="黑体" w:cs="方正小标宋简体"/>
          <w:sz w:val="36"/>
          <w:szCs w:val="36"/>
          <w:lang w:val="en-US" w:eastAsia="zh-CN"/>
        </w:rPr>
        <w:t>2020年学生资助补助经费</w:t>
      </w:r>
    </w:p>
    <w:p>
      <w:pPr>
        <w:spacing w:line="600" w:lineRule="exact"/>
        <w:jc w:val="center"/>
        <w:outlineLvl w:val="0"/>
        <w:rPr>
          <w:rFonts w:hint="eastAsia" w:ascii="黑体" w:hAnsi="黑体" w:eastAsia="黑体" w:cs="方正小标宋简体"/>
          <w:sz w:val="36"/>
          <w:szCs w:val="36"/>
          <w:lang w:val="zh-CN"/>
        </w:rPr>
      </w:pPr>
      <w:r>
        <w:rPr>
          <w:rFonts w:hint="eastAsia" w:ascii="黑体" w:hAnsi="黑体" w:eastAsia="黑体" w:cs="方正小标宋简体"/>
          <w:sz w:val="36"/>
          <w:szCs w:val="36"/>
          <w:lang w:val="zh-CN"/>
        </w:rPr>
        <w:t>项目绩效评价报告</w:t>
      </w:r>
    </w:p>
    <w:p>
      <w:pPr>
        <w:spacing w:line="600" w:lineRule="exact"/>
        <w:jc w:val="center"/>
        <w:rPr>
          <w:rFonts w:hint="eastAsia" w:ascii="方正小标宋简体" w:hAnsi="宋体" w:eastAsia="方正小标宋简体"/>
          <w:color w:val="000000"/>
          <w:kern w:val="0"/>
          <w:sz w:val="44"/>
          <w:szCs w:val="44"/>
          <w:lang w:val="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pacing w:line="60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学生工作处按照《四川省教育厅关于做好2020年国家奖助学金评审工作的通知》(川教函〔</w:t>
      </w:r>
      <w:r>
        <w:rPr>
          <w:rFonts w:hint="eastAsia" w:ascii="仿宋_GB2312" w:hAnsi="宋体" w:eastAsia="仿宋_GB2312" w:cs="Times New Roman"/>
          <w:sz w:val="32"/>
          <w:szCs w:val="32"/>
          <w:lang w:val="en-US" w:eastAsia="zh-CN"/>
        </w:rPr>
        <w:t>2020</w:t>
      </w:r>
      <w:r>
        <w:rPr>
          <w:rFonts w:hint="eastAsia" w:ascii="仿宋_GB2312" w:hAnsi="宋体" w:eastAsia="仿宋_GB2312" w:cs="Times New Roman"/>
          <w:sz w:val="32"/>
          <w:szCs w:val="32"/>
          <w:lang w:val="zh-CN"/>
        </w:rPr>
        <w:t>〕5</w:t>
      </w:r>
      <w:r>
        <w:rPr>
          <w:rFonts w:hint="eastAsia" w:ascii="仿宋_GB2312" w:hAnsi="宋体" w:eastAsia="仿宋_GB2312" w:cs="Times New Roman"/>
          <w:sz w:val="32"/>
          <w:szCs w:val="32"/>
          <w:lang w:val="en-US" w:eastAsia="zh-CN"/>
        </w:rPr>
        <w:t>01</w:t>
      </w:r>
      <w:r>
        <w:rPr>
          <w:rFonts w:hint="eastAsia" w:ascii="仿宋_GB2312" w:hAnsi="宋体" w:eastAsia="仿宋_GB2312" w:cs="Times New Roman"/>
          <w:sz w:val="32"/>
          <w:szCs w:val="32"/>
          <w:lang w:val="zh-CN"/>
        </w:rPr>
        <w:t>号)文件要求，做好</w:t>
      </w:r>
      <w:r>
        <w:rPr>
          <w:rFonts w:hint="eastAsia" w:ascii="仿宋_GB2312" w:hAnsi="宋体" w:eastAsia="仿宋_GB2312" w:cs="Times New Roman"/>
          <w:sz w:val="32"/>
          <w:szCs w:val="32"/>
          <w:lang w:val="en-US" w:eastAsia="zh-CN"/>
        </w:rPr>
        <w:t>2020年国家奖助学金评定工作。其中：</w:t>
      </w:r>
      <w:r>
        <w:rPr>
          <w:rFonts w:hint="eastAsia" w:ascii="仿宋_GB2312" w:hAnsi="宋体" w:eastAsia="仿宋_GB2312" w:cs="Times New Roman"/>
          <w:sz w:val="32"/>
          <w:szCs w:val="32"/>
          <w:lang w:val="zh-CN"/>
        </w:rPr>
        <w:t>国家奖学金</w:t>
      </w:r>
      <w:r>
        <w:rPr>
          <w:rFonts w:hint="eastAsia" w:ascii="仿宋_GB2312" w:hAnsi="宋体" w:eastAsia="仿宋_GB2312" w:cs="Times New Roman"/>
          <w:sz w:val="32"/>
          <w:szCs w:val="32"/>
          <w:lang w:val="en-US" w:eastAsia="zh-CN"/>
        </w:rPr>
        <w:t>9人，</w:t>
      </w:r>
      <w:r>
        <w:rPr>
          <w:rFonts w:hint="eastAsia" w:ascii="仿宋_GB2312" w:hAnsi="宋体" w:eastAsia="仿宋_GB2312" w:cs="Times New Roman"/>
          <w:sz w:val="32"/>
          <w:szCs w:val="32"/>
          <w:lang w:val="zh-CN"/>
        </w:rPr>
        <w:t>奖励标准为每人每年8000元；国家励志奖学金</w:t>
      </w:r>
      <w:r>
        <w:rPr>
          <w:rFonts w:hint="eastAsia" w:ascii="仿宋_GB2312" w:hAnsi="宋体" w:eastAsia="仿宋_GB2312" w:cs="Times New Roman"/>
          <w:sz w:val="32"/>
          <w:szCs w:val="32"/>
          <w:lang w:val="en-US" w:eastAsia="zh-CN"/>
        </w:rPr>
        <w:t>234</w:t>
      </w:r>
      <w:r>
        <w:rPr>
          <w:rFonts w:hint="eastAsia" w:ascii="仿宋_GB2312" w:hAnsi="宋体" w:eastAsia="仿宋_GB2312" w:cs="Times New Roman"/>
          <w:sz w:val="32"/>
          <w:szCs w:val="32"/>
          <w:lang w:val="zh-CN"/>
        </w:rPr>
        <w:t>人，奖励标准为每人每年每人5000元；国家助学金春季资助人数为</w:t>
      </w:r>
      <w:r>
        <w:rPr>
          <w:rFonts w:hint="eastAsia" w:ascii="仿宋_GB2312" w:hAnsi="宋体" w:eastAsia="仿宋_GB2312" w:cs="Times New Roman"/>
          <w:sz w:val="32"/>
          <w:szCs w:val="32"/>
          <w:lang w:val="en-US" w:eastAsia="zh-CN"/>
        </w:rPr>
        <w:t>2627</w:t>
      </w:r>
      <w:r>
        <w:rPr>
          <w:rFonts w:hint="eastAsia" w:ascii="仿宋_GB2312" w:hAnsi="宋体" w:eastAsia="仿宋_GB2312" w:cs="Times New Roman"/>
          <w:sz w:val="32"/>
          <w:szCs w:val="32"/>
          <w:lang w:val="zh-CN"/>
        </w:rPr>
        <w:t>人，秋季资助人数为2</w:t>
      </w:r>
      <w:r>
        <w:rPr>
          <w:rFonts w:hint="eastAsia" w:ascii="仿宋_GB2312" w:hAnsi="宋体" w:eastAsia="仿宋_GB2312" w:cs="Times New Roman"/>
          <w:sz w:val="32"/>
          <w:szCs w:val="32"/>
          <w:lang w:val="en-US" w:eastAsia="zh-CN"/>
        </w:rPr>
        <w:t>602</w:t>
      </w:r>
      <w:r>
        <w:rPr>
          <w:rFonts w:hint="eastAsia" w:ascii="仿宋_GB2312" w:hAnsi="宋体" w:eastAsia="仿宋_GB2312" w:cs="Times New Roman"/>
          <w:sz w:val="32"/>
          <w:szCs w:val="32"/>
          <w:lang w:val="zh-CN"/>
        </w:rPr>
        <w:t>人，资助标准为一档（一般困难）、二档（困难）、三档（特别困难），分别为每人每年2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val="zh-CN"/>
        </w:rPr>
        <w:t>00元、3</w:t>
      </w: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val="zh-CN"/>
        </w:rPr>
        <w:t>00元、4</w:t>
      </w: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lang w:val="zh-CN"/>
        </w:rPr>
        <w:t>00元。</w:t>
      </w:r>
    </w:p>
    <w:p>
      <w:pPr>
        <w:spacing w:line="60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落实国家、省各项学生资助政策，保障家庭经济困难学生受教育权利，促进教育公平，保证每一名在校家庭经济困难学生能够安心在校学习生活，顺利完成学业。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黑体" w:hAnsi="宋体" w:eastAsia="黑体"/>
          <w:sz w:val="32"/>
          <w:szCs w:val="32"/>
        </w:rPr>
      </w:pPr>
      <w:r>
        <w:rPr>
          <w:rFonts w:hint="eastAsia" w:ascii="黑体" w:hAnsi="宋体" w:eastAsia="黑体"/>
          <w:sz w:val="32"/>
          <w:szCs w:val="32"/>
        </w:rPr>
        <w:t>二、项目资金申报及使用情况</w:t>
      </w:r>
    </w:p>
    <w:p>
      <w:pPr>
        <w:spacing w:line="60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该项目资金由省财政厅、教育厅根据《关于提前下达2020年学生资助（高等教育）中央补助资金预算的通知》（</w:t>
      </w:r>
      <w:r>
        <w:rPr>
          <w:rFonts w:hint="eastAsia" w:ascii="仿宋_GB2312" w:hAnsi="宋体" w:eastAsia="仿宋_GB2312"/>
          <w:color w:val="auto"/>
          <w:sz w:val="32"/>
          <w:szCs w:val="32"/>
          <w:lang w:val="zh-CN"/>
        </w:rPr>
        <w:t>川财教〔</w:t>
      </w:r>
      <w:r>
        <w:rPr>
          <w:rFonts w:hint="eastAsia" w:ascii="仿宋_GB2312" w:hAnsi="宋体" w:eastAsia="仿宋_GB2312"/>
          <w:color w:val="auto"/>
          <w:sz w:val="32"/>
          <w:szCs w:val="32"/>
          <w:lang w:val="en-US" w:eastAsia="zh-CN"/>
        </w:rPr>
        <w:t>2019</w:t>
      </w: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238号）和《关于下达2020年学生资助补助经费（高等教育）预算的通知》（</w:t>
      </w:r>
      <w:r>
        <w:rPr>
          <w:rFonts w:hint="eastAsia" w:ascii="仿宋_GB2312" w:hAnsi="宋体" w:eastAsia="仿宋_GB2312"/>
          <w:color w:val="auto"/>
          <w:sz w:val="32"/>
          <w:szCs w:val="32"/>
          <w:lang w:val="zh-CN"/>
        </w:rPr>
        <w:t>川财教〔</w:t>
      </w:r>
      <w:r>
        <w:rPr>
          <w:rFonts w:hint="eastAsia" w:ascii="仿宋_GB2312" w:hAnsi="宋体" w:eastAsia="仿宋_GB2312"/>
          <w:color w:val="auto"/>
          <w:sz w:val="32"/>
          <w:szCs w:val="32"/>
          <w:lang w:val="en-US" w:eastAsia="zh-CN"/>
        </w:rPr>
        <w:t>2020</w:t>
      </w: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141号）文件下拨市财政局，再由市财政局下达我校。</w:t>
      </w:r>
    </w:p>
    <w:p>
      <w:pPr>
        <w:spacing w:line="60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（二）资金计划、到位及使用情况</w:t>
      </w:r>
    </w:p>
    <w:p>
      <w:pPr>
        <w:keepNext w:val="0"/>
        <w:keepLines w:val="0"/>
        <w:pageBreakBefore w:val="0"/>
        <w:widowControl w:val="0"/>
        <w:kinsoku/>
        <w:wordWrap/>
        <w:overflowPunct/>
        <w:topLinePunct w:val="0"/>
        <w:autoSpaceDE/>
        <w:autoSpaceDN/>
        <w:bidi w:val="0"/>
        <w:ind w:left="0" w:leftChars="0" w:firstLine="640" w:firstLineChars="200"/>
        <w:jc w:val="both"/>
        <w:textAlignment w:val="auto"/>
        <w:rPr>
          <w:rFonts w:hint="eastAsia" w:ascii="楷体_GB2312" w:hAnsi="宋体" w:eastAsia="楷体_GB2312"/>
          <w:sz w:val="32"/>
          <w:szCs w:val="32"/>
          <w:lang w:val="zh-CN"/>
        </w:rPr>
      </w:pPr>
      <w:r>
        <w:rPr>
          <w:rFonts w:hint="eastAsia" w:ascii="仿宋_GB2312" w:hAnsi="宋体" w:eastAsia="仿宋_GB2312" w:cs="Times New Roman"/>
          <w:sz w:val="32"/>
          <w:szCs w:val="32"/>
          <w:lang w:val="en-US" w:eastAsia="zh-CN"/>
        </w:rPr>
        <w:t>该项目全年计划数为</w:t>
      </w:r>
      <w:r>
        <w:rPr>
          <w:rFonts w:hint="eastAsia" w:ascii="仿宋_GB2312" w:hAnsi="宋体" w:eastAsia="仿宋_GB2312"/>
          <w:sz w:val="32"/>
          <w:szCs w:val="32"/>
          <w:lang w:val="en-US" w:eastAsia="zh-CN"/>
        </w:rPr>
        <w:t>814.43</w:t>
      </w:r>
      <w:r>
        <w:rPr>
          <w:rFonts w:hint="eastAsia" w:ascii="仿宋_GB2312" w:hAnsi="宋体" w:eastAsia="仿宋_GB2312" w:cs="Times New Roman"/>
          <w:sz w:val="32"/>
          <w:szCs w:val="32"/>
          <w:lang w:val="en-US" w:eastAsia="zh-CN"/>
        </w:rPr>
        <w:t>万元，实际到位814.43万元，资金到位率100%。</w:t>
      </w:r>
      <w:r>
        <w:rPr>
          <w:rFonts w:hint="eastAsia" w:ascii="仿宋_GB2312" w:hAnsi="宋体" w:eastAsia="仿宋_GB2312"/>
          <w:color w:val="auto"/>
          <w:sz w:val="32"/>
          <w:szCs w:val="32"/>
          <w:lang w:val="en-US" w:eastAsia="zh-CN"/>
        </w:rPr>
        <w:t>截止2020年12月，</w:t>
      </w:r>
      <w:r>
        <w:rPr>
          <w:rFonts w:hint="eastAsia" w:ascii="仿宋_GB2312" w:hAnsi="宋体" w:eastAsia="仿宋_GB2312" w:cs="Times New Roman"/>
          <w:sz w:val="32"/>
          <w:szCs w:val="32"/>
          <w:lang w:val="en-US" w:eastAsia="zh-CN"/>
        </w:rPr>
        <w:t>全年执行数为</w:t>
      </w:r>
      <w:r>
        <w:rPr>
          <w:rFonts w:hint="eastAsia" w:ascii="仿宋_GB2312" w:hAnsi="宋体" w:eastAsia="仿宋_GB2312"/>
          <w:sz w:val="32"/>
          <w:szCs w:val="32"/>
          <w:lang w:val="en-US" w:eastAsia="zh-CN"/>
        </w:rPr>
        <w:t>814.43万元</w:t>
      </w:r>
      <w:r>
        <w:rPr>
          <w:rFonts w:hint="eastAsia" w:ascii="仿宋_GB2312" w:hAnsi="宋体" w:eastAsia="仿宋_GB2312" w:cs="Times New Roman"/>
          <w:sz w:val="32"/>
          <w:szCs w:val="32"/>
          <w:lang w:val="en-US" w:eastAsia="zh-CN"/>
        </w:rPr>
        <w:t>，执行率100%。</w:t>
      </w:r>
    </w:p>
    <w:p>
      <w:pPr>
        <w:spacing w:line="60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宋体" w:eastAsia="黑体"/>
          <w:sz w:val="32"/>
          <w:szCs w:val="32"/>
        </w:rPr>
      </w:pPr>
      <w:r>
        <w:rPr>
          <w:rFonts w:hint="eastAsia" w:ascii="仿宋_GB2312" w:hAnsi="宋体" w:eastAsia="仿宋_GB2312" w:cs="Times New Roman"/>
          <w:sz w:val="32"/>
          <w:szCs w:val="32"/>
          <w:lang w:val="zh-CN"/>
        </w:rPr>
        <w:t>在项目建设过程中，认真贯彻执行国家、省关于学生学生奖助学金评审和发放的方针政策，根据上级相关文件、制度，制定并完善我校学生奖助学金管理办法和实施细则。专款专用，不截留、不挪用，不多发、也不漏发给每一位学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宋体" w:eastAsia="仿宋_GB2312"/>
          <w:sz w:val="32"/>
          <w:szCs w:val="32"/>
          <w:lang w:val="zh-CN"/>
        </w:rPr>
      </w:pPr>
      <w:r>
        <w:rPr>
          <w:rFonts w:hint="eastAsia" w:ascii="黑体" w:hAnsi="宋体" w:eastAsia="黑体"/>
          <w:sz w:val="32"/>
          <w:szCs w:val="32"/>
        </w:rPr>
        <w:t>三、项目实施及管理情况</w:t>
      </w:r>
    </w:p>
    <w:p>
      <w:pPr>
        <w:spacing w:line="60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（一）项目组织架构及实施流程</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按照《关于做好</w:t>
      </w:r>
      <w:r>
        <w:rPr>
          <w:rFonts w:hint="eastAsia" w:ascii="仿宋_GB2312" w:hAnsi="宋体" w:eastAsia="仿宋_GB2312" w:cs="Times New Roman"/>
          <w:sz w:val="32"/>
          <w:szCs w:val="32"/>
          <w:lang w:val="en-US" w:eastAsia="zh-CN"/>
        </w:rPr>
        <w:t>2020</w:t>
      </w:r>
      <w:r>
        <w:rPr>
          <w:rFonts w:hint="eastAsia" w:ascii="仿宋_GB2312" w:hAnsi="宋体" w:eastAsia="仿宋_GB2312" w:cs="Times New Roman"/>
          <w:sz w:val="32"/>
          <w:szCs w:val="32"/>
          <w:lang w:val="zh-CN"/>
        </w:rPr>
        <w:t>年国家奖助学金评审工作的通知》（川教函〔</w:t>
      </w:r>
      <w:r>
        <w:rPr>
          <w:rFonts w:hint="eastAsia" w:ascii="仿宋_GB2312" w:hAnsi="宋体" w:eastAsia="仿宋_GB2312" w:cs="Times New Roman"/>
          <w:sz w:val="32"/>
          <w:szCs w:val="32"/>
          <w:lang w:val="en-US" w:eastAsia="zh-CN"/>
        </w:rPr>
        <w:t>2020</w:t>
      </w:r>
      <w:r>
        <w:rPr>
          <w:rFonts w:hint="eastAsia" w:ascii="仿宋_GB2312" w:hAnsi="宋体" w:eastAsia="仿宋_GB2312" w:cs="Times New Roman"/>
          <w:sz w:val="32"/>
          <w:szCs w:val="32"/>
          <w:lang w:val="zh-CN"/>
        </w:rPr>
        <w:t>〕</w:t>
      </w:r>
      <w:r>
        <w:rPr>
          <w:rFonts w:hint="eastAsia" w:ascii="仿宋_GB2312" w:hAnsi="宋体" w:eastAsia="仿宋_GB2312" w:cs="Times New Roman"/>
          <w:sz w:val="32"/>
          <w:szCs w:val="32"/>
          <w:lang w:val="en-US" w:eastAsia="zh-CN"/>
        </w:rPr>
        <w:t>501</w:t>
      </w:r>
      <w:r>
        <w:rPr>
          <w:rFonts w:hint="eastAsia" w:ascii="仿宋_GB2312" w:hAnsi="宋体" w:eastAsia="仿宋_GB2312" w:cs="Times New Roman"/>
          <w:sz w:val="32"/>
          <w:szCs w:val="32"/>
          <w:lang w:val="zh-CN"/>
        </w:rPr>
        <w:t>号）为评审依据，本着公开、公平、公正的原则，经个人自荐——班级评议——系部初审，于系部公示</w:t>
      </w:r>
      <w:r>
        <w:rPr>
          <w:rFonts w:hint="eastAsia" w:ascii="仿宋_GB2312" w:eastAsia="仿宋_GB2312"/>
          <w:sz w:val="32"/>
          <w:szCs w:val="32"/>
          <w:lang w:val="en-US" w:eastAsia="zh-CN"/>
        </w:rPr>
        <w:t>5</w:t>
      </w:r>
      <w:r>
        <w:rPr>
          <w:rFonts w:hint="eastAsia" w:ascii="仿宋_GB2312" w:eastAsia="仿宋_GB2312"/>
          <w:sz w:val="32"/>
          <w:szCs w:val="32"/>
          <w:lang w:eastAsia="zh-CN"/>
        </w:rPr>
        <w:t>个工作日</w:t>
      </w:r>
      <w:r>
        <w:rPr>
          <w:rFonts w:hint="eastAsia" w:ascii="仿宋_GB2312" w:hAnsi="宋体" w:eastAsia="仿宋_GB2312" w:cs="Times New Roman"/>
          <w:sz w:val="32"/>
          <w:szCs w:val="32"/>
          <w:lang w:val="zh-CN"/>
        </w:rPr>
        <w:t>，无异议之后推荐到学校国家奖助学金评审委员会进行复审。经过综合考评后，上报学校国家奖助学金评审领导小组，领导小组经过认真审核，同意学校国家奖助学金评审委员会的意见，并将评选结果在全校范围内公示</w:t>
      </w:r>
      <w:r>
        <w:rPr>
          <w:rFonts w:hint="eastAsia" w:ascii="仿宋_GB2312" w:eastAsia="仿宋_GB2312"/>
          <w:sz w:val="32"/>
          <w:szCs w:val="32"/>
          <w:lang w:val="en-US" w:eastAsia="zh-CN"/>
        </w:rPr>
        <w:t>5</w:t>
      </w:r>
      <w:r>
        <w:rPr>
          <w:rFonts w:hint="eastAsia" w:ascii="仿宋_GB2312" w:eastAsia="仿宋_GB2312"/>
          <w:sz w:val="32"/>
          <w:szCs w:val="32"/>
          <w:lang w:eastAsia="zh-CN"/>
        </w:rPr>
        <w:t>个工作日</w:t>
      </w:r>
      <w:r>
        <w:rPr>
          <w:rFonts w:hint="eastAsia" w:ascii="仿宋_GB2312" w:hAnsi="宋体" w:eastAsia="仿宋_GB2312" w:cs="Times New Roman"/>
          <w:sz w:val="32"/>
          <w:szCs w:val="32"/>
          <w:lang w:val="zh-CN"/>
        </w:rPr>
        <w:t>，公示期间无异议，报学校国家奖助学金评审领导小组通过后汇总上报。</w:t>
      </w:r>
    </w:p>
    <w:p>
      <w:pPr>
        <w:spacing w:line="60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学校通过广元市惠民惠农财政补贴资金“一卡通”项目资金直接打入受资助学生本人社保卡中。</w:t>
      </w:r>
    </w:p>
    <w:p>
      <w:pPr>
        <w:spacing w:line="60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（三）项目监管情况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认真贯彻执行国家、省关于学生学生奖助学金评审和发放的方针政策，专款专用，同时建立健全学生受助档案以备第三方审查，学生、家长满意度</w:t>
      </w:r>
      <w:r>
        <w:rPr>
          <w:rFonts w:hint="eastAsia" w:ascii="仿宋_GB2312" w:hAnsi="宋体" w:eastAsia="仿宋_GB2312"/>
          <w:sz w:val="32"/>
          <w:szCs w:val="32"/>
          <w:lang w:val="en-US" w:eastAsia="zh-CN"/>
        </w:rPr>
        <w:t>100%。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spacing w:line="60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严格按照省上要求，按时评选、按时报送，及时、全额发放补助资金。项目设定数量指标4项全部完成。应评选的受奖受助学生人数达到年度指标值，完成率100%，未截留指标。</w:t>
      </w:r>
    </w:p>
    <w:p>
      <w:pPr>
        <w:keepNext w:val="0"/>
        <w:keepLines w:val="0"/>
        <w:pageBreakBefore w:val="0"/>
        <w:widowControl w:val="0"/>
        <w:numPr>
          <w:ilvl w:val="0"/>
          <w:numId w:val="7"/>
        </w:numPr>
        <w:kinsoku/>
        <w:wordWrap/>
        <w:overflowPunct/>
        <w:topLinePunct w:val="0"/>
        <w:autoSpaceDE/>
        <w:autoSpaceDN/>
        <w:bidi w:val="0"/>
        <w:ind w:left="0" w:leftChars="0" w:firstLine="640" w:firstLineChars="200"/>
        <w:jc w:val="both"/>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项目效益情况</w:t>
      </w:r>
    </w:p>
    <w:p>
      <w:pPr>
        <w:keepNext w:val="0"/>
        <w:keepLines w:val="0"/>
        <w:pageBreakBefore w:val="0"/>
        <w:widowControl w:val="0"/>
        <w:numPr>
          <w:ilvl w:val="0"/>
          <w:numId w:val="0"/>
        </w:numPr>
        <w:kinsoku/>
        <w:wordWrap/>
        <w:overflowPunct/>
        <w:topLinePunct w:val="0"/>
        <w:autoSpaceDE/>
        <w:autoSpaceDN/>
        <w:bidi w:val="0"/>
        <w:ind w:firstLine="640" w:firstLineChars="200"/>
        <w:jc w:val="both"/>
        <w:textAlignment w:val="auto"/>
        <w:rPr>
          <w:rFonts w:ascii="楷体_GB2312" w:hAnsi="宋体" w:eastAsia="楷体_GB2312"/>
          <w:b/>
          <w:sz w:val="32"/>
          <w:szCs w:val="32"/>
          <w:lang w:val="zh-CN"/>
        </w:rPr>
      </w:pPr>
      <w:r>
        <w:rPr>
          <w:rFonts w:hint="eastAsia" w:ascii="仿宋_GB2312" w:hAnsi="宋体" w:eastAsia="仿宋_GB2312" w:cs="Times New Roman"/>
          <w:sz w:val="32"/>
          <w:szCs w:val="32"/>
          <w:lang w:val="zh-CN"/>
        </w:rPr>
        <w:t>加强政策宣传，寄发《高等学校学生资助政策简介》给录取新生；利用网站、校园广播、展板等进行政策宣传；给每一位学生印发资助管理制度，宣讲资助政策，使资助政策深入学生心中。有效减轻了贫困学生家庭负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黑体" w:hAnsi="宋体" w:eastAsia="黑体"/>
          <w:color w:val="auto"/>
          <w:sz w:val="32"/>
          <w:szCs w:val="32"/>
        </w:rPr>
      </w:pPr>
      <w:r>
        <w:rPr>
          <w:rFonts w:hint="eastAsia" w:ascii="黑体" w:hAnsi="宋体" w:eastAsia="黑体"/>
          <w:color w:val="auto"/>
          <w:sz w:val="32"/>
          <w:szCs w:val="32"/>
        </w:rPr>
        <w:t>五、评价结论及建议</w:t>
      </w:r>
    </w:p>
    <w:p>
      <w:pPr>
        <w:keepNext w:val="0"/>
        <w:keepLines w:val="0"/>
        <w:pageBreakBefore w:val="0"/>
        <w:widowControl w:val="0"/>
        <w:numPr>
          <w:ilvl w:val="0"/>
          <w:numId w:val="0"/>
        </w:numPr>
        <w:kinsoku/>
        <w:wordWrap/>
        <w:overflowPunct/>
        <w:topLinePunct w:val="0"/>
        <w:autoSpaceDE/>
        <w:autoSpaceDN/>
        <w:bidi w:val="0"/>
        <w:ind w:leftChars="200"/>
        <w:jc w:val="both"/>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在为家庭困难学生解决经济困难的同时，学校也高度重视、密切关心他们的心理健康并切实做好“精神扶贫”工作，帮助他们建立自尊、自强、自信、自立的良好心态，树立正确的人生观、价值观和世界观;注重对经济困难学生挫折调节能力的培养，引导他们建立良好的人际关系；积极倡导诚信意识，诚实做事、诚信为人，做到诚信生活、诚信学习、诚信就业；不断加大对受助优秀学生先进事迹的深入宣传与报道，扩大影响力和辐射面，充分发挥优秀学生的引领示范带头作用，促使全校学生向优秀看齐、向先进看齐等等，力争做到物质帮扶与“精神扶贫”的有机结合。</w:t>
      </w:r>
    </w:p>
    <w:p>
      <w:pPr>
        <w:keepNext w:val="0"/>
        <w:keepLines w:val="0"/>
        <w:pageBreakBefore w:val="0"/>
        <w:widowControl w:val="0"/>
        <w:numPr>
          <w:ilvl w:val="0"/>
          <w:numId w:val="0"/>
        </w:numPr>
        <w:kinsoku/>
        <w:wordWrap/>
        <w:overflowPunct/>
        <w:topLinePunct w:val="0"/>
        <w:autoSpaceDE/>
        <w:autoSpaceDN/>
        <w:bidi w:val="0"/>
        <w:ind w:leftChars="200"/>
        <w:jc w:val="both"/>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在发放学生资助补助经费过程中因学生社保卡未激活导致打卡失败情况较多，给发放工作带来了一定的现实阻碍，加大了后期清理的工作量。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（三）相关建议</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提前通知、督促学生</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办理激活社保卡金融功能。同时紧紧围绕“立德树人”这一根本宗旨，将培养青年学生全面发展作为资助育人工作的总目标，加强励志教育、诚信教育和社会责任感教育“三项教育”，培养青年学生自立自强、诚实守信、知恩感恩、勇于担当的良好品质。</w:t>
      </w:r>
    </w:p>
    <w:p>
      <w:pPr>
        <w:spacing w:line="580" w:lineRule="exact"/>
        <w:rPr>
          <w:rFonts w:hint="eastAsia" w:ascii="黑体" w:hAnsi="黑体" w:eastAsia="黑体" w:cs="黑体"/>
          <w:sz w:val="32"/>
          <w:szCs w:val="32"/>
        </w:rPr>
      </w:pPr>
    </w:p>
    <w:p>
      <w:pPr>
        <w:spacing w:line="580" w:lineRule="exact"/>
        <w:rPr>
          <w:rFonts w:hint="default" w:ascii="仿宋_GB2312" w:hAnsi="仿宋_GB2312" w:eastAsia="黑体" w:cs="仿宋_GB2312"/>
          <w:sz w:val="32"/>
          <w:szCs w:val="32"/>
          <w:lang w:val="en-US" w:eastAsia="zh-CN"/>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lang w:val="en-US" w:eastAsia="zh-CN"/>
        </w:rPr>
        <w:t>-2</w:t>
      </w:r>
    </w:p>
    <w:p>
      <w:pPr>
        <w:spacing w:line="600" w:lineRule="exact"/>
        <w:jc w:val="center"/>
        <w:outlineLvl w:val="0"/>
        <w:rPr>
          <w:rFonts w:hint="eastAsia" w:ascii="黑体" w:hAnsi="黑体" w:eastAsia="黑体" w:cs="方正小标宋简体"/>
          <w:sz w:val="36"/>
          <w:szCs w:val="36"/>
          <w:lang w:val="zh-CN"/>
        </w:rPr>
      </w:pPr>
      <w:r>
        <w:rPr>
          <w:rFonts w:hint="eastAsia" w:ascii="黑体" w:hAnsi="黑体" w:eastAsia="黑体" w:cs="方正小标宋简体"/>
          <w:sz w:val="36"/>
          <w:szCs w:val="36"/>
          <w:lang w:val="en-US" w:eastAsia="zh-CN"/>
        </w:rPr>
        <w:t>川北幼儿师范高等专科学校</w:t>
      </w:r>
    </w:p>
    <w:p>
      <w:pPr>
        <w:spacing w:line="600" w:lineRule="exact"/>
        <w:jc w:val="center"/>
        <w:outlineLvl w:val="0"/>
        <w:rPr>
          <w:rFonts w:hint="eastAsia" w:ascii="黑体" w:hAnsi="黑体" w:eastAsia="黑体" w:cs="方正小标宋简体"/>
          <w:sz w:val="36"/>
          <w:szCs w:val="36"/>
          <w:lang w:val="en-US" w:eastAsia="zh-CN"/>
        </w:rPr>
      </w:pPr>
      <w:r>
        <w:rPr>
          <w:rFonts w:hint="eastAsia" w:ascii="黑体" w:hAnsi="黑体" w:eastAsia="黑体" w:cs="方正小标宋简体"/>
          <w:sz w:val="36"/>
          <w:szCs w:val="36"/>
          <w:lang w:val="en-US" w:eastAsia="zh-CN"/>
        </w:rPr>
        <w:t>2020年公费师范生培养补助工作经费</w:t>
      </w:r>
    </w:p>
    <w:p>
      <w:pPr>
        <w:spacing w:line="600" w:lineRule="exact"/>
        <w:jc w:val="center"/>
        <w:outlineLvl w:val="0"/>
        <w:rPr>
          <w:rFonts w:hint="eastAsia" w:ascii="黑体" w:hAnsi="黑体" w:eastAsia="黑体" w:cs="方正小标宋简体"/>
          <w:sz w:val="36"/>
          <w:szCs w:val="36"/>
          <w:lang w:val="zh-CN"/>
        </w:rPr>
      </w:pPr>
      <w:r>
        <w:rPr>
          <w:rFonts w:hint="eastAsia" w:ascii="黑体" w:hAnsi="黑体" w:eastAsia="黑体" w:cs="方正小标宋简体"/>
          <w:sz w:val="36"/>
          <w:szCs w:val="36"/>
          <w:lang w:val="zh-CN"/>
        </w:rPr>
        <w:t>项目绩效评价报告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（一）项目基本情况</w:t>
      </w:r>
    </w:p>
    <w:p>
      <w:pPr>
        <w:adjustRightInd w:val="0"/>
        <w:snapToGrid w:val="0"/>
        <w:spacing w:line="600" w:lineRule="exact"/>
        <w:ind w:firstLine="72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zh-CN"/>
        </w:rPr>
        <w:t>学生工作处按照《四川省教育厅等四部门关于开展师范公费定向培养工作的实施意见》(川教〔</w:t>
      </w:r>
      <w:r>
        <w:rPr>
          <w:rFonts w:hint="eastAsia" w:ascii="仿宋_GB2312" w:hAnsi="宋体" w:eastAsia="仿宋_GB2312" w:cs="Times New Roman"/>
          <w:sz w:val="32"/>
          <w:szCs w:val="32"/>
          <w:lang w:val="en-US" w:eastAsia="zh-CN"/>
        </w:rPr>
        <w:t>2018</w:t>
      </w:r>
      <w:r>
        <w:rPr>
          <w:rFonts w:hint="eastAsia" w:ascii="仿宋_GB2312" w:hAnsi="宋体" w:eastAsia="仿宋_GB2312" w:cs="Times New Roman"/>
          <w:sz w:val="32"/>
          <w:szCs w:val="32"/>
          <w:lang w:val="zh-CN"/>
        </w:rPr>
        <w:t>〕</w:t>
      </w:r>
      <w:r>
        <w:rPr>
          <w:rFonts w:hint="eastAsia" w:ascii="仿宋_GB2312" w:hAnsi="宋体" w:eastAsia="仿宋_GB2312" w:cs="Times New Roman"/>
          <w:sz w:val="32"/>
          <w:szCs w:val="32"/>
          <w:lang w:val="en-US" w:eastAsia="zh-CN"/>
        </w:rPr>
        <w:t>83</w:t>
      </w:r>
      <w:r>
        <w:rPr>
          <w:rFonts w:hint="eastAsia" w:ascii="仿宋_GB2312" w:hAnsi="宋体" w:eastAsia="仿宋_GB2312" w:cs="Times New Roman"/>
          <w:sz w:val="32"/>
          <w:szCs w:val="32"/>
          <w:lang w:val="zh-CN"/>
        </w:rPr>
        <w:t>号)</w:t>
      </w:r>
      <w:r>
        <w:rPr>
          <w:rFonts w:hint="eastAsia" w:ascii="仿宋_GB2312" w:hAnsi="宋体" w:eastAsia="仿宋_GB2312" w:cs="Times New Roman"/>
          <w:sz w:val="32"/>
          <w:szCs w:val="32"/>
          <w:lang w:val="en-US" w:eastAsia="zh-CN"/>
        </w:rPr>
        <w:t>文件要求，做好2020年公费师范生培养补助工作。其中：2018级公费师范生93人、2019级公费师范生57人、2020级公费师范生73人，</w:t>
      </w:r>
      <w:r>
        <w:rPr>
          <w:rFonts w:hint="eastAsia" w:ascii="仿宋_GB2312" w:hAnsi="宋体" w:eastAsia="仿宋_GB2312" w:cs="Times New Roman"/>
          <w:sz w:val="32"/>
          <w:szCs w:val="32"/>
          <w:lang w:val="zh-CN"/>
        </w:rPr>
        <w:t>补助标准为公费师范生生活补助每人每年</w:t>
      </w:r>
      <w:r>
        <w:rPr>
          <w:rFonts w:hint="eastAsia" w:ascii="仿宋_GB2312" w:hAnsi="宋体" w:eastAsia="仿宋_GB2312" w:cs="Times New Roman"/>
          <w:sz w:val="32"/>
          <w:szCs w:val="32"/>
          <w:lang w:val="en-US" w:eastAsia="zh-CN"/>
        </w:rPr>
        <w:t>6000</w:t>
      </w:r>
      <w:r>
        <w:rPr>
          <w:rFonts w:hint="eastAsia" w:ascii="仿宋_GB2312" w:hAnsi="宋体" w:eastAsia="仿宋_GB2312" w:cs="Times New Roman"/>
          <w:sz w:val="32"/>
          <w:szCs w:val="32"/>
          <w:lang w:val="zh-CN"/>
        </w:rPr>
        <w:t>元、公费师范生学费每人每年</w:t>
      </w:r>
      <w:r>
        <w:rPr>
          <w:rFonts w:hint="eastAsia" w:ascii="仿宋_GB2312" w:hAnsi="宋体" w:eastAsia="仿宋_GB2312" w:cs="Times New Roman"/>
          <w:sz w:val="32"/>
          <w:szCs w:val="32"/>
          <w:lang w:val="en-US" w:eastAsia="zh-CN"/>
        </w:rPr>
        <w:t>4000</w:t>
      </w:r>
      <w:r>
        <w:rPr>
          <w:rFonts w:hint="eastAsia" w:ascii="仿宋_GB2312" w:hAnsi="宋体" w:eastAsia="仿宋_GB2312" w:cs="Times New Roman"/>
          <w:sz w:val="32"/>
          <w:szCs w:val="32"/>
          <w:lang w:val="zh-CN"/>
        </w:rPr>
        <w:t>元、公费师范生住宿费每人每年</w:t>
      </w:r>
      <w:r>
        <w:rPr>
          <w:rFonts w:hint="eastAsia" w:ascii="仿宋_GB2312" w:hAnsi="宋体" w:eastAsia="仿宋_GB2312" w:cs="Times New Roman"/>
          <w:sz w:val="32"/>
          <w:szCs w:val="32"/>
          <w:lang w:val="en-US" w:eastAsia="zh-CN"/>
        </w:rPr>
        <w:t>1000</w:t>
      </w:r>
      <w:r>
        <w:rPr>
          <w:rFonts w:hint="eastAsia" w:ascii="仿宋_GB2312" w:hAnsi="宋体" w:eastAsia="仿宋_GB2312" w:cs="Times New Roman"/>
          <w:sz w:val="32"/>
          <w:szCs w:val="32"/>
          <w:lang w:val="zh-CN"/>
        </w:rPr>
        <w:t>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（二）项目绩效目标</w:t>
      </w:r>
    </w:p>
    <w:p>
      <w:pPr>
        <w:adjustRightInd w:val="0"/>
        <w:snapToGrid w:val="0"/>
        <w:spacing w:line="600" w:lineRule="exact"/>
        <w:ind w:firstLine="720"/>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落实国家、省各项学生资助政策，保障公费师范生受教育权利，促进教育公平，保证每一名在校公费师范生能够安心在校学习生活，顺利完成学业。</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（一）项目资金申报及批复情况</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该项目资金由省财政厅、教育厅根据《关于下达2020年第一批高校共建与发展专项资金预算的通知》（</w:t>
      </w:r>
      <w:r>
        <w:rPr>
          <w:rFonts w:hint="eastAsia" w:ascii="仿宋_GB2312" w:hAnsi="宋体" w:eastAsia="仿宋_GB2312"/>
          <w:color w:val="auto"/>
          <w:sz w:val="32"/>
          <w:szCs w:val="32"/>
          <w:lang w:val="zh-CN"/>
        </w:rPr>
        <w:t>川财教〔</w:t>
      </w:r>
      <w:r>
        <w:rPr>
          <w:rFonts w:hint="eastAsia" w:ascii="仿宋_GB2312" w:hAnsi="宋体" w:eastAsia="仿宋_GB2312"/>
          <w:color w:val="auto"/>
          <w:sz w:val="32"/>
          <w:szCs w:val="32"/>
          <w:lang w:val="en-US" w:eastAsia="zh-CN"/>
        </w:rPr>
        <w:t>2020</w:t>
      </w: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44号）文件下拨市财政局，再由市财政局下达我校。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（二）资金计划、到位及使用情况</w:t>
      </w:r>
    </w:p>
    <w:p>
      <w:pPr>
        <w:keepNext w:val="0"/>
        <w:keepLines w:val="0"/>
        <w:pageBreakBefore w:val="0"/>
        <w:widowControl w:val="0"/>
        <w:kinsoku/>
        <w:wordWrap/>
        <w:overflowPunct/>
        <w:topLinePunct w:val="0"/>
        <w:autoSpaceDE/>
        <w:autoSpaceDN/>
        <w:bidi w:val="0"/>
        <w:ind w:left="0" w:leftChars="0" w:firstLine="640" w:firstLineChars="200"/>
        <w:jc w:val="both"/>
        <w:textAlignment w:val="auto"/>
        <w:rPr>
          <w:rFonts w:hint="eastAsia" w:ascii="楷体_GB2312" w:hAnsi="宋体" w:eastAsia="楷体_GB2312"/>
          <w:sz w:val="32"/>
          <w:szCs w:val="32"/>
          <w:lang w:val="zh-CN"/>
        </w:rPr>
      </w:pPr>
      <w:r>
        <w:rPr>
          <w:rFonts w:hint="eastAsia" w:ascii="仿宋_GB2312" w:hAnsi="宋体" w:eastAsia="仿宋_GB2312" w:cs="Times New Roman"/>
          <w:sz w:val="32"/>
          <w:szCs w:val="32"/>
          <w:lang w:val="en-US" w:eastAsia="zh-CN"/>
        </w:rPr>
        <w:t>该项目全年计划数为</w:t>
      </w:r>
      <w:r>
        <w:rPr>
          <w:rFonts w:hint="eastAsia" w:ascii="仿宋_GB2312" w:hAnsi="宋体" w:eastAsia="仿宋_GB2312"/>
          <w:sz w:val="32"/>
          <w:szCs w:val="32"/>
          <w:lang w:val="en-US" w:eastAsia="zh-CN"/>
        </w:rPr>
        <w:t>174.35</w:t>
      </w:r>
      <w:r>
        <w:rPr>
          <w:rFonts w:hint="eastAsia" w:ascii="仿宋_GB2312" w:hAnsi="宋体" w:eastAsia="仿宋_GB2312" w:cs="Times New Roman"/>
          <w:sz w:val="32"/>
          <w:szCs w:val="32"/>
          <w:lang w:val="en-US" w:eastAsia="zh-CN"/>
        </w:rPr>
        <w:t>万元，实际到位174.35万元，资金到位率100%。</w:t>
      </w:r>
      <w:r>
        <w:rPr>
          <w:rFonts w:hint="eastAsia" w:ascii="仿宋_GB2312" w:hAnsi="宋体" w:eastAsia="仿宋_GB2312"/>
          <w:color w:val="auto"/>
          <w:sz w:val="32"/>
          <w:szCs w:val="32"/>
          <w:lang w:val="en-US" w:eastAsia="zh-CN"/>
        </w:rPr>
        <w:t>截止2020年12月，</w:t>
      </w:r>
      <w:r>
        <w:rPr>
          <w:rFonts w:hint="eastAsia" w:ascii="仿宋_GB2312" w:hAnsi="宋体" w:eastAsia="仿宋_GB2312" w:cs="Times New Roman"/>
          <w:sz w:val="32"/>
          <w:szCs w:val="32"/>
          <w:lang w:val="en-US" w:eastAsia="zh-CN"/>
        </w:rPr>
        <w:t>全年执行数为</w:t>
      </w:r>
      <w:r>
        <w:rPr>
          <w:rFonts w:hint="eastAsia" w:ascii="仿宋_GB2312" w:hAnsi="宋体" w:eastAsia="仿宋_GB2312"/>
          <w:sz w:val="32"/>
          <w:szCs w:val="32"/>
          <w:lang w:val="en-US" w:eastAsia="zh-CN"/>
        </w:rPr>
        <w:t>174.35万元</w:t>
      </w:r>
      <w:r>
        <w:rPr>
          <w:rFonts w:hint="eastAsia" w:ascii="仿宋_GB2312" w:hAnsi="宋体" w:eastAsia="仿宋_GB2312" w:cs="Times New Roman"/>
          <w:sz w:val="32"/>
          <w:szCs w:val="32"/>
          <w:lang w:val="en-US" w:eastAsia="zh-CN"/>
        </w:rPr>
        <w:t>，执行率100%。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（三）项目财务管理情况</w:t>
      </w:r>
    </w:p>
    <w:p>
      <w:pPr>
        <w:adjustRightInd w:val="0"/>
        <w:snapToGrid w:val="0"/>
        <w:spacing w:line="600" w:lineRule="exact"/>
        <w:ind w:firstLine="720"/>
        <w:rPr>
          <w:rFonts w:hint="eastAsia" w:ascii="黑体" w:hAnsi="宋体" w:eastAsia="黑体"/>
          <w:sz w:val="32"/>
          <w:szCs w:val="32"/>
        </w:rPr>
      </w:pPr>
      <w:r>
        <w:rPr>
          <w:rFonts w:hint="eastAsia" w:ascii="仿宋_GB2312" w:hAnsi="宋体" w:eastAsia="仿宋_GB2312" w:cs="Times New Roman"/>
          <w:sz w:val="32"/>
          <w:szCs w:val="32"/>
          <w:lang w:val="zh-CN"/>
        </w:rPr>
        <w:t>在项目建设过程中，认真贯彻执行省、市关于公费师范生生活补助发放的方针政策，根据上级相关文件、制度，专款专用，不截留、不挪用，不多发、也不漏发给每一位学生。</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（一）项目组织架构及实施流程</w:t>
      </w:r>
    </w:p>
    <w:p>
      <w:pPr>
        <w:numPr>
          <w:ilvl w:val="0"/>
          <w:numId w:val="0"/>
        </w:numPr>
        <w:adjustRightInd w:val="0"/>
        <w:snapToGrid w:val="0"/>
        <w:spacing w:line="600" w:lineRule="exact"/>
        <w:ind w:firstLine="640" w:firstLineChars="200"/>
        <w:rPr>
          <w:rFonts w:hint="eastAsia" w:ascii="楷体_GB2312" w:hAnsi="宋体" w:eastAsia="楷体_GB2312"/>
          <w:b/>
          <w:sz w:val="32"/>
          <w:szCs w:val="32"/>
          <w:lang w:val="zh-CN"/>
        </w:rPr>
      </w:pPr>
      <w:r>
        <w:rPr>
          <w:rFonts w:hint="eastAsia" w:ascii="仿宋_GB2312" w:hAnsi="宋体" w:eastAsia="仿宋_GB2312" w:cs="Times New Roman"/>
          <w:sz w:val="32"/>
          <w:szCs w:val="32"/>
          <w:lang w:val="zh-CN"/>
        </w:rPr>
        <w:t>按《四川省教育厅等四部门关于开展师范公费定向培养工作的实施意见》(川教〔</w:t>
      </w:r>
      <w:r>
        <w:rPr>
          <w:rFonts w:hint="eastAsia" w:ascii="仿宋_GB2312" w:hAnsi="宋体" w:eastAsia="仿宋_GB2312" w:cs="Times New Roman"/>
          <w:sz w:val="32"/>
          <w:szCs w:val="32"/>
          <w:lang w:val="en-US" w:eastAsia="zh-CN"/>
        </w:rPr>
        <w:t>2018</w:t>
      </w:r>
      <w:r>
        <w:rPr>
          <w:rFonts w:hint="eastAsia" w:ascii="仿宋_GB2312" w:hAnsi="宋体" w:eastAsia="仿宋_GB2312" w:cs="Times New Roman"/>
          <w:sz w:val="32"/>
          <w:szCs w:val="32"/>
          <w:lang w:val="zh-CN"/>
        </w:rPr>
        <w:t>〕</w:t>
      </w:r>
      <w:r>
        <w:rPr>
          <w:rFonts w:hint="eastAsia" w:ascii="仿宋_GB2312" w:hAnsi="宋体" w:eastAsia="仿宋_GB2312" w:cs="Times New Roman"/>
          <w:sz w:val="32"/>
          <w:szCs w:val="32"/>
          <w:lang w:val="en-US" w:eastAsia="zh-CN"/>
        </w:rPr>
        <w:t>83</w:t>
      </w:r>
      <w:r>
        <w:rPr>
          <w:rFonts w:hint="eastAsia" w:ascii="仿宋_GB2312" w:hAnsi="宋体" w:eastAsia="仿宋_GB2312" w:cs="Times New Roman"/>
          <w:sz w:val="32"/>
          <w:szCs w:val="32"/>
          <w:lang w:val="zh-CN"/>
        </w:rPr>
        <w:t>号)要求，按月及时发放资助资金。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（二）项目管理情况</w:t>
      </w:r>
    </w:p>
    <w:p>
      <w:pPr>
        <w:numPr>
          <w:ilvl w:val="0"/>
          <w:numId w:val="0"/>
        </w:numPr>
        <w:adjustRightInd w:val="0"/>
        <w:snapToGrid w:val="0"/>
        <w:spacing w:line="600" w:lineRule="exact"/>
        <w:ind w:firstLine="640" w:firstLineChars="200"/>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学校通过广元市惠民惠农财政补贴资金“一卡通”项目资金直接打入受资助学生本人社保卡中。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（三）项目监管情况</w:t>
      </w:r>
    </w:p>
    <w:p>
      <w:pPr>
        <w:widowControl w:val="0"/>
        <w:numPr>
          <w:ilvl w:val="0"/>
          <w:numId w:val="0"/>
        </w:numPr>
        <w:adjustRightInd w:val="0"/>
        <w:snapToGrid w:val="0"/>
        <w:spacing w:line="600" w:lineRule="exact"/>
        <w:ind w:firstLine="640" w:firstLineChars="200"/>
        <w:jc w:val="both"/>
        <w:rPr>
          <w:rFonts w:hint="eastAsia" w:ascii="仿宋_GB2312" w:hAnsi="宋体" w:eastAsia="仿宋_GB2312"/>
          <w:sz w:val="32"/>
          <w:szCs w:val="32"/>
          <w:lang w:val="zh-CN"/>
        </w:rPr>
      </w:pPr>
      <w:r>
        <w:rPr>
          <w:rFonts w:hint="eastAsia" w:ascii="仿宋_GB2312" w:hAnsi="宋体" w:eastAsia="仿宋_GB2312"/>
          <w:sz w:val="32"/>
          <w:szCs w:val="32"/>
          <w:lang w:val="zh-CN"/>
        </w:rPr>
        <w:t>认真贯彻执行国家、省关于</w:t>
      </w:r>
      <w:r>
        <w:rPr>
          <w:rFonts w:hint="eastAsia" w:ascii="仿宋_GB2312" w:hAnsi="宋体" w:eastAsia="仿宋_GB2312" w:cs="Times New Roman"/>
          <w:sz w:val="32"/>
          <w:szCs w:val="32"/>
          <w:lang w:val="zh-CN"/>
        </w:rPr>
        <w:t>公费师范生政策</w:t>
      </w:r>
      <w:r>
        <w:rPr>
          <w:rFonts w:hint="eastAsia" w:ascii="仿宋_GB2312" w:hAnsi="宋体" w:eastAsia="仿宋_GB2312"/>
          <w:sz w:val="32"/>
          <w:szCs w:val="32"/>
          <w:lang w:val="zh-CN"/>
        </w:rPr>
        <w:t>，专款专用，同时建立健全学生受助档案以备第三方审查，学生、家长满意度</w:t>
      </w:r>
      <w:r>
        <w:rPr>
          <w:rFonts w:hint="eastAsia" w:ascii="仿宋_GB2312" w:hAnsi="宋体" w:eastAsia="仿宋_GB2312"/>
          <w:sz w:val="32"/>
          <w:szCs w:val="32"/>
          <w:lang w:val="en-US" w:eastAsia="zh-CN"/>
        </w:rPr>
        <w:t>100%。</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（一）项目完成情况</w:t>
      </w:r>
    </w:p>
    <w:p>
      <w:pPr>
        <w:adjustRightInd w:val="0"/>
        <w:snapToGrid w:val="0"/>
        <w:spacing w:line="600" w:lineRule="exact"/>
        <w:ind w:firstLine="720"/>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严格按照省上要求，及时、全额发放补助资金。项目设定数量指标</w:t>
      </w: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val="zh-CN"/>
        </w:rPr>
        <w:t>项全部完成。应发放的受助学生人数达到年度指标值，完成率100%，未截留指标。</w:t>
      </w:r>
    </w:p>
    <w:p>
      <w:pPr>
        <w:numPr>
          <w:ilvl w:val="0"/>
          <w:numId w:val="7"/>
        </w:numPr>
        <w:ind w:left="0" w:leftChars="0" w:firstLine="640" w:firstLineChars="200"/>
        <w:jc w:val="both"/>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项目效益情况</w:t>
      </w:r>
    </w:p>
    <w:p>
      <w:pPr>
        <w:numPr>
          <w:ilvl w:val="0"/>
          <w:numId w:val="0"/>
        </w:numPr>
        <w:ind w:firstLine="640" w:firstLineChars="200"/>
        <w:jc w:val="both"/>
        <w:rPr>
          <w:rFonts w:ascii="楷体_GB2312" w:hAnsi="宋体" w:eastAsia="楷体_GB2312"/>
          <w:b/>
          <w:sz w:val="32"/>
          <w:szCs w:val="32"/>
          <w:lang w:val="zh-CN"/>
        </w:rPr>
      </w:pPr>
      <w:r>
        <w:rPr>
          <w:rFonts w:hint="eastAsia" w:ascii="仿宋_GB2312" w:hAnsi="宋体" w:eastAsia="仿宋_GB2312" w:cs="Times New Roman"/>
          <w:sz w:val="32"/>
          <w:szCs w:val="32"/>
          <w:lang w:val="zh-CN"/>
        </w:rPr>
        <w:t>加强政策宣传，利用网站、校园广播、展板等进行政策宣传，使资助政策深入学生心中，有效减轻了贫困学生家庭负担。</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adjustRightInd w:val="0"/>
        <w:snapToGrid w:val="0"/>
        <w:spacing w:line="600" w:lineRule="exact"/>
        <w:ind w:firstLine="640" w:firstLineChars="20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在为家庭困难学生解决经济困难的同时，学校也高度重视、密切关心他们的心理健康并切实做好“精神扶贫”工作，帮助他们建立自尊、自强、自信、自立的良好心态，树立正确的人生观、价值观和世界观;注重对经济困难学生挫折调节能力的培养，引导他们建立良好的人际关系；积极倡导诚信意识，诚实做事、诚信为人，做到诚信生活、诚信学习、诚信就业。</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（二）存在的问题</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在发放公费师范生生活补助过程中因学生社保卡未激活导致打卡失败情况较多，给发放工作带来了一定的现实阻碍，加大了后期清理的工作量。</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（三）相关建议</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提前通知、督促学生</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办理激活社保卡金融功能。同时紧紧围绕“立德树人”这一根本宗旨，将培养青年学生全面发展作为资助育人工作的总目标，加强励志教育、诚信教育和社会责任感教育“三项教育”，培养青年学生自立自强、诚实守信、知恩感恩、勇于担当的良好品质。</w:t>
      </w:r>
    </w:p>
    <w:p>
      <w:pPr>
        <w:widowControl/>
        <w:jc w:val="left"/>
        <w:rPr>
          <w:rStyle w:val="26"/>
          <w:rFonts w:ascii="黑体" w:hAnsi="黑体" w:eastAsia="黑体"/>
          <w:b w:val="0"/>
        </w:rPr>
      </w:pPr>
    </w:p>
    <w:p>
      <w:pPr>
        <w:spacing w:line="580" w:lineRule="exact"/>
        <w:rPr>
          <w:rFonts w:hint="eastAsia" w:ascii="黑体" w:hAnsi="黑体" w:eastAsia="黑体" w:cs="方正小标宋简体"/>
          <w:sz w:val="36"/>
          <w:szCs w:val="36"/>
          <w:lang w:val="en-US" w:eastAsia="zh-CN"/>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lang w:val="en-US" w:eastAsia="zh-CN"/>
        </w:rPr>
        <w:t>-3</w:t>
      </w:r>
    </w:p>
    <w:p>
      <w:pPr>
        <w:spacing w:line="600" w:lineRule="exact"/>
        <w:jc w:val="center"/>
        <w:outlineLvl w:val="0"/>
        <w:rPr>
          <w:rFonts w:hint="eastAsia" w:ascii="黑体" w:hAnsi="黑体" w:eastAsia="黑体" w:cs="方正小标宋简体"/>
          <w:sz w:val="36"/>
          <w:szCs w:val="36"/>
          <w:lang w:val="zh-CN"/>
        </w:rPr>
      </w:pPr>
      <w:r>
        <w:rPr>
          <w:rFonts w:hint="eastAsia" w:ascii="黑体" w:hAnsi="黑体" w:eastAsia="黑体" w:cs="方正小标宋简体"/>
          <w:sz w:val="36"/>
          <w:szCs w:val="36"/>
          <w:lang w:val="en-US" w:eastAsia="zh-CN"/>
        </w:rPr>
        <w:t>川北幼儿师范高等专科学校</w:t>
      </w:r>
    </w:p>
    <w:p>
      <w:pPr>
        <w:spacing w:line="600" w:lineRule="exact"/>
        <w:jc w:val="center"/>
        <w:outlineLvl w:val="0"/>
        <w:rPr>
          <w:rFonts w:hint="eastAsia" w:ascii="黑体" w:hAnsi="黑体" w:eastAsia="黑体" w:cs="方正小标宋简体"/>
          <w:sz w:val="36"/>
          <w:szCs w:val="36"/>
          <w:lang w:val="en-US" w:eastAsia="zh-CN"/>
        </w:rPr>
      </w:pPr>
      <w:r>
        <w:rPr>
          <w:rFonts w:hint="eastAsia" w:ascii="黑体" w:hAnsi="黑体" w:eastAsia="黑体" w:cs="方正小标宋简体"/>
          <w:sz w:val="36"/>
          <w:szCs w:val="36"/>
          <w:lang w:val="en-US" w:eastAsia="zh-CN"/>
        </w:rPr>
        <w:t>2020年困难大学生就业帮扶与就业工作经费</w:t>
      </w:r>
    </w:p>
    <w:p>
      <w:pPr>
        <w:spacing w:line="600" w:lineRule="exact"/>
        <w:jc w:val="center"/>
        <w:outlineLvl w:val="0"/>
        <w:rPr>
          <w:rFonts w:hint="eastAsia" w:ascii="黑体" w:hAnsi="黑体" w:eastAsia="黑体" w:cs="方正小标宋简体"/>
          <w:sz w:val="36"/>
          <w:szCs w:val="36"/>
          <w:lang w:val="zh-CN"/>
        </w:rPr>
      </w:pPr>
      <w:r>
        <w:rPr>
          <w:rFonts w:hint="eastAsia" w:ascii="黑体" w:hAnsi="黑体" w:eastAsia="黑体" w:cs="方正小标宋简体"/>
          <w:sz w:val="36"/>
          <w:szCs w:val="36"/>
          <w:lang w:val="zh-CN"/>
        </w:rPr>
        <w:t>项目绩效评价报告</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（一）项目基本情况</w:t>
      </w:r>
    </w:p>
    <w:p>
      <w:pPr>
        <w:adjustRightInd w:val="0"/>
        <w:snapToGrid w:val="0"/>
        <w:spacing w:line="600" w:lineRule="exact"/>
        <w:ind w:firstLine="720"/>
        <w:rPr>
          <w:rFonts w:hint="default" w:ascii="仿宋" w:hAnsi="仿宋" w:eastAsia="仿宋" w:cs="宋体"/>
          <w:sz w:val="32"/>
          <w:szCs w:val="32"/>
          <w:lang w:val="en-US" w:eastAsia="zh-CN"/>
        </w:rPr>
      </w:pPr>
      <w:r>
        <w:rPr>
          <w:rFonts w:hint="eastAsia" w:ascii="仿宋" w:hAnsi="仿宋" w:eastAsia="仿宋" w:cs="宋体"/>
          <w:sz w:val="32"/>
          <w:szCs w:val="32"/>
          <w:lang w:eastAsia="zh-CN"/>
        </w:rPr>
        <w:t>根据《广元市财政局关于下达2020年第一批高校共建与发展专项资金预算的通知》（广财教（2020）82号）相关要求，我校申报</w:t>
      </w:r>
      <w:r>
        <w:rPr>
          <w:rFonts w:hint="eastAsia" w:ascii="仿宋" w:hAnsi="仿宋" w:eastAsia="仿宋" w:cs="宋体"/>
          <w:sz w:val="32"/>
          <w:szCs w:val="32"/>
          <w:lang w:val="en-US" w:eastAsia="zh-CN"/>
        </w:rPr>
        <w:t>2020年高校共建与发展专项资金</w:t>
      </w:r>
      <w:r>
        <w:rPr>
          <w:rFonts w:hint="eastAsia" w:ascii="仿宋" w:hAnsi="仿宋" w:eastAsia="仿宋" w:cs="宋体"/>
          <w:sz w:val="32"/>
          <w:szCs w:val="32"/>
          <w:lang w:val="zh-CN" w:eastAsia="zh-CN"/>
        </w:rPr>
        <w:t>项目</w:t>
      </w:r>
      <w:r>
        <w:rPr>
          <w:rFonts w:hint="eastAsia" w:ascii="仿宋" w:hAnsi="仿宋" w:eastAsia="仿宋" w:cs="宋体"/>
          <w:sz w:val="32"/>
          <w:szCs w:val="32"/>
          <w:lang w:val="en-US" w:eastAsia="zh-CN"/>
        </w:rPr>
        <w:t>（困难大学生就业帮扶与就业工作经费）</w:t>
      </w:r>
      <w:r>
        <w:rPr>
          <w:rFonts w:hint="eastAsia" w:ascii="仿宋" w:hAnsi="仿宋" w:eastAsia="仿宋" w:cs="宋体"/>
          <w:sz w:val="32"/>
          <w:szCs w:val="32"/>
          <w:lang w:val="zh-CN" w:eastAsia="zh-CN"/>
        </w:rPr>
        <w:t>，资金预算</w:t>
      </w:r>
      <w:r>
        <w:rPr>
          <w:rFonts w:hint="eastAsia" w:ascii="仿宋" w:hAnsi="仿宋" w:eastAsia="仿宋" w:cs="宋体"/>
          <w:sz w:val="32"/>
          <w:szCs w:val="32"/>
          <w:lang w:val="en-US" w:eastAsia="zh-CN"/>
        </w:rPr>
        <w:t>18.36万元。困难大学生就业帮扶专项经费，按每人600元的标准，首先确保建档立卡贫困家庭大学毕业生就业帮扶，再兼顾城乡低保家庭、残疾残学生、签约新疆西藏艰苦地区毕业生。</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（二）项目绩效目标</w:t>
      </w:r>
    </w:p>
    <w:p>
      <w:pPr>
        <w:adjustRightInd w:val="0"/>
        <w:snapToGrid w:val="0"/>
        <w:spacing w:line="600" w:lineRule="exact"/>
        <w:ind w:firstLine="720"/>
        <w:rPr>
          <w:rFonts w:hint="eastAsia" w:ascii="仿宋" w:hAnsi="仿宋" w:eastAsia="仿宋" w:cs="宋体"/>
          <w:color w:val="000000"/>
          <w:sz w:val="28"/>
          <w:szCs w:val="28"/>
        </w:rPr>
      </w:pPr>
      <w:r>
        <w:rPr>
          <w:rFonts w:hint="eastAsia" w:ascii="仿宋" w:hAnsi="仿宋" w:eastAsia="仿宋" w:cs="宋体"/>
          <w:sz w:val="32"/>
          <w:szCs w:val="32"/>
          <w:lang w:val="en-US" w:eastAsia="zh-CN"/>
        </w:rPr>
        <w:t>高校共建与发展专项资金项目（困难大学生就业帮扶与就业工作经费）主要为家庭经济困难和就业困难毕业生发放就业帮扶专项经费，助推困难大学生充分就业。学校根据省市相关文件，结合我校实际情况，制定发放方案，并对项目实施过程进行严格管理，实施情况已达到了规划预期效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该项目资金由省教育厅、财政厅根据《关于下达2020年第一批高校共建与发展专项资金预算的通知》（</w:t>
      </w:r>
      <w:r>
        <w:rPr>
          <w:rFonts w:hint="eastAsia" w:ascii="仿宋_GB2312" w:hAnsi="宋体" w:eastAsia="仿宋_GB2312"/>
          <w:color w:val="auto"/>
          <w:sz w:val="32"/>
          <w:szCs w:val="32"/>
          <w:lang w:val="zh-CN"/>
        </w:rPr>
        <w:t>川财教〔2015〕</w:t>
      </w:r>
      <w:r>
        <w:rPr>
          <w:rFonts w:hint="eastAsia" w:ascii="仿宋_GB2312" w:hAnsi="宋体" w:eastAsia="仿宋_GB2312"/>
          <w:color w:val="auto"/>
          <w:sz w:val="32"/>
          <w:szCs w:val="32"/>
          <w:lang w:val="en-US" w:eastAsia="zh-CN"/>
        </w:rPr>
        <w:t>44</w:t>
      </w:r>
      <w:r>
        <w:rPr>
          <w:rFonts w:hint="eastAsia" w:ascii="仿宋_GB2312" w:hAnsi="宋体" w:eastAsia="仿宋_GB2312"/>
          <w:color w:val="auto"/>
          <w:sz w:val="32"/>
          <w:szCs w:val="32"/>
          <w:lang w:val="zh-CN"/>
        </w:rPr>
        <w:t>号）文件</w:t>
      </w:r>
      <w:r>
        <w:rPr>
          <w:rFonts w:hint="eastAsia" w:ascii="仿宋_GB2312" w:hAnsi="宋体" w:eastAsia="仿宋_GB2312"/>
          <w:color w:val="auto"/>
          <w:sz w:val="32"/>
          <w:szCs w:val="32"/>
          <w:lang w:val="en-US" w:eastAsia="zh-CN"/>
        </w:rPr>
        <w:t>下拨市财政局，由市财政局下达我校。</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（二）资金计划、到位及使用情况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仿宋_GB2312" w:hAnsi="宋体" w:eastAsia="仿宋_GB2312"/>
          <w:color w:val="auto"/>
          <w:sz w:val="32"/>
          <w:szCs w:val="32"/>
          <w:lang w:val="en-US" w:eastAsia="zh-CN"/>
        </w:rPr>
        <w:t>该项目资金计划18.36万元，实际到位18.36万元，资金到位率100%。截止2020年底，该资金使用率为100%。</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宋体"/>
          <w:sz w:val="32"/>
          <w:szCs w:val="32"/>
          <w:lang w:val="zh-CN" w:eastAsia="zh-CN"/>
        </w:rPr>
      </w:pPr>
      <w:r>
        <w:rPr>
          <w:rFonts w:hint="eastAsia" w:ascii="仿宋" w:hAnsi="仿宋" w:eastAsia="仿宋" w:cs="宋体"/>
          <w:sz w:val="32"/>
          <w:szCs w:val="32"/>
          <w:lang w:val="zh-CN" w:eastAsia="zh-CN"/>
        </w:rPr>
        <w:t>严格按照相应的业务管理制度，规范专项资金拨付。资金使用规范，符合国家财经法规和财务管理以及有关专项资金管理办法的规定；资金的拨付有完整的审批程序和手续；不存在截留、挤占、挪用、虚列支出等情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zh-CN" w:eastAsia="zh-CN"/>
        </w:rPr>
        <w:t>一</w:t>
      </w:r>
      <w:r>
        <w:rPr>
          <w:rFonts w:hint="eastAsia" w:ascii="仿宋_GB2312" w:hAnsi="宋体" w:eastAsia="仿宋_GB2312" w:cs="宋体"/>
          <w:color w:val="000000"/>
          <w:kern w:val="0"/>
          <w:sz w:val="32"/>
          <w:szCs w:val="32"/>
          <w:shd w:val="clear" w:color="auto" w:fill="FFFFFF"/>
          <w:lang w:val="zh-CN"/>
        </w:rPr>
        <w:t>）项目实施流程</w:t>
      </w:r>
    </w:p>
    <w:p>
      <w:pPr>
        <w:adjustRightInd w:val="0"/>
        <w:snapToGrid w:val="0"/>
        <w:spacing w:line="600" w:lineRule="exact"/>
        <w:ind w:firstLine="72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1.学校根据省市相关文件制定方案。</w:t>
      </w:r>
    </w:p>
    <w:p>
      <w:pPr>
        <w:adjustRightInd w:val="0"/>
        <w:snapToGrid w:val="0"/>
        <w:spacing w:line="600" w:lineRule="exact"/>
        <w:ind w:firstLine="72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2.系部根据方案筛选出符合条件的对象名单，并进行公示。</w:t>
      </w:r>
    </w:p>
    <w:p>
      <w:pPr>
        <w:adjustRightInd w:val="0"/>
        <w:snapToGrid w:val="0"/>
        <w:spacing w:line="600" w:lineRule="exact"/>
        <w:ind w:firstLine="72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3.学校审核后并公示。</w:t>
      </w:r>
    </w:p>
    <w:p>
      <w:pPr>
        <w:adjustRightInd w:val="0"/>
        <w:snapToGrid w:val="0"/>
        <w:spacing w:line="600" w:lineRule="exact"/>
        <w:ind w:firstLine="72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4.公示无异议后，通过</w:t>
      </w:r>
      <w:r>
        <w:rPr>
          <w:rFonts w:hint="eastAsia" w:ascii="仿宋_GB2312" w:hAnsi="宋体" w:eastAsia="仿宋_GB2312" w:cs="Times New Roman"/>
          <w:sz w:val="32"/>
          <w:szCs w:val="32"/>
          <w:lang w:val="en-US" w:eastAsia="zh-CN"/>
        </w:rPr>
        <w:t>广元市惠民惠农财政补贴资金“一卡通”</w:t>
      </w:r>
      <w:r>
        <w:rPr>
          <w:rFonts w:hint="eastAsia" w:ascii="仿宋" w:hAnsi="仿宋" w:eastAsia="仿宋" w:cs="宋体"/>
          <w:sz w:val="32"/>
          <w:szCs w:val="32"/>
          <w:lang w:val="en-US" w:eastAsia="zh-CN"/>
        </w:rPr>
        <w:t>平台发放帮扶资金。</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（二）项目管理情况</w:t>
      </w:r>
    </w:p>
    <w:p>
      <w:pPr>
        <w:adjustRightInd w:val="0"/>
        <w:snapToGrid w:val="0"/>
        <w:spacing w:line="600" w:lineRule="exact"/>
        <w:ind w:firstLine="720"/>
        <w:rPr>
          <w:rFonts w:hint="eastAsia" w:ascii="仿宋" w:hAnsi="仿宋" w:eastAsia="仿宋" w:cs="宋体"/>
          <w:sz w:val="32"/>
          <w:szCs w:val="32"/>
          <w:lang w:val="zh-CN" w:eastAsia="zh-CN"/>
        </w:rPr>
      </w:pPr>
      <w:r>
        <w:rPr>
          <w:rFonts w:hint="eastAsia" w:ascii="仿宋" w:hAnsi="仿宋" w:eastAsia="仿宋" w:cs="宋体"/>
          <w:sz w:val="32"/>
          <w:szCs w:val="32"/>
          <w:lang w:val="en-US" w:eastAsia="zh-CN"/>
        </w:rPr>
        <w:t>具有相应的项目资金管理办法，且符合相关财务会计制度的规定。</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（三）项目监管情况</w:t>
      </w:r>
    </w:p>
    <w:p>
      <w:pPr>
        <w:adjustRightInd w:val="0"/>
        <w:snapToGrid w:val="0"/>
        <w:spacing w:line="600" w:lineRule="exact"/>
        <w:ind w:firstLine="720"/>
        <w:rPr>
          <w:rFonts w:hint="eastAsia" w:ascii="仿宋" w:hAnsi="仿宋" w:eastAsia="仿宋" w:cs="宋体"/>
          <w:sz w:val="32"/>
          <w:szCs w:val="32"/>
          <w:lang w:val="zh-CN" w:eastAsia="zh-CN"/>
        </w:rPr>
      </w:pPr>
      <w:r>
        <w:rPr>
          <w:rFonts w:hint="eastAsia" w:ascii="仿宋" w:hAnsi="仿宋" w:eastAsia="仿宋" w:cs="宋体"/>
          <w:sz w:val="32"/>
          <w:szCs w:val="32"/>
          <w:lang w:val="zh-CN" w:eastAsia="zh-CN"/>
        </w:rPr>
        <w:t>通过对项目实施监管，帮扶对象名单申报过程符合相关文件规定，资金发放过程符合财务制度。</w:t>
      </w:r>
    </w:p>
    <w:p>
      <w:pPr>
        <w:numPr>
          <w:ilvl w:val="0"/>
          <w:numId w:val="0"/>
        </w:numPr>
        <w:adjustRightInd w:val="0"/>
        <w:snapToGrid w:val="0"/>
        <w:spacing w:line="600" w:lineRule="exact"/>
        <w:ind w:firstLine="640" w:firstLineChars="20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（一）项目完成情况</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较好地完成了预设工作任务，专项项目得到有序开展。截止2020年7月底，我校306名2020届困难大学生的就业帮扶资金已全部拨付到位，项目实施完成100%。</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（二）项目效益情况</w:t>
      </w:r>
    </w:p>
    <w:p>
      <w:pPr>
        <w:adjustRightInd w:val="0"/>
        <w:snapToGrid w:val="0"/>
        <w:spacing w:line="600" w:lineRule="exact"/>
        <w:ind w:firstLine="720"/>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en-US" w:eastAsia="zh-CN"/>
        </w:rPr>
        <w:t>有效缓解了家庭经济困难毕业生的经济压力，并顺利就业，得到学生、家长及社会的好评</w:t>
      </w:r>
      <w:r>
        <w:rPr>
          <w:rFonts w:hint="eastAsia" w:ascii="仿宋_GB2312" w:hAnsi="宋体" w:eastAsia="仿宋_GB2312" w:cs="Times New Roman"/>
          <w:sz w:val="32"/>
          <w:szCs w:val="32"/>
          <w:lang w:val="zh-CN" w:eastAsia="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1.项目经费及时拨付到位，支出合理合规，实现了预定的绩效目标。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2.目标明确，项目实施工作有序开展。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3.通过对专项资金的有效管理和使用，有效减轻了家庭经济困难毕业生的经济负担，也有效缓解了高校困难毕业生就业压力。</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（二）相关建议</w:t>
      </w:r>
    </w:p>
    <w:p>
      <w:pPr>
        <w:adjustRightInd w:val="0"/>
        <w:snapToGrid w:val="0"/>
        <w:spacing w:line="600" w:lineRule="exact"/>
        <w:ind w:firstLine="640" w:firstLineChars="200"/>
        <w:rPr>
          <w:rFonts w:hint="eastAsia"/>
        </w:rPr>
      </w:pPr>
      <w:r>
        <w:rPr>
          <w:rFonts w:hint="eastAsia" w:ascii="仿宋_GB2312" w:hAnsi="宋体" w:eastAsia="仿宋_GB2312" w:cs="Times New Roman"/>
          <w:kern w:val="2"/>
          <w:sz w:val="32"/>
          <w:szCs w:val="32"/>
          <w:lang w:val="en-US" w:eastAsia="zh-CN" w:bidi="ar-SA"/>
        </w:rPr>
        <w:t>建议将该项目纳入高校学生资助项目统一管理。</w:t>
      </w:r>
    </w:p>
    <w:p>
      <w:pPr>
        <w:spacing w:line="580" w:lineRule="exact"/>
        <w:rPr>
          <w:rFonts w:hint="eastAsia" w:ascii="黑体" w:hAnsi="黑体" w:eastAsia="黑体" w:cs="黑体"/>
          <w:sz w:val="32"/>
          <w:szCs w:val="32"/>
        </w:rPr>
      </w:pPr>
    </w:p>
    <w:p>
      <w:pPr>
        <w:spacing w:line="580" w:lineRule="exact"/>
        <w:rPr>
          <w:rFonts w:hint="default" w:ascii="仿宋_GB2312" w:hAnsi="仿宋_GB2312" w:eastAsia="黑体" w:cs="仿宋_GB2312"/>
          <w:sz w:val="32"/>
          <w:szCs w:val="32"/>
          <w:lang w:val="en-US" w:eastAsia="zh-CN"/>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lang w:val="en-US" w:eastAsia="zh-CN"/>
        </w:rPr>
        <w:t>-4</w:t>
      </w:r>
    </w:p>
    <w:p>
      <w:pPr>
        <w:spacing w:line="600" w:lineRule="exact"/>
        <w:jc w:val="center"/>
        <w:outlineLvl w:val="0"/>
        <w:rPr>
          <w:rFonts w:hint="eastAsia" w:ascii="黑体" w:hAnsi="黑体" w:eastAsia="黑体" w:cs="方正小标宋简体"/>
          <w:sz w:val="36"/>
          <w:szCs w:val="36"/>
          <w:lang w:val="zh-CN"/>
        </w:rPr>
      </w:pPr>
      <w:r>
        <w:rPr>
          <w:rFonts w:hint="eastAsia" w:ascii="黑体" w:hAnsi="黑体" w:eastAsia="黑体" w:cs="方正小标宋简体"/>
          <w:sz w:val="36"/>
          <w:szCs w:val="36"/>
          <w:lang w:val="en-US" w:eastAsia="zh-CN"/>
        </w:rPr>
        <w:t>川北幼儿师范高等专科学校</w:t>
      </w:r>
    </w:p>
    <w:p>
      <w:pPr>
        <w:spacing w:line="600" w:lineRule="exact"/>
        <w:jc w:val="center"/>
        <w:outlineLvl w:val="0"/>
        <w:rPr>
          <w:rFonts w:hint="eastAsia" w:ascii="黑体" w:hAnsi="黑体" w:eastAsia="黑体" w:cs="方正小标宋简体"/>
          <w:sz w:val="36"/>
          <w:szCs w:val="36"/>
          <w:lang w:val="zh-CN"/>
        </w:rPr>
      </w:pPr>
      <w:r>
        <w:rPr>
          <w:rFonts w:hint="eastAsia" w:ascii="黑体" w:hAnsi="黑体" w:eastAsia="黑体" w:cs="方正小标宋简体"/>
          <w:sz w:val="36"/>
          <w:szCs w:val="36"/>
          <w:lang w:val="zh-CN"/>
        </w:rPr>
        <w:t>彩票公益金支出—2020年9月临时价格补贴</w:t>
      </w:r>
    </w:p>
    <w:p>
      <w:pPr>
        <w:spacing w:line="600" w:lineRule="exact"/>
        <w:jc w:val="center"/>
        <w:outlineLvl w:val="0"/>
        <w:rPr>
          <w:rFonts w:hint="eastAsia" w:ascii="黑体" w:hAnsi="黑体" w:eastAsia="黑体" w:cs="方正小标宋简体"/>
          <w:sz w:val="36"/>
          <w:szCs w:val="36"/>
          <w:lang w:val="zh-CN"/>
        </w:rPr>
      </w:pPr>
      <w:r>
        <w:rPr>
          <w:rFonts w:hint="eastAsia" w:ascii="黑体" w:hAnsi="黑体" w:eastAsia="黑体" w:cs="方正小标宋简体"/>
          <w:sz w:val="36"/>
          <w:szCs w:val="36"/>
          <w:lang w:val="zh-CN"/>
        </w:rPr>
        <w:t>项目绩效评价报告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（一）项目基本情况</w:t>
      </w:r>
    </w:p>
    <w:p>
      <w:pPr>
        <w:adjustRightInd w:val="0"/>
        <w:snapToGrid w:val="0"/>
        <w:spacing w:line="600" w:lineRule="exact"/>
        <w:ind w:firstLine="72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zh-CN"/>
        </w:rPr>
        <w:t>学生工作处按照《广元市财政局关于下达价格临时补贴资金的通知》（广财综〔</w:t>
      </w:r>
      <w:r>
        <w:rPr>
          <w:rFonts w:hint="eastAsia" w:ascii="仿宋_GB2312" w:hAnsi="宋体" w:eastAsia="仿宋_GB2312" w:cs="Times New Roman"/>
          <w:sz w:val="32"/>
          <w:szCs w:val="32"/>
          <w:lang w:val="en-US" w:eastAsia="zh-CN"/>
        </w:rPr>
        <w:t>2020</w:t>
      </w:r>
      <w:r>
        <w:rPr>
          <w:rFonts w:hint="eastAsia" w:ascii="仿宋_GB2312" w:hAnsi="宋体" w:eastAsia="仿宋_GB2312" w:cs="Times New Roman"/>
          <w:sz w:val="32"/>
          <w:szCs w:val="32"/>
          <w:lang w:val="zh-CN"/>
        </w:rPr>
        <w:t>〕</w:t>
      </w:r>
      <w:r>
        <w:rPr>
          <w:rFonts w:hint="eastAsia" w:ascii="仿宋_GB2312" w:hAnsi="宋体" w:eastAsia="仿宋_GB2312" w:cs="Times New Roman"/>
          <w:sz w:val="32"/>
          <w:szCs w:val="32"/>
          <w:lang w:val="en-US" w:eastAsia="zh-CN"/>
        </w:rPr>
        <w:t>140</w:t>
      </w:r>
      <w:r>
        <w:rPr>
          <w:rFonts w:hint="eastAsia" w:ascii="仿宋_GB2312" w:hAnsi="宋体" w:eastAsia="仿宋_GB2312" w:cs="Times New Roman"/>
          <w:sz w:val="32"/>
          <w:szCs w:val="32"/>
          <w:lang w:val="zh-CN"/>
        </w:rPr>
        <w:t>号）要求，做好</w:t>
      </w:r>
      <w:r>
        <w:rPr>
          <w:rFonts w:hint="eastAsia" w:ascii="仿宋_GB2312" w:hAnsi="宋体" w:eastAsia="仿宋_GB2312" w:cs="Times New Roman"/>
          <w:sz w:val="32"/>
          <w:szCs w:val="32"/>
          <w:lang w:val="en-US" w:eastAsia="zh-CN"/>
        </w:rPr>
        <w:t>2020年9月大中专生临时价格补贴发放工作。其中：</w:t>
      </w:r>
      <w:r>
        <w:rPr>
          <w:rFonts w:hint="eastAsia" w:ascii="仿宋_GB2312" w:hAnsi="宋体" w:eastAsia="仿宋_GB2312" w:cs="Times New Roman"/>
          <w:sz w:val="32"/>
          <w:szCs w:val="32"/>
          <w:lang w:val="zh-CN"/>
        </w:rPr>
        <w:t>大专学生</w:t>
      </w:r>
      <w:r>
        <w:rPr>
          <w:rFonts w:hint="eastAsia" w:ascii="仿宋_GB2312" w:hAnsi="宋体" w:eastAsia="仿宋_GB2312" w:cs="Times New Roman"/>
          <w:sz w:val="32"/>
          <w:szCs w:val="32"/>
          <w:lang w:val="en-US" w:eastAsia="zh-CN"/>
        </w:rPr>
        <w:t>2602人、中专学生112人。</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（二）项目绩效目标</w:t>
      </w:r>
    </w:p>
    <w:p>
      <w:pPr>
        <w:adjustRightInd w:val="0"/>
        <w:snapToGrid w:val="0"/>
        <w:spacing w:line="600" w:lineRule="exact"/>
        <w:ind w:firstLine="720"/>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落实市资助政策，保障家庭经济困难学生受教育权利，促进教育公平，保证每一名在校家庭经济困难学生能够安心在校学习生活，顺利完成学业。</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（一）项目资金申报及批复情况</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该项目资金由广元市财政局根据广元市发展和改革委员会《关于启动社会救助和保障标准与物价上涨挂钩联动机制的通知》（</w:t>
      </w:r>
      <w:r>
        <w:rPr>
          <w:rFonts w:hint="eastAsia" w:ascii="仿宋_GB2312" w:hAnsi="宋体" w:eastAsia="仿宋_GB2312"/>
          <w:color w:val="auto"/>
          <w:sz w:val="32"/>
          <w:szCs w:val="32"/>
          <w:lang w:val="zh-CN"/>
        </w:rPr>
        <w:t>广发改〔</w:t>
      </w:r>
      <w:r>
        <w:rPr>
          <w:rFonts w:hint="eastAsia" w:ascii="仿宋_GB2312" w:hAnsi="宋体" w:eastAsia="仿宋_GB2312"/>
          <w:color w:val="auto"/>
          <w:sz w:val="32"/>
          <w:szCs w:val="32"/>
          <w:lang w:val="en-US" w:eastAsia="zh-CN"/>
        </w:rPr>
        <w:t>2020</w:t>
      </w: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353号）的文件要求下达。</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（二）资金计划、到位及使用情况</w:t>
      </w:r>
    </w:p>
    <w:p>
      <w:pPr>
        <w:keepNext w:val="0"/>
        <w:keepLines w:val="0"/>
        <w:pageBreakBefore w:val="0"/>
        <w:widowControl w:val="0"/>
        <w:kinsoku/>
        <w:wordWrap/>
        <w:overflowPunct/>
        <w:topLinePunct w:val="0"/>
        <w:autoSpaceDE/>
        <w:autoSpaceDN/>
        <w:bidi w:val="0"/>
        <w:ind w:left="0" w:leftChars="0" w:firstLine="640" w:firstLineChars="200"/>
        <w:jc w:val="both"/>
        <w:textAlignment w:val="auto"/>
        <w:rPr>
          <w:rFonts w:hint="eastAsia" w:ascii="楷体_GB2312" w:hAnsi="宋体" w:eastAsia="楷体_GB2312"/>
          <w:sz w:val="32"/>
          <w:szCs w:val="32"/>
          <w:lang w:val="zh-CN"/>
        </w:rPr>
      </w:pPr>
      <w:r>
        <w:rPr>
          <w:rFonts w:hint="eastAsia" w:ascii="仿宋_GB2312" w:hAnsi="宋体" w:eastAsia="仿宋_GB2312" w:cs="Times New Roman"/>
          <w:sz w:val="32"/>
          <w:szCs w:val="32"/>
          <w:lang w:val="en-US" w:eastAsia="zh-CN"/>
        </w:rPr>
        <w:t>该项目全年计划数为</w:t>
      </w:r>
      <w:r>
        <w:rPr>
          <w:rFonts w:hint="eastAsia" w:ascii="仿宋_GB2312" w:hAnsi="宋体" w:eastAsia="仿宋_GB2312"/>
          <w:sz w:val="32"/>
          <w:szCs w:val="32"/>
          <w:lang w:val="en-US" w:eastAsia="zh-CN"/>
        </w:rPr>
        <w:t>8.33</w:t>
      </w:r>
      <w:r>
        <w:rPr>
          <w:rFonts w:hint="eastAsia" w:ascii="仿宋_GB2312" w:hAnsi="宋体" w:eastAsia="仿宋_GB2312" w:cs="Times New Roman"/>
          <w:sz w:val="32"/>
          <w:szCs w:val="32"/>
          <w:lang w:val="en-US" w:eastAsia="zh-CN"/>
        </w:rPr>
        <w:t>万元，实际到位8.33万元，资金到位率100%。</w:t>
      </w:r>
      <w:r>
        <w:rPr>
          <w:rFonts w:hint="eastAsia" w:ascii="仿宋_GB2312" w:hAnsi="宋体" w:eastAsia="仿宋_GB2312"/>
          <w:color w:val="auto"/>
          <w:sz w:val="32"/>
          <w:szCs w:val="32"/>
          <w:lang w:val="en-US" w:eastAsia="zh-CN"/>
        </w:rPr>
        <w:t>截止2020年12月，</w:t>
      </w:r>
      <w:r>
        <w:rPr>
          <w:rFonts w:hint="eastAsia" w:ascii="仿宋_GB2312" w:hAnsi="宋体" w:eastAsia="仿宋_GB2312" w:cs="Times New Roman"/>
          <w:sz w:val="32"/>
          <w:szCs w:val="32"/>
          <w:lang w:val="en-US" w:eastAsia="zh-CN"/>
        </w:rPr>
        <w:t>全年执行数为</w:t>
      </w:r>
      <w:r>
        <w:rPr>
          <w:rFonts w:hint="eastAsia" w:ascii="仿宋_GB2312" w:hAnsi="宋体" w:eastAsia="仿宋_GB2312"/>
          <w:sz w:val="32"/>
          <w:szCs w:val="32"/>
          <w:lang w:val="en-US" w:eastAsia="zh-CN"/>
        </w:rPr>
        <w:t>8.33万元</w:t>
      </w:r>
      <w:r>
        <w:rPr>
          <w:rFonts w:hint="eastAsia" w:ascii="仿宋_GB2312" w:hAnsi="宋体" w:eastAsia="仿宋_GB2312" w:cs="Times New Roman"/>
          <w:sz w:val="32"/>
          <w:szCs w:val="32"/>
          <w:lang w:val="en-US" w:eastAsia="zh-CN"/>
        </w:rPr>
        <w:t>，执行率100%。</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（三）项目财务管理情况</w:t>
      </w:r>
    </w:p>
    <w:p>
      <w:pPr>
        <w:adjustRightInd w:val="0"/>
        <w:snapToGrid w:val="0"/>
        <w:spacing w:line="600" w:lineRule="exact"/>
        <w:ind w:firstLine="720"/>
        <w:rPr>
          <w:rFonts w:hint="eastAsia" w:ascii="黑体" w:hAnsi="宋体" w:eastAsia="黑体"/>
          <w:sz w:val="32"/>
          <w:szCs w:val="32"/>
        </w:rPr>
      </w:pPr>
      <w:r>
        <w:rPr>
          <w:rFonts w:hint="eastAsia" w:ascii="仿宋_GB2312" w:hAnsi="宋体" w:eastAsia="仿宋_GB2312" w:cs="Times New Roman"/>
          <w:sz w:val="32"/>
          <w:szCs w:val="32"/>
          <w:lang w:val="zh-CN"/>
        </w:rPr>
        <w:t>在项目建设过程中，认真贯彻执行广元市关于临时价格补贴发放的方针政策，根据上级相关文件、制度，专款专用，不截留、不挪用，不多发、也不漏发给每一位学生。</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（一）项目组织架构及实施流程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宋体" w:eastAsia="楷体_GB2312"/>
          <w:b/>
          <w:sz w:val="32"/>
          <w:szCs w:val="32"/>
          <w:lang w:val="zh-CN"/>
        </w:rPr>
      </w:pPr>
      <w:r>
        <w:rPr>
          <w:rFonts w:hint="eastAsia" w:ascii="仿宋_GB2312" w:hAnsi="宋体" w:eastAsia="仿宋_GB2312" w:cs="Times New Roman"/>
          <w:sz w:val="32"/>
          <w:szCs w:val="32"/>
          <w:lang w:val="zh-CN"/>
        </w:rPr>
        <w:t>按《广元市财政局关于下达价格临时补贴资金的通知》（广财综〔</w:t>
      </w:r>
      <w:r>
        <w:rPr>
          <w:rFonts w:hint="eastAsia" w:ascii="仿宋_GB2312" w:hAnsi="宋体" w:eastAsia="仿宋_GB2312" w:cs="Times New Roman"/>
          <w:sz w:val="32"/>
          <w:szCs w:val="32"/>
          <w:lang w:val="en-US" w:eastAsia="zh-CN"/>
        </w:rPr>
        <w:t>2020</w:t>
      </w:r>
      <w:r>
        <w:rPr>
          <w:rFonts w:hint="eastAsia" w:ascii="仿宋_GB2312" w:hAnsi="宋体" w:eastAsia="仿宋_GB2312" w:cs="Times New Roman"/>
          <w:sz w:val="32"/>
          <w:szCs w:val="32"/>
          <w:lang w:val="zh-CN"/>
        </w:rPr>
        <w:t>〕</w:t>
      </w:r>
      <w:r>
        <w:rPr>
          <w:rFonts w:hint="eastAsia" w:ascii="仿宋_GB2312" w:hAnsi="宋体" w:eastAsia="仿宋_GB2312" w:cs="Times New Roman"/>
          <w:sz w:val="32"/>
          <w:szCs w:val="32"/>
          <w:lang w:val="en-US" w:eastAsia="zh-CN"/>
        </w:rPr>
        <w:t>140</w:t>
      </w:r>
      <w:r>
        <w:rPr>
          <w:rFonts w:hint="eastAsia" w:ascii="仿宋_GB2312" w:hAnsi="宋体" w:eastAsia="仿宋_GB2312" w:cs="Times New Roman"/>
          <w:sz w:val="32"/>
          <w:szCs w:val="32"/>
          <w:lang w:val="zh-CN"/>
        </w:rPr>
        <w:t>号）要求，及时发放资助资金。</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学校通过广元市惠民惠农财政补贴资金“一卡通”项目资金直接打入受资助学生本人社保卡中。</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（三）项目监管情况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认真贯彻执行广元市关于</w:t>
      </w:r>
      <w:r>
        <w:rPr>
          <w:rFonts w:hint="eastAsia" w:ascii="仿宋_GB2312" w:hAnsi="宋体" w:eastAsia="仿宋_GB2312" w:cs="Times New Roman"/>
          <w:sz w:val="32"/>
          <w:szCs w:val="32"/>
          <w:lang w:val="zh-CN"/>
        </w:rPr>
        <w:t>临时价格补贴政策</w:t>
      </w:r>
      <w:r>
        <w:rPr>
          <w:rFonts w:hint="eastAsia" w:ascii="仿宋_GB2312" w:hAnsi="宋体" w:eastAsia="仿宋_GB2312"/>
          <w:sz w:val="32"/>
          <w:szCs w:val="32"/>
          <w:lang w:val="zh-CN"/>
        </w:rPr>
        <w:t>，专款专用，同时建立健全学生受助档案以备第三方审查，学生、家长满意度</w:t>
      </w:r>
      <w:r>
        <w:rPr>
          <w:rFonts w:hint="eastAsia" w:ascii="仿宋_GB2312" w:hAnsi="宋体" w:eastAsia="仿宋_GB2312"/>
          <w:sz w:val="32"/>
          <w:szCs w:val="32"/>
          <w:lang w:val="en-US" w:eastAsia="zh-CN"/>
        </w:rPr>
        <w:t>100%。</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（一）项目完成情况</w:t>
      </w:r>
    </w:p>
    <w:p>
      <w:pPr>
        <w:adjustRightInd w:val="0"/>
        <w:snapToGrid w:val="0"/>
        <w:spacing w:line="600" w:lineRule="exact"/>
        <w:ind w:firstLine="72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zh-CN"/>
        </w:rPr>
        <w:t>严格按照文件要求，及时、全额发放补助资金。项目设定数量指标</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lang w:val="zh-CN"/>
        </w:rPr>
        <w:t>项全部完成。应发放的受助学生人数达到年度指标值，完成率100%，未截留指标。</w:t>
      </w:r>
      <w:r>
        <w:rPr>
          <w:rFonts w:hint="eastAsia" w:ascii="仿宋_GB2312" w:hAnsi="宋体" w:eastAsia="仿宋_GB2312" w:cs="Times New Roman"/>
          <w:sz w:val="32"/>
          <w:szCs w:val="32"/>
          <w:lang w:val="en-US" w:eastAsia="zh-CN"/>
        </w:rPr>
        <w:t xml:space="preserve"> </w:t>
      </w:r>
    </w:p>
    <w:p>
      <w:pPr>
        <w:adjustRightInd w:val="0"/>
        <w:snapToGrid w:val="0"/>
        <w:spacing w:line="60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（二）项目效益情况</w:t>
      </w:r>
    </w:p>
    <w:p>
      <w:pPr>
        <w:numPr>
          <w:ilvl w:val="0"/>
          <w:numId w:val="0"/>
        </w:numPr>
        <w:ind w:firstLine="640" w:firstLineChars="200"/>
        <w:jc w:val="both"/>
        <w:rPr>
          <w:rFonts w:ascii="楷体_GB2312" w:hAnsi="宋体" w:eastAsia="楷体_GB2312"/>
          <w:b/>
          <w:sz w:val="32"/>
          <w:szCs w:val="32"/>
          <w:lang w:val="zh-CN"/>
        </w:rPr>
      </w:pPr>
      <w:r>
        <w:rPr>
          <w:rFonts w:hint="eastAsia" w:ascii="仿宋_GB2312" w:hAnsi="宋体" w:eastAsia="仿宋_GB2312" w:cs="Times New Roman"/>
          <w:sz w:val="32"/>
          <w:szCs w:val="32"/>
          <w:lang w:val="zh-CN"/>
        </w:rPr>
        <w:t>加强政策宣传，利用网站、校园广播、展板等进行政策宣传，使资助政策深入学生心中，有效减轻了贫困学生家庭负担。</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adjustRightInd w:val="0"/>
        <w:snapToGrid w:val="0"/>
        <w:spacing w:line="600" w:lineRule="exact"/>
        <w:ind w:firstLine="640" w:firstLineChars="200"/>
        <w:rPr>
          <w:rFonts w:hint="eastAsia" w:ascii="仿宋_GB2312" w:hAnsi="宋体" w:eastAsia="仿宋_GB2312"/>
          <w:color w:val="FF0000"/>
          <w:sz w:val="32"/>
          <w:szCs w:val="32"/>
          <w:lang w:val="zh-CN"/>
        </w:rPr>
      </w:pPr>
      <w:r>
        <w:rPr>
          <w:rFonts w:hint="eastAsia" w:ascii="仿宋_GB2312" w:hAnsi="宋体" w:eastAsia="仿宋_GB2312"/>
          <w:color w:val="auto"/>
          <w:sz w:val="32"/>
          <w:szCs w:val="32"/>
          <w:lang w:val="zh-CN"/>
        </w:rPr>
        <w:t>在为家庭困难学生解决经济困难的同时，学校也高度重视、密切关心他们的心理健康并切实做好“精神扶贫”工作，帮助他们建立自尊、自强、自信、自立的良好心态，树立正确的人生观、价值观和世界观;注重对经济困难学生挫折调节能力的培养，引导他们建立良好的人际关系；积极倡导诚信意识，诚实做事、诚信为人，做到诚信生活、诚信学习、诚信就业。</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（二）存在的问题</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在发放临时价格补助过程中因学生社保卡未激活导致打卡失败情况较多，给发放工作带来了一定的现实阻碍，加大了后期清理的工作量。</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（三）相关建议</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提前通知、督促学生</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办理激活社保卡金融功能。同时紧紧围绕“立德树人”这一根本宗旨，将培养青年学生全面发展作为资助育人工作的总目标，加强励志教育、诚信教育和社会责任感教育“三项教育”，培养青年学生自立自强、诚实守信、知恩感恩、勇于担当的良好品质。</w:t>
      </w:r>
    </w:p>
    <w:p>
      <w:pPr>
        <w:spacing w:line="580" w:lineRule="exact"/>
        <w:rPr>
          <w:rFonts w:hint="eastAsia" w:ascii="黑体" w:hAnsi="黑体" w:eastAsia="黑体" w:cs="黑体"/>
          <w:sz w:val="32"/>
          <w:szCs w:val="32"/>
        </w:rPr>
      </w:pPr>
    </w:p>
    <w:p>
      <w:pPr>
        <w:spacing w:line="580" w:lineRule="exact"/>
        <w:rPr>
          <w:rFonts w:hint="eastAsia" w:ascii="黑体" w:hAnsi="黑体" w:eastAsia="黑体" w:cs="方正小标宋简体"/>
          <w:sz w:val="36"/>
          <w:szCs w:val="36"/>
          <w:lang w:val="zh-CN" w:eastAsia="zh-CN"/>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lang w:val="en-US" w:eastAsia="zh-CN"/>
        </w:rPr>
        <w:t>-5</w:t>
      </w:r>
    </w:p>
    <w:p>
      <w:pPr>
        <w:spacing w:line="600" w:lineRule="exact"/>
        <w:jc w:val="center"/>
        <w:outlineLvl w:val="0"/>
        <w:rPr>
          <w:rFonts w:hint="eastAsia" w:ascii="黑体" w:hAnsi="黑体" w:eastAsia="黑体" w:cs="方正小标宋简体"/>
          <w:sz w:val="36"/>
          <w:szCs w:val="36"/>
          <w:lang w:val="zh-CN" w:eastAsia="zh-CN"/>
        </w:rPr>
      </w:pPr>
      <w:r>
        <w:rPr>
          <w:rFonts w:hint="eastAsia" w:ascii="黑体" w:hAnsi="黑体" w:eastAsia="黑体" w:cs="方正小标宋简体"/>
          <w:sz w:val="36"/>
          <w:szCs w:val="36"/>
          <w:lang w:val="zh-CN" w:eastAsia="zh-CN"/>
        </w:rPr>
        <w:t>川北幼儿师范高等专科学校</w:t>
      </w:r>
    </w:p>
    <w:p>
      <w:pPr>
        <w:spacing w:line="600" w:lineRule="exact"/>
        <w:jc w:val="center"/>
        <w:outlineLvl w:val="0"/>
        <w:rPr>
          <w:rFonts w:hint="eastAsia" w:ascii="黑体" w:hAnsi="黑体" w:eastAsia="黑体" w:cs="方正小标宋简体"/>
          <w:sz w:val="36"/>
          <w:szCs w:val="36"/>
          <w:lang w:val="zh-CN" w:eastAsia="zh-CN"/>
        </w:rPr>
      </w:pPr>
      <w:r>
        <w:rPr>
          <w:rFonts w:hint="eastAsia" w:ascii="黑体" w:hAnsi="黑体" w:eastAsia="黑体" w:cs="方正小标宋简体"/>
          <w:sz w:val="36"/>
          <w:szCs w:val="36"/>
          <w:lang w:val="en-US" w:eastAsia="zh-CN"/>
        </w:rPr>
        <w:t>2020年</w:t>
      </w:r>
      <w:r>
        <w:rPr>
          <w:rFonts w:hint="eastAsia" w:ascii="黑体" w:hAnsi="黑体" w:eastAsia="黑体" w:cs="方正小标宋简体"/>
          <w:sz w:val="36"/>
          <w:szCs w:val="36"/>
          <w:lang w:val="zh-CN" w:eastAsia="zh-CN"/>
        </w:rPr>
        <w:t>现代职业教育质量提升计划专项资金</w:t>
      </w:r>
    </w:p>
    <w:p>
      <w:pPr>
        <w:spacing w:line="600" w:lineRule="exact"/>
        <w:jc w:val="center"/>
        <w:outlineLvl w:val="0"/>
        <w:rPr>
          <w:rFonts w:hint="eastAsia" w:ascii="黑体" w:hAnsi="黑体" w:eastAsia="黑体" w:cs="方正小标宋简体"/>
          <w:sz w:val="36"/>
          <w:szCs w:val="36"/>
          <w:lang w:val="zh-CN" w:eastAsia="zh-CN"/>
        </w:rPr>
      </w:pPr>
      <w:r>
        <w:rPr>
          <w:rFonts w:hint="eastAsia" w:ascii="黑体" w:hAnsi="黑体" w:eastAsia="黑体" w:cs="方正小标宋简体"/>
          <w:sz w:val="36"/>
          <w:szCs w:val="36"/>
          <w:lang w:val="zh-CN" w:eastAsia="zh-CN"/>
        </w:rPr>
        <w:t>项目绩效评价报告</w:t>
      </w:r>
    </w:p>
    <w:p>
      <w:pPr>
        <w:spacing w:line="600" w:lineRule="exact"/>
        <w:rPr>
          <w:rFonts w:ascii="宋体"/>
          <w:color w:val="FF0000"/>
          <w:sz w:val="32"/>
          <w:szCs w:val="32"/>
          <w:lang w:val="zh-CN"/>
        </w:rPr>
      </w:pPr>
    </w:p>
    <w:p>
      <w:pPr>
        <w:adjustRightInd w:val="0"/>
        <w:snapToGrid w:val="0"/>
        <w:spacing w:line="600"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60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（一）项目基本情况</w:t>
      </w:r>
    </w:p>
    <w:p>
      <w:pPr>
        <w:adjustRightInd w:val="0"/>
        <w:snapToGrid w:val="0"/>
        <w:spacing w:line="600" w:lineRule="exact"/>
        <w:ind w:firstLine="640" w:firstLineChars="200"/>
        <w:rPr>
          <w:rFonts w:ascii="仿宋_GB2312" w:hAnsi="宋体" w:eastAsia="仿宋_GB2312"/>
          <w:color w:val="auto"/>
          <w:sz w:val="32"/>
          <w:szCs w:val="32"/>
          <w:lang w:val="zh-CN"/>
        </w:rPr>
      </w:pPr>
      <w:r>
        <w:rPr>
          <w:rFonts w:ascii="仿宋_GB2312" w:hAnsi="宋体" w:eastAsia="仿宋_GB2312"/>
          <w:color w:val="auto"/>
          <w:sz w:val="32"/>
          <w:szCs w:val="32"/>
          <w:lang w:val="zh-CN"/>
        </w:rPr>
        <w:t>1</w:t>
      </w: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2020年</w:t>
      </w:r>
      <w:r>
        <w:rPr>
          <w:rFonts w:hint="eastAsia" w:ascii="仿宋_GB2312" w:hAnsi="宋体" w:eastAsia="仿宋_GB2312"/>
          <w:color w:val="auto"/>
          <w:sz w:val="32"/>
          <w:szCs w:val="32"/>
          <w:lang w:val="zh-CN"/>
        </w:rPr>
        <w:t>现代职业教育质量提升计划专项资金</w:t>
      </w:r>
      <w:r>
        <w:rPr>
          <w:rFonts w:hint="eastAsia" w:ascii="仿宋_GB2312" w:hAnsi="宋体" w:eastAsia="仿宋_GB2312"/>
          <w:color w:val="auto"/>
          <w:sz w:val="32"/>
          <w:szCs w:val="32"/>
          <w:lang w:val="en-US" w:eastAsia="zh-CN"/>
        </w:rPr>
        <w:t>共计293万元，由教务处负责管理资金分配，监督资金的使用情况。项目资金主要用于推动1+X证书试点、“双师型”专任教师培养培训、现代学徒制试点和教学实训条件改善</w:t>
      </w:r>
      <w:r>
        <w:rPr>
          <w:rFonts w:hint="eastAsia" w:ascii="仿宋_GB2312" w:hAnsi="宋体" w:eastAsia="仿宋_GB2312"/>
          <w:color w:val="auto"/>
          <w:sz w:val="32"/>
          <w:szCs w:val="32"/>
          <w:lang w:val="zh-CN"/>
        </w:rPr>
        <w:t>。</w:t>
      </w:r>
    </w:p>
    <w:p>
      <w:pPr>
        <w:adjustRightInd w:val="0"/>
        <w:snapToGrid w:val="0"/>
        <w:spacing w:line="600" w:lineRule="exact"/>
        <w:ind w:firstLine="720"/>
        <w:rPr>
          <w:rFonts w:hint="eastAsia" w:ascii="仿宋_GB2312" w:hAnsi="宋体" w:eastAsia="仿宋_GB2312"/>
          <w:color w:val="auto"/>
          <w:sz w:val="32"/>
          <w:szCs w:val="32"/>
          <w:lang w:val="zh-CN"/>
        </w:rPr>
      </w:pPr>
      <w:r>
        <w:rPr>
          <w:rFonts w:ascii="仿宋_GB2312" w:hAnsi="宋体" w:eastAsia="仿宋_GB2312"/>
          <w:color w:val="auto"/>
          <w:sz w:val="32"/>
          <w:szCs w:val="32"/>
          <w:lang w:val="zh-CN"/>
        </w:rPr>
        <w:t>2</w:t>
      </w:r>
      <w:r>
        <w:rPr>
          <w:rFonts w:hint="eastAsia" w:ascii="仿宋_GB2312" w:hAnsi="宋体" w:eastAsia="仿宋_GB2312"/>
          <w:color w:val="auto"/>
          <w:sz w:val="32"/>
          <w:szCs w:val="32"/>
          <w:lang w:val="zh-CN"/>
        </w:rPr>
        <w:t>.为强化绩效引导，按《中央对地方专项转移支付绩效目标管理暂行办法》(财预[2015] 163号)的要求，对该项目绩效目标进行申报，绩效目标将作为绩效监控和绩效评价的依据。</w:t>
      </w:r>
    </w:p>
    <w:p>
      <w:pPr>
        <w:adjustRightInd w:val="0"/>
        <w:snapToGrid w:val="0"/>
        <w:spacing w:line="600" w:lineRule="exact"/>
        <w:ind w:firstLine="720"/>
        <w:rPr>
          <w:rFonts w:hint="default" w:ascii="仿宋_GB2312" w:hAnsi="宋体" w:eastAsia="仿宋_GB2312"/>
          <w:color w:val="auto"/>
          <w:sz w:val="32"/>
          <w:szCs w:val="32"/>
          <w:lang w:val="en-US" w:eastAsia="zh-CN"/>
        </w:rPr>
      </w:pPr>
      <w:r>
        <w:rPr>
          <w:rFonts w:ascii="仿宋_GB2312" w:hAnsi="宋体" w:eastAsia="仿宋_GB2312"/>
          <w:color w:val="auto"/>
          <w:sz w:val="32"/>
          <w:szCs w:val="32"/>
          <w:lang w:val="zh-CN"/>
        </w:rPr>
        <w:t>3</w:t>
      </w: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该项目资金管理严格按照财政部、教育部关于印发《现代职业教育质量提升计划专项资金管理办法》执行</w:t>
      </w: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遵循“</w:t>
      </w:r>
      <w:r>
        <w:rPr>
          <w:rFonts w:hint="eastAsia" w:ascii="仿宋_GB2312" w:hAnsi="宋体" w:eastAsia="仿宋_GB2312"/>
          <w:color w:val="auto"/>
          <w:sz w:val="32"/>
          <w:szCs w:val="32"/>
          <w:lang w:val="zh-CN"/>
        </w:rPr>
        <w:t>专款专用、注重实效”的原则，</w:t>
      </w:r>
      <w:r>
        <w:rPr>
          <w:rFonts w:hint="eastAsia" w:ascii="仿宋_GB2312" w:hAnsi="宋体" w:eastAsia="仿宋_GB2312"/>
          <w:color w:val="auto"/>
          <w:sz w:val="32"/>
          <w:szCs w:val="32"/>
          <w:lang w:val="en-US" w:eastAsia="zh-CN"/>
        </w:rPr>
        <w:t>由系部申报项目，绩效目标要明确、具体、可考核。教务处审核汇总后报计划财务处，计划财务处报校长会审批后，确定资金具体支持项目类型和方式。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olor w:val="auto"/>
          <w:sz w:val="32"/>
          <w:szCs w:val="32"/>
          <w:lang w:val="en-US" w:eastAsia="zh-CN"/>
        </w:rPr>
      </w:pPr>
      <w:r>
        <w:rPr>
          <w:rFonts w:ascii="仿宋_GB2312" w:hAnsi="宋体" w:eastAsia="仿宋_GB2312"/>
          <w:color w:val="auto"/>
          <w:sz w:val="32"/>
          <w:szCs w:val="32"/>
          <w:lang w:val="zh-CN"/>
        </w:rPr>
        <w:t>4</w:t>
      </w:r>
      <w:r>
        <w:rPr>
          <w:rFonts w:hint="eastAsia" w:ascii="仿宋_GB2312" w:hAnsi="宋体" w:eastAsia="仿宋_GB2312"/>
          <w:color w:val="auto"/>
          <w:sz w:val="32"/>
          <w:szCs w:val="32"/>
          <w:lang w:val="zh-CN"/>
        </w:rPr>
        <w:t>.专项资金主要采取因素法进行分配。分配因素包括</w:t>
      </w:r>
      <w:r>
        <w:rPr>
          <w:rFonts w:hint="eastAsia" w:ascii="仿宋_GB2312" w:hAnsi="宋体" w:eastAsia="仿宋_GB2312"/>
          <w:color w:val="auto"/>
          <w:sz w:val="32"/>
          <w:szCs w:val="32"/>
          <w:lang w:val="en-US" w:eastAsia="zh-CN"/>
        </w:rPr>
        <w:t>1+X项目申报</w:t>
      </w:r>
      <w:r>
        <w:rPr>
          <w:rFonts w:hint="eastAsia" w:ascii="仿宋_GB2312" w:hAnsi="宋体" w:eastAsia="仿宋_GB2312"/>
          <w:color w:val="auto"/>
          <w:sz w:val="32"/>
          <w:szCs w:val="32"/>
          <w:lang w:val="zh-CN"/>
        </w:rPr>
        <w:t>、专任教师数、</w:t>
      </w:r>
      <w:r>
        <w:rPr>
          <w:rFonts w:hint="eastAsia" w:ascii="仿宋_GB2312" w:hAnsi="宋体" w:eastAsia="仿宋_GB2312"/>
          <w:color w:val="auto"/>
          <w:sz w:val="32"/>
          <w:szCs w:val="32"/>
          <w:lang w:val="en-US" w:eastAsia="zh-CN"/>
        </w:rPr>
        <w:t>专业建设已有基础</w:t>
      </w: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专业发展需要</w:t>
      </w:r>
      <w:r>
        <w:rPr>
          <w:rFonts w:hint="eastAsia" w:ascii="仿宋_GB2312" w:hAnsi="宋体" w:eastAsia="仿宋_GB2312"/>
          <w:color w:val="auto"/>
          <w:sz w:val="32"/>
          <w:szCs w:val="32"/>
          <w:lang w:val="zh-CN"/>
        </w:rPr>
        <w:t>、工作努力程度等，</w:t>
      </w:r>
      <w:r>
        <w:rPr>
          <w:rFonts w:hint="eastAsia" w:ascii="仿宋_GB2312" w:hAnsi="宋体" w:eastAsia="仿宋_GB2312"/>
          <w:color w:val="auto"/>
          <w:sz w:val="32"/>
          <w:szCs w:val="32"/>
          <w:lang w:val="en-US" w:eastAsia="zh-CN"/>
        </w:rPr>
        <w:t>结合学校审批通过的年度预算，确定资金分配项目和资金使用额度。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olor w:val="auto"/>
          <w:sz w:val="32"/>
          <w:szCs w:val="32"/>
          <w:lang w:val="zh-CN"/>
        </w:rPr>
      </w:pPr>
      <w:r>
        <w:rPr>
          <w:rFonts w:ascii="仿宋_GB2312" w:hAnsi="宋体" w:eastAsia="仿宋_GB2312"/>
          <w:color w:val="auto"/>
          <w:sz w:val="32"/>
          <w:szCs w:val="32"/>
          <w:lang w:val="zh-CN"/>
        </w:rPr>
        <w:t>1</w:t>
      </w:r>
      <w:r>
        <w:rPr>
          <w:rFonts w:hint="eastAsia" w:ascii="仿宋_GB2312" w:hAnsi="宋体" w:eastAsia="仿宋_GB2312"/>
          <w:color w:val="auto"/>
          <w:sz w:val="32"/>
          <w:szCs w:val="32"/>
          <w:lang w:val="zh-CN"/>
        </w:rPr>
        <w:t>．项目主要内容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lang w:val="zh-CN"/>
        </w:rPr>
        <w:t>）教学钢琴采购；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val="zh-CN"/>
        </w:rPr>
        <w:t>）推进“1+X证书制度试点”项目；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（3）推进现代学徒制试点建设；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lang w:val="zh-CN"/>
        </w:rPr>
        <w:t>提高学校“双师型”教师队伍素质和能力。</w:t>
      </w:r>
    </w:p>
    <w:p>
      <w:pPr>
        <w:keepNext w:val="0"/>
        <w:keepLines w:val="0"/>
        <w:pageBreakBefore w:val="0"/>
        <w:widowControl w:val="0"/>
        <w:kinsoku/>
        <w:wordWrap/>
        <w:overflowPunct/>
        <w:topLinePunct w:val="0"/>
        <w:autoSpaceDE/>
        <w:autoSpaceDN/>
        <w:bidi w:val="0"/>
        <w:adjustRightInd w:val="0"/>
        <w:snapToGrid w:val="0"/>
        <w:spacing w:line="600" w:lineRule="exact"/>
        <w:ind w:firstLine="1134"/>
        <w:textAlignment w:val="auto"/>
        <w:rPr>
          <w:rFonts w:hint="eastAsia"/>
          <w:lang w:val="en-US" w:eastAsia="zh-CN"/>
        </w:rPr>
      </w:pPr>
      <w:r>
        <w:rPr>
          <w:rFonts w:hint="eastAsia" w:ascii="仿宋_GB2312" w:hAnsi="宋体" w:eastAsia="仿宋_GB2312"/>
          <w:color w:val="auto"/>
          <w:sz w:val="32"/>
          <w:szCs w:val="32"/>
          <w:lang w:val="zh-CN"/>
        </w:rPr>
        <w:t>2．项目具体绩效目标</w:t>
      </w:r>
    </w:p>
    <w:tbl>
      <w:tblPr>
        <w:tblStyle w:val="13"/>
        <w:tblpPr w:leftFromText="180" w:rightFromText="180" w:vertAnchor="text" w:horzAnchor="page" w:tblpX="2338" w:tblpY="27"/>
        <w:tblOverlap w:val="never"/>
        <w:tblW w:w="4998" w:type="pct"/>
        <w:tblInd w:w="0" w:type="dxa"/>
        <w:shd w:val="clear" w:color="auto" w:fill="auto"/>
        <w:tblLayout w:type="autofit"/>
        <w:tblCellMar>
          <w:top w:w="0" w:type="dxa"/>
          <w:left w:w="0" w:type="dxa"/>
          <w:bottom w:w="0" w:type="dxa"/>
          <w:right w:w="0" w:type="dxa"/>
        </w:tblCellMar>
      </w:tblPr>
      <w:tblGrid>
        <w:gridCol w:w="343"/>
        <w:gridCol w:w="1129"/>
        <w:gridCol w:w="1205"/>
        <w:gridCol w:w="2613"/>
        <w:gridCol w:w="1471"/>
        <w:gridCol w:w="1246"/>
      </w:tblGrid>
      <w:tr>
        <w:tblPrEx>
          <w:tblCellMar>
            <w:top w:w="0" w:type="dxa"/>
            <w:left w:w="0" w:type="dxa"/>
            <w:bottom w:w="0" w:type="dxa"/>
            <w:right w:w="0" w:type="dxa"/>
          </w:tblCellMar>
        </w:tblPrEx>
        <w:trPr>
          <w:trHeight w:val="88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目标</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6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预期指标值</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完成时限</w:t>
            </w:r>
          </w:p>
        </w:tc>
      </w:tr>
      <w:tr>
        <w:tblPrEx>
          <w:shd w:val="clear" w:color="auto" w:fill="auto"/>
          <w:tblCellMar>
            <w:top w:w="0" w:type="dxa"/>
            <w:left w:w="0" w:type="dxa"/>
            <w:bottom w:w="0" w:type="dxa"/>
            <w:right w:w="0" w:type="dxa"/>
          </w:tblCellMar>
        </w:tblPrEx>
        <w:trPr>
          <w:trHeight w:val="434"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项目完成</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6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教师素质提高培训人数</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≥20人</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2020.12</w:t>
            </w:r>
          </w:p>
        </w:tc>
      </w:tr>
      <w:tr>
        <w:tblPrEx>
          <w:shd w:val="clear" w:color="auto" w:fill="auto"/>
          <w:tblCellMar>
            <w:top w:w="0" w:type="dxa"/>
            <w:left w:w="0" w:type="dxa"/>
            <w:bottom w:w="0" w:type="dxa"/>
            <w:right w:w="0" w:type="dxa"/>
          </w:tblCellMar>
        </w:tblPrEx>
        <w:trPr>
          <w:trHeight w:val="78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项目完成</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6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教学钢琴及进口三角钢琴采购</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112台</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2020.12</w:t>
            </w:r>
          </w:p>
        </w:tc>
      </w:tr>
      <w:tr>
        <w:tblPrEx>
          <w:shd w:val="clear" w:color="auto" w:fill="auto"/>
          <w:tblCellMar>
            <w:top w:w="0" w:type="dxa"/>
            <w:left w:w="0" w:type="dxa"/>
            <w:bottom w:w="0" w:type="dxa"/>
            <w:right w:w="0" w:type="dxa"/>
          </w:tblCellMar>
        </w:tblPrEx>
        <w:trPr>
          <w:trHeight w:val="439"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项目完成</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数量</w:t>
            </w:r>
            <w:r>
              <w:rPr>
                <w:rFonts w:hint="eastAsia" w:ascii="宋体" w:hAnsi="宋体" w:eastAsia="宋体" w:cs="宋体"/>
                <w:i w:val="0"/>
                <w:color w:val="000000"/>
                <w:kern w:val="0"/>
                <w:sz w:val="22"/>
                <w:szCs w:val="22"/>
                <w:u w:val="none"/>
                <w:lang w:val="en-US" w:eastAsia="zh-CN" w:bidi="ar"/>
              </w:rPr>
              <w:t>指标</w:t>
            </w:r>
          </w:p>
        </w:tc>
        <w:tc>
          <w:tcPr>
            <w:tcW w:w="16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特色专业项目建设</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2个</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2020.12</w:t>
            </w:r>
          </w:p>
        </w:tc>
      </w:tr>
      <w:tr>
        <w:tblPrEx>
          <w:shd w:val="clear" w:color="auto" w:fill="auto"/>
          <w:tblCellMar>
            <w:top w:w="0" w:type="dxa"/>
            <w:left w:w="0" w:type="dxa"/>
            <w:bottom w:w="0" w:type="dxa"/>
            <w:right w:w="0" w:type="dxa"/>
          </w:tblCellMar>
        </w:tblPrEx>
        <w:trPr>
          <w:trHeight w:val="564"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项目完成</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质量</w:t>
            </w:r>
            <w:r>
              <w:rPr>
                <w:rFonts w:hint="eastAsia" w:ascii="宋体" w:hAnsi="宋体" w:eastAsia="宋体" w:cs="宋体"/>
                <w:i w:val="0"/>
                <w:color w:val="000000"/>
                <w:kern w:val="0"/>
                <w:sz w:val="22"/>
                <w:szCs w:val="22"/>
                <w:u w:val="none"/>
                <w:lang w:val="en-US" w:eastAsia="zh-CN" w:bidi="ar"/>
              </w:rPr>
              <w:t>指标</w:t>
            </w:r>
          </w:p>
        </w:tc>
        <w:tc>
          <w:tcPr>
            <w:tcW w:w="16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参训教师结业率</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≥90%</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2020.12</w:t>
            </w:r>
          </w:p>
        </w:tc>
      </w:tr>
      <w:tr>
        <w:tblPrEx>
          <w:shd w:val="clear" w:color="auto" w:fill="auto"/>
          <w:tblCellMar>
            <w:top w:w="0" w:type="dxa"/>
            <w:left w:w="0" w:type="dxa"/>
            <w:bottom w:w="0" w:type="dxa"/>
            <w:right w:w="0" w:type="dxa"/>
          </w:tblCellMar>
        </w:tblPrEx>
        <w:trPr>
          <w:trHeight w:val="609"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项目完成</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时效指标</w:t>
            </w:r>
          </w:p>
        </w:tc>
        <w:tc>
          <w:tcPr>
            <w:tcW w:w="16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按照规划完成2020年培训目标</w:t>
            </w:r>
          </w:p>
        </w:tc>
        <w:tc>
          <w:tcPr>
            <w:tcW w:w="91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100%</w:t>
            </w:r>
          </w:p>
        </w:tc>
        <w:tc>
          <w:tcPr>
            <w:tcW w:w="7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2020.12</w:t>
            </w:r>
          </w:p>
        </w:tc>
      </w:tr>
      <w:tr>
        <w:tblPrEx>
          <w:shd w:val="clear" w:color="auto" w:fill="auto"/>
          <w:tblCellMar>
            <w:top w:w="0" w:type="dxa"/>
            <w:left w:w="0" w:type="dxa"/>
            <w:bottom w:w="0" w:type="dxa"/>
            <w:right w:w="0" w:type="dxa"/>
          </w:tblCellMar>
        </w:tblPrEx>
        <w:trPr>
          <w:trHeight w:val="735"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经济效益指标</w:t>
            </w:r>
          </w:p>
        </w:tc>
        <w:tc>
          <w:tcPr>
            <w:tcW w:w="16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为社会经济发展，提供技术技能型人才</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≥20人</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2020.12</w:t>
            </w:r>
          </w:p>
        </w:tc>
      </w:tr>
      <w:tr>
        <w:tblPrEx>
          <w:shd w:val="clear" w:color="auto" w:fill="auto"/>
          <w:tblCellMar>
            <w:top w:w="0" w:type="dxa"/>
            <w:left w:w="0" w:type="dxa"/>
            <w:bottom w:w="0" w:type="dxa"/>
            <w:right w:w="0" w:type="dxa"/>
          </w:tblCellMar>
        </w:tblPrEx>
        <w:trPr>
          <w:trHeight w:val="955"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效益指标</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可持续影响指标</w:t>
            </w:r>
          </w:p>
        </w:tc>
        <w:tc>
          <w:tcPr>
            <w:tcW w:w="16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职业教育受益学生</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≥2000名</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2020.12</w:t>
            </w:r>
          </w:p>
        </w:tc>
      </w:tr>
      <w:tr>
        <w:tblPrEx>
          <w:shd w:val="clear" w:color="auto" w:fill="auto"/>
          <w:tblCellMar>
            <w:top w:w="0" w:type="dxa"/>
            <w:left w:w="0" w:type="dxa"/>
            <w:bottom w:w="0" w:type="dxa"/>
            <w:right w:w="0" w:type="dxa"/>
          </w:tblCellMar>
        </w:tblPrEx>
        <w:trPr>
          <w:trHeight w:val="955"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6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教师、学生和家长对项目的综合满意度</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2020.12</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lang w:val="zh-CN"/>
        </w:rPr>
        <w:t>申报内容</w:t>
      </w:r>
      <w:r>
        <w:rPr>
          <w:rFonts w:hint="eastAsia" w:ascii="仿宋_GB2312" w:hAnsi="宋体" w:eastAsia="仿宋_GB2312"/>
          <w:color w:val="auto"/>
          <w:sz w:val="32"/>
          <w:szCs w:val="32"/>
          <w:lang w:val="en-US" w:eastAsia="zh-CN"/>
        </w:rPr>
        <w:t>及</w:t>
      </w:r>
      <w:r>
        <w:rPr>
          <w:rFonts w:hint="eastAsia" w:ascii="仿宋_GB2312" w:hAnsi="宋体" w:eastAsia="仿宋_GB2312"/>
          <w:color w:val="auto"/>
          <w:sz w:val="32"/>
          <w:szCs w:val="32"/>
          <w:lang w:val="zh-CN"/>
        </w:rPr>
        <w:t>目标</w:t>
      </w:r>
      <w:r>
        <w:rPr>
          <w:rFonts w:hint="eastAsia" w:ascii="仿宋_GB2312" w:hAnsi="宋体" w:eastAsia="仿宋_GB2312"/>
          <w:color w:val="auto"/>
          <w:sz w:val="32"/>
          <w:szCs w:val="32"/>
          <w:lang w:val="en-US" w:eastAsia="zh-CN"/>
        </w:rPr>
        <w:t>适应性</w:t>
      </w:r>
      <w:r>
        <w:rPr>
          <w:rFonts w:hint="eastAsia" w:ascii="仿宋_GB2312" w:hAnsi="宋体" w:eastAsia="仿宋_GB2312"/>
          <w:color w:val="auto"/>
          <w:sz w:val="32"/>
          <w:szCs w:val="32"/>
          <w:lang w:val="zh-CN"/>
        </w:rPr>
        <w:t>分析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财政部</w:t>
      </w:r>
      <w:r>
        <w:rPr>
          <w:rFonts w:hint="eastAsia" w:ascii="仿宋_GB2312" w:hAnsi="宋体" w:eastAsia="仿宋_GB2312"/>
          <w:color w:val="auto"/>
          <w:sz w:val="32"/>
          <w:szCs w:val="32"/>
          <w:lang w:val="zh-CN" w:eastAsia="zh-CN"/>
        </w:rPr>
        <w:t>、</w:t>
      </w:r>
      <w:r>
        <w:rPr>
          <w:rFonts w:hint="eastAsia" w:ascii="仿宋_GB2312" w:hAnsi="宋体" w:eastAsia="仿宋_GB2312"/>
          <w:color w:val="auto"/>
          <w:sz w:val="32"/>
          <w:szCs w:val="32"/>
          <w:lang w:val="zh-CN"/>
        </w:rPr>
        <w:t>教育部关于印发《现代职业教育质量提升计划专项资金管理办法》</w:t>
      </w:r>
      <w:r>
        <w:rPr>
          <w:rFonts w:hint="eastAsia" w:ascii="仿宋_GB2312" w:hAnsi="宋体" w:eastAsia="仿宋_GB2312"/>
          <w:color w:val="auto"/>
          <w:sz w:val="32"/>
          <w:szCs w:val="32"/>
          <w:lang w:val="en-US" w:eastAsia="zh-CN"/>
        </w:rPr>
        <w:t>的通知中明确规定，专项资金重点支持</w:t>
      </w:r>
      <w:r>
        <w:rPr>
          <w:rFonts w:hint="eastAsia" w:ascii="仿宋_GB2312" w:hAnsi="宋体" w:eastAsia="仿宋_GB2312"/>
          <w:color w:val="auto"/>
          <w:sz w:val="32"/>
          <w:szCs w:val="32"/>
          <w:lang w:val="zh-CN"/>
        </w:rPr>
        <w:t>实验实训场地以及其他附属设施，配置图书和教学仪器设备</w:t>
      </w:r>
      <w:r>
        <w:rPr>
          <w:rFonts w:hint="eastAsia" w:ascii="仿宋_GB2312" w:hAnsi="宋体" w:eastAsia="仿宋_GB2312"/>
          <w:color w:val="auto"/>
          <w:sz w:val="32"/>
          <w:szCs w:val="32"/>
          <w:lang w:val="en-US" w:eastAsia="zh-CN"/>
        </w:rPr>
        <w:t>等</w:t>
      </w:r>
      <w:r>
        <w:rPr>
          <w:rFonts w:hint="eastAsia" w:ascii="仿宋_GB2312" w:hAnsi="宋体" w:eastAsia="仿宋_GB2312"/>
          <w:color w:val="auto"/>
          <w:sz w:val="32"/>
          <w:szCs w:val="32"/>
          <w:lang w:val="zh-CN" w:eastAsia="zh-CN"/>
        </w:rPr>
        <w:t>，</w:t>
      </w:r>
      <w:r>
        <w:rPr>
          <w:rFonts w:hint="eastAsia" w:ascii="仿宋_GB2312" w:hAnsi="宋体" w:eastAsia="仿宋_GB2312"/>
          <w:color w:val="auto"/>
          <w:sz w:val="32"/>
          <w:szCs w:val="32"/>
          <w:lang w:val="zh-CN"/>
        </w:rPr>
        <w:t>支持各地加强“双师型”专任教师培养培训，提高教师教育教学水平；</w:t>
      </w:r>
      <w:r>
        <w:rPr>
          <w:rFonts w:hint="eastAsia" w:ascii="仿宋_GB2312" w:hAnsi="宋体" w:eastAsia="仿宋_GB2312"/>
          <w:color w:val="auto"/>
          <w:sz w:val="32"/>
          <w:szCs w:val="32"/>
          <w:lang w:val="en-US" w:eastAsia="zh-CN"/>
        </w:rPr>
        <w:t>我校的申报内容与文件精神相符，与我校教育教学实际需要相符。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我校设定了5个项目完成指标、2个效益指标和1个满意度指标，</w:t>
      </w:r>
      <w:r>
        <w:rPr>
          <w:rFonts w:hint="eastAsia" w:ascii="仿宋_GB2312" w:hAnsi="宋体" w:eastAsia="仿宋_GB2312"/>
          <w:color w:val="auto"/>
          <w:sz w:val="32"/>
          <w:szCs w:val="32"/>
          <w:lang w:val="zh-CN"/>
        </w:rPr>
        <w:t>预期指标值</w:t>
      </w:r>
      <w:r>
        <w:rPr>
          <w:rFonts w:hint="eastAsia" w:ascii="仿宋_GB2312" w:hAnsi="宋体" w:eastAsia="仿宋_GB2312"/>
          <w:color w:val="auto"/>
          <w:sz w:val="32"/>
          <w:szCs w:val="32"/>
          <w:lang w:val="en-US" w:eastAsia="zh-CN"/>
        </w:rPr>
        <w:t>可评可测，具有操作性，合理可行。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（三）项目自评步骤及方法</w:t>
      </w:r>
    </w:p>
    <w:p>
      <w:pPr>
        <w:adjustRightInd w:val="0"/>
        <w:snapToGrid w:val="0"/>
        <w:spacing w:line="600" w:lineRule="exact"/>
        <w:ind w:firstLine="72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为了做好项目绩效评价工作，规范和加强专项资金管理，切实提高专项资金的使用绩效和管理水平，教务处牵头，按照项目系部自评和主管部门评价相结合的方式，对该项资金开展绩效评价工作。采取项目自评+主管部门评价的方法，主要采取定性的方式综合评价。</w:t>
      </w:r>
    </w:p>
    <w:p>
      <w:pPr>
        <w:adjustRightInd w:val="0"/>
        <w:snapToGrid w:val="0"/>
        <w:spacing w:line="600" w:lineRule="exact"/>
        <w:ind w:firstLine="720"/>
        <w:rPr>
          <w:rFonts w:ascii="黑体" w:hAnsi="宋体" w:eastAsia="黑体"/>
          <w:color w:val="000000" w:themeColor="text1"/>
          <w:sz w:val="32"/>
          <w:szCs w:val="32"/>
        </w:rPr>
      </w:pPr>
      <w:r>
        <w:rPr>
          <w:rFonts w:hint="eastAsia" w:ascii="黑体" w:hAnsi="宋体" w:eastAsia="黑体"/>
          <w:color w:val="000000" w:themeColor="text1"/>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（一）项目资金申报及批复情况</w:t>
      </w:r>
    </w:p>
    <w:p>
      <w:pPr>
        <w:adjustRightInd w:val="0"/>
        <w:snapToGrid w:val="0"/>
        <w:spacing w:line="600" w:lineRule="exact"/>
        <w:ind w:firstLine="72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专项资金由省教育厅、财政厅根据我校生均拨款到位情况和教育教学改革绩效核算后下拨市财政局，由市财政局下达我校。我校在校内申请的年度经费预算项目中遴选符合奖补资金使用要求的项目，由教务处牵头统筹，统一管理。确保资金使用效益突出、流程规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（二）资金计划、到位及使用情况</w:t>
      </w:r>
    </w:p>
    <w:p>
      <w:pPr>
        <w:adjustRightInd w:val="0"/>
        <w:snapToGrid w:val="0"/>
        <w:spacing w:line="600" w:lineRule="exact"/>
        <w:ind w:firstLine="72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该项目资金计划294万元，实际到位293万元，资金到位率99.7%。截止2020年12月，我校专项资金293万元已全部使用完成，资金使用率100%。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（三）项目财务管理情况</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我校</w:t>
      </w:r>
      <w:r>
        <w:rPr>
          <w:rFonts w:hint="eastAsia" w:ascii="仿宋_GB2312" w:hAnsi="宋体" w:eastAsia="仿宋_GB2312"/>
          <w:color w:val="auto"/>
          <w:sz w:val="32"/>
          <w:szCs w:val="32"/>
          <w:lang w:val="zh-CN"/>
        </w:rPr>
        <w:t>财务管理制度健全，</w:t>
      </w:r>
      <w:r>
        <w:rPr>
          <w:rFonts w:hint="eastAsia" w:ascii="仿宋_GB2312" w:hAnsi="宋体" w:eastAsia="仿宋_GB2312"/>
          <w:color w:val="auto"/>
          <w:sz w:val="32"/>
          <w:szCs w:val="32"/>
          <w:lang w:val="en-US" w:eastAsia="zh-CN"/>
        </w:rPr>
        <w:t>严格遵照</w:t>
      </w:r>
      <w:r>
        <w:rPr>
          <w:rFonts w:hint="eastAsia" w:ascii="仿宋_GB2312" w:hAnsi="宋体" w:eastAsia="仿宋_GB2312"/>
          <w:color w:val="auto"/>
          <w:sz w:val="32"/>
          <w:szCs w:val="32"/>
          <w:lang w:val="zh-CN"/>
        </w:rPr>
        <w:t>《现代职业教育质量提升计划专项资金管理办法》</w:t>
      </w:r>
      <w:r>
        <w:rPr>
          <w:rFonts w:hint="eastAsia" w:ascii="仿宋_GB2312" w:hAnsi="宋体" w:eastAsia="仿宋_GB2312"/>
          <w:color w:val="auto"/>
          <w:sz w:val="32"/>
          <w:szCs w:val="32"/>
          <w:lang w:val="en-US" w:eastAsia="zh-CN"/>
        </w:rPr>
        <w:t>进行项目资金管理和使用，遵循“科学规划、合理安排，责任清晰、规范管理，专款专用、注重实效”的原则，建立“谁使用、谁负责”的责任机制，</w:t>
      </w:r>
      <w:r>
        <w:rPr>
          <w:rFonts w:hint="eastAsia" w:ascii="仿宋_GB2312" w:hAnsi="宋体" w:eastAsia="仿宋_GB2312"/>
          <w:color w:val="auto"/>
          <w:sz w:val="32"/>
          <w:szCs w:val="32"/>
          <w:lang w:val="zh-CN"/>
        </w:rPr>
        <w:t>账务处理及时，会计核算规范</w:t>
      </w:r>
      <w:r>
        <w:rPr>
          <w:rFonts w:hint="eastAsia" w:ascii="仿宋_GB2312" w:hAnsi="宋体" w:eastAsia="仿宋_GB2312"/>
          <w:color w:val="auto"/>
          <w:sz w:val="32"/>
          <w:szCs w:val="32"/>
          <w:lang w:val="en-US" w:eastAsia="zh-CN"/>
        </w:rPr>
        <w:t>。</w:t>
      </w:r>
    </w:p>
    <w:p>
      <w:pPr>
        <w:adjustRightInd w:val="0"/>
        <w:snapToGrid w:val="0"/>
        <w:spacing w:line="600" w:lineRule="exact"/>
        <w:ind w:firstLine="720"/>
        <w:rPr>
          <w:rFonts w:ascii="黑体" w:hAnsi="宋体" w:eastAsia="黑体"/>
          <w:b w:val="0"/>
          <w:bCs w:val="0"/>
          <w:color w:val="auto"/>
          <w:sz w:val="32"/>
          <w:szCs w:val="32"/>
        </w:rPr>
      </w:pPr>
      <w:r>
        <w:rPr>
          <w:rFonts w:hint="eastAsia" w:ascii="黑体" w:hAnsi="宋体" w:eastAsia="黑体"/>
          <w:b w:val="0"/>
          <w:bCs w:val="0"/>
          <w:color w:val="auto"/>
          <w:sz w:val="32"/>
          <w:szCs w:val="32"/>
        </w:rPr>
        <w:t>三、项目实施及管理情况</w:t>
      </w:r>
    </w:p>
    <w:p>
      <w:pPr>
        <w:adjustRightInd w:val="0"/>
        <w:snapToGrid w:val="0"/>
        <w:spacing w:line="600" w:lineRule="exact"/>
        <w:ind w:firstLine="72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教务处作为</w:t>
      </w:r>
      <w:r>
        <w:rPr>
          <w:rFonts w:hint="eastAsia" w:ascii="仿宋_GB2312" w:hAnsi="宋体" w:eastAsia="仿宋_GB2312"/>
          <w:color w:val="auto"/>
          <w:sz w:val="32"/>
          <w:szCs w:val="32"/>
          <w:lang w:val="zh-CN"/>
        </w:rPr>
        <w:t>项目主管部门，</w:t>
      </w:r>
      <w:r>
        <w:rPr>
          <w:rFonts w:hint="eastAsia" w:ascii="仿宋_GB2312" w:hAnsi="宋体" w:eastAsia="仿宋_GB2312"/>
          <w:color w:val="auto"/>
          <w:sz w:val="32"/>
          <w:szCs w:val="32"/>
          <w:lang w:val="en-US" w:eastAsia="zh-CN"/>
        </w:rPr>
        <w:t>对项目有审核监督职责。该项资金支出有立项、有申报、有审核。各部门实施项目需要政府采购的，要向招投标办提交采购计划执行申报书，获批后拟定招标文件，确定技术参数，提交政府采购按流程完成招标。如需教师参加培训，则按公务出差审批程序，由系部签署意见，再由教务处审核同意后，方可执行。现代学徒制项目经费列入年度一次性项目实施，也由系部申报经费使用计划，教务处审批同意后执行。计划财务处严把报销审核关，确保所有项目资金使用合规合法，使资金使用效益最大化。</w:t>
      </w:r>
    </w:p>
    <w:p>
      <w:pPr>
        <w:adjustRightInd w:val="0"/>
        <w:snapToGrid w:val="0"/>
        <w:spacing w:line="600" w:lineRule="exact"/>
        <w:ind w:firstLine="720"/>
        <w:rPr>
          <w:rFonts w:hint="eastAsia" w:ascii="黑体" w:hAnsi="宋体" w:eastAsia="黑体"/>
          <w:color w:val="auto"/>
          <w:sz w:val="32"/>
          <w:szCs w:val="32"/>
          <w:lang w:val="zh-CN" w:eastAsia="zh-CN"/>
        </w:rPr>
      </w:pPr>
      <w:r>
        <w:rPr>
          <w:rFonts w:hint="eastAsia" w:ascii="黑体" w:hAnsi="宋体" w:eastAsia="黑体"/>
          <w:color w:val="auto"/>
          <w:sz w:val="32"/>
          <w:szCs w:val="32"/>
          <w:lang w:val="en-US" w:eastAsia="zh-CN"/>
        </w:rPr>
        <w:t>四、项目绩效情况</w:t>
      </w:r>
      <w:r>
        <w:rPr>
          <w:rFonts w:hint="eastAsia" w:ascii="黑体" w:hAnsi="宋体" w:eastAsia="黑体"/>
          <w:color w:val="auto"/>
          <w:sz w:val="32"/>
          <w:szCs w:val="32"/>
          <w:lang w:val="zh-CN" w:eastAsia="zh-CN"/>
        </w:rPr>
        <w:tab/>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（一）项目完成情况</w:t>
      </w:r>
    </w:p>
    <w:p>
      <w:pPr>
        <w:adjustRightInd w:val="0"/>
        <w:snapToGrid w:val="0"/>
        <w:spacing w:line="600" w:lineRule="exact"/>
        <w:ind w:firstLine="720"/>
        <w:rPr>
          <w:rFonts w:hint="eastAsia" w:ascii="仿宋_GB2312" w:hAnsi="宋体" w:eastAsia="仿宋_GB2312"/>
          <w:color w:val="auto"/>
          <w:sz w:val="32"/>
          <w:szCs w:val="32"/>
          <w:lang w:val="zh-CN" w:eastAsia="zh-CN"/>
        </w:rPr>
      </w:pPr>
      <w:r>
        <w:rPr>
          <w:rFonts w:hint="eastAsia" w:ascii="仿宋_GB2312" w:hAnsi="宋体" w:eastAsia="仿宋_GB2312"/>
          <w:color w:val="auto"/>
          <w:sz w:val="32"/>
          <w:szCs w:val="32"/>
          <w:lang w:val="en-US" w:eastAsia="zh-CN"/>
        </w:rPr>
        <w:t>本项目所有绩效指标均已完成，实现了经济效益指标，经费使用均在成本控制范围内。其中，教师素质提高培训24人，教学钢琴及进口三角钢琴采购112台，助推学前教育、小学教育两个特色专业现代学徒制项目建设，参训教师结业率达100%，受益学生超过2000人，学生、家长、社会满意度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（二）项目效益情况</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1.经济效益</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专项奖补资金支持我校在教育教学改革、教师队伍建设、实训设备完善等方面加大投入，实现了资金使用的经济助推效益。</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2.社会效益</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奖补资金用于推动我校学前教育、小学教育两个专业现代学徒制项目建设，加强学前教育中高职贯通培养研究，对我校加强校企合作、订单培养、中高职贯通培养起到了积极的促进作用，社会效益显著。</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3.可持续效益</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无论是加强双师型教师培养培训、1+X证书管理，还是实训条件改善、加强专业建设，最终受益的都是学生，奖补资金的使用最终也是促进学生就业成才，实现可持续效益。</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lang w:val="zh-CN" w:eastAsia="zh-CN"/>
        </w:rPr>
        <w:t>服务对象满意度</w:t>
      </w:r>
    </w:p>
    <w:p>
      <w:pPr>
        <w:adjustRightInd w:val="0"/>
        <w:snapToGrid w:val="0"/>
        <w:spacing w:line="600" w:lineRule="exact"/>
        <w:ind w:firstLine="720"/>
        <w:rPr>
          <w:rFonts w:hint="eastAsia" w:ascii="仿宋_GB2312" w:hAnsi="宋体" w:eastAsia="仿宋_GB2312"/>
          <w:color w:val="FF0000"/>
          <w:sz w:val="32"/>
          <w:szCs w:val="32"/>
          <w:lang w:val="zh-CN"/>
        </w:rPr>
      </w:pPr>
      <w:r>
        <w:rPr>
          <w:rFonts w:hint="eastAsia" w:ascii="仿宋_GB2312" w:hAnsi="宋体" w:eastAsia="仿宋_GB2312"/>
          <w:color w:val="auto"/>
          <w:sz w:val="32"/>
          <w:szCs w:val="32"/>
          <w:lang w:val="en-US" w:eastAsia="zh-CN"/>
        </w:rPr>
        <w:t>我校2020年、2021年高考录取分数线文科、理科均排名全省前五以内，学生就业率高，社会声誉好，服务对象满意度高。</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现代职业教育质量提升计划专项资金</w:t>
      </w:r>
      <w:r>
        <w:rPr>
          <w:rFonts w:hint="eastAsia" w:ascii="仿宋_GB2312" w:hAnsi="宋体" w:eastAsia="仿宋_GB2312"/>
          <w:color w:val="auto"/>
          <w:sz w:val="32"/>
          <w:szCs w:val="32"/>
          <w:lang w:val="en-US" w:eastAsia="zh-CN"/>
        </w:rPr>
        <w:t>是</w:t>
      </w:r>
      <w:r>
        <w:rPr>
          <w:rFonts w:hint="eastAsia" w:ascii="仿宋_GB2312" w:hAnsi="宋体" w:eastAsia="仿宋_GB2312"/>
          <w:color w:val="auto"/>
          <w:sz w:val="32"/>
          <w:szCs w:val="32"/>
          <w:lang w:val="zh-CN"/>
        </w:rPr>
        <w:t>中央财政通过专项转移支付安排，用于支持现代职业教育改革发展的资金。</w:t>
      </w:r>
      <w:r>
        <w:rPr>
          <w:rFonts w:hint="eastAsia" w:ascii="仿宋_GB2312" w:hAnsi="宋体" w:eastAsia="仿宋_GB2312"/>
          <w:color w:val="auto"/>
          <w:sz w:val="32"/>
          <w:szCs w:val="32"/>
          <w:lang w:val="en-US" w:eastAsia="zh-CN"/>
        </w:rPr>
        <w:t>我校高度重视资金的管理和使用，资金使用规范，经济效益、社会效益、可持续效益明显，服务对象满意度高，资金对学校专业建设、教师培养、实训条件改善、1+X项目管理、现代学徒制试点都发挥了积极的促进作用，总体实施效果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（二）存在的问题</w:t>
      </w:r>
    </w:p>
    <w:p>
      <w:pPr>
        <w:adjustRightInd w:val="0"/>
        <w:snapToGrid w:val="0"/>
        <w:spacing w:line="60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1.项目管理过程中，绩效意识仍需增强。</w:t>
      </w:r>
    </w:p>
    <w:p>
      <w:pPr>
        <w:adjustRightInd w:val="0"/>
        <w:snapToGrid w:val="0"/>
        <w:spacing w:line="600" w:lineRule="exact"/>
        <w:ind w:firstLine="640" w:firstLineChars="200"/>
        <w:rPr>
          <w:rFonts w:ascii="仿宋_GB2312" w:hAnsi="宋体" w:eastAsia="仿宋_GB2312"/>
          <w:color w:val="FF0000"/>
          <w:sz w:val="32"/>
          <w:szCs w:val="32"/>
          <w:lang w:val="zh-CN"/>
        </w:rPr>
      </w:pPr>
      <w:r>
        <w:rPr>
          <w:rFonts w:hint="eastAsia" w:ascii="仿宋_GB2312" w:hAnsi="宋体" w:eastAsia="仿宋_GB2312"/>
          <w:color w:val="auto"/>
          <w:sz w:val="32"/>
          <w:szCs w:val="32"/>
          <w:lang w:val="en-US" w:eastAsia="zh-CN"/>
        </w:rPr>
        <w:t>2.奖补资金使用项目遴选时，要结合提质培优、对标竞进的具体指标和要求，对我校</w:t>
      </w:r>
      <w:r>
        <w:rPr>
          <w:rFonts w:hint="eastAsia" w:ascii="仿宋_GB2312" w:hAnsi="宋体" w:eastAsia="仿宋_GB2312"/>
          <w:color w:val="auto"/>
          <w:sz w:val="32"/>
          <w:szCs w:val="32"/>
          <w:lang w:val="zh-CN"/>
        </w:rPr>
        <w:t>现代职业教育质量提升</w:t>
      </w:r>
      <w:r>
        <w:rPr>
          <w:rFonts w:hint="eastAsia" w:ascii="仿宋_GB2312" w:hAnsi="宋体" w:eastAsia="仿宋_GB2312"/>
          <w:color w:val="auto"/>
          <w:sz w:val="32"/>
          <w:szCs w:val="32"/>
          <w:lang w:val="en-US" w:eastAsia="zh-CN"/>
        </w:rPr>
        <w:t>的相关项目适度倾斜</w:t>
      </w:r>
      <w:r>
        <w:rPr>
          <w:rFonts w:hint="eastAsia" w:ascii="仿宋_GB2312" w:hAnsi="宋体" w:eastAsia="仿宋_GB2312"/>
          <w:color w:val="auto"/>
          <w:sz w:val="32"/>
          <w:szCs w:val="32"/>
          <w:lang w:val="zh-CN"/>
        </w:rPr>
        <w:t>。</w:t>
      </w:r>
      <w:r>
        <w:rPr>
          <w:rFonts w:ascii="仿宋_GB2312" w:hAnsi="宋体" w:eastAsia="仿宋_GB2312"/>
          <w:color w:val="auto"/>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（三）相关建议</w:t>
      </w:r>
    </w:p>
    <w:p>
      <w:pPr>
        <w:adjustRightInd w:val="0"/>
        <w:snapToGrid w:val="0"/>
        <w:spacing w:line="60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1.建议省教育厅公布奖补资金的具体指标分配细目，以便于我校对标补短板、强弱项。</w:t>
      </w:r>
    </w:p>
    <w:p>
      <w:pPr>
        <w:adjustRightInd w:val="0"/>
        <w:snapToGrid w:val="0"/>
        <w:spacing w:line="600" w:lineRule="exact"/>
        <w:ind w:firstLine="640" w:firstLineChars="200"/>
      </w:pPr>
      <w:r>
        <w:rPr>
          <w:rFonts w:hint="eastAsia" w:ascii="仿宋_GB2312" w:hAnsi="宋体" w:eastAsia="仿宋_GB2312"/>
          <w:color w:val="auto"/>
          <w:sz w:val="32"/>
          <w:szCs w:val="32"/>
          <w:lang w:val="en-US" w:eastAsia="zh-CN"/>
        </w:rPr>
        <w:t>2.建议相关部门加强现代职业教育质量提升计划专项资金管理和使用的培训，更好的发挥资金使用效益</w:t>
      </w:r>
    </w:p>
    <w:p>
      <w:pPr>
        <w:widowControl/>
        <w:jc w:val="left"/>
        <w:rPr>
          <w:rStyle w:val="26"/>
          <w:rFonts w:ascii="黑体" w:hAnsi="黑体" w:eastAsia="黑体"/>
          <w:b w:val="0"/>
        </w:rPr>
      </w:pPr>
      <w:r>
        <w:rPr>
          <w:rStyle w:val="26"/>
          <w:rFonts w:ascii="黑体" w:hAnsi="黑体" w:eastAsia="黑体"/>
          <w:b w:val="0"/>
        </w:rPr>
        <w:br w:type="page"/>
      </w:r>
    </w:p>
    <w:p>
      <w:pPr>
        <w:spacing w:line="600" w:lineRule="exact"/>
        <w:jc w:val="center"/>
        <w:outlineLvl w:val="9"/>
        <w:rPr>
          <w:rStyle w:val="26"/>
          <w:rFonts w:ascii="黑体" w:hAnsi="黑体" w:eastAsia="黑体"/>
          <w:b w:val="0"/>
        </w:rPr>
      </w:pPr>
    </w:p>
    <w:p>
      <w:pPr>
        <w:spacing w:line="600" w:lineRule="exact"/>
        <w:jc w:val="center"/>
        <w:outlineLvl w:val="0"/>
        <w:rPr>
          <w:rStyle w:val="26"/>
          <w:rFonts w:ascii="黑体" w:hAnsi="黑体" w:eastAsia="黑体"/>
          <w:b w:val="0"/>
        </w:rPr>
      </w:pPr>
      <w:bookmarkStart w:id="72" w:name="_Toc25388"/>
      <w:bookmarkStart w:id="73"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65"/>
      <w:bookmarkEnd w:id="72"/>
      <w:bookmarkEnd w:id="73"/>
    </w:p>
    <w:p>
      <w:pPr>
        <w:pStyle w:val="4"/>
        <w:rPr>
          <w:rFonts w:ascii="仿宋" w:hAnsi="仿宋" w:eastAsia="仿宋"/>
          <w:color w:val="000000"/>
        </w:rPr>
      </w:pPr>
      <w:bookmarkStart w:id="74"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74"/>
    </w:p>
    <w:p>
      <w:pPr>
        <w:pStyle w:val="4"/>
        <w:rPr>
          <w:rFonts w:ascii="仿宋" w:hAnsi="仿宋" w:eastAsia="仿宋"/>
          <w:color w:val="000000"/>
        </w:rPr>
      </w:pPr>
      <w:bookmarkStart w:id="75"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75"/>
    </w:p>
    <w:p>
      <w:pPr>
        <w:pStyle w:val="4"/>
        <w:rPr>
          <w:rFonts w:ascii="仿宋" w:hAnsi="仿宋" w:eastAsia="仿宋"/>
          <w:color w:val="000000"/>
        </w:rPr>
      </w:pPr>
      <w:bookmarkStart w:id="76"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76"/>
    </w:p>
    <w:p>
      <w:pPr>
        <w:pStyle w:val="4"/>
        <w:rPr>
          <w:rFonts w:ascii="仿宋" w:hAnsi="仿宋" w:eastAsia="仿宋"/>
          <w:b w:val="0"/>
          <w:color w:val="000000"/>
        </w:rPr>
      </w:pPr>
      <w:bookmarkStart w:id="77"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77"/>
    </w:p>
    <w:p>
      <w:pPr>
        <w:pStyle w:val="4"/>
        <w:rPr>
          <w:rStyle w:val="27"/>
          <w:rFonts w:ascii="仿宋" w:hAnsi="仿宋" w:eastAsia="仿宋"/>
          <w:b w:val="0"/>
          <w:bCs w:val="0"/>
        </w:rPr>
      </w:pPr>
      <w:bookmarkStart w:id="78"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78"/>
      <w:bookmarkStart w:id="79" w:name="_Toc15396624"/>
    </w:p>
    <w:p>
      <w:pPr>
        <w:pStyle w:val="4"/>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79"/>
    </w:p>
    <w:p>
      <w:pPr>
        <w:pStyle w:val="4"/>
        <w:rPr>
          <w:rFonts w:ascii="仿宋" w:hAnsi="仿宋" w:eastAsia="仿宋"/>
          <w:color w:val="000000"/>
        </w:rPr>
      </w:pPr>
      <w:bookmarkStart w:id="80"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80"/>
    </w:p>
    <w:p>
      <w:pPr>
        <w:pStyle w:val="4"/>
        <w:rPr>
          <w:rFonts w:ascii="仿宋" w:hAnsi="仿宋" w:eastAsia="仿宋"/>
          <w:color w:val="000000"/>
        </w:rPr>
      </w:pPr>
      <w:bookmarkStart w:id="81"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81"/>
    </w:p>
    <w:p>
      <w:pPr>
        <w:pStyle w:val="4"/>
        <w:rPr>
          <w:rFonts w:ascii="仿宋" w:hAnsi="仿宋" w:eastAsia="仿宋"/>
          <w:color w:val="000000"/>
        </w:rPr>
      </w:pPr>
      <w:bookmarkStart w:id="82"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82"/>
    </w:p>
    <w:p>
      <w:pPr>
        <w:pStyle w:val="4"/>
        <w:rPr>
          <w:rFonts w:ascii="仿宋" w:hAnsi="仿宋" w:eastAsia="仿宋"/>
          <w:color w:val="000000"/>
        </w:rPr>
      </w:pPr>
      <w:bookmarkStart w:id="83"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83"/>
    </w:p>
    <w:p>
      <w:pPr>
        <w:pStyle w:val="4"/>
        <w:rPr>
          <w:rFonts w:ascii="仿宋" w:hAnsi="仿宋" w:eastAsia="仿宋"/>
          <w:color w:val="000000"/>
        </w:rPr>
      </w:pPr>
      <w:bookmarkStart w:id="84"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84"/>
    </w:p>
    <w:p>
      <w:pPr>
        <w:pStyle w:val="4"/>
        <w:rPr>
          <w:rFonts w:ascii="仿宋" w:hAnsi="仿宋" w:eastAsia="仿宋"/>
          <w:color w:val="000000"/>
        </w:rPr>
      </w:pPr>
      <w:bookmarkStart w:id="85"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85"/>
    </w:p>
    <w:p>
      <w:pPr>
        <w:pStyle w:val="4"/>
        <w:rPr>
          <w:rFonts w:ascii="仿宋" w:hAnsi="仿宋" w:eastAsia="仿宋"/>
          <w:color w:val="000000" w:themeColor="text1"/>
        </w:rPr>
      </w:pPr>
      <w:bookmarkStart w:id="86"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w:t>
      </w:r>
      <w:r>
        <w:rPr>
          <w:rStyle w:val="27"/>
          <w:rFonts w:hint="eastAsia" w:ascii="仿宋" w:hAnsi="仿宋" w:eastAsia="仿宋"/>
          <w:b w:val="0"/>
          <w:bCs w:val="0"/>
          <w:lang w:eastAsia="zh-CN"/>
        </w:rPr>
        <w:t>财政拨款收入</w:t>
      </w:r>
      <w:r>
        <w:rPr>
          <w:rStyle w:val="27"/>
          <w:rFonts w:hint="eastAsia" w:ascii="仿宋" w:hAnsi="仿宋" w:eastAsia="仿宋"/>
          <w:b w:val="0"/>
          <w:bCs w:val="0"/>
        </w:rPr>
        <w:t>支出决算表</w:t>
      </w:r>
      <w:bookmarkEnd w:id="86"/>
    </w:p>
    <w:p>
      <w:pPr>
        <w:pStyle w:val="4"/>
        <w:rPr>
          <w:rFonts w:ascii="仿宋" w:hAnsi="仿宋" w:eastAsia="仿宋"/>
          <w:color w:val="000000" w:themeColor="text1"/>
        </w:rPr>
      </w:pPr>
      <w:r>
        <w:rPr>
          <w:rStyle w:val="27"/>
          <w:rFonts w:hint="eastAsia" w:ascii="仿宋" w:hAnsi="仿宋" w:eastAsia="仿宋"/>
          <w:b w:val="0"/>
          <w:bCs w:val="0"/>
        </w:rPr>
        <w:t>十</w:t>
      </w:r>
      <w:r>
        <w:rPr>
          <w:rStyle w:val="27"/>
          <w:rFonts w:hint="eastAsia" w:ascii="仿宋" w:hAnsi="仿宋" w:eastAsia="仿宋"/>
          <w:b w:val="0"/>
          <w:bCs w:val="0"/>
          <w:lang w:eastAsia="zh-CN"/>
        </w:rPr>
        <w:t>四</w:t>
      </w:r>
      <w:r>
        <w:rPr>
          <w:rStyle w:val="27"/>
          <w:rFonts w:hint="eastAsia" w:ascii="仿宋" w:hAnsi="仿宋" w:eastAsia="仿宋"/>
          <w:b w:val="0"/>
          <w:bCs w:val="0"/>
        </w:rPr>
        <w:t>、</w:t>
      </w:r>
      <w:r>
        <w:rPr>
          <w:rFonts w:hint="eastAsia" w:ascii="仿宋" w:hAnsi="仿宋" w:eastAsia="仿宋"/>
          <w:b w:val="0"/>
          <w:color w:val="000000"/>
        </w:rPr>
        <w:t>国</w:t>
      </w:r>
      <w:r>
        <w:rPr>
          <w:rStyle w:val="27"/>
          <w:rFonts w:hint="eastAsia" w:ascii="仿宋" w:hAnsi="仿宋" w:eastAsia="仿宋"/>
          <w:b w:val="0"/>
          <w:bCs w:val="0"/>
        </w:rPr>
        <w:t>有资本经营预算</w:t>
      </w:r>
      <w:r>
        <w:rPr>
          <w:rStyle w:val="27"/>
          <w:rFonts w:hint="eastAsia" w:ascii="仿宋" w:hAnsi="仿宋" w:eastAsia="仿宋"/>
          <w:b w:val="0"/>
          <w:bCs w:val="0"/>
          <w:lang w:eastAsia="zh-CN"/>
        </w:rPr>
        <w:t>财政拨款</w:t>
      </w:r>
      <w:r>
        <w:rPr>
          <w:rStyle w:val="27"/>
          <w:rFonts w:hint="eastAsia" w:ascii="仿宋" w:hAnsi="仿宋" w:eastAsia="仿宋"/>
          <w:b w:val="0"/>
          <w:bCs w:val="0"/>
        </w:rPr>
        <w:t>支出决算表</w:t>
      </w:r>
    </w:p>
    <w:sectPr>
      <w:pgSz w:w="11906" w:h="16838"/>
      <w:pgMar w:top="1440" w:right="2126"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康POP HandelGotD-Cxibei">
    <w:panose1 w:val="040B0509000000000000"/>
    <w:charset w:val="86"/>
    <w:family w:val="auto"/>
    <w:pitch w:val="default"/>
    <w:sig w:usb0="EFFFFFFF" w:usb1="F8EFFFFF" w:usb2="0000003F" w:usb3="00000000" w:csb0="601701FF" w:csb1="F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8Wfk5a4BAABLAwAADgAAAAAAAAABACAAAAA0AQAAZHJzL2Uyb0RvYy54bWxQ&#10;SwUGAAAAAAYABgBZAQAAVAUAAAAA&#10;">
              <v:fill on="f" focussize="0,0"/>
              <v:stroke on="f"/>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2"/>
                    </w:pP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4cw9va4BAABLAwAADgAAAAAAAAABACAAAAA0AQAAZHJzL2Uyb0RvYy54bWxQ&#10;SwUGAAAAAAYABgBZAQAAVAU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9E00C"/>
    <w:multiLevelType w:val="singleLevel"/>
    <w:tmpl w:val="AB99E00C"/>
    <w:lvl w:ilvl="0" w:tentative="0">
      <w:start w:val="1"/>
      <w:numFmt w:val="chineseCounting"/>
      <w:suff w:val="space"/>
      <w:lvlText w:val="第%1部分"/>
      <w:lvlJc w:val="left"/>
      <w:rPr>
        <w:rFonts w:hint="eastAsia"/>
      </w:rPr>
    </w:lvl>
  </w:abstractNum>
  <w:abstractNum w:abstractNumId="1">
    <w:nsid w:val="BD259353"/>
    <w:multiLevelType w:val="singleLevel"/>
    <w:tmpl w:val="BD259353"/>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0E5FA1FC"/>
    <w:multiLevelType w:val="singleLevel"/>
    <w:tmpl w:val="0E5FA1FC"/>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1AE2940"/>
    <w:multiLevelType w:val="singleLevel"/>
    <w:tmpl w:val="21AE2940"/>
    <w:lvl w:ilvl="0" w:tentative="0">
      <w:start w:val="1"/>
      <w:numFmt w:val="decimal"/>
      <w:lvlText w:val="%1."/>
      <w:lvlJc w:val="left"/>
      <w:pPr>
        <w:tabs>
          <w:tab w:val="left" w:pos="312"/>
        </w:tabs>
      </w:pPr>
    </w:lvl>
  </w:abstractNum>
  <w:num w:numId="1">
    <w:abstractNumId w:val="0"/>
  </w:num>
  <w:num w:numId="2">
    <w:abstractNumId w:val="5"/>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MTZiNGFkNTgzMzA4ZWE3YzU5ZjIwMjI5MDA3Nj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A564A8"/>
    <w:rsid w:val="061F77D1"/>
    <w:rsid w:val="063E6AF7"/>
    <w:rsid w:val="06A9459F"/>
    <w:rsid w:val="07DF1103"/>
    <w:rsid w:val="08170906"/>
    <w:rsid w:val="096C7948"/>
    <w:rsid w:val="09FA1884"/>
    <w:rsid w:val="0AA31375"/>
    <w:rsid w:val="0BE723D4"/>
    <w:rsid w:val="0E5E6A4A"/>
    <w:rsid w:val="0EBA4017"/>
    <w:rsid w:val="10C055FF"/>
    <w:rsid w:val="12B6618C"/>
    <w:rsid w:val="12BA43DD"/>
    <w:rsid w:val="13005860"/>
    <w:rsid w:val="133247C2"/>
    <w:rsid w:val="14FF7D2F"/>
    <w:rsid w:val="1568364E"/>
    <w:rsid w:val="16BB723D"/>
    <w:rsid w:val="17436630"/>
    <w:rsid w:val="19270D7A"/>
    <w:rsid w:val="192F358A"/>
    <w:rsid w:val="1A0C7C6F"/>
    <w:rsid w:val="1A4D6352"/>
    <w:rsid w:val="1A633E94"/>
    <w:rsid w:val="1AA8294D"/>
    <w:rsid w:val="1B081B5C"/>
    <w:rsid w:val="1BF06C8E"/>
    <w:rsid w:val="1D3346A1"/>
    <w:rsid w:val="1DB41997"/>
    <w:rsid w:val="1E702C73"/>
    <w:rsid w:val="1EC00407"/>
    <w:rsid w:val="22C73E44"/>
    <w:rsid w:val="22E47BAF"/>
    <w:rsid w:val="240371BF"/>
    <w:rsid w:val="27C3525B"/>
    <w:rsid w:val="282F26D5"/>
    <w:rsid w:val="285952DA"/>
    <w:rsid w:val="289431E2"/>
    <w:rsid w:val="29FD04D3"/>
    <w:rsid w:val="2B855E90"/>
    <w:rsid w:val="2E640E0A"/>
    <w:rsid w:val="2EC228CD"/>
    <w:rsid w:val="2EC50118"/>
    <w:rsid w:val="2F015A4A"/>
    <w:rsid w:val="2FCC3BED"/>
    <w:rsid w:val="30925E10"/>
    <w:rsid w:val="319F7F4E"/>
    <w:rsid w:val="362F3A74"/>
    <w:rsid w:val="36EE233B"/>
    <w:rsid w:val="388009D0"/>
    <w:rsid w:val="395079A0"/>
    <w:rsid w:val="3A143405"/>
    <w:rsid w:val="3B124C6A"/>
    <w:rsid w:val="3E54438C"/>
    <w:rsid w:val="3FAB6882"/>
    <w:rsid w:val="43644D7B"/>
    <w:rsid w:val="43982F6A"/>
    <w:rsid w:val="43A145A8"/>
    <w:rsid w:val="43E46216"/>
    <w:rsid w:val="43FF4219"/>
    <w:rsid w:val="44E40ED4"/>
    <w:rsid w:val="472B2A2A"/>
    <w:rsid w:val="4821057C"/>
    <w:rsid w:val="49787880"/>
    <w:rsid w:val="4B263FC0"/>
    <w:rsid w:val="4B7722E9"/>
    <w:rsid w:val="4BCD22D3"/>
    <w:rsid w:val="4CA60F18"/>
    <w:rsid w:val="4DE31858"/>
    <w:rsid w:val="4ECE2238"/>
    <w:rsid w:val="4EE150EF"/>
    <w:rsid w:val="50232CEA"/>
    <w:rsid w:val="50425623"/>
    <w:rsid w:val="520661A0"/>
    <w:rsid w:val="5314165E"/>
    <w:rsid w:val="533300E9"/>
    <w:rsid w:val="55AD4D1C"/>
    <w:rsid w:val="55F65B90"/>
    <w:rsid w:val="56E30D13"/>
    <w:rsid w:val="584B319A"/>
    <w:rsid w:val="595506DB"/>
    <w:rsid w:val="5985270E"/>
    <w:rsid w:val="59BF05DE"/>
    <w:rsid w:val="5A324E50"/>
    <w:rsid w:val="5A66778C"/>
    <w:rsid w:val="60D31665"/>
    <w:rsid w:val="628E2EDA"/>
    <w:rsid w:val="63C65DCF"/>
    <w:rsid w:val="64360B98"/>
    <w:rsid w:val="66102C7D"/>
    <w:rsid w:val="66556C1A"/>
    <w:rsid w:val="672A2A0D"/>
    <w:rsid w:val="690C6100"/>
    <w:rsid w:val="69355FC6"/>
    <w:rsid w:val="6AE82F0E"/>
    <w:rsid w:val="6B1643AE"/>
    <w:rsid w:val="6BB007A2"/>
    <w:rsid w:val="6C332D9A"/>
    <w:rsid w:val="6C416D91"/>
    <w:rsid w:val="6D011BF8"/>
    <w:rsid w:val="6D1F4355"/>
    <w:rsid w:val="6E8437AD"/>
    <w:rsid w:val="6EDD768D"/>
    <w:rsid w:val="6F0E5081"/>
    <w:rsid w:val="6FF2428D"/>
    <w:rsid w:val="72734D90"/>
    <w:rsid w:val="72E3455C"/>
    <w:rsid w:val="73AC3B2D"/>
    <w:rsid w:val="73C83858"/>
    <w:rsid w:val="73EB52B1"/>
    <w:rsid w:val="744602C3"/>
    <w:rsid w:val="748A4B84"/>
    <w:rsid w:val="74E14D71"/>
    <w:rsid w:val="753B7039"/>
    <w:rsid w:val="7658000C"/>
    <w:rsid w:val="77115217"/>
    <w:rsid w:val="78EA1A6F"/>
    <w:rsid w:val="7AB0645C"/>
    <w:rsid w:val="7E563668"/>
    <w:rsid w:val="F5D7C2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jc w:val="left"/>
    </w:pPr>
    <w:rPr>
      <w:rFonts w:ascii="宋体" w:hAnsi="宋体" w:cs="宋体"/>
      <w:kern w:val="0"/>
      <w:sz w:val="24"/>
      <w:szCs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paragraph" w:customStyle="1" w:styleId="17">
    <w:name w:val="No Spacing1"/>
    <w:qFormat/>
    <w:uiPriority w:val="0"/>
    <w:pPr>
      <w:widowControl w:val="0"/>
      <w:jc w:val="both"/>
    </w:pPr>
    <w:rPr>
      <w:rFonts w:ascii="Calibri" w:hAnsi="Calibri" w:eastAsia="宋体" w:cs="黑体"/>
      <w:kern w:val="2"/>
      <w:sz w:val="21"/>
      <w:szCs w:val="22"/>
      <w:lang w:val="en-US" w:eastAsia="zh-CN" w:bidi="ar-SA"/>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2"/>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3"/>
    <w:qFormat/>
    <w:uiPriority w:val="9"/>
    <w:rPr>
      <w:rFonts w:ascii="Times New Roman" w:hAnsi="Times New Roman"/>
      <w:b/>
      <w:bCs/>
      <w:kern w:val="44"/>
      <w:sz w:val="44"/>
      <w:szCs w:val="44"/>
    </w:rPr>
  </w:style>
  <w:style w:type="character" w:customStyle="1" w:styleId="27">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4"/>
    <w:link w:val="8"/>
    <w:semiHidden/>
    <w:qFormat/>
    <w:uiPriority w:val="99"/>
    <w:rPr>
      <w:rFonts w:ascii="Times New Roman" w:hAnsi="Times New Roman"/>
      <w:kern w:val="2"/>
      <w:sz w:val="18"/>
      <w:szCs w:val="18"/>
    </w:rPr>
  </w:style>
  <w:style w:type="character" w:customStyle="1" w:styleId="30">
    <w:name w:val="标题 3 Char"/>
    <w:basedOn w:val="14"/>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font61"/>
    <w:basedOn w:val="14"/>
    <w:qFormat/>
    <w:uiPriority w:val="0"/>
    <w:rPr>
      <w:rFonts w:hint="eastAsia" w:ascii="宋体" w:hAnsi="宋体" w:eastAsia="宋体" w:cs="宋体"/>
      <w:color w:val="000000"/>
      <w:sz w:val="24"/>
      <w:szCs w:val="24"/>
      <w:u w:val="none"/>
    </w:rPr>
  </w:style>
  <w:style w:type="paragraph" w:customStyle="1" w:styleId="33">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34920;&#2668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34920;&#2668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34920;&#2668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34920;&#26684;.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4920;&#26684;.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[表格.xlsx]Sheet1!$A$2:$A$3</c:f>
              <c:strCache>
                <c:ptCount val="2"/>
                <c:pt idx="0">
                  <c:v>2019年</c:v>
                </c:pt>
                <c:pt idx="1">
                  <c:v>2020年</c:v>
                </c:pt>
              </c:strCache>
            </c:strRef>
          </c:cat>
          <c:val>
            <c:numRef>
              <c:f>[表格.xlsx]Sheet1!$B$2:$B$3</c:f>
              <c:numCache>
                <c:formatCode>General</c:formatCode>
                <c:ptCount val="2"/>
                <c:pt idx="0">
                  <c:v>20283.73</c:v>
                </c:pt>
                <c:pt idx="1">
                  <c:v>19938.51</c:v>
                </c:pt>
              </c:numCache>
            </c:numRef>
          </c:val>
        </c:ser>
        <c:dLbls>
          <c:showLegendKey val="0"/>
          <c:showVal val="1"/>
          <c:showCatName val="0"/>
          <c:showSerName val="0"/>
          <c:showPercent val="0"/>
          <c:showBubbleSize val="0"/>
        </c:dLbls>
        <c:gapWidth val="219"/>
        <c:overlap val="-27"/>
        <c:axId val="444439398"/>
        <c:axId val="951335522"/>
      </c:barChart>
      <c:catAx>
        <c:axId val="4444393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1335522"/>
        <c:crosses val="autoZero"/>
        <c:auto val="1"/>
        <c:lblAlgn val="ctr"/>
        <c:lblOffset val="100"/>
        <c:noMultiLvlLbl val="0"/>
      </c:catAx>
      <c:valAx>
        <c:axId val="95133552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443939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b"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374951835986773"/>
                  <c:y val="-0.014152377655846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207445503986291"/>
                  <c:y val="0.00057486546114249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454896378865066"/>
                  <c:y val="0.0027109102667586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481790900247021"/>
                  <c:y val="-0.005881286778087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[表格.xlsx]Sheet1!$C$18:$C$21</c:f>
              <c:strCache>
                <c:ptCount val="4"/>
                <c:pt idx="0">
                  <c:v>一般公共预算财政拨款收入</c:v>
                </c:pt>
                <c:pt idx="1">
                  <c:v>政府性基金预算财政拨款收入</c:v>
                </c:pt>
                <c:pt idx="2">
                  <c:v>事业收入</c:v>
                </c:pt>
                <c:pt idx="3">
                  <c:v>其他收入</c:v>
                </c:pt>
              </c:strCache>
            </c:strRef>
          </c:cat>
          <c:val>
            <c:numRef>
              <c:f>[表格.xlsx]Sheet1!$D$18:$D$21</c:f>
              <c:numCache>
                <c:formatCode>#,##0.00_ </c:formatCode>
                <c:ptCount val="4"/>
                <c:pt idx="0">
                  <c:v>11792.79</c:v>
                </c:pt>
                <c:pt idx="1">
                  <c:v>705.13</c:v>
                </c:pt>
                <c:pt idx="2">
                  <c:v>2425.78</c:v>
                </c:pt>
                <c:pt idx="3">
                  <c:v>129.06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[表格.xlsx]Sheet1!$C$27:$C$28</c:f>
              <c:strCache>
                <c:ptCount val="2"/>
                <c:pt idx="0">
                  <c:v>基本支出</c:v>
                </c:pt>
                <c:pt idx="1">
                  <c:v>项目支出</c:v>
                </c:pt>
              </c:strCache>
            </c:strRef>
          </c:cat>
          <c:val>
            <c:numRef>
              <c:f>[表格.xlsx]Sheet1!$D$27:$D$28</c:f>
              <c:numCache>
                <c:formatCode>#,##0.00_ </c:formatCode>
                <c:ptCount val="2"/>
                <c:pt idx="0">
                  <c:v>9242.67</c:v>
                </c:pt>
                <c:pt idx="1">
                  <c:v>5412.83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[表格.xlsx]Sheet1!$C$34:$C$35</c:f>
              <c:strCache>
                <c:ptCount val="2"/>
                <c:pt idx="0">
                  <c:v>2019年</c:v>
                </c:pt>
                <c:pt idx="1">
                  <c:v>2020年</c:v>
                </c:pt>
              </c:strCache>
            </c:strRef>
          </c:cat>
          <c:val>
            <c:numRef>
              <c:f>[表格.xlsx]Sheet1!$D$34:$D$35</c:f>
              <c:numCache>
                <c:formatCode>General</c:formatCode>
                <c:ptCount val="2"/>
                <c:pt idx="0">
                  <c:v>14282.82</c:v>
                </c:pt>
                <c:pt idx="1">
                  <c:v>16470.23</c:v>
                </c:pt>
              </c:numCache>
            </c:numRef>
          </c:val>
        </c:ser>
        <c:dLbls>
          <c:showLegendKey val="0"/>
          <c:showVal val="1"/>
          <c:showCatName val="0"/>
          <c:showSerName val="0"/>
          <c:showPercent val="0"/>
          <c:showBubbleSize val="0"/>
        </c:dLbls>
        <c:gapWidth val="219"/>
        <c:overlap val="-27"/>
        <c:axId val="280729760"/>
        <c:axId val="634351238"/>
      </c:barChart>
      <c:catAx>
        <c:axId val="2807297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351238"/>
        <c:crosses val="autoZero"/>
        <c:auto val="1"/>
        <c:lblAlgn val="ctr"/>
        <c:lblOffset val="100"/>
        <c:noMultiLvlLbl val="0"/>
      </c:catAx>
      <c:valAx>
        <c:axId val="63435123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0729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[表格.xlsx]Sheet2!$A$1:$A$2</c:f>
              <c:strCache>
                <c:ptCount val="2"/>
                <c:pt idx="0">
                  <c:v>2019年</c:v>
                </c:pt>
                <c:pt idx="1">
                  <c:v>2020年</c:v>
                </c:pt>
              </c:strCache>
            </c:strRef>
          </c:cat>
          <c:val>
            <c:numRef>
              <c:f>[表格.xlsx]Sheet2!$B$1:$B$2</c:f>
              <c:numCache>
                <c:formatCode>#,##0.00_ </c:formatCode>
                <c:ptCount val="2"/>
                <c:pt idx="0">
                  <c:v>9091.5</c:v>
                </c:pt>
                <c:pt idx="1">
                  <c:v>11448.87</c:v>
                </c:pt>
              </c:numCache>
            </c:numRef>
          </c:val>
        </c:ser>
        <c:dLbls>
          <c:showLegendKey val="0"/>
          <c:showVal val="1"/>
          <c:showCatName val="0"/>
          <c:showSerName val="0"/>
          <c:showPercent val="0"/>
          <c:showBubbleSize val="0"/>
        </c:dLbls>
        <c:gapWidth val="219"/>
        <c:overlap val="-27"/>
        <c:axId val="312311297"/>
        <c:axId val="449122638"/>
      </c:barChart>
      <c:catAx>
        <c:axId val="3123112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9122638"/>
        <c:crosses val="autoZero"/>
        <c:auto val="1"/>
        <c:lblAlgn val="ctr"/>
        <c:lblOffset val="100"/>
        <c:noMultiLvlLbl val="0"/>
      </c:catAx>
      <c:valAx>
        <c:axId val="449122638"/>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231129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772795216741"/>
          <c:y val="0.116163522012579"/>
          <c:w val="0.360418535127055"/>
          <c:h val="0.758238993710692"/>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2028876398612"/>
                  <c:y val="-0.073173511290836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761129252488202"/>
                  <c:y val="0.031993915447638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479570015138571"/>
                  <c:y val="-0.033232805437280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0885322940302858"/>
                  <c:y val="-0.098578791157560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b"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[表格.xlsx]Sheet2!$A$5:$A$8</c:f>
              <c:strCache>
                <c:ptCount val="4"/>
                <c:pt idx="0">
                  <c:v>教育支出</c:v>
                </c:pt>
                <c:pt idx="1">
                  <c:v>社会保障和就业支出</c:v>
                </c:pt>
                <c:pt idx="2">
                  <c:v>卫生健康支出</c:v>
                </c:pt>
                <c:pt idx="3">
                  <c:v>住房保障支出</c:v>
                </c:pt>
              </c:strCache>
            </c:strRef>
          </c:cat>
          <c:val>
            <c:numRef>
              <c:f>[表格.xlsx]Sheet2!$B$5:$B$8</c:f>
              <c:numCache>
                <c:formatCode>General</c:formatCode>
                <c:ptCount val="4"/>
                <c:pt idx="0">
                  <c:v>10265.87</c:v>
                </c:pt>
                <c:pt idx="1">
                  <c:v>475.5</c:v>
                </c:pt>
                <c:pt idx="2">
                  <c:v>245.16</c:v>
                </c:pt>
                <c:pt idx="3">
                  <c:v>462.35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48</Pages>
  <Words>17846</Words>
  <Characters>19206</Characters>
  <Lines>7</Lines>
  <Paragraphs>17</Paragraphs>
  <TotalTime>6</TotalTime>
  <ScaleCrop>false</ScaleCrop>
  <LinksUpToDate>false</LinksUpToDate>
  <CharactersWithSpaces>19431</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 </cp:lastModifiedBy>
  <cp:lastPrinted>2021-09-13T15:27:00Z</cp:lastPrinted>
  <dcterms:modified xsi:type="dcterms:W3CDTF">2022-09-01T14:40:06Z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AB1C29EBBE8042E5AFC3C0EC12D0B1DD</vt:lpwstr>
  </property>
</Properties>
</file>