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outlineLvl w:val="0"/>
        <w:rPr>
          <w:rFonts w:ascii="方正小标宋简体" w:hAnsi="宋体" w:eastAsia="方正小标宋简体"/>
          <w:color w:val="000000"/>
          <w:sz w:val="72"/>
          <w:szCs w:val="72"/>
        </w:rPr>
      </w:pPr>
      <w:bookmarkStart w:id="0" w:name="_Toc15306267"/>
    </w:p>
    <w:p>
      <w:pPr>
        <w:spacing w:line="1000" w:lineRule="exact"/>
        <w:jc w:val="center"/>
        <w:outlineLvl w:val="0"/>
        <w:rPr>
          <w:rFonts w:ascii="方正小标宋简体" w:hAnsi="宋体" w:eastAsia="方正小标宋简体"/>
          <w:color w:val="000000"/>
          <w:sz w:val="72"/>
          <w:szCs w:val="72"/>
        </w:rPr>
      </w:pPr>
    </w:p>
    <w:p>
      <w:pPr>
        <w:adjustRightInd w:val="0"/>
        <w:snapToGrid w:val="0"/>
        <w:spacing w:line="1000" w:lineRule="exact"/>
        <w:jc w:val="center"/>
        <w:outlineLvl w:val="0"/>
        <w:rPr>
          <w:rFonts w:ascii="黑体" w:hAnsi="黑体" w:eastAsia="黑体"/>
          <w:color w:val="000000"/>
          <w:sz w:val="72"/>
          <w:szCs w:val="72"/>
        </w:rPr>
      </w:pPr>
      <w:bookmarkStart w:id="1" w:name="_Toc15377193"/>
      <w:bookmarkStart w:id="2" w:name="_Toc15396597"/>
      <w:bookmarkStart w:id="3" w:name="_Toc15377425"/>
      <w:bookmarkStart w:id="4" w:name="_Toc15378441"/>
      <w:bookmarkStart w:id="5" w:name="_Toc15396475"/>
    </w:p>
    <w:p>
      <w:pPr>
        <w:adjustRightInd w:val="0"/>
        <w:snapToGrid w:val="0"/>
        <w:spacing w:line="1000" w:lineRule="exact"/>
        <w:jc w:val="center"/>
        <w:outlineLvl w:val="0"/>
        <w:rPr>
          <w:rFonts w:ascii="方正小标宋简体" w:hAnsi="宋体" w:eastAsia="方正小标宋简体"/>
          <w:color w:val="000000"/>
          <w:sz w:val="72"/>
          <w:szCs w:val="72"/>
        </w:rPr>
      </w:pPr>
      <w:r>
        <w:rPr>
          <w:rFonts w:ascii="黑体" w:hAnsi="黑体" w:eastAsia="黑体"/>
          <w:color w:val="000000"/>
          <w:sz w:val="72"/>
          <w:szCs w:val="72"/>
        </w:rPr>
        <w:t>20</w:t>
      </w:r>
      <w:r>
        <w:rPr>
          <w:rFonts w:hint="eastAsia" w:ascii="黑体" w:hAnsi="黑体" w:eastAsia="黑体"/>
          <w:color w:val="000000"/>
          <w:sz w:val="72"/>
          <w:szCs w:val="72"/>
        </w:rPr>
        <w:t>20</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1000" w:lineRule="exact"/>
        <w:jc w:val="center"/>
        <w:outlineLvl w:val="0"/>
        <w:rPr>
          <w:rFonts w:ascii="方正小标宋简体" w:hAnsi="宋体" w:eastAsia="方正小标宋简体"/>
          <w:color w:val="000000"/>
          <w:sz w:val="72"/>
          <w:szCs w:val="72"/>
        </w:rPr>
      </w:pPr>
      <w:bookmarkStart w:id="6" w:name="_Toc15396476"/>
      <w:bookmarkStart w:id="7" w:name="_Toc15377426"/>
      <w:bookmarkStart w:id="8" w:name="_Toc15378442"/>
      <w:bookmarkStart w:id="9" w:name="_Toc15396598"/>
      <w:bookmarkStart w:id="10" w:name="_Toc15377194"/>
      <w:r>
        <w:rPr>
          <w:rFonts w:hint="eastAsia" w:ascii="方正小标宋简体" w:hAnsi="宋体" w:eastAsia="方正小标宋简体"/>
          <w:color w:val="000000"/>
          <w:sz w:val="72"/>
          <w:szCs w:val="72"/>
        </w:rPr>
        <w:t>四川省广元市</w:t>
      </w:r>
      <w:bookmarkEnd w:id="0"/>
      <w:bookmarkStart w:id="11" w:name="_Toc15306268"/>
      <w:r>
        <w:rPr>
          <w:rFonts w:hint="eastAsia" w:ascii="方正小标宋简体" w:hAnsi="宋体" w:eastAsia="方正小标宋简体"/>
          <w:color w:val="000000"/>
          <w:sz w:val="72"/>
          <w:szCs w:val="72"/>
        </w:rPr>
        <w:t>人民检察院</w:t>
      </w:r>
    </w:p>
    <w:p>
      <w:pPr>
        <w:adjustRightInd w:val="0"/>
        <w:snapToGrid w:val="0"/>
        <w:spacing w:line="1000" w:lineRule="exact"/>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adjustRightInd w:val="0"/>
        <w:snapToGrid w:val="0"/>
        <w:spacing w:line="1600" w:lineRule="exact"/>
        <w:jc w:val="center"/>
        <w:outlineLvl w:val="0"/>
        <w:rPr>
          <w:rFonts w:ascii="黑体" w:hAnsi="黑体" w:eastAsia="黑体"/>
          <w:color w:val="000000"/>
          <w:sz w:val="48"/>
          <w:szCs w:val="48"/>
        </w:rPr>
      </w:pPr>
    </w:p>
    <w:p>
      <w:pPr>
        <w:adjustRightInd w:val="0"/>
        <w:snapToGrid w:val="0"/>
        <w:spacing w:line="1600" w:lineRule="exact"/>
        <w:jc w:val="center"/>
        <w:outlineLvl w:val="0"/>
        <w:rPr>
          <w:rFonts w:ascii="黑体" w:hAnsi="黑体" w:eastAsia="黑体"/>
          <w:color w:val="000000"/>
          <w:sz w:val="48"/>
          <w:szCs w:val="48"/>
        </w:rPr>
      </w:pPr>
    </w:p>
    <w:p>
      <w:pPr>
        <w:adjustRightInd w:val="0"/>
        <w:snapToGrid w:val="0"/>
        <w:spacing w:line="1600" w:lineRule="exact"/>
        <w:jc w:val="center"/>
        <w:outlineLvl w:val="0"/>
        <w:rPr>
          <w:rFonts w:ascii="黑体" w:hAnsi="黑体" w:eastAsia="黑体"/>
          <w:color w:val="000000"/>
          <w:sz w:val="48"/>
          <w:szCs w:val="48"/>
        </w:rPr>
      </w:pPr>
    </w:p>
    <w:p>
      <w:pPr>
        <w:adjustRightInd w:val="0"/>
        <w:snapToGrid w:val="0"/>
        <w:spacing w:line="1600" w:lineRule="exact"/>
        <w:outlineLvl w:val="0"/>
        <w:rPr>
          <w:rFonts w:ascii="黑体" w:hAnsi="黑体" w:eastAsia="黑体"/>
          <w:color w:val="000000"/>
          <w:sz w:val="48"/>
          <w:szCs w:val="48"/>
        </w:rPr>
      </w:pPr>
    </w:p>
    <w:p>
      <w:pPr>
        <w:adjustRightInd w:val="0"/>
        <w:snapToGrid w:val="0"/>
        <w:spacing w:line="1600" w:lineRule="exact"/>
        <w:outlineLvl w:val="0"/>
        <w:rPr>
          <w:rFonts w:ascii="黑体" w:hAnsi="黑体" w:eastAsia="黑体"/>
          <w:color w:val="000000"/>
          <w:sz w:val="48"/>
          <w:szCs w:val="48"/>
        </w:rPr>
      </w:pPr>
    </w:p>
    <w:p>
      <w:pPr>
        <w:adjustRightInd w:val="0"/>
        <w:snapToGrid w:val="0"/>
        <w:spacing w:line="1600" w:lineRule="exact"/>
        <w:jc w:val="center"/>
        <w:outlineLvl w:val="0"/>
        <w:rPr>
          <w:rFonts w:ascii="方正小标宋简体" w:hAnsi="宋体" w:eastAsia="方正小标宋简体"/>
          <w:color w:val="000000"/>
          <w:sz w:val="72"/>
          <w:szCs w:val="72"/>
        </w:rPr>
      </w:pPr>
      <w:r>
        <w:rPr>
          <w:rFonts w:hint="eastAsia" w:ascii="黑体" w:hAnsi="黑体" w:eastAsia="黑体"/>
          <w:color w:val="000000"/>
          <w:sz w:val="48"/>
          <w:szCs w:val="48"/>
        </w:rPr>
        <w:t>目    录</w:t>
      </w:r>
    </w:p>
    <w:p>
      <w:pPr>
        <w:widowControl/>
        <w:spacing w:line="600" w:lineRule="exact"/>
        <w:jc w:val="cente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spacing w:line="600" w:lineRule="exact"/>
        <w:rPr>
          <w:rFonts w:ascii="仿宋" w:hAnsi="仿宋" w:eastAsia="仿宋"/>
          <w:sz w:val="28"/>
          <w:szCs w:val="28"/>
        </w:rPr>
      </w:pPr>
    </w:p>
    <w:p>
      <w:pPr>
        <w:pStyle w:val="10"/>
        <w:spacing w:line="600" w:lineRule="exact"/>
      </w:pPr>
      <w:r>
        <w:fldChar w:fldCharType="begin"/>
      </w:r>
      <w:r>
        <w:instrText xml:space="preserve"> HYPERLINK \l "_Toc15396599" </w:instrText>
      </w:r>
      <w:r>
        <w:fldChar w:fldCharType="separate"/>
      </w:r>
      <w:r>
        <w:rPr>
          <w:rFonts w:hint="eastAsia"/>
        </w:rPr>
        <w:t>第一部分部门概况</w:t>
      </w:r>
      <w:r>
        <w:tab/>
      </w:r>
      <w:r>
        <w:rPr>
          <w:rFonts w:hint="eastAsia"/>
        </w:rPr>
        <w:t>4</w:t>
      </w:r>
      <w:r>
        <w:rPr>
          <w:rFonts w:hint="eastAsia"/>
        </w:rPr>
        <w:fldChar w:fldCharType="end"/>
      </w:r>
    </w:p>
    <w:p>
      <w:pPr>
        <w:pStyle w:val="11"/>
        <w:rPr>
          <w:rFonts w:ascii="仿宋" w:hAnsi="仿宋" w:eastAsia="仿宋"/>
          <w:sz w:val="28"/>
          <w:szCs w:val="28"/>
        </w:rPr>
      </w:pPr>
      <w:r>
        <w:fldChar w:fldCharType="begin"/>
      </w:r>
      <w:r>
        <w:instrText xml:space="preserve"> HYPERLINK \l "_Toc15396600" </w:instrText>
      </w:r>
      <w:r>
        <w:fldChar w:fldCharType="separate"/>
      </w:r>
      <w:r>
        <w:rPr>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"_Toc15396601" </w:instrText>
      </w:r>
      <w:r>
        <w:fldChar w:fldCharType="separate"/>
      </w:r>
      <w:r>
        <w:rPr>
          <w:rFonts w:hint="eastAsia" w:ascii="仿宋" w:hAnsi="仿宋" w:eastAsia="仿宋"/>
          <w:sz w:val="28"/>
          <w:szCs w:val="28"/>
        </w:rPr>
        <w:t>二、机构设置</w:t>
      </w:r>
      <w:r>
        <w:rPr>
          <w:rFonts w:ascii="仿宋" w:hAnsi="仿宋" w:eastAsia="仿宋"/>
          <w:sz w:val="28"/>
          <w:szCs w:val="28"/>
        </w:rPr>
        <w:tab/>
      </w:r>
      <w:r>
        <w:rPr>
          <w:rFonts w:hint="eastAsia" w:ascii="仿宋" w:hAnsi="仿宋" w:eastAsia="仿宋"/>
          <w:sz w:val="28"/>
          <w:szCs w:val="28"/>
        </w:rPr>
        <w:t>10</w:t>
      </w:r>
      <w:r>
        <w:rPr>
          <w:rFonts w:hint="eastAsia" w:ascii="仿宋" w:hAnsi="仿宋" w:eastAsia="仿宋"/>
          <w:sz w:val="28"/>
          <w:szCs w:val="28"/>
        </w:rPr>
        <w:fldChar w:fldCharType="end"/>
      </w:r>
    </w:p>
    <w:p>
      <w:pPr>
        <w:pStyle w:val="10"/>
        <w:spacing w:line="600" w:lineRule="exact"/>
      </w:pPr>
      <w:r>
        <w:fldChar w:fldCharType="begin"/>
      </w:r>
      <w:r>
        <w:instrText xml:space="preserve"> HYPERLINK \l "_Toc15396602" </w:instrText>
      </w:r>
      <w:r>
        <w:fldChar w:fldCharType="separate"/>
      </w:r>
      <w:r>
        <w:rPr>
          <w:rFonts w:hint="eastAsia"/>
        </w:rPr>
        <w:t>第二部分</w:t>
      </w:r>
      <w:r>
        <w:t xml:space="preserve"> </w:t>
      </w:r>
      <w:r>
        <w:rPr>
          <w:rFonts w:hint="eastAsia"/>
        </w:rPr>
        <w:t>2020年度部门决算情况说明</w:t>
      </w:r>
      <w:r>
        <w:tab/>
      </w:r>
      <w:r>
        <w:rPr>
          <w:rFonts w:hint="eastAsia"/>
        </w:rPr>
        <w:t>10</w:t>
      </w:r>
      <w:r>
        <w:rPr>
          <w:rFonts w:hint="eastAsia"/>
        </w:rPr>
        <w:fldChar w:fldCharType="end"/>
      </w:r>
    </w:p>
    <w:p>
      <w:pPr>
        <w:pStyle w:val="11"/>
        <w:rPr>
          <w:rFonts w:ascii="仿宋" w:hAnsi="仿宋" w:eastAsia="仿宋"/>
          <w:sz w:val="28"/>
          <w:szCs w:val="28"/>
        </w:rPr>
      </w:pPr>
      <w:r>
        <w:fldChar w:fldCharType="begin"/>
      </w:r>
      <w:r>
        <w:instrText xml:space="preserve"> HYPERLINK \l "_Toc15396603" </w:instrText>
      </w:r>
      <w:r>
        <w:fldChar w:fldCharType="separate"/>
      </w:r>
      <w:r>
        <w:rPr>
          <w:rFonts w:hint="eastAsia" w:ascii="仿宋" w:hAnsi="仿宋" w:eastAsia="仿宋"/>
          <w:sz w:val="28"/>
          <w:szCs w:val="28"/>
        </w:rPr>
        <w:t>一、收入支出决算总体情况说明</w:t>
      </w:r>
      <w:r>
        <w:rPr>
          <w:rFonts w:ascii="仿宋" w:hAnsi="仿宋" w:eastAsia="仿宋"/>
          <w:sz w:val="28"/>
          <w:szCs w:val="28"/>
        </w:rPr>
        <w:tab/>
      </w:r>
      <w:r>
        <w:rPr>
          <w:rFonts w:hint="eastAsia" w:ascii="仿宋" w:hAnsi="仿宋" w:eastAsia="仿宋"/>
          <w:sz w:val="28"/>
          <w:szCs w:val="28"/>
        </w:rPr>
        <w:t>10</w:t>
      </w:r>
      <w:r>
        <w:rPr>
          <w:rFonts w:hint="eastAsia"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"_Toc15396604" </w:instrText>
      </w:r>
      <w:r>
        <w:fldChar w:fldCharType="separate"/>
      </w:r>
      <w:r>
        <w:rPr>
          <w:rFonts w:hint="eastAsia" w:ascii="仿宋" w:hAnsi="仿宋" w:eastAsia="仿宋"/>
          <w:sz w:val="28"/>
          <w:szCs w:val="28"/>
        </w:rPr>
        <w:t>二、收入决算情况说明</w:t>
      </w:r>
      <w:r>
        <w:rPr>
          <w:rFonts w:ascii="仿宋" w:hAnsi="仿宋" w:eastAsia="仿宋"/>
          <w:sz w:val="28"/>
          <w:szCs w:val="28"/>
        </w:rPr>
        <w:tab/>
      </w:r>
      <w:r>
        <w:rPr>
          <w:rFonts w:hint="eastAsia" w:ascii="仿宋" w:hAnsi="仿宋" w:eastAsia="仿宋"/>
          <w:sz w:val="28"/>
          <w:szCs w:val="28"/>
        </w:rPr>
        <w:t>10</w:t>
      </w:r>
      <w:r>
        <w:rPr>
          <w:rFonts w:hint="eastAsia"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"_Toc15396605" </w:instrText>
      </w:r>
      <w:r>
        <w:fldChar w:fldCharType="separate"/>
      </w:r>
      <w:r>
        <w:rPr>
          <w:rFonts w:hint="eastAsia" w:ascii="仿宋" w:hAnsi="仿宋" w:eastAsia="仿宋"/>
          <w:sz w:val="28"/>
          <w:szCs w:val="28"/>
        </w:rPr>
        <w:t>三、支出决算情况说明</w:t>
      </w:r>
      <w:r>
        <w:rPr>
          <w:rFonts w:ascii="仿宋" w:hAnsi="仿宋" w:eastAsia="仿宋"/>
          <w:sz w:val="28"/>
          <w:szCs w:val="28"/>
        </w:rPr>
        <w:tab/>
      </w:r>
      <w:r>
        <w:rPr>
          <w:rFonts w:hint="eastAsia" w:ascii="仿宋" w:hAnsi="仿宋" w:eastAsia="仿宋"/>
          <w:sz w:val="28"/>
          <w:szCs w:val="28"/>
        </w:rPr>
        <w:t>10</w:t>
      </w:r>
      <w:r>
        <w:rPr>
          <w:rFonts w:hint="eastAsia"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"_Toc15396606" </w:instrText>
      </w:r>
      <w:r>
        <w:fldChar w:fldCharType="separate"/>
      </w:r>
      <w:r>
        <w:rPr>
          <w:rFonts w:hint="eastAsia" w:ascii="仿宋" w:hAnsi="仿宋" w:eastAsia="仿宋"/>
          <w:sz w:val="28"/>
          <w:szCs w:val="28"/>
        </w:rPr>
        <w:t>四、财政拨款收入支出决算总体情况说明</w:t>
      </w:r>
      <w:r>
        <w:rPr>
          <w:rFonts w:ascii="仿宋" w:hAnsi="仿宋" w:eastAsia="仿宋"/>
          <w:sz w:val="28"/>
          <w:szCs w:val="28"/>
        </w:rPr>
        <w:tab/>
      </w:r>
      <w:r>
        <w:rPr>
          <w:rFonts w:hint="eastAsia" w:ascii="仿宋" w:hAnsi="仿宋" w:eastAsia="仿宋"/>
          <w:sz w:val="28"/>
          <w:szCs w:val="28"/>
        </w:rPr>
        <w:t>10</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7"/>
          <w:rFonts w:hint="eastAsia" w:ascii="仿宋" w:hAnsi="仿宋" w:eastAsia="仿宋"/>
          <w:sz w:val="28"/>
          <w:szCs w:val="28"/>
        </w:rPr>
        <w:t>五、一</w:t>
      </w:r>
      <w:r>
        <w:rPr>
          <w:rStyle w:val="17"/>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end"/>
      </w:r>
      <w:r>
        <w:rPr>
          <w:rFonts w:hint="eastAsia"/>
          <w:sz w:val="28"/>
          <w:szCs w:val="28"/>
        </w:rPr>
        <w:t>11</w:t>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7"/>
          <w:rFonts w:hint="eastAsia" w:ascii="仿宋" w:hAnsi="仿宋" w:eastAsia="仿宋"/>
          <w:sz w:val="28"/>
          <w:szCs w:val="28"/>
        </w:rPr>
        <w:t>六、一</w:t>
      </w:r>
      <w:r>
        <w:rPr>
          <w:rStyle w:val="17"/>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end"/>
      </w:r>
      <w:r>
        <w:rPr>
          <w:rFonts w:hint="eastAsia"/>
          <w:sz w:val="28"/>
          <w:szCs w:val="28"/>
        </w:rPr>
        <w:t>12</w:t>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7"/>
          <w:rFonts w:hint="eastAsia" w:ascii="仿宋" w:hAnsi="仿宋" w:eastAsia="仿宋"/>
          <w:sz w:val="28"/>
          <w:szCs w:val="28"/>
        </w:rPr>
        <w:t>七、</w:t>
      </w:r>
      <w:r>
        <w:rPr>
          <w:rStyle w:val="17"/>
          <w:rFonts w:ascii="仿宋" w:hAnsi="仿宋" w:eastAsia="仿宋"/>
          <w:sz w:val="28"/>
          <w:szCs w:val="28"/>
        </w:rPr>
        <w:t>“</w:t>
      </w:r>
      <w:r>
        <w:rPr>
          <w:rStyle w:val="17"/>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hint="eastAsia" w:ascii="仿宋" w:hAnsi="仿宋" w:eastAsia="仿宋"/>
          <w:sz w:val="28"/>
          <w:szCs w:val="28"/>
        </w:rPr>
        <w:t>12</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7"/>
          <w:rFonts w:hint="eastAsia" w:ascii="仿宋" w:hAnsi="仿宋" w:eastAsia="仿宋"/>
          <w:sz w:val="28"/>
          <w:szCs w:val="28"/>
        </w:rPr>
        <w:t>八、</w:t>
      </w:r>
      <w:r>
        <w:rPr>
          <w:rStyle w:val="17"/>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w:t>
      </w:r>
      <w:r>
        <w:rPr>
          <w:rFonts w:ascii="仿宋" w:hAnsi="仿宋" w:eastAsia="仿宋"/>
          <w:sz w:val="28"/>
          <w:szCs w:val="28"/>
        </w:rPr>
        <w:fldChar w:fldCharType="end"/>
      </w:r>
      <w:r>
        <w:rPr>
          <w:rFonts w:ascii="仿宋" w:hAnsi="仿宋" w:eastAsia="仿宋"/>
          <w:sz w:val="28"/>
          <w:szCs w:val="28"/>
        </w:rPr>
        <w:fldChar w:fldCharType="end"/>
      </w:r>
      <w:r>
        <w:rPr>
          <w:rFonts w:hint="eastAsia"/>
          <w:sz w:val="28"/>
          <w:szCs w:val="28"/>
        </w:rPr>
        <w:t>4</w:t>
      </w:r>
    </w:p>
    <w:p>
      <w:pPr>
        <w:pStyle w:val="11"/>
        <w:rPr>
          <w:rFonts w:cstheme="minorBidi"/>
        </w:rPr>
      </w:pPr>
      <w:r>
        <w:fldChar w:fldCharType="begin"/>
      </w:r>
      <w:r>
        <w:instrText xml:space="preserve"> HYPERLINK \l "_Toc15396611" </w:instrText>
      </w:r>
      <w:r>
        <w:fldChar w:fldCharType="separate"/>
      </w:r>
      <w:r>
        <w:rPr>
          <w:rStyle w:val="17"/>
          <w:rFonts w:hint="eastAsia" w:ascii="仿宋" w:hAnsi="仿宋" w:eastAsia="仿宋" w:cstheme="majorBidi"/>
          <w:bCs/>
          <w:sz w:val="28"/>
          <w:szCs w:val="28"/>
        </w:rPr>
        <w:t>九、</w:t>
      </w:r>
      <w:r>
        <w:rPr>
          <w:rStyle w:val="17"/>
          <w:rFonts w:hint="eastAsia" w:ascii="仿宋" w:hAnsi="仿宋" w:eastAsia="仿宋"/>
          <w:sz w:val="28"/>
          <w:szCs w:val="28"/>
        </w:rPr>
        <w:t xml:space="preserve"> 国</w:t>
      </w:r>
      <w:r>
        <w:rPr>
          <w:rStyle w:val="17"/>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end"/>
      </w:r>
      <w:r>
        <w:rPr>
          <w:rFonts w:hint="eastAsia"/>
          <w:sz w:val="28"/>
          <w:szCs w:val="28"/>
        </w:rPr>
        <w:t>14</w:t>
      </w:r>
    </w:p>
    <w:p>
      <w:pPr>
        <w:pStyle w:val="11"/>
        <w:rPr>
          <w:rFonts w:cstheme="minorBidi"/>
        </w:rPr>
      </w:pPr>
      <w:r>
        <w:fldChar w:fldCharType="begin"/>
      </w:r>
      <w:r>
        <w:instrText xml:space="preserve"> HYPERLINK \l "_Toc15396612" </w:instrText>
      </w:r>
      <w:r>
        <w:fldChar w:fldCharType="separate"/>
      </w:r>
      <w:r>
        <w:rPr>
          <w:rStyle w:val="17"/>
          <w:rFonts w:hint="eastAsia" w:ascii="仿宋" w:hAnsi="仿宋" w:eastAsia="仿宋"/>
          <w:sz w:val="28"/>
          <w:szCs w:val="28"/>
        </w:rPr>
        <w:t>十</w:t>
      </w:r>
      <w:r>
        <w:rPr>
          <w:rStyle w:val="17"/>
          <w:rFonts w:hint="eastAsia" w:ascii="仿宋" w:hAnsi="仿宋" w:eastAsia="仿宋" w:cstheme="majorBidi"/>
          <w:bCs/>
          <w:sz w:val="28"/>
          <w:szCs w:val="28"/>
        </w:rPr>
        <w:t>、其他重要事项的情况说明</w:t>
      </w:r>
      <w:r>
        <w:rPr>
          <w:rFonts w:ascii="仿宋" w:hAnsi="仿宋" w:eastAsia="仿宋"/>
          <w:sz w:val="28"/>
          <w:szCs w:val="28"/>
        </w:rPr>
        <w:tab/>
      </w:r>
      <w:r>
        <w:rPr>
          <w:rFonts w:ascii="仿宋" w:hAnsi="仿宋" w:eastAsia="仿宋"/>
          <w:sz w:val="28"/>
          <w:szCs w:val="28"/>
        </w:rPr>
        <w:fldChar w:fldCharType="end"/>
      </w:r>
      <w:r>
        <w:rPr>
          <w:rFonts w:hint="eastAsia"/>
          <w:sz w:val="28"/>
          <w:szCs w:val="28"/>
        </w:rPr>
        <w:t>14</w:t>
      </w:r>
    </w:p>
    <w:p>
      <w:pPr>
        <w:pStyle w:val="10"/>
        <w:spacing w:line="600" w:lineRule="exact"/>
        <w:rPr>
          <w:rFonts w:cstheme="minorBidi"/>
        </w:rPr>
      </w:pPr>
      <w:r>
        <w:fldChar w:fldCharType="begin"/>
      </w:r>
      <w:r>
        <w:instrText xml:space="preserve"> HYPERLINK \l "_Toc15396613" </w:instrText>
      </w:r>
      <w:r>
        <w:fldChar w:fldCharType="separate"/>
      </w:r>
      <w:r>
        <w:rPr>
          <w:rStyle w:val="17"/>
          <w:rFonts w:hint="eastAsia"/>
          <w:bCs/>
          <w:kern w:val="44"/>
        </w:rPr>
        <w:t>第三部分</w:t>
      </w:r>
      <w:r>
        <w:rPr>
          <w:rStyle w:val="17"/>
          <w:rFonts w:hint="eastAsia"/>
        </w:rPr>
        <w:t xml:space="preserve"> 名</w:t>
      </w:r>
      <w:r>
        <w:rPr>
          <w:rStyle w:val="17"/>
          <w:rFonts w:hint="eastAsia"/>
          <w:bCs/>
          <w:kern w:val="44"/>
        </w:rPr>
        <w:t>词解释</w:t>
      </w:r>
      <w:r>
        <w:tab/>
      </w:r>
      <w:r>
        <w:fldChar w:fldCharType="end"/>
      </w:r>
      <w:r>
        <w:rPr>
          <w:rFonts w:hint="eastAsia"/>
        </w:rPr>
        <w:t>21</w:t>
      </w:r>
    </w:p>
    <w:p>
      <w:pPr>
        <w:pStyle w:val="10"/>
        <w:spacing w:line="600" w:lineRule="exact"/>
        <w:rPr>
          <w:rFonts w:cstheme="minorBidi"/>
        </w:rPr>
      </w:pPr>
      <w:r>
        <w:fldChar w:fldCharType="begin"/>
      </w:r>
      <w:r>
        <w:instrText xml:space="preserve"> HYPERLINK \l "_Toc15396614" </w:instrText>
      </w:r>
      <w:r>
        <w:fldChar w:fldCharType="separate"/>
      </w:r>
      <w:r>
        <w:rPr>
          <w:rStyle w:val="17"/>
          <w:rFonts w:hint="eastAsia"/>
        </w:rPr>
        <w:t>第</w:t>
      </w:r>
      <w:r>
        <w:rPr>
          <w:rStyle w:val="17"/>
          <w:rFonts w:hint="eastAsia"/>
          <w:bCs/>
          <w:kern w:val="44"/>
        </w:rPr>
        <w:t>四部分附件</w:t>
      </w:r>
      <w:r>
        <w:tab/>
      </w:r>
      <w:r>
        <w:rPr>
          <w:rFonts w:hint="eastAsia"/>
        </w:rPr>
        <w:t>2</w:t>
      </w:r>
      <w:r>
        <w:rPr>
          <w:rFonts w:hint="eastAsia"/>
        </w:rPr>
        <w:fldChar w:fldCharType="end"/>
      </w:r>
      <w:r>
        <w:rPr>
          <w:rFonts w:hint="eastAsia"/>
        </w:rPr>
        <w:t>4</w:t>
      </w:r>
    </w:p>
    <w:p>
      <w:pPr>
        <w:pStyle w:val="10"/>
        <w:spacing w:line="600" w:lineRule="exact"/>
        <w:rPr>
          <w:rFonts w:cstheme="minorBidi"/>
        </w:rPr>
      </w:pPr>
      <w:r>
        <w:fldChar w:fldCharType="begin"/>
      </w:r>
      <w:r>
        <w:instrText xml:space="preserve"> HYPERLINK \l "_Toc15396618" </w:instrText>
      </w:r>
      <w:r>
        <w:fldChar w:fldCharType="separate"/>
      </w:r>
      <w:r>
        <w:rPr>
          <w:rStyle w:val="17"/>
          <w:rFonts w:hint="eastAsia"/>
        </w:rPr>
        <w:t>第</w:t>
      </w:r>
      <w:r>
        <w:rPr>
          <w:rStyle w:val="17"/>
          <w:rFonts w:hint="eastAsia"/>
          <w:bCs/>
          <w:kern w:val="44"/>
        </w:rPr>
        <w:t>五部分附表</w:t>
      </w:r>
      <w:r>
        <w:tab/>
      </w:r>
      <w:r>
        <w:rPr>
          <w:rFonts w:hint="eastAsia"/>
        </w:rPr>
        <w:t>23</w:t>
      </w:r>
      <w:r>
        <w:rPr>
          <w:rFonts w:hint="eastAsia"/>
        </w:rP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7"/>
          <w:rFonts w:hint="eastAsia" w:ascii="仿宋" w:hAnsi="仿宋" w:eastAsia="仿宋"/>
          <w:sz w:val="28"/>
          <w:szCs w:val="28"/>
        </w:rPr>
        <w:t>收入支出决算总表</w:t>
      </w:r>
      <w:r>
        <w:rPr>
          <w:rFonts w:ascii="仿宋" w:hAnsi="仿宋" w:eastAsia="仿宋"/>
          <w:sz w:val="28"/>
          <w:szCs w:val="28"/>
        </w:rPr>
        <w:tab/>
      </w:r>
      <w:r>
        <w:rPr>
          <w:rFonts w:hint="eastAsia" w:ascii="仿宋" w:hAnsi="仿宋" w:eastAsia="仿宋"/>
          <w:sz w:val="28"/>
          <w:szCs w:val="28"/>
        </w:rPr>
        <w:t>24</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7"/>
          <w:rFonts w:hint="eastAsia" w:ascii="仿宋" w:hAnsi="仿宋" w:eastAsia="仿宋"/>
          <w:sz w:val="28"/>
          <w:szCs w:val="28"/>
        </w:rPr>
        <w:t>收入总表</w:t>
      </w:r>
      <w:r>
        <w:rPr>
          <w:rFonts w:ascii="仿宋" w:hAnsi="仿宋" w:eastAsia="仿宋"/>
          <w:sz w:val="28"/>
          <w:szCs w:val="28"/>
        </w:rPr>
        <w:tab/>
      </w:r>
      <w:r>
        <w:rPr>
          <w:rFonts w:hint="eastAsia" w:ascii="仿宋" w:hAnsi="仿宋" w:eastAsia="仿宋"/>
          <w:sz w:val="28"/>
          <w:szCs w:val="28"/>
        </w:rPr>
        <w:t>25</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7"/>
          <w:rFonts w:hint="eastAsia" w:ascii="仿宋" w:hAnsi="仿宋" w:eastAsia="仿宋"/>
          <w:sz w:val="28"/>
          <w:szCs w:val="28"/>
        </w:rPr>
        <w:t>支出总表</w:t>
      </w:r>
      <w:r>
        <w:rPr>
          <w:rFonts w:ascii="仿宋" w:hAnsi="仿宋" w:eastAsia="仿宋"/>
          <w:sz w:val="28"/>
          <w:szCs w:val="28"/>
        </w:rPr>
        <w:tab/>
      </w:r>
      <w:r>
        <w:rPr>
          <w:rFonts w:hint="eastAsia" w:ascii="仿宋" w:hAnsi="仿宋" w:eastAsia="仿宋"/>
          <w:sz w:val="28"/>
          <w:szCs w:val="28"/>
        </w:rPr>
        <w:t>26</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7"/>
          <w:rFonts w:hint="eastAsia" w:ascii="仿宋" w:hAnsi="仿宋" w:eastAsia="仿宋"/>
          <w:sz w:val="28"/>
          <w:szCs w:val="28"/>
        </w:rPr>
        <w:t>财政拨款收入支出决算总表</w:t>
      </w:r>
      <w:r>
        <w:rPr>
          <w:rFonts w:ascii="仿宋" w:hAnsi="仿宋" w:eastAsia="仿宋"/>
          <w:sz w:val="28"/>
          <w:szCs w:val="28"/>
        </w:rPr>
        <w:tab/>
      </w:r>
      <w:r>
        <w:rPr>
          <w:rFonts w:hint="eastAsia" w:ascii="仿宋" w:hAnsi="仿宋" w:eastAsia="仿宋"/>
          <w:sz w:val="28"/>
          <w:szCs w:val="28"/>
        </w:rPr>
        <w:t>27</w:t>
      </w:r>
      <w:r>
        <w:rPr>
          <w:rFonts w:hint="eastAsia"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8</w:t>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7"/>
          <w:rFonts w:hint="eastAsia" w:ascii="仿宋" w:hAnsi="仿宋" w:eastAsia="仿宋"/>
          <w:sz w:val="28"/>
          <w:szCs w:val="28"/>
        </w:rPr>
        <w:t>一般公共预算财政拨款支出决算表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9</w:t>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7"/>
          <w:rFonts w:hint="eastAsia" w:ascii="仿宋" w:hAnsi="仿宋" w:eastAsia="仿宋"/>
          <w:sz w:val="28"/>
          <w:szCs w:val="28"/>
        </w:rPr>
        <w:t>一般公共预算财政拨款支出决算明细表</w:t>
      </w:r>
      <w:r>
        <w:rPr>
          <w:rFonts w:ascii="仿宋" w:hAnsi="仿宋" w:eastAsia="仿宋"/>
          <w:sz w:val="28"/>
          <w:szCs w:val="28"/>
        </w:rPr>
        <w:tab/>
      </w:r>
      <w:r>
        <w:rPr>
          <w:rFonts w:hint="eastAsia" w:ascii="仿宋" w:hAnsi="仿宋" w:eastAsia="仿宋"/>
          <w:sz w:val="28"/>
          <w:szCs w:val="28"/>
        </w:rPr>
        <w:t>30</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7"/>
          <w:rFonts w:hint="eastAsia" w:ascii="仿宋" w:hAnsi="仿宋" w:eastAsia="仿宋"/>
          <w:sz w:val="28"/>
          <w:szCs w:val="28"/>
        </w:rPr>
        <w:t>一般公共预算财政拨款基本支出决算表</w:t>
      </w:r>
      <w:r>
        <w:rPr>
          <w:rFonts w:ascii="仿宋" w:hAnsi="仿宋" w:eastAsia="仿宋"/>
          <w:sz w:val="28"/>
          <w:szCs w:val="28"/>
        </w:rPr>
        <w:tab/>
      </w:r>
      <w:r>
        <w:rPr>
          <w:rFonts w:hint="eastAsia" w:ascii="仿宋" w:hAnsi="仿宋" w:eastAsia="仿宋"/>
          <w:sz w:val="28"/>
          <w:szCs w:val="28"/>
        </w:rPr>
        <w:t>31</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7"/>
          <w:rFonts w:hint="eastAsia" w:ascii="仿宋" w:hAnsi="仿宋" w:eastAsia="仿宋"/>
          <w:sz w:val="28"/>
          <w:szCs w:val="28"/>
        </w:rPr>
        <w:t>一般公共预算财政拨款项目支出决算表</w:t>
      </w:r>
      <w:r>
        <w:rPr>
          <w:rFonts w:ascii="仿宋" w:hAnsi="仿宋" w:eastAsia="仿宋"/>
          <w:sz w:val="28"/>
          <w:szCs w:val="28"/>
        </w:rPr>
        <w:tab/>
      </w:r>
      <w:r>
        <w:rPr>
          <w:rFonts w:hint="eastAsia" w:ascii="仿宋" w:hAnsi="仿宋" w:eastAsia="仿宋"/>
          <w:sz w:val="28"/>
          <w:szCs w:val="28"/>
        </w:rPr>
        <w:t>32</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7"/>
          <w:rFonts w:hint="eastAsia" w:ascii="仿宋" w:hAnsi="仿宋" w:eastAsia="仿宋"/>
          <w:sz w:val="28"/>
          <w:szCs w:val="28"/>
        </w:rPr>
        <w:t>一般公共预算财政拨款“三公”经费支出决算表</w:t>
      </w:r>
      <w:r>
        <w:rPr>
          <w:rFonts w:ascii="仿宋" w:hAnsi="仿宋" w:eastAsia="仿宋"/>
          <w:sz w:val="28"/>
          <w:szCs w:val="28"/>
        </w:rPr>
        <w:tab/>
      </w:r>
      <w:r>
        <w:rPr>
          <w:rFonts w:hint="eastAsia" w:ascii="仿宋" w:hAnsi="仿宋" w:eastAsia="仿宋"/>
          <w:sz w:val="28"/>
          <w:szCs w:val="28"/>
        </w:rPr>
        <w:t>33</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7"/>
          <w:rFonts w:hint="eastAsia" w:ascii="仿宋" w:hAnsi="仿宋" w:eastAsia="仿宋"/>
          <w:sz w:val="28"/>
          <w:szCs w:val="28"/>
        </w:rPr>
        <w:t>政府性基金预算财政拨款收入支出决算表</w:t>
      </w:r>
      <w:r>
        <w:rPr>
          <w:rFonts w:ascii="仿宋" w:hAnsi="仿宋" w:eastAsia="仿宋"/>
          <w:sz w:val="28"/>
          <w:szCs w:val="28"/>
        </w:rPr>
        <w:tab/>
      </w:r>
      <w:r>
        <w:rPr>
          <w:rFonts w:hint="eastAsia" w:ascii="仿宋" w:hAnsi="仿宋" w:eastAsia="仿宋"/>
          <w:sz w:val="28"/>
          <w:szCs w:val="28"/>
        </w:rPr>
        <w:t>34</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7"/>
          <w:rFonts w:hint="eastAsia" w:ascii="仿宋" w:hAnsi="仿宋" w:eastAsia="仿宋"/>
          <w:sz w:val="28"/>
          <w:szCs w:val="28"/>
        </w:rPr>
        <w:t>政府性基金预算财政拨款“三公”经费支出决算表</w:t>
      </w:r>
      <w:r>
        <w:rPr>
          <w:rFonts w:ascii="仿宋" w:hAnsi="仿宋" w:eastAsia="仿宋"/>
          <w:sz w:val="28"/>
          <w:szCs w:val="28"/>
        </w:rPr>
        <w:tab/>
      </w:r>
      <w:r>
        <w:rPr>
          <w:rFonts w:hint="eastAsia" w:ascii="仿宋" w:hAnsi="仿宋" w:eastAsia="仿宋"/>
          <w:sz w:val="28"/>
          <w:szCs w:val="28"/>
        </w:rPr>
        <w:t>35</w:t>
      </w:r>
      <w:r>
        <w:rPr>
          <w:rFonts w:hint="eastAsia"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7"/>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t>37</w:t>
      </w:r>
      <w:r>
        <w:rPr>
          <w:rFonts w:ascii="仿宋" w:hAnsi="仿宋" w:eastAsia="仿宋"/>
          <w:sz w:val="28"/>
          <w:szCs w:val="28"/>
        </w:rPr>
        <w:fldChar w:fldCharType="end"/>
      </w:r>
    </w:p>
    <w:p>
      <w:pPr>
        <w:widowControl/>
        <w:spacing w:line="600" w:lineRule="exact"/>
        <w:ind w:firstLine="720" w:firstLineChars="300"/>
        <w:rPr>
          <w:rStyle w:val="17"/>
          <w:rFonts w:ascii="仿宋" w:hAnsi="仿宋" w:eastAsia="仿宋"/>
          <w:color w:val="auto"/>
          <w:sz w:val="28"/>
          <w:szCs w:val="28"/>
          <w:u w:val="none"/>
        </w:rPr>
      </w:pPr>
      <w:r>
        <w:rPr>
          <w:rFonts w:ascii="仿宋" w:hAnsi="仿宋" w:eastAsia="仿宋"/>
          <w:color w:val="000000"/>
          <w:sz w:val="24"/>
        </w:rPr>
        <w:fldChar w:fldCharType="end"/>
      </w:r>
      <w:r>
        <w:rPr>
          <w:rFonts w:hint="eastAsia" w:ascii="仿宋" w:hAnsi="仿宋" w:eastAsia="仿宋"/>
          <w:sz w:val="32"/>
          <w:szCs w:val="32"/>
        </w:rPr>
        <w:t>十四、</w:t>
      </w:r>
      <w:r>
        <w:rPr>
          <w:rStyle w:val="17"/>
          <w:rFonts w:hint="eastAsia" w:ascii="仿宋" w:hAnsi="仿宋" w:eastAsia="仿宋"/>
          <w:color w:val="auto"/>
          <w:sz w:val="28"/>
          <w:szCs w:val="28"/>
          <w:u w:val="none"/>
        </w:rPr>
        <w:t>国有资本经营预算财政拨款收入支出决算表</w:t>
      </w:r>
      <w:r>
        <w:rPr>
          <w:rStyle w:val="17"/>
          <w:rFonts w:ascii="仿宋" w:hAnsi="仿宋" w:eastAsia="仿宋"/>
          <w:color w:val="auto"/>
          <w:sz w:val="28"/>
          <w:szCs w:val="28"/>
          <w:u w:val="none"/>
        </w:rPr>
        <w:t>.........36</w:t>
      </w:r>
    </w:p>
    <w:p>
      <w:pPr>
        <w:widowControl/>
        <w:spacing w:line="600" w:lineRule="exact"/>
        <w:jc w:val="center"/>
        <w:rPr>
          <w:rStyle w:val="26"/>
          <w:rFonts w:ascii="黑体" w:hAnsi="黑体" w:eastAsia="黑体"/>
        </w:rPr>
      </w:pPr>
      <w:bookmarkStart w:id="12" w:name="_Toc15396599"/>
      <w:bookmarkStart w:id="13" w:name="_Toc15377196"/>
      <w:r>
        <w:rPr>
          <w:rFonts w:ascii="仿宋" w:hAnsi="仿宋" w:eastAsia="仿宋"/>
          <w:sz w:val="32"/>
          <w:szCs w:val="32"/>
        </w:rPr>
        <w:br w:type="page"/>
      </w:r>
      <w:r>
        <w:rPr>
          <w:rFonts w:hint="eastAsia" w:ascii="黑体" w:hAnsi="黑体" w:eastAsia="黑体"/>
          <w:sz w:val="44"/>
          <w:szCs w:val="44"/>
        </w:rPr>
        <w:t xml:space="preserve">第一部分 </w:t>
      </w:r>
      <w:r>
        <w:rPr>
          <w:rStyle w:val="26"/>
          <w:rFonts w:hint="eastAsia" w:ascii="黑体" w:hAnsi="黑体" w:eastAsia="黑体"/>
        </w:rPr>
        <w:t>部门概况</w:t>
      </w:r>
      <w:bookmarkEnd w:id="12"/>
      <w:bookmarkEnd w:id="13"/>
    </w:p>
    <w:p>
      <w:pPr>
        <w:widowControl/>
        <w:spacing w:line="600" w:lineRule="exact"/>
        <w:jc w:val="center"/>
        <w:rPr>
          <w:rFonts w:ascii="黑体" w:eastAsia="黑体"/>
          <w:color w:val="000000"/>
          <w:sz w:val="44"/>
          <w:szCs w:val="44"/>
        </w:rPr>
      </w:pPr>
    </w:p>
    <w:p>
      <w:pPr>
        <w:pStyle w:val="12"/>
        <w:spacing w:line="600" w:lineRule="exact"/>
        <w:ind w:firstLine="629" w:firstLineChars="196"/>
        <w:jc w:val="both"/>
        <w:rPr>
          <w:rStyle w:val="27"/>
          <w:rFonts w:ascii="黑体" w:hAnsi="黑体" w:eastAsia="黑体"/>
        </w:rPr>
      </w:pPr>
      <w:bookmarkStart w:id="14" w:name="_Toc15377197"/>
      <w:bookmarkStart w:id="15" w:name="_Toc15396600"/>
      <w:r>
        <w:rPr>
          <w:rStyle w:val="27"/>
          <w:rFonts w:hint="eastAsia" w:ascii="黑体" w:hAnsi="黑体" w:eastAsia="黑体"/>
        </w:rPr>
        <w:t>一、基本职能及主要工作</w:t>
      </w:r>
      <w:bookmarkEnd w:id="14"/>
      <w:bookmarkEnd w:id="15"/>
    </w:p>
    <w:p>
      <w:pPr>
        <w:pStyle w:val="12"/>
        <w:spacing w:line="520" w:lineRule="exact"/>
        <w:ind w:firstLine="627" w:firstLineChars="196"/>
        <w:jc w:val="both"/>
        <w:rPr>
          <w:rFonts w:ascii="楷体" w:hAnsi="楷体" w:eastAsia="楷体"/>
          <w:bCs/>
          <w:color w:val="000000"/>
          <w:sz w:val="32"/>
          <w:szCs w:val="32"/>
        </w:rPr>
      </w:pPr>
      <w:r>
        <w:rPr>
          <w:rFonts w:hint="eastAsia" w:ascii="楷体" w:hAnsi="楷体" w:eastAsia="楷体"/>
          <w:bCs/>
          <w:color w:val="000000"/>
          <w:sz w:val="32"/>
          <w:szCs w:val="32"/>
        </w:rPr>
        <w:t>（一）主要职能</w:t>
      </w:r>
    </w:p>
    <w:p>
      <w:pPr>
        <w:pStyle w:val="12"/>
        <w:spacing w:line="520" w:lineRule="exact"/>
        <w:ind w:firstLine="640" w:firstLineChars="200"/>
        <w:jc w:val="both"/>
        <w:rPr>
          <w:rFonts w:ascii="黑体" w:hAnsi="黑体" w:eastAsia="黑体" w:cstheme="majorBidi"/>
          <w:b/>
          <w:bCs/>
          <w:kern w:val="2"/>
          <w:sz w:val="32"/>
          <w:szCs w:val="32"/>
        </w:rPr>
      </w:pPr>
      <w:r>
        <w:rPr>
          <w:rFonts w:hint="eastAsia" w:ascii="仿宋" w:hAnsi="仿宋" w:eastAsia="仿宋"/>
          <w:sz w:val="32"/>
          <w:szCs w:val="32"/>
        </w:rPr>
        <w:t>广元市</w:t>
      </w:r>
      <w:r>
        <w:rPr>
          <w:rFonts w:ascii="仿宋" w:hAnsi="仿宋" w:eastAsia="仿宋"/>
          <w:sz w:val="32"/>
          <w:szCs w:val="32"/>
        </w:rPr>
        <w:t>人民检察院是国家的法律监督机关,领导全</w:t>
      </w:r>
      <w:r>
        <w:rPr>
          <w:rFonts w:hint="eastAsia" w:ascii="仿宋" w:hAnsi="仿宋" w:eastAsia="仿宋"/>
          <w:sz w:val="32"/>
          <w:szCs w:val="32"/>
        </w:rPr>
        <w:t>市</w:t>
      </w:r>
      <w:r>
        <w:rPr>
          <w:rFonts w:ascii="仿宋" w:hAnsi="仿宋" w:eastAsia="仿宋"/>
          <w:sz w:val="32"/>
          <w:szCs w:val="32"/>
        </w:rPr>
        <w:t>检察工作,对</w:t>
      </w:r>
      <w:r>
        <w:rPr>
          <w:rFonts w:hint="eastAsia" w:ascii="仿宋" w:hAnsi="仿宋" w:eastAsia="仿宋"/>
          <w:sz w:val="32"/>
          <w:szCs w:val="32"/>
        </w:rPr>
        <w:t>市</w:t>
      </w:r>
      <w:r>
        <w:rPr>
          <w:rFonts w:ascii="仿宋" w:hAnsi="仿宋" w:eastAsia="仿宋"/>
          <w:sz w:val="32"/>
          <w:szCs w:val="32"/>
        </w:rPr>
        <w:t>人民代表大会及其常务委员会负责并报告工作。其主要职责是:依法行使检察权,按照最高人民检察院</w:t>
      </w:r>
      <w:r>
        <w:rPr>
          <w:rFonts w:hint="eastAsia" w:ascii="仿宋" w:hAnsi="仿宋" w:eastAsia="仿宋"/>
          <w:sz w:val="32"/>
          <w:szCs w:val="32"/>
        </w:rPr>
        <w:t>和省人民检察院</w:t>
      </w:r>
      <w:r>
        <w:rPr>
          <w:rFonts w:ascii="仿宋" w:hAnsi="仿宋" w:eastAsia="仿宋"/>
          <w:sz w:val="32"/>
          <w:szCs w:val="32"/>
        </w:rPr>
        <w:t>确定的工作方针,部署全</w:t>
      </w:r>
      <w:r>
        <w:rPr>
          <w:rFonts w:hint="eastAsia" w:ascii="仿宋" w:hAnsi="仿宋" w:eastAsia="仿宋"/>
          <w:sz w:val="32"/>
          <w:szCs w:val="32"/>
        </w:rPr>
        <w:t>市</w:t>
      </w:r>
      <w:r>
        <w:rPr>
          <w:rFonts w:ascii="仿宋" w:hAnsi="仿宋" w:eastAsia="仿宋"/>
          <w:sz w:val="32"/>
          <w:szCs w:val="32"/>
        </w:rPr>
        <w:t>检察工作任务</w:t>
      </w:r>
      <w:r>
        <w:rPr>
          <w:rFonts w:hint="eastAsia" w:ascii="仿宋" w:hAnsi="仿宋" w:eastAsia="仿宋"/>
          <w:sz w:val="32"/>
          <w:szCs w:val="32"/>
        </w:rPr>
        <w:t>；</w:t>
      </w:r>
      <w:r>
        <w:rPr>
          <w:rFonts w:ascii="仿宋" w:hAnsi="仿宋" w:eastAsia="仿宋"/>
          <w:sz w:val="32"/>
          <w:szCs w:val="32"/>
        </w:rPr>
        <w:t>领导全</w:t>
      </w:r>
      <w:r>
        <w:rPr>
          <w:rFonts w:hint="eastAsia" w:ascii="仿宋" w:hAnsi="仿宋" w:eastAsia="仿宋"/>
          <w:sz w:val="32"/>
          <w:szCs w:val="32"/>
        </w:rPr>
        <w:t>市</w:t>
      </w:r>
      <w:r>
        <w:rPr>
          <w:rFonts w:ascii="仿宋" w:hAnsi="仿宋" w:eastAsia="仿宋"/>
          <w:sz w:val="32"/>
          <w:szCs w:val="32"/>
        </w:rPr>
        <w:t>人民检察院的侦查工作以及对刑事犯罪案件的审查批捕(决定)逮捕、提起公诉等工作</w:t>
      </w:r>
      <w:r>
        <w:rPr>
          <w:rFonts w:hint="eastAsia" w:ascii="仿宋" w:hAnsi="仿宋" w:eastAsia="仿宋"/>
          <w:sz w:val="32"/>
          <w:szCs w:val="32"/>
        </w:rPr>
        <w:t>；</w:t>
      </w:r>
      <w:r>
        <w:rPr>
          <w:rFonts w:ascii="仿宋" w:hAnsi="仿宋" w:eastAsia="仿宋"/>
          <w:sz w:val="32"/>
          <w:szCs w:val="32"/>
        </w:rPr>
        <w:t>依法对刑事诉讼、民事审判和行政诉讼实行法律监督,依法向人民法院提起抗诉</w:t>
      </w:r>
      <w:r>
        <w:rPr>
          <w:rFonts w:hint="eastAsia" w:ascii="仿宋" w:hAnsi="仿宋" w:eastAsia="仿宋"/>
          <w:sz w:val="32"/>
          <w:szCs w:val="32"/>
        </w:rPr>
        <w:t>；</w:t>
      </w:r>
      <w:r>
        <w:rPr>
          <w:rFonts w:ascii="仿宋" w:hAnsi="仿宋" w:eastAsia="仿宋"/>
          <w:sz w:val="32"/>
          <w:szCs w:val="32"/>
        </w:rPr>
        <w:t>受理单位和个人的举报、控告、申诉以及犯罪嫌疑人的自首</w:t>
      </w:r>
      <w:r>
        <w:rPr>
          <w:rFonts w:hint="eastAsia" w:ascii="仿宋" w:hAnsi="仿宋" w:eastAsia="仿宋"/>
          <w:sz w:val="32"/>
          <w:szCs w:val="32"/>
        </w:rPr>
        <w:t>；</w:t>
      </w:r>
      <w:r>
        <w:rPr>
          <w:rFonts w:ascii="仿宋" w:hAnsi="仿宋" w:eastAsia="仿宋"/>
          <w:sz w:val="32"/>
          <w:szCs w:val="32"/>
        </w:rPr>
        <w:t>研究国家机关工作人员职务犯罪预防和全</w:t>
      </w:r>
      <w:r>
        <w:rPr>
          <w:rFonts w:hint="eastAsia" w:ascii="仿宋" w:hAnsi="仿宋" w:eastAsia="仿宋"/>
          <w:sz w:val="32"/>
          <w:szCs w:val="32"/>
        </w:rPr>
        <w:t>市</w:t>
      </w:r>
      <w:r>
        <w:rPr>
          <w:rFonts w:ascii="仿宋" w:hAnsi="仿宋" w:eastAsia="仿宋"/>
          <w:sz w:val="32"/>
          <w:szCs w:val="32"/>
        </w:rPr>
        <w:t>检察工作中的具体法律应用问题</w:t>
      </w:r>
      <w:r>
        <w:rPr>
          <w:rFonts w:hint="eastAsia" w:ascii="仿宋" w:hAnsi="仿宋" w:eastAsia="仿宋"/>
          <w:sz w:val="32"/>
          <w:szCs w:val="32"/>
        </w:rPr>
        <w:t>；</w:t>
      </w:r>
      <w:r>
        <w:rPr>
          <w:rFonts w:ascii="仿宋" w:hAnsi="仿宋" w:eastAsia="仿宋"/>
          <w:sz w:val="32"/>
          <w:szCs w:val="32"/>
        </w:rPr>
        <w:t>规划和指导全</w:t>
      </w:r>
      <w:r>
        <w:rPr>
          <w:rFonts w:hint="eastAsia" w:ascii="仿宋" w:hAnsi="仿宋" w:eastAsia="仿宋"/>
          <w:sz w:val="32"/>
          <w:szCs w:val="32"/>
        </w:rPr>
        <w:t>市</w:t>
      </w:r>
      <w:r>
        <w:rPr>
          <w:rFonts w:ascii="仿宋" w:hAnsi="仿宋" w:eastAsia="仿宋"/>
          <w:sz w:val="32"/>
          <w:szCs w:val="32"/>
        </w:rPr>
        <w:t>检察机关的检察技术、信息化和计划财务装备工作</w:t>
      </w:r>
      <w:r>
        <w:rPr>
          <w:rFonts w:hint="eastAsia" w:ascii="仿宋" w:hAnsi="仿宋" w:eastAsia="仿宋"/>
          <w:sz w:val="32"/>
          <w:szCs w:val="32"/>
        </w:rPr>
        <w:t>；</w:t>
      </w:r>
      <w:r>
        <w:rPr>
          <w:rFonts w:ascii="仿宋" w:hAnsi="仿宋" w:eastAsia="仿宋"/>
          <w:sz w:val="32"/>
          <w:szCs w:val="32"/>
        </w:rPr>
        <w:t>负责全</w:t>
      </w:r>
      <w:r>
        <w:rPr>
          <w:rFonts w:hint="eastAsia" w:ascii="仿宋" w:hAnsi="仿宋" w:eastAsia="仿宋"/>
          <w:sz w:val="32"/>
          <w:szCs w:val="32"/>
        </w:rPr>
        <w:t>市</w:t>
      </w:r>
      <w:r>
        <w:rPr>
          <w:rFonts w:ascii="仿宋" w:hAnsi="仿宋" w:eastAsia="仿宋"/>
          <w:sz w:val="32"/>
          <w:szCs w:val="32"/>
        </w:rPr>
        <w:t>检察机关的队伍建设、思想政治等工作</w:t>
      </w:r>
      <w:r>
        <w:rPr>
          <w:rFonts w:hint="eastAsia" w:ascii="仿宋" w:hAnsi="仿宋" w:eastAsia="仿宋"/>
          <w:sz w:val="32"/>
          <w:szCs w:val="32"/>
        </w:rPr>
        <w:t>；</w:t>
      </w:r>
      <w:r>
        <w:rPr>
          <w:rFonts w:ascii="仿宋" w:hAnsi="仿宋" w:eastAsia="仿宋"/>
          <w:sz w:val="32"/>
          <w:szCs w:val="32"/>
        </w:rPr>
        <w:t>负责其它应当由</w:t>
      </w:r>
      <w:r>
        <w:rPr>
          <w:rFonts w:hint="eastAsia" w:ascii="仿宋" w:hAnsi="仿宋" w:eastAsia="仿宋"/>
          <w:sz w:val="32"/>
          <w:szCs w:val="32"/>
        </w:rPr>
        <w:t>市</w:t>
      </w:r>
      <w:r>
        <w:rPr>
          <w:rFonts w:ascii="仿宋" w:hAnsi="仿宋" w:eastAsia="仿宋"/>
          <w:sz w:val="32"/>
          <w:szCs w:val="32"/>
        </w:rPr>
        <w:t>人民检察院承办的事项。</w:t>
      </w:r>
    </w:p>
    <w:p>
      <w:pPr>
        <w:pStyle w:val="5"/>
        <w:adjustRightInd w:val="0"/>
        <w:snapToGrid w:val="0"/>
        <w:spacing w:before="93" w:line="520" w:lineRule="exact"/>
        <w:ind w:firstLine="627" w:firstLineChars="196"/>
        <w:outlineLvl w:val="2"/>
        <w:rPr>
          <w:rFonts w:ascii="楷体" w:hAnsi="楷体" w:eastAsia="楷体"/>
          <w:bCs/>
          <w:color w:val="000000"/>
          <w:sz w:val="32"/>
          <w:szCs w:val="32"/>
        </w:rPr>
      </w:pPr>
      <w:bookmarkStart w:id="16" w:name="_Toc15377199"/>
      <w:bookmarkStart w:id="17" w:name="_Toc15378446"/>
      <w:r>
        <w:rPr>
          <w:rFonts w:hint="eastAsia" w:ascii="楷体" w:hAnsi="楷体" w:eastAsia="楷体"/>
          <w:bCs/>
          <w:color w:val="000000"/>
          <w:sz w:val="32"/>
          <w:szCs w:val="32"/>
        </w:rPr>
        <w:t>（二）</w:t>
      </w:r>
      <w:r>
        <w:rPr>
          <w:rFonts w:ascii="楷体" w:hAnsi="楷体" w:eastAsia="楷体"/>
          <w:bCs/>
          <w:color w:val="000000"/>
          <w:sz w:val="32"/>
          <w:szCs w:val="32"/>
        </w:rPr>
        <w:t>20</w:t>
      </w:r>
      <w:r>
        <w:rPr>
          <w:rFonts w:hint="eastAsia" w:ascii="楷体" w:hAnsi="楷体" w:eastAsia="楷体"/>
          <w:bCs/>
          <w:color w:val="000000"/>
          <w:sz w:val="32"/>
          <w:szCs w:val="32"/>
        </w:rPr>
        <w:t>20年重点工作完成情况</w:t>
      </w:r>
      <w:bookmarkEnd w:id="16"/>
      <w:bookmarkEnd w:id="17"/>
    </w:p>
    <w:p>
      <w:pPr>
        <w:pStyle w:val="12"/>
        <w:spacing w:line="520" w:lineRule="exact"/>
        <w:ind w:firstLine="640" w:firstLineChars="200"/>
        <w:jc w:val="both"/>
        <w:rPr>
          <w:rFonts w:ascii="仿宋" w:hAnsi="仿宋" w:eastAsia="仿宋"/>
          <w:sz w:val="32"/>
          <w:szCs w:val="32"/>
        </w:rPr>
      </w:pPr>
      <w:r>
        <w:rPr>
          <w:rFonts w:hint="eastAsia" w:ascii="仿宋" w:hAnsi="仿宋" w:eastAsia="仿宋"/>
          <w:sz w:val="32"/>
          <w:szCs w:val="32"/>
        </w:rPr>
        <w:t>市检察机关在市委和省检察院的坚强领导下，认真学习贯彻市委七届十一、十二次全会精神，以贯彻落实市委重大决策部署为主线，以满足人民群众法治需求为重点，以高度的政治自觉、法治自觉、检察自觉，充分履行刑事检察、民事检察、行政检察、公益诉讼检察职能，切实服务保障全市中心大局工作。7项工作被上级机关转发推广认可，11项工作得到省政府、省检察院、市四大班子领导批示肯定。</w:t>
      </w:r>
    </w:p>
    <w:p>
      <w:pPr>
        <w:tabs>
          <w:tab w:val="left" w:pos="5847"/>
        </w:tabs>
        <w:spacing w:line="520" w:lineRule="exact"/>
        <w:ind w:firstLine="640" w:firstLineChars="200"/>
        <w:rPr>
          <w:rFonts w:ascii="黑体" w:hAnsi="黑体" w:eastAsia="黑体"/>
          <w:sz w:val="32"/>
          <w:szCs w:val="32"/>
        </w:rPr>
      </w:pPr>
      <w:r>
        <w:rPr>
          <w:rFonts w:hint="eastAsia" w:ascii="黑体" w:hAnsi="黑体" w:eastAsia="黑体"/>
          <w:sz w:val="32"/>
          <w:szCs w:val="32"/>
        </w:rPr>
        <w:t>一、依法战疫服务“六稳”“六保”再添新措施</w:t>
      </w:r>
    </w:p>
    <w:p>
      <w:pPr>
        <w:tabs>
          <w:tab w:val="left" w:pos="5847"/>
        </w:tabs>
        <w:spacing w:line="520" w:lineRule="exact"/>
        <w:ind w:firstLine="640" w:firstLineChars="200"/>
        <w:rPr>
          <w:rFonts w:ascii="仿宋" w:hAnsi="仿宋" w:eastAsia="仿宋"/>
          <w:sz w:val="32"/>
          <w:szCs w:val="32"/>
        </w:rPr>
      </w:pPr>
      <w:r>
        <w:rPr>
          <w:rFonts w:hint="eastAsia" w:ascii="仿宋" w:hAnsi="仿宋" w:eastAsia="仿宋"/>
          <w:sz w:val="32"/>
          <w:szCs w:val="32"/>
        </w:rPr>
        <w:t>坚持一手抓疫情防控，一手抓检察办案，努力营造法治化营商环境。</w:t>
      </w:r>
    </w:p>
    <w:p>
      <w:pPr>
        <w:tabs>
          <w:tab w:val="left" w:pos="5847"/>
        </w:tabs>
        <w:spacing w:line="520" w:lineRule="exact"/>
        <w:ind w:firstLine="640" w:firstLineChars="200"/>
        <w:rPr>
          <w:rFonts w:ascii="仿宋" w:hAnsi="仿宋" w:eastAsia="仿宋"/>
          <w:sz w:val="32"/>
          <w:szCs w:val="32"/>
        </w:rPr>
      </w:pPr>
      <w:r>
        <w:rPr>
          <w:rFonts w:hint="eastAsia" w:ascii="仿宋" w:hAnsi="仿宋" w:eastAsia="仿宋"/>
          <w:sz w:val="32"/>
          <w:szCs w:val="32"/>
        </w:rPr>
        <w:t>打好疫情防控狙击战。认真贯彻“两高两部”《关于依法惩治妨害新型冠状病毒感染肺炎疫情防控违法犯罪的意见》，依法打击破坏疫情防控秩序犯罪，批捕8人，起诉7人。办理的张某某冒充军人招摇撞骗案入选全省检察机关办理妨害疫情防控案件典型案例。</w:t>
      </w:r>
    </w:p>
    <w:p>
      <w:pPr>
        <w:tabs>
          <w:tab w:val="left" w:pos="5847"/>
        </w:tabs>
        <w:spacing w:line="520" w:lineRule="exact"/>
        <w:ind w:firstLine="640" w:firstLineChars="200"/>
        <w:rPr>
          <w:rFonts w:ascii="仿宋" w:hAnsi="仿宋" w:eastAsia="仿宋"/>
          <w:sz w:val="32"/>
          <w:szCs w:val="32"/>
        </w:rPr>
      </w:pPr>
      <w:r>
        <w:rPr>
          <w:rFonts w:hint="eastAsia" w:ascii="仿宋" w:hAnsi="仿宋" w:eastAsia="仿宋"/>
          <w:sz w:val="32"/>
          <w:szCs w:val="32"/>
        </w:rPr>
        <w:t>依法助力复工复产。贯彻宽严相济刑事司法政策，对民营企业家能不捕的不捕，能不诉的不诉，能不判实刑的提出缓刑建议，尽最大努力维护企业正常生产经营秩序。对企业负责人或关键岗位管理人员不捕5人，不诉8人</w:t>
      </w:r>
      <w:r>
        <w:rPr>
          <w:rFonts w:ascii="仿宋" w:hAnsi="仿宋" w:eastAsia="仿宋"/>
          <w:sz w:val="32"/>
          <w:szCs w:val="32"/>
        </w:rPr>
        <w:t>。</w:t>
      </w:r>
    </w:p>
    <w:p>
      <w:pPr>
        <w:tabs>
          <w:tab w:val="left" w:pos="5847"/>
        </w:tabs>
        <w:spacing w:line="520" w:lineRule="exact"/>
        <w:ind w:firstLine="640" w:firstLineChars="200"/>
        <w:rPr>
          <w:rFonts w:ascii="仿宋" w:hAnsi="仿宋" w:eastAsia="仿宋"/>
          <w:sz w:val="32"/>
          <w:szCs w:val="32"/>
        </w:rPr>
      </w:pPr>
      <w:r>
        <w:rPr>
          <w:rFonts w:hint="eastAsia" w:ascii="仿宋" w:hAnsi="仿宋" w:eastAsia="仿宋"/>
          <w:sz w:val="32"/>
          <w:szCs w:val="32"/>
        </w:rPr>
        <w:t>更实举措服务“六稳”“六保”。树立“六稳”“六保”核心就是保企业的理念，与市工商联共同举办“护航民企检察开放日”活动，出台《服务“六稳”“六保”护航民企发展九条措施》，建立检察官联系商会、协会机制，制作检察官对接商会、协会工作手册，</w:t>
      </w:r>
      <w:r>
        <w:rPr>
          <w:rFonts w:hint="eastAsia" w:ascii="仿宋" w:hAnsi="仿宋" w:eastAsia="仿宋" w:cs="仿宋_GB2312"/>
          <w:sz w:val="32"/>
          <w:szCs w:val="32"/>
        </w:rPr>
        <w:t>市检察院31名检察官</w:t>
      </w:r>
      <w:r>
        <w:rPr>
          <w:rFonts w:hint="eastAsia" w:ascii="仿宋" w:hAnsi="仿宋" w:eastAsia="仿宋"/>
          <w:sz w:val="32"/>
          <w:szCs w:val="32"/>
        </w:rPr>
        <w:t>对接联系服务70家商协会，做到检察官对接联系全覆盖。</w:t>
      </w:r>
    </w:p>
    <w:p>
      <w:pPr>
        <w:tabs>
          <w:tab w:val="left" w:pos="5847"/>
        </w:tabs>
        <w:spacing w:line="520" w:lineRule="exact"/>
        <w:ind w:firstLine="640" w:firstLineChars="200"/>
        <w:rPr>
          <w:rFonts w:ascii="仿宋" w:hAnsi="仿宋" w:eastAsia="仿宋"/>
          <w:sz w:val="32"/>
          <w:szCs w:val="32"/>
        </w:rPr>
      </w:pPr>
      <w:r>
        <w:rPr>
          <w:rFonts w:hint="eastAsia" w:ascii="仿宋" w:hAnsi="仿宋" w:eastAsia="仿宋"/>
          <w:sz w:val="32"/>
          <w:szCs w:val="32"/>
        </w:rPr>
        <w:t>着力营造法治化营商环境。坚持法治是最好营商环境理念，开展涉民营企业刑事诉讼“挂案”专项清理和控告申诉案件清理专项活动，严厉打击破坏市场秩序，侵犯企业负责人及企业经营管理人员人身财产权利的犯罪，批捕6人，起诉27人。提请市人大专题审议履行检察职能优化营商环境工作情况，邀请市政协专题视察检察机关服务保障民营企业合法权益工作。</w:t>
      </w:r>
    </w:p>
    <w:p>
      <w:pPr>
        <w:spacing w:line="520" w:lineRule="exact"/>
        <w:ind w:firstLine="630"/>
        <w:rPr>
          <w:rFonts w:ascii="黑体" w:hAnsi="黑体" w:eastAsia="黑体"/>
          <w:sz w:val="32"/>
          <w:szCs w:val="32"/>
        </w:rPr>
      </w:pPr>
      <w:r>
        <w:rPr>
          <w:rFonts w:hint="eastAsia" w:ascii="黑体" w:hAnsi="黑体" w:eastAsia="黑体"/>
          <w:sz w:val="32"/>
          <w:szCs w:val="32"/>
        </w:rPr>
        <w:t>二、精准助力决战决胜脱贫攻坚获得新佳绩</w:t>
      </w:r>
    </w:p>
    <w:p>
      <w:pPr>
        <w:spacing w:line="520" w:lineRule="exact"/>
        <w:ind w:firstLine="630"/>
        <w:rPr>
          <w:rFonts w:ascii="仿宋" w:hAnsi="仿宋" w:eastAsia="仿宋"/>
          <w:sz w:val="32"/>
          <w:szCs w:val="32"/>
        </w:rPr>
      </w:pPr>
      <w:r>
        <w:rPr>
          <w:rFonts w:hint="eastAsia" w:ascii="仿宋" w:hAnsi="仿宋" w:eastAsia="仿宋"/>
          <w:sz w:val="32"/>
          <w:szCs w:val="32"/>
        </w:rPr>
        <w:t>始终把脱贫攻坚作为工作重点，坚持把精准服务脱贫攻坚与切实履行帮扶责任相结合，打好脱贫攻坚巩固提升战。</w:t>
      </w:r>
    </w:p>
    <w:p>
      <w:pPr>
        <w:spacing w:line="520" w:lineRule="exact"/>
        <w:ind w:firstLine="630"/>
        <w:rPr>
          <w:rFonts w:ascii="仿宋" w:hAnsi="仿宋" w:eastAsia="仿宋"/>
          <w:sz w:val="32"/>
          <w:szCs w:val="32"/>
        </w:rPr>
      </w:pPr>
      <w:r>
        <w:rPr>
          <w:rFonts w:hint="eastAsia" w:ascii="仿宋" w:hAnsi="仿宋" w:eastAsia="仿宋"/>
          <w:sz w:val="32"/>
          <w:szCs w:val="32"/>
        </w:rPr>
        <w:t>积极参与扶贫领域专项治理。严厉打击危害农村发展稳定、侵害进城务工人员和农村留守老人妇女儿童权益犯罪，批捕24人，起诉61人。认真落实“两高一部”关于扶贫领域涉案财物快速返还机制，让扶贫资金发挥最大效用。</w:t>
      </w:r>
    </w:p>
    <w:p>
      <w:pPr>
        <w:spacing w:line="520" w:lineRule="exact"/>
        <w:ind w:firstLine="630"/>
        <w:rPr>
          <w:rFonts w:ascii="仿宋" w:hAnsi="仿宋" w:eastAsia="仿宋"/>
          <w:sz w:val="32"/>
          <w:szCs w:val="32"/>
        </w:rPr>
      </w:pPr>
      <w:r>
        <w:rPr>
          <w:rFonts w:hint="eastAsia" w:ascii="仿宋" w:hAnsi="仿宋" w:eastAsia="仿宋"/>
          <w:sz w:val="32"/>
          <w:szCs w:val="32"/>
        </w:rPr>
        <w:t>扎实推进国家司法救助融入脱贫攻坚。通过“国家司法救助+扶贫”工作模式，对因案致贫、因案返贫的应救尽救，为65名贫困户、残疾人等发放救助金22.4万元。</w:t>
      </w:r>
    </w:p>
    <w:p>
      <w:pPr>
        <w:spacing w:line="520" w:lineRule="exact"/>
        <w:ind w:firstLine="630"/>
        <w:rPr>
          <w:rFonts w:ascii="仿宋" w:hAnsi="仿宋" w:eastAsia="仿宋"/>
          <w:sz w:val="32"/>
          <w:szCs w:val="32"/>
        </w:rPr>
      </w:pPr>
      <w:r>
        <w:rPr>
          <w:rFonts w:hint="eastAsia" w:ascii="仿宋" w:hAnsi="仿宋" w:eastAsia="仿宋"/>
          <w:sz w:val="32"/>
          <w:szCs w:val="32"/>
        </w:rPr>
        <w:t>切实履行脱贫攻坚帮扶责任。全市检察机关选派49名干警担任第一书记、驻村工作队员，395名干警直接联系帮扶18个贫困村（插花贫困村）1147户3791人，帮助硬化道路244.17公里，发展产业44个，人均收入由帮扶前的3409元上升到9982元，所有贫困村均实现脱贫。9个集体，32名干警获得党委政府表彰。市检察院张世海荣获全省脱贫攻坚“五个一”帮扶先进个人；</w:t>
      </w:r>
      <w:r>
        <w:rPr>
          <w:rFonts w:hint="eastAsia" w:ascii="仿宋" w:hAnsi="仿宋" w:eastAsia="仿宋" w:cs="仿宋"/>
          <w:sz w:val="32"/>
          <w:szCs w:val="32"/>
        </w:rPr>
        <w:t>苍溪检察院罗斌被省委省政府评为四川省优秀第一书记，并</w:t>
      </w:r>
      <w:r>
        <w:rPr>
          <w:rFonts w:hint="eastAsia" w:ascii="仿宋" w:hAnsi="仿宋" w:eastAsia="仿宋"/>
          <w:sz w:val="32"/>
          <w:szCs w:val="32"/>
        </w:rPr>
        <w:t>在全省检察机关脱贫攻坚典型事迹报告会上作经验交流发言。市检察院被市委市政府评为先进帮扶单位</w:t>
      </w:r>
      <w:r>
        <w:rPr>
          <w:rFonts w:hint="eastAsia" w:ascii="仿宋" w:hAnsi="仿宋" w:eastAsia="仿宋" w:cs="仿宋"/>
          <w:sz w:val="32"/>
          <w:szCs w:val="32"/>
        </w:rPr>
        <w:t>。</w:t>
      </w:r>
    </w:p>
    <w:p>
      <w:pPr>
        <w:tabs>
          <w:tab w:val="left" w:pos="5847"/>
        </w:tabs>
        <w:spacing w:line="520" w:lineRule="exact"/>
        <w:ind w:firstLine="640" w:firstLineChars="200"/>
        <w:rPr>
          <w:rFonts w:ascii="黑体" w:hAnsi="黑体" w:eastAsia="黑体"/>
          <w:sz w:val="32"/>
          <w:szCs w:val="32"/>
        </w:rPr>
      </w:pPr>
      <w:r>
        <w:rPr>
          <w:rFonts w:hint="eastAsia" w:ascii="黑体" w:hAnsi="黑体" w:eastAsia="黑体"/>
          <w:sz w:val="32"/>
          <w:szCs w:val="32"/>
        </w:rPr>
        <w:t>三、担当作为扫黑除恶专项斗争夺得新战果</w:t>
      </w:r>
    </w:p>
    <w:p>
      <w:pPr>
        <w:tabs>
          <w:tab w:val="left" w:pos="5847"/>
        </w:tabs>
        <w:spacing w:line="520" w:lineRule="exact"/>
        <w:ind w:firstLine="640" w:firstLineChars="200"/>
        <w:rPr>
          <w:rFonts w:ascii="仿宋" w:hAnsi="仿宋" w:eastAsia="仿宋"/>
          <w:sz w:val="32"/>
          <w:szCs w:val="32"/>
        </w:rPr>
      </w:pPr>
      <w:r>
        <w:rPr>
          <w:rFonts w:hint="eastAsia" w:ascii="仿宋" w:hAnsi="仿宋" w:eastAsia="仿宋"/>
          <w:sz w:val="32"/>
          <w:szCs w:val="32"/>
        </w:rPr>
        <w:t>坚持以“六清”行动为重点，统筹全市办案力量，集中攻坚，加快节奏，奋力夺取扫黑除恶专项斗争更大战果。扫黑除恶专项斗争工作获省检察院冯键检察长批示肯定。</w:t>
      </w:r>
    </w:p>
    <w:p>
      <w:pPr>
        <w:tabs>
          <w:tab w:val="left" w:pos="5847"/>
        </w:tabs>
        <w:spacing w:line="520" w:lineRule="exact"/>
        <w:ind w:firstLine="640" w:firstLineChars="200"/>
        <w:rPr>
          <w:rFonts w:ascii="仿宋" w:hAnsi="仿宋" w:eastAsia="仿宋"/>
          <w:sz w:val="32"/>
          <w:szCs w:val="32"/>
        </w:rPr>
      </w:pPr>
      <w:r>
        <w:rPr>
          <w:rFonts w:hint="eastAsia" w:ascii="仿宋" w:hAnsi="仿宋" w:eastAsia="仿宋"/>
          <w:sz w:val="32"/>
          <w:szCs w:val="32"/>
        </w:rPr>
        <w:t>加大办案攻坚</w:t>
      </w:r>
      <w:bookmarkStart w:id="18" w:name="OLE_LINK3"/>
      <w:r>
        <w:rPr>
          <w:rFonts w:hint="eastAsia" w:ascii="仿宋" w:hAnsi="仿宋" w:eastAsia="仿宋"/>
          <w:sz w:val="32"/>
          <w:szCs w:val="32"/>
        </w:rPr>
        <w:t>。充分发挥检察一体化办案优势，统一调配辖区检察官集中办理了全国扫黑办挂牌督办的刘明涉黑案，省检察院、省公安厅挂牌督办的杨佳、罗熙等7件涉黑案件，批捕3人，起诉24人，所有涉黑涉恶案件在检察环节全部“清零”。</w:t>
      </w:r>
    </w:p>
    <w:bookmarkEnd w:id="18"/>
    <w:p>
      <w:pPr>
        <w:tabs>
          <w:tab w:val="left" w:pos="5847"/>
        </w:tabs>
        <w:spacing w:line="520" w:lineRule="exact"/>
        <w:ind w:firstLine="640" w:firstLineChars="200"/>
        <w:rPr>
          <w:rFonts w:ascii="仿宋" w:hAnsi="仿宋" w:eastAsia="仿宋"/>
          <w:sz w:val="32"/>
          <w:szCs w:val="32"/>
        </w:rPr>
      </w:pPr>
      <w:r>
        <w:rPr>
          <w:rFonts w:hint="eastAsia" w:ascii="仿宋" w:hAnsi="仿宋" w:eastAsia="仿宋"/>
          <w:sz w:val="32"/>
          <w:szCs w:val="32"/>
        </w:rPr>
        <w:t>铲除黑恶滋生土壤。严厉打击黑恶犯罪背后的“关系网”“保护伞”，移送“保护伞”线索16条，起诉3人。坚决摧毁黑恶势力犯罪经济基础，对所有涉黑恶案件提出财产刑量刑建议。</w:t>
      </w:r>
    </w:p>
    <w:p>
      <w:pPr>
        <w:tabs>
          <w:tab w:val="left" w:pos="5847"/>
        </w:tabs>
        <w:spacing w:line="520" w:lineRule="exact"/>
        <w:ind w:firstLine="640" w:firstLineChars="200"/>
        <w:rPr>
          <w:rFonts w:ascii="仿宋" w:hAnsi="仿宋" w:eastAsia="仿宋"/>
          <w:sz w:val="32"/>
          <w:szCs w:val="32"/>
        </w:rPr>
      </w:pPr>
      <w:r>
        <w:rPr>
          <w:rFonts w:hint="eastAsia" w:ascii="仿宋" w:hAnsi="仿宋" w:eastAsia="仿宋"/>
          <w:sz w:val="32"/>
          <w:szCs w:val="32"/>
        </w:rPr>
        <w:t>坚持标本兼治。聚焦“行业清源”，向交通、教育等部门发出检察建议30件，帮助完善机制堵塞漏洞。检察建议提出比例、回复率、整改率率先在全省检察机关实现100%，相关工作做法被省委扫黑办转发认可。全市检察机关为广元扫黑除恶工作做出贡献，目前，正在接受中央媒体采访报道。</w:t>
      </w:r>
    </w:p>
    <w:p>
      <w:pPr>
        <w:tabs>
          <w:tab w:val="left" w:pos="5847"/>
        </w:tabs>
        <w:spacing w:line="520" w:lineRule="exact"/>
        <w:ind w:firstLine="640" w:firstLineChars="200"/>
        <w:rPr>
          <w:rFonts w:ascii="黑体" w:hAnsi="黑体" w:eastAsia="黑体"/>
          <w:sz w:val="32"/>
          <w:szCs w:val="32"/>
        </w:rPr>
      </w:pPr>
      <w:r>
        <w:rPr>
          <w:rFonts w:hint="eastAsia" w:ascii="黑体" w:hAnsi="黑体" w:eastAsia="黑体"/>
          <w:sz w:val="32"/>
          <w:szCs w:val="32"/>
        </w:rPr>
        <w:t>四、护航生态康养旅游名市建设实现新发展</w:t>
      </w:r>
    </w:p>
    <w:p>
      <w:pPr>
        <w:tabs>
          <w:tab w:val="left" w:pos="5847"/>
        </w:tabs>
        <w:spacing w:line="520" w:lineRule="exact"/>
        <w:ind w:firstLine="640" w:firstLineChars="200"/>
        <w:rPr>
          <w:rFonts w:ascii="仿宋" w:hAnsi="仿宋" w:eastAsia="仿宋"/>
          <w:sz w:val="32"/>
          <w:szCs w:val="32"/>
        </w:rPr>
      </w:pPr>
      <w:r>
        <w:rPr>
          <w:rFonts w:hint="eastAsia" w:ascii="仿宋" w:hAnsi="仿宋" w:eastAsia="仿宋"/>
          <w:sz w:val="32"/>
          <w:szCs w:val="32"/>
        </w:rPr>
        <w:t>内设机构改革后，设立公益诉讼检察工作职能部门，专门办理损害国家利益和社会公共利益的案件。围绕打造川陕甘结合部区域中心城市目标，开展“公益诉讼守护美好生活”专项活动，提升城市生活品质。市检察院在川渝滇黔四省（市）人民检察院工作会议上作公益诉讼工作经验交流发言。</w:t>
      </w:r>
    </w:p>
    <w:p>
      <w:pPr>
        <w:tabs>
          <w:tab w:val="left" w:pos="5847"/>
        </w:tabs>
        <w:spacing w:line="520" w:lineRule="exact"/>
        <w:ind w:firstLine="640" w:firstLineChars="200"/>
        <w:rPr>
          <w:rFonts w:ascii="仿宋" w:hAnsi="仿宋" w:eastAsia="仿宋"/>
          <w:sz w:val="32"/>
          <w:szCs w:val="32"/>
        </w:rPr>
      </w:pPr>
      <w:r>
        <w:rPr>
          <w:rFonts w:hint="eastAsia" w:ascii="仿宋" w:hAnsi="仿宋" w:eastAsia="仿宋"/>
          <w:sz w:val="32"/>
          <w:szCs w:val="32"/>
        </w:rPr>
        <w:t>保护好成渝地区生态康养“后花园”。开展野生动植物保护、</w:t>
      </w:r>
      <w:r>
        <w:rPr>
          <w:rFonts w:ascii="仿宋" w:hAnsi="仿宋" w:eastAsia="仿宋"/>
          <w:sz w:val="32"/>
          <w:szCs w:val="32"/>
        </w:rPr>
        <w:t>保障千家万户舌尖上的安全</w:t>
      </w:r>
      <w:r>
        <w:rPr>
          <w:rFonts w:hint="eastAsia" w:ascii="仿宋" w:hAnsi="仿宋" w:eastAsia="仿宋"/>
          <w:sz w:val="32"/>
          <w:szCs w:val="32"/>
        </w:rPr>
        <w:t>、城市“二次供水”、乡村食品小作坊等专项监督活动，发出诉前检察建议40件。相关做法被省检察院官方微信公众号、最高检《公益诉讼头条》转发推广。</w:t>
      </w:r>
    </w:p>
    <w:p>
      <w:pPr>
        <w:tabs>
          <w:tab w:val="left" w:pos="5847"/>
        </w:tabs>
        <w:spacing w:line="520" w:lineRule="exact"/>
        <w:ind w:firstLine="640" w:firstLineChars="200"/>
        <w:rPr>
          <w:rFonts w:ascii="仿宋" w:hAnsi="仿宋" w:eastAsia="仿宋"/>
          <w:sz w:val="32"/>
          <w:szCs w:val="32"/>
        </w:rPr>
      </w:pPr>
      <w:r>
        <w:rPr>
          <w:rFonts w:hint="eastAsia" w:ascii="仿宋" w:hAnsi="仿宋" w:eastAsia="仿宋"/>
          <w:sz w:val="32"/>
          <w:szCs w:val="32"/>
        </w:rPr>
        <w:t>守护好广元旅游名片。围绕“剑门蜀道、女皇故里、熊猫家园、红色广元”品牌，坚持“双赢共赢多赢” 理念，办理了剑阁古树名木资源保护、昭化古城文物保护等公益诉讼案件，携手保护我市旅游资源。青川县院办理的大熊猫国家公园生态资源保护公益诉讼案，入选渝川滇黔藏青六省（区、市）长江上游生态环境保护检察协作联席会议四川典型案例,并作为省检察院参阅案例向省人大代表推送。</w:t>
      </w:r>
    </w:p>
    <w:p>
      <w:pPr>
        <w:tabs>
          <w:tab w:val="left" w:pos="5847"/>
        </w:tabs>
        <w:spacing w:line="520" w:lineRule="exact"/>
        <w:ind w:firstLine="640" w:firstLineChars="200"/>
        <w:rPr>
          <w:rFonts w:ascii="仿宋" w:hAnsi="仿宋" w:eastAsia="仿宋"/>
          <w:sz w:val="32"/>
          <w:szCs w:val="32"/>
        </w:rPr>
      </w:pPr>
      <w:r>
        <w:rPr>
          <w:rFonts w:hint="eastAsia" w:ascii="仿宋" w:hAnsi="仿宋" w:eastAsia="仿宋"/>
          <w:sz w:val="32"/>
          <w:szCs w:val="32"/>
        </w:rPr>
        <w:t>爱护好红色遗址遗迹。加强红色革命遗址遗迹保护，全面摸排红军长征革命文物保护情况，办理了青川房石烈士陵园管理、旺苍木门会议遗址保护公益诉讼案，推进旺苍县人大开展文物保护与利用情况专项调研，促使相关单位拨付专项经费修缮设施设备，聘用专职安全管理员保护遗址安全。</w:t>
      </w:r>
    </w:p>
    <w:p>
      <w:pPr>
        <w:tabs>
          <w:tab w:val="left" w:pos="5847"/>
        </w:tabs>
        <w:spacing w:line="520" w:lineRule="exact"/>
        <w:ind w:firstLine="640" w:firstLineChars="200"/>
        <w:rPr>
          <w:rFonts w:ascii="仿宋" w:hAnsi="仿宋" w:eastAsia="仿宋"/>
          <w:sz w:val="32"/>
          <w:szCs w:val="32"/>
        </w:rPr>
      </w:pPr>
      <w:r>
        <w:rPr>
          <w:rFonts w:hint="eastAsia" w:ascii="仿宋" w:hAnsi="仿宋" w:eastAsia="仿宋"/>
          <w:sz w:val="32"/>
          <w:szCs w:val="32"/>
        </w:rPr>
        <w:t>维护好嘉陵江上游生态安全。构建联防联治工作机制，强化区域协作，与重庆、陕西、南充等省市检察院建立协作配合机制，携手保护嘉陵江流域、米仓山腹地、唐家河国家级自然保护区生态环境，筑牢嘉陵江上游生态安全屏障。</w:t>
      </w:r>
    </w:p>
    <w:p>
      <w:pPr>
        <w:tabs>
          <w:tab w:val="left" w:pos="5847"/>
        </w:tabs>
        <w:spacing w:line="520" w:lineRule="exact"/>
        <w:ind w:firstLine="640" w:firstLineChars="200"/>
        <w:rPr>
          <w:rFonts w:ascii="黑体" w:hAnsi="黑体" w:eastAsia="黑体"/>
          <w:sz w:val="32"/>
          <w:szCs w:val="32"/>
        </w:rPr>
      </w:pPr>
      <w:r>
        <w:rPr>
          <w:rFonts w:hint="eastAsia" w:ascii="黑体" w:hAnsi="黑体" w:eastAsia="黑体"/>
          <w:sz w:val="32"/>
          <w:szCs w:val="32"/>
        </w:rPr>
        <w:t>五、惩治犯罪维护社会安全稳定收到新成效</w:t>
      </w:r>
    </w:p>
    <w:p>
      <w:pPr>
        <w:tabs>
          <w:tab w:val="left" w:pos="5847"/>
        </w:tabs>
        <w:spacing w:line="520" w:lineRule="exact"/>
        <w:ind w:firstLine="640" w:firstLineChars="200"/>
        <w:rPr>
          <w:rFonts w:ascii="仿宋" w:hAnsi="仿宋" w:eastAsia="仿宋"/>
          <w:sz w:val="32"/>
          <w:szCs w:val="32"/>
        </w:rPr>
      </w:pPr>
      <w:r>
        <w:rPr>
          <w:rFonts w:hint="eastAsia" w:ascii="仿宋" w:hAnsi="仿宋" w:eastAsia="仿宋"/>
          <w:sz w:val="32"/>
          <w:szCs w:val="32"/>
        </w:rPr>
        <w:t>发挥刑法威慑作用，保持打击各类刑事犯罪的高压态势，营造安全稳定的社会环境，切实增强人民群众的获得感、幸福感、安全感。共批捕各类犯罪嫌疑人585人，起诉1756人。</w:t>
      </w:r>
    </w:p>
    <w:p>
      <w:pPr>
        <w:tabs>
          <w:tab w:val="left" w:pos="5847"/>
        </w:tabs>
        <w:spacing w:line="520" w:lineRule="exact"/>
        <w:ind w:firstLine="640" w:firstLineChars="200"/>
        <w:rPr>
          <w:rFonts w:ascii="仿宋" w:hAnsi="仿宋" w:eastAsia="仿宋"/>
          <w:sz w:val="32"/>
          <w:szCs w:val="32"/>
        </w:rPr>
      </w:pPr>
      <w:r>
        <w:rPr>
          <w:rFonts w:hint="eastAsia" w:ascii="仿宋" w:hAnsi="仿宋" w:eastAsia="仿宋"/>
          <w:sz w:val="32"/>
          <w:szCs w:val="32"/>
        </w:rPr>
        <w:t>着眼维护政治安全。坚持国家总体安全观，实行涉政类案件指导督办，严厉打击暴恐、邪教等犯罪，批捕1人，起诉3人。</w:t>
      </w:r>
    </w:p>
    <w:p>
      <w:pPr>
        <w:tabs>
          <w:tab w:val="left" w:pos="5847"/>
        </w:tabs>
        <w:spacing w:line="520" w:lineRule="exact"/>
        <w:ind w:firstLine="640" w:firstLineChars="200"/>
        <w:rPr>
          <w:rFonts w:ascii="仿宋" w:hAnsi="仿宋" w:eastAsia="仿宋"/>
          <w:sz w:val="32"/>
          <w:szCs w:val="32"/>
        </w:rPr>
      </w:pPr>
      <w:r>
        <w:rPr>
          <w:rFonts w:hint="eastAsia" w:ascii="仿宋" w:hAnsi="仿宋" w:eastAsia="仿宋"/>
          <w:sz w:val="32"/>
          <w:szCs w:val="32"/>
        </w:rPr>
        <w:t>着眼维护社会公共安全。严厉打击放火、故意杀人、故意伤害、抢劫等严重暴力犯罪，批捕137人，起诉255人。</w:t>
      </w:r>
    </w:p>
    <w:p>
      <w:pPr>
        <w:tabs>
          <w:tab w:val="left" w:pos="5847"/>
        </w:tabs>
        <w:spacing w:line="520" w:lineRule="exact"/>
        <w:ind w:firstLine="640" w:firstLineChars="200"/>
        <w:rPr>
          <w:rFonts w:ascii="仿宋" w:hAnsi="仿宋" w:eastAsia="仿宋"/>
          <w:sz w:val="32"/>
          <w:szCs w:val="32"/>
        </w:rPr>
      </w:pPr>
      <w:r>
        <w:rPr>
          <w:rFonts w:hint="eastAsia" w:ascii="仿宋" w:hAnsi="仿宋" w:eastAsia="仿宋"/>
          <w:sz w:val="32"/>
          <w:szCs w:val="32"/>
        </w:rPr>
        <w:t>着眼维护金融安全。打好防范化解重大风险攻坚战，</w:t>
      </w:r>
      <w:r>
        <w:rPr>
          <w:rFonts w:hint="eastAsia" w:ascii="仿宋" w:hAnsi="仿宋" w:eastAsia="仿宋" w:cs="仿宋"/>
          <w:sz w:val="32"/>
          <w:szCs w:val="32"/>
        </w:rPr>
        <w:t>积极参与投融资领域专项治理，依法打击非法吸收公众存款、骗取贷款等涉众型经济犯罪，批捕4人，起诉30人。</w:t>
      </w:r>
      <w:r>
        <w:rPr>
          <w:rFonts w:hint="eastAsia" w:ascii="仿宋" w:hAnsi="仿宋" w:eastAsia="仿宋"/>
          <w:sz w:val="32"/>
          <w:szCs w:val="32"/>
        </w:rPr>
        <w:t>尽最大努力追赃挽损，为“弘道文化”等非法集资案集资参与人挽回损失989万元，守住群众“钱袋子”。</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六、聚焦民生实事联系服务群众取得新实效</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践行人民为中心的发展思想，以办好人民群众身边“小案”为着力点，让人民群众在每一起司法案件中感受到公平正义。</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建立群众来信件件有回复制度。实行群众来信来访“七日内程序性回复，三个月内办理结果或过程”答复制度，</w:t>
      </w:r>
      <w:r>
        <w:rPr>
          <w:rFonts w:hint="eastAsia" w:ascii="仿宋" w:hAnsi="仿宋" w:eastAsia="仿宋" w:cs="宋体"/>
          <w:kern w:val="0"/>
          <w:sz w:val="32"/>
          <w:szCs w:val="32"/>
        </w:rPr>
        <w:t>开展信访积案化解专项行动，</w:t>
      </w:r>
      <w:r>
        <w:rPr>
          <w:rFonts w:hint="eastAsia" w:ascii="仿宋" w:hAnsi="仿宋" w:eastAsia="仿宋"/>
          <w:sz w:val="32"/>
          <w:szCs w:val="32"/>
        </w:rPr>
        <w:t>受理各类信访举报案件484件</w:t>
      </w:r>
      <w:r>
        <w:rPr>
          <w:rFonts w:hint="eastAsia" w:ascii="仿宋" w:hAnsi="仿宋" w:eastAsia="仿宋" w:cs="宋体"/>
          <w:kern w:val="0"/>
          <w:sz w:val="32"/>
          <w:szCs w:val="32"/>
        </w:rPr>
        <w:t>，所有案件均做到件件有回复。</w:t>
      </w:r>
    </w:p>
    <w:p>
      <w:pPr>
        <w:spacing w:line="520" w:lineRule="exact"/>
        <w:ind w:firstLine="640" w:firstLineChars="200"/>
        <w:rPr>
          <w:rFonts w:ascii="仿宋" w:hAnsi="仿宋" w:eastAsia="仿宋" w:cs="仿宋_GB2312"/>
          <w:sz w:val="32"/>
          <w:szCs w:val="32"/>
        </w:rPr>
      </w:pPr>
      <w:r>
        <w:rPr>
          <w:rFonts w:hint="eastAsia" w:ascii="仿宋" w:hAnsi="仿宋" w:eastAsia="仿宋"/>
          <w:sz w:val="32"/>
          <w:szCs w:val="32"/>
        </w:rPr>
        <w:t>建立化解纠纷减少诉累工作制度。制定《民事检察和解息诉暂行办法（试行）》，通过公开听证和公开答复，让人民群众以看得见的方式感受公平正义。开展民事和解工作65次，对不支持监督申请决定案件公开听证和公开答复7件（次），促成当事人息诉罢访5件。</w:t>
      </w:r>
      <w:r>
        <w:rPr>
          <w:rFonts w:hint="eastAsia" w:ascii="仿宋" w:hAnsi="仿宋" w:eastAsia="仿宋" w:cs="仿宋_GB2312"/>
          <w:sz w:val="32"/>
          <w:szCs w:val="32"/>
        </w:rPr>
        <w:t>市检察院在办理赵某某与谢某某合同纠纷监督一案中，把抗诉和调解结合起来，向省检察院抗诉的同时，始终没有放弃通过和解方式化解矛盾纠纷。经检察官反复多次、耐心细致的释法说理，促成双方签订《和解协议》，持续近7年的民事纠纷在检察环节实现案结事了人和。相关做法被《检察日报》头版报道。</w:t>
      </w:r>
    </w:p>
    <w:p>
      <w:pPr>
        <w:spacing w:line="520" w:lineRule="exact"/>
        <w:ind w:firstLine="640" w:firstLineChars="200"/>
        <w:rPr>
          <w:rFonts w:ascii="仿宋" w:hAnsi="仿宋" w:eastAsia="仿宋" w:cs="仿宋_GB2312"/>
          <w:sz w:val="32"/>
          <w:szCs w:val="32"/>
        </w:rPr>
      </w:pPr>
      <w:r>
        <w:rPr>
          <w:rFonts w:hint="eastAsia" w:ascii="仿宋" w:hAnsi="仿宋" w:eastAsia="仿宋"/>
          <w:sz w:val="32"/>
          <w:szCs w:val="32"/>
        </w:rPr>
        <w:t>全面护佑未成年人健康成长。认真分析</w:t>
      </w:r>
      <w:r>
        <w:rPr>
          <w:rFonts w:hint="eastAsia" w:ascii="仿宋" w:hAnsi="仿宋" w:eastAsia="仿宋" w:cs="仿宋_GB2312"/>
          <w:sz w:val="32"/>
          <w:szCs w:val="32"/>
        </w:rPr>
        <w:t>全省侵害未成年人犯罪同比下降，我市同比上升的不正常现象，</w:t>
      </w:r>
      <w:r>
        <w:rPr>
          <w:rFonts w:hint="eastAsia" w:ascii="仿宋" w:hAnsi="仿宋" w:eastAsia="仿宋"/>
          <w:sz w:val="32"/>
          <w:szCs w:val="32"/>
        </w:rPr>
        <w:t>部署开展“打击侵害未成年人犯罪专项行动”，批捕20人，起诉45人。</w:t>
      </w:r>
      <w:r>
        <w:rPr>
          <w:rFonts w:hint="eastAsia" w:ascii="仿宋" w:hAnsi="仿宋" w:eastAsia="仿宋" w:cs="仿宋_GB2312"/>
          <w:sz w:val="32"/>
          <w:szCs w:val="32"/>
        </w:rPr>
        <w:t>针对办案中发现的旅馆为性侵害未成年人高发场所，未成年人入住旅馆监督保护方面存在法律空白的问题，向有关部门发出检察建议，推动有关部门加强旅馆业治安管理。省政府罗强副省长批转相关部门加强旅馆业治理。相关做法省检察院转发推广，新华社、中央电视台、《检察日报》等媒体相继报道。新修订的《未成年人保护法》吸收了入住旅馆强制报告的内容。市检察院专题向市人大报告未成年人检察工作情况。</w:t>
      </w:r>
    </w:p>
    <w:p>
      <w:pPr>
        <w:tabs>
          <w:tab w:val="left" w:pos="5847"/>
        </w:tabs>
        <w:spacing w:line="520" w:lineRule="exact"/>
        <w:ind w:firstLine="640" w:firstLineChars="200"/>
        <w:rPr>
          <w:rFonts w:ascii="黑体" w:hAnsi="黑体" w:eastAsia="黑体"/>
          <w:sz w:val="32"/>
          <w:szCs w:val="32"/>
        </w:rPr>
      </w:pPr>
      <w:r>
        <w:rPr>
          <w:rFonts w:hint="eastAsia" w:ascii="黑体" w:hAnsi="黑体" w:eastAsia="黑体"/>
          <w:sz w:val="32"/>
          <w:szCs w:val="32"/>
        </w:rPr>
        <w:t>七、探索创新参与市域社会治理迈出新步伐</w:t>
      </w:r>
    </w:p>
    <w:p>
      <w:pPr>
        <w:tabs>
          <w:tab w:val="left" w:pos="5847"/>
        </w:tabs>
        <w:spacing w:line="520" w:lineRule="exact"/>
        <w:ind w:firstLine="640" w:firstLineChars="200"/>
        <w:rPr>
          <w:rFonts w:ascii="仿宋" w:hAnsi="仿宋" w:eastAsia="仿宋"/>
          <w:sz w:val="32"/>
          <w:szCs w:val="32"/>
        </w:rPr>
      </w:pPr>
      <w:r>
        <w:rPr>
          <w:rFonts w:hint="eastAsia" w:ascii="仿宋" w:hAnsi="仿宋" w:eastAsia="仿宋" w:cs="仿宋_GB2312"/>
          <w:sz w:val="32"/>
          <w:szCs w:val="32"/>
        </w:rPr>
        <w:t>积极适应检察改革带来的新变化，发挥法治参谋作用，主动参与社会治理，提升城市政务服务水平。市检察院被市委市政府评为全面创新改革全面依法治市先进集体。</w:t>
      </w:r>
    </w:p>
    <w:p>
      <w:pPr>
        <w:tabs>
          <w:tab w:val="left" w:pos="5847"/>
        </w:tabs>
        <w:spacing w:line="520" w:lineRule="exact"/>
        <w:ind w:firstLine="640" w:firstLineChars="200"/>
        <w:rPr>
          <w:rFonts w:ascii="仿宋" w:hAnsi="仿宋" w:eastAsia="仿宋"/>
          <w:sz w:val="32"/>
          <w:szCs w:val="32"/>
        </w:rPr>
      </w:pPr>
      <w:r>
        <w:rPr>
          <w:rFonts w:hint="eastAsia" w:ascii="仿宋" w:hAnsi="仿宋" w:eastAsia="仿宋"/>
          <w:sz w:val="32"/>
          <w:szCs w:val="32"/>
        </w:rPr>
        <w:t>发挥检察建议参与社会治理重要作用。出台《检察建议督促落实统管工作实施办法（试行）》，发出社会治理类检察建议67件。利州区检察院深入调查市</w:t>
      </w:r>
      <w:r>
        <w:rPr>
          <w:rFonts w:ascii="仿宋" w:hAnsi="仿宋" w:eastAsia="仿宋"/>
          <w:sz w:val="32"/>
          <w:szCs w:val="32"/>
        </w:rPr>
        <w:t>城</w:t>
      </w:r>
      <w:r>
        <w:rPr>
          <w:rFonts w:hint="eastAsia" w:ascii="仿宋" w:hAnsi="仿宋" w:eastAsia="仿宋"/>
          <w:sz w:val="32"/>
          <w:szCs w:val="32"/>
        </w:rPr>
        <w:t>区</w:t>
      </w:r>
      <w:r>
        <w:rPr>
          <w:rFonts w:ascii="仿宋" w:hAnsi="仿宋" w:eastAsia="仿宋"/>
          <w:sz w:val="32"/>
          <w:szCs w:val="32"/>
        </w:rPr>
        <w:t>机动车</w:t>
      </w:r>
      <w:r>
        <w:rPr>
          <w:rFonts w:hint="eastAsia" w:ascii="仿宋" w:hAnsi="仿宋" w:eastAsia="仿宋"/>
          <w:sz w:val="32"/>
          <w:szCs w:val="32"/>
        </w:rPr>
        <w:t>“停车难”“停车乱”等城市管理乱象，通过市检察院</w:t>
      </w:r>
      <w:r>
        <w:rPr>
          <w:rFonts w:ascii="仿宋" w:hAnsi="仿宋" w:eastAsia="仿宋"/>
          <w:sz w:val="32"/>
          <w:szCs w:val="32"/>
        </w:rPr>
        <w:t>向</w:t>
      </w:r>
      <w:r>
        <w:rPr>
          <w:rFonts w:hint="eastAsia" w:ascii="仿宋" w:hAnsi="仿宋" w:eastAsia="仿宋"/>
          <w:sz w:val="32"/>
          <w:szCs w:val="32"/>
        </w:rPr>
        <w:t>有关部门</w:t>
      </w:r>
      <w:r>
        <w:rPr>
          <w:rFonts w:ascii="仿宋" w:hAnsi="仿宋" w:eastAsia="仿宋"/>
          <w:sz w:val="32"/>
          <w:szCs w:val="32"/>
        </w:rPr>
        <w:t>公开宣告</w:t>
      </w:r>
      <w:r>
        <w:rPr>
          <w:rFonts w:hint="eastAsia" w:ascii="仿宋" w:hAnsi="仿宋" w:eastAsia="仿宋"/>
          <w:sz w:val="32"/>
          <w:szCs w:val="32"/>
        </w:rPr>
        <w:t>送达诉前</w:t>
      </w:r>
      <w:r>
        <w:rPr>
          <w:rFonts w:ascii="仿宋" w:hAnsi="仿宋" w:eastAsia="仿宋"/>
          <w:sz w:val="32"/>
          <w:szCs w:val="32"/>
        </w:rPr>
        <w:t>检察建议</w:t>
      </w:r>
      <w:r>
        <w:rPr>
          <w:rFonts w:hint="eastAsia" w:ascii="仿宋" w:hAnsi="仿宋" w:eastAsia="仿宋"/>
          <w:sz w:val="32"/>
          <w:szCs w:val="32"/>
        </w:rPr>
        <w:t>，市委市政府高度重视，召开会议专题研究推进市城区车辆停放管理工作，推动有关部门加快出台机动车停放管理、停放服务收费等制度，开展国有存量土地专项清理，建设市城区智慧停车管理平台和智慧停车大数据服务管理中心，重新规划市城区停车泊位，预计新增停车泊位9400余个，增收1600余万元，促使有关企业向市城投公司移交金域香江、巴黎时光、摩尔天成等3个区域停车泊位。</w:t>
      </w:r>
    </w:p>
    <w:p>
      <w:pPr>
        <w:tabs>
          <w:tab w:val="left" w:pos="5847"/>
        </w:tabs>
        <w:spacing w:line="520" w:lineRule="exact"/>
        <w:ind w:firstLine="640" w:firstLineChars="200"/>
        <w:rPr>
          <w:rFonts w:ascii="仿宋" w:hAnsi="仿宋" w:eastAsia="仿宋"/>
          <w:sz w:val="32"/>
          <w:szCs w:val="32"/>
        </w:rPr>
      </w:pPr>
      <w:r>
        <w:rPr>
          <w:rFonts w:hint="eastAsia" w:ascii="仿宋" w:hAnsi="仿宋" w:eastAsia="仿宋"/>
          <w:sz w:val="32"/>
          <w:szCs w:val="32"/>
        </w:rPr>
        <w:t>发挥法治参谋作用推进行业系统治理。结合所办案件深入分析案件背后的原因，有针对性的向党委政府提出意见建议。《加强农村废弃砖厂环保问题监管整治》工作建议，被市政府主要领导批转相关职能部门开展行业专项治理。</w:t>
      </w:r>
    </w:p>
    <w:p>
      <w:pPr>
        <w:pStyle w:val="12"/>
        <w:spacing w:line="520" w:lineRule="exact"/>
        <w:ind w:firstLine="627" w:firstLineChars="196"/>
        <w:rPr>
          <w:rStyle w:val="27"/>
          <w:rFonts w:ascii="仿宋" w:hAnsi="仿宋" w:eastAsia="仿宋" w:cs="宋体"/>
          <w:bCs w:val="0"/>
          <w:kern w:val="0"/>
        </w:rPr>
      </w:pPr>
      <w:bookmarkStart w:id="19" w:name="_Toc15377200"/>
      <w:bookmarkStart w:id="20" w:name="_Toc15396601"/>
      <w:r>
        <w:rPr>
          <w:rFonts w:hint="eastAsia" w:ascii="黑体" w:eastAsia="黑体"/>
          <w:color w:val="000000"/>
          <w:sz w:val="32"/>
          <w:szCs w:val="32"/>
        </w:rPr>
        <w:t>二、</w:t>
      </w:r>
      <w:r>
        <w:rPr>
          <w:rFonts w:hint="eastAsia" w:ascii="黑体" w:hAnsi="黑体" w:eastAsia="黑体"/>
          <w:color w:val="000000"/>
          <w:sz w:val="32"/>
          <w:szCs w:val="32"/>
        </w:rPr>
        <w:t>机</w:t>
      </w:r>
      <w:r>
        <w:rPr>
          <w:rStyle w:val="27"/>
          <w:rFonts w:hint="eastAsia" w:ascii="黑体" w:hAnsi="黑体" w:eastAsia="黑体"/>
        </w:rPr>
        <w:t>构设置</w:t>
      </w:r>
      <w:bookmarkEnd w:id="19"/>
      <w:bookmarkEnd w:id="20"/>
    </w:p>
    <w:p>
      <w:pPr>
        <w:pStyle w:val="12"/>
        <w:spacing w:line="520" w:lineRule="exact"/>
        <w:ind w:firstLine="640" w:firstLineChars="200"/>
        <w:jc w:val="both"/>
        <w:rPr>
          <w:rFonts w:ascii="仿宋" w:hAnsi="仿宋" w:eastAsia="仿宋"/>
          <w:sz w:val="32"/>
          <w:szCs w:val="32"/>
        </w:rPr>
      </w:pPr>
      <w:r>
        <w:rPr>
          <w:rFonts w:hint="eastAsia" w:ascii="仿宋" w:hAnsi="仿宋" w:eastAsia="仿宋"/>
          <w:sz w:val="32"/>
          <w:szCs w:val="32"/>
        </w:rPr>
        <w:t>广元市</w:t>
      </w:r>
      <w:r>
        <w:rPr>
          <w:rFonts w:ascii="仿宋" w:hAnsi="仿宋" w:eastAsia="仿宋"/>
          <w:sz w:val="32"/>
          <w:szCs w:val="32"/>
        </w:rPr>
        <w:t>人民检察院含所属单位</w:t>
      </w:r>
      <w:r>
        <w:rPr>
          <w:rFonts w:hint="eastAsia" w:ascii="仿宋" w:hAnsi="仿宋" w:eastAsia="仿宋"/>
          <w:sz w:val="32"/>
          <w:szCs w:val="32"/>
        </w:rPr>
        <w:t>2</w:t>
      </w:r>
      <w:r>
        <w:rPr>
          <w:rFonts w:ascii="仿宋" w:hAnsi="仿宋" w:eastAsia="仿宋"/>
          <w:sz w:val="32"/>
          <w:szCs w:val="32"/>
        </w:rPr>
        <w:t>个,其中:行政单位</w:t>
      </w:r>
      <w:r>
        <w:rPr>
          <w:rFonts w:hint="eastAsia" w:ascii="仿宋" w:hAnsi="仿宋" w:eastAsia="仿宋"/>
          <w:sz w:val="32"/>
          <w:szCs w:val="32"/>
        </w:rPr>
        <w:t>1个、事业单位1个，</w:t>
      </w:r>
      <w:r>
        <w:rPr>
          <w:rFonts w:ascii="仿宋" w:hAnsi="仿宋" w:eastAsia="仿宋"/>
          <w:sz w:val="32"/>
          <w:szCs w:val="32"/>
        </w:rPr>
        <w:t>分别是四川省</w:t>
      </w:r>
      <w:r>
        <w:rPr>
          <w:rFonts w:hint="eastAsia" w:ascii="仿宋" w:hAnsi="仿宋" w:eastAsia="仿宋"/>
          <w:sz w:val="32"/>
          <w:szCs w:val="32"/>
        </w:rPr>
        <w:t>广元市</w:t>
      </w:r>
      <w:r>
        <w:rPr>
          <w:rFonts w:ascii="仿宋" w:hAnsi="仿宋" w:eastAsia="仿宋"/>
          <w:sz w:val="32"/>
          <w:szCs w:val="32"/>
        </w:rPr>
        <w:t>人民检察院机关</w:t>
      </w:r>
      <w:r>
        <w:rPr>
          <w:rFonts w:hint="eastAsia" w:ascii="仿宋" w:hAnsi="仿宋" w:eastAsia="仿宋"/>
          <w:sz w:val="32"/>
          <w:szCs w:val="32"/>
        </w:rPr>
        <w:t>，广元市人民检察官培训中心</w:t>
      </w:r>
      <w:r>
        <w:rPr>
          <w:rFonts w:hint="eastAsia" w:ascii="仿宋" w:hAnsi="仿宋" w:eastAsia="仿宋"/>
          <w:sz w:val="32"/>
          <w:szCs w:val="32"/>
          <w:lang w:eastAsia="zh-CN"/>
        </w:rPr>
        <w:t>（未独立核算）</w:t>
      </w:r>
      <w:r>
        <w:rPr>
          <w:rFonts w:hint="eastAsia" w:ascii="仿宋" w:hAnsi="仿宋" w:eastAsia="仿宋"/>
          <w:sz w:val="32"/>
          <w:szCs w:val="32"/>
        </w:rPr>
        <w:t>。市检察院机关下设内设机构14个，机关党委（办）1个，两个单位现有编制119人，其中：专项编制94人，事业编制25人，年末在职在册实有人数110人,聘用人员29人。2020年新增公务员8人，退休3</w:t>
      </w:r>
      <w:bookmarkStart w:id="21" w:name="_Toc15377204"/>
      <w:bookmarkStart w:id="22" w:name="_Toc15396602"/>
      <w:r>
        <w:rPr>
          <w:rFonts w:hint="eastAsia" w:ascii="仿宋" w:hAnsi="仿宋" w:eastAsia="仿宋"/>
          <w:sz w:val="32"/>
          <w:szCs w:val="32"/>
        </w:rPr>
        <w:t>人，调出3人；2020年新增聘用制书记员18人。</w:t>
      </w:r>
    </w:p>
    <w:p>
      <w:pPr>
        <w:pStyle w:val="12"/>
        <w:spacing w:line="520" w:lineRule="exact"/>
        <w:ind w:firstLine="640" w:firstLineChars="200"/>
        <w:jc w:val="both"/>
        <w:rPr>
          <w:rStyle w:val="26"/>
          <w:rFonts w:ascii="黑体" w:hAnsi="黑体" w:eastAsia="黑体" w:cs="Times New Roman"/>
          <w:b w:val="0"/>
          <w:sz w:val="32"/>
          <w:szCs w:val="32"/>
        </w:rPr>
      </w:pPr>
      <w:r>
        <w:rPr>
          <w:rStyle w:val="26"/>
          <w:rFonts w:hint="eastAsia" w:ascii="黑体" w:hAnsi="黑体" w:eastAsia="黑体" w:cs="Times New Roman"/>
          <w:b w:val="0"/>
          <w:sz w:val="32"/>
          <w:szCs w:val="32"/>
        </w:rPr>
        <w:t>第二部分2020年度部门决算情况说明</w:t>
      </w:r>
      <w:bookmarkEnd w:id="21"/>
      <w:bookmarkEnd w:id="22"/>
    </w:p>
    <w:p>
      <w:pPr>
        <w:pStyle w:val="12"/>
        <w:spacing w:line="520" w:lineRule="exact"/>
        <w:ind w:firstLine="640" w:firstLineChars="200"/>
        <w:jc w:val="both"/>
        <w:rPr>
          <w:rStyle w:val="27"/>
          <w:rFonts w:ascii="黑体" w:hAnsi="黑体" w:eastAsia="黑体"/>
          <w:b w:val="0"/>
        </w:rPr>
      </w:pPr>
      <w:bookmarkStart w:id="23" w:name="_Toc15396603"/>
      <w:bookmarkStart w:id="24" w:name="_Toc15377205"/>
      <w:r>
        <w:rPr>
          <w:rFonts w:hint="eastAsia" w:ascii="黑体" w:hAnsi="黑体" w:eastAsia="黑体"/>
          <w:color w:val="000000"/>
          <w:sz w:val="32"/>
          <w:szCs w:val="32"/>
        </w:rPr>
        <w:t>一、收</w:t>
      </w:r>
      <w:r>
        <w:rPr>
          <w:rStyle w:val="27"/>
          <w:rFonts w:hint="eastAsia" w:ascii="黑体" w:hAnsi="黑体" w:eastAsia="黑体"/>
          <w:b w:val="0"/>
        </w:rPr>
        <w:t>入支出决算总体情况说明</w:t>
      </w:r>
      <w:bookmarkEnd w:id="23"/>
      <w:bookmarkEnd w:id="24"/>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2020年广元市人民检察院本年</w:t>
      </w:r>
      <w:r>
        <w:rPr>
          <w:rFonts w:hint="eastAsia" w:ascii="仿宋" w:hAnsi="仿宋" w:eastAsia="仿宋"/>
          <w:color w:val="000000"/>
          <w:sz w:val="32"/>
          <w:szCs w:val="32"/>
        </w:rPr>
        <w:t>收、支总计4446.18万元。与2019年相比，收、支总计各减少746.21万元，减少14.37</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sz w:val="32"/>
          <w:szCs w:val="32"/>
        </w:rPr>
        <w:t>主要变动原因一是积极响应政府厉行节约的号召，牢固树立“过紧日子”思想，压减各项经费开支；二是财政应返还额度资金大。</w:t>
      </w:r>
    </w:p>
    <w:p>
      <w:pPr>
        <w:spacing w:line="520" w:lineRule="exact"/>
        <w:ind w:firstLine="640" w:firstLineChars="200"/>
        <w:rPr>
          <w:rFonts w:hint="eastAsia" w:ascii="仿宋" w:hAnsi="仿宋" w:eastAsia="仿宋"/>
          <w:sz w:val="32"/>
          <w:szCs w:val="32"/>
        </w:rPr>
      </w:pPr>
    </w:p>
    <w:p>
      <w:pPr>
        <w:spacing w:line="520" w:lineRule="exact"/>
        <w:ind w:firstLine="640" w:firstLineChars="200"/>
        <w:rPr>
          <w:rFonts w:hint="eastAsia" w:ascii="仿宋" w:hAnsi="仿宋" w:eastAsia="仿宋"/>
          <w:sz w:val="32"/>
          <w:szCs w:val="32"/>
        </w:rPr>
      </w:pPr>
    </w:p>
    <w:p>
      <w:pPr>
        <w:spacing w:line="520" w:lineRule="exact"/>
        <w:ind w:firstLine="640" w:firstLineChars="200"/>
        <w:rPr>
          <w:rFonts w:hint="eastAsia" w:ascii="仿宋" w:hAnsi="仿宋" w:eastAsia="仿宋"/>
          <w:sz w:val="32"/>
          <w:szCs w:val="32"/>
        </w:rPr>
      </w:pPr>
    </w:p>
    <w:p>
      <w:pPr>
        <w:spacing w:line="520" w:lineRule="exact"/>
        <w:ind w:firstLine="640" w:firstLineChars="200"/>
        <w:rPr>
          <w:rFonts w:hint="eastAsia" w:ascii="仿宋" w:hAnsi="仿宋" w:eastAsia="仿宋"/>
          <w:sz w:val="32"/>
          <w:szCs w:val="32"/>
        </w:rPr>
      </w:pPr>
    </w:p>
    <w:p>
      <w:pPr>
        <w:spacing w:line="520" w:lineRule="exact"/>
        <w:ind w:firstLine="640" w:firstLineChars="200"/>
        <w:rPr>
          <w:rFonts w:hint="eastAsia" w:ascii="仿宋" w:hAnsi="仿宋" w:eastAsia="仿宋"/>
          <w:sz w:val="32"/>
          <w:szCs w:val="32"/>
        </w:rPr>
      </w:pPr>
    </w:p>
    <w:p>
      <w:pPr>
        <w:spacing w:line="520" w:lineRule="exact"/>
        <w:ind w:firstLine="640" w:firstLineChars="200"/>
        <w:rPr>
          <w:rFonts w:hint="eastAsia" w:ascii="仿宋" w:hAnsi="仿宋" w:eastAsia="仿宋"/>
          <w:sz w:val="32"/>
          <w:szCs w:val="32"/>
        </w:rPr>
      </w:pPr>
    </w:p>
    <w:p>
      <w:pPr>
        <w:spacing w:line="520" w:lineRule="exact"/>
        <w:rPr>
          <w:rFonts w:hint="eastAsia" w:ascii="仿宋" w:hAnsi="仿宋" w:eastAsia="仿宋"/>
          <w:sz w:val="32"/>
          <w:szCs w:val="32"/>
        </w:rPr>
      </w:pPr>
    </w:p>
    <w:p>
      <w:pPr>
        <w:spacing w:line="520" w:lineRule="exact"/>
        <w:rPr>
          <w:rFonts w:hint="eastAsia" w:ascii="仿宋" w:hAnsi="仿宋" w:eastAsia="仿宋"/>
          <w:sz w:val="32"/>
          <w:szCs w:val="32"/>
        </w:rPr>
      </w:pPr>
      <w:r>
        <w:drawing>
          <wp:anchor distT="0" distB="0" distL="114935" distR="114935" simplePos="0" relativeHeight="251659264" behindDoc="0" locked="1" layoutInCell="1" allowOverlap="1">
            <wp:simplePos x="0" y="0"/>
            <wp:positionH relativeFrom="column">
              <wp:posOffset>322580</wp:posOffset>
            </wp:positionH>
            <wp:positionV relativeFrom="paragraph">
              <wp:posOffset>344805</wp:posOffset>
            </wp:positionV>
            <wp:extent cx="4503420" cy="2379980"/>
            <wp:effectExtent l="4445" t="4445" r="6985" b="15875"/>
            <wp:wrapNone/>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pPr>
        <w:spacing w:line="520" w:lineRule="exact"/>
        <w:ind w:firstLine="640" w:firstLineChars="200"/>
        <w:rPr>
          <w:rFonts w:hint="eastAsia" w:ascii="仿宋" w:hAnsi="仿宋" w:eastAsia="仿宋"/>
          <w:sz w:val="32"/>
          <w:szCs w:val="32"/>
        </w:rPr>
      </w:pPr>
    </w:p>
    <w:p>
      <w:pPr>
        <w:autoSpaceDE w:val="0"/>
        <w:ind w:firstLine="640" w:firstLineChars="200"/>
        <w:rPr>
          <w:rFonts w:hint="eastAsia" w:ascii="仿宋" w:hAnsi="仿宋" w:eastAsia="仿宋"/>
          <w:color w:val="000000"/>
          <w:sz w:val="32"/>
          <w:szCs w:val="32"/>
        </w:rPr>
      </w:pPr>
    </w:p>
    <w:p>
      <w:pPr>
        <w:autoSpaceDE w:val="0"/>
        <w:ind w:firstLine="640" w:firstLineChars="200"/>
        <w:rPr>
          <w:rFonts w:hint="eastAsia" w:ascii="仿宋" w:hAnsi="仿宋" w:eastAsia="仿宋"/>
          <w:color w:val="000000"/>
          <w:sz w:val="32"/>
          <w:szCs w:val="32"/>
        </w:rPr>
      </w:pPr>
    </w:p>
    <w:p>
      <w:pPr>
        <w:autoSpaceDE w:val="0"/>
        <w:ind w:firstLine="640" w:firstLineChars="200"/>
        <w:rPr>
          <w:rFonts w:hint="eastAsia" w:ascii="仿宋" w:hAnsi="仿宋" w:eastAsia="仿宋"/>
          <w:color w:val="000000"/>
          <w:sz w:val="32"/>
          <w:szCs w:val="32"/>
        </w:rPr>
      </w:pPr>
    </w:p>
    <w:p>
      <w:pPr>
        <w:autoSpaceDE w:val="0"/>
        <w:ind w:firstLine="640" w:firstLineChars="200"/>
        <w:rPr>
          <w:rFonts w:hint="eastAsia" w:ascii="仿宋" w:hAnsi="仿宋" w:eastAsia="仿宋"/>
          <w:color w:val="000000"/>
          <w:sz w:val="32"/>
          <w:szCs w:val="32"/>
        </w:rPr>
      </w:pPr>
    </w:p>
    <w:p>
      <w:pPr>
        <w:autoSpaceDE w:val="0"/>
        <w:ind w:firstLine="640" w:firstLineChars="200"/>
        <w:rPr>
          <w:rFonts w:hint="eastAsia" w:ascii="仿宋" w:hAnsi="仿宋" w:eastAsia="仿宋"/>
          <w:color w:val="000000"/>
          <w:sz w:val="32"/>
          <w:szCs w:val="32"/>
        </w:rPr>
      </w:pPr>
    </w:p>
    <w:p>
      <w:pPr>
        <w:autoSpaceDE w:val="0"/>
        <w:ind w:firstLine="640" w:firstLineChars="200"/>
        <w:rPr>
          <w:rFonts w:hint="eastAsia" w:ascii="仿宋" w:hAnsi="仿宋" w:eastAsia="仿宋"/>
          <w:color w:val="000000"/>
          <w:sz w:val="32"/>
          <w:szCs w:val="32"/>
        </w:rPr>
      </w:pPr>
    </w:p>
    <w:p>
      <w:pPr>
        <w:autoSpaceDE w:val="0"/>
        <w:ind w:firstLine="640" w:firstLineChars="200"/>
        <w:rPr>
          <w:rFonts w:ascii="仿宋" w:hAnsi="仿宋" w:eastAsia="仿宋"/>
          <w:sz w:val="32"/>
          <w:szCs w:val="32"/>
        </w:rPr>
      </w:pPr>
      <w:r>
        <w:rPr>
          <w:rFonts w:hint="eastAsia" w:ascii="仿宋" w:hAnsi="仿宋" w:eastAsia="仿宋"/>
          <w:color w:val="000000"/>
          <w:sz w:val="32"/>
          <w:szCs w:val="32"/>
        </w:rPr>
        <w:t>（图1：收、支决算总计变动情况图）（柱状图）</w:t>
      </w:r>
    </w:p>
    <w:p>
      <w:pPr>
        <w:spacing w:line="520" w:lineRule="exact"/>
        <w:ind w:firstLine="640" w:firstLineChars="200"/>
        <w:jc w:val="left"/>
        <w:outlineLvl w:val="1"/>
        <w:rPr>
          <w:rStyle w:val="27"/>
          <w:rFonts w:ascii="黑体" w:hAnsi="黑体" w:eastAsia="黑体"/>
          <w:b w:val="0"/>
        </w:rPr>
      </w:pPr>
      <w:bookmarkStart w:id="25" w:name="_Toc15377206"/>
      <w:bookmarkStart w:id="26" w:name="_Toc15396604"/>
      <w:r>
        <w:rPr>
          <w:rFonts w:hint="eastAsia" w:ascii="黑体" w:hAnsi="黑体" w:eastAsia="黑体"/>
          <w:color w:val="000000"/>
          <w:sz w:val="32"/>
          <w:szCs w:val="32"/>
        </w:rPr>
        <w:t>二、收</w:t>
      </w:r>
      <w:r>
        <w:rPr>
          <w:rStyle w:val="27"/>
          <w:rFonts w:hint="eastAsia" w:ascii="黑体" w:hAnsi="黑体" w:eastAsia="黑体"/>
          <w:b w:val="0"/>
        </w:rPr>
        <w:t>入决算情况说明</w:t>
      </w:r>
      <w:bookmarkEnd w:id="25"/>
      <w:bookmarkEnd w:id="26"/>
    </w:p>
    <w:p>
      <w:pPr>
        <w:spacing w:line="520" w:lineRule="exact"/>
        <w:ind w:firstLine="640" w:firstLineChars="200"/>
        <w:outlineLvl w:val="1"/>
        <w:rPr>
          <w:rFonts w:hint="eastAsia"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20年本年收入合计3548.11万元，其中：一般预算财政拨款收入3544.55万元，占99.9</w:t>
      </w:r>
      <w:r>
        <w:rPr>
          <w:rFonts w:ascii="仿宋" w:hAnsi="仿宋" w:eastAsia="仿宋"/>
          <w:color w:val="000000"/>
          <w:sz w:val="32"/>
          <w:szCs w:val="32"/>
        </w:rPr>
        <w:t>%</w:t>
      </w:r>
      <w:r>
        <w:rPr>
          <w:rFonts w:hint="eastAsia" w:ascii="仿宋" w:hAnsi="仿宋" w:eastAsia="仿宋"/>
          <w:color w:val="000000"/>
          <w:sz w:val="32"/>
          <w:szCs w:val="32"/>
        </w:rPr>
        <w:t>；其他收入3.56万元，占0.1</w:t>
      </w:r>
      <w:r>
        <w:rPr>
          <w:rFonts w:ascii="仿宋" w:hAnsi="仿宋" w:eastAsia="仿宋"/>
          <w:color w:val="000000"/>
          <w:sz w:val="32"/>
          <w:szCs w:val="32"/>
        </w:rPr>
        <w:t>%</w:t>
      </w:r>
      <w:r>
        <w:rPr>
          <w:rFonts w:hint="eastAsia" w:ascii="仿宋" w:hAnsi="仿宋" w:eastAsia="仿宋"/>
          <w:color w:val="000000"/>
          <w:sz w:val="32"/>
          <w:szCs w:val="32"/>
        </w:rPr>
        <w:t>。</w:t>
      </w:r>
    </w:p>
    <w:p>
      <w:pPr>
        <w:spacing w:line="520" w:lineRule="exact"/>
        <w:ind w:firstLine="420" w:firstLineChars="200"/>
        <w:outlineLvl w:val="1"/>
        <w:rPr>
          <w:rFonts w:hint="eastAsia" w:ascii="仿宋" w:hAnsi="仿宋" w:eastAsia="仿宋"/>
          <w:color w:val="000000"/>
          <w:sz w:val="32"/>
          <w:szCs w:val="32"/>
        </w:rPr>
      </w:pPr>
      <w:r>
        <w:drawing>
          <wp:anchor distT="0" distB="0" distL="114300" distR="114300" simplePos="0" relativeHeight="251660288" behindDoc="0" locked="0" layoutInCell="1" allowOverlap="1">
            <wp:simplePos x="0" y="0"/>
            <wp:positionH relativeFrom="column">
              <wp:posOffset>314960</wp:posOffset>
            </wp:positionH>
            <wp:positionV relativeFrom="paragraph">
              <wp:posOffset>165100</wp:posOffset>
            </wp:positionV>
            <wp:extent cx="4597400" cy="2163445"/>
            <wp:effectExtent l="4445" t="4445" r="8255" b="22860"/>
            <wp:wrapSquare wrapText="bothSides"/>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autoSpaceDE w:val="0"/>
        <w:ind w:firstLine="1280" w:firstLineChars="400"/>
        <w:rPr>
          <w:rFonts w:hint="eastAsia" w:ascii="仿宋" w:hAnsi="仿宋" w:eastAsia="仿宋"/>
          <w:color w:val="000000"/>
          <w:sz w:val="32"/>
          <w:szCs w:val="32"/>
        </w:rPr>
      </w:pPr>
      <w:bookmarkStart w:id="27" w:name="_Toc15396605"/>
      <w:bookmarkStart w:id="28" w:name="_Toc15377207"/>
    </w:p>
    <w:p>
      <w:pPr>
        <w:autoSpaceDE w:val="0"/>
        <w:ind w:firstLine="1280" w:firstLineChars="400"/>
        <w:rPr>
          <w:rFonts w:hint="eastAsia" w:ascii="仿宋" w:hAnsi="仿宋" w:eastAsia="仿宋"/>
          <w:color w:val="000000"/>
          <w:sz w:val="32"/>
          <w:szCs w:val="32"/>
        </w:rPr>
      </w:pPr>
    </w:p>
    <w:p>
      <w:pPr>
        <w:autoSpaceDE w:val="0"/>
        <w:ind w:firstLine="1280" w:firstLineChars="400"/>
        <w:rPr>
          <w:rFonts w:hint="eastAsia" w:ascii="仿宋" w:hAnsi="仿宋" w:eastAsia="仿宋"/>
          <w:color w:val="000000"/>
          <w:sz w:val="32"/>
          <w:szCs w:val="32"/>
        </w:rPr>
      </w:pPr>
    </w:p>
    <w:p>
      <w:pPr>
        <w:autoSpaceDE w:val="0"/>
        <w:ind w:firstLine="1280" w:firstLineChars="400"/>
        <w:rPr>
          <w:rFonts w:hint="eastAsia" w:ascii="仿宋" w:hAnsi="仿宋" w:eastAsia="仿宋"/>
          <w:color w:val="000000"/>
          <w:sz w:val="32"/>
          <w:szCs w:val="32"/>
        </w:rPr>
      </w:pPr>
    </w:p>
    <w:p>
      <w:pPr>
        <w:autoSpaceDE w:val="0"/>
        <w:rPr>
          <w:rFonts w:hint="eastAsia" w:ascii="仿宋" w:hAnsi="仿宋" w:eastAsia="仿宋"/>
          <w:color w:val="000000"/>
          <w:sz w:val="32"/>
          <w:szCs w:val="32"/>
        </w:rPr>
      </w:pPr>
    </w:p>
    <w:p>
      <w:pPr>
        <w:autoSpaceDE w:val="0"/>
        <w:ind w:firstLine="1280" w:firstLineChars="400"/>
        <w:rPr>
          <w:rFonts w:hint="eastAsia" w:ascii="仿宋" w:hAnsi="仿宋" w:eastAsia="仿宋"/>
          <w:color w:val="000000"/>
          <w:sz w:val="32"/>
          <w:szCs w:val="32"/>
        </w:rPr>
      </w:pPr>
    </w:p>
    <w:p>
      <w:pPr>
        <w:autoSpaceDE w:val="0"/>
        <w:ind w:firstLine="1280" w:firstLineChars="400"/>
        <w:rPr>
          <w:rFonts w:ascii="仿宋" w:hAnsi="仿宋" w:eastAsia="仿宋"/>
          <w:sz w:val="32"/>
          <w:szCs w:val="32"/>
        </w:rPr>
      </w:pPr>
      <w:r>
        <w:rPr>
          <w:rFonts w:hint="eastAsia" w:ascii="仿宋" w:hAnsi="仿宋" w:eastAsia="仿宋"/>
          <w:color w:val="000000"/>
          <w:sz w:val="32"/>
          <w:szCs w:val="32"/>
        </w:rPr>
        <w:t>（图</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w:t>
      </w:r>
      <w:r>
        <w:rPr>
          <w:rFonts w:hint="eastAsia" w:ascii="仿宋" w:hAnsi="仿宋" w:eastAsia="仿宋"/>
          <w:color w:val="000000"/>
          <w:sz w:val="32"/>
          <w:szCs w:val="32"/>
          <w:lang w:eastAsia="zh-CN"/>
        </w:rPr>
        <w:t>收入决算</w:t>
      </w:r>
      <w:r>
        <w:rPr>
          <w:rFonts w:hint="eastAsia" w:ascii="仿宋" w:hAnsi="仿宋" w:eastAsia="仿宋"/>
          <w:color w:val="000000"/>
          <w:sz w:val="32"/>
          <w:szCs w:val="32"/>
        </w:rPr>
        <w:t>情况图）（</w:t>
      </w:r>
      <w:r>
        <w:rPr>
          <w:rFonts w:hint="eastAsia" w:ascii="仿宋" w:hAnsi="仿宋" w:eastAsia="仿宋"/>
          <w:color w:val="000000"/>
          <w:sz w:val="32"/>
          <w:szCs w:val="32"/>
          <w:lang w:eastAsia="zh-CN"/>
        </w:rPr>
        <w:t>饼状</w:t>
      </w:r>
      <w:r>
        <w:rPr>
          <w:rFonts w:hint="eastAsia" w:ascii="仿宋" w:hAnsi="仿宋" w:eastAsia="仿宋"/>
          <w:color w:val="000000"/>
          <w:sz w:val="32"/>
          <w:szCs w:val="32"/>
        </w:rPr>
        <w:t>图）</w:t>
      </w:r>
    </w:p>
    <w:p>
      <w:pPr>
        <w:spacing w:line="520" w:lineRule="exact"/>
        <w:ind w:firstLine="640" w:firstLineChars="200"/>
        <w:outlineLvl w:val="1"/>
        <w:rPr>
          <w:rFonts w:ascii="仿宋" w:hAnsi="仿宋" w:eastAsia="仿宋"/>
          <w:color w:val="000000"/>
          <w:sz w:val="32"/>
          <w:szCs w:val="32"/>
        </w:rPr>
      </w:pPr>
      <w:r>
        <w:rPr>
          <w:rFonts w:hint="eastAsia" w:ascii="黑体" w:hAnsi="黑体" w:eastAsia="黑体"/>
          <w:color w:val="000000"/>
          <w:sz w:val="32"/>
          <w:szCs w:val="32"/>
        </w:rPr>
        <w:t>三、支</w:t>
      </w:r>
      <w:r>
        <w:rPr>
          <w:rStyle w:val="27"/>
          <w:rFonts w:hint="eastAsia" w:ascii="黑体" w:hAnsi="黑体" w:eastAsia="黑体"/>
          <w:b w:val="0"/>
        </w:rPr>
        <w:t>出决算情况说明</w:t>
      </w:r>
      <w:bookmarkEnd w:id="27"/>
      <w:bookmarkEnd w:id="28"/>
    </w:p>
    <w:p>
      <w:pPr>
        <w:spacing w:line="520" w:lineRule="exact"/>
        <w:ind w:firstLine="640" w:firstLineChars="200"/>
        <w:rPr>
          <w:rFonts w:hint="eastAsia"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20年本年支出合计3301.</w:t>
      </w:r>
      <w:r>
        <w:rPr>
          <w:rFonts w:hint="eastAsia" w:ascii="仿宋" w:hAnsi="仿宋" w:eastAsia="仿宋"/>
          <w:color w:val="000000"/>
          <w:sz w:val="32"/>
          <w:szCs w:val="32"/>
          <w:lang w:val="en-US" w:eastAsia="zh-CN"/>
        </w:rPr>
        <w:t>23</w:t>
      </w:r>
      <w:r>
        <w:rPr>
          <w:rFonts w:hint="eastAsia" w:ascii="仿宋" w:hAnsi="仿宋" w:eastAsia="仿宋"/>
          <w:color w:val="000000"/>
          <w:sz w:val="32"/>
          <w:szCs w:val="32"/>
        </w:rPr>
        <w:t>万元，其中：基本支出23</w:t>
      </w:r>
      <w:r>
        <w:rPr>
          <w:rFonts w:hint="eastAsia" w:ascii="仿宋" w:hAnsi="仿宋" w:eastAsia="仿宋"/>
          <w:color w:val="000000"/>
          <w:sz w:val="32"/>
          <w:szCs w:val="32"/>
          <w:lang w:val="en-US" w:eastAsia="zh-CN"/>
        </w:rPr>
        <w:t>60.04</w:t>
      </w:r>
      <w:r>
        <w:rPr>
          <w:rFonts w:hint="eastAsia" w:ascii="仿宋" w:hAnsi="仿宋" w:eastAsia="仿宋"/>
          <w:color w:val="000000"/>
          <w:sz w:val="32"/>
          <w:szCs w:val="32"/>
        </w:rPr>
        <w:t>万元，占71.49</w:t>
      </w:r>
      <w:r>
        <w:rPr>
          <w:rFonts w:ascii="仿宋" w:hAnsi="仿宋" w:eastAsia="仿宋"/>
          <w:color w:val="000000"/>
          <w:sz w:val="32"/>
          <w:szCs w:val="32"/>
        </w:rPr>
        <w:t>%</w:t>
      </w:r>
      <w:r>
        <w:rPr>
          <w:rFonts w:hint="eastAsia" w:ascii="仿宋" w:hAnsi="仿宋" w:eastAsia="仿宋"/>
          <w:color w:val="000000"/>
          <w:sz w:val="32"/>
          <w:szCs w:val="32"/>
        </w:rPr>
        <w:t>；项目支出941.19万元，占28.51</w:t>
      </w:r>
      <w:r>
        <w:rPr>
          <w:rFonts w:ascii="仿宋" w:hAnsi="仿宋" w:eastAsia="仿宋"/>
          <w:color w:val="000000"/>
          <w:sz w:val="32"/>
          <w:szCs w:val="32"/>
        </w:rPr>
        <w:t>%</w:t>
      </w:r>
      <w:r>
        <w:rPr>
          <w:rFonts w:hint="eastAsia" w:ascii="仿宋" w:hAnsi="仿宋" w:eastAsia="仿宋"/>
          <w:color w:val="000000"/>
          <w:sz w:val="32"/>
          <w:szCs w:val="32"/>
        </w:rPr>
        <w:t>。</w:t>
      </w:r>
    </w:p>
    <w:p>
      <w:pPr>
        <w:spacing w:line="520" w:lineRule="exact"/>
        <w:ind w:firstLine="640" w:firstLineChars="200"/>
        <w:rPr>
          <w:rFonts w:hint="eastAsia" w:ascii="仿宋" w:hAnsi="仿宋" w:eastAsia="仿宋"/>
          <w:color w:val="000000"/>
          <w:sz w:val="32"/>
          <w:szCs w:val="32"/>
        </w:rPr>
      </w:pPr>
    </w:p>
    <w:p>
      <w:pPr>
        <w:spacing w:line="520" w:lineRule="exact"/>
        <w:ind w:firstLine="420" w:firstLineChars="200"/>
        <w:rPr>
          <w:rFonts w:hint="eastAsia" w:ascii="仿宋" w:hAnsi="仿宋" w:eastAsia="仿宋"/>
          <w:color w:val="000000"/>
          <w:sz w:val="32"/>
          <w:szCs w:val="32"/>
        </w:rPr>
      </w:pPr>
      <w:r>
        <w:drawing>
          <wp:anchor distT="0" distB="0" distL="114300" distR="114300" simplePos="0" relativeHeight="251662336" behindDoc="0" locked="0" layoutInCell="1" allowOverlap="1">
            <wp:simplePos x="0" y="0"/>
            <wp:positionH relativeFrom="column">
              <wp:posOffset>426720</wp:posOffset>
            </wp:positionH>
            <wp:positionV relativeFrom="paragraph">
              <wp:posOffset>46355</wp:posOffset>
            </wp:positionV>
            <wp:extent cx="4458970" cy="2310765"/>
            <wp:effectExtent l="4445" t="5080" r="13335" b="8255"/>
            <wp:wrapNone/>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520" w:lineRule="exact"/>
        <w:ind w:firstLine="640" w:firstLineChars="200"/>
        <w:rPr>
          <w:rFonts w:hint="eastAsia" w:ascii="仿宋" w:hAnsi="仿宋" w:eastAsia="仿宋"/>
          <w:color w:val="000000"/>
          <w:sz w:val="32"/>
          <w:szCs w:val="32"/>
        </w:rPr>
      </w:pPr>
    </w:p>
    <w:p>
      <w:pPr>
        <w:spacing w:line="520" w:lineRule="exact"/>
        <w:ind w:firstLine="640" w:firstLineChars="200"/>
        <w:rPr>
          <w:rFonts w:hint="eastAsia" w:ascii="仿宋" w:hAnsi="仿宋" w:eastAsia="仿宋"/>
          <w:color w:val="000000"/>
          <w:sz w:val="32"/>
          <w:szCs w:val="32"/>
        </w:rPr>
      </w:pPr>
    </w:p>
    <w:p>
      <w:pPr>
        <w:spacing w:line="520" w:lineRule="exact"/>
        <w:ind w:firstLine="640" w:firstLineChars="200"/>
        <w:rPr>
          <w:rFonts w:hint="eastAsia" w:ascii="仿宋" w:hAnsi="仿宋" w:eastAsia="仿宋"/>
          <w:color w:val="000000"/>
          <w:sz w:val="32"/>
          <w:szCs w:val="32"/>
        </w:rPr>
      </w:pPr>
    </w:p>
    <w:p>
      <w:pPr>
        <w:spacing w:line="520" w:lineRule="exact"/>
        <w:ind w:firstLine="640" w:firstLineChars="200"/>
        <w:rPr>
          <w:rFonts w:hint="eastAsia" w:ascii="仿宋" w:hAnsi="仿宋" w:eastAsia="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1"/>
        <w:rPr>
          <w:rFonts w:hint="eastAsia" w:ascii="仿宋" w:hAnsi="仿宋" w:eastAsia="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1"/>
        <w:rPr>
          <w:rFonts w:hint="eastAsia" w:ascii="仿宋" w:hAnsi="仿宋" w:eastAsia="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1"/>
        <w:rPr>
          <w:rFonts w:hint="eastAsia"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3</w:t>
      </w:r>
      <w:r>
        <w:rPr>
          <w:rFonts w:hint="eastAsia" w:ascii="仿宋" w:hAnsi="仿宋" w:eastAsia="仿宋"/>
          <w:color w:val="000000"/>
          <w:sz w:val="32"/>
          <w:szCs w:val="32"/>
        </w:rPr>
        <w:t>：支出决算结构图）（饼状图）</w:t>
      </w:r>
    </w:p>
    <w:p>
      <w:pPr>
        <w:spacing w:line="520" w:lineRule="exact"/>
        <w:ind w:firstLine="640" w:firstLineChars="200"/>
        <w:outlineLvl w:val="1"/>
        <w:rPr>
          <w:rStyle w:val="27"/>
          <w:rFonts w:ascii="黑体" w:hAnsi="黑体" w:eastAsia="黑体"/>
          <w:b w:val="0"/>
        </w:rPr>
      </w:pPr>
      <w:bookmarkStart w:id="29" w:name="_Toc15396606"/>
      <w:bookmarkStart w:id="30" w:name="_Toc15377208"/>
      <w:r>
        <w:rPr>
          <w:rFonts w:hint="eastAsia" w:ascii="黑体" w:hAnsi="黑体" w:eastAsia="黑体"/>
          <w:color w:val="000000"/>
          <w:sz w:val="32"/>
          <w:szCs w:val="32"/>
        </w:rPr>
        <w:t>四、财</w:t>
      </w:r>
      <w:r>
        <w:rPr>
          <w:rStyle w:val="27"/>
          <w:rFonts w:hint="eastAsia" w:ascii="黑体" w:hAnsi="黑体" w:eastAsia="黑体"/>
          <w:b w:val="0"/>
        </w:rPr>
        <w:t>政拨款收入支出决算总体情况说明</w:t>
      </w:r>
      <w:bookmarkEnd w:id="29"/>
      <w:bookmarkEnd w:id="30"/>
    </w:p>
    <w:p>
      <w:pPr>
        <w:spacing w:line="520" w:lineRule="exact"/>
        <w:ind w:firstLine="640" w:firstLineChars="200"/>
        <w:rPr>
          <w:rFonts w:hint="eastAsia" w:ascii="仿宋" w:hAnsi="仿宋" w:eastAsia="仿宋"/>
          <w:sz w:val="32"/>
          <w:szCs w:val="32"/>
        </w:rPr>
      </w:pPr>
      <w:r>
        <w:rPr>
          <w:rFonts w:ascii="仿宋" w:hAnsi="仿宋" w:eastAsia="仿宋"/>
          <w:color w:val="000000"/>
          <w:sz w:val="32"/>
          <w:szCs w:val="32"/>
        </w:rPr>
        <w:t>20</w:t>
      </w:r>
      <w:r>
        <w:rPr>
          <w:rFonts w:hint="eastAsia" w:ascii="仿宋" w:hAnsi="仿宋" w:eastAsia="仿宋"/>
          <w:color w:val="000000"/>
          <w:sz w:val="32"/>
          <w:szCs w:val="32"/>
        </w:rPr>
        <w:t>20年财政拨款收、支总计444</w:t>
      </w:r>
      <w:r>
        <w:rPr>
          <w:rFonts w:hint="eastAsia" w:ascii="仿宋" w:hAnsi="仿宋" w:eastAsia="仿宋"/>
          <w:color w:val="000000"/>
          <w:sz w:val="32"/>
          <w:szCs w:val="32"/>
          <w:lang w:val="en-US" w:eastAsia="zh-CN"/>
        </w:rPr>
        <w:t>2.62</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rPr>
        <w:t>9年相比，财政拨款收、支总计各减少74</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77</w:t>
      </w:r>
      <w:r>
        <w:rPr>
          <w:rFonts w:hint="eastAsia" w:ascii="仿宋" w:hAnsi="仿宋" w:eastAsia="仿宋"/>
          <w:color w:val="000000"/>
          <w:sz w:val="32"/>
          <w:szCs w:val="32"/>
        </w:rPr>
        <w:t>万元，减少14.</w:t>
      </w:r>
      <w:r>
        <w:rPr>
          <w:rFonts w:hint="eastAsia" w:ascii="仿宋" w:hAnsi="仿宋" w:eastAsia="仿宋"/>
          <w:color w:val="000000"/>
          <w:sz w:val="32"/>
          <w:szCs w:val="32"/>
          <w:lang w:val="en-US" w:eastAsia="zh-CN"/>
        </w:rPr>
        <w:t>44</w:t>
      </w:r>
      <w:r>
        <w:rPr>
          <w:rFonts w:ascii="仿宋" w:hAnsi="仿宋" w:eastAsia="仿宋"/>
          <w:color w:val="000000"/>
          <w:sz w:val="32"/>
          <w:szCs w:val="32"/>
        </w:rPr>
        <w:t>%</w:t>
      </w:r>
      <w:r>
        <w:rPr>
          <w:rFonts w:hint="eastAsia" w:ascii="仿宋" w:hAnsi="仿宋" w:eastAsia="仿宋"/>
          <w:color w:val="000000"/>
          <w:sz w:val="32"/>
          <w:szCs w:val="32"/>
        </w:rPr>
        <w:t>。主</w:t>
      </w:r>
      <w:r>
        <w:rPr>
          <w:rFonts w:hint="eastAsia" w:ascii="仿宋" w:hAnsi="仿宋" w:eastAsia="仿宋"/>
          <w:sz w:val="32"/>
          <w:szCs w:val="32"/>
        </w:rPr>
        <w:t>要变动原因一是积极响应政府厉行节约的号召，牢固树立“过紧日子”思想，压减各项经费开支，二是财政应返还额度资金大。</w:t>
      </w:r>
    </w:p>
    <w:p>
      <w:pPr>
        <w:spacing w:line="520" w:lineRule="exact"/>
        <w:ind w:firstLine="420" w:firstLineChars="200"/>
        <w:rPr>
          <w:rFonts w:hint="eastAsia" w:ascii="仿宋" w:hAnsi="仿宋" w:eastAsia="仿宋"/>
          <w:color w:val="000000"/>
          <w:sz w:val="32"/>
          <w:szCs w:val="32"/>
        </w:rPr>
      </w:pPr>
      <w:r>
        <w:drawing>
          <wp:anchor distT="0" distB="0" distL="114935" distR="114935" simplePos="0" relativeHeight="251665408" behindDoc="0" locked="0" layoutInCell="1" allowOverlap="1">
            <wp:simplePos x="0" y="0"/>
            <wp:positionH relativeFrom="column">
              <wp:posOffset>394970</wp:posOffset>
            </wp:positionH>
            <wp:positionV relativeFrom="paragraph">
              <wp:posOffset>33655</wp:posOffset>
            </wp:positionV>
            <wp:extent cx="4476750" cy="1852295"/>
            <wp:effectExtent l="4445" t="4445" r="14605" b="10160"/>
            <wp:wrapNone/>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520" w:lineRule="exact"/>
        <w:ind w:firstLine="640" w:firstLineChars="200"/>
        <w:rPr>
          <w:rFonts w:hint="eastAsia" w:ascii="仿宋" w:hAnsi="仿宋" w:eastAsia="仿宋"/>
          <w:color w:val="000000"/>
          <w:sz w:val="32"/>
          <w:szCs w:val="32"/>
        </w:rPr>
      </w:pPr>
    </w:p>
    <w:p>
      <w:pPr>
        <w:spacing w:line="520" w:lineRule="exact"/>
        <w:ind w:firstLine="640" w:firstLineChars="200"/>
        <w:rPr>
          <w:rFonts w:hint="eastAsia" w:ascii="仿宋" w:hAnsi="仿宋" w:eastAsia="仿宋"/>
          <w:color w:val="000000"/>
          <w:sz w:val="32"/>
          <w:szCs w:val="32"/>
        </w:rPr>
      </w:pPr>
    </w:p>
    <w:p>
      <w:pPr>
        <w:spacing w:line="520" w:lineRule="exact"/>
        <w:ind w:firstLine="640" w:firstLineChars="200"/>
        <w:rPr>
          <w:rFonts w:hint="eastAsia" w:ascii="仿宋" w:hAnsi="仿宋" w:eastAsia="仿宋"/>
          <w:color w:val="000000"/>
          <w:sz w:val="32"/>
          <w:szCs w:val="32"/>
        </w:rPr>
      </w:pPr>
    </w:p>
    <w:p>
      <w:pPr>
        <w:spacing w:line="520" w:lineRule="exact"/>
        <w:ind w:firstLine="640" w:firstLineChars="200"/>
        <w:rPr>
          <w:rFonts w:hint="eastAsia" w:ascii="仿宋" w:hAnsi="仿宋" w:eastAsia="仿宋"/>
          <w:color w:val="000000"/>
          <w:sz w:val="32"/>
          <w:szCs w:val="32"/>
        </w:rPr>
      </w:pPr>
    </w:p>
    <w:p>
      <w:pPr>
        <w:spacing w:line="520" w:lineRule="exact"/>
        <w:ind w:firstLine="640" w:firstLineChars="200"/>
        <w:rPr>
          <w:rFonts w:hint="eastAsia" w:ascii="仿宋" w:hAnsi="仿宋" w:eastAsia="仿宋"/>
          <w:color w:val="000000"/>
          <w:sz w:val="32"/>
          <w:szCs w:val="32"/>
        </w:rPr>
      </w:pPr>
    </w:p>
    <w:p>
      <w:pPr>
        <w:spacing w:line="520" w:lineRule="exact"/>
        <w:ind w:firstLine="640" w:firstLineChars="200"/>
        <w:rPr>
          <w:rFonts w:hint="eastAsia" w:ascii="仿宋" w:hAnsi="仿宋" w:eastAsia="仿宋"/>
          <w:sz w:val="32"/>
          <w:szCs w:val="32"/>
        </w:rPr>
      </w:pPr>
      <w:r>
        <w:rPr>
          <w:rFonts w:hint="eastAsia" w:ascii="仿宋" w:hAnsi="仿宋" w:eastAsia="仿宋"/>
          <w:color w:val="000000"/>
          <w:sz w:val="32"/>
          <w:szCs w:val="32"/>
        </w:rPr>
        <w:t>（图</w:t>
      </w:r>
      <w:r>
        <w:rPr>
          <w:rFonts w:ascii="仿宋" w:hAnsi="仿宋" w:eastAsia="仿宋"/>
          <w:color w:val="000000"/>
          <w:sz w:val="32"/>
          <w:szCs w:val="32"/>
        </w:rPr>
        <w:t>4</w:t>
      </w:r>
      <w:r>
        <w:rPr>
          <w:rFonts w:hint="eastAsia" w:ascii="仿宋" w:hAnsi="仿宋" w:eastAsia="仿宋"/>
          <w:color w:val="000000"/>
          <w:sz w:val="32"/>
          <w:szCs w:val="32"/>
        </w:rPr>
        <w:t>：财政拨款收、支决算总计变动情况）（柱状图）</w:t>
      </w:r>
    </w:p>
    <w:p>
      <w:pPr>
        <w:spacing w:line="520" w:lineRule="exact"/>
        <w:ind w:firstLine="640" w:firstLineChars="200"/>
        <w:outlineLvl w:val="1"/>
        <w:rPr>
          <w:rStyle w:val="27"/>
          <w:rFonts w:ascii="黑体" w:hAnsi="黑体" w:eastAsia="黑体"/>
          <w:b w:val="0"/>
        </w:rPr>
      </w:pPr>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7"/>
          <w:rFonts w:hint="eastAsia" w:ascii="黑体" w:hAnsi="黑体" w:eastAsia="黑体"/>
          <w:b w:val="0"/>
        </w:rPr>
        <w:t>般公共预算财政拨款支出决算情况说明</w:t>
      </w:r>
    </w:p>
    <w:p>
      <w:pPr>
        <w:spacing w:line="520" w:lineRule="exact"/>
        <w:ind w:firstLine="640" w:firstLineChars="200"/>
        <w:outlineLvl w:val="2"/>
        <w:rPr>
          <w:rFonts w:ascii="楷体" w:hAnsi="楷体" w:eastAsia="楷体"/>
          <w:color w:val="000000"/>
          <w:sz w:val="32"/>
          <w:szCs w:val="32"/>
        </w:rPr>
      </w:pPr>
      <w:r>
        <w:rPr>
          <w:rFonts w:hint="eastAsia" w:ascii="楷体" w:hAnsi="楷体" w:eastAsia="楷体"/>
          <w:color w:val="000000"/>
          <w:sz w:val="32"/>
          <w:szCs w:val="32"/>
        </w:rPr>
        <w:t>（一）一般公共预算财政拨款支出决算总体情况</w:t>
      </w:r>
    </w:p>
    <w:p>
      <w:pPr>
        <w:spacing w:line="520" w:lineRule="exact"/>
        <w:ind w:firstLine="640" w:firstLineChars="200"/>
        <w:rPr>
          <w:rFonts w:hint="eastAsia" w:ascii="仿宋" w:hAnsi="仿宋" w:eastAsia="仿宋"/>
          <w:sz w:val="32"/>
          <w:szCs w:val="32"/>
        </w:rPr>
      </w:pPr>
      <w:r>
        <w:rPr>
          <w:rFonts w:ascii="仿宋" w:hAnsi="仿宋" w:eastAsia="仿宋"/>
          <w:color w:val="000000"/>
          <w:sz w:val="32"/>
          <w:szCs w:val="32"/>
        </w:rPr>
        <w:t>20</w:t>
      </w:r>
      <w:r>
        <w:rPr>
          <w:rFonts w:hint="eastAsia" w:ascii="仿宋" w:hAnsi="仿宋" w:eastAsia="仿宋"/>
          <w:color w:val="000000"/>
          <w:sz w:val="32"/>
          <w:szCs w:val="32"/>
        </w:rPr>
        <w:t>20年一般公共预算财政拨款支出3301.18万元，占本年支出合计的100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9年相比，一般公共预算财政拨款增加64.04万元，增长1.98</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sz w:val="32"/>
          <w:szCs w:val="32"/>
        </w:rPr>
        <w:t>增长的主要原因还财政借款。</w:t>
      </w:r>
      <w:bookmarkStart w:id="31" w:name="_Toc15377211"/>
    </w:p>
    <w:p>
      <w:pPr>
        <w:spacing w:line="600" w:lineRule="exact"/>
        <w:rPr>
          <w:rFonts w:hint="eastAsia" w:ascii="仿宋" w:hAnsi="仿宋" w:eastAsia="仿宋"/>
          <w:color w:val="000000"/>
          <w:sz w:val="32"/>
          <w:szCs w:val="32"/>
        </w:rPr>
      </w:pPr>
    </w:p>
    <w:p>
      <w:pPr>
        <w:spacing w:line="600" w:lineRule="exact"/>
        <w:ind w:firstLine="420" w:firstLineChars="200"/>
        <w:rPr>
          <w:rFonts w:hint="eastAsia" w:ascii="仿宋" w:hAnsi="仿宋" w:eastAsia="仿宋"/>
          <w:color w:val="000000"/>
          <w:sz w:val="32"/>
          <w:szCs w:val="32"/>
        </w:rPr>
      </w:pPr>
      <w:r>
        <w:drawing>
          <wp:anchor distT="0" distB="0" distL="114300" distR="114300" simplePos="0" relativeHeight="251663360" behindDoc="0" locked="0" layoutInCell="1" allowOverlap="1">
            <wp:simplePos x="0" y="0"/>
            <wp:positionH relativeFrom="column">
              <wp:posOffset>678180</wp:posOffset>
            </wp:positionH>
            <wp:positionV relativeFrom="paragraph">
              <wp:posOffset>222250</wp:posOffset>
            </wp:positionV>
            <wp:extent cx="4451350" cy="1860550"/>
            <wp:effectExtent l="4445" t="4445" r="20955" b="20955"/>
            <wp:wrapNone/>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rPr>
          <w:rFonts w:hint="eastAsia" w:ascii="仿宋" w:hAnsi="仿宋" w:eastAsia="仿宋"/>
          <w:color w:val="000000"/>
          <w:sz w:val="32"/>
          <w:szCs w:val="32"/>
        </w:rPr>
      </w:pPr>
    </w:p>
    <w:p>
      <w:pPr>
        <w:spacing w:line="600" w:lineRule="exact"/>
        <w:rPr>
          <w:rFonts w:hint="eastAsia" w:ascii="仿宋" w:hAnsi="仿宋" w:eastAsia="仿宋"/>
          <w:sz w:val="32"/>
          <w:szCs w:val="32"/>
        </w:rPr>
      </w:pPr>
      <w:r>
        <w:rPr>
          <w:rFonts w:hint="eastAsia" w:ascii="仿宋" w:hAnsi="仿宋" w:eastAsia="仿宋"/>
          <w:color w:val="000000"/>
          <w:sz w:val="32"/>
          <w:szCs w:val="32"/>
        </w:rPr>
        <w:t>（图</w:t>
      </w:r>
      <w:r>
        <w:rPr>
          <w:rFonts w:ascii="仿宋" w:hAnsi="仿宋" w:eastAsia="仿宋"/>
          <w:color w:val="000000"/>
          <w:sz w:val="32"/>
          <w:szCs w:val="32"/>
        </w:rPr>
        <w:t>5</w:t>
      </w:r>
      <w:r>
        <w:rPr>
          <w:rFonts w:hint="eastAsia" w:ascii="仿宋" w:hAnsi="仿宋" w:eastAsia="仿宋"/>
          <w:color w:val="000000"/>
          <w:sz w:val="32"/>
          <w:szCs w:val="32"/>
        </w:rPr>
        <w:t>：一般公共预算财政拨款支出决算变动情况）（柱状图）</w:t>
      </w:r>
    </w:p>
    <w:p>
      <w:pPr>
        <w:spacing w:line="520" w:lineRule="exact"/>
        <w:ind w:firstLine="640" w:firstLineChars="200"/>
        <w:outlineLvl w:val="2"/>
        <w:rPr>
          <w:rFonts w:ascii="楷体" w:hAnsi="楷体" w:eastAsia="楷体"/>
          <w:color w:val="000000"/>
          <w:sz w:val="32"/>
          <w:szCs w:val="32"/>
        </w:rPr>
      </w:pPr>
      <w:r>
        <w:rPr>
          <w:rFonts w:hint="eastAsia" w:ascii="楷体" w:hAnsi="楷体" w:eastAsia="楷体"/>
          <w:color w:val="000000"/>
          <w:sz w:val="32"/>
          <w:szCs w:val="32"/>
        </w:rPr>
        <w:t>（二）一般公共预算财政拨款支出决算结构情况</w:t>
      </w:r>
      <w:bookmarkEnd w:id="31"/>
    </w:p>
    <w:p>
      <w:pPr>
        <w:spacing w:line="52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w:t>
      </w:r>
      <w:r>
        <w:rPr>
          <w:rFonts w:hint="eastAsia" w:ascii="仿宋" w:hAnsi="仿宋" w:eastAsia="仿宋"/>
          <w:color w:val="000000"/>
          <w:sz w:val="32"/>
          <w:szCs w:val="32"/>
        </w:rPr>
        <w:t>20年一般公共预算财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sz w:val="32"/>
          <w:szCs w:val="32"/>
        </w:rPr>
        <w:t>3301.18</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公共安全（类）支出</w:t>
      </w:r>
      <w:r>
        <w:rPr>
          <w:rFonts w:hint="eastAsia" w:ascii="仿宋" w:hAnsi="仿宋" w:eastAsia="仿宋"/>
          <w:color w:val="000000" w:themeColor="text1"/>
          <w:sz w:val="32"/>
          <w:szCs w:val="32"/>
          <w14:textFill>
            <w14:solidFill>
              <w14:schemeClr w14:val="tx1"/>
            </w14:solidFill>
          </w14:textFill>
        </w:rPr>
        <w:t>2928.55万元，占88.71</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社会保障和就业（类）支出</w:t>
      </w:r>
      <w:r>
        <w:rPr>
          <w:rFonts w:hint="eastAsia" w:ascii="仿宋" w:hAnsi="仿宋" w:eastAsia="仿宋"/>
          <w:color w:val="000000" w:themeColor="text1"/>
          <w:sz w:val="32"/>
          <w:szCs w:val="32"/>
          <w14:textFill>
            <w14:solidFill>
              <w14:schemeClr w14:val="tx1"/>
            </w14:solidFill>
          </w14:textFill>
        </w:rPr>
        <w:t>147.8万元，占4.47</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卫生健康支出</w:t>
      </w:r>
      <w:r>
        <w:rPr>
          <w:rFonts w:hint="eastAsia" w:ascii="仿宋" w:hAnsi="仿宋" w:eastAsia="仿宋"/>
          <w:color w:val="000000" w:themeColor="text1"/>
          <w:sz w:val="32"/>
          <w:szCs w:val="32"/>
          <w14:textFill>
            <w14:solidFill>
              <w14:schemeClr w14:val="tx1"/>
            </w14:solidFill>
          </w14:textFill>
        </w:rPr>
        <w:t>67.9万元，占2.06</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住房保障支出</w:t>
      </w:r>
      <w:r>
        <w:rPr>
          <w:rFonts w:hint="eastAsia" w:ascii="仿宋" w:hAnsi="仿宋" w:eastAsia="仿宋"/>
          <w:color w:val="000000" w:themeColor="text1"/>
          <w:sz w:val="32"/>
          <w:szCs w:val="32"/>
          <w14:textFill>
            <w14:solidFill>
              <w14:schemeClr w14:val="tx1"/>
            </w14:solidFill>
          </w14:textFill>
        </w:rPr>
        <w:t>156.99万元，占4.76</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p>
    <w:p>
      <w:pPr>
        <w:spacing w:line="520" w:lineRule="exact"/>
        <w:ind w:firstLine="420" w:firstLineChars="200"/>
        <w:rPr>
          <w:rFonts w:hint="eastAsia" w:ascii="仿宋" w:hAnsi="仿宋" w:eastAsia="仿宋"/>
          <w:color w:val="000000" w:themeColor="text1"/>
          <w:sz w:val="32"/>
          <w:szCs w:val="32"/>
          <w14:textFill>
            <w14:solidFill>
              <w14:schemeClr w14:val="tx1"/>
            </w14:solidFill>
          </w14:textFill>
        </w:rPr>
      </w:pPr>
      <w:r>
        <w:drawing>
          <wp:anchor distT="0" distB="0" distL="114300" distR="114300" simplePos="0" relativeHeight="251664384" behindDoc="0" locked="0" layoutInCell="1" allowOverlap="1">
            <wp:simplePos x="0" y="0"/>
            <wp:positionH relativeFrom="column">
              <wp:posOffset>443865</wp:posOffset>
            </wp:positionH>
            <wp:positionV relativeFrom="paragraph">
              <wp:posOffset>142875</wp:posOffset>
            </wp:positionV>
            <wp:extent cx="4734560" cy="2266950"/>
            <wp:effectExtent l="4445" t="4445" r="23495" b="14605"/>
            <wp:wrapNone/>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52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52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52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52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52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楷体" w:hAnsi="楷体" w:eastAsia="楷体"/>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6</w:t>
      </w:r>
      <w:r>
        <w:rPr>
          <w:rFonts w:hint="eastAsia" w:ascii="仿宋" w:hAnsi="仿宋" w:eastAsia="仿宋"/>
          <w:color w:val="000000"/>
          <w:sz w:val="32"/>
          <w:szCs w:val="32"/>
        </w:rPr>
        <w:t>：一般公共预算财政拨款支出决算结构）（饼状图）</w:t>
      </w:r>
      <w:bookmarkStart w:id="32" w:name="_Toc15377212"/>
    </w:p>
    <w:p>
      <w:pPr>
        <w:spacing w:line="520" w:lineRule="exact"/>
        <w:ind w:firstLine="640" w:firstLineChars="200"/>
        <w:outlineLvl w:val="2"/>
        <w:rPr>
          <w:rFonts w:hint="eastAsia" w:ascii="仿宋" w:hAnsi="仿宋" w:eastAsia="仿宋"/>
          <w:b/>
          <w:bCs/>
          <w:sz w:val="32"/>
          <w:szCs w:val="32"/>
        </w:rPr>
      </w:pPr>
      <w:r>
        <w:rPr>
          <w:rFonts w:hint="eastAsia" w:ascii="楷体" w:hAnsi="楷体" w:eastAsia="楷体"/>
          <w:color w:val="000000"/>
          <w:sz w:val="32"/>
          <w:szCs w:val="32"/>
        </w:rPr>
        <w:t>（三）一般公共预算财政拨款支出决算具体情况</w:t>
      </w:r>
      <w:bookmarkEnd w:id="32"/>
      <w:bookmarkStart w:id="33" w:name="_Toc15378460"/>
      <w:bookmarkStart w:id="34" w:name="_Toc15377213"/>
      <w:bookmarkStart w:id="35" w:name="_Toc15377444"/>
    </w:p>
    <w:p>
      <w:pPr>
        <w:spacing w:line="520" w:lineRule="exact"/>
        <w:ind w:firstLine="642" w:firstLineChars="200"/>
        <w:outlineLvl w:val="2"/>
        <w:rPr>
          <w:rFonts w:ascii="仿宋" w:hAnsi="仿宋" w:eastAsia="仿宋"/>
          <w:sz w:val="32"/>
          <w:szCs w:val="32"/>
        </w:rPr>
      </w:pPr>
      <w:r>
        <w:rPr>
          <w:rFonts w:hint="eastAsia" w:ascii="仿宋" w:hAnsi="仿宋" w:eastAsia="仿宋"/>
          <w:b/>
          <w:bCs/>
          <w:sz w:val="32"/>
          <w:szCs w:val="32"/>
        </w:rPr>
        <w:t>2020年一般公共预算支出决算数为3301.18万元，</w:t>
      </w:r>
      <w:r>
        <w:rPr>
          <w:rStyle w:val="16"/>
          <w:rFonts w:hint="eastAsia" w:ascii="仿宋" w:hAnsi="仿宋" w:eastAsia="仿宋"/>
          <w:bCs/>
          <w:sz w:val="32"/>
          <w:szCs w:val="32"/>
        </w:rPr>
        <w:t>完成预算93.13</w:t>
      </w:r>
      <w:r>
        <w:rPr>
          <w:rStyle w:val="16"/>
          <w:rFonts w:ascii="仿宋" w:hAnsi="仿宋" w:eastAsia="仿宋"/>
          <w:bCs/>
          <w:sz w:val="32"/>
          <w:szCs w:val="32"/>
        </w:rPr>
        <w:t>%</w:t>
      </w:r>
      <w:r>
        <w:rPr>
          <w:rStyle w:val="16"/>
          <w:rFonts w:hint="eastAsia" w:ascii="仿宋" w:hAnsi="仿宋" w:eastAsia="仿宋"/>
          <w:bCs/>
          <w:sz w:val="32"/>
          <w:szCs w:val="32"/>
        </w:rPr>
        <w:t>。</w:t>
      </w:r>
      <w:r>
        <w:rPr>
          <w:rStyle w:val="16"/>
          <w:rFonts w:hint="eastAsia" w:ascii="仿宋" w:hAnsi="仿宋" w:eastAsia="仿宋"/>
          <w:sz w:val="32"/>
          <w:szCs w:val="32"/>
        </w:rPr>
        <w:t>其中：</w:t>
      </w:r>
      <w:bookmarkEnd w:id="33"/>
      <w:bookmarkEnd w:id="34"/>
      <w:bookmarkEnd w:id="35"/>
    </w:p>
    <w:p>
      <w:pPr>
        <w:autoSpaceDE w:val="0"/>
        <w:autoSpaceDN w:val="0"/>
        <w:adjustRightInd w:val="0"/>
        <w:spacing w:line="520" w:lineRule="exact"/>
        <w:ind w:firstLine="642" w:firstLineChars="200"/>
        <w:rPr>
          <w:rFonts w:ascii="仿宋" w:hAnsi="仿宋" w:eastAsia="仿宋"/>
          <w:sz w:val="32"/>
          <w:szCs w:val="32"/>
        </w:rPr>
      </w:pPr>
      <w:r>
        <w:rPr>
          <w:rStyle w:val="16"/>
          <w:rFonts w:ascii="仿宋" w:hAnsi="仿宋" w:eastAsia="仿宋"/>
          <w:sz w:val="32"/>
          <w:szCs w:val="32"/>
        </w:rPr>
        <w:t>1.</w:t>
      </w:r>
      <w:r>
        <w:rPr>
          <w:rStyle w:val="16"/>
          <w:rFonts w:hint="eastAsia" w:ascii="仿宋" w:hAnsi="仿宋" w:eastAsia="仿宋"/>
          <w:sz w:val="32"/>
          <w:szCs w:val="32"/>
        </w:rPr>
        <w:t>公共安全支出（类）检察（款）行政运行（项）</w:t>
      </w:r>
      <w:r>
        <w:rPr>
          <w:rStyle w:val="16"/>
          <w:rFonts w:ascii="仿宋" w:hAnsi="仿宋" w:eastAsia="仿宋"/>
          <w:sz w:val="32"/>
          <w:szCs w:val="32"/>
        </w:rPr>
        <w:t>:</w:t>
      </w:r>
      <w:r>
        <w:rPr>
          <w:rStyle w:val="16"/>
          <w:rFonts w:hint="eastAsia" w:ascii="仿宋" w:hAnsi="仿宋" w:eastAsia="仿宋"/>
          <w:b w:val="0"/>
          <w:bCs/>
          <w:sz w:val="32"/>
          <w:szCs w:val="32"/>
        </w:rPr>
        <w:t>支出决算为1987.31万元，完成预算98.73</w:t>
      </w:r>
      <w:r>
        <w:rPr>
          <w:rStyle w:val="16"/>
          <w:rFonts w:ascii="仿宋" w:hAnsi="仿宋" w:eastAsia="仿宋"/>
          <w:b w:val="0"/>
          <w:bCs/>
          <w:sz w:val="32"/>
          <w:szCs w:val="32"/>
        </w:rPr>
        <w:t>%</w:t>
      </w:r>
      <w:r>
        <w:rPr>
          <w:rStyle w:val="16"/>
          <w:rFonts w:hint="eastAsia" w:ascii="仿宋" w:hAnsi="仿宋" w:eastAsia="仿宋"/>
          <w:b w:val="0"/>
          <w:bCs/>
          <w:sz w:val="32"/>
          <w:szCs w:val="32"/>
        </w:rPr>
        <w:t>，与预算基本持平。</w:t>
      </w:r>
    </w:p>
    <w:p>
      <w:pPr>
        <w:autoSpaceDE w:val="0"/>
        <w:autoSpaceDN w:val="0"/>
        <w:adjustRightInd w:val="0"/>
        <w:spacing w:line="520" w:lineRule="exact"/>
        <w:ind w:firstLine="642" w:firstLineChars="200"/>
        <w:rPr>
          <w:rFonts w:ascii="仿宋" w:hAnsi="仿宋" w:eastAsia="仿宋"/>
          <w:sz w:val="32"/>
          <w:szCs w:val="32"/>
        </w:rPr>
      </w:pPr>
      <w:r>
        <w:rPr>
          <w:rStyle w:val="16"/>
          <w:rFonts w:hint="eastAsia" w:ascii="仿宋" w:hAnsi="仿宋" w:eastAsia="仿宋"/>
          <w:sz w:val="32"/>
          <w:szCs w:val="32"/>
        </w:rPr>
        <w:t>2.公共安全支出（类）检察（款）一般行政管理事务（项）：</w:t>
      </w:r>
      <w:r>
        <w:rPr>
          <w:rFonts w:hint="eastAsia" w:ascii="仿宋" w:hAnsi="仿宋" w:eastAsia="仿宋"/>
          <w:sz w:val="32"/>
          <w:szCs w:val="32"/>
        </w:rPr>
        <w:t>541.57万元，完成预算100%，</w:t>
      </w:r>
      <w:r>
        <w:rPr>
          <w:rStyle w:val="16"/>
          <w:rFonts w:hint="eastAsia" w:ascii="仿宋" w:hAnsi="仿宋" w:eastAsia="仿宋"/>
          <w:b w:val="0"/>
          <w:bCs/>
          <w:sz w:val="32"/>
          <w:szCs w:val="32"/>
        </w:rPr>
        <w:t>与预算基本持平</w:t>
      </w:r>
    </w:p>
    <w:p>
      <w:pPr>
        <w:autoSpaceDE w:val="0"/>
        <w:autoSpaceDN w:val="0"/>
        <w:adjustRightInd w:val="0"/>
        <w:spacing w:line="520" w:lineRule="exact"/>
        <w:ind w:firstLine="642" w:firstLineChars="200"/>
        <w:rPr>
          <w:rFonts w:ascii="仿宋" w:hAnsi="仿宋" w:eastAsia="仿宋"/>
          <w:sz w:val="32"/>
          <w:szCs w:val="32"/>
        </w:rPr>
      </w:pPr>
      <w:r>
        <w:rPr>
          <w:rStyle w:val="16"/>
          <w:rFonts w:hint="eastAsia" w:ascii="仿宋" w:hAnsi="仿宋" w:eastAsia="仿宋"/>
          <w:sz w:val="32"/>
          <w:szCs w:val="32"/>
        </w:rPr>
        <w:t>5.公共安全支出（类）检察（款）检察监督（项）</w:t>
      </w:r>
      <w:r>
        <w:rPr>
          <w:rFonts w:hint="eastAsia" w:ascii="仿宋" w:hAnsi="仿宋" w:eastAsia="仿宋"/>
          <w:sz w:val="32"/>
          <w:szCs w:val="32"/>
        </w:rPr>
        <w:t>281.72万元，完成预算100%，</w:t>
      </w:r>
      <w:r>
        <w:rPr>
          <w:rStyle w:val="16"/>
          <w:rFonts w:hint="eastAsia" w:ascii="仿宋" w:hAnsi="仿宋" w:eastAsia="仿宋"/>
          <w:b w:val="0"/>
          <w:bCs/>
          <w:sz w:val="32"/>
          <w:szCs w:val="32"/>
        </w:rPr>
        <w:t>与预算基本持平</w:t>
      </w:r>
    </w:p>
    <w:p>
      <w:pPr>
        <w:autoSpaceDE w:val="0"/>
        <w:autoSpaceDN w:val="0"/>
        <w:adjustRightInd w:val="0"/>
        <w:spacing w:line="520" w:lineRule="exact"/>
        <w:ind w:firstLine="642" w:firstLineChars="200"/>
        <w:rPr>
          <w:rFonts w:ascii="仿宋" w:hAnsi="仿宋" w:eastAsia="仿宋"/>
          <w:sz w:val="32"/>
          <w:szCs w:val="32"/>
        </w:rPr>
      </w:pPr>
      <w:r>
        <w:rPr>
          <w:rStyle w:val="16"/>
          <w:rFonts w:hint="eastAsia" w:ascii="仿宋" w:hAnsi="仿宋" w:eastAsia="仿宋"/>
          <w:sz w:val="32"/>
          <w:szCs w:val="32"/>
        </w:rPr>
        <w:t>6.公共安全支出（类）检察（款）其他检察支出（项）</w:t>
      </w:r>
      <w:r>
        <w:rPr>
          <w:rFonts w:hint="eastAsia" w:ascii="仿宋" w:hAnsi="仿宋" w:eastAsia="仿宋"/>
          <w:sz w:val="32"/>
          <w:szCs w:val="32"/>
        </w:rPr>
        <w:t>117.9万元，完成预算100%。</w:t>
      </w:r>
      <w:r>
        <w:rPr>
          <w:rStyle w:val="16"/>
          <w:rFonts w:hint="eastAsia" w:ascii="仿宋" w:hAnsi="仿宋" w:eastAsia="仿宋"/>
          <w:b w:val="0"/>
          <w:bCs/>
          <w:sz w:val="32"/>
          <w:szCs w:val="32"/>
        </w:rPr>
        <w:t>与预算基本持平</w:t>
      </w:r>
    </w:p>
    <w:p>
      <w:pPr>
        <w:autoSpaceDE w:val="0"/>
        <w:autoSpaceDN w:val="0"/>
        <w:adjustRightInd w:val="0"/>
        <w:spacing w:line="520" w:lineRule="exact"/>
        <w:ind w:firstLine="642" w:firstLineChars="200"/>
        <w:rPr>
          <w:rFonts w:ascii="仿宋" w:hAnsi="仿宋" w:eastAsia="仿宋"/>
          <w:sz w:val="32"/>
          <w:szCs w:val="32"/>
        </w:rPr>
      </w:pPr>
      <w:r>
        <w:rPr>
          <w:rStyle w:val="16"/>
          <w:rFonts w:hint="eastAsia" w:ascii="仿宋" w:hAnsi="仿宋" w:eastAsia="仿宋"/>
          <w:sz w:val="32"/>
          <w:szCs w:val="32"/>
        </w:rPr>
        <w:t>7.社会保障和就业支出（类）行政事业单位离退休（款）机关事业单位基本养老保险缴费支出（项）</w:t>
      </w:r>
      <w:r>
        <w:rPr>
          <w:rFonts w:hint="eastAsia" w:ascii="仿宋" w:hAnsi="仿宋" w:eastAsia="仿宋"/>
          <w:sz w:val="32"/>
          <w:szCs w:val="32"/>
        </w:rPr>
        <w:t>128.66万元，完成预算100%。</w:t>
      </w:r>
      <w:r>
        <w:rPr>
          <w:rStyle w:val="16"/>
          <w:rFonts w:hint="eastAsia" w:ascii="仿宋" w:hAnsi="仿宋" w:eastAsia="仿宋"/>
          <w:b w:val="0"/>
          <w:bCs/>
          <w:sz w:val="32"/>
          <w:szCs w:val="32"/>
        </w:rPr>
        <w:t>与预算基本持平</w:t>
      </w:r>
    </w:p>
    <w:p>
      <w:pPr>
        <w:autoSpaceDE w:val="0"/>
        <w:autoSpaceDN w:val="0"/>
        <w:adjustRightInd w:val="0"/>
        <w:spacing w:line="520" w:lineRule="exact"/>
        <w:ind w:firstLine="642" w:firstLineChars="200"/>
        <w:rPr>
          <w:rFonts w:ascii="仿宋" w:hAnsi="仿宋" w:eastAsia="仿宋"/>
          <w:sz w:val="32"/>
          <w:szCs w:val="32"/>
        </w:rPr>
      </w:pPr>
      <w:r>
        <w:rPr>
          <w:rStyle w:val="16"/>
          <w:rFonts w:hint="eastAsia" w:ascii="仿宋" w:hAnsi="仿宋" w:eastAsia="仿宋"/>
          <w:sz w:val="32"/>
          <w:szCs w:val="32"/>
        </w:rPr>
        <w:t>8.社会保障和就业支出（类）行政事业单位离退休（款）机关事业单位职业年金缴费支出（项）</w:t>
      </w:r>
      <w:r>
        <w:rPr>
          <w:rFonts w:hint="eastAsia" w:ascii="仿宋" w:hAnsi="仿宋" w:eastAsia="仿宋"/>
          <w:sz w:val="32"/>
          <w:szCs w:val="32"/>
        </w:rPr>
        <w:t>19.14万元。完成预算100%。</w:t>
      </w:r>
      <w:r>
        <w:rPr>
          <w:rStyle w:val="16"/>
          <w:rFonts w:hint="eastAsia" w:ascii="仿宋" w:hAnsi="仿宋" w:eastAsia="仿宋"/>
          <w:b w:val="0"/>
          <w:bCs/>
          <w:sz w:val="32"/>
          <w:szCs w:val="32"/>
        </w:rPr>
        <w:t>与预算基本持平</w:t>
      </w:r>
    </w:p>
    <w:p>
      <w:pPr>
        <w:autoSpaceDE w:val="0"/>
        <w:autoSpaceDN w:val="0"/>
        <w:adjustRightInd w:val="0"/>
        <w:spacing w:line="520" w:lineRule="exact"/>
        <w:ind w:firstLine="642" w:firstLineChars="200"/>
        <w:rPr>
          <w:rFonts w:ascii="仿宋" w:hAnsi="仿宋" w:eastAsia="仿宋"/>
          <w:sz w:val="32"/>
          <w:szCs w:val="32"/>
        </w:rPr>
      </w:pPr>
      <w:r>
        <w:rPr>
          <w:rStyle w:val="16"/>
          <w:rFonts w:hint="eastAsia" w:ascii="仿宋" w:hAnsi="仿宋" w:eastAsia="仿宋"/>
          <w:sz w:val="32"/>
          <w:szCs w:val="32"/>
        </w:rPr>
        <w:t>9.医疗卫生与计划生育支出（类）行政事业单位医疗（款）行政单位医疗（项）：</w:t>
      </w:r>
      <w:r>
        <w:rPr>
          <w:rFonts w:hint="eastAsia" w:ascii="仿宋" w:hAnsi="仿宋" w:eastAsia="仿宋"/>
          <w:sz w:val="32"/>
          <w:szCs w:val="32"/>
        </w:rPr>
        <w:t>67.9万元，完成预算100%。</w:t>
      </w:r>
      <w:r>
        <w:rPr>
          <w:rStyle w:val="16"/>
          <w:rFonts w:hint="eastAsia" w:ascii="仿宋" w:hAnsi="仿宋" w:eastAsia="仿宋"/>
          <w:b w:val="0"/>
          <w:bCs/>
          <w:sz w:val="32"/>
          <w:szCs w:val="32"/>
        </w:rPr>
        <w:t>与预算基本持平</w:t>
      </w:r>
    </w:p>
    <w:p>
      <w:pPr>
        <w:autoSpaceDE w:val="0"/>
        <w:autoSpaceDN w:val="0"/>
        <w:adjustRightInd w:val="0"/>
        <w:spacing w:line="520" w:lineRule="exact"/>
        <w:ind w:firstLine="642" w:firstLineChars="200"/>
        <w:rPr>
          <w:rFonts w:ascii="仿宋" w:hAnsi="仿宋" w:eastAsia="仿宋"/>
          <w:sz w:val="32"/>
          <w:szCs w:val="32"/>
        </w:rPr>
      </w:pPr>
      <w:r>
        <w:rPr>
          <w:rStyle w:val="16"/>
          <w:rFonts w:hint="eastAsia" w:ascii="仿宋" w:hAnsi="仿宋" w:eastAsia="仿宋"/>
          <w:sz w:val="32"/>
          <w:szCs w:val="32"/>
        </w:rPr>
        <w:t>10.住房保障支出（类）住房改革支出（款）住房公积金（项）:</w:t>
      </w:r>
      <w:r>
        <w:rPr>
          <w:rFonts w:hint="eastAsia" w:ascii="仿宋" w:hAnsi="仿宋" w:eastAsia="仿宋"/>
          <w:sz w:val="32"/>
          <w:szCs w:val="32"/>
        </w:rPr>
        <w:t>156.99万元，完成预算100%</w:t>
      </w:r>
      <w:r>
        <w:rPr>
          <w:rStyle w:val="16"/>
          <w:rFonts w:hint="eastAsia" w:ascii="仿宋" w:hAnsi="仿宋" w:eastAsia="仿宋"/>
          <w:b w:val="0"/>
          <w:bCs/>
          <w:sz w:val="32"/>
          <w:szCs w:val="32"/>
        </w:rPr>
        <w:t>与预算基本持平</w:t>
      </w:r>
      <w:r>
        <w:rPr>
          <w:rFonts w:hint="eastAsia" w:ascii="仿宋" w:hAnsi="仿宋" w:eastAsia="仿宋"/>
          <w:color w:val="000000"/>
          <w:sz w:val="32"/>
          <w:szCs w:val="32"/>
        </w:rPr>
        <w:t>。</w:t>
      </w:r>
    </w:p>
    <w:p>
      <w:pPr>
        <w:tabs>
          <w:tab w:val="right" w:pos="8306"/>
        </w:tabs>
        <w:spacing w:line="520" w:lineRule="exact"/>
        <w:ind w:firstLine="640" w:firstLineChars="200"/>
        <w:outlineLvl w:val="1"/>
        <w:rPr>
          <w:rStyle w:val="27"/>
        </w:rPr>
      </w:pPr>
      <w:bookmarkStart w:id="36" w:name="_Toc15396608"/>
      <w:bookmarkStart w:id="37"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7"/>
          <w:rFonts w:hint="eastAsia" w:ascii="黑体" w:hAnsi="黑体" w:eastAsia="黑体"/>
          <w:b w:val="0"/>
        </w:rPr>
        <w:t>般公共预算财政拨款基本支出决算情况说</w:t>
      </w:r>
      <w:bookmarkEnd w:id="36"/>
      <w:bookmarkEnd w:id="37"/>
      <w:r>
        <w:rPr>
          <w:rStyle w:val="27"/>
          <w:rFonts w:hint="eastAsia" w:ascii="黑体" w:hAnsi="黑体" w:eastAsia="黑体"/>
          <w:b w:val="0"/>
        </w:rPr>
        <w:t>明</w:t>
      </w:r>
    </w:p>
    <w:p>
      <w:pPr>
        <w:spacing w:line="520" w:lineRule="exact"/>
        <w:ind w:firstLine="640" w:firstLineChars="20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20年一般公共预算财政拨款基本支出2359.99万元，其中：人员经费2024.64万元，主要包括：基本工资、津贴补贴、奖金、伙食补助费、绩效工资、机关事业单位基本养老保险缴费、职业年金缴费、其他社会保障缴费、其他工资福利支出</w:t>
      </w:r>
      <w:r>
        <w:rPr>
          <w:rFonts w:hint="eastAsia" w:ascii="仿宋" w:hAnsi="仿宋" w:eastAsia="仿宋"/>
          <w:color w:val="000000"/>
          <w:sz w:val="32"/>
          <w:szCs w:val="32"/>
          <w:lang w:eastAsia="zh-CN"/>
        </w:rPr>
        <w:t>、</w:t>
      </w:r>
      <w:r>
        <w:rPr>
          <w:rFonts w:hint="eastAsia" w:ascii="仿宋" w:hAnsi="仿宋" w:eastAsia="仿宋"/>
          <w:color w:val="000000"/>
          <w:sz w:val="32"/>
          <w:szCs w:val="32"/>
        </w:rPr>
        <w:t>退休费、生活补助、医疗费、奖励金、住房公积金等。</w:t>
      </w:r>
      <w:r>
        <w:rPr>
          <w:rFonts w:ascii="仿宋" w:hAnsi="仿宋" w:eastAsia="仿宋"/>
          <w:color w:val="000000"/>
          <w:sz w:val="32"/>
          <w:szCs w:val="32"/>
        </w:rPr>
        <w:br w:type="textWrapping"/>
      </w:r>
      <w:r>
        <w:rPr>
          <w:rFonts w:hint="eastAsia" w:ascii="仿宋" w:hAnsi="仿宋" w:eastAsia="仿宋"/>
          <w:color w:val="000000"/>
          <w:sz w:val="32"/>
          <w:szCs w:val="32"/>
        </w:rPr>
        <w:t xml:space="preserve">    公用经费335.35万元，主要包括：办公费、印刷费、手续费、水费、电费、邮电费、物业管理费、差旅费、维修（护）费、租赁费、会议费、培训费、公务接待费、劳务费、工会经费、福利费、公务用车运行维护费、其他交通费、其他商品和服务支出、办公设备购置、专用设备购置、信息网络及软件购置更新、其他资本性支出等。</w:t>
      </w:r>
    </w:p>
    <w:p>
      <w:pPr>
        <w:spacing w:line="520" w:lineRule="exact"/>
        <w:ind w:firstLine="640" w:firstLineChars="200"/>
        <w:outlineLvl w:val="1"/>
        <w:rPr>
          <w:rStyle w:val="27"/>
          <w:rFonts w:ascii="黑体" w:hAnsi="黑体" w:eastAsia="黑体"/>
          <w:b w:val="0"/>
        </w:rPr>
      </w:pPr>
      <w:bookmarkStart w:id="38" w:name="_Toc15396609"/>
      <w:bookmarkStart w:id="39" w:name="_Toc15377215"/>
      <w:r>
        <w:rPr>
          <w:rFonts w:hint="eastAsia" w:ascii="黑体" w:eastAsia="黑体"/>
          <w:color w:val="000000"/>
          <w:sz w:val="32"/>
          <w:szCs w:val="32"/>
        </w:rPr>
        <w:t>七、</w:t>
      </w:r>
      <w:r>
        <w:rPr>
          <w:rStyle w:val="27"/>
          <w:rFonts w:hint="eastAsia" w:ascii="黑体" w:hAnsi="黑体" w:eastAsia="黑体"/>
        </w:rPr>
        <w:t>“</w:t>
      </w:r>
      <w:r>
        <w:rPr>
          <w:rStyle w:val="27"/>
          <w:rFonts w:hint="eastAsia" w:ascii="黑体" w:hAnsi="黑体" w:eastAsia="黑体"/>
          <w:b w:val="0"/>
        </w:rPr>
        <w:t>三公”经费财政拨款支出决算情况说明</w:t>
      </w:r>
      <w:bookmarkEnd w:id="38"/>
      <w:bookmarkEnd w:id="39"/>
    </w:p>
    <w:p>
      <w:pPr>
        <w:spacing w:line="520" w:lineRule="exact"/>
        <w:ind w:firstLine="640" w:firstLineChars="200"/>
        <w:outlineLvl w:val="2"/>
        <w:rPr>
          <w:rFonts w:ascii="楷体" w:hAnsi="楷体" w:eastAsia="楷体"/>
          <w:color w:val="000000"/>
          <w:sz w:val="32"/>
          <w:szCs w:val="32"/>
        </w:rPr>
      </w:pPr>
      <w:bookmarkStart w:id="40" w:name="_Toc15377216"/>
      <w:r>
        <w:rPr>
          <w:rFonts w:hint="eastAsia" w:ascii="楷体" w:hAnsi="楷体" w:eastAsia="楷体"/>
          <w:color w:val="000000"/>
          <w:sz w:val="32"/>
          <w:szCs w:val="32"/>
        </w:rPr>
        <w:t>（一）“三公”经费财政拨款支出决算总体情况说明</w:t>
      </w:r>
      <w:bookmarkEnd w:id="40"/>
    </w:p>
    <w:p>
      <w:pPr>
        <w:spacing w:line="520" w:lineRule="exact"/>
        <w:ind w:firstLine="640" w:firstLineChars="200"/>
        <w:rPr>
          <w:rFonts w:ascii="仿宋" w:hAnsi="仿宋" w:eastAsia="仿宋"/>
          <w:b/>
          <w:color w:val="000000" w:themeColor="text1"/>
          <w:sz w:val="32"/>
          <w:szCs w:val="32"/>
          <w14:textFill>
            <w14:solidFill>
              <w14:schemeClr w14:val="tx1"/>
            </w14:solidFill>
          </w14:textFill>
        </w:rPr>
      </w:pPr>
      <w:r>
        <w:rPr>
          <w:rFonts w:ascii="仿宋" w:hAnsi="仿宋" w:eastAsia="仿宋"/>
          <w:color w:val="000000"/>
          <w:sz w:val="32"/>
          <w:szCs w:val="32"/>
        </w:rPr>
        <w:t>20</w:t>
      </w:r>
      <w:r>
        <w:rPr>
          <w:rFonts w:hint="eastAsia" w:ascii="仿宋" w:hAnsi="仿宋" w:eastAsia="仿宋"/>
          <w:color w:val="000000"/>
          <w:sz w:val="32"/>
          <w:szCs w:val="32"/>
        </w:rPr>
        <w:t>20年“三公”经费财政拨款支出决算为48.34万元，完成预算74.95</w:t>
      </w:r>
      <w:r>
        <w:rPr>
          <w:rFonts w:ascii="仿宋" w:hAnsi="仿宋" w:eastAsia="仿宋"/>
          <w:color w:val="000000"/>
          <w:sz w:val="32"/>
          <w:szCs w:val="32"/>
        </w:rPr>
        <w:t>%</w:t>
      </w:r>
      <w:r>
        <w:rPr>
          <w:rFonts w:hint="eastAsia" w:ascii="仿宋" w:hAnsi="仿宋" w:eastAsia="仿宋"/>
          <w:color w:val="000000"/>
          <w:sz w:val="32"/>
          <w:szCs w:val="32"/>
        </w:rPr>
        <w:t>。决算数小于预算数的主要原因是加强了对“三公经费”支出的管理。</w:t>
      </w:r>
    </w:p>
    <w:p>
      <w:pPr>
        <w:spacing w:line="520" w:lineRule="exact"/>
        <w:ind w:firstLine="640" w:firstLineChars="200"/>
        <w:outlineLvl w:val="2"/>
        <w:rPr>
          <w:rFonts w:ascii="楷体" w:hAnsi="楷体" w:eastAsia="楷体"/>
          <w:color w:val="000000"/>
          <w:sz w:val="32"/>
          <w:szCs w:val="32"/>
        </w:rPr>
      </w:pPr>
      <w:bookmarkStart w:id="41" w:name="_Toc15377217"/>
      <w:r>
        <w:rPr>
          <w:rFonts w:hint="eastAsia" w:ascii="楷体" w:hAnsi="楷体" w:eastAsia="楷体"/>
          <w:color w:val="000000"/>
          <w:sz w:val="32"/>
          <w:szCs w:val="32"/>
        </w:rPr>
        <w:t>（二）“三公”经费财政拨款支出决算具体情况说明</w:t>
      </w:r>
      <w:bookmarkEnd w:id="41"/>
    </w:p>
    <w:p>
      <w:pPr>
        <w:spacing w:line="520" w:lineRule="exact"/>
        <w:ind w:firstLine="640" w:firstLineChars="20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20年“三公”经费财政拨款支出决算中，因公出国（境）费支出决算0万元，占0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；公务用车购置及运行维护费支出决算46.37万元，占95.92</w:t>
      </w:r>
      <w:r>
        <w:rPr>
          <w:rFonts w:ascii="仿宋" w:hAnsi="仿宋" w:eastAsia="仿宋"/>
          <w:color w:val="000000"/>
          <w:sz w:val="32"/>
          <w:szCs w:val="32"/>
        </w:rPr>
        <w:t>%</w:t>
      </w:r>
      <w:r>
        <w:rPr>
          <w:rFonts w:hint="eastAsia" w:ascii="仿宋" w:hAnsi="仿宋" w:eastAsia="仿宋"/>
          <w:color w:val="000000"/>
          <w:sz w:val="32"/>
          <w:szCs w:val="32"/>
        </w:rPr>
        <w:t>；公务接待费支出决算1.97万元，占4.08</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520" w:lineRule="exact"/>
        <w:ind w:firstLine="420" w:firstLineChars="200"/>
        <w:rPr>
          <w:rFonts w:ascii="仿宋" w:hAnsi="仿宋" w:eastAsia="仿宋"/>
          <w:b/>
          <w:bCs/>
          <w:color w:val="000000"/>
          <w:sz w:val="32"/>
          <w:szCs w:val="32"/>
        </w:rPr>
      </w:pPr>
      <w:r>
        <w:drawing>
          <wp:anchor distT="0" distB="0" distL="114935" distR="114935" simplePos="0" relativeHeight="251661312" behindDoc="0" locked="0" layoutInCell="1" allowOverlap="1">
            <wp:simplePos x="0" y="0"/>
            <wp:positionH relativeFrom="column">
              <wp:posOffset>443865</wp:posOffset>
            </wp:positionH>
            <wp:positionV relativeFrom="paragraph">
              <wp:posOffset>219710</wp:posOffset>
            </wp:positionV>
            <wp:extent cx="4909185" cy="2465705"/>
            <wp:effectExtent l="4445" t="4445" r="20320" b="6350"/>
            <wp:wrapNone/>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520" w:lineRule="exact"/>
        <w:ind w:firstLine="642" w:firstLineChars="200"/>
        <w:rPr>
          <w:rFonts w:ascii="仿宋" w:hAnsi="仿宋" w:eastAsia="仿宋"/>
          <w:b/>
          <w:bCs/>
          <w:color w:val="000000"/>
          <w:sz w:val="32"/>
          <w:szCs w:val="32"/>
        </w:rPr>
      </w:pPr>
    </w:p>
    <w:p>
      <w:pPr>
        <w:spacing w:line="520" w:lineRule="exact"/>
        <w:ind w:firstLine="642" w:firstLineChars="200"/>
        <w:rPr>
          <w:rFonts w:ascii="仿宋" w:hAnsi="仿宋" w:eastAsia="仿宋"/>
          <w:b/>
          <w:bCs/>
          <w:color w:val="000000"/>
          <w:sz w:val="32"/>
          <w:szCs w:val="32"/>
        </w:rPr>
      </w:pPr>
    </w:p>
    <w:p>
      <w:pPr>
        <w:spacing w:line="520" w:lineRule="exact"/>
        <w:ind w:firstLine="642" w:firstLineChars="200"/>
        <w:rPr>
          <w:rFonts w:ascii="仿宋" w:hAnsi="仿宋" w:eastAsia="仿宋"/>
          <w:b/>
          <w:bCs/>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1"/>
        <w:textAlignment w:val="auto"/>
        <w:rPr>
          <w:rFonts w:hint="eastAsia" w:ascii="仿宋" w:hAnsi="仿宋" w:eastAsia="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1"/>
        <w:textAlignment w:val="auto"/>
        <w:rPr>
          <w:rFonts w:hint="eastAsia" w:ascii="仿宋" w:hAnsi="仿宋" w:eastAsia="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1"/>
        <w:textAlignment w:val="auto"/>
        <w:rPr>
          <w:rFonts w:hint="eastAsia" w:ascii="仿宋" w:hAnsi="仿宋" w:eastAsia="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1"/>
        <w:textAlignment w:val="auto"/>
        <w:rPr>
          <w:rFonts w:hint="eastAsia" w:ascii="仿宋" w:hAnsi="仿宋" w:eastAsia="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1"/>
        <w:textAlignment w:val="auto"/>
        <w:rPr>
          <w:rFonts w:ascii="仿宋" w:hAnsi="仿宋" w:eastAsia="仿宋"/>
          <w:b/>
          <w:bCs/>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7</w:t>
      </w:r>
      <w:r>
        <w:rPr>
          <w:rFonts w:hint="eastAsia" w:ascii="仿宋" w:hAnsi="仿宋" w:eastAsia="仿宋"/>
          <w:color w:val="000000"/>
          <w:sz w:val="32"/>
          <w:szCs w:val="32"/>
        </w:rPr>
        <w:t>：“三公”经费财政拨款支出结构）（饼状图）</w:t>
      </w:r>
    </w:p>
    <w:p>
      <w:pPr>
        <w:spacing w:line="520" w:lineRule="exact"/>
        <w:ind w:firstLine="642" w:firstLineChars="200"/>
        <w:rPr>
          <w:rFonts w:hint="eastAsia" w:ascii="仿宋" w:hAnsi="仿宋" w:eastAsia="仿宋"/>
          <w:color w:val="000000"/>
          <w:sz w:val="32"/>
          <w:szCs w:val="32"/>
          <w:lang w:eastAsia="zh-CN"/>
        </w:rPr>
      </w:pPr>
      <w:r>
        <w:rPr>
          <w:rFonts w:ascii="仿宋" w:hAnsi="仿宋" w:eastAsia="仿宋"/>
          <w:b/>
          <w:bCs/>
          <w:color w:val="000000"/>
          <w:sz w:val="32"/>
          <w:szCs w:val="32"/>
        </w:rPr>
        <w:t>1.</w:t>
      </w:r>
      <w:r>
        <w:rPr>
          <w:rFonts w:hint="eastAsia" w:ascii="仿宋" w:hAnsi="仿宋" w:eastAsia="仿宋"/>
          <w:b/>
          <w:bCs/>
          <w:color w:val="000000"/>
          <w:sz w:val="32"/>
          <w:szCs w:val="32"/>
        </w:rPr>
        <w:t>因公出国（境）经费支出</w:t>
      </w:r>
      <w:r>
        <w:rPr>
          <w:rFonts w:hint="eastAsia" w:ascii="仿宋" w:hAnsi="仿宋" w:eastAsia="仿宋"/>
          <w:color w:val="000000"/>
          <w:sz w:val="32"/>
          <w:szCs w:val="32"/>
        </w:rPr>
        <w:t>0万元。</w:t>
      </w:r>
      <w:r>
        <w:rPr>
          <w:rFonts w:hint="eastAsia" w:ascii="仿宋" w:hAnsi="仿宋" w:eastAsia="仿宋"/>
          <w:color w:val="000000"/>
          <w:sz w:val="32"/>
          <w:szCs w:val="32"/>
          <w:lang w:eastAsia="zh-CN"/>
        </w:rPr>
        <w:t>年初未安排预算，与上年持平。</w:t>
      </w:r>
    </w:p>
    <w:p>
      <w:pPr>
        <w:spacing w:line="520" w:lineRule="exact"/>
        <w:ind w:firstLine="640" w:firstLineChars="200"/>
        <w:rPr>
          <w:rFonts w:ascii="仿宋" w:hAnsi="仿宋" w:eastAsia="仿宋"/>
          <w:color w:val="000000"/>
          <w:sz w:val="32"/>
          <w:szCs w:val="32"/>
        </w:rPr>
      </w:pPr>
      <w:r>
        <w:rPr>
          <w:rFonts w:ascii="仿宋" w:hAnsi="仿宋" w:eastAsia="仿宋"/>
          <w:color w:val="000000"/>
          <w:sz w:val="32"/>
          <w:szCs w:val="32"/>
        </w:rPr>
        <w:t>2.</w:t>
      </w:r>
      <w:r>
        <w:rPr>
          <w:rFonts w:hint="eastAsia" w:ascii="仿宋" w:hAnsi="仿宋" w:eastAsia="仿宋"/>
          <w:b/>
          <w:bCs/>
          <w:color w:val="000000"/>
          <w:sz w:val="32"/>
          <w:szCs w:val="32"/>
        </w:rPr>
        <w:t>公务用车购置及运行维护费支出</w:t>
      </w:r>
      <w:r>
        <w:rPr>
          <w:rFonts w:hint="eastAsia" w:ascii="仿宋" w:hAnsi="仿宋" w:eastAsia="仿宋"/>
          <w:color w:val="000000"/>
          <w:sz w:val="32"/>
          <w:szCs w:val="32"/>
        </w:rPr>
        <w:t>46.37万元,完成预算77.28</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。公务用车购置及运行维护费支出决算比</w:t>
      </w:r>
      <w:r>
        <w:rPr>
          <w:rFonts w:ascii="仿宋" w:hAnsi="仿宋" w:eastAsia="仿宋"/>
          <w:color w:val="000000"/>
          <w:sz w:val="32"/>
          <w:szCs w:val="32"/>
        </w:rPr>
        <w:t>201</w:t>
      </w:r>
      <w:r>
        <w:rPr>
          <w:rFonts w:hint="eastAsia" w:ascii="仿宋" w:hAnsi="仿宋" w:eastAsia="仿宋"/>
          <w:color w:val="000000"/>
          <w:sz w:val="32"/>
          <w:szCs w:val="32"/>
        </w:rPr>
        <w:t>9年减少21.63万元，下降31.81</w:t>
      </w:r>
      <w:r>
        <w:rPr>
          <w:rFonts w:ascii="仿宋" w:hAnsi="仿宋" w:eastAsia="仿宋"/>
          <w:color w:val="000000"/>
          <w:sz w:val="32"/>
          <w:szCs w:val="32"/>
        </w:rPr>
        <w:t>%</w:t>
      </w:r>
      <w:r>
        <w:rPr>
          <w:rFonts w:hint="eastAsia" w:ascii="仿宋" w:hAnsi="仿宋" w:eastAsia="仿宋"/>
          <w:color w:val="000000"/>
          <w:sz w:val="32"/>
          <w:szCs w:val="32"/>
        </w:rPr>
        <w:t>。主要原因是厉行节约，加强公务用车管理，压减公务用车出行次数，倡导绿色公务出行。</w:t>
      </w:r>
      <w:r>
        <w:rPr>
          <w:rFonts w:ascii="仿宋" w:hAnsi="仿宋" w:eastAsia="仿宋"/>
          <w:color w:val="000000"/>
          <w:sz w:val="32"/>
          <w:szCs w:val="32"/>
        </w:rPr>
        <w:t>其中：</w:t>
      </w:r>
      <w:r>
        <w:rPr>
          <w:rFonts w:ascii="仿宋" w:hAnsi="仿宋" w:eastAsia="仿宋"/>
          <w:b/>
          <w:bCs/>
          <w:color w:val="000000"/>
          <w:sz w:val="32"/>
          <w:szCs w:val="32"/>
        </w:rPr>
        <w:t>公务用车购置支出</w:t>
      </w:r>
      <w:r>
        <w:rPr>
          <w:rFonts w:hint="eastAsia" w:ascii="仿宋" w:hAnsi="仿宋" w:eastAsia="仿宋"/>
          <w:b/>
          <w:bCs/>
          <w:color w:val="000000"/>
          <w:sz w:val="32"/>
          <w:szCs w:val="32"/>
        </w:rPr>
        <w:t>0</w:t>
      </w:r>
      <w:r>
        <w:rPr>
          <w:rFonts w:ascii="仿宋" w:hAnsi="仿宋" w:eastAsia="仿宋"/>
          <w:b/>
          <w:bCs/>
          <w:color w:val="000000"/>
          <w:sz w:val="32"/>
          <w:szCs w:val="32"/>
        </w:rPr>
        <w:t>万元。</w:t>
      </w:r>
      <w:r>
        <w:rPr>
          <w:rFonts w:ascii="仿宋" w:hAnsi="仿宋" w:eastAsia="仿宋"/>
          <w:color w:val="000000"/>
          <w:sz w:val="32"/>
          <w:szCs w:val="32"/>
        </w:rPr>
        <w:t>全年按规定更新购置公务用车</w:t>
      </w:r>
      <w:r>
        <w:rPr>
          <w:rFonts w:hint="eastAsia" w:ascii="仿宋" w:hAnsi="仿宋" w:eastAsia="仿宋"/>
          <w:color w:val="000000"/>
          <w:sz w:val="32"/>
          <w:szCs w:val="32"/>
        </w:rPr>
        <w:t>0</w:t>
      </w:r>
      <w:r>
        <w:rPr>
          <w:rFonts w:ascii="仿宋" w:hAnsi="仿宋" w:eastAsia="仿宋"/>
          <w:color w:val="000000"/>
          <w:sz w:val="32"/>
          <w:szCs w:val="32"/>
        </w:rPr>
        <w:t>辆，其中：轿车</w:t>
      </w:r>
      <w:r>
        <w:rPr>
          <w:rFonts w:hint="eastAsia" w:ascii="仿宋" w:hAnsi="仿宋" w:eastAsia="仿宋"/>
          <w:color w:val="000000"/>
          <w:sz w:val="32"/>
          <w:szCs w:val="32"/>
        </w:rPr>
        <w:t>0</w:t>
      </w:r>
      <w:r>
        <w:rPr>
          <w:rFonts w:ascii="仿宋" w:hAnsi="仿宋" w:eastAsia="仿宋"/>
          <w:color w:val="000000"/>
          <w:sz w:val="32"/>
          <w:szCs w:val="32"/>
        </w:rPr>
        <w:t>辆、金额</w:t>
      </w:r>
      <w:r>
        <w:rPr>
          <w:rFonts w:hint="eastAsia" w:ascii="仿宋" w:hAnsi="仿宋" w:eastAsia="仿宋"/>
          <w:color w:val="000000"/>
          <w:sz w:val="32"/>
          <w:szCs w:val="32"/>
        </w:rPr>
        <w:t>0</w:t>
      </w:r>
      <w:r>
        <w:rPr>
          <w:rFonts w:ascii="仿宋" w:hAnsi="仿宋" w:eastAsia="仿宋"/>
          <w:color w:val="000000"/>
          <w:sz w:val="32"/>
          <w:szCs w:val="32"/>
        </w:rPr>
        <w:t>万元，越野车</w:t>
      </w:r>
      <w:r>
        <w:rPr>
          <w:rFonts w:hint="eastAsia" w:ascii="仿宋" w:hAnsi="仿宋" w:eastAsia="仿宋"/>
          <w:color w:val="000000"/>
          <w:sz w:val="32"/>
          <w:szCs w:val="32"/>
        </w:rPr>
        <w:t>0</w:t>
      </w:r>
      <w:r>
        <w:rPr>
          <w:rFonts w:ascii="仿宋" w:hAnsi="仿宋" w:eastAsia="仿宋"/>
          <w:color w:val="000000"/>
          <w:sz w:val="32"/>
          <w:szCs w:val="32"/>
        </w:rPr>
        <w:t>辆、金额</w:t>
      </w:r>
      <w:r>
        <w:rPr>
          <w:rFonts w:hint="eastAsia" w:ascii="仿宋" w:hAnsi="仿宋" w:eastAsia="仿宋"/>
          <w:color w:val="000000"/>
          <w:sz w:val="32"/>
          <w:szCs w:val="32"/>
        </w:rPr>
        <w:t>0</w:t>
      </w:r>
      <w:r>
        <w:rPr>
          <w:rFonts w:ascii="仿宋" w:hAnsi="仿宋" w:eastAsia="仿宋"/>
          <w:color w:val="000000"/>
          <w:sz w:val="32"/>
          <w:szCs w:val="32"/>
        </w:rPr>
        <w:t>万元，载客汽车</w:t>
      </w:r>
      <w:r>
        <w:rPr>
          <w:rFonts w:hint="eastAsia" w:ascii="仿宋" w:hAnsi="仿宋" w:eastAsia="仿宋"/>
          <w:color w:val="000000"/>
          <w:sz w:val="32"/>
          <w:szCs w:val="32"/>
        </w:rPr>
        <w:t>0</w:t>
      </w:r>
      <w:r>
        <w:rPr>
          <w:rFonts w:ascii="仿宋" w:hAnsi="仿宋" w:eastAsia="仿宋"/>
          <w:color w:val="000000"/>
          <w:sz w:val="32"/>
          <w:szCs w:val="32"/>
        </w:rPr>
        <w:t>辆、金额</w:t>
      </w:r>
      <w:r>
        <w:rPr>
          <w:rFonts w:hint="eastAsia" w:ascii="仿宋" w:hAnsi="仿宋" w:eastAsia="仿宋"/>
          <w:color w:val="000000"/>
          <w:sz w:val="32"/>
          <w:szCs w:val="32"/>
        </w:rPr>
        <w:t>0</w:t>
      </w:r>
      <w:r>
        <w:rPr>
          <w:rFonts w:ascii="仿宋" w:hAnsi="仿宋" w:eastAsia="仿宋"/>
          <w:color w:val="000000"/>
          <w:sz w:val="32"/>
          <w:szCs w:val="32"/>
        </w:rPr>
        <w:t>万元。</w:t>
      </w:r>
      <w:r>
        <w:rPr>
          <w:rFonts w:hint="eastAsia" w:ascii="仿宋" w:hAnsi="仿宋" w:eastAsia="仿宋"/>
          <w:sz w:val="32"/>
          <w:szCs w:val="32"/>
        </w:rPr>
        <w:t>截至</w:t>
      </w:r>
      <w:r>
        <w:rPr>
          <w:rFonts w:ascii="仿宋" w:hAnsi="仿宋" w:eastAsia="仿宋"/>
          <w:sz w:val="32"/>
          <w:szCs w:val="32"/>
        </w:rPr>
        <w:t>20</w:t>
      </w:r>
      <w:r>
        <w:rPr>
          <w:rFonts w:hint="eastAsia" w:ascii="仿宋" w:hAnsi="仿宋" w:eastAsia="仿宋"/>
          <w:sz w:val="32"/>
          <w:szCs w:val="32"/>
        </w:rPr>
        <w:t>20年</w:t>
      </w:r>
      <w:r>
        <w:rPr>
          <w:rFonts w:ascii="仿宋" w:hAnsi="仿宋" w:eastAsia="仿宋"/>
          <w:sz w:val="32"/>
          <w:szCs w:val="32"/>
        </w:rPr>
        <w:t>12</w:t>
      </w:r>
      <w:r>
        <w:rPr>
          <w:rFonts w:hint="eastAsia" w:ascii="仿宋" w:hAnsi="仿宋" w:eastAsia="仿宋"/>
          <w:sz w:val="32"/>
          <w:szCs w:val="32"/>
        </w:rPr>
        <w:t>月底，单位共有执法执勤用车15辆，其中：执法执勤用车13辆、特种专业技术用车2辆。</w:t>
      </w:r>
    </w:p>
    <w:p>
      <w:pPr>
        <w:spacing w:line="520" w:lineRule="exact"/>
        <w:ind w:firstLine="642" w:firstLineChars="200"/>
        <w:rPr>
          <w:rFonts w:ascii="仿宋_GB2312" w:eastAsia="仿宋_GB2312"/>
          <w:color w:val="000000"/>
          <w:sz w:val="32"/>
          <w:szCs w:val="32"/>
        </w:rPr>
      </w:pPr>
      <w:r>
        <w:rPr>
          <w:rFonts w:hint="eastAsia" w:ascii="仿宋" w:hAnsi="仿宋" w:eastAsia="仿宋"/>
          <w:b/>
          <w:color w:val="000000"/>
          <w:sz w:val="32"/>
          <w:szCs w:val="32"/>
        </w:rPr>
        <w:t>公务用车运行维护费支出</w:t>
      </w:r>
      <w:r>
        <w:rPr>
          <w:rFonts w:hint="eastAsia" w:ascii="仿宋" w:hAnsi="仿宋" w:eastAsia="仿宋"/>
          <w:color w:val="000000"/>
          <w:sz w:val="32"/>
          <w:szCs w:val="32"/>
        </w:rPr>
        <w:t>46.37万元。主要用于办案（跨省市地区）办公、精准扶贫工作等所需的车辆燃料费、维修费、过路过桥费、保险费等支出。</w:t>
      </w:r>
    </w:p>
    <w:p>
      <w:pPr>
        <w:spacing w:line="520" w:lineRule="exact"/>
        <w:ind w:firstLine="642" w:firstLineChars="200"/>
        <w:rPr>
          <w:rFonts w:ascii="仿宋_GB2312" w:eastAsia="仿宋_GB2312"/>
          <w:color w:val="000000"/>
          <w:sz w:val="32"/>
          <w:szCs w:val="32"/>
        </w:rPr>
      </w:pPr>
      <w:r>
        <w:rPr>
          <w:rFonts w:hint="eastAsia" w:ascii="仿宋" w:hAnsi="仿宋" w:eastAsia="仿宋"/>
          <w:b/>
          <w:bCs/>
          <w:color w:val="000000"/>
          <w:sz w:val="32"/>
          <w:szCs w:val="32"/>
        </w:rPr>
        <w:t>公务接待费支出</w:t>
      </w:r>
      <w:r>
        <w:rPr>
          <w:rFonts w:hint="eastAsia" w:ascii="仿宋" w:hAnsi="仿宋" w:eastAsia="仿宋"/>
          <w:color w:val="000000"/>
          <w:sz w:val="32"/>
          <w:szCs w:val="32"/>
        </w:rPr>
        <w:t>1.97万元，完成预算43.78</w:t>
      </w:r>
      <w:r>
        <w:rPr>
          <w:rFonts w:ascii="仿宋" w:hAnsi="仿宋" w:eastAsia="仿宋"/>
          <w:color w:val="000000"/>
          <w:sz w:val="32"/>
          <w:szCs w:val="32"/>
        </w:rPr>
        <w:t>%</w:t>
      </w:r>
      <w:r>
        <w:rPr>
          <w:rFonts w:hint="eastAsia" w:ascii="仿宋" w:hAnsi="仿宋" w:eastAsia="仿宋"/>
          <w:color w:val="000000"/>
          <w:sz w:val="32"/>
          <w:szCs w:val="32"/>
        </w:rPr>
        <w:t>。公务接待费支出决算比</w:t>
      </w:r>
      <w:r>
        <w:rPr>
          <w:rFonts w:ascii="仿宋" w:hAnsi="仿宋" w:eastAsia="仿宋"/>
          <w:color w:val="000000"/>
          <w:sz w:val="32"/>
          <w:szCs w:val="32"/>
        </w:rPr>
        <w:t>201</w:t>
      </w:r>
      <w:r>
        <w:rPr>
          <w:rFonts w:hint="eastAsia" w:ascii="仿宋" w:hAnsi="仿宋" w:eastAsia="仿宋"/>
          <w:color w:val="000000"/>
          <w:sz w:val="32"/>
          <w:szCs w:val="32"/>
        </w:rPr>
        <w:t>9年增加0.38万元，增长23.89</w:t>
      </w:r>
      <w:r>
        <w:rPr>
          <w:rFonts w:ascii="仿宋" w:hAnsi="仿宋" w:eastAsia="仿宋"/>
          <w:color w:val="000000"/>
          <w:sz w:val="32"/>
          <w:szCs w:val="32"/>
        </w:rPr>
        <w:t>%</w:t>
      </w:r>
      <w:r>
        <w:rPr>
          <w:rFonts w:hint="eastAsia" w:ascii="仿宋" w:hAnsi="仿宋" w:eastAsia="仿宋"/>
          <w:color w:val="000000"/>
          <w:sz w:val="32"/>
          <w:szCs w:val="32"/>
        </w:rPr>
        <w:t>。主要原因是响应厉行节约的号召，规范公务接待标准和范围，</w:t>
      </w:r>
      <w:r>
        <w:rPr>
          <w:rFonts w:hint="eastAsia" w:ascii="仿宋_GB2312" w:eastAsia="仿宋_GB2312"/>
          <w:color w:val="000000"/>
          <w:sz w:val="32"/>
          <w:szCs w:val="32"/>
        </w:rPr>
        <w:t>其中：</w:t>
      </w:r>
    </w:p>
    <w:p>
      <w:pPr>
        <w:spacing w:line="520" w:lineRule="exact"/>
        <w:ind w:firstLine="642" w:firstLineChars="200"/>
        <w:rPr>
          <w:rFonts w:ascii="仿宋_GB2312" w:eastAsia="仿宋"/>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rPr>
        <w:t>1.97</w:t>
      </w:r>
      <w:r>
        <w:rPr>
          <w:rFonts w:hint="eastAsia" w:ascii="仿宋_GB2312" w:eastAsia="仿宋_GB2312"/>
          <w:color w:val="000000"/>
          <w:sz w:val="32"/>
          <w:szCs w:val="32"/>
        </w:rPr>
        <w:t>万元，主要</w:t>
      </w:r>
      <w:r>
        <w:rPr>
          <w:rFonts w:hint="eastAsia" w:ascii="仿宋" w:hAnsi="仿宋" w:eastAsia="仿宋"/>
          <w:color w:val="000000"/>
          <w:sz w:val="32"/>
          <w:szCs w:val="32"/>
        </w:rPr>
        <w:t>用于执行公务、接待上级机关检查、指导工作和其他地、市、州院来我院考察学习所需的交通费、住宿费、用餐费等。国内公务接待42批次，217人次（不包括陪同人员），共计支出1.97万元。</w:t>
      </w:r>
    </w:p>
    <w:p>
      <w:pPr>
        <w:spacing w:line="520" w:lineRule="exact"/>
        <w:ind w:firstLine="642" w:firstLineChars="200"/>
        <w:rPr>
          <w:rFonts w:ascii="仿宋" w:hAnsi="仿宋" w:eastAsia="仿宋"/>
          <w:color w:val="000000"/>
          <w:sz w:val="32"/>
          <w:szCs w:val="32"/>
        </w:rPr>
      </w:pPr>
      <w:r>
        <w:rPr>
          <w:rFonts w:hint="eastAsia" w:ascii="仿宋" w:hAnsi="仿宋" w:eastAsia="仿宋"/>
          <w:b/>
          <w:color w:val="000000"/>
          <w:sz w:val="32"/>
          <w:szCs w:val="32"/>
        </w:rPr>
        <w:t>外事接待支出</w:t>
      </w:r>
      <w:r>
        <w:rPr>
          <w:rFonts w:hint="eastAsia" w:ascii="仿宋" w:hAnsi="仿宋" w:eastAsia="仿宋"/>
          <w:color w:val="000000"/>
          <w:sz w:val="32"/>
          <w:szCs w:val="32"/>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14:textFill>
            <w14:solidFill>
              <w14:schemeClr w14:val="tx1"/>
            </w14:solidFill>
          </w14:textFill>
        </w:rPr>
        <w:t>，外事接待0批次，0人，</w:t>
      </w:r>
      <w:r>
        <w:rPr>
          <w:rFonts w:hint="eastAsia" w:ascii="仿宋" w:hAnsi="仿宋" w:eastAsia="仿宋"/>
          <w:color w:val="000000"/>
          <w:sz w:val="32"/>
          <w:szCs w:val="32"/>
        </w:rPr>
        <w:t>共计支出0万元。</w:t>
      </w:r>
    </w:p>
    <w:p>
      <w:pPr>
        <w:spacing w:line="520" w:lineRule="exact"/>
        <w:ind w:firstLine="640" w:firstLineChars="200"/>
        <w:outlineLvl w:val="1"/>
        <w:rPr>
          <w:rStyle w:val="27"/>
          <w:rFonts w:ascii="黑体" w:hAnsi="黑体" w:eastAsia="黑体"/>
        </w:rPr>
      </w:pPr>
      <w:bookmarkStart w:id="42" w:name="_Toc15377218"/>
      <w:bookmarkStart w:id="43" w:name="_Toc15396610"/>
      <w:r>
        <w:rPr>
          <w:rFonts w:hint="eastAsia" w:ascii="黑体" w:eastAsia="黑体"/>
          <w:color w:val="000000"/>
          <w:sz w:val="32"/>
          <w:szCs w:val="32"/>
        </w:rPr>
        <w:t>八、</w:t>
      </w:r>
      <w:r>
        <w:rPr>
          <w:rStyle w:val="27"/>
          <w:rFonts w:hint="eastAsia" w:ascii="黑体" w:hAnsi="黑体" w:eastAsia="黑体"/>
          <w:b w:val="0"/>
        </w:rPr>
        <w:t>政府性基金预算支出决算情况说明</w:t>
      </w:r>
      <w:bookmarkEnd w:id="42"/>
      <w:bookmarkEnd w:id="43"/>
    </w:p>
    <w:p>
      <w:pPr>
        <w:spacing w:line="520" w:lineRule="exact"/>
        <w:ind w:firstLine="640" w:firstLineChars="20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20年政府性基金预算拨款支出0万元。2020年本单位未在政府性基金预算拨款安排“三公经费”支出。</w:t>
      </w:r>
    </w:p>
    <w:p>
      <w:pPr>
        <w:spacing w:line="520" w:lineRule="exact"/>
        <w:ind w:firstLine="640" w:firstLineChars="200"/>
        <w:outlineLvl w:val="1"/>
        <w:rPr>
          <w:rStyle w:val="27"/>
          <w:rFonts w:ascii="黑体" w:hAnsi="黑体" w:eastAsia="黑体"/>
          <w:b w:val="0"/>
        </w:rPr>
      </w:pPr>
      <w:bookmarkStart w:id="44" w:name="_Toc15377219"/>
      <w:bookmarkStart w:id="45" w:name="_Toc15396611"/>
      <w:r>
        <w:rPr>
          <w:rStyle w:val="27"/>
          <w:rFonts w:hint="eastAsia" w:ascii="黑体" w:hAnsi="黑体" w:eastAsia="黑体"/>
          <w:b w:val="0"/>
        </w:rPr>
        <w:t>九、国有资本经营预算支出决算情况说明</w:t>
      </w:r>
      <w:bookmarkEnd w:id="44"/>
      <w:bookmarkEnd w:id="45"/>
    </w:p>
    <w:p>
      <w:pPr>
        <w:spacing w:line="520" w:lineRule="exact"/>
        <w:ind w:firstLine="640" w:firstLineChars="20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20年国有资本经营预算拨款支出0万元。</w:t>
      </w:r>
    </w:p>
    <w:p>
      <w:pPr>
        <w:spacing w:line="520" w:lineRule="exact"/>
        <w:ind w:firstLine="640" w:firstLineChars="200"/>
        <w:outlineLvl w:val="1"/>
        <w:rPr>
          <w:rStyle w:val="27"/>
          <w:rFonts w:ascii="黑体" w:hAnsi="黑体" w:eastAsia="黑体"/>
        </w:rPr>
      </w:pPr>
      <w:bookmarkStart w:id="46" w:name="_Toc15396612"/>
      <w:bookmarkStart w:id="47" w:name="_Toc15377221"/>
      <w:r>
        <w:rPr>
          <w:rFonts w:hint="eastAsia" w:ascii="黑体" w:hAnsi="黑体" w:eastAsia="黑体"/>
          <w:color w:val="000000"/>
          <w:sz w:val="32"/>
          <w:szCs w:val="32"/>
        </w:rPr>
        <w:t>十</w:t>
      </w:r>
      <w:r>
        <w:rPr>
          <w:rStyle w:val="27"/>
          <w:rFonts w:hint="eastAsia" w:ascii="黑体" w:hAnsi="黑体" w:eastAsia="黑体"/>
        </w:rPr>
        <w:t>、</w:t>
      </w:r>
      <w:r>
        <w:rPr>
          <w:rStyle w:val="27"/>
          <w:rFonts w:hint="eastAsia" w:ascii="黑体" w:hAnsi="黑体" w:eastAsia="黑体"/>
          <w:b w:val="0"/>
        </w:rPr>
        <w:t>其他重要事项的情况说明</w:t>
      </w:r>
      <w:bookmarkEnd w:id="46"/>
      <w:bookmarkEnd w:id="47"/>
    </w:p>
    <w:p>
      <w:pPr>
        <w:spacing w:line="520" w:lineRule="exact"/>
        <w:ind w:firstLine="640" w:firstLineChars="200"/>
        <w:outlineLvl w:val="2"/>
        <w:rPr>
          <w:rFonts w:ascii="楷体" w:hAnsi="楷体" w:eastAsia="楷体"/>
          <w:color w:val="000000"/>
          <w:sz w:val="32"/>
          <w:szCs w:val="32"/>
        </w:rPr>
      </w:pPr>
      <w:bookmarkStart w:id="48" w:name="_Toc15377222"/>
      <w:r>
        <w:rPr>
          <w:rFonts w:hint="eastAsia" w:ascii="楷体" w:hAnsi="楷体" w:eastAsia="楷体"/>
          <w:color w:val="000000"/>
          <w:sz w:val="32"/>
          <w:szCs w:val="32"/>
        </w:rPr>
        <w:t>（一）机关运行经费支出情况</w:t>
      </w:r>
      <w:bookmarkEnd w:id="48"/>
    </w:p>
    <w:p>
      <w:pPr>
        <w:spacing w:line="52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w:t>
      </w:r>
      <w:r>
        <w:rPr>
          <w:rFonts w:hint="eastAsia" w:ascii="仿宋" w:hAnsi="仿宋" w:eastAsia="仿宋"/>
          <w:color w:val="000000"/>
          <w:sz w:val="32"/>
          <w:szCs w:val="32"/>
        </w:rPr>
        <w:t>20年，市检察院机关运行经费支出335.3</w:t>
      </w: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万元，比</w:t>
      </w:r>
      <w:r>
        <w:rPr>
          <w:rFonts w:ascii="仿宋" w:hAnsi="仿宋" w:eastAsia="仿宋"/>
          <w:color w:val="000000"/>
          <w:sz w:val="32"/>
          <w:szCs w:val="32"/>
        </w:rPr>
        <w:t>201</w:t>
      </w:r>
      <w:r>
        <w:rPr>
          <w:rFonts w:hint="eastAsia" w:ascii="仿宋" w:hAnsi="仿宋" w:eastAsia="仿宋"/>
          <w:color w:val="000000"/>
          <w:sz w:val="32"/>
          <w:szCs w:val="32"/>
        </w:rPr>
        <w:t>9年减少6.66万元，减少1.95</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14:textFill>
            <w14:solidFill>
              <w14:schemeClr w14:val="tx1"/>
            </w14:solidFill>
          </w14:textFill>
        </w:rPr>
        <w:t>主要原因是厉行节约，响应政府“过紧日子”的号召，压减一般性支出，严格控制各项经费支出。</w:t>
      </w:r>
    </w:p>
    <w:p>
      <w:pPr>
        <w:spacing w:line="520" w:lineRule="exact"/>
        <w:ind w:firstLine="640" w:firstLineChars="200"/>
        <w:outlineLvl w:val="2"/>
        <w:rPr>
          <w:rFonts w:ascii="楷体" w:hAnsi="楷体" w:eastAsia="楷体"/>
          <w:color w:val="000000"/>
          <w:sz w:val="32"/>
          <w:szCs w:val="32"/>
        </w:rPr>
      </w:pPr>
      <w:bookmarkStart w:id="49" w:name="_Toc15377223"/>
      <w:r>
        <w:rPr>
          <w:rFonts w:hint="eastAsia" w:ascii="楷体" w:hAnsi="楷体" w:eastAsia="楷体"/>
          <w:color w:val="000000"/>
          <w:sz w:val="32"/>
          <w:szCs w:val="32"/>
        </w:rPr>
        <w:t>（二）政府采购支出情况</w:t>
      </w:r>
      <w:bookmarkEnd w:id="49"/>
    </w:p>
    <w:p>
      <w:pPr>
        <w:spacing w:line="520" w:lineRule="exact"/>
        <w:ind w:firstLine="640" w:firstLineChars="20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20年，市人民检察院政府采购支出总额0万元。</w:t>
      </w:r>
      <w:r>
        <w:rPr>
          <w:rFonts w:ascii="仿宋" w:hAnsi="仿宋" w:eastAsia="仿宋"/>
          <w:color w:val="000000"/>
          <w:sz w:val="32"/>
          <w:szCs w:val="32"/>
        </w:rPr>
        <w:t xml:space="preserve"> </w:t>
      </w:r>
    </w:p>
    <w:p>
      <w:pPr>
        <w:spacing w:line="520" w:lineRule="exact"/>
        <w:ind w:firstLine="640" w:firstLineChars="200"/>
        <w:outlineLvl w:val="2"/>
        <w:rPr>
          <w:rFonts w:ascii="楷体" w:hAnsi="楷体" w:eastAsia="楷体"/>
          <w:color w:val="000000"/>
          <w:sz w:val="32"/>
          <w:szCs w:val="32"/>
        </w:rPr>
      </w:pPr>
      <w:bookmarkStart w:id="50" w:name="_Toc15377224"/>
      <w:r>
        <w:rPr>
          <w:rFonts w:hint="eastAsia" w:ascii="楷体" w:hAnsi="楷体" w:eastAsia="楷体"/>
          <w:color w:val="000000"/>
          <w:sz w:val="32"/>
          <w:szCs w:val="32"/>
        </w:rPr>
        <w:t>（三）国有资产占有使用情况</w:t>
      </w:r>
      <w:bookmarkEnd w:id="50"/>
    </w:p>
    <w:p>
      <w:pPr>
        <w:autoSpaceDE w:val="0"/>
        <w:autoSpaceDN w:val="0"/>
        <w:adjustRightInd w:val="0"/>
        <w:spacing w:line="52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截至</w:t>
      </w:r>
      <w:r>
        <w:rPr>
          <w:rFonts w:ascii="仿宋" w:hAnsi="仿宋" w:eastAsia="仿宋"/>
          <w:color w:val="000000"/>
          <w:sz w:val="32"/>
          <w:szCs w:val="32"/>
        </w:rPr>
        <w:t>20</w:t>
      </w:r>
      <w:r>
        <w:rPr>
          <w:rFonts w:hint="eastAsia" w:ascii="仿宋" w:hAnsi="仿宋" w:eastAsia="仿宋"/>
          <w:color w:val="000000"/>
          <w:sz w:val="32"/>
          <w:szCs w:val="32"/>
        </w:rPr>
        <w:t>20年</w:t>
      </w:r>
      <w:r>
        <w:rPr>
          <w:rFonts w:ascii="仿宋" w:hAnsi="仿宋" w:eastAsia="仿宋"/>
          <w:color w:val="000000"/>
          <w:sz w:val="32"/>
          <w:szCs w:val="32"/>
        </w:rPr>
        <w:t>12</w:t>
      </w:r>
      <w:r>
        <w:rPr>
          <w:rFonts w:hint="eastAsia" w:ascii="仿宋" w:hAnsi="仿宋" w:eastAsia="仿宋"/>
          <w:color w:val="000000"/>
          <w:sz w:val="32"/>
          <w:szCs w:val="32"/>
        </w:rPr>
        <w:t>月</w:t>
      </w:r>
      <w:r>
        <w:rPr>
          <w:rFonts w:ascii="仿宋" w:hAnsi="仿宋" w:eastAsia="仿宋"/>
          <w:color w:val="000000"/>
          <w:sz w:val="32"/>
          <w:szCs w:val="32"/>
        </w:rPr>
        <w:t>31</w:t>
      </w:r>
      <w:r>
        <w:rPr>
          <w:rFonts w:hint="eastAsia" w:ascii="仿宋" w:hAnsi="仿宋" w:eastAsia="仿宋"/>
          <w:color w:val="000000"/>
          <w:sz w:val="32"/>
          <w:szCs w:val="32"/>
        </w:rPr>
        <w:t>日，市人民检察院共有车辆15辆，其中：一般执法执勤用车13辆、特种专业技术用车2辆。</w:t>
      </w:r>
    </w:p>
    <w:p>
      <w:pPr>
        <w:spacing w:line="520" w:lineRule="exact"/>
        <w:ind w:firstLine="640" w:firstLineChars="200"/>
        <w:outlineLvl w:val="2"/>
        <w:rPr>
          <w:rFonts w:ascii="楷体" w:hAnsi="楷体" w:eastAsia="楷体"/>
          <w:color w:val="000000"/>
          <w:sz w:val="32"/>
          <w:szCs w:val="32"/>
        </w:rPr>
      </w:pPr>
      <w:r>
        <w:rPr>
          <w:rFonts w:hint="eastAsia" w:ascii="楷体" w:hAnsi="楷体" w:eastAsia="楷体"/>
          <w:color w:val="000000"/>
          <w:sz w:val="32"/>
          <w:szCs w:val="32"/>
        </w:rPr>
        <w:t>（四）预算绩效管理情况</w:t>
      </w:r>
    </w:p>
    <w:p>
      <w:pPr>
        <w:autoSpaceDE w:val="0"/>
        <w:autoSpaceDN w:val="0"/>
        <w:adjustRightInd w:val="0"/>
        <w:spacing w:line="52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根据预算绩效管理要求，本单位在年初预算编制阶段，组织对5个项目编制了绩效目标，预算执行过程中，选取5个项目开展绩效监控，年终执行完毕后，对5个项目开展了绩效目标完成情况自评。从评价情况来看整体完成情况较好，达到绩效目标，收效良好。</w:t>
      </w:r>
    </w:p>
    <w:p>
      <w:pPr>
        <w:autoSpaceDE w:val="0"/>
        <w:autoSpaceDN w:val="0"/>
        <w:adjustRightInd w:val="0"/>
        <w:spacing w:line="520" w:lineRule="exact"/>
        <w:ind w:firstLine="640" w:firstLineChars="200"/>
        <w:jc w:val="left"/>
        <w:rPr>
          <w:rFonts w:ascii="仿宋" w:hAnsi="仿宋" w:eastAsia="仿宋"/>
          <w:color w:val="000000"/>
          <w:sz w:val="32"/>
          <w:szCs w:val="32"/>
        </w:rPr>
      </w:pPr>
      <w:r>
        <w:rPr>
          <w:rFonts w:hint="eastAsia" w:ascii="楷体_GB2312" w:hAnsi="楷体_GB2312" w:eastAsia="楷体_GB2312" w:cs="楷体_GB2312"/>
          <w:sz w:val="32"/>
          <w:szCs w:val="32"/>
        </w:rPr>
        <w:t>1.项目绩效目标完成情况。</w:t>
      </w:r>
    </w:p>
    <w:p>
      <w:pPr>
        <w:tabs>
          <w:tab w:val="left" w:pos="312"/>
        </w:tabs>
        <w:spacing w:line="52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本部门在2020年度部门决算中反映“刑事司法救助”、“援藏援彝”、“检察监督”、“扫黑除恶专项斗争”、“智慧检察”5个项目绩效目标实际完成情况。</w:t>
      </w:r>
    </w:p>
    <w:p>
      <w:pPr>
        <w:tabs>
          <w:tab w:val="left" w:pos="312"/>
        </w:tabs>
        <w:spacing w:line="52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刑事司法救助项目绩效目标完成情况综述。项目全年预算数9万元，执行数为9万元，完成预算的100%。通过项目实施，顺应了人民群众对司法公正、权益保障的新期待，顺应了加强权利救济的现代法治发展趋势，既彰显党和政府的民生关怀，又有利于进一步实现社会公平正义，促进社会和谐稳定，维护司法的公信和权威。发现的主要问题：救助及时性有待提高。下一步改进措施：对符合救助条件的当事人，根据当事人申请或者依据职权及时提供救助，确保及早化解社会矛盾；开展国家司法救助工作，应当准确把握救助的范围，严格把握救助标准和条件，兼顾当事人实际情况和同类案件救助数额，做到公平、公正、合理救助，防止因救助不公引发新的矛盾。</w:t>
      </w:r>
    </w:p>
    <w:p>
      <w:pPr>
        <w:tabs>
          <w:tab w:val="left" w:pos="312"/>
        </w:tabs>
        <w:spacing w:line="52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援藏援彝项目绩效目标完成情况综述。项目全年预算数6.8万元，执行数为6.8万元，完成预算的100%。通过项目实施，支持了对援藏援彝的对口单位昭觉县检察院的工作开展，发现的主要问题：无。下一步改进措施：继续做好专款专用，及时给予必要的支援。</w:t>
      </w:r>
    </w:p>
    <w:p>
      <w:pPr>
        <w:tabs>
          <w:tab w:val="left" w:pos="312"/>
        </w:tabs>
        <w:spacing w:line="520" w:lineRule="exact"/>
        <w:ind w:firstLine="640" w:firstLineChars="200"/>
        <w:rPr>
          <w:rFonts w:ascii="仿宋_GB2312" w:hAnsi="仿宋_GB2312" w:eastAsia="仿宋_GB2312" w:cs="仿宋_GB2312"/>
          <w:sz w:val="32"/>
          <w:szCs w:val="32"/>
        </w:rPr>
      </w:pPr>
      <w:r>
        <w:rPr>
          <w:rFonts w:hint="eastAsia" w:ascii="仿宋" w:hAnsi="仿宋" w:eastAsia="仿宋"/>
          <w:color w:val="000000"/>
          <w:sz w:val="32"/>
          <w:szCs w:val="32"/>
        </w:rPr>
        <w:t>（3）检察监督项目绩效目标完成情况综述。项目全年预算数281.72万元，执行数为281.72万元，完成预算的100%。通过项目实施，促进了各项检察业务的开展，发现的主要问题：查办和预防职务犯罪类案件收尾工作完成，公诉等其他检察工作业务量逐日增大，随着公益诉讼、未成年检察的工作推进，经费开支较大。下一步改进措施：细化开支，最大限度压缩经费，同时争取更多的财政资金投入。</w:t>
      </w:r>
    </w:p>
    <w:p>
      <w:pPr>
        <w:tabs>
          <w:tab w:val="left" w:pos="312"/>
        </w:tabs>
        <w:spacing w:line="52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扫黑除恶专项斗争项目绩效目标完成情况综述。项目全年预算数8万元，执行数为8万元，完成预算的100%。通过项目实施，有力打击和严惩了一批黑恶势力犯罪，利于在社会上形成高压态势，有效震慑黑恶势力违法犯罪行为，营造和谐安定有序的生活环境，充分保障人民群众的合法权益。发现的主要问题：线索核查质效有待提高，重点案件查处力度有待加强。下一步改进措施：细化开支，扫除“盲区”，特别是对某些行业领域以及农村地区村霸等重点查处。</w:t>
      </w:r>
    </w:p>
    <w:p>
      <w:pPr>
        <w:tabs>
          <w:tab w:val="left" w:pos="312"/>
        </w:tabs>
        <w:spacing w:line="52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(5)智慧检察项目绩效完成情况综述:项目全年预算463.1万元, 执行数为7万元,</w:t>
      </w:r>
      <w:r>
        <w:rPr>
          <w:rFonts w:hint="eastAsia" w:ascii="仿宋" w:hAnsi="仿宋" w:eastAsia="仿宋" w:cs="宋体"/>
          <w:color w:val="000000"/>
          <w:sz w:val="32"/>
          <w:szCs w:val="32"/>
        </w:rPr>
        <w:t>实际完成预算1.51%,由于大部分产品需国产化替代,由于国家出台信创产品目录较晚，加上我院对信创政策要求和产品不熟悉，害怕出差错造成浪费，设计一体化网络建设项目方案时进展较慢，年底才完成方案设计，因此2020年度的智慧检察项目资金未按期使用。</w:t>
      </w:r>
    </w:p>
    <w:tbl>
      <w:tblPr>
        <w:tblStyle w:val="14"/>
        <w:tblpPr w:leftFromText="180" w:rightFromText="180" w:vertAnchor="text" w:horzAnchor="page" w:tblpXSpec="center" w:tblpY="423"/>
        <w:tblOverlap w:val="never"/>
        <w:tblW w:w="5157" w:type="pct"/>
        <w:tblInd w:w="0" w:type="dxa"/>
        <w:tblLayout w:type="autofit"/>
        <w:tblCellMar>
          <w:top w:w="0" w:type="dxa"/>
          <w:left w:w="0" w:type="dxa"/>
          <w:bottom w:w="0" w:type="dxa"/>
          <w:right w:w="0" w:type="dxa"/>
        </w:tblCellMar>
      </w:tblPr>
      <w:tblGrid>
        <w:gridCol w:w="1705"/>
        <w:gridCol w:w="987"/>
        <w:gridCol w:w="1028"/>
        <w:gridCol w:w="1644"/>
        <w:gridCol w:w="1826"/>
        <w:gridCol w:w="2138"/>
      </w:tblGrid>
      <w:tr>
        <w:tblPrEx>
          <w:tblCellMar>
            <w:top w:w="0" w:type="dxa"/>
            <w:left w:w="0" w:type="dxa"/>
            <w:bottom w:w="0" w:type="dxa"/>
            <w:right w:w="0" w:type="dxa"/>
          </w:tblCellMar>
        </w:tblPrEx>
        <w:trPr>
          <w:trHeight w:val="1034" w:hRule="atLeast"/>
        </w:trPr>
        <w:tc>
          <w:tcPr>
            <w:tcW w:w="5000" w:type="pct"/>
            <w:gridSpan w:val="6"/>
            <w:tcMar>
              <w:top w:w="15" w:type="dxa"/>
              <w:left w:w="15" w:type="dxa"/>
              <w:bottom w:w="0" w:type="dxa"/>
              <w:right w:w="15" w:type="dxa"/>
            </w:tcMar>
            <w:vAlign w:val="center"/>
          </w:tcPr>
          <w:p>
            <w:pPr>
              <w:pStyle w:val="25"/>
              <w:widowControl/>
              <w:spacing w:line="600" w:lineRule="exact"/>
              <w:ind w:left="3072" w:leftChars="863" w:hanging="1260" w:hangingChars="350"/>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(2020年度)</w:t>
            </w:r>
          </w:p>
        </w:tc>
      </w:tr>
      <w:tr>
        <w:tblPrEx>
          <w:tblCellMar>
            <w:top w:w="0" w:type="dxa"/>
            <w:left w:w="0" w:type="dxa"/>
            <w:bottom w:w="0" w:type="dxa"/>
            <w:right w:w="0" w:type="dxa"/>
          </w:tblCellMar>
        </w:tblPrEx>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项目名称</w:t>
            </w:r>
          </w:p>
        </w:tc>
        <w:tc>
          <w:tcPr>
            <w:tcW w:w="3004" w:type="pct"/>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exact"/>
              <w:jc w:val="center"/>
              <w:textAlignment w:val="center"/>
              <w:rPr>
                <w:rFonts w:cs="宋体" w:asciiTheme="minorEastAsia" w:hAnsiTheme="minorEastAsia" w:eastAsiaTheme="minorEastAsia"/>
                <w:color w:val="000000"/>
                <w:sz w:val="24"/>
              </w:rPr>
            </w:pPr>
            <w:r>
              <w:rPr>
                <w:rFonts w:hint="eastAsia" w:cs="仿宋_GB2312" w:asciiTheme="minorEastAsia" w:hAnsiTheme="minorEastAsia" w:eastAsiaTheme="minorEastAsia"/>
                <w:sz w:val="24"/>
              </w:rPr>
              <w:t>刑事司法救助</w:t>
            </w:r>
          </w:p>
        </w:tc>
      </w:tr>
      <w:tr>
        <w:tblPrEx>
          <w:tblCellMar>
            <w:top w:w="0" w:type="dxa"/>
            <w:left w:w="0" w:type="dxa"/>
            <w:bottom w:w="0" w:type="dxa"/>
            <w:right w:w="0" w:type="dxa"/>
          </w:tblCellMar>
        </w:tblPrEx>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预算单位</w:t>
            </w:r>
          </w:p>
        </w:tc>
        <w:tc>
          <w:tcPr>
            <w:tcW w:w="3004" w:type="pct"/>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四川省广元市人民检察院</w:t>
            </w:r>
          </w:p>
        </w:tc>
      </w:tr>
      <w:tr>
        <w:tblPrEx>
          <w:tblCellMar>
            <w:top w:w="0" w:type="dxa"/>
            <w:left w:w="0" w:type="dxa"/>
            <w:bottom w:w="0" w:type="dxa"/>
            <w:right w:w="0" w:type="dxa"/>
          </w:tblCellMar>
        </w:tblPrEx>
        <w:tc>
          <w:tcPr>
            <w:tcW w:w="914"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预算执行情况(万元)</w:t>
            </w:r>
          </w:p>
        </w:tc>
        <w:tc>
          <w:tcPr>
            <w:tcW w:w="1080"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预算数:</w:t>
            </w:r>
          </w:p>
        </w:tc>
        <w:tc>
          <w:tcPr>
            <w:tcW w:w="88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9</w:t>
            </w:r>
          </w:p>
        </w:tc>
        <w:tc>
          <w:tcPr>
            <w:tcW w:w="97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执行数:</w:t>
            </w:r>
          </w:p>
        </w:tc>
        <w:tc>
          <w:tcPr>
            <w:tcW w:w="114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9</w:t>
            </w:r>
          </w:p>
        </w:tc>
      </w:tr>
      <w:tr>
        <w:tblPrEx>
          <w:tblCellMar>
            <w:top w:w="0" w:type="dxa"/>
            <w:left w:w="0" w:type="dxa"/>
            <w:bottom w:w="0" w:type="dxa"/>
            <w:right w:w="0" w:type="dxa"/>
          </w:tblCellMar>
        </w:tblPrEx>
        <w:trPr>
          <w:trHeight w:val="992" w:hRule="atLeast"/>
        </w:trPr>
        <w:tc>
          <w:tcPr>
            <w:tcW w:w="914"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left"/>
              <w:rPr>
                <w:rFonts w:cs="宋体" w:asciiTheme="minorEastAsia" w:hAnsiTheme="minorEastAsia" w:eastAsiaTheme="minorEastAsia"/>
                <w:color w:val="000000"/>
                <w:sz w:val="24"/>
              </w:rPr>
            </w:pPr>
          </w:p>
        </w:tc>
        <w:tc>
          <w:tcPr>
            <w:tcW w:w="1080"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其中-财政拨款:</w:t>
            </w:r>
          </w:p>
        </w:tc>
        <w:tc>
          <w:tcPr>
            <w:tcW w:w="88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9</w:t>
            </w:r>
          </w:p>
        </w:tc>
        <w:tc>
          <w:tcPr>
            <w:tcW w:w="97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其中-财政拨款:</w:t>
            </w:r>
          </w:p>
        </w:tc>
        <w:tc>
          <w:tcPr>
            <w:tcW w:w="114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9</w:t>
            </w:r>
          </w:p>
        </w:tc>
      </w:tr>
      <w:tr>
        <w:tblPrEx>
          <w:tblCellMar>
            <w:top w:w="0" w:type="dxa"/>
            <w:left w:w="0" w:type="dxa"/>
            <w:bottom w:w="0" w:type="dxa"/>
            <w:right w:w="0" w:type="dxa"/>
          </w:tblCellMar>
        </w:tblPrEx>
        <w:trPr>
          <w:trHeight w:val="613" w:hRule="atLeast"/>
        </w:trPr>
        <w:tc>
          <w:tcPr>
            <w:tcW w:w="914"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left"/>
              <w:rPr>
                <w:rFonts w:cs="宋体" w:asciiTheme="minorEastAsia" w:hAnsiTheme="minorEastAsia" w:eastAsiaTheme="minorEastAsia"/>
                <w:color w:val="000000"/>
                <w:sz w:val="24"/>
              </w:rPr>
            </w:pPr>
          </w:p>
        </w:tc>
        <w:tc>
          <w:tcPr>
            <w:tcW w:w="1080"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其它资金:</w:t>
            </w:r>
          </w:p>
        </w:tc>
        <w:tc>
          <w:tcPr>
            <w:tcW w:w="88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0</w:t>
            </w:r>
          </w:p>
        </w:tc>
        <w:tc>
          <w:tcPr>
            <w:tcW w:w="97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其它资金:</w:t>
            </w:r>
          </w:p>
        </w:tc>
        <w:tc>
          <w:tcPr>
            <w:tcW w:w="114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400" w:lineRule="exact"/>
              <w:jc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0</w:t>
            </w:r>
          </w:p>
        </w:tc>
      </w:tr>
      <w:tr>
        <w:tblPrEx>
          <w:tblCellMar>
            <w:top w:w="0" w:type="dxa"/>
            <w:left w:w="0" w:type="dxa"/>
            <w:bottom w:w="0" w:type="dxa"/>
            <w:right w:w="0" w:type="dxa"/>
          </w:tblCellMar>
        </w:tblPrEx>
        <w:tc>
          <w:tcPr>
            <w:tcW w:w="914"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年度目标完成情况</w:t>
            </w:r>
          </w:p>
        </w:tc>
        <w:tc>
          <w:tcPr>
            <w:tcW w:w="1961" w:type="pct"/>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预期目标</w:t>
            </w:r>
          </w:p>
        </w:tc>
        <w:tc>
          <w:tcPr>
            <w:tcW w:w="2123"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实际完成目标</w:t>
            </w:r>
          </w:p>
        </w:tc>
      </w:tr>
      <w:tr>
        <w:tblPrEx>
          <w:tblCellMar>
            <w:top w:w="0" w:type="dxa"/>
            <w:left w:w="0" w:type="dxa"/>
            <w:bottom w:w="0" w:type="dxa"/>
            <w:right w:w="0" w:type="dxa"/>
          </w:tblCellMar>
        </w:tblPrEx>
        <w:tc>
          <w:tcPr>
            <w:tcW w:w="914"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left"/>
              <w:rPr>
                <w:rFonts w:cs="宋体" w:asciiTheme="minorEastAsia" w:hAnsiTheme="minorEastAsia" w:eastAsiaTheme="minorEastAsia"/>
                <w:color w:val="000000"/>
                <w:sz w:val="24"/>
              </w:rPr>
            </w:pPr>
          </w:p>
        </w:tc>
        <w:tc>
          <w:tcPr>
            <w:tcW w:w="1961" w:type="pct"/>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cs="宋体" w:asciiTheme="minorEastAsia" w:hAnsiTheme="minorEastAsia" w:eastAsiaTheme="minorEastAsia"/>
                <w:sz w:val="24"/>
              </w:rPr>
            </w:pPr>
            <w:r>
              <w:rPr>
                <w:rFonts w:cs="Arial" w:asciiTheme="minorEastAsia" w:hAnsiTheme="minorEastAsia" w:eastAsiaTheme="minorEastAsia"/>
                <w:sz w:val="24"/>
                <w:shd w:val="clear" w:color="auto" w:fill="FFFFFF"/>
              </w:rPr>
              <w:t>保证</w:t>
            </w:r>
            <w:r>
              <w:rPr>
                <w:rFonts w:hint="eastAsia" w:cs="Arial" w:asciiTheme="minorEastAsia" w:hAnsiTheme="minorEastAsia" w:eastAsiaTheme="minorEastAsia"/>
                <w:sz w:val="24"/>
                <w:shd w:val="clear" w:color="auto" w:fill="FFFFFF"/>
              </w:rPr>
              <w:t>当事人</w:t>
            </w:r>
            <w:r>
              <w:rPr>
                <w:rFonts w:cs="Arial" w:asciiTheme="minorEastAsia" w:hAnsiTheme="minorEastAsia" w:eastAsiaTheme="minorEastAsia"/>
                <w:sz w:val="24"/>
                <w:shd w:val="clear" w:color="auto" w:fill="FFFFFF"/>
              </w:rPr>
              <w:t>能够正常参加诉讼，依法维护其合法权益</w:t>
            </w:r>
          </w:p>
        </w:tc>
        <w:tc>
          <w:tcPr>
            <w:tcW w:w="2123"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cs="宋体" w:asciiTheme="minorEastAsia" w:hAnsiTheme="minorEastAsia" w:eastAsiaTheme="minorEastAsia"/>
                <w:sz w:val="24"/>
              </w:rPr>
            </w:pPr>
            <w:r>
              <w:rPr>
                <w:rFonts w:cs="Arial" w:asciiTheme="minorEastAsia" w:hAnsiTheme="minorEastAsia" w:eastAsiaTheme="minorEastAsia"/>
                <w:sz w:val="24"/>
                <w:shd w:val="clear" w:color="auto" w:fill="FFFFFF"/>
              </w:rPr>
              <w:t>保证</w:t>
            </w:r>
            <w:r>
              <w:rPr>
                <w:rFonts w:hint="eastAsia" w:cs="Arial" w:asciiTheme="minorEastAsia" w:hAnsiTheme="minorEastAsia" w:eastAsiaTheme="minorEastAsia"/>
                <w:sz w:val="24"/>
                <w:shd w:val="clear" w:color="auto" w:fill="FFFFFF"/>
              </w:rPr>
              <w:t>当事人</w:t>
            </w:r>
            <w:r>
              <w:rPr>
                <w:rFonts w:cs="Arial" w:asciiTheme="minorEastAsia" w:hAnsiTheme="minorEastAsia" w:eastAsiaTheme="minorEastAsia"/>
                <w:sz w:val="24"/>
                <w:shd w:val="clear" w:color="auto" w:fill="FFFFFF"/>
              </w:rPr>
              <w:t>正常参加诉讼，依法维护其合法权益的法律制度</w:t>
            </w:r>
            <w:r>
              <w:rPr>
                <w:rFonts w:hint="eastAsia" w:cs="Arial" w:asciiTheme="minorEastAsia" w:hAnsiTheme="minorEastAsia" w:eastAsiaTheme="minorEastAsia"/>
                <w:sz w:val="24"/>
                <w:shd w:val="clear" w:color="auto" w:fill="FFFFFF"/>
              </w:rPr>
              <w:t>，顺应了加强权利救济的现代法治发展趋势，彰显党和政府的民生关怀，实现社会公平正义，促进社会和谐稳定，维护司法的公信和权威</w:t>
            </w:r>
          </w:p>
        </w:tc>
      </w:tr>
      <w:tr>
        <w:tblPrEx>
          <w:tblCellMar>
            <w:top w:w="0" w:type="dxa"/>
            <w:left w:w="0" w:type="dxa"/>
            <w:bottom w:w="0" w:type="dxa"/>
            <w:right w:w="0" w:type="dxa"/>
          </w:tblCellMar>
        </w:tblPrEx>
        <w:tc>
          <w:tcPr>
            <w:tcW w:w="914"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绩效指标完成情况</w:t>
            </w:r>
          </w:p>
        </w:tc>
        <w:tc>
          <w:tcPr>
            <w:tcW w:w="52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一级指标</w:t>
            </w:r>
          </w:p>
        </w:tc>
        <w:tc>
          <w:tcPr>
            <w:tcW w:w="55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二级指标</w:t>
            </w:r>
          </w:p>
        </w:tc>
        <w:tc>
          <w:tcPr>
            <w:tcW w:w="88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三级指标</w:t>
            </w:r>
          </w:p>
        </w:tc>
        <w:tc>
          <w:tcPr>
            <w:tcW w:w="97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预期指标值(包含数字及文字描述)</w:t>
            </w:r>
          </w:p>
        </w:tc>
        <w:tc>
          <w:tcPr>
            <w:tcW w:w="114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实际完成指标值(包含数字及文字描述)</w:t>
            </w:r>
          </w:p>
        </w:tc>
      </w:tr>
      <w:tr>
        <w:tblPrEx>
          <w:tblCellMar>
            <w:top w:w="0" w:type="dxa"/>
            <w:left w:w="0" w:type="dxa"/>
            <w:bottom w:w="0" w:type="dxa"/>
            <w:right w:w="0" w:type="dxa"/>
          </w:tblCellMar>
        </w:tblPrEx>
        <w:trPr>
          <w:trHeight w:val="1181" w:hRule="atLeast"/>
        </w:trPr>
        <w:tc>
          <w:tcPr>
            <w:tcW w:w="914"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left"/>
              <w:rPr>
                <w:rFonts w:cs="宋体" w:asciiTheme="minorEastAsia" w:hAnsiTheme="minorEastAsia" w:eastAsiaTheme="minorEastAsia"/>
                <w:color w:val="000000"/>
                <w:sz w:val="24"/>
              </w:rPr>
            </w:pPr>
          </w:p>
        </w:tc>
        <w:tc>
          <w:tcPr>
            <w:tcW w:w="52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项目完成指标</w:t>
            </w:r>
          </w:p>
        </w:tc>
        <w:tc>
          <w:tcPr>
            <w:tcW w:w="55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司法救助人数</w:t>
            </w:r>
          </w:p>
        </w:tc>
        <w:tc>
          <w:tcPr>
            <w:tcW w:w="88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400" w:lineRule="exact"/>
              <w:jc w:val="center"/>
              <w:rPr>
                <w:rFonts w:cs="宋体" w:asciiTheme="minorEastAsia" w:hAnsiTheme="minorEastAsia" w:eastAsiaTheme="minorEastAsia"/>
                <w:sz w:val="24"/>
              </w:rPr>
            </w:pPr>
            <w:r>
              <w:rPr>
                <w:rFonts w:hint="eastAsia" w:asciiTheme="minorEastAsia" w:hAnsiTheme="minorEastAsia" w:eastAsiaTheme="minorEastAsia"/>
                <w:sz w:val="24"/>
              </w:rPr>
              <w:t>对当事人实施司法救助9人</w:t>
            </w:r>
          </w:p>
        </w:tc>
        <w:tc>
          <w:tcPr>
            <w:tcW w:w="97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完成</w:t>
            </w:r>
            <w:r>
              <w:rPr>
                <w:rFonts w:hint="eastAsia" w:asciiTheme="minorEastAsia" w:hAnsiTheme="minorEastAsia" w:eastAsiaTheme="minorEastAsia"/>
                <w:sz w:val="24"/>
              </w:rPr>
              <w:t>司法救助9人，合计9万元</w:t>
            </w:r>
          </w:p>
        </w:tc>
        <w:tc>
          <w:tcPr>
            <w:tcW w:w="114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完成</w:t>
            </w:r>
            <w:r>
              <w:rPr>
                <w:rFonts w:hint="eastAsia" w:asciiTheme="minorEastAsia" w:hAnsiTheme="minorEastAsia" w:eastAsiaTheme="minorEastAsia"/>
                <w:sz w:val="24"/>
              </w:rPr>
              <w:t>司法救助9人，合计9万元</w:t>
            </w:r>
          </w:p>
        </w:tc>
      </w:tr>
      <w:tr>
        <w:tblPrEx>
          <w:tblCellMar>
            <w:top w:w="0" w:type="dxa"/>
            <w:left w:w="0" w:type="dxa"/>
            <w:bottom w:w="0" w:type="dxa"/>
            <w:right w:w="0" w:type="dxa"/>
          </w:tblCellMar>
        </w:tblPrEx>
        <w:trPr>
          <w:trHeight w:val="1393" w:hRule="atLeast"/>
        </w:trPr>
        <w:tc>
          <w:tcPr>
            <w:tcW w:w="914"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left"/>
              <w:rPr>
                <w:rFonts w:cs="宋体" w:asciiTheme="minorEastAsia" w:hAnsiTheme="minorEastAsia" w:eastAsiaTheme="minorEastAsia"/>
                <w:color w:val="000000"/>
                <w:sz w:val="24"/>
              </w:rPr>
            </w:pPr>
          </w:p>
        </w:tc>
        <w:tc>
          <w:tcPr>
            <w:tcW w:w="52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效益指标</w:t>
            </w:r>
          </w:p>
        </w:tc>
        <w:tc>
          <w:tcPr>
            <w:tcW w:w="55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救助人满意度</w:t>
            </w:r>
          </w:p>
        </w:tc>
        <w:tc>
          <w:tcPr>
            <w:tcW w:w="88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400" w:lineRule="exact"/>
              <w:jc w:val="center"/>
              <w:rPr>
                <w:rFonts w:cs="宋体" w:asciiTheme="minorEastAsia" w:hAnsiTheme="minorEastAsia" w:eastAsiaTheme="minorEastAsia"/>
                <w:sz w:val="24"/>
              </w:rPr>
            </w:pPr>
            <w:r>
              <w:rPr>
                <w:rFonts w:hint="eastAsia" w:asciiTheme="minorEastAsia" w:hAnsiTheme="minorEastAsia" w:eastAsiaTheme="minorEastAsia"/>
                <w:sz w:val="24"/>
              </w:rPr>
              <w:t>避免刑事被害人因案致贫、因案返贫</w:t>
            </w:r>
          </w:p>
        </w:tc>
        <w:tc>
          <w:tcPr>
            <w:tcW w:w="97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400" w:lineRule="exact"/>
              <w:jc w:val="center"/>
              <w:rPr>
                <w:rFonts w:cs="宋体" w:asciiTheme="minorEastAsia" w:hAnsiTheme="minorEastAsia" w:eastAsiaTheme="minorEastAsia"/>
                <w:sz w:val="24"/>
              </w:rPr>
            </w:pPr>
            <w:r>
              <w:rPr>
                <w:rFonts w:hint="eastAsia" w:asciiTheme="minorEastAsia" w:hAnsiTheme="minorEastAsia" w:eastAsiaTheme="minorEastAsia"/>
                <w:sz w:val="24"/>
              </w:rPr>
              <w:t>避免刑事被害人因案致贫、因案返贫</w:t>
            </w:r>
          </w:p>
        </w:tc>
        <w:tc>
          <w:tcPr>
            <w:tcW w:w="114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400" w:lineRule="exact"/>
              <w:jc w:val="center"/>
              <w:rPr>
                <w:rFonts w:cs="宋体" w:asciiTheme="minorEastAsia" w:hAnsiTheme="minorEastAsia" w:eastAsiaTheme="minorEastAsia"/>
                <w:sz w:val="24"/>
              </w:rPr>
            </w:pPr>
            <w:r>
              <w:rPr>
                <w:rFonts w:hint="eastAsia" w:asciiTheme="minorEastAsia" w:hAnsiTheme="minorEastAsia" w:eastAsiaTheme="minorEastAsia"/>
                <w:sz w:val="24"/>
              </w:rPr>
              <w:t>避免刑事被害人因案致贫、因案返贫</w:t>
            </w:r>
          </w:p>
        </w:tc>
      </w:tr>
      <w:tr>
        <w:tblPrEx>
          <w:tblCellMar>
            <w:top w:w="0" w:type="dxa"/>
            <w:left w:w="0" w:type="dxa"/>
            <w:bottom w:w="0" w:type="dxa"/>
            <w:right w:w="0" w:type="dxa"/>
          </w:tblCellMar>
        </w:tblPrEx>
        <w:trPr>
          <w:trHeight w:val="1101" w:hRule="atLeast"/>
        </w:trPr>
        <w:tc>
          <w:tcPr>
            <w:tcW w:w="914" w:type="pct"/>
            <w:vMerge w:val="continue"/>
            <w:tcBorders>
              <w:top w:val="single" w:color="000000" w:sz="4" w:space="0"/>
              <w:left w:val="single" w:color="000000" w:sz="4" w:space="0"/>
              <w:bottom w:val="single" w:color="auto" w:sz="4" w:space="0"/>
              <w:right w:val="single" w:color="000000" w:sz="4" w:space="0"/>
            </w:tcBorders>
            <w:vAlign w:val="center"/>
          </w:tcPr>
          <w:p>
            <w:pPr>
              <w:widowControl/>
              <w:spacing w:line="600" w:lineRule="exact"/>
              <w:jc w:val="left"/>
              <w:rPr>
                <w:rFonts w:cs="宋体" w:asciiTheme="minorEastAsia" w:hAnsiTheme="minorEastAsia" w:eastAsiaTheme="minorEastAsia"/>
                <w:color w:val="000000"/>
                <w:sz w:val="24"/>
              </w:rPr>
            </w:pPr>
          </w:p>
        </w:tc>
        <w:tc>
          <w:tcPr>
            <w:tcW w:w="529" w:type="pct"/>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满意度指标</w:t>
            </w:r>
          </w:p>
        </w:tc>
        <w:tc>
          <w:tcPr>
            <w:tcW w:w="551" w:type="pct"/>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公众满意度</w:t>
            </w:r>
          </w:p>
        </w:tc>
        <w:tc>
          <w:tcPr>
            <w:tcW w:w="881" w:type="pct"/>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年度政风评价</w:t>
            </w:r>
          </w:p>
        </w:tc>
        <w:tc>
          <w:tcPr>
            <w:tcW w:w="979" w:type="pct"/>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不发生影响恶劣的群众上访事件。</w:t>
            </w:r>
          </w:p>
        </w:tc>
        <w:tc>
          <w:tcPr>
            <w:tcW w:w="1143" w:type="pct"/>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未发生影响恶劣的群众上访事件。</w:t>
            </w:r>
          </w:p>
        </w:tc>
      </w:tr>
    </w:tbl>
    <w:p>
      <w:pPr>
        <w:spacing w:line="600" w:lineRule="exact"/>
        <w:jc w:val="center"/>
        <w:rPr>
          <w:rFonts w:ascii="黑体" w:hAnsi="黑体" w:eastAsia="黑体" w:cs="宋体"/>
          <w:bCs/>
          <w:color w:val="000000"/>
          <w:kern w:val="0"/>
          <w:sz w:val="36"/>
          <w:szCs w:val="36"/>
        </w:rPr>
      </w:pPr>
    </w:p>
    <w:p>
      <w:pPr>
        <w:spacing w:line="600" w:lineRule="exact"/>
        <w:jc w:val="center"/>
        <w:rPr>
          <w:rFonts w:ascii="仿宋_GB2312" w:hAnsi="仿宋_GB2312" w:eastAsia="仿宋_GB2312" w:cs="仿宋_GB2312"/>
          <w:sz w:val="32"/>
          <w:szCs w:val="32"/>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(2020年度)</w:t>
      </w:r>
    </w:p>
    <w:tbl>
      <w:tblPr>
        <w:tblStyle w:val="14"/>
        <w:tblpPr w:leftFromText="180" w:rightFromText="180" w:vertAnchor="text" w:horzAnchor="page" w:tblpXSpec="center" w:tblpY="423"/>
        <w:tblOverlap w:val="never"/>
        <w:tblW w:w="8959" w:type="dxa"/>
        <w:tblInd w:w="0" w:type="dxa"/>
        <w:tblLayout w:type="autofit"/>
        <w:tblCellMar>
          <w:top w:w="0" w:type="dxa"/>
          <w:left w:w="0" w:type="dxa"/>
          <w:bottom w:w="0" w:type="dxa"/>
          <w:right w:w="0" w:type="dxa"/>
        </w:tblCellMar>
      </w:tblPr>
      <w:tblGrid>
        <w:gridCol w:w="697"/>
        <w:gridCol w:w="1470"/>
        <w:gridCol w:w="1452"/>
        <w:gridCol w:w="1840"/>
        <w:gridCol w:w="1643"/>
        <w:gridCol w:w="1857"/>
      </w:tblGrid>
      <w:tr>
        <w:tblPrEx>
          <w:tblCellMar>
            <w:top w:w="0" w:type="dxa"/>
            <w:left w:w="0" w:type="dxa"/>
            <w:bottom w:w="0" w:type="dxa"/>
            <w:right w:w="0" w:type="dxa"/>
          </w:tblCellMar>
        </w:tblPrEx>
        <w:tc>
          <w:tcPr>
            <w:tcW w:w="361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534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sz w:val="24"/>
              </w:rPr>
              <w:t>援藏援彝</w:t>
            </w:r>
          </w:p>
        </w:tc>
      </w:tr>
      <w:tr>
        <w:tblPrEx>
          <w:tblCellMar>
            <w:top w:w="0" w:type="dxa"/>
            <w:left w:w="0" w:type="dxa"/>
            <w:bottom w:w="0" w:type="dxa"/>
            <w:right w:w="0" w:type="dxa"/>
          </w:tblCellMar>
        </w:tblPrEx>
        <w:tc>
          <w:tcPr>
            <w:tcW w:w="361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534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sz w:val="24"/>
              </w:rPr>
              <w:t>四川省广元市人民检察院</w:t>
            </w:r>
          </w:p>
        </w:tc>
      </w:tr>
      <w:tr>
        <w:tblPrEx>
          <w:tblCellMar>
            <w:top w:w="0" w:type="dxa"/>
            <w:left w:w="0" w:type="dxa"/>
            <w:bottom w:w="0" w:type="dxa"/>
            <w:right w:w="0" w:type="dxa"/>
          </w:tblCellMar>
        </w:tblPrEx>
        <w:tc>
          <w:tcPr>
            <w:tcW w:w="69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92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18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sz w:val="24"/>
              </w:rPr>
              <w:t>6.8</w:t>
            </w:r>
          </w:p>
        </w:tc>
        <w:tc>
          <w:tcPr>
            <w:tcW w:w="164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18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sz w:val="24"/>
              </w:rPr>
              <w:t>6.8</w:t>
            </w:r>
          </w:p>
        </w:tc>
      </w:tr>
      <w:tr>
        <w:tblPrEx>
          <w:tblCellMar>
            <w:top w:w="0" w:type="dxa"/>
            <w:left w:w="0" w:type="dxa"/>
            <w:bottom w:w="0" w:type="dxa"/>
            <w:right w:w="0" w:type="dxa"/>
          </w:tblCellMar>
        </w:tblPrEx>
        <w:tc>
          <w:tcPr>
            <w:tcW w:w="69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ascii="宋体" w:hAnsi="宋体" w:cs="宋体"/>
                <w:color w:val="000000"/>
                <w:sz w:val="24"/>
              </w:rPr>
            </w:pPr>
          </w:p>
        </w:tc>
        <w:tc>
          <w:tcPr>
            <w:tcW w:w="292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18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sz w:val="24"/>
              </w:rPr>
              <w:t>6.8</w:t>
            </w:r>
          </w:p>
        </w:tc>
        <w:tc>
          <w:tcPr>
            <w:tcW w:w="164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18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sz w:val="24"/>
              </w:rPr>
              <w:t>6.8</w:t>
            </w:r>
          </w:p>
        </w:tc>
      </w:tr>
      <w:tr>
        <w:tblPrEx>
          <w:tblCellMar>
            <w:top w:w="0" w:type="dxa"/>
            <w:left w:w="0" w:type="dxa"/>
            <w:bottom w:w="0" w:type="dxa"/>
            <w:right w:w="0" w:type="dxa"/>
          </w:tblCellMar>
        </w:tblPrEx>
        <w:tc>
          <w:tcPr>
            <w:tcW w:w="69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ascii="宋体" w:hAnsi="宋体" w:cs="宋体"/>
                <w:color w:val="000000"/>
                <w:sz w:val="24"/>
              </w:rPr>
            </w:pPr>
          </w:p>
        </w:tc>
        <w:tc>
          <w:tcPr>
            <w:tcW w:w="292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18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kern w:val="0"/>
                <w:sz w:val="24"/>
              </w:rPr>
              <w:t>0</w:t>
            </w:r>
          </w:p>
        </w:tc>
        <w:tc>
          <w:tcPr>
            <w:tcW w:w="164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18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400" w:lineRule="exact"/>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675" w:hRule="atLeast"/>
        </w:trPr>
        <w:tc>
          <w:tcPr>
            <w:tcW w:w="69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350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930" w:hRule="atLeast"/>
        </w:trPr>
        <w:tc>
          <w:tcPr>
            <w:tcW w:w="69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ascii="宋体" w:hAnsi="宋体" w:cs="宋体"/>
                <w:color w:val="000000"/>
                <w:sz w:val="24"/>
              </w:rPr>
            </w:pPr>
          </w:p>
        </w:tc>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sz w:val="24"/>
              </w:rPr>
              <w:t>对昭觉县检察院予以工作支持</w:t>
            </w:r>
          </w:p>
        </w:tc>
        <w:tc>
          <w:tcPr>
            <w:tcW w:w="350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sz w:val="24"/>
              </w:rPr>
              <w:t>对昭觉县检察院予以工作支持</w:t>
            </w:r>
          </w:p>
        </w:tc>
      </w:tr>
      <w:tr>
        <w:tblPrEx>
          <w:tblCellMar>
            <w:top w:w="0" w:type="dxa"/>
            <w:left w:w="0" w:type="dxa"/>
            <w:bottom w:w="0" w:type="dxa"/>
            <w:right w:w="0" w:type="dxa"/>
          </w:tblCellMar>
        </w:tblPrEx>
        <w:trPr>
          <w:trHeight w:val="1373" w:hRule="atLeast"/>
        </w:trPr>
        <w:tc>
          <w:tcPr>
            <w:tcW w:w="69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4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18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164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18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1010" w:hRule="atLeast"/>
        </w:trPr>
        <w:tc>
          <w:tcPr>
            <w:tcW w:w="69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ascii="宋体" w:hAnsi="宋体" w:cs="宋体"/>
                <w:color w:val="000000"/>
                <w:sz w:val="24"/>
              </w:rPr>
            </w:pP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4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sz w:val="24"/>
              </w:rPr>
              <w:t>经费保障</w:t>
            </w:r>
          </w:p>
        </w:tc>
        <w:tc>
          <w:tcPr>
            <w:tcW w:w="18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sz w:val="24"/>
              </w:rPr>
              <w:t>给予经费支持</w:t>
            </w:r>
          </w:p>
        </w:tc>
        <w:tc>
          <w:tcPr>
            <w:tcW w:w="164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sz w:val="24"/>
              </w:rPr>
              <w:t xml:space="preserve"> 按规定予以支持6.8万元</w:t>
            </w:r>
          </w:p>
        </w:tc>
        <w:tc>
          <w:tcPr>
            <w:tcW w:w="18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sz w:val="24"/>
              </w:rPr>
              <w:t xml:space="preserve"> 按规定予以支持6.8万元</w:t>
            </w:r>
          </w:p>
        </w:tc>
      </w:tr>
      <w:tr>
        <w:tblPrEx>
          <w:tblCellMar>
            <w:top w:w="0" w:type="dxa"/>
            <w:left w:w="0" w:type="dxa"/>
            <w:bottom w:w="0" w:type="dxa"/>
            <w:right w:w="0" w:type="dxa"/>
          </w:tblCellMar>
        </w:tblPrEx>
        <w:trPr>
          <w:trHeight w:val="985" w:hRule="atLeast"/>
        </w:trPr>
        <w:tc>
          <w:tcPr>
            <w:tcW w:w="69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ascii="宋体" w:hAnsi="宋体" w:cs="宋体"/>
                <w:color w:val="000000"/>
                <w:sz w:val="24"/>
              </w:rPr>
            </w:pP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4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sz w:val="24"/>
              </w:rPr>
              <w:t>工作交流</w:t>
            </w:r>
          </w:p>
        </w:tc>
        <w:tc>
          <w:tcPr>
            <w:tcW w:w="18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sz w:val="24"/>
              </w:rPr>
              <w:t>开展案件讨论</w:t>
            </w:r>
          </w:p>
        </w:tc>
        <w:tc>
          <w:tcPr>
            <w:tcW w:w="164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sz w:val="24"/>
              </w:rPr>
              <w:t xml:space="preserve"> 积极交流检察业务</w:t>
            </w:r>
          </w:p>
        </w:tc>
        <w:tc>
          <w:tcPr>
            <w:tcW w:w="18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sz w:val="24"/>
              </w:rPr>
              <w:t xml:space="preserve"> 积极交流检察业务</w:t>
            </w:r>
          </w:p>
        </w:tc>
      </w:tr>
      <w:tr>
        <w:tblPrEx>
          <w:tblCellMar>
            <w:top w:w="0" w:type="dxa"/>
            <w:left w:w="0" w:type="dxa"/>
            <w:bottom w:w="0" w:type="dxa"/>
            <w:right w:w="0" w:type="dxa"/>
          </w:tblCellMar>
        </w:tblPrEx>
        <w:trPr>
          <w:trHeight w:val="1090" w:hRule="atLeast"/>
        </w:trPr>
        <w:tc>
          <w:tcPr>
            <w:tcW w:w="69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ascii="宋体" w:hAnsi="宋体" w:cs="宋体"/>
                <w:color w:val="000000"/>
                <w:sz w:val="24"/>
              </w:rPr>
            </w:pP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4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sz w:val="24"/>
              </w:rPr>
              <w:t>政府性指令落实</w:t>
            </w:r>
          </w:p>
        </w:tc>
        <w:tc>
          <w:tcPr>
            <w:tcW w:w="18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sz w:val="24"/>
              </w:rPr>
              <w:t>落实援藏援彝工作</w:t>
            </w:r>
          </w:p>
        </w:tc>
        <w:tc>
          <w:tcPr>
            <w:tcW w:w="164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sz w:val="24"/>
              </w:rPr>
              <w:t>对昭觉县检察院给予支持</w:t>
            </w:r>
          </w:p>
        </w:tc>
        <w:tc>
          <w:tcPr>
            <w:tcW w:w="18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sz w:val="24"/>
              </w:rPr>
              <w:t xml:space="preserve"> 对昭觉县检察院给予支持</w:t>
            </w:r>
          </w:p>
        </w:tc>
      </w:tr>
      <w:tr>
        <w:tblPrEx>
          <w:tblCellMar>
            <w:top w:w="0" w:type="dxa"/>
            <w:left w:w="0" w:type="dxa"/>
            <w:bottom w:w="0" w:type="dxa"/>
            <w:right w:w="0" w:type="dxa"/>
          </w:tblCellMar>
        </w:tblPrEx>
        <w:trPr>
          <w:trHeight w:val="1640" w:hRule="atLeast"/>
        </w:trPr>
        <w:tc>
          <w:tcPr>
            <w:tcW w:w="69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ascii="宋体" w:hAnsi="宋体" w:cs="宋体"/>
                <w:color w:val="000000"/>
                <w:sz w:val="24"/>
              </w:rPr>
            </w:pP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4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sz w:val="24"/>
              </w:rPr>
              <w:t>偏远地区发展</w:t>
            </w:r>
          </w:p>
        </w:tc>
        <w:tc>
          <w:tcPr>
            <w:tcW w:w="18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sz w:val="24"/>
              </w:rPr>
              <w:t>昭觉县检察事业有序发展</w:t>
            </w:r>
          </w:p>
        </w:tc>
        <w:tc>
          <w:tcPr>
            <w:tcW w:w="164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sz w:val="24"/>
              </w:rPr>
              <w:t>昭觉县检察院无因人财物导致的发展落后</w:t>
            </w:r>
          </w:p>
        </w:tc>
        <w:tc>
          <w:tcPr>
            <w:tcW w:w="18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sz w:val="24"/>
              </w:rPr>
              <w:t>昭觉县检察院无因人财物导致的发展落后</w:t>
            </w:r>
          </w:p>
        </w:tc>
      </w:tr>
      <w:tr>
        <w:tblPrEx>
          <w:tblCellMar>
            <w:top w:w="0" w:type="dxa"/>
            <w:left w:w="0" w:type="dxa"/>
            <w:bottom w:w="0" w:type="dxa"/>
            <w:right w:w="0" w:type="dxa"/>
          </w:tblCellMar>
        </w:tblPrEx>
        <w:trPr>
          <w:trHeight w:val="1034" w:hRule="atLeast"/>
        </w:trPr>
        <w:tc>
          <w:tcPr>
            <w:tcW w:w="8959" w:type="dxa"/>
            <w:gridSpan w:val="6"/>
            <w:tcMar>
              <w:top w:w="15" w:type="dxa"/>
              <w:left w:w="15" w:type="dxa"/>
              <w:bottom w:w="0" w:type="dxa"/>
              <w:right w:w="15" w:type="dxa"/>
            </w:tcMar>
            <w:vAlign w:val="center"/>
          </w:tcPr>
          <w:p>
            <w:pPr>
              <w:widowControl/>
              <w:spacing w:line="600" w:lineRule="exact"/>
              <w:textAlignment w:val="center"/>
              <w:rPr>
                <w:rFonts w:ascii="黑体" w:hAnsi="黑体" w:eastAsia="黑体" w:cs="宋体"/>
                <w:bCs/>
                <w:color w:val="000000"/>
                <w:kern w:val="0"/>
                <w:sz w:val="36"/>
                <w:szCs w:val="36"/>
              </w:rPr>
            </w:pPr>
          </w:p>
          <w:p>
            <w:pPr>
              <w:widowControl/>
              <w:spacing w:line="600" w:lineRule="exact"/>
              <w:jc w:val="center"/>
              <w:textAlignment w:val="center"/>
              <w:rPr>
                <w:rFonts w:hint="eastAsia" w:ascii="黑体" w:hAnsi="黑体" w:eastAsia="黑体" w:cs="宋体"/>
                <w:bCs/>
                <w:color w:val="000000"/>
                <w:kern w:val="0"/>
                <w:sz w:val="36"/>
                <w:szCs w:val="36"/>
              </w:rPr>
            </w:pPr>
          </w:p>
          <w:p>
            <w:pPr>
              <w:widowControl/>
              <w:spacing w:line="600" w:lineRule="exact"/>
              <w:jc w:val="center"/>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(2020年度)</w:t>
            </w:r>
          </w:p>
        </w:tc>
      </w:tr>
      <w:tr>
        <w:tblPrEx>
          <w:tblCellMar>
            <w:top w:w="0" w:type="dxa"/>
            <w:left w:w="0" w:type="dxa"/>
            <w:bottom w:w="0" w:type="dxa"/>
            <w:right w:w="0" w:type="dxa"/>
          </w:tblCellMar>
        </w:tblPrEx>
        <w:trPr>
          <w:trHeight w:val="276" w:hRule="atLeast"/>
        </w:trPr>
        <w:tc>
          <w:tcPr>
            <w:tcW w:w="361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项目名称</w:t>
            </w:r>
          </w:p>
        </w:tc>
        <w:tc>
          <w:tcPr>
            <w:tcW w:w="534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cs="宋体" w:asciiTheme="minorEastAsia" w:hAnsiTheme="minorEastAsia" w:eastAsiaTheme="minorEastAsia"/>
                <w:color w:val="000000"/>
                <w:szCs w:val="21"/>
              </w:rPr>
            </w:pPr>
            <w:r>
              <w:rPr>
                <w:rFonts w:hint="eastAsia" w:cs="仿宋_GB2312" w:asciiTheme="minorEastAsia" w:hAnsiTheme="minorEastAsia" w:eastAsiaTheme="minorEastAsia"/>
                <w:szCs w:val="21"/>
              </w:rPr>
              <w:t>扫黑除恶专项斗争</w:t>
            </w:r>
          </w:p>
        </w:tc>
      </w:tr>
      <w:tr>
        <w:tblPrEx>
          <w:tblCellMar>
            <w:top w:w="0" w:type="dxa"/>
            <w:left w:w="0" w:type="dxa"/>
            <w:bottom w:w="0" w:type="dxa"/>
            <w:right w:w="0" w:type="dxa"/>
          </w:tblCellMar>
        </w:tblPrEx>
        <w:trPr>
          <w:trHeight w:val="494" w:hRule="atLeast"/>
        </w:trPr>
        <w:tc>
          <w:tcPr>
            <w:tcW w:w="361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预算单位</w:t>
            </w:r>
          </w:p>
        </w:tc>
        <w:tc>
          <w:tcPr>
            <w:tcW w:w="534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szCs w:val="21"/>
              </w:rPr>
              <w:t>四川省广元市人民检察院</w:t>
            </w:r>
          </w:p>
        </w:tc>
      </w:tr>
      <w:tr>
        <w:tblPrEx>
          <w:tblCellMar>
            <w:top w:w="0" w:type="dxa"/>
            <w:left w:w="0" w:type="dxa"/>
            <w:bottom w:w="0" w:type="dxa"/>
            <w:right w:w="0" w:type="dxa"/>
          </w:tblCellMar>
        </w:tblPrEx>
        <w:trPr>
          <w:trHeight w:val="276" w:hRule="atLeast"/>
        </w:trPr>
        <w:tc>
          <w:tcPr>
            <w:tcW w:w="69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预算执行情况(万元)</w:t>
            </w:r>
          </w:p>
        </w:tc>
        <w:tc>
          <w:tcPr>
            <w:tcW w:w="292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预算数:</w:t>
            </w:r>
          </w:p>
        </w:tc>
        <w:tc>
          <w:tcPr>
            <w:tcW w:w="18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szCs w:val="21"/>
              </w:rPr>
              <w:t>8</w:t>
            </w:r>
          </w:p>
        </w:tc>
        <w:tc>
          <w:tcPr>
            <w:tcW w:w="164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执行数:</w:t>
            </w:r>
          </w:p>
        </w:tc>
        <w:tc>
          <w:tcPr>
            <w:tcW w:w="18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spacing w:line="400" w:lineRule="exact"/>
              <w:jc w:val="center"/>
              <w:rPr>
                <w:szCs w:val="21"/>
              </w:rPr>
            </w:pPr>
            <w:r>
              <w:rPr>
                <w:rFonts w:hint="eastAsia" w:ascii="宋体" w:hAnsi="宋体" w:cs="宋体"/>
                <w:color w:val="000000"/>
                <w:szCs w:val="21"/>
              </w:rPr>
              <w:t>8</w:t>
            </w:r>
          </w:p>
        </w:tc>
      </w:tr>
      <w:tr>
        <w:tblPrEx>
          <w:tblCellMar>
            <w:top w:w="0" w:type="dxa"/>
            <w:left w:w="0" w:type="dxa"/>
            <w:bottom w:w="0" w:type="dxa"/>
            <w:right w:w="0" w:type="dxa"/>
          </w:tblCellMar>
        </w:tblPrEx>
        <w:trPr>
          <w:trHeight w:val="276" w:hRule="atLeast"/>
        </w:trPr>
        <w:tc>
          <w:tcPr>
            <w:tcW w:w="69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ascii="宋体" w:hAnsi="宋体" w:cs="宋体"/>
                <w:color w:val="000000"/>
                <w:szCs w:val="21"/>
              </w:rPr>
            </w:pPr>
          </w:p>
        </w:tc>
        <w:tc>
          <w:tcPr>
            <w:tcW w:w="292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其中-财政拨款:</w:t>
            </w:r>
          </w:p>
        </w:tc>
        <w:tc>
          <w:tcPr>
            <w:tcW w:w="18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szCs w:val="21"/>
              </w:rPr>
              <w:t>8</w:t>
            </w:r>
          </w:p>
        </w:tc>
        <w:tc>
          <w:tcPr>
            <w:tcW w:w="164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其中-财政拨款:</w:t>
            </w:r>
          </w:p>
        </w:tc>
        <w:tc>
          <w:tcPr>
            <w:tcW w:w="18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spacing w:line="400" w:lineRule="exact"/>
              <w:jc w:val="center"/>
              <w:rPr>
                <w:szCs w:val="21"/>
              </w:rPr>
            </w:pPr>
            <w:r>
              <w:rPr>
                <w:rFonts w:hint="eastAsia" w:ascii="宋体" w:hAnsi="宋体" w:cs="宋体"/>
                <w:color w:val="000000"/>
                <w:szCs w:val="21"/>
              </w:rPr>
              <w:t>8</w:t>
            </w:r>
          </w:p>
        </w:tc>
      </w:tr>
      <w:tr>
        <w:tblPrEx>
          <w:tblCellMar>
            <w:top w:w="0" w:type="dxa"/>
            <w:left w:w="0" w:type="dxa"/>
            <w:bottom w:w="0" w:type="dxa"/>
            <w:right w:w="0" w:type="dxa"/>
          </w:tblCellMar>
        </w:tblPrEx>
        <w:trPr>
          <w:trHeight w:val="661" w:hRule="atLeast"/>
        </w:trPr>
        <w:tc>
          <w:tcPr>
            <w:tcW w:w="69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ascii="宋体" w:hAnsi="宋体" w:cs="宋体"/>
                <w:color w:val="000000"/>
                <w:szCs w:val="21"/>
              </w:rPr>
            </w:pPr>
          </w:p>
        </w:tc>
        <w:tc>
          <w:tcPr>
            <w:tcW w:w="292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其它资金:</w:t>
            </w:r>
          </w:p>
        </w:tc>
        <w:tc>
          <w:tcPr>
            <w:tcW w:w="18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0</w:t>
            </w:r>
          </w:p>
        </w:tc>
        <w:tc>
          <w:tcPr>
            <w:tcW w:w="164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其它资金:</w:t>
            </w:r>
          </w:p>
        </w:tc>
        <w:tc>
          <w:tcPr>
            <w:tcW w:w="18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400" w:lineRule="exact"/>
              <w:jc w:val="center"/>
              <w:rPr>
                <w:rFonts w:ascii="宋体" w:hAnsi="宋体" w:cs="宋体"/>
                <w:color w:val="000000"/>
                <w:szCs w:val="21"/>
              </w:rPr>
            </w:pPr>
          </w:p>
        </w:tc>
      </w:tr>
      <w:tr>
        <w:tblPrEx>
          <w:tblCellMar>
            <w:top w:w="0" w:type="dxa"/>
            <w:left w:w="0" w:type="dxa"/>
            <w:bottom w:w="0" w:type="dxa"/>
            <w:right w:w="0" w:type="dxa"/>
          </w:tblCellMar>
        </w:tblPrEx>
        <w:trPr>
          <w:trHeight w:val="675" w:hRule="atLeast"/>
        </w:trPr>
        <w:tc>
          <w:tcPr>
            <w:tcW w:w="69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年度目标完成情况</w:t>
            </w:r>
          </w:p>
        </w:tc>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预期目标</w:t>
            </w:r>
          </w:p>
        </w:tc>
        <w:tc>
          <w:tcPr>
            <w:tcW w:w="350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实际完成目标</w:t>
            </w:r>
          </w:p>
        </w:tc>
      </w:tr>
      <w:tr>
        <w:tblPrEx>
          <w:tblCellMar>
            <w:top w:w="0" w:type="dxa"/>
            <w:left w:w="0" w:type="dxa"/>
            <w:bottom w:w="0" w:type="dxa"/>
            <w:right w:w="0" w:type="dxa"/>
          </w:tblCellMar>
        </w:tblPrEx>
        <w:trPr>
          <w:trHeight w:val="1815" w:hRule="atLeast"/>
        </w:trPr>
        <w:tc>
          <w:tcPr>
            <w:tcW w:w="69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ascii="宋体" w:hAnsi="宋体" w:cs="宋体"/>
                <w:color w:val="000000"/>
                <w:szCs w:val="21"/>
              </w:rPr>
            </w:pPr>
          </w:p>
        </w:tc>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sz w:val="24"/>
              </w:rPr>
              <w:t>沉重打击黑恶势力团伙，营造良好社会氛围</w:t>
            </w:r>
          </w:p>
        </w:tc>
        <w:tc>
          <w:tcPr>
            <w:tcW w:w="350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sz w:val="24"/>
              </w:rPr>
              <w:t>有效震慑黑恶势力违法犯罪行为，营造和谐安定有序的生活环境，充分保障人民群众的合法权益</w:t>
            </w:r>
          </w:p>
        </w:tc>
      </w:tr>
      <w:tr>
        <w:tblPrEx>
          <w:tblCellMar>
            <w:top w:w="0" w:type="dxa"/>
            <w:left w:w="0" w:type="dxa"/>
            <w:bottom w:w="0" w:type="dxa"/>
            <w:right w:w="0" w:type="dxa"/>
          </w:tblCellMar>
        </w:tblPrEx>
        <w:trPr>
          <w:trHeight w:val="1042" w:hRule="atLeast"/>
        </w:trPr>
        <w:tc>
          <w:tcPr>
            <w:tcW w:w="69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szCs w:val="21"/>
              </w:rPr>
              <w:t>绩效指标完成情况</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4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二级指标</w:t>
            </w:r>
          </w:p>
        </w:tc>
        <w:tc>
          <w:tcPr>
            <w:tcW w:w="18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三级指标</w:t>
            </w:r>
          </w:p>
        </w:tc>
        <w:tc>
          <w:tcPr>
            <w:tcW w:w="164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预期指标值(包含数字及文字描述)</w:t>
            </w:r>
          </w:p>
        </w:tc>
        <w:tc>
          <w:tcPr>
            <w:tcW w:w="18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实际完成指标值(包含数字及文字描述)</w:t>
            </w:r>
          </w:p>
        </w:tc>
      </w:tr>
      <w:tr>
        <w:tblPrEx>
          <w:tblCellMar>
            <w:top w:w="0" w:type="dxa"/>
            <w:left w:w="0" w:type="dxa"/>
            <w:bottom w:w="0" w:type="dxa"/>
            <w:right w:w="0" w:type="dxa"/>
          </w:tblCellMar>
        </w:tblPrEx>
        <w:trPr>
          <w:trHeight w:val="1625" w:hRule="atLeast"/>
        </w:trPr>
        <w:tc>
          <w:tcPr>
            <w:tcW w:w="69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4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经费保障</w:t>
            </w:r>
          </w:p>
        </w:tc>
        <w:tc>
          <w:tcPr>
            <w:tcW w:w="18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inorEastAsia" w:hAnsiTheme="minorEastAsia" w:eastAsiaTheme="minorEastAsia"/>
                <w:sz w:val="24"/>
              </w:rPr>
            </w:pPr>
            <w:r>
              <w:rPr>
                <w:rFonts w:hint="eastAsia" w:asciiTheme="minorEastAsia" w:hAnsiTheme="minorEastAsia" w:eastAsiaTheme="minorEastAsia"/>
                <w:sz w:val="24"/>
                <w:shd w:val="clear" w:color="auto" w:fill="FFFFFF"/>
              </w:rPr>
              <w:t>重点项目保障资金</w:t>
            </w:r>
          </w:p>
        </w:tc>
        <w:tc>
          <w:tcPr>
            <w:tcW w:w="164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spacing w:line="360" w:lineRule="exact"/>
              <w:rPr>
                <w:rFonts w:asciiTheme="minorEastAsia" w:hAnsiTheme="minorEastAsia" w:eastAsiaTheme="minorEastAsia"/>
                <w:sz w:val="24"/>
              </w:rPr>
            </w:pPr>
            <w:r>
              <w:rPr>
                <w:rFonts w:hint="eastAsia" w:asciiTheme="minorEastAsia" w:hAnsiTheme="minorEastAsia" w:eastAsiaTheme="minorEastAsia"/>
                <w:sz w:val="24"/>
                <w:shd w:val="clear" w:color="auto" w:fill="FFFFFF"/>
              </w:rPr>
              <w:t>重点保障打击社会关注度高的黑恶势力团伙</w:t>
            </w:r>
          </w:p>
        </w:tc>
        <w:tc>
          <w:tcPr>
            <w:tcW w:w="18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spacing w:line="360" w:lineRule="exact"/>
              <w:rPr>
                <w:rFonts w:asciiTheme="minorEastAsia" w:hAnsiTheme="minorEastAsia" w:eastAsiaTheme="minorEastAsia"/>
                <w:sz w:val="24"/>
              </w:rPr>
            </w:pPr>
            <w:r>
              <w:rPr>
                <w:rFonts w:hint="eastAsia" w:asciiTheme="minorEastAsia" w:hAnsiTheme="minorEastAsia" w:eastAsiaTheme="minorEastAsia"/>
                <w:sz w:val="24"/>
                <w:shd w:val="clear" w:color="auto" w:fill="FFFFFF"/>
              </w:rPr>
              <w:t>重点保障打击社会关注度高的黑恶势力团伙</w:t>
            </w:r>
          </w:p>
        </w:tc>
      </w:tr>
      <w:tr>
        <w:tblPrEx>
          <w:tblCellMar>
            <w:top w:w="0" w:type="dxa"/>
            <w:left w:w="0" w:type="dxa"/>
            <w:bottom w:w="0" w:type="dxa"/>
            <w:right w:w="0" w:type="dxa"/>
          </w:tblCellMar>
        </w:tblPrEx>
        <w:trPr>
          <w:trHeight w:val="1285" w:hRule="atLeast"/>
        </w:trPr>
        <w:tc>
          <w:tcPr>
            <w:tcW w:w="69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4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时效性</w:t>
            </w:r>
          </w:p>
        </w:tc>
        <w:tc>
          <w:tcPr>
            <w:tcW w:w="18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资金拨付及时到位，无差错</w:t>
            </w:r>
          </w:p>
        </w:tc>
        <w:tc>
          <w:tcPr>
            <w:tcW w:w="164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spacing w:line="400" w:lineRule="exact"/>
              <w:rPr>
                <w:rFonts w:asciiTheme="minorEastAsia" w:hAnsiTheme="minorEastAsia" w:eastAsiaTheme="minorEastAsia"/>
                <w:sz w:val="24"/>
              </w:rPr>
            </w:pPr>
            <w:r>
              <w:rPr>
                <w:rFonts w:hint="eastAsia" w:cs="宋体" w:asciiTheme="minorEastAsia" w:hAnsiTheme="minorEastAsia" w:eastAsiaTheme="minorEastAsia"/>
                <w:sz w:val="24"/>
              </w:rPr>
              <w:t>资金拨付及时到位，无差错</w:t>
            </w:r>
          </w:p>
        </w:tc>
        <w:tc>
          <w:tcPr>
            <w:tcW w:w="18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spacing w:line="400" w:lineRule="exact"/>
              <w:rPr>
                <w:rFonts w:asciiTheme="minorEastAsia" w:hAnsiTheme="minorEastAsia" w:eastAsiaTheme="minorEastAsia"/>
                <w:sz w:val="24"/>
              </w:rPr>
            </w:pPr>
            <w:r>
              <w:rPr>
                <w:rFonts w:hint="eastAsia" w:cs="宋体" w:asciiTheme="minorEastAsia" w:hAnsiTheme="minorEastAsia" w:eastAsiaTheme="minorEastAsia"/>
                <w:sz w:val="24"/>
              </w:rPr>
              <w:t>资金拨付及时到位，无差错</w:t>
            </w:r>
          </w:p>
        </w:tc>
      </w:tr>
      <w:tr>
        <w:tblPrEx>
          <w:tblCellMar>
            <w:top w:w="0" w:type="dxa"/>
            <w:left w:w="0" w:type="dxa"/>
            <w:bottom w:w="0" w:type="dxa"/>
            <w:right w:w="0" w:type="dxa"/>
          </w:tblCellMar>
        </w:tblPrEx>
        <w:trPr>
          <w:trHeight w:val="1765" w:hRule="atLeast"/>
        </w:trPr>
        <w:tc>
          <w:tcPr>
            <w:tcW w:w="69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4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textAlignment w:val="center"/>
              <w:rPr>
                <w:rFonts w:ascii="宋体" w:hAnsi="宋体" w:cs="宋体"/>
                <w:color w:val="000000"/>
                <w:sz w:val="24"/>
              </w:rPr>
            </w:pPr>
            <w:r>
              <w:rPr>
                <w:rFonts w:hint="eastAsia" w:ascii="宋体" w:hAnsi="宋体" w:cs="宋体"/>
                <w:color w:val="000000"/>
                <w:sz w:val="24"/>
              </w:rPr>
              <w:t>社会满意度</w:t>
            </w:r>
          </w:p>
        </w:tc>
        <w:tc>
          <w:tcPr>
            <w:tcW w:w="18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ascii="宋体" w:hAnsi="宋体" w:cs="宋体"/>
                <w:color w:val="000000"/>
                <w:sz w:val="24"/>
              </w:rPr>
            </w:pPr>
            <w:r>
              <w:rPr>
                <w:rFonts w:hint="eastAsia" w:ascii="宋体" w:hAnsi="宋体" w:cs="宋体"/>
                <w:color w:val="000000"/>
                <w:sz w:val="24"/>
              </w:rPr>
              <w:t>社会公众满意度达到98%，减少上访事件。</w:t>
            </w:r>
          </w:p>
        </w:tc>
        <w:tc>
          <w:tcPr>
            <w:tcW w:w="164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spacing w:line="360" w:lineRule="exact"/>
              <w:rPr>
                <w:sz w:val="24"/>
              </w:rPr>
            </w:pPr>
            <w:r>
              <w:rPr>
                <w:rFonts w:hint="eastAsia" w:ascii="宋体" w:hAnsi="宋体" w:cs="宋体"/>
                <w:color w:val="000000"/>
                <w:sz w:val="24"/>
              </w:rPr>
              <w:t>社会公众满意度达到98%，减少上访事件。</w:t>
            </w:r>
          </w:p>
        </w:tc>
        <w:tc>
          <w:tcPr>
            <w:tcW w:w="18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spacing w:line="360" w:lineRule="exact"/>
              <w:rPr>
                <w:sz w:val="24"/>
              </w:rPr>
            </w:pPr>
            <w:r>
              <w:rPr>
                <w:rFonts w:hint="eastAsia" w:ascii="宋体" w:hAnsi="宋体" w:cs="宋体"/>
                <w:color w:val="000000"/>
                <w:sz w:val="24"/>
              </w:rPr>
              <w:t>社会公众满意度达到98%，减少上访事件。</w:t>
            </w:r>
          </w:p>
        </w:tc>
      </w:tr>
      <w:tr>
        <w:tblPrEx>
          <w:tblCellMar>
            <w:top w:w="0" w:type="dxa"/>
            <w:left w:w="0" w:type="dxa"/>
            <w:bottom w:w="0" w:type="dxa"/>
            <w:right w:w="0" w:type="dxa"/>
          </w:tblCellMar>
        </w:tblPrEx>
        <w:trPr>
          <w:trHeight w:val="1034" w:hRule="atLeast"/>
        </w:trPr>
        <w:tc>
          <w:tcPr>
            <w:tcW w:w="8959" w:type="dxa"/>
            <w:gridSpan w:val="6"/>
            <w:tcMar>
              <w:top w:w="15" w:type="dxa"/>
              <w:left w:w="15" w:type="dxa"/>
              <w:bottom w:w="0" w:type="dxa"/>
              <w:right w:w="15" w:type="dxa"/>
            </w:tcMar>
            <w:vAlign w:val="center"/>
          </w:tcPr>
          <w:p>
            <w:pPr>
              <w:widowControl/>
              <w:spacing w:line="480" w:lineRule="auto"/>
              <w:ind w:firstLine="1440" w:firstLineChars="400"/>
              <w:textAlignment w:val="center"/>
              <w:rPr>
                <w:rFonts w:ascii="黑体" w:hAnsi="黑体" w:eastAsia="黑体" w:cs="宋体"/>
                <w:bCs/>
                <w:color w:val="000000"/>
                <w:kern w:val="0"/>
                <w:sz w:val="36"/>
                <w:szCs w:val="36"/>
              </w:rPr>
            </w:pPr>
          </w:p>
          <w:p>
            <w:pPr>
              <w:widowControl/>
              <w:spacing w:line="480" w:lineRule="auto"/>
              <w:ind w:firstLine="1440" w:firstLineChars="400"/>
              <w:textAlignment w:val="center"/>
              <w:rPr>
                <w:rFonts w:ascii="黑体" w:hAnsi="黑体" w:eastAsia="黑体" w:cs="宋体"/>
                <w:bCs/>
                <w:color w:val="000000"/>
                <w:kern w:val="0"/>
                <w:sz w:val="36"/>
                <w:szCs w:val="36"/>
              </w:rPr>
            </w:pPr>
          </w:p>
          <w:p>
            <w:pPr>
              <w:widowControl/>
              <w:spacing w:line="480" w:lineRule="auto"/>
              <w:ind w:firstLine="1440" w:firstLineChars="400"/>
              <w:textAlignment w:val="center"/>
              <w:rPr>
                <w:rFonts w:ascii="宋体" w:hAnsi="宋体" w:cs="宋体"/>
                <w:b/>
                <w:bCs/>
                <w:color w:val="000000"/>
                <w:kern w:val="0"/>
                <w:sz w:val="36"/>
                <w:szCs w:val="36"/>
              </w:rPr>
            </w:pPr>
            <w:r>
              <w:rPr>
                <w:rFonts w:hint="eastAsia" w:ascii="黑体" w:hAnsi="黑体" w:eastAsia="黑体" w:cs="宋体"/>
                <w:bCs/>
                <w:color w:val="000000"/>
                <w:kern w:val="0"/>
                <w:sz w:val="36"/>
                <w:szCs w:val="36"/>
              </w:rPr>
              <w:t>项目支出绩效目标完成情况表</w:t>
            </w:r>
          </w:p>
          <w:p>
            <w:pPr>
              <w:pStyle w:val="25"/>
              <w:widowControl/>
              <w:spacing w:line="480" w:lineRule="auto"/>
              <w:ind w:left="4174" w:leftChars="1396" w:hanging="1242" w:hangingChars="345"/>
              <w:textAlignment w:val="center"/>
              <w:rPr>
                <w:rFonts w:ascii="宋体" w:hAnsi="宋体" w:cs="宋体"/>
                <w:color w:val="000000"/>
                <w:sz w:val="36"/>
                <w:szCs w:val="36"/>
              </w:rPr>
            </w:pPr>
            <w:r>
              <w:rPr>
                <w:rFonts w:hint="eastAsia" w:ascii="宋体" w:hAnsi="宋体" w:cs="宋体"/>
                <w:color w:val="000000"/>
                <w:kern w:val="0"/>
                <w:sz w:val="36"/>
                <w:szCs w:val="36"/>
              </w:rPr>
              <w:t>(2020 年度)</w:t>
            </w:r>
          </w:p>
        </w:tc>
      </w:tr>
      <w:tr>
        <w:tblPrEx>
          <w:tblCellMar>
            <w:top w:w="0" w:type="dxa"/>
            <w:left w:w="0" w:type="dxa"/>
            <w:bottom w:w="0" w:type="dxa"/>
            <w:right w:w="0" w:type="dxa"/>
          </w:tblCellMar>
        </w:tblPrEx>
        <w:trPr>
          <w:trHeight w:val="276" w:hRule="atLeast"/>
        </w:trPr>
        <w:tc>
          <w:tcPr>
            <w:tcW w:w="361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项目名称</w:t>
            </w:r>
          </w:p>
        </w:tc>
        <w:tc>
          <w:tcPr>
            <w:tcW w:w="534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szCs w:val="21"/>
              </w:rPr>
              <w:t>检察监督</w:t>
            </w:r>
          </w:p>
        </w:tc>
      </w:tr>
      <w:tr>
        <w:tblPrEx>
          <w:tblCellMar>
            <w:top w:w="0" w:type="dxa"/>
            <w:left w:w="0" w:type="dxa"/>
            <w:bottom w:w="0" w:type="dxa"/>
            <w:right w:w="0" w:type="dxa"/>
          </w:tblCellMar>
        </w:tblPrEx>
        <w:trPr>
          <w:trHeight w:val="563" w:hRule="atLeast"/>
        </w:trPr>
        <w:tc>
          <w:tcPr>
            <w:tcW w:w="361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预算单位</w:t>
            </w:r>
          </w:p>
        </w:tc>
        <w:tc>
          <w:tcPr>
            <w:tcW w:w="534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szCs w:val="21"/>
              </w:rPr>
              <w:t>四川省广元市人民检察院</w:t>
            </w:r>
          </w:p>
        </w:tc>
      </w:tr>
      <w:tr>
        <w:tblPrEx>
          <w:tblCellMar>
            <w:top w:w="0" w:type="dxa"/>
            <w:left w:w="0" w:type="dxa"/>
            <w:bottom w:w="0" w:type="dxa"/>
            <w:right w:w="0" w:type="dxa"/>
          </w:tblCellMar>
        </w:tblPrEx>
        <w:trPr>
          <w:trHeight w:val="543" w:hRule="atLeast"/>
        </w:trPr>
        <w:tc>
          <w:tcPr>
            <w:tcW w:w="69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预算执行情况(万元)</w:t>
            </w:r>
          </w:p>
        </w:tc>
        <w:tc>
          <w:tcPr>
            <w:tcW w:w="292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预算数:</w:t>
            </w:r>
          </w:p>
        </w:tc>
        <w:tc>
          <w:tcPr>
            <w:tcW w:w="18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szCs w:val="21"/>
              </w:rPr>
              <w:t>281.72</w:t>
            </w:r>
          </w:p>
        </w:tc>
        <w:tc>
          <w:tcPr>
            <w:tcW w:w="164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执行数:</w:t>
            </w:r>
          </w:p>
        </w:tc>
        <w:tc>
          <w:tcPr>
            <w:tcW w:w="18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szCs w:val="21"/>
              </w:rPr>
              <w:t>281.72</w:t>
            </w:r>
          </w:p>
        </w:tc>
      </w:tr>
      <w:tr>
        <w:tblPrEx>
          <w:tblCellMar>
            <w:top w:w="0" w:type="dxa"/>
            <w:left w:w="0" w:type="dxa"/>
            <w:bottom w:w="0" w:type="dxa"/>
            <w:right w:w="0" w:type="dxa"/>
          </w:tblCellMar>
        </w:tblPrEx>
        <w:trPr>
          <w:trHeight w:val="276" w:hRule="atLeast"/>
        </w:trPr>
        <w:tc>
          <w:tcPr>
            <w:tcW w:w="69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ascii="宋体" w:hAnsi="宋体" w:cs="宋体"/>
                <w:color w:val="000000"/>
                <w:szCs w:val="21"/>
              </w:rPr>
            </w:pPr>
          </w:p>
        </w:tc>
        <w:tc>
          <w:tcPr>
            <w:tcW w:w="292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其中-财政拨款:</w:t>
            </w:r>
          </w:p>
        </w:tc>
        <w:tc>
          <w:tcPr>
            <w:tcW w:w="18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szCs w:val="21"/>
              </w:rPr>
              <w:t>281.72</w:t>
            </w:r>
          </w:p>
        </w:tc>
        <w:tc>
          <w:tcPr>
            <w:tcW w:w="164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其中-财政拨款:</w:t>
            </w:r>
          </w:p>
        </w:tc>
        <w:tc>
          <w:tcPr>
            <w:tcW w:w="18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szCs w:val="21"/>
              </w:rPr>
              <w:t>281.72</w:t>
            </w:r>
          </w:p>
        </w:tc>
      </w:tr>
      <w:tr>
        <w:tblPrEx>
          <w:tblCellMar>
            <w:top w:w="0" w:type="dxa"/>
            <w:left w:w="0" w:type="dxa"/>
            <w:bottom w:w="0" w:type="dxa"/>
            <w:right w:w="0" w:type="dxa"/>
          </w:tblCellMar>
        </w:tblPrEx>
        <w:trPr>
          <w:trHeight w:val="576" w:hRule="atLeast"/>
        </w:trPr>
        <w:tc>
          <w:tcPr>
            <w:tcW w:w="69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ascii="宋体" w:hAnsi="宋体" w:cs="宋体"/>
                <w:color w:val="000000"/>
                <w:szCs w:val="21"/>
              </w:rPr>
            </w:pPr>
          </w:p>
        </w:tc>
        <w:tc>
          <w:tcPr>
            <w:tcW w:w="292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其它资金:</w:t>
            </w:r>
          </w:p>
        </w:tc>
        <w:tc>
          <w:tcPr>
            <w:tcW w:w="18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0</w:t>
            </w:r>
          </w:p>
        </w:tc>
        <w:tc>
          <w:tcPr>
            <w:tcW w:w="164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其它资金:</w:t>
            </w:r>
          </w:p>
        </w:tc>
        <w:tc>
          <w:tcPr>
            <w:tcW w:w="18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exact"/>
              <w:jc w:val="center"/>
              <w:rPr>
                <w:rFonts w:ascii="宋体" w:hAnsi="宋体" w:cs="宋体"/>
                <w:color w:val="000000"/>
                <w:szCs w:val="21"/>
              </w:rPr>
            </w:pPr>
            <w:r>
              <w:rPr>
                <w:rFonts w:hint="eastAsia" w:ascii="宋体" w:hAnsi="宋体" w:cs="宋体"/>
                <w:color w:val="000000"/>
                <w:szCs w:val="21"/>
              </w:rPr>
              <w:t>0</w:t>
            </w:r>
          </w:p>
        </w:tc>
      </w:tr>
      <w:tr>
        <w:tblPrEx>
          <w:tblCellMar>
            <w:top w:w="0" w:type="dxa"/>
            <w:left w:w="0" w:type="dxa"/>
            <w:bottom w:w="0" w:type="dxa"/>
            <w:right w:w="0" w:type="dxa"/>
          </w:tblCellMar>
        </w:tblPrEx>
        <w:trPr>
          <w:trHeight w:val="276" w:hRule="atLeast"/>
        </w:trPr>
        <w:tc>
          <w:tcPr>
            <w:tcW w:w="69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年度目标完成情况</w:t>
            </w:r>
          </w:p>
        </w:tc>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预期目标</w:t>
            </w:r>
          </w:p>
        </w:tc>
        <w:tc>
          <w:tcPr>
            <w:tcW w:w="350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实际完成目标</w:t>
            </w:r>
          </w:p>
        </w:tc>
      </w:tr>
      <w:tr>
        <w:tblPrEx>
          <w:tblCellMar>
            <w:top w:w="0" w:type="dxa"/>
            <w:left w:w="0" w:type="dxa"/>
            <w:bottom w:w="0" w:type="dxa"/>
            <w:right w:w="0" w:type="dxa"/>
          </w:tblCellMar>
        </w:tblPrEx>
        <w:trPr>
          <w:trHeight w:val="892" w:hRule="atLeast"/>
        </w:trPr>
        <w:tc>
          <w:tcPr>
            <w:tcW w:w="69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ascii="宋体" w:hAnsi="宋体" w:cs="宋体"/>
                <w:color w:val="000000"/>
                <w:szCs w:val="21"/>
              </w:rPr>
            </w:pPr>
          </w:p>
        </w:tc>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szCs w:val="21"/>
              </w:rPr>
              <w:t>积极开展检察业务</w:t>
            </w:r>
          </w:p>
        </w:tc>
        <w:tc>
          <w:tcPr>
            <w:tcW w:w="350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szCs w:val="21"/>
              </w:rPr>
              <w:t>依法打击刑事犯罪，实现办案零差错</w:t>
            </w:r>
          </w:p>
        </w:tc>
      </w:tr>
      <w:tr>
        <w:tblPrEx>
          <w:tblCellMar>
            <w:top w:w="0" w:type="dxa"/>
            <w:left w:w="0" w:type="dxa"/>
            <w:bottom w:w="0" w:type="dxa"/>
            <w:right w:w="0" w:type="dxa"/>
          </w:tblCellMar>
        </w:tblPrEx>
        <w:trPr>
          <w:trHeight w:val="1104" w:hRule="atLeast"/>
        </w:trPr>
        <w:tc>
          <w:tcPr>
            <w:tcW w:w="69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szCs w:val="21"/>
              </w:rPr>
              <w:t>绩效指标完成情况</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jc w:val="center"/>
              <w:textAlignment w:val="center"/>
              <w:rPr>
                <w:rFonts w:ascii="宋体" w:hAnsi="宋体" w:cs="宋体"/>
                <w:color w:val="000000"/>
                <w:szCs w:val="21"/>
              </w:rPr>
            </w:pPr>
            <w:r>
              <w:rPr>
                <w:rFonts w:hint="eastAsia" w:ascii="宋体" w:hAnsi="宋体" w:cs="宋体"/>
                <w:color w:val="000000"/>
                <w:kern w:val="0"/>
                <w:szCs w:val="21"/>
              </w:rPr>
              <w:t>一级指标</w:t>
            </w:r>
          </w:p>
        </w:tc>
        <w:tc>
          <w:tcPr>
            <w:tcW w:w="14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jc w:val="center"/>
              <w:textAlignment w:val="center"/>
              <w:rPr>
                <w:rFonts w:ascii="宋体" w:hAnsi="宋体" w:cs="宋体"/>
                <w:color w:val="000000"/>
                <w:szCs w:val="21"/>
              </w:rPr>
            </w:pPr>
            <w:r>
              <w:rPr>
                <w:rFonts w:hint="eastAsia" w:ascii="宋体" w:hAnsi="宋体" w:cs="宋体"/>
                <w:color w:val="000000"/>
                <w:kern w:val="0"/>
                <w:szCs w:val="21"/>
              </w:rPr>
              <w:t>二级指标</w:t>
            </w:r>
          </w:p>
        </w:tc>
        <w:tc>
          <w:tcPr>
            <w:tcW w:w="18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jc w:val="center"/>
              <w:textAlignment w:val="center"/>
              <w:rPr>
                <w:rFonts w:ascii="宋体" w:hAnsi="宋体" w:cs="宋体"/>
                <w:color w:val="000000"/>
                <w:szCs w:val="21"/>
              </w:rPr>
            </w:pPr>
            <w:r>
              <w:rPr>
                <w:rFonts w:hint="eastAsia" w:ascii="宋体" w:hAnsi="宋体" w:cs="宋体"/>
                <w:color w:val="000000"/>
                <w:kern w:val="0"/>
                <w:szCs w:val="21"/>
              </w:rPr>
              <w:t>三级指标</w:t>
            </w:r>
          </w:p>
        </w:tc>
        <w:tc>
          <w:tcPr>
            <w:tcW w:w="164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jc w:val="center"/>
              <w:textAlignment w:val="center"/>
              <w:rPr>
                <w:rFonts w:ascii="宋体" w:hAnsi="宋体" w:cs="宋体"/>
                <w:color w:val="000000"/>
                <w:szCs w:val="21"/>
              </w:rPr>
            </w:pPr>
            <w:r>
              <w:rPr>
                <w:rFonts w:hint="eastAsia" w:ascii="宋体" w:hAnsi="宋体" w:cs="宋体"/>
                <w:color w:val="000000"/>
                <w:kern w:val="0"/>
                <w:szCs w:val="21"/>
              </w:rPr>
              <w:t>预期指标值(包含数字及文字描述)</w:t>
            </w:r>
          </w:p>
        </w:tc>
        <w:tc>
          <w:tcPr>
            <w:tcW w:w="18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jc w:val="center"/>
              <w:textAlignment w:val="center"/>
              <w:rPr>
                <w:rFonts w:ascii="宋体" w:hAnsi="宋体" w:cs="宋体"/>
                <w:color w:val="000000"/>
                <w:szCs w:val="21"/>
              </w:rPr>
            </w:pPr>
            <w:r>
              <w:rPr>
                <w:rFonts w:hint="eastAsia" w:ascii="宋体" w:hAnsi="宋体" w:cs="宋体"/>
                <w:color w:val="000000"/>
                <w:kern w:val="0"/>
                <w:szCs w:val="21"/>
              </w:rPr>
              <w:t>实际完成指标值(包含数字及文字描述)</w:t>
            </w:r>
          </w:p>
        </w:tc>
      </w:tr>
      <w:tr>
        <w:tblPrEx>
          <w:tblCellMar>
            <w:top w:w="0" w:type="dxa"/>
            <w:left w:w="0" w:type="dxa"/>
            <w:bottom w:w="0" w:type="dxa"/>
            <w:right w:w="0" w:type="dxa"/>
          </w:tblCellMar>
        </w:tblPrEx>
        <w:trPr>
          <w:trHeight w:val="824" w:hRule="atLeast"/>
        </w:trPr>
        <w:tc>
          <w:tcPr>
            <w:tcW w:w="69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jc w:val="center"/>
              <w:textAlignment w:val="center"/>
              <w:rPr>
                <w:rFonts w:ascii="宋体" w:hAnsi="宋体" w:cs="宋体"/>
                <w:color w:val="000000"/>
                <w:szCs w:val="21"/>
              </w:rPr>
            </w:pPr>
            <w:r>
              <w:rPr>
                <w:rFonts w:hint="eastAsia" w:ascii="宋体" w:hAnsi="宋体" w:cs="宋体"/>
                <w:color w:val="000000"/>
                <w:kern w:val="0"/>
                <w:szCs w:val="21"/>
              </w:rPr>
              <w:t>项目完成指标</w:t>
            </w:r>
          </w:p>
        </w:tc>
        <w:tc>
          <w:tcPr>
            <w:tcW w:w="14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textAlignment w:val="center"/>
              <w:rPr>
                <w:rFonts w:ascii="宋体" w:hAnsi="宋体" w:cs="宋体"/>
                <w:color w:val="000000"/>
                <w:szCs w:val="21"/>
              </w:rPr>
            </w:pPr>
            <w:r>
              <w:rPr>
                <w:rFonts w:hint="eastAsia" w:ascii="宋体" w:hAnsi="宋体" w:cs="宋体"/>
                <w:color w:val="000000"/>
                <w:szCs w:val="21"/>
              </w:rPr>
              <w:t>检察工作的开展</w:t>
            </w:r>
          </w:p>
        </w:tc>
        <w:tc>
          <w:tcPr>
            <w:tcW w:w="18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jc w:val="center"/>
              <w:textAlignment w:val="center"/>
              <w:rPr>
                <w:rFonts w:ascii="宋体" w:hAnsi="宋体" w:cs="宋体"/>
                <w:color w:val="000000"/>
                <w:szCs w:val="21"/>
              </w:rPr>
            </w:pPr>
            <w:r>
              <w:rPr>
                <w:rFonts w:hint="eastAsia" w:ascii="宋体" w:hAnsi="宋体" w:cs="宋体"/>
                <w:color w:val="000000"/>
                <w:szCs w:val="21"/>
              </w:rPr>
              <w:t>严厉打击刑事犯罪</w:t>
            </w:r>
          </w:p>
        </w:tc>
        <w:tc>
          <w:tcPr>
            <w:tcW w:w="164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jc w:val="center"/>
              <w:textAlignment w:val="center"/>
              <w:rPr>
                <w:rFonts w:ascii="宋体" w:hAnsi="宋体" w:cs="宋体"/>
                <w:color w:val="000000"/>
                <w:szCs w:val="21"/>
              </w:rPr>
            </w:pPr>
            <w:r>
              <w:rPr>
                <w:rFonts w:hint="eastAsia" w:ascii="宋体" w:hAnsi="宋体" w:cs="宋体"/>
                <w:color w:val="000000"/>
                <w:szCs w:val="21"/>
              </w:rPr>
              <w:t xml:space="preserve"> 开展批捕和公诉案件</w:t>
            </w:r>
          </w:p>
        </w:tc>
        <w:tc>
          <w:tcPr>
            <w:tcW w:w="18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jc w:val="center"/>
              <w:textAlignment w:val="center"/>
              <w:rPr>
                <w:rFonts w:ascii="宋体" w:hAnsi="宋体" w:cs="宋体"/>
                <w:color w:val="000000"/>
                <w:szCs w:val="21"/>
              </w:rPr>
            </w:pPr>
            <w:r>
              <w:rPr>
                <w:rFonts w:hint="eastAsia" w:ascii="宋体" w:hAnsi="宋体" w:cs="宋体"/>
                <w:color w:val="000000"/>
                <w:szCs w:val="21"/>
              </w:rPr>
              <w:t xml:space="preserve"> 开展批捕和公诉案件</w:t>
            </w:r>
          </w:p>
        </w:tc>
      </w:tr>
      <w:tr>
        <w:tblPrEx>
          <w:tblCellMar>
            <w:top w:w="0" w:type="dxa"/>
            <w:left w:w="0" w:type="dxa"/>
            <w:bottom w:w="0" w:type="dxa"/>
            <w:right w:w="0" w:type="dxa"/>
          </w:tblCellMar>
        </w:tblPrEx>
        <w:trPr>
          <w:trHeight w:val="938" w:hRule="atLeast"/>
        </w:trPr>
        <w:tc>
          <w:tcPr>
            <w:tcW w:w="69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jc w:val="center"/>
              <w:textAlignment w:val="center"/>
              <w:rPr>
                <w:rFonts w:ascii="宋体" w:hAnsi="宋体" w:cs="宋体"/>
                <w:color w:val="000000"/>
                <w:szCs w:val="21"/>
              </w:rPr>
            </w:pPr>
            <w:r>
              <w:rPr>
                <w:rFonts w:hint="eastAsia" w:ascii="宋体" w:hAnsi="宋体" w:cs="宋体"/>
                <w:color w:val="000000"/>
                <w:kern w:val="0"/>
                <w:szCs w:val="21"/>
              </w:rPr>
              <w:t>项目完成指标</w:t>
            </w:r>
          </w:p>
        </w:tc>
        <w:tc>
          <w:tcPr>
            <w:tcW w:w="14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jc w:val="center"/>
              <w:textAlignment w:val="center"/>
              <w:rPr>
                <w:rFonts w:ascii="宋体" w:hAnsi="宋体" w:cs="宋体"/>
                <w:color w:val="000000"/>
                <w:szCs w:val="21"/>
              </w:rPr>
            </w:pPr>
            <w:r>
              <w:rPr>
                <w:rFonts w:hint="eastAsia" w:ascii="宋体" w:hAnsi="宋体" w:cs="宋体"/>
                <w:color w:val="000000"/>
                <w:szCs w:val="21"/>
              </w:rPr>
              <w:t>检察工作的开展</w:t>
            </w:r>
          </w:p>
        </w:tc>
        <w:tc>
          <w:tcPr>
            <w:tcW w:w="18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jc w:val="center"/>
              <w:textAlignment w:val="center"/>
              <w:rPr>
                <w:rFonts w:ascii="宋体" w:hAnsi="宋体" w:cs="宋体"/>
                <w:color w:val="000000"/>
                <w:szCs w:val="21"/>
              </w:rPr>
            </w:pPr>
            <w:r>
              <w:rPr>
                <w:rFonts w:hint="eastAsia" w:ascii="宋体" w:hAnsi="宋体" w:cs="宋体"/>
                <w:color w:val="000000"/>
                <w:szCs w:val="21"/>
              </w:rPr>
              <w:t>加强未成年人检察工作</w:t>
            </w:r>
          </w:p>
        </w:tc>
        <w:tc>
          <w:tcPr>
            <w:tcW w:w="164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jc w:val="center"/>
              <w:textAlignment w:val="center"/>
              <w:rPr>
                <w:rFonts w:ascii="宋体" w:hAnsi="宋体" w:cs="宋体"/>
                <w:color w:val="000000"/>
                <w:szCs w:val="21"/>
              </w:rPr>
            </w:pPr>
            <w:r>
              <w:rPr>
                <w:rFonts w:hint="eastAsia" w:ascii="宋体" w:hAnsi="宋体" w:cs="宋体"/>
                <w:color w:val="000000"/>
                <w:szCs w:val="21"/>
              </w:rPr>
              <w:t xml:space="preserve"> 落实未成年人检察各项特殊制度</w:t>
            </w:r>
          </w:p>
        </w:tc>
        <w:tc>
          <w:tcPr>
            <w:tcW w:w="18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jc w:val="center"/>
              <w:textAlignment w:val="center"/>
              <w:rPr>
                <w:rFonts w:ascii="宋体" w:hAnsi="宋体" w:cs="宋体"/>
                <w:color w:val="000000"/>
                <w:szCs w:val="21"/>
              </w:rPr>
            </w:pPr>
            <w:r>
              <w:rPr>
                <w:rFonts w:hint="eastAsia" w:ascii="宋体" w:hAnsi="宋体" w:cs="宋体"/>
                <w:color w:val="000000"/>
                <w:szCs w:val="21"/>
              </w:rPr>
              <w:t xml:space="preserve"> 落实未成年人检察各项特殊制度</w:t>
            </w:r>
          </w:p>
        </w:tc>
      </w:tr>
      <w:tr>
        <w:tblPrEx>
          <w:tblCellMar>
            <w:top w:w="0" w:type="dxa"/>
            <w:left w:w="0" w:type="dxa"/>
            <w:bottom w:w="0" w:type="dxa"/>
            <w:right w:w="0" w:type="dxa"/>
          </w:tblCellMar>
        </w:tblPrEx>
        <w:trPr>
          <w:trHeight w:val="686" w:hRule="atLeast"/>
        </w:trPr>
        <w:tc>
          <w:tcPr>
            <w:tcW w:w="69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jc w:val="center"/>
              <w:textAlignment w:val="center"/>
              <w:rPr>
                <w:rFonts w:ascii="宋体" w:hAnsi="宋体" w:cs="宋体"/>
                <w:color w:val="000000"/>
                <w:szCs w:val="21"/>
              </w:rPr>
            </w:pPr>
            <w:r>
              <w:rPr>
                <w:rFonts w:hint="eastAsia" w:ascii="宋体" w:hAnsi="宋体" w:cs="宋体"/>
                <w:color w:val="000000"/>
                <w:kern w:val="0"/>
                <w:szCs w:val="21"/>
              </w:rPr>
              <w:t>项目完成指标</w:t>
            </w:r>
          </w:p>
        </w:tc>
        <w:tc>
          <w:tcPr>
            <w:tcW w:w="14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jc w:val="center"/>
              <w:textAlignment w:val="center"/>
              <w:rPr>
                <w:rFonts w:ascii="宋体" w:hAnsi="宋体" w:cs="宋体"/>
                <w:color w:val="000000"/>
                <w:szCs w:val="21"/>
              </w:rPr>
            </w:pPr>
            <w:r>
              <w:rPr>
                <w:rFonts w:hint="eastAsia" w:ascii="宋体" w:hAnsi="宋体" w:cs="宋体"/>
                <w:color w:val="000000"/>
                <w:szCs w:val="21"/>
              </w:rPr>
              <w:t>检察工作的开展</w:t>
            </w:r>
          </w:p>
        </w:tc>
        <w:tc>
          <w:tcPr>
            <w:tcW w:w="18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jc w:val="center"/>
              <w:textAlignment w:val="center"/>
              <w:rPr>
                <w:rFonts w:ascii="宋体" w:hAnsi="宋体" w:cs="宋体"/>
                <w:color w:val="000000"/>
                <w:szCs w:val="21"/>
              </w:rPr>
            </w:pPr>
            <w:r>
              <w:rPr>
                <w:rFonts w:hint="eastAsia" w:ascii="宋体" w:hAnsi="宋体" w:cs="宋体"/>
                <w:color w:val="000000"/>
                <w:szCs w:val="21"/>
              </w:rPr>
              <w:t>依法化解矛盾纠纷</w:t>
            </w:r>
          </w:p>
        </w:tc>
        <w:tc>
          <w:tcPr>
            <w:tcW w:w="164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jc w:val="center"/>
              <w:textAlignment w:val="center"/>
              <w:rPr>
                <w:rFonts w:ascii="宋体" w:hAnsi="宋体" w:cs="宋体"/>
                <w:color w:val="000000"/>
                <w:szCs w:val="21"/>
              </w:rPr>
            </w:pPr>
            <w:r>
              <w:rPr>
                <w:rFonts w:hint="eastAsia" w:ascii="宋体" w:hAnsi="宋体" w:cs="宋体"/>
                <w:color w:val="000000"/>
                <w:szCs w:val="21"/>
              </w:rPr>
              <w:t xml:space="preserve"> 妥善处理各类信访矛盾纠纷</w:t>
            </w:r>
          </w:p>
        </w:tc>
        <w:tc>
          <w:tcPr>
            <w:tcW w:w="18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jc w:val="center"/>
              <w:textAlignment w:val="center"/>
              <w:rPr>
                <w:rFonts w:ascii="宋体" w:hAnsi="宋体" w:cs="宋体"/>
                <w:color w:val="000000"/>
                <w:szCs w:val="21"/>
              </w:rPr>
            </w:pPr>
            <w:r>
              <w:rPr>
                <w:rFonts w:hint="eastAsia" w:ascii="宋体" w:hAnsi="宋体" w:cs="宋体"/>
                <w:color w:val="000000"/>
                <w:szCs w:val="21"/>
              </w:rPr>
              <w:t xml:space="preserve"> 妥善处理各类信访矛盾纠纷</w:t>
            </w:r>
          </w:p>
        </w:tc>
      </w:tr>
      <w:tr>
        <w:tblPrEx>
          <w:tblCellMar>
            <w:top w:w="0" w:type="dxa"/>
            <w:left w:w="0" w:type="dxa"/>
            <w:bottom w:w="0" w:type="dxa"/>
            <w:right w:w="0" w:type="dxa"/>
          </w:tblCellMar>
        </w:tblPrEx>
        <w:trPr>
          <w:trHeight w:val="974" w:hRule="atLeast"/>
        </w:trPr>
        <w:tc>
          <w:tcPr>
            <w:tcW w:w="69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left"/>
              <w:rPr>
                <w:rFonts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jc w:val="center"/>
              <w:textAlignment w:val="center"/>
              <w:rPr>
                <w:rFonts w:ascii="宋体" w:hAnsi="宋体" w:cs="宋体"/>
                <w:color w:val="000000"/>
                <w:kern w:val="0"/>
                <w:szCs w:val="21"/>
              </w:rPr>
            </w:pPr>
            <w:r>
              <w:rPr>
                <w:rFonts w:hint="eastAsia" w:ascii="宋体" w:hAnsi="宋体" w:cs="宋体"/>
                <w:color w:val="000000"/>
                <w:kern w:val="0"/>
                <w:szCs w:val="21"/>
              </w:rPr>
              <w:t>项目完成指标</w:t>
            </w:r>
          </w:p>
        </w:tc>
        <w:tc>
          <w:tcPr>
            <w:tcW w:w="14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jc w:val="center"/>
              <w:textAlignment w:val="center"/>
              <w:rPr>
                <w:rFonts w:ascii="宋体" w:hAnsi="宋体" w:cs="宋体"/>
                <w:color w:val="000000"/>
                <w:szCs w:val="21"/>
              </w:rPr>
            </w:pPr>
            <w:r>
              <w:rPr>
                <w:rFonts w:hint="eastAsia" w:ascii="宋体" w:hAnsi="宋体" w:cs="宋体"/>
                <w:color w:val="000000"/>
                <w:szCs w:val="21"/>
              </w:rPr>
              <w:t>检察工作的开展</w:t>
            </w:r>
          </w:p>
        </w:tc>
        <w:tc>
          <w:tcPr>
            <w:tcW w:w="18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jc w:val="center"/>
              <w:textAlignment w:val="center"/>
              <w:rPr>
                <w:rFonts w:ascii="宋体" w:hAnsi="宋体" w:cs="宋体"/>
                <w:color w:val="000000"/>
                <w:szCs w:val="21"/>
              </w:rPr>
            </w:pPr>
            <w:r>
              <w:rPr>
                <w:rFonts w:hint="eastAsia" w:ascii="宋体" w:hAnsi="宋体" w:cs="宋体"/>
                <w:color w:val="000000"/>
                <w:szCs w:val="21"/>
              </w:rPr>
              <w:t>加强诉讼监督</w:t>
            </w:r>
          </w:p>
        </w:tc>
        <w:tc>
          <w:tcPr>
            <w:tcW w:w="164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jc w:val="center"/>
              <w:textAlignment w:val="center"/>
              <w:rPr>
                <w:rFonts w:ascii="宋体" w:hAnsi="宋体" w:cs="宋体"/>
                <w:color w:val="000000"/>
                <w:szCs w:val="21"/>
              </w:rPr>
            </w:pPr>
            <w:r>
              <w:rPr>
                <w:rFonts w:hint="eastAsia" w:ascii="宋体" w:hAnsi="宋体" w:cs="宋体"/>
                <w:color w:val="000000"/>
                <w:szCs w:val="21"/>
              </w:rPr>
              <w:t>依法监督有案不立、有罪不究等问题</w:t>
            </w:r>
          </w:p>
        </w:tc>
        <w:tc>
          <w:tcPr>
            <w:tcW w:w="18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jc w:val="center"/>
              <w:textAlignment w:val="center"/>
              <w:rPr>
                <w:rFonts w:ascii="宋体" w:hAnsi="宋体" w:cs="宋体"/>
                <w:color w:val="000000"/>
                <w:szCs w:val="21"/>
              </w:rPr>
            </w:pPr>
            <w:r>
              <w:rPr>
                <w:rFonts w:hint="eastAsia" w:ascii="宋体" w:hAnsi="宋体" w:cs="宋体"/>
                <w:color w:val="000000"/>
                <w:szCs w:val="21"/>
              </w:rPr>
              <w:t xml:space="preserve"> 依法监督有案不立、有罪不究等问题</w:t>
            </w:r>
          </w:p>
        </w:tc>
      </w:tr>
      <w:tr>
        <w:tblPrEx>
          <w:tblCellMar>
            <w:top w:w="0" w:type="dxa"/>
            <w:left w:w="0" w:type="dxa"/>
            <w:bottom w:w="0" w:type="dxa"/>
            <w:right w:w="0" w:type="dxa"/>
          </w:tblCellMar>
        </w:tblPrEx>
        <w:trPr>
          <w:trHeight w:val="401" w:hRule="atLeast"/>
        </w:trPr>
        <w:tc>
          <w:tcPr>
            <w:tcW w:w="69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left"/>
              <w:rPr>
                <w:rFonts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jc w:val="center"/>
              <w:textAlignment w:val="center"/>
              <w:rPr>
                <w:rFonts w:ascii="宋体" w:hAnsi="宋体" w:cs="宋体"/>
                <w:color w:val="000000"/>
                <w:szCs w:val="21"/>
              </w:rPr>
            </w:pPr>
            <w:r>
              <w:rPr>
                <w:rFonts w:hint="eastAsia" w:ascii="宋体" w:hAnsi="宋体" w:cs="宋体"/>
                <w:color w:val="000000"/>
                <w:kern w:val="0"/>
                <w:szCs w:val="21"/>
              </w:rPr>
              <w:t>效益指标</w:t>
            </w:r>
          </w:p>
        </w:tc>
        <w:tc>
          <w:tcPr>
            <w:tcW w:w="14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jc w:val="center"/>
              <w:textAlignment w:val="center"/>
              <w:rPr>
                <w:rFonts w:ascii="宋体" w:hAnsi="宋体" w:cs="宋体"/>
                <w:color w:val="000000"/>
                <w:szCs w:val="21"/>
              </w:rPr>
            </w:pPr>
            <w:r>
              <w:rPr>
                <w:rFonts w:hint="eastAsia" w:ascii="宋体" w:hAnsi="宋体" w:cs="宋体"/>
                <w:color w:val="000000"/>
                <w:szCs w:val="21"/>
              </w:rPr>
              <w:t>政府性指令落实</w:t>
            </w:r>
          </w:p>
        </w:tc>
        <w:tc>
          <w:tcPr>
            <w:tcW w:w="18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jc w:val="center"/>
              <w:textAlignment w:val="center"/>
              <w:rPr>
                <w:rFonts w:ascii="宋体" w:hAnsi="宋体" w:cs="宋体"/>
                <w:color w:val="000000"/>
                <w:szCs w:val="21"/>
              </w:rPr>
            </w:pPr>
            <w:r>
              <w:rPr>
                <w:rFonts w:hint="eastAsia" w:ascii="宋体" w:hAnsi="宋体" w:cs="宋体"/>
                <w:color w:val="000000"/>
                <w:szCs w:val="21"/>
              </w:rPr>
              <w:t>贯彻宽严相济刑事政策</w:t>
            </w:r>
          </w:p>
        </w:tc>
        <w:tc>
          <w:tcPr>
            <w:tcW w:w="164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textAlignment w:val="center"/>
              <w:rPr>
                <w:rFonts w:ascii="宋体" w:hAnsi="宋体" w:cs="宋体"/>
                <w:color w:val="000000"/>
                <w:szCs w:val="21"/>
              </w:rPr>
            </w:pPr>
            <w:r>
              <w:rPr>
                <w:rFonts w:hint="eastAsia" w:ascii="宋体" w:hAnsi="宋体" w:cs="宋体"/>
                <w:color w:val="000000"/>
                <w:szCs w:val="21"/>
              </w:rPr>
              <w:t xml:space="preserve"> 完善检察环节轻微刑事案件从宽处理机制，深化刑事和解、检调对接工作</w:t>
            </w:r>
          </w:p>
        </w:tc>
        <w:tc>
          <w:tcPr>
            <w:tcW w:w="18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textAlignment w:val="center"/>
              <w:rPr>
                <w:rFonts w:ascii="宋体" w:hAnsi="宋体" w:cs="宋体"/>
                <w:color w:val="000000"/>
                <w:szCs w:val="21"/>
              </w:rPr>
            </w:pPr>
            <w:r>
              <w:rPr>
                <w:rFonts w:hint="eastAsia" w:ascii="宋体" w:hAnsi="宋体" w:cs="宋体"/>
                <w:color w:val="000000"/>
                <w:szCs w:val="21"/>
              </w:rPr>
              <w:t>完善检察环节轻微刑事案件从宽处理机制，深化刑事和解、检调对接工作</w:t>
            </w:r>
          </w:p>
        </w:tc>
      </w:tr>
      <w:tr>
        <w:tblPrEx>
          <w:tblCellMar>
            <w:top w:w="0" w:type="dxa"/>
            <w:left w:w="0" w:type="dxa"/>
            <w:bottom w:w="0" w:type="dxa"/>
            <w:right w:w="0" w:type="dxa"/>
          </w:tblCellMar>
        </w:tblPrEx>
        <w:trPr>
          <w:trHeight w:val="538" w:hRule="atLeast"/>
        </w:trPr>
        <w:tc>
          <w:tcPr>
            <w:tcW w:w="69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left"/>
              <w:rPr>
                <w:rFonts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jc w:val="center"/>
              <w:textAlignment w:val="center"/>
              <w:rPr>
                <w:rFonts w:ascii="宋体" w:hAnsi="宋体" w:cs="宋体"/>
                <w:color w:val="000000"/>
                <w:szCs w:val="21"/>
              </w:rPr>
            </w:pPr>
            <w:r>
              <w:rPr>
                <w:rFonts w:hint="eastAsia" w:ascii="宋体" w:hAnsi="宋体" w:cs="宋体"/>
                <w:color w:val="000000"/>
                <w:kern w:val="0"/>
                <w:szCs w:val="21"/>
              </w:rPr>
              <w:t>效益指标</w:t>
            </w:r>
          </w:p>
        </w:tc>
        <w:tc>
          <w:tcPr>
            <w:tcW w:w="14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jc w:val="center"/>
              <w:textAlignment w:val="center"/>
              <w:rPr>
                <w:rFonts w:ascii="宋体" w:hAnsi="宋体" w:cs="宋体"/>
                <w:color w:val="000000"/>
                <w:szCs w:val="21"/>
              </w:rPr>
            </w:pPr>
            <w:r>
              <w:rPr>
                <w:rFonts w:hint="eastAsia" w:ascii="宋体" w:hAnsi="宋体" w:cs="宋体"/>
                <w:color w:val="000000"/>
                <w:szCs w:val="21"/>
              </w:rPr>
              <w:t>政府性指令落实</w:t>
            </w:r>
          </w:p>
        </w:tc>
        <w:tc>
          <w:tcPr>
            <w:tcW w:w="18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jc w:val="center"/>
              <w:textAlignment w:val="center"/>
              <w:rPr>
                <w:rFonts w:ascii="宋体" w:hAnsi="宋体" w:cs="宋体"/>
                <w:color w:val="000000"/>
                <w:szCs w:val="21"/>
              </w:rPr>
            </w:pPr>
            <w:r>
              <w:rPr>
                <w:rFonts w:hint="eastAsia" w:ascii="宋体" w:hAnsi="宋体" w:cs="宋体"/>
                <w:color w:val="000000"/>
                <w:szCs w:val="21"/>
              </w:rPr>
              <w:t>深入推进公益诉讼工作</w:t>
            </w:r>
          </w:p>
        </w:tc>
        <w:tc>
          <w:tcPr>
            <w:tcW w:w="164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jc w:val="center"/>
              <w:textAlignment w:val="center"/>
              <w:rPr>
                <w:rFonts w:ascii="宋体" w:hAnsi="宋体" w:cs="宋体"/>
                <w:color w:val="000000"/>
                <w:szCs w:val="21"/>
              </w:rPr>
            </w:pPr>
            <w:r>
              <w:rPr>
                <w:rFonts w:hint="eastAsia" w:ascii="宋体" w:hAnsi="宋体" w:cs="宋体"/>
                <w:color w:val="000000"/>
                <w:szCs w:val="21"/>
              </w:rPr>
              <w:t>开展公益诉讼</w:t>
            </w:r>
          </w:p>
        </w:tc>
        <w:tc>
          <w:tcPr>
            <w:tcW w:w="18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jc w:val="center"/>
              <w:textAlignment w:val="center"/>
              <w:rPr>
                <w:rFonts w:ascii="宋体" w:hAnsi="宋体" w:cs="宋体"/>
                <w:color w:val="000000"/>
                <w:szCs w:val="21"/>
              </w:rPr>
            </w:pPr>
            <w:r>
              <w:rPr>
                <w:rFonts w:hint="eastAsia" w:ascii="宋体" w:hAnsi="宋体" w:cs="宋体"/>
                <w:color w:val="000000"/>
                <w:szCs w:val="21"/>
              </w:rPr>
              <w:t xml:space="preserve"> 开展公益诉讼</w:t>
            </w:r>
          </w:p>
        </w:tc>
      </w:tr>
      <w:tr>
        <w:tblPrEx>
          <w:tblCellMar>
            <w:top w:w="0" w:type="dxa"/>
            <w:left w:w="0" w:type="dxa"/>
            <w:bottom w:w="0" w:type="dxa"/>
            <w:right w:w="0" w:type="dxa"/>
          </w:tblCellMar>
        </w:tblPrEx>
        <w:trPr>
          <w:trHeight w:val="678" w:hRule="atLeast"/>
        </w:trPr>
        <w:tc>
          <w:tcPr>
            <w:tcW w:w="69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left"/>
              <w:rPr>
                <w:rFonts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jc w:val="center"/>
              <w:textAlignment w:val="center"/>
              <w:rPr>
                <w:rFonts w:ascii="宋体" w:hAnsi="宋体" w:cs="宋体"/>
                <w:color w:val="000000"/>
                <w:szCs w:val="21"/>
              </w:rPr>
            </w:pPr>
            <w:r>
              <w:rPr>
                <w:rFonts w:hint="eastAsia" w:ascii="宋体" w:hAnsi="宋体" w:cs="宋体"/>
                <w:color w:val="000000"/>
                <w:kern w:val="0"/>
                <w:szCs w:val="21"/>
              </w:rPr>
              <w:t>满意度指标</w:t>
            </w:r>
          </w:p>
        </w:tc>
        <w:tc>
          <w:tcPr>
            <w:tcW w:w="14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textAlignment w:val="center"/>
              <w:rPr>
                <w:rFonts w:ascii="宋体" w:hAnsi="宋体" w:cs="宋体"/>
                <w:color w:val="000000"/>
                <w:szCs w:val="21"/>
              </w:rPr>
            </w:pPr>
            <w:r>
              <w:rPr>
                <w:rFonts w:hint="eastAsia" w:ascii="宋体" w:hAnsi="宋体" w:cs="宋体"/>
                <w:color w:val="000000"/>
                <w:szCs w:val="21"/>
              </w:rPr>
              <w:t>落实司法责任制</w:t>
            </w:r>
          </w:p>
        </w:tc>
        <w:tc>
          <w:tcPr>
            <w:tcW w:w="18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jc w:val="center"/>
              <w:textAlignment w:val="center"/>
              <w:rPr>
                <w:rFonts w:ascii="宋体" w:hAnsi="宋体" w:cs="宋体"/>
                <w:color w:val="000000"/>
                <w:szCs w:val="21"/>
              </w:rPr>
            </w:pPr>
            <w:r>
              <w:rPr>
                <w:rFonts w:hint="eastAsia" w:ascii="宋体" w:hAnsi="宋体" w:cs="宋体"/>
                <w:color w:val="000000"/>
                <w:szCs w:val="21"/>
              </w:rPr>
              <w:t>确保监管不缺位</w:t>
            </w:r>
          </w:p>
        </w:tc>
        <w:tc>
          <w:tcPr>
            <w:tcW w:w="164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jc w:val="center"/>
              <w:textAlignment w:val="center"/>
              <w:rPr>
                <w:rFonts w:ascii="宋体" w:hAnsi="宋体" w:cs="宋体"/>
                <w:color w:val="000000"/>
                <w:szCs w:val="21"/>
              </w:rPr>
            </w:pPr>
            <w:r>
              <w:rPr>
                <w:rFonts w:hint="eastAsia" w:ascii="宋体" w:hAnsi="宋体" w:cs="宋体"/>
                <w:color w:val="000000"/>
                <w:szCs w:val="21"/>
              </w:rPr>
              <w:t xml:space="preserve"> 围绕监督主责主任，严守公平正义防线</w:t>
            </w:r>
          </w:p>
        </w:tc>
        <w:tc>
          <w:tcPr>
            <w:tcW w:w="18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jc w:val="center"/>
              <w:textAlignment w:val="center"/>
              <w:rPr>
                <w:rFonts w:ascii="宋体" w:hAnsi="宋体" w:cs="宋体"/>
                <w:color w:val="000000"/>
                <w:szCs w:val="21"/>
              </w:rPr>
            </w:pPr>
            <w:r>
              <w:rPr>
                <w:rFonts w:hint="eastAsia" w:ascii="宋体" w:hAnsi="宋体" w:cs="宋体"/>
                <w:color w:val="000000"/>
                <w:szCs w:val="21"/>
              </w:rPr>
              <w:t xml:space="preserve"> 围绕监督主责主任，严守公平正义防线</w:t>
            </w:r>
          </w:p>
        </w:tc>
      </w:tr>
      <w:tr>
        <w:tblPrEx>
          <w:tblCellMar>
            <w:top w:w="0" w:type="dxa"/>
            <w:left w:w="0" w:type="dxa"/>
            <w:bottom w:w="0" w:type="dxa"/>
            <w:right w:w="0" w:type="dxa"/>
          </w:tblCellMar>
        </w:tblPrEx>
        <w:trPr>
          <w:trHeight w:val="279" w:hRule="atLeast"/>
        </w:trPr>
        <w:tc>
          <w:tcPr>
            <w:tcW w:w="8959" w:type="dxa"/>
            <w:gridSpan w:val="6"/>
            <w:tcMar>
              <w:top w:w="15" w:type="dxa"/>
              <w:left w:w="15" w:type="dxa"/>
              <w:bottom w:w="0" w:type="dxa"/>
              <w:right w:w="15" w:type="dxa"/>
            </w:tcMar>
            <w:vAlign w:val="center"/>
          </w:tcPr>
          <w:p>
            <w:pPr>
              <w:widowControl/>
              <w:spacing w:line="600" w:lineRule="exact"/>
              <w:textAlignment w:val="center"/>
              <w:rPr>
                <w:rFonts w:ascii="宋体" w:hAnsi="宋体" w:cs="宋体"/>
                <w:color w:val="000000"/>
                <w:sz w:val="36"/>
                <w:szCs w:val="36"/>
              </w:rPr>
            </w:pPr>
          </w:p>
        </w:tc>
      </w:tr>
      <w:tr>
        <w:tblPrEx>
          <w:tblCellMar>
            <w:top w:w="0" w:type="dxa"/>
            <w:left w:w="0" w:type="dxa"/>
            <w:bottom w:w="0" w:type="dxa"/>
            <w:right w:w="0" w:type="dxa"/>
          </w:tblCellMar>
        </w:tblPrEx>
        <w:trPr>
          <w:trHeight w:val="1034" w:hRule="atLeast"/>
        </w:trPr>
        <w:tc>
          <w:tcPr>
            <w:tcW w:w="8959" w:type="dxa"/>
            <w:gridSpan w:val="6"/>
            <w:tcMar>
              <w:top w:w="15" w:type="dxa"/>
              <w:left w:w="15" w:type="dxa"/>
              <w:bottom w:w="0" w:type="dxa"/>
              <w:right w:w="15" w:type="dxa"/>
            </w:tcMar>
            <w:vAlign w:val="center"/>
          </w:tcPr>
          <w:p>
            <w:pPr>
              <w:widowControl/>
              <w:spacing w:line="480" w:lineRule="auto"/>
              <w:textAlignment w:val="center"/>
              <w:rPr>
                <w:rFonts w:ascii="黑体" w:hAnsi="黑体" w:eastAsia="黑体" w:cs="宋体"/>
                <w:bCs/>
                <w:color w:val="000000"/>
                <w:kern w:val="0"/>
                <w:sz w:val="36"/>
                <w:szCs w:val="36"/>
              </w:rPr>
            </w:pPr>
          </w:p>
          <w:p>
            <w:pPr>
              <w:widowControl/>
              <w:spacing w:line="480" w:lineRule="auto"/>
              <w:ind w:firstLine="1440" w:firstLineChars="400"/>
              <w:textAlignment w:val="center"/>
              <w:rPr>
                <w:rFonts w:ascii="宋体" w:hAnsi="宋体" w:cs="宋体"/>
                <w:b/>
                <w:bCs/>
                <w:color w:val="000000"/>
                <w:kern w:val="0"/>
                <w:sz w:val="36"/>
                <w:szCs w:val="36"/>
              </w:rPr>
            </w:pPr>
            <w:r>
              <w:rPr>
                <w:rFonts w:hint="eastAsia" w:ascii="黑体" w:hAnsi="黑体" w:eastAsia="黑体" w:cs="宋体"/>
                <w:bCs/>
                <w:color w:val="000000"/>
                <w:kern w:val="0"/>
                <w:sz w:val="36"/>
                <w:szCs w:val="36"/>
              </w:rPr>
              <w:t>项目支出绩效目标完成情况表</w:t>
            </w:r>
          </w:p>
          <w:p>
            <w:pPr>
              <w:pStyle w:val="25"/>
              <w:widowControl/>
              <w:spacing w:line="480" w:lineRule="auto"/>
              <w:ind w:left="4174" w:leftChars="1396" w:hanging="1242" w:hangingChars="345"/>
              <w:textAlignment w:val="center"/>
              <w:rPr>
                <w:rFonts w:ascii="宋体" w:hAnsi="宋体" w:cs="宋体"/>
                <w:color w:val="000000"/>
                <w:sz w:val="36"/>
                <w:szCs w:val="36"/>
              </w:rPr>
            </w:pPr>
            <w:r>
              <w:rPr>
                <w:rFonts w:hint="eastAsia" w:ascii="宋体" w:hAnsi="宋体" w:cs="宋体"/>
                <w:color w:val="000000"/>
                <w:kern w:val="0"/>
                <w:sz w:val="36"/>
                <w:szCs w:val="36"/>
              </w:rPr>
              <w:t>(2020 年度)</w:t>
            </w:r>
          </w:p>
        </w:tc>
      </w:tr>
      <w:tr>
        <w:tblPrEx>
          <w:tblCellMar>
            <w:top w:w="0" w:type="dxa"/>
            <w:left w:w="0" w:type="dxa"/>
            <w:bottom w:w="0" w:type="dxa"/>
            <w:right w:w="0" w:type="dxa"/>
          </w:tblCellMar>
        </w:tblPrEx>
        <w:trPr>
          <w:trHeight w:val="276" w:hRule="atLeast"/>
        </w:trPr>
        <w:tc>
          <w:tcPr>
            <w:tcW w:w="361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项目名称</w:t>
            </w:r>
          </w:p>
        </w:tc>
        <w:tc>
          <w:tcPr>
            <w:tcW w:w="534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szCs w:val="21"/>
              </w:rPr>
              <w:t>智慧检察</w:t>
            </w:r>
          </w:p>
        </w:tc>
      </w:tr>
      <w:tr>
        <w:tblPrEx>
          <w:tblCellMar>
            <w:top w:w="0" w:type="dxa"/>
            <w:left w:w="0" w:type="dxa"/>
            <w:bottom w:w="0" w:type="dxa"/>
            <w:right w:w="0" w:type="dxa"/>
          </w:tblCellMar>
        </w:tblPrEx>
        <w:trPr>
          <w:trHeight w:val="563" w:hRule="atLeast"/>
        </w:trPr>
        <w:tc>
          <w:tcPr>
            <w:tcW w:w="361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预算单位</w:t>
            </w:r>
          </w:p>
        </w:tc>
        <w:tc>
          <w:tcPr>
            <w:tcW w:w="534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szCs w:val="21"/>
              </w:rPr>
              <w:t>四川省广元市人民检察院</w:t>
            </w:r>
          </w:p>
        </w:tc>
      </w:tr>
      <w:tr>
        <w:tblPrEx>
          <w:tblCellMar>
            <w:top w:w="0" w:type="dxa"/>
            <w:left w:w="0" w:type="dxa"/>
            <w:bottom w:w="0" w:type="dxa"/>
            <w:right w:w="0" w:type="dxa"/>
          </w:tblCellMar>
        </w:tblPrEx>
        <w:trPr>
          <w:trHeight w:val="543" w:hRule="atLeast"/>
        </w:trPr>
        <w:tc>
          <w:tcPr>
            <w:tcW w:w="69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预算执行情况(万元)</w:t>
            </w:r>
          </w:p>
        </w:tc>
        <w:tc>
          <w:tcPr>
            <w:tcW w:w="292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预算数:</w:t>
            </w:r>
          </w:p>
        </w:tc>
        <w:tc>
          <w:tcPr>
            <w:tcW w:w="18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szCs w:val="21"/>
              </w:rPr>
              <w:t>463.1</w:t>
            </w:r>
          </w:p>
        </w:tc>
        <w:tc>
          <w:tcPr>
            <w:tcW w:w="164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执行数:</w:t>
            </w:r>
          </w:p>
        </w:tc>
        <w:tc>
          <w:tcPr>
            <w:tcW w:w="18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szCs w:val="21"/>
              </w:rPr>
              <w:t>7</w:t>
            </w:r>
          </w:p>
        </w:tc>
      </w:tr>
      <w:tr>
        <w:tblPrEx>
          <w:tblCellMar>
            <w:top w:w="0" w:type="dxa"/>
            <w:left w:w="0" w:type="dxa"/>
            <w:bottom w:w="0" w:type="dxa"/>
            <w:right w:w="0" w:type="dxa"/>
          </w:tblCellMar>
        </w:tblPrEx>
        <w:trPr>
          <w:trHeight w:val="276" w:hRule="atLeast"/>
        </w:trPr>
        <w:tc>
          <w:tcPr>
            <w:tcW w:w="69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ascii="宋体" w:hAnsi="宋体" w:cs="宋体"/>
                <w:color w:val="000000"/>
                <w:szCs w:val="21"/>
              </w:rPr>
            </w:pPr>
          </w:p>
        </w:tc>
        <w:tc>
          <w:tcPr>
            <w:tcW w:w="292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其中-财政拨款:</w:t>
            </w:r>
          </w:p>
        </w:tc>
        <w:tc>
          <w:tcPr>
            <w:tcW w:w="18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szCs w:val="21"/>
              </w:rPr>
              <w:t>463.1</w:t>
            </w:r>
          </w:p>
        </w:tc>
        <w:tc>
          <w:tcPr>
            <w:tcW w:w="164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其中-财政拨款:</w:t>
            </w:r>
          </w:p>
        </w:tc>
        <w:tc>
          <w:tcPr>
            <w:tcW w:w="18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szCs w:val="21"/>
              </w:rPr>
              <w:t>456.1</w:t>
            </w:r>
          </w:p>
        </w:tc>
      </w:tr>
      <w:tr>
        <w:tblPrEx>
          <w:tblCellMar>
            <w:top w:w="0" w:type="dxa"/>
            <w:left w:w="0" w:type="dxa"/>
            <w:bottom w:w="0" w:type="dxa"/>
            <w:right w:w="0" w:type="dxa"/>
          </w:tblCellMar>
        </w:tblPrEx>
        <w:trPr>
          <w:trHeight w:val="576" w:hRule="atLeast"/>
        </w:trPr>
        <w:tc>
          <w:tcPr>
            <w:tcW w:w="69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ascii="宋体" w:hAnsi="宋体" w:cs="宋体"/>
                <w:color w:val="000000"/>
                <w:szCs w:val="21"/>
              </w:rPr>
            </w:pPr>
          </w:p>
        </w:tc>
        <w:tc>
          <w:tcPr>
            <w:tcW w:w="292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其它资金:</w:t>
            </w:r>
          </w:p>
        </w:tc>
        <w:tc>
          <w:tcPr>
            <w:tcW w:w="18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0</w:t>
            </w:r>
          </w:p>
        </w:tc>
        <w:tc>
          <w:tcPr>
            <w:tcW w:w="164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其它资金:</w:t>
            </w:r>
          </w:p>
        </w:tc>
        <w:tc>
          <w:tcPr>
            <w:tcW w:w="18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exact"/>
              <w:jc w:val="center"/>
              <w:rPr>
                <w:rFonts w:ascii="宋体" w:hAnsi="宋体" w:cs="宋体"/>
                <w:color w:val="000000"/>
                <w:szCs w:val="21"/>
              </w:rPr>
            </w:pPr>
            <w:r>
              <w:rPr>
                <w:rFonts w:hint="eastAsia" w:ascii="宋体" w:hAnsi="宋体" w:cs="宋体"/>
                <w:color w:val="000000"/>
                <w:szCs w:val="21"/>
              </w:rPr>
              <w:t>0</w:t>
            </w:r>
          </w:p>
        </w:tc>
      </w:tr>
      <w:tr>
        <w:tblPrEx>
          <w:tblCellMar>
            <w:top w:w="0" w:type="dxa"/>
            <w:left w:w="0" w:type="dxa"/>
            <w:bottom w:w="0" w:type="dxa"/>
            <w:right w:w="0" w:type="dxa"/>
          </w:tblCellMar>
        </w:tblPrEx>
        <w:trPr>
          <w:trHeight w:val="276" w:hRule="atLeast"/>
        </w:trPr>
        <w:tc>
          <w:tcPr>
            <w:tcW w:w="69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年度目标完成情况</w:t>
            </w:r>
          </w:p>
        </w:tc>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预期目标</w:t>
            </w:r>
          </w:p>
        </w:tc>
        <w:tc>
          <w:tcPr>
            <w:tcW w:w="350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实际完成目标</w:t>
            </w:r>
          </w:p>
        </w:tc>
      </w:tr>
      <w:tr>
        <w:tblPrEx>
          <w:tblCellMar>
            <w:top w:w="0" w:type="dxa"/>
            <w:left w:w="0" w:type="dxa"/>
            <w:bottom w:w="0" w:type="dxa"/>
            <w:right w:w="0" w:type="dxa"/>
          </w:tblCellMar>
        </w:tblPrEx>
        <w:trPr>
          <w:trHeight w:val="892" w:hRule="atLeast"/>
        </w:trPr>
        <w:tc>
          <w:tcPr>
            <w:tcW w:w="69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ascii="宋体" w:hAnsi="宋体" w:cs="宋体"/>
                <w:color w:val="000000"/>
                <w:szCs w:val="21"/>
              </w:rPr>
            </w:pPr>
          </w:p>
        </w:tc>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szCs w:val="21"/>
              </w:rPr>
              <w:t>完成上级院下达的智慧检察项目建设</w:t>
            </w:r>
          </w:p>
        </w:tc>
        <w:tc>
          <w:tcPr>
            <w:tcW w:w="350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szCs w:val="21"/>
              </w:rPr>
              <w:t>完成设计招标</w:t>
            </w:r>
          </w:p>
        </w:tc>
      </w:tr>
      <w:tr>
        <w:tblPrEx>
          <w:tblCellMar>
            <w:top w:w="0" w:type="dxa"/>
            <w:left w:w="0" w:type="dxa"/>
            <w:bottom w:w="0" w:type="dxa"/>
            <w:right w:w="0" w:type="dxa"/>
          </w:tblCellMar>
        </w:tblPrEx>
        <w:trPr>
          <w:trHeight w:val="1104" w:hRule="atLeast"/>
        </w:trPr>
        <w:tc>
          <w:tcPr>
            <w:tcW w:w="69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szCs w:val="21"/>
              </w:rPr>
              <w:t>绩效指标完成情况</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jc w:val="center"/>
              <w:textAlignment w:val="center"/>
              <w:rPr>
                <w:rFonts w:ascii="宋体" w:hAnsi="宋体" w:cs="宋体"/>
                <w:color w:val="000000"/>
                <w:szCs w:val="21"/>
              </w:rPr>
            </w:pPr>
            <w:r>
              <w:rPr>
                <w:rFonts w:hint="eastAsia" w:ascii="宋体" w:hAnsi="宋体" w:cs="宋体"/>
                <w:color w:val="000000"/>
                <w:kern w:val="0"/>
                <w:szCs w:val="21"/>
              </w:rPr>
              <w:t>一级指标</w:t>
            </w:r>
          </w:p>
        </w:tc>
        <w:tc>
          <w:tcPr>
            <w:tcW w:w="14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jc w:val="center"/>
              <w:textAlignment w:val="center"/>
              <w:rPr>
                <w:rFonts w:ascii="宋体" w:hAnsi="宋体" w:cs="宋体"/>
                <w:color w:val="000000"/>
                <w:szCs w:val="21"/>
              </w:rPr>
            </w:pPr>
            <w:r>
              <w:rPr>
                <w:rFonts w:hint="eastAsia" w:ascii="宋体" w:hAnsi="宋体" w:cs="宋体"/>
                <w:color w:val="000000"/>
                <w:kern w:val="0"/>
                <w:szCs w:val="21"/>
              </w:rPr>
              <w:t>二级指标</w:t>
            </w:r>
          </w:p>
        </w:tc>
        <w:tc>
          <w:tcPr>
            <w:tcW w:w="18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jc w:val="center"/>
              <w:textAlignment w:val="center"/>
              <w:rPr>
                <w:rFonts w:ascii="宋体" w:hAnsi="宋体" w:cs="宋体"/>
                <w:color w:val="000000"/>
                <w:szCs w:val="21"/>
              </w:rPr>
            </w:pPr>
            <w:r>
              <w:rPr>
                <w:rFonts w:hint="eastAsia" w:ascii="宋体" w:hAnsi="宋体" w:cs="宋体"/>
                <w:color w:val="000000"/>
                <w:kern w:val="0"/>
                <w:szCs w:val="21"/>
              </w:rPr>
              <w:t>三级指标</w:t>
            </w:r>
          </w:p>
        </w:tc>
        <w:tc>
          <w:tcPr>
            <w:tcW w:w="164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jc w:val="center"/>
              <w:textAlignment w:val="center"/>
              <w:rPr>
                <w:rFonts w:ascii="宋体" w:hAnsi="宋体" w:cs="宋体"/>
                <w:color w:val="000000"/>
                <w:szCs w:val="21"/>
              </w:rPr>
            </w:pPr>
            <w:r>
              <w:rPr>
                <w:rFonts w:hint="eastAsia" w:ascii="宋体" w:hAnsi="宋体" w:cs="宋体"/>
                <w:color w:val="000000"/>
                <w:kern w:val="0"/>
                <w:szCs w:val="21"/>
              </w:rPr>
              <w:t>预期指标值(包含数字及文字描述)</w:t>
            </w:r>
          </w:p>
        </w:tc>
        <w:tc>
          <w:tcPr>
            <w:tcW w:w="18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jc w:val="center"/>
              <w:textAlignment w:val="center"/>
              <w:rPr>
                <w:rFonts w:ascii="宋体" w:hAnsi="宋体" w:cs="宋体"/>
                <w:color w:val="000000"/>
                <w:szCs w:val="21"/>
              </w:rPr>
            </w:pPr>
            <w:r>
              <w:rPr>
                <w:rFonts w:hint="eastAsia" w:ascii="宋体" w:hAnsi="宋体" w:cs="宋体"/>
                <w:color w:val="000000"/>
                <w:kern w:val="0"/>
                <w:szCs w:val="21"/>
              </w:rPr>
              <w:t>实际完成指标值(包含数字及文字描述)</w:t>
            </w:r>
          </w:p>
        </w:tc>
      </w:tr>
      <w:tr>
        <w:tblPrEx>
          <w:tblCellMar>
            <w:top w:w="0" w:type="dxa"/>
            <w:left w:w="0" w:type="dxa"/>
            <w:bottom w:w="0" w:type="dxa"/>
            <w:right w:w="0" w:type="dxa"/>
          </w:tblCellMar>
        </w:tblPrEx>
        <w:trPr>
          <w:trHeight w:val="824" w:hRule="atLeast"/>
        </w:trPr>
        <w:tc>
          <w:tcPr>
            <w:tcW w:w="69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jc w:val="center"/>
              <w:textAlignment w:val="center"/>
              <w:rPr>
                <w:rFonts w:ascii="宋体" w:hAnsi="宋体" w:cs="宋体"/>
                <w:color w:val="000000"/>
                <w:szCs w:val="21"/>
              </w:rPr>
            </w:pPr>
            <w:r>
              <w:rPr>
                <w:rFonts w:hint="eastAsia" w:ascii="宋体" w:hAnsi="宋体" w:cs="宋体"/>
                <w:color w:val="000000"/>
                <w:kern w:val="0"/>
                <w:szCs w:val="21"/>
              </w:rPr>
              <w:t>项目完成指标</w:t>
            </w:r>
          </w:p>
        </w:tc>
        <w:tc>
          <w:tcPr>
            <w:tcW w:w="14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textAlignment w:val="center"/>
              <w:rPr>
                <w:rFonts w:ascii="宋体" w:hAnsi="宋体" w:cs="宋体"/>
                <w:color w:val="000000"/>
                <w:szCs w:val="21"/>
              </w:rPr>
            </w:pPr>
            <w:r>
              <w:rPr>
                <w:rFonts w:hint="eastAsia" w:ascii="宋体" w:hAnsi="宋体" w:cs="宋体"/>
                <w:color w:val="000000"/>
                <w:szCs w:val="21"/>
              </w:rPr>
              <w:t>数量指标</w:t>
            </w:r>
          </w:p>
        </w:tc>
        <w:tc>
          <w:tcPr>
            <w:tcW w:w="18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jc w:val="center"/>
              <w:textAlignment w:val="center"/>
              <w:rPr>
                <w:rFonts w:ascii="宋体" w:hAnsi="宋体" w:cs="宋体"/>
                <w:color w:val="000000"/>
                <w:szCs w:val="21"/>
              </w:rPr>
            </w:pPr>
            <w:r>
              <w:rPr>
                <w:rFonts w:hint="eastAsia" w:ascii="宋体" w:hAnsi="宋体" w:cs="宋体"/>
                <w:color w:val="000000"/>
                <w:szCs w:val="21"/>
              </w:rPr>
              <w:t>7万</w:t>
            </w:r>
          </w:p>
        </w:tc>
        <w:tc>
          <w:tcPr>
            <w:tcW w:w="164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jc w:val="center"/>
              <w:textAlignment w:val="center"/>
              <w:rPr>
                <w:rFonts w:ascii="宋体" w:hAnsi="宋体" w:cs="宋体"/>
                <w:color w:val="000000"/>
                <w:szCs w:val="21"/>
              </w:rPr>
            </w:pPr>
            <w:r>
              <w:rPr>
                <w:rFonts w:hint="eastAsia" w:ascii="宋体" w:hAnsi="宋体" w:cs="宋体"/>
                <w:color w:val="000000"/>
                <w:szCs w:val="21"/>
              </w:rPr>
              <w:t xml:space="preserve">前期设计招标 </w:t>
            </w:r>
          </w:p>
        </w:tc>
        <w:tc>
          <w:tcPr>
            <w:tcW w:w="18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jc w:val="center"/>
              <w:textAlignment w:val="center"/>
              <w:rPr>
                <w:rFonts w:ascii="宋体" w:hAnsi="宋体" w:cs="宋体"/>
                <w:color w:val="000000"/>
                <w:szCs w:val="21"/>
              </w:rPr>
            </w:pPr>
            <w:r>
              <w:rPr>
                <w:rFonts w:hint="eastAsia" w:ascii="宋体" w:hAnsi="宋体" w:cs="宋体"/>
                <w:color w:val="000000"/>
                <w:szCs w:val="21"/>
              </w:rPr>
              <w:t xml:space="preserve">前期设计招标 </w:t>
            </w:r>
          </w:p>
        </w:tc>
      </w:tr>
      <w:tr>
        <w:tblPrEx>
          <w:tblCellMar>
            <w:top w:w="0" w:type="dxa"/>
            <w:left w:w="0" w:type="dxa"/>
            <w:bottom w:w="0" w:type="dxa"/>
            <w:right w:w="0" w:type="dxa"/>
          </w:tblCellMar>
        </w:tblPrEx>
        <w:trPr>
          <w:trHeight w:val="938" w:hRule="atLeast"/>
        </w:trPr>
        <w:tc>
          <w:tcPr>
            <w:tcW w:w="69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jc w:val="center"/>
              <w:textAlignment w:val="center"/>
              <w:rPr>
                <w:rFonts w:ascii="宋体" w:hAnsi="宋体" w:cs="宋体"/>
                <w:color w:val="000000"/>
                <w:szCs w:val="21"/>
              </w:rPr>
            </w:pPr>
            <w:r>
              <w:rPr>
                <w:rFonts w:hint="eastAsia" w:ascii="宋体" w:hAnsi="宋体" w:cs="宋体"/>
                <w:color w:val="000000"/>
                <w:kern w:val="0"/>
                <w:szCs w:val="21"/>
              </w:rPr>
              <w:t>项目完成指标</w:t>
            </w:r>
          </w:p>
        </w:tc>
        <w:tc>
          <w:tcPr>
            <w:tcW w:w="14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jc w:val="center"/>
              <w:textAlignment w:val="center"/>
              <w:rPr>
                <w:rFonts w:ascii="宋体" w:hAnsi="宋体" w:cs="宋体"/>
                <w:color w:val="000000"/>
                <w:szCs w:val="21"/>
              </w:rPr>
            </w:pPr>
            <w:r>
              <w:rPr>
                <w:rFonts w:hint="eastAsia" w:ascii="宋体" w:hAnsi="宋体" w:cs="宋体"/>
                <w:color w:val="000000"/>
                <w:szCs w:val="21"/>
              </w:rPr>
              <w:t>质量指标</w:t>
            </w:r>
          </w:p>
        </w:tc>
        <w:tc>
          <w:tcPr>
            <w:tcW w:w="18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jc w:val="center"/>
              <w:textAlignment w:val="center"/>
              <w:rPr>
                <w:rFonts w:ascii="宋体" w:hAnsi="宋体" w:cs="宋体"/>
                <w:color w:val="000000"/>
                <w:szCs w:val="21"/>
              </w:rPr>
            </w:pPr>
          </w:p>
        </w:tc>
        <w:tc>
          <w:tcPr>
            <w:tcW w:w="164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jc w:val="center"/>
              <w:textAlignment w:val="center"/>
              <w:rPr>
                <w:rFonts w:ascii="宋体" w:hAnsi="宋体" w:cs="宋体"/>
                <w:color w:val="000000"/>
                <w:szCs w:val="21"/>
              </w:rPr>
            </w:pPr>
            <w:r>
              <w:rPr>
                <w:rFonts w:hint="eastAsia" w:ascii="宋体" w:hAnsi="宋体" w:cs="宋体"/>
                <w:color w:val="000000"/>
                <w:szCs w:val="21"/>
              </w:rPr>
              <w:t xml:space="preserve"> </w:t>
            </w:r>
          </w:p>
        </w:tc>
        <w:tc>
          <w:tcPr>
            <w:tcW w:w="18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jc w:val="center"/>
              <w:textAlignment w:val="center"/>
              <w:rPr>
                <w:rFonts w:ascii="宋体" w:hAnsi="宋体" w:cs="宋体"/>
                <w:color w:val="000000"/>
                <w:szCs w:val="21"/>
              </w:rPr>
            </w:pPr>
            <w:r>
              <w:rPr>
                <w:rFonts w:hint="eastAsia" w:ascii="宋体" w:hAnsi="宋体" w:cs="宋体"/>
                <w:color w:val="000000"/>
                <w:szCs w:val="21"/>
              </w:rPr>
              <w:t xml:space="preserve"> </w:t>
            </w:r>
          </w:p>
        </w:tc>
      </w:tr>
      <w:tr>
        <w:tblPrEx>
          <w:tblCellMar>
            <w:top w:w="0" w:type="dxa"/>
            <w:left w:w="0" w:type="dxa"/>
            <w:bottom w:w="0" w:type="dxa"/>
            <w:right w:w="0" w:type="dxa"/>
          </w:tblCellMar>
        </w:tblPrEx>
        <w:trPr>
          <w:trHeight w:val="686" w:hRule="atLeast"/>
        </w:trPr>
        <w:tc>
          <w:tcPr>
            <w:tcW w:w="69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jc w:val="center"/>
              <w:textAlignment w:val="center"/>
              <w:rPr>
                <w:rFonts w:ascii="宋体" w:hAnsi="宋体" w:cs="宋体"/>
                <w:color w:val="000000"/>
                <w:szCs w:val="21"/>
              </w:rPr>
            </w:pPr>
            <w:r>
              <w:rPr>
                <w:rFonts w:hint="eastAsia" w:ascii="宋体" w:hAnsi="宋体" w:cs="宋体"/>
                <w:color w:val="000000"/>
                <w:kern w:val="0"/>
                <w:szCs w:val="21"/>
              </w:rPr>
              <w:t>项目完成指标</w:t>
            </w:r>
          </w:p>
        </w:tc>
        <w:tc>
          <w:tcPr>
            <w:tcW w:w="14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jc w:val="center"/>
              <w:textAlignment w:val="center"/>
              <w:rPr>
                <w:rFonts w:ascii="宋体" w:hAnsi="宋体" w:cs="宋体"/>
                <w:color w:val="000000"/>
                <w:szCs w:val="21"/>
              </w:rPr>
            </w:pPr>
            <w:r>
              <w:rPr>
                <w:rFonts w:hint="eastAsia" w:ascii="宋体" w:hAnsi="宋体" w:cs="宋体"/>
                <w:color w:val="000000"/>
                <w:szCs w:val="21"/>
              </w:rPr>
              <w:t>时效指标</w:t>
            </w:r>
          </w:p>
        </w:tc>
        <w:tc>
          <w:tcPr>
            <w:tcW w:w="18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jc w:val="center"/>
              <w:textAlignment w:val="center"/>
              <w:rPr>
                <w:rFonts w:ascii="宋体" w:hAnsi="宋体" w:cs="宋体"/>
                <w:color w:val="000000"/>
                <w:szCs w:val="21"/>
              </w:rPr>
            </w:pPr>
            <w:r>
              <w:rPr>
                <w:rFonts w:hint="eastAsia" w:ascii="宋体" w:hAnsi="宋体" w:cs="宋体"/>
                <w:color w:val="000000"/>
                <w:szCs w:val="21"/>
              </w:rPr>
              <w:t>1.51%</w:t>
            </w:r>
          </w:p>
        </w:tc>
        <w:tc>
          <w:tcPr>
            <w:tcW w:w="164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jc w:val="center"/>
              <w:textAlignment w:val="center"/>
              <w:rPr>
                <w:rFonts w:ascii="宋体" w:hAnsi="宋体" w:cs="宋体"/>
                <w:color w:val="000000"/>
                <w:szCs w:val="21"/>
              </w:rPr>
            </w:pPr>
            <w:r>
              <w:rPr>
                <w:rFonts w:hint="eastAsia" w:ascii="宋体" w:hAnsi="宋体" w:cs="宋体"/>
                <w:color w:val="000000"/>
                <w:szCs w:val="21"/>
              </w:rPr>
              <w:t xml:space="preserve"> 预期完成90%</w:t>
            </w:r>
          </w:p>
        </w:tc>
        <w:tc>
          <w:tcPr>
            <w:tcW w:w="18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jc w:val="center"/>
              <w:textAlignment w:val="center"/>
              <w:rPr>
                <w:rFonts w:ascii="宋体" w:hAnsi="宋体" w:cs="宋体"/>
                <w:color w:val="000000"/>
                <w:szCs w:val="21"/>
              </w:rPr>
            </w:pPr>
            <w:r>
              <w:rPr>
                <w:rFonts w:hint="eastAsia" w:ascii="宋体" w:hAnsi="宋体" w:cs="宋体"/>
                <w:color w:val="000000"/>
                <w:szCs w:val="21"/>
              </w:rPr>
              <w:t xml:space="preserve">实际完成1.51%,由于大部分产品需国产化替代 </w:t>
            </w:r>
          </w:p>
        </w:tc>
      </w:tr>
      <w:tr>
        <w:tblPrEx>
          <w:tblCellMar>
            <w:top w:w="0" w:type="dxa"/>
            <w:left w:w="0" w:type="dxa"/>
            <w:bottom w:w="0" w:type="dxa"/>
            <w:right w:w="0" w:type="dxa"/>
          </w:tblCellMar>
        </w:tblPrEx>
        <w:trPr>
          <w:trHeight w:val="974" w:hRule="atLeast"/>
        </w:trPr>
        <w:tc>
          <w:tcPr>
            <w:tcW w:w="69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left"/>
              <w:rPr>
                <w:rFonts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jc w:val="center"/>
              <w:textAlignment w:val="center"/>
              <w:rPr>
                <w:rFonts w:ascii="宋体" w:hAnsi="宋体" w:cs="宋体"/>
                <w:color w:val="000000"/>
                <w:kern w:val="0"/>
                <w:szCs w:val="21"/>
              </w:rPr>
            </w:pPr>
            <w:r>
              <w:rPr>
                <w:rFonts w:hint="eastAsia" w:ascii="宋体" w:hAnsi="宋体" w:cs="宋体"/>
                <w:color w:val="000000"/>
                <w:kern w:val="0"/>
                <w:szCs w:val="21"/>
              </w:rPr>
              <w:t>项目完成指标</w:t>
            </w:r>
          </w:p>
        </w:tc>
        <w:tc>
          <w:tcPr>
            <w:tcW w:w="14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jc w:val="center"/>
              <w:textAlignment w:val="center"/>
              <w:rPr>
                <w:rFonts w:ascii="宋体" w:hAnsi="宋体" w:cs="宋体"/>
                <w:color w:val="000000"/>
                <w:szCs w:val="21"/>
              </w:rPr>
            </w:pPr>
            <w:r>
              <w:rPr>
                <w:rFonts w:hint="eastAsia" w:ascii="宋体" w:hAnsi="宋体" w:cs="宋体"/>
                <w:color w:val="000000"/>
                <w:szCs w:val="21"/>
              </w:rPr>
              <w:t>成本指标</w:t>
            </w:r>
          </w:p>
        </w:tc>
        <w:tc>
          <w:tcPr>
            <w:tcW w:w="18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jc w:val="center"/>
              <w:textAlignment w:val="center"/>
              <w:rPr>
                <w:rFonts w:ascii="宋体" w:hAnsi="宋体" w:cs="宋体"/>
                <w:color w:val="000000"/>
                <w:szCs w:val="21"/>
              </w:rPr>
            </w:pPr>
          </w:p>
        </w:tc>
        <w:tc>
          <w:tcPr>
            <w:tcW w:w="164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jc w:val="center"/>
              <w:textAlignment w:val="center"/>
              <w:rPr>
                <w:rFonts w:ascii="宋体" w:hAnsi="宋体" w:cs="宋体"/>
                <w:color w:val="000000"/>
                <w:szCs w:val="21"/>
              </w:rPr>
            </w:pPr>
          </w:p>
        </w:tc>
        <w:tc>
          <w:tcPr>
            <w:tcW w:w="18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jc w:val="center"/>
              <w:textAlignment w:val="center"/>
              <w:rPr>
                <w:rFonts w:ascii="宋体" w:hAnsi="宋体" w:cs="宋体"/>
                <w:color w:val="000000"/>
                <w:szCs w:val="21"/>
              </w:rPr>
            </w:pPr>
          </w:p>
        </w:tc>
      </w:tr>
      <w:tr>
        <w:tblPrEx>
          <w:tblCellMar>
            <w:top w:w="0" w:type="dxa"/>
            <w:left w:w="0" w:type="dxa"/>
            <w:bottom w:w="0" w:type="dxa"/>
            <w:right w:w="0" w:type="dxa"/>
          </w:tblCellMar>
        </w:tblPrEx>
        <w:trPr>
          <w:trHeight w:val="401" w:hRule="atLeast"/>
        </w:trPr>
        <w:tc>
          <w:tcPr>
            <w:tcW w:w="69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left"/>
              <w:rPr>
                <w:rFonts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jc w:val="center"/>
              <w:textAlignment w:val="center"/>
              <w:rPr>
                <w:rFonts w:ascii="宋体" w:hAnsi="宋体" w:cs="宋体"/>
                <w:color w:val="000000"/>
                <w:szCs w:val="21"/>
              </w:rPr>
            </w:pPr>
            <w:r>
              <w:rPr>
                <w:rFonts w:hint="eastAsia" w:ascii="宋体" w:hAnsi="宋体" w:cs="宋体"/>
                <w:color w:val="000000"/>
                <w:kern w:val="0"/>
                <w:szCs w:val="21"/>
              </w:rPr>
              <w:t>效益指标</w:t>
            </w:r>
          </w:p>
        </w:tc>
        <w:tc>
          <w:tcPr>
            <w:tcW w:w="14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jc w:val="center"/>
              <w:textAlignment w:val="center"/>
              <w:rPr>
                <w:rFonts w:ascii="宋体" w:hAnsi="宋体" w:cs="宋体"/>
                <w:color w:val="000000"/>
                <w:szCs w:val="21"/>
              </w:rPr>
            </w:pPr>
            <w:r>
              <w:rPr>
                <w:rFonts w:hint="eastAsia" w:ascii="宋体" w:hAnsi="宋体" w:cs="宋体"/>
                <w:color w:val="000000"/>
                <w:szCs w:val="21"/>
              </w:rPr>
              <w:t>社会效益</w:t>
            </w:r>
          </w:p>
        </w:tc>
        <w:tc>
          <w:tcPr>
            <w:tcW w:w="18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jc w:val="center"/>
              <w:textAlignment w:val="center"/>
              <w:rPr>
                <w:rFonts w:ascii="宋体" w:hAnsi="宋体" w:cs="宋体"/>
                <w:color w:val="000000"/>
                <w:szCs w:val="21"/>
              </w:rPr>
            </w:pPr>
          </w:p>
        </w:tc>
        <w:tc>
          <w:tcPr>
            <w:tcW w:w="164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textAlignment w:val="center"/>
              <w:rPr>
                <w:rFonts w:ascii="宋体" w:hAnsi="宋体" w:cs="宋体"/>
                <w:color w:val="000000"/>
                <w:szCs w:val="21"/>
              </w:rPr>
            </w:pPr>
            <w:r>
              <w:rPr>
                <w:rFonts w:hint="eastAsia" w:ascii="宋体" w:hAnsi="宋体" w:cs="宋体"/>
                <w:color w:val="000000"/>
                <w:szCs w:val="21"/>
              </w:rPr>
              <w:t xml:space="preserve"> </w:t>
            </w:r>
          </w:p>
        </w:tc>
        <w:tc>
          <w:tcPr>
            <w:tcW w:w="18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textAlignment w:val="center"/>
              <w:rPr>
                <w:rFonts w:ascii="宋体" w:hAnsi="宋体" w:cs="宋体"/>
                <w:color w:val="000000"/>
                <w:szCs w:val="21"/>
              </w:rPr>
            </w:pPr>
            <w:r>
              <w:rPr>
                <w:rFonts w:hint="eastAsia" w:ascii="宋体" w:hAnsi="宋体" w:cs="宋体"/>
                <w:color w:val="000000"/>
                <w:szCs w:val="21"/>
              </w:rPr>
              <w:t>推动检察工作智能化</w:t>
            </w:r>
          </w:p>
        </w:tc>
      </w:tr>
      <w:tr>
        <w:tblPrEx>
          <w:tblCellMar>
            <w:top w:w="0" w:type="dxa"/>
            <w:left w:w="0" w:type="dxa"/>
            <w:bottom w:w="0" w:type="dxa"/>
            <w:right w:w="0" w:type="dxa"/>
          </w:tblCellMar>
        </w:tblPrEx>
        <w:trPr>
          <w:trHeight w:val="538" w:hRule="atLeast"/>
        </w:trPr>
        <w:tc>
          <w:tcPr>
            <w:tcW w:w="69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left"/>
              <w:rPr>
                <w:rFonts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jc w:val="center"/>
              <w:textAlignment w:val="center"/>
              <w:rPr>
                <w:rFonts w:ascii="宋体" w:hAnsi="宋体" w:cs="宋体"/>
                <w:color w:val="000000"/>
                <w:szCs w:val="21"/>
              </w:rPr>
            </w:pPr>
            <w:r>
              <w:rPr>
                <w:rFonts w:hint="eastAsia" w:ascii="宋体" w:hAnsi="宋体" w:cs="宋体"/>
                <w:color w:val="000000"/>
                <w:kern w:val="0"/>
                <w:szCs w:val="21"/>
              </w:rPr>
              <w:t>效益指标</w:t>
            </w:r>
          </w:p>
        </w:tc>
        <w:tc>
          <w:tcPr>
            <w:tcW w:w="14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jc w:val="center"/>
              <w:textAlignment w:val="center"/>
              <w:rPr>
                <w:rFonts w:ascii="宋体" w:hAnsi="宋体" w:cs="宋体"/>
                <w:color w:val="000000"/>
                <w:szCs w:val="21"/>
              </w:rPr>
            </w:pPr>
            <w:r>
              <w:rPr>
                <w:rFonts w:hint="eastAsia" w:ascii="宋体" w:hAnsi="宋体" w:cs="宋体"/>
                <w:color w:val="000000"/>
                <w:szCs w:val="21"/>
              </w:rPr>
              <w:t>可持续影响</w:t>
            </w:r>
          </w:p>
        </w:tc>
        <w:tc>
          <w:tcPr>
            <w:tcW w:w="18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jc w:val="center"/>
              <w:textAlignment w:val="center"/>
              <w:rPr>
                <w:rFonts w:ascii="宋体" w:hAnsi="宋体" w:cs="宋体"/>
                <w:color w:val="000000"/>
                <w:szCs w:val="21"/>
              </w:rPr>
            </w:pPr>
          </w:p>
        </w:tc>
        <w:tc>
          <w:tcPr>
            <w:tcW w:w="164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jc w:val="center"/>
              <w:textAlignment w:val="center"/>
              <w:rPr>
                <w:rFonts w:ascii="宋体" w:hAnsi="宋体" w:cs="宋体"/>
                <w:color w:val="000000"/>
                <w:szCs w:val="21"/>
              </w:rPr>
            </w:pPr>
          </w:p>
        </w:tc>
        <w:tc>
          <w:tcPr>
            <w:tcW w:w="18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jc w:val="center"/>
              <w:textAlignment w:val="center"/>
              <w:rPr>
                <w:rFonts w:ascii="宋体" w:hAnsi="宋体" w:cs="宋体"/>
                <w:color w:val="000000"/>
                <w:szCs w:val="21"/>
              </w:rPr>
            </w:pPr>
            <w:r>
              <w:rPr>
                <w:rFonts w:hint="eastAsia" w:ascii="宋体" w:hAnsi="宋体" w:cs="宋体"/>
                <w:color w:val="000000"/>
                <w:szCs w:val="21"/>
              </w:rPr>
              <w:t xml:space="preserve"> </w:t>
            </w:r>
          </w:p>
        </w:tc>
      </w:tr>
      <w:tr>
        <w:tblPrEx>
          <w:tblCellMar>
            <w:top w:w="0" w:type="dxa"/>
            <w:left w:w="0" w:type="dxa"/>
            <w:bottom w:w="0" w:type="dxa"/>
            <w:right w:w="0" w:type="dxa"/>
          </w:tblCellMar>
        </w:tblPrEx>
        <w:trPr>
          <w:trHeight w:val="678" w:hRule="atLeast"/>
        </w:trPr>
        <w:tc>
          <w:tcPr>
            <w:tcW w:w="69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left"/>
              <w:rPr>
                <w:rFonts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jc w:val="center"/>
              <w:textAlignment w:val="center"/>
              <w:rPr>
                <w:rFonts w:ascii="宋体" w:hAnsi="宋体" w:cs="宋体"/>
                <w:color w:val="000000"/>
                <w:szCs w:val="21"/>
              </w:rPr>
            </w:pPr>
            <w:r>
              <w:rPr>
                <w:rFonts w:hint="eastAsia" w:ascii="宋体" w:hAnsi="宋体" w:cs="宋体"/>
                <w:color w:val="000000"/>
                <w:kern w:val="0"/>
                <w:szCs w:val="21"/>
              </w:rPr>
              <w:t>满意度指标</w:t>
            </w:r>
          </w:p>
        </w:tc>
        <w:tc>
          <w:tcPr>
            <w:tcW w:w="14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textAlignment w:val="center"/>
              <w:rPr>
                <w:rFonts w:ascii="宋体" w:hAnsi="宋体" w:cs="宋体"/>
                <w:color w:val="000000"/>
                <w:szCs w:val="21"/>
              </w:rPr>
            </w:pPr>
            <w:r>
              <w:rPr>
                <w:rFonts w:hint="eastAsia" w:ascii="宋体" w:hAnsi="宋体" w:cs="宋体"/>
                <w:color w:val="000000"/>
                <w:szCs w:val="21"/>
              </w:rPr>
              <w:t>满意度指标</w:t>
            </w:r>
          </w:p>
        </w:tc>
        <w:tc>
          <w:tcPr>
            <w:tcW w:w="18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jc w:val="center"/>
              <w:textAlignment w:val="center"/>
              <w:rPr>
                <w:rFonts w:ascii="宋体" w:hAnsi="宋体" w:cs="宋体"/>
                <w:color w:val="000000"/>
                <w:szCs w:val="21"/>
              </w:rPr>
            </w:pPr>
          </w:p>
        </w:tc>
        <w:tc>
          <w:tcPr>
            <w:tcW w:w="164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jc w:val="center"/>
              <w:textAlignment w:val="center"/>
              <w:rPr>
                <w:rFonts w:ascii="宋体" w:hAnsi="宋体" w:cs="宋体"/>
                <w:color w:val="000000"/>
                <w:szCs w:val="21"/>
              </w:rPr>
            </w:pPr>
            <w:r>
              <w:rPr>
                <w:rFonts w:hint="eastAsia" w:ascii="宋体" w:hAnsi="宋体" w:cs="宋体"/>
                <w:color w:val="000000"/>
                <w:szCs w:val="21"/>
              </w:rPr>
              <w:t xml:space="preserve"> </w:t>
            </w:r>
          </w:p>
        </w:tc>
        <w:tc>
          <w:tcPr>
            <w:tcW w:w="18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0" w:lineRule="atLeast"/>
              <w:jc w:val="center"/>
              <w:textAlignment w:val="center"/>
              <w:rPr>
                <w:rFonts w:ascii="宋体" w:hAnsi="宋体" w:cs="宋体"/>
                <w:color w:val="000000"/>
                <w:szCs w:val="21"/>
              </w:rPr>
            </w:pPr>
          </w:p>
        </w:tc>
      </w:tr>
      <w:tr>
        <w:tblPrEx>
          <w:tblCellMar>
            <w:top w:w="0" w:type="dxa"/>
            <w:left w:w="0" w:type="dxa"/>
            <w:bottom w:w="0" w:type="dxa"/>
            <w:right w:w="0" w:type="dxa"/>
          </w:tblCellMar>
        </w:tblPrEx>
        <w:trPr>
          <w:trHeight w:val="279" w:hRule="atLeast"/>
        </w:trPr>
        <w:tc>
          <w:tcPr>
            <w:tcW w:w="8959" w:type="dxa"/>
            <w:gridSpan w:val="6"/>
            <w:tcMar>
              <w:top w:w="15" w:type="dxa"/>
              <w:left w:w="15" w:type="dxa"/>
              <w:bottom w:w="0" w:type="dxa"/>
              <w:right w:w="15" w:type="dxa"/>
            </w:tcMar>
            <w:vAlign w:val="center"/>
          </w:tcPr>
          <w:p>
            <w:pPr>
              <w:widowControl/>
              <w:spacing w:line="600" w:lineRule="exact"/>
              <w:textAlignment w:val="center"/>
              <w:rPr>
                <w:rFonts w:ascii="宋体" w:hAnsi="宋体" w:cs="宋体"/>
                <w:color w:val="000000"/>
                <w:sz w:val="36"/>
                <w:szCs w:val="36"/>
              </w:rPr>
            </w:pPr>
          </w:p>
        </w:tc>
      </w:tr>
    </w:tbl>
    <w:p>
      <w:pPr>
        <w:spacing w:line="580" w:lineRule="exact"/>
        <w:ind w:left="630"/>
        <w:rPr>
          <w:rFonts w:ascii="楷体_GB2312" w:hAnsi="楷体_GB2312" w:eastAsia="楷体_GB2312" w:cs="楷体_GB2312"/>
          <w:sz w:val="32"/>
          <w:szCs w:val="32"/>
        </w:rPr>
      </w:pP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本部门按要求对2020年部门整体支出绩效评价情况开展自评，《广元市人民检察院2020年部门整体支出绩效评价报告》见附件</w:t>
      </w:r>
      <w:r>
        <w:rPr>
          <w:rFonts w:hint="eastAsia" w:ascii="仿宋_GB2312" w:hAnsi="仿宋_GB2312" w:eastAsia="仿宋_GB2312" w:cs="仿宋_GB2312"/>
          <w:sz w:val="32"/>
          <w:szCs w:val="32"/>
        </w:rPr>
        <w:t>。</w:t>
      </w:r>
    </w:p>
    <w:p>
      <w:pPr>
        <w:numPr>
          <w:ilvl w:val="0"/>
          <w:numId w:val="2"/>
        </w:numPr>
        <w:spacing w:line="600" w:lineRule="exact"/>
        <w:ind w:firstLine="662" w:firstLineChars="150"/>
        <w:jc w:val="center"/>
        <w:outlineLvl w:val="0"/>
        <w:rPr>
          <w:rFonts w:ascii="宋体"/>
          <w:b/>
          <w:color w:val="000000"/>
          <w:sz w:val="44"/>
          <w:szCs w:val="44"/>
        </w:rPr>
      </w:pPr>
      <w:bookmarkStart w:id="51" w:name="_Toc15396613"/>
      <w:bookmarkStart w:id="52" w:name="_Toc15377225"/>
      <w:r>
        <w:rPr>
          <w:rFonts w:hint="eastAsia" w:ascii="黑体" w:hAnsi="黑体" w:eastAsia="黑体"/>
          <w:b/>
          <w:color w:val="000000"/>
          <w:sz w:val="44"/>
          <w:szCs w:val="44"/>
        </w:rPr>
        <w:t>名</w:t>
      </w:r>
      <w:r>
        <w:rPr>
          <w:rStyle w:val="26"/>
          <w:rFonts w:hint="eastAsia" w:ascii="黑体" w:hAnsi="黑体" w:eastAsia="黑体"/>
          <w:b w:val="0"/>
        </w:rPr>
        <w:t>词解释</w:t>
      </w:r>
      <w:bookmarkEnd w:id="51"/>
      <w:bookmarkEnd w:id="52"/>
    </w:p>
    <w:p>
      <w:pPr>
        <w:pStyle w:val="24"/>
        <w:spacing w:line="600" w:lineRule="exact"/>
        <w:ind w:firstLine="640" w:firstLineChars="200"/>
        <w:rPr>
          <w:rFonts w:hAnsi="仿宋"/>
          <w:sz w:val="32"/>
          <w:szCs w:val="32"/>
        </w:rPr>
      </w:pPr>
      <w:bookmarkStart w:id="53" w:name="_Toc15377226"/>
      <w:bookmarkStart w:id="54" w:name="_Toc15396614"/>
      <w:r>
        <w:rPr>
          <w:rFonts w:hint="eastAsia" w:hAnsi="仿宋"/>
          <w:sz w:val="32"/>
          <w:szCs w:val="32"/>
        </w:rPr>
        <w:t xml:space="preserve">1.财政拨款收入：指省级财政当年拨付的资金。 </w:t>
      </w:r>
    </w:p>
    <w:p>
      <w:pPr>
        <w:pStyle w:val="24"/>
        <w:spacing w:line="600" w:lineRule="exact"/>
        <w:ind w:firstLine="640" w:firstLineChars="200"/>
        <w:rPr>
          <w:rFonts w:hAnsi="仿宋"/>
          <w:sz w:val="32"/>
          <w:szCs w:val="32"/>
        </w:rPr>
      </w:pPr>
      <w:r>
        <w:rPr>
          <w:rFonts w:hint="eastAsia" w:hAnsi="仿宋"/>
          <w:sz w:val="32"/>
          <w:szCs w:val="32"/>
        </w:rPr>
        <w:t xml:space="preserve">2.年初结转和结余：指以前年度尚未完成、结转到本年按有关规定继续使用的资金。 </w:t>
      </w:r>
    </w:p>
    <w:p>
      <w:pPr>
        <w:pStyle w:val="24"/>
        <w:spacing w:line="600" w:lineRule="exact"/>
        <w:ind w:firstLine="640" w:firstLineChars="200"/>
        <w:rPr>
          <w:rFonts w:hAnsi="仿宋"/>
          <w:sz w:val="32"/>
          <w:szCs w:val="32"/>
        </w:rPr>
      </w:pPr>
      <w:r>
        <w:rPr>
          <w:rFonts w:hint="eastAsia" w:hAnsi="仿宋"/>
          <w:sz w:val="32"/>
          <w:szCs w:val="32"/>
        </w:rPr>
        <w:t>3.公共安全支出（类）检察（款）行政运行（项）:反映行政单位（包括实行公务员管理的事业单位）的基本支出。</w:t>
      </w:r>
    </w:p>
    <w:p>
      <w:pPr>
        <w:pStyle w:val="24"/>
        <w:spacing w:line="600" w:lineRule="exact"/>
        <w:ind w:firstLine="640" w:firstLineChars="200"/>
        <w:rPr>
          <w:rFonts w:hAnsi="仿宋"/>
          <w:sz w:val="32"/>
          <w:szCs w:val="32"/>
        </w:rPr>
      </w:pPr>
      <w:r>
        <w:rPr>
          <w:rFonts w:hint="eastAsia" w:hAnsi="仿宋"/>
          <w:sz w:val="32"/>
          <w:szCs w:val="32"/>
        </w:rPr>
        <w:t>4.公共安全支出（类）检察（款）一般行政管理事务（项）:反映行政单位（包括实行公务员管理的事业单位）未单独设置项级科目的其他项目支出。</w:t>
      </w:r>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5.公共安全支出（类）检察（款）检察监督（项）：反映检察机关依法开展法律监督工作的支出，包括侦察监督、公诉、审判监督、执行监督、民事行政监督、公益诉讼、控告申诉等。</w:t>
      </w:r>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6.公共安全支出（类）检察（款）其他检察支出（项）：反映除上述项目以外其他用于检察方面的支出。</w:t>
      </w:r>
    </w:p>
    <w:p>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7</w:t>
      </w:r>
      <w:r>
        <w:rPr>
          <w:rFonts w:hint="eastAsia" w:ascii="仿宋" w:hAnsi="仿宋" w:eastAsia="仿宋"/>
          <w:sz w:val="32"/>
          <w:szCs w:val="32"/>
        </w:rPr>
        <w:t>.社会保障和就业（类）行政事业单位养老支出（款）</w:t>
      </w:r>
      <w:r>
        <w:rPr>
          <w:rFonts w:hint="eastAsia" w:ascii="仿宋" w:hAnsi="仿宋" w:eastAsia="仿宋"/>
          <w:sz w:val="32"/>
          <w:szCs w:val="32"/>
          <w:lang w:eastAsia="zh-CN"/>
        </w:rPr>
        <w:t>：</w:t>
      </w:r>
      <w:r>
        <w:rPr>
          <w:rFonts w:hint="eastAsia" w:ascii="仿宋" w:hAnsi="仿宋" w:eastAsia="仿宋"/>
          <w:sz w:val="32"/>
          <w:szCs w:val="32"/>
        </w:rPr>
        <w:t>机关事业单位职业年金缴费支出（项）：指反映机关事业单位实施养老保险制度由单位实际缴纳的职业年金支出。</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lang w:val="en-US" w:eastAsia="zh-CN"/>
        </w:rPr>
        <w:t>8</w:t>
      </w:r>
      <w:r>
        <w:rPr>
          <w:rFonts w:hint="eastAsia" w:ascii="仿宋" w:hAnsi="仿宋" w:eastAsia="仿宋"/>
          <w:sz w:val="32"/>
          <w:szCs w:val="32"/>
        </w:rPr>
        <w:t>.医疗卫生与计划生育支出（类）行政事业单位医疗（款）行政单位医疗（项）:</w:t>
      </w:r>
      <w:r>
        <w:rPr>
          <w:rFonts w:hint="eastAsia" w:ascii="仿宋" w:hAnsi="仿宋" w:eastAsia="仿宋"/>
          <w:color w:val="000000"/>
          <w:sz w:val="32"/>
          <w:szCs w:val="32"/>
        </w:rPr>
        <w:t>指反映财政部门集中安排的行政单位基本医疗保险缴费经费，未参加医疗保险的行政单位的公费医疗费，按国家规定享受离休人员、红军老战士待遇人员的医疗经费。</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w:t>
      </w:r>
      <w:r>
        <w:rPr>
          <w:rFonts w:hint="eastAsia" w:ascii="仿宋" w:hAnsi="仿宋" w:eastAsia="仿宋"/>
          <w:sz w:val="32"/>
          <w:szCs w:val="32"/>
        </w:rPr>
        <w:t>住房保障支出（类）住房改革支出（款）住房公积金（项）：</w:t>
      </w:r>
      <w:r>
        <w:rPr>
          <w:rFonts w:hint="eastAsia" w:ascii="仿宋" w:hAnsi="仿宋" w:eastAsia="仿宋"/>
          <w:color w:val="000000"/>
          <w:sz w:val="32"/>
          <w:szCs w:val="32"/>
        </w:rPr>
        <w:t>指反映行政事业单位按人力资源和社会保障部、财政部规定的基本工资和津贴补贴以及规定比例为职工缴纳的住房公积金。</w:t>
      </w:r>
    </w:p>
    <w:p>
      <w:pPr>
        <w:spacing w:line="600" w:lineRule="exact"/>
        <w:ind w:firstLine="640" w:firstLineChars="200"/>
        <w:rPr>
          <w:rFonts w:ascii="仿宋" w:hAnsi="仿宋" w:eastAsia="仿宋"/>
          <w:color w:val="000000"/>
          <w:sz w:val="32"/>
          <w:szCs w:val="32"/>
        </w:rPr>
      </w:pPr>
      <w:r>
        <w:rPr>
          <w:rFonts w:hint="eastAsia" w:ascii="仿宋" w:hAnsi="仿宋" w:eastAsia="仿宋"/>
          <w:sz w:val="32"/>
          <w:szCs w:val="32"/>
          <w:lang w:val="en-US" w:eastAsia="zh-CN"/>
        </w:rPr>
        <w:t>10</w:t>
      </w:r>
      <w:r>
        <w:rPr>
          <w:rFonts w:hint="eastAsia" w:ascii="仿宋" w:hAnsi="仿宋" w:eastAsia="仿宋"/>
          <w:sz w:val="32"/>
          <w:szCs w:val="32"/>
        </w:rPr>
        <w:t>.社会保障和就业支出（类）行政事业单位离退休（款）机关事业单位基本养老保险缴费支出（项）:</w:t>
      </w:r>
      <w:r>
        <w:rPr>
          <w:rFonts w:hint="eastAsia" w:ascii="仿宋" w:hAnsi="仿宋" w:eastAsia="仿宋"/>
          <w:color w:val="000000"/>
          <w:sz w:val="32"/>
          <w:szCs w:val="32"/>
        </w:rPr>
        <w:t>指反映未实行归口管理的行政单位（包括实行公务员管理的事业单位）开支的离退休经费。</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.年末结转和结余：指本年度或以前年度预算安排、因客观条件发生变化无法按原计划实施，需延迟到以后年度按有关规定继续使用的资金。</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.基本支出：指为保障机构正常运转、完成日常工作任务而发生的人员支出和公用支出。</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 xml:space="preserve">.项目支出：指在基本支出之外为完成特定行政任务和事业发展目标所发生的支出。 </w:t>
      </w:r>
    </w:p>
    <w:p>
      <w:pPr>
        <w:pStyle w:val="24"/>
        <w:spacing w:line="600" w:lineRule="exact"/>
        <w:ind w:firstLine="640" w:firstLineChars="200"/>
        <w:rPr>
          <w:rFonts w:hAnsi="仿宋"/>
          <w:sz w:val="32"/>
          <w:szCs w:val="32"/>
        </w:rPr>
      </w:pPr>
      <w:r>
        <w:rPr>
          <w:rFonts w:hint="eastAsia" w:hAnsi="仿宋"/>
          <w:sz w:val="32"/>
          <w:szCs w:val="32"/>
        </w:rPr>
        <w:t>1</w:t>
      </w:r>
      <w:r>
        <w:rPr>
          <w:rFonts w:hint="eastAsia" w:hAnsi="仿宋"/>
          <w:sz w:val="32"/>
          <w:szCs w:val="32"/>
          <w:lang w:val="en-US" w:eastAsia="zh-CN"/>
        </w:rPr>
        <w:t>4</w:t>
      </w:r>
      <w:r>
        <w:rPr>
          <w:rFonts w:hint="eastAsia" w:hAnsi="仿宋"/>
          <w:sz w:val="32"/>
          <w:szCs w:val="32"/>
        </w:rPr>
        <w:t>.“三公”经费：纳入省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24"/>
        <w:spacing w:line="600" w:lineRule="exact"/>
        <w:ind w:firstLine="640" w:firstLineChars="200"/>
        <w:rPr>
          <w:rFonts w:ascii="黑体" w:hAnsi="黑体" w:eastAsia="黑体"/>
          <w:sz w:val="44"/>
          <w:szCs w:val="44"/>
        </w:rPr>
      </w:pPr>
      <w:r>
        <w:rPr>
          <w:rFonts w:hint="eastAsia" w:hAnsi="仿宋"/>
          <w:sz w:val="32"/>
          <w:szCs w:val="32"/>
        </w:rPr>
        <w:t>1</w:t>
      </w:r>
      <w:r>
        <w:rPr>
          <w:rFonts w:hint="eastAsia" w:hAnsi="仿宋"/>
          <w:sz w:val="32"/>
          <w:szCs w:val="32"/>
          <w:lang w:val="en-US" w:eastAsia="zh-CN"/>
        </w:rPr>
        <w:t>5</w:t>
      </w:r>
      <w:r>
        <w:rPr>
          <w:rFonts w:hint="eastAsia" w:hAnsi="仿宋"/>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pPr>
        <w:spacing w:line="600" w:lineRule="exact"/>
        <w:ind w:firstLine="880" w:firstLineChars="200"/>
        <w:jc w:val="center"/>
        <w:rPr>
          <w:rFonts w:ascii="黑体" w:hAnsi="黑体" w:eastAsia="黑体"/>
          <w:color w:val="000000"/>
          <w:sz w:val="44"/>
          <w:szCs w:val="44"/>
        </w:rPr>
      </w:pPr>
    </w:p>
    <w:bookmarkEnd w:id="53"/>
    <w:bookmarkEnd w:id="54"/>
    <w:p>
      <w:pPr>
        <w:spacing w:line="600" w:lineRule="exact"/>
        <w:ind w:firstLine="880" w:firstLineChars="200"/>
        <w:jc w:val="center"/>
        <w:rPr>
          <w:rFonts w:hint="eastAsia" w:ascii="黑体" w:hAnsi="黑体" w:eastAsia="黑体"/>
          <w:color w:val="000000"/>
          <w:sz w:val="44"/>
          <w:szCs w:val="44"/>
        </w:rPr>
      </w:pPr>
    </w:p>
    <w:p>
      <w:pPr>
        <w:spacing w:line="600" w:lineRule="exact"/>
        <w:ind w:firstLine="880" w:firstLineChars="200"/>
        <w:jc w:val="center"/>
        <w:rPr>
          <w:rFonts w:hint="eastAsia" w:ascii="黑体" w:hAnsi="黑体" w:eastAsia="黑体"/>
          <w:color w:val="000000"/>
          <w:sz w:val="44"/>
          <w:szCs w:val="44"/>
        </w:rPr>
      </w:pPr>
    </w:p>
    <w:p>
      <w:pPr>
        <w:spacing w:line="600" w:lineRule="exact"/>
        <w:ind w:firstLine="880" w:firstLineChars="200"/>
        <w:jc w:val="center"/>
        <w:rPr>
          <w:rFonts w:hint="eastAsia" w:ascii="黑体" w:hAnsi="黑体" w:eastAsia="黑体"/>
          <w:color w:val="000000"/>
          <w:sz w:val="44"/>
          <w:szCs w:val="44"/>
        </w:rPr>
      </w:pPr>
    </w:p>
    <w:p>
      <w:pPr>
        <w:spacing w:line="600" w:lineRule="exact"/>
        <w:ind w:firstLine="880" w:firstLineChars="200"/>
        <w:jc w:val="center"/>
        <w:rPr>
          <w:rFonts w:hint="eastAsia" w:ascii="黑体" w:hAnsi="黑体" w:eastAsia="黑体"/>
          <w:color w:val="000000"/>
          <w:sz w:val="44"/>
          <w:szCs w:val="44"/>
        </w:rPr>
      </w:pPr>
    </w:p>
    <w:p>
      <w:pPr>
        <w:spacing w:line="600" w:lineRule="exact"/>
        <w:ind w:firstLine="880" w:firstLineChars="200"/>
        <w:jc w:val="center"/>
        <w:rPr>
          <w:rFonts w:hint="eastAsia" w:ascii="黑体" w:hAnsi="黑体" w:eastAsia="黑体"/>
          <w:color w:val="000000"/>
          <w:sz w:val="44"/>
          <w:szCs w:val="44"/>
        </w:rPr>
      </w:pPr>
    </w:p>
    <w:p>
      <w:pPr>
        <w:spacing w:line="600" w:lineRule="exact"/>
        <w:ind w:firstLine="880" w:firstLineChars="200"/>
        <w:jc w:val="center"/>
        <w:rPr>
          <w:rFonts w:hint="eastAsia" w:ascii="黑体" w:hAnsi="黑体" w:eastAsia="黑体"/>
          <w:color w:val="000000"/>
          <w:sz w:val="44"/>
          <w:szCs w:val="44"/>
        </w:rPr>
      </w:pPr>
    </w:p>
    <w:p>
      <w:pPr>
        <w:spacing w:line="600" w:lineRule="exact"/>
        <w:ind w:firstLine="880" w:firstLineChars="200"/>
        <w:jc w:val="center"/>
        <w:rPr>
          <w:rFonts w:hint="eastAsia" w:ascii="黑体" w:hAnsi="黑体" w:eastAsia="黑体"/>
          <w:color w:val="000000"/>
          <w:sz w:val="44"/>
          <w:szCs w:val="44"/>
        </w:rPr>
      </w:pPr>
    </w:p>
    <w:p>
      <w:pPr>
        <w:spacing w:line="600" w:lineRule="exact"/>
        <w:ind w:firstLine="880" w:firstLineChars="200"/>
        <w:jc w:val="center"/>
        <w:rPr>
          <w:rFonts w:hint="eastAsia" w:ascii="黑体" w:hAnsi="黑体" w:eastAsia="黑体"/>
          <w:color w:val="000000"/>
          <w:sz w:val="44"/>
          <w:szCs w:val="44"/>
        </w:rPr>
      </w:pPr>
    </w:p>
    <w:p>
      <w:pPr>
        <w:spacing w:line="600" w:lineRule="exact"/>
        <w:ind w:firstLine="880" w:firstLineChars="200"/>
        <w:jc w:val="center"/>
        <w:rPr>
          <w:rFonts w:hint="eastAsia" w:ascii="黑体" w:hAnsi="黑体" w:eastAsia="黑体"/>
          <w:color w:val="000000"/>
          <w:sz w:val="44"/>
          <w:szCs w:val="44"/>
        </w:rPr>
      </w:pPr>
    </w:p>
    <w:p>
      <w:pPr>
        <w:spacing w:line="600" w:lineRule="exact"/>
        <w:ind w:firstLine="880" w:firstLineChars="200"/>
        <w:jc w:val="center"/>
        <w:rPr>
          <w:rFonts w:hint="eastAsia" w:ascii="黑体" w:hAnsi="黑体" w:eastAsia="黑体"/>
          <w:color w:val="000000"/>
          <w:sz w:val="44"/>
          <w:szCs w:val="44"/>
        </w:rPr>
      </w:pPr>
    </w:p>
    <w:p>
      <w:pPr>
        <w:spacing w:line="600" w:lineRule="exact"/>
        <w:ind w:firstLine="880" w:firstLineChars="200"/>
        <w:jc w:val="center"/>
        <w:rPr>
          <w:rFonts w:hint="eastAsia" w:ascii="黑体" w:hAnsi="黑体" w:eastAsia="黑体"/>
          <w:color w:val="000000"/>
          <w:sz w:val="44"/>
          <w:szCs w:val="44"/>
        </w:rPr>
      </w:pPr>
    </w:p>
    <w:p>
      <w:pPr>
        <w:spacing w:line="600" w:lineRule="exact"/>
        <w:ind w:firstLine="880" w:firstLineChars="200"/>
        <w:jc w:val="center"/>
        <w:rPr>
          <w:rFonts w:hint="eastAsia" w:ascii="黑体" w:hAnsi="黑体" w:eastAsia="黑体"/>
          <w:color w:val="000000"/>
          <w:sz w:val="44"/>
          <w:szCs w:val="44"/>
        </w:rPr>
      </w:pPr>
    </w:p>
    <w:p>
      <w:pPr>
        <w:spacing w:line="600" w:lineRule="exact"/>
        <w:ind w:firstLine="880" w:firstLineChars="200"/>
        <w:jc w:val="center"/>
        <w:rPr>
          <w:rFonts w:hint="eastAsia" w:ascii="黑体" w:hAnsi="黑体" w:eastAsia="黑体"/>
          <w:color w:val="000000"/>
          <w:sz w:val="44"/>
          <w:szCs w:val="44"/>
        </w:rPr>
      </w:pPr>
      <w:bookmarkStart w:id="58" w:name="_GoBack"/>
      <w:bookmarkEnd w:id="58"/>
    </w:p>
    <w:p>
      <w:pPr>
        <w:spacing w:line="600" w:lineRule="exact"/>
        <w:ind w:firstLine="880" w:firstLineChars="200"/>
        <w:jc w:val="center"/>
        <w:rPr>
          <w:rFonts w:hint="eastAsia" w:ascii="黑体" w:hAnsi="黑体" w:eastAsia="黑体"/>
          <w:color w:val="000000"/>
          <w:sz w:val="44"/>
          <w:szCs w:val="44"/>
        </w:rPr>
      </w:pPr>
    </w:p>
    <w:p>
      <w:pPr>
        <w:spacing w:line="600" w:lineRule="exact"/>
        <w:ind w:firstLine="880" w:firstLineChars="200"/>
        <w:jc w:val="center"/>
        <w:rPr>
          <w:rFonts w:hint="eastAsia" w:ascii="黑体" w:hAnsi="黑体" w:eastAsia="黑体"/>
          <w:color w:val="000000"/>
          <w:sz w:val="44"/>
          <w:szCs w:val="44"/>
        </w:rPr>
      </w:pPr>
    </w:p>
    <w:p>
      <w:pPr>
        <w:spacing w:line="600" w:lineRule="exact"/>
        <w:ind w:firstLine="880" w:firstLineChars="200"/>
        <w:jc w:val="center"/>
        <w:rPr>
          <w:rFonts w:hint="eastAsia" w:ascii="黑体" w:hAnsi="黑体" w:eastAsia="黑体"/>
          <w:color w:val="000000"/>
          <w:sz w:val="44"/>
          <w:szCs w:val="44"/>
        </w:rPr>
      </w:pPr>
    </w:p>
    <w:p>
      <w:pPr>
        <w:spacing w:line="600" w:lineRule="exact"/>
        <w:ind w:firstLine="880" w:firstLineChars="200"/>
        <w:jc w:val="center"/>
        <w:rPr>
          <w:rStyle w:val="26"/>
        </w:rPr>
      </w:pPr>
      <w:r>
        <w:rPr>
          <w:rFonts w:hint="eastAsia" w:ascii="黑体" w:hAnsi="黑体" w:eastAsia="黑体"/>
          <w:color w:val="000000"/>
          <w:sz w:val="44"/>
          <w:szCs w:val="44"/>
        </w:rPr>
        <w:t>第</w:t>
      </w:r>
      <w:r>
        <w:rPr>
          <w:rStyle w:val="26"/>
          <w:rFonts w:hint="eastAsia" w:ascii="黑体" w:hAnsi="黑体" w:eastAsia="黑体"/>
        </w:rPr>
        <w:t>四部分 附件</w:t>
      </w:r>
    </w:p>
    <w:p>
      <w:pPr>
        <w:pStyle w:val="3"/>
        <w:spacing w:line="600" w:lineRule="exact"/>
        <w:rPr>
          <w:rStyle w:val="26"/>
          <w:rFonts w:ascii="仿宋" w:hAnsi="仿宋" w:eastAsia="仿宋"/>
          <w:b w:val="0"/>
          <w:bCs w:val="0"/>
          <w:sz w:val="32"/>
          <w:szCs w:val="32"/>
        </w:rPr>
      </w:pPr>
      <w:bookmarkStart w:id="55" w:name="_Toc15396615"/>
      <w:r>
        <w:rPr>
          <w:rStyle w:val="26"/>
          <w:rFonts w:hint="eastAsia" w:ascii="仿宋" w:hAnsi="仿宋" w:eastAsia="仿宋"/>
          <w:b w:val="0"/>
          <w:bCs w:val="0"/>
          <w:sz w:val="32"/>
          <w:szCs w:val="32"/>
        </w:rPr>
        <w:t>附件1</w:t>
      </w:r>
      <w:bookmarkEnd w:id="55"/>
    </w:p>
    <w:p>
      <w:pPr>
        <w:spacing w:line="600" w:lineRule="exact"/>
        <w:jc w:val="center"/>
        <w:outlineLvl w:val="0"/>
        <w:rPr>
          <w:rFonts w:ascii="黑体" w:hAnsi="黑体" w:eastAsia="黑体" w:cs="方正小标宋简体"/>
          <w:sz w:val="36"/>
          <w:szCs w:val="36"/>
        </w:rPr>
      </w:pPr>
      <w:bookmarkStart w:id="56" w:name="_Toc15396616"/>
      <w:r>
        <w:rPr>
          <w:rFonts w:hint="eastAsia" w:ascii="黑体" w:hAnsi="黑体" w:eastAsia="黑体" w:cs="方正小标宋简体"/>
          <w:sz w:val="36"/>
          <w:szCs w:val="36"/>
        </w:rPr>
        <w:t>四川省广元市人民检察院</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2020年部门整体支出绩效评价报告</w:t>
      </w:r>
      <w:bookmarkEnd w:id="56"/>
    </w:p>
    <w:p>
      <w:pPr>
        <w:spacing w:line="600" w:lineRule="exact"/>
        <w:ind w:firstLine="640" w:firstLineChars="200"/>
        <w:rPr>
          <w:rFonts w:ascii="黑体" w:hAnsi="黑体" w:eastAsia="黑体" w:cs="黑体"/>
          <w:sz w:val="32"/>
          <w:szCs w:val="32"/>
        </w:rPr>
      </w:pP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60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p>
    <w:p>
      <w:pPr>
        <w:spacing w:line="600" w:lineRule="exact"/>
        <w:ind w:firstLine="640" w:firstLineChars="200"/>
        <w:rPr>
          <w:rFonts w:ascii="仿宋" w:hAnsi="仿宋" w:eastAsia="仿宋" w:cs="仿宋_GB2312"/>
          <w:sz w:val="32"/>
          <w:szCs w:val="32"/>
        </w:rPr>
      </w:pPr>
      <w:r>
        <w:rPr>
          <w:rFonts w:hint="eastAsia" w:ascii="仿宋" w:hAnsi="仿宋" w:eastAsia="仿宋"/>
          <w:sz w:val="32"/>
          <w:szCs w:val="32"/>
        </w:rPr>
        <w:t>市</w:t>
      </w:r>
      <w:r>
        <w:rPr>
          <w:rFonts w:ascii="仿宋" w:hAnsi="仿宋" w:eastAsia="仿宋"/>
          <w:sz w:val="32"/>
          <w:szCs w:val="32"/>
        </w:rPr>
        <w:t>人民检察院含所属单位</w:t>
      </w:r>
      <w:r>
        <w:rPr>
          <w:rFonts w:hint="eastAsia" w:ascii="仿宋" w:hAnsi="仿宋" w:eastAsia="仿宋"/>
          <w:sz w:val="32"/>
          <w:szCs w:val="32"/>
        </w:rPr>
        <w:t>2</w:t>
      </w:r>
      <w:r>
        <w:rPr>
          <w:rFonts w:ascii="仿宋" w:hAnsi="仿宋" w:eastAsia="仿宋"/>
          <w:sz w:val="32"/>
          <w:szCs w:val="32"/>
        </w:rPr>
        <w:t>个,其中:行政单位</w:t>
      </w:r>
      <w:r>
        <w:rPr>
          <w:rFonts w:hint="eastAsia" w:ascii="仿宋" w:hAnsi="仿宋" w:eastAsia="仿宋"/>
          <w:sz w:val="32"/>
          <w:szCs w:val="32"/>
        </w:rPr>
        <w:t>1个、事业单位1个，</w:t>
      </w:r>
      <w:r>
        <w:rPr>
          <w:rFonts w:ascii="仿宋" w:hAnsi="仿宋" w:eastAsia="仿宋"/>
          <w:sz w:val="32"/>
          <w:szCs w:val="32"/>
        </w:rPr>
        <w:t>分别是四川省</w:t>
      </w:r>
      <w:r>
        <w:rPr>
          <w:rFonts w:hint="eastAsia" w:ascii="仿宋" w:hAnsi="仿宋" w:eastAsia="仿宋"/>
          <w:sz w:val="32"/>
          <w:szCs w:val="32"/>
        </w:rPr>
        <w:t>广元市</w:t>
      </w:r>
      <w:r>
        <w:rPr>
          <w:rFonts w:ascii="仿宋" w:hAnsi="仿宋" w:eastAsia="仿宋"/>
          <w:sz w:val="32"/>
          <w:szCs w:val="32"/>
        </w:rPr>
        <w:t>人民检察院机关</w:t>
      </w:r>
      <w:r>
        <w:rPr>
          <w:rFonts w:hint="eastAsia" w:ascii="仿宋" w:hAnsi="仿宋" w:eastAsia="仿宋"/>
          <w:sz w:val="32"/>
          <w:szCs w:val="32"/>
        </w:rPr>
        <w:t>，广元市人民检察官培训中心。市检察院机关下设内设机构17个，机关党委（办）1个。</w:t>
      </w:r>
      <w:r>
        <w:rPr>
          <w:rFonts w:hint="eastAsia" w:ascii="仿宋" w:hAnsi="仿宋" w:eastAsia="仿宋" w:cs="仿宋_GB2312"/>
          <w:sz w:val="32"/>
          <w:szCs w:val="32"/>
        </w:rPr>
        <w:t>院内设机构</w:t>
      </w:r>
      <w:r>
        <w:rPr>
          <w:rFonts w:ascii="仿宋" w:hAnsi="仿宋" w:eastAsia="仿宋" w:cs="仿宋_GB2312"/>
          <w:sz w:val="32"/>
          <w:szCs w:val="32"/>
        </w:rPr>
        <w:t>1</w:t>
      </w:r>
      <w:r>
        <w:rPr>
          <w:rFonts w:hint="eastAsia" w:ascii="仿宋" w:hAnsi="仿宋" w:eastAsia="仿宋" w:cs="仿宋_GB2312"/>
          <w:sz w:val="32"/>
          <w:szCs w:val="32"/>
        </w:rPr>
        <w:t>7个：政治部、干部处、综合处、宣教处、警务处、办公室、检务督查部、计划部、法律政策研究室、一部、二部、三部、四部、五部、六部、七部、案件管理办公室。</w:t>
      </w:r>
    </w:p>
    <w:p>
      <w:pPr>
        <w:spacing w:line="600" w:lineRule="exact"/>
        <w:ind w:firstLine="640" w:firstLineChars="200"/>
        <w:rPr>
          <w:rFonts w:ascii="仿宋" w:hAnsi="仿宋" w:eastAsia="仿宋" w:cs="仿宋_GB2312"/>
          <w:sz w:val="32"/>
          <w:szCs w:val="32"/>
        </w:rPr>
      </w:pPr>
      <w:r>
        <w:rPr>
          <w:rFonts w:ascii="仿宋" w:hAnsi="仿宋" w:eastAsia="仿宋" w:cs="仿宋_GB2312"/>
          <w:sz w:val="32"/>
          <w:szCs w:val="32"/>
        </w:rPr>
        <w:t>（二）机构职能。</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广元市人民检察院通过行使国家检察权来完成自己的任务。对于危害国家安全案、危害公共安全案、侵犯公民人身权利、民主权利和其他重大犯罪案件，行使检察权；对于公安机关侦查的案件进行审查，决定是否逮捕、起诉或者不起诉；对于刑事案件提起公诉、支持公诉；对于公安机关、人民法院和监狱、看守所、劳动改造机关的活动是否合法，实行监督。</w:t>
      </w:r>
    </w:p>
    <w:p>
      <w:pPr>
        <w:spacing w:line="600" w:lineRule="exact"/>
        <w:ind w:firstLine="640" w:firstLineChars="200"/>
        <w:rPr>
          <w:rFonts w:ascii="仿宋" w:hAnsi="仿宋" w:eastAsia="仿宋" w:cs="仿宋_GB2312"/>
          <w:sz w:val="32"/>
          <w:szCs w:val="32"/>
        </w:rPr>
      </w:pPr>
      <w:r>
        <w:rPr>
          <w:rFonts w:ascii="仿宋" w:hAnsi="仿宋" w:eastAsia="仿宋" w:cs="仿宋_GB2312"/>
          <w:sz w:val="32"/>
          <w:szCs w:val="32"/>
        </w:rPr>
        <w:t>（三）人员概况。</w:t>
      </w:r>
    </w:p>
    <w:p>
      <w:pPr>
        <w:pStyle w:val="12"/>
        <w:spacing w:line="600" w:lineRule="exact"/>
        <w:ind w:firstLine="640" w:firstLineChars="200"/>
        <w:jc w:val="both"/>
        <w:rPr>
          <w:rFonts w:ascii="仿宋" w:hAnsi="仿宋" w:eastAsia="仿宋"/>
          <w:sz w:val="32"/>
          <w:szCs w:val="32"/>
        </w:rPr>
      </w:pPr>
      <w:r>
        <w:rPr>
          <w:rFonts w:hint="eastAsia" w:ascii="仿宋" w:hAnsi="仿宋" w:eastAsia="仿宋"/>
          <w:sz w:val="32"/>
          <w:szCs w:val="32"/>
        </w:rPr>
        <w:t>我院现有编制119人，其中：专项编制94人，事业编制25人。年末在职在册实有人数110人,</w:t>
      </w:r>
      <w:r>
        <w:rPr>
          <w:rFonts w:ascii="仿宋" w:hAnsi="仿宋" w:eastAsia="仿宋"/>
          <w:sz w:val="32"/>
          <w:szCs w:val="32"/>
        </w:rPr>
        <w:t xml:space="preserve"> </w:t>
      </w:r>
      <w:r>
        <w:rPr>
          <w:rFonts w:hint="eastAsia" w:ascii="仿宋" w:hAnsi="仿宋" w:eastAsia="仿宋"/>
          <w:sz w:val="32"/>
          <w:szCs w:val="32"/>
        </w:rPr>
        <w:t>聘用人员29人。2020年新增公务员8人，退休3人，调出3人；2020年新增聘用制书记员18人。</w:t>
      </w:r>
    </w:p>
    <w:p>
      <w:pPr>
        <w:spacing w:line="60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60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20年本年收入合计3548.11万元，其中：一般预算财政拨款收入3544.55万元，占99.9</w:t>
      </w:r>
      <w:r>
        <w:rPr>
          <w:rFonts w:ascii="仿宋" w:hAnsi="仿宋" w:eastAsia="仿宋"/>
          <w:color w:val="000000"/>
          <w:sz w:val="32"/>
          <w:szCs w:val="32"/>
        </w:rPr>
        <w:t>%</w:t>
      </w:r>
      <w:r>
        <w:rPr>
          <w:rFonts w:hint="eastAsia" w:ascii="仿宋" w:hAnsi="仿宋" w:eastAsia="仿宋"/>
          <w:color w:val="000000"/>
          <w:sz w:val="32"/>
          <w:szCs w:val="32"/>
        </w:rPr>
        <w:t>；其他收入3.56万元，占0.1%。</w:t>
      </w:r>
    </w:p>
    <w:p>
      <w:pPr>
        <w:spacing w:line="600" w:lineRule="exact"/>
        <w:ind w:firstLine="640" w:firstLineChars="200"/>
        <w:rPr>
          <w:rFonts w:ascii="仿宋" w:hAnsi="仿宋" w:eastAsia="仿宋" w:cs="仿宋_GB2312"/>
          <w:sz w:val="32"/>
          <w:szCs w:val="32"/>
        </w:rPr>
      </w:pPr>
      <w:r>
        <w:rPr>
          <w:rFonts w:ascii="仿宋" w:hAnsi="仿宋" w:eastAsia="仿宋" w:cs="仿宋_GB2312"/>
          <w:sz w:val="32"/>
          <w:szCs w:val="32"/>
        </w:rPr>
        <w:t>（二）部门财政资金支出情况。</w:t>
      </w:r>
    </w:p>
    <w:p>
      <w:pPr>
        <w:spacing w:line="600" w:lineRule="exact"/>
        <w:ind w:firstLine="640"/>
        <w:rPr>
          <w:rFonts w:ascii="仿宋" w:hAnsi="仿宋" w:eastAsia="仿宋"/>
          <w:color w:val="000000"/>
          <w:sz w:val="32"/>
          <w:szCs w:val="32"/>
          <w:shd w:val="pct10" w:color="auto" w:fill="FFFFFF"/>
        </w:rPr>
      </w:pPr>
      <w:r>
        <w:rPr>
          <w:rFonts w:ascii="仿宋" w:hAnsi="仿宋" w:eastAsia="仿宋"/>
          <w:color w:val="000000"/>
          <w:sz w:val="32"/>
          <w:szCs w:val="32"/>
        </w:rPr>
        <w:t>20</w:t>
      </w:r>
      <w:r>
        <w:rPr>
          <w:rFonts w:hint="eastAsia" w:ascii="仿宋" w:hAnsi="仿宋" w:eastAsia="仿宋"/>
          <w:color w:val="000000"/>
          <w:sz w:val="32"/>
          <w:szCs w:val="32"/>
        </w:rPr>
        <w:t>20年本年支出合计3301.23万元，其中：基本支出2360.04万元，占71.49</w:t>
      </w:r>
      <w:r>
        <w:rPr>
          <w:rFonts w:ascii="仿宋" w:hAnsi="仿宋" w:eastAsia="仿宋"/>
          <w:color w:val="000000"/>
          <w:sz w:val="32"/>
          <w:szCs w:val="32"/>
        </w:rPr>
        <w:t>%</w:t>
      </w:r>
      <w:r>
        <w:rPr>
          <w:rFonts w:hint="eastAsia" w:ascii="仿宋" w:hAnsi="仿宋" w:eastAsia="仿宋"/>
          <w:color w:val="000000"/>
          <w:sz w:val="32"/>
          <w:szCs w:val="32"/>
        </w:rPr>
        <w:t>；项目支出941.19万元，占28.51</w:t>
      </w:r>
      <w:r>
        <w:rPr>
          <w:rFonts w:ascii="仿宋" w:hAnsi="仿宋" w:eastAsia="仿宋"/>
          <w:color w:val="000000"/>
          <w:sz w:val="32"/>
          <w:szCs w:val="32"/>
        </w:rPr>
        <w:t>%</w:t>
      </w:r>
      <w:r>
        <w:rPr>
          <w:rFonts w:hint="eastAsia" w:ascii="仿宋" w:hAnsi="仿宋" w:eastAsia="仿宋"/>
          <w:color w:val="000000"/>
          <w:sz w:val="32"/>
          <w:szCs w:val="32"/>
        </w:rPr>
        <w:t>。</w:t>
      </w:r>
      <w:r>
        <w:rPr>
          <w:rFonts w:ascii="仿宋" w:hAnsi="仿宋" w:eastAsia="仿宋"/>
          <w:color w:val="000000"/>
          <w:sz w:val="32"/>
          <w:szCs w:val="32"/>
          <w:shd w:val="pct10" w:color="auto" w:fill="FFFFFF"/>
        </w:rPr>
        <w:t xml:space="preserve"> </w:t>
      </w:r>
    </w:p>
    <w:p>
      <w:pPr>
        <w:spacing w:line="60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w:t>
      </w:r>
    </w:p>
    <w:p>
      <w:pPr>
        <w:spacing w:line="60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600" w:lineRule="exact"/>
        <w:ind w:firstLine="640" w:firstLineChars="200"/>
        <w:rPr>
          <w:rFonts w:ascii="仿宋" w:hAnsi="仿宋" w:eastAsia="仿宋" w:cs="仿宋_GB2312"/>
          <w:sz w:val="32"/>
          <w:szCs w:val="32"/>
        </w:rPr>
      </w:pPr>
      <w:r>
        <w:rPr>
          <w:rFonts w:ascii="仿宋" w:hAnsi="仿宋" w:eastAsia="仿宋" w:cs="仿宋_GB2312"/>
          <w:sz w:val="32"/>
          <w:szCs w:val="32"/>
        </w:rPr>
        <w:t>按照国家相关法律法规，</w:t>
      </w:r>
      <w:r>
        <w:rPr>
          <w:rFonts w:hint="eastAsia" w:ascii="仿宋" w:hAnsi="仿宋" w:eastAsia="仿宋" w:cs="仿宋_GB2312"/>
          <w:sz w:val="32"/>
          <w:szCs w:val="32"/>
        </w:rPr>
        <w:t>我院党组结合我院实际</w:t>
      </w:r>
      <w:r>
        <w:rPr>
          <w:rFonts w:ascii="仿宋" w:hAnsi="仿宋" w:eastAsia="仿宋" w:cs="仿宋_GB2312"/>
          <w:sz w:val="32"/>
          <w:szCs w:val="32"/>
        </w:rPr>
        <w:t>制定了机关财务、</w:t>
      </w:r>
      <w:r>
        <w:rPr>
          <w:rFonts w:hint="eastAsia" w:ascii="仿宋" w:hAnsi="仿宋" w:eastAsia="仿宋" w:cs="仿宋_GB2312"/>
          <w:sz w:val="32"/>
          <w:szCs w:val="32"/>
        </w:rPr>
        <w:t>办公用品</w:t>
      </w:r>
      <w:r>
        <w:rPr>
          <w:rFonts w:ascii="仿宋" w:hAnsi="仿宋" w:eastAsia="仿宋" w:cs="仿宋_GB2312"/>
          <w:sz w:val="32"/>
          <w:szCs w:val="32"/>
        </w:rPr>
        <w:t>购置使用、接待、会务、差旅等管理制度，</w:t>
      </w:r>
      <w:r>
        <w:rPr>
          <w:rFonts w:hint="eastAsia" w:ascii="仿宋" w:hAnsi="仿宋" w:eastAsia="仿宋" w:cs="仿宋_GB2312"/>
          <w:sz w:val="32"/>
          <w:szCs w:val="32"/>
        </w:rPr>
        <w:t>并以此为契机，以节约为原则确立绩效目标。在预算编制中，我院细化各项开支，较为准确地反应了各项开支。在支出时，我院</w:t>
      </w:r>
      <w:r>
        <w:rPr>
          <w:rFonts w:ascii="仿宋" w:hAnsi="仿宋" w:eastAsia="仿宋" w:cs="仿宋_GB2312"/>
          <w:sz w:val="32"/>
          <w:szCs w:val="32"/>
        </w:rPr>
        <w:t>严格按照制度管理和执行，防范风险，保证财政资金的安全和高效运行。</w:t>
      </w:r>
      <w:r>
        <w:rPr>
          <w:rFonts w:hint="eastAsia" w:ascii="仿宋" w:hAnsi="仿宋" w:eastAsia="仿宋" w:cs="仿宋_GB2312"/>
          <w:sz w:val="32"/>
          <w:szCs w:val="32"/>
        </w:rPr>
        <w:t>全年无违规事件发生</w:t>
      </w:r>
      <w:r>
        <w:rPr>
          <w:rFonts w:ascii="仿宋" w:hAnsi="仿宋" w:eastAsia="仿宋" w:cs="仿宋_GB2312"/>
          <w:sz w:val="32"/>
          <w:szCs w:val="32"/>
        </w:rPr>
        <w:t>。</w:t>
      </w:r>
    </w:p>
    <w:p>
      <w:pPr>
        <w:spacing w:line="600" w:lineRule="exact"/>
        <w:ind w:firstLine="640" w:firstLineChars="200"/>
        <w:rPr>
          <w:rFonts w:ascii="仿宋" w:hAnsi="仿宋" w:eastAsia="仿宋" w:cs="仿宋_GB2312"/>
          <w:sz w:val="32"/>
          <w:szCs w:val="32"/>
        </w:rPr>
      </w:pPr>
      <w:r>
        <w:rPr>
          <w:rFonts w:ascii="仿宋" w:hAnsi="仿宋" w:eastAsia="仿宋" w:cs="仿宋_GB2312"/>
          <w:sz w:val="32"/>
          <w:szCs w:val="32"/>
        </w:rPr>
        <w:t>（</w:t>
      </w:r>
      <w:r>
        <w:rPr>
          <w:rFonts w:hint="eastAsia" w:ascii="仿宋" w:hAnsi="仿宋" w:eastAsia="仿宋" w:cs="仿宋_GB2312"/>
          <w:sz w:val="32"/>
          <w:szCs w:val="32"/>
        </w:rPr>
        <w:t>二</w:t>
      </w:r>
      <w:r>
        <w:rPr>
          <w:rFonts w:ascii="仿宋" w:hAnsi="仿宋" w:eastAsia="仿宋" w:cs="仿宋_GB2312"/>
          <w:sz w:val="32"/>
          <w:szCs w:val="32"/>
        </w:rPr>
        <w:t>）结果应用情况。</w:t>
      </w:r>
    </w:p>
    <w:p>
      <w:pPr>
        <w:spacing w:line="600" w:lineRule="exact"/>
        <w:ind w:firstLine="640" w:firstLineChars="200"/>
        <w:rPr>
          <w:rFonts w:ascii="仿宋" w:hAnsi="仿宋" w:eastAsia="仿宋" w:cs="仿宋_GB2312"/>
          <w:sz w:val="32"/>
          <w:szCs w:val="32"/>
        </w:rPr>
      </w:pPr>
      <w:r>
        <w:rPr>
          <w:rFonts w:ascii="仿宋" w:hAnsi="仿宋" w:eastAsia="仿宋" w:cs="仿宋_GB2312"/>
          <w:sz w:val="32"/>
          <w:szCs w:val="32"/>
        </w:rPr>
        <w:t>包括部门自评质量、绩效目标公开和自评公开、评价结果整改和应用结果反馈等情况。</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本年预算配置控制较好，财政供养人员控制在预算编制以内，实际在职人员数与编制数相同；“三公”经费支出与预算持平。</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预算执行方面，支出总额控制在预算总额以内，基本支出中财政政策性工资有所追加，本年部门预算未进行预算相关事项的调整；预算资金按规定管理使用，财政拨款支出总体控制较好。</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预算管理方面，制定了切实有效的内部财务、资产内部管理制度，执行总体较为有效。</w:t>
      </w:r>
    </w:p>
    <w:p>
      <w:pPr>
        <w:spacing w:line="60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600" w:lineRule="exact"/>
        <w:ind w:firstLine="640" w:firstLineChars="200"/>
        <w:rPr>
          <w:rFonts w:ascii="仿宋" w:hAnsi="仿宋" w:eastAsia="仿宋" w:cs="仿宋_GB2312"/>
          <w:sz w:val="32"/>
          <w:szCs w:val="32"/>
        </w:rPr>
      </w:pPr>
      <w:bookmarkStart w:id="57" w:name="_Toc15396617"/>
      <w:r>
        <w:rPr>
          <w:rFonts w:ascii="仿宋" w:hAnsi="仿宋" w:eastAsia="仿宋" w:cs="仿宋_GB2312"/>
          <w:sz w:val="32"/>
          <w:szCs w:val="32"/>
        </w:rPr>
        <w:t>（一）评价结论。</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广元市人民检察院</w:t>
      </w:r>
      <w:r>
        <w:rPr>
          <w:rFonts w:ascii="仿宋" w:hAnsi="仿宋" w:eastAsia="仿宋" w:cs="仿宋_GB2312"/>
          <w:sz w:val="32"/>
          <w:szCs w:val="32"/>
        </w:rPr>
        <w:t>整体支出，严格按照国家的相关财务管理制度规定，财务制度健全、会计核算规范，依照计划管理使用。按照部门整体支出绩效评价指标体系</w:t>
      </w:r>
      <w:r>
        <w:rPr>
          <w:rFonts w:hint="eastAsia" w:ascii="仿宋" w:hAnsi="仿宋" w:eastAsia="仿宋" w:cs="仿宋_GB2312"/>
          <w:sz w:val="32"/>
          <w:szCs w:val="32"/>
        </w:rPr>
        <w:t>得出结果为</w:t>
      </w:r>
      <w:r>
        <w:rPr>
          <w:rFonts w:ascii="仿宋" w:hAnsi="仿宋" w:eastAsia="仿宋" w:cs="仿宋_GB2312"/>
          <w:sz w:val="32"/>
          <w:szCs w:val="32"/>
        </w:rPr>
        <w:t>良好。</w:t>
      </w:r>
    </w:p>
    <w:p>
      <w:pPr>
        <w:numPr>
          <w:ilvl w:val="0"/>
          <w:numId w:val="3"/>
        </w:numPr>
        <w:spacing w:line="600" w:lineRule="exact"/>
        <w:ind w:firstLine="640" w:firstLineChars="200"/>
        <w:rPr>
          <w:rFonts w:ascii="仿宋" w:hAnsi="仿宋" w:eastAsia="仿宋" w:cs="仿宋_GB2312"/>
          <w:sz w:val="32"/>
          <w:szCs w:val="32"/>
        </w:rPr>
      </w:pPr>
      <w:r>
        <w:rPr>
          <w:rFonts w:ascii="仿宋" w:hAnsi="仿宋" w:eastAsia="仿宋" w:cs="仿宋_GB2312"/>
          <w:sz w:val="32"/>
          <w:szCs w:val="32"/>
        </w:rPr>
        <w:t>存在问题。</w:t>
      </w:r>
    </w:p>
    <w:p>
      <w:pPr>
        <w:spacing w:line="600" w:lineRule="exact"/>
        <w:ind w:firstLine="640" w:firstLineChars="200"/>
        <w:rPr>
          <w:rFonts w:ascii="仿宋" w:hAnsi="仿宋" w:eastAsia="仿宋" w:cs="仿宋_GB2312"/>
          <w:sz w:val="32"/>
          <w:szCs w:val="32"/>
        </w:rPr>
      </w:pPr>
      <w:r>
        <w:rPr>
          <w:rFonts w:hint="eastAsia" w:ascii="宋体" w:hAnsi="宋体" w:cs="宋体"/>
          <w:sz w:val="32"/>
          <w:szCs w:val="32"/>
        </w:rPr>
        <w:t> </w:t>
      </w:r>
      <w:r>
        <w:rPr>
          <w:rFonts w:hint="eastAsia" w:ascii="仿宋" w:hAnsi="仿宋" w:eastAsia="仿宋" w:cs="仿宋"/>
          <w:sz w:val="32"/>
          <w:szCs w:val="32"/>
        </w:rPr>
        <w:t xml:space="preserve"> </w:t>
      </w:r>
      <w:r>
        <w:rPr>
          <w:rFonts w:hint="eastAsia" w:ascii="仿宋" w:hAnsi="仿宋" w:eastAsia="仿宋" w:cs="仿宋_GB2312"/>
          <w:sz w:val="32"/>
          <w:szCs w:val="32"/>
        </w:rPr>
        <w:t>一是预算编制有待提高，预算编制与实际支出项目有的存在差异。</w:t>
      </w:r>
    </w:p>
    <w:p>
      <w:pPr>
        <w:spacing w:line="600" w:lineRule="exact"/>
        <w:ind w:firstLine="640" w:firstLineChars="200"/>
        <w:rPr>
          <w:rFonts w:ascii="仿宋" w:hAnsi="仿宋" w:eastAsia="仿宋" w:cs="仿宋_GB2312"/>
          <w:sz w:val="32"/>
          <w:szCs w:val="32"/>
        </w:rPr>
      </w:pPr>
      <w:r>
        <w:rPr>
          <w:rFonts w:hint="eastAsia" w:ascii="宋体" w:hAnsi="宋体" w:cs="宋体"/>
          <w:sz w:val="32"/>
          <w:szCs w:val="32"/>
        </w:rPr>
        <w:t> </w:t>
      </w:r>
      <w:r>
        <w:rPr>
          <w:rFonts w:hint="eastAsia" w:ascii="仿宋" w:hAnsi="仿宋" w:eastAsia="仿宋" w:cs="仿宋_GB2312"/>
          <w:sz w:val="32"/>
          <w:szCs w:val="32"/>
        </w:rPr>
        <w:t>二是各检察业务项目更加细化，每年检察工作重心有所不同，需在重点工作上加大预算。</w:t>
      </w:r>
    </w:p>
    <w:p>
      <w:pPr>
        <w:spacing w:line="600" w:lineRule="exact"/>
        <w:ind w:firstLine="640" w:firstLineChars="200"/>
        <w:rPr>
          <w:rFonts w:ascii="仿宋" w:hAnsi="仿宋" w:eastAsia="仿宋" w:cs="仿宋_GB2312"/>
          <w:sz w:val="32"/>
          <w:szCs w:val="32"/>
        </w:rPr>
      </w:pPr>
      <w:r>
        <w:rPr>
          <w:rFonts w:ascii="仿宋" w:hAnsi="仿宋" w:eastAsia="仿宋" w:cs="仿宋_GB2312"/>
          <w:sz w:val="32"/>
          <w:szCs w:val="32"/>
        </w:rPr>
        <w:t>（三）改进建议。</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 一是按照预算规定的项目和用途严格财务审核，在预算金额内严格控制费用的支出。</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 二是预算财务分析常态化，定期做好预算支出财务分析，做好部门整体支出预算评价工作。</w:t>
      </w:r>
    </w:p>
    <w:p>
      <w:pPr>
        <w:spacing w:line="600" w:lineRule="exact"/>
        <w:ind w:firstLine="421" w:firstLineChars="200"/>
        <w:rPr>
          <w:rFonts w:cs="仿宋_GB2312"/>
          <w:b/>
          <w:bCs/>
        </w:rPr>
      </w:pPr>
    </w:p>
    <w:bookmarkEnd w:id="57"/>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52"/>
          <w:szCs w:val="52"/>
        </w:rPr>
      </w:pPr>
      <w:r>
        <w:rPr>
          <w:rFonts w:ascii="黑体" w:hAnsi="黑体" w:eastAsia="黑体"/>
          <w:color w:val="000000"/>
          <w:sz w:val="52"/>
          <w:szCs w:val="52"/>
        </w:rPr>
        <w:t>2020</w:t>
      </w:r>
      <w:r>
        <w:rPr>
          <w:rFonts w:hint="eastAsia" w:ascii="方正小标宋简体" w:hAnsi="宋体" w:eastAsia="方正小标宋简体"/>
          <w:color w:val="000000"/>
          <w:sz w:val="52"/>
          <w:szCs w:val="52"/>
        </w:rPr>
        <w:t>年度</w:t>
      </w:r>
    </w:p>
    <w:p>
      <w:pPr>
        <w:adjustRightInd w:val="0"/>
        <w:snapToGrid w:val="0"/>
        <w:spacing w:line="360" w:lineRule="auto"/>
        <w:jc w:val="center"/>
        <w:outlineLvl w:val="0"/>
        <w:rPr>
          <w:rFonts w:ascii="方正小标宋简体" w:hAnsi="宋体" w:eastAsia="方正小标宋简体"/>
          <w:color w:val="000000"/>
          <w:sz w:val="52"/>
          <w:szCs w:val="52"/>
        </w:rPr>
      </w:pPr>
      <w:r>
        <w:rPr>
          <w:rFonts w:hint="eastAsia" w:ascii="方正小标宋简体" w:hAnsi="宋体" w:eastAsia="方正小标宋简体"/>
          <w:color w:val="000000"/>
          <w:sz w:val="52"/>
          <w:szCs w:val="52"/>
        </w:rPr>
        <w:t>广元市人民检察院部门决算项目绩效评价报告</w:t>
      </w:r>
    </w:p>
    <w:p>
      <w:pPr>
        <w:widowControl/>
        <w:jc w:val="left"/>
        <w:rPr>
          <w:rFonts w:ascii="仿宋_GB2312" w:hAnsi="仿宋_GB2312" w:eastAsia="仿宋_GB2312" w:cs="仿宋_GB2312"/>
          <w:sz w:val="32"/>
          <w:szCs w:val="32"/>
        </w:rPr>
      </w:pPr>
      <w:r>
        <w:rPr>
          <w:rFonts w:ascii="方正小标宋简体" w:hAnsi="宋体" w:eastAsia="方正小标宋简体"/>
          <w:color w:val="000000"/>
          <w:sz w:val="36"/>
          <w:szCs w:val="36"/>
        </w:rPr>
        <w:br w:type="page"/>
      </w:r>
      <w:r>
        <w:rPr>
          <w:rFonts w:hint="eastAsia" w:ascii="黑体" w:hAnsi="黑体" w:eastAsia="黑体" w:cs="黑体"/>
          <w:sz w:val="32"/>
          <w:szCs w:val="32"/>
        </w:rPr>
        <w:t>附件</w:t>
      </w:r>
      <w:r>
        <w:rPr>
          <w:rFonts w:ascii="黑体" w:hAnsi="黑体" w:eastAsia="黑体" w:cs="黑体"/>
          <w:sz w:val="32"/>
          <w:szCs w:val="32"/>
        </w:rPr>
        <w:t>2</w:t>
      </w:r>
    </w:p>
    <w:p>
      <w:pPr>
        <w:spacing w:line="580" w:lineRule="exact"/>
        <w:ind w:firstLine="640" w:firstLineChars="200"/>
        <w:rPr>
          <w:rFonts w:ascii="仿宋_GB2312" w:hAnsi="仿宋_GB2312" w:eastAsia="仿宋_GB2312" w:cs="仿宋_GB2312"/>
          <w:sz w:val="32"/>
          <w:szCs w:val="32"/>
        </w:rPr>
      </w:pPr>
    </w:p>
    <w:p>
      <w:pPr>
        <w:spacing w:line="600" w:lineRule="exact"/>
        <w:jc w:val="center"/>
        <w:rPr>
          <w:rFonts w:ascii="方正小标宋简体" w:hAnsi="宋体" w:eastAsia="方正小标宋简体"/>
          <w:color w:val="000000"/>
          <w:kern w:val="0"/>
          <w:sz w:val="44"/>
          <w:szCs w:val="44"/>
          <w:lang w:val="zh-CN"/>
        </w:rPr>
      </w:pPr>
      <w:r>
        <w:rPr>
          <w:rFonts w:hint="eastAsia" w:ascii="黑体" w:hAnsi="黑体" w:eastAsia="黑体" w:cs="方正小标宋简体"/>
          <w:sz w:val="44"/>
          <w:szCs w:val="44"/>
        </w:rPr>
        <w:t>检察监督</w:t>
      </w:r>
      <w:r>
        <w:rPr>
          <w:rFonts w:hint="eastAsia" w:ascii="方正小标宋简体" w:hAnsi="宋体" w:eastAsia="方正小标宋简体"/>
          <w:color w:val="000000"/>
          <w:kern w:val="0"/>
          <w:sz w:val="44"/>
          <w:szCs w:val="44"/>
          <w:lang w:val="zh-CN"/>
        </w:rPr>
        <w:t>项目</w:t>
      </w: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rPr>
        <w:t>2020年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 w:hAnsi="楷体" w:eastAsia="楷体"/>
          <w:sz w:val="32"/>
          <w:szCs w:val="32"/>
          <w:lang w:val="zh-CN"/>
        </w:rPr>
      </w:pPr>
      <w:r>
        <w:rPr>
          <w:rFonts w:hint="eastAsia" w:ascii="楷体" w:hAnsi="楷体" w:eastAsia="楷体"/>
          <w:sz w:val="32"/>
          <w:szCs w:val="32"/>
          <w:lang w:val="zh-CN"/>
        </w:rPr>
        <w:t>（一）项目基本情况。</w:t>
      </w:r>
    </w:p>
    <w:p>
      <w:pPr>
        <w:adjustRightInd w:val="0"/>
        <w:snapToGrid w:val="0"/>
        <w:spacing w:line="600" w:lineRule="exact"/>
        <w:ind w:firstLine="720"/>
        <w:rPr>
          <w:rFonts w:ascii="仿宋" w:hAnsi="仿宋" w:eastAsia="仿宋" w:cs="仿宋_GB2312"/>
          <w:b/>
          <w:sz w:val="32"/>
          <w:szCs w:val="32"/>
        </w:rPr>
      </w:pPr>
      <w:r>
        <w:rPr>
          <w:rFonts w:ascii="仿宋" w:hAnsi="仿宋" w:eastAsia="仿宋" w:cs="仿宋_GB2312"/>
          <w:b/>
          <w:sz w:val="32"/>
          <w:szCs w:val="32"/>
        </w:rPr>
        <w:t>1</w:t>
      </w:r>
      <w:r>
        <w:rPr>
          <w:rFonts w:hint="eastAsia" w:ascii="仿宋" w:hAnsi="仿宋" w:eastAsia="仿宋" w:cs="仿宋_GB2312"/>
          <w:b/>
          <w:sz w:val="32"/>
          <w:szCs w:val="32"/>
        </w:rPr>
        <w:t>．说明项目主管部门（单位）在该项目管理中的职能。</w:t>
      </w:r>
    </w:p>
    <w:p>
      <w:pPr>
        <w:adjustRightInd w:val="0"/>
        <w:snapToGrid w:val="0"/>
        <w:spacing w:line="600" w:lineRule="exact"/>
        <w:ind w:firstLine="720"/>
        <w:rPr>
          <w:rFonts w:ascii="仿宋_GB2312" w:hAnsi="宋体" w:eastAsia="仿宋_GB2312"/>
          <w:sz w:val="32"/>
          <w:szCs w:val="32"/>
          <w:lang w:val="zh-CN"/>
        </w:rPr>
      </w:pPr>
      <w:r>
        <w:rPr>
          <w:rFonts w:ascii="仿宋" w:hAnsi="仿宋" w:eastAsia="仿宋" w:cs="仿宋_GB2312"/>
          <w:sz w:val="32"/>
          <w:szCs w:val="32"/>
        </w:rPr>
        <w:t>依法定职权</w:t>
      </w:r>
      <w:r>
        <w:rPr>
          <w:rFonts w:hint="eastAsia" w:ascii="仿宋" w:hAnsi="仿宋" w:eastAsia="仿宋" w:cs="仿宋_GB2312"/>
          <w:sz w:val="32"/>
          <w:szCs w:val="32"/>
        </w:rPr>
        <w:t>开展批准逮捕、公诉与审判监督、执行监督、控告申诉、行政公益诉讼、民事行政诉讼、未成年人刑事检察、刑事执行检察业务、技术检验鉴定、</w:t>
      </w:r>
      <w:r>
        <w:rPr>
          <w:rFonts w:ascii="仿宋" w:hAnsi="仿宋" w:eastAsia="仿宋" w:cs="仿宋_GB2312"/>
          <w:sz w:val="32"/>
          <w:szCs w:val="32"/>
        </w:rPr>
        <w:t>决定向人民法院提起公诉、出庭支持公诉或依法决定不起诉的诉讼活动。</w:t>
      </w:r>
      <w:r>
        <w:rPr>
          <w:rFonts w:hint="eastAsia" w:ascii="仿宋" w:hAnsi="仿宋" w:eastAsia="仿宋" w:cs="仿宋_GB2312"/>
          <w:sz w:val="32"/>
          <w:szCs w:val="32"/>
        </w:rPr>
        <w:t>公诉和审判监督是检察院主职主业，是检察业务的基本。检察监督项目资金是开展各项检察业务工作支出</w:t>
      </w:r>
      <w:r>
        <w:rPr>
          <w:rFonts w:hint="eastAsia" w:ascii="仿宋_GB2312" w:hAnsi="宋体" w:eastAsia="仿宋_GB2312"/>
          <w:sz w:val="32"/>
          <w:szCs w:val="32"/>
        </w:rPr>
        <w:t>。</w:t>
      </w:r>
    </w:p>
    <w:p>
      <w:pPr>
        <w:adjustRightInd w:val="0"/>
        <w:snapToGrid w:val="0"/>
        <w:spacing w:line="600" w:lineRule="exact"/>
        <w:ind w:firstLine="720"/>
        <w:rPr>
          <w:rFonts w:ascii="仿宋" w:hAnsi="仿宋" w:eastAsia="仿宋"/>
          <w:b/>
          <w:sz w:val="32"/>
          <w:szCs w:val="32"/>
          <w:lang w:val="zh-CN"/>
        </w:rPr>
      </w:pPr>
      <w:r>
        <w:rPr>
          <w:rFonts w:ascii="仿宋" w:hAnsi="仿宋" w:eastAsia="仿宋"/>
          <w:b/>
          <w:sz w:val="32"/>
          <w:szCs w:val="32"/>
          <w:lang w:val="zh-CN"/>
        </w:rPr>
        <w:t>2</w:t>
      </w:r>
      <w:r>
        <w:rPr>
          <w:rFonts w:hint="eastAsia" w:ascii="仿宋" w:hAnsi="仿宋" w:eastAsia="仿宋"/>
          <w:b/>
          <w:sz w:val="32"/>
          <w:szCs w:val="32"/>
          <w:lang w:val="zh-CN"/>
        </w:rPr>
        <w:t>．项目立项、资金申报的依据。</w:t>
      </w:r>
    </w:p>
    <w:p>
      <w:pPr>
        <w:adjustRightInd w:val="0"/>
        <w:snapToGrid w:val="0"/>
        <w:spacing w:line="600" w:lineRule="exact"/>
        <w:ind w:firstLine="720"/>
        <w:rPr>
          <w:rFonts w:ascii="仿宋_GB2312" w:hAnsi="宋体" w:eastAsia="仿宋_GB2312"/>
          <w:sz w:val="32"/>
          <w:szCs w:val="32"/>
          <w:lang w:val="zh-CN"/>
        </w:rPr>
      </w:pPr>
      <w:r>
        <w:rPr>
          <w:rFonts w:ascii="仿宋" w:hAnsi="仿宋" w:eastAsia="仿宋" w:cs="仿宋_GB2312"/>
          <w:sz w:val="32"/>
          <w:szCs w:val="32"/>
        </w:rPr>
        <w:t>为了</w:t>
      </w:r>
      <w:r>
        <w:rPr>
          <w:rFonts w:hint="eastAsia" w:ascii="仿宋" w:hAnsi="仿宋" w:eastAsia="仿宋" w:cs="仿宋_GB2312"/>
          <w:sz w:val="32"/>
          <w:szCs w:val="32"/>
        </w:rPr>
        <w:t>更好地行使公诉权、加强法律监督</w:t>
      </w:r>
      <w:r>
        <w:rPr>
          <w:rFonts w:ascii="仿宋" w:hAnsi="仿宋" w:eastAsia="仿宋" w:cs="仿宋_GB2312"/>
          <w:sz w:val="32"/>
          <w:szCs w:val="32"/>
        </w:rPr>
        <w:t>，</w:t>
      </w:r>
      <w:r>
        <w:rPr>
          <w:rFonts w:hint="eastAsia" w:ascii="仿宋" w:hAnsi="仿宋" w:eastAsia="仿宋" w:cs="仿宋_GB2312"/>
          <w:sz w:val="32"/>
          <w:szCs w:val="32"/>
        </w:rPr>
        <w:t>依据</w:t>
      </w:r>
      <w:r>
        <w:rPr>
          <w:rFonts w:ascii="仿宋" w:hAnsi="仿宋" w:eastAsia="仿宋" w:cs="仿宋_GB2312"/>
          <w:sz w:val="32"/>
          <w:szCs w:val="32"/>
        </w:rPr>
        <w:t>《中华人民共和国民事诉讼法》《中华人民共和国行政诉讼法》等有关规定，</w:t>
      </w:r>
      <w:r>
        <w:rPr>
          <w:rFonts w:hint="eastAsia" w:ascii="仿宋" w:hAnsi="仿宋" w:eastAsia="仿宋" w:cs="仿宋_GB2312"/>
          <w:sz w:val="32"/>
          <w:szCs w:val="32"/>
        </w:rPr>
        <w:t>我院设立了检察监督项目。</w:t>
      </w:r>
    </w:p>
    <w:p>
      <w:pPr>
        <w:adjustRightInd w:val="0"/>
        <w:snapToGrid w:val="0"/>
        <w:spacing w:line="600" w:lineRule="exact"/>
        <w:ind w:firstLine="720"/>
        <w:rPr>
          <w:rFonts w:ascii="仿宋" w:hAnsi="仿宋" w:eastAsia="仿宋"/>
          <w:b/>
          <w:sz w:val="32"/>
          <w:szCs w:val="32"/>
          <w:lang w:val="zh-CN"/>
        </w:rPr>
      </w:pPr>
      <w:r>
        <w:rPr>
          <w:rFonts w:ascii="仿宋" w:hAnsi="仿宋" w:eastAsia="仿宋"/>
          <w:b/>
          <w:sz w:val="32"/>
          <w:szCs w:val="32"/>
          <w:lang w:val="zh-CN"/>
        </w:rPr>
        <w:t>3</w:t>
      </w:r>
      <w:r>
        <w:rPr>
          <w:rFonts w:hint="eastAsia" w:ascii="仿宋" w:hAnsi="仿宋" w:eastAsia="仿宋"/>
          <w:b/>
          <w:sz w:val="32"/>
          <w:szCs w:val="32"/>
          <w:lang w:val="zh-CN"/>
        </w:rPr>
        <w:t>．资金管理办法制定情况，资金支持具体项目的条件、范围与支持方式概况。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检察监督项目包括依法开展批准逮捕、公诉与审判监督、执行监督、控告申诉、行政公益诉讼、民事行政诉讼、未成年人刑事检察、刑事执行检察业务等工作的支出。采用</w:t>
      </w:r>
      <w:r>
        <w:rPr>
          <w:rFonts w:ascii="仿宋" w:hAnsi="仿宋" w:eastAsia="仿宋" w:cs="仿宋_GB2312"/>
          <w:sz w:val="32"/>
          <w:szCs w:val="32"/>
        </w:rPr>
        <w:t>财政</w:t>
      </w:r>
      <w:r>
        <w:rPr>
          <w:rFonts w:hint="eastAsia" w:ascii="仿宋" w:hAnsi="仿宋" w:eastAsia="仿宋" w:cs="仿宋_GB2312"/>
          <w:sz w:val="32"/>
          <w:szCs w:val="32"/>
        </w:rPr>
        <w:t>国库</w:t>
      </w:r>
      <w:r>
        <w:rPr>
          <w:rFonts w:ascii="仿宋" w:hAnsi="仿宋" w:eastAsia="仿宋" w:cs="仿宋_GB2312"/>
          <w:sz w:val="32"/>
          <w:szCs w:val="32"/>
        </w:rPr>
        <w:t>集中支付</w:t>
      </w:r>
      <w:r>
        <w:rPr>
          <w:rFonts w:hint="eastAsia" w:ascii="仿宋" w:hAnsi="仿宋" w:eastAsia="仿宋" w:cs="仿宋_GB2312"/>
          <w:sz w:val="32"/>
          <w:szCs w:val="32"/>
        </w:rPr>
        <w:t>，严格按照预算执行专款专用，科学计划资金使用进度，每笔支出力求规范、合理。</w:t>
      </w:r>
    </w:p>
    <w:p>
      <w:pPr>
        <w:adjustRightInd w:val="0"/>
        <w:snapToGrid w:val="0"/>
        <w:spacing w:line="600" w:lineRule="exact"/>
        <w:ind w:firstLine="720"/>
        <w:rPr>
          <w:rFonts w:ascii="仿宋" w:hAnsi="仿宋" w:eastAsia="仿宋"/>
          <w:b/>
          <w:sz w:val="32"/>
          <w:szCs w:val="32"/>
          <w:lang w:val="zh-CN"/>
        </w:rPr>
      </w:pPr>
      <w:r>
        <w:rPr>
          <w:rFonts w:ascii="仿宋" w:hAnsi="仿宋" w:eastAsia="仿宋"/>
          <w:b/>
          <w:sz w:val="32"/>
          <w:szCs w:val="32"/>
          <w:lang w:val="zh-CN"/>
        </w:rPr>
        <w:t>4</w:t>
      </w:r>
      <w:r>
        <w:rPr>
          <w:rFonts w:hint="eastAsia" w:ascii="仿宋" w:hAnsi="仿宋" w:eastAsia="仿宋"/>
          <w:b/>
          <w:sz w:val="32"/>
          <w:szCs w:val="32"/>
          <w:lang w:val="zh-CN"/>
        </w:rPr>
        <w:t>．资金分配的原则及考虑因素。</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资金使用坚持先审批后支付的原则，</w:t>
      </w:r>
      <w:r>
        <w:rPr>
          <w:rFonts w:ascii="仿宋" w:hAnsi="仿宋" w:eastAsia="仿宋" w:cs="仿宋_GB2312"/>
          <w:sz w:val="32"/>
          <w:szCs w:val="32"/>
        </w:rPr>
        <w:t>对</w:t>
      </w:r>
      <w:r>
        <w:rPr>
          <w:rFonts w:hint="eastAsia" w:ascii="仿宋" w:hAnsi="仿宋" w:eastAsia="仿宋" w:cs="仿宋_GB2312"/>
          <w:sz w:val="32"/>
          <w:szCs w:val="32"/>
        </w:rPr>
        <w:t>检察监督</w:t>
      </w:r>
      <w:r>
        <w:rPr>
          <w:rFonts w:ascii="仿宋" w:hAnsi="仿宋" w:eastAsia="仿宋" w:cs="仿宋_GB2312"/>
          <w:sz w:val="32"/>
          <w:szCs w:val="32"/>
        </w:rPr>
        <w:t>专项资金建立严格的支付审批程序，加强内控管理，规范会计核算，对资金使用程序严格控制把关。</w:t>
      </w:r>
      <w:r>
        <w:rPr>
          <w:rFonts w:hint="eastAsia" w:ascii="仿宋" w:hAnsi="仿宋" w:eastAsia="仿宋" w:cs="仿宋_GB2312"/>
          <w:sz w:val="32"/>
          <w:szCs w:val="32"/>
        </w:rPr>
        <w:t>充分考虑</w:t>
      </w:r>
      <w:r>
        <w:rPr>
          <w:rFonts w:ascii="仿宋" w:hAnsi="仿宋" w:eastAsia="仿宋" w:cs="仿宋_GB2312"/>
          <w:sz w:val="32"/>
          <w:szCs w:val="32"/>
        </w:rPr>
        <w:t>项目申报立项、资金拨付与会计处理、资金到位、项目资金使用绩效评价等各个环节，从源头上予以规范，确保程序完整，操作合法合规。</w:t>
      </w:r>
    </w:p>
    <w:p>
      <w:pPr>
        <w:adjustRightInd w:val="0"/>
        <w:snapToGrid w:val="0"/>
        <w:spacing w:line="600" w:lineRule="exact"/>
        <w:ind w:firstLine="720"/>
        <w:rPr>
          <w:rFonts w:ascii="楷体" w:hAnsi="楷体" w:eastAsia="楷体"/>
          <w:sz w:val="32"/>
          <w:szCs w:val="32"/>
          <w:lang w:val="zh-CN"/>
        </w:rPr>
      </w:pPr>
      <w:r>
        <w:rPr>
          <w:rFonts w:hint="eastAsia" w:ascii="楷体" w:hAnsi="楷体" w:eastAsia="楷体"/>
          <w:sz w:val="32"/>
          <w:szCs w:val="32"/>
          <w:lang w:val="zh-CN"/>
        </w:rPr>
        <w:t>（二）项目绩效目标。</w:t>
      </w:r>
    </w:p>
    <w:p>
      <w:pPr>
        <w:adjustRightInd w:val="0"/>
        <w:snapToGrid w:val="0"/>
        <w:spacing w:line="600" w:lineRule="exact"/>
        <w:ind w:firstLine="720"/>
        <w:rPr>
          <w:rFonts w:ascii="仿宋" w:hAnsi="仿宋" w:eastAsia="仿宋"/>
          <w:b/>
          <w:sz w:val="32"/>
          <w:szCs w:val="32"/>
          <w:lang w:val="zh-CN"/>
        </w:rPr>
      </w:pPr>
      <w:r>
        <w:rPr>
          <w:rFonts w:ascii="仿宋" w:hAnsi="仿宋" w:eastAsia="仿宋"/>
          <w:b/>
          <w:sz w:val="32"/>
          <w:szCs w:val="32"/>
          <w:lang w:val="zh-CN"/>
        </w:rPr>
        <w:t>1</w:t>
      </w:r>
      <w:r>
        <w:rPr>
          <w:rFonts w:hint="eastAsia" w:ascii="仿宋" w:hAnsi="仿宋" w:eastAsia="仿宋"/>
          <w:b/>
          <w:sz w:val="32"/>
          <w:szCs w:val="32"/>
          <w:lang w:val="zh-CN"/>
        </w:rPr>
        <w:t>．项目主要内容。</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调查虚假及公益诉讼线索，收集、固定证据；就专业技术问题委托鉴定、审计及咨询专家；依法提起公诉。</w:t>
      </w:r>
    </w:p>
    <w:p>
      <w:pPr>
        <w:adjustRightInd w:val="0"/>
        <w:snapToGrid w:val="0"/>
        <w:spacing w:line="600" w:lineRule="exact"/>
        <w:ind w:firstLine="720"/>
        <w:rPr>
          <w:rFonts w:ascii="仿宋" w:hAnsi="仿宋" w:eastAsia="仿宋"/>
          <w:b/>
          <w:sz w:val="32"/>
          <w:szCs w:val="32"/>
          <w:lang w:val="zh-CN"/>
        </w:rPr>
      </w:pPr>
      <w:r>
        <w:rPr>
          <w:rFonts w:ascii="仿宋" w:hAnsi="仿宋" w:eastAsia="仿宋"/>
          <w:b/>
          <w:sz w:val="32"/>
          <w:szCs w:val="32"/>
          <w:lang w:val="zh-CN"/>
        </w:rPr>
        <w:t>2</w:t>
      </w:r>
      <w:r>
        <w:rPr>
          <w:rFonts w:hint="eastAsia" w:ascii="仿宋" w:hAnsi="仿宋" w:eastAsia="仿宋"/>
          <w:b/>
          <w:sz w:val="32"/>
          <w:szCs w:val="32"/>
          <w:lang w:val="zh-CN"/>
        </w:rPr>
        <w:t>．项目应实现的具体绩效目标，包括目标的量化、细化情况以及项目实施进度计划等。</w:t>
      </w:r>
    </w:p>
    <w:p>
      <w:pPr>
        <w:adjustRightInd w:val="0"/>
        <w:snapToGrid w:val="0"/>
        <w:spacing w:line="600" w:lineRule="exact"/>
        <w:ind w:firstLine="720"/>
        <w:rPr>
          <w:rFonts w:ascii="仿宋_GB2312" w:hAnsi="宋体" w:eastAsia="仿宋_GB2312"/>
          <w:sz w:val="32"/>
          <w:szCs w:val="32"/>
          <w:lang w:val="zh-CN"/>
        </w:rPr>
      </w:pPr>
      <w:r>
        <w:rPr>
          <w:rFonts w:hint="eastAsia" w:ascii="仿宋" w:hAnsi="仿宋" w:eastAsia="仿宋" w:cs="仿宋_GB2312"/>
          <w:sz w:val="32"/>
          <w:szCs w:val="32"/>
        </w:rPr>
        <w:t>检察监督为常年性、持续性项目。绩效目标为：积极开展检察业务，各类案件程序合格率100%，实现办案零差错。同时，从项目完成指标、效益指标、满意度指标三个方面进行了细化。项目进展顺利，完成率100%。</w:t>
      </w:r>
    </w:p>
    <w:p>
      <w:pPr>
        <w:adjustRightInd w:val="0"/>
        <w:snapToGrid w:val="0"/>
        <w:spacing w:line="600" w:lineRule="exact"/>
        <w:ind w:firstLine="720"/>
        <w:rPr>
          <w:rFonts w:ascii="仿宋" w:hAnsi="仿宋" w:eastAsia="仿宋"/>
          <w:b/>
          <w:sz w:val="32"/>
          <w:szCs w:val="32"/>
          <w:lang w:val="zh-CN"/>
        </w:rPr>
      </w:pPr>
      <w:r>
        <w:rPr>
          <w:rFonts w:ascii="仿宋" w:hAnsi="仿宋" w:eastAsia="仿宋"/>
          <w:b/>
          <w:sz w:val="32"/>
          <w:szCs w:val="32"/>
          <w:lang w:val="zh-CN"/>
        </w:rPr>
        <w:t>3</w:t>
      </w:r>
      <w:r>
        <w:rPr>
          <w:rFonts w:hint="eastAsia" w:ascii="仿宋" w:hAnsi="仿宋" w:eastAsia="仿宋"/>
          <w:b/>
          <w:sz w:val="32"/>
          <w:szCs w:val="32"/>
          <w:lang w:val="zh-CN"/>
        </w:rPr>
        <w:t>．分析评价申报内容是否与实际相符，申报目标是合理可行。</w:t>
      </w:r>
    </w:p>
    <w:p>
      <w:pPr>
        <w:adjustRightInd w:val="0"/>
        <w:snapToGrid w:val="0"/>
        <w:spacing w:line="600" w:lineRule="exact"/>
        <w:ind w:firstLine="720"/>
        <w:rPr>
          <w:rFonts w:ascii="仿宋_GB2312" w:hAnsi="宋体" w:eastAsia="仿宋_GB2312"/>
          <w:sz w:val="32"/>
          <w:szCs w:val="32"/>
          <w:lang w:val="zh-CN"/>
        </w:rPr>
      </w:pPr>
      <w:r>
        <w:rPr>
          <w:rFonts w:hint="eastAsia" w:ascii="仿宋" w:hAnsi="仿宋" w:eastAsia="仿宋" w:cs="仿宋_GB2312"/>
          <w:sz w:val="32"/>
          <w:szCs w:val="32"/>
        </w:rPr>
        <w:t>绩效目标设置上，我院从收集、上报、筛查、费用控制和可持续发展上明确了合理的目标任务，符合实际。</w:t>
      </w:r>
    </w:p>
    <w:p>
      <w:pPr>
        <w:adjustRightInd w:val="0"/>
        <w:snapToGrid w:val="0"/>
        <w:spacing w:line="600" w:lineRule="exact"/>
        <w:ind w:firstLine="720"/>
        <w:rPr>
          <w:rFonts w:ascii="楷体" w:hAnsi="楷体" w:eastAsia="楷体"/>
          <w:sz w:val="32"/>
          <w:szCs w:val="32"/>
          <w:lang w:val="zh-CN"/>
        </w:rPr>
      </w:pPr>
      <w:r>
        <w:rPr>
          <w:rFonts w:hint="eastAsia" w:ascii="楷体" w:hAnsi="楷体" w:eastAsia="楷体"/>
          <w:sz w:val="32"/>
          <w:szCs w:val="32"/>
          <w:lang w:val="zh-CN"/>
        </w:rPr>
        <w:t>（三）项目自评步骤及方法。</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前期准备：按照绩效自评工作要求，组成以杨红梅同志为组长的绩效评价工作小组，对相关的国家法律法规进行了认真学习，掌握政策，根据案件线索举报奖励支出情况制定了项目支出绩效评价实施方案，设计了绩效评价指标体系。</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组织实施：采用核查法核查2020年同级财政预算批复执行及检察监督项目支出情况，着重核查了案件线索登记册、案件上报记录及内部控制制度情况，根据年初制定的绩效考核目标，进行了实地绩效考评。针对收集线索情况，进行了实地调研和电话走访。</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3.分析评价：对评价过程中收集资料进行归纳，汇总分析，依据案件线索举报项目支出绩效评价指标体系进行了评分，形成了综合性书面报告。</w:t>
      </w:r>
    </w:p>
    <w:p>
      <w:pPr>
        <w:adjustRightInd w:val="0"/>
        <w:snapToGrid w:val="0"/>
        <w:spacing w:line="600" w:lineRule="exact"/>
        <w:ind w:firstLine="720"/>
        <w:rPr>
          <w:rFonts w:ascii="黑体" w:hAnsi="黑体" w:eastAsia="黑体"/>
          <w:sz w:val="32"/>
          <w:szCs w:val="32"/>
        </w:rPr>
      </w:pPr>
      <w:r>
        <w:rPr>
          <w:rFonts w:hint="eastAsia" w:ascii="黑体" w:hAnsi="黑体" w:eastAsia="黑体"/>
          <w:sz w:val="32"/>
          <w:szCs w:val="32"/>
        </w:rPr>
        <w:t>二、项目资金申报及使用情况</w:t>
      </w:r>
    </w:p>
    <w:p>
      <w:pPr>
        <w:adjustRightInd w:val="0"/>
        <w:snapToGrid w:val="0"/>
        <w:spacing w:line="600" w:lineRule="exact"/>
        <w:ind w:firstLine="720"/>
        <w:rPr>
          <w:rFonts w:ascii="楷体" w:hAnsi="楷体" w:eastAsia="楷体"/>
          <w:sz w:val="32"/>
          <w:szCs w:val="32"/>
          <w:lang w:val="zh-CN"/>
        </w:rPr>
      </w:pPr>
      <w:r>
        <w:rPr>
          <w:rFonts w:hint="eastAsia" w:ascii="楷体" w:hAnsi="楷体" w:eastAsia="楷体"/>
          <w:sz w:val="32"/>
          <w:szCs w:val="32"/>
          <w:lang w:val="zh-CN"/>
        </w:rPr>
        <w:t>（一）项目资金申报及批复情况。</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检察监督项目资金年初预算资金281.72万元，并于批复后下达指标。2020年项目实际到位资金281.72万元，总支出281.72万元。未调整预算。</w:t>
      </w:r>
    </w:p>
    <w:p>
      <w:pPr>
        <w:adjustRightInd w:val="0"/>
        <w:snapToGrid w:val="0"/>
        <w:spacing w:line="600" w:lineRule="exact"/>
        <w:ind w:firstLine="720"/>
        <w:rPr>
          <w:rFonts w:ascii="楷体" w:hAnsi="楷体" w:eastAsia="楷体"/>
          <w:sz w:val="32"/>
          <w:szCs w:val="32"/>
          <w:lang w:val="zh-CN"/>
        </w:rPr>
      </w:pPr>
      <w:r>
        <w:rPr>
          <w:rFonts w:hint="eastAsia" w:ascii="楷体" w:hAnsi="楷体" w:eastAsia="楷体"/>
          <w:sz w:val="32"/>
          <w:szCs w:val="32"/>
          <w:lang w:val="zh-CN"/>
        </w:rPr>
        <w:t>（二）资金计划、到位及使用情况（可用表格形式反映）。</w:t>
      </w:r>
    </w:p>
    <w:p>
      <w:pPr>
        <w:adjustRightInd w:val="0"/>
        <w:snapToGrid w:val="0"/>
        <w:spacing w:line="600" w:lineRule="exact"/>
        <w:ind w:firstLine="720"/>
        <w:rPr>
          <w:rFonts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仿宋_GB2312"/>
          <w:sz w:val="32"/>
          <w:szCs w:val="32"/>
        </w:rPr>
        <w:t>．资金计划。检察监督项目资金281.72万元，全部为地方财政拨款。</w:t>
      </w:r>
    </w:p>
    <w:p>
      <w:pPr>
        <w:adjustRightInd w:val="0"/>
        <w:snapToGrid w:val="0"/>
        <w:spacing w:line="600" w:lineRule="exact"/>
        <w:ind w:firstLine="720"/>
        <w:rPr>
          <w:rFonts w:ascii="仿宋" w:hAnsi="仿宋" w:eastAsia="仿宋" w:cs="仿宋_GB2312"/>
          <w:sz w:val="32"/>
          <w:szCs w:val="32"/>
        </w:rPr>
      </w:pPr>
      <w:r>
        <w:rPr>
          <w:rFonts w:ascii="仿宋" w:hAnsi="仿宋" w:eastAsia="仿宋" w:cs="仿宋_GB2312"/>
          <w:sz w:val="32"/>
          <w:szCs w:val="32"/>
        </w:rPr>
        <w:t>2</w:t>
      </w:r>
      <w:r>
        <w:rPr>
          <w:rFonts w:hint="eastAsia" w:ascii="仿宋" w:hAnsi="仿宋" w:eastAsia="仿宋" w:cs="仿宋_GB2312"/>
          <w:sz w:val="32"/>
          <w:szCs w:val="32"/>
        </w:rPr>
        <w:t>．资金到位。截止评价时，检察监督项目资金到位281.72万元，为地方财政拨款。资金到位率100%，该项目资金全部及时、足额到位。</w:t>
      </w:r>
    </w:p>
    <w:p>
      <w:pPr>
        <w:adjustRightInd w:val="0"/>
        <w:snapToGrid w:val="0"/>
        <w:spacing w:line="600" w:lineRule="exact"/>
        <w:ind w:firstLine="720"/>
        <w:rPr>
          <w:rFonts w:ascii="仿宋" w:hAnsi="仿宋" w:eastAsia="仿宋" w:cs="仿宋_GB2312"/>
          <w:sz w:val="32"/>
          <w:szCs w:val="32"/>
        </w:rPr>
      </w:pPr>
      <w:r>
        <w:rPr>
          <w:rFonts w:ascii="仿宋" w:hAnsi="仿宋" w:eastAsia="仿宋" w:cs="仿宋_GB2312"/>
          <w:sz w:val="32"/>
          <w:szCs w:val="32"/>
        </w:rPr>
        <w:t>3</w:t>
      </w:r>
      <w:r>
        <w:rPr>
          <w:rFonts w:hint="eastAsia" w:ascii="仿宋" w:hAnsi="仿宋" w:eastAsia="仿宋" w:cs="仿宋_GB2312"/>
          <w:sz w:val="32"/>
          <w:szCs w:val="32"/>
        </w:rPr>
        <w:t>．资金使用。截止评价时，检察监督支出281.72万元，完成预算率100%。资金支付方式为财政国库集中支付，程序规范、票据齐全，与预算相符。</w:t>
      </w:r>
    </w:p>
    <w:p>
      <w:pPr>
        <w:adjustRightInd w:val="0"/>
        <w:snapToGrid w:val="0"/>
        <w:spacing w:line="600" w:lineRule="exact"/>
        <w:ind w:firstLine="720"/>
        <w:rPr>
          <w:rFonts w:ascii="楷体" w:hAnsi="楷体" w:eastAsia="楷体"/>
          <w:sz w:val="32"/>
          <w:szCs w:val="32"/>
          <w:lang w:val="zh-CN"/>
        </w:rPr>
      </w:pPr>
      <w:r>
        <w:rPr>
          <w:rFonts w:hint="eastAsia" w:ascii="楷体" w:hAnsi="楷体" w:eastAsia="楷体"/>
          <w:sz w:val="32"/>
          <w:szCs w:val="32"/>
          <w:lang w:val="zh-CN"/>
        </w:rPr>
        <w:t>（三）项目财务管理情况。</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检察监督项目我院财务管理制度健全，并严格执行财务管理制度，账务处理及时准确，会计核算规范。</w:t>
      </w:r>
    </w:p>
    <w:p>
      <w:pPr>
        <w:adjustRightInd w:val="0"/>
        <w:snapToGrid w:val="0"/>
        <w:spacing w:line="600" w:lineRule="exact"/>
        <w:ind w:firstLine="720"/>
        <w:rPr>
          <w:rFonts w:ascii="黑体" w:hAnsi="黑体" w:eastAsia="黑体"/>
          <w:sz w:val="32"/>
          <w:szCs w:val="32"/>
        </w:rPr>
      </w:pPr>
      <w:r>
        <w:rPr>
          <w:rFonts w:hint="eastAsia" w:ascii="黑体" w:hAnsi="黑体" w:eastAsia="黑体"/>
          <w:sz w:val="32"/>
          <w:szCs w:val="32"/>
        </w:rPr>
        <w:t>三、项目实施及管理情况</w:t>
      </w:r>
    </w:p>
    <w:p>
      <w:pPr>
        <w:adjustRightInd w:val="0"/>
        <w:snapToGrid w:val="0"/>
        <w:spacing w:line="600" w:lineRule="exact"/>
        <w:ind w:firstLine="720"/>
        <w:rPr>
          <w:rFonts w:ascii="仿宋" w:hAnsi="仿宋" w:eastAsia="仿宋"/>
          <w:sz w:val="32"/>
          <w:szCs w:val="32"/>
          <w:lang w:val="zh-CN"/>
        </w:rPr>
      </w:pPr>
      <w:r>
        <w:rPr>
          <w:rFonts w:hint="eastAsia" w:ascii="仿宋" w:hAnsi="仿宋" w:eastAsia="仿宋"/>
          <w:sz w:val="32"/>
          <w:szCs w:val="32"/>
          <w:lang w:val="zh-CN"/>
        </w:rPr>
        <w:t>结合项目组织实施管理办法，重点围绕以下内容进行分析评价，并对自评中发现的问题分析说明。</w:t>
      </w:r>
    </w:p>
    <w:p>
      <w:pPr>
        <w:adjustRightInd w:val="0"/>
        <w:snapToGrid w:val="0"/>
        <w:spacing w:line="600" w:lineRule="exact"/>
        <w:ind w:firstLine="720"/>
        <w:rPr>
          <w:rFonts w:ascii="仿宋" w:hAnsi="仿宋" w:eastAsia="仿宋"/>
          <w:b/>
          <w:sz w:val="32"/>
          <w:szCs w:val="32"/>
          <w:lang w:val="zh-CN"/>
        </w:rPr>
      </w:pPr>
      <w:r>
        <w:rPr>
          <w:rFonts w:hint="eastAsia" w:ascii="楷体" w:hAnsi="楷体" w:eastAsia="楷体"/>
          <w:sz w:val="32"/>
          <w:szCs w:val="32"/>
          <w:lang w:val="zh-CN"/>
        </w:rPr>
        <w:t>（一）项目组织架构及实施流程。</w:t>
      </w:r>
      <w:r>
        <w:rPr>
          <w:rFonts w:hint="eastAsia" w:ascii="仿宋" w:hAnsi="仿宋" w:eastAsia="仿宋"/>
          <w:sz w:val="32"/>
          <w:szCs w:val="32"/>
          <w:lang w:val="zh-CN"/>
        </w:rPr>
        <w:t>该项目由检察长刘萍部署，分管领导杨红梅负责，部门负责人廖周清组织实施。</w:t>
      </w:r>
    </w:p>
    <w:p>
      <w:pPr>
        <w:adjustRightInd w:val="0"/>
        <w:snapToGrid w:val="0"/>
        <w:spacing w:line="600" w:lineRule="exact"/>
        <w:ind w:firstLine="720"/>
        <w:rPr>
          <w:rFonts w:ascii="仿宋" w:hAnsi="仿宋" w:eastAsia="仿宋"/>
          <w:sz w:val="32"/>
          <w:szCs w:val="32"/>
          <w:lang w:val="zh-CN"/>
        </w:rPr>
      </w:pPr>
      <w:r>
        <w:rPr>
          <w:rFonts w:hint="eastAsia" w:ascii="楷体" w:hAnsi="楷体" w:eastAsia="楷体"/>
          <w:sz w:val="32"/>
          <w:szCs w:val="32"/>
          <w:lang w:val="zh-CN"/>
        </w:rPr>
        <w:t>（二）项目管理情况。</w:t>
      </w:r>
      <w:r>
        <w:rPr>
          <w:rFonts w:hint="eastAsia" w:ascii="仿宋" w:hAnsi="仿宋" w:eastAsia="仿宋"/>
          <w:sz w:val="32"/>
          <w:szCs w:val="32"/>
          <w:lang w:val="zh-CN"/>
        </w:rPr>
        <w:t>检察监督项目实施过程中，严格执行相关法律法规及项目管理制度，资金使用符合规定，项目成果达到预期。</w:t>
      </w:r>
    </w:p>
    <w:p>
      <w:pPr>
        <w:adjustRightInd w:val="0"/>
        <w:snapToGrid w:val="0"/>
        <w:spacing w:line="600" w:lineRule="exact"/>
        <w:ind w:firstLine="720"/>
        <w:rPr>
          <w:rFonts w:ascii="仿宋" w:hAnsi="仿宋" w:eastAsia="仿宋"/>
          <w:sz w:val="32"/>
          <w:szCs w:val="32"/>
        </w:rPr>
      </w:pPr>
      <w:r>
        <w:rPr>
          <w:rFonts w:hint="eastAsia" w:ascii="楷体" w:hAnsi="楷体" w:eastAsia="楷体"/>
          <w:sz w:val="32"/>
          <w:szCs w:val="32"/>
          <w:lang w:val="zh-CN"/>
        </w:rPr>
        <w:t>（三）项目监管情况。</w:t>
      </w:r>
      <w:r>
        <w:rPr>
          <w:rFonts w:hint="eastAsia" w:ascii="仿宋" w:hAnsi="仿宋" w:eastAsia="仿宋"/>
          <w:sz w:val="32"/>
          <w:szCs w:val="32"/>
        </w:rPr>
        <w:t>严格按照预算执行专款专用，科学计划资金使用进度，每笔支出力求规范、合理。</w:t>
      </w:r>
    </w:p>
    <w:p>
      <w:pPr>
        <w:adjustRightInd w:val="0"/>
        <w:snapToGrid w:val="0"/>
        <w:spacing w:line="600" w:lineRule="exact"/>
        <w:ind w:firstLine="720"/>
        <w:rPr>
          <w:rFonts w:ascii="黑体" w:hAnsi="黑体" w:eastAsia="黑体"/>
          <w:sz w:val="32"/>
          <w:szCs w:val="32"/>
          <w:lang w:val="zh-CN"/>
        </w:rPr>
      </w:pPr>
      <w:r>
        <w:rPr>
          <w:rFonts w:hint="eastAsia" w:ascii="黑体" w:hAnsi="黑体" w:eastAsia="黑体"/>
          <w:sz w:val="32"/>
          <w:szCs w:val="32"/>
        </w:rPr>
        <w:t>四、项目绩效情况</w:t>
      </w:r>
      <w:r>
        <w:rPr>
          <w:rFonts w:ascii="黑体" w:hAnsi="黑体" w:eastAsia="黑体"/>
          <w:sz w:val="32"/>
          <w:szCs w:val="32"/>
          <w:lang w:val="zh-CN"/>
        </w:rPr>
        <w:tab/>
      </w:r>
    </w:p>
    <w:p>
      <w:pPr>
        <w:adjustRightInd w:val="0"/>
        <w:snapToGrid w:val="0"/>
        <w:spacing w:line="600" w:lineRule="exact"/>
        <w:ind w:firstLine="720"/>
        <w:rPr>
          <w:rFonts w:ascii="楷体" w:hAnsi="楷体" w:eastAsia="楷体"/>
          <w:sz w:val="32"/>
          <w:szCs w:val="32"/>
          <w:lang w:val="zh-CN"/>
        </w:rPr>
      </w:pPr>
      <w:r>
        <w:rPr>
          <w:rFonts w:hint="eastAsia" w:ascii="楷体" w:hAnsi="楷体" w:eastAsia="楷体"/>
          <w:sz w:val="32"/>
          <w:szCs w:val="32"/>
          <w:lang w:val="zh-CN"/>
        </w:rPr>
        <w:t>（一）项目完成情况。</w:t>
      </w:r>
    </w:p>
    <w:p>
      <w:pPr>
        <w:adjustRightInd w:val="0"/>
        <w:snapToGrid w:val="0"/>
        <w:spacing w:line="600" w:lineRule="exact"/>
        <w:ind w:firstLine="720"/>
        <w:rPr>
          <w:rFonts w:ascii="仿宋" w:hAnsi="仿宋" w:eastAsia="仿宋"/>
          <w:b/>
          <w:sz w:val="32"/>
          <w:szCs w:val="32"/>
          <w:lang w:val="zh-CN"/>
        </w:rPr>
      </w:pPr>
      <w:r>
        <w:rPr>
          <w:rFonts w:hint="eastAsia" w:ascii="仿宋" w:hAnsi="仿宋" w:eastAsia="仿宋"/>
          <w:sz w:val="32"/>
          <w:szCs w:val="32"/>
          <w:lang w:val="zh-CN"/>
        </w:rPr>
        <w:t>检察监督项目达到项目预期，在批捕和公诉案件、未成年人检察、信访纠纷、法律监督等方面收效良好。截止评价时，高质量地完成了年初设定目标，并严格控制支出，未超预算。</w:t>
      </w:r>
    </w:p>
    <w:p>
      <w:pPr>
        <w:adjustRightInd w:val="0"/>
        <w:snapToGrid w:val="0"/>
        <w:spacing w:line="600" w:lineRule="exact"/>
        <w:ind w:firstLine="720"/>
        <w:rPr>
          <w:rFonts w:ascii="楷体" w:hAnsi="楷体" w:eastAsia="楷体"/>
          <w:sz w:val="32"/>
          <w:szCs w:val="32"/>
          <w:lang w:val="zh-CN"/>
        </w:rPr>
      </w:pPr>
      <w:r>
        <w:rPr>
          <w:rFonts w:hint="eastAsia" w:ascii="楷体" w:hAnsi="楷体" w:eastAsia="楷体"/>
          <w:sz w:val="32"/>
          <w:szCs w:val="32"/>
          <w:lang w:val="zh-CN"/>
        </w:rPr>
        <w:t>（二）项目效益情况。</w:t>
      </w:r>
    </w:p>
    <w:p>
      <w:pPr>
        <w:adjustRightInd w:val="0"/>
        <w:snapToGrid w:val="0"/>
        <w:spacing w:line="600" w:lineRule="exact"/>
        <w:ind w:firstLine="720"/>
        <w:rPr>
          <w:rFonts w:ascii="仿宋" w:hAnsi="仿宋" w:eastAsia="仿宋"/>
          <w:sz w:val="32"/>
          <w:szCs w:val="32"/>
          <w:lang w:val="zh-CN"/>
        </w:rPr>
      </w:pPr>
      <w:r>
        <w:rPr>
          <w:rFonts w:hint="eastAsia" w:ascii="仿宋" w:hAnsi="仿宋" w:eastAsia="仿宋"/>
          <w:sz w:val="32"/>
          <w:szCs w:val="32"/>
          <w:lang w:val="zh-CN"/>
        </w:rPr>
        <w:t>通过该项目，完善了检察环节轻微刑事案件从宽处理机制，深化了刑事和解、检调对接工作，积极开展公益诉讼。2020年，我院围绕监督主责，严守公平正义防线，确保监管不缺位。</w:t>
      </w:r>
    </w:p>
    <w:p>
      <w:pPr>
        <w:adjustRightInd w:val="0"/>
        <w:snapToGrid w:val="0"/>
        <w:spacing w:line="600" w:lineRule="exact"/>
        <w:ind w:firstLine="720"/>
        <w:rPr>
          <w:rFonts w:ascii="黑体" w:hAnsi="黑体" w:eastAsia="黑体"/>
          <w:sz w:val="32"/>
          <w:szCs w:val="32"/>
        </w:rPr>
      </w:pPr>
      <w:r>
        <w:rPr>
          <w:rFonts w:hint="eastAsia" w:ascii="黑体" w:hAnsi="黑体" w:eastAsia="黑体"/>
          <w:sz w:val="32"/>
          <w:szCs w:val="32"/>
        </w:rPr>
        <w:t>五、评价结论及建议</w:t>
      </w:r>
    </w:p>
    <w:p>
      <w:pPr>
        <w:adjustRightInd w:val="0"/>
        <w:snapToGrid w:val="0"/>
        <w:spacing w:line="600" w:lineRule="exact"/>
        <w:ind w:firstLine="720"/>
        <w:rPr>
          <w:rFonts w:ascii="楷体" w:hAnsi="楷体" w:eastAsia="楷体"/>
          <w:sz w:val="32"/>
          <w:szCs w:val="32"/>
          <w:lang w:val="zh-CN"/>
        </w:rPr>
      </w:pPr>
      <w:r>
        <w:rPr>
          <w:rFonts w:hint="eastAsia" w:ascii="楷体" w:hAnsi="楷体" w:eastAsia="楷体"/>
          <w:sz w:val="32"/>
          <w:szCs w:val="32"/>
          <w:lang w:val="zh-CN"/>
        </w:rPr>
        <w:t>（一）评价结论。</w:t>
      </w:r>
    </w:p>
    <w:p>
      <w:pPr>
        <w:spacing w:line="580" w:lineRule="exact"/>
        <w:ind w:firstLine="640" w:firstLineChars="200"/>
        <w:rPr>
          <w:rFonts w:ascii="仿宋" w:hAnsi="仿宋" w:eastAsia="仿宋" w:cs="仿宋_GB2312"/>
          <w:sz w:val="32"/>
          <w:szCs w:val="32"/>
        </w:rPr>
      </w:pPr>
      <w:r>
        <w:rPr>
          <w:rFonts w:ascii="仿宋" w:hAnsi="仿宋" w:eastAsia="仿宋"/>
          <w:sz w:val="32"/>
          <w:szCs w:val="32"/>
          <w:lang w:val="zh-CN"/>
        </w:rPr>
        <w:t>项目目标完成情况</w:t>
      </w:r>
      <w:r>
        <w:rPr>
          <w:rFonts w:hint="eastAsia" w:ascii="仿宋" w:hAnsi="仿宋" w:eastAsia="仿宋"/>
          <w:sz w:val="32"/>
          <w:szCs w:val="32"/>
          <w:lang w:val="zh-CN"/>
        </w:rPr>
        <w:t>良好</w:t>
      </w:r>
      <w:r>
        <w:rPr>
          <w:rFonts w:ascii="仿宋" w:hAnsi="仿宋" w:eastAsia="仿宋"/>
          <w:sz w:val="32"/>
          <w:szCs w:val="32"/>
          <w:lang w:val="zh-CN"/>
        </w:rPr>
        <w:t>，</w:t>
      </w:r>
      <w:r>
        <w:rPr>
          <w:rFonts w:hint="eastAsia" w:ascii="仿宋" w:hAnsi="仿宋" w:eastAsia="仿宋"/>
          <w:sz w:val="32"/>
          <w:szCs w:val="32"/>
          <w:lang w:val="zh-CN"/>
        </w:rPr>
        <w:t>达成了</w:t>
      </w:r>
      <w:r>
        <w:rPr>
          <w:rFonts w:ascii="仿宋" w:hAnsi="仿宋" w:eastAsia="仿宋"/>
          <w:sz w:val="32"/>
          <w:szCs w:val="32"/>
          <w:lang w:val="zh-CN"/>
        </w:rPr>
        <w:t>项目社会效益</w:t>
      </w:r>
      <w:r>
        <w:rPr>
          <w:rFonts w:hint="eastAsia" w:ascii="仿宋" w:hAnsi="仿宋" w:eastAsia="仿宋"/>
          <w:sz w:val="32"/>
          <w:szCs w:val="32"/>
          <w:lang w:val="zh-CN"/>
        </w:rPr>
        <w:t>，利于开展各项检察工作。实现办案零差错，</w:t>
      </w:r>
      <w:r>
        <w:rPr>
          <w:rFonts w:ascii="仿宋" w:hAnsi="仿宋" w:eastAsia="仿宋"/>
          <w:sz w:val="32"/>
          <w:szCs w:val="32"/>
          <w:lang w:val="zh-CN"/>
        </w:rPr>
        <w:t>受益群体</w:t>
      </w:r>
      <w:r>
        <w:rPr>
          <w:rFonts w:hint="eastAsia" w:ascii="仿宋" w:hAnsi="仿宋" w:eastAsia="仿宋"/>
          <w:sz w:val="32"/>
          <w:szCs w:val="32"/>
          <w:lang w:val="zh-CN"/>
        </w:rPr>
        <w:t>给予肯定。</w:t>
      </w:r>
    </w:p>
    <w:p>
      <w:pPr>
        <w:adjustRightInd w:val="0"/>
        <w:snapToGrid w:val="0"/>
        <w:spacing w:line="600" w:lineRule="exact"/>
        <w:ind w:firstLine="720"/>
        <w:rPr>
          <w:rFonts w:ascii="楷体" w:hAnsi="楷体" w:eastAsia="楷体"/>
          <w:sz w:val="32"/>
          <w:szCs w:val="32"/>
          <w:lang w:val="zh-CN"/>
        </w:rPr>
      </w:pPr>
      <w:r>
        <w:rPr>
          <w:rFonts w:hint="eastAsia" w:ascii="楷体" w:hAnsi="楷体" w:eastAsia="楷体"/>
          <w:sz w:val="32"/>
          <w:szCs w:val="32"/>
          <w:lang w:val="zh-CN"/>
        </w:rPr>
        <w:t>（二）存在的问题。</w:t>
      </w:r>
    </w:p>
    <w:p>
      <w:pPr>
        <w:adjustRightInd w:val="0"/>
        <w:snapToGrid w:val="0"/>
        <w:spacing w:line="600" w:lineRule="exact"/>
        <w:ind w:firstLine="720"/>
        <w:rPr>
          <w:rFonts w:ascii="仿宋" w:hAnsi="仿宋" w:eastAsia="仿宋"/>
          <w:sz w:val="32"/>
          <w:szCs w:val="32"/>
          <w:lang w:val="zh-CN"/>
        </w:rPr>
      </w:pPr>
      <w:r>
        <w:rPr>
          <w:rFonts w:hint="eastAsia" w:ascii="仿宋" w:hAnsi="仿宋" w:eastAsia="仿宋"/>
          <w:sz w:val="32"/>
          <w:szCs w:val="32"/>
          <w:lang w:val="zh-CN"/>
        </w:rPr>
        <w:t>随着高科技手段的运用，办案难度大、周期长，投入经费较多。随着公益诉讼等检察重点工作推进，项目经费实难周全。</w:t>
      </w:r>
    </w:p>
    <w:p>
      <w:pPr>
        <w:adjustRightInd w:val="0"/>
        <w:snapToGrid w:val="0"/>
        <w:spacing w:line="600" w:lineRule="exact"/>
        <w:ind w:firstLine="720"/>
        <w:rPr>
          <w:rFonts w:ascii="楷体" w:hAnsi="楷体" w:eastAsia="楷体"/>
          <w:sz w:val="32"/>
          <w:szCs w:val="32"/>
          <w:lang w:val="zh-CN"/>
        </w:rPr>
      </w:pPr>
      <w:r>
        <w:rPr>
          <w:rFonts w:hint="eastAsia" w:ascii="楷体" w:hAnsi="楷体" w:eastAsia="楷体"/>
          <w:sz w:val="32"/>
          <w:szCs w:val="32"/>
          <w:lang w:val="zh-CN"/>
        </w:rPr>
        <w:t>（三）相关建议。</w:t>
      </w:r>
    </w:p>
    <w:p>
      <w:pPr>
        <w:adjustRightInd w:val="0"/>
        <w:snapToGrid w:val="0"/>
        <w:spacing w:line="600" w:lineRule="exact"/>
        <w:ind w:firstLine="640" w:firstLineChars="200"/>
        <w:rPr>
          <w:rFonts w:ascii="仿宋" w:hAnsi="仿宋" w:eastAsia="仿宋"/>
          <w:sz w:val="32"/>
          <w:szCs w:val="32"/>
          <w:lang w:val="zh-CN"/>
        </w:rPr>
      </w:pPr>
      <w:r>
        <w:rPr>
          <w:rFonts w:hint="eastAsia" w:ascii="仿宋" w:hAnsi="仿宋" w:eastAsia="仿宋"/>
          <w:sz w:val="32"/>
          <w:szCs w:val="32"/>
          <w:lang w:val="zh-CN"/>
        </w:rPr>
        <w:t>继续做好资金管理，响应政府“过紧日子”的号召，同时争取重点项目财政拨款。</w:t>
      </w:r>
    </w:p>
    <w:p>
      <w:pPr>
        <w:spacing w:line="600" w:lineRule="exact"/>
        <w:jc w:val="left"/>
        <w:outlineLvl w:val="0"/>
        <w:rPr>
          <w:rFonts w:ascii="仿宋" w:hAnsi="仿宋" w:eastAsia="仿宋" w:cs="仿宋_GB2312"/>
          <w:sz w:val="32"/>
          <w:szCs w:val="32"/>
        </w:rPr>
      </w:pPr>
    </w:p>
    <w:p>
      <w:pPr>
        <w:spacing w:line="600" w:lineRule="exact"/>
        <w:jc w:val="left"/>
        <w:outlineLvl w:val="0"/>
        <w:rPr>
          <w:rFonts w:ascii="仿宋" w:hAnsi="仿宋" w:eastAsia="仿宋" w:cs="仿宋_GB2312"/>
          <w:sz w:val="32"/>
          <w:szCs w:val="32"/>
        </w:rPr>
      </w:pPr>
    </w:p>
    <w:p>
      <w:pPr>
        <w:spacing w:line="600" w:lineRule="exact"/>
        <w:jc w:val="center"/>
        <w:rPr>
          <w:rFonts w:ascii="黑体" w:hAnsi="黑体" w:eastAsia="黑体" w:cs="方正小标宋简体"/>
          <w:sz w:val="44"/>
          <w:szCs w:val="44"/>
        </w:rPr>
      </w:pPr>
    </w:p>
    <w:p>
      <w:pPr>
        <w:spacing w:line="600" w:lineRule="exact"/>
        <w:jc w:val="center"/>
        <w:rPr>
          <w:rFonts w:ascii="黑体" w:hAnsi="黑体" w:eastAsia="黑体" w:cs="方正小标宋简体"/>
          <w:sz w:val="44"/>
          <w:szCs w:val="44"/>
        </w:rPr>
      </w:pPr>
    </w:p>
    <w:p>
      <w:pPr>
        <w:spacing w:line="600" w:lineRule="exact"/>
        <w:jc w:val="center"/>
        <w:rPr>
          <w:rFonts w:ascii="黑体" w:hAnsi="黑体" w:eastAsia="黑体" w:cs="方正小标宋简体"/>
          <w:sz w:val="44"/>
          <w:szCs w:val="44"/>
        </w:rPr>
      </w:pPr>
    </w:p>
    <w:p>
      <w:pPr>
        <w:spacing w:line="600" w:lineRule="exact"/>
        <w:jc w:val="center"/>
        <w:rPr>
          <w:rFonts w:ascii="黑体" w:hAnsi="黑体" w:eastAsia="黑体" w:cs="方正小标宋简体"/>
          <w:sz w:val="44"/>
          <w:szCs w:val="44"/>
        </w:rPr>
      </w:pPr>
    </w:p>
    <w:p>
      <w:pPr>
        <w:spacing w:line="600" w:lineRule="exact"/>
        <w:jc w:val="center"/>
        <w:rPr>
          <w:rFonts w:ascii="黑体" w:hAnsi="黑体" w:eastAsia="黑体" w:cs="方正小标宋简体"/>
          <w:sz w:val="44"/>
          <w:szCs w:val="44"/>
        </w:rPr>
      </w:pPr>
    </w:p>
    <w:p>
      <w:pPr>
        <w:spacing w:line="600" w:lineRule="exact"/>
        <w:jc w:val="center"/>
        <w:rPr>
          <w:rFonts w:ascii="黑体" w:hAnsi="黑体" w:eastAsia="黑体" w:cs="方正小标宋简体"/>
          <w:sz w:val="44"/>
          <w:szCs w:val="44"/>
        </w:rPr>
      </w:pPr>
    </w:p>
    <w:p>
      <w:pPr>
        <w:spacing w:line="600" w:lineRule="exact"/>
        <w:jc w:val="center"/>
        <w:rPr>
          <w:rFonts w:ascii="黑体" w:hAnsi="黑体" w:eastAsia="黑体" w:cs="方正小标宋简体"/>
          <w:sz w:val="44"/>
          <w:szCs w:val="44"/>
        </w:rPr>
      </w:pPr>
    </w:p>
    <w:p>
      <w:pPr>
        <w:spacing w:line="600" w:lineRule="exact"/>
        <w:jc w:val="center"/>
        <w:rPr>
          <w:rFonts w:ascii="黑体" w:hAnsi="黑体" w:eastAsia="黑体" w:cs="方正小标宋简体"/>
          <w:sz w:val="44"/>
          <w:szCs w:val="44"/>
        </w:rPr>
      </w:pPr>
    </w:p>
    <w:p>
      <w:pPr>
        <w:spacing w:line="600" w:lineRule="exact"/>
        <w:jc w:val="center"/>
        <w:rPr>
          <w:rFonts w:ascii="黑体" w:hAnsi="黑体" w:eastAsia="黑体" w:cs="方正小标宋简体"/>
          <w:sz w:val="44"/>
          <w:szCs w:val="44"/>
        </w:rPr>
      </w:pPr>
    </w:p>
    <w:p>
      <w:pPr>
        <w:spacing w:line="600" w:lineRule="exact"/>
        <w:jc w:val="center"/>
        <w:rPr>
          <w:rFonts w:ascii="方正小标宋简体" w:hAnsi="宋体" w:eastAsia="方正小标宋简体"/>
          <w:color w:val="000000"/>
          <w:kern w:val="0"/>
          <w:sz w:val="44"/>
          <w:szCs w:val="44"/>
          <w:lang w:val="zh-CN"/>
        </w:rPr>
      </w:pPr>
      <w:r>
        <w:rPr>
          <w:rFonts w:hint="eastAsia" w:ascii="黑体" w:hAnsi="黑体" w:eastAsia="黑体" w:cs="方正小标宋简体"/>
          <w:sz w:val="44"/>
          <w:szCs w:val="44"/>
        </w:rPr>
        <w:t>“扫黑除恶”专项工作</w:t>
      </w:r>
      <w:r>
        <w:rPr>
          <w:rFonts w:hint="eastAsia" w:ascii="方正小标宋简体" w:hAnsi="宋体" w:eastAsia="方正小标宋简体"/>
          <w:color w:val="000000"/>
          <w:kern w:val="0"/>
          <w:sz w:val="44"/>
          <w:szCs w:val="44"/>
          <w:lang w:val="zh-CN"/>
        </w:rPr>
        <w:t>项目</w:t>
      </w: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rPr>
        <w:t>2020年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 w:hAnsi="楷体" w:eastAsia="楷体"/>
          <w:sz w:val="32"/>
          <w:szCs w:val="32"/>
          <w:lang w:val="zh-CN"/>
        </w:rPr>
      </w:pPr>
      <w:r>
        <w:rPr>
          <w:rFonts w:hint="eastAsia" w:ascii="楷体" w:hAnsi="楷体" w:eastAsia="楷体"/>
          <w:sz w:val="32"/>
          <w:szCs w:val="32"/>
          <w:lang w:val="zh-CN"/>
        </w:rPr>
        <w:t>（一）项目基本情况。</w:t>
      </w:r>
    </w:p>
    <w:p>
      <w:pPr>
        <w:adjustRightInd w:val="0"/>
        <w:snapToGrid w:val="0"/>
        <w:spacing w:line="600" w:lineRule="exact"/>
        <w:ind w:firstLine="720"/>
        <w:rPr>
          <w:rFonts w:ascii="仿宋" w:hAnsi="仿宋" w:eastAsia="仿宋"/>
          <w:b/>
          <w:sz w:val="32"/>
          <w:szCs w:val="32"/>
          <w:lang w:val="zh-CN"/>
        </w:rPr>
      </w:pPr>
      <w:r>
        <w:rPr>
          <w:rFonts w:hint="eastAsia" w:ascii="仿宋" w:hAnsi="仿宋" w:eastAsia="仿宋"/>
          <w:b/>
          <w:sz w:val="32"/>
          <w:szCs w:val="32"/>
          <w:lang w:val="zh-CN"/>
        </w:rPr>
        <w:t>1．说明项目主管部门（单位）在该项目管理中的职能。</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强化组织保障，突出打击重点、依法快捕快诉、注重引导侦查，强化检察监督，依法从严从快批捕黑恶势力犯罪案件。提前介入引导侦查、固定证据，对侦查活动违法行为提出书面纠正，并完成交办案件。</w:t>
      </w:r>
    </w:p>
    <w:p>
      <w:pPr>
        <w:adjustRightInd w:val="0"/>
        <w:snapToGrid w:val="0"/>
        <w:spacing w:line="600" w:lineRule="exact"/>
        <w:ind w:firstLine="720"/>
        <w:rPr>
          <w:rFonts w:ascii="仿宋" w:hAnsi="仿宋" w:eastAsia="仿宋"/>
          <w:b/>
          <w:sz w:val="32"/>
          <w:szCs w:val="32"/>
          <w:lang w:val="zh-CN"/>
        </w:rPr>
      </w:pPr>
      <w:r>
        <w:rPr>
          <w:rFonts w:hint="eastAsia" w:ascii="仿宋" w:hAnsi="仿宋" w:eastAsia="仿宋"/>
          <w:b/>
          <w:sz w:val="32"/>
          <w:szCs w:val="32"/>
          <w:lang w:val="zh-CN"/>
        </w:rPr>
        <w:t>2．项目立项、资金申报的依据。</w:t>
      </w:r>
    </w:p>
    <w:p>
      <w:pPr>
        <w:adjustRightInd w:val="0"/>
        <w:snapToGrid w:val="0"/>
        <w:spacing w:line="600" w:lineRule="exact"/>
        <w:ind w:firstLine="720"/>
        <w:rPr>
          <w:rFonts w:ascii="仿宋_GB2312" w:hAnsi="宋体" w:eastAsia="仿宋_GB2312"/>
          <w:sz w:val="32"/>
          <w:szCs w:val="32"/>
          <w:lang w:val="zh-CN"/>
        </w:rPr>
      </w:pPr>
      <w:r>
        <w:rPr>
          <w:rFonts w:hint="eastAsia" w:ascii="仿宋" w:hAnsi="仿宋" w:eastAsia="仿宋" w:cs="仿宋_GB2312"/>
          <w:sz w:val="32"/>
          <w:szCs w:val="32"/>
        </w:rPr>
        <w:t>按市委市政府“扫黑除恶”工作部署，我院纵深推进扫黑除恶专项斗争。为保障扫黑除恶工作顺利开展，我院设立“扫黑除恶”专项工作项目，确保专项斗争取得实效。其内容完全与政策相符合，是执法为民的体现。</w:t>
      </w:r>
    </w:p>
    <w:p>
      <w:pPr>
        <w:adjustRightInd w:val="0"/>
        <w:snapToGrid w:val="0"/>
        <w:spacing w:line="600" w:lineRule="exact"/>
        <w:ind w:firstLine="720"/>
        <w:rPr>
          <w:rFonts w:ascii="仿宋" w:hAnsi="仿宋" w:eastAsia="仿宋"/>
          <w:b/>
          <w:sz w:val="32"/>
          <w:szCs w:val="32"/>
          <w:lang w:val="zh-CN"/>
        </w:rPr>
      </w:pPr>
      <w:r>
        <w:rPr>
          <w:rFonts w:hint="eastAsia" w:ascii="仿宋" w:hAnsi="仿宋" w:eastAsia="仿宋"/>
          <w:b/>
          <w:sz w:val="32"/>
          <w:szCs w:val="32"/>
          <w:lang w:val="zh-CN"/>
        </w:rPr>
        <w:t>3．资金管理办法制定情况，资金支持具体项目的条件、范围与支持方式概况。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“扫黑除恶”专项工作项目包括办理涉黑案件时发生的差旅费、印刷费、鉴定费、咨询费等相关支出。采用</w:t>
      </w:r>
      <w:r>
        <w:rPr>
          <w:rFonts w:ascii="仿宋" w:hAnsi="仿宋" w:eastAsia="仿宋" w:cs="仿宋_GB2312"/>
          <w:sz w:val="32"/>
          <w:szCs w:val="32"/>
        </w:rPr>
        <w:t>财政集中支付</w:t>
      </w:r>
      <w:r>
        <w:rPr>
          <w:rFonts w:hint="eastAsia" w:ascii="仿宋" w:hAnsi="仿宋" w:eastAsia="仿宋" w:cs="仿宋_GB2312"/>
          <w:sz w:val="32"/>
          <w:szCs w:val="32"/>
        </w:rPr>
        <w:t>，严格按照预算执行专款专用，科学计划资金使用进度，每笔支出力求规范、合理。</w:t>
      </w:r>
    </w:p>
    <w:p>
      <w:pPr>
        <w:adjustRightInd w:val="0"/>
        <w:snapToGrid w:val="0"/>
        <w:spacing w:line="600" w:lineRule="exact"/>
        <w:ind w:firstLine="720"/>
        <w:rPr>
          <w:rFonts w:ascii="仿宋" w:hAnsi="仿宋" w:eastAsia="仿宋"/>
          <w:b/>
          <w:sz w:val="32"/>
          <w:szCs w:val="32"/>
          <w:lang w:val="zh-CN"/>
        </w:rPr>
      </w:pPr>
      <w:r>
        <w:rPr>
          <w:rFonts w:hint="eastAsia" w:ascii="仿宋" w:hAnsi="仿宋" w:eastAsia="仿宋"/>
          <w:b/>
          <w:sz w:val="32"/>
          <w:szCs w:val="32"/>
          <w:lang w:val="zh-CN"/>
        </w:rPr>
        <w:t>4．资金分配的原则及考虑因素。</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资金使用坚持先审批后支付的原则，</w:t>
      </w:r>
      <w:r>
        <w:rPr>
          <w:rFonts w:ascii="仿宋" w:hAnsi="仿宋" w:eastAsia="仿宋" w:cs="仿宋_GB2312"/>
          <w:sz w:val="32"/>
          <w:szCs w:val="32"/>
        </w:rPr>
        <w:t>对</w:t>
      </w:r>
      <w:r>
        <w:rPr>
          <w:rFonts w:hint="eastAsia" w:ascii="仿宋" w:hAnsi="仿宋" w:eastAsia="仿宋" w:cs="仿宋_GB2312"/>
          <w:sz w:val="32"/>
          <w:szCs w:val="32"/>
        </w:rPr>
        <w:t>“扫黑除恶”专项工作项目</w:t>
      </w:r>
      <w:r>
        <w:rPr>
          <w:rFonts w:ascii="仿宋" w:hAnsi="仿宋" w:eastAsia="仿宋" w:cs="仿宋_GB2312"/>
          <w:sz w:val="32"/>
          <w:szCs w:val="32"/>
        </w:rPr>
        <w:t>专项资金建立严格的支付审批程序，加强内控管理，规范会计核算，对资金使用程序严格控制把关。</w:t>
      </w:r>
      <w:r>
        <w:rPr>
          <w:rFonts w:hint="eastAsia" w:ascii="仿宋" w:hAnsi="仿宋" w:eastAsia="仿宋" w:cs="仿宋_GB2312"/>
          <w:sz w:val="32"/>
          <w:szCs w:val="32"/>
        </w:rPr>
        <w:t>充分考虑</w:t>
      </w:r>
      <w:r>
        <w:rPr>
          <w:rFonts w:ascii="仿宋" w:hAnsi="仿宋" w:eastAsia="仿宋" w:cs="仿宋_GB2312"/>
          <w:sz w:val="32"/>
          <w:szCs w:val="32"/>
        </w:rPr>
        <w:t>项目申报立项、资金拨付与会计处理、资金到位、项目资金使用绩效评价等各个环节，从源头上予以规范，确保程序完整，操作合法合规。</w:t>
      </w:r>
    </w:p>
    <w:p>
      <w:pPr>
        <w:adjustRightInd w:val="0"/>
        <w:snapToGrid w:val="0"/>
        <w:spacing w:line="600" w:lineRule="exact"/>
        <w:ind w:firstLine="720"/>
        <w:rPr>
          <w:rFonts w:ascii="楷体" w:hAnsi="楷体" w:eastAsia="楷体"/>
          <w:sz w:val="32"/>
          <w:szCs w:val="32"/>
          <w:lang w:val="zh-CN"/>
        </w:rPr>
      </w:pPr>
      <w:r>
        <w:rPr>
          <w:rFonts w:hint="eastAsia" w:ascii="楷体" w:hAnsi="楷体" w:eastAsia="楷体"/>
          <w:sz w:val="32"/>
          <w:szCs w:val="32"/>
          <w:lang w:val="zh-CN"/>
        </w:rPr>
        <w:t>（二）项目绩效目标。</w:t>
      </w:r>
    </w:p>
    <w:p>
      <w:pPr>
        <w:adjustRightInd w:val="0"/>
        <w:snapToGrid w:val="0"/>
        <w:spacing w:line="600" w:lineRule="exact"/>
        <w:ind w:firstLine="720"/>
        <w:rPr>
          <w:rFonts w:ascii="仿宋" w:hAnsi="仿宋" w:eastAsia="仿宋"/>
          <w:b/>
          <w:sz w:val="32"/>
          <w:szCs w:val="32"/>
          <w:lang w:val="zh-CN"/>
        </w:rPr>
      </w:pPr>
      <w:r>
        <w:rPr>
          <w:rFonts w:hint="eastAsia" w:ascii="仿宋" w:hAnsi="仿宋" w:eastAsia="仿宋"/>
          <w:b/>
          <w:sz w:val="32"/>
          <w:szCs w:val="32"/>
          <w:lang w:val="zh-CN"/>
        </w:rPr>
        <w:t>1．项目主要内容。</w:t>
      </w:r>
    </w:p>
    <w:p>
      <w:pPr>
        <w:adjustRightInd w:val="0"/>
        <w:snapToGrid w:val="0"/>
        <w:spacing w:line="600" w:lineRule="exact"/>
        <w:ind w:firstLine="720"/>
        <w:rPr>
          <w:rFonts w:ascii="仿宋" w:hAnsi="仿宋" w:eastAsia="仿宋" w:cs="仿宋_GB2312"/>
          <w:sz w:val="32"/>
          <w:szCs w:val="32"/>
        </w:rPr>
      </w:pPr>
      <w:r>
        <w:rPr>
          <w:rFonts w:ascii="仿宋" w:hAnsi="仿宋" w:eastAsia="仿宋" w:cs="仿宋_GB2312"/>
          <w:sz w:val="32"/>
          <w:szCs w:val="32"/>
        </w:rPr>
        <w:t>加大</w:t>
      </w:r>
      <w:r>
        <w:rPr>
          <w:rFonts w:hint="eastAsia" w:ascii="仿宋" w:hAnsi="仿宋" w:eastAsia="仿宋" w:cs="仿宋_GB2312"/>
          <w:sz w:val="32"/>
          <w:szCs w:val="32"/>
        </w:rPr>
        <w:t>涉黑案件</w:t>
      </w:r>
      <w:r>
        <w:rPr>
          <w:rFonts w:ascii="仿宋" w:hAnsi="仿宋" w:eastAsia="仿宋" w:cs="仿宋_GB2312"/>
          <w:sz w:val="32"/>
          <w:szCs w:val="32"/>
        </w:rPr>
        <w:t>办案执法力度，惩治贪污腐败，营造良好工作氛围，树立良好风气，推动检察执法工作，促进党员干部与社会和谐。严肃查处各种贪污腐败，渎职行为，为构建法治社会做好保障工作。进一步服务于社会，让群众感受到公平正义。</w:t>
      </w:r>
    </w:p>
    <w:p>
      <w:pPr>
        <w:adjustRightInd w:val="0"/>
        <w:snapToGrid w:val="0"/>
        <w:spacing w:line="600" w:lineRule="exact"/>
        <w:ind w:firstLine="720"/>
        <w:rPr>
          <w:rFonts w:ascii="仿宋" w:hAnsi="仿宋" w:eastAsia="仿宋"/>
          <w:b/>
          <w:sz w:val="32"/>
          <w:szCs w:val="32"/>
          <w:lang w:val="zh-CN"/>
        </w:rPr>
      </w:pPr>
      <w:r>
        <w:rPr>
          <w:rFonts w:hint="eastAsia" w:ascii="仿宋" w:hAnsi="仿宋" w:eastAsia="仿宋"/>
          <w:b/>
          <w:sz w:val="32"/>
          <w:szCs w:val="32"/>
          <w:lang w:val="zh-CN"/>
        </w:rPr>
        <w:t>2．项目应实现的具体绩效目标，包括目标的量化、细化情况以及项目实施进度计划等。</w:t>
      </w:r>
    </w:p>
    <w:p>
      <w:pPr>
        <w:adjustRightInd w:val="0"/>
        <w:snapToGrid w:val="0"/>
        <w:spacing w:line="600" w:lineRule="exact"/>
        <w:ind w:firstLine="720"/>
        <w:rPr>
          <w:rFonts w:ascii="仿宋_GB2312" w:hAnsi="宋体" w:eastAsia="仿宋_GB2312"/>
          <w:sz w:val="32"/>
          <w:szCs w:val="32"/>
          <w:lang w:val="zh-CN"/>
        </w:rPr>
      </w:pPr>
      <w:r>
        <w:rPr>
          <w:rFonts w:hint="eastAsia" w:ascii="仿宋" w:hAnsi="仿宋" w:eastAsia="仿宋" w:cs="仿宋_GB2312"/>
          <w:sz w:val="32"/>
          <w:szCs w:val="32"/>
        </w:rPr>
        <w:t>“扫黑除恶”专项工作为常年性、持续性项目。绩效目标为：将摸排保护伞线索作为办案必经环节，积极上报涉黑恶线索，依法加大处罚力度，严格办理批捕、起诉案件。落实涉黑恶案件决策部署，高质量完成交办案件。同时，从项目完成指标、效益指标、满意度指标三个方面进行了细化。项目进展顺利，完成率100%。</w:t>
      </w:r>
    </w:p>
    <w:p>
      <w:pPr>
        <w:adjustRightInd w:val="0"/>
        <w:snapToGrid w:val="0"/>
        <w:spacing w:line="600" w:lineRule="exact"/>
        <w:ind w:firstLine="720"/>
        <w:rPr>
          <w:rFonts w:ascii="仿宋" w:hAnsi="仿宋" w:eastAsia="仿宋"/>
          <w:b/>
          <w:sz w:val="32"/>
          <w:szCs w:val="32"/>
          <w:lang w:val="zh-CN"/>
        </w:rPr>
      </w:pPr>
      <w:r>
        <w:rPr>
          <w:rFonts w:hint="eastAsia" w:ascii="仿宋" w:hAnsi="仿宋" w:eastAsia="仿宋"/>
          <w:b/>
          <w:sz w:val="32"/>
          <w:szCs w:val="32"/>
          <w:lang w:val="zh-CN"/>
        </w:rPr>
        <w:t>3．分析评价申报内容是否与实际相符，申报目标是否合理可行。</w:t>
      </w:r>
    </w:p>
    <w:p>
      <w:pPr>
        <w:adjustRightInd w:val="0"/>
        <w:snapToGrid w:val="0"/>
        <w:spacing w:line="600" w:lineRule="exact"/>
        <w:ind w:firstLine="720"/>
        <w:rPr>
          <w:rFonts w:ascii="仿宋_GB2312" w:hAnsi="宋体" w:eastAsia="仿宋_GB2312"/>
          <w:sz w:val="32"/>
          <w:szCs w:val="32"/>
          <w:lang w:val="zh-CN"/>
        </w:rPr>
      </w:pPr>
      <w:r>
        <w:rPr>
          <w:rFonts w:hint="eastAsia" w:ascii="仿宋" w:hAnsi="仿宋" w:eastAsia="仿宋" w:cs="仿宋_GB2312"/>
          <w:sz w:val="32"/>
          <w:szCs w:val="32"/>
        </w:rPr>
        <w:t>绩效目标设置上，我院从收集、上报、筛查、费用控制和可持续发展上明确了合理的目标任务，符合实际。</w:t>
      </w:r>
    </w:p>
    <w:p>
      <w:pPr>
        <w:adjustRightInd w:val="0"/>
        <w:snapToGrid w:val="0"/>
        <w:spacing w:line="600" w:lineRule="exact"/>
        <w:ind w:firstLine="720"/>
        <w:rPr>
          <w:rFonts w:ascii="楷体" w:hAnsi="楷体" w:eastAsia="楷体"/>
          <w:sz w:val="32"/>
          <w:szCs w:val="32"/>
          <w:lang w:val="zh-CN"/>
        </w:rPr>
      </w:pPr>
      <w:r>
        <w:rPr>
          <w:rFonts w:hint="eastAsia" w:ascii="楷体" w:hAnsi="楷体" w:eastAsia="楷体"/>
          <w:sz w:val="32"/>
          <w:szCs w:val="32"/>
          <w:lang w:val="zh-CN"/>
        </w:rPr>
        <w:t>（三）项目自评步骤及方法。</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前期准备：按照绩效自评工作要求，组成以杨红梅同志为组长的绩效评价工作小组，对相关的国家法律法规进行了认真学习，掌握政策，根据“扫黑除恶”专项工作项目支出情况制定了项目支出绩效评价实施方案，设计了绩效评价指标体系。</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组织实施：采用核查法核查2020年同级财政预算批复执行及“扫黑除恶”专项工作项目支出情况，着重核查了扫黑除恶案件批捕、起诉案件和移送案件线索的数量和相关法律文书，根据年初制定的绩效考核目标，进行了实地绩效考评。针对“扫黑除恶”专项工作情况，进行了实地调研。</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3.分析评价：对评价过程中收集资料进行归纳，汇总分析，依据“扫黑除恶”专项工作项目支出绩效评价指标体系进行了评分，形成了综合性书面报告。</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 w:hAnsi="楷体" w:eastAsia="楷体"/>
          <w:sz w:val="32"/>
          <w:szCs w:val="32"/>
          <w:lang w:val="zh-CN"/>
        </w:rPr>
      </w:pPr>
      <w:r>
        <w:rPr>
          <w:rFonts w:hint="eastAsia" w:ascii="楷体" w:hAnsi="楷体" w:eastAsia="楷体"/>
          <w:sz w:val="32"/>
          <w:szCs w:val="32"/>
          <w:lang w:val="zh-CN"/>
        </w:rPr>
        <w:t>（一）项目资金申报及批复情况。</w:t>
      </w:r>
    </w:p>
    <w:p>
      <w:pPr>
        <w:adjustRightInd w:val="0"/>
        <w:snapToGrid w:val="0"/>
        <w:spacing w:line="600" w:lineRule="exact"/>
        <w:ind w:firstLine="720"/>
        <w:rPr>
          <w:rFonts w:ascii="仿宋" w:hAnsi="仿宋" w:eastAsia="仿宋"/>
          <w:b/>
          <w:sz w:val="32"/>
          <w:szCs w:val="32"/>
          <w:lang w:val="zh-CN"/>
        </w:rPr>
      </w:pPr>
      <w:r>
        <w:rPr>
          <w:rFonts w:hint="eastAsia" w:ascii="仿宋" w:hAnsi="仿宋" w:eastAsia="仿宋"/>
          <w:b/>
          <w:sz w:val="32"/>
          <w:szCs w:val="32"/>
          <w:lang w:val="zh-CN"/>
        </w:rPr>
        <w:t>说明项目资金申报、批复及预算调整等程序的相关情况。</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“扫黑除恶”专项工作项目预算资金8万元， 2020年项目实际到位资金8万元，总支出8万元。未调整预算。</w:t>
      </w:r>
    </w:p>
    <w:p>
      <w:pPr>
        <w:adjustRightInd w:val="0"/>
        <w:snapToGrid w:val="0"/>
        <w:spacing w:line="600" w:lineRule="exact"/>
        <w:ind w:firstLine="720"/>
        <w:rPr>
          <w:rFonts w:ascii="楷体" w:hAnsi="楷体" w:eastAsia="楷体"/>
          <w:sz w:val="32"/>
          <w:szCs w:val="32"/>
          <w:lang w:val="zh-CN"/>
        </w:rPr>
      </w:pPr>
      <w:r>
        <w:rPr>
          <w:rFonts w:hint="eastAsia" w:ascii="楷体" w:hAnsi="楷体" w:eastAsia="楷体"/>
          <w:sz w:val="32"/>
          <w:szCs w:val="32"/>
          <w:lang w:val="zh-CN"/>
        </w:rPr>
        <w:t>（二）资金计划、到位及使用情况</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b/>
          <w:sz w:val="32"/>
          <w:szCs w:val="32"/>
        </w:rPr>
        <w:t>1．资金计划。</w:t>
      </w:r>
      <w:r>
        <w:rPr>
          <w:rFonts w:hint="eastAsia" w:ascii="仿宋" w:hAnsi="仿宋" w:eastAsia="仿宋" w:cs="仿宋_GB2312"/>
          <w:sz w:val="32"/>
          <w:szCs w:val="32"/>
        </w:rPr>
        <w:t>“扫黑除恶”专项工作项目资金万元，全部转移支付资金。</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b/>
          <w:sz w:val="32"/>
          <w:szCs w:val="32"/>
        </w:rPr>
        <w:t>2．资金到位。</w:t>
      </w:r>
      <w:r>
        <w:rPr>
          <w:rFonts w:hint="eastAsia" w:ascii="仿宋" w:hAnsi="仿宋" w:eastAsia="仿宋" w:cs="仿宋_GB2312"/>
          <w:sz w:val="32"/>
          <w:szCs w:val="32"/>
        </w:rPr>
        <w:t>截止评价时，“扫黑除恶”专项工作项目资金到位8万元，为转移支付资金。资金到位率100%，该项目资金全部及时、足额到位。</w:t>
      </w:r>
    </w:p>
    <w:p>
      <w:pPr>
        <w:adjustRightInd w:val="0"/>
        <w:snapToGrid w:val="0"/>
        <w:spacing w:line="600" w:lineRule="exact"/>
        <w:ind w:firstLine="720"/>
        <w:rPr>
          <w:rFonts w:ascii="仿宋_GB2312" w:hAnsi="宋体" w:eastAsia="仿宋_GB2312"/>
          <w:sz w:val="32"/>
          <w:szCs w:val="32"/>
          <w:lang w:val="zh-CN"/>
        </w:rPr>
      </w:pPr>
      <w:r>
        <w:rPr>
          <w:rFonts w:hint="eastAsia" w:ascii="仿宋" w:hAnsi="仿宋" w:eastAsia="仿宋" w:cs="仿宋_GB2312"/>
          <w:b/>
          <w:sz w:val="32"/>
          <w:szCs w:val="32"/>
        </w:rPr>
        <w:t>3．资金使用。</w:t>
      </w:r>
      <w:r>
        <w:rPr>
          <w:rFonts w:hint="eastAsia" w:ascii="仿宋" w:hAnsi="仿宋" w:eastAsia="仿宋" w:cs="仿宋_GB2312"/>
          <w:sz w:val="32"/>
          <w:szCs w:val="32"/>
        </w:rPr>
        <w:t>截止评价时，“扫黑除恶”专项工作项目支出8万元，完成预算率100%。资金支付方式为财政集中支付，程序规范、票据齐全，与预算相符。</w:t>
      </w:r>
    </w:p>
    <w:p>
      <w:pPr>
        <w:adjustRightInd w:val="0"/>
        <w:snapToGrid w:val="0"/>
        <w:spacing w:line="600" w:lineRule="exact"/>
        <w:ind w:firstLine="720"/>
        <w:rPr>
          <w:rFonts w:ascii="楷体" w:hAnsi="楷体" w:eastAsia="楷体"/>
          <w:sz w:val="32"/>
          <w:szCs w:val="32"/>
          <w:lang w:val="zh-CN"/>
        </w:rPr>
      </w:pPr>
      <w:r>
        <w:rPr>
          <w:rFonts w:hint="eastAsia" w:ascii="楷体" w:hAnsi="楷体" w:eastAsia="楷体"/>
          <w:sz w:val="32"/>
          <w:szCs w:val="32"/>
          <w:lang w:val="zh-CN"/>
        </w:rPr>
        <w:t>（三）项目财务管理情况。</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“扫黑除恶”专项工作项目我院财务管理制度健全，并严格执行财务管理制度，账务处理及时准确，会计核算规范。</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ascii="仿宋" w:hAnsi="仿宋" w:eastAsia="仿宋"/>
          <w:sz w:val="32"/>
          <w:szCs w:val="32"/>
          <w:lang w:val="zh-CN"/>
        </w:rPr>
      </w:pPr>
      <w:r>
        <w:rPr>
          <w:rFonts w:hint="eastAsia" w:ascii="仿宋" w:hAnsi="仿宋" w:eastAsia="仿宋"/>
          <w:sz w:val="32"/>
          <w:szCs w:val="32"/>
          <w:lang w:val="zh-CN"/>
        </w:rPr>
        <w:t>结合项目组织实施管理办法，重点围绕以下内容进行分析评价，并对自评中发现的问题分析说明。</w:t>
      </w:r>
    </w:p>
    <w:p>
      <w:pPr>
        <w:adjustRightInd w:val="0"/>
        <w:snapToGrid w:val="0"/>
        <w:spacing w:line="600" w:lineRule="exact"/>
        <w:ind w:firstLine="720"/>
        <w:rPr>
          <w:rFonts w:ascii="楷体" w:hAnsi="楷体" w:eastAsia="楷体"/>
          <w:sz w:val="32"/>
          <w:szCs w:val="32"/>
          <w:lang w:val="zh-CN"/>
        </w:rPr>
      </w:pPr>
      <w:r>
        <w:rPr>
          <w:rFonts w:hint="eastAsia" w:ascii="楷体" w:hAnsi="楷体" w:eastAsia="楷体"/>
          <w:sz w:val="32"/>
          <w:szCs w:val="32"/>
          <w:lang w:val="zh-CN"/>
        </w:rPr>
        <w:t>（一）项目组织架构及实施流程。</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该项目由分管领导杨红梅负责，部门负责人廖周清组织实施。</w:t>
      </w:r>
    </w:p>
    <w:p>
      <w:pPr>
        <w:adjustRightInd w:val="0"/>
        <w:snapToGrid w:val="0"/>
        <w:spacing w:line="600" w:lineRule="exact"/>
        <w:ind w:firstLine="720"/>
        <w:rPr>
          <w:rFonts w:ascii="楷体" w:hAnsi="楷体" w:eastAsia="楷体"/>
          <w:sz w:val="32"/>
          <w:szCs w:val="32"/>
          <w:lang w:val="zh-CN"/>
        </w:rPr>
      </w:pPr>
      <w:r>
        <w:rPr>
          <w:rFonts w:hint="eastAsia" w:ascii="楷体" w:hAnsi="楷体" w:eastAsia="楷体"/>
          <w:sz w:val="32"/>
          <w:szCs w:val="32"/>
          <w:lang w:val="zh-CN"/>
        </w:rPr>
        <w:t>（二）项目管理情况。</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“扫黑除恶”专项工作项目实施过程中，严格执行相关法律法规及项目管理制度，资金使用符合规定，项目成果达到预期。</w:t>
      </w:r>
    </w:p>
    <w:p>
      <w:pPr>
        <w:adjustRightInd w:val="0"/>
        <w:snapToGrid w:val="0"/>
        <w:spacing w:line="600" w:lineRule="exact"/>
        <w:ind w:firstLine="720"/>
        <w:rPr>
          <w:rFonts w:ascii="楷体" w:hAnsi="楷体" w:eastAsia="楷体"/>
          <w:sz w:val="32"/>
          <w:szCs w:val="32"/>
          <w:lang w:val="zh-CN"/>
        </w:rPr>
      </w:pPr>
      <w:r>
        <w:rPr>
          <w:rFonts w:hint="eastAsia" w:ascii="楷体" w:hAnsi="楷体" w:eastAsia="楷体"/>
          <w:sz w:val="32"/>
          <w:szCs w:val="32"/>
          <w:lang w:val="zh-CN"/>
        </w:rPr>
        <w:t>（三）项目监管情况。</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严格按照预算执行专款专用，科学计划资金使用进度，每笔支出力求规范、合理。</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 w:hAnsi="楷体" w:eastAsia="楷体"/>
          <w:sz w:val="32"/>
          <w:szCs w:val="32"/>
          <w:lang w:val="zh-CN"/>
        </w:rPr>
      </w:pPr>
      <w:r>
        <w:rPr>
          <w:rFonts w:hint="eastAsia" w:ascii="楷体" w:hAnsi="楷体" w:eastAsia="楷体"/>
          <w:sz w:val="32"/>
          <w:szCs w:val="32"/>
          <w:lang w:val="zh-CN"/>
        </w:rPr>
        <w:t>（一）项目完成情况。</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扫黑除恶”专项工作项目达到项目预期，在办理逮捕、起诉及受理控告申诉线索以及开展“两法衔接”工作中，对重点领域、重点行业、重点人员、重点地区进行摸排，并高质量完成了省检察院和省公安厅挂牌督办的涉黑案件。截止评价时，高质量地完成了年初设定目标，并严格控制支出，未超预算。</w:t>
      </w:r>
    </w:p>
    <w:p>
      <w:pPr>
        <w:adjustRightInd w:val="0"/>
        <w:snapToGrid w:val="0"/>
        <w:spacing w:line="600" w:lineRule="exact"/>
        <w:ind w:firstLine="720"/>
        <w:rPr>
          <w:rFonts w:ascii="楷体" w:hAnsi="楷体" w:eastAsia="楷体"/>
          <w:sz w:val="32"/>
          <w:szCs w:val="32"/>
        </w:rPr>
      </w:pPr>
      <w:r>
        <w:rPr>
          <w:rFonts w:hint="eastAsia" w:ascii="楷体" w:hAnsi="楷体" w:eastAsia="楷体"/>
          <w:sz w:val="32"/>
          <w:szCs w:val="32"/>
        </w:rPr>
        <w:t>（二）项目效益情况。</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 xml:space="preserve"> “扫黑除恶”专项工作监中，无该捕不捕、该诉未诉的案件，未发生影响恶劣的群众上访事件，收效良好。</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 w:hAnsi="楷体" w:eastAsia="楷体"/>
          <w:sz w:val="32"/>
          <w:szCs w:val="32"/>
          <w:lang w:val="zh-CN"/>
        </w:rPr>
      </w:pPr>
      <w:r>
        <w:rPr>
          <w:rFonts w:hint="eastAsia" w:ascii="楷体" w:hAnsi="楷体" w:eastAsia="楷体"/>
          <w:sz w:val="32"/>
          <w:szCs w:val="32"/>
          <w:lang w:val="zh-CN"/>
        </w:rPr>
        <w:t>（一）评价结论。</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项目目标完成情况</w:t>
      </w:r>
      <w:r>
        <w:rPr>
          <w:rFonts w:hint="eastAsia" w:ascii="仿宋" w:hAnsi="仿宋" w:eastAsia="仿宋" w:cs="仿宋_GB2312"/>
          <w:sz w:val="32"/>
          <w:szCs w:val="32"/>
        </w:rPr>
        <w:t>良好</w:t>
      </w:r>
      <w:r>
        <w:rPr>
          <w:rFonts w:ascii="仿宋" w:hAnsi="仿宋" w:eastAsia="仿宋" w:cs="仿宋_GB2312"/>
          <w:sz w:val="32"/>
          <w:szCs w:val="32"/>
        </w:rPr>
        <w:t>，</w:t>
      </w:r>
      <w:r>
        <w:rPr>
          <w:rFonts w:hint="eastAsia" w:ascii="仿宋" w:hAnsi="仿宋" w:eastAsia="仿宋" w:cs="仿宋_GB2312"/>
          <w:sz w:val="32"/>
          <w:szCs w:val="32"/>
        </w:rPr>
        <w:t>达成了</w:t>
      </w:r>
      <w:r>
        <w:rPr>
          <w:rFonts w:ascii="仿宋" w:hAnsi="仿宋" w:eastAsia="仿宋" w:cs="仿宋_GB2312"/>
          <w:sz w:val="32"/>
          <w:szCs w:val="32"/>
        </w:rPr>
        <w:t>项目社会效益</w:t>
      </w:r>
      <w:r>
        <w:rPr>
          <w:rFonts w:hint="eastAsia" w:ascii="仿宋" w:hAnsi="仿宋" w:eastAsia="仿宋" w:cs="仿宋_GB2312"/>
          <w:sz w:val="32"/>
          <w:szCs w:val="32"/>
        </w:rPr>
        <w:t>，“扫黑除恶”专项工作纵深推进，严肃打击了黑恶势力犯罪团伙后面的保护伞。</w:t>
      </w:r>
    </w:p>
    <w:p>
      <w:pPr>
        <w:adjustRightInd w:val="0"/>
        <w:snapToGrid w:val="0"/>
        <w:spacing w:line="600" w:lineRule="exact"/>
        <w:ind w:firstLine="720"/>
        <w:rPr>
          <w:rFonts w:ascii="楷体" w:hAnsi="楷体" w:eastAsia="楷体"/>
          <w:sz w:val="32"/>
          <w:szCs w:val="32"/>
          <w:lang w:val="zh-CN"/>
        </w:rPr>
      </w:pPr>
      <w:r>
        <w:rPr>
          <w:rFonts w:hint="eastAsia" w:ascii="楷体" w:hAnsi="楷体" w:eastAsia="楷体"/>
          <w:sz w:val="32"/>
          <w:szCs w:val="32"/>
          <w:lang w:val="zh-CN"/>
        </w:rPr>
        <w:t>（二）存在的问题。</w:t>
      </w:r>
    </w:p>
    <w:p>
      <w:pPr>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“扫黑除恶”工作范围广、工作量大，还需加大排查力度。</w:t>
      </w:r>
    </w:p>
    <w:p>
      <w:pPr>
        <w:adjustRightInd w:val="0"/>
        <w:snapToGrid w:val="0"/>
        <w:spacing w:line="600" w:lineRule="exact"/>
        <w:ind w:firstLine="720"/>
        <w:rPr>
          <w:rFonts w:ascii="楷体" w:hAnsi="楷体" w:eastAsia="楷体"/>
          <w:sz w:val="32"/>
          <w:szCs w:val="32"/>
          <w:lang w:val="zh-CN"/>
        </w:rPr>
      </w:pPr>
      <w:r>
        <w:rPr>
          <w:rFonts w:hint="eastAsia" w:ascii="楷体" w:hAnsi="楷体" w:eastAsia="楷体"/>
          <w:sz w:val="32"/>
          <w:szCs w:val="32"/>
          <w:lang w:val="zh-CN"/>
        </w:rPr>
        <w:t>（三）相关建议。</w:t>
      </w:r>
    </w:p>
    <w:p>
      <w:pPr>
        <w:spacing w:line="600" w:lineRule="exact"/>
        <w:jc w:val="left"/>
        <w:outlineLvl w:val="0"/>
        <w:rPr>
          <w:rStyle w:val="26"/>
          <w:rFonts w:ascii="黑体" w:hAnsi="黑体" w:eastAsia="黑体"/>
          <w:b w:val="0"/>
        </w:rPr>
      </w:pPr>
      <w:r>
        <w:rPr>
          <w:rFonts w:hint="eastAsia" w:ascii="仿宋" w:hAnsi="仿宋" w:eastAsia="仿宋" w:cs="仿宋_GB2312"/>
          <w:sz w:val="32"/>
          <w:szCs w:val="32"/>
        </w:rPr>
        <w:t xml:space="preserve">    继续积极排查，将摸排保护伞线索作为办案的必经环节，争取排查出隐藏较深的黑恶势力犯罪团伙及成员。</w:t>
      </w:r>
    </w:p>
    <w:p>
      <w:pPr>
        <w:spacing w:line="600" w:lineRule="exact"/>
        <w:jc w:val="center"/>
        <w:outlineLvl w:val="0"/>
        <w:rPr>
          <w:rStyle w:val="26"/>
          <w:rFonts w:ascii="黑体" w:hAnsi="黑体" w:eastAsia="黑体"/>
          <w:b w:val="0"/>
        </w:rPr>
      </w:pPr>
    </w:p>
    <w:p>
      <w:pPr>
        <w:spacing w:line="600" w:lineRule="exact"/>
        <w:jc w:val="center"/>
        <w:outlineLvl w:val="0"/>
        <w:rPr>
          <w:rStyle w:val="26"/>
          <w:rFonts w:ascii="黑体" w:hAnsi="黑体" w:eastAsia="黑体"/>
          <w:b w:val="0"/>
        </w:rPr>
      </w:pPr>
    </w:p>
    <w:p>
      <w:pPr>
        <w:spacing w:line="600" w:lineRule="exact"/>
        <w:jc w:val="center"/>
        <w:outlineLvl w:val="0"/>
        <w:rPr>
          <w:rStyle w:val="26"/>
          <w:rFonts w:ascii="黑体" w:hAnsi="黑体" w:eastAsia="黑体"/>
          <w:b w:val="0"/>
        </w:rPr>
      </w:pPr>
    </w:p>
    <w:p>
      <w:pPr>
        <w:spacing w:line="600" w:lineRule="exact"/>
        <w:jc w:val="center"/>
        <w:outlineLvl w:val="0"/>
        <w:rPr>
          <w:rStyle w:val="26"/>
          <w:rFonts w:ascii="黑体" w:hAnsi="黑体" w:eastAsia="黑体"/>
          <w:b w:val="0"/>
        </w:rPr>
      </w:pPr>
    </w:p>
    <w:p>
      <w:pPr>
        <w:spacing w:line="600" w:lineRule="exact"/>
        <w:jc w:val="center"/>
        <w:outlineLvl w:val="0"/>
        <w:rPr>
          <w:rStyle w:val="26"/>
          <w:rFonts w:ascii="黑体" w:hAnsi="黑体" w:eastAsia="黑体"/>
          <w:b w:val="0"/>
        </w:rPr>
      </w:pPr>
    </w:p>
    <w:p>
      <w:pPr>
        <w:spacing w:line="600" w:lineRule="exact"/>
        <w:jc w:val="center"/>
        <w:outlineLvl w:val="0"/>
        <w:rPr>
          <w:rStyle w:val="26"/>
          <w:rFonts w:ascii="黑体" w:hAnsi="黑体" w:eastAsia="黑体"/>
          <w:b w:val="0"/>
        </w:rPr>
      </w:pPr>
    </w:p>
    <w:p>
      <w:pPr>
        <w:spacing w:line="600" w:lineRule="exact"/>
        <w:jc w:val="center"/>
        <w:outlineLvl w:val="0"/>
        <w:rPr>
          <w:rStyle w:val="26"/>
          <w:rFonts w:ascii="黑体" w:hAnsi="黑体" w:eastAsia="黑体"/>
          <w:b w:val="0"/>
        </w:rPr>
      </w:pPr>
    </w:p>
    <w:p>
      <w:pPr>
        <w:spacing w:line="600" w:lineRule="exact"/>
        <w:jc w:val="center"/>
        <w:outlineLvl w:val="0"/>
        <w:rPr>
          <w:rStyle w:val="26"/>
          <w:rFonts w:ascii="黑体" w:hAnsi="黑体" w:eastAsia="黑体"/>
          <w:b w:val="0"/>
        </w:rPr>
      </w:pPr>
    </w:p>
    <w:p>
      <w:pPr>
        <w:spacing w:line="600" w:lineRule="exact"/>
        <w:jc w:val="center"/>
        <w:outlineLvl w:val="0"/>
        <w:rPr>
          <w:rStyle w:val="26"/>
          <w:rFonts w:ascii="黑体" w:hAnsi="黑体" w:eastAsia="黑体"/>
          <w:b w:val="0"/>
        </w:rPr>
      </w:pPr>
    </w:p>
    <w:p>
      <w:pPr>
        <w:spacing w:line="600" w:lineRule="exact"/>
        <w:jc w:val="center"/>
        <w:outlineLvl w:val="0"/>
        <w:rPr>
          <w:rStyle w:val="26"/>
          <w:rFonts w:ascii="黑体" w:hAnsi="黑体" w:eastAsia="黑体"/>
          <w:b w:val="0"/>
        </w:rPr>
      </w:pPr>
    </w:p>
    <w:p>
      <w:pPr>
        <w:widowControl/>
        <w:jc w:val="left"/>
        <w:rPr>
          <w:rFonts w:ascii="仿宋_GB2312" w:hAnsi="仿宋_GB2312" w:eastAsia="仿宋_GB2312" w:cs="仿宋_GB2312"/>
          <w:sz w:val="32"/>
          <w:szCs w:val="32"/>
        </w:rPr>
      </w:pPr>
      <w:r>
        <w:rPr>
          <w:rFonts w:hint="eastAsia" w:ascii="黑体" w:hAnsi="黑体" w:eastAsia="黑体" w:cs="黑体"/>
          <w:sz w:val="32"/>
          <w:szCs w:val="32"/>
        </w:rPr>
        <w:t>附件</w:t>
      </w:r>
      <w:r>
        <w:rPr>
          <w:rFonts w:ascii="黑体" w:hAnsi="黑体" w:eastAsia="黑体" w:cs="黑体"/>
          <w:sz w:val="32"/>
          <w:szCs w:val="32"/>
        </w:rPr>
        <w:t>2</w:t>
      </w:r>
    </w:p>
    <w:p>
      <w:pPr>
        <w:spacing w:line="580" w:lineRule="exact"/>
        <w:ind w:firstLine="640" w:firstLineChars="200"/>
        <w:rPr>
          <w:rFonts w:ascii="仿宋_GB2312" w:hAnsi="仿宋_GB2312" w:eastAsia="仿宋_GB2312" w:cs="仿宋_GB2312"/>
          <w:sz w:val="32"/>
          <w:szCs w:val="32"/>
        </w:rPr>
      </w:pPr>
    </w:p>
    <w:p>
      <w:pPr>
        <w:spacing w:line="600" w:lineRule="exact"/>
        <w:jc w:val="center"/>
        <w:rPr>
          <w:rFonts w:ascii="方正小标宋简体" w:hAnsi="宋体" w:eastAsia="方正小标宋简体"/>
          <w:color w:val="000000"/>
          <w:kern w:val="0"/>
          <w:sz w:val="44"/>
          <w:szCs w:val="44"/>
          <w:lang w:val="zh-CN"/>
        </w:rPr>
      </w:pPr>
      <w:r>
        <w:rPr>
          <w:rFonts w:hint="eastAsia" w:ascii="黑体" w:hAnsi="黑体" w:eastAsia="黑体" w:cs="方正小标宋简体"/>
          <w:sz w:val="44"/>
          <w:szCs w:val="44"/>
        </w:rPr>
        <w:t>国家司法救助</w:t>
      </w:r>
      <w:r>
        <w:rPr>
          <w:rFonts w:hint="eastAsia" w:ascii="方正小标宋简体" w:hAnsi="宋体" w:eastAsia="方正小标宋简体"/>
          <w:color w:val="000000"/>
          <w:kern w:val="0"/>
          <w:sz w:val="44"/>
          <w:szCs w:val="44"/>
          <w:lang w:val="zh-CN"/>
        </w:rPr>
        <w:t>项目</w:t>
      </w: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rPr>
        <w:t>2020年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 w:hAnsi="楷体" w:eastAsia="楷体"/>
          <w:sz w:val="32"/>
          <w:szCs w:val="32"/>
          <w:lang w:val="zh-CN"/>
        </w:rPr>
      </w:pPr>
      <w:r>
        <w:rPr>
          <w:rFonts w:hint="eastAsia" w:ascii="楷体" w:hAnsi="楷体" w:eastAsia="楷体"/>
          <w:sz w:val="32"/>
          <w:szCs w:val="32"/>
          <w:lang w:val="zh-CN"/>
        </w:rPr>
        <w:t>（一）项目基本情况。</w:t>
      </w:r>
    </w:p>
    <w:p>
      <w:pPr>
        <w:adjustRightInd w:val="0"/>
        <w:snapToGrid w:val="0"/>
        <w:spacing w:line="600" w:lineRule="exact"/>
        <w:ind w:firstLine="720"/>
        <w:rPr>
          <w:rFonts w:ascii="仿宋" w:hAnsi="仿宋" w:eastAsia="仿宋"/>
          <w:b/>
          <w:sz w:val="32"/>
          <w:szCs w:val="32"/>
          <w:lang w:val="zh-CN"/>
        </w:rPr>
      </w:pPr>
      <w:r>
        <w:rPr>
          <w:rFonts w:ascii="仿宋" w:hAnsi="仿宋" w:eastAsia="仿宋"/>
          <w:b/>
          <w:sz w:val="32"/>
          <w:szCs w:val="32"/>
          <w:lang w:val="zh-CN"/>
        </w:rPr>
        <w:t>1</w:t>
      </w:r>
      <w:r>
        <w:rPr>
          <w:rFonts w:hint="eastAsia" w:ascii="仿宋" w:hAnsi="仿宋" w:eastAsia="仿宋"/>
          <w:b/>
          <w:sz w:val="32"/>
          <w:szCs w:val="32"/>
          <w:lang w:val="zh-CN"/>
        </w:rPr>
        <w:t>．说明项目主管部门（单位）在该项目管理中的职能。</w:t>
      </w:r>
    </w:p>
    <w:p>
      <w:pPr>
        <w:adjustRightInd w:val="0"/>
        <w:snapToGrid w:val="0"/>
        <w:spacing w:line="600" w:lineRule="exact"/>
        <w:ind w:firstLine="720"/>
        <w:rPr>
          <w:rFonts w:ascii="仿宋_GB2312" w:hAnsi="宋体" w:eastAsia="仿宋_GB2312"/>
          <w:sz w:val="32"/>
          <w:szCs w:val="32"/>
          <w:lang w:val="zh-CN"/>
        </w:rPr>
      </w:pPr>
      <w:r>
        <w:rPr>
          <w:rFonts w:hint="eastAsia" w:ascii="仿宋" w:hAnsi="仿宋" w:eastAsia="仿宋" w:cs="仿宋_GB2312"/>
          <w:sz w:val="32"/>
          <w:szCs w:val="32"/>
        </w:rPr>
        <w:t>人民检察院国家司法救助工作，是人民检察院在办理案件过程中，对遭受犯罪侵害或者民事侵权，无法通过诉讼获得有效赔偿，生活面临急迫困难的当事人采取的辅助性救济措施</w:t>
      </w:r>
      <w:r>
        <w:rPr>
          <w:rFonts w:hint="eastAsia" w:ascii="仿宋_GB2312" w:hAnsi="宋体" w:eastAsia="仿宋_GB2312"/>
          <w:sz w:val="32"/>
          <w:szCs w:val="32"/>
        </w:rPr>
        <w:t>。</w:t>
      </w:r>
    </w:p>
    <w:p>
      <w:pPr>
        <w:adjustRightInd w:val="0"/>
        <w:snapToGrid w:val="0"/>
        <w:spacing w:line="600" w:lineRule="exact"/>
        <w:ind w:firstLine="720"/>
        <w:rPr>
          <w:rFonts w:ascii="仿宋" w:hAnsi="仿宋" w:eastAsia="仿宋"/>
          <w:b/>
          <w:sz w:val="32"/>
          <w:szCs w:val="32"/>
          <w:lang w:val="zh-CN"/>
        </w:rPr>
      </w:pPr>
      <w:r>
        <w:rPr>
          <w:rFonts w:ascii="仿宋" w:hAnsi="仿宋" w:eastAsia="仿宋"/>
          <w:b/>
          <w:sz w:val="32"/>
          <w:szCs w:val="32"/>
          <w:lang w:val="zh-CN"/>
        </w:rPr>
        <w:t>2</w:t>
      </w:r>
      <w:r>
        <w:rPr>
          <w:rFonts w:hint="eastAsia" w:ascii="仿宋" w:hAnsi="仿宋" w:eastAsia="仿宋"/>
          <w:b/>
          <w:sz w:val="32"/>
          <w:szCs w:val="32"/>
          <w:lang w:val="zh-CN"/>
        </w:rPr>
        <w:t>．项目立项、资金申报的依据。</w:t>
      </w:r>
    </w:p>
    <w:p>
      <w:pPr>
        <w:adjustRightInd w:val="0"/>
        <w:snapToGrid w:val="0"/>
        <w:spacing w:line="600" w:lineRule="exact"/>
        <w:ind w:firstLine="720"/>
        <w:rPr>
          <w:rFonts w:ascii="仿宋_GB2312" w:hAnsi="宋体" w:eastAsia="仿宋_GB2312"/>
          <w:sz w:val="32"/>
          <w:szCs w:val="32"/>
          <w:lang w:val="zh-CN"/>
        </w:rPr>
      </w:pPr>
      <w:r>
        <w:rPr>
          <w:rFonts w:hint="eastAsia" w:ascii="仿宋" w:hAnsi="仿宋" w:eastAsia="仿宋" w:cs="仿宋_GB2312"/>
          <w:sz w:val="32"/>
          <w:szCs w:val="32"/>
        </w:rPr>
        <w:t>最高人民检察院关于印发《人民检察院国家司法救助工作细则（试行）》的通知（高检发刑申字【2016】1号）。已经2016年7月14日最高人民检察院第十二届检察委员会第五十三次会议通过。</w:t>
      </w:r>
    </w:p>
    <w:p>
      <w:pPr>
        <w:adjustRightInd w:val="0"/>
        <w:snapToGrid w:val="0"/>
        <w:spacing w:line="600" w:lineRule="exact"/>
        <w:ind w:firstLine="720"/>
        <w:rPr>
          <w:rFonts w:ascii="仿宋" w:hAnsi="仿宋" w:eastAsia="仿宋"/>
          <w:b/>
          <w:sz w:val="32"/>
          <w:szCs w:val="32"/>
          <w:lang w:val="zh-CN"/>
        </w:rPr>
      </w:pPr>
      <w:r>
        <w:rPr>
          <w:rFonts w:ascii="仿宋" w:hAnsi="仿宋" w:eastAsia="仿宋"/>
          <w:b/>
          <w:sz w:val="32"/>
          <w:szCs w:val="32"/>
          <w:lang w:val="zh-CN"/>
        </w:rPr>
        <w:t>3</w:t>
      </w:r>
      <w:r>
        <w:rPr>
          <w:rFonts w:hint="eastAsia" w:ascii="仿宋" w:hAnsi="仿宋" w:eastAsia="仿宋"/>
          <w:b/>
          <w:sz w:val="32"/>
          <w:szCs w:val="32"/>
          <w:lang w:val="zh-CN"/>
        </w:rPr>
        <w:t>．资金管理办法制定情况，资金支持具体项目的条件、范围与支持方式概况。</w:t>
      </w:r>
    </w:p>
    <w:p>
      <w:pPr>
        <w:spacing w:line="360" w:lineRule="atLeast"/>
        <w:ind w:firstLine="640" w:firstLineChars="200"/>
        <w:rPr>
          <w:rFonts w:ascii="仿宋" w:hAnsi="仿宋" w:eastAsia="仿宋"/>
          <w:color w:val="000000"/>
          <w:sz w:val="32"/>
          <w:szCs w:val="32"/>
        </w:rPr>
      </w:pPr>
      <w:r>
        <w:rPr>
          <w:rFonts w:hint="eastAsia" w:ascii="仿宋" w:hAnsi="仿宋" w:eastAsia="仿宋"/>
          <w:color w:val="000000"/>
          <w:sz w:val="32"/>
          <w:szCs w:val="32"/>
        </w:rPr>
        <w:t>人民检察院计划财务装备部门承担下列国家司法救助工作职责：编制和上报本院国家司法救助资金年度预算；向财政部门申请核拨国家司法救助金；监督国家司法救助资金的使用；协同刑事申诉检察部门发放救助金。</w:t>
      </w:r>
      <w:r>
        <w:rPr>
          <w:rFonts w:hint="eastAsia" w:ascii="仿宋" w:hAnsi="仿宋" w:eastAsia="仿宋" w:cs="仿宋_GB2312"/>
          <w:sz w:val="32"/>
          <w:szCs w:val="32"/>
        </w:rPr>
        <w:t>司法救助项目包括辅助性救助、公正救助、及时救助、属地救助。采用</w:t>
      </w:r>
      <w:r>
        <w:rPr>
          <w:rFonts w:ascii="仿宋" w:hAnsi="仿宋" w:eastAsia="仿宋" w:cs="仿宋_GB2312"/>
          <w:sz w:val="32"/>
          <w:szCs w:val="32"/>
        </w:rPr>
        <w:t>财政</w:t>
      </w:r>
      <w:r>
        <w:rPr>
          <w:rFonts w:hint="eastAsia" w:ascii="仿宋" w:hAnsi="仿宋" w:eastAsia="仿宋" w:cs="仿宋_GB2312"/>
          <w:sz w:val="32"/>
          <w:szCs w:val="32"/>
        </w:rPr>
        <w:t>国库</w:t>
      </w:r>
      <w:r>
        <w:rPr>
          <w:rFonts w:ascii="仿宋" w:hAnsi="仿宋" w:eastAsia="仿宋" w:cs="仿宋_GB2312"/>
          <w:sz w:val="32"/>
          <w:szCs w:val="32"/>
        </w:rPr>
        <w:t>集中支付</w:t>
      </w:r>
      <w:r>
        <w:rPr>
          <w:rFonts w:hint="eastAsia" w:ascii="仿宋" w:hAnsi="仿宋" w:eastAsia="仿宋" w:cs="仿宋_GB2312"/>
          <w:sz w:val="32"/>
          <w:szCs w:val="32"/>
        </w:rPr>
        <w:t>，严格按照预算执行专款专用，科学计划资金使用进度，每笔支出力求规范、合理。</w:t>
      </w:r>
    </w:p>
    <w:p>
      <w:pPr>
        <w:adjustRightInd w:val="0"/>
        <w:snapToGrid w:val="0"/>
        <w:spacing w:line="600" w:lineRule="exact"/>
        <w:ind w:firstLine="720"/>
        <w:rPr>
          <w:rFonts w:ascii="仿宋" w:hAnsi="仿宋" w:eastAsia="仿宋"/>
          <w:b/>
          <w:sz w:val="32"/>
          <w:szCs w:val="32"/>
          <w:lang w:val="zh-CN"/>
        </w:rPr>
      </w:pPr>
      <w:r>
        <w:rPr>
          <w:rFonts w:ascii="仿宋" w:hAnsi="仿宋" w:eastAsia="仿宋"/>
          <w:b/>
          <w:sz w:val="32"/>
          <w:szCs w:val="32"/>
          <w:lang w:val="zh-CN"/>
        </w:rPr>
        <w:t>4</w:t>
      </w:r>
      <w:r>
        <w:rPr>
          <w:rFonts w:hint="eastAsia" w:ascii="仿宋" w:hAnsi="仿宋" w:eastAsia="仿宋"/>
          <w:b/>
          <w:sz w:val="32"/>
          <w:szCs w:val="32"/>
          <w:lang w:val="zh-CN"/>
        </w:rPr>
        <w:t>．资金分配的原则及考虑因素。</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资金使用坚持先审批后支付的原则，</w:t>
      </w:r>
      <w:r>
        <w:rPr>
          <w:rFonts w:ascii="仿宋" w:hAnsi="仿宋" w:eastAsia="仿宋" w:cs="仿宋_GB2312"/>
          <w:sz w:val="32"/>
          <w:szCs w:val="32"/>
        </w:rPr>
        <w:t>对</w:t>
      </w:r>
      <w:r>
        <w:rPr>
          <w:rFonts w:hint="eastAsia" w:ascii="仿宋" w:hAnsi="仿宋" w:eastAsia="仿宋" w:cs="仿宋_GB2312"/>
          <w:sz w:val="32"/>
          <w:szCs w:val="32"/>
        </w:rPr>
        <w:t>国家司法救助</w:t>
      </w:r>
      <w:r>
        <w:rPr>
          <w:rFonts w:ascii="仿宋" w:hAnsi="仿宋" w:eastAsia="仿宋" w:cs="仿宋_GB2312"/>
          <w:sz w:val="32"/>
          <w:szCs w:val="32"/>
        </w:rPr>
        <w:t>专项资金建立严格的支付审批程序，加强内控管理，规范会计核算，对资金使用程序严格控制把关。</w:t>
      </w:r>
      <w:r>
        <w:rPr>
          <w:rFonts w:hint="eastAsia" w:ascii="仿宋" w:hAnsi="仿宋" w:eastAsia="仿宋" w:cs="仿宋_GB2312"/>
          <w:sz w:val="32"/>
          <w:szCs w:val="32"/>
        </w:rPr>
        <w:t>充分考虑</w:t>
      </w:r>
      <w:r>
        <w:rPr>
          <w:rFonts w:ascii="仿宋" w:hAnsi="仿宋" w:eastAsia="仿宋" w:cs="仿宋_GB2312"/>
          <w:sz w:val="32"/>
          <w:szCs w:val="32"/>
        </w:rPr>
        <w:t>项目申报立项、资金拨付与会计处理、资金到位、项目资金使用绩效评价等各个环节，从源头上予以规范，确保程序完整，操作合法合规。</w:t>
      </w:r>
    </w:p>
    <w:p>
      <w:pPr>
        <w:adjustRightInd w:val="0"/>
        <w:snapToGrid w:val="0"/>
        <w:spacing w:line="600" w:lineRule="exact"/>
        <w:ind w:firstLine="720"/>
        <w:rPr>
          <w:rFonts w:ascii="楷体" w:hAnsi="楷体" w:eastAsia="楷体"/>
          <w:sz w:val="32"/>
          <w:szCs w:val="32"/>
          <w:lang w:val="zh-CN"/>
        </w:rPr>
      </w:pPr>
      <w:r>
        <w:rPr>
          <w:rFonts w:hint="eastAsia" w:ascii="楷体" w:hAnsi="楷体" w:eastAsia="楷体"/>
          <w:sz w:val="32"/>
          <w:szCs w:val="32"/>
          <w:lang w:val="zh-CN"/>
        </w:rPr>
        <w:t>（二）项目绩效目标。</w:t>
      </w:r>
    </w:p>
    <w:p>
      <w:pPr>
        <w:adjustRightInd w:val="0"/>
        <w:snapToGrid w:val="0"/>
        <w:spacing w:line="600" w:lineRule="exact"/>
        <w:ind w:firstLine="720"/>
        <w:rPr>
          <w:rFonts w:ascii="仿宋" w:hAnsi="仿宋" w:eastAsia="仿宋"/>
          <w:b/>
          <w:sz w:val="32"/>
          <w:szCs w:val="32"/>
          <w:lang w:val="zh-CN"/>
        </w:rPr>
      </w:pPr>
      <w:r>
        <w:rPr>
          <w:rFonts w:ascii="仿宋" w:hAnsi="仿宋" w:eastAsia="仿宋"/>
          <w:b/>
          <w:sz w:val="32"/>
          <w:szCs w:val="32"/>
          <w:lang w:val="zh-CN"/>
        </w:rPr>
        <w:t>1</w:t>
      </w:r>
      <w:r>
        <w:rPr>
          <w:rFonts w:hint="eastAsia" w:ascii="仿宋" w:hAnsi="仿宋" w:eastAsia="仿宋"/>
          <w:b/>
          <w:sz w:val="32"/>
          <w:szCs w:val="32"/>
          <w:lang w:val="zh-CN"/>
        </w:rPr>
        <w:t>．项目主要内容。</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助力广元市2020年脱贫攻坚圆满收官，认真贯彻落实高检院与国务院扶贫办签订文件《关于在全国检察机关开展“深入推进国家司法救助工作”专项活动的通知》要求，充分发挥国家司法救助在脱贫攻坚中的作用。</w:t>
      </w:r>
    </w:p>
    <w:p>
      <w:pPr>
        <w:adjustRightInd w:val="0"/>
        <w:snapToGrid w:val="0"/>
        <w:spacing w:line="600" w:lineRule="exact"/>
        <w:ind w:firstLine="720"/>
        <w:rPr>
          <w:rFonts w:ascii="仿宋" w:hAnsi="仿宋" w:eastAsia="仿宋"/>
          <w:b/>
          <w:sz w:val="32"/>
          <w:szCs w:val="32"/>
          <w:lang w:val="zh-CN"/>
        </w:rPr>
      </w:pPr>
      <w:r>
        <w:rPr>
          <w:rFonts w:ascii="仿宋" w:hAnsi="仿宋" w:eastAsia="仿宋"/>
          <w:b/>
          <w:sz w:val="32"/>
          <w:szCs w:val="32"/>
          <w:lang w:val="zh-CN"/>
        </w:rPr>
        <w:t>2</w:t>
      </w:r>
      <w:r>
        <w:rPr>
          <w:rFonts w:hint="eastAsia" w:ascii="仿宋" w:hAnsi="仿宋" w:eastAsia="仿宋"/>
          <w:b/>
          <w:sz w:val="32"/>
          <w:szCs w:val="32"/>
          <w:lang w:val="zh-CN"/>
        </w:rPr>
        <w:t>．项目应实现的具体绩效目标，包括目标的量化、细化情况以及项目实施进度计划等。</w:t>
      </w:r>
    </w:p>
    <w:p>
      <w:pPr>
        <w:adjustRightInd w:val="0"/>
        <w:snapToGrid w:val="0"/>
        <w:spacing w:line="600" w:lineRule="exact"/>
        <w:ind w:firstLine="720"/>
        <w:rPr>
          <w:rFonts w:ascii="仿宋_GB2312" w:hAnsi="宋体" w:eastAsia="仿宋_GB2312"/>
          <w:sz w:val="32"/>
          <w:szCs w:val="32"/>
          <w:lang w:val="zh-CN"/>
        </w:rPr>
      </w:pPr>
      <w:r>
        <w:rPr>
          <w:rFonts w:hint="eastAsia" w:ascii="仿宋" w:hAnsi="仿宋" w:eastAsia="仿宋" w:cs="仿宋_GB2312"/>
          <w:sz w:val="32"/>
          <w:szCs w:val="32"/>
        </w:rPr>
        <w:t>司法救助为常年性、持续性项目。绩效目标为：做好与扶贫部门信息对接，拓展案源，全面消灭救助空白点、助力打赢广元2020脱贫攻坚战，避免刑事被害人因案致贫、因案返贫，同时，从项目完成指标、效益指标、满意度指标三个方面进行了细化。项目进展顺利，完成率100%。</w:t>
      </w:r>
    </w:p>
    <w:p>
      <w:pPr>
        <w:adjustRightInd w:val="0"/>
        <w:snapToGrid w:val="0"/>
        <w:spacing w:line="600" w:lineRule="exact"/>
        <w:ind w:firstLine="720"/>
        <w:rPr>
          <w:rFonts w:ascii="仿宋" w:hAnsi="仿宋" w:eastAsia="仿宋"/>
          <w:b/>
          <w:sz w:val="32"/>
          <w:szCs w:val="32"/>
          <w:lang w:val="zh-CN"/>
        </w:rPr>
      </w:pPr>
      <w:r>
        <w:rPr>
          <w:rFonts w:ascii="仿宋" w:hAnsi="仿宋" w:eastAsia="仿宋"/>
          <w:b/>
          <w:sz w:val="32"/>
          <w:szCs w:val="32"/>
          <w:lang w:val="zh-CN"/>
        </w:rPr>
        <w:t>3</w:t>
      </w:r>
      <w:r>
        <w:rPr>
          <w:rFonts w:hint="eastAsia" w:ascii="仿宋" w:hAnsi="仿宋" w:eastAsia="仿宋"/>
          <w:b/>
          <w:sz w:val="32"/>
          <w:szCs w:val="32"/>
          <w:lang w:val="zh-CN"/>
        </w:rPr>
        <w:t>．分析评价申报内容是否与实际相符，申报目标是合理可行。</w:t>
      </w:r>
    </w:p>
    <w:p>
      <w:pPr>
        <w:adjustRightInd w:val="0"/>
        <w:snapToGrid w:val="0"/>
        <w:spacing w:line="600" w:lineRule="exact"/>
        <w:ind w:firstLine="720"/>
        <w:rPr>
          <w:rFonts w:ascii="仿宋_GB2312" w:hAnsi="宋体" w:eastAsia="仿宋_GB2312"/>
          <w:sz w:val="32"/>
          <w:szCs w:val="32"/>
          <w:lang w:val="zh-CN"/>
        </w:rPr>
      </w:pPr>
      <w:r>
        <w:rPr>
          <w:rFonts w:hint="eastAsia" w:ascii="仿宋" w:hAnsi="仿宋" w:eastAsia="仿宋" w:cs="仿宋_GB2312"/>
          <w:sz w:val="32"/>
          <w:szCs w:val="32"/>
        </w:rPr>
        <w:t>绩效目标设置上，我院从收集、上报、筛查、费用控制和可持续发展上明确了合理的目标任务，符合实际。</w:t>
      </w:r>
    </w:p>
    <w:p>
      <w:pPr>
        <w:adjustRightInd w:val="0"/>
        <w:snapToGrid w:val="0"/>
        <w:spacing w:line="600" w:lineRule="exact"/>
        <w:ind w:firstLine="720"/>
        <w:rPr>
          <w:rFonts w:ascii="楷体" w:hAnsi="楷体" w:eastAsia="楷体"/>
          <w:sz w:val="32"/>
          <w:szCs w:val="32"/>
          <w:lang w:val="zh-CN"/>
        </w:rPr>
      </w:pPr>
      <w:r>
        <w:rPr>
          <w:rFonts w:hint="eastAsia" w:ascii="楷体" w:hAnsi="楷体" w:eastAsia="楷体"/>
          <w:sz w:val="32"/>
          <w:szCs w:val="32"/>
          <w:lang w:val="zh-CN"/>
        </w:rPr>
        <w:t>（三）项目自评步骤及方法。</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前期准备：按照绩效自评工作要求，组成以杨红梅同志为组长的绩效评价工作小组，对相关的国家法律法规进行了认真学习，掌握政策，根据国家司法救助工作制定了项目支出绩效评价实施方案，设计了绩效评价指标体系。</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组织实施：采用核查法核查2020年同级财政预算批复执行国家司法救助项目支出情况，着重核查了国家司法救助金登记、案件审查有关材料，必要时进行调查核实情况，根据年初制定的绩效考核目标，进行了实地绩效考评。针对司法救助情况进行了实地调研和电话走访。</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3.分析评价：对评价过程中收集资料进行归纳，汇总分析，依据国家司法救助项目支出绩效评价指标体系进行了评分，形成了综合性书面报告。</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 w:hAnsi="楷体" w:eastAsia="楷体"/>
          <w:sz w:val="32"/>
          <w:szCs w:val="32"/>
          <w:lang w:val="zh-CN"/>
        </w:rPr>
      </w:pPr>
      <w:r>
        <w:rPr>
          <w:rFonts w:hint="eastAsia" w:ascii="楷体" w:hAnsi="楷体" w:eastAsia="楷体"/>
          <w:sz w:val="32"/>
          <w:szCs w:val="32"/>
          <w:lang w:val="zh-CN"/>
        </w:rPr>
        <w:t>（一）项目资金申报及批复情况。</w:t>
      </w:r>
    </w:p>
    <w:p>
      <w:pPr>
        <w:adjustRightInd w:val="0"/>
        <w:snapToGrid w:val="0"/>
        <w:spacing w:line="600" w:lineRule="exact"/>
        <w:ind w:firstLine="720"/>
        <w:rPr>
          <w:rFonts w:ascii="仿宋" w:hAnsi="仿宋" w:eastAsia="仿宋"/>
          <w:sz w:val="32"/>
          <w:szCs w:val="32"/>
          <w:lang w:val="zh-CN"/>
        </w:rPr>
      </w:pPr>
      <w:r>
        <w:rPr>
          <w:rFonts w:hint="eastAsia" w:ascii="仿宋" w:hAnsi="仿宋" w:eastAsia="仿宋"/>
          <w:sz w:val="32"/>
          <w:szCs w:val="32"/>
          <w:lang w:val="zh-CN"/>
        </w:rPr>
        <w:t>国家司法救助项目资金年初预算资金9万元，并于批复后下达指标。2020年项目实际到位资金9万元，总支出9万元。未调整预算。</w:t>
      </w:r>
    </w:p>
    <w:p>
      <w:pPr>
        <w:adjustRightInd w:val="0"/>
        <w:snapToGrid w:val="0"/>
        <w:spacing w:line="600" w:lineRule="exact"/>
        <w:ind w:firstLine="720"/>
        <w:rPr>
          <w:rFonts w:ascii="楷体" w:hAnsi="楷体" w:eastAsia="楷体"/>
          <w:sz w:val="32"/>
          <w:szCs w:val="32"/>
          <w:lang w:val="zh-CN"/>
        </w:rPr>
      </w:pPr>
      <w:r>
        <w:rPr>
          <w:rFonts w:hint="eastAsia" w:ascii="楷体" w:hAnsi="楷体" w:eastAsia="楷体"/>
          <w:sz w:val="32"/>
          <w:szCs w:val="32"/>
          <w:lang w:val="zh-CN"/>
        </w:rPr>
        <w:t>（二）资金计划、到位及使用情况（可用表格形式反映）。</w:t>
      </w:r>
    </w:p>
    <w:p>
      <w:pPr>
        <w:adjustRightInd w:val="0"/>
        <w:snapToGrid w:val="0"/>
        <w:spacing w:line="600" w:lineRule="exact"/>
        <w:ind w:firstLine="720"/>
        <w:rPr>
          <w:rFonts w:ascii="仿宋" w:hAnsi="仿宋" w:eastAsia="仿宋"/>
          <w:sz w:val="32"/>
          <w:szCs w:val="32"/>
          <w:lang w:val="zh-CN"/>
        </w:rPr>
      </w:pPr>
      <w:r>
        <w:rPr>
          <w:rFonts w:ascii="仿宋" w:hAnsi="仿宋" w:eastAsia="仿宋"/>
          <w:b/>
          <w:sz w:val="32"/>
          <w:szCs w:val="32"/>
          <w:lang w:val="zh-CN"/>
        </w:rPr>
        <w:t>1</w:t>
      </w:r>
      <w:r>
        <w:rPr>
          <w:rFonts w:hint="eastAsia" w:ascii="仿宋" w:hAnsi="仿宋" w:eastAsia="仿宋"/>
          <w:b/>
          <w:sz w:val="32"/>
          <w:szCs w:val="32"/>
          <w:lang w:val="zh-CN"/>
        </w:rPr>
        <w:t>．资金计划。</w:t>
      </w:r>
      <w:r>
        <w:rPr>
          <w:rFonts w:hint="eastAsia" w:ascii="仿宋" w:hAnsi="仿宋" w:eastAsia="仿宋"/>
          <w:sz w:val="32"/>
          <w:szCs w:val="32"/>
          <w:lang w:val="zh-CN"/>
        </w:rPr>
        <w:t>国家司法救助项目资金9万元，全部为地方财政拨款。</w:t>
      </w:r>
    </w:p>
    <w:p>
      <w:pPr>
        <w:adjustRightInd w:val="0"/>
        <w:snapToGrid w:val="0"/>
        <w:spacing w:line="600" w:lineRule="exact"/>
        <w:ind w:firstLine="720"/>
        <w:rPr>
          <w:rFonts w:ascii="仿宋" w:hAnsi="仿宋" w:eastAsia="仿宋"/>
          <w:sz w:val="32"/>
          <w:szCs w:val="32"/>
          <w:lang w:val="zh-CN"/>
        </w:rPr>
      </w:pPr>
      <w:r>
        <w:rPr>
          <w:rFonts w:ascii="仿宋" w:hAnsi="仿宋" w:eastAsia="仿宋"/>
          <w:b/>
          <w:sz w:val="32"/>
          <w:szCs w:val="32"/>
          <w:lang w:val="zh-CN"/>
        </w:rPr>
        <w:t>2</w:t>
      </w:r>
      <w:r>
        <w:rPr>
          <w:rFonts w:hint="eastAsia" w:ascii="仿宋" w:hAnsi="仿宋" w:eastAsia="仿宋"/>
          <w:b/>
          <w:sz w:val="32"/>
          <w:szCs w:val="32"/>
          <w:lang w:val="zh-CN"/>
        </w:rPr>
        <w:t>．资金到位。</w:t>
      </w:r>
      <w:r>
        <w:rPr>
          <w:rFonts w:hint="eastAsia" w:ascii="仿宋" w:hAnsi="仿宋" w:eastAsia="仿宋"/>
          <w:sz w:val="32"/>
          <w:szCs w:val="32"/>
          <w:lang w:val="zh-CN"/>
        </w:rPr>
        <w:t>截止评价时，国家司法救助项目资金到位9万元，为地方财政拨款。资金到位率100%，该项目资金全部及时、足额到位。</w:t>
      </w:r>
    </w:p>
    <w:p>
      <w:pPr>
        <w:adjustRightInd w:val="0"/>
        <w:snapToGrid w:val="0"/>
        <w:spacing w:line="600" w:lineRule="exact"/>
        <w:ind w:firstLine="720"/>
        <w:rPr>
          <w:rFonts w:ascii="仿宋" w:hAnsi="仿宋" w:eastAsia="仿宋"/>
          <w:sz w:val="32"/>
          <w:szCs w:val="32"/>
          <w:lang w:val="zh-CN"/>
        </w:rPr>
      </w:pPr>
      <w:r>
        <w:rPr>
          <w:rFonts w:ascii="仿宋" w:hAnsi="仿宋" w:eastAsia="仿宋"/>
          <w:b/>
          <w:sz w:val="32"/>
          <w:szCs w:val="32"/>
          <w:lang w:val="zh-CN"/>
        </w:rPr>
        <w:t>3</w:t>
      </w:r>
      <w:r>
        <w:rPr>
          <w:rFonts w:hint="eastAsia" w:ascii="仿宋" w:hAnsi="仿宋" w:eastAsia="仿宋"/>
          <w:b/>
          <w:sz w:val="32"/>
          <w:szCs w:val="32"/>
          <w:lang w:val="zh-CN"/>
        </w:rPr>
        <w:t>．资金使用</w:t>
      </w:r>
      <w:r>
        <w:rPr>
          <w:rFonts w:hint="eastAsia" w:ascii="仿宋" w:hAnsi="仿宋" w:eastAsia="仿宋"/>
          <w:sz w:val="32"/>
          <w:szCs w:val="32"/>
          <w:lang w:val="zh-CN"/>
        </w:rPr>
        <w:t>。截止评价时，国家司法救助支出9万元，完成预算率100%。资金支付方式为财政国库集中支付，程序规范、票据齐全，与预算相符。</w:t>
      </w:r>
    </w:p>
    <w:p>
      <w:pPr>
        <w:adjustRightInd w:val="0"/>
        <w:snapToGrid w:val="0"/>
        <w:spacing w:line="600" w:lineRule="exact"/>
        <w:ind w:firstLine="720"/>
        <w:rPr>
          <w:rFonts w:ascii="楷体" w:hAnsi="楷体" w:eastAsia="楷体"/>
          <w:sz w:val="32"/>
          <w:szCs w:val="32"/>
          <w:lang w:val="zh-CN"/>
        </w:rPr>
      </w:pPr>
      <w:r>
        <w:rPr>
          <w:rFonts w:hint="eastAsia" w:ascii="楷体" w:hAnsi="楷体" w:eastAsia="楷体"/>
          <w:sz w:val="32"/>
          <w:szCs w:val="32"/>
          <w:lang w:val="zh-CN"/>
        </w:rPr>
        <w:t>（三）项目财务管理情况。</w:t>
      </w:r>
    </w:p>
    <w:p>
      <w:pPr>
        <w:adjustRightInd w:val="0"/>
        <w:snapToGrid w:val="0"/>
        <w:spacing w:line="600" w:lineRule="exact"/>
        <w:ind w:firstLine="720"/>
        <w:rPr>
          <w:rFonts w:ascii="仿宋" w:hAnsi="仿宋" w:eastAsia="仿宋"/>
          <w:sz w:val="32"/>
          <w:szCs w:val="32"/>
          <w:lang w:val="zh-CN"/>
        </w:rPr>
      </w:pPr>
      <w:r>
        <w:rPr>
          <w:rFonts w:hint="eastAsia" w:ascii="仿宋" w:hAnsi="仿宋" w:eastAsia="仿宋"/>
          <w:color w:val="000000"/>
          <w:sz w:val="32"/>
          <w:szCs w:val="32"/>
        </w:rPr>
        <w:t>我院建立了国家司法救助资金财务管理制度，强化监督措施，国家司法救助资金实行专款专用，不得挪作他用，</w:t>
      </w:r>
      <w:r>
        <w:rPr>
          <w:rFonts w:hint="eastAsia" w:ascii="仿宋" w:hAnsi="仿宋" w:eastAsia="仿宋"/>
          <w:sz w:val="32"/>
          <w:szCs w:val="32"/>
          <w:lang w:val="zh-CN"/>
        </w:rPr>
        <w:t>并严格执行财务管理制度，账务处理及时准确，会计核算规范。</w:t>
      </w:r>
    </w:p>
    <w:p>
      <w:pPr>
        <w:adjustRightInd w:val="0"/>
        <w:snapToGrid w:val="0"/>
        <w:spacing w:line="600" w:lineRule="exact"/>
        <w:ind w:firstLine="720"/>
        <w:rPr>
          <w:rFonts w:ascii="黑体" w:hAnsi="黑体" w:eastAsia="黑体"/>
          <w:sz w:val="32"/>
          <w:szCs w:val="32"/>
        </w:rPr>
      </w:pPr>
      <w:r>
        <w:rPr>
          <w:rFonts w:hint="eastAsia" w:ascii="黑体" w:hAnsi="黑体" w:eastAsia="黑体"/>
          <w:sz w:val="32"/>
          <w:szCs w:val="32"/>
        </w:rPr>
        <w:t>三、项目实施及管理情况</w:t>
      </w:r>
    </w:p>
    <w:p>
      <w:pPr>
        <w:adjustRightInd w:val="0"/>
        <w:snapToGrid w:val="0"/>
        <w:spacing w:line="600" w:lineRule="exact"/>
        <w:ind w:firstLine="720"/>
        <w:rPr>
          <w:rFonts w:ascii="仿宋" w:hAnsi="仿宋" w:eastAsia="仿宋"/>
          <w:sz w:val="32"/>
          <w:szCs w:val="32"/>
          <w:lang w:val="zh-CN"/>
        </w:rPr>
      </w:pPr>
      <w:r>
        <w:rPr>
          <w:rFonts w:hint="eastAsia" w:ascii="仿宋" w:hAnsi="仿宋" w:eastAsia="仿宋"/>
          <w:sz w:val="32"/>
          <w:szCs w:val="32"/>
          <w:lang w:val="zh-CN"/>
        </w:rPr>
        <w:t>结合项目组织实施管理办法，重点围绕以下内容进行分析评价，并对自评中发现的问题分析说明。</w:t>
      </w:r>
    </w:p>
    <w:p>
      <w:pPr>
        <w:adjustRightInd w:val="0"/>
        <w:snapToGrid w:val="0"/>
        <w:spacing w:line="600" w:lineRule="exact"/>
        <w:ind w:firstLine="720"/>
        <w:rPr>
          <w:rFonts w:ascii="仿宋" w:hAnsi="仿宋" w:eastAsia="仿宋"/>
          <w:b/>
          <w:sz w:val="32"/>
          <w:szCs w:val="32"/>
          <w:lang w:val="zh-CN"/>
        </w:rPr>
      </w:pPr>
      <w:r>
        <w:rPr>
          <w:rFonts w:hint="eastAsia" w:ascii="楷体" w:hAnsi="楷体" w:eastAsia="楷体"/>
          <w:sz w:val="32"/>
          <w:szCs w:val="32"/>
          <w:lang w:val="zh-CN"/>
        </w:rPr>
        <w:t>（一）项目组织架构及实施流程。</w:t>
      </w:r>
      <w:r>
        <w:rPr>
          <w:rFonts w:hint="eastAsia" w:ascii="仿宋" w:hAnsi="仿宋" w:eastAsia="仿宋"/>
          <w:sz w:val="32"/>
          <w:szCs w:val="32"/>
          <w:lang w:val="zh-CN"/>
        </w:rPr>
        <w:t>该项目由分管领导李佳负责，部门负责人游斌组织实施。</w:t>
      </w:r>
    </w:p>
    <w:p>
      <w:pPr>
        <w:adjustRightInd w:val="0"/>
        <w:snapToGrid w:val="0"/>
        <w:spacing w:line="600" w:lineRule="exact"/>
        <w:ind w:firstLine="720"/>
        <w:rPr>
          <w:rFonts w:ascii="仿宋" w:hAnsi="仿宋" w:eastAsia="仿宋"/>
          <w:sz w:val="32"/>
          <w:szCs w:val="32"/>
          <w:lang w:val="zh-CN"/>
        </w:rPr>
      </w:pPr>
      <w:r>
        <w:rPr>
          <w:rFonts w:hint="eastAsia" w:ascii="楷体" w:hAnsi="楷体" w:eastAsia="楷体"/>
          <w:sz w:val="32"/>
          <w:szCs w:val="32"/>
          <w:lang w:val="zh-CN"/>
        </w:rPr>
        <w:t>（二）项目管理情况。</w:t>
      </w:r>
      <w:r>
        <w:rPr>
          <w:rFonts w:hint="eastAsia" w:ascii="仿宋" w:hAnsi="仿宋" w:eastAsia="仿宋"/>
          <w:sz w:val="32"/>
          <w:szCs w:val="32"/>
          <w:lang w:val="zh-CN"/>
        </w:rPr>
        <w:t>国家司法救助项目实施过程中，严格执行相关法律法规及项目管理制度，资金使用符合规定，项目成果达到预期。</w:t>
      </w:r>
    </w:p>
    <w:p>
      <w:pPr>
        <w:adjustRightInd w:val="0"/>
        <w:snapToGrid w:val="0"/>
        <w:spacing w:line="600" w:lineRule="exact"/>
        <w:ind w:firstLine="720"/>
        <w:rPr>
          <w:rFonts w:ascii="仿宋" w:hAnsi="仿宋" w:eastAsia="仿宋"/>
          <w:sz w:val="32"/>
          <w:szCs w:val="32"/>
        </w:rPr>
      </w:pPr>
      <w:r>
        <w:rPr>
          <w:rFonts w:hint="eastAsia" w:ascii="楷体" w:hAnsi="楷体" w:eastAsia="楷体"/>
          <w:sz w:val="32"/>
          <w:szCs w:val="32"/>
          <w:lang w:val="zh-CN"/>
        </w:rPr>
        <w:t>（三）项目监管情况。</w:t>
      </w:r>
      <w:r>
        <w:rPr>
          <w:rFonts w:hint="eastAsia" w:ascii="仿宋" w:hAnsi="仿宋" w:eastAsia="仿宋"/>
          <w:sz w:val="32"/>
          <w:szCs w:val="32"/>
        </w:rPr>
        <w:t>严格按照预算执行专款专用，科学计划资金使用进度，每笔支出力求规范、合理。</w:t>
      </w:r>
    </w:p>
    <w:p>
      <w:pPr>
        <w:adjustRightInd w:val="0"/>
        <w:snapToGrid w:val="0"/>
        <w:spacing w:line="600" w:lineRule="exact"/>
        <w:ind w:firstLine="720"/>
        <w:rPr>
          <w:rFonts w:ascii="黑体" w:hAnsi="黑体" w:eastAsia="黑体"/>
          <w:sz w:val="32"/>
          <w:szCs w:val="32"/>
          <w:lang w:val="zh-CN"/>
        </w:rPr>
      </w:pPr>
      <w:r>
        <w:rPr>
          <w:rFonts w:hint="eastAsia" w:ascii="黑体" w:hAnsi="黑体" w:eastAsia="黑体"/>
          <w:sz w:val="32"/>
          <w:szCs w:val="32"/>
        </w:rPr>
        <w:t>四、项目绩效情况</w:t>
      </w:r>
      <w:r>
        <w:rPr>
          <w:rFonts w:ascii="黑体" w:hAnsi="黑体" w:eastAsia="黑体"/>
          <w:sz w:val="32"/>
          <w:szCs w:val="32"/>
          <w:lang w:val="zh-CN"/>
        </w:rPr>
        <w:tab/>
      </w:r>
    </w:p>
    <w:p>
      <w:pPr>
        <w:adjustRightInd w:val="0"/>
        <w:snapToGrid w:val="0"/>
        <w:spacing w:line="600" w:lineRule="exact"/>
        <w:ind w:firstLine="720"/>
        <w:rPr>
          <w:rFonts w:ascii="楷体" w:hAnsi="楷体" w:eastAsia="楷体"/>
          <w:sz w:val="32"/>
          <w:szCs w:val="32"/>
          <w:lang w:val="zh-CN"/>
        </w:rPr>
      </w:pPr>
      <w:r>
        <w:rPr>
          <w:rFonts w:hint="eastAsia" w:ascii="楷体" w:hAnsi="楷体" w:eastAsia="楷体"/>
          <w:sz w:val="32"/>
          <w:szCs w:val="32"/>
          <w:lang w:val="zh-CN"/>
        </w:rPr>
        <w:t>（一）项目完成情况。</w:t>
      </w:r>
    </w:p>
    <w:p>
      <w:pPr>
        <w:adjustRightInd w:val="0"/>
        <w:snapToGrid w:val="0"/>
        <w:spacing w:line="600" w:lineRule="exact"/>
        <w:ind w:firstLine="720"/>
        <w:rPr>
          <w:rFonts w:ascii="仿宋" w:hAnsi="仿宋" w:eastAsia="仿宋"/>
          <w:b/>
          <w:sz w:val="32"/>
          <w:szCs w:val="32"/>
          <w:lang w:val="zh-CN"/>
        </w:rPr>
      </w:pPr>
      <w:r>
        <w:rPr>
          <w:rFonts w:hint="eastAsia" w:ascii="仿宋" w:hAnsi="仿宋" w:eastAsia="仿宋"/>
          <w:sz w:val="32"/>
          <w:szCs w:val="32"/>
          <w:lang w:val="zh-CN"/>
        </w:rPr>
        <w:t>国家司法救助项目达到项目预期，截止评价时，高质量地完成了年初设定目标，并严格控制支出，未超预算。</w:t>
      </w:r>
    </w:p>
    <w:p>
      <w:pPr>
        <w:adjustRightInd w:val="0"/>
        <w:snapToGrid w:val="0"/>
        <w:spacing w:line="600" w:lineRule="exact"/>
        <w:ind w:firstLine="720"/>
        <w:rPr>
          <w:rFonts w:ascii="楷体" w:hAnsi="楷体" w:eastAsia="楷体"/>
          <w:sz w:val="32"/>
          <w:szCs w:val="32"/>
          <w:lang w:val="zh-CN"/>
        </w:rPr>
      </w:pPr>
      <w:r>
        <w:rPr>
          <w:rFonts w:hint="eastAsia" w:ascii="楷体" w:hAnsi="楷体" w:eastAsia="楷体"/>
          <w:sz w:val="32"/>
          <w:szCs w:val="32"/>
          <w:lang w:val="zh-CN"/>
        </w:rPr>
        <w:t>（二）项目效益情况。</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sz w:val="32"/>
          <w:szCs w:val="32"/>
          <w:lang w:val="zh-CN"/>
        </w:rPr>
        <w:t>通过该项目实施，</w:t>
      </w:r>
      <w:r>
        <w:rPr>
          <w:rFonts w:hint="eastAsia" w:ascii="仿宋" w:hAnsi="仿宋" w:eastAsia="仿宋" w:cs="仿宋_GB2312"/>
          <w:sz w:val="32"/>
          <w:szCs w:val="32"/>
        </w:rPr>
        <w:t>避免了刑事被害人因案致贫、因案返贫现象。</w:t>
      </w:r>
    </w:p>
    <w:p>
      <w:pPr>
        <w:adjustRightInd w:val="0"/>
        <w:snapToGrid w:val="0"/>
        <w:spacing w:line="600" w:lineRule="exact"/>
        <w:ind w:firstLine="720"/>
        <w:rPr>
          <w:rFonts w:ascii="黑体" w:hAnsi="黑体" w:eastAsia="黑体"/>
          <w:sz w:val="32"/>
          <w:szCs w:val="32"/>
        </w:rPr>
      </w:pPr>
      <w:r>
        <w:rPr>
          <w:rFonts w:hint="eastAsia" w:ascii="黑体" w:hAnsi="黑体" w:eastAsia="黑体"/>
          <w:sz w:val="32"/>
          <w:szCs w:val="32"/>
        </w:rPr>
        <w:t>五、评价结论及建议</w:t>
      </w:r>
    </w:p>
    <w:p>
      <w:pPr>
        <w:adjustRightInd w:val="0"/>
        <w:snapToGrid w:val="0"/>
        <w:spacing w:line="600" w:lineRule="exact"/>
        <w:ind w:firstLine="720"/>
        <w:rPr>
          <w:rFonts w:ascii="楷体" w:hAnsi="楷体" w:eastAsia="楷体"/>
          <w:sz w:val="32"/>
          <w:szCs w:val="32"/>
          <w:lang w:val="zh-CN"/>
        </w:rPr>
      </w:pPr>
      <w:r>
        <w:rPr>
          <w:rFonts w:hint="eastAsia" w:ascii="楷体" w:hAnsi="楷体" w:eastAsia="楷体"/>
          <w:sz w:val="32"/>
          <w:szCs w:val="32"/>
          <w:lang w:val="zh-CN"/>
        </w:rPr>
        <w:t>（一）评价结论。</w:t>
      </w:r>
    </w:p>
    <w:p>
      <w:pPr>
        <w:spacing w:line="580" w:lineRule="exact"/>
        <w:ind w:firstLine="640" w:firstLineChars="200"/>
        <w:rPr>
          <w:rFonts w:ascii="仿宋" w:hAnsi="仿宋" w:eastAsia="仿宋" w:cs="仿宋_GB2312"/>
          <w:sz w:val="32"/>
          <w:szCs w:val="32"/>
        </w:rPr>
      </w:pPr>
      <w:r>
        <w:rPr>
          <w:rFonts w:ascii="仿宋" w:hAnsi="仿宋" w:eastAsia="仿宋"/>
          <w:sz w:val="32"/>
          <w:szCs w:val="32"/>
          <w:lang w:val="zh-CN"/>
        </w:rPr>
        <w:t>项目目标完成情况</w:t>
      </w:r>
      <w:r>
        <w:rPr>
          <w:rFonts w:hint="eastAsia" w:ascii="仿宋" w:hAnsi="仿宋" w:eastAsia="仿宋"/>
          <w:sz w:val="32"/>
          <w:szCs w:val="32"/>
          <w:lang w:val="zh-CN"/>
        </w:rPr>
        <w:t>良好</w:t>
      </w:r>
      <w:r>
        <w:rPr>
          <w:rFonts w:ascii="仿宋" w:hAnsi="仿宋" w:eastAsia="仿宋"/>
          <w:sz w:val="32"/>
          <w:szCs w:val="32"/>
          <w:lang w:val="zh-CN"/>
        </w:rPr>
        <w:t>，</w:t>
      </w:r>
      <w:r>
        <w:rPr>
          <w:rFonts w:hint="eastAsia" w:ascii="仿宋" w:hAnsi="仿宋" w:eastAsia="仿宋"/>
          <w:sz w:val="32"/>
          <w:szCs w:val="32"/>
          <w:lang w:val="zh-CN"/>
        </w:rPr>
        <w:t>达成了</w:t>
      </w:r>
      <w:r>
        <w:rPr>
          <w:rFonts w:ascii="仿宋" w:hAnsi="仿宋" w:eastAsia="仿宋"/>
          <w:sz w:val="32"/>
          <w:szCs w:val="32"/>
          <w:lang w:val="zh-CN"/>
        </w:rPr>
        <w:t>项目社会效益</w:t>
      </w:r>
      <w:r>
        <w:rPr>
          <w:rFonts w:hint="eastAsia" w:ascii="仿宋" w:hAnsi="仿宋" w:eastAsia="仿宋"/>
          <w:sz w:val="32"/>
          <w:szCs w:val="32"/>
          <w:lang w:val="zh-CN"/>
        </w:rPr>
        <w:t>，利于开展各项检察工作。实现办案零差错，</w:t>
      </w:r>
      <w:r>
        <w:rPr>
          <w:rFonts w:ascii="仿宋" w:hAnsi="仿宋" w:eastAsia="仿宋"/>
          <w:sz w:val="32"/>
          <w:szCs w:val="32"/>
          <w:lang w:val="zh-CN"/>
        </w:rPr>
        <w:t>受益群体</w:t>
      </w:r>
      <w:r>
        <w:rPr>
          <w:rFonts w:hint="eastAsia" w:ascii="仿宋" w:hAnsi="仿宋" w:eastAsia="仿宋"/>
          <w:sz w:val="32"/>
          <w:szCs w:val="32"/>
          <w:lang w:val="zh-CN"/>
        </w:rPr>
        <w:t>给予肯定。</w:t>
      </w:r>
    </w:p>
    <w:p>
      <w:pPr>
        <w:adjustRightInd w:val="0"/>
        <w:snapToGrid w:val="0"/>
        <w:spacing w:line="600" w:lineRule="exact"/>
        <w:ind w:firstLine="720"/>
        <w:rPr>
          <w:rFonts w:ascii="楷体" w:hAnsi="楷体" w:eastAsia="楷体"/>
          <w:sz w:val="32"/>
          <w:szCs w:val="32"/>
          <w:lang w:val="zh-CN"/>
        </w:rPr>
      </w:pPr>
      <w:r>
        <w:rPr>
          <w:rFonts w:hint="eastAsia" w:ascii="楷体" w:hAnsi="楷体" w:eastAsia="楷体"/>
          <w:sz w:val="32"/>
          <w:szCs w:val="32"/>
          <w:lang w:val="zh-CN"/>
        </w:rPr>
        <w:t>（二）存在的问题。</w:t>
      </w:r>
    </w:p>
    <w:p>
      <w:pPr>
        <w:adjustRightInd w:val="0"/>
        <w:snapToGrid w:val="0"/>
        <w:spacing w:line="600" w:lineRule="exact"/>
        <w:ind w:firstLine="720"/>
        <w:rPr>
          <w:rFonts w:ascii="仿宋" w:hAnsi="仿宋" w:eastAsia="仿宋"/>
          <w:sz w:val="32"/>
          <w:szCs w:val="32"/>
          <w:lang w:val="zh-CN"/>
        </w:rPr>
      </w:pPr>
      <w:r>
        <w:rPr>
          <w:rFonts w:hint="eastAsia" w:ascii="仿宋" w:hAnsi="仿宋" w:eastAsia="仿宋"/>
          <w:sz w:val="32"/>
          <w:szCs w:val="32"/>
          <w:lang w:val="zh-CN"/>
        </w:rPr>
        <w:t>由于经费困难，司法救助范围很难做到面面俱到。</w:t>
      </w:r>
    </w:p>
    <w:p>
      <w:pPr>
        <w:adjustRightInd w:val="0"/>
        <w:snapToGrid w:val="0"/>
        <w:spacing w:line="600" w:lineRule="exact"/>
        <w:ind w:firstLine="720"/>
        <w:rPr>
          <w:rFonts w:ascii="楷体" w:hAnsi="楷体" w:eastAsia="楷体"/>
          <w:sz w:val="32"/>
          <w:szCs w:val="32"/>
          <w:lang w:val="zh-CN"/>
        </w:rPr>
      </w:pPr>
      <w:r>
        <w:rPr>
          <w:rFonts w:hint="eastAsia" w:ascii="楷体" w:hAnsi="楷体" w:eastAsia="楷体"/>
          <w:sz w:val="32"/>
          <w:szCs w:val="32"/>
          <w:lang w:val="zh-CN"/>
        </w:rPr>
        <w:t>（三）相关建议。</w:t>
      </w:r>
    </w:p>
    <w:p>
      <w:pPr>
        <w:adjustRightInd w:val="0"/>
        <w:snapToGrid w:val="0"/>
        <w:spacing w:line="600" w:lineRule="exact"/>
        <w:ind w:firstLine="640" w:firstLineChars="200"/>
        <w:rPr>
          <w:rFonts w:ascii="仿宋" w:hAnsi="仿宋" w:eastAsia="仿宋"/>
          <w:sz w:val="32"/>
          <w:szCs w:val="32"/>
          <w:lang w:val="zh-CN"/>
        </w:rPr>
      </w:pPr>
      <w:r>
        <w:rPr>
          <w:rFonts w:hint="eastAsia" w:ascii="仿宋" w:hAnsi="仿宋" w:eastAsia="仿宋"/>
          <w:sz w:val="32"/>
          <w:szCs w:val="32"/>
          <w:lang w:val="zh-CN"/>
        </w:rPr>
        <w:t>继续做好资金管理，响应政府“过紧日子”的号召，同时争取重点项目财政拨款。</w:t>
      </w:r>
    </w:p>
    <w:p>
      <w:pPr>
        <w:spacing w:line="600" w:lineRule="exact"/>
        <w:jc w:val="left"/>
        <w:outlineLvl w:val="0"/>
        <w:rPr>
          <w:rFonts w:ascii="仿宋" w:hAnsi="仿宋" w:eastAsia="仿宋" w:cs="仿宋_GB2312"/>
          <w:sz w:val="32"/>
          <w:szCs w:val="32"/>
        </w:rPr>
      </w:pPr>
    </w:p>
    <w:p>
      <w:pPr>
        <w:spacing w:line="600" w:lineRule="exact"/>
        <w:jc w:val="left"/>
        <w:outlineLvl w:val="0"/>
        <w:rPr>
          <w:rFonts w:ascii="仿宋" w:hAnsi="仿宋" w:eastAsia="仿宋" w:cs="仿宋_GB2312"/>
          <w:sz w:val="32"/>
          <w:szCs w:val="32"/>
        </w:rPr>
      </w:pPr>
    </w:p>
    <w:p>
      <w:pPr>
        <w:spacing w:line="600" w:lineRule="exact"/>
        <w:jc w:val="center"/>
        <w:rPr>
          <w:rFonts w:ascii="仿宋" w:hAnsi="仿宋" w:eastAsia="仿宋" w:cs="方正小标宋简体"/>
          <w:sz w:val="44"/>
          <w:szCs w:val="44"/>
        </w:rPr>
      </w:pPr>
    </w:p>
    <w:p>
      <w:pPr>
        <w:widowControl/>
        <w:jc w:val="left"/>
        <w:rPr>
          <w:rFonts w:ascii="仿宋" w:hAnsi="仿宋" w:eastAsia="仿宋" w:cs="黑体"/>
          <w:sz w:val="32"/>
          <w:szCs w:val="32"/>
        </w:rPr>
      </w:pPr>
    </w:p>
    <w:p>
      <w:pPr>
        <w:widowControl/>
        <w:jc w:val="left"/>
        <w:rPr>
          <w:rFonts w:ascii="仿宋" w:hAnsi="仿宋" w:eastAsia="仿宋" w:cs="黑体"/>
          <w:sz w:val="32"/>
          <w:szCs w:val="32"/>
        </w:rPr>
      </w:pPr>
    </w:p>
    <w:p>
      <w:pPr>
        <w:widowControl/>
        <w:jc w:val="left"/>
        <w:rPr>
          <w:rFonts w:ascii="仿宋" w:hAnsi="仿宋" w:eastAsia="仿宋" w:cs="黑体"/>
          <w:sz w:val="32"/>
          <w:szCs w:val="32"/>
        </w:rPr>
      </w:pPr>
    </w:p>
    <w:p>
      <w:pPr>
        <w:widowControl/>
        <w:jc w:val="left"/>
        <w:rPr>
          <w:rFonts w:ascii="仿宋" w:hAnsi="仿宋" w:eastAsia="仿宋" w:cs="黑体"/>
          <w:sz w:val="32"/>
          <w:szCs w:val="32"/>
        </w:rPr>
      </w:pPr>
    </w:p>
    <w:p>
      <w:pPr>
        <w:widowControl/>
        <w:jc w:val="left"/>
        <w:rPr>
          <w:rFonts w:ascii="仿宋" w:hAnsi="仿宋" w:eastAsia="仿宋" w:cs="黑体"/>
          <w:sz w:val="32"/>
          <w:szCs w:val="32"/>
        </w:rPr>
      </w:pPr>
    </w:p>
    <w:p>
      <w:pPr>
        <w:widowControl/>
        <w:jc w:val="left"/>
        <w:rPr>
          <w:rFonts w:ascii="仿宋" w:hAnsi="仿宋" w:eastAsia="仿宋" w:cs="黑体"/>
          <w:sz w:val="32"/>
          <w:szCs w:val="32"/>
        </w:rPr>
      </w:pPr>
    </w:p>
    <w:p>
      <w:pPr>
        <w:widowControl/>
        <w:jc w:val="left"/>
        <w:rPr>
          <w:rFonts w:ascii="黑体" w:hAnsi="黑体" w:eastAsia="黑体" w:cs="黑体"/>
          <w:sz w:val="32"/>
          <w:szCs w:val="32"/>
        </w:rPr>
      </w:pPr>
    </w:p>
    <w:p>
      <w:pPr>
        <w:widowControl/>
        <w:jc w:val="left"/>
        <w:rPr>
          <w:rFonts w:ascii="仿宋_GB2312" w:hAnsi="仿宋_GB2312" w:eastAsia="仿宋_GB2312" w:cs="仿宋_GB2312"/>
          <w:sz w:val="32"/>
          <w:szCs w:val="32"/>
        </w:rPr>
      </w:pPr>
      <w:r>
        <w:rPr>
          <w:rFonts w:hint="eastAsia" w:ascii="黑体" w:hAnsi="黑体" w:eastAsia="黑体" w:cs="黑体"/>
          <w:sz w:val="32"/>
          <w:szCs w:val="32"/>
        </w:rPr>
        <w:t>附件</w:t>
      </w:r>
      <w:r>
        <w:rPr>
          <w:rFonts w:ascii="黑体" w:hAnsi="黑体" w:eastAsia="黑体" w:cs="黑体"/>
          <w:sz w:val="32"/>
          <w:szCs w:val="32"/>
        </w:rPr>
        <w:t>2</w:t>
      </w:r>
    </w:p>
    <w:p>
      <w:pPr>
        <w:spacing w:line="580" w:lineRule="exact"/>
        <w:ind w:firstLine="640" w:firstLineChars="200"/>
        <w:rPr>
          <w:rFonts w:ascii="仿宋_GB2312" w:hAnsi="仿宋_GB2312" w:eastAsia="仿宋_GB2312" w:cs="仿宋_GB2312"/>
          <w:sz w:val="32"/>
          <w:szCs w:val="32"/>
        </w:rPr>
      </w:pPr>
    </w:p>
    <w:p>
      <w:pPr>
        <w:spacing w:line="600" w:lineRule="exact"/>
        <w:jc w:val="center"/>
        <w:rPr>
          <w:rFonts w:ascii="方正小标宋简体" w:hAnsi="宋体" w:eastAsia="方正小标宋简体"/>
          <w:color w:val="000000"/>
          <w:kern w:val="0"/>
          <w:sz w:val="44"/>
          <w:szCs w:val="44"/>
          <w:lang w:val="zh-CN"/>
        </w:rPr>
      </w:pPr>
      <w:r>
        <w:rPr>
          <w:rFonts w:hint="eastAsia" w:ascii="黑体" w:hAnsi="黑体" w:eastAsia="黑体" w:cs="方正小标宋简体"/>
          <w:sz w:val="44"/>
          <w:szCs w:val="44"/>
        </w:rPr>
        <w:t>智慧检察</w:t>
      </w:r>
      <w:r>
        <w:rPr>
          <w:rFonts w:hint="eastAsia" w:ascii="方正小标宋简体" w:hAnsi="宋体" w:eastAsia="方正小标宋简体"/>
          <w:color w:val="000000"/>
          <w:kern w:val="0"/>
          <w:sz w:val="44"/>
          <w:szCs w:val="44"/>
          <w:lang w:val="zh-CN"/>
        </w:rPr>
        <w:t>项目</w:t>
      </w: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rPr>
        <w:t>2020年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 w:hAnsi="楷体" w:eastAsia="楷体"/>
          <w:sz w:val="32"/>
          <w:szCs w:val="32"/>
          <w:lang w:val="zh-CN"/>
        </w:rPr>
      </w:pPr>
      <w:r>
        <w:rPr>
          <w:rFonts w:hint="eastAsia" w:ascii="楷体" w:hAnsi="楷体" w:eastAsia="楷体"/>
          <w:sz w:val="32"/>
          <w:szCs w:val="32"/>
          <w:lang w:val="zh-CN"/>
        </w:rPr>
        <w:t>（一）项目基本情况。</w:t>
      </w:r>
    </w:p>
    <w:p>
      <w:pPr>
        <w:adjustRightInd w:val="0"/>
        <w:snapToGrid w:val="0"/>
        <w:spacing w:line="600" w:lineRule="exact"/>
        <w:ind w:firstLine="629" w:firstLineChars="196"/>
        <w:rPr>
          <w:rFonts w:ascii="仿宋" w:hAnsi="仿宋" w:eastAsia="仿宋"/>
          <w:b/>
          <w:sz w:val="32"/>
          <w:szCs w:val="32"/>
          <w:lang w:val="zh-CN"/>
        </w:rPr>
      </w:pPr>
      <w:r>
        <w:rPr>
          <w:rFonts w:ascii="仿宋" w:hAnsi="仿宋" w:eastAsia="仿宋"/>
          <w:b/>
          <w:sz w:val="32"/>
          <w:szCs w:val="32"/>
          <w:lang w:val="zh-CN"/>
        </w:rPr>
        <w:t>1</w:t>
      </w:r>
      <w:r>
        <w:rPr>
          <w:rFonts w:hint="eastAsia" w:ascii="仿宋" w:hAnsi="仿宋" w:eastAsia="仿宋"/>
          <w:b/>
          <w:sz w:val="32"/>
          <w:szCs w:val="32"/>
          <w:lang w:val="zh-CN"/>
        </w:rPr>
        <w:t>．说明项目主管部门（单位）在该项目管理中的职能。</w:t>
      </w:r>
    </w:p>
    <w:p>
      <w:pPr>
        <w:pStyle w:val="31"/>
        <w:numPr>
          <w:ilvl w:val="0"/>
          <w:numId w:val="0"/>
        </w:numPr>
        <w:spacing w:after="156"/>
        <w:ind w:firstLine="560"/>
        <w:rPr>
          <w:rFonts w:eastAsia="仿宋"/>
          <w:b w:val="0"/>
          <w:bCs w:val="0"/>
          <w:kern w:val="0"/>
          <w:sz w:val="32"/>
          <w:szCs w:val="32"/>
          <w:lang w:val="en-GB"/>
        </w:rPr>
      </w:pPr>
      <w:r>
        <w:rPr>
          <w:rFonts w:hint="eastAsia" w:eastAsia="仿宋"/>
          <w:b w:val="0"/>
          <w:bCs w:val="0"/>
          <w:kern w:val="0"/>
          <w:sz w:val="32"/>
          <w:szCs w:val="32"/>
          <w:lang w:val="en-GB"/>
        </w:rPr>
        <w:t>四川省检察机关将建设覆盖省、市、县人民检察院的“检察工作网”和一体化网络。“检察工作网”是最高人民检察院于2015年建设的网络，与互联网、检察专网均物理隔离，全国检察机关机房均已联通到检察工作网主干。一体化网络以检察工作网为承载的网络基础，是检察工作网的延伸。一体化网络建设是坚持“以安全为保障、以数据为基础、以需求为导向、以应用为核心”的理念，一方面用于办理非涉密的检察办公办案业务，并通过智能辅助办案系统提升办公办案质效，另一方面为加快推进网络融合与数据融通，在符合保密规定的前提下，通过加强检察工作网、安全互信边界和网间交换系统建设，实现跨业务条线、跨部门业务协同和跨单位资源共享，为后续与公安、法院、司法行政机关和其他行政执法机关进行更深层次的网络连接和数据交互协同应用奠定基础。</w:t>
      </w:r>
    </w:p>
    <w:p>
      <w:pPr>
        <w:adjustRightInd w:val="0"/>
        <w:snapToGrid w:val="0"/>
        <w:spacing w:line="600" w:lineRule="exact"/>
        <w:ind w:firstLine="720"/>
        <w:rPr>
          <w:rFonts w:ascii="仿宋" w:hAnsi="仿宋" w:eastAsia="仿宋"/>
          <w:b/>
          <w:sz w:val="32"/>
          <w:szCs w:val="32"/>
          <w:lang w:val="zh-CN"/>
        </w:rPr>
      </w:pPr>
      <w:r>
        <w:rPr>
          <w:rFonts w:ascii="仿宋" w:hAnsi="仿宋" w:eastAsia="仿宋"/>
          <w:b/>
          <w:sz w:val="32"/>
          <w:szCs w:val="32"/>
          <w:lang w:val="zh-CN"/>
        </w:rPr>
        <w:t>2</w:t>
      </w:r>
      <w:r>
        <w:rPr>
          <w:rFonts w:hint="eastAsia" w:ascii="仿宋" w:hAnsi="仿宋" w:eastAsia="仿宋"/>
          <w:b/>
          <w:sz w:val="32"/>
          <w:szCs w:val="32"/>
          <w:lang w:val="zh-CN"/>
        </w:rPr>
        <w:t>．项目立项、资金申报的依据。</w:t>
      </w:r>
    </w:p>
    <w:p>
      <w:pPr>
        <w:adjustRightInd w:val="0"/>
        <w:snapToGrid w:val="0"/>
        <w:spacing w:line="600" w:lineRule="exact"/>
        <w:ind w:firstLine="720"/>
        <w:rPr>
          <w:rFonts w:eastAsia="仿宋"/>
          <w:kern w:val="0"/>
          <w:sz w:val="32"/>
          <w:szCs w:val="32"/>
          <w:lang w:val="en-GB"/>
        </w:rPr>
      </w:pPr>
      <w:r>
        <w:rPr>
          <w:rFonts w:hint="eastAsia" w:eastAsia="仿宋"/>
          <w:kern w:val="0"/>
          <w:sz w:val="32"/>
          <w:szCs w:val="32"/>
          <w:lang w:val="en-GB"/>
        </w:rPr>
        <w:t>广元市经济和信息化委员会《关于广元市人民检察院一体化网络建设项目通过预审的复函》（广经信函</w:t>
      </w:r>
      <w:r>
        <w:rPr>
          <w:rFonts w:hint="eastAsia" w:ascii="仿宋" w:hAnsi="仿宋" w:eastAsia="仿宋"/>
          <w:kern w:val="0"/>
          <w:sz w:val="32"/>
          <w:szCs w:val="32"/>
          <w:lang w:val="en-GB"/>
        </w:rPr>
        <w:t>〔2018〕</w:t>
      </w:r>
      <w:r>
        <w:rPr>
          <w:rFonts w:hint="eastAsia" w:eastAsia="仿宋"/>
          <w:kern w:val="0"/>
          <w:sz w:val="32"/>
          <w:szCs w:val="32"/>
          <w:lang w:val="en-GB"/>
        </w:rPr>
        <w:t>140号）</w:t>
      </w:r>
    </w:p>
    <w:p>
      <w:pPr>
        <w:adjustRightInd w:val="0"/>
        <w:snapToGrid w:val="0"/>
        <w:spacing w:line="600" w:lineRule="exact"/>
        <w:ind w:firstLine="720"/>
        <w:rPr>
          <w:rFonts w:ascii="仿宋" w:hAnsi="仿宋" w:eastAsia="仿宋"/>
          <w:kern w:val="0"/>
          <w:sz w:val="32"/>
          <w:szCs w:val="32"/>
          <w:lang w:val="en-GB"/>
        </w:rPr>
      </w:pPr>
      <w:r>
        <w:rPr>
          <w:rFonts w:hint="eastAsia" w:eastAsia="仿宋"/>
          <w:kern w:val="0"/>
          <w:sz w:val="32"/>
          <w:szCs w:val="32"/>
          <w:lang w:val="en-GB"/>
        </w:rPr>
        <w:t>广元市财政局《关于市人民政府办公室交办0677号文件办理情况的报告》（广财办理</w:t>
      </w:r>
      <w:r>
        <w:rPr>
          <w:rFonts w:hint="eastAsia" w:ascii="仿宋" w:hAnsi="仿宋" w:eastAsia="仿宋"/>
          <w:kern w:val="0"/>
          <w:sz w:val="32"/>
          <w:szCs w:val="32"/>
          <w:lang w:val="en-GB"/>
        </w:rPr>
        <w:t>〔2019〕51号）</w:t>
      </w:r>
    </w:p>
    <w:p>
      <w:pPr>
        <w:adjustRightInd w:val="0"/>
        <w:snapToGrid w:val="0"/>
        <w:spacing w:line="600" w:lineRule="exact"/>
        <w:ind w:firstLine="720"/>
        <w:rPr>
          <w:rFonts w:ascii="仿宋" w:hAnsi="仿宋" w:eastAsia="仿宋"/>
          <w:kern w:val="0"/>
          <w:sz w:val="32"/>
          <w:szCs w:val="32"/>
          <w:lang w:val="en-GB"/>
        </w:rPr>
      </w:pPr>
      <w:r>
        <w:rPr>
          <w:rFonts w:hint="eastAsia" w:ascii="仿宋" w:hAnsi="仿宋" w:eastAsia="仿宋"/>
          <w:kern w:val="0"/>
          <w:sz w:val="32"/>
          <w:szCs w:val="32"/>
          <w:lang w:val="en-GB"/>
        </w:rPr>
        <w:t>广元市发展和改革委员会《</w:t>
      </w:r>
      <w:r>
        <w:rPr>
          <w:rFonts w:hint="eastAsia" w:eastAsia="仿宋"/>
          <w:kern w:val="0"/>
          <w:sz w:val="32"/>
          <w:szCs w:val="32"/>
          <w:lang w:val="en-GB"/>
        </w:rPr>
        <w:t>关于市人民政府办公室0677号交办件办理情况的报告》（广发改</w:t>
      </w:r>
      <w:r>
        <w:rPr>
          <w:rFonts w:hint="eastAsia" w:ascii="仿宋" w:hAnsi="仿宋" w:eastAsia="仿宋"/>
          <w:kern w:val="0"/>
          <w:sz w:val="32"/>
          <w:szCs w:val="32"/>
          <w:lang w:val="en-GB"/>
        </w:rPr>
        <w:t>〔2019〕239号）</w:t>
      </w:r>
    </w:p>
    <w:p>
      <w:pPr>
        <w:adjustRightInd w:val="0"/>
        <w:snapToGrid w:val="0"/>
        <w:spacing w:line="600" w:lineRule="exact"/>
        <w:ind w:firstLine="720"/>
        <w:rPr>
          <w:rFonts w:ascii="仿宋" w:hAnsi="仿宋" w:eastAsia="仿宋"/>
          <w:kern w:val="0"/>
          <w:sz w:val="32"/>
          <w:szCs w:val="32"/>
          <w:lang w:val="en-GB"/>
        </w:rPr>
      </w:pPr>
      <w:r>
        <w:rPr>
          <w:rFonts w:hint="eastAsia" w:ascii="仿宋" w:hAnsi="仿宋" w:eastAsia="仿宋"/>
          <w:kern w:val="0"/>
          <w:sz w:val="32"/>
          <w:szCs w:val="32"/>
          <w:lang w:val="en-GB"/>
        </w:rPr>
        <w:t>市政府常务会议 七届第66次19号决议</w:t>
      </w:r>
    </w:p>
    <w:p>
      <w:pPr>
        <w:adjustRightInd w:val="0"/>
        <w:snapToGrid w:val="0"/>
        <w:spacing w:line="600" w:lineRule="exact"/>
        <w:ind w:firstLine="720"/>
        <w:rPr>
          <w:rFonts w:ascii="仿宋" w:hAnsi="仿宋" w:eastAsia="仿宋"/>
          <w:kern w:val="0"/>
          <w:sz w:val="32"/>
          <w:szCs w:val="32"/>
          <w:lang w:val="en-GB"/>
        </w:rPr>
      </w:pPr>
      <w:r>
        <w:rPr>
          <w:rFonts w:hint="eastAsia" w:ascii="仿宋" w:hAnsi="仿宋" w:eastAsia="仿宋"/>
          <w:kern w:val="0"/>
          <w:sz w:val="32"/>
          <w:szCs w:val="32"/>
          <w:lang w:val="en-GB"/>
        </w:rPr>
        <w:t>广元市发展和改革委员会《</w:t>
      </w:r>
      <w:r>
        <w:rPr>
          <w:rFonts w:hint="eastAsia" w:eastAsia="仿宋"/>
          <w:kern w:val="0"/>
          <w:sz w:val="32"/>
          <w:szCs w:val="32"/>
          <w:lang w:val="en-GB"/>
        </w:rPr>
        <w:t>关于广元市人民检察院一体化网络建设项目可行性研究报告的批复》（广发改</w:t>
      </w:r>
      <w:r>
        <w:rPr>
          <w:rFonts w:hint="eastAsia" w:ascii="仿宋" w:hAnsi="仿宋" w:eastAsia="仿宋"/>
          <w:kern w:val="0"/>
          <w:sz w:val="32"/>
          <w:szCs w:val="32"/>
          <w:lang w:val="en-GB"/>
        </w:rPr>
        <w:t>〔2019〕527号）</w:t>
      </w:r>
    </w:p>
    <w:p>
      <w:pPr>
        <w:adjustRightInd w:val="0"/>
        <w:snapToGrid w:val="0"/>
        <w:spacing w:line="600" w:lineRule="exact"/>
        <w:ind w:firstLine="720"/>
        <w:rPr>
          <w:rFonts w:ascii="仿宋" w:hAnsi="仿宋" w:eastAsia="仿宋"/>
          <w:b/>
          <w:sz w:val="32"/>
          <w:szCs w:val="32"/>
          <w:lang w:val="zh-CN"/>
        </w:rPr>
      </w:pPr>
      <w:r>
        <w:rPr>
          <w:rFonts w:ascii="仿宋" w:hAnsi="仿宋" w:eastAsia="仿宋"/>
          <w:b/>
          <w:sz w:val="32"/>
          <w:szCs w:val="32"/>
          <w:lang w:val="zh-CN"/>
        </w:rPr>
        <w:t>3</w:t>
      </w:r>
      <w:r>
        <w:rPr>
          <w:rFonts w:hint="eastAsia" w:ascii="仿宋" w:hAnsi="仿宋" w:eastAsia="仿宋"/>
          <w:b/>
          <w:sz w:val="32"/>
          <w:szCs w:val="32"/>
          <w:lang w:val="zh-CN"/>
        </w:rPr>
        <w:t>．资金管理办法制定情况，资金支持具体项目的条件、范围与支持方式概况。</w:t>
      </w:r>
    </w:p>
    <w:p>
      <w:pPr>
        <w:spacing w:line="360" w:lineRule="atLeast"/>
        <w:ind w:firstLine="640" w:firstLineChars="200"/>
        <w:rPr>
          <w:rFonts w:ascii="仿宋" w:hAnsi="仿宋" w:eastAsia="仿宋"/>
          <w:color w:val="000000"/>
          <w:sz w:val="32"/>
          <w:szCs w:val="32"/>
        </w:rPr>
      </w:pPr>
      <w:r>
        <w:rPr>
          <w:rFonts w:hint="eastAsia" w:ascii="仿宋" w:hAnsi="仿宋" w:eastAsia="仿宋" w:cs="仿宋_GB2312"/>
          <w:sz w:val="32"/>
          <w:szCs w:val="32"/>
        </w:rPr>
        <w:t>智慧检察项目资金按合同约定和工程进度以及院内财务管理制度、审批流程进行支付。采用</w:t>
      </w:r>
      <w:r>
        <w:rPr>
          <w:rFonts w:ascii="仿宋" w:hAnsi="仿宋" w:eastAsia="仿宋" w:cs="仿宋_GB2312"/>
          <w:sz w:val="32"/>
          <w:szCs w:val="32"/>
        </w:rPr>
        <w:t>财政</w:t>
      </w:r>
      <w:r>
        <w:rPr>
          <w:rFonts w:hint="eastAsia" w:ascii="仿宋" w:hAnsi="仿宋" w:eastAsia="仿宋" w:cs="仿宋_GB2312"/>
          <w:sz w:val="32"/>
          <w:szCs w:val="32"/>
        </w:rPr>
        <w:t>国库</w:t>
      </w:r>
      <w:r>
        <w:rPr>
          <w:rFonts w:ascii="仿宋" w:hAnsi="仿宋" w:eastAsia="仿宋" w:cs="仿宋_GB2312"/>
          <w:sz w:val="32"/>
          <w:szCs w:val="32"/>
        </w:rPr>
        <w:t>集中支付</w:t>
      </w:r>
      <w:r>
        <w:rPr>
          <w:rFonts w:hint="eastAsia" w:ascii="仿宋" w:hAnsi="仿宋" w:eastAsia="仿宋" w:cs="仿宋_GB2312"/>
          <w:sz w:val="32"/>
          <w:szCs w:val="32"/>
        </w:rPr>
        <w:t>，严格按照预算执行专款专用，科学计划资金使用进度，每笔支出力求规范、合理。</w:t>
      </w:r>
    </w:p>
    <w:p>
      <w:pPr>
        <w:adjustRightInd w:val="0"/>
        <w:snapToGrid w:val="0"/>
        <w:spacing w:line="600" w:lineRule="exact"/>
        <w:ind w:firstLine="720"/>
        <w:rPr>
          <w:rFonts w:ascii="仿宋" w:hAnsi="仿宋" w:eastAsia="仿宋"/>
          <w:b/>
          <w:sz w:val="32"/>
          <w:szCs w:val="32"/>
          <w:lang w:val="zh-CN"/>
        </w:rPr>
      </w:pPr>
      <w:r>
        <w:rPr>
          <w:rFonts w:ascii="仿宋" w:hAnsi="仿宋" w:eastAsia="仿宋"/>
          <w:b/>
          <w:sz w:val="32"/>
          <w:szCs w:val="32"/>
          <w:lang w:val="zh-CN"/>
        </w:rPr>
        <w:t>4</w:t>
      </w:r>
      <w:r>
        <w:rPr>
          <w:rFonts w:hint="eastAsia" w:ascii="仿宋" w:hAnsi="仿宋" w:eastAsia="仿宋"/>
          <w:b/>
          <w:sz w:val="32"/>
          <w:szCs w:val="32"/>
          <w:lang w:val="zh-CN"/>
        </w:rPr>
        <w:t>．资金分配的原则及考虑因素。</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资金使用坚持先审批后支付的原则，</w:t>
      </w:r>
      <w:r>
        <w:rPr>
          <w:rFonts w:ascii="仿宋" w:hAnsi="仿宋" w:eastAsia="仿宋" w:cs="仿宋_GB2312"/>
          <w:sz w:val="32"/>
          <w:szCs w:val="32"/>
        </w:rPr>
        <w:t>对</w:t>
      </w:r>
      <w:r>
        <w:rPr>
          <w:rFonts w:hint="eastAsia" w:ascii="仿宋" w:hAnsi="仿宋" w:eastAsia="仿宋" w:cs="仿宋_GB2312"/>
          <w:sz w:val="32"/>
          <w:szCs w:val="32"/>
        </w:rPr>
        <w:t>智慧检察</w:t>
      </w:r>
      <w:r>
        <w:rPr>
          <w:rFonts w:ascii="仿宋" w:hAnsi="仿宋" w:eastAsia="仿宋" w:cs="仿宋_GB2312"/>
          <w:sz w:val="32"/>
          <w:szCs w:val="32"/>
        </w:rPr>
        <w:t>专项资金建立严格的支付审批程序，加强内控管理，规范会计核算，对资金使用程序严格控制把关。</w:t>
      </w:r>
      <w:r>
        <w:rPr>
          <w:rFonts w:hint="eastAsia" w:ascii="仿宋" w:hAnsi="仿宋" w:eastAsia="仿宋" w:cs="仿宋_GB2312"/>
          <w:sz w:val="32"/>
          <w:szCs w:val="32"/>
        </w:rPr>
        <w:t>充分考虑</w:t>
      </w:r>
      <w:r>
        <w:rPr>
          <w:rFonts w:ascii="仿宋" w:hAnsi="仿宋" w:eastAsia="仿宋" w:cs="仿宋_GB2312"/>
          <w:sz w:val="32"/>
          <w:szCs w:val="32"/>
        </w:rPr>
        <w:t>项目申报立项、资金拨付与会计处理、资金到位、项目资金使用绩效评价等各个环节，从源头上予以规范，确保程序完整，操作合法合规。</w:t>
      </w:r>
    </w:p>
    <w:p>
      <w:pPr>
        <w:adjustRightInd w:val="0"/>
        <w:snapToGrid w:val="0"/>
        <w:spacing w:line="600" w:lineRule="exact"/>
        <w:ind w:firstLine="720"/>
        <w:rPr>
          <w:rFonts w:ascii="楷体" w:hAnsi="楷体" w:eastAsia="楷体"/>
          <w:sz w:val="32"/>
          <w:szCs w:val="32"/>
          <w:lang w:val="zh-CN"/>
        </w:rPr>
      </w:pPr>
      <w:r>
        <w:rPr>
          <w:rFonts w:hint="eastAsia" w:ascii="楷体" w:hAnsi="楷体" w:eastAsia="楷体"/>
          <w:sz w:val="32"/>
          <w:szCs w:val="32"/>
          <w:lang w:val="zh-CN"/>
        </w:rPr>
        <w:t>（二）项目绩效目标。</w:t>
      </w:r>
    </w:p>
    <w:p>
      <w:pPr>
        <w:adjustRightInd w:val="0"/>
        <w:snapToGrid w:val="0"/>
        <w:spacing w:line="600" w:lineRule="exact"/>
        <w:ind w:firstLine="720"/>
        <w:rPr>
          <w:rFonts w:ascii="仿宋" w:hAnsi="仿宋" w:eastAsia="仿宋"/>
          <w:b/>
          <w:sz w:val="32"/>
          <w:szCs w:val="32"/>
          <w:lang w:val="zh-CN"/>
        </w:rPr>
      </w:pPr>
      <w:r>
        <w:rPr>
          <w:rFonts w:ascii="仿宋" w:hAnsi="仿宋" w:eastAsia="仿宋"/>
          <w:b/>
          <w:sz w:val="32"/>
          <w:szCs w:val="32"/>
          <w:lang w:val="zh-CN"/>
        </w:rPr>
        <w:t>1</w:t>
      </w:r>
      <w:r>
        <w:rPr>
          <w:rFonts w:hint="eastAsia" w:ascii="仿宋" w:hAnsi="仿宋" w:eastAsia="仿宋"/>
          <w:b/>
          <w:sz w:val="32"/>
          <w:szCs w:val="32"/>
          <w:lang w:val="zh-CN"/>
        </w:rPr>
        <w:t>．项目主要内容。</w:t>
      </w:r>
    </w:p>
    <w:p>
      <w:pPr>
        <w:ind w:firstLine="640" w:firstLineChars="200"/>
        <w:rPr>
          <w:rFonts w:ascii="仿宋" w:hAnsi="仿宋" w:eastAsia="仿宋"/>
          <w:sz w:val="32"/>
          <w:szCs w:val="32"/>
        </w:rPr>
      </w:pPr>
      <w:r>
        <w:rPr>
          <w:rFonts w:hint="eastAsia" w:ascii="仿宋" w:hAnsi="仿宋" w:eastAsia="仿宋"/>
          <w:sz w:val="32"/>
          <w:szCs w:val="32"/>
        </w:rPr>
        <w:t>目前检察机关涉密与非涉密数据与信息均主要存储在涉密网（检察专网），“全国检察机关统一业务应用软件”运行在检察专网上。检察专网的涉密属性使得检察机关大量非涉密案件数据的处理、利用受到限制，成为“信息孤岛”，与公安、法院、司法行政机关和其他行政执法机关的数据交换、共享受到限制，对实施最高人民检察院、四川省人民检察院“智慧检察”工程造成影响。在大数据、云计算愈加成熟、应用愈加广泛的大背景下，检察工作网和一体化网络应运而生。以“保障应用、确保安全”为前提，依据国家网络安全等级保护三级标准要求，建立和完善检察工作网网络安全保障系统，提高检察工作网整体防护水平，形成与智慧检察相适应的智能化网络安全保障系统，在此基础上，部署应用系统和信息资源，使检察工作人员能够在检察工作网中完成非涉密信息办公、办案和智能辅助，同时实现与公安、法院、司法等政法部门的业务协同，与其他检察办案相关行政执法部门之间进行数据交换。</w:t>
      </w:r>
    </w:p>
    <w:p>
      <w:pPr>
        <w:adjustRightInd w:val="0"/>
        <w:snapToGrid w:val="0"/>
        <w:spacing w:line="600" w:lineRule="exact"/>
        <w:ind w:firstLine="720"/>
        <w:rPr>
          <w:rFonts w:ascii="仿宋" w:hAnsi="仿宋" w:eastAsia="仿宋"/>
          <w:b/>
          <w:sz w:val="32"/>
          <w:szCs w:val="32"/>
          <w:lang w:val="zh-CN"/>
        </w:rPr>
      </w:pPr>
      <w:r>
        <w:rPr>
          <w:rFonts w:ascii="仿宋" w:hAnsi="仿宋" w:eastAsia="仿宋"/>
          <w:b/>
          <w:sz w:val="32"/>
          <w:szCs w:val="32"/>
          <w:lang w:val="zh-CN"/>
        </w:rPr>
        <w:t>2</w:t>
      </w:r>
      <w:r>
        <w:rPr>
          <w:rFonts w:hint="eastAsia" w:ascii="仿宋" w:hAnsi="仿宋" w:eastAsia="仿宋"/>
          <w:b/>
          <w:sz w:val="32"/>
          <w:szCs w:val="32"/>
          <w:lang w:val="zh-CN"/>
        </w:rPr>
        <w:t>．项目应实现的具体绩效目标，包括目标的量化、细化情况以及项目实施进度计划等。</w:t>
      </w:r>
    </w:p>
    <w:p>
      <w:pPr>
        <w:tabs>
          <w:tab w:val="left" w:pos="312"/>
        </w:tabs>
        <w:spacing w:line="520" w:lineRule="exact"/>
        <w:ind w:firstLine="640" w:firstLineChars="200"/>
        <w:rPr>
          <w:rFonts w:ascii="仿宋" w:hAnsi="仿宋" w:eastAsia="仿宋"/>
          <w:color w:val="000000"/>
          <w:sz w:val="32"/>
          <w:szCs w:val="32"/>
        </w:rPr>
      </w:pPr>
      <w:r>
        <w:rPr>
          <w:rFonts w:hint="eastAsia" w:ascii="仿宋" w:hAnsi="仿宋" w:eastAsia="仿宋" w:cs="仿宋_GB2312"/>
          <w:sz w:val="32"/>
          <w:szCs w:val="32"/>
        </w:rPr>
        <w:t>智慧检察为阶段性项目。绩效目标为：</w:t>
      </w:r>
      <w:r>
        <w:rPr>
          <w:rFonts w:hint="eastAsia" w:ascii="仿宋" w:hAnsi="仿宋" w:eastAsia="仿宋"/>
          <w:sz w:val="32"/>
          <w:szCs w:val="32"/>
        </w:rPr>
        <w:t>项目经济与社会效益明显。首先，检察数据与公安、法院、司法行政机关及其他行政单位打通，打破检察机关现有涉密网信息孤岛的现状，实现各单位数据共享，大大节约传统人工办案模式带来的的成本损坏。其次，</w:t>
      </w:r>
      <w:r>
        <w:rPr>
          <w:rFonts w:ascii="仿宋" w:hAnsi="仿宋" w:eastAsia="仿宋"/>
          <w:sz w:val="32"/>
          <w:szCs w:val="32"/>
        </w:rPr>
        <w:t>有利于提高</w:t>
      </w:r>
      <w:r>
        <w:rPr>
          <w:rFonts w:hint="eastAsia" w:ascii="仿宋" w:hAnsi="仿宋" w:eastAsia="仿宋"/>
          <w:sz w:val="32"/>
          <w:szCs w:val="32"/>
        </w:rPr>
        <w:t>司法</w:t>
      </w:r>
      <w:r>
        <w:rPr>
          <w:rFonts w:ascii="仿宋" w:hAnsi="仿宋" w:eastAsia="仿宋"/>
          <w:sz w:val="32"/>
          <w:szCs w:val="32"/>
        </w:rPr>
        <w:t>工作效率和效益</w:t>
      </w:r>
      <w:r>
        <w:rPr>
          <w:rFonts w:hint="eastAsia" w:ascii="仿宋" w:hAnsi="仿宋" w:eastAsia="仿宋"/>
          <w:sz w:val="32"/>
          <w:szCs w:val="32"/>
        </w:rPr>
        <w:t>。采用信息化手段使检察院在案件审理、诉讼效率和得到改善和提高。在促进检察手段现代化的基础上，实现有关公检法信息资源、物质资源及技术管理方面资源的合理配置，在资源充分共享的基础上更好的促进司法统一，并为人民群众营造良好、方便的诉讼环境，为形成全面的良好法治环境等提供详实的信息支持和服务，进一步构建政法工作沟通协作平台，</w:t>
      </w:r>
      <w:r>
        <w:rPr>
          <w:rFonts w:ascii="仿宋" w:hAnsi="仿宋" w:eastAsia="仿宋"/>
          <w:sz w:val="32"/>
          <w:szCs w:val="32"/>
        </w:rPr>
        <w:t>降低</w:t>
      </w:r>
      <w:r>
        <w:rPr>
          <w:rFonts w:hint="eastAsia" w:ascii="仿宋" w:hAnsi="仿宋" w:eastAsia="仿宋"/>
          <w:sz w:val="32"/>
          <w:szCs w:val="32"/>
        </w:rPr>
        <w:t>管理</w:t>
      </w:r>
      <w:r>
        <w:rPr>
          <w:rFonts w:ascii="仿宋" w:hAnsi="仿宋" w:eastAsia="仿宋"/>
          <w:sz w:val="32"/>
          <w:szCs w:val="32"/>
        </w:rPr>
        <w:t>成本，</w:t>
      </w:r>
      <w:r>
        <w:rPr>
          <w:rFonts w:hint="eastAsia" w:ascii="仿宋" w:hAnsi="仿宋" w:eastAsia="仿宋"/>
          <w:sz w:val="32"/>
          <w:szCs w:val="32"/>
        </w:rPr>
        <w:t>创新管理模式，从而取得较好的社会和司法效益。</w:t>
      </w:r>
      <w:r>
        <w:rPr>
          <w:rFonts w:hint="eastAsia" w:ascii="仿宋" w:hAnsi="仿宋" w:eastAsia="仿宋" w:cs="仿宋_GB2312"/>
          <w:sz w:val="32"/>
          <w:szCs w:val="32"/>
        </w:rPr>
        <w:t>从项目完成指标、效益指标、满意度指标三个方面进行了细化。</w:t>
      </w:r>
    </w:p>
    <w:p>
      <w:pPr>
        <w:adjustRightInd w:val="0"/>
        <w:snapToGrid w:val="0"/>
        <w:spacing w:line="600" w:lineRule="exact"/>
        <w:ind w:firstLine="720"/>
        <w:rPr>
          <w:rFonts w:ascii="仿宋" w:hAnsi="仿宋" w:eastAsia="仿宋"/>
          <w:b/>
          <w:sz w:val="32"/>
          <w:szCs w:val="32"/>
          <w:lang w:val="zh-CN"/>
        </w:rPr>
      </w:pPr>
      <w:r>
        <w:rPr>
          <w:rFonts w:ascii="仿宋" w:hAnsi="仿宋" w:eastAsia="仿宋"/>
          <w:b/>
          <w:sz w:val="32"/>
          <w:szCs w:val="32"/>
          <w:lang w:val="zh-CN"/>
        </w:rPr>
        <w:t>3</w:t>
      </w:r>
      <w:r>
        <w:rPr>
          <w:rFonts w:hint="eastAsia" w:ascii="仿宋" w:hAnsi="仿宋" w:eastAsia="仿宋"/>
          <w:b/>
          <w:sz w:val="32"/>
          <w:szCs w:val="32"/>
          <w:lang w:val="zh-CN"/>
        </w:rPr>
        <w:t>．分析评价申报内容是否与实际相符，申报目标是合理可行。</w:t>
      </w:r>
    </w:p>
    <w:p>
      <w:pPr>
        <w:ind w:firstLine="640" w:firstLineChars="200"/>
      </w:pPr>
      <w:r>
        <w:rPr>
          <w:rFonts w:hint="eastAsia" w:ascii="仿宋" w:hAnsi="仿宋" w:eastAsia="仿宋" w:cs="仿宋_GB2312"/>
          <w:sz w:val="32"/>
          <w:szCs w:val="32"/>
        </w:rPr>
        <w:t>绩效目标设置上，我院从收集、上报、筛查、费用控制和可持续发展上明确了合理的目标任务，符合实际。</w:t>
      </w:r>
    </w:p>
    <w:p>
      <w:pPr>
        <w:adjustRightInd w:val="0"/>
        <w:snapToGrid w:val="0"/>
        <w:spacing w:line="600" w:lineRule="exact"/>
        <w:ind w:firstLine="720"/>
        <w:rPr>
          <w:rFonts w:ascii="楷体" w:hAnsi="楷体" w:eastAsia="楷体"/>
          <w:sz w:val="32"/>
          <w:szCs w:val="32"/>
          <w:lang w:val="zh-CN"/>
        </w:rPr>
      </w:pPr>
      <w:r>
        <w:rPr>
          <w:rFonts w:hint="eastAsia" w:ascii="楷体" w:hAnsi="楷体" w:eastAsia="楷体"/>
          <w:sz w:val="32"/>
          <w:szCs w:val="32"/>
          <w:lang w:val="zh-CN"/>
        </w:rPr>
        <w:t>（三）项目自评步骤及方法。</w:t>
      </w:r>
    </w:p>
    <w:p>
      <w:pPr>
        <w:ind w:firstLine="640" w:firstLineChars="200"/>
        <w:rPr>
          <w:rFonts w:ascii="仿宋" w:hAnsi="仿宋" w:eastAsia="仿宋"/>
          <w:sz w:val="32"/>
          <w:szCs w:val="32"/>
        </w:rPr>
      </w:pPr>
      <w:r>
        <w:rPr>
          <w:rFonts w:hint="eastAsia" w:ascii="仿宋" w:hAnsi="仿宋" w:eastAsia="仿宋" w:cs="仿宋_GB2312"/>
          <w:sz w:val="32"/>
          <w:szCs w:val="32"/>
        </w:rPr>
        <w:t>1.前期准备：按照绩效自评工作要求，组成以杨红梅同志为组长的绩效评价工作小组，</w:t>
      </w:r>
      <w:r>
        <w:rPr>
          <w:rFonts w:ascii="仿宋" w:hAnsi="仿宋" w:eastAsia="仿宋"/>
          <w:sz w:val="32"/>
          <w:szCs w:val="32"/>
        </w:rPr>
        <w:t>组织、编写可行性研究报告，制订项目</w:t>
      </w:r>
      <w:r>
        <w:rPr>
          <w:rFonts w:hint="eastAsia" w:ascii="仿宋" w:hAnsi="仿宋" w:eastAsia="仿宋"/>
          <w:sz w:val="32"/>
          <w:szCs w:val="32"/>
        </w:rPr>
        <w:t>设计</w:t>
      </w:r>
      <w:r>
        <w:rPr>
          <w:rFonts w:ascii="仿宋" w:hAnsi="仿宋" w:eastAsia="仿宋"/>
          <w:sz w:val="32"/>
          <w:szCs w:val="32"/>
        </w:rPr>
        <w:t>方案，组织工程实施和质量管理，协调工程的验收和移交。</w:t>
      </w:r>
      <w:r>
        <w:rPr>
          <w:rFonts w:hint="eastAsia" w:ascii="仿宋" w:hAnsi="仿宋" w:eastAsia="仿宋" w:cs="仿宋_GB2312"/>
          <w:sz w:val="32"/>
          <w:szCs w:val="32"/>
        </w:rPr>
        <w:t>根据智慧检察制定了项目支出绩效评价实施方案，设计了绩效评价指标体系。</w:t>
      </w:r>
    </w:p>
    <w:p>
      <w:pPr>
        <w:ind w:firstLine="640" w:firstLineChars="200"/>
        <w:rPr>
          <w:rFonts w:ascii="仿宋" w:hAnsi="仿宋" w:eastAsia="仿宋"/>
          <w:sz w:val="32"/>
          <w:szCs w:val="32"/>
        </w:rPr>
      </w:pPr>
      <w:r>
        <w:rPr>
          <w:rFonts w:hint="eastAsia" w:ascii="仿宋" w:hAnsi="仿宋" w:eastAsia="仿宋" w:cs="仿宋_GB2312"/>
          <w:sz w:val="32"/>
          <w:szCs w:val="32"/>
        </w:rPr>
        <w:t>2.组织实施：</w:t>
      </w:r>
      <w:r>
        <w:rPr>
          <w:rFonts w:hint="eastAsia" w:ascii="仿宋" w:hAnsi="仿宋" w:eastAsia="仿宋"/>
          <w:sz w:val="32"/>
          <w:szCs w:val="32"/>
        </w:rPr>
        <w:t>编制资金预算，</w:t>
      </w:r>
      <w:r>
        <w:rPr>
          <w:rFonts w:ascii="仿宋" w:hAnsi="仿宋" w:eastAsia="仿宋"/>
          <w:sz w:val="32"/>
          <w:szCs w:val="32"/>
        </w:rPr>
        <w:t>协调落实政府资金，负责项目资金管理</w:t>
      </w:r>
      <w:r>
        <w:rPr>
          <w:rFonts w:hint="eastAsia" w:ascii="仿宋" w:hAnsi="仿宋" w:eastAsia="仿宋"/>
          <w:sz w:val="32"/>
          <w:szCs w:val="32"/>
        </w:rPr>
        <w:t>、</w:t>
      </w:r>
      <w:r>
        <w:rPr>
          <w:rFonts w:ascii="仿宋" w:hAnsi="仿宋" w:eastAsia="仿宋"/>
          <w:sz w:val="32"/>
          <w:szCs w:val="32"/>
        </w:rPr>
        <w:t>支付。由项目相关领域的专家</w:t>
      </w:r>
      <w:r>
        <w:rPr>
          <w:rFonts w:hint="eastAsia" w:ascii="仿宋" w:hAnsi="仿宋" w:eastAsia="仿宋"/>
          <w:sz w:val="32"/>
          <w:szCs w:val="32"/>
        </w:rPr>
        <w:t>组成专家组</w:t>
      </w:r>
      <w:r>
        <w:rPr>
          <w:rFonts w:ascii="仿宋" w:hAnsi="仿宋" w:eastAsia="仿宋"/>
          <w:sz w:val="32"/>
          <w:szCs w:val="32"/>
        </w:rPr>
        <w:t>，为本项目的设计和实施提供咨询和建议，协助审核各阶段的计划、</w:t>
      </w:r>
      <w:r>
        <w:rPr>
          <w:rFonts w:hint="eastAsia" w:ascii="仿宋" w:hAnsi="仿宋" w:eastAsia="仿宋"/>
          <w:sz w:val="32"/>
          <w:szCs w:val="32"/>
        </w:rPr>
        <w:t>报告、</w:t>
      </w:r>
      <w:r>
        <w:rPr>
          <w:rFonts w:ascii="仿宋" w:hAnsi="仿宋" w:eastAsia="仿宋"/>
          <w:sz w:val="32"/>
          <w:szCs w:val="32"/>
        </w:rPr>
        <w:t>方案，对重大变更向领导小组提供建议。</w:t>
      </w:r>
    </w:p>
    <w:p>
      <w:pPr>
        <w:ind w:firstLine="480" w:firstLineChars="150"/>
        <w:jc w:val="left"/>
        <w:rPr>
          <w:rFonts w:ascii="仿宋" w:hAnsi="仿宋" w:eastAsia="仿宋"/>
          <w:sz w:val="32"/>
          <w:szCs w:val="32"/>
        </w:rPr>
      </w:pPr>
      <w:r>
        <w:rPr>
          <w:rFonts w:hint="eastAsia" w:ascii="仿宋" w:hAnsi="仿宋" w:eastAsia="仿宋" w:cs="仿宋_GB2312"/>
          <w:sz w:val="32"/>
          <w:szCs w:val="32"/>
        </w:rPr>
        <w:t>3.分析评价：对评价过程中收集资料进行归纳，汇总分析，依据智慧检察项目支出绩效评价指标体系进行了评分，形成了综合性书面报告。</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 w:hAnsi="楷体" w:eastAsia="楷体"/>
          <w:sz w:val="32"/>
          <w:szCs w:val="32"/>
          <w:lang w:val="zh-CN"/>
        </w:rPr>
      </w:pPr>
      <w:r>
        <w:rPr>
          <w:rFonts w:hint="eastAsia" w:ascii="楷体" w:hAnsi="楷体" w:eastAsia="楷体"/>
          <w:sz w:val="32"/>
          <w:szCs w:val="32"/>
          <w:lang w:val="zh-CN"/>
        </w:rPr>
        <w:t>（一）项目资金申报及批复情况。</w:t>
      </w:r>
    </w:p>
    <w:p>
      <w:pPr>
        <w:adjustRightInd w:val="0"/>
        <w:snapToGrid w:val="0"/>
        <w:spacing w:line="600" w:lineRule="exact"/>
        <w:ind w:firstLine="720"/>
        <w:rPr>
          <w:rFonts w:ascii="仿宋" w:hAnsi="仿宋" w:eastAsia="仿宋"/>
          <w:sz w:val="32"/>
          <w:szCs w:val="32"/>
          <w:lang w:val="zh-CN"/>
        </w:rPr>
      </w:pPr>
      <w:r>
        <w:rPr>
          <w:rFonts w:hint="eastAsia" w:ascii="仿宋" w:hAnsi="仿宋" w:eastAsia="仿宋"/>
          <w:sz w:val="32"/>
          <w:szCs w:val="32"/>
          <w:lang w:val="zh-CN"/>
        </w:rPr>
        <w:t>智慧检察项目资金年初预算资金</w:t>
      </w:r>
      <w:r>
        <w:rPr>
          <w:rFonts w:hint="eastAsia" w:ascii="仿宋" w:hAnsi="仿宋" w:eastAsia="仿宋"/>
          <w:color w:val="000000"/>
          <w:sz w:val="32"/>
          <w:szCs w:val="32"/>
        </w:rPr>
        <w:t>463.1</w:t>
      </w:r>
      <w:r>
        <w:rPr>
          <w:rFonts w:hint="eastAsia" w:ascii="仿宋" w:hAnsi="仿宋" w:eastAsia="仿宋"/>
          <w:sz w:val="32"/>
          <w:szCs w:val="32"/>
          <w:lang w:val="zh-CN"/>
        </w:rPr>
        <w:t>万元，并于批复后下达指标。2020年项目实际到位资金</w:t>
      </w:r>
      <w:r>
        <w:rPr>
          <w:rFonts w:hint="eastAsia" w:ascii="仿宋" w:hAnsi="仿宋" w:eastAsia="仿宋"/>
          <w:color w:val="000000"/>
          <w:sz w:val="32"/>
          <w:szCs w:val="32"/>
        </w:rPr>
        <w:t>463.1</w:t>
      </w:r>
      <w:r>
        <w:rPr>
          <w:rFonts w:hint="eastAsia" w:ascii="仿宋" w:hAnsi="仿宋" w:eastAsia="仿宋"/>
          <w:sz w:val="32"/>
          <w:szCs w:val="32"/>
          <w:lang w:val="zh-CN"/>
        </w:rPr>
        <w:t>万元，未调整预算。</w:t>
      </w:r>
    </w:p>
    <w:p>
      <w:pPr>
        <w:adjustRightInd w:val="0"/>
        <w:snapToGrid w:val="0"/>
        <w:spacing w:line="600" w:lineRule="exact"/>
        <w:ind w:firstLine="720"/>
        <w:rPr>
          <w:rFonts w:ascii="楷体" w:hAnsi="楷体" w:eastAsia="楷体"/>
          <w:sz w:val="32"/>
          <w:szCs w:val="32"/>
          <w:lang w:val="zh-CN"/>
        </w:rPr>
      </w:pPr>
      <w:r>
        <w:rPr>
          <w:rFonts w:hint="eastAsia" w:ascii="楷体" w:hAnsi="楷体" w:eastAsia="楷体"/>
          <w:sz w:val="32"/>
          <w:szCs w:val="32"/>
          <w:lang w:val="zh-CN"/>
        </w:rPr>
        <w:t>（二）资金计划、到位及使用情况（可用表格形式反映）。</w:t>
      </w:r>
    </w:p>
    <w:p>
      <w:pPr>
        <w:adjustRightInd w:val="0"/>
        <w:snapToGrid w:val="0"/>
        <w:spacing w:line="600" w:lineRule="exact"/>
        <w:ind w:firstLine="720"/>
        <w:rPr>
          <w:rFonts w:ascii="仿宋" w:hAnsi="仿宋" w:eastAsia="仿宋"/>
          <w:sz w:val="32"/>
          <w:szCs w:val="32"/>
          <w:lang w:val="zh-CN"/>
        </w:rPr>
      </w:pPr>
      <w:r>
        <w:rPr>
          <w:rFonts w:ascii="仿宋" w:hAnsi="仿宋" w:eastAsia="仿宋"/>
          <w:sz w:val="32"/>
          <w:szCs w:val="32"/>
          <w:lang w:val="zh-CN"/>
        </w:rPr>
        <w:t>1</w:t>
      </w:r>
      <w:r>
        <w:rPr>
          <w:rFonts w:hint="eastAsia" w:ascii="仿宋" w:hAnsi="仿宋" w:eastAsia="仿宋"/>
          <w:sz w:val="32"/>
          <w:szCs w:val="32"/>
          <w:lang w:val="zh-CN"/>
        </w:rPr>
        <w:t>．资金计划。智慧检察项目资金</w:t>
      </w:r>
      <w:r>
        <w:rPr>
          <w:rFonts w:hint="eastAsia" w:ascii="仿宋" w:hAnsi="仿宋" w:eastAsia="仿宋"/>
          <w:color w:val="000000"/>
          <w:sz w:val="32"/>
          <w:szCs w:val="32"/>
        </w:rPr>
        <w:t>463.1</w:t>
      </w:r>
      <w:r>
        <w:rPr>
          <w:rFonts w:hint="eastAsia" w:ascii="仿宋" w:hAnsi="仿宋" w:eastAsia="仿宋"/>
          <w:sz w:val="32"/>
          <w:szCs w:val="32"/>
          <w:lang w:val="zh-CN"/>
        </w:rPr>
        <w:t>万元，全部为地方财政拨款。</w:t>
      </w:r>
    </w:p>
    <w:p>
      <w:pPr>
        <w:adjustRightInd w:val="0"/>
        <w:snapToGrid w:val="0"/>
        <w:spacing w:line="600" w:lineRule="exact"/>
        <w:ind w:firstLine="720"/>
        <w:rPr>
          <w:rFonts w:ascii="仿宋" w:hAnsi="仿宋" w:eastAsia="仿宋"/>
          <w:sz w:val="32"/>
          <w:szCs w:val="32"/>
          <w:lang w:val="zh-CN"/>
        </w:rPr>
      </w:pPr>
      <w:r>
        <w:rPr>
          <w:rFonts w:ascii="仿宋" w:hAnsi="仿宋" w:eastAsia="仿宋"/>
          <w:sz w:val="32"/>
          <w:szCs w:val="32"/>
          <w:lang w:val="zh-CN"/>
        </w:rPr>
        <w:t>2</w:t>
      </w:r>
      <w:r>
        <w:rPr>
          <w:rFonts w:hint="eastAsia" w:ascii="仿宋" w:hAnsi="仿宋" w:eastAsia="仿宋"/>
          <w:sz w:val="32"/>
          <w:szCs w:val="32"/>
          <w:lang w:val="zh-CN"/>
        </w:rPr>
        <w:t>．资金到位。截止评价时，智慧检察项目资金到位</w:t>
      </w:r>
      <w:r>
        <w:rPr>
          <w:rFonts w:hint="eastAsia" w:ascii="仿宋" w:hAnsi="仿宋" w:eastAsia="仿宋"/>
          <w:color w:val="000000"/>
          <w:sz w:val="32"/>
          <w:szCs w:val="32"/>
        </w:rPr>
        <w:t>463.1</w:t>
      </w:r>
      <w:r>
        <w:rPr>
          <w:rFonts w:hint="eastAsia" w:ascii="仿宋" w:hAnsi="仿宋" w:eastAsia="仿宋"/>
          <w:sz w:val="32"/>
          <w:szCs w:val="32"/>
          <w:lang w:val="zh-CN"/>
        </w:rPr>
        <w:t>万元，为地方财政拨款。资金到位率100%，该项目资金全部及时、足额到位。</w:t>
      </w:r>
    </w:p>
    <w:p>
      <w:pPr>
        <w:adjustRightInd w:val="0"/>
        <w:snapToGrid w:val="0"/>
        <w:spacing w:line="600" w:lineRule="exact"/>
        <w:ind w:firstLine="720"/>
        <w:rPr>
          <w:rFonts w:ascii="仿宋" w:hAnsi="仿宋" w:eastAsia="仿宋"/>
          <w:sz w:val="32"/>
          <w:szCs w:val="32"/>
          <w:lang w:val="zh-CN"/>
        </w:rPr>
      </w:pPr>
      <w:r>
        <w:rPr>
          <w:rFonts w:ascii="仿宋" w:hAnsi="仿宋" w:eastAsia="仿宋"/>
          <w:sz w:val="32"/>
          <w:szCs w:val="32"/>
          <w:lang w:val="zh-CN"/>
        </w:rPr>
        <w:t>3</w:t>
      </w:r>
      <w:r>
        <w:rPr>
          <w:rFonts w:hint="eastAsia" w:ascii="仿宋" w:hAnsi="仿宋" w:eastAsia="仿宋"/>
          <w:sz w:val="32"/>
          <w:szCs w:val="32"/>
          <w:lang w:val="zh-CN"/>
        </w:rPr>
        <w:t>．资金使用。截止评价时，智慧检察支出7万元，完成预算率1.51%。资金支付方式为财政国库集中支付，程序规范、票据齐全，与预算相符。</w:t>
      </w:r>
    </w:p>
    <w:p>
      <w:pPr>
        <w:adjustRightInd w:val="0"/>
        <w:snapToGrid w:val="0"/>
        <w:spacing w:line="600" w:lineRule="exact"/>
        <w:ind w:firstLine="720"/>
        <w:rPr>
          <w:rFonts w:ascii="楷体" w:hAnsi="楷体" w:eastAsia="楷体"/>
          <w:sz w:val="32"/>
          <w:szCs w:val="32"/>
          <w:lang w:val="zh-CN"/>
        </w:rPr>
      </w:pPr>
      <w:r>
        <w:rPr>
          <w:rFonts w:hint="eastAsia" w:ascii="楷体" w:hAnsi="楷体" w:eastAsia="楷体"/>
          <w:sz w:val="32"/>
          <w:szCs w:val="32"/>
          <w:lang w:val="zh-CN"/>
        </w:rPr>
        <w:t>（三）项目财务管理情况。</w:t>
      </w:r>
    </w:p>
    <w:p>
      <w:pPr>
        <w:adjustRightInd w:val="0"/>
        <w:snapToGrid w:val="0"/>
        <w:spacing w:line="600" w:lineRule="exact"/>
        <w:ind w:firstLine="720"/>
        <w:rPr>
          <w:rFonts w:ascii="仿宋" w:hAnsi="仿宋" w:eastAsia="仿宋"/>
          <w:sz w:val="32"/>
          <w:szCs w:val="32"/>
          <w:lang w:val="zh-CN"/>
        </w:rPr>
      </w:pPr>
      <w:r>
        <w:rPr>
          <w:rFonts w:hint="eastAsia" w:ascii="仿宋" w:hAnsi="仿宋" w:eastAsia="仿宋"/>
          <w:color w:val="000000"/>
          <w:sz w:val="32"/>
          <w:szCs w:val="32"/>
        </w:rPr>
        <w:t>我院建立了</w:t>
      </w:r>
      <w:r>
        <w:rPr>
          <w:rFonts w:hint="eastAsia" w:ascii="仿宋" w:hAnsi="仿宋" w:eastAsia="仿宋"/>
          <w:sz w:val="32"/>
          <w:szCs w:val="32"/>
          <w:lang w:val="zh-CN"/>
        </w:rPr>
        <w:t>智慧检察项目</w:t>
      </w:r>
      <w:r>
        <w:rPr>
          <w:rFonts w:hint="eastAsia" w:ascii="仿宋" w:hAnsi="仿宋" w:eastAsia="仿宋"/>
          <w:color w:val="000000"/>
          <w:sz w:val="32"/>
          <w:szCs w:val="32"/>
        </w:rPr>
        <w:t>资金财务管理制度，强化监督措施，</w:t>
      </w:r>
      <w:r>
        <w:rPr>
          <w:rFonts w:hint="eastAsia" w:ascii="仿宋" w:hAnsi="仿宋" w:eastAsia="仿宋"/>
          <w:sz w:val="32"/>
          <w:szCs w:val="32"/>
          <w:lang w:val="zh-CN"/>
        </w:rPr>
        <w:t>智慧检察项目</w:t>
      </w:r>
      <w:r>
        <w:rPr>
          <w:rFonts w:hint="eastAsia" w:ascii="仿宋" w:hAnsi="仿宋" w:eastAsia="仿宋"/>
          <w:color w:val="000000"/>
          <w:sz w:val="32"/>
          <w:szCs w:val="32"/>
        </w:rPr>
        <w:t>资金实行专款专用，不得挪作他用，</w:t>
      </w:r>
      <w:r>
        <w:rPr>
          <w:rFonts w:hint="eastAsia" w:ascii="仿宋" w:hAnsi="仿宋" w:eastAsia="仿宋"/>
          <w:sz w:val="32"/>
          <w:szCs w:val="32"/>
          <w:lang w:val="zh-CN"/>
        </w:rPr>
        <w:t>并严格执行财务管理制度，账务处理及时准确，会计核算规范。</w:t>
      </w:r>
    </w:p>
    <w:p>
      <w:pPr>
        <w:adjustRightInd w:val="0"/>
        <w:snapToGrid w:val="0"/>
        <w:spacing w:line="600" w:lineRule="exact"/>
        <w:ind w:firstLine="720"/>
        <w:rPr>
          <w:rFonts w:ascii="黑体" w:hAnsi="黑体" w:eastAsia="黑体"/>
          <w:sz w:val="32"/>
          <w:szCs w:val="32"/>
        </w:rPr>
      </w:pPr>
      <w:r>
        <w:rPr>
          <w:rFonts w:hint="eastAsia" w:ascii="黑体" w:hAnsi="黑体" w:eastAsia="黑体"/>
          <w:sz w:val="32"/>
          <w:szCs w:val="32"/>
        </w:rPr>
        <w:t>三、项目实施及管理情况</w:t>
      </w:r>
    </w:p>
    <w:p>
      <w:pPr>
        <w:adjustRightInd w:val="0"/>
        <w:snapToGrid w:val="0"/>
        <w:spacing w:line="600" w:lineRule="exact"/>
        <w:ind w:firstLine="720"/>
        <w:rPr>
          <w:rFonts w:ascii="仿宋" w:hAnsi="仿宋" w:eastAsia="仿宋"/>
          <w:sz w:val="32"/>
          <w:szCs w:val="32"/>
          <w:lang w:val="zh-CN"/>
        </w:rPr>
      </w:pPr>
      <w:r>
        <w:rPr>
          <w:rFonts w:hint="eastAsia" w:ascii="仿宋" w:hAnsi="仿宋" w:eastAsia="仿宋"/>
          <w:sz w:val="32"/>
          <w:szCs w:val="32"/>
          <w:lang w:val="zh-CN"/>
        </w:rPr>
        <w:t>结合项目组织实施管理办法，重点围绕以下内容进行分析评价，并对自评中发现的问题分析说明。</w:t>
      </w:r>
    </w:p>
    <w:p>
      <w:pPr>
        <w:adjustRightInd w:val="0"/>
        <w:snapToGrid w:val="0"/>
        <w:spacing w:line="600" w:lineRule="exact"/>
        <w:ind w:firstLine="720"/>
        <w:rPr>
          <w:rFonts w:ascii="仿宋" w:hAnsi="仿宋" w:eastAsia="仿宋"/>
          <w:b/>
          <w:sz w:val="32"/>
          <w:szCs w:val="32"/>
          <w:lang w:val="zh-CN"/>
        </w:rPr>
      </w:pPr>
      <w:r>
        <w:rPr>
          <w:rFonts w:hint="eastAsia" w:ascii="楷体" w:hAnsi="楷体" w:eastAsia="楷体"/>
          <w:sz w:val="32"/>
          <w:szCs w:val="32"/>
          <w:lang w:val="zh-CN"/>
        </w:rPr>
        <w:t>（一）项目组织架构及实施流程。</w:t>
      </w:r>
      <w:r>
        <w:rPr>
          <w:rFonts w:hint="eastAsia" w:ascii="仿宋" w:hAnsi="仿宋" w:eastAsia="仿宋"/>
          <w:sz w:val="32"/>
          <w:szCs w:val="32"/>
          <w:lang w:val="zh-CN"/>
        </w:rPr>
        <w:t>该项目由分管领导杨红梅负责，部门负责人王红松组织实施。</w:t>
      </w:r>
    </w:p>
    <w:p>
      <w:pPr>
        <w:adjustRightInd w:val="0"/>
        <w:snapToGrid w:val="0"/>
        <w:spacing w:line="600" w:lineRule="exact"/>
        <w:ind w:firstLine="720"/>
        <w:rPr>
          <w:rFonts w:ascii="仿宋" w:hAnsi="仿宋" w:eastAsia="仿宋"/>
          <w:sz w:val="32"/>
          <w:szCs w:val="32"/>
          <w:lang w:val="zh-CN"/>
        </w:rPr>
      </w:pPr>
      <w:r>
        <w:rPr>
          <w:rFonts w:hint="eastAsia" w:ascii="楷体" w:hAnsi="楷体" w:eastAsia="楷体"/>
          <w:sz w:val="32"/>
          <w:szCs w:val="32"/>
          <w:lang w:val="zh-CN"/>
        </w:rPr>
        <w:t>（二）项目管理情况。</w:t>
      </w:r>
      <w:r>
        <w:rPr>
          <w:rFonts w:hint="eastAsia" w:ascii="仿宋" w:hAnsi="仿宋" w:eastAsia="仿宋"/>
          <w:sz w:val="32"/>
          <w:szCs w:val="32"/>
          <w:lang w:val="zh-CN"/>
        </w:rPr>
        <w:t>智慧检察项目实施过程中，严格执行相关法律法规及项目管理制度，资金使用符合规定，项目成果达到预期。</w:t>
      </w:r>
    </w:p>
    <w:p>
      <w:pPr>
        <w:adjustRightInd w:val="0"/>
        <w:snapToGrid w:val="0"/>
        <w:spacing w:line="600" w:lineRule="exact"/>
        <w:ind w:firstLine="720"/>
        <w:rPr>
          <w:rFonts w:ascii="仿宋" w:hAnsi="仿宋" w:eastAsia="仿宋"/>
          <w:sz w:val="32"/>
          <w:szCs w:val="32"/>
        </w:rPr>
      </w:pPr>
      <w:r>
        <w:rPr>
          <w:rFonts w:hint="eastAsia" w:ascii="楷体" w:hAnsi="楷体" w:eastAsia="楷体"/>
          <w:sz w:val="32"/>
          <w:szCs w:val="32"/>
          <w:lang w:val="zh-CN"/>
        </w:rPr>
        <w:t>（三）项目监管情况。</w:t>
      </w:r>
      <w:r>
        <w:rPr>
          <w:rFonts w:hint="eastAsia" w:ascii="仿宋" w:hAnsi="仿宋" w:eastAsia="仿宋"/>
          <w:sz w:val="32"/>
          <w:szCs w:val="32"/>
        </w:rPr>
        <w:t>严格按照预算执行专款专用，科学计划资金使用进度，每笔支出力求规范、合理。</w:t>
      </w:r>
    </w:p>
    <w:p>
      <w:pPr>
        <w:adjustRightInd w:val="0"/>
        <w:snapToGrid w:val="0"/>
        <w:spacing w:line="600" w:lineRule="exact"/>
        <w:ind w:firstLine="720"/>
        <w:rPr>
          <w:rFonts w:ascii="黑体" w:hAnsi="黑体" w:eastAsia="黑体"/>
          <w:sz w:val="32"/>
          <w:szCs w:val="32"/>
          <w:lang w:val="zh-CN"/>
        </w:rPr>
      </w:pPr>
      <w:r>
        <w:rPr>
          <w:rFonts w:hint="eastAsia" w:ascii="黑体" w:hAnsi="黑体" w:eastAsia="黑体"/>
          <w:sz w:val="32"/>
          <w:szCs w:val="32"/>
        </w:rPr>
        <w:t>四、项目绩效情况</w:t>
      </w:r>
      <w:r>
        <w:rPr>
          <w:rFonts w:ascii="黑体" w:hAnsi="黑体" w:eastAsia="黑体"/>
          <w:sz w:val="32"/>
          <w:szCs w:val="32"/>
          <w:lang w:val="zh-CN"/>
        </w:rPr>
        <w:tab/>
      </w:r>
    </w:p>
    <w:p>
      <w:pPr>
        <w:adjustRightInd w:val="0"/>
        <w:snapToGrid w:val="0"/>
        <w:spacing w:line="600" w:lineRule="exact"/>
        <w:ind w:firstLine="720"/>
        <w:rPr>
          <w:rFonts w:ascii="楷体" w:hAnsi="楷体" w:eastAsia="楷体"/>
          <w:sz w:val="32"/>
          <w:szCs w:val="32"/>
          <w:lang w:val="zh-CN"/>
        </w:rPr>
      </w:pPr>
      <w:r>
        <w:rPr>
          <w:rFonts w:hint="eastAsia" w:ascii="楷体" w:hAnsi="楷体" w:eastAsia="楷体"/>
          <w:sz w:val="32"/>
          <w:szCs w:val="32"/>
          <w:lang w:val="zh-CN"/>
        </w:rPr>
        <w:t>（一）项目完成情况。</w:t>
      </w:r>
    </w:p>
    <w:p>
      <w:pPr>
        <w:tabs>
          <w:tab w:val="left" w:pos="312"/>
        </w:tabs>
        <w:spacing w:line="52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项目全年预算463.1万元, 执行数为7万元,</w:t>
      </w:r>
      <w:r>
        <w:rPr>
          <w:rFonts w:hint="eastAsia" w:ascii="仿宋" w:hAnsi="仿宋" w:eastAsia="仿宋" w:cs="宋体"/>
          <w:color w:val="000000"/>
          <w:sz w:val="32"/>
          <w:szCs w:val="32"/>
        </w:rPr>
        <w:t>实际完成预算1.51%,由于大部分产品需国产化替代,国家出台信创产品目录较晚，加上我院对信创政策要求和产品不熟悉，害怕出差错造成浪费，设计一体化网络建设项目方案时进展较慢，年底才完成方案设计，因此2020年度的智慧检察项目资金未按期使用。</w:t>
      </w:r>
    </w:p>
    <w:p>
      <w:pPr>
        <w:adjustRightInd w:val="0"/>
        <w:snapToGrid w:val="0"/>
        <w:spacing w:line="600" w:lineRule="exact"/>
        <w:ind w:firstLine="720"/>
        <w:rPr>
          <w:rFonts w:ascii="楷体" w:hAnsi="楷体" w:eastAsia="楷体"/>
          <w:sz w:val="32"/>
          <w:szCs w:val="32"/>
          <w:lang w:val="zh-CN"/>
        </w:rPr>
      </w:pPr>
      <w:r>
        <w:rPr>
          <w:rFonts w:hint="eastAsia" w:ascii="楷体" w:hAnsi="楷体" w:eastAsia="楷体"/>
          <w:sz w:val="32"/>
          <w:szCs w:val="32"/>
          <w:lang w:val="zh-CN"/>
        </w:rPr>
        <w:t>（二）项目效益情况。</w:t>
      </w:r>
    </w:p>
    <w:p>
      <w:pPr>
        <w:ind w:firstLine="640" w:firstLineChars="200"/>
        <w:rPr>
          <w:rFonts w:ascii="仿宋" w:hAnsi="仿宋" w:eastAsia="仿宋"/>
          <w:sz w:val="32"/>
          <w:szCs w:val="32"/>
        </w:rPr>
      </w:pPr>
      <w:r>
        <w:rPr>
          <w:rFonts w:hint="eastAsia" w:ascii="仿宋" w:hAnsi="仿宋" w:eastAsia="仿宋"/>
          <w:sz w:val="32"/>
          <w:szCs w:val="32"/>
          <w:lang w:val="zh-CN"/>
        </w:rPr>
        <w:t>通过该项目实施，</w:t>
      </w:r>
      <w:r>
        <w:rPr>
          <w:rFonts w:hint="eastAsia" w:ascii="仿宋" w:hAnsi="仿宋" w:eastAsia="仿宋"/>
          <w:sz w:val="32"/>
          <w:szCs w:val="32"/>
        </w:rPr>
        <w:t>项目经济与社会效益明显。首先，检察数据与公安、法院、司法行政机关及其他行政单位打通，打破检察机关现有涉密网信息孤岛的现状，实现各单位数据共享，大大节约传统人工办案模式带来的成本损坏。其次，</w:t>
      </w:r>
      <w:r>
        <w:rPr>
          <w:rFonts w:ascii="仿宋" w:hAnsi="仿宋" w:eastAsia="仿宋"/>
          <w:sz w:val="32"/>
          <w:szCs w:val="32"/>
        </w:rPr>
        <w:t>有利于提高</w:t>
      </w:r>
      <w:r>
        <w:rPr>
          <w:rFonts w:hint="eastAsia" w:ascii="仿宋" w:hAnsi="仿宋" w:eastAsia="仿宋"/>
          <w:sz w:val="32"/>
          <w:szCs w:val="32"/>
        </w:rPr>
        <w:t>司法</w:t>
      </w:r>
      <w:r>
        <w:rPr>
          <w:rFonts w:ascii="仿宋" w:hAnsi="仿宋" w:eastAsia="仿宋"/>
          <w:sz w:val="32"/>
          <w:szCs w:val="32"/>
        </w:rPr>
        <w:t>工作效率和效益</w:t>
      </w:r>
      <w:r>
        <w:rPr>
          <w:rFonts w:hint="eastAsia" w:ascii="仿宋" w:hAnsi="仿宋" w:eastAsia="仿宋"/>
          <w:sz w:val="32"/>
          <w:szCs w:val="32"/>
        </w:rPr>
        <w:t>。采用信息化手段使检察院在案件审理、诉讼效率和得到改善和提高。在促进检察手段现代化的基础上，实现有关公检法信息资源、物质资源及技术管理方面资源的合理配置，在资源充分共享的基础上更好的促进司法统一，并为人民群众营造良好、方便的诉讼环境，为形成全面的良好法治环境等提供详实的信息支持和服务，进一步构建政法工作沟通协作平台，</w:t>
      </w:r>
      <w:r>
        <w:rPr>
          <w:rFonts w:ascii="仿宋" w:hAnsi="仿宋" w:eastAsia="仿宋"/>
          <w:sz w:val="32"/>
          <w:szCs w:val="32"/>
        </w:rPr>
        <w:t>降低</w:t>
      </w:r>
      <w:r>
        <w:rPr>
          <w:rFonts w:hint="eastAsia" w:ascii="仿宋" w:hAnsi="仿宋" w:eastAsia="仿宋"/>
          <w:sz w:val="32"/>
          <w:szCs w:val="32"/>
        </w:rPr>
        <w:t>管理</w:t>
      </w:r>
      <w:r>
        <w:rPr>
          <w:rFonts w:ascii="仿宋" w:hAnsi="仿宋" w:eastAsia="仿宋"/>
          <w:sz w:val="32"/>
          <w:szCs w:val="32"/>
        </w:rPr>
        <w:t>成本，</w:t>
      </w:r>
      <w:r>
        <w:rPr>
          <w:rFonts w:hint="eastAsia" w:ascii="仿宋" w:hAnsi="仿宋" w:eastAsia="仿宋"/>
          <w:sz w:val="32"/>
          <w:szCs w:val="32"/>
        </w:rPr>
        <w:t>创新管理模式，从而取得较好的社会和司法效益。</w:t>
      </w:r>
    </w:p>
    <w:p>
      <w:pPr>
        <w:adjustRightInd w:val="0"/>
        <w:snapToGrid w:val="0"/>
        <w:spacing w:line="600" w:lineRule="exact"/>
        <w:ind w:firstLine="720"/>
        <w:rPr>
          <w:rFonts w:ascii="黑体" w:hAnsi="黑体" w:eastAsia="黑体"/>
          <w:sz w:val="32"/>
          <w:szCs w:val="32"/>
        </w:rPr>
      </w:pPr>
      <w:r>
        <w:rPr>
          <w:rFonts w:hint="eastAsia" w:ascii="黑体" w:hAnsi="黑体" w:eastAsia="黑体"/>
          <w:sz w:val="32"/>
          <w:szCs w:val="32"/>
        </w:rPr>
        <w:t>五、评价结论及建议</w:t>
      </w:r>
    </w:p>
    <w:p>
      <w:pPr>
        <w:adjustRightInd w:val="0"/>
        <w:snapToGrid w:val="0"/>
        <w:spacing w:line="600" w:lineRule="exact"/>
        <w:ind w:firstLine="720"/>
        <w:rPr>
          <w:rFonts w:ascii="楷体" w:hAnsi="楷体" w:eastAsia="楷体"/>
          <w:sz w:val="32"/>
          <w:szCs w:val="32"/>
          <w:lang w:val="zh-CN"/>
        </w:rPr>
      </w:pPr>
      <w:r>
        <w:rPr>
          <w:rFonts w:hint="eastAsia" w:ascii="楷体" w:hAnsi="楷体" w:eastAsia="楷体"/>
          <w:sz w:val="32"/>
          <w:szCs w:val="32"/>
          <w:lang w:val="zh-CN"/>
        </w:rPr>
        <w:t>（一）评价结论。</w:t>
      </w:r>
    </w:p>
    <w:p>
      <w:pPr>
        <w:spacing w:line="580" w:lineRule="exact"/>
        <w:ind w:firstLine="640" w:firstLineChars="200"/>
        <w:rPr>
          <w:rFonts w:ascii="仿宋" w:hAnsi="仿宋" w:eastAsia="仿宋" w:cs="仿宋_GB2312"/>
          <w:sz w:val="32"/>
          <w:szCs w:val="32"/>
        </w:rPr>
      </w:pPr>
      <w:r>
        <w:rPr>
          <w:rFonts w:ascii="仿宋" w:hAnsi="仿宋" w:eastAsia="仿宋"/>
          <w:sz w:val="32"/>
          <w:szCs w:val="32"/>
          <w:lang w:val="zh-CN"/>
        </w:rPr>
        <w:t>项目目标完成情况</w:t>
      </w:r>
      <w:r>
        <w:rPr>
          <w:rFonts w:hint="eastAsia" w:ascii="仿宋" w:hAnsi="仿宋" w:eastAsia="仿宋"/>
          <w:sz w:val="32"/>
          <w:szCs w:val="32"/>
          <w:lang w:val="zh-CN"/>
        </w:rPr>
        <w:t>良好</w:t>
      </w:r>
      <w:r>
        <w:rPr>
          <w:rFonts w:ascii="仿宋" w:hAnsi="仿宋" w:eastAsia="仿宋"/>
          <w:sz w:val="32"/>
          <w:szCs w:val="32"/>
          <w:lang w:val="zh-CN"/>
        </w:rPr>
        <w:t>，</w:t>
      </w:r>
      <w:r>
        <w:rPr>
          <w:rFonts w:hint="eastAsia" w:ascii="仿宋" w:hAnsi="仿宋" w:eastAsia="仿宋"/>
          <w:sz w:val="32"/>
          <w:szCs w:val="32"/>
          <w:lang w:val="zh-CN"/>
        </w:rPr>
        <w:t>达成了</w:t>
      </w:r>
      <w:r>
        <w:rPr>
          <w:rFonts w:ascii="仿宋" w:hAnsi="仿宋" w:eastAsia="仿宋"/>
          <w:sz w:val="32"/>
          <w:szCs w:val="32"/>
          <w:lang w:val="zh-CN"/>
        </w:rPr>
        <w:t>项目社会效益</w:t>
      </w:r>
      <w:r>
        <w:rPr>
          <w:rFonts w:hint="eastAsia" w:ascii="仿宋" w:hAnsi="仿宋" w:eastAsia="仿宋"/>
          <w:sz w:val="32"/>
          <w:szCs w:val="32"/>
          <w:lang w:val="zh-CN"/>
        </w:rPr>
        <w:t>，利于开展各项检察工作。实现办案零差错，</w:t>
      </w:r>
      <w:r>
        <w:rPr>
          <w:rFonts w:ascii="仿宋" w:hAnsi="仿宋" w:eastAsia="仿宋"/>
          <w:sz w:val="32"/>
          <w:szCs w:val="32"/>
          <w:lang w:val="zh-CN"/>
        </w:rPr>
        <w:t>受益群体</w:t>
      </w:r>
      <w:r>
        <w:rPr>
          <w:rFonts w:hint="eastAsia" w:ascii="仿宋" w:hAnsi="仿宋" w:eastAsia="仿宋"/>
          <w:sz w:val="32"/>
          <w:szCs w:val="32"/>
          <w:lang w:val="zh-CN"/>
        </w:rPr>
        <w:t>给予肯定。</w:t>
      </w:r>
    </w:p>
    <w:p>
      <w:pPr>
        <w:adjustRightInd w:val="0"/>
        <w:snapToGrid w:val="0"/>
        <w:spacing w:line="600" w:lineRule="exact"/>
        <w:ind w:firstLine="720"/>
        <w:rPr>
          <w:rFonts w:ascii="楷体" w:hAnsi="楷体" w:eastAsia="楷体"/>
          <w:sz w:val="32"/>
          <w:szCs w:val="32"/>
          <w:lang w:val="zh-CN"/>
        </w:rPr>
      </w:pPr>
      <w:r>
        <w:rPr>
          <w:rFonts w:hint="eastAsia" w:ascii="楷体" w:hAnsi="楷体" w:eastAsia="楷体"/>
          <w:sz w:val="32"/>
          <w:szCs w:val="32"/>
          <w:lang w:val="zh-CN"/>
        </w:rPr>
        <w:t>（二）存在的问题。</w:t>
      </w:r>
    </w:p>
    <w:p>
      <w:pPr>
        <w:tabs>
          <w:tab w:val="left" w:pos="312"/>
        </w:tabs>
        <w:spacing w:line="520" w:lineRule="exact"/>
        <w:ind w:firstLine="640" w:firstLineChars="200"/>
        <w:rPr>
          <w:rFonts w:ascii="仿宋" w:hAnsi="仿宋" w:eastAsia="仿宋"/>
          <w:color w:val="000000"/>
          <w:sz w:val="32"/>
          <w:szCs w:val="32"/>
        </w:rPr>
      </w:pPr>
      <w:r>
        <w:rPr>
          <w:rFonts w:hint="eastAsia" w:ascii="仿宋" w:hAnsi="仿宋" w:eastAsia="仿宋" w:cs="宋体"/>
          <w:color w:val="000000"/>
          <w:sz w:val="32"/>
          <w:szCs w:val="32"/>
        </w:rPr>
        <w:t>由于大部分产品需国产化替代,国家出台信创产品目录较晚，加上我院对信创政策要求和产品不熟悉，害怕出差错造成浪费，设计一体化网络建设项目方案时进展较慢，年底才完成方案设计，因此2020年度的智慧检察项目资金未按期使用。</w:t>
      </w:r>
    </w:p>
    <w:p>
      <w:pPr>
        <w:adjustRightInd w:val="0"/>
        <w:snapToGrid w:val="0"/>
        <w:spacing w:line="600" w:lineRule="exact"/>
        <w:ind w:firstLine="720"/>
        <w:rPr>
          <w:rFonts w:ascii="楷体" w:hAnsi="楷体" w:eastAsia="楷体"/>
          <w:sz w:val="32"/>
          <w:szCs w:val="32"/>
          <w:lang w:val="zh-CN"/>
        </w:rPr>
      </w:pPr>
      <w:r>
        <w:rPr>
          <w:rFonts w:hint="eastAsia" w:ascii="楷体" w:hAnsi="楷体" w:eastAsia="楷体"/>
          <w:sz w:val="32"/>
          <w:szCs w:val="32"/>
          <w:lang w:val="zh-CN"/>
        </w:rPr>
        <w:t>（三）相关建议。</w:t>
      </w:r>
    </w:p>
    <w:p>
      <w:pPr>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sz w:val="32"/>
          <w:szCs w:val="32"/>
          <w:lang w:val="zh-CN"/>
        </w:rPr>
        <w:t>继续做好资金管理，响应政府“过紧日子”的号召，同时资金支付进度还是要根据项目的具体情况实施,不要一味的看支付进度,要论证考察好,以免造成资金不必要的浪费.</w:t>
      </w:r>
    </w:p>
    <w:p>
      <w:pPr>
        <w:spacing w:line="600" w:lineRule="exact"/>
        <w:jc w:val="left"/>
        <w:outlineLvl w:val="0"/>
        <w:rPr>
          <w:rFonts w:ascii="仿宋" w:hAnsi="仿宋" w:eastAsia="仿宋" w:cs="仿宋_GB2312"/>
          <w:sz w:val="32"/>
          <w:szCs w:val="32"/>
        </w:rPr>
      </w:pPr>
    </w:p>
    <w:p>
      <w:pPr>
        <w:spacing w:line="600" w:lineRule="exact"/>
        <w:jc w:val="center"/>
        <w:rPr>
          <w:rFonts w:ascii="仿宋" w:hAnsi="仿宋" w:eastAsia="仿宋" w:cs="方正小标宋简体"/>
          <w:sz w:val="44"/>
          <w:szCs w:val="44"/>
        </w:rPr>
      </w:pPr>
    </w:p>
    <w:p>
      <w:pPr>
        <w:spacing w:line="600" w:lineRule="exact"/>
        <w:jc w:val="center"/>
        <w:rPr>
          <w:rFonts w:ascii="仿宋" w:hAnsi="仿宋" w:eastAsia="仿宋" w:cs="方正小标宋简体"/>
          <w:sz w:val="44"/>
          <w:szCs w:val="44"/>
        </w:rPr>
      </w:pPr>
    </w:p>
    <w:p>
      <w:pPr>
        <w:spacing w:line="600" w:lineRule="exact"/>
        <w:jc w:val="center"/>
        <w:rPr>
          <w:rFonts w:ascii="仿宋" w:hAnsi="仿宋" w:eastAsia="仿宋" w:cs="方正小标宋简体"/>
          <w:sz w:val="44"/>
          <w:szCs w:val="44"/>
        </w:rPr>
      </w:pPr>
    </w:p>
    <w:p>
      <w:pPr>
        <w:spacing w:line="600" w:lineRule="exact"/>
        <w:jc w:val="center"/>
        <w:rPr>
          <w:rFonts w:ascii="仿宋" w:hAnsi="仿宋" w:eastAsia="仿宋" w:cs="方正小标宋简体"/>
          <w:sz w:val="44"/>
          <w:szCs w:val="44"/>
        </w:rPr>
      </w:pPr>
    </w:p>
    <w:p>
      <w:pPr>
        <w:spacing w:line="600" w:lineRule="exact"/>
        <w:jc w:val="center"/>
        <w:rPr>
          <w:rFonts w:ascii="仿宋" w:hAnsi="仿宋" w:eastAsia="仿宋" w:cs="方正小标宋简体"/>
          <w:sz w:val="44"/>
          <w:szCs w:val="44"/>
        </w:rPr>
      </w:pPr>
    </w:p>
    <w:p>
      <w:pPr>
        <w:spacing w:line="600" w:lineRule="exact"/>
        <w:jc w:val="center"/>
        <w:rPr>
          <w:rFonts w:ascii="仿宋" w:hAnsi="仿宋" w:eastAsia="仿宋" w:cs="方正小标宋简体"/>
          <w:sz w:val="44"/>
          <w:szCs w:val="44"/>
        </w:rPr>
      </w:pPr>
    </w:p>
    <w:p>
      <w:pPr>
        <w:spacing w:line="600" w:lineRule="exact"/>
        <w:jc w:val="center"/>
        <w:rPr>
          <w:rFonts w:ascii="仿宋" w:hAnsi="仿宋" w:eastAsia="仿宋" w:cs="方正小标宋简体"/>
          <w:sz w:val="44"/>
          <w:szCs w:val="44"/>
        </w:rPr>
      </w:pPr>
    </w:p>
    <w:p>
      <w:pPr>
        <w:spacing w:line="600" w:lineRule="exact"/>
        <w:jc w:val="center"/>
        <w:rPr>
          <w:rFonts w:ascii="仿宋" w:hAnsi="仿宋" w:eastAsia="仿宋" w:cs="方正小标宋简体"/>
          <w:sz w:val="44"/>
          <w:szCs w:val="44"/>
        </w:rPr>
      </w:pPr>
    </w:p>
    <w:p>
      <w:pPr>
        <w:spacing w:line="600" w:lineRule="exact"/>
        <w:jc w:val="center"/>
        <w:rPr>
          <w:rFonts w:ascii="仿宋" w:hAnsi="仿宋" w:eastAsia="仿宋" w:cs="方正小标宋简体"/>
          <w:sz w:val="44"/>
          <w:szCs w:val="44"/>
        </w:rPr>
      </w:pPr>
    </w:p>
    <w:p>
      <w:pPr>
        <w:widowControl/>
        <w:jc w:val="left"/>
        <w:rPr>
          <w:rFonts w:ascii="黑体" w:hAnsi="黑体" w:eastAsia="黑体" w:cs="黑体"/>
          <w:sz w:val="32"/>
          <w:szCs w:val="32"/>
        </w:rPr>
      </w:pPr>
    </w:p>
    <w:p>
      <w:pPr>
        <w:widowControl/>
        <w:jc w:val="left"/>
        <w:rPr>
          <w:rFonts w:ascii="仿宋_GB2312" w:hAnsi="仿宋_GB2312" w:eastAsia="仿宋_GB2312" w:cs="仿宋_GB2312"/>
          <w:sz w:val="32"/>
          <w:szCs w:val="32"/>
        </w:rPr>
      </w:pPr>
      <w:r>
        <w:rPr>
          <w:rFonts w:hint="eastAsia" w:ascii="黑体" w:hAnsi="黑体" w:eastAsia="黑体" w:cs="黑体"/>
          <w:sz w:val="32"/>
          <w:szCs w:val="32"/>
        </w:rPr>
        <w:t>附件</w:t>
      </w:r>
      <w:r>
        <w:rPr>
          <w:rFonts w:ascii="黑体" w:hAnsi="黑体" w:eastAsia="黑体" w:cs="黑体"/>
          <w:sz w:val="32"/>
          <w:szCs w:val="32"/>
        </w:rPr>
        <w:t>2</w:t>
      </w:r>
    </w:p>
    <w:p>
      <w:pPr>
        <w:spacing w:line="580" w:lineRule="exact"/>
        <w:ind w:firstLine="640" w:firstLineChars="200"/>
        <w:rPr>
          <w:rFonts w:ascii="仿宋_GB2312" w:hAnsi="仿宋_GB2312" w:eastAsia="仿宋_GB2312" w:cs="仿宋_GB2312"/>
          <w:sz w:val="32"/>
          <w:szCs w:val="32"/>
        </w:rPr>
      </w:pPr>
    </w:p>
    <w:p>
      <w:pPr>
        <w:spacing w:line="600" w:lineRule="exact"/>
        <w:jc w:val="center"/>
        <w:rPr>
          <w:rFonts w:ascii="方正小标宋简体" w:hAnsi="宋体" w:eastAsia="方正小标宋简体"/>
          <w:color w:val="000000"/>
          <w:kern w:val="0"/>
          <w:sz w:val="44"/>
          <w:szCs w:val="44"/>
          <w:lang w:val="zh-CN"/>
        </w:rPr>
      </w:pPr>
      <w:r>
        <w:rPr>
          <w:rFonts w:hint="eastAsia" w:ascii="黑体" w:hAnsi="黑体" w:eastAsia="黑体" w:cs="方正小标宋简体"/>
          <w:sz w:val="44"/>
          <w:szCs w:val="44"/>
        </w:rPr>
        <w:t>援藏援彝</w:t>
      </w:r>
      <w:r>
        <w:rPr>
          <w:rFonts w:hint="eastAsia" w:ascii="方正小标宋简体" w:hAnsi="宋体" w:eastAsia="方正小标宋简体"/>
          <w:color w:val="000000"/>
          <w:kern w:val="0"/>
          <w:sz w:val="44"/>
          <w:szCs w:val="44"/>
          <w:lang w:val="zh-CN"/>
        </w:rPr>
        <w:t>项目</w:t>
      </w: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rPr>
        <w:t>2020年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sz w:val="32"/>
          <w:szCs w:val="32"/>
          <w:lang w:val="zh-CN"/>
        </w:rPr>
      </w:pPr>
    </w:p>
    <w:p>
      <w:pPr>
        <w:adjustRightInd w:val="0"/>
        <w:snapToGrid w:val="0"/>
        <w:spacing w:line="600" w:lineRule="exact"/>
        <w:ind w:firstLine="720"/>
        <w:rPr>
          <w:rFonts w:ascii="黑体" w:hAnsi="黑体" w:eastAsia="黑体"/>
          <w:sz w:val="32"/>
          <w:szCs w:val="32"/>
          <w:lang w:val="zh-CN"/>
        </w:rPr>
      </w:pPr>
      <w:r>
        <w:rPr>
          <w:rFonts w:hint="eastAsia" w:ascii="黑体" w:hAnsi="黑体" w:eastAsia="黑体"/>
          <w:sz w:val="32"/>
          <w:szCs w:val="32"/>
        </w:rPr>
        <w:t>一、</w:t>
      </w:r>
      <w:r>
        <w:rPr>
          <w:rFonts w:hint="eastAsia" w:ascii="黑体" w:hAnsi="黑体" w:eastAsia="黑体"/>
          <w:sz w:val="32"/>
          <w:szCs w:val="32"/>
          <w:lang w:val="zh-CN"/>
        </w:rPr>
        <w:t>项目概况</w:t>
      </w:r>
    </w:p>
    <w:p>
      <w:pPr>
        <w:adjustRightInd w:val="0"/>
        <w:snapToGrid w:val="0"/>
        <w:spacing w:line="600" w:lineRule="exact"/>
        <w:ind w:firstLine="720"/>
        <w:rPr>
          <w:rFonts w:ascii="楷体" w:hAnsi="楷体" w:eastAsia="楷体"/>
          <w:sz w:val="32"/>
          <w:szCs w:val="32"/>
          <w:lang w:val="zh-CN"/>
        </w:rPr>
      </w:pPr>
      <w:r>
        <w:rPr>
          <w:rFonts w:hint="eastAsia" w:ascii="楷体" w:hAnsi="楷体" w:eastAsia="楷体"/>
          <w:sz w:val="32"/>
          <w:szCs w:val="32"/>
          <w:lang w:val="zh-CN"/>
        </w:rPr>
        <w:t>（一）项目基本情况。</w:t>
      </w:r>
    </w:p>
    <w:p>
      <w:pPr>
        <w:adjustRightInd w:val="0"/>
        <w:snapToGrid w:val="0"/>
        <w:spacing w:line="600" w:lineRule="exact"/>
        <w:ind w:firstLine="883" w:firstLineChars="275"/>
        <w:rPr>
          <w:rFonts w:ascii="仿宋" w:hAnsi="仿宋" w:eastAsia="仿宋"/>
          <w:b/>
          <w:sz w:val="32"/>
          <w:szCs w:val="32"/>
          <w:lang w:val="zh-CN"/>
        </w:rPr>
      </w:pPr>
      <w:r>
        <w:rPr>
          <w:rFonts w:ascii="仿宋" w:hAnsi="仿宋" w:eastAsia="仿宋"/>
          <w:b/>
          <w:sz w:val="32"/>
          <w:szCs w:val="32"/>
          <w:lang w:val="zh-CN"/>
        </w:rPr>
        <w:t>1</w:t>
      </w:r>
      <w:r>
        <w:rPr>
          <w:rFonts w:hint="eastAsia" w:ascii="仿宋" w:hAnsi="仿宋" w:eastAsia="仿宋"/>
          <w:b/>
          <w:sz w:val="32"/>
          <w:szCs w:val="32"/>
          <w:lang w:val="zh-CN"/>
        </w:rPr>
        <w:t>．说明项目主管部门（单位）在该项目管理中的职能。</w:t>
      </w:r>
    </w:p>
    <w:p>
      <w:pPr>
        <w:adjustRightInd w:val="0"/>
        <w:snapToGrid w:val="0"/>
        <w:spacing w:line="600" w:lineRule="exact"/>
        <w:ind w:left="210" w:leftChars="100" w:firstLine="720"/>
        <w:rPr>
          <w:rFonts w:ascii="仿宋" w:hAnsi="仿宋" w:eastAsia="仿宋" w:cs="仿宋_GB2312"/>
          <w:sz w:val="32"/>
          <w:szCs w:val="32"/>
          <w:lang w:val="zh-CN"/>
        </w:rPr>
      </w:pPr>
      <w:r>
        <w:rPr>
          <w:rFonts w:hint="eastAsia" w:ascii="仿宋" w:hAnsi="仿宋" w:eastAsia="仿宋" w:cs="仿宋_GB2312"/>
          <w:sz w:val="32"/>
          <w:szCs w:val="32"/>
        </w:rPr>
        <w:t>为认真贯彻习近平新时代中国特色社会主义思想特别是关于治国治边治疆治藏等系列重要指示精神，按照最高人民检察院《关于新形势下进一步深化和推进检察对口援助工作的指导意见》的要求，牢牢把握社会稳定和长治久安的根本着眼点、着力点，统筹推进检察业务、干部人才、教育培训、检察文化、信息科技、资金项目“六位一体”援助，促进受援地区检察机关提升业务水平和自我发展能力，为受援地区经济社会与内地协同发展和长治久安提供有力司法保障。</w:t>
      </w:r>
    </w:p>
    <w:p>
      <w:pPr>
        <w:adjustRightInd w:val="0"/>
        <w:snapToGrid w:val="0"/>
        <w:spacing w:line="600" w:lineRule="exact"/>
        <w:ind w:firstLine="629" w:firstLineChars="196"/>
        <w:rPr>
          <w:rFonts w:ascii="仿宋" w:hAnsi="仿宋" w:eastAsia="仿宋"/>
          <w:b/>
          <w:sz w:val="32"/>
          <w:szCs w:val="32"/>
          <w:lang w:val="zh-CN"/>
        </w:rPr>
      </w:pPr>
      <w:r>
        <w:rPr>
          <w:rFonts w:ascii="仿宋" w:hAnsi="仿宋" w:eastAsia="仿宋"/>
          <w:b/>
          <w:sz w:val="32"/>
          <w:szCs w:val="32"/>
          <w:lang w:val="zh-CN"/>
        </w:rPr>
        <w:t>2</w:t>
      </w:r>
      <w:r>
        <w:rPr>
          <w:rFonts w:hint="eastAsia" w:ascii="仿宋" w:hAnsi="仿宋" w:eastAsia="仿宋"/>
          <w:b/>
          <w:sz w:val="32"/>
          <w:szCs w:val="32"/>
          <w:lang w:val="zh-CN"/>
        </w:rPr>
        <w:t>．项目立项、资金申报的依据。</w:t>
      </w:r>
    </w:p>
    <w:p>
      <w:pPr>
        <w:tabs>
          <w:tab w:val="left" w:pos="807"/>
        </w:tabs>
        <w:adjustRightInd w:val="0"/>
        <w:snapToGrid w:val="0"/>
        <w:spacing w:line="600" w:lineRule="exact"/>
        <w:ind w:firstLine="640" w:firstLineChars="200"/>
        <w:rPr>
          <w:rFonts w:ascii="仿宋" w:hAnsi="仿宋" w:eastAsia="仿宋" w:cs="仿宋_GB2312"/>
          <w:sz w:val="32"/>
          <w:szCs w:val="32"/>
          <w:lang w:val="zh-CN"/>
        </w:rPr>
      </w:pPr>
      <w:r>
        <w:rPr>
          <w:rFonts w:hint="eastAsia" w:ascii="仿宋" w:hAnsi="仿宋" w:eastAsia="仿宋"/>
          <w:sz w:val="32"/>
          <w:szCs w:val="32"/>
          <w:lang w:val="zh-CN"/>
        </w:rPr>
        <w:t>最高人民检察院印发的</w:t>
      </w:r>
      <w:r>
        <w:rPr>
          <w:rFonts w:hint="eastAsia" w:ascii="仿宋" w:hAnsi="仿宋" w:eastAsia="仿宋" w:cs="仿宋_GB2312"/>
          <w:sz w:val="32"/>
          <w:szCs w:val="32"/>
        </w:rPr>
        <w:t>《关于新形势下进一步深化和推进检察对口援助工作的指导意见》；省检察院印发的《新形势下深入推进四川省检察机关援藏援彝工作的实施意见》。</w:t>
      </w:r>
    </w:p>
    <w:p>
      <w:pPr>
        <w:adjustRightInd w:val="0"/>
        <w:snapToGrid w:val="0"/>
        <w:spacing w:line="600" w:lineRule="exact"/>
        <w:ind w:firstLine="629" w:firstLineChars="196"/>
        <w:rPr>
          <w:rFonts w:ascii="仿宋" w:hAnsi="仿宋" w:eastAsia="仿宋"/>
          <w:b/>
          <w:sz w:val="32"/>
          <w:szCs w:val="32"/>
          <w:lang w:val="zh-CN"/>
        </w:rPr>
      </w:pPr>
      <w:r>
        <w:rPr>
          <w:rFonts w:ascii="仿宋" w:hAnsi="仿宋" w:eastAsia="仿宋"/>
          <w:b/>
          <w:sz w:val="32"/>
          <w:szCs w:val="32"/>
          <w:lang w:val="zh-CN"/>
        </w:rPr>
        <w:t>3</w:t>
      </w:r>
      <w:r>
        <w:rPr>
          <w:rFonts w:hint="eastAsia" w:ascii="仿宋" w:hAnsi="仿宋" w:eastAsia="仿宋"/>
          <w:b/>
          <w:sz w:val="32"/>
          <w:szCs w:val="32"/>
          <w:lang w:val="zh-CN"/>
        </w:rPr>
        <w:t>．资金管理办法制定情况，资金支持具体项目的条件、范围与支持方式概况。</w:t>
      </w:r>
    </w:p>
    <w:p>
      <w:pPr>
        <w:spacing w:line="360" w:lineRule="atLeast"/>
        <w:ind w:firstLine="640" w:firstLineChars="200"/>
        <w:rPr>
          <w:rFonts w:ascii="仿宋" w:hAnsi="仿宋" w:eastAsia="仿宋"/>
          <w:color w:val="000000"/>
          <w:sz w:val="32"/>
          <w:szCs w:val="32"/>
        </w:rPr>
      </w:pPr>
      <w:r>
        <w:rPr>
          <w:rFonts w:hint="eastAsia" w:ascii="仿宋" w:hAnsi="仿宋" w:eastAsia="仿宋" w:cs="仿宋_GB2312"/>
          <w:sz w:val="32"/>
          <w:szCs w:val="32"/>
        </w:rPr>
        <w:t>援藏援彝项目资金按院内财务管理制度、审批流程进行支付。采用</w:t>
      </w:r>
      <w:r>
        <w:rPr>
          <w:rFonts w:ascii="仿宋" w:hAnsi="仿宋" w:eastAsia="仿宋" w:cs="仿宋_GB2312"/>
          <w:sz w:val="32"/>
          <w:szCs w:val="32"/>
        </w:rPr>
        <w:t>财政</w:t>
      </w:r>
      <w:r>
        <w:rPr>
          <w:rFonts w:hint="eastAsia" w:ascii="仿宋" w:hAnsi="仿宋" w:eastAsia="仿宋" w:cs="仿宋_GB2312"/>
          <w:sz w:val="32"/>
          <w:szCs w:val="32"/>
        </w:rPr>
        <w:t>国库</w:t>
      </w:r>
      <w:r>
        <w:rPr>
          <w:rFonts w:ascii="仿宋" w:hAnsi="仿宋" w:eastAsia="仿宋" w:cs="仿宋_GB2312"/>
          <w:sz w:val="32"/>
          <w:szCs w:val="32"/>
        </w:rPr>
        <w:t>集中支付</w:t>
      </w:r>
      <w:r>
        <w:rPr>
          <w:rFonts w:hint="eastAsia" w:ascii="仿宋" w:hAnsi="仿宋" w:eastAsia="仿宋" w:cs="仿宋_GB2312"/>
          <w:sz w:val="32"/>
          <w:szCs w:val="32"/>
        </w:rPr>
        <w:t>，严格按照预算执行专款专用，科学计划资金使用进度，每笔支出力求规范、合理。</w:t>
      </w:r>
    </w:p>
    <w:p>
      <w:pPr>
        <w:adjustRightInd w:val="0"/>
        <w:snapToGrid w:val="0"/>
        <w:spacing w:line="600" w:lineRule="exact"/>
        <w:ind w:firstLine="720"/>
        <w:rPr>
          <w:rFonts w:ascii="仿宋" w:hAnsi="仿宋" w:eastAsia="仿宋"/>
          <w:b/>
          <w:sz w:val="32"/>
          <w:szCs w:val="32"/>
          <w:lang w:val="zh-CN"/>
        </w:rPr>
      </w:pPr>
      <w:r>
        <w:rPr>
          <w:rFonts w:ascii="仿宋" w:hAnsi="仿宋" w:eastAsia="仿宋"/>
          <w:b/>
          <w:sz w:val="32"/>
          <w:szCs w:val="32"/>
          <w:lang w:val="zh-CN"/>
        </w:rPr>
        <w:t>4</w:t>
      </w:r>
      <w:r>
        <w:rPr>
          <w:rFonts w:hint="eastAsia" w:ascii="仿宋" w:hAnsi="仿宋" w:eastAsia="仿宋"/>
          <w:b/>
          <w:sz w:val="32"/>
          <w:szCs w:val="32"/>
          <w:lang w:val="zh-CN"/>
        </w:rPr>
        <w:t>．资金分配的原则及考虑因素。</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资金使用坚持先审批后支付的原则，</w:t>
      </w:r>
      <w:r>
        <w:rPr>
          <w:rFonts w:ascii="仿宋" w:hAnsi="仿宋" w:eastAsia="仿宋" w:cs="仿宋_GB2312"/>
          <w:sz w:val="32"/>
          <w:szCs w:val="32"/>
        </w:rPr>
        <w:t>对</w:t>
      </w:r>
      <w:r>
        <w:rPr>
          <w:rFonts w:hint="eastAsia" w:ascii="仿宋" w:hAnsi="仿宋" w:eastAsia="仿宋" w:cs="仿宋_GB2312"/>
          <w:sz w:val="32"/>
          <w:szCs w:val="32"/>
        </w:rPr>
        <w:t>援藏援彝</w:t>
      </w:r>
      <w:r>
        <w:rPr>
          <w:rFonts w:ascii="仿宋" w:hAnsi="仿宋" w:eastAsia="仿宋" w:cs="仿宋_GB2312"/>
          <w:sz w:val="32"/>
          <w:szCs w:val="32"/>
        </w:rPr>
        <w:t>专项资金建立严格的支付审批程序，加强内控管理，规范会计核算，对资金使用程序严格控制把关。</w:t>
      </w:r>
      <w:r>
        <w:rPr>
          <w:rFonts w:hint="eastAsia" w:ascii="仿宋" w:hAnsi="仿宋" w:eastAsia="仿宋" w:cs="仿宋_GB2312"/>
          <w:sz w:val="32"/>
          <w:szCs w:val="32"/>
        </w:rPr>
        <w:t>充分考虑</w:t>
      </w:r>
      <w:r>
        <w:rPr>
          <w:rFonts w:ascii="仿宋" w:hAnsi="仿宋" w:eastAsia="仿宋" w:cs="仿宋_GB2312"/>
          <w:sz w:val="32"/>
          <w:szCs w:val="32"/>
        </w:rPr>
        <w:t>项目申报立项、资金拨付与会计处理、资金到位、项目资金使用绩效评价等各个环节，从源头上予以规范，确保程序完整，操作合法合规。</w:t>
      </w:r>
    </w:p>
    <w:p>
      <w:pPr>
        <w:adjustRightInd w:val="0"/>
        <w:snapToGrid w:val="0"/>
        <w:spacing w:line="600" w:lineRule="exact"/>
        <w:ind w:firstLine="720"/>
        <w:rPr>
          <w:rFonts w:ascii="楷体" w:hAnsi="楷体" w:eastAsia="楷体"/>
          <w:sz w:val="32"/>
          <w:szCs w:val="32"/>
          <w:lang w:val="zh-CN"/>
        </w:rPr>
      </w:pPr>
      <w:r>
        <w:rPr>
          <w:rFonts w:hint="eastAsia" w:ascii="楷体" w:hAnsi="楷体" w:eastAsia="楷体"/>
          <w:sz w:val="32"/>
          <w:szCs w:val="32"/>
          <w:lang w:val="zh-CN"/>
        </w:rPr>
        <w:t>（二）项目绩效目标。</w:t>
      </w:r>
    </w:p>
    <w:p>
      <w:pPr>
        <w:adjustRightInd w:val="0"/>
        <w:snapToGrid w:val="0"/>
        <w:spacing w:line="600" w:lineRule="exact"/>
        <w:ind w:firstLine="720"/>
        <w:rPr>
          <w:rFonts w:ascii="仿宋" w:hAnsi="仿宋" w:eastAsia="仿宋"/>
          <w:b/>
          <w:sz w:val="32"/>
          <w:szCs w:val="32"/>
          <w:lang w:val="zh-CN"/>
        </w:rPr>
      </w:pPr>
      <w:r>
        <w:rPr>
          <w:rFonts w:ascii="仿宋" w:hAnsi="仿宋" w:eastAsia="仿宋"/>
          <w:b/>
          <w:sz w:val="32"/>
          <w:szCs w:val="32"/>
          <w:lang w:val="zh-CN"/>
        </w:rPr>
        <w:t>1</w:t>
      </w:r>
      <w:r>
        <w:rPr>
          <w:rFonts w:hint="eastAsia" w:ascii="仿宋" w:hAnsi="仿宋" w:eastAsia="仿宋"/>
          <w:b/>
          <w:sz w:val="32"/>
          <w:szCs w:val="32"/>
          <w:lang w:val="zh-CN"/>
        </w:rPr>
        <w:t>．项目主要内容。</w:t>
      </w:r>
    </w:p>
    <w:p>
      <w:pPr>
        <w:adjustRightInd w:val="0"/>
        <w:snapToGrid w:val="0"/>
        <w:spacing w:line="600" w:lineRule="exact"/>
        <w:ind w:firstLine="720"/>
        <w:rPr>
          <w:rFonts w:ascii="仿宋" w:hAnsi="仿宋" w:eastAsia="仿宋"/>
          <w:sz w:val="32"/>
          <w:szCs w:val="32"/>
          <w:lang w:val="zh-CN"/>
        </w:rPr>
      </w:pPr>
      <w:r>
        <w:rPr>
          <w:rFonts w:hint="eastAsia" w:ascii="仿宋" w:hAnsi="仿宋" w:eastAsia="仿宋"/>
          <w:sz w:val="32"/>
          <w:szCs w:val="32"/>
          <w:lang w:val="zh-CN"/>
        </w:rPr>
        <w:t>为广元市人民检察院援藏援彝对口的昭觉县人民检察院提供检察业务援助、干部人才援助、教育培训援助、检察文化援助、信息科技援助、项目资金援助。</w:t>
      </w:r>
    </w:p>
    <w:p>
      <w:pPr>
        <w:adjustRightInd w:val="0"/>
        <w:snapToGrid w:val="0"/>
        <w:spacing w:line="600" w:lineRule="exact"/>
        <w:ind w:firstLine="720"/>
        <w:rPr>
          <w:rFonts w:ascii="仿宋" w:hAnsi="仿宋" w:eastAsia="仿宋"/>
          <w:b/>
          <w:sz w:val="32"/>
          <w:szCs w:val="32"/>
          <w:lang w:val="zh-CN"/>
        </w:rPr>
      </w:pPr>
      <w:r>
        <w:rPr>
          <w:rFonts w:ascii="仿宋" w:hAnsi="仿宋" w:eastAsia="仿宋"/>
          <w:b/>
          <w:sz w:val="32"/>
          <w:szCs w:val="32"/>
          <w:lang w:val="zh-CN"/>
        </w:rPr>
        <w:t>2</w:t>
      </w:r>
      <w:r>
        <w:rPr>
          <w:rFonts w:hint="eastAsia" w:ascii="仿宋" w:hAnsi="仿宋" w:eastAsia="仿宋"/>
          <w:b/>
          <w:sz w:val="32"/>
          <w:szCs w:val="32"/>
          <w:lang w:val="zh-CN"/>
        </w:rPr>
        <w:t>．项目应实现的具体绩效目标，包括目标的量化、细化情况以及项目实施进度计划等。</w:t>
      </w:r>
    </w:p>
    <w:p>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lang w:val="zh-CN"/>
        </w:rPr>
        <w:t>安排</w:t>
      </w:r>
      <w:r>
        <w:rPr>
          <w:rFonts w:hint="eastAsia" w:ascii="仿宋" w:hAnsi="仿宋" w:eastAsia="仿宋"/>
          <w:sz w:val="32"/>
          <w:szCs w:val="32"/>
        </w:rPr>
        <w:t>1名干警常驻昭觉县人民检察院开展帮扶工作；</w:t>
      </w:r>
      <w:r>
        <w:rPr>
          <w:rFonts w:hint="eastAsia" w:ascii="仿宋" w:hAnsi="仿宋" w:eastAsia="仿宋"/>
          <w:sz w:val="32"/>
          <w:szCs w:val="32"/>
          <w:lang w:val="zh-CN"/>
        </w:rPr>
        <w:t>至少走访考察被帮扶院昭觉县人民检察院</w:t>
      </w:r>
      <w:r>
        <w:rPr>
          <w:rFonts w:hint="eastAsia" w:ascii="仿宋" w:hAnsi="仿宋" w:eastAsia="仿宋"/>
          <w:sz w:val="32"/>
          <w:szCs w:val="32"/>
        </w:rPr>
        <w:t>1次；每年为昭觉县人民检察院提供项目资金6.8万元。</w:t>
      </w:r>
    </w:p>
    <w:p>
      <w:pPr>
        <w:adjustRightInd w:val="0"/>
        <w:snapToGrid w:val="0"/>
        <w:spacing w:line="600" w:lineRule="exact"/>
        <w:ind w:firstLine="720"/>
        <w:rPr>
          <w:rFonts w:ascii="仿宋" w:hAnsi="仿宋" w:eastAsia="仿宋"/>
          <w:b/>
          <w:sz w:val="32"/>
          <w:szCs w:val="32"/>
          <w:lang w:val="zh-CN"/>
        </w:rPr>
      </w:pPr>
      <w:r>
        <w:rPr>
          <w:rFonts w:ascii="仿宋" w:hAnsi="仿宋" w:eastAsia="仿宋"/>
          <w:b/>
          <w:sz w:val="32"/>
          <w:szCs w:val="32"/>
          <w:lang w:val="zh-CN"/>
        </w:rPr>
        <w:t>3</w:t>
      </w:r>
      <w:r>
        <w:rPr>
          <w:rFonts w:hint="eastAsia" w:ascii="仿宋" w:hAnsi="仿宋" w:eastAsia="仿宋"/>
          <w:b/>
          <w:sz w:val="32"/>
          <w:szCs w:val="32"/>
          <w:lang w:val="zh-CN"/>
        </w:rPr>
        <w:t>．分析评价申报内容是否与实际相符，申报目标是合理可行。</w:t>
      </w:r>
    </w:p>
    <w:p>
      <w:pPr>
        <w:ind w:firstLine="640" w:firstLineChars="200"/>
        <w:rPr>
          <w:rFonts w:ascii="仿宋" w:hAnsi="仿宋" w:eastAsia="仿宋"/>
        </w:rPr>
      </w:pPr>
      <w:r>
        <w:rPr>
          <w:rFonts w:hint="eastAsia" w:ascii="仿宋" w:hAnsi="仿宋" w:eastAsia="仿宋" w:cs="仿宋_GB2312"/>
          <w:sz w:val="32"/>
          <w:szCs w:val="32"/>
        </w:rPr>
        <w:t>绩效目标设置上，我院从收集、上报、筛查、费用控制和可持续发展上明确了合理的目标任务，符合实际。</w:t>
      </w:r>
    </w:p>
    <w:p>
      <w:pPr>
        <w:adjustRightInd w:val="0"/>
        <w:snapToGrid w:val="0"/>
        <w:spacing w:line="600" w:lineRule="exact"/>
        <w:ind w:firstLine="720"/>
        <w:rPr>
          <w:rFonts w:ascii="楷体" w:hAnsi="楷体" w:eastAsia="楷体"/>
          <w:sz w:val="32"/>
          <w:szCs w:val="32"/>
          <w:lang w:val="zh-CN"/>
        </w:rPr>
      </w:pPr>
      <w:r>
        <w:rPr>
          <w:rFonts w:hint="eastAsia" w:ascii="楷体" w:hAnsi="楷体" w:eastAsia="楷体"/>
          <w:sz w:val="32"/>
          <w:szCs w:val="32"/>
          <w:lang w:val="zh-CN"/>
        </w:rPr>
        <w:t>（三）项目自评步骤及方法。</w:t>
      </w:r>
    </w:p>
    <w:p>
      <w:pPr>
        <w:ind w:firstLine="642" w:firstLineChars="200"/>
        <w:rPr>
          <w:rFonts w:ascii="仿宋" w:hAnsi="仿宋" w:eastAsia="仿宋"/>
          <w:sz w:val="32"/>
          <w:szCs w:val="32"/>
        </w:rPr>
      </w:pPr>
      <w:r>
        <w:rPr>
          <w:rFonts w:hint="eastAsia" w:ascii="仿宋" w:hAnsi="仿宋" w:eastAsia="仿宋" w:cs="仿宋_GB2312"/>
          <w:b/>
          <w:sz w:val="32"/>
          <w:szCs w:val="32"/>
        </w:rPr>
        <w:t>1.前期准备：</w:t>
      </w:r>
      <w:r>
        <w:rPr>
          <w:rFonts w:hint="eastAsia" w:ascii="仿宋" w:hAnsi="仿宋" w:eastAsia="仿宋" w:cs="仿宋_GB2312"/>
          <w:sz w:val="32"/>
          <w:szCs w:val="32"/>
        </w:rPr>
        <w:t>按照绩效自评工作要求，组成以杨红梅同志为组长的绩效评价工作小组，根据援藏援彝项目制定了项目支出绩效评价实施方案，设计了绩效评价指标体系。</w:t>
      </w:r>
    </w:p>
    <w:p>
      <w:pPr>
        <w:ind w:firstLine="642" w:firstLineChars="200"/>
        <w:rPr>
          <w:rFonts w:ascii="仿宋" w:hAnsi="仿宋" w:eastAsia="仿宋"/>
          <w:sz w:val="32"/>
          <w:szCs w:val="32"/>
        </w:rPr>
      </w:pPr>
      <w:r>
        <w:rPr>
          <w:rFonts w:hint="eastAsia" w:ascii="仿宋" w:hAnsi="仿宋" w:eastAsia="仿宋" w:cs="仿宋_GB2312"/>
          <w:b/>
          <w:sz w:val="32"/>
          <w:szCs w:val="32"/>
        </w:rPr>
        <w:t>2.组织实施：</w:t>
      </w:r>
      <w:r>
        <w:rPr>
          <w:rFonts w:hint="eastAsia" w:ascii="仿宋" w:hAnsi="仿宋" w:eastAsia="仿宋" w:cs="仿宋_GB2312"/>
          <w:sz w:val="32"/>
          <w:szCs w:val="32"/>
        </w:rPr>
        <w:t>采用核查法核查2020年同级财政预算批复执行及援藏援彝专项工作项目支出情况，根据年初制定的绩效考核目标，进行了实地绩效考评。针对援藏援彝专项工作情况，进行了实地调研</w:t>
      </w:r>
      <w:r>
        <w:rPr>
          <w:rFonts w:hint="eastAsia" w:ascii="仿宋" w:hAnsi="仿宋" w:eastAsia="仿宋"/>
          <w:sz w:val="32"/>
          <w:szCs w:val="32"/>
        </w:rPr>
        <w:t>编制资金预算，</w:t>
      </w:r>
      <w:r>
        <w:rPr>
          <w:rFonts w:ascii="仿宋" w:hAnsi="仿宋" w:eastAsia="仿宋"/>
          <w:sz w:val="32"/>
          <w:szCs w:val="32"/>
        </w:rPr>
        <w:t xml:space="preserve"> </w:t>
      </w:r>
    </w:p>
    <w:p>
      <w:pPr>
        <w:adjustRightInd w:val="0"/>
        <w:snapToGrid w:val="0"/>
        <w:spacing w:line="600" w:lineRule="exact"/>
        <w:ind w:firstLine="720"/>
        <w:rPr>
          <w:rFonts w:ascii="仿宋" w:hAnsi="仿宋" w:eastAsia="仿宋"/>
          <w:sz w:val="32"/>
          <w:szCs w:val="32"/>
          <w:lang w:val="zh-CN"/>
        </w:rPr>
      </w:pPr>
      <w:r>
        <w:rPr>
          <w:rFonts w:hint="eastAsia" w:ascii="仿宋" w:hAnsi="仿宋" w:eastAsia="仿宋" w:cs="仿宋_GB2312"/>
          <w:b/>
          <w:sz w:val="32"/>
          <w:szCs w:val="32"/>
        </w:rPr>
        <w:t>3.分析评价：</w:t>
      </w:r>
      <w:r>
        <w:rPr>
          <w:rFonts w:hint="eastAsia" w:ascii="仿宋" w:hAnsi="仿宋" w:eastAsia="仿宋" w:cs="仿宋_GB2312"/>
          <w:sz w:val="32"/>
          <w:szCs w:val="32"/>
        </w:rPr>
        <w:t>对评价过程中收集资料进行归纳，汇总分析，依据援藏援彝项目支出绩效评价指标体系进行了评分，形成了综合性书面报告。</w:t>
      </w:r>
    </w:p>
    <w:p>
      <w:pPr>
        <w:adjustRightInd w:val="0"/>
        <w:snapToGrid w:val="0"/>
        <w:spacing w:line="600" w:lineRule="exact"/>
        <w:ind w:firstLine="720"/>
        <w:rPr>
          <w:rFonts w:ascii="黑体" w:hAnsi="黑体" w:eastAsia="黑体"/>
          <w:sz w:val="32"/>
          <w:szCs w:val="32"/>
        </w:rPr>
      </w:pPr>
      <w:r>
        <w:rPr>
          <w:rFonts w:hint="eastAsia" w:ascii="黑体" w:hAnsi="黑体" w:eastAsia="黑体"/>
          <w:sz w:val="32"/>
          <w:szCs w:val="32"/>
        </w:rPr>
        <w:t>二、项目资金申报及使用情况</w:t>
      </w:r>
    </w:p>
    <w:p>
      <w:pPr>
        <w:adjustRightInd w:val="0"/>
        <w:snapToGrid w:val="0"/>
        <w:spacing w:line="600" w:lineRule="exact"/>
        <w:ind w:firstLine="720"/>
        <w:rPr>
          <w:rFonts w:ascii="楷体" w:hAnsi="楷体" w:eastAsia="楷体"/>
          <w:sz w:val="32"/>
          <w:szCs w:val="32"/>
          <w:lang w:val="zh-CN"/>
        </w:rPr>
      </w:pPr>
      <w:r>
        <w:rPr>
          <w:rFonts w:hint="eastAsia" w:ascii="楷体" w:hAnsi="楷体" w:eastAsia="楷体"/>
          <w:sz w:val="32"/>
          <w:szCs w:val="32"/>
          <w:lang w:val="zh-CN"/>
        </w:rPr>
        <w:t>（一）项目资金申报及批复情况。</w:t>
      </w:r>
    </w:p>
    <w:p>
      <w:pPr>
        <w:adjustRightInd w:val="0"/>
        <w:snapToGrid w:val="0"/>
        <w:spacing w:line="600" w:lineRule="exact"/>
        <w:ind w:firstLine="720"/>
        <w:rPr>
          <w:rFonts w:ascii="仿宋" w:hAnsi="仿宋" w:eastAsia="仿宋"/>
          <w:sz w:val="32"/>
          <w:szCs w:val="32"/>
          <w:lang w:val="zh-CN"/>
        </w:rPr>
      </w:pPr>
      <w:r>
        <w:rPr>
          <w:rFonts w:hint="eastAsia" w:ascii="仿宋" w:hAnsi="仿宋" w:eastAsia="仿宋"/>
          <w:sz w:val="32"/>
          <w:szCs w:val="32"/>
          <w:lang w:val="zh-CN"/>
        </w:rPr>
        <w:t>援藏援彝项目资金年初预算资金</w:t>
      </w:r>
      <w:r>
        <w:rPr>
          <w:rFonts w:hint="eastAsia" w:ascii="仿宋" w:hAnsi="仿宋" w:eastAsia="仿宋"/>
          <w:color w:val="000000"/>
          <w:sz w:val="32"/>
          <w:szCs w:val="32"/>
        </w:rPr>
        <w:t>6.8</w:t>
      </w:r>
      <w:r>
        <w:rPr>
          <w:rFonts w:hint="eastAsia" w:ascii="仿宋" w:hAnsi="仿宋" w:eastAsia="仿宋"/>
          <w:sz w:val="32"/>
          <w:szCs w:val="32"/>
          <w:lang w:val="zh-CN"/>
        </w:rPr>
        <w:t>万元，并于批复后下达指标。2020年项目实际到位资金</w:t>
      </w:r>
      <w:r>
        <w:rPr>
          <w:rFonts w:hint="eastAsia" w:ascii="仿宋" w:hAnsi="仿宋" w:eastAsia="仿宋"/>
          <w:color w:val="000000"/>
          <w:sz w:val="32"/>
          <w:szCs w:val="32"/>
        </w:rPr>
        <w:t>6.8</w:t>
      </w:r>
      <w:r>
        <w:rPr>
          <w:rFonts w:hint="eastAsia" w:ascii="仿宋" w:hAnsi="仿宋" w:eastAsia="仿宋"/>
          <w:sz w:val="32"/>
          <w:szCs w:val="32"/>
          <w:lang w:val="zh-CN"/>
        </w:rPr>
        <w:t>万元，未调整预算。</w:t>
      </w:r>
    </w:p>
    <w:p>
      <w:pPr>
        <w:adjustRightInd w:val="0"/>
        <w:snapToGrid w:val="0"/>
        <w:spacing w:line="600" w:lineRule="exact"/>
        <w:ind w:firstLine="720"/>
        <w:rPr>
          <w:rFonts w:ascii="楷体" w:hAnsi="楷体" w:eastAsia="楷体"/>
          <w:sz w:val="32"/>
          <w:szCs w:val="32"/>
          <w:lang w:val="zh-CN"/>
        </w:rPr>
      </w:pPr>
      <w:r>
        <w:rPr>
          <w:rFonts w:hint="eastAsia" w:ascii="楷体" w:hAnsi="楷体" w:eastAsia="楷体"/>
          <w:sz w:val="32"/>
          <w:szCs w:val="32"/>
          <w:lang w:val="zh-CN"/>
        </w:rPr>
        <w:t>（二）资金计划、到位及使用情况（可用表格形式反映）。</w:t>
      </w:r>
    </w:p>
    <w:p>
      <w:pPr>
        <w:adjustRightInd w:val="0"/>
        <w:snapToGrid w:val="0"/>
        <w:spacing w:line="600" w:lineRule="exact"/>
        <w:ind w:firstLine="720"/>
        <w:rPr>
          <w:rFonts w:ascii="仿宋" w:hAnsi="仿宋" w:eastAsia="仿宋"/>
          <w:sz w:val="32"/>
          <w:szCs w:val="32"/>
          <w:lang w:val="zh-CN"/>
        </w:rPr>
      </w:pPr>
      <w:r>
        <w:rPr>
          <w:rFonts w:ascii="仿宋" w:hAnsi="仿宋" w:eastAsia="仿宋"/>
          <w:b/>
          <w:sz w:val="32"/>
          <w:szCs w:val="32"/>
          <w:lang w:val="zh-CN"/>
        </w:rPr>
        <w:t>1</w:t>
      </w:r>
      <w:r>
        <w:rPr>
          <w:rFonts w:hint="eastAsia" w:ascii="仿宋" w:hAnsi="仿宋" w:eastAsia="仿宋"/>
          <w:b/>
          <w:sz w:val="32"/>
          <w:szCs w:val="32"/>
          <w:lang w:val="zh-CN"/>
        </w:rPr>
        <w:t>．资金计划。</w:t>
      </w:r>
      <w:r>
        <w:rPr>
          <w:rFonts w:hint="eastAsia" w:ascii="仿宋" w:hAnsi="仿宋" w:eastAsia="仿宋"/>
          <w:sz w:val="32"/>
          <w:szCs w:val="32"/>
          <w:lang w:val="zh-CN"/>
        </w:rPr>
        <w:t>援藏援彝项目资金</w:t>
      </w:r>
      <w:r>
        <w:rPr>
          <w:rFonts w:hint="eastAsia" w:ascii="仿宋" w:hAnsi="仿宋" w:eastAsia="仿宋"/>
          <w:color w:val="000000"/>
          <w:sz w:val="32"/>
          <w:szCs w:val="32"/>
        </w:rPr>
        <w:t>6.8</w:t>
      </w:r>
      <w:r>
        <w:rPr>
          <w:rFonts w:hint="eastAsia" w:ascii="仿宋" w:hAnsi="仿宋" w:eastAsia="仿宋"/>
          <w:sz w:val="32"/>
          <w:szCs w:val="32"/>
          <w:lang w:val="zh-CN"/>
        </w:rPr>
        <w:t>万元，全部为地方财政拨款。</w:t>
      </w:r>
    </w:p>
    <w:p>
      <w:pPr>
        <w:adjustRightInd w:val="0"/>
        <w:snapToGrid w:val="0"/>
        <w:spacing w:line="600" w:lineRule="exact"/>
        <w:ind w:firstLine="720"/>
        <w:rPr>
          <w:rFonts w:ascii="仿宋" w:hAnsi="仿宋" w:eastAsia="仿宋"/>
          <w:sz w:val="32"/>
          <w:szCs w:val="32"/>
          <w:lang w:val="zh-CN"/>
        </w:rPr>
      </w:pPr>
      <w:r>
        <w:rPr>
          <w:rFonts w:ascii="仿宋" w:hAnsi="仿宋" w:eastAsia="仿宋"/>
          <w:b/>
          <w:sz w:val="32"/>
          <w:szCs w:val="32"/>
          <w:lang w:val="zh-CN"/>
        </w:rPr>
        <w:t>2</w:t>
      </w:r>
      <w:r>
        <w:rPr>
          <w:rFonts w:hint="eastAsia" w:ascii="仿宋" w:hAnsi="仿宋" w:eastAsia="仿宋"/>
          <w:b/>
          <w:sz w:val="32"/>
          <w:szCs w:val="32"/>
          <w:lang w:val="zh-CN"/>
        </w:rPr>
        <w:t>．资金到位</w:t>
      </w:r>
      <w:r>
        <w:rPr>
          <w:rFonts w:hint="eastAsia" w:ascii="仿宋" w:hAnsi="仿宋" w:eastAsia="仿宋"/>
          <w:sz w:val="32"/>
          <w:szCs w:val="32"/>
          <w:lang w:val="zh-CN"/>
        </w:rPr>
        <w:t>。截止评价时，援藏援彝项目资金到位</w:t>
      </w:r>
      <w:r>
        <w:rPr>
          <w:rFonts w:hint="eastAsia" w:ascii="仿宋" w:hAnsi="仿宋" w:eastAsia="仿宋"/>
          <w:color w:val="000000"/>
          <w:sz w:val="32"/>
          <w:szCs w:val="32"/>
        </w:rPr>
        <w:t>6.8</w:t>
      </w:r>
      <w:r>
        <w:rPr>
          <w:rFonts w:hint="eastAsia" w:ascii="仿宋" w:hAnsi="仿宋" w:eastAsia="仿宋"/>
          <w:sz w:val="32"/>
          <w:szCs w:val="32"/>
          <w:lang w:val="zh-CN"/>
        </w:rPr>
        <w:t>万元，为地方财政拨款。资金到位率100%，该项目资金全部及时、足额到位。</w:t>
      </w:r>
    </w:p>
    <w:p>
      <w:pPr>
        <w:adjustRightInd w:val="0"/>
        <w:snapToGrid w:val="0"/>
        <w:spacing w:line="600" w:lineRule="exact"/>
        <w:ind w:firstLine="720"/>
        <w:rPr>
          <w:rFonts w:ascii="仿宋" w:hAnsi="仿宋" w:eastAsia="仿宋"/>
          <w:sz w:val="32"/>
          <w:szCs w:val="32"/>
          <w:lang w:val="zh-CN"/>
        </w:rPr>
      </w:pPr>
      <w:r>
        <w:rPr>
          <w:rFonts w:ascii="仿宋" w:hAnsi="仿宋" w:eastAsia="仿宋"/>
          <w:b/>
          <w:sz w:val="32"/>
          <w:szCs w:val="32"/>
          <w:lang w:val="zh-CN"/>
        </w:rPr>
        <w:t>3</w:t>
      </w:r>
      <w:r>
        <w:rPr>
          <w:rFonts w:hint="eastAsia" w:ascii="仿宋" w:hAnsi="仿宋" w:eastAsia="仿宋"/>
          <w:b/>
          <w:sz w:val="32"/>
          <w:szCs w:val="32"/>
          <w:lang w:val="zh-CN"/>
        </w:rPr>
        <w:t>．资金使用。</w:t>
      </w:r>
      <w:r>
        <w:rPr>
          <w:rFonts w:hint="eastAsia" w:ascii="仿宋" w:hAnsi="仿宋" w:eastAsia="仿宋"/>
          <w:sz w:val="32"/>
          <w:szCs w:val="32"/>
          <w:lang w:val="zh-CN"/>
        </w:rPr>
        <w:t>截止评价时，援藏援彝支出6.8万元，完成预算率100%。资金支付方式为财政国库集中支付，程序规范、票据齐全，与预算相符。</w:t>
      </w:r>
    </w:p>
    <w:p>
      <w:pPr>
        <w:adjustRightInd w:val="0"/>
        <w:snapToGrid w:val="0"/>
        <w:spacing w:line="600" w:lineRule="exact"/>
        <w:ind w:firstLine="720"/>
        <w:rPr>
          <w:rFonts w:ascii="楷体" w:hAnsi="楷体" w:eastAsia="楷体"/>
          <w:sz w:val="32"/>
          <w:szCs w:val="32"/>
          <w:lang w:val="zh-CN"/>
        </w:rPr>
      </w:pPr>
      <w:r>
        <w:rPr>
          <w:rFonts w:hint="eastAsia" w:ascii="楷体" w:hAnsi="楷体" w:eastAsia="楷体"/>
          <w:sz w:val="32"/>
          <w:szCs w:val="32"/>
          <w:lang w:val="zh-CN"/>
        </w:rPr>
        <w:t>（三）项目财务管理情况。</w:t>
      </w:r>
    </w:p>
    <w:p>
      <w:pPr>
        <w:adjustRightInd w:val="0"/>
        <w:snapToGrid w:val="0"/>
        <w:spacing w:line="600" w:lineRule="exact"/>
        <w:ind w:firstLine="720"/>
        <w:rPr>
          <w:rFonts w:ascii="仿宋" w:hAnsi="仿宋" w:eastAsia="仿宋"/>
          <w:sz w:val="32"/>
          <w:szCs w:val="32"/>
          <w:lang w:val="zh-CN"/>
        </w:rPr>
      </w:pPr>
      <w:r>
        <w:rPr>
          <w:rFonts w:hint="eastAsia" w:ascii="仿宋" w:hAnsi="仿宋" w:eastAsia="仿宋"/>
          <w:color w:val="000000"/>
          <w:sz w:val="32"/>
          <w:szCs w:val="32"/>
        </w:rPr>
        <w:t>我院建立了</w:t>
      </w:r>
      <w:r>
        <w:rPr>
          <w:rFonts w:hint="eastAsia" w:ascii="仿宋" w:hAnsi="仿宋" w:eastAsia="仿宋"/>
          <w:sz w:val="32"/>
          <w:szCs w:val="32"/>
          <w:lang w:val="zh-CN"/>
        </w:rPr>
        <w:t>援藏援彝</w:t>
      </w:r>
      <w:r>
        <w:rPr>
          <w:rFonts w:hint="eastAsia" w:ascii="仿宋" w:hAnsi="仿宋" w:eastAsia="仿宋"/>
          <w:color w:val="000000"/>
          <w:sz w:val="32"/>
          <w:szCs w:val="32"/>
        </w:rPr>
        <w:t>资金财务管理制度，强化监督措施，</w:t>
      </w:r>
      <w:r>
        <w:rPr>
          <w:rFonts w:hint="eastAsia" w:ascii="仿宋" w:hAnsi="仿宋" w:eastAsia="仿宋"/>
          <w:sz w:val="32"/>
          <w:szCs w:val="32"/>
          <w:lang w:val="zh-CN"/>
        </w:rPr>
        <w:t>援藏援彝</w:t>
      </w:r>
      <w:r>
        <w:rPr>
          <w:rFonts w:hint="eastAsia" w:ascii="仿宋" w:hAnsi="仿宋" w:eastAsia="仿宋"/>
          <w:color w:val="000000"/>
          <w:sz w:val="32"/>
          <w:szCs w:val="32"/>
        </w:rPr>
        <w:t>资金实行专款专用，不得挪作他用，</w:t>
      </w:r>
      <w:r>
        <w:rPr>
          <w:rFonts w:hint="eastAsia" w:ascii="仿宋" w:hAnsi="仿宋" w:eastAsia="仿宋"/>
          <w:sz w:val="32"/>
          <w:szCs w:val="32"/>
          <w:lang w:val="zh-CN"/>
        </w:rPr>
        <w:t>并严格执行财务管理制度，账务处理及时准确，会计核算规范。</w:t>
      </w:r>
    </w:p>
    <w:p>
      <w:pPr>
        <w:adjustRightInd w:val="0"/>
        <w:snapToGrid w:val="0"/>
        <w:spacing w:line="600" w:lineRule="exact"/>
        <w:ind w:firstLine="720"/>
        <w:rPr>
          <w:rFonts w:ascii="黑体" w:hAnsi="黑体" w:eastAsia="黑体"/>
          <w:sz w:val="32"/>
          <w:szCs w:val="32"/>
        </w:rPr>
      </w:pPr>
      <w:r>
        <w:rPr>
          <w:rFonts w:hint="eastAsia" w:ascii="黑体" w:hAnsi="黑体" w:eastAsia="黑体"/>
          <w:sz w:val="32"/>
          <w:szCs w:val="32"/>
        </w:rPr>
        <w:t>三、项目实施及管理情况</w:t>
      </w:r>
    </w:p>
    <w:p>
      <w:pPr>
        <w:adjustRightInd w:val="0"/>
        <w:snapToGrid w:val="0"/>
        <w:spacing w:line="600" w:lineRule="exact"/>
        <w:ind w:firstLine="720"/>
        <w:rPr>
          <w:rFonts w:ascii="仿宋" w:hAnsi="仿宋" w:eastAsia="仿宋"/>
          <w:sz w:val="32"/>
          <w:szCs w:val="32"/>
          <w:lang w:val="zh-CN"/>
        </w:rPr>
      </w:pPr>
      <w:r>
        <w:rPr>
          <w:rFonts w:hint="eastAsia" w:ascii="仿宋" w:hAnsi="仿宋" w:eastAsia="仿宋"/>
          <w:sz w:val="32"/>
          <w:szCs w:val="32"/>
          <w:lang w:val="zh-CN"/>
        </w:rPr>
        <w:t>结合项目组织实施管理办法，重点围绕以下内容进行分析评价，并对自评中发现的问题分析说明。</w:t>
      </w:r>
    </w:p>
    <w:p>
      <w:pPr>
        <w:adjustRightInd w:val="0"/>
        <w:snapToGrid w:val="0"/>
        <w:spacing w:line="600" w:lineRule="exact"/>
        <w:ind w:firstLine="720"/>
        <w:rPr>
          <w:rFonts w:ascii="仿宋" w:hAnsi="仿宋" w:eastAsia="仿宋"/>
          <w:b/>
          <w:sz w:val="32"/>
          <w:szCs w:val="32"/>
          <w:lang w:val="zh-CN"/>
        </w:rPr>
      </w:pPr>
      <w:r>
        <w:rPr>
          <w:rFonts w:hint="eastAsia" w:ascii="楷体" w:hAnsi="楷体" w:eastAsia="楷体"/>
          <w:sz w:val="32"/>
          <w:szCs w:val="32"/>
          <w:lang w:val="zh-CN"/>
        </w:rPr>
        <w:t>（一）项目组织架构及实施流程。</w:t>
      </w:r>
      <w:r>
        <w:rPr>
          <w:rFonts w:hint="eastAsia" w:ascii="仿宋" w:hAnsi="仿宋" w:eastAsia="仿宋"/>
          <w:sz w:val="32"/>
          <w:szCs w:val="32"/>
          <w:lang w:val="zh-CN"/>
        </w:rPr>
        <w:t>该项目由分管领导杨红梅负责，部门负责人李祥壬组织实施。</w:t>
      </w:r>
    </w:p>
    <w:p>
      <w:pPr>
        <w:adjustRightInd w:val="0"/>
        <w:snapToGrid w:val="0"/>
        <w:spacing w:line="600" w:lineRule="exact"/>
        <w:ind w:firstLine="720"/>
        <w:rPr>
          <w:rFonts w:ascii="仿宋" w:hAnsi="仿宋" w:eastAsia="仿宋"/>
          <w:sz w:val="32"/>
          <w:szCs w:val="32"/>
          <w:lang w:val="zh-CN"/>
        </w:rPr>
      </w:pPr>
      <w:r>
        <w:rPr>
          <w:rFonts w:hint="eastAsia" w:ascii="楷体" w:hAnsi="楷体" w:eastAsia="楷体"/>
          <w:sz w:val="32"/>
          <w:szCs w:val="32"/>
          <w:lang w:val="zh-CN"/>
        </w:rPr>
        <w:t>（二）项目管理情况。</w:t>
      </w:r>
      <w:r>
        <w:rPr>
          <w:rFonts w:hint="eastAsia" w:ascii="仿宋" w:hAnsi="仿宋" w:eastAsia="仿宋"/>
          <w:sz w:val="32"/>
          <w:szCs w:val="32"/>
          <w:lang w:val="zh-CN"/>
        </w:rPr>
        <w:t>援藏援彝项目实施过程中，严格执行相关法律法规及项目管理制度，资金使用符合规定，项目成果达到预期。</w:t>
      </w:r>
    </w:p>
    <w:p>
      <w:pPr>
        <w:adjustRightInd w:val="0"/>
        <w:snapToGrid w:val="0"/>
        <w:spacing w:line="600" w:lineRule="exact"/>
        <w:ind w:firstLine="720"/>
        <w:rPr>
          <w:rFonts w:ascii="仿宋" w:hAnsi="仿宋" w:eastAsia="仿宋"/>
          <w:sz w:val="32"/>
          <w:szCs w:val="32"/>
        </w:rPr>
      </w:pPr>
      <w:r>
        <w:rPr>
          <w:rFonts w:hint="eastAsia" w:ascii="楷体" w:hAnsi="楷体" w:eastAsia="楷体"/>
          <w:sz w:val="32"/>
          <w:szCs w:val="32"/>
          <w:lang w:val="zh-CN"/>
        </w:rPr>
        <w:t>（三）项目监管情况。</w:t>
      </w:r>
      <w:r>
        <w:rPr>
          <w:rFonts w:hint="eastAsia" w:ascii="仿宋" w:hAnsi="仿宋" w:eastAsia="仿宋"/>
          <w:sz w:val="32"/>
          <w:szCs w:val="32"/>
        </w:rPr>
        <w:t>严格按照预算执行专款专用，科学计划资金使用进度，每笔支出力求规范、合理。</w:t>
      </w:r>
    </w:p>
    <w:p>
      <w:pPr>
        <w:adjustRightInd w:val="0"/>
        <w:snapToGrid w:val="0"/>
        <w:spacing w:line="600" w:lineRule="exact"/>
        <w:ind w:firstLine="720"/>
        <w:rPr>
          <w:rFonts w:ascii="黑体" w:hAnsi="黑体" w:eastAsia="黑体"/>
          <w:sz w:val="32"/>
          <w:szCs w:val="32"/>
          <w:lang w:val="zh-CN"/>
        </w:rPr>
      </w:pPr>
      <w:r>
        <w:rPr>
          <w:rFonts w:hint="eastAsia" w:ascii="黑体" w:hAnsi="黑体" w:eastAsia="黑体"/>
          <w:sz w:val="32"/>
          <w:szCs w:val="32"/>
        </w:rPr>
        <w:t>四、项目绩效情况</w:t>
      </w:r>
      <w:r>
        <w:rPr>
          <w:rFonts w:ascii="黑体" w:hAnsi="黑体" w:eastAsia="黑体"/>
          <w:sz w:val="32"/>
          <w:szCs w:val="32"/>
          <w:lang w:val="zh-CN"/>
        </w:rPr>
        <w:tab/>
      </w:r>
    </w:p>
    <w:p>
      <w:pPr>
        <w:adjustRightInd w:val="0"/>
        <w:snapToGrid w:val="0"/>
        <w:spacing w:line="600" w:lineRule="exact"/>
        <w:ind w:firstLine="720"/>
        <w:rPr>
          <w:rFonts w:ascii="楷体" w:hAnsi="楷体" w:eastAsia="楷体"/>
          <w:sz w:val="32"/>
          <w:szCs w:val="32"/>
          <w:lang w:val="zh-CN"/>
        </w:rPr>
      </w:pPr>
      <w:r>
        <w:rPr>
          <w:rFonts w:hint="eastAsia" w:ascii="楷体" w:hAnsi="楷体" w:eastAsia="楷体"/>
          <w:sz w:val="32"/>
          <w:szCs w:val="32"/>
          <w:lang w:val="zh-CN"/>
        </w:rPr>
        <w:t>（一）项目完成情况。</w:t>
      </w:r>
    </w:p>
    <w:p>
      <w:pPr>
        <w:adjustRightInd w:val="0"/>
        <w:snapToGrid w:val="0"/>
        <w:spacing w:line="600" w:lineRule="exact"/>
        <w:ind w:left="210" w:leftChars="100" w:firstLine="720"/>
        <w:rPr>
          <w:rFonts w:ascii="仿宋" w:hAnsi="仿宋" w:eastAsia="仿宋" w:cs="仿宋_GB2312"/>
          <w:sz w:val="32"/>
          <w:szCs w:val="32"/>
          <w:lang w:val="zh-CN"/>
        </w:rPr>
      </w:pPr>
      <w:r>
        <w:rPr>
          <w:rFonts w:hint="eastAsia" w:ascii="仿宋" w:hAnsi="仿宋" w:eastAsia="仿宋"/>
          <w:sz w:val="32"/>
          <w:szCs w:val="32"/>
          <w:lang w:val="zh-CN"/>
        </w:rPr>
        <w:t>援藏援彝项目达到项目预期,</w:t>
      </w:r>
      <w:r>
        <w:rPr>
          <w:rFonts w:hint="eastAsia" w:ascii="仿宋" w:hAnsi="仿宋" w:eastAsia="仿宋" w:cs="仿宋_GB2312"/>
          <w:sz w:val="32"/>
          <w:szCs w:val="32"/>
        </w:rPr>
        <w:t>促进受援地区检察机关提升业务水平和自我发展能力，为受援地区经济社会与内地协同发展和长治久安提供有力司法保障。</w:t>
      </w:r>
      <w:r>
        <w:rPr>
          <w:rFonts w:hint="eastAsia" w:ascii="仿宋" w:hAnsi="仿宋" w:eastAsia="仿宋"/>
          <w:sz w:val="32"/>
          <w:szCs w:val="32"/>
          <w:lang w:val="zh-CN"/>
        </w:rPr>
        <w:t>截止评价时，高质量地完成了年初设定目标，并严格控制支出，未超预算。</w:t>
      </w:r>
    </w:p>
    <w:p>
      <w:pPr>
        <w:adjustRightInd w:val="0"/>
        <w:snapToGrid w:val="0"/>
        <w:spacing w:line="600" w:lineRule="exact"/>
        <w:ind w:firstLine="720"/>
        <w:rPr>
          <w:rFonts w:ascii="楷体" w:hAnsi="楷体" w:eastAsia="楷体"/>
          <w:sz w:val="32"/>
          <w:szCs w:val="32"/>
          <w:lang w:val="zh-CN"/>
        </w:rPr>
      </w:pPr>
      <w:r>
        <w:rPr>
          <w:rFonts w:hint="eastAsia" w:ascii="楷体" w:hAnsi="楷体" w:eastAsia="楷体"/>
          <w:sz w:val="32"/>
          <w:szCs w:val="32"/>
          <w:lang w:val="zh-CN"/>
        </w:rPr>
        <w:t>（二）项目效益情况。</w:t>
      </w:r>
    </w:p>
    <w:p>
      <w:pPr>
        <w:ind w:firstLine="640" w:firstLineChars="200"/>
        <w:rPr>
          <w:rFonts w:ascii="仿宋" w:hAnsi="仿宋" w:eastAsia="仿宋"/>
          <w:sz w:val="32"/>
          <w:szCs w:val="32"/>
        </w:rPr>
      </w:pPr>
      <w:r>
        <w:rPr>
          <w:rFonts w:hint="eastAsia" w:ascii="仿宋" w:hAnsi="仿宋" w:eastAsia="仿宋"/>
          <w:sz w:val="32"/>
          <w:szCs w:val="32"/>
          <w:lang w:val="zh-CN"/>
        </w:rPr>
        <w:t>通过该项目实施，促进受援地区检察机关提升业务水平和自我发展能力，为受援地区经济社会与内地协同发展和长治久安提供有力司法保障.</w:t>
      </w:r>
      <w:r>
        <w:rPr>
          <w:rFonts w:ascii="仿宋" w:hAnsi="仿宋" w:eastAsia="仿宋"/>
          <w:sz w:val="32"/>
          <w:szCs w:val="32"/>
        </w:rPr>
        <w:t xml:space="preserve"> </w:t>
      </w:r>
    </w:p>
    <w:p>
      <w:pPr>
        <w:adjustRightInd w:val="0"/>
        <w:snapToGrid w:val="0"/>
        <w:spacing w:line="600" w:lineRule="exact"/>
        <w:ind w:firstLine="720"/>
        <w:rPr>
          <w:rFonts w:ascii="黑体" w:hAnsi="黑体" w:eastAsia="黑体"/>
          <w:sz w:val="32"/>
          <w:szCs w:val="32"/>
        </w:rPr>
      </w:pPr>
      <w:r>
        <w:rPr>
          <w:rFonts w:hint="eastAsia" w:ascii="黑体" w:hAnsi="黑体" w:eastAsia="黑体"/>
          <w:sz w:val="32"/>
          <w:szCs w:val="32"/>
        </w:rPr>
        <w:t>五、评价结论及建议</w:t>
      </w:r>
    </w:p>
    <w:p>
      <w:pPr>
        <w:adjustRightInd w:val="0"/>
        <w:snapToGrid w:val="0"/>
        <w:spacing w:line="600" w:lineRule="exact"/>
        <w:ind w:firstLine="720"/>
        <w:rPr>
          <w:rFonts w:ascii="楷体" w:hAnsi="楷体" w:eastAsia="楷体"/>
          <w:sz w:val="32"/>
          <w:szCs w:val="32"/>
          <w:lang w:val="zh-CN"/>
        </w:rPr>
      </w:pPr>
      <w:r>
        <w:rPr>
          <w:rFonts w:hint="eastAsia" w:ascii="楷体" w:hAnsi="楷体" w:eastAsia="楷体"/>
          <w:sz w:val="32"/>
          <w:szCs w:val="32"/>
          <w:lang w:val="zh-CN"/>
        </w:rPr>
        <w:t>（一）评价结论。</w:t>
      </w:r>
    </w:p>
    <w:p>
      <w:pPr>
        <w:spacing w:line="580" w:lineRule="exact"/>
        <w:ind w:firstLine="640" w:firstLineChars="200"/>
        <w:rPr>
          <w:rFonts w:ascii="仿宋" w:hAnsi="仿宋" w:eastAsia="仿宋" w:cs="仿宋_GB2312"/>
          <w:sz w:val="32"/>
          <w:szCs w:val="32"/>
        </w:rPr>
      </w:pPr>
      <w:r>
        <w:rPr>
          <w:rFonts w:ascii="仿宋" w:hAnsi="仿宋" w:eastAsia="仿宋"/>
          <w:sz w:val="32"/>
          <w:szCs w:val="32"/>
          <w:lang w:val="zh-CN"/>
        </w:rPr>
        <w:t>项目目标完成情况</w:t>
      </w:r>
      <w:r>
        <w:rPr>
          <w:rFonts w:hint="eastAsia" w:ascii="仿宋" w:hAnsi="仿宋" w:eastAsia="仿宋"/>
          <w:sz w:val="32"/>
          <w:szCs w:val="32"/>
          <w:lang w:val="zh-CN"/>
        </w:rPr>
        <w:t>良好</w:t>
      </w:r>
      <w:r>
        <w:rPr>
          <w:rFonts w:ascii="仿宋" w:hAnsi="仿宋" w:eastAsia="仿宋"/>
          <w:sz w:val="32"/>
          <w:szCs w:val="32"/>
          <w:lang w:val="zh-CN"/>
        </w:rPr>
        <w:t>，</w:t>
      </w:r>
      <w:r>
        <w:rPr>
          <w:rFonts w:hint="eastAsia" w:ascii="仿宋" w:hAnsi="仿宋" w:eastAsia="仿宋"/>
          <w:sz w:val="32"/>
          <w:szCs w:val="32"/>
          <w:lang w:val="zh-CN"/>
        </w:rPr>
        <w:t>达成了</w:t>
      </w:r>
      <w:r>
        <w:rPr>
          <w:rFonts w:ascii="仿宋" w:hAnsi="仿宋" w:eastAsia="仿宋"/>
          <w:sz w:val="32"/>
          <w:szCs w:val="32"/>
          <w:lang w:val="zh-CN"/>
        </w:rPr>
        <w:t>项目社会效益</w:t>
      </w:r>
      <w:r>
        <w:rPr>
          <w:rFonts w:hint="eastAsia" w:ascii="仿宋" w:hAnsi="仿宋" w:eastAsia="仿宋"/>
          <w:sz w:val="32"/>
          <w:szCs w:val="32"/>
          <w:lang w:val="zh-CN"/>
        </w:rPr>
        <w:t>，利于开展各项检察工作。实现办案零差错，</w:t>
      </w:r>
      <w:r>
        <w:rPr>
          <w:rFonts w:ascii="仿宋" w:hAnsi="仿宋" w:eastAsia="仿宋"/>
          <w:sz w:val="32"/>
          <w:szCs w:val="32"/>
          <w:lang w:val="zh-CN"/>
        </w:rPr>
        <w:t>受益群体</w:t>
      </w:r>
      <w:r>
        <w:rPr>
          <w:rFonts w:hint="eastAsia" w:ascii="仿宋" w:hAnsi="仿宋" w:eastAsia="仿宋"/>
          <w:sz w:val="32"/>
          <w:szCs w:val="32"/>
          <w:lang w:val="zh-CN"/>
        </w:rPr>
        <w:t>给予肯定。</w:t>
      </w:r>
    </w:p>
    <w:p>
      <w:pPr>
        <w:adjustRightInd w:val="0"/>
        <w:snapToGrid w:val="0"/>
        <w:spacing w:line="600" w:lineRule="exact"/>
        <w:ind w:firstLine="720"/>
        <w:rPr>
          <w:rFonts w:ascii="楷体" w:hAnsi="楷体" w:eastAsia="楷体"/>
          <w:sz w:val="32"/>
          <w:szCs w:val="32"/>
          <w:lang w:val="zh-CN"/>
        </w:rPr>
      </w:pPr>
      <w:r>
        <w:rPr>
          <w:rFonts w:hint="eastAsia" w:ascii="楷体" w:hAnsi="楷体" w:eastAsia="楷体"/>
          <w:sz w:val="32"/>
          <w:szCs w:val="32"/>
          <w:lang w:val="zh-CN"/>
        </w:rPr>
        <w:t>（二）存在的问题。</w:t>
      </w:r>
    </w:p>
    <w:p>
      <w:pPr>
        <w:adjustRightInd w:val="0"/>
        <w:snapToGrid w:val="0"/>
        <w:spacing w:line="600" w:lineRule="exact"/>
        <w:ind w:firstLine="720"/>
        <w:rPr>
          <w:rFonts w:ascii="仿宋" w:hAnsi="仿宋" w:eastAsia="仿宋"/>
          <w:b/>
          <w:sz w:val="32"/>
          <w:szCs w:val="32"/>
          <w:lang w:val="zh-CN"/>
        </w:rPr>
      </w:pPr>
      <w:r>
        <w:rPr>
          <w:rFonts w:hint="eastAsia" w:ascii="仿宋" w:hAnsi="仿宋" w:eastAsia="仿宋"/>
          <w:b/>
          <w:sz w:val="32"/>
          <w:szCs w:val="32"/>
          <w:lang w:val="zh-CN"/>
        </w:rPr>
        <w:t>由于经费困难,援助效果有待进一步提高.</w:t>
      </w:r>
    </w:p>
    <w:p>
      <w:pPr>
        <w:adjustRightInd w:val="0"/>
        <w:snapToGrid w:val="0"/>
        <w:spacing w:line="600" w:lineRule="exact"/>
        <w:ind w:firstLine="720"/>
        <w:rPr>
          <w:rFonts w:ascii="楷体" w:hAnsi="楷体" w:eastAsia="楷体"/>
          <w:sz w:val="32"/>
          <w:szCs w:val="32"/>
          <w:lang w:val="zh-CN"/>
        </w:rPr>
      </w:pPr>
      <w:r>
        <w:rPr>
          <w:rFonts w:hint="eastAsia" w:ascii="楷体" w:hAnsi="楷体" w:eastAsia="楷体"/>
          <w:sz w:val="32"/>
          <w:szCs w:val="32"/>
          <w:lang w:val="zh-CN"/>
        </w:rPr>
        <w:t>（三）相关建议。</w:t>
      </w:r>
    </w:p>
    <w:p>
      <w:pPr>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sz w:val="32"/>
          <w:szCs w:val="32"/>
          <w:lang w:val="zh-CN"/>
        </w:rPr>
        <w:t>继续做好资金管理，响应政府“过紧日子”的号召，希望把此项经费纳入常年性项目.</w:t>
      </w:r>
      <w:r>
        <w:rPr>
          <w:rFonts w:ascii="仿宋" w:hAnsi="仿宋" w:eastAsia="仿宋" w:cs="仿宋_GB2312"/>
          <w:sz w:val="32"/>
          <w:szCs w:val="32"/>
        </w:rPr>
        <w:t xml:space="preserve"> </w:t>
      </w:r>
    </w:p>
    <w:p>
      <w:pPr>
        <w:spacing w:line="600" w:lineRule="exact"/>
        <w:jc w:val="left"/>
        <w:outlineLvl w:val="0"/>
        <w:rPr>
          <w:rFonts w:ascii="仿宋" w:hAnsi="仿宋" w:eastAsia="仿宋" w:cs="仿宋_GB2312"/>
          <w:sz w:val="32"/>
          <w:szCs w:val="32"/>
        </w:rPr>
      </w:pPr>
    </w:p>
    <w:p>
      <w:pPr>
        <w:pStyle w:val="3"/>
        <w:rPr>
          <w:rFonts w:ascii="仿宋" w:hAnsi="仿宋" w:eastAsia="仿宋"/>
          <w:color w:val="000000"/>
        </w:rPr>
      </w:pPr>
    </w:p>
    <w:p>
      <w:pPr>
        <w:spacing w:line="600" w:lineRule="exact"/>
        <w:ind w:firstLine="640" w:firstLineChars="200"/>
        <w:rPr>
          <w:rStyle w:val="26"/>
          <w:rFonts w:ascii="仿宋" w:hAnsi="仿宋" w:eastAsia="仿宋" w:cs="仿宋_GB2312"/>
          <w:b w:val="0"/>
          <w:bCs w:val="0"/>
          <w:sz w:val="32"/>
          <w:szCs w:val="32"/>
        </w:rPr>
      </w:pPr>
    </w:p>
    <w:p>
      <w:pPr>
        <w:spacing w:line="600" w:lineRule="exact"/>
        <w:ind w:firstLine="640" w:firstLineChars="200"/>
        <w:rPr>
          <w:rStyle w:val="26"/>
          <w:rFonts w:ascii="仿宋" w:hAnsi="仿宋" w:eastAsia="仿宋" w:cs="仿宋_GB2312"/>
          <w:b w:val="0"/>
          <w:bCs w:val="0"/>
          <w:sz w:val="32"/>
          <w:szCs w:val="32"/>
        </w:rPr>
      </w:pPr>
    </w:p>
    <w:p>
      <w:pPr>
        <w:spacing w:line="600" w:lineRule="exact"/>
        <w:ind w:firstLine="640" w:firstLineChars="200"/>
        <w:rPr>
          <w:rStyle w:val="26"/>
          <w:rFonts w:ascii="仿宋" w:hAnsi="仿宋" w:eastAsia="仿宋" w:cs="仿宋_GB2312"/>
          <w:b w:val="0"/>
          <w:bCs w:val="0"/>
          <w:sz w:val="32"/>
          <w:szCs w:val="32"/>
        </w:rPr>
      </w:pPr>
    </w:p>
    <w:p>
      <w:pPr>
        <w:spacing w:line="600" w:lineRule="exact"/>
        <w:ind w:firstLine="640" w:firstLineChars="200"/>
        <w:rPr>
          <w:rStyle w:val="26"/>
          <w:rFonts w:ascii="仿宋" w:hAnsi="仿宋" w:eastAsia="仿宋" w:cs="仿宋_GB2312"/>
          <w:b w:val="0"/>
          <w:bCs w:val="0"/>
          <w:sz w:val="32"/>
          <w:szCs w:val="32"/>
        </w:rPr>
      </w:pPr>
    </w:p>
    <w:p>
      <w:pPr>
        <w:spacing w:line="600" w:lineRule="exact"/>
        <w:ind w:firstLine="640" w:firstLineChars="200"/>
        <w:rPr>
          <w:rStyle w:val="26"/>
          <w:rFonts w:ascii="仿宋" w:hAnsi="仿宋" w:eastAsia="仿宋" w:cs="仿宋_GB2312"/>
          <w:b w:val="0"/>
          <w:bCs w:val="0"/>
          <w:sz w:val="32"/>
          <w:szCs w:val="32"/>
        </w:rPr>
      </w:pPr>
    </w:p>
    <w:p>
      <w:pPr>
        <w:spacing w:line="600" w:lineRule="exact"/>
        <w:ind w:firstLine="640" w:firstLineChars="200"/>
        <w:rPr>
          <w:rStyle w:val="26"/>
          <w:rFonts w:ascii="仿宋" w:hAnsi="仿宋" w:eastAsia="仿宋" w:cs="仿宋_GB2312"/>
          <w:b w:val="0"/>
          <w:bCs w:val="0"/>
          <w:sz w:val="32"/>
          <w:szCs w:val="32"/>
        </w:rPr>
      </w:pPr>
    </w:p>
    <w:p>
      <w:pPr>
        <w:spacing w:line="600" w:lineRule="exact"/>
        <w:jc w:val="center"/>
        <w:outlineLvl w:val="0"/>
        <w:rPr>
          <w:rStyle w:val="26"/>
          <w:rFonts w:hint="eastAsia"/>
        </w:rPr>
      </w:pPr>
    </w:p>
    <w:p>
      <w:pPr>
        <w:spacing w:line="600" w:lineRule="exact"/>
        <w:jc w:val="center"/>
        <w:outlineLvl w:val="0"/>
        <w:rPr>
          <w:rStyle w:val="26"/>
          <w:rFonts w:hint="eastAsia"/>
        </w:rPr>
      </w:pPr>
    </w:p>
    <w:p>
      <w:pPr>
        <w:spacing w:line="600" w:lineRule="exact"/>
        <w:jc w:val="center"/>
        <w:outlineLvl w:val="0"/>
        <w:rPr>
          <w:rStyle w:val="26"/>
          <w:rFonts w:hint="eastAsia"/>
        </w:rPr>
      </w:pPr>
    </w:p>
    <w:p>
      <w:pPr>
        <w:spacing w:line="600" w:lineRule="exact"/>
        <w:jc w:val="center"/>
        <w:outlineLvl w:val="0"/>
        <w:rPr>
          <w:rStyle w:val="26"/>
          <w:rFonts w:hint="eastAsia"/>
        </w:rPr>
      </w:pPr>
    </w:p>
    <w:p>
      <w:pPr>
        <w:spacing w:line="600" w:lineRule="exact"/>
        <w:jc w:val="center"/>
        <w:outlineLvl w:val="0"/>
        <w:rPr>
          <w:rStyle w:val="33"/>
          <w:rFonts w:ascii="黑体" w:hAnsi="黑体" w:eastAsia="黑体"/>
          <w:b w:val="0"/>
        </w:rPr>
      </w:pPr>
      <w:r>
        <w:rPr>
          <w:rFonts w:hint="eastAsia" w:ascii="黑体" w:hAnsi="黑体" w:eastAsia="黑体"/>
          <w:color w:val="000000"/>
          <w:sz w:val="44"/>
          <w:szCs w:val="44"/>
        </w:rPr>
        <w:t>第</w:t>
      </w:r>
      <w:r>
        <w:rPr>
          <w:rStyle w:val="33"/>
          <w:rFonts w:hint="eastAsia" w:ascii="黑体" w:hAnsi="黑体" w:eastAsia="黑体"/>
          <w:b w:val="0"/>
        </w:rPr>
        <w:t>五部分 附表</w:t>
      </w:r>
    </w:p>
    <w:p>
      <w:pPr>
        <w:pStyle w:val="3"/>
        <w:rPr>
          <w:rFonts w:hint="eastAsia" w:ascii="仿宋" w:hAnsi="仿宋" w:eastAsia="仿宋" w:cs="宋体"/>
          <w:color w:val="000000"/>
        </w:rPr>
      </w:pPr>
      <w:r>
        <w:rPr>
          <w:rFonts w:hint="eastAsia" w:ascii="仿宋" w:hAnsi="仿宋" w:eastAsia="仿宋"/>
          <w:b w:val="0"/>
          <w:color w:val="000000"/>
        </w:rPr>
        <w:t>一、收</w:t>
      </w:r>
      <w:r>
        <w:rPr>
          <w:rStyle w:val="34"/>
          <w:rFonts w:hint="eastAsia" w:ascii="仿宋" w:hAnsi="仿宋" w:eastAsia="仿宋"/>
          <w:b w:val="0"/>
          <w:bCs w:val="0"/>
        </w:rPr>
        <w:t>入支出决算总表</w:t>
      </w:r>
    </w:p>
    <w:p>
      <w:pPr>
        <w:pStyle w:val="3"/>
        <w:rPr>
          <w:rFonts w:hint="eastAsia" w:ascii="仿宋" w:hAnsi="仿宋" w:eastAsia="仿宋"/>
          <w:color w:val="000000"/>
        </w:rPr>
      </w:pPr>
      <w:r>
        <w:rPr>
          <w:rFonts w:hint="eastAsia" w:ascii="仿宋" w:hAnsi="仿宋" w:eastAsia="仿宋"/>
          <w:b w:val="0"/>
          <w:color w:val="000000"/>
        </w:rPr>
        <w:t>二、收</w:t>
      </w:r>
      <w:r>
        <w:rPr>
          <w:rStyle w:val="34"/>
          <w:rFonts w:hint="eastAsia" w:ascii="仿宋" w:hAnsi="仿宋" w:eastAsia="仿宋"/>
          <w:b w:val="0"/>
          <w:bCs w:val="0"/>
        </w:rPr>
        <w:t>入决算表</w:t>
      </w:r>
    </w:p>
    <w:p>
      <w:pPr>
        <w:pStyle w:val="3"/>
        <w:rPr>
          <w:rFonts w:hint="eastAsia" w:ascii="仿宋" w:hAnsi="仿宋" w:eastAsia="仿宋"/>
          <w:color w:val="000000"/>
        </w:rPr>
      </w:pPr>
      <w:r>
        <w:rPr>
          <w:rStyle w:val="34"/>
          <w:rFonts w:hint="eastAsia" w:ascii="仿宋" w:hAnsi="仿宋" w:eastAsia="仿宋"/>
          <w:b w:val="0"/>
          <w:bCs w:val="0"/>
        </w:rPr>
        <w:t>三、</w:t>
      </w:r>
      <w:r>
        <w:rPr>
          <w:rFonts w:hint="eastAsia" w:ascii="仿宋" w:hAnsi="仿宋" w:eastAsia="仿宋"/>
          <w:b w:val="0"/>
          <w:color w:val="000000"/>
        </w:rPr>
        <w:t>支</w:t>
      </w:r>
      <w:r>
        <w:rPr>
          <w:rStyle w:val="34"/>
          <w:rFonts w:hint="eastAsia" w:ascii="仿宋" w:hAnsi="仿宋" w:eastAsia="仿宋"/>
          <w:b w:val="0"/>
          <w:bCs w:val="0"/>
        </w:rPr>
        <w:t>出决算表</w:t>
      </w:r>
    </w:p>
    <w:p>
      <w:pPr>
        <w:pStyle w:val="3"/>
        <w:rPr>
          <w:rFonts w:hint="eastAsia" w:ascii="仿宋" w:hAnsi="仿宋" w:eastAsia="仿宋"/>
          <w:b w:val="0"/>
          <w:color w:val="000000"/>
        </w:rPr>
      </w:pPr>
      <w:r>
        <w:rPr>
          <w:rStyle w:val="34"/>
          <w:rFonts w:hint="eastAsia" w:ascii="仿宋" w:hAnsi="仿宋" w:eastAsia="仿宋"/>
          <w:b w:val="0"/>
          <w:bCs w:val="0"/>
        </w:rPr>
        <w:t>四、</w:t>
      </w:r>
      <w:r>
        <w:rPr>
          <w:rFonts w:hint="eastAsia" w:ascii="仿宋" w:hAnsi="仿宋" w:eastAsia="仿宋"/>
          <w:b w:val="0"/>
          <w:color w:val="000000"/>
        </w:rPr>
        <w:t>财</w:t>
      </w:r>
      <w:r>
        <w:rPr>
          <w:rStyle w:val="34"/>
          <w:rFonts w:hint="eastAsia" w:ascii="仿宋" w:hAnsi="仿宋" w:eastAsia="仿宋"/>
          <w:b w:val="0"/>
          <w:bCs w:val="0"/>
        </w:rPr>
        <w:t>政拨款收入支出决算总表</w:t>
      </w:r>
    </w:p>
    <w:p>
      <w:pPr>
        <w:pStyle w:val="3"/>
        <w:rPr>
          <w:rStyle w:val="34"/>
          <w:rFonts w:hint="eastAsia" w:ascii="仿宋" w:hAnsi="仿宋" w:eastAsia="仿宋"/>
          <w:b w:val="0"/>
          <w:bCs w:val="0"/>
        </w:rPr>
      </w:pPr>
      <w:r>
        <w:rPr>
          <w:rStyle w:val="34"/>
          <w:rFonts w:hint="eastAsia" w:ascii="仿宋" w:hAnsi="仿宋" w:eastAsia="仿宋"/>
          <w:b w:val="0"/>
          <w:bCs w:val="0"/>
        </w:rPr>
        <w:t>五、</w:t>
      </w:r>
      <w:r>
        <w:rPr>
          <w:rFonts w:hint="eastAsia" w:ascii="仿宋" w:hAnsi="仿宋" w:eastAsia="仿宋"/>
          <w:b w:val="0"/>
          <w:color w:val="000000"/>
        </w:rPr>
        <w:t>财</w:t>
      </w:r>
      <w:r>
        <w:rPr>
          <w:rStyle w:val="34"/>
          <w:rFonts w:hint="eastAsia" w:ascii="仿宋" w:hAnsi="仿宋" w:eastAsia="仿宋"/>
          <w:b w:val="0"/>
          <w:bCs w:val="0"/>
        </w:rPr>
        <w:t>政拨款支出决算明细表</w:t>
      </w:r>
    </w:p>
    <w:p>
      <w:pPr>
        <w:pStyle w:val="3"/>
        <w:rPr>
          <w:rFonts w:hint="eastAsia" w:cs="宋体"/>
          <w:color w:val="000000"/>
        </w:rPr>
      </w:pPr>
      <w:r>
        <w:rPr>
          <w:rStyle w:val="34"/>
          <w:rFonts w:hint="eastAsia" w:ascii="仿宋" w:hAnsi="仿宋" w:eastAsia="仿宋"/>
          <w:b w:val="0"/>
          <w:bCs w:val="0"/>
        </w:rPr>
        <w:t>六、</w:t>
      </w:r>
      <w:r>
        <w:rPr>
          <w:rFonts w:hint="eastAsia" w:ascii="仿宋" w:hAnsi="仿宋" w:eastAsia="仿宋"/>
          <w:b w:val="0"/>
          <w:color w:val="000000"/>
        </w:rPr>
        <w:t>一</w:t>
      </w:r>
      <w:r>
        <w:rPr>
          <w:rStyle w:val="34"/>
          <w:rFonts w:hint="eastAsia" w:ascii="仿宋" w:hAnsi="仿宋" w:eastAsia="仿宋"/>
          <w:b w:val="0"/>
          <w:bCs w:val="0"/>
        </w:rPr>
        <w:t>般公共预算财政拨款支出决算表</w:t>
      </w:r>
    </w:p>
    <w:p>
      <w:pPr>
        <w:pStyle w:val="3"/>
        <w:rPr>
          <w:rFonts w:hint="eastAsia" w:ascii="仿宋" w:hAnsi="仿宋" w:eastAsia="仿宋"/>
          <w:color w:val="000000"/>
        </w:rPr>
      </w:pPr>
      <w:r>
        <w:rPr>
          <w:rStyle w:val="34"/>
          <w:rFonts w:hint="eastAsia" w:ascii="仿宋" w:hAnsi="仿宋" w:eastAsia="仿宋"/>
          <w:b w:val="0"/>
          <w:bCs w:val="0"/>
        </w:rPr>
        <w:t>七、</w:t>
      </w:r>
      <w:r>
        <w:rPr>
          <w:rFonts w:hint="eastAsia" w:ascii="仿宋" w:hAnsi="仿宋" w:eastAsia="仿宋"/>
          <w:b w:val="0"/>
          <w:color w:val="000000"/>
        </w:rPr>
        <w:t>一</w:t>
      </w:r>
      <w:r>
        <w:rPr>
          <w:rStyle w:val="34"/>
          <w:rFonts w:hint="eastAsia" w:ascii="仿宋" w:hAnsi="仿宋" w:eastAsia="仿宋"/>
          <w:b w:val="0"/>
          <w:bCs w:val="0"/>
        </w:rPr>
        <w:t>般公共预算财政拨款支出决算明细表</w:t>
      </w:r>
    </w:p>
    <w:p>
      <w:pPr>
        <w:pStyle w:val="3"/>
        <w:rPr>
          <w:rFonts w:hint="eastAsia" w:ascii="仿宋" w:hAnsi="仿宋" w:eastAsia="仿宋"/>
          <w:color w:val="000000"/>
        </w:rPr>
      </w:pPr>
      <w:r>
        <w:rPr>
          <w:rStyle w:val="34"/>
          <w:rFonts w:hint="eastAsia" w:ascii="仿宋" w:hAnsi="仿宋" w:eastAsia="仿宋"/>
          <w:b w:val="0"/>
          <w:bCs w:val="0"/>
        </w:rPr>
        <w:t>八、</w:t>
      </w:r>
      <w:r>
        <w:rPr>
          <w:rFonts w:hint="eastAsia" w:ascii="仿宋" w:hAnsi="仿宋" w:eastAsia="仿宋"/>
          <w:b w:val="0"/>
          <w:color w:val="000000"/>
        </w:rPr>
        <w:t>一</w:t>
      </w:r>
      <w:r>
        <w:rPr>
          <w:rStyle w:val="34"/>
          <w:rFonts w:hint="eastAsia" w:ascii="仿宋" w:hAnsi="仿宋" w:eastAsia="仿宋"/>
          <w:b w:val="0"/>
          <w:bCs w:val="0"/>
        </w:rPr>
        <w:t>般公共预算财政拨款基本支出决算表</w:t>
      </w:r>
    </w:p>
    <w:p>
      <w:pPr>
        <w:pStyle w:val="3"/>
        <w:rPr>
          <w:rFonts w:hint="eastAsia" w:ascii="仿宋" w:hAnsi="仿宋" w:eastAsia="仿宋"/>
          <w:color w:val="000000"/>
        </w:rPr>
      </w:pPr>
      <w:r>
        <w:rPr>
          <w:rStyle w:val="34"/>
          <w:rFonts w:hint="eastAsia" w:ascii="仿宋" w:hAnsi="仿宋" w:eastAsia="仿宋"/>
          <w:b w:val="0"/>
          <w:bCs w:val="0"/>
        </w:rPr>
        <w:t>九、</w:t>
      </w:r>
      <w:r>
        <w:rPr>
          <w:rFonts w:hint="eastAsia" w:ascii="仿宋" w:hAnsi="仿宋" w:eastAsia="仿宋"/>
          <w:b w:val="0"/>
          <w:color w:val="000000"/>
        </w:rPr>
        <w:t>一</w:t>
      </w:r>
      <w:r>
        <w:rPr>
          <w:rStyle w:val="34"/>
          <w:rFonts w:hint="eastAsia" w:ascii="仿宋" w:hAnsi="仿宋" w:eastAsia="仿宋"/>
          <w:b w:val="0"/>
          <w:bCs w:val="0"/>
        </w:rPr>
        <w:t>般公共预算财政拨款项目支出决算表</w:t>
      </w:r>
    </w:p>
    <w:p>
      <w:pPr>
        <w:pStyle w:val="3"/>
        <w:rPr>
          <w:rFonts w:hint="eastAsia" w:ascii="仿宋" w:hAnsi="仿宋" w:eastAsia="仿宋"/>
          <w:color w:val="000000"/>
        </w:rPr>
      </w:pPr>
      <w:r>
        <w:rPr>
          <w:rStyle w:val="34"/>
          <w:rFonts w:hint="eastAsia" w:ascii="仿宋" w:hAnsi="仿宋" w:eastAsia="仿宋"/>
          <w:b w:val="0"/>
          <w:bCs w:val="0"/>
        </w:rPr>
        <w:t>十、</w:t>
      </w:r>
      <w:r>
        <w:rPr>
          <w:rFonts w:hint="eastAsia" w:ascii="仿宋" w:hAnsi="仿宋" w:eastAsia="仿宋"/>
          <w:b w:val="0"/>
          <w:color w:val="000000"/>
        </w:rPr>
        <w:t>一</w:t>
      </w:r>
      <w:r>
        <w:rPr>
          <w:rStyle w:val="34"/>
          <w:rFonts w:hint="eastAsia" w:ascii="仿宋" w:hAnsi="仿宋" w:eastAsia="仿宋"/>
          <w:b w:val="0"/>
          <w:bCs w:val="0"/>
        </w:rPr>
        <w:t>般公共预算财政拨款“三公”经费支出决算表</w:t>
      </w:r>
    </w:p>
    <w:p>
      <w:pPr>
        <w:pStyle w:val="3"/>
        <w:rPr>
          <w:rFonts w:hint="eastAsia" w:ascii="仿宋" w:hAnsi="仿宋" w:eastAsia="仿宋"/>
          <w:color w:val="000000"/>
        </w:rPr>
      </w:pPr>
      <w:r>
        <w:rPr>
          <w:rStyle w:val="34"/>
          <w:rFonts w:hint="eastAsia" w:ascii="仿宋" w:hAnsi="仿宋" w:eastAsia="仿宋"/>
          <w:b w:val="0"/>
          <w:bCs w:val="0"/>
        </w:rPr>
        <w:t>十一、</w:t>
      </w:r>
      <w:r>
        <w:rPr>
          <w:rFonts w:hint="eastAsia" w:ascii="仿宋" w:hAnsi="仿宋" w:eastAsia="仿宋"/>
          <w:b w:val="0"/>
          <w:color w:val="000000"/>
        </w:rPr>
        <w:t>政</w:t>
      </w:r>
      <w:r>
        <w:rPr>
          <w:rStyle w:val="34"/>
          <w:rFonts w:hint="eastAsia" w:ascii="仿宋" w:hAnsi="仿宋" w:eastAsia="仿宋"/>
          <w:b w:val="0"/>
          <w:bCs w:val="0"/>
        </w:rPr>
        <w:t>府性基金预算财政拨款收入支出决算表</w:t>
      </w:r>
    </w:p>
    <w:p>
      <w:pPr>
        <w:pStyle w:val="3"/>
        <w:rPr>
          <w:rFonts w:hint="eastAsia" w:ascii="仿宋" w:hAnsi="仿宋" w:eastAsia="仿宋"/>
          <w:color w:val="000000"/>
        </w:rPr>
      </w:pPr>
      <w:r>
        <w:rPr>
          <w:rStyle w:val="34"/>
          <w:rFonts w:hint="eastAsia" w:ascii="仿宋" w:hAnsi="仿宋" w:eastAsia="仿宋"/>
          <w:b w:val="0"/>
          <w:bCs w:val="0"/>
        </w:rPr>
        <w:t>十二、</w:t>
      </w:r>
      <w:r>
        <w:rPr>
          <w:rFonts w:hint="eastAsia" w:ascii="仿宋" w:hAnsi="仿宋" w:eastAsia="仿宋"/>
          <w:b w:val="0"/>
          <w:color w:val="000000"/>
        </w:rPr>
        <w:t>政</w:t>
      </w:r>
      <w:r>
        <w:rPr>
          <w:rStyle w:val="34"/>
          <w:rFonts w:hint="eastAsia" w:ascii="仿宋" w:hAnsi="仿宋" w:eastAsia="仿宋"/>
          <w:b w:val="0"/>
          <w:bCs w:val="0"/>
        </w:rPr>
        <w:t>府性基金预算财政拨款“三公”经费支出决算表</w:t>
      </w:r>
    </w:p>
    <w:p>
      <w:pPr>
        <w:pStyle w:val="3"/>
        <w:rPr>
          <w:rStyle w:val="34"/>
          <w:rFonts w:hint="eastAsia" w:ascii="仿宋" w:hAnsi="仿宋" w:eastAsia="仿宋"/>
          <w:b w:val="0"/>
          <w:bCs w:val="0"/>
        </w:rPr>
      </w:pPr>
      <w:r>
        <w:rPr>
          <w:rStyle w:val="34"/>
          <w:rFonts w:hint="eastAsia" w:ascii="仿宋" w:hAnsi="仿宋" w:eastAsia="仿宋"/>
          <w:b w:val="0"/>
          <w:bCs w:val="0"/>
        </w:rPr>
        <w:t>十三、</w:t>
      </w:r>
      <w:r>
        <w:rPr>
          <w:rFonts w:hint="eastAsia" w:ascii="仿宋" w:hAnsi="仿宋" w:eastAsia="仿宋"/>
          <w:b w:val="0"/>
          <w:color w:val="000000"/>
        </w:rPr>
        <w:t>国</w:t>
      </w:r>
      <w:r>
        <w:rPr>
          <w:rStyle w:val="34"/>
          <w:rFonts w:hint="eastAsia" w:ascii="仿宋" w:hAnsi="仿宋" w:eastAsia="仿宋"/>
          <w:b w:val="0"/>
          <w:bCs w:val="0"/>
        </w:rPr>
        <w:t>有资本经营预算收入支出决算表</w:t>
      </w:r>
    </w:p>
    <w:p>
      <w:pPr>
        <w:rPr>
          <w:rFonts w:hint="eastAsia"/>
          <w:szCs w:val="21"/>
        </w:rPr>
      </w:pPr>
      <w:r>
        <w:rPr>
          <w:rFonts w:hint="eastAsia" w:ascii="仿宋" w:hAnsi="仿宋" w:eastAsia="仿宋"/>
          <w:bCs/>
          <w:color w:val="000000"/>
          <w:sz w:val="32"/>
          <w:szCs w:val="32"/>
        </w:rPr>
        <w:t>十四、国有资本经营预</w:t>
      </w:r>
      <w:r>
        <w:rPr>
          <w:rStyle w:val="34"/>
          <w:rFonts w:hint="eastAsia" w:ascii="仿宋" w:hAnsi="仿宋" w:eastAsia="仿宋"/>
          <w:b w:val="0"/>
          <w:bCs w:val="0"/>
        </w:rPr>
        <w:t>算支出决算表</w:t>
      </w:r>
    </w:p>
    <w:p>
      <w:pPr>
        <w:spacing w:line="600" w:lineRule="exact"/>
        <w:jc w:val="center"/>
        <w:outlineLvl w:val="0"/>
        <w:rPr>
          <w:rStyle w:val="26"/>
        </w:rPr>
      </w:pPr>
    </w:p>
    <w:sectPr>
      <w:footerReference r:id="rId3" w:type="default"/>
      <w:pgSz w:w="11906" w:h="16838"/>
      <w:pgMar w:top="1304" w:right="1474" w:bottom="1304"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9</w:t>
        </w:r>
        <w:r>
          <w:rPr>
            <w:lang w:val="zh-CN"/>
          </w:rP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2FF0AB"/>
    <w:multiLevelType w:val="singleLevel"/>
    <w:tmpl w:val="AA2FF0AB"/>
    <w:lvl w:ilvl="0" w:tentative="0">
      <w:start w:val="2"/>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65BC1A82"/>
    <w:multiLevelType w:val="multilevel"/>
    <w:tmpl w:val="65BC1A82"/>
    <w:lvl w:ilvl="0" w:tentative="0">
      <w:start w:val="1"/>
      <w:numFmt w:val="decimal"/>
      <w:pStyle w:val="31"/>
      <w:suff w:val="space"/>
      <w:lvlText w:val="（%1）"/>
      <w:lvlJc w:val="left"/>
      <w:pPr>
        <w:ind w:left="0" w:firstLine="56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jY2UzODA5ZWRkOTUxNmYyODFiN2UwYjBjYzdjMzkifQ=="/>
  </w:docVars>
  <w:rsids>
    <w:rsidRoot w:val="00F1361C"/>
    <w:rsid w:val="000037FC"/>
    <w:rsid w:val="00007AF4"/>
    <w:rsid w:val="00011A29"/>
    <w:rsid w:val="000131DE"/>
    <w:rsid w:val="000173B7"/>
    <w:rsid w:val="000222C6"/>
    <w:rsid w:val="0002549F"/>
    <w:rsid w:val="00030BBD"/>
    <w:rsid w:val="00063C47"/>
    <w:rsid w:val="0006487A"/>
    <w:rsid w:val="00065F8F"/>
    <w:rsid w:val="00067FBE"/>
    <w:rsid w:val="000768F2"/>
    <w:rsid w:val="00084C87"/>
    <w:rsid w:val="000913E3"/>
    <w:rsid w:val="0009184B"/>
    <w:rsid w:val="000934DF"/>
    <w:rsid w:val="0009593C"/>
    <w:rsid w:val="0009633D"/>
    <w:rsid w:val="000B047F"/>
    <w:rsid w:val="000B0518"/>
    <w:rsid w:val="000B5923"/>
    <w:rsid w:val="000B5A48"/>
    <w:rsid w:val="000B6FF3"/>
    <w:rsid w:val="000C1992"/>
    <w:rsid w:val="000C1E24"/>
    <w:rsid w:val="000C3467"/>
    <w:rsid w:val="000C3CA6"/>
    <w:rsid w:val="000C79AA"/>
    <w:rsid w:val="000D1267"/>
    <w:rsid w:val="000D1D50"/>
    <w:rsid w:val="000D3997"/>
    <w:rsid w:val="000D5782"/>
    <w:rsid w:val="000D7F3A"/>
    <w:rsid w:val="000E6613"/>
    <w:rsid w:val="000E7119"/>
    <w:rsid w:val="000E7DC8"/>
    <w:rsid w:val="000F4084"/>
    <w:rsid w:val="001051C5"/>
    <w:rsid w:val="00114E9B"/>
    <w:rsid w:val="001170F2"/>
    <w:rsid w:val="00121962"/>
    <w:rsid w:val="00125904"/>
    <w:rsid w:val="00126569"/>
    <w:rsid w:val="00131B42"/>
    <w:rsid w:val="001411E2"/>
    <w:rsid w:val="0014729F"/>
    <w:rsid w:val="001505DC"/>
    <w:rsid w:val="00157BAB"/>
    <w:rsid w:val="001654D1"/>
    <w:rsid w:val="00166B48"/>
    <w:rsid w:val="001757FC"/>
    <w:rsid w:val="00176441"/>
    <w:rsid w:val="0018106D"/>
    <w:rsid w:val="001818F2"/>
    <w:rsid w:val="00184752"/>
    <w:rsid w:val="001877A7"/>
    <w:rsid w:val="00191536"/>
    <w:rsid w:val="00194908"/>
    <w:rsid w:val="00196687"/>
    <w:rsid w:val="001A4E31"/>
    <w:rsid w:val="001A7F56"/>
    <w:rsid w:val="001C0962"/>
    <w:rsid w:val="001C61FB"/>
    <w:rsid w:val="001D573C"/>
    <w:rsid w:val="001D5BD6"/>
    <w:rsid w:val="001D7531"/>
    <w:rsid w:val="001E1F84"/>
    <w:rsid w:val="001E737D"/>
    <w:rsid w:val="001F0592"/>
    <w:rsid w:val="001F7506"/>
    <w:rsid w:val="002006CD"/>
    <w:rsid w:val="00202B36"/>
    <w:rsid w:val="00204B7A"/>
    <w:rsid w:val="002070F1"/>
    <w:rsid w:val="00210C0C"/>
    <w:rsid w:val="0021101A"/>
    <w:rsid w:val="00220536"/>
    <w:rsid w:val="00235629"/>
    <w:rsid w:val="0024408B"/>
    <w:rsid w:val="002464FA"/>
    <w:rsid w:val="00260C38"/>
    <w:rsid w:val="002616C0"/>
    <w:rsid w:val="002662AA"/>
    <w:rsid w:val="00280496"/>
    <w:rsid w:val="00295495"/>
    <w:rsid w:val="0029705D"/>
    <w:rsid w:val="002B2613"/>
    <w:rsid w:val="002B5D8C"/>
    <w:rsid w:val="002D4989"/>
    <w:rsid w:val="002D72E8"/>
    <w:rsid w:val="002E0863"/>
    <w:rsid w:val="002F1818"/>
    <w:rsid w:val="002F1F51"/>
    <w:rsid w:val="002F2FF2"/>
    <w:rsid w:val="002F542A"/>
    <w:rsid w:val="002F567B"/>
    <w:rsid w:val="00301ED4"/>
    <w:rsid w:val="00313DF6"/>
    <w:rsid w:val="00320C7A"/>
    <w:rsid w:val="003216A9"/>
    <w:rsid w:val="00334146"/>
    <w:rsid w:val="00343658"/>
    <w:rsid w:val="003461B9"/>
    <w:rsid w:val="00351C25"/>
    <w:rsid w:val="0037013F"/>
    <w:rsid w:val="00376B78"/>
    <w:rsid w:val="00377F7A"/>
    <w:rsid w:val="00380C92"/>
    <w:rsid w:val="00391009"/>
    <w:rsid w:val="003A0C31"/>
    <w:rsid w:val="003A484F"/>
    <w:rsid w:val="003B0B5C"/>
    <w:rsid w:val="003B0BE0"/>
    <w:rsid w:val="003B0C1B"/>
    <w:rsid w:val="003B688C"/>
    <w:rsid w:val="003C0291"/>
    <w:rsid w:val="003C39AE"/>
    <w:rsid w:val="003C7B60"/>
    <w:rsid w:val="003D1FB2"/>
    <w:rsid w:val="003D6403"/>
    <w:rsid w:val="003D66DA"/>
    <w:rsid w:val="003E1310"/>
    <w:rsid w:val="003E2171"/>
    <w:rsid w:val="003E6F55"/>
    <w:rsid w:val="00402F4C"/>
    <w:rsid w:val="00406254"/>
    <w:rsid w:val="004136CD"/>
    <w:rsid w:val="0041675A"/>
    <w:rsid w:val="00416984"/>
    <w:rsid w:val="004223DE"/>
    <w:rsid w:val="0042597F"/>
    <w:rsid w:val="004316A0"/>
    <w:rsid w:val="004340BE"/>
    <w:rsid w:val="00434489"/>
    <w:rsid w:val="00437085"/>
    <w:rsid w:val="004416EB"/>
    <w:rsid w:val="00443880"/>
    <w:rsid w:val="00444BA6"/>
    <w:rsid w:val="004464F4"/>
    <w:rsid w:val="00452E23"/>
    <w:rsid w:val="00471401"/>
    <w:rsid w:val="00473F31"/>
    <w:rsid w:val="0048154B"/>
    <w:rsid w:val="0048263A"/>
    <w:rsid w:val="004872C4"/>
    <w:rsid w:val="00487E5D"/>
    <w:rsid w:val="004A711F"/>
    <w:rsid w:val="004B199D"/>
    <w:rsid w:val="004B4690"/>
    <w:rsid w:val="004C6864"/>
    <w:rsid w:val="004D03D1"/>
    <w:rsid w:val="004D6DB1"/>
    <w:rsid w:val="004E0A2D"/>
    <w:rsid w:val="004E206B"/>
    <w:rsid w:val="004E5FCF"/>
    <w:rsid w:val="004E6DF7"/>
    <w:rsid w:val="004F0FBD"/>
    <w:rsid w:val="004F156C"/>
    <w:rsid w:val="004F2A3A"/>
    <w:rsid w:val="004F583F"/>
    <w:rsid w:val="004F6C72"/>
    <w:rsid w:val="005014BE"/>
    <w:rsid w:val="00505A47"/>
    <w:rsid w:val="00512FDA"/>
    <w:rsid w:val="00520DA0"/>
    <w:rsid w:val="005300A5"/>
    <w:rsid w:val="0054442D"/>
    <w:rsid w:val="005636AA"/>
    <w:rsid w:val="005664BB"/>
    <w:rsid w:val="0057481D"/>
    <w:rsid w:val="005815A2"/>
    <w:rsid w:val="0058486E"/>
    <w:rsid w:val="005912BF"/>
    <w:rsid w:val="005940CA"/>
    <w:rsid w:val="00596CAF"/>
    <w:rsid w:val="005B3CBA"/>
    <w:rsid w:val="005D1C8B"/>
    <w:rsid w:val="005D34A5"/>
    <w:rsid w:val="005D46BE"/>
    <w:rsid w:val="005D5CED"/>
    <w:rsid w:val="005E573A"/>
    <w:rsid w:val="005F1A4C"/>
    <w:rsid w:val="005F4292"/>
    <w:rsid w:val="00605688"/>
    <w:rsid w:val="006061F6"/>
    <w:rsid w:val="006070AF"/>
    <w:rsid w:val="00607E6C"/>
    <w:rsid w:val="006101B1"/>
    <w:rsid w:val="00614A93"/>
    <w:rsid w:val="00614E44"/>
    <w:rsid w:val="00622830"/>
    <w:rsid w:val="00630AEF"/>
    <w:rsid w:val="006325F8"/>
    <w:rsid w:val="00634C9A"/>
    <w:rsid w:val="006440E4"/>
    <w:rsid w:val="00646DFD"/>
    <w:rsid w:val="00647170"/>
    <w:rsid w:val="00655C61"/>
    <w:rsid w:val="006600DF"/>
    <w:rsid w:val="0066343B"/>
    <w:rsid w:val="00664777"/>
    <w:rsid w:val="006666BE"/>
    <w:rsid w:val="006748A4"/>
    <w:rsid w:val="0067706A"/>
    <w:rsid w:val="006826B2"/>
    <w:rsid w:val="00683E73"/>
    <w:rsid w:val="00685165"/>
    <w:rsid w:val="00687188"/>
    <w:rsid w:val="006A3141"/>
    <w:rsid w:val="006A5E34"/>
    <w:rsid w:val="006B2422"/>
    <w:rsid w:val="006B2B9A"/>
    <w:rsid w:val="006C1937"/>
    <w:rsid w:val="006C57D1"/>
    <w:rsid w:val="006E0775"/>
    <w:rsid w:val="006F020C"/>
    <w:rsid w:val="00701D8F"/>
    <w:rsid w:val="0070401E"/>
    <w:rsid w:val="007127B7"/>
    <w:rsid w:val="0071510B"/>
    <w:rsid w:val="007225A6"/>
    <w:rsid w:val="007416B6"/>
    <w:rsid w:val="00746F48"/>
    <w:rsid w:val="0074735F"/>
    <w:rsid w:val="0075119F"/>
    <w:rsid w:val="007529A2"/>
    <w:rsid w:val="0075404D"/>
    <w:rsid w:val="0076182A"/>
    <w:rsid w:val="00767B7E"/>
    <w:rsid w:val="00772227"/>
    <w:rsid w:val="007770C3"/>
    <w:rsid w:val="00780F9F"/>
    <w:rsid w:val="00784181"/>
    <w:rsid w:val="00784D24"/>
    <w:rsid w:val="00785FBA"/>
    <w:rsid w:val="00786E4A"/>
    <w:rsid w:val="007875EB"/>
    <w:rsid w:val="0079426B"/>
    <w:rsid w:val="00796CE7"/>
    <w:rsid w:val="00797237"/>
    <w:rsid w:val="007B1AB0"/>
    <w:rsid w:val="007C055A"/>
    <w:rsid w:val="007D312A"/>
    <w:rsid w:val="007D3ACA"/>
    <w:rsid w:val="007D3F19"/>
    <w:rsid w:val="007D7928"/>
    <w:rsid w:val="007E23B0"/>
    <w:rsid w:val="007E35DB"/>
    <w:rsid w:val="007F1991"/>
    <w:rsid w:val="007F2C2F"/>
    <w:rsid w:val="007F3B10"/>
    <w:rsid w:val="007F55FC"/>
    <w:rsid w:val="007F5665"/>
    <w:rsid w:val="007F5E34"/>
    <w:rsid w:val="007F608C"/>
    <w:rsid w:val="007F6170"/>
    <w:rsid w:val="00800112"/>
    <w:rsid w:val="00801D8D"/>
    <w:rsid w:val="008107F7"/>
    <w:rsid w:val="00823DF0"/>
    <w:rsid w:val="00824D4E"/>
    <w:rsid w:val="008253BB"/>
    <w:rsid w:val="0083706E"/>
    <w:rsid w:val="0083797B"/>
    <w:rsid w:val="00841AF8"/>
    <w:rsid w:val="008423A5"/>
    <w:rsid w:val="00850625"/>
    <w:rsid w:val="00853718"/>
    <w:rsid w:val="00855221"/>
    <w:rsid w:val="00860645"/>
    <w:rsid w:val="0087006E"/>
    <w:rsid w:val="00870736"/>
    <w:rsid w:val="00871F71"/>
    <w:rsid w:val="00885AF4"/>
    <w:rsid w:val="008939CD"/>
    <w:rsid w:val="008A549D"/>
    <w:rsid w:val="008A73CB"/>
    <w:rsid w:val="008B768C"/>
    <w:rsid w:val="008C1A9A"/>
    <w:rsid w:val="008C4DB1"/>
    <w:rsid w:val="008C4EAF"/>
    <w:rsid w:val="008C5176"/>
    <w:rsid w:val="008C7FD0"/>
    <w:rsid w:val="008D4B36"/>
    <w:rsid w:val="008E1DE7"/>
    <w:rsid w:val="008E707C"/>
    <w:rsid w:val="008F1EDC"/>
    <w:rsid w:val="00900B08"/>
    <w:rsid w:val="00902155"/>
    <w:rsid w:val="00902FA3"/>
    <w:rsid w:val="009069B5"/>
    <w:rsid w:val="00923564"/>
    <w:rsid w:val="0092392E"/>
    <w:rsid w:val="00930E11"/>
    <w:rsid w:val="009315F9"/>
    <w:rsid w:val="0093626C"/>
    <w:rsid w:val="00946945"/>
    <w:rsid w:val="00951248"/>
    <w:rsid w:val="0095152F"/>
    <w:rsid w:val="009544A1"/>
    <w:rsid w:val="00954C49"/>
    <w:rsid w:val="0097099F"/>
    <w:rsid w:val="00971997"/>
    <w:rsid w:val="00971FFC"/>
    <w:rsid w:val="00977F54"/>
    <w:rsid w:val="00980EB9"/>
    <w:rsid w:val="0098660A"/>
    <w:rsid w:val="009931C3"/>
    <w:rsid w:val="00993E48"/>
    <w:rsid w:val="00995D13"/>
    <w:rsid w:val="009A466C"/>
    <w:rsid w:val="009A5C17"/>
    <w:rsid w:val="009B2C43"/>
    <w:rsid w:val="009B4EAE"/>
    <w:rsid w:val="009B7573"/>
    <w:rsid w:val="009C22F4"/>
    <w:rsid w:val="009C2E98"/>
    <w:rsid w:val="009C5B77"/>
    <w:rsid w:val="009D3447"/>
    <w:rsid w:val="009D4711"/>
    <w:rsid w:val="009F1185"/>
    <w:rsid w:val="009F18CD"/>
    <w:rsid w:val="009F2A13"/>
    <w:rsid w:val="009F3F6D"/>
    <w:rsid w:val="00A02F8E"/>
    <w:rsid w:val="00A044D7"/>
    <w:rsid w:val="00A04EB0"/>
    <w:rsid w:val="00A13CC1"/>
    <w:rsid w:val="00A16847"/>
    <w:rsid w:val="00A21895"/>
    <w:rsid w:val="00A237D8"/>
    <w:rsid w:val="00A268C4"/>
    <w:rsid w:val="00A307CD"/>
    <w:rsid w:val="00A40A00"/>
    <w:rsid w:val="00A4142F"/>
    <w:rsid w:val="00A56809"/>
    <w:rsid w:val="00A56DF2"/>
    <w:rsid w:val="00A67AB5"/>
    <w:rsid w:val="00A75594"/>
    <w:rsid w:val="00A819EC"/>
    <w:rsid w:val="00A8522E"/>
    <w:rsid w:val="00A91760"/>
    <w:rsid w:val="00A93B00"/>
    <w:rsid w:val="00A93C21"/>
    <w:rsid w:val="00AA03A5"/>
    <w:rsid w:val="00AA265D"/>
    <w:rsid w:val="00AA5027"/>
    <w:rsid w:val="00AB1716"/>
    <w:rsid w:val="00AB1FC2"/>
    <w:rsid w:val="00AC2921"/>
    <w:rsid w:val="00AC3C6A"/>
    <w:rsid w:val="00AD52A4"/>
    <w:rsid w:val="00AD5620"/>
    <w:rsid w:val="00AD7C1B"/>
    <w:rsid w:val="00AE16BA"/>
    <w:rsid w:val="00AE1EBE"/>
    <w:rsid w:val="00B0254B"/>
    <w:rsid w:val="00B03C9D"/>
    <w:rsid w:val="00B060AE"/>
    <w:rsid w:val="00B10517"/>
    <w:rsid w:val="00B146C9"/>
    <w:rsid w:val="00B14E76"/>
    <w:rsid w:val="00B161B8"/>
    <w:rsid w:val="00B174FE"/>
    <w:rsid w:val="00B176E6"/>
    <w:rsid w:val="00B2048C"/>
    <w:rsid w:val="00B27AA8"/>
    <w:rsid w:val="00B310B9"/>
    <w:rsid w:val="00B35F3F"/>
    <w:rsid w:val="00B36CBB"/>
    <w:rsid w:val="00B41BC0"/>
    <w:rsid w:val="00B425E0"/>
    <w:rsid w:val="00B440AA"/>
    <w:rsid w:val="00B44B70"/>
    <w:rsid w:val="00B47988"/>
    <w:rsid w:val="00B53A3A"/>
    <w:rsid w:val="00B53C56"/>
    <w:rsid w:val="00B733D3"/>
    <w:rsid w:val="00B75511"/>
    <w:rsid w:val="00B77EA6"/>
    <w:rsid w:val="00B81598"/>
    <w:rsid w:val="00B841F1"/>
    <w:rsid w:val="00B90B7F"/>
    <w:rsid w:val="00B93A53"/>
    <w:rsid w:val="00B944D6"/>
    <w:rsid w:val="00B95977"/>
    <w:rsid w:val="00BA3A97"/>
    <w:rsid w:val="00BB4DF0"/>
    <w:rsid w:val="00BC10DE"/>
    <w:rsid w:val="00BC289F"/>
    <w:rsid w:val="00BC5361"/>
    <w:rsid w:val="00BC5460"/>
    <w:rsid w:val="00BC59DF"/>
    <w:rsid w:val="00BC6B50"/>
    <w:rsid w:val="00BD0E25"/>
    <w:rsid w:val="00BE622D"/>
    <w:rsid w:val="00BF45A6"/>
    <w:rsid w:val="00BF5BD6"/>
    <w:rsid w:val="00C03ADB"/>
    <w:rsid w:val="00C03E31"/>
    <w:rsid w:val="00C141EF"/>
    <w:rsid w:val="00C247A4"/>
    <w:rsid w:val="00C33E72"/>
    <w:rsid w:val="00C354B2"/>
    <w:rsid w:val="00C35554"/>
    <w:rsid w:val="00C35C9A"/>
    <w:rsid w:val="00C42709"/>
    <w:rsid w:val="00C45647"/>
    <w:rsid w:val="00C533CC"/>
    <w:rsid w:val="00C5751C"/>
    <w:rsid w:val="00C61BFC"/>
    <w:rsid w:val="00C62B85"/>
    <w:rsid w:val="00C65438"/>
    <w:rsid w:val="00C85179"/>
    <w:rsid w:val="00C91CBB"/>
    <w:rsid w:val="00CA123D"/>
    <w:rsid w:val="00CA457A"/>
    <w:rsid w:val="00CB21F7"/>
    <w:rsid w:val="00CC09B6"/>
    <w:rsid w:val="00CC257D"/>
    <w:rsid w:val="00CC3C7C"/>
    <w:rsid w:val="00CC48D3"/>
    <w:rsid w:val="00CC666F"/>
    <w:rsid w:val="00CD102D"/>
    <w:rsid w:val="00CD1E3F"/>
    <w:rsid w:val="00CE0A5A"/>
    <w:rsid w:val="00CE44F6"/>
    <w:rsid w:val="00CE49DA"/>
    <w:rsid w:val="00CE7B61"/>
    <w:rsid w:val="00CF7121"/>
    <w:rsid w:val="00D00095"/>
    <w:rsid w:val="00D02E40"/>
    <w:rsid w:val="00D067F0"/>
    <w:rsid w:val="00D20620"/>
    <w:rsid w:val="00D26091"/>
    <w:rsid w:val="00D26A91"/>
    <w:rsid w:val="00D277AA"/>
    <w:rsid w:val="00D34E7C"/>
    <w:rsid w:val="00D35489"/>
    <w:rsid w:val="00D37826"/>
    <w:rsid w:val="00D413EC"/>
    <w:rsid w:val="00D4528E"/>
    <w:rsid w:val="00D47F16"/>
    <w:rsid w:val="00D51276"/>
    <w:rsid w:val="00D7035F"/>
    <w:rsid w:val="00D72E15"/>
    <w:rsid w:val="00D85466"/>
    <w:rsid w:val="00DA0B47"/>
    <w:rsid w:val="00DA65AC"/>
    <w:rsid w:val="00DB08F0"/>
    <w:rsid w:val="00DB1913"/>
    <w:rsid w:val="00DC410D"/>
    <w:rsid w:val="00DC68CA"/>
    <w:rsid w:val="00DC7CBA"/>
    <w:rsid w:val="00DD5A90"/>
    <w:rsid w:val="00DD73B7"/>
    <w:rsid w:val="00DE384E"/>
    <w:rsid w:val="00DF28BC"/>
    <w:rsid w:val="00DF34B9"/>
    <w:rsid w:val="00E01053"/>
    <w:rsid w:val="00E07681"/>
    <w:rsid w:val="00E07ACF"/>
    <w:rsid w:val="00E13D43"/>
    <w:rsid w:val="00E1605A"/>
    <w:rsid w:val="00E22068"/>
    <w:rsid w:val="00E23FBD"/>
    <w:rsid w:val="00E331A1"/>
    <w:rsid w:val="00E33202"/>
    <w:rsid w:val="00E336A9"/>
    <w:rsid w:val="00E4218D"/>
    <w:rsid w:val="00E50624"/>
    <w:rsid w:val="00E568DF"/>
    <w:rsid w:val="00E64269"/>
    <w:rsid w:val="00E67FB0"/>
    <w:rsid w:val="00E7443D"/>
    <w:rsid w:val="00E80E5B"/>
    <w:rsid w:val="00E82267"/>
    <w:rsid w:val="00E84B6A"/>
    <w:rsid w:val="00E85CB5"/>
    <w:rsid w:val="00E87B2A"/>
    <w:rsid w:val="00EA010F"/>
    <w:rsid w:val="00EC4E70"/>
    <w:rsid w:val="00ED1B63"/>
    <w:rsid w:val="00ED2F3A"/>
    <w:rsid w:val="00ED3C1F"/>
    <w:rsid w:val="00ED4085"/>
    <w:rsid w:val="00ED420E"/>
    <w:rsid w:val="00ED7CA8"/>
    <w:rsid w:val="00EE2F57"/>
    <w:rsid w:val="00EF4C34"/>
    <w:rsid w:val="00EF77C6"/>
    <w:rsid w:val="00F04F8D"/>
    <w:rsid w:val="00F05438"/>
    <w:rsid w:val="00F1361C"/>
    <w:rsid w:val="00F160C7"/>
    <w:rsid w:val="00F267C1"/>
    <w:rsid w:val="00F35E17"/>
    <w:rsid w:val="00F36D8F"/>
    <w:rsid w:val="00F417B1"/>
    <w:rsid w:val="00F53061"/>
    <w:rsid w:val="00F53F1E"/>
    <w:rsid w:val="00F602DF"/>
    <w:rsid w:val="00F635BC"/>
    <w:rsid w:val="00F66422"/>
    <w:rsid w:val="00F712C9"/>
    <w:rsid w:val="00F71B9E"/>
    <w:rsid w:val="00F81FD9"/>
    <w:rsid w:val="00F8353F"/>
    <w:rsid w:val="00F841AA"/>
    <w:rsid w:val="00FA23E8"/>
    <w:rsid w:val="00FA4D35"/>
    <w:rsid w:val="00FB6751"/>
    <w:rsid w:val="00FC116A"/>
    <w:rsid w:val="00FC7CD8"/>
    <w:rsid w:val="00FD0ECD"/>
    <w:rsid w:val="00FD1A77"/>
    <w:rsid w:val="00FD3CC1"/>
    <w:rsid w:val="00FD4734"/>
    <w:rsid w:val="00FE1D97"/>
    <w:rsid w:val="00FF1616"/>
    <w:rsid w:val="00FF1E02"/>
    <w:rsid w:val="00FF30B4"/>
    <w:rsid w:val="00FF4D34"/>
    <w:rsid w:val="02E60882"/>
    <w:rsid w:val="04E1439B"/>
    <w:rsid w:val="08AF484F"/>
    <w:rsid w:val="095F25C3"/>
    <w:rsid w:val="0B4745F4"/>
    <w:rsid w:val="0B831D36"/>
    <w:rsid w:val="0CDF2576"/>
    <w:rsid w:val="0D002683"/>
    <w:rsid w:val="10C055FF"/>
    <w:rsid w:val="10FE70D1"/>
    <w:rsid w:val="11C05A2B"/>
    <w:rsid w:val="12BD5C1D"/>
    <w:rsid w:val="16AE069C"/>
    <w:rsid w:val="16BB723D"/>
    <w:rsid w:val="184B61AB"/>
    <w:rsid w:val="190A5A25"/>
    <w:rsid w:val="1CEE268B"/>
    <w:rsid w:val="1EA23ADE"/>
    <w:rsid w:val="1EAD163B"/>
    <w:rsid w:val="20992E1F"/>
    <w:rsid w:val="21D91695"/>
    <w:rsid w:val="221E1FA5"/>
    <w:rsid w:val="2290284E"/>
    <w:rsid w:val="22D92D1D"/>
    <w:rsid w:val="240371BF"/>
    <w:rsid w:val="24A50ECD"/>
    <w:rsid w:val="24A70734"/>
    <w:rsid w:val="24F02C94"/>
    <w:rsid w:val="26BB4077"/>
    <w:rsid w:val="29A20306"/>
    <w:rsid w:val="29FD04D3"/>
    <w:rsid w:val="2ABA3DF9"/>
    <w:rsid w:val="2DB81ED4"/>
    <w:rsid w:val="2F52156C"/>
    <w:rsid w:val="319F7F4E"/>
    <w:rsid w:val="33501CFA"/>
    <w:rsid w:val="3397025F"/>
    <w:rsid w:val="391855E0"/>
    <w:rsid w:val="3BFF125E"/>
    <w:rsid w:val="3DBBEF45"/>
    <w:rsid w:val="3F0767D8"/>
    <w:rsid w:val="3FD0010C"/>
    <w:rsid w:val="40EE009C"/>
    <w:rsid w:val="421237B0"/>
    <w:rsid w:val="42755AF7"/>
    <w:rsid w:val="42EA2106"/>
    <w:rsid w:val="439A59B4"/>
    <w:rsid w:val="44935FC6"/>
    <w:rsid w:val="482A52C1"/>
    <w:rsid w:val="4B381AD6"/>
    <w:rsid w:val="4EDB7B11"/>
    <w:rsid w:val="4F36B55C"/>
    <w:rsid w:val="5260414F"/>
    <w:rsid w:val="532D3BC3"/>
    <w:rsid w:val="53AC278D"/>
    <w:rsid w:val="53DDEB8D"/>
    <w:rsid w:val="549D4B93"/>
    <w:rsid w:val="55D55B67"/>
    <w:rsid w:val="58CD6311"/>
    <w:rsid w:val="5B002858"/>
    <w:rsid w:val="5B520FEB"/>
    <w:rsid w:val="5B58176C"/>
    <w:rsid w:val="60134AD9"/>
    <w:rsid w:val="608766F5"/>
    <w:rsid w:val="632709BD"/>
    <w:rsid w:val="6A2B72B5"/>
    <w:rsid w:val="6A584F9A"/>
    <w:rsid w:val="6BB14D9B"/>
    <w:rsid w:val="6BFE07E4"/>
    <w:rsid w:val="6DAD71E9"/>
    <w:rsid w:val="6E531DC6"/>
    <w:rsid w:val="6E700AD9"/>
    <w:rsid w:val="70817E9C"/>
    <w:rsid w:val="70AF3C92"/>
    <w:rsid w:val="757D64CA"/>
    <w:rsid w:val="78234632"/>
    <w:rsid w:val="78BF851B"/>
    <w:rsid w:val="78CD2CE1"/>
    <w:rsid w:val="78F3562A"/>
    <w:rsid w:val="7AA638E4"/>
    <w:rsid w:val="7BF85AEF"/>
    <w:rsid w:val="7E3363AE"/>
    <w:rsid w:val="7FDF1CB0"/>
    <w:rsid w:val="9D4B5CFF"/>
    <w:rsid w:val="A7EFB878"/>
    <w:rsid w:val="ADD78B58"/>
    <w:rsid w:val="BA7B23C6"/>
    <w:rsid w:val="DBED8DAA"/>
    <w:rsid w:val="EFFF131E"/>
    <w:rsid w:val="FE73487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3"/>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9"/>
    <w:semiHidden/>
    <w:unhideWhenUsed/>
    <w:qFormat/>
    <w:uiPriority w:val="99"/>
    <w:rPr>
      <w:sz w:val="18"/>
      <w:szCs w:val="18"/>
    </w:rPr>
  </w:style>
  <w:style w:type="paragraph" w:styleId="8">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spacing w:line="600" w:lineRule="exact"/>
      <w:ind w:left="420" w:leftChars="200"/>
      <w:jc w:val="center"/>
    </w:pPr>
  </w:style>
  <w:style w:type="paragraph" w:styleId="12">
    <w:name w:val="Normal (Web)"/>
    <w:basedOn w:val="1"/>
    <w:unhideWhenUsed/>
    <w:qFormat/>
    <w:uiPriority w:val="99"/>
    <w:pPr>
      <w:widowControl/>
      <w:jc w:val="left"/>
    </w:pPr>
    <w:rPr>
      <w:rFonts w:ascii="宋体" w:hAnsi="宋体" w:cs="宋体"/>
      <w:kern w:val="0"/>
      <w:sz w:val="24"/>
    </w:rPr>
  </w:style>
  <w:style w:type="paragraph" w:styleId="13">
    <w:name w:val="Title"/>
    <w:basedOn w:val="1"/>
    <w:next w:val="1"/>
    <w:link w:val="32"/>
    <w:qFormat/>
    <w:uiPriority w:val="10"/>
    <w:pPr>
      <w:spacing w:before="240" w:after="60"/>
      <w:jc w:val="center"/>
      <w:outlineLvl w:val="0"/>
    </w:pPr>
    <w:rPr>
      <w:rFonts w:asciiTheme="majorHAnsi" w:hAnsiTheme="majorHAnsi" w:cstheme="majorBidi"/>
      <w:b/>
      <w:bCs/>
      <w:sz w:val="32"/>
      <w:szCs w:val="32"/>
    </w:r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9"/>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8"/>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Char"/>
    <w:link w:val="5"/>
    <w:qFormat/>
    <w:locked/>
    <w:uiPriority w:val="99"/>
    <w:rPr>
      <w:rFonts w:ascii="仿宋_GB2312" w:hAnsi="Times New Roman" w:eastAsia="仿宋_GB2312"/>
      <w:sz w:val="24"/>
    </w:rPr>
  </w:style>
  <w:style w:type="paragraph" w:customStyle="1" w:styleId="24">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5"/>
    <w:link w:val="2"/>
    <w:qFormat/>
    <w:uiPriority w:val="9"/>
    <w:rPr>
      <w:rFonts w:ascii="Times New Roman" w:hAnsi="Times New Roman"/>
      <w:b/>
      <w:bCs/>
      <w:kern w:val="44"/>
      <w:sz w:val="44"/>
      <w:szCs w:val="44"/>
    </w:rPr>
  </w:style>
  <w:style w:type="character" w:customStyle="1" w:styleId="27">
    <w:name w:val="标题 2 Char"/>
    <w:basedOn w:val="15"/>
    <w:link w:val="3"/>
    <w:qFormat/>
    <w:uiPriority w:val="9"/>
    <w:rPr>
      <w:rFonts w:asciiTheme="majorHAnsi" w:hAnsiTheme="majorHAnsi" w:eastAsiaTheme="majorEastAsia" w:cstheme="majorBidi"/>
      <w:b/>
      <w:bCs/>
      <w:kern w:val="2"/>
      <w:sz w:val="32"/>
      <w:szCs w:val="32"/>
    </w:rPr>
  </w:style>
  <w:style w:type="paragraph" w:customStyle="1" w:styleId="28">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Char"/>
    <w:basedOn w:val="15"/>
    <w:link w:val="7"/>
    <w:semiHidden/>
    <w:qFormat/>
    <w:uiPriority w:val="99"/>
    <w:rPr>
      <w:rFonts w:ascii="Times New Roman" w:hAnsi="Times New Roman"/>
      <w:kern w:val="2"/>
      <w:sz w:val="18"/>
      <w:szCs w:val="18"/>
    </w:rPr>
  </w:style>
  <w:style w:type="character" w:customStyle="1" w:styleId="30">
    <w:name w:val="标题 3 Char"/>
    <w:basedOn w:val="15"/>
    <w:link w:val="4"/>
    <w:qFormat/>
    <w:uiPriority w:val="9"/>
    <w:rPr>
      <w:rFonts w:ascii="Times New Roman" w:hAnsi="Times New Roman"/>
      <w:b/>
      <w:bCs/>
      <w:kern w:val="2"/>
      <w:sz w:val="32"/>
      <w:szCs w:val="32"/>
    </w:rPr>
  </w:style>
  <w:style w:type="paragraph" w:customStyle="1" w:styleId="31">
    <w:name w:val="TaiJi"/>
    <w:basedOn w:val="1"/>
    <w:next w:val="13"/>
    <w:qFormat/>
    <w:uiPriority w:val="0"/>
    <w:pPr>
      <w:numPr>
        <w:ilvl w:val="0"/>
        <w:numId w:val="1"/>
      </w:numPr>
      <w:spacing w:line="360" w:lineRule="auto"/>
      <w:jc w:val="left"/>
    </w:pPr>
    <w:rPr>
      <w:rFonts w:eastAsia="黑体"/>
      <w:b/>
      <w:bCs/>
      <w:kern w:val="44"/>
      <w:sz w:val="48"/>
    </w:rPr>
  </w:style>
  <w:style w:type="character" w:customStyle="1" w:styleId="32">
    <w:name w:val="标题 Char"/>
    <w:basedOn w:val="15"/>
    <w:link w:val="13"/>
    <w:qFormat/>
    <w:uiPriority w:val="10"/>
    <w:rPr>
      <w:rFonts w:asciiTheme="majorHAnsi" w:hAnsiTheme="majorHAnsi" w:cstheme="majorBidi"/>
      <w:b/>
      <w:bCs/>
      <w:kern w:val="2"/>
      <w:sz w:val="32"/>
      <w:szCs w:val="32"/>
    </w:rPr>
  </w:style>
  <w:style w:type="character" w:customStyle="1" w:styleId="33">
    <w:name w:val="15"/>
    <w:basedOn w:val="15"/>
    <w:qFormat/>
    <w:uiPriority w:val="0"/>
    <w:rPr>
      <w:rFonts w:hint="default" w:ascii="Times New Roman" w:hAnsi="Times New Roman" w:cs="Times New Roman"/>
      <w:b/>
      <w:bCs/>
      <w:kern w:val="44"/>
      <w:sz w:val="44"/>
      <w:szCs w:val="44"/>
    </w:rPr>
  </w:style>
  <w:style w:type="character" w:customStyle="1" w:styleId="34">
    <w:name w:val="16"/>
    <w:basedOn w:val="15"/>
    <w:qFormat/>
    <w:uiPriority w:val="0"/>
    <w:rPr>
      <w:rFonts w:hint="default" w:ascii="Cambria" w:hAnsi="Cambria" w:eastAsia="宋体" w:cs="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7.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LRT-20200817WKW\Desktop\1000020628-&#22235;&#24029;&#30465;&#24191;&#20803;&#24066;&#20154;&#27665;&#26816;&#23519;&#38498;-&#35270;&#21516;&#35748;&#23450;&#26597;&#35810;.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istrator.LRT-20200817WKW\Desktop\1000020628-&#22235;&#24029;&#30465;&#24191;&#20803;&#24066;&#20154;&#27665;&#26816;&#23519;&#38498;-&#35270;&#21516;&#35748;&#23450;&#26597;&#35810;.xls"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LRT-20200817WKW\Desktop\1000020628-&#22235;&#24029;&#30465;&#24191;&#20803;&#24066;&#20154;&#27665;&#26816;&#23519;&#38498;-&#35270;&#21516;&#35748;&#23450;&#26597;&#35810;.xls"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LRT-20200817WKW\Desktop\1000020628-&#22235;&#24029;&#30465;&#24191;&#20803;&#24066;&#20154;&#27665;&#26816;&#23519;&#38498;-&#35270;&#21516;&#35748;&#23450;&#26597;&#35810;.xls"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LRT-20200817WKW\Desktop\1000020628-&#22235;&#24029;&#30465;&#24191;&#20803;&#24066;&#20154;&#27665;&#26816;&#23519;&#38498;-&#35270;&#21516;&#35748;&#23450;&#26597;&#35810;.xls"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Administrator.LRT-20200817WKW\Desktop\1000020628-&#22235;&#24029;&#30465;&#24191;&#20803;&#24066;&#20154;&#27665;&#26816;&#23519;&#38498;-&#35270;&#21516;&#35748;&#23450;&#26597;&#3581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10555555555556"/>
          <c:y val="0.123148148148148"/>
          <c:w val="0.882"/>
          <c:h val="0.711666666666667"/>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'[1000020628-四川省广元市人民检察院-视同认定查询.xls]Sheet1'!$A$5:$A$6</c:f>
              <c:strCache>
                <c:ptCount val="2"/>
                <c:pt idx="0">
                  <c:v>2020年</c:v>
                </c:pt>
                <c:pt idx="1">
                  <c:v>2019年</c:v>
                </c:pt>
              </c:strCache>
            </c:strRef>
          </c:cat>
          <c:val>
            <c:numRef>
              <c:f>'[1000020628-四川省广元市人民检察院-视同认定查询.xls]Sheet1'!$B$5:$B$6</c:f>
              <c:numCache>
                <c:formatCode>General</c:formatCode>
                <c:ptCount val="2"/>
                <c:pt idx="0">
                  <c:v>4446.18</c:v>
                </c:pt>
                <c:pt idx="1">
                  <c:v>5192.39</c:v>
                </c:pt>
              </c:numCache>
            </c:numRef>
          </c:val>
        </c:ser>
        <c:dLbls>
          <c:showLegendKey val="0"/>
          <c:showVal val="1"/>
          <c:showCatName val="0"/>
          <c:showSerName val="0"/>
          <c:showPercent val="0"/>
          <c:showBubbleSize val="0"/>
        </c:dLbls>
        <c:gapWidth val="219"/>
        <c:overlap val="-27"/>
        <c:axId val="503404369"/>
        <c:axId val="505923466"/>
      </c:barChart>
      <c:catAx>
        <c:axId val="50340436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05923466"/>
        <c:crosses val="autoZero"/>
        <c:auto val="1"/>
        <c:lblAlgn val="ctr"/>
        <c:lblOffset val="100"/>
        <c:noMultiLvlLbl val="0"/>
      </c:catAx>
      <c:valAx>
        <c:axId val="50592346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0340436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'[1000020628-四川省广元市人民检察院-视同认定查询.xls]Sheet1'!$A$28:$A$29</c:f>
              <c:strCache>
                <c:ptCount val="2"/>
                <c:pt idx="0">
                  <c:v>财政拨款收入</c:v>
                </c:pt>
                <c:pt idx="1">
                  <c:v>其他收入</c:v>
                </c:pt>
              </c:strCache>
            </c:strRef>
          </c:cat>
          <c:val>
            <c:numRef>
              <c:f>'[1000020628-四川省广元市人民检察院-视同认定查询.xls]Sheet1'!$B$28:$B$29</c:f>
              <c:numCache>
                <c:formatCode>General</c:formatCode>
                <c:ptCount val="2"/>
                <c:pt idx="0">
                  <c:v>3544.55</c:v>
                </c:pt>
                <c:pt idx="1">
                  <c:v>3.56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160338178591475"/>
                  <c:y val="-0.154579091696767"/>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23</a:t>
                    </a:r>
                    <a:r>
                      <a:rPr lang="en-US" altLang="zh-CN"/>
                      <a:t>60.04</a:t>
                    </a:r>
                    <a:r>
                      <a:t>, 71%</a:t>
                    </a:r>
                  </a:p>
                </c:rich>
              </c:tx>
              <c:dLblPos val="bestFit"/>
              <c:showLegendKey val="0"/>
              <c:showVal val="1"/>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'[1000020628-四川省广元市人民检察院-视同认定查询.xls]Sheet1'!$A$54:$A$55</c:f>
              <c:strCache>
                <c:ptCount val="2"/>
                <c:pt idx="0">
                  <c:v>基本支出</c:v>
                </c:pt>
                <c:pt idx="1">
                  <c:v>项目支出</c:v>
                </c:pt>
              </c:strCache>
            </c:strRef>
          </c:cat>
          <c:val>
            <c:numRef>
              <c:f>'[1000020628-四川省广元市人民检察院-视同认定查询.xls]Sheet1'!$B$54:$B$55</c:f>
              <c:numCache>
                <c:formatCode>General</c:formatCode>
                <c:ptCount val="2"/>
                <c:pt idx="0">
                  <c:v>2359.99</c:v>
                </c:pt>
                <c:pt idx="1">
                  <c:v>941.19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3744680851064"/>
          <c:y val="0.0665831841440342"/>
          <c:w val="0.882"/>
          <c:h val="0.711666666666667"/>
        </c:manualLayout>
      </c:layout>
      <c:barChart>
        <c:barDir val="col"/>
        <c:grouping val="clustered"/>
        <c:varyColors val="0"/>
        <c:ser>
          <c:idx val="0"/>
          <c:order val="0"/>
          <c:spPr>
            <a:solidFill>
              <a:schemeClr val="accent1"/>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444</a:t>
                    </a:r>
                    <a:r>
                      <a:rPr lang="en-US" altLang="zh-CN"/>
                      <a:t>2.62</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{"2020年","2019年"}</c:f>
              <c:strCache>
                <c:ptCount val="2"/>
                <c:pt idx="0">
                  <c:v>2020年</c:v>
                </c:pt>
                <c:pt idx="1">
                  <c:v>2019年</c:v>
                </c:pt>
              </c:strCache>
            </c:strRef>
          </c:cat>
          <c:val>
            <c:numRef>
              <c:f>{4446.18,5192.39}</c:f>
              <c:numCache>
                <c:formatCode>General</c:formatCode>
                <c:ptCount val="2"/>
                <c:pt idx="0">
                  <c:v>4446.18</c:v>
                </c:pt>
                <c:pt idx="1">
                  <c:v>5192.39</c:v>
                </c:pt>
              </c:numCache>
            </c:numRef>
          </c:val>
        </c:ser>
        <c:dLbls>
          <c:showLegendKey val="0"/>
          <c:showVal val="1"/>
          <c:showCatName val="0"/>
          <c:showSerName val="0"/>
          <c:showPercent val="0"/>
          <c:showBubbleSize val="0"/>
        </c:dLbls>
        <c:gapWidth val="219"/>
        <c:overlap val="-27"/>
        <c:axId val="503404369"/>
        <c:axId val="505923466"/>
      </c:barChart>
      <c:catAx>
        <c:axId val="50340436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05923466"/>
        <c:crosses val="autoZero"/>
        <c:auto val="1"/>
        <c:lblAlgn val="ctr"/>
        <c:lblOffset val="100"/>
        <c:noMultiLvlLbl val="0"/>
      </c:catAx>
      <c:valAx>
        <c:axId val="50592346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0340436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'[1000020628-四川省广元市人民检察院-视同认定查询.xls]Sheet1'!$A$60:$A$61</c:f>
              <c:strCache>
                <c:ptCount val="2"/>
                <c:pt idx="0">
                  <c:v>2020年</c:v>
                </c:pt>
                <c:pt idx="1">
                  <c:v>2019年</c:v>
                </c:pt>
              </c:strCache>
            </c:strRef>
          </c:cat>
          <c:val>
            <c:numRef>
              <c:f>'[1000020628-四川省广元市人民检察院-视同认定查询.xls]Sheet1'!$B$60:$B$61</c:f>
              <c:numCache>
                <c:formatCode>General</c:formatCode>
                <c:ptCount val="2"/>
                <c:pt idx="0">
                  <c:v>3301.18</c:v>
                </c:pt>
                <c:pt idx="1">
                  <c:v>3237.14</c:v>
                </c:pt>
              </c:numCache>
            </c:numRef>
          </c:val>
        </c:ser>
        <c:dLbls>
          <c:showLegendKey val="0"/>
          <c:showVal val="1"/>
          <c:showCatName val="0"/>
          <c:showSerName val="0"/>
          <c:showPercent val="0"/>
          <c:showBubbleSize val="0"/>
        </c:dLbls>
        <c:gapWidth val="219"/>
        <c:overlap val="-27"/>
        <c:axId val="44256370"/>
        <c:axId val="259126338"/>
      </c:barChart>
      <c:catAx>
        <c:axId val="4425637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9126338"/>
        <c:crosses val="autoZero"/>
        <c:auto val="1"/>
        <c:lblAlgn val="ctr"/>
        <c:lblOffset val="100"/>
        <c:noMultiLvlLbl val="0"/>
      </c:catAx>
      <c:valAx>
        <c:axId val="25912633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425637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'[1000020628-四川省广元市人民检察院-视同认定查询.xls]Sheet1'!$A$73:$A$76</c:f>
              <c:strCache>
                <c:ptCount val="4"/>
                <c:pt idx="0">
                  <c:v>公共安全（类）支出</c:v>
                </c:pt>
                <c:pt idx="1">
                  <c:v>社会保障和就业（类）支出</c:v>
                </c:pt>
                <c:pt idx="2">
                  <c:v>卫生健康支出</c:v>
                </c:pt>
                <c:pt idx="3">
                  <c:v>住房保障支出</c:v>
                </c:pt>
              </c:strCache>
            </c:strRef>
          </c:cat>
          <c:val>
            <c:numRef>
              <c:f>'[1000020628-四川省广元市人民检察院-视同认定查询.xls]Sheet1'!$B$73:$B$76</c:f>
              <c:numCache>
                <c:formatCode>General</c:formatCode>
                <c:ptCount val="4"/>
                <c:pt idx="0">
                  <c:v>2928.55</c:v>
                </c:pt>
                <c:pt idx="1">
                  <c:v>147.8</c:v>
                </c:pt>
                <c:pt idx="2">
                  <c:v>67.9</c:v>
                </c:pt>
                <c:pt idx="3">
                  <c:v>156.99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'[1000020628-四川省广元市人民检察院-视同认定查询.xls]Sheet1'!$B$42</c:f>
              <c:strCache>
                <c:ptCount val="1"/>
                <c:pt idx="0">
                  <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'[1000020628-四川省广元市人民检察院-视同认定查询.xls]Sheet1'!$A$43:$A$45</c:f>
              <c:strCache>
                <c:ptCount val="3"/>
                <c:pt idx="0">
                  <c:v>因公出国（境）</c:v>
                </c:pt>
                <c:pt idx="1">
                  <c:v>公务用车运行维护</c:v>
                </c:pt>
                <c:pt idx="2">
                  <c:v>公务接待</c:v>
                </c:pt>
              </c:strCache>
            </c:strRef>
          </c:cat>
          <c:val>
            <c:numRef>
              <c:f>'[1000020628-四川省广元市人民检察院-视同认定查询.xls]Sheet1'!$B$43:$B$45</c:f>
              <c:numCache>
                <c:formatCode>General</c:formatCode>
                <c:ptCount val="3"/>
                <c:pt idx="0">
                  <c:v>0</c:v>
                </c:pt>
                <c:pt idx="1">
                  <c:v>46.37</c:v>
                </c:pt>
                <c:pt idx="2">
                  <c:v>1.97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58</Pages>
  <Words>24888</Words>
  <Characters>25876</Characters>
  <Lines>196</Lines>
  <Paragraphs>55</Paragraphs>
  <TotalTime>3</TotalTime>
  <ScaleCrop>false</ScaleCrop>
  <LinksUpToDate>false</LinksUpToDate>
  <CharactersWithSpaces>26256</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2022-06-26T02:49:00Z</dcterms:created>
  <dc:creator>张彬茜</dc:creator>
  <cp:lastModifiedBy> </cp:lastModifiedBy>
  <cp:lastPrinted>2020-09-26T00:46:00Z</cp:lastPrinted>
  <dcterms:modified xsi:type="dcterms:W3CDTF">2022-08-30T17:56:53Z</dcterms:modified>
  <dc:title>四川省***</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A009A66388C24A7B91B2DA3F3C7F05AB</vt:lpwstr>
  </property>
</Properties>
</file>