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olor w:val="000000"/>
          <w:sz w:val="36"/>
          <w:szCs w:val="36"/>
        </w:rPr>
      </w:pPr>
    </w:p>
    <w:p>
      <w:pPr>
        <w:jc w:val="center"/>
        <w:rPr>
          <w:rFonts w:ascii="黑体" w:hAnsi="黑体" w:eastAsia="黑体"/>
          <w:color w:val="000000"/>
          <w:sz w:val="36"/>
          <w:szCs w:val="36"/>
        </w:rPr>
      </w:pPr>
    </w:p>
    <w:p>
      <w:pPr>
        <w:jc w:val="center"/>
        <w:rPr>
          <w:rFonts w:ascii="黑体" w:hAnsi="黑体" w:eastAsia="黑体"/>
          <w:color w:val="000000"/>
          <w:sz w:val="36"/>
          <w:szCs w:val="36"/>
        </w:rPr>
      </w:pPr>
    </w:p>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rPr>
          <w:rFonts w:ascii="方正小标宋简体" w:hAnsi="宋体" w:eastAsia="方正小标宋简体"/>
          <w:color w:val="000000"/>
          <w:sz w:val="72"/>
          <w:szCs w:val="72"/>
        </w:rPr>
      </w:pPr>
      <w:bookmarkStart w:id="1" w:name="_Toc15396597"/>
      <w:bookmarkStart w:id="2" w:name="_Toc15377193"/>
      <w:bookmarkStart w:id="3" w:name="_Toc15378441"/>
      <w:bookmarkStart w:id="4" w:name="_Toc15396475"/>
      <w:bookmarkStart w:id="5" w:name="_Toc15377425"/>
      <w:bookmarkStart w:id="6" w:name="_Toc19393"/>
      <w:r>
        <w:rPr>
          <w:rFonts w:ascii="黑体" w:hAnsi="黑体" w:eastAsia="黑体"/>
          <w:color w:val="000000"/>
          <w:sz w:val="72"/>
          <w:szCs w:val="72"/>
        </w:rPr>
        <w:t>20</w:t>
      </w:r>
      <w:r>
        <w:rPr>
          <w:rFonts w:hint="eastAsia" w:ascii="黑体" w:hAnsi="黑体" w:eastAsia="黑体"/>
          <w:color w:val="000000"/>
          <w:sz w:val="72"/>
          <w:szCs w:val="72"/>
        </w:rPr>
        <w:t>20</w:t>
      </w:r>
      <w:r>
        <w:rPr>
          <w:rFonts w:hint="eastAsia" w:ascii="方正小标宋简体" w:hAnsi="宋体" w:eastAsia="方正小标宋简体"/>
          <w:color w:val="000000"/>
          <w:sz w:val="72"/>
          <w:szCs w:val="72"/>
        </w:rPr>
        <w:t>年度</w:t>
      </w:r>
      <w:bookmarkEnd w:id="1"/>
      <w:bookmarkEnd w:id="2"/>
      <w:bookmarkEnd w:id="3"/>
      <w:bookmarkEnd w:id="4"/>
      <w:bookmarkEnd w:id="5"/>
      <w:bookmarkEnd w:id="6"/>
    </w:p>
    <w:p>
      <w:pPr>
        <w:jc w:val="center"/>
        <w:rPr>
          <w:rFonts w:ascii="方正小标宋简体" w:hAnsi="宋体" w:eastAsia="方正小标宋简体"/>
          <w:color w:val="000000"/>
          <w:sz w:val="72"/>
          <w:szCs w:val="72"/>
        </w:rPr>
        <w:sectPr>
          <w:headerReference r:id="rId3" w:type="default"/>
          <w:pgSz w:w="11906" w:h="16838"/>
          <w:pgMar w:top="1440" w:right="1800" w:bottom="1440" w:left="1800" w:header="851" w:footer="992" w:gutter="0"/>
          <w:cols w:space="425" w:num="1"/>
          <w:docGrid w:type="lines" w:linePitch="312" w:charSpace="0"/>
        </w:sectPr>
      </w:pPr>
      <w:bookmarkStart w:id="7" w:name="_Toc15377426"/>
      <w:bookmarkStart w:id="8" w:name="_Toc15377194"/>
      <w:bookmarkStart w:id="9" w:name="_Toc15396476"/>
      <w:bookmarkStart w:id="10" w:name="_Toc15378442"/>
      <w:bookmarkStart w:id="11" w:name="_Toc15396598"/>
      <w:r>
        <w:rPr>
          <w:rFonts w:hint="eastAsia" w:ascii="方正小标宋简体" w:hAnsi="宋体" w:eastAsia="方正小标宋简体"/>
          <w:color w:val="000000"/>
          <w:sz w:val="72"/>
          <w:szCs w:val="72"/>
        </w:rPr>
        <w:t>广元市</w:t>
      </w:r>
      <w:bookmarkEnd w:id="0"/>
      <w:bookmarkStart w:id="12" w:name="_Toc15306268"/>
      <w:r>
        <w:rPr>
          <w:rFonts w:hint="eastAsia" w:ascii="方正小标宋简体" w:hAnsi="宋体" w:eastAsia="方正小标宋简体"/>
          <w:color w:val="000000"/>
          <w:sz w:val="72"/>
          <w:szCs w:val="72"/>
        </w:rPr>
        <w:t>财政局部门决算</w:t>
      </w:r>
      <w:bookmarkEnd w:id="7"/>
      <w:bookmarkEnd w:id="8"/>
      <w:bookmarkEnd w:id="9"/>
      <w:bookmarkEnd w:id="10"/>
      <w:bookmarkEnd w:id="11"/>
      <w:bookmarkEnd w:id="12"/>
    </w:p>
    <w:p>
      <w:pPr>
        <w:jc w:val="center"/>
      </w:pPr>
      <w:r>
        <w:rPr>
          <w:rFonts w:hint="eastAsia" w:ascii="黑体" w:hAnsi="黑体" w:eastAsia="黑体"/>
          <w:color w:val="000000"/>
          <w:sz w:val="36"/>
          <w:szCs w:val="36"/>
        </w:rPr>
        <w:t>目录</w:t>
      </w:r>
    </w:p>
    <w:p>
      <w:pPr>
        <w:pStyle w:val="8"/>
        <w:tabs>
          <w:tab w:val="right" w:leader="dot" w:pos="8306"/>
          <w:tab w:val="clear" w:pos="8296"/>
        </w:tabs>
      </w:pPr>
      <w:r>
        <w:rPr>
          <w:rFonts w:ascii="黑体" w:hAnsi="黑体" w:eastAsia="黑体" w:cs="黑体"/>
          <w:sz w:val="48"/>
          <w:szCs w:val="48"/>
        </w:rPr>
        <w:fldChar w:fldCharType="begin"/>
      </w:r>
      <w:r>
        <w:rPr>
          <w:rFonts w:ascii="黑体" w:hAnsi="黑体" w:eastAsia="黑体" w:cs="黑体"/>
          <w:sz w:val="48"/>
          <w:szCs w:val="48"/>
        </w:rPr>
        <w:instrText xml:space="preserve"> TOC \o "1-2" \h \z \u </w:instrText>
      </w:r>
      <w:r>
        <w:rPr>
          <w:rFonts w:ascii="黑体" w:hAnsi="黑体" w:eastAsia="黑体" w:cs="黑体"/>
          <w:sz w:val="48"/>
          <w:szCs w:val="48"/>
        </w:rPr>
        <w:fldChar w:fldCharType="separate"/>
      </w:r>
      <w:r>
        <w:fldChar w:fldCharType="begin"/>
      </w:r>
      <w:r>
        <w:instrText xml:space="preserve"> HYPERLINK \l "_Toc30338" </w:instrText>
      </w:r>
      <w:r>
        <w:fldChar w:fldCharType="separate"/>
      </w:r>
      <w:r>
        <w:rPr>
          <w:rFonts w:hint="eastAsia" w:ascii="方正小标宋简体" w:hAnsi="方正小标宋简体" w:eastAsia="方正小标宋简体" w:cs="方正小标宋简体"/>
          <w:szCs w:val="44"/>
        </w:rPr>
        <w:t>第一部分 部门概况</w:t>
      </w:r>
      <w:r>
        <w:tab/>
      </w:r>
      <w:r>
        <w:fldChar w:fldCharType="begin"/>
      </w:r>
      <w:r>
        <w:instrText xml:space="preserve"> PAGEREF _Toc30338 </w:instrText>
      </w:r>
      <w:r>
        <w:fldChar w:fldCharType="separate"/>
      </w:r>
      <w:r>
        <w:t>1</w:t>
      </w:r>
      <w:r>
        <w:fldChar w:fldCharType="end"/>
      </w:r>
      <w:r>
        <w:fldChar w:fldCharType="end"/>
      </w:r>
    </w:p>
    <w:p>
      <w:pPr>
        <w:pStyle w:val="8"/>
        <w:tabs>
          <w:tab w:val="right" w:leader="dot" w:pos="8306"/>
          <w:tab w:val="clear" w:pos="8296"/>
        </w:tabs>
      </w:pPr>
      <w:r>
        <w:fldChar w:fldCharType="begin"/>
      </w:r>
      <w:r>
        <w:instrText xml:space="preserve"> HYPERLINK \l "_Toc13707" </w:instrText>
      </w:r>
      <w:r>
        <w:fldChar w:fldCharType="separate"/>
      </w:r>
      <w:r>
        <w:rPr>
          <w:rFonts w:hint="eastAsia" w:ascii="方正小标宋简体" w:hAnsi="方正小标宋简体" w:eastAsia="方正小标宋简体" w:cs="方正小标宋简体"/>
          <w:szCs w:val="44"/>
        </w:rPr>
        <w:t>第二部分 2020年度部门决算情况说明</w:t>
      </w:r>
      <w:r>
        <w:tab/>
      </w:r>
      <w:r>
        <w:fldChar w:fldCharType="begin"/>
      </w:r>
      <w:r>
        <w:instrText xml:space="preserve"> PAGEREF _Toc13707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"_Toc2660" </w:instrText>
      </w:r>
      <w:r>
        <w:fldChar w:fldCharType="separate"/>
      </w:r>
      <w:r>
        <w:rPr>
          <w:rFonts w:hint="eastAsia" w:ascii="黑体" w:hAnsi="黑体" w:eastAsia="黑体"/>
          <w:szCs w:val="32"/>
        </w:rPr>
        <w:t>一、收</w:t>
      </w:r>
      <w:r>
        <w:rPr>
          <w:rFonts w:hint="eastAsia" w:ascii="黑体" w:hAnsi="黑体" w:eastAsia="黑体"/>
        </w:rPr>
        <w:t>入支出决算总体情况说明</w:t>
      </w:r>
      <w:r>
        <w:tab/>
      </w:r>
      <w:r>
        <w:fldChar w:fldCharType="begin"/>
      </w:r>
      <w:r>
        <w:instrText xml:space="preserve"> PAGEREF _Toc2660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"_Toc9068" </w:instrText>
      </w:r>
      <w:r>
        <w:fldChar w:fldCharType="separate"/>
      </w:r>
      <w:r>
        <w:rPr>
          <w:rFonts w:hint="eastAsia" w:ascii="黑体" w:hAnsi="黑体" w:eastAsia="黑体"/>
          <w:szCs w:val="32"/>
        </w:rPr>
        <w:t>二、收入决算情况说明</w:t>
      </w:r>
      <w:r>
        <w:tab/>
      </w:r>
      <w:r>
        <w:fldChar w:fldCharType="begin"/>
      </w:r>
      <w:r>
        <w:instrText xml:space="preserve"> PAGEREF _Toc9068 </w:instrText>
      </w:r>
      <w:r>
        <w:fldChar w:fldCharType="separate"/>
      </w:r>
      <w:r>
        <w:t>6</w:t>
      </w:r>
      <w:r>
        <w:fldChar w:fldCharType="end"/>
      </w:r>
      <w:r>
        <w:fldChar w:fldCharType="end"/>
      </w:r>
    </w:p>
    <w:p>
      <w:pPr>
        <w:pStyle w:val="9"/>
        <w:tabs>
          <w:tab w:val="right" w:leader="dot" w:pos="8306"/>
        </w:tabs>
      </w:pPr>
      <w:r>
        <w:fldChar w:fldCharType="begin"/>
      </w:r>
      <w:r>
        <w:instrText xml:space="preserve"> HYPERLINK \l "_Toc26956" </w:instrText>
      </w:r>
      <w:r>
        <w:fldChar w:fldCharType="separate"/>
      </w:r>
      <w:r>
        <w:rPr>
          <w:rFonts w:hint="eastAsia" w:ascii="黑体" w:hAnsi="黑体" w:eastAsia="黑体"/>
          <w:szCs w:val="32"/>
        </w:rPr>
        <w:t>三、支出决算情况说明</w:t>
      </w:r>
      <w:r>
        <w:tab/>
      </w:r>
      <w:r>
        <w:fldChar w:fldCharType="begin"/>
      </w:r>
      <w:r>
        <w:instrText xml:space="preserve"> PAGEREF _Toc26956 </w:instrText>
      </w:r>
      <w:r>
        <w:fldChar w:fldCharType="separate"/>
      </w:r>
      <w:r>
        <w:t>7</w:t>
      </w:r>
      <w:r>
        <w:fldChar w:fldCharType="end"/>
      </w:r>
      <w:r>
        <w:fldChar w:fldCharType="end"/>
      </w:r>
    </w:p>
    <w:p>
      <w:pPr>
        <w:pStyle w:val="9"/>
        <w:tabs>
          <w:tab w:val="right" w:leader="dot" w:pos="8306"/>
        </w:tabs>
      </w:pPr>
      <w:r>
        <w:fldChar w:fldCharType="begin"/>
      </w:r>
      <w:r>
        <w:instrText xml:space="preserve"> HYPERLINK \l "_Toc7600" </w:instrText>
      </w:r>
      <w:r>
        <w:fldChar w:fldCharType="separate"/>
      </w:r>
      <w:r>
        <w:rPr>
          <w:rFonts w:hint="eastAsia" w:ascii="黑体" w:hAnsi="黑体" w:eastAsia="黑体"/>
          <w:szCs w:val="32"/>
        </w:rPr>
        <w:t>四、财政拨款收入支出决算总体情况说明</w:t>
      </w:r>
      <w:r>
        <w:tab/>
      </w:r>
      <w:r>
        <w:fldChar w:fldCharType="begin"/>
      </w:r>
      <w:r>
        <w:instrText xml:space="preserve"> PAGEREF _Toc7600 </w:instrText>
      </w:r>
      <w:r>
        <w:fldChar w:fldCharType="separate"/>
      </w:r>
      <w:r>
        <w:t>7</w:t>
      </w:r>
      <w:r>
        <w:fldChar w:fldCharType="end"/>
      </w:r>
      <w:r>
        <w:fldChar w:fldCharType="end"/>
      </w:r>
    </w:p>
    <w:p>
      <w:pPr>
        <w:pStyle w:val="9"/>
        <w:tabs>
          <w:tab w:val="right" w:leader="dot" w:pos="8306"/>
        </w:tabs>
      </w:pPr>
      <w:r>
        <w:fldChar w:fldCharType="begin"/>
      </w:r>
      <w:r>
        <w:instrText xml:space="preserve"> HYPERLINK \l "_Toc936" </w:instrText>
      </w:r>
      <w:r>
        <w:fldChar w:fldCharType="separate"/>
      </w:r>
      <w:r>
        <w:rPr>
          <w:rFonts w:hint="eastAsia" w:ascii="黑体" w:hAnsi="黑体" w:eastAsia="黑体"/>
          <w:szCs w:val="32"/>
        </w:rPr>
        <w:t>五、一般公共预算财政拨款支出决算情况说明</w:t>
      </w:r>
      <w:r>
        <w:tab/>
      </w:r>
      <w:r>
        <w:fldChar w:fldCharType="begin"/>
      </w:r>
      <w:r>
        <w:instrText xml:space="preserve"> PAGEREF _Toc936 </w:instrText>
      </w:r>
      <w:r>
        <w:fldChar w:fldCharType="separate"/>
      </w:r>
      <w:r>
        <w:t>7</w:t>
      </w:r>
      <w:r>
        <w:fldChar w:fldCharType="end"/>
      </w:r>
      <w:r>
        <w:fldChar w:fldCharType="end"/>
      </w:r>
    </w:p>
    <w:p>
      <w:pPr>
        <w:pStyle w:val="9"/>
        <w:tabs>
          <w:tab w:val="right" w:leader="dot" w:pos="8306"/>
        </w:tabs>
      </w:pPr>
      <w:r>
        <w:fldChar w:fldCharType="begin"/>
      </w:r>
      <w:r>
        <w:instrText xml:space="preserve"> HYPERLINK \l "_Toc18624" </w:instrText>
      </w:r>
      <w:r>
        <w:fldChar w:fldCharType="separate"/>
      </w:r>
      <w:r>
        <w:rPr>
          <w:rFonts w:hint="eastAsia" w:ascii="黑体" w:hAnsi="黑体" w:eastAsia="黑体"/>
          <w:szCs w:val="32"/>
        </w:rPr>
        <w:t>六、一般公共预算财政拨款基本支出决算情况说明</w:t>
      </w:r>
      <w:r>
        <w:tab/>
      </w:r>
      <w:r>
        <w:fldChar w:fldCharType="begin"/>
      </w:r>
      <w:r>
        <w:instrText xml:space="preserve"> PAGEREF _Toc18624 </w:instrText>
      </w:r>
      <w:r>
        <w:fldChar w:fldCharType="separate"/>
      </w:r>
      <w:r>
        <w:t>11</w:t>
      </w:r>
      <w:r>
        <w:fldChar w:fldCharType="end"/>
      </w:r>
      <w:r>
        <w:fldChar w:fldCharType="end"/>
      </w:r>
    </w:p>
    <w:p>
      <w:pPr>
        <w:pStyle w:val="9"/>
        <w:tabs>
          <w:tab w:val="right" w:leader="dot" w:pos="8306"/>
        </w:tabs>
      </w:pPr>
      <w:r>
        <w:fldChar w:fldCharType="begin"/>
      </w:r>
      <w:r>
        <w:instrText xml:space="preserve"> HYPERLINK \l "_Toc21289" </w:instrText>
      </w:r>
      <w:r>
        <w:fldChar w:fldCharType="separate"/>
      </w:r>
      <w:r>
        <w:rPr>
          <w:rFonts w:hint="eastAsia" w:ascii="黑体" w:hAnsi="黑体" w:eastAsia="黑体"/>
          <w:szCs w:val="32"/>
        </w:rPr>
        <w:t>七、“三公”经费财政拨款支出决算情况说明</w:t>
      </w:r>
      <w:r>
        <w:tab/>
      </w:r>
      <w:r>
        <w:fldChar w:fldCharType="begin"/>
      </w:r>
      <w:r>
        <w:instrText xml:space="preserve"> PAGEREF _Toc21289 </w:instrText>
      </w:r>
      <w:r>
        <w:fldChar w:fldCharType="separate"/>
      </w:r>
      <w:r>
        <w:t>12</w:t>
      </w:r>
      <w:r>
        <w:fldChar w:fldCharType="end"/>
      </w:r>
      <w:r>
        <w:fldChar w:fldCharType="end"/>
      </w:r>
    </w:p>
    <w:p>
      <w:pPr>
        <w:pStyle w:val="9"/>
        <w:tabs>
          <w:tab w:val="right" w:leader="dot" w:pos="8306"/>
        </w:tabs>
      </w:pPr>
      <w:r>
        <w:fldChar w:fldCharType="begin"/>
      </w:r>
      <w:r>
        <w:instrText xml:space="preserve"> HYPERLINK \l "_Toc10958" </w:instrText>
      </w:r>
      <w:r>
        <w:fldChar w:fldCharType="separate"/>
      </w:r>
      <w:r>
        <w:rPr>
          <w:rFonts w:hint="eastAsia" w:ascii="黑体" w:hAnsi="黑体" w:eastAsia="黑体"/>
          <w:szCs w:val="32"/>
        </w:rPr>
        <w:t>八、政府性基金预算支出决算情况说明</w:t>
      </w:r>
      <w:r>
        <w:tab/>
      </w:r>
      <w:r>
        <w:fldChar w:fldCharType="begin"/>
      </w:r>
      <w:r>
        <w:instrText xml:space="preserve"> PAGEREF _Toc10958 </w:instrText>
      </w:r>
      <w:r>
        <w:fldChar w:fldCharType="separate"/>
      </w:r>
      <w:r>
        <w:t>14</w:t>
      </w:r>
      <w:r>
        <w:fldChar w:fldCharType="end"/>
      </w:r>
      <w:r>
        <w:fldChar w:fldCharType="end"/>
      </w:r>
    </w:p>
    <w:p>
      <w:pPr>
        <w:pStyle w:val="9"/>
        <w:tabs>
          <w:tab w:val="right" w:leader="dot" w:pos="8306"/>
        </w:tabs>
      </w:pPr>
      <w:r>
        <w:fldChar w:fldCharType="begin"/>
      </w:r>
      <w:r>
        <w:instrText xml:space="preserve"> HYPERLINK \l "_Toc29553" </w:instrText>
      </w:r>
      <w:r>
        <w:fldChar w:fldCharType="separate"/>
      </w:r>
      <w:r>
        <w:rPr>
          <w:rFonts w:hint="eastAsia" w:ascii="黑体" w:hAnsi="黑体" w:eastAsia="黑体"/>
          <w:szCs w:val="32"/>
        </w:rPr>
        <w:t>九、国有资本经营预算支出决算情况说明</w:t>
      </w:r>
      <w:r>
        <w:tab/>
      </w:r>
      <w:r>
        <w:fldChar w:fldCharType="begin"/>
      </w:r>
      <w:r>
        <w:instrText xml:space="preserve"> PAGEREF _Toc29553 </w:instrText>
      </w:r>
      <w:r>
        <w:fldChar w:fldCharType="separate"/>
      </w:r>
      <w:r>
        <w:t>14</w:t>
      </w:r>
      <w:r>
        <w:fldChar w:fldCharType="end"/>
      </w:r>
      <w:r>
        <w:fldChar w:fldCharType="end"/>
      </w:r>
    </w:p>
    <w:p>
      <w:pPr>
        <w:pStyle w:val="9"/>
        <w:tabs>
          <w:tab w:val="right" w:leader="dot" w:pos="8306"/>
        </w:tabs>
      </w:pPr>
      <w:r>
        <w:fldChar w:fldCharType="begin"/>
      </w:r>
      <w:r>
        <w:instrText xml:space="preserve"> HYPERLINK \l "_Toc20035" </w:instrText>
      </w:r>
      <w:r>
        <w:fldChar w:fldCharType="separate"/>
      </w:r>
      <w:r>
        <w:rPr>
          <w:rFonts w:hint="eastAsia" w:ascii="黑体" w:hAnsi="黑体" w:eastAsia="黑体"/>
          <w:szCs w:val="32"/>
        </w:rPr>
        <w:t>十、其他重要事项的情况说明</w:t>
      </w:r>
      <w:r>
        <w:tab/>
      </w:r>
      <w:r>
        <w:fldChar w:fldCharType="begin"/>
      </w:r>
      <w:r>
        <w:instrText xml:space="preserve"> PAGEREF _Toc20035 </w:instrText>
      </w:r>
      <w:r>
        <w:fldChar w:fldCharType="separate"/>
      </w:r>
      <w:r>
        <w:t>14</w:t>
      </w:r>
      <w:r>
        <w:fldChar w:fldCharType="end"/>
      </w:r>
      <w:r>
        <w:fldChar w:fldCharType="end"/>
      </w:r>
    </w:p>
    <w:p>
      <w:pPr>
        <w:pStyle w:val="8"/>
        <w:tabs>
          <w:tab w:val="right" w:leader="dot" w:pos="8306"/>
          <w:tab w:val="clear" w:pos="8296"/>
        </w:tabs>
      </w:pPr>
      <w:r>
        <w:fldChar w:fldCharType="begin"/>
      </w:r>
      <w:r>
        <w:instrText xml:space="preserve"> HYPERLINK \l "_Toc30032" </w:instrText>
      </w:r>
      <w:r>
        <w:fldChar w:fldCharType="separate"/>
      </w:r>
      <w:r>
        <w:rPr>
          <w:rFonts w:hint="eastAsia" w:ascii="方正小标宋简体" w:hAnsi="方正小标宋简体" w:eastAsia="方正小标宋简体" w:cs="方正小标宋简体"/>
          <w:szCs w:val="44"/>
        </w:rPr>
        <w:t>第三部分 名词解释</w:t>
      </w:r>
      <w:r>
        <w:tab/>
      </w:r>
      <w:r>
        <w:fldChar w:fldCharType="begin"/>
      </w:r>
      <w:r>
        <w:instrText xml:space="preserve"> PAGEREF _Toc30032 </w:instrText>
      </w:r>
      <w:r>
        <w:fldChar w:fldCharType="separate"/>
      </w:r>
      <w:r>
        <w:t>24</w:t>
      </w:r>
      <w:r>
        <w:fldChar w:fldCharType="end"/>
      </w:r>
      <w:r>
        <w:fldChar w:fldCharType="end"/>
      </w:r>
    </w:p>
    <w:p>
      <w:pPr>
        <w:pStyle w:val="8"/>
        <w:tabs>
          <w:tab w:val="right" w:leader="dot" w:pos="8306"/>
          <w:tab w:val="clear" w:pos="8296"/>
        </w:tabs>
      </w:pPr>
      <w:r>
        <w:fldChar w:fldCharType="begin"/>
      </w:r>
      <w:r>
        <w:instrText xml:space="preserve"> HYPERLINK \l "_Toc6286" </w:instrText>
      </w:r>
      <w:r>
        <w:fldChar w:fldCharType="separate"/>
      </w:r>
      <w:r>
        <w:rPr>
          <w:rFonts w:hint="eastAsia" w:ascii="方正小标宋简体" w:hAnsi="方正小标宋简体" w:eastAsia="方正小标宋简体" w:cs="方正小标宋简体"/>
          <w:szCs w:val="44"/>
        </w:rPr>
        <w:t>第四部分 附件</w:t>
      </w:r>
      <w:r>
        <w:tab/>
      </w:r>
      <w:r>
        <w:fldChar w:fldCharType="begin"/>
      </w:r>
      <w:r>
        <w:instrText xml:space="preserve"> PAGEREF _Toc6286 </w:instrText>
      </w:r>
      <w:r>
        <w:fldChar w:fldCharType="separate"/>
      </w:r>
      <w:r>
        <w:t>27</w:t>
      </w:r>
      <w:r>
        <w:fldChar w:fldCharType="end"/>
      </w:r>
      <w:r>
        <w:fldChar w:fldCharType="end"/>
      </w:r>
      <w:r>
        <w:fldChar w:fldCharType="begin"/>
      </w:r>
      <w:r>
        <w:instrText xml:space="preserve"> HYPERLINK \l "_Toc134" </w:instrText>
      </w:r>
      <w:r>
        <w:fldChar w:fldCharType="separate"/>
      </w:r>
      <w:r>
        <w:fldChar w:fldCharType="end"/>
      </w:r>
    </w:p>
    <w:p>
      <w:pPr>
        <w:pStyle w:val="8"/>
        <w:tabs>
          <w:tab w:val="right" w:leader="dot" w:pos="8306"/>
          <w:tab w:val="clear" w:pos="8296"/>
        </w:tabs>
      </w:pPr>
      <w:r>
        <w:fldChar w:fldCharType="begin"/>
      </w:r>
      <w:r>
        <w:instrText xml:space="preserve"> HYPERLINK \l "_Toc15512" </w:instrText>
      </w:r>
      <w:r>
        <w:fldChar w:fldCharType="separate"/>
      </w:r>
      <w:r>
        <w:rPr>
          <w:rFonts w:hint="eastAsia" w:ascii="方正小标宋简体" w:hAnsi="方正小标宋简体" w:eastAsia="方正小标宋简体" w:cs="方正小标宋简体"/>
          <w:szCs w:val="44"/>
        </w:rPr>
        <w:t>第五部分 附表</w:t>
      </w:r>
      <w:r>
        <w:tab/>
      </w:r>
      <w:r>
        <w:fldChar w:fldCharType="begin"/>
      </w:r>
      <w:r>
        <w:instrText xml:space="preserve"> PAGEREF _Toc15512 </w:instrText>
      </w:r>
      <w:r>
        <w:fldChar w:fldCharType="separate"/>
      </w:r>
      <w:r>
        <w:t>48</w:t>
      </w:r>
      <w:r>
        <w:fldChar w:fldCharType="end"/>
      </w:r>
      <w:r>
        <w:fldChar w:fldCharType="end"/>
      </w:r>
    </w:p>
    <w:p>
      <w:pPr>
        <w:pStyle w:val="9"/>
        <w:tabs>
          <w:tab w:val="right" w:leader="dot" w:pos="8306"/>
        </w:tabs>
      </w:pPr>
      <w:r>
        <w:fldChar w:fldCharType="begin"/>
      </w:r>
      <w:r>
        <w:instrText xml:space="preserve"> HYPERLINK \l "_Toc26813" </w:instrText>
      </w:r>
      <w:r>
        <w:fldChar w:fldCharType="separate"/>
      </w:r>
      <w:r>
        <w:rPr>
          <w:rFonts w:hint="eastAsia" w:ascii="仿宋_GB2312" w:hAnsi="仿宋_GB2312" w:eastAsia="仿宋_GB2312" w:cs="仿宋_GB2312"/>
          <w:szCs w:val="32"/>
        </w:rPr>
        <w:t>一、收入支出决算总表</w:t>
      </w:r>
      <w:r>
        <w:tab/>
      </w:r>
      <w:r>
        <w:fldChar w:fldCharType="begin"/>
      </w:r>
      <w:r>
        <w:instrText xml:space="preserve"> PAGEREF _Toc26813 </w:instrText>
      </w:r>
      <w:r>
        <w:fldChar w:fldCharType="separate"/>
      </w:r>
      <w:r>
        <w:t>48</w:t>
      </w:r>
      <w:r>
        <w:fldChar w:fldCharType="end"/>
      </w:r>
      <w:r>
        <w:fldChar w:fldCharType="end"/>
      </w:r>
    </w:p>
    <w:p>
      <w:pPr>
        <w:pStyle w:val="9"/>
        <w:tabs>
          <w:tab w:val="right" w:leader="dot" w:pos="8306"/>
        </w:tabs>
      </w:pPr>
      <w:r>
        <w:fldChar w:fldCharType="begin"/>
      </w:r>
      <w:r>
        <w:instrText xml:space="preserve"> HYPERLINK \l "_Toc17773" </w:instrText>
      </w:r>
      <w:r>
        <w:fldChar w:fldCharType="separate"/>
      </w:r>
      <w:r>
        <w:rPr>
          <w:rFonts w:hint="eastAsia" w:ascii="仿宋_GB2312" w:hAnsi="仿宋_GB2312" w:eastAsia="仿宋_GB2312" w:cs="仿宋_GB2312"/>
          <w:szCs w:val="32"/>
        </w:rPr>
        <w:t>二、收入决算表</w:t>
      </w:r>
      <w:r>
        <w:tab/>
      </w:r>
      <w:r>
        <w:fldChar w:fldCharType="begin"/>
      </w:r>
      <w:r>
        <w:instrText xml:space="preserve"> PAGEREF _Toc17773 </w:instrText>
      </w:r>
      <w:r>
        <w:fldChar w:fldCharType="separate"/>
      </w:r>
      <w:r>
        <w:t>48</w:t>
      </w:r>
      <w:r>
        <w:fldChar w:fldCharType="end"/>
      </w:r>
      <w:r>
        <w:fldChar w:fldCharType="end"/>
      </w:r>
    </w:p>
    <w:p>
      <w:pPr>
        <w:pStyle w:val="9"/>
        <w:tabs>
          <w:tab w:val="right" w:leader="dot" w:pos="8306"/>
        </w:tabs>
      </w:pPr>
      <w:r>
        <w:fldChar w:fldCharType="begin"/>
      </w:r>
      <w:r>
        <w:instrText xml:space="preserve"> HYPERLINK \l "_Toc17774" </w:instrText>
      </w:r>
      <w:r>
        <w:fldChar w:fldCharType="separate"/>
      </w:r>
      <w:r>
        <w:rPr>
          <w:rFonts w:hint="eastAsia" w:ascii="仿宋_GB2312" w:hAnsi="仿宋_GB2312" w:eastAsia="仿宋_GB2312" w:cs="仿宋_GB2312"/>
          <w:szCs w:val="32"/>
        </w:rPr>
        <w:t>三、支出决算表</w:t>
      </w:r>
      <w:r>
        <w:tab/>
      </w:r>
      <w:r>
        <w:fldChar w:fldCharType="begin"/>
      </w:r>
      <w:r>
        <w:instrText xml:space="preserve"> PAGEREF _Toc17774 </w:instrText>
      </w:r>
      <w:r>
        <w:fldChar w:fldCharType="separate"/>
      </w:r>
      <w:r>
        <w:t>48</w:t>
      </w:r>
      <w:r>
        <w:fldChar w:fldCharType="end"/>
      </w:r>
      <w:r>
        <w:fldChar w:fldCharType="end"/>
      </w:r>
    </w:p>
    <w:p>
      <w:pPr>
        <w:pStyle w:val="9"/>
        <w:tabs>
          <w:tab w:val="right" w:leader="dot" w:pos="8306"/>
        </w:tabs>
      </w:pPr>
      <w:r>
        <w:fldChar w:fldCharType="begin"/>
      </w:r>
      <w:r>
        <w:instrText xml:space="preserve"> HYPERLINK \l "_Toc5864" </w:instrText>
      </w:r>
      <w:r>
        <w:fldChar w:fldCharType="separate"/>
      </w:r>
      <w:r>
        <w:rPr>
          <w:rFonts w:hint="eastAsia" w:ascii="仿宋_GB2312" w:hAnsi="仿宋_GB2312" w:eastAsia="仿宋_GB2312" w:cs="仿宋_GB2312"/>
          <w:szCs w:val="32"/>
        </w:rPr>
        <w:t>四、财政拨款收入支出决算总表</w:t>
      </w:r>
      <w:r>
        <w:tab/>
      </w:r>
      <w:r>
        <w:fldChar w:fldCharType="begin"/>
      </w:r>
      <w:r>
        <w:instrText xml:space="preserve"> PAGEREF _Toc5864 </w:instrText>
      </w:r>
      <w:r>
        <w:fldChar w:fldCharType="separate"/>
      </w:r>
      <w:r>
        <w:t>48</w:t>
      </w:r>
      <w:r>
        <w:fldChar w:fldCharType="end"/>
      </w:r>
      <w:r>
        <w:fldChar w:fldCharType="end"/>
      </w:r>
    </w:p>
    <w:p>
      <w:pPr>
        <w:pStyle w:val="9"/>
        <w:tabs>
          <w:tab w:val="right" w:leader="dot" w:pos="8306"/>
        </w:tabs>
      </w:pPr>
      <w:r>
        <w:fldChar w:fldCharType="begin"/>
      </w:r>
      <w:r>
        <w:instrText xml:space="preserve"> HYPERLINK \l "_Toc13045" </w:instrText>
      </w:r>
      <w:r>
        <w:fldChar w:fldCharType="separate"/>
      </w:r>
      <w:r>
        <w:rPr>
          <w:rFonts w:hint="eastAsia" w:ascii="仿宋_GB2312" w:hAnsi="仿宋_GB2312" w:eastAsia="仿宋_GB2312" w:cs="仿宋_GB2312"/>
          <w:szCs w:val="32"/>
        </w:rPr>
        <w:t>五、财政拨款支出决算明细表</w:t>
      </w:r>
      <w:r>
        <w:tab/>
      </w:r>
      <w:r>
        <w:fldChar w:fldCharType="begin"/>
      </w:r>
      <w:r>
        <w:instrText xml:space="preserve"> PAGEREF _Toc13045 </w:instrText>
      </w:r>
      <w:r>
        <w:fldChar w:fldCharType="separate"/>
      </w:r>
      <w:r>
        <w:t>48</w:t>
      </w:r>
      <w:r>
        <w:fldChar w:fldCharType="end"/>
      </w:r>
      <w:r>
        <w:fldChar w:fldCharType="end"/>
      </w:r>
    </w:p>
    <w:p>
      <w:pPr>
        <w:pStyle w:val="9"/>
        <w:tabs>
          <w:tab w:val="right" w:leader="dot" w:pos="8306"/>
        </w:tabs>
      </w:pPr>
      <w:r>
        <w:fldChar w:fldCharType="begin"/>
      </w:r>
      <w:r>
        <w:instrText xml:space="preserve"> HYPERLINK \l "_Toc24207" </w:instrText>
      </w:r>
      <w:r>
        <w:fldChar w:fldCharType="separate"/>
      </w:r>
      <w:r>
        <w:rPr>
          <w:rFonts w:hint="eastAsia" w:ascii="仿宋_GB2312" w:hAnsi="仿宋_GB2312" w:eastAsia="仿宋_GB2312" w:cs="仿宋_GB2312"/>
          <w:szCs w:val="32"/>
        </w:rPr>
        <w:t>六、一般公共预算财政拨款支出决算表</w:t>
      </w:r>
      <w:r>
        <w:tab/>
      </w:r>
      <w:r>
        <w:fldChar w:fldCharType="begin"/>
      </w:r>
      <w:r>
        <w:instrText xml:space="preserve"> PAGEREF _Toc24207 </w:instrText>
      </w:r>
      <w:r>
        <w:fldChar w:fldCharType="separate"/>
      </w:r>
      <w:r>
        <w:t>48</w:t>
      </w:r>
      <w:r>
        <w:fldChar w:fldCharType="end"/>
      </w:r>
      <w:r>
        <w:fldChar w:fldCharType="end"/>
      </w:r>
    </w:p>
    <w:p>
      <w:pPr>
        <w:pStyle w:val="9"/>
        <w:tabs>
          <w:tab w:val="right" w:leader="dot" w:pos="8306"/>
        </w:tabs>
      </w:pPr>
      <w:r>
        <w:fldChar w:fldCharType="begin"/>
      </w:r>
      <w:r>
        <w:instrText xml:space="preserve"> HYPERLINK \l "_Toc2288" </w:instrText>
      </w:r>
      <w:r>
        <w:fldChar w:fldCharType="separate"/>
      </w:r>
      <w:r>
        <w:rPr>
          <w:rFonts w:hint="eastAsia" w:ascii="仿宋_GB2312" w:hAnsi="仿宋_GB2312" w:eastAsia="仿宋_GB2312" w:cs="仿宋_GB2312"/>
          <w:szCs w:val="32"/>
        </w:rPr>
        <w:t>七、一般公共预算财政拨款支出决算明细表</w:t>
      </w:r>
      <w:r>
        <w:tab/>
      </w:r>
      <w:r>
        <w:fldChar w:fldCharType="begin"/>
      </w:r>
      <w:r>
        <w:instrText xml:space="preserve"> PAGEREF _Toc2288 </w:instrText>
      </w:r>
      <w:r>
        <w:fldChar w:fldCharType="separate"/>
      </w:r>
      <w:r>
        <w:t>48</w:t>
      </w:r>
      <w:r>
        <w:fldChar w:fldCharType="end"/>
      </w:r>
      <w:r>
        <w:fldChar w:fldCharType="end"/>
      </w:r>
    </w:p>
    <w:p>
      <w:pPr>
        <w:pStyle w:val="9"/>
        <w:tabs>
          <w:tab w:val="right" w:leader="dot" w:pos="8306"/>
        </w:tabs>
      </w:pPr>
      <w:r>
        <w:fldChar w:fldCharType="begin"/>
      </w:r>
      <w:r>
        <w:instrText xml:space="preserve"> HYPERLINK \l "_Toc15599" </w:instrText>
      </w:r>
      <w:r>
        <w:fldChar w:fldCharType="separate"/>
      </w:r>
      <w:r>
        <w:rPr>
          <w:rFonts w:hint="eastAsia" w:ascii="仿宋_GB2312" w:hAnsi="仿宋_GB2312" w:eastAsia="仿宋_GB2312" w:cs="仿宋_GB2312"/>
          <w:szCs w:val="32"/>
        </w:rPr>
        <w:t>八、一般公共预算财政拨款基本支出决算表</w:t>
      </w:r>
      <w:r>
        <w:tab/>
      </w:r>
      <w:r>
        <w:fldChar w:fldCharType="begin"/>
      </w:r>
      <w:r>
        <w:instrText xml:space="preserve"> PAGEREF _Toc15599 </w:instrText>
      </w:r>
      <w:r>
        <w:fldChar w:fldCharType="separate"/>
      </w:r>
      <w:r>
        <w:t>48</w:t>
      </w:r>
      <w:r>
        <w:fldChar w:fldCharType="end"/>
      </w:r>
      <w:r>
        <w:fldChar w:fldCharType="end"/>
      </w:r>
    </w:p>
    <w:p>
      <w:pPr>
        <w:pStyle w:val="9"/>
        <w:tabs>
          <w:tab w:val="right" w:leader="dot" w:pos="8306"/>
        </w:tabs>
      </w:pPr>
      <w:r>
        <w:fldChar w:fldCharType="begin"/>
      </w:r>
      <w:r>
        <w:instrText xml:space="preserve"> HYPERLINK \l "_Toc6010" </w:instrText>
      </w:r>
      <w:r>
        <w:fldChar w:fldCharType="separate"/>
      </w:r>
      <w:r>
        <w:rPr>
          <w:rFonts w:hint="eastAsia" w:ascii="仿宋_GB2312" w:hAnsi="仿宋_GB2312" w:eastAsia="仿宋_GB2312" w:cs="仿宋_GB2312"/>
          <w:szCs w:val="32"/>
        </w:rPr>
        <w:t>九、一般公共预算财政拨款项目支出决算表</w:t>
      </w:r>
      <w:r>
        <w:tab/>
      </w:r>
      <w:r>
        <w:fldChar w:fldCharType="begin"/>
      </w:r>
      <w:r>
        <w:instrText xml:space="preserve"> PAGEREF _Toc6010 </w:instrText>
      </w:r>
      <w:r>
        <w:fldChar w:fldCharType="separate"/>
      </w:r>
      <w:r>
        <w:t>48</w:t>
      </w:r>
      <w:r>
        <w:fldChar w:fldCharType="end"/>
      </w:r>
      <w:r>
        <w:fldChar w:fldCharType="end"/>
      </w:r>
    </w:p>
    <w:p>
      <w:pPr>
        <w:pStyle w:val="9"/>
        <w:tabs>
          <w:tab w:val="right" w:leader="dot" w:pos="8306"/>
        </w:tabs>
      </w:pPr>
      <w:r>
        <w:fldChar w:fldCharType="begin"/>
      </w:r>
      <w:r>
        <w:instrText xml:space="preserve"> HYPERLINK \l "_Toc13430" </w:instrText>
      </w:r>
      <w:r>
        <w:fldChar w:fldCharType="separate"/>
      </w:r>
      <w:r>
        <w:rPr>
          <w:rFonts w:hint="eastAsia" w:ascii="仿宋_GB2312" w:hAnsi="仿宋_GB2312" w:eastAsia="仿宋_GB2312" w:cs="仿宋_GB2312"/>
          <w:szCs w:val="32"/>
        </w:rPr>
        <w:t>十、一般公共预算财政拨款“三公”经费支出决算表</w:t>
      </w:r>
      <w:r>
        <w:tab/>
      </w:r>
      <w:r>
        <w:fldChar w:fldCharType="begin"/>
      </w:r>
      <w:r>
        <w:instrText xml:space="preserve"> PAGEREF _Toc13430 </w:instrText>
      </w:r>
      <w:r>
        <w:fldChar w:fldCharType="separate"/>
      </w:r>
      <w:r>
        <w:t>48</w:t>
      </w:r>
      <w:r>
        <w:fldChar w:fldCharType="end"/>
      </w:r>
      <w:r>
        <w:fldChar w:fldCharType="end"/>
      </w:r>
    </w:p>
    <w:p>
      <w:pPr>
        <w:pStyle w:val="9"/>
        <w:tabs>
          <w:tab w:val="right" w:leader="dot" w:pos="8306"/>
        </w:tabs>
      </w:pPr>
      <w:r>
        <w:fldChar w:fldCharType="begin"/>
      </w:r>
      <w:r>
        <w:instrText xml:space="preserve"> HYPERLINK \l "_Toc26394" </w:instrText>
      </w:r>
      <w:r>
        <w:fldChar w:fldCharType="separate"/>
      </w:r>
      <w:r>
        <w:rPr>
          <w:rFonts w:hint="eastAsia" w:ascii="仿宋_GB2312" w:hAnsi="仿宋_GB2312" w:eastAsia="仿宋_GB2312" w:cs="仿宋_GB2312"/>
          <w:szCs w:val="32"/>
        </w:rPr>
        <w:t>十一、政府性基金预算财政拨款收入支出决算表</w:t>
      </w:r>
      <w:r>
        <w:tab/>
      </w:r>
      <w:r>
        <w:fldChar w:fldCharType="begin"/>
      </w:r>
      <w:r>
        <w:instrText xml:space="preserve"> PAGEREF _Toc26394 </w:instrText>
      </w:r>
      <w:r>
        <w:fldChar w:fldCharType="separate"/>
      </w:r>
      <w:r>
        <w:t>48</w:t>
      </w:r>
      <w:r>
        <w:fldChar w:fldCharType="end"/>
      </w:r>
      <w:r>
        <w:fldChar w:fldCharType="end"/>
      </w:r>
    </w:p>
    <w:p>
      <w:pPr>
        <w:pStyle w:val="9"/>
        <w:tabs>
          <w:tab w:val="right" w:leader="dot" w:pos="8306"/>
        </w:tabs>
      </w:pPr>
      <w:r>
        <w:fldChar w:fldCharType="begin"/>
      </w:r>
      <w:r>
        <w:instrText xml:space="preserve"> HYPERLINK \l "_Toc17429" </w:instrText>
      </w:r>
      <w:r>
        <w:fldChar w:fldCharType="separate"/>
      </w:r>
      <w:r>
        <w:rPr>
          <w:rFonts w:hint="eastAsia" w:ascii="仿宋_GB2312" w:hAnsi="仿宋_GB2312" w:eastAsia="仿宋_GB2312" w:cs="仿宋_GB2312"/>
          <w:szCs w:val="32"/>
        </w:rPr>
        <w:t>十二、政府性基金预算财政拨款“三公”经费支出决算表</w:t>
      </w:r>
      <w:r>
        <w:tab/>
      </w:r>
      <w:r>
        <w:fldChar w:fldCharType="begin"/>
      </w:r>
      <w:r>
        <w:instrText xml:space="preserve"> PAGEREF _Toc17429 </w:instrText>
      </w:r>
      <w:r>
        <w:fldChar w:fldCharType="separate"/>
      </w:r>
      <w:r>
        <w:t>48</w:t>
      </w:r>
      <w:r>
        <w:fldChar w:fldCharType="end"/>
      </w:r>
      <w:r>
        <w:fldChar w:fldCharType="end"/>
      </w:r>
    </w:p>
    <w:p>
      <w:pPr>
        <w:pStyle w:val="9"/>
        <w:tabs>
          <w:tab w:val="right" w:leader="dot" w:pos="8306"/>
        </w:tabs>
        <w:rPr>
          <w:rFonts w:hint="eastAsia" w:ascii="黑体" w:hAnsi="黑体" w:eastAsia="黑体" w:cs="黑体"/>
          <w:szCs w:val="48"/>
        </w:rPr>
      </w:pPr>
      <w:r>
        <w:fldChar w:fldCharType="begin"/>
      </w:r>
      <w:r>
        <w:instrText xml:space="preserve"> HYPERLINK \l "_Toc22882" </w:instrText>
      </w:r>
      <w:r>
        <w:fldChar w:fldCharType="separate"/>
      </w:r>
      <w:r>
        <w:rPr>
          <w:rFonts w:hint="eastAsia" w:ascii="仿宋_GB2312" w:hAnsi="仿宋_GB2312" w:eastAsia="仿宋_GB2312" w:cs="仿宋_GB2312"/>
          <w:szCs w:val="32"/>
        </w:rPr>
        <w:t>十三、国有资本经营预算财政拨款收入支出决算表</w:t>
      </w:r>
      <w:r>
        <w:tab/>
      </w:r>
      <w:r>
        <w:fldChar w:fldCharType="begin"/>
      </w:r>
      <w:r>
        <w:instrText xml:space="preserve"> PAGEREF _Toc22882 </w:instrText>
      </w:r>
      <w:r>
        <w:fldChar w:fldCharType="separate"/>
      </w:r>
      <w:r>
        <w:t>48</w:t>
      </w:r>
      <w:r>
        <w:fldChar w:fldCharType="end"/>
      </w:r>
      <w:r>
        <w:fldChar w:fldCharType="end"/>
      </w:r>
    </w:p>
    <w:p>
      <w:r>
        <w:rPr>
          <w:rFonts w:hint="eastAsia"/>
        </w:rPr>
        <w:t xml:space="preserve">    </w:t>
      </w:r>
      <w:r>
        <w:fldChar w:fldCharType="begin"/>
      </w:r>
      <w:r>
        <w:instrText xml:space="preserve"> HYPERLINK \l "_Toc22882" </w:instrText>
      </w:r>
      <w:r>
        <w:fldChar w:fldCharType="separate"/>
      </w:r>
      <w:r>
        <w:rPr>
          <w:rFonts w:hint="eastAsia" w:ascii="仿宋_GB2312" w:hAnsi="仿宋_GB2312" w:eastAsia="仿宋_GB2312" w:cs="仿宋_GB2312"/>
          <w:szCs w:val="32"/>
        </w:rPr>
        <w:t>十四、国有资本经营预算财政拨款支出决算表</w:t>
      </w:r>
      <w:r>
        <w:rPr>
          <w:rFonts w:ascii="仿宋_GB2312" w:hAnsi="仿宋_GB2312" w:eastAsia="仿宋_GB2312" w:cs="仿宋_GB2312"/>
          <w:szCs w:val="32"/>
        </w:rPr>
        <w:t>………………………………………</w:t>
      </w:r>
      <w:r>
        <w:rPr>
          <w:rFonts w:hint="eastAsia" w:ascii="仿宋_GB2312" w:hAnsi="仿宋_GB2312" w:eastAsia="仿宋_GB2312" w:cs="仿宋_GB2312"/>
          <w:szCs w:val="32"/>
        </w:rPr>
        <w:t>.48</w:t>
      </w:r>
      <w:r>
        <w:rPr>
          <w:rFonts w:ascii="仿宋_GB2312" w:hAnsi="仿宋_GB2312" w:eastAsia="仿宋_GB2312" w:cs="仿宋_GB2312"/>
          <w:szCs w:val="32"/>
        </w:rPr>
        <w:tab/>
      </w:r>
      <w:r>
        <w:rPr>
          <w:rFonts w:ascii="仿宋_GB2312" w:hAnsi="仿宋_GB2312" w:eastAsia="仿宋_GB2312" w:cs="仿宋_GB2312"/>
          <w:szCs w:val="32"/>
        </w:rPr>
        <w:fldChar w:fldCharType="end"/>
      </w:r>
    </w:p>
    <w:p>
      <w:pPr>
        <w:spacing w:line="576" w:lineRule="exact"/>
        <w:jc w:val="left"/>
        <w:rPr>
          <w:rFonts w:ascii="黑体" w:hAnsi="黑体" w:eastAsia="黑体" w:cs="方正小标宋简体"/>
          <w:color w:val="000000"/>
          <w:sz w:val="36"/>
          <w:szCs w:val="36"/>
        </w:rPr>
        <w:sectPr>
          <w:headerReference r:id="rId4" w:type="default"/>
          <w:footerReference r:id="rId5" w:type="default"/>
          <w:pgSz w:w="11906" w:h="16838"/>
          <w:pgMar w:top="1440" w:right="1800" w:bottom="1440" w:left="1800" w:header="851" w:footer="1559" w:gutter="0"/>
          <w:pgNumType w:start="1"/>
          <w:cols w:space="425" w:num="1"/>
          <w:docGrid w:type="lines" w:linePitch="312" w:charSpace="0"/>
        </w:sectPr>
      </w:pPr>
      <w:r>
        <w:rPr>
          <w:rFonts w:ascii="黑体" w:hAnsi="黑体" w:eastAsia="黑体" w:cs="黑体"/>
          <w:szCs w:val="48"/>
        </w:rPr>
        <w:fldChar w:fldCharType="end"/>
      </w:r>
    </w:p>
    <w:p>
      <w:pPr>
        <w:numPr>
          <w:ilvl w:val="0"/>
          <w:numId w:val="1"/>
        </w:numPr>
        <w:adjustRightInd w:val="0"/>
        <w:snapToGrid w:val="0"/>
        <w:spacing w:line="576" w:lineRule="exact"/>
        <w:jc w:val="center"/>
        <w:outlineLvl w:val="0"/>
        <w:rPr>
          <w:rFonts w:ascii="方正小标宋简体" w:hAnsi="方正小标宋简体" w:eastAsia="方正小标宋简体" w:cs="方正小标宋简体"/>
          <w:color w:val="000000"/>
          <w:sz w:val="44"/>
          <w:szCs w:val="44"/>
        </w:rPr>
      </w:pPr>
      <w:bookmarkStart w:id="13" w:name="_Toc30338"/>
      <w:r>
        <w:rPr>
          <w:rFonts w:hint="eastAsia" w:ascii="方正小标宋简体" w:hAnsi="方正小标宋简体" w:eastAsia="方正小标宋简体" w:cs="方正小标宋简体"/>
          <w:color w:val="000000"/>
          <w:sz w:val="44"/>
          <w:szCs w:val="44"/>
        </w:rPr>
        <w:t>部门概况</w:t>
      </w:r>
      <w:bookmarkEnd w:id="13"/>
      <w:bookmarkStart w:id="14" w:name="_Toc15377197"/>
    </w:p>
    <w:p>
      <w:pPr>
        <w:adjustRightInd w:val="0"/>
        <w:snapToGrid w:val="0"/>
        <w:spacing w:line="576" w:lineRule="exact"/>
        <w:outlineLvl w:val="0"/>
        <w:rPr>
          <w:rFonts w:ascii="方正小标宋简体" w:hAnsi="方正小标宋简体" w:eastAsia="方正小标宋简体" w:cs="方正小标宋简体"/>
          <w:color w:val="000000"/>
          <w:sz w:val="44"/>
          <w:szCs w:val="44"/>
        </w:rPr>
      </w:pPr>
    </w:p>
    <w:p>
      <w:pPr>
        <w:pStyle w:val="8"/>
        <w:adjustRightInd w:val="0"/>
        <w:snapToGrid w:val="0"/>
        <w:spacing w:before="0" w:line="576" w:lineRule="exact"/>
        <w:ind w:firstLine="640" w:firstLineChars="200"/>
        <w:jc w:val="left"/>
        <w:rPr>
          <w:rFonts w:ascii="黑体" w:hAnsi="黑体" w:eastAsia="黑体" w:cs="黑体"/>
          <w:sz w:val="32"/>
          <w:szCs w:val="32"/>
        </w:rPr>
      </w:pPr>
      <w:r>
        <w:rPr>
          <w:rFonts w:hint="eastAsia" w:ascii="黑体" w:hAnsi="黑体" w:eastAsia="黑体" w:cs="黑体"/>
          <w:sz w:val="32"/>
          <w:szCs w:val="32"/>
        </w:rPr>
        <w:t>一、基本职能及主要工作</w:t>
      </w:r>
      <w:bookmarkEnd w:id="14"/>
    </w:p>
    <w:p>
      <w:pPr>
        <w:pStyle w:val="4"/>
        <w:adjustRightInd w:val="0"/>
        <w:snapToGrid w:val="0"/>
        <w:spacing w:beforeLines="0" w:line="576" w:lineRule="exact"/>
        <w:ind w:firstLine="640" w:firstLineChars="200"/>
        <w:outlineLvl w:val="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（一）主要职能</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拟订全市财政、税收的发展战略、规划、政策和改革方案并组织实施，参与宏观经济分析预测和全市重大宏观经济政策的制定，提出运用财税政策实施宏观经济调控和综合平衡全市财力的建议。贯彻执行国家财税法律、法规和方针、政策，组织起草地方性财税法规的实施办法和政策规定并组织实施，按照管理权限管理全市税政事项。承担各项财政收支管理，负责编制年度市级预决算草案并组织实施，受市政府委托，向市人民代表大会报告全市和市级预算及其执行情况，向市人大常委会报告决算，组织制定经费开支标准、定额，负责审核批复部门（单位）的年度预决算，完善转移支付制度。负责政府非税收入管理，负责政府性基金管理，按规定管理行政事业性收费，管理财政票据，负责彩票的监管和发行规模的审核上报工作。制定全市国库管理制度、国库集中收付制度，指导和监督国库业务，组织开展国库现金管理工作。制定政府采购制度，编制政府采购预算，监督管理全市政府采购工作。制定全市行政事业单位国有资产管理制度规定及市级机关事业单位国有资产收益管理办法，并对执行情况进行监督检查，负责市级机关国有资产经营收益财政专户管理工作。审核和汇总编制全市国有资本经营预决算草案，制订国有资本经营预算的制度和办法，收取市本级企业国有资本收益，组织实施企业财务制度，管理金融类企业国有资产，参与拟订企业国有资产管理相关制度，管理资产评估工作。负责管理和监督财政性经济发展支出、政府性投资项目的财政拨款，参与拟订政府性建设投资的有关政策，制定基本建设财务制度，负责投资评审管理工作。负责有关政策性补贴和专项储备资金财政管理工作。负责全市农业综合开发管理工作。会同相关部门管理全市社会保障和就业及医疗卫生支出，会同相关部门拟订社会保障资金（基金）的财务管理制度，编制市级社会保障预决算草案。组织实施政府债务管理制度和政策，制定具体管理办法，管理政府债务，防范财政风险，管理外国政府和国际金融机构贷（赠）款项目的有关业务。负责全市的会计工作，监督和规范会计行为，组织实施国家统一的会计制度，指导和监督注册会计师和会计师事务所的业务，指导和管理社会审计。负责财政资金绩效评价。监督检查财税法规、政策的执行情况，反映财政收支管理中的重大问题。依法查处违反财经法纪的行为。负责财政宣传和财政信息管理系统工作，负责全市财政业务培训。承办市农村综合改革领导小组办公室的具体工作。承担市政府公布的有关行政审批事项。负责全市PPP政策研究和实施办法的制定、市级PPP项目库的建立更新，项目实施方案的汇总和审核等工作。承办市政府交办的其他事项。</w:t>
      </w:r>
    </w:p>
    <w:p>
      <w:pPr>
        <w:spacing w:line="576" w:lineRule="exact"/>
        <w:ind w:firstLine="640" w:firstLineChars="200"/>
        <w:rPr>
          <w:rFonts w:ascii="楷体_GB2312" w:hAnsi="楷体_GB2312" w:eastAsia="楷体_GB2312" w:cs="楷体_GB2312"/>
          <w:bCs/>
          <w:color w:val="000000"/>
          <w:sz w:val="32"/>
          <w:szCs w:val="32"/>
        </w:rPr>
      </w:pPr>
      <w:bookmarkStart w:id="15" w:name="_Toc15377199"/>
      <w:bookmarkStart w:id="16" w:name="_Toc15378446"/>
      <w:r>
        <w:rPr>
          <w:rFonts w:hint="eastAsia" w:ascii="楷体_GB2312" w:hAnsi="楷体_GB2312" w:eastAsia="楷体_GB2312" w:cs="楷体_GB2312"/>
          <w:bCs/>
          <w:color w:val="000000"/>
          <w:sz w:val="32"/>
          <w:szCs w:val="32"/>
        </w:rPr>
        <w:t>（二）2020年重点工作完成情况</w:t>
      </w:r>
      <w:bookmarkEnd w:id="15"/>
      <w:bookmarkEnd w:id="16"/>
      <w:bookmarkStart w:id="17" w:name="_Toc15377200"/>
    </w:p>
    <w:p>
      <w:pPr>
        <w:spacing w:line="576" w:lineRule="exact"/>
        <w:ind w:firstLine="640" w:firstLineChars="200"/>
        <w:rPr>
          <w:rFonts w:ascii="仿宋_GB2312" w:eastAsia="仿宋_GB2312" w:cs="仿宋_GB2312"/>
          <w:sz w:val="32"/>
          <w:szCs w:val="32"/>
        </w:rPr>
      </w:pPr>
      <w:r>
        <w:rPr>
          <w:rFonts w:hint="eastAsia" w:ascii="仿宋_GB2312" w:hAnsi="仿宋" w:eastAsia="仿宋_GB2312"/>
          <w:sz w:val="32"/>
          <w:szCs w:val="32"/>
        </w:rPr>
        <w:t>1.财政收支平稳运行。</w:t>
      </w:r>
      <w:r>
        <w:rPr>
          <w:rFonts w:hint="eastAsia" w:ascii="仿宋_GB2312" w:eastAsia="仿宋_GB2312"/>
          <w:sz w:val="32"/>
          <w:szCs w:val="32"/>
        </w:rPr>
        <w:t>面对宏观经济下行、大规模减税降费、新冠肺炎疫情等多重困难挑战，千方百计挖潜增收，全市一般公共预算收入完成52.62亿元，同比增长8.52%。市本级地方一般公共预算收入完成21.99亿元，同比增长9%。强化财政支出管理，优化财政支出结构，统筹财力向民生和公共服务领域倾斜，</w:t>
      </w:r>
      <w:r>
        <w:rPr>
          <w:rFonts w:hint="eastAsia" w:ascii="仿宋_GB2312" w:eastAsia="仿宋_GB2312" w:cs="仿宋_GB2312"/>
          <w:sz w:val="32"/>
          <w:szCs w:val="32"/>
        </w:rPr>
        <w:t>全市一般公共预算支出285.63亿元，同比增长10.25%。市级一般公共预算支出实现63.59亿元，同比增长14.71%。</w:t>
      </w:r>
    </w:p>
    <w:p>
      <w:pPr>
        <w:pBdr>
          <w:bottom w:val="single" w:color="FFFFFF" w:sz="4" w:space="31"/>
        </w:pBdr>
        <w:adjustRightInd w:val="0"/>
        <w:snapToGrid w:val="0"/>
        <w:spacing w:line="576" w:lineRule="exact"/>
        <w:ind w:firstLine="640" w:firstLineChars="200"/>
        <w:rPr>
          <w:rFonts w:ascii="仿宋_GB2312" w:eastAsia="仿宋_GB2312" w:cs="仿宋_GB2312"/>
          <w:sz w:val="32"/>
          <w:szCs w:val="32"/>
        </w:rPr>
      </w:pPr>
      <w:r>
        <w:rPr>
          <w:rFonts w:hint="eastAsia" w:ascii="仿宋_GB2312" w:hAnsi="仿宋" w:eastAsia="仿宋_GB2312"/>
          <w:sz w:val="32"/>
          <w:szCs w:val="32"/>
        </w:rPr>
        <w:t>2.实施积极财政政策。</w:t>
      </w:r>
      <w:r>
        <w:rPr>
          <w:rFonts w:hint="eastAsia" w:ascii="仿宋_GB2312" w:eastAsia="仿宋_GB2312" w:cs="仿宋_GB2312"/>
          <w:sz w:val="32"/>
          <w:szCs w:val="32"/>
        </w:rPr>
        <w:t>始终坚持稳中求进工作总基调，加强经济财政运行研判和宏观政策谋划，坚定逆周期调节，促进经济企稳回升。综合运用财税库联席会议、财税行业部门信息共享等平台，推动减税降费延长政策及应对疫情新出台政策落地落实，全市新增减税降费5.84亿元，增值税留抵退税2.24亿元。积极筹措资金消化暂付款，严控新增借款，建立对外借款收回保证和责任追究机制，将市县暂付款规模控制在合理范围内，基本消除财政暂付款风险隐患。市本级全年消化处置暂付款6.3亿元，累计消化18.28亿元。及时掌握政策动向，积极争取上级资金，全市争取到位各项上级资金306.76亿元，同比增长14.86%。</w:t>
      </w:r>
    </w:p>
    <w:p>
      <w:pPr>
        <w:pBdr>
          <w:bottom w:val="single" w:color="FFFFFF" w:sz="4" w:space="31"/>
        </w:pBdr>
        <w:adjustRightInd w:val="0"/>
        <w:snapToGrid w:val="0"/>
        <w:spacing w:line="576" w:lineRule="exact"/>
        <w:ind w:firstLine="640" w:firstLineChars="200"/>
        <w:rPr>
          <w:rFonts w:ascii="仿宋_GB2312" w:eastAsia="仿宋_GB2312" w:cs="仿宋_GB2312"/>
          <w:sz w:val="32"/>
          <w:szCs w:val="32"/>
        </w:rPr>
      </w:pPr>
      <w:r>
        <w:rPr>
          <w:rFonts w:hint="eastAsia" w:ascii="仿宋_GB2312" w:hAnsi="仿宋" w:eastAsia="仿宋_GB2312"/>
          <w:sz w:val="32"/>
          <w:szCs w:val="32"/>
        </w:rPr>
        <w:t>3.全力支持疫情防控。</w:t>
      </w:r>
      <w:r>
        <w:rPr>
          <w:rFonts w:hint="eastAsia" w:ascii="仿宋_GB2312" w:eastAsia="仿宋_GB2312" w:cs="仿宋_GB2312"/>
          <w:sz w:val="32"/>
          <w:szCs w:val="32"/>
        </w:rPr>
        <w:t>新冠疫情爆发后，局党组坚持把疫情防控作为最重要、最紧迫的工作来抓，为打赢疫情防控阻击战提供坚强财政保障。按照“急事急办、特事特办”原则，开通资金支付绿色通道，及时足额支付疫情防控资金，确保人民群众不因担心费用问题而不敢就诊，确保各地不因资金问题而影响医疗救治和疫情防控，全市落实疫情防控投入资金7.54亿元。积极推动复工复产，打好财税、金融、社会保障政策“组合拳”，及时出台广元市16条措施缓解中小企业生产经营困难，全年兑现电费、物流、担保费用专项补助2700万元，减免房租420万元。</w:t>
      </w:r>
    </w:p>
    <w:p>
      <w:pPr>
        <w:pBdr>
          <w:bottom w:val="single" w:color="FFFFFF" w:sz="4" w:space="31"/>
        </w:pBdr>
        <w:adjustRightInd w:val="0"/>
        <w:snapToGrid w:val="0"/>
        <w:spacing w:line="576" w:lineRule="exact"/>
        <w:ind w:firstLine="640" w:firstLineChars="200"/>
        <w:rPr>
          <w:rFonts w:ascii="仿宋_GB2312" w:eastAsia="仿宋_GB2312"/>
          <w:sz w:val="32"/>
          <w:szCs w:val="32"/>
        </w:rPr>
      </w:pPr>
      <w:r>
        <w:rPr>
          <w:rFonts w:hint="eastAsia" w:ascii="仿宋_GB2312" w:hAnsi="仿宋" w:eastAsia="仿宋_GB2312"/>
          <w:sz w:val="32"/>
          <w:szCs w:val="32"/>
        </w:rPr>
        <w:t>4.统筹协调保障重点。</w:t>
      </w:r>
      <w:r>
        <w:rPr>
          <w:rFonts w:hint="eastAsia" w:ascii="仿宋_GB2312" w:eastAsia="仿宋_GB2312"/>
          <w:sz w:val="32"/>
          <w:szCs w:val="32"/>
        </w:rPr>
        <w:t>聚焦聚力项目投资，合理优化申报方案，精心筛选申报项目，全市争取到位中省专项资金7.5亿元。PPP项目推进有力，全市57个项目纳入财政部PPP综合信息平台项目库，总投资额602.82亿元。扎实推进“政担银企户”工作，1276家新型农业经营主体累计获得担保贷款6.19亿元，通过财政贴息和补助担保费减轻融资主体负担0.36亿元。充分发挥农担公司职能，全力推进“政银担+”合作，累计担保项目1486个、担保金额4.86亿元，在保项目1457个、在保余额4.7亿元，年末平均资本金放大3.13倍，财政支农效果明显。投入1.45亿元支持工业经济“挑大梁”，重点推动以林丰铝电和中孚铝业为龙头的工业企业扩大升级。投入13亿元支持重大项目建设，广元港进港公路、张家坝作业区等项目快速推进。</w:t>
      </w:r>
    </w:p>
    <w:p>
      <w:pPr>
        <w:pBdr>
          <w:bottom w:val="single" w:color="FFFFFF" w:sz="4" w:space="31"/>
        </w:pBdr>
        <w:adjustRightInd w:val="0"/>
        <w:snapToGrid w:val="0"/>
        <w:spacing w:line="576" w:lineRule="exact"/>
        <w:ind w:firstLine="640" w:firstLineChars="200"/>
        <w:rPr>
          <w:rFonts w:ascii="仿宋_GB2312" w:eastAsia="仿宋_GB2312"/>
          <w:sz w:val="32"/>
          <w:szCs w:val="32"/>
        </w:rPr>
      </w:pPr>
      <w:r>
        <w:rPr>
          <w:rFonts w:hint="eastAsia" w:ascii="仿宋_GB2312" w:hAnsi="仿宋" w:eastAsia="仿宋_GB2312"/>
          <w:sz w:val="32"/>
          <w:szCs w:val="32"/>
        </w:rPr>
        <w:t>5.强化债务风险防控。</w:t>
      </w:r>
      <w:r>
        <w:rPr>
          <w:rFonts w:hint="eastAsia" w:ascii="仿宋_GB2312" w:eastAsia="仿宋_GB2312"/>
          <w:sz w:val="32"/>
          <w:szCs w:val="32"/>
        </w:rPr>
        <w:t>积极争取债券资金，全市到位债券资金89.31亿元，同比增长50%。其中再融资债券34.47亿元、新增一般债券6.89亿元、新增专项债券47.95亿元。争取到位抗疫特别国债8.14亿元，用于支持基础设施建设和抗疫相关支出。将全市政府债务收支分类纳入全口径预算管理，积极争取到期债务借新还旧和高息债务置换，政府债务还本付息50.95亿元。严格落实隐性债务化解方案，积极筹措资金化解政府隐性债务，全年没有发生债务违约风险。加强市属国企债务管控，坚决制止违法违规融资举债。</w:t>
      </w:r>
    </w:p>
    <w:p>
      <w:pPr>
        <w:pBdr>
          <w:bottom w:val="single" w:color="FFFFFF" w:sz="4" w:space="31"/>
        </w:pBdr>
        <w:adjustRightInd w:val="0"/>
        <w:snapToGrid w:val="0"/>
        <w:spacing w:line="576" w:lineRule="exact"/>
        <w:ind w:firstLine="640" w:firstLineChars="200"/>
        <w:rPr>
          <w:rFonts w:ascii="仿宋_GB2312" w:eastAsia="仿宋_GB2312"/>
          <w:sz w:val="32"/>
          <w:szCs w:val="32"/>
        </w:rPr>
      </w:pPr>
      <w:r>
        <w:rPr>
          <w:rFonts w:hint="eastAsia" w:ascii="仿宋_GB2312" w:hAnsi="仿宋" w:eastAsia="仿宋_GB2312"/>
          <w:sz w:val="32"/>
          <w:szCs w:val="32"/>
        </w:rPr>
        <w:t>6.管理改革更加规范。</w:t>
      </w:r>
      <w:r>
        <w:rPr>
          <w:rFonts w:hint="eastAsia" w:ascii="仿宋_GB2312" w:eastAsia="仿宋_GB2312"/>
          <w:sz w:val="32"/>
          <w:szCs w:val="32"/>
        </w:rPr>
        <w:t>全面实施绩效管理，稳步推进预算制度改革，预算和绩效目标同步编审、同步上会、同步批复、同步公开，绩效目标管理覆盖率达100%，及时公开绩效目标批复信息。严格按照《直达资金监控工作规程》要求，在不改变原有资金拨付流程的基础上，对直达资金预算分配下达、资金拨付、动态监控进行全流程监管。着力优化营商环境，集中开展违规收取保证金、未严格执行中小企业扶持政策和价格扣除等10个专项整治，依法对11家政府采购供应商作出行政处罚。创新开展政府采购贫困地区农副产品工作，用好用活扶贫832平台，完成采购金额4246万元，占目标任务的119%。</w:t>
      </w:r>
    </w:p>
    <w:p>
      <w:pPr>
        <w:pBdr>
          <w:bottom w:val="single" w:color="FFFFFF" w:sz="4" w:space="31"/>
        </w:pBdr>
        <w:adjustRightInd w:val="0"/>
        <w:snapToGrid w:val="0"/>
        <w:spacing w:line="576" w:lineRule="exact"/>
        <w:ind w:firstLine="640" w:firstLineChars="200"/>
        <w:rPr>
          <w:rStyle w:val="16"/>
          <w:rFonts w:ascii="黑体" w:hAnsi="黑体" w:eastAsia="黑体"/>
          <w:b w:val="0"/>
          <w:bCs w:val="0"/>
        </w:rPr>
      </w:pPr>
      <w:r>
        <w:rPr>
          <w:rFonts w:hint="eastAsia" w:ascii="黑体" w:eastAsia="黑体"/>
          <w:color w:val="000000"/>
          <w:sz w:val="32"/>
          <w:szCs w:val="32"/>
        </w:rPr>
        <w:t>二、</w:t>
      </w:r>
      <w:r>
        <w:rPr>
          <w:rFonts w:hint="eastAsia" w:ascii="黑体" w:hAnsi="黑体" w:eastAsia="黑体"/>
          <w:color w:val="000000"/>
          <w:sz w:val="32"/>
          <w:szCs w:val="32"/>
        </w:rPr>
        <w:t>机</w:t>
      </w:r>
      <w:r>
        <w:rPr>
          <w:rStyle w:val="16"/>
          <w:rFonts w:hint="eastAsia" w:ascii="黑体" w:hAnsi="黑体" w:eastAsia="黑体"/>
          <w:b w:val="0"/>
          <w:bCs w:val="0"/>
        </w:rPr>
        <w:t>构设置</w:t>
      </w:r>
      <w:bookmarkEnd w:id="17"/>
    </w:p>
    <w:p>
      <w:pPr>
        <w:pBdr>
          <w:bottom w:val="single" w:color="FFFFFF" w:sz="4" w:space="31"/>
        </w:pBdr>
        <w:adjustRightInd w:val="0"/>
        <w:snapToGrid w:val="0"/>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广元市财政局下属二级单位4个，其中其他事业单位4个。</w:t>
      </w:r>
    </w:p>
    <w:p>
      <w:pPr>
        <w:pBdr>
          <w:bottom w:val="single" w:color="FFFFFF" w:sz="4" w:space="31"/>
        </w:pBdr>
        <w:adjustRightInd w:val="0"/>
        <w:snapToGrid w:val="0"/>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纳入广元市财政局2020年度部门决算编制范围的二级预算单位包括：</w:t>
      </w:r>
      <w:bookmarkStart w:id="18" w:name="_Toc15378449"/>
      <w:bookmarkStart w:id="19" w:name="_Toc15377433"/>
      <w:bookmarkStart w:id="20" w:name="_Toc15377202"/>
      <w:bookmarkStart w:id="21" w:name="_Toc15306276"/>
      <w:bookmarkStart w:id="22" w:name="_Toc15378450"/>
      <w:bookmarkStart w:id="23" w:name="_Toc15377434"/>
      <w:bookmarkStart w:id="24" w:name="_Toc15306277"/>
      <w:bookmarkStart w:id="25" w:name="_Toc15377203"/>
    </w:p>
    <w:p>
      <w:pPr>
        <w:pBdr>
          <w:bottom w:val="single" w:color="FFFFFF" w:sz="4" w:space="31"/>
        </w:pBdr>
        <w:adjustRightInd w:val="0"/>
        <w:snapToGrid w:val="0"/>
        <w:spacing w:line="576"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1.广元市</w:t>
      </w:r>
      <w:bookmarkEnd w:id="18"/>
      <w:bookmarkEnd w:id="19"/>
      <w:bookmarkEnd w:id="20"/>
      <w:bookmarkEnd w:id="21"/>
      <w:r>
        <w:rPr>
          <w:rFonts w:hint="eastAsia" w:ascii="仿宋_GB2312" w:hAnsi="仿宋_GB2312" w:eastAsia="仿宋_GB2312" w:cs="仿宋_GB2312"/>
          <w:color w:val="000000"/>
          <w:sz w:val="32"/>
          <w:szCs w:val="32"/>
        </w:rPr>
        <w:t>财政评审中心</w:t>
      </w:r>
    </w:p>
    <w:p>
      <w:pPr>
        <w:pBdr>
          <w:bottom w:val="single" w:color="FFFFFF" w:sz="4" w:space="31"/>
        </w:pBdr>
        <w:adjustRightInd w:val="0"/>
        <w:snapToGrid w:val="0"/>
        <w:spacing w:line="576"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2.广元市财政绩效管理中心</w:t>
      </w:r>
      <w:bookmarkEnd w:id="22"/>
      <w:bookmarkEnd w:id="23"/>
      <w:bookmarkEnd w:id="24"/>
      <w:bookmarkEnd w:id="25"/>
      <w:bookmarkStart w:id="26" w:name="_Toc15377204"/>
      <w:bookmarkStart w:id="27" w:name="_Toc15377205"/>
    </w:p>
    <w:p>
      <w:pPr>
        <w:adjustRightInd w:val="0"/>
        <w:snapToGrid w:val="0"/>
        <w:spacing w:line="576" w:lineRule="exact"/>
        <w:jc w:val="center"/>
        <w:outlineLvl w:val="0"/>
        <w:rPr>
          <w:rFonts w:ascii="方正小标宋简体" w:hAnsi="方正小标宋简体" w:eastAsia="方正小标宋简体" w:cs="方正小标宋简体"/>
          <w:color w:val="000000"/>
          <w:sz w:val="44"/>
          <w:szCs w:val="44"/>
        </w:rPr>
      </w:pPr>
    </w:p>
    <w:p>
      <w:pPr>
        <w:adjustRightInd w:val="0"/>
        <w:snapToGrid w:val="0"/>
        <w:spacing w:line="576" w:lineRule="exact"/>
        <w:jc w:val="center"/>
        <w:outlineLvl w:val="0"/>
        <w:rPr>
          <w:rFonts w:ascii="方正小标宋简体" w:hAnsi="方正小标宋简体" w:eastAsia="方正小标宋简体" w:cs="方正小标宋简体"/>
          <w:color w:val="000000"/>
          <w:sz w:val="44"/>
          <w:szCs w:val="44"/>
        </w:rPr>
      </w:pPr>
    </w:p>
    <w:p>
      <w:pPr>
        <w:adjustRightInd w:val="0"/>
        <w:snapToGrid w:val="0"/>
        <w:spacing w:line="576" w:lineRule="exact"/>
        <w:jc w:val="center"/>
        <w:outlineLvl w:val="0"/>
        <w:rPr>
          <w:rFonts w:ascii="方正小标宋简体" w:hAnsi="方正小标宋简体" w:eastAsia="方正小标宋简体" w:cs="方正小标宋简体"/>
          <w:color w:val="000000"/>
          <w:sz w:val="44"/>
          <w:szCs w:val="44"/>
        </w:rPr>
      </w:pPr>
    </w:p>
    <w:p>
      <w:pPr>
        <w:adjustRightInd w:val="0"/>
        <w:snapToGrid w:val="0"/>
        <w:spacing w:line="576" w:lineRule="exact"/>
        <w:jc w:val="center"/>
        <w:outlineLvl w:val="0"/>
        <w:rPr>
          <w:rFonts w:ascii="方正小标宋简体" w:hAnsi="方正小标宋简体" w:eastAsia="方正小标宋简体" w:cs="方正小标宋简体"/>
          <w:color w:val="000000"/>
          <w:sz w:val="44"/>
          <w:szCs w:val="44"/>
        </w:rPr>
      </w:pPr>
      <w:bookmarkStart w:id="28" w:name="_Toc13707"/>
      <w:r>
        <w:rPr>
          <w:rFonts w:hint="eastAsia" w:ascii="方正小标宋简体" w:hAnsi="方正小标宋简体" w:eastAsia="方正小标宋简体" w:cs="方正小标宋简体"/>
          <w:color w:val="000000"/>
          <w:sz w:val="44"/>
          <w:szCs w:val="44"/>
        </w:rPr>
        <w:t>第二部分  2020年度部门决算情况说明</w:t>
      </w:r>
      <w:bookmarkEnd w:id="26"/>
      <w:bookmarkEnd w:id="28"/>
    </w:p>
    <w:p>
      <w:pPr>
        <w:pStyle w:val="21"/>
        <w:spacing w:line="576" w:lineRule="exact"/>
        <w:ind w:firstLine="0" w:firstLineChars="0"/>
        <w:outlineLvl w:val="1"/>
        <w:rPr>
          <w:rFonts w:ascii="黑体" w:hAnsi="黑体" w:eastAsia="黑体"/>
          <w:color w:val="000000"/>
          <w:sz w:val="32"/>
          <w:szCs w:val="32"/>
        </w:rPr>
      </w:pPr>
    </w:p>
    <w:p>
      <w:pPr>
        <w:pStyle w:val="21"/>
        <w:spacing w:line="576" w:lineRule="exact"/>
        <w:ind w:firstLine="640"/>
        <w:outlineLvl w:val="1"/>
        <w:rPr>
          <w:rStyle w:val="16"/>
          <w:rFonts w:ascii="黑体" w:hAnsi="黑体" w:eastAsia="黑体"/>
          <w:b w:val="0"/>
          <w:bCs w:val="0"/>
        </w:rPr>
      </w:pPr>
      <w:bookmarkStart w:id="29" w:name="_Toc2660"/>
      <w:r>
        <w:rPr>
          <w:rFonts w:hint="eastAsia" w:ascii="黑体" w:hAnsi="黑体" w:eastAsia="黑体"/>
          <w:color w:val="000000"/>
          <w:sz w:val="32"/>
          <w:szCs w:val="32"/>
        </w:rPr>
        <w:t>一、收</w:t>
      </w:r>
      <w:r>
        <w:rPr>
          <w:rStyle w:val="16"/>
          <w:rFonts w:hint="eastAsia" w:ascii="黑体" w:hAnsi="黑体" w:eastAsia="黑体"/>
          <w:b w:val="0"/>
          <w:bCs w:val="0"/>
        </w:rPr>
        <w:t>入支出决算总体情况说明</w:t>
      </w:r>
      <w:bookmarkEnd w:id="27"/>
      <w:bookmarkEnd w:id="29"/>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2020年度收、支总计3847.76万元。与2019年相比，收、支总计各减少249.17万元，下降6.08%。主要变动原因2020年年初结转减少，2020年严格控制经费，压减收支。</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（图1：收、支决算总计变动情况图）（柱状图）</w:t>
      </w:r>
    </w:p>
    <w:p>
      <w:pPr>
        <w:jc w:val="center"/>
        <w:rPr>
          <w:rFonts w:ascii="宋体" w:hAnsi="宋体" w:cs="宋体"/>
          <w:kern w:val="0"/>
          <w:sz w:val="24"/>
        </w:rPr>
      </w:pPr>
      <w:r>
        <w:rPr>
          <w:rFonts w:ascii="宋体" w:hAnsi="宋体" w:cs="宋体"/>
          <w:kern w:val="0"/>
          <w:sz w:val="24"/>
        </w:rPr>
        <w:drawing>
          <wp:inline distT="0" distB="0" distL="0" distR="0">
            <wp:extent cx="3655695" cy="1926590"/>
            <wp:effectExtent l="5080" t="4445" r="15875" b="12065"/>
            <wp:docPr id="2"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pStyle w:val="21"/>
        <w:spacing w:line="576" w:lineRule="exact"/>
        <w:ind w:firstLine="640"/>
        <w:outlineLvl w:val="1"/>
        <w:rPr>
          <w:rFonts w:ascii="黑体" w:hAnsi="黑体" w:eastAsia="黑体"/>
          <w:color w:val="000000"/>
          <w:sz w:val="32"/>
          <w:szCs w:val="32"/>
        </w:rPr>
      </w:pPr>
      <w:bookmarkStart w:id="30" w:name="_Toc15377206"/>
      <w:bookmarkStart w:id="31" w:name="_Toc9068"/>
      <w:r>
        <w:rPr>
          <w:rFonts w:hint="eastAsia" w:ascii="黑体" w:hAnsi="黑体" w:eastAsia="黑体"/>
          <w:color w:val="000000"/>
          <w:sz w:val="32"/>
          <w:szCs w:val="32"/>
        </w:rPr>
        <w:t>二、收入决算情况说明</w:t>
      </w:r>
      <w:bookmarkEnd w:id="30"/>
      <w:bookmarkEnd w:id="31"/>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2020年本年收入合计2446.77万元，其中：一般公共预算财政拨款收入2444.06万元，占99.89%；其他收入2.71万元，占0.11%。</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（图2：收入决算结构图）（饼状图）</w:t>
      </w:r>
    </w:p>
    <w:p>
      <w:pPr>
        <w:jc w:val="center"/>
      </w:pPr>
      <w:r>
        <w:drawing>
          <wp:inline distT="0" distB="0" distL="0" distR="0">
            <wp:extent cx="3448685" cy="1623695"/>
            <wp:effectExtent l="4445" t="4445" r="13970" b="10160"/>
            <wp:docPr id="4"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pStyle w:val="21"/>
        <w:spacing w:line="576" w:lineRule="exact"/>
        <w:ind w:firstLine="640"/>
        <w:outlineLvl w:val="1"/>
        <w:rPr>
          <w:rFonts w:ascii="黑体" w:hAnsi="黑体" w:eastAsia="黑体"/>
          <w:color w:val="000000"/>
          <w:sz w:val="32"/>
          <w:szCs w:val="32"/>
        </w:rPr>
      </w:pPr>
      <w:bookmarkStart w:id="32" w:name="_Toc15377207"/>
      <w:bookmarkStart w:id="33" w:name="_Toc26956"/>
      <w:r>
        <w:rPr>
          <w:rFonts w:hint="eastAsia" w:ascii="黑体" w:hAnsi="黑体" w:eastAsia="黑体"/>
          <w:color w:val="000000"/>
          <w:sz w:val="32"/>
          <w:szCs w:val="32"/>
        </w:rPr>
        <w:t>三、支出决算情况说明</w:t>
      </w:r>
      <w:bookmarkEnd w:id="32"/>
      <w:bookmarkEnd w:id="33"/>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2020年本年支出合计2542.77万元，其中：基本支出1637.46万元，占64.4%；项目支出905.31万元，占35.6%。</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（图3：支出决算结构图）（饼状图）</w:t>
      </w:r>
    </w:p>
    <w:p>
      <w:pPr>
        <w:ind w:firstLine="102" w:firstLineChars="49"/>
        <w:jc w:val="center"/>
      </w:pPr>
      <w:r>
        <w:drawing>
          <wp:inline distT="0" distB="0" distL="0" distR="0">
            <wp:extent cx="3491230" cy="1828800"/>
            <wp:effectExtent l="19050" t="0" r="13826" b="0"/>
            <wp:docPr id="5"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pStyle w:val="21"/>
        <w:spacing w:line="576" w:lineRule="exact"/>
        <w:ind w:firstLine="640"/>
        <w:outlineLvl w:val="1"/>
        <w:rPr>
          <w:rFonts w:ascii="黑体" w:hAnsi="黑体" w:eastAsia="黑体"/>
          <w:color w:val="000000"/>
          <w:sz w:val="32"/>
          <w:szCs w:val="32"/>
        </w:rPr>
      </w:pPr>
      <w:bookmarkStart w:id="34" w:name="_Toc7600"/>
      <w:r>
        <w:rPr>
          <w:rFonts w:hint="eastAsia" w:ascii="黑体" w:hAnsi="黑体" w:eastAsia="黑体"/>
          <w:color w:val="000000"/>
          <w:sz w:val="32"/>
          <w:szCs w:val="32"/>
        </w:rPr>
        <w:t>四、财政拨款收入支出决算总体情况说明</w:t>
      </w:r>
      <w:bookmarkEnd w:id="34"/>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2020年财政拨款收、支总计3737.78万元。与2019年相比，财政拨款收、支总计各减少272.61万元，下降6.8%。主要变动原因是2020年年初结转减少，2020年严格控制经费，压减收支。</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（图4：财政拨款收、支决算总计变动情况）（柱状图）</w:t>
      </w:r>
    </w:p>
    <w:p>
      <w:pPr>
        <w:ind w:firstLine="102" w:firstLineChars="49"/>
        <w:jc w:val="center"/>
      </w:pPr>
      <w:r>
        <w:drawing>
          <wp:inline distT="0" distB="0" distL="0" distR="0">
            <wp:extent cx="4149090" cy="2113280"/>
            <wp:effectExtent l="19050" t="0" r="22693" b="1078"/>
            <wp:docPr id="6"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pStyle w:val="21"/>
        <w:spacing w:line="576" w:lineRule="exact"/>
        <w:ind w:firstLine="640"/>
        <w:outlineLvl w:val="1"/>
        <w:rPr>
          <w:rFonts w:ascii="黑体" w:hAnsi="黑体" w:eastAsia="黑体"/>
          <w:color w:val="000000"/>
          <w:sz w:val="32"/>
          <w:szCs w:val="32"/>
        </w:rPr>
      </w:pPr>
      <w:bookmarkStart w:id="35" w:name="_Toc936"/>
      <w:r>
        <w:rPr>
          <w:rFonts w:hint="eastAsia" w:ascii="黑体" w:hAnsi="黑体" w:eastAsia="黑体"/>
          <w:color w:val="000000"/>
          <w:sz w:val="32"/>
          <w:szCs w:val="32"/>
        </w:rPr>
        <w:t>五、一般公共预算财政拨款支出决算情况说明</w:t>
      </w:r>
      <w:bookmarkEnd w:id="35"/>
    </w:p>
    <w:p>
      <w:pPr>
        <w:spacing w:line="576" w:lineRule="exact"/>
        <w:ind w:firstLine="640" w:firstLineChars="200"/>
        <w:outlineLvl w:val="2"/>
        <w:rPr>
          <w:rFonts w:ascii="楷体_GB2312" w:hAnsi="楷体_GB2312" w:eastAsia="楷体_GB2312" w:cs="楷体_GB2312"/>
          <w:bCs/>
          <w:color w:val="000000"/>
          <w:sz w:val="32"/>
          <w:szCs w:val="32"/>
        </w:rPr>
      </w:pPr>
      <w:bookmarkStart w:id="36" w:name="_Toc15377210"/>
      <w:r>
        <w:rPr>
          <w:rFonts w:hint="eastAsia" w:ascii="楷体_GB2312" w:hAnsi="楷体_GB2312" w:eastAsia="楷体_GB2312" w:cs="楷体_GB2312"/>
          <w:bCs/>
          <w:color w:val="000000"/>
          <w:sz w:val="32"/>
          <w:szCs w:val="32"/>
        </w:rPr>
        <w:t>（一）一般公共预算财政拨款支出决算总体情况</w:t>
      </w:r>
      <w:bookmarkEnd w:id="36"/>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2020年一般公共预算财政拨款支出2524.1万元，占本年支出合计的99.27%。与2019年相比，一般公共预算财政拨款减少55万元，下降2.13%。主要变动原因是2020年压减基本支出。</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（图5：一般公共预算财政拨款支出决算变动情况）（柱状图）</w:t>
      </w:r>
    </w:p>
    <w:p>
      <w:pPr>
        <w:ind w:firstLine="102" w:firstLineChars="49"/>
        <w:jc w:val="center"/>
      </w:pPr>
      <w:r>
        <w:drawing>
          <wp:inline distT="0" distB="0" distL="0" distR="0">
            <wp:extent cx="4491990" cy="2242820"/>
            <wp:effectExtent l="19050" t="0" r="22285" b="5032"/>
            <wp:docPr id="7"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spacing w:line="576" w:lineRule="exact"/>
        <w:ind w:firstLine="640" w:firstLineChars="200"/>
        <w:outlineLvl w:val="2"/>
        <w:rPr>
          <w:rFonts w:ascii="楷体_GB2312" w:hAnsi="楷体_GB2312" w:eastAsia="楷体_GB2312" w:cs="楷体_GB2312"/>
          <w:bCs/>
          <w:color w:val="000000"/>
          <w:sz w:val="32"/>
          <w:szCs w:val="32"/>
        </w:rPr>
      </w:pPr>
      <w:bookmarkStart w:id="37" w:name="_Toc15377211"/>
      <w:r>
        <w:rPr>
          <w:rFonts w:hint="eastAsia" w:ascii="楷体_GB2312" w:hAnsi="楷体_GB2312" w:eastAsia="楷体_GB2312" w:cs="楷体_GB2312"/>
          <w:bCs/>
          <w:color w:val="000000"/>
          <w:sz w:val="32"/>
          <w:szCs w:val="32"/>
        </w:rPr>
        <w:t>（二）一般公共预算财政拨款支出决算结构情况</w:t>
      </w:r>
      <w:bookmarkEnd w:id="37"/>
    </w:p>
    <w:p>
      <w:pPr>
        <w:spacing w:line="576" w:lineRule="exact"/>
        <w:ind w:firstLine="64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color w:val="000000"/>
          <w:sz w:val="32"/>
          <w:szCs w:val="32"/>
        </w:rPr>
        <w:t>2020年一般公共预算财政拨款支出2524.1万元，主要用于以下方面:</w:t>
      </w:r>
      <w:r>
        <w:rPr>
          <w:rFonts w:hint="eastAsia" w:ascii="仿宋_GB2312" w:hAnsi="仿宋_GB2312" w:eastAsia="仿宋_GB2312" w:cs="仿宋_GB2312"/>
          <w:b/>
          <w:color w:val="000000"/>
          <w:sz w:val="32"/>
          <w:szCs w:val="32"/>
        </w:rPr>
        <w:t>一般公共服务（类）</w:t>
      </w:r>
      <w:r>
        <w:rPr>
          <w:rFonts w:hint="eastAsia" w:ascii="仿宋_GB2312" w:hAnsi="仿宋_GB2312" w:eastAsia="仿宋_GB2312" w:cs="仿宋_GB2312"/>
          <w:color w:val="000000"/>
          <w:sz w:val="32"/>
          <w:szCs w:val="32"/>
        </w:rPr>
        <w:t>支出2265.91万元，占89.77%；</w:t>
      </w:r>
      <w:r>
        <w:rPr>
          <w:rFonts w:hint="eastAsia" w:ascii="仿宋_GB2312" w:hAnsi="仿宋_GB2312" w:eastAsia="仿宋_GB2312" w:cs="仿宋_GB2312"/>
          <w:b/>
          <w:color w:val="000000"/>
          <w:sz w:val="32"/>
          <w:szCs w:val="32"/>
        </w:rPr>
        <w:t>社会保障和就业（类）</w:t>
      </w:r>
      <w:r>
        <w:rPr>
          <w:rFonts w:hint="eastAsia" w:ascii="仿宋_GB2312" w:hAnsi="仿宋_GB2312" w:eastAsia="仿宋_GB2312" w:cs="仿宋_GB2312"/>
          <w:color w:val="000000"/>
          <w:sz w:val="32"/>
          <w:szCs w:val="32"/>
        </w:rPr>
        <w:t>支出125.65万元，占4.98%；</w:t>
      </w:r>
      <w:r>
        <w:rPr>
          <w:rFonts w:hint="eastAsia" w:ascii="仿宋_GB2312" w:hAnsi="仿宋_GB2312" w:eastAsia="仿宋_GB2312" w:cs="仿宋_GB2312"/>
          <w:b/>
          <w:bCs/>
          <w:color w:val="000000"/>
          <w:sz w:val="32"/>
          <w:szCs w:val="32"/>
        </w:rPr>
        <w:t>卫生健康（类）</w:t>
      </w:r>
      <w:r>
        <w:rPr>
          <w:rFonts w:hint="eastAsia" w:ascii="仿宋_GB2312" w:hAnsi="仿宋_GB2312" w:eastAsia="仿宋_GB2312" w:cs="仿宋_GB2312"/>
          <w:bCs/>
          <w:color w:val="000000"/>
          <w:sz w:val="32"/>
          <w:szCs w:val="32"/>
        </w:rPr>
        <w:t>支出</w:t>
      </w:r>
      <w:r>
        <w:rPr>
          <w:rFonts w:hint="eastAsia" w:ascii="仿宋_GB2312" w:hAnsi="仿宋_GB2312" w:eastAsia="仿宋_GB2312" w:cs="仿宋_GB2312"/>
          <w:color w:val="000000"/>
          <w:sz w:val="32"/>
          <w:szCs w:val="32"/>
        </w:rPr>
        <w:t>50.59万元，占2%；</w:t>
      </w:r>
      <w:r>
        <w:rPr>
          <w:rFonts w:hint="eastAsia" w:ascii="仿宋_GB2312" w:hAnsi="仿宋_GB2312" w:eastAsia="仿宋_GB2312" w:cs="仿宋_GB2312"/>
          <w:b/>
          <w:color w:val="000000"/>
          <w:sz w:val="32"/>
          <w:szCs w:val="32"/>
        </w:rPr>
        <w:t>住房保障（类）</w:t>
      </w:r>
      <w:r>
        <w:rPr>
          <w:rFonts w:hint="eastAsia" w:ascii="仿宋_GB2312" w:hAnsi="仿宋_GB2312" w:eastAsia="仿宋_GB2312" w:cs="仿宋_GB2312"/>
          <w:color w:val="000000"/>
          <w:sz w:val="32"/>
          <w:szCs w:val="32"/>
        </w:rPr>
        <w:t>支出81.96万元，占3.25%。</w:t>
      </w:r>
    </w:p>
    <w:p>
      <w:pPr>
        <w:spacing w:line="576" w:lineRule="exact"/>
        <w:ind w:firstLine="640" w:firstLineChars="200"/>
        <w:jc w:val="cente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（图6：一般公共预算财政拨款支出决算结构）（饼状图）</w:t>
      </w:r>
    </w:p>
    <w:p>
      <w:pPr>
        <w:ind w:firstLine="102" w:firstLineChars="49"/>
        <w:jc w:val="center"/>
      </w:pPr>
      <w:r>
        <w:drawing>
          <wp:inline distT="0" distB="0" distL="0" distR="0">
            <wp:extent cx="3974465" cy="2018030"/>
            <wp:effectExtent l="19050" t="0" r="25520" b="719"/>
            <wp:docPr id="8"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pPr>
        <w:spacing w:line="576" w:lineRule="exact"/>
        <w:ind w:firstLine="640" w:firstLineChars="200"/>
        <w:outlineLvl w:val="2"/>
        <w:rPr>
          <w:rFonts w:ascii="楷体_GB2312" w:hAnsi="楷体_GB2312" w:eastAsia="楷体_GB2312" w:cs="楷体_GB2312"/>
          <w:bCs/>
          <w:color w:val="000000"/>
          <w:sz w:val="32"/>
          <w:szCs w:val="32"/>
        </w:rPr>
      </w:pPr>
      <w:bookmarkStart w:id="38" w:name="_Toc15377212"/>
      <w:r>
        <w:rPr>
          <w:rFonts w:hint="eastAsia" w:ascii="楷体_GB2312" w:hAnsi="楷体_GB2312" w:eastAsia="楷体_GB2312" w:cs="楷体_GB2312"/>
          <w:bCs/>
          <w:color w:val="000000"/>
          <w:sz w:val="32"/>
          <w:szCs w:val="32"/>
        </w:rPr>
        <w:t>（三）一般公共预算财政拨款支出决算具体情况</w:t>
      </w:r>
      <w:bookmarkEnd w:id="38"/>
    </w:p>
    <w:p>
      <w:pPr>
        <w:spacing w:line="576" w:lineRule="exact"/>
        <w:ind w:firstLine="640" w:firstLineChars="200"/>
        <w:rPr>
          <w:rFonts w:ascii="仿宋_GB2312" w:hAnsi="仿宋_GB2312" w:eastAsia="仿宋_GB2312" w:cs="仿宋_GB2312"/>
          <w:color w:val="000000"/>
          <w:sz w:val="32"/>
          <w:szCs w:val="32"/>
        </w:rPr>
      </w:pPr>
      <w:bookmarkStart w:id="39" w:name="_Toc15378460"/>
      <w:bookmarkStart w:id="40" w:name="_Toc15377444"/>
      <w:bookmarkStart w:id="41" w:name="_Toc15377213"/>
      <w:r>
        <w:rPr>
          <w:rFonts w:hint="eastAsia" w:ascii="仿宋_GB2312" w:hAnsi="仿宋_GB2312" w:eastAsia="仿宋_GB2312" w:cs="仿宋_GB2312"/>
          <w:color w:val="000000"/>
          <w:sz w:val="32"/>
          <w:szCs w:val="32"/>
        </w:rPr>
        <w:t>2020年一般公共预算支出决算数为2524.1万元，完成预算67.53%。其中：</w:t>
      </w:r>
      <w:bookmarkEnd w:id="39"/>
      <w:bookmarkEnd w:id="40"/>
      <w:bookmarkEnd w:id="41"/>
    </w:p>
    <w:p>
      <w:pPr>
        <w:spacing w:line="576" w:lineRule="exact"/>
        <w:ind w:firstLine="642" w:firstLineChars="200"/>
        <w:rPr>
          <w:rFonts w:ascii="仿宋_GB2312" w:hAnsi="仿宋_GB2312" w:eastAsia="仿宋_GB2312" w:cs="仿宋_GB2312"/>
          <w:b/>
          <w:color w:val="000000"/>
          <w:sz w:val="32"/>
          <w:szCs w:val="32"/>
        </w:rPr>
      </w:pPr>
      <w:r>
        <w:rPr>
          <w:rStyle w:val="13"/>
          <w:rFonts w:hint="eastAsia" w:ascii="仿宋_GB2312" w:hAnsi="仿宋_GB2312" w:eastAsia="仿宋_GB2312" w:cs="仿宋_GB2312"/>
          <w:bCs/>
          <w:color w:val="000000"/>
          <w:sz w:val="32"/>
          <w:szCs w:val="32"/>
        </w:rPr>
        <w:t>1.一般公共服务（类）财政事务（款）行政运行（项）:</w:t>
      </w:r>
      <w:r>
        <w:rPr>
          <w:rStyle w:val="13"/>
          <w:rFonts w:hint="eastAsia" w:ascii="仿宋_GB2312" w:hAnsi="仿宋_GB2312" w:eastAsia="仿宋_GB2312" w:cs="仿宋_GB2312"/>
          <w:b w:val="0"/>
          <w:bCs/>
          <w:color w:val="000000"/>
          <w:sz w:val="32"/>
          <w:szCs w:val="32"/>
        </w:rPr>
        <w:t>支出决算为1228.95万元，完成预算88.23%，决算数小于预算数的主要原因一是2020年末下达资金未实现支出，结转到2021年使用；二是2020年压减基本支出。</w:t>
      </w:r>
    </w:p>
    <w:p>
      <w:pPr>
        <w:spacing w:line="576" w:lineRule="exact"/>
        <w:ind w:firstLine="642" w:firstLineChars="200"/>
        <w:rPr>
          <w:rStyle w:val="13"/>
          <w:rFonts w:ascii="仿宋_GB2312" w:hAnsi="仿宋_GB2312" w:eastAsia="仿宋_GB2312" w:cs="仿宋_GB2312"/>
          <w:b w:val="0"/>
          <w:bCs/>
          <w:color w:val="000000"/>
          <w:sz w:val="32"/>
          <w:szCs w:val="32"/>
        </w:rPr>
      </w:pPr>
      <w:r>
        <w:rPr>
          <w:rStyle w:val="13"/>
          <w:rFonts w:hint="eastAsia" w:ascii="仿宋_GB2312" w:hAnsi="仿宋_GB2312" w:eastAsia="仿宋_GB2312" w:cs="仿宋_GB2312"/>
          <w:bCs/>
          <w:color w:val="000000"/>
          <w:sz w:val="32"/>
          <w:szCs w:val="32"/>
        </w:rPr>
        <w:t>2.一般公共服务（类）财政事务（款）一般行政管理事务（项）:</w:t>
      </w:r>
      <w:r>
        <w:rPr>
          <w:rStyle w:val="13"/>
          <w:rFonts w:hint="eastAsia" w:ascii="仿宋_GB2312" w:hAnsi="仿宋_GB2312" w:eastAsia="仿宋_GB2312" w:cs="仿宋_GB2312"/>
          <w:b w:val="0"/>
          <w:bCs/>
          <w:color w:val="000000"/>
          <w:sz w:val="32"/>
          <w:szCs w:val="32"/>
        </w:rPr>
        <w:t>支出决算为557.83万元，完成预算50.85%，决算数小于预算数的主要原因是部分项目支出2020年尚未完成，2021年还将继续实施。</w:t>
      </w:r>
    </w:p>
    <w:p>
      <w:pPr>
        <w:spacing w:line="576" w:lineRule="exact"/>
        <w:ind w:firstLine="642" w:firstLineChars="200"/>
        <w:rPr>
          <w:rStyle w:val="13"/>
          <w:rFonts w:ascii="仿宋_GB2312" w:hAnsi="仿宋_GB2312" w:eastAsia="仿宋_GB2312" w:cs="仿宋_GB2312"/>
          <w:b w:val="0"/>
          <w:bCs/>
          <w:color w:val="000000"/>
          <w:sz w:val="32"/>
          <w:szCs w:val="32"/>
        </w:rPr>
      </w:pPr>
      <w:r>
        <w:rPr>
          <w:rStyle w:val="13"/>
          <w:rFonts w:hint="eastAsia" w:ascii="仿宋_GB2312" w:hAnsi="仿宋_GB2312" w:eastAsia="仿宋_GB2312" w:cs="仿宋_GB2312"/>
          <w:bCs/>
          <w:color w:val="000000"/>
          <w:sz w:val="32"/>
          <w:szCs w:val="32"/>
        </w:rPr>
        <w:t>3.一般公共服务（类）财政事务（款）信息化建设（项）:</w:t>
      </w:r>
      <w:r>
        <w:rPr>
          <w:rStyle w:val="13"/>
          <w:rFonts w:hint="eastAsia" w:ascii="仿宋_GB2312" w:hAnsi="仿宋_GB2312" w:eastAsia="仿宋_GB2312" w:cs="仿宋_GB2312"/>
          <w:b w:val="0"/>
          <w:bCs/>
          <w:color w:val="000000"/>
          <w:sz w:val="32"/>
          <w:szCs w:val="32"/>
        </w:rPr>
        <w:t>支出决算为35.33万元，完成预算92.34%，决算数小于预算数的主要原因是项目支出2020年未完成，2021年还将继续实施。</w:t>
      </w:r>
    </w:p>
    <w:p>
      <w:pPr>
        <w:spacing w:line="576" w:lineRule="exact"/>
        <w:ind w:firstLine="642" w:firstLineChars="200"/>
        <w:rPr>
          <w:rStyle w:val="13"/>
          <w:rFonts w:ascii="仿宋_GB2312" w:hAnsi="仿宋_GB2312" w:eastAsia="仿宋_GB2312" w:cs="仿宋_GB2312"/>
          <w:b w:val="0"/>
          <w:bCs/>
          <w:color w:val="000000"/>
          <w:sz w:val="32"/>
          <w:szCs w:val="32"/>
        </w:rPr>
      </w:pPr>
      <w:r>
        <w:rPr>
          <w:rStyle w:val="13"/>
          <w:rFonts w:hint="eastAsia" w:ascii="仿宋_GB2312" w:hAnsi="仿宋_GB2312" w:eastAsia="仿宋_GB2312" w:cs="仿宋_GB2312"/>
          <w:bCs/>
          <w:color w:val="000000"/>
          <w:sz w:val="32"/>
          <w:szCs w:val="32"/>
        </w:rPr>
        <w:t xml:space="preserve">4.一般公共服务（类）财政事务（款）财政委托业务支出（项）: </w:t>
      </w:r>
      <w:r>
        <w:rPr>
          <w:rStyle w:val="13"/>
          <w:rFonts w:hint="eastAsia" w:ascii="仿宋_GB2312" w:hAnsi="仿宋_GB2312" w:eastAsia="仿宋_GB2312" w:cs="仿宋_GB2312"/>
          <w:b w:val="0"/>
          <w:bCs/>
          <w:color w:val="000000"/>
          <w:sz w:val="32"/>
          <w:szCs w:val="32"/>
        </w:rPr>
        <w:t>支出决算为53.04万元，完成预算62.22%，决算数小于预算数的主要原因是项目支出2020年未完成，2021年还将继续实施。</w:t>
      </w:r>
    </w:p>
    <w:p>
      <w:pPr>
        <w:spacing w:line="576" w:lineRule="exact"/>
        <w:ind w:firstLine="642" w:firstLineChars="200"/>
        <w:rPr>
          <w:rStyle w:val="13"/>
          <w:rFonts w:ascii="仿宋_GB2312" w:hAnsi="仿宋_GB2312" w:eastAsia="仿宋_GB2312" w:cs="仿宋_GB2312"/>
          <w:b w:val="0"/>
          <w:bCs/>
          <w:color w:val="000000"/>
          <w:sz w:val="32"/>
          <w:szCs w:val="32"/>
        </w:rPr>
      </w:pPr>
      <w:r>
        <w:rPr>
          <w:rStyle w:val="13"/>
          <w:rFonts w:hint="eastAsia" w:ascii="仿宋_GB2312" w:hAnsi="仿宋_GB2312" w:eastAsia="仿宋_GB2312" w:cs="仿宋_GB2312"/>
          <w:bCs/>
          <w:color w:val="000000"/>
          <w:sz w:val="32"/>
          <w:szCs w:val="32"/>
        </w:rPr>
        <w:t>5.一般公共服务（类）财政事务（款）事业运行（项）:</w:t>
      </w:r>
      <w:r>
        <w:rPr>
          <w:rStyle w:val="13"/>
          <w:rFonts w:hint="eastAsia" w:ascii="仿宋_GB2312" w:hAnsi="仿宋_GB2312" w:eastAsia="仿宋_GB2312" w:cs="仿宋_GB2312"/>
          <w:b w:val="0"/>
          <w:bCs/>
          <w:color w:val="000000"/>
          <w:sz w:val="32"/>
          <w:szCs w:val="32"/>
        </w:rPr>
        <w:t>支出决算为150.15万元，完成预算96.48%，决算数小于预算数的主要原因是市财政绩效管理中心人员变化引起的基本支出减少。</w:t>
      </w:r>
    </w:p>
    <w:p>
      <w:pPr>
        <w:spacing w:line="576" w:lineRule="exact"/>
        <w:ind w:firstLine="642" w:firstLineChars="200"/>
        <w:rPr>
          <w:rStyle w:val="13"/>
          <w:rFonts w:ascii="仿宋_GB2312" w:hAnsi="仿宋_GB2312" w:eastAsia="仿宋_GB2312" w:cs="仿宋_GB2312"/>
          <w:bCs/>
          <w:color w:val="000000"/>
          <w:sz w:val="32"/>
          <w:szCs w:val="32"/>
        </w:rPr>
      </w:pPr>
      <w:r>
        <w:rPr>
          <w:rStyle w:val="13"/>
          <w:rFonts w:hint="eastAsia" w:ascii="仿宋_GB2312" w:hAnsi="仿宋_GB2312" w:eastAsia="仿宋_GB2312" w:cs="仿宋_GB2312"/>
          <w:bCs/>
          <w:color w:val="000000"/>
          <w:sz w:val="32"/>
          <w:szCs w:val="32"/>
        </w:rPr>
        <w:t xml:space="preserve">6.一般公共服务（类）财政事务（款）其他财政事务支出（项）: </w:t>
      </w:r>
      <w:r>
        <w:rPr>
          <w:rStyle w:val="13"/>
          <w:rFonts w:hint="eastAsia" w:ascii="仿宋_GB2312" w:hAnsi="仿宋_GB2312" w:eastAsia="仿宋_GB2312" w:cs="仿宋_GB2312"/>
          <w:b w:val="0"/>
          <w:bCs/>
          <w:color w:val="000000"/>
          <w:sz w:val="32"/>
          <w:szCs w:val="32"/>
        </w:rPr>
        <w:t>支出决算为240.61万元，完成预算35%，决算数小于预算数的主要原因是项目支出2020年未完成，2020年还将继续实施。</w:t>
      </w:r>
    </w:p>
    <w:p>
      <w:pPr>
        <w:spacing w:line="576" w:lineRule="exact"/>
        <w:ind w:firstLine="642" w:firstLineChars="200"/>
        <w:rPr>
          <w:rStyle w:val="13"/>
          <w:rFonts w:ascii="仿宋_GB2312" w:hAnsi="仿宋_GB2312" w:eastAsia="仿宋_GB2312" w:cs="仿宋_GB2312"/>
          <w:b w:val="0"/>
          <w:bCs/>
          <w:color w:val="000000"/>
          <w:sz w:val="32"/>
          <w:szCs w:val="32"/>
        </w:rPr>
      </w:pPr>
      <w:r>
        <w:rPr>
          <w:rStyle w:val="13"/>
          <w:rFonts w:hint="eastAsia" w:ascii="仿宋_GB2312" w:hAnsi="仿宋_GB2312" w:eastAsia="仿宋_GB2312" w:cs="仿宋_GB2312"/>
          <w:bCs/>
          <w:color w:val="000000"/>
          <w:sz w:val="32"/>
          <w:szCs w:val="32"/>
        </w:rPr>
        <w:t>7.社会保障和就业（类）行政事业单位养老支出（款）行政单位离退休（项）:</w:t>
      </w:r>
      <w:r>
        <w:rPr>
          <w:rStyle w:val="13"/>
          <w:rFonts w:hint="eastAsia" w:ascii="仿宋_GB2312" w:hAnsi="仿宋_GB2312" w:eastAsia="仿宋_GB2312" w:cs="仿宋_GB2312"/>
          <w:b w:val="0"/>
          <w:bCs/>
          <w:color w:val="000000"/>
          <w:sz w:val="32"/>
          <w:szCs w:val="32"/>
        </w:rPr>
        <w:t>支出决算为0万元，完成预算0%，未支付原因是当年未使用，结转2021年支付。</w:t>
      </w:r>
    </w:p>
    <w:p>
      <w:pPr>
        <w:spacing w:line="576" w:lineRule="exact"/>
        <w:ind w:firstLine="642" w:firstLineChars="200"/>
        <w:rPr>
          <w:rStyle w:val="13"/>
          <w:rFonts w:ascii="仿宋_GB2312" w:hAnsi="仿宋_GB2312" w:eastAsia="仿宋_GB2312" w:cs="仿宋_GB2312"/>
          <w:b w:val="0"/>
          <w:bCs/>
          <w:color w:val="000000"/>
          <w:sz w:val="32"/>
          <w:szCs w:val="32"/>
        </w:rPr>
      </w:pPr>
      <w:r>
        <w:rPr>
          <w:rStyle w:val="13"/>
          <w:rFonts w:hint="eastAsia" w:ascii="仿宋_GB2312" w:hAnsi="仿宋_GB2312" w:eastAsia="仿宋_GB2312" w:cs="仿宋_GB2312"/>
          <w:bCs/>
          <w:color w:val="000000"/>
          <w:sz w:val="32"/>
          <w:szCs w:val="32"/>
        </w:rPr>
        <w:t>8.社会保障和就业（类）行政事业单位养老支出（款）机关事业单位基本养老保险缴费支出（项）:</w:t>
      </w:r>
      <w:r>
        <w:rPr>
          <w:rStyle w:val="13"/>
          <w:rFonts w:hint="eastAsia" w:ascii="仿宋_GB2312" w:hAnsi="仿宋_GB2312" w:eastAsia="仿宋_GB2312" w:cs="仿宋_GB2312"/>
          <w:b w:val="0"/>
          <w:bCs/>
          <w:color w:val="000000"/>
          <w:sz w:val="32"/>
          <w:szCs w:val="32"/>
        </w:rPr>
        <w:t>支出决算为108.19万元，完成预算96.49%，决算数小于预算数的主要原因是人员变动。</w:t>
      </w:r>
    </w:p>
    <w:p>
      <w:pPr>
        <w:spacing w:line="576" w:lineRule="exact"/>
        <w:ind w:firstLine="642" w:firstLineChars="200"/>
        <w:rPr>
          <w:rStyle w:val="13"/>
          <w:rFonts w:ascii="仿宋_GB2312" w:hAnsi="仿宋_GB2312" w:eastAsia="仿宋_GB2312" w:cs="仿宋_GB2312"/>
          <w:b w:val="0"/>
          <w:bCs/>
          <w:color w:val="000000"/>
          <w:sz w:val="32"/>
          <w:szCs w:val="32"/>
        </w:rPr>
      </w:pPr>
      <w:r>
        <w:rPr>
          <w:rStyle w:val="13"/>
          <w:rFonts w:hint="eastAsia" w:ascii="仿宋_GB2312" w:hAnsi="仿宋_GB2312" w:eastAsia="仿宋_GB2312" w:cs="仿宋_GB2312"/>
          <w:bCs/>
          <w:color w:val="000000"/>
          <w:sz w:val="32"/>
          <w:szCs w:val="32"/>
        </w:rPr>
        <w:t xml:space="preserve">9.社会保障和就业（类）行政事业单位养老支出（款）机关事业单位职业年金缴费支出（项）: </w:t>
      </w:r>
      <w:r>
        <w:rPr>
          <w:rStyle w:val="13"/>
          <w:rFonts w:hint="eastAsia" w:ascii="仿宋_GB2312" w:hAnsi="仿宋_GB2312" w:eastAsia="仿宋_GB2312" w:cs="仿宋_GB2312"/>
          <w:b w:val="0"/>
          <w:bCs/>
          <w:color w:val="000000"/>
          <w:sz w:val="32"/>
          <w:szCs w:val="32"/>
        </w:rPr>
        <w:t>支出决算为16.85万元，完成预算100%，决算数等于预算数。</w:t>
      </w:r>
    </w:p>
    <w:p>
      <w:pPr>
        <w:spacing w:line="576" w:lineRule="exact"/>
        <w:ind w:firstLine="642" w:firstLineChars="200"/>
        <w:rPr>
          <w:rStyle w:val="13"/>
          <w:rFonts w:ascii="仿宋_GB2312" w:hAnsi="仿宋_GB2312" w:eastAsia="仿宋_GB2312" w:cs="仿宋_GB2312"/>
          <w:b w:val="0"/>
          <w:bCs/>
          <w:color w:val="000000"/>
          <w:sz w:val="32"/>
          <w:szCs w:val="32"/>
        </w:rPr>
      </w:pPr>
      <w:r>
        <w:rPr>
          <w:rStyle w:val="13"/>
          <w:rFonts w:hint="eastAsia" w:ascii="仿宋_GB2312" w:hAnsi="仿宋_GB2312" w:eastAsia="仿宋_GB2312" w:cs="仿宋_GB2312"/>
          <w:bCs/>
          <w:color w:val="000000"/>
          <w:sz w:val="32"/>
          <w:szCs w:val="32"/>
        </w:rPr>
        <w:t xml:space="preserve">10.社会保障和就业（类）其他社会保障和就业支出（款）其他社会保障和就业支出（项）: </w:t>
      </w:r>
      <w:r>
        <w:rPr>
          <w:rStyle w:val="13"/>
          <w:rFonts w:hint="eastAsia" w:ascii="仿宋_GB2312" w:hAnsi="仿宋_GB2312" w:eastAsia="仿宋_GB2312" w:cs="仿宋_GB2312"/>
          <w:b w:val="0"/>
          <w:bCs/>
          <w:color w:val="000000"/>
          <w:sz w:val="32"/>
          <w:szCs w:val="32"/>
        </w:rPr>
        <w:t>支出决算为0万元，完成预算0%，未支付原因是退休“中人”一次性补贴未及时支付，在2021年已完成支付。</w:t>
      </w:r>
    </w:p>
    <w:p>
      <w:pPr>
        <w:spacing w:line="576" w:lineRule="exact"/>
        <w:ind w:firstLine="642" w:firstLineChars="200"/>
        <w:rPr>
          <w:rStyle w:val="13"/>
          <w:rFonts w:ascii="仿宋_GB2312" w:hAnsi="仿宋_GB2312" w:eastAsia="仿宋_GB2312" w:cs="仿宋_GB2312"/>
          <w:b w:val="0"/>
          <w:bCs/>
          <w:color w:val="000000"/>
          <w:sz w:val="32"/>
          <w:szCs w:val="32"/>
        </w:rPr>
      </w:pPr>
      <w:r>
        <w:rPr>
          <w:rStyle w:val="13"/>
          <w:rFonts w:hint="eastAsia" w:ascii="仿宋_GB2312" w:hAnsi="仿宋_GB2312" w:eastAsia="仿宋_GB2312" w:cs="仿宋_GB2312"/>
          <w:bCs/>
          <w:color w:val="000000"/>
          <w:sz w:val="32"/>
          <w:szCs w:val="32"/>
        </w:rPr>
        <w:t>11.社会保障和就业（类）人力资源和社会保障管理事务（款）其他人力资源和社会保障管理事务支出（项）:</w:t>
      </w:r>
      <w:r>
        <w:rPr>
          <w:rStyle w:val="13"/>
          <w:rFonts w:hint="eastAsia" w:ascii="仿宋_GB2312" w:hAnsi="仿宋_GB2312" w:eastAsia="仿宋_GB2312" w:cs="仿宋_GB2312"/>
          <w:b w:val="0"/>
          <w:bCs/>
          <w:color w:val="000000"/>
          <w:sz w:val="32"/>
          <w:szCs w:val="32"/>
        </w:rPr>
        <w:t>支出决算为0.6万元，完成预算100%。</w:t>
      </w:r>
    </w:p>
    <w:p>
      <w:pPr>
        <w:spacing w:line="576" w:lineRule="exact"/>
        <w:ind w:firstLine="642" w:firstLineChars="200"/>
        <w:rPr>
          <w:rStyle w:val="13"/>
          <w:rFonts w:ascii="仿宋_GB2312" w:hAnsi="仿宋_GB2312" w:eastAsia="仿宋_GB2312" w:cs="仿宋_GB2312"/>
          <w:b w:val="0"/>
          <w:bCs/>
          <w:color w:val="000000"/>
          <w:sz w:val="32"/>
          <w:szCs w:val="32"/>
        </w:rPr>
      </w:pPr>
      <w:r>
        <w:rPr>
          <w:rStyle w:val="13"/>
          <w:rFonts w:hint="eastAsia" w:ascii="仿宋_GB2312" w:hAnsi="仿宋_GB2312" w:eastAsia="仿宋_GB2312" w:cs="仿宋_GB2312"/>
          <w:bCs/>
          <w:color w:val="000000"/>
          <w:sz w:val="32"/>
          <w:szCs w:val="32"/>
        </w:rPr>
        <w:t>12.卫生健康（类）行政事业单位医疗（款）行政单位医疗（项）:</w:t>
      </w:r>
      <w:r>
        <w:rPr>
          <w:rStyle w:val="13"/>
          <w:rFonts w:hint="eastAsia" w:ascii="仿宋_GB2312" w:hAnsi="仿宋_GB2312" w:eastAsia="仿宋_GB2312" w:cs="仿宋_GB2312"/>
          <w:b w:val="0"/>
          <w:bCs/>
          <w:color w:val="000000"/>
          <w:sz w:val="32"/>
          <w:szCs w:val="32"/>
        </w:rPr>
        <w:t>支出决算为43.99万元，完成预算100%，决算数等于预算数。</w:t>
      </w:r>
    </w:p>
    <w:p>
      <w:pPr>
        <w:spacing w:line="576" w:lineRule="exact"/>
        <w:ind w:firstLine="642" w:firstLineChars="200"/>
        <w:rPr>
          <w:rStyle w:val="13"/>
          <w:rFonts w:ascii="仿宋_GB2312" w:hAnsi="仿宋_GB2312" w:eastAsia="仿宋_GB2312" w:cs="仿宋_GB2312"/>
          <w:b w:val="0"/>
          <w:bCs/>
          <w:color w:val="000000"/>
          <w:sz w:val="32"/>
          <w:szCs w:val="32"/>
        </w:rPr>
      </w:pPr>
      <w:r>
        <w:rPr>
          <w:rStyle w:val="13"/>
          <w:rFonts w:hint="eastAsia" w:ascii="仿宋_GB2312" w:hAnsi="仿宋_GB2312" w:eastAsia="仿宋_GB2312" w:cs="仿宋_GB2312"/>
          <w:bCs/>
          <w:color w:val="000000"/>
          <w:sz w:val="32"/>
          <w:szCs w:val="32"/>
        </w:rPr>
        <w:t>13.卫生健康（类）行政事业单位医疗（款）事业单位医疗（项）:</w:t>
      </w:r>
      <w:r>
        <w:rPr>
          <w:rStyle w:val="13"/>
          <w:rFonts w:hint="eastAsia" w:ascii="仿宋_GB2312" w:hAnsi="仿宋_GB2312" w:eastAsia="仿宋_GB2312" w:cs="仿宋_GB2312"/>
          <w:b w:val="0"/>
          <w:bCs/>
          <w:color w:val="000000"/>
          <w:sz w:val="32"/>
          <w:szCs w:val="32"/>
        </w:rPr>
        <w:t>支出决算为6.6万元，完成预算84.18%，决算数小于预算数的主要原因是人员变动。</w:t>
      </w:r>
    </w:p>
    <w:p>
      <w:pPr>
        <w:spacing w:line="576" w:lineRule="exact"/>
        <w:ind w:firstLine="642" w:firstLineChars="200"/>
        <w:rPr>
          <w:rStyle w:val="13"/>
          <w:rFonts w:ascii="仿宋_GB2312" w:hAnsi="仿宋_GB2312" w:eastAsia="仿宋_GB2312" w:cs="仿宋_GB2312"/>
          <w:bCs/>
          <w:color w:val="000000"/>
          <w:sz w:val="32"/>
          <w:szCs w:val="32"/>
        </w:rPr>
      </w:pPr>
      <w:r>
        <w:rPr>
          <w:rStyle w:val="13"/>
          <w:rFonts w:hint="eastAsia" w:ascii="仿宋_GB2312" w:hAnsi="仿宋_GB2312" w:eastAsia="仿宋_GB2312" w:cs="仿宋_GB2312"/>
          <w:bCs/>
          <w:color w:val="000000"/>
          <w:sz w:val="32"/>
          <w:szCs w:val="32"/>
        </w:rPr>
        <w:t>14.住房保障（类）住房改革（款）住房公积金（项）:</w:t>
      </w:r>
      <w:r>
        <w:rPr>
          <w:rStyle w:val="13"/>
          <w:rFonts w:hint="eastAsia" w:ascii="仿宋_GB2312" w:hAnsi="仿宋_GB2312" w:eastAsia="仿宋_GB2312" w:cs="仿宋_GB2312"/>
          <w:b w:val="0"/>
          <w:bCs/>
          <w:color w:val="000000"/>
          <w:sz w:val="32"/>
          <w:szCs w:val="32"/>
        </w:rPr>
        <w:t>支出决算为81.96万元，完成预算75.78%，决算数小于预算数的主要原因一是人员变动，二是目标奖部分应缴公积金结转到2021年补缴。</w:t>
      </w:r>
    </w:p>
    <w:p>
      <w:pPr>
        <w:pStyle w:val="21"/>
        <w:spacing w:line="576" w:lineRule="exact"/>
        <w:ind w:firstLine="640"/>
        <w:outlineLvl w:val="1"/>
        <w:rPr>
          <w:rFonts w:ascii="黑体" w:hAnsi="黑体" w:eastAsia="黑体"/>
          <w:color w:val="000000"/>
          <w:sz w:val="32"/>
          <w:szCs w:val="32"/>
        </w:rPr>
      </w:pPr>
      <w:bookmarkStart w:id="42" w:name="_Toc18624"/>
      <w:bookmarkStart w:id="43" w:name="_Toc15377214"/>
      <w:r>
        <w:rPr>
          <w:rFonts w:hint="eastAsia" w:ascii="黑体" w:hAnsi="黑体" w:eastAsia="黑体"/>
          <w:color w:val="000000"/>
          <w:sz w:val="32"/>
          <w:szCs w:val="32"/>
        </w:rPr>
        <w:t>六、一般公共预算财政拨款基本支出决算情况说明</w:t>
      </w:r>
      <w:bookmarkEnd w:id="42"/>
      <w:bookmarkEnd w:id="43"/>
      <w:r>
        <w:rPr>
          <w:rFonts w:hint="eastAsia" w:ascii="黑体" w:hAnsi="黑体" w:eastAsia="黑体"/>
          <w:color w:val="000000"/>
          <w:sz w:val="32"/>
          <w:szCs w:val="32"/>
        </w:rPr>
        <w:tab/>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2020年一般公共预算财政拨款基本支出1637.29万元，其中：</w:t>
      </w:r>
    </w:p>
    <w:p>
      <w:pPr>
        <w:spacing w:line="576" w:lineRule="exact"/>
        <w:ind w:firstLine="640" w:firstLineChars="200"/>
        <w:jc w:val="lef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人员经费1334.71万元，主要包括：基本工资、津贴补贴、奖金、伙食补助费、绩效工资、机关事业单位基本养老保险缴费、职工基本医疗保险缴费、职业年金缴费、其他社会保障缴费、其他工资福利支出、奖励金、住房公积金、其他对个人和家庭的补助支出等。</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　　日常公用经费302.58万元，主要包括：办公费、印刷费、咨询费、水费、电费、邮电费、物业管理费、差旅费、维修（护）费、会议费、培训费、公务接待费、劳务费、工会经费、福利费、公务用车运行维护费、其他交通费、其他商品和服务支出。</w:t>
      </w:r>
    </w:p>
    <w:p>
      <w:pPr>
        <w:pStyle w:val="21"/>
        <w:spacing w:line="576" w:lineRule="exact"/>
        <w:ind w:firstLine="640"/>
        <w:outlineLvl w:val="1"/>
        <w:rPr>
          <w:rFonts w:ascii="黑体" w:hAnsi="黑体" w:eastAsia="黑体"/>
          <w:color w:val="000000"/>
          <w:sz w:val="32"/>
          <w:szCs w:val="32"/>
        </w:rPr>
      </w:pPr>
      <w:bookmarkStart w:id="44" w:name="_Toc21289"/>
      <w:bookmarkStart w:id="45" w:name="_Toc15377215"/>
      <w:r>
        <w:rPr>
          <w:rFonts w:hint="eastAsia" w:ascii="黑体" w:hAnsi="黑体" w:eastAsia="黑体"/>
          <w:color w:val="000000"/>
          <w:sz w:val="32"/>
          <w:szCs w:val="32"/>
        </w:rPr>
        <w:t>七、“三公”经费财政拨款支出决算情况说明</w:t>
      </w:r>
      <w:bookmarkEnd w:id="44"/>
      <w:bookmarkEnd w:id="45"/>
    </w:p>
    <w:p>
      <w:pPr>
        <w:spacing w:line="576" w:lineRule="exact"/>
        <w:ind w:firstLine="640" w:firstLineChars="200"/>
        <w:outlineLvl w:val="2"/>
        <w:rPr>
          <w:rFonts w:ascii="楷体_GB2312" w:hAnsi="楷体_GB2312" w:eastAsia="楷体_GB2312" w:cs="楷体_GB2312"/>
          <w:bCs/>
          <w:color w:val="000000"/>
          <w:sz w:val="32"/>
          <w:szCs w:val="32"/>
        </w:rPr>
      </w:pPr>
      <w:bookmarkStart w:id="46" w:name="_Toc15377216"/>
      <w:r>
        <w:rPr>
          <w:rFonts w:hint="eastAsia" w:ascii="楷体_GB2312" w:hAnsi="楷体_GB2312" w:eastAsia="楷体_GB2312" w:cs="楷体_GB2312"/>
          <w:bCs/>
          <w:color w:val="000000"/>
          <w:sz w:val="32"/>
          <w:szCs w:val="32"/>
        </w:rPr>
        <w:t>（一）“三公”经费财政拨款支出决算总体情况说明</w:t>
      </w:r>
      <w:bookmarkEnd w:id="46"/>
    </w:p>
    <w:p>
      <w:pPr>
        <w:spacing w:line="576" w:lineRule="exact"/>
        <w:ind w:firstLine="640" w:firstLineChars="200"/>
        <w:rPr>
          <w:rStyle w:val="13"/>
          <w:rFonts w:ascii="仿宋_GB2312" w:hAnsi="仿宋_GB2312" w:eastAsia="仿宋_GB2312" w:cs="仿宋_GB2312"/>
          <w:b w:val="0"/>
          <w:bCs/>
          <w:color w:val="000000"/>
          <w:sz w:val="32"/>
          <w:szCs w:val="32"/>
        </w:rPr>
      </w:pPr>
      <w:r>
        <w:rPr>
          <w:rFonts w:hint="eastAsia" w:ascii="仿宋_GB2312" w:hAnsi="仿宋_GB2312" w:eastAsia="仿宋_GB2312" w:cs="仿宋_GB2312"/>
          <w:color w:val="000000"/>
          <w:sz w:val="32"/>
          <w:szCs w:val="32"/>
        </w:rPr>
        <w:t>2020年“三公”经费财政拨款支出决算为28.79万元，完成预算92.75%，</w:t>
      </w:r>
      <w:r>
        <w:rPr>
          <w:rStyle w:val="13"/>
          <w:rFonts w:hint="eastAsia" w:ascii="仿宋_GB2312" w:hAnsi="仿宋_GB2312" w:eastAsia="仿宋_GB2312" w:cs="仿宋_GB2312"/>
          <w:b w:val="0"/>
          <w:bCs/>
          <w:color w:val="000000"/>
          <w:sz w:val="32"/>
          <w:szCs w:val="32"/>
        </w:rPr>
        <w:t>决算数小于预算数的主要原因是严格执行相关规定，控制标准，限制陪同人数，压缩接待费支出。</w:t>
      </w:r>
    </w:p>
    <w:p>
      <w:pPr>
        <w:spacing w:line="576" w:lineRule="exact"/>
        <w:ind w:firstLine="640" w:firstLineChars="200"/>
        <w:outlineLvl w:val="2"/>
        <w:rPr>
          <w:rFonts w:ascii="楷体_GB2312" w:hAnsi="楷体_GB2312" w:eastAsia="楷体_GB2312" w:cs="楷体_GB2312"/>
          <w:bCs/>
          <w:color w:val="000000"/>
          <w:sz w:val="32"/>
          <w:szCs w:val="32"/>
        </w:rPr>
      </w:pPr>
      <w:bookmarkStart w:id="47" w:name="_Toc15377217"/>
      <w:r>
        <w:rPr>
          <w:rFonts w:hint="eastAsia" w:ascii="楷体_GB2312" w:hAnsi="楷体_GB2312" w:eastAsia="楷体_GB2312" w:cs="楷体_GB2312"/>
          <w:bCs/>
          <w:color w:val="000000"/>
          <w:sz w:val="32"/>
          <w:szCs w:val="32"/>
        </w:rPr>
        <w:t>（二）“三公”经费财政拨款支出决算具体情况说明</w:t>
      </w:r>
      <w:bookmarkEnd w:id="47"/>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2020年“三公”经费财政拨款支出决算中，因公出国（境）费支出决算0万元，占0%；公务用车购置及运行维护费支出决算26.82万元，占93.16%；公务接待费支出决算1.97万元，占6.84%。具体情况如下：</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（图7：“三公”经费财政拨款支出结构）（饼状图）</w:t>
      </w:r>
    </w:p>
    <w:p>
      <w:pPr>
        <w:ind w:firstLine="312" w:firstLineChars="149"/>
        <w:jc w:val="center"/>
      </w:pPr>
      <w:r>
        <w:drawing>
          <wp:inline distT="0" distB="0" distL="0" distR="0">
            <wp:extent cx="3829050" cy="2085975"/>
            <wp:effectExtent l="19050" t="0" r="19050" b="0"/>
            <wp:docPr id="9"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numPr>
          <w:ilvl w:val="0"/>
          <w:numId w:val="2"/>
        </w:numPr>
        <w:spacing w:line="576" w:lineRule="exact"/>
        <w:ind w:firstLine="642"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因公出国（境）经费支出</w:t>
      </w:r>
      <w:r>
        <w:rPr>
          <w:rFonts w:hint="eastAsia" w:ascii="仿宋_GB2312" w:hAnsi="仿宋_GB2312" w:eastAsia="仿宋_GB2312" w:cs="仿宋_GB2312"/>
          <w:color w:val="000000"/>
          <w:sz w:val="32"/>
          <w:szCs w:val="32"/>
        </w:rPr>
        <w:t>0万元</w:t>
      </w:r>
      <w:r>
        <w:rPr>
          <w:rFonts w:hint="eastAsia" w:ascii="仿宋_GB2312" w:hAnsi="仿宋_GB2312" w:eastAsia="仿宋_GB2312" w:cs="仿宋_GB2312"/>
          <w:color w:val="000000"/>
          <w:sz w:val="32"/>
          <w:szCs w:val="32"/>
          <w:lang w:eastAsia="zh-CN"/>
        </w:rPr>
        <w:t>，</w:t>
      </w:r>
      <w:r>
        <w:rPr>
          <w:rFonts w:hint="eastAsia" w:eastAsia="仿宋_GB2312" w:cs="Times New Roman"/>
          <w:color w:val="auto"/>
          <w:sz w:val="32"/>
          <w:szCs w:val="32"/>
          <w:lang w:eastAsia="zh-CN"/>
        </w:rPr>
        <w:t>年初未安排预算，</w:t>
      </w:r>
      <w:r>
        <w:rPr>
          <w:rFonts w:hint="eastAsia" w:ascii="仿宋_GB2312" w:hAnsi="仿宋_GB2312" w:eastAsia="仿宋_GB2312" w:cs="仿宋_GB2312"/>
          <w:color w:val="000000"/>
          <w:sz w:val="32"/>
          <w:szCs w:val="32"/>
        </w:rPr>
        <w:t>比2019年减少4.53万元，下降100%。</w:t>
      </w:r>
    </w:p>
    <w:p>
      <w:pPr>
        <w:numPr>
          <w:numId w:val="0"/>
        </w:numPr>
        <w:spacing w:line="576" w:lineRule="exact"/>
        <w:ind w:firstLine="642"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2.公务用车购置及运行维护费支出</w:t>
      </w:r>
      <w:r>
        <w:rPr>
          <w:rFonts w:hint="eastAsia" w:ascii="仿宋_GB2312" w:hAnsi="仿宋_GB2312" w:eastAsia="仿宋_GB2312" w:cs="仿宋_GB2312"/>
          <w:color w:val="000000"/>
          <w:sz w:val="32"/>
          <w:szCs w:val="32"/>
        </w:rPr>
        <w:t>26.82万元,</w:t>
      </w:r>
      <w:r>
        <w:rPr>
          <w:rStyle w:val="13"/>
          <w:rFonts w:hint="eastAsia" w:ascii="仿宋_GB2312" w:hAnsi="仿宋_GB2312" w:eastAsia="仿宋_GB2312" w:cs="仿宋_GB2312"/>
          <w:b w:val="0"/>
          <w:bCs/>
          <w:color w:val="000000"/>
          <w:sz w:val="32"/>
          <w:szCs w:val="32"/>
        </w:rPr>
        <w:t>完成预算99.44%。</w:t>
      </w:r>
      <w:r>
        <w:rPr>
          <w:rFonts w:hint="eastAsia" w:ascii="仿宋_GB2312" w:hAnsi="仿宋_GB2312" w:eastAsia="仿宋_GB2312" w:cs="仿宋_GB2312"/>
          <w:color w:val="000000"/>
          <w:sz w:val="32"/>
          <w:szCs w:val="32"/>
        </w:rPr>
        <w:t>公务用车购置及运行维护费支出决算比2019年增加7.5万元，增长38.82%。主要原因是公务车辆购置年限久、老化严重，同时因开展脱贫攻坚等工作车辆使用频率高，维修费和保养费增加。</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其中：</w:t>
      </w:r>
      <w:r>
        <w:rPr>
          <w:rFonts w:hint="eastAsia" w:ascii="仿宋_GB2312" w:hAnsi="仿宋_GB2312" w:eastAsia="仿宋_GB2312" w:cs="仿宋_GB2312"/>
          <w:b/>
          <w:color w:val="000000"/>
          <w:sz w:val="32"/>
          <w:szCs w:val="32"/>
        </w:rPr>
        <w:t>公务用车购置支出</w:t>
      </w:r>
      <w:r>
        <w:rPr>
          <w:rFonts w:hint="eastAsia" w:ascii="仿宋_GB2312" w:hAnsi="仿宋_GB2312" w:eastAsia="仿宋_GB2312" w:cs="仿宋_GB2312"/>
          <w:color w:val="000000"/>
          <w:sz w:val="32"/>
          <w:szCs w:val="32"/>
        </w:rPr>
        <w:t>0万元。截至2020年12月底，单位共有公务用车3辆，其中：轿车0辆、越野车3辆、载客汽车0辆。</w:t>
      </w:r>
    </w:p>
    <w:p>
      <w:pPr>
        <w:spacing w:line="576"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公务用车运行维护费支出</w:t>
      </w:r>
      <w:r>
        <w:rPr>
          <w:rFonts w:hint="eastAsia" w:ascii="仿宋_GB2312" w:hAnsi="仿宋_GB2312" w:eastAsia="仿宋_GB2312" w:cs="仿宋_GB2312"/>
          <w:color w:val="000000"/>
          <w:sz w:val="32"/>
          <w:szCs w:val="32"/>
        </w:rPr>
        <w:t>26.82万元。主要用于开展财政业务工作、脱贫攻坚、下乡帮扶等所需的公务用车燃料费、维修费、过路过桥费、保险费等支出。</w:t>
      </w:r>
    </w:p>
    <w:p>
      <w:pPr>
        <w:spacing w:line="576" w:lineRule="exact"/>
        <w:ind w:firstLine="642"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3.公务接待费支出</w:t>
      </w:r>
      <w:r>
        <w:rPr>
          <w:rFonts w:hint="eastAsia" w:ascii="仿宋_GB2312" w:hAnsi="仿宋_GB2312" w:eastAsia="仿宋_GB2312" w:cs="仿宋_GB2312"/>
          <w:color w:val="000000"/>
          <w:sz w:val="32"/>
          <w:szCs w:val="32"/>
        </w:rPr>
        <w:t>1.97万元，</w:t>
      </w:r>
      <w:r>
        <w:rPr>
          <w:rStyle w:val="13"/>
          <w:rFonts w:hint="eastAsia" w:ascii="仿宋_GB2312" w:hAnsi="仿宋_GB2312" w:eastAsia="仿宋_GB2312" w:cs="仿宋_GB2312"/>
          <w:b w:val="0"/>
          <w:bCs/>
          <w:color w:val="000000"/>
          <w:sz w:val="32"/>
          <w:szCs w:val="32"/>
        </w:rPr>
        <w:t>完成预算48.4%。</w:t>
      </w:r>
      <w:r>
        <w:rPr>
          <w:rFonts w:hint="eastAsia" w:ascii="仿宋_GB2312" w:hAnsi="仿宋_GB2312" w:eastAsia="仿宋_GB2312" w:cs="仿宋_GB2312"/>
          <w:color w:val="000000"/>
          <w:sz w:val="32"/>
          <w:szCs w:val="32"/>
        </w:rPr>
        <w:t>公务接待费支出决算比2019年减少0.51万元，下降20.56%。主要原因是在接待过程中严格执行中央八项规定、省委省政府十项规定、市委“六个带头”及其实施细则精神，控制接待标准，限制陪同人数，接待费开支有所下降。其中：</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国内公务接待支出1.97万元，主要用于执行公务、开展业务活动开支的用餐费等。国内公务接待27批次，208人次（不包括陪同人员），共计支出1.97万元，具体内容包括：省财政厅及上级部门各类检查调研、县区财政局来我局交流</w:t>
      </w:r>
      <w:r>
        <w:rPr>
          <w:rFonts w:hint="eastAsia" w:ascii="仿宋_GB2312" w:hAnsi="仿宋_GB2312" w:eastAsia="仿宋_GB2312" w:cs="仿宋_GB2312"/>
          <w:sz w:val="32"/>
          <w:szCs w:val="32"/>
        </w:rPr>
        <w:t>汇报等</w:t>
      </w:r>
      <w:r>
        <w:rPr>
          <w:rFonts w:hint="eastAsia" w:ascii="仿宋_GB2312" w:hAnsi="仿宋_GB2312" w:eastAsia="仿宋_GB2312" w:cs="仿宋_GB2312"/>
          <w:color w:val="000000"/>
          <w:sz w:val="32"/>
          <w:szCs w:val="32"/>
        </w:rPr>
        <w:t>。</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外事接待支出0万元，外事接待0批次，0人。</w:t>
      </w:r>
    </w:p>
    <w:p>
      <w:pPr>
        <w:pStyle w:val="21"/>
        <w:spacing w:line="576" w:lineRule="exact"/>
        <w:ind w:firstLine="640"/>
        <w:outlineLvl w:val="1"/>
        <w:rPr>
          <w:rFonts w:ascii="黑体" w:hAnsi="黑体" w:eastAsia="黑体"/>
          <w:color w:val="000000"/>
          <w:sz w:val="32"/>
          <w:szCs w:val="32"/>
        </w:rPr>
      </w:pPr>
      <w:bookmarkStart w:id="48" w:name="_Toc10958"/>
      <w:r>
        <w:rPr>
          <w:rFonts w:hint="eastAsia" w:ascii="黑体" w:hAnsi="黑体" w:eastAsia="黑体"/>
          <w:color w:val="000000"/>
          <w:sz w:val="32"/>
          <w:szCs w:val="32"/>
        </w:rPr>
        <w:t>八、政府性基金预算支出决算情况说明</w:t>
      </w:r>
      <w:bookmarkEnd w:id="48"/>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2020年政府性基金预算拨款支出0万元。2020年本单位未在政府性基金预算拨款安排“三公经费”支出。</w:t>
      </w:r>
    </w:p>
    <w:p>
      <w:pPr>
        <w:pStyle w:val="21"/>
        <w:spacing w:line="576" w:lineRule="exact"/>
        <w:ind w:firstLine="640"/>
        <w:outlineLvl w:val="1"/>
        <w:rPr>
          <w:rFonts w:ascii="黑体" w:hAnsi="黑体" w:eastAsia="黑体"/>
          <w:color w:val="000000"/>
          <w:sz w:val="32"/>
          <w:szCs w:val="32"/>
        </w:rPr>
      </w:pPr>
      <w:bookmarkStart w:id="49" w:name="_Toc29553"/>
      <w:bookmarkStart w:id="50" w:name="_Toc15377219"/>
      <w:r>
        <w:rPr>
          <w:rFonts w:hint="eastAsia" w:ascii="黑体" w:hAnsi="黑体" w:eastAsia="黑体"/>
          <w:color w:val="000000"/>
          <w:sz w:val="32"/>
          <w:szCs w:val="32"/>
        </w:rPr>
        <w:t>九、国有资本经营预算支出决算情况说明</w:t>
      </w:r>
      <w:bookmarkEnd w:id="49"/>
      <w:bookmarkEnd w:id="50"/>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2020年国有资本经营预算拨款支出0万元。</w:t>
      </w:r>
    </w:p>
    <w:p>
      <w:pPr>
        <w:spacing w:line="576" w:lineRule="exact"/>
        <w:ind w:firstLine="640" w:firstLineChars="200"/>
        <w:outlineLvl w:val="1"/>
        <w:rPr>
          <w:rFonts w:ascii="黑体" w:hAnsi="黑体" w:eastAsia="黑体"/>
          <w:color w:val="000000"/>
          <w:sz w:val="32"/>
          <w:szCs w:val="32"/>
        </w:rPr>
      </w:pPr>
      <w:bookmarkStart w:id="51" w:name="_Toc20035"/>
      <w:bookmarkStart w:id="52" w:name="_Toc15377221"/>
      <w:r>
        <w:rPr>
          <w:rFonts w:hint="eastAsia" w:ascii="黑体" w:hAnsi="黑体" w:eastAsia="黑体"/>
          <w:color w:val="000000"/>
          <w:sz w:val="32"/>
          <w:szCs w:val="32"/>
        </w:rPr>
        <w:t>十、其他重要事项的情况说明</w:t>
      </w:r>
      <w:bookmarkEnd w:id="51"/>
      <w:bookmarkEnd w:id="52"/>
    </w:p>
    <w:p>
      <w:pPr>
        <w:spacing w:line="576" w:lineRule="exact"/>
        <w:ind w:firstLine="640" w:firstLineChars="200"/>
        <w:outlineLvl w:val="2"/>
        <w:rPr>
          <w:rFonts w:ascii="楷体_GB2312" w:hAnsi="楷体_GB2312" w:eastAsia="楷体_GB2312" w:cs="楷体_GB2312"/>
          <w:bCs/>
          <w:color w:val="000000"/>
          <w:sz w:val="32"/>
          <w:szCs w:val="32"/>
        </w:rPr>
      </w:pPr>
      <w:bookmarkStart w:id="53" w:name="_Toc15377222"/>
      <w:r>
        <w:rPr>
          <w:rFonts w:hint="eastAsia" w:ascii="楷体_GB2312" w:hAnsi="楷体_GB2312" w:eastAsia="楷体_GB2312" w:cs="楷体_GB2312"/>
          <w:bCs/>
          <w:color w:val="000000"/>
          <w:sz w:val="32"/>
          <w:szCs w:val="32"/>
        </w:rPr>
        <w:t>（一）机关运行经费支出情况</w:t>
      </w:r>
      <w:bookmarkEnd w:id="53"/>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2020年，广元市财政局机关运行经费支出277.02万元，比2019年增加52.3万元，增长23.27%。主要原因是主要原因是开展脱贫攻坚工作而产生的办公费用、租车费、公务车辆运行维护费等方面增加。</w:t>
      </w:r>
    </w:p>
    <w:p>
      <w:pPr>
        <w:spacing w:line="576" w:lineRule="exact"/>
        <w:ind w:firstLine="640" w:firstLineChars="200"/>
        <w:outlineLvl w:val="2"/>
        <w:rPr>
          <w:rFonts w:ascii="楷体_GB2312" w:hAnsi="楷体_GB2312" w:eastAsia="楷体_GB2312" w:cs="楷体_GB2312"/>
          <w:bCs/>
          <w:color w:val="000000"/>
          <w:sz w:val="32"/>
          <w:szCs w:val="32"/>
        </w:rPr>
      </w:pPr>
      <w:bookmarkStart w:id="54" w:name="_Toc15377223"/>
      <w:r>
        <w:rPr>
          <w:rFonts w:hint="eastAsia" w:ascii="楷体_GB2312" w:hAnsi="楷体_GB2312" w:eastAsia="楷体_GB2312" w:cs="楷体_GB2312"/>
          <w:bCs/>
          <w:color w:val="000000"/>
          <w:sz w:val="32"/>
          <w:szCs w:val="32"/>
        </w:rPr>
        <w:t>（二）政府采购支出情况</w:t>
      </w:r>
      <w:bookmarkEnd w:id="54"/>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2020年，广元市财政局政府采购支出总额167.57万元，其中：政府采购货物支出99.2万元、政府采购服务支出68.37万元。主要用于CA身份认证国密算法升级项目、办公设备购置、会议系统项目及物业管理服务等。授予中小企业合同金额167.57万元，占政府采购支出总额的100%，其中：授予小微企业合同金额167.57万元，占政府采购支出总额的100%。</w:t>
      </w:r>
    </w:p>
    <w:p>
      <w:pPr>
        <w:spacing w:line="576" w:lineRule="exact"/>
        <w:ind w:firstLine="640" w:firstLineChars="200"/>
        <w:outlineLvl w:val="2"/>
        <w:rPr>
          <w:rFonts w:ascii="楷体_GB2312" w:hAnsi="楷体_GB2312" w:eastAsia="楷体_GB2312" w:cs="楷体_GB2312"/>
          <w:bCs/>
          <w:color w:val="000000"/>
          <w:sz w:val="32"/>
          <w:szCs w:val="32"/>
        </w:rPr>
      </w:pPr>
      <w:bookmarkStart w:id="55" w:name="_Toc15377224"/>
      <w:r>
        <w:rPr>
          <w:rFonts w:hint="eastAsia" w:ascii="楷体_GB2312" w:hAnsi="楷体_GB2312" w:eastAsia="楷体_GB2312" w:cs="楷体_GB2312"/>
          <w:bCs/>
          <w:color w:val="000000"/>
          <w:sz w:val="32"/>
          <w:szCs w:val="32"/>
        </w:rPr>
        <w:t>（三）国有资产占有使用情况</w:t>
      </w:r>
      <w:bookmarkEnd w:id="55"/>
    </w:p>
    <w:p>
      <w:pPr>
        <w:spacing w:line="576" w:lineRule="exact"/>
        <w:ind w:firstLine="640" w:firstLineChars="200"/>
        <w:rPr>
          <w:rFonts w:ascii="仿宋_GB2312" w:eastAsia="仿宋_GB2312"/>
          <w:color w:val="000000"/>
          <w:sz w:val="32"/>
          <w:szCs w:val="32"/>
        </w:rPr>
      </w:pPr>
      <w:r>
        <w:rPr>
          <w:rFonts w:hint="eastAsia" w:ascii="仿宋_GB2312" w:hAnsi="仿宋_GB2312" w:eastAsia="仿宋_GB2312" w:cs="仿宋_GB2312"/>
          <w:color w:val="000000"/>
          <w:sz w:val="32"/>
          <w:szCs w:val="32"/>
        </w:rPr>
        <w:t>截至2020年12月31日，广元市财政局共有车辆3辆，其中：主要领导干部用车0辆、机要通信用车0辆、应急保障用车</w:t>
      </w:r>
      <w:r>
        <w:rPr>
          <w:rFonts w:hint="eastAsia" w:ascii="仿宋_GB2312" w:eastAsia="仿宋_GB2312"/>
          <w:color w:val="000000"/>
          <w:sz w:val="32"/>
          <w:szCs w:val="32"/>
        </w:rPr>
        <w:t>0辆、其他用车3辆，其他用车均为一般公务用车。</w:t>
      </w:r>
      <w:r>
        <w:rPr>
          <w:rFonts w:hint="eastAsia" w:ascii="仿宋_GB2312" w:eastAsia="仿宋_GB2312"/>
          <w:color w:val="000000" w:themeColor="text1"/>
          <w:sz w:val="32"/>
          <w:szCs w:val="32"/>
        </w:rPr>
        <w:t>单价</w:t>
      </w:r>
      <w:r>
        <w:rPr>
          <w:rFonts w:ascii="仿宋_GB2312" w:eastAsia="仿宋_GB2312"/>
          <w:color w:val="000000" w:themeColor="text1"/>
          <w:sz w:val="32"/>
          <w:szCs w:val="32"/>
        </w:rPr>
        <w:t>50</w:t>
      </w:r>
      <w:r>
        <w:rPr>
          <w:rFonts w:hint="eastAsia" w:ascii="仿宋_GB2312" w:eastAsia="仿宋_GB2312"/>
          <w:color w:val="000000" w:themeColor="text1"/>
          <w:sz w:val="32"/>
          <w:szCs w:val="32"/>
        </w:rPr>
        <w:t>万元以上通用设备2套，单价</w:t>
      </w:r>
      <w:r>
        <w:rPr>
          <w:rFonts w:ascii="仿宋_GB2312" w:eastAsia="仿宋_GB2312"/>
          <w:color w:val="000000" w:themeColor="text1"/>
          <w:sz w:val="32"/>
          <w:szCs w:val="32"/>
        </w:rPr>
        <w:t>100</w:t>
      </w:r>
      <w:r>
        <w:rPr>
          <w:rFonts w:hint="eastAsia" w:ascii="仿宋_GB2312" w:eastAsia="仿宋_GB2312"/>
          <w:color w:val="000000"/>
          <w:sz w:val="32"/>
          <w:szCs w:val="32"/>
        </w:rPr>
        <w:t>万元以上专用设备0台（套）。</w:t>
      </w:r>
    </w:p>
    <w:p>
      <w:pPr>
        <w:spacing w:line="576" w:lineRule="exact"/>
        <w:ind w:firstLine="640" w:firstLineChars="200"/>
        <w:outlineLvl w:val="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（四）预算绩效管理情况。</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根据预算绩效管理要求，本部门开展的项目属于经常性项目，不属于重点建设项目，因此不需要开展预算事前绩效评估。本部门在年初预算编制阶段，对11个项目编制了绩效目标，预算执行过程中，选取11个项目开展绩效监控。年终执行完毕后，对11个项目开展了绩效目标完成情况自评。</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按要求对2020年部门整体支出开展绩效自评，未组织开展项目支出绩效评价。从自评情况来看合理编制了计划、当年要完成的工作任务和预期要完成的绩效目标。项目绩效目标进一步明确和量化，包括数量、质量、成本、时效、社会效益、满意度等能较完整细致地反映部门年度预算执行情况及职责履行情况。项目实施中，加强项目实施监控，严肃财政纪律，规范财务管理，没有违纪违规情况，做到了资金专款专用。本部门还自行组织了11个项目支出绩效评价，从评价情况来看项目基本完成年初绩效目标，确保圆满完成了财政工作目标任务。</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1.项目绩效目标完成情况。</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在2020年度部门决算中反映“财政管理专项工作经费”“全市财政系统干部能力提升培训专项经费”“会计职称考务费”“脱贫攻坚部门工作经费及第一书记生活补贴”“财政管理电子平台建设维护费”等5个项目绩效目标实际完成情况。</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1）财政管理专项工作经费项目绩效目标完成情况综述。项目全年预算数70万元，执行数为70万元，完成预算的100%。通过项目实施，保障了财政管理各项工作有序开展，保持经济稳步发展、支持重点工作推进、加大融资保障力度和支持改善民生，圆满完成了各项目标任务。发现的主要问题：项目测算标准有待细化，测算准确率有待提高。下一步改进措施：细化预算编制工作，提升预算准确度和执行进度。</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（2）全市财政系统干部能力提升培训专项经费项目绩效目标完成情况综述。项目全年预算数14.85万元，执行数为14.85万元，完成预</w:t>
      </w:r>
      <w:r>
        <w:rPr>
          <w:rFonts w:hint="eastAsia" w:ascii="仿宋_GB2312" w:hAnsi="仿宋_GB2312" w:eastAsia="仿宋_GB2312" w:cs="仿宋_GB2312"/>
          <w:sz w:val="32"/>
          <w:szCs w:val="32"/>
        </w:rPr>
        <w:t>算的100%。通过项目实施，提高了全市财政系统干部业务能力水平，能更好服务我市经济社会发展。</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3）会计职称考务费项目绩效目标完成情况综述。项目全年预算数39.53万元，执行数为33.86万元，完成预算的85.67%。通过项目实施，保障了会计职称考试工作开展，加强了全市会计队伍建设。发现的主要问题：项目测算标准有待细化，测算准确率有待提高。下一步改进措施：细化预算编制工</w:t>
      </w:r>
      <w:r>
        <w:rPr>
          <w:rFonts w:hint="eastAsia" w:ascii="仿宋_GB2312" w:hAnsi="仿宋_GB2312" w:eastAsia="仿宋_GB2312" w:cs="仿宋_GB2312"/>
          <w:color w:val="000000"/>
          <w:sz w:val="32"/>
          <w:szCs w:val="32"/>
        </w:rPr>
        <w:t>作，提升预算准确度和执行进度。</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（4）脱贫攻坚部门工作经费及第一书记生活补贴项目绩效目标完成情况综述。项目全年预算数8.74万元，执行数为8.74万元，完成预算的100%。通过项目实施，保障了脱贫攻坚工作正常开展。</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（5）财政管理电子平台建设维护费项目绩效目标完成情况综述。项目全年预算数30万元，执行数为30万元，完成预算的100%。通过项目实施，保障了财政信息系统正常运行，确保财政资金及时拨付。</w:t>
      </w:r>
    </w:p>
    <w:p>
      <w:pPr>
        <w:jc w:val="center"/>
        <w:textAlignment w:val="center"/>
        <w:rPr>
          <w:rFonts w:ascii="宋体" w:hAnsi="宋体" w:cs="宋体"/>
          <w:b/>
          <w:bCs/>
          <w:color w:val="000000"/>
          <w:kern w:val="0"/>
          <w:sz w:val="36"/>
          <w:szCs w:val="36"/>
        </w:rPr>
        <w:sectPr>
          <w:footerReference r:id="rId6" w:type="default"/>
          <w:pgSz w:w="11906" w:h="16838"/>
          <w:pgMar w:top="2098" w:right="1474" w:bottom="1984" w:left="1587" w:header="851" w:footer="1559" w:gutter="0"/>
          <w:pgNumType w:start="1"/>
          <w:cols w:space="425" w:num="1"/>
          <w:docGrid w:type="lines" w:linePitch="312" w:charSpace="0"/>
        </w:sectPr>
      </w:pPr>
    </w:p>
    <w:tbl>
      <w:tblPr>
        <w:tblStyle w:val="11"/>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1008"/>
        <w:gridCol w:w="1134"/>
        <w:gridCol w:w="992"/>
        <w:gridCol w:w="283"/>
        <w:gridCol w:w="1757"/>
        <w:gridCol w:w="2394"/>
        <w:gridCol w:w="2392"/>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334"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项目名称</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cs="宋体" w:asciiTheme="majorEastAsia" w:hAnsiTheme="majorEastAsia" w:eastAsiaTheme="majorEastAsia"/>
                <w:color w:val="000000"/>
                <w:szCs w:val="21"/>
              </w:rPr>
            </w:pPr>
            <w:r>
              <w:rPr>
                <w:rFonts w:hint="eastAsia" w:cs="仿宋_GB2312" w:asciiTheme="majorEastAsia" w:hAnsiTheme="majorEastAsia" w:eastAsiaTheme="majorEastAsia"/>
                <w:szCs w:val="21"/>
              </w:rPr>
              <w:t>财政管理专项工作经费</w:t>
            </w:r>
          </w:p>
        </w:tc>
      </w:tr>
      <w:tr>
        <w:tblPrEx>
          <w:tblCellMar>
            <w:top w:w="0" w:type="dxa"/>
            <w:left w:w="0" w:type="dxa"/>
            <w:bottom w:w="0" w:type="dxa"/>
            <w:right w:w="0" w:type="dxa"/>
          </w:tblCellMar>
        </w:tblPrEx>
        <w:trPr>
          <w:trHeight w:val="357"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预算单位</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cs="宋体" w:asciiTheme="majorEastAsia" w:hAnsiTheme="majorEastAsia" w:eastAsiaTheme="majorEastAsia"/>
                <w:color w:val="000000"/>
                <w:szCs w:val="21"/>
              </w:rPr>
            </w:pPr>
            <w:r>
              <w:rPr>
                <w:rFonts w:hint="eastAsia" w:cs="仿宋_GB2312" w:asciiTheme="majorEastAsia" w:hAnsiTheme="majorEastAsia" w:eastAsiaTheme="majorEastAsia"/>
                <w:color w:val="000000"/>
                <w:szCs w:val="21"/>
              </w:rPr>
              <w:t>广元市财政局</w:t>
            </w:r>
          </w:p>
        </w:tc>
      </w:tr>
      <w:tr>
        <w:tblPrEx>
          <w:tblCellMar>
            <w:top w:w="0" w:type="dxa"/>
            <w:left w:w="0" w:type="dxa"/>
            <w:bottom w:w="0" w:type="dxa"/>
            <w:right w:w="0" w:type="dxa"/>
          </w:tblCellMar>
        </w:tblPrEx>
        <w:trPr>
          <w:trHeight w:val="332"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预算执行情况</w:t>
            </w:r>
            <w:r>
              <w:rPr>
                <w:rFonts w:ascii="宋体" w:hAnsi="宋体" w:cs="宋体"/>
                <w:color w:val="000000"/>
                <w:kern w:val="0"/>
                <w:szCs w:val="21"/>
              </w:rPr>
              <w:t>(</w:t>
            </w:r>
            <w:r>
              <w:rPr>
                <w:rFonts w:hint="eastAsia" w:ascii="宋体" w:hAnsi="宋体" w:cs="宋体"/>
                <w:color w:val="000000"/>
                <w:kern w:val="0"/>
                <w:szCs w:val="21"/>
              </w:rPr>
              <w:t>万元</w:t>
            </w:r>
            <w:r>
              <w:rPr>
                <w:rFonts w:ascii="宋体" w:hAnsi="宋体" w:cs="宋体"/>
                <w:color w:val="000000"/>
                <w:kern w:val="0"/>
                <w:szCs w:val="21"/>
              </w:rPr>
              <w:t>)</w:t>
            </w: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预算数</w:t>
            </w:r>
            <w:r>
              <w:rPr>
                <w:rFonts w:ascii="宋体" w:hAnsi="宋体" w:cs="宋体"/>
                <w:color w:val="000000"/>
                <w:kern w:val="0"/>
                <w:szCs w:val="21"/>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cs="宋体"/>
                <w:color w:val="000000"/>
                <w:szCs w:val="21"/>
              </w:rPr>
              <w:t>70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执行数</w:t>
            </w:r>
            <w:r>
              <w:rPr>
                <w:rFonts w:ascii="宋体" w:hAnsi="宋体" w:cs="宋体"/>
                <w:color w:val="000000"/>
                <w:kern w:val="0"/>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cs="宋体"/>
                <w:color w:val="000000"/>
                <w:szCs w:val="21"/>
              </w:rPr>
              <w:t>70</w:t>
            </w:r>
          </w:p>
        </w:tc>
      </w:tr>
      <w:tr>
        <w:tblPrEx>
          <w:tblCellMar>
            <w:top w:w="0" w:type="dxa"/>
            <w:left w:w="0" w:type="dxa"/>
            <w:bottom w:w="0" w:type="dxa"/>
            <w:right w:w="0" w:type="dxa"/>
          </w:tblCellMar>
        </w:tblPrEx>
        <w:trPr>
          <w:trHeight w:val="276"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cs="宋体"/>
                <w:color w:val="000000"/>
                <w:szCs w:val="21"/>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其中</w:t>
            </w:r>
            <w:r>
              <w:rPr>
                <w:rFonts w:ascii="宋体" w:cs="宋体"/>
                <w:color w:val="000000"/>
                <w:kern w:val="0"/>
                <w:szCs w:val="21"/>
              </w:rPr>
              <w:t>-</w:t>
            </w:r>
            <w:r>
              <w:rPr>
                <w:rFonts w:hint="eastAsia" w:ascii="宋体" w:hAnsi="宋体" w:cs="宋体"/>
                <w:color w:val="000000"/>
                <w:kern w:val="0"/>
                <w:szCs w:val="21"/>
              </w:rPr>
              <w:t>财政拨款</w:t>
            </w:r>
            <w:r>
              <w:rPr>
                <w:rFonts w:ascii="宋体" w:hAnsi="宋体" w:cs="宋体"/>
                <w:color w:val="000000"/>
                <w:kern w:val="0"/>
                <w:szCs w:val="21"/>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cs="宋体"/>
                <w:color w:val="000000"/>
                <w:szCs w:val="21"/>
              </w:rPr>
              <w:t>70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其中</w:t>
            </w:r>
            <w:r>
              <w:rPr>
                <w:rFonts w:ascii="宋体" w:cs="宋体"/>
                <w:color w:val="000000"/>
                <w:kern w:val="0"/>
                <w:szCs w:val="21"/>
              </w:rPr>
              <w:t>-</w:t>
            </w:r>
            <w:r>
              <w:rPr>
                <w:rFonts w:hint="eastAsia" w:ascii="宋体" w:hAnsi="宋体" w:cs="宋体"/>
                <w:color w:val="000000"/>
                <w:kern w:val="0"/>
                <w:szCs w:val="21"/>
              </w:rPr>
              <w:t>财政拨款</w:t>
            </w:r>
            <w:r>
              <w:rPr>
                <w:rFonts w:ascii="宋体" w:hAnsi="宋体" w:cs="宋体"/>
                <w:color w:val="000000"/>
                <w:kern w:val="0"/>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cs="宋体"/>
                <w:color w:val="000000"/>
                <w:szCs w:val="21"/>
              </w:rPr>
              <w:t>70</w:t>
            </w:r>
          </w:p>
        </w:tc>
      </w:tr>
      <w:tr>
        <w:tblPrEx>
          <w:tblCellMar>
            <w:top w:w="0" w:type="dxa"/>
            <w:left w:w="0" w:type="dxa"/>
            <w:bottom w:w="0" w:type="dxa"/>
            <w:right w:w="0" w:type="dxa"/>
          </w:tblCellMar>
        </w:tblPrEx>
        <w:trPr>
          <w:trHeight w:val="337"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cs="宋体"/>
                <w:color w:val="000000"/>
                <w:szCs w:val="21"/>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其它资金</w:t>
            </w:r>
            <w:r>
              <w:rPr>
                <w:rFonts w:ascii="宋体" w:hAnsi="宋体" w:cs="宋体"/>
                <w:color w:val="000000"/>
                <w:kern w:val="0"/>
                <w:szCs w:val="21"/>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其它资金</w:t>
            </w:r>
            <w:r>
              <w:rPr>
                <w:rFonts w:ascii="宋体" w:hAnsi="宋体" w:cs="宋体"/>
                <w:color w:val="000000"/>
                <w:kern w:val="0"/>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cs="宋体"/>
                <w:color w:val="000000"/>
                <w:szCs w:val="21"/>
              </w:rPr>
            </w:pPr>
          </w:p>
        </w:tc>
      </w:tr>
      <w:tr>
        <w:tblPrEx>
          <w:tblCellMar>
            <w:top w:w="0" w:type="dxa"/>
            <w:left w:w="0" w:type="dxa"/>
            <w:bottom w:w="0" w:type="dxa"/>
            <w:right w:w="0" w:type="dxa"/>
          </w:tblCellMar>
        </w:tblPrEx>
        <w:trPr>
          <w:trHeight w:val="276"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年度目标完成情况</w:t>
            </w: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实际完成目标</w:t>
            </w:r>
          </w:p>
        </w:tc>
      </w:tr>
      <w:tr>
        <w:tblPrEx>
          <w:tblCellMar>
            <w:top w:w="0" w:type="dxa"/>
            <w:left w:w="0" w:type="dxa"/>
            <w:bottom w:w="0" w:type="dxa"/>
            <w:right w:w="0" w:type="dxa"/>
          </w:tblCellMar>
        </w:tblPrEx>
        <w:trPr>
          <w:trHeight w:val="1159"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rPr>
                <w:rFonts w:ascii="宋体" w:cs="宋体"/>
                <w:color w:val="000000"/>
                <w:szCs w:val="21"/>
              </w:rPr>
            </w:pP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cs="宋体" w:asciiTheme="majorEastAsia" w:hAnsiTheme="majorEastAsia" w:eastAsiaTheme="majorEastAsia"/>
                <w:color w:val="000000"/>
                <w:szCs w:val="21"/>
              </w:rPr>
            </w:pPr>
            <w:r>
              <w:rPr>
                <w:rFonts w:hint="eastAsia" w:cs="仿宋_GB2312" w:asciiTheme="majorEastAsia" w:hAnsiTheme="majorEastAsia" w:eastAsiaTheme="majorEastAsia"/>
                <w:color w:val="000000"/>
                <w:szCs w:val="21"/>
              </w:rPr>
              <w:t>扎实推进“三个一、三个三”兴广战略实施，全面落实“两保一转”财政方针，完成各项目标任务，努力建设保障有力、规范有序、改革创新、廉洁高效财政。</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cs="宋体" w:asciiTheme="majorEastAsia" w:hAnsiTheme="majorEastAsia" w:eastAsiaTheme="majorEastAsia"/>
                <w:color w:val="000000"/>
                <w:szCs w:val="21"/>
              </w:rPr>
            </w:pPr>
            <w:r>
              <w:rPr>
                <w:rFonts w:hint="eastAsia" w:cs="仿宋_GB2312" w:asciiTheme="majorEastAsia" w:hAnsiTheme="majorEastAsia" w:eastAsiaTheme="majorEastAsia"/>
                <w:color w:val="000000"/>
                <w:szCs w:val="21"/>
              </w:rPr>
              <w:t>圆满完成各项工作任务。</w:t>
            </w:r>
          </w:p>
        </w:tc>
      </w:tr>
      <w:tr>
        <w:tblPrEx>
          <w:tblCellMar>
            <w:top w:w="0" w:type="dxa"/>
            <w:left w:w="0" w:type="dxa"/>
            <w:bottom w:w="0" w:type="dxa"/>
            <w:right w:w="0" w:type="dxa"/>
          </w:tblCellMar>
        </w:tblPrEx>
        <w:trPr>
          <w:trHeight w:val="737" w:hRule="atLeast"/>
          <w:jc w:val="center"/>
        </w:trPr>
        <w:tc>
          <w:tcPr>
            <w:tcW w:w="100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szCs w:val="21"/>
              </w:rPr>
              <w:t>绩效指标完成情况</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一级指标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二级指标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预期指标值</w:t>
            </w:r>
            <w:r>
              <w:rPr>
                <w:rFonts w:ascii="宋体" w:hAnsi="宋体" w:cs="宋体"/>
                <w:color w:val="000000"/>
                <w:kern w:val="0"/>
                <w:szCs w:val="21"/>
              </w:rPr>
              <w:t>(</w:t>
            </w:r>
            <w:r>
              <w:rPr>
                <w:rFonts w:hint="eastAsia" w:ascii="宋体" w:hAnsi="宋体" w:cs="宋体"/>
                <w:color w:val="000000"/>
                <w:kern w:val="0"/>
                <w:szCs w:val="21"/>
              </w:rPr>
              <w:t>包含数字及文字描述</w:t>
            </w:r>
            <w:r>
              <w:rPr>
                <w:rFonts w:ascii="宋体" w:hAnsi="宋体" w:cs="宋体"/>
                <w:color w:val="000000"/>
                <w:kern w:val="0"/>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实际完成指标值</w:t>
            </w:r>
            <w:r>
              <w:rPr>
                <w:rFonts w:ascii="宋体" w:hAnsi="宋体" w:cs="宋体"/>
                <w:color w:val="000000"/>
                <w:kern w:val="0"/>
                <w:szCs w:val="21"/>
              </w:rPr>
              <w:t>(</w:t>
            </w:r>
            <w:r>
              <w:rPr>
                <w:rFonts w:hint="eastAsia" w:ascii="宋体" w:hAnsi="宋体" w:cs="宋体"/>
                <w:color w:val="000000"/>
                <w:kern w:val="0"/>
                <w:szCs w:val="21"/>
              </w:rPr>
              <w:t>包含数字及文字描述</w:t>
            </w:r>
            <w:r>
              <w:rPr>
                <w:rFonts w:ascii="宋体" w:hAnsi="宋体" w:cs="宋体"/>
                <w:color w:val="000000"/>
                <w:kern w:val="0"/>
                <w:szCs w:val="21"/>
              </w:rPr>
              <w:t>)</w:t>
            </w:r>
          </w:p>
        </w:tc>
      </w:tr>
      <w:tr>
        <w:tblPrEx>
          <w:tblCellMar>
            <w:top w:w="0" w:type="dxa"/>
            <w:left w:w="0" w:type="dxa"/>
            <w:bottom w:w="0" w:type="dxa"/>
            <w:right w:w="0" w:type="dxa"/>
          </w:tblCellMar>
        </w:tblPrEx>
        <w:trPr>
          <w:trHeight w:val="953"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项目完成</w:t>
            </w:r>
          </w:p>
          <w:p>
            <w:pPr>
              <w:spacing w:line="240" w:lineRule="exact"/>
              <w:jc w:val="center"/>
              <w:textAlignment w:val="center"/>
              <w:rPr>
                <w:rFonts w:ascii="宋体" w:cs="宋体"/>
                <w:color w:val="000000"/>
                <w:szCs w:val="21"/>
              </w:rPr>
            </w:pPr>
            <w:r>
              <w:rPr>
                <w:rFonts w:hint="eastAsia" w:ascii="宋体" w:hAnsi="宋体" w:cs="宋体"/>
                <w:color w:val="000000"/>
                <w:kern w:val="0"/>
                <w:szCs w:val="21"/>
              </w:rPr>
              <w:t>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数量指标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政府采购工作</w:t>
            </w:r>
            <w:r>
              <w:rPr>
                <w:rFonts w:hint="eastAsia" w:ascii="宋体" w:cs="宋体"/>
                <w:color w:val="000000"/>
                <w:szCs w:val="21"/>
              </w:rPr>
              <w:t>、</w:t>
            </w:r>
            <w:r>
              <w:rPr>
                <w:rFonts w:ascii="宋体" w:cs="宋体"/>
                <w:color w:val="000000"/>
                <w:szCs w:val="21"/>
              </w:rPr>
              <w:t>监督检查及调研</w:t>
            </w:r>
            <w:r>
              <w:rPr>
                <w:rFonts w:hint="eastAsia" w:ascii="宋体" w:cs="宋体"/>
                <w:color w:val="000000"/>
                <w:szCs w:val="21"/>
              </w:rPr>
              <w:t>、预决算执行工作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cs="宋体" w:asciiTheme="majorEastAsia" w:hAnsiTheme="majorEastAsia" w:eastAsiaTheme="majorEastAsia"/>
                <w:color w:val="000000"/>
                <w:szCs w:val="21"/>
              </w:rPr>
            </w:pPr>
            <w:r>
              <w:rPr>
                <w:rFonts w:hint="eastAsia" w:cs="仿宋_GB2312" w:asciiTheme="majorEastAsia" w:hAnsiTheme="majorEastAsia" w:eastAsiaTheme="majorEastAsia"/>
                <w:color w:val="000000"/>
                <w:szCs w:val="21"/>
              </w:rPr>
              <w:t>按《采购法》开展检查，保证民生工程、财政专项检查开展，防范债务风险，完成预决算编制及项目投资“大比武”。</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cs="仿宋_GB2312" w:asciiTheme="majorEastAsia" w:hAnsiTheme="majorEastAsia" w:eastAsiaTheme="majorEastAsia"/>
                <w:color w:val="000000"/>
                <w:szCs w:val="21"/>
              </w:rPr>
              <w:t>按《采购法》开展检查，保证民生工程、财政专项检查开展，防范债务风险，完成预决算编制及项目投资“大比武”。</w:t>
            </w:r>
          </w:p>
        </w:tc>
      </w:tr>
      <w:tr>
        <w:tblPrEx>
          <w:tblCellMar>
            <w:top w:w="0" w:type="dxa"/>
            <w:left w:w="0" w:type="dxa"/>
            <w:bottom w:w="0" w:type="dxa"/>
            <w:right w:w="0" w:type="dxa"/>
          </w:tblCellMar>
        </w:tblPrEx>
        <w:trPr>
          <w:trHeight w:val="1499"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项目完成</w:t>
            </w:r>
          </w:p>
          <w:p>
            <w:pPr>
              <w:spacing w:line="240" w:lineRule="exact"/>
              <w:jc w:val="center"/>
              <w:textAlignment w:val="center"/>
              <w:rPr>
                <w:rFonts w:ascii="宋体" w:cs="宋体"/>
                <w:color w:val="000000"/>
                <w:szCs w:val="21"/>
              </w:rPr>
            </w:pPr>
            <w:r>
              <w:rPr>
                <w:rFonts w:hint="eastAsia" w:ascii="宋体" w:hAnsi="宋体" w:cs="宋体"/>
                <w:color w:val="000000"/>
                <w:kern w:val="0"/>
                <w:szCs w:val="21"/>
              </w:rPr>
              <w:t>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cs="宋体"/>
                <w:color w:val="000000"/>
                <w:szCs w:val="21"/>
              </w:rPr>
              <w:t>质量</w:t>
            </w:r>
            <w:r>
              <w:rPr>
                <w:rFonts w:ascii="宋体" w:cs="宋体"/>
                <w:color w:val="000000"/>
                <w:szCs w:val="21"/>
              </w:rPr>
              <w:t>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政府采购工作</w:t>
            </w:r>
            <w:r>
              <w:rPr>
                <w:rFonts w:hint="eastAsia" w:ascii="宋体" w:cs="宋体"/>
                <w:color w:val="000000"/>
                <w:szCs w:val="21"/>
              </w:rPr>
              <w:t>、</w:t>
            </w:r>
            <w:r>
              <w:rPr>
                <w:rFonts w:ascii="宋体" w:cs="宋体"/>
                <w:color w:val="000000"/>
                <w:szCs w:val="21"/>
              </w:rPr>
              <w:t>监督检查及调研</w:t>
            </w:r>
            <w:r>
              <w:rPr>
                <w:rFonts w:hint="eastAsia" w:ascii="宋体" w:cs="宋体"/>
                <w:color w:val="000000"/>
                <w:szCs w:val="21"/>
              </w:rPr>
              <w:t>、PPP项目评审、预决算执行工作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保证民生实事执行到位</w:t>
            </w:r>
            <w:r>
              <w:rPr>
                <w:rFonts w:hint="eastAsia" w:ascii="宋体" w:cs="宋体"/>
                <w:color w:val="000000"/>
                <w:szCs w:val="21"/>
              </w:rPr>
              <w:t>，</w:t>
            </w:r>
            <w:r>
              <w:rPr>
                <w:rFonts w:ascii="宋体" w:cs="宋体"/>
                <w:color w:val="000000"/>
                <w:szCs w:val="21"/>
              </w:rPr>
              <w:t>财政财务工作规范</w:t>
            </w:r>
            <w:r>
              <w:rPr>
                <w:rFonts w:hint="eastAsia" w:ascii="宋体" w:cs="宋体"/>
                <w:color w:val="000000"/>
                <w:szCs w:val="21"/>
              </w:rPr>
              <w:t>，</w:t>
            </w:r>
            <w:r>
              <w:rPr>
                <w:rFonts w:ascii="宋体" w:cs="宋体"/>
                <w:color w:val="000000"/>
                <w:szCs w:val="21"/>
              </w:rPr>
              <w:t>顺利完成预决算编制</w:t>
            </w:r>
            <w:r>
              <w:rPr>
                <w:rFonts w:hint="eastAsia" w:ascii="宋体" w:cs="宋体"/>
                <w:color w:val="000000"/>
                <w:szCs w:val="21"/>
              </w:rPr>
              <w:t>，</w:t>
            </w:r>
            <w:r>
              <w:rPr>
                <w:rFonts w:ascii="宋体" w:cs="宋体"/>
                <w:color w:val="000000"/>
                <w:szCs w:val="21"/>
              </w:rPr>
              <w:t>政府采购工作规范</w:t>
            </w:r>
            <w:r>
              <w:rPr>
                <w:rFonts w:hint="eastAsia" w:ascii="宋体" w:cs="宋体"/>
                <w:color w:val="000000"/>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保证民生实事执行到位</w:t>
            </w:r>
            <w:r>
              <w:rPr>
                <w:rFonts w:hint="eastAsia" w:ascii="宋体" w:cs="宋体"/>
                <w:color w:val="000000"/>
                <w:szCs w:val="21"/>
              </w:rPr>
              <w:t>，</w:t>
            </w:r>
            <w:r>
              <w:rPr>
                <w:rFonts w:ascii="宋体" w:cs="宋体"/>
                <w:color w:val="000000"/>
                <w:szCs w:val="21"/>
              </w:rPr>
              <w:t>财政财务工作规范</w:t>
            </w:r>
            <w:r>
              <w:rPr>
                <w:rFonts w:hint="eastAsia" w:ascii="宋体" w:cs="宋体"/>
                <w:color w:val="000000"/>
                <w:szCs w:val="21"/>
              </w:rPr>
              <w:t>，</w:t>
            </w:r>
            <w:r>
              <w:rPr>
                <w:rFonts w:ascii="宋体" w:cs="宋体"/>
                <w:color w:val="000000"/>
                <w:szCs w:val="21"/>
              </w:rPr>
              <w:t>顺利完成预决算编制</w:t>
            </w:r>
            <w:r>
              <w:rPr>
                <w:rFonts w:hint="eastAsia" w:ascii="宋体" w:cs="宋体"/>
                <w:color w:val="000000"/>
                <w:szCs w:val="21"/>
              </w:rPr>
              <w:t>，</w:t>
            </w:r>
            <w:r>
              <w:rPr>
                <w:rFonts w:ascii="宋体" w:cs="宋体"/>
                <w:color w:val="000000"/>
                <w:szCs w:val="21"/>
              </w:rPr>
              <w:t>政府采购工作规范</w:t>
            </w:r>
            <w:r>
              <w:rPr>
                <w:rFonts w:hint="eastAsia" w:ascii="宋体" w:cs="宋体"/>
                <w:color w:val="000000"/>
                <w:szCs w:val="21"/>
              </w:rPr>
              <w:t>。</w:t>
            </w:r>
          </w:p>
        </w:tc>
      </w:tr>
      <w:tr>
        <w:tblPrEx>
          <w:tblCellMar>
            <w:top w:w="0" w:type="dxa"/>
            <w:left w:w="0" w:type="dxa"/>
            <w:bottom w:w="0" w:type="dxa"/>
            <w:right w:w="0" w:type="dxa"/>
          </w:tblCellMar>
        </w:tblPrEx>
        <w:trPr>
          <w:trHeight w:val="631"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项目完成</w:t>
            </w:r>
          </w:p>
          <w:p>
            <w:pPr>
              <w:spacing w:line="240" w:lineRule="exact"/>
              <w:jc w:val="center"/>
              <w:textAlignment w:val="center"/>
              <w:rPr>
                <w:rFonts w:ascii="宋体" w:cs="宋体"/>
                <w:color w:val="000000"/>
                <w:szCs w:val="21"/>
              </w:rPr>
            </w:pPr>
            <w:r>
              <w:rPr>
                <w:rFonts w:hint="eastAsia" w:ascii="宋体" w:hAnsi="宋体" w:cs="宋体"/>
                <w:color w:val="000000"/>
                <w:kern w:val="0"/>
                <w:szCs w:val="21"/>
              </w:rPr>
              <w:t>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cs="宋体"/>
                <w:color w:val="000000"/>
                <w:szCs w:val="21"/>
              </w:rPr>
              <w:t>时效</w:t>
            </w:r>
            <w:r>
              <w:rPr>
                <w:rFonts w:ascii="宋体" w:cs="宋体"/>
                <w:color w:val="000000"/>
                <w:szCs w:val="21"/>
              </w:rPr>
              <w:t>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cs="宋体"/>
                <w:color w:val="000000"/>
                <w:szCs w:val="21"/>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cs="宋体"/>
                <w:color w:val="000000"/>
                <w:szCs w:val="21"/>
              </w:rPr>
              <w:t>2020年底</w:t>
            </w:r>
          </w:p>
        </w:tc>
      </w:tr>
      <w:tr>
        <w:tblPrEx>
          <w:tblCellMar>
            <w:top w:w="0" w:type="dxa"/>
            <w:left w:w="0" w:type="dxa"/>
            <w:bottom w:w="0" w:type="dxa"/>
            <w:right w:w="0" w:type="dxa"/>
          </w:tblCellMar>
        </w:tblPrEx>
        <w:trPr>
          <w:trHeight w:val="567"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hAnsi="宋体" w:cs="宋体"/>
                <w:color w:val="000000"/>
                <w:kern w:val="0"/>
                <w:szCs w:val="21"/>
              </w:rPr>
            </w:pPr>
            <w:r>
              <w:rPr>
                <w:rFonts w:hint="eastAsia" w:ascii="宋体" w:hAnsi="宋体" w:cs="宋体"/>
                <w:color w:val="000000"/>
                <w:kern w:val="0"/>
                <w:szCs w:val="21"/>
              </w:rPr>
              <w:t>项目完成</w:t>
            </w:r>
          </w:p>
          <w:p>
            <w:pPr>
              <w:spacing w:line="240" w:lineRule="exact"/>
              <w:jc w:val="center"/>
              <w:textAlignment w:val="center"/>
              <w:rPr>
                <w:rFonts w:ascii="宋体" w:cs="宋体"/>
                <w:color w:val="000000"/>
                <w:kern w:val="0"/>
                <w:szCs w:val="21"/>
              </w:rPr>
            </w:pPr>
            <w:r>
              <w:rPr>
                <w:rFonts w:hint="eastAsia" w:ascii="宋体" w:hAnsi="宋体" w:cs="宋体"/>
                <w:color w:val="000000"/>
                <w:kern w:val="0"/>
                <w:szCs w:val="21"/>
              </w:rPr>
              <w:t>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成本指标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cs="宋体"/>
                <w:color w:val="000000"/>
                <w:szCs w:val="21"/>
              </w:rPr>
              <w:t>70万元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cs="宋体"/>
                <w:color w:val="000000"/>
                <w:szCs w:val="21"/>
              </w:rPr>
              <w:t>70万元</w:t>
            </w:r>
          </w:p>
        </w:tc>
      </w:tr>
      <w:tr>
        <w:tblPrEx>
          <w:tblCellMar>
            <w:top w:w="0" w:type="dxa"/>
            <w:left w:w="0" w:type="dxa"/>
            <w:bottom w:w="0" w:type="dxa"/>
            <w:right w:w="0" w:type="dxa"/>
          </w:tblCellMar>
        </w:tblPrEx>
        <w:trPr>
          <w:trHeight w:val="917"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经济效益</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Cs w:val="21"/>
              </w:rPr>
              <w:t>资金保障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Cs w:val="21"/>
              </w:rPr>
              <w:t>壮大经济实力、增加财政收入；促进全市经济社会持续健康发展。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cs="仿宋_GB2312" w:asciiTheme="majorEastAsia" w:hAnsiTheme="majorEastAsia" w:eastAsiaTheme="majorEastAsia"/>
                <w:color w:val="000000"/>
                <w:szCs w:val="21"/>
              </w:rPr>
            </w:pPr>
            <w:r>
              <w:rPr>
                <w:rFonts w:hint="eastAsia" w:cs="仿宋_GB2312" w:asciiTheme="majorEastAsia" w:hAnsiTheme="majorEastAsia" w:eastAsiaTheme="majorEastAsia"/>
                <w:color w:val="000000"/>
                <w:szCs w:val="21"/>
              </w:rPr>
              <w:t>合理配置资金，促进经济发展。</w:t>
            </w:r>
          </w:p>
        </w:tc>
      </w:tr>
      <w:tr>
        <w:tblPrEx>
          <w:tblCellMar>
            <w:top w:w="0" w:type="dxa"/>
            <w:left w:w="0" w:type="dxa"/>
            <w:bottom w:w="0" w:type="dxa"/>
            <w:right w:w="0" w:type="dxa"/>
          </w:tblCellMar>
        </w:tblPrEx>
        <w:trPr>
          <w:trHeight w:val="587"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社会效益</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财政管理</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规范财政资金管理</w:t>
            </w:r>
            <w:r>
              <w:rPr>
                <w:rFonts w:hint="eastAsia" w:ascii="宋体" w:cs="宋体"/>
                <w:color w:val="000000"/>
                <w:szCs w:val="21"/>
              </w:rPr>
              <w:t>，</w:t>
            </w:r>
            <w:r>
              <w:rPr>
                <w:rFonts w:ascii="宋体" w:cs="宋体"/>
                <w:color w:val="000000"/>
                <w:szCs w:val="21"/>
              </w:rPr>
              <w:t>提高财政资金使用效益</w:t>
            </w:r>
            <w:r>
              <w:rPr>
                <w:rFonts w:hint="eastAsia" w:ascii="宋体" w:cs="宋体"/>
                <w:color w:val="000000"/>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规范财政资金管理</w:t>
            </w:r>
            <w:r>
              <w:rPr>
                <w:rFonts w:hint="eastAsia" w:ascii="宋体" w:cs="宋体"/>
                <w:color w:val="000000"/>
                <w:szCs w:val="21"/>
              </w:rPr>
              <w:t>，</w:t>
            </w:r>
            <w:r>
              <w:rPr>
                <w:rFonts w:ascii="宋体" w:cs="宋体"/>
                <w:color w:val="000000"/>
                <w:szCs w:val="21"/>
              </w:rPr>
              <w:t>提高财政资金使用效益</w:t>
            </w:r>
            <w:r>
              <w:rPr>
                <w:rFonts w:hint="eastAsia" w:ascii="宋体" w:cs="宋体"/>
                <w:color w:val="000000"/>
                <w:szCs w:val="21"/>
              </w:rPr>
              <w:t>。</w:t>
            </w:r>
          </w:p>
        </w:tc>
      </w:tr>
      <w:tr>
        <w:tblPrEx>
          <w:tblCellMar>
            <w:top w:w="0" w:type="dxa"/>
            <w:left w:w="0" w:type="dxa"/>
            <w:bottom w:w="0" w:type="dxa"/>
            <w:right w:w="0" w:type="dxa"/>
          </w:tblCellMar>
        </w:tblPrEx>
        <w:trPr>
          <w:trHeight w:val="553"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生态效益</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生态项目</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保障生态项目顺利实施</w:t>
            </w:r>
            <w:r>
              <w:rPr>
                <w:rFonts w:hint="eastAsia" w:ascii="宋体" w:cs="宋体"/>
                <w:color w:val="000000"/>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保障生态项目顺利实施</w:t>
            </w:r>
            <w:r>
              <w:rPr>
                <w:rFonts w:hint="eastAsia" w:ascii="宋体" w:cs="宋体"/>
                <w:color w:val="000000"/>
                <w:szCs w:val="21"/>
              </w:rPr>
              <w:t>。</w:t>
            </w:r>
          </w:p>
        </w:tc>
      </w:tr>
      <w:tr>
        <w:tblPrEx>
          <w:tblCellMar>
            <w:top w:w="0" w:type="dxa"/>
            <w:left w:w="0" w:type="dxa"/>
            <w:bottom w:w="0" w:type="dxa"/>
            <w:right w:w="0" w:type="dxa"/>
          </w:tblCellMar>
        </w:tblPrEx>
        <w:trPr>
          <w:trHeight w:val="728"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可持续影响指标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资金使用效益</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合理配置使用资金</w:t>
            </w:r>
            <w:r>
              <w:rPr>
                <w:rFonts w:hint="eastAsia" w:ascii="宋体" w:cs="宋体"/>
                <w:color w:val="000000"/>
                <w:szCs w:val="21"/>
              </w:rPr>
              <w:t>，</w:t>
            </w:r>
            <w:r>
              <w:rPr>
                <w:rFonts w:ascii="宋体" w:cs="宋体"/>
                <w:color w:val="000000"/>
                <w:szCs w:val="21"/>
              </w:rPr>
              <w:t>促进经济可持续发展</w:t>
            </w:r>
            <w:r>
              <w:rPr>
                <w:rFonts w:hint="eastAsia" w:ascii="宋体" w:cs="宋体"/>
                <w:color w:val="000000"/>
                <w:szCs w:val="21"/>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合理配置使用资金</w:t>
            </w:r>
            <w:r>
              <w:rPr>
                <w:rFonts w:hint="eastAsia" w:ascii="宋体" w:cs="宋体"/>
                <w:color w:val="000000"/>
                <w:szCs w:val="21"/>
              </w:rPr>
              <w:t>，</w:t>
            </w:r>
            <w:r>
              <w:rPr>
                <w:rFonts w:ascii="宋体" w:cs="宋体"/>
                <w:color w:val="000000"/>
                <w:szCs w:val="21"/>
              </w:rPr>
              <w:t>促进经济可持续发展</w:t>
            </w:r>
            <w:r>
              <w:rPr>
                <w:rFonts w:hint="eastAsia" w:ascii="宋体" w:cs="宋体"/>
                <w:color w:val="000000"/>
                <w:szCs w:val="21"/>
              </w:rPr>
              <w:t>。</w:t>
            </w:r>
          </w:p>
        </w:tc>
      </w:tr>
      <w:tr>
        <w:tblPrEx>
          <w:tblCellMar>
            <w:top w:w="0" w:type="dxa"/>
            <w:left w:w="0" w:type="dxa"/>
            <w:bottom w:w="0" w:type="dxa"/>
            <w:right w:w="0" w:type="dxa"/>
          </w:tblCellMar>
        </w:tblPrEx>
        <w:trPr>
          <w:trHeight w:val="541" w:hRule="atLeast"/>
          <w:jc w:val="center"/>
        </w:trPr>
        <w:tc>
          <w:tcPr>
            <w:tcW w:w="100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hAnsi="宋体" w:cs="宋体"/>
                <w:color w:val="000000"/>
                <w:kern w:val="0"/>
                <w:szCs w:val="21"/>
              </w:rPr>
              <w:t>满意度指标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满意度指标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ascii="宋体" w:cs="宋体"/>
                <w:color w:val="000000"/>
                <w:szCs w:val="21"/>
              </w:rPr>
              <w:t>预算单位满意度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cs="宋体"/>
                <w:color w:val="000000"/>
                <w:szCs w:val="21"/>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240" w:lineRule="exact"/>
              <w:jc w:val="center"/>
              <w:textAlignment w:val="center"/>
              <w:rPr>
                <w:rFonts w:ascii="宋体" w:cs="宋体"/>
                <w:color w:val="000000"/>
                <w:szCs w:val="21"/>
              </w:rPr>
            </w:pPr>
            <w:r>
              <w:rPr>
                <w:rFonts w:hint="eastAsia" w:ascii="宋体" w:cs="宋体"/>
                <w:color w:val="000000"/>
                <w:szCs w:val="21"/>
              </w:rPr>
              <w:t>95%</w:t>
            </w:r>
          </w:p>
        </w:tc>
      </w:tr>
    </w:tbl>
    <w:p>
      <w:pPr>
        <w:ind w:firstLine="312" w:firstLineChars="149"/>
      </w:pPr>
    </w:p>
    <w:p>
      <w:pPr>
        <w:ind w:firstLine="312" w:firstLineChars="149"/>
      </w:pPr>
    </w:p>
    <w:tbl>
      <w:tblPr>
        <w:tblStyle w:val="11"/>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1008"/>
        <w:gridCol w:w="1134"/>
        <w:gridCol w:w="992"/>
        <w:gridCol w:w="283"/>
        <w:gridCol w:w="1757"/>
        <w:gridCol w:w="2394"/>
        <w:gridCol w:w="2392"/>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jc w:val="center"/>
              <w:textAlignment w:val="center"/>
              <w:rPr>
                <w:rFonts w:ascii="宋体" w:hAnsi="宋体" w:cs="宋体"/>
                <w:b/>
                <w:bCs/>
                <w:color w:val="000000"/>
                <w:kern w:val="0"/>
                <w:sz w:val="36"/>
                <w:szCs w:val="36"/>
              </w:rPr>
            </w:pPr>
          </w:p>
          <w:p>
            <w:pPr>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419"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项目名称</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全市财政系统干部能力提升培训专项经费</w:t>
            </w:r>
          </w:p>
        </w:tc>
      </w:tr>
      <w:tr>
        <w:tblPrEx>
          <w:tblCellMar>
            <w:top w:w="0" w:type="dxa"/>
            <w:left w:w="0" w:type="dxa"/>
            <w:bottom w:w="0" w:type="dxa"/>
            <w:right w:w="0" w:type="dxa"/>
          </w:tblCellMar>
        </w:tblPrEx>
        <w:trPr>
          <w:trHeight w:val="472"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预算单位</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hint="eastAsia" w:cs="仿宋_GB2312" w:asciiTheme="majorEastAsia" w:hAnsiTheme="majorEastAsia" w:eastAsiaTheme="majorEastAsia"/>
                <w:color w:val="000000"/>
                <w:sz w:val="24"/>
              </w:rPr>
              <w:t>广元市财政局</w:t>
            </w:r>
          </w:p>
        </w:tc>
      </w:tr>
      <w:tr>
        <w:tblPrEx>
          <w:tblCellMar>
            <w:top w:w="0" w:type="dxa"/>
            <w:left w:w="0" w:type="dxa"/>
            <w:bottom w:w="0" w:type="dxa"/>
            <w:right w:w="0" w:type="dxa"/>
          </w:tblCellMar>
        </w:tblPrEx>
        <w:trPr>
          <w:trHeight w:val="537"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14.85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14.85</w:t>
            </w:r>
          </w:p>
        </w:tc>
      </w:tr>
      <w:tr>
        <w:tblPrEx>
          <w:tblCellMar>
            <w:top w:w="0" w:type="dxa"/>
            <w:left w:w="0" w:type="dxa"/>
            <w:bottom w:w="0" w:type="dxa"/>
            <w:right w:w="0" w:type="dxa"/>
          </w:tblCellMar>
        </w:tblPrEx>
        <w:trPr>
          <w:trHeight w:val="276"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14.85</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14.85</w:t>
            </w:r>
          </w:p>
        </w:tc>
      </w:tr>
      <w:tr>
        <w:tblPrEx>
          <w:tblCellMar>
            <w:top w:w="0" w:type="dxa"/>
            <w:left w:w="0" w:type="dxa"/>
            <w:bottom w:w="0" w:type="dxa"/>
            <w:right w:w="0" w:type="dxa"/>
          </w:tblCellMar>
        </w:tblPrEx>
        <w:trPr>
          <w:trHeight w:val="337"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hint="eastAsia" w:asciiTheme="majorEastAsia" w:hAnsiTheme="majorEastAsia" w:eastAsiaTheme="majorEastAsia"/>
                <w:color w:val="333333"/>
                <w:sz w:val="24"/>
              </w:rPr>
              <w:t>提升全市财政干部的政治意识、理论素养和业务能力，推动财政队伍履职担当和财政工作提质增效再上台阶。</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hint="eastAsia" w:cs="仿宋_GB2312" w:asciiTheme="majorEastAsia" w:hAnsiTheme="majorEastAsia" w:eastAsiaTheme="majorEastAsia"/>
                <w:color w:val="000000"/>
                <w:sz w:val="24"/>
              </w:rPr>
              <w:t>圆满完成各项工作任务。</w:t>
            </w:r>
          </w:p>
        </w:tc>
      </w:tr>
      <w:tr>
        <w:tblPrEx>
          <w:tblCellMar>
            <w:top w:w="0" w:type="dxa"/>
            <w:left w:w="0" w:type="dxa"/>
            <w:bottom w:w="0" w:type="dxa"/>
            <w:right w:w="0" w:type="dxa"/>
          </w:tblCellMar>
        </w:tblPrEx>
        <w:trPr>
          <w:trHeight w:val="737" w:hRule="atLeast"/>
          <w:jc w:val="center"/>
        </w:trPr>
        <w:tc>
          <w:tcPr>
            <w:tcW w:w="100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绩效指标完成情况</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一级指标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二级指标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数量指标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培训</w:t>
            </w:r>
            <w:r>
              <w:rPr>
                <w:rFonts w:ascii="宋体" w:cs="宋体"/>
                <w:color w:val="000000"/>
                <w:sz w:val="24"/>
              </w:rPr>
              <w:t>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hint="eastAsia" w:cs="宋体" w:asciiTheme="majorEastAsia" w:hAnsiTheme="majorEastAsia" w:eastAsiaTheme="majorEastAsia"/>
                <w:color w:val="000000"/>
                <w:sz w:val="24"/>
              </w:rPr>
              <w:t>60人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62人</w:t>
            </w:r>
          </w:p>
        </w:tc>
      </w:tr>
      <w:tr>
        <w:tblPrEx>
          <w:tblCellMar>
            <w:top w:w="0" w:type="dxa"/>
            <w:left w:w="0" w:type="dxa"/>
            <w:bottom w:w="0" w:type="dxa"/>
            <w:right w:w="0" w:type="dxa"/>
          </w:tblCellMar>
        </w:tblPrEx>
        <w:trPr>
          <w:trHeight w:val="756"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时效</w:t>
            </w:r>
            <w:r>
              <w:rPr>
                <w:rFonts w:ascii="宋体" w:cs="宋体"/>
                <w:color w:val="000000"/>
                <w:sz w:val="24"/>
              </w:rPr>
              <w:t>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2020年9月底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2020年9月底</w:t>
            </w:r>
          </w:p>
        </w:tc>
      </w:tr>
      <w:tr>
        <w:tblPrEx>
          <w:tblCellMar>
            <w:top w:w="0" w:type="dxa"/>
            <w:left w:w="0" w:type="dxa"/>
            <w:bottom w:w="0" w:type="dxa"/>
            <w:right w:w="0" w:type="dxa"/>
          </w:tblCellMar>
        </w:tblPrEx>
        <w:trPr>
          <w:trHeight w:val="68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成本指标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培训</w:t>
            </w:r>
            <w:r>
              <w:rPr>
                <w:rFonts w:ascii="宋体" w:cs="宋体"/>
                <w:color w:val="000000"/>
                <w:sz w:val="24"/>
              </w:rPr>
              <w:t>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14.85万元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14.85万元</w:t>
            </w:r>
          </w:p>
        </w:tc>
      </w:tr>
      <w:tr>
        <w:tblPrEx>
          <w:tblCellMar>
            <w:top w:w="0" w:type="dxa"/>
            <w:left w:w="0" w:type="dxa"/>
            <w:bottom w:w="0" w:type="dxa"/>
            <w:right w:w="0" w:type="dxa"/>
          </w:tblCellMar>
        </w:tblPrEx>
        <w:trPr>
          <w:trHeight w:val="74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社会效益</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培训效果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Theme="majorEastAsia" w:hAnsiTheme="majorEastAsia" w:eastAsiaTheme="majorEastAsia"/>
                <w:color w:val="333333"/>
                <w:sz w:val="24"/>
              </w:rPr>
              <w:t>提升财政干部的政治意识、理论素养和业务能力</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Theme="majorEastAsia" w:hAnsiTheme="majorEastAsia" w:eastAsiaTheme="majorEastAsia"/>
                <w:color w:val="333333"/>
                <w:sz w:val="24"/>
              </w:rPr>
              <w:t>提升了参训财政干部的政治意识、理论素养和业务能力</w:t>
            </w:r>
          </w:p>
        </w:tc>
      </w:tr>
      <w:tr>
        <w:tblPrEx>
          <w:tblCellMar>
            <w:top w:w="0" w:type="dxa"/>
            <w:left w:w="0" w:type="dxa"/>
            <w:bottom w:w="0" w:type="dxa"/>
            <w:right w:w="0" w:type="dxa"/>
          </w:tblCellMar>
        </w:tblPrEx>
        <w:trPr>
          <w:trHeight w:val="871" w:hRule="atLeast"/>
          <w:jc w:val="center"/>
        </w:trPr>
        <w:tc>
          <w:tcPr>
            <w:tcW w:w="100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满意度指标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满意度指标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预算单位满意度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100%</w:t>
            </w:r>
          </w:p>
        </w:tc>
      </w:tr>
    </w:tbl>
    <w:p>
      <w:pPr>
        <w:ind w:firstLine="312" w:firstLineChars="149"/>
      </w:pPr>
    </w:p>
    <w:p>
      <w:pPr>
        <w:ind w:firstLine="312" w:firstLineChars="149"/>
      </w:pPr>
    </w:p>
    <w:tbl>
      <w:tblPr>
        <w:tblStyle w:val="11"/>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1008"/>
        <w:gridCol w:w="1134"/>
        <w:gridCol w:w="992"/>
        <w:gridCol w:w="283"/>
        <w:gridCol w:w="1757"/>
        <w:gridCol w:w="2394"/>
        <w:gridCol w:w="2392"/>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jc w:val="center"/>
              <w:textAlignment w:val="center"/>
              <w:rPr>
                <w:rFonts w:ascii="宋体" w:hAnsi="宋体" w:cs="宋体"/>
                <w:b/>
                <w:bCs/>
                <w:color w:val="000000"/>
                <w:kern w:val="0"/>
                <w:sz w:val="36"/>
                <w:szCs w:val="36"/>
              </w:rPr>
            </w:pPr>
          </w:p>
          <w:p>
            <w:pPr>
              <w:jc w:val="center"/>
              <w:textAlignment w:val="center"/>
              <w:rPr>
                <w:rFonts w:ascii="宋体" w:hAnsi="宋体" w:cs="宋体"/>
                <w:b/>
                <w:bCs/>
                <w:color w:val="000000"/>
                <w:kern w:val="0"/>
                <w:sz w:val="36"/>
                <w:szCs w:val="36"/>
              </w:rPr>
            </w:pPr>
          </w:p>
          <w:p>
            <w:pPr>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419"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项目名称</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会计职称考务费</w:t>
            </w:r>
          </w:p>
        </w:tc>
      </w:tr>
      <w:tr>
        <w:tblPrEx>
          <w:tblCellMar>
            <w:top w:w="0" w:type="dxa"/>
            <w:left w:w="0" w:type="dxa"/>
            <w:bottom w:w="0" w:type="dxa"/>
            <w:right w:w="0" w:type="dxa"/>
          </w:tblCellMar>
        </w:tblPrEx>
        <w:trPr>
          <w:trHeight w:val="472"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预算单位</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hint="eastAsia" w:cs="仿宋_GB2312" w:asciiTheme="majorEastAsia" w:hAnsiTheme="majorEastAsia" w:eastAsiaTheme="majorEastAsia"/>
                <w:color w:val="000000"/>
                <w:sz w:val="24"/>
              </w:rPr>
              <w:t>广元市财政局</w:t>
            </w:r>
          </w:p>
        </w:tc>
      </w:tr>
      <w:tr>
        <w:tblPrEx>
          <w:tblCellMar>
            <w:top w:w="0" w:type="dxa"/>
            <w:left w:w="0" w:type="dxa"/>
            <w:bottom w:w="0" w:type="dxa"/>
            <w:right w:w="0" w:type="dxa"/>
          </w:tblCellMar>
        </w:tblPrEx>
        <w:trPr>
          <w:trHeight w:val="537"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39.53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33.86</w:t>
            </w:r>
          </w:p>
        </w:tc>
      </w:tr>
      <w:tr>
        <w:tblPrEx>
          <w:tblCellMar>
            <w:top w:w="0" w:type="dxa"/>
            <w:left w:w="0" w:type="dxa"/>
            <w:bottom w:w="0" w:type="dxa"/>
            <w:right w:w="0" w:type="dxa"/>
          </w:tblCellMar>
        </w:tblPrEx>
        <w:trPr>
          <w:trHeight w:val="276"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39.53</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33.86</w:t>
            </w:r>
          </w:p>
        </w:tc>
      </w:tr>
      <w:tr>
        <w:tblPrEx>
          <w:tblCellMar>
            <w:top w:w="0" w:type="dxa"/>
            <w:left w:w="0" w:type="dxa"/>
            <w:bottom w:w="0" w:type="dxa"/>
            <w:right w:w="0" w:type="dxa"/>
          </w:tblCellMar>
        </w:tblPrEx>
        <w:trPr>
          <w:trHeight w:val="337"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hint="eastAsia" w:cs="仿宋_GB2312" w:asciiTheme="majorEastAsia" w:hAnsiTheme="majorEastAsia" w:eastAsiaTheme="majorEastAsia"/>
                <w:color w:val="000000"/>
                <w:sz w:val="24"/>
              </w:rPr>
              <w:t>顺利完成会计专业技术资格考试工作，提高会计人员水平，强化全市会计人员队伍力量，促进全市会计管理工作取得新进展。</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hint="eastAsia" w:cs="仿宋_GB2312" w:asciiTheme="majorEastAsia" w:hAnsiTheme="majorEastAsia" w:eastAsiaTheme="majorEastAsia"/>
                <w:color w:val="000000"/>
                <w:sz w:val="24"/>
              </w:rPr>
              <w:t>圆满完成各项工作任务。</w:t>
            </w:r>
          </w:p>
        </w:tc>
      </w:tr>
      <w:tr>
        <w:tblPrEx>
          <w:tblCellMar>
            <w:top w:w="0" w:type="dxa"/>
            <w:left w:w="0" w:type="dxa"/>
            <w:bottom w:w="0" w:type="dxa"/>
            <w:right w:w="0" w:type="dxa"/>
          </w:tblCellMar>
        </w:tblPrEx>
        <w:trPr>
          <w:trHeight w:val="737"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绩效指标完成情况</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一级指标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二级指标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53"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数量指标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考试类别</w:t>
            </w:r>
            <w:r>
              <w:rPr>
                <w:rFonts w:hint="eastAsia" w:ascii="宋体" w:cs="宋体"/>
                <w:color w:val="000000"/>
                <w:sz w:val="24"/>
              </w:rPr>
              <w:t>和参考人数</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hint="eastAsia" w:cs="仿宋_GB2312" w:asciiTheme="majorEastAsia" w:hAnsiTheme="majorEastAsia" w:eastAsiaTheme="majorEastAsia"/>
                <w:color w:val="000000"/>
                <w:sz w:val="24"/>
              </w:rPr>
              <w:t>完成保障报考人员顺利完成初级和中级考试。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cs="仿宋_GB2312" w:asciiTheme="majorEastAsia" w:hAnsiTheme="majorEastAsia" w:eastAsiaTheme="majorEastAsia"/>
                <w:color w:val="000000"/>
                <w:sz w:val="24"/>
              </w:rPr>
              <w:t>初级报考人数3747人，中级报考人数1667人。</w:t>
            </w:r>
          </w:p>
        </w:tc>
      </w:tr>
      <w:tr>
        <w:tblPrEx>
          <w:tblCellMar>
            <w:top w:w="0" w:type="dxa"/>
            <w:left w:w="0" w:type="dxa"/>
            <w:bottom w:w="0" w:type="dxa"/>
            <w:right w:w="0" w:type="dxa"/>
          </w:tblCellMar>
        </w:tblPrEx>
        <w:trPr>
          <w:trHeight w:val="1499"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质量</w:t>
            </w:r>
            <w:r>
              <w:rPr>
                <w:rFonts w:ascii="宋体" w:cs="宋体"/>
                <w:color w:val="000000"/>
                <w:sz w:val="24"/>
              </w:rPr>
              <w:t>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会计</w:t>
            </w:r>
            <w:r>
              <w:rPr>
                <w:rFonts w:ascii="宋体" w:cs="宋体"/>
                <w:color w:val="000000"/>
                <w:sz w:val="24"/>
              </w:rPr>
              <w:t>职称考试</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保障</w:t>
            </w:r>
            <w:r>
              <w:rPr>
                <w:rFonts w:ascii="宋体" w:cs="宋体"/>
                <w:color w:val="000000"/>
                <w:sz w:val="24"/>
              </w:rPr>
              <w:t>会计考试顺利进行</w:t>
            </w:r>
            <w:r>
              <w:rPr>
                <w:rFonts w:hint="eastAsia" w:asci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会计考试顺利</w:t>
            </w:r>
            <w:r>
              <w:rPr>
                <w:rFonts w:hint="eastAsia" w:ascii="宋体" w:cs="宋体"/>
                <w:color w:val="000000"/>
                <w:sz w:val="24"/>
              </w:rPr>
              <w:t>完成。</w:t>
            </w:r>
          </w:p>
        </w:tc>
      </w:tr>
      <w:tr>
        <w:tblPrEx>
          <w:tblCellMar>
            <w:top w:w="0" w:type="dxa"/>
            <w:left w:w="0" w:type="dxa"/>
            <w:bottom w:w="0" w:type="dxa"/>
            <w:right w:w="0" w:type="dxa"/>
          </w:tblCellMar>
        </w:tblPrEx>
        <w:trPr>
          <w:trHeight w:val="756"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时效</w:t>
            </w:r>
            <w:r>
              <w:rPr>
                <w:rFonts w:ascii="宋体" w:cs="宋体"/>
                <w:color w:val="000000"/>
                <w:sz w:val="24"/>
              </w:rPr>
              <w:t>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按国家统一要求完成。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按国家统一要求完成。</w:t>
            </w:r>
          </w:p>
        </w:tc>
      </w:tr>
      <w:tr>
        <w:tblPrEx>
          <w:tblCellMar>
            <w:top w:w="0" w:type="dxa"/>
            <w:left w:w="0" w:type="dxa"/>
            <w:bottom w:w="0" w:type="dxa"/>
            <w:right w:w="0" w:type="dxa"/>
          </w:tblCellMar>
        </w:tblPrEx>
        <w:trPr>
          <w:trHeight w:val="682"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成本指标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39.53万元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33.86万元</w:t>
            </w:r>
          </w:p>
        </w:tc>
      </w:tr>
      <w:tr>
        <w:tblPrEx>
          <w:tblCellMar>
            <w:top w:w="0" w:type="dxa"/>
            <w:left w:w="0" w:type="dxa"/>
            <w:bottom w:w="0" w:type="dxa"/>
            <w:right w:w="0" w:type="dxa"/>
          </w:tblCellMar>
        </w:tblPrEx>
        <w:trPr>
          <w:trHeight w:val="742"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社会效益</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会计</w:t>
            </w:r>
            <w:r>
              <w:rPr>
                <w:rFonts w:ascii="宋体" w:cs="宋体"/>
                <w:color w:val="000000"/>
                <w:sz w:val="24"/>
              </w:rPr>
              <w:t>队伍建设</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会计</w:t>
            </w:r>
            <w:r>
              <w:rPr>
                <w:rFonts w:ascii="宋体" w:cs="宋体"/>
                <w:color w:val="000000"/>
                <w:sz w:val="24"/>
              </w:rPr>
              <w:t>队伍壮大</w:t>
            </w:r>
            <w:r>
              <w:rPr>
                <w:rFonts w:hint="eastAsia" w:ascii="宋体" w:cs="宋体"/>
                <w:color w:val="000000"/>
                <w:sz w:val="24"/>
              </w:rPr>
              <w:t>，</w:t>
            </w:r>
            <w:r>
              <w:rPr>
                <w:rFonts w:ascii="宋体" w:cs="宋体"/>
                <w:color w:val="000000"/>
                <w:sz w:val="24"/>
              </w:rPr>
              <w:t>人员素质提升</w:t>
            </w:r>
            <w:r>
              <w:rPr>
                <w:rFonts w:hint="eastAsia" w:asci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会计</w:t>
            </w:r>
            <w:r>
              <w:rPr>
                <w:rFonts w:ascii="宋体" w:cs="宋体"/>
                <w:color w:val="000000"/>
                <w:sz w:val="24"/>
              </w:rPr>
              <w:t>队伍壮大</w:t>
            </w:r>
            <w:r>
              <w:rPr>
                <w:rFonts w:hint="eastAsia" w:ascii="宋体" w:cs="宋体"/>
                <w:color w:val="000000"/>
                <w:sz w:val="24"/>
              </w:rPr>
              <w:t>，</w:t>
            </w:r>
            <w:r>
              <w:rPr>
                <w:rFonts w:ascii="宋体" w:cs="宋体"/>
                <w:color w:val="000000"/>
                <w:sz w:val="24"/>
              </w:rPr>
              <w:t>人员素质提升</w:t>
            </w:r>
            <w:r>
              <w:rPr>
                <w:rFonts w:hint="eastAsia" w:ascii="宋体" w:cs="宋体"/>
                <w:color w:val="000000"/>
                <w:sz w:val="24"/>
              </w:rPr>
              <w:t>。</w:t>
            </w:r>
          </w:p>
        </w:tc>
      </w:tr>
      <w:tr>
        <w:tblPrEx>
          <w:tblCellMar>
            <w:top w:w="0" w:type="dxa"/>
            <w:left w:w="0" w:type="dxa"/>
            <w:bottom w:w="0" w:type="dxa"/>
            <w:right w:w="0" w:type="dxa"/>
          </w:tblCellMar>
        </w:tblPrEx>
        <w:trPr>
          <w:trHeight w:val="541"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满意度指标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满意度指标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会计</w:t>
            </w:r>
            <w:r>
              <w:rPr>
                <w:rFonts w:ascii="宋体" w:cs="宋体"/>
                <w:color w:val="000000"/>
                <w:sz w:val="24"/>
              </w:rPr>
              <w:t>人员满意度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95%</w:t>
            </w:r>
          </w:p>
        </w:tc>
      </w:tr>
    </w:tbl>
    <w:p>
      <w:pPr>
        <w:ind w:firstLine="312" w:firstLineChars="149"/>
      </w:pPr>
    </w:p>
    <w:p>
      <w:pPr>
        <w:ind w:firstLine="312" w:firstLineChars="149"/>
      </w:pPr>
    </w:p>
    <w:p/>
    <w:p/>
    <w:tbl>
      <w:tblPr>
        <w:tblStyle w:val="11"/>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1008"/>
        <w:gridCol w:w="1134"/>
        <w:gridCol w:w="992"/>
        <w:gridCol w:w="283"/>
        <w:gridCol w:w="1757"/>
        <w:gridCol w:w="2394"/>
        <w:gridCol w:w="2392"/>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spacing w:line="20" w:lineRule="exact"/>
              <w:jc w:val="center"/>
              <w:textAlignment w:val="center"/>
              <w:rPr>
                <w:rFonts w:ascii="宋体" w:hAnsi="宋体" w:cs="宋体"/>
                <w:b/>
                <w:bCs/>
                <w:color w:val="000000"/>
                <w:kern w:val="0"/>
                <w:sz w:val="36"/>
                <w:szCs w:val="36"/>
              </w:rPr>
            </w:pPr>
          </w:p>
          <w:p>
            <w:pPr>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419"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项目名称</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hint="eastAsia" w:cs="仿宋_GB2312" w:asciiTheme="majorEastAsia" w:hAnsiTheme="majorEastAsia" w:eastAsiaTheme="majorEastAsia"/>
                <w:sz w:val="24"/>
              </w:rPr>
              <w:t>脱贫攻坚部门工作经费及第一书记生活补贴</w:t>
            </w:r>
          </w:p>
        </w:tc>
      </w:tr>
      <w:tr>
        <w:tblPrEx>
          <w:tblCellMar>
            <w:top w:w="0" w:type="dxa"/>
            <w:left w:w="0" w:type="dxa"/>
            <w:bottom w:w="0" w:type="dxa"/>
            <w:right w:w="0" w:type="dxa"/>
          </w:tblCellMar>
        </w:tblPrEx>
        <w:trPr>
          <w:trHeight w:val="472"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预算单位</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hint="eastAsia" w:cs="仿宋_GB2312" w:asciiTheme="majorEastAsia" w:hAnsiTheme="majorEastAsia" w:eastAsiaTheme="majorEastAsia"/>
                <w:color w:val="000000"/>
                <w:sz w:val="24"/>
              </w:rPr>
              <w:t>广元市财政局</w:t>
            </w:r>
          </w:p>
        </w:tc>
      </w:tr>
      <w:tr>
        <w:tblPrEx>
          <w:tblCellMar>
            <w:top w:w="0" w:type="dxa"/>
            <w:left w:w="0" w:type="dxa"/>
            <w:bottom w:w="0" w:type="dxa"/>
            <w:right w:w="0" w:type="dxa"/>
          </w:tblCellMar>
        </w:tblPrEx>
        <w:trPr>
          <w:trHeight w:val="537"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8.74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8.74</w:t>
            </w:r>
          </w:p>
        </w:tc>
      </w:tr>
      <w:tr>
        <w:tblPrEx>
          <w:tblCellMar>
            <w:top w:w="0" w:type="dxa"/>
            <w:left w:w="0" w:type="dxa"/>
            <w:bottom w:w="0" w:type="dxa"/>
            <w:right w:w="0" w:type="dxa"/>
          </w:tblCellMar>
        </w:tblPrEx>
        <w:trPr>
          <w:trHeight w:val="276"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8.74</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8.74</w:t>
            </w:r>
          </w:p>
        </w:tc>
      </w:tr>
      <w:tr>
        <w:tblPrEx>
          <w:tblCellMar>
            <w:top w:w="0" w:type="dxa"/>
            <w:left w:w="0" w:type="dxa"/>
            <w:bottom w:w="0" w:type="dxa"/>
            <w:right w:w="0" w:type="dxa"/>
          </w:tblCellMar>
        </w:tblPrEx>
        <w:trPr>
          <w:trHeight w:val="337"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91"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hint="eastAsia" w:cs="仿宋_GB2312" w:asciiTheme="majorEastAsia" w:hAnsiTheme="majorEastAsia" w:eastAsiaTheme="majorEastAsia"/>
                <w:color w:val="000000"/>
                <w:sz w:val="24"/>
              </w:rPr>
              <w:t>全力支持保障脱贫攻坚工作，圆满完成脱贫攻坚任务。</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hint="eastAsia" w:cs="仿宋_GB2312" w:asciiTheme="majorEastAsia" w:hAnsiTheme="majorEastAsia" w:eastAsiaTheme="majorEastAsia"/>
                <w:color w:val="000000"/>
                <w:sz w:val="24"/>
              </w:rPr>
              <w:t>帮扶村全部实现脱贫。</w:t>
            </w:r>
          </w:p>
        </w:tc>
      </w:tr>
      <w:tr>
        <w:tblPrEx>
          <w:tblCellMar>
            <w:top w:w="0" w:type="dxa"/>
            <w:left w:w="0" w:type="dxa"/>
            <w:bottom w:w="0" w:type="dxa"/>
            <w:right w:w="0" w:type="dxa"/>
          </w:tblCellMar>
        </w:tblPrEx>
        <w:trPr>
          <w:trHeight w:val="737" w:hRule="atLeast"/>
          <w:jc w:val="center"/>
        </w:trPr>
        <w:tc>
          <w:tcPr>
            <w:tcW w:w="100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绩效指标完成情况</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一级指标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二级指标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17"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数量指标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2个贫困村、4个非贫困村</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hint="eastAsia" w:cs="仿宋_GB2312" w:asciiTheme="majorEastAsia" w:hAnsiTheme="majorEastAsia" w:eastAsiaTheme="majorEastAsia"/>
                <w:color w:val="000000"/>
                <w:sz w:val="24"/>
              </w:rPr>
              <w:t>通过验收，巩固脱贫成果。</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cs="仿宋_GB2312" w:asciiTheme="majorEastAsia" w:hAnsiTheme="majorEastAsia" w:eastAsiaTheme="majorEastAsia"/>
                <w:color w:val="000000"/>
                <w:sz w:val="24"/>
              </w:rPr>
              <w:t>通过验收，巩固脱贫成果。</w:t>
            </w:r>
          </w:p>
        </w:tc>
      </w:tr>
      <w:tr>
        <w:tblPrEx>
          <w:tblCellMar>
            <w:top w:w="0" w:type="dxa"/>
            <w:left w:w="0" w:type="dxa"/>
            <w:bottom w:w="0" w:type="dxa"/>
            <w:right w:w="0" w:type="dxa"/>
          </w:tblCellMar>
        </w:tblPrEx>
        <w:trPr>
          <w:trHeight w:val="831"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质量</w:t>
            </w:r>
            <w:r>
              <w:rPr>
                <w:rFonts w:ascii="宋体" w:cs="宋体"/>
                <w:color w:val="000000"/>
                <w:sz w:val="24"/>
              </w:rPr>
              <w:t>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脱贫</w:t>
            </w:r>
            <w:r>
              <w:rPr>
                <w:rFonts w:ascii="宋体" w:cs="宋体"/>
                <w:color w:val="000000"/>
                <w:sz w:val="24"/>
              </w:rPr>
              <w:t>要求</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达到国家脱贫标准。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完成国家脱贫标准。</w:t>
            </w:r>
          </w:p>
        </w:tc>
      </w:tr>
      <w:tr>
        <w:tblPrEx>
          <w:tblCellMar>
            <w:top w:w="0" w:type="dxa"/>
            <w:left w:w="0" w:type="dxa"/>
            <w:bottom w:w="0" w:type="dxa"/>
            <w:right w:w="0" w:type="dxa"/>
          </w:tblCellMar>
        </w:tblPrEx>
        <w:trPr>
          <w:trHeight w:val="756"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时效</w:t>
            </w:r>
            <w:r>
              <w:rPr>
                <w:rFonts w:ascii="宋体" w:cs="宋体"/>
                <w:color w:val="000000"/>
                <w:sz w:val="24"/>
              </w:rPr>
              <w:t>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完成时限</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2020年底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2020年底</w:t>
            </w:r>
          </w:p>
        </w:tc>
      </w:tr>
      <w:tr>
        <w:tblPrEx>
          <w:tblCellMar>
            <w:top w:w="0" w:type="dxa"/>
            <w:left w:w="0" w:type="dxa"/>
            <w:bottom w:w="0" w:type="dxa"/>
            <w:right w:w="0" w:type="dxa"/>
          </w:tblCellMar>
        </w:tblPrEx>
        <w:trPr>
          <w:trHeight w:val="68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成本指标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工作经费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8.74万元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8.74万元</w:t>
            </w:r>
          </w:p>
        </w:tc>
      </w:tr>
      <w:tr>
        <w:tblPrEx>
          <w:tblCellMar>
            <w:top w:w="0" w:type="dxa"/>
            <w:left w:w="0" w:type="dxa"/>
            <w:bottom w:w="0" w:type="dxa"/>
            <w:right w:w="0" w:type="dxa"/>
          </w:tblCellMar>
        </w:tblPrEx>
        <w:trPr>
          <w:trHeight w:val="638"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经济效益</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sz w:val="24"/>
              </w:rPr>
              <w:t>贫困户收入</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sz w:val="24"/>
              </w:rPr>
              <w:t>达到国家标准。</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仿宋_GB2312" w:asciiTheme="majorEastAsia" w:hAnsiTheme="majorEastAsia" w:eastAsiaTheme="majorEastAsia"/>
                <w:color w:val="000000"/>
                <w:sz w:val="24"/>
              </w:rPr>
            </w:pPr>
            <w:r>
              <w:rPr>
                <w:rFonts w:hint="eastAsia" w:cs="仿宋_GB2312" w:asciiTheme="majorEastAsia" w:hAnsiTheme="majorEastAsia" w:eastAsiaTheme="majorEastAsia"/>
                <w:color w:val="000000"/>
                <w:sz w:val="24"/>
              </w:rPr>
              <w:t>达到国家标准。</w:t>
            </w:r>
          </w:p>
        </w:tc>
      </w:tr>
      <w:tr>
        <w:tblPrEx>
          <w:tblCellMar>
            <w:top w:w="0" w:type="dxa"/>
            <w:left w:w="0" w:type="dxa"/>
            <w:bottom w:w="0" w:type="dxa"/>
            <w:right w:w="0" w:type="dxa"/>
          </w:tblCellMar>
        </w:tblPrEx>
        <w:trPr>
          <w:trHeight w:val="74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社会效益</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贫困村</w:t>
            </w:r>
            <w:r>
              <w:rPr>
                <w:rFonts w:ascii="宋体" w:cs="宋体"/>
                <w:color w:val="000000"/>
                <w:sz w:val="24"/>
              </w:rPr>
              <w:t>及贫困户</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完成</w:t>
            </w:r>
            <w:r>
              <w:rPr>
                <w:rFonts w:ascii="宋体" w:cs="宋体"/>
                <w:color w:val="000000"/>
                <w:sz w:val="24"/>
              </w:rPr>
              <w:t>脱贫攻坚任务</w:t>
            </w:r>
            <w:r>
              <w:rPr>
                <w:rFonts w:hint="eastAsia" w:asci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完成</w:t>
            </w:r>
            <w:r>
              <w:rPr>
                <w:rFonts w:ascii="宋体" w:cs="宋体"/>
                <w:color w:val="000000"/>
                <w:sz w:val="24"/>
              </w:rPr>
              <w:t>脱贫攻坚任务</w:t>
            </w:r>
            <w:r>
              <w:rPr>
                <w:rFonts w:hint="eastAsia" w:ascii="宋体" w:cs="宋体"/>
                <w:color w:val="000000"/>
                <w:sz w:val="24"/>
              </w:rPr>
              <w:t>。</w:t>
            </w:r>
          </w:p>
        </w:tc>
      </w:tr>
      <w:tr>
        <w:tblPrEx>
          <w:tblCellMar>
            <w:top w:w="0" w:type="dxa"/>
            <w:left w:w="0" w:type="dxa"/>
            <w:bottom w:w="0" w:type="dxa"/>
            <w:right w:w="0" w:type="dxa"/>
          </w:tblCellMar>
        </w:tblPrEx>
        <w:trPr>
          <w:trHeight w:val="813"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生态效益</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帮扶村</w:t>
            </w:r>
            <w:r>
              <w:rPr>
                <w:rFonts w:ascii="宋体" w:cs="宋体"/>
                <w:color w:val="000000"/>
                <w:sz w:val="24"/>
              </w:rPr>
              <w:t>居住环境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改善</w:t>
            </w:r>
            <w:r>
              <w:rPr>
                <w:rFonts w:ascii="宋体" w:cs="宋体"/>
                <w:color w:val="000000"/>
                <w:sz w:val="24"/>
              </w:rPr>
              <w:t>环境</w:t>
            </w:r>
            <w:r>
              <w:rPr>
                <w:rFonts w:hint="eastAsia" w:asci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环境</w:t>
            </w:r>
            <w:r>
              <w:rPr>
                <w:rFonts w:hint="eastAsia" w:ascii="宋体" w:cs="宋体"/>
                <w:color w:val="000000"/>
                <w:sz w:val="24"/>
              </w:rPr>
              <w:t>改善。</w:t>
            </w:r>
          </w:p>
        </w:tc>
      </w:tr>
      <w:tr>
        <w:tblPrEx>
          <w:tblCellMar>
            <w:top w:w="0" w:type="dxa"/>
            <w:left w:w="0" w:type="dxa"/>
            <w:bottom w:w="0" w:type="dxa"/>
            <w:right w:w="0" w:type="dxa"/>
          </w:tblCellMar>
        </w:tblPrEx>
        <w:trPr>
          <w:trHeight w:val="838"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可持续影响指标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脱贫</w:t>
            </w:r>
            <w:r>
              <w:rPr>
                <w:rFonts w:ascii="宋体" w:cs="宋体"/>
                <w:color w:val="000000"/>
                <w:sz w:val="24"/>
              </w:rPr>
              <w:t>效果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巩固</w:t>
            </w:r>
            <w:r>
              <w:rPr>
                <w:rFonts w:ascii="宋体" w:cs="宋体"/>
                <w:color w:val="000000"/>
                <w:sz w:val="24"/>
              </w:rPr>
              <w:t>脱贫成果</w:t>
            </w:r>
            <w:r>
              <w:rPr>
                <w:rFonts w:hint="eastAsia" w:ascii="宋体" w:cs="宋体"/>
                <w:color w:val="000000"/>
                <w:sz w:val="24"/>
              </w:rPr>
              <w:t>，</w:t>
            </w:r>
            <w:r>
              <w:rPr>
                <w:rFonts w:ascii="宋体" w:cs="宋体"/>
                <w:color w:val="000000"/>
                <w:sz w:val="24"/>
              </w:rPr>
              <w:t>防止返贫</w:t>
            </w:r>
            <w:r>
              <w:rPr>
                <w:rFonts w:hint="eastAsia" w:ascii="宋体" w:cs="宋体"/>
                <w:color w:val="00000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巩固</w:t>
            </w:r>
            <w:r>
              <w:rPr>
                <w:rFonts w:ascii="宋体" w:cs="宋体"/>
                <w:color w:val="000000"/>
                <w:sz w:val="24"/>
              </w:rPr>
              <w:t>脱贫成果</w:t>
            </w:r>
            <w:r>
              <w:rPr>
                <w:rFonts w:hint="eastAsia" w:ascii="宋体" w:cs="宋体"/>
                <w:color w:val="000000"/>
                <w:sz w:val="24"/>
              </w:rPr>
              <w:t>，</w:t>
            </w:r>
            <w:r>
              <w:rPr>
                <w:rFonts w:ascii="宋体" w:cs="宋体"/>
                <w:color w:val="000000"/>
                <w:sz w:val="24"/>
              </w:rPr>
              <w:t>防止返贫</w:t>
            </w:r>
            <w:r>
              <w:rPr>
                <w:rFonts w:hint="eastAsia" w:ascii="宋体" w:cs="宋体"/>
                <w:color w:val="000000"/>
                <w:sz w:val="24"/>
              </w:rPr>
              <w:t>。</w:t>
            </w:r>
          </w:p>
        </w:tc>
      </w:tr>
      <w:tr>
        <w:tblPrEx>
          <w:tblCellMar>
            <w:top w:w="0" w:type="dxa"/>
            <w:left w:w="0" w:type="dxa"/>
            <w:bottom w:w="0" w:type="dxa"/>
            <w:right w:w="0" w:type="dxa"/>
          </w:tblCellMar>
        </w:tblPrEx>
        <w:trPr>
          <w:trHeight w:val="739" w:hRule="atLeast"/>
          <w:jc w:val="center"/>
        </w:trPr>
        <w:tc>
          <w:tcPr>
            <w:tcW w:w="100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满意度指标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满意度指标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帮扶对象</w:t>
            </w:r>
            <w:r>
              <w:rPr>
                <w:rFonts w:ascii="宋体" w:cs="宋体"/>
                <w:color w:val="000000"/>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98%</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98%</w:t>
            </w:r>
          </w:p>
        </w:tc>
      </w:tr>
    </w:tbl>
    <w:p/>
    <w:p>
      <w:pPr>
        <w:ind w:firstLine="312" w:firstLineChars="149"/>
      </w:pPr>
    </w:p>
    <w:tbl>
      <w:tblPr>
        <w:tblStyle w:val="11"/>
        <w:tblpPr w:leftFromText="180" w:rightFromText="180" w:vertAnchor="text" w:horzAnchor="page" w:tblpXSpec="center" w:tblpY="423"/>
        <w:tblOverlap w:val="never"/>
        <w:tblW w:w="9960" w:type="dxa"/>
        <w:jc w:val="center"/>
        <w:tblLayout w:type="fixed"/>
        <w:tblCellMar>
          <w:top w:w="0" w:type="dxa"/>
          <w:left w:w="0" w:type="dxa"/>
          <w:bottom w:w="0" w:type="dxa"/>
          <w:right w:w="0" w:type="dxa"/>
        </w:tblCellMar>
      </w:tblPr>
      <w:tblGrid>
        <w:gridCol w:w="1008"/>
        <w:gridCol w:w="1134"/>
        <w:gridCol w:w="992"/>
        <w:gridCol w:w="283"/>
        <w:gridCol w:w="1757"/>
        <w:gridCol w:w="2394"/>
        <w:gridCol w:w="2392"/>
      </w:tblGrid>
      <w:tr>
        <w:tblPrEx>
          <w:tblCellMar>
            <w:top w:w="0" w:type="dxa"/>
            <w:left w:w="0" w:type="dxa"/>
            <w:bottom w:w="0" w:type="dxa"/>
            <w:right w:w="0" w:type="dxa"/>
          </w:tblCellMar>
        </w:tblPrEx>
        <w:trPr>
          <w:trHeight w:val="1034" w:hRule="atLeast"/>
          <w:jc w:val="center"/>
        </w:trPr>
        <w:tc>
          <w:tcPr>
            <w:tcW w:w="9960" w:type="dxa"/>
            <w:gridSpan w:val="7"/>
            <w:tcBorders>
              <w:top w:val="nil"/>
              <w:left w:val="nil"/>
              <w:bottom w:val="nil"/>
              <w:right w:val="nil"/>
            </w:tcBorders>
            <w:tcMar>
              <w:top w:w="15" w:type="dxa"/>
              <w:left w:w="15" w:type="dxa"/>
              <w:right w:w="15" w:type="dxa"/>
            </w:tcMar>
            <w:vAlign w:val="center"/>
          </w:tcPr>
          <w:p>
            <w:pPr>
              <w:jc w:val="center"/>
              <w:textAlignment w:val="center"/>
              <w:rPr>
                <w:rFonts w:ascii="宋体" w:cs="宋体"/>
                <w:color w:val="000000"/>
                <w:sz w:val="36"/>
                <w:szCs w:val="36"/>
              </w:rPr>
            </w:pPr>
            <w:r>
              <w:rPr>
                <w:rFonts w:hint="eastAsia" w:ascii="宋体" w:hAnsi="宋体" w:cs="宋体"/>
                <w:b/>
                <w:bCs/>
                <w:color w:val="000000"/>
                <w:kern w:val="0"/>
                <w:sz w:val="36"/>
                <w:szCs w:val="36"/>
              </w:rPr>
              <w:t>项目绩效目标完成情况表</w:t>
            </w:r>
            <w:r>
              <w:rPr>
                <w:rFonts w:ascii="宋体" w:cs="宋体"/>
                <w:b/>
                <w:bCs/>
                <w:color w:val="000000"/>
                <w:kern w:val="0"/>
                <w:sz w:val="36"/>
                <w:szCs w:val="36"/>
              </w:rPr>
              <w:br w:type="textWrapping"/>
            </w:r>
            <w:r>
              <w:rPr>
                <w:rFonts w:ascii="宋体" w:hAnsi="宋体" w:cs="宋体"/>
                <w:color w:val="000000"/>
                <w:kern w:val="0"/>
                <w:sz w:val="36"/>
                <w:szCs w:val="36"/>
              </w:rPr>
              <w:t>(2020</w:t>
            </w:r>
            <w:r>
              <w:rPr>
                <w:rFonts w:hint="eastAsia" w:ascii="宋体" w:hAnsi="宋体" w:cs="宋体"/>
                <w:color w:val="000000"/>
                <w:kern w:val="0"/>
                <w:sz w:val="36"/>
                <w:szCs w:val="36"/>
              </w:rPr>
              <w:t>年度</w:t>
            </w:r>
            <w:r>
              <w:rPr>
                <w:rFonts w:ascii="宋体" w:hAnsi="宋体" w:cs="宋体"/>
                <w:color w:val="000000"/>
                <w:kern w:val="0"/>
                <w:sz w:val="36"/>
                <w:szCs w:val="36"/>
              </w:rPr>
              <w:t>)</w:t>
            </w:r>
          </w:p>
        </w:tc>
      </w:tr>
      <w:tr>
        <w:tblPrEx>
          <w:tblCellMar>
            <w:top w:w="0" w:type="dxa"/>
            <w:left w:w="0" w:type="dxa"/>
            <w:bottom w:w="0" w:type="dxa"/>
            <w:right w:w="0" w:type="dxa"/>
          </w:tblCellMar>
        </w:tblPrEx>
        <w:trPr>
          <w:trHeight w:val="419"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项目名称</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hint="eastAsia" w:asciiTheme="majorEastAsia" w:hAnsiTheme="majorEastAsia" w:eastAsiaTheme="majorEastAsia"/>
                <w:color w:val="000000"/>
                <w:sz w:val="24"/>
              </w:rPr>
              <w:t>财政管理电子平台建设维护费</w:t>
            </w:r>
          </w:p>
        </w:tc>
      </w:tr>
      <w:tr>
        <w:tblPrEx>
          <w:tblCellMar>
            <w:top w:w="0" w:type="dxa"/>
            <w:left w:w="0" w:type="dxa"/>
            <w:bottom w:w="0" w:type="dxa"/>
            <w:right w:w="0" w:type="dxa"/>
          </w:tblCellMar>
        </w:tblPrEx>
        <w:trPr>
          <w:trHeight w:val="472" w:hRule="atLeast"/>
          <w:jc w:val="center"/>
        </w:trPr>
        <w:tc>
          <w:tcPr>
            <w:tcW w:w="3134"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预算单位</w:t>
            </w:r>
          </w:p>
        </w:tc>
        <w:tc>
          <w:tcPr>
            <w:tcW w:w="682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hint="eastAsia" w:cs="仿宋_GB2312" w:asciiTheme="majorEastAsia" w:hAnsiTheme="majorEastAsia" w:eastAsiaTheme="majorEastAsia"/>
                <w:color w:val="000000"/>
                <w:sz w:val="24"/>
              </w:rPr>
              <w:t>广元市财政局</w:t>
            </w:r>
          </w:p>
        </w:tc>
      </w:tr>
      <w:tr>
        <w:tblPrEx>
          <w:tblCellMar>
            <w:top w:w="0" w:type="dxa"/>
            <w:left w:w="0" w:type="dxa"/>
            <w:bottom w:w="0" w:type="dxa"/>
            <w:right w:w="0" w:type="dxa"/>
          </w:tblCellMar>
        </w:tblPrEx>
        <w:trPr>
          <w:trHeight w:val="537"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预算执行情况</w:t>
            </w:r>
            <w:r>
              <w:rPr>
                <w:rFonts w:ascii="宋体" w:hAnsi="宋体" w:cs="宋体"/>
                <w:color w:val="000000"/>
                <w:kern w:val="0"/>
                <w:sz w:val="24"/>
              </w:rPr>
              <w:t>(</w:t>
            </w:r>
            <w:r>
              <w:rPr>
                <w:rFonts w:hint="eastAsia" w:ascii="宋体" w:hAnsi="宋体" w:cs="宋体"/>
                <w:color w:val="000000"/>
                <w:kern w:val="0"/>
                <w:sz w:val="24"/>
              </w:rPr>
              <w:t>万元</w:t>
            </w:r>
            <w:r>
              <w:rPr>
                <w:rFonts w:ascii="宋体" w:hAnsi="宋体" w:cs="宋体"/>
                <w:color w:val="000000"/>
                <w:kern w:val="0"/>
                <w:sz w:val="24"/>
              </w:rPr>
              <w:t>)</w:t>
            </w: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预算数</w:t>
            </w:r>
            <w:r>
              <w:rPr>
                <w:rFonts w:ascii="宋体" w:hAnsi="宋体" w:cs="宋体"/>
                <w:color w:val="000000"/>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执行数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30</w:t>
            </w:r>
          </w:p>
        </w:tc>
      </w:tr>
      <w:tr>
        <w:tblPrEx>
          <w:tblCellMar>
            <w:top w:w="0" w:type="dxa"/>
            <w:left w:w="0" w:type="dxa"/>
            <w:bottom w:w="0" w:type="dxa"/>
            <w:right w:w="0" w:type="dxa"/>
          </w:tblCellMar>
        </w:tblPrEx>
        <w:trPr>
          <w:trHeight w:val="276"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30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其中</w:t>
            </w:r>
            <w:r>
              <w:rPr>
                <w:rFonts w:ascii="宋体" w:cs="宋体"/>
                <w:color w:val="000000"/>
                <w:kern w:val="0"/>
                <w:sz w:val="24"/>
              </w:rPr>
              <w:t>-</w:t>
            </w:r>
            <w:r>
              <w:rPr>
                <w:rFonts w:hint="eastAsia" w:ascii="宋体" w:hAnsi="宋体" w:cs="宋体"/>
                <w:color w:val="000000"/>
                <w:kern w:val="0"/>
                <w:sz w:val="24"/>
              </w:rPr>
              <w:t>财政拨款</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30</w:t>
            </w:r>
          </w:p>
        </w:tc>
      </w:tr>
      <w:tr>
        <w:tblPrEx>
          <w:tblCellMar>
            <w:top w:w="0" w:type="dxa"/>
            <w:left w:w="0" w:type="dxa"/>
            <w:bottom w:w="0" w:type="dxa"/>
            <w:right w:w="0" w:type="dxa"/>
          </w:tblCellMar>
        </w:tblPrEx>
        <w:trPr>
          <w:trHeight w:val="337"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212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040"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其它资金</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r>
      <w:tr>
        <w:tblPrEx>
          <w:tblCellMar>
            <w:top w:w="0" w:type="dxa"/>
            <w:left w:w="0" w:type="dxa"/>
            <w:bottom w:w="0" w:type="dxa"/>
            <w:right w:w="0" w:type="dxa"/>
          </w:tblCellMar>
        </w:tblPrEx>
        <w:trPr>
          <w:trHeight w:val="276" w:hRule="atLeast"/>
          <w:jc w:val="center"/>
        </w:trPr>
        <w:tc>
          <w:tcPr>
            <w:tcW w:w="100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年度目标完成情况</w:t>
            </w: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991" w:hRule="atLeast"/>
          <w:jc w:val="center"/>
        </w:trPr>
        <w:tc>
          <w:tcPr>
            <w:tcW w:w="100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ascii="宋体" w:cs="宋体"/>
                <w:color w:val="000000"/>
                <w:sz w:val="24"/>
              </w:rPr>
            </w:pPr>
          </w:p>
        </w:tc>
        <w:tc>
          <w:tcPr>
            <w:tcW w:w="4166" w:type="dxa"/>
            <w:gridSpan w:val="4"/>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hint="eastAsia" w:cs="仿宋_GB2312" w:asciiTheme="majorEastAsia" w:hAnsiTheme="majorEastAsia" w:eastAsiaTheme="majorEastAsia"/>
                <w:color w:val="000000"/>
                <w:sz w:val="24"/>
              </w:rPr>
              <w:t>保证财政各项系统的顺利运转，确保全市财政资金的顺利拨付清算。</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hint="eastAsia" w:cs="仿宋_GB2312" w:asciiTheme="majorEastAsia" w:hAnsiTheme="majorEastAsia" w:eastAsiaTheme="majorEastAsia"/>
                <w:color w:val="000000"/>
                <w:sz w:val="24"/>
              </w:rPr>
              <w:t>确保了财政各项系统的顺利运转，确保全市财政资金的顺利拨付和工作开展。</w:t>
            </w:r>
          </w:p>
        </w:tc>
      </w:tr>
      <w:tr>
        <w:tblPrEx>
          <w:tblCellMar>
            <w:top w:w="0" w:type="dxa"/>
            <w:left w:w="0" w:type="dxa"/>
            <w:bottom w:w="0" w:type="dxa"/>
            <w:right w:w="0" w:type="dxa"/>
          </w:tblCellMar>
        </w:tblPrEx>
        <w:trPr>
          <w:trHeight w:val="737" w:hRule="atLeast"/>
          <w:jc w:val="center"/>
        </w:trPr>
        <w:tc>
          <w:tcPr>
            <w:tcW w:w="100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sz w:val="24"/>
              </w:rPr>
              <w:t>绩效指标完成情况</w:t>
            </w: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一级指标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二级指标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预期指标值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实际完成指标值</w:t>
            </w:r>
            <w:r>
              <w:rPr>
                <w:rFonts w:ascii="宋体" w:hAnsi="宋体" w:cs="宋体"/>
                <w:color w:val="000000"/>
                <w:kern w:val="0"/>
                <w:sz w:val="24"/>
              </w:rPr>
              <w:t>(</w:t>
            </w:r>
            <w:r>
              <w:rPr>
                <w:rFonts w:hint="eastAsia" w:ascii="宋体" w:hAnsi="宋体" w:cs="宋体"/>
                <w:color w:val="000000"/>
                <w:kern w:val="0"/>
                <w:sz w:val="24"/>
              </w:rPr>
              <w:t>包含数字及文字描述</w:t>
            </w:r>
            <w:r>
              <w:rPr>
                <w:rFonts w:ascii="宋体" w:hAnsi="宋体" w:cs="宋体"/>
                <w:color w:val="000000"/>
                <w:kern w:val="0"/>
                <w:sz w:val="24"/>
              </w:rPr>
              <w:t>)</w:t>
            </w:r>
          </w:p>
        </w:tc>
      </w:tr>
      <w:tr>
        <w:tblPrEx>
          <w:tblCellMar>
            <w:top w:w="0" w:type="dxa"/>
            <w:left w:w="0" w:type="dxa"/>
            <w:bottom w:w="0" w:type="dxa"/>
            <w:right w:w="0" w:type="dxa"/>
          </w:tblCellMar>
        </w:tblPrEx>
        <w:trPr>
          <w:trHeight w:val="917"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数量指标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信息系统及网站</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cs="宋体" w:asciiTheme="majorEastAsia" w:hAnsiTheme="majorEastAsia" w:eastAsiaTheme="majorEastAsia"/>
                <w:color w:val="000000"/>
                <w:sz w:val="24"/>
              </w:rPr>
            </w:pPr>
            <w:r>
              <w:rPr>
                <w:rFonts w:cs="宋体" w:asciiTheme="majorEastAsia" w:hAnsiTheme="majorEastAsia" w:eastAsiaTheme="majorEastAsia"/>
                <w:color w:val="000000"/>
                <w:sz w:val="24"/>
              </w:rPr>
              <w:t>完成供养系统</w:t>
            </w: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部门预算系统</w:t>
            </w: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会计核算平台</w:t>
            </w: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网上竞价系统</w:t>
            </w:r>
            <w:r>
              <w:rPr>
                <w:rFonts w:hint="eastAsia" w:cs="宋体" w:asciiTheme="majorEastAsia" w:hAnsiTheme="majorEastAsia" w:eastAsiaTheme="majorEastAsia"/>
                <w:color w:val="000000"/>
                <w:sz w:val="24"/>
              </w:rPr>
              <w:t>、</w:t>
            </w:r>
            <w:r>
              <w:rPr>
                <w:rFonts w:cs="宋体" w:asciiTheme="majorEastAsia" w:hAnsiTheme="majorEastAsia" w:eastAsiaTheme="majorEastAsia"/>
                <w:color w:val="000000"/>
                <w:sz w:val="24"/>
              </w:rPr>
              <w:t>非税收入系统</w:t>
            </w:r>
            <w:r>
              <w:rPr>
                <w:rFonts w:hint="eastAsia" w:cs="宋体" w:asciiTheme="majorEastAsia" w:hAnsiTheme="majorEastAsia" w:eastAsiaTheme="majorEastAsia"/>
                <w:color w:val="000000"/>
                <w:sz w:val="24"/>
              </w:rPr>
              <w:t>、OA协同办公系统、资产管理系统等及金财网络运行维护。</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cs="仿宋_GB2312" w:asciiTheme="majorEastAsia" w:hAnsiTheme="majorEastAsia" w:eastAsiaTheme="majorEastAsia"/>
                <w:color w:val="000000"/>
                <w:sz w:val="24"/>
              </w:rPr>
              <w:t>完成系统及网络运行维护，保障财政工作开展。</w:t>
            </w:r>
          </w:p>
        </w:tc>
      </w:tr>
      <w:tr>
        <w:tblPrEx>
          <w:tblCellMar>
            <w:top w:w="0" w:type="dxa"/>
            <w:left w:w="0" w:type="dxa"/>
            <w:bottom w:w="0" w:type="dxa"/>
            <w:right w:w="0" w:type="dxa"/>
          </w:tblCellMar>
        </w:tblPrEx>
        <w:trPr>
          <w:trHeight w:val="831"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质量</w:t>
            </w:r>
            <w:r>
              <w:rPr>
                <w:rFonts w:ascii="宋体" w:cs="宋体"/>
                <w:color w:val="000000"/>
                <w:sz w:val="24"/>
              </w:rPr>
              <w:t>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信息系统及网站运行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顺利运行。</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顺利运行。</w:t>
            </w:r>
          </w:p>
        </w:tc>
      </w:tr>
      <w:tr>
        <w:tblPrEx>
          <w:tblCellMar>
            <w:top w:w="0" w:type="dxa"/>
            <w:left w:w="0" w:type="dxa"/>
            <w:bottom w:w="0" w:type="dxa"/>
            <w:right w:w="0" w:type="dxa"/>
          </w:tblCellMar>
        </w:tblPrEx>
        <w:trPr>
          <w:trHeight w:val="756"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时效</w:t>
            </w:r>
            <w:r>
              <w:rPr>
                <w:rFonts w:ascii="宋体" w:cs="宋体"/>
                <w:color w:val="000000"/>
                <w:sz w:val="24"/>
              </w:rPr>
              <w:t>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信息系统及网站运行</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按合同约定完成。</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按合同约定完成。</w:t>
            </w:r>
          </w:p>
        </w:tc>
      </w:tr>
      <w:tr>
        <w:tblPrEx>
          <w:tblCellMar>
            <w:top w:w="0" w:type="dxa"/>
            <w:left w:w="0" w:type="dxa"/>
            <w:bottom w:w="0" w:type="dxa"/>
            <w:right w:w="0" w:type="dxa"/>
          </w:tblCellMar>
        </w:tblPrEx>
        <w:trPr>
          <w:trHeight w:val="68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kern w:val="0"/>
                <w:sz w:val="24"/>
              </w:rPr>
            </w:pPr>
            <w:r>
              <w:rPr>
                <w:rFonts w:hint="eastAsia" w:ascii="宋体" w:hAnsi="宋体" w:cs="宋体"/>
                <w:color w:val="000000"/>
                <w:kern w:val="0"/>
                <w:sz w:val="24"/>
              </w:rPr>
              <w:t>项目完成指标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成本指标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维护</w:t>
            </w:r>
            <w:r>
              <w:rPr>
                <w:rFonts w:ascii="宋体" w:cs="宋体"/>
                <w:color w:val="000000"/>
                <w:sz w:val="24"/>
              </w:rPr>
              <w:t>及服务费</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30万元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30万元</w:t>
            </w:r>
          </w:p>
        </w:tc>
      </w:tr>
      <w:tr>
        <w:tblPrEx>
          <w:tblCellMar>
            <w:top w:w="0" w:type="dxa"/>
            <w:left w:w="0" w:type="dxa"/>
            <w:bottom w:w="0" w:type="dxa"/>
            <w:right w:w="0" w:type="dxa"/>
          </w:tblCellMar>
        </w:tblPrEx>
        <w:trPr>
          <w:trHeight w:val="742" w:hRule="atLeast"/>
          <w:jc w:val="center"/>
        </w:trPr>
        <w:tc>
          <w:tcPr>
            <w:tcW w:w="1008" w:type="dxa"/>
            <w:vMerge w:val="continue"/>
            <w:tcBorders>
              <w:left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效益指标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社会效益</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财政工作</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为财政工作顺利开展提供技术保证。</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为财政工作顺利开展提供技术保证。</w:t>
            </w:r>
          </w:p>
        </w:tc>
      </w:tr>
      <w:tr>
        <w:tblPrEx>
          <w:tblCellMar>
            <w:top w:w="0" w:type="dxa"/>
            <w:left w:w="0" w:type="dxa"/>
            <w:bottom w:w="0" w:type="dxa"/>
            <w:right w:w="0" w:type="dxa"/>
          </w:tblCellMar>
        </w:tblPrEx>
        <w:trPr>
          <w:trHeight w:val="739" w:hRule="atLeast"/>
          <w:jc w:val="center"/>
        </w:trPr>
        <w:tc>
          <w:tcPr>
            <w:tcW w:w="100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p>
        </w:tc>
        <w:tc>
          <w:tcPr>
            <w:tcW w:w="113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hAnsi="宋体" w:cs="宋体"/>
                <w:color w:val="000000"/>
                <w:kern w:val="0"/>
                <w:sz w:val="24"/>
              </w:rPr>
              <w:t>满意度指标</w:t>
            </w:r>
          </w:p>
        </w:tc>
        <w:tc>
          <w:tcPr>
            <w:tcW w:w="1275"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ascii="宋体" w:cs="宋体"/>
                <w:color w:val="000000"/>
                <w:sz w:val="24"/>
              </w:rPr>
              <w:t>满意度指标</w:t>
            </w:r>
          </w:p>
        </w:tc>
        <w:tc>
          <w:tcPr>
            <w:tcW w:w="175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单位及科室</w:t>
            </w:r>
            <w:r>
              <w:rPr>
                <w:rFonts w:ascii="宋体" w:cs="宋体"/>
                <w:color w:val="000000"/>
                <w:sz w:val="24"/>
              </w:rPr>
              <w:t>满意度</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95%</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textAlignment w:val="center"/>
              <w:rPr>
                <w:rFonts w:ascii="宋体" w:cs="宋体"/>
                <w:color w:val="000000"/>
                <w:sz w:val="24"/>
              </w:rPr>
            </w:pPr>
            <w:r>
              <w:rPr>
                <w:rFonts w:hint="eastAsia" w:ascii="宋体" w:cs="宋体"/>
                <w:color w:val="000000"/>
                <w:sz w:val="24"/>
              </w:rPr>
              <w:t>95%</w:t>
            </w:r>
          </w:p>
        </w:tc>
      </w:tr>
    </w:tbl>
    <w:p/>
    <w:p>
      <w:pPr>
        <w:ind w:firstLine="476" w:firstLineChars="149"/>
        <w:rPr>
          <w:rFonts w:ascii="楷体_GB2312" w:hAnsi="楷体_GB2312" w:eastAsia="楷体_GB2312" w:cs="楷体_GB2312"/>
          <w:sz w:val="32"/>
          <w:szCs w:val="32"/>
        </w:rPr>
        <w:sectPr>
          <w:footerReference r:id="rId7" w:type="default"/>
          <w:pgSz w:w="11906" w:h="16838"/>
          <w:pgMar w:top="1587" w:right="1134" w:bottom="1134" w:left="1134" w:header="851" w:footer="1559" w:gutter="0"/>
          <w:pgNumType w:start="18"/>
          <w:cols w:space="0" w:num="1"/>
          <w:docGrid w:type="lines" w:linePitch="312" w:charSpace="0"/>
        </w:sectPr>
      </w:pP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2.部门绩效评价结果。</w:t>
      </w:r>
    </w:p>
    <w:p>
      <w:pPr>
        <w:spacing w:line="576"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本部门按要求对2020年部门整体支出绩效评价情况开展自评，《广元市财政局2020年部门整体支出绩效评价报告》见附件（附件1）。</w:t>
      </w:r>
    </w:p>
    <w:p>
      <w:pPr>
        <w:spacing w:line="576" w:lineRule="exact"/>
        <w:ind w:firstLine="640" w:firstLineChars="200"/>
        <w:rPr>
          <w:rFonts w:hint="eastAsia" w:ascii="仿宋_GB2312" w:hAnsi="仿宋_GB2312" w:eastAsia="仿宋_GB2312" w:cs="仿宋_GB2312"/>
          <w:sz w:val="32"/>
          <w:szCs w:val="32"/>
        </w:rPr>
      </w:pPr>
      <w:r>
        <w:rPr>
          <w:rFonts w:hint="eastAsia" w:ascii="仿宋_GB2312" w:hAnsi="仿宋" w:eastAsia="仿宋_GB2312"/>
          <w:color w:val="000000"/>
          <w:sz w:val="32"/>
          <w:szCs w:val="32"/>
        </w:rPr>
        <w:t>本单位自行组织对</w:t>
      </w:r>
      <w:r>
        <w:rPr>
          <w:rFonts w:hint="eastAsia" w:ascii="仿宋_GB2312" w:eastAsia="仿宋_GB2312"/>
          <w:color w:val="000000"/>
          <w:sz w:val="32"/>
          <w:szCs w:val="32"/>
        </w:rPr>
        <w:t>财政管理专项工作经费项目、全市财政系统干部能力提升培训专项经费项目、会计职称考务费项目、脱贫攻坚部门工作经费及第一书记生活补贴项目、财政管理电子平台建设维护费项目</w:t>
      </w:r>
      <w:r>
        <w:rPr>
          <w:rFonts w:hint="eastAsia" w:ascii="仿宋_GB2312" w:hAnsi="仿宋" w:eastAsia="仿宋_GB2312"/>
          <w:color w:val="000000"/>
          <w:sz w:val="32"/>
          <w:szCs w:val="32"/>
        </w:rPr>
        <w:t>开展了绩效评价，《</w:t>
      </w:r>
      <w:r>
        <w:rPr>
          <w:rFonts w:hint="eastAsia" w:ascii="仿宋_GB2312" w:eastAsia="仿宋_GB2312"/>
          <w:color w:val="000000"/>
          <w:sz w:val="32"/>
          <w:szCs w:val="32"/>
        </w:rPr>
        <w:t>财政管理专项工作经费</w:t>
      </w:r>
      <w:r>
        <w:rPr>
          <w:rFonts w:hint="eastAsia" w:ascii="仿宋_GB2312" w:hAnsi="仿宋" w:eastAsia="仿宋_GB2312"/>
          <w:color w:val="000000"/>
          <w:sz w:val="32"/>
          <w:szCs w:val="32"/>
        </w:rPr>
        <w:t>项目2020年绩效评价报告》《</w:t>
      </w:r>
      <w:r>
        <w:rPr>
          <w:rFonts w:hint="eastAsia" w:ascii="仿宋_GB2312" w:eastAsia="仿宋_GB2312"/>
          <w:color w:val="000000"/>
          <w:sz w:val="32"/>
          <w:szCs w:val="32"/>
        </w:rPr>
        <w:t>全市财政系统干部能力提升培训专项经费</w:t>
      </w:r>
      <w:r>
        <w:rPr>
          <w:rFonts w:hint="eastAsia" w:ascii="仿宋_GB2312" w:hAnsi="仿宋" w:eastAsia="仿宋_GB2312"/>
          <w:color w:val="000000"/>
          <w:sz w:val="32"/>
          <w:szCs w:val="32"/>
        </w:rPr>
        <w:t>项目2020年绩效评价报告》《</w:t>
      </w:r>
      <w:r>
        <w:rPr>
          <w:rFonts w:hint="eastAsia" w:ascii="仿宋_GB2312" w:eastAsia="仿宋_GB2312"/>
          <w:color w:val="000000"/>
          <w:sz w:val="32"/>
          <w:szCs w:val="32"/>
        </w:rPr>
        <w:t>会计职称考务费</w:t>
      </w:r>
      <w:r>
        <w:rPr>
          <w:rFonts w:hint="eastAsia" w:ascii="仿宋_GB2312" w:hAnsi="仿宋" w:eastAsia="仿宋_GB2312"/>
          <w:color w:val="000000"/>
          <w:sz w:val="32"/>
          <w:szCs w:val="32"/>
        </w:rPr>
        <w:t>项目2020年绩效评价报告》《</w:t>
      </w:r>
      <w:r>
        <w:rPr>
          <w:rFonts w:hint="eastAsia" w:ascii="仿宋_GB2312" w:eastAsia="仿宋_GB2312"/>
          <w:color w:val="000000"/>
          <w:sz w:val="32"/>
          <w:szCs w:val="32"/>
        </w:rPr>
        <w:t>脱贫攻坚部门工作经费及第一书记生活补贴</w:t>
      </w:r>
      <w:r>
        <w:rPr>
          <w:rFonts w:hint="eastAsia" w:ascii="仿宋_GB2312" w:hAnsi="仿宋" w:eastAsia="仿宋_GB2312"/>
          <w:color w:val="000000"/>
          <w:sz w:val="32"/>
          <w:szCs w:val="32"/>
        </w:rPr>
        <w:t>项目2020年绩效评价报告》《</w:t>
      </w:r>
      <w:r>
        <w:rPr>
          <w:rFonts w:hint="eastAsia" w:ascii="仿宋_GB2312" w:eastAsia="仿宋_GB2312"/>
          <w:color w:val="000000"/>
          <w:sz w:val="32"/>
          <w:szCs w:val="32"/>
        </w:rPr>
        <w:t>财政管理电子平台建设维护费</w:t>
      </w:r>
      <w:r>
        <w:rPr>
          <w:rFonts w:hint="eastAsia" w:ascii="仿宋_GB2312" w:hAnsi="仿宋" w:eastAsia="仿宋_GB2312"/>
          <w:color w:val="000000"/>
          <w:sz w:val="32"/>
          <w:szCs w:val="32"/>
        </w:rPr>
        <w:t>项目2020年绩效评价报告》见附件（附件2）。</w:t>
      </w: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Pr>
        <w:ind w:firstLine="312" w:firstLineChars="149"/>
      </w:pPr>
    </w:p>
    <w:p/>
    <w:p>
      <w:pPr>
        <w:adjustRightInd w:val="0"/>
        <w:snapToGrid w:val="0"/>
        <w:spacing w:line="360" w:lineRule="auto"/>
        <w:jc w:val="center"/>
        <w:outlineLvl w:val="0"/>
        <w:rPr>
          <w:rFonts w:ascii="方正小标宋简体" w:hAnsi="方正小标宋简体" w:eastAsia="方正小标宋简体" w:cs="方正小标宋简体"/>
          <w:color w:val="000000"/>
          <w:sz w:val="44"/>
          <w:szCs w:val="44"/>
        </w:rPr>
      </w:pPr>
      <w:bookmarkStart w:id="56" w:name="_Toc15377225"/>
      <w:bookmarkStart w:id="57" w:name="_Toc30032"/>
      <w:bookmarkStart w:id="58" w:name="_Toc15396613"/>
      <w:r>
        <w:rPr>
          <w:rFonts w:hint="eastAsia" w:ascii="方正小标宋简体" w:hAnsi="方正小标宋简体" w:eastAsia="方正小标宋简体" w:cs="方正小标宋简体"/>
          <w:color w:val="000000"/>
          <w:sz w:val="44"/>
          <w:szCs w:val="44"/>
        </w:rPr>
        <w:t>第三部分名词解释</w:t>
      </w:r>
      <w:bookmarkEnd w:id="56"/>
      <w:bookmarkEnd w:id="57"/>
      <w:bookmarkEnd w:id="58"/>
    </w:p>
    <w:p>
      <w:pPr>
        <w:spacing w:line="576" w:lineRule="exact"/>
        <w:ind w:firstLine="883" w:firstLineChars="200"/>
        <w:jc w:val="left"/>
        <w:rPr>
          <w:rFonts w:ascii="宋体"/>
          <w:b/>
          <w:color w:val="000000"/>
          <w:sz w:val="44"/>
          <w:szCs w:val="44"/>
        </w:rPr>
      </w:pPr>
    </w:p>
    <w:p>
      <w:pPr>
        <w:pStyle w:val="24"/>
        <w:spacing w:line="57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1.财政拨款收入：指单位从同级财政部门取得的财政预算资金。</w:t>
      </w:r>
    </w:p>
    <w:p>
      <w:pPr>
        <w:pStyle w:val="24"/>
        <w:spacing w:line="57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2.其他收入：指单位取得的除上述收入以外的各项收入。主要是利息收入、疫情防控专项经费等。</w:t>
      </w:r>
    </w:p>
    <w:p>
      <w:pPr>
        <w:pStyle w:val="24"/>
        <w:spacing w:line="57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3.年初结转和结余：指以前年度尚未完成、结转到本年按有关规定继续使用的资金。</w:t>
      </w:r>
    </w:p>
    <w:p>
      <w:pPr>
        <w:pStyle w:val="24"/>
        <w:spacing w:line="576" w:lineRule="exact"/>
        <w:ind w:firstLine="640" w:firstLineChars="200"/>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4.年末结转和结余：指单位按有关规定结转到下年或以后年度继续使用的资金。</w:t>
      </w:r>
    </w:p>
    <w:p>
      <w:pPr>
        <w:spacing w:line="576"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rPr>
        <w:t>5.一般公共服务（类）</w:t>
      </w:r>
      <w:r>
        <w:rPr>
          <w:rFonts w:hint="eastAsia" w:ascii="仿宋_GB2312" w:hAnsi="仿宋_GB2312" w:eastAsia="仿宋_GB2312" w:cs="仿宋_GB2312"/>
          <w:sz w:val="32"/>
          <w:szCs w:val="32"/>
          <w:shd w:val="clear" w:color="auto" w:fill="FFFFFF"/>
        </w:rPr>
        <w:t>财政事务（款）行政运行（项）：指局机关及事业单位用于保障机构正常运行、开展日常工作的基本支出。</w:t>
      </w:r>
    </w:p>
    <w:p>
      <w:pPr>
        <w:spacing w:line="576"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6.一般公共服务（类）财政事务（款）一般行政管理事务（项）：指局机关及参公管理事业单位开展财政综合业务专门性财政管理工作的项目支出。</w:t>
      </w:r>
    </w:p>
    <w:p>
      <w:pPr>
        <w:spacing w:line="576"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7.一般公共服务（类）财政事务（款）信息化建设（项）：指财政局用于财政信息化建设等方面的项目支出。</w:t>
      </w:r>
    </w:p>
    <w:p>
      <w:pPr>
        <w:spacing w:line="576"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8.一般公共服务（类）财政事务（款）财政委托业务支出（项）：指局机关及事业单位委托评审机构进行财政投资评审和委托建设银行等机构代理业务发生的支出。</w:t>
      </w:r>
    </w:p>
    <w:p>
      <w:pPr>
        <w:spacing w:line="576"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9.一般公共服务（类）财政事务（款）事业运行（项）：指局机关及事业单位用于保障机构正常运行、开展日常工作的基本支出。</w:t>
      </w:r>
    </w:p>
    <w:p>
      <w:pPr>
        <w:spacing w:line="576" w:lineRule="exact"/>
        <w:ind w:firstLine="640" w:firstLineChars="200"/>
        <w:rPr>
          <w:rFonts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10.一般公共服务（类）财政事务（款）其他财政事务支出(项）：指局机关及事业单位用于除上述项目以外其他财政事务等方面支出。</w:t>
      </w:r>
    </w:p>
    <w:p>
      <w:pPr>
        <w:spacing w:line="576" w:lineRule="exact"/>
        <w:ind w:firstLine="640" w:firstLineChars="200"/>
        <w:rPr>
          <w:rStyle w:val="13"/>
          <w:rFonts w:ascii="仿宋_GB2312" w:hAnsi="仿宋_GB2312" w:eastAsia="仿宋_GB2312" w:cs="仿宋_GB2312"/>
          <w:b w:val="0"/>
          <w:color w:val="000000"/>
          <w:sz w:val="32"/>
          <w:szCs w:val="32"/>
        </w:rPr>
      </w:pPr>
      <w:r>
        <w:rPr>
          <w:rStyle w:val="13"/>
          <w:rFonts w:hint="eastAsia" w:ascii="仿宋_GB2312" w:hAnsi="仿宋_GB2312" w:eastAsia="仿宋_GB2312" w:cs="仿宋_GB2312"/>
          <w:b w:val="0"/>
          <w:sz w:val="32"/>
          <w:szCs w:val="32"/>
        </w:rPr>
        <w:t>11.社会保障和就业（类）行政事业单位养老支出（款）机关事业单位基本养老保险缴费（项）：指机关事业单位</w:t>
      </w:r>
      <w:r>
        <w:rPr>
          <w:rStyle w:val="13"/>
          <w:rFonts w:hint="eastAsia" w:ascii="仿宋_GB2312" w:hAnsi="仿宋_GB2312" w:eastAsia="仿宋_GB2312" w:cs="仿宋_GB2312"/>
          <w:b w:val="0"/>
          <w:color w:val="000000"/>
          <w:sz w:val="32"/>
          <w:szCs w:val="32"/>
        </w:rPr>
        <w:t>实施养老保险制度由单位缴纳的基本养老保险费支出。</w:t>
      </w:r>
    </w:p>
    <w:p>
      <w:pPr>
        <w:spacing w:line="576" w:lineRule="exact"/>
        <w:ind w:firstLine="640" w:firstLineChars="200"/>
        <w:rPr>
          <w:rStyle w:val="13"/>
          <w:rFonts w:ascii="仿宋_GB2312" w:hAnsi="仿宋_GB2312" w:eastAsia="仿宋_GB2312" w:cs="仿宋_GB2312"/>
          <w:b w:val="0"/>
          <w:sz w:val="32"/>
          <w:szCs w:val="32"/>
        </w:rPr>
      </w:pPr>
      <w:r>
        <w:rPr>
          <w:rStyle w:val="13"/>
          <w:rFonts w:hint="eastAsia" w:ascii="仿宋_GB2312" w:hAnsi="仿宋_GB2312" w:eastAsia="仿宋_GB2312" w:cs="仿宋_GB2312"/>
          <w:b w:val="0"/>
          <w:sz w:val="32"/>
          <w:szCs w:val="32"/>
        </w:rPr>
        <w:t>12.社会保障和就业（类）行政事业单位离退休（款）机关事业单位职业年金缴费（项）：指机关事业单位实施养老保险制度由单位实际缴纳的职业年金支出。</w:t>
      </w:r>
    </w:p>
    <w:p>
      <w:pPr>
        <w:spacing w:line="576" w:lineRule="exact"/>
        <w:ind w:firstLine="640" w:firstLineChars="200"/>
        <w:rPr>
          <w:rStyle w:val="13"/>
          <w:rFonts w:ascii="仿宋_GB2312" w:hAnsi="仿宋_GB2312" w:eastAsia="仿宋_GB2312" w:cs="仿宋_GB2312"/>
          <w:b w:val="0"/>
          <w:color w:val="000000"/>
          <w:sz w:val="32"/>
          <w:szCs w:val="32"/>
        </w:rPr>
      </w:pPr>
      <w:r>
        <w:rPr>
          <w:rStyle w:val="13"/>
          <w:rFonts w:hint="eastAsia" w:ascii="仿宋_GB2312" w:hAnsi="仿宋_GB2312" w:eastAsia="仿宋_GB2312" w:cs="仿宋_GB2312"/>
          <w:b w:val="0"/>
          <w:color w:val="000000"/>
          <w:sz w:val="32"/>
          <w:szCs w:val="32"/>
        </w:rPr>
        <w:t>13.社会保障和就业（类）</w:t>
      </w:r>
      <w:r>
        <w:rPr>
          <w:rStyle w:val="13"/>
          <w:rFonts w:hint="eastAsia" w:ascii="仿宋_GB2312" w:hAnsi="仿宋_GB2312" w:eastAsia="仿宋_GB2312" w:cs="仿宋_GB2312"/>
          <w:b w:val="0"/>
          <w:sz w:val="32"/>
          <w:szCs w:val="32"/>
        </w:rPr>
        <w:t>行政事业单位养老支出</w:t>
      </w:r>
      <w:r>
        <w:rPr>
          <w:rStyle w:val="13"/>
          <w:rFonts w:hint="eastAsia" w:ascii="仿宋_GB2312" w:hAnsi="仿宋_GB2312" w:eastAsia="仿宋_GB2312" w:cs="仿宋_GB2312"/>
          <w:b w:val="0"/>
          <w:color w:val="000000"/>
          <w:sz w:val="32"/>
          <w:szCs w:val="32"/>
        </w:rPr>
        <w:t>（款）行政单位离退休（类）：反映行政单位开支的离退休经费。</w:t>
      </w:r>
    </w:p>
    <w:p>
      <w:pPr>
        <w:spacing w:line="576" w:lineRule="exact"/>
        <w:ind w:firstLine="640" w:firstLineChars="200"/>
        <w:rPr>
          <w:rStyle w:val="13"/>
          <w:rFonts w:ascii="仿宋_GB2312" w:hAnsi="仿宋_GB2312" w:eastAsia="仿宋_GB2312" w:cs="仿宋_GB2312"/>
          <w:b w:val="0"/>
          <w:color w:val="000000"/>
          <w:sz w:val="32"/>
          <w:szCs w:val="32"/>
        </w:rPr>
      </w:pPr>
      <w:r>
        <w:rPr>
          <w:rStyle w:val="13"/>
          <w:rFonts w:hint="eastAsia" w:ascii="仿宋_GB2312" w:hAnsi="仿宋_GB2312" w:eastAsia="仿宋_GB2312" w:cs="仿宋_GB2312"/>
          <w:b w:val="0"/>
          <w:color w:val="000000"/>
          <w:sz w:val="32"/>
          <w:szCs w:val="32"/>
        </w:rPr>
        <w:t>14.社会保障和就业（类）人力资源和社会保障管理事务（款）其他人力资源和社会保障管理事务（类）：反映其他用于人力资源和社会保障管理事务方面的支出。</w:t>
      </w:r>
    </w:p>
    <w:p>
      <w:pPr>
        <w:spacing w:line="576" w:lineRule="exact"/>
        <w:ind w:firstLine="640" w:firstLineChars="200"/>
        <w:rPr>
          <w:rStyle w:val="13"/>
          <w:rFonts w:ascii="仿宋_GB2312" w:hAnsi="仿宋_GB2312" w:eastAsia="仿宋_GB2312" w:cs="仿宋_GB2312"/>
          <w:b w:val="0"/>
          <w:sz w:val="32"/>
          <w:szCs w:val="32"/>
        </w:rPr>
      </w:pPr>
      <w:r>
        <w:rPr>
          <w:rStyle w:val="13"/>
          <w:rFonts w:hint="eastAsia" w:ascii="仿宋_GB2312" w:hAnsi="仿宋_GB2312" w:eastAsia="仿宋_GB2312" w:cs="仿宋_GB2312"/>
          <w:b w:val="0"/>
          <w:color w:val="000000"/>
          <w:sz w:val="32"/>
          <w:szCs w:val="32"/>
        </w:rPr>
        <w:t>15.社会保障和就业（类）其他社会保障和就业支出（款）其他社会保障和就业支出（类）：反映其他用于社会保障和就业方面的支出。</w:t>
      </w:r>
    </w:p>
    <w:p>
      <w:pPr>
        <w:spacing w:line="576" w:lineRule="exact"/>
        <w:ind w:firstLine="640" w:firstLineChars="200"/>
        <w:rPr>
          <w:rStyle w:val="13"/>
          <w:rFonts w:ascii="仿宋_GB2312" w:hAnsi="仿宋_GB2312" w:eastAsia="仿宋_GB2312" w:cs="仿宋_GB2312"/>
          <w:sz w:val="32"/>
          <w:szCs w:val="32"/>
        </w:rPr>
      </w:pPr>
      <w:r>
        <w:rPr>
          <w:rStyle w:val="13"/>
          <w:rFonts w:hint="eastAsia" w:ascii="仿宋_GB2312" w:hAnsi="仿宋_GB2312" w:eastAsia="仿宋_GB2312" w:cs="仿宋_GB2312"/>
          <w:b w:val="0"/>
          <w:sz w:val="32"/>
          <w:szCs w:val="32"/>
        </w:rPr>
        <w:t>16.卫生健康支出（类）行政事业单位医疗（款）行政单位医疗（项）：指局机关</w:t>
      </w:r>
      <w:r>
        <w:rPr>
          <w:rFonts w:hint="eastAsia" w:ascii="仿宋_GB2312" w:hAnsi="仿宋_GB2312" w:eastAsia="仿宋_GB2312" w:cs="仿宋_GB2312"/>
          <w:sz w:val="32"/>
          <w:szCs w:val="32"/>
          <w:shd w:val="clear" w:color="auto" w:fill="FFFFFF"/>
        </w:rPr>
        <w:t>用于缴纳单位基本医疗保险支出。</w:t>
      </w:r>
    </w:p>
    <w:p>
      <w:pPr>
        <w:spacing w:line="576" w:lineRule="exact"/>
        <w:ind w:firstLine="640" w:firstLineChars="200"/>
        <w:rPr>
          <w:rStyle w:val="13"/>
          <w:rFonts w:ascii="仿宋_GB2312" w:hAnsi="仿宋_GB2312" w:eastAsia="仿宋_GB2312" w:cs="仿宋_GB2312"/>
          <w:sz w:val="32"/>
          <w:szCs w:val="32"/>
        </w:rPr>
      </w:pPr>
      <w:r>
        <w:rPr>
          <w:rStyle w:val="13"/>
          <w:rFonts w:hint="eastAsia" w:ascii="仿宋_GB2312" w:hAnsi="仿宋_GB2312" w:eastAsia="仿宋_GB2312" w:cs="仿宋_GB2312"/>
          <w:b w:val="0"/>
          <w:sz w:val="32"/>
          <w:szCs w:val="32"/>
        </w:rPr>
        <w:t>17. 卫生健康支出（类）行政事业单位医疗（款）事业单位医疗（项）：指</w:t>
      </w:r>
      <w:r>
        <w:rPr>
          <w:rFonts w:hint="eastAsia" w:ascii="仿宋_GB2312" w:hAnsi="仿宋_GB2312" w:eastAsia="仿宋_GB2312" w:cs="仿宋_GB2312"/>
          <w:sz w:val="32"/>
          <w:szCs w:val="32"/>
          <w:shd w:val="clear" w:color="auto" w:fill="FFFFFF"/>
        </w:rPr>
        <w:t>事业单位用于缴纳单位基本医疗保险支出。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18.住房保障（类）住房改革（款）住房公积金（项）：指局机关及事业单位按行政事业单位按人力资源部和社会保障部、财政部规定的基本工资和津贴补贴以及规定比例为职工缴纳的住房公积金。</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19.基本支出：指为保障机构正常运转、完成日</w:t>
      </w:r>
      <w:r>
        <w:rPr>
          <w:rFonts w:hint="eastAsia" w:ascii="仿宋_GB2312" w:hAnsi="仿宋_GB2312" w:eastAsia="仿宋_GB2312" w:cs="仿宋_GB2312"/>
          <w:color w:val="000000"/>
          <w:sz w:val="32"/>
          <w:szCs w:val="32"/>
        </w:rPr>
        <w:t>常工作任务而发生的人员支出和公用支出。</w:t>
      </w:r>
    </w:p>
    <w:p>
      <w:pPr>
        <w:spacing w:line="576" w:lineRule="exact"/>
        <w:ind w:firstLine="64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20.项目支出：指在基本支出之外为完成特定行政任务和事业发展目标所发生的支出。</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21.</w:t>
      </w:r>
      <w:r>
        <w:rPr>
          <w:rFonts w:hint="eastAsia" w:ascii="仿宋_GB2312" w:hAnsi="仿宋_GB2312" w:eastAsia="仿宋_GB2312" w:cs="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4"/>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22.机关运行经费：为保障行政单位（含参照公务员法管理的事业单位）运行用于购买货物和服务的各项资金，包括办公及印刷费、邮电费、差旅费、会议费、福利费、日常维修费、办公用房水电费、办公用房物业管理费、公务用车</w:t>
      </w:r>
      <w:bookmarkStart w:id="90" w:name="_GoBack"/>
      <w:bookmarkEnd w:id="90"/>
      <w:r>
        <w:rPr>
          <w:rFonts w:hint="eastAsia" w:ascii="仿宋_GB2312" w:hAnsi="仿宋_GB2312" w:eastAsia="仿宋_GB2312" w:cs="仿宋_GB2312"/>
          <w:sz w:val="32"/>
          <w:szCs w:val="32"/>
        </w:rPr>
        <w:t>运行维护费以及其他费用。</w:t>
      </w:r>
    </w:p>
    <w:p>
      <w:pPr>
        <w:adjustRightInd w:val="0"/>
        <w:snapToGrid w:val="0"/>
        <w:spacing w:line="360" w:lineRule="auto"/>
        <w:jc w:val="center"/>
        <w:outlineLvl w:val="0"/>
        <w:rPr>
          <w:rFonts w:ascii="方正小标宋简体" w:hAnsi="方正小标宋简体" w:eastAsia="方正小标宋简体" w:cs="方正小标宋简体"/>
          <w:color w:val="000000"/>
          <w:sz w:val="44"/>
          <w:szCs w:val="44"/>
        </w:rPr>
      </w:pPr>
      <w:bookmarkStart w:id="59" w:name="_Toc6286"/>
      <w:r>
        <w:rPr>
          <w:rFonts w:hint="eastAsia" w:ascii="方正小标宋简体" w:hAnsi="方正小标宋简体" w:eastAsia="方正小标宋简体" w:cs="方正小标宋简体"/>
          <w:color w:val="000000"/>
          <w:sz w:val="44"/>
          <w:szCs w:val="44"/>
        </w:rPr>
        <w:t>第四部分 附件</w:t>
      </w:r>
      <w:bookmarkEnd w:id="59"/>
    </w:p>
    <w:p>
      <w:pPr>
        <w:spacing w:line="560" w:lineRule="exact"/>
        <w:jc w:val="left"/>
        <w:rPr>
          <w:rFonts w:ascii="黑体" w:hAnsi="黑体" w:eastAsia="黑体" w:cs="黑体"/>
          <w:sz w:val="32"/>
          <w:szCs w:val="32"/>
        </w:rPr>
      </w:pPr>
      <w:r>
        <w:rPr>
          <w:rFonts w:hint="eastAsia" w:ascii="黑体" w:hAnsi="黑体" w:eastAsia="黑体" w:cs="黑体"/>
          <w:sz w:val="32"/>
          <w:szCs w:val="32"/>
        </w:rPr>
        <w:t>附件1</w:t>
      </w:r>
    </w:p>
    <w:p>
      <w:pPr>
        <w:spacing w:line="560" w:lineRule="exact"/>
        <w:jc w:val="center"/>
        <w:outlineLvl w:val="0"/>
        <w:rPr>
          <w:rFonts w:ascii="方正小标宋简体" w:hAnsi="方正小标宋简体" w:eastAsia="方正小标宋简体" w:cs="方正小标宋简体"/>
          <w:sz w:val="40"/>
          <w:szCs w:val="40"/>
        </w:rPr>
      </w:pPr>
      <w:bookmarkStart w:id="60" w:name="_Toc26833"/>
      <w:bookmarkStart w:id="61" w:name="_Toc15396616"/>
      <w:r>
        <w:rPr>
          <w:rFonts w:hint="eastAsia" w:ascii="方正小标宋简体" w:hAnsi="方正小标宋简体" w:eastAsia="方正小标宋简体" w:cs="方正小标宋简体"/>
          <w:sz w:val="40"/>
          <w:szCs w:val="40"/>
        </w:rPr>
        <w:t>广元市财政局</w:t>
      </w:r>
      <w:bookmarkEnd w:id="60"/>
    </w:p>
    <w:p>
      <w:pPr>
        <w:spacing w:line="560" w:lineRule="exact"/>
        <w:jc w:val="center"/>
        <w:outlineLvl w:val="0"/>
        <w:rPr>
          <w:rFonts w:ascii="方正小标宋简体" w:hAnsi="方正小标宋简体" w:eastAsia="方正小标宋简体" w:cs="方正小标宋简体"/>
          <w:sz w:val="40"/>
          <w:szCs w:val="40"/>
        </w:rPr>
      </w:pPr>
      <w:bookmarkStart w:id="62" w:name="_Toc134"/>
      <w:r>
        <w:rPr>
          <w:rFonts w:hint="eastAsia" w:ascii="方正小标宋简体" w:hAnsi="方正小标宋简体" w:eastAsia="方正小标宋简体" w:cs="方正小标宋简体"/>
          <w:sz w:val="40"/>
          <w:szCs w:val="40"/>
        </w:rPr>
        <w:t>2020年部门整体支出绩效评价报告</w:t>
      </w:r>
      <w:bookmarkEnd w:id="61"/>
      <w:bookmarkEnd w:id="62"/>
    </w:p>
    <w:p>
      <w:pPr>
        <w:spacing w:line="576" w:lineRule="exact"/>
        <w:ind w:firstLine="640" w:firstLineChars="200"/>
        <w:rPr>
          <w:rFonts w:ascii="黑体" w:hAnsi="黑体" w:eastAsia="黑体" w:cs="黑体"/>
          <w:sz w:val="32"/>
          <w:szCs w:val="32"/>
        </w:rPr>
      </w:pP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pStyle w:val="4"/>
        <w:adjustRightInd w:val="0"/>
        <w:snapToGrid w:val="0"/>
        <w:spacing w:beforeLines="0" w:line="576" w:lineRule="exact"/>
        <w:ind w:firstLine="640" w:firstLineChars="200"/>
        <w:outlineLvl w:val="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（一）机构组成</w:t>
      </w:r>
    </w:p>
    <w:p>
      <w:pPr>
        <w:spacing w:line="576" w:lineRule="exact"/>
        <w:ind w:firstLine="640" w:firstLineChars="200"/>
        <w:rPr>
          <w:rFonts w:ascii="仿宋" w:hAnsi="仿宋" w:eastAsia="仿宋" w:cs="仿宋_GB2312"/>
          <w:sz w:val="32"/>
          <w:szCs w:val="32"/>
        </w:rPr>
      </w:pPr>
      <w:r>
        <w:rPr>
          <w:rFonts w:hint="eastAsia" w:ascii="仿宋_GB2312" w:hAnsi="仿宋_GB2312" w:eastAsia="仿宋_GB2312" w:cs="仿宋_GB2312"/>
          <w:color w:val="000000"/>
          <w:sz w:val="32"/>
          <w:szCs w:val="32"/>
        </w:rPr>
        <w:t>广元市财政局含机关及下属二级单位5个，其中行政单位1个，其他事业单位4个。</w:t>
      </w:r>
    </w:p>
    <w:p>
      <w:pPr>
        <w:pStyle w:val="4"/>
        <w:adjustRightInd w:val="0"/>
        <w:snapToGrid w:val="0"/>
        <w:spacing w:beforeLines="0" w:line="576" w:lineRule="exact"/>
        <w:ind w:firstLine="640" w:firstLineChars="200"/>
        <w:outlineLvl w:val="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（二）机构职能</w:t>
      </w:r>
    </w:p>
    <w:p>
      <w:pPr>
        <w:pStyle w:val="10"/>
        <w:wordWrap w:val="0"/>
        <w:spacing w:line="576"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拟订全市财政、税收的发展战略、规划、政策和改革方案并组织实施，参与宏观经济分析预测和全市重大宏观经济政策的制定，提出运用财税政策实施宏观经济调控和综合平衡全市财力的建议。贯彻执行国家财税法律、法规和方针、政策，组织起草地方性财税法规的实施办法和政策规定并组织实施，按照管理权限管理全市税政事项。承担各项财政收支管理，负责编制年度市级预决算草案并组织实施，受市政府委托，向市人民代表大会报告全市和市级预算及其执行情况，向市人大常委会报告决算，组织制定经费开支标准、定额，负责审核批复部门（单位）的年度预决算，完善转移支付制度。负责政府非税收入管理，负责政府性基金管理，按规定管理行政事业性收费，管理财政票据，负责彩票的监管和发行规模的审核上报工作。制定全市国库管理制度、国库集中收付制度，指导和监督国库业务，组织开展国库现金管理工作。制定政府采购制度，编制政府采购预算，监督管理全市政府采购工作。制定全市行政事业单位国有资产管理制度规定及市级机关事业单位国有资产收益管理办法，并对执行情况进行监督检查，负责市级机关国有资产经营收益财政专户管理工作。审核和汇总编制全市国有资本经营预决算草案，制订国有资本经营预算的制度和办法，收取市本级企业国有资本收益，组织实施企业财务制度，管理金融类企业国有资产，参与拟订企业国有资产管理相关制度，管理资产评估工作。负责管理和监督财政性经济发展支出、政府性投资项目的财政拨款，参与拟订政府性建设投资的有关政策，制定基本建设财务制度，负责投资评审管理工作。负责有关政策性补贴和专项储备资金财政管理工作。负责全市农业综合开发管理工作。会同相关部门管理全市社会保障和就业及医疗卫生支出，会同相关部门拟订社会保障资金（基金）的财务管理制度，编制市级社会保障预决算草案。组织实施政府债务管理制度和政策，制定具体管理办法，管理政府债务，防范财政风险，管理外国政府和国际金融机构贷（赠）款项目的有关业务。负责全市的会计工作，监督和规范会计行为，组织实施国家统一的会计制度，指导和监督注册会计师和会计师事务所的业务，指导和管理社会审计。负责财政资金绩效评价。监督检查财税法规、政策的执行情况，反映财政收支管理中的重大问题。依法查处违反财经法纪的行为。负责财政宣传和财政信息管理系统工作，负责全市财政业务培训。承办市农村综合改革领导小组办公室的具体工作。承担市政府公布的有关行政审批事项。负责全市PPP政策研究和实施办法的制定、市级PPP项目库的建立更新，项目实施方案的汇总和审核等工作。承办市政府交办的其他事项。</w:t>
      </w:r>
    </w:p>
    <w:p>
      <w:pPr>
        <w:pStyle w:val="4"/>
        <w:adjustRightInd w:val="0"/>
        <w:snapToGrid w:val="0"/>
        <w:spacing w:beforeLines="0" w:line="576" w:lineRule="exact"/>
        <w:ind w:firstLine="640" w:firstLineChars="200"/>
        <w:outlineLvl w:val="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（三）人员概况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广元市财政局2020年底人员编制数104个，实有人数92人。</w:t>
      </w:r>
    </w:p>
    <w:p>
      <w:pPr>
        <w:spacing w:line="576"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pStyle w:val="4"/>
        <w:adjustRightInd w:val="0"/>
        <w:snapToGrid w:val="0"/>
        <w:spacing w:beforeLines="0" w:line="576" w:lineRule="exact"/>
        <w:ind w:firstLine="640" w:firstLineChars="200"/>
        <w:outlineLvl w:val="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（一）部门财政资金收入情况</w:t>
      </w:r>
    </w:p>
    <w:p>
      <w:pPr>
        <w:spacing w:line="576" w:lineRule="exact"/>
        <w:ind w:firstLine="640" w:firstLineChars="200"/>
        <w:rPr>
          <w:rFonts w:ascii="仿宋_GB2312" w:hAnsi="仿宋_GB2312" w:eastAsia="仿宋_GB2312" w:cs="仿宋_GB2312"/>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年财政拨款收入3737.78万元</w:t>
      </w:r>
      <w:r>
        <w:rPr>
          <w:rFonts w:hint="eastAsia" w:ascii="仿宋_GB2312" w:hAnsi="仿宋_GB2312" w:eastAsia="仿宋_GB2312" w:cs="仿宋_GB2312"/>
          <w:sz w:val="32"/>
          <w:szCs w:val="32"/>
        </w:rPr>
        <w:t>，其中：一般公共预算财政拨款本年收入2444.06万元，占65.4%；年初结转和结余1293.72万元，占34.6%。</w:t>
      </w:r>
    </w:p>
    <w:p>
      <w:pPr>
        <w:pStyle w:val="4"/>
        <w:adjustRightInd w:val="0"/>
        <w:snapToGrid w:val="0"/>
        <w:spacing w:beforeLines="0" w:line="576" w:lineRule="exact"/>
        <w:ind w:firstLine="640" w:firstLineChars="200"/>
        <w:outlineLvl w:val="2"/>
        <w:rPr>
          <w:rFonts w:ascii="楷体_GB2312" w:hAnsi="楷体_GB2312" w:eastAsia="楷体_GB2312" w:cs="楷体_GB2312"/>
          <w:bCs/>
          <w:color w:val="000000"/>
          <w:sz w:val="32"/>
          <w:szCs w:val="32"/>
        </w:rPr>
      </w:pPr>
      <w:r>
        <w:rPr>
          <w:rFonts w:hint="eastAsia" w:ascii="楷体_GB2312" w:hAnsi="楷体_GB2312" w:eastAsia="楷体_GB2312" w:cs="楷体_GB2312"/>
          <w:bCs/>
          <w:color w:val="000000"/>
          <w:sz w:val="32"/>
          <w:szCs w:val="32"/>
        </w:rPr>
        <w:t>（二）部门财政资金支出情况</w:t>
      </w:r>
    </w:p>
    <w:p>
      <w:pPr>
        <w:spacing w:line="576" w:lineRule="exact"/>
        <w:ind w:firstLine="640" w:firstLineChars="200"/>
        <w:rPr>
          <w:rFonts w:ascii="仿宋_GB2312" w:hAnsi="仿宋_GB2312" w:eastAsia="仿宋_GB2312" w:cs="仿宋_GB2312"/>
          <w:sz w:val="32"/>
          <w:szCs w:val="32"/>
        </w:rPr>
      </w:pPr>
      <w:r>
        <w:rPr>
          <w:rFonts w:ascii="仿宋" w:hAnsi="仿宋" w:eastAsia="仿宋"/>
          <w:color w:val="000000"/>
          <w:sz w:val="32"/>
          <w:szCs w:val="32"/>
        </w:rPr>
        <w:t>2020</w:t>
      </w:r>
      <w:r>
        <w:rPr>
          <w:rFonts w:hint="eastAsia" w:ascii="仿宋" w:hAnsi="仿宋" w:eastAsia="仿宋"/>
          <w:color w:val="000000"/>
          <w:sz w:val="32"/>
          <w:szCs w:val="32"/>
        </w:rPr>
        <w:t>年财政拨款</w:t>
      </w:r>
      <w:r>
        <w:rPr>
          <w:rFonts w:hint="eastAsia" w:ascii="仿宋_GB2312" w:hAnsi="仿宋_GB2312" w:eastAsia="仿宋_GB2312" w:cs="仿宋_GB2312"/>
          <w:sz w:val="32"/>
          <w:szCs w:val="32"/>
        </w:rPr>
        <w:t>支出合计2524.1万元，其中基本支出1637.3万元，占64.87%；项目支出886.8万元，占35.13%。</w:t>
      </w:r>
    </w:p>
    <w:p>
      <w:pPr>
        <w:spacing w:line="576" w:lineRule="exact"/>
        <w:ind w:firstLine="640" w:firstLineChars="200"/>
        <w:rPr>
          <w:rFonts w:ascii="黑体" w:hAnsi="黑体" w:eastAsia="黑体" w:cs="黑体"/>
          <w:sz w:val="32"/>
          <w:szCs w:val="32"/>
        </w:rPr>
      </w:pPr>
      <w:r>
        <w:rPr>
          <w:rFonts w:hint="eastAsia" w:ascii="黑体" w:hAnsi="黑体" w:eastAsia="黑体" w:cs="黑体"/>
          <w:sz w:val="32"/>
          <w:szCs w:val="32"/>
        </w:rPr>
        <w:t>四、</w:t>
      </w:r>
      <w:r>
        <w:rPr>
          <w:rFonts w:ascii="黑体" w:hAnsi="黑体" w:eastAsia="黑体" w:cs="黑体"/>
          <w:sz w:val="32"/>
          <w:szCs w:val="32"/>
        </w:rPr>
        <w:t>部门整体预算绩效管理情况</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color w:val="000000"/>
          <w:kern w:val="0"/>
          <w:sz w:val="32"/>
          <w:szCs w:val="32"/>
        </w:rPr>
        <w:t>（一）部门预算管理。</w:t>
      </w:r>
      <w:r>
        <w:rPr>
          <w:rFonts w:hint="eastAsia" w:ascii="仿宋_GB2312" w:hAnsi="仿宋_GB2312" w:eastAsia="仿宋_GB2312" w:cs="仿宋_GB2312"/>
          <w:sz w:val="32"/>
          <w:szCs w:val="32"/>
        </w:rPr>
        <w:t>2020年，本部门认真开展预算编制，及时报送部门预算和项目绩效目标，预算编制完整无漏项，预算编制准确规范。在预算执行过程中严格按照预算批复执行，强化预算执行的刚性约束，不随意改变财政预算资金的使用范围，严控预算执行进度和经费支出情况，提高资金使用效益，保证了财政收支平衡。</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市财政局2020年按照行政事业单位相关支出标准，合理编制了计划、当年要完成的工作任务和预期要完成的绩效目标。专用项目绩效目标进一步明确和量化，包括数量、质量、成本、时效、社会效益、满意度等能较完整细致地反映部门年度预算执行情况及职责履行情况。项目实施中，加强项目实施监控，严肃财政纪律，规范财务管理，没有违纪违规情况，做到了资金专款专用。</w:t>
      </w:r>
    </w:p>
    <w:p>
      <w:pPr>
        <w:autoSpaceDE w:val="0"/>
        <w:autoSpaceDN w:val="0"/>
        <w:adjustRightInd w:val="0"/>
        <w:spacing w:line="576" w:lineRule="exact"/>
        <w:ind w:firstLine="640" w:firstLineChars="200"/>
        <w:jc w:val="left"/>
        <w:rPr>
          <w:rFonts w:ascii="楷体_GB2312" w:hAnsi="楷体_GB2312" w:eastAsia="楷体_GB2312" w:cs="楷体_GB2312"/>
          <w:color w:val="000000"/>
          <w:kern w:val="0"/>
          <w:sz w:val="32"/>
          <w:szCs w:val="32"/>
          <w:lang w:val="zh-CN"/>
        </w:rPr>
      </w:pPr>
      <w:r>
        <w:rPr>
          <w:rFonts w:hint="eastAsia" w:ascii="楷体_GB2312" w:hAnsi="楷体_GB2312" w:eastAsia="楷体_GB2312" w:cs="楷体_GB2312"/>
          <w:color w:val="000000"/>
          <w:kern w:val="0"/>
          <w:sz w:val="32"/>
          <w:szCs w:val="32"/>
          <w:lang w:val="zh-CN"/>
        </w:rPr>
        <w:t>（二）结果应用情况</w:t>
      </w:r>
    </w:p>
    <w:p>
      <w:pPr>
        <w:spacing w:line="576"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通过强化预算编制和执行，规范项目实施，市财政局各项工作有序推进，在保持经济稳步发展、支持重点工作推进、加大融资保障力度和支持改善民生领域等方面采取了切实有效措施，为全市经济社会高质量发展提供了坚实的财政保障。</w:t>
      </w:r>
    </w:p>
    <w:p>
      <w:pPr>
        <w:spacing w:line="576"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color w:val="000000"/>
          <w:kern w:val="0"/>
          <w:sz w:val="32"/>
          <w:szCs w:val="32"/>
        </w:rPr>
        <w:t>（一）评价结论。</w:t>
      </w:r>
      <w:r>
        <w:rPr>
          <w:rFonts w:hint="eastAsia" w:ascii="仿宋_GB2312" w:hAnsi="仿宋_GB2312" w:eastAsia="仿宋_GB2312" w:cs="仿宋_GB2312"/>
          <w:sz w:val="32"/>
          <w:szCs w:val="32"/>
        </w:rPr>
        <w:t>本部门按要求对2020年部门整体支出开展绩效自评，自评得分98分。</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color w:val="000000"/>
          <w:kern w:val="0"/>
          <w:sz w:val="32"/>
          <w:szCs w:val="32"/>
        </w:rPr>
        <w:t>（二）存在问题。</w:t>
      </w:r>
      <w:r>
        <w:rPr>
          <w:rFonts w:hint="eastAsia" w:ascii="仿宋_GB2312" w:hAnsi="仿宋_GB2312" w:eastAsia="仿宋_GB2312" w:cs="仿宋_GB2312"/>
          <w:sz w:val="32"/>
          <w:szCs w:val="32"/>
        </w:rPr>
        <w:t>一是</w:t>
      </w:r>
      <w:r>
        <w:rPr>
          <w:rFonts w:hint="eastAsia" w:ascii="仿宋_GB2312" w:hAnsi="宋体" w:eastAsia="仿宋_GB2312" w:cs="宋体"/>
          <w:color w:val="000000"/>
          <w:kern w:val="0"/>
          <w:sz w:val="32"/>
          <w:szCs w:val="32"/>
          <w:shd w:val="clear" w:color="auto" w:fill="FFFFFF"/>
          <w:lang w:val="zh-CN"/>
        </w:rPr>
        <w:t>项目测算标准有待细化，测算准确率有待提高</w:t>
      </w:r>
      <w:r>
        <w:rPr>
          <w:rFonts w:hint="eastAsia" w:ascii="仿宋_GB2312" w:hAnsi="仿宋_GB2312" w:eastAsia="仿宋_GB2312" w:cs="仿宋_GB2312"/>
          <w:sz w:val="32"/>
          <w:szCs w:val="32"/>
        </w:rPr>
        <w:t>；二是项目进度有待加快。</w:t>
      </w:r>
    </w:p>
    <w:p>
      <w:pPr>
        <w:spacing w:line="576"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bCs/>
          <w:color w:val="000000"/>
          <w:kern w:val="0"/>
          <w:sz w:val="32"/>
          <w:szCs w:val="32"/>
        </w:rPr>
        <w:t>（三）改进建议。</w:t>
      </w:r>
      <w:r>
        <w:rPr>
          <w:rFonts w:hint="eastAsia" w:ascii="仿宋_GB2312" w:hAnsi="仿宋_GB2312" w:eastAsia="仿宋_GB2312" w:cs="仿宋_GB2312"/>
          <w:sz w:val="32"/>
          <w:szCs w:val="32"/>
        </w:rPr>
        <w:t>一是完善内控制度，简化流程，促进项目及时开展。二是</w:t>
      </w:r>
      <w:r>
        <w:rPr>
          <w:rFonts w:hint="eastAsia" w:ascii="仿宋_GB2312" w:hAnsi="宋体" w:eastAsia="仿宋_GB2312" w:cs="宋体"/>
          <w:color w:val="000000"/>
          <w:kern w:val="0"/>
          <w:sz w:val="32"/>
          <w:szCs w:val="32"/>
          <w:shd w:val="clear" w:color="auto" w:fill="FFFFFF"/>
          <w:lang w:val="zh-CN"/>
        </w:rPr>
        <w:t>加强部门绩效自评工作力度，积极运用评价结果，提高资金使用效率。</w:t>
      </w:r>
    </w:p>
    <w:p>
      <w:pPr>
        <w:spacing w:line="576" w:lineRule="exact"/>
        <w:ind w:firstLine="640" w:firstLineChars="200"/>
        <w:rPr>
          <w:rFonts w:hint="eastAsia" w:ascii="仿宋_GB2312" w:hAnsi="仿宋_GB2312" w:eastAsia="仿宋_GB2312" w:cs="仿宋_GB2312"/>
          <w:sz w:val="32"/>
          <w:szCs w:val="32"/>
        </w:rPr>
      </w:pPr>
    </w:p>
    <w:p>
      <w:pPr>
        <w:spacing w:line="576" w:lineRule="exact"/>
        <w:ind w:firstLine="640" w:firstLineChars="200"/>
        <w:rPr>
          <w:rFonts w:ascii="仿宋_GB2312" w:hAnsi="仿宋_GB2312" w:eastAsia="仿宋_GB2312" w:cs="仿宋_GB2312"/>
          <w:sz w:val="32"/>
          <w:szCs w:val="32"/>
        </w:rPr>
      </w:pPr>
    </w:p>
    <w:p>
      <w:pPr>
        <w:spacing w:line="560" w:lineRule="exact"/>
        <w:rPr>
          <w:rFonts w:ascii="黑体" w:hAnsi="黑体" w:eastAsia="黑体" w:cs="黑体"/>
          <w:sz w:val="32"/>
          <w:szCs w:val="32"/>
        </w:rPr>
      </w:pPr>
      <w:r>
        <w:rPr>
          <w:rFonts w:hint="eastAsia" w:ascii="黑体" w:hAnsi="黑体" w:eastAsia="黑体" w:cs="黑体"/>
          <w:sz w:val="32"/>
          <w:szCs w:val="32"/>
        </w:rPr>
        <w:t>附件2</w:t>
      </w:r>
    </w:p>
    <w:p>
      <w:pPr>
        <w:spacing w:line="560" w:lineRule="exact"/>
        <w:rPr>
          <w:rFonts w:ascii="黑体" w:hAnsi="黑体" w:eastAsia="黑体" w:cs="黑体"/>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财政管理专项工作</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经费项目2020年绩效评价报告</w:t>
      </w:r>
    </w:p>
    <w:p>
      <w:pPr>
        <w:spacing w:line="560" w:lineRule="exact"/>
        <w:ind w:firstLine="640" w:firstLineChars="200"/>
        <w:rPr>
          <w:rFonts w:ascii="仿宋_GB2312" w:eastAsia="仿宋_GB2312"/>
          <w:sz w:val="32"/>
          <w:szCs w:val="32"/>
        </w:rPr>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（一）项目基本情况。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本项目根据市委市政府授予市财政局职能职责所设立，主管部门为广元市财政局。主要职责包括:保障完成全市财政收支管理，完成年度预决算;指导和监督国库业务，监督管理全市政府采购工作;负责投资评审管理工作;管理政府债务，监督和规范会计行为;监督检查财税法规、政策的执行情况;负责财政宣传和财政信息管理系统工作，负责全市PPP项目实施方案的汇总和审核等工作。</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(二)项目绩效目标。</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1.项目主要内容。完成年度预决算编制，开展政府采购监督检查，保障民生工程、</w:t>
      </w:r>
      <w:r>
        <w:rPr>
          <w:rFonts w:hint="eastAsia" w:eastAsia="仿宋_GB2312"/>
          <w:sz w:val="32"/>
          <w:szCs w:val="32"/>
        </w:rPr>
        <w:t> </w:t>
      </w:r>
      <w:r>
        <w:rPr>
          <w:rFonts w:hint="eastAsia" w:ascii="仿宋_GB2312" w:eastAsia="仿宋_GB2312"/>
          <w:sz w:val="32"/>
          <w:szCs w:val="32"/>
        </w:rPr>
        <w:t>财政财务专项检查工作开展，开展财政工作调研，保障PPP项目评审工作开展。</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2.项目绩效目标。</w:t>
      </w:r>
      <w:r>
        <w:rPr>
          <w:rFonts w:hint="eastAsia" w:eastAsia="仿宋_GB2312"/>
          <w:sz w:val="32"/>
          <w:szCs w:val="32"/>
        </w:rPr>
        <w:t> </w:t>
      </w:r>
      <w:r>
        <w:rPr>
          <w:rFonts w:hint="eastAsia" w:ascii="仿宋_GB2312" w:eastAsia="仿宋_GB2312"/>
          <w:sz w:val="32"/>
          <w:szCs w:val="32"/>
        </w:rPr>
        <w:t>扎实推进“三个一、三个三”兴广战略实施，全面落实“两保转”</w:t>
      </w:r>
      <w:r>
        <w:rPr>
          <w:rFonts w:hint="eastAsia" w:eastAsia="仿宋_GB2312"/>
          <w:sz w:val="32"/>
          <w:szCs w:val="32"/>
        </w:rPr>
        <w:t> </w:t>
      </w:r>
      <w:r>
        <w:rPr>
          <w:rFonts w:hint="eastAsia" w:ascii="仿宋_GB2312" w:eastAsia="仿宋_GB2312"/>
          <w:sz w:val="32"/>
          <w:szCs w:val="32"/>
        </w:rPr>
        <w:t>财政方针，</w:t>
      </w:r>
      <w:r>
        <w:rPr>
          <w:rFonts w:hint="eastAsia" w:eastAsia="仿宋_GB2312"/>
          <w:sz w:val="32"/>
          <w:szCs w:val="32"/>
        </w:rPr>
        <w:t> </w:t>
      </w:r>
      <w:r>
        <w:rPr>
          <w:rFonts w:hint="eastAsia" w:ascii="仿宋_GB2312" w:eastAsia="仿宋_GB2312"/>
          <w:sz w:val="32"/>
          <w:szCs w:val="32"/>
        </w:rPr>
        <w:t>完成各项目标任务，努力建设保障有力、规范有序、改革创新、康洁高放财政。</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(三)项目自评步骤及方法。</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按照项目评价要求，明确自评责任人，通过查验资料、报告工作等形式严格自评，做到自评真实不走形式。</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76" w:lineRule="exact"/>
        <w:ind w:firstLine="640" w:firstLineChars="200"/>
        <w:rPr>
          <w:rFonts w:ascii="仿宋_GB2312" w:eastAsia="仿宋_GB2312"/>
          <w:sz w:val="32"/>
          <w:szCs w:val="32"/>
        </w:rPr>
      </w:pPr>
      <w:r>
        <w:rPr>
          <w:rFonts w:hint="eastAsia" w:ascii="楷体_GB2312" w:eastAsia="楷体_GB2312"/>
          <w:sz w:val="32"/>
          <w:szCs w:val="32"/>
        </w:rPr>
        <w:t>（一）项目资金申报及批复情况。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按照一般公共预算管理要求，年初由市财政局申报项目资金预算，2020</w:t>
      </w:r>
      <w:r>
        <w:rPr>
          <w:rFonts w:hint="eastAsia" w:eastAsia="仿宋_GB2312"/>
          <w:sz w:val="32"/>
          <w:szCs w:val="32"/>
        </w:rPr>
        <w:t> </w:t>
      </w:r>
      <w:r>
        <w:rPr>
          <w:rFonts w:hint="eastAsia" w:ascii="仿宋_GB2312" w:eastAsia="仿宋_GB2312"/>
          <w:sz w:val="32"/>
          <w:szCs w:val="32"/>
        </w:rPr>
        <w:t>年由广元市财政局通过《广元市财政局关于批复2020年市级部门预算的通知》(广财预〔2020〕8号)文件下达我单位项目资金预算指标70万元。</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（二）资金计划、到位及使用情况。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1.资金计划及到位情况。本项目预算指标为70万元，截至2020年底，市财政实际拨付资金70万元，资金拨付率为100%。</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资金使用。该项目资金全年共支出70万元，支出进度为100%，主要是用于完成财政专项监督检查及调研工作，完成年度预决算编制等工作。在项目执行过程中，严格按照预算批复执行，不随意改变该项目资金支付范围、支付标准，严控预算执行进度和经费支出情况，确保资金使用安全、规范、高效。</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(三)项目财务管理情况。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我部门严格按照财务管理相关制度规定，建立健全财务管理制度及内控制度，加强对财政管理专项经费的使用管理，按照专项资金管理办法做好项目实施和监管，及时、规范进行账务处理及会计核算。切实做到专款专用，</w:t>
      </w:r>
      <w:r>
        <w:rPr>
          <w:rFonts w:hint="eastAsia" w:eastAsia="仿宋_GB2312"/>
          <w:sz w:val="32"/>
          <w:szCs w:val="32"/>
        </w:rPr>
        <w:t> </w:t>
      </w:r>
      <w:r>
        <w:rPr>
          <w:rFonts w:hint="eastAsia" w:ascii="仿宋_GB2312" w:eastAsia="仿宋_GB2312"/>
          <w:sz w:val="32"/>
          <w:szCs w:val="32"/>
        </w:rPr>
        <w:t>最大可能发挥专项资金作用。</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我部门严格按照项目管理有关规定管理专项经费，为保障项目资金安全，确保资金专款专用，从资金申请、资金使用、会计核算三个环节加强资金管理。在项目资金申请环节，严格按照国库集中支付流程申请财政资金;在资金使用环节，严格遵守相关法律法规规定，严格按照单位财务管理审批流程办理款项支付；在会计核算环节，对本项目资金实行单独核算，确保专款专用。通过上述三个环节的管理，极力避免了挪用、挤占、截留项目资金的现象，保证财政资金安全有效使用。同时经费管理主动接受驻局纪检监察组和审计部门的监督检查，对预算执行实行动态监控，无违纪违法现象。     </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四、项目绩效情况</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（一）项目完成情况。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通过项目实施，保障了预决算工作顺利完成，进一步规范了全市财政管理工作，确保了政府投资项目顺利实施。通过开展各类检查及调研，强力补齐短板，推动建设了保障有力、规范有序、改革创新、廉洁高效财政。</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(二)项目效益情况。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项目实施对经济和社会的影响。通过该项目顺利实施，我单位在保持经济稳步发展、支持重点工作推进、保障改善民生领域等方面采取了切实有效措施，全面完成了各项目标任务，为全市经济社会高质量发展提供了坚实财政保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2.项目服务对象满意度。各单位满意度达95%以上。</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（一）评价结论。</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通过项目实施，保障了财政管理各项工作有序开展，保持经济稳步发展、支持重点工作推进、加大融资保障力度和支持改善民生，圆满完成了各项目标任务。</w:t>
      </w:r>
    </w:p>
    <w:p>
      <w:pPr>
        <w:spacing w:line="576" w:lineRule="exact"/>
        <w:ind w:firstLine="640" w:firstLineChars="200"/>
        <w:rPr>
          <w:rFonts w:ascii="楷体_GB2312" w:eastAsia="楷体_GB2312"/>
          <w:sz w:val="32"/>
          <w:szCs w:val="32"/>
        </w:rPr>
      </w:pPr>
      <w:r>
        <w:rPr>
          <w:rFonts w:hint="eastAsia" w:ascii="仿宋_GB2312" w:eastAsia="仿宋_GB2312"/>
          <w:sz w:val="32"/>
          <w:szCs w:val="32"/>
        </w:rPr>
        <w:t>(</w:t>
      </w:r>
      <w:r>
        <w:rPr>
          <w:rFonts w:hint="eastAsia" w:ascii="楷体_GB2312" w:eastAsia="楷体_GB2312"/>
          <w:sz w:val="32"/>
          <w:szCs w:val="32"/>
        </w:rPr>
        <w:t>二)存在的问题。</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项目测算标准有待细化，测算准确率有待提高。</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(三)相关建议。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细化预算编制工作，提升预算准确度和执行进度。</w:t>
      </w: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rPr>
          <w:rFonts w:ascii="仿宋_GB2312" w:eastAsia="仿宋_GB2312"/>
          <w:sz w:val="32"/>
          <w:szCs w:val="32"/>
        </w:rPr>
      </w:pP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全市财政系统干部能力提升培训专项经费</w:t>
      </w:r>
    </w:p>
    <w:p>
      <w:pPr>
        <w:spacing w:line="560" w:lineRule="exact"/>
        <w:jc w:val="center"/>
        <w:rPr>
          <w:rFonts w:ascii="仿宋_GB2312" w:eastAsia="仿宋_GB2312"/>
          <w:sz w:val="32"/>
          <w:szCs w:val="32"/>
        </w:rPr>
      </w:pPr>
      <w:r>
        <w:rPr>
          <w:rFonts w:hint="eastAsia" w:ascii="方正小标宋简体" w:eastAsia="方正小标宋简体"/>
          <w:sz w:val="44"/>
          <w:szCs w:val="44"/>
        </w:rPr>
        <w:t>2020年绩效评价报告</w:t>
      </w:r>
    </w:p>
    <w:p>
      <w:pPr>
        <w:spacing w:line="576" w:lineRule="exact"/>
        <w:ind w:firstLine="640" w:firstLineChars="200"/>
        <w:rPr>
          <w:rFonts w:ascii="仿宋_GB2312" w:eastAsia="仿宋_GB2312"/>
          <w:sz w:val="32"/>
          <w:szCs w:val="32"/>
        </w:rPr>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（一）项目基本情况。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本项目根据部门工作职能和年度工作安排确定，经市委组织部审核，再报市委审定后组织实施。项目实施总体目标是为更好服务统筹推进疫情防控和经济社会发展需要，进一步提高全市财政系统干部整体素质和管理水平，更好地为经济建设“三大主战场”提供强有力的财力保障。</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(二)项目绩效目标。</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1.项目主要内容。2020年9月在厦门国家会计学员开展学制5天的专题培训，设置专题授课现场教学、研讨交流3个教学模块。</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2.项目绩效目标。培训财政干部60人，提升全市财政干部的政治意识、理论素养和业务能力，推动财政队伍履职担当和财政工作提质增效再上台阶。</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(三)项目自评步骤及方法。</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按照项目评价要求，明确自评责任人，通过查验资料、报告工作等形式严格自评，做到自评真实不走形式。</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（一）项目资金申报及批复情况。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按照一般公共预算管理要求，</w:t>
      </w:r>
      <w:r>
        <w:rPr>
          <w:rFonts w:hint="eastAsia" w:eastAsia="仿宋_GB2312"/>
          <w:sz w:val="32"/>
          <w:szCs w:val="32"/>
        </w:rPr>
        <w:t> </w:t>
      </w:r>
      <w:r>
        <w:rPr>
          <w:rFonts w:hint="eastAsia" w:ascii="仿宋_GB2312" w:eastAsia="仿宋_GB2312"/>
          <w:sz w:val="32"/>
          <w:szCs w:val="32"/>
        </w:rPr>
        <w:t>市财政局申报项目资金预算，2020年由广元市财政局通过《广元市财政局关于下达财政专项补助资金的通知》（广财行〔2020〕71号）文件下达我部门项目资金14.85万元。</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(二)资金计划、到位及使用情况。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1.资金计划及到位情况。本项目预算指标为14.85万元，截至2020年底，市财政实际拨付资金14.85万元，资金拨付率为100%。</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2.资金使用。该项目资金全年共支出14.85万元，支出进度为100%，主要是用于支付培训费。</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(三)项目财务管理情况。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我部门严格按照财务管理相关制度规定，建立健全财务管理制度及内控制度，加强对财政管理专项经费的使用管理，按照专项资金管理办法做好项目实施和监管，及时、规范进行账务处理及会计核算。切实做到专款专用，最大可能发挥专项资金作用。</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我部门严格按照项目管理有关规定管理专项经费，为保障项目资金安全，确保资金专款专用，从资金申请、资金使用、会计核算三个环节加强资金管理。在项目资金申请环节，严格按照国库集中支付流程申请财政资金；在资金使用环节，严格遵守相关法律法规规定，严格按照单位财务管理审批流程办理款项支付；在会计核算环节，对本项目资金实行单独核算，确保专款专用，通过上述三个环节的管理，极力避免了挪用、挤占、截留项目资金的现象，保证财政资金安全有效使用。同时经费管理主动接受驻局纪检监察组和审计部门的监督检查，对预算执行实行动态监控，无违纪违法现象。</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四、项目绩效情况</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（一）项目完成情况。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通过项目实施，顺利完成培训工作，共培训财政干部62人，提升了全市财政干部的政治意识、理论素养和业务能力，推动财政队伍履职担当和财政工作提质增效再上台阶。</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(二)项目效益情况。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1.项目实施对社会的影响。提升了财政干部的政治意识、理论素养和业务能力。</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2.项目服务对象满意度。培训学员满意度达100%以上。</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通过项目实施，圆满完成目标任务，进一步提高全市财政系统干部整体素质和管理水平，更好地为经济建设“三大主战场”提供强有力的力量保障。</w:t>
      </w: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会计职称考务费项目2020年绩效评价报告</w:t>
      </w:r>
    </w:p>
    <w:p>
      <w:pPr>
        <w:spacing w:line="576" w:lineRule="exact"/>
        <w:rPr>
          <w:rFonts w:ascii="仿宋_GB2312" w:eastAsia="仿宋_GB2312"/>
          <w:sz w:val="32"/>
          <w:szCs w:val="32"/>
        </w:rPr>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（一）项目基本情况。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 xml:space="preserve">本项目根据市委市政府授予市财政局职能职责所设立，主管部门为广元市财政局。主要目标是:顺利完成会计专业技术资格初级和中级考试工作，提高会计人员水平，强化全市会计人员队伍力量，促进全市会计管理工作取得新进展。     </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(二)项目绩效目标。</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1.项目主要内容。完成会计专业技术资格初级和中级考试工作，保证377场考试顺利进行，保障初级报考3732人、中级报考167人顺利完成考试。同时根据疫情防控要求，做好考场疫情防控工作。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2.项目绩效目标。顺利完成会计专业技术资格考试工作，提高会计人员水平，强化全市会计人员队伍力量，促进全市会计管理工作取得新进展。</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(三)项目自评步骤及方法。</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按照项目评价要求，明确自评责任人，</w:t>
      </w:r>
      <w:r>
        <w:rPr>
          <w:rFonts w:hint="eastAsia" w:eastAsia="仿宋_GB2312"/>
          <w:sz w:val="32"/>
          <w:szCs w:val="32"/>
        </w:rPr>
        <w:t> </w:t>
      </w:r>
      <w:r>
        <w:rPr>
          <w:rFonts w:hint="eastAsia" w:ascii="仿宋_GB2312" w:eastAsia="仿宋_GB2312"/>
          <w:sz w:val="32"/>
          <w:szCs w:val="32"/>
        </w:rPr>
        <w:t>通过查验资料、报告工作等形式严格自评，做到自评真实不走形式。</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（一）项目资金申报及批复情况。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按照一般公共预算管理要求，</w:t>
      </w:r>
      <w:r>
        <w:rPr>
          <w:rFonts w:hint="eastAsia" w:eastAsia="仿宋_GB2312"/>
          <w:sz w:val="32"/>
          <w:szCs w:val="32"/>
        </w:rPr>
        <w:t> </w:t>
      </w:r>
      <w:r>
        <w:rPr>
          <w:rFonts w:hint="eastAsia" w:ascii="仿宋_GB2312" w:eastAsia="仿宋_GB2312"/>
          <w:sz w:val="32"/>
          <w:szCs w:val="32"/>
        </w:rPr>
        <w:t>年初由市财政局申报项目资金预算，2020</w:t>
      </w:r>
      <w:r>
        <w:rPr>
          <w:rFonts w:hint="eastAsia" w:eastAsia="仿宋_GB2312"/>
          <w:sz w:val="32"/>
          <w:szCs w:val="32"/>
        </w:rPr>
        <w:t> </w:t>
      </w:r>
      <w:r>
        <w:rPr>
          <w:rFonts w:hint="eastAsia" w:ascii="仿宋_GB2312" w:eastAsia="仿宋_GB2312"/>
          <w:sz w:val="32"/>
          <w:szCs w:val="32"/>
        </w:rPr>
        <w:t>年由广元市财政局通过《广元市财政局关于批复2020年市级部门预算的通知》(广财预〔2020〕8号)文件下达我单位项目资金预算指标39.53万元。</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(二)资金计划、到位及使用情况。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w:t>
      </w:r>
      <w:r>
        <w:rPr>
          <w:rFonts w:hint="eastAsia" w:eastAsia="仿宋_GB2312"/>
          <w:sz w:val="32"/>
          <w:szCs w:val="32"/>
        </w:rPr>
        <w:t> </w:t>
      </w:r>
      <w:r>
        <w:rPr>
          <w:rFonts w:hint="eastAsia" w:ascii="仿宋_GB2312" w:eastAsia="仿宋_GB2312"/>
          <w:sz w:val="32"/>
          <w:szCs w:val="32"/>
        </w:rPr>
        <w:t>资金计划及到位情况。本项目预算指标为39.53万元，截至2020年底，市财政实际拨付资金33.49万元，资金拨付率为84.</w:t>
      </w:r>
      <w:r>
        <w:rPr>
          <w:rFonts w:hint="eastAsia" w:eastAsia="仿宋_GB2312"/>
          <w:sz w:val="32"/>
          <w:szCs w:val="32"/>
        </w:rPr>
        <w:t> </w:t>
      </w:r>
      <w:r>
        <w:rPr>
          <w:rFonts w:hint="eastAsia" w:ascii="仿宋_GB2312" w:eastAsia="仿宋_GB2312"/>
          <w:sz w:val="32"/>
          <w:szCs w:val="32"/>
        </w:rPr>
        <w:t>72%。</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资金使用。该项目资金全年共支出33.49万元，支出进度为84.72%，主要是用于防疫物资购置、防疫人员补助和考试考务费。在项目执行过程中，严格按照预算批复执行，不随意改变该项目资金支付范围、支付标准，</w:t>
      </w:r>
      <w:r>
        <w:rPr>
          <w:rFonts w:hint="eastAsia" w:eastAsia="仿宋_GB2312"/>
          <w:sz w:val="32"/>
          <w:szCs w:val="32"/>
        </w:rPr>
        <w:t> </w:t>
      </w:r>
      <w:r>
        <w:rPr>
          <w:rFonts w:hint="eastAsia" w:ascii="仿宋_GB2312" w:eastAsia="仿宋_GB2312"/>
          <w:sz w:val="32"/>
          <w:szCs w:val="32"/>
        </w:rPr>
        <w:t>严控预算执行进度和经费支出情况，确保资金使用安全、规范、高效。</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(三)项目财务管理情况。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我部门严格按照财务管理相关制度规定，建立健全财务管理制度及内控制度，加强对财政管理专项经费的使用管理，按照专项资金管理办法做好项目实施和监管，及时、规范进行账务处理及会计核算。切实做到专款专用，最大可能发挥专项资金作用。</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我部门严格按照项目管理有关规定管理</w:t>
      </w:r>
      <w:r>
        <w:rPr>
          <w:rFonts w:hint="eastAsia" w:ascii="仿宋_GB2312" w:eastAsia="仿宋_GB2312"/>
          <w:sz w:val="32"/>
          <w:szCs w:val="32"/>
          <w:lang w:eastAsia="zh-CN"/>
        </w:rPr>
        <w:t>专项经费</w:t>
      </w:r>
      <w:r>
        <w:rPr>
          <w:rFonts w:hint="eastAsia" w:ascii="仿宋_GB2312" w:eastAsia="仿宋_GB2312"/>
          <w:sz w:val="32"/>
          <w:szCs w:val="32"/>
        </w:rPr>
        <w:t>，为保障项目资金安全，确保资金专款专用，从资金申请、资金使用、会计核算三个环节加强资金管理。在项目资金申请环节，严格按照国库集中支付流程申请财政资金；在资金使用环节，严格遵守相关法律法规规定，严格按照单位财务管理审批流程办理款项支付;在会计核算环节，对本项目资金实行单独核算，确保专款专用。通过上述三个环节的管理，极力避免了挪用、挤占、截留项目资金的现象，保证财政资金安全有效使用。同时经费管理主动接受驻局纪检监察组和审计部门的监督检查，对预算执行实行动态监控，无违纪违法现象。</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四、项目绩效情况</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（一）项目完成情况。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通过项目实施，保障了会计专业资格初级、中级考试工作顺利完成，参考人数5399</w:t>
      </w:r>
      <w:r>
        <w:rPr>
          <w:rFonts w:hint="eastAsia" w:eastAsia="仿宋_GB2312"/>
          <w:sz w:val="32"/>
          <w:szCs w:val="32"/>
        </w:rPr>
        <w:t> </w:t>
      </w:r>
      <w:r>
        <w:rPr>
          <w:rFonts w:hint="eastAsia" w:ascii="仿宋_GB2312" w:eastAsia="仿宋_GB2312"/>
          <w:sz w:val="32"/>
          <w:szCs w:val="32"/>
        </w:rPr>
        <w:t>人完成考试，进一步提高了会计人员水平，强化全市会计人员队伍力量，促进全市会计管理工作取得新进展。</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(二)项目效益情况。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1.项目实施对经济和社会的影响。通过该项目顺利实施，我市会计队伍进一步壮大，会计人员业务水平得到提升。</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2.项目服务对象满意度。参考人员满意度达95%以上。</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（一）评价结论。</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通过项目实施，保障了会计专业资格初级、中级考试工作顺利完成，进一步提高了会计人员水平，强化全市会计人员队伍力量，促进全市会计管理工作取得新进展。</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(二)存在的问题。</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项目测算标准有待细化，测算准确率有待提高。</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(三)相关建议。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细化预算编制工作，提升预算准确度和执行进度。</w:t>
      </w: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脱贫攻坚部门工作经费</w:t>
      </w: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及第一书记生活补贴项目2020年绩效评价</w:t>
      </w: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报  告</w:t>
      </w:r>
    </w:p>
    <w:p>
      <w:pPr>
        <w:spacing w:line="576" w:lineRule="exact"/>
        <w:ind w:firstLine="640" w:firstLineChars="200"/>
        <w:rPr>
          <w:rFonts w:ascii="黑体" w:hAnsi="黑体" w:eastAsia="黑体"/>
          <w:sz w:val="32"/>
          <w:szCs w:val="32"/>
        </w:rPr>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（一）项目基本情况。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本项目根据市委市政府对脱贫攻坚项目推进的要求所设立，主管部门为广元市财政局。</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(二)项目绩效目标。</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按照市委市政府的总体要求，全力开展脱贫攻坚帮扶工作，为保障帮扶工作正常开展提供所需经费。</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(三)项目自评步骤及方法。</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按照项目评价要求，明确自评责任人，组织自评队伍，通过查验资料、走访询问、报告工作等形式严格自评，做到自评真实不走形式。</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（一）项目资金申报及批复情况。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按照一般公共预算管理要求，年初申报资金预算，2020年由市财政局通过《广元市财政局关于批复2020</w:t>
      </w:r>
      <w:r>
        <w:rPr>
          <w:rFonts w:hint="eastAsia" w:eastAsia="仿宋_GB2312"/>
          <w:sz w:val="32"/>
          <w:szCs w:val="32"/>
        </w:rPr>
        <w:t> </w:t>
      </w:r>
      <w:r>
        <w:rPr>
          <w:rFonts w:hint="eastAsia" w:ascii="仿宋_GB2312" w:eastAsia="仿宋_GB2312"/>
          <w:sz w:val="32"/>
          <w:szCs w:val="32"/>
        </w:rPr>
        <w:t>年市级部门预算的通知》(广财预〔2020〕8号)文件下达我部门项目资金预算指标8.74万元。</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(二)资金计划、到位及使用情况。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1.资金计划及到位情况。本项目预算指标为8.74万元，载至2020年底，市时政实际拨付资金8.74万元，</w:t>
      </w:r>
      <w:r>
        <w:rPr>
          <w:rFonts w:hint="eastAsia" w:eastAsia="仿宋_GB2312"/>
          <w:sz w:val="32"/>
          <w:szCs w:val="32"/>
        </w:rPr>
        <w:t> </w:t>
      </w:r>
      <w:r>
        <w:rPr>
          <w:rFonts w:hint="eastAsia" w:ascii="仿宋_GB2312" w:eastAsia="仿宋_GB2312"/>
          <w:sz w:val="32"/>
          <w:szCs w:val="32"/>
        </w:rPr>
        <w:t>资金拨付率为100%。</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w:t>
      </w:r>
      <w:r>
        <w:rPr>
          <w:rFonts w:hint="eastAsia" w:eastAsia="仿宋_GB2312"/>
          <w:sz w:val="32"/>
          <w:szCs w:val="32"/>
        </w:rPr>
        <w:t> </w:t>
      </w:r>
      <w:r>
        <w:rPr>
          <w:rFonts w:hint="eastAsia" w:ascii="仿宋_GB2312" w:eastAsia="仿宋_GB2312"/>
          <w:sz w:val="32"/>
          <w:szCs w:val="32"/>
        </w:rPr>
        <w:t>资金使用情况。该项目资金全年共支出8.74万元，支出进度为10%。主要是用于保障帮扶工作正常开展提供所需经费。在项目执行过程中，严格按照预算批复项目资金支付范围、支付标准执行，严控预算执行进度和经费支出情况，确保资金使用安全、规范、高效。</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(三)项目财务管理情况。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我部门严格按照财务管理相关制度规定，建立健全财务管理制度及内控制度，加强对帮扶部门工作经费的使用管理，按照专项资金管理办法做好项目实施和监管，及时、规范进行账务处理及会计核算。切实做到专款专用，最大可能发挥专项资金作用。</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我部门严格按照项目管理有关规定对专项经费进行管理，从资金申请、资金使用、会计核算三个环节加强资金管理，确保资金专款专用，同时经费管理主动接受驻局纪检监察组和审计部门的监督检查，对预算执行实行动态监控，无违纪违法现象。</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四、项目绩效情况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通过项目实施，切实保障了脱贫攻坚工作任务完成，帮扶的2个贫困村、4个非贫困村顺利完成脱贫，帮扶成效得到巩固提升，极大地高了贫困群众的幸福感、获得感，帮扶干部和困难群众满意度达98%以上。</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本项目符合脱贫攻坚管理的政策，具有明确的绩效目标，项目实施过程中严格按照实际需要实施，有力保障了脱贫攻坚帮扶各项工作顺利开展。</w:t>
      </w:r>
    </w:p>
    <w:p>
      <w:pPr>
        <w:spacing w:line="576" w:lineRule="exact"/>
        <w:ind w:firstLine="640" w:firstLineChars="200"/>
        <w:rPr>
          <w:rFonts w:ascii="仿宋_GB2312" w:eastAsia="仿宋_GB2312"/>
          <w:sz w:val="32"/>
          <w:szCs w:val="32"/>
        </w:rPr>
      </w:pPr>
    </w:p>
    <w:p>
      <w:pPr>
        <w:spacing w:line="576" w:lineRule="exact"/>
        <w:ind w:firstLine="640" w:firstLineChars="200"/>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rPr>
          <w:rFonts w:ascii="仿宋_GB2312" w:eastAsia="仿宋_GB2312"/>
          <w:sz w:val="32"/>
          <w:szCs w:val="32"/>
        </w:rPr>
      </w:pPr>
    </w:p>
    <w:p>
      <w:pPr>
        <w:spacing w:line="576" w:lineRule="exact"/>
        <w:jc w:val="center"/>
        <w:rPr>
          <w:rFonts w:ascii="方正小标宋简体" w:eastAsia="方正小标宋简体"/>
          <w:sz w:val="44"/>
          <w:szCs w:val="44"/>
        </w:rPr>
      </w:pPr>
      <w:r>
        <w:rPr>
          <w:rFonts w:hint="eastAsia" w:ascii="方正小标宋简体" w:eastAsia="方正小标宋简体"/>
          <w:sz w:val="44"/>
          <w:szCs w:val="44"/>
        </w:rPr>
        <w:t>财政管理电子平台建设维护费项目2020年绩效评价报告</w:t>
      </w:r>
    </w:p>
    <w:p>
      <w:pPr>
        <w:spacing w:line="576" w:lineRule="exact"/>
        <w:ind w:firstLine="640" w:firstLineChars="200"/>
        <w:rPr>
          <w:rFonts w:ascii="黑体" w:hAnsi="黑体" w:eastAsia="黑体"/>
          <w:sz w:val="32"/>
          <w:szCs w:val="32"/>
        </w:rPr>
      </w:pPr>
    </w:p>
    <w:p>
      <w:pPr>
        <w:spacing w:line="576" w:lineRule="exact"/>
        <w:ind w:firstLine="640" w:firstLineChars="200"/>
        <w:rPr>
          <w:rFonts w:ascii="黑体" w:hAnsi="黑体" w:eastAsia="黑体"/>
          <w:sz w:val="32"/>
          <w:szCs w:val="32"/>
        </w:rPr>
      </w:pPr>
      <w:r>
        <w:rPr>
          <w:rFonts w:hint="eastAsia" w:ascii="黑体" w:hAnsi="黑体" w:eastAsia="黑体"/>
          <w:sz w:val="32"/>
          <w:szCs w:val="32"/>
        </w:rPr>
        <w:t>一、项目概况</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（一）项目基本情况。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本项目根据市委市政府授予市财政局职能职责所设立，主管部门为广元市财政局。主要内容</w:t>
      </w:r>
      <w:r>
        <w:rPr>
          <w:rFonts w:hint="eastAsia" w:ascii="仿宋_GB2312" w:eastAsia="仿宋_GB2312"/>
          <w:sz w:val="32"/>
          <w:szCs w:val="32"/>
          <w:lang w:eastAsia="zh-CN"/>
        </w:rPr>
        <w:t>包括</w:t>
      </w:r>
      <w:r>
        <w:rPr>
          <w:rFonts w:hint="eastAsia" w:ascii="仿宋_GB2312" w:eastAsia="仿宋_GB2312"/>
          <w:sz w:val="32"/>
          <w:szCs w:val="32"/>
        </w:rPr>
        <w:t>:完成财政各类信息管理系统及门户网站运行维护，确保全市财政资金的顺利拨付和工作开展。</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(二)项目绩效目标。</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1.项目主要内容。供养系统、部门预算系统、会计核算平台、网上竞价系统、非税收入系统、0A协同办公系统、资产管理系统等及金财网络运行维护。</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2.项目绩效目标。保障财政各项系统的顺利运转，确保全市财政资金的顺利拨付和工作开展。</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(三)项目自评步骤及方法</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按照项目评价要求，明确自评责任人，通过查验资料、报告工作等形式严格自评，做到自评真实、不走形式。</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二、项目资金申报及使用情况</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（一）项目资金申报及批复情况。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按照一般公共预算管理要求，年初由市财政局申报项目资金预算，2021年由广元市财政局通过《广元市财政局关于批复2020年市级都门预算的通知》(广财预〔2020〕8号)文件下达我单位项目资金预算指标30万元。</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(二)资金计划、 到位及使用情况。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1.资金计划及到位情况。本项目预算指标为30万元，截至2020年底，市财政实际拨付资金30万元，</w:t>
      </w:r>
      <w:r>
        <w:rPr>
          <w:rFonts w:hint="eastAsia" w:eastAsia="仿宋_GB2312"/>
          <w:sz w:val="32"/>
          <w:szCs w:val="32"/>
        </w:rPr>
        <w:t> </w:t>
      </w:r>
      <w:r>
        <w:rPr>
          <w:rFonts w:hint="eastAsia" w:ascii="仿宋_GB2312" w:eastAsia="仿宋_GB2312"/>
          <w:sz w:val="32"/>
          <w:szCs w:val="32"/>
        </w:rPr>
        <w:t>资金拨付率为100%。</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资金使用。该项目资金全年共支出30万元，支出进度为100%，主要是用于财政各类信息管理系统及门户网站运行维护。在项目执行过程中，严格按照预算批复执行，不随意改变该项目资金支付范围、支付标准，严控预算执行进度和经费支出情况，确保资金使用安全、规范、高效。</w:t>
      </w:r>
    </w:p>
    <w:p>
      <w:pPr>
        <w:spacing w:line="576" w:lineRule="exact"/>
        <w:ind w:firstLine="640" w:firstLineChars="200"/>
        <w:rPr>
          <w:rFonts w:ascii="楷体_GB2312" w:eastAsia="楷体_GB2312"/>
          <w:sz w:val="32"/>
          <w:szCs w:val="32"/>
        </w:rPr>
      </w:pPr>
      <w:r>
        <w:rPr>
          <w:rFonts w:hint="eastAsia" w:ascii="楷体_GB2312" w:eastAsia="楷体_GB2312" w:hAnsiTheme="minorHAnsi"/>
          <w:sz w:val="32"/>
          <w:szCs w:val="32"/>
        </w:rPr>
        <w:t>(三)项目财务管理情况。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我部门严格按照财务管理相关制度规定，建立健全财务管理制度及内控制度，加强对财政管理专项经费的使用管理，按照专项资金管理办法做好项目实施和监管，及时、规范进行账务处理及会计核算。切实做到专款专用，最大可能发挥专项资金作用。</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三、项目实施及管理情况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我部门严格按照项目管理有关规定管理专项经费，为保障项目资金安全，确保资金专款专用，</w:t>
      </w:r>
      <w:r>
        <w:rPr>
          <w:rFonts w:hint="eastAsia" w:eastAsia="仿宋_GB2312"/>
          <w:sz w:val="32"/>
          <w:szCs w:val="32"/>
        </w:rPr>
        <w:t> </w:t>
      </w:r>
      <w:r>
        <w:rPr>
          <w:rFonts w:hint="eastAsia" w:ascii="仿宋_GB2312" w:eastAsia="仿宋_GB2312"/>
          <w:sz w:val="32"/>
          <w:szCs w:val="32"/>
        </w:rPr>
        <w:t>从资金申请、资金使用、会计核算三个环节加强资金管理，在项目资金申请环节，严格按照国库集中支付流程申请财政资金；在资金使用环节，严格遵守相关法律法规规定，严格按照单位财务管理审批流程办理款项支付；在会计核算环节，对本项目资金实行单独核算，确保专款专用。通过上述三个环节的管理，极力避免了挪用、挤占、截留项目资金的现象，保证财政资金安全有效使用。同时经费管理主动接受驻局纪检监察组和审计部门的监督检查，对预算执行实行动态监控，无违纪违法现象。</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四、项目绩效情况</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（一）项目完成情况。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通过项目实施，保障财政各项系统的顺利运转，确保全市财政资金的顺利拨付和工作开展。</w:t>
      </w:r>
    </w:p>
    <w:p>
      <w:pPr>
        <w:spacing w:line="576" w:lineRule="exact"/>
        <w:ind w:firstLine="640" w:firstLineChars="200"/>
        <w:rPr>
          <w:rFonts w:ascii="楷体_GB2312" w:eastAsia="楷体_GB2312"/>
          <w:sz w:val="32"/>
          <w:szCs w:val="32"/>
        </w:rPr>
      </w:pPr>
      <w:r>
        <w:rPr>
          <w:rFonts w:hint="eastAsia" w:ascii="楷体_GB2312" w:eastAsia="楷体_GB2312"/>
          <w:sz w:val="32"/>
          <w:szCs w:val="32"/>
        </w:rPr>
        <w:t>(二)项目效益情况。</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1.项目实施对经济和社会的影响。通过该项目顺利实施，保障了各项财政业务正常开展和财政资金及时拨付，为全市经济社会高质量发展提供了坚实保障。</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2.项目服务对象满意度。使用对象满意度达95%以上。</w:t>
      </w:r>
    </w:p>
    <w:p>
      <w:pPr>
        <w:spacing w:line="576" w:lineRule="exact"/>
        <w:ind w:firstLine="640" w:firstLineChars="200"/>
        <w:rPr>
          <w:rFonts w:ascii="黑体" w:hAnsi="黑体" w:eastAsia="黑体"/>
          <w:sz w:val="32"/>
          <w:szCs w:val="32"/>
        </w:rPr>
      </w:pPr>
      <w:r>
        <w:rPr>
          <w:rFonts w:hint="eastAsia" w:ascii="黑体" w:hAnsi="黑体" w:eastAsia="黑体"/>
          <w:sz w:val="32"/>
          <w:szCs w:val="32"/>
        </w:rPr>
        <w:t>五、评价结论及建议</w:t>
      </w:r>
    </w:p>
    <w:p>
      <w:pPr>
        <w:spacing w:line="576" w:lineRule="exact"/>
        <w:ind w:firstLine="640" w:firstLineChars="200"/>
        <w:rPr>
          <w:rFonts w:ascii="仿宋_GB2312" w:eastAsia="仿宋_GB2312"/>
          <w:sz w:val="32"/>
          <w:szCs w:val="32"/>
        </w:rPr>
      </w:pPr>
      <w:r>
        <w:rPr>
          <w:rFonts w:hint="eastAsia" w:ascii="仿宋_GB2312" w:eastAsia="仿宋_GB2312"/>
          <w:sz w:val="32"/>
          <w:szCs w:val="32"/>
        </w:rPr>
        <w:t>通过该项目顺利实施，保障了各项财政业务正常开展和财政资金及时拨付，为全市经济社会高质量发展提供了坚实保障，圆满完成了各项目标任务。</w:t>
      </w:r>
    </w:p>
    <w:p>
      <w:pPr>
        <w:spacing w:line="576" w:lineRule="exact"/>
        <w:ind w:firstLine="880" w:firstLineChars="200"/>
        <w:outlineLvl w:val="0"/>
        <w:rPr>
          <w:rStyle w:val="15"/>
          <w:rFonts w:ascii="黑体" w:hAnsi="黑体" w:eastAsia="黑体"/>
          <w:b w:val="0"/>
        </w:rPr>
      </w:pPr>
    </w:p>
    <w:p>
      <w:pPr>
        <w:spacing w:line="576" w:lineRule="exact"/>
        <w:ind w:firstLine="880" w:firstLineChars="200"/>
        <w:outlineLvl w:val="0"/>
        <w:rPr>
          <w:rStyle w:val="15"/>
          <w:rFonts w:ascii="黑体" w:hAnsi="黑体" w:eastAsia="黑体"/>
          <w:b w:val="0"/>
        </w:rPr>
      </w:pPr>
    </w:p>
    <w:p>
      <w:pPr>
        <w:spacing w:line="576" w:lineRule="exact"/>
        <w:ind w:firstLine="880" w:firstLineChars="200"/>
        <w:outlineLvl w:val="0"/>
        <w:rPr>
          <w:rStyle w:val="15"/>
          <w:rFonts w:ascii="黑体" w:hAnsi="黑体" w:eastAsia="黑体"/>
          <w:b w:val="0"/>
        </w:rPr>
      </w:pPr>
    </w:p>
    <w:p>
      <w:pPr>
        <w:spacing w:line="576" w:lineRule="exact"/>
        <w:ind w:firstLine="880" w:firstLineChars="200"/>
        <w:outlineLvl w:val="0"/>
        <w:rPr>
          <w:rStyle w:val="15"/>
          <w:rFonts w:ascii="黑体" w:hAnsi="黑体" w:eastAsia="黑体"/>
          <w:b w:val="0"/>
        </w:rPr>
      </w:pPr>
    </w:p>
    <w:p>
      <w:pPr>
        <w:spacing w:line="576" w:lineRule="exact"/>
        <w:outlineLvl w:val="0"/>
        <w:rPr>
          <w:rStyle w:val="15"/>
          <w:rFonts w:ascii="黑体" w:hAnsi="黑体" w:eastAsia="黑体"/>
          <w:b w:val="0"/>
        </w:rPr>
      </w:pPr>
    </w:p>
    <w:p>
      <w:pPr>
        <w:adjustRightInd w:val="0"/>
        <w:snapToGrid w:val="0"/>
        <w:spacing w:line="576" w:lineRule="exact"/>
        <w:jc w:val="center"/>
        <w:outlineLvl w:val="0"/>
        <w:rPr>
          <w:rFonts w:ascii="方正小标宋简体" w:hAnsi="方正小标宋简体" w:eastAsia="方正小标宋简体" w:cs="方正小标宋简体"/>
          <w:color w:val="000000"/>
          <w:sz w:val="44"/>
          <w:szCs w:val="44"/>
        </w:rPr>
      </w:pPr>
      <w:bookmarkStart w:id="63" w:name="_Toc15512"/>
      <w:r>
        <w:rPr>
          <w:rFonts w:hint="eastAsia" w:ascii="方正小标宋简体" w:hAnsi="方正小标宋简体" w:eastAsia="方正小标宋简体" w:cs="方正小标宋简体"/>
          <w:color w:val="000000"/>
          <w:sz w:val="44"/>
          <w:szCs w:val="44"/>
        </w:rPr>
        <w:t>第五部分 附表</w:t>
      </w:r>
      <w:bookmarkEnd w:id="63"/>
    </w:p>
    <w:p>
      <w:pPr>
        <w:spacing w:line="576" w:lineRule="exact"/>
        <w:jc w:val="center"/>
        <w:outlineLvl w:val="0"/>
        <w:rPr>
          <w:rFonts w:ascii="仿宋" w:hAnsi="仿宋" w:eastAsia="仿宋"/>
          <w:b/>
          <w:color w:val="000000"/>
          <w:sz w:val="44"/>
          <w:szCs w:val="44"/>
        </w:rPr>
      </w:pPr>
    </w:p>
    <w:p>
      <w:pPr>
        <w:pStyle w:val="3"/>
        <w:keepNext w:val="0"/>
        <w:keepLines w:val="0"/>
        <w:spacing w:before="0" w:after="0" w:line="576" w:lineRule="exact"/>
        <w:ind w:firstLine="640" w:firstLineChars="200"/>
        <w:rPr>
          <w:rFonts w:ascii="仿宋_GB2312" w:hAnsi="仿宋_GB2312" w:eastAsia="仿宋_GB2312" w:cs="仿宋_GB2312"/>
          <w:color w:val="000000"/>
        </w:rPr>
      </w:pPr>
      <w:bookmarkStart w:id="64" w:name="_Toc15396619"/>
      <w:bookmarkStart w:id="65" w:name="_Toc26813"/>
      <w:r>
        <w:rPr>
          <w:rFonts w:hint="eastAsia" w:ascii="仿宋_GB2312" w:hAnsi="仿宋_GB2312" w:eastAsia="仿宋_GB2312" w:cs="仿宋_GB2312"/>
          <w:b w:val="0"/>
          <w:color w:val="000000"/>
        </w:rPr>
        <w:t>一、收</w:t>
      </w:r>
      <w:r>
        <w:rPr>
          <w:rStyle w:val="16"/>
          <w:rFonts w:hint="eastAsia" w:ascii="仿宋_GB2312" w:hAnsi="仿宋_GB2312" w:eastAsia="仿宋_GB2312" w:cs="仿宋_GB2312"/>
          <w:b w:val="0"/>
          <w:bCs w:val="0"/>
        </w:rPr>
        <w:t>入支出决算总表</w:t>
      </w:r>
      <w:bookmarkEnd w:id="64"/>
      <w:bookmarkEnd w:id="65"/>
    </w:p>
    <w:p>
      <w:pPr>
        <w:pStyle w:val="3"/>
        <w:keepNext w:val="0"/>
        <w:keepLines w:val="0"/>
        <w:spacing w:before="0" w:after="0" w:line="576" w:lineRule="exact"/>
        <w:ind w:firstLine="640" w:firstLineChars="200"/>
        <w:rPr>
          <w:rFonts w:ascii="仿宋_GB2312" w:hAnsi="仿宋_GB2312" w:eastAsia="仿宋_GB2312" w:cs="仿宋_GB2312"/>
          <w:color w:val="000000"/>
        </w:rPr>
      </w:pPr>
      <w:bookmarkStart w:id="66" w:name="_Toc15396620"/>
      <w:bookmarkStart w:id="67" w:name="_Toc17773"/>
      <w:r>
        <w:rPr>
          <w:rFonts w:hint="eastAsia" w:ascii="仿宋_GB2312" w:hAnsi="仿宋_GB2312" w:eastAsia="仿宋_GB2312" w:cs="仿宋_GB2312"/>
          <w:b w:val="0"/>
          <w:color w:val="000000"/>
        </w:rPr>
        <w:t>二、收</w:t>
      </w:r>
      <w:r>
        <w:rPr>
          <w:rStyle w:val="16"/>
          <w:rFonts w:hint="eastAsia" w:ascii="仿宋_GB2312" w:hAnsi="仿宋_GB2312" w:eastAsia="仿宋_GB2312" w:cs="仿宋_GB2312"/>
          <w:b w:val="0"/>
          <w:bCs w:val="0"/>
        </w:rPr>
        <w:t>入决算表</w:t>
      </w:r>
      <w:bookmarkEnd w:id="66"/>
      <w:bookmarkEnd w:id="67"/>
    </w:p>
    <w:p>
      <w:pPr>
        <w:pStyle w:val="3"/>
        <w:keepNext w:val="0"/>
        <w:keepLines w:val="0"/>
        <w:spacing w:before="0" w:after="0" w:line="576" w:lineRule="exact"/>
        <w:ind w:firstLine="640" w:firstLineChars="200"/>
        <w:rPr>
          <w:rFonts w:ascii="仿宋_GB2312" w:hAnsi="仿宋_GB2312" w:eastAsia="仿宋_GB2312" w:cs="仿宋_GB2312"/>
          <w:color w:val="000000"/>
        </w:rPr>
      </w:pPr>
      <w:bookmarkStart w:id="68" w:name="_Toc17774"/>
      <w:bookmarkStart w:id="69" w:name="_Toc15396621"/>
      <w:r>
        <w:rPr>
          <w:rStyle w:val="16"/>
          <w:rFonts w:hint="eastAsia" w:ascii="仿宋_GB2312" w:hAnsi="仿宋_GB2312" w:eastAsia="仿宋_GB2312" w:cs="仿宋_GB2312"/>
          <w:b w:val="0"/>
          <w:bCs w:val="0"/>
        </w:rPr>
        <w:t>三、</w:t>
      </w:r>
      <w:r>
        <w:rPr>
          <w:rFonts w:hint="eastAsia" w:ascii="仿宋_GB2312" w:hAnsi="仿宋_GB2312" w:eastAsia="仿宋_GB2312" w:cs="仿宋_GB2312"/>
          <w:b w:val="0"/>
          <w:color w:val="000000"/>
        </w:rPr>
        <w:t>支</w:t>
      </w:r>
      <w:r>
        <w:rPr>
          <w:rStyle w:val="16"/>
          <w:rFonts w:hint="eastAsia" w:ascii="仿宋_GB2312" w:hAnsi="仿宋_GB2312" w:eastAsia="仿宋_GB2312" w:cs="仿宋_GB2312"/>
          <w:b w:val="0"/>
          <w:bCs w:val="0"/>
        </w:rPr>
        <w:t>出决算表</w:t>
      </w:r>
      <w:bookmarkEnd w:id="68"/>
      <w:bookmarkEnd w:id="69"/>
    </w:p>
    <w:p>
      <w:pPr>
        <w:pStyle w:val="3"/>
        <w:keepNext w:val="0"/>
        <w:keepLines w:val="0"/>
        <w:spacing w:before="0" w:after="0" w:line="576" w:lineRule="exact"/>
        <w:ind w:firstLine="640" w:firstLineChars="200"/>
        <w:rPr>
          <w:rFonts w:ascii="仿宋_GB2312" w:hAnsi="仿宋_GB2312" w:eastAsia="仿宋_GB2312" w:cs="仿宋_GB2312"/>
          <w:b w:val="0"/>
          <w:color w:val="000000"/>
        </w:rPr>
      </w:pPr>
      <w:bookmarkStart w:id="70" w:name="_Toc5864"/>
      <w:bookmarkStart w:id="71" w:name="_Toc15396622"/>
      <w:r>
        <w:rPr>
          <w:rStyle w:val="16"/>
          <w:rFonts w:hint="eastAsia" w:ascii="仿宋_GB2312" w:hAnsi="仿宋_GB2312" w:eastAsia="仿宋_GB2312" w:cs="仿宋_GB2312"/>
          <w:b w:val="0"/>
          <w:bCs w:val="0"/>
        </w:rPr>
        <w:t>四、</w:t>
      </w:r>
      <w:r>
        <w:rPr>
          <w:rFonts w:hint="eastAsia" w:ascii="仿宋_GB2312" w:hAnsi="仿宋_GB2312" w:eastAsia="仿宋_GB2312" w:cs="仿宋_GB2312"/>
          <w:b w:val="0"/>
          <w:color w:val="000000"/>
        </w:rPr>
        <w:t>财</w:t>
      </w:r>
      <w:r>
        <w:rPr>
          <w:rStyle w:val="16"/>
          <w:rFonts w:hint="eastAsia" w:ascii="仿宋_GB2312" w:hAnsi="仿宋_GB2312" w:eastAsia="仿宋_GB2312" w:cs="仿宋_GB2312"/>
          <w:b w:val="0"/>
          <w:bCs w:val="0"/>
        </w:rPr>
        <w:t>政拨款收入支出决算总表</w:t>
      </w:r>
      <w:bookmarkEnd w:id="70"/>
      <w:bookmarkEnd w:id="71"/>
    </w:p>
    <w:p>
      <w:pPr>
        <w:pStyle w:val="3"/>
        <w:keepNext w:val="0"/>
        <w:keepLines w:val="0"/>
        <w:spacing w:before="0" w:after="0" w:line="576" w:lineRule="exact"/>
        <w:ind w:firstLine="640" w:firstLineChars="200"/>
        <w:rPr>
          <w:rStyle w:val="16"/>
          <w:rFonts w:ascii="仿宋_GB2312" w:hAnsi="仿宋_GB2312" w:eastAsia="仿宋_GB2312" w:cs="仿宋_GB2312"/>
          <w:b w:val="0"/>
          <w:bCs w:val="0"/>
        </w:rPr>
      </w:pPr>
      <w:bookmarkStart w:id="72" w:name="_Toc15396623"/>
      <w:bookmarkStart w:id="73" w:name="_Toc13045"/>
      <w:r>
        <w:rPr>
          <w:rStyle w:val="16"/>
          <w:rFonts w:hint="eastAsia" w:ascii="仿宋_GB2312" w:hAnsi="仿宋_GB2312" w:eastAsia="仿宋_GB2312" w:cs="仿宋_GB2312"/>
          <w:b w:val="0"/>
          <w:bCs w:val="0"/>
        </w:rPr>
        <w:t>五、</w:t>
      </w:r>
      <w:r>
        <w:rPr>
          <w:rFonts w:hint="eastAsia" w:ascii="仿宋_GB2312" w:hAnsi="仿宋_GB2312" w:eastAsia="仿宋_GB2312" w:cs="仿宋_GB2312"/>
          <w:b w:val="0"/>
          <w:color w:val="000000"/>
        </w:rPr>
        <w:t>财</w:t>
      </w:r>
      <w:r>
        <w:rPr>
          <w:rStyle w:val="16"/>
          <w:rFonts w:hint="eastAsia" w:ascii="仿宋_GB2312" w:hAnsi="仿宋_GB2312" w:eastAsia="仿宋_GB2312" w:cs="仿宋_GB2312"/>
          <w:b w:val="0"/>
          <w:bCs w:val="0"/>
        </w:rPr>
        <w:t>政拨款支出决算明细表</w:t>
      </w:r>
      <w:bookmarkEnd w:id="72"/>
      <w:bookmarkEnd w:id="73"/>
      <w:bookmarkStart w:id="74" w:name="_Toc15396624"/>
    </w:p>
    <w:p>
      <w:pPr>
        <w:pStyle w:val="3"/>
        <w:keepNext w:val="0"/>
        <w:keepLines w:val="0"/>
        <w:spacing w:before="0" w:after="0" w:line="576" w:lineRule="exact"/>
        <w:ind w:firstLine="640" w:firstLineChars="200"/>
        <w:rPr>
          <w:rFonts w:ascii="仿宋_GB2312" w:hAnsi="仿宋_GB2312" w:eastAsia="仿宋_GB2312" w:cs="仿宋_GB2312"/>
          <w:color w:val="000000"/>
        </w:rPr>
      </w:pPr>
      <w:bookmarkStart w:id="75" w:name="_Toc24207"/>
      <w:r>
        <w:rPr>
          <w:rStyle w:val="16"/>
          <w:rFonts w:hint="eastAsia" w:ascii="仿宋_GB2312" w:hAnsi="仿宋_GB2312" w:eastAsia="仿宋_GB2312" w:cs="仿宋_GB2312"/>
          <w:b w:val="0"/>
          <w:bCs w:val="0"/>
        </w:rPr>
        <w:t>六、</w:t>
      </w:r>
      <w:r>
        <w:rPr>
          <w:rFonts w:hint="eastAsia" w:ascii="仿宋_GB2312" w:hAnsi="仿宋_GB2312" w:eastAsia="仿宋_GB2312" w:cs="仿宋_GB2312"/>
          <w:b w:val="0"/>
          <w:color w:val="000000"/>
        </w:rPr>
        <w:t>一</w:t>
      </w:r>
      <w:r>
        <w:rPr>
          <w:rStyle w:val="16"/>
          <w:rFonts w:hint="eastAsia" w:ascii="仿宋_GB2312" w:hAnsi="仿宋_GB2312" w:eastAsia="仿宋_GB2312" w:cs="仿宋_GB2312"/>
          <w:b w:val="0"/>
          <w:bCs w:val="0"/>
        </w:rPr>
        <w:t>般公共预算财政拨款支出决算表</w:t>
      </w:r>
      <w:bookmarkEnd w:id="74"/>
      <w:bookmarkEnd w:id="75"/>
    </w:p>
    <w:p>
      <w:pPr>
        <w:pStyle w:val="3"/>
        <w:keepNext w:val="0"/>
        <w:keepLines w:val="0"/>
        <w:spacing w:before="0" w:after="0" w:line="576" w:lineRule="exact"/>
        <w:ind w:firstLine="640" w:firstLineChars="200"/>
        <w:rPr>
          <w:rFonts w:ascii="仿宋_GB2312" w:hAnsi="仿宋_GB2312" w:eastAsia="仿宋_GB2312" w:cs="仿宋_GB2312"/>
          <w:color w:val="000000"/>
        </w:rPr>
      </w:pPr>
      <w:bookmarkStart w:id="76" w:name="_Toc2288"/>
      <w:bookmarkStart w:id="77" w:name="_Toc15396625"/>
      <w:r>
        <w:rPr>
          <w:rStyle w:val="16"/>
          <w:rFonts w:hint="eastAsia" w:ascii="仿宋_GB2312" w:hAnsi="仿宋_GB2312" w:eastAsia="仿宋_GB2312" w:cs="仿宋_GB2312"/>
          <w:b w:val="0"/>
          <w:bCs w:val="0"/>
        </w:rPr>
        <w:t>七、</w:t>
      </w:r>
      <w:r>
        <w:rPr>
          <w:rFonts w:hint="eastAsia" w:ascii="仿宋_GB2312" w:hAnsi="仿宋_GB2312" w:eastAsia="仿宋_GB2312" w:cs="仿宋_GB2312"/>
          <w:b w:val="0"/>
          <w:color w:val="000000"/>
        </w:rPr>
        <w:t>一</w:t>
      </w:r>
      <w:r>
        <w:rPr>
          <w:rStyle w:val="16"/>
          <w:rFonts w:hint="eastAsia" w:ascii="仿宋_GB2312" w:hAnsi="仿宋_GB2312" w:eastAsia="仿宋_GB2312" w:cs="仿宋_GB2312"/>
          <w:b w:val="0"/>
          <w:bCs w:val="0"/>
        </w:rPr>
        <w:t>般公共预算财政拨款支出决算明细表</w:t>
      </w:r>
      <w:bookmarkEnd w:id="76"/>
      <w:bookmarkEnd w:id="77"/>
    </w:p>
    <w:p>
      <w:pPr>
        <w:pStyle w:val="3"/>
        <w:keepNext w:val="0"/>
        <w:keepLines w:val="0"/>
        <w:spacing w:before="0" w:after="0" w:line="576" w:lineRule="exact"/>
        <w:ind w:firstLine="640" w:firstLineChars="200"/>
        <w:rPr>
          <w:rFonts w:ascii="仿宋_GB2312" w:hAnsi="仿宋_GB2312" w:eastAsia="仿宋_GB2312" w:cs="仿宋_GB2312"/>
          <w:color w:val="000000"/>
        </w:rPr>
      </w:pPr>
      <w:bookmarkStart w:id="78" w:name="_Toc15396626"/>
      <w:bookmarkStart w:id="79" w:name="_Toc15599"/>
      <w:r>
        <w:rPr>
          <w:rStyle w:val="16"/>
          <w:rFonts w:hint="eastAsia" w:ascii="仿宋_GB2312" w:hAnsi="仿宋_GB2312" w:eastAsia="仿宋_GB2312" w:cs="仿宋_GB2312"/>
          <w:b w:val="0"/>
          <w:bCs w:val="0"/>
        </w:rPr>
        <w:t>八、</w:t>
      </w:r>
      <w:r>
        <w:rPr>
          <w:rFonts w:hint="eastAsia" w:ascii="仿宋_GB2312" w:hAnsi="仿宋_GB2312" w:eastAsia="仿宋_GB2312" w:cs="仿宋_GB2312"/>
          <w:b w:val="0"/>
          <w:color w:val="000000"/>
        </w:rPr>
        <w:t>一</w:t>
      </w:r>
      <w:r>
        <w:rPr>
          <w:rStyle w:val="16"/>
          <w:rFonts w:hint="eastAsia" w:ascii="仿宋_GB2312" w:hAnsi="仿宋_GB2312" w:eastAsia="仿宋_GB2312" w:cs="仿宋_GB2312"/>
          <w:b w:val="0"/>
          <w:bCs w:val="0"/>
        </w:rPr>
        <w:t>般公共预算财政拨款基本支出决算表</w:t>
      </w:r>
      <w:bookmarkEnd w:id="78"/>
      <w:bookmarkEnd w:id="79"/>
    </w:p>
    <w:p>
      <w:pPr>
        <w:pStyle w:val="3"/>
        <w:keepNext w:val="0"/>
        <w:keepLines w:val="0"/>
        <w:spacing w:before="0" w:after="0" w:line="576" w:lineRule="exact"/>
        <w:ind w:firstLine="640" w:firstLineChars="200"/>
        <w:rPr>
          <w:rFonts w:ascii="仿宋_GB2312" w:hAnsi="仿宋_GB2312" w:eastAsia="仿宋_GB2312" w:cs="仿宋_GB2312"/>
          <w:color w:val="000000"/>
        </w:rPr>
      </w:pPr>
      <w:bookmarkStart w:id="80" w:name="_Toc15396627"/>
      <w:bookmarkStart w:id="81" w:name="_Toc6010"/>
      <w:r>
        <w:rPr>
          <w:rStyle w:val="16"/>
          <w:rFonts w:hint="eastAsia" w:ascii="仿宋_GB2312" w:hAnsi="仿宋_GB2312" w:eastAsia="仿宋_GB2312" w:cs="仿宋_GB2312"/>
          <w:b w:val="0"/>
          <w:bCs w:val="0"/>
        </w:rPr>
        <w:t>九、</w:t>
      </w:r>
      <w:r>
        <w:rPr>
          <w:rFonts w:hint="eastAsia" w:ascii="仿宋_GB2312" w:hAnsi="仿宋_GB2312" w:eastAsia="仿宋_GB2312" w:cs="仿宋_GB2312"/>
          <w:b w:val="0"/>
          <w:color w:val="000000"/>
        </w:rPr>
        <w:t>一</w:t>
      </w:r>
      <w:r>
        <w:rPr>
          <w:rStyle w:val="16"/>
          <w:rFonts w:hint="eastAsia" w:ascii="仿宋_GB2312" w:hAnsi="仿宋_GB2312" w:eastAsia="仿宋_GB2312" w:cs="仿宋_GB2312"/>
          <w:b w:val="0"/>
          <w:bCs w:val="0"/>
        </w:rPr>
        <w:t>般公共预算财政拨款项目支出决算表</w:t>
      </w:r>
      <w:bookmarkEnd w:id="80"/>
      <w:bookmarkEnd w:id="81"/>
    </w:p>
    <w:p>
      <w:pPr>
        <w:pStyle w:val="3"/>
        <w:keepNext w:val="0"/>
        <w:keepLines w:val="0"/>
        <w:spacing w:before="0" w:after="0" w:line="576" w:lineRule="exact"/>
        <w:ind w:firstLine="640" w:firstLineChars="200"/>
        <w:rPr>
          <w:rFonts w:ascii="仿宋_GB2312" w:hAnsi="仿宋_GB2312" w:eastAsia="仿宋_GB2312" w:cs="仿宋_GB2312"/>
          <w:color w:val="000000"/>
        </w:rPr>
      </w:pPr>
      <w:bookmarkStart w:id="82" w:name="_Toc13430"/>
      <w:bookmarkStart w:id="83" w:name="_Toc15396628"/>
      <w:r>
        <w:rPr>
          <w:rStyle w:val="16"/>
          <w:rFonts w:hint="eastAsia" w:ascii="仿宋_GB2312" w:hAnsi="仿宋_GB2312" w:eastAsia="仿宋_GB2312" w:cs="仿宋_GB2312"/>
          <w:b w:val="0"/>
          <w:bCs w:val="0"/>
        </w:rPr>
        <w:t>十、</w:t>
      </w:r>
      <w:r>
        <w:rPr>
          <w:rFonts w:hint="eastAsia" w:ascii="仿宋_GB2312" w:hAnsi="仿宋_GB2312" w:eastAsia="仿宋_GB2312" w:cs="仿宋_GB2312"/>
          <w:b w:val="0"/>
          <w:color w:val="000000"/>
        </w:rPr>
        <w:t>一</w:t>
      </w:r>
      <w:r>
        <w:rPr>
          <w:rStyle w:val="16"/>
          <w:rFonts w:hint="eastAsia" w:ascii="仿宋_GB2312" w:hAnsi="仿宋_GB2312" w:eastAsia="仿宋_GB2312" w:cs="仿宋_GB2312"/>
          <w:b w:val="0"/>
          <w:bCs w:val="0"/>
        </w:rPr>
        <w:t>般公共预算财政拨款“三公”经费支出决算表</w:t>
      </w:r>
      <w:bookmarkEnd w:id="82"/>
      <w:bookmarkEnd w:id="83"/>
    </w:p>
    <w:p>
      <w:pPr>
        <w:pStyle w:val="3"/>
        <w:keepNext w:val="0"/>
        <w:keepLines w:val="0"/>
        <w:spacing w:before="0" w:after="0" w:line="576" w:lineRule="exact"/>
        <w:ind w:firstLine="640" w:firstLineChars="200"/>
        <w:rPr>
          <w:rFonts w:ascii="仿宋_GB2312" w:hAnsi="仿宋_GB2312" w:eastAsia="仿宋_GB2312" w:cs="仿宋_GB2312"/>
          <w:color w:val="000000"/>
        </w:rPr>
      </w:pPr>
      <w:bookmarkStart w:id="84" w:name="_Toc26394"/>
      <w:bookmarkStart w:id="85" w:name="_Toc15396629"/>
      <w:r>
        <w:rPr>
          <w:rStyle w:val="16"/>
          <w:rFonts w:hint="eastAsia" w:ascii="仿宋_GB2312" w:hAnsi="仿宋_GB2312" w:eastAsia="仿宋_GB2312" w:cs="仿宋_GB2312"/>
          <w:b w:val="0"/>
          <w:bCs w:val="0"/>
        </w:rPr>
        <w:t>十一、</w:t>
      </w:r>
      <w:r>
        <w:rPr>
          <w:rFonts w:hint="eastAsia" w:ascii="仿宋_GB2312" w:hAnsi="仿宋_GB2312" w:eastAsia="仿宋_GB2312" w:cs="仿宋_GB2312"/>
          <w:b w:val="0"/>
          <w:color w:val="000000"/>
        </w:rPr>
        <w:t>政</w:t>
      </w:r>
      <w:r>
        <w:rPr>
          <w:rStyle w:val="16"/>
          <w:rFonts w:hint="eastAsia" w:ascii="仿宋_GB2312" w:hAnsi="仿宋_GB2312" w:eastAsia="仿宋_GB2312" w:cs="仿宋_GB2312"/>
          <w:b w:val="0"/>
          <w:bCs w:val="0"/>
        </w:rPr>
        <w:t>府性基金预算财政拨款收入支出决算表</w:t>
      </w:r>
      <w:bookmarkEnd w:id="84"/>
      <w:bookmarkEnd w:id="85"/>
    </w:p>
    <w:p>
      <w:pPr>
        <w:pStyle w:val="3"/>
        <w:keepNext w:val="0"/>
        <w:keepLines w:val="0"/>
        <w:tabs>
          <w:tab w:val="left" w:pos="2694"/>
        </w:tabs>
        <w:spacing w:before="0" w:after="0" w:line="576" w:lineRule="exact"/>
        <w:ind w:firstLine="640" w:firstLineChars="200"/>
        <w:rPr>
          <w:rFonts w:ascii="仿宋_GB2312" w:hAnsi="仿宋_GB2312" w:eastAsia="仿宋_GB2312" w:cs="仿宋_GB2312"/>
          <w:color w:val="000000"/>
        </w:rPr>
      </w:pPr>
      <w:bookmarkStart w:id="86" w:name="_Toc17429"/>
      <w:bookmarkStart w:id="87" w:name="_Toc15396630"/>
      <w:r>
        <w:rPr>
          <w:rStyle w:val="16"/>
          <w:rFonts w:hint="eastAsia" w:ascii="仿宋_GB2312" w:hAnsi="仿宋_GB2312" w:eastAsia="仿宋_GB2312" w:cs="仿宋_GB2312"/>
          <w:b w:val="0"/>
          <w:bCs w:val="0"/>
        </w:rPr>
        <w:t>十二、</w:t>
      </w:r>
      <w:r>
        <w:rPr>
          <w:rFonts w:hint="eastAsia" w:ascii="仿宋_GB2312" w:hAnsi="仿宋_GB2312" w:eastAsia="仿宋_GB2312" w:cs="仿宋_GB2312"/>
          <w:b w:val="0"/>
          <w:color w:val="000000"/>
        </w:rPr>
        <w:t>政</w:t>
      </w:r>
      <w:r>
        <w:rPr>
          <w:rStyle w:val="16"/>
          <w:rFonts w:hint="eastAsia" w:ascii="仿宋_GB2312" w:hAnsi="仿宋_GB2312" w:eastAsia="仿宋_GB2312" w:cs="仿宋_GB2312"/>
          <w:b w:val="0"/>
          <w:bCs w:val="0"/>
        </w:rPr>
        <w:t>府性基金预算财政拨款“三公”经费支出决算表</w:t>
      </w:r>
      <w:bookmarkEnd w:id="86"/>
      <w:bookmarkEnd w:id="87"/>
    </w:p>
    <w:p>
      <w:pPr>
        <w:pStyle w:val="3"/>
        <w:keepNext w:val="0"/>
        <w:keepLines w:val="0"/>
        <w:spacing w:before="0" w:after="0" w:line="576" w:lineRule="exact"/>
        <w:ind w:firstLine="640" w:firstLineChars="200"/>
        <w:rPr>
          <w:rFonts w:ascii="仿宋_GB2312" w:hAnsi="仿宋_GB2312" w:eastAsia="仿宋_GB2312" w:cs="仿宋_GB2312"/>
          <w:color w:val="000000"/>
        </w:rPr>
      </w:pPr>
      <w:bookmarkStart w:id="88" w:name="_Toc22882"/>
      <w:bookmarkStart w:id="89" w:name="_Toc15396631"/>
      <w:r>
        <w:rPr>
          <w:rStyle w:val="16"/>
          <w:rFonts w:hint="eastAsia" w:ascii="仿宋_GB2312" w:hAnsi="仿宋_GB2312" w:eastAsia="仿宋_GB2312" w:cs="仿宋_GB2312"/>
          <w:b w:val="0"/>
          <w:bCs w:val="0"/>
        </w:rPr>
        <w:t>十三、</w:t>
      </w:r>
      <w:r>
        <w:rPr>
          <w:rFonts w:hint="eastAsia" w:ascii="仿宋_GB2312" w:hAnsi="仿宋_GB2312" w:eastAsia="仿宋_GB2312" w:cs="仿宋_GB2312"/>
          <w:b w:val="0"/>
          <w:color w:val="000000"/>
        </w:rPr>
        <w:t>国</w:t>
      </w:r>
      <w:r>
        <w:rPr>
          <w:rStyle w:val="16"/>
          <w:rFonts w:hint="eastAsia" w:ascii="仿宋_GB2312" w:hAnsi="仿宋_GB2312" w:eastAsia="仿宋_GB2312" w:cs="仿宋_GB2312"/>
          <w:b w:val="0"/>
          <w:bCs w:val="0"/>
        </w:rPr>
        <w:t>有资本经营预算财政拨款收入支出决算表</w:t>
      </w:r>
      <w:bookmarkEnd w:id="88"/>
      <w:bookmarkEnd w:id="89"/>
    </w:p>
    <w:p>
      <w:pPr>
        <w:pStyle w:val="24"/>
        <w:spacing w:line="576" w:lineRule="exact"/>
        <w:ind w:firstLine="640" w:firstLineChars="200"/>
        <w:rPr>
          <w:rFonts w:ascii="仿宋_GB2312" w:hAnsi="仿宋_GB2312" w:eastAsia="仿宋_GB2312" w:cs="仿宋_GB2312"/>
          <w:b/>
          <w:sz w:val="32"/>
          <w:szCs w:val="32"/>
        </w:rPr>
      </w:pPr>
      <w:r>
        <w:rPr>
          <w:rStyle w:val="16"/>
          <w:rFonts w:hint="eastAsia" w:ascii="仿宋_GB2312" w:hAnsi="仿宋_GB2312" w:eastAsia="仿宋_GB2312" w:cs="仿宋_GB2312"/>
          <w:b w:val="0"/>
        </w:rPr>
        <w:t>十四、</w:t>
      </w:r>
      <w:r>
        <w:rPr>
          <w:rFonts w:hint="eastAsia" w:ascii="仿宋_GB2312" w:hAnsi="仿宋_GB2312" w:eastAsia="仿宋_GB2312" w:cs="仿宋_GB2312"/>
          <w:sz w:val="32"/>
          <w:szCs w:val="32"/>
        </w:rPr>
        <w:t>国有</w:t>
      </w:r>
      <w:r>
        <w:rPr>
          <w:rStyle w:val="16"/>
          <w:rFonts w:hint="eastAsia" w:ascii="仿宋_GB2312" w:hAnsi="仿宋_GB2312" w:eastAsia="仿宋_GB2312" w:cs="仿宋_GB2312"/>
          <w:b w:val="0"/>
        </w:rPr>
        <w:t>资本经营预算财政拨款支出决算表</w:t>
      </w:r>
    </w:p>
    <w:p>
      <w:pPr>
        <w:spacing w:line="576" w:lineRule="exact"/>
        <w:ind w:firstLine="640" w:firstLineChars="200"/>
        <w:rPr>
          <w:rFonts w:ascii="仿宋_GB2312" w:hAnsi="仿宋_GB2312" w:eastAsia="仿宋_GB2312" w:cs="仿宋_GB2312"/>
          <w:sz w:val="32"/>
          <w:szCs w:val="32"/>
        </w:rPr>
      </w:pPr>
    </w:p>
    <w:sectPr>
      <w:footerReference r:id="rId8" w:type="default"/>
      <w:pgSz w:w="11906" w:h="16838"/>
      <w:pgMar w:top="2098" w:right="1474" w:bottom="1984" w:left="1587" w:header="851" w:footer="1559" w:gutter="0"/>
      <w:pgNumType w:start="23"/>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altName w:val="方正小标宋_GBK"/>
    <w:panose1 w:val="02000000000000000000"/>
    <w:charset w:val="86"/>
    <w:family w:val="script"/>
    <w:pitch w:val="default"/>
    <w:sig w:usb0="00000000" w:usb1="00000000"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532"/>
        <w:tab w:val="clear" w:pos="4153"/>
      </w:tabs>
    </w:pPr>
    <w:r>
      <w:rPr>
        <w:rFonts w:hint="eastAsia"/>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532"/>
        <w:tab w:val="clear" w:pos="4153"/>
      </w:tabs>
    </w:pPr>
    <w:r>
      <w:pict>
        <v:shape id="文本框 3"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ihY+ckBAACZ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mUOG5x4OefP86/Hs8P38mb&#10;LE8foMasu4B5aXjvh5w6+QGdmfWgos1f5EMwjuKeLuLKIRGRH62Wq1WFIYGx+YI47Ol5iJA+SG9J&#10;NhoacXpFVH78BGlMnVNyNedvtTHo57VxfzkQM3tY7n3sMVtp2A1T4zvfnpBPj4NvqMM9p8R8dKhr&#10;3pHZiLOxm41DiHrflSXK9SC8OyRsovSWK4ywU2GcWGE3bVdeiT/vJevpj9r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mKFj5yQEAAJkDAAAOAAAAAAAAAAEAIAAAAB4BAABkcnMvZTJvRG9j&#10;LnhtbFBLBQYAAAAABgAGAFkBAABZBQAAAAA=&#10;">
          <v:path/>
          <v:fill on="f" focussize="0,0"/>
          <v:stroke on="f" joinstyle="miter"/>
          <v:imagedata o:title=""/>
          <o:lock v:ext="edit"/>
          <v:textbox inset="0mm,0mm,0mm,0mm" style="mso-fit-shape-to-text:t;">
            <w:txbxContent>
              <w:p>
                <w:pPr>
                  <w:pStyle w:val="6"/>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532"/>
        <w:tab w:val="clear" w:pos="4153"/>
      </w:tabs>
    </w:pPr>
    <w:r>
      <w:pict>
        <v:shape id="_x0000_s1028" o:spid="_x0000_s1028"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7Qo4MkBAACZ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eUOG5x4OefP86//px/fydv&#10;sjx9gBqzbgPmpeG9H3BpZj+gM7MeVLT5i3wIxlHc00VcOSQi8qPVcrWqMCQwNl8Qn90/DxHSB+kt&#10;yUZDI06viMqPnyCNqXNKrub8jTamTNC4/xyImT0s9z72mK007IaJ0M63J+TT4+Ab6nDPKTEfHeqa&#10;d2Q24mzsZuMQot53ZYlyPQjvDgmbKL3lCiPsVBgnVthN25VX4t97ybr/ozZ/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DtCjgyQEAAJkDAAAOAAAAAAAAAAEAIAAAAB4BAABkcnMvZTJvRG9j&#10;LnhtbFBLBQYAAAAABgAGAFkBAABZBQAAAAA=&#10;">
          <v:path/>
          <v:fill on="f" focussize="0,0"/>
          <v:stroke on="f" joinstyle="miter"/>
          <v:imagedata o:title=""/>
          <o:lock v:ext="edit"/>
          <v:textbox inset="0mm,0mm,0mm,0mm" style="mso-fit-shape-to-text:t;">
            <w:txbxContent>
              <w:p>
                <w:pPr>
                  <w:pStyle w:val="6"/>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20</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left" w:pos="3532"/>
        <w:tab w:val="clear" w:pos="4153"/>
      </w:tabs>
    </w:pPr>
    <w:r>
      <w:pict>
        <v:shape id="文本框 5" o:spid="_x0000_s1027"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VVpTcgBAACa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koieMWJ37++eP86/H88J28&#10;yfr0AWpMuwuYmIb3fsDc2Q/ozLQHFW3+IiGCcYQ6XdSVQyIiP1otV6sKQwJj8wXx2dPzECF9kN6S&#10;bDQ04viKqvz4CdKYOqfkas7famPKCI37y4GY2cNy72OP2UrDbpgI7Xx7Qj49Tr6hDhedEvPRobDY&#10;X5qNOBu72TiEqPdd2aJcD8K7Q8ImSm+5wgg7FcaRFXbTeuWd+PNesp5+qc1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GFVaU3IAQAAmgMAAA4AAAAAAAAAAQAgAAAAHgEAAGRycy9lMm9Eb2Mu&#10;eG1sUEsFBgAAAAAGAAYAWQEAAFgFAAAAAA==&#10;">
          <v:path/>
          <v:fill on="f" focussize="0,0"/>
          <v:stroke on="f" joinstyle="miter"/>
          <v:imagedata o:title=""/>
          <o:lock v:ext="edit"/>
          <v:textbox inset="0mm,0mm,0mm,0mm" style="mso-fit-shape-to-text:t;">
            <w:txbxContent>
              <w:p>
                <w:pPr>
                  <w:pStyle w:val="6"/>
                  <w:rPr>
                    <w:rFonts w:ascii="宋体" w:hAnsi="宋体" w:cs="宋体"/>
                    <w:sz w:val="28"/>
                    <w:szCs w:val="28"/>
                  </w:rPr>
                </w:pPr>
                <w:r>
                  <w:rPr>
                    <w:rFonts w:hint="eastAsia" w:ascii="宋体" w:hAnsi="宋体" w:cs="宋体"/>
                    <w:sz w:val="28"/>
                    <w:szCs w:val="28"/>
                  </w:rPr>
                  <w:t>—</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23</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w:r>
    <w:r>
      <w:rPr>
        <w:rFonts w:hint="eastAsia"/>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91CBB"/>
    <w:multiLevelType w:val="singleLevel"/>
    <w:tmpl w:val="12991CBB"/>
    <w:lvl w:ilvl="0" w:tentative="0">
      <w:start w:val="1"/>
      <w:numFmt w:val="chineseCounting"/>
      <w:suff w:val="space"/>
      <w:lvlText w:val="第%1部分"/>
      <w:lvlJc w:val="left"/>
      <w:rPr>
        <w:rFonts w:hint="eastAsia"/>
      </w:rPr>
    </w:lvl>
  </w:abstractNum>
  <w:abstractNum w:abstractNumId="1">
    <w:nsid w:val="7DFF91F4"/>
    <w:multiLevelType w:val="singleLevel"/>
    <w:tmpl w:val="7DFF91F4"/>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72AAA"/>
    <w:rsid w:val="00003629"/>
    <w:rsid w:val="0002037F"/>
    <w:rsid w:val="00052F6E"/>
    <w:rsid w:val="000C0002"/>
    <w:rsid w:val="000F2E21"/>
    <w:rsid w:val="00107163"/>
    <w:rsid w:val="001145E4"/>
    <w:rsid w:val="00117823"/>
    <w:rsid w:val="001A2232"/>
    <w:rsid w:val="0027103C"/>
    <w:rsid w:val="00280B13"/>
    <w:rsid w:val="002836FF"/>
    <w:rsid w:val="00334F7D"/>
    <w:rsid w:val="003372D4"/>
    <w:rsid w:val="003561E3"/>
    <w:rsid w:val="00367F38"/>
    <w:rsid w:val="003937C3"/>
    <w:rsid w:val="003A23A2"/>
    <w:rsid w:val="003D0B45"/>
    <w:rsid w:val="003F191D"/>
    <w:rsid w:val="003F1E4D"/>
    <w:rsid w:val="004120EE"/>
    <w:rsid w:val="00416609"/>
    <w:rsid w:val="00421972"/>
    <w:rsid w:val="00425C71"/>
    <w:rsid w:val="00434AC1"/>
    <w:rsid w:val="00456E36"/>
    <w:rsid w:val="004664C2"/>
    <w:rsid w:val="004A469F"/>
    <w:rsid w:val="0053646B"/>
    <w:rsid w:val="005A7245"/>
    <w:rsid w:val="005B2E39"/>
    <w:rsid w:val="005E45A8"/>
    <w:rsid w:val="005F4C45"/>
    <w:rsid w:val="00607873"/>
    <w:rsid w:val="0063457A"/>
    <w:rsid w:val="00634E4A"/>
    <w:rsid w:val="00645813"/>
    <w:rsid w:val="00667579"/>
    <w:rsid w:val="00675759"/>
    <w:rsid w:val="006853A5"/>
    <w:rsid w:val="006C2371"/>
    <w:rsid w:val="006D7147"/>
    <w:rsid w:val="00701228"/>
    <w:rsid w:val="007250CE"/>
    <w:rsid w:val="00736B8D"/>
    <w:rsid w:val="00807144"/>
    <w:rsid w:val="0081789C"/>
    <w:rsid w:val="00822939"/>
    <w:rsid w:val="00830952"/>
    <w:rsid w:val="00845798"/>
    <w:rsid w:val="0086238C"/>
    <w:rsid w:val="00864BAE"/>
    <w:rsid w:val="00883D1E"/>
    <w:rsid w:val="008A252D"/>
    <w:rsid w:val="00941A61"/>
    <w:rsid w:val="009426FE"/>
    <w:rsid w:val="0095118D"/>
    <w:rsid w:val="009570C3"/>
    <w:rsid w:val="00992194"/>
    <w:rsid w:val="009921F2"/>
    <w:rsid w:val="009C6554"/>
    <w:rsid w:val="009E3444"/>
    <w:rsid w:val="009E66FE"/>
    <w:rsid w:val="009F4C39"/>
    <w:rsid w:val="00A10093"/>
    <w:rsid w:val="00A6614B"/>
    <w:rsid w:val="00A70BD3"/>
    <w:rsid w:val="00A72AAA"/>
    <w:rsid w:val="00A83B17"/>
    <w:rsid w:val="00A90526"/>
    <w:rsid w:val="00A94C13"/>
    <w:rsid w:val="00A953DE"/>
    <w:rsid w:val="00A9544B"/>
    <w:rsid w:val="00AC0396"/>
    <w:rsid w:val="00AD03F8"/>
    <w:rsid w:val="00B03C9A"/>
    <w:rsid w:val="00B35BE1"/>
    <w:rsid w:val="00B65C85"/>
    <w:rsid w:val="00B86759"/>
    <w:rsid w:val="00BA22BA"/>
    <w:rsid w:val="00C2091B"/>
    <w:rsid w:val="00C31EF2"/>
    <w:rsid w:val="00C34697"/>
    <w:rsid w:val="00C47087"/>
    <w:rsid w:val="00C61CB0"/>
    <w:rsid w:val="00C9054F"/>
    <w:rsid w:val="00C9747F"/>
    <w:rsid w:val="00CD11C1"/>
    <w:rsid w:val="00CD6828"/>
    <w:rsid w:val="00CF0DE4"/>
    <w:rsid w:val="00CF7531"/>
    <w:rsid w:val="00D20EA7"/>
    <w:rsid w:val="00D228AA"/>
    <w:rsid w:val="00D43F03"/>
    <w:rsid w:val="00D4455C"/>
    <w:rsid w:val="00D55914"/>
    <w:rsid w:val="00D67AD9"/>
    <w:rsid w:val="00DA122C"/>
    <w:rsid w:val="00DD76C4"/>
    <w:rsid w:val="00E32227"/>
    <w:rsid w:val="00E62DF6"/>
    <w:rsid w:val="00E9708B"/>
    <w:rsid w:val="00ED489B"/>
    <w:rsid w:val="00EF11C3"/>
    <w:rsid w:val="00EF198B"/>
    <w:rsid w:val="00F17F54"/>
    <w:rsid w:val="00F52205"/>
    <w:rsid w:val="00F552FE"/>
    <w:rsid w:val="00F6588A"/>
    <w:rsid w:val="00FE0BC6"/>
    <w:rsid w:val="00FF094B"/>
    <w:rsid w:val="12CF449C"/>
    <w:rsid w:val="2AD13501"/>
    <w:rsid w:val="360F6563"/>
    <w:rsid w:val="3E300374"/>
    <w:rsid w:val="4AB45082"/>
    <w:rsid w:val="6FAEDF9B"/>
    <w:rsid w:val="F9757F8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qFormat/>
    <w:uiPriority w:val="99"/>
    <w:pPr>
      <w:spacing w:beforeLines="30"/>
    </w:pPr>
    <w:rPr>
      <w:rFonts w:ascii="仿宋_GB2312" w:eastAsia="仿宋_GB2312"/>
      <w:kern w:val="0"/>
      <w:sz w:val="30"/>
    </w:rPr>
  </w:style>
  <w:style w:type="paragraph" w:styleId="5">
    <w:name w:val="Balloon Text"/>
    <w:basedOn w:val="1"/>
    <w:link w:val="22"/>
    <w:semiHidden/>
    <w:unhideWhenUsed/>
    <w:qFormat/>
    <w:uiPriority w:val="99"/>
    <w:rPr>
      <w:sz w:val="18"/>
      <w:szCs w:val="18"/>
    </w:rPr>
  </w:style>
  <w:style w:type="paragraph" w:styleId="6">
    <w:name w:val="footer"/>
    <w:basedOn w:val="1"/>
    <w:link w:val="19"/>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9">
    <w:name w:val="toc 2"/>
    <w:basedOn w:val="1"/>
    <w:next w:val="1"/>
    <w:unhideWhenUsed/>
    <w:qFormat/>
    <w:uiPriority w:val="39"/>
    <w:pPr>
      <w:ind w:left="420" w:leftChars="200"/>
    </w:pPr>
  </w:style>
  <w:style w:type="paragraph" w:styleId="10">
    <w:name w:val="Normal (Web)"/>
    <w:basedOn w:val="1"/>
    <w:unhideWhenUsed/>
    <w:qFormat/>
    <w:uiPriority w:val="99"/>
    <w:pPr>
      <w:jc w:val="left"/>
    </w:pPr>
    <w:rPr>
      <w:kern w:val="0"/>
      <w:sz w:val="24"/>
    </w:rPr>
  </w:style>
  <w:style w:type="character" w:styleId="13">
    <w:name w:val="Strong"/>
    <w:basedOn w:val="12"/>
    <w:qFormat/>
    <w:uiPriority w:val="99"/>
    <w:rPr>
      <w:b/>
    </w:rPr>
  </w:style>
  <w:style w:type="character" w:styleId="14">
    <w:name w:val="Hyperlink"/>
    <w:basedOn w:val="12"/>
    <w:unhideWhenUsed/>
    <w:qFormat/>
    <w:uiPriority w:val="99"/>
    <w:rPr>
      <w:rFonts w:cs="Times New Roman"/>
      <w:color w:val="0000FF"/>
      <w:u w:val="single"/>
    </w:rPr>
  </w:style>
  <w:style w:type="character" w:customStyle="1" w:styleId="15">
    <w:name w:val="标题 1 Char"/>
    <w:basedOn w:val="12"/>
    <w:link w:val="2"/>
    <w:qFormat/>
    <w:uiPriority w:val="9"/>
    <w:rPr>
      <w:rFonts w:ascii="Times New Roman" w:hAnsi="Times New Roman" w:eastAsia="宋体" w:cs="Times New Roman"/>
      <w:b/>
      <w:bCs/>
      <w:kern w:val="44"/>
      <w:sz w:val="44"/>
      <w:szCs w:val="44"/>
    </w:rPr>
  </w:style>
  <w:style w:type="character" w:customStyle="1" w:styleId="16">
    <w:name w:val="标题 2 Char"/>
    <w:basedOn w:val="12"/>
    <w:link w:val="3"/>
    <w:qFormat/>
    <w:uiPriority w:val="9"/>
    <w:rPr>
      <w:rFonts w:asciiTheme="majorHAnsi" w:hAnsiTheme="majorHAnsi" w:eastAsiaTheme="majorEastAsia" w:cstheme="majorBidi"/>
      <w:b/>
      <w:bCs/>
      <w:sz w:val="32"/>
      <w:szCs w:val="32"/>
    </w:rPr>
  </w:style>
  <w:style w:type="character" w:customStyle="1" w:styleId="17">
    <w:name w:val="正文文本 Char"/>
    <w:basedOn w:val="12"/>
    <w:link w:val="4"/>
    <w:qFormat/>
    <w:uiPriority w:val="99"/>
    <w:rPr>
      <w:rFonts w:ascii="仿宋_GB2312" w:hAnsi="Times New Roman" w:eastAsia="仿宋_GB2312" w:cs="Times New Roman"/>
      <w:kern w:val="0"/>
      <w:sz w:val="30"/>
      <w:szCs w:val="24"/>
    </w:rPr>
  </w:style>
  <w:style w:type="character" w:customStyle="1" w:styleId="18">
    <w:name w:val="页眉 Char"/>
    <w:basedOn w:val="12"/>
    <w:link w:val="7"/>
    <w:qFormat/>
    <w:uiPriority w:val="99"/>
    <w:rPr>
      <w:rFonts w:ascii="Times New Roman" w:hAnsi="Times New Roman" w:eastAsia="宋体" w:cs="Times New Roman"/>
      <w:sz w:val="18"/>
      <w:szCs w:val="18"/>
    </w:rPr>
  </w:style>
  <w:style w:type="character" w:customStyle="1" w:styleId="19">
    <w:name w:val="页脚 Char"/>
    <w:basedOn w:val="12"/>
    <w:link w:val="6"/>
    <w:qFormat/>
    <w:uiPriority w:val="99"/>
    <w:rPr>
      <w:rFonts w:ascii="Times New Roman" w:hAnsi="Times New Roman" w:eastAsia="宋体" w:cs="Times New Roman"/>
      <w:sz w:val="18"/>
      <w:szCs w:val="18"/>
    </w:rPr>
  </w:style>
  <w:style w:type="paragraph" w:customStyle="1" w:styleId="20">
    <w:name w:val="Char"/>
    <w:basedOn w:val="1"/>
    <w:qFormat/>
    <w:uiPriority w:val="0"/>
    <w:pPr>
      <w:widowControl/>
      <w:spacing w:after="160" w:line="240" w:lineRule="exact"/>
      <w:jc w:val="left"/>
    </w:pPr>
  </w:style>
  <w:style w:type="paragraph" w:styleId="21">
    <w:name w:val="List Paragraph"/>
    <w:basedOn w:val="1"/>
    <w:qFormat/>
    <w:uiPriority w:val="34"/>
    <w:pPr>
      <w:ind w:firstLine="420" w:firstLineChars="200"/>
    </w:pPr>
  </w:style>
  <w:style w:type="character" w:customStyle="1" w:styleId="22">
    <w:name w:val="批注框文本 Char"/>
    <w:basedOn w:val="12"/>
    <w:link w:val="5"/>
    <w:semiHidden/>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style>
  <w:style w:type="paragraph" w:customStyle="1" w:styleId="24">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5">
    <w:name w:val="No Spacing"/>
    <w:link w:val="26"/>
    <w:qFormat/>
    <w:uiPriority w:val="1"/>
    <w:rPr>
      <w:rFonts w:asciiTheme="minorHAnsi" w:hAnsiTheme="minorHAnsi" w:eastAsiaTheme="minorEastAsia" w:cstheme="minorBidi"/>
      <w:sz w:val="22"/>
      <w:szCs w:val="22"/>
      <w:lang w:val="en-US" w:eastAsia="zh-CN" w:bidi="ar-SA"/>
    </w:rPr>
  </w:style>
  <w:style w:type="character" w:customStyle="1" w:styleId="26">
    <w:name w:val="无间隔 Char"/>
    <w:basedOn w:val="12"/>
    <w:link w:val="25"/>
    <w:qFormat/>
    <w:uiPriority w:val="1"/>
    <w:rPr>
      <w:kern w:val="0"/>
      <w:sz w:val="2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chart" Target="charts/chart7.xml"/><Relationship Id="rId15" Type="http://schemas.openxmlformats.org/officeDocument/2006/relationships/chart" Target="charts/chart6.xml"/><Relationship Id="rId14" Type="http://schemas.openxmlformats.org/officeDocument/2006/relationships/chart" Target="charts/chart5.xml"/><Relationship Id="rId13" Type="http://schemas.openxmlformats.org/officeDocument/2006/relationships/chart" Target="charts/chart4.xml"/><Relationship Id="rId12" Type="http://schemas.openxmlformats.org/officeDocument/2006/relationships/chart" Target="charts/chart3.xml"/><Relationship Id="rId11" Type="http://schemas.openxmlformats.org/officeDocument/2006/relationships/chart" Target="charts/chart2.xml"/><Relationship Id="rId10" Type="http://schemas.openxmlformats.org/officeDocument/2006/relationships/chart" Target="charts/char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600" b="0" i="0" u="none" strike="noStrike" baseline="0"/>
              <a:t>收、支决算总计变动情况图</a:t>
            </a:r>
            <a:endParaRPr lang="zh-CN" altLang="en-US" sz="1600" b="0"/>
          </a:p>
        </c:rich>
      </c:tx>
      <c:layout>
        <c:manualLayout>
          <c:xMode val="edge"/>
          <c:yMode val="edge"/>
          <c:x val="0.247670138006943"/>
          <c:y val="0.068627424491499"/>
        </c:manualLayout>
      </c:layout>
      <c:overlay val="false"/>
    </c:title>
    <c:autoTitleDeleted val="false"/>
    <c:plotArea>
      <c:layout>
        <c:manualLayout>
          <c:layoutTarget val="inner"/>
          <c:xMode val="edge"/>
          <c:yMode val="edge"/>
          <c:x val="0.240638952389016"/>
          <c:y val="0.235298658600178"/>
          <c:w val="0.602754049683192"/>
          <c:h val="0.625125795739621"/>
        </c:manualLayout>
      </c:layout>
      <c:barChart>
        <c:barDir val="col"/>
        <c:grouping val="stacked"/>
        <c:varyColors val="false"/>
        <c:ser>
          <c:idx val="0"/>
          <c:order val="0"/>
          <c:invertIfNegative val="false"/>
          <c:dLbls>
            <c:delete val="true"/>
          </c:dLbls>
          <c:cat>
            <c:strRef>
              <c:f>Sheet1!$A$1:$A$2</c:f>
              <c:strCache>
                <c:ptCount val="2"/>
                <c:pt idx="0">
                  <c:v>2020年</c:v>
                </c:pt>
                <c:pt idx="1">
                  <c:v>2019年</c:v>
                </c:pt>
              </c:strCache>
            </c:strRef>
          </c:cat>
          <c:val>
            <c:numRef>
              <c:f>Sheet1!$B$1:$B$2</c:f>
              <c:numCache>
                <c:formatCode>General</c:formatCode>
                <c:ptCount val="2"/>
                <c:pt idx="0">
                  <c:v>3847.76</c:v>
                </c:pt>
                <c:pt idx="1">
                  <c:v>4096.93</c:v>
                </c:pt>
              </c:numCache>
            </c:numRef>
          </c:val>
        </c:ser>
        <c:dLbls>
          <c:showLegendKey val="false"/>
          <c:showVal val="false"/>
          <c:showCatName val="false"/>
          <c:showSerName val="false"/>
          <c:showPercent val="false"/>
          <c:showBubbleSize val="false"/>
        </c:dLbls>
        <c:gapWidth val="55"/>
        <c:overlap val="100"/>
        <c:axId val="115499776"/>
        <c:axId val="115501696"/>
      </c:barChart>
      <c:catAx>
        <c:axId val="115499776"/>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5501696"/>
        <c:crosses val="autoZero"/>
        <c:auto val="true"/>
        <c:lblAlgn val="ctr"/>
        <c:lblOffset val="100"/>
        <c:noMultiLvlLbl val="false"/>
      </c:catAx>
      <c:valAx>
        <c:axId val="115501696"/>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115499776"/>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600" b="0" i="0" u="none" strike="noStrike" baseline="0"/>
              <a:t>收入决算结构图</a:t>
            </a:r>
            <a:endParaRPr lang="zh-CN" altLang="en-US" sz="1600" b="0"/>
          </a:p>
        </c:rich>
      </c:tx>
      <c:layout/>
      <c:overlay val="false"/>
    </c:title>
    <c:autoTitleDeleted val="false"/>
    <c:plotArea>
      <c:layout/>
      <c:pieChart>
        <c:varyColors val="true"/>
        <c:ser>
          <c:idx val="0"/>
          <c:order val="0"/>
          <c:explosion val="0"/>
          <c:dPt>
            <c:idx val="0"/>
            <c:bubble3D val="false"/>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Sheet1!$A$9:$A$10</c:f>
              <c:strCache>
                <c:ptCount val="2"/>
                <c:pt idx="0">
                  <c:v>一般公共预算财政拨款收入</c:v>
                </c:pt>
                <c:pt idx="1">
                  <c:v>其他收入</c:v>
                </c:pt>
              </c:strCache>
            </c:strRef>
          </c:cat>
          <c:val>
            <c:numRef>
              <c:f>Sheet1!$B$9:$B$10</c:f>
              <c:numCache>
                <c:formatCode>General</c:formatCode>
                <c:ptCount val="2"/>
                <c:pt idx="0">
                  <c:v>2444.06</c:v>
                </c:pt>
                <c:pt idx="1">
                  <c:v>2.71</c:v>
                </c:pt>
              </c:numCache>
            </c:numRef>
          </c:val>
        </c:ser>
        <c:dLbls>
          <c:showLegendKey val="false"/>
          <c:showVal val="false"/>
          <c:showCatName val="false"/>
          <c:showSerName val="false"/>
          <c:showPercent val="true"/>
          <c:showBubbleSize val="false"/>
          <c:showLeaderLines val="true"/>
        </c:dLbls>
        <c:firstSliceAng val="0"/>
      </c:pieChart>
    </c:plotArea>
    <c:legend>
      <c:legendPos val="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600" b="0" i="0" u="none" strike="noStrike" baseline="0"/>
              <a:t>支出决算结构图</a:t>
            </a:r>
            <a:endParaRPr lang="zh-CN" altLang="en-US" sz="1600" b="0"/>
          </a:p>
        </c:rich>
      </c:tx>
      <c:layout>
        <c:manualLayout>
          <c:xMode val="edge"/>
          <c:yMode val="edge"/>
          <c:x val="0.346833333333333"/>
          <c:y val="0.0601851851851851"/>
        </c:manualLayout>
      </c:layout>
      <c:overlay val="false"/>
    </c:title>
    <c:autoTitleDeleted val="false"/>
    <c:plotArea>
      <c:layout>
        <c:manualLayout>
          <c:layoutTarget val="inner"/>
          <c:xMode val="edge"/>
          <c:yMode val="edge"/>
          <c:x val="0.268737751531057"/>
          <c:y val="0.204200367305363"/>
          <c:w val="0.451413385826772"/>
          <c:h val="0.613819901407509"/>
        </c:manualLayout>
      </c:layout>
      <c:pieChart>
        <c:varyColors val="true"/>
        <c:ser>
          <c:idx val="0"/>
          <c:order val="0"/>
          <c:explosion val="0"/>
          <c:dPt>
            <c:idx val="0"/>
            <c:bubble3D val="false"/>
          </c:dPt>
          <c:dPt>
            <c:idx val="1"/>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Sheet1!$A$13:$A$14</c:f>
              <c:strCache>
                <c:ptCount val="2"/>
                <c:pt idx="0">
                  <c:v>基本支出</c:v>
                </c:pt>
                <c:pt idx="1">
                  <c:v>项目支出</c:v>
                </c:pt>
              </c:strCache>
            </c:strRef>
          </c:cat>
          <c:val>
            <c:numRef>
              <c:f>Sheet1!$B$13:$B$14</c:f>
              <c:numCache>
                <c:formatCode>General</c:formatCode>
                <c:ptCount val="2"/>
                <c:pt idx="0">
                  <c:v>1637.46</c:v>
                </c:pt>
                <c:pt idx="1">
                  <c:v>905.31</c:v>
                </c:pt>
              </c:numCache>
            </c:numRef>
          </c:val>
        </c:ser>
        <c:dLbls>
          <c:showLegendKey val="false"/>
          <c:showVal val="false"/>
          <c:showCatName val="false"/>
          <c:showSerName val="false"/>
          <c:showPercent val="true"/>
          <c:showBubbleSize val="false"/>
          <c:showLeaderLines val="true"/>
        </c:dLbls>
        <c:firstSliceAng val="0"/>
      </c:pieChart>
    </c:plotArea>
    <c:legend>
      <c:legendPos val="t"/>
      <c:layout>
        <c:manualLayout>
          <c:xMode val="edge"/>
          <c:yMode val="edge"/>
          <c:x val="0.330051618547683"/>
          <c:y val="0.909956949432308"/>
          <c:w val="0.389380191712509"/>
          <c:h val="0.0900431660918418"/>
        </c:manualLayou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600" b="0" i="0" u="none" strike="noStrike" baseline="0"/>
              <a:t>财政拨款收、支决算总计变动情况</a:t>
            </a:r>
            <a:endParaRPr lang="zh-CN" altLang="en-US" sz="1600" b="0"/>
          </a:p>
        </c:rich>
      </c:tx>
      <c:layout/>
      <c:overlay val="false"/>
    </c:title>
    <c:autoTitleDeleted val="false"/>
    <c:plotArea>
      <c:layout>
        <c:manualLayout>
          <c:layoutTarget val="inner"/>
          <c:xMode val="edge"/>
          <c:yMode val="edge"/>
          <c:x val="0.162655074365704"/>
          <c:y val="0.212511665208515"/>
          <c:w val="0.779011592300963"/>
          <c:h val="0.656581729367162"/>
        </c:manualLayout>
      </c:layout>
      <c:barChart>
        <c:barDir val="col"/>
        <c:grouping val="clustered"/>
        <c:varyColors val="false"/>
        <c:ser>
          <c:idx val="0"/>
          <c:order val="0"/>
          <c:invertIfNegative val="false"/>
          <c:dLbls>
            <c:delete val="true"/>
          </c:dLbls>
          <c:cat>
            <c:strRef>
              <c:f>Sheet1!$A$17:$A$18</c:f>
              <c:strCache>
                <c:ptCount val="2"/>
                <c:pt idx="0">
                  <c:v>2020年财政拨款收、支</c:v>
                </c:pt>
                <c:pt idx="1">
                  <c:v>2019年财政拨款收、支</c:v>
                </c:pt>
              </c:strCache>
            </c:strRef>
          </c:cat>
          <c:val>
            <c:numRef>
              <c:f>Sheet1!$B$17:$B$18</c:f>
              <c:numCache>
                <c:formatCode>General</c:formatCode>
                <c:ptCount val="2"/>
                <c:pt idx="0">
                  <c:v>3737.78</c:v>
                </c:pt>
                <c:pt idx="1">
                  <c:v>4010.39</c:v>
                </c:pt>
              </c:numCache>
            </c:numRef>
          </c:val>
        </c:ser>
        <c:dLbls>
          <c:showLegendKey val="false"/>
          <c:showVal val="false"/>
          <c:showCatName val="false"/>
          <c:showSerName val="false"/>
          <c:showPercent val="false"/>
          <c:showBubbleSize val="false"/>
        </c:dLbls>
        <c:gapWidth val="150"/>
        <c:axId val="239385984"/>
        <c:axId val="239395968"/>
      </c:barChart>
      <c:catAx>
        <c:axId val="239385984"/>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39395968"/>
        <c:crosses val="autoZero"/>
        <c:auto val="true"/>
        <c:lblAlgn val="ctr"/>
        <c:lblOffset val="100"/>
        <c:noMultiLvlLbl val="false"/>
      </c:catAx>
      <c:valAx>
        <c:axId val="239395968"/>
        <c:scaling>
          <c:orientation val="minMax"/>
        </c:scaling>
        <c:delete val="false"/>
        <c:axPos val="l"/>
        <c:majorGridlines/>
        <c:numFmt formatCode="General" sourceLinked="true"/>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39385984"/>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400" b="0" i="0" u="none" strike="noStrike" baseline="0"/>
              <a:t>一般公共预算财政拨款支出决算变动情况</a:t>
            </a:r>
            <a:endParaRPr lang="zh-CN" altLang="en-US" sz="1400" b="0"/>
          </a:p>
        </c:rich>
      </c:tx>
      <c:layout>
        <c:manualLayout>
          <c:xMode val="edge"/>
          <c:yMode val="edge"/>
          <c:x val="0.116666666666667"/>
          <c:y val="0.0509259259259259"/>
        </c:manualLayout>
      </c:layout>
      <c:overlay val="false"/>
    </c:title>
    <c:autoTitleDeleted val="false"/>
    <c:plotArea>
      <c:layout/>
      <c:barChart>
        <c:barDir val="col"/>
        <c:grouping val="clustered"/>
        <c:varyColors val="false"/>
        <c:ser>
          <c:idx val="0"/>
          <c:order val="0"/>
          <c:invertIfNegative val="false"/>
          <c:dLbls>
            <c:delete val="true"/>
          </c:dLbls>
          <c:cat>
            <c:strRef>
              <c:f>Sheet1!$A$21:$A$22</c:f>
              <c:strCache>
                <c:ptCount val="2"/>
                <c:pt idx="0">
                  <c:v>2020年一般公共预算财政拨款支出</c:v>
                </c:pt>
                <c:pt idx="1">
                  <c:v>2019年一般公共预算财政拨款支出</c:v>
                </c:pt>
              </c:strCache>
            </c:strRef>
          </c:cat>
          <c:val>
            <c:numRef>
              <c:f>Sheet1!$B$21:$B$22</c:f>
              <c:numCache>
                <c:formatCode>General</c:formatCode>
                <c:ptCount val="2"/>
                <c:pt idx="0">
                  <c:v>2524.1</c:v>
                </c:pt>
                <c:pt idx="1">
                  <c:v>2579.1</c:v>
                </c:pt>
              </c:numCache>
            </c:numRef>
          </c:val>
        </c:ser>
        <c:dLbls>
          <c:showLegendKey val="false"/>
          <c:showVal val="false"/>
          <c:showCatName val="false"/>
          <c:showSerName val="false"/>
          <c:showPercent val="false"/>
          <c:showBubbleSize val="false"/>
        </c:dLbls>
        <c:gapWidth val="75"/>
        <c:overlap val="-25"/>
        <c:axId val="260080384"/>
        <c:axId val="260082304"/>
      </c:barChart>
      <c:catAx>
        <c:axId val="260080384"/>
        <c:scaling>
          <c:orientation val="minMax"/>
        </c:scaling>
        <c:delete val="false"/>
        <c:axPos val="b"/>
        <c:majorTickMark val="none"/>
        <c:minorTickMark val="none"/>
        <c:tickLblPos val="nextTo"/>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60082304"/>
        <c:crosses val="autoZero"/>
        <c:auto val="true"/>
        <c:lblAlgn val="ctr"/>
        <c:lblOffset val="100"/>
        <c:noMultiLvlLbl val="false"/>
      </c:catAx>
      <c:valAx>
        <c:axId val="260082304"/>
        <c:scaling>
          <c:orientation val="minMax"/>
        </c:scaling>
        <c:delete val="false"/>
        <c:axPos val="l"/>
        <c:majorGridlines/>
        <c:numFmt formatCode="General" sourceLinked="true"/>
        <c:majorTickMark val="none"/>
        <c:minorTickMark val="none"/>
        <c:tickLblPos val="nextTo"/>
        <c:spPr>
          <a:ln w="9525" cap="flat" cmpd="sng" algn="ctr">
            <a:noFill/>
            <a:prstDash val="solid"/>
            <a:round/>
          </a:ln>
        </c:spPr>
        <c:txPr>
          <a:bodyPr rot="-6000000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crossAx val="260080384"/>
        <c:crosses val="autoZero"/>
        <c:crossBetween val="between"/>
      </c:valAx>
    </c:plotArea>
    <c:plotVisOnly val="true"/>
    <c:dispBlanksAs val="gap"/>
    <c:showDLblsOverMax val="false"/>
  </c:chart>
  <c:txPr>
    <a:bodyPr/>
    <a:lstStyle/>
    <a:p>
      <a:pPr>
        <a:defRPr lang="zh-CN"/>
      </a:pPr>
    </a:p>
  </c:txPr>
  <c:externalData r:id="rId1">
    <c:autoUpdate val="false"/>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600" b="0" i="0" u="none" strike="noStrike" baseline="0"/>
              <a:t>一般公共预算财政拨款支出决算结构</a:t>
            </a:r>
            <a:endParaRPr lang="zh-CN" altLang="en-US" sz="1600" b="0"/>
          </a:p>
        </c:rich>
      </c:tx>
      <c:layout/>
      <c:overlay val="false"/>
    </c:title>
    <c:autoTitleDeleted val="false"/>
    <c:plotArea>
      <c:layout/>
      <c:pieChart>
        <c:varyColors val="true"/>
        <c:ser>
          <c:idx val="0"/>
          <c:order val="0"/>
          <c:explosion val="0"/>
          <c:dPt>
            <c:idx val="0"/>
            <c:bubble3D val="false"/>
          </c:dPt>
          <c:dPt>
            <c:idx val="1"/>
            <c:bubble3D val="false"/>
          </c:dPt>
          <c:dPt>
            <c:idx val="2"/>
            <c:bubble3D val="false"/>
          </c:dPt>
          <c:dPt>
            <c:idx val="3"/>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Sheet1!$A$24:$A$27</c:f>
              <c:strCache>
                <c:ptCount val="4"/>
                <c:pt idx="0">
                  <c:v>一般公共服务</c:v>
                </c:pt>
                <c:pt idx="1">
                  <c:v>社会保障和就业</c:v>
                </c:pt>
                <c:pt idx="2">
                  <c:v>卫生健康支出</c:v>
                </c:pt>
                <c:pt idx="3">
                  <c:v>住房保障</c:v>
                </c:pt>
              </c:strCache>
            </c:strRef>
          </c:cat>
          <c:val>
            <c:numRef>
              <c:f>Sheet1!$B$24:$B$27</c:f>
              <c:numCache>
                <c:formatCode>General</c:formatCode>
                <c:ptCount val="4"/>
                <c:pt idx="0">
                  <c:v>2265.91</c:v>
                </c:pt>
                <c:pt idx="1">
                  <c:v>125.65</c:v>
                </c:pt>
                <c:pt idx="2">
                  <c:v>50.59</c:v>
                </c:pt>
                <c:pt idx="3">
                  <c:v>81.96</c:v>
                </c:pt>
              </c:numCache>
            </c:numRef>
          </c:val>
        </c:ser>
        <c:dLbls>
          <c:showLegendKey val="false"/>
          <c:showVal val="false"/>
          <c:showCatName val="false"/>
          <c:showSerName val="false"/>
          <c:showPercent val="true"/>
          <c:showBubbleSize val="false"/>
          <c:showLeaderLines val="true"/>
        </c:dLbls>
        <c:firstSliceAng val="0"/>
      </c:pieChart>
    </c:plotArea>
    <c:legend>
      <c:legendPos val="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a:defRPr lang="zh-CN" sz="1800" b="1" i="0" u="none" strike="noStrike" kern="1200" baseline="0">
                <a:solidFill>
                  <a:schemeClr val="tx1"/>
                </a:solidFill>
                <a:latin typeface="+mn-lt"/>
                <a:ea typeface="+mn-ea"/>
                <a:cs typeface="+mn-cs"/>
              </a:defRPr>
            </a:pPr>
            <a:r>
              <a:rPr lang="zh-CN" altLang="en-US" sz="1600" b="0" i="0" u="none" strike="noStrike" baseline="0"/>
              <a:t>“三公”经费财政拨款支出结构</a:t>
            </a:r>
            <a:endParaRPr lang="zh-CN" altLang="en-US" sz="1600" b="0"/>
          </a:p>
        </c:rich>
      </c:tx>
      <c:layout/>
      <c:overlay val="false"/>
    </c:title>
    <c:autoTitleDeleted val="false"/>
    <c:plotArea>
      <c:layout/>
      <c:pieChart>
        <c:varyColors val="true"/>
        <c:ser>
          <c:idx val="0"/>
          <c:order val="0"/>
          <c:explosion val="0"/>
          <c:dPt>
            <c:idx val="0"/>
            <c:bubble3D val="false"/>
          </c:dPt>
          <c:dPt>
            <c:idx val="1"/>
            <c:bubble3D val="false"/>
          </c:dPt>
          <c:dPt>
            <c:idx val="2"/>
            <c:bubble3D val="false"/>
          </c:dPt>
          <c:dLbls>
            <c:spPr>
              <a:noFill/>
              <a:ln>
                <a:noFill/>
              </a:ln>
              <a:effectLst/>
            </c:spPr>
            <c:txPr>
              <a:bodyPr rot="0" spcFirstLastPara="0" vertOverflow="ellipsis" vert="horz" wrap="square" lIns="38100" tIns="19050" rIns="38100" bIns="19050" anchor="ctr" anchorCtr="true"/>
              <a:lstStyle/>
              <a:p>
                <a:pPr>
                  <a:defRPr lang="zh-CN" sz="1000" b="0" i="0" u="none" strike="noStrike" kern="1200" baseline="0">
                    <a:solidFill>
                      <a:schemeClr val="tx1"/>
                    </a:solidFill>
                    <a:latin typeface="+mn-lt"/>
                    <a:ea typeface="+mn-ea"/>
                    <a:cs typeface="+mn-cs"/>
                  </a:defRPr>
                </a:pPr>
              </a:p>
            </c:txPr>
            <c:dLblPos val="bestFit"/>
            <c:showLegendKey val="false"/>
            <c:showVal val="false"/>
            <c:showCatName val="false"/>
            <c:showSerName val="false"/>
            <c:showPercent val="true"/>
            <c:showBubbleSize val="false"/>
            <c:showLeaderLines val="true"/>
            <c:extLst>
              <c:ext xmlns:c15="http://schemas.microsoft.com/office/drawing/2012/chart" uri="{CE6537A1-D6FC-4f65-9D91-7224C49458BB}">
                <c15:layout/>
                <c15:showLeaderLines val="true"/>
                <c15:leaderLines/>
              </c:ext>
            </c:extLst>
          </c:dLbls>
          <c:cat>
            <c:strRef>
              <c:f>Sheet1!$A$29:$A$31</c:f>
              <c:strCache>
                <c:ptCount val="3"/>
                <c:pt idx="0">
                  <c:v>因公出国（境）费支出</c:v>
                </c:pt>
                <c:pt idx="1">
                  <c:v>公务用车购置及运行维护费支出</c:v>
                </c:pt>
                <c:pt idx="2">
                  <c:v>公务接待费支出</c:v>
                </c:pt>
              </c:strCache>
            </c:strRef>
          </c:cat>
          <c:val>
            <c:numRef>
              <c:f>Sheet1!$B$29:$B$31</c:f>
              <c:numCache>
                <c:formatCode>General</c:formatCode>
                <c:ptCount val="3"/>
                <c:pt idx="0">
                  <c:v>0</c:v>
                </c:pt>
                <c:pt idx="1">
                  <c:v>26.82</c:v>
                </c:pt>
                <c:pt idx="2">
                  <c:v>1.97000000000001</c:v>
                </c:pt>
              </c:numCache>
            </c:numRef>
          </c:val>
        </c:ser>
        <c:dLbls>
          <c:showLegendKey val="false"/>
          <c:showVal val="false"/>
          <c:showCatName val="false"/>
          <c:showSerName val="false"/>
          <c:showPercent val="true"/>
          <c:showBubbleSize val="false"/>
          <c:showLeaderLines val="true"/>
        </c:dLbls>
        <c:firstSliceAng val="0"/>
      </c:pieChart>
    </c:plotArea>
    <c:legend>
      <c:legendPos val="t"/>
      <c:layout/>
      <c:overlay val="false"/>
      <c:txPr>
        <a:bodyPr rot="0" spcFirstLastPara="0" vertOverflow="ellipsis" vert="horz" wrap="square" anchor="ctr" anchorCtr="true"/>
        <a:lstStyle/>
        <a:p>
          <a:pPr>
            <a:defRPr lang="zh-CN" sz="1000" b="0" i="0" u="none" strike="noStrike" kern="1200" baseline="0">
              <a:solidFill>
                <a:schemeClr val="tx1"/>
              </a:solidFill>
              <a:latin typeface="+mn-lt"/>
              <a:ea typeface="+mn-ea"/>
              <a:cs typeface="+mn-cs"/>
            </a:defRPr>
          </a:pPr>
        </a:p>
      </c:txPr>
    </c:legend>
    <c:plotVisOnly val="true"/>
    <c:dispBlanksAs val="zero"/>
    <c:showDLblsOverMax val="false"/>
  </c:chart>
  <c:txPr>
    <a:bodyPr/>
    <a:lstStyle/>
    <a:p>
      <a:pPr>
        <a:defRPr lang="zh-CN"/>
      </a:pPr>
    </a:p>
  </c:txPr>
  <c:externalData r:id="rId1">
    <c:autoUpdate val="false"/>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3558</Words>
  <Characters>20282</Characters>
  <Lines>169</Lines>
  <Paragraphs>47</Paragraphs>
  <TotalTime>3</TotalTime>
  <ScaleCrop>false</ScaleCrop>
  <LinksUpToDate>false</LinksUpToDate>
  <CharactersWithSpaces>23793</CharactersWithSpaces>
  <Application>WPS Office_11.1.0.10161_F1E327BC-269C-435d-A152-05C5408002CA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2021-09-06T19:48:00Z</dcterms:created>
  <dc:creator>Administrator</dc:creator>
  <cp:lastModifiedBy>uos</cp:lastModifiedBy>
  <cp:lastPrinted>2021-09-09T18:24:00Z</cp:lastPrinted>
  <dcterms:modified xsi:type="dcterms:W3CDTF">2022-09-01T09:45:02Z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2052-11.1.0.10161</vt:lpwstr>
  </property>
  <property fmtid="{D5CDD505-2E9C-101B-9397-08002B2CF9AE}" pid="3" name="ICV">
    <vt:lpwstr>BD42CD41CE484D12A09A508279866439</vt:lpwstr>
  </property>
</Properties>
</file>