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i w:val="0"/>
          <w:iCs w:val="0"/>
          <w:caps w:val="0"/>
          <w:color w:val="000000"/>
          <w:spacing w:val="0"/>
          <w:kern w:val="0"/>
          <w:sz w:val="40"/>
          <w:szCs w:val="40"/>
          <w:shd w:val="clear" w:fill="FFFFFF"/>
          <w:lang w:val="en-US" w:eastAsia="zh-CN" w:bidi="ar"/>
        </w:rPr>
      </w:pPr>
    </w:p>
    <w:p>
      <w:pPr>
        <w:rPr>
          <w:rFonts w:hint="eastAsia" w:ascii="宋体" w:hAnsi="宋体" w:eastAsia="宋体" w:cs="宋体"/>
          <w:b/>
          <w:bCs/>
          <w:i w:val="0"/>
          <w:iCs w:val="0"/>
          <w:caps w:val="0"/>
          <w:color w:val="000000"/>
          <w:spacing w:val="0"/>
          <w:kern w:val="0"/>
          <w:sz w:val="40"/>
          <w:szCs w:val="40"/>
          <w:shd w:val="clear" w:fill="FFFFFF"/>
          <w:lang w:val="en-US" w:eastAsia="zh-CN" w:bidi="ar"/>
        </w:rPr>
      </w:pPr>
    </w:p>
    <w:p>
      <w:pPr>
        <w:pStyle w:val="2"/>
        <w:rPr>
          <w:rFonts w:hint="eastAsia" w:ascii="宋体" w:hAnsi="宋体" w:eastAsia="宋体" w:cs="宋体"/>
          <w:b/>
          <w:bCs/>
          <w:i w:val="0"/>
          <w:iCs w:val="0"/>
          <w:caps w:val="0"/>
          <w:color w:val="000000"/>
          <w:spacing w:val="0"/>
          <w:kern w:val="0"/>
          <w:sz w:val="40"/>
          <w:szCs w:val="40"/>
          <w:shd w:val="clear" w:fill="FFFFFF"/>
          <w:lang w:val="en-US" w:eastAsia="zh-CN" w:bidi="ar"/>
        </w:rPr>
      </w:pPr>
    </w:p>
    <w:p>
      <w:pPr>
        <w:adjustRightInd w:val="0"/>
        <w:snapToGrid w:val="0"/>
        <w:spacing w:line="360" w:lineRule="auto"/>
        <w:jc w:val="center"/>
        <w:rPr>
          <w:rFonts w:ascii="方正小标宋简体" w:hAnsi="宋体" w:eastAsia="方正小标宋简体"/>
          <w:color w:val="000000"/>
          <w:sz w:val="72"/>
          <w:szCs w:val="72"/>
          <w:lang w:eastAsia="zh-CN"/>
        </w:rPr>
      </w:pPr>
      <w:bookmarkStart w:id="0" w:name="_Toc15378441"/>
      <w:bookmarkStart w:id="1" w:name="_Toc15396475"/>
      <w:bookmarkStart w:id="2" w:name="_Toc15396597"/>
      <w:bookmarkStart w:id="3" w:name="_Toc15377193"/>
      <w:bookmarkStart w:id="4" w:name="_Toc15377425"/>
      <w:r>
        <w:rPr>
          <w:rFonts w:ascii="黑体" w:hAnsi="黑体" w:eastAsia="黑体"/>
          <w:color w:val="000000"/>
          <w:sz w:val="72"/>
          <w:szCs w:val="72"/>
          <w:lang w:eastAsia="zh-CN"/>
        </w:rPr>
        <w:t>202</w:t>
      </w:r>
      <w:r>
        <w:rPr>
          <w:rFonts w:hint="eastAsia" w:ascii="黑体" w:hAnsi="黑体" w:eastAsia="黑体"/>
          <w:color w:val="000000"/>
          <w:sz w:val="72"/>
          <w:szCs w:val="72"/>
          <w:lang w:val="en-US" w:eastAsia="zh-CN"/>
        </w:rPr>
        <w:t>1</w:t>
      </w:r>
      <w:r>
        <w:rPr>
          <w:rFonts w:hint="eastAsia" w:ascii="方正小标宋简体" w:hAnsi="宋体" w:eastAsia="方正小标宋简体"/>
          <w:color w:val="000000"/>
          <w:sz w:val="72"/>
          <w:szCs w:val="72"/>
          <w:lang w:eastAsia="zh-CN"/>
        </w:rPr>
        <w:t>年度</w:t>
      </w:r>
      <w:bookmarkEnd w:id="0"/>
      <w:bookmarkEnd w:id="1"/>
      <w:bookmarkEnd w:id="2"/>
      <w:bookmarkEnd w:id="3"/>
      <w:bookmarkEnd w:id="4"/>
    </w:p>
    <w:p>
      <w:pPr>
        <w:adjustRightInd w:val="0"/>
        <w:snapToGrid w:val="0"/>
        <w:spacing w:line="360" w:lineRule="auto"/>
        <w:jc w:val="center"/>
        <w:rPr>
          <w:rFonts w:hint="eastAsia" w:ascii="方正小标宋简体" w:hAnsi="宋体" w:eastAsia="方正小标宋简体"/>
          <w:color w:val="000000"/>
          <w:sz w:val="72"/>
          <w:szCs w:val="72"/>
          <w:lang w:eastAsia="zh-CN"/>
        </w:rPr>
      </w:pPr>
      <w:bookmarkStart w:id="5" w:name="_Toc15396476"/>
      <w:bookmarkStart w:id="6" w:name="_Toc15378442"/>
      <w:bookmarkStart w:id="7" w:name="_Toc15377194"/>
      <w:bookmarkStart w:id="8" w:name="_Toc15377426"/>
      <w:bookmarkStart w:id="9" w:name="_Toc15396598"/>
      <w:r>
        <w:rPr>
          <w:rFonts w:hint="eastAsia" w:ascii="方正小标宋简体" w:hAnsi="宋体" w:eastAsia="方正小标宋简体"/>
          <w:color w:val="000000"/>
          <w:sz w:val="72"/>
          <w:szCs w:val="72"/>
          <w:lang w:eastAsia="zh-CN"/>
        </w:rPr>
        <w:t>广元市</w:t>
      </w:r>
      <w:bookmarkStart w:id="10" w:name="_Toc15306268"/>
      <w:r>
        <w:rPr>
          <w:rFonts w:hint="eastAsia" w:ascii="方正小标宋简体" w:hAnsi="宋体" w:eastAsia="方正小标宋简体"/>
          <w:color w:val="000000"/>
          <w:sz w:val="72"/>
          <w:szCs w:val="72"/>
          <w:lang w:eastAsia="zh-CN"/>
        </w:rPr>
        <w:t>航务管理局广元航道段单位预算</w:t>
      </w:r>
      <w:bookmarkEnd w:id="5"/>
      <w:bookmarkEnd w:id="6"/>
      <w:bookmarkEnd w:id="7"/>
      <w:bookmarkEnd w:id="8"/>
      <w:bookmarkEnd w:id="9"/>
      <w:bookmarkEnd w:id="10"/>
      <w:r>
        <w:rPr>
          <w:rFonts w:hint="eastAsia" w:ascii="方正小标宋简体" w:hAnsi="宋体" w:eastAsia="方正小标宋简体"/>
          <w:color w:val="000000"/>
          <w:sz w:val="72"/>
          <w:szCs w:val="72"/>
          <w:lang w:eastAsia="zh-CN"/>
        </w:rPr>
        <w:t>说明</w:t>
      </w:r>
    </w:p>
    <w:p>
      <w:pPr>
        <w:rPr>
          <w:rFonts w:hint="eastAsia" w:ascii="宋体" w:hAnsi="宋体" w:eastAsia="宋体" w:cs="宋体"/>
          <w:b/>
          <w:bCs/>
          <w:i w:val="0"/>
          <w:iCs w:val="0"/>
          <w:caps w:val="0"/>
          <w:color w:val="000000"/>
          <w:spacing w:val="0"/>
          <w:kern w:val="0"/>
          <w:sz w:val="40"/>
          <w:szCs w:val="40"/>
          <w:shd w:val="clear" w:fill="FFFFFF"/>
          <w:lang w:val="en-US" w:eastAsia="zh-CN" w:bidi="ar"/>
        </w:rPr>
      </w:pPr>
    </w:p>
    <w:p>
      <w:pPr>
        <w:pStyle w:val="2"/>
        <w:rPr>
          <w:rFonts w:hint="eastAsia" w:ascii="宋体" w:hAnsi="宋体" w:eastAsia="宋体" w:cs="宋体"/>
          <w:b/>
          <w:bCs/>
          <w:i w:val="0"/>
          <w:iCs w:val="0"/>
          <w:caps w:val="0"/>
          <w:color w:val="000000"/>
          <w:spacing w:val="0"/>
          <w:kern w:val="0"/>
          <w:sz w:val="40"/>
          <w:szCs w:val="40"/>
          <w:shd w:val="clear" w:fill="FFFFFF"/>
          <w:lang w:val="en-US" w:eastAsia="zh-CN" w:bidi="ar"/>
        </w:rPr>
      </w:pPr>
    </w:p>
    <w:p>
      <w:pPr>
        <w:rPr>
          <w:rFonts w:hint="eastAsia" w:ascii="宋体" w:hAnsi="宋体" w:eastAsia="宋体" w:cs="宋体"/>
          <w:b/>
          <w:bCs/>
          <w:i w:val="0"/>
          <w:iCs w:val="0"/>
          <w:caps w:val="0"/>
          <w:color w:val="000000"/>
          <w:spacing w:val="0"/>
          <w:kern w:val="0"/>
          <w:sz w:val="40"/>
          <w:szCs w:val="40"/>
          <w:shd w:val="clear" w:fill="FFFFFF"/>
          <w:lang w:val="en-US" w:eastAsia="zh-CN" w:bidi="ar"/>
        </w:rPr>
      </w:pPr>
    </w:p>
    <w:p>
      <w:pPr>
        <w:pStyle w:val="2"/>
        <w:rPr>
          <w:rFonts w:hint="eastAsia" w:ascii="宋体" w:hAnsi="宋体" w:eastAsia="宋体" w:cs="宋体"/>
          <w:b/>
          <w:bCs/>
          <w:i w:val="0"/>
          <w:iCs w:val="0"/>
          <w:caps w:val="0"/>
          <w:color w:val="000000"/>
          <w:spacing w:val="0"/>
          <w:kern w:val="0"/>
          <w:sz w:val="40"/>
          <w:szCs w:val="40"/>
          <w:shd w:val="clear" w:fill="FFFFFF"/>
          <w:lang w:val="en-US" w:eastAsia="zh-CN" w:bidi="ar"/>
        </w:rPr>
      </w:pPr>
    </w:p>
    <w:p>
      <w:pPr>
        <w:rPr>
          <w:rFonts w:hint="eastAsia" w:ascii="宋体" w:hAnsi="宋体" w:eastAsia="宋体" w:cs="宋体"/>
          <w:b/>
          <w:bCs/>
          <w:i w:val="0"/>
          <w:iCs w:val="0"/>
          <w:caps w:val="0"/>
          <w:color w:val="000000"/>
          <w:spacing w:val="0"/>
          <w:kern w:val="0"/>
          <w:sz w:val="40"/>
          <w:szCs w:val="40"/>
          <w:shd w:val="clear" w:fill="FFFFFF"/>
          <w:lang w:val="en-US" w:eastAsia="zh-CN" w:bidi="ar"/>
        </w:rPr>
      </w:pPr>
    </w:p>
    <w:p>
      <w:pPr>
        <w:pStyle w:val="2"/>
        <w:rPr>
          <w:rFonts w:hint="eastAsia" w:ascii="宋体" w:hAnsi="宋体" w:eastAsia="宋体" w:cs="宋体"/>
          <w:b/>
          <w:bCs/>
          <w:i w:val="0"/>
          <w:iCs w:val="0"/>
          <w:caps w:val="0"/>
          <w:color w:val="000000"/>
          <w:spacing w:val="0"/>
          <w:kern w:val="0"/>
          <w:sz w:val="40"/>
          <w:szCs w:val="40"/>
          <w:shd w:val="clear" w:fill="FFFFFF"/>
          <w:lang w:val="en-US" w:eastAsia="zh-CN" w:bidi="ar"/>
        </w:rPr>
      </w:pPr>
    </w:p>
    <w:p>
      <w:pPr>
        <w:rPr>
          <w:rFonts w:hint="eastAsia" w:ascii="宋体" w:hAnsi="宋体" w:eastAsia="宋体" w:cs="宋体"/>
          <w:b/>
          <w:bCs/>
          <w:i w:val="0"/>
          <w:iCs w:val="0"/>
          <w:caps w:val="0"/>
          <w:color w:val="000000"/>
          <w:spacing w:val="0"/>
          <w:kern w:val="0"/>
          <w:sz w:val="40"/>
          <w:szCs w:val="40"/>
          <w:shd w:val="clear" w:fill="FFFFFF"/>
          <w:lang w:val="en-US" w:eastAsia="zh-CN" w:bidi="ar"/>
        </w:rPr>
      </w:pPr>
    </w:p>
    <w:p>
      <w:pPr>
        <w:pStyle w:val="2"/>
        <w:rPr>
          <w:rFonts w:hint="eastAsia" w:ascii="宋体" w:hAnsi="宋体" w:eastAsia="宋体" w:cs="宋体"/>
          <w:b/>
          <w:bCs/>
          <w:i w:val="0"/>
          <w:iCs w:val="0"/>
          <w:caps w:val="0"/>
          <w:color w:val="000000"/>
          <w:spacing w:val="0"/>
          <w:kern w:val="0"/>
          <w:sz w:val="40"/>
          <w:szCs w:val="40"/>
          <w:shd w:val="clear" w:fill="FFFFFF"/>
          <w:lang w:val="en-US" w:eastAsia="zh-CN" w:bidi="ar"/>
        </w:rPr>
      </w:pPr>
    </w:p>
    <w:p>
      <w:pPr>
        <w:rPr>
          <w:rFonts w:hint="eastAsia" w:ascii="宋体" w:hAnsi="宋体" w:eastAsia="宋体" w:cs="宋体"/>
          <w:b/>
          <w:bCs/>
          <w:i w:val="0"/>
          <w:iCs w:val="0"/>
          <w:caps w:val="0"/>
          <w:color w:val="000000"/>
          <w:spacing w:val="0"/>
          <w:kern w:val="0"/>
          <w:sz w:val="40"/>
          <w:szCs w:val="40"/>
          <w:shd w:val="clear" w:fill="FFFFFF"/>
          <w:lang w:val="en-US" w:eastAsia="zh-CN" w:bidi="ar"/>
        </w:rPr>
      </w:pPr>
    </w:p>
    <w:p>
      <w:pPr>
        <w:jc w:val="both"/>
        <w:rPr>
          <w:rFonts w:hint="eastAsia" w:ascii="黑体" w:hAnsi="黑体" w:eastAsia="黑体"/>
          <w:color w:val="000000"/>
          <w:sz w:val="48"/>
          <w:szCs w:val="48"/>
        </w:rPr>
      </w:pPr>
    </w:p>
    <w:p>
      <w:pPr>
        <w:bidi w:val="0"/>
        <w:jc w:val="center"/>
        <w:rPr>
          <w:rFonts w:hint="eastAsia" w:ascii="黑体" w:hAnsi="黑体" w:eastAsia="黑体"/>
          <w:color w:val="000000"/>
          <w:sz w:val="48"/>
          <w:szCs w:val="48"/>
        </w:rPr>
        <w:sectPr>
          <w:pgSz w:w="11906" w:h="16838"/>
          <w:pgMar w:top="1440" w:right="1800" w:bottom="1440" w:left="1800" w:header="851" w:footer="992" w:gutter="0"/>
          <w:cols w:space="425" w:num="1"/>
          <w:docGrid w:type="lines" w:linePitch="312" w:charSpace="0"/>
        </w:sectPr>
      </w:pPr>
    </w:p>
    <w:p>
      <w:pPr>
        <w:bidi w:val="0"/>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sz w:val="28"/>
          <w:szCs w:val="28"/>
        </w:rPr>
      </w:pPr>
    </w:p>
    <w:p>
      <w:pPr>
        <w:spacing w:before="0" w:beforeLines="0" w:after="0" w:afterLines="0" w:line="240" w:lineRule="auto"/>
        <w:ind w:left="0" w:leftChars="0" w:right="0" w:rightChars="0" w:firstLine="0" w:firstLineChars="0"/>
        <w:jc w:val="center"/>
      </w:pPr>
    </w:p>
    <w:p>
      <w:pPr>
        <w:pStyle w:val="6"/>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jc w:val="both"/>
        <w:textAlignment w:val="auto"/>
      </w:pPr>
      <w:r>
        <w:fldChar w:fldCharType="begin"/>
      </w:r>
      <w:r>
        <w:instrText xml:space="preserve">TOC \o "1-3" \h \u </w:instrText>
      </w:r>
      <w:r>
        <w:fldChar w:fldCharType="separate"/>
      </w:r>
      <w:r>
        <w:fldChar w:fldCharType="begin"/>
      </w:r>
      <w:r>
        <w:instrText xml:space="preserve"> HYPERLINK \l _Toc26406 </w:instrText>
      </w:r>
      <w:r>
        <w:fldChar w:fldCharType="separate"/>
      </w:r>
      <w:r>
        <w:rPr>
          <w:rFonts w:hint="eastAsia" w:ascii="黑体" w:hAnsi="黑体" w:eastAsia="黑体"/>
        </w:rPr>
        <w:t>一</w:t>
      </w:r>
      <w:r>
        <w:rPr>
          <w:rFonts w:hint="eastAsia" w:ascii="黑体" w:hAnsi="黑体" w:eastAsia="黑体"/>
          <w:lang w:eastAsia="zh-CN"/>
        </w:rPr>
        <w:t>、基本职能及主要工作</w:t>
      </w:r>
      <w:r>
        <w:rPr>
          <w:rFonts w:hint="eastAsia" w:ascii="黑体" w:hAnsi="黑体" w:eastAsia="黑体"/>
          <w:lang w:val="en-US" w:eastAsia="zh-CN"/>
        </w:rPr>
        <w:tab/>
      </w:r>
      <w:r>
        <w:rPr>
          <w:rFonts w:hint="eastAsia" w:ascii="黑体" w:hAnsi="黑体" w:eastAsia="黑体"/>
          <w:sz w:val="21"/>
          <w:szCs w:val="21"/>
          <w:lang w:val="en-US" w:eastAsia="zh-CN"/>
        </w:rPr>
        <w:t>................................................</w:t>
      </w:r>
      <w:r>
        <w:rPr>
          <w:rFonts w:hint="eastAsia"/>
          <w:lang w:val="en-US" w:eastAsia="zh-CN"/>
        </w:rPr>
        <w:t>2</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jc w:val="both"/>
        <w:textAlignment w:val="auto"/>
      </w:pPr>
      <w:r>
        <w:rPr>
          <w:rFonts w:hint="eastAsia"/>
          <w:lang w:eastAsia="zh-CN"/>
        </w:rPr>
        <w:t>（</w:t>
      </w:r>
      <w:r>
        <w:fldChar w:fldCharType="begin"/>
      </w:r>
      <w:r>
        <w:instrText xml:space="preserve"> HYPERLINK \l _Toc17690 </w:instrText>
      </w:r>
      <w:r>
        <w:fldChar w:fldCharType="separate"/>
      </w:r>
      <w:r>
        <w:rPr>
          <w:rFonts w:hint="eastAsia" w:ascii="黑体" w:hAnsi="黑体" w:eastAsia="黑体"/>
        </w:rPr>
        <w:t>一</w:t>
      </w:r>
      <w:r>
        <w:rPr>
          <w:rFonts w:hint="eastAsia" w:ascii="黑体" w:hAnsi="黑体" w:eastAsia="黑体"/>
          <w:lang w:eastAsia="zh-CN"/>
        </w:rPr>
        <w:t>）</w:t>
      </w:r>
      <w:r>
        <w:rPr>
          <w:rFonts w:hint="eastAsia" w:ascii="黑体" w:hAnsi="黑体" w:eastAsia="黑体"/>
        </w:rPr>
        <w:t>基本职能</w:t>
      </w:r>
      <w:r>
        <w:tab/>
      </w:r>
      <w:r>
        <w:rPr>
          <w:rFonts w:hint="eastAsia"/>
          <w:lang w:val="en-US" w:eastAsia="zh-CN"/>
        </w:rPr>
        <w:t>2</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jc w:val="both"/>
        <w:textAlignment w:val="auto"/>
        <w:rPr>
          <w:rFonts w:hint="default" w:eastAsiaTheme="minorEastAsia"/>
          <w:lang w:val="en-US" w:eastAsia="zh-CN"/>
        </w:rPr>
      </w:pPr>
      <w:r>
        <w:rPr>
          <w:rFonts w:hint="eastAsia"/>
          <w:lang w:eastAsia="zh-CN"/>
        </w:rPr>
        <w:t>（</w:t>
      </w:r>
      <w:r>
        <w:fldChar w:fldCharType="begin"/>
      </w:r>
      <w:r>
        <w:instrText xml:space="preserve"> HYPERLINK \l _Toc32090 </w:instrText>
      </w:r>
      <w:r>
        <w:fldChar w:fldCharType="separate"/>
      </w:r>
      <w:r>
        <w:rPr>
          <w:rFonts w:hint="eastAsia" w:ascii="黑体" w:eastAsia="黑体"/>
        </w:rPr>
        <w:t>二</w:t>
      </w:r>
      <w:r>
        <w:rPr>
          <w:rFonts w:hint="eastAsia" w:ascii="黑体" w:eastAsia="黑体"/>
          <w:lang w:eastAsia="zh-CN"/>
        </w:rPr>
        <w:t>）</w:t>
      </w:r>
      <w:r>
        <w:rPr>
          <w:rFonts w:hint="eastAsia" w:ascii="黑体" w:eastAsia="黑体"/>
          <w:lang w:val="en-US" w:eastAsia="zh-CN"/>
        </w:rPr>
        <w:t>2021年重点工作</w:t>
      </w:r>
      <w:r>
        <w:tab/>
      </w:r>
      <w:r>
        <w:rPr>
          <w:rFonts w:hint="eastAsia"/>
          <w:lang w:val="en-US" w:eastAsia="zh-CN"/>
        </w:rPr>
        <w:t>2</w:t>
      </w:r>
      <w:r>
        <w:fldChar w:fldCharType="end"/>
      </w:r>
    </w:p>
    <w:p>
      <w:pPr>
        <w:pStyle w:val="6"/>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jc w:val="both"/>
        <w:textAlignment w:val="auto"/>
      </w:pPr>
      <w:r>
        <w:fldChar w:fldCharType="begin"/>
      </w:r>
      <w:r>
        <w:instrText xml:space="preserve"> HYPERLINK \l _Toc21367 </w:instrText>
      </w:r>
      <w:r>
        <w:fldChar w:fldCharType="separate"/>
      </w:r>
      <w:r>
        <w:rPr>
          <w:rFonts w:hint="eastAsia" w:ascii="黑体" w:hAnsi="黑体" w:eastAsia="黑体"/>
        </w:rPr>
        <w:t>二</w:t>
      </w:r>
      <w:r>
        <w:rPr>
          <w:rFonts w:hint="eastAsia" w:ascii="黑体" w:hAnsi="黑体" w:eastAsia="黑体"/>
          <w:lang w:eastAsia="zh-CN"/>
        </w:rPr>
        <w:t>、部门预算单位构成</w:t>
      </w:r>
      <w:r>
        <w:rPr>
          <w:rFonts w:hint="eastAsia" w:ascii="黑体" w:hAnsi="黑体" w:eastAsia="黑体"/>
          <w:sz w:val="21"/>
          <w:szCs w:val="21"/>
          <w:lang w:val="en-US" w:eastAsia="zh-CN"/>
        </w:rPr>
        <w:t>....................................................</w:t>
      </w:r>
      <w:r>
        <w:rPr>
          <w:rFonts w:hint="eastAsia"/>
          <w:lang w:val="en-US" w:eastAsia="zh-CN"/>
        </w:rPr>
        <w:t>3</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0" w:firstLineChars="0"/>
        <w:jc w:val="both"/>
        <w:textAlignment w:val="auto"/>
      </w:pPr>
      <w:r>
        <w:fldChar w:fldCharType="begin"/>
      </w:r>
      <w:r>
        <w:instrText xml:space="preserve"> HYPERLINK \l _Toc13559 </w:instrText>
      </w:r>
      <w:r>
        <w:fldChar w:fldCharType="separate"/>
      </w:r>
      <w:r>
        <w:rPr>
          <w:rFonts w:hint="eastAsia" w:ascii="黑体" w:hAnsi="黑体" w:eastAsia="黑体" w:cs="黑体"/>
          <w:sz w:val="28"/>
          <w:szCs w:val="28"/>
          <w:lang w:eastAsia="zh-CN"/>
        </w:rPr>
        <w:t>三</w:t>
      </w:r>
      <w:r>
        <w:rPr>
          <w:rFonts w:hint="default" w:ascii="黑体" w:hAnsi="黑体" w:eastAsia="黑体" w:cs="Times New Roman"/>
        </w:rPr>
        <w:t>、</w:t>
      </w:r>
      <w:r>
        <w:rPr>
          <w:rFonts w:hint="eastAsia" w:ascii="黑体" w:hAnsi="宋体" w:eastAsia="黑体" w:cs="黑体"/>
          <w:color w:val="auto"/>
          <w:kern w:val="0"/>
          <w:sz w:val="28"/>
          <w:szCs w:val="28"/>
          <w:lang w:val="en-US" w:eastAsia="zh-CN" w:bidi="ar"/>
        </w:rPr>
        <w:t>2021年财政拨款部门预算情况的总体说明</w:t>
      </w:r>
      <w:r>
        <w:tab/>
      </w:r>
      <w:r>
        <w:rPr>
          <w:rFonts w:hint="eastAsia"/>
          <w:lang w:val="en-US" w:eastAsia="zh-CN"/>
        </w:rPr>
        <w:t>3</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0" w:firstLineChars="0"/>
        <w:jc w:val="both"/>
        <w:textAlignment w:val="auto"/>
      </w:pPr>
      <w:r>
        <w:fldChar w:fldCharType="begin"/>
      </w:r>
      <w:r>
        <w:instrText xml:space="preserve"> HYPERLINK \l _Toc15216 </w:instrText>
      </w:r>
      <w:r>
        <w:fldChar w:fldCharType="separate"/>
      </w:r>
      <w:r>
        <w:rPr>
          <w:rFonts w:hint="eastAsia" w:ascii="黑体" w:hAnsi="宋体" w:eastAsia="黑体" w:cs="黑体"/>
          <w:color w:val="auto"/>
          <w:kern w:val="0"/>
          <w:sz w:val="28"/>
          <w:szCs w:val="28"/>
          <w:lang w:val="en-US" w:eastAsia="zh-CN" w:bidi="ar"/>
        </w:rPr>
        <w:t>四、一般公共预算当年财政拨款情况说明</w:t>
      </w:r>
      <w:r>
        <w:tab/>
      </w:r>
      <w:r>
        <w:rPr>
          <w:rFonts w:hint="eastAsia"/>
          <w:lang w:val="en-US" w:eastAsia="zh-CN"/>
        </w:rPr>
        <w:t>4</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jc w:val="both"/>
        <w:textAlignment w:val="auto"/>
      </w:pPr>
      <w:r>
        <w:fldChar w:fldCharType="begin"/>
      </w:r>
      <w:r>
        <w:instrText xml:space="preserve"> HYPERLINK \l _Toc5257 </w:instrText>
      </w:r>
      <w:r>
        <w:fldChar w:fldCharType="separate"/>
      </w:r>
      <w:r>
        <w:t>（</w:t>
      </w:r>
      <w:r>
        <w:rPr>
          <w:rFonts w:hint="eastAsia" w:ascii="黑体" w:eastAsia="黑体"/>
          <w:lang w:eastAsia="zh-CN"/>
        </w:rPr>
        <w:t>一）一般公共预算当年财政拨款规模变化情况</w:t>
      </w:r>
      <w:r>
        <w:tab/>
      </w:r>
      <w:r>
        <w:rPr>
          <w:rFonts w:hint="eastAsia"/>
          <w:lang w:val="en-US" w:eastAsia="zh-CN"/>
        </w:rPr>
        <w:t>4</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_Toc20408 </w:instrText>
      </w:r>
      <w:r>
        <w:fldChar w:fldCharType="separate"/>
      </w:r>
      <w:r>
        <w:rPr>
          <w:rFonts w:hint="eastAsia" w:ascii="黑体" w:hAnsi="Calibri" w:eastAsia="黑体" w:cs="Times New Roman"/>
          <w:color w:val="auto"/>
          <w:kern w:val="2"/>
          <w:sz w:val="21"/>
          <w:szCs w:val="24"/>
          <w:lang w:val="en-US" w:eastAsia="zh-CN" w:bidi="ar-SA"/>
        </w:rPr>
        <w:t>（二）一般公共预算当年财政拨款结构情况</w:t>
      </w:r>
      <w:r>
        <w:tab/>
      </w:r>
      <w:r>
        <w:rPr>
          <w:rFonts w:hint="eastAsia"/>
          <w:lang w:val="en-US" w:eastAsia="zh-CN"/>
        </w:rPr>
        <w:t>4</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_Toc27048 </w:instrText>
      </w:r>
      <w:r>
        <w:fldChar w:fldCharType="separate"/>
      </w:r>
      <w:r>
        <w:rPr>
          <w:rFonts w:hint="eastAsia" w:ascii="仿宋" w:hAnsi="仿宋" w:eastAsia="仿宋"/>
          <w:szCs w:val="32"/>
        </w:rPr>
        <w:t>（</w:t>
      </w:r>
      <w:r>
        <w:rPr>
          <w:rFonts w:hint="eastAsia" w:ascii="仿宋" w:hAnsi="仿宋" w:eastAsia="仿宋"/>
          <w:szCs w:val="32"/>
          <w:lang w:eastAsia="zh-CN"/>
        </w:rPr>
        <w:t>三</w:t>
      </w:r>
      <w:r>
        <w:rPr>
          <w:rFonts w:hint="eastAsia" w:ascii="仿宋" w:hAnsi="仿宋" w:eastAsia="仿宋"/>
          <w:szCs w:val="32"/>
        </w:rPr>
        <w:t>）</w:t>
      </w:r>
      <w:r>
        <w:rPr>
          <w:rFonts w:hint="eastAsia" w:ascii="黑体" w:hAnsi="Calibri" w:eastAsia="黑体" w:cs="Times New Roman"/>
          <w:color w:val="auto"/>
          <w:kern w:val="2"/>
          <w:sz w:val="21"/>
          <w:szCs w:val="24"/>
          <w:lang w:val="en-US" w:eastAsia="zh-CN" w:bidi="ar-SA"/>
        </w:rPr>
        <w:t>一般公共预算当年财政拨款具体使用情况</w:t>
      </w:r>
      <w:r>
        <w:tab/>
      </w:r>
      <w:r>
        <w:rPr>
          <w:rFonts w:hint="eastAsia"/>
          <w:lang w:val="en-US" w:eastAsia="zh-CN"/>
        </w:rPr>
        <w:t>4</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0" w:firstLineChars="0"/>
        <w:jc w:val="both"/>
        <w:textAlignment w:val="auto"/>
        <w:rPr>
          <w:rFonts w:hint="eastAsia" w:eastAsiaTheme="minorEastAsia"/>
          <w:lang w:eastAsia="zh-CN"/>
        </w:rPr>
      </w:pPr>
      <w:r>
        <w:fldChar w:fldCharType="begin"/>
      </w:r>
      <w:r>
        <w:instrText xml:space="preserve"> HYPERLINK \l _Toc6198 </w:instrText>
      </w:r>
      <w:r>
        <w:fldChar w:fldCharType="separate"/>
      </w:r>
      <w:r>
        <w:rPr>
          <w:rFonts w:hint="eastAsia" w:ascii="黑体" w:hAnsi="宋体" w:eastAsia="黑体" w:cs="黑体"/>
          <w:color w:val="auto"/>
          <w:kern w:val="0"/>
          <w:sz w:val="28"/>
          <w:szCs w:val="28"/>
          <w:lang w:val="en-US" w:eastAsia="zh-CN" w:bidi="ar"/>
        </w:rPr>
        <w:t>五、2021年一般公共预算基本支出情况说明</w:t>
      </w:r>
      <w:r>
        <w:tab/>
      </w:r>
      <w:r>
        <w:rPr>
          <w:rFonts w:hint="eastAsia"/>
          <w:lang w:val="en-US" w:eastAsia="zh-CN"/>
        </w:rPr>
        <w:t>6</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_Toc2514 </w:instrText>
      </w:r>
      <w:r>
        <w:fldChar w:fldCharType="separate"/>
      </w:r>
      <w:r>
        <w:rPr>
          <w:rFonts w:hint="eastAsia" w:ascii="黑体" w:hAnsi="Calibri" w:eastAsia="黑体" w:cs="Times New Roman"/>
          <w:color w:val="auto"/>
          <w:kern w:val="2"/>
          <w:sz w:val="21"/>
          <w:szCs w:val="24"/>
          <w:lang w:val="en-US" w:eastAsia="zh-CN" w:bidi="ar-SA"/>
        </w:rPr>
        <w:t>（一）公务接待费</w:t>
      </w:r>
      <w:r>
        <w:tab/>
      </w:r>
      <w:r>
        <w:rPr>
          <w:rFonts w:hint="eastAsia"/>
          <w:lang w:val="en-US" w:eastAsia="zh-CN"/>
        </w:rPr>
        <w:t>6</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_Toc23642 </w:instrText>
      </w:r>
      <w:r>
        <w:fldChar w:fldCharType="separate"/>
      </w:r>
      <w:r>
        <w:rPr>
          <w:rFonts w:hint="eastAsia" w:ascii="黑体" w:hAnsi="Calibri" w:eastAsia="黑体" w:cs="Times New Roman"/>
          <w:color w:val="auto"/>
          <w:kern w:val="2"/>
          <w:sz w:val="21"/>
          <w:szCs w:val="24"/>
          <w:lang w:val="en-US" w:eastAsia="zh-CN" w:bidi="ar-SA"/>
        </w:rPr>
        <w:t>（二）公务用车购置及运行维护费</w:t>
      </w:r>
      <w:r>
        <w:tab/>
      </w:r>
      <w:r>
        <w:rPr>
          <w:rFonts w:hint="eastAsia"/>
          <w:lang w:val="en-US" w:eastAsia="zh-CN"/>
        </w:rPr>
        <w:t>6</w:t>
      </w:r>
      <w:r>
        <w:fldChar w:fldCharType="end"/>
      </w:r>
    </w:p>
    <w:p>
      <w:pPr>
        <w:keepNext w:val="0"/>
        <w:keepLines w:val="0"/>
        <w:pageBreakBefore w:val="0"/>
        <w:tabs>
          <w:tab w:val="right" w:leader="dot" w:pos="8306"/>
          <w:tab w:val="right" w:leader="middleDot" w:pos="8400"/>
        </w:tabs>
        <w:kinsoku/>
        <w:wordWrap/>
        <w:overflowPunct/>
        <w:topLinePunct w:val="0"/>
        <w:autoSpaceDE/>
        <w:autoSpaceDN/>
        <w:bidi w:val="0"/>
        <w:adjustRightInd/>
        <w:snapToGrid/>
        <w:textAlignment w:val="auto"/>
        <w:rPr>
          <w:rFonts w:hint="default" w:eastAsiaTheme="minorEastAsia"/>
          <w:lang w:val="en-US" w:eastAsia="zh-CN"/>
        </w:rPr>
      </w:pPr>
      <w:r>
        <w:rPr>
          <w:rFonts w:hint="eastAsia"/>
          <w:lang w:val="en-US" w:eastAsia="zh-CN"/>
        </w:rPr>
        <w:t xml:space="preserve">     </w:t>
      </w:r>
      <w:r>
        <w:rPr>
          <w:rFonts w:hint="eastAsia" w:ascii="黑体" w:hAnsi="黑体" w:eastAsia="黑体" w:cs="黑体"/>
          <w:lang w:val="en-US" w:eastAsia="zh-CN"/>
        </w:rPr>
        <w:t>(三）因公出国（境）费..</w:t>
      </w:r>
      <w:r>
        <w:rPr>
          <w:rFonts w:hint="eastAsia"/>
          <w:lang w:val="en-US" w:eastAsia="zh-CN"/>
        </w:rPr>
        <w:t>...............                         ..........................6</w:t>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0" w:firstLineChars="0"/>
        <w:jc w:val="both"/>
        <w:textAlignment w:val="auto"/>
      </w:pPr>
      <w:r>
        <w:fldChar w:fldCharType="begin"/>
      </w:r>
      <w:r>
        <w:instrText xml:space="preserve"> HYPERLINK \l _Toc14891 </w:instrText>
      </w:r>
      <w:r>
        <w:fldChar w:fldCharType="separate"/>
      </w:r>
      <w:r>
        <w:rPr>
          <w:rFonts w:hint="eastAsia" w:ascii="黑体" w:hAnsi="宋体" w:eastAsia="黑体" w:cs="黑体"/>
          <w:color w:val="auto"/>
          <w:kern w:val="0"/>
          <w:sz w:val="28"/>
          <w:szCs w:val="28"/>
          <w:lang w:val="en-US" w:eastAsia="zh-CN" w:bidi="ar"/>
        </w:rPr>
        <w:t>七、2021年政府性基金预算收支及变化情况的说明</w:t>
      </w:r>
      <w:r>
        <w:tab/>
      </w:r>
      <w:r>
        <w:rPr>
          <w:rFonts w:hint="eastAsia"/>
          <w:lang w:val="en-US" w:eastAsia="zh-CN"/>
        </w:rPr>
        <w:t>6</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0" w:firstLineChars="0"/>
        <w:jc w:val="both"/>
        <w:textAlignment w:val="auto"/>
      </w:pPr>
      <w:r>
        <w:fldChar w:fldCharType="begin"/>
      </w:r>
      <w:r>
        <w:instrText xml:space="preserve"> HYPERLINK \l _Toc5164 </w:instrText>
      </w:r>
      <w:r>
        <w:fldChar w:fldCharType="separate"/>
      </w:r>
      <w:r>
        <w:rPr>
          <w:rFonts w:hint="eastAsia" w:ascii="黑体" w:hAnsi="宋体" w:eastAsia="黑体" w:cs="黑体"/>
          <w:color w:val="auto"/>
          <w:kern w:val="0"/>
          <w:sz w:val="28"/>
          <w:szCs w:val="28"/>
          <w:lang w:val="en-US" w:eastAsia="zh-CN" w:bidi="ar"/>
        </w:rPr>
        <w:t>八、国有资本经营预算支出情况说明</w:t>
      </w:r>
      <w:r>
        <w:tab/>
      </w:r>
      <w:r>
        <w:rPr>
          <w:rFonts w:hint="eastAsia"/>
          <w:lang w:val="en-US" w:eastAsia="zh-CN"/>
        </w:rPr>
        <w:t>6</w:t>
      </w:r>
      <w:r>
        <w:fldChar w:fldCharType="end"/>
      </w:r>
    </w:p>
    <w:p>
      <w:pPr>
        <w:pStyle w:val="7"/>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0" w:firstLineChars="0"/>
        <w:jc w:val="both"/>
        <w:textAlignment w:val="auto"/>
      </w:pPr>
      <w:r>
        <w:fldChar w:fldCharType="begin"/>
      </w:r>
      <w:r>
        <w:instrText xml:space="preserve"> HYPERLINK \l _Toc4282 </w:instrText>
      </w:r>
      <w:r>
        <w:fldChar w:fldCharType="separate"/>
      </w:r>
      <w:r>
        <w:rPr>
          <w:rFonts w:hint="eastAsia" w:ascii="黑体" w:hAnsi="宋体" w:eastAsia="黑体" w:cs="黑体"/>
          <w:color w:val="auto"/>
          <w:kern w:val="0"/>
          <w:sz w:val="28"/>
          <w:szCs w:val="28"/>
          <w:lang w:val="en-US" w:eastAsia="zh-CN" w:bidi="ar"/>
        </w:rPr>
        <w:t>九、其他重要事项的情况说明</w:t>
      </w:r>
      <w:r>
        <w:tab/>
      </w:r>
      <w:r>
        <w:rPr>
          <w:rFonts w:hint="eastAsia"/>
          <w:lang w:val="en-US" w:eastAsia="zh-CN"/>
        </w:rPr>
        <w:t>6</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_Toc3209 </w:instrText>
      </w:r>
      <w:r>
        <w:fldChar w:fldCharType="separate"/>
      </w:r>
      <w:r>
        <w:rPr>
          <w:rFonts w:hint="eastAsia" w:ascii="黑体" w:hAnsi="Calibri" w:eastAsia="黑体" w:cs="Times New Roman"/>
          <w:color w:val="auto"/>
          <w:kern w:val="2"/>
          <w:sz w:val="21"/>
          <w:szCs w:val="24"/>
          <w:lang w:val="en-US" w:eastAsia="zh-CN" w:bidi="ar-SA"/>
        </w:rPr>
        <w:t>（一）机关运行经费</w:t>
      </w:r>
      <w:r>
        <w:tab/>
      </w:r>
      <w:r>
        <w:rPr>
          <w:rFonts w:hint="eastAsia"/>
          <w:lang w:val="en-US" w:eastAsia="zh-CN"/>
        </w:rPr>
        <w:t>6</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_Toc20772 </w:instrText>
      </w:r>
      <w:r>
        <w:fldChar w:fldCharType="separate"/>
      </w:r>
      <w:r>
        <w:rPr>
          <w:rFonts w:hint="eastAsia" w:ascii="黑体" w:hAnsi="Calibri" w:eastAsia="黑体" w:cs="Times New Roman"/>
          <w:color w:val="auto"/>
          <w:kern w:val="2"/>
          <w:sz w:val="21"/>
          <w:szCs w:val="24"/>
          <w:lang w:val="en-US" w:eastAsia="zh-CN" w:bidi="ar-SA"/>
        </w:rPr>
        <w:t>（二）国有资产占有使用情况</w:t>
      </w:r>
      <w:r>
        <w:tab/>
      </w:r>
      <w:r>
        <w:rPr>
          <w:rFonts w:hint="eastAsia"/>
          <w:lang w:val="en-US" w:eastAsia="zh-CN"/>
        </w:rPr>
        <w:t>7</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_Toc30190 </w:instrText>
      </w:r>
      <w:r>
        <w:fldChar w:fldCharType="separate"/>
      </w:r>
      <w:r>
        <w:rPr>
          <w:rFonts w:hint="eastAsia" w:ascii="黑体" w:hAnsi="Calibri" w:eastAsia="黑体" w:cs="Times New Roman"/>
          <w:color w:val="auto"/>
          <w:kern w:val="2"/>
          <w:sz w:val="21"/>
          <w:szCs w:val="24"/>
          <w:lang w:val="en-US" w:eastAsia="zh-CN" w:bidi="ar-SA"/>
        </w:rPr>
        <w:t>（三）部门政府采购预算</w:t>
      </w:r>
      <w:r>
        <w:tab/>
      </w:r>
      <w:r>
        <w:rPr>
          <w:rFonts w:hint="eastAsia"/>
          <w:lang w:val="en-US" w:eastAsia="zh-CN"/>
        </w:rPr>
        <w:t>7</w:t>
      </w:r>
      <w:r>
        <w:fldChar w:fldCharType="end"/>
      </w:r>
    </w:p>
    <w:p>
      <w:pPr>
        <w:pStyle w:val="3"/>
        <w:keepNext w:val="0"/>
        <w:keepLines w:val="0"/>
        <w:pageBreakBefore w:val="0"/>
        <w:tabs>
          <w:tab w:val="right" w:leader="dot" w:pos="8306"/>
          <w:tab w:val="right" w:leader="middleDot" w:pos="8400"/>
          <w:tab w:val="clear" w:pos="8296"/>
        </w:tabs>
        <w:kinsoku/>
        <w:wordWrap/>
        <w:overflowPunct/>
        <w:topLinePunct w:val="0"/>
        <w:autoSpaceDE/>
        <w:autoSpaceDN/>
        <w:bidi w:val="0"/>
        <w:adjustRightInd/>
        <w:snapToGrid/>
        <w:ind w:left="0" w:leftChars="0" w:firstLine="420" w:firstLineChars="200"/>
        <w:jc w:val="both"/>
        <w:textAlignment w:val="auto"/>
      </w:pPr>
      <w:r>
        <w:fldChar w:fldCharType="begin"/>
      </w:r>
      <w:r>
        <w:instrText xml:space="preserve"> HYPERLINK \l _Toc8110 </w:instrText>
      </w:r>
      <w:r>
        <w:fldChar w:fldCharType="separate"/>
      </w:r>
      <w:r>
        <w:rPr>
          <w:rFonts w:hint="eastAsia" w:ascii="黑体" w:hAnsi="Calibri" w:eastAsia="黑体" w:cs="Times New Roman"/>
          <w:color w:val="auto"/>
          <w:kern w:val="2"/>
          <w:sz w:val="21"/>
          <w:szCs w:val="24"/>
          <w:lang w:val="en-US" w:eastAsia="zh-CN" w:bidi="ar-SA"/>
        </w:rPr>
        <w:t>（四）绩效目标设置情况</w:t>
      </w:r>
      <w:r>
        <w:tab/>
      </w:r>
      <w:r>
        <w:rPr>
          <w:rFonts w:hint="eastAsia"/>
          <w:lang w:val="en-US" w:eastAsia="zh-CN"/>
        </w:rPr>
        <w:t>7</w:t>
      </w:r>
      <w: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right" w:leader="dot" w:pos="8306"/>
          <w:tab w:val="right" w:leader="middleDot" w:pos="8400"/>
        </w:tabs>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bCs/>
          <w:i w:val="0"/>
          <w:iCs w:val="0"/>
          <w:caps w:val="0"/>
          <w:color w:val="000000"/>
          <w:spacing w:val="0"/>
          <w:kern w:val="0"/>
          <w:sz w:val="40"/>
          <w:szCs w:val="40"/>
          <w:shd w:val="clear" w:fill="FFFFFF"/>
          <w:lang w:val="en-US" w:eastAsia="zh-CN" w:bidi="ar"/>
        </w:rPr>
      </w:pPr>
      <w: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黑体" w:hAnsi="黑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ascii="宋体" w:hAnsi="宋体" w:eastAsia="宋体" w:cs="宋体"/>
          <w:i w:val="0"/>
          <w:iCs w:val="0"/>
          <w:caps w:val="0"/>
          <w:color w:val="000000"/>
          <w:spacing w:val="0"/>
          <w:sz w:val="27"/>
          <w:szCs w:val="27"/>
        </w:rPr>
      </w:pPr>
      <w:r>
        <w:rPr>
          <w:rFonts w:hint="eastAsia" w:ascii="黑体" w:hAnsi="黑体" w:eastAsia="黑体" w:cs="黑体"/>
          <w:i w:val="0"/>
          <w:iCs w:val="0"/>
          <w:caps w:val="0"/>
          <w:color w:val="000000"/>
          <w:spacing w:val="0"/>
          <w:kern w:val="0"/>
          <w:sz w:val="32"/>
          <w:szCs w:val="32"/>
          <w:shd w:val="clear" w:fill="FFFFFF"/>
          <w:lang w:val="en-US" w:eastAsia="zh-CN" w:bidi="ar"/>
        </w:rPr>
        <w:t>一、基本职能及主要工作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shd w:val="clear" w:fill="FFFFFF"/>
          <w:lang w:val="en-US" w:eastAsia="zh-CN" w:bidi="ar"/>
        </w:rPr>
        <w:t>（一）单位职能简介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1"/>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我段主要承担嘉陵江朝天区对溪至昭化区虎跳邢家河滩（152公里）、白龙江紫兰坝（兰渝输油管）至昭化区河口滩（13公里）165公里航道的管养任务，涉及朝天、利州、昭化、剑阁四个县区。完成上级部门交办的其他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shd w:val="clear" w:fill="FFFFFF"/>
          <w:lang w:val="en-US" w:eastAsia="zh-CN" w:bidi="ar"/>
        </w:rPr>
        <w:t>（二）2021年工作重点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1.提升航道管养能力。强化航道养护力度，开展“平安航道”创建，加强船闸运行调度管理，努力提高船舶过闸效率。严格执行24小时防汛值班制度，提前储备油料、钢缆等防汛设施，保证平安度汛。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2.强化安全生产管理。坚持以杜绝安全生产事故为目标，全面落实安全生产责任制，把安全管理工作制度化、规范化。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3.强化职工队伍建设。贯彻落实党中央和省、市重大决策部署，加强意识形态阵地建设和管理。巩固党史学习教育和干部纪律作风整顿成果，强化党员干部思想建设，持续加强党风廉政建设、作风建设、制度建设和效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4.强化“女儿节”风舟赛赛道设置工作。优化女儿节凤舟赛赛道设置及横渡嘉陵江游泳比赛赛道设置。安排安全巡逻监护人员及救援冲锋舟巡逻艇等设施设备，确保凤舟赛及横渡嘉陵江游泳比赛安全顺利进行。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5.做好驻村帮扶工作。协助帮扶村做好乡村振兴规划，同时协助帮扶村做好疫情防控，力所能及地争取项目资金，切实解决村民关心的一些热点难点问题。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6.抓好疫情防控。克服侥幸和麻痹心理，始终紧绷一根弦，落实常态化疫情防控各项工作。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hint="eastAsia" w:ascii="黑体" w:hAnsi="黑体" w:eastAsia="黑体" w:cs="黑体"/>
          <w:i w:val="0"/>
          <w:iCs w:val="0"/>
          <w:caps w:val="0"/>
          <w:color w:val="000000"/>
          <w:spacing w:val="0"/>
          <w:kern w:val="0"/>
          <w:sz w:val="32"/>
          <w:szCs w:val="32"/>
          <w:shd w:val="clear" w:fill="FFFFFF"/>
          <w:lang w:val="en-US" w:eastAsia="zh-CN" w:bidi="ar"/>
        </w:rPr>
        <w:t>二、部门预算单位构成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1"/>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广元市航务管理局广元航道段和广元港港口管理所实行“两块牌子，一套人马”管理体制，为隶属广元市交通运输局领导的公益一类事业单位，下设办公室、财务股、航政股、工程股和3个航养班组。纳入市航务管理局广元航道段2021年预算编制的单位有：市航务管理局广元航道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ascii="黑体" w:hAnsi="宋体" w:eastAsia="黑体" w:cs="黑体"/>
          <w:i w:val="0"/>
          <w:iCs w:val="0"/>
          <w:caps w:val="0"/>
          <w:color w:val="000000"/>
          <w:spacing w:val="0"/>
          <w:kern w:val="0"/>
          <w:sz w:val="32"/>
          <w:szCs w:val="32"/>
          <w:shd w:val="clear" w:fill="FFFFFF"/>
          <w:lang w:val="en-US" w:eastAsia="zh-CN" w:bidi="ar"/>
        </w:rPr>
        <w:t>三、广元市航务管理局</w:t>
      </w:r>
      <w:r>
        <w:rPr>
          <w:rFonts w:hint="eastAsia" w:ascii="黑体" w:hAnsi="宋体" w:eastAsia="黑体" w:cs="黑体"/>
          <w:i w:val="0"/>
          <w:iCs w:val="0"/>
          <w:caps w:val="0"/>
          <w:color w:val="000000"/>
          <w:spacing w:val="0"/>
          <w:kern w:val="0"/>
          <w:sz w:val="32"/>
          <w:szCs w:val="32"/>
          <w:shd w:val="clear" w:fill="FFFFFF"/>
          <w:lang w:val="en-US" w:eastAsia="zh-CN" w:bidi="ar"/>
        </w:rPr>
        <w:t>广元航道段2021年财政拨款部门预算情况的总体说明</w:t>
      </w:r>
    </w:p>
    <w:p>
      <w:pPr>
        <w:pStyle w:val="8"/>
        <w:keepNext w:val="0"/>
        <w:keepLines w:val="0"/>
        <w:widowControl/>
        <w:suppressLineNumbers w:val="0"/>
        <w:spacing w:before="75" w:beforeAutospacing="0" w:after="75" w:afterAutospacing="0"/>
        <w:ind w:left="0" w:right="0" w:firstLine="640"/>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2021年部门预算收支总数791.36万元，较2020年部门预算收支总数760.84万元增加30.52万元，增长4.01%。主要原因是人员增加导致人员和公用经费增加。</w:t>
      </w:r>
    </w:p>
    <w:p>
      <w:pPr>
        <w:pStyle w:val="8"/>
        <w:keepNext w:val="0"/>
        <w:keepLines w:val="0"/>
        <w:widowControl/>
        <w:suppressLineNumbers w:val="0"/>
        <w:spacing w:before="75" w:beforeAutospacing="0" w:after="75" w:afterAutospacing="0"/>
        <w:ind w:left="0" w:right="0" w:firstLine="64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2021年部门预算收入总数791.36万元，较2020年部门预算收入总数760.84万元上升4.01%；2021年部门预算支出总数791.36万元，较2020年部门预算支出总数760.84万元上升4.01%。</w:t>
      </w:r>
      <w:r>
        <w:rPr>
          <w:rFonts w:hint="eastAsia" w:ascii="仿宋" w:hAnsi="仿宋" w:eastAsia="仿宋" w:cs="仿宋"/>
          <w:i w:val="0"/>
          <w:caps w:val="0"/>
          <w:color w:val="000000"/>
          <w:spacing w:val="0"/>
          <w:sz w:val="32"/>
          <w:szCs w:val="32"/>
          <w:lang w:val="en-US" w:eastAsia="zh-CN"/>
        </w:rPr>
        <w:t>主要原因是人员增加导致人员和公用经费增加。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部门基本支出预算784.08万元，其中：人员支出</w:t>
      </w:r>
      <w:r>
        <w:rPr>
          <w:rFonts w:hint="eastAsia" w:ascii="仿宋" w:hAnsi="仿宋" w:eastAsia="仿宋" w:cs="仿宋"/>
          <w:i w:val="0"/>
          <w:iCs w:val="0"/>
          <w:caps w:val="0"/>
          <w:color w:val="auto"/>
          <w:spacing w:val="0"/>
          <w:kern w:val="0"/>
          <w:sz w:val="32"/>
          <w:szCs w:val="32"/>
          <w:shd w:val="clear" w:fill="FFFFFF"/>
          <w:lang w:val="en-US" w:eastAsia="zh-CN" w:bidi="ar"/>
        </w:rPr>
        <w:t>697.48</w:t>
      </w:r>
      <w:r>
        <w:rPr>
          <w:rFonts w:hint="eastAsia" w:ascii="仿宋" w:hAnsi="仿宋" w:eastAsia="仿宋" w:cs="仿宋"/>
          <w:i w:val="0"/>
          <w:iCs w:val="0"/>
          <w:caps w:val="0"/>
          <w:color w:val="000000"/>
          <w:spacing w:val="0"/>
          <w:kern w:val="0"/>
          <w:sz w:val="32"/>
          <w:szCs w:val="32"/>
          <w:shd w:val="clear" w:fill="FFFFFF"/>
          <w:lang w:val="en-US" w:eastAsia="zh-CN" w:bidi="ar"/>
        </w:rPr>
        <w:t>万元，公用支出</w:t>
      </w:r>
      <w:r>
        <w:rPr>
          <w:rFonts w:hint="eastAsia" w:ascii="仿宋" w:hAnsi="仿宋" w:eastAsia="仿宋" w:cs="仿宋"/>
          <w:i w:val="0"/>
          <w:iCs w:val="0"/>
          <w:caps w:val="0"/>
          <w:color w:val="auto"/>
          <w:spacing w:val="0"/>
          <w:kern w:val="0"/>
          <w:sz w:val="32"/>
          <w:szCs w:val="32"/>
          <w:shd w:val="clear" w:fill="FFFFFF"/>
          <w:lang w:val="en-US" w:eastAsia="zh-CN" w:bidi="ar"/>
        </w:rPr>
        <w:t>86.60</w:t>
      </w:r>
      <w:r>
        <w:rPr>
          <w:rFonts w:hint="eastAsia" w:ascii="仿宋" w:hAnsi="仿宋" w:eastAsia="仿宋" w:cs="仿宋"/>
          <w:i w:val="0"/>
          <w:iCs w:val="0"/>
          <w:caps w:val="0"/>
          <w:color w:val="000000"/>
          <w:spacing w:val="0"/>
          <w:kern w:val="0"/>
          <w:sz w:val="32"/>
          <w:szCs w:val="32"/>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部门专项项目预算7.28万元(明细项目见附表)。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部门政府采购预算0万元。</w:t>
      </w:r>
    </w:p>
    <w:p>
      <w:pPr>
        <w:pStyle w:val="8"/>
        <w:keepNext w:val="0"/>
        <w:keepLines w:val="0"/>
        <w:widowControl/>
        <w:suppressLineNumbers w:val="0"/>
        <w:spacing w:before="75" w:beforeAutospacing="0" w:after="75" w:afterAutospacing="0"/>
        <w:ind w:left="0" w:right="0" w:firstLine="64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2021年财政拨款收支总预算791.36万元，</w:t>
      </w:r>
      <w:r>
        <w:rPr>
          <w:rFonts w:hint="eastAsia" w:ascii="仿宋" w:hAnsi="仿宋" w:eastAsia="仿宋" w:cs="仿宋"/>
          <w:i w:val="0"/>
          <w:caps w:val="0"/>
          <w:color w:val="000000"/>
          <w:spacing w:val="0"/>
          <w:sz w:val="32"/>
          <w:szCs w:val="32"/>
          <w:lang w:val="en-US" w:eastAsia="zh-CN"/>
        </w:rPr>
        <w:t>较2020年760.84万元增加30.52万元，增长4.01%。主要原因是人员增加导致人员和公用经费增加。</w:t>
      </w:r>
      <w:r>
        <w:rPr>
          <w:rFonts w:hint="eastAsia" w:ascii="仿宋" w:hAnsi="仿宋" w:eastAsia="仿宋" w:cs="仿宋"/>
          <w:i w:val="0"/>
          <w:iCs w:val="0"/>
          <w:caps w:val="0"/>
          <w:color w:val="000000"/>
          <w:spacing w:val="0"/>
          <w:kern w:val="0"/>
          <w:sz w:val="32"/>
          <w:szCs w:val="32"/>
          <w:shd w:val="clear" w:fill="FFFFFF"/>
          <w:lang w:val="en-US" w:eastAsia="zh-CN" w:bidi="ar"/>
        </w:rPr>
        <w:t>收入包括：一般公共预算当年拨款收入791.36万元；支出包括：交通运输支出640.14万元、社会保障和就业支出58.53万元、卫生健康支出28.78万元、住房保障支出63.91万元。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四、一般公共预算当年财政拨款情况说明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rPr>
        <w:t>（一）一般公共预算当年财政拨款规模变化情况</w:t>
      </w:r>
    </w:p>
    <w:p>
      <w:pPr>
        <w:pStyle w:val="8"/>
        <w:keepNext w:val="0"/>
        <w:keepLines w:val="0"/>
        <w:widowControl/>
        <w:suppressLineNumbers w:val="0"/>
        <w:spacing w:before="75" w:beforeAutospacing="0" w:after="75" w:afterAutospacing="0"/>
        <w:ind w:left="0" w:right="0" w:firstLine="64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2021年一般公共预算当年财政拨款791.36万元，比2020年财政预算数760.84万元增加30.52万元，比上年增长4.01%，变动的主要原因是</w:t>
      </w:r>
      <w:r>
        <w:rPr>
          <w:rFonts w:hint="eastAsia" w:ascii="仿宋" w:hAnsi="仿宋" w:eastAsia="仿宋" w:cs="仿宋"/>
          <w:i w:val="0"/>
          <w:caps w:val="0"/>
          <w:color w:val="000000"/>
          <w:spacing w:val="0"/>
          <w:sz w:val="32"/>
          <w:szCs w:val="32"/>
          <w:lang w:val="en-US" w:eastAsia="zh-CN"/>
        </w:rPr>
        <w:t>人员增加导致人员和公用经费增加。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rPr>
        <w:t>（二）一般公共预算当年财政拨款结构情况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hint="eastAsia" w:ascii="仿宋" w:hAnsi="仿宋" w:eastAsia="仿宋" w:cs="仿宋"/>
          <w:i w:val="0"/>
          <w:iCs w:val="0"/>
          <w:caps w:val="0"/>
          <w:color w:val="000000"/>
          <w:spacing w:val="0"/>
          <w:kern w:val="0"/>
          <w:sz w:val="32"/>
          <w:szCs w:val="32"/>
          <w:shd w:val="clear" w:fill="FFFFFF"/>
          <w:lang w:val="en-US" w:eastAsia="zh-CN" w:bidi="ar"/>
        </w:rPr>
        <w:t>交通运输支出640.14万元，占80.89%；社会保障和就业支出58.53万元，占7.40%；卫生健康支出28.78万元，占3.64%；住房保障支出63.91万元，占8.08%。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ascii="宋体" w:hAnsi="宋体" w:eastAsia="宋体" w:cs="宋体"/>
          <w:i w:val="0"/>
          <w:iCs w:val="0"/>
          <w:caps w:val="0"/>
          <w:color w:val="000000"/>
          <w:spacing w:val="0"/>
          <w:sz w:val="27"/>
          <w:szCs w:val="27"/>
        </w:rPr>
      </w:pPr>
      <w:r>
        <w:rPr>
          <w:rFonts w:hint="eastAsia" w:ascii="楷体" w:hAnsi="楷体" w:eastAsia="楷体" w:cs="楷体"/>
          <w:i w:val="0"/>
          <w:iCs w:val="0"/>
          <w:caps w:val="0"/>
          <w:color w:val="000000"/>
          <w:spacing w:val="0"/>
          <w:sz w:val="32"/>
          <w:szCs w:val="32"/>
          <w:shd w:val="clear" w:fill="FFFFFF"/>
        </w:rPr>
        <w:t>（三）一般公共预算当年财政拨款具体使用情况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1、交通运输支出（类）公路水路运输（款）航道维护（项）预算数为640.14万元,比2020年预算数618.7万元增加21.44万元，变动的主要原因是2021年度增加上石盘库区航道设施维护费用预算，2021年度人员增加及调资导致人员经费增加。主要用于单位人员工资奖金补贴、办公经费等公用经费及上石盘库区航道设施维护等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2、社会保障和就业支出（类）行政事业单位养老支出（款）事业单位离退休（项）预算数为0.97万元,与2020年持平。主要用于单位离退休相关支出。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社会保障和就业支出（类）行政事业单位养老保险（款）机关事业单位基本养老保险缴费支出（项）预算数为57.56万元,比2020年预算数56.83万元增加0.73万元，主要原因是人员增加及调资。主要用于机关事业单位养老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4、卫生健康支出（类）行政事业单位医疗（款）事业单位医疗（项）预算数为28.78万元,比2020年预算数26.64万元增加2.14万元，主要原因是人员增加及调资。主要用于对事业单位医疗保险的社会保障缴费支出。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5、住房保障支出（类）住房改革支出（款）住房公积金（项）预算数为63.91万元,比2020年预算数57.7万元增加6.21万元，变动的主要原因是人员工资变动增加了公积金支出预算。主要用于行政事业单位住房公积金缴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五、2021年一般公共预算基本支出情况说明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2021年一般公共预算基本支出784.08万元，其中： 人员经费697.48万元，主要包括：基本工资、津贴补贴、奖金、绩效工资、机关事业单位养老保险缴费、基本医疗保险缴费、其他社会保险缴费、住房公积金、其他工资福利支出、生活补助、医疗费补助、其他对个人和家庭的补助支出。公用经费86.60万元，主要包括：办公费、水费、电费、邮电费、物业管理费、差旅费、维修（护）费、培训费、公务接待费、劳务费、工会经费、福利费、公务用车运行维护费、其他交通费用、其他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六、财政拨款安排“三公”经费预算情况说明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shd w:val="clear" w:fill="FFFFFF"/>
          <w:lang w:val="en-US" w:eastAsia="zh-CN" w:bidi="ar"/>
        </w:rPr>
        <w:t>（一）公务接待费0.7万元。</w:t>
      </w:r>
      <w:r>
        <w:rPr>
          <w:rFonts w:hint="eastAsia" w:ascii="仿宋" w:hAnsi="仿宋" w:eastAsia="仿宋" w:cs="仿宋"/>
          <w:i w:val="0"/>
          <w:iCs w:val="0"/>
          <w:caps w:val="0"/>
          <w:color w:val="000000"/>
          <w:spacing w:val="0"/>
          <w:kern w:val="0"/>
          <w:sz w:val="32"/>
          <w:szCs w:val="32"/>
          <w:shd w:val="clear" w:fill="FFFFFF"/>
          <w:lang w:val="en-US" w:eastAsia="zh-CN" w:bidi="ar"/>
        </w:rPr>
        <w:t>2021年预算安排公务接待费0.7万元，与2020预算持平。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shd w:val="clear" w:fill="FFFFFF"/>
          <w:lang w:val="en-US" w:eastAsia="zh-CN" w:bidi="ar"/>
        </w:rPr>
        <w:t>（二）公务用车购置及运行维护费2.3万元。</w:t>
      </w:r>
      <w:r>
        <w:rPr>
          <w:rFonts w:hint="eastAsia" w:ascii="仿宋" w:hAnsi="仿宋" w:eastAsia="仿宋" w:cs="仿宋"/>
          <w:i w:val="0"/>
          <w:iCs w:val="0"/>
          <w:caps w:val="0"/>
          <w:color w:val="000000"/>
          <w:spacing w:val="0"/>
          <w:kern w:val="0"/>
          <w:sz w:val="32"/>
          <w:szCs w:val="32"/>
          <w:shd w:val="clear" w:fill="FFFFFF"/>
          <w:lang w:val="en-US" w:eastAsia="zh-CN" w:bidi="ar"/>
        </w:rPr>
        <w:t>2021年预算安排公务用车购置及运行维护费2.3万元，与2020年预算持平。其中，公务用车购置费0万元，与上年持平，本单位公务用车1辆（车辆编制在市航务管理局）。公务用车运行维护费2.3万元，与上年持平。主要用于公务用车的燃油、维修、保险等方面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i w:val="0"/>
          <w:iCs w:val="0"/>
          <w:caps w:val="0"/>
          <w:color w:val="000000"/>
          <w:spacing w:val="0"/>
          <w:kern w:val="0"/>
          <w:sz w:val="32"/>
          <w:szCs w:val="32"/>
          <w:shd w:val="clear" w:fill="FFFFFF"/>
          <w:lang w:val="en-US" w:eastAsia="zh-CN" w:bidi="ar"/>
        </w:rPr>
        <w:t>（三）因公出国（境）费0万元。</w:t>
      </w:r>
      <w:r>
        <w:rPr>
          <w:rFonts w:hint="eastAsia" w:ascii="仿宋" w:hAnsi="仿宋" w:eastAsia="仿宋" w:cs="仿宋"/>
          <w:i w:val="0"/>
          <w:iCs w:val="0"/>
          <w:caps w:val="0"/>
          <w:color w:val="000000"/>
          <w:spacing w:val="0"/>
          <w:kern w:val="0"/>
          <w:sz w:val="32"/>
          <w:szCs w:val="32"/>
          <w:shd w:val="clear" w:fill="FFFFFF"/>
          <w:lang w:val="en-US" w:eastAsia="zh-CN" w:bidi="ar"/>
        </w:rPr>
        <w:t>2021年未安排因公出国（境）经费预算，与上年持平。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七、2021年政府性基金预算收支及变化情况的说明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广元市航务管理局广元航道段2021年没有使用政府性基金预算拨款安排的支出。2021年本单位未在政府性基金预算拨款安排“三公经费”支出。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八、国有资本经营预算支出情况说明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广元市航务管理局广元航道段2021年没有使用国有资本经营预算拨款安排的支出。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kern w:val="0"/>
          <w:sz w:val="32"/>
          <w:szCs w:val="32"/>
          <w:shd w:val="clear" w:fill="FFFFFF"/>
          <w:lang w:val="en-US" w:eastAsia="zh-CN" w:bidi="ar"/>
        </w:rPr>
        <w:t>九、其他重要事项的情况说明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68"/>
        <w:jc w:val="both"/>
        <w:textAlignment w:val="auto"/>
        <w:outlineLvl w:val="9"/>
        <w:rPr>
          <w:rFonts w:hint="eastAsia" w:ascii="楷体" w:hAnsi="楷体" w:eastAsia="楷体" w:cs="楷体"/>
          <w:i w:val="0"/>
          <w:iCs w:val="0"/>
          <w:caps w:val="0"/>
          <w:color w:val="000000"/>
          <w:spacing w:val="0"/>
          <w:kern w:val="0"/>
          <w:sz w:val="32"/>
          <w:szCs w:val="32"/>
          <w:shd w:val="clear" w:fill="FFFFFF"/>
          <w:lang w:val="en-US" w:eastAsia="zh-CN" w:bidi="ar"/>
        </w:rPr>
      </w:pPr>
      <w:r>
        <w:rPr>
          <w:rFonts w:hint="eastAsia" w:ascii="楷体_GB2312" w:hAnsi="helvetica" w:eastAsia="楷体_GB2312" w:cs="楷体_GB2312"/>
          <w:color w:val="auto"/>
          <w:kern w:val="0"/>
          <w:sz w:val="32"/>
          <w:szCs w:val="32"/>
          <w:lang w:val="en-US" w:eastAsia="zh-CN" w:bidi="ar"/>
        </w:rPr>
        <w:t>（一）机关运行经费。</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2021年，</w:t>
      </w:r>
      <w:r>
        <w:rPr>
          <w:rFonts w:hint="eastAsia" w:ascii="仿宋" w:hAnsi="仿宋" w:eastAsia="仿宋"/>
          <w:bCs/>
          <w:color w:val="000000"/>
          <w:sz w:val="32"/>
          <w:szCs w:val="32"/>
        </w:rPr>
        <w:t>广元市航务管理局</w:t>
      </w:r>
      <w:r>
        <w:rPr>
          <w:rFonts w:hint="eastAsia" w:ascii="仿宋" w:hAnsi="仿宋" w:eastAsia="仿宋"/>
          <w:bCs/>
          <w:color w:val="000000"/>
          <w:sz w:val="32"/>
          <w:szCs w:val="32"/>
          <w:lang w:eastAsia="zh-CN"/>
        </w:rPr>
        <w:t>广元</w:t>
      </w:r>
      <w:r>
        <w:rPr>
          <w:rFonts w:hint="eastAsia" w:ascii="仿宋" w:hAnsi="仿宋" w:eastAsia="仿宋"/>
          <w:bCs/>
          <w:color w:val="000000"/>
          <w:sz w:val="32"/>
          <w:szCs w:val="32"/>
        </w:rPr>
        <w:t>航道段</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的机关运行经费财政拨款预算为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万元，与上年持平，主要原因是本单位属于其他事业单位，不产生机关运行经费。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楷体" w:hAnsi="楷体" w:eastAsia="楷体" w:cs="楷体"/>
          <w:i w:val="0"/>
          <w:iCs w:val="0"/>
          <w:caps w:val="0"/>
          <w:color w:val="000000"/>
          <w:spacing w:val="0"/>
          <w:kern w:val="0"/>
          <w:sz w:val="32"/>
          <w:szCs w:val="32"/>
          <w:shd w:val="clear" w:fill="FFFFFF"/>
          <w:lang w:val="en-US" w:eastAsia="zh-CN" w:bidi="ar"/>
        </w:rPr>
        <w:t>（二）国有资产占有使用情况。</w:t>
      </w:r>
      <w:r>
        <w:rPr>
          <w:rFonts w:hint="eastAsia" w:ascii="仿宋" w:hAnsi="仿宋" w:eastAsia="仿宋" w:cs="仿宋"/>
          <w:i w:val="0"/>
          <w:iCs w:val="0"/>
          <w:caps w:val="0"/>
          <w:color w:val="000000"/>
          <w:spacing w:val="0"/>
          <w:kern w:val="0"/>
          <w:sz w:val="32"/>
          <w:szCs w:val="32"/>
          <w:shd w:val="clear" w:fill="FFFFFF"/>
          <w:lang w:val="en-US" w:eastAsia="zh-CN" w:bidi="ar"/>
        </w:rPr>
        <w:t>2021年广元市航务管理局广元航道段共有公务用车1辆（车编在市航务管理局），其中执法执勤用车1辆。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lang w:eastAsia="zh-CN"/>
        </w:rPr>
        <w:t>三</w:t>
      </w:r>
      <w:r>
        <w:rPr>
          <w:rFonts w:hint="eastAsia" w:ascii="楷体" w:hAnsi="楷体" w:eastAsia="楷体" w:cs="楷体"/>
          <w:i w:val="0"/>
          <w:iCs w:val="0"/>
          <w:caps w:val="0"/>
          <w:color w:val="000000"/>
          <w:spacing w:val="0"/>
          <w:sz w:val="32"/>
          <w:szCs w:val="32"/>
          <w:shd w:val="clear" w:fill="FFFFFF"/>
        </w:rPr>
        <w:t>）部门政府采购预算0万元。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lang w:eastAsia="zh-CN"/>
        </w:rPr>
        <w:t>四</w:t>
      </w:r>
      <w:r>
        <w:rPr>
          <w:rFonts w:hint="eastAsia" w:ascii="楷体" w:hAnsi="楷体" w:eastAsia="楷体" w:cs="楷体"/>
          <w:i w:val="0"/>
          <w:iCs w:val="0"/>
          <w:caps w:val="0"/>
          <w:color w:val="000000"/>
          <w:spacing w:val="0"/>
          <w:sz w:val="32"/>
          <w:szCs w:val="32"/>
          <w:shd w:val="clear" w:fill="FFFFFF"/>
        </w:rPr>
        <w:t>）绩效目标设置情况。</w:t>
      </w:r>
      <w:r>
        <w:rPr>
          <w:rFonts w:hint="eastAsia" w:ascii="仿宋" w:hAnsi="仿宋" w:eastAsia="仿宋" w:cs="仿宋"/>
          <w:i w:val="0"/>
          <w:iCs w:val="0"/>
          <w:caps w:val="0"/>
          <w:color w:val="000000"/>
          <w:spacing w:val="0"/>
          <w:sz w:val="32"/>
          <w:szCs w:val="32"/>
          <w:shd w:val="clear" w:fill="FFFFFF"/>
        </w:rPr>
        <w:t>2021广元市航务管理局</w:t>
      </w:r>
      <w:r>
        <w:rPr>
          <w:rFonts w:hint="eastAsia" w:ascii="仿宋" w:hAnsi="仿宋" w:eastAsia="仿宋" w:cs="仿宋"/>
          <w:i w:val="0"/>
          <w:iCs w:val="0"/>
          <w:caps w:val="0"/>
          <w:color w:val="000000"/>
          <w:spacing w:val="0"/>
          <w:sz w:val="32"/>
          <w:szCs w:val="32"/>
          <w:shd w:val="clear" w:fill="FFFFFF"/>
          <w:lang w:eastAsia="zh-CN"/>
        </w:rPr>
        <w:t>广元航道段</w:t>
      </w:r>
      <w:r>
        <w:rPr>
          <w:rFonts w:hint="eastAsia" w:ascii="仿宋" w:hAnsi="仿宋" w:eastAsia="仿宋" w:cs="仿宋"/>
          <w:i w:val="0"/>
          <w:iCs w:val="0"/>
          <w:caps w:val="0"/>
          <w:color w:val="000000"/>
          <w:spacing w:val="0"/>
          <w:sz w:val="32"/>
          <w:szCs w:val="32"/>
          <w:shd w:val="clear" w:fill="FFFFFF"/>
        </w:rPr>
        <w:t>实行绩效目标管理的项目</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个涉及预算</w:t>
      </w:r>
      <w:r>
        <w:rPr>
          <w:rFonts w:hint="eastAsia" w:ascii="仿宋" w:hAnsi="仿宋" w:eastAsia="仿宋" w:cs="仿宋"/>
          <w:i w:val="0"/>
          <w:iCs w:val="0"/>
          <w:caps w:val="0"/>
          <w:color w:val="000000"/>
          <w:spacing w:val="0"/>
          <w:sz w:val="32"/>
          <w:szCs w:val="32"/>
          <w:shd w:val="clear" w:fill="FFFFFF"/>
          <w:lang w:val="en-US" w:eastAsia="zh-CN"/>
        </w:rPr>
        <w:t>7.28万元</w:t>
      </w:r>
      <w:r>
        <w:rPr>
          <w:rFonts w:hint="eastAsia" w:ascii="仿宋" w:hAnsi="仿宋" w:eastAsia="仿宋" w:cs="仿宋"/>
          <w:i w:val="0"/>
          <w:iCs w:val="0"/>
          <w:caps w:val="0"/>
          <w:color w:val="000000"/>
          <w:spacing w:val="0"/>
          <w:sz w:val="32"/>
          <w:szCs w:val="32"/>
          <w:shd w:val="clear" w:fill="FFFFFF"/>
        </w:rPr>
        <w:t>，其中，一般公共预算</w:t>
      </w:r>
      <w:r>
        <w:rPr>
          <w:rFonts w:hint="eastAsia" w:ascii="仿宋" w:hAnsi="仿宋" w:eastAsia="仿宋" w:cs="仿宋"/>
          <w:i w:val="0"/>
          <w:iCs w:val="0"/>
          <w:caps w:val="0"/>
          <w:color w:val="000000"/>
          <w:spacing w:val="0"/>
          <w:sz w:val="32"/>
          <w:szCs w:val="32"/>
          <w:shd w:val="clear" w:fill="FFFFFF"/>
          <w:lang w:val="en-US" w:eastAsia="zh-CN"/>
        </w:rPr>
        <w:t>7.28</w:t>
      </w:r>
      <w:r>
        <w:rPr>
          <w:rFonts w:hint="eastAsia" w:ascii="仿宋" w:hAnsi="仿宋" w:eastAsia="仿宋" w:cs="仿宋"/>
          <w:i w:val="0"/>
          <w:iCs w:val="0"/>
          <w:caps w:val="0"/>
          <w:color w:val="000000"/>
          <w:spacing w:val="0"/>
          <w:sz w:val="32"/>
          <w:szCs w:val="32"/>
          <w:shd w:val="clear" w:fill="FFFFFF"/>
        </w:rPr>
        <w:t>万元。（项目绩效目标设置详见附表）</w:t>
      </w:r>
    </w:p>
    <w:p>
      <w:pPr>
        <w:pStyle w:val="8"/>
        <w:keepNext w:val="0"/>
        <w:keepLines w:val="0"/>
        <w:widowControl/>
        <w:suppressLineNumbers w:val="0"/>
        <w:shd w:val="clear" w:color="auto" w:fill="FFFFFF"/>
        <w:spacing w:before="75" w:beforeAutospacing="0" w:after="75" w:afterAutospacing="0"/>
        <w:ind w:left="0" w:right="0" w:firstLine="640"/>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color="auto" w:fill="FFFFFF"/>
        </w:rPr>
        <w:t>十、名词解释</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（一）一般公共预算财政拨款收入：指市级财政当年拨付的资金。</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（二）上年结转：指以前年度尚未完成，结转到本年仍按原规定用途继续使用的资金。</w:t>
      </w:r>
    </w:p>
    <w:p>
      <w:pPr>
        <w:pStyle w:val="8"/>
        <w:keepNext w:val="0"/>
        <w:keepLines w:val="0"/>
        <w:widowControl/>
        <w:suppressLineNumbers w:val="0"/>
        <w:spacing w:before="75" w:beforeAutospacing="0" w:after="75" w:afterAutospacing="0"/>
        <w:ind w:right="0" w:firstLine="640" w:firstLineChars="200"/>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sz w:val="32"/>
          <w:szCs w:val="32"/>
          <w:lang w:val="en-US" w:eastAsia="zh-CN"/>
        </w:rPr>
        <w:t>（三）交通运输支出（类）公路水路运输（款）航道维护（项）：反映内河航道整治、维护方面的支出。</w:t>
      </w:r>
    </w:p>
    <w:p>
      <w:pPr>
        <w:pStyle w:val="8"/>
        <w:keepNext w:val="0"/>
        <w:keepLines w:val="0"/>
        <w:widowControl/>
        <w:numPr>
          <w:ilvl w:val="0"/>
          <w:numId w:val="0"/>
        </w:numPr>
        <w:suppressLineNumbers w:val="0"/>
        <w:spacing w:before="75" w:beforeAutospacing="0" w:after="75" w:afterAutospacing="0"/>
        <w:ind w:right="0" w:rightChars="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（四）社会保障和就业支出（类）行政事业单位养老支出（款）事业单位离退休（项）：反映事业单位开支的离退休经费。</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（五）社会保障和就业支出（类）行政事业单位养老支出（款）机关事业单位基本养老保险缴费支出（项）：反映机关事业单位实施养老保险制度由单位实际缴纳的基本养老保险支出。</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六）卫生健康支出（类）行政事业单位医疗（款）事业单位医疗（项）：反映财政部门安排的事业单位基本医疗保险缴费经费，未参加医疗保险的行政单位的公费医疗经费，按国家规定享受离休人员、红军老战士待遇人员的医疗经费。</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（七）住房保障支出（类）住房改革支出（款）住房公积金（项）：反映行政事业单位按人力资源和社会保障部、财政部规定的基本工资和津贴补贴以及规定比例为职工缴纳的住房公积金。</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（八）基本支出：指为保证机构正常运转，完成日常工作任务而发生的人员支出和公用支出。</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（九）项目支出：指在基本支出之外为完成特定行政任务和事业发展目标所发生的支出。</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十）“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8"/>
        <w:keepNext w:val="0"/>
        <w:keepLines w:val="0"/>
        <w:widowControl/>
        <w:suppressLineNumbers w:val="0"/>
        <w:spacing w:before="75" w:beforeAutospacing="0" w:after="75" w:afterAutospacing="0"/>
        <w:ind w:right="0" w:firstLine="640" w:firstLineChars="20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lang w:val="en-US" w:eastAsia="zh-CN" w:bidi="ar"/>
        </w:rPr>
        <w:t>（十一）机关运行经费：为保障行政单位（包括参照公务员法管理的事业单位）运行用于购买货物和服务的各项资金，包括办公及印刷费、邮电费、差旅费、会议费、培训费、福利费、日常维修费、办公用房水电费、办公用房物业管理费、公务用车运行维护费以及其他费用。因本单位属于其他事业单位，不产生机关运行经费。</w:t>
      </w:r>
      <w:bookmarkStart w:id="11" w:name="_GoBack"/>
      <w:bookmarkEnd w:id="1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rPr>
      </w:pP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Chars="20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附件1：2021年部门预算公开表</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Chars="200" w:right="0" w:rightChars="0" w:firstLine="640" w:firstLineChars="200"/>
        <w:jc w:val="both"/>
        <w:textAlignment w:val="auto"/>
        <w:outlineLvl w:val="9"/>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附件2：2021年部门预算绩效目标公开表</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华文中宋"/>
    <w:panose1 w:val="00000000000000000000"/>
    <w:charset w:val="00"/>
    <w:family w:val="auto"/>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MTNlZmIzZmNhYjY3MzVjOWM2OTBlY2M1MjA4NzcifQ=="/>
  </w:docVars>
  <w:rsids>
    <w:rsidRoot w:val="5BA52AA9"/>
    <w:rsid w:val="00AF5A0E"/>
    <w:rsid w:val="01FC240C"/>
    <w:rsid w:val="040A589B"/>
    <w:rsid w:val="04521440"/>
    <w:rsid w:val="0AEF2A42"/>
    <w:rsid w:val="117EEBD4"/>
    <w:rsid w:val="13895889"/>
    <w:rsid w:val="13F31284"/>
    <w:rsid w:val="147F317F"/>
    <w:rsid w:val="16F82055"/>
    <w:rsid w:val="1AC306D2"/>
    <w:rsid w:val="21514202"/>
    <w:rsid w:val="22F14EE1"/>
    <w:rsid w:val="24022E8E"/>
    <w:rsid w:val="245944B5"/>
    <w:rsid w:val="2BAD6CEF"/>
    <w:rsid w:val="2BB659DF"/>
    <w:rsid w:val="2CCE41B6"/>
    <w:rsid w:val="31F026E1"/>
    <w:rsid w:val="337659BB"/>
    <w:rsid w:val="394229AB"/>
    <w:rsid w:val="3AD24357"/>
    <w:rsid w:val="3D66290A"/>
    <w:rsid w:val="3F9B5BC7"/>
    <w:rsid w:val="44B02284"/>
    <w:rsid w:val="49DD1F78"/>
    <w:rsid w:val="4B8A1074"/>
    <w:rsid w:val="4C266DC1"/>
    <w:rsid w:val="4F195165"/>
    <w:rsid w:val="54DC4A9A"/>
    <w:rsid w:val="55150815"/>
    <w:rsid w:val="57C50577"/>
    <w:rsid w:val="58F01B6A"/>
    <w:rsid w:val="5A270115"/>
    <w:rsid w:val="5A3906E1"/>
    <w:rsid w:val="5BA52AA9"/>
    <w:rsid w:val="5F0F08C5"/>
    <w:rsid w:val="5FBC4C05"/>
    <w:rsid w:val="6A775680"/>
    <w:rsid w:val="6D2773EB"/>
    <w:rsid w:val="717E7D8A"/>
    <w:rsid w:val="736115F3"/>
    <w:rsid w:val="73D05D1F"/>
    <w:rsid w:val="77B96D29"/>
    <w:rsid w:val="78600EE9"/>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toc 3"/>
    <w:basedOn w:val="1"/>
    <w:next w:val="1"/>
    <w:unhideWhenUsed/>
    <w:qFormat/>
    <w:uiPriority w:val="39"/>
    <w:pPr>
      <w:tabs>
        <w:tab w:val="right" w:leader="dot" w:pos="8296"/>
      </w:tabs>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2714</Words>
  <Characters>3171</Characters>
  <Lines>0</Lines>
  <Paragraphs>0</Paragraphs>
  <TotalTime>2</TotalTime>
  <ScaleCrop>false</ScaleCrop>
  <LinksUpToDate>false</LinksUpToDate>
  <CharactersWithSpaces>3233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2022-06-09T17:55:00Z</dcterms:created>
  <dc:creator>浅笑</dc:creator>
  <cp:lastModifiedBy>user</cp:lastModifiedBy>
  <dcterms:modified xsi:type="dcterms:W3CDTF">2022-09-03T17:09:19Z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188EEDB299E842F68C69CAAB7A09E762</vt:lpwstr>
  </property>
</Properties>
</file>