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auto"/>
          <w:sz w:val="72"/>
          <w:szCs w:val="72"/>
        </w:rPr>
      </w:pPr>
      <w:bookmarkStart w:id="75" w:name="_GoBack"/>
      <w:bookmarkEnd w:id="75"/>
      <w:bookmarkStart w:id="0" w:name="_Toc15306267"/>
    </w:p>
    <w:p>
      <w:pPr>
        <w:spacing w:line="600" w:lineRule="exact"/>
        <w:jc w:val="center"/>
        <w:outlineLvl w:val="0"/>
        <w:rPr>
          <w:rFonts w:ascii="方正小标宋简体" w:hAnsi="宋体" w:eastAsia="方正小标宋简体"/>
          <w:color w:val="auto"/>
          <w:sz w:val="72"/>
          <w:szCs w:val="72"/>
        </w:rPr>
      </w:pPr>
    </w:p>
    <w:p>
      <w:pPr>
        <w:spacing w:line="600" w:lineRule="exact"/>
        <w:jc w:val="center"/>
        <w:outlineLvl w:val="0"/>
        <w:rPr>
          <w:rFonts w:ascii="方正小标宋简体" w:hAnsi="宋体" w:eastAsia="方正小标宋简体"/>
          <w:color w:val="auto"/>
          <w:sz w:val="72"/>
          <w:szCs w:val="72"/>
        </w:rPr>
      </w:pPr>
    </w:p>
    <w:bookmarkEnd w:id="0"/>
    <w:p>
      <w:pPr>
        <w:adjustRightInd w:val="0"/>
        <w:snapToGrid w:val="0"/>
        <w:spacing w:line="800" w:lineRule="exact"/>
        <w:jc w:val="center"/>
        <w:outlineLvl w:val="0"/>
        <w:rPr>
          <w:rFonts w:ascii="方正大标宋简体" w:hAnsi="方正大标宋简体" w:eastAsia="方正大标宋简体" w:cs="方正大标宋简体"/>
          <w:color w:val="auto"/>
          <w:sz w:val="72"/>
          <w:szCs w:val="72"/>
        </w:rPr>
      </w:pPr>
      <w:bookmarkStart w:id="1" w:name="_Toc15378441"/>
      <w:bookmarkStart w:id="2" w:name="_Toc15377425"/>
      <w:bookmarkStart w:id="3" w:name="_Toc15377193"/>
      <w:bookmarkStart w:id="4" w:name="_Toc15396597"/>
      <w:bookmarkStart w:id="5" w:name="_Toc15396475"/>
      <w:r>
        <w:rPr>
          <w:rFonts w:ascii="方正大标宋简体" w:hAnsi="方正大标宋简体" w:eastAsia="方正大标宋简体" w:cs="方正大标宋简体"/>
          <w:color w:val="auto"/>
          <w:sz w:val="72"/>
          <w:szCs w:val="72"/>
        </w:rPr>
        <w:t>20</w:t>
      </w:r>
      <w:r>
        <w:rPr>
          <w:rFonts w:hint="eastAsia" w:ascii="方正大标宋简体" w:hAnsi="方正大标宋简体" w:eastAsia="方正大标宋简体" w:cs="方正大标宋简体"/>
          <w:color w:val="auto"/>
          <w:sz w:val="72"/>
          <w:szCs w:val="72"/>
        </w:rPr>
        <w:t>20年度</w:t>
      </w:r>
      <w:bookmarkEnd w:id="1"/>
      <w:bookmarkEnd w:id="2"/>
      <w:bookmarkEnd w:id="3"/>
      <w:bookmarkEnd w:id="4"/>
      <w:bookmarkEnd w:id="5"/>
    </w:p>
    <w:p>
      <w:pPr>
        <w:adjustRightInd w:val="0"/>
        <w:snapToGrid w:val="0"/>
        <w:spacing w:line="800" w:lineRule="exact"/>
        <w:jc w:val="center"/>
        <w:outlineLvl w:val="0"/>
        <w:rPr>
          <w:rFonts w:ascii="方正大标宋简体" w:hAnsi="方正大标宋简体" w:eastAsia="方正大标宋简体" w:cs="方正大标宋简体"/>
          <w:color w:val="auto"/>
          <w:sz w:val="72"/>
          <w:szCs w:val="72"/>
        </w:rPr>
      </w:pPr>
      <w:bookmarkStart w:id="6" w:name="_Toc15396476"/>
      <w:bookmarkStart w:id="7" w:name="_Toc15378442"/>
      <w:bookmarkStart w:id="8" w:name="_Toc15377194"/>
      <w:bookmarkStart w:id="9" w:name="_Toc15306268"/>
      <w:bookmarkStart w:id="10" w:name="_Toc15377426"/>
      <w:bookmarkStart w:id="11" w:name="_Toc15396598"/>
      <w:r>
        <w:rPr>
          <w:rFonts w:hint="eastAsia" w:ascii="方正大标宋简体" w:hAnsi="方正大标宋简体" w:eastAsia="方正大标宋简体" w:cs="方正大标宋简体"/>
          <w:color w:val="auto"/>
          <w:sz w:val="72"/>
          <w:szCs w:val="72"/>
        </w:rPr>
        <w:t>中共广元市委统战部决算</w:t>
      </w:r>
      <w:bookmarkEnd w:id="6"/>
      <w:bookmarkEnd w:id="7"/>
      <w:bookmarkEnd w:id="8"/>
      <w:bookmarkEnd w:id="9"/>
      <w:bookmarkEnd w:id="10"/>
      <w:bookmarkEnd w:id="11"/>
    </w:p>
    <w:p>
      <w:pPr>
        <w:adjustRightInd w:val="0"/>
        <w:snapToGrid w:val="0"/>
        <w:spacing w:line="800" w:lineRule="exact"/>
        <w:jc w:val="center"/>
        <w:outlineLvl w:val="0"/>
        <w:rPr>
          <w:rFonts w:ascii="方正大标宋简体" w:hAnsi="方正大标宋简体" w:eastAsia="方正大标宋简体" w:cs="方正大标宋简体"/>
          <w:color w:val="auto"/>
          <w:sz w:val="72"/>
          <w:szCs w:val="72"/>
        </w:rPr>
      </w:pPr>
    </w:p>
    <w:p>
      <w:pPr>
        <w:adjustRightInd w:val="0"/>
        <w:snapToGrid w:val="0"/>
        <w:spacing w:line="800" w:lineRule="exact"/>
        <w:jc w:val="center"/>
        <w:outlineLvl w:val="0"/>
        <w:rPr>
          <w:rFonts w:ascii="方正大标宋简体" w:hAnsi="方正大标宋简体" w:eastAsia="方正大标宋简体" w:cs="方正大标宋简体"/>
          <w:color w:val="auto"/>
          <w:sz w:val="72"/>
          <w:szCs w:val="72"/>
        </w:rPr>
      </w:pPr>
    </w:p>
    <w:p>
      <w:pPr>
        <w:adjustRightInd w:val="0"/>
        <w:snapToGrid w:val="0"/>
        <w:spacing w:line="800" w:lineRule="exact"/>
        <w:jc w:val="center"/>
        <w:outlineLvl w:val="0"/>
        <w:rPr>
          <w:rFonts w:ascii="方正大标宋简体" w:hAnsi="方正大标宋简体" w:eastAsia="方正大标宋简体" w:cs="方正大标宋简体"/>
          <w:color w:val="auto"/>
          <w:sz w:val="72"/>
          <w:szCs w:val="72"/>
        </w:rPr>
      </w:pPr>
      <w:r>
        <w:rPr>
          <w:rFonts w:hint="eastAsia" w:ascii="方正大标宋简体" w:hAnsi="方正大标宋简体" w:eastAsia="方正大标宋简体" w:cs="方正大标宋简体"/>
          <w:color w:val="auto"/>
          <w:sz w:val="72"/>
          <w:szCs w:val="72"/>
        </w:rPr>
        <w:t>编</w:t>
      </w:r>
    </w:p>
    <w:p>
      <w:pPr>
        <w:adjustRightInd w:val="0"/>
        <w:snapToGrid w:val="0"/>
        <w:spacing w:line="800" w:lineRule="exact"/>
        <w:jc w:val="center"/>
        <w:outlineLvl w:val="0"/>
        <w:rPr>
          <w:rFonts w:ascii="方正大标宋简体" w:hAnsi="方正大标宋简体" w:eastAsia="方正大标宋简体" w:cs="方正大标宋简体"/>
          <w:color w:val="auto"/>
          <w:sz w:val="72"/>
          <w:szCs w:val="72"/>
        </w:rPr>
      </w:pPr>
    </w:p>
    <w:p>
      <w:pPr>
        <w:adjustRightInd w:val="0"/>
        <w:snapToGrid w:val="0"/>
        <w:spacing w:line="800" w:lineRule="exact"/>
        <w:jc w:val="center"/>
        <w:outlineLvl w:val="0"/>
        <w:rPr>
          <w:rFonts w:ascii="方正大标宋简体" w:hAnsi="方正大标宋简体" w:eastAsia="方正大标宋简体" w:cs="方正大标宋简体"/>
          <w:color w:val="auto"/>
          <w:sz w:val="72"/>
          <w:szCs w:val="72"/>
        </w:rPr>
      </w:pPr>
      <w:r>
        <w:rPr>
          <w:rFonts w:hint="eastAsia" w:ascii="方正大标宋简体" w:hAnsi="方正大标宋简体" w:eastAsia="方正大标宋简体" w:cs="方正大标宋简体"/>
          <w:color w:val="auto"/>
          <w:sz w:val="72"/>
          <w:szCs w:val="72"/>
        </w:rPr>
        <w:t>制</w:t>
      </w:r>
    </w:p>
    <w:p>
      <w:pPr>
        <w:adjustRightInd w:val="0"/>
        <w:snapToGrid w:val="0"/>
        <w:spacing w:line="800" w:lineRule="exact"/>
        <w:jc w:val="center"/>
        <w:outlineLvl w:val="0"/>
        <w:rPr>
          <w:rFonts w:ascii="方正大标宋简体" w:hAnsi="方正大标宋简体" w:eastAsia="方正大标宋简体" w:cs="方正大标宋简体"/>
          <w:color w:val="auto"/>
          <w:sz w:val="72"/>
          <w:szCs w:val="72"/>
        </w:rPr>
      </w:pPr>
    </w:p>
    <w:p>
      <w:pPr>
        <w:adjustRightInd w:val="0"/>
        <w:snapToGrid w:val="0"/>
        <w:spacing w:line="800" w:lineRule="exact"/>
        <w:jc w:val="center"/>
        <w:outlineLvl w:val="0"/>
        <w:rPr>
          <w:rFonts w:ascii="方正大标宋简体" w:hAnsi="方正大标宋简体" w:eastAsia="方正大标宋简体" w:cs="方正大标宋简体"/>
          <w:color w:val="auto"/>
          <w:sz w:val="72"/>
          <w:szCs w:val="72"/>
        </w:rPr>
      </w:pPr>
      <w:r>
        <w:rPr>
          <w:rFonts w:hint="eastAsia" w:ascii="方正大标宋简体" w:hAnsi="方正大标宋简体" w:eastAsia="方正大标宋简体" w:cs="方正大标宋简体"/>
          <w:color w:val="auto"/>
          <w:sz w:val="72"/>
          <w:szCs w:val="72"/>
        </w:rPr>
        <w:t>说</w:t>
      </w:r>
    </w:p>
    <w:p>
      <w:pPr>
        <w:widowControl/>
        <w:spacing w:line="800" w:lineRule="exact"/>
        <w:jc w:val="center"/>
        <w:rPr>
          <w:rFonts w:ascii="方正大标宋简体" w:hAnsi="方正大标宋简体" w:eastAsia="方正大标宋简体" w:cs="方正大标宋简体"/>
          <w:color w:val="auto"/>
          <w:sz w:val="72"/>
          <w:szCs w:val="72"/>
        </w:rPr>
      </w:pPr>
    </w:p>
    <w:p>
      <w:pPr>
        <w:widowControl/>
        <w:jc w:val="center"/>
        <w:rPr>
          <w:rFonts w:hint="eastAsia" w:ascii="方正大标宋简体" w:hAnsi="方正大标宋简体" w:eastAsia="方正大标宋简体" w:cs="方正大标宋简体"/>
          <w:color w:val="auto"/>
          <w:sz w:val="72"/>
          <w:szCs w:val="72"/>
        </w:rPr>
      </w:pPr>
      <w:r>
        <w:rPr>
          <w:rFonts w:hint="eastAsia" w:ascii="方正大标宋简体" w:hAnsi="方正大标宋简体" w:eastAsia="方正大标宋简体" w:cs="方正大标宋简体"/>
          <w:color w:val="auto"/>
          <w:sz w:val="72"/>
          <w:szCs w:val="72"/>
        </w:rPr>
        <w:t>明</w:t>
      </w:r>
    </w:p>
    <w:p>
      <w:pPr>
        <w:widowControl/>
        <w:jc w:val="center"/>
        <w:rPr>
          <w:rFonts w:hint="eastAsia" w:ascii="方正小标宋简体" w:hAnsi="黑体" w:eastAsia="方正小标宋简体"/>
          <w:color w:val="auto"/>
          <w:sz w:val="48"/>
          <w:szCs w:val="48"/>
        </w:rPr>
      </w:pPr>
      <w:r>
        <w:rPr>
          <w:rFonts w:hint="eastAsia" w:ascii="方正大标宋简体" w:hAnsi="方正大标宋简体" w:eastAsia="方正大标宋简体" w:cs="方正大标宋简体"/>
          <w:color w:val="auto"/>
          <w:sz w:val="72"/>
          <w:szCs w:val="72"/>
        </w:rPr>
        <w:br w:type="page"/>
      </w:r>
      <w:r>
        <w:rPr>
          <w:rFonts w:hint="eastAsia" w:ascii="方正小标宋简体" w:hAnsi="黑体" w:eastAsia="方正小标宋简体"/>
          <w:color w:val="auto"/>
          <w:sz w:val="48"/>
          <w:szCs w:val="48"/>
        </w:rPr>
        <w:t>目    录</w:t>
      </w:r>
    </w:p>
    <w:p>
      <w:pPr>
        <w:pStyle w:val="11"/>
        <w:rPr>
          <w:color w:val="auto"/>
          <w:sz w:val="32"/>
          <w:szCs w:val="32"/>
        </w:rPr>
      </w:pPr>
      <w:r>
        <w:rPr>
          <w:rFonts w:hint="eastAsia"/>
          <w:color w:val="auto"/>
          <w:sz w:val="32"/>
          <w:szCs w:val="32"/>
        </w:rPr>
        <w:t>公开时间：</w:t>
      </w:r>
      <w:r>
        <w:rPr>
          <w:color w:val="auto"/>
          <w:sz w:val="32"/>
          <w:szCs w:val="32"/>
        </w:rPr>
        <w:t>2021</w:t>
      </w:r>
      <w:r>
        <w:rPr>
          <w:rFonts w:hint="eastAsia"/>
          <w:color w:val="auto"/>
          <w:sz w:val="32"/>
          <w:szCs w:val="32"/>
        </w:rPr>
        <w:t>年9月20日</w:t>
      </w:r>
    </w:p>
    <w:p>
      <w:pPr>
        <w:rPr>
          <w:color w:val="auto"/>
        </w:rPr>
      </w:pPr>
    </w:p>
    <w:p>
      <w:pPr>
        <w:pStyle w:val="11"/>
        <w:tabs>
          <w:tab w:val="left" w:leader="dot" w:pos="7350"/>
        </w:tabs>
        <w:adjustRightInd w:val="0"/>
        <w:snapToGrid w:val="0"/>
        <w:spacing w:before="0" w:line="440" w:lineRule="exact"/>
        <w:jc w:val="left"/>
        <w:rPr>
          <w:rFonts w:hint="eastAsia" w:ascii="黑体" w:hAnsi="黑体" w:eastAsia="黑体"/>
          <w:color w:val="auto"/>
        </w:rPr>
      </w:pPr>
      <w:r>
        <w:rPr>
          <w:rFonts w:hint="eastAsia" w:ascii="黑体" w:hAnsi="黑体" w:eastAsia="黑体"/>
          <w:color w:val="auto"/>
        </w:rPr>
        <w:t>第一部分  部门概况</w:t>
      </w:r>
      <w:r>
        <w:rPr>
          <w:rFonts w:hint="eastAsia" w:ascii="楷体_GB2312" w:hAnsi="Times New Roman" w:eastAsia="楷体_GB2312"/>
          <w:color w:val="auto"/>
        </w:rPr>
        <w:tab/>
      </w:r>
      <w:r>
        <w:rPr>
          <w:rFonts w:hint="eastAsia" w:ascii="楷体_GB2312" w:hAnsi="Times New Roman" w:eastAsia="楷体_GB2312"/>
          <w:color w:val="auto"/>
        </w:rPr>
        <w:tab/>
      </w:r>
      <w:r>
        <w:rPr>
          <w:rFonts w:hint="eastAsia" w:ascii="黑体" w:hAnsi="黑体" w:eastAsia="黑体"/>
          <w:color w:val="auto"/>
        </w:rPr>
        <w:tab/>
      </w:r>
      <w:r>
        <w:rPr>
          <w:rFonts w:hint="eastAsia" w:ascii="黑体" w:hAnsi="黑体" w:eastAsia="黑体"/>
          <w:color w:val="auto"/>
        </w:rPr>
        <w:t>01</w:t>
      </w:r>
    </w:p>
    <w:p>
      <w:pPr>
        <w:pStyle w:val="12"/>
        <w:tabs>
          <w:tab w:val="left" w:leader="dot" w:pos="7350"/>
        </w:tabs>
        <w:adjustRightInd w:val="0"/>
        <w:snapToGrid w:val="0"/>
        <w:spacing w:line="440" w:lineRule="exact"/>
        <w:ind w:left="0" w:leftChars="0" w:firstLine="560" w:firstLineChars="200"/>
        <w:jc w:val="left"/>
        <w:rPr>
          <w:rFonts w:hint="eastAsia" w:ascii="楷体_GB2312" w:hAnsi="仿宋" w:eastAsia="楷体_GB2312"/>
          <w:color w:val="auto"/>
          <w:sz w:val="28"/>
          <w:szCs w:val="28"/>
        </w:rPr>
      </w:pPr>
      <w:r>
        <w:rPr>
          <w:rFonts w:hint="eastAsia" w:ascii="楷体_GB2312" w:eastAsia="楷体_GB2312"/>
          <w:color w:val="auto"/>
          <w:sz w:val="28"/>
          <w:szCs w:val="28"/>
        </w:rPr>
        <w:t>一、基本职能及主要工作</w:t>
      </w:r>
      <w:r>
        <w:rPr>
          <w:rFonts w:hint="eastAsia" w:ascii="楷体_GB2312" w:eastAsia="楷体_GB2312"/>
          <w:color w:val="auto"/>
          <w:sz w:val="28"/>
          <w:szCs w:val="28"/>
        </w:rPr>
        <w:tab/>
      </w:r>
      <w:r>
        <w:rPr>
          <w:rFonts w:hint="eastAsia" w:ascii="楷体_GB2312" w:eastAsia="楷体_GB2312"/>
          <w:color w:val="auto"/>
          <w:sz w:val="28"/>
          <w:szCs w:val="28"/>
        </w:rPr>
        <w:tab/>
      </w:r>
      <w:r>
        <w:rPr>
          <w:rFonts w:hint="eastAsia" w:ascii="楷体_GB2312" w:eastAsia="楷体_GB2312"/>
          <w:color w:val="auto"/>
          <w:sz w:val="28"/>
          <w:szCs w:val="28"/>
        </w:rPr>
        <w:tab/>
      </w:r>
      <w:r>
        <w:rPr>
          <w:rFonts w:hint="eastAsia" w:ascii="楷体_GB2312" w:eastAsia="楷体_GB2312"/>
          <w:color w:val="auto"/>
          <w:sz w:val="28"/>
          <w:szCs w:val="28"/>
        </w:rPr>
        <w:t>01</w:t>
      </w:r>
    </w:p>
    <w:p>
      <w:pPr>
        <w:pStyle w:val="12"/>
        <w:tabs>
          <w:tab w:val="left" w:leader="dot" w:pos="7350"/>
        </w:tabs>
        <w:adjustRightInd w:val="0"/>
        <w:snapToGrid w:val="0"/>
        <w:spacing w:line="440" w:lineRule="exact"/>
        <w:ind w:left="0" w:leftChars="0" w:firstLine="560" w:firstLineChars="200"/>
        <w:jc w:val="left"/>
        <w:rPr>
          <w:rFonts w:hint="eastAsia" w:ascii="楷体_GB2312" w:hAnsi="仿宋" w:eastAsia="楷体_GB2312"/>
          <w:color w:val="auto"/>
          <w:sz w:val="28"/>
          <w:szCs w:val="28"/>
        </w:rPr>
      </w:pPr>
      <w:r>
        <w:rPr>
          <w:rFonts w:hint="eastAsia" w:ascii="楷体_GB2312" w:eastAsia="楷体_GB2312"/>
          <w:color w:val="auto"/>
          <w:sz w:val="28"/>
          <w:szCs w:val="28"/>
        </w:rPr>
        <w:t>二、机构设置</w:t>
      </w:r>
      <w:r>
        <w:rPr>
          <w:rFonts w:hint="eastAsia" w:ascii="楷体_GB2312" w:eastAsia="楷体_GB2312"/>
          <w:color w:val="auto"/>
          <w:sz w:val="28"/>
          <w:szCs w:val="28"/>
        </w:rPr>
        <w:tab/>
      </w:r>
      <w:r>
        <w:rPr>
          <w:rFonts w:hint="eastAsia" w:ascii="楷体_GB2312" w:eastAsia="楷体_GB2312"/>
          <w:color w:val="auto"/>
          <w:sz w:val="28"/>
          <w:szCs w:val="28"/>
        </w:rPr>
        <w:tab/>
      </w:r>
      <w:r>
        <w:rPr>
          <w:rFonts w:hint="eastAsia" w:ascii="楷体_GB2312" w:eastAsia="楷体_GB2312"/>
          <w:color w:val="auto"/>
          <w:sz w:val="28"/>
          <w:szCs w:val="28"/>
        </w:rPr>
        <w:tab/>
      </w:r>
      <w:r>
        <w:rPr>
          <w:rFonts w:hint="eastAsia" w:ascii="楷体_GB2312" w:eastAsia="楷体_GB2312"/>
          <w:color w:val="auto"/>
          <w:sz w:val="28"/>
          <w:szCs w:val="28"/>
        </w:rPr>
        <w:t>07</w:t>
      </w:r>
    </w:p>
    <w:p>
      <w:pPr>
        <w:pStyle w:val="11"/>
        <w:tabs>
          <w:tab w:val="left" w:leader="dot" w:pos="7350"/>
        </w:tabs>
        <w:adjustRightInd w:val="0"/>
        <w:snapToGrid w:val="0"/>
        <w:spacing w:before="0" w:line="440" w:lineRule="exact"/>
        <w:jc w:val="left"/>
        <w:rPr>
          <w:rFonts w:hint="eastAsia" w:ascii="黑体" w:hAnsi="黑体" w:eastAsia="黑体"/>
          <w:color w:val="auto"/>
        </w:rPr>
      </w:pPr>
      <w:r>
        <w:rPr>
          <w:rFonts w:hint="eastAsia" w:ascii="黑体" w:hAnsi="黑体" w:eastAsia="黑体"/>
          <w:color w:val="auto"/>
        </w:rPr>
        <w:t>第二部分  2020年度部门决算情况说明</w:t>
      </w:r>
      <w:r>
        <w:rPr>
          <w:rFonts w:hint="eastAsia" w:ascii="楷体_GB2312" w:hAnsi="Times New Roman" w:eastAsia="楷体_GB2312"/>
          <w:color w:val="auto"/>
        </w:rPr>
        <w:tab/>
      </w:r>
      <w:r>
        <w:rPr>
          <w:rFonts w:hint="eastAsia" w:ascii="楷体_GB2312" w:hAnsi="Times New Roman" w:eastAsia="楷体_GB2312"/>
          <w:color w:val="auto"/>
        </w:rPr>
        <w:tab/>
      </w:r>
      <w:r>
        <w:rPr>
          <w:rFonts w:hint="eastAsia" w:ascii="黑体" w:hAnsi="黑体" w:eastAsia="黑体"/>
          <w:color w:val="auto"/>
        </w:rPr>
        <w:tab/>
      </w:r>
      <w:r>
        <w:rPr>
          <w:rFonts w:hint="eastAsia" w:ascii="黑体" w:hAnsi="黑体" w:eastAsia="黑体"/>
          <w:color w:val="auto"/>
        </w:rPr>
        <w:t>08</w:t>
      </w:r>
    </w:p>
    <w:p>
      <w:pPr>
        <w:pStyle w:val="12"/>
        <w:tabs>
          <w:tab w:val="left" w:leader="dot" w:pos="7350"/>
        </w:tabs>
        <w:adjustRightInd w:val="0"/>
        <w:snapToGrid w:val="0"/>
        <w:spacing w:line="440" w:lineRule="exact"/>
        <w:ind w:left="0" w:leftChars="0" w:firstLine="560" w:firstLineChars="200"/>
        <w:jc w:val="left"/>
        <w:rPr>
          <w:rFonts w:hint="eastAsia" w:ascii="楷体_GB2312" w:hAnsi="仿宋" w:eastAsia="楷体_GB2312"/>
          <w:color w:val="auto"/>
          <w:sz w:val="28"/>
          <w:szCs w:val="28"/>
        </w:rPr>
      </w:pPr>
      <w:r>
        <w:rPr>
          <w:rFonts w:hint="eastAsia" w:ascii="楷体_GB2312" w:eastAsia="楷体_GB2312"/>
          <w:color w:val="auto"/>
          <w:sz w:val="28"/>
          <w:szCs w:val="28"/>
        </w:rPr>
        <w:t>一、收入支出决算总体情况说明</w:t>
      </w:r>
      <w:r>
        <w:rPr>
          <w:rFonts w:hint="eastAsia" w:ascii="楷体_GB2312" w:eastAsia="楷体_GB2312"/>
          <w:color w:val="auto"/>
          <w:sz w:val="28"/>
          <w:szCs w:val="28"/>
        </w:rPr>
        <w:tab/>
      </w:r>
      <w:r>
        <w:rPr>
          <w:rFonts w:hint="eastAsia" w:ascii="楷体_GB2312" w:eastAsia="楷体_GB2312"/>
          <w:color w:val="auto"/>
          <w:sz w:val="28"/>
          <w:szCs w:val="28"/>
        </w:rPr>
        <w:tab/>
      </w:r>
      <w:r>
        <w:rPr>
          <w:rFonts w:hint="eastAsia" w:ascii="楷体_GB2312" w:eastAsia="楷体_GB2312"/>
          <w:color w:val="auto"/>
          <w:sz w:val="28"/>
          <w:szCs w:val="28"/>
        </w:rPr>
        <w:tab/>
      </w:r>
      <w:r>
        <w:rPr>
          <w:rFonts w:hint="eastAsia" w:ascii="楷体_GB2312" w:eastAsia="楷体_GB2312"/>
          <w:color w:val="auto"/>
          <w:sz w:val="28"/>
          <w:szCs w:val="28"/>
        </w:rPr>
        <w:t>08</w:t>
      </w:r>
    </w:p>
    <w:p>
      <w:pPr>
        <w:pStyle w:val="12"/>
        <w:tabs>
          <w:tab w:val="left" w:leader="dot" w:pos="7350"/>
        </w:tabs>
        <w:adjustRightInd w:val="0"/>
        <w:snapToGrid w:val="0"/>
        <w:spacing w:line="440" w:lineRule="exact"/>
        <w:ind w:left="0" w:leftChars="0" w:firstLine="560" w:firstLineChars="200"/>
        <w:jc w:val="left"/>
        <w:rPr>
          <w:rFonts w:hint="eastAsia" w:ascii="楷体_GB2312" w:hAnsi="仿宋" w:eastAsia="楷体_GB2312"/>
          <w:color w:val="auto"/>
          <w:sz w:val="28"/>
          <w:szCs w:val="28"/>
        </w:rPr>
      </w:pPr>
      <w:r>
        <w:rPr>
          <w:rFonts w:hint="eastAsia" w:ascii="楷体_GB2312" w:eastAsia="楷体_GB2312"/>
          <w:color w:val="auto"/>
          <w:sz w:val="28"/>
          <w:szCs w:val="28"/>
        </w:rPr>
        <w:t>二、收入决算情况说明</w:t>
      </w:r>
      <w:r>
        <w:rPr>
          <w:rFonts w:hint="eastAsia" w:ascii="楷体_GB2312" w:eastAsia="楷体_GB2312"/>
          <w:color w:val="auto"/>
          <w:sz w:val="28"/>
          <w:szCs w:val="28"/>
        </w:rPr>
        <w:tab/>
      </w:r>
      <w:r>
        <w:rPr>
          <w:rFonts w:hint="eastAsia" w:ascii="楷体_GB2312" w:eastAsia="楷体_GB2312"/>
          <w:color w:val="auto"/>
          <w:sz w:val="28"/>
          <w:szCs w:val="28"/>
        </w:rPr>
        <w:tab/>
      </w:r>
      <w:r>
        <w:rPr>
          <w:rFonts w:hint="eastAsia" w:ascii="楷体_GB2312" w:eastAsia="楷体_GB2312"/>
          <w:color w:val="auto"/>
          <w:sz w:val="28"/>
          <w:szCs w:val="28"/>
        </w:rPr>
        <w:tab/>
      </w:r>
      <w:r>
        <w:rPr>
          <w:rFonts w:hint="eastAsia" w:ascii="楷体_GB2312" w:eastAsia="楷体_GB2312"/>
          <w:color w:val="auto"/>
          <w:sz w:val="28"/>
          <w:szCs w:val="28"/>
        </w:rPr>
        <w:t>08</w:t>
      </w:r>
    </w:p>
    <w:p>
      <w:pPr>
        <w:pStyle w:val="12"/>
        <w:tabs>
          <w:tab w:val="left" w:leader="dot" w:pos="7350"/>
        </w:tabs>
        <w:adjustRightInd w:val="0"/>
        <w:snapToGrid w:val="0"/>
        <w:spacing w:line="440" w:lineRule="exact"/>
        <w:ind w:left="0" w:leftChars="0" w:firstLine="560" w:firstLineChars="200"/>
        <w:jc w:val="left"/>
        <w:rPr>
          <w:rFonts w:hint="eastAsia" w:ascii="楷体_GB2312" w:hAnsi="仿宋" w:eastAsia="楷体_GB2312"/>
          <w:color w:val="auto"/>
          <w:sz w:val="28"/>
          <w:szCs w:val="28"/>
        </w:rPr>
      </w:pPr>
      <w:r>
        <w:rPr>
          <w:rFonts w:hint="eastAsia" w:ascii="楷体_GB2312" w:eastAsia="楷体_GB2312"/>
          <w:color w:val="auto"/>
          <w:sz w:val="28"/>
          <w:szCs w:val="28"/>
        </w:rPr>
        <w:t>三、支出决算情况说明</w:t>
      </w:r>
      <w:r>
        <w:rPr>
          <w:rFonts w:hint="eastAsia" w:ascii="楷体_GB2312" w:eastAsia="楷体_GB2312"/>
          <w:color w:val="auto"/>
          <w:sz w:val="28"/>
          <w:szCs w:val="28"/>
        </w:rPr>
        <w:tab/>
      </w:r>
      <w:r>
        <w:rPr>
          <w:rFonts w:hint="eastAsia" w:ascii="楷体_GB2312" w:eastAsia="楷体_GB2312"/>
          <w:color w:val="auto"/>
          <w:sz w:val="28"/>
          <w:szCs w:val="28"/>
        </w:rPr>
        <w:tab/>
      </w:r>
      <w:r>
        <w:rPr>
          <w:rFonts w:hint="eastAsia" w:ascii="楷体_GB2312" w:eastAsia="楷体_GB2312"/>
          <w:color w:val="auto"/>
          <w:sz w:val="28"/>
          <w:szCs w:val="28"/>
        </w:rPr>
        <w:tab/>
      </w:r>
      <w:r>
        <w:rPr>
          <w:rFonts w:hint="eastAsia" w:ascii="楷体_GB2312" w:eastAsia="楷体_GB2312"/>
          <w:color w:val="auto"/>
          <w:sz w:val="28"/>
          <w:szCs w:val="28"/>
        </w:rPr>
        <w:t>09</w:t>
      </w:r>
    </w:p>
    <w:p>
      <w:pPr>
        <w:pStyle w:val="12"/>
        <w:tabs>
          <w:tab w:val="left" w:leader="dot" w:pos="7350"/>
        </w:tabs>
        <w:adjustRightInd w:val="0"/>
        <w:snapToGrid w:val="0"/>
        <w:spacing w:line="440" w:lineRule="exact"/>
        <w:ind w:left="0" w:leftChars="0" w:firstLine="560" w:firstLineChars="200"/>
        <w:jc w:val="left"/>
        <w:rPr>
          <w:rFonts w:hint="eastAsia" w:ascii="楷体_GB2312" w:hAnsi="仿宋" w:eastAsia="楷体_GB2312"/>
          <w:color w:val="auto"/>
          <w:sz w:val="28"/>
          <w:szCs w:val="28"/>
        </w:rPr>
      </w:pPr>
      <w:r>
        <w:rPr>
          <w:rFonts w:hint="eastAsia" w:ascii="楷体_GB2312" w:eastAsia="楷体_GB2312"/>
          <w:color w:val="auto"/>
          <w:sz w:val="28"/>
          <w:szCs w:val="28"/>
        </w:rPr>
        <w:t>四、财政拨款收入支出决算总体情况说明</w:t>
      </w:r>
      <w:r>
        <w:rPr>
          <w:rFonts w:hint="eastAsia" w:ascii="楷体_GB2312" w:eastAsia="楷体_GB2312"/>
          <w:color w:val="auto"/>
          <w:sz w:val="28"/>
          <w:szCs w:val="28"/>
        </w:rPr>
        <w:tab/>
      </w:r>
      <w:r>
        <w:rPr>
          <w:rFonts w:hint="eastAsia" w:ascii="楷体_GB2312" w:eastAsia="楷体_GB2312"/>
          <w:color w:val="auto"/>
          <w:sz w:val="28"/>
          <w:szCs w:val="28"/>
        </w:rPr>
        <w:tab/>
      </w:r>
      <w:r>
        <w:rPr>
          <w:rFonts w:hint="eastAsia" w:ascii="楷体_GB2312" w:eastAsia="楷体_GB2312"/>
          <w:color w:val="auto"/>
          <w:sz w:val="28"/>
          <w:szCs w:val="28"/>
        </w:rPr>
        <w:tab/>
      </w:r>
      <w:r>
        <w:rPr>
          <w:rFonts w:hint="eastAsia" w:ascii="楷体_GB2312" w:eastAsia="楷体_GB2312"/>
          <w:color w:val="auto"/>
          <w:sz w:val="28"/>
          <w:szCs w:val="28"/>
        </w:rPr>
        <w:t>10</w:t>
      </w:r>
    </w:p>
    <w:p>
      <w:pPr>
        <w:pStyle w:val="12"/>
        <w:tabs>
          <w:tab w:val="left" w:leader="dot" w:pos="7350"/>
        </w:tabs>
        <w:adjustRightInd w:val="0"/>
        <w:snapToGrid w:val="0"/>
        <w:spacing w:line="440" w:lineRule="exact"/>
        <w:ind w:left="0" w:leftChars="0" w:firstLine="560" w:firstLineChars="200"/>
        <w:jc w:val="left"/>
        <w:rPr>
          <w:rFonts w:hint="eastAsia" w:ascii="楷体_GB2312" w:hAnsi="仿宋" w:eastAsia="楷体_GB2312"/>
          <w:color w:val="auto"/>
          <w:sz w:val="28"/>
          <w:szCs w:val="28"/>
        </w:rPr>
      </w:pPr>
      <w:r>
        <w:rPr>
          <w:rFonts w:hint="eastAsia" w:ascii="楷体_GB2312" w:eastAsia="楷体_GB2312"/>
          <w:color w:val="auto"/>
          <w:sz w:val="28"/>
          <w:szCs w:val="28"/>
        </w:rPr>
        <w:t>五、一般公共预算财政拨款支出决算情况说明</w:t>
      </w:r>
      <w:r>
        <w:rPr>
          <w:rFonts w:hint="eastAsia" w:ascii="楷体_GB2312" w:eastAsia="楷体_GB2312"/>
          <w:color w:val="auto"/>
          <w:sz w:val="28"/>
          <w:szCs w:val="28"/>
        </w:rPr>
        <w:tab/>
      </w:r>
      <w:r>
        <w:rPr>
          <w:rFonts w:hint="eastAsia" w:ascii="楷体_GB2312" w:eastAsia="楷体_GB2312"/>
          <w:color w:val="auto"/>
          <w:sz w:val="28"/>
          <w:szCs w:val="28"/>
        </w:rPr>
        <w:tab/>
      </w:r>
      <w:r>
        <w:rPr>
          <w:rFonts w:hint="eastAsia" w:ascii="楷体_GB2312" w:eastAsia="楷体_GB2312"/>
          <w:color w:val="auto"/>
          <w:sz w:val="28"/>
          <w:szCs w:val="28"/>
        </w:rPr>
        <w:tab/>
      </w:r>
      <w:r>
        <w:rPr>
          <w:rFonts w:hint="eastAsia" w:ascii="楷体_GB2312" w:eastAsia="楷体_GB2312"/>
          <w:color w:val="auto"/>
          <w:sz w:val="28"/>
          <w:szCs w:val="28"/>
        </w:rPr>
        <w:t>10</w:t>
      </w:r>
    </w:p>
    <w:p>
      <w:pPr>
        <w:pStyle w:val="12"/>
        <w:tabs>
          <w:tab w:val="left" w:leader="dot" w:pos="7350"/>
        </w:tabs>
        <w:adjustRightInd w:val="0"/>
        <w:snapToGrid w:val="0"/>
        <w:spacing w:line="440" w:lineRule="exact"/>
        <w:ind w:left="0" w:leftChars="0" w:firstLine="560" w:firstLineChars="200"/>
        <w:jc w:val="left"/>
        <w:rPr>
          <w:rFonts w:hint="eastAsia" w:ascii="楷体_GB2312" w:hAnsi="仿宋" w:eastAsia="楷体_GB2312"/>
          <w:color w:val="auto"/>
          <w:sz w:val="28"/>
          <w:szCs w:val="28"/>
        </w:rPr>
      </w:pPr>
      <w:r>
        <w:rPr>
          <w:rFonts w:hint="eastAsia" w:ascii="楷体_GB2312" w:eastAsia="楷体_GB2312"/>
          <w:color w:val="auto"/>
          <w:sz w:val="28"/>
          <w:szCs w:val="28"/>
        </w:rPr>
        <w:t>六、一般公共预算财政拨款基本支出决算情况说明</w:t>
      </w:r>
      <w:r>
        <w:rPr>
          <w:rFonts w:hint="eastAsia" w:ascii="楷体_GB2312" w:eastAsia="楷体_GB2312"/>
          <w:color w:val="auto"/>
          <w:sz w:val="28"/>
          <w:szCs w:val="28"/>
        </w:rPr>
        <w:tab/>
      </w:r>
      <w:r>
        <w:rPr>
          <w:rFonts w:hint="eastAsia" w:ascii="楷体_GB2312" w:eastAsia="楷体_GB2312"/>
          <w:color w:val="auto"/>
          <w:sz w:val="28"/>
          <w:szCs w:val="28"/>
        </w:rPr>
        <w:tab/>
      </w:r>
      <w:r>
        <w:rPr>
          <w:rFonts w:hint="eastAsia" w:ascii="楷体_GB2312" w:eastAsia="楷体_GB2312"/>
          <w:color w:val="auto"/>
          <w:sz w:val="28"/>
          <w:szCs w:val="28"/>
        </w:rPr>
        <w:tab/>
      </w:r>
      <w:r>
        <w:rPr>
          <w:rFonts w:hint="eastAsia" w:ascii="楷体_GB2312" w:eastAsia="楷体_GB2312"/>
          <w:color w:val="auto"/>
          <w:sz w:val="28"/>
          <w:szCs w:val="28"/>
        </w:rPr>
        <w:t>13</w:t>
      </w:r>
    </w:p>
    <w:p>
      <w:pPr>
        <w:pStyle w:val="12"/>
        <w:tabs>
          <w:tab w:val="left" w:leader="dot" w:pos="7350"/>
        </w:tabs>
        <w:adjustRightInd w:val="0"/>
        <w:snapToGrid w:val="0"/>
        <w:spacing w:line="440" w:lineRule="exact"/>
        <w:ind w:left="0" w:leftChars="0" w:firstLine="560" w:firstLineChars="200"/>
        <w:jc w:val="left"/>
        <w:rPr>
          <w:rFonts w:hint="eastAsia" w:ascii="楷体_GB2312" w:hAnsi="仿宋" w:eastAsia="楷体_GB2312"/>
          <w:color w:val="auto"/>
          <w:sz w:val="28"/>
          <w:szCs w:val="28"/>
        </w:rPr>
      </w:pPr>
      <w:r>
        <w:rPr>
          <w:rFonts w:hint="eastAsia" w:ascii="楷体_GB2312" w:eastAsia="楷体_GB2312"/>
          <w:color w:val="auto"/>
          <w:sz w:val="28"/>
          <w:szCs w:val="28"/>
        </w:rPr>
        <w:t>七、“三公”经费财政拨款支出决算情况说明</w:t>
      </w:r>
      <w:r>
        <w:rPr>
          <w:rFonts w:hint="eastAsia" w:ascii="楷体_GB2312" w:eastAsia="楷体_GB2312"/>
          <w:color w:val="auto"/>
          <w:sz w:val="28"/>
          <w:szCs w:val="28"/>
        </w:rPr>
        <w:tab/>
      </w:r>
      <w:r>
        <w:rPr>
          <w:rFonts w:hint="eastAsia" w:ascii="楷体_GB2312" w:eastAsia="楷体_GB2312"/>
          <w:color w:val="auto"/>
          <w:sz w:val="28"/>
          <w:szCs w:val="28"/>
        </w:rPr>
        <w:tab/>
      </w:r>
      <w:r>
        <w:rPr>
          <w:rFonts w:hint="eastAsia" w:ascii="楷体_GB2312" w:eastAsia="楷体_GB2312"/>
          <w:color w:val="auto"/>
          <w:sz w:val="28"/>
          <w:szCs w:val="28"/>
        </w:rPr>
        <w:tab/>
      </w:r>
      <w:r>
        <w:rPr>
          <w:rFonts w:hint="eastAsia" w:ascii="楷体_GB2312" w:eastAsia="楷体_GB2312"/>
          <w:color w:val="auto"/>
          <w:sz w:val="28"/>
          <w:szCs w:val="28"/>
        </w:rPr>
        <w:t>13</w:t>
      </w:r>
    </w:p>
    <w:p>
      <w:pPr>
        <w:pStyle w:val="12"/>
        <w:tabs>
          <w:tab w:val="left" w:leader="dot" w:pos="7350"/>
        </w:tabs>
        <w:adjustRightInd w:val="0"/>
        <w:snapToGrid w:val="0"/>
        <w:spacing w:line="440" w:lineRule="exact"/>
        <w:ind w:left="0" w:leftChars="0" w:firstLine="560" w:firstLineChars="200"/>
        <w:jc w:val="left"/>
        <w:rPr>
          <w:rFonts w:hint="eastAsia" w:ascii="楷体_GB2312" w:hAnsi="仿宋" w:eastAsia="楷体_GB2312"/>
          <w:color w:val="auto"/>
          <w:sz w:val="28"/>
          <w:szCs w:val="28"/>
        </w:rPr>
      </w:pPr>
      <w:r>
        <w:rPr>
          <w:rFonts w:hint="eastAsia" w:ascii="楷体_GB2312" w:eastAsia="楷体_GB2312"/>
          <w:color w:val="auto"/>
          <w:sz w:val="28"/>
          <w:szCs w:val="28"/>
        </w:rPr>
        <w:t>八、政府性基金预算支出决算情况说明</w:t>
      </w:r>
      <w:r>
        <w:rPr>
          <w:rFonts w:hint="eastAsia" w:ascii="楷体_GB2312" w:eastAsia="楷体_GB2312"/>
          <w:color w:val="auto"/>
          <w:sz w:val="28"/>
          <w:szCs w:val="28"/>
        </w:rPr>
        <w:tab/>
      </w:r>
      <w:r>
        <w:rPr>
          <w:rFonts w:hint="eastAsia" w:ascii="楷体_GB2312" w:eastAsia="楷体_GB2312"/>
          <w:color w:val="auto"/>
          <w:sz w:val="28"/>
          <w:szCs w:val="28"/>
        </w:rPr>
        <w:tab/>
      </w:r>
      <w:r>
        <w:rPr>
          <w:rFonts w:hint="eastAsia" w:ascii="楷体_GB2312" w:eastAsia="楷体_GB2312"/>
          <w:color w:val="auto"/>
          <w:sz w:val="28"/>
          <w:szCs w:val="28"/>
        </w:rPr>
        <w:tab/>
      </w:r>
      <w:r>
        <w:rPr>
          <w:rFonts w:hint="eastAsia" w:ascii="楷体_GB2312" w:eastAsia="楷体_GB2312"/>
          <w:color w:val="auto"/>
          <w:sz w:val="28"/>
          <w:szCs w:val="28"/>
        </w:rPr>
        <w:t>15</w:t>
      </w:r>
    </w:p>
    <w:p>
      <w:pPr>
        <w:pStyle w:val="12"/>
        <w:tabs>
          <w:tab w:val="left" w:leader="dot" w:pos="7350"/>
        </w:tabs>
        <w:adjustRightInd w:val="0"/>
        <w:snapToGrid w:val="0"/>
        <w:spacing w:line="440" w:lineRule="exact"/>
        <w:ind w:left="0" w:leftChars="0" w:firstLine="560" w:firstLineChars="200"/>
        <w:jc w:val="left"/>
        <w:rPr>
          <w:rFonts w:hint="eastAsia" w:ascii="楷体_GB2312" w:hAnsi="仿宋" w:eastAsia="楷体_GB2312"/>
          <w:color w:val="auto"/>
          <w:sz w:val="28"/>
          <w:szCs w:val="28"/>
        </w:rPr>
      </w:pPr>
      <w:r>
        <w:rPr>
          <w:rFonts w:hint="eastAsia" w:ascii="楷体_GB2312" w:hAnsi="仿宋" w:eastAsia="楷体_GB2312"/>
          <w:color w:val="auto"/>
          <w:sz w:val="28"/>
          <w:szCs w:val="28"/>
        </w:rPr>
        <w:t>九、</w:t>
      </w:r>
      <w:r>
        <w:rPr>
          <w:rFonts w:hint="eastAsia" w:ascii="楷体_GB2312" w:eastAsia="楷体_GB2312"/>
          <w:color w:val="auto"/>
          <w:sz w:val="28"/>
          <w:szCs w:val="28"/>
        </w:rPr>
        <w:t xml:space="preserve"> 国有资本经营预算支出决算情况说明</w:t>
      </w:r>
      <w:r>
        <w:rPr>
          <w:rFonts w:hint="eastAsia" w:ascii="楷体_GB2312" w:eastAsia="楷体_GB2312"/>
          <w:color w:val="auto"/>
          <w:sz w:val="28"/>
          <w:szCs w:val="28"/>
        </w:rPr>
        <w:tab/>
      </w:r>
      <w:r>
        <w:rPr>
          <w:rFonts w:hint="eastAsia" w:ascii="楷体_GB2312" w:eastAsia="楷体_GB2312"/>
          <w:color w:val="auto"/>
          <w:sz w:val="28"/>
          <w:szCs w:val="28"/>
        </w:rPr>
        <w:tab/>
      </w:r>
      <w:r>
        <w:rPr>
          <w:rFonts w:hint="eastAsia" w:ascii="楷体_GB2312" w:eastAsia="楷体_GB2312"/>
          <w:color w:val="auto"/>
          <w:sz w:val="28"/>
          <w:szCs w:val="28"/>
        </w:rPr>
        <w:tab/>
      </w:r>
      <w:r>
        <w:rPr>
          <w:rFonts w:hint="eastAsia" w:ascii="楷体_GB2312" w:eastAsia="楷体_GB2312"/>
          <w:color w:val="auto"/>
          <w:sz w:val="28"/>
          <w:szCs w:val="28"/>
        </w:rPr>
        <w:t>15</w:t>
      </w:r>
    </w:p>
    <w:p>
      <w:pPr>
        <w:tabs>
          <w:tab w:val="left" w:leader="dot" w:pos="7350"/>
          <w:tab w:val="right" w:leader="dot" w:pos="8296"/>
        </w:tabs>
        <w:adjustRightInd w:val="0"/>
        <w:snapToGrid w:val="0"/>
        <w:spacing w:line="440" w:lineRule="exact"/>
        <w:ind w:firstLine="560" w:firstLineChars="200"/>
        <w:jc w:val="left"/>
        <w:rPr>
          <w:rFonts w:hint="eastAsia" w:ascii="楷体_GB2312" w:hAnsi="仿宋" w:eastAsia="楷体_GB2312"/>
          <w:color w:val="auto"/>
          <w:sz w:val="28"/>
          <w:szCs w:val="28"/>
        </w:rPr>
      </w:pPr>
      <w:r>
        <w:rPr>
          <w:rStyle w:val="19"/>
          <w:rFonts w:hint="eastAsia" w:ascii="楷体_GB2312" w:hAnsi="仿宋" w:eastAsia="楷体_GB2312"/>
          <w:color w:val="auto"/>
          <w:sz w:val="28"/>
          <w:szCs w:val="28"/>
          <w:u w:val="none"/>
        </w:rPr>
        <w:t>十、</w:t>
      </w:r>
      <w:r>
        <w:rPr>
          <w:rFonts w:hint="eastAsia" w:ascii="楷体_GB2312" w:eastAsia="楷体_GB2312"/>
          <w:color w:val="auto"/>
          <w:sz w:val="28"/>
          <w:szCs w:val="28"/>
        </w:rPr>
        <w:t>其他重要事项的情况说明</w:t>
      </w:r>
      <w:r>
        <w:rPr>
          <w:rFonts w:hint="eastAsia" w:ascii="楷体_GB2312" w:eastAsia="楷体_GB2312"/>
          <w:color w:val="auto"/>
          <w:sz w:val="28"/>
          <w:szCs w:val="28"/>
        </w:rPr>
        <w:tab/>
      </w:r>
      <w:r>
        <w:rPr>
          <w:rFonts w:hint="eastAsia" w:ascii="楷体_GB2312" w:eastAsia="楷体_GB2312"/>
          <w:color w:val="auto"/>
          <w:sz w:val="28"/>
          <w:szCs w:val="28"/>
        </w:rPr>
        <w:tab/>
      </w:r>
      <w:r>
        <w:rPr>
          <w:rFonts w:hint="eastAsia" w:ascii="楷体_GB2312" w:eastAsia="楷体_GB2312"/>
          <w:color w:val="auto"/>
          <w:sz w:val="28"/>
          <w:szCs w:val="28"/>
        </w:rPr>
        <w:tab/>
      </w:r>
      <w:r>
        <w:rPr>
          <w:rFonts w:hint="eastAsia" w:ascii="楷体_GB2312" w:eastAsia="楷体_GB2312"/>
          <w:color w:val="auto"/>
          <w:sz w:val="28"/>
          <w:szCs w:val="28"/>
        </w:rPr>
        <w:t>15</w:t>
      </w:r>
    </w:p>
    <w:p>
      <w:pPr>
        <w:pStyle w:val="11"/>
        <w:tabs>
          <w:tab w:val="left" w:leader="dot" w:pos="7350"/>
        </w:tabs>
        <w:adjustRightInd w:val="0"/>
        <w:snapToGrid w:val="0"/>
        <w:spacing w:before="0" w:line="440" w:lineRule="exact"/>
        <w:jc w:val="left"/>
        <w:rPr>
          <w:rFonts w:hint="eastAsia" w:ascii="黑体" w:hAnsi="黑体" w:eastAsia="黑体"/>
          <w:color w:val="auto"/>
        </w:rPr>
      </w:pPr>
      <w:r>
        <w:rPr>
          <w:rFonts w:hint="eastAsia" w:ascii="黑体" w:hAnsi="黑体" w:eastAsia="黑体"/>
          <w:color w:val="auto"/>
        </w:rPr>
        <w:t>第三部分  名词解释</w:t>
      </w:r>
      <w:r>
        <w:rPr>
          <w:rFonts w:hint="eastAsia" w:ascii="楷体_GB2312" w:hAnsi="Times New Roman" w:eastAsia="楷体_GB2312"/>
          <w:color w:val="auto"/>
        </w:rPr>
        <w:tab/>
      </w:r>
      <w:r>
        <w:rPr>
          <w:rFonts w:hint="eastAsia" w:ascii="楷体_GB2312" w:hAnsi="Times New Roman" w:eastAsia="楷体_GB2312"/>
          <w:color w:val="auto"/>
        </w:rPr>
        <w:tab/>
      </w:r>
      <w:r>
        <w:rPr>
          <w:rFonts w:hint="eastAsia" w:ascii="黑体" w:hAnsi="黑体" w:eastAsia="黑体"/>
          <w:color w:val="auto"/>
        </w:rPr>
        <w:tab/>
      </w:r>
      <w:r>
        <w:rPr>
          <w:rFonts w:hint="eastAsia" w:ascii="黑体" w:hAnsi="黑体" w:eastAsia="黑体"/>
          <w:color w:val="auto"/>
        </w:rPr>
        <w:t>23</w:t>
      </w:r>
    </w:p>
    <w:p>
      <w:pPr>
        <w:pStyle w:val="11"/>
        <w:tabs>
          <w:tab w:val="left" w:leader="dot" w:pos="7350"/>
        </w:tabs>
        <w:adjustRightInd w:val="0"/>
        <w:snapToGrid w:val="0"/>
        <w:spacing w:before="0" w:line="440" w:lineRule="exact"/>
        <w:jc w:val="left"/>
        <w:rPr>
          <w:rFonts w:hint="eastAsia" w:ascii="黑体" w:hAnsi="黑体" w:eastAsia="黑体"/>
          <w:color w:val="auto"/>
        </w:rPr>
      </w:pPr>
      <w:r>
        <w:rPr>
          <w:rFonts w:hint="eastAsia" w:ascii="黑体" w:hAnsi="黑体" w:eastAsia="黑体"/>
          <w:color w:val="auto"/>
        </w:rPr>
        <w:t>第四部分  附件</w:t>
      </w:r>
      <w:r>
        <w:rPr>
          <w:rFonts w:hint="eastAsia" w:ascii="楷体_GB2312" w:hAnsi="Times New Roman" w:eastAsia="楷体_GB2312"/>
          <w:color w:val="auto"/>
        </w:rPr>
        <w:tab/>
      </w:r>
      <w:r>
        <w:rPr>
          <w:rFonts w:hint="eastAsia" w:ascii="楷体_GB2312" w:hAnsi="Times New Roman" w:eastAsia="楷体_GB2312"/>
          <w:color w:val="auto"/>
        </w:rPr>
        <w:tab/>
      </w:r>
      <w:r>
        <w:rPr>
          <w:rFonts w:hint="eastAsia" w:ascii="黑体" w:hAnsi="黑体" w:eastAsia="黑体"/>
          <w:color w:val="auto"/>
        </w:rPr>
        <w:tab/>
      </w:r>
      <w:r>
        <w:rPr>
          <w:rFonts w:hint="eastAsia" w:ascii="黑体" w:hAnsi="黑体" w:eastAsia="黑体"/>
          <w:color w:val="auto"/>
        </w:rPr>
        <w:t>26</w:t>
      </w:r>
    </w:p>
    <w:p>
      <w:pPr>
        <w:pStyle w:val="12"/>
        <w:tabs>
          <w:tab w:val="left" w:leader="dot" w:pos="7350"/>
        </w:tabs>
        <w:adjustRightInd w:val="0"/>
        <w:snapToGrid w:val="0"/>
        <w:spacing w:line="440" w:lineRule="exact"/>
        <w:ind w:left="0" w:leftChars="0" w:firstLine="560" w:firstLineChars="200"/>
        <w:jc w:val="left"/>
        <w:rPr>
          <w:rFonts w:hint="eastAsia" w:ascii="楷体_GB2312" w:eastAsia="楷体_GB2312"/>
          <w:color w:val="auto"/>
          <w:sz w:val="28"/>
          <w:szCs w:val="28"/>
        </w:rPr>
      </w:pPr>
      <w:r>
        <w:rPr>
          <w:rFonts w:hint="eastAsia" w:ascii="楷体_GB2312" w:eastAsia="楷体_GB2312"/>
          <w:color w:val="auto"/>
          <w:sz w:val="28"/>
          <w:szCs w:val="28"/>
        </w:rPr>
        <w:t>附件1</w:t>
      </w:r>
      <w:r>
        <w:rPr>
          <w:rFonts w:hint="eastAsia" w:ascii="楷体_GB2312" w:eastAsia="楷体_GB2312"/>
          <w:color w:val="auto"/>
          <w:sz w:val="28"/>
          <w:szCs w:val="28"/>
        </w:rPr>
        <w:tab/>
      </w:r>
      <w:r>
        <w:rPr>
          <w:rFonts w:hint="eastAsia" w:ascii="楷体_GB2312" w:eastAsia="楷体_GB2312"/>
          <w:color w:val="auto"/>
          <w:sz w:val="28"/>
          <w:szCs w:val="28"/>
        </w:rPr>
        <w:tab/>
      </w:r>
      <w:r>
        <w:rPr>
          <w:rFonts w:hint="eastAsia" w:ascii="楷体_GB2312" w:eastAsia="楷体_GB2312"/>
          <w:color w:val="auto"/>
          <w:sz w:val="28"/>
          <w:szCs w:val="28"/>
        </w:rPr>
        <w:tab/>
      </w:r>
      <w:r>
        <w:rPr>
          <w:rFonts w:hint="eastAsia" w:ascii="楷体_GB2312" w:eastAsia="楷体_GB2312"/>
          <w:color w:val="auto"/>
          <w:sz w:val="28"/>
          <w:szCs w:val="28"/>
        </w:rPr>
        <w:t>26</w:t>
      </w:r>
    </w:p>
    <w:p>
      <w:pPr>
        <w:rPr>
          <w:rFonts w:hint="eastAsia" w:ascii="楷体_GB2312" w:eastAsia="楷体_GB2312"/>
          <w:color w:val="auto"/>
          <w:sz w:val="28"/>
          <w:szCs w:val="28"/>
        </w:rPr>
      </w:pPr>
      <w:r>
        <w:rPr>
          <w:rFonts w:hint="eastAsia"/>
          <w:color w:val="auto"/>
        </w:rPr>
        <w:t xml:space="preserve">    </w:t>
      </w:r>
      <w:r>
        <w:rPr>
          <w:rFonts w:hint="eastAsia" w:ascii="楷体_GB2312" w:eastAsia="楷体_GB2312"/>
          <w:color w:val="auto"/>
          <w:sz w:val="28"/>
          <w:szCs w:val="28"/>
        </w:rPr>
        <w:t xml:space="preserve"> 附件2</w:t>
      </w:r>
      <w:r>
        <w:rPr>
          <w:rFonts w:hint="eastAsia" w:ascii="楷体_GB2312" w:eastAsia="楷体_GB2312"/>
          <w:color w:val="auto"/>
          <w:sz w:val="28"/>
          <w:szCs w:val="28"/>
        </w:rPr>
        <w:tab/>
      </w:r>
      <w:r>
        <w:rPr>
          <w:rFonts w:hint="eastAsia" w:ascii="楷体_GB2312" w:eastAsia="楷体_GB2312"/>
          <w:color w:val="auto"/>
          <w:sz w:val="28"/>
          <w:szCs w:val="28"/>
        </w:rPr>
        <w:tab/>
      </w:r>
      <w:r>
        <w:rPr>
          <w:rFonts w:hint="eastAsia" w:ascii="楷体_GB2312" w:eastAsia="楷体_GB2312"/>
          <w:color w:val="auto"/>
          <w:sz w:val="28"/>
          <w:szCs w:val="28"/>
        </w:rPr>
        <w:t xml:space="preserve">                                             31</w:t>
      </w:r>
      <w:r>
        <w:rPr>
          <w:rFonts w:hint="eastAsia" w:ascii="楷体_GB2312" w:eastAsia="楷体_GB2312"/>
          <w:color w:val="auto"/>
          <w:sz w:val="28"/>
          <w:szCs w:val="28"/>
        </w:rPr>
        <w:tab/>
      </w:r>
    </w:p>
    <w:p>
      <w:pPr>
        <w:pStyle w:val="11"/>
        <w:tabs>
          <w:tab w:val="left" w:leader="dot" w:pos="7350"/>
        </w:tabs>
        <w:adjustRightInd w:val="0"/>
        <w:snapToGrid w:val="0"/>
        <w:spacing w:before="0" w:line="440" w:lineRule="exact"/>
        <w:jc w:val="left"/>
        <w:rPr>
          <w:rFonts w:hint="eastAsia" w:ascii="黑体" w:hAnsi="黑体" w:eastAsia="黑体"/>
          <w:color w:val="auto"/>
        </w:rPr>
      </w:pPr>
      <w:r>
        <w:rPr>
          <w:rFonts w:hint="eastAsia" w:ascii="黑体" w:hAnsi="黑体" w:eastAsia="黑体"/>
          <w:color w:val="auto"/>
        </w:rPr>
        <w:t>第五部分  附表</w:t>
      </w:r>
      <w:r>
        <w:rPr>
          <w:rFonts w:hint="eastAsia" w:ascii="楷体_GB2312" w:hAnsi="Times New Roman" w:eastAsia="楷体_GB2312"/>
          <w:color w:val="auto"/>
        </w:rPr>
        <w:tab/>
      </w:r>
      <w:r>
        <w:rPr>
          <w:rFonts w:hint="eastAsia" w:ascii="楷体_GB2312" w:hAnsi="Times New Roman" w:eastAsia="楷体_GB2312"/>
          <w:color w:val="auto"/>
        </w:rPr>
        <w:tab/>
      </w:r>
      <w:r>
        <w:rPr>
          <w:rFonts w:hint="eastAsia" w:ascii="黑体" w:hAnsi="黑体" w:eastAsia="黑体"/>
          <w:color w:val="auto"/>
        </w:rPr>
        <w:tab/>
      </w:r>
      <w:r>
        <w:rPr>
          <w:rFonts w:hint="eastAsia" w:ascii="黑体" w:hAnsi="黑体" w:eastAsia="黑体"/>
          <w:color w:val="auto"/>
        </w:rPr>
        <w:t>52</w:t>
      </w:r>
    </w:p>
    <w:p>
      <w:pPr>
        <w:pStyle w:val="12"/>
        <w:tabs>
          <w:tab w:val="left" w:leader="dot" w:pos="7350"/>
        </w:tabs>
        <w:adjustRightInd w:val="0"/>
        <w:snapToGrid w:val="0"/>
        <w:spacing w:line="440" w:lineRule="exact"/>
        <w:ind w:left="0" w:leftChars="0" w:firstLine="560" w:firstLineChars="200"/>
        <w:jc w:val="left"/>
        <w:rPr>
          <w:rFonts w:hint="eastAsia" w:ascii="楷体_GB2312" w:hAnsi="仿宋" w:eastAsia="楷体_GB2312"/>
          <w:color w:val="auto"/>
          <w:sz w:val="28"/>
          <w:szCs w:val="28"/>
        </w:rPr>
      </w:pPr>
      <w:r>
        <w:rPr>
          <w:rFonts w:hint="eastAsia" w:ascii="楷体_GB2312" w:hAnsi="仿宋" w:eastAsia="楷体_GB2312"/>
          <w:color w:val="auto"/>
          <w:sz w:val="28"/>
          <w:szCs w:val="28"/>
        </w:rPr>
        <w:t>一、</w:t>
      </w:r>
      <w:r>
        <w:rPr>
          <w:rFonts w:hint="eastAsia" w:ascii="楷体_GB2312" w:eastAsia="楷体_GB2312"/>
          <w:color w:val="auto"/>
          <w:sz w:val="28"/>
          <w:szCs w:val="28"/>
        </w:rPr>
        <w:t>收入支出决算总表</w:t>
      </w:r>
    </w:p>
    <w:p>
      <w:pPr>
        <w:pStyle w:val="12"/>
        <w:tabs>
          <w:tab w:val="left" w:leader="dot" w:pos="7350"/>
        </w:tabs>
        <w:adjustRightInd w:val="0"/>
        <w:snapToGrid w:val="0"/>
        <w:spacing w:line="440" w:lineRule="exact"/>
        <w:ind w:left="0" w:leftChars="0" w:firstLine="560" w:firstLineChars="200"/>
        <w:jc w:val="left"/>
        <w:rPr>
          <w:rFonts w:hint="eastAsia" w:ascii="楷体_GB2312" w:hAnsi="仿宋" w:eastAsia="楷体_GB2312"/>
          <w:color w:val="auto"/>
          <w:sz w:val="28"/>
          <w:szCs w:val="28"/>
        </w:rPr>
      </w:pPr>
      <w:r>
        <w:rPr>
          <w:rFonts w:hint="eastAsia" w:ascii="楷体_GB2312" w:hAnsi="仿宋" w:eastAsia="楷体_GB2312"/>
          <w:color w:val="auto"/>
          <w:sz w:val="28"/>
          <w:szCs w:val="28"/>
        </w:rPr>
        <w:t>二、</w:t>
      </w:r>
      <w:r>
        <w:rPr>
          <w:rFonts w:hint="eastAsia" w:ascii="楷体_GB2312" w:eastAsia="楷体_GB2312"/>
          <w:color w:val="auto"/>
          <w:sz w:val="28"/>
          <w:szCs w:val="28"/>
        </w:rPr>
        <w:t>收入</w:t>
      </w:r>
      <w:r>
        <w:rPr>
          <w:rFonts w:hint="eastAsia" w:ascii="楷体_GB2312" w:hAnsi="仿宋" w:eastAsia="楷体_GB2312"/>
          <w:color w:val="auto"/>
          <w:sz w:val="28"/>
          <w:szCs w:val="28"/>
        </w:rPr>
        <w:t>决算</w:t>
      </w:r>
      <w:r>
        <w:rPr>
          <w:rFonts w:hint="eastAsia" w:ascii="楷体_GB2312" w:eastAsia="楷体_GB2312"/>
          <w:color w:val="auto"/>
          <w:sz w:val="28"/>
          <w:szCs w:val="28"/>
        </w:rPr>
        <w:t>表</w:t>
      </w:r>
    </w:p>
    <w:p>
      <w:pPr>
        <w:pStyle w:val="12"/>
        <w:tabs>
          <w:tab w:val="left" w:leader="dot" w:pos="7350"/>
        </w:tabs>
        <w:adjustRightInd w:val="0"/>
        <w:snapToGrid w:val="0"/>
        <w:spacing w:line="440" w:lineRule="exact"/>
        <w:ind w:left="0" w:leftChars="0" w:firstLine="560" w:firstLineChars="200"/>
        <w:jc w:val="left"/>
        <w:rPr>
          <w:rFonts w:hint="eastAsia" w:ascii="楷体_GB2312" w:hAnsi="仿宋" w:eastAsia="楷体_GB2312"/>
          <w:color w:val="auto"/>
          <w:sz w:val="28"/>
          <w:szCs w:val="28"/>
        </w:rPr>
      </w:pPr>
      <w:r>
        <w:rPr>
          <w:rFonts w:hint="eastAsia" w:ascii="楷体_GB2312" w:hAnsi="仿宋" w:eastAsia="楷体_GB2312"/>
          <w:color w:val="auto"/>
          <w:sz w:val="28"/>
          <w:szCs w:val="28"/>
        </w:rPr>
        <w:t>三、</w:t>
      </w:r>
      <w:r>
        <w:rPr>
          <w:rFonts w:hint="eastAsia" w:ascii="楷体_GB2312" w:eastAsia="楷体_GB2312"/>
          <w:color w:val="auto"/>
          <w:sz w:val="28"/>
          <w:szCs w:val="28"/>
        </w:rPr>
        <w:t>支出</w:t>
      </w:r>
      <w:r>
        <w:rPr>
          <w:rFonts w:hint="eastAsia" w:ascii="楷体_GB2312" w:hAnsi="仿宋" w:eastAsia="楷体_GB2312"/>
          <w:color w:val="auto"/>
          <w:sz w:val="28"/>
          <w:szCs w:val="28"/>
        </w:rPr>
        <w:t>决算</w:t>
      </w:r>
      <w:r>
        <w:rPr>
          <w:rFonts w:hint="eastAsia" w:ascii="楷体_GB2312" w:eastAsia="楷体_GB2312"/>
          <w:color w:val="auto"/>
          <w:sz w:val="28"/>
          <w:szCs w:val="28"/>
        </w:rPr>
        <w:t>表</w:t>
      </w:r>
    </w:p>
    <w:p>
      <w:pPr>
        <w:pStyle w:val="12"/>
        <w:tabs>
          <w:tab w:val="left" w:leader="dot" w:pos="7350"/>
        </w:tabs>
        <w:adjustRightInd w:val="0"/>
        <w:snapToGrid w:val="0"/>
        <w:spacing w:line="440" w:lineRule="exact"/>
        <w:ind w:left="0" w:leftChars="0" w:firstLine="560" w:firstLineChars="200"/>
        <w:jc w:val="left"/>
        <w:rPr>
          <w:rFonts w:hint="eastAsia" w:ascii="楷体_GB2312" w:hAnsi="仿宋" w:eastAsia="楷体_GB2312"/>
          <w:color w:val="auto"/>
          <w:sz w:val="28"/>
          <w:szCs w:val="28"/>
        </w:rPr>
      </w:pPr>
      <w:r>
        <w:rPr>
          <w:rFonts w:hint="eastAsia" w:ascii="楷体_GB2312" w:hAnsi="仿宋" w:eastAsia="楷体_GB2312"/>
          <w:color w:val="auto"/>
          <w:sz w:val="28"/>
          <w:szCs w:val="28"/>
        </w:rPr>
        <w:t>四、</w:t>
      </w:r>
      <w:r>
        <w:rPr>
          <w:rFonts w:hint="eastAsia" w:ascii="楷体_GB2312" w:eastAsia="楷体_GB2312"/>
          <w:color w:val="auto"/>
          <w:sz w:val="28"/>
          <w:szCs w:val="28"/>
        </w:rPr>
        <w:t>财政拨款收入支出决算总表</w:t>
      </w:r>
    </w:p>
    <w:p>
      <w:pPr>
        <w:pStyle w:val="12"/>
        <w:tabs>
          <w:tab w:val="left" w:leader="dot" w:pos="7350"/>
        </w:tabs>
        <w:adjustRightInd w:val="0"/>
        <w:snapToGrid w:val="0"/>
        <w:spacing w:line="440" w:lineRule="exact"/>
        <w:ind w:left="0" w:leftChars="0" w:firstLine="560" w:firstLineChars="200"/>
        <w:jc w:val="left"/>
        <w:rPr>
          <w:rFonts w:hint="eastAsia" w:ascii="楷体_GB2312" w:hAnsi="仿宋" w:eastAsia="楷体_GB2312"/>
          <w:color w:val="auto"/>
          <w:sz w:val="28"/>
          <w:szCs w:val="28"/>
        </w:rPr>
      </w:pPr>
      <w:r>
        <w:rPr>
          <w:rFonts w:hint="eastAsia" w:ascii="楷体_GB2312" w:hAnsi="仿宋" w:eastAsia="楷体_GB2312"/>
          <w:color w:val="auto"/>
          <w:sz w:val="28"/>
          <w:szCs w:val="28"/>
        </w:rPr>
        <w:t>五、财政拨款支出决算明细表</w:t>
      </w:r>
    </w:p>
    <w:p>
      <w:pPr>
        <w:pStyle w:val="12"/>
        <w:tabs>
          <w:tab w:val="left" w:leader="dot" w:pos="7350"/>
        </w:tabs>
        <w:adjustRightInd w:val="0"/>
        <w:snapToGrid w:val="0"/>
        <w:spacing w:line="440" w:lineRule="exact"/>
        <w:ind w:left="0" w:leftChars="0" w:firstLine="560" w:firstLineChars="200"/>
        <w:jc w:val="left"/>
        <w:rPr>
          <w:rFonts w:hint="eastAsia" w:ascii="楷体_GB2312" w:hAnsi="仿宋" w:eastAsia="楷体_GB2312"/>
          <w:color w:val="auto"/>
          <w:sz w:val="28"/>
          <w:szCs w:val="28"/>
        </w:rPr>
      </w:pPr>
      <w:r>
        <w:rPr>
          <w:rFonts w:hint="eastAsia" w:ascii="楷体_GB2312" w:hAnsi="仿宋" w:eastAsia="楷体_GB2312"/>
          <w:color w:val="auto"/>
          <w:sz w:val="28"/>
          <w:szCs w:val="28"/>
        </w:rPr>
        <w:t>六、</w:t>
      </w:r>
      <w:r>
        <w:rPr>
          <w:rFonts w:hint="eastAsia" w:ascii="楷体_GB2312" w:eastAsia="楷体_GB2312"/>
          <w:color w:val="auto"/>
          <w:sz w:val="28"/>
          <w:szCs w:val="28"/>
        </w:rPr>
        <w:t>一般公共预算财政拨款支出决算表</w:t>
      </w:r>
    </w:p>
    <w:p>
      <w:pPr>
        <w:pStyle w:val="12"/>
        <w:tabs>
          <w:tab w:val="left" w:leader="dot" w:pos="7350"/>
        </w:tabs>
        <w:adjustRightInd w:val="0"/>
        <w:snapToGrid w:val="0"/>
        <w:spacing w:line="440" w:lineRule="exact"/>
        <w:ind w:left="0" w:leftChars="0" w:firstLine="560" w:firstLineChars="200"/>
        <w:jc w:val="left"/>
        <w:rPr>
          <w:rFonts w:hint="eastAsia" w:ascii="楷体_GB2312" w:hAnsi="仿宋" w:eastAsia="楷体_GB2312"/>
          <w:color w:val="auto"/>
          <w:sz w:val="28"/>
          <w:szCs w:val="28"/>
        </w:rPr>
      </w:pPr>
      <w:r>
        <w:rPr>
          <w:rFonts w:hint="eastAsia" w:ascii="楷体_GB2312" w:hAnsi="仿宋" w:eastAsia="楷体_GB2312"/>
          <w:color w:val="auto"/>
          <w:sz w:val="28"/>
          <w:szCs w:val="28"/>
        </w:rPr>
        <w:t>七、</w:t>
      </w:r>
      <w:r>
        <w:rPr>
          <w:rFonts w:hint="eastAsia" w:ascii="楷体_GB2312" w:eastAsia="楷体_GB2312"/>
          <w:color w:val="auto"/>
          <w:sz w:val="28"/>
          <w:szCs w:val="28"/>
        </w:rPr>
        <w:t>一般公共预算财政拨款支出决算明细表</w:t>
      </w:r>
    </w:p>
    <w:p>
      <w:pPr>
        <w:pStyle w:val="12"/>
        <w:tabs>
          <w:tab w:val="left" w:leader="dot" w:pos="7350"/>
        </w:tabs>
        <w:adjustRightInd w:val="0"/>
        <w:snapToGrid w:val="0"/>
        <w:spacing w:line="440" w:lineRule="exact"/>
        <w:ind w:left="0" w:leftChars="0" w:firstLine="560" w:firstLineChars="200"/>
        <w:jc w:val="left"/>
        <w:rPr>
          <w:rFonts w:hint="eastAsia" w:ascii="楷体_GB2312" w:hAnsi="仿宋" w:eastAsia="楷体_GB2312"/>
          <w:color w:val="auto"/>
          <w:sz w:val="28"/>
          <w:szCs w:val="28"/>
        </w:rPr>
      </w:pPr>
      <w:r>
        <w:rPr>
          <w:rFonts w:hint="eastAsia" w:ascii="楷体_GB2312" w:hAnsi="仿宋" w:eastAsia="楷体_GB2312"/>
          <w:color w:val="auto"/>
          <w:sz w:val="28"/>
          <w:szCs w:val="28"/>
        </w:rPr>
        <w:t>八、</w:t>
      </w:r>
      <w:r>
        <w:rPr>
          <w:rFonts w:hint="eastAsia" w:ascii="楷体_GB2312" w:eastAsia="楷体_GB2312"/>
          <w:color w:val="auto"/>
          <w:sz w:val="28"/>
          <w:szCs w:val="28"/>
        </w:rPr>
        <w:t>一般公共预算财政拨款基本支出决算表</w:t>
      </w:r>
    </w:p>
    <w:p>
      <w:pPr>
        <w:pStyle w:val="12"/>
        <w:tabs>
          <w:tab w:val="left" w:leader="dot" w:pos="7350"/>
        </w:tabs>
        <w:adjustRightInd w:val="0"/>
        <w:snapToGrid w:val="0"/>
        <w:spacing w:line="440" w:lineRule="exact"/>
        <w:ind w:left="0" w:leftChars="0" w:firstLine="560" w:firstLineChars="200"/>
        <w:jc w:val="left"/>
        <w:rPr>
          <w:rFonts w:hint="eastAsia" w:ascii="楷体_GB2312" w:hAnsi="仿宋" w:eastAsia="楷体_GB2312"/>
          <w:color w:val="auto"/>
          <w:sz w:val="28"/>
          <w:szCs w:val="28"/>
        </w:rPr>
      </w:pPr>
      <w:r>
        <w:rPr>
          <w:rFonts w:hint="eastAsia" w:ascii="楷体_GB2312" w:hAnsi="仿宋" w:eastAsia="楷体_GB2312"/>
          <w:color w:val="auto"/>
          <w:sz w:val="28"/>
          <w:szCs w:val="28"/>
        </w:rPr>
        <w:t>九、</w:t>
      </w:r>
      <w:r>
        <w:rPr>
          <w:rFonts w:hint="eastAsia" w:ascii="楷体_GB2312" w:eastAsia="楷体_GB2312"/>
          <w:color w:val="auto"/>
          <w:sz w:val="28"/>
          <w:szCs w:val="28"/>
        </w:rPr>
        <w:t>一般公共预算财政拨款项目支出决算表</w:t>
      </w:r>
    </w:p>
    <w:p>
      <w:pPr>
        <w:pStyle w:val="12"/>
        <w:tabs>
          <w:tab w:val="left" w:leader="dot" w:pos="7350"/>
        </w:tabs>
        <w:adjustRightInd w:val="0"/>
        <w:snapToGrid w:val="0"/>
        <w:spacing w:line="440" w:lineRule="exact"/>
        <w:ind w:left="0" w:leftChars="0" w:firstLine="560" w:firstLineChars="200"/>
        <w:jc w:val="left"/>
        <w:rPr>
          <w:rFonts w:hint="eastAsia" w:ascii="楷体_GB2312" w:hAnsi="仿宋" w:eastAsia="楷体_GB2312"/>
          <w:color w:val="auto"/>
          <w:sz w:val="28"/>
          <w:szCs w:val="28"/>
        </w:rPr>
      </w:pPr>
      <w:r>
        <w:rPr>
          <w:rFonts w:hint="eastAsia" w:ascii="楷体_GB2312" w:hAnsi="仿宋" w:eastAsia="楷体_GB2312"/>
          <w:color w:val="auto"/>
          <w:sz w:val="28"/>
          <w:szCs w:val="28"/>
        </w:rPr>
        <w:t>十、</w:t>
      </w:r>
      <w:r>
        <w:rPr>
          <w:rFonts w:hint="eastAsia" w:ascii="楷体_GB2312" w:eastAsia="楷体_GB2312"/>
          <w:color w:val="auto"/>
          <w:sz w:val="28"/>
          <w:szCs w:val="28"/>
        </w:rPr>
        <w:t>一般公共预算财政拨款“三公”经费支出决算表</w:t>
      </w:r>
    </w:p>
    <w:p>
      <w:pPr>
        <w:pStyle w:val="12"/>
        <w:tabs>
          <w:tab w:val="left" w:leader="dot" w:pos="7350"/>
        </w:tabs>
        <w:adjustRightInd w:val="0"/>
        <w:snapToGrid w:val="0"/>
        <w:spacing w:line="440" w:lineRule="exact"/>
        <w:ind w:left="0" w:leftChars="0" w:firstLine="560" w:firstLineChars="200"/>
        <w:jc w:val="left"/>
        <w:rPr>
          <w:rFonts w:hint="eastAsia" w:ascii="楷体_GB2312" w:hAnsi="仿宋" w:eastAsia="楷体_GB2312"/>
          <w:color w:val="auto"/>
          <w:sz w:val="28"/>
          <w:szCs w:val="28"/>
        </w:rPr>
      </w:pPr>
      <w:r>
        <w:rPr>
          <w:rFonts w:hint="eastAsia" w:ascii="楷体_GB2312" w:hAnsi="仿宋" w:eastAsia="楷体_GB2312"/>
          <w:color w:val="auto"/>
          <w:sz w:val="28"/>
          <w:szCs w:val="28"/>
        </w:rPr>
        <w:t>十一、</w:t>
      </w:r>
      <w:r>
        <w:rPr>
          <w:rFonts w:hint="eastAsia" w:ascii="楷体_GB2312" w:eastAsia="楷体_GB2312"/>
          <w:color w:val="auto"/>
          <w:sz w:val="28"/>
          <w:szCs w:val="28"/>
        </w:rPr>
        <w:t>政府性基金预算财政拨款收入支出决算表</w:t>
      </w:r>
    </w:p>
    <w:p>
      <w:pPr>
        <w:pStyle w:val="12"/>
        <w:tabs>
          <w:tab w:val="left" w:leader="dot" w:pos="7350"/>
        </w:tabs>
        <w:adjustRightInd w:val="0"/>
        <w:snapToGrid w:val="0"/>
        <w:spacing w:line="440" w:lineRule="exact"/>
        <w:ind w:left="0" w:leftChars="0" w:firstLine="560" w:firstLineChars="200"/>
        <w:jc w:val="left"/>
        <w:rPr>
          <w:rFonts w:hint="eastAsia" w:ascii="楷体_GB2312" w:hAnsi="仿宋" w:eastAsia="楷体_GB2312"/>
          <w:color w:val="auto"/>
          <w:sz w:val="28"/>
          <w:szCs w:val="28"/>
        </w:rPr>
      </w:pPr>
      <w:r>
        <w:rPr>
          <w:rFonts w:hint="eastAsia" w:ascii="楷体_GB2312" w:hAnsi="仿宋" w:eastAsia="楷体_GB2312"/>
          <w:color w:val="auto"/>
          <w:sz w:val="28"/>
          <w:szCs w:val="28"/>
        </w:rPr>
        <w:t>十二、</w:t>
      </w:r>
      <w:r>
        <w:rPr>
          <w:rFonts w:hint="eastAsia" w:ascii="楷体_GB2312" w:eastAsia="楷体_GB2312"/>
          <w:color w:val="auto"/>
          <w:sz w:val="28"/>
          <w:szCs w:val="28"/>
        </w:rPr>
        <w:t>政府性基金预算财政拨款“三公”经费支出决算表</w:t>
      </w:r>
    </w:p>
    <w:p>
      <w:pPr>
        <w:pStyle w:val="12"/>
        <w:tabs>
          <w:tab w:val="left" w:leader="dot" w:pos="7350"/>
        </w:tabs>
        <w:adjustRightInd w:val="0"/>
        <w:snapToGrid w:val="0"/>
        <w:spacing w:line="440" w:lineRule="exact"/>
        <w:ind w:left="0" w:leftChars="0" w:firstLine="560" w:firstLineChars="200"/>
        <w:jc w:val="left"/>
        <w:rPr>
          <w:rFonts w:hint="eastAsia" w:ascii="楷体_GB2312" w:hAnsi="仿宋" w:eastAsia="楷体_GB2312"/>
          <w:color w:val="auto"/>
          <w:sz w:val="28"/>
          <w:szCs w:val="28"/>
        </w:rPr>
      </w:pPr>
      <w:r>
        <w:rPr>
          <w:rFonts w:hint="eastAsia" w:ascii="楷体_GB2312" w:hAnsi="仿宋" w:eastAsia="楷体_GB2312"/>
          <w:color w:val="auto"/>
          <w:sz w:val="28"/>
          <w:szCs w:val="28"/>
        </w:rPr>
        <w:t>十三、国有资本经营预算财政拨款收入支出决算表</w:t>
      </w:r>
    </w:p>
    <w:p>
      <w:pPr>
        <w:widowControl/>
        <w:tabs>
          <w:tab w:val="left" w:leader="dot" w:pos="7350"/>
          <w:tab w:val="right" w:leader="dot" w:pos="8296"/>
        </w:tabs>
        <w:adjustRightInd w:val="0"/>
        <w:snapToGrid w:val="0"/>
        <w:spacing w:line="440" w:lineRule="exact"/>
        <w:ind w:firstLine="560" w:firstLineChars="200"/>
        <w:jc w:val="left"/>
        <w:rPr>
          <w:rFonts w:ascii="楷体_GB2312" w:hAnsi="仿宋" w:eastAsia="楷体_GB2312"/>
          <w:color w:val="auto"/>
          <w:sz w:val="28"/>
          <w:szCs w:val="28"/>
        </w:rPr>
        <w:sectPr>
          <w:headerReference r:id="rId3" w:type="default"/>
          <w:footerReference r:id="rId4" w:type="default"/>
          <w:pgSz w:w="11906" w:h="16838"/>
          <w:pgMar w:top="2098" w:right="1531" w:bottom="1985" w:left="1531" w:header="851" w:footer="992" w:gutter="0"/>
          <w:pgNumType w:start="0"/>
          <w:cols w:space="720" w:num="1"/>
          <w:titlePg/>
          <w:docGrid w:type="lines" w:linePitch="312" w:charSpace="0"/>
        </w:sectPr>
      </w:pPr>
      <w:r>
        <w:rPr>
          <w:rFonts w:hint="eastAsia" w:ascii="楷体_GB2312" w:hAnsi="仿宋" w:eastAsia="楷体_GB2312"/>
          <w:color w:val="auto"/>
          <w:sz w:val="28"/>
          <w:szCs w:val="28"/>
        </w:rPr>
        <w:t>十四、国有资本经营预算财政拨款支出决算表</w:t>
      </w:r>
    </w:p>
    <w:p>
      <w:pPr>
        <w:pStyle w:val="3"/>
        <w:jc w:val="center"/>
        <w:rPr>
          <w:rStyle w:val="21"/>
          <w:rFonts w:ascii="黑体" w:hAnsi="黑体" w:eastAsia="黑体"/>
          <w:b/>
          <w:color w:val="auto"/>
        </w:rPr>
      </w:pPr>
      <w:bookmarkStart w:id="12" w:name="_Toc15377196"/>
      <w:bookmarkStart w:id="13" w:name="_Toc15396599"/>
      <w:r>
        <w:rPr>
          <w:rFonts w:hint="eastAsia" w:ascii="黑体" w:hAnsi="黑体" w:eastAsia="黑体"/>
          <w:b w:val="0"/>
          <w:color w:val="auto"/>
        </w:rPr>
        <w:t>第一部分</w:t>
      </w:r>
      <w:r>
        <w:rPr>
          <w:rFonts w:ascii="黑体" w:hAnsi="黑体" w:eastAsia="黑体"/>
          <w:b w:val="0"/>
          <w:color w:val="auto"/>
        </w:rPr>
        <w:t xml:space="preserve"> </w:t>
      </w:r>
      <w:r>
        <w:rPr>
          <w:rStyle w:val="21"/>
          <w:rFonts w:hint="eastAsia" w:ascii="黑体" w:hAnsi="黑体" w:eastAsia="黑体"/>
          <w:color w:val="auto"/>
        </w:rPr>
        <w:t>部门概况</w:t>
      </w:r>
      <w:bookmarkEnd w:id="12"/>
      <w:bookmarkEnd w:id="13"/>
    </w:p>
    <w:p>
      <w:pPr>
        <w:widowControl/>
        <w:spacing w:line="560" w:lineRule="exact"/>
        <w:jc w:val="left"/>
        <w:rPr>
          <w:rFonts w:ascii="黑体" w:eastAsia="黑体"/>
          <w:color w:val="auto"/>
          <w:sz w:val="32"/>
          <w:szCs w:val="32"/>
        </w:rPr>
      </w:pPr>
    </w:p>
    <w:p>
      <w:pPr>
        <w:pStyle w:val="4"/>
        <w:spacing w:before="0" w:after="0" w:line="560" w:lineRule="exact"/>
        <w:ind w:firstLine="640" w:firstLineChars="200"/>
        <w:rPr>
          <w:rStyle w:val="22"/>
          <w:rFonts w:ascii="仿宋" w:hAnsi="仿宋" w:eastAsia="仿宋"/>
          <w:color w:val="auto"/>
        </w:rPr>
      </w:pPr>
      <w:bookmarkStart w:id="14" w:name="_Toc15396600"/>
      <w:bookmarkStart w:id="15" w:name="_Toc15377197"/>
      <w:r>
        <w:rPr>
          <w:rFonts w:hint="eastAsia" w:ascii="黑体" w:hAnsi="黑体" w:eastAsia="黑体"/>
          <w:b w:val="0"/>
          <w:color w:val="auto"/>
        </w:rPr>
        <w:t>一、基</w:t>
      </w:r>
      <w:r>
        <w:rPr>
          <w:rStyle w:val="22"/>
          <w:rFonts w:hint="eastAsia" w:ascii="黑体" w:hAnsi="黑体" w:eastAsia="黑体"/>
          <w:color w:val="auto"/>
        </w:rPr>
        <w:t>本职能及主要工作</w:t>
      </w:r>
      <w:bookmarkEnd w:id="14"/>
      <w:bookmarkEnd w:id="15"/>
    </w:p>
    <w:p>
      <w:pPr>
        <w:spacing w:line="560" w:lineRule="exact"/>
        <w:ind w:firstLine="640" w:firstLineChars="200"/>
        <w:rPr>
          <w:rFonts w:ascii="仿宋" w:hAnsi="仿宋" w:eastAsia="仿宋"/>
          <w:color w:val="auto"/>
          <w:sz w:val="32"/>
          <w:szCs w:val="32"/>
        </w:rPr>
      </w:pPr>
      <w:bookmarkStart w:id="16" w:name="_Toc15377198"/>
      <w:bookmarkStart w:id="17" w:name="_Toc15378445"/>
      <w:r>
        <w:rPr>
          <w:rFonts w:hint="eastAsia" w:ascii="仿宋" w:hAnsi="仿宋" w:eastAsia="仿宋"/>
          <w:bCs/>
          <w:color w:val="auto"/>
          <w:sz w:val="32"/>
          <w:szCs w:val="32"/>
        </w:rPr>
        <w:t>（一）主要职能。</w:t>
      </w:r>
      <w:bookmarkEnd w:id="16"/>
      <w:bookmarkEnd w:id="17"/>
      <w:bookmarkStart w:id="18" w:name="_Toc15377199"/>
      <w:bookmarkStart w:id="19" w:name="_Toc15378446"/>
    </w:p>
    <w:p>
      <w:pPr>
        <w:spacing w:line="56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贯彻落实党中央、省委、市委关于统一战线工作重大决策部署，协调统一战线各方面关系，组织落实巩固壮大最广泛的统一战线。</w:t>
      </w:r>
    </w:p>
    <w:p>
      <w:pPr>
        <w:spacing w:line="560" w:lineRule="exact"/>
        <w:ind w:firstLine="64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深入调查研究，及时向市委报告统一战线工作情况并提出建议。统筹协调和指导各县区、各部门（单位）统一战线工作。</w:t>
      </w:r>
    </w:p>
    <w:p>
      <w:pPr>
        <w:spacing w:line="560" w:lineRule="exact"/>
        <w:ind w:firstLine="64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负责发现、培养党外代表人士，制定党外干部培养规划。反映和协调解决党外代表人士工作、生活中的实际困难。</w:t>
      </w:r>
    </w:p>
    <w:p>
      <w:pPr>
        <w:spacing w:line="560" w:lineRule="exact"/>
        <w:ind w:firstLine="64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rPr>
        <w:t>贯彻落实党的宣传工作方针，统筹推进全市统一战线宣传和意识形态工作，落实党中央、省委、市委统一战线宣传工作政策和规划，统筹推进网络人士统战工作。</w:t>
      </w:r>
    </w:p>
    <w:p>
      <w:pPr>
        <w:spacing w:line="560" w:lineRule="exact"/>
        <w:ind w:firstLine="64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t>负责联系各民主党派，通报情况、反映意见、制定年度政党协商计划，贯彻落实中国共产党领导的多党合作和政治协商制度以及对民主党派的方针政策，支持、协助民主党派加强中国特色社会主义参政党建设。</w:t>
      </w:r>
    </w:p>
    <w:p>
      <w:pPr>
        <w:spacing w:line="560" w:lineRule="exact"/>
        <w:ind w:firstLine="64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rPr>
        <w:t>贯彻落实党的民族工作方针，统筹协调做好少数民族干部工作。依法管理民族事务，全面促进民族事业发展。</w:t>
      </w:r>
    </w:p>
    <w:p>
      <w:pPr>
        <w:spacing w:line="560" w:lineRule="exact"/>
        <w:ind w:firstLine="64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7.</w:t>
      </w:r>
      <w:r>
        <w:rPr>
          <w:rFonts w:hint="eastAsia" w:ascii="仿宋_GB2312" w:hAnsi="仿宋_GB2312" w:eastAsia="仿宋_GB2312" w:cs="仿宋_GB2312"/>
          <w:color w:val="auto"/>
          <w:sz w:val="32"/>
          <w:szCs w:val="32"/>
        </w:rPr>
        <w:t>贯彻落实党的宗教工作基本方针和政策。依法管理宗教事务，保护公民宗教信仰自由和正常的宗教活动，维护宗教界合法权益。</w:t>
      </w:r>
    </w:p>
    <w:p>
      <w:pPr>
        <w:spacing w:line="560" w:lineRule="exact"/>
        <w:ind w:firstLine="64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rPr>
        <w:t>负责联系、培养无党派代表人士，联系、培养党外知识分子代表人士，指导高等学校、科研院所、国有企业等有关单位开展统战工作。</w:t>
      </w:r>
    </w:p>
    <w:p>
      <w:pPr>
        <w:spacing w:line="560" w:lineRule="exact"/>
        <w:ind w:firstLine="64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rPr>
        <w:t>负责联系、培养新的社会阶层代表人士。调查研究全市新的社会阶层人士情况并提出政策建议，指导社会组织开展新的社会阶层人士统战工作。</w:t>
      </w:r>
    </w:p>
    <w:p>
      <w:pPr>
        <w:spacing w:line="560" w:lineRule="exact"/>
        <w:ind w:firstLine="64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10.</w:t>
      </w:r>
      <w:r>
        <w:rPr>
          <w:rFonts w:hint="eastAsia" w:ascii="仿宋_GB2312" w:hAnsi="仿宋_GB2312" w:eastAsia="仿宋_GB2312" w:cs="仿宋_GB2312"/>
          <w:color w:val="auto"/>
          <w:sz w:val="32"/>
          <w:szCs w:val="32"/>
        </w:rPr>
        <w:t>做好非公有制经济领域统战工作，负责全市非公有制经济代表人士工作，参与制定、推动落实鼓励支持引导非公有制经济发展的政策，调查研究全市非公有制经济人士的意见，团结、服务、引导、教育非公有制经济人士，促进非公有制经济健康发展和非公有制经济人士健康成长。</w:t>
      </w:r>
    </w:p>
    <w:p>
      <w:pPr>
        <w:spacing w:line="560" w:lineRule="exact"/>
        <w:ind w:firstLine="64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11.</w:t>
      </w:r>
      <w:r>
        <w:rPr>
          <w:rFonts w:hint="eastAsia" w:ascii="仿宋_GB2312" w:hAnsi="仿宋_GB2312" w:eastAsia="仿宋_GB2312" w:cs="仿宋_GB2312"/>
          <w:color w:val="auto"/>
          <w:sz w:val="32"/>
          <w:szCs w:val="32"/>
        </w:rPr>
        <w:t>贯彻落实党的海外统战工作政策和规划并组织协调、督促检查落实，联系香港、澳门有关党派、团体及代表人士。</w:t>
      </w:r>
    </w:p>
    <w:p>
      <w:pPr>
        <w:spacing w:line="560" w:lineRule="exact"/>
        <w:ind w:firstLine="64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12.</w:t>
      </w:r>
      <w:r>
        <w:rPr>
          <w:rFonts w:hint="eastAsia" w:ascii="仿宋_GB2312" w:hAnsi="仿宋_GB2312" w:eastAsia="仿宋_GB2312" w:cs="仿宋_GB2312"/>
          <w:color w:val="auto"/>
          <w:sz w:val="32"/>
          <w:szCs w:val="32"/>
        </w:rPr>
        <w:t>贯彻落实党的对台工作方针政策。指导、协调、检查市级部门（单位）和各县（区）及大企业对台工作。开展广台交流联络活动，协调指导有关部门开展对台经贸工作和金融、文化、学术、体育、科技、卫生等各个领域的交流与合作，以及广台人员来往、考察、研讨等工作。会同有关部门依法开展涉台权益保护工作。</w:t>
      </w:r>
    </w:p>
    <w:p>
      <w:pPr>
        <w:spacing w:line="560" w:lineRule="exact"/>
        <w:ind w:firstLine="64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13.</w:t>
      </w:r>
      <w:r>
        <w:rPr>
          <w:rFonts w:hint="eastAsia" w:ascii="仿宋_GB2312" w:hAnsi="仿宋_GB2312" w:eastAsia="仿宋_GB2312" w:cs="仿宋_GB2312"/>
          <w:color w:val="auto"/>
          <w:sz w:val="32"/>
          <w:szCs w:val="32"/>
        </w:rPr>
        <w:t>贯彻落实党的侨务工作方针政策，管理侨务事务，统筹协调有关部门和社会团体涉侨工作，联系海外有关侨团和代表人士，指导推动涉侨宣传、文化交流、华文教育工作等，保护华侨和归侨侨眷在市内的合法权利和利益。</w:t>
      </w:r>
    </w:p>
    <w:p>
      <w:pPr>
        <w:spacing w:line="560" w:lineRule="exact"/>
        <w:ind w:firstLine="64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14.</w:t>
      </w:r>
      <w:r>
        <w:rPr>
          <w:rFonts w:hint="eastAsia" w:ascii="仿宋_GB2312" w:hAnsi="仿宋_GB2312" w:eastAsia="仿宋_GB2312" w:cs="仿宋_GB2312"/>
          <w:color w:val="auto"/>
          <w:sz w:val="32"/>
          <w:szCs w:val="32"/>
        </w:rPr>
        <w:t>负责县区统战部负责人培训工作。受市委委托，领导市工商联党组，指导工商联工作。指导市党外知识分子联谊会、市新的社会阶层人士联谊会、市中华职业教育社等工作。指导市社会主义学院工作。做好统一战线有关单位和团体及事业单位的管理工作。</w:t>
      </w:r>
    </w:p>
    <w:p>
      <w:pPr>
        <w:spacing w:line="560" w:lineRule="exact"/>
        <w:ind w:firstLine="64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15.</w:t>
      </w:r>
      <w:r>
        <w:rPr>
          <w:rFonts w:hint="eastAsia" w:ascii="仿宋_GB2312" w:hAnsi="仿宋_GB2312" w:eastAsia="仿宋_GB2312" w:cs="仿宋_GB2312"/>
          <w:color w:val="auto"/>
          <w:sz w:val="32"/>
          <w:szCs w:val="32"/>
        </w:rPr>
        <w:t>完成市委交办的其他任务。</w:t>
      </w:r>
    </w:p>
    <w:p>
      <w:pPr>
        <w:pStyle w:val="6"/>
        <w:adjustRightInd w:val="0"/>
        <w:snapToGrid w:val="0"/>
        <w:spacing w:beforeLines="0" w:line="560" w:lineRule="exact"/>
        <w:ind w:firstLine="672" w:firstLineChars="210"/>
        <w:outlineLvl w:val="2"/>
        <w:rPr>
          <w:rFonts w:hint="eastAsia" w:ascii="仿宋" w:hAnsi="仿宋" w:eastAsia="仿宋"/>
          <w:bCs/>
          <w:color w:val="auto"/>
          <w:sz w:val="32"/>
          <w:szCs w:val="32"/>
        </w:rPr>
      </w:pPr>
      <w:r>
        <w:rPr>
          <w:rFonts w:hint="eastAsia" w:ascii="仿宋" w:hAnsi="仿宋" w:eastAsia="仿宋"/>
          <w:bCs/>
          <w:color w:val="auto"/>
          <w:sz w:val="32"/>
          <w:szCs w:val="32"/>
        </w:rPr>
        <w:t>（二）</w:t>
      </w:r>
      <w:r>
        <w:rPr>
          <w:rFonts w:ascii="仿宋" w:hAnsi="仿宋" w:eastAsia="仿宋"/>
          <w:bCs/>
          <w:color w:val="auto"/>
          <w:sz w:val="32"/>
          <w:szCs w:val="32"/>
        </w:rPr>
        <w:t>2020</w:t>
      </w:r>
      <w:r>
        <w:rPr>
          <w:rFonts w:hint="eastAsia" w:ascii="仿宋" w:hAnsi="仿宋" w:eastAsia="仿宋"/>
          <w:bCs/>
          <w:color w:val="auto"/>
          <w:sz w:val="32"/>
          <w:szCs w:val="32"/>
        </w:rPr>
        <w:t>年重点工作完成情况。</w:t>
      </w:r>
      <w:bookmarkEnd w:id="18"/>
      <w:bookmarkEnd w:id="19"/>
    </w:p>
    <w:p>
      <w:pPr>
        <w:pStyle w:val="6"/>
        <w:adjustRightInd w:val="0"/>
        <w:snapToGrid w:val="0"/>
        <w:spacing w:beforeLines="0" w:line="560" w:lineRule="exact"/>
        <w:ind w:firstLine="672" w:firstLineChars="210"/>
        <w:outlineLvl w:val="2"/>
        <w:rPr>
          <w:rFonts w:ascii="Times New Roman"/>
          <w:color w:val="auto"/>
          <w:kern w:val="2"/>
          <w:sz w:val="32"/>
          <w:szCs w:val="32"/>
        </w:rPr>
      </w:pPr>
      <w:r>
        <w:rPr>
          <w:rFonts w:ascii="Times New Roman"/>
          <w:color w:val="auto"/>
          <w:kern w:val="2"/>
          <w:sz w:val="32"/>
          <w:szCs w:val="32"/>
        </w:rPr>
        <w:t>2020年，我们深入学习党的十九届五中全会精神，认真学习贯彻习近平总书记关于加强和改进统一战线工作的重要思想，全面落实省委十一届七次、八次全会及市委七届十一次、十二次、十三次全会各项决策部署，全市统战工作目标任务全面完成。</w:t>
      </w:r>
    </w:p>
    <w:p>
      <w:pPr>
        <w:overflowPunct w:val="0"/>
        <w:autoSpaceDE w:val="0"/>
        <w:autoSpaceDN w:val="0"/>
        <w:spacing w:line="576" w:lineRule="exact"/>
        <w:ind w:firstLine="640" w:firstLineChars="200"/>
        <w:rPr>
          <w:rFonts w:eastAsia="仿宋_GB2312"/>
          <w:color w:val="auto"/>
          <w:sz w:val="32"/>
          <w:szCs w:val="32"/>
        </w:rPr>
      </w:pPr>
      <w:r>
        <w:rPr>
          <w:rFonts w:eastAsia="仿宋_GB2312"/>
          <w:color w:val="auto"/>
          <w:sz w:val="32"/>
          <w:szCs w:val="32"/>
        </w:rPr>
        <w:t>（一）</w:t>
      </w:r>
      <w:r>
        <w:rPr>
          <w:rFonts w:hint="eastAsia" w:eastAsia="仿宋_GB2312"/>
          <w:color w:val="auto"/>
          <w:sz w:val="32"/>
          <w:szCs w:val="32"/>
        </w:rPr>
        <w:t>大统战工作格局进一步健全</w:t>
      </w:r>
      <w:r>
        <w:rPr>
          <w:rFonts w:eastAsia="仿宋_GB2312"/>
          <w:color w:val="auto"/>
          <w:sz w:val="32"/>
          <w:szCs w:val="32"/>
        </w:rPr>
        <w:t>。2020年市委常委会14次传达学习和研究统战工作，党外干部配备、“九地合作”示范区建设</w:t>
      </w:r>
      <w:r>
        <w:rPr>
          <w:rFonts w:hint="eastAsia" w:eastAsia="仿宋_GB2312"/>
          <w:color w:val="auto"/>
          <w:sz w:val="32"/>
          <w:szCs w:val="32"/>
        </w:rPr>
        <w:t>、民族团结进步创建</w:t>
      </w:r>
      <w:r>
        <w:rPr>
          <w:rFonts w:eastAsia="仿宋_GB2312"/>
          <w:color w:val="auto"/>
          <w:sz w:val="32"/>
          <w:szCs w:val="32"/>
        </w:rPr>
        <w:t>等工作有序推进。全年召开领导小组会议2次，研制年度工作要点和贯彻落实</w:t>
      </w:r>
      <w:r>
        <w:rPr>
          <w:rFonts w:hint="eastAsia" w:eastAsia="仿宋_GB2312"/>
          <w:color w:val="auto"/>
          <w:sz w:val="32"/>
          <w:szCs w:val="32"/>
        </w:rPr>
        <w:t>中央、省委会议及文件措施，</w:t>
      </w:r>
      <w:r>
        <w:rPr>
          <w:rFonts w:eastAsia="仿宋_GB2312"/>
          <w:color w:val="auto"/>
          <w:sz w:val="32"/>
          <w:szCs w:val="32"/>
        </w:rPr>
        <w:t>确保中央、省委统战工作决策部署落地落实。将统战、宗教工作纳入市委政治巡察、重点督查和党建述职重要内容，</w:t>
      </w:r>
      <w:r>
        <w:rPr>
          <w:rFonts w:hint="eastAsia" w:eastAsia="仿宋_GB2312"/>
          <w:color w:val="auto"/>
          <w:sz w:val="32"/>
          <w:szCs w:val="32"/>
        </w:rPr>
        <w:t>统战工作合力进一步形成。务实开展“基层统战工作提升年”实践创新，举办基层统战委员培训班，</w:t>
      </w:r>
      <w:r>
        <w:rPr>
          <w:rFonts w:eastAsia="仿宋_GB2312"/>
          <w:color w:val="auto"/>
          <w:sz w:val="32"/>
          <w:szCs w:val="32"/>
        </w:rPr>
        <w:t>乡镇（街道）统战委员</w:t>
      </w:r>
      <w:r>
        <w:rPr>
          <w:rFonts w:hint="eastAsia" w:eastAsia="仿宋_GB2312"/>
          <w:color w:val="auto"/>
          <w:sz w:val="32"/>
          <w:szCs w:val="32"/>
        </w:rPr>
        <w:t>作用充分发挥</w:t>
      </w:r>
      <w:r>
        <w:rPr>
          <w:rFonts w:eastAsia="仿宋_GB2312"/>
          <w:color w:val="auto"/>
          <w:sz w:val="32"/>
          <w:szCs w:val="32"/>
        </w:rPr>
        <w:t>，《社会服务进社区，党派同心惠民生》入选《全省基层统战工作案例研究报告》。</w:t>
      </w:r>
    </w:p>
    <w:p>
      <w:pPr>
        <w:pStyle w:val="14"/>
        <w:spacing w:after="0" w:line="576" w:lineRule="exact"/>
        <w:ind w:left="0" w:leftChars="0" w:firstLine="640"/>
        <w:rPr>
          <w:rFonts w:eastAsia="仿宋_GB2312"/>
          <w:color w:val="auto"/>
          <w:sz w:val="32"/>
          <w:szCs w:val="32"/>
        </w:rPr>
      </w:pPr>
      <w:r>
        <w:rPr>
          <w:rFonts w:eastAsia="仿宋_GB2312"/>
          <w:color w:val="auto"/>
          <w:sz w:val="32"/>
          <w:szCs w:val="32"/>
        </w:rPr>
        <w:t>（二）</w:t>
      </w:r>
      <w:r>
        <w:rPr>
          <w:rFonts w:hint="eastAsia" w:eastAsia="仿宋_GB2312"/>
          <w:color w:val="auto"/>
          <w:sz w:val="32"/>
          <w:szCs w:val="32"/>
        </w:rPr>
        <w:t>践行新型政党制度工作质效提升</w:t>
      </w:r>
      <w:r>
        <w:rPr>
          <w:rFonts w:eastAsia="仿宋_GB2312"/>
          <w:color w:val="auto"/>
          <w:sz w:val="32"/>
          <w:szCs w:val="32"/>
        </w:rPr>
        <w:t>。</w:t>
      </w:r>
      <w:r>
        <w:rPr>
          <w:rFonts w:hint="eastAsia" w:eastAsia="仿宋_GB2312"/>
          <w:color w:val="auto"/>
          <w:sz w:val="32"/>
          <w:szCs w:val="32"/>
        </w:rPr>
        <w:t>支持帮助</w:t>
      </w:r>
      <w:r>
        <w:rPr>
          <w:rFonts w:eastAsia="仿宋_GB2312"/>
          <w:color w:val="auto"/>
          <w:sz w:val="32"/>
          <w:szCs w:val="32"/>
        </w:rPr>
        <w:t>各民主党派加强自身建设</w:t>
      </w:r>
      <w:r>
        <w:rPr>
          <w:rFonts w:hint="eastAsia" w:eastAsia="仿宋_GB2312"/>
          <w:color w:val="auto"/>
          <w:sz w:val="32"/>
          <w:szCs w:val="32"/>
        </w:rPr>
        <w:t>，召开加强中国特色社会主义参政党建设座谈会，各</w:t>
      </w:r>
      <w:r>
        <w:rPr>
          <w:rFonts w:eastAsia="仿宋_GB2312"/>
          <w:color w:val="auto"/>
          <w:sz w:val="32"/>
          <w:szCs w:val="32"/>
        </w:rPr>
        <w:t>民主党派市委会内控机制</w:t>
      </w:r>
      <w:r>
        <w:rPr>
          <w:rFonts w:hint="eastAsia" w:eastAsia="仿宋_GB2312"/>
          <w:color w:val="auto"/>
          <w:sz w:val="32"/>
          <w:szCs w:val="32"/>
        </w:rPr>
        <w:t>不断完善。</w:t>
      </w:r>
      <w:r>
        <w:rPr>
          <w:rFonts w:eastAsia="仿宋_GB2312"/>
          <w:color w:val="auto"/>
          <w:sz w:val="32"/>
          <w:szCs w:val="32"/>
        </w:rPr>
        <w:t>6个民主党派市委会领导班子完成届中调整。民主党派机关办公条件</w:t>
      </w:r>
      <w:r>
        <w:rPr>
          <w:rFonts w:hint="eastAsia" w:eastAsia="仿宋_GB2312"/>
          <w:color w:val="auto"/>
          <w:sz w:val="32"/>
          <w:szCs w:val="32"/>
        </w:rPr>
        <w:t>改善纳入财政专项计划</w:t>
      </w:r>
      <w:r>
        <w:rPr>
          <w:rFonts w:eastAsia="仿宋_GB2312"/>
          <w:color w:val="auto"/>
          <w:sz w:val="32"/>
          <w:szCs w:val="32"/>
        </w:rPr>
        <w:t>。务实</w:t>
      </w:r>
      <w:r>
        <w:rPr>
          <w:rFonts w:hint="eastAsia" w:eastAsia="仿宋_GB2312"/>
          <w:color w:val="auto"/>
          <w:sz w:val="32"/>
          <w:szCs w:val="32"/>
        </w:rPr>
        <w:t>开展</w:t>
      </w:r>
      <w:r>
        <w:rPr>
          <w:rFonts w:eastAsia="仿宋_GB2312"/>
          <w:color w:val="auto"/>
          <w:sz w:val="32"/>
          <w:szCs w:val="32"/>
        </w:rPr>
        <w:t>市“两会”人事协商、《政府工作报告》协商、城乡基层治理制度创新和能力建设等5次专题协商</w:t>
      </w:r>
      <w:r>
        <w:rPr>
          <w:rFonts w:hint="eastAsia" w:eastAsia="仿宋_GB2312"/>
          <w:color w:val="auto"/>
          <w:sz w:val="32"/>
          <w:szCs w:val="32"/>
        </w:rPr>
        <w:t>，切实巩固“不忘合作初心，继续携手前进”主题教育活动成果，团结奋斗的共同思想政治基础进一步筑牢</w:t>
      </w:r>
      <w:r>
        <w:rPr>
          <w:rFonts w:eastAsia="仿宋_GB2312"/>
          <w:color w:val="auto"/>
          <w:sz w:val="32"/>
          <w:szCs w:val="32"/>
        </w:rPr>
        <w:t>。高质量完成浙江省委统战部、致公党浙江省委会来广开展脱贫攻坚民主监督和调研的协调服务工作。持续深化九广合作，全年共争取到位项目资金4600余万元。</w:t>
      </w:r>
    </w:p>
    <w:p>
      <w:pPr>
        <w:pStyle w:val="14"/>
        <w:spacing w:after="0" w:line="576" w:lineRule="exact"/>
        <w:ind w:left="0" w:leftChars="0" w:firstLine="640"/>
        <w:rPr>
          <w:rFonts w:eastAsia="仿宋_GB2312"/>
          <w:color w:val="auto"/>
          <w:sz w:val="32"/>
          <w:szCs w:val="32"/>
        </w:rPr>
      </w:pPr>
      <w:r>
        <w:rPr>
          <w:rFonts w:eastAsia="仿宋_GB2312"/>
          <w:color w:val="auto"/>
          <w:sz w:val="32"/>
          <w:szCs w:val="32"/>
        </w:rPr>
        <w:t>（三）党外知识分子工作和党外干部队伍建设</w:t>
      </w:r>
      <w:r>
        <w:rPr>
          <w:rFonts w:hint="eastAsia" w:eastAsia="仿宋_GB2312"/>
          <w:color w:val="auto"/>
          <w:sz w:val="32"/>
          <w:szCs w:val="32"/>
        </w:rPr>
        <w:t>再上新台阶</w:t>
      </w:r>
      <w:r>
        <w:rPr>
          <w:rFonts w:eastAsia="仿宋_GB2312"/>
          <w:color w:val="auto"/>
          <w:sz w:val="32"/>
          <w:szCs w:val="32"/>
        </w:rPr>
        <w:t>。分类建立了党外知识分子的数据库、无党派人士重点人物库及归国留学人员库。持续开展“弘扬爱国奋斗精神、建功立业新时代”主题教育，</w:t>
      </w:r>
      <w:r>
        <w:rPr>
          <w:rFonts w:hint="eastAsia" w:eastAsia="仿宋_GB2312"/>
          <w:color w:val="auto"/>
          <w:sz w:val="32"/>
          <w:szCs w:val="32"/>
        </w:rPr>
        <w:t>创新</w:t>
      </w:r>
      <w:r>
        <w:rPr>
          <w:rFonts w:eastAsia="仿宋_GB2312"/>
          <w:color w:val="auto"/>
          <w:sz w:val="32"/>
          <w:szCs w:val="32"/>
        </w:rPr>
        <w:t>开展“美丽广元·锦绣蜀道—我为蜀道栽枝花”公益活动，助力全市打赢污染防治攻坚战。认真贯彻市委《关于加强年轻干部、女干部、党外干部培养使用工作的实施意见（试行）》，8个市政府工作部门领导班子配备党外干部9名，5个市级部门配备党外正职5名</w:t>
      </w:r>
      <w:r>
        <w:rPr>
          <w:rFonts w:hint="eastAsia" w:eastAsia="仿宋_GB2312"/>
          <w:color w:val="auto"/>
          <w:sz w:val="32"/>
          <w:szCs w:val="32"/>
        </w:rPr>
        <w:t>，市委重视党外干部实职安排被中央统战部《每日汇报》刊发</w:t>
      </w:r>
      <w:r>
        <w:rPr>
          <w:rFonts w:eastAsia="仿宋_GB2312"/>
          <w:color w:val="auto"/>
          <w:sz w:val="32"/>
          <w:szCs w:val="32"/>
        </w:rPr>
        <w:t>。</w:t>
      </w:r>
    </w:p>
    <w:p>
      <w:pPr>
        <w:pStyle w:val="14"/>
        <w:spacing w:after="0" w:line="576" w:lineRule="exact"/>
        <w:ind w:left="0" w:leftChars="0" w:firstLine="640"/>
        <w:rPr>
          <w:rFonts w:eastAsia="仿宋_GB2312"/>
          <w:color w:val="auto"/>
          <w:kern w:val="0"/>
          <w:sz w:val="32"/>
          <w:szCs w:val="32"/>
        </w:rPr>
      </w:pPr>
      <w:r>
        <w:rPr>
          <w:rFonts w:eastAsia="仿宋_GB2312"/>
          <w:color w:val="auto"/>
          <w:sz w:val="32"/>
          <w:szCs w:val="32"/>
        </w:rPr>
        <w:t>（四）</w:t>
      </w:r>
      <w:r>
        <w:rPr>
          <w:rFonts w:hint="eastAsia" w:eastAsia="仿宋_GB2312"/>
          <w:color w:val="auto"/>
          <w:sz w:val="32"/>
          <w:szCs w:val="32"/>
        </w:rPr>
        <w:t>民族和睦宗教和顺局面不断巩固。</w:t>
      </w:r>
      <w:r>
        <w:rPr>
          <w:rFonts w:eastAsia="仿宋_GB2312"/>
          <w:color w:val="auto"/>
          <w:kern w:val="0"/>
          <w:sz w:val="32"/>
          <w:szCs w:val="32"/>
        </w:rPr>
        <w:t>建立实施市、县（区）民族事务委员会制度，深化跨省区协作推进双向管理加强城市民族工作，争取省财政民族资金645万元助力民族乡村脱贫奔康。扎实开展民族团结进步创建，</w:t>
      </w:r>
      <w:r>
        <w:rPr>
          <w:rFonts w:hint="eastAsia" w:eastAsia="仿宋_GB2312"/>
          <w:color w:val="auto"/>
          <w:kern w:val="0"/>
          <w:sz w:val="32"/>
          <w:szCs w:val="32"/>
        </w:rPr>
        <w:t>召开全市第四次民族团结进步表彰大会，</w:t>
      </w:r>
      <w:r>
        <w:rPr>
          <w:rFonts w:eastAsia="仿宋_GB2312"/>
          <w:color w:val="auto"/>
          <w:kern w:val="0"/>
          <w:sz w:val="32"/>
          <w:szCs w:val="32"/>
          <w:lang w:val="zh-CN"/>
        </w:rPr>
        <w:t>青川县</w:t>
      </w:r>
      <w:r>
        <w:rPr>
          <w:rFonts w:eastAsia="仿宋_GB2312"/>
          <w:color w:val="auto"/>
          <w:kern w:val="0"/>
          <w:sz w:val="32"/>
          <w:szCs w:val="32"/>
        </w:rPr>
        <w:t>被命名为全省民族团结进步示范县，蒿溪回族乡被命名为全国第八批民族团结进步创建示范乡镇。</w:t>
      </w:r>
      <w:r>
        <w:rPr>
          <w:rFonts w:eastAsia="仿宋_GB2312"/>
          <w:color w:val="auto"/>
          <w:sz w:val="32"/>
          <w:szCs w:val="32"/>
        </w:rPr>
        <w:t>深入开展宗教场所疫情防控、消防安全隐患排查整治、</w:t>
      </w:r>
      <w:r>
        <w:rPr>
          <w:rFonts w:eastAsia="仿宋_GB2312"/>
          <w:color w:val="auto"/>
          <w:kern w:val="0"/>
          <w:sz w:val="32"/>
          <w:szCs w:val="32"/>
        </w:rPr>
        <w:t>食品安全监督管理</w:t>
      </w:r>
      <w:r>
        <w:rPr>
          <w:rFonts w:eastAsia="仿宋_GB2312"/>
          <w:color w:val="auto"/>
          <w:sz w:val="32"/>
          <w:szCs w:val="32"/>
        </w:rPr>
        <w:t>工作。</w:t>
      </w:r>
      <w:r>
        <w:rPr>
          <w:rFonts w:hint="eastAsia" w:eastAsia="仿宋_GB2312"/>
          <w:color w:val="auto"/>
          <w:sz w:val="32"/>
          <w:szCs w:val="32"/>
        </w:rPr>
        <w:t>宣传贯彻《四川省宗教事务条例》，依法管理宗教事务。</w:t>
      </w:r>
    </w:p>
    <w:p>
      <w:pPr>
        <w:spacing w:line="576" w:lineRule="exact"/>
        <w:ind w:firstLine="640" w:firstLineChars="200"/>
        <w:rPr>
          <w:rFonts w:eastAsia="仿宋_GB2312"/>
          <w:color w:val="auto"/>
          <w:sz w:val="32"/>
          <w:szCs w:val="32"/>
        </w:rPr>
      </w:pPr>
      <w:r>
        <w:rPr>
          <w:rFonts w:eastAsia="仿宋_GB2312"/>
          <w:color w:val="auto"/>
          <w:sz w:val="32"/>
          <w:szCs w:val="32"/>
        </w:rPr>
        <w:t>（五）</w:t>
      </w:r>
      <w:r>
        <w:rPr>
          <w:rFonts w:hint="eastAsia" w:eastAsia="仿宋_GB2312"/>
          <w:color w:val="auto"/>
          <w:sz w:val="32"/>
          <w:szCs w:val="32"/>
        </w:rPr>
        <w:t>巩固</w:t>
      </w:r>
      <w:r>
        <w:rPr>
          <w:rFonts w:eastAsia="仿宋_GB2312"/>
          <w:color w:val="auto"/>
          <w:sz w:val="32"/>
          <w:szCs w:val="32"/>
        </w:rPr>
        <w:t>提升民营经济统战工作和市中华职教社工作。</w:t>
      </w:r>
      <w:r>
        <w:rPr>
          <w:rFonts w:hint="eastAsia" w:eastAsia="仿宋_GB2312"/>
          <w:color w:val="auto"/>
          <w:sz w:val="32"/>
          <w:szCs w:val="32"/>
        </w:rPr>
        <w:t>认真贯彻</w:t>
      </w:r>
      <w:r>
        <w:rPr>
          <w:rFonts w:eastAsia="仿宋_GB2312"/>
          <w:color w:val="auto"/>
          <w:sz w:val="32"/>
          <w:szCs w:val="32"/>
        </w:rPr>
        <w:t>落实《大力促进民营经济跨越式发展的意见》及工业稳增长15条、促进房地产35条、外向型经济稳增长16条等政策措施。协调金融机构推出应收账款质押贷款、商户联保贷款和存货质押等贷款模式</w:t>
      </w:r>
      <w:r>
        <w:rPr>
          <w:rFonts w:hint="eastAsia" w:eastAsia="仿宋_GB2312"/>
          <w:color w:val="auto"/>
          <w:sz w:val="32"/>
          <w:szCs w:val="32"/>
        </w:rPr>
        <w:t>，</w:t>
      </w:r>
      <w:r>
        <w:rPr>
          <w:rFonts w:eastAsia="仿宋_GB2312"/>
          <w:color w:val="auto"/>
          <w:sz w:val="32"/>
          <w:szCs w:val="32"/>
        </w:rPr>
        <w:t>为民营企业及个体工商户提供贷款担保，缓解民营企业资金困难。大力实施“民营企业家素质提升工程”</w:t>
      </w:r>
      <w:r>
        <w:rPr>
          <w:rFonts w:hint="eastAsia" w:eastAsia="仿宋_GB2312"/>
          <w:color w:val="auto"/>
          <w:sz w:val="32"/>
          <w:szCs w:val="32"/>
        </w:rPr>
        <w:t>，</w:t>
      </w:r>
      <w:r>
        <w:rPr>
          <w:rFonts w:eastAsia="仿宋_GB2312"/>
          <w:color w:val="auto"/>
          <w:sz w:val="32"/>
          <w:szCs w:val="32"/>
        </w:rPr>
        <w:t>举办“法律进企业专题讲座”和“税收助力民营经济健康发展市州行”广元专题培训会，推荐年轻企业家参加“四川省成长型民营企业家培养计划”。深入实施“星火计划”帮助建档立卡</w:t>
      </w:r>
      <w:r>
        <w:rPr>
          <w:rFonts w:hint="eastAsia" w:eastAsia="仿宋_GB2312"/>
          <w:color w:val="auto"/>
          <w:sz w:val="32"/>
          <w:szCs w:val="32"/>
        </w:rPr>
        <w:t>贫困</w:t>
      </w:r>
      <w:r>
        <w:rPr>
          <w:rFonts w:eastAsia="仿宋_GB2312"/>
          <w:color w:val="auto"/>
          <w:sz w:val="32"/>
          <w:szCs w:val="32"/>
        </w:rPr>
        <w:t>家庭学生就业，组织中职学校校长参与“初阳计划”校长能力提升培训。</w:t>
      </w:r>
      <w:r>
        <w:rPr>
          <w:rFonts w:hint="eastAsia" w:eastAsia="仿宋_GB2312"/>
          <w:color w:val="auto"/>
          <w:sz w:val="32"/>
          <w:szCs w:val="32"/>
        </w:rPr>
        <w:t>支持开展</w:t>
      </w:r>
      <w:r>
        <w:rPr>
          <w:rFonts w:eastAsia="仿宋_GB2312"/>
          <w:color w:val="auto"/>
          <w:sz w:val="32"/>
          <w:szCs w:val="32"/>
        </w:rPr>
        <w:t>教育援疆项目</w:t>
      </w:r>
      <w:r>
        <w:rPr>
          <w:rFonts w:hint="eastAsia" w:eastAsia="仿宋_GB2312"/>
          <w:color w:val="auto"/>
          <w:sz w:val="32"/>
          <w:szCs w:val="32"/>
        </w:rPr>
        <w:t>成效显著。</w:t>
      </w:r>
      <w:r>
        <w:rPr>
          <w:rFonts w:eastAsia="仿宋_GB2312"/>
          <w:color w:val="auto"/>
          <w:sz w:val="32"/>
          <w:szCs w:val="32"/>
        </w:rPr>
        <w:t>全面加强职教社基层组织建设，基层职教社组织覆盖率达70%。</w:t>
      </w:r>
    </w:p>
    <w:p>
      <w:pPr>
        <w:pStyle w:val="14"/>
        <w:spacing w:after="0" w:line="576" w:lineRule="exact"/>
        <w:ind w:left="0" w:leftChars="0" w:firstLine="640"/>
        <w:rPr>
          <w:rFonts w:eastAsia="仿宋_GB2312"/>
          <w:color w:val="auto"/>
          <w:sz w:val="32"/>
          <w:szCs w:val="32"/>
        </w:rPr>
      </w:pPr>
      <w:r>
        <w:rPr>
          <w:rFonts w:eastAsia="仿宋_GB2312"/>
          <w:color w:val="auto"/>
          <w:sz w:val="32"/>
          <w:szCs w:val="32"/>
        </w:rPr>
        <w:t>（六）新的社会阶层人士工作</w:t>
      </w:r>
      <w:r>
        <w:rPr>
          <w:rFonts w:hint="eastAsia" w:eastAsia="仿宋_GB2312"/>
          <w:color w:val="auto"/>
          <w:sz w:val="32"/>
          <w:szCs w:val="32"/>
        </w:rPr>
        <w:t>得到加强</w:t>
      </w:r>
      <w:r>
        <w:rPr>
          <w:rFonts w:eastAsia="仿宋_GB2312"/>
          <w:color w:val="auto"/>
          <w:sz w:val="32"/>
          <w:szCs w:val="32"/>
        </w:rPr>
        <w:t>。</w:t>
      </w:r>
      <w:r>
        <w:rPr>
          <w:rFonts w:hint="eastAsia" w:eastAsia="仿宋_GB2312"/>
          <w:color w:val="auto"/>
          <w:sz w:val="32"/>
          <w:szCs w:val="32"/>
        </w:rPr>
        <w:t>加强</w:t>
      </w:r>
      <w:r>
        <w:rPr>
          <w:rFonts w:eastAsia="仿宋_GB2312"/>
          <w:color w:val="auto"/>
          <w:sz w:val="32"/>
          <w:szCs w:val="32"/>
        </w:rPr>
        <w:t>新的社会阶层代表人士培训，组织代表人士参加省委统战部在延安举办的新阶层人士学习班、四川省新的社会阶层人士培训班，举办“广元市2020年新阶层人士创业能力提升培训班”。召开全市网络人士统战工作会议，扎实做好网络人士统战工作。成功</w:t>
      </w:r>
      <w:r>
        <w:rPr>
          <w:rFonts w:hint="eastAsia" w:eastAsia="仿宋_GB2312"/>
          <w:color w:val="auto"/>
          <w:sz w:val="32"/>
          <w:szCs w:val="32"/>
        </w:rPr>
        <w:t>承</w:t>
      </w:r>
      <w:r>
        <w:rPr>
          <w:rFonts w:eastAsia="仿宋_GB2312"/>
          <w:color w:val="auto"/>
          <w:sz w:val="32"/>
          <w:szCs w:val="32"/>
        </w:rPr>
        <w:t>办2020年四川省第二届网络春晚。</w:t>
      </w:r>
    </w:p>
    <w:p>
      <w:pPr>
        <w:spacing w:line="576" w:lineRule="exact"/>
        <w:ind w:firstLine="640" w:firstLineChars="200"/>
        <w:rPr>
          <w:rFonts w:eastAsia="仿宋_GB2312"/>
          <w:color w:val="auto"/>
          <w:kern w:val="0"/>
          <w:sz w:val="32"/>
          <w:szCs w:val="32"/>
        </w:rPr>
      </w:pPr>
      <w:r>
        <w:rPr>
          <w:rFonts w:eastAsia="仿宋_GB2312"/>
          <w:color w:val="auto"/>
          <w:sz w:val="32"/>
          <w:szCs w:val="32"/>
        </w:rPr>
        <w:t>（七）</w:t>
      </w:r>
      <w:r>
        <w:rPr>
          <w:rFonts w:hint="eastAsia" w:eastAsia="仿宋_GB2312"/>
          <w:color w:val="auto"/>
          <w:sz w:val="32"/>
          <w:szCs w:val="32"/>
        </w:rPr>
        <w:t>务实</w:t>
      </w:r>
      <w:r>
        <w:rPr>
          <w:rFonts w:eastAsia="仿宋_GB2312"/>
          <w:color w:val="auto"/>
          <w:sz w:val="32"/>
          <w:szCs w:val="32"/>
        </w:rPr>
        <w:t>做好港澳台侨及海外统战工作。建立</w:t>
      </w:r>
      <w:r>
        <w:rPr>
          <w:rFonts w:hint="eastAsia" w:eastAsia="仿宋_GB2312"/>
          <w:color w:val="auto"/>
          <w:sz w:val="32"/>
          <w:szCs w:val="32"/>
        </w:rPr>
        <w:t>健全</w:t>
      </w:r>
      <w:r>
        <w:rPr>
          <w:rFonts w:eastAsia="仿宋_GB2312"/>
          <w:color w:val="auto"/>
          <w:sz w:val="32"/>
          <w:szCs w:val="32"/>
        </w:rPr>
        <w:t>海外统战工作机制。切实抓好“31条措施”“26条措施”和“川台70条”“四川支持台企12条”的贯彻落实</w:t>
      </w:r>
      <w:r>
        <w:rPr>
          <w:rFonts w:hint="eastAsia" w:eastAsia="仿宋_GB2312"/>
          <w:color w:val="auto"/>
          <w:sz w:val="32"/>
          <w:szCs w:val="32"/>
        </w:rPr>
        <w:t>。</w:t>
      </w:r>
      <w:r>
        <w:rPr>
          <w:rFonts w:eastAsia="仿宋_GB2312"/>
          <w:color w:val="auto"/>
          <w:sz w:val="32"/>
          <w:szCs w:val="32"/>
        </w:rPr>
        <w:t>深入开展“进企业、送清凉、保安全”活动。</w:t>
      </w:r>
      <w:r>
        <w:rPr>
          <w:rFonts w:eastAsia="仿宋_GB2312"/>
          <w:color w:val="auto"/>
          <w:kern w:val="0"/>
          <w:sz w:val="32"/>
          <w:szCs w:val="32"/>
        </w:rPr>
        <w:t>积极参加“中国侨商会助力市州发展项目推介会”、成渝地区双城经济圈建设专题研讨会暨第六届“海科杯”全球华侨华人创新创业大赛、“天府新区一带一路商会联盟大会2020侨界菁英川渝汇”等系列活动</w:t>
      </w:r>
      <w:r>
        <w:rPr>
          <w:rFonts w:hint="eastAsia" w:eastAsia="仿宋_GB2312"/>
          <w:color w:val="auto"/>
          <w:kern w:val="0"/>
          <w:sz w:val="32"/>
          <w:szCs w:val="32"/>
        </w:rPr>
        <w:t>。</w:t>
      </w:r>
      <w:r>
        <w:rPr>
          <w:rFonts w:eastAsia="仿宋_GB2312"/>
          <w:color w:val="auto"/>
          <w:kern w:val="0"/>
          <w:sz w:val="32"/>
          <w:szCs w:val="32"/>
        </w:rPr>
        <w:t>引进浙江青田侨商在我市投资5000万元兴建进口商品馆。</w:t>
      </w:r>
      <w:r>
        <w:rPr>
          <w:rFonts w:eastAsia="仿宋_GB2312"/>
          <w:color w:val="auto"/>
          <w:sz w:val="32"/>
          <w:szCs w:val="32"/>
        </w:rPr>
        <w:t>加强侨联组织建设</w:t>
      </w:r>
      <w:r>
        <w:rPr>
          <w:rFonts w:hint="eastAsia" w:eastAsia="仿宋_GB2312"/>
          <w:color w:val="auto"/>
          <w:sz w:val="32"/>
          <w:szCs w:val="32"/>
        </w:rPr>
        <w:t>，</w:t>
      </w:r>
      <w:r>
        <w:rPr>
          <w:rFonts w:eastAsia="仿宋_GB2312"/>
          <w:color w:val="auto"/>
          <w:sz w:val="32"/>
          <w:szCs w:val="32"/>
        </w:rPr>
        <w:t>县区侨联组织</w:t>
      </w:r>
      <w:r>
        <w:rPr>
          <w:rFonts w:hint="eastAsia" w:eastAsia="仿宋_GB2312"/>
          <w:color w:val="auto"/>
          <w:sz w:val="32"/>
          <w:szCs w:val="32"/>
        </w:rPr>
        <w:t>实现</w:t>
      </w:r>
      <w:r>
        <w:rPr>
          <w:rFonts w:eastAsia="仿宋_GB2312"/>
          <w:color w:val="auto"/>
          <w:sz w:val="32"/>
          <w:szCs w:val="32"/>
        </w:rPr>
        <w:t>全覆盖。</w:t>
      </w:r>
    </w:p>
    <w:p>
      <w:pPr>
        <w:overflowPunct w:val="0"/>
        <w:autoSpaceDE w:val="0"/>
        <w:autoSpaceDN w:val="0"/>
        <w:spacing w:line="576"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（八）从严从实抓好干部队伍建设。深入学习宣传贯彻落实习近平总书记关于加强和改进统一战线工作的重要思想，持续开展“做阅读党员、建书香机关”干部职工活动。认真落实</w:t>
      </w:r>
      <w:r>
        <w:rPr>
          <w:rFonts w:hint="eastAsia" w:eastAsia="仿宋_GB2312"/>
          <w:bCs/>
          <w:color w:val="auto"/>
          <w:kern w:val="0"/>
          <w:sz w:val="32"/>
          <w:szCs w:val="32"/>
        </w:rPr>
        <w:t>部理论学习中心组和支部“三会一课”制度。</w:t>
      </w:r>
      <w:r>
        <w:rPr>
          <w:rFonts w:eastAsia="仿宋_GB2312"/>
          <w:color w:val="auto"/>
          <w:sz w:val="32"/>
          <w:szCs w:val="32"/>
        </w:rPr>
        <w:t>开展科级及以下干部季度测评</w:t>
      </w:r>
      <w:r>
        <w:rPr>
          <w:rFonts w:hint="eastAsia" w:eastAsia="仿宋_GB2312"/>
          <w:color w:val="auto"/>
          <w:sz w:val="32"/>
          <w:szCs w:val="32"/>
        </w:rPr>
        <w:t>。纵深推进</w:t>
      </w:r>
      <w:r>
        <w:rPr>
          <w:rFonts w:eastAsia="仿宋_GB2312"/>
          <w:color w:val="auto"/>
          <w:sz w:val="32"/>
          <w:szCs w:val="32"/>
        </w:rPr>
        <w:t>党风廉政建设和反腐败工作，</w:t>
      </w:r>
      <w:r>
        <w:rPr>
          <w:rFonts w:hint="eastAsia" w:eastAsia="仿宋_GB2312"/>
          <w:color w:val="auto"/>
          <w:sz w:val="32"/>
          <w:szCs w:val="32"/>
        </w:rPr>
        <w:t>重拳整治</w:t>
      </w:r>
      <w:r>
        <w:rPr>
          <w:rFonts w:eastAsia="仿宋_GB2312"/>
          <w:color w:val="auto"/>
          <w:sz w:val="32"/>
          <w:szCs w:val="32"/>
        </w:rPr>
        <w:t>形式主义官僚主义</w:t>
      </w:r>
      <w:r>
        <w:rPr>
          <w:rFonts w:hint="eastAsia" w:eastAsia="仿宋_GB2312"/>
          <w:color w:val="auto"/>
          <w:sz w:val="32"/>
          <w:szCs w:val="32"/>
        </w:rPr>
        <w:t>问题，</w:t>
      </w:r>
      <w:r>
        <w:rPr>
          <w:rFonts w:eastAsia="仿宋_GB2312"/>
          <w:color w:val="auto"/>
          <w:sz w:val="32"/>
          <w:szCs w:val="32"/>
        </w:rPr>
        <w:t>常态化开展纪律教育和廉政警示教育</w:t>
      </w:r>
      <w:r>
        <w:rPr>
          <w:rFonts w:hint="eastAsia" w:eastAsia="仿宋_GB2312"/>
          <w:color w:val="auto"/>
          <w:sz w:val="32"/>
          <w:szCs w:val="32"/>
        </w:rPr>
        <w:t>。高质量完成“四责同述”试点任务。</w:t>
      </w:r>
    </w:p>
    <w:p>
      <w:pPr>
        <w:pStyle w:val="14"/>
        <w:ind w:firstLine="640"/>
        <w:rPr>
          <w:rFonts w:hint="eastAsia" w:ascii="仿宋_GB2312" w:hAnsi="仿宋_GB2312" w:eastAsia="仿宋_GB2312" w:cs="仿宋_GB2312"/>
          <w:color w:val="auto"/>
          <w:sz w:val="32"/>
          <w:szCs w:val="32"/>
        </w:rPr>
      </w:pPr>
    </w:p>
    <w:p>
      <w:pPr>
        <w:pStyle w:val="14"/>
        <w:ind w:firstLine="640"/>
        <w:rPr>
          <w:rFonts w:hint="eastAsia" w:ascii="仿宋_GB2312" w:hAnsi="仿宋_GB2312" w:eastAsia="仿宋_GB2312" w:cs="仿宋_GB2312"/>
          <w:color w:val="auto"/>
          <w:sz w:val="32"/>
          <w:szCs w:val="32"/>
        </w:rPr>
      </w:pPr>
    </w:p>
    <w:p>
      <w:pPr>
        <w:pStyle w:val="4"/>
        <w:spacing w:before="0" w:after="0" w:line="560" w:lineRule="exact"/>
        <w:ind w:firstLine="640" w:firstLineChars="200"/>
        <w:rPr>
          <w:rStyle w:val="22"/>
          <w:color w:val="auto"/>
        </w:rPr>
      </w:pPr>
      <w:bookmarkStart w:id="20" w:name="_Toc15377200"/>
      <w:bookmarkStart w:id="21" w:name="_Toc15396601"/>
      <w:r>
        <w:rPr>
          <w:rFonts w:hint="eastAsia" w:ascii="黑体" w:eastAsia="黑体"/>
          <w:b w:val="0"/>
          <w:color w:val="auto"/>
        </w:rPr>
        <w:t>二、</w:t>
      </w:r>
      <w:r>
        <w:rPr>
          <w:rFonts w:hint="eastAsia" w:ascii="黑体" w:hAnsi="黑体" w:eastAsia="黑体"/>
          <w:b w:val="0"/>
          <w:color w:val="auto"/>
        </w:rPr>
        <w:t>机</w:t>
      </w:r>
      <w:r>
        <w:rPr>
          <w:rStyle w:val="22"/>
          <w:rFonts w:hint="eastAsia" w:ascii="黑体" w:hAnsi="黑体" w:eastAsia="黑体"/>
          <w:color w:val="auto"/>
        </w:rPr>
        <w:t>构设置</w:t>
      </w:r>
      <w:bookmarkEnd w:id="20"/>
      <w:bookmarkEnd w:id="21"/>
    </w:p>
    <w:p>
      <w:pPr>
        <w:pStyle w:val="6"/>
        <w:adjustRightInd w:val="0"/>
        <w:snapToGrid w:val="0"/>
        <w:spacing w:before="93" w:line="560" w:lineRule="exact"/>
        <w:ind w:firstLine="672" w:firstLineChars="210"/>
        <w:outlineLvl w:val="2"/>
        <w:rPr>
          <w:rFonts w:hAnsi="仿宋_GB2312" w:cs="仿宋_GB2312"/>
          <w:color w:val="auto"/>
          <w:kern w:val="2"/>
          <w:sz w:val="32"/>
          <w:szCs w:val="32"/>
        </w:rPr>
      </w:pPr>
      <w:r>
        <w:rPr>
          <w:rFonts w:hint="eastAsia" w:hAnsi="仿宋_GB2312" w:cs="仿宋_GB2312"/>
          <w:color w:val="auto"/>
          <w:kern w:val="2"/>
          <w:sz w:val="32"/>
          <w:szCs w:val="32"/>
        </w:rPr>
        <w:t>市委统战部</w:t>
      </w:r>
      <w:r>
        <w:rPr>
          <w:rFonts w:hint="eastAsia" w:hAnsi="仿宋_GB2312" w:cs="仿宋_GB2312"/>
          <w:color w:val="auto"/>
          <w:kern w:val="2"/>
          <w:sz w:val="32"/>
          <w:szCs w:val="32"/>
          <w:lang w:eastAsia="zh-CN"/>
        </w:rPr>
        <w:t>机关</w:t>
      </w:r>
      <w:r>
        <w:rPr>
          <w:rFonts w:hint="eastAsia" w:hAnsi="仿宋_GB2312" w:cs="仿宋_GB2312"/>
          <w:color w:val="auto"/>
          <w:kern w:val="2"/>
          <w:sz w:val="32"/>
          <w:szCs w:val="32"/>
        </w:rPr>
        <w:t>属行政单位。</w:t>
      </w:r>
    </w:p>
    <w:p>
      <w:pPr>
        <w:pStyle w:val="6"/>
        <w:adjustRightInd w:val="0"/>
        <w:snapToGrid w:val="0"/>
        <w:spacing w:beforeLines="0" w:line="560" w:lineRule="exact"/>
        <w:ind w:firstLine="640" w:firstLineChars="200"/>
        <w:rPr>
          <w:rFonts w:hint="eastAsia" w:ascii="仿宋" w:hAnsi="仿宋" w:eastAsia="仿宋_GB2312"/>
          <w:color w:val="auto"/>
          <w:sz w:val="32"/>
          <w:szCs w:val="32"/>
          <w:lang w:eastAsia="zh-CN"/>
        </w:rPr>
      </w:pPr>
      <w:r>
        <w:rPr>
          <w:rFonts w:hint="eastAsia" w:hAnsi="仿宋_GB2312" w:cs="仿宋_GB2312"/>
          <w:color w:val="auto"/>
          <w:kern w:val="2"/>
          <w:sz w:val="32"/>
          <w:szCs w:val="32"/>
        </w:rPr>
        <w:t>纳入市委统战部</w:t>
      </w:r>
      <w:r>
        <w:rPr>
          <w:rFonts w:hint="eastAsia" w:hAnsi="仿宋_GB2312" w:cs="仿宋_GB2312"/>
          <w:color w:val="auto"/>
          <w:kern w:val="2"/>
          <w:sz w:val="32"/>
          <w:szCs w:val="32"/>
          <w:lang w:eastAsia="zh-CN"/>
        </w:rPr>
        <w:t>机关</w:t>
      </w:r>
      <w:r>
        <w:rPr>
          <w:rFonts w:hAnsi="仿宋_GB2312" w:cs="仿宋_GB2312"/>
          <w:color w:val="auto"/>
          <w:kern w:val="2"/>
          <w:sz w:val="32"/>
          <w:szCs w:val="32"/>
        </w:rPr>
        <w:t>2020</w:t>
      </w:r>
      <w:r>
        <w:rPr>
          <w:rFonts w:hint="eastAsia" w:hAnsi="仿宋_GB2312" w:cs="仿宋_GB2312"/>
          <w:color w:val="auto"/>
          <w:kern w:val="2"/>
          <w:sz w:val="32"/>
          <w:szCs w:val="32"/>
        </w:rPr>
        <w:t>年度部门决算编制范围的预算单位包括</w:t>
      </w:r>
      <w:r>
        <w:rPr>
          <w:rFonts w:hint="eastAsia" w:ascii="仿宋_GB2312" w:hAnsi="仿宋_GB2312" w:eastAsia="仿宋_GB2312" w:cs="仿宋_GB2312"/>
          <w:color w:val="auto"/>
          <w:kern w:val="0"/>
          <w:sz w:val="32"/>
          <w:szCs w:val="32"/>
        </w:rPr>
        <w:t>市委统战部本级</w:t>
      </w:r>
      <w:r>
        <w:rPr>
          <w:rFonts w:hint="eastAsia" w:hAnsi="仿宋_GB2312" w:cs="仿宋_GB2312"/>
          <w:color w:val="auto"/>
          <w:kern w:val="0"/>
          <w:sz w:val="32"/>
          <w:szCs w:val="32"/>
          <w:lang w:eastAsia="zh-CN"/>
        </w:rPr>
        <w:t>。</w:t>
      </w:r>
    </w:p>
    <w:p>
      <w:pPr>
        <w:widowControl/>
        <w:spacing w:line="560" w:lineRule="exact"/>
        <w:jc w:val="left"/>
        <w:rPr>
          <w:rFonts w:ascii="仿宋" w:hAnsi="仿宋" w:eastAsia="仿宋"/>
          <w:color w:val="auto"/>
          <w:kern w:val="0"/>
          <w:sz w:val="32"/>
          <w:szCs w:val="32"/>
        </w:rPr>
      </w:pPr>
      <w:r>
        <w:rPr>
          <w:rFonts w:ascii="仿宋" w:hAnsi="仿宋" w:eastAsia="仿宋"/>
          <w:color w:val="auto"/>
          <w:sz w:val="32"/>
          <w:szCs w:val="32"/>
        </w:rPr>
        <w:br w:type="page"/>
      </w:r>
    </w:p>
    <w:p>
      <w:pPr>
        <w:pStyle w:val="3"/>
        <w:spacing w:before="0" w:after="0" w:line="560" w:lineRule="exact"/>
        <w:ind w:right="440"/>
        <w:jc w:val="right"/>
        <w:rPr>
          <w:rStyle w:val="21"/>
          <w:rFonts w:ascii="黑体" w:hAnsi="黑体" w:eastAsia="黑体"/>
          <w:color w:val="auto"/>
        </w:rPr>
      </w:pPr>
      <w:bookmarkStart w:id="22" w:name="_Toc15396602"/>
      <w:bookmarkStart w:id="23" w:name="_Toc15377204"/>
      <w:r>
        <w:rPr>
          <w:rFonts w:hint="eastAsia" w:ascii="黑体" w:hAnsi="黑体" w:eastAsia="黑体"/>
          <w:b w:val="0"/>
          <w:color w:val="auto"/>
        </w:rPr>
        <w:t>第二部分</w:t>
      </w:r>
      <w:r>
        <w:rPr>
          <w:rFonts w:ascii="黑体" w:hAnsi="黑体" w:eastAsia="黑体"/>
          <w:color w:val="auto"/>
        </w:rPr>
        <w:t xml:space="preserve"> </w:t>
      </w:r>
      <w:r>
        <w:rPr>
          <w:rStyle w:val="21"/>
          <w:rFonts w:ascii="黑体" w:hAnsi="黑体" w:eastAsia="黑体"/>
          <w:color w:val="auto"/>
        </w:rPr>
        <w:t>2020</w:t>
      </w:r>
      <w:r>
        <w:rPr>
          <w:rStyle w:val="21"/>
          <w:rFonts w:hint="eastAsia" w:ascii="黑体" w:hAnsi="黑体" w:eastAsia="黑体"/>
          <w:color w:val="auto"/>
        </w:rPr>
        <w:t>年度部门决算情况说明</w:t>
      </w:r>
      <w:bookmarkEnd w:id="22"/>
      <w:bookmarkEnd w:id="23"/>
    </w:p>
    <w:p>
      <w:pPr>
        <w:spacing w:line="560" w:lineRule="exact"/>
        <w:rPr>
          <w:color w:val="auto"/>
        </w:rPr>
      </w:pPr>
    </w:p>
    <w:p>
      <w:pPr>
        <w:pStyle w:val="35"/>
        <w:spacing w:line="560" w:lineRule="exact"/>
        <w:ind w:firstLine="640"/>
        <w:outlineLvl w:val="1"/>
        <w:rPr>
          <w:rStyle w:val="22"/>
          <w:rFonts w:ascii="黑体" w:hAnsi="黑体" w:eastAsia="黑体"/>
          <w:b w:val="0"/>
          <w:color w:val="auto"/>
        </w:rPr>
      </w:pPr>
      <w:bookmarkStart w:id="24" w:name="_Toc15396603"/>
      <w:bookmarkStart w:id="25" w:name="_Toc15377205"/>
      <w:r>
        <w:rPr>
          <w:rFonts w:hint="eastAsia" w:ascii="黑体" w:hAnsi="黑体" w:eastAsia="黑体"/>
          <w:color w:val="auto"/>
          <w:sz w:val="32"/>
          <w:szCs w:val="32"/>
        </w:rPr>
        <w:t>一、收</w:t>
      </w:r>
      <w:r>
        <w:rPr>
          <w:rStyle w:val="22"/>
          <w:rFonts w:hint="eastAsia" w:ascii="黑体" w:hAnsi="黑体" w:eastAsia="黑体"/>
          <w:b w:val="0"/>
          <w:color w:val="auto"/>
        </w:rPr>
        <w:t>入支出决算总体情况说明</w:t>
      </w:r>
      <w:bookmarkEnd w:id="24"/>
      <w:bookmarkEnd w:id="25"/>
    </w:p>
    <w:p>
      <w:pPr>
        <w:spacing w:line="560" w:lineRule="exact"/>
        <w:ind w:firstLine="640" w:firstLineChars="200"/>
        <w:rPr>
          <w:rFonts w:hint="eastAsia" w:ascii="仿宋" w:hAnsi="仿宋" w:eastAsia="仿宋"/>
          <w:b/>
          <w:color w:val="auto"/>
          <w:sz w:val="32"/>
          <w:szCs w:val="32"/>
        </w:rPr>
      </w:pPr>
      <w:r>
        <w:rPr>
          <w:rFonts w:ascii="仿宋" w:hAnsi="仿宋" w:eastAsia="仿宋"/>
          <w:color w:val="auto"/>
          <w:sz w:val="32"/>
          <w:szCs w:val="32"/>
        </w:rPr>
        <w:t>2020</w:t>
      </w:r>
      <w:r>
        <w:rPr>
          <w:rFonts w:hint="eastAsia" w:ascii="仿宋" w:hAnsi="仿宋" w:eastAsia="仿宋"/>
          <w:color w:val="auto"/>
          <w:sz w:val="32"/>
          <w:szCs w:val="32"/>
        </w:rPr>
        <w:t>年度收、支总计973.46万元。与</w:t>
      </w:r>
      <w:r>
        <w:rPr>
          <w:rFonts w:ascii="仿宋" w:hAnsi="仿宋" w:eastAsia="仿宋"/>
          <w:color w:val="auto"/>
          <w:sz w:val="32"/>
          <w:szCs w:val="32"/>
        </w:rPr>
        <w:t>2019</w:t>
      </w:r>
      <w:r>
        <w:rPr>
          <w:rFonts w:hint="eastAsia" w:ascii="仿宋" w:hAnsi="仿宋" w:eastAsia="仿宋"/>
          <w:color w:val="auto"/>
          <w:sz w:val="32"/>
          <w:szCs w:val="32"/>
        </w:rPr>
        <w:t>年相比，收、支总计各减少90.1万元，下降6.1</w:t>
      </w:r>
      <w:r>
        <w:rPr>
          <w:rFonts w:ascii="仿宋" w:hAnsi="仿宋" w:eastAsia="仿宋"/>
          <w:color w:val="auto"/>
          <w:sz w:val="32"/>
          <w:szCs w:val="32"/>
        </w:rPr>
        <w:t>%</w:t>
      </w:r>
      <w:r>
        <w:rPr>
          <w:rFonts w:hint="eastAsia" w:ascii="仿宋" w:hAnsi="仿宋" w:eastAsia="仿宋"/>
          <w:color w:val="auto"/>
          <w:sz w:val="32"/>
          <w:szCs w:val="32"/>
        </w:rPr>
        <w:t>。主要变动原因是根据财政局要求各项经费压减，部机关经费压减比例大，同时严格落实市委、市政府关于过紧日子“十三条措施”精神，严格控各项经费支出。</w:t>
      </w:r>
    </w:p>
    <w:p>
      <w:pPr>
        <w:jc w:val="center"/>
        <w:rPr>
          <w:rFonts w:ascii="仿宋" w:hAnsi="仿宋" w:eastAsia="仿宋"/>
          <w:b/>
          <w:color w:val="auto"/>
          <w:sz w:val="32"/>
          <w:szCs w:val="32"/>
        </w:rPr>
      </w:pPr>
      <w:r>
        <w:rPr>
          <w:color w:val="auto"/>
        </w:rPr>
        <w:drawing>
          <wp:inline distT="0" distB="0" distL="114300" distR="114300">
            <wp:extent cx="4857750" cy="2819400"/>
            <wp:effectExtent l="4445" t="4445" r="14605" b="14605"/>
            <wp:docPr id="1" name="Chart 26"/>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560" w:lineRule="exact"/>
        <w:jc w:val="center"/>
        <w:rPr>
          <w:rFonts w:hint="eastAsia"/>
          <w:color w:val="auto"/>
        </w:rPr>
      </w:pPr>
      <w:r>
        <w:rPr>
          <w:rFonts w:hint="eastAsia"/>
          <w:color w:val="auto"/>
        </w:rPr>
        <w:t>（图</w:t>
      </w:r>
      <w:r>
        <w:rPr>
          <w:color w:val="auto"/>
        </w:rPr>
        <w:t>1</w:t>
      </w:r>
      <w:r>
        <w:rPr>
          <w:rFonts w:hint="eastAsia"/>
          <w:color w:val="auto"/>
        </w:rPr>
        <w:t>：收、支决算总计变动情况图）（柱状图）</w:t>
      </w:r>
      <w:bookmarkStart w:id="26" w:name="_Toc15377206"/>
      <w:bookmarkStart w:id="27" w:name="_Toc15396604"/>
    </w:p>
    <w:p>
      <w:pPr>
        <w:spacing w:line="560" w:lineRule="exact"/>
        <w:ind w:firstLine="642" w:firstLineChars="200"/>
        <w:rPr>
          <w:rStyle w:val="22"/>
          <w:rFonts w:ascii="黑体" w:hAnsi="黑体" w:eastAsia="黑体"/>
          <w:b w:val="0"/>
          <w:color w:val="auto"/>
        </w:rPr>
      </w:pPr>
      <w:r>
        <w:rPr>
          <w:rStyle w:val="22"/>
          <w:rFonts w:hint="eastAsia" w:ascii="黑体" w:hAnsi="黑体" w:eastAsia="黑体"/>
          <w:color w:val="auto"/>
        </w:rPr>
        <w:t>二、收</w:t>
      </w:r>
      <w:r>
        <w:rPr>
          <w:rStyle w:val="22"/>
          <w:rFonts w:hint="eastAsia" w:ascii="黑体" w:hAnsi="黑体" w:eastAsia="黑体"/>
          <w:b w:val="0"/>
          <w:color w:val="auto"/>
        </w:rPr>
        <w:t>入决算情况说明</w:t>
      </w:r>
      <w:bookmarkEnd w:id="26"/>
      <w:bookmarkEnd w:id="27"/>
    </w:p>
    <w:p>
      <w:pPr>
        <w:spacing w:line="560" w:lineRule="exact"/>
        <w:ind w:firstLine="640" w:firstLineChars="200"/>
        <w:outlineLvl w:val="1"/>
        <w:rPr>
          <w:rFonts w:hint="eastAsia" w:ascii="仿宋" w:hAnsi="仿宋" w:eastAsia="仿宋"/>
          <w:color w:val="auto"/>
          <w:sz w:val="32"/>
          <w:szCs w:val="32"/>
          <w:lang w:val="en-US" w:eastAsia="zh-CN"/>
        </w:rPr>
      </w:pPr>
      <w:r>
        <w:rPr>
          <w:rFonts w:ascii="仿宋" w:hAnsi="仿宋" w:eastAsia="仿宋"/>
          <w:color w:val="auto"/>
          <w:sz w:val="32"/>
          <w:szCs w:val="32"/>
        </w:rPr>
        <w:t>2020</w:t>
      </w:r>
      <w:r>
        <w:rPr>
          <w:rFonts w:hint="eastAsia" w:ascii="仿宋" w:hAnsi="仿宋" w:eastAsia="仿宋"/>
          <w:color w:val="auto"/>
          <w:sz w:val="32"/>
          <w:szCs w:val="32"/>
        </w:rPr>
        <w:t>年本年收入合计</w:t>
      </w:r>
      <w:r>
        <w:rPr>
          <w:rFonts w:hint="eastAsia" w:ascii="仿宋" w:hAnsi="仿宋" w:eastAsia="仿宋"/>
          <w:color w:val="auto"/>
          <w:sz w:val="32"/>
          <w:szCs w:val="32"/>
          <w:lang w:val="en-US" w:eastAsia="zh-CN"/>
        </w:rPr>
        <w:t>950.59</w:t>
      </w:r>
      <w:r>
        <w:rPr>
          <w:rFonts w:hint="eastAsia" w:ascii="仿宋" w:hAnsi="仿宋" w:eastAsia="仿宋"/>
          <w:color w:val="auto"/>
          <w:sz w:val="32"/>
          <w:szCs w:val="32"/>
        </w:rPr>
        <w:t>万元，其中：一般公共预算财政拨款收入</w:t>
      </w:r>
      <w:r>
        <w:rPr>
          <w:rFonts w:hint="eastAsia" w:ascii="仿宋" w:hAnsi="仿宋" w:eastAsia="仿宋"/>
          <w:color w:val="auto"/>
          <w:sz w:val="32"/>
          <w:szCs w:val="32"/>
          <w:lang w:val="en-US" w:eastAsia="zh-CN"/>
        </w:rPr>
        <w:t>927.44</w:t>
      </w:r>
      <w:r>
        <w:rPr>
          <w:rFonts w:hint="eastAsia" w:ascii="仿宋" w:hAnsi="仿宋" w:eastAsia="仿宋"/>
          <w:color w:val="auto"/>
          <w:sz w:val="32"/>
          <w:szCs w:val="32"/>
        </w:rPr>
        <w:t>万元，占9</w:t>
      </w:r>
      <w:r>
        <w:rPr>
          <w:rFonts w:hint="eastAsia" w:ascii="仿宋" w:hAnsi="仿宋" w:eastAsia="仿宋"/>
          <w:color w:val="auto"/>
          <w:sz w:val="32"/>
          <w:szCs w:val="32"/>
          <w:lang w:val="en-US" w:eastAsia="zh-CN"/>
        </w:rPr>
        <w:t>7.5</w:t>
      </w:r>
      <w:r>
        <w:rPr>
          <w:rFonts w:ascii="仿宋" w:hAnsi="仿宋" w:eastAsia="仿宋"/>
          <w:color w:val="auto"/>
          <w:sz w:val="32"/>
          <w:szCs w:val="32"/>
        </w:rPr>
        <w:t>%</w:t>
      </w:r>
      <w:r>
        <w:rPr>
          <w:rFonts w:hint="eastAsia" w:ascii="仿宋" w:hAnsi="仿宋" w:eastAsia="仿宋"/>
          <w:color w:val="auto"/>
          <w:sz w:val="32"/>
          <w:szCs w:val="32"/>
        </w:rPr>
        <w:t>；其他收入</w:t>
      </w:r>
      <w:r>
        <w:rPr>
          <w:rFonts w:hint="eastAsia" w:ascii="仿宋" w:hAnsi="仿宋" w:eastAsia="仿宋"/>
          <w:color w:val="auto"/>
          <w:sz w:val="32"/>
          <w:szCs w:val="32"/>
          <w:lang w:val="en-US" w:eastAsia="zh-CN"/>
        </w:rPr>
        <w:t>23.15</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2.5</w:t>
      </w:r>
      <w:r>
        <w:rPr>
          <w:rFonts w:ascii="仿宋" w:hAnsi="仿宋" w:eastAsia="仿宋"/>
          <w:color w:val="auto"/>
          <w:sz w:val="32"/>
          <w:szCs w:val="32"/>
        </w:rPr>
        <w:t>%</w:t>
      </w:r>
      <w:r>
        <w:rPr>
          <w:rFonts w:hint="eastAsia" w:ascii="仿宋" w:hAnsi="仿宋" w:eastAsia="仿宋"/>
          <w:color w:val="auto"/>
          <w:sz w:val="32"/>
          <w:szCs w:val="32"/>
          <w:lang w:eastAsia="zh-CN"/>
        </w:rPr>
        <w:t>。</w:t>
      </w:r>
    </w:p>
    <w:p>
      <w:pPr>
        <w:jc w:val="center"/>
        <w:outlineLvl w:val="1"/>
        <w:rPr>
          <w:rFonts w:ascii="仿宋" w:hAnsi="仿宋" w:eastAsia="仿宋"/>
          <w:color w:val="auto"/>
          <w:sz w:val="32"/>
          <w:szCs w:val="32"/>
        </w:rPr>
      </w:pPr>
      <w:r>
        <w:rPr>
          <w:color w:val="auto"/>
        </w:rPr>
        <w:drawing>
          <wp:inline distT="0" distB="0" distL="114300" distR="114300">
            <wp:extent cx="4839335" cy="2973705"/>
            <wp:effectExtent l="4445" t="5080" r="13970" b="12065"/>
            <wp:docPr id="2"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560" w:lineRule="exact"/>
        <w:jc w:val="center"/>
        <w:rPr>
          <w:rFonts w:hint="eastAsia"/>
          <w:color w:val="auto"/>
        </w:rPr>
      </w:pPr>
      <w:r>
        <w:rPr>
          <w:rFonts w:hint="eastAsia"/>
          <w:color w:val="auto"/>
        </w:rPr>
        <w:t>（图</w:t>
      </w:r>
      <w:r>
        <w:rPr>
          <w:color w:val="auto"/>
        </w:rPr>
        <w:t>2</w:t>
      </w:r>
      <w:r>
        <w:rPr>
          <w:rFonts w:hint="eastAsia"/>
          <w:color w:val="auto"/>
        </w:rPr>
        <w:t>：收入决算结构图）（饼状图）</w:t>
      </w:r>
      <w:bookmarkStart w:id="28" w:name="_Toc15396605"/>
      <w:bookmarkStart w:id="29" w:name="_Toc15377207"/>
    </w:p>
    <w:p>
      <w:pPr>
        <w:spacing w:line="560" w:lineRule="exact"/>
        <w:ind w:firstLine="642" w:firstLineChars="200"/>
        <w:rPr>
          <w:rStyle w:val="22"/>
          <w:rFonts w:ascii="黑体" w:hAnsi="黑体" w:eastAsia="黑体"/>
          <w:color w:val="auto"/>
        </w:rPr>
      </w:pPr>
      <w:r>
        <w:rPr>
          <w:rStyle w:val="22"/>
          <w:rFonts w:hint="eastAsia" w:ascii="黑体" w:hAnsi="黑体" w:eastAsia="黑体"/>
          <w:color w:val="auto"/>
        </w:rPr>
        <w:t>三、支出决算情况说明</w:t>
      </w:r>
      <w:bookmarkEnd w:id="28"/>
      <w:bookmarkEnd w:id="29"/>
    </w:p>
    <w:p>
      <w:pPr>
        <w:spacing w:line="560" w:lineRule="exact"/>
        <w:ind w:firstLine="640" w:firstLineChars="200"/>
        <w:outlineLvl w:val="1"/>
        <w:rPr>
          <w:rFonts w:ascii="仿宋" w:hAnsi="仿宋" w:eastAsia="仿宋"/>
          <w:color w:val="auto"/>
          <w:sz w:val="32"/>
          <w:szCs w:val="32"/>
        </w:rPr>
      </w:pPr>
      <w:r>
        <w:rPr>
          <w:rFonts w:ascii="仿宋" w:hAnsi="仿宋" w:eastAsia="仿宋"/>
          <w:color w:val="auto"/>
          <w:sz w:val="32"/>
          <w:szCs w:val="32"/>
        </w:rPr>
        <w:t>2020</w:t>
      </w:r>
      <w:r>
        <w:rPr>
          <w:rFonts w:hint="eastAsia" w:ascii="仿宋" w:hAnsi="仿宋" w:eastAsia="仿宋"/>
          <w:color w:val="auto"/>
          <w:sz w:val="32"/>
          <w:szCs w:val="32"/>
        </w:rPr>
        <w:t>年本年支出合计</w:t>
      </w:r>
      <w:r>
        <w:rPr>
          <w:rFonts w:hint="eastAsia" w:ascii="仿宋" w:hAnsi="仿宋" w:eastAsia="仿宋"/>
          <w:color w:val="auto"/>
          <w:sz w:val="32"/>
          <w:szCs w:val="32"/>
          <w:lang w:val="en-US" w:eastAsia="zh-CN"/>
        </w:rPr>
        <w:t>894.13</w:t>
      </w:r>
      <w:r>
        <w:rPr>
          <w:rFonts w:hint="eastAsia" w:ascii="仿宋" w:hAnsi="仿宋" w:eastAsia="仿宋"/>
          <w:color w:val="auto"/>
          <w:sz w:val="32"/>
          <w:szCs w:val="32"/>
        </w:rPr>
        <w:t>万元，其中：基本支出</w:t>
      </w:r>
      <w:r>
        <w:rPr>
          <w:rFonts w:hint="eastAsia" w:ascii="仿宋" w:hAnsi="仿宋" w:eastAsia="仿宋"/>
          <w:color w:val="auto"/>
          <w:sz w:val="32"/>
          <w:szCs w:val="32"/>
          <w:lang w:val="en-US" w:eastAsia="zh-CN"/>
        </w:rPr>
        <w:t>680.57</w:t>
      </w:r>
      <w:r>
        <w:rPr>
          <w:rFonts w:hint="eastAsia" w:ascii="仿宋" w:hAnsi="仿宋" w:eastAsia="仿宋"/>
          <w:color w:val="auto"/>
          <w:sz w:val="32"/>
          <w:szCs w:val="32"/>
        </w:rPr>
        <w:t>万元，占7</w:t>
      </w:r>
      <w:r>
        <w:rPr>
          <w:rFonts w:hint="eastAsia" w:ascii="仿宋" w:hAnsi="仿宋" w:eastAsia="仿宋"/>
          <w:color w:val="auto"/>
          <w:sz w:val="32"/>
          <w:szCs w:val="32"/>
          <w:lang w:val="en-US" w:eastAsia="zh-CN"/>
        </w:rPr>
        <w:t>6</w:t>
      </w:r>
      <w:r>
        <w:rPr>
          <w:rFonts w:ascii="仿宋" w:hAnsi="仿宋" w:eastAsia="仿宋"/>
          <w:color w:val="auto"/>
          <w:sz w:val="32"/>
          <w:szCs w:val="32"/>
        </w:rPr>
        <w:t>%</w:t>
      </w:r>
      <w:r>
        <w:rPr>
          <w:rFonts w:hint="eastAsia" w:ascii="仿宋" w:hAnsi="仿宋" w:eastAsia="仿宋"/>
          <w:color w:val="auto"/>
          <w:sz w:val="32"/>
          <w:szCs w:val="32"/>
        </w:rPr>
        <w:t>；项目支出</w:t>
      </w:r>
      <w:r>
        <w:rPr>
          <w:rFonts w:hint="eastAsia" w:ascii="仿宋" w:hAnsi="仿宋" w:eastAsia="仿宋"/>
          <w:color w:val="auto"/>
          <w:sz w:val="32"/>
          <w:szCs w:val="32"/>
          <w:lang w:val="en-US" w:eastAsia="zh-CN"/>
        </w:rPr>
        <w:t>213.57</w:t>
      </w:r>
      <w:r>
        <w:rPr>
          <w:rFonts w:hint="eastAsia" w:ascii="仿宋" w:hAnsi="仿宋" w:eastAsia="仿宋"/>
          <w:color w:val="auto"/>
          <w:sz w:val="32"/>
          <w:szCs w:val="32"/>
        </w:rPr>
        <w:t>万元，占2</w:t>
      </w:r>
      <w:r>
        <w:rPr>
          <w:rFonts w:hint="eastAsia" w:ascii="仿宋" w:hAnsi="仿宋" w:eastAsia="仿宋"/>
          <w:color w:val="auto"/>
          <w:sz w:val="32"/>
          <w:szCs w:val="32"/>
          <w:lang w:val="en-US" w:eastAsia="zh-CN"/>
        </w:rPr>
        <w:t>4</w:t>
      </w:r>
      <w:r>
        <w:rPr>
          <w:rFonts w:ascii="仿宋" w:hAnsi="仿宋" w:eastAsia="仿宋"/>
          <w:color w:val="auto"/>
          <w:sz w:val="32"/>
          <w:szCs w:val="32"/>
        </w:rPr>
        <w:t>%</w:t>
      </w:r>
      <w:r>
        <w:rPr>
          <w:rFonts w:hint="eastAsia" w:ascii="仿宋" w:hAnsi="仿宋" w:eastAsia="仿宋"/>
          <w:color w:val="auto"/>
          <w:sz w:val="32"/>
          <w:szCs w:val="32"/>
        </w:rPr>
        <w:t>。</w:t>
      </w:r>
    </w:p>
    <w:p>
      <w:pPr>
        <w:jc w:val="center"/>
        <w:rPr>
          <w:rFonts w:hint="eastAsia" w:ascii="仿宋" w:hAnsi="仿宋" w:eastAsia="仿宋"/>
          <w:b/>
          <w:color w:val="auto"/>
          <w:sz w:val="32"/>
          <w:szCs w:val="32"/>
        </w:rPr>
      </w:pPr>
      <w:r>
        <w:rPr>
          <w:color w:val="auto"/>
        </w:rPr>
        <w:drawing>
          <wp:inline distT="0" distB="0" distL="114300" distR="114300">
            <wp:extent cx="4839335" cy="2720975"/>
            <wp:effectExtent l="4445" t="5080" r="13970" b="17145"/>
            <wp:docPr id="3"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jc w:val="center"/>
        <w:rPr>
          <w:rFonts w:ascii="仿宋" w:hAnsi="仿宋" w:eastAsia="仿宋"/>
          <w:color w:val="auto"/>
          <w:sz w:val="32"/>
          <w:szCs w:val="32"/>
        </w:rPr>
      </w:pPr>
      <w:r>
        <w:rPr>
          <w:rFonts w:hint="eastAsia" w:ascii="仿宋" w:hAnsi="仿宋" w:eastAsia="仿宋"/>
          <w:color w:val="auto"/>
          <w:sz w:val="32"/>
          <w:szCs w:val="32"/>
        </w:rPr>
        <w:t>（图</w:t>
      </w:r>
      <w:r>
        <w:rPr>
          <w:rFonts w:ascii="仿宋" w:hAnsi="仿宋" w:eastAsia="仿宋"/>
          <w:color w:val="auto"/>
          <w:sz w:val="32"/>
          <w:szCs w:val="32"/>
        </w:rPr>
        <w:t>3</w:t>
      </w:r>
      <w:r>
        <w:rPr>
          <w:rFonts w:hint="eastAsia" w:ascii="仿宋" w:hAnsi="仿宋" w:eastAsia="仿宋"/>
          <w:color w:val="auto"/>
          <w:sz w:val="32"/>
          <w:szCs w:val="32"/>
        </w:rPr>
        <w:t>：支出决算结构图）（饼状图）</w:t>
      </w:r>
    </w:p>
    <w:p>
      <w:pPr>
        <w:spacing w:line="560" w:lineRule="exact"/>
        <w:ind w:firstLine="640" w:firstLineChars="200"/>
        <w:outlineLvl w:val="1"/>
        <w:rPr>
          <w:rStyle w:val="22"/>
          <w:rFonts w:ascii="黑体" w:hAnsi="黑体" w:eastAsia="黑体"/>
          <w:b w:val="0"/>
          <w:color w:val="auto"/>
        </w:rPr>
      </w:pPr>
      <w:bookmarkStart w:id="30" w:name="_Toc15396606"/>
      <w:bookmarkStart w:id="31" w:name="_Toc15377208"/>
      <w:r>
        <w:rPr>
          <w:rFonts w:hint="eastAsia" w:ascii="黑体" w:hAnsi="黑体" w:eastAsia="黑体"/>
          <w:color w:val="auto"/>
          <w:sz w:val="32"/>
          <w:szCs w:val="32"/>
        </w:rPr>
        <w:t>四、财</w:t>
      </w:r>
      <w:r>
        <w:rPr>
          <w:rStyle w:val="22"/>
          <w:rFonts w:hint="eastAsia" w:ascii="黑体" w:hAnsi="黑体" w:eastAsia="黑体"/>
          <w:b w:val="0"/>
          <w:color w:val="auto"/>
        </w:rPr>
        <w:t>政拨款收入支出决算总体情况说明</w:t>
      </w:r>
      <w:bookmarkEnd w:id="30"/>
      <w:bookmarkEnd w:id="31"/>
    </w:p>
    <w:p>
      <w:pPr>
        <w:spacing w:line="560" w:lineRule="exact"/>
        <w:ind w:firstLine="640"/>
        <w:rPr>
          <w:rFonts w:hint="eastAsia" w:ascii="仿宋" w:hAnsi="仿宋" w:eastAsia="仿宋"/>
          <w:b/>
          <w:color w:val="auto"/>
          <w:sz w:val="32"/>
          <w:szCs w:val="32"/>
        </w:rPr>
      </w:pPr>
      <w:r>
        <w:rPr>
          <w:rFonts w:ascii="仿宋" w:hAnsi="仿宋" w:eastAsia="仿宋"/>
          <w:color w:val="auto"/>
          <w:sz w:val="32"/>
          <w:szCs w:val="32"/>
        </w:rPr>
        <w:t>2020</w:t>
      </w:r>
      <w:r>
        <w:rPr>
          <w:rFonts w:hint="eastAsia" w:ascii="仿宋" w:hAnsi="仿宋" w:eastAsia="仿宋"/>
          <w:color w:val="auto"/>
          <w:sz w:val="32"/>
          <w:szCs w:val="32"/>
        </w:rPr>
        <w:t>年财政拨款收、支总计</w:t>
      </w:r>
      <w:r>
        <w:rPr>
          <w:rFonts w:hint="eastAsia" w:ascii="仿宋" w:hAnsi="仿宋" w:eastAsia="仿宋"/>
          <w:color w:val="auto"/>
          <w:sz w:val="32"/>
          <w:szCs w:val="32"/>
          <w:lang w:val="en-US" w:eastAsia="zh-CN"/>
        </w:rPr>
        <w:t>950.32</w:t>
      </w:r>
      <w:r>
        <w:rPr>
          <w:rFonts w:hint="eastAsia" w:ascii="仿宋" w:hAnsi="仿宋" w:eastAsia="仿宋"/>
          <w:color w:val="auto"/>
          <w:sz w:val="32"/>
          <w:szCs w:val="32"/>
        </w:rPr>
        <w:t>万元。与</w:t>
      </w:r>
      <w:r>
        <w:rPr>
          <w:rFonts w:ascii="仿宋" w:hAnsi="仿宋" w:eastAsia="仿宋"/>
          <w:color w:val="auto"/>
          <w:sz w:val="32"/>
          <w:szCs w:val="32"/>
        </w:rPr>
        <w:t>2019</w:t>
      </w:r>
      <w:r>
        <w:rPr>
          <w:rFonts w:hint="eastAsia" w:ascii="仿宋" w:hAnsi="仿宋" w:eastAsia="仿宋"/>
          <w:color w:val="auto"/>
          <w:sz w:val="32"/>
          <w:szCs w:val="32"/>
        </w:rPr>
        <w:t>年相比，财政拨款收、支总计减少</w:t>
      </w:r>
      <w:r>
        <w:rPr>
          <w:rFonts w:hint="eastAsia" w:ascii="仿宋" w:hAnsi="仿宋" w:eastAsia="仿宋"/>
          <w:color w:val="auto"/>
          <w:sz w:val="32"/>
          <w:szCs w:val="32"/>
          <w:lang w:val="en-US" w:eastAsia="zh-CN"/>
        </w:rPr>
        <w:t>39.07</w:t>
      </w:r>
      <w:r>
        <w:rPr>
          <w:rFonts w:hint="eastAsia" w:ascii="仿宋" w:hAnsi="仿宋" w:eastAsia="仿宋"/>
          <w:color w:val="auto"/>
          <w:sz w:val="32"/>
          <w:szCs w:val="32"/>
        </w:rPr>
        <w:t>万元，下降</w:t>
      </w:r>
      <w:r>
        <w:rPr>
          <w:rFonts w:hint="eastAsia" w:ascii="仿宋" w:hAnsi="仿宋" w:eastAsia="仿宋"/>
          <w:color w:val="auto"/>
          <w:sz w:val="32"/>
          <w:szCs w:val="32"/>
          <w:lang w:val="en-US" w:eastAsia="zh-CN"/>
        </w:rPr>
        <w:t>4</w:t>
      </w:r>
      <w:r>
        <w:rPr>
          <w:rFonts w:ascii="仿宋" w:hAnsi="仿宋" w:eastAsia="仿宋"/>
          <w:color w:val="auto"/>
          <w:sz w:val="32"/>
          <w:szCs w:val="32"/>
        </w:rPr>
        <w:t>%</w:t>
      </w:r>
      <w:r>
        <w:rPr>
          <w:rFonts w:hint="eastAsia" w:ascii="仿宋" w:hAnsi="仿宋" w:eastAsia="仿宋"/>
          <w:color w:val="auto"/>
          <w:sz w:val="32"/>
          <w:szCs w:val="32"/>
        </w:rPr>
        <w:t>。主要变动原因是根据财政局要求各项经费压减，部机关和各民主党派机关经费压减比例大，同时严格落实市委、市政府关于过紧日子“十三条措施”精神，严格控各项经费支出。</w:t>
      </w:r>
    </w:p>
    <w:p>
      <w:pPr>
        <w:jc w:val="center"/>
        <w:rPr>
          <w:rFonts w:ascii="仿宋" w:hAnsi="仿宋" w:eastAsia="仿宋"/>
          <w:b/>
          <w:color w:val="auto"/>
          <w:sz w:val="32"/>
          <w:szCs w:val="32"/>
        </w:rPr>
      </w:pPr>
      <w:r>
        <w:rPr>
          <w:color w:val="auto"/>
        </w:rPr>
        <w:drawing>
          <wp:inline distT="0" distB="0" distL="114300" distR="114300">
            <wp:extent cx="4857750" cy="2819400"/>
            <wp:effectExtent l="4445" t="4445" r="14605" b="14605"/>
            <wp:docPr id="4" name="Chart 26"/>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560" w:lineRule="exact"/>
        <w:jc w:val="center"/>
        <w:rPr>
          <w:rFonts w:ascii="仿宋" w:hAnsi="仿宋" w:eastAsia="仿宋"/>
          <w:color w:val="auto"/>
          <w:sz w:val="32"/>
          <w:szCs w:val="32"/>
        </w:rPr>
      </w:pPr>
      <w:r>
        <w:rPr>
          <w:rFonts w:hint="eastAsia" w:ascii="仿宋" w:hAnsi="仿宋" w:eastAsia="仿宋"/>
          <w:color w:val="auto"/>
          <w:sz w:val="32"/>
          <w:szCs w:val="32"/>
        </w:rPr>
        <w:t>（图</w:t>
      </w:r>
      <w:r>
        <w:rPr>
          <w:rFonts w:ascii="仿宋" w:hAnsi="仿宋" w:eastAsia="仿宋"/>
          <w:color w:val="auto"/>
          <w:sz w:val="32"/>
          <w:szCs w:val="32"/>
        </w:rPr>
        <w:t>4</w:t>
      </w:r>
      <w:r>
        <w:rPr>
          <w:rFonts w:hint="eastAsia" w:ascii="仿宋" w:hAnsi="仿宋" w:eastAsia="仿宋"/>
          <w:color w:val="auto"/>
          <w:sz w:val="32"/>
          <w:szCs w:val="32"/>
        </w:rPr>
        <w:t>：财政拨款收、支决算总计变动情况）（柱状图）</w:t>
      </w:r>
    </w:p>
    <w:p>
      <w:pPr>
        <w:spacing w:line="560" w:lineRule="exact"/>
        <w:ind w:firstLine="640" w:firstLineChars="200"/>
        <w:outlineLvl w:val="1"/>
        <w:rPr>
          <w:rStyle w:val="22"/>
          <w:rFonts w:ascii="黑体" w:hAnsi="黑体" w:eastAsia="黑体"/>
          <w:b w:val="0"/>
          <w:color w:val="auto"/>
        </w:rPr>
      </w:pPr>
      <w:bookmarkStart w:id="32" w:name="_Toc15377209"/>
      <w:bookmarkStart w:id="33" w:name="_Toc15396607"/>
      <w:r>
        <w:rPr>
          <w:rFonts w:hint="eastAsia" w:ascii="黑体" w:hAnsi="黑体" w:eastAsia="黑体"/>
          <w:color w:val="auto"/>
          <w:sz w:val="32"/>
          <w:szCs w:val="32"/>
        </w:rPr>
        <w:t>五、</w:t>
      </w:r>
      <w:r>
        <w:rPr>
          <w:rFonts w:hint="eastAsia" w:ascii="黑体" w:hAnsi="黑体" w:eastAsia="黑体"/>
          <w:b/>
          <w:color w:val="auto"/>
          <w:sz w:val="32"/>
          <w:szCs w:val="32"/>
        </w:rPr>
        <w:t>一</w:t>
      </w:r>
      <w:r>
        <w:rPr>
          <w:rStyle w:val="22"/>
          <w:rFonts w:hint="eastAsia" w:ascii="黑体" w:hAnsi="黑体" w:eastAsia="黑体"/>
          <w:b w:val="0"/>
          <w:color w:val="auto"/>
        </w:rPr>
        <w:t>般公共预算财政拨款支出决算情况说明</w:t>
      </w:r>
      <w:bookmarkEnd w:id="32"/>
      <w:bookmarkEnd w:id="33"/>
    </w:p>
    <w:p>
      <w:pPr>
        <w:spacing w:line="560" w:lineRule="exact"/>
        <w:ind w:firstLine="642" w:firstLineChars="200"/>
        <w:outlineLvl w:val="2"/>
        <w:rPr>
          <w:rFonts w:ascii="仿宋" w:hAnsi="仿宋" w:eastAsia="仿宋"/>
          <w:b/>
          <w:color w:val="auto"/>
          <w:sz w:val="32"/>
          <w:szCs w:val="32"/>
        </w:rPr>
      </w:pPr>
      <w:bookmarkStart w:id="34" w:name="_Toc15377210"/>
      <w:r>
        <w:rPr>
          <w:rFonts w:hint="eastAsia" w:ascii="仿宋" w:hAnsi="仿宋" w:eastAsia="仿宋"/>
          <w:b/>
          <w:color w:val="auto"/>
          <w:sz w:val="32"/>
          <w:szCs w:val="32"/>
        </w:rPr>
        <w:t>（一）一般公共预算财政拨款支出决算总体情况</w:t>
      </w:r>
      <w:bookmarkEnd w:id="34"/>
    </w:p>
    <w:p>
      <w:pPr>
        <w:spacing w:line="560" w:lineRule="exact"/>
        <w:ind w:firstLine="640" w:firstLineChars="200"/>
        <w:rPr>
          <w:rFonts w:hint="eastAsia" w:ascii="仿宋" w:hAnsi="仿宋" w:eastAsia="仿宋"/>
          <w:b/>
          <w:color w:val="auto"/>
          <w:sz w:val="32"/>
          <w:szCs w:val="32"/>
        </w:rPr>
      </w:pPr>
      <w:r>
        <w:rPr>
          <w:rFonts w:ascii="仿宋" w:hAnsi="仿宋" w:eastAsia="仿宋"/>
          <w:color w:val="auto"/>
          <w:sz w:val="32"/>
          <w:szCs w:val="32"/>
        </w:rPr>
        <w:t>2020</w:t>
      </w:r>
      <w:r>
        <w:rPr>
          <w:rFonts w:hint="eastAsia" w:ascii="仿宋" w:hAnsi="仿宋" w:eastAsia="仿宋"/>
          <w:color w:val="auto"/>
          <w:sz w:val="32"/>
          <w:szCs w:val="32"/>
        </w:rPr>
        <w:t>年一般公共预算财政拨款支出</w:t>
      </w:r>
      <w:r>
        <w:rPr>
          <w:rFonts w:hint="eastAsia" w:ascii="仿宋" w:hAnsi="仿宋" w:eastAsia="仿宋"/>
          <w:color w:val="auto"/>
          <w:sz w:val="32"/>
          <w:szCs w:val="32"/>
          <w:lang w:val="en-US" w:eastAsia="zh-CN"/>
        </w:rPr>
        <w:t>870.99</w:t>
      </w:r>
      <w:r>
        <w:rPr>
          <w:rFonts w:hint="eastAsia" w:ascii="仿宋" w:hAnsi="仿宋" w:eastAsia="仿宋"/>
          <w:color w:val="auto"/>
          <w:sz w:val="32"/>
          <w:szCs w:val="32"/>
        </w:rPr>
        <w:t>万元，占本年支出合计的9</w:t>
      </w:r>
      <w:r>
        <w:rPr>
          <w:rFonts w:hint="eastAsia" w:ascii="仿宋" w:hAnsi="仿宋" w:eastAsia="仿宋"/>
          <w:color w:val="auto"/>
          <w:sz w:val="32"/>
          <w:szCs w:val="32"/>
          <w:lang w:val="en-US" w:eastAsia="zh-CN"/>
        </w:rPr>
        <w:t>1.65</w:t>
      </w:r>
      <w:r>
        <w:rPr>
          <w:rFonts w:ascii="仿宋" w:hAnsi="仿宋" w:eastAsia="仿宋"/>
          <w:color w:val="auto"/>
          <w:sz w:val="32"/>
          <w:szCs w:val="32"/>
        </w:rPr>
        <w:t>%</w:t>
      </w:r>
      <w:r>
        <w:rPr>
          <w:rFonts w:hint="eastAsia" w:ascii="仿宋" w:hAnsi="仿宋" w:eastAsia="仿宋"/>
          <w:color w:val="auto"/>
          <w:sz w:val="32"/>
          <w:szCs w:val="32"/>
        </w:rPr>
        <w:t>。与</w:t>
      </w:r>
      <w:r>
        <w:rPr>
          <w:rFonts w:ascii="仿宋" w:hAnsi="仿宋" w:eastAsia="仿宋"/>
          <w:color w:val="auto"/>
          <w:sz w:val="32"/>
          <w:szCs w:val="32"/>
        </w:rPr>
        <w:t>2019</w:t>
      </w:r>
      <w:r>
        <w:rPr>
          <w:rFonts w:hint="eastAsia" w:ascii="仿宋" w:hAnsi="仿宋" w:eastAsia="仿宋"/>
          <w:color w:val="auto"/>
          <w:sz w:val="32"/>
          <w:szCs w:val="32"/>
        </w:rPr>
        <w:t>年相比，一般公共预算财政拨款减少</w:t>
      </w:r>
      <w:r>
        <w:rPr>
          <w:rFonts w:hint="eastAsia" w:ascii="仿宋" w:hAnsi="仿宋" w:eastAsia="仿宋"/>
          <w:color w:val="auto"/>
          <w:sz w:val="32"/>
          <w:szCs w:val="32"/>
          <w:lang w:val="en-US" w:eastAsia="zh-CN"/>
        </w:rPr>
        <w:t>92.17</w:t>
      </w:r>
      <w:r>
        <w:rPr>
          <w:rFonts w:hint="eastAsia" w:ascii="仿宋" w:hAnsi="仿宋" w:eastAsia="仿宋"/>
          <w:color w:val="auto"/>
          <w:sz w:val="32"/>
          <w:szCs w:val="32"/>
        </w:rPr>
        <w:t>万元，下降</w:t>
      </w:r>
      <w:r>
        <w:rPr>
          <w:rFonts w:hint="eastAsia" w:ascii="仿宋" w:hAnsi="仿宋" w:eastAsia="仿宋"/>
          <w:color w:val="auto"/>
          <w:sz w:val="32"/>
          <w:szCs w:val="32"/>
          <w:lang w:val="en-US" w:eastAsia="zh-CN"/>
        </w:rPr>
        <w:t>9.5</w:t>
      </w:r>
      <w:r>
        <w:rPr>
          <w:rFonts w:ascii="仿宋" w:hAnsi="仿宋" w:eastAsia="仿宋"/>
          <w:color w:val="auto"/>
          <w:sz w:val="32"/>
          <w:szCs w:val="32"/>
        </w:rPr>
        <w:t>%</w:t>
      </w:r>
      <w:r>
        <w:rPr>
          <w:rFonts w:hint="eastAsia" w:ascii="仿宋" w:hAnsi="仿宋" w:eastAsia="仿宋"/>
          <w:color w:val="auto"/>
          <w:sz w:val="32"/>
          <w:szCs w:val="32"/>
        </w:rPr>
        <w:t>。主要变动原因是严格落实市委、市政府关于过紧日子“十三条措施”精神，严格各项经费支出。</w:t>
      </w:r>
    </w:p>
    <w:p>
      <w:pPr>
        <w:jc w:val="center"/>
        <w:rPr>
          <w:rFonts w:hint="eastAsia" w:ascii="仿宋" w:hAnsi="仿宋" w:eastAsia="仿宋"/>
          <w:color w:val="auto"/>
          <w:sz w:val="32"/>
          <w:szCs w:val="32"/>
        </w:rPr>
      </w:pPr>
      <w:r>
        <w:rPr>
          <w:color w:val="auto"/>
        </w:rPr>
        <w:drawing>
          <wp:inline distT="0" distB="0" distL="114300" distR="114300">
            <wp:extent cx="4857750" cy="2819400"/>
            <wp:effectExtent l="4445" t="4445" r="14605" b="14605"/>
            <wp:docPr id="5" name="Chart 26"/>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560" w:lineRule="exact"/>
        <w:rPr>
          <w:rFonts w:ascii="仿宋" w:hAnsi="仿宋" w:eastAsia="仿宋"/>
          <w:color w:val="auto"/>
          <w:sz w:val="32"/>
          <w:szCs w:val="32"/>
        </w:rPr>
      </w:pPr>
      <w:r>
        <w:rPr>
          <w:rFonts w:hint="eastAsia" w:ascii="仿宋" w:hAnsi="仿宋" w:eastAsia="仿宋"/>
          <w:color w:val="auto"/>
          <w:sz w:val="32"/>
          <w:szCs w:val="32"/>
        </w:rPr>
        <w:t>（图</w:t>
      </w:r>
      <w:r>
        <w:rPr>
          <w:rFonts w:ascii="仿宋" w:hAnsi="仿宋" w:eastAsia="仿宋"/>
          <w:color w:val="auto"/>
          <w:sz w:val="32"/>
          <w:szCs w:val="32"/>
        </w:rPr>
        <w:t>5</w:t>
      </w:r>
      <w:r>
        <w:rPr>
          <w:rFonts w:hint="eastAsia" w:ascii="仿宋" w:hAnsi="仿宋" w:eastAsia="仿宋"/>
          <w:color w:val="auto"/>
          <w:sz w:val="32"/>
          <w:szCs w:val="32"/>
        </w:rPr>
        <w:t>：一般公共预算财政拨款支出决算变动情况）（柱状图）</w:t>
      </w:r>
    </w:p>
    <w:p>
      <w:pPr>
        <w:spacing w:line="560" w:lineRule="exact"/>
        <w:ind w:firstLine="642" w:firstLineChars="200"/>
        <w:outlineLvl w:val="2"/>
        <w:rPr>
          <w:rFonts w:ascii="仿宋" w:hAnsi="仿宋" w:eastAsia="仿宋"/>
          <w:b/>
          <w:color w:val="auto"/>
          <w:sz w:val="32"/>
          <w:szCs w:val="32"/>
        </w:rPr>
      </w:pPr>
      <w:bookmarkStart w:id="35" w:name="_Toc15377211"/>
      <w:r>
        <w:rPr>
          <w:rFonts w:hint="eastAsia" w:ascii="仿宋" w:hAnsi="仿宋" w:eastAsia="仿宋"/>
          <w:b/>
          <w:color w:val="auto"/>
          <w:sz w:val="32"/>
          <w:szCs w:val="32"/>
        </w:rPr>
        <w:t>（二）一般公共预算财政拨款支出决算结构情况</w:t>
      </w:r>
      <w:bookmarkEnd w:id="35"/>
    </w:p>
    <w:p>
      <w:pPr>
        <w:spacing w:line="560" w:lineRule="exact"/>
        <w:ind w:firstLine="640"/>
        <w:rPr>
          <w:rFonts w:ascii="仿宋" w:hAnsi="仿宋" w:eastAsia="仿宋"/>
          <w:b/>
          <w:color w:val="auto"/>
          <w:sz w:val="32"/>
          <w:szCs w:val="32"/>
        </w:rPr>
      </w:pPr>
      <w:r>
        <w:rPr>
          <w:rFonts w:ascii="仿宋" w:hAnsi="仿宋" w:eastAsia="仿宋"/>
          <w:color w:val="auto"/>
          <w:sz w:val="32"/>
          <w:szCs w:val="32"/>
        </w:rPr>
        <w:t>2020</w:t>
      </w:r>
      <w:r>
        <w:rPr>
          <w:rFonts w:hint="eastAsia" w:ascii="仿宋" w:hAnsi="仿宋" w:eastAsia="仿宋"/>
          <w:color w:val="auto"/>
          <w:sz w:val="32"/>
          <w:szCs w:val="32"/>
        </w:rPr>
        <w:t>年一般公共预算财政拨款支出</w:t>
      </w:r>
      <w:r>
        <w:rPr>
          <w:rFonts w:hint="eastAsia" w:ascii="仿宋" w:hAnsi="仿宋" w:eastAsia="仿宋"/>
          <w:color w:val="auto"/>
          <w:sz w:val="32"/>
          <w:szCs w:val="32"/>
          <w:lang w:val="en-US" w:eastAsia="zh-CN"/>
        </w:rPr>
        <w:t>870.99</w:t>
      </w:r>
      <w:r>
        <w:rPr>
          <w:rFonts w:hint="eastAsia" w:ascii="仿宋" w:hAnsi="仿宋" w:eastAsia="仿宋"/>
          <w:color w:val="auto"/>
          <w:sz w:val="32"/>
          <w:szCs w:val="32"/>
        </w:rPr>
        <w:t>万元，主要用于以下方面</w:t>
      </w:r>
      <w:r>
        <w:rPr>
          <w:rFonts w:ascii="仿宋" w:hAnsi="仿宋" w:eastAsia="仿宋"/>
          <w:color w:val="auto"/>
          <w:sz w:val="32"/>
          <w:szCs w:val="32"/>
        </w:rPr>
        <w:t>:</w:t>
      </w:r>
      <w:r>
        <w:rPr>
          <w:rFonts w:hint="eastAsia" w:ascii="仿宋" w:hAnsi="仿宋" w:eastAsia="仿宋"/>
          <w:b/>
          <w:color w:val="auto"/>
          <w:sz w:val="32"/>
          <w:szCs w:val="32"/>
        </w:rPr>
        <w:t>一般公共服务（类）</w:t>
      </w:r>
      <w:r>
        <w:rPr>
          <w:rFonts w:hint="eastAsia" w:ascii="仿宋" w:hAnsi="仿宋" w:eastAsia="仿宋"/>
          <w:color w:val="auto"/>
          <w:sz w:val="32"/>
          <w:szCs w:val="32"/>
        </w:rPr>
        <w:t>支出</w:t>
      </w:r>
      <w:r>
        <w:rPr>
          <w:rFonts w:hint="eastAsia" w:ascii="仿宋" w:hAnsi="仿宋" w:eastAsia="仿宋"/>
          <w:color w:val="auto"/>
          <w:sz w:val="32"/>
          <w:szCs w:val="32"/>
          <w:lang w:val="en-US" w:eastAsia="zh-CN"/>
        </w:rPr>
        <w:t>741.75</w:t>
      </w:r>
      <w:r>
        <w:rPr>
          <w:rFonts w:hint="eastAsia" w:ascii="仿宋" w:hAnsi="仿宋" w:eastAsia="仿宋"/>
          <w:color w:val="auto"/>
          <w:sz w:val="32"/>
          <w:szCs w:val="32"/>
        </w:rPr>
        <w:t>万元，占8</w:t>
      </w:r>
      <w:r>
        <w:rPr>
          <w:rFonts w:hint="eastAsia" w:ascii="仿宋" w:hAnsi="仿宋" w:eastAsia="仿宋"/>
          <w:color w:val="auto"/>
          <w:sz w:val="32"/>
          <w:szCs w:val="32"/>
          <w:lang w:val="en-US" w:eastAsia="zh-CN"/>
        </w:rPr>
        <w:t>5.16</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b/>
          <w:color w:val="auto"/>
          <w:sz w:val="32"/>
          <w:szCs w:val="32"/>
        </w:rPr>
        <w:t>社会保障和就业（类）</w:t>
      </w:r>
      <w:r>
        <w:rPr>
          <w:rFonts w:hint="eastAsia" w:ascii="仿宋" w:hAnsi="仿宋" w:eastAsia="仿宋"/>
          <w:color w:val="auto"/>
          <w:sz w:val="32"/>
          <w:szCs w:val="32"/>
        </w:rPr>
        <w:t>支出</w:t>
      </w:r>
      <w:r>
        <w:rPr>
          <w:rFonts w:hint="eastAsia" w:ascii="仿宋" w:hAnsi="仿宋" w:eastAsia="仿宋"/>
          <w:color w:val="auto"/>
          <w:sz w:val="32"/>
          <w:szCs w:val="32"/>
          <w:lang w:val="en-US" w:eastAsia="zh-CN"/>
        </w:rPr>
        <w:t>58.95</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6.76</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b/>
          <w:bCs/>
          <w:color w:val="auto"/>
          <w:sz w:val="32"/>
          <w:szCs w:val="32"/>
        </w:rPr>
        <w:t>卫生健康支出</w:t>
      </w:r>
      <w:r>
        <w:rPr>
          <w:rFonts w:hint="eastAsia" w:ascii="仿宋" w:hAnsi="仿宋" w:eastAsia="仿宋"/>
          <w:color w:val="auto"/>
          <w:sz w:val="32"/>
          <w:szCs w:val="32"/>
          <w:lang w:val="en-US" w:eastAsia="zh-CN"/>
        </w:rPr>
        <w:t>24.9</w:t>
      </w:r>
      <w:r>
        <w:rPr>
          <w:rFonts w:hint="eastAsia" w:ascii="仿宋" w:hAnsi="仿宋" w:eastAsia="仿宋"/>
          <w:color w:val="auto"/>
          <w:sz w:val="32"/>
          <w:szCs w:val="32"/>
        </w:rPr>
        <w:t>万元，占2.8</w:t>
      </w:r>
      <w:r>
        <w:rPr>
          <w:rFonts w:hint="eastAsia" w:ascii="仿宋" w:hAnsi="仿宋" w:eastAsia="仿宋"/>
          <w:color w:val="auto"/>
          <w:sz w:val="32"/>
          <w:szCs w:val="32"/>
          <w:lang w:val="en-US" w:eastAsia="zh-CN"/>
        </w:rPr>
        <w:t>5</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cs="Times New Roman"/>
          <w:b/>
          <w:bCs/>
          <w:color w:val="auto"/>
          <w:sz w:val="32"/>
          <w:szCs w:val="32"/>
        </w:rPr>
        <w:t>住房保障支出</w:t>
      </w:r>
      <w:r>
        <w:rPr>
          <w:rFonts w:hint="eastAsia" w:ascii="仿宋" w:hAnsi="仿宋" w:eastAsia="仿宋"/>
          <w:color w:val="auto"/>
          <w:sz w:val="32"/>
          <w:szCs w:val="32"/>
          <w:lang w:val="en-US" w:eastAsia="zh-CN"/>
        </w:rPr>
        <w:t>45.38</w:t>
      </w:r>
      <w:r>
        <w:rPr>
          <w:rFonts w:hint="eastAsia" w:ascii="仿宋" w:hAnsi="仿宋" w:eastAsia="仿宋"/>
          <w:color w:val="auto"/>
          <w:sz w:val="32"/>
          <w:szCs w:val="32"/>
        </w:rPr>
        <w:t>万元，占5.</w:t>
      </w:r>
      <w:r>
        <w:rPr>
          <w:rFonts w:hint="eastAsia" w:ascii="仿宋" w:hAnsi="仿宋" w:eastAsia="仿宋"/>
          <w:color w:val="auto"/>
          <w:sz w:val="32"/>
          <w:szCs w:val="32"/>
          <w:lang w:val="en-US" w:eastAsia="zh-CN"/>
        </w:rPr>
        <w:t>23</w:t>
      </w:r>
      <w:r>
        <w:rPr>
          <w:rFonts w:ascii="仿宋" w:hAnsi="仿宋" w:eastAsia="仿宋"/>
          <w:color w:val="auto"/>
          <w:sz w:val="32"/>
          <w:szCs w:val="32"/>
        </w:rPr>
        <w:t>%</w:t>
      </w:r>
      <w:r>
        <w:rPr>
          <w:rFonts w:hint="eastAsia" w:ascii="仿宋" w:hAnsi="仿宋" w:eastAsia="仿宋"/>
          <w:color w:val="auto"/>
          <w:sz w:val="32"/>
          <w:szCs w:val="32"/>
        </w:rPr>
        <w:t>。</w:t>
      </w:r>
    </w:p>
    <w:p>
      <w:pPr>
        <w:jc w:val="center"/>
        <w:rPr>
          <w:rFonts w:ascii="仿宋" w:hAnsi="仿宋" w:eastAsia="仿宋"/>
          <w:color w:val="auto"/>
          <w:sz w:val="32"/>
          <w:szCs w:val="32"/>
        </w:rPr>
      </w:pPr>
      <w:r>
        <w:rPr>
          <w:color w:val="auto"/>
        </w:rPr>
        <w:drawing>
          <wp:inline distT="0" distB="0" distL="114300" distR="114300">
            <wp:extent cx="4813300" cy="2493645"/>
            <wp:effectExtent l="4445" t="5080" r="20955" b="15875"/>
            <wp:docPr id="6"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560" w:lineRule="exact"/>
        <w:jc w:val="center"/>
        <w:rPr>
          <w:rFonts w:ascii="仿宋" w:hAnsi="仿宋" w:eastAsia="仿宋"/>
          <w:color w:val="auto"/>
          <w:sz w:val="32"/>
          <w:szCs w:val="32"/>
        </w:rPr>
      </w:pPr>
      <w:r>
        <w:rPr>
          <w:rFonts w:hint="eastAsia" w:ascii="仿宋" w:hAnsi="仿宋" w:eastAsia="仿宋"/>
          <w:color w:val="auto"/>
          <w:sz w:val="32"/>
          <w:szCs w:val="32"/>
        </w:rPr>
        <w:t>（图</w:t>
      </w:r>
      <w:r>
        <w:rPr>
          <w:rFonts w:ascii="仿宋" w:hAnsi="仿宋" w:eastAsia="仿宋"/>
          <w:color w:val="auto"/>
          <w:sz w:val="32"/>
          <w:szCs w:val="32"/>
        </w:rPr>
        <w:t>6</w:t>
      </w:r>
      <w:r>
        <w:rPr>
          <w:rFonts w:hint="eastAsia" w:ascii="仿宋" w:hAnsi="仿宋" w:eastAsia="仿宋"/>
          <w:color w:val="auto"/>
          <w:sz w:val="32"/>
          <w:szCs w:val="32"/>
        </w:rPr>
        <w:t>：一般公共预算财政拨款支出决算结构）（饼状图）</w:t>
      </w:r>
    </w:p>
    <w:p>
      <w:pPr>
        <w:spacing w:line="560" w:lineRule="exact"/>
        <w:ind w:firstLine="642" w:firstLineChars="200"/>
        <w:outlineLvl w:val="2"/>
        <w:rPr>
          <w:rFonts w:ascii="仿宋" w:hAnsi="仿宋" w:eastAsia="仿宋"/>
          <w:b/>
          <w:color w:val="auto"/>
          <w:sz w:val="32"/>
          <w:szCs w:val="32"/>
        </w:rPr>
      </w:pPr>
      <w:bookmarkStart w:id="36" w:name="_Toc15377212"/>
      <w:r>
        <w:rPr>
          <w:rFonts w:hint="eastAsia" w:ascii="仿宋" w:hAnsi="仿宋" w:eastAsia="仿宋"/>
          <w:b/>
          <w:color w:val="auto"/>
          <w:sz w:val="32"/>
          <w:szCs w:val="32"/>
        </w:rPr>
        <w:t>（三）一般公共预算财政拨款支出决算具体情况</w:t>
      </w:r>
      <w:bookmarkEnd w:id="36"/>
    </w:p>
    <w:p>
      <w:pPr>
        <w:spacing w:line="560" w:lineRule="exact"/>
        <w:ind w:firstLine="642" w:firstLineChars="200"/>
        <w:outlineLvl w:val="2"/>
        <w:rPr>
          <w:rFonts w:ascii="仿宋" w:hAnsi="仿宋" w:eastAsia="仿宋"/>
          <w:color w:val="auto"/>
          <w:sz w:val="32"/>
          <w:szCs w:val="32"/>
        </w:rPr>
      </w:pPr>
      <w:bookmarkStart w:id="37" w:name="_Toc15377444"/>
      <w:bookmarkStart w:id="38" w:name="_Toc15377213"/>
      <w:bookmarkStart w:id="39" w:name="_Toc15378460"/>
      <w:r>
        <w:rPr>
          <w:rFonts w:ascii="仿宋" w:hAnsi="仿宋" w:eastAsia="仿宋"/>
          <w:b/>
          <w:color w:val="auto"/>
          <w:sz w:val="32"/>
          <w:szCs w:val="32"/>
        </w:rPr>
        <w:t>2020</w:t>
      </w:r>
      <w:r>
        <w:rPr>
          <w:rFonts w:hint="eastAsia" w:ascii="仿宋" w:hAnsi="仿宋" w:eastAsia="仿宋"/>
          <w:b/>
          <w:color w:val="auto"/>
          <w:sz w:val="32"/>
          <w:szCs w:val="32"/>
        </w:rPr>
        <w:t>年一般公共预算支出决算数为</w:t>
      </w:r>
      <w:r>
        <w:rPr>
          <w:rFonts w:hint="eastAsia" w:ascii="仿宋" w:hAnsi="仿宋" w:eastAsia="仿宋"/>
          <w:color w:val="auto"/>
          <w:sz w:val="32"/>
          <w:szCs w:val="32"/>
          <w:lang w:val="en-US" w:eastAsia="zh-CN"/>
        </w:rPr>
        <w:t>870.98</w:t>
      </w:r>
      <w:r>
        <w:rPr>
          <w:rFonts w:hint="eastAsia" w:ascii="仿宋" w:hAnsi="仿宋" w:eastAsia="仿宋"/>
          <w:color w:val="auto"/>
          <w:sz w:val="32"/>
          <w:szCs w:val="32"/>
        </w:rPr>
        <w:t>，</w:t>
      </w:r>
      <w:r>
        <w:rPr>
          <w:rStyle w:val="17"/>
          <w:rFonts w:hint="eastAsia" w:ascii="仿宋" w:hAnsi="仿宋" w:eastAsia="仿宋"/>
          <w:bCs/>
          <w:color w:val="auto"/>
          <w:sz w:val="32"/>
          <w:szCs w:val="32"/>
        </w:rPr>
        <w:t>完成预算100</w:t>
      </w:r>
      <w:r>
        <w:rPr>
          <w:rStyle w:val="17"/>
          <w:rFonts w:ascii="仿宋" w:hAnsi="仿宋" w:eastAsia="仿宋"/>
          <w:bCs/>
          <w:color w:val="auto"/>
          <w:sz w:val="32"/>
          <w:szCs w:val="32"/>
        </w:rPr>
        <w:t>%</w:t>
      </w:r>
      <w:r>
        <w:rPr>
          <w:rStyle w:val="17"/>
          <w:rFonts w:hint="eastAsia" w:ascii="仿宋" w:hAnsi="仿宋" w:eastAsia="仿宋"/>
          <w:bCs/>
          <w:color w:val="auto"/>
          <w:sz w:val="32"/>
          <w:szCs w:val="32"/>
        </w:rPr>
        <w:t>。其中：</w:t>
      </w:r>
      <w:bookmarkEnd w:id="37"/>
      <w:bookmarkEnd w:id="38"/>
      <w:bookmarkEnd w:id="39"/>
    </w:p>
    <w:p>
      <w:pPr>
        <w:spacing w:line="540" w:lineRule="exact"/>
        <w:ind w:firstLine="640"/>
        <w:rPr>
          <w:rStyle w:val="17"/>
          <w:rFonts w:ascii="仿宋" w:hAnsi="仿宋" w:eastAsia="仿宋"/>
          <w:b w:val="0"/>
          <w:bCs/>
          <w:color w:val="auto"/>
          <w:sz w:val="32"/>
          <w:szCs w:val="32"/>
        </w:rPr>
      </w:pPr>
      <w:r>
        <w:rPr>
          <w:rStyle w:val="17"/>
          <w:rFonts w:hint="eastAsia" w:ascii="仿宋" w:hAnsi="仿宋" w:eastAsia="仿宋"/>
          <w:bCs/>
          <w:color w:val="auto"/>
          <w:sz w:val="32"/>
          <w:szCs w:val="32"/>
          <w:lang w:val="en-US" w:eastAsia="zh-CN"/>
        </w:rPr>
        <w:t>1</w:t>
      </w:r>
      <w:r>
        <w:rPr>
          <w:rStyle w:val="17"/>
          <w:rFonts w:ascii="仿宋" w:hAnsi="仿宋" w:eastAsia="仿宋"/>
          <w:bCs/>
          <w:color w:val="auto"/>
          <w:sz w:val="32"/>
          <w:szCs w:val="32"/>
        </w:rPr>
        <w:t>.</w:t>
      </w:r>
      <w:r>
        <w:rPr>
          <w:rStyle w:val="17"/>
          <w:rFonts w:hint="eastAsia" w:ascii="仿宋" w:hAnsi="仿宋" w:eastAsia="仿宋"/>
          <w:bCs/>
          <w:color w:val="auto"/>
          <w:sz w:val="32"/>
          <w:szCs w:val="32"/>
        </w:rPr>
        <w:t>一般公共服务</w:t>
      </w:r>
      <w:r>
        <w:rPr>
          <w:rStyle w:val="17"/>
          <w:rFonts w:ascii="仿宋" w:hAnsi="仿宋" w:eastAsia="仿宋"/>
          <w:bCs/>
          <w:color w:val="auto"/>
          <w:sz w:val="32"/>
          <w:szCs w:val="32"/>
        </w:rPr>
        <w:t>201</w:t>
      </w:r>
      <w:r>
        <w:rPr>
          <w:rStyle w:val="17"/>
          <w:rFonts w:hint="eastAsia" w:ascii="仿宋" w:hAnsi="仿宋" w:eastAsia="仿宋"/>
          <w:bCs/>
          <w:color w:val="auto"/>
          <w:sz w:val="32"/>
          <w:szCs w:val="32"/>
        </w:rPr>
        <w:t>（类）统战事务</w:t>
      </w:r>
      <w:r>
        <w:rPr>
          <w:rStyle w:val="17"/>
          <w:rFonts w:ascii="仿宋" w:hAnsi="仿宋" w:eastAsia="仿宋"/>
          <w:bCs/>
          <w:color w:val="auto"/>
          <w:sz w:val="32"/>
          <w:szCs w:val="32"/>
        </w:rPr>
        <w:t>34</w:t>
      </w:r>
      <w:r>
        <w:rPr>
          <w:rStyle w:val="17"/>
          <w:rFonts w:hint="eastAsia" w:ascii="仿宋" w:hAnsi="仿宋" w:eastAsia="仿宋"/>
          <w:bCs/>
          <w:color w:val="auto"/>
          <w:sz w:val="32"/>
          <w:szCs w:val="32"/>
        </w:rPr>
        <w:t>（款）行政运行</w:t>
      </w:r>
      <w:r>
        <w:rPr>
          <w:rStyle w:val="17"/>
          <w:rFonts w:ascii="仿宋" w:hAnsi="仿宋" w:eastAsia="仿宋"/>
          <w:bCs/>
          <w:color w:val="auto"/>
          <w:sz w:val="32"/>
          <w:szCs w:val="32"/>
        </w:rPr>
        <w:t>01</w:t>
      </w:r>
      <w:r>
        <w:rPr>
          <w:rStyle w:val="17"/>
          <w:rFonts w:hint="eastAsia" w:ascii="仿宋" w:hAnsi="仿宋" w:eastAsia="仿宋"/>
          <w:bCs/>
          <w:color w:val="auto"/>
          <w:sz w:val="32"/>
          <w:szCs w:val="32"/>
        </w:rPr>
        <w:t>（项）</w:t>
      </w:r>
      <w:r>
        <w:rPr>
          <w:rStyle w:val="17"/>
          <w:rFonts w:ascii="仿宋" w:hAnsi="仿宋" w:eastAsia="仿宋"/>
          <w:bCs/>
          <w:color w:val="auto"/>
          <w:sz w:val="32"/>
          <w:szCs w:val="32"/>
        </w:rPr>
        <w:t>:</w:t>
      </w:r>
      <w:r>
        <w:rPr>
          <w:rStyle w:val="17"/>
          <w:rFonts w:hint="eastAsia" w:ascii="仿宋" w:hAnsi="仿宋" w:eastAsia="仿宋"/>
          <w:b w:val="0"/>
          <w:bCs/>
          <w:color w:val="auto"/>
          <w:sz w:val="32"/>
          <w:szCs w:val="32"/>
        </w:rPr>
        <w:t>支出决算为551.33万元，完成预算100</w:t>
      </w:r>
      <w:r>
        <w:rPr>
          <w:rStyle w:val="17"/>
          <w:rFonts w:ascii="仿宋" w:hAnsi="仿宋" w:eastAsia="仿宋"/>
          <w:b w:val="0"/>
          <w:bCs/>
          <w:color w:val="auto"/>
          <w:sz w:val="32"/>
          <w:szCs w:val="32"/>
        </w:rPr>
        <w:t>%</w:t>
      </w:r>
      <w:r>
        <w:rPr>
          <w:rStyle w:val="17"/>
          <w:rFonts w:hint="eastAsia" w:ascii="仿宋" w:hAnsi="仿宋" w:eastAsia="仿宋"/>
          <w:b w:val="0"/>
          <w:bCs/>
          <w:color w:val="auto"/>
          <w:sz w:val="32"/>
          <w:szCs w:val="32"/>
        </w:rPr>
        <w:t>。</w:t>
      </w:r>
    </w:p>
    <w:p>
      <w:pPr>
        <w:spacing w:line="540" w:lineRule="exact"/>
        <w:ind w:firstLine="640"/>
        <w:rPr>
          <w:rStyle w:val="17"/>
          <w:rFonts w:ascii="仿宋" w:hAnsi="仿宋" w:eastAsia="仿宋"/>
          <w:b w:val="0"/>
          <w:bCs/>
          <w:color w:val="auto"/>
          <w:sz w:val="32"/>
          <w:szCs w:val="32"/>
        </w:rPr>
      </w:pPr>
      <w:r>
        <w:rPr>
          <w:rStyle w:val="17"/>
          <w:rFonts w:hint="eastAsia" w:ascii="仿宋" w:hAnsi="仿宋" w:eastAsia="仿宋"/>
          <w:bCs/>
          <w:color w:val="auto"/>
          <w:sz w:val="32"/>
          <w:szCs w:val="32"/>
          <w:lang w:val="en-US" w:eastAsia="zh-CN"/>
        </w:rPr>
        <w:t>2</w:t>
      </w:r>
      <w:r>
        <w:rPr>
          <w:rStyle w:val="17"/>
          <w:rFonts w:ascii="仿宋" w:hAnsi="仿宋" w:eastAsia="仿宋"/>
          <w:bCs/>
          <w:color w:val="auto"/>
          <w:sz w:val="32"/>
          <w:szCs w:val="32"/>
        </w:rPr>
        <w:t>.</w:t>
      </w:r>
      <w:r>
        <w:rPr>
          <w:rStyle w:val="17"/>
          <w:rFonts w:hint="eastAsia" w:ascii="仿宋" w:hAnsi="仿宋" w:eastAsia="仿宋"/>
          <w:bCs/>
          <w:color w:val="auto"/>
          <w:sz w:val="32"/>
          <w:szCs w:val="32"/>
        </w:rPr>
        <w:t>一般公共服务</w:t>
      </w:r>
      <w:r>
        <w:rPr>
          <w:rStyle w:val="17"/>
          <w:rFonts w:ascii="仿宋" w:hAnsi="仿宋" w:eastAsia="仿宋"/>
          <w:bCs/>
          <w:color w:val="auto"/>
          <w:sz w:val="32"/>
          <w:szCs w:val="32"/>
        </w:rPr>
        <w:t>201</w:t>
      </w:r>
      <w:r>
        <w:rPr>
          <w:rStyle w:val="17"/>
          <w:rFonts w:hint="eastAsia" w:ascii="仿宋" w:hAnsi="仿宋" w:eastAsia="仿宋"/>
          <w:bCs/>
          <w:color w:val="auto"/>
          <w:sz w:val="32"/>
          <w:szCs w:val="32"/>
        </w:rPr>
        <w:t>（类）统战事务</w:t>
      </w:r>
      <w:r>
        <w:rPr>
          <w:rStyle w:val="17"/>
          <w:rFonts w:ascii="仿宋" w:hAnsi="仿宋" w:eastAsia="仿宋"/>
          <w:bCs/>
          <w:color w:val="auto"/>
          <w:sz w:val="32"/>
          <w:szCs w:val="32"/>
        </w:rPr>
        <w:t>34</w:t>
      </w:r>
      <w:r>
        <w:rPr>
          <w:rStyle w:val="17"/>
          <w:rFonts w:hint="eastAsia" w:ascii="仿宋" w:hAnsi="仿宋" w:eastAsia="仿宋"/>
          <w:bCs/>
          <w:color w:val="auto"/>
          <w:sz w:val="32"/>
          <w:szCs w:val="32"/>
        </w:rPr>
        <w:t>（款）</w:t>
      </w:r>
      <w:r>
        <w:rPr>
          <w:rStyle w:val="17"/>
          <w:rFonts w:ascii="仿宋" w:hAnsi="仿宋" w:eastAsia="仿宋"/>
          <w:bCs/>
          <w:color w:val="auto"/>
          <w:sz w:val="32"/>
          <w:szCs w:val="32"/>
        </w:rPr>
        <w:t xml:space="preserve"> </w:t>
      </w:r>
      <w:r>
        <w:rPr>
          <w:rStyle w:val="17"/>
          <w:rFonts w:hint="eastAsia" w:ascii="仿宋" w:hAnsi="仿宋" w:eastAsia="仿宋"/>
          <w:bCs/>
          <w:color w:val="auto"/>
          <w:sz w:val="32"/>
          <w:szCs w:val="32"/>
        </w:rPr>
        <w:t>一般行政管理事务</w:t>
      </w:r>
      <w:r>
        <w:rPr>
          <w:rStyle w:val="17"/>
          <w:rFonts w:ascii="仿宋" w:hAnsi="仿宋" w:eastAsia="仿宋"/>
          <w:bCs/>
          <w:color w:val="auto"/>
          <w:sz w:val="32"/>
          <w:szCs w:val="32"/>
        </w:rPr>
        <w:t>02</w:t>
      </w:r>
      <w:r>
        <w:rPr>
          <w:rStyle w:val="17"/>
          <w:rFonts w:hint="eastAsia" w:ascii="仿宋" w:hAnsi="仿宋" w:eastAsia="仿宋"/>
          <w:bCs/>
          <w:color w:val="auto"/>
          <w:sz w:val="32"/>
          <w:szCs w:val="32"/>
        </w:rPr>
        <w:t>（项）</w:t>
      </w:r>
      <w:r>
        <w:rPr>
          <w:rStyle w:val="17"/>
          <w:rFonts w:ascii="仿宋" w:hAnsi="仿宋" w:eastAsia="仿宋"/>
          <w:bCs/>
          <w:color w:val="auto"/>
          <w:sz w:val="32"/>
          <w:szCs w:val="32"/>
        </w:rPr>
        <w:t>:</w:t>
      </w:r>
      <w:r>
        <w:rPr>
          <w:rStyle w:val="17"/>
          <w:rFonts w:hint="eastAsia" w:ascii="仿宋" w:hAnsi="仿宋" w:eastAsia="仿宋"/>
          <w:b w:val="0"/>
          <w:bCs/>
          <w:color w:val="auto"/>
          <w:sz w:val="32"/>
          <w:szCs w:val="32"/>
        </w:rPr>
        <w:t>支出决算为190.42万元，完成预算</w:t>
      </w:r>
      <w:r>
        <w:rPr>
          <w:rStyle w:val="17"/>
          <w:rFonts w:ascii="仿宋" w:hAnsi="仿宋" w:eastAsia="仿宋"/>
          <w:b w:val="0"/>
          <w:bCs/>
          <w:color w:val="auto"/>
          <w:sz w:val="32"/>
          <w:szCs w:val="32"/>
        </w:rPr>
        <w:t>100%</w:t>
      </w:r>
      <w:r>
        <w:rPr>
          <w:rStyle w:val="17"/>
          <w:rFonts w:hint="eastAsia" w:ascii="仿宋" w:hAnsi="仿宋" w:eastAsia="仿宋"/>
          <w:b w:val="0"/>
          <w:bCs/>
          <w:color w:val="auto"/>
          <w:sz w:val="32"/>
          <w:szCs w:val="32"/>
        </w:rPr>
        <w:t>。</w:t>
      </w:r>
    </w:p>
    <w:p>
      <w:pPr>
        <w:spacing w:line="540" w:lineRule="exact"/>
        <w:ind w:firstLine="642" w:firstLineChars="200"/>
        <w:rPr>
          <w:rStyle w:val="17"/>
          <w:rFonts w:ascii="仿宋" w:hAnsi="仿宋" w:eastAsia="仿宋"/>
          <w:b w:val="0"/>
          <w:color w:val="auto"/>
          <w:sz w:val="32"/>
          <w:szCs w:val="32"/>
        </w:rPr>
      </w:pPr>
      <w:r>
        <w:rPr>
          <w:rStyle w:val="17"/>
          <w:rFonts w:hint="eastAsia" w:ascii="仿宋" w:hAnsi="仿宋" w:eastAsia="仿宋"/>
          <w:bCs/>
          <w:color w:val="auto"/>
          <w:sz w:val="32"/>
          <w:szCs w:val="32"/>
          <w:lang w:val="en-US" w:eastAsia="zh-CN"/>
        </w:rPr>
        <w:t>3</w:t>
      </w:r>
      <w:r>
        <w:rPr>
          <w:rStyle w:val="17"/>
          <w:rFonts w:ascii="仿宋" w:hAnsi="仿宋" w:eastAsia="仿宋"/>
          <w:bCs/>
          <w:color w:val="auto"/>
          <w:sz w:val="32"/>
          <w:szCs w:val="32"/>
        </w:rPr>
        <w:t>.</w:t>
      </w:r>
      <w:r>
        <w:rPr>
          <w:rStyle w:val="17"/>
          <w:rFonts w:hint="eastAsia" w:ascii="仿宋" w:hAnsi="仿宋" w:eastAsia="仿宋"/>
          <w:bCs/>
          <w:color w:val="auto"/>
          <w:sz w:val="32"/>
          <w:szCs w:val="32"/>
        </w:rPr>
        <w:t>社会保障和就业</w:t>
      </w:r>
      <w:r>
        <w:rPr>
          <w:rStyle w:val="17"/>
          <w:rFonts w:ascii="仿宋" w:hAnsi="仿宋" w:eastAsia="仿宋"/>
          <w:bCs/>
          <w:color w:val="auto"/>
          <w:sz w:val="32"/>
          <w:szCs w:val="32"/>
        </w:rPr>
        <w:t>208</w:t>
      </w:r>
      <w:r>
        <w:rPr>
          <w:rStyle w:val="17"/>
          <w:rFonts w:hint="eastAsia" w:ascii="仿宋" w:hAnsi="仿宋" w:eastAsia="仿宋"/>
          <w:bCs/>
          <w:color w:val="auto"/>
          <w:sz w:val="32"/>
          <w:szCs w:val="32"/>
        </w:rPr>
        <w:t>（类）行政事业单位养老</w:t>
      </w:r>
      <w:r>
        <w:rPr>
          <w:rStyle w:val="17"/>
          <w:rFonts w:ascii="仿宋" w:hAnsi="仿宋" w:eastAsia="仿宋"/>
          <w:bCs/>
          <w:color w:val="auto"/>
          <w:sz w:val="32"/>
          <w:szCs w:val="32"/>
        </w:rPr>
        <w:t>0</w:t>
      </w:r>
      <w:r>
        <w:rPr>
          <w:rStyle w:val="17"/>
          <w:rFonts w:hint="eastAsia" w:ascii="仿宋" w:hAnsi="仿宋" w:eastAsia="仿宋"/>
          <w:bCs/>
          <w:color w:val="auto"/>
          <w:sz w:val="32"/>
          <w:szCs w:val="32"/>
        </w:rPr>
        <w:t>5（款）其行政单位离退休01（项）</w:t>
      </w:r>
      <w:r>
        <w:rPr>
          <w:rStyle w:val="17"/>
          <w:rFonts w:ascii="仿宋" w:hAnsi="仿宋" w:eastAsia="仿宋"/>
          <w:bCs/>
          <w:color w:val="auto"/>
          <w:sz w:val="32"/>
          <w:szCs w:val="32"/>
        </w:rPr>
        <w:t>:</w:t>
      </w:r>
      <w:r>
        <w:rPr>
          <w:rStyle w:val="17"/>
          <w:rFonts w:ascii="仿宋" w:hAnsi="仿宋" w:eastAsia="仿宋"/>
          <w:b w:val="0"/>
          <w:color w:val="auto"/>
          <w:sz w:val="32"/>
          <w:szCs w:val="32"/>
        </w:rPr>
        <w:t xml:space="preserve"> </w:t>
      </w:r>
      <w:r>
        <w:rPr>
          <w:rStyle w:val="17"/>
          <w:rFonts w:hint="eastAsia" w:ascii="仿宋" w:hAnsi="仿宋" w:eastAsia="仿宋"/>
          <w:b w:val="0"/>
          <w:color w:val="auto"/>
          <w:sz w:val="32"/>
          <w:szCs w:val="32"/>
        </w:rPr>
        <w:t>支出决算为</w:t>
      </w:r>
      <w:r>
        <w:rPr>
          <w:rStyle w:val="17"/>
          <w:rFonts w:hint="eastAsia" w:ascii="仿宋" w:hAnsi="仿宋" w:eastAsia="仿宋"/>
          <w:b w:val="0"/>
          <w:color w:val="auto"/>
          <w:sz w:val="32"/>
          <w:szCs w:val="32"/>
          <w:lang w:val="en-US" w:eastAsia="zh-CN"/>
        </w:rPr>
        <w:t>1</w:t>
      </w:r>
      <w:r>
        <w:rPr>
          <w:rStyle w:val="17"/>
          <w:rFonts w:hint="eastAsia" w:ascii="仿宋" w:hAnsi="仿宋" w:eastAsia="仿宋"/>
          <w:b w:val="0"/>
          <w:color w:val="auto"/>
          <w:sz w:val="32"/>
          <w:szCs w:val="32"/>
          <w:lang w:val="en-US" w:eastAsia="zh-CN"/>
        </w:rPr>
        <w:t>0.27</w:t>
      </w:r>
      <w:r>
        <w:rPr>
          <w:rStyle w:val="17"/>
          <w:rFonts w:hint="eastAsia" w:ascii="仿宋" w:hAnsi="仿宋" w:eastAsia="仿宋"/>
          <w:b w:val="0"/>
          <w:color w:val="auto"/>
          <w:sz w:val="32"/>
          <w:szCs w:val="32"/>
        </w:rPr>
        <w:t>万元，完成预算</w:t>
      </w:r>
      <w:r>
        <w:rPr>
          <w:rStyle w:val="17"/>
          <w:rFonts w:ascii="仿宋" w:hAnsi="仿宋" w:eastAsia="仿宋"/>
          <w:b w:val="0"/>
          <w:color w:val="auto"/>
          <w:sz w:val="32"/>
          <w:szCs w:val="32"/>
        </w:rPr>
        <w:t>100%</w:t>
      </w:r>
      <w:r>
        <w:rPr>
          <w:rStyle w:val="17"/>
          <w:rFonts w:hint="eastAsia" w:ascii="仿宋" w:hAnsi="仿宋" w:eastAsia="仿宋"/>
          <w:b w:val="0"/>
          <w:color w:val="auto"/>
          <w:sz w:val="32"/>
          <w:szCs w:val="32"/>
        </w:rPr>
        <w:t>。</w:t>
      </w:r>
    </w:p>
    <w:p>
      <w:pPr>
        <w:spacing w:line="540" w:lineRule="exact"/>
        <w:ind w:firstLine="640"/>
        <w:rPr>
          <w:rStyle w:val="17"/>
          <w:rFonts w:ascii="仿宋" w:hAnsi="仿宋" w:eastAsia="仿宋"/>
          <w:b w:val="0"/>
          <w:bCs/>
          <w:color w:val="auto"/>
          <w:sz w:val="32"/>
          <w:szCs w:val="32"/>
        </w:rPr>
      </w:pPr>
      <w:r>
        <w:rPr>
          <w:rStyle w:val="17"/>
          <w:rFonts w:hint="eastAsia" w:ascii="仿宋" w:hAnsi="仿宋" w:eastAsia="仿宋"/>
          <w:bCs/>
          <w:color w:val="auto"/>
          <w:sz w:val="32"/>
          <w:szCs w:val="32"/>
          <w:lang w:val="en-US" w:eastAsia="zh-CN"/>
        </w:rPr>
        <w:t>4</w:t>
      </w:r>
      <w:r>
        <w:rPr>
          <w:rStyle w:val="17"/>
          <w:rFonts w:ascii="仿宋" w:hAnsi="仿宋" w:eastAsia="仿宋"/>
          <w:bCs/>
          <w:color w:val="auto"/>
          <w:sz w:val="32"/>
          <w:szCs w:val="32"/>
        </w:rPr>
        <w:t>.</w:t>
      </w:r>
      <w:r>
        <w:rPr>
          <w:rStyle w:val="17"/>
          <w:rFonts w:hint="eastAsia" w:ascii="仿宋" w:hAnsi="仿宋" w:eastAsia="仿宋"/>
          <w:bCs/>
          <w:color w:val="auto"/>
          <w:sz w:val="32"/>
          <w:szCs w:val="32"/>
        </w:rPr>
        <w:t>社会保障和就业</w:t>
      </w:r>
      <w:r>
        <w:rPr>
          <w:rStyle w:val="17"/>
          <w:rFonts w:ascii="仿宋" w:hAnsi="仿宋" w:eastAsia="仿宋"/>
          <w:bCs/>
          <w:color w:val="auto"/>
          <w:sz w:val="32"/>
          <w:szCs w:val="32"/>
        </w:rPr>
        <w:t>208</w:t>
      </w:r>
      <w:r>
        <w:rPr>
          <w:rStyle w:val="17"/>
          <w:rFonts w:hint="eastAsia" w:ascii="仿宋" w:hAnsi="仿宋" w:eastAsia="仿宋"/>
          <w:bCs/>
          <w:color w:val="auto"/>
          <w:sz w:val="32"/>
          <w:szCs w:val="32"/>
        </w:rPr>
        <w:t>（类）行政事业单位养老</w:t>
      </w:r>
      <w:r>
        <w:rPr>
          <w:rStyle w:val="17"/>
          <w:rFonts w:ascii="仿宋" w:hAnsi="仿宋" w:eastAsia="仿宋"/>
          <w:bCs/>
          <w:color w:val="auto"/>
          <w:sz w:val="32"/>
          <w:szCs w:val="32"/>
        </w:rPr>
        <w:t>05</w:t>
      </w:r>
      <w:r>
        <w:rPr>
          <w:rStyle w:val="17"/>
          <w:rFonts w:hint="eastAsia" w:ascii="仿宋" w:hAnsi="仿宋" w:eastAsia="仿宋"/>
          <w:bCs/>
          <w:color w:val="auto"/>
          <w:sz w:val="32"/>
          <w:szCs w:val="32"/>
        </w:rPr>
        <w:t>（款）</w:t>
      </w:r>
      <w:r>
        <w:rPr>
          <w:rStyle w:val="17"/>
          <w:rFonts w:ascii="仿宋" w:hAnsi="仿宋" w:eastAsia="仿宋"/>
          <w:bCs/>
          <w:color w:val="auto"/>
          <w:sz w:val="32"/>
          <w:szCs w:val="32"/>
        </w:rPr>
        <w:t xml:space="preserve">  </w:t>
      </w:r>
      <w:r>
        <w:rPr>
          <w:rStyle w:val="17"/>
          <w:rFonts w:hint="eastAsia" w:ascii="仿宋" w:hAnsi="仿宋" w:eastAsia="仿宋"/>
          <w:bCs/>
          <w:color w:val="auto"/>
          <w:sz w:val="32"/>
          <w:szCs w:val="32"/>
        </w:rPr>
        <w:t>机关事业单位基本养老保险缴费</w:t>
      </w:r>
      <w:r>
        <w:rPr>
          <w:rStyle w:val="17"/>
          <w:rFonts w:ascii="仿宋" w:hAnsi="仿宋" w:eastAsia="仿宋"/>
          <w:bCs/>
          <w:color w:val="auto"/>
          <w:sz w:val="32"/>
          <w:szCs w:val="32"/>
        </w:rPr>
        <w:t>05</w:t>
      </w:r>
      <w:r>
        <w:rPr>
          <w:rStyle w:val="17"/>
          <w:rFonts w:hint="eastAsia" w:ascii="仿宋" w:hAnsi="仿宋" w:eastAsia="仿宋"/>
          <w:bCs/>
          <w:color w:val="auto"/>
          <w:sz w:val="32"/>
          <w:szCs w:val="32"/>
        </w:rPr>
        <w:t>（项）</w:t>
      </w:r>
      <w:r>
        <w:rPr>
          <w:rStyle w:val="17"/>
          <w:rFonts w:ascii="仿宋" w:hAnsi="仿宋" w:eastAsia="仿宋"/>
          <w:bCs/>
          <w:color w:val="auto"/>
          <w:sz w:val="32"/>
          <w:szCs w:val="32"/>
        </w:rPr>
        <w:t>:</w:t>
      </w:r>
      <w:r>
        <w:rPr>
          <w:rStyle w:val="17"/>
          <w:rFonts w:hint="eastAsia" w:ascii="仿宋" w:hAnsi="仿宋" w:eastAsia="仿宋"/>
          <w:b w:val="0"/>
          <w:bCs/>
          <w:color w:val="auto"/>
          <w:sz w:val="32"/>
          <w:szCs w:val="32"/>
        </w:rPr>
        <w:t>支出决算为</w:t>
      </w:r>
      <w:r>
        <w:rPr>
          <w:rStyle w:val="17"/>
          <w:rFonts w:hint="eastAsia" w:ascii="仿宋" w:hAnsi="仿宋" w:eastAsia="仿宋"/>
          <w:b w:val="0"/>
          <w:bCs/>
          <w:color w:val="auto"/>
          <w:sz w:val="32"/>
          <w:szCs w:val="32"/>
          <w:lang w:val="en-US" w:eastAsia="zh-CN"/>
        </w:rPr>
        <w:t>4</w:t>
      </w:r>
      <w:r>
        <w:rPr>
          <w:rStyle w:val="17"/>
          <w:rFonts w:hint="eastAsia" w:ascii="仿宋" w:hAnsi="仿宋" w:eastAsia="仿宋"/>
          <w:b w:val="0"/>
          <w:bCs/>
          <w:color w:val="auto"/>
          <w:sz w:val="32"/>
          <w:szCs w:val="32"/>
          <w:lang w:val="en-US" w:eastAsia="zh-CN"/>
        </w:rPr>
        <w:t>4.49</w:t>
      </w:r>
      <w:r>
        <w:rPr>
          <w:rStyle w:val="17"/>
          <w:rFonts w:hint="eastAsia" w:ascii="仿宋" w:hAnsi="仿宋" w:eastAsia="仿宋"/>
          <w:b w:val="0"/>
          <w:bCs/>
          <w:color w:val="auto"/>
          <w:sz w:val="32"/>
          <w:szCs w:val="32"/>
        </w:rPr>
        <w:t>万元，完成预算</w:t>
      </w:r>
      <w:r>
        <w:rPr>
          <w:rStyle w:val="17"/>
          <w:rFonts w:ascii="仿宋" w:hAnsi="仿宋" w:eastAsia="仿宋"/>
          <w:b w:val="0"/>
          <w:bCs/>
          <w:color w:val="auto"/>
          <w:sz w:val="32"/>
          <w:szCs w:val="32"/>
        </w:rPr>
        <w:t>100%</w:t>
      </w:r>
      <w:r>
        <w:rPr>
          <w:rStyle w:val="17"/>
          <w:rFonts w:hint="eastAsia" w:ascii="仿宋" w:hAnsi="仿宋" w:eastAsia="仿宋"/>
          <w:b w:val="0"/>
          <w:bCs/>
          <w:color w:val="auto"/>
          <w:sz w:val="32"/>
          <w:szCs w:val="32"/>
        </w:rPr>
        <w:t>。</w:t>
      </w:r>
    </w:p>
    <w:p>
      <w:pPr>
        <w:pStyle w:val="2"/>
        <w:spacing w:line="540" w:lineRule="exact"/>
        <w:ind w:firstLine="642" w:firstLineChars="200"/>
        <w:rPr>
          <w:color w:val="auto"/>
        </w:rPr>
      </w:pPr>
      <w:r>
        <w:rPr>
          <w:rStyle w:val="17"/>
          <w:rFonts w:hint="eastAsia" w:ascii="仿宋" w:hAnsi="仿宋" w:eastAsia="仿宋"/>
          <w:bCs/>
          <w:color w:val="auto"/>
          <w:sz w:val="32"/>
          <w:szCs w:val="32"/>
          <w:lang w:val="en-US" w:eastAsia="zh-CN"/>
        </w:rPr>
        <w:t>5</w:t>
      </w:r>
      <w:r>
        <w:rPr>
          <w:rStyle w:val="17"/>
          <w:rFonts w:ascii="仿宋" w:hAnsi="仿宋" w:eastAsia="仿宋"/>
          <w:bCs/>
          <w:color w:val="auto"/>
          <w:sz w:val="32"/>
          <w:szCs w:val="32"/>
        </w:rPr>
        <w:t>.</w:t>
      </w:r>
      <w:r>
        <w:rPr>
          <w:rStyle w:val="17"/>
          <w:rFonts w:hint="eastAsia" w:ascii="仿宋" w:hAnsi="仿宋" w:eastAsia="仿宋"/>
          <w:bCs/>
          <w:color w:val="auto"/>
          <w:sz w:val="32"/>
          <w:szCs w:val="32"/>
        </w:rPr>
        <w:t>社会保障和就业</w:t>
      </w:r>
      <w:r>
        <w:rPr>
          <w:rStyle w:val="17"/>
          <w:rFonts w:ascii="仿宋" w:hAnsi="仿宋" w:eastAsia="仿宋"/>
          <w:bCs/>
          <w:color w:val="auto"/>
          <w:sz w:val="32"/>
          <w:szCs w:val="32"/>
        </w:rPr>
        <w:t>208</w:t>
      </w:r>
      <w:r>
        <w:rPr>
          <w:rStyle w:val="17"/>
          <w:rFonts w:hint="eastAsia" w:ascii="仿宋" w:hAnsi="仿宋" w:eastAsia="仿宋"/>
          <w:bCs/>
          <w:color w:val="auto"/>
          <w:sz w:val="32"/>
          <w:szCs w:val="32"/>
        </w:rPr>
        <w:t>（类）行政事业单位养老</w:t>
      </w:r>
      <w:r>
        <w:rPr>
          <w:rStyle w:val="17"/>
          <w:rFonts w:ascii="仿宋" w:hAnsi="仿宋" w:eastAsia="仿宋"/>
          <w:bCs/>
          <w:color w:val="auto"/>
          <w:sz w:val="32"/>
          <w:szCs w:val="32"/>
        </w:rPr>
        <w:t>05</w:t>
      </w:r>
      <w:r>
        <w:rPr>
          <w:rStyle w:val="17"/>
          <w:rFonts w:hint="eastAsia" w:ascii="仿宋" w:hAnsi="仿宋" w:eastAsia="仿宋"/>
          <w:bCs/>
          <w:color w:val="auto"/>
          <w:sz w:val="32"/>
          <w:szCs w:val="32"/>
        </w:rPr>
        <w:t>（款）</w:t>
      </w:r>
      <w:r>
        <w:rPr>
          <w:rStyle w:val="17"/>
          <w:rFonts w:ascii="仿宋" w:hAnsi="仿宋" w:eastAsia="仿宋"/>
          <w:bCs/>
          <w:color w:val="auto"/>
          <w:sz w:val="32"/>
          <w:szCs w:val="32"/>
        </w:rPr>
        <w:t xml:space="preserve">   </w:t>
      </w:r>
      <w:r>
        <w:rPr>
          <w:rStyle w:val="17"/>
          <w:rFonts w:hint="eastAsia" w:ascii="仿宋" w:hAnsi="仿宋" w:eastAsia="仿宋"/>
          <w:bCs/>
          <w:color w:val="auto"/>
          <w:sz w:val="32"/>
          <w:szCs w:val="32"/>
        </w:rPr>
        <w:t>机关事业单位职业年金缴费</w:t>
      </w:r>
      <w:r>
        <w:rPr>
          <w:rStyle w:val="17"/>
          <w:rFonts w:ascii="仿宋" w:hAnsi="仿宋" w:eastAsia="仿宋"/>
          <w:bCs/>
          <w:color w:val="auto"/>
          <w:sz w:val="32"/>
          <w:szCs w:val="32"/>
        </w:rPr>
        <w:t>06</w:t>
      </w:r>
      <w:r>
        <w:rPr>
          <w:rStyle w:val="17"/>
          <w:rFonts w:hint="eastAsia" w:ascii="仿宋" w:hAnsi="仿宋" w:eastAsia="仿宋"/>
          <w:bCs/>
          <w:color w:val="auto"/>
          <w:sz w:val="32"/>
          <w:szCs w:val="32"/>
        </w:rPr>
        <w:t>（项）</w:t>
      </w:r>
      <w:r>
        <w:rPr>
          <w:rStyle w:val="17"/>
          <w:rFonts w:ascii="仿宋" w:hAnsi="仿宋" w:eastAsia="仿宋"/>
          <w:bCs/>
          <w:color w:val="auto"/>
          <w:sz w:val="32"/>
          <w:szCs w:val="32"/>
        </w:rPr>
        <w:t>:</w:t>
      </w:r>
      <w:r>
        <w:rPr>
          <w:rStyle w:val="17"/>
          <w:rFonts w:hint="eastAsia" w:ascii="仿宋" w:hAnsi="仿宋" w:eastAsia="仿宋"/>
          <w:b w:val="0"/>
          <w:bCs/>
          <w:color w:val="auto"/>
          <w:sz w:val="32"/>
          <w:szCs w:val="32"/>
        </w:rPr>
        <w:t>支出决算为4.</w:t>
      </w:r>
      <w:r>
        <w:rPr>
          <w:rStyle w:val="17"/>
          <w:rFonts w:hint="eastAsia" w:ascii="仿宋" w:hAnsi="仿宋" w:eastAsia="仿宋"/>
          <w:b w:val="0"/>
          <w:bCs/>
          <w:color w:val="auto"/>
          <w:sz w:val="32"/>
          <w:szCs w:val="32"/>
          <w:lang w:val="en-US" w:eastAsia="zh-CN"/>
        </w:rPr>
        <w:t>1</w:t>
      </w:r>
      <w:r>
        <w:rPr>
          <w:rStyle w:val="17"/>
          <w:rFonts w:hint="eastAsia" w:ascii="仿宋" w:hAnsi="仿宋" w:eastAsia="仿宋"/>
          <w:b w:val="0"/>
          <w:bCs/>
          <w:color w:val="auto"/>
          <w:sz w:val="32"/>
          <w:szCs w:val="32"/>
        </w:rPr>
        <w:t>9万元，完成预算</w:t>
      </w:r>
      <w:r>
        <w:rPr>
          <w:rStyle w:val="17"/>
          <w:rFonts w:ascii="仿宋" w:hAnsi="仿宋" w:eastAsia="仿宋"/>
          <w:b w:val="0"/>
          <w:bCs/>
          <w:color w:val="auto"/>
          <w:sz w:val="32"/>
          <w:szCs w:val="32"/>
        </w:rPr>
        <w:t>100%</w:t>
      </w:r>
      <w:r>
        <w:rPr>
          <w:rStyle w:val="17"/>
          <w:rFonts w:hint="eastAsia" w:ascii="仿宋" w:hAnsi="仿宋" w:eastAsia="仿宋"/>
          <w:b w:val="0"/>
          <w:bCs/>
          <w:color w:val="auto"/>
          <w:sz w:val="32"/>
          <w:szCs w:val="32"/>
        </w:rPr>
        <w:t>。</w:t>
      </w:r>
    </w:p>
    <w:p>
      <w:pPr>
        <w:spacing w:line="560" w:lineRule="exact"/>
        <w:ind w:firstLine="642" w:firstLineChars="200"/>
        <w:rPr>
          <w:rFonts w:ascii="仿宋" w:hAnsi="仿宋" w:eastAsia="仿宋"/>
          <w:b/>
          <w:color w:val="auto"/>
          <w:sz w:val="32"/>
          <w:szCs w:val="32"/>
        </w:rPr>
      </w:pPr>
      <w:r>
        <w:rPr>
          <w:rStyle w:val="17"/>
          <w:rFonts w:hint="eastAsia" w:ascii="仿宋" w:hAnsi="仿宋" w:eastAsia="仿宋"/>
          <w:bCs/>
          <w:color w:val="auto"/>
          <w:sz w:val="32"/>
          <w:szCs w:val="32"/>
          <w:lang w:val="en-US" w:eastAsia="zh-CN"/>
        </w:rPr>
        <w:t>6</w:t>
      </w:r>
      <w:r>
        <w:rPr>
          <w:rStyle w:val="17"/>
          <w:rFonts w:ascii="仿宋" w:hAnsi="仿宋" w:eastAsia="仿宋"/>
          <w:bCs/>
          <w:color w:val="auto"/>
          <w:sz w:val="32"/>
          <w:szCs w:val="32"/>
        </w:rPr>
        <w:t>.</w:t>
      </w:r>
      <w:r>
        <w:rPr>
          <w:rFonts w:hint="eastAsia" w:ascii="仿宋" w:hAnsi="仿宋" w:eastAsia="仿宋"/>
          <w:b/>
          <w:bCs/>
          <w:color w:val="auto"/>
          <w:sz w:val="32"/>
          <w:szCs w:val="32"/>
        </w:rPr>
        <w:t>卫生健康</w:t>
      </w:r>
      <w:r>
        <w:rPr>
          <w:rStyle w:val="17"/>
          <w:rFonts w:ascii="仿宋" w:hAnsi="仿宋" w:eastAsia="仿宋"/>
          <w:bCs/>
          <w:color w:val="auto"/>
          <w:sz w:val="32"/>
          <w:szCs w:val="32"/>
        </w:rPr>
        <w:t>210</w:t>
      </w:r>
      <w:r>
        <w:rPr>
          <w:rStyle w:val="17"/>
          <w:rFonts w:hint="eastAsia" w:ascii="仿宋" w:hAnsi="仿宋" w:eastAsia="仿宋"/>
          <w:bCs/>
          <w:color w:val="auto"/>
          <w:sz w:val="32"/>
          <w:szCs w:val="32"/>
        </w:rPr>
        <w:t>（类）行政事业单位医疗</w:t>
      </w:r>
      <w:r>
        <w:rPr>
          <w:rStyle w:val="17"/>
          <w:rFonts w:ascii="仿宋" w:hAnsi="仿宋" w:eastAsia="仿宋"/>
          <w:bCs/>
          <w:color w:val="auto"/>
          <w:sz w:val="32"/>
          <w:szCs w:val="32"/>
        </w:rPr>
        <w:t>11</w:t>
      </w:r>
      <w:r>
        <w:rPr>
          <w:rStyle w:val="17"/>
          <w:rFonts w:hint="eastAsia" w:ascii="仿宋" w:hAnsi="仿宋" w:eastAsia="仿宋"/>
          <w:bCs/>
          <w:color w:val="auto"/>
          <w:sz w:val="32"/>
          <w:szCs w:val="32"/>
        </w:rPr>
        <w:t>（款）行政单位医疗</w:t>
      </w:r>
      <w:r>
        <w:rPr>
          <w:rStyle w:val="17"/>
          <w:rFonts w:ascii="仿宋" w:hAnsi="仿宋" w:eastAsia="仿宋"/>
          <w:bCs/>
          <w:color w:val="auto"/>
          <w:sz w:val="32"/>
          <w:szCs w:val="32"/>
        </w:rPr>
        <w:t>01</w:t>
      </w:r>
      <w:r>
        <w:rPr>
          <w:rStyle w:val="17"/>
          <w:rFonts w:hint="eastAsia" w:ascii="仿宋" w:hAnsi="仿宋" w:eastAsia="仿宋"/>
          <w:bCs/>
          <w:color w:val="auto"/>
          <w:sz w:val="32"/>
          <w:szCs w:val="32"/>
        </w:rPr>
        <w:t>（项）</w:t>
      </w:r>
      <w:r>
        <w:rPr>
          <w:rStyle w:val="17"/>
          <w:rFonts w:ascii="仿宋" w:hAnsi="仿宋" w:eastAsia="仿宋"/>
          <w:bCs/>
          <w:color w:val="auto"/>
          <w:sz w:val="32"/>
          <w:szCs w:val="32"/>
        </w:rPr>
        <w:t>:</w:t>
      </w:r>
      <w:r>
        <w:rPr>
          <w:rStyle w:val="17"/>
          <w:rFonts w:hint="eastAsia" w:ascii="仿宋" w:hAnsi="仿宋" w:eastAsia="仿宋"/>
          <w:b w:val="0"/>
          <w:bCs/>
          <w:color w:val="auto"/>
          <w:sz w:val="32"/>
          <w:szCs w:val="32"/>
        </w:rPr>
        <w:t>支出决算为</w:t>
      </w:r>
      <w:r>
        <w:rPr>
          <w:rStyle w:val="17"/>
          <w:rFonts w:hint="eastAsia" w:ascii="仿宋" w:hAnsi="仿宋" w:eastAsia="仿宋"/>
          <w:b w:val="0"/>
          <w:bCs/>
          <w:color w:val="auto"/>
          <w:sz w:val="32"/>
          <w:szCs w:val="32"/>
          <w:lang w:val="en-US" w:eastAsia="zh-CN"/>
        </w:rPr>
        <w:t>2</w:t>
      </w:r>
      <w:r>
        <w:rPr>
          <w:rStyle w:val="17"/>
          <w:rFonts w:hint="eastAsia" w:ascii="仿宋" w:hAnsi="仿宋" w:eastAsia="仿宋"/>
          <w:b w:val="0"/>
          <w:bCs/>
          <w:color w:val="auto"/>
          <w:sz w:val="32"/>
          <w:szCs w:val="32"/>
          <w:lang w:val="en-US" w:eastAsia="zh-CN"/>
        </w:rPr>
        <w:t>4.9</w:t>
      </w:r>
      <w:r>
        <w:rPr>
          <w:rStyle w:val="17"/>
          <w:rFonts w:hint="eastAsia" w:ascii="仿宋" w:hAnsi="仿宋" w:eastAsia="仿宋"/>
          <w:b w:val="0"/>
          <w:bCs/>
          <w:color w:val="auto"/>
          <w:sz w:val="32"/>
          <w:szCs w:val="32"/>
        </w:rPr>
        <w:t>万元，完成预算</w:t>
      </w:r>
      <w:r>
        <w:rPr>
          <w:rStyle w:val="17"/>
          <w:rFonts w:ascii="仿宋" w:hAnsi="仿宋" w:eastAsia="仿宋"/>
          <w:b w:val="0"/>
          <w:bCs/>
          <w:color w:val="auto"/>
          <w:sz w:val="32"/>
          <w:szCs w:val="32"/>
        </w:rPr>
        <w:t>100%</w:t>
      </w:r>
      <w:r>
        <w:rPr>
          <w:rStyle w:val="17"/>
          <w:rFonts w:hint="eastAsia" w:ascii="仿宋" w:hAnsi="仿宋" w:eastAsia="仿宋"/>
          <w:b w:val="0"/>
          <w:bCs/>
          <w:color w:val="auto"/>
          <w:sz w:val="32"/>
          <w:szCs w:val="32"/>
        </w:rPr>
        <w:t>。</w:t>
      </w:r>
    </w:p>
    <w:p>
      <w:pPr>
        <w:spacing w:line="560" w:lineRule="exact"/>
        <w:ind w:firstLine="642" w:firstLineChars="200"/>
        <w:rPr>
          <w:rFonts w:ascii="仿宋" w:hAnsi="仿宋" w:eastAsia="仿宋"/>
          <w:b/>
          <w:color w:val="auto"/>
          <w:sz w:val="32"/>
          <w:szCs w:val="32"/>
        </w:rPr>
      </w:pPr>
      <w:r>
        <w:rPr>
          <w:rFonts w:hint="eastAsia" w:ascii="仿宋" w:hAnsi="仿宋" w:eastAsia="仿宋"/>
          <w:b/>
          <w:color w:val="auto"/>
          <w:sz w:val="32"/>
          <w:szCs w:val="32"/>
          <w:lang w:val="en-US" w:eastAsia="zh-CN"/>
        </w:rPr>
        <w:t>7</w:t>
      </w:r>
      <w:r>
        <w:rPr>
          <w:rFonts w:hint="eastAsia" w:ascii="仿宋" w:hAnsi="仿宋" w:eastAsia="仿宋"/>
          <w:b/>
          <w:color w:val="auto"/>
          <w:sz w:val="32"/>
          <w:szCs w:val="32"/>
        </w:rPr>
        <w:t>.住房保障</w:t>
      </w:r>
      <w:r>
        <w:rPr>
          <w:rStyle w:val="17"/>
          <w:rFonts w:ascii="仿宋" w:hAnsi="仿宋" w:eastAsia="仿宋"/>
          <w:bCs/>
          <w:color w:val="auto"/>
          <w:sz w:val="32"/>
          <w:szCs w:val="32"/>
        </w:rPr>
        <w:t>221</w:t>
      </w:r>
      <w:r>
        <w:rPr>
          <w:rStyle w:val="17"/>
          <w:rFonts w:hint="eastAsia" w:ascii="仿宋" w:hAnsi="仿宋" w:eastAsia="仿宋"/>
          <w:bCs/>
          <w:color w:val="auto"/>
          <w:sz w:val="32"/>
          <w:szCs w:val="32"/>
        </w:rPr>
        <w:t>（类）住房改革支出</w:t>
      </w:r>
      <w:r>
        <w:rPr>
          <w:rStyle w:val="17"/>
          <w:rFonts w:ascii="仿宋" w:hAnsi="仿宋" w:eastAsia="仿宋"/>
          <w:bCs/>
          <w:color w:val="auto"/>
          <w:sz w:val="32"/>
          <w:szCs w:val="32"/>
        </w:rPr>
        <w:t>02</w:t>
      </w:r>
      <w:r>
        <w:rPr>
          <w:rStyle w:val="17"/>
          <w:rFonts w:hint="eastAsia" w:ascii="仿宋" w:hAnsi="仿宋" w:eastAsia="仿宋"/>
          <w:bCs/>
          <w:color w:val="auto"/>
          <w:sz w:val="32"/>
          <w:szCs w:val="32"/>
        </w:rPr>
        <w:t>（款）住房公积金</w:t>
      </w:r>
      <w:r>
        <w:rPr>
          <w:rStyle w:val="17"/>
          <w:rFonts w:ascii="仿宋" w:hAnsi="仿宋" w:eastAsia="仿宋"/>
          <w:bCs/>
          <w:color w:val="auto"/>
          <w:sz w:val="32"/>
          <w:szCs w:val="32"/>
        </w:rPr>
        <w:t>01</w:t>
      </w:r>
      <w:r>
        <w:rPr>
          <w:rStyle w:val="17"/>
          <w:rFonts w:hint="eastAsia" w:ascii="仿宋" w:hAnsi="仿宋" w:eastAsia="仿宋"/>
          <w:bCs/>
          <w:color w:val="auto"/>
          <w:sz w:val="32"/>
          <w:szCs w:val="32"/>
        </w:rPr>
        <w:t>（项）</w:t>
      </w:r>
      <w:r>
        <w:rPr>
          <w:rStyle w:val="17"/>
          <w:rFonts w:ascii="仿宋" w:hAnsi="仿宋" w:eastAsia="仿宋"/>
          <w:bCs/>
          <w:color w:val="auto"/>
          <w:sz w:val="32"/>
          <w:szCs w:val="32"/>
        </w:rPr>
        <w:t>:</w:t>
      </w:r>
      <w:r>
        <w:rPr>
          <w:rStyle w:val="17"/>
          <w:rFonts w:hint="eastAsia" w:ascii="仿宋" w:hAnsi="仿宋" w:eastAsia="仿宋"/>
          <w:b w:val="0"/>
          <w:bCs/>
          <w:color w:val="auto"/>
          <w:sz w:val="32"/>
          <w:szCs w:val="32"/>
        </w:rPr>
        <w:t>支出决算为</w:t>
      </w:r>
      <w:r>
        <w:rPr>
          <w:rStyle w:val="17"/>
          <w:rFonts w:hint="eastAsia" w:ascii="仿宋" w:hAnsi="仿宋" w:eastAsia="仿宋"/>
          <w:b w:val="0"/>
          <w:bCs/>
          <w:color w:val="auto"/>
          <w:sz w:val="32"/>
          <w:szCs w:val="32"/>
          <w:lang w:val="en-US" w:eastAsia="zh-CN"/>
        </w:rPr>
        <w:t>4</w:t>
      </w:r>
      <w:r>
        <w:rPr>
          <w:rStyle w:val="17"/>
          <w:rFonts w:hint="eastAsia" w:ascii="仿宋" w:hAnsi="仿宋" w:eastAsia="仿宋"/>
          <w:b w:val="0"/>
          <w:bCs/>
          <w:color w:val="auto"/>
          <w:sz w:val="32"/>
          <w:szCs w:val="32"/>
          <w:lang w:val="en-US" w:eastAsia="zh-CN"/>
        </w:rPr>
        <w:t>5.38</w:t>
      </w:r>
      <w:r>
        <w:rPr>
          <w:rStyle w:val="17"/>
          <w:rFonts w:hint="eastAsia" w:ascii="仿宋" w:hAnsi="仿宋" w:eastAsia="仿宋"/>
          <w:b w:val="0"/>
          <w:bCs/>
          <w:color w:val="auto"/>
          <w:sz w:val="32"/>
          <w:szCs w:val="32"/>
        </w:rPr>
        <w:t>万元，完成预算</w:t>
      </w:r>
      <w:r>
        <w:rPr>
          <w:rStyle w:val="17"/>
          <w:rFonts w:ascii="仿宋" w:hAnsi="仿宋" w:eastAsia="仿宋"/>
          <w:b w:val="0"/>
          <w:bCs/>
          <w:color w:val="auto"/>
          <w:sz w:val="32"/>
          <w:szCs w:val="32"/>
        </w:rPr>
        <w:t>100%</w:t>
      </w:r>
      <w:r>
        <w:rPr>
          <w:rFonts w:hint="eastAsia" w:ascii="仿宋_GB2312" w:hAnsi="仿宋_GB2312" w:eastAsia="仿宋_GB2312" w:cs="仿宋_GB2312"/>
          <w:color w:val="auto"/>
          <w:sz w:val="32"/>
          <w:szCs w:val="32"/>
        </w:rPr>
        <w:t>。</w:t>
      </w:r>
    </w:p>
    <w:p>
      <w:pPr>
        <w:tabs>
          <w:tab w:val="right" w:pos="8306"/>
        </w:tabs>
        <w:spacing w:line="560" w:lineRule="exact"/>
        <w:ind w:firstLine="640"/>
        <w:outlineLvl w:val="1"/>
        <w:rPr>
          <w:rStyle w:val="22"/>
          <w:color w:val="auto"/>
        </w:rPr>
      </w:pPr>
      <w:bookmarkStart w:id="40" w:name="_Toc15396608"/>
      <w:bookmarkStart w:id="41" w:name="_Toc15377214"/>
      <w:r>
        <w:rPr>
          <w:rFonts w:hint="eastAsia" w:ascii="黑体" w:eastAsia="黑体"/>
          <w:color w:val="auto"/>
          <w:sz w:val="32"/>
          <w:szCs w:val="32"/>
        </w:rPr>
        <w:t>六</w:t>
      </w:r>
      <w:r>
        <w:rPr>
          <w:rFonts w:hint="eastAsia" w:ascii="黑体" w:eastAsia="黑体"/>
          <w:b/>
          <w:color w:val="auto"/>
          <w:sz w:val="32"/>
          <w:szCs w:val="32"/>
        </w:rPr>
        <w:t>、</w:t>
      </w:r>
      <w:r>
        <w:rPr>
          <w:rFonts w:hint="eastAsia" w:ascii="黑体" w:hAnsi="黑体" w:eastAsia="黑体"/>
          <w:b/>
          <w:color w:val="auto"/>
          <w:sz w:val="32"/>
          <w:szCs w:val="32"/>
        </w:rPr>
        <w:t>一</w:t>
      </w:r>
      <w:r>
        <w:rPr>
          <w:rStyle w:val="22"/>
          <w:rFonts w:hint="eastAsia" w:ascii="黑体" w:hAnsi="黑体" w:eastAsia="黑体"/>
          <w:b w:val="0"/>
          <w:color w:val="auto"/>
        </w:rPr>
        <w:t>般公共预算财政拨款基本支出决算情况说明</w:t>
      </w:r>
      <w:bookmarkEnd w:id="40"/>
      <w:bookmarkEnd w:id="41"/>
      <w:r>
        <w:rPr>
          <w:rStyle w:val="22"/>
          <w:rFonts w:ascii="黑体" w:hAnsi="黑体" w:eastAsia="黑体"/>
          <w:b w:val="0"/>
          <w:color w:val="auto"/>
        </w:rPr>
        <w:tab/>
      </w:r>
    </w:p>
    <w:p>
      <w:pPr>
        <w:spacing w:line="560" w:lineRule="exact"/>
        <w:ind w:firstLine="645"/>
        <w:rPr>
          <w:rFonts w:ascii="仿宋" w:hAnsi="仿宋" w:eastAsia="仿宋"/>
          <w:color w:val="auto"/>
          <w:sz w:val="32"/>
          <w:szCs w:val="32"/>
        </w:rPr>
      </w:pPr>
      <w:r>
        <w:rPr>
          <w:rFonts w:ascii="仿宋" w:hAnsi="仿宋" w:eastAsia="仿宋"/>
          <w:color w:val="auto"/>
          <w:sz w:val="32"/>
          <w:szCs w:val="32"/>
        </w:rPr>
        <w:t>2020</w:t>
      </w:r>
      <w:r>
        <w:rPr>
          <w:rFonts w:hint="eastAsia" w:ascii="仿宋" w:hAnsi="仿宋" w:eastAsia="仿宋"/>
          <w:color w:val="auto"/>
          <w:sz w:val="32"/>
          <w:szCs w:val="32"/>
        </w:rPr>
        <w:t>年一般公共预算财政拨款基本支出</w:t>
      </w:r>
      <w:r>
        <w:rPr>
          <w:rFonts w:hint="eastAsia" w:ascii="仿宋" w:hAnsi="仿宋" w:eastAsia="仿宋"/>
          <w:color w:val="auto"/>
          <w:sz w:val="32"/>
          <w:szCs w:val="32"/>
          <w:lang w:val="en-US" w:eastAsia="zh-CN"/>
        </w:rPr>
        <w:t>680.56</w:t>
      </w:r>
      <w:r>
        <w:rPr>
          <w:rFonts w:hint="eastAsia" w:ascii="仿宋" w:hAnsi="仿宋" w:eastAsia="仿宋"/>
          <w:color w:val="auto"/>
          <w:sz w:val="32"/>
          <w:szCs w:val="32"/>
        </w:rPr>
        <w:t>万元，其中：</w:t>
      </w:r>
    </w:p>
    <w:p>
      <w:pPr>
        <w:spacing w:line="560" w:lineRule="exact"/>
        <w:ind w:firstLine="645"/>
        <w:rPr>
          <w:rFonts w:ascii="仿宋" w:hAnsi="仿宋" w:eastAsia="仿宋"/>
          <w:b/>
          <w:color w:val="auto"/>
          <w:sz w:val="32"/>
          <w:szCs w:val="32"/>
        </w:rPr>
      </w:pPr>
      <w:r>
        <w:rPr>
          <w:rFonts w:hint="eastAsia" w:ascii="仿宋" w:hAnsi="仿宋" w:eastAsia="仿宋"/>
          <w:color w:val="auto"/>
          <w:sz w:val="32"/>
          <w:szCs w:val="32"/>
        </w:rPr>
        <w:t>人员经费</w:t>
      </w:r>
      <w:r>
        <w:rPr>
          <w:rFonts w:hint="eastAsia" w:ascii="仿宋" w:hAnsi="仿宋" w:eastAsia="仿宋"/>
          <w:color w:val="auto"/>
          <w:sz w:val="32"/>
          <w:szCs w:val="32"/>
          <w:lang w:val="en-US" w:eastAsia="zh-CN"/>
        </w:rPr>
        <w:t>574.31</w:t>
      </w:r>
      <w:r>
        <w:rPr>
          <w:rFonts w:hint="eastAsia" w:ascii="仿宋" w:hAnsi="仿宋" w:eastAsia="仿宋"/>
          <w:color w:val="auto"/>
          <w:sz w:val="32"/>
          <w:szCs w:val="32"/>
        </w:rPr>
        <w:t>万元，主要包括：基本工资、津贴补贴、奖金、绩效工资、机关事业单位基本养老保险缴费、职业年金缴费、其他社会保障缴费、其他工资福利支出、离休费、生活补助、奖励金、住房公积金、其他对个人和家庭的补助支出等。</w:t>
      </w:r>
      <w:r>
        <w:rPr>
          <w:rFonts w:ascii="仿宋" w:hAnsi="仿宋" w:eastAsia="仿宋"/>
          <w:color w:val="auto"/>
          <w:sz w:val="32"/>
          <w:szCs w:val="32"/>
        </w:rPr>
        <w:br w:type="textWrapping"/>
      </w:r>
      <w:r>
        <w:rPr>
          <w:rFonts w:hint="eastAsia" w:ascii="仿宋" w:hAnsi="仿宋" w:eastAsia="仿宋"/>
          <w:color w:val="auto"/>
          <w:sz w:val="32"/>
          <w:szCs w:val="32"/>
        </w:rPr>
        <w:t>　　日常公用经费</w:t>
      </w:r>
      <w:r>
        <w:rPr>
          <w:rFonts w:hint="eastAsia" w:ascii="仿宋" w:hAnsi="仿宋" w:eastAsia="仿宋"/>
          <w:color w:val="auto"/>
          <w:sz w:val="32"/>
          <w:szCs w:val="32"/>
          <w:lang w:val="en-US" w:eastAsia="zh-CN"/>
        </w:rPr>
        <w:t>106.25</w:t>
      </w:r>
      <w:r>
        <w:rPr>
          <w:rFonts w:hint="eastAsia" w:ascii="仿宋" w:hAnsi="仿宋" w:eastAsia="仿宋"/>
          <w:color w:val="auto"/>
          <w:sz w:val="32"/>
          <w:szCs w:val="32"/>
        </w:rPr>
        <w:t>万元，主要包括：办公费、印刷费、水费、电费、邮电费、物业管理费、差旅费、维修（护）费、会议费、培训费、公务接待费、劳务费、委托业务费、工会经费、福利费、公务用车运行维护费、其他交通费、其他商品和服务支出等。</w:t>
      </w:r>
    </w:p>
    <w:p>
      <w:pPr>
        <w:spacing w:line="560" w:lineRule="exact"/>
        <w:ind w:firstLine="640"/>
        <w:outlineLvl w:val="1"/>
        <w:rPr>
          <w:rStyle w:val="22"/>
          <w:rFonts w:ascii="黑体" w:hAnsi="黑体" w:eastAsia="黑体"/>
          <w:b w:val="0"/>
          <w:color w:val="auto"/>
        </w:rPr>
      </w:pPr>
      <w:bookmarkStart w:id="42" w:name="_Toc15377215"/>
      <w:bookmarkStart w:id="43" w:name="_Toc15396609"/>
      <w:r>
        <w:rPr>
          <w:rFonts w:hint="eastAsia" w:ascii="黑体" w:eastAsia="黑体"/>
          <w:color w:val="auto"/>
          <w:sz w:val="32"/>
          <w:szCs w:val="32"/>
        </w:rPr>
        <w:t>七、</w:t>
      </w:r>
      <w:r>
        <w:rPr>
          <w:rStyle w:val="22"/>
          <w:rFonts w:hint="eastAsia" w:ascii="黑体" w:hAnsi="黑体" w:eastAsia="黑体"/>
          <w:color w:val="auto"/>
        </w:rPr>
        <w:t>“</w:t>
      </w:r>
      <w:r>
        <w:rPr>
          <w:rStyle w:val="22"/>
          <w:rFonts w:hint="eastAsia" w:ascii="黑体" w:hAnsi="黑体" w:eastAsia="黑体"/>
          <w:b w:val="0"/>
          <w:color w:val="auto"/>
        </w:rPr>
        <w:t>三公”经费财政拨款支出决算情况说明</w:t>
      </w:r>
      <w:bookmarkEnd w:id="42"/>
      <w:bookmarkEnd w:id="43"/>
    </w:p>
    <w:p>
      <w:pPr>
        <w:spacing w:line="560" w:lineRule="exact"/>
        <w:ind w:firstLine="640"/>
        <w:outlineLvl w:val="2"/>
        <w:rPr>
          <w:rFonts w:ascii="仿宋" w:hAnsi="仿宋" w:eastAsia="仿宋"/>
          <w:b/>
          <w:color w:val="auto"/>
          <w:sz w:val="32"/>
          <w:szCs w:val="32"/>
        </w:rPr>
      </w:pPr>
      <w:bookmarkStart w:id="44" w:name="_Toc15377216"/>
      <w:r>
        <w:rPr>
          <w:rFonts w:hint="eastAsia" w:ascii="仿宋" w:hAnsi="仿宋" w:eastAsia="仿宋"/>
          <w:b/>
          <w:color w:val="auto"/>
          <w:sz w:val="32"/>
          <w:szCs w:val="32"/>
        </w:rPr>
        <w:t>（一）“三公”经费财政拨款支出决算总体情况说明</w:t>
      </w:r>
      <w:bookmarkEnd w:id="44"/>
    </w:p>
    <w:p>
      <w:pPr>
        <w:spacing w:line="560" w:lineRule="exact"/>
        <w:ind w:firstLine="640"/>
        <w:rPr>
          <w:rFonts w:ascii="仿宋" w:hAnsi="仿宋" w:eastAsia="仿宋"/>
          <w:b/>
          <w:color w:val="auto"/>
          <w:sz w:val="32"/>
          <w:szCs w:val="32"/>
        </w:rPr>
      </w:pPr>
      <w:r>
        <w:rPr>
          <w:rFonts w:ascii="仿宋" w:hAnsi="仿宋" w:eastAsia="仿宋"/>
          <w:color w:val="auto"/>
          <w:sz w:val="32"/>
          <w:szCs w:val="32"/>
        </w:rPr>
        <w:t>2020</w:t>
      </w:r>
      <w:r>
        <w:rPr>
          <w:rFonts w:hint="eastAsia" w:ascii="仿宋" w:hAnsi="仿宋" w:eastAsia="仿宋"/>
          <w:color w:val="auto"/>
          <w:sz w:val="32"/>
          <w:szCs w:val="32"/>
        </w:rPr>
        <w:t>年“三公”经费财政拨款支出决算为1</w:t>
      </w:r>
      <w:r>
        <w:rPr>
          <w:rFonts w:hint="eastAsia" w:ascii="仿宋" w:hAnsi="仿宋" w:eastAsia="仿宋"/>
          <w:color w:val="auto"/>
          <w:sz w:val="32"/>
          <w:szCs w:val="32"/>
          <w:lang w:val="en-US" w:eastAsia="zh-CN"/>
        </w:rPr>
        <w:t>4.06</w:t>
      </w:r>
      <w:r>
        <w:rPr>
          <w:rFonts w:hint="eastAsia" w:ascii="仿宋" w:hAnsi="仿宋" w:eastAsia="仿宋"/>
          <w:color w:val="auto"/>
          <w:sz w:val="32"/>
          <w:szCs w:val="32"/>
        </w:rPr>
        <w:t>万元，完成预算9</w:t>
      </w:r>
      <w:r>
        <w:rPr>
          <w:rFonts w:hint="eastAsia" w:ascii="仿宋" w:hAnsi="仿宋" w:eastAsia="仿宋"/>
          <w:color w:val="auto"/>
          <w:sz w:val="32"/>
          <w:szCs w:val="32"/>
          <w:lang w:val="en-US" w:eastAsia="zh-CN"/>
        </w:rPr>
        <w:t>6.9</w:t>
      </w:r>
      <w:r>
        <w:rPr>
          <w:rFonts w:ascii="仿宋" w:hAnsi="仿宋" w:eastAsia="仿宋"/>
          <w:color w:val="auto"/>
          <w:sz w:val="32"/>
          <w:szCs w:val="32"/>
        </w:rPr>
        <w:t>%</w:t>
      </w:r>
      <w:r>
        <w:rPr>
          <w:rFonts w:hint="eastAsia" w:ascii="仿宋" w:hAnsi="仿宋" w:eastAsia="仿宋"/>
          <w:color w:val="auto"/>
          <w:sz w:val="32"/>
          <w:szCs w:val="32"/>
        </w:rPr>
        <w:t>，决算数小于预算数的主要原因是进一步落实过紧日子思想，全面按照相关文件精神执行相应标准。</w:t>
      </w:r>
    </w:p>
    <w:p>
      <w:pPr>
        <w:spacing w:line="560" w:lineRule="exact"/>
        <w:ind w:firstLine="640"/>
        <w:outlineLvl w:val="2"/>
        <w:rPr>
          <w:rFonts w:ascii="仿宋" w:hAnsi="仿宋" w:eastAsia="仿宋"/>
          <w:b/>
          <w:color w:val="auto"/>
          <w:sz w:val="32"/>
          <w:szCs w:val="32"/>
        </w:rPr>
      </w:pPr>
      <w:bookmarkStart w:id="45" w:name="_Toc15377217"/>
      <w:r>
        <w:rPr>
          <w:rFonts w:hint="eastAsia" w:ascii="仿宋" w:hAnsi="仿宋" w:eastAsia="仿宋"/>
          <w:b/>
          <w:color w:val="auto"/>
          <w:sz w:val="32"/>
          <w:szCs w:val="32"/>
        </w:rPr>
        <w:t>（二）“三公”经费财政拨款支出决算具体情况说明</w:t>
      </w:r>
      <w:bookmarkEnd w:id="45"/>
    </w:p>
    <w:p>
      <w:pPr>
        <w:spacing w:line="560" w:lineRule="exact"/>
        <w:ind w:firstLine="640"/>
        <w:rPr>
          <w:rFonts w:hint="eastAsia" w:ascii="仿宋" w:hAnsi="仿宋" w:eastAsia="仿宋"/>
          <w:color w:val="auto"/>
          <w:sz w:val="32"/>
          <w:szCs w:val="32"/>
        </w:rPr>
      </w:pPr>
      <w:r>
        <w:rPr>
          <w:rFonts w:ascii="仿宋" w:hAnsi="仿宋" w:eastAsia="仿宋"/>
          <w:color w:val="auto"/>
          <w:sz w:val="32"/>
          <w:szCs w:val="32"/>
        </w:rPr>
        <w:t>2020</w:t>
      </w:r>
      <w:r>
        <w:rPr>
          <w:rFonts w:hint="eastAsia" w:ascii="仿宋" w:hAnsi="仿宋" w:eastAsia="仿宋"/>
          <w:color w:val="auto"/>
          <w:sz w:val="32"/>
          <w:szCs w:val="32"/>
        </w:rPr>
        <w:t>年“三公”经费财政拨款支出决算中，因公出国（境）费支出决算0万元，占0</w:t>
      </w:r>
      <w:r>
        <w:rPr>
          <w:rFonts w:ascii="仿宋" w:hAnsi="仿宋" w:eastAsia="仿宋"/>
          <w:color w:val="auto"/>
          <w:sz w:val="32"/>
          <w:szCs w:val="32"/>
        </w:rPr>
        <w:t>%</w:t>
      </w:r>
      <w:r>
        <w:rPr>
          <w:rFonts w:hint="eastAsia" w:ascii="仿宋" w:hAnsi="仿宋" w:eastAsia="仿宋"/>
          <w:color w:val="auto"/>
          <w:sz w:val="32"/>
          <w:szCs w:val="32"/>
        </w:rPr>
        <w:t>；公务用车购置及运行维护费支出决算</w:t>
      </w:r>
      <w:r>
        <w:rPr>
          <w:rFonts w:hint="eastAsia" w:ascii="仿宋" w:hAnsi="仿宋" w:eastAsia="仿宋"/>
          <w:color w:val="auto"/>
          <w:sz w:val="32"/>
          <w:szCs w:val="32"/>
          <w:lang w:val="en-US" w:eastAsia="zh-CN"/>
        </w:rPr>
        <w:t>6.93</w:t>
      </w:r>
      <w:r>
        <w:rPr>
          <w:rFonts w:hint="eastAsia" w:ascii="仿宋" w:hAnsi="仿宋" w:eastAsia="仿宋"/>
          <w:color w:val="auto"/>
          <w:sz w:val="32"/>
          <w:szCs w:val="32"/>
        </w:rPr>
        <w:t>万元，占4</w:t>
      </w:r>
      <w:r>
        <w:rPr>
          <w:rFonts w:hint="eastAsia" w:ascii="仿宋" w:hAnsi="仿宋" w:eastAsia="仿宋"/>
          <w:color w:val="auto"/>
          <w:sz w:val="32"/>
          <w:szCs w:val="32"/>
          <w:lang w:val="en-US" w:eastAsia="zh-CN"/>
        </w:rPr>
        <w:t>9.3</w:t>
      </w:r>
      <w:r>
        <w:rPr>
          <w:rFonts w:ascii="仿宋" w:hAnsi="仿宋" w:eastAsia="仿宋"/>
          <w:color w:val="auto"/>
          <w:sz w:val="32"/>
          <w:szCs w:val="32"/>
        </w:rPr>
        <w:t>%</w:t>
      </w:r>
      <w:r>
        <w:rPr>
          <w:rFonts w:hint="eastAsia" w:ascii="仿宋" w:hAnsi="仿宋" w:eastAsia="仿宋"/>
          <w:color w:val="auto"/>
          <w:sz w:val="32"/>
          <w:szCs w:val="32"/>
        </w:rPr>
        <w:t>；公务接待费支出决算</w:t>
      </w:r>
      <w:r>
        <w:rPr>
          <w:rFonts w:hint="eastAsia" w:ascii="仿宋" w:hAnsi="仿宋" w:eastAsia="仿宋"/>
          <w:color w:val="auto"/>
          <w:sz w:val="32"/>
          <w:szCs w:val="32"/>
          <w:lang w:val="en-US" w:eastAsia="zh-CN"/>
        </w:rPr>
        <w:t>7.13</w:t>
      </w:r>
      <w:r>
        <w:rPr>
          <w:rFonts w:hint="eastAsia" w:ascii="仿宋" w:hAnsi="仿宋" w:eastAsia="仿宋"/>
          <w:color w:val="auto"/>
          <w:sz w:val="32"/>
          <w:szCs w:val="32"/>
        </w:rPr>
        <w:t>万元，占5</w:t>
      </w:r>
      <w:r>
        <w:rPr>
          <w:rFonts w:hint="eastAsia" w:ascii="仿宋" w:hAnsi="仿宋" w:eastAsia="仿宋"/>
          <w:color w:val="auto"/>
          <w:sz w:val="32"/>
          <w:szCs w:val="32"/>
          <w:lang w:val="en-US" w:eastAsia="zh-CN"/>
        </w:rPr>
        <w:t>0.7</w:t>
      </w:r>
      <w:r>
        <w:rPr>
          <w:rFonts w:ascii="仿宋" w:hAnsi="仿宋" w:eastAsia="仿宋"/>
          <w:color w:val="auto"/>
          <w:sz w:val="32"/>
          <w:szCs w:val="32"/>
        </w:rPr>
        <w:t>%</w:t>
      </w:r>
      <w:r>
        <w:rPr>
          <w:rFonts w:hint="eastAsia" w:ascii="仿宋" w:hAnsi="仿宋" w:eastAsia="仿宋"/>
          <w:color w:val="auto"/>
          <w:sz w:val="32"/>
          <w:szCs w:val="32"/>
        </w:rPr>
        <w:t>。具体情况如下：</w:t>
      </w:r>
    </w:p>
    <w:p>
      <w:pPr>
        <w:jc w:val="center"/>
        <w:rPr>
          <w:rFonts w:ascii="仿宋" w:hAnsi="仿宋" w:eastAsia="仿宋"/>
          <w:color w:val="auto"/>
          <w:sz w:val="32"/>
          <w:szCs w:val="32"/>
        </w:rPr>
      </w:pPr>
      <w:r>
        <w:rPr>
          <w:color w:val="auto"/>
        </w:rPr>
        <w:drawing>
          <wp:inline distT="0" distB="0" distL="114300" distR="114300">
            <wp:extent cx="4876800" cy="2838450"/>
            <wp:effectExtent l="4445" t="4445" r="14605" b="14605"/>
            <wp:docPr id="7" name="Chart 31"/>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560" w:lineRule="exact"/>
        <w:jc w:val="center"/>
        <w:rPr>
          <w:rFonts w:ascii="仿宋" w:hAnsi="仿宋" w:eastAsia="仿宋"/>
          <w:color w:val="auto"/>
          <w:sz w:val="32"/>
          <w:szCs w:val="32"/>
        </w:rPr>
      </w:pPr>
      <w:r>
        <w:rPr>
          <w:rFonts w:hint="eastAsia" w:ascii="仿宋" w:hAnsi="仿宋" w:eastAsia="仿宋"/>
          <w:color w:val="auto"/>
          <w:sz w:val="32"/>
          <w:szCs w:val="32"/>
        </w:rPr>
        <w:t>（图</w:t>
      </w:r>
      <w:r>
        <w:rPr>
          <w:rFonts w:ascii="仿宋" w:hAnsi="仿宋" w:eastAsia="仿宋"/>
          <w:color w:val="auto"/>
          <w:sz w:val="32"/>
          <w:szCs w:val="32"/>
        </w:rPr>
        <w:t>7</w:t>
      </w:r>
      <w:r>
        <w:rPr>
          <w:rFonts w:hint="eastAsia" w:ascii="仿宋" w:hAnsi="仿宋" w:eastAsia="仿宋"/>
          <w:color w:val="auto"/>
          <w:sz w:val="32"/>
          <w:szCs w:val="32"/>
        </w:rPr>
        <w:t>：“三公”经费财政拨款支出结构）（饼状图）</w:t>
      </w:r>
    </w:p>
    <w:p>
      <w:pPr>
        <w:rPr>
          <w:rFonts w:hint="eastAsia" w:eastAsia="仿宋_GB2312" w:cs="Times New Roman"/>
          <w:color w:val="auto"/>
          <w:sz w:val="32"/>
          <w:szCs w:val="32"/>
          <w:lang w:eastAsia="zh-CN"/>
        </w:rPr>
      </w:pPr>
      <w:r>
        <w:rPr>
          <w:rFonts w:ascii="仿宋_GB2312" w:eastAsia="仿宋_GB2312"/>
          <w:b/>
          <w:color w:val="auto"/>
          <w:sz w:val="32"/>
          <w:szCs w:val="32"/>
        </w:rPr>
        <w:t>1.</w:t>
      </w:r>
      <w:r>
        <w:rPr>
          <w:rFonts w:hint="eastAsia" w:ascii="仿宋_GB2312" w:eastAsia="仿宋_GB2312"/>
          <w:b/>
          <w:color w:val="auto"/>
          <w:sz w:val="32"/>
          <w:szCs w:val="32"/>
        </w:rPr>
        <w:t>因公出国（境）经费支出</w:t>
      </w:r>
      <w:r>
        <w:rPr>
          <w:rFonts w:hint="eastAsia" w:ascii="仿宋_GB2312" w:eastAsia="仿宋_GB2312"/>
          <w:color w:val="auto"/>
          <w:sz w:val="32"/>
          <w:szCs w:val="32"/>
        </w:rPr>
        <w:t>0万元，</w:t>
      </w:r>
      <w:r>
        <w:rPr>
          <w:rFonts w:hint="eastAsia" w:eastAsia="仿宋_GB2312" w:cs="Times New Roman"/>
          <w:color w:val="auto"/>
          <w:sz w:val="32"/>
          <w:szCs w:val="32"/>
          <w:lang w:eastAsia="zh-CN"/>
        </w:rPr>
        <w:t>年初未安排预算，与上年持平。</w:t>
      </w:r>
    </w:p>
    <w:p>
      <w:pPr>
        <w:spacing w:line="560" w:lineRule="exact"/>
        <w:ind w:firstLine="642" w:firstLineChars="200"/>
        <w:rPr>
          <w:rFonts w:ascii="仿宋_GB2312" w:eastAsia="仿宋_GB2312"/>
          <w:b/>
          <w:color w:val="auto"/>
          <w:sz w:val="32"/>
          <w:szCs w:val="32"/>
        </w:rPr>
      </w:pPr>
      <w:r>
        <w:rPr>
          <w:rFonts w:ascii="仿宋_GB2312" w:eastAsia="仿宋_GB2312"/>
          <w:b/>
          <w:color w:val="auto"/>
          <w:sz w:val="32"/>
          <w:szCs w:val="32"/>
        </w:rPr>
        <w:t>2.</w:t>
      </w:r>
      <w:r>
        <w:rPr>
          <w:rFonts w:hint="eastAsia" w:ascii="仿宋_GB2312" w:eastAsia="仿宋_GB2312"/>
          <w:b/>
          <w:color w:val="auto"/>
          <w:sz w:val="32"/>
          <w:szCs w:val="32"/>
        </w:rPr>
        <w:t>公务用车购置及运行维护费支出</w:t>
      </w:r>
      <w:r>
        <w:rPr>
          <w:rFonts w:hint="eastAsia" w:ascii="仿宋_GB2312" w:eastAsia="仿宋_GB2312"/>
          <w:color w:val="auto"/>
          <w:sz w:val="32"/>
          <w:szCs w:val="32"/>
          <w:lang w:val="en-US" w:eastAsia="zh-CN"/>
        </w:rPr>
        <w:t>6.93</w:t>
      </w:r>
      <w:r>
        <w:rPr>
          <w:rFonts w:hint="eastAsia" w:ascii="仿宋_GB2312" w:eastAsia="仿宋_GB2312"/>
          <w:color w:val="auto"/>
          <w:sz w:val="32"/>
          <w:szCs w:val="32"/>
        </w:rPr>
        <w:t>万元</w:t>
      </w:r>
      <w:r>
        <w:rPr>
          <w:rFonts w:ascii="仿宋_GB2312" w:eastAsia="仿宋_GB2312"/>
          <w:color w:val="auto"/>
          <w:sz w:val="32"/>
          <w:szCs w:val="32"/>
        </w:rPr>
        <w:t>,</w:t>
      </w:r>
      <w:r>
        <w:rPr>
          <w:rStyle w:val="17"/>
          <w:rFonts w:hint="eastAsia" w:ascii="仿宋" w:hAnsi="仿宋" w:eastAsia="仿宋"/>
          <w:b w:val="0"/>
          <w:bCs/>
          <w:color w:val="auto"/>
          <w:sz w:val="32"/>
          <w:szCs w:val="32"/>
        </w:rPr>
        <w:t>完成预算9</w:t>
      </w:r>
      <w:r>
        <w:rPr>
          <w:rStyle w:val="17"/>
          <w:rFonts w:hint="eastAsia" w:ascii="仿宋" w:hAnsi="仿宋" w:eastAsia="仿宋"/>
          <w:b w:val="0"/>
          <w:bCs/>
          <w:color w:val="auto"/>
          <w:sz w:val="32"/>
          <w:szCs w:val="32"/>
          <w:lang w:val="en-US" w:eastAsia="zh-CN"/>
        </w:rPr>
        <w:t>9</w:t>
      </w:r>
      <w:r>
        <w:rPr>
          <w:rStyle w:val="17"/>
          <w:rFonts w:ascii="仿宋" w:hAnsi="仿宋" w:eastAsia="仿宋"/>
          <w:b w:val="0"/>
          <w:bCs/>
          <w:color w:val="auto"/>
          <w:sz w:val="32"/>
          <w:szCs w:val="32"/>
        </w:rPr>
        <w:t>%</w:t>
      </w:r>
      <w:r>
        <w:rPr>
          <w:rStyle w:val="17"/>
          <w:rFonts w:hint="eastAsia" w:ascii="仿宋" w:hAnsi="仿宋" w:eastAsia="仿宋"/>
          <w:b w:val="0"/>
          <w:bCs/>
          <w:color w:val="auto"/>
          <w:sz w:val="32"/>
          <w:szCs w:val="32"/>
        </w:rPr>
        <w:t>。</w:t>
      </w:r>
      <w:r>
        <w:rPr>
          <w:rFonts w:hint="eastAsia" w:ascii="仿宋" w:hAnsi="仿宋" w:eastAsia="仿宋"/>
          <w:color w:val="auto"/>
          <w:sz w:val="32"/>
          <w:szCs w:val="32"/>
        </w:rPr>
        <w:t>公务用车购置及运行维护费支出决算比</w:t>
      </w:r>
      <w:r>
        <w:rPr>
          <w:rFonts w:ascii="仿宋" w:hAnsi="仿宋" w:eastAsia="仿宋"/>
          <w:color w:val="auto"/>
          <w:sz w:val="32"/>
          <w:szCs w:val="32"/>
        </w:rPr>
        <w:t>201</w:t>
      </w:r>
      <w:r>
        <w:rPr>
          <w:rFonts w:hint="eastAsia" w:ascii="仿宋" w:hAnsi="仿宋" w:eastAsia="仿宋"/>
          <w:color w:val="auto"/>
          <w:sz w:val="32"/>
          <w:szCs w:val="32"/>
        </w:rPr>
        <w:t>9年增加</w:t>
      </w:r>
      <w:r>
        <w:rPr>
          <w:rFonts w:hint="eastAsia" w:ascii="仿宋" w:hAnsi="仿宋" w:eastAsia="仿宋"/>
          <w:color w:val="auto"/>
          <w:sz w:val="32"/>
          <w:szCs w:val="32"/>
          <w:lang w:val="en-US" w:eastAsia="zh-CN"/>
        </w:rPr>
        <w:t>6.93</w:t>
      </w:r>
      <w:r>
        <w:rPr>
          <w:rFonts w:hint="eastAsia" w:ascii="仿宋" w:hAnsi="仿宋" w:eastAsia="仿宋"/>
          <w:color w:val="auto"/>
          <w:sz w:val="32"/>
          <w:szCs w:val="32"/>
        </w:rPr>
        <w:t>万元，增长100</w:t>
      </w:r>
      <w:r>
        <w:rPr>
          <w:rFonts w:ascii="仿宋" w:hAnsi="仿宋" w:eastAsia="仿宋"/>
          <w:color w:val="auto"/>
          <w:sz w:val="32"/>
          <w:szCs w:val="32"/>
        </w:rPr>
        <w:t>%</w:t>
      </w:r>
      <w:r>
        <w:rPr>
          <w:rFonts w:hint="eastAsia" w:ascii="仿宋" w:hAnsi="仿宋" w:eastAsia="仿宋"/>
          <w:color w:val="auto"/>
          <w:sz w:val="32"/>
          <w:szCs w:val="32"/>
        </w:rPr>
        <w:t>。主要原因是2019年单位无公务用车，2020年7月单位新增编制配备公务用车。</w:t>
      </w:r>
    </w:p>
    <w:p>
      <w:pPr>
        <w:spacing w:line="560" w:lineRule="exact"/>
        <w:ind w:firstLine="640" w:firstLineChars="200"/>
        <w:rPr>
          <w:rFonts w:ascii="仿宋" w:hAnsi="仿宋" w:eastAsia="仿宋"/>
          <w:color w:val="auto"/>
          <w:sz w:val="32"/>
          <w:szCs w:val="32"/>
        </w:rPr>
      </w:pPr>
      <w:r>
        <w:rPr>
          <w:rFonts w:hint="eastAsia" w:ascii="仿宋_GB2312" w:eastAsia="仿宋_GB2312"/>
          <w:color w:val="auto"/>
          <w:sz w:val="32"/>
          <w:szCs w:val="32"/>
        </w:rPr>
        <w:t>其中：</w:t>
      </w:r>
      <w:r>
        <w:rPr>
          <w:rFonts w:hint="eastAsia" w:ascii="仿宋_GB2312" w:eastAsia="仿宋_GB2312"/>
          <w:b/>
          <w:color w:val="auto"/>
          <w:sz w:val="32"/>
          <w:szCs w:val="32"/>
        </w:rPr>
        <w:t>公务用车购置支出</w:t>
      </w:r>
      <w:r>
        <w:rPr>
          <w:rFonts w:hint="eastAsia" w:ascii="仿宋_GB2312" w:eastAsia="仿宋_GB2312"/>
          <w:color w:val="auto"/>
          <w:sz w:val="32"/>
          <w:szCs w:val="32"/>
        </w:rPr>
        <w:t>0万元。</w:t>
      </w:r>
      <w:r>
        <w:rPr>
          <w:rFonts w:hint="eastAsia" w:ascii="仿宋" w:hAnsi="仿宋" w:eastAsia="仿宋"/>
          <w:color w:val="auto"/>
          <w:sz w:val="32"/>
          <w:szCs w:val="32"/>
        </w:rPr>
        <w:t>截至</w:t>
      </w:r>
      <w:r>
        <w:rPr>
          <w:rFonts w:ascii="仿宋" w:hAnsi="仿宋" w:eastAsia="仿宋"/>
          <w:color w:val="auto"/>
          <w:sz w:val="32"/>
          <w:szCs w:val="32"/>
        </w:rPr>
        <w:t>2020</w:t>
      </w:r>
      <w:r>
        <w:rPr>
          <w:rFonts w:hint="eastAsia" w:ascii="仿宋" w:hAnsi="仿宋" w:eastAsia="仿宋"/>
          <w:color w:val="auto"/>
          <w:sz w:val="32"/>
          <w:szCs w:val="32"/>
        </w:rPr>
        <w:t>年</w:t>
      </w:r>
      <w:r>
        <w:rPr>
          <w:rFonts w:ascii="仿宋" w:hAnsi="仿宋" w:eastAsia="仿宋"/>
          <w:color w:val="auto"/>
          <w:sz w:val="32"/>
          <w:szCs w:val="32"/>
        </w:rPr>
        <w:t>12</w:t>
      </w:r>
      <w:r>
        <w:rPr>
          <w:rFonts w:hint="eastAsia" w:ascii="仿宋" w:hAnsi="仿宋" w:eastAsia="仿宋"/>
          <w:color w:val="auto"/>
          <w:sz w:val="32"/>
          <w:szCs w:val="32"/>
        </w:rPr>
        <w:t>月底，单位共有公务用车1辆，其中：轿车0辆、越野车辆1辆、载客汽车0辆。</w:t>
      </w:r>
    </w:p>
    <w:p>
      <w:pPr>
        <w:spacing w:line="560" w:lineRule="exact"/>
        <w:ind w:firstLine="640"/>
        <w:rPr>
          <w:rFonts w:ascii="仿宋" w:hAnsi="仿宋" w:eastAsia="仿宋"/>
          <w:color w:val="auto"/>
          <w:sz w:val="32"/>
          <w:szCs w:val="32"/>
        </w:rPr>
      </w:pPr>
      <w:r>
        <w:rPr>
          <w:rFonts w:hint="eastAsia" w:ascii="仿宋_GB2312" w:eastAsia="仿宋_GB2312"/>
          <w:b/>
          <w:color w:val="auto"/>
          <w:sz w:val="32"/>
          <w:szCs w:val="32"/>
        </w:rPr>
        <w:t>公务用车运行维护费支出</w:t>
      </w:r>
      <w:r>
        <w:rPr>
          <w:rFonts w:hint="eastAsia" w:ascii="仿宋_GB2312" w:eastAsia="仿宋_GB2312"/>
          <w:color w:val="auto"/>
          <w:sz w:val="32"/>
          <w:szCs w:val="32"/>
        </w:rPr>
        <w:t>7.18万元。</w:t>
      </w:r>
      <w:r>
        <w:rPr>
          <w:rFonts w:hint="eastAsia" w:ascii="仿宋" w:hAnsi="仿宋" w:eastAsia="仿宋"/>
          <w:color w:val="auto"/>
          <w:sz w:val="32"/>
          <w:szCs w:val="32"/>
        </w:rPr>
        <w:t>主要用于外出调研、考察、检察工作等所需的公务用车燃料费、维修费、过路过桥费、保险费等支出。</w:t>
      </w:r>
    </w:p>
    <w:p>
      <w:pPr>
        <w:spacing w:line="560" w:lineRule="exact"/>
        <w:ind w:firstLine="640"/>
        <w:rPr>
          <w:rFonts w:hint="eastAsia" w:ascii="仿宋" w:hAnsi="仿宋" w:eastAsia="仿宋"/>
          <w:color w:val="auto"/>
          <w:sz w:val="32"/>
          <w:szCs w:val="32"/>
        </w:rPr>
      </w:pPr>
      <w:r>
        <w:rPr>
          <w:rFonts w:ascii="仿宋_GB2312" w:eastAsia="仿宋_GB2312"/>
          <w:b/>
          <w:color w:val="auto"/>
          <w:sz w:val="32"/>
          <w:szCs w:val="32"/>
        </w:rPr>
        <w:t>3.</w:t>
      </w:r>
      <w:r>
        <w:rPr>
          <w:rFonts w:hint="eastAsia" w:ascii="仿宋_GB2312" w:eastAsia="仿宋_GB2312"/>
          <w:b/>
          <w:color w:val="auto"/>
          <w:sz w:val="32"/>
          <w:szCs w:val="32"/>
        </w:rPr>
        <w:t>公务接待费支出</w:t>
      </w:r>
      <w:r>
        <w:rPr>
          <w:rFonts w:hint="eastAsia" w:ascii="仿宋_GB2312" w:eastAsia="仿宋_GB2312"/>
          <w:color w:val="auto"/>
          <w:sz w:val="32"/>
          <w:szCs w:val="32"/>
          <w:lang w:val="en-US" w:eastAsia="zh-CN"/>
        </w:rPr>
        <w:t>7.13</w:t>
      </w:r>
      <w:r>
        <w:rPr>
          <w:rFonts w:hint="eastAsia" w:ascii="仿宋_GB2312" w:eastAsia="仿宋_GB2312"/>
          <w:color w:val="auto"/>
          <w:sz w:val="32"/>
          <w:szCs w:val="32"/>
        </w:rPr>
        <w:t>万元，</w:t>
      </w:r>
      <w:r>
        <w:rPr>
          <w:rStyle w:val="17"/>
          <w:rFonts w:hint="eastAsia" w:ascii="仿宋" w:hAnsi="仿宋" w:eastAsia="仿宋"/>
          <w:b w:val="0"/>
          <w:bCs/>
          <w:color w:val="auto"/>
          <w:sz w:val="32"/>
          <w:szCs w:val="32"/>
        </w:rPr>
        <w:t>完成预算9</w:t>
      </w:r>
      <w:r>
        <w:rPr>
          <w:rStyle w:val="17"/>
          <w:rFonts w:hint="eastAsia" w:ascii="仿宋" w:hAnsi="仿宋" w:eastAsia="仿宋"/>
          <w:b w:val="0"/>
          <w:bCs/>
          <w:color w:val="auto"/>
          <w:sz w:val="32"/>
          <w:szCs w:val="32"/>
          <w:lang w:val="en-US" w:eastAsia="zh-CN"/>
        </w:rPr>
        <w:t>5</w:t>
      </w:r>
      <w:r>
        <w:rPr>
          <w:rStyle w:val="17"/>
          <w:rFonts w:ascii="仿宋" w:hAnsi="仿宋" w:eastAsia="仿宋"/>
          <w:b w:val="0"/>
          <w:bCs/>
          <w:color w:val="auto"/>
          <w:sz w:val="32"/>
          <w:szCs w:val="32"/>
        </w:rPr>
        <w:t>%</w:t>
      </w:r>
      <w:r>
        <w:rPr>
          <w:rStyle w:val="17"/>
          <w:rFonts w:hint="eastAsia" w:ascii="仿宋" w:hAnsi="仿宋" w:eastAsia="仿宋"/>
          <w:b w:val="0"/>
          <w:bCs/>
          <w:color w:val="auto"/>
          <w:sz w:val="32"/>
          <w:szCs w:val="32"/>
        </w:rPr>
        <w:t>。</w:t>
      </w:r>
      <w:r>
        <w:rPr>
          <w:rFonts w:hint="eastAsia" w:ascii="仿宋" w:hAnsi="仿宋" w:eastAsia="仿宋"/>
          <w:color w:val="auto"/>
          <w:sz w:val="32"/>
          <w:szCs w:val="32"/>
        </w:rPr>
        <w:t>公务接待费支出决算</w:t>
      </w:r>
      <w:r>
        <w:rPr>
          <w:rFonts w:hint="eastAsia" w:ascii="仿宋" w:hAnsi="仿宋" w:eastAsia="仿宋"/>
          <w:color w:val="auto"/>
          <w:sz w:val="32"/>
          <w:szCs w:val="32"/>
          <w:lang w:eastAsia="zh-CN"/>
        </w:rPr>
        <w:t>与</w:t>
      </w:r>
      <w:r>
        <w:rPr>
          <w:rFonts w:ascii="仿宋" w:hAnsi="仿宋" w:eastAsia="仿宋"/>
          <w:color w:val="auto"/>
          <w:sz w:val="32"/>
          <w:szCs w:val="32"/>
        </w:rPr>
        <w:t>2019</w:t>
      </w:r>
      <w:r>
        <w:rPr>
          <w:rFonts w:hint="eastAsia" w:ascii="仿宋" w:hAnsi="仿宋" w:eastAsia="仿宋"/>
          <w:color w:val="auto"/>
          <w:sz w:val="32"/>
          <w:szCs w:val="32"/>
          <w:lang w:eastAsia="zh-CN"/>
        </w:rPr>
        <w:t>年基本持平</w:t>
      </w:r>
      <w:r>
        <w:rPr>
          <w:rFonts w:hint="eastAsia" w:ascii="仿宋" w:hAnsi="仿宋" w:eastAsia="仿宋"/>
          <w:color w:val="auto"/>
          <w:sz w:val="32"/>
          <w:szCs w:val="32"/>
        </w:rPr>
        <w:t>。</w:t>
      </w:r>
    </w:p>
    <w:p>
      <w:pPr>
        <w:spacing w:line="560" w:lineRule="exact"/>
        <w:ind w:firstLine="640" w:firstLineChars="200"/>
        <w:rPr>
          <w:rFonts w:ascii="黑体" w:eastAsia="黑体"/>
          <w:color w:val="auto"/>
          <w:sz w:val="32"/>
          <w:szCs w:val="32"/>
        </w:rPr>
      </w:pPr>
      <w:r>
        <w:rPr>
          <w:rFonts w:hint="eastAsia" w:ascii="仿宋" w:hAnsi="仿宋" w:eastAsia="仿宋"/>
          <w:color w:val="auto"/>
          <w:sz w:val="32"/>
          <w:szCs w:val="32"/>
        </w:rPr>
        <w:t>国内公务接待支出</w:t>
      </w:r>
      <w:r>
        <w:rPr>
          <w:rFonts w:hint="eastAsia" w:ascii="仿宋" w:hAnsi="仿宋" w:eastAsia="仿宋"/>
          <w:color w:val="auto"/>
          <w:sz w:val="32"/>
          <w:szCs w:val="32"/>
          <w:lang w:val="en-US" w:eastAsia="zh-CN"/>
        </w:rPr>
        <w:t>7.13</w:t>
      </w:r>
      <w:r>
        <w:rPr>
          <w:rFonts w:hint="eastAsia" w:ascii="仿宋" w:hAnsi="仿宋" w:eastAsia="仿宋"/>
          <w:color w:val="auto"/>
          <w:sz w:val="32"/>
          <w:szCs w:val="32"/>
        </w:rPr>
        <w:t>万元，主要用于</w:t>
      </w:r>
      <w:r>
        <w:rPr>
          <w:rFonts w:hint="eastAsia" w:ascii="仿宋_GB2312" w:eastAsia="仿宋_GB2312"/>
          <w:color w:val="auto"/>
          <w:sz w:val="32"/>
          <w:szCs w:val="32"/>
        </w:rPr>
        <w:t>开展公务活动交流</w:t>
      </w:r>
      <w:r>
        <w:rPr>
          <w:rFonts w:ascii="仿宋" w:hAnsi="仿宋" w:eastAsia="仿宋"/>
          <w:color w:val="auto"/>
          <w:sz w:val="32"/>
          <w:szCs w:val="32"/>
        </w:rPr>
        <w:t>(</w:t>
      </w:r>
      <w:r>
        <w:rPr>
          <w:rFonts w:hint="eastAsia" w:ascii="仿宋" w:hAnsi="仿宋" w:eastAsia="仿宋"/>
          <w:color w:val="auto"/>
          <w:sz w:val="32"/>
          <w:szCs w:val="32"/>
        </w:rPr>
        <w:t>执行公务、开展业务活动开支的交通费、住宿费、用餐费等</w:t>
      </w:r>
      <w:r>
        <w:rPr>
          <w:rFonts w:ascii="仿宋" w:hAnsi="仿宋" w:eastAsia="仿宋"/>
          <w:color w:val="auto"/>
          <w:sz w:val="32"/>
          <w:szCs w:val="32"/>
        </w:rPr>
        <w:t>)</w:t>
      </w:r>
      <w:r>
        <w:rPr>
          <w:rFonts w:hint="eastAsia" w:ascii="仿宋" w:hAnsi="仿宋" w:eastAsia="仿宋"/>
          <w:color w:val="auto"/>
          <w:sz w:val="32"/>
          <w:szCs w:val="32"/>
        </w:rPr>
        <w:t>。国内公务接待80余批次，700余人次（不包括陪同人员），共计支出8.71万元，具体内容包括：</w:t>
      </w:r>
      <w:r>
        <w:rPr>
          <w:rFonts w:hint="eastAsia" w:ascii="仿宋_GB2312" w:eastAsia="仿宋_GB2312"/>
          <w:color w:val="auto"/>
          <w:sz w:val="32"/>
          <w:szCs w:val="32"/>
        </w:rPr>
        <w:t>统战一战线（民宗）系统各级组织来广考察调研，各民主党派各级组织来广考察调研</w:t>
      </w:r>
      <w:r>
        <w:rPr>
          <w:rFonts w:hint="eastAsia" w:ascii="仿宋" w:hAnsi="仿宋" w:eastAsia="仿宋"/>
          <w:color w:val="auto"/>
          <w:sz w:val="32"/>
          <w:szCs w:val="32"/>
        </w:rPr>
        <w:t>。</w:t>
      </w:r>
      <w:bookmarkStart w:id="46" w:name="_Toc15377218"/>
      <w:bookmarkStart w:id="47" w:name="_Toc15396610"/>
    </w:p>
    <w:p>
      <w:pPr>
        <w:spacing w:line="560" w:lineRule="exact"/>
        <w:ind w:firstLine="640"/>
        <w:outlineLvl w:val="1"/>
        <w:rPr>
          <w:rStyle w:val="22"/>
          <w:rFonts w:ascii="黑体" w:hAnsi="黑体" w:eastAsia="黑体"/>
          <w:color w:val="auto"/>
        </w:rPr>
      </w:pPr>
      <w:r>
        <w:rPr>
          <w:rFonts w:hint="eastAsia" w:ascii="黑体" w:eastAsia="黑体"/>
          <w:color w:val="auto"/>
          <w:sz w:val="32"/>
          <w:szCs w:val="32"/>
        </w:rPr>
        <w:t>八、</w:t>
      </w:r>
      <w:r>
        <w:rPr>
          <w:rStyle w:val="22"/>
          <w:rFonts w:hint="eastAsia" w:ascii="黑体" w:hAnsi="黑体" w:eastAsia="黑体"/>
          <w:b w:val="0"/>
          <w:color w:val="auto"/>
        </w:rPr>
        <w:t>政府性基金预算支出决算情况说明</w:t>
      </w:r>
      <w:bookmarkEnd w:id="46"/>
      <w:bookmarkEnd w:id="47"/>
    </w:p>
    <w:p>
      <w:pPr>
        <w:spacing w:line="560" w:lineRule="exact"/>
        <w:ind w:firstLine="640" w:firstLineChars="200"/>
        <w:rPr>
          <w:rFonts w:hint="eastAsia" w:ascii="仿宋_GB2312" w:eastAsia="仿宋_GB2312"/>
          <w:color w:val="auto"/>
          <w:sz w:val="32"/>
          <w:szCs w:val="32"/>
        </w:rPr>
      </w:pPr>
      <w:r>
        <w:rPr>
          <w:rFonts w:ascii="仿宋" w:hAnsi="仿宋" w:eastAsia="仿宋"/>
          <w:color w:val="auto"/>
          <w:sz w:val="32"/>
          <w:szCs w:val="32"/>
        </w:rPr>
        <w:t>2020</w:t>
      </w:r>
      <w:r>
        <w:rPr>
          <w:rFonts w:hint="eastAsia" w:ascii="仿宋" w:hAnsi="仿宋" w:eastAsia="仿宋"/>
          <w:color w:val="auto"/>
          <w:sz w:val="32"/>
          <w:szCs w:val="32"/>
        </w:rPr>
        <w:t>年政府性基金预算拨款支出0万元。</w:t>
      </w:r>
      <w:bookmarkStart w:id="48" w:name="_Toc15377219"/>
      <w:bookmarkStart w:id="49" w:name="_Toc15396611"/>
    </w:p>
    <w:p>
      <w:pPr>
        <w:spacing w:line="560" w:lineRule="exact"/>
        <w:ind w:firstLine="640" w:firstLineChars="200"/>
        <w:rPr>
          <w:rStyle w:val="22"/>
          <w:rFonts w:ascii="仿宋_GB2312" w:hAnsi="Times New Roman" w:eastAsia="仿宋_GB2312"/>
          <w:b w:val="0"/>
          <w:bCs w:val="0"/>
          <w:color w:val="auto"/>
        </w:rPr>
      </w:pPr>
      <w:r>
        <w:rPr>
          <w:rFonts w:hint="eastAsia" w:ascii="黑体" w:eastAsia="黑体"/>
          <w:color w:val="auto"/>
          <w:sz w:val="32"/>
          <w:szCs w:val="32"/>
        </w:rPr>
        <w:t>九、</w:t>
      </w:r>
      <w:r>
        <w:rPr>
          <w:rStyle w:val="22"/>
          <w:rFonts w:hint="eastAsia" w:ascii="黑体" w:hAnsi="黑体" w:eastAsia="黑体"/>
          <w:b w:val="0"/>
          <w:color w:val="auto"/>
        </w:rPr>
        <w:t>国有资本经营预算支出决算情况说明</w:t>
      </w:r>
      <w:bookmarkEnd w:id="48"/>
      <w:bookmarkEnd w:id="49"/>
    </w:p>
    <w:p>
      <w:pPr>
        <w:spacing w:line="560" w:lineRule="exact"/>
        <w:ind w:firstLine="640" w:firstLineChars="200"/>
        <w:rPr>
          <w:rFonts w:ascii="仿宋" w:hAnsi="仿宋" w:eastAsia="仿宋"/>
          <w:color w:val="auto"/>
          <w:sz w:val="32"/>
          <w:szCs w:val="32"/>
        </w:rPr>
      </w:pPr>
      <w:r>
        <w:rPr>
          <w:rFonts w:ascii="仿宋" w:hAnsi="仿宋" w:eastAsia="仿宋"/>
          <w:color w:val="auto"/>
          <w:sz w:val="32"/>
          <w:szCs w:val="32"/>
        </w:rPr>
        <w:t>2020</w:t>
      </w:r>
      <w:r>
        <w:rPr>
          <w:rFonts w:hint="eastAsia" w:ascii="仿宋" w:hAnsi="仿宋" w:eastAsia="仿宋"/>
          <w:color w:val="auto"/>
          <w:sz w:val="32"/>
          <w:szCs w:val="32"/>
        </w:rPr>
        <w:t>年国有资本经营预算拨款支出0万元。</w:t>
      </w:r>
    </w:p>
    <w:p>
      <w:pPr>
        <w:spacing w:line="560" w:lineRule="exact"/>
        <w:ind w:firstLine="800" w:firstLineChars="250"/>
        <w:outlineLvl w:val="1"/>
        <w:rPr>
          <w:rStyle w:val="22"/>
          <w:rFonts w:ascii="黑体" w:hAnsi="黑体" w:eastAsia="黑体"/>
          <w:color w:val="auto"/>
        </w:rPr>
      </w:pPr>
      <w:bookmarkStart w:id="50" w:name="_Toc15396612"/>
      <w:bookmarkStart w:id="51" w:name="_Toc15377221"/>
      <w:r>
        <w:rPr>
          <w:rFonts w:hint="eastAsia" w:ascii="黑体" w:hAnsi="黑体" w:eastAsia="黑体"/>
          <w:color w:val="auto"/>
          <w:sz w:val="32"/>
          <w:szCs w:val="32"/>
        </w:rPr>
        <w:t>十</w:t>
      </w:r>
      <w:r>
        <w:rPr>
          <w:rStyle w:val="22"/>
          <w:rFonts w:hint="eastAsia" w:ascii="黑体" w:hAnsi="黑体" w:eastAsia="黑体"/>
          <w:color w:val="auto"/>
        </w:rPr>
        <w:t>、</w:t>
      </w:r>
      <w:r>
        <w:rPr>
          <w:rStyle w:val="22"/>
          <w:rFonts w:hint="eastAsia" w:ascii="黑体" w:hAnsi="黑体" w:eastAsia="黑体"/>
          <w:b w:val="0"/>
          <w:color w:val="auto"/>
        </w:rPr>
        <w:t>其他重要事项的情况说明</w:t>
      </w:r>
      <w:bookmarkEnd w:id="50"/>
      <w:bookmarkEnd w:id="51"/>
    </w:p>
    <w:p>
      <w:pPr>
        <w:spacing w:line="560" w:lineRule="exact"/>
        <w:ind w:firstLine="642" w:firstLineChars="200"/>
        <w:outlineLvl w:val="2"/>
        <w:rPr>
          <w:rFonts w:ascii="仿宋" w:hAnsi="仿宋" w:eastAsia="仿宋"/>
          <w:color w:val="auto"/>
          <w:sz w:val="32"/>
          <w:szCs w:val="32"/>
        </w:rPr>
      </w:pPr>
      <w:bookmarkStart w:id="52" w:name="_Toc15377222"/>
      <w:r>
        <w:rPr>
          <w:rFonts w:hint="eastAsia" w:ascii="仿宋" w:hAnsi="仿宋" w:eastAsia="仿宋"/>
          <w:b/>
          <w:color w:val="auto"/>
          <w:sz w:val="32"/>
          <w:szCs w:val="32"/>
        </w:rPr>
        <w:t>（一）机关运行经费支出情况</w:t>
      </w:r>
      <w:bookmarkEnd w:id="52"/>
    </w:p>
    <w:p>
      <w:pPr>
        <w:spacing w:line="560" w:lineRule="exact"/>
        <w:ind w:firstLine="640" w:firstLineChars="200"/>
        <w:rPr>
          <w:rFonts w:ascii="仿宋" w:hAnsi="仿宋" w:eastAsia="仿宋"/>
          <w:b/>
          <w:color w:val="auto"/>
          <w:sz w:val="32"/>
          <w:szCs w:val="32"/>
        </w:rPr>
      </w:pPr>
      <w:r>
        <w:rPr>
          <w:rFonts w:ascii="仿宋" w:hAnsi="仿宋" w:eastAsia="仿宋"/>
          <w:color w:val="auto"/>
          <w:sz w:val="32"/>
          <w:szCs w:val="32"/>
        </w:rPr>
        <w:t>2020</w:t>
      </w:r>
      <w:r>
        <w:rPr>
          <w:rFonts w:hint="eastAsia" w:ascii="仿宋" w:hAnsi="仿宋" w:eastAsia="仿宋"/>
          <w:color w:val="auto"/>
          <w:sz w:val="32"/>
          <w:szCs w:val="32"/>
        </w:rPr>
        <w:t>年，市委统战部系统机关运行经费支出1</w:t>
      </w:r>
      <w:r>
        <w:rPr>
          <w:rFonts w:hint="eastAsia" w:ascii="仿宋" w:hAnsi="仿宋" w:eastAsia="仿宋"/>
          <w:color w:val="auto"/>
          <w:sz w:val="32"/>
          <w:szCs w:val="32"/>
          <w:lang w:val="en-US" w:eastAsia="zh-CN"/>
        </w:rPr>
        <w:t>06.25</w:t>
      </w:r>
      <w:r>
        <w:rPr>
          <w:rFonts w:hint="eastAsia" w:ascii="仿宋" w:hAnsi="仿宋" w:eastAsia="仿宋"/>
          <w:color w:val="auto"/>
          <w:sz w:val="32"/>
          <w:szCs w:val="32"/>
        </w:rPr>
        <w:t>万元，比</w:t>
      </w:r>
      <w:r>
        <w:rPr>
          <w:rFonts w:ascii="仿宋" w:hAnsi="仿宋" w:eastAsia="仿宋"/>
          <w:color w:val="auto"/>
          <w:sz w:val="32"/>
          <w:szCs w:val="32"/>
        </w:rPr>
        <w:t>2019</w:t>
      </w:r>
      <w:r>
        <w:rPr>
          <w:rFonts w:hint="eastAsia" w:ascii="仿宋" w:hAnsi="仿宋" w:eastAsia="仿宋"/>
          <w:color w:val="auto"/>
          <w:sz w:val="32"/>
          <w:szCs w:val="32"/>
        </w:rPr>
        <w:t>年减少2</w:t>
      </w:r>
      <w:r>
        <w:rPr>
          <w:rFonts w:hint="eastAsia" w:ascii="仿宋" w:hAnsi="仿宋" w:eastAsia="仿宋"/>
          <w:color w:val="auto"/>
          <w:sz w:val="32"/>
          <w:szCs w:val="32"/>
          <w:lang w:val="en-US" w:eastAsia="zh-CN"/>
        </w:rPr>
        <w:t>9.22</w:t>
      </w:r>
      <w:r>
        <w:rPr>
          <w:rFonts w:hint="eastAsia" w:ascii="仿宋" w:hAnsi="仿宋" w:eastAsia="仿宋"/>
          <w:color w:val="auto"/>
          <w:sz w:val="32"/>
          <w:szCs w:val="32"/>
        </w:rPr>
        <w:t>万元，下降</w:t>
      </w:r>
      <w:r>
        <w:rPr>
          <w:rFonts w:hint="eastAsia" w:ascii="仿宋" w:hAnsi="仿宋" w:eastAsia="仿宋"/>
          <w:color w:val="auto"/>
          <w:sz w:val="32"/>
          <w:szCs w:val="32"/>
          <w:lang w:val="en-US" w:eastAsia="zh-CN"/>
        </w:rPr>
        <w:t>21</w:t>
      </w:r>
      <w:r>
        <w:rPr>
          <w:rFonts w:ascii="仿宋" w:hAnsi="仿宋" w:eastAsia="仿宋"/>
          <w:color w:val="auto"/>
          <w:sz w:val="32"/>
          <w:szCs w:val="32"/>
        </w:rPr>
        <w:t>%</w:t>
      </w:r>
      <w:r>
        <w:rPr>
          <w:rFonts w:hint="eastAsia" w:ascii="仿宋" w:hAnsi="仿宋" w:eastAsia="仿宋"/>
          <w:color w:val="auto"/>
          <w:sz w:val="32"/>
          <w:szCs w:val="32"/>
        </w:rPr>
        <w:t>。主要原因是进一步落实过紧日子思想，严格规范相关制度建设，以制度约束，创建节约型机关。</w:t>
      </w:r>
    </w:p>
    <w:p>
      <w:pPr>
        <w:autoSpaceDE w:val="0"/>
        <w:autoSpaceDN w:val="0"/>
        <w:adjustRightInd w:val="0"/>
        <w:spacing w:line="560" w:lineRule="exact"/>
        <w:ind w:firstLine="642" w:firstLineChars="200"/>
        <w:jc w:val="left"/>
        <w:outlineLvl w:val="2"/>
        <w:rPr>
          <w:rFonts w:ascii="仿宋" w:hAnsi="仿宋" w:eastAsia="仿宋"/>
          <w:b/>
          <w:color w:val="auto"/>
          <w:sz w:val="32"/>
          <w:szCs w:val="32"/>
        </w:rPr>
      </w:pPr>
      <w:bookmarkStart w:id="53" w:name="_Toc15377223"/>
      <w:r>
        <w:rPr>
          <w:rFonts w:hint="eastAsia" w:ascii="仿宋" w:hAnsi="仿宋" w:eastAsia="仿宋"/>
          <w:b/>
          <w:color w:val="auto"/>
          <w:sz w:val="32"/>
          <w:szCs w:val="32"/>
        </w:rPr>
        <w:t>（二）政府采购支出情况</w:t>
      </w:r>
      <w:bookmarkEnd w:id="53"/>
    </w:p>
    <w:p>
      <w:pPr>
        <w:spacing w:line="560" w:lineRule="exact"/>
        <w:ind w:firstLine="640" w:firstLineChars="200"/>
        <w:rPr>
          <w:rFonts w:ascii="仿宋" w:hAnsi="仿宋" w:eastAsia="仿宋"/>
          <w:b/>
          <w:color w:val="auto"/>
          <w:sz w:val="32"/>
          <w:szCs w:val="32"/>
        </w:rPr>
      </w:pPr>
      <w:r>
        <w:rPr>
          <w:rFonts w:ascii="仿宋" w:hAnsi="仿宋" w:eastAsia="仿宋"/>
          <w:color w:val="auto"/>
          <w:sz w:val="32"/>
          <w:szCs w:val="32"/>
        </w:rPr>
        <w:t>2020</w:t>
      </w:r>
      <w:r>
        <w:rPr>
          <w:rFonts w:hint="eastAsia" w:ascii="仿宋" w:hAnsi="仿宋" w:eastAsia="仿宋"/>
          <w:color w:val="auto"/>
          <w:sz w:val="32"/>
          <w:szCs w:val="32"/>
        </w:rPr>
        <w:t>年，市委统战部系统政府采购支出总额</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万元，其中：政府采购货物支出</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w:t>
      </w:r>
      <w:r>
        <w:rPr>
          <w:rFonts w:hint="eastAsia" w:ascii="仿宋" w:hAnsi="仿宋" w:eastAsia="仿宋"/>
          <w:color w:val="auto"/>
          <w:sz w:val="32"/>
          <w:szCs w:val="32"/>
          <w:lang w:eastAsia="zh-CN"/>
        </w:rPr>
        <w:t>。</w:t>
      </w:r>
      <w:r>
        <w:rPr>
          <w:rFonts w:hint="eastAsia" w:ascii="仿宋" w:hAnsi="仿宋" w:eastAsia="仿宋"/>
          <w:color w:val="auto"/>
          <w:sz w:val="32"/>
          <w:szCs w:val="32"/>
        </w:rPr>
        <w:t>其中：授予小微企业合同金额</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万元，占政府采购支出总额的</w:t>
      </w:r>
      <w:r>
        <w:rPr>
          <w:rFonts w:hint="eastAsia" w:ascii="仿宋" w:hAnsi="仿宋" w:eastAsia="仿宋"/>
          <w:color w:val="auto"/>
          <w:sz w:val="32"/>
          <w:szCs w:val="32"/>
          <w:lang w:val="en-US" w:eastAsia="zh-CN"/>
        </w:rPr>
        <w:t>100</w:t>
      </w:r>
      <w:r>
        <w:rPr>
          <w:rFonts w:ascii="仿宋" w:hAnsi="仿宋" w:eastAsia="仿宋"/>
          <w:color w:val="auto"/>
          <w:sz w:val="32"/>
          <w:szCs w:val="32"/>
        </w:rPr>
        <w:t>%</w:t>
      </w:r>
      <w:r>
        <w:rPr>
          <w:rFonts w:hint="eastAsia" w:ascii="仿宋" w:hAnsi="仿宋" w:eastAsia="仿宋"/>
          <w:color w:val="auto"/>
          <w:sz w:val="32"/>
          <w:szCs w:val="32"/>
        </w:rPr>
        <w:t>。</w:t>
      </w:r>
    </w:p>
    <w:p>
      <w:pPr>
        <w:autoSpaceDE w:val="0"/>
        <w:autoSpaceDN w:val="0"/>
        <w:adjustRightInd w:val="0"/>
        <w:spacing w:line="560" w:lineRule="exact"/>
        <w:ind w:firstLine="642" w:firstLineChars="200"/>
        <w:jc w:val="left"/>
        <w:outlineLvl w:val="2"/>
        <w:rPr>
          <w:rFonts w:ascii="仿宋" w:hAnsi="仿宋" w:eastAsia="仿宋"/>
          <w:b/>
          <w:color w:val="auto"/>
          <w:sz w:val="32"/>
          <w:szCs w:val="32"/>
        </w:rPr>
      </w:pPr>
      <w:bookmarkStart w:id="54" w:name="_Toc15377224"/>
      <w:r>
        <w:rPr>
          <w:rFonts w:hint="eastAsia" w:ascii="仿宋" w:hAnsi="仿宋" w:eastAsia="仿宋"/>
          <w:b/>
          <w:color w:val="auto"/>
          <w:sz w:val="32"/>
          <w:szCs w:val="32"/>
        </w:rPr>
        <w:t>（三）国有资产占有使用情况</w:t>
      </w:r>
      <w:bookmarkEnd w:id="54"/>
    </w:p>
    <w:p>
      <w:pPr>
        <w:autoSpaceDE w:val="0"/>
        <w:autoSpaceDN w:val="0"/>
        <w:adjustRightInd w:val="0"/>
        <w:spacing w:line="560" w:lineRule="exact"/>
        <w:ind w:firstLine="640" w:firstLineChars="200"/>
        <w:jc w:val="left"/>
        <w:rPr>
          <w:rFonts w:ascii="仿宋" w:hAnsi="仿宋" w:eastAsia="仿宋"/>
          <w:b/>
          <w:color w:val="auto"/>
          <w:sz w:val="32"/>
          <w:szCs w:val="32"/>
        </w:rPr>
      </w:pPr>
      <w:r>
        <w:rPr>
          <w:rFonts w:hint="eastAsia" w:ascii="仿宋" w:hAnsi="仿宋" w:eastAsia="仿宋"/>
          <w:color w:val="auto"/>
          <w:sz w:val="32"/>
          <w:szCs w:val="32"/>
        </w:rPr>
        <w:t>截至</w:t>
      </w:r>
      <w:r>
        <w:rPr>
          <w:rFonts w:ascii="仿宋" w:hAnsi="仿宋" w:eastAsia="仿宋"/>
          <w:color w:val="auto"/>
          <w:sz w:val="32"/>
          <w:szCs w:val="32"/>
        </w:rPr>
        <w:t>2020</w:t>
      </w:r>
      <w:r>
        <w:rPr>
          <w:rFonts w:hint="eastAsia" w:ascii="仿宋" w:hAnsi="仿宋" w:eastAsia="仿宋"/>
          <w:color w:val="auto"/>
          <w:sz w:val="32"/>
          <w:szCs w:val="32"/>
        </w:rPr>
        <w:t>年</w:t>
      </w:r>
      <w:r>
        <w:rPr>
          <w:rFonts w:ascii="仿宋" w:hAnsi="仿宋" w:eastAsia="仿宋"/>
          <w:color w:val="auto"/>
          <w:sz w:val="32"/>
          <w:szCs w:val="32"/>
        </w:rPr>
        <w:t>12</w:t>
      </w:r>
      <w:r>
        <w:rPr>
          <w:rFonts w:hint="eastAsia" w:ascii="仿宋" w:hAnsi="仿宋" w:eastAsia="仿宋"/>
          <w:color w:val="auto"/>
          <w:sz w:val="32"/>
          <w:szCs w:val="32"/>
        </w:rPr>
        <w:t>月</w:t>
      </w:r>
      <w:r>
        <w:rPr>
          <w:rFonts w:ascii="仿宋" w:hAnsi="仿宋" w:eastAsia="仿宋"/>
          <w:color w:val="auto"/>
          <w:sz w:val="32"/>
          <w:szCs w:val="32"/>
        </w:rPr>
        <w:t>31</w:t>
      </w:r>
      <w:r>
        <w:rPr>
          <w:rFonts w:hint="eastAsia" w:ascii="仿宋" w:hAnsi="仿宋" w:eastAsia="仿宋"/>
          <w:color w:val="auto"/>
          <w:sz w:val="32"/>
          <w:szCs w:val="32"/>
        </w:rPr>
        <w:t>日，市委统战部共有车辆2辆，其中：主要领导干部用车0辆、机要通信用车0辆、应急保障用车0辆、其他用车2辆</w:t>
      </w:r>
      <w:r>
        <w:rPr>
          <w:rFonts w:hint="eastAsia" w:ascii="仿宋" w:hAnsi="仿宋" w:eastAsia="仿宋"/>
          <w:b/>
          <w:color w:val="auto"/>
          <w:sz w:val="32"/>
          <w:szCs w:val="32"/>
        </w:rPr>
        <w:t>（车改后原公务用车川H78555已上交，但市国资委一直未给出具下帐通知）</w:t>
      </w:r>
      <w:r>
        <w:rPr>
          <w:rFonts w:hint="eastAsia" w:ascii="仿宋" w:hAnsi="仿宋" w:eastAsia="仿宋"/>
          <w:color w:val="auto"/>
          <w:sz w:val="32"/>
          <w:szCs w:val="32"/>
        </w:rPr>
        <w:t>，其他用车主要是用于日常外出检查、调研，宗教应急处突等事项。单价</w:t>
      </w:r>
      <w:r>
        <w:rPr>
          <w:rFonts w:ascii="仿宋" w:hAnsi="仿宋" w:eastAsia="仿宋"/>
          <w:color w:val="auto"/>
          <w:sz w:val="32"/>
          <w:szCs w:val="32"/>
        </w:rPr>
        <w:t>50</w:t>
      </w:r>
      <w:r>
        <w:rPr>
          <w:rFonts w:hint="eastAsia" w:ascii="仿宋" w:hAnsi="仿宋" w:eastAsia="仿宋"/>
          <w:color w:val="auto"/>
          <w:sz w:val="32"/>
          <w:szCs w:val="32"/>
        </w:rPr>
        <w:t>万元以上通用设备0台（套），单价</w:t>
      </w:r>
      <w:r>
        <w:rPr>
          <w:rFonts w:ascii="仿宋" w:hAnsi="仿宋" w:eastAsia="仿宋"/>
          <w:color w:val="auto"/>
          <w:sz w:val="32"/>
          <w:szCs w:val="32"/>
        </w:rPr>
        <w:t>100</w:t>
      </w:r>
      <w:r>
        <w:rPr>
          <w:rFonts w:hint="eastAsia" w:ascii="仿宋" w:hAnsi="仿宋" w:eastAsia="仿宋"/>
          <w:color w:val="auto"/>
          <w:sz w:val="32"/>
          <w:szCs w:val="32"/>
        </w:rPr>
        <w:t>万元以上 专用设备0台（套）。</w:t>
      </w:r>
    </w:p>
    <w:p>
      <w:pPr>
        <w:autoSpaceDE w:val="0"/>
        <w:autoSpaceDN w:val="0"/>
        <w:adjustRightInd w:val="0"/>
        <w:spacing w:line="560" w:lineRule="exact"/>
        <w:ind w:firstLine="642" w:firstLineChars="200"/>
        <w:jc w:val="left"/>
        <w:outlineLvl w:val="2"/>
        <w:rPr>
          <w:rFonts w:ascii="仿宋" w:hAnsi="仿宋" w:eastAsia="仿宋"/>
          <w:b/>
          <w:color w:val="auto"/>
          <w:sz w:val="32"/>
          <w:szCs w:val="32"/>
        </w:rPr>
      </w:pPr>
      <w:r>
        <w:rPr>
          <w:rFonts w:hint="eastAsia" w:ascii="仿宋" w:hAnsi="仿宋" w:eastAsia="仿宋"/>
          <w:b/>
          <w:color w:val="auto"/>
          <w:sz w:val="32"/>
          <w:szCs w:val="32"/>
        </w:rPr>
        <w:t>（四）预算绩效管理情况。</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根据预算绩效管理要求，本部门（单位）在年初预算编制阶段，组织对新的社会阶层人士联谊会工作经费、党外知识分子联谊会工作经费、宗教三支队伍建设经费、宗教团体工作经费、马路基护理费门诊费开展了预算事前绩效评估，对3个项目编制了绩效目标，预算执行过程中，选取5个项目开展绩效监控，年终执行完毕后，对5个项目开展了绩效目标完成情况自评。</w:t>
      </w:r>
    </w:p>
    <w:p>
      <w:pPr>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本部门按要求对</w:t>
      </w:r>
      <w:r>
        <w:rPr>
          <w:rFonts w:ascii="仿宋" w:hAnsi="仿宋" w:eastAsia="仿宋"/>
          <w:color w:val="auto"/>
          <w:sz w:val="32"/>
          <w:szCs w:val="32"/>
        </w:rPr>
        <w:t>2020</w:t>
      </w:r>
      <w:r>
        <w:rPr>
          <w:rFonts w:hint="eastAsia" w:ascii="仿宋" w:hAnsi="仿宋" w:eastAsia="仿宋"/>
          <w:color w:val="auto"/>
          <w:sz w:val="32"/>
          <w:szCs w:val="32"/>
        </w:rPr>
        <w:t xml:space="preserve">年部门整体支出开展绩效自评，从评价情况来看完成了项目绩效的各个目标，项目进度有序开展，项目效果显著。本部门还自行组织了5个项目支出绩效评价，从评价情况来看项目各项数量指标完成率达100%，满意度情况良好。 </w:t>
      </w:r>
    </w:p>
    <w:p>
      <w:pPr>
        <w:spacing w:line="560" w:lineRule="exact"/>
        <w:ind w:firstLine="640" w:firstLineChars="200"/>
        <w:rPr>
          <w:rFonts w:hint="eastAsia" w:ascii="仿宋" w:hAnsi="仿宋" w:eastAsia="仿宋"/>
          <w:color w:val="auto"/>
          <w:sz w:val="32"/>
          <w:szCs w:val="32"/>
        </w:rPr>
      </w:pPr>
      <w:r>
        <w:rPr>
          <w:rFonts w:ascii="仿宋" w:hAnsi="仿宋" w:eastAsia="仿宋"/>
          <w:color w:val="auto"/>
          <w:sz w:val="32"/>
          <w:szCs w:val="32"/>
        </w:rPr>
        <w:t>1.</w:t>
      </w:r>
      <w:r>
        <w:rPr>
          <w:rFonts w:hint="eastAsia" w:ascii="仿宋" w:hAnsi="仿宋" w:eastAsia="仿宋"/>
          <w:color w:val="auto"/>
          <w:sz w:val="32"/>
          <w:szCs w:val="32"/>
        </w:rPr>
        <w:t>项目绩效目标完成情况。</w:t>
      </w:r>
      <w:r>
        <w:rPr>
          <w:rFonts w:ascii="仿宋" w:hAnsi="仿宋" w:eastAsia="仿宋"/>
          <w:color w:val="auto"/>
          <w:sz w:val="32"/>
          <w:szCs w:val="32"/>
        </w:rPr>
        <w:br w:type="textWrapping"/>
      </w:r>
      <w:r>
        <w:rPr>
          <w:rFonts w:ascii="仿宋" w:hAnsi="仿宋" w:eastAsia="仿宋"/>
          <w:color w:val="auto"/>
          <w:sz w:val="32"/>
          <w:szCs w:val="32"/>
        </w:rPr>
        <w:t xml:space="preserve">    </w:t>
      </w:r>
      <w:r>
        <w:rPr>
          <w:rFonts w:hint="eastAsia" w:ascii="仿宋" w:hAnsi="仿宋" w:eastAsia="仿宋"/>
          <w:color w:val="auto"/>
          <w:sz w:val="32"/>
          <w:szCs w:val="32"/>
        </w:rPr>
        <w:t>本部门在</w:t>
      </w:r>
      <w:r>
        <w:rPr>
          <w:rFonts w:ascii="仿宋" w:hAnsi="仿宋" w:eastAsia="仿宋"/>
          <w:color w:val="auto"/>
          <w:sz w:val="32"/>
          <w:szCs w:val="32"/>
        </w:rPr>
        <w:t>2020</w:t>
      </w:r>
      <w:r>
        <w:rPr>
          <w:rFonts w:hint="eastAsia" w:ascii="仿宋" w:hAnsi="仿宋" w:eastAsia="仿宋"/>
          <w:color w:val="auto"/>
          <w:sz w:val="32"/>
          <w:szCs w:val="32"/>
        </w:rPr>
        <w:t>年度部门决算中反映“新的社会阶层人士联谊会工作经费</w:t>
      </w:r>
      <w:r>
        <w:rPr>
          <w:rFonts w:ascii="仿宋" w:hAnsi="仿宋" w:eastAsia="仿宋"/>
          <w:color w:val="auto"/>
          <w:sz w:val="32"/>
          <w:szCs w:val="32"/>
        </w:rPr>
        <w:t>”</w:t>
      </w:r>
      <w:r>
        <w:rPr>
          <w:rFonts w:hint="eastAsia" w:ascii="仿宋" w:hAnsi="仿宋" w:eastAsia="仿宋"/>
          <w:color w:val="auto"/>
          <w:sz w:val="32"/>
          <w:szCs w:val="32"/>
        </w:rPr>
        <w:t>“党外知识分子联谊会工作经费</w:t>
      </w:r>
      <w:r>
        <w:rPr>
          <w:rFonts w:ascii="仿宋" w:hAnsi="仿宋" w:eastAsia="仿宋"/>
          <w:color w:val="auto"/>
          <w:sz w:val="32"/>
          <w:szCs w:val="32"/>
        </w:rPr>
        <w:t>”</w:t>
      </w:r>
      <w:r>
        <w:rPr>
          <w:rFonts w:hint="eastAsia" w:ascii="仿宋" w:hAnsi="仿宋" w:eastAsia="仿宋"/>
          <w:color w:val="auto"/>
          <w:sz w:val="32"/>
          <w:szCs w:val="32"/>
        </w:rPr>
        <w:t>“宗教三支队伍建设经费</w:t>
      </w:r>
      <w:r>
        <w:rPr>
          <w:rFonts w:ascii="仿宋" w:hAnsi="仿宋" w:eastAsia="仿宋"/>
          <w:color w:val="auto"/>
          <w:sz w:val="32"/>
          <w:szCs w:val="32"/>
        </w:rPr>
        <w:t>”</w:t>
      </w:r>
      <w:r>
        <w:rPr>
          <w:rFonts w:hint="eastAsia" w:ascii="仿宋" w:hAnsi="仿宋" w:eastAsia="仿宋"/>
          <w:color w:val="auto"/>
          <w:sz w:val="32"/>
          <w:szCs w:val="32"/>
        </w:rPr>
        <w:t>“宗教团体工作经费</w:t>
      </w:r>
      <w:r>
        <w:rPr>
          <w:rFonts w:ascii="仿宋" w:hAnsi="仿宋" w:eastAsia="仿宋"/>
          <w:color w:val="auto"/>
          <w:sz w:val="32"/>
          <w:szCs w:val="32"/>
        </w:rPr>
        <w:t>”</w:t>
      </w:r>
      <w:r>
        <w:rPr>
          <w:rFonts w:hint="eastAsia" w:ascii="仿宋" w:hAnsi="仿宋" w:eastAsia="仿宋"/>
          <w:color w:val="auto"/>
          <w:sz w:val="32"/>
          <w:szCs w:val="32"/>
        </w:rPr>
        <w:t>“马路基护理费门诊费</w:t>
      </w:r>
      <w:r>
        <w:rPr>
          <w:rFonts w:ascii="仿宋" w:hAnsi="仿宋" w:eastAsia="仿宋"/>
          <w:color w:val="auto"/>
          <w:sz w:val="32"/>
          <w:szCs w:val="32"/>
        </w:rPr>
        <w:t>”</w:t>
      </w:r>
      <w:r>
        <w:rPr>
          <w:rFonts w:hint="eastAsia" w:ascii="仿宋" w:hAnsi="仿宋" w:eastAsia="仿宋"/>
          <w:color w:val="auto"/>
          <w:sz w:val="32"/>
          <w:szCs w:val="32"/>
        </w:rPr>
        <w:t>等5个项目绩效目标实际完成情况。</w:t>
      </w:r>
    </w:p>
    <w:p>
      <w:pPr>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w:t>
      </w:r>
      <w:r>
        <w:rPr>
          <w:rFonts w:ascii="仿宋" w:hAnsi="仿宋" w:eastAsia="仿宋"/>
          <w:color w:val="auto"/>
          <w:sz w:val="32"/>
          <w:szCs w:val="32"/>
        </w:rPr>
        <w:t>1</w:t>
      </w:r>
      <w:r>
        <w:rPr>
          <w:rFonts w:hint="eastAsia" w:ascii="仿宋" w:hAnsi="仿宋" w:eastAsia="仿宋"/>
          <w:color w:val="auto"/>
          <w:sz w:val="32"/>
          <w:szCs w:val="32"/>
        </w:rPr>
        <w:t>）2020年新的社会阶层人士联谊会工作经费项目绩效目标完成情况综述。项目全年预算数4.5万元，执行数为4.5万元，完成预算的100</w:t>
      </w:r>
      <w:r>
        <w:rPr>
          <w:rFonts w:ascii="仿宋" w:hAnsi="仿宋" w:eastAsia="仿宋"/>
          <w:color w:val="auto"/>
          <w:sz w:val="32"/>
          <w:szCs w:val="32"/>
        </w:rPr>
        <w:t>%</w:t>
      </w:r>
      <w:r>
        <w:rPr>
          <w:rFonts w:hint="eastAsia" w:ascii="仿宋" w:hAnsi="仿宋" w:eastAsia="仿宋"/>
          <w:color w:val="auto"/>
          <w:sz w:val="32"/>
          <w:szCs w:val="32"/>
        </w:rPr>
        <w:t>。通过项目实施，保障了新的社会阶层人士联谊会工作正常开展，搭建了新的社会阶层人士相互交流合作平台，促进了大统战工作格局构建。发现的主要问题：一是带动新的社会阶层人士更好服务社会能力还有待进一步提升；二是解决工作中出现的新情况、新问题方法单一。下一步改进措施：一是加强新的社会阶层人士培训力度，提升服务社会积极性；二是提高解决矛盾的能力水平，促进和谐氛围。</w:t>
      </w:r>
    </w:p>
    <w:p>
      <w:pPr>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w:t>
      </w:r>
      <w:r>
        <w:rPr>
          <w:rFonts w:ascii="仿宋" w:hAnsi="仿宋" w:eastAsia="仿宋"/>
          <w:color w:val="auto"/>
          <w:sz w:val="32"/>
          <w:szCs w:val="32"/>
        </w:rPr>
        <w:t>2</w:t>
      </w:r>
      <w:r>
        <w:rPr>
          <w:rFonts w:hint="eastAsia" w:ascii="仿宋" w:hAnsi="仿宋" w:eastAsia="仿宋"/>
          <w:color w:val="auto"/>
          <w:sz w:val="32"/>
          <w:szCs w:val="32"/>
        </w:rPr>
        <w:t>）2020年党外知识分子联谊会工作经费项目绩效目标完成情况综述。项目全年预算数3.6万元，执行数为3.6万元，完成预算的100</w:t>
      </w:r>
      <w:r>
        <w:rPr>
          <w:rFonts w:ascii="仿宋" w:hAnsi="仿宋" w:eastAsia="仿宋"/>
          <w:color w:val="auto"/>
          <w:sz w:val="32"/>
          <w:szCs w:val="32"/>
        </w:rPr>
        <w:t>%</w:t>
      </w:r>
      <w:r>
        <w:rPr>
          <w:rFonts w:hint="eastAsia" w:ascii="仿宋" w:hAnsi="仿宋" w:eastAsia="仿宋"/>
          <w:color w:val="auto"/>
          <w:sz w:val="32"/>
          <w:szCs w:val="32"/>
        </w:rPr>
        <w:t>。通过项目实施，保障了党外知识分子联谊会工作工作正常开展，提高了党外知识分子工作积极性，促进了统战工作大团结大联合，提高了党领导的统一战线工作职能部门地位。发现的主要问题是预算资金较少，平时活动开展多，现有经费不能完全满足。下一步改进措施：积极争取提高财政预算，鼓励支持开展相关公益活动。</w:t>
      </w:r>
    </w:p>
    <w:p>
      <w:pPr>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w:t>
      </w:r>
      <w:r>
        <w:rPr>
          <w:rFonts w:ascii="仿宋" w:hAnsi="仿宋" w:eastAsia="仿宋"/>
          <w:color w:val="auto"/>
          <w:sz w:val="32"/>
          <w:szCs w:val="32"/>
        </w:rPr>
        <w:t>3</w:t>
      </w:r>
      <w:r>
        <w:rPr>
          <w:rFonts w:hint="eastAsia" w:ascii="仿宋" w:hAnsi="仿宋" w:eastAsia="仿宋"/>
          <w:color w:val="auto"/>
          <w:sz w:val="32"/>
          <w:szCs w:val="32"/>
        </w:rPr>
        <w:t>）2020年中华职业教育社工作经费项目绩效目标完成情况综述。项目全年预算数5.4万元，执行数为5</w:t>
      </w:r>
      <w:r>
        <w:rPr>
          <w:rFonts w:hint="eastAsia" w:ascii="仿宋" w:hAnsi="仿宋" w:eastAsia="仿宋"/>
          <w:color w:val="auto"/>
          <w:sz w:val="32"/>
          <w:szCs w:val="32"/>
          <w:lang w:val="en-US" w:eastAsia="zh-CN"/>
        </w:rPr>
        <w:t>.</w:t>
      </w:r>
      <w:r>
        <w:rPr>
          <w:rFonts w:hint="eastAsia" w:ascii="仿宋" w:hAnsi="仿宋" w:eastAsia="仿宋"/>
          <w:color w:val="auto"/>
          <w:sz w:val="32"/>
          <w:szCs w:val="32"/>
        </w:rPr>
        <w:t>4万元，完成预算的100</w:t>
      </w:r>
      <w:r>
        <w:rPr>
          <w:rFonts w:ascii="仿宋" w:hAnsi="仿宋" w:eastAsia="仿宋"/>
          <w:color w:val="auto"/>
          <w:sz w:val="32"/>
          <w:szCs w:val="32"/>
        </w:rPr>
        <w:t>%</w:t>
      </w:r>
      <w:r>
        <w:rPr>
          <w:rFonts w:hint="eastAsia" w:ascii="仿宋" w:hAnsi="仿宋" w:eastAsia="仿宋"/>
          <w:color w:val="auto"/>
          <w:sz w:val="32"/>
          <w:szCs w:val="32"/>
        </w:rPr>
        <w:t>。通过项目实施，</w:t>
      </w:r>
      <w:r>
        <w:rPr>
          <w:rFonts w:hint="eastAsia" w:ascii="仿宋" w:hAnsi="仿宋" w:eastAsia="仿宋" w:cs="仿宋"/>
          <w:color w:val="auto"/>
          <w:sz w:val="32"/>
          <w:szCs w:val="32"/>
        </w:rPr>
        <w:t>有效保障了广元市中华职业教育社日常活动开支，切实发挥作用服务全市职业教育高质量发展。</w:t>
      </w:r>
      <w:r>
        <w:rPr>
          <w:rFonts w:hint="eastAsia" w:ascii="仿宋" w:hAnsi="仿宋" w:eastAsia="仿宋"/>
          <w:color w:val="auto"/>
          <w:sz w:val="32"/>
          <w:szCs w:val="32"/>
        </w:rPr>
        <w:t>发现的主要问题是</w:t>
      </w:r>
      <w:r>
        <w:rPr>
          <w:rFonts w:hint="eastAsia" w:ascii="仿宋" w:hAnsi="仿宋" w:eastAsia="仿宋" w:cs="仿宋"/>
          <w:color w:val="auto"/>
          <w:sz w:val="32"/>
          <w:szCs w:val="32"/>
        </w:rPr>
        <w:t>审批流程繁琐、工作效率低下。</w:t>
      </w:r>
      <w:r>
        <w:rPr>
          <w:rFonts w:hint="eastAsia" w:ascii="仿宋" w:hAnsi="仿宋" w:eastAsia="仿宋"/>
          <w:color w:val="auto"/>
          <w:sz w:val="32"/>
          <w:szCs w:val="32"/>
        </w:rPr>
        <w:t>下一步改进措施：</w:t>
      </w:r>
      <w:r>
        <w:rPr>
          <w:rFonts w:hint="eastAsia" w:ascii="仿宋" w:hAnsi="仿宋" w:eastAsia="仿宋" w:cs="仿宋"/>
          <w:color w:val="auto"/>
          <w:sz w:val="32"/>
          <w:szCs w:val="32"/>
        </w:rPr>
        <w:t>进一步理清广元市中华职业教育社财务报销流程，减少多头审批环节，提高办事效率。</w:t>
      </w:r>
    </w:p>
    <w:p>
      <w:pPr>
        <w:spacing w:line="580" w:lineRule="exact"/>
        <w:ind w:firstLine="640" w:firstLineChars="200"/>
        <w:rPr>
          <w:rFonts w:hint="eastAsia" w:ascii="仿宋" w:hAnsi="仿宋" w:eastAsia="仿宋"/>
          <w:color w:val="auto"/>
          <w:sz w:val="32"/>
          <w:szCs w:val="32"/>
        </w:rPr>
      </w:pPr>
    </w:p>
    <w:p>
      <w:pPr>
        <w:spacing w:line="580" w:lineRule="exact"/>
        <w:ind w:firstLine="640" w:firstLineChars="200"/>
        <w:rPr>
          <w:rFonts w:hint="eastAsia" w:ascii="仿宋" w:hAnsi="仿宋" w:eastAsia="仿宋"/>
          <w:color w:val="auto"/>
          <w:sz w:val="32"/>
          <w:szCs w:val="32"/>
        </w:rPr>
      </w:pPr>
    </w:p>
    <w:p>
      <w:pPr>
        <w:spacing w:line="580" w:lineRule="exact"/>
        <w:ind w:firstLine="640" w:firstLineChars="200"/>
        <w:rPr>
          <w:rFonts w:hint="eastAsia" w:ascii="仿宋" w:hAnsi="仿宋" w:eastAsia="仿宋"/>
          <w:color w:val="auto"/>
          <w:sz w:val="32"/>
          <w:szCs w:val="32"/>
        </w:rPr>
      </w:pPr>
    </w:p>
    <w:p>
      <w:pPr>
        <w:spacing w:line="580" w:lineRule="exact"/>
        <w:ind w:firstLine="640" w:firstLineChars="200"/>
        <w:rPr>
          <w:rFonts w:hint="eastAsia" w:ascii="仿宋" w:hAnsi="仿宋" w:eastAsia="仿宋"/>
          <w:color w:val="auto"/>
          <w:sz w:val="32"/>
          <w:szCs w:val="32"/>
        </w:rPr>
      </w:pPr>
    </w:p>
    <w:p>
      <w:pPr>
        <w:spacing w:line="580" w:lineRule="exact"/>
        <w:ind w:firstLine="640" w:firstLineChars="200"/>
        <w:rPr>
          <w:rFonts w:hint="eastAsia" w:ascii="仿宋" w:hAnsi="仿宋" w:eastAsia="仿宋"/>
          <w:color w:val="auto"/>
          <w:sz w:val="32"/>
          <w:szCs w:val="32"/>
        </w:rPr>
      </w:pPr>
    </w:p>
    <w:p>
      <w:pPr>
        <w:spacing w:line="580" w:lineRule="exact"/>
        <w:ind w:firstLine="640" w:firstLineChars="200"/>
        <w:rPr>
          <w:rFonts w:hint="eastAsia" w:ascii="仿宋" w:hAnsi="仿宋" w:eastAsia="仿宋"/>
          <w:color w:val="auto"/>
          <w:sz w:val="32"/>
          <w:szCs w:val="32"/>
        </w:rPr>
      </w:pPr>
    </w:p>
    <w:p>
      <w:pPr>
        <w:spacing w:line="580" w:lineRule="exact"/>
        <w:ind w:firstLine="640" w:firstLineChars="200"/>
        <w:rPr>
          <w:rFonts w:hint="eastAsia" w:ascii="仿宋" w:hAnsi="仿宋" w:eastAsia="仿宋"/>
          <w:color w:val="auto"/>
          <w:sz w:val="32"/>
          <w:szCs w:val="32"/>
        </w:rPr>
      </w:pPr>
    </w:p>
    <w:tbl>
      <w:tblPr>
        <w:tblStyle w:val="15"/>
        <w:tblpPr w:leftFromText="180" w:rightFromText="180" w:vertAnchor="text" w:horzAnchor="page" w:tblpXSpec="center" w:tblpY="423"/>
        <w:tblOverlap w:val="never"/>
        <w:tblW w:w="0" w:type="auto"/>
        <w:jc w:val="center"/>
        <w:tblLayout w:type="fixed"/>
        <w:tblCellMar>
          <w:top w:w="0" w:type="dxa"/>
          <w:left w:w="0" w:type="dxa"/>
          <w:bottom w:w="0" w:type="dxa"/>
          <w:right w:w="0" w:type="dxa"/>
        </w:tblCellMar>
      </w:tblPr>
      <w:tblGrid>
        <w:gridCol w:w="855"/>
        <w:gridCol w:w="902"/>
        <w:gridCol w:w="1025"/>
        <w:gridCol w:w="2903"/>
        <w:gridCol w:w="1883"/>
        <w:gridCol w:w="2392"/>
      </w:tblGrid>
      <w:tr>
        <w:tblPrEx>
          <w:tblCellMar>
            <w:top w:w="0" w:type="dxa"/>
            <w:left w:w="0" w:type="dxa"/>
            <w:bottom w:w="0" w:type="dxa"/>
            <w:right w:w="0" w:type="dxa"/>
          </w:tblCellMar>
        </w:tblPrEx>
        <w:trPr>
          <w:wBefore w:w="0" w:type="dxa"/>
          <w:wAfter w:w="0" w:type="dxa"/>
          <w:trHeight w:val="1034" w:hRule="atLeast"/>
          <w:jc w:val="center"/>
        </w:trPr>
        <w:tc>
          <w:tcPr>
            <w:tcW w:w="9960" w:type="dxa"/>
            <w:gridSpan w:val="6"/>
            <w:tcBorders>
              <w:top w:val="nil"/>
              <w:left w:val="nil"/>
              <w:bottom w:val="nil"/>
              <w:right w:val="nil"/>
            </w:tcBorders>
            <w:noWrap w:val="0"/>
            <w:tcMar>
              <w:top w:w="15" w:type="dxa"/>
              <w:left w:w="15" w:type="dxa"/>
              <w:right w:w="15" w:type="dxa"/>
            </w:tcMar>
            <w:vAlign w:val="center"/>
          </w:tcPr>
          <w:p>
            <w:pPr>
              <w:widowControl/>
              <w:jc w:val="center"/>
              <w:textAlignment w:val="center"/>
              <w:rPr>
                <w:rFonts w:ascii="宋体" w:cs="宋体"/>
                <w:color w:val="auto"/>
                <w:sz w:val="36"/>
                <w:szCs w:val="36"/>
              </w:rPr>
            </w:pPr>
            <w:r>
              <w:rPr>
                <w:rFonts w:hint="eastAsia" w:ascii="宋体" w:hAnsi="宋体" w:cs="宋体"/>
                <w:b/>
                <w:bCs/>
                <w:color w:val="auto"/>
                <w:kern w:val="0"/>
                <w:sz w:val="36"/>
                <w:szCs w:val="36"/>
                <w:lang w:bidi="ar"/>
              </w:rPr>
              <w:t>项目绩效目标完成情况表</w:t>
            </w:r>
            <w:r>
              <w:rPr>
                <w:rFonts w:ascii="宋体" w:cs="宋体"/>
                <w:b/>
                <w:bCs/>
                <w:color w:val="auto"/>
                <w:kern w:val="0"/>
                <w:sz w:val="36"/>
                <w:szCs w:val="36"/>
                <w:lang w:bidi="ar"/>
              </w:rPr>
              <w:br w:type="textWrapping"/>
            </w:r>
            <w:r>
              <w:rPr>
                <w:rFonts w:ascii="宋体" w:hAnsi="宋体" w:cs="宋体"/>
                <w:color w:val="auto"/>
                <w:kern w:val="0"/>
                <w:sz w:val="36"/>
                <w:szCs w:val="36"/>
                <w:lang w:bidi="ar"/>
              </w:rPr>
              <w:t>(2020</w:t>
            </w:r>
            <w:r>
              <w:rPr>
                <w:rFonts w:hint="eastAsia" w:ascii="宋体" w:hAnsi="宋体" w:cs="宋体"/>
                <w:color w:val="auto"/>
                <w:kern w:val="0"/>
                <w:sz w:val="36"/>
                <w:szCs w:val="36"/>
                <w:lang w:bidi="ar"/>
              </w:rPr>
              <w:t>年度</w:t>
            </w:r>
            <w:r>
              <w:rPr>
                <w:rFonts w:ascii="宋体" w:hAnsi="宋体" w:cs="宋体"/>
                <w:color w:val="auto"/>
                <w:kern w:val="0"/>
                <w:sz w:val="36"/>
                <w:szCs w:val="36"/>
                <w:lang w:bidi="ar"/>
              </w:rPr>
              <w:t>)</w:t>
            </w:r>
          </w:p>
        </w:tc>
      </w:tr>
      <w:tr>
        <w:tblPrEx>
          <w:tblCellMar>
            <w:top w:w="0" w:type="dxa"/>
            <w:left w:w="0" w:type="dxa"/>
            <w:bottom w:w="0" w:type="dxa"/>
            <w:right w:w="0" w:type="dxa"/>
          </w:tblCellMar>
        </w:tblPrEx>
        <w:trPr>
          <w:wBefore w:w="0" w:type="dxa"/>
          <w:wAfter w:w="0" w:type="dxa"/>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r>
              <w:rPr>
                <w:rFonts w:hint="eastAsia" w:ascii="宋体" w:cs="宋体"/>
                <w:color w:val="auto"/>
                <w:sz w:val="24"/>
              </w:rPr>
              <w:t>新的社会阶层人士联谊会工作经费</w:t>
            </w:r>
          </w:p>
        </w:tc>
      </w:tr>
      <w:tr>
        <w:tblPrEx>
          <w:tblCellMar>
            <w:top w:w="0" w:type="dxa"/>
            <w:left w:w="0" w:type="dxa"/>
            <w:bottom w:w="0" w:type="dxa"/>
            <w:right w:w="0" w:type="dxa"/>
          </w:tblCellMar>
        </w:tblPrEx>
        <w:trPr>
          <w:wBefore w:w="0" w:type="dxa"/>
          <w:wAfter w:w="0" w:type="dxa"/>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4"/>
              </w:rPr>
            </w:pPr>
            <w:r>
              <w:rPr>
                <w:rFonts w:hint="eastAsia" w:ascii="宋体" w:cs="宋体"/>
                <w:color w:val="auto"/>
                <w:sz w:val="24"/>
              </w:rPr>
              <w:t>中共广元市委统战部</w:t>
            </w:r>
          </w:p>
        </w:tc>
      </w:tr>
      <w:tr>
        <w:tblPrEx>
          <w:tblCellMar>
            <w:top w:w="0" w:type="dxa"/>
            <w:left w:w="0" w:type="dxa"/>
            <w:bottom w:w="0" w:type="dxa"/>
            <w:right w:w="0" w:type="dxa"/>
          </w:tblCellMar>
        </w:tblPrEx>
        <w:trPr>
          <w:wBefore w:w="0" w:type="dxa"/>
          <w:wAfter w:w="0" w:type="dxa"/>
          <w:trHeight w:val="276" w:hRule="atLeast"/>
          <w:jc w:val="center"/>
        </w:trPr>
        <w:tc>
          <w:tcPr>
            <w:tcW w:w="8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lang w:bidi="ar"/>
              </w:rPr>
              <w:t>预算执行情况</w:t>
            </w:r>
            <w:r>
              <w:rPr>
                <w:rFonts w:ascii="宋体" w:hAnsi="宋体" w:cs="宋体"/>
                <w:color w:val="auto"/>
                <w:kern w:val="0"/>
                <w:sz w:val="24"/>
                <w:lang w:bidi="ar"/>
              </w:rPr>
              <w:t>(</w:t>
            </w:r>
            <w:r>
              <w:rPr>
                <w:rFonts w:hint="eastAsia" w:ascii="宋体" w:hAnsi="宋体" w:cs="宋体"/>
                <w:color w:val="auto"/>
                <w:kern w:val="0"/>
                <w:sz w:val="24"/>
                <w:lang w:bidi="ar"/>
              </w:rPr>
              <w:t>万元</w:t>
            </w:r>
            <w:r>
              <w:rPr>
                <w:rFonts w:ascii="宋体" w:hAnsi="宋体" w:cs="宋体"/>
                <w:color w:val="auto"/>
                <w:kern w:val="0"/>
                <w:sz w:val="24"/>
                <w:lang w:bidi="ar"/>
              </w:rPr>
              <w:t>)</w:t>
            </w:r>
          </w:p>
        </w:tc>
        <w:tc>
          <w:tcPr>
            <w:tcW w:w="19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lang w:bidi="ar"/>
              </w:rPr>
              <w:t>预算数</w:t>
            </w:r>
            <w:r>
              <w:rPr>
                <w:rFonts w:ascii="宋体" w:hAnsi="宋体" w:cs="宋体"/>
                <w:color w:val="auto"/>
                <w:kern w:val="0"/>
                <w:sz w:val="24"/>
                <w:lang w:bidi="ar"/>
              </w:rPr>
              <w:t>:</w:t>
            </w:r>
          </w:p>
        </w:tc>
        <w:tc>
          <w:tcPr>
            <w:tcW w:w="29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4"/>
              </w:rPr>
            </w:pPr>
            <w:r>
              <w:rPr>
                <w:rFonts w:hint="eastAsia" w:ascii="宋体" w:cs="宋体"/>
                <w:color w:val="auto"/>
                <w:sz w:val="24"/>
              </w:rPr>
              <w:t>4.5</w:t>
            </w:r>
          </w:p>
        </w:tc>
        <w:tc>
          <w:tcPr>
            <w:tcW w:w="18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lang w:bidi="ar"/>
              </w:rPr>
              <w:t>执行数</w:t>
            </w:r>
            <w:r>
              <w:rPr>
                <w:rFonts w:ascii="宋体" w:hAnsi="宋体" w:cs="宋体"/>
                <w:color w:val="auto"/>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4"/>
              </w:rPr>
            </w:pPr>
            <w:r>
              <w:rPr>
                <w:rFonts w:hint="eastAsia" w:ascii="宋体" w:cs="宋体"/>
                <w:color w:val="auto"/>
                <w:sz w:val="24"/>
              </w:rPr>
              <w:t>4.5</w:t>
            </w:r>
          </w:p>
        </w:tc>
      </w:tr>
      <w:tr>
        <w:tblPrEx>
          <w:tblCellMar>
            <w:top w:w="0" w:type="dxa"/>
            <w:left w:w="0" w:type="dxa"/>
            <w:bottom w:w="0" w:type="dxa"/>
            <w:right w:w="0" w:type="dxa"/>
          </w:tblCellMar>
        </w:tblPrEx>
        <w:trPr>
          <w:wBefore w:w="0" w:type="dxa"/>
          <w:wAfter w:w="0" w:type="dxa"/>
          <w:trHeight w:val="276"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auto"/>
                <w:sz w:val="24"/>
              </w:rPr>
            </w:pPr>
          </w:p>
        </w:tc>
        <w:tc>
          <w:tcPr>
            <w:tcW w:w="19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lang w:bidi="ar"/>
              </w:rPr>
              <w:t>其中</w:t>
            </w:r>
            <w:r>
              <w:rPr>
                <w:rFonts w:ascii="宋体" w:cs="宋体"/>
                <w:color w:val="auto"/>
                <w:kern w:val="0"/>
                <w:sz w:val="24"/>
                <w:lang w:bidi="ar"/>
              </w:rPr>
              <w:t>-</w:t>
            </w:r>
            <w:r>
              <w:rPr>
                <w:rFonts w:hint="eastAsia" w:ascii="宋体" w:hAnsi="宋体" w:cs="宋体"/>
                <w:color w:val="auto"/>
                <w:kern w:val="0"/>
                <w:sz w:val="24"/>
                <w:lang w:bidi="ar"/>
              </w:rPr>
              <w:t>财政拨款</w:t>
            </w:r>
            <w:r>
              <w:rPr>
                <w:rFonts w:ascii="宋体" w:hAnsi="宋体" w:cs="宋体"/>
                <w:color w:val="auto"/>
                <w:kern w:val="0"/>
                <w:sz w:val="24"/>
                <w:lang w:bidi="ar"/>
              </w:rPr>
              <w:t>:</w:t>
            </w:r>
          </w:p>
        </w:tc>
        <w:tc>
          <w:tcPr>
            <w:tcW w:w="29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4"/>
              </w:rPr>
            </w:pPr>
            <w:r>
              <w:rPr>
                <w:rFonts w:hint="eastAsia" w:ascii="宋体" w:cs="宋体"/>
                <w:color w:val="auto"/>
                <w:sz w:val="24"/>
              </w:rPr>
              <w:t>4.5</w:t>
            </w:r>
          </w:p>
        </w:tc>
        <w:tc>
          <w:tcPr>
            <w:tcW w:w="18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lang w:bidi="ar"/>
              </w:rPr>
              <w:t>其中</w:t>
            </w:r>
            <w:r>
              <w:rPr>
                <w:rFonts w:ascii="宋体" w:cs="宋体"/>
                <w:color w:val="auto"/>
                <w:kern w:val="0"/>
                <w:sz w:val="24"/>
                <w:lang w:bidi="ar"/>
              </w:rPr>
              <w:t>-</w:t>
            </w:r>
            <w:r>
              <w:rPr>
                <w:rFonts w:hint="eastAsia" w:ascii="宋体" w:hAnsi="宋体" w:cs="宋体"/>
                <w:color w:val="auto"/>
                <w:kern w:val="0"/>
                <w:sz w:val="24"/>
                <w:lang w:bidi="ar"/>
              </w:rPr>
              <w:t>财政拨款</w:t>
            </w:r>
            <w:r>
              <w:rPr>
                <w:rFonts w:ascii="宋体" w:hAnsi="宋体" w:cs="宋体"/>
                <w:color w:val="auto"/>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4"/>
              </w:rPr>
            </w:pPr>
            <w:r>
              <w:rPr>
                <w:rFonts w:hint="eastAsia" w:ascii="宋体" w:cs="宋体"/>
                <w:color w:val="auto"/>
                <w:sz w:val="24"/>
              </w:rPr>
              <w:t>4.5</w:t>
            </w:r>
          </w:p>
        </w:tc>
      </w:tr>
      <w:tr>
        <w:tblPrEx>
          <w:tblCellMar>
            <w:top w:w="0" w:type="dxa"/>
            <w:left w:w="0" w:type="dxa"/>
            <w:bottom w:w="0" w:type="dxa"/>
            <w:right w:w="0" w:type="dxa"/>
          </w:tblCellMar>
        </w:tblPrEx>
        <w:trPr>
          <w:wBefore w:w="0" w:type="dxa"/>
          <w:wAfter w:w="0" w:type="dxa"/>
          <w:trHeight w:val="321"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auto"/>
                <w:sz w:val="24"/>
              </w:rPr>
            </w:pPr>
          </w:p>
        </w:tc>
        <w:tc>
          <w:tcPr>
            <w:tcW w:w="19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lang w:bidi="ar"/>
              </w:rPr>
              <w:t>其它资金</w:t>
            </w:r>
            <w:r>
              <w:rPr>
                <w:rFonts w:ascii="宋体" w:hAnsi="宋体" w:cs="宋体"/>
                <w:color w:val="auto"/>
                <w:kern w:val="0"/>
                <w:sz w:val="24"/>
                <w:lang w:bidi="ar"/>
              </w:rPr>
              <w:t>:</w:t>
            </w:r>
          </w:p>
        </w:tc>
        <w:tc>
          <w:tcPr>
            <w:tcW w:w="29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p>
        </w:tc>
        <w:tc>
          <w:tcPr>
            <w:tcW w:w="18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lang w:bidi="ar"/>
              </w:rPr>
              <w:t>其它资金</w:t>
            </w:r>
            <w:r>
              <w:rPr>
                <w:rFonts w:ascii="宋体" w:hAnsi="宋体" w:cs="宋体"/>
                <w:color w:val="auto"/>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auto"/>
                <w:sz w:val="24"/>
              </w:rPr>
            </w:pPr>
          </w:p>
        </w:tc>
      </w:tr>
      <w:tr>
        <w:tblPrEx>
          <w:tblCellMar>
            <w:top w:w="0" w:type="dxa"/>
            <w:left w:w="0" w:type="dxa"/>
            <w:bottom w:w="0" w:type="dxa"/>
            <w:right w:w="0" w:type="dxa"/>
          </w:tblCellMar>
        </w:tblPrEx>
        <w:trPr>
          <w:wBefore w:w="0" w:type="dxa"/>
          <w:wAfter w:w="0" w:type="dxa"/>
          <w:trHeight w:val="276" w:hRule="atLeast"/>
          <w:jc w:val="center"/>
        </w:trPr>
        <w:tc>
          <w:tcPr>
            <w:tcW w:w="8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lang w:bidi="ar"/>
              </w:rPr>
              <w:t>年度目标完成情况</w:t>
            </w:r>
          </w:p>
        </w:tc>
        <w:tc>
          <w:tcPr>
            <w:tcW w:w="48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lang w:bidi="ar"/>
              </w:rPr>
              <w:t>预期目标</w:t>
            </w:r>
          </w:p>
        </w:tc>
        <w:tc>
          <w:tcPr>
            <w:tcW w:w="42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lang w:bidi="ar"/>
              </w:rPr>
              <w:t>实际完成目标</w:t>
            </w:r>
          </w:p>
        </w:tc>
      </w:tr>
      <w:tr>
        <w:tblPrEx>
          <w:tblCellMar>
            <w:top w:w="0" w:type="dxa"/>
            <w:left w:w="0" w:type="dxa"/>
            <w:bottom w:w="0" w:type="dxa"/>
            <w:right w:w="0" w:type="dxa"/>
          </w:tblCellMar>
        </w:tblPrEx>
        <w:trPr>
          <w:wBefore w:w="0" w:type="dxa"/>
          <w:wAfter w:w="0" w:type="dxa"/>
          <w:trHeight w:val="1159"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auto"/>
                <w:sz w:val="24"/>
              </w:rPr>
            </w:pPr>
          </w:p>
        </w:tc>
        <w:tc>
          <w:tcPr>
            <w:tcW w:w="48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宋体" w:cs="宋体"/>
                <w:color w:val="auto"/>
                <w:sz w:val="24"/>
              </w:rPr>
            </w:pPr>
            <w:r>
              <w:rPr>
                <w:rFonts w:hint="eastAsia" w:ascii="宋体" w:cs="宋体"/>
                <w:color w:val="auto"/>
                <w:sz w:val="24"/>
              </w:rPr>
              <w:t>新的社会阶层人士联谊会是独立法人的统一战线组织。</w:t>
            </w:r>
          </w:p>
          <w:p>
            <w:pPr>
              <w:widowControl/>
              <w:textAlignment w:val="center"/>
              <w:rPr>
                <w:rFonts w:hint="eastAsia" w:ascii="宋体" w:cs="宋体"/>
                <w:color w:val="auto"/>
                <w:sz w:val="24"/>
              </w:rPr>
            </w:pPr>
            <w:r>
              <w:rPr>
                <w:rFonts w:hint="eastAsia" w:ascii="宋体" w:cs="宋体"/>
                <w:color w:val="auto"/>
                <w:sz w:val="24"/>
              </w:rPr>
              <w:t>目标1：专兼职工作人员及办公经费；</w:t>
            </w:r>
          </w:p>
          <w:p>
            <w:pPr>
              <w:widowControl/>
              <w:textAlignment w:val="center"/>
              <w:rPr>
                <w:rFonts w:hint="eastAsia" w:ascii="宋体" w:cs="宋体"/>
                <w:color w:val="auto"/>
                <w:sz w:val="24"/>
              </w:rPr>
            </w:pPr>
            <w:r>
              <w:rPr>
                <w:rFonts w:hint="eastAsia" w:ascii="宋体" w:cs="宋体"/>
                <w:color w:val="auto"/>
                <w:sz w:val="24"/>
              </w:rPr>
              <w:t>目标2：开展相关领域工作调研；</w:t>
            </w:r>
          </w:p>
          <w:p>
            <w:pPr>
              <w:widowControl/>
              <w:textAlignment w:val="center"/>
              <w:rPr>
                <w:rFonts w:hint="eastAsia" w:ascii="宋体" w:cs="宋体"/>
                <w:color w:val="auto"/>
                <w:sz w:val="24"/>
              </w:rPr>
            </w:pPr>
            <w:r>
              <w:rPr>
                <w:rFonts w:hint="eastAsia" w:ascii="宋体" w:cs="宋体"/>
                <w:color w:val="auto"/>
                <w:sz w:val="24"/>
              </w:rPr>
              <w:t>目标3：开设新的社会阶层人士专题培训班；</w:t>
            </w:r>
          </w:p>
          <w:p>
            <w:pPr>
              <w:widowControl/>
              <w:textAlignment w:val="center"/>
              <w:rPr>
                <w:rFonts w:hint="eastAsia" w:ascii="宋体" w:cs="宋体"/>
                <w:color w:val="auto"/>
                <w:sz w:val="24"/>
              </w:rPr>
            </w:pPr>
            <w:r>
              <w:rPr>
                <w:rFonts w:hint="eastAsia" w:ascii="宋体" w:cs="宋体"/>
                <w:color w:val="auto"/>
                <w:sz w:val="24"/>
              </w:rPr>
              <w:t>目标4：联系和培养新的社会阶层代表人士；</w:t>
            </w:r>
          </w:p>
          <w:p>
            <w:pPr>
              <w:widowControl/>
              <w:textAlignment w:val="center"/>
              <w:rPr>
                <w:rFonts w:ascii="宋体" w:cs="宋体"/>
                <w:color w:val="auto"/>
                <w:sz w:val="24"/>
              </w:rPr>
            </w:pPr>
            <w:r>
              <w:rPr>
                <w:rFonts w:hint="eastAsia" w:ascii="宋体" w:cs="宋体"/>
                <w:color w:val="auto"/>
                <w:sz w:val="24"/>
              </w:rPr>
              <w:t>目标5：开展相关联谊和社会公益活动；目标6：新的社会阶层代表人士示范点建设费用。</w:t>
            </w:r>
          </w:p>
        </w:tc>
        <w:tc>
          <w:tcPr>
            <w:tcW w:w="42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宋体" w:cs="宋体"/>
                <w:color w:val="auto"/>
                <w:sz w:val="24"/>
              </w:rPr>
            </w:pPr>
            <w:r>
              <w:rPr>
                <w:rFonts w:hint="eastAsia" w:ascii="宋体" w:cs="宋体"/>
                <w:color w:val="auto"/>
                <w:sz w:val="24"/>
              </w:rPr>
              <w:t>按照年初规划，圆满完成各项既定目标任务。</w:t>
            </w:r>
          </w:p>
        </w:tc>
      </w:tr>
      <w:tr>
        <w:tblPrEx>
          <w:tblCellMar>
            <w:top w:w="0" w:type="dxa"/>
            <w:left w:w="0" w:type="dxa"/>
            <w:bottom w:w="0" w:type="dxa"/>
            <w:right w:w="0" w:type="dxa"/>
          </w:tblCellMar>
        </w:tblPrEx>
        <w:trPr>
          <w:wBefore w:w="0" w:type="dxa"/>
          <w:wAfter w:w="0" w:type="dxa"/>
          <w:trHeight w:val="1042" w:hRule="atLeast"/>
          <w:jc w:val="center"/>
        </w:trPr>
        <w:tc>
          <w:tcPr>
            <w:tcW w:w="85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绩效指标完成情况</w:t>
            </w: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lang w:bidi="ar"/>
              </w:rPr>
              <w:t>二级指标</w:t>
            </w:r>
          </w:p>
        </w:tc>
        <w:tc>
          <w:tcPr>
            <w:tcW w:w="29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lang w:bidi="ar"/>
              </w:rPr>
              <w:t>三级指标</w:t>
            </w:r>
          </w:p>
        </w:tc>
        <w:tc>
          <w:tcPr>
            <w:tcW w:w="18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lang w:bidi="ar"/>
              </w:rPr>
              <w:t>预期指标值</w:t>
            </w:r>
            <w:r>
              <w:rPr>
                <w:rFonts w:ascii="宋体" w:hAnsi="宋体" w:cs="宋体"/>
                <w:color w:val="auto"/>
                <w:kern w:val="0"/>
                <w:sz w:val="24"/>
                <w:lang w:bidi="ar"/>
              </w:rPr>
              <w:t>(</w:t>
            </w:r>
            <w:r>
              <w:rPr>
                <w:rFonts w:hint="eastAsia" w:ascii="宋体" w:hAnsi="宋体" w:cs="宋体"/>
                <w:color w:val="auto"/>
                <w:kern w:val="0"/>
                <w:sz w:val="24"/>
                <w:lang w:bidi="ar"/>
              </w:rPr>
              <w:t>包含数字及文字描述</w:t>
            </w:r>
            <w:r>
              <w:rPr>
                <w:rFonts w:ascii="宋体" w:hAnsi="宋体" w:cs="宋体"/>
                <w:color w:val="auto"/>
                <w:kern w:val="0"/>
                <w:sz w:val="24"/>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lang w:bidi="ar"/>
              </w:rPr>
              <w:t>实际完成指标值</w:t>
            </w:r>
            <w:r>
              <w:rPr>
                <w:rFonts w:ascii="宋体" w:hAnsi="宋体" w:cs="宋体"/>
                <w:color w:val="auto"/>
                <w:kern w:val="0"/>
                <w:sz w:val="24"/>
                <w:lang w:bidi="ar"/>
              </w:rPr>
              <w:t>(</w:t>
            </w:r>
            <w:r>
              <w:rPr>
                <w:rFonts w:hint="eastAsia" w:ascii="宋体" w:hAnsi="宋体" w:cs="宋体"/>
                <w:color w:val="auto"/>
                <w:kern w:val="0"/>
                <w:sz w:val="24"/>
                <w:lang w:bidi="ar"/>
              </w:rPr>
              <w:t>包含数字及文字描述</w:t>
            </w:r>
            <w:r>
              <w:rPr>
                <w:rFonts w:ascii="宋体" w:hAnsi="宋体" w:cs="宋体"/>
                <w:color w:val="auto"/>
                <w:kern w:val="0"/>
                <w:sz w:val="24"/>
                <w:lang w:bidi="ar"/>
              </w:rPr>
              <w:t>)</w:t>
            </w:r>
          </w:p>
        </w:tc>
      </w:tr>
      <w:tr>
        <w:tblPrEx>
          <w:tblCellMar>
            <w:top w:w="0" w:type="dxa"/>
            <w:left w:w="0" w:type="dxa"/>
            <w:bottom w:w="0" w:type="dxa"/>
            <w:right w:w="0" w:type="dxa"/>
          </w:tblCellMar>
        </w:tblPrEx>
        <w:trPr>
          <w:wBefore w:w="0" w:type="dxa"/>
          <w:wAfter w:w="0" w:type="dxa"/>
          <w:trHeight w:val="573" w:hRule="atLeast"/>
          <w:jc w:val="center"/>
        </w:trPr>
        <w:tc>
          <w:tcPr>
            <w:tcW w:w="85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r>
              <w:rPr>
                <w:rFonts w:hint="eastAsia" w:ascii="宋体" w:cs="宋体"/>
                <w:color w:val="auto"/>
                <w:sz w:val="24"/>
              </w:rPr>
              <w:t>数量指标</w:t>
            </w:r>
          </w:p>
        </w:tc>
        <w:tc>
          <w:tcPr>
            <w:tcW w:w="29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宋体" w:cs="宋体"/>
                <w:color w:val="auto"/>
                <w:sz w:val="24"/>
              </w:rPr>
            </w:pPr>
            <w:r>
              <w:rPr>
                <w:rFonts w:hint="eastAsia" w:ascii="宋体" w:cs="宋体"/>
                <w:color w:val="auto"/>
                <w:sz w:val="24"/>
              </w:rPr>
              <w:t>目标1、2、3、4、5、6完成率</w:t>
            </w:r>
          </w:p>
        </w:tc>
        <w:tc>
          <w:tcPr>
            <w:tcW w:w="18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r>
              <w:rPr>
                <w:rFonts w:hint="eastAsia" w:ascii="宋体" w:cs="宋体"/>
                <w:color w:val="auto"/>
                <w:sz w:val="24"/>
              </w:rPr>
              <w:t>90%以上</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4"/>
              </w:rPr>
            </w:pPr>
            <w:r>
              <w:rPr>
                <w:rFonts w:hint="eastAsia" w:ascii="宋体" w:cs="宋体"/>
                <w:color w:val="auto"/>
                <w:sz w:val="24"/>
              </w:rPr>
              <w:t>完成率达100%</w:t>
            </w:r>
          </w:p>
        </w:tc>
      </w:tr>
      <w:tr>
        <w:tblPrEx>
          <w:tblCellMar>
            <w:top w:w="0" w:type="dxa"/>
            <w:left w:w="0" w:type="dxa"/>
            <w:bottom w:w="0" w:type="dxa"/>
            <w:right w:w="0" w:type="dxa"/>
          </w:tblCellMar>
        </w:tblPrEx>
        <w:trPr>
          <w:wBefore w:w="0" w:type="dxa"/>
          <w:wAfter w:w="0" w:type="dxa"/>
          <w:trHeight w:val="584" w:hRule="atLeast"/>
          <w:jc w:val="center"/>
        </w:trPr>
        <w:tc>
          <w:tcPr>
            <w:tcW w:w="85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4"/>
              </w:rPr>
            </w:pPr>
            <w:r>
              <w:rPr>
                <w:rFonts w:hint="eastAsia" w:ascii="宋体" w:cs="宋体"/>
                <w:color w:val="auto"/>
                <w:sz w:val="24"/>
              </w:rPr>
              <w:t>经济效益</w:t>
            </w:r>
          </w:p>
          <w:p>
            <w:pPr>
              <w:widowControl/>
              <w:jc w:val="center"/>
              <w:textAlignment w:val="center"/>
              <w:rPr>
                <w:rFonts w:ascii="宋体" w:cs="宋体"/>
                <w:color w:val="auto"/>
                <w:sz w:val="24"/>
              </w:rPr>
            </w:pPr>
            <w:r>
              <w:rPr>
                <w:rFonts w:hint="eastAsia" w:ascii="宋体" w:cs="宋体"/>
                <w:color w:val="auto"/>
                <w:sz w:val="24"/>
              </w:rPr>
              <w:t>指标</w:t>
            </w:r>
          </w:p>
        </w:tc>
        <w:tc>
          <w:tcPr>
            <w:tcW w:w="29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宋体" w:cs="宋体"/>
                <w:color w:val="auto"/>
                <w:sz w:val="24"/>
              </w:rPr>
            </w:pPr>
            <w:r>
              <w:rPr>
                <w:rFonts w:hint="eastAsia" w:ascii="宋体" w:cs="宋体"/>
                <w:color w:val="auto"/>
                <w:sz w:val="24"/>
              </w:rPr>
              <w:t>优化资源配置，提高资金使用效益</w:t>
            </w:r>
          </w:p>
        </w:tc>
        <w:tc>
          <w:tcPr>
            <w:tcW w:w="18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ascii="宋体" w:cs="宋体"/>
                <w:color w:val="auto"/>
                <w:sz w:val="24"/>
              </w:rPr>
            </w:pPr>
            <w:r>
              <w:rPr>
                <w:rFonts w:hint="eastAsia" w:ascii="宋体" w:cs="宋体"/>
                <w:color w:val="auto"/>
                <w:sz w:val="24"/>
              </w:rPr>
              <w:t>各项支出不超预算安排</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4"/>
              </w:rPr>
            </w:pPr>
            <w:r>
              <w:rPr>
                <w:rFonts w:hint="eastAsia" w:ascii="宋体" w:cs="宋体"/>
                <w:color w:val="auto"/>
                <w:sz w:val="24"/>
              </w:rPr>
              <w:t>资金使用合理合规</w:t>
            </w:r>
          </w:p>
        </w:tc>
      </w:tr>
      <w:tr>
        <w:tblPrEx>
          <w:tblCellMar>
            <w:top w:w="0" w:type="dxa"/>
            <w:left w:w="0" w:type="dxa"/>
            <w:bottom w:w="0" w:type="dxa"/>
            <w:right w:w="0" w:type="dxa"/>
          </w:tblCellMar>
        </w:tblPrEx>
        <w:trPr>
          <w:wBefore w:w="0" w:type="dxa"/>
          <w:wAfter w:w="0" w:type="dxa"/>
          <w:trHeight w:val="1050" w:hRule="atLeast"/>
          <w:jc w:val="center"/>
        </w:trPr>
        <w:tc>
          <w:tcPr>
            <w:tcW w:w="85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lang w:bidi="ar"/>
              </w:rPr>
              <w:t>满意度指标</w:t>
            </w:r>
          </w:p>
        </w:tc>
        <w:tc>
          <w:tcPr>
            <w:tcW w:w="29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r>
              <w:rPr>
                <w:rFonts w:hint="eastAsia" w:ascii="宋体" w:cs="宋体"/>
                <w:color w:val="auto"/>
                <w:sz w:val="24"/>
              </w:rPr>
              <w:t>群众更加满意</w:t>
            </w:r>
          </w:p>
        </w:tc>
        <w:tc>
          <w:tcPr>
            <w:tcW w:w="18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宋体" w:cs="宋体"/>
                <w:color w:val="auto"/>
                <w:sz w:val="24"/>
              </w:rPr>
            </w:pPr>
            <w:r>
              <w:rPr>
                <w:rFonts w:hint="eastAsia" w:ascii="宋体" w:cs="宋体"/>
                <w:color w:val="auto"/>
                <w:sz w:val="24"/>
              </w:rPr>
              <w:t>逐步提高</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4"/>
              </w:rPr>
            </w:pPr>
            <w:r>
              <w:rPr>
                <w:rFonts w:hint="eastAsia" w:ascii="宋体" w:cs="宋体"/>
                <w:color w:val="auto"/>
                <w:sz w:val="24"/>
              </w:rPr>
              <w:t>服务对象满意度高</w:t>
            </w:r>
          </w:p>
        </w:tc>
      </w:tr>
    </w:tbl>
    <w:p>
      <w:pPr>
        <w:spacing w:line="580" w:lineRule="exact"/>
        <w:ind w:left="630"/>
        <w:rPr>
          <w:rFonts w:ascii="仿宋_GB2312" w:hAnsi="仿宋_GB2312" w:eastAsia="仿宋_GB2312" w:cs="仿宋_GB2312"/>
          <w:color w:val="auto"/>
          <w:sz w:val="32"/>
          <w:szCs w:val="32"/>
        </w:rPr>
      </w:pPr>
    </w:p>
    <w:p>
      <w:pPr>
        <w:spacing w:line="580" w:lineRule="exact"/>
        <w:ind w:left="630"/>
        <w:rPr>
          <w:rFonts w:hint="eastAsia" w:ascii="仿宋_GB2312" w:hAnsi="仿宋_GB2312" w:eastAsia="仿宋_GB2312" w:cs="仿宋_GB2312"/>
          <w:color w:val="auto"/>
          <w:sz w:val="32"/>
          <w:szCs w:val="32"/>
        </w:rPr>
      </w:pPr>
    </w:p>
    <w:p>
      <w:pPr>
        <w:spacing w:line="580" w:lineRule="exact"/>
        <w:ind w:left="630"/>
        <w:rPr>
          <w:rFonts w:hint="eastAsia" w:ascii="仿宋_GB2312" w:hAnsi="仿宋_GB2312" w:eastAsia="仿宋_GB2312" w:cs="仿宋_GB2312"/>
          <w:color w:val="auto"/>
          <w:sz w:val="32"/>
          <w:szCs w:val="32"/>
        </w:rPr>
      </w:pPr>
    </w:p>
    <w:tbl>
      <w:tblPr>
        <w:tblStyle w:val="15"/>
        <w:tblpPr w:leftFromText="180" w:rightFromText="180" w:vertAnchor="text" w:horzAnchor="page" w:tblpXSpec="center" w:tblpY="423"/>
        <w:tblOverlap w:val="never"/>
        <w:tblW w:w="0" w:type="auto"/>
        <w:jc w:val="center"/>
        <w:tblLayout w:type="fixed"/>
        <w:tblCellMar>
          <w:top w:w="0" w:type="dxa"/>
          <w:left w:w="0" w:type="dxa"/>
          <w:bottom w:w="0" w:type="dxa"/>
          <w:right w:w="0" w:type="dxa"/>
        </w:tblCellMar>
      </w:tblPr>
      <w:tblGrid>
        <w:gridCol w:w="750"/>
        <w:gridCol w:w="1007"/>
        <w:gridCol w:w="1025"/>
        <w:gridCol w:w="3638"/>
        <w:gridCol w:w="1575"/>
        <w:gridCol w:w="210"/>
        <w:gridCol w:w="1755"/>
      </w:tblGrid>
      <w:tr>
        <w:tblPrEx>
          <w:tblCellMar>
            <w:top w:w="0" w:type="dxa"/>
            <w:left w:w="0" w:type="dxa"/>
            <w:bottom w:w="0" w:type="dxa"/>
            <w:right w:w="0" w:type="dxa"/>
          </w:tblCellMar>
        </w:tblPrEx>
        <w:trPr>
          <w:wBefore w:w="0" w:type="dxa"/>
          <w:wAfter w:w="0" w:type="dxa"/>
          <w:trHeight w:val="1034" w:hRule="atLeast"/>
          <w:jc w:val="center"/>
        </w:trPr>
        <w:tc>
          <w:tcPr>
            <w:tcW w:w="9960" w:type="dxa"/>
            <w:gridSpan w:val="7"/>
            <w:tcBorders>
              <w:top w:val="nil"/>
              <w:left w:val="nil"/>
              <w:bottom w:val="nil"/>
              <w:right w:val="nil"/>
            </w:tcBorders>
            <w:noWrap w:val="0"/>
            <w:tcMar>
              <w:top w:w="15" w:type="dxa"/>
              <w:left w:w="15" w:type="dxa"/>
              <w:right w:w="15" w:type="dxa"/>
            </w:tcMar>
            <w:vAlign w:val="center"/>
          </w:tcPr>
          <w:p>
            <w:pPr>
              <w:widowControl/>
              <w:jc w:val="center"/>
              <w:textAlignment w:val="center"/>
              <w:rPr>
                <w:rFonts w:ascii="宋体" w:cs="宋体"/>
                <w:color w:val="auto"/>
                <w:sz w:val="36"/>
                <w:szCs w:val="36"/>
              </w:rPr>
            </w:pPr>
            <w:r>
              <w:rPr>
                <w:rFonts w:hint="eastAsia" w:ascii="宋体" w:hAnsi="宋体" w:cs="宋体"/>
                <w:b/>
                <w:bCs/>
                <w:color w:val="auto"/>
                <w:kern w:val="0"/>
                <w:sz w:val="36"/>
                <w:szCs w:val="36"/>
                <w:lang w:bidi="ar"/>
              </w:rPr>
              <w:t>项目绩效目标完成情况表</w:t>
            </w:r>
            <w:r>
              <w:rPr>
                <w:rFonts w:ascii="宋体" w:cs="宋体"/>
                <w:b/>
                <w:bCs/>
                <w:color w:val="auto"/>
                <w:kern w:val="0"/>
                <w:sz w:val="36"/>
                <w:szCs w:val="36"/>
                <w:lang w:bidi="ar"/>
              </w:rPr>
              <w:br w:type="textWrapping"/>
            </w:r>
            <w:r>
              <w:rPr>
                <w:rFonts w:ascii="宋体" w:hAnsi="宋体" w:cs="宋体"/>
                <w:color w:val="auto"/>
                <w:kern w:val="0"/>
                <w:sz w:val="36"/>
                <w:szCs w:val="36"/>
                <w:lang w:bidi="ar"/>
              </w:rPr>
              <w:t>(2020</w:t>
            </w:r>
            <w:r>
              <w:rPr>
                <w:rFonts w:hint="eastAsia" w:ascii="宋体" w:hAnsi="宋体" w:cs="宋体"/>
                <w:color w:val="auto"/>
                <w:kern w:val="0"/>
                <w:sz w:val="36"/>
                <w:szCs w:val="36"/>
                <w:lang w:bidi="ar"/>
              </w:rPr>
              <w:t>年度</w:t>
            </w:r>
            <w:r>
              <w:rPr>
                <w:rFonts w:ascii="宋体" w:hAnsi="宋体" w:cs="宋体"/>
                <w:color w:val="auto"/>
                <w:kern w:val="0"/>
                <w:sz w:val="36"/>
                <w:szCs w:val="36"/>
                <w:lang w:bidi="ar"/>
              </w:rPr>
              <w:t>)</w:t>
            </w:r>
          </w:p>
        </w:tc>
      </w:tr>
      <w:tr>
        <w:tblPrEx>
          <w:tblCellMar>
            <w:top w:w="0" w:type="dxa"/>
            <w:left w:w="0" w:type="dxa"/>
            <w:bottom w:w="0" w:type="dxa"/>
            <w:right w:w="0" w:type="dxa"/>
          </w:tblCellMar>
        </w:tblPrEx>
        <w:trPr>
          <w:wBefore w:w="0" w:type="dxa"/>
          <w:wAfter w:w="0" w:type="dxa"/>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lang w:bidi="ar"/>
              </w:rPr>
              <w:t>项目名称</w:t>
            </w:r>
          </w:p>
        </w:tc>
        <w:tc>
          <w:tcPr>
            <w:tcW w:w="717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r>
              <w:rPr>
                <w:rFonts w:hint="eastAsia" w:ascii="宋体" w:cs="宋体"/>
                <w:color w:val="auto"/>
                <w:sz w:val="24"/>
              </w:rPr>
              <w:t>党外知识分子联谊会工作经费</w:t>
            </w:r>
          </w:p>
        </w:tc>
      </w:tr>
      <w:tr>
        <w:tblPrEx>
          <w:tblCellMar>
            <w:top w:w="0" w:type="dxa"/>
            <w:left w:w="0" w:type="dxa"/>
            <w:bottom w:w="0" w:type="dxa"/>
            <w:right w:w="0" w:type="dxa"/>
          </w:tblCellMar>
        </w:tblPrEx>
        <w:trPr>
          <w:wBefore w:w="0" w:type="dxa"/>
          <w:wAfter w:w="0" w:type="dxa"/>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lang w:bidi="ar"/>
              </w:rPr>
              <w:t>预算单位</w:t>
            </w:r>
          </w:p>
        </w:tc>
        <w:tc>
          <w:tcPr>
            <w:tcW w:w="717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4"/>
              </w:rPr>
            </w:pPr>
            <w:r>
              <w:rPr>
                <w:rFonts w:hint="eastAsia" w:ascii="宋体" w:cs="宋体"/>
                <w:color w:val="auto"/>
                <w:sz w:val="24"/>
              </w:rPr>
              <w:t>中共广元市委统战部</w:t>
            </w:r>
          </w:p>
        </w:tc>
      </w:tr>
      <w:tr>
        <w:tblPrEx>
          <w:tblCellMar>
            <w:top w:w="0" w:type="dxa"/>
            <w:left w:w="0" w:type="dxa"/>
            <w:bottom w:w="0" w:type="dxa"/>
            <w:right w:w="0" w:type="dxa"/>
          </w:tblCellMar>
        </w:tblPrEx>
        <w:trPr>
          <w:wBefore w:w="0" w:type="dxa"/>
          <w:wAfter w:w="0" w:type="dxa"/>
          <w:trHeight w:val="276"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lang w:bidi="ar"/>
              </w:rPr>
              <w:t>预算执行情况</w:t>
            </w:r>
            <w:r>
              <w:rPr>
                <w:rFonts w:ascii="宋体" w:hAnsi="宋体" w:cs="宋体"/>
                <w:color w:val="auto"/>
                <w:kern w:val="0"/>
                <w:sz w:val="24"/>
                <w:lang w:bidi="ar"/>
              </w:rPr>
              <w:t>(</w:t>
            </w:r>
            <w:r>
              <w:rPr>
                <w:rFonts w:hint="eastAsia" w:ascii="宋体" w:hAnsi="宋体" w:cs="宋体"/>
                <w:color w:val="auto"/>
                <w:kern w:val="0"/>
                <w:sz w:val="24"/>
                <w:lang w:bidi="ar"/>
              </w:rPr>
              <w:t>万元</w:t>
            </w:r>
            <w:r>
              <w:rPr>
                <w:rFonts w:ascii="宋体" w:hAnsi="宋体" w:cs="宋体"/>
                <w:color w:val="auto"/>
                <w:kern w:val="0"/>
                <w:sz w:val="24"/>
                <w:lang w:bidi="ar"/>
              </w:rPr>
              <w:t>)</w:t>
            </w:r>
          </w:p>
        </w:tc>
        <w:tc>
          <w:tcPr>
            <w:tcW w:w="20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lang w:bidi="ar"/>
              </w:rPr>
              <w:t>预算数</w:t>
            </w:r>
            <w:r>
              <w:rPr>
                <w:rFonts w:ascii="宋体" w:hAnsi="宋体" w:cs="宋体"/>
                <w:color w:val="auto"/>
                <w:kern w:val="0"/>
                <w:sz w:val="24"/>
                <w:lang w:bidi="ar"/>
              </w:rPr>
              <w:t>:</w:t>
            </w:r>
          </w:p>
        </w:tc>
        <w:tc>
          <w:tcPr>
            <w:tcW w:w="3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4"/>
              </w:rPr>
            </w:pPr>
            <w:r>
              <w:rPr>
                <w:rFonts w:hint="eastAsia" w:ascii="宋体" w:cs="宋体"/>
                <w:color w:val="auto"/>
                <w:sz w:val="24"/>
              </w:rPr>
              <w:t>3.6</w:t>
            </w:r>
          </w:p>
        </w:tc>
        <w:tc>
          <w:tcPr>
            <w:tcW w:w="17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lang w:bidi="ar"/>
              </w:rPr>
              <w:t>执行数</w:t>
            </w:r>
            <w:r>
              <w:rPr>
                <w:rFonts w:ascii="宋体" w:hAnsi="宋体" w:cs="宋体"/>
                <w:color w:val="auto"/>
                <w:kern w:val="0"/>
                <w:sz w:val="24"/>
                <w:lang w:bidi="ar"/>
              </w:rPr>
              <w:t>:</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4"/>
              </w:rPr>
            </w:pPr>
            <w:r>
              <w:rPr>
                <w:rFonts w:hint="eastAsia" w:ascii="宋体" w:cs="宋体"/>
                <w:color w:val="auto"/>
                <w:sz w:val="24"/>
              </w:rPr>
              <w:t>3.6</w:t>
            </w:r>
          </w:p>
        </w:tc>
      </w:tr>
      <w:tr>
        <w:tblPrEx>
          <w:tblCellMar>
            <w:top w:w="0" w:type="dxa"/>
            <w:left w:w="0" w:type="dxa"/>
            <w:bottom w:w="0" w:type="dxa"/>
            <w:right w:w="0" w:type="dxa"/>
          </w:tblCellMar>
        </w:tblPrEx>
        <w:trPr>
          <w:wBefore w:w="0" w:type="dxa"/>
          <w:wAfter w:w="0" w:type="dxa"/>
          <w:trHeight w:val="276"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auto"/>
                <w:sz w:val="24"/>
              </w:rPr>
            </w:pPr>
          </w:p>
        </w:tc>
        <w:tc>
          <w:tcPr>
            <w:tcW w:w="20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lang w:bidi="ar"/>
              </w:rPr>
              <w:t>其中</w:t>
            </w:r>
            <w:r>
              <w:rPr>
                <w:rFonts w:ascii="宋体" w:cs="宋体"/>
                <w:color w:val="auto"/>
                <w:kern w:val="0"/>
                <w:sz w:val="24"/>
                <w:lang w:bidi="ar"/>
              </w:rPr>
              <w:t>-</w:t>
            </w:r>
            <w:r>
              <w:rPr>
                <w:rFonts w:hint="eastAsia" w:ascii="宋体" w:hAnsi="宋体" w:cs="宋体"/>
                <w:color w:val="auto"/>
                <w:kern w:val="0"/>
                <w:sz w:val="24"/>
                <w:lang w:bidi="ar"/>
              </w:rPr>
              <w:t>财政拨款</w:t>
            </w:r>
            <w:r>
              <w:rPr>
                <w:rFonts w:ascii="宋体" w:hAnsi="宋体" w:cs="宋体"/>
                <w:color w:val="auto"/>
                <w:kern w:val="0"/>
                <w:sz w:val="24"/>
                <w:lang w:bidi="ar"/>
              </w:rPr>
              <w:t>:</w:t>
            </w:r>
          </w:p>
        </w:tc>
        <w:tc>
          <w:tcPr>
            <w:tcW w:w="3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4"/>
              </w:rPr>
            </w:pPr>
            <w:r>
              <w:rPr>
                <w:rFonts w:hint="eastAsia" w:ascii="宋体" w:cs="宋体"/>
                <w:color w:val="auto"/>
                <w:sz w:val="24"/>
              </w:rPr>
              <w:t>3.6</w:t>
            </w:r>
          </w:p>
        </w:tc>
        <w:tc>
          <w:tcPr>
            <w:tcW w:w="17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lang w:bidi="ar"/>
              </w:rPr>
              <w:t>其中</w:t>
            </w:r>
            <w:r>
              <w:rPr>
                <w:rFonts w:ascii="宋体" w:cs="宋体"/>
                <w:color w:val="auto"/>
                <w:kern w:val="0"/>
                <w:sz w:val="24"/>
                <w:lang w:bidi="ar"/>
              </w:rPr>
              <w:t>-</w:t>
            </w:r>
            <w:r>
              <w:rPr>
                <w:rFonts w:hint="eastAsia" w:ascii="宋体" w:hAnsi="宋体" w:cs="宋体"/>
                <w:color w:val="auto"/>
                <w:kern w:val="0"/>
                <w:sz w:val="24"/>
                <w:lang w:bidi="ar"/>
              </w:rPr>
              <w:t>财政拨款</w:t>
            </w:r>
            <w:r>
              <w:rPr>
                <w:rFonts w:ascii="宋体" w:hAnsi="宋体" w:cs="宋体"/>
                <w:color w:val="auto"/>
                <w:kern w:val="0"/>
                <w:sz w:val="24"/>
                <w:lang w:bidi="ar"/>
              </w:rPr>
              <w:t>:</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4"/>
              </w:rPr>
            </w:pPr>
            <w:r>
              <w:rPr>
                <w:rFonts w:hint="eastAsia" w:ascii="宋体" w:cs="宋体"/>
                <w:color w:val="auto"/>
                <w:sz w:val="24"/>
              </w:rPr>
              <w:t>3.6</w:t>
            </w:r>
          </w:p>
        </w:tc>
      </w:tr>
      <w:tr>
        <w:tblPrEx>
          <w:tblCellMar>
            <w:top w:w="0" w:type="dxa"/>
            <w:left w:w="0" w:type="dxa"/>
            <w:bottom w:w="0" w:type="dxa"/>
            <w:right w:w="0" w:type="dxa"/>
          </w:tblCellMar>
        </w:tblPrEx>
        <w:trPr>
          <w:wBefore w:w="0" w:type="dxa"/>
          <w:wAfter w:w="0" w:type="dxa"/>
          <w:trHeight w:val="343"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auto"/>
                <w:sz w:val="24"/>
              </w:rPr>
            </w:pPr>
          </w:p>
        </w:tc>
        <w:tc>
          <w:tcPr>
            <w:tcW w:w="20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lang w:bidi="ar"/>
              </w:rPr>
              <w:t>其它资金</w:t>
            </w:r>
            <w:r>
              <w:rPr>
                <w:rFonts w:ascii="宋体" w:hAnsi="宋体" w:cs="宋体"/>
                <w:color w:val="auto"/>
                <w:kern w:val="0"/>
                <w:sz w:val="24"/>
                <w:lang w:bidi="ar"/>
              </w:rPr>
              <w:t>:</w:t>
            </w:r>
          </w:p>
        </w:tc>
        <w:tc>
          <w:tcPr>
            <w:tcW w:w="3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p>
        </w:tc>
        <w:tc>
          <w:tcPr>
            <w:tcW w:w="178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lang w:bidi="ar"/>
              </w:rPr>
              <w:t>其它资金</w:t>
            </w:r>
            <w:r>
              <w:rPr>
                <w:rFonts w:ascii="宋体" w:hAnsi="宋体" w:cs="宋体"/>
                <w:color w:val="auto"/>
                <w:kern w:val="0"/>
                <w:sz w:val="24"/>
                <w:lang w:bidi="ar"/>
              </w:rPr>
              <w:t>:</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auto"/>
                <w:sz w:val="24"/>
              </w:rPr>
            </w:pPr>
          </w:p>
        </w:tc>
      </w:tr>
      <w:tr>
        <w:tblPrEx>
          <w:tblCellMar>
            <w:top w:w="0" w:type="dxa"/>
            <w:left w:w="0" w:type="dxa"/>
            <w:bottom w:w="0" w:type="dxa"/>
            <w:right w:w="0" w:type="dxa"/>
          </w:tblCellMar>
        </w:tblPrEx>
        <w:trPr>
          <w:wBefore w:w="0" w:type="dxa"/>
          <w:wAfter w:w="0" w:type="dxa"/>
          <w:trHeight w:val="276" w:hRule="atLeast"/>
          <w:jc w:val="center"/>
        </w:trPr>
        <w:tc>
          <w:tcPr>
            <w:tcW w:w="7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lang w:bidi="ar"/>
              </w:rPr>
              <w:t>年度目标完成情况</w:t>
            </w:r>
          </w:p>
        </w:tc>
        <w:tc>
          <w:tcPr>
            <w:tcW w:w="567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lang w:bidi="ar"/>
              </w:rPr>
              <w:t>预期目标</w:t>
            </w:r>
          </w:p>
        </w:tc>
        <w:tc>
          <w:tcPr>
            <w:tcW w:w="3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lang w:bidi="ar"/>
              </w:rPr>
              <w:t>实际完成目标</w:t>
            </w:r>
          </w:p>
        </w:tc>
      </w:tr>
      <w:tr>
        <w:tblPrEx>
          <w:tblCellMar>
            <w:top w:w="0" w:type="dxa"/>
            <w:left w:w="0" w:type="dxa"/>
            <w:bottom w:w="0" w:type="dxa"/>
            <w:right w:w="0" w:type="dxa"/>
          </w:tblCellMar>
        </w:tblPrEx>
        <w:trPr>
          <w:wBefore w:w="0" w:type="dxa"/>
          <w:wAfter w:w="0" w:type="dxa"/>
          <w:trHeight w:val="1159" w:hRule="atLeast"/>
          <w:jc w:val="center"/>
        </w:trPr>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auto"/>
                <w:sz w:val="24"/>
              </w:rPr>
            </w:pPr>
          </w:p>
        </w:tc>
        <w:tc>
          <w:tcPr>
            <w:tcW w:w="567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宋体" w:cs="宋体"/>
                <w:color w:val="auto"/>
                <w:sz w:val="24"/>
              </w:rPr>
            </w:pPr>
            <w:r>
              <w:rPr>
                <w:rFonts w:hint="eastAsia" w:ascii="宋体" w:cs="宋体"/>
                <w:color w:val="auto"/>
                <w:sz w:val="24"/>
              </w:rPr>
              <w:t>党外知识分子联谊会为独立法人的统一战线组织。</w:t>
            </w:r>
          </w:p>
          <w:p>
            <w:pPr>
              <w:widowControl/>
              <w:textAlignment w:val="center"/>
              <w:rPr>
                <w:rFonts w:hint="eastAsia" w:ascii="宋体" w:cs="宋体"/>
                <w:color w:val="auto"/>
                <w:sz w:val="18"/>
                <w:szCs w:val="18"/>
              </w:rPr>
            </w:pPr>
            <w:r>
              <w:rPr>
                <w:rFonts w:hint="eastAsia" w:ascii="宋体" w:cs="宋体"/>
                <w:color w:val="auto"/>
                <w:sz w:val="18"/>
                <w:szCs w:val="18"/>
              </w:rPr>
              <w:t>目标1：专兼职工作人员及办公经费；</w:t>
            </w:r>
          </w:p>
          <w:p>
            <w:pPr>
              <w:widowControl/>
              <w:textAlignment w:val="center"/>
              <w:rPr>
                <w:rFonts w:hint="eastAsia" w:ascii="宋体" w:cs="宋体"/>
                <w:color w:val="auto"/>
                <w:sz w:val="18"/>
                <w:szCs w:val="18"/>
              </w:rPr>
            </w:pPr>
            <w:r>
              <w:rPr>
                <w:rFonts w:hint="eastAsia" w:ascii="宋体" w:cs="宋体"/>
                <w:color w:val="auto"/>
                <w:sz w:val="18"/>
                <w:szCs w:val="18"/>
              </w:rPr>
              <w:t>目标2：学习教育。健全学习制度，开展理论学习、专题讲座等，学习宣传中国特色社会主义理论体系、统一战线理论政策，增进对党的路线方针政策的认同；</w:t>
            </w:r>
          </w:p>
          <w:p>
            <w:pPr>
              <w:widowControl/>
              <w:textAlignment w:val="center"/>
              <w:rPr>
                <w:rFonts w:hint="eastAsia" w:ascii="宋体" w:cs="宋体"/>
                <w:color w:val="auto"/>
                <w:sz w:val="18"/>
                <w:szCs w:val="18"/>
              </w:rPr>
            </w:pPr>
            <w:r>
              <w:rPr>
                <w:rFonts w:hint="eastAsia" w:ascii="宋体" w:cs="宋体"/>
                <w:color w:val="auto"/>
                <w:sz w:val="18"/>
                <w:szCs w:val="18"/>
              </w:rPr>
              <w:t>目标3：建言献策。鼓励成员结合自身专业建诤言、献良策。组织开展专题调研等活动，了解社情民意，汇聚集体智慧，形成高质量的调研报告 ；</w:t>
            </w:r>
          </w:p>
          <w:p>
            <w:pPr>
              <w:widowControl/>
              <w:textAlignment w:val="center"/>
              <w:rPr>
                <w:rFonts w:hint="eastAsia" w:ascii="宋体" w:cs="宋体"/>
                <w:color w:val="auto"/>
                <w:sz w:val="18"/>
                <w:szCs w:val="18"/>
              </w:rPr>
            </w:pPr>
            <w:r>
              <w:rPr>
                <w:rFonts w:hint="eastAsia" w:ascii="宋体" w:cs="宋体"/>
                <w:color w:val="auto"/>
                <w:sz w:val="18"/>
                <w:szCs w:val="18"/>
              </w:rPr>
              <w:t>目标4：联谊交友。丰富活动形式，促进交往交流，增进与统战部门以及成员间的相互了解，密切感情、增进友谊。</w:t>
            </w:r>
          </w:p>
          <w:p>
            <w:pPr>
              <w:widowControl/>
              <w:textAlignment w:val="center"/>
              <w:rPr>
                <w:rFonts w:ascii="宋体" w:cs="宋体"/>
                <w:color w:val="auto"/>
                <w:sz w:val="24"/>
              </w:rPr>
            </w:pPr>
            <w:r>
              <w:rPr>
                <w:rFonts w:hint="eastAsia" w:ascii="宋体" w:cs="宋体"/>
                <w:color w:val="auto"/>
                <w:sz w:val="18"/>
                <w:szCs w:val="18"/>
              </w:rPr>
              <w:t>目标5：服务社会。组织开展科技推广、文教宣传、医疗下乡、扶贫济困等社会公益活动，展示知联会的良好形象。</w:t>
            </w:r>
          </w:p>
        </w:tc>
        <w:tc>
          <w:tcPr>
            <w:tcW w:w="354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4"/>
              </w:rPr>
            </w:pPr>
            <w:r>
              <w:rPr>
                <w:rFonts w:hint="eastAsia" w:ascii="宋体" w:cs="宋体"/>
                <w:color w:val="auto"/>
                <w:sz w:val="24"/>
              </w:rPr>
              <w:t>按照年初既定规划，超额完成各项目标任务。</w:t>
            </w:r>
          </w:p>
        </w:tc>
      </w:tr>
      <w:tr>
        <w:tblPrEx>
          <w:tblCellMar>
            <w:top w:w="0" w:type="dxa"/>
            <w:left w:w="0" w:type="dxa"/>
            <w:bottom w:w="0" w:type="dxa"/>
            <w:right w:w="0" w:type="dxa"/>
          </w:tblCellMar>
        </w:tblPrEx>
        <w:trPr>
          <w:wBefore w:w="0" w:type="dxa"/>
          <w:wAfter w:w="0" w:type="dxa"/>
          <w:trHeight w:val="1042" w:hRule="atLeast"/>
          <w:jc w:val="center"/>
        </w:trPr>
        <w:tc>
          <w:tcPr>
            <w:tcW w:w="75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sz w:val="24"/>
              </w:rPr>
              <w:t>绩效指标完成情况</w:t>
            </w: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lang w:bidi="ar"/>
              </w:rPr>
              <w:t>二级指标</w:t>
            </w:r>
          </w:p>
        </w:tc>
        <w:tc>
          <w:tcPr>
            <w:tcW w:w="3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lang w:bidi="ar"/>
              </w:rPr>
              <w:t>三级指标</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lang w:bidi="ar"/>
              </w:rPr>
              <w:t>预期指标值</w:t>
            </w:r>
            <w:r>
              <w:rPr>
                <w:rFonts w:ascii="宋体" w:hAnsi="宋体" w:cs="宋体"/>
                <w:color w:val="auto"/>
                <w:kern w:val="0"/>
                <w:sz w:val="24"/>
                <w:lang w:bidi="ar"/>
              </w:rPr>
              <w:t>(</w:t>
            </w:r>
            <w:r>
              <w:rPr>
                <w:rFonts w:hint="eastAsia" w:ascii="宋体" w:hAnsi="宋体" w:cs="宋体"/>
                <w:color w:val="auto"/>
                <w:kern w:val="0"/>
                <w:sz w:val="24"/>
                <w:lang w:bidi="ar"/>
              </w:rPr>
              <w:t>包含数字及文字描述</w:t>
            </w:r>
            <w:r>
              <w:rPr>
                <w:rFonts w:ascii="宋体" w:hAnsi="宋体" w:cs="宋体"/>
                <w:color w:val="auto"/>
                <w:kern w:val="0"/>
                <w:sz w:val="24"/>
                <w:lang w:bidi="ar"/>
              </w:rPr>
              <w:t>)</w:t>
            </w:r>
          </w:p>
        </w:tc>
        <w:tc>
          <w:tcPr>
            <w:tcW w:w="19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lang w:bidi="ar"/>
              </w:rPr>
              <w:t>实际完成指标值</w:t>
            </w:r>
            <w:r>
              <w:rPr>
                <w:rFonts w:ascii="宋体" w:hAnsi="宋体" w:cs="宋体"/>
                <w:color w:val="auto"/>
                <w:kern w:val="0"/>
                <w:sz w:val="24"/>
                <w:lang w:bidi="ar"/>
              </w:rPr>
              <w:t>(</w:t>
            </w:r>
            <w:r>
              <w:rPr>
                <w:rFonts w:hint="eastAsia" w:ascii="宋体" w:hAnsi="宋体" w:cs="宋体"/>
                <w:color w:val="auto"/>
                <w:kern w:val="0"/>
                <w:sz w:val="24"/>
                <w:lang w:bidi="ar"/>
              </w:rPr>
              <w:t>包含数字及文字描述</w:t>
            </w:r>
            <w:r>
              <w:rPr>
                <w:rFonts w:ascii="宋体" w:hAnsi="宋体" w:cs="宋体"/>
                <w:color w:val="auto"/>
                <w:kern w:val="0"/>
                <w:sz w:val="24"/>
                <w:lang w:bidi="ar"/>
              </w:rPr>
              <w:t>)</w:t>
            </w:r>
          </w:p>
        </w:tc>
      </w:tr>
      <w:tr>
        <w:tblPrEx>
          <w:tblCellMar>
            <w:top w:w="0" w:type="dxa"/>
            <w:left w:w="0" w:type="dxa"/>
            <w:bottom w:w="0" w:type="dxa"/>
            <w:right w:w="0" w:type="dxa"/>
          </w:tblCellMar>
        </w:tblPrEx>
        <w:trPr>
          <w:wBefore w:w="0" w:type="dxa"/>
          <w:wAfter w:w="0" w:type="dxa"/>
          <w:trHeight w:val="953" w:hRule="atLeast"/>
          <w:jc w:val="center"/>
        </w:trPr>
        <w:tc>
          <w:tcPr>
            <w:tcW w:w="75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r>
              <w:rPr>
                <w:rFonts w:hint="eastAsia" w:ascii="宋体" w:cs="宋体"/>
                <w:color w:val="auto"/>
                <w:sz w:val="24"/>
              </w:rPr>
              <w:t>数量指标</w:t>
            </w:r>
          </w:p>
        </w:tc>
        <w:tc>
          <w:tcPr>
            <w:tcW w:w="3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r>
              <w:rPr>
                <w:rFonts w:hint="eastAsia" w:ascii="宋体" w:cs="宋体"/>
                <w:color w:val="auto"/>
                <w:sz w:val="24"/>
              </w:rPr>
              <w:t>1．开展现场专题调研、座谈会不少于2次；2．开展科技服务，技术培训，义诊，法律援助活动不少于1次；3．举办专题培训班。</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r>
              <w:rPr>
                <w:rFonts w:hint="eastAsia" w:ascii="宋体" w:cs="宋体"/>
                <w:color w:val="auto"/>
                <w:sz w:val="24"/>
              </w:rPr>
              <w:t>100%完成</w:t>
            </w:r>
          </w:p>
        </w:tc>
        <w:tc>
          <w:tcPr>
            <w:tcW w:w="19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4"/>
              </w:rPr>
            </w:pPr>
            <w:r>
              <w:rPr>
                <w:rFonts w:hint="eastAsia" w:ascii="宋体" w:cs="宋体"/>
                <w:color w:val="auto"/>
                <w:sz w:val="24"/>
              </w:rPr>
              <w:t>完成率达100%</w:t>
            </w:r>
          </w:p>
        </w:tc>
      </w:tr>
      <w:tr>
        <w:tblPrEx>
          <w:tblCellMar>
            <w:top w:w="0" w:type="dxa"/>
            <w:left w:w="0" w:type="dxa"/>
            <w:bottom w:w="0" w:type="dxa"/>
            <w:right w:w="0" w:type="dxa"/>
          </w:tblCellMar>
        </w:tblPrEx>
        <w:trPr>
          <w:wBefore w:w="0" w:type="dxa"/>
          <w:wAfter w:w="0" w:type="dxa"/>
          <w:trHeight w:val="682" w:hRule="atLeast"/>
          <w:jc w:val="center"/>
        </w:trPr>
        <w:tc>
          <w:tcPr>
            <w:tcW w:w="75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r>
              <w:rPr>
                <w:rFonts w:hint="eastAsia" w:ascii="宋体" w:cs="宋体"/>
                <w:color w:val="auto"/>
                <w:sz w:val="24"/>
              </w:rPr>
              <w:t>质量指标</w:t>
            </w:r>
          </w:p>
        </w:tc>
        <w:tc>
          <w:tcPr>
            <w:tcW w:w="3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r>
              <w:rPr>
                <w:rFonts w:hint="eastAsia" w:ascii="宋体" w:cs="宋体"/>
                <w:color w:val="auto"/>
                <w:sz w:val="24"/>
              </w:rPr>
              <w:t>形成高质量报告不少于1篇</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r>
              <w:rPr>
                <w:rFonts w:hint="eastAsia" w:ascii="宋体" w:cs="宋体"/>
                <w:color w:val="auto"/>
                <w:sz w:val="24"/>
              </w:rPr>
              <w:t>100%完成</w:t>
            </w:r>
          </w:p>
        </w:tc>
        <w:tc>
          <w:tcPr>
            <w:tcW w:w="19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4"/>
              </w:rPr>
            </w:pPr>
            <w:r>
              <w:rPr>
                <w:rFonts w:hint="eastAsia" w:ascii="宋体" w:cs="宋体"/>
                <w:color w:val="auto"/>
                <w:sz w:val="24"/>
              </w:rPr>
              <w:t>完成高质量报告2篇</w:t>
            </w:r>
          </w:p>
        </w:tc>
      </w:tr>
      <w:tr>
        <w:tblPrEx>
          <w:tblCellMar>
            <w:top w:w="0" w:type="dxa"/>
            <w:left w:w="0" w:type="dxa"/>
            <w:bottom w:w="0" w:type="dxa"/>
            <w:right w:w="0" w:type="dxa"/>
          </w:tblCellMar>
        </w:tblPrEx>
        <w:trPr>
          <w:wBefore w:w="0" w:type="dxa"/>
          <w:wAfter w:w="0" w:type="dxa"/>
          <w:trHeight w:val="577" w:hRule="atLeast"/>
          <w:jc w:val="center"/>
        </w:trPr>
        <w:tc>
          <w:tcPr>
            <w:tcW w:w="75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4"/>
              </w:rPr>
            </w:pPr>
            <w:r>
              <w:rPr>
                <w:rFonts w:hint="eastAsia" w:ascii="宋体" w:cs="宋体"/>
                <w:color w:val="auto"/>
                <w:sz w:val="24"/>
              </w:rPr>
              <w:t>社会效益</w:t>
            </w:r>
          </w:p>
          <w:p>
            <w:pPr>
              <w:widowControl/>
              <w:jc w:val="center"/>
              <w:textAlignment w:val="center"/>
              <w:rPr>
                <w:rFonts w:ascii="宋体" w:cs="宋体"/>
                <w:color w:val="auto"/>
                <w:sz w:val="24"/>
              </w:rPr>
            </w:pPr>
            <w:r>
              <w:rPr>
                <w:rFonts w:hint="eastAsia" w:ascii="宋体" w:cs="宋体"/>
                <w:color w:val="auto"/>
                <w:sz w:val="24"/>
              </w:rPr>
              <w:t>指标</w:t>
            </w:r>
          </w:p>
        </w:tc>
        <w:tc>
          <w:tcPr>
            <w:tcW w:w="3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r>
              <w:rPr>
                <w:rFonts w:hint="eastAsia" w:ascii="宋体" w:cs="宋体"/>
                <w:color w:val="auto"/>
                <w:sz w:val="24"/>
              </w:rPr>
              <w:t>增强党外知识分子凝聚力</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r>
              <w:rPr>
                <w:rFonts w:hint="eastAsia" w:ascii="宋体" w:cs="宋体"/>
                <w:color w:val="auto"/>
                <w:sz w:val="24"/>
              </w:rPr>
              <w:t>逐步提高</w:t>
            </w:r>
          </w:p>
        </w:tc>
        <w:tc>
          <w:tcPr>
            <w:tcW w:w="19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4"/>
              </w:rPr>
            </w:pPr>
            <w:r>
              <w:rPr>
                <w:rFonts w:hint="eastAsia" w:ascii="宋体" w:cs="宋体"/>
                <w:color w:val="auto"/>
                <w:sz w:val="24"/>
              </w:rPr>
              <w:t>党外知识分子凝聚力进一步增强</w:t>
            </w:r>
          </w:p>
        </w:tc>
      </w:tr>
      <w:tr>
        <w:tblPrEx>
          <w:tblCellMar>
            <w:top w:w="0" w:type="dxa"/>
            <w:left w:w="0" w:type="dxa"/>
            <w:bottom w:w="0" w:type="dxa"/>
            <w:right w:w="0" w:type="dxa"/>
          </w:tblCellMar>
        </w:tblPrEx>
        <w:trPr>
          <w:wBefore w:w="0" w:type="dxa"/>
          <w:wAfter w:w="0" w:type="dxa"/>
          <w:trHeight w:val="751" w:hRule="atLeast"/>
          <w:jc w:val="center"/>
        </w:trPr>
        <w:tc>
          <w:tcPr>
            <w:tcW w:w="75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p>
        </w:tc>
        <w:tc>
          <w:tcPr>
            <w:tcW w:w="10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lang w:bidi="ar"/>
              </w:rPr>
              <w:t>满意度指标</w:t>
            </w:r>
          </w:p>
        </w:tc>
        <w:tc>
          <w:tcPr>
            <w:tcW w:w="3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r>
              <w:rPr>
                <w:rFonts w:hint="eastAsia" w:ascii="宋体" w:cs="宋体"/>
                <w:color w:val="auto"/>
                <w:sz w:val="24"/>
              </w:rPr>
              <w:t>会员更加满意</w:t>
            </w:r>
          </w:p>
        </w:tc>
        <w:tc>
          <w:tcPr>
            <w:tcW w:w="1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r>
              <w:rPr>
                <w:rFonts w:hint="eastAsia" w:ascii="宋体" w:cs="宋体"/>
                <w:color w:val="auto"/>
                <w:sz w:val="24"/>
              </w:rPr>
              <w:t>逐步提高</w:t>
            </w:r>
          </w:p>
        </w:tc>
        <w:tc>
          <w:tcPr>
            <w:tcW w:w="19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4"/>
              </w:rPr>
            </w:pPr>
            <w:r>
              <w:rPr>
                <w:rFonts w:hint="eastAsia" w:ascii="宋体" w:cs="宋体"/>
                <w:color w:val="auto"/>
                <w:sz w:val="24"/>
              </w:rPr>
              <w:t>会员满意</w:t>
            </w:r>
          </w:p>
        </w:tc>
      </w:tr>
    </w:tbl>
    <w:p>
      <w:pPr>
        <w:spacing w:line="20" w:lineRule="exact"/>
        <w:ind w:left="629"/>
        <w:rPr>
          <w:rFonts w:hint="eastAsia" w:ascii="仿宋_GB2312" w:hAnsi="仿宋_GB2312" w:eastAsia="仿宋_GB2312" w:cs="仿宋_GB2312"/>
          <w:color w:val="auto"/>
          <w:sz w:val="18"/>
          <w:szCs w:val="18"/>
        </w:rPr>
      </w:pPr>
    </w:p>
    <w:p>
      <w:pPr>
        <w:spacing w:line="580" w:lineRule="exact"/>
        <w:ind w:left="630"/>
        <w:rPr>
          <w:rFonts w:hint="eastAsia" w:ascii="仿宋_GB2312" w:hAnsi="仿宋_GB2312" w:eastAsia="仿宋_GB2312" w:cs="仿宋_GB2312"/>
          <w:color w:val="auto"/>
          <w:sz w:val="32"/>
          <w:szCs w:val="32"/>
        </w:rPr>
      </w:pPr>
    </w:p>
    <w:tbl>
      <w:tblPr>
        <w:tblStyle w:val="15"/>
        <w:tblpPr w:leftFromText="180" w:rightFromText="180" w:vertAnchor="text" w:horzAnchor="page" w:tblpXSpec="center" w:tblpY="423"/>
        <w:tblOverlap w:val="never"/>
        <w:tblW w:w="0" w:type="auto"/>
        <w:jc w:val="center"/>
        <w:tblLayout w:type="fixed"/>
        <w:tblCellMar>
          <w:top w:w="0" w:type="dxa"/>
          <w:left w:w="0" w:type="dxa"/>
          <w:bottom w:w="0" w:type="dxa"/>
          <w:right w:w="0" w:type="dxa"/>
        </w:tblCellMar>
      </w:tblPr>
      <w:tblGrid>
        <w:gridCol w:w="855"/>
        <w:gridCol w:w="902"/>
        <w:gridCol w:w="1025"/>
        <w:gridCol w:w="173"/>
        <w:gridCol w:w="3045"/>
        <w:gridCol w:w="1568"/>
        <w:gridCol w:w="2392"/>
      </w:tblGrid>
      <w:tr>
        <w:tblPrEx>
          <w:tblCellMar>
            <w:top w:w="0" w:type="dxa"/>
            <w:left w:w="0" w:type="dxa"/>
            <w:bottom w:w="0" w:type="dxa"/>
            <w:right w:w="0" w:type="dxa"/>
          </w:tblCellMar>
        </w:tblPrEx>
        <w:trPr>
          <w:wBefore w:w="0" w:type="dxa"/>
          <w:wAfter w:w="0" w:type="dxa"/>
          <w:trHeight w:val="1034" w:hRule="atLeast"/>
          <w:jc w:val="center"/>
        </w:trPr>
        <w:tc>
          <w:tcPr>
            <w:tcW w:w="9960" w:type="dxa"/>
            <w:gridSpan w:val="7"/>
            <w:tcBorders>
              <w:top w:val="nil"/>
              <w:left w:val="nil"/>
              <w:bottom w:val="nil"/>
              <w:right w:val="nil"/>
            </w:tcBorders>
            <w:noWrap w:val="0"/>
            <w:tcMar>
              <w:top w:w="15" w:type="dxa"/>
              <w:left w:w="15" w:type="dxa"/>
              <w:right w:w="15" w:type="dxa"/>
            </w:tcMar>
            <w:vAlign w:val="center"/>
          </w:tcPr>
          <w:p>
            <w:pPr>
              <w:widowControl/>
              <w:jc w:val="center"/>
              <w:textAlignment w:val="center"/>
              <w:rPr>
                <w:rFonts w:ascii="宋体" w:cs="宋体"/>
                <w:color w:val="auto"/>
                <w:sz w:val="36"/>
                <w:szCs w:val="36"/>
              </w:rPr>
            </w:pPr>
            <w:r>
              <w:rPr>
                <w:rFonts w:hint="eastAsia" w:ascii="宋体" w:hAnsi="宋体" w:cs="宋体"/>
                <w:b/>
                <w:bCs/>
                <w:color w:val="auto"/>
                <w:kern w:val="0"/>
                <w:sz w:val="36"/>
                <w:szCs w:val="36"/>
                <w:lang w:bidi="ar"/>
              </w:rPr>
              <w:t>项目绩效目标完成情况表</w:t>
            </w:r>
            <w:r>
              <w:rPr>
                <w:rFonts w:ascii="宋体" w:cs="宋体"/>
                <w:b/>
                <w:bCs/>
                <w:color w:val="auto"/>
                <w:kern w:val="0"/>
                <w:sz w:val="36"/>
                <w:szCs w:val="36"/>
                <w:lang w:bidi="ar"/>
              </w:rPr>
              <w:br w:type="textWrapping"/>
            </w:r>
            <w:r>
              <w:rPr>
                <w:rFonts w:ascii="宋体" w:hAnsi="宋体" w:cs="宋体"/>
                <w:color w:val="auto"/>
                <w:kern w:val="0"/>
                <w:sz w:val="36"/>
                <w:szCs w:val="36"/>
                <w:lang w:bidi="ar"/>
              </w:rPr>
              <w:t>(2020</w:t>
            </w:r>
            <w:r>
              <w:rPr>
                <w:rFonts w:hint="eastAsia" w:ascii="宋体" w:hAnsi="宋体" w:cs="宋体"/>
                <w:color w:val="auto"/>
                <w:kern w:val="0"/>
                <w:sz w:val="36"/>
                <w:szCs w:val="36"/>
                <w:lang w:bidi="ar"/>
              </w:rPr>
              <w:t>年度</w:t>
            </w:r>
            <w:r>
              <w:rPr>
                <w:rFonts w:ascii="宋体" w:hAnsi="宋体" w:cs="宋体"/>
                <w:color w:val="auto"/>
                <w:kern w:val="0"/>
                <w:sz w:val="36"/>
                <w:szCs w:val="36"/>
                <w:lang w:bidi="ar"/>
              </w:rPr>
              <w:t>)</w:t>
            </w:r>
          </w:p>
        </w:tc>
      </w:tr>
      <w:tr>
        <w:tblPrEx>
          <w:tblCellMar>
            <w:top w:w="0" w:type="dxa"/>
            <w:left w:w="0" w:type="dxa"/>
            <w:bottom w:w="0" w:type="dxa"/>
            <w:right w:w="0" w:type="dxa"/>
          </w:tblCellMar>
        </w:tblPrEx>
        <w:trPr>
          <w:wBefore w:w="0" w:type="dxa"/>
          <w:wAfter w:w="0" w:type="dxa"/>
          <w:trHeight w:val="276" w:hRule="atLeast"/>
          <w:jc w:val="center"/>
        </w:trPr>
        <w:tc>
          <w:tcPr>
            <w:tcW w:w="295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lang w:bidi="ar"/>
              </w:rPr>
              <w:t>项目名称</w:t>
            </w:r>
          </w:p>
        </w:tc>
        <w:tc>
          <w:tcPr>
            <w:tcW w:w="70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r>
              <w:rPr>
                <w:rFonts w:hint="eastAsia" w:ascii="宋体" w:cs="宋体"/>
                <w:color w:val="auto"/>
                <w:sz w:val="24"/>
              </w:rPr>
              <w:t>中华职业教育社工作经费</w:t>
            </w:r>
          </w:p>
        </w:tc>
      </w:tr>
      <w:tr>
        <w:tblPrEx>
          <w:tblCellMar>
            <w:top w:w="0" w:type="dxa"/>
            <w:left w:w="0" w:type="dxa"/>
            <w:bottom w:w="0" w:type="dxa"/>
            <w:right w:w="0" w:type="dxa"/>
          </w:tblCellMar>
        </w:tblPrEx>
        <w:trPr>
          <w:wBefore w:w="0" w:type="dxa"/>
          <w:wAfter w:w="0" w:type="dxa"/>
          <w:trHeight w:val="276" w:hRule="atLeast"/>
          <w:jc w:val="center"/>
        </w:trPr>
        <w:tc>
          <w:tcPr>
            <w:tcW w:w="295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24"/>
              </w:rPr>
            </w:pPr>
            <w:r>
              <w:rPr>
                <w:rFonts w:hint="eastAsia" w:ascii="宋体" w:hAnsi="宋体" w:cs="宋体"/>
                <w:color w:val="auto"/>
                <w:kern w:val="0"/>
                <w:sz w:val="24"/>
                <w:lang w:bidi="ar"/>
              </w:rPr>
              <w:t>预算单位</w:t>
            </w:r>
          </w:p>
        </w:tc>
        <w:tc>
          <w:tcPr>
            <w:tcW w:w="70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24"/>
              </w:rPr>
            </w:pPr>
            <w:r>
              <w:rPr>
                <w:rFonts w:hint="eastAsia" w:ascii="宋体" w:cs="宋体"/>
                <w:color w:val="auto"/>
                <w:sz w:val="24"/>
              </w:rPr>
              <w:t>中共广元市委统战部</w:t>
            </w:r>
          </w:p>
        </w:tc>
      </w:tr>
      <w:tr>
        <w:tblPrEx>
          <w:tblCellMar>
            <w:top w:w="0" w:type="dxa"/>
            <w:left w:w="0" w:type="dxa"/>
            <w:bottom w:w="0" w:type="dxa"/>
            <w:right w:w="0" w:type="dxa"/>
          </w:tblCellMar>
        </w:tblPrEx>
        <w:trPr>
          <w:wBefore w:w="0" w:type="dxa"/>
          <w:wAfter w:w="0" w:type="dxa"/>
          <w:trHeight w:val="276" w:hRule="atLeast"/>
          <w:jc w:val="center"/>
        </w:trPr>
        <w:tc>
          <w:tcPr>
            <w:tcW w:w="8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18"/>
                <w:szCs w:val="18"/>
              </w:rPr>
            </w:pPr>
            <w:r>
              <w:rPr>
                <w:rFonts w:hint="eastAsia" w:ascii="宋体" w:hAnsi="宋体" w:cs="宋体"/>
                <w:color w:val="auto"/>
                <w:kern w:val="0"/>
                <w:sz w:val="18"/>
                <w:szCs w:val="18"/>
                <w:lang w:bidi="ar"/>
              </w:rPr>
              <w:t>预算执行情况</w:t>
            </w:r>
            <w:r>
              <w:rPr>
                <w:rFonts w:ascii="宋体" w:hAnsi="宋体" w:cs="宋体"/>
                <w:color w:val="auto"/>
                <w:kern w:val="0"/>
                <w:sz w:val="18"/>
                <w:szCs w:val="18"/>
                <w:lang w:bidi="ar"/>
              </w:rPr>
              <w:t>(</w:t>
            </w:r>
            <w:r>
              <w:rPr>
                <w:rFonts w:hint="eastAsia" w:ascii="宋体" w:hAnsi="宋体" w:cs="宋体"/>
                <w:color w:val="auto"/>
                <w:kern w:val="0"/>
                <w:sz w:val="18"/>
                <w:szCs w:val="18"/>
                <w:lang w:bidi="ar"/>
              </w:rPr>
              <w:t>万元</w:t>
            </w:r>
            <w:r>
              <w:rPr>
                <w:rFonts w:ascii="宋体" w:hAnsi="宋体" w:cs="宋体"/>
                <w:color w:val="auto"/>
                <w:kern w:val="0"/>
                <w:sz w:val="18"/>
                <w:szCs w:val="18"/>
                <w:lang w:bidi="ar"/>
              </w:rPr>
              <w:t>)</w:t>
            </w:r>
          </w:p>
        </w:tc>
        <w:tc>
          <w:tcPr>
            <w:tcW w:w="21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18"/>
                <w:szCs w:val="18"/>
              </w:rPr>
            </w:pPr>
            <w:r>
              <w:rPr>
                <w:rFonts w:hint="eastAsia" w:ascii="宋体" w:hAnsi="宋体" w:cs="宋体"/>
                <w:color w:val="auto"/>
                <w:kern w:val="0"/>
                <w:sz w:val="18"/>
                <w:szCs w:val="18"/>
                <w:lang w:bidi="ar"/>
              </w:rPr>
              <w:t>预算数</w:t>
            </w:r>
            <w:r>
              <w:rPr>
                <w:rFonts w:ascii="宋体" w:hAnsi="宋体" w:cs="宋体"/>
                <w:color w:val="auto"/>
                <w:kern w:val="0"/>
                <w:sz w:val="18"/>
                <w:szCs w:val="18"/>
                <w:lang w:bidi="ar"/>
              </w:rPr>
              <w:t>:</w:t>
            </w:r>
          </w:p>
        </w:tc>
        <w:tc>
          <w:tcPr>
            <w:tcW w:w="3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18"/>
                <w:szCs w:val="18"/>
              </w:rPr>
            </w:pPr>
            <w:r>
              <w:rPr>
                <w:rFonts w:hint="eastAsia" w:ascii="宋体" w:cs="宋体"/>
                <w:color w:val="auto"/>
                <w:sz w:val="18"/>
                <w:szCs w:val="18"/>
              </w:rPr>
              <w:t>5.4</w:t>
            </w:r>
          </w:p>
        </w:tc>
        <w:tc>
          <w:tcPr>
            <w:tcW w:w="15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18"/>
                <w:szCs w:val="18"/>
              </w:rPr>
            </w:pPr>
            <w:r>
              <w:rPr>
                <w:rFonts w:hint="eastAsia" w:ascii="宋体" w:hAnsi="宋体" w:cs="宋体"/>
                <w:color w:val="auto"/>
                <w:kern w:val="0"/>
                <w:sz w:val="18"/>
                <w:szCs w:val="18"/>
                <w:lang w:bidi="ar"/>
              </w:rPr>
              <w:t>执行数</w:t>
            </w:r>
            <w:r>
              <w:rPr>
                <w:rFonts w:ascii="宋体" w:hAnsi="宋体" w:cs="宋体"/>
                <w:color w:val="auto"/>
                <w:kern w:val="0"/>
                <w:sz w:val="18"/>
                <w:szCs w:val="18"/>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18"/>
                <w:szCs w:val="18"/>
              </w:rPr>
            </w:pPr>
            <w:r>
              <w:rPr>
                <w:rFonts w:hint="eastAsia" w:ascii="宋体" w:cs="宋体"/>
                <w:color w:val="auto"/>
                <w:sz w:val="18"/>
                <w:szCs w:val="18"/>
              </w:rPr>
              <w:t>5.4</w:t>
            </w:r>
          </w:p>
        </w:tc>
      </w:tr>
      <w:tr>
        <w:tblPrEx>
          <w:tblCellMar>
            <w:top w:w="0" w:type="dxa"/>
            <w:left w:w="0" w:type="dxa"/>
            <w:bottom w:w="0" w:type="dxa"/>
            <w:right w:w="0" w:type="dxa"/>
          </w:tblCellMar>
        </w:tblPrEx>
        <w:trPr>
          <w:wBefore w:w="0" w:type="dxa"/>
          <w:wAfter w:w="0" w:type="dxa"/>
          <w:trHeight w:val="276"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auto"/>
                <w:sz w:val="18"/>
                <w:szCs w:val="18"/>
              </w:rPr>
            </w:pPr>
          </w:p>
        </w:tc>
        <w:tc>
          <w:tcPr>
            <w:tcW w:w="21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18"/>
                <w:szCs w:val="18"/>
              </w:rPr>
            </w:pPr>
            <w:r>
              <w:rPr>
                <w:rFonts w:hint="eastAsia" w:ascii="宋体" w:hAnsi="宋体" w:cs="宋体"/>
                <w:color w:val="auto"/>
                <w:kern w:val="0"/>
                <w:sz w:val="18"/>
                <w:szCs w:val="18"/>
                <w:lang w:bidi="ar"/>
              </w:rPr>
              <w:t>其中</w:t>
            </w:r>
            <w:r>
              <w:rPr>
                <w:rFonts w:ascii="宋体" w:cs="宋体"/>
                <w:color w:val="auto"/>
                <w:kern w:val="0"/>
                <w:sz w:val="18"/>
                <w:szCs w:val="18"/>
                <w:lang w:bidi="ar"/>
              </w:rPr>
              <w:t>-</w:t>
            </w:r>
            <w:r>
              <w:rPr>
                <w:rFonts w:hint="eastAsia" w:ascii="宋体" w:hAnsi="宋体" w:cs="宋体"/>
                <w:color w:val="auto"/>
                <w:kern w:val="0"/>
                <w:sz w:val="18"/>
                <w:szCs w:val="18"/>
                <w:lang w:bidi="ar"/>
              </w:rPr>
              <w:t>财政拨款</w:t>
            </w:r>
            <w:r>
              <w:rPr>
                <w:rFonts w:ascii="宋体" w:hAnsi="宋体" w:cs="宋体"/>
                <w:color w:val="auto"/>
                <w:kern w:val="0"/>
                <w:sz w:val="18"/>
                <w:szCs w:val="18"/>
                <w:lang w:bidi="ar"/>
              </w:rPr>
              <w:t>:</w:t>
            </w:r>
          </w:p>
        </w:tc>
        <w:tc>
          <w:tcPr>
            <w:tcW w:w="3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18"/>
                <w:szCs w:val="18"/>
              </w:rPr>
            </w:pPr>
            <w:r>
              <w:rPr>
                <w:rFonts w:hint="eastAsia" w:ascii="宋体" w:cs="宋体"/>
                <w:color w:val="auto"/>
                <w:sz w:val="18"/>
                <w:szCs w:val="18"/>
              </w:rPr>
              <w:t>5.4</w:t>
            </w:r>
          </w:p>
        </w:tc>
        <w:tc>
          <w:tcPr>
            <w:tcW w:w="15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18"/>
                <w:szCs w:val="18"/>
              </w:rPr>
            </w:pPr>
            <w:r>
              <w:rPr>
                <w:rFonts w:hint="eastAsia" w:ascii="宋体" w:hAnsi="宋体" w:cs="宋体"/>
                <w:color w:val="auto"/>
                <w:kern w:val="0"/>
                <w:sz w:val="18"/>
                <w:szCs w:val="18"/>
                <w:lang w:bidi="ar"/>
              </w:rPr>
              <w:t>其中</w:t>
            </w:r>
            <w:r>
              <w:rPr>
                <w:rFonts w:ascii="宋体" w:cs="宋体"/>
                <w:color w:val="auto"/>
                <w:kern w:val="0"/>
                <w:sz w:val="18"/>
                <w:szCs w:val="18"/>
                <w:lang w:bidi="ar"/>
              </w:rPr>
              <w:t>-</w:t>
            </w:r>
            <w:r>
              <w:rPr>
                <w:rFonts w:hint="eastAsia" w:ascii="宋体" w:hAnsi="宋体" w:cs="宋体"/>
                <w:color w:val="auto"/>
                <w:kern w:val="0"/>
                <w:sz w:val="18"/>
                <w:szCs w:val="18"/>
                <w:lang w:bidi="ar"/>
              </w:rPr>
              <w:t>财政拨款</w:t>
            </w:r>
            <w:r>
              <w:rPr>
                <w:rFonts w:ascii="宋体" w:hAnsi="宋体" w:cs="宋体"/>
                <w:color w:val="auto"/>
                <w:kern w:val="0"/>
                <w:sz w:val="18"/>
                <w:szCs w:val="18"/>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18"/>
                <w:szCs w:val="18"/>
              </w:rPr>
            </w:pPr>
            <w:r>
              <w:rPr>
                <w:rFonts w:hint="eastAsia" w:ascii="宋体" w:cs="宋体"/>
                <w:color w:val="auto"/>
                <w:sz w:val="18"/>
                <w:szCs w:val="18"/>
              </w:rPr>
              <w:t>5.4</w:t>
            </w:r>
          </w:p>
        </w:tc>
      </w:tr>
      <w:tr>
        <w:tblPrEx>
          <w:tblCellMar>
            <w:top w:w="0" w:type="dxa"/>
            <w:left w:w="0" w:type="dxa"/>
            <w:bottom w:w="0" w:type="dxa"/>
            <w:right w:w="0" w:type="dxa"/>
          </w:tblCellMar>
        </w:tblPrEx>
        <w:trPr>
          <w:wBefore w:w="0" w:type="dxa"/>
          <w:wAfter w:w="0" w:type="dxa"/>
          <w:trHeight w:val="316"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auto"/>
                <w:sz w:val="18"/>
                <w:szCs w:val="18"/>
              </w:rPr>
            </w:pPr>
          </w:p>
        </w:tc>
        <w:tc>
          <w:tcPr>
            <w:tcW w:w="21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18"/>
                <w:szCs w:val="18"/>
              </w:rPr>
            </w:pPr>
            <w:r>
              <w:rPr>
                <w:rFonts w:hint="eastAsia" w:ascii="宋体" w:hAnsi="宋体" w:cs="宋体"/>
                <w:color w:val="auto"/>
                <w:kern w:val="0"/>
                <w:sz w:val="18"/>
                <w:szCs w:val="18"/>
                <w:lang w:bidi="ar"/>
              </w:rPr>
              <w:t>其它资金</w:t>
            </w:r>
            <w:r>
              <w:rPr>
                <w:rFonts w:ascii="宋体" w:hAnsi="宋体" w:cs="宋体"/>
                <w:color w:val="auto"/>
                <w:kern w:val="0"/>
                <w:sz w:val="18"/>
                <w:szCs w:val="18"/>
                <w:lang w:bidi="ar"/>
              </w:rPr>
              <w:t>:</w:t>
            </w:r>
          </w:p>
        </w:tc>
        <w:tc>
          <w:tcPr>
            <w:tcW w:w="3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18"/>
                <w:szCs w:val="18"/>
              </w:rPr>
            </w:pPr>
          </w:p>
        </w:tc>
        <w:tc>
          <w:tcPr>
            <w:tcW w:w="15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18"/>
                <w:szCs w:val="18"/>
              </w:rPr>
            </w:pPr>
            <w:r>
              <w:rPr>
                <w:rFonts w:hint="eastAsia" w:ascii="宋体" w:hAnsi="宋体" w:cs="宋体"/>
                <w:color w:val="auto"/>
                <w:kern w:val="0"/>
                <w:sz w:val="18"/>
                <w:szCs w:val="18"/>
                <w:lang w:bidi="ar"/>
              </w:rPr>
              <w:t>其它资金</w:t>
            </w:r>
            <w:r>
              <w:rPr>
                <w:rFonts w:ascii="宋体" w:hAnsi="宋体" w:cs="宋体"/>
                <w:color w:val="auto"/>
                <w:kern w:val="0"/>
                <w:sz w:val="18"/>
                <w:szCs w:val="18"/>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auto"/>
                <w:sz w:val="18"/>
                <w:szCs w:val="18"/>
              </w:rPr>
            </w:pPr>
          </w:p>
        </w:tc>
      </w:tr>
      <w:tr>
        <w:tblPrEx>
          <w:tblCellMar>
            <w:top w:w="0" w:type="dxa"/>
            <w:left w:w="0" w:type="dxa"/>
            <w:bottom w:w="0" w:type="dxa"/>
            <w:right w:w="0" w:type="dxa"/>
          </w:tblCellMar>
        </w:tblPrEx>
        <w:trPr>
          <w:wBefore w:w="0" w:type="dxa"/>
          <w:wAfter w:w="0" w:type="dxa"/>
          <w:trHeight w:val="276" w:hRule="atLeast"/>
          <w:jc w:val="center"/>
        </w:trPr>
        <w:tc>
          <w:tcPr>
            <w:tcW w:w="8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18"/>
                <w:szCs w:val="18"/>
              </w:rPr>
            </w:pPr>
            <w:r>
              <w:rPr>
                <w:rFonts w:hint="eastAsia" w:ascii="宋体" w:hAnsi="宋体" w:cs="宋体"/>
                <w:color w:val="auto"/>
                <w:kern w:val="0"/>
                <w:sz w:val="18"/>
                <w:szCs w:val="18"/>
                <w:lang w:bidi="ar"/>
              </w:rPr>
              <w:t>年度目标完成情况</w:t>
            </w:r>
          </w:p>
        </w:tc>
        <w:tc>
          <w:tcPr>
            <w:tcW w:w="514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18"/>
                <w:szCs w:val="18"/>
              </w:rPr>
            </w:pPr>
            <w:r>
              <w:rPr>
                <w:rFonts w:hint="eastAsia" w:ascii="宋体" w:hAnsi="宋体" w:cs="宋体"/>
                <w:color w:val="auto"/>
                <w:kern w:val="0"/>
                <w:sz w:val="18"/>
                <w:szCs w:val="18"/>
                <w:lang w:bidi="ar"/>
              </w:rPr>
              <w:t>预期目标</w:t>
            </w:r>
          </w:p>
        </w:tc>
        <w:tc>
          <w:tcPr>
            <w:tcW w:w="39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18"/>
                <w:szCs w:val="18"/>
              </w:rPr>
            </w:pPr>
            <w:r>
              <w:rPr>
                <w:rFonts w:hint="eastAsia" w:ascii="宋体" w:hAnsi="宋体" w:cs="宋体"/>
                <w:color w:val="auto"/>
                <w:kern w:val="0"/>
                <w:sz w:val="18"/>
                <w:szCs w:val="18"/>
                <w:lang w:bidi="ar"/>
              </w:rPr>
              <w:t>实际完成目标</w:t>
            </w:r>
          </w:p>
        </w:tc>
      </w:tr>
      <w:tr>
        <w:tblPrEx>
          <w:tblCellMar>
            <w:top w:w="0" w:type="dxa"/>
            <w:left w:w="0" w:type="dxa"/>
            <w:bottom w:w="0" w:type="dxa"/>
            <w:right w:w="0" w:type="dxa"/>
          </w:tblCellMar>
        </w:tblPrEx>
        <w:trPr>
          <w:wBefore w:w="0" w:type="dxa"/>
          <w:wAfter w:w="0" w:type="dxa"/>
          <w:trHeight w:val="1159"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cs="宋体"/>
                <w:color w:val="auto"/>
                <w:sz w:val="18"/>
                <w:szCs w:val="18"/>
              </w:rPr>
            </w:pPr>
          </w:p>
        </w:tc>
        <w:tc>
          <w:tcPr>
            <w:tcW w:w="514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left"/>
              <w:textAlignment w:val="center"/>
              <w:rPr>
                <w:rFonts w:hint="eastAsia" w:ascii="宋体" w:cs="宋体"/>
                <w:color w:val="auto"/>
                <w:sz w:val="18"/>
                <w:szCs w:val="18"/>
              </w:rPr>
            </w:pPr>
            <w:r>
              <w:rPr>
                <w:rFonts w:hint="eastAsia" w:ascii="宋体" w:cs="宋体"/>
                <w:color w:val="auto"/>
                <w:sz w:val="18"/>
                <w:szCs w:val="18"/>
              </w:rPr>
              <w:t>市委统战部下属事业单位，确保完成以下整体目标：</w:t>
            </w:r>
          </w:p>
          <w:p>
            <w:pPr>
              <w:widowControl/>
              <w:spacing w:line="200" w:lineRule="exact"/>
              <w:jc w:val="left"/>
              <w:textAlignment w:val="center"/>
              <w:rPr>
                <w:rFonts w:hint="eastAsia" w:ascii="宋体" w:cs="宋体"/>
                <w:color w:val="auto"/>
                <w:sz w:val="18"/>
                <w:szCs w:val="18"/>
              </w:rPr>
            </w:pPr>
            <w:r>
              <w:rPr>
                <w:rFonts w:hint="eastAsia" w:ascii="宋体" w:cs="宋体"/>
                <w:color w:val="auto"/>
                <w:sz w:val="18"/>
                <w:szCs w:val="18"/>
              </w:rPr>
              <w:t>目标1：进一步落实总社、省社关于推动职业教育改革创新发展一系列重大决策部署。</w:t>
            </w:r>
          </w:p>
          <w:p>
            <w:pPr>
              <w:widowControl/>
              <w:spacing w:line="200" w:lineRule="exact"/>
              <w:jc w:val="left"/>
              <w:textAlignment w:val="center"/>
              <w:rPr>
                <w:rFonts w:hint="eastAsia" w:ascii="宋体" w:cs="宋体"/>
                <w:color w:val="auto"/>
                <w:sz w:val="18"/>
                <w:szCs w:val="18"/>
              </w:rPr>
            </w:pPr>
            <w:r>
              <w:rPr>
                <w:rFonts w:hint="eastAsia" w:ascii="宋体" w:cs="宋体"/>
                <w:color w:val="auto"/>
                <w:sz w:val="18"/>
                <w:szCs w:val="18"/>
              </w:rPr>
              <w:t>目标2：进一步争取落实2020职业教育与城市发展高层对话会在广元举办。</w:t>
            </w:r>
          </w:p>
          <w:p>
            <w:pPr>
              <w:widowControl/>
              <w:spacing w:line="200" w:lineRule="exact"/>
              <w:jc w:val="left"/>
              <w:textAlignment w:val="center"/>
              <w:rPr>
                <w:rFonts w:hint="eastAsia" w:ascii="宋体" w:cs="宋体"/>
                <w:color w:val="auto"/>
                <w:sz w:val="18"/>
                <w:szCs w:val="18"/>
              </w:rPr>
            </w:pPr>
            <w:r>
              <w:rPr>
                <w:rFonts w:hint="eastAsia" w:ascii="宋体" w:cs="宋体"/>
                <w:color w:val="auto"/>
                <w:sz w:val="18"/>
                <w:szCs w:val="18"/>
              </w:rPr>
              <w:t>目标3：筹建成立广元市黄炎培职业教育思想研究会。</w:t>
            </w:r>
          </w:p>
          <w:p>
            <w:pPr>
              <w:widowControl/>
              <w:spacing w:line="200" w:lineRule="exact"/>
              <w:jc w:val="left"/>
              <w:textAlignment w:val="center"/>
              <w:rPr>
                <w:rFonts w:hint="eastAsia" w:ascii="宋体" w:cs="宋体"/>
                <w:color w:val="auto"/>
                <w:sz w:val="18"/>
                <w:szCs w:val="18"/>
              </w:rPr>
            </w:pPr>
            <w:r>
              <w:rPr>
                <w:rFonts w:hint="eastAsia" w:ascii="宋体" w:cs="宋体"/>
                <w:color w:val="auto"/>
                <w:sz w:val="18"/>
                <w:szCs w:val="18"/>
              </w:rPr>
              <w:t>目标4：进一步加大力度争取丝绸之路职业教育联盟院校合作项目，</w:t>
            </w:r>
          </w:p>
          <w:p>
            <w:pPr>
              <w:widowControl/>
              <w:spacing w:line="200" w:lineRule="exact"/>
              <w:jc w:val="left"/>
              <w:textAlignment w:val="center"/>
              <w:rPr>
                <w:rFonts w:hint="eastAsia" w:ascii="宋体" w:cs="宋体"/>
                <w:color w:val="auto"/>
                <w:sz w:val="18"/>
                <w:szCs w:val="18"/>
              </w:rPr>
            </w:pPr>
            <w:r>
              <w:rPr>
                <w:rFonts w:hint="eastAsia" w:ascii="宋体" w:cs="宋体"/>
                <w:color w:val="auto"/>
                <w:sz w:val="18"/>
                <w:szCs w:val="18"/>
              </w:rPr>
              <w:t>目标5：建立互联网十地方组织的工作网，建设三网合一的网上社员服务。</w:t>
            </w:r>
          </w:p>
          <w:p>
            <w:pPr>
              <w:widowControl/>
              <w:spacing w:line="200" w:lineRule="exact"/>
              <w:jc w:val="left"/>
              <w:textAlignment w:val="center"/>
              <w:rPr>
                <w:rFonts w:hint="eastAsia" w:ascii="宋体" w:cs="宋体"/>
                <w:color w:val="auto"/>
                <w:sz w:val="18"/>
                <w:szCs w:val="18"/>
              </w:rPr>
            </w:pPr>
            <w:r>
              <w:rPr>
                <w:rFonts w:hint="eastAsia" w:ascii="宋体" w:cs="宋体"/>
                <w:color w:val="auto"/>
                <w:sz w:val="18"/>
                <w:szCs w:val="18"/>
              </w:rPr>
              <w:t>目标6：进一步加大力度争取职业教育促进老区跨越发展广元示范区创建工作。</w:t>
            </w:r>
          </w:p>
          <w:p>
            <w:pPr>
              <w:widowControl/>
              <w:spacing w:line="200" w:lineRule="exact"/>
              <w:jc w:val="left"/>
              <w:textAlignment w:val="center"/>
              <w:rPr>
                <w:rFonts w:hint="eastAsia" w:ascii="宋体" w:cs="宋体"/>
                <w:color w:val="auto"/>
                <w:sz w:val="18"/>
                <w:szCs w:val="18"/>
              </w:rPr>
            </w:pPr>
            <w:r>
              <w:rPr>
                <w:rFonts w:hint="eastAsia" w:ascii="宋体" w:cs="宋体"/>
                <w:color w:val="auto"/>
                <w:sz w:val="18"/>
                <w:szCs w:val="18"/>
              </w:rPr>
              <w:t>目标7：实施温暖工程乡村振兴，新农村带头人技能培训三年工作计划项目。</w:t>
            </w:r>
          </w:p>
          <w:p>
            <w:pPr>
              <w:widowControl/>
              <w:spacing w:line="200" w:lineRule="exact"/>
              <w:jc w:val="left"/>
              <w:textAlignment w:val="center"/>
              <w:rPr>
                <w:rFonts w:hint="eastAsia" w:ascii="宋体" w:cs="宋体"/>
                <w:color w:val="auto"/>
                <w:sz w:val="18"/>
                <w:szCs w:val="18"/>
              </w:rPr>
            </w:pPr>
            <w:r>
              <w:rPr>
                <w:rFonts w:hint="eastAsia" w:ascii="宋体" w:cs="宋体"/>
                <w:color w:val="auto"/>
                <w:sz w:val="18"/>
                <w:szCs w:val="18"/>
              </w:rPr>
              <w:t>目标8：协助引进优质教育资源，加强与国外教育机构、民间组织、国外友人友好往来，实施台湾大学生、港澳大学生研习营活动。</w:t>
            </w:r>
          </w:p>
          <w:p>
            <w:pPr>
              <w:widowControl/>
              <w:spacing w:line="200" w:lineRule="exact"/>
              <w:jc w:val="left"/>
              <w:textAlignment w:val="center"/>
              <w:rPr>
                <w:rFonts w:hint="eastAsia" w:ascii="宋体" w:cs="宋体"/>
                <w:color w:val="auto"/>
                <w:sz w:val="18"/>
                <w:szCs w:val="18"/>
              </w:rPr>
            </w:pPr>
            <w:r>
              <w:rPr>
                <w:rFonts w:hint="eastAsia" w:ascii="宋体" w:cs="宋体"/>
                <w:color w:val="auto"/>
                <w:sz w:val="18"/>
                <w:szCs w:val="18"/>
              </w:rPr>
              <w:t>目标9：加强港澳台地区职业教育界的沟通联系，以师资交流、学生交流、学术交流、以专项活动为</w:t>
            </w:r>
          </w:p>
          <w:p>
            <w:pPr>
              <w:widowControl/>
              <w:spacing w:line="200" w:lineRule="exact"/>
              <w:jc w:val="left"/>
              <w:textAlignment w:val="center"/>
              <w:rPr>
                <w:rFonts w:ascii="宋体" w:cs="宋体"/>
                <w:color w:val="auto"/>
                <w:sz w:val="18"/>
                <w:szCs w:val="18"/>
              </w:rPr>
            </w:pPr>
            <w:r>
              <w:rPr>
                <w:rFonts w:hint="eastAsia" w:ascii="宋体" w:cs="宋体"/>
                <w:color w:val="auto"/>
                <w:sz w:val="18"/>
                <w:szCs w:val="18"/>
              </w:rPr>
              <w:t xml:space="preserve">       载体的工作格局。</w:t>
            </w:r>
          </w:p>
        </w:tc>
        <w:tc>
          <w:tcPr>
            <w:tcW w:w="39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auto"/>
                <w:sz w:val="18"/>
                <w:szCs w:val="18"/>
              </w:rPr>
            </w:pPr>
            <w:r>
              <w:rPr>
                <w:rFonts w:hint="eastAsia" w:ascii="宋体" w:cs="宋体"/>
                <w:color w:val="auto"/>
                <w:sz w:val="18"/>
                <w:szCs w:val="18"/>
              </w:rPr>
              <w:t>按照要求如期完成。</w:t>
            </w:r>
          </w:p>
        </w:tc>
      </w:tr>
      <w:tr>
        <w:tblPrEx>
          <w:tblCellMar>
            <w:top w:w="0" w:type="dxa"/>
            <w:left w:w="0" w:type="dxa"/>
            <w:bottom w:w="0" w:type="dxa"/>
            <w:right w:w="0" w:type="dxa"/>
          </w:tblCellMar>
        </w:tblPrEx>
        <w:trPr>
          <w:wBefore w:w="0" w:type="dxa"/>
          <w:wAfter w:w="0" w:type="dxa"/>
          <w:trHeight w:val="644" w:hRule="atLeast"/>
          <w:jc w:val="center"/>
        </w:trPr>
        <w:tc>
          <w:tcPr>
            <w:tcW w:w="85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18"/>
                <w:szCs w:val="18"/>
              </w:rPr>
            </w:pPr>
            <w:r>
              <w:rPr>
                <w:rFonts w:hint="eastAsia" w:ascii="宋体" w:hAnsi="宋体" w:cs="宋体"/>
                <w:color w:val="auto"/>
                <w:sz w:val="18"/>
                <w:szCs w:val="18"/>
              </w:rPr>
              <w:t>绩效指标完成情况</w:t>
            </w: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宋体" w:cs="宋体"/>
                <w:color w:val="auto"/>
                <w:sz w:val="18"/>
                <w:szCs w:val="18"/>
              </w:rPr>
            </w:pPr>
            <w:r>
              <w:rPr>
                <w:rFonts w:hint="eastAsia" w:ascii="宋体" w:hAnsi="宋体" w:cs="宋体"/>
                <w:color w:val="auto"/>
                <w:kern w:val="0"/>
                <w:sz w:val="18"/>
                <w:szCs w:val="18"/>
                <w:lang w:bidi="ar"/>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宋体" w:cs="宋体"/>
                <w:color w:val="auto"/>
                <w:sz w:val="18"/>
                <w:szCs w:val="18"/>
              </w:rPr>
            </w:pPr>
            <w:r>
              <w:rPr>
                <w:rFonts w:hint="eastAsia" w:ascii="宋体" w:hAnsi="宋体" w:cs="宋体"/>
                <w:color w:val="auto"/>
                <w:kern w:val="0"/>
                <w:sz w:val="18"/>
                <w:szCs w:val="18"/>
                <w:lang w:bidi="ar"/>
              </w:rPr>
              <w:t>二级指标</w:t>
            </w:r>
          </w:p>
        </w:tc>
        <w:tc>
          <w:tcPr>
            <w:tcW w:w="321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宋体" w:cs="宋体"/>
                <w:color w:val="auto"/>
                <w:sz w:val="18"/>
                <w:szCs w:val="18"/>
              </w:rPr>
            </w:pPr>
            <w:r>
              <w:rPr>
                <w:rFonts w:hint="eastAsia" w:ascii="宋体" w:hAnsi="宋体" w:cs="宋体"/>
                <w:color w:val="auto"/>
                <w:kern w:val="0"/>
                <w:sz w:val="18"/>
                <w:szCs w:val="18"/>
                <w:lang w:bidi="ar"/>
              </w:rPr>
              <w:t>三级指标</w:t>
            </w:r>
          </w:p>
        </w:tc>
        <w:tc>
          <w:tcPr>
            <w:tcW w:w="15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宋体" w:cs="宋体"/>
                <w:color w:val="auto"/>
                <w:sz w:val="18"/>
                <w:szCs w:val="18"/>
              </w:rPr>
            </w:pPr>
            <w:r>
              <w:rPr>
                <w:rFonts w:hint="eastAsia" w:ascii="宋体" w:hAnsi="宋体" w:cs="宋体"/>
                <w:color w:val="auto"/>
                <w:kern w:val="0"/>
                <w:sz w:val="18"/>
                <w:szCs w:val="18"/>
                <w:lang w:bidi="ar"/>
              </w:rPr>
              <w:t>预期指标值</w:t>
            </w:r>
            <w:r>
              <w:rPr>
                <w:rFonts w:ascii="宋体" w:hAnsi="宋体" w:cs="宋体"/>
                <w:color w:val="auto"/>
                <w:kern w:val="0"/>
                <w:sz w:val="18"/>
                <w:szCs w:val="18"/>
                <w:lang w:bidi="ar"/>
              </w:rPr>
              <w:t>(</w:t>
            </w:r>
            <w:r>
              <w:rPr>
                <w:rFonts w:hint="eastAsia" w:ascii="宋体" w:hAnsi="宋体" w:cs="宋体"/>
                <w:color w:val="auto"/>
                <w:kern w:val="0"/>
                <w:sz w:val="18"/>
                <w:szCs w:val="18"/>
                <w:lang w:bidi="ar"/>
              </w:rPr>
              <w:t>包含数字及文字描述</w:t>
            </w:r>
            <w:r>
              <w:rPr>
                <w:rFonts w:ascii="宋体" w:hAnsi="宋体" w:cs="宋体"/>
                <w:color w:val="auto"/>
                <w:kern w:val="0"/>
                <w:sz w:val="18"/>
                <w:szCs w:val="18"/>
                <w:lang w:bidi="ar"/>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宋体" w:cs="宋体"/>
                <w:color w:val="auto"/>
                <w:sz w:val="18"/>
                <w:szCs w:val="18"/>
              </w:rPr>
            </w:pPr>
            <w:r>
              <w:rPr>
                <w:rFonts w:hint="eastAsia" w:ascii="宋体" w:hAnsi="宋体" w:cs="宋体"/>
                <w:color w:val="auto"/>
                <w:kern w:val="0"/>
                <w:sz w:val="18"/>
                <w:szCs w:val="18"/>
                <w:lang w:bidi="ar"/>
              </w:rPr>
              <w:t>实际完成指标值</w:t>
            </w:r>
            <w:r>
              <w:rPr>
                <w:rFonts w:ascii="宋体" w:hAnsi="宋体" w:cs="宋体"/>
                <w:color w:val="auto"/>
                <w:kern w:val="0"/>
                <w:sz w:val="18"/>
                <w:szCs w:val="18"/>
                <w:lang w:bidi="ar"/>
              </w:rPr>
              <w:t>(</w:t>
            </w:r>
            <w:r>
              <w:rPr>
                <w:rFonts w:hint="eastAsia" w:ascii="宋体" w:hAnsi="宋体" w:cs="宋体"/>
                <w:color w:val="auto"/>
                <w:kern w:val="0"/>
                <w:sz w:val="18"/>
                <w:szCs w:val="18"/>
                <w:lang w:bidi="ar"/>
              </w:rPr>
              <w:t>包含数字及文字描述</w:t>
            </w:r>
            <w:r>
              <w:rPr>
                <w:rFonts w:ascii="宋体" w:hAnsi="宋体" w:cs="宋体"/>
                <w:color w:val="auto"/>
                <w:kern w:val="0"/>
                <w:sz w:val="18"/>
                <w:szCs w:val="18"/>
                <w:lang w:bidi="ar"/>
              </w:rPr>
              <w:t>)</w:t>
            </w:r>
          </w:p>
        </w:tc>
      </w:tr>
      <w:tr>
        <w:tblPrEx>
          <w:tblCellMar>
            <w:top w:w="0" w:type="dxa"/>
            <w:left w:w="0" w:type="dxa"/>
            <w:bottom w:w="0" w:type="dxa"/>
            <w:right w:w="0" w:type="dxa"/>
          </w:tblCellMar>
        </w:tblPrEx>
        <w:trPr>
          <w:wBefore w:w="0" w:type="dxa"/>
          <w:wAfter w:w="0" w:type="dxa"/>
          <w:trHeight w:val="610" w:hRule="atLeast"/>
          <w:jc w:val="center"/>
        </w:trPr>
        <w:tc>
          <w:tcPr>
            <w:tcW w:w="85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18"/>
                <w:szCs w:val="18"/>
              </w:rPr>
            </w:pPr>
          </w:p>
        </w:tc>
        <w:tc>
          <w:tcPr>
            <w:tcW w:w="902"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宋体" w:cs="宋体"/>
                <w:color w:val="auto"/>
                <w:sz w:val="18"/>
                <w:szCs w:val="18"/>
              </w:rPr>
            </w:pPr>
            <w:r>
              <w:rPr>
                <w:rFonts w:hint="eastAsia" w:ascii="宋体" w:hAnsi="宋体" w:cs="宋体"/>
                <w:color w:val="auto"/>
                <w:kern w:val="0"/>
                <w:sz w:val="18"/>
                <w:szCs w:val="18"/>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center"/>
              <w:rPr>
                <w:rFonts w:ascii="宋体" w:hAnsi="宋体" w:cs="宋体"/>
                <w:color w:val="auto"/>
                <w:sz w:val="18"/>
                <w:szCs w:val="18"/>
              </w:rPr>
            </w:pPr>
            <w:r>
              <w:rPr>
                <w:rFonts w:hint="eastAsia"/>
                <w:color w:val="auto"/>
                <w:sz w:val="18"/>
                <w:szCs w:val="18"/>
              </w:rPr>
              <w:t>数量指标</w:t>
            </w:r>
          </w:p>
        </w:tc>
        <w:tc>
          <w:tcPr>
            <w:tcW w:w="321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rPr>
                <w:rFonts w:ascii="宋体" w:hAnsi="宋体" w:cs="宋体"/>
                <w:color w:val="auto"/>
                <w:sz w:val="18"/>
                <w:szCs w:val="18"/>
              </w:rPr>
            </w:pPr>
            <w:r>
              <w:rPr>
                <w:rFonts w:hint="eastAsia"/>
                <w:color w:val="auto"/>
                <w:sz w:val="18"/>
                <w:szCs w:val="18"/>
              </w:rPr>
              <w:t xml:space="preserve"> 指标1：目标1、8、2次会议，目标2、3、4、5、6、7、9、5次以上会议</w:t>
            </w:r>
          </w:p>
        </w:tc>
        <w:tc>
          <w:tcPr>
            <w:tcW w:w="15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center"/>
              <w:rPr>
                <w:rFonts w:ascii="宋体" w:hAnsi="宋体" w:cs="宋体"/>
                <w:color w:val="auto"/>
                <w:sz w:val="18"/>
                <w:szCs w:val="18"/>
              </w:rPr>
            </w:pPr>
            <w:r>
              <w:rPr>
                <w:rFonts w:hint="eastAsia"/>
                <w:color w:val="auto"/>
                <w:sz w:val="18"/>
                <w:szCs w:val="18"/>
              </w:rPr>
              <w:t>100%完成</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textAlignment w:val="center"/>
              <w:rPr>
                <w:rFonts w:hint="eastAsia" w:ascii="宋体" w:cs="宋体"/>
                <w:color w:val="auto"/>
                <w:sz w:val="18"/>
                <w:szCs w:val="18"/>
              </w:rPr>
            </w:pPr>
            <w:r>
              <w:rPr>
                <w:rFonts w:hint="eastAsia" w:ascii="宋体" w:cs="宋体"/>
                <w:color w:val="auto"/>
                <w:sz w:val="18"/>
                <w:szCs w:val="18"/>
              </w:rPr>
              <w:t>按时按质完成</w:t>
            </w:r>
          </w:p>
        </w:tc>
      </w:tr>
      <w:tr>
        <w:tblPrEx>
          <w:tblCellMar>
            <w:top w:w="0" w:type="dxa"/>
            <w:left w:w="0" w:type="dxa"/>
            <w:bottom w:w="0" w:type="dxa"/>
            <w:right w:w="0" w:type="dxa"/>
          </w:tblCellMar>
        </w:tblPrEx>
        <w:trPr>
          <w:wBefore w:w="0" w:type="dxa"/>
          <w:wAfter w:w="0" w:type="dxa"/>
          <w:trHeight w:val="590" w:hRule="atLeast"/>
          <w:jc w:val="center"/>
        </w:trPr>
        <w:tc>
          <w:tcPr>
            <w:tcW w:w="85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18"/>
                <w:szCs w:val="18"/>
              </w:rPr>
            </w:pPr>
          </w:p>
        </w:tc>
        <w:tc>
          <w:tcPr>
            <w:tcW w:w="902"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宋体" w:cs="宋体"/>
                <w:color w:val="auto"/>
                <w:sz w:val="18"/>
                <w:szCs w:val="18"/>
              </w:rPr>
            </w:pP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center"/>
              <w:rPr>
                <w:rFonts w:ascii="宋体" w:hAnsi="宋体" w:cs="宋体"/>
                <w:color w:val="auto"/>
                <w:sz w:val="18"/>
                <w:szCs w:val="18"/>
              </w:rPr>
            </w:pPr>
            <w:r>
              <w:rPr>
                <w:rFonts w:hint="eastAsia"/>
                <w:color w:val="auto"/>
                <w:sz w:val="18"/>
                <w:szCs w:val="18"/>
              </w:rPr>
              <w:t>质量指标</w:t>
            </w:r>
          </w:p>
        </w:tc>
        <w:tc>
          <w:tcPr>
            <w:tcW w:w="321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rPr>
                <w:rFonts w:ascii="宋体" w:hAnsi="宋体" w:cs="宋体"/>
                <w:color w:val="auto"/>
                <w:sz w:val="18"/>
                <w:szCs w:val="18"/>
              </w:rPr>
            </w:pPr>
            <w:r>
              <w:rPr>
                <w:rFonts w:hint="eastAsia"/>
                <w:color w:val="auto"/>
                <w:sz w:val="18"/>
                <w:szCs w:val="18"/>
              </w:rPr>
              <w:t xml:space="preserve"> 指标1：目标1、2、3、4、8、9积极组织学术交流发言</w:t>
            </w:r>
          </w:p>
        </w:tc>
        <w:tc>
          <w:tcPr>
            <w:tcW w:w="15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center"/>
              <w:rPr>
                <w:rFonts w:ascii="宋体" w:hAnsi="宋体" w:cs="宋体"/>
                <w:color w:val="auto"/>
                <w:sz w:val="18"/>
                <w:szCs w:val="18"/>
              </w:rPr>
            </w:pPr>
            <w:r>
              <w:rPr>
                <w:rFonts w:hint="eastAsia"/>
                <w:color w:val="auto"/>
                <w:sz w:val="18"/>
                <w:szCs w:val="18"/>
              </w:rPr>
              <w:t>100%完成</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rPr>
                <w:rFonts w:ascii="宋体" w:cs="宋体"/>
                <w:color w:val="auto"/>
                <w:sz w:val="18"/>
                <w:szCs w:val="18"/>
              </w:rPr>
            </w:pPr>
            <w:r>
              <w:rPr>
                <w:rFonts w:hint="eastAsia" w:ascii="宋体" w:cs="宋体"/>
                <w:color w:val="auto"/>
                <w:sz w:val="18"/>
                <w:szCs w:val="18"/>
              </w:rPr>
              <w:t>按时按质完成</w:t>
            </w:r>
          </w:p>
        </w:tc>
      </w:tr>
      <w:tr>
        <w:tblPrEx>
          <w:tblCellMar>
            <w:top w:w="0" w:type="dxa"/>
            <w:left w:w="0" w:type="dxa"/>
            <w:bottom w:w="0" w:type="dxa"/>
            <w:right w:w="0" w:type="dxa"/>
          </w:tblCellMar>
        </w:tblPrEx>
        <w:trPr>
          <w:wBefore w:w="0" w:type="dxa"/>
          <w:wAfter w:w="0" w:type="dxa"/>
          <w:trHeight w:val="428" w:hRule="atLeast"/>
          <w:jc w:val="center"/>
        </w:trPr>
        <w:tc>
          <w:tcPr>
            <w:tcW w:w="85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18"/>
                <w:szCs w:val="18"/>
              </w:rPr>
            </w:pPr>
          </w:p>
        </w:tc>
        <w:tc>
          <w:tcPr>
            <w:tcW w:w="902"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宋体" w:cs="宋体"/>
                <w:color w:val="auto"/>
                <w:sz w:val="18"/>
                <w:szCs w:val="18"/>
              </w:rPr>
            </w:pPr>
          </w:p>
        </w:tc>
        <w:tc>
          <w:tcPr>
            <w:tcW w:w="102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spacing w:line="200" w:lineRule="exact"/>
              <w:jc w:val="center"/>
              <w:rPr>
                <w:rFonts w:ascii="宋体" w:hAnsi="宋体" w:cs="宋体"/>
                <w:color w:val="auto"/>
                <w:sz w:val="18"/>
                <w:szCs w:val="18"/>
              </w:rPr>
            </w:pPr>
            <w:r>
              <w:rPr>
                <w:rFonts w:hint="eastAsia"/>
                <w:color w:val="auto"/>
                <w:sz w:val="18"/>
                <w:szCs w:val="18"/>
              </w:rPr>
              <w:t>时效指标</w:t>
            </w:r>
          </w:p>
        </w:tc>
        <w:tc>
          <w:tcPr>
            <w:tcW w:w="321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rPr>
                <w:rFonts w:ascii="宋体" w:hAnsi="宋体" w:cs="宋体"/>
                <w:color w:val="auto"/>
                <w:sz w:val="18"/>
                <w:szCs w:val="18"/>
              </w:rPr>
            </w:pPr>
            <w:r>
              <w:rPr>
                <w:rFonts w:hint="eastAsia"/>
                <w:color w:val="auto"/>
                <w:sz w:val="18"/>
                <w:szCs w:val="18"/>
              </w:rPr>
              <w:t xml:space="preserve"> 指标1：目标1、4、5、6、7、8、9、完成2019年1一12月，</w:t>
            </w:r>
          </w:p>
        </w:tc>
        <w:tc>
          <w:tcPr>
            <w:tcW w:w="15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center"/>
              <w:rPr>
                <w:rFonts w:ascii="宋体" w:hAnsi="宋体" w:cs="宋体"/>
                <w:color w:val="auto"/>
                <w:sz w:val="18"/>
                <w:szCs w:val="18"/>
              </w:rPr>
            </w:pPr>
            <w:r>
              <w:rPr>
                <w:rFonts w:hint="eastAsia"/>
                <w:color w:val="auto"/>
                <w:sz w:val="18"/>
                <w:szCs w:val="18"/>
              </w:rPr>
              <w:t>规定时间内100%完成</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rPr>
                <w:rFonts w:hint="eastAsia" w:ascii="宋体" w:cs="宋体"/>
                <w:color w:val="auto"/>
                <w:sz w:val="18"/>
                <w:szCs w:val="18"/>
              </w:rPr>
            </w:pPr>
            <w:r>
              <w:rPr>
                <w:rFonts w:hint="eastAsia" w:ascii="宋体" w:cs="宋体"/>
                <w:color w:val="auto"/>
                <w:sz w:val="18"/>
                <w:szCs w:val="18"/>
              </w:rPr>
              <w:t>按时按质完成</w:t>
            </w:r>
          </w:p>
        </w:tc>
      </w:tr>
      <w:tr>
        <w:tblPrEx>
          <w:tblCellMar>
            <w:top w:w="0" w:type="dxa"/>
            <w:left w:w="0" w:type="dxa"/>
            <w:bottom w:w="0" w:type="dxa"/>
            <w:right w:w="0" w:type="dxa"/>
          </w:tblCellMar>
        </w:tblPrEx>
        <w:trPr>
          <w:wBefore w:w="0" w:type="dxa"/>
          <w:wAfter w:w="0" w:type="dxa"/>
          <w:trHeight w:val="462" w:hRule="atLeast"/>
          <w:jc w:val="center"/>
        </w:trPr>
        <w:tc>
          <w:tcPr>
            <w:tcW w:w="85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18"/>
                <w:szCs w:val="18"/>
              </w:rPr>
            </w:pPr>
          </w:p>
        </w:tc>
        <w:tc>
          <w:tcPr>
            <w:tcW w:w="902"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宋体" w:cs="宋体"/>
                <w:color w:val="auto"/>
                <w:sz w:val="18"/>
                <w:szCs w:val="18"/>
              </w:rPr>
            </w:pPr>
          </w:p>
        </w:tc>
        <w:tc>
          <w:tcPr>
            <w:tcW w:w="102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rPr>
                <w:rFonts w:ascii="宋体" w:hAnsi="宋体" w:cs="宋体"/>
                <w:color w:val="auto"/>
                <w:sz w:val="18"/>
                <w:szCs w:val="18"/>
              </w:rPr>
            </w:pPr>
          </w:p>
        </w:tc>
        <w:tc>
          <w:tcPr>
            <w:tcW w:w="321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rPr>
                <w:rFonts w:ascii="宋体" w:hAnsi="宋体" w:cs="宋体"/>
                <w:color w:val="auto"/>
                <w:sz w:val="18"/>
                <w:szCs w:val="18"/>
              </w:rPr>
            </w:pPr>
            <w:r>
              <w:rPr>
                <w:rFonts w:hint="eastAsia"/>
                <w:color w:val="auto"/>
                <w:sz w:val="18"/>
                <w:szCs w:val="18"/>
              </w:rPr>
              <w:t xml:space="preserve"> 指标2：目标2、3完成2020年6一9月</w:t>
            </w:r>
          </w:p>
        </w:tc>
        <w:tc>
          <w:tcPr>
            <w:tcW w:w="15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center"/>
              <w:rPr>
                <w:rFonts w:ascii="宋体" w:hAnsi="宋体" w:cs="宋体"/>
                <w:color w:val="auto"/>
                <w:sz w:val="18"/>
                <w:szCs w:val="18"/>
              </w:rPr>
            </w:pPr>
            <w:r>
              <w:rPr>
                <w:rFonts w:hint="eastAsia"/>
                <w:color w:val="auto"/>
                <w:sz w:val="18"/>
                <w:szCs w:val="18"/>
              </w:rPr>
              <w:t>规定时间内100%完成</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rPr>
                <w:rFonts w:hint="eastAsia" w:ascii="宋体" w:cs="宋体"/>
                <w:color w:val="auto"/>
                <w:sz w:val="18"/>
                <w:szCs w:val="18"/>
              </w:rPr>
            </w:pPr>
            <w:r>
              <w:rPr>
                <w:rFonts w:hint="eastAsia" w:ascii="宋体" w:cs="宋体"/>
                <w:color w:val="auto"/>
                <w:sz w:val="18"/>
                <w:szCs w:val="18"/>
              </w:rPr>
              <w:t>按时按质完成</w:t>
            </w:r>
          </w:p>
        </w:tc>
      </w:tr>
      <w:tr>
        <w:tblPrEx>
          <w:tblCellMar>
            <w:top w:w="0" w:type="dxa"/>
            <w:left w:w="0" w:type="dxa"/>
            <w:bottom w:w="0" w:type="dxa"/>
            <w:right w:w="0" w:type="dxa"/>
          </w:tblCellMar>
        </w:tblPrEx>
        <w:trPr>
          <w:wBefore w:w="0" w:type="dxa"/>
          <w:wAfter w:w="0" w:type="dxa"/>
          <w:trHeight w:val="582" w:hRule="atLeast"/>
          <w:jc w:val="center"/>
        </w:trPr>
        <w:tc>
          <w:tcPr>
            <w:tcW w:w="85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18"/>
                <w:szCs w:val="18"/>
              </w:rPr>
            </w:pPr>
          </w:p>
        </w:tc>
        <w:tc>
          <w:tcPr>
            <w:tcW w:w="902" w:type="dxa"/>
            <w:vMerge w:val="restart"/>
            <w:tcBorders>
              <w:left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宋体" w:cs="宋体"/>
                <w:color w:val="auto"/>
                <w:sz w:val="18"/>
                <w:szCs w:val="18"/>
              </w:rPr>
            </w:pPr>
            <w:r>
              <w:rPr>
                <w:rFonts w:hint="eastAsia"/>
                <w:color w:val="auto"/>
                <w:sz w:val="18"/>
                <w:szCs w:val="18"/>
              </w:rPr>
              <w:t>效益</w:t>
            </w:r>
            <w:r>
              <w:rPr>
                <w:rFonts w:hint="eastAsia" w:ascii="宋体" w:hAnsi="宋体" w:cs="宋体"/>
                <w:color w:val="auto"/>
                <w:kern w:val="0"/>
                <w:sz w:val="18"/>
                <w:szCs w:val="18"/>
                <w:lang w:bidi="ar"/>
              </w:rPr>
              <w:t>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center"/>
              <w:rPr>
                <w:rFonts w:ascii="宋体" w:hAnsi="宋体" w:cs="宋体"/>
                <w:color w:val="auto"/>
                <w:sz w:val="18"/>
                <w:szCs w:val="18"/>
              </w:rPr>
            </w:pPr>
            <w:r>
              <w:rPr>
                <w:rFonts w:hint="eastAsia"/>
                <w:color w:val="auto"/>
                <w:sz w:val="18"/>
                <w:szCs w:val="18"/>
              </w:rPr>
              <w:t>经济效益</w:t>
            </w:r>
            <w:r>
              <w:rPr>
                <w:rFonts w:hint="eastAsia"/>
                <w:color w:val="auto"/>
                <w:sz w:val="18"/>
                <w:szCs w:val="18"/>
              </w:rPr>
              <w:br w:type="textWrapping"/>
            </w:r>
            <w:r>
              <w:rPr>
                <w:rFonts w:hint="eastAsia"/>
                <w:color w:val="auto"/>
                <w:sz w:val="18"/>
                <w:szCs w:val="18"/>
              </w:rPr>
              <w:t>指标</w:t>
            </w:r>
          </w:p>
        </w:tc>
        <w:tc>
          <w:tcPr>
            <w:tcW w:w="321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rPr>
                <w:rFonts w:ascii="宋体" w:hAnsi="宋体" w:cs="宋体"/>
                <w:color w:val="auto"/>
                <w:sz w:val="18"/>
                <w:szCs w:val="18"/>
              </w:rPr>
            </w:pPr>
            <w:r>
              <w:rPr>
                <w:rFonts w:hint="eastAsia"/>
                <w:color w:val="auto"/>
                <w:sz w:val="18"/>
                <w:szCs w:val="18"/>
              </w:rPr>
              <w:t xml:space="preserve"> 指标1：优化资源配置，提高财政资金使用效益。</w:t>
            </w:r>
          </w:p>
        </w:tc>
        <w:tc>
          <w:tcPr>
            <w:tcW w:w="15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center"/>
              <w:rPr>
                <w:rFonts w:ascii="宋体" w:hAnsi="宋体" w:cs="宋体"/>
                <w:color w:val="auto"/>
                <w:sz w:val="18"/>
                <w:szCs w:val="18"/>
              </w:rPr>
            </w:pPr>
            <w:r>
              <w:rPr>
                <w:rFonts w:hint="eastAsia"/>
                <w:color w:val="auto"/>
                <w:sz w:val="18"/>
                <w:szCs w:val="18"/>
              </w:rPr>
              <w:t>各项支出不超预算安排</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rPr>
                <w:rFonts w:hint="eastAsia" w:ascii="宋体" w:cs="宋体"/>
                <w:color w:val="auto"/>
                <w:sz w:val="18"/>
                <w:szCs w:val="18"/>
              </w:rPr>
            </w:pPr>
            <w:r>
              <w:rPr>
                <w:rFonts w:hint="eastAsia" w:ascii="宋体" w:cs="宋体"/>
                <w:color w:val="auto"/>
                <w:sz w:val="18"/>
                <w:szCs w:val="18"/>
              </w:rPr>
              <w:t>按时按质完成</w:t>
            </w:r>
          </w:p>
        </w:tc>
      </w:tr>
      <w:tr>
        <w:tblPrEx>
          <w:tblCellMar>
            <w:top w:w="0" w:type="dxa"/>
            <w:left w:w="0" w:type="dxa"/>
            <w:bottom w:w="0" w:type="dxa"/>
            <w:right w:w="0" w:type="dxa"/>
          </w:tblCellMar>
        </w:tblPrEx>
        <w:trPr>
          <w:wBefore w:w="0" w:type="dxa"/>
          <w:wAfter w:w="0" w:type="dxa"/>
          <w:trHeight w:val="448" w:hRule="atLeast"/>
          <w:jc w:val="center"/>
        </w:trPr>
        <w:tc>
          <w:tcPr>
            <w:tcW w:w="85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18"/>
                <w:szCs w:val="18"/>
              </w:rPr>
            </w:pPr>
          </w:p>
        </w:tc>
        <w:tc>
          <w:tcPr>
            <w:tcW w:w="902"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ascii="宋体" w:cs="宋体"/>
                <w:color w:val="auto"/>
                <w:sz w:val="18"/>
                <w:szCs w:val="18"/>
              </w:rPr>
            </w:pP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center"/>
              <w:rPr>
                <w:rFonts w:ascii="宋体" w:hAnsi="宋体" w:cs="宋体"/>
                <w:color w:val="auto"/>
                <w:sz w:val="18"/>
                <w:szCs w:val="18"/>
              </w:rPr>
            </w:pPr>
            <w:r>
              <w:rPr>
                <w:rFonts w:hint="eastAsia"/>
                <w:color w:val="auto"/>
                <w:sz w:val="18"/>
                <w:szCs w:val="18"/>
              </w:rPr>
              <w:t>社会效益</w:t>
            </w:r>
            <w:r>
              <w:rPr>
                <w:rFonts w:hint="eastAsia"/>
                <w:color w:val="auto"/>
                <w:sz w:val="18"/>
                <w:szCs w:val="18"/>
              </w:rPr>
              <w:br w:type="textWrapping"/>
            </w:r>
            <w:r>
              <w:rPr>
                <w:rFonts w:hint="eastAsia"/>
                <w:color w:val="auto"/>
                <w:sz w:val="18"/>
                <w:szCs w:val="18"/>
              </w:rPr>
              <w:t>指标</w:t>
            </w:r>
          </w:p>
        </w:tc>
        <w:tc>
          <w:tcPr>
            <w:tcW w:w="321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rPr>
                <w:rFonts w:ascii="宋体" w:hAnsi="宋体" w:cs="宋体"/>
                <w:color w:val="auto"/>
                <w:sz w:val="18"/>
                <w:szCs w:val="18"/>
              </w:rPr>
            </w:pPr>
            <w:r>
              <w:rPr>
                <w:rFonts w:hint="eastAsia"/>
                <w:color w:val="auto"/>
                <w:sz w:val="18"/>
                <w:szCs w:val="18"/>
              </w:rPr>
              <w:t xml:space="preserve"> 指标1：提升市职教社工作执行力和公信力。</w:t>
            </w:r>
          </w:p>
        </w:tc>
        <w:tc>
          <w:tcPr>
            <w:tcW w:w="15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center"/>
              <w:rPr>
                <w:rFonts w:ascii="宋体" w:hAnsi="宋体" w:cs="宋体"/>
                <w:color w:val="auto"/>
                <w:sz w:val="18"/>
                <w:szCs w:val="18"/>
              </w:rPr>
            </w:pPr>
            <w:r>
              <w:rPr>
                <w:rFonts w:hint="eastAsia"/>
                <w:color w:val="auto"/>
                <w:sz w:val="18"/>
                <w:szCs w:val="18"/>
              </w:rPr>
              <w:t>100%完成</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rPr>
                <w:rFonts w:hint="eastAsia" w:ascii="宋体" w:cs="宋体"/>
                <w:color w:val="auto"/>
                <w:sz w:val="18"/>
                <w:szCs w:val="18"/>
              </w:rPr>
            </w:pPr>
            <w:r>
              <w:rPr>
                <w:rFonts w:hint="eastAsia" w:ascii="宋体" w:cs="宋体"/>
                <w:color w:val="auto"/>
                <w:sz w:val="18"/>
                <w:szCs w:val="18"/>
              </w:rPr>
              <w:t>按时按质完成</w:t>
            </w:r>
          </w:p>
        </w:tc>
      </w:tr>
      <w:tr>
        <w:tblPrEx>
          <w:tblCellMar>
            <w:top w:w="0" w:type="dxa"/>
            <w:left w:w="0" w:type="dxa"/>
            <w:bottom w:w="0" w:type="dxa"/>
            <w:right w:w="0" w:type="dxa"/>
          </w:tblCellMar>
        </w:tblPrEx>
        <w:trPr>
          <w:wBefore w:w="0" w:type="dxa"/>
          <w:wAfter w:w="0" w:type="dxa"/>
          <w:trHeight w:val="596" w:hRule="atLeast"/>
          <w:jc w:val="center"/>
        </w:trPr>
        <w:tc>
          <w:tcPr>
            <w:tcW w:w="85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cs="宋体"/>
                <w:color w:val="auto"/>
                <w:sz w:val="18"/>
                <w:szCs w:val="18"/>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00" w:lineRule="exact"/>
              <w:jc w:val="center"/>
              <w:textAlignment w:val="center"/>
              <w:rPr>
                <w:rFonts w:hint="eastAsia" w:ascii="宋体" w:hAnsi="宋体" w:cs="宋体"/>
                <w:color w:val="auto"/>
                <w:kern w:val="0"/>
                <w:sz w:val="18"/>
                <w:szCs w:val="18"/>
                <w:lang w:bidi="ar"/>
              </w:rPr>
            </w:pPr>
            <w:r>
              <w:rPr>
                <w:rFonts w:hint="eastAsia" w:ascii="宋体" w:hAnsi="宋体" w:cs="宋体"/>
                <w:color w:val="auto"/>
                <w:kern w:val="0"/>
                <w:sz w:val="18"/>
                <w:szCs w:val="18"/>
                <w:lang w:bidi="ar"/>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center"/>
              <w:rPr>
                <w:rFonts w:ascii="宋体" w:hAnsi="宋体" w:cs="宋体"/>
                <w:color w:val="auto"/>
                <w:sz w:val="18"/>
                <w:szCs w:val="18"/>
              </w:rPr>
            </w:pPr>
            <w:r>
              <w:rPr>
                <w:rFonts w:hint="eastAsia"/>
                <w:color w:val="auto"/>
                <w:sz w:val="18"/>
                <w:szCs w:val="18"/>
              </w:rPr>
              <w:t>满意度指标</w:t>
            </w:r>
          </w:p>
        </w:tc>
        <w:tc>
          <w:tcPr>
            <w:tcW w:w="321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rPr>
                <w:rFonts w:ascii="宋体" w:hAnsi="宋体" w:cs="宋体"/>
                <w:color w:val="auto"/>
                <w:sz w:val="18"/>
                <w:szCs w:val="18"/>
              </w:rPr>
            </w:pPr>
            <w:r>
              <w:rPr>
                <w:rFonts w:hint="eastAsia"/>
                <w:color w:val="auto"/>
                <w:sz w:val="18"/>
                <w:szCs w:val="18"/>
              </w:rPr>
              <w:t xml:space="preserve"> 指标1：目标1、2、3、4、5、6、7、8、9，90%以上</w:t>
            </w:r>
          </w:p>
        </w:tc>
        <w:tc>
          <w:tcPr>
            <w:tcW w:w="15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jc w:val="center"/>
              <w:rPr>
                <w:rFonts w:ascii="宋体" w:hAnsi="宋体" w:cs="宋体"/>
                <w:color w:val="auto"/>
                <w:sz w:val="18"/>
                <w:szCs w:val="18"/>
              </w:rPr>
            </w:pPr>
            <w:r>
              <w:rPr>
                <w:rFonts w:hint="eastAsia"/>
                <w:color w:val="auto"/>
                <w:sz w:val="18"/>
                <w:szCs w:val="18"/>
              </w:rPr>
              <w:t>100%完成</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00" w:lineRule="exact"/>
              <w:rPr>
                <w:rFonts w:ascii="宋体" w:cs="宋体"/>
                <w:color w:val="auto"/>
                <w:sz w:val="18"/>
                <w:szCs w:val="18"/>
              </w:rPr>
            </w:pPr>
            <w:r>
              <w:rPr>
                <w:rFonts w:hint="eastAsia" w:ascii="宋体" w:cs="宋体"/>
                <w:color w:val="auto"/>
                <w:sz w:val="18"/>
                <w:szCs w:val="18"/>
              </w:rPr>
              <w:t>服务对象满意</w:t>
            </w:r>
          </w:p>
        </w:tc>
      </w:tr>
    </w:tbl>
    <w:p>
      <w:pPr>
        <w:spacing w:line="560" w:lineRule="exact"/>
        <w:ind w:left="630"/>
        <w:rPr>
          <w:rFonts w:ascii="仿宋_GB2312" w:hAnsi="仿宋_GB2312" w:eastAsia="仿宋_GB2312" w:cs="仿宋_GB2312"/>
          <w:color w:val="auto"/>
          <w:sz w:val="32"/>
          <w:szCs w:val="32"/>
        </w:rPr>
      </w:pPr>
      <w:r>
        <w:rPr>
          <w:rFonts w:ascii="楷体_GB2312" w:hAnsi="楷体_GB2312" w:eastAsia="楷体_GB2312" w:cs="楷体_GB2312"/>
          <w:color w:val="auto"/>
          <w:sz w:val="32"/>
          <w:szCs w:val="32"/>
        </w:rPr>
        <w:br w:type="page"/>
      </w:r>
      <w:r>
        <w:rPr>
          <w:rFonts w:ascii="楷体_GB2312" w:hAnsi="楷体_GB2312" w:eastAsia="楷体_GB2312" w:cs="楷体_GB2312"/>
          <w:color w:val="auto"/>
          <w:sz w:val="32"/>
          <w:szCs w:val="32"/>
        </w:rPr>
        <w:t>2.</w:t>
      </w:r>
      <w:r>
        <w:rPr>
          <w:rFonts w:hint="eastAsia" w:ascii="楷体_GB2312" w:hAnsi="楷体_GB2312" w:eastAsia="楷体_GB2312" w:cs="楷体_GB2312"/>
          <w:color w:val="auto"/>
          <w:sz w:val="32"/>
          <w:szCs w:val="32"/>
        </w:rPr>
        <w:t>部门绩效评价结果。</w:t>
      </w:r>
    </w:p>
    <w:p>
      <w:pPr>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本部门按要求对</w:t>
      </w:r>
      <w:r>
        <w:rPr>
          <w:rFonts w:ascii="仿宋" w:hAnsi="仿宋" w:eastAsia="仿宋"/>
          <w:color w:val="auto"/>
          <w:sz w:val="32"/>
          <w:szCs w:val="32"/>
        </w:rPr>
        <w:t>2020</w:t>
      </w:r>
      <w:r>
        <w:rPr>
          <w:rFonts w:hint="eastAsia" w:ascii="仿宋" w:hAnsi="仿宋" w:eastAsia="仿宋"/>
          <w:color w:val="auto"/>
          <w:sz w:val="32"/>
          <w:szCs w:val="32"/>
        </w:rPr>
        <w:t>年部门整体支出绩效评价情况开展自评，《中共广元市委统战部</w:t>
      </w:r>
      <w:r>
        <w:rPr>
          <w:rFonts w:ascii="仿宋" w:hAnsi="仿宋" w:eastAsia="仿宋"/>
          <w:color w:val="auto"/>
          <w:sz w:val="32"/>
          <w:szCs w:val="32"/>
        </w:rPr>
        <w:t>2020</w:t>
      </w:r>
      <w:r>
        <w:rPr>
          <w:rFonts w:hint="eastAsia" w:ascii="仿宋" w:hAnsi="仿宋" w:eastAsia="仿宋"/>
          <w:color w:val="auto"/>
          <w:sz w:val="32"/>
          <w:szCs w:val="32"/>
        </w:rPr>
        <w:t>年部门整体支出绩效评价报告》见附件（附件</w:t>
      </w:r>
      <w:r>
        <w:rPr>
          <w:rFonts w:ascii="仿宋" w:hAnsi="仿宋" w:eastAsia="仿宋"/>
          <w:color w:val="auto"/>
          <w:sz w:val="32"/>
          <w:szCs w:val="32"/>
        </w:rPr>
        <w:t>1</w:t>
      </w:r>
      <w:r>
        <w:rPr>
          <w:rFonts w:hint="eastAsia" w:ascii="仿宋" w:hAnsi="仿宋" w:eastAsia="仿宋"/>
          <w:color w:val="auto"/>
          <w:sz w:val="32"/>
          <w:szCs w:val="32"/>
        </w:rPr>
        <w:t>）。</w:t>
      </w:r>
      <w:bookmarkStart w:id="55" w:name="_Toc15396613"/>
      <w:bookmarkStart w:id="56" w:name="_Toc15377225"/>
    </w:p>
    <w:p>
      <w:pPr>
        <w:spacing w:line="56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本部门自行组织对新的社会阶层人士联谊会工作经费项目、党外知识分子联谊会工作经费项目、中华职业教育社工作经费项目开展了绩效评价，《新的社会阶层人士联谊会工作经费项目</w:t>
      </w:r>
      <w:r>
        <w:rPr>
          <w:rFonts w:ascii="仿宋" w:hAnsi="仿宋" w:eastAsia="仿宋"/>
          <w:color w:val="auto"/>
          <w:sz w:val="32"/>
          <w:szCs w:val="32"/>
        </w:rPr>
        <w:t>2020</w:t>
      </w:r>
      <w:r>
        <w:rPr>
          <w:rFonts w:hint="eastAsia" w:ascii="仿宋" w:hAnsi="仿宋" w:eastAsia="仿宋"/>
          <w:color w:val="auto"/>
          <w:sz w:val="32"/>
          <w:szCs w:val="32"/>
        </w:rPr>
        <w:t>年绩效评价报告》《党外知识分子联谊会工作经费项目</w:t>
      </w:r>
      <w:r>
        <w:rPr>
          <w:rFonts w:ascii="仿宋" w:hAnsi="仿宋" w:eastAsia="仿宋"/>
          <w:color w:val="auto"/>
          <w:sz w:val="32"/>
          <w:szCs w:val="32"/>
        </w:rPr>
        <w:t>2020</w:t>
      </w:r>
      <w:r>
        <w:rPr>
          <w:rFonts w:hint="eastAsia" w:ascii="仿宋" w:hAnsi="仿宋" w:eastAsia="仿宋"/>
          <w:color w:val="auto"/>
          <w:sz w:val="32"/>
          <w:szCs w:val="32"/>
        </w:rPr>
        <w:t>年绩效评价报告》《中华职业教育社工作经费项目</w:t>
      </w:r>
      <w:r>
        <w:rPr>
          <w:rFonts w:ascii="仿宋" w:hAnsi="仿宋" w:eastAsia="仿宋"/>
          <w:color w:val="auto"/>
          <w:sz w:val="32"/>
          <w:szCs w:val="32"/>
        </w:rPr>
        <w:t>2020</w:t>
      </w:r>
      <w:r>
        <w:rPr>
          <w:rFonts w:hint="eastAsia" w:ascii="仿宋" w:hAnsi="仿宋" w:eastAsia="仿宋"/>
          <w:color w:val="auto"/>
          <w:sz w:val="32"/>
          <w:szCs w:val="32"/>
        </w:rPr>
        <w:t>年绩效评价报告》见附件（附件</w:t>
      </w:r>
      <w:r>
        <w:rPr>
          <w:rFonts w:ascii="仿宋" w:hAnsi="仿宋" w:eastAsia="仿宋"/>
          <w:color w:val="auto"/>
          <w:sz w:val="32"/>
          <w:szCs w:val="32"/>
        </w:rPr>
        <w:t>2</w:t>
      </w:r>
      <w:r>
        <w:rPr>
          <w:rFonts w:hint="eastAsia" w:ascii="仿宋" w:hAnsi="仿宋" w:eastAsia="仿宋"/>
          <w:color w:val="auto"/>
          <w:sz w:val="32"/>
          <w:szCs w:val="32"/>
        </w:rPr>
        <w:t>）。</w:t>
      </w:r>
    </w:p>
    <w:p>
      <w:pPr>
        <w:spacing w:line="560" w:lineRule="exact"/>
        <w:jc w:val="center"/>
        <w:rPr>
          <w:rStyle w:val="21"/>
          <w:rFonts w:hint="eastAsia" w:ascii="黑体" w:hAnsi="黑体" w:eastAsia="黑体"/>
          <w:color w:val="auto"/>
        </w:rPr>
      </w:pPr>
    </w:p>
    <w:p>
      <w:pPr>
        <w:spacing w:line="560" w:lineRule="exact"/>
        <w:jc w:val="center"/>
        <w:rPr>
          <w:rStyle w:val="21"/>
          <w:rFonts w:ascii="黑体" w:hAnsi="黑体" w:eastAsia="黑体"/>
          <w:b w:val="0"/>
          <w:color w:val="auto"/>
        </w:rPr>
      </w:pPr>
      <w:r>
        <w:rPr>
          <w:rStyle w:val="21"/>
          <w:rFonts w:ascii="黑体" w:hAnsi="黑体" w:eastAsia="黑体"/>
          <w:color w:val="auto"/>
        </w:rPr>
        <w:br w:type="page"/>
      </w:r>
      <w:r>
        <w:rPr>
          <w:rStyle w:val="21"/>
          <w:rFonts w:hint="eastAsia" w:ascii="黑体" w:hAnsi="黑体" w:eastAsia="黑体"/>
          <w:color w:val="auto"/>
        </w:rPr>
        <w:t xml:space="preserve">第三部分    </w:t>
      </w:r>
      <w:r>
        <w:rPr>
          <w:rStyle w:val="21"/>
          <w:rFonts w:hint="eastAsia" w:ascii="黑体" w:hAnsi="黑体"/>
          <w:color w:val="auto"/>
        </w:rPr>
        <w:t>名</w:t>
      </w:r>
      <w:r>
        <w:rPr>
          <w:rStyle w:val="21"/>
          <w:rFonts w:hint="eastAsia" w:ascii="黑体" w:hAnsi="黑体" w:eastAsia="黑体"/>
          <w:b w:val="0"/>
          <w:color w:val="auto"/>
        </w:rPr>
        <w:t>词解释</w:t>
      </w:r>
      <w:bookmarkEnd w:id="55"/>
      <w:bookmarkEnd w:id="56"/>
    </w:p>
    <w:p>
      <w:pPr>
        <w:spacing w:line="560" w:lineRule="exact"/>
        <w:jc w:val="left"/>
        <w:rPr>
          <w:rFonts w:ascii="宋体"/>
          <w:b/>
          <w:color w:val="auto"/>
          <w:sz w:val="44"/>
          <w:szCs w:val="44"/>
        </w:rPr>
      </w:pPr>
    </w:p>
    <w:p>
      <w:pPr>
        <w:pStyle w:val="3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3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w:t>
      </w:r>
      <w:r>
        <w:rPr>
          <w:rFonts w:ascii="仿宋_GB2312" w:eastAsia="仿宋_GB2312"/>
          <w:color w:val="auto"/>
          <w:sz w:val="32"/>
          <w:szCs w:val="32"/>
        </w:rPr>
        <w:t>.</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3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3、年末结转和结余：指单位按有关规定结转到下年或以后年度继续使用的资金。</w:t>
      </w:r>
    </w:p>
    <w:p>
      <w:pPr>
        <w:spacing w:line="540" w:lineRule="exact"/>
        <w:ind w:firstLine="640" w:firstLineChars="200"/>
        <w:rPr>
          <w:rStyle w:val="17"/>
          <w:rFonts w:ascii="仿宋" w:hAnsi="仿宋" w:eastAsia="仿宋"/>
          <w:b w:val="0"/>
          <w:bCs/>
          <w:color w:val="auto"/>
          <w:sz w:val="32"/>
          <w:szCs w:val="32"/>
        </w:rPr>
      </w:pPr>
      <w:r>
        <w:rPr>
          <w:rStyle w:val="17"/>
          <w:rFonts w:hint="eastAsia" w:ascii="仿宋" w:hAnsi="仿宋" w:eastAsia="仿宋"/>
          <w:b w:val="0"/>
          <w:bCs/>
          <w:color w:val="auto"/>
          <w:sz w:val="32"/>
          <w:szCs w:val="32"/>
        </w:rPr>
        <w:t>4</w:t>
      </w:r>
      <w:r>
        <w:rPr>
          <w:rStyle w:val="17"/>
          <w:rFonts w:ascii="仿宋" w:hAnsi="仿宋" w:eastAsia="仿宋"/>
          <w:b w:val="0"/>
          <w:bCs/>
          <w:color w:val="auto"/>
          <w:sz w:val="32"/>
          <w:szCs w:val="32"/>
        </w:rPr>
        <w:t>.</w:t>
      </w:r>
      <w:r>
        <w:rPr>
          <w:rStyle w:val="17"/>
          <w:rFonts w:hint="eastAsia" w:ascii="仿宋" w:hAnsi="仿宋" w:eastAsia="仿宋"/>
          <w:b w:val="0"/>
          <w:bCs/>
          <w:color w:val="auto"/>
          <w:sz w:val="32"/>
          <w:szCs w:val="32"/>
        </w:rPr>
        <w:t>一般公共服务</w:t>
      </w:r>
      <w:r>
        <w:rPr>
          <w:rStyle w:val="17"/>
          <w:rFonts w:ascii="仿宋" w:hAnsi="仿宋" w:eastAsia="仿宋"/>
          <w:b w:val="0"/>
          <w:bCs/>
          <w:color w:val="auto"/>
          <w:sz w:val="32"/>
          <w:szCs w:val="32"/>
        </w:rPr>
        <w:t>201</w:t>
      </w:r>
      <w:r>
        <w:rPr>
          <w:rStyle w:val="17"/>
          <w:rFonts w:hint="eastAsia" w:ascii="仿宋" w:hAnsi="仿宋" w:eastAsia="仿宋"/>
          <w:b w:val="0"/>
          <w:bCs/>
          <w:color w:val="auto"/>
          <w:sz w:val="32"/>
          <w:szCs w:val="32"/>
        </w:rPr>
        <w:t>（类）民主党派及工商联事务</w:t>
      </w:r>
      <w:r>
        <w:rPr>
          <w:rStyle w:val="17"/>
          <w:rFonts w:ascii="仿宋" w:hAnsi="仿宋" w:eastAsia="仿宋"/>
          <w:b w:val="0"/>
          <w:bCs/>
          <w:color w:val="auto"/>
          <w:sz w:val="32"/>
          <w:szCs w:val="32"/>
        </w:rPr>
        <w:t>28</w:t>
      </w:r>
      <w:r>
        <w:rPr>
          <w:rStyle w:val="17"/>
          <w:rFonts w:hint="eastAsia" w:ascii="仿宋" w:hAnsi="仿宋" w:eastAsia="仿宋"/>
          <w:b w:val="0"/>
          <w:bCs/>
          <w:color w:val="auto"/>
          <w:sz w:val="32"/>
          <w:szCs w:val="32"/>
        </w:rPr>
        <w:t>（款）行政运行</w:t>
      </w:r>
      <w:r>
        <w:rPr>
          <w:rStyle w:val="17"/>
          <w:rFonts w:ascii="仿宋" w:hAnsi="仿宋" w:eastAsia="仿宋"/>
          <w:b w:val="0"/>
          <w:bCs/>
          <w:color w:val="auto"/>
          <w:sz w:val="32"/>
          <w:szCs w:val="32"/>
        </w:rPr>
        <w:t>01</w:t>
      </w:r>
      <w:r>
        <w:rPr>
          <w:rStyle w:val="17"/>
          <w:rFonts w:hint="eastAsia" w:ascii="仿宋" w:hAnsi="仿宋" w:eastAsia="仿宋"/>
          <w:b w:val="0"/>
          <w:bCs/>
          <w:color w:val="auto"/>
          <w:sz w:val="32"/>
          <w:szCs w:val="32"/>
        </w:rPr>
        <w:t>（项）</w:t>
      </w:r>
      <w:r>
        <w:rPr>
          <w:rStyle w:val="17"/>
          <w:rFonts w:ascii="仿宋" w:hAnsi="仿宋" w:eastAsia="仿宋"/>
          <w:b w:val="0"/>
          <w:bCs/>
          <w:color w:val="auto"/>
          <w:sz w:val="32"/>
          <w:szCs w:val="32"/>
        </w:rPr>
        <w:t>:</w:t>
      </w:r>
      <w:r>
        <w:rPr>
          <w:rStyle w:val="17"/>
          <w:rFonts w:hint="eastAsia" w:ascii="仿宋" w:hAnsi="仿宋" w:eastAsia="仿宋"/>
          <w:b w:val="0"/>
          <w:bCs/>
          <w:color w:val="auto"/>
          <w:sz w:val="32"/>
          <w:szCs w:val="32"/>
        </w:rPr>
        <w:t>指反映行政单位（包括实行公务员管理的事业单位）的基本支出。</w:t>
      </w:r>
    </w:p>
    <w:p>
      <w:pPr>
        <w:spacing w:line="540" w:lineRule="exact"/>
        <w:ind w:firstLine="640" w:firstLineChars="200"/>
        <w:rPr>
          <w:rStyle w:val="17"/>
          <w:rFonts w:hint="eastAsia" w:ascii="仿宋" w:hAnsi="仿宋" w:eastAsia="仿宋"/>
          <w:b w:val="0"/>
          <w:bCs/>
          <w:color w:val="auto"/>
          <w:sz w:val="32"/>
          <w:szCs w:val="32"/>
        </w:rPr>
      </w:pPr>
      <w:r>
        <w:rPr>
          <w:rStyle w:val="17"/>
          <w:rFonts w:hint="eastAsia" w:ascii="仿宋" w:hAnsi="仿宋" w:eastAsia="仿宋"/>
          <w:b w:val="0"/>
          <w:bCs/>
          <w:color w:val="auto"/>
          <w:sz w:val="32"/>
          <w:szCs w:val="32"/>
        </w:rPr>
        <w:t>5</w:t>
      </w:r>
      <w:r>
        <w:rPr>
          <w:rStyle w:val="17"/>
          <w:rFonts w:ascii="仿宋" w:hAnsi="仿宋" w:eastAsia="仿宋"/>
          <w:b w:val="0"/>
          <w:bCs/>
          <w:color w:val="auto"/>
          <w:sz w:val="32"/>
          <w:szCs w:val="32"/>
        </w:rPr>
        <w:t>.</w:t>
      </w:r>
      <w:r>
        <w:rPr>
          <w:rStyle w:val="17"/>
          <w:rFonts w:hint="eastAsia" w:ascii="仿宋" w:hAnsi="仿宋" w:eastAsia="仿宋"/>
          <w:b w:val="0"/>
          <w:bCs/>
          <w:color w:val="auto"/>
          <w:sz w:val="32"/>
          <w:szCs w:val="32"/>
        </w:rPr>
        <w:t>一般公共服务</w:t>
      </w:r>
      <w:r>
        <w:rPr>
          <w:rStyle w:val="17"/>
          <w:rFonts w:ascii="仿宋" w:hAnsi="仿宋" w:eastAsia="仿宋"/>
          <w:b w:val="0"/>
          <w:bCs/>
          <w:color w:val="auto"/>
          <w:sz w:val="32"/>
          <w:szCs w:val="32"/>
        </w:rPr>
        <w:t>201</w:t>
      </w:r>
      <w:r>
        <w:rPr>
          <w:rStyle w:val="17"/>
          <w:rFonts w:hint="eastAsia" w:ascii="仿宋" w:hAnsi="仿宋" w:eastAsia="仿宋"/>
          <w:b w:val="0"/>
          <w:bCs/>
          <w:color w:val="auto"/>
          <w:sz w:val="32"/>
          <w:szCs w:val="32"/>
        </w:rPr>
        <w:t>（类）民主党派及工商联事务</w:t>
      </w:r>
      <w:r>
        <w:rPr>
          <w:rStyle w:val="17"/>
          <w:rFonts w:ascii="仿宋" w:hAnsi="仿宋" w:eastAsia="仿宋"/>
          <w:b w:val="0"/>
          <w:bCs/>
          <w:color w:val="auto"/>
          <w:sz w:val="32"/>
          <w:szCs w:val="32"/>
        </w:rPr>
        <w:t>28</w:t>
      </w:r>
      <w:r>
        <w:rPr>
          <w:rStyle w:val="17"/>
          <w:rFonts w:hint="eastAsia" w:ascii="仿宋" w:hAnsi="仿宋" w:eastAsia="仿宋"/>
          <w:b w:val="0"/>
          <w:bCs/>
          <w:color w:val="auto"/>
          <w:sz w:val="32"/>
          <w:szCs w:val="32"/>
        </w:rPr>
        <w:t>（款）</w:t>
      </w:r>
      <w:r>
        <w:rPr>
          <w:rStyle w:val="17"/>
          <w:rFonts w:ascii="仿宋" w:hAnsi="仿宋" w:eastAsia="仿宋"/>
          <w:b w:val="0"/>
          <w:bCs/>
          <w:color w:val="auto"/>
          <w:sz w:val="32"/>
          <w:szCs w:val="32"/>
        </w:rPr>
        <w:t xml:space="preserve"> </w:t>
      </w:r>
      <w:r>
        <w:rPr>
          <w:rStyle w:val="17"/>
          <w:rFonts w:hint="eastAsia" w:ascii="仿宋" w:hAnsi="仿宋" w:eastAsia="仿宋"/>
          <w:b w:val="0"/>
          <w:bCs/>
          <w:color w:val="auto"/>
          <w:sz w:val="32"/>
          <w:szCs w:val="32"/>
        </w:rPr>
        <w:t>一般行政管理事务</w:t>
      </w:r>
      <w:r>
        <w:rPr>
          <w:rStyle w:val="17"/>
          <w:rFonts w:ascii="仿宋" w:hAnsi="仿宋" w:eastAsia="仿宋"/>
          <w:b w:val="0"/>
          <w:bCs/>
          <w:color w:val="auto"/>
          <w:sz w:val="32"/>
          <w:szCs w:val="32"/>
        </w:rPr>
        <w:t>02</w:t>
      </w:r>
      <w:r>
        <w:rPr>
          <w:rStyle w:val="17"/>
          <w:rFonts w:hint="eastAsia" w:ascii="仿宋" w:hAnsi="仿宋" w:eastAsia="仿宋"/>
          <w:b w:val="0"/>
          <w:bCs/>
          <w:color w:val="auto"/>
          <w:sz w:val="32"/>
          <w:szCs w:val="32"/>
        </w:rPr>
        <w:t>（项）</w:t>
      </w:r>
      <w:r>
        <w:rPr>
          <w:rStyle w:val="17"/>
          <w:rFonts w:ascii="仿宋" w:hAnsi="仿宋" w:eastAsia="仿宋"/>
          <w:b w:val="0"/>
          <w:bCs/>
          <w:color w:val="auto"/>
          <w:sz w:val="32"/>
          <w:szCs w:val="32"/>
        </w:rPr>
        <w:t>:</w:t>
      </w:r>
      <w:r>
        <w:rPr>
          <w:rStyle w:val="17"/>
          <w:rFonts w:hint="eastAsia" w:ascii="仿宋" w:hAnsi="仿宋" w:eastAsia="仿宋"/>
          <w:b w:val="0"/>
          <w:bCs/>
          <w:color w:val="auto"/>
          <w:sz w:val="32"/>
          <w:szCs w:val="32"/>
        </w:rPr>
        <w:t xml:space="preserve"> 指反映行政单位（包括实行公务员管理的事业单位）未单独设置项级科目的其他项目支出。</w:t>
      </w:r>
    </w:p>
    <w:p>
      <w:pPr>
        <w:spacing w:line="540" w:lineRule="exact"/>
        <w:ind w:firstLine="640" w:firstLineChars="200"/>
        <w:rPr>
          <w:rStyle w:val="17"/>
          <w:rFonts w:ascii="仿宋" w:hAnsi="仿宋" w:eastAsia="仿宋"/>
          <w:b w:val="0"/>
          <w:bCs/>
          <w:color w:val="auto"/>
          <w:sz w:val="32"/>
          <w:szCs w:val="32"/>
        </w:rPr>
      </w:pPr>
      <w:r>
        <w:rPr>
          <w:rStyle w:val="17"/>
          <w:rFonts w:hint="eastAsia" w:ascii="仿宋" w:hAnsi="仿宋" w:eastAsia="仿宋"/>
          <w:b w:val="0"/>
          <w:bCs/>
          <w:color w:val="auto"/>
          <w:sz w:val="32"/>
          <w:szCs w:val="32"/>
        </w:rPr>
        <w:t>6</w:t>
      </w:r>
      <w:r>
        <w:rPr>
          <w:rStyle w:val="17"/>
          <w:rFonts w:ascii="仿宋" w:hAnsi="仿宋" w:eastAsia="仿宋"/>
          <w:b w:val="0"/>
          <w:bCs/>
          <w:color w:val="auto"/>
          <w:sz w:val="32"/>
          <w:szCs w:val="32"/>
        </w:rPr>
        <w:t>.</w:t>
      </w:r>
      <w:r>
        <w:rPr>
          <w:rStyle w:val="17"/>
          <w:rFonts w:hint="eastAsia" w:ascii="仿宋" w:hAnsi="仿宋" w:eastAsia="仿宋"/>
          <w:b w:val="0"/>
          <w:bCs/>
          <w:color w:val="auto"/>
          <w:sz w:val="32"/>
          <w:szCs w:val="32"/>
        </w:rPr>
        <w:t>一般公共服务</w:t>
      </w:r>
      <w:r>
        <w:rPr>
          <w:rStyle w:val="17"/>
          <w:rFonts w:ascii="仿宋" w:hAnsi="仿宋" w:eastAsia="仿宋"/>
          <w:b w:val="0"/>
          <w:bCs/>
          <w:color w:val="auto"/>
          <w:sz w:val="32"/>
          <w:szCs w:val="32"/>
        </w:rPr>
        <w:t>201</w:t>
      </w:r>
      <w:r>
        <w:rPr>
          <w:rStyle w:val="17"/>
          <w:rFonts w:hint="eastAsia" w:ascii="仿宋" w:hAnsi="仿宋" w:eastAsia="仿宋"/>
          <w:b w:val="0"/>
          <w:bCs/>
          <w:color w:val="auto"/>
          <w:sz w:val="32"/>
          <w:szCs w:val="32"/>
        </w:rPr>
        <w:t>（类）民主党派及工商联事务</w:t>
      </w:r>
      <w:r>
        <w:rPr>
          <w:rStyle w:val="17"/>
          <w:rFonts w:ascii="仿宋" w:hAnsi="仿宋" w:eastAsia="仿宋"/>
          <w:b w:val="0"/>
          <w:bCs/>
          <w:color w:val="auto"/>
          <w:sz w:val="32"/>
          <w:szCs w:val="32"/>
        </w:rPr>
        <w:t>28</w:t>
      </w:r>
      <w:r>
        <w:rPr>
          <w:rStyle w:val="17"/>
          <w:rFonts w:hint="eastAsia" w:ascii="仿宋" w:hAnsi="仿宋" w:eastAsia="仿宋"/>
          <w:b w:val="0"/>
          <w:bCs/>
          <w:color w:val="auto"/>
          <w:sz w:val="32"/>
          <w:szCs w:val="32"/>
        </w:rPr>
        <w:t>（款）</w:t>
      </w:r>
      <w:r>
        <w:rPr>
          <w:rStyle w:val="17"/>
          <w:rFonts w:ascii="仿宋" w:hAnsi="仿宋" w:eastAsia="仿宋"/>
          <w:b w:val="0"/>
          <w:bCs/>
          <w:color w:val="auto"/>
          <w:sz w:val="32"/>
          <w:szCs w:val="32"/>
        </w:rPr>
        <w:t xml:space="preserve"> </w:t>
      </w:r>
      <w:r>
        <w:rPr>
          <w:rStyle w:val="17"/>
          <w:rFonts w:hint="eastAsia" w:ascii="仿宋" w:hAnsi="仿宋" w:eastAsia="仿宋"/>
          <w:b w:val="0"/>
          <w:bCs/>
          <w:color w:val="auto"/>
          <w:sz w:val="32"/>
          <w:szCs w:val="32"/>
        </w:rPr>
        <w:t>机关服务</w:t>
      </w:r>
      <w:r>
        <w:rPr>
          <w:rStyle w:val="17"/>
          <w:rFonts w:ascii="仿宋" w:hAnsi="仿宋" w:eastAsia="仿宋"/>
          <w:b w:val="0"/>
          <w:bCs/>
          <w:color w:val="auto"/>
          <w:sz w:val="32"/>
          <w:szCs w:val="32"/>
        </w:rPr>
        <w:t>0</w:t>
      </w:r>
      <w:r>
        <w:rPr>
          <w:rStyle w:val="17"/>
          <w:rFonts w:hint="eastAsia" w:ascii="仿宋" w:hAnsi="仿宋" w:eastAsia="仿宋"/>
          <w:b w:val="0"/>
          <w:bCs/>
          <w:color w:val="auto"/>
          <w:sz w:val="32"/>
          <w:szCs w:val="32"/>
        </w:rPr>
        <w:t>3（项）</w:t>
      </w:r>
      <w:r>
        <w:rPr>
          <w:rStyle w:val="17"/>
          <w:rFonts w:ascii="仿宋" w:hAnsi="仿宋" w:eastAsia="仿宋"/>
          <w:b w:val="0"/>
          <w:bCs/>
          <w:color w:val="auto"/>
          <w:sz w:val="32"/>
          <w:szCs w:val="32"/>
        </w:rPr>
        <w:t>:</w:t>
      </w:r>
      <w:r>
        <w:rPr>
          <w:rStyle w:val="17"/>
          <w:rFonts w:hint="eastAsia" w:ascii="仿宋" w:hAnsi="仿宋" w:eastAsia="仿宋"/>
          <w:b w:val="0"/>
          <w:bCs/>
          <w:color w:val="auto"/>
          <w:sz w:val="32"/>
          <w:szCs w:val="32"/>
        </w:rPr>
        <w:t xml:space="preserve"> 指反映为行政单位（包括实行公务员管理的事业单位）提供后勤服务中心、医务室等附属事业单位的支出。其他事业单位的支出，凡单独设置了项级科目的，在单独设置的项级科目中反映。未单独设项级科目的，在“其他</w:t>
      </w:r>
      <w:r>
        <w:rPr>
          <w:rStyle w:val="17"/>
          <w:rFonts w:ascii="仿宋" w:hAnsi="仿宋" w:eastAsia="仿宋"/>
          <w:b w:val="0"/>
          <w:bCs/>
          <w:color w:val="auto"/>
          <w:sz w:val="32"/>
          <w:szCs w:val="32"/>
        </w:rPr>
        <w:t>”</w:t>
      </w:r>
      <w:r>
        <w:rPr>
          <w:rStyle w:val="17"/>
          <w:rFonts w:hint="eastAsia" w:ascii="仿宋" w:hAnsi="仿宋" w:eastAsia="仿宋"/>
          <w:b w:val="0"/>
          <w:bCs/>
          <w:color w:val="auto"/>
          <w:sz w:val="32"/>
          <w:szCs w:val="32"/>
        </w:rPr>
        <w:t>项级科目中反映。</w:t>
      </w:r>
    </w:p>
    <w:p>
      <w:pPr>
        <w:spacing w:line="560" w:lineRule="exact"/>
        <w:ind w:firstLine="640" w:firstLineChars="200"/>
        <w:rPr>
          <w:rStyle w:val="17"/>
          <w:rFonts w:hint="eastAsia" w:ascii="仿宋" w:hAnsi="仿宋" w:eastAsia="仿宋"/>
          <w:b w:val="0"/>
          <w:bCs/>
          <w:color w:val="auto"/>
          <w:sz w:val="32"/>
          <w:szCs w:val="32"/>
        </w:rPr>
      </w:pPr>
      <w:r>
        <w:rPr>
          <w:rStyle w:val="17"/>
          <w:rFonts w:hint="eastAsia" w:ascii="仿宋" w:hAnsi="仿宋" w:eastAsia="仿宋"/>
          <w:b w:val="0"/>
          <w:bCs/>
          <w:color w:val="auto"/>
          <w:sz w:val="32"/>
          <w:szCs w:val="32"/>
        </w:rPr>
        <w:t>7</w:t>
      </w:r>
      <w:r>
        <w:rPr>
          <w:rStyle w:val="17"/>
          <w:rFonts w:ascii="仿宋" w:hAnsi="仿宋" w:eastAsia="仿宋"/>
          <w:b w:val="0"/>
          <w:bCs/>
          <w:color w:val="auto"/>
          <w:sz w:val="32"/>
          <w:szCs w:val="32"/>
        </w:rPr>
        <w:t>.</w:t>
      </w:r>
      <w:r>
        <w:rPr>
          <w:rStyle w:val="17"/>
          <w:rFonts w:hint="eastAsia" w:ascii="仿宋" w:hAnsi="仿宋" w:eastAsia="仿宋"/>
          <w:b w:val="0"/>
          <w:bCs/>
          <w:color w:val="auto"/>
          <w:sz w:val="32"/>
          <w:szCs w:val="32"/>
        </w:rPr>
        <w:t>一般公共服务</w:t>
      </w:r>
      <w:r>
        <w:rPr>
          <w:rStyle w:val="17"/>
          <w:rFonts w:ascii="仿宋" w:hAnsi="仿宋" w:eastAsia="仿宋"/>
          <w:b w:val="0"/>
          <w:bCs/>
          <w:color w:val="auto"/>
          <w:sz w:val="32"/>
          <w:szCs w:val="32"/>
        </w:rPr>
        <w:t>201</w:t>
      </w:r>
      <w:r>
        <w:rPr>
          <w:rStyle w:val="17"/>
          <w:rFonts w:hint="eastAsia" w:ascii="仿宋" w:hAnsi="仿宋" w:eastAsia="仿宋"/>
          <w:b w:val="0"/>
          <w:bCs/>
          <w:color w:val="auto"/>
          <w:sz w:val="32"/>
          <w:szCs w:val="32"/>
        </w:rPr>
        <w:t>（类）民主党派及工商联事务</w:t>
      </w:r>
      <w:r>
        <w:rPr>
          <w:rStyle w:val="17"/>
          <w:rFonts w:ascii="仿宋" w:hAnsi="仿宋" w:eastAsia="仿宋"/>
          <w:b w:val="0"/>
          <w:bCs/>
          <w:color w:val="auto"/>
          <w:sz w:val="32"/>
          <w:szCs w:val="32"/>
        </w:rPr>
        <w:t>28</w:t>
      </w:r>
      <w:r>
        <w:rPr>
          <w:rStyle w:val="17"/>
          <w:rFonts w:hint="eastAsia" w:ascii="仿宋" w:hAnsi="仿宋" w:eastAsia="仿宋"/>
          <w:b w:val="0"/>
          <w:bCs/>
          <w:color w:val="auto"/>
          <w:sz w:val="32"/>
          <w:szCs w:val="32"/>
        </w:rPr>
        <w:t>（款）</w:t>
      </w:r>
      <w:r>
        <w:rPr>
          <w:rStyle w:val="17"/>
          <w:rFonts w:ascii="仿宋" w:hAnsi="仿宋" w:eastAsia="仿宋"/>
          <w:b w:val="0"/>
          <w:bCs/>
          <w:color w:val="auto"/>
          <w:sz w:val="32"/>
          <w:szCs w:val="32"/>
        </w:rPr>
        <w:t xml:space="preserve"> </w:t>
      </w:r>
      <w:r>
        <w:rPr>
          <w:rStyle w:val="17"/>
          <w:rFonts w:hint="eastAsia" w:ascii="仿宋" w:hAnsi="仿宋" w:eastAsia="仿宋"/>
          <w:b w:val="0"/>
          <w:bCs/>
          <w:color w:val="auto"/>
          <w:sz w:val="32"/>
          <w:szCs w:val="32"/>
        </w:rPr>
        <w:t>其他民主党派及工商联事务支出</w:t>
      </w:r>
      <w:r>
        <w:rPr>
          <w:rStyle w:val="17"/>
          <w:rFonts w:ascii="仿宋" w:hAnsi="仿宋" w:eastAsia="仿宋"/>
          <w:b w:val="0"/>
          <w:bCs/>
          <w:color w:val="auto"/>
          <w:sz w:val="32"/>
          <w:szCs w:val="32"/>
        </w:rPr>
        <w:t>99</w:t>
      </w:r>
      <w:r>
        <w:rPr>
          <w:rStyle w:val="17"/>
          <w:rFonts w:hint="eastAsia" w:ascii="仿宋" w:hAnsi="仿宋" w:eastAsia="仿宋"/>
          <w:b w:val="0"/>
          <w:bCs/>
          <w:color w:val="auto"/>
          <w:sz w:val="32"/>
          <w:szCs w:val="32"/>
        </w:rPr>
        <w:t>（项）</w:t>
      </w:r>
      <w:r>
        <w:rPr>
          <w:rStyle w:val="17"/>
          <w:rFonts w:ascii="仿宋" w:hAnsi="仿宋" w:eastAsia="仿宋"/>
          <w:b w:val="0"/>
          <w:bCs/>
          <w:color w:val="auto"/>
          <w:sz w:val="32"/>
          <w:szCs w:val="32"/>
        </w:rPr>
        <w:t>:</w:t>
      </w:r>
      <w:r>
        <w:rPr>
          <w:rStyle w:val="17"/>
          <w:rFonts w:hint="eastAsia" w:ascii="仿宋" w:hAnsi="仿宋" w:eastAsia="仿宋"/>
          <w:b w:val="0"/>
          <w:bCs/>
          <w:color w:val="auto"/>
          <w:sz w:val="32"/>
          <w:szCs w:val="32"/>
        </w:rPr>
        <w:t xml:space="preserve"> 指反映除上述项目以外其他用于民主党派及工商联事务方面的支出。</w:t>
      </w:r>
    </w:p>
    <w:p>
      <w:pPr>
        <w:spacing w:line="540" w:lineRule="exact"/>
        <w:ind w:firstLine="640"/>
        <w:rPr>
          <w:rStyle w:val="17"/>
          <w:rFonts w:ascii="仿宋" w:hAnsi="仿宋" w:eastAsia="仿宋"/>
          <w:b w:val="0"/>
          <w:bCs/>
          <w:color w:val="auto"/>
          <w:sz w:val="32"/>
          <w:szCs w:val="32"/>
        </w:rPr>
      </w:pPr>
      <w:r>
        <w:rPr>
          <w:rStyle w:val="17"/>
          <w:rFonts w:hint="eastAsia" w:ascii="仿宋" w:hAnsi="仿宋" w:eastAsia="仿宋"/>
          <w:b w:val="0"/>
          <w:bCs/>
          <w:color w:val="auto"/>
          <w:sz w:val="32"/>
          <w:szCs w:val="32"/>
        </w:rPr>
        <w:t>8</w:t>
      </w:r>
      <w:r>
        <w:rPr>
          <w:rStyle w:val="17"/>
          <w:rFonts w:ascii="仿宋" w:hAnsi="仿宋" w:eastAsia="仿宋"/>
          <w:b w:val="0"/>
          <w:bCs/>
          <w:color w:val="auto"/>
          <w:sz w:val="32"/>
          <w:szCs w:val="32"/>
        </w:rPr>
        <w:t>.</w:t>
      </w:r>
      <w:r>
        <w:rPr>
          <w:rStyle w:val="17"/>
          <w:rFonts w:hint="eastAsia" w:ascii="仿宋" w:hAnsi="仿宋" w:eastAsia="仿宋"/>
          <w:b w:val="0"/>
          <w:bCs/>
          <w:color w:val="auto"/>
          <w:sz w:val="32"/>
          <w:szCs w:val="32"/>
        </w:rPr>
        <w:t>一般公共服务</w:t>
      </w:r>
      <w:r>
        <w:rPr>
          <w:rStyle w:val="17"/>
          <w:rFonts w:ascii="仿宋" w:hAnsi="仿宋" w:eastAsia="仿宋"/>
          <w:b w:val="0"/>
          <w:bCs/>
          <w:color w:val="auto"/>
          <w:sz w:val="32"/>
          <w:szCs w:val="32"/>
        </w:rPr>
        <w:t>201</w:t>
      </w:r>
      <w:r>
        <w:rPr>
          <w:rStyle w:val="17"/>
          <w:rFonts w:hint="eastAsia" w:ascii="仿宋" w:hAnsi="仿宋" w:eastAsia="仿宋"/>
          <w:b w:val="0"/>
          <w:bCs/>
          <w:color w:val="auto"/>
          <w:sz w:val="32"/>
          <w:szCs w:val="32"/>
        </w:rPr>
        <w:t>（类）统战事务</w:t>
      </w:r>
      <w:r>
        <w:rPr>
          <w:rStyle w:val="17"/>
          <w:rFonts w:ascii="仿宋" w:hAnsi="仿宋" w:eastAsia="仿宋"/>
          <w:b w:val="0"/>
          <w:bCs/>
          <w:color w:val="auto"/>
          <w:sz w:val="32"/>
          <w:szCs w:val="32"/>
        </w:rPr>
        <w:t>34</w:t>
      </w:r>
      <w:r>
        <w:rPr>
          <w:rStyle w:val="17"/>
          <w:rFonts w:hint="eastAsia" w:ascii="仿宋" w:hAnsi="仿宋" w:eastAsia="仿宋"/>
          <w:b w:val="0"/>
          <w:bCs/>
          <w:color w:val="auto"/>
          <w:sz w:val="32"/>
          <w:szCs w:val="32"/>
        </w:rPr>
        <w:t>（款）行政运行</w:t>
      </w:r>
      <w:r>
        <w:rPr>
          <w:rStyle w:val="17"/>
          <w:rFonts w:ascii="仿宋" w:hAnsi="仿宋" w:eastAsia="仿宋"/>
          <w:b w:val="0"/>
          <w:bCs/>
          <w:color w:val="auto"/>
          <w:sz w:val="32"/>
          <w:szCs w:val="32"/>
        </w:rPr>
        <w:t>01</w:t>
      </w:r>
      <w:r>
        <w:rPr>
          <w:rStyle w:val="17"/>
          <w:rFonts w:hint="eastAsia" w:ascii="仿宋" w:hAnsi="仿宋" w:eastAsia="仿宋"/>
          <w:b w:val="0"/>
          <w:bCs/>
          <w:color w:val="auto"/>
          <w:sz w:val="32"/>
          <w:szCs w:val="32"/>
        </w:rPr>
        <w:t>（项）</w:t>
      </w:r>
      <w:r>
        <w:rPr>
          <w:rStyle w:val="17"/>
          <w:rFonts w:ascii="仿宋" w:hAnsi="仿宋" w:eastAsia="仿宋"/>
          <w:b w:val="0"/>
          <w:bCs/>
          <w:color w:val="auto"/>
          <w:sz w:val="32"/>
          <w:szCs w:val="32"/>
        </w:rPr>
        <w:t>:</w:t>
      </w:r>
      <w:r>
        <w:rPr>
          <w:rStyle w:val="17"/>
          <w:rFonts w:hint="eastAsia" w:ascii="仿宋" w:hAnsi="仿宋" w:eastAsia="仿宋"/>
          <w:b w:val="0"/>
          <w:bCs/>
          <w:color w:val="auto"/>
          <w:sz w:val="32"/>
          <w:szCs w:val="32"/>
        </w:rPr>
        <w:t xml:space="preserve"> 指反映行政单位（包括实行公务员管理的事业单位）的基本支出。</w:t>
      </w:r>
    </w:p>
    <w:p>
      <w:pPr>
        <w:spacing w:line="540" w:lineRule="exact"/>
        <w:ind w:firstLine="640"/>
        <w:rPr>
          <w:rStyle w:val="17"/>
          <w:rFonts w:ascii="仿宋" w:hAnsi="仿宋" w:eastAsia="仿宋"/>
          <w:b w:val="0"/>
          <w:bCs/>
          <w:color w:val="auto"/>
          <w:sz w:val="32"/>
          <w:szCs w:val="32"/>
        </w:rPr>
      </w:pPr>
      <w:r>
        <w:rPr>
          <w:rStyle w:val="17"/>
          <w:rFonts w:hint="eastAsia" w:ascii="仿宋" w:hAnsi="仿宋" w:eastAsia="仿宋"/>
          <w:b w:val="0"/>
          <w:bCs/>
          <w:color w:val="auto"/>
          <w:sz w:val="32"/>
          <w:szCs w:val="32"/>
        </w:rPr>
        <w:t>9</w:t>
      </w:r>
      <w:r>
        <w:rPr>
          <w:rStyle w:val="17"/>
          <w:rFonts w:ascii="仿宋" w:hAnsi="仿宋" w:eastAsia="仿宋"/>
          <w:b w:val="0"/>
          <w:bCs/>
          <w:color w:val="auto"/>
          <w:sz w:val="32"/>
          <w:szCs w:val="32"/>
        </w:rPr>
        <w:t>.</w:t>
      </w:r>
      <w:r>
        <w:rPr>
          <w:rStyle w:val="17"/>
          <w:rFonts w:hint="eastAsia" w:ascii="仿宋" w:hAnsi="仿宋" w:eastAsia="仿宋"/>
          <w:b w:val="0"/>
          <w:bCs/>
          <w:color w:val="auto"/>
          <w:sz w:val="32"/>
          <w:szCs w:val="32"/>
        </w:rPr>
        <w:t>一般公共服务</w:t>
      </w:r>
      <w:r>
        <w:rPr>
          <w:rStyle w:val="17"/>
          <w:rFonts w:ascii="仿宋" w:hAnsi="仿宋" w:eastAsia="仿宋"/>
          <w:b w:val="0"/>
          <w:bCs/>
          <w:color w:val="auto"/>
          <w:sz w:val="32"/>
          <w:szCs w:val="32"/>
        </w:rPr>
        <w:t>201</w:t>
      </w:r>
      <w:r>
        <w:rPr>
          <w:rStyle w:val="17"/>
          <w:rFonts w:hint="eastAsia" w:ascii="仿宋" w:hAnsi="仿宋" w:eastAsia="仿宋"/>
          <w:b w:val="0"/>
          <w:bCs/>
          <w:color w:val="auto"/>
          <w:sz w:val="32"/>
          <w:szCs w:val="32"/>
        </w:rPr>
        <w:t>（类）统战事务</w:t>
      </w:r>
      <w:r>
        <w:rPr>
          <w:rStyle w:val="17"/>
          <w:rFonts w:ascii="仿宋" w:hAnsi="仿宋" w:eastAsia="仿宋"/>
          <w:b w:val="0"/>
          <w:bCs/>
          <w:color w:val="auto"/>
          <w:sz w:val="32"/>
          <w:szCs w:val="32"/>
        </w:rPr>
        <w:t>34</w:t>
      </w:r>
      <w:r>
        <w:rPr>
          <w:rStyle w:val="17"/>
          <w:rFonts w:hint="eastAsia" w:ascii="仿宋" w:hAnsi="仿宋" w:eastAsia="仿宋"/>
          <w:b w:val="0"/>
          <w:bCs/>
          <w:color w:val="auto"/>
          <w:sz w:val="32"/>
          <w:szCs w:val="32"/>
        </w:rPr>
        <w:t>（款）</w:t>
      </w:r>
      <w:r>
        <w:rPr>
          <w:rStyle w:val="17"/>
          <w:rFonts w:ascii="仿宋" w:hAnsi="仿宋" w:eastAsia="仿宋"/>
          <w:b w:val="0"/>
          <w:bCs/>
          <w:color w:val="auto"/>
          <w:sz w:val="32"/>
          <w:szCs w:val="32"/>
        </w:rPr>
        <w:t xml:space="preserve"> </w:t>
      </w:r>
      <w:r>
        <w:rPr>
          <w:rStyle w:val="17"/>
          <w:rFonts w:hint="eastAsia" w:ascii="仿宋" w:hAnsi="仿宋" w:eastAsia="仿宋"/>
          <w:b w:val="0"/>
          <w:bCs/>
          <w:color w:val="auto"/>
          <w:sz w:val="32"/>
          <w:szCs w:val="32"/>
        </w:rPr>
        <w:t>一般行政管理事务</w:t>
      </w:r>
      <w:r>
        <w:rPr>
          <w:rStyle w:val="17"/>
          <w:rFonts w:ascii="仿宋" w:hAnsi="仿宋" w:eastAsia="仿宋"/>
          <w:b w:val="0"/>
          <w:bCs/>
          <w:color w:val="auto"/>
          <w:sz w:val="32"/>
          <w:szCs w:val="32"/>
        </w:rPr>
        <w:t>02</w:t>
      </w:r>
      <w:r>
        <w:rPr>
          <w:rStyle w:val="17"/>
          <w:rFonts w:hint="eastAsia" w:ascii="仿宋" w:hAnsi="仿宋" w:eastAsia="仿宋"/>
          <w:b w:val="0"/>
          <w:bCs/>
          <w:color w:val="auto"/>
          <w:sz w:val="32"/>
          <w:szCs w:val="32"/>
        </w:rPr>
        <w:t>（项）</w:t>
      </w:r>
      <w:r>
        <w:rPr>
          <w:rStyle w:val="17"/>
          <w:rFonts w:ascii="仿宋" w:hAnsi="仿宋" w:eastAsia="仿宋"/>
          <w:b w:val="0"/>
          <w:bCs/>
          <w:color w:val="auto"/>
          <w:sz w:val="32"/>
          <w:szCs w:val="32"/>
        </w:rPr>
        <w:t>:</w:t>
      </w:r>
      <w:r>
        <w:rPr>
          <w:rStyle w:val="17"/>
          <w:rFonts w:hint="eastAsia" w:ascii="仿宋" w:hAnsi="仿宋" w:eastAsia="仿宋"/>
          <w:b w:val="0"/>
          <w:bCs/>
          <w:color w:val="auto"/>
          <w:sz w:val="32"/>
          <w:szCs w:val="32"/>
        </w:rPr>
        <w:t xml:space="preserve"> 指反映行政单位（包括实行公务员管理的事业单位）未单独设置项级科目的其他项目支出。</w:t>
      </w:r>
    </w:p>
    <w:p>
      <w:pPr>
        <w:spacing w:line="540" w:lineRule="exact"/>
        <w:ind w:firstLine="640" w:firstLineChars="200"/>
        <w:rPr>
          <w:rStyle w:val="17"/>
          <w:rFonts w:ascii="仿宋" w:hAnsi="仿宋" w:eastAsia="仿宋"/>
          <w:b w:val="0"/>
          <w:color w:val="auto"/>
          <w:sz w:val="32"/>
          <w:szCs w:val="32"/>
        </w:rPr>
      </w:pPr>
      <w:r>
        <w:rPr>
          <w:rStyle w:val="17"/>
          <w:rFonts w:hint="eastAsia" w:ascii="仿宋" w:hAnsi="仿宋" w:eastAsia="仿宋"/>
          <w:b w:val="0"/>
          <w:bCs/>
          <w:color w:val="auto"/>
          <w:sz w:val="32"/>
          <w:szCs w:val="32"/>
        </w:rPr>
        <w:t>10</w:t>
      </w:r>
      <w:r>
        <w:rPr>
          <w:rStyle w:val="17"/>
          <w:rFonts w:ascii="仿宋" w:hAnsi="仿宋" w:eastAsia="仿宋"/>
          <w:b w:val="0"/>
          <w:bCs/>
          <w:color w:val="auto"/>
          <w:sz w:val="32"/>
          <w:szCs w:val="32"/>
        </w:rPr>
        <w:t>.</w:t>
      </w:r>
      <w:r>
        <w:rPr>
          <w:rStyle w:val="17"/>
          <w:rFonts w:hint="eastAsia" w:ascii="仿宋" w:hAnsi="仿宋" w:eastAsia="仿宋"/>
          <w:b w:val="0"/>
          <w:bCs/>
          <w:color w:val="auto"/>
          <w:sz w:val="32"/>
          <w:szCs w:val="32"/>
        </w:rPr>
        <w:t>社会保障和就业</w:t>
      </w:r>
      <w:r>
        <w:rPr>
          <w:rStyle w:val="17"/>
          <w:rFonts w:ascii="仿宋" w:hAnsi="仿宋" w:eastAsia="仿宋"/>
          <w:b w:val="0"/>
          <w:bCs/>
          <w:color w:val="auto"/>
          <w:sz w:val="32"/>
          <w:szCs w:val="32"/>
        </w:rPr>
        <w:t>208</w:t>
      </w:r>
      <w:r>
        <w:rPr>
          <w:rStyle w:val="17"/>
          <w:rFonts w:hint="eastAsia" w:ascii="仿宋" w:hAnsi="仿宋" w:eastAsia="仿宋"/>
          <w:b w:val="0"/>
          <w:bCs/>
          <w:color w:val="auto"/>
          <w:sz w:val="32"/>
          <w:szCs w:val="32"/>
        </w:rPr>
        <w:t>（类）行政事业单位养老</w:t>
      </w:r>
      <w:r>
        <w:rPr>
          <w:rStyle w:val="17"/>
          <w:rFonts w:ascii="仿宋" w:hAnsi="仿宋" w:eastAsia="仿宋"/>
          <w:b w:val="0"/>
          <w:bCs/>
          <w:color w:val="auto"/>
          <w:sz w:val="32"/>
          <w:szCs w:val="32"/>
        </w:rPr>
        <w:t>0</w:t>
      </w:r>
      <w:r>
        <w:rPr>
          <w:rStyle w:val="17"/>
          <w:rFonts w:hint="eastAsia" w:ascii="仿宋" w:hAnsi="仿宋" w:eastAsia="仿宋"/>
          <w:b w:val="0"/>
          <w:bCs/>
          <w:color w:val="auto"/>
          <w:sz w:val="32"/>
          <w:szCs w:val="32"/>
        </w:rPr>
        <w:t>5（款）其行政单位离退休01（项）</w:t>
      </w:r>
      <w:r>
        <w:rPr>
          <w:rStyle w:val="17"/>
          <w:rFonts w:ascii="仿宋" w:hAnsi="仿宋" w:eastAsia="仿宋"/>
          <w:b w:val="0"/>
          <w:bCs/>
          <w:color w:val="auto"/>
          <w:sz w:val="32"/>
          <w:szCs w:val="32"/>
        </w:rPr>
        <w:t>:</w:t>
      </w:r>
      <w:r>
        <w:rPr>
          <w:rStyle w:val="17"/>
          <w:rFonts w:ascii="仿宋" w:hAnsi="仿宋" w:eastAsia="仿宋"/>
          <w:b w:val="0"/>
          <w:color w:val="auto"/>
          <w:sz w:val="32"/>
          <w:szCs w:val="32"/>
        </w:rPr>
        <w:t xml:space="preserve"> </w:t>
      </w:r>
      <w:r>
        <w:rPr>
          <w:rStyle w:val="17"/>
          <w:rFonts w:hint="eastAsia" w:ascii="仿宋" w:hAnsi="仿宋" w:eastAsia="仿宋"/>
          <w:b w:val="0"/>
          <w:bCs/>
          <w:color w:val="auto"/>
          <w:sz w:val="32"/>
          <w:szCs w:val="32"/>
        </w:rPr>
        <w:t>指反映行政单位（包括实行公务员管理的事业单位）开支的离退休经费。</w:t>
      </w:r>
    </w:p>
    <w:p>
      <w:pPr>
        <w:spacing w:line="540" w:lineRule="exact"/>
        <w:ind w:firstLine="640"/>
        <w:rPr>
          <w:rStyle w:val="17"/>
          <w:rFonts w:ascii="仿宋" w:hAnsi="仿宋" w:eastAsia="仿宋"/>
          <w:b w:val="0"/>
          <w:bCs/>
          <w:color w:val="auto"/>
          <w:sz w:val="32"/>
          <w:szCs w:val="32"/>
        </w:rPr>
      </w:pPr>
      <w:r>
        <w:rPr>
          <w:rStyle w:val="17"/>
          <w:rFonts w:hint="eastAsia" w:ascii="仿宋" w:hAnsi="仿宋" w:eastAsia="仿宋"/>
          <w:b w:val="0"/>
          <w:bCs/>
          <w:color w:val="auto"/>
          <w:sz w:val="32"/>
          <w:szCs w:val="32"/>
        </w:rPr>
        <w:t>11</w:t>
      </w:r>
      <w:r>
        <w:rPr>
          <w:rStyle w:val="17"/>
          <w:rFonts w:ascii="仿宋" w:hAnsi="仿宋" w:eastAsia="仿宋"/>
          <w:b w:val="0"/>
          <w:bCs/>
          <w:color w:val="auto"/>
          <w:sz w:val="32"/>
          <w:szCs w:val="32"/>
        </w:rPr>
        <w:t>.</w:t>
      </w:r>
      <w:r>
        <w:rPr>
          <w:rStyle w:val="17"/>
          <w:rFonts w:hint="eastAsia" w:ascii="仿宋" w:hAnsi="仿宋" w:eastAsia="仿宋"/>
          <w:b w:val="0"/>
          <w:bCs/>
          <w:color w:val="auto"/>
          <w:sz w:val="32"/>
          <w:szCs w:val="32"/>
        </w:rPr>
        <w:t>社会保障和就业</w:t>
      </w:r>
      <w:r>
        <w:rPr>
          <w:rStyle w:val="17"/>
          <w:rFonts w:ascii="仿宋" w:hAnsi="仿宋" w:eastAsia="仿宋"/>
          <w:b w:val="0"/>
          <w:bCs/>
          <w:color w:val="auto"/>
          <w:sz w:val="32"/>
          <w:szCs w:val="32"/>
        </w:rPr>
        <w:t>208</w:t>
      </w:r>
      <w:r>
        <w:rPr>
          <w:rStyle w:val="17"/>
          <w:rFonts w:hint="eastAsia" w:ascii="仿宋" w:hAnsi="仿宋" w:eastAsia="仿宋"/>
          <w:b w:val="0"/>
          <w:bCs/>
          <w:color w:val="auto"/>
          <w:sz w:val="32"/>
          <w:szCs w:val="32"/>
        </w:rPr>
        <w:t>（类）行政事业单位养老</w:t>
      </w:r>
      <w:r>
        <w:rPr>
          <w:rStyle w:val="17"/>
          <w:rFonts w:ascii="仿宋" w:hAnsi="仿宋" w:eastAsia="仿宋"/>
          <w:b w:val="0"/>
          <w:bCs/>
          <w:color w:val="auto"/>
          <w:sz w:val="32"/>
          <w:szCs w:val="32"/>
        </w:rPr>
        <w:t>05</w:t>
      </w:r>
      <w:r>
        <w:rPr>
          <w:rStyle w:val="17"/>
          <w:rFonts w:hint="eastAsia" w:ascii="仿宋" w:hAnsi="仿宋" w:eastAsia="仿宋"/>
          <w:b w:val="0"/>
          <w:bCs/>
          <w:color w:val="auto"/>
          <w:sz w:val="32"/>
          <w:szCs w:val="32"/>
        </w:rPr>
        <w:t>（款）机关事业单位基本养老保险缴费</w:t>
      </w:r>
      <w:r>
        <w:rPr>
          <w:rStyle w:val="17"/>
          <w:rFonts w:ascii="仿宋" w:hAnsi="仿宋" w:eastAsia="仿宋"/>
          <w:b w:val="0"/>
          <w:bCs/>
          <w:color w:val="auto"/>
          <w:sz w:val="32"/>
          <w:szCs w:val="32"/>
        </w:rPr>
        <w:t>05</w:t>
      </w:r>
      <w:r>
        <w:rPr>
          <w:rStyle w:val="17"/>
          <w:rFonts w:hint="eastAsia" w:ascii="仿宋" w:hAnsi="仿宋" w:eastAsia="仿宋"/>
          <w:b w:val="0"/>
          <w:bCs/>
          <w:color w:val="auto"/>
          <w:sz w:val="32"/>
          <w:szCs w:val="32"/>
        </w:rPr>
        <w:t>（项）</w:t>
      </w:r>
      <w:r>
        <w:rPr>
          <w:rStyle w:val="17"/>
          <w:rFonts w:ascii="仿宋" w:hAnsi="仿宋" w:eastAsia="仿宋"/>
          <w:b w:val="0"/>
          <w:bCs/>
          <w:color w:val="auto"/>
          <w:sz w:val="32"/>
          <w:szCs w:val="32"/>
        </w:rPr>
        <w:t>:</w:t>
      </w:r>
      <w:r>
        <w:rPr>
          <w:rStyle w:val="17"/>
          <w:rFonts w:hint="eastAsia" w:ascii="仿宋" w:hAnsi="仿宋" w:eastAsia="仿宋"/>
          <w:b w:val="0"/>
          <w:bCs/>
          <w:color w:val="auto"/>
          <w:sz w:val="32"/>
          <w:szCs w:val="32"/>
        </w:rPr>
        <w:t xml:space="preserve"> 指反映机关事业单位实施养老保险制度由单位缴纳的基本养老保险费的支出。</w:t>
      </w:r>
    </w:p>
    <w:p>
      <w:pPr>
        <w:pStyle w:val="2"/>
        <w:spacing w:line="540" w:lineRule="exact"/>
        <w:ind w:firstLine="640" w:firstLineChars="200"/>
        <w:rPr>
          <w:color w:val="auto"/>
        </w:rPr>
      </w:pPr>
      <w:r>
        <w:rPr>
          <w:rStyle w:val="17"/>
          <w:rFonts w:hint="eastAsia" w:ascii="仿宋" w:hAnsi="仿宋" w:eastAsia="仿宋"/>
          <w:b w:val="0"/>
          <w:bCs/>
          <w:color w:val="auto"/>
          <w:sz w:val="32"/>
          <w:szCs w:val="32"/>
        </w:rPr>
        <w:t>12</w:t>
      </w:r>
      <w:r>
        <w:rPr>
          <w:rStyle w:val="17"/>
          <w:rFonts w:ascii="仿宋" w:hAnsi="仿宋" w:eastAsia="仿宋"/>
          <w:b w:val="0"/>
          <w:bCs/>
          <w:color w:val="auto"/>
          <w:sz w:val="32"/>
          <w:szCs w:val="32"/>
        </w:rPr>
        <w:t>.</w:t>
      </w:r>
      <w:r>
        <w:rPr>
          <w:rStyle w:val="17"/>
          <w:rFonts w:hint="eastAsia" w:ascii="仿宋" w:hAnsi="仿宋" w:eastAsia="仿宋"/>
          <w:b w:val="0"/>
          <w:bCs/>
          <w:color w:val="auto"/>
          <w:sz w:val="32"/>
          <w:szCs w:val="32"/>
        </w:rPr>
        <w:t>社会保障和就业</w:t>
      </w:r>
      <w:r>
        <w:rPr>
          <w:rStyle w:val="17"/>
          <w:rFonts w:ascii="仿宋" w:hAnsi="仿宋" w:eastAsia="仿宋"/>
          <w:b w:val="0"/>
          <w:bCs/>
          <w:color w:val="auto"/>
          <w:sz w:val="32"/>
          <w:szCs w:val="32"/>
        </w:rPr>
        <w:t>208</w:t>
      </w:r>
      <w:r>
        <w:rPr>
          <w:rStyle w:val="17"/>
          <w:rFonts w:hint="eastAsia" w:ascii="仿宋" w:hAnsi="仿宋" w:eastAsia="仿宋"/>
          <w:b w:val="0"/>
          <w:bCs/>
          <w:color w:val="auto"/>
          <w:sz w:val="32"/>
          <w:szCs w:val="32"/>
        </w:rPr>
        <w:t>（类）行政事业单位养老</w:t>
      </w:r>
      <w:r>
        <w:rPr>
          <w:rStyle w:val="17"/>
          <w:rFonts w:ascii="仿宋" w:hAnsi="仿宋" w:eastAsia="仿宋"/>
          <w:b w:val="0"/>
          <w:bCs/>
          <w:color w:val="auto"/>
          <w:sz w:val="32"/>
          <w:szCs w:val="32"/>
        </w:rPr>
        <w:t>05</w:t>
      </w:r>
      <w:r>
        <w:rPr>
          <w:rStyle w:val="17"/>
          <w:rFonts w:hint="eastAsia" w:ascii="仿宋" w:hAnsi="仿宋" w:eastAsia="仿宋"/>
          <w:b w:val="0"/>
          <w:bCs/>
          <w:color w:val="auto"/>
          <w:sz w:val="32"/>
          <w:szCs w:val="32"/>
        </w:rPr>
        <w:t>（款）机关事业单位职业年金缴费</w:t>
      </w:r>
      <w:r>
        <w:rPr>
          <w:rStyle w:val="17"/>
          <w:rFonts w:ascii="仿宋" w:hAnsi="仿宋" w:eastAsia="仿宋"/>
          <w:b w:val="0"/>
          <w:bCs/>
          <w:color w:val="auto"/>
          <w:sz w:val="32"/>
          <w:szCs w:val="32"/>
        </w:rPr>
        <w:t>06</w:t>
      </w:r>
      <w:r>
        <w:rPr>
          <w:rStyle w:val="17"/>
          <w:rFonts w:hint="eastAsia" w:ascii="仿宋" w:hAnsi="仿宋" w:eastAsia="仿宋"/>
          <w:b w:val="0"/>
          <w:bCs/>
          <w:color w:val="auto"/>
          <w:sz w:val="32"/>
          <w:szCs w:val="32"/>
        </w:rPr>
        <w:t>（项）</w:t>
      </w:r>
      <w:r>
        <w:rPr>
          <w:rStyle w:val="17"/>
          <w:rFonts w:ascii="仿宋" w:hAnsi="仿宋" w:eastAsia="仿宋"/>
          <w:b w:val="0"/>
          <w:bCs/>
          <w:color w:val="auto"/>
          <w:sz w:val="32"/>
          <w:szCs w:val="32"/>
        </w:rPr>
        <w:t>:</w:t>
      </w:r>
      <w:r>
        <w:rPr>
          <w:rStyle w:val="17"/>
          <w:rFonts w:hint="eastAsia" w:ascii="仿宋" w:hAnsi="仿宋" w:eastAsia="仿宋"/>
          <w:b w:val="0"/>
          <w:bCs/>
          <w:color w:val="auto"/>
          <w:sz w:val="32"/>
          <w:szCs w:val="32"/>
        </w:rPr>
        <w:t xml:space="preserve"> 指反映机关事业单位实施养老保险制度由单位实际缴纳的职业年金支出。</w:t>
      </w:r>
    </w:p>
    <w:p>
      <w:pPr>
        <w:spacing w:line="560" w:lineRule="exact"/>
        <w:ind w:firstLine="640" w:firstLineChars="200"/>
        <w:rPr>
          <w:rFonts w:ascii="仿宋" w:hAnsi="仿宋" w:eastAsia="仿宋"/>
          <w:color w:val="auto"/>
          <w:sz w:val="32"/>
          <w:szCs w:val="32"/>
        </w:rPr>
      </w:pPr>
      <w:r>
        <w:rPr>
          <w:rStyle w:val="17"/>
          <w:rFonts w:hint="eastAsia" w:ascii="仿宋" w:hAnsi="仿宋" w:eastAsia="仿宋"/>
          <w:b w:val="0"/>
          <w:bCs/>
          <w:color w:val="auto"/>
          <w:sz w:val="32"/>
          <w:szCs w:val="32"/>
        </w:rPr>
        <w:t>13</w:t>
      </w:r>
      <w:r>
        <w:rPr>
          <w:rStyle w:val="17"/>
          <w:rFonts w:ascii="仿宋" w:hAnsi="仿宋" w:eastAsia="仿宋"/>
          <w:b w:val="0"/>
          <w:bCs/>
          <w:color w:val="auto"/>
          <w:sz w:val="32"/>
          <w:szCs w:val="32"/>
        </w:rPr>
        <w:t>.</w:t>
      </w:r>
      <w:r>
        <w:rPr>
          <w:rFonts w:hint="eastAsia" w:ascii="仿宋" w:hAnsi="仿宋" w:eastAsia="仿宋"/>
          <w:bCs/>
          <w:color w:val="auto"/>
          <w:sz w:val="32"/>
          <w:szCs w:val="32"/>
        </w:rPr>
        <w:t>卫生健康</w:t>
      </w:r>
      <w:r>
        <w:rPr>
          <w:rStyle w:val="17"/>
          <w:rFonts w:ascii="仿宋" w:hAnsi="仿宋" w:eastAsia="仿宋"/>
          <w:b w:val="0"/>
          <w:bCs/>
          <w:color w:val="auto"/>
          <w:sz w:val="32"/>
          <w:szCs w:val="32"/>
        </w:rPr>
        <w:t>210</w:t>
      </w:r>
      <w:r>
        <w:rPr>
          <w:rStyle w:val="17"/>
          <w:rFonts w:hint="eastAsia" w:ascii="仿宋" w:hAnsi="仿宋" w:eastAsia="仿宋"/>
          <w:b w:val="0"/>
          <w:bCs/>
          <w:color w:val="auto"/>
          <w:sz w:val="32"/>
          <w:szCs w:val="32"/>
        </w:rPr>
        <w:t>（类）行政事业单位医疗</w:t>
      </w:r>
      <w:r>
        <w:rPr>
          <w:rStyle w:val="17"/>
          <w:rFonts w:ascii="仿宋" w:hAnsi="仿宋" w:eastAsia="仿宋"/>
          <w:b w:val="0"/>
          <w:bCs/>
          <w:color w:val="auto"/>
          <w:sz w:val="32"/>
          <w:szCs w:val="32"/>
        </w:rPr>
        <w:t>11</w:t>
      </w:r>
      <w:r>
        <w:rPr>
          <w:rStyle w:val="17"/>
          <w:rFonts w:hint="eastAsia" w:ascii="仿宋" w:hAnsi="仿宋" w:eastAsia="仿宋"/>
          <w:b w:val="0"/>
          <w:bCs/>
          <w:color w:val="auto"/>
          <w:sz w:val="32"/>
          <w:szCs w:val="32"/>
        </w:rPr>
        <w:t>（款）行政单位医疗</w:t>
      </w:r>
      <w:r>
        <w:rPr>
          <w:rStyle w:val="17"/>
          <w:rFonts w:ascii="仿宋" w:hAnsi="仿宋" w:eastAsia="仿宋"/>
          <w:b w:val="0"/>
          <w:bCs/>
          <w:color w:val="auto"/>
          <w:sz w:val="32"/>
          <w:szCs w:val="32"/>
        </w:rPr>
        <w:t>01</w:t>
      </w:r>
      <w:r>
        <w:rPr>
          <w:rStyle w:val="17"/>
          <w:rFonts w:hint="eastAsia" w:ascii="仿宋" w:hAnsi="仿宋" w:eastAsia="仿宋"/>
          <w:b w:val="0"/>
          <w:bCs/>
          <w:color w:val="auto"/>
          <w:sz w:val="32"/>
          <w:szCs w:val="32"/>
        </w:rPr>
        <w:t>（项）</w:t>
      </w:r>
      <w:r>
        <w:rPr>
          <w:rStyle w:val="17"/>
          <w:rFonts w:ascii="仿宋" w:hAnsi="仿宋" w:eastAsia="仿宋"/>
          <w:b w:val="0"/>
          <w:bCs/>
          <w:color w:val="auto"/>
          <w:sz w:val="32"/>
          <w:szCs w:val="32"/>
        </w:rPr>
        <w:t>:</w:t>
      </w:r>
      <w:r>
        <w:rPr>
          <w:rStyle w:val="17"/>
          <w:rFonts w:hint="eastAsia" w:ascii="仿宋" w:hAnsi="仿宋" w:eastAsia="仿宋"/>
          <w:b w:val="0"/>
          <w:bCs/>
          <w:color w:val="auto"/>
          <w:sz w:val="32"/>
          <w:szCs w:val="32"/>
        </w:rPr>
        <w:t xml:space="preserve"> 指反映财政部门安排的行政单位（包括实行公务员管理的事业单位，下同）基本医疗保险缴费经费，未参加医疗保险的行政单位的公费医疗经费，按国家规定享受离休人员、红军老战士待遇人员的医疗经费。</w:t>
      </w:r>
    </w:p>
    <w:p>
      <w:pPr>
        <w:spacing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14.住房保障</w:t>
      </w:r>
      <w:r>
        <w:rPr>
          <w:rStyle w:val="17"/>
          <w:rFonts w:ascii="仿宋" w:hAnsi="仿宋" w:eastAsia="仿宋"/>
          <w:b w:val="0"/>
          <w:bCs/>
          <w:color w:val="auto"/>
          <w:sz w:val="32"/>
          <w:szCs w:val="32"/>
        </w:rPr>
        <w:t>221</w:t>
      </w:r>
      <w:r>
        <w:rPr>
          <w:rStyle w:val="17"/>
          <w:rFonts w:hint="eastAsia" w:ascii="仿宋" w:hAnsi="仿宋" w:eastAsia="仿宋"/>
          <w:b w:val="0"/>
          <w:bCs/>
          <w:color w:val="auto"/>
          <w:sz w:val="32"/>
          <w:szCs w:val="32"/>
        </w:rPr>
        <w:t>（类）住房改革支出</w:t>
      </w:r>
      <w:r>
        <w:rPr>
          <w:rStyle w:val="17"/>
          <w:rFonts w:ascii="仿宋" w:hAnsi="仿宋" w:eastAsia="仿宋"/>
          <w:b w:val="0"/>
          <w:bCs/>
          <w:color w:val="auto"/>
          <w:sz w:val="32"/>
          <w:szCs w:val="32"/>
        </w:rPr>
        <w:t>02</w:t>
      </w:r>
      <w:r>
        <w:rPr>
          <w:rStyle w:val="17"/>
          <w:rFonts w:hint="eastAsia" w:ascii="仿宋" w:hAnsi="仿宋" w:eastAsia="仿宋"/>
          <w:b w:val="0"/>
          <w:bCs/>
          <w:color w:val="auto"/>
          <w:sz w:val="32"/>
          <w:szCs w:val="32"/>
        </w:rPr>
        <w:t>（款）住房公积金</w:t>
      </w:r>
      <w:r>
        <w:rPr>
          <w:rStyle w:val="17"/>
          <w:rFonts w:ascii="仿宋" w:hAnsi="仿宋" w:eastAsia="仿宋"/>
          <w:b w:val="0"/>
          <w:bCs/>
          <w:color w:val="auto"/>
          <w:sz w:val="32"/>
          <w:szCs w:val="32"/>
        </w:rPr>
        <w:t>01</w:t>
      </w:r>
      <w:r>
        <w:rPr>
          <w:rStyle w:val="17"/>
          <w:rFonts w:hint="eastAsia" w:ascii="仿宋" w:hAnsi="仿宋" w:eastAsia="仿宋"/>
          <w:b w:val="0"/>
          <w:bCs/>
          <w:color w:val="auto"/>
          <w:sz w:val="32"/>
          <w:szCs w:val="32"/>
        </w:rPr>
        <w:t>（项）</w:t>
      </w:r>
      <w:r>
        <w:rPr>
          <w:rStyle w:val="17"/>
          <w:rFonts w:ascii="仿宋" w:hAnsi="仿宋" w:eastAsia="仿宋"/>
          <w:b w:val="0"/>
          <w:bCs/>
          <w:color w:val="auto"/>
          <w:sz w:val="32"/>
          <w:szCs w:val="32"/>
        </w:rPr>
        <w:t>:</w:t>
      </w:r>
      <w:r>
        <w:rPr>
          <w:rStyle w:val="17"/>
          <w:rFonts w:hint="eastAsia" w:ascii="仿宋" w:hAnsi="仿宋" w:eastAsia="仿宋"/>
          <w:b w:val="0"/>
          <w:bCs/>
          <w:color w:val="auto"/>
          <w:sz w:val="32"/>
          <w:szCs w:val="32"/>
        </w:rPr>
        <w:t xml:space="preserve"> 指反映行政事业单位按人力资源和社会保障部、财政部规定的基本工资和津贴补贴以及规定比例为职工缴纳的住房公积金。</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15</w:t>
      </w:r>
      <w:r>
        <w:rPr>
          <w:rFonts w:ascii="仿宋_GB2312" w:eastAsia="仿宋_GB2312"/>
          <w:color w:val="auto"/>
          <w:sz w:val="32"/>
          <w:szCs w:val="32"/>
        </w:rPr>
        <w:t>.</w:t>
      </w:r>
      <w:r>
        <w:rPr>
          <w:rFonts w:hint="eastAsia" w:ascii="仿宋_GB2312" w:eastAsia="仿宋_GB2312"/>
          <w:color w:val="auto"/>
          <w:sz w:val="32"/>
          <w:szCs w:val="32"/>
        </w:rPr>
        <w:t>基本支出：指为保障机构正常运转、完成日常工作任务而发生的人员支出和公用支出。</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16</w:t>
      </w:r>
      <w:r>
        <w:rPr>
          <w:rFonts w:ascii="仿宋_GB2312" w:eastAsia="仿宋_GB2312"/>
          <w:color w:val="auto"/>
          <w:sz w:val="32"/>
          <w:szCs w:val="32"/>
        </w:rPr>
        <w:t>.</w:t>
      </w:r>
      <w:r>
        <w:rPr>
          <w:rFonts w:hint="eastAsia" w:ascii="仿宋_GB2312" w:eastAsia="仿宋_GB2312"/>
          <w:color w:val="auto"/>
          <w:sz w:val="32"/>
          <w:szCs w:val="32"/>
        </w:rPr>
        <w:t>项目支出：指在基本支出之外为完成特定行政任务和事业发展目标所发生的支出。</w:t>
      </w:r>
      <w:r>
        <w:rPr>
          <w:rFonts w:ascii="仿宋_GB2312" w:eastAsia="仿宋_GB2312"/>
          <w:color w:val="auto"/>
          <w:sz w:val="32"/>
          <w:szCs w:val="32"/>
        </w:rPr>
        <w:t xml:space="preserve"> </w:t>
      </w:r>
    </w:p>
    <w:p>
      <w:pPr>
        <w:pStyle w:val="3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17</w:t>
      </w:r>
      <w:r>
        <w:rPr>
          <w:rFonts w:ascii="仿宋_GB2312" w:eastAsia="仿宋_GB2312"/>
          <w:color w:val="auto"/>
          <w:sz w:val="32"/>
          <w:szCs w:val="32"/>
        </w:rPr>
        <w:t>.</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560" w:lineRule="exact"/>
        <w:ind w:firstLine="645"/>
        <w:rPr>
          <w:rFonts w:ascii="仿宋" w:hAnsi="仿宋" w:eastAsia="仿宋"/>
          <w:b/>
          <w:color w:val="auto"/>
          <w:sz w:val="32"/>
          <w:szCs w:val="32"/>
        </w:rPr>
      </w:pPr>
      <w:r>
        <w:rPr>
          <w:rFonts w:hint="eastAsia" w:ascii="仿宋_GB2312" w:eastAsia="仿宋_GB2312"/>
          <w:color w:val="auto"/>
          <w:sz w:val="32"/>
          <w:szCs w:val="32"/>
        </w:rPr>
        <w:t>18</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w:t>
      </w:r>
      <w:r>
        <w:rPr>
          <w:rFonts w:hint="eastAsia" w:ascii="仿宋" w:hAnsi="仿宋" w:eastAsia="仿宋"/>
          <w:color w:val="auto"/>
          <w:sz w:val="32"/>
          <w:szCs w:val="32"/>
        </w:rPr>
        <w:t>办公费、印刷费、水费、电费、邮电费、物业管理费、差旅费、维修（护）费、会议费、培训费、公务接待费、劳务费、委托业务费、工会经费、福利费、公务用车运行维护费、其他交通费、其他商品和服务支出等。</w:t>
      </w:r>
    </w:p>
    <w:p>
      <w:pPr>
        <w:spacing w:line="560" w:lineRule="exact"/>
        <w:ind w:firstLine="642" w:firstLineChars="200"/>
        <w:rPr>
          <w:rFonts w:ascii="仿宋" w:hAnsi="仿宋" w:eastAsia="仿宋"/>
          <w:b/>
          <w:color w:val="auto"/>
          <w:sz w:val="32"/>
          <w:szCs w:val="32"/>
        </w:rPr>
      </w:pPr>
    </w:p>
    <w:p>
      <w:pPr>
        <w:spacing w:line="560" w:lineRule="exact"/>
        <w:jc w:val="center"/>
        <w:outlineLvl w:val="0"/>
        <w:rPr>
          <w:rStyle w:val="21"/>
          <w:rFonts w:ascii="黑体" w:hAnsi="黑体" w:eastAsia="黑体"/>
          <w:b w:val="0"/>
          <w:color w:val="auto"/>
        </w:rPr>
      </w:pPr>
      <w:bookmarkStart w:id="57" w:name="_Toc15377226"/>
      <w:r>
        <w:rPr>
          <w:rFonts w:ascii="宋体"/>
          <w:b/>
          <w:color w:val="auto"/>
          <w:sz w:val="44"/>
          <w:szCs w:val="44"/>
        </w:rPr>
        <w:br w:type="page"/>
      </w:r>
      <w:bookmarkStart w:id="58" w:name="_Toc15396614"/>
      <w:r>
        <w:rPr>
          <w:rFonts w:hint="eastAsia" w:ascii="黑体" w:hAnsi="黑体" w:eastAsia="黑体"/>
          <w:color w:val="auto"/>
          <w:sz w:val="44"/>
          <w:szCs w:val="44"/>
        </w:rPr>
        <w:t>第</w:t>
      </w:r>
      <w:r>
        <w:rPr>
          <w:rStyle w:val="21"/>
          <w:rFonts w:hint="eastAsia" w:ascii="黑体" w:hAnsi="黑体" w:eastAsia="黑体"/>
          <w:b w:val="0"/>
          <w:color w:val="auto"/>
        </w:rPr>
        <w:t>四部分    附件</w:t>
      </w:r>
      <w:bookmarkEnd w:id="58"/>
    </w:p>
    <w:p>
      <w:pPr>
        <w:spacing w:line="560" w:lineRule="exact"/>
        <w:jc w:val="left"/>
        <w:outlineLvl w:val="0"/>
        <w:rPr>
          <w:rFonts w:ascii="方正小标宋简体" w:hAnsi="方正小标宋简体" w:eastAsia="方正小标宋简体" w:cs="方正小标宋简体"/>
          <w:color w:val="auto"/>
          <w:sz w:val="32"/>
          <w:szCs w:val="32"/>
        </w:rPr>
      </w:pPr>
      <w:r>
        <w:rPr>
          <w:rFonts w:hint="eastAsia" w:ascii="黑体" w:hAnsi="黑体" w:eastAsia="黑体" w:cs="黑体"/>
          <w:color w:val="auto"/>
          <w:sz w:val="32"/>
          <w:szCs w:val="32"/>
        </w:rPr>
        <w:t>附件</w:t>
      </w:r>
      <w:r>
        <w:rPr>
          <w:rFonts w:ascii="黑体" w:hAnsi="黑体" w:eastAsia="黑体" w:cs="黑体"/>
          <w:color w:val="auto"/>
          <w:sz w:val="32"/>
          <w:szCs w:val="32"/>
        </w:rPr>
        <w:t>1</w:t>
      </w:r>
    </w:p>
    <w:p>
      <w:pPr>
        <w:spacing w:line="560" w:lineRule="exact"/>
        <w:jc w:val="center"/>
        <w:rPr>
          <w:rFonts w:ascii="方正小标宋简体" w:hAnsi="方正小标宋简体" w:eastAsia="方正小标宋简体" w:cs="方正小标宋简体"/>
          <w:color w:val="auto"/>
          <w:sz w:val="44"/>
          <w:szCs w:val="44"/>
        </w:rPr>
      </w:pPr>
    </w:p>
    <w:p>
      <w:pPr>
        <w:spacing w:line="600" w:lineRule="exact"/>
        <w:jc w:val="center"/>
        <w:outlineLvl w:val="0"/>
        <w:rPr>
          <w:rFonts w:ascii="方正小标宋简体" w:hAnsi="方正小标宋简体" w:eastAsia="方正小标宋简体" w:cs="方正小标宋简体"/>
          <w:color w:val="auto"/>
          <w:sz w:val="44"/>
          <w:szCs w:val="44"/>
        </w:rPr>
      </w:pPr>
      <w:bookmarkStart w:id="59" w:name="_Toc15396616"/>
      <w:r>
        <w:rPr>
          <w:rFonts w:hint="eastAsia" w:ascii="方正小标宋简体" w:hAnsi="方正小标宋简体" w:eastAsia="方正小标宋简体" w:cs="方正小标宋简体"/>
          <w:color w:val="auto"/>
          <w:sz w:val="44"/>
          <w:szCs w:val="44"/>
        </w:rPr>
        <w:t>中共广元市委统战部</w:t>
      </w:r>
    </w:p>
    <w:p>
      <w:pPr>
        <w:spacing w:line="600" w:lineRule="exact"/>
        <w:jc w:val="center"/>
        <w:outlineLvl w:val="0"/>
        <w:rPr>
          <w:rFonts w:ascii="黑体" w:hAnsi="黑体" w:eastAsia="黑体" w:cs="方正小标宋简体"/>
          <w:color w:val="auto"/>
          <w:sz w:val="36"/>
          <w:szCs w:val="36"/>
        </w:rPr>
      </w:pPr>
      <w:r>
        <w:rPr>
          <w:rFonts w:ascii="方正小标宋简体" w:hAnsi="方正小标宋简体" w:eastAsia="方正小标宋简体" w:cs="方正小标宋简体"/>
          <w:color w:val="auto"/>
          <w:sz w:val="44"/>
          <w:szCs w:val="44"/>
        </w:rPr>
        <w:t>20</w:t>
      </w:r>
      <w:r>
        <w:rPr>
          <w:rFonts w:hint="eastAsia" w:ascii="方正小标宋简体" w:hAnsi="方正小标宋简体" w:eastAsia="方正小标宋简体" w:cs="方正小标宋简体"/>
          <w:color w:val="auto"/>
          <w:sz w:val="44"/>
          <w:szCs w:val="44"/>
        </w:rPr>
        <w:t>20年部门整体支出绩效评价报告</w:t>
      </w:r>
      <w:bookmarkEnd w:id="59"/>
    </w:p>
    <w:p>
      <w:pPr>
        <w:widowControl/>
        <w:adjustRightInd w:val="0"/>
        <w:snapToGrid w:val="0"/>
        <w:spacing w:line="560" w:lineRule="exact"/>
        <w:ind w:firstLine="480" w:firstLineChars="200"/>
        <w:contextualSpacing/>
        <w:jc w:val="left"/>
        <w:rPr>
          <w:rFonts w:ascii="黑体" w:hAnsi="宋体" w:eastAsia="黑体" w:cs="宋体"/>
          <w:color w:val="auto"/>
          <w:kern w:val="0"/>
          <w:sz w:val="24"/>
          <w:szCs w:val="32"/>
          <w:shd w:val="clear" w:color="auto" w:fill="FFFFFF"/>
        </w:rPr>
      </w:pPr>
    </w:p>
    <w:p>
      <w:pPr>
        <w:widowControl/>
        <w:adjustRightInd w:val="0"/>
        <w:snapToGrid w:val="0"/>
        <w:spacing w:line="560" w:lineRule="exact"/>
        <w:ind w:firstLine="640" w:firstLineChars="200"/>
        <w:contextualSpacing/>
        <w:jc w:val="left"/>
        <w:rPr>
          <w:rFonts w:ascii="黑体" w:hAnsi="宋体" w:eastAsia="黑体" w:cs="宋体"/>
          <w:color w:val="auto"/>
          <w:kern w:val="0"/>
          <w:sz w:val="32"/>
          <w:szCs w:val="32"/>
          <w:shd w:val="clear" w:color="auto" w:fill="FFFFFF"/>
          <w:lang w:val="zh-CN"/>
        </w:rPr>
      </w:pPr>
      <w:r>
        <w:rPr>
          <w:rFonts w:hint="eastAsia" w:ascii="黑体" w:hAnsi="宋体" w:eastAsia="黑体" w:cs="宋体"/>
          <w:color w:val="auto"/>
          <w:kern w:val="0"/>
          <w:sz w:val="32"/>
          <w:szCs w:val="32"/>
          <w:shd w:val="clear" w:color="auto" w:fill="FFFFFF"/>
        </w:rPr>
        <w:t>一、</w:t>
      </w:r>
      <w:r>
        <w:rPr>
          <w:rFonts w:hint="eastAsia" w:ascii="黑体" w:hAnsi="宋体" w:eastAsia="黑体" w:cs="宋体"/>
          <w:color w:val="auto"/>
          <w:kern w:val="0"/>
          <w:sz w:val="32"/>
          <w:szCs w:val="32"/>
          <w:shd w:val="clear" w:color="auto" w:fill="FFFFFF"/>
          <w:lang w:val="zh-CN"/>
        </w:rPr>
        <w:t>部门（单位）概况</w:t>
      </w:r>
    </w:p>
    <w:p>
      <w:pPr>
        <w:widowControl/>
        <w:adjustRightInd w:val="0"/>
        <w:snapToGrid w:val="0"/>
        <w:spacing w:line="560" w:lineRule="exact"/>
        <w:ind w:firstLine="640" w:firstLineChars="200"/>
        <w:contextualSpacing/>
        <w:jc w:val="left"/>
        <w:rPr>
          <w:rFonts w:hint="eastAsia" w:ascii="仿宋_GB2312" w:hAnsi="宋体" w:eastAsia="仿宋_GB2312" w:cs="宋体"/>
          <w:color w:val="auto"/>
          <w:kern w:val="0"/>
          <w:sz w:val="32"/>
          <w:szCs w:val="32"/>
          <w:shd w:val="clear" w:color="auto" w:fill="FFFFFF"/>
          <w:lang w:val="zh-CN"/>
        </w:rPr>
      </w:pPr>
      <w:r>
        <w:rPr>
          <w:rFonts w:hint="eastAsia" w:ascii="仿宋_GB2312" w:hAnsi="宋体" w:eastAsia="仿宋_GB2312" w:cs="宋体"/>
          <w:color w:val="auto"/>
          <w:kern w:val="0"/>
          <w:sz w:val="32"/>
          <w:szCs w:val="32"/>
          <w:shd w:val="clear" w:color="auto" w:fill="FFFFFF"/>
          <w:lang w:val="zh-CN"/>
        </w:rPr>
        <w:t>（一）机构组成。</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市委统战部</w:t>
      </w:r>
      <w:r>
        <w:rPr>
          <w:rFonts w:hint="eastAsia" w:ascii="仿宋_GB2312" w:hAnsi="仿宋_GB2312" w:eastAsia="仿宋_GB2312" w:cs="仿宋_GB2312"/>
          <w:color w:val="auto"/>
          <w:sz w:val="32"/>
          <w:szCs w:val="32"/>
          <w:lang w:eastAsia="zh-CN"/>
        </w:rPr>
        <w:t>属</w:t>
      </w:r>
      <w:r>
        <w:rPr>
          <w:rFonts w:hint="eastAsia" w:ascii="仿宋_GB2312" w:hAnsi="仿宋_GB2312" w:eastAsia="仿宋_GB2312" w:cs="仿宋_GB2312"/>
          <w:color w:val="auto"/>
          <w:sz w:val="32"/>
          <w:szCs w:val="32"/>
        </w:rPr>
        <w:t>行政单位。</w:t>
      </w:r>
    </w:p>
    <w:p>
      <w:pPr>
        <w:widowControl/>
        <w:adjustRightInd w:val="0"/>
        <w:snapToGrid w:val="0"/>
        <w:spacing w:line="560" w:lineRule="exact"/>
        <w:ind w:firstLine="640" w:firstLineChars="200"/>
        <w:contextualSpacing/>
        <w:jc w:val="left"/>
        <w:rPr>
          <w:rFonts w:hint="eastAsia" w:ascii="仿宋_GB2312" w:hAnsi="宋体" w:eastAsia="仿宋_GB2312" w:cs="宋体"/>
          <w:color w:val="auto"/>
          <w:kern w:val="0"/>
          <w:sz w:val="32"/>
          <w:szCs w:val="32"/>
          <w:shd w:val="clear" w:color="auto" w:fill="FFFFFF"/>
          <w:lang w:val="zh-CN"/>
        </w:rPr>
      </w:pPr>
      <w:r>
        <w:rPr>
          <w:rFonts w:hint="eastAsia" w:ascii="仿宋_GB2312" w:hAnsi="宋体" w:eastAsia="仿宋_GB2312" w:cs="宋体"/>
          <w:color w:val="auto"/>
          <w:kern w:val="0"/>
          <w:sz w:val="32"/>
          <w:szCs w:val="32"/>
          <w:shd w:val="clear" w:color="auto" w:fill="FFFFFF"/>
          <w:lang w:val="zh-CN"/>
        </w:rPr>
        <w:t>（二）机构职能。</w:t>
      </w:r>
    </w:p>
    <w:p>
      <w:pPr>
        <w:spacing w:line="56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贯彻落实党中央、省委、市委关于统一战线工作重大决策部署，协调统一战线各方面关系，组织落实巩固壮大最广泛的统一战线。</w:t>
      </w:r>
    </w:p>
    <w:p>
      <w:pPr>
        <w:spacing w:line="560" w:lineRule="exact"/>
        <w:ind w:firstLine="64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深入调查研究，及时向市委报告统一战线工作情况并提出建议。统筹协调和指导各县区、各部门（单位）统一战线工作。</w:t>
      </w:r>
    </w:p>
    <w:p>
      <w:pPr>
        <w:spacing w:line="560" w:lineRule="exact"/>
        <w:ind w:firstLine="64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负责发现、培养党外代表人士，制定党外干部培养规划。反映和协调解决党外代表人士工作、生活中的实际困难。</w:t>
      </w:r>
    </w:p>
    <w:p>
      <w:pPr>
        <w:spacing w:line="560" w:lineRule="exact"/>
        <w:ind w:firstLine="64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rPr>
        <w:t>贯彻落实党的宣传工作方针，统筹推进全市统一战线宣传和意识形态工作，落实党中央、省委、市委统一战线宣传工作政策和规划，统筹推进网络人士统战工作。</w:t>
      </w:r>
    </w:p>
    <w:p>
      <w:pPr>
        <w:spacing w:line="560" w:lineRule="exact"/>
        <w:ind w:firstLine="64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t>负责联系各民主党派，通报情况、反映意见、制定年度政党协商计划，贯彻落实中国共产党领导的多党合作和政治协商制度以及对民主党派的方针政策，支持、协助民主党派加强中国特色社会主义参政党建设。</w:t>
      </w:r>
    </w:p>
    <w:p>
      <w:pPr>
        <w:spacing w:line="560" w:lineRule="exact"/>
        <w:ind w:firstLine="64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rPr>
        <w:t>贯彻落实党的民族工作方针，统筹协调做好少数民族干部工作。依法管理民族事务，全面促进民族事业发展。</w:t>
      </w:r>
    </w:p>
    <w:p>
      <w:pPr>
        <w:spacing w:line="560" w:lineRule="exact"/>
        <w:ind w:firstLine="64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7.</w:t>
      </w:r>
      <w:r>
        <w:rPr>
          <w:rFonts w:hint="eastAsia" w:ascii="仿宋_GB2312" w:hAnsi="仿宋_GB2312" w:eastAsia="仿宋_GB2312" w:cs="仿宋_GB2312"/>
          <w:color w:val="auto"/>
          <w:sz w:val="32"/>
          <w:szCs w:val="32"/>
        </w:rPr>
        <w:t>贯彻落实党的宗教工作基本方针和政策。依法管理宗教事务，保护公民宗教信仰自由和正常的宗教活动，维护宗教界合法权益。</w:t>
      </w:r>
    </w:p>
    <w:p>
      <w:pPr>
        <w:spacing w:line="560" w:lineRule="exact"/>
        <w:ind w:firstLine="64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rPr>
        <w:t>负责联系、培养无党派代表人士，联系、培养党外知识分子代表人士，指导高等学校、科研院所、国有企业等有关单位开展统战工作。</w:t>
      </w:r>
    </w:p>
    <w:p>
      <w:pPr>
        <w:spacing w:line="560" w:lineRule="exact"/>
        <w:ind w:firstLine="64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rPr>
        <w:t>负责联系、培养新的社会阶层代表人士。调查研究全市新的社会阶层人士情况并提出政策建议，指导社会组织开展新的社会阶层人士统战工作。</w:t>
      </w:r>
    </w:p>
    <w:p>
      <w:pPr>
        <w:spacing w:line="560" w:lineRule="exact"/>
        <w:ind w:firstLine="64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10.</w:t>
      </w:r>
      <w:r>
        <w:rPr>
          <w:rFonts w:hint="eastAsia" w:ascii="仿宋_GB2312" w:hAnsi="仿宋_GB2312" w:eastAsia="仿宋_GB2312" w:cs="仿宋_GB2312"/>
          <w:color w:val="auto"/>
          <w:sz w:val="32"/>
          <w:szCs w:val="32"/>
        </w:rPr>
        <w:t>做好非公有制经济领域统战工作，负责全市非公有制经济代表人士工作，参与制定、推动落实鼓励支持引导非公有制经济发展的政策，调查研究全市非公有制经济人士的意见，团结、服务、引导、教育非公有制经济人士，促进非公有制经济健康发展和非公有制经济人士健康成长。</w:t>
      </w:r>
    </w:p>
    <w:p>
      <w:pPr>
        <w:spacing w:line="560" w:lineRule="exact"/>
        <w:ind w:firstLine="64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11.</w:t>
      </w:r>
      <w:r>
        <w:rPr>
          <w:rFonts w:hint="eastAsia" w:ascii="仿宋_GB2312" w:hAnsi="仿宋_GB2312" w:eastAsia="仿宋_GB2312" w:cs="仿宋_GB2312"/>
          <w:color w:val="auto"/>
          <w:sz w:val="32"/>
          <w:szCs w:val="32"/>
        </w:rPr>
        <w:t>贯彻落实党的海外统战工作政策和规划并组织协调、督促检查落实，联系香港、澳门有关党派、团体及代表人士。</w:t>
      </w:r>
    </w:p>
    <w:p>
      <w:pPr>
        <w:spacing w:line="560" w:lineRule="exact"/>
        <w:ind w:firstLine="64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12.</w:t>
      </w:r>
      <w:r>
        <w:rPr>
          <w:rFonts w:hint="eastAsia" w:ascii="仿宋_GB2312" w:hAnsi="仿宋_GB2312" w:eastAsia="仿宋_GB2312" w:cs="仿宋_GB2312"/>
          <w:color w:val="auto"/>
          <w:sz w:val="32"/>
          <w:szCs w:val="32"/>
        </w:rPr>
        <w:t>贯彻落实党的对台工作方针政策。指导、协调、检查市级部门（单位）和各县（区）及大企业对台工作。开展广台交流联络活动，协调指导有关部门开展对台经贸工作和金融、文化、学术、体育、科技、卫生等各个领域的交流与合作，以及广台人员来往、考察、研讨等工作。会同有关部门依法开展涉台权益保护工作。</w:t>
      </w:r>
    </w:p>
    <w:p>
      <w:pPr>
        <w:spacing w:line="560" w:lineRule="exact"/>
        <w:ind w:firstLine="64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13.</w:t>
      </w:r>
      <w:r>
        <w:rPr>
          <w:rFonts w:hint="eastAsia" w:ascii="仿宋_GB2312" w:hAnsi="仿宋_GB2312" w:eastAsia="仿宋_GB2312" w:cs="仿宋_GB2312"/>
          <w:color w:val="auto"/>
          <w:sz w:val="32"/>
          <w:szCs w:val="32"/>
        </w:rPr>
        <w:t>贯彻落实党的侨务工作方针政策，管理侨务事务，统筹协调有关部门和社会团体涉侨工作，联系海外有关侨团和代表人士，指导推动涉侨宣传、文化交流、华文教育工作等，保护华侨和归侨侨眷在市内的合法权利和利益。</w:t>
      </w:r>
    </w:p>
    <w:p>
      <w:pPr>
        <w:spacing w:line="560" w:lineRule="exact"/>
        <w:ind w:firstLine="64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14.</w:t>
      </w:r>
      <w:r>
        <w:rPr>
          <w:rFonts w:hint="eastAsia" w:ascii="仿宋_GB2312" w:hAnsi="仿宋_GB2312" w:eastAsia="仿宋_GB2312" w:cs="仿宋_GB2312"/>
          <w:color w:val="auto"/>
          <w:sz w:val="32"/>
          <w:szCs w:val="32"/>
        </w:rPr>
        <w:t>协助管理县（区）党委统战部部长。负责县区统战部负责人培训工作。受市委委托，领导市工商联党组，指导工商联工作。指导市党外知识分子联谊会、市新的社会阶层人士联谊会、市中华职业教育社等工作。指导市社会主义学院工作。做好统一战线有关单位和团体及事业单位的管理工作。</w:t>
      </w:r>
    </w:p>
    <w:p>
      <w:pPr>
        <w:spacing w:line="560" w:lineRule="exact"/>
        <w:ind w:firstLine="64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15.</w:t>
      </w:r>
      <w:r>
        <w:rPr>
          <w:rFonts w:hint="eastAsia" w:ascii="仿宋_GB2312" w:hAnsi="仿宋_GB2312" w:eastAsia="仿宋_GB2312" w:cs="仿宋_GB2312"/>
          <w:color w:val="auto"/>
          <w:sz w:val="32"/>
          <w:szCs w:val="32"/>
        </w:rPr>
        <w:t>完成市委交办的其他任务。</w:t>
      </w:r>
    </w:p>
    <w:p>
      <w:pPr>
        <w:widowControl/>
        <w:adjustRightInd w:val="0"/>
        <w:snapToGrid w:val="0"/>
        <w:spacing w:line="560" w:lineRule="exact"/>
        <w:ind w:firstLine="640" w:firstLineChars="200"/>
        <w:contextualSpacing/>
        <w:jc w:val="left"/>
        <w:rPr>
          <w:rFonts w:hint="eastAsia" w:ascii="仿宋_GB2312" w:hAnsi="宋体" w:eastAsia="仿宋_GB2312" w:cs="宋体"/>
          <w:color w:val="auto"/>
          <w:kern w:val="0"/>
          <w:sz w:val="32"/>
          <w:szCs w:val="32"/>
          <w:shd w:val="clear" w:color="auto" w:fill="FFFFFF"/>
          <w:lang w:val="zh-CN"/>
        </w:rPr>
      </w:pPr>
      <w:r>
        <w:rPr>
          <w:rFonts w:hint="eastAsia" w:ascii="仿宋_GB2312" w:hAnsi="宋体" w:eastAsia="仿宋_GB2312" w:cs="宋体"/>
          <w:color w:val="auto"/>
          <w:kern w:val="0"/>
          <w:sz w:val="32"/>
          <w:szCs w:val="32"/>
          <w:shd w:val="clear" w:color="auto" w:fill="FFFFFF"/>
          <w:lang w:val="zh-CN"/>
        </w:rPr>
        <w:t>（三）人员概况。</w:t>
      </w:r>
    </w:p>
    <w:p>
      <w:pPr>
        <w:pStyle w:val="2"/>
        <w:spacing w:line="560" w:lineRule="exact"/>
        <w:ind w:firstLine="640" w:firstLineChars="200"/>
        <w:rPr>
          <w:rFonts w:ascii="仿宋_GB2312" w:hAnsi="仿宋_GB2312" w:eastAsia="仿宋_GB2312" w:cs="仿宋_GB2312"/>
          <w:color w:val="auto"/>
          <w:kern w:val="2"/>
          <w:sz w:val="32"/>
          <w:szCs w:val="32"/>
        </w:rPr>
      </w:pPr>
      <w:r>
        <w:rPr>
          <w:rFonts w:ascii="仿宋_GB2312" w:hAnsi="仿宋_GB2312" w:eastAsia="仿宋_GB2312" w:cs="仿宋_GB2312"/>
          <w:color w:val="auto"/>
          <w:kern w:val="2"/>
          <w:sz w:val="32"/>
          <w:szCs w:val="32"/>
        </w:rPr>
        <w:t>20</w:t>
      </w:r>
      <w:r>
        <w:rPr>
          <w:rFonts w:hint="eastAsia" w:ascii="仿宋_GB2312" w:hAnsi="仿宋_GB2312" w:eastAsia="仿宋_GB2312" w:cs="仿宋_GB2312"/>
          <w:color w:val="auto"/>
          <w:kern w:val="2"/>
          <w:sz w:val="32"/>
          <w:szCs w:val="32"/>
        </w:rPr>
        <w:t>20年市委统战部总编制</w:t>
      </w:r>
      <w:r>
        <w:rPr>
          <w:rFonts w:hint="eastAsia" w:ascii="仿宋_GB2312" w:hAnsi="仿宋_GB2312" w:eastAsia="仿宋_GB2312" w:cs="仿宋_GB2312"/>
          <w:color w:val="auto"/>
          <w:kern w:val="2"/>
          <w:sz w:val="32"/>
          <w:szCs w:val="32"/>
          <w:lang w:val="en-US" w:eastAsia="zh-CN"/>
        </w:rPr>
        <w:t>41</w:t>
      </w:r>
      <w:r>
        <w:rPr>
          <w:rFonts w:hint="eastAsia" w:ascii="仿宋_GB2312" w:hAnsi="仿宋_GB2312" w:eastAsia="仿宋_GB2312" w:cs="仿宋_GB2312"/>
          <w:color w:val="auto"/>
          <w:kern w:val="2"/>
          <w:sz w:val="32"/>
          <w:szCs w:val="32"/>
        </w:rPr>
        <w:t>名，其中行政编制</w:t>
      </w:r>
      <w:r>
        <w:rPr>
          <w:rFonts w:hint="eastAsia" w:ascii="仿宋_GB2312" w:hAnsi="仿宋_GB2312" w:eastAsia="仿宋_GB2312" w:cs="仿宋_GB2312"/>
          <w:color w:val="auto"/>
          <w:kern w:val="2"/>
          <w:sz w:val="32"/>
          <w:szCs w:val="32"/>
          <w:lang w:val="en-US" w:eastAsia="zh-CN"/>
        </w:rPr>
        <w:t>22</w:t>
      </w:r>
      <w:r>
        <w:rPr>
          <w:rFonts w:hint="eastAsia" w:ascii="仿宋_GB2312" w:hAnsi="仿宋_GB2312" w:eastAsia="仿宋_GB2312" w:cs="仿宋_GB2312"/>
          <w:color w:val="auto"/>
          <w:kern w:val="2"/>
          <w:sz w:val="32"/>
          <w:szCs w:val="32"/>
        </w:rPr>
        <w:t>名，事业编制</w:t>
      </w:r>
      <w:r>
        <w:rPr>
          <w:rFonts w:ascii="仿宋_GB2312" w:hAnsi="仿宋_GB2312" w:eastAsia="仿宋_GB2312" w:cs="仿宋_GB2312"/>
          <w:color w:val="auto"/>
          <w:kern w:val="2"/>
          <w:sz w:val="32"/>
          <w:szCs w:val="32"/>
        </w:rPr>
        <w:t>1</w:t>
      </w:r>
      <w:r>
        <w:rPr>
          <w:rFonts w:hint="eastAsia" w:ascii="仿宋_GB2312" w:hAnsi="仿宋_GB2312" w:eastAsia="仿宋_GB2312" w:cs="仿宋_GB2312"/>
          <w:color w:val="auto"/>
          <w:kern w:val="2"/>
          <w:sz w:val="32"/>
          <w:szCs w:val="32"/>
        </w:rPr>
        <w:t>5名，工勤编制</w:t>
      </w:r>
      <w:r>
        <w:rPr>
          <w:rFonts w:ascii="仿宋_GB2312" w:hAnsi="仿宋_GB2312" w:eastAsia="仿宋_GB2312" w:cs="仿宋_GB2312"/>
          <w:color w:val="auto"/>
          <w:kern w:val="2"/>
          <w:sz w:val="32"/>
          <w:szCs w:val="32"/>
        </w:rPr>
        <w:t>4</w:t>
      </w:r>
      <w:r>
        <w:rPr>
          <w:rFonts w:hint="eastAsia" w:ascii="仿宋_GB2312" w:hAnsi="仿宋_GB2312" w:eastAsia="仿宋_GB2312" w:cs="仿宋_GB2312"/>
          <w:color w:val="auto"/>
          <w:kern w:val="2"/>
          <w:sz w:val="32"/>
          <w:szCs w:val="32"/>
        </w:rPr>
        <w:t>名。在职人员总数</w:t>
      </w:r>
      <w:r>
        <w:rPr>
          <w:rFonts w:hint="eastAsia" w:ascii="仿宋_GB2312" w:hAnsi="仿宋_GB2312" w:eastAsia="仿宋_GB2312" w:cs="仿宋_GB2312"/>
          <w:color w:val="auto"/>
          <w:kern w:val="2"/>
          <w:sz w:val="32"/>
          <w:szCs w:val="32"/>
          <w:lang w:val="en-US" w:eastAsia="zh-CN"/>
        </w:rPr>
        <w:t>40</w:t>
      </w:r>
      <w:r>
        <w:rPr>
          <w:rFonts w:hint="eastAsia" w:ascii="仿宋_GB2312" w:hAnsi="仿宋_GB2312" w:eastAsia="仿宋_GB2312" w:cs="仿宋_GB2312"/>
          <w:color w:val="auto"/>
          <w:kern w:val="2"/>
          <w:sz w:val="32"/>
          <w:szCs w:val="32"/>
        </w:rPr>
        <w:t>人，其中行政人员</w:t>
      </w:r>
      <w:r>
        <w:rPr>
          <w:rFonts w:hint="eastAsia" w:ascii="仿宋_GB2312" w:hAnsi="仿宋_GB2312" w:eastAsia="仿宋_GB2312" w:cs="仿宋_GB2312"/>
          <w:color w:val="auto"/>
          <w:kern w:val="2"/>
          <w:sz w:val="32"/>
          <w:szCs w:val="32"/>
          <w:lang w:val="en-US" w:eastAsia="zh-CN"/>
        </w:rPr>
        <w:t>22</w:t>
      </w:r>
      <w:r>
        <w:rPr>
          <w:rFonts w:hint="eastAsia" w:ascii="仿宋_GB2312" w:hAnsi="仿宋_GB2312" w:eastAsia="仿宋_GB2312" w:cs="仿宋_GB2312"/>
          <w:color w:val="auto"/>
          <w:kern w:val="2"/>
          <w:sz w:val="32"/>
          <w:szCs w:val="32"/>
        </w:rPr>
        <w:t>人，事业人员13人，工勤人员</w:t>
      </w:r>
      <w:r>
        <w:rPr>
          <w:rFonts w:ascii="仿宋_GB2312" w:hAnsi="仿宋_GB2312" w:eastAsia="仿宋_GB2312" w:cs="仿宋_GB2312"/>
          <w:color w:val="auto"/>
          <w:kern w:val="2"/>
          <w:sz w:val="32"/>
          <w:szCs w:val="32"/>
        </w:rPr>
        <w:t>5</w:t>
      </w:r>
      <w:r>
        <w:rPr>
          <w:rFonts w:hint="eastAsia" w:ascii="仿宋_GB2312" w:hAnsi="仿宋_GB2312" w:eastAsia="仿宋_GB2312" w:cs="仿宋_GB2312"/>
          <w:color w:val="auto"/>
          <w:kern w:val="2"/>
          <w:sz w:val="32"/>
          <w:szCs w:val="32"/>
        </w:rPr>
        <w:t>人。离休人员</w:t>
      </w:r>
      <w:r>
        <w:rPr>
          <w:rFonts w:ascii="仿宋_GB2312" w:hAnsi="仿宋_GB2312" w:eastAsia="仿宋_GB2312" w:cs="仿宋_GB2312"/>
          <w:color w:val="auto"/>
          <w:kern w:val="2"/>
          <w:sz w:val="32"/>
          <w:szCs w:val="32"/>
        </w:rPr>
        <w:t>1</w:t>
      </w:r>
      <w:r>
        <w:rPr>
          <w:rFonts w:hint="eastAsia" w:ascii="仿宋_GB2312" w:hAnsi="仿宋_GB2312" w:eastAsia="仿宋_GB2312" w:cs="仿宋_GB2312"/>
          <w:color w:val="auto"/>
          <w:kern w:val="2"/>
          <w:sz w:val="32"/>
          <w:szCs w:val="32"/>
        </w:rPr>
        <w:t>人，退休人员</w:t>
      </w:r>
      <w:r>
        <w:rPr>
          <w:rFonts w:hint="eastAsia" w:ascii="仿宋_GB2312" w:hAnsi="仿宋_GB2312" w:eastAsia="仿宋_GB2312" w:cs="仿宋_GB2312"/>
          <w:color w:val="auto"/>
          <w:kern w:val="2"/>
          <w:sz w:val="32"/>
          <w:szCs w:val="32"/>
          <w:lang w:val="en-US" w:eastAsia="zh-CN"/>
        </w:rPr>
        <w:t>28</w:t>
      </w:r>
      <w:r>
        <w:rPr>
          <w:rFonts w:hint="eastAsia" w:ascii="仿宋_GB2312" w:hAnsi="仿宋_GB2312" w:eastAsia="仿宋_GB2312" w:cs="仿宋_GB2312"/>
          <w:color w:val="auto"/>
          <w:kern w:val="2"/>
          <w:sz w:val="32"/>
          <w:szCs w:val="32"/>
        </w:rPr>
        <w:t>人。</w:t>
      </w:r>
    </w:p>
    <w:p>
      <w:pPr>
        <w:widowControl/>
        <w:adjustRightInd w:val="0"/>
        <w:snapToGrid w:val="0"/>
        <w:spacing w:line="560" w:lineRule="exact"/>
        <w:ind w:firstLine="640" w:firstLineChars="200"/>
        <w:contextualSpacing/>
        <w:jc w:val="left"/>
        <w:rPr>
          <w:rFonts w:ascii="黑体" w:hAnsi="宋体" w:eastAsia="黑体" w:cs="宋体"/>
          <w:color w:val="auto"/>
          <w:kern w:val="0"/>
          <w:sz w:val="32"/>
          <w:szCs w:val="32"/>
          <w:shd w:val="clear" w:color="auto" w:fill="FFFFFF"/>
        </w:rPr>
      </w:pPr>
      <w:r>
        <w:rPr>
          <w:rFonts w:hint="eastAsia" w:ascii="黑体" w:hAnsi="宋体" w:eastAsia="黑体" w:cs="宋体"/>
          <w:color w:val="auto"/>
          <w:kern w:val="0"/>
          <w:sz w:val="32"/>
          <w:szCs w:val="32"/>
          <w:shd w:val="clear" w:color="auto" w:fill="FFFFFF"/>
        </w:rPr>
        <w:t>二、部门财政资金收支情况</w:t>
      </w:r>
    </w:p>
    <w:p>
      <w:pPr>
        <w:widowControl/>
        <w:adjustRightInd w:val="0"/>
        <w:snapToGrid w:val="0"/>
        <w:spacing w:line="560" w:lineRule="exact"/>
        <w:ind w:firstLine="640" w:firstLineChars="200"/>
        <w:contextualSpacing/>
        <w:jc w:val="left"/>
        <w:rPr>
          <w:rFonts w:hint="eastAsia" w:ascii="仿宋_GB2312" w:hAnsi="宋体" w:eastAsia="仿宋_GB2312" w:cs="宋体"/>
          <w:color w:val="auto"/>
          <w:kern w:val="0"/>
          <w:sz w:val="32"/>
          <w:szCs w:val="32"/>
          <w:shd w:val="clear" w:color="auto" w:fill="FFFFFF"/>
          <w:lang w:val="zh-CN"/>
        </w:rPr>
      </w:pPr>
      <w:r>
        <w:rPr>
          <w:rFonts w:hint="eastAsia" w:ascii="仿宋_GB2312" w:hAnsi="宋体" w:eastAsia="仿宋_GB2312" w:cs="宋体"/>
          <w:color w:val="auto"/>
          <w:kern w:val="0"/>
          <w:sz w:val="32"/>
          <w:szCs w:val="32"/>
          <w:shd w:val="clear" w:color="auto" w:fill="FFFFFF"/>
          <w:lang w:val="zh-CN"/>
        </w:rPr>
        <w:t>（一）部门财政资金收入情况。</w:t>
      </w:r>
    </w:p>
    <w:p>
      <w:pPr>
        <w:spacing w:line="560" w:lineRule="exact"/>
        <w:ind w:firstLine="640" w:firstLineChars="200"/>
        <w:rPr>
          <w:rFonts w:ascii="仿宋_GB2312" w:hAnsi="宋体" w:eastAsia="仿宋_GB2312" w:cs="宋体"/>
          <w:color w:val="auto"/>
          <w:kern w:val="0"/>
          <w:sz w:val="32"/>
          <w:szCs w:val="32"/>
          <w:shd w:val="clear" w:color="auto" w:fill="FFFFFF"/>
          <w:lang w:val="zh-CN"/>
        </w:rPr>
      </w:pPr>
      <w:r>
        <w:rPr>
          <w:rFonts w:ascii="仿宋_GB2312" w:hAnsi="宋体" w:eastAsia="仿宋_GB2312" w:cs="宋体"/>
          <w:color w:val="auto"/>
          <w:kern w:val="0"/>
          <w:sz w:val="32"/>
          <w:szCs w:val="32"/>
          <w:shd w:val="clear" w:color="auto" w:fill="FFFFFF"/>
          <w:lang w:val="zh-CN"/>
        </w:rPr>
        <w:t>20</w:t>
      </w:r>
      <w:r>
        <w:rPr>
          <w:rFonts w:hint="eastAsia" w:ascii="仿宋_GB2312" w:hAnsi="宋体" w:eastAsia="仿宋_GB2312" w:cs="宋体"/>
          <w:color w:val="auto"/>
          <w:kern w:val="0"/>
          <w:sz w:val="32"/>
          <w:szCs w:val="32"/>
          <w:shd w:val="clear" w:color="auto" w:fill="FFFFFF"/>
          <w:lang w:val="zh-CN"/>
        </w:rPr>
        <w:t>20年财政财政资金收入</w:t>
      </w:r>
      <w:r>
        <w:rPr>
          <w:rFonts w:hint="eastAsia" w:ascii="仿宋" w:hAnsi="仿宋" w:eastAsia="仿宋"/>
          <w:color w:val="auto"/>
          <w:sz w:val="32"/>
          <w:szCs w:val="32"/>
        </w:rPr>
        <w:t>973.46</w:t>
      </w:r>
      <w:r>
        <w:rPr>
          <w:rFonts w:hint="eastAsia" w:ascii="仿宋_GB2312" w:hAnsi="宋体" w:eastAsia="仿宋_GB2312" w:cs="宋体"/>
          <w:color w:val="auto"/>
          <w:kern w:val="0"/>
          <w:sz w:val="32"/>
          <w:szCs w:val="32"/>
          <w:shd w:val="clear" w:color="auto" w:fill="FFFFFF"/>
          <w:lang w:val="zh-CN"/>
        </w:rPr>
        <w:t>万元。</w:t>
      </w:r>
      <w:r>
        <w:rPr>
          <w:rFonts w:hint="eastAsia" w:ascii="仿宋" w:hAnsi="仿宋" w:eastAsia="仿宋"/>
          <w:color w:val="auto"/>
          <w:sz w:val="32"/>
          <w:szCs w:val="32"/>
        </w:rPr>
        <w:t>与</w:t>
      </w:r>
      <w:r>
        <w:rPr>
          <w:rFonts w:ascii="仿宋" w:hAnsi="仿宋" w:eastAsia="仿宋"/>
          <w:color w:val="auto"/>
          <w:sz w:val="32"/>
          <w:szCs w:val="32"/>
        </w:rPr>
        <w:t>2019</w:t>
      </w:r>
      <w:r>
        <w:rPr>
          <w:rFonts w:hint="eastAsia" w:ascii="仿宋" w:hAnsi="仿宋" w:eastAsia="仿宋"/>
          <w:color w:val="auto"/>
          <w:sz w:val="32"/>
          <w:szCs w:val="32"/>
        </w:rPr>
        <w:t>年相比，收、支总计各减少90.1万元，下降6.1</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_GB2312" w:hAnsi="宋体" w:eastAsia="仿宋_GB2312" w:cs="宋体"/>
          <w:color w:val="auto"/>
          <w:kern w:val="0"/>
          <w:sz w:val="32"/>
          <w:szCs w:val="32"/>
          <w:shd w:val="clear" w:color="auto" w:fill="FFFFFF"/>
          <w:lang w:val="zh-CN"/>
        </w:rPr>
        <w:t>主要变动原因是2020年根据财政局要求各项经费压减，各民主党派机关经费压减比例大，同时严格落实市委、市政府关于过紧日子“十三条措施”精神，严格各项经费支出。</w:t>
      </w:r>
    </w:p>
    <w:p>
      <w:pPr>
        <w:widowControl/>
        <w:adjustRightInd w:val="0"/>
        <w:snapToGrid w:val="0"/>
        <w:spacing w:line="560" w:lineRule="exact"/>
        <w:ind w:firstLine="640" w:firstLineChars="200"/>
        <w:contextualSpacing/>
        <w:jc w:val="left"/>
        <w:rPr>
          <w:rFonts w:hint="eastAsia" w:ascii="仿宋_GB2312" w:hAnsi="宋体" w:eastAsia="仿宋_GB2312" w:cs="宋体"/>
          <w:color w:val="auto"/>
          <w:kern w:val="0"/>
          <w:sz w:val="32"/>
          <w:szCs w:val="32"/>
          <w:shd w:val="clear" w:color="auto" w:fill="FFFFFF"/>
          <w:lang w:val="zh-CN"/>
        </w:rPr>
      </w:pPr>
      <w:r>
        <w:rPr>
          <w:rFonts w:hint="eastAsia" w:ascii="仿宋_GB2312" w:hAnsi="宋体" w:eastAsia="仿宋_GB2312" w:cs="宋体"/>
          <w:color w:val="auto"/>
          <w:kern w:val="0"/>
          <w:sz w:val="32"/>
          <w:szCs w:val="32"/>
          <w:shd w:val="clear" w:color="auto" w:fill="FFFFFF"/>
          <w:lang w:val="zh-CN"/>
        </w:rPr>
        <w:t>（二）部门财政资金支出情况。</w:t>
      </w:r>
    </w:p>
    <w:p>
      <w:pPr>
        <w:widowControl/>
        <w:adjustRightInd w:val="0"/>
        <w:snapToGrid w:val="0"/>
        <w:spacing w:line="560" w:lineRule="exact"/>
        <w:ind w:firstLine="640" w:firstLineChars="200"/>
        <w:contextualSpacing/>
        <w:jc w:val="left"/>
        <w:rPr>
          <w:rFonts w:ascii="仿宋_GB2312" w:hAnsi="宋体" w:eastAsia="仿宋_GB2312" w:cs="宋体"/>
          <w:color w:val="auto"/>
          <w:kern w:val="0"/>
          <w:sz w:val="32"/>
          <w:szCs w:val="32"/>
          <w:shd w:val="clear" w:color="auto" w:fill="FFFFFF"/>
          <w:lang w:val="zh-CN"/>
        </w:rPr>
      </w:pPr>
      <w:r>
        <w:rPr>
          <w:rFonts w:ascii="仿宋_GB2312" w:hAnsi="宋体" w:eastAsia="仿宋_GB2312" w:cs="宋体"/>
          <w:color w:val="auto"/>
          <w:kern w:val="0"/>
          <w:sz w:val="32"/>
          <w:szCs w:val="32"/>
          <w:shd w:val="clear" w:color="auto" w:fill="FFFFFF"/>
          <w:lang w:val="zh-CN"/>
        </w:rPr>
        <w:t>20</w:t>
      </w:r>
      <w:r>
        <w:rPr>
          <w:rFonts w:hint="eastAsia" w:ascii="仿宋_GB2312" w:hAnsi="宋体" w:eastAsia="仿宋_GB2312" w:cs="宋体"/>
          <w:color w:val="auto"/>
          <w:kern w:val="0"/>
          <w:sz w:val="32"/>
          <w:szCs w:val="32"/>
          <w:shd w:val="clear" w:color="auto" w:fill="FFFFFF"/>
          <w:lang w:val="zh-CN"/>
        </w:rPr>
        <w:t>20年财政资金支出</w:t>
      </w:r>
      <w:r>
        <w:rPr>
          <w:rFonts w:hint="eastAsia" w:ascii="仿宋" w:hAnsi="仿宋" w:eastAsia="仿宋"/>
          <w:color w:val="auto"/>
          <w:sz w:val="32"/>
          <w:szCs w:val="32"/>
        </w:rPr>
        <w:t>973.46</w:t>
      </w:r>
      <w:r>
        <w:rPr>
          <w:rFonts w:hint="eastAsia" w:ascii="仿宋_GB2312" w:hAnsi="宋体" w:eastAsia="仿宋_GB2312" w:cs="宋体"/>
          <w:color w:val="auto"/>
          <w:kern w:val="0"/>
          <w:sz w:val="32"/>
          <w:szCs w:val="32"/>
          <w:shd w:val="clear" w:color="auto" w:fill="FFFFFF"/>
          <w:lang w:val="zh-CN"/>
        </w:rPr>
        <w:t>万元。</w:t>
      </w:r>
    </w:p>
    <w:p>
      <w:pPr>
        <w:widowControl/>
        <w:adjustRightInd w:val="0"/>
        <w:snapToGrid w:val="0"/>
        <w:spacing w:line="560" w:lineRule="exact"/>
        <w:ind w:firstLine="640" w:firstLineChars="200"/>
        <w:contextualSpacing/>
        <w:jc w:val="left"/>
        <w:rPr>
          <w:rFonts w:ascii="黑体" w:hAnsi="宋体" w:eastAsia="黑体" w:cs="宋体"/>
          <w:color w:val="auto"/>
          <w:kern w:val="0"/>
          <w:sz w:val="32"/>
          <w:szCs w:val="32"/>
          <w:shd w:val="clear" w:color="auto" w:fill="FFFFFF"/>
        </w:rPr>
      </w:pPr>
      <w:r>
        <w:rPr>
          <w:rFonts w:hint="eastAsia" w:ascii="黑体" w:hAnsi="宋体" w:eastAsia="黑体" w:cs="宋体"/>
          <w:color w:val="auto"/>
          <w:kern w:val="0"/>
          <w:sz w:val="32"/>
          <w:szCs w:val="32"/>
          <w:shd w:val="clear" w:color="auto" w:fill="FFFFFF"/>
        </w:rPr>
        <w:t>三、部门整体预算绩效管理情况</w:t>
      </w:r>
    </w:p>
    <w:p>
      <w:pPr>
        <w:widowControl/>
        <w:adjustRightInd w:val="0"/>
        <w:snapToGrid w:val="0"/>
        <w:spacing w:line="560" w:lineRule="exact"/>
        <w:ind w:firstLine="640" w:firstLineChars="200"/>
        <w:contextualSpacing/>
        <w:jc w:val="left"/>
        <w:rPr>
          <w:rFonts w:ascii="仿宋_GB2312" w:hAnsi="宋体" w:eastAsia="仿宋_GB2312" w:cs="宋体"/>
          <w:color w:val="auto"/>
          <w:kern w:val="0"/>
          <w:sz w:val="32"/>
          <w:szCs w:val="32"/>
          <w:shd w:val="clear" w:color="auto" w:fill="FFFFFF"/>
          <w:lang w:val="zh-CN"/>
        </w:rPr>
      </w:pPr>
      <w:r>
        <w:rPr>
          <w:rFonts w:hint="eastAsia" w:ascii="仿宋_GB2312" w:hAnsi="宋体" w:eastAsia="仿宋_GB2312" w:cs="宋体"/>
          <w:color w:val="auto"/>
          <w:kern w:val="0"/>
          <w:sz w:val="32"/>
          <w:szCs w:val="32"/>
          <w:shd w:val="clear" w:color="auto" w:fill="FFFFFF"/>
          <w:lang w:val="zh-CN"/>
        </w:rPr>
        <w:t>（一）部门预算管理。</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根据市财政局的相关政策文件要求，</w:t>
      </w:r>
      <w:r>
        <w:rPr>
          <w:rFonts w:ascii="仿宋" w:hAnsi="仿宋" w:eastAsia="仿宋" w:cs="仿宋_GB2312"/>
          <w:color w:val="auto"/>
          <w:sz w:val="32"/>
          <w:szCs w:val="32"/>
        </w:rPr>
        <w:t>2</w:t>
      </w:r>
      <w:r>
        <w:rPr>
          <w:rFonts w:hint="eastAsia" w:ascii="仿宋" w:hAnsi="仿宋" w:eastAsia="仿宋" w:cs="仿宋_GB2312"/>
          <w:color w:val="auto"/>
          <w:sz w:val="32"/>
          <w:szCs w:val="32"/>
        </w:rPr>
        <w:t>020年我部严格按照资金来源、用途使用资金；资金拨付有完整的审批程序和手续；资金使用无截留、挤占、挪用、虚列支出等情况。加强资金的使用管理，坚持厉行节约，反对奢侈浪费，按制度办事，确保每一分钱都落到实处，每一环节按程序进行。预决算信息公开及时：能按规定时间、内容在政府门户网站上公开预决算信息，并做到信息资料真实、准确。</w:t>
      </w:r>
      <w:r>
        <w:rPr>
          <w:rFonts w:ascii="仿宋" w:hAnsi="仿宋" w:eastAsia="仿宋" w:cs="仿宋_GB2312"/>
          <w:color w:val="auto"/>
          <w:sz w:val="32"/>
          <w:szCs w:val="32"/>
        </w:rPr>
        <w:t xml:space="preserve"> </w:t>
      </w:r>
    </w:p>
    <w:p>
      <w:pPr>
        <w:widowControl/>
        <w:adjustRightInd w:val="0"/>
        <w:snapToGrid w:val="0"/>
        <w:spacing w:line="560" w:lineRule="exact"/>
        <w:ind w:firstLine="640" w:firstLineChars="200"/>
        <w:contextualSpacing/>
        <w:jc w:val="left"/>
        <w:rPr>
          <w:rFonts w:ascii="仿宋_GB2312" w:hAnsi="宋体" w:eastAsia="仿宋_GB2312" w:cs="宋体"/>
          <w:color w:val="auto"/>
          <w:kern w:val="0"/>
          <w:sz w:val="32"/>
          <w:szCs w:val="32"/>
          <w:shd w:val="clear" w:color="auto" w:fill="FFFFFF"/>
          <w:lang w:val="zh-CN"/>
        </w:rPr>
      </w:pPr>
      <w:r>
        <w:rPr>
          <w:rFonts w:hint="eastAsia" w:ascii="仿宋_GB2312" w:hAnsi="宋体" w:eastAsia="仿宋_GB2312" w:cs="宋体"/>
          <w:color w:val="auto"/>
          <w:kern w:val="0"/>
          <w:sz w:val="32"/>
          <w:szCs w:val="32"/>
          <w:shd w:val="clear" w:color="auto" w:fill="FFFFFF"/>
          <w:lang w:val="zh-CN"/>
        </w:rPr>
        <w:t>（二）结果应用情况。</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通过加强预算收支管理，不断建立健全内部管理制度，梳理内部管理流程，部门整体支出管理情况得到提升。</w:t>
      </w:r>
    </w:p>
    <w:p>
      <w:pPr>
        <w:widowControl/>
        <w:adjustRightInd w:val="0"/>
        <w:snapToGrid w:val="0"/>
        <w:spacing w:line="560" w:lineRule="exact"/>
        <w:ind w:firstLine="640" w:firstLineChars="200"/>
        <w:contextualSpacing/>
        <w:jc w:val="left"/>
        <w:rPr>
          <w:rFonts w:ascii="黑体" w:hAnsi="宋体" w:eastAsia="黑体" w:cs="宋体"/>
          <w:color w:val="auto"/>
          <w:kern w:val="0"/>
          <w:sz w:val="32"/>
          <w:szCs w:val="32"/>
          <w:shd w:val="clear" w:color="auto" w:fill="FFFFFF"/>
        </w:rPr>
      </w:pPr>
      <w:r>
        <w:rPr>
          <w:rFonts w:hint="eastAsia" w:ascii="黑体" w:hAnsi="宋体" w:eastAsia="黑体" w:cs="宋体"/>
          <w:color w:val="auto"/>
          <w:kern w:val="0"/>
          <w:sz w:val="32"/>
          <w:szCs w:val="32"/>
          <w:shd w:val="clear" w:color="auto" w:fill="FFFFFF"/>
        </w:rPr>
        <w:t>四、评价结论及建议</w:t>
      </w:r>
    </w:p>
    <w:p>
      <w:pPr>
        <w:spacing w:line="560" w:lineRule="exact"/>
        <w:ind w:firstLine="640" w:firstLineChars="200"/>
        <w:rPr>
          <w:rFonts w:ascii="楷体" w:hAnsi="楷体" w:eastAsia="楷体" w:cs="楷体"/>
          <w:color w:val="auto"/>
          <w:sz w:val="32"/>
          <w:szCs w:val="32"/>
        </w:rPr>
      </w:pPr>
      <w:r>
        <w:rPr>
          <w:rFonts w:hint="eastAsia" w:ascii="楷体" w:hAnsi="楷体" w:eastAsia="楷体" w:cs="楷体"/>
          <w:color w:val="auto"/>
          <w:sz w:val="32"/>
          <w:szCs w:val="32"/>
        </w:rPr>
        <w:t>（一）评价结论。</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预算执行方面，支出总额控制在预算总额以内。预算管理方面，制度执行总体较为有效。资产管理方面，建立了资产管理制度，定期进行了盘点和资产清理，总体执行较好。</w:t>
      </w:r>
    </w:p>
    <w:p>
      <w:pPr>
        <w:spacing w:line="560" w:lineRule="exact"/>
        <w:ind w:firstLine="640" w:firstLineChars="200"/>
        <w:rPr>
          <w:rFonts w:ascii="楷体" w:hAnsi="楷体" w:eastAsia="楷体" w:cs="楷体"/>
          <w:color w:val="auto"/>
          <w:sz w:val="32"/>
          <w:szCs w:val="32"/>
        </w:rPr>
      </w:pPr>
      <w:r>
        <w:rPr>
          <w:rFonts w:hint="eastAsia" w:ascii="楷体" w:hAnsi="楷体" w:eastAsia="楷体" w:cs="楷体"/>
          <w:color w:val="auto"/>
          <w:sz w:val="32"/>
          <w:szCs w:val="32"/>
        </w:rPr>
        <w:t>（二）存在问题。</w:t>
      </w:r>
    </w:p>
    <w:p>
      <w:pPr>
        <w:spacing w:line="5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财务制度执行力有待加强，资金使用计划有待细化。</w:t>
      </w:r>
    </w:p>
    <w:p>
      <w:pPr>
        <w:spacing w:line="560" w:lineRule="exact"/>
        <w:ind w:firstLine="640" w:firstLineChars="200"/>
        <w:rPr>
          <w:rFonts w:ascii="仿宋" w:hAnsi="仿宋" w:eastAsia="仿宋" w:cs="仿宋_GB2312"/>
          <w:color w:val="auto"/>
          <w:sz w:val="32"/>
          <w:szCs w:val="32"/>
        </w:rPr>
      </w:pPr>
      <w:r>
        <w:rPr>
          <w:rFonts w:hint="eastAsia" w:ascii="楷体" w:hAnsi="楷体" w:eastAsia="楷体" w:cs="楷体"/>
          <w:color w:val="auto"/>
          <w:sz w:val="32"/>
          <w:szCs w:val="32"/>
        </w:rPr>
        <w:t>（三）改进建议。</w:t>
      </w:r>
    </w:p>
    <w:p>
      <w:pPr>
        <w:spacing w:line="560" w:lineRule="exact"/>
        <w:rPr>
          <w:rFonts w:ascii="仿宋" w:hAnsi="仿宋" w:eastAsia="仿宋" w:cs="仿宋_GB2312"/>
          <w:color w:val="auto"/>
          <w:sz w:val="32"/>
          <w:szCs w:val="32"/>
        </w:rPr>
      </w:pPr>
      <w:r>
        <w:rPr>
          <w:rStyle w:val="31"/>
          <w:rFonts w:ascii="仿宋" w:hAnsi="仿宋" w:eastAsia="仿宋" w:cs="仿宋_GB2312"/>
          <w:b w:val="0"/>
          <w:bCs w:val="0"/>
          <w:color w:val="auto"/>
          <w:sz w:val="32"/>
          <w:szCs w:val="32"/>
        </w:rPr>
        <w:t xml:space="preserve">    </w:t>
      </w:r>
      <w:r>
        <w:rPr>
          <w:rFonts w:hint="eastAsia" w:ascii="仿宋" w:hAnsi="仿宋" w:eastAsia="仿宋" w:cs="仿宋_GB2312"/>
          <w:color w:val="auto"/>
          <w:sz w:val="32"/>
          <w:szCs w:val="32"/>
        </w:rPr>
        <w:t>细化预算编制工作，认真做好预算的编制。进一步加强单位内部各科室的预算管理意识，严格按照预算编制的相关制度和要求进行预算编制。加强与市财政局的沟通，争取年初预算全面具体。</w:t>
      </w:r>
    </w:p>
    <w:p>
      <w:pPr>
        <w:spacing w:line="560" w:lineRule="exact"/>
        <w:jc w:val="left"/>
        <w:outlineLvl w:val="0"/>
        <w:rPr>
          <w:rFonts w:hint="eastAsia" w:ascii="黑体" w:hAnsi="黑体" w:eastAsia="黑体" w:cs="黑体"/>
          <w:color w:val="auto"/>
          <w:sz w:val="32"/>
          <w:szCs w:val="32"/>
        </w:rPr>
      </w:pPr>
      <w:r>
        <w:rPr>
          <w:rFonts w:ascii="仿宋_GB2312" w:hAnsi="仿宋_GB2312" w:eastAsia="仿宋_GB2312" w:cs="仿宋_GB2312"/>
          <w:color w:val="auto"/>
          <w:sz w:val="32"/>
          <w:szCs w:val="32"/>
        </w:rPr>
        <w:br w:type="page"/>
      </w:r>
      <w:r>
        <w:rPr>
          <w:rFonts w:hint="eastAsia" w:ascii="黑体" w:hAnsi="黑体" w:eastAsia="黑体" w:cs="黑体"/>
          <w:color w:val="auto"/>
          <w:sz w:val="32"/>
          <w:szCs w:val="32"/>
        </w:rPr>
        <w:t>附件2</w:t>
      </w:r>
    </w:p>
    <w:p>
      <w:pPr>
        <w:spacing w:line="560" w:lineRule="exact"/>
        <w:jc w:val="left"/>
        <w:outlineLvl w:val="0"/>
        <w:rPr>
          <w:rFonts w:hint="eastAsia" w:ascii="方正小标宋简体" w:hAnsi="方正小标宋简体" w:eastAsia="方正小标宋简体" w:cs="方正小标宋简体"/>
          <w:color w:val="auto"/>
          <w:sz w:val="32"/>
          <w:szCs w:val="32"/>
        </w:rPr>
      </w:pPr>
    </w:p>
    <w:p>
      <w:pPr>
        <w:spacing w:line="60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新的社会阶层人士工作经费</w:t>
      </w:r>
    </w:p>
    <w:p>
      <w:pPr>
        <w:spacing w:line="600" w:lineRule="exact"/>
        <w:jc w:val="center"/>
        <w:rPr>
          <w:rFonts w:hint="eastAsia" w:ascii="仿宋_GB2312" w:hAnsi="仿宋_GB2312" w:eastAsia="仿宋_GB2312" w:cs="仿宋_GB2312"/>
          <w:color w:val="auto"/>
          <w:sz w:val="30"/>
          <w:szCs w:val="30"/>
        </w:rPr>
      </w:pPr>
      <w:r>
        <w:rPr>
          <w:rFonts w:hint="eastAsia" w:ascii="方正小标宋简体" w:hAnsi="方正小标宋简体" w:eastAsia="方正小标宋简体" w:cs="方正小标宋简体"/>
          <w:color w:val="auto"/>
          <w:sz w:val="44"/>
          <w:szCs w:val="44"/>
        </w:rPr>
        <w:t>2020年绩效评价报告</w:t>
      </w:r>
      <w:r>
        <w:rPr>
          <w:rFonts w:hint="eastAsia" w:ascii="仿宋_GB2312" w:hAnsi="仿宋_GB2312" w:eastAsia="仿宋_GB2312" w:cs="仿宋_GB2312"/>
          <w:color w:val="auto"/>
          <w:sz w:val="44"/>
          <w:szCs w:val="44"/>
        </w:rPr>
        <w:br w:type="textWrapping"/>
      </w:r>
    </w:p>
    <w:p>
      <w:pPr>
        <w:spacing w:line="600" w:lineRule="exact"/>
        <w:ind w:firstLine="640" w:firstLineChars="200"/>
        <w:rPr>
          <w:rFonts w:hint="eastAsia" w:ascii="仿宋_GB2312" w:hAnsi="仿宋_GB2312" w:eastAsia="仿宋_GB2312" w:cs="仿宋_GB2312"/>
          <w:color w:val="auto"/>
          <w:sz w:val="32"/>
          <w:szCs w:val="32"/>
        </w:rPr>
      </w:pPr>
      <w:r>
        <w:rPr>
          <w:rFonts w:hint="eastAsia" w:ascii="黑体" w:hAnsi="黑体" w:eastAsia="黑体" w:cs="仿宋_GB2312"/>
          <w:color w:val="auto"/>
          <w:sz w:val="32"/>
          <w:szCs w:val="32"/>
        </w:rPr>
        <w:t>一、项目概况</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rPr>
        <w:t xml:space="preserve">   </w:t>
      </w:r>
      <w:r>
        <w:rPr>
          <w:rFonts w:hint="eastAsia" w:ascii="楷体_GB2312" w:hAnsi="仿宋_GB2312" w:eastAsia="楷体_GB2312" w:cs="仿宋_GB2312"/>
          <w:color w:val="auto"/>
          <w:sz w:val="32"/>
          <w:szCs w:val="32"/>
        </w:rPr>
        <w:t>（一）项目基本情况。</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市委统战部是党委联系党外人士的职能部门，指导市新联会工作。按照“充分尊重、广泛联系、加强团结、热情帮助、积极引导”的方针，团结新的社会阶层人士爱国、敬业、创新、诚信、守法、贡献，围绕中心，服务大局，助推全市经济社会发展。</w:t>
      </w:r>
    </w:p>
    <w:p>
      <w:pPr>
        <w:widowControl/>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2.新的社会阶层人士联谊会是独立法人的统一战线组织，业务主管单位是中共广元市委统战部。</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rPr>
        <w:t xml:space="preserve">    3.资金用于广元市新的社会阶层人士联谊会的专兼职工作人员及办公经费、开展相关领域工作调研；开设新的社会阶层人士专题培训班；开展相关联谊和社会公益活动等。</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rPr>
        <w:t xml:space="preserve">    4.推动市新联会各项工作顺利开展，圆满完成2020年工作计划。</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rPr>
        <w:t xml:space="preserve">  </w:t>
      </w:r>
      <w:r>
        <w:rPr>
          <w:rFonts w:hint="eastAsia" w:ascii="楷体_GB2312" w:hAnsi="仿宋_GB2312" w:eastAsia="楷体_GB2312" w:cs="仿宋_GB2312"/>
          <w:color w:val="auto"/>
          <w:sz w:val="32"/>
          <w:szCs w:val="32"/>
        </w:rPr>
        <w:t xml:space="preserve"> （二）项目绩效目标。</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rPr>
        <w:t xml:space="preserve">    1.项目主要内容。</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目标1：贯彻执行中央和省、市关于统一战线工作的方针、政策，加强调查研究；向市委反映情况，提出全市开展统战工作的意见和建议。</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目标2：以了解情况为基础，以掌握政策为根本，以协调关系、增进共识、加强团结为目的。</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rPr>
        <w:t xml:space="preserve">    2.具体绩效目标：专兼职工作人员及办公经费；开展相关领域工作调研；开设新的社会阶层人士专题培训班；联谊和培养新的社会阶层代表人士；开展相关联谊和社会公益活动；新的社会阶层代表人士示范点建设费用等6个目标完成率达90%以上。</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目实施进度计划从2020年1月1日-2020年12月31日完成。</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rPr>
        <w:t xml:space="preserve">    3.申报内容与实际相符合，申报目标合理可行。</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rPr>
        <w:t xml:space="preserve">    </w:t>
      </w:r>
      <w:r>
        <w:rPr>
          <w:rFonts w:hint="eastAsia" w:ascii="楷体_GB2312" w:hAnsi="仿宋_GB2312" w:eastAsia="楷体_GB2312" w:cs="仿宋_GB2312"/>
          <w:color w:val="auto"/>
          <w:sz w:val="32"/>
          <w:szCs w:val="32"/>
        </w:rPr>
        <w:t>（三）项目自评步骤及方法。</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绩效自评原则是按照科学规范原则，要求绩效评价严格遵循既定程序，科学可行；分级分类原则要求根据评价对象特点分类组织实施；绩效相关原则要求支出与其产出之间有紧密相关关系；评价结果应客观公正，并接受社会公开监督。</w:t>
      </w:r>
    </w:p>
    <w:p>
      <w:pPr>
        <w:ind w:left="596" w:leftChars="284"/>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二、项目资金申报及使用情况</w:t>
      </w:r>
      <w:r>
        <w:rPr>
          <w:rFonts w:hint="eastAsia" w:ascii="仿宋_GB2312" w:hAnsi="仿宋_GB2312" w:eastAsia="仿宋_GB2312" w:cs="仿宋_GB2312"/>
          <w:color w:val="auto"/>
          <w:sz w:val="32"/>
          <w:szCs w:val="32"/>
        </w:rPr>
        <w:br w:type="textWrapping"/>
      </w:r>
      <w:r>
        <w:rPr>
          <w:rFonts w:hint="eastAsia" w:ascii="楷体_GB2312" w:hAnsi="仿宋_GB2312" w:eastAsia="楷体_GB2312" w:cs="仿宋_GB2312"/>
          <w:color w:val="auto"/>
          <w:sz w:val="32"/>
          <w:szCs w:val="32"/>
        </w:rPr>
        <w:t>（一）项目资金申报及批复情况。</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新的社会阶层人士工作经费申报资金4.5万元，财政批复项目资金4.5万元，该项资金按流程申报及批复，符合资金管理办法等相关规定。</w:t>
      </w:r>
    </w:p>
    <w:p>
      <w:pPr>
        <w:ind w:firstLine="640" w:firstLineChars="200"/>
        <w:rPr>
          <w:rFonts w:hint="eastAsia" w:ascii="黑体" w:hAnsi="黑体" w:eastAsia="黑体" w:cs="仿宋_GB2312"/>
          <w:color w:val="auto"/>
          <w:sz w:val="32"/>
          <w:szCs w:val="32"/>
        </w:rPr>
      </w:pPr>
      <w:r>
        <w:rPr>
          <w:rFonts w:hint="eastAsia" w:ascii="楷体_GB2312" w:hAnsi="仿宋_GB2312" w:eastAsia="楷体_GB2312" w:cs="仿宋_GB2312"/>
          <w:color w:val="auto"/>
          <w:sz w:val="32"/>
          <w:szCs w:val="32"/>
        </w:rPr>
        <w:t>（二）资金计划、到位及使用情况。</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rPr>
        <w:t xml:space="preserve">    1.资金计划。该项目资金为上年度末做下年度预算，财政全额拨款，资金全部到位。</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rPr>
        <w:t xml:space="preserve">    2.资金到位。2020年部门预算专项资金共计4.5万元，实际到位资金4.5万元，资金到位率100%。</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rPr>
        <w:t xml:space="preserve">    3.资金使用。该项目资金实行专款专用，共计支出市新联会工作经费3万元，项目支出均有相关的授权审批，使用规范，会计核算结果真实、准确，全部用于新联会各项工作的开展。</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rPr>
        <w:t xml:space="preserve">    </w:t>
      </w:r>
      <w:r>
        <w:rPr>
          <w:rFonts w:hint="eastAsia" w:ascii="楷体_GB2312" w:hAnsi="仿宋_GB2312" w:eastAsia="楷体_GB2312" w:cs="仿宋_GB2312"/>
          <w:color w:val="auto"/>
          <w:sz w:val="32"/>
          <w:szCs w:val="32"/>
        </w:rPr>
        <w:t>（三）项目财务管理情况。</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rPr>
        <w:t xml:space="preserve">    各项目实施单位财务管理制度健全，是严格按照财务管理制度执行，账务处理及时，会计核算规范。</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rPr>
        <w:t xml:space="preserve">    </w:t>
      </w:r>
      <w:r>
        <w:rPr>
          <w:rFonts w:hint="eastAsia" w:ascii="黑体" w:hAnsi="黑体" w:eastAsia="黑体" w:cs="仿宋_GB2312"/>
          <w:color w:val="auto"/>
          <w:sz w:val="32"/>
          <w:szCs w:val="32"/>
        </w:rPr>
        <w:t>三、项目实施及管理情况</w:t>
      </w:r>
    </w:p>
    <w:p>
      <w:pPr>
        <w:ind w:firstLine="640" w:firstLineChars="200"/>
        <w:rPr>
          <w:rFonts w:hint="eastAsia" w:ascii="楷体_GB2312" w:hAnsi="仿宋_GB2312" w:eastAsia="楷体_GB2312" w:cs="仿宋_GB2312"/>
          <w:color w:val="auto"/>
          <w:sz w:val="32"/>
          <w:szCs w:val="32"/>
        </w:rPr>
      </w:pPr>
      <w:r>
        <w:rPr>
          <w:rFonts w:hint="eastAsia" w:ascii="楷体_GB2312" w:hAnsi="仿宋_GB2312" w:eastAsia="楷体_GB2312" w:cs="仿宋_GB2312"/>
          <w:color w:val="auto"/>
          <w:sz w:val="32"/>
          <w:szCs w:val="32"/>
        </w:rPr>
        <w:t>（一）项目组织架构及实施流程。</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项目实施严格采用审批制。严格按照相关制度执行，做到事前请示，事后按流程审批。</w:t>
      </w:r>
    </w:p>
    <w:p>
      <w:pPr>
        <w:ind w:firstLine="640" w:firstLineChars="200"/>
        <w:rPr>
          <w:rFonts w:hint="eastAsia" w:ascii="楷体_GB2312" w:hAnsi="仿宋_GB2312" w:eastAsia="楷体_GB2312" w:cs="仿宋_GB2312"/>
          <w:color w:val="auto"/>
          <w:sz w:val="32"/>
          <w:szCs w:val="32"/>
        </w:rPr>
      </w:pPr>
      <w:r>
        <w:rPr>
          <w:rFonts w:hint="eastAsia" w:ascii="楷体_GB2312" w:hAnsi="仿宋_GB2312" w:eastAsia="楷体_GB2312" w:cs="仿宋_GB2312"/>
          <w:color w:val="auto"/>
          <w:sz w:val="32"/>
          <w:szCs w:val="32"/>
        </w:rPr>
        <w:t>（二）项目管理情况。</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在人员经费支出、公共支出方面严格执行，在保证各项任务顺利完成的同时，严格落实厉行节约的原则。</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rPr>
        <w:t xml:space="preserve">    </w:t>
      </w:r>
      <w:r>
        <w:rPr>
          <w:rFonts w:hint="eastAsia" w:ascii="楷体_GB2312" w:hAnsi="仿宋_GB2312" w:eastAsia="楷体_GB2312" w:cs="仿宋_GB2312"/>
          <w:color w:val="auto"/>
          <w:sz w:val="32"/>
          <w:szCs w:val="32"/>
        </w:rPr>
        <w:t>（三）项目监管情况。</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项目监管到位。在使用项目资金时，严格执行项目资金使用制度和财务制度，同时对各项目资金的使用流程进行监督，定时查看财务表报检查专项资金使用情况。</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rPr>
        <w:t xml:space="preserve">   </w:t>
      </w:r>
      <w:r>
        <w:rPr>
          <w:rFonts w:hint="eastAsia" w:ascii="黑体" w:hAnsi="黑体" w:eastAsia="黑体" w:cs="仿宋_GB2312"/>
          <w:color w:val="auto"/>
          <w:sz w:val="32"/>
          <w:szCs w:val="32"/>
        </w:rPr>
        <w:t xml:space="preserve"> 四、项目绩效情况 </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rPr>
        <w:t xml:space="preserve">    </w:t>
      </w:r>
      <w:r>
        <w:rPr>
          <w:rFonts w:hint="eastAsia" w:ascii="楷体_GB2312" w:hAnsi="仿宋_GB2312" w:eastAsia="楷体_GB2312" w:cs="仿宋_GB2312"/>
          <w:color w:val="auto"/>
          <w:sz w:val="32"/>
          <w:szCs w:val="32"/>
        </w:rPr>
        <w:t>（一）项目完成情况。</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该项目属于专款专用，用于广元市新的社会阶层人士联谊会的办公经费中，没有超支。较好的完成实施任务，达到良好的效果。</w:t>
      </w:r>
    </w:p>
    <w:p>
      <w:pPr>
        <w:ind w:firstLine="640" w:firstLineChars="200"/>
        <w:rPr>
          <w:rFonts w:hint="eastAsia" w:ascii="楷体_GB2312" w:hAnsi="仿宋_GB2312" w:eastAsia="楷体_GB2312" w:cs="仿宋_GB2312"/>
          <w:color w:val="auto"/>
          <w:sz w:val="32"/>
          <w:szCs w:val="32"/>
        </w:rPr>
      </w:pPr>
      <w:r>
        <w:rPr>
          <w:rFonts w:hint="eastAsia" w:ascii="楷体_GB2312" w:hAnsi="仿宋_GB2312" w:eastAsia="楷体_GB2312" w:cs="仿宋_GB2312"/>
          <w:color w:val="auto"/>
          <w:sz w:val="32"/>
          <w:szCs w:val="32"/>
        </w:rPr>
        <w:t>（二）项目效益情况。</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2020年度，新阶科坚决履行职能职责，绩效明显，有效完成了本年度绩效目标。项目所有开支均按照我单位财务管理制度执行，资金的使用严格把关，整个项目的运行完全按照有关规定执行。</w:t>
      </w:r>
    </w:p>
    <w:p>
      <w:pPr>
        <w:ind w:firstLine="640" w:firstLineChars="200"/>
        <w:rPr>
          <w:rFonts w:hint="eastAsia" w:ascii="黑体" w:hAnsi="黑体" w:eastAsia="黑体" w:cs="仿宋_GB2312"/>
          <w:color w:val="auto"/>
          <w:sz w:val="32"/>
          <w:szCs w:val="32"/>
        </w:rPr>
      </w:pPr>
      <w:r>
        <w:rPr>
          <w:rFonts w:hint="eastAsia" w:ascii="黑体" w:hAnsi="黑体" w:eastAsia="黑体" w:cs="仿宋_GB2312"/>
          <w:color w:val="auto"/>
          <w:sz w:val="32"/>
          <w:szCs w:val="32"/>
        </w:rPr>
        <w:t>五、评价结论及建议</w:t>
      </w:r>
    </w:p>
    <w:p>
      <w:pPr>
        <w:ind w:firstLine="640" w:firstLineChars="200"/>
        <w:rPr>
          <w:rFonts w:hint="eastAsia" w:ascii="楷体_GB2312" w:hAnsi="仿宋_GB2312" w:eastAsia="楷体_GB2312" w:cs="仿宋_GB2312"/>
          <w:color w:val="auto"/>
          <w:sz w:val="32"/>
          <w:szCs w:val="32"/>
        </w:rPr>
      </w:pPr>
      <w:r>
        <w:rPr>
          <w:rFonts w:hint="eastAsia" w:ascii="楷体_GB2312" w:hAnsi="仿宋_GB2312" w:eastAsia="楷体_GB2312" w:cs="仿宋_GB2312"/>
          <w:color w:val="auto"/>
          <w:sz w:val="32"/>
          <w:szCs w:val="32"/>
        </w:rPr>
        <w:t>（一）评价结论。</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新阶科2020年度预算执行情况较好，公用经费得到有效控制，相关管理制度得到有效执行。2020年度所有支出符合国家财经法规和财务管理制度规定以及有关专项资金管理办法的规定，资金拨付有完整的审批程序和手续，项目支出按规定经过评估论证，支出符合部门预算批复的用途，资金使用无截留、挤占、挪用、虚列支出等情况。</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2020年圆满完成了年初设定的各项工作目标和任务，各项工作都得到社会大众的肯定和好评，在年度绩效考核中成绩优异。</w:t>
      </w:r>
    </w:p>
    <w:p>
      <w:pPr>
        <w:ind w:left="596" w:leftChars="284"/>
        <w:rPr>
          <w:rFonts w:hint="eastAsia" w:ascii="楷体_GB2312" w:hAnsi="仿宋_GB2312" w:eastAsia="楷体_GB2312" w:cs="仿宋_GB2312"/>
          <w:color w:val="auto"/>
          <w:sz w:val="32"/>
          <w:szCs w:val="32"/>
        </w:rPr>
      </w:pPr>
      <w:r>
        <w:rPr>
          <w:rFonts w:hint="eastAsia" w:ascii="楷体_GB2312" w:hAnsi="仿宋_GB2312" w:eastAsia="楷体_GB2312" w:cs="仿宋_GB2312"/>
          <w:color w:val="auto"/>
          <w:sz w:val="32"/>
          <w:szCs w:val="32"/>
        </w:rPr>
        <w:t>（二）存在的问题。</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1.预算编制工作有待细化。预算编制不够明确和细化，预算编制的合理性需要提高，预算执行力度还要进一步加强。</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2.公用经费控制有一定难度，基本为刚性支出。</w:t>
      </w:r>
    </w:p>
    <w:p>
      <w:pPr>
        <w:ind w:left="596" w:leftChars="284"/>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3.部分项目实施进度滞后。</w:t>
      </w:r>
      <w:r>
        <w:rPr>
          <w:rFonts w:hint="eastAsia" w:ascii="仿宋_GB2312" w:hAnsi="仿宋_GB2312" w:eastAsia="仿宋_GB2312" w:cs="仿宋_GB2312"/>
          <w:color w:val="auto"/>
          <w:sz w:val="32"/>
          <w:szCs w:val="32"/>
        </w:rPr>
        <w:br w:type="textWrapping"/>
      </w:r>
      <w:r>
        <w:rPr>
          <w:rFonts w:hint="eastAsia" w:ascii="楷体_GB2312" w:hAnsi="仿宋_GB2312" w:eastAsia="楷体_GB2312" w:cs="仿宋_GB2312"/>
          <w:color w:val="auto"/>
          <w:sz w:val="32"/>
          <w:szCs w:val="32"/>
        </w:rPr>
        <w:t>（三）相关建议。</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（一）科学、合理编制资金预算。按政策规定及新阶科的发展规划，结合上一年度预算执行情况和本年度预算收支变化因素，科学、合理地编制本年预算草案，避免出现预算调整率偏高及漏编项目的情况。</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（二）严格执行专款专用制度。针对项目支出，要有效发挥财政专项资金的导向和激励作用，避免出现专项支出与基本支出混淆、专项资金调剂使用的现象。</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（三）及时督促推进项目进度。根据年初制定的项目计划，在项目推进过程中监控项目进度，确保各项目按计划如期完成。</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（四）加强财务管理工作。健全财务管理制度体系，规范财务行为。在费用报账支付时，按照预算规定的费用项目和用途进行资金使用审核、列报支付、财务核算，杜绝超支现象的发生。</w:t>
      </w:r>
    </w:p>
    <w:p>
      <w:pPr>
        <w:spacing w:line="576" w:lineRule="exact"/>
        <w:ind w:firstLine="440" w:firstLineChars="100"/>
        <w:jc w:val="center"/>
        <w:rPr>
          <w:rFonts w:hint="eastAsia" w:ascii="方正小标宋简体" w:hAnsi="方正小标宋_GBK" w:eastAsia="方正小标宋简体" w:cs="方正小标宋_GBK"/>
          <w:color w:val="auto"/>
          <w:sz w:val="44"/>
          <w:szCs w:val="44"/>
        </w:rPr>
      </w:pPr>
      <w:r>
        <w:rPr>
          <w:rFonts w:ascii="方正小标宋_GBK" w:hAnsi="方正小标宋_GBK" w:eastAsia="方正小标宋_GBK" w:cs="方正小标宋_GBK"/>
          <w:color w:val="auto"/>
          <w:sz w:val="44"/>
          <w:szCs w:val="44"/>
        </w:rPr>
        <w:br w:type="page"/>
      </w:r>
      <w:r>
        <w:rPr>
          <w:rFonts w:hint="eastAsia" w:ascii="方正小标宋简体" w:hAnsi="方正小标宋_GBK" w:eastAsia="方正小标宋简体" w:cs="方正小标宋_GBK"/>
          <w:color w:val="auto"/>
          <w:sz w:val="44"/>
          <w:szCs w:val="44"/>
        </w:rPr>
        <w:t>党外知识分子联谊会工作经费</w:t>
      </w:r>
    </w:p>
    <w:p>
      <w:pPr>
        <w:spacing w:line="576" w:lineRule="exact"/>
        <w:ind w:firstLine="440" w:firstLineChars="100"/>
        <w:jc w:val="center"/>
        <w:rPr>
          <w:rFonts w:hint="eastAsia" w:ascii="方正小标宋简体" w:eastAsia="方正小标宋简体" w:cs="宋体"/>
          <w:color w:val="auto"/>
          <w:sz w:val="24"/>
        </w:rPr>
      </w:pPr>
      <w:r>
        <w:rPr>
          <w:rFonts w:hint="eastAsia" w:ascii="方正小标宋简体" w:hAnsi="方正小标宋_GBK" w:eastAsia="方正小标宋简体" w:cs="方正小标宋_GBK"/>
          <w:color w:val="auto"/>
          <w:sz w:val="44"/>
          <w:szCs w:val="44"/>
        </w:rPr>
        <w:t>2020年绩效评价报告</w:t>
      </w:r>
      <w:r>
        <w:rPr>
          <w:rFonts w:hint="eastAsia" w:ascii="方正小标宋简体" w:eastAsia="方正小标宋简体" w:cs="宋体"/>
          <w:color w:val="auto"/>
          <w:sz w:val="24"/>
        </w:rPr>
        <w:br w:type="textWrapping"/>
      </w:r>
    </w:p>
    <w:p>
      <w:pPr>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一、项目概况</w:t>
      </w:r>
    </w:p>
    <w:p>
      <w:pPr>
        <w:spacing w:line="560" w:lineRule="exact"/>
        <w:ind w:firstLine="640" w:firstLineChars="200"/>
        <w:rPr>
          <w:rFonts w:ascii="宋体" w:cs="宋体"/>
          <w:color w:val="auto"/>
          <w:sz w:val="24"/>
        </w:rPr>
      </w:pPr>
      <w:r>
        <w:rPr>
          <w:rFonts w:hint="eastAsia" w:ascii="楷体_GB2312" w:hAnsi="楷体_GB2312" w:eastAsia="楷体_GB2312" w:cs="楷体_GB2312"/>
          <w:color w:val="auto"/>
          <w:sz w:val="32"/>
          <w:szCs w:val="32"/>
        </w:rPr>
        <w:t>（一）项目基本情况</w:t>
      </w:r>
    </w:p>
    <w:p>
      <w:pPr>
        <w:spacing w:line="56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项目主管部门（单位）在该项目管理中的职能</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广元市党外知识分子联谊会（以下简称“本社会团体”）于</w:t>
      </w:r>
      <w:r>
        <w:rPr>
          <w:rFonts w:ascii="仿宋_GB2312" w:hAnsi="仿宋_GB2312" w:eastAsia="仿宋_GB2312" w:cs="仿宋_GB2312"/>
          <w:color w:val="auto"/>
          <w:sz w:val="32"/>
          <w:szCs w:val="32"/>
        </w:rPr>
        <w:t>2018</w:t>
      </w:r>
      <w:r>
        <w:rPr>
          <w:rFonts w:hint="eastAsia" w:ascii="仿宋_GB2312" w:hAnsi="仿宋_GB2312" w:eastAsia="仿宋_GB2312" w:cs="仿宋_GB2312"/>
          <w:color w:val="auto"/>
          <w:sz w:val="32"/>
          <w:szCs w:val="32"/>
        </w:rPr>
        <w:t>年</w:t>
      </w:r>
      <w:r>
        <w:rPr>
          <w:rFonts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rPr>
        <w:t>月</w:t>
      </w:r>
      <w:r>
        <w:rPr>
          <w:rFonts w:ascii="仿宋_GB2312" w:hAnsi="仿宋_GB2312" w:eastAsia="仿宋_GB2312" w:cs="仿宋_GB2312"/>
          <w:color w:val="auto"/>
          <w:sz w:val="32"/>
          <w:szCs w:val="32"/>
        </w:rPr>
        <w:t>17</w:t>
      </w:r>
      <w:r>
        <w:rPr>
          <w:rFonts w:hint="eastAsia" w:ascii="仿宋_GB2312" w:hAnsi="仿宋_GB2312" w:eastAsia="仿宋_GB2312" w:cs="仿宋_GB2312"/>
          <w:color w:val="auto"/>
          <w:sz w:val="32"/>
          <w:szCs w:val="32"/>
        </w:rPr>
        <w:t>日经广元市民政局批准登记，</w:t>
      </w:r>
      <w:r>
        <w:rPr>
          <w:rFonts w:ascii="仿宋_GB2312" w:hAnsi="仿宋_GB2312" w:eastAsia="仿宋_GB2312" w:cs="仿宋_GB2312"/>
          <w:color w:val="auto"/>
          <w:sz w:val="32"/>
          <w:szCs w:val="32"/>
        </w:rPr>
        <w:t>2018</w:t>
      </w:r>
      <w:r>
        <w:rPr>
          <w:rFonts w:hint="eastAsia" w:ascii="仿宋_GB2312" w:hAnsi="仿宋_GB2312" w:eastAsia="仿宋_GB2312" w:cs="仿宋_GB2312"/>
          <w:color w:val="auto"/>
          <w:sz w:val="32"/>
          <w:szCs w:val="32"/>
        </w:rPr>
        <w:t>年</w:t>
      </w:r>
      <w:r>
        <w:rPr>
          <w:rFonts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rPr>
        <w:t>月</w:t>
      </w:r>
      <w:r>
        <w:rPr>
          <w:rFonts w:ascii="仿宋_GB2312" w:hAnsi="仿宋_GB2312" w:eastAsia="仿宋_GB2312" w:cs="仿宋_GB2312"/>
          <w:color w:val="auto"/>
          <w:sz w:val="32"/>
          <w:szCs w:val="32"/>
        </w:rPr>
        <w:t>17</w:t>
      </w:r>
      <w:r>
        <w:rPr>
          <w:rFonts w:hint="eastAsia" w:ascii="仿宋_GB2312" w:hAnsi="仿宋_GB2312" w:eastAsia="仿宋_GB2312" w:cs="仿宋_GB2312"/>
          <w:color w:val="auto"/>
          <w:sz w:val="32"/>
          <w:szCs w:val="32"/>
        </w:rPr>
        <w:t>日取得了社团法人登记证书，社团登记证书有效日期：</w:t>
      </w:r>
      <w:r>
        <w:rPr>
          <w:rFonts w:ascii="仿宋_GB2312" w:hAnsi="仿宋_GB2312" w:eastAsia="仿宋_GB2312" w:cs="仿宋_GB2312"/>
          <w:color w:val="auto"/>
          <w:sz w:val="32"/>
          <w:szCs w:val="32"/>
        </w:rPr>
        <w:t>2018</w:t>
      </w:r>
      <w:r>
        <w:rPr>
          <w:rFonts w:hint="eastAsia" w:ascii="仿宋_GB2312" w:hAnsi="仿宋_GB2312" w:eastAsia="仿宋_GB2312" w:cs="仿宋_GB2312"/>
          <w:color w:val="auto"/>
          <w:sz w:val="32"/>
          <w:szCs w:val="32"/>
        </w:rPr>
        <w:t>年</w:t>
      </w:r>
      <w:r>
        <w:rPr>
          <w:rFonts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rPr>
        <w:t>月</w:t>
      </w:r>
      <w:r>
        <w:rPr>
          <w:rFonts w:ascii="仿宋_GB2312" w:hAnsi="仿宋_GB2312" w:eastAsia="仿宋_GB2312" w:cs="仿宋_GB2312"/>
          <w:color w:val="auto"/>
          <w:sz w:val="32"/>
          <w:szCs w:val="32"/>
        </w:rPr>
        <w:t>17</w:t>
      </w:r>
      <w:r>
        <w:rPr>
          <w:rFonts w:hint="eastAsia" w:ascii="仿宋_GB2312" w:hAnsi="仿宋_GB2312" w:eastAsia="仿宋_GB2312" w:cs="仿宋_GB2312"/>
          <w:color w:val="auto"/>
          <w:sz w:val="32"/>
          <w:szCs w:val="32"/>
        </w:rPr>
        <w:t>日至</w:t>
      </w:r>
      <w:r>
        <w:rPr>
          <w:rFonts w:ascii="仿宋_GB2312" w:hAnsi="仿宋_GB2312" w:eastAsia="仿宋_GB2312" w:cs="仿宋_GB2312"/>
          <w:color w:val="auto"/>
          <w:sz w:val="32"/>
          <w:szCs w:val="32"/>
        </w:rPr>
        <w:t>2023</w:t>
      </w:r>
      <w:r>
        <w:rPr>
          <w:rFonts w:hint="eastAsia" w:ascii="仿宋_GB2312" w:hAnsi="仿宋_GB2312" w:eastAsia="仿宋_GB2312" w:cs="仿宋_GB2312"/>
          <w:color w:val="auto"/>
          <w:sz w:val="32"/>
          <w:szCs w:val="32"/>
        </w:rPr>
        <w:t>年</w:t>
      </w:r>
      <w:r>
        <w:rPr>
          <w:rFonts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rPr>
        <w:t>月</w:t>
      </w:r>
      <w:r>
        <w:rPr>
          <w:rFonts w:ascii="仿宋_GB2312" w:hAnsi="仿宋_GB2312" w:eastAsia="仿宋_GB2312" w:cs="仿宋_GB2312"/>
          <w:color w:val="auto"/>
          <w:sz w:val="32"/>
          <w:szCs w:val="32"/>
        </w:rPr>
        <w:t>16</w:t>
      </w:r>
      <w:r>
        <w:rPr>
          <w:rFonts w:hint="eastAsia" w:ascii="仿宋_GB2312" w:hAnsi="仿宋_GB2312" w:eastAsia="仿宋_GB2312" w:cs="仿宋_GB2312"/>
          <w:color w:val="auto"/>
          <w:sz w:val="32"/>
          <w:szCs w:val="32"/>
        </w:rPr>
        <w:t>日。注册资金</w:t>
      </w: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万元，统一社会信用代码为</w:t>
      </w:r>
      <w:r>
        <w:rPr>
          <w:rFonts w:ascii="仿宋_GB2312" w:hAnsi="仿宋_GB2312" w:eastAsia="仿宋_GB2312" w:cs="仿宋_GB2312"/>
          <w:color w:val="auto"/>
          <w:sz w:val="32"/>
          <w:szCs w:val="32"/>
        </w:rPr>
        <w:t>51510800MJQ6377619</w:t>
      </w:r>
      <w:r>
        <w:rPr>
          <w:rFonts w:hint="eastAsia" w:ascii="仿宋_GB2312" w:hAnsi="仿宋_GB2312" w:eastAsia="仿宋_GB2312" w:cs="仿宋_GB2312"/>
          <w:color w:val="auto"/>
          <w:sz w:val="32"/>
          <w:szCs w:val="32"/>
        </w:rPr>
        <w:t>，法定代表人蹇凯，住所为广元市利州区滨河路</w:t>
      </w:r>
      <w:r>
        <w:rPr>
          <w:rFonts w:ascii="仿宋_GB2312" w:hAnsi="仿宋_GB2312" w:eastAsia="仿宋_GB2312" w:cs="仿宋_GB2312"/>
          <w:color w:val="auto"/>
          <w:sz w:val="32"/>
          <w:szCs w:val="32"/>
        </w:rPr>
        <w:t>139</w:t>
      </w:r>
      <w:r>
        <w:rPr>
          <w:rFonts w:hint="eastAsia" w:ascii="仿宋_GB2312" w:hAnsi="仿宋_GB2312" w:eastAsia="仿宋_GB2312" w:cs="仿宋_GB2312"/>
          <w:color w:val="auto"/>
          <w:sz w:val="32"/>
          <w:szCs w:val="32"/>
        </w:rPr>
        <w:t>号，业务主管单位为中国共产党广元市委统一战线工作部。项目主管部门在该项目管理中主要负责审批相关活动申报、经费支出以及人员管理，并对本社会团体的日常工作和经费使用履行监督职能。</w:t>
      </w:r>
    </w:p>
    <w:p>
      <w:pPr>
        <w:spacing w:line="56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项目立项、资金申报的依据</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本社会团体项目立项、资金申报严格《民间非营利组织会计制度》相关法律法规，自觉履行相关程序，规范项目运行，接受主管单位、会员大会和财政部门的监督。</w:t>
      </w:r>
    </w:p>
    <w:p>
      <w:pPr>
        <w:spacing w:line="56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资金管理办法制定情况，资金支持具体项目的条件、范围与支持方式概况</w:t>
      </w:r>
    </w:p>
    <w:p>
      <w:pPr>
        <w:spacing w:line="560" w:lineRule="exact"/>
        <w:ind w:firstLine="63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社会团体制定规章制度规范资金管理，《广元市党外知识联谊会章程》第五章节对资产管理、使用规则，对经费来源、会费收纳标准、经费使用范围、财务管理制度、会计人员任职条件及要求、财务管理制度、财务审计、资产管理、专职人员的福利待遇进行了明确限定和要求。《章程》第三十四条</w:t>
      </w:r>
      <w:r>
        <w:rPr>
          <w:rFonts w:hint="eastAsia" w:ascii="仿宋_GB2312" w:eastAsia="仿宋_GB2312"/>
          <w:color w:val="auto"/>
          <w:sz w:val="32"/>
          <w:szCs w:val="32"/>
        </w:rPr>
        <w:t>规定“本会经费必须用于本章程规定的业务范围和事业的发展，不得在会员中分配”。</w:t>
      </w:r>
    </w:p>
    <w:p>
      <w:pPr>
        <w:spacing w:line="56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rPr>
        <w:t>资金分配的原则及考虑因素</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本社会团体资金分配原则为公平、公正、公开。考虑因素主要包括但不限于合法性、合理性、实用性以及必要性。</w:t>
      </w:r>
    </w:p>
    <w:p>
      <w:pPr>
        <w:spacing w:line="560" w:lineRule="exact"/>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（二）项目绩效目标。</w:t>
      </w:r>
    </w:p>
    <w:p>
      <w:pPr>
        <w:spacing w:line="56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项目主要内容</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本项目主要内容为开展学习教育、培养人才、建言献策、服务社会和联谊交友等活动。</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项目应实现的具体绩效目标</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是分类建立党外知识分子数据库。在各单位、县区推荐的基础上，结合掌握的情况，分类建立了无党派人士重点人物库；二是充分发挥党外知识分子联谊会的桥梁纽带作用。支持知联会吸纳会员，统筹解决办公场所和经费问题，凝聚党外知识分子智慧和力量。举办党外知识分子综合能力素质提升培训班，开展“弘扬爱国奋斗精神、建功立业新时代”主题教育。组织市知联会围绕新时期党外知识分子思想政治工作调研，形成调研报告上报省委统战部。组织会员深入调研，智力支持广元“十四五”规划编制。组织市知联会与四川信息职业技术学院联合调研，撰写专项研究报告。组织会员赴外地考察，开展课题调研。争取林业专项资金和筹集社会资金，启动“我为蜀道栽枝花”活动建议；三是加强优秀年轻人才队伍建设。组织参加全市党外年轻干部人才培训班；四是加强归国留学人员队伍建设。组织开展革命传统教育、调研考察和走访看望等活动，加强政治引领。推荐</w:t>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名代表人士参加全省归国留学人员培训班，组织</w:t>
      </w: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名代表人士参加全市统一战线新成员培训班；五是加强高校统战工作。推动高校中层领导中配备党外干部，纵深推进“巴蜀儿女进天山”教育援疆项目，帮助川北幼专应届毕业生稳定就业；六是加强国企统战。出台相关制度，规范国企统战工作。加强与市国资委、市属国企常态化对接联系。建立市属国有企业党外知识分子数据库。市知联会组织国企会员就康养经济、文旅产业等深入调研，形成一批高质量调研报告。</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3.结合</w:t>
      </w:r>
      <w:r>
        <w:rPr>
          <w:rFonts w:ascii="仿宋_GB2312" w:hAnsi="仿宋_GB2312" w:eastAsia="仿宋_GB2312" w:cs="仿宋_GB2312"/>
          <w:color w:val="auto"/>
          <w:sz w:val="32"/>
          <w:szCs w:val="32"/>
        </w:rPr>
        <w:t>2020</w:t>
      </w:r>
      <w:r>
        <w:rPr>
          <w:rFonts w:hint="eastAsia" w:ascii="仿宋_GB2312" w:hAnsi="仿宋_GB2312" w:eastAsia="仿宋_GB2312" w:cs="仿宋_GB2312"/>
          <w:color w:val="auto"/>
          <w:sz w:val="32"/>
          <w:szCs w:val="32"/>
        </w:rPr>
        <w:t>年度工作开展实际，申报内容与相关部门为本社会团体明确的经营范围完全一致，申报目标可实践、可实现，合理可行。</w:t>
      </w:r>
    </w:p>
    <w:p>
      <w:pPr>
        <w:spacing w:line="560" w:lineRule="exact"/>
        <w:ind w:firstLine="640" w:firstLineChars="200"/>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（三）项目自评步骤及方法。</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本项目自评主要经历了以下步骤：</w:t>
      </w:r>
    </w:p>
    <w:p>
      <w:pPr>
        <w:spacing w:line="56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前期准备工作。为完成此次绩效评价工作，本社会团体成立了以苟兴国会长为组长；秘书长蹇凯为副组长，工作人员为组员的</w:t>
      </w:r>
      <w:r>
        <w:rPr>
          <w:rFonts w:ascii="仿宋_GB2312" w:hAnsi="仿宋_GB2312" w:eastAsia="仿宋_GB2312" w:cs="仿宋_GB2312"/>
          <w:color w:val="auto"/>
          <w:sz w:val="32"/>
          <w:szCs w:val="32"/>
        </w:rPr>
        <w:t>2020</w:t>
      </w:r>
      <w:r>
        <w:rPr>
          <w:rFonts w:hint="eastAsia" w:ascii="仿宋_GB2312" w:hAnsi="仿宋_GB2312" w:eastAsia="仿宋_GB2312" w:cs="仿宋_GB2312"/>
          <w:color w:val="auto"/>
          <w:sz w:val="32"/>
          <w:szCs w:val="32"/>
        </w:rPr>
        <w:t>年项目绩效评价工作小组，负责统一布置、协调和落实此次绩效自评工作的具体展开。</w:t>
      </w:r>
    </w:p>
    <w:p>
      <w:pPr>
        <w:spacing w:line="56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组织实施、检查、核实工作情况。绩效评价组在前期充分准备基础上，完成了绩效评价方案，明确了评价的方法、评价的原则、指标体系等，并按照工作方案，顺利完成了绩效评价报告工作。具体实施过程如下：</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）数据填报和采集。通过查阅研读相关文件、政策，抽查部分银行凭单、会计凭证、合同协议、成果文件等资料，并通过实地走访掌握具体情况，对采集的数据做详细的分析和统计。</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）电话回访。通过电话、传真、微信等通信手段、平台，对收集到的数据进一步核实确认。</w:t>
      </w:r>
    </w:p>
    <w:p>
      <w:pPr>
        <w:spacing w:line="560" w:lineRule="exact"/>
        <w:ind w:firstLine="640" w:firstLineChars="200"/>
        <w:rPr>
          <w:rFonts w:hint="eastAsia" w:ascii="黑体" w:hAnsi="黑体" w:eastAsia="黑体" w:cs="黑体"/>
          <w:color w:val="auto"/>
          <w:sz w:val="32"/>
          <w:szCs w:val="32"/>
        </w:rPr>
      </w:pP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）数据分析及撰写报告。对确认后的数据、资料、图册、文件进行分析综合，撰写绩效评价报告。</w:t>
      </w:r>
      <w:r>
        <w:rPr>
          <w:rFonts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rPr>
        <w:t xml:space="preserve">    </w:t>
      </w:r>
      <w:r>
        <w:rPr>
          <w:rFonts w:hint="eastAsia" w:ascii="黑体" w:hAnsi="黑体" w:eastAsia="黑体" w:cs="黑体"/>
          <w:color w:val="auto"/>
          <w:sz w:val="32"/>
          <w:szCs w:val="32"/>
        </w:rPr>
        <w:t>二、项目资金申报及使用情况</w:t>
      </w:r>
    </w:p>
    <w:p>
      <w:pPr>
        <w:spacing w:line="560" w:lineRule="exact"/>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（一）项目资金申报及批复情况</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党外知识分子联谊会工作经费申报资金3.6万元，财政批复项目资金3.6万元，该项资金按流程申报及批复，符合资金管理办法等相关规定。</w:t>
      </w:r>
    </w:p>
    <w:p>
      <w:pPr>
        <w:spacing w:line="560" w:lineRule="exact"/>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（二）资金计划、到位及使用情况</w:t>
      </w:r>
    </w:p>
    <w:p>
      <w:pPr>
        <w:spacing w:line="560" w:lineRule="exact"/>
        <w:ind w:firstLine="640" w:firstLineChars="200"/>
        <w:rPr>
          <w:rFonts w:ascii="仿宋_GB2312" w:hAnsi="仿宋_GB2312" w:eastAsia="仿宋_GB2312" w:cs="仿宋_GB2312"/>
          <w:color w:val="auto"/>
          <w:sz w:val="32"/>
          <w:szCs w:val="32"/>
        </w:rPr>
      </w:pPr>
      <w:r>
        <w:rPr>
          <w:rFonts w:ascii="楷体_GB2312" w:hAnsi="楷体_GB2312" w:eastAsia="楷体_GB2312" w:cs="楷体_GB2312"/>
          <w:color w:val="auto"/>
          <w:sz w:val="32"/>
          <w:szCs w:val="32"/>
        </w:rPr>
        <w:t>1.</w:t>
      </w:r>
      <w:r>
        <w:rPr>
          <w:rFonts w:hint="eastAsia" w:ascii="仿宋_GB2312" w:hAnsi="仿宋_GB2312" w:eastAsia="仿宋_GB2312" w:cs="仿宋_GB2312"/>
          <w:color w:val="auto"/>
          <w:sz w:val="32"/>
          <w:szCs w:val="32"/>
        </w:rPr>
        <w:t>资金计划</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党外知识分子联谊会工作经费计划资金</w:t>
      </w:r>
      <w:r>
        <w:rPr>
          <w:rFonts w:ascii="仿宋_GB2312" w:hAnsi="仿宋_GB2312" w:eastAsia="仿宋_GB2312" w:cs="仿宋_GB2312"/>
          <w:color w:val="auto"/>
          <w:sz w:val="32"/>
          <w:szCs w:val="32"/>
        </w:rPr>
        <w:t>3.6</w:t>
      </w:r>
      <w:r>
        <w:rPr>
          <w:rFonts w:hint="eastAsia" w:ascii="仿宋_GB2312" w:hAnsi="仿宋_GB2312" w:eastAsia="仿宋_GB2312" w:cs="仿宋_GB2312"/>
          <w:color w:val="auto"/>
          <w:sz w:val="32"/>
          <w:szCs w:val="32"/>
        </w:rPr>
        <w:t>万元，其中包括业务主管部门统筹支配</w:t>
      </w:r>
      <w:r>
        <w:rPr>
          <w:rFonts w:ascii="仿宋_GB2312" w:hAnsi="仿宋_GB2312" w:eastAsia="仿宋_GB2312" w:cs="仿宋_GB2312"/>
          <w:color w:val="auto"/>
          <w:sz w:val="32"/>
          <w:szCs w:val="32"/>
        </w:rPr>
        <w:t>1.6</w:t>
      </w:r>
      <w:r>
        <w:rPr>
          <w:rFonts w:hint="eastAsia" w:ascii="仿宋_GB2312" w:hAnsi="仿宋_GB2312" w:eastAsia="仿宋_GB2312" w:cs="仿宋_GB2312"/>
          <w:color w:val="auto"/>
          <w:sz w:val="32"/>
          <w:szCs w:val="32"/>
        </w:rPr>
        <w:t>万元，拨付党外知识分子联谊会</w:t>
      </w: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万元。</w:t>
      </w:r>
    </w:p>
    <w:p>
      <w:pPr>
        <w:spacing w:line="56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资金到位</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资金足额</w:t>
      </w:r>
      <w:bookmarkStart w:id="60" w:name="_GoBack"/>
      <w:bookmarkEnd w:id="60"/>
      <w:r>
        <w:rPr>
          <w:rFonts w:hint="eastAsia" w:ascii="仿宋_GB2312" w:hAnsi="仿宋_GB2312" w:eastAsia="仿宋_GB2312" w:cs="仿宋_GB2312"/>
          <w:color w:val="auto"/>
          <w:sz w:val="32"/>
          <w:szCs w:val="32"/>
        </w:rPr>
        <w:t>拨付，资金到位率</w:t>
      </w:r>
      <w:r>
        <w:rPr>
          <w:rFonts w:ascii="仿宋_GB2312" w:hAnsi="仿宋_GB2312" w:eastAsia="仿宋_GB2312" w:cs="仿宋_GB2312"/>
          <w:color w:val="auto"/>
          <w:sz w:val="32"/>
          <w:szCs w:val="32"/>
        </w:rPr>
        <w:t>100%</w:t>
      </w:r>
      <w:r>
        <w:rPr>
          <w:rFonts w:hint="eastAsia" w:ascii="仿宋_GB2312" w:hAnsi="仿宋_GB2312" w:eastAsia="仿宋_GB2312" w:cs="仿宋_GB2312"/>
          <w:color w:val="auto"/>
          <w:sz w:val="32"/>
          <w:szCs w:val="32"/>
        </w:rPr>
        <w:t>，到位及时。</w:t>
      </w:r>
    </w:p>
    <w:p>
      <w:pPr>
        <w:spacing w:line="56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资金使用</w:t>
      </w:r>
    </w:p>
    <w:p>
      <w:pPr>
        <w:spacing w:line="56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2020</w:t>
      </w:r>
      <w:r>
        <w:rPr>
          <w:rFonts w:hint="eastAsia" w:ascii="仿宋_GB2312" w:hAnsi="仿宋_GB2312" w:eastAsia="仿宋_GB2312" w:cs="仿宋_GB2312"/>
          <w:color w:val="auto"/>
          <w:sz w:val="32"/>
          <w:szCs w:val="32"/>
        </w:rPr>
        <w:t>年度成本</w:t>
      </w:r>
      <w:r>
        <w:rPr>
          <w:rFonts w:ascii="仿宋_GB2312" w:hAnsi="仿宋_GB2312" w:eastAsia="仿宋_GB2312" w:cs="仿宋_GB2312"/>
          <w:color w:val="auto"/>
          <w:sz w:val="32"/>
          <w:szCs w:val="32"/>
        </w:rPr>
        <w:t>12,504.00</w:t>
      </w:r>
      <w:r>
        <w:rPr>
          <w:rFonts w:hint="eastAsia" w:ascii="仿宋_GB2312" w:hAnsi="仿宋_GB2312" w:eastAsia="仿宋_GB2312" w:cs="仿宋_GB2312"/>
          <w:color w:val="auto"/>
          <w:sz w:val="32"/>
          <w:szCs w:val="32"/>
        </w:rPr>
        <w:t>元，其中支付员工工资</w:t>
      </w:r>
      <w:r>
        <w:rPr>
          <w:rFonts w:ascii="仿宋_GB2312" w:hAnsi="仿宋_GB2312" w:eastAsia="仿宋_GB2312" w:cs="仿宋_GB2312"/>
          <w:color w:val="auto"/>
          <w:sz w:val="32"/>
          <w:szCs w:val="32"/>
        </w:rPr>
        <w:t>16,000.00</w:t>
      </w:r>
      <w:r>
        <w:rPr>
          <w:rFonts w:hint="eastAsia" w:ascii="仿宋_GB2312" w:hAnsi="仿宋_GB2312" w:eastAsia="仿宋_GB2312" w:cs="仿宋_GB2312"/>
          <w:color w:val="auto"/>
          <w:sz w:val="32"/>
          <w:szCs w:val="32"/>
        </w:rPr>
        <w:t>元，购买商品、接受服务支付的现金</w:t>
      </w:r>
      <w:r>
        <w:rPr>
          <w:rFonts w:ascii="仿宋_GB2312" w:hAnsi="仿宋_GB2312" w:eastAsia="仿宋_GB2312" w:cs="仿宋_GB2312"/>
          <w:color w:val="auto"/>
          <w:sz w:val="32"/>
          <w:szCs w:val="32"/>
        </w:rPr>
        <w:t>8,942.00</w:t>
      </w:r>
      <w:r>
        <w:rPr>
          <w:rFonts w:hint="eastAsia" w:ascii="仿宋_GB2312" w:hAnsi="仿宋_GB2312" w:eastAsia="仿宋_GB2312" w:cs="仿宋_GB2312"/>
          <w:color w:val="auto"/>
          <w:sz w:val="32"/>
          <w:szCs w:val="32"/>
        </w:rPr>
        <w:t>元，会员服务</w:t>
      </w:r>
      <w:r>
        <w:rPr>
          <w:rFonts w:ascii="仿宋_GB2312" w:hAnsi="仿宋_GB2312" w:eastAsia="仿宋_GB2312" w:cs="仿宋_GB2312"/>
          <w:color w:val="auto"/>
          <w:sz w:val="32"/>
          <w:szCs w:val="32"/>
        </w:rPr>
        <w:t>3,562.00</w:t>
      </w:r>
      <w:r>
        <w:rPr>
          <w:rFonts w:hint="eastAsia" w:ascii="仿宋_GB2312" w:hAnsi="仿宋_GB2312" w:eastAsia="仿宋_GB2312" w:cs="仿宋_GB2312"/>
          <w:color w:val="auto"/>
          <w:sz w:val="32"/>
          <w:szCs w:val="32"/>
        </w:rPr>
        <w:t>元，财务审计费</w:t>
      </w:r>
      <w:r>
        <w:rPr>
          <w:rFonts w:ascii="仿宋_GB2312" w:hAnsi="仿宋_GB2312" w:eastAsia="仿宋_GB2312" w:cs="仿宋_GB2312"/>
          <w:color w:val="auto"/>
          <w:sz w:val="32"/>
          <w:szCs w:val="32"/>
        </w:rPr>
        <w:t>1,000.00</w:t>
      </w:r>
      <w:r>
        <w:rPr>
          <w:rFonts w:hint="eastAsia" w:ascii="仿宋_GB2312" w:hAnsi="仿宋_GB2312" w:eastAsia="仿宋_GB2312" w:cs="仿宋_GB2312"/>
          <w:color w:val="auto"/>
          <w:sz w:val="32"/>
          <w:szCs w:val="32"/>
        </w:rPr>
        <w:t>。资金支付均属于正常业务范围内的合理开支，各项支出在前期工作方案中有意识地控制在支付标准内，支付进度及时、支付依据合规合法，并与预算相符。</w:t>
      </w:r>
    </w:p>
    <w:p>
      <w:pPr>
        <w:spacing w:line="560" w:lineRule="exact"/>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（三）项目财务管理情况</w:t>
      </w:r>
    </w:p>
    <w:p>
      <w:pPr>
        <w:spacing w:line="560" w:lineRule="exact"/>
        <w:ind w:firstLine="640" w:firstLineChars="200"/>
        <w:rPr>
          <w:rFonts w:ascii="黑体" w:hAnsi="黑体" w:eastAsia="黑体" w:cs="黑体"/>
          <w:color w:val="auto"/>
          <w:sz w:val="32"/>
          <w:szCs w:val="32"/>
        </w:rPr>
      </w:pPr>
      <w:r>
        <w:rPr>
          <w:rFonts w:hint="eastAsia" w:ascii="仿宋_GB2312" w:hAnsi="仿宋_GB2312" w:eastAsia="仿宋_GB2312" w:cs="仿宋_GB2312"/>
          <w:color w:val="auto"/>
          <w:sz w:val="32"/>
          <w:szCs w:val="32"/>
        </w:rPr>
        <w:t>本社会团体各项目实施单位财务管理制度健全，严格执行财务管理制度，账务处理及时，会计核算规范。</w:t>
      </w:r>
      <w:r>
        <w:rPr>
          <w:rFonts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rPr>
        <w:t xml:space="preserve">    </w:t>
      </w:r>
      <w:r>
        <w:rPr>
          <w:rFonts w:hint="eastAsia" w:ascii="黑体" w:hAnsi="黑体" w:eastAsia="黑体" w:cs="黑体"/>
          <w:color w:val="auto"/>
          <w:sz w:val="32"/>
          <w:szCs w:val="32"/>
        </w:rPr>
        <w:t>三、项目实施及管理情况</w:t>
      </w:r>
    </w:p>
    <w:p>
      <w:pPr>
        <w:spacing w:line="560" w:lineRule="exact"/>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（一）项目组织架构及实施流程</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实施严格采用审批制。本社会团体法人代表蹇凯为组长，会长苟兴国、副会长张明慧同志为部门负责人，项目实施过程全程接受市委统战部主管，重大项目活动经市委统战部同意报批市委、市政府审批；大额资金支出采购时也严格采用投标方式，多方对比，力图经济实惠，物有所值，采购过程公开透明，财务资料完备健全，报账层层把关。</w:t>
      </w:r>
    </w:p>
    <w:p>
      <w:pPr>
        <w:spacing w:line="560" w:lineRule="exact"/>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（二）项目管理情况</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社会团体严格执行《会计法》、会计准则、财务制度和《广元市党外知识分子联谊会章程》等规定，专项资金管理、分配坚持根据各个专项工作需要设置，各项经费收入与支出实行“统一管理，独立核算”，坚持“统一领导、一把手负总责、分管领导严格审核、量入为出、从严控制、合理开支、讲求实效”的原则，大额资金使用坚持大会决定，使用合法合规，坚持专款专用，运行机制健全有效；专项补助资金分配办法及职责分工，专项补助资金须按照规定的支出范围和用途安排支出，支出报销应严格按照规定的报销标准及报销程序办理，做到流程合规、手续完整、要件齐备。</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今年进行项目均严格执行财务管理制度，采购公开、财务处理及时、会计核算规范切符合相关规定。</w:t>
      </w:r>
    </w:p>
    <w:p>
      <w:pPr>
        <w:spacing w:line="560" w:lineRule="exact"/>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（三）项目监管情况</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委统战部为加强项目管理效果，保证项目运行有序采取了一系列措施：一是入驻监管工作。党外知识分子科科长蹇凯作为秘书长负责日常工作，签阅相关文件，监督项目运行，推动社团工作运行；二是严格落实财务审批手续。账目报销上层层签字，部分账目须市委统战部相关领导签字方可报销。通过内部严管和外部监督相结合的方式，本社会团体项目推行在做到高质高量的同时合法、合规。</w:t>
      </w:r>
    </w:p>
    <w:p>
      <w:pPr>
        <w:spacing w:line="560" w:lineRule="exact"/>
        <w:ind w:firstLine="640" w:firstLineChars="200"/>
        <w:rPr>
          <w:rFonts w:ascii="楷体_GB2312" w:hAnsi="楷体_GB2312" w:eastAsia="楷体_GB2312" w:cs="楷体_GB2312"/>
          <w:color w:val="auto"/>
          <w:sz w:val="32"/>
          <w:szCs w:val="32"/>
        </w:rPr>
      </w:pPr>
      <w:r>
        <w:rPr>
          <w:rFonts w:hint="eastAsia" w:ascii="黑体" w:hAnsi="黑体" w:eastAsia="黑体" w:cs="黑体"/>
          <w:color w:val="auto"/>
          <w:sz w:val="32"/>
          <w:szCs w:val="32"/>
        </w:rPr>
        <w:t>四、项目绩效情况</w:t>
      </w:r>
      <w:r>
        <w:rPr>
          <w:rFonts w:ascii="黑体" w:hAnsi="黑体" w:eastAsia="黑体" w:cs="黑体"/>
          <w:color w:val="auto"/>
          <w:sz w:val="32"/>
          <w:szCs w:val="32"/>
        </w:rPr>
        <w:t xml:space="preserve"> </w:t>
      </w:r>
    </w:p>
    <w:p>
      <w:pPr>
        <w:spacing w:line="560" w:lineRule="exact"/>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（一）项目完成情况</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一是分类建立党外知识分子数据库。今年</w:t>
      </w: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rPr>
        <w:t>月，对全市具有高级职称、科技拔尖人才、学术技术带头人、重要业务骨干、担任中层以上领导职务、归国留学人员、高层次引进人才等进一步全面摸底，建立了包含</w:t>
      </w:r>
      <w:r>
        <w:rPr>
          <w:rFonts w:ascii="仿宋_GB2312" w:hAnsi="仿宋_GB2312" w:eastAsia="仿宋_GB2312" w:cs="仿宋_GB2312"/>
          <w:color w:val="auto"/>
          <w:sz w:val="32"/>
          <w:szCs w:val="32"/>
        </w:rPr>
        <w:t>4000</w:t>
      </w:r>
      <w:r>
        <w:rPr>
          <w:rFonts w:hint="eastAsia" w:ascii="仿宋_GB2312" w:hAnsi="仿宋_GB2312" w:eastAsia="仿宋_GB2312" w:cs="仿宋_GB2312"/>
          <w:color w:val="auto"/>
          <w:sz w:val="32"/>
          <w:szCs w:val="32"/>
        </w:rPr>
        <w:t>余名党外知识分子的数据库。在各单位、县区推荐的基础上，结合掌握的情况，分类建立了无党派人士重点人物库（</w:t>
      </w:r>
      <w:r>
        <w:rPr>
          <w:rFonts w:ascii="仿宋_GB2312" w:hAnsi="仿宋_GB2312" w:eastAsia="仿宋_GB2312" w:cs="仿宋_GB2312"/>
          <w:color w:val="auto"/>
          <w:sz w:val="32"/>
          <w:szCs w:val="32"/>
        </w:rPr>
        <w:t>51</w:t>
      </w:r>
      <w:r>
        <w:rPr>
          <w:rFonts w:hint="eastAsia" w:ascii="仿宋_GB2312" w:hAnsi="仿宋_GB2312" w:eastAsia="仿宋_GB2312" w:cs="仿宋_GB2312"/>
          <w:color w:val="auto"/>
          <w:sz w:val="32"/>
          <w:szCs w:val="32"/>
        </w:rPr>
        <w:t>名）。二是充分发挥党外知识分子联谊会的桥梁纽带作用。支持知联会吸纳会员，统筹解决办公场所和经费问题。在西南交通大学举办党外知识分子综合能力素质提升培训班，开展“弘扬爱国奋斗精神、建功立业新时代”主题教育。组织市知联会围绕新时期党外知识分子思想政治工作调研，形成调研报告上报省委统战部。组织会员深入调研，智力支持广元“十四五”规划编制。与市科协共同举办了</w:t>
      </w:r>
      <w:r>
        <w:rPr>
          <w:rFonts w:ascii="仿宋_GB2312" w:hAnsi="仿宋_GB2312" w:eastAsia="仿宋_GB2312" w:cs="仿宋_GB2312"/>
          <w:color w:val="auto"/>
          <w:sz w:val="32"/>
          <w:szCs w:val="32"/>
        </w:rPr>
        <w:t>2020</w:t>
      </w:r>
      <w:r>
        <w:rPr>
          <w:rFonts w:hint="eastAsia" w:ascii="仿宋_GB2312" w:hAnsi="仿宋_GB2312" w:eastAsia="仿宋_GB2312" w:cs="仿宋_GB2312"/>
          <w:color w:val="auto"/>
          <w:sz w:val="32"/>
          <w:szCs w:val="32"/>
        </w:rPr>
        <w:t>年广元市第五届“双创”学术沙龙，为基层“双创”工作者搭建了交流平台，营造了浓厚的“双创”学术氛围。组织市知联会与四川信息职业技术学院联合调研，撰写出《广元市新型基础设施建设研究报告》和</w:t>
      </w:r>
      <w:r>
        <w:rPr>
          <w:rFonts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rPr>
        <w:t>篇专项研究报告，现已上报市委、市政府供决策参考。组织</w:t>
      </w:r>
      <w:r>
        <w:rPr>
          <w:rFonts w:ascii="仿宋_GB2312" w:hAnsi="仿宋_GB2312" w:eastAsia="仿宋_GB2312" w:cs="仿宋_GB2312"/>
          <w:color w:val="auto"/>
          <w:sz w:val="32"/>
          <w:szCs w:val="32"/>
        </w:rPr>
        <w:t>10</w:t>
      </w:r>
      <w:r>
        <w:rPr>
          <w:rFonts w:hint="eastAsia" w:ascii="仿宋_GB2312" w:hAnsi="仿宋_GB2312" w:eastAsia="仿宋_GB2312" w:cs="仿宋_GB2312"/>
          <w:color w:val="auto"/>
          <w:sz w:val="32"/>
          <w:szCs w:val="32"/>
        </w:rPr>
        <w:t>名市知联会会员赴贵阳、安顺、六盘水、重庆等地考察，开展《依托气候优势</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培育千亿产业</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大力发展康养避暑房地产</w:t>
      </w: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rPr>
        <w:t>着力构建成渝地区双城经济圈康养避暑中心和川陕甘结合部康养中心》的课题调研。</w:t>
      </w: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rPr>
        <w:t>月</w:t>
      </w: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日，开展“美丽广元</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锦绣蜀道</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我为蜀道栽枝花”首期公益活动，共发动</w:t>
      </w:r>
      <w:r>
        <w:rPr>
          <w:rFonts w:ascii="仿宋_GB2312" w:hAnsi="仿宋_GB2312" w:eastAsia="仿宋_GB2312" w:cs="仿宋_GB2312"/>
          <w:color w:val="auto"/>
          <w:sz w:val="32"/>
          <w:szCs w:val="32"/>
        </w:rPr>
        <w:t>100</w:t>
      </w:r>
      <w:r>
        <w:rPr>
          <w:rFonts w:hint="eastAsia" w:ascii="仿宋_GB2312" w:hAnsi="仿宋_GB2312" w:eastAsia="仿宋_GB2312" w:cs="仿宋_GB2312"/>
          <w:color w:val="auto"/>
          <w:sz w:val="32"/>
          <w:szCs w:val="32"/>
        </w:rPr>
        <w:t>余家单位在蜀道大树垭至上新铺，义务栽植红杏花树</w:t>
      </w:r>
      <w:r>
        <w:rPr>
          <w:rFonts w:ascii="仿宋_GB2312" w:hAnsi="仿宋_GB2312" w:eastAsia="仿宋_GB2312" w:cs="仿宋_GB2312"/>
          <w:color w:val="auto"/>
          <w:sz w:val="32"/>
          <w:szCs w:val="32"/>
        </w:rPr>
        <w:t>700</w:t>
      </w:r>
      <w:r>
        <w:rPr>
          <w:rFonts w:hint="eastAsia" w:ascii="仿宋_GB2312" w:hAnsi="仿宋_GB2312" w:eastAsia="仿宋_GB2312" w:cs="仿宋_GB2312"/>
          <w:color w:val="auto"/>
          <w:sz w:val="32"/>
          <w:szCs w:val="32"/>
        </w:rPr>
        <w:t>余棵、花卉</w:t>
      </w:r>
      <w:r>
        <w:rPr>
          <w:rFonts w:ascii="仿宋_GB2312" w:hAnsi="仿宋_GB2312" w:eastAsia="仿宋_GB2312" w:cs="仿宋_GB2312"/>
          <w:color w:val="auto"/>
          <w:sz w:val="32"/>
          <w:szCs w:val="32"/>
        </w:rPr>
        <w:t>5000</w:t>
      </w:r>
      <w:r>
        <w:rPr>
          <w:rFonts w:hint="eastAsia" w:ascii="仿宋_GB2312" w:hAnsi="仿宋_GB2312" w:eastAsia="仿宋_GB2312" w:cs="仿宋_GB2312"/>
          <w:color w:val="auto"/>
          <w:sz w:val="32"/>
          <w:szCs w:val="32"/>
        </w:rPr>
        <w:t>余株，“百里杏花红，山花烂漫开”的蜀道增彩添香工程实现良好开端。三是加强优秀年轻人才队伍建设。组织</w:t>
      </w:r>
      <w:r>
        <w:rPr>
          <w:rFonts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t>名同志参加全市党外年轻干部人才培训班。四是加强归国留学人员队伍建设。在党外知识分子的数据库中全面摸排，深入单位实地走访调研，摸清全市归国留学人员底数，建立归国留学人员库（</w:t>
      </w:r>
      <w:r>
        <w:rPr>
          <w:rFonts w:ascii="仿宋_GB2312" w:hAnsi="仿宋_GB2312" w:eastAsia="仿宋_GB2312" w:cs="仿宋_GB2312"/>
          <w:color w:val="auto"/>
          <w:sz w:val="32"/>
          <w:szCs w:val="32"/>
        </w:rPr>
        <w:t>16</w:t>
      </w:r>
      <w:r>
        <w:rPr>
          <w:rFonts w:hint="eastAsia" w:ascii="仿宋_GB2312" w:hAnsi="仿宋_GB2312" w:eastAsia="仿宋_GB2312" w:cs="仿宋_GB2312"/>
          <w:color w:val="auto"/>
          <w:sz w:val="32"/>
          <w:szCs w:val="32"/>
        </w:rPr>
        <w:t>名）。在市知联会成立海智人才分会，组织开展革命传统教育、调研考察和走访看望等活动，加强政治引领。推荐</w:t>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名代表人士参加全省归国留学人员培训班，组织</w:t>
      </w: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名代表人士参加全市统一战线新成员培训班。五是加强高校统战工作。认真落实高校统战协作工作机制，与属地两所高校常态化工作对接，分管领导先后前往高校走访看望慰问党外知识分子</w:t>
      </w:r>
      <w:r>
        <w:rPr>
          <w:rFonts w:ascii="仿宋_GB2312" w:hAnsi="仿宋_GB2312" w:eastAsia="仿宋_GB2312" w:cs="仿宋_GB2312"/>
          <w:color w:val="auto"/>
          <w:sz w:val="32"/>
          <w:szCs w:val="32"/>
        </w:rPr>
        <w:t>10</w:t>
      </w:r>
      <w:r>
        <w:rPr>
          <w:rFonts w:hint="eastAsia" w:ascii="仿宋_GB2312" w:hAnsi="仿宋_GB2312" w:eastAsia="仿宋_GB2312" w:cs="仿宋_GB2312"/>
          <w:color w:val="auto"/>
          <w:sz w:val="32"/>
          <w:szCs w:val="32"/>
        </w:rPr>
        <w:t>人次，召开</w:t>
      </w: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次座谈会、工作推进会交流指导统战工作。先后推动在市属高校川北幼儿师范高等专科学校领导班子新配备党外干部</w:t>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名，在高校中层领导中配备党外干部</w:t>
      </w:r>
      <w:r>
        <w:rPr>
          <w:rFonts w:ascii="仿宋_GB2312" w:hAnsi="仿宋_GB2312" w:eastAsia="仿宋_GB2312" w:cs="仿宋_GB2312"/>
          <w:color w:val="auto"/>
          <w:sz w:val="32"/>
          <w:szCs w:val="32"/>
        </w:rPr>
        <w:t>17</w:t>
      </w:r>
      <w:r>
        <w:rPr>
          <w:rFonts w:hint="eastAsia" w:ascii="仿宋_GB2312" w:hAnsi="仿宋_GB2312" w:eastAsia="仿宋_GB2312" w:cs="仿宋_GB2312"/>
          <w:color w:val="auto"/>
          <w:sz w:val="32"/>
          <w:szCs w:val="32"/>
        </w:rPr>
        <w:t>名（其中中层正职</w:t>
      </w:r>
      <w:r>
        <w:rPr>
          <w:rFonts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rPr>
        <w:t>人）。高校配备统战部长，落实统战工作人员，党委常态化向党外代表人士传达重要文件、会议精神，支持参加统一战线活动和支教等社会服务。市知联会和四川信息职业技术学院联合组建调研组，经</w:t>
      </w: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个月调查研究，撰写出《广元市新型基础设施建设研究报告》呈报市委、市政府供决策参考。促成内江职业技术学院与四川信息职业技术学院共同开展民进四川省委立项课题“促进职业教育高质量和区域协同发展，提高技术技能人才地位”。纵深推进“巴蜀儿女进天山”教育援疆项目，帮助川北幼专应届毕业生稳定就业</w:t>
      </w:r>
      <w:r>
        <w:rPr>
          <w:rFonts w:ascii="仿宋_GB2312" w:hAnsi="仿宋_GB2312" w:eastAsia="仿宋_GB2312" w:cs="仿宋_GB2312"/>
          <w:color w:val="auto"/>
          <w:sz w:val="32"/>
          <w:szCs w:val="32"/>
        </w:rPr>
        <w:t>120</w:t>
      </w:r>
      <w:r>
        <w:rPr>
          <w:rFonts w:hint="eastAsia" w:ascii="仿宋_GB2312" w:hAnsi="仿宋_GB2312" w:eastAsia="仿宋_GB2312" w:cs="仿宋_GB2312"/>
          <w:color w:val="auto"/>
          <w:sz w:val="32"/>
          <w:szCs w:val="32"/>
        </w:rPr>
        <w:t>余人。六是加强国企统战。加强与市国资委、市属国企常态化对接联系，分管领导先后</w:t>
      </w: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次走访调研。市知联会组织国企会员就康养经济、文旅产业等深入调研，形成了一批高质量调研报告。</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截止目前，本社会团体超额完成年初制定的任务，项目推动有序、有力、有效，在严格控制成本的基础上高质量完成各项任务。</w:t>
      </w:r>
    </w:p>
    <w:p>
      <w:pPr>
        <w:spacing w:line="560" w:lineRule="exact"/>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（二）项目效益情况</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项目经济效益指标：本社会团体为社会团体，业务范围为开展学习教育、培养人才、建言献策、服务社会和联谊交友等活动，业务性质主要为社会公益服务，不以盈利为目的，本年度无经济效益。</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社会效益：一年来，本社会团体通过组织各类活动，走访调研、亲自实践，有效维护并促进了社会团结、稳定、和谐，为广元社会稳定、文化发展产生了积极的社会效益。</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生态效益：</w:t>
      </w: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rPr>
        <w:t>月</w:t>
      </w: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日，开展“美丽广元</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锦绣蜀道</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我为蜀道栽枝花”首期公益活动，共发动</w:t>
      </w:r>
      <w:r>
        <w:rPr>
          <w:rFonts w:ascii="仿宋_GB2312" w:hAnsi="仿宋_GB2312" w:eastAsia="仿宋_GB2312" w:cs="仿宋_GB2312"/>
          <w:color w:val="auto"/>
          <w:sz w:val="32"/>
          <w:szCs w:val="32"/>
        </w:rPr>
        <w:t>100</w:t>
      </w:r>
      <w:r>
        <w:rPr>
          <w:rFonts w:hint="eastAsia" w:ascii="仿宋_GB2312" w:hAnsi="仿宋_GB2312" w:eastAsia="仿宋_GB2312" w:cs="仿宋_GB2312"/>
          <w:color w:val="auto"/>
          <w:sz w:val="32"/>
          <w:szCs w:val="32"/>
        </w:rPr>
        <w:t>余家单位在蜀道大树垭至上新铺，义务栽植红杏花树</w:t>
      </w:r>
      <w:r>
        <w:rPr>
          <w:rFonts w:ascii="仿宋_GB2312" w:hAnsi="仿宋_GB2312" w:eastAsia="仿宋_GB2312" w:cs="仿宋_GB2312"/>
          <w:color w:val="auto"/>
          <w:sz w:val="32"/>
          <w:szCs w:val="32"/>
        </w:rPr>
        <w:t>700</w:t>
      </w:r>
      <w:r>
        <w:rPr>
          <w:rFonts w:hint="eastAsia" w:ascii="仿宋_GB2312" w:hAnsi="仿宋_GB2312" w:eastAsia="仿宋_GB2312" w:cs="仿宋_GB2312"/>
          <w:color w:val="auto"/>
          <w:sz w:val="32"/>
          <w:szCs w:val="32"/>
        </w:rPr>
        <w:t>余棵、花卉</w:t>
      </w:r>
      <w:r>
        <w:rPr>
          <w:rFonts w:ascii="仿宋_GB2312" w:hAnsi="仿宋_GB2312" w:eastAsia="仿宋_GB2312" w:cs="仿宋_GB2312"/>
          <w:color w:val="auto"/>
          <w:sz w:val="32"/>
          <w:szCs w:val="32"/>
        </w:rPr>
        <w:t>5000</w:t>
      </w:r>
      <w:r>
        <w:rPr>
          <w:rFonts w:hint="eastAsia" w:ascii="仿宋_GB2312" w:hAnsi="仿宋_GB2312" w:eastAsia="仿宋_GB2312" w:cs="仿宋_GB2312"/>
          <w:color w:val="auto"/>
          <w:sz w:val="32"/>
          <w:szCs w:val="32"/>
        </w:rPr>
        <w:t>余株，“百里杏花红，山花烂漫开”的蜀道增彩添香工程实现良好开端，为建设生态广元献出了党外知识分子的一份力量。</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可持续影响：一年来，本社会团体深入贯彻落实习近平总书记就做好新时代党外知识分子工作提出的系列新思想、新观点、新要求，高度重视加强和改进党外知识分子工作。通过各类教育培训、调研、服务活动对广元社会发展产生持续影响，使党外知识分子为建设广元集智聚力、同心同向，对我市走可持续发展道路产生了积极正面的影响。</w:t>
      </w:r>
    </w:p>
    <w:p>
      <w:pPr>
        <w:spacing w:line="560" w:lineRule="exact"/>
        <w:ind w:firstLine="640" w:firstLineChars="200"/>
        <w:rPr>
          <w:rFonts w:hint="eastAsia" w:ascii="黑体" w:hAnsi="黑体" w:eastAsia="黑体" w:cs="黑体"/>
          <w:color w:val="auto"/>
          <w:sz w:val="32"/>
          <w:szCs w:val="32"/>
        </w:rPr>
      </w:pPr>
      <w:r>
        <w:rPr>
          <w:rFonts w:hint="eastAsia" w:ascii="仿宋_GB2312" w:hAnsi="仿宋_GB2312" w:eastAsia="仿宋_GB2312" w:cs="仿宋_GB2312"/>
          <w:color w:val="auto"/>
          <w:sz w:val="32"/>
          <w:szCs w:val="32"/>
        </w:rPr>
        <w:t>服务对象满意度：通过与会员及党外知识分子通过电话、传真、微信等通信手段平台联系调查，显示满意度正“逐步提高”。</w:t>
      </w:r>
      <w:r>
        <w:rPr>
          <w:rFonts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rPr>
        <w:t xml:space="preserve">    </w:t>
      </w:r>
      <w:r>
        <w:rPr>
          <w:rFonts w:hint="eastAsia" w:ascii="黑体" w:hAnsi="黑体" w:eastAsia="黑体" w:cs="黑体"/>
          <w:color w:val="auto"/>
          <w:sz w:val="32"/>
          <w:szCs w:val="32"/>
        </w:rPr>
        <w:t>五、评价结论及建议</w:t>
      </w:r>
    </w:p>
    <w:p>
      <w:pPr>
        <w:spacing w:line="560" w:lineRule="exact"/>
        <w:ind w:firstLine="640" w:firstLineChars="200"/>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（一）评价结论</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被评价项目相关资料真实、可靠的基础上，经实地验看项目实施成果和听取项目实施效果，结合本社会团体的业务范围来看，本年度社会团体在开展学习教育、培养人才、建言献策、服务社会和联谊交友等方面取得了突出成效，项目完成率为</w:t>
      </w:r>
      <w:r>
        <w:rPr>
          <w:rFonts w:ascii="仿宋_GB2312" w:hAnsi="仿宋_GB2312" w:eastAsia="仿宋_GB2312" w:cs="仿宋_GB2312"/>
          <w:color w:val="auto"/>
          <w:sz w:val="32"/>
          <w:szCs w:val="32"/>
        </w:rPr>
        <w:t>100%,</w:t>
      </w:r>
      <w:r>
        <w:rPr>
          <w:rFonts w:hint="eastAsia" w:ascii="仿宋_GB2312" w:hAnsi="仿宋_GB2312" w:eastAsia="仿宋_GB2312" w:cs="仿宋_GB2312"/>
          <w:color w:val="auto"/>
          <w:sz w:val="32"/>
          <w:szCs w:val="32"/>
        </w:rPr>
        <w:t>项目社会效益、满意度指标逐步提高。</w:t>
      </w:r>
    </w:p>
    <w:p>
      <w:pPr>
        <w:spacing w:line="560" w:lineRule="exact"/>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（二）存在的问题</w:t>
      </w:r>
    </w:p>
    <w:p>
      <w:pPr>
        <w:spacing w:line="56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单位内控制度还不够完善，部分项目实施进度较慢。</w:t>
      </w:r>
    </w:p>
    <w:p>
      <w:pPr>
        <w:spacing w:line="56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财务知识专业性强，相关法律法规繁杂，具体实施细则要求细致专业，本社会团体财务人员专业知识储备与具体要求还有差距与时俱进还不够，需进一步加强学习，丰富知识结构。</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原因分析：</w:t>
      </w:r>
    </w:p>
    <w:p>
      <w:pPr>
        <w:spacing w:line="56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本社会团体专职人员少，时间精力有限，不仅忙于财务工作，还要兼顾日常工作，自身学习时间和条件不足。</w:t>
      </w:r>
    </w:p>
    <w:p>
      <w:pPr>
        <w:spacing w:line="560" w:lineRule="exact"/>
        <w:ind w:firstLine="640" w:firstLineChars="200"/>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（三）相关建议</w:t>
      </w:r>
    </w:p>
    <w:p>
      <w:pPr>
        <w:spacing w:line="56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健全团体专职人员配备，加强单位内部控制管理，完善、明确和细化各项财务管理制度，并严格按制度执行。 </w:t>
      </w:r>
    </w:p>
    <w:p>
      <w:pPr>
        <w:spacing w:line="56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加强组织领导，明确责任；加强队伍建设和业务培训</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建立长效机制，把绩效评价作为日常性工作，建立绩效评价管理工作考核的长效机制。</w:t>
      </w:r>
    </w:p>
    <w:p>
      <w:pPr>
        <w:spacing w:line="576" w:lineRule="exact"/>
        <w:jc w:val="center"/>
        <w:rPr>
          <w:rFonts w:hint="eastAsia" w:ascii="方正小标宋简体" w:hAnsi="方正小标宋简体" w:eastAsia="方正小标宋简体" w:cs="方正小标宋简体"/>
          <w:color w:val="auto"/>
          <w:sz w:val="44"/>
          <w:szCs w:val="44"/>
        </w:rPr>
      </w:pPr>
      <w:r>
        <w:rPr>
          <w:rFonts w:ascii="仿宋_GB2312" w:hAnsi="仿宋_GB2312" w:eastAsia="仿宋_GB2312" w:cs="仿宋_GB2312"/>
          <w:color w:val="auto"/>
          <w:sz w:val="32"/>
          <w:szCs w:val="32"/>
        </w:rPr>
        <w:br w:type="page"/>
      </w:r>
      <w:r>
        <w:rPr>
          <w:rFonts w:hint="eastAsia" w:ascii="方正小标宋简体" w:hAnsi="方正小标宋简体" w:eastAsia="方正小标宋简体" w:cs="方正小标宋简体"/>
          <w:color w:val="auto"/>
          <w:sz w:val="44"/>
          <w:szCs w:val="44"/>
        </w:rPr>
        <w:t>广元市中华职业教育社工作经费</w:t>
      </w:r>
    </w:p>
    <w:p>
      <w:pPr>
        <w:spacing w:line="576"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2020年绩效评价报告</w:t>
      </w:r>
    </w:p>
    <w:p>
      <w:pPr>
        <w:spacing w:line="576" w:lineRule="exact"/>
        <w:ind w:firstLine="880" w:firstLineChars="200"/>
        <w:rPr>
          <w:rFonts w:hint="eastAsia" w:ascii="方正小标宋简体" w:hAnsi="方正小标宋简体" w:eastAsia="方正小标宋简体" w:cs="方正小标宋简体"/>
          <w:color w:val="auto"/>
          <w:sz w:val="44"/>
          <w:szCs w:val="44"/>
        </w:rPr>
      </w:pPr>
    </w:p>
    <w:p>
      <w:pPr>
        <w:spacing w:line="576"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一、项目概况</w:t>
      </w:r>
    </w:p>
    <w:p>
      <w:pPr>
        <w:spacing w:line="576" w:lineRule="exact"/>
        <w:ind w:firstLine="640" w:firstLineChars="200"/>
        <w:rPr>
          <w:rFonts w:hint="eastAsia" w:ascii="楷体" w:hAnsi="楷体" w:eastAsia="楷体" w:cs="楷体"/>
          <w:color w:val="auto"/>
          <w:sz w:val="32"/>
          <w:szCs w:val="32"/>
        </w:rPr>
      </w:pPr>
      <w:r>
        <w:rPr>
          <w:rFonts w:hint="eastAsia" w:ascii="楷体" w:hAnsi="楷体" w:eastAsia="楷体" w:cs="楷体"/>
          <w:color w:val="auto"/>
          <w:sz w:val="32"/>
          <w:szCs w:val="32"/>
        </w:rPr>
        <w:t>（一）项目基本情况。</w:t>
      </w:r>
    </w:p>
    <w:p>
      <w:pPr>
        <w:spacing w:line="576" w:lineRule="exact"/>
        <w:ind w:firstLine="640" w:firstLineChars="200"/>
        <w:rPr>
          <w:rFonts w:hint="eastAsia" w:ascii="仿宋" w:hAnsi="仿宋" w:eastAsia="仿宋" w:cs="仿宋"/>
          <w:color w:val="auto"/>
          <w:sz w:val="32"/>
          <w:szCs w:val="32"/>
        </w:rPr>
      </w:pPr>
      <w:r>
        <w:rPr>
          <w:rFonts w:hint="eastAsia" w:ascii="楷体" w:hAnsi="楷体" w:eastAsia="楷体" w:cs="楷体"/>
          <w:color w:val="auto"/>
          <w:sz w:val="32"/>
          <w:szCs w:val="32"/>
        </w:rPr>
        <w:t>1．</w:t>
      </w:r>
      <w:r>
        <w:rPr>
          <w:rFonts w:hint="eastAsia" w:ascii="仿宋" w:hAnsi="仿宋" w:eastAsia="仿宋" w:cs="仿宋"/>
          <w:color w:val="auto"/>
          <w:sz w:val="32"/>
          <w:szCs w:val="32"/>
        </w:rPr>
        <w:t>广元市中华职业教育社是财政全额拨款的公益一类正科级事业单位，由市委统战部代管，编制8名,在编实有人数7人，财政全额供养人员。主要职责是</w:t>
      </w:r>
      <w:r>
        <w:rPr>
          <w:rFonts w:ascii="仿宋" w:hAnsi="仿宋" w:eastAsia="仿宋" w:cs="仿宋"/>
          <w:color w:val="auto"/>
          <w:sz w:val="32"/>
          <w:szCs w:val="32"/>
        </w:rPr>
        <w:t>团结联系有关社会力量开展职业教育的调查、研究与实验，探索我市改革和发展职业教育的途径；宣传国家、省</w:t>
      </w:r>
      <w:r>
        <w:rPr>
          <w:rFonts w:hint="eastAsia" w:ascii="仿宋" w:hAnsi="仿宋" w:eastAsia="仿宋" w:cs="仿宋"/>
          <w:color w:val="auto"/>
          <w:sz w:val="32"/>
          <w:szCs w:val="32"/>
        </w:rPr>
        <w:t>、市</w:t>
      </w:r>
      <w:r>
        <w:rPr>
          <w:rFonts w:ascii="仿宋" w:hAnsi="仿宋" w:eastAsia="仿宋" w:cs="仿宋"/>
          <w:color w:val="auto"/>
          <w:sz w:val="32"/>
          <w:szCs w:val="32"/>
        </w:rPr>
        <w:t>有关职业教育的方针政策，推动我市职业教育事业的跨越发展；开展职业教育和民办教育的调研和研究；联系我市民办</w:t>
      </w:r>
      <w:r>
        <w:rPr>
          <w:rFonts w:hint="eastAsia" w:ascii="仿宋" w:hAnsi="仿宋" w:eastAsia="仿宋" w:cs="仿宋"/>
          <w:color w:val="auto"/>
          <w:sz w:val="32"/>
          <w:szCs w:val="32"/>
        </w:rPr>
        <w:t>职业</w:t>
      </w:r>
      <w:r>
        <w:rPr>
          <w:rFonts w:ascii="仿宋" w:hAnsi="仿宋" w:eastAsia="仿宋" w:cs="仿宋"/>
          <w:color w:val="auto"/>
          <w:sz w:val="32"/>
          <w:szCs w:val="32"/>
        </w:rPr>
        <w:t>教育界人士，促进民办教育的</w:t>
      </w:r>
      <w:r>
        <w:rPr>
          <w:rFonts w:hint="eastAsia" w:ascii="仿宋" w:hAnsi="仿宋" w:eastAsia="仿宋" w:cs="仿宋"/>
          <w:color w:val="auto"/>
          <w:sz w:val="32"/>
          <w:szCs w:val="32"/>
        </w:rPr>
        <w:t>联系</w:t>
      </w:r>
      <w:r>
        <w:rPr>
          <w:rFonts w:ascii="仿宋" w:hAnsi="仿宋" w:eastAsia="仿宋" w:cs="仿宋"/>
          <w:color w:val="auto"/>
          <w:sz w:val="32"/>
          <w:szCs w:val="32"/>
        </w:rPr>
        <w:t>与交流，推动民办教育事业的健康发展。为</w:t>
      </w:r>
      <w:r>
        <w:rPr>
          <w:rFonts w:hint="eastAsia" w:ascii="仿宋" w:hAnsi="仿宋" w:eastAsia="仿宋" w:cs="仿宋"/>
          <w:color w:val="auto"/>
          <w:sz w:val="32"/>
          <w:szCs w:val="32"/>
        </w:rPr>
        <w:t>团体</w:t>
      </w:r>
      <w:r>
        <w:rPr>
          <w:rFonts w:ascii="仿宋" w:hAnsi="仿宋" w:eastAsia="仿宋" w:cs="仿宋"/>
          <w:color w:val="auto"/>
          <w:sz w:val="32"/>
          <w:szCs w:val="32"/>
        </w:rPr>
        <w:t>社员</w:t>
      </w:r>
      <w:r>
        <w:rPr>
          <w:rFonts w:hint="eastAsia" w:ascii="仿宋" w:hAnsi="仿宋" w:eastAsia="仿宋" w:cs="仿宋"/>
          <w:color w:val="auto"/>
          <w:sz w:val="32"/>
          <w:szCs w:val="32"/>
        </w:rPr>
        <w:t>、个人社员</w:t>
      </w:r>
      <w:r>
        <w:rPr>
          <w:rFonts w:ascii="仿宋" w:hAnsi="仿宋" w:eastAsia="仿宋" w:cs="仿宋"/>
          <w:color w:val="auto"/>
          <w:sz w:val="32"/>
          <w:szCs w:val="32"/>
        </w:rPr>
        <w:t>开展教育活动提供服务，维护社员的合法权益，反映他们的意见和建议；开展与港、奥、台同胞及海外侨胞中从事和关心职业教育的团体、人士的联系与合作，引导和争取他们关心支持我市</w:t>
      </w:r>
      <w:r>
        <w:rPr>
          <w:rFonts w:hint="eastAsia" w:ascii="仿宋" w:hAnsi="仿宋" w:eastAsia="仿宋" w:cs="仿宋"/>
          <w:color w:val="auto"/>
          <w:sz w:val="32"/>
          <w:szCs w:val="32"/>
        </w:rPr>
        <w:t>职业</w:t>
      </w:r>
      <w:r>
        <w:rPr>
          <w:rFonts w:ascii="仿宋" w:hAnsi="仿宋" w:eastAsia="仿宋" w:cs="仿宋"/>
          <w:color w:val="auto"/>
          <w:sz w:val="32"/>
          <w:szCs w:val="32"/>
        </w:rPr>
        <w:t>教育事业，促进民间友好往来；开展与国内外有关教育团体和人士的联谊活动、学术交流，增进相互了解，促进友好合作。</w:t>
      </w:r>
    </w:p>
    <w:p>
      <w:pPr>
        <w:spacing w:line="576" w:lineRule="exact"/>
        <w:ind w:firstLine="640" w:firstLineChars="200"/>
        <w:rPr>
          <w:rFonts w:ascii="仿宋" w:hAnsi="仿宋" w:eastAsia="仿宋" w:cs="仿宋"/>
          <w:color w:val="auto"/>
          <w:sz w:val="32"/>
          <w:szCs w:val="32"/>
        </w:rPr>
      </w:pPr>
      <w:r>
        <w:rPr>
          <w:rFonts w:hint="eastAsia" w:ascii="楷体" w:hAnsi="楷体" w:eastAsia="楷体" w:cs="楷体"/>
          <w:color w:val="auto"/>
          <w:sz w:val="32"/>
          <w:szCs w:val="32"/>
        </w:rPr>
        <w:t>2．</w:t>
      </w:r>
      <w:r>
        <w:rPr>
          <w:rFonts w:hint="eastAsia" w:ascii="仿宋" w:hAnsi="仿宋" w:eastAsia="仿宋" w:cs="仿宋"/>
          <w:color w:val="auto"/>
          <w:sz w:val="32"/>
          <w:szCs w:val="32"/>
        </w:rPr>
        <w:t>广元市中华职业教育社是经2013年11月20日市委编委全体会议研究同意成立的，并印发《中共广元市委机构编制委员会关于成立广元市中华职业教育社的通知》（广编发〔2013〕115号），将九三学社科技咨询部调整到广元市中华职业教育社挂牌，财政全额拨款。</w:t>
      </w:r>
    </w:p>
    <w:p>
      <w:pPr>
        <w:spacing w:line="576" w:lineRule="exact"/>
        <w:ind w:firstLine="640" w:firstLineChars="200"/>
        <w:rPr>
          <w:rFonts w:hint="eastAsia" w:ascii="楷体" w:hAnsi="楷体" w:eastAsia="楷体" w:cs="楷体"/>
          <w:color w:val="auto"/>
          <w:sz w:val="32"/>
          <w:szCs w:val="32"/>
        </w:rPr>
      </w:pPr>
      <w:r>
        <w:rPr>
          <w:rFonts w:hint="eastAsia" w:ascii="楷体" w:hAnsi="楷体" w:eastAsia="楷体" w:cs="楷体"/>
          <w:color w:val="auto"/>
          <w:sz w:val="32"/>
          <w:szCs w:val="32"/>
        </w:rPr>
        <w:t>3．</w:t>
      </w:r>
      <w:r>
        <w:rPr>
          <w:rFonts w:hint="eastAsia" w:ascii="仿宋" w:hAnsi="仿宋" w:eastAsia="仿宋" w:cs="仿宋"/>
          <w:color w:val="auto"/>
          <w:sz w:val="32"/>
          <w:szCs w:val="32"/>
        </w:rPr>
        <w:t>资金管理由市职教社管理，主要用于广元市中华职业教育社机关工作人员开展相关领域工作调研、慰问及相关活动的差旅经费支出。</w:t>
      </w:r>
    </w:p>
    <w:p>
      <w:pPr>
        <w:spacing w:line="576" w:lineRule="exact"/>
        <w:ind w:firstLine="640" w:firstLineChars="200"/>
        <w:rPr>
          <w:rFonts w:hint="eastAsia" w:ascii="楷体" w:hAnsi="楷体" w:eastAsia="楷体" w:cs="楷体"/>
          <w:color w:val="auto"/>
          <w:sz w:val="32"/>
          <w:szCs w:val="32"/>
        </w:rPr>
      </w:pPr>
      <w:r>
        <w:rPr>
          <w:rFonts w:hint="eastAsia" w:ascii="楷体" w:hAnsi="楷体" w:eastAsia="楷体" w:cs="楷体"/>
          <w:color w:val="auto"/>
          <w:sz w:val="32"/>
          <w:szCs w:val="32"/>
        </w:rPr>
        <w:t>4．资金分配的原则及考虑因素。</w:t>
      </w:r>
      <w:r>
        <w:rPr>
          <w:rFonts w:hint="eastAsia" w:ascii="仿宋" w:hAnsi="仿宋" w:eastAsia="仿宋" w:cs="仿宋"/>
          <w:color w:val="auto"/>
          <w:sz w:val="32"/>
          <w:szCs w:val="32"/>
        </w:rPr>
        <w:t>按照重点工作占比大、其他工作占比对应的原则进行分配。</w:t>
      </w:r>
    </w:p>
    <w:p>
      <w:pPr>
        <w:spacing w:line="576"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（二）项目绩效目标。</w:t>
      </w:r>
    </w:p>
    <w:p>
      <w:pPr>
        <w:spacing w:line="576" w:lineRule="exact"/>
        <w:ind w:firstLine="640" w:firstLineChars="200"/>
        <w:rPr>
          <w:rFonts w:hint="eastAsia" w:ascii="仿宋" w:hAnsi="仿宋" w:eastAsia="仿宋" w:cs="仿宋"/>
          <w:color w:val="auto"/>
          <w:sz w:val="32"/>
          <w:szCs w:val="32"/>
        </w:rPr>
      </w:pPr>
      <w:r>
        <w:rPr>
          <w:rFonts w:hint="eastAsia" w:ascii="楷体" w:hAnsi="楷体" w:eastAsia="楷体" w:cs="楷体"/>
          <w:color w:val="auto"/>
          <w:sz w:val="32"/>
          <w:szCs w:val="32"/>
        </w:rPr>
        <w:t>1．项目主要内容。</w:t>
      </w:r>
      <w:r>
        <w:rPr>
          <w:rFonts w:hint="eastAsia" w:ascii="仿宋" w:hAnsi="仿宋" w:eastAsia="仿宋" w:cs="仿宋"/>
          <w:color w:val="auto"/>
          <w:sz w:val="32"/>
          <w:szCs w:val="32"/>
        </w:rPr>
        <w:t>目标1：进一步落实总社、省社关于推动职业教育改革创新发展的一系列重大决策部署。目标2：进一步加大力度争取职业教育促进老区跨越发展广元示范区创建工作。目标3：实施温暖工程乡村振兴、新农村带头人技能培训工作计划。目标4：协助引进优质教育资源，加强与国外教育机构、民间组织、国外友人友好往来。</w:t>
      </w:r>
    </w:p>
    <w:p>
      <w:pPr>
        <w:spacing w:line="576" w:lineRule="exact"/>
        <w:ind w:firstLine="640" w:firstLineChars="200"/>
        <w:rPr>
          <w:rFonts w:hint="eastAsia" w:ascii="楷体" w:hAnsi="楷体" w:eastAsia="楷体" w:cs="楷体"/>
          <w:color w:val="auto"/>
          <w:sz w:val="32"/>
          <w:szCs w:val="32"/>
        </w:rPr>
      </w:pPr>
      <w:r>
        <w:rPr>
          <w:rFonts w:hint="eastAsia" w:ascii="楷体" w:hAnsi="楷体" w:eastAsia="楷体" w:cs="楷体"/>
          <w:color w:val="auto"/>
          <w:sz w:val="32"/>
          <w:szCs w:val="32"/>
        </w:rPr>
        <w:t>2．项目应实现的具体绩效目标，包括目标的量化、细化情况以及项目实施进度计划等。</w:t>
      </w:r>
      <w:r>
        <w:rPr>
          <w:rFonts w:hint="eastAsia" w:ascii="仿宋" w:hAnsi="仿宋" w:eastAsia="仿宋" w:cs="仿宋"/>
          <w:color w:val="auto"/>
          <w:sz w:val="32"/>
          <w:szCs w:val="32"/>
        </w:rPr>
        <w:t>目标2、3要召开2次会议，目标2、3、4、召开3次会议，满意度指标要达到90%以上，目标实施进度计划从2020年1月1日-2020年12月31日完成。</w:t>
      </w:r>
    </w:p>
    <w:p>
      <w:pPr>
        <w:spacing w:line="576" w:lineRule="exact"/>
        <w:ind w:firstLine="640" w:firstLineChars="200"/>
        <w:rPr>
          <w:rFonts w:hint="eastAsia" w:ascii="楷体" w:hAnsi="楷体" w:eastAsia="楷体" w:cs="楷体"/>
          <w:color w:val="auto"/>
          <w:sz w:val="32"/>
          <w:szCs w:val="32"/>
        </w:rPr>
      </w:pPr>
      <w:r>
        <w:rPr>
          <w:rFonts w:hint="eastAsia" w:ascii="楷体" w:hAnsi="楷体" w:eastAsia="楷体" w:cs="楷体"/>
          <w:color w:val="auto"/>
          <w:sz w:val="32"/>
          <w:szCs w:val="32"/>
        </w:rPr>
        <w:t>3．分析评价申报内容是否与实际相符，申报目标是否合理可行。</w:t>
      </w:r>
      <w:r>
        <w:rPr>
          <w:rFonts w:hint="eastAsia" w:ascii="仿宋" w:hAnsi="仿宋" w:eastAsia="仿宋" w:cs="仿宋"/>
          <w:color w:val="auto"/>
          <w:sz w:val="32"/>
          <w:szCs w:val="32"/>
        </w:rPr>
        <w:t>申报内容与实际相符合，申报目标合理可行。</w:t>
      </w:r>
    </w:p>
    <w:p>
      <w:pPr>
        <w:spacing w:line="576"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（三）项目自评步骤及方法。</w:t>
      </w:r>
    </w:p>
    <w:p>
      <w:pPr>
        <w:spacing w:line="576" w:lineRule="exact"/>
        <w:ind w:firstLine="640" w:firstLineChars="200"/>
        <w:rPr>
          <w:rFonts w:hint="eastAsia" w:ascii="仿宋" w:hAnsi="仿宋" w:eastAsia="仿宋" w:cs="仿宋"/>
          <w:color w:val="auto"/>
          <w:sz w:val="32"/>
          <w:szCs w:val="32"/>
        </w:rPr>
      </w:pPr>
      <w:r>
        <w:rPr>
          <w:rFonts w:hint="eastAsia" w:ascii="楷体" w:hAnsi="楷体" w:eastAsia="楷体" w:cs="楷体"/>
          <w:color w:val="auto"/>
          <w:sz w:val="32"/>
          <w:szCs w:val="32"/>
        </w:rPr>
        <w:t>说明项目绩效自评采用的组织实施步骤及方法。</w:t>
      </w:r>
      <w:r>
        <w:rPr>
          <w:rFonts w:hint="eastAsia" w:ascii="仿宋" w:hAnsi="仿宋" w:eastAsia="仿宋" w:cs="仿宋"/>
          <w:color w:val="auto"/>
          <w:sz w:val="32"/>
          <w:szCs w:val="32"/>
        </w:rPr>
        <w:t>项目绩效自评由广元市中华职业教育社机关办公室负责，报机关主任审批，审批后报市委统战部财务室备案。</w:t>
      </w:r>
    </w:p>
    <w:p>
      <w:pPr>
        <w:spacing w:line="576"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二、项目资金申报及使用情况</w:t>
      </w:r>
    </w:p>
    <w:p>
      <w:pPr>
        <w:spacing w:line="576" w:lineRule="exact"/>
        <w:ind w:firstLine="640" w:firstLineChars="200"/>
        <w:rPr>
          <w:rFonts w:hint="eastAsia" w:ascii="仿宋" w:hAnsi="仿宋" w:eastAsia="仿宋" w:cs="仿宋"/>
          <w:color w:val="auto"/>
          <w:sz w:val="32"/>
          <w:szCs w:val="32"/>
        </w:rPr>
      </w:pPr>
      <w:r>
        <w:rPr>
          <w:rFonts w:hint="eastAsia" w:ascii="楷体" w:hAnsi="楷体" w:eastAsia="楷体" w:cs="楷体"/>
          <w:color w:val="auto"/>
          <w:sz w:val="32"/>
          <w:szCs w:val="32"/>
        </w:rPr>
        <w:t>（一）项目资金申报及批复情况。</w:t>
      </w:r>
      <w:r>
        <w:rPr>
          <w:rFonts w:hint="eastAsia" w:ascii="仿宋" w:hAnsi="仿宋" w:eastAsia="仿宋" w:cs="仿宋"/>
          <w:color w:val="auto"/>
          <w:sz w:val="32"/>
          <w:szCs w:val="32"/>
        </w:rPr>
        <w:t>项目资金申报由广元市中华职业教育社机关办公室负责提出方案，经市职教社社务委员会同意，经市委统战部审核，审核后报市财政局审批，市财政局向市委统战部出具批复，预算调整程序大致相同。</w:t>
      </w:r>
    </w:p>
    <w:p>
      <w:pPr>
        <w:spacing w:line="576" w:lineRule="exact"/>
        <w:ind w:firstLine="640" w:firstLineChars="200"/>
        <w:rPr>
          <w:rFonts w:hint="eastAsia" w:ascii="楷体" w:hAnsi="楷体" w:eastAsia="楷体" w:cs="楷体"/>
          <w:color w:val="auto"/>
          <w:sz w:val="32"/>
          <w:szCs w:val="32"/>
        </w:rPr>
      </w:pPr>
      <w:r>
        <w:rPr>
          <w:rFonts w:hint="eastAsia" w:ascii="楷体" w:hAnsi="楷体" w:eastAsia="楷体" w:cs="楷体"/>
          <w:color w:val="auto"/>
          <w:sz w:val="32"/>
          <w:szCs w:val="32"/>
        </w:rPr>
        <w:t>（二）资金计划、到位及使用情况（可用表格形式反映）。</w:t>
      </w:r>
    </w:p>
    <w:p>
      <w:pPr>
        <w:spacing w:line="576" w:lineRule="exact"/>
        <w:ind w:firstLine="642"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1．资金计划。</w:t>
      </w:r>
      <w:r>
        <w:rPr>
          <w:rFonts w:hint="eastAsia" w:ascii="仿宋" w:hAnsi="仿宋" w:eastAsia="仿宋" w:cs="仿宋"/>
          <w:color w:val="auto"/>
          <w:sz w:val="32"/>
          <w:szCs w:val="32"/>
        </w:rPr>
        <w:t>主要由财政资金组成，此外，需要特别说明的是，广元市中华职业教育社账户上的资金，主要是中华同心温暖工程基金会项目资助资金，不属于计划内资金。</w:t>
      </w:r>
    </w:p>
    <w:p>
      <w:pPr>
        <w:spacing w:line="576" w:lineRule="exact"/>
        <w:ind w:firstLine="642"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2．资金到位。</w:t>
      </w:r>
      <w:r>
        <w:rPr>
          <w:rFonts w:hint="eastAsia" w:ascii="仿宋" w:hAnsi="仿宋" w:eastAsia="仿宋" w:cs="仿宋"/>
          <w:color w:val="auto"/>
          <w:sz w:val="32"/>
          <w:szCs w:val="32"/>
        </w:rPr>
        <w:t>项目资金由市财政局统一划拨到市职教社对公账户上。</w:t>
      </w:r>
    </w:p>
    <w:p>
      <w:pPr>
        <w:spacing w:line="576" w:lineRule="exact"/>
        <w:ind w:firstLine="642"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3．资金使用。</w:t>
      </w:r>
      <w:r>
        <w:rPr>
          <w:rFonts w:hint="eastAsia" w:ascii="仿宋" w:hAnsi="仿宋" w:eastAsia="仿宋" w:cs="仿宋"/>
          <w:color w:val="auto"/>
          <w:sz w:val="32"/>
          <w:szCs w:val="32"/>
        </w:rPr>
        <w:t>财政资金使用由广元市中华职业教育社按程序报销。广元市中华职业教育社账户上的项目资金，专款专用。</w:t>
      </w:r>
    </w:p>
    <w:p>
      <w:pPr>
        <w:spacing w:line="576" w:lineRule="exact"/>
        <w:ind w:firstLine="640" w:firstLineChars="200"/>
        <w:rPr>
          <w:rFonts w:hint="eastAsia" w:ascii="仿宋" w:hAnsi="仿宋" w:eastAsia="仿宋" w:cs="仿宋"/>
          <w:color w:val="auto"/>
          <w:sz w:val="32"/>
          <w:szCs w:val="32"/>
        </w:rPr>
      </w:pPr>
      <w:r>
        <w:rPr>
          <w:rFonts w:hint="eastAsia" w:ascii="楷体" w:hAnsi="楷体" w:eastAsia="楷体" w:cs="楷体"/>
          <w:color w:val="auto"/>
          <w:sz w:val="32"/>
          <w:szCs w:val="32"/>
        </w:rPr>
        <w:t>（三）项目财务管理情况。</w:t>
      </w:r>
      <w:r>
        <w:rPr>
          <w:rFonts w:hint="eastAsia" w:ascii="仿宋" w:hAnsi="仿宋" w:eastAsia="仿宋" w:cs="仿宋"/>
          <w:color w:val="auto"/>
          <w:sz w:val="32"/>
          <w:szCs w:val="32"/>
        </w:rPr>
        <w:t>财务管理制度健全，严格执行财务管理制度，账务处理按规章制度执行。</w:t>
      </w:r>
    </w:p>
    <w:p>
      <w:pPr>
        <w:spacing w:line="576"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三、项目实施及管理情况</w:t>
      </w:r>
    </w:p>
    <w:p>
      <w:pPr>
        <w:spacing w:line="576" w:lineRule="exact"/>
        <w:ind w:firstLine="640" w:firstLineChars="200"/>
        <w:rPr>
          <w:rFonts w:hint="eastAsia" w:ascii="仿宋" w:hAnsi="仿宋" w:eastAsia="仿宋" w:cs="仿宋"/>
          <w:color w:val="auto"/>
          <w:sz w:val="32"/>
          <w:szCs w:val="32"/>
        </w:rPr>
      </w:pPr>
      <w:r>
        <w:rPr>
          <w:rFonts w:hint="eastAsia" w:ascii="楷体" w:hAnsi="楷体" w:eastAsia="楷体" w:cs="楷体"/>
          <w:color w:val="auto"/>
          <w:sz w:val="32"/>
          <w:szCs w:val="32"/>
        </w:rPr>
        <w:t>（一）项目组织架构及实施流程。</w:t>
      </w:r>
      <w:r>
        <w:rPr>
          <w:rFonts w:hint="eastAsia" w:ascii="仿宋" w:hAnsi="仿宋" w:eastAsia="仿宋" w:cs="仿宋"/>
          <w:color w:val="auto"/>
          <w:sz w:val="32"/>
          <w:szCs w:val="32"/>
        </w:rPr>
        <w:t>项目由广元市中华职业教育社机关办公室、市委统战部财务室两级组织架构。实行经手人申请、机关主任人审批、分管领导审签、财务审核。</w:t>
      </w:r>
    </w:p>
    <w:p>
      <w:pPr>
        <w:spacing w:line="576" w:lineRule="exact"/>
        <w:ind w:firstLine="640" w:firstLineChars="200"/>
        <w:rPr>
          <w:rFonts w:hint="eastAsia" w:ascii="仿宋" w:hAnsi="仿宋" w:eastAsia="楷体" w:cs="仿宋"/>
          <w:color w:val="auto"/>
          <w:sz w:val="32"/>
          <w:szCs w:val="32"/>
        </w:rPr>
      </w:pPr>
      <w:r>
        <w:rPr>
          <w:rFonts w:hint="eastAsia" w:ascii="楷体" w:hAnsi="楷体" w:eastAsia="楷体" w:cs="楷体"/>
          <w:color w:val="auto"/>
          <w:sz w:val="32"/>
          <w:szCs w:val="32"/>
        </w:rPr>
        <w:t>（二）项目管理情况。</w:t>
      </w:r>
      <w:r>
        <w:rPr>
          <w:rFonts w:hint="eastAsia" w:ascii="仿宋" w:hAnsi="仿宋" w:eastAsia="仿宋" w:cs="仿宋"/>
          <w:color w:val="auto"/>
          <w:sz w:val="32"/>
          <w:szCs w:val="32"/>
        </w:rPr>
        <w:t>严格由广元市中华职业教育社机关主任、市委统战部分管领导审核把关。</w:t>
      </w:r>
    </w:p>
    <w:p>
      <w:pPr>
        <w:spacing w:line="576" w:lineRule="exact"/>
        <w:ind w:firstLine="640" w:firstLineChars="200"/>
        <w:rPr>
          <w:rFonts w:hint="eastAsia" w:ascii="仿宋" w:hAnsi="仿宋" w:eastAsia="仿宋" w:cs="仿宋"/>
          <w:color w:val="auto"/>
          <w:sz w:val="32"/>
          <w:szCs w:val="32"/>
        </w:rPr>
      </w:pPr>
      <w:r>
        <w:rPr>
          <w:rFonts w:hint="eastAsia" w:ascii="楷体" w:hAnsi="楷体" w:eastAsia="楷体" w:cs="楷体"/>
          <w:color w:val="auto"/>
          <w:sz w:val="32"/>
          <w:szCs w:val="32"/>
        </w:rPr>
        <w:t>（三）项目监管情况。</w:t>
      </w:r>
      <w:r>
        <w:rPr>
          <w:rFonts w:hint="eastAsia" w:ascii="仿宋" w:hAnsi="仿宋" w:eastAsia="仿宋" w:cs="仿宋"/>
          <w:color w:val="auto"/>
          <w:sz w:val="32"/>
          <w:szCs w:val="32"/>
        </w:rPr>
        <w:t>由市职教社负责项目监管。</w:t>
      </w:r>
    </w:p>
    <w:p>
      <w:pPr>
        <w:spacing w:line="576"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 xml:space="preserve">四、项目绩效情况 </w:t>
      </w:r>
    </w:p>
    <w:p>
      <w:pPr>
        <w:spacing w:line="576" w:lineRule="exact"/>
        <w:ind w:firstLine="640" w:firstLineChars="200"/>
        <w:rPr>
          <w:rFonts w:hint="eastAsia" w:ascii="仿宋" w:hAnsi="仿宋" w:eastAsia="仿宋" w:cs="仿宋"/>
          <w:color w:val="auto"/>
          <w:sz w:val="32"/>
          <w:szCs w:val="32"/>
        </w:rPr>
      </w:pPr>
      <w:r>
        <w:rPr>
          <w:rFonts w:hint="eastAsia" w:ascii="楷体" w:hAnsi="楷体" w:eastAsia="楷体" w:cs="楷体"/>
          <w:color w:val="auto"/>
          <w:sz w:val="32"/>
          <w:szCs w:val="32"/>
        </w:rPr>
        <w:t>（一）项目完成情况。</w:t>
      </w:r>
      <w:r>
        <w:rPr>
          <w:rFonts w:hint="eastAsia" w:ascii="仿宋" w:hAnsi="仿宋" w:eastAsia="仿宋" w:cs="仿宋"/>
          <w:color w:val="auto"/>
          <w:sz w:val="32"/>
          <w:szCs w:val="32"/>
        </w:rPr>
        <w:t>目标1、2、3、4完成情况均达到100%。</w:t>
      </w:r>
    </w:p>
    <w:p>
      <w:pPr>
        <w:spacing w:line="576" w:lineRule="exact"/>
        <w:ind w:firstLine="640" w:firstLineChars="200"/>
        <w:rPr>
          <w:rFonts w:hint="eastAsia" w:ascii="仿宋" w:hAnsi="仿宋" w:eastAsia="仿宋" w:cs="仿宋"/>
          <w:color w:val="auto"/>
          <w:sz w:val="32"/>
          <w:szCs w:val="32"/>
        </w:rPr>
      </w:pPr>
      <w:r>
        <w:rPr>
          <w:rFonts w:hint="eastAsia" w:ascii="楷体" w:hAnsi="楷体" w:eastAsia="楷体" w:cs="楷体"/>
          <w:color w:val="auto"/>
          <w:sz w:val="32"/>
          <w:szCs w:val="32"/>
        </w:rPr>
        <w:t>（二）项目效益情况。</w:t>
      </w:r>
      <w:r>
        <w:rPr>
          <w:rFonts w:hint="eastAsia" w:ascii="仿宋" w:hAnsi="仿宋" w:eastAsia="仿宋" w:cs="仿宋"/>
          <w:color w:val="auto"/>
          <w:sz w:val="32"/>
          <w:szCs w:val="32"/>
        </w:rPr>
        <w:t>有效保障了广元市中华职业教育社日常活动开支，切实发挥作用服务全市职业教育高质量发展。</w:t>
      </w:r>
    </w:p>
    <w:p>
      <w:pPr>
        <w:spacing w:line="576"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五、评价结论及建议</w:t>
      </w:r>
    </w:p>
    <w:p>
      <w:pPr>
        <w:spacing w:line="576" w:lineRule="exact"/>
        <w:ind w:firstLine="640" w:firstLineChars="200"/>
        <w:rPr>
          <w:rFonts w:hint="eastAsia" w:ascii="仿宋" w:hAnsi="仿宋" w:eastAsia="仿宋" w:cs="仿宋"/>
          <w:color w:val="auto"/>
          <w:sz w:val="32"/>
          <w:szCs w:val="32"/>
        </w:rPr>
      </w:pPr>
      <w:r>
        <w:rPr>
          <w:rFonts w:hint="eastAsia" w:ascii="楷体" w:hAnsi="楷体" w:eastAsia="楷体" w:cs="楷体"/>
          <w:color w:val="auto"/>
          <w:sz w:val="32"/>
          <w:szCs w:val="32"/>
        </w:rPr>
        <w:t>（一）评价结论。</w:t>
      </w:r>
      <w:r>
        <w:rPr>
          <w:rFonts w:hint="eastAsia" w:ascii="仿宋" w:hAnsi="仿宋" w:eastAsia="仿宋" w:cs="仿宋"/>
          <w:color w:val="auto"/>
          <w:sz w:val="32"/>
          <w:szCs w:val="32"/>
        </w:rPr>
        <w:t>广元市中华职业教育社财务管理健全规范，没有发生违法违规现象，2020年的部门项目支出绩效自我评价结果是优秀。我们将在以后的工作中加强预决算管理，严格控制各项经费的开支，提高经费的使用效率。</w:t>
      </w:r>
    </w:p>
    <w:p>
      <w:pPr>
        <w:spacing w:line="576" w:lineRule="exact"/>
        <w:ind w:firstLine="640" w:firstLineChars="200"/>
        <w:rPr>
          <w:rFonts w:hint="eastAsia" w:ascii="仿宋" w:hAnsi="仿宋" w:eastAsia="仿宋" w:cs="仿宋"/>
          <w:color w:val="auto"/>
          <w:sz w:val="32"/>
          <w:szCs w:val="32"/>
        </w:rPr>
      </w:pPr>
      <w:r>
        <w:rPr>
          <w:rFonts w:hint="eastAsia" w:ascii="楷体" w:hAnsi="楷体" w:eastAsia="楷体" w:cs="楷体"/>
          <w:color w:val="auto"/>
          <w:sz w:val="32"/>
          <w:szCs w:val="32"/>
        </w:rPr>
        <w:t>（二）存在的问题。</w:t>
      </w:r>
      <w:r>
        <w:rPr>
          <w:rFonts w:hint="eastAsia" w:ascii="仿宋" w:hAnsi="仿宋" w:eastAsia="仿宋" w:cs="仿宋"/>
          <w:color w:val="auto"/>
          <w:sz w:val="32"/>
          <w:szCs w:val="32"/>
        </w:rPr>
        <w:t xml:space="preserve">审批流程繁琐、工作效率低下。 </w:t>
      </w:r>
    </w:p>
    <w:p>
      <w:pPr>
        <w:spacing w:line="576" w:lineRule="exact"/>
        <w:ind w:firstLine="640" w:firstLineChars="200"/>
        <w:rPr>
          <w:rFonts w:hint="eastAsia" w:ascii="仿宋" w:hAnsi="仿宋" w:eastAsia="仿宋" w:cs="仿宋"/>
          <w:color w:val="auto"/>
          <w:sz w:val="32"/>
          <w:szCs w:val="32"/>
        </w:rPr>
      </w:pPr>
      <w:r>
        <w:rPr>
          <w:rFonts w:hint="eastAsia" w:ascii="楷体" w:hAnsi="楷体" w:eastAsia="楷体" w:cs="楷体"/>
          <w:color w:val="auto"/>
          <w:sz w:val="32"/>
          <w:szCs w:val="32"/>
        </w:rPr>
        <w:t>（三）相关建议。</w:t>
      </w:r>
      <w:r>
        <w:rPr>
          <w:rFonts w:hint="eastAsia" w:ascii="仿宋" w:hAnsi="仿宋" w:eastAsia="仿宋" w:cs="仿宋"/>
          <w:color w:val="auto"/>
          <w:sz w:val="32"/>
          <w:szCs w:val="32"/>
        </w:rPr>
        <w:t>建议进一步理清广元市中华职业教育社财务报销流程，减少多头审批环节，提高办事效率。</w:t>
      </w:r>
    </w:p>
    <w:p>
      <w:pPr>
        <w:spacing w:line="560" w:lineRule="exact"/>
        <w:rPr>
          <w:rFonts w:hint="eastAsia" w:ascii="仿宋_GB2312" w:hAnsi="仿宋_GB2312" w:eastAsia="仿宋_GB2312" w:cs="仿宋_GB2312"/>
          <w:color w:val="auto"/>
          <w:sz w:val="32"/>
          <w:szCs w:val="32"/>
        </w:rPr>
      </w:pPr>
    </w:p>
    <w:p>
      <w:pPr>
        <w:spacing w:line="560" w:lineRule="exact"/>
        <w:rPr>
          <w:rFonts w:hint="eastAsia" w:ascii="仿宋_GB2312" w:hAnsi="仿宋_GB2312" w:eastAsia="仿宋_GB2312" w:cs="仿宋_GB2312"/>
          <w:color w:val="auto"/>
          <w:sz w:val="32"/>
          <w:szCs w:val="32"/>
        </w:rPr>
      </w:pPr>
    </w:p>
    <w:p>
      <w:pPr>
        <w:spacing w:line="560" w:lineRule="exact"/>
        <w:ind w:firstLine="640"/>
        <w:rPr>
          <w:rFonts w:ascii="仿宋_GB2312" w:hAnsi="仿宋_GB2312" w:eastAsia="仿宋_GB2312" w:cs="仿宋_GB2312"/>
          <w:color w:val="auto"/>
          <w:sz w:val="32"/>
          <w:szCs w:val="32"/>
        </w:rPr>
      </w:pPr>
    </w:p>
    <w:p>
      <w:pPr>
        <w:spacing w:line="560" w:lineRule="exact"/>
        <w:ind w:firstLine="640"/>
        <w:rPr>
          <w:rFonts w:ascii="仿宋_GB2312" w:hAnsi="仿宋_GB2312" w:eastAsia="仿宋_GB2312" w:cs="仿宋_GB2312"/>
          <w:color w:val="auto"/>
          <w:sz w:val="32"/>
          <w:szCs w:val="32"/>
        </w:rPr>
      </w:pPr>
    </w:p>
    <w:p>
      <w:pPr>
        <w:widowControl/>
        <w:spacing w:line="560" w:lineRule="exact"/>
        <w:jc w:val="left"/>
        <w:rPr>
          <w:rStyle w:val="21"/>
          <w:rFonts w:ascii="黑体" w:hAnsi="黑体" w:eastAsia="黑体"/>
          <w:b w:val="0"/>
          <w:color w:val="auto"/>
        </w:rPr>
      </w:pPr>
    </w:p>
    <w:p>
      <w:pPr>
        <w:widowControl/>
        <w:spacing w:line="560" w:lineRule="exact"/>
        <w:jc w:val="left"/>
        <w:rPr>
          <w:rStyle w:val="21"/>
          <w:rFonts w:ascii="黑体" w:hAnsi="黑体" w:eastAsia="黑体"/>
          <w:b w:val="0"/>
          <w:color w:val="auto"/>
        </w:rPr>
      </w:pPr>
      <w:r>
        <w:rPr>
          <w:rStyle w:val="21"/>
          <w:rFonts w:ascii="黑体" w:hAnsi="黑体" w:eastAsia="黑体"/>
          <w:b w:val="0"/>
          <w:color w:val="auto"/>
        </w:rPr>
        <w:br w:type="page"/>
      </w:r>
    </w:p>
    <w:p>
      <w:pPr>
        <w:spacing w:line="560" w:lineRule="exact"/>
        <w:jc w:val="center"/>
        <w:outlineLvl w:val="0"/>
        <w:rPr>
          <w:rStyle w:val="21"/>
          <w:rFonts w:ascii="黑体" w:hAnsi="黑体" w:eastAsia="黑体"/>
          <w:b w:val="0"/>
          <w:color w:val="auto"/>
        </w:rPr>
      </w:pPr>
      <w:bookmarkStart w:id="61" w:name="_Toc15396618"/>
      <w:r>
        <w:rPr>
          <w:rFonts w:hint="eastAsia" w:ascii="黑体" w:hAnsi="黑体" w:eastAsia="黑体"/>
          <w:color w:val="auto"/>
          <w:sz w:val="44"/>
          <w:szCs w:val="44"/>
        </w:rPr>
        <w:t>第</w:t>
      </w:r>
      <w:r>
        <w:rPr>
          <w:rStyle w:val="21"/>
          <w:rFonts w:hint="eastAsia" w:ascii="黑体" w:hAnsi="黑体" w:eastAsia="黑体"/>
          <w:b w:val="0"/>
          <w:color w:val="auto"/>
        </w:rPr>
        <w:t>五部分</w:t>
      </w:r>
      <w:r>
        <w:rPr>
          <w:rStyle w:val="21"/>
          <w:rFonts w:ascii="黑体" w:hAnsi="黑体" w:eastAsia="黑体"/>
          <w:b w:val="0"/>
          <w:color w:val="auto"/>
        </w:rPr>
        <w:t xml:space="preserve"> </w:t>
      </w:r>
      <w:r>
        <w:rPr>
          <w:rStyle w:val="21"/>
          <w:rFonts w:hint="eastAsia" w:ascii="黑体" w:hAnsi="黑体" w:eastAsia="黑体"/>
          <w:b w:val="0"/>
          <w:color w:val="auto"/>
        </w:rPr>
        <w:t>附表</w:t>
      </w:r>
      <w:bookmarkEnd w:id="57"/>
      <w:bookmarkEnd w:id="61"/>
    </w:p>
    <w:p>
      <w:pPr>
        <w:spacing w:line="560" w:lineRule="exact"/>
        <w:jc w:val="center"/>
        <w:outlineLvl w:val="0"/>
        <w:rPr>
          <w:rFonts w:ascii="仿宋" w:hAnsi="仿宋" w:eastAsia="仿宋"/>
          <w:b/>
          <w:color w:val="auto"/>
          <w:sz w:val="44"/>
          <w:szCs w:val="44"/>
        </w:rPr>
      </w:pPr>
    </w:p>
    <w:p>
      <w:pPr>
        <w:pStyle w:val="4"/>
        <w:spacing w:before="0" w:after="0" w:line="560" w:lineRule="exact"/>
        <w:rPr>
          <w:rFonts w:ascii="仿宋" w:hAnsi="仿宋" w:eastAsia="仿宋"/>
          <w:color w:val="auto"/>
        </w:rPr>
      </w:pPr>
      <w:bookmarkStart w:id="62" w:name="_Toc15396619"/>
      <w:r>
        <w:rPr>
          <w:rFonts w:hint="eastAsia" w:ascii="仿宋" w:hAnsi="仿宋" w:eastAsia="仿宋"/>
          <w:b w:val="0"/>
          <w:color w:val="auto"/>
        </w:rPr>
        <w:t>一、收</w:t>
      </w:r>
      <w:r>
        <w:rPr>
          <w:rStyle w:val="22"/>
          <w:rFonts w:hint="eastAsia" w:ascii="仿宋" w:hAnsi="仿宋" w:eastAsia="仿宋"/>
          <w:color w:val="auto"/>
        </w:rPr>
        <w:t>入支出决算总表</w:t>
      </w:r>
      <w:bookmarkEnd w:id="62"/>
    </w:p>
    <w:p>
      <w:pPr>
        <w:pStyle w:val="4"/>
        <w:spacing w:before="0" w:after="0" w:line="560" w:lineRule="exact"/>
        <w:rPr>
          <w:rFonts w:ascii="仿宋" w:hAnsi="仿宋" w:eastAsia="仿宋"/>
          <w:color w:val="auto"/>
        </w:rPr>
      </w:pPr>
      <w:bookmarkStart w:id="63" w:name="_Toc15396620"/>
      <w:r>
        <w:rPr>
          <w:rFonts w:hint="eastAsia" w:ascii="仿宋" w:hAnsi="仿宋" w:eastAsia="仿宋"/>
          <w:b w:val="0"/>
          <w:color w:val="auto"/>
        </w:rPr>
        <w:t>二、收</w:t>
      </w:r>
      <w:r>
        <w:rPr>
          <w:rStyle w:val="22"/>
          <w:rFonts w:hint="eastAsia" w:ascii="仿宋" w:hAnsi="仿宋" w:eastAsia="仿宋"/>
          <w:color w:val="auto"/>
        </w:rPr>
        <w:t>入决算表</w:t>
      </w:r>
      <w:bookmarkEnd w:id="63"/>
    </w:p>
    <w:p>
      <w:pPr>
        <w:pStyle w:val="4"/>
        <w:spacing w:before="0" w:after="0" w:line="560" w:lineRule="exact"/>
        <w:rPr>
          <w:rFonts w:ascii="仿宋" w:hAnsi="仿宋" w:eastAsia="仿宋"/>
          <w:color w:val="auto"/>
        </w:rPr>
      </w:pPr>
      <w:bookmarkStart w:id="64" w:name="_Toc15396621"/>
      <w:r>
        <w:rPr>
          <w:rStyle w:val="22"/>
          <w:rFonts w:hint="eastAsia" w:ascii="仿宋" w:hAnsi="仿宋" w:eastAsia="仿宋"/>
          <w:color w:val="auto"/>
        </w:rPr>
        <w:t>三、</w:t>
      </w:r>
      <w:r>
        <w:rPr>
          <w:rFonts w:hint="eastAsia" w:ascii="仿宋" w:hAnsi="仿宋" w:eastAsia="仿宋"/>
          <w:b w:val="0"/>
          <w:color w:val="auto"/>
        </w:rPr>
        <w:t>支</w:t>
      </w:r>
      <w:r>
        <w:rPr>
          <w:rStyle w:val="22"/>
          <w:rFonts w:hint="eastAsia" w:ascii="仿宋" w:hAnsi="仿宋" w:eastAsia="仿宋"/>
          <w:color w:val="auto"/>
        </w:rPr>
        <w:t>出决算表</w:t>
      </w:r>
      <w:bookmarkEnd w:id="64"/>
    </w:p>
    <w:p>
      <w:pPr>
        <w:pStyle w:val="4"/>
        <w:spacing w:before="0" w:after="0" w:line="560" w:lineRule="exact"/>
        <w:rPr>
          <w:rFonts w:ascii="仿宋" w:hAnsi="仿宋" w:eastAsia="仿宋"/>
          <w:b w:val="0"/>
          <w:color w:val="auto"/>
        </w:rPr>
      </w:pPr>
      <w:bookmarkStart w:id="65" w:name="_Toc15396622"/>
      <w:r>
        <w:rPr>
          <w:rStyle w:val="22"/>
          <w:rFonts w:hint="eastAsia" w:ascii="仿宋" w:hAnsi="仿宋" w:eastAsia="仿宋"/>
          <w:color w:val="auto"/>
        </w:rPr>
        <w:t>四、</w:t>
      </w:r>
      <w:r>
        <w:rPr>
          <w:rFonts w:hint="eastAsia" w:ascii="仿宋" w:hAnsi="仿宋" w:eastAsia="仿宋"/>
          <w:b w:val="0"/>
          <w:color w:val="auto"/>
        </w:rPr>
        <w:t>财</w:t>
      </w:r>
      <w:r>
        <w:rPr>
          <w:rStyle w:val="22"/>
          <w:rFonts w:hint="eastAsia" w:ascii="仿宋" w:hAnsi="仿宋" w:eastAsia="仿宋"/>
          <w:color w:val="auto"/>
        </w:rPr>
        <w:t>政拨款收入支出决算总表</w:t>
      </w:r>
      <w:bookmarkEnd w:id="65"/>
    </w:p>
    <w:p>
      <w:pPr>
        <w:pStyle w:val="4"/>
        <w:spacing w:before="0" w:after="0" w:line="560" w:lineRule="exact"/>
        <w:rPr>
          <w:rStyle w:val="22"/>
          <w:rFonts w:ascii="仿宋" w:hAnsi="仿宋" w:eastAsia="仿宋"/>
          <w:color w:val="auto"/>
        </w:rPr>
      </w:pPr>
      <w:bookmarkStart w:id="66" w:name="_Toc15396623"/>
      <w:r>
        <w:rPr>
          <w:rStyle w:val="22"/>
          <w:rFonts w:hint="eastAsia" w:ascii="仿宋" w:hAnsi="仿宋" w:eastAsia="仿宋"/>
          <w:color w:val="auto"/>
        </w:rPr>
        <w:t>五、</w:t>
      </w:r>
      <w:r>
        <w:rPr>
          <w:rFonts w:hint="eastAsia" w:ascii="仿宋" w:hAnsi="仿宋" w:eastAsia="仿宋"/>
          <w:b w:val="0"/>
          <w:color w:val="auto"/>
        </w:rPr>
        <w:t>财</w:t>
      </w:r>
      <w:r>
        <w:rPr>
          <w:rStyle w:val="22"/>
          <w:rFonts w:hint="eastAsia" w:ascii="仿宋" w:hAnsi="仿宋" w:eastAsia="仿宋"/>
          <w:color w:val="auto"/>
        </w:rPr>
        <w:t>政拨款支出决算明细表</w:t>
      </w:r>
      <w:bookmarkEnd w:id="66"/>
      <w:bookmarkStart w:id="67" w:name="_Toc15396624"/>
    </w:p>
    <w:p>
      <w:pPr>
        <w:pStyle w:val="4"/>
        <w:spacing w:before="0" w:after="0" w:line="560" w:lineRule="exact"/>
        <w:rPr>
          <w:rFonts w:ascii="仿宋" w:hAnsi="仿宋" w:eastAsia="仿宋"/>
          <w:color w:val="auto"/>
        </w:rPr>
      </w:pPr>
      <w:r>
        <w:rPr>
          <w:rStyle w:val="22"/>
          <w:rFonts w:hint="eastAsia" w:ascii="仿宋" w:hAnsi="仿宋" w:eastAsia="仿宋"/>
          <w:color w:val="auto"/>
        </w:rPr>
        <w:t>六、</w:t>
      </w:r>
      <w:r>
        <w:rPr>
          <w:rFonts w:hint="eastAsia" w:ascii="仿宋" w:hAnsi="仿宋" w:eastAsia="仿宋"/>
          <w:b w:val="0"/>
          <w:color w:val="auto"/>
        </w:rPr>
        <w:t>一</w:t>
      </w:r>
      <w:r>
        <w:rPr>
          <w:rStyle w:val="22"/>
          <w:rFonts w:hint="eastAsia" w:ascii="仿宋" w:hAnsi="仿宋" w:eastAsia="仿宋"/>
          <w:color w:val="auto"/>
        </w:rPr>
        <w:t>般公共预算财政拨款支出决算表</w:t>
      </w:r>
      <w:bookmarkEnd w:id="67"/>
    </w:p>
    <w:p>
      <w:pPr>
        <w:pStyle w:val="4"/>
        <w:spacing w:before="0" w:after="0" w:line="560" w:lineRule="exact"/>
        <w:rPr>
          <w:rFonts w:ascii="仿宋" w:hAnsi="仿宋" w:eastAsia="仿宋"/>
          <w:color w:val="auto"/>
        </w:rPr>
      </w:pPr>
      <w:bookmarkStart w:id="68" w:name="_Toc15396625"/>
      <w:r>
        <w:rPr>
          <w:rStyle w:val="22"/>
          <w:rFonts w:hint="eastAsia" w:ascii="仿宋" w:hAnsi="仿宋" w:eastAsia="仿宋"/>
          <w:color w:val="auto"/>
        </w:rPr>
        <w:t>七、</w:t>
      </w:r>
      <w:r>
        <w:rPr>
          <w:rFonts w:hint="eastAsia" w:ascii="仿宋" w:hAnsi="仿宋" w:eastAsia="仿宋"/>
          <w:b w:val="0"/>
          <w:color w:val="auto"/>
        </w:rPr>
        <w:t>一</w:t>
      </w:r>
      <w:r>
        <w:rPr>
          <w:rStyle w:val="22"/>
          <w:rFonts w:hint="eastAsia" w:ascii="仿宋" w:hAnsi="仿宋" w:eastAsia="仿宋"/>
          <w:color w:val="auto"/>
        </w:rPr>
        <w:t>般公共预算财政拨款支出决算明细表</w:t>
      </w:r>
      <w:bookmarkEnd w:id="68"/>
    </w:p>
    <w:p>
      <w:pPr>
        <w:pStyle w:val="4"/>
        <w:spacing w:before="0" w:after="0" w:line="560" w:lineRule="exact"/>
        <w:rPr>
          <w:rFonts w:ascii="仿宋" w:hAnsi="仿宋" w:eastAsia="仿宋"/>
          <w:color w:val="auto"/>
        </w:rPr>
      </w:pPr>
      <w:bookmarkStart w:id="69" w:name="_Toc15396626"/>
      <w:r>
        <w:rPr>
          <w:rStyle w:val="22"/>
          <w:rFonts w:hint="eastAsia" w:ascii="仿宋" w:hAnsi="仿宋" w:eastAsia="仿宋"/>
          <w:color w:val="auto"/>
        </w:rPr>
        <w:t>八、</w:t>
      </w:r>
      <w:r>
        <w:rPr>
          <w:rFonts w:hint="eastAsia" w:ascii="仿宋" w:hAnsi="仿宋" w:eastAsia="仿宋"/>
          <w:b w:val="0"/>
          <w:color w:val="auto"/>
        </w:rPr>
        <w:t>一</w:t>
      </w:r>
      <w:r>
        <w:rPr>
          <w:rStyle w:val="22"/>
          <w:rFonts w:hint="eastAsia" w:ascii="仿宋" w:hAnsi="仿宋" w:eastAsia="仿宋"/>
          <w:color w:val="auto"/>
        </w:rPr>
        <w:t>般公共预算财政拨款基本支出决算表</w:t>
      </w:r>
      <w:bookmarkEnd w:id="69"/>
    </w:p>
    <w:p>
      <w:pPr>
        <w:pStyle w:val="4"/>
        <w:spacing w:before="0" w:after="0" w:line="560" w:lineRule="exact"/>
        <w:rPr>
          <w:rFonts w:ascii="仿宋" w:hAnsi="仿宋" w:eastAsia="仿宋"/>
          <w:color w:val="auto"/>
        </w:rPr>
      </w:pPr>
      <w:bookmarkStart w:id="70" w:name="_Toc15396627"/>
      <w:r>
        <w:rPr>
          <w:rStyle w:val="22"/>
          <w:rFonts w:hint="eastAsia" w:ascii="仿宋" w:hAnsi="仿宋" w:eastAsia="仿宋"/>
          <w:color w:val="auto"/>
        </w:rPr>
        <w:t>九、</w:t>
      </w:r>
      <w:r>
        <w:rPr>
          <w:rFonts w:hint="eastAsia" w:ascii="仿宋" w:hAnsi="仿宋" w:eastAsia="仿宋"/>
          <w:b w:val="0"/>
          <w:color w:val="auto"/>
        </w:rPr>
        <w:t>一</w:t>
      </w:r>
      <w:r>
        <w:rPr>
          <w:rStyle w:val="22"/>
          <w:rFonts w:hint="eastAsia" w:ascii="仿宋" w:hAnsi="仿宋" w:eastAsia="仿宋"/>
          <w:color w:val="auto"/>
        </w:rPr>
        <w:t>般公共预算财政拨款项目支出决算表</w:t>
      </w:r>
      <w:bookmarkEnd w:id="70"/>
    </w:p>
    <w:p>
      <w:pPr>
        <w:pStyle w:val="4"/>
        <w:spacing w:before="0" w:after="0" w:line="560" w:lineRule="exact"/>
        <w:rPr>
          <w:rFonts w:ascii="仿宋" w:hAnsi="仿宋" w:eastAsia="仿宋"/>
          <w:color w:val="auto"/>
        </w:rPr>
      </w:pPr>
      <w:bookmarkStart w:id="71" w:name="_Toc15396628"/>
      <w:r>
        <w:rPr>
          <w:rStyle w:val="22"/>
          <w:rFonts w:hint="eastAsia" w:ascii="仿宋" w:hAnsi="仿宋" w:eastAsia="仿宋"/>
          <w:color w:val="auto"/>
        </w:rPr>
        <w:t>十、</w:t>
      </w:r>
      <w:r>
        <w:rPr>
          <w:rFonts w:hint="eastAsia" w:ascii="仿宋" w:hAnsi="仿宋" w:eastAsia="仿宋"/>
          <w:b w:val="0"/>
          <w:color w:val="auto"/>
        </w:rPr>
        <w:t>一</w:t>
      </w:r>
      <w:r>
        <w:rPr>
          <w:rStyle w:val="22"/>
          <w:rFonts w:hint="eastAsia" w:ascii="仿宋" w:hAnsi="仿宋" w:eastAsia="仿宋"/>
          <w:color w:val="auto"/>
        </w:rPr>
        <w:t>般公共预算财政拨款“三公”经费支出决算表</w:t>
      </w:r>
      <w:bookmarkEnd w:id="71"/>
    </w:p>
    <w:p>
      <w:pPr>
        <w:pStyle w:val="4"/>
        <w:spacing w:before="0" w:after="0" w:line="560" w:lineRule="exact"/>
        <w:rPr>
          <w:rFonts w:ascii="仿宋" w:hAnsi="仿宋" w:eastAsia="仿宋"/>
          <w:color w:val="auto"/>
        </w:rPr>
      </w:pPr>
      <w:bookmarkStart w:id="72" w:name="_Toc15396629"/>
      <w:r>
        <w:rPr>
          <w:rStyle w:val="22"/>
          <w:rFonts w:hint="eastAsia" w:ascii="仿宋" w:hAnsi="仿宋" w:eastAsia="仿宋"/>
          <w:color w:val="auto"/>
        </w:rPr>
        <w:t>十一、</w:t>
      </w:r>
      <w:r>
        <w:rPr>
          <w:rFonts w:hint="eastAsia" w:ascii="仿宋" w:hAnsi="仿宋" w:eastAsia="仿宋"/>
          <w:b w:val="0"/>
          <w:color w:val="auto"/>
        </w:rPr>
        <w:t>政</w:t>
      </w:r>
      <w:r>
        <w:rPr>
          <w:rStyle w:val="22"/>
          <w:rFonts w:hint="eastAsia" w:ascii="仿宋" w:hAnsi="仿宋" w:eastAsia="仿宋"/>
          <w:color w:val="auto"/>
        </w:rPr>
        <w:t>府性基金预算财政拨款收入支出决算表</w:t>
      </w:r>
      <w:bookmarkEnd w:id="72"/>
    </w:p>
    <w:p>
      <w:pPr>
        <w:pStyle w:val="4"/>
        <w:spacing w:before="0" w:after="0" w:line="560" w:lineRule="exact"/>
        <w:rPr>
          <w:rFonts w:ascii="仿宋" w:hAnsi="仿宋" w:eastAsia="仿宋"/>
          <w:color w:val="auto"/>
        </w:rPr>
      </w:pPr>
      <w:bookmarkStart w:id="73" w:name="_Toc15396630"/>
      <w:r>
        <w:rPr>
          <w:rStyle w:val="22"/>
          <w:rFonts w:hint="eastAsia" w:ascii="仿宋" w:hAnsi="仿宋" w:eastAsia="仿宋"/>
          <w:color w:val="auto"/>
        </w:rPr>
        <w:t>十二、</w:t>
      </w:r>
      <w:r>
        <w:rPr>
          <w:rFonts w:hint="eastAsia" w:ascii="仿宋" w:hAnsi="仿宋" w:eastAsia="仿宋"/>
          <w:b w:val="0"/>
          <w:color w:val="auto"/>
        </w:rPr>
        <w:t>政</w:t>
      </w:r>
      <w:r>
        <w:rPr>
          <w:rStyle w:val="22"/>
          <w:rFonts w:hint="eastAsia" w:ascii="仿宋" w:hAnsi="仿宋" w:eastAsia="仿宋"/>
          <w:color w:val="auto"/>
        </w:rPr>
        <w:t>府性基金预算财政拨款“三公”经费支出决算表</w:t>
      </w:r>
      <w:bookmarkEnd w:id="73"/>
    </w:p>
    <w:p>
      <w:pPr>
        <w:pStyle w:val="4"/>
        <w:spacing w:before="0" w:after="0" w:line="560" w:lineRule="exact"/>
        <w:rPr>
          <w:rStyle w:val="22"/>
          <w:rFonts w:hint="eastAsia" w:ascii="仿宋" w:hAnsi="仿宋" w:eastAsia="仿宋"/>
          <w:color w:val="auto"/>
        </w:rPr>
      </w:pPr>
      <w:bookmarkStart w:id="74" w:name="_Toc15396631"/>
      <w:r>
        <w:rPr>
          <w:rStyle w:val="22"/>
          <w:rFonts w:hint="eastAsia" w:ascii="仿宋" w:hAnsi="仿宋" w:eastAsia="仿宋"/>
          <w:color w:val="auto"/>
        </w:rPr>
        <w:t>十三、</w:t>
      </w:r>
      <w:r>
        <w:rPr>
          <w:rFonts w:hint="eastAsia" w:ascii="仿宋" w:hAnsi="仿宋" w:eastAsia="仿宋"/>
          <w:b w:val="0"/>
          <w:color w:val="auto"/>
        </w:rPr>
        <w:t>国</w:t>
      </w:r>
      <w:r>
        <w:rPr>
          <w:rStyle w:val="22"/>
          <w:rFonts w:hint="eastAsia" w:ascii="仿宋" w:hAnsi="仿宋" w:eastAsia="仿宋"/>
          <w:color w:val="auto"/>
        </w:rPr>
        <w:t>有资本经营预算财政拨款支出决算表</w:t>
      </w:r>
      <w:bookmarkEnd w:id="74"/>
    </w:p>
    <w:p>
      <w:pPr>
        <w:rPr>
          <w:rFonts w:hint="eastAsia"/>
          <w:color w:val="auto"/>
        </w:rPr>
      </w:pPr>
    </w:p>
    <w:sectPr>
      <w:footerReference r:id="rId6" w:type="first"/>
      <w:footerReference r:id="rId5" w:type="default"/>
      <w:pgSz w:w="11906" w:h="16838"/>
      <w:pgMar w:top="2098" w:right="1531" w:bottom="1985" w:left="1531" w:header="851" w:footer="1418"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00"/>
    <w:family w:val="auto"/>
    <w:pitch w:val="default"/>
    <w:sig w:usb0="800002BF" w:usb1="38CF7CFA" w:usb2="00000016" w:usb3="00000000" w:csb0="00040001" w:csb1="00000000"/>
  </w:font>
  <w:font w:name="方正小标宋简体">
    <w:altName w:val="方正小标宋_GBK"/>
    <w:panose1 w:val="02000000000000000000"/>
    <w:charset w:val="00"/>
    <w:family w:val="script"/>
    <w:pitch w:val="default"/>
    <w:sig w:usb0="A00002BF" w:usb1="184F6CFA" w:usb2="00000012" w:usb3="00000000" w:csb0="00040001" w:csb1="00000000"/>
  </w:font>
  <w:font w:name="方正大标宋简体">
    <w:altName w:val="方正书宋_GBK"/>
    <w:panose1 w:val="03000509000000000000"/>
    <w:charset w:val="00"/>
    <w:family w:val="script"/>
    <w:pitch w:val="default"/>
    <w:sig w:usb0="00000001" w:usb1="080E0000" w:usb2="00000010" w:usb3="00000000" w:csb0="00040000" w:csb1="00000000"/>
  </w:font>
  <w:font w:name="黑体">
    <w:altName w:val="方正黑体_GBK"/>
    <w:panose1 w:val="02010609060101010101"/>
    <w:charset w:val="00"/>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00"/>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Noto Sans Syriac Eastern">
    <w:panose1 w:val="02040503050306020203"/>
    <w:charset w:val="86"/>
    <w:family w:val="auto"/>
    <w:pitch w:val="default"/>
    <w:sig w:usb0="00000000" w:usb1="00000000" w:usb2="00000080" w:usb3="00000000" w:csb0="203E0161" w:csb1="D7FF0000"/>
  </w:font>
  <w:font w:name="方正楷体_GBK">
    <w:panose1 w:val="02000000000000000000"/>
    <w:charset w:val="86"/>
    <w:family w:val="auto"/>
    <w:pitch w:val="default"/>
    <w:sig w:usb0="A00002BF" w:usb1="38CF7CFA" w:usb2="00082016" w:usb3="00000000" w:csb0="00040001" w:csb1="00000000"/>
  </w:font>
  <w:font w:name="文泉驿微米黑">
    <w:panose1 w:val="020B0606030804020204"/>
    <w:charset w:val="86"/>
    <w:family w:val="auto"/>
    <w:pitch w:val="default"/>
    <w:sig w:usb0="E10002EF" w:usb1="6BDFFCFB" w:usb2="00800036" w:usb3="00000000" w:csb0="603E019F" w:csb1="DFD70000"/>
  </w:font>
  <w:font w:name="方正大标宋简体">
    <w:altName w:val="方正书宋_GBK"/>
    <w:panose1 w:val="03000509000000000000"/>
    <w:charset w:val="86"/>
    <w:family w:val="script"/>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rPr>
                              <w:rStyle w:val="18"/>
                              <w:rFonts w:hint="eastAsia" w:ascii="宋体" w:hAnsi="宋体" w:cs="宋体"/>
                              <w:sz w:val="28"/>
                              <w:szCs w:val="28"/>
                            </w:rPr>
                          </w:pPr>
                          <w:r>
                            <w:rPr>
                              <w:rStyle w:val="18"/>
                              <w:rFonts w:hint="eastAsia" w:ascii="宋体" w:hAnsi="宋体" w:cs="宋体"/>
                              <w:sz w:val="28"/>
                              <w:szCs w:val="28"/>
                            </w:rPr>
                            <w:t xml:space="preserve">— </w:t>
                          </w:r>
                          <w:r>
                            <w:rPr>
                              <w:rFonts w:hint="eastAsia" w:ascii="宋体" w:hAnsi="宋体" w:cs="宋体"/>
                              <w:sz w:val="28"/>
                              <w:szCs w:val="28"/>
                            </w:rPr>
                            <w:fldChar w:fldCharType="begin"/>
                          </w:r>
                          <w:r>
                            <w:rPr>
                              <w:rStyle w:val="18"/>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8"/>
                              <w:rFonts w:ascii="宋体" w:hAnsi="宋体" w:cs="宋体"/>
                              <w:sz w:val="28"/>
                              <w:szCs w:val="28"/>
                              <w:lang/>
                            </w:rPr>
                            <w:t>29</w:t>
                          </w:r>
                          <w:r>
                            <w:rPr>
                              <w:rFonts w:hint="eastAsia" w:ascii="宋体" w:hAnsi="宋体" w:cs="宋体"/>
                              <w:sz w:val="28"/>
                              <w:szCs w:val="28"/>
                            </w:rPr>
                            <w:fldChar w:fldCharType="end"/>
                          </w:r>
                          <w:r>
                            <w:rPr>
                              <w:rStyle w:val="18"/>
                              <w:rFonts w:hint="eastAsia" w:ascii="宋体" w:hAnsi="宋体" w:cs="宋体"/>
                              <w:sz w:val="28"/>
                              <w:szCs w:val="28"/>
                            </w:rPr>
                            <w:t xml:space="preserve"> —</w:t>
                          </w:r>
                        </w:p>
                      </w:txbxContent>
                    </wps:txbx>
                    <wps:bodyPr wrap="none" lIns="0" tIns="0" rIns="0" bIns="0" upright="fals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kC1jyswEAAFIDAAAOAAAAAAAAAAEAIAAAADQBAABkcnMvZTJvRG9j&#10;LnhtbFBLBQYAAAAABgAGAFkBAABZBQAAAAA=&#10;">
              <v:fill on="f" focussize="0,0"/>
              <v:stroke on="f"/>
              <v:imagedata o:title=""/>
              <o:lock v:ext="edit" aspectratio="f"/>
              <v:textbox inset="0mm,0mm,0mm,0mm" style="mso-fit-shape-to-text:t;">
                <w:txbxContent>
                  <w:p>
                    <w:pPr>
                      <w:pStyle w:val="2"/>
                      <w:rPr>
                        <w:rStyle w:val="18"/>
                        <w:rFonts w:hint="eastAsia" w:ascii="宋体" w:hAnsi="宋体" w:cs="宋体"/>
                        <w:sz w:val="28"/>
                        <w:szCs w:val="28"/>
                      </w:rPr>
                    </w:pPr>
                    <w:r>
                      <w:rPr>
                        <w:rStyle w:val="18"/>
                        <w:rFonts w:hint="eastAsia" w:ascii="宋体" w:hAnsi="宋体" w:cs="宋体"/>
                        <w:sz w:val="28"/>
                        <w:szCs w:val="28"/>
                      </w:rPr>
                      <w:t xml:space="preserve">— </w:t>
                    </w:r>
                    <w:r>
                      <w:rPr>
                        <w:rFonts w:hint="eastAsia" w:ascii="宋体" w:hAnsi="宋体" w:cs="宋体"/>
                        <w:sz w:val="28"/>
                        <w:szCs w:val="28"/>
                      </w:rPr>
                      <w:fldChar w:fldCharType="begin"/>
                    </w:r>
                    <w:r>
                      <w:rPr>
                        <w:rStyle w:val="18"/>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8"/>
                        <w:rFonts w:ascii="宋体" w:hAnsi="宋体" w:cs="宋体"/>
                        <w:sz w:val="28"/>
                        <w:szCs w:val="28"/>
                        <w:lang/>
                      </w:rPr>
                      <w:t>29</w:t>
                    </w:r>
                    <w:r>
                      <w:rPr>
                        <w:rFonts w:hint="eastAsia" w:ascii="宋体" w:hAnsi="宋体" w:cs="宋体"/>
                        <w:sz w:val="28"/>
                        <w:szCs w:val="28"/>
                      </w:rPr>
                      <w:fldChar w:fldCharType="end"/>
                    </w:r>
                    <w:r>
                      <w:rPr>
                        <w:rStyle w:val="18"/>
                        <w:rFonts w:hint="eastAsia" w:ascii="宋体" w:hAnsi="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false">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eiIDhbQBAABSAwAADgAAAAAAAAABACAAAAA0AQAAZHJzL2Uyb0Rv&#10;Yy54bWxQSwUGAAAAAAYABgBZAQAAWgUAAAAA&#10;">
              <v:fill on="f" focussize="0,0"/>
              <v:stroke on="f"/>
              <v:imagedata o:title=""/>
              <o:lock v:ext="edit" aspectratio="f"/>
              <v:textbox inset="0mm,0mm,0mm,0mm" style="mso-fit-shape-to-text:t;">
                <w:txbxContent>
                  <w:p>
                    <w:pPr>
                      <w:pStyle w:val="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3NDljMmNlMTRmYmIyODY3NzAwNDVhZjQ5NWRhMWEifQ=="/>
  </w:docVars>
  <w:rsids>
    <w:rsidRoot w:val="00F1361C"/>
    <w:rsid w:val="000222C6"/>
    <w:rsid w:val="00023B77"/>
    <w:rsid w:val="000240F6"/>
    <w:rsid w:val="0002549F"/>
    <w:rsid w:val="00036198"/>
    <w:rsid w:val="00043A69"/>
    <w:rsid w:val="000468DB"/>
    <w:rsid w:val="000613C8"/>
    <w:rsid w:val="0006487A"/>
    <w:rsid w:val="00065F8F"/>
    <w:rsid w:val="00070A43"/>
    <w:rsid w:val="00074712"/>
    <w:rsid w:val="000761F9"/>
    <w:rsid w:val="000768F2"/>
    <w:rsid w:val="00084295"/>
    <w:rsid w:val="0009184B"/>
    <w:rsid w:val="00094236"/>
    <w:rsid w:val="0009593C"/>
    <w:rsid w:val="00097322"/>
    <w:rsid w:val="000A20E8"/>
    <w:rsid w:val="000A6A92"/>
    <w:rsid w:val="000B047F"/>
    <w:rsid w:val="000B4DF0"/>
    <w:rsid w:val="000B5923"/>
    <w:rsid w:val="000B5A48"/>
    <w:rsid w:val="000B6FF3"/>
    <w:rsid w:val="000C3467"/>
    <w:rsid w:val="000C3CA6"/>
    <w:rsid w:val="000D1267"/>
    <w:rsid w:val="000D1D50"/>
    <w:rsid w:val="000D5782"/>
    <w:rsid w:val="000E259B"/>
    <w:rsid w:val="000E6613"/>
    <w:rsid w:val="000E7119"/>
    <w:rsid w:val="000F0E3C"/>
    <w:rsid w:val="00114E9B"/>
    <w:rsid w:val="00115301"/>
    <w:rsid w:val="001200DA"/>
    <w:rsid w:val="001319E1"/>
    <w:rsid w:val="00134CB1"/>
    <w:rsid w:val="00142216"/>
    <w:rsid w:val="00144D6A"/>
    <w:rsid w:val="0014729F"/>
    <w:rsid w:val="00151BFF"/>
    <w:rsid w:val="00157BAB"/>
    <w:rsid w:val="001654D1"/>
    <w:rsid w:val="00174518"/>
    <w:rsid w:val="0018106D"/>
    <w:rsid w:val="001877A7"/>
    <w:rsid w:val="00191536"/>
    <w:rsid w:val="0019315C"/>
    <w:rsid w:val="00196687"/>
    <w:rsid w:val="001A2F69"/>
    <w:rsid w:val="001C0962"/>
    <w:rsid w:val="001D7531"/>
    <w:rsid w:val="001D77B7"/>
    <w:rsid w:val="001E3339"/>
    <w:rsid w:val="001E737D"/>
    <w:rsid w:val="001F0592"/>
    <w:rsid w:val="001F7506"/>
    <w:rsid w:val="002006CD"/>
    <w:rsid w:val="00202B36"/>
    <w:rsid w:val="00204282"/>
    <w:rsid w:val="00204B7A"/>
    <w:rsid w:val="00204CDE"/>
    <w:rsid w:val="0021101A"/>
    <w:rsid w:val="00220536"/>
    <w:rsid w:val="00235629"/>
    <w:rsid w:val="00256262"/>
    <w:rsid w:val="00260C38"/>
    <w:rsid w:val="002616C0"/>
    <w:rsid w:val="00265372"/>
    <w:rsid w:val="002662AA"/>
    <w:rsid w:val="00277E57"/>
    <w:rsid w:val="00280496"/>
    <w:rsid w:val="00294DC9"/>
    <w:rsid w:val="00295495"/>
    <w:rsid w:val="002A31DE"/>
    <w:rsid w:val="002B2613"/>
    <w:rsid w:val="002D6D05"/>
    <w:rsid w:val="002E671E"/>
    <w:rsid w:val="002E793A"/>
    <w:rsid w:val="002F1818"/>
    <w:rsid w:val="002F567B"/>
    <w:rsid w:val="00301176"/>
    <w:rsid w:val="003216A9"/>
    <w:rsid w:val="0032203A"/>
    <w:rsid w:val="00335A74"/>
    <w:rsid w:val="0036561B"/>
    <w:rsid w:val="0037013F"/>
    <w:rsid w:val="00380C92"/>
    <w:rsid w:val="003850B7"/>
    <w:rsid w:val="003A484F"/>
    <w:rsid w:val="003A4883"/>
    <w:rsid w:val="003B0BE0"/>
    <w:rsid w:val="003B0C1B"/>
    <w:rsid w:val="003B4502"/>
    <w:rsid w:val="003B688C"/>
    <w:rsid w:val="003B7801"/>
    <w:rsid w:val="003C0291"/>
    <w:rsid w:val="003C39AE"/>
    <w:rsid w:val="003C7B60"/>
    <w:rsid w:val="003D0C0F"/>
    <w:rsid w:val="003D1C32"/>
    <w:rsid w:val="003D1FB2"/>
    <w:rsid w:val="003D66DA"/>
    <w:rsid w:val="003E1310"/>
    <w:rsid w:val="003E6F55"/>
    <w:rsid w:val="003F0D83"/>
    <w:rsid w:val="00406254"/>
    <w:rsid w:val="004223DE"/>
    <w:rsid w:val="00427A0F"/>
    <w:rsid w:val="00434489"/>
    <w:rsid w:val="00437085"/>
    <w:rsid w:val="00443880"/>
    <w:rsid w:val="00444A17"/>
    <w:rsid w:val="004464F4"/>
    <w:rsid w:val="00455C1D"/>
    <w:rsid w:val="00471401"/>
    <w:rsid w:val="00473F31"/>
    <w:rsid w:val="0048263A"/>
    <w:rsid w:val="00487E5D"/>
    <w:rsid w:val="004A5AA2"/>
    <w:rsid w:val="004A711F"/>
    <w:rsid w:val="004B199D"/>
    <w:rsid w:val="004B4690"/>
    <w:rsid w:val="004B74C1"/>
    <w:rsid w:val="004D332D"/>
    <w:rsid w:val="004E0A2D"/>
    <w:rsid w:val="004E206B"/>
    <w:rsid w:val="004E6DF7"/>
    <w:rsid w:val="004F0FBD"/>
    <w:rsid w:val="004F1F9E"/>
    <w:rsid w:val="00505A47"/>
    <w:rsid w:val="00511FD3"/>
    <w:rsid w:val="00512FDA"/>
    <w:rsid w:val="00520DA0"/>
    <w:rsid w:val="005269D7"/>
    <w:rsid w:val="0053060C"/>
    <w:rsid w:val="005664BB"/>
    <w:rsid w:val="00566FFA"/>
    <w:rsid w:val="0057481D"/>
    <w:rsid w:val="005825F8"/>
    <w:rsid w:val="0058486E"/>
    <w:rsid w:val="00585B33"/>
    <w:rsid w:val="00586013"/>
    <w:rsid w:val="0059014D"/>
    <w:rsid w:val="005A263C"/>
    <w:rsid w:val="005B5C64"/>
    <w:rsid w:val="005C00B0"/>
    <w:rsid w:val="005C5337"/>
    <w:rsid w:val="005C6BD0"/>
    <w:rsid w:val="005D1C8B"/>
    <w:rsid w:val="005D468D"/>
    <w:rsid w:val="005D5CED"/>
    <w:rsid w:val="005E0A0F"/>
    <w:rsid w:val="005F1A4C"/>
    <w:rsid w:val="00605688"/>
    <w:rsid w:val="006070AF"/>
    <w:rsid w:val="00607E6C"/>
    <w:rsid w:val="006101B1"/>
    <w:rsid w:val="00612DFD"/>
    <w:rsid w:val="00614E44"/>
    <w:rsid w:val="0062270A"/>
    <w:rsid w:val="00622830"/>
    <w:rsid w:val="00623DA0"/>
    <w:rsid w:val="00630AEF"/>
    <w:rsid w:val="006325F8"/>
    <w:rsid w:val="00633463"/>
    <w:rsid w:val="00634C9A"/>
    <w:rsid w:val="00635C14"/>
    <w:rsid w:val="006440E4"/>
    <w:rsid w:val="00656145"/>
    <w:rsid w:val="0066343B"/>
    <w:rsid w:val="00664777"/>
    <w:rsid w:val="00670DF2"/>
    <w:rsid w:val="006726E3"/>
    <w:rsid w:val="006748A4"/>
    <w:rsid w:val="00676396"/>
    <w:rsid w:val="00681A31"/>
    <w:rsid w:val="006828EA"/>
    <w:rsid w:val="00683E73"/>
    <w:rsid w:val="006A2B12"/>
    <w:rsid w:val="006A3141"/>
    <w:rsid w:val="006A423A"/>
    <w:rsid w:val="006A48EC"/>
    <w:rsid w:val="006A5E34"/>
    <w:rsid w:val="006B2422"/>
    <w:rsid w:val="006B2B9A"/>
    <w:rsid w:val="006C1937"/>
    <w:rsid w:val="006E1A9B"/>
    <w:rsid w:val="006E357C"/>
    <w:rsid w:val="006F020C"/>
    <w:rsid w:val="007127B7"/>
    <w:rsid w:val="0071798E"/>
    <w:rsid w:val="007416B6"/>
    <w:rsid w:val="00746F48"/>
    <w:rsid w:val="0075404D"/>
    <w:rsid w:val="0076182A"/>
    <w:rsid w:val="00767B7E"/>
    <w:rsid w:val="00770A09"/>
    <w:rsid w:val="00776A1A"/>
    <w:rsid w:val="007770C3"/>
    <w:rsid w:val="00784D24"/>
    <w:rsid w:val="00785FBA"/>
    <w:rsid w:val="00786E4A"/>
    <w:rsid w:val="007875EB"/>
    <w:rsid w:val="007934FB"/>
    <w:rsid w:val="0079426B"/>
    <w:rsid w:val="007952BA"/>
    <w:rsid w:val="00796FFF"/>
    <w:rsid w:val="007B527B"/>
    <w:rsid w:val="007B593F"/>
    <w:rsid w:val="007C7DF3"/>
    <w:rsid w:val="007D1682"/>
    <w:rsid w:val="007D312A"/>
    <w:rsid w:val="007D3F19"/>
    <w:rsid w:val="007E23B0"/>
    <w:rsid w:val="007E23E5"/>
    <w:rsid w:val="007F1991"/>
    <w:rsid w:val="007F2C2F"/>
    <w:rsid w:val="007F55FC"/>
    <w:rsid w:val="007F5665"/>
    <w:rsid w:val="007F6FA3"/>
    <w:rsid w:val="00800112"/>
    <w:rsid w:val="00813348"/>
    <w:rsid w:val="008253BB"/>
    <w:rsid w:val="008360AB"/>
    <w:rsid w:val="0083706E"/>
    <w:rsid w:val="008408F6"/>
    <w:rsid w:val="008423A5"/>
    <w:rsid w:val="00850625"/>
    <w:rsid w:val="00853718"/>
    <w:rsid w:val="00855221"/>
    <w:rsid w:val="00860645"/>
    <w:rsid w:val="00864289"/>
    <w:rsid w:val="00871F71"/>
    <w:rsid w:val="00872FD8"/>
    <w:rsid w:val="00872FE3"/>
    <w:rsid w:val="00880DE0"/>
    <w:rsid w:val="00881822"/>
    <w:rsid w:val="00885AF4"/>
    <w:rsid w:val="008937D2"/>
    <w:rsid w:val="008939CD"/>
    <w:rsid w:val="008A7138"/>
    <w:rsid w:val="008B768C"/>
    <w:rsid w:val="008C4DB1"/>
    <w:rsid w:val="008C4EAF"/>
    <w:rsid w:val="008C5176"/>
    <w:rsid w:val="008C7FD0"/>
    <w:rsid w:val="008E1DE7"/>
    <w:rsid w:val="008E707C"/>
    <w:rsid w:val="00900B08"/>
    <w:rsid w:val="00902155"/>
    <w:rsid w:val="00902FA3"/>
    <w:rsid w:val="00923564"/>
    <w:rsid w:val="0092392E"/>
    <w:rsid w:val="00923B12"/>
    <w:rsid w:val="009315F9"/>
    <w:rsid w:val="00933499"/>
    <w:rsid w:val="009334D8"/>
    <w:rsid w:val="00935C98"/>
    <w:rsid w:val="00946945"/>
    <w:rsid w:val="00951248"/>
    <w:rsid w:val="0095152F"/>
    <w:rsid w:val="00951B86"/>
    <w:rsid w:val="00954C49"/>
    <w:rsid w:val="00955E37"/>
    <w:rsid w:val="009561EB"/>
    <w:rsid w:val="0097099F"/>
    <w:rsid w:val="00971997"/>
    <w:rsid w:val="00971AAD"/>
    <w:rsid w:val="00971FFC"/>
    <w:rsid w:val="00977A85"/>
    <w:rsid w:val="0098660A"/>
    <w:rsid w:val="0099110F"/>
    <w:rsid w:val="009931C3"/>
    <w:rsid w:val="009A3A2D"/>
    <w:rsid w:val="009A4D2F"/>
    <w:rsid w:val="009B2C43"/>
    <w:rsid w:val="009B4EAE"/>
    <w:rsid w:val="009B7573"/>
    <w:rsid w:val="009C22F4"/>
    <w:rsid w:val="009C2A4B"/>
    <w:rsid w:val="009C2E98"/>
    <w:rsid w:val="009D3447"/>
    <w:rsid w:val="009D4711"/>
    <w:rsid w:val="009F1185"/>
    <w:rsid w:val="009F18CD"/>
    <w:rsid w:val="009F2A13"/>
    <w:rsid w:val="009F515B"/>
    <w:rsid w:val="009F7527"/>
    <w:rsid w:val="00A04EB0"/>
    <w:rsid w:val="00A13082"/>
    <w:rsid w:val="00A13CC1"/>
    <w:rsid w:val="00A16847"/>
    <w:rsid w:val="00A237D8"/>
    <w:rsid w:val="00A268C4"/>
    <w:rsid w:val="00A307CD"/>
    <w:rsid w:val="00A331C8"/>
    <w:rsid w:val="00A40A00"/>
    <w:rsid w:val="00A4142F"/>
    <w:rsid w:val="00A41B49"/>
    <w:rsid w:val="00A422EB"/>
    <w:rsid w:val="00A45BB7"/>
    <w:rsid w:val="00A56DF2"/>
    <w:rsid w:val="00A56E6E"/>
    <w:rsid w:val="00A67AB5"/>
    <w:rsid w:val="00A733B2"/>
    <w:rsid w:val="00A741C2"/>
    <w:rsid w:val="00A91760"/>
    <w:rsid w:val="00A93B00"/>
    <w:rsid w:val="00A93C21"/>
    <w:rsid w:val="00A95BD9"/>
    <w:rsid w:val="00A95D65"/>
    <w:rsid w:val="00AB64C9"/>
    <w:rsid w:val="00AC3C6A"/>
    <w:rsid w:val="00AD5620"/>
    <w:rsid w:val="00AD656B"/>
    <w:rsid w:val="00AD7C1B"/>
    <w:rsid w:val="00AE16BA"/>
    <w:rsid w:val="00AE1EBE"/>
    <w:rsid w:val="00B03C9D"/>
    <w:rsid w:val="00B060AE"/>
    <w:rsid w:val="00B10517"/>
    <w:rsid w:val="00B14E76"/>
    <w:rsid w:val="00B161B8"/>
    <w:rsid w:val="00B2048C"/>
    <w:rsid w:val="00B229F6"/>
    <w:rsid w:val="00B310B9"/>
    <w:rsid w:val="00B35F3F"/>
    <w:rsid w:val="00B36CBB"/>
    <w:rsid w:val="00B425E0"/>
    <w:rsid w:val="00B440AA"/>
    <w:rsid w:val="00B44B70"/>
    <w:rsid w:val="00B50B74"/>
    <w:rsid w:val="00B51440"/>
    <w:rsid w:val="00B53C56"/>
    <w:rsid w:val="00B57DAF"/>
    <w:rsid w:val="00B74688"/>
    <w:rsid w:val="00B757EA"/>
    <w:rsid w:val="00B77EA6"/>
    <w:rsid w:val="00B81598"/>
    <w:rsid w:val="00B822AE"/>
    <w:rsid w:val="00B841F1"/>
    <w:rsid w:val="00B90E4E"/>
    <w:rsid w:val="00B944D6"/>
    <w:rsid w:val="00B965DC"/>
    <w:rsid w:val="00BA1D93"/>
    <w:rsid w:val="00BB4DF0"/>
    <w:rsid w:val="00BC289F"/>
    <w:rsid w:val="00BC2D50"/>
    <w:rsid w:val="00BC5361"/>
    <w:rsid w:val="00BC5460"/>
    <w:rsid w:val="00BC6B50"/>
    <w:rsid w:val="00BD0E25"/>
    <w:rsid w:val="00BD5DEB"/>
    <w:rsid w:val="00BF5BD6"/>
    <w:rsid w:val="00C03E31"/>
    <w:rsid w:val="00C24320"/>
    <w:rsid w:val="00C33E72"/>
    <w:rsid w:val="00C354B2"/>
    <w:rsid w:val="00C35554"/>
    <w:rsid w:val="00C42709"/>
    <w:rsid w:val="00C533CC"/>
    <w:rsid w:val="00C5751C"/>
    <w:rsid w:val="00C61BFC"/>
    <w:rsid w:val="00C61C8E"/>
    <w:rsid w:val="00C62B85"/>
    <w:rsid w:val="00C65438"/>
    <w:rsid w:val="00C66EAB"/>
    <w:rsid w:val="00C87FD8"/>
    <w:rsid w:val="00C90583"/>
    <w:rsid w:val="00C91381"/>
    <w:rsid w:val="00C91CBB"/>
    <w:rsid w:val="00CB4E70"/>
    <w:rsid w:val="00CC09B6"/>
    <w:rsid w:val="00CC4570"/>
    <w:rsid w:val="00CC666F"/>
    <w:rsid w:val="00CD1E3F"/>
    <w:rsid w:val="00CD37C0"/>
    <w:rsid w:val="00CE44F6"/>
    <w:rsid w:val="00CE49DA"/>
    <w:rsid w:val="00CE7B61"/>
    <w:rsid w:val="00D00095"/>
    <w:rsid w:val="00D05774"/>
    <w:rsid w:val="00D114F0"/>
    <w:rsid w:val="00D20620"/>
    <w:rsid w:val="00D254F7"/>
    <w:rsid w:val="00D26091"/>
    <w:rsid w:val="00D2685C"/>
    <w:rsid w:val="00D3099F"/>
    <w:rsid w:val="00D34E7C"/>
    <w:rsid w:val="00D35489"/>
    <w:rsid w:val="00D36AFE"/>
    <w:rsid w:val="00D51276"/>
    <w:rsid w:val="00D64C1B"/>
    <w:rsid w:val="00D66F5B"/>
    <w:rsid w:val="00D7035F"/>
    <w:rsid w:val="00D77296"/>
    <w:rsid w:val="00DA634F"/>
    <w:rsid w:val="00DA65AC"/>
    <w:rsid w:val="00DB1913"/>
    <w:rsid w:val="00DC410D"/>
    <w:rsid w:val="00DC5A81"/>
    <w:rsid w:val="00DC68CA"/>
    <w:rsid w:val="00DC7CBA"/>
    <w:rsid w:val="00DD73B7"/>
    <w:rsid w:val="00DF28BC"/>
    <w:rsid w:val="00DF34B9"/>
    <w:rsid w:val="00DF3D83"/>
    <w:rsid w:val="00E01053"/>
    <w:rsid w:val="00E07ACF"/>
    <w:rsid w:val="00E116D5"/>
    <w:rsid w:val="00E32CAD"/>
    <w:rsid w:val="00E331A1"/>
    <w:rsid w:val="00E33202"/>
    <w:rsid w:val="00E336A9"/>
    <w:rsid w:val="00E440DC"/>
    <w:rsid w:val="00E472B1"/>
    <w:rsid w:val="00E50624"/>
    <w:rsid w:val="00E568DF"/>
    <w:rsid w:val="00E64269"/>
    <w:rsid w:val="00E82267"/>
    <w:rsid w:val="00E853CE"/>
    <w:rsid w:val="00E867B6"/>
    <w:rsid w:val="00E95968"/>
    <w:rsid w:val="00EA010F"/>
    <w:rsid w:val="00ED1B63"/>
    <w:rsid w:val="00ED3C1F"/>
    <w:rsid w:val="00ED4085"/>
    <w:rsid w:val="00ED420E"/>
    <w:rsid w:val="00ED6FBE"/>
    <w:rsid w:val="00EE2F57"/>
    <w:rsid w:val="00EE3FBF"/>
    <w:rsid w:val="00EF4C34"/>
    <w:rsid w:val="00EF4DDA"/>
    <w:rsid w:val="00EF60EF"/>
    <w:rsid w:val="00EF77C6"/>
    <w:rsid w:val="00F01832"/>
    <w:rsid w:val="00F05438"/>
    <w:rsid w:val="00F07CBF"/>
    <w:rsid w:val="00F1361C"/>
    <w:rsid w:val="00F156F0"/>
    <w:rsid w:val="00F160C7"/>
    <w:rsid w:val="00F2408F"/>
    <w:rsid w:val="00F240E9"/>
    <w:rsid w:val="00F36D8F"/>
    <w:rsid w:val="00F417B1"/>
    <w:rsid w:val="00F45853"/>
    <w:rsid w:val="00F602DF"/>
    <w:rsid w:val="00F625B1"/>
    <w:rsid w:val="00F754A1"/>
    <w:rsid w:val="00F81FD9"/>
    <w:rsid w:val="00F841AA"/>
    <w:rsid w:val="00F84A94"/>
    <w:rsid w:val="00F87E96"/>
    <w:rsid w:val="00F93CD1"/>
    <w:rsid w:val="00FA1CE2"/>
    <w:rsid w:val="00FA23E8"/>
    <w:rsid w:val="00FC5799"/>
    <w:rsid w:val="00FD3CC1"/>
    <w:rsid w:val="00FD5790"/>
    <w:rsid w:val="00FF1E02"/>
    <w:rsid w:val="00FF30B4"/>
    <w:rsid w:val="074F2AA3"/>
    <w:rsid w:val="0A2032A3"/>
    <w:rsid w:val="10C055FF"/>
    <w:rsid w:val="118107EC"/>
    <w:rsid w:val="16BB723D"/>
    <w:rsid w:val="19A87312"/>
    <w:rsid w:val="1D155CEE"/>
    <w:rsid w:val="20134063"/>
    <w:rsid w:val="20DA1E3B"/>
    <w:rsid w:val="24010BA9"/>
    <w:rsid w:val="240371BF"/>
    <w:rsid w:val="29FD04D3"/>
    <w:rsid w:val="30997214"/>
    <w:rsid w:val="319F7F4E"/>
    <w:rsid w:val="31AC0419"/>
    <w:rsid w:val="337D5898"/>
    <w:rsid w:val="34E125AF"/>
    <w:rsid w:val="36155B36"/>
    <w:rsid w:val="3B762A11"/>
    <w:rsid w:val="3D5C725F"/>
    <w:rsid w:val="3E7DB9F3"/>
    <w:rsid w:val="3F760405"/>
    <w:rsid w:val="4CE96F28"/>
    <w:rsid w:val="4ECE2238"/>
    <w:rsid w:val="51503E7B"/>
    <w:rsid w:val="52762E48"/>
    <w:rsid w:val="56BF2166"/>
    <w:rsid w:val="573A1CA3"/>
    <w:rsid w:val="636D019C"/>
    <w:rsid w:val="6B20044C"/>
    <w:rsid w:val="6C4A05C8"/>
    <w:rsid w:val="72734D90"/>
    <w:rsid w:val="764E569D"/>
    <w:rsid w:val="778253A2"/>
    <w:rsid w:val="7F7D6419"/>
    <w:rsid w:val="BFFD596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kern w:val="2"/>
      <w:sz w:val="21"/>
      <w:szCs w:val="24"/>
      <w:lang w:val="en-US" w:eastAsia="zh-CN" w:bidi="ar-SA"/>
    </w:rPr>
  </w:style>
  <w:style w:type="paragraph" w:styleId="3">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2"/>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23"/>
    <w:qFormat/>
    <w:uiPriority w:val="9"/>
    <w:pPr>
      <w:keepNext/>
      <w:keepLines/>
      <w:spacing w:before="260" w:after="260" w:line="416" w:lineRule="auto"/>
      <w:outlineLvl w:val="2"/>
    </w:pPr>
    <w:rPr>
      <w:b/>
      <w:bCs/>
      <w:sz w:val="32"/>
      <w:szCs w:val="32"/>
    </w:rPr>
  </w:style>
  <w:style w:type="character" w:default="1" w:styleId="16">
    <w:name w:val="Default Paragraph Font"/>
    <w:unhideWhenUsed/>
    <w:uiPriority w:val="1"/>
  </w:style>
  <w:style w:type="table" w:default="1" w:styleId="15">
    <w:name w:val="Normal Table"/>
    <w:unhideWhenUsed/>
    <w:qFormat/>
    <w:uiPriority w:val="99"/>
    <w:tblPr>
      <w:tblStyle w:val="15"/>
      <w:tblCellMar>
        <w:top w:w="0" w:type="dxa"/>
        <w:left w:w="108" w:type="dxa"/>
        <w:bottom w:w="0" w:type="dxa"/>
        <w:right w:w="108" w:type="dxa"/>
      </w:tblCellMar>
    </w:tblPr>
  </w:style>
  <w:style w:type="paragraph" w:styleId="2">
    <w:name w:val="footer"/>
    <w:basedOn w:val="1"/>
    <w:link w:val="20"/>
    <w:qFormat/>
    <w:uiPriority w:val="99"/>
    <w:pPr>
      <w:tabs>
        <w:tab w:val="center" w:pos="4153"/>
        <w:tab w:val="right" w:pos="8306"/>
      </w:tabs>
      <w:snapToGrid w:val="0"/>
      <w:jc w:val="left"/>
    </w:pPr>
    <w:rPr>
      <w:rFonts w:ascii="Calibri" w:hAnsi="Calibri"/>
      <w:kern w:val="0"/>
      <w:sz w:val="18"/>
      <w:szCs w:val="20"/>
    </w:rPr>
  </w:style>
  <w:style w:type="paragraph" w:styleId="6">
    <w:name w:val="Body Text"/>
    <w:basedOn w:val="1"/>
    <w:link w:val="24"/>
    <w:qFormat/>
    <w:uiPriority w:val="99"/>
    <w:pPr>
      <w:spacing w:beforeLines="30"/>
    </w:pPr>
    <w:rPr>
      <w:rFonts w:ascii="仿宋_GB2312" w:eastAsia="仿宋_GB2312"/>
      <w:kern w:val="0"/>
      <w:sz w:val="24"/>
      <w:szCs w:val="20"/>
    </w:rPr>
  </w:style>
  <w:style w:type="paragraph" w:styleId="7">
    <w:name w:val="Body Text Indent"/>
    <w:basedOn w:val="1"/>
    <w:qFormat/>
    <w:uiPriority w:val="0"/>
    <w:pPr>
      <w:spacing w:after="120"/>
      <w:ind w:left="420" w:leftChars="200"/>
    </w:p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25"/>
    <w:unhideWhenUsed/>
    <w:qFormat/>
    <w:uiPriority w:val="99"/>
    <w:rPr>
      <w:sz w:val="18"/>
      <w:szCs w:val="18"/>
    </w:rPr>
  </w:style>
  <w:style w:type="paragraph" w:styleId="10">
    <w:name w:val="header"/>
    <w:basedOn w:val="1"/>
    <w:link w:val="26"/>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uiPriority w:val="0"/>
    <w:pPr>
      <w:spacing w:before="100" w:beforeAutospacing="1" w:after="100" w:afterAutospacing="1"/>
      <w:jc w:val="left"/>
    </w:pPr>
    <w:rPr>
      <w:rFonts w:ascii="Calibri" w:hAnsi="Calibri"/>
      <w:kern w:val="0"/>
      <w:sz w:val="24"/>
    </w:rPr>
  </w:style>
  <w:style w:type="paragraph" w:styleId="14">
    <w:name w:val="Body Text First Indent 2"/>
    <w:basedOn w:val="7"/>
    <w:qFormat/>
    <w:uiPriority w:val="0"/>
    <w:pPr>
      <w:ind w:firstLine="420" w:firstLineChars="200"/>
    </w:pPr>
  </w:style>
  <w:style w:type="character" w:styleId="17">
    <w:name w:val="Strong"/>
    <w:basedOn w:val="16"/>
    <w:qFormat/>
    <w:uiPriority w:val="99"/>
    <w:rPr>
      <w:rFonts w:cs="Times New Roman"/>
      <w:b/>
    </w:rPr>
  </w:style>
  <w:style w:type="character" w:styleId="18">
    <w:name w:val="page number"/>
    <w:basedOn w:val="16"/>
    <w:uiPriority w:val="0"/>
  </w:style>
  <w:style w:type="character" w:styleId="19">
    <w:name w:val="Hyperlink"/>
    <w:basedOn w:val="16"/>
    <w:unhideWhenUsed/>
    <w:qFormat/>
    <w:uiPriority w:val="99"/>
    <w:rPr>
      <w:rFonts w:cs="Times New Roman"/>
      <w:color w:val="0000FF"/>
      <w:u w:val="single"/>
    </w:rPr>
  </w:style>
  <w:style w:type="character" w:customStyle="1" w:styleId="20">
    <w:name w:val=" Char Char1"/>
    <w:link w:val="2"/>
    <w:qFormat/>
    <w:locked/>
    <w:uiPriority w:val="99"/>
    <w:rPr>
      <w:sz w:val="18"/>
    </w:rPr>
  </w:style>
  <w:style w:type="character" w:customStyle="1" w:styleId="21">
    <w:name w:val=" Char Char6"/>
    <w:basedOn w:val="16"/>
    <w:link w:val="3"/>
    <w:qFormat/>
    <w:locked/>
    <w:uiPriority w:val="9"/>
    <w:rPr>
      <w:rFonts w:ascii="Times New Roman" w:hAnsi="Times New Roman" w:cs="Times New Roman"/>
      <w:b/>
      <w:bCs/>
      <w:kern w:val="44"/>
      <w:sz w:val="44"/>
      <w:szCs w:val="44"/>
    </w:rPr>
  </w:style>
  <w:style w:type="character" w:customStyle="1" w:styleId="22">
    <w:name w:val=" Char Char5"/>
    <w:basedOn w:val="16"/>
    <w:link w:val="4"/>
    <w:qFormat/>
    <w:locked/>
    <w:uiPriority w:val="9"/>
    <w:rPr>
      <w:rFonts w:ascii="Cambria" w:hAnsi="Cambria" w:eastAsia="宋体" w:cs="Times New Roman"/>
      <w:b/>
      <w:bCs/>
      <w:kern w:val="2"/>
      <w:sz w:val="32"/>
      <w:szCs w:val="32"/>
    </w:rPr>
  </w:style>
  <w:style w:type="character" w:customStyle="1" w:styleId="23">
    <w:name w:val=" Char Char4"/>
    <w:basedOn w:val="16"/>
    <w:link w:val="5"/>
    <w:qFormat/>
    <w:locked/>
    <w:uiPriority w:val="9"/>
    <w:rPr>
      <w:rFonts w:ascii="Times New Roman" w:hAnsi="Times New Roman" w:cs="Times New Roman"/>
      <w:b/>
      <w:bCs/>
      <w:kern w:val="2"/>
      <w:sz w:val="32"/>
      <w:szCs w:val="32"/>
    </w:rPr>
  </w:style>
  <w:style w:type="character" w:customStyle="1" w:styleId="24">
    <w:name w:val=" Char Char3"/>
    <w:link w:val="6"/>
    <w:qFormat/>
    <w:locked/>
    <w:uiPriority w:val="99"/>
    <w:rPr>
      <w:rFonts w:ascii="仿宋_GB2312" w:hAnsi="Times New Roman" w:eastAsia="仿宋_GB2312"/>
      <w:sz w:val="24"/>
    </w:rPr>
  </w:style>
  <w:style w:type="character" w:customStyle="1" w:styleId="25">
    <w:name w:val=" Char Char2"/>
    <w:basedOn w:val="16"/>
    <w:link w:val="9"/>
    <w:semiHidden/>
    <w:qFormat/>
    <w:locked/>
    <w:uiPriority w:val="99"/>
    <w:rPr>
      <w:rFonts w:ascii="Times New Roman" w:hAnsi="Times New Roman" w:cs="Times New Roman"/>
      <w:kern w:val="2"/>
      <w:sz w:val="18"/>
      <w:szCs w:val="18"/>
    </w:rPr>
  </w:style>
  <w:style w:type="character" w:customStyle="1" w:styleId="26">
    <w:name w:val=" Char Char"/>
    <w:link w:val="10"/>
    <w:semiHidden/>
    <w:qFormat/>
    <w:locked/>
    <w:uiPriority w:val="99"/>
    <w:rPr>
      <w:sz w:val="18"/>
    </w:rPr>
  </w:style>
  <w:style w:type="character" w:customStyle="1" w:styleId="27">
    <w:name w:val="Header Char"/>
    <w:basedOn w:val="16"/>
    <w:semiHidden/>
    <w:qFormat/>
    <w:uiPriority w:val="99"/>
    <w:rPr>
      <w:rFonts w:ascii="Times New Roman" w:hAnsi="Times New Roman" w:cs="Times New Roman"/>
      <w:sz w:val="18"/>
      <w:szCs w:val="18"/>
    </w:rPr>
  </w:style>
  <w:style w:type="character" w:customStyle="1" w:styleId="28">
    <w:name w:val="Balloon Text Char"/>
    <w:basedOn w:val="16"/>
    <w:semiHidden/>
    <w:locked/>
    <w:uiPriority w:val="0"/>
    <w:rPr>
      <w:rFonts w:ascii="Times New Roman" w:hAnsi="Times New Roman" w:cs="Times New Roman"/>
      <w:kern w:val="2"/>
      <w:sz w:val="18"/>
      <w:szCs w:val="18"/>
    </w:rPr>
  </w:style>
  <w:style w:type="character" w:customStyle="1" w:styleId="29">
    <w:name w:val="Footer Char1"/>
    <w:locked/>
    <w:uiPriority w:val="0"/>
    <w:rPr>
      <w:sz w:val="18"/>
    </w:rPr>
  </w:style>
  <w:style w:type="character" w:customStyle="1" w:styleId="30">
    <w:name w:val="Body Text Char"/>
    <w:basedOn w:val="16"/>
    <w:semiHidden/>
    <w:qFormat/>
    <w:uiPriority w:val="99"/>
    <w:rPr>
      <w:rFonts w:ascii="Times New Roman" w:hAnsi="Times New Roman" w:cs="Times New Roman"/>
      <w:sz w:val="24"/>
      <w:szCs w:val="24"/>
    </w:rPr>
  </w:style>
  <w:style w:type="character" w:customStyle="1" w:styleId="31">
    <w:name w:val="Heading 1 Char"/>
    <w:basedOn w:val="16"/>
    <w:locked/>
    <w:uiPriority w:val="0"/>
    <w:rPr>
      <w:rFonts w:ascii="Times New Roman" w:hAnsi="Times New Roman" w:cs="Times New Roman"/>
      <w:b/>
      <w:bCs/>
      <w:kern w:val="44"/>
      <w:sz w:val="44"/>
      <w:szCs w:val="44"/>
    </w:rPr>
  </w:style>
  <w:style w:type="character" w:customStyle="1" w:styleId="32">
    <w:name w:val="Footer Char"/>
    <w:basedOn w:val="16"/>
    <w:semiHidden/>
    <w:qFormat/>
    <w:uiPriority w:val="99"/>
    <w:rPr>
      <w:rFonts w:ascii="Times New Roman" w:hAnsi="Times New Roman" w:cs="Times New Roman"/>
      <w:sz w:val="18"/>
      <w:szCs w:val="18"/>
    </w:rPr>
  </w:style>
  <w:style w:type="paragraph" w:customStyle="1" w:styleId="33">
    <w:name w:val="Default"/>
    <w:qFormat/>
    <w:uiPriority w:val="99"/>
    <w:pPr>
      <w:widowControl w:val="0"/>
      <w:autoSpaceDE w:val="0"/>
      <w:autoSpaceDN w:val="0"/>
      <w:adjustRightInd w:val="0"/>
    </w:pPr>
    <w:rPr>
      <w:rFonts w:ascii="仿宋" w:eastAsia="仿宋" w:cs="仿宋"/>
      <w:color w:val="000000"/>
      <w:sz w:val="24"/>
      <w:szCs w:val="24"/>
      <w:lang w:val="en-US" w:eastAsia="zh-CN" w:bidi="ar-SA"/>
    </w:rPr>
  </w:style>
  <w:style w:type="paragraph" w:customStyle="1" w:styleId="34">
    <w:name w:val="TOC 标题1"/>
    <w:basedOn w:val="3"/>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5">
    <w:name w:val="List Paragraph"/>
    <w:basedOn w:val="1"/>
    <w:qFormat/>
    <w:uiPriority w:val="34"/>
    <w:pPr>
      <w:ind w:firstLine="420" w:firstLineChars="200"/>
    </w:pPr>
  </w:style>
  <w:style w:type="paragraph" w:customStyle="1" w:styleId="36">
    <w:name w:val="TOC Heading1"/>
    <w:basedOn w:val="3"/>
    <w:next w:val="1"/>
    <w:unhideWhenUsed/>
    <w:qFormat/>
    <w:uiPriority w:val="39"/>
    <w:pPr>
      <w:widowControl/>
      <w:spacing w:before="480" w:after="0" w:line="276" w:lineRule="auto"/>
      <w:jc w:val="left"/>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E:\2020&#24180;&#20250;&#35745;&#36164;&#26009;\2019&#24180;&#20915;&#31639;&#20844;&#24320;\&#22270;&#3492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2020&#24180;&#20250;&#35745;&#36164;&#26009;\2019&#24180;&#20915;&#31639;&#20844;&#24320;\&#22270;&#3492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2020&#24180;&#20250;&#35745;&#36164;&#26009;\2019&#24180;&#20915;&#31639;&#20844;&#24320;\&#22270;&#3492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2020&#24180;&#20250;&#35745;&#36164;&#26009;\2019&#24180;&#20915;&#31639;&#20844;&#24320;\&#22270;&#3492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2020&#24180;&#20250;&#35745;&#36164;&#26009;\2019&#24180;&#20915;&#31639;&#20844;&#24320;\&#22270;&#3492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2020&#24180;&#20250;&#35745;&#36164;&#26009;\2019&#24180;&#20915;&#31639;&#20844;&#24320;\&#22270;&#34920;.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2020&#24180;&#20250;&#35745;&#36164;&#26009;\2019&#24180;&#20915;&#31639;&#20844;&#24320;\&#22270;&#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800" b="0" i="0" u="none" strike="noStrike" kern="1200" baseline="0">
                <a:solidFill>
                  <a:srgbClr val="000000"/>
                </a:solidFill>
                <a:latin typeface="方正大标宋简体" panose="03000509000000000000" pitchFamily="4" charset="-122"/>
                <a:ea typeface="方正大标宋简体" panose="03000509000000000000" pitchFamily="4" charset="-122"/>
                <a:cs typeface="方正大标宋简体" panose="03000509000000000000" pitchFamily="4" charset="-122"/>
              </a:defRPr>
            </a:pPr>
            <a:r>
              <a:rPr sz="1800" b="0" i="0" u="none" strike="noStrike" baseline="0">
                <a:solidFill>
                  <a:srgbClr val="000000"/>
                </a:solidFill>
                <a:latin typeface="方正大标宋简体" panose="03000509000000000000" pitchFamily="4" charset="-122"/>
                <a:ea typeface="方正大标宋简体" panose="03000509000000000000" pitchFamily="4" charset="-122"/>
                <a:cs typeface="方正大标宋简体" panose="03000509000000000000" pitchFamily="4" charset="-122"/>
              </a:rPr>
              <a:t>2019年-2020年财政拨款收、支决算总计变动情况图</a:t>
            </a:r>
            <a:endParaRPr sz="1800" b="0" i="0" u="none" strike="noStrike" baseline="0">
              <a:solidFill>
                <a:srgbClr val="000000"/>
              </a:solidFill>
              <a:latin typeface="方正大标宋简体" panose="03000509000000000000" pitchFamily="4" charset="-122"/>
              <a:ea typeface="方正大标宋简体" panose="03000509000000000000" pitchFamily="4" charset="-122"/>
              <a:cs typeface="方正大标宋简体" panose="03000509000000000000" pitchFamily="4" charset="-122"/>
            </a:endParaRPr>
          </a:p>
        </c:rich>
      </c:tx>
      <c:layout/>
      <c:overlay val="false"/>
    </c:title>
    <c:autoTitleDeleted val="false"/>
    <c:plotArea>
      <c:layout/>
      <c:barChart>
        <c:barDir val="col"/>
        <c:grouping val="clustered"/>
        <c:varyColors val="false"/>
        <c:ser>
          <c:idx val="0"/>
          <c:order val="0"/>
          <c:tx>
            <c:strRef>
              <c:f>[图表.xls]Sheet1!$A$4</c:f>
              <c:strCache>
                <c:ptCount val="1"/>
                <c:pt idx="0">
                  <c:v>2020</c:v>
                </c:pt>
              </c:strCache>
            </c:strRef>
          </c:tx>
          <c:spPr>
            <a:solidFill>
              <a:srgbClr val="9999FF"/>
            </a:solidFill>
            <a:ln w="12700">
              <a:solidFill>
                <a:srgbClr val="000000"/>
              </a:solidFill>
            </a:ln>
          </c:spPr>
          <c:invertIfNegative val="false"/>
          <c:dLbls>
            <c:numFmt formatCode="General" sourceLinked="true"/>
            <c:spPr>
              <a:noFill/>
              <a:ln>
                <a:noFill/>
              </a:ln>
              <a:effectLst/>
            </c:spPr>
            <c:txPr>
              <a:bodyPr rot="0" spcFirstLastPara="0" vertOverflow="ellipsis" vert="horz" wrap="square" lIns="38100" tIns="19050" rIns="38100" bIns="19050" anchor="ctr" anchorCtr="true"/>
              <a:lstStyle/>
              <a:p>
                <a:pPr>
                  <a:defRPr lang="zh-CN" sz="925" b="0" i="0" u="none" strike="noStrike" kern="1200" baseline="0">
                    <a:solidFill>
                      <a:srgbClr val="000000"/>
                    </a:solidFill>
                    <a:latin typeface="宋体" charset="-122"/>
                    <a:ea typeface="宋体" charset="-122"/>
                    <a:cs typeface="宋体" charset="-122"/>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[图表.xls]Sheet1!$B$3</c:f>
              <c:strCache>
                <c:ptCount val="1"/>
                <c:pt idx="0">
                  <c:v>金额（万元）</c:v>
                </c:pt>
              </c:strCache>
            </c:strRef>
          </c:cat>
          <c:val>
            <c:numRef>
              <c:f>[图表.xls]Sheet1!$B$4</c:f>
              <c:numCache>
                <c:formatCode>General</c:formatCode>
                <c:ptCount val="1"/>
                <c:pt idx="0">
                  <c:v>973.46</c:v>
                </c:pt>
              </c:numCache>
            </c:numRef>
          </c:val>
        </c:ser>
        <c:ser>
          <c:idx val="1"/>
          <c:order val="1"/>
          <c:tx>
            <c:strRef>
              <c:f>[图表.xls]Sheet1!$A$5</c:f>
              <c:strCache>
                <c:ptCount val="1"/>
                <c:pt idx="0">
                  <c:v>2019</c:v>
                </c:pt>
              </c:strCache>
            </c:strRef>
          </c:tx>
          <c:spPr>
            <a:solidFill>
              <a:srgbClr val="993366"/>
            </a:solidFill>
            <a:ln w="12700">
              <a:solidFill>
                <a:srgbClr val="000000"/>
              </a:solidFill>
            </a:ln>
          </c:spPr>
          <c:invertIfNegative val="false"/>
          <c:dLbls>
            <c:numFmt formatCode="General" sourceLinked="true"/>
            <c:spPr>
              <a:noFill/>
              <a:ln>
                <a:noFill/>
              </a:ln>
              <a:effectLst/>
            </c:spPr>
            <c:txPr>
              <a:bodyPr rot="0" spcFirstLastPara="0" vertOverflow="ellipsis" vert="horz" wrap="square" lIns="38100" tIns="19050" rIns="38100" bIns="19050" anchor="ctr" anchorCtr="true"/>
              <a:lstStyle/>
              <a:p>
                <a:pPr>
                  <a:defRPr lang="zh-CN" sz="925" b="0" i="0" u="none" strike="noStrike" kern="1200" baseline="0">
                    <a:solidFill>
                      <a:srgbClr val="000000"/>
                    </a:solidFill>
                    <a:latin typeface="宋体" charset="-122"/>
                    <a:ea typeface="宋体" charset="-122"/>
                    <a:cs typeface="宋体" charset="-122"/>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[图表.xls]Sheet1!$B$3</c:f>
              <c:strCache>
                <c:ptCount val="1"/>
                <c:pt idx="0">
                  <c:v>金额（万元）</c:v>
                </c:pt>
              </c:strCache>
            </c:strRef>
          </c:cat>
          <c:val>
            <c:numRef>
              <c:f>[图表.xls]Sheet1!$B$5</c:f>
              <c:numCache>
                <c:formatCode>General</c:formatCode>
                <c:ptCount val="1"/>
                <c:pt idx="0">
                  <c:v>1063.56</c:v>
                </c:pt>
              </c:numCache>
            </c:numRef>
          </c:val>
        </c:ser>
        <c:dLbls>
          <c:showLegendKey val="false"/>
          <c:showVal val="true"/>
          <c:showCatName val="false"/>
          <c:showSerName val="false"/>
          <c:showPercent val="false"/>
          <c:showBubbleSize val="false"/>
        </c:dLbls>
        <c:gapWidth val="150"/>
        <c:overlap val="0"/>
        <c:axId val="601938895"/>
        <c:axId val="337433091"/>
      </c:barChart>
      <c:catAx>
        <c:axId val="601938895"/>
        <c:scaling>
          <c:orientation val="minMax"/>
        </c:scaling>
        <c:delete val="false"/>
        <c:axPos val="b"/>
        <c:majorTickMark val="in"/>
        <c:minorTickMark val="none"/>
        <c:tickLblPos val="nextTo"/>
        <c:spPr>
          <a:ln w="3175" cap="flat" cmpd="sng" algn="ctr">
            <a:solidFill>
              <a:srgbClr val="000000"/>
            </a:solidFill>
            <a:prstDash val="solid"/>
            <a:round/>
          </a:ln>
        </c:spPr>
        <c:txPr>
          <a:bodyPr rot="-60000000" spcFirstLastPara="0" vertOverflow="ellipsis" vert="horz" wrap="square" anchor="ctr" anchorCtr="true"/>
          <a:lstStyle/>
          <a:p>
            <a:pPr>
              <a:defRPr lang="zh-CN" sz="925" b="0" i="0" u="none" strike="noStrike" kern="1200" baseline="0">
                <a:solidFill>
                  <a:srgbClr val="000000"/>
                </a:solidFill>
                <a:latin typeface="宋体" charset="-122"/>
                <a:ea typeface="宋体" charset="-122"/>
                <a:cs typeface="宋体" charset="-122"/>
              </a:defRPr>
            </a:pPr>
          </a:p>
        </c:txPr>
        <c:crossAx val="337433091"/>
        <c:crosses val="autoZero"/>
        <c:auto val="true"/>
        <c:lblAlgn val="ctr"/>
        <c:lblOffset val="100"/>
        <c:noMultiLvlLbl val="false"/>
      </c:catAx>
      <c:valAx>
        <c:axId val="337433091"/>
        <c:scaling>
          <c:orientation val="minMax"/>
        </c:scaling>
        <c:delete val="false"/>
        <c:axPos val="l"/>
        <c:majorGridlines>
          <c:spPr>
            <a:ln w="3175" cap="flat" cmpd="sng" algn="ctr">
              <a:solidFill>
                <a:srgbClr val="000000">
                  <a:alpha val="100000"/>
                </a:srgbClr>
              </a:solidFill>
              <a:prstDash val="solid"/>
              <a:round/>
            </a:ln>
          </c:spPr>
        </c:majorGridlines>
        <c:numFmt formatCode="General" sourceLinked="true"/>
        <c:majorTickMark val="in"/>
        <c:minorTickMark val="none"/>
        <c:tickLblPos val="nextTo"/>
        <c:spPr>
          <a:ln w="3175" cap="flat" cmpd="sng" algn="ctr">
            <a:solidFill>
              <a:srgbClr val="000000"/>
            </a:solidFill>
            <a:prstDash val="solid"/>
            <a:round/>
          </a:ln>
        </c:spPr>
        <c:txPr>
          <a:bodyPr rot="-60000000" spcFirstLastPara="0" vertOverflow="ellipsis" vert="horz" wrap="square" anchor="ctr" anchorCtr="true"/>
          <a:lstStyle/>
          <a:p>
            <a:pPr>
              <a:defRPr lang="zh-CN" sz="925" b="0" i="0" u="none" strike="noStrike" kern="1200" baseline="0">
                <a:solidFill>
                  <a:srgbClr val="000000"/>
                </a:solidFill>
                <a:latin typeface="宋体" charset="-122"/>
                <a:ea typeface="宋体" charset="-122"/>
                <a:cs typeface="宋体" charset="-122"/>
              </a:defRPr>
            </a:pPr>
          </a:p>
        </c:txPr>
        <c:crossAx val="601938895"/>
        <c:crosses val="autoZero"/>
        <c:crossBetween val="between"/>
      </c:valAx>
      <c:spPr>
        <a:solidFill>
          <a:srgbClr val="C0C0C0">
            <a:alpha val="100000"/>
          </a:srgbClr>
        </a:solidFill>
        <a:ln w="12700">
          <a:solidFill>
            <a:srgbClr val="808080">
              <a:alpha val="100000"/>
            </a:srgbClr>
          </a:solidFill>
          <a:prstDash val="solid"/>
        </a:ln>
      </c:spPr>
    </c:plotArea>
    <c:legend>
      <c:legendPos val="r"/>
      <c:layout>
        <c:manualLayout>
          <c:xMode val="edge"/>
          <c:yMode val="edge"/>
          <c:x val="0.8805"/>
          <c:y val="0.559"/>
          <c:w val="0.1115"/>
          <c:h val="0.118"/>
        </c:manualLayout>
      </c:layout>
      <c:overlay val="false"/>
      <c:spPr>
        <a:solidFill>
          <a:srgbClr val="FFFFFF"/>
        </a:solidFill>
        <a:ln>
          <a:solidFill>
            <a:srgbClr val="000000"/>
          </a:solidFill>
        </a:ln>
      </c:spPr>
      <c:txPr>
        <a:bodyPr rot="0" spcFirstLastPara="0" vertOverflow="ellipsis" vert="horz" wrap="square" anchor="ctr" anchorCtr="true"/>
        <a:lstStyle/>
        <a:p>
          <a:pPr>
            <a:defRPr lang="zh-CN" sz="925" b="0" i="0" u="none" strike="noStrike" kern="1200" baseline="0">
              <a:solidFill>
                <a:srgbClr val="000000"/>
              </a:solidFill>
              <a:latin typeface="宋体" charset="-122"/>
              <a:ea typeface="宋体" charset="-122"/>
              <a:cs typeface="宋体" charset="-122"/>
            </a:defRPr>
          </a:pPr>
        </a:p>
      </c:txPr>
    </c:legend>
    <c:plotVisOnly val="true"/>
    <c:dispBlanksAs val="gap"/>
    <c:showDLblsOverMax val="false"/>
  </c:chart>
  <c:spPr>
    <a:solidFill>
      <a:srgbClr val="FFFFFF"/>
    </a:solidFill>
    <a:ln w="3175" cap="flat" cmpd="sng" algn="ctr">
      <a:solidFill>
        <a:srgbClr val="000000">
          <a:alpha val="100000"/>
        </a:srgbClr>
      </a:solidFill>
      <a:prstDash val="solid"/>
      <a:round/>
    </a:ln>
  </c:spPr>
  <c:txPr>
    <a:bodyPr rot="0" wrap="square" anchor="ctr" anchorCtr="true"/>
    <a:lstStyle/>
    <a:p>
      <a:pPr>
        <a:defRPr lang="zh-CN" sz="925" b="0" i="0" u="none" strike="noStrike" baseline="0">
          <a:solidFill>
            <a:srgbClr val="000000"/>
          </a:solidFill>
          <a:latin typeface="宋体" charset="-122"/>
          <a:ea typeface="宋体" charset="-122"/>
          <a:cs typeface="宋体" charset="-122"/>
        </a:defRPr>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800" b="0" i="0" u="none" strike="noStrike" kern="1200" baseline="0">
                <a:solidFill>
                  <a:srgbClr val="000000"/>
                </a:solidFill>
                <a:latin typeface="方正大标宋简体" panose="03000509000000000000" pitchFamily="4" charset="-122"/>
                <a:ea typeface="方正大标宋简体" panose="03000509000000000000" pitchFamily="4" charset="-122"/>
                <a:cs typeface="方正大标宋简体" panose="03000509000000000000" pitchFamily="4" charset="-122"/>
              </a:defRPr>
            </a:pPr>
            <a:r>
              <a:t>2020年收入决算结构图</a:t>
            </a:r>
            <a:endParaRPr sz="1800" b="0" i="0" u="none" strike="noStrike" baseline="0">
              <a:solidFill>
                <a:srgbClr val="000000"/>
              </a:solidFill>
              <a:latin typeface="方正大标宋简体" panose="03000509000000000000" pitchFamily="4" charset="-122"/>
              <a:ea typeface="方正大标宋简体" panose="03000509000000000000" pitchFamily="4" charset="-122"/>
              <a:cs typeface="方正大标宋简体" panose="03000509000000000000" pitchFamily="4" charset="-122"/>
            </a:endParaRPr>
          </a:p>
        </c:rich>
      </c:tx>
      <c:layout/>
      <c:overlay val="false"/>
    </c:title>
    <c:autoTitleDeleted val="false"/>
    <c:plotArea>
      <c:layout/>
      <c:pieChart>
        <c:varyColors val="true"/>
        <c:ser>
          <c:idx val="0"/>
          <c:order val="0"/>
          <c:spPr>
            <a:solidFill>
              <a:srgbClr val="9999FF"/>
            </a:solidFill>
            <a:ln w="12700">
              <a:solidFill>
                <a:srgbClr val="000000"/>
              </a:solidFill>
              <a:prstDash val="solid"/>
            </a:ln>
          </c:spPr>
          <c:explosion val="0"/>
          <c:dPt>
            <c:idx val="0"/>
            <c:bubble3D val="false"/>
            <c:spPr>
              <a:solidFill>
                <a:srgbClr val="9999FF"/>
              </a:solidFill>
              <a:ln w="12700">
                <a:solidFill>
                  <a:srgbClr val="000000"/>
                </a:solidFill>
                <a:prstDash val="solid"/>
              </a:ln>
              <a:effectLst/>
            </c:spPr>
          </c:dPt>
          <c:dPt>
            <c:idx val="1"/>
            <c:bubble3D val="false"/>
            <c:spPr>
              <a:solidFill>
                <a:srgbClr val="993366"/>
              </a:solidFill>
              <a:ln w="12700">
                <a:solidFill>
                  <a:srgbClr val="000000"/>
                </a:solidFill>
                <a:prstDash val="solid"/>
              </a:ln>
              <a:effectLst/>
            </c:spPr>
          </c:dPt>
          <c:dLbls>
            <c:numFmt formatCode="General" sourceLinked="true"/>
            <c:spPr>
              <a:noFill/>
              <a:ln>
                <a:noFill/>
              </a:ln>
              <a:effectLst/>
            </c:spPr>
            <c:txPr>
              <a:bodyPr rot="0" spcFirstLastPara="0" vertOverflow="ellipsis" vert="horz" wrap="square" lIns="38100" tIns="19050" rIns="38100" bIns="19050" anchor="ctr" anchorCtr="true"/>
              <a:lstStyle/>
              <a:p>
                <a:pPr>
                  <a:defRPr lang="zh-CN" sz="925" b="0" i="0" u="none" strike="noStrike" kern="1200" baseline="0">
                    <a:solidFill>
                      <a:srgbClr val="000000"/>
                    </a:solidFill>
                    <a:latin typeface="宋体" charset="-122"/>
                    <a:ea typeface="宋体" charset="-122"/>
                    <a:cs typeface="宋体" charset="-122"/>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[图表.xls]Sheet1!$A$4:$A$5</c:f>
              <c:strCache>
                <c:ptCount val="2"/>
                <c:pt idx="0">
                  <c:v>一般公共预算财政拨款收入927.44</c:v>
                </c:pt>
                <c:pt idx="1">
                  <c:v>其他收入</c:v>
                </c:pt>
              </c:strCache>
            </c:strRef>
          </c:cat>
          <c:val>
            <c:numRef>
              <c:f>[图表.xls]Sheet1!$B$4:$B$5</c:f>
              <c:numCache>
                <c:formatCode>General</c:formatCode>
                <c:ptCount val="2"/>
                <c:pt idx="0">
                  <c:v>927.44</c:v>
                </c:pt>
                <c:pt idx="1">
                  <c:v>23.15</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r"/>
      <c:layout>
        <c:manualLayout>
          <c:xMode val="edge"/>
          <c:yMode val="edge"/>
          <c:x val="0.79296875"/>
          <c:y val="0.558986539984165"/>
          <c:w val="0.197135416666667"/>
          <c:h val="0.419635787806809"/>
        </c:manualLayout>
      </c:layout>
      <c:overlay val="false"/>
      <c:txPr>
        <a:bodyPr rot="0" spcFirstLastPara="0" vertOverflow="ellipsis" vert="horz" wrap="square" anchor="ctr" anchorCtr="true"/>
        <a:lstStyle/>
        <a:p>
          <a:pPr>
            <a:defRPr lang="zh-CN" sz="925" b="0" i="0" u="none" strike="noStrike" kern="1200" baseline="0">
              <a:solidFill>
                <a:srgbClr val="000000"/>
              </a:solidFill>
              <a:latin typeface="宋体" charset="-122"/>
              <a:ea typeface="宋体" charset="-122"/>
              <a:cs typeface="宋体" charset="-122"/>
            </a:defRPr>
          </a:pPr>
        </a:p>
      </c:txPr>
    </c:legend>
    <c:plotVisOnly val="true"/>
    <c:dispBlanksAs val="zero"/>
    <c:showDLblsOverMax val="false"/>
  </c:chart>
  <c:spPr>
    <a:solidFill>
      <a:srgbClr val="FFFFFF"/>
    </a:solidFill>
    <a:ln w="3175" cap="flat" cmpd="sng" algn="ctr">
      <a:solidFill>
        <a:srgbClr val="000000">
          <a:alpha val="100000"/>
        </a:srgbClr>
      </a:solidFill>
      <a:prstDash val="solid"/>
      <a:round/>
    </a:ln>
  </c:spPr>
  <c:txPr>
    <a:bodyPr rot="0" wrap="square" anchor="ctr" anchorCtr="true"/>
    <a:lstStyle/>
    <a:p>
      <a:pPr>
        <a:defRPr lang="zh-CN" sz="925" b="0" i="0" u="none" strike="noStrike" baseline="0">
          <a:solidFill>
            <a:srgbClr val="000000"/>
          </a:solidFill>
          <a:latin typeface="宋体" charset="-122"/>
          <a:ea typeface="宋体" charset="-122"/>
          <a:cs typeface="宋体" charset="-122"/>
        </a:defRPr>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800" b="0" i="0" u="none" strike="noStrike" kern="1200" baseline="0">
                <a:solidFill>
                  <a:srgbClr val="000000"/>
                </a:solidFill>
                <a:latin typeface="方正大标宋简体" panose="03000509000000000000" pitchFamily="4" charset="-122"/>
                <a:ea typeface="方正大标宋简体" panose="03000509000000000000" pitchFamily="4" charset="-122"/>
                <a:cs typeface="方正大标宋简体" panose="03000509000000000000" pitchFamily="4" charset="-122"/>
              </a:defRPr>
            </a:pPr>
            <a:r>
              <a:t>2020年支出决算结构图</a:t>
            </a:r>
            <a:endParaRPr sz="1800" b="0" i="0" u="none" strike="noStrike" baseline="0">
              <a:solidFill>
                <a:srgbClr val="000000"/>
              </a:solidFill>
              <a:latin typeface="方正大标宋简体" panose="03000509000000000000" pitchFamily="4" charset="-122"/>
              <a:ea typeface="方正大标宋简体" panose="03000509000000000000" pitchFamily="4" charset="-122"/>
              <a:cs typeface="方正大标宋简体" panose="03000509000000000000" pitchFamily="4" charset="-122"/>
            </a:endParaRPr>
          </a:p>
        </c:rich>
      </c:tx>
      <c:layout/>
      <c:overlay val="false"/>
    </c:title>
    <c:autoTitleDeleted val="false"/>
    <c:plotArea>
      <c:layout/>
      <c:pieChart>
        <c:varyColors val="true"/>
        <c:ser>
          <c:idx val="0"/>
          <c:order val="0"/>
          <c:spPr>
            <a:solidFill>
              <a:srgbClr val="9999FF"/>
            </a:solidFill>
            <a:ln w="12700">
              <a:solidFill>
                <a:srgbClr val="000000"/>
              </a:solidFill>
              <a:prstDash val="solid"/>
            </a:ln>
          </c:spPr>
          <c:explosion val="0"/>
          <c:dPt>
            <c:idx val="0"/>
            <c:bubble3D val="false"/>
            <c:spPr>
              <a:solidFill>
                <a:srgbClr val="9999FF"/>
              </a:solidFill>
              <a:ln w="12700">
                <a:solidFill>
                  <a:srgbClr val="000000"/>
                </a:solidFill>
                <a:prstDash val="solid"/>
              </a:ln>
              <a:effectLst/>
            </c:spPr>
          </c:dPt>
          <c:dPt>
            <c:idx val="1"/>
            <c:bubble3D val="false"/>
            <c:spPr>
              <a:solidFill>
                <a:srgbClr val="993366"/>
              </a:solidFill>
              <a:ln w="12700">
                <a:solidFill>
                  <a:srgbClr val="000000"/>
                </a:solidFill>
                <a:prstDash val="solid"/>
              </a:ln>
              <a:effectLst/>
            </c:spPr>
          </c:dPt>
          <c:dLbls>
            <c:numFmt formatCode="General" sourceLinked="true"/>
            <c:spPr>
              <a:noFill/>
              <a:ln>
                <a:noFill/>
              </a:ln>
              <a:effectLst/>
            </c:spPr>
            <c:txPr>
              <a:bodyPr rot="0" spcFirstLastPara="0" vertOverflow="ellipsis" vert="horz" wrap="square" lIns="38100" tIns="19050" rIns="38100" bIns="19050" anchor="ctr" anchorCtr="true"/>
              <a:lstStyle/>
              <a:p>
                <a:pPr>
                  <a:defRPr lang="zh-CN" sz="925" b="0" i="0" u="none" strike="noStrike" kern="1200" baseline="0">
                    <a:solidFill>
                      <a:srgbClr val="000000"/>
                    </a:solidFill>
                    <a:latin typeface="宋体" charset="-122"/>
                    <a:ea typeface="宋体" charset="-122"/>
                    <a:cs typeface="宋体" charset="-122"/>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[图表.xls]Sheet1!$A$4:$A$5</c:f>
              <c:strCache>
                <c:ptCount val="2"/>
                <c:pt idx="0">
                  <c:v>基本支出</c:v>
                </c:pt>
                <c:pt idx="1">
                  <c:v>项目支出</c:v>
                </c:pt>
              </c:strCache>
            </c:strRef>
          </c:cat>
          <c:val>
            <c:numRef>
              <c:f>[图表.xls]Sheet1!$B$4:$B$5</c:f>
              <c:numCache>
                <c:formatCode>General</c:formatCode>
                <c:ptCount val="2"/>
                <c:pt idx="0">
                  <c:v>680.57</c:v>
                </c:pt>
                <c:pt idx="1">
                  <c:v>213.57</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r"/>
      <c:layout>
        <c:manualLayout>
          <c:xMode val="edge"/>
          <c:yMode val="edge"/>
          <c:x val="0.79296875"/>
          <c:y val="0.558986539984165"/>
          <c:w val="0.197135416666667"/>
          <c:h val="0.419635787806809"/>
        </c:manualLayout>
      </c:layout>
      <c:overlay val="false"/>
      <c:txPr>
        <a:bodyPr rot="0" spcFirstLastPara="0" vertOverflow="ellipsis" vert="horz" wrap="square" anchor="ctr" anchorCtr="true"/>
        <a:lstStyle/>
        <a:p>
          <a:pPr>
            <a:defRPr lang="zh-CN" sz="925" b="0" i="0" u="none" strike="noStrike" kern="1200" baseline="0">
              <a:solidFill>
                <a:srgbClr val="000000"/>
              </a:solidFill>
              <a:latin typeface="宋体" charset="-122"/>
              <a:ea typeface="宋体" charset="-122"/>
              <a:cs typeface="宋体" charset="-122"/>
            </a:defRPr>
          </a:pPr>
        </a:p>
      </c:txPr>
    </c:legend>
    <c:plotVisOnly val="true"/>
    <c:dispBlanksAs val="zero"/>
    <c:showDLblsOverMax val="false"/>
  </c:chart>
  <c:spPr>
    <a:solidFill>
      <a:srgbClr val="FFFFFF"/>
    </a:solidFill>
    <a:ln w="3175" cap="flat" cmpd="sng" algn="ctr">
      <a:solidFill>
        <a:srgbClr val="000000">
          <a:alpha val="100000"/>
        </a:srgbClr>
      </a:solidFill>
      <a:prstDash val="solid"/>
      <a:round/>
    </a:ln>
  </c:spPr>
  <c:txPr>
    <a:bodyPr rot="0" wrap="square" anchor="ctr" anchorCtr="true"/>
    <a:lstStyle/>
    <a:p>
      <a:pPr>
        <a:defRPr lang="zh-CN" sz="925" b="0" i="0" u="none" strike="noStrike" baseline="0">
          <a:solidFill>
            <a:srgbClr val="000000"/>
          </a:solidFill>
          <a:latin typeface="宋体" charset="-122"/>
          <a:ea typeface="宋体" charset="-122"/>
          <a:cs typeface="宋体" charset="-122"/>
        </a:defRPr>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800" b="0" i="0" u="none" strike="noStrike" kern="1200" baseline="0">
                <a:solidFill>
                  <a:srgbClr val="000000"/>
                </a:solidFill>
                <a:latin typeface="方正大标宋简体" panose="03000509000000000000" pitchFamily="4" charset="-122"/>
                <a:ea typeface="方正大标宋简体" panose="03000509000000000000" pitchFamily="4" charset="-122"/>
                <a:cs typeface="方正大标宋简体" panose="03000509000000000000" pitchFamily="4" charset="-122"/>
              </a:defRPr>
            </a:pPr>
            <a:r>
              <a:t>2019年-2020一般公共预算财政拨款支出决算变动情况</a:t>
            </a:r>
            <a:endParaRPr sz="1800" b="0" i="0" u="none" strike="noStrike" baseline="0">
              <a:solidFill>
                <a:srgbClr val="000000"/>
              </a:solidFill>
              <a:latin typeface="方正大标宋简体" panose="03000509000000000000" pitchFamily="4" charset="-122"/>
              <a:ea typeface="方正大标宋简体" panose="03000509000000000000" pitchFamily="4" charset="-122"/>
              <a:cs typeface="方正大标宋简体" panose="03000509000000000000" pitchFamily="4" charset="-122"/>
            </a:endParaRPr>
          </a:p>
        </c:rich>
      </c:tx>
      <c:layout/>
      <c:overlay val="false"/>
    </c:title>
    <c:autoTitleDeleted val="false"/>
    <c:plotArea>
      <c:layout/>
      <c:barChart>
        <c:barDir val="col"/>
        <c:grouping val="clustered"/>
        <c:varyColors val="false"/>
        <c:ser>
          <c:idx val="0"/>
          <c:order val="0"/>
          <c:tx>
            <c:strRef>
              <c:f>[图表.xls]Sheet1!$A$4</c:f>
              <c:strCache>
                <c:ptCount val="1"/>
                <c:pt idx="0">
                  <c:v>2020</c:v>
                </c:pt>
              </c:strCache>
            </c:strRef>
          </c:tx>
          <c:spPr>
            <a:solidFill>
              <a:srgbClr val="9999FF"/>
            </a:solidFill>
            <a:ln w="12700">
              <a:solidFill>
                <a:srgbClr val="000000"/>
              </a:solidFill>
            </a:ln>
          </c:spPr>
          <c:invertIfNegative val="false"/>
          <c:dLbls>
            <c:numFmt formatCode="General" sourceLinked="true"/>
            <c:spPr>
              <a:noFill/>
              <a:ln>
                <a:noFill/>
              </a:ln>
              <a:effectLst/>
            </c:spPr>
            <c:txPr>
              <a:bodyPr rot="0" spcFirstLastPara="0" vertOverflow="ellipsis" vert="horz" wrap="square" lIns="38100" tIns="19050" rIns="38100" bIns="19050" anchor="ctr" anchorCtr="true"/>
              <a:lstStyle/>
              <a:p>
                <a:pPr>
                  <a:defRPr lang="zh-CN" sz="925" b="0" i="0" u="none" strike="noStrike" kern="1200" baseline="0">
                    <a:solidFill>
                      <a:srgbClr val="000000"/>
                    </a:solidFill>
                    <a:latin typeface="宋体" charset="-122"/>
                    <a:ea typeface="宋体" charset="-122"/>
                    <a:cs typeface="宋体" charset="-122"/>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[图表.xls]Sheet1!$B$3</c:f>
              <c:strCache>
                <c:ptCount val="1"/>
                <c:pt idx="0">
                  <c:v>金额（万元）</c:v>
                </c:pt>
              </c:strCache>
            </c:strRef>
          </c:cat>
          <c:val>
            <c:numRef>
              <c:f>[图表.xls]Sheet1!$B$4</c:f>
              <c:numCache>
                <c:formatCode>General</c:formatCode>
                <c:ptCount val="1"/>
                <c:pt idx="0">
                  <c:v>950.32</c:v>
                </c:pt>
              </c:numCache>
            </c:numRef>
          </c:val>
        </c:ser>
        <c:ser>
          <c:idx val="1"/>
          <c:order val="1"/>
          <c:tx>
            <c:strRef>
              <c:f>[图表.xls]Sheet1!$A$5</c:f>
              <c:strCache>
                <c:ptCount val="1"/>
                <c:pt idx="0">
                  <c:v>2019</c:v>
                </c:pt>
              </c:strCache>
            </c:strRef>
          </c:tx>
          <c:spPr>
            <a:solidFill>
              <a:srgbClr val="993366"/>
            </a:solidFill>
            <a:ln w="12700">
              <a:solidFill>
                <a:srgbClr val="000000"/>
              </a:solidFill>
            </a:ln>
          </c:spPr>
          <c:invertIfNegative val="false"/>
          <c:dLbls>
            <c:numFmt formatCode="General" sourceLinked="true"/>
            <c:spPr>
              <a:noFill/>
              <a:ln>
                <a:noFill/>
              </a:ln>
              <a:effectLst/>
            </c:spPr>
            <c:txPr>
              <a:bodyPr rot="0" spcFirstLastPara="0" vertOverflow="ellipsis" vert="horz" wrap="square" lIns="38100" tIns="19050" rIns="38100" bIns="19050" anchor="ctr" anchorCtr="true"/>
              <a:lstStyle/>
              <a:p>
                <a:pPr>
                  <a:defRPr lang="zh-CN" sz="925" b="0" i="0" u="none" strike="noStrike" kern="1200" baseline="0">
                    <a:solidFill>
                      <a:srgbClr val="000000"/>
                    </a:solidFill>
                    <a:latin typeface="宋体" charset="-122"/>
                    <a:ea typeface="宋体" charset="-122"/>
                    <a:cs typeface="宋体" charset="-122"/>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[图表.xls]Sheet1!$B$3</c:f>
              <c:strCache>
                <c:ptCount val="1"/>
                <c:pt idx="0">
                  <c:v>金额（万元）</c:v>
                </c:pt>
              </c:strCache>
            </c:strRef>
          </c:cat>
          <c:val>
            <c:numRef>
              <c:f>[图表.xls]Sheet1!$B$5</c:f>
              <c:numCache>
                <c:formatCode>General</c:formatCode>
                <c:ptCount val="1"/>
                <c:pt idx="0">
                  <c:v>989.39</c:v>
                </c:pt>
              </c:numCache>
            </c:numRef>
          </c:val>
        </c:ser>
        <c:dLbls>
          <c:showLegendKey val="false"/>
          <c:showVal val="true"/>
          <c:showCatName val="false"/>
          <c:showSerName val="false"/>
          <c:showPercent val="false"/>
          <c:showBubbleSize val="false"/>
        </c:dLbls>
        <c:gapWidth val="150"/>
        <c:overlap val="0"/>
        <c:axId val="601938895"/>
        <c:axId val="337433091"/>
      </c:barChart>
      <c:catAx>
        <c:axId val="601938895"/>
        <c:scaling>
          <c:orientation val="minMax"/>
        </c:scaling>
        <c:delete val="false"/>
        <c:axPos val="b"/>
        <c:majorTickMark val="in"/>
        <c:minorTickMark val="none"/>
        <c:tickLblPos val="nextTo"/>
        <c:spPr>
          <a:ln w="3175" cap="flat" cmpd="sng" algn="ctr">
            <a:solidFill>
              <a:srgbClr val="000000"/>
            </a:solidFill>
            <a:prstDash val="solid"/>
            <a:round/>
          </a:ln>
        </c:spPr>
        <c:txPr>
          <a:bodyPr rot="-60000000" spcFirstLastPara="0" vertOverflow="ellipsis" vert="horz" wrap="square" anchor="ctr" anchorCtr="true"/>
          <a:lstStyle/>
          <a:p>
            <a:pPr>
              <a:defRPr lang="zh-CN" sz="925" b="0" i="0" u="none" strike="noStrike" kern="1200" baseline="0">
                <a:solidFill>
                  <a:srgbClr val="000000"/>
                </a:solidFill>
                <a:latin typeface="宋体" charset="-122"/>
                <a:ea typeface="宋体" charset="-122"/>
                <a:cs typeface="宋体" charset="-122"/>
              </a:defRPr>
            </a:pPr>
          </a:p>
        </c:txPr>
        <c:crossAx val="337433091"/>
        <c:crosses val="autoZero"/>
        <c:auto val="true"/>
        <c:lblAlgn val="ctr"/>
        <c:lblOffset val="100"/>
        <c:noMultiLvlLbl val="false"/>
      </c:catAx>
      <c:valAx>
        <c:axId val="337433091"/>
        <c:scaling>
          <c:orientation val="minMax"/>
        </c:scaling>
        <c:delete val="false"/>
        <c:axPos val="l"/>
        <c:majorGridlines>
          <c:spPr>
            <a:ln w="3175" cap="flat" cmpd="sng" algn="ctr">
              <a:solidFill>
                <a:srgbClr val="000000">
                  <a:alpha val="100000"/>
                </a:srgbClr>
              </a:solidFill>
              <a:prstDash val="solid"/>
              <a:round/>
            </a:ln>
          </c:spPr>
        </c:majorGridlines>
        <c:numFmt formatCode="General" sourceLinked="true"/>
        <c:majorTickMark val="in"/>
        <c:minorTickMark val="none"/>
        <c:tickLblPos val="nextTo"/>
        <c:spPr>
          <a:ln w="3175" cap="flat" cmpd="sng" algn="ctr">
            <a:solidFill>
              <a:srgbClr val="000000"/>
            </a:solidFill>
            <a:prstDash val="solid"/>
            <a:round/>
          </a:ln>
        </c:spPr>
        <c:txPr>
          <a:bodyPr rot="-60000000" spcFirstLastPara="0" vertOverflow="ellipsis" vert="horz" wrap="square" anchor="ctr" anchorCtr="true"/>
          <a:lstStyle/>
          <a:p>
            <a:pPr>
              <a:defRPr lang="zh-CN" sz="925" b="0" i="0" u="none" strike="noStrike" kern="1200" baseline="0">
                <a:solidFill>
                  <a:srgbClr val="000000"/>
                </a:solidFill>
                <a:latin typeface="宋体" charset="-122"/>
                <a:ea typeface="宋体" charset="-122"/>
                <a:cs typeface="宋体" charset="-122"/>
              </a:defRPr>
            </a:pPr>
          </a:p>
        </c:txPr>
        <c:crossAx val="601938895"/>
        <c:crosses val="autoZero"/>
        <c:crossBetween val="between"/>
      </c:valAx>
      <c:spPr>
        <a:solidFill>
          <a:srgbClr val="C0C0C0">
            <a:alpha val="100000"/>
          </a:srgbClr>
        </a:solidFill>
        <a:ln w="12700">
          <a:solidFill>
            <a:srgbClr val="808080">
              <a:alpha val="100000"/>
            </a:srgbClr>
          </a:solidFill>
          <a:prstDash val="solid"/>
        </a:ln>
      </c:spPr>
    </c:plotArea>
    <c:legend>
      <c:legendPos val="r"/>
      <c:layout>
        <c:manualLayout>
          <c:xMode val="edge"/>
          <c:yMode val="edge"/>
          <c:x val="0.8805"/>
          <c:y val="0.559"/>
          <c:w val="0.1115"/>
          <c:h val="0.118"/>
        </c:manualLayout>
      </c:layout>
      <c:overlay val="false"/>
      <c:spPr>
        <a:solidFill>
          <a:srgbClr val="FFFFFF"/>
        </a:solidFill>
        <a:ln>
          <a:solidFill>
            <a:srgbClr val="000000"/>
          </a:solidFill>
        </a:ln>
      </c:spPr>
      <c:txPr>
        <a:bodyPr rot="0" spcFirstLastPara="0" vertOverflow="ellipsis" vert="horz" wrap="square" anchor="ctr" anchorCtr="true"/>
        <a:lstStyle/>
        <a:p>
          <a:pPr>
            <a:defRPr lang="zh-CN" sz="925" b="0" i="0" u="none" strike="noStrike" kern="1200" baseline="0">
              <a:solidFill>
                <a:srgbClr val="000000"/>
              </a:solidFill>
              <a:latin typeface="宋体" charset="-122"/>
              <a:ea typeface="宋体" charset="-122"/>
              <a:cs typeface="宋体" charset="-122"/>
            </a:defRPr>
          </a:pPr>
        </a:p>
      </c:txPr>
    </c:legend>
    <c:plotVisOnly val="true"/>
    <c:dispBlanksAs val="gap"/>
    <c:showDLblsOverMax val="false"/>
  </c:chart>
  <c:spPr>
    <a:solidFill>
      <a:srgbClr val="FFFFFF"/>
    </a:solidFill>
    <a:ln w="3175" cap="flat" cmpd="sng" algn="ctr">
      <a:solidFill>
        <a:srgbClr val="000000">
          <a:alpha val="100000"/>
        </a:srgbClr>
      </a:solidFill>
      <a:prstDash val="solid"/>
      <a:round/>
    </a:ln>
  </c:spPr>
  <c:txPr>
    <a:bodyPr rot="0" wrap="square" anchor="ctr" anchorCtr="true"/>
    <a:lstStyle/>
    <a:p>
      <a:pPr>
        <a:defRPr lang="zh-CN" sz="925" b="0" i="0" u="none" strike="noStrike" baseline="0">
          <a:solidFill>
            <a:srgbClr val="000000"/>
          </a:solidFill>
          <a:latin typeface="宋体" charset="-122"/>
          <a:ea typeface="宋体" charset="-122"/>
          <a:cs typeface="宋体" charset="-122"/>
        </a:defRPr>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800" b="0" i="0" u="none" strike="noStrike" kern="1200" baseline="0">
                <a:solidFill>
                  <a:srgbClr val="000000"/>
                </a:solidFill>
                <a:latin typeface="方正大标宋简体" panose="03000509000000000000" pitchFamily="4" charset="-122"/>
                <a:ea typeface="方正大标宋简体" panose="03000509000000000000" pitchFamily="4" charset="-122"/>
                <a:cs typeface="方正大标宋简体" panose="03000509000000000000" pitchFamily="4" charset="-122"/>
              </a:defRPr>
            </a:pPr>
            <a:r>
              <a:t>2019年-2020一般公共预算财政拨款支出决算变动情况</a:t>
            </a:r>
            <a:endParaRPr sz="1800" b="0" i="0" u="none" strike="noStrike" baseline="0">
              <a:solidFill>
                <a:srgbClr val="000000"/>
              </a:solidFill>
              <a:latin typeface="方正大标宋简体" panose="03000509000000000000" pitchFamily="4" charset="-122"/>
              <a:ea typeface="方正大标宋简体" panose="03000509000000000000" pitchFamily="4" charset="-122"/>
              <a:cs typeface="方正大标宋简体" panose="03000509000000000000" pitchFamily="4" charset="-122"/>
            </a:endParaRPr>
          </a:p>
        </c:rich>
      </c:tx>
      <c:layout/>
      <c:overlay val="false"/>
    </c:title>
    <c:autoTitleDeleted val="false"/>
    <c:plotArea>
      <c:layout/>
      <c:barChart>
        <c:barDir val="col"/>
        <c:grouping val="clustered"/>
        <c:varyColors val="false"/>
        <c:ser>
          <c:idx val="0"/>
          <c:order val="0"/>
          <c:tx>
            <c:strRef>
              <c:f>[图表.xls]Sheet1!$A$4</c:f>
              <c:strCache>
                <c:ptCount val="1"/>
                <c:pt idx="0">
                  <c:v>2020</c:v>
                </c:pt>
              </c:strCache>
            </c:strRef>
          </c:tx>
          <c:spPr>
            <a:solidFill>
              <a:srgbClr val="9999FF"/>
            </a:solidFill>
            <a:ln w="12700">
              <a:solidFill>
                <a:srgbClr val="000000"/>
              </a:solidFill>
            </a:ln>
          </c:spPr>
          <c:invertIfNegative val="false"/>
          <c:dLbls>
            <c:numFmt formatCode="General" sourceLinked="true"/>
            <c:spPr>
              <a:noFill/>
              <a:ln>
                <a:noFill/>
              </a:ln>
              <a:effectLst/>
            </c:spPr>
            <c:txPr>
              <a:bodyPr rot="0" spcFirstLastPara="0" vertOverflow="ellipsis" vert="horz" wrap="square" lIns="38100" tIns="19050" rIns="38100" bIns="19050" anchor="ctr" anchorCtr="true"/>
              <a:lstStyle/>
              <a:p>
                <a:pPr>
                  <a:defRPr lang="zh-CN" sz="925" b="0" i="0" u="none" strike="noStrike" kern="1200" baseline="0">
                    <a:solidFill>
                      <a:srgbClr val="000000"/>
                    </a:solidFill>
                    <a:latin typeface="宋体" charset="-122"/>
                    <a:ea typeface="宋体" charset="-122"/>
                    <a:cs typeface="宋体" charset="-122"/>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[图表.xls]Sheet1!$B$3</c:f>
              <c:strCache>
                <c:ptCount val="1"/>
                <c:pt idx="0">
                  <c:v>金额（万元）</c:v>
                </c:pt>
              </c:strCache>
            </c:strRef>
          </c:cat>
          <c:val>
            <c:numRef>
              <c:f>[图表.xls]Sheet1!$B$4</c:f>
              <c:numCache>
                <c:formatCode>General</c:formatCode>
                <c:ptCount val="1"/>
                <c:pt idx="0">
                  <c:v>870.99</c:v>
                </c:pt>
              </c:numCache>
            </c:numRef>
          </c:val>
        </c:ser>
        <c:ser>
          <c:idx val="1"/>
          <c:order val="1"/>
          <c:tx>
            <c:strRef>
              <c:f>[图表.xls]Sheet1!$A$5</c:f>
              <c:strCache>
                <c:ptCount val="1"/>
                <c:pt idx="0">
                  <c:v>2019</c:v>
                </c:pt>
              </c:strCache>
            </c:strRef>
          </c:tx>
          <c:spPr>
            <a:solidFill>
              <a:srgbClr val="993366"/>
            </a:solidFill>
            <a:ln w="12700">
              <a:solidFill>
                <a:srgbClr val="000000"/>
              </a:solidFill>
            </a:ln>
          </c:spPr>
          <c:invertIfNegative val="false"/>
          <c:dLbls>
            <c:numFmt formatCode="General" sourceLinked="true"/>
            <c:spPr>
              <a:noFill/>
              <a:ln>
                <a:noFill/>
              </a:ln>
              <a:effectLst/>
            </c:spPr>
            <c:txPr>
              <a:bodyPr rot="0" spcFirstLastPara="0" vertOverflow="ellipsis" vert="horz" wrap="square" lIns="38100" tIns="19050" rIns="38100" bIns="19050" anchor="ctr" anchorCtr="true"/>
              <a:lstStyle/>
              <a:p>
                <a:pPr>
                  <a:defRPr lang="zh-CN" sz="925" b="0" i="0" u="none" strike="noStrike" kern="1200" baseline="0">
                    <a:solidFill>
                      <a:srgbClr val="000000"/>
                    </a:solidFill>
                    <a:latin typeface="宋体" charset="-122"/>
                    <a:ea typeface="宋体" charset="-122"/>
                    <a:cs typeface="宋体" charset="-122"/>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[图表.xls]Sheet1!$B$3</c:f>
              <c:strCache>
                <c:ptCount val="1"/>
                <c:pt idx="0">
                  <c:v>金额（万元）</c:v>
                </c:pt>
              </c:strCache>
            </c:strRef>
          </c:cat>
          <c:val>
            <c:numRef>
              <c:f>[图表.xls]Sheet1!$B$5</c:f>
              <c:numCache>
                <c:formatCode>General</c:formatCode>
                <c:ptCount val="1"/>
                <c:pt idx="0">
                  <c:v>963.16</c:v>
                </c:pt>
              </c:numCache>
            </c:numRef>
          </c:val>
        </c:ser>
        <c:dLbls>
          <c:showLegendKey val="false"/>
          <c:showVal val="true"/>
          <c:showCatName val="false"/>
          <c:showSerName val="false"/>
          <c:showPercent val="false"/>
          <c:showBubbleSize val="false"/>
        </c:dLbls>
        <c:gapWidth val="150"/>
        <c:overlap val="0"/>
        <c:axId val="601938895"/>
        <c:axId val="337433091"/>
      </c:barChart>
      <c:catAx>
        <c:axId val="601938895"/>
        <c:scaling>
          <c:orientation val="minMax"/>
        </c:scaling>
        <c:delete val="false"/>
        <c:axPos val="b"/>
        <c:majorTickMark val="in"/>
        <c:minorTickMark val="none"/>
        <c:tickLblPos val="nextTo"/>
        <c:spPr>
          <a:ln w="3175" cap="flat" cmpd="sng" algn="ctr">
            <a:solidFill>
              <a:srgbClr val="000000"/>
            </a:solidFill>
            <a:prstDash val="solid"/>
            <a:round/>
          </a:ln>
        </c:spPr>
        <c:txPr>
          <a:bodyPr rot="-60000000" spcFirstLastPara="0" vertOverflow="ellipsis" vert="horz" wrap="square" anchor="ctr" anchorCtr="true"/>
          <a:lstStyle/>
          <a:p>
            <a:pPr>
              <a:defRPr lang="zh-CN" sz="925" b="0" i="0" u="none" strike="noStrike" kern="1200" baseline="0">
                <a:solidFill>
                  <a:srgbClr val="000000"/>
                </a:solidFill>
                <a:latin typeface="宋体" charset="-122"/>
                <a:ea typeface="宋体" charset="-122"/>
                <a:cs typeface="宋体" charset="-122"/>
              </a:defRPr>
            </a:pPr>
          </a:p>
        </c:txPr>
        <c:crossAx val="337433091"/>
        <c:crosses val="autoZero"/>
        <c:auto val="true"/>
        <c:lblAlgn val="ctr"/>
        <c:lblOffset val="100"/>
        <c:noMultiLvlLbl val="false"/>
      </c:catAx>
      <c:valAx>
        <c:axId val="337433091"/>
        <c:scaling>
          <c:orientation val="minMax"/>
        </c:scaling>
        <c:delete val="false"/>
        <c:axPos val="l"/>
        <c:majorGridlines>
          <c:spPr>
            <a:ln w="3175" cap="flat" cmpd="sng" algn="ctr">
              <a:solidFill>
                <a:srgbClr val="000000">
                  <a:alpha val="100000"/>
                </a:srgbClr>
              </a:solidFill>
              <a:prstDash val="solid"/>
              <a:round/>
            </a:ln>
          </c:spPr>
        </c:majorGridlines>
        <c:numFmt formatCode="General" sourceLinked="true"/>
        <c:majorTickMark val="in"/>
        <c:minorTickMark val="none"/>
        <c:tickLblPos val="nextTo"/>
        <c:spPr>
          <a:ln w="3175" cap="flat" cmpd="sng" algn="ctr">
            <a:solidFill>
              <a:srgbClr val="000000"/>
            </a:solidFill>
            <a:prstDash val="solid"/>
            <a:round/>
          </a:ln>
        </c:spPr>
        <c:txPr>
          <a:bodyPr rot="-60000000" spcFirstLastPara="0" vertOverflow="ellipsis" vert="horz" wrap="square" anchor="ctr" anchorCtr="true"/>
          <a:lstStyle/>
          <a:p>
            <a:pPr>
              <a:defRPr lang="zh-CN" sz="925" b="0" i="0" u="none" strike="noStrike" kern="1200" baseline="0">
                <a:solidFill>
                  <a:srgbClr val="000000"/>
                </a:solidFill>
                <a:latin typeface="宋体" charset="-122"/>
                <a:ea typeface="宋体" charset="-122"/>
                <a:cs typeface="宋体" charset="-122"/>
              </a:defRPr>
            </a:pPr>
          </a:p>
        </c:txPr>
        <c:crossAx val="601938895"/>
        <c:crosses val="autoZero"/>
        <c:crossBetween val="between"/>
      </c:valAx>
      <c:spPr>
        <a:solidFill>
          <a:srgbClr val="C0C0C0">
            <a:alpha val="100000"/>
          </a:srgbClr>
        </a:solidFill>
        <a:ln w="12700">
          <a:solidFill>
            <a:srgbClr val="808080">
              <a:alpha val="100000"/>
            </a:srgbClr>
          </a:solidFill>
          <a:prstDash val="solid"/>
        </a:ln>
      </c:spPr>
    </c:plotArea>
    <c:legend>
      <c:legendPos val="r"/>
      <c:layout>
        <c:manualLayout>
          <c:xMode val="edge"/>
          <c:yMode val="edge"/>
          <c:x val="0.8805"/>
          <c:y val="0.559"/>
          <c:w val="0.1115"/>
          <c:h val="0.118"/>
        </c:manualLayout>
      </c:layout>
      <c:overlay val="false"/>
      <c:spPr>
        <a:solidFill>
          <a:srgbClr val="FFFFFF"/>
        </a:solidFill>
        <a:ln>
          <a:solidFill>
            <a:srgbClr val="000000"/>
          </a:solidFill>
        </a:ln>
      </c:spPr>
      <c:txPr>
        <a:bodyPr rot="0" spcFirstLastPara="0" vertOverflow="ellipsis" vert="horz" wrap="square" anchor="ctr" anchorCtr="true"/>
        <a:lstStyle/>
        <a:p>
          <a:pPr>
            <a:defRPr lang="zh-CN" sz="925" b="0" i="0" u="none" strike="noStrike" kern="1200" baseline="0">
              <a:solidFill>
                <a:srgbClr val="000000"/>
              </a:solidFill>
              <a:latin typeface="宋体" charset="-122"/>
              <a:ea typeface="宋体" charset="-122"/>
              <a:cs typeface="宋体" charset="-122"/>
            </a:defRPr>
          </a:pPr>
        </a:p>
      </c:txPr>
    </c:legend>
    <c:plotVisOnly val="true"/>
    <c:dispBlanksAs val="gap"/>
    <c:showDLblsOverMax val="false"/>
  </c:chart>
  <c:spPr>
    <a:solidFill>
      <a:srgbClr val="FFFFFF"/>
    </a:solidFill>
    <a:ln w="3175" cap="flat" cmpd="sng" algn="ctr">
      <a:solidFill>
        <a:srgbClr val="000000">
          <a:alpha val="100000"/>
        </a:srgbClr>
      </a:solidFill>
      <a:prstDash val="solid"/>
      <a:round/>
    </a:ln>
  </c:spPr>
  <c:txPr>
    <a:bodyPr rot="0" wrap="square" anchor="ctr" anchorCtr="true"/>
    <a:lstStyle/>
    <a:p>
      <a:pPr>
        <a:defRPr lang="zh-CN" sz="925" b="0" i="0" u="none" strike="noStrike" baseline="0">
          <a:solidFill>
            <a:srgbClr val="000000"/>
          </a:solidFill>
          <a:latin typeface="宋体" charset="-122"/>
          <a:ea typeface="宋体" charset="-122"/>
          <a:cs typeface="宋体" charset="-122"/>
        </a:defRPr>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800" b="0" i="0" u="none" strike="noStrike" kern="1200" baseline="0">
                <a:solidFill>
                  <a:srgbClr val="000000"/>
                </a:solidFill>
                <a:latin typeface="方正大标宋简体" panose="03000509000000000000" pitchFamily="4" charset="-122"/>
                <a:ea typeface="方正大标宋简体" panose="03000509000000000000" pitchFamily="4" charset="-122"/>
                <a:cs typeface="方正大标宋简体" panose="03000509000000000000" pitchFamily="4" charset="-122"/>
              </a:defRPr>
            </a:pPr>
            <a:r>
              <a:t>2020年一般公共预算财政拨款支出决算结构图</a:t>
            </a:r>
            <a:endParaRPr sz="1800" b="0" i="0" u="none" strike="noStrike" baseline="0">
              <a:solidFill>
                <a:srgbClr val="000000"/>
              </a:solidFill>
              <a:latin typeface="方正大标宋简体" panose="03000509000000000000" pitchFamily="4" charset="-122"/>
              <a:ea typeface="方正大标宋简体" panose="03000509000000000000" pitchFamily="4" charset="-122"/>
              <a:cs typeface="方正大标宋简体" panose="03000509000000000000" pitchFamily="4" charset="-122"/>
            </a:endParaRPr>
          </a:p>
        </c:rich>
      </c:tx>
      <c:layout/>
      <c:overlay val="false"/>
    </c:title>
    <c:autoTitleDeleted val="false"/>
    <c:plotArea>
      <c:layout/>
      <c:pieChart>
        <c:varyColors val="true"/>
        <c:ser>
          <c:idx val="0"/>
          <c:order val="0"/>
          <c:spPr>
            <a:solidFill>
              <a:srgbClr val="9999FF"/>
            </a:solidFill>
            <a:ln w="12700">
              <a:solidFill>
                <a:srgbClr val="000000"/>
              </a:solidFill>
              <a:prstDash val="solid"/>
            </a:ln>
          </c:spPr>
          <c:explosion val="0"/>
          <c:dPt>
            <c:idx val="0"/>
            <c:bubble3D val="false"/>
            <c:spPr>
              <a:solidFill>
                <a:srgbClr val="9999FF"/>
              </a:solidFill>
              <a:ln w="12700">
                <a:solidFill>
                  <a:srgbClr val="000000"/>
                </a:solidFill>
                <a:prstDash val="solid"/>
              </a:ln>
              <a:effectLst/>
            </c:spPr>
          </c:dPt>
          <c:dPt>
            <c:idx val="1"/>
            <c:bubble3D val="false"/>
            <c:spPr>
              <a:solidFill>
                <a:srgbClr val="993366"/>
              </a:solidFill>
              <a:ln w="12700">
                <a:solidFill>
                  <a:srgbClr val="000000"/>
                </a:solidFill>
                <a:prstDash val="solid"/>
              </a:ln>
              <a:effectLst/>
            </c:spPr>
          </c:dPt>
          <c:dPt>
            <c:idx val="2"/>
            <c:bubble3D val="false"/>
            <c:spPr>
              <a:solidFill>
                <a:srgbClr val="FFFFCC"/>
              </a:solidFill>
              <a:ln w="12700">
                <a:solidFill>
                  <a:srgbClr val="000000"/>
                </a:solidFill>
                <a:prstDash val="solid"/>
              </a:ln>
              <a:effectLst/>
            </c:spPr>
          </c:dPt>
          <c:dPt>
            <c:idx val="3"/>
            <c:bubble3D val="false"/>
            <c:spPr>
              <a:solidFill>
                <a:srgbClr val="9999FF"/>
              </a:solidFill>
              <a:ln w="12700">
                <a:solidFill>
                  <a:srgbClr val="000000"/>
                </a:solidFill>
                <a:prstDash val="solid"/>
              </a:ln>
            </c:spPr>
          </c:dPt>
          <c:dLbls>
            <c:numFmt formatCode="General" sourceLinked="true"/>
            <c:spPr>
              <a:noFill/>
              <a:ln>
                <a:noFill/>
              </a:ln>
              <a:effectLst/>
            </c:spPr>
            <c:txPr>
              <a:bodyPr rot="0" spcFirstLastPara="0" vertOverflow="ellipsis" vert="horz" wrap="square" lIns="38100" tIns="19050" rIns="38100" bIns="19050" anchor="ctr" anchorCtr="true"/>
              <a:lstStyle/>
              <a:p>
                <a:pPr>
                  <a:defRPr lang="zh-CN" sz="925" b="0" i="0" u="none" strike="noStrike" kern="1200" baseline="0">
                    <a:solidFill>
                      <a:srgbClr val="000000"/>
                    </a:solidFill>
                    <a:latin typeface="宋体" charset="-122"/>
                    <a:ea typeface="宋体" charset="-122"/>
                    <a:cs typeface="宋体" charset="-122"/>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[图表.xls]Sheet1!$A$4:$A$7</c:f>
              <c:strCache>
                <c:ptCount val="4"/>
                <c:pt idx="0">
                  <c:v>一般公共服务</c:v>
                </c:pt>
                <c:pt idx="1">
                  <c:v>社会保障和就业</c:v>
                </c:pt>
                <c:pt idx="2">
                  <c:v>卫生健康支出</c:v>
                </c:pt>
                <c:pt idx="3">
                  <c:v>住房保障支出</c:v>
                </c:pt>
              </c:strCache>
            </c:strRef>
          </c:cat>
          <c:val>
            <c:numRef>
              <c:f>[图表.xls]Sheet1!$B$4:$B$7</c:f>
              <c:numCache>
                <c:formatCode>General</c:formatCode>
                <c:ptCount val="4"/>
                <c:pt idx="0">
                  <c:v>741.75</c:v>
                </c:pt>
                <c:pt idx="1">
                  <c:v>58.95</c:v>
                </c:pt>
                <c:pt idx="2">
                  <c:v>24.9</c:v>
                </c:pt>
                <c:pt idx="3">
                  <c:v>45.38</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r"/>
      <c:layout>
        <c:manualLayout>
          <c:xMode val="edge"/>
          <c:yMode val="edge"/>
          <c:x val="0.79296875"/>
          <c:y val="0.558986539984165"/>
          <c:w val="0.197135416666667"/>
          <c:h val="0.419635787806809"/>
        </c:manualLayout>
      </c:layout>
      <c:overlay val="false"/>
      <c:txPr>
        <a:bodyPr rot="0" spcFirstLastPara="0" vertOverflow="ellipsis" vert="horz" wrap="square" anchor="ctr" anchorCtr="true"/>
        <a:lstStyle/>
        <a:p>
          <a:pPr>
            <a:defRPr lang="zh-CN" sz="925" b="0" i="0" u="none" strike="noStrike" kern="1200" baseline="0">
              <a:solidFill>
                <a:srgbClr val="000000"/>
              </a:solidFill>
              <a:latin typeface="宋体" charset="-122"/>
              <a:ea typeface="宋体" charset="-122"/>
              <a:cs typeface="宋体" charset="-122"/>
            </a:defRPr>
          </a:pPr>
        </a:p>
      </c:txPr>
    </c:legend>
    <c:plotVisOnly val="true"/>
    <c:dispBlanksAs val="zero"/>
    <c:showDLblsOverMax val="false"/>
  </c:chart>
  <c:spPr>
    <a:solidFill>
      <a:srgbClr val="FFFFFF"/>
    </a:solidFill>
    <a:ln w="3175" cap="flat" cmpd="sng" algn="ctr">
      <a:solidFill>
        <a:srgbClr val="000000">
          <a:alpha val="100000"/>
        </a:srgbClr>
      </a:solidFill>
      <a:prstDash val="solid"/>
      <a:round/>
    </a:ln>
  </c:spPr>
  <c:txPr>
    <a:bodyPr rot="0" wrap="square" anchor="ctr" anchorCtr="true"/>
    <a:lstStyle/>
    <a:p>
      <a:pPr>
        <a:defRPr lang="zh-CN" sz="925" b="0" i="0" u="none" strike="noStrike" baseline="0">
          <a:solidFill>
            <a:srgbClr val="000000"/>
          </a:solidFill>
          <a:latin typeface="宋体" charset="-122"/>
          <a:ea typeface="宋体" charset="-122"/>
          <a:cs typeface="宋体" charset="-122"/>
        </a:defRPr>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800" b="0" i="0" u="none" strike="noStrike" kern="1200" baseline="0">
                <a:solidFill>
                  <a:srgbClr val="000000"/>
                </a:solidFill>
                <a:latin typeface="方正大标宋简体" panose="03000509000000000000" pitchFamily="4" charset="-122"/>
                <a:ea typeface="方正大标宋简体" panose="03000509000000000000" pitchFamily="4" charset="-122"/>
                <a:cs typeface="方正大标宋简体" panose="03000509000000000000" pitchFamily="4" charset="-122"/>
              </a:defRPr>
            </a:pPr>
            <a:r>
              <a:t>2020年“三公”经费财政拨款支出结构图</a:t>
            </a:r>
            <a:endParaRPr sz="1800" b="0" i="0" u="none" strike="noStrike" baseline="0">
              <a:solidFill>
                <a:srgbClr val="000000"/>
              </a:solidFill>
              <a:latin typeface="方正大标宋简体" panose="03000509000000000000" pitchFamily="4" charset="-122"/>
              <a:ea typeface="方正大标宋简体" panose="03000509000000000000" pitchFamily="4" charset="-122"/>
              <a:cs typeface="方正大标宋简体" panose="03000509000000000000" pitchFamily="4" charset="-122"/>
            </a:endParaRPr>
          </a:p>
        </c:rich>
      </c:tx>
      <c:layout/>
      <c:overlay val="false"/>
    </c:title>
    <c:autoTitleDeleted val="false"/>
    <c:plotArea>
      <c:layout/>
      <c:pieChart>
        <c:varyColors val="true"/>
        <c:ser>
          <c:idx val="0"/>
          <c:order val="0"/>
          <c:spPr>
            <a:solidFill>
              <a:srgbClr val="9999FF"/>
            </a:solidFill>
            <a:ln w="12700">
              <a:solidFill>
                <a:srgbClr val="000000"/>
              </a:solidFill>
              <a:prstDash val="solid"/>
            </a:ln>
          </c:spPr>
          <c:explosion val="0"/>
          <c:dPt>
            <c:idx val="0"/>
            <c:bubble3D val="false"/>
            <c:spPr>
              <a:solidFill>
                <a:srgbClr val="9999FF"/>
              </a:solidFill>
              <a:ln w="12700">
                <a:solidFill>
                  <a:srgbClr val="000000"/>
                </a:solidFill>
                <a:prstDash val="solid"/>
              </a:ln>
              <a:effectLst/>
            </c:spPr>
          </c:dPt>
          <c:dPt>
            <c:idx val="1"/>
            <c:bubble3D val="false"/>
            <c:spPr>
              <a:solidFill>
                <a:srgbClr val="993366"/>
              </a:solidFill>
              <a:ln w="12700">
                <a:solidFill>
                  <a:srgbClr val="000000"/>
                </a:solidFill>
                <a:prstDash val="solid"/>
              </a:ln>
              <a:effectLst/>
            </c:spPr>
          </c:dPt>
          <c:dPt>
            <c:idx val="2"/>
            <c:bubble3D val="false"/>
            <c:spPr>
              <a:solidFill>
                <a:srgbClr val="FFFFCC"/>
              </a:solidFill>
              <a:ln w="12700">
                <a:solidFill>
                  <a:srgbClr val="000000"/>
                </a:solidFill>
                <a:prstDash val="solid"/>
              </a:ln>
              <a:effectLst/>
            </c:spPr>
          </c:dPt>
          <c:dLbls>
            <c:numFmt formatCode="General" sourceLinked="true"/>
            <c:spPr>
              <a:noFill/>
              <a:ln>
                <a:noFill/>
              </a:ln>
              <a:effectLst/>
            </c:spPr>
            <c:txPr>
              <a:bodyPr rot="0" spcFirstLastPara="0" vertOverflow="ellipsis" vert="horz" wrap="square" lIns="38100" tIns="19050" rIns="38100" bIns="19050" anchor="ctr" anchorCtr="true"/>
              <a:lstStyle/>
              <a:p>
                <a:pPr>
                  <a:defRPr lang="zh-CN" sz="925" b="0" i="0" u="none" strike="noStrike" kern="1200" baseline="0">
                    <a:solidFill>
                      <a:srgbClr val="000000"/>
                    </a:solidFill>
                    <a:latin typeface="宋体" charset="-122"/>
                    <a:ea typeface="宋体" charset="-122"/>
                    <a:cs typeface="宋体" charset="-122"/>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[图表.xls]Sheet1!$A$4:$A$6</c:f>
              <c:strCache>
                <c:ptCount val="3"/>
                <c:pt idx="0">
                  <c:v>公务接待</c:v>
                </c:pt>
                <c:pt idx="1">
                  <c:v>2019年</c:v>
                </c:pt>
                <c:pt idx="2">
                  <c:v>因公出国（境）费用</c:v>
                </c:pt>
              </c:strCache>
            </c:strRef>
          </c:cat>
          <c:val>
            <c:numRef>
              <c:f>[图表.xls]Sheet1!$B$4:$B$6</c:f>
              <c:numCache>
                <c:formatCode>General</c:formatCode>
                <c:ptCount val="3"/>
                <c:pt idx="0">
                  <c:v>7.13</c:v>
                </c:pt>
                <c:pt idx="1">
                  <c:v>6.93</c:v>
                </c:pt>
                <c:pt idx="2">
                  <c:v>0</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r"/>
      <c:layout>
        <c:manualLayout>
          <c:xMode val="edge"/>
          <c:yMode val="edge"/>
          <c:x val="0.79296875"/>
          <c:y val="0.558922558922559"/>
          <c:w val="0.197135416666667"/>
          <c:h val="0.269360269360269"/>
        </c:manualLayout>
      </c:layout>
      <c:overlay val="false"/>
      <c:spPr>
        <a:solidFill>
          <a:srgbClr val="FFFFFF"/>
        </a:solidFill>
        <a:ln>
          <a:solidFill>
            <a:srgbClr val="000000"/>
          </a:solidFill>
        </a:ln>
      </c:spPr>
      <c:txPr>
        <a:bodyPr rot="0" spcFirstLastPara="0" vertOverflow="ellipsis" vert="horz" wrap="square" anchor="ctr" anchorCtr="true"/>
        <a:lstStyle/>
        <a:p>
          <a:pPr>
            <a:defRPr lang="zh-CN" sz="925" b="0" i="0" u="none" strike="noStrike" kern="1200" baseline="0">
              <a:solidFill>
                <a:srgbClr val="000000"/>
              </a:solidFill>
              <a:latin typeface="宋体" charset="-122"/>
              <a:ea typeface="宋体" charset="-122"/>
              <a:cs typeface="宋体" charset="-122"/>
            </a:defRPr>
          </a:pPr>
        </a:p>
      </c:txPr>
    </c:legend>
    <c:plotVisOnly val="true"/>
    <c:dispBlanksAs val="zero"/>
    <c:showDLblsOverMax val="false"/>
  </c:chart>
  <c:spPr>
    <a:solidFill>
      <a:srgbClr val="FFFFFF"/>
    </a:solidFill>
    <a:ln w="3175" cap="flat" cmpd="sng" algn="ctr">
      <a:solidFill>
        <a:srgbClr val="000000">
          <a:alpha val="100000"/>
        </a:srgbClr>
      </a:solidFill>
      <a:prstDash val="solid"/>
      <a:round/>
    </a:ln>
  </c:spPr>
  <c:txPr>
    <a:bodyPr rot="0" wrap="square" anchor="ctr" anchorCtr="true"/>
    <a:lstStyle/>
    <a:p>
      <a:pPr>
        <a:defRPr lang="zh-CN" sz="925" b="0" i="0" u="none" strike="noStrike" baseline="0">
          <a:solidFill>
            <a:srgbClr val="000000"/>
          </a:solidFill>
          <a:latin typeface="宋体" charset="-122"/>
          <a:ea typeface="宋体" charset="-122"/>
          <a:cs typeface="宋体" charset="-122"/>
        </a:defRPr>
      </a:pPr>
    </a:p>
  </c:txPr>
  <c:externalData r:id="rId1">
    <c:autoUpdate val="false"/>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55</Pages>
  <Words>22081</Words>
  <Characters>23141</Characters>
  <Lines>171</Lines>
  <Paragraphs>48</Paragraphs>
  <TotalTime>2.33333333333333</TotalTime>
  <ScaleCrop>false</ScaleCrop>
  <LinksUpToDate>false</LinksUpToDate>
  <CharactersWithSpaces>23529</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2021-09-19T01:42:00Z</dcterms:created>
  <dc:creator>曹颖</dc:creator>
  <cp:lastModifiedBy>uos</cp:lastModifiedBy>
  <cp:lastPrinted>2021-09-19T07:59:00Z</cp:lastPrinted>
  <dcterms:modified xsi:type="dcterms:W3CDTF">2022-09-06T10:34:50Z</dcterms:modified>
  <dc:title>四川省***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B36906990A0E4533AA5D1F2DB772BBB8</vt:lpwstr>
  </property>
</Properties>
</file>