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rPr>
          <w:rFonts w:ascii="方正小标宋简体" w:hAnsi="宋体" w:eastAsia="方正小标宋简体"/>
          <w:sz w:val="72"/>
          <w:szCs w:val="72"/>
        </w:rPr>
      </w:pPr>
      <w:bookmarkStart w:id="1" w:name="_Toc15396475"/>
      <w:bookmarkStart w:id="2" w:name="_Toc15378441"/>
      <w:bookmarkStart w:id="3" w:name="_Toc15396597"/>
      <w:bookmarkStart w:id="4" w:name="_Toc15377193"/>
      <w:bookmarkStart w:id="5" w:name="_Toc15377425"/>
      <w:r>
        <w:rPr>
          <w:rFonts w:ascii="黑体" w:hAnsi="黑体" w:eastAsia="黑体"/>
          <w:sz w:val="72"/>
          <w:szCs w:val="72"/>
        </w:rPr>
        <w:t>20</w:t>
      </w:r>
      <w:r>
        <w:rPr>
          <w:rFonts w:hint="eastAsia" w:ascii="黑体" w:hAnsi="黑体" w:eastAsia="黑体"/>
          <w:sz w:val="72"/>
          <w:szCs w:val="72"/>
        </w:rPr>
        <w:t>20</w:t>
      </w:r>
      <w:r>
        <w:rPr>
          <w:rFonts w:hint="eastAsia" w:ascii="方正小标宋简体" w:hAnsi="宋体" w:eastAsia="方正小标宋简体"/>
          <w:sz w:val="72"/>
          <w:szCs w:val="72"/>
        </w:rPr>
        <w:t>年度</w:t>
      </w:r>
      <w:bookmarkEnd w:id="1"/>
      <w:bookmarkEnd w:id="2"/>
      <w:bookmarkEnd w:id="3"/>
      <w:bookmarkEnd w:id="4"/>
      <w:bookmarkEnd w:id="5"/>
    </w:p>
    <w:p>
      <w:pPr>
        <w:widowControl/>
        <w:jc w:val="center"/>
        <w:rPr>
          <w:rFonts w:ascii="方正小标宋简体" w:hAnsi="宋体" w:eastAsia="方正小标宋简体"/>
          <w:sz w:val="72"/>
          <w:szCs w:val="72"/>
        </w:rPr>
      </w:pPr>
      <w:bookmarkStart w:id="6" w:name="_Toc15378442"/>
      <w:bookmarkStart w:id="7" w:name="_Toc15396598"/>
      <w:bookmarkStart w:id="8" w:name="_Toc15396476"/>
      <w:bookmarkStart w:id="9" w:name="_Toc15377426"/>
      <w:bookmarkStart w:id="10" w:name="_Toc15377194"/>
      <w:r>
        <w:rPr>
          <w:rFonts w:hint="eastAsia" w:ascii="方正小标宋简体" w:hAnsi="宋体" w:eastAsia="方正小标宋简体"/>
          <w:sz w:val="72"/>
          <w:szCs w:val="72"/>
        </w:rPr>
        <w:t>广元市</w:t>
      </w:r>
      <w:bookmarkEnd w:id="0"/>
      <w:bookmarkStart w:id="11" w:name="_Toc15306268"/>
      <w:r>
        <w:rPr>
          <w:rFonts w:hint="eastAsia" w:ascii="方正小标宋简体" w:hAnsi="宋体" w:eastAsia="方正小标宋简体"/>
          <w:sz w:val="72"/>
          <w:szCs w:val="72"/>
        </w:rPr>
        <w:t>财政评审中心</w:t>
      </w:r>
    </w:p>
    <w:p>
      <w:pPr>
        <w:widowControl/>
        <w:jc w:val="center"/>
        <w:rPr>
          <w:rFonts w:ascii="方正小标宋简体" w:hAnsi="宋体" w:eastAsia="方正小标宋简体"/>
          <w:sz w:val="72"/>
          <w:szCs w:val="72"/>
        </w:rPr>
        <w:sectPr>
          <w:headerReference r:id="rId3" w:type="default"/>
          <w:pgSz w:w="11906" w:h="16838"/>
          <w:pgMar w:top="1440" w:right="1800" w:bottom="1440" w:left="1800" w:header="851" w:footer="992" w:gutter="0"/>
          <w:pgNumType w:fmt="upperRoman"/>
          <w:cols w:space="425" w:num="1"/>
          <w:docGrid w:type="lines" w:linePitch="312" w:charSpace="0"/>
        </w:sectPr>
      </w:pPr>
      <w:r>
        <w:rPr>
          <w:rFonts w:hint="eastAsia" w:ascii="方正小标宋简体" w:hAnsi="宋体" w:eastAsia="方正小标宋简体"/>
          <w:sz w:val="72"/>
          <w:szCs w:val="72"/>
        </w:rPr>
        <w:t>部门决算</w:t>
      </w:r>
      <w:bookmarkEnd w:id="6"/>
      <w:bookmarkEnd w:id="7"/>
      <w:bookmarkEnd w:id="8"/>
      <w:bookmarkEnd w:id="9"/>
      <w:bookmarkEnd w:id="10"/>
      <w:bookmarkEnd w:id="11"/>
    </w:p>
    <w:p>
      <w:pPr>
        <w:spacing w:line="600" w:lineRule="exact"/>
        <w:jc w:val="center"/>
        <w:rPr>
          <w:rFonts w:ascii="黑体" w:hAnsi="黑体" w:eastAsia="黑体"/>
          <w:bCs/>
          <w:sz w:val="36"/>
          <w:szCs w:val="36"/>
        </w:rPr>
      </w:pPr>
      <w:r>
        <w:rPr>
          <w:rFonts w:hint="eastAsia" w:ascii="黑体" w:hAnsi="黑体" w:eastAsia="黑体"/>
          <w:bCs/>
          <w:sz w:val="36"/>
          <w:szCs w:val="36"/>
        </w:rPr>
        <w:t>目录</w:t>
      </w:r>
    </w:p>
    <w:sdt>
      <w:sdtPr>
        <w:rPr>
          <w:rFonts w:ascii="宋体" w:hAnsi="宋体"/>
        </w:rPr>
        <w:id w:val="147453662"/>
        <w:docPartObj>
          <w:docPartGallery w:val="Table of Contents"/>
          <w:docPartUnique/>
        </w:docPartObj>
      </w:sdtPr>
      <w:sdtEndPr>
        <w:rPr>
          <w:rFonts w:ascii="仿宋" w:hAnsi="仿宋" w:eastAsia="仿宋"/>
        </w:rPr>
      </w:sdtEndPr>
      <w:sdtContent>
        <w:p>
          <w:pPr>
            <w:jc w:val="center"/>
          </w:pPr>
        </w:p>
        <w:p>
          <w:pPr>
            <w:pStyle w:val="10"/>
            <w:tabs>
              <w:tab w:val="right" w:leader="dot" w:pos="8306"/>
            </w:tabs>
            <w:rPr>
              <w:rFonts w:hint="eastAsia" w:eastAsia="宋体"/>
              <w:lang w:val="en-US" w:eastAsia="zh-CN"/>
            </w:rPr>
          </w:pPr>
          <w:r>
            <w:rPr>
              <w:rFonts w:ascii="仿宋" w:hAnsi="仿宋" w:eastAsia="仿宋"/>
              <w:sz w:val="24"/>
            </w:rPr>
            <w:fldChar w:fldCharType="begin"/>
          </w:r>
          <w:r>
            <w:rPr>
              <w:rFonts w:ascii="仿宋" w:hAnsi="仿宋" w:eastAsia="仿宋"/>
              <w:sz w:val="24"/>
            </w:rPr>
            <w:instrText xml:space="preserve">TOC \o "1-3" \h \u </w:instrText>
          </w:r>
          <w:r>
            <w:rPr>
              <w:rFonts w:ascii="仿宋" w:hAnsi="仿宋" w:eastAsia="仿宋"/>
              <w:sz w:val="24"/>
            </w:rPr>
            <w:fldChar w:fldCharType="separate"/>
          </w:r>
          <w:r>
            <w:fldChar w:fldCharType="begin"/>
          </w:r>
          <w:r>
            <w:instrText xml:space="preserve"> HYPERLINK \l "_Toc28043" </w:instrText>
          </w:r>
          <w:r>
            <w:fldChar w:fldCharType="separate"/>
          </w:r>
          <w:r>
            <w:rPr>
              <w:rFonts w:hint="eastAsia" w:ascii="黑体" w:hAnsi="黑体" w:eastAsia="黑体"/>
              <w:bCs/>
              <w:szCs w:val="36"/>
            </w:rPr>
            <w:t>第一部分 单位概况</w:t>
          </w:r>
          <w:r>
            <w:tab/>
          </w:r>
          <w:r>
            <w:fldChar w:fldCharType="end"/>
          </w:r>
          <w:r>
            <w:rPr>
              <w:rFonts w:hint="eastAsia"/>
              <w:lang w:val="en-US" w:eastAsia="zh-CN"/>
            </w:rPr>
            <w:t>1</w:t>
          </w:r>
        </w:p>
        <w:p>
          <w:pPr>
            <w:pStyle w:val="10"/>
            <w:tabs>
              <w:tab w:val="right" w:leader="dot" w:pos="8306"/>
            </w:tabs>
            <w:rPr>
              <w:rFonts w:hint="eastAsia" w:eastAsia="宋体"/>
              <w:lang w:val="en-US" w:eastAsia="zh-CN"/>
            </w:rPr>
          </w:pPr>
          <w:r>
            <w:fldChar w:fldCharType="begin"/>
          </w:r>
          <w:r>
            <w:instrText xml:space="preserve"> HYPERLINK \l "_Toc15227" </w:instrText>
          </w:r>
          <w:r>
            <w:fldChar w:fldCharType="separate"/>
          </w:r>
          <w:r>
            <w:rPr>
              <w:rFonts w:hint="eastAsia" w:ascii="黑体" w:hAnsi="黑体" w:eastAsia="黑体"/>
              <w:bCs/>
              <w:szCs w:val="36"/>
            </w:rPr>
            <w:t>第二部分  2020年度部门决算情况说明</w:t>
          </w:r>
          <w:r>
            <w:tab/>
          </w:r>
          <w:r>
            <w:fldChar w:fldCharType="end"/>
          </w:r>
          <w:r>
            <w:rPr>
              <w:rFonts w:hint="eastAsia"/>
              <w:lang w:val="en-US" w:eastAsia="zh-CN"/>
            </w:rPr>
            <w:t>4</w:t>
          </w:r>
        </w:p>
        <w:p>
          <w:pPr>
            <w:pStyle w:val="10"/>
            <w:tabs>
              <w:tab w:val="right" w:leader="dot" w:pos="8306"/>
            </w:tabs>
            <w:rPr>
              <w:rFonts w:hint="eastAsia" w:eastAsia="宋体"/>
              <w:lang w:val="en-US" w:eastAsia="zh-CN"/>
            </w:rPr>
          </w:pPr>
          <w:r>
            <w:fldChar w:fldCharType="begin"/>
          </w:r>
          <w:r>
            <w:instrText xml:space="preserve"> HYPERLINK \l "_Toc32640" </w:instrText>
          </w:r>
          <w: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end"/>
          </w:r>
          <w:r>
            <w:rPr>
              <w:rFonts w:hint="eastAsia"/>
              <w:lang w:val="en-US" w:eastAsia="zh-CN"/>
            </w:rPr>
            <w:t>4</w:t>
          </w:r>
        </w:p>
        <w:p>
          <w:pPr>
            <w:pStyle w:val="10"/>
            <w:tabs>
              <w:tab w:val="right" w:leader="dot" w:pos="8306"/>
            </w:tabs>
            <w:rPr>
              <w:rFonts w:hint="eastAsia" w:eastAsia="宋体"/>
              <w:lang w:val="en-US" w:eastAsia="zh-CN"/>
            </w:rPr>
          </w:pPr>
          <w:r>
            <w:fldChar w:fldCharType="begin"/>
          </w:r>
          <w:r>
            <w:instrText xml:space="preserve"> HYPERLINK \l "_Toc8987" </w:instrText>
          </w:r>
          <w:r>
            <w:fldChar w:fldCharType="separate"/>
          </w:r>
          <w:r>
            <w:rPr>
              <w:rFonts w:hint="eastAsia" w:ascii="黑体" w:hAnsi="黑体" w:eastAsia="黑体"/>
              <w:szCs w:val="32"/>
            </w:rPr>
            <w:t>二、收</w:t>
          </w:r>
          <w:r>
            <w:rPr>
              <w:rFonts w:hint="eastAsia" w:ascii="黑体" w:hAnsi="黑体" w:eastAsia="黑体"/>
            </w:rPr>
            <w:t>入决算情况说明</w:t>
          </w:r>
          <w:r>
            <w:tab/>
          </w:r>
          <w:r>
            <w:fldChar w:fldCharType="end"/>
          </w:r>
          <w:r>
            <w:rPr>
              <w:rFonts w:hint="eastAsia"/>
              <w:lang w:val="en-US" w:eastAsia="zh-CN"/>
            </w:rPr>
            <w:t>4</w:t>
          </w:r>
        </w:p>
        <w:p>
          <w:pPr>
            <w:pStyle w:val="10"/>
            <w:tabs>
              <w:tab w:val="right" w:leader="dot" w:pos="8306"/>
            </w:tabs>
            <w:rPr>
              <w:rFonts w:hint="eastAsia" w:eastAsia="宋体"/>
              <w:lang w:val="en-US" w:eastAsia="zh-CN"/>
            </w:rPr>
          </w:pPr>
          <w:r>
            <w:fldChar w:fldCharType="begin"/>
          </w:r>
          <w:r>
            <w:instrText xml:space="preserve"> HYPERLINK \l "_Toc29179" </w:instrText>
          </w:r>
          <w:r>
            <w:fldChar w:fldCharType="separate"/>
          </w:r>
          <w:r>
            <w:rPr>
              <w:rFonts w:hint="eastAsia" w:ascii="黑体" w:hAnsi="黑体" w:eastAsia="黑体"/>
              <w:szCs w:val="32"/>
            </w:rPr>
            <w:t>三、支</w:t>
          </w:r>
          <w:r>
            <w:rPr>
              <w:rFonts w:hint="eastAsia" w:ascii="黑体" w:hAnsi="黑体" w:eastAsia="黑体"/>
            </w:rPr>
            <w:t>出决算情况说明</w:t>
          </w:r>
          <w:r>
            <w:tab/>
          </w:r>
          <w:r>
            <w:fldChar w:fldCharType="end"/>
          </w:r>
          <w:r>
            <w:rPr>
              <w:rFonts w:hint="eastAsia"/>
              <w:lang w:val="en-US" w:eastAsia="zh-CN"/>
            </w:rPr>
            <w:t>5</w:t>
          </w:r>
        </w:p>
        <w:p>
          <w:pPr>
            <w:pStyle w:val="10"/>
            <w:tabs>
              <w:tab w:val="right" w:leader="dot" w:pos="8306"/>
            </w:tabs>
            <w:rPr>
              <w:rFonts w:hint="eastAsia" w:eastAsia="宋体"/>
              <w:lang w:val="en-US" w:eastAsia="zh-CN"/>
            </w:rPr>
          </w:pPr>
          <w:r>
            <w:fldChar w:fldCharType="begin"/>
          </w:r>
          <w:r>
            <w:instrText xml:space="preserve"> HYPERLINK \l "_Toc32312"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end"/>
          </w:r>
          <w:r>
            <w:rPr>
              <w:rFonts w:hint="eastAsia"/>
              <w:lang w:val="en-US" w:eastAsia="zh-CN"/>
            </w:rPr>
            <w:t>5</w:t>
          </w:r>
        </w:p>
        <w:p>
          <w:pPr>
            <w:pStyle w:val="10"/>
            <w:tabs>
              <w:tab w:val="right" w:leader="dot" w:pos="8306"/>
            </w:tabs>
            <w:rPr>
              <w:rFonts w:hint="eastAsia" w:eastAsia="宋体"/>
              <w:lang w:val="en-US" w:eastAsia="zh-CN"/>
            </w:rPr>
          </w:pPr>
          <w:r>
            <w:fldChar w:fldCharType="begin"/>
          </w:r>
          <w:r>
            <w:instrText xml:space="preserve"> HYPERLINK \l "_Toc15639"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end"/>
          </w:r>
          <w:r>
            <w:rPr>
              <w:rFonts w:hint="eastAsia"/>
              <w:lang w:val="en-US" w:eastAsia="zh-CN"/>
            </w:rPr>
            <w:t>5</w:t>
          </w:r>
        </w:p>
        <w:p>
          <w:pPr>
            <w:pStyle w:val="10"/>
            <w:tabs>
              <w:tab w:val="right" w:leader="dot" w:pos="8306"/>
            </w:tabs>
            <w:rPr>
              <w:rFonts w:hint="eastAsia" w:eastAsia="宋体"/>
              <w:lang w:val="en-US" w:eastAsia="zh-CN"/>
            </w:rPr>
          </w:pPr>
          <w:r>
            <w:fldChar w:fldCharType="begin"/>
          </w:r>
          <w:r>
            <w:instrText xml:space="preserve"> HYPERLINK \l "_Toc8353"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end"/>
          </w:r>
          <w:r>
            <w:rPr>
              <w:rFonts w:hint="eastAsia"/>
              <w:lang w:val="en-US" w:eastAsia="zh-CN"/>
            </w:rPr>
            <w:t>8</w:t>
          </w:r>
        </w:p>
        <w:p>
          <w:pPr>
            <w:pStyle w:val="10"/>
            <w:tabs>
              <w:tab w:val="right" w:leader="dot" w:pos="8306"/>
            </w:tabs>
            <w:rPr>
              <w:rFonts w:hint="eastAsia" w:eastAsia="宋体"/>
              <w:lang w:val="en-US" w:eastAsia="zh-CN"/>
            </w:rPr>
          </w:pPr>
          <w:r>
            <w:fldChar w:fldCharType="begin"/>
          </w:r>
          <w:r>
            <w:instrText xml:space="preserve"> HYPERLINK \l "_Toc545" </w:instrText>
          </w:r>
          <w:r>
            <w:fldChar w:fldCharType="separate"/>
          </w:r>
          <w:r>
            <w:rPr>
              <w:rFonts w:hint="eastAsia" w:ascii="黑体" w:eastAsia="黑体"/>
              <w:szCs w:val="32"/>
            </w:rPr>
            <w:t>七、</w:t>
          </w:r>
          <w:r>
            <w:rPr>
              <w:rFonts w:hint="eastAsia" w:ascii="黑体" w:hAnsi="黑体" w:eastAsia="黑体"/>
            </w:rPr>
            <w:t>“三公”经费财政拨款支出决算情况说明</w:t>
          </w:r>
          <w:r>
            <w:tab/>
          </w:r>
          <w:r>
            <w:fldChar w:fldCharType="end"/>
          </w:r>
          <w:r>
            <w:rPr>
              <w:rFonts w:hint="eastAsia"/>
              <w:lang w:val="en-US" w:eastAsia="zh-CN"/>
            </w:rPr>
            <w:t>8</w:t>
          </w:r>
        </w:p>
        <w:p>
          <w:pPr>
            <w:pStyle w:val="10"/>
            <w:tabs>
              <w:tab w:val="right" w:leader="dot" w:pos="8306"/>
            </w:tabs>
            <w:rPr>
              <w:rFonts w:hint="default" w:eastAsia="宋体"/>
              <w:lang w:val="en-US" w:eastAsia="zh-CN"/>
            </w:rPr>
          </w:pPr>
          <w:r>
            <w:fldChar w:fldCharType="begin"/>
          </w:r>
          <w:r>
            <w:instrText xml:space="preserve"> HYPERLINK \l "_Toc21767"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end"/>
          </w:r>
          <w:r>
            <w:rPr>
              <w:rFonts w:hint="eastAsia"/>
              <w:lang w:val="en-US" w:eastAsia="zh-CN"/>
            </w:rPr>
            <w:t>10</w:t>
          </w:r>
        </w:p>
        <w:p>
          <w:pPr>
            <w:pStyle w:val="10"/>
            <w:tabs>
              <w:tab w:val="right" w:leader="dot" w:pos="8306"/>
            </w:tabs>
            <w:rPr>
              <w:rFonts w:hint="default" w:eastAsia="宋体"/>
              <w:lang w:val="en-US" w:eastAsia="zh-CN"/>
            </w:rPr>
          </w:pPr>
          <w:r>
            <w:fldChar w:fldCharType="begin"/>
          </w:r>
          <w:r>
            <w:instrText xml:space="preserve"> HYPERLINK \l "_Toc32400" </w:instrText>
          </w:r>
          <w:r>
            <w:fldChar w:fldCharType="separate"/>
          </w:r>
          <w:r>
            <w:rPr>
              <w:rFonts w:hint="eastAsia" w:ascii="黑体" w:hAnsi="黑体" w:eastAsia="黑体"/>
            </w:rPr>
            <w:t>九、 国有资本经营预算支出决算情况说明</w:t>
          </w:r>
          <w:r>
            <w:tab/>
          </w:r>
          <w:r>
            <w:fldChar w:fldCharType="end"/>
          </w:r>
          <w:r>
            <w:rPr>
              <w:rFonts w:hint="eastAsia"/>
              <w:lang w:val="en-US" w:eastAsia="zh-CN"/>
            </w:rPr>
            <w:t>10</w:t>
          </w:r>
        </w:p>
        <w:p>
          <w:pPr>
            <w:pStyle w:val="10"/>
            <w:tabs>
              <w:tab w:val="right" w:leader="dot" w:pos="8306"/>
            </w:tabs>
            <w:rPr>
              <w:rFonts w:hint="default" w:eastAsia="宋体"/>
              <w:lang w:val="en-US" w:eastAsia="zh-CN"/>
            </w:rPr>
          </w:pPr>
          <w:r>
            <w:fldChar w:fldCharType="begin"/>
          </w:r>
          <w:r>
            <w:instrText xml:space="preserve"> HYPERLINK \l "_Toc16887" </w:instrText>
          </w:r>
          <w:r>
            <w:fldChar w:fldCharType="separate"/>
          </w:r>
          <w:r>
            <w:rPr>
              <w:rFonts w:hint="eastAsia" w:ascii="黑体" w:hAnsi="黑体" w:eastAsia="黑体"/>
              <w:szCs w:val="32"/>
            </w:rPr>
            <w:t>十</w:t>
          </w:r>
          <w:r>
            <w:rPr>
              <w:rFonts w:hint="eastAsia" w:ascii="黑体" w:hAnsi="黑体" w:eastAsia="黑体"/>
            </w:rPr>
            <w:t>、其他重要事项的情况说明</w:t>
          </w:r>
          <w:r>
            <w:tab/>
          </w:r>
          <w:r>
            <w:fldChar w:fldCharType="end"/>
          </w:r>
          <w:r>
            <w:rPr>
              <w:rFonts w:hint="eastAsia"/>
              <w:lang w:val="en-US" w:eastAsia="zh-CN"/>
            </w:rPr>
            <w:t>10</w:t>
          </w:r>
        </w:p>
        <w:p>
          <w:pPr>
            <w:pStyle w:val="9"/>
            <w:tabs>
              <w:tab w:val="right" w:leader="dot" w:pos="8306"/>
              <w:tab w:val="clear" w:pos="8296"/>
            </w:tabs>
            <w:rPr>
              <w:rFonts w:hint="default" w:eastAsia="仿宋"/>
              <w:lang w:val="en-US" w:eastAsia="zh-CN"/>
            </w:rPr>
          </w:pPr>
          <w:r>
            <w:fldChar w:fldCharType="begin"/>
          </w:r>
          <w:r>
            <w:instrText xml:space="preserve"> HYPERLINK \l "_Toc941" </w:instrText>
          </w:r>
          <w:r>
            <w:fldChar w:fldCharType="separate"/>
          </w:r>
          <w:r>
            <w:rPr>
              <w:rFonts w:hint="eastAsia" w:ascii="黑体" w:hAnsi="黑体" w:eastAsia="黑体" w:cs="黑体"/>
              <w:szCs w:val="36"/>
            </w:rPr>
            <w:t>第三部分 名词解释</w:t>
          </w:r>
          <w:r>
            <w:tab/>
          </w:r>
          <w:r>
            <w:fldChar w:fldCharType="end"/>
          </w:r>
          <w:r>
            <w:rPr>
              <w:rFonts w:hint="eastAsia"/>
              <w:lang w:val="en-US" w:eastAsia="zh-CN"/>
            </w:rPr>
            <w:t>15</w:t>
          </w:r>
        </w:p>
        <w:p>
          <w:pPr>
            <w:pStyle w:val="9"/>
            <w:rPr>
              <w:rFonts w:hint="default" w:eastAsia="仿宋"/>
              <w:lang w:val="en-US" w:eastAsia="zh-CN"/>
            </w:rPr>
          </w:pPr>
          <w:r>
            <w:fldChar w:fldCharType="begin"/>
          </w:r>
          <w:r>
            <w:instrText xml:space="preserve"> HYPERLINK \l "_Toc30463" </w:instrText>
          </w:r>
          <w:r>
            <w:fldChar w:fldCharType="separate"/>
          </w:r>
          <w:r>
            <w:rPr>
              <w:rFonts w:hint="eastAsia" w:ascii="黑体" w:hAnsi="黑体" w:eastAsia="黑体" w:cs="黑体"/>
              <w:szCs w:val="36"/>
            </w:rPr>
            <w:t>第四部分 附件</w:t>
          </w:r>
          <w:r>
            <w:tab/>
          </w:r>
          <w:r>
            <w:fldChar w:fldCharType="end"/>
          </w:r>
          <w:r>
            <w:rPr>
              <w:rFonts w:hint="eastAsia"/>
              <w:lang w:val="en-US" w:eastAsia="zh-CN"/>
            </w:rPr>
            <w:t>17</w:t>
          </w:r>
        </w:p>
        <w:p>
          <w:pPr>
            <w:pStyle w:val="9"/>
            <w:tabs>
              <w:tab w:val="right" w:leader="dot" w:pos="8306"/>
              <w:tab w:val="clear" w:pos="8296"/>
            </w:tabs>
            <w:rPr>
              <w:rFonts w:hint="default" w:eastAsia="仿宋"/>
              <w:lang w:val="en-US" w:eastAsia="zh-CN"/>
            </w:rPr>
          </w:pPr>
          <w:r>
            <w:fldChar w:fldCharType="begin"/>
          </w:r>
          <w:r>
            <w:instrText xml:space="preserve"> HYPERLINK \l "_Toc17822" </w:instrText>
          </w:r>
          <w:r>
            <w:fldChar w:fldCharType="separate"/>
          </w:r>
          <w:r>
            <w:rPr>
              <w:rFonts w:hint="eastAsia" w:ascii="黑体" w:hAnsi="黑体" w:eastAsia="黑体"/>
              <w:szCs w:val="36"/>
            </w:rPr>
            <w:t>第</w:t>
          </w:r>
          <w:r>
            <w:rPr>
              <w:rFonts w:hint="eastAsia" w:ascii="黑体" w:hAnsi="黑体" w:eastAsia="黑体"/>
              <w:szCs w:val="36"/>
              <w:lang w:val="en-US" w:eastAsia="zh-CN"/>
            </w:rPr>
            <w:t>五</w:t>
          </w:r>
          <w:r>
            <w:rPr>
              <w:rFonts w:hint="eastAsia" w:ascii="黑体" w:hAnsi="黑体" w:eastAsia="黑体"/>
              <w:szCs w:val="36"/>
            </w:rPr>
            <w:t>部分 附表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"_Toc23056" </w:instrText>
          </w:r>
          <w:r>
            <w:fldChar w:fldCharType="separate"/>
          </w:r>
          <w:r>
            <w:rPr>
              <w:rFonts w:hint="eastAsia" w:ascii="仿宋_GB2312" w:hAnsi="仿宋_GB2312" w:eastAsia="仿宋_GB2312" w:cs="仿宋_GB2312"/>
              <w:szCs w:val="32"/>
            </w:rPr>
            <w:t>一、收入支出决算总表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"_Toc18282" </w:instrText>
          </w:r>
          <w:r>
            <w:fldChar w:fldCharType="separate"/>
          </w:r>
          <w:r>
            <w:rPr>
              <w:rFonts w:hint="eastAsia" w:ascii="仿宋_GB2312" w:hAnsi="仿宋_GB2312" w:eastAsia="仿宋_GB2312" w:cs="仿宋_GB2312"/>
              <w:szCs w:val="32"/>
            </w:rPr>
            <w:t>二、收入决算表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"_Toc19520" </w:instrText>
          </w:r>
          <w:r>
            <w:fldChar w:fldCharType="separate"/>
          </w:r>
          <w:r>
            <w:rPr>
              <w:rFonts w:hint="eastAsia" w:ascii="仿宋_GB2312" w:hAnsi="仿宋_GB2312" w:eastAsia="仿宋_GB2312" w:cs="仿宋_GB2312"/>
              <w:szCs w:val="32"/>
            </w:rPr>
            <w:t>三、支出决算表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"_Toc12351" </w:instrText>
          </w:r>
          <w:r>
            <w:fldChar w:fldCharType="separate"/>
          </w:r>
          <w:r>
            <w:rPr>
              <w:rFonts w:hint="eastAsia" w:ascii="仿宋_GB2312" w:hAnsi="仿宋_GB2312" w:eastAsia="仿宋_GB2312" w:cs="仿宋_GB2312"/>
              <w:szCs w:val="32"/>
            </w:rPr>
            <w:t>四、财政拨款收入支出决算总表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"_Toc24876" </w:instrText>
          </w:r>
          <w:r>
            <w:fldChar w:fldCharType="separate"/>
          </w:r>
          <w:r>
            <w:rPr>
              <w:rFonts w:hint="eastAsia" w:ascii="仿宋_GB2312" w:hAnsi="仿宋_GB2312" w:eastAsia="仿宋_GB2312" w:cs="仿宋_GB2312"/>
              <w:szCs w:val="32"/>
            </w:rPr>
            <w:t>五、财政拨款支出决算明细表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"_Toc23129" </w:instrText>
          </w:r>
          <w:r>
            <w:fldChar w:fldCharType="separate"/>
          </w:r>
          <w:r>
            <w:rPr>
              <w:rFonts w:hint="eastAsia" w:ascii="仿宋_GB2312" w:hAnsi="仿宋_GB2312" w:eastAsia="仿宋_GB2312" w:cs="仿宋_GB2312"/>
              <w:szCs w:val="32"/>
            </w:rPr>
            <w:t>六、一般公共预算财政拨款支出决算表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"_Toc8932" </w:instrText>
          </w:r>
          <w:r>
            <w:fldChar w:fldCharType="separate"/>
          </w:r>
          <w:r>
            <w:rPr>
              <w:rFonts w:hint="eastAsia" w:ascii="仿宋_GB2312" w:hAnsi="仿宋_GB2312" w:eastAsia="仿宋_GB2312" w:cs="仿宋_GB2312"/>
              <w:szCs w:val="32"/>
            </w:rPr>
            <w:t>七、一般公共预算财政拨款支出决算明细表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"_Toc25921" </w:instrText>
          </w:r>
          <w:r>
            <w:fldChar w:fldCharType="separate"/>
          </w:r>
          <w:r>
            <w:rPr>
              <w:rFonts w:hint="eastAsia" w:ascii="仿宋_GB2312" w:hAnsi="仿宋_GB2312" w:eastAsia="仿宋_GB2312" w:cs="仿宋_GB2312"/>
              <w:szCs w:val="32"/>
            </w:rPr>
            <w:t>八、一般公共预算财政拨款基本支出决算表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"_Toc24989" </w:instrText>
          </w:r>
          <w:r>
            <w:fldChar w:fldCharType="separate"/>
          </w:r>
          <w:r>
            <w:rPr>
              <w:rFonts w:hint="eastAsia" w:ascii="仿宋_GB2312" w:hAnsi="仿宋_GB2312" w:eastAsia="仿宋_GB2312" w:cs="仿宋_GB2312"/>
              <w:szCs w:val="32"/>
            </w:rPr>
            <w:t>九、一般公共预算财政拨款项目支出决算表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"_Toc7138" </w:instrText>
          </w:r>
          <w:r>
            <w:fldChar w:fldCharType="separate"/>
          </w:r>
          <w:r>
            <w:rPr>
              <w:rFonts w:hint="eastAsia" w:ascii="仿宋_GB2312" w:hAnsi="仿宋_GB2312" w:eastAsia="仿宋_GB2312" w:cs="仿宋_GB2312"/>
              <w:szCs w:val="32"/>
            </w:rPr>
            <w:t>十、一般公共预算财政拨款“三公”经费支出决算表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"_Toc12794" </w:instrText>
          </w:r>
          <w:r>
            <w:fldChar w:fldCharType="separate"/>
          </w:r>
          <w:r>
            <w:rPr>
              <w:rFonts w:hint="eastAsia" w:ascii="仿宋_GB2312" w:hAnsi="仿宋_GB2312" w:eastAsia="仿宋_GB2312" w:cs="仿宋_GB2312"/>
              <w:szCs w:val="32"/>
            </w:rPr>
            <w:t>十一、政府性基金预算财政拨款收入支出决算表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"_Toc26664" </w:instrText>
          </w:r>
          <w:r>
            <w:fldChar w:fldCharType="separate"/>
          </w:r>
          <w:r>
            <w:rPr>
              <w:rFonts w:hint="eastAsia" w:ascii="仿宋_GB2312" w:hAnsi="仿宋_GB2312" w:eastAsia="仿宋_GB2312" w:cs="仿宋_GB2312"/>
              <w:szCs w:val="32"/>
            </w:rPr>
            <w:t>十二、政府性基金预算财政拨款“三公”经费支出决算表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"_Toc18087" </w:instrText>
          </w:r>
          <w:r>
            <w:fldChar w:fldCharType="separate"/>
          </w:r>
          <w:r>
            <w:rPr>
              <w:rFonts w:hint="eastAsia" w:ascii="仿宋_GB2312" w:hAnsi="仿宋_GB2312" w:eastAsia="仿宋_GB2312" w:cs="仿宋_GB2312"/>
              <w:szCs w:val="32"/>
            </w:rPr>
            <w:t>十三、国有资本经营预算财政拨款收入支出决算表</w:t>
          </w:r>
          <w:r>
            <w:tab/>
          </w:r>
          <w:r>
            <w:fldChar w:fldCharType="end"/>
          </w:r>
          <w:r>
            <w:rPr>
              <w:rFonts w:hint="eastAsia"/>
              <w:lang w:val="en-US" w:eastAsia="zh-CN"/>
            </w:rPr>
            <w:t>30</w:t>
          </w:r>
        </w:p>
        <w:p>
          <w:pPr>
            <w:pStyle w:val="10"/>
            <w:tabs>
              <w:tab w:val="right" w:leader="dot" w:pos="8306"/>
            </w:tabs>
            <w:rPr>
              <w:rFonts w:hint="default" w:eastAsia="宋体"/>
              <w:lang w:val="en-US" w:eastAsia="zh-CN"/>
            </w:rPr>
          </w:pPr>
          <w:r>
            <w:fldChar w:fldCharType="begin"/>
          </w:r>
          <w:r>
            <w:instrText xml:space="preserve"> HYPERLINK \l "_Toc10434" </w:instrText>
          </w:r>
          <w:r>
            <w:fldChar w:fldCharType="separate"/>
          </w:r>
          <w:r>
            <w:rPr>
              <w:rFonts w:hint="eastAsia" w:ascii="仿宋_GB2312" w:hAnsi="仿宋_GB2312" w:eastAsia="仿宋_GB2312" w:cs="仿宋_GB2312"/>
              <w:szCs w:val="32"/>
            </w:rPr>
            <w:t>十四、国有资本经营预算财政拨款支出决算表</w:t>
          </w:r>
          <w:r>
            <w:tab/>
          </w:r>
          <w:r>
            <w:fldChar w:fldCharType="end"/>
          </w:r>
          <w:r>
            <w:rPr>
              <w:rFonts w:hint="eastAsia"/>
              <w:lang w:val="en-US" w:eastAsia="zh-CN"/>
            </w:rPr>
            <w:t>30</w:t>
          </w:r>
        </w:p>
        <w:p>
          <w:pPr>
            <w:widowControl/>
            <w:spacing w:line="576" w:lineRule="exact"/>
            <w:jc w:val="left"/>
            <w:rPr>
              <w:rFonts w:ascii="仿宋" w:hAnsi="仿宋" w:eastAsia="仿宋"/>
              <w:sz w:val="24"/>
            </w:rPr>
          </w:pPr>
          <w:r>
            <w:rPr>
              <w:rFonts w:ascii="仿宋" w:hAnsi="仿宋" w:eastAsia="仿宋"/>
            </w:rPr>
            <w:fldChar w:fldCharType="end"/>
          </w:r>
        </w:p>
      </w:sdtContent>
    </w:sdt>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pPr>
    </w:p>
    <w:p>
      <w:pPr>
        <w:adjustRightInd w:val="0"/>
        <w:snapToGrid w:val="0"/>
        <w:spacing w:line="360" w:lineRule="auto"/>
        <w:outlineLvl w:val="0"/>
        <w:rPr>
          <w:rFonts w:ascii="黑体" w:hAnsi="黑体" w:eastAsia="黑体" w:cs="方正小标宋简体"/>
          <w:sz w:val="36"/>
          <w:szCs w:val="36"/>
        </w:rPr>
      </w:pPr>
    </w:p>
    <w:p>
      <w:pPr>
        <w:adjustRightInd w:val="0"/>
        <w:snapToGrid w:val="0"/>
        <w:spacing w:line="360" w:lineRule="auto"/>
        <w:jc w:val="center"/>
        <w:outlineLvl w:val="0"/>
        <w:rPr>
          <w:rFonts w:ascii="黑体" w:hAnsi="黑体" w:eastAsia="黑体" w:cs="方正小标宋简体"/>
          <w:sz w:val="36"/>
          <w:szCs w:val="36"/>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spacing w:line="600" w:lineRule="exact"/>
        <w:jc w:val="center"/>
        <w:outlineLvl w:val="1"/>
        <w:rPr>
          <w:rFonts w:ascii="黑体" w:hAnsi="黑体" w:eastAsia="黑体"/>
          <w:bCs/>
          <w:sz w:val="36"/>
          <w:szCs w:val="36"/>
        </w:rPr>
      </w:pPr>
      <w:bookmarkStart w:id="12" w:name="_Toc28043"/>
      <w:r>
        <w:rPr>
          <w:rFonts w:hint="eastAsia" w:ascii="黑体" w:hAnsi="黑体" w:eastAsia="黑体"/>
          <w:bCs/>
          <w:sz w:val="36"/>
          <w:szCs w:val="36"/>
        </w:rPr>
        <w:t>第一部分 单位概况</w:t>
      </w:r>
      <w:bookmarkEnd w:id="12"/>
      <w:bookmarkStart w:id="13" w:name="_Toc15377197"/>
      <w:bookmarkStart w:id="14" w:name="_Toc15396600"/>
    </w:p>
    <w:p>
      <w:pPr>
        <w:pStyle w:val="9"/>
        <w:adjustRightInd w:val="0"/>
        <w:snapToGrid w:val="0"/>
        <w:spacing w:before="0" w:line="576" w:lineRule="exact"/>
        <w:ind w:firstLine="640" w:firstLineChars="200"/>
        <w:jc w:val="both"/>
        <w:rPr>
          <w:rFonts w:ascii="黑体" w:hAnsi="黑体" w:eastAsia="黑体" w:cs="黑体"/>
          <w:sz w:val="32"/>
          <w:szCs w:val="32"/>
        </w:rPr>
      </w:pPr>
    </w:p>
    <w:p>
      <w:pPr>
        <w:pStyle w:val="9"/>
        <w:adjustRightInd w:val="0"/>
        <w:snapToGrid w:val="0"/>
        <w:spacing w:before="0" w:line="576"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一、基本职能及主要工作</w:t>
      </w:r>
      <w:bookmarkEnd w:id="13"/>
      <w:bookmarkEnd w:id="14"/>
    </w:p>
    <w:p>
      <w:pPr>
        <w:pStyle w:val="5"/>
        <w:adjustRightInd w:val="0"/>
        <w:snapToGrid w:val="0"/>
        <w:spacing w:beforeLines="0" w:line="576" w:lineRule="exact"/>
        <w:ind w:firstLine="640" w:firstLineChars="200"/>
        <w:outlineLvl w:val="2"/>
        <w:rPr>
          <w:rFonts w:ascii="楷体_GB2312" w:hAnsi="楷体_GB2312" w:eastAsia="楷体_GB2312" w:cs="楷体_GB2312"/>
          <w:bCs/>
          <w:sz w:val="32"/>
          <w:szCs w:val="32"/>
        </w:rPr>
      </w:pPr>
      <w:bookmarkStart w:id="15" w:name="_Toc16401"/>
      <w:r>
        <w:rPr>
          <w:rFonts w:hint="eastAsia" w:ascii="楷体_GB2312" w:hAnsi="楷体_GB2312" w:eastAsia="楷体_GB2312" w:cs="楷体_GB2312"/>
          <w:bCs/>
          <w:sz w:val="32"/>
          <w:szCs w:val="32"/>
        </w:rPr>
        <w:t>（一）主要职能</w:t>
      </w:r>
      <w:bookmarkEnd w:id="15"/>
    </w:p>
    <w:p>
      <w:pPr>
        <w:spacing w:line="576" w:lineRule="exact"/>
        <w:ind w:firstLine="640" w:firstLineChars="200"/>
        <w:rPr>
          <w:rFonts w:ascii="仿宋_GB2312" w:hAnsi="微软雅黑" w:eastAsia="仿宋_GB2312"/>
          <w:sz w:val="32"/>
          <w:szCs w:val="32"/>
        </w:rPr>
      </w:pPr>
      <w:bookmarkStart w:id="16" w:name="_Toc15378446"/>
      <w:bookmarkStart w:id="17" w:name="_Toc15377199"/>
      <w:r>
        <w:rPr>
          <w:rFonts w:hint="eastAsia" w:ascii="仿宋_GB2312" w:hAnsi="微软雅黑" w:eastAsia="仿宋_GB2312"/>
          <w:sz w:val="32"/>
          <w:szCs w:val="32"/>
        </w:rPr>
        <w:t>负责本级部门项目支出预算的专业审核，按照部门预算编制的要求，提出项目支出预算审核意见；负责本级重大基本建设项目财政监管和安全拨付的专业审核，审查工程变更，提出项目资金拨付审核意见；负责本级基本建设项目竣工决算的专业审核，提出交付使用资产价值意见；负责本级财政支出预算绩效考评专业评价工作，提出预算执行绩效意见；配合本级财政部门做好安全专项核查及追踪问效工作。</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（二）2020年重点工作完成情况</w:t>
      </w:r>
      <w:bookmarkEnd w:id="16"/>
      <w:bookmarkEnd w:id="17"/>
      <w:bookmarkStart w:id="18" w:name="_Toc15377200"/>
      <w:bookmarkStart w:id="19" w:name="_Toc15396601"/>
    </w:p>
    <w:p>
      <w:pPr>
        <w:spacing w:line="576" w:lineRule="exact"/>
        <w:ind w:firstLine="640" w:firstLineChars="200"/>
        <w:rPr>
          <w:rFonts w:ascii="仿宋_GB2312" w:hAnsi="仿宋" w:eastAsia="仿宋_GB2312"/>
          <w:bCs/>
          <w:sz w:val="32"/>
          <w:szCs w:val="32"/>
        </w:rPr>
      </w:pPr>
      <w:r>
        <w:rPr>
          <w:rFonts w:hint="eastAsia" w:ascii="仿宋_GB2312" w:hAnsi="楷体_GB2312" w:eastAsia="仿宋_GB2312" w:cs="楷体_GB2312"/>
          <w:sz w:val="32"/>
          <w:szCs w:val="32"/>
        </w:rPr>
        <w:t>1.评审工作完成情况。</w:t>
      </w:r>
      <w:r>
        <w:rPr>
          <w:rFonts w:hint="eastAsia" w:ascii="仿宋_GB2312" w:hAnsi="仿宋" w:eastAsia="仿宋_GB2312"/>
          <w:sz w:val="32"/>
          <w:szCs w:val="32"/>
        </w:rPr>
        <w:t>全市共计完成评审项目1758个，送审金额128.61亿元，审减额18.61亿元，审减率14.47%。</w:t>
      </w:r>
      <w:r>
        <w:rPr>
          <w:rFonts w:hint="eastAsia" w:ascii="仿宋_GB2312" w:hAnsi="仿宋" w:eastAsia="仿宋_GB2312"/>
          <w:bCs/>
          <w:sz w:val="32"/>
          <w:szCs w:val="32"/>
        </w:rPr>
        <w:t>市本级共计完成评审项目59个，送审金额19.31亿元，审减额1.64亿元，审减率8.49%。</w:t>
      </w:r>
    </w:p>
    <w:p>
      <w:pPr>
        <w:spacing w:line="576" w:lineRule="exact"/>
        <w:ind w:firstLine="640" w:firstLineChars="200"/>
        <w:rPr>
          <w:rFonts w:ascii="仿宋_GB2312" w:hAnsi="仿宋" w:eastAsia="仿宋_GB2312" w:cs="仿宋_GB2312"/>
          <w:sz w:val="32"/>
          <w:szCs w:val="32"/>
        </w:rPr>
      </w:pPr>
      <w:r>
        <w:rPr>
          <w:rFonts w:hint="eastAsia" w:ascii="仿宋_GB2312" w:hAnsi="楷体_GB2312" w:eastAsia="仿宋_GB2312" w:cs="楷体_GB2312"/>
          <w:sz w:val="32"/>
          <w:szCs w:val="32"/>
        </w:rPr>
        <w:t>2.服务重点工作情况。</w:t>
      </w:r>
      <w:r>
        <w:rPr>
          <w:rFonts w:hint="eastAsia" w:ascii="仿宋_GB2312" w:hAnsi="仿宋" w:eastAsia="仿宋_GB2312" w:cs="仿宋_GB2312"/>
          <w:bCs/>
          <w:sz w:val="32"/>
          <w:szCs w:val="32"/>
        </w:rPr>
        <w:t>一是参与了白龙水厂一期、广元市主城区一环路提升改造等重大民生工程，</w:t>
      </w:r>
      <w:r>
        <w:rPr>
          <w:rFonts w:hint="eastAsia" w:ascii="仿宋_GB2312" w:hAnsi="仿宋" w:eastAsia="仿宋_GB2312" w:cs="仿宋_GB2312"/>
          <w:sz w:val="32"/>
          <w:szCs w:val="32"/>
        </w:rPr>
        <w:t>有效避免财政资金流失。二是组织7名业务骨干组成联合评价工作组，对全市2019年55个新增专项债券项目推进及资金使用管理情况进行督查，涉及财政资金59.88亿元。三是抽调6人组成联合工作组配合完成2020年重点项目绩效评价工作，对市政建设、污水治理、环保专项、培训运转、医院改革配套等22个项目开展绩效评价工作，涉及财政资金13.84亿元。四是安排业务骨干6人次配合商务、经信等部门开展监督检查和项目审核验收工作。</w:t>
      </w:r>
    </w:p>
    <w:p>
      <w:pPr>
        <w:spacing w:line="576" w:lineRule="exact"/>
        <w:ind w:firstLine="640" w:firstLineChars="200"/>
        <w:rPr>
          <w:rFonts w:ascii="仿宋_GB2312" w:hAnsi="仿宋" w:eastAsia="仿宋_GB2312" w:cs="仿宋_GB2312"/>
          <w:sz w:val="32"/>
          <w:szCs w:val="32"/>
        </w:rPr>
      </w:pPr>
      <w:r>
        <w:rPr>
          <w:rFonts w:hint="eastAsia" w:ascii="仿宋_GB2312" w:hAnsi="楷体_GB2312" w:eastAsia="仿宋_GB2312" w:cs="楷体_GB2312"/>
          <w:sz w:val="32"/>
          <w:szCs w:val="32"/>
        </w:rPr>
        <w:t>3.评审机制健全情况。</w:t>
      </w:r>
      <w:r>
        <w:rPr>
          <w:rFonts w:hint="eastAsia" w:ascii="仿宋_GB2312" w:hAnsi="仿宋" w:eastAsia="仿宋_GB2312" w:cs="仿宋_GB2312"/>
          <w:sz w:val="32"/>
          <w:szCs w:val="32"/>
        </w:rPr>
        <w:t>一是制定了《广元市财政局关于市本级政府投资项目施工图预算财政评审提质增效的措施》，进一步提高财政评审工作时效。二是实施了施工图预算编制负面信息通报制度，发现并公开通报预算编制单位2家，执业人员2人，并将相关问题情况移交行业主管部门予以处理。三是强化评审协作机构管理，2020年我中心举办了市财政局协</w:t>
      </w:r>
      <w:r>
        <w:rPr>
          <w:rFonts w:hint="eastAsia" w:ascii="仿宋_GB2312" w:hAnsi="仿宋" w:eastAsia="仿宋_GB2312"/>
          <w:bCs/>
          <w:sz w:val="32"/>
          <w:szCs w:val="32"/>
        </w:rPr>
        <w:t>评力量评审业务培训暨廉洁纪律教育会，</w:t>
      </w:r>
      <w:r>
        <w:rPr>
          <w:rFonts w:hint="eastAsia" w:ascii="仿宋_GB2312" w:hAnsi="仿宋" w:eastAsia="仿宋_GB2312" w:cs="仿宋_GB2312"/>
          <w:sz w:val="32"/>
          <w:szCs w:val="32"/>
        </w:rPr>
        <w:t>增强了参与评审工作人员的程序意识、法律意识、廉政意识，努力确保评审工作依法、独立、高效开展。</w:t>
      </w:r>
    </w:p>
    <w:p>
      <w:pPr>
        <w:pBdr>
          <w:bottom w:val="single" w:color="FFFFFF" w:sz="4" w:space="31"/>
        </w:pBdr>
        <w:adjustRightInd w:val="0"/>
        <w:snapToGrid w:val="0"/>
        <w:spacing w:line="576" w:lineRule="exact"/>
        <w:ind w:firstLine="640" w:firstLineChars="200"/>
        <w:rPr>
          <w:rFonts w:ascii="仿宋_GB2312" w:eastAsia="仿宋_GB2312"/>
          <w:sz w:val="32"/>
          <w:szCs w:val="32"/>
        </w:rPr>
      </w:pPr>
      <w:r>
        <w:rPr>
          <w:rFonts w:hint="eastAsia" w:ascii="仿宋_GB2312" w:hAnsi="楷体_GB2312" w:eastAsia="仿宋_GB2312" w:cs="楷体_GB2312"/>
          <w:sz w:val="32"/>
          <w:szCs w:val="32"/>
        </w:rPr>
        <w:t>4.评审能力建设情况。</w:t>
      </w:r>
      <w:r>
        <w:rPr>
          <w:rFonts w:hint="eastAsia" w:ascii="仿宋_GB2312" w:hAnsi="仿宋" w:eastAsia="仿宋_GB2312" w:cs="仿宋_GB2312"/>
          <w:sz w:val="32"/>
          <w:szCs w:val="32"/>
        </w:rPr>
        <w:t>一是创新评审模式。2020年“新冠”肺炎疫情期间，中心积极推行网络无纸化办公，确保全市评审工作有序推进。二是评审工作</w:t>
      </w:r>
      <w:r>
        <w:rPr>
          <w:rFonts w:hint="eastAsia" w:ascii="仿宋_GB2312" w:hAnsi="仿宋" w:eastAsia="仿宋_GB2312" w:cs="黑体"/>
          <w:sz w:val="32"/>
          <w:szCs w:val="32"/>
        </w:rPr>
        <w:t>提质增效。</w:t>
      </w:r>
      <w:r>
        <w:rPr>
          <w:rFonts w:hint="eastAsia" w:ascii="仿宋_GB2312" w:hAnsi="仿宋" w:eastAsia="仿宋_GB2312"/>
          <w:sz w:val="32"/>
          <w:szCs w:val="32"/>
        </w:rPr>
        <w:t>积极研究</w:t>
      </w:r>
      <w:r>
        <w:rPr>
          <w:rFonts w:hint="eastAsia" w:ascii="仿宋_GB2312" w:hAnsi="仿宋" w:eastAsia="仿宋_GB2312" w:cs="仿宋_GB2312"/>
          <w:sz w:val="32"/>
          <w:szCs w:val="32"/>
        </w:rPr>
        <w:t>制定了《</w:t>
      </w:r>
      <w:r>
        <w:rPr>
          <w:rFonts w:hint="eastAsia" w:ascii="仿宋_GB2312" w:hAnsi="仿宋" w:eastAsia="仿宋_GB2312" w:cs="黑体"/>
          <w:sz w:val="32"/>
          <w:szCs w:val="32"/>
        </w:rPr>
        <w:t>广元市财政局关于市本级政府投资项目施工图预算财政评审提质增效的措施》，对预算评审方式、社会协作机构选取、协作评审时间等六个方面提出了新要求、新标准，评审效率较之前提高约45%。</w:t>
      </w:r>
      <w:r>
        <w:rPr>
          <w:rFonts w:hint="eastAsia" w:ascii="仿宋_GB2312" w:hAnsi="华文仿宋" w:eastAsia="仿宋_GB2312" w:cs="华文仿宋"/>
          <w:sz w:val="32"/>
          <w:szCs w:val="32"/>
        </w:rPr>
        <w:t>三是实施月例会制度，坚持每月召开一次财政评审工作例会，形成了会前廉政教育学习、工作难点集体研判的财政评审新常态，有效提升了工作效率，确保了工作质量。四是在广元市人民政府网、广元新闻网、财政局门户网等媒体上发布评审信息30余条。宣传内容包括项目评审进度情况、工作动态等，为财政评审工作的顺利开展营造了良好氛围。五是持续强化党风廉政建设，不断巩固“作风纪律深化年”成果，教育引导广大评审工作人员在坚守法律红线和道德底线的同时，不断提高拒腐防变能力。</w:t>
      </w:r>
    </w:p>
    <w:p>
      <w:pPr>
        <w:pBdr>
          <w:bottom w:val="single" w:color="FFFFFF" w:sz="4" w:space="31"/>
        </w:pBdr>
        <w:adjustRightInd w:val="0"/>
        <w:snapToGrid w:val="0"/>
        <w:spacing w:line="576" w:lineRule="exact"/>
        <w:ind w:firstLine="640" w:firstLineChars="200"/>
        <w:rPr>
          <w:rStyle w:val="17"/>
          <w:rFonts w:ascii="黑体" w:hAnsi="黑体" w:eastAsia="黑体"/>
          <w:b w:val="0"/>
          <w:bCs w:val="0"/>
        </w:rPr>
      </w:pPr>
      <w:r>
        <w:rPr>
          <w:rFonts w:hint="eastAsia" w:ascii="黑体" w:eastAsia="黑体"/>
          <w:sz w:val="32"/>
          <w:szCs w:val="32"/>
        </w:rPr>
        <w:t>二、</w:t>
      </w:r>
      <w:r>
        <w:rPr>
          <w:rFonts w:hint="eastAsia" w:ascii="黑体" w:hAnsi="黑体" w:eastAsia="黑体"/>
          <w:sz w:val="32"/>
          <w:szCs w:val="32"/>
        </w:rPr>
        <w:t>机</w:t>
      </w:r>
      <w:r>
        <w:rPr>
          <w:rStyle w:val="17"/>
          <w:rFonts w:hint="eastAsia" w:ascii="黑体" w:hAnsi="黑体" w:eastAsia="黑体"/>
          <w:b w:val="0"/>
          <w:bCs w:val="0"/>
        </w:rPr>
        <w:t>构设置</w:t>
      </w:r>
      <w:bookmarkEnd w:id="18"/>
      <w:bookmarkEnd w:id="19"/>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广元市财政评审中心为广元市财政局下属财政全额拨款事业单位。</w:t>
      </w:r>
    </w:p>
    <w:p>
      <w:pPr>
        <w:pStyle w:val="22"/>
        <w:spacing w:line="600" w:lineRule="exact"/>
        <w:ind w:left="640" w:firstLine="0" w:firstLineChars="0"/>
        <w:outlineLvl w:val="1"/>
        <w:rPr>
          <w:rFonts w:ascii="黑体" w:hAnsi="黑体" w:eastAsia="黑体"/>
          <w:b/>
          <w:sz w:val="36"/>
          <w:szCs w:val="36"/>
        </w:rPr>
      </w:pPr>
      <w:bookmarkStart w:id="20" w:name="_Toc15396602"/>
      <w:bookmarkStart w:id="21" w:name="_Toc15377204"/>
      <w:bookmarkStart w:id="22" w:name="_Toc15377205"/>
      <w:bookmarkStart w:id="23" w:name="_Toc15396603"/>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640" w:firstLine="0" w:firstLineChars="0"/>
        <w:outlineLvl w:val="1"/>
        <w:rPr>
          <w:rFonts w:ascii="黑体" w:hAnsi="黑体" w:eastAsia="黑体"/>
          <w:b/>
          <w:sz w:val="36"/>
          <w:szCs w:val="36"/>
        </w:rPr>
      </w:pPr>
    </w:p>
    <w:p>
      <w:pPr>
        <w:pStyle w:val="22"/>
        <w:spacing w:line="600" w:lineRule="exact"/>
        <w:ind w:left="0" w:leftChars="0" w:firstLine="0" w:firstLineChars="0"/>
        <w:outlineLvl w:val="1"/>
        <w:rPr>
          <w:rFonts w:ascii="黑体" w:hAnsi="黑体" w:eastAsia="黑体"/>
          <w:b/>
          <w:sz w:val="36"/>
          <w:szCs w:val="36"/>
        </w:rPr>
      </w:pPr>
    </w:p>
    <w:p>
      <w:pPr>
        <w:pStyle w:val="22"/>
        <w:spacing w:line="600" w:lineRule="exact"/>
        <w:ind w:left="0" w:leftChars="0" w:firstLine="0" w:firstLineChars="0"/>
        <w:outlineLvl w:val="1"/>
        <w:rPr>
          <w:rFonts w:ascii="黑体" w:hAnsi="黑体" w:eastAsia="黑体"/>
          <w:b/>
          <w:sz w:val="36"/>
          <w:szCs w:val="36"/>
        </w:rPr>
      </w:pPr>
    </w:p>
    <w:p>
      <w:pPr>
        <w:pStyle w:val="22"/>
        <w:spacing w:line="600" w:lineRule="exact"/>
        <w:ind w:left="0" w:leftChars="0" w:firstLine="0" w:firstLineChars="0"/>
        <w:outlineLvl w:val="1"/>
        <w:rPr>
          <w:rFonts w:ascii="黑体" w:hAnsi="黑体" w:eastAsia="黑体"/>
          <w:b/>
          <w:sz w:val="36"/>
          <w:szCs w:val="36"/>
        </w:rPr>
      </w:pPr>
    </w:p>
    <w:p>
      <w:pPr>
        <w:spacing w:line="600" w:lineRule="exact"/>
        <w:outlineLvl w:val="1"/>
        <w:rPr>
          <w:rFonts w:ascii="黑体" w:hAnsi="黑体" w:eastAsia="黑体"/>
          <w:b/>
          <w:sz w:val="36"/>
          <w:szCs w:val="36"/>
        </w:rPr>
      </w:pPr>
    </w:p>
    <w:p>
      <w:pPr>
        <w:spacing w:line="600" w:lineRule="exact"/>
        <w:jc w:val="center"/>
        <w:outlineLvl w:val="1"/>
        <w:rPr>
          <w:rFonts w:ascii="黑体" w:hAnsi="黑体" w:eastAsia="黑体"/>
          <w:bCs/>
          <w:sz w:val="36"/>
          <w:szCs w:val="36"/>
        </w:rPr>
      </w:pPr>
      <w:bookmarkStart w:id="24" w:name="_Toc15227"/>
      <w:r>
        <w:rPr>
          <w:rFonts w:hint="eastAsia" w:ascii="黑体" w:hAnsi="黑体" w:eastAsia="黑体"/>
          <w:bCs/>
          <w:sz w:val="36"/>
          <w:szCs w:val="36"/>
        </w:rPr>
        <w:t>第二部分  2020年度部门决算情况说明</w:t>
      </w:r>
      <w:bookmarkEnd w:id="20"/>
      <w:bookmarkEnd w:id="21"/>
      <w:bookmarkEnd w:id="24"/>
    </w:p>
    <w:p>
      <w:pPr>
        <w:pStyle w:val="22"/>
        <w:spacing w:line="600" w:lineRule="exact"/>
        <w:ind w:left="640" w:firstLine="0" w:firstLineChars="0"/>
        <w:outlineLvl w:val="1"/>
        <w:rPr>
          <w:rFonts w:ascii="黑体" w:hAnsi="黑体" w:eastAsia="黑体"/>
          <w:sz w:val="32"/>
          <w:szCs w:val="32"/>
        </w:rPr>
      </w:pPr>
    </w:p>
    <w:p>
      <w:pPr>
        <w:pStyle w:val="22"/>
        <w:spacing w:line="576" w:lineRule="exact"/>
        <w:ind w:firstLine="640"/>
        <w:outlineLvl w:val="1"/>
        <w:rPr>
          <w:rStyle w:val="17"/>
          <w:rFonts w:ascii="黑体" w:hAnsi="黑体" w:eastAsia="黑体"/>
          <w:b w:val="0"/>
          <w:bCs w:val="0"/>
        </w:rPr>
      </w:pPr>
      <w:bookmarkStart w:id="25" w:name="_Toc32640"/>
      <w:r>
        <w:rPr>
          <w:rFonts w:hint="eastAsia" w:ascii="黑体" w:hAnsi="黑体" w:eastAsia="黑体"/>
          <w:sz w:val="32"/>
          <w:szCs w:val="32"/>
        </w:rPr>
        <w:t>一、收</w:t>
      </w:r>
      <w:r>
        <w:rPr>
          <w:rStyle w:val="17"/>
          <w:rFonts w:hint="eastAsia" w:ascii="黑体" w:hAnsi="黑体" w:eastAsia="黑体"/>
          <w:b w:val="0"/>
          <w:bCs w:val="0"/>
        </w:rPr>
        <w:t>入支出决算总体情况说明</w:t>
      </w:r>
      <w:bookmarkEnd w:id="22"/>
      <w:bookmarkEnd w:id="23"/>
      <w:bookmarkEnd w:id="2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2020年度收、支总计558.41万元。与2019年相比，收、支总计各减少63.73万元，下降10.24%。主要变动原因2020年年初结转减少，2020年严格控制经费，压减收支。</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58240" behindDoc="0" locked="0" layoutInCell="1" allowOverlap="1">
            <wp:simplePos x="0" y="0"/>
            <wp:positionH relativeFrom="column">
              <wp:posOffset>791845</wp:posOffset>
            </wp:positionH>
            <wp:positionV relativeFrom="paragraph">
              <wp:posOffset>250190</wp:posOffset>
            </wp:positionV>
            <wp:extent cx="3588385" cy="1694815"/>
            <wp:effectExtent l="4445" t="4445" r="7620" b="15240"/>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420" w:firstLineChars="200"/>
      </w:pPr>
    </w:p>
    <w:p>
      <w:pPr>
        <w:spacing w:line="576" w:lineRule="exact"/>
        <w:ind w:firstLine="420" w:firstLineChars="200"/>
      </w:pPr>
    </w:p>
    <w:p>
      <w:pPr>
        <w:spacing w:line="576" w:lineRule="exact"/>
        <w:ind w:firstLine="640" w:firstLineChars="200"/>
        <w:rPr>
          <w:rFonts w:hint="eastAsia" w:ascii="仿宋_GB2312" w:hAnsi="仿宋_GB2312" w:eastAsia="仿宋_GB2312" w:cs="仿宋_GB2312"/>
          <w:sz w:val="32"/>
          <w:szCs w:val="32"/>
        </w:rPr>
      </w:pPr>
    </w:p>
    <w:p>
      <w:pPr>
        <w:pStyle w:val="24"/>
        <w:spacing w:line="576" w:lineRule="exact"/>
        <w:ind w:firstLine="640"/>
        <w:outlineLvl w:val="1"/>
        <w:rPr>
          <w:rStyle w:val="17"/>
          <w:rFonts w:ascii="黑体" w:hAnsi="黑体" w:eastAsia="黑体"/>
          <w:b w:val="0"/>
        </w:rPr>
      </w:pPr>
      <w:bookmarkStart w:id="26" w:name="_Toc8987"/>
      <w:bookmarkStart w:id="27" w:name="_Toc15396604"/>
      <w:bookmarkStart w:id="28" w:name="_Toc15377206"/>
      <w:r>
        <w:rPr>
          <w:rFonts w:hint="eastAsia" w:ascii="黑体" w:hAnsi="黑体" w:eastAsia="黑体"/>
          <w:sz w:val="32"/>
          <w:szCs w:val="32"/>
        </w:rPr>
        <w:t>二、收</w:t>
      </w:r>
      <w:r>
        <w:rPr>
          <w:rStyle w:val="17"/>
          <w:rFonts w:hint="eastAsia" w:ascii="黑体" w:hAnsi="黑体" w:eastAsia="黑体"/>
          <w:b w:val="0"/>
        </w:rPr>
        <w:t>入决算情况说明</w:t>
      </w:r>
      <w:bookmarkEnd w:id="26"/>
      <w:bookmarkEnd w:id="27"/>
      <w:bookmarkEnd w:id="28"/>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2020年本年收入合计308万元，其中：一般公共预算财政拨款收入307.89万元，占99.96%；其他收入0.11万元，占0.04%。</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59264" behindDoc="0" locked="0" layoutInCell="1" allowOverlap="1">
            <wp:simplePos x="0" y="0"/>
            <wp:positionH relativeFrom="column">
              <wp:posOffset>1304290</wp:posOffset>
            </wp:positionH>
            <wp:positionV relativeFrom="paragraph">
              <wp:posOffset>66040</wp:posOffset>
            </wp:positionV>
            <wp:extent cx="3014345" cy="1730375"/>
            <wp:effectExtent l="4445" t="4445" r="10160" b="17780"/>
            <wp:wrapSquare wrapText="bothSides"/>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pStyle w:val="24"/>
        <w:spacing w:line="576" w:lineRule="exact"/>
        <w:ind w:firstLine="640"/>
        <w:outlineLvl w:val="1"/>
        <w:rPr>
          <w:rStyle w:val="17"/>
          <w:rFonts w:ascii="黑体" w:hAnsi="黑体" w:eastAsia="黑体"/>
          <w:b w:val="0"/>
        </w:rPr>
      </w:pPr>
      <w:bookmarkStart w:id="29" w:name="_Toc15377207"/>
      <w:bookmarkStart w:id="30" w:name="_Toc15396605"/>
      <w:bookmarkStart w:id="31" w:name="_Toc29179"/>
      <w:r>
        <w:rPr>
          <w:rFonts w:hint="eastAsia" w:ascii="黑体" w:hAnsi="黑体" w:eastAsia="黑体"/>
          <w:sz w:val="32"/>
          <w:szCs w:val="32"/>
        </w:rPr>
        <w:t>三、支</w:t>
      </w:r>
      <w:r>
        <w:rPr>
          <w:rStyle w:val="17"/>
          <w:rFonts w:hint="eastAsia" w:ascii="黑体" w:hAnsi="黑体" w:eastAsia="黑体"/>
          <w:b w:val="0"/>
        </w:rPr>
        <w:t>出决算情况说明</w:t>
      </w:r>
      <w:bookmarkEnd w:id="29"/>
      <w:bookmarkEnd w:id="30"/>
      <w:bookmarkEnd w:id="31"/>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2020年本年支出合计300.58万元，其中：基本支出86.39万元，占28.74%；项目支出214.19万元，占71.26%。</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60288" behindDoc="0" locked="0" layoutInCell="1" allowOverlap="1">
            <wp:simplePos x="0" y="0"/>
            <wp:positionH relativeFrom="column">
              <wp:posOffset>1296670</wp:posOffset>
            </wp:positionH>
            <wp:positionV relativeFrom="paragraph">
              <wp:posOffset>155575</wp:posOffset>
            </wp:positionV>
            <wp:extent cx="2792095" cy="1609725"/>
            <wp:effectExtent l="4445" t="4445" r="22860" b="5080"/>
            <wp:wrapSquare wrapText="bothSides"/>
            <wp:docPr id="1"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420" w:firstLineChars="200"/>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outlineLvl w:val="1"/>
        <w:rPr>
          <w:rStyle w:val="17"/>
          <w:rFonts w:ascii="黑体" w:hAnsi="黑体" w:eastAsia="黑体"/>
          <w:b w:val="0"/>
        </w:rPr>
      </w:pPr>
      <w:bookmarkStart w:id="32" w:name="_Toc32312"/>
      <w:r>
        <w:rPr>
          <w:rFonts w:hint="eastAsia" w:ascii="黑体" w:hAnsi="黑体" w:eastAsia="黑体"/>
          <w:sz w:val="32"/>
          <w:szCs w:val="32"/>
        </w:rPr>
        <w:t>四、财</w:t>
      </w:r>
      <w:r>
        <w:rPr>
          <w:rStyle w:val="17"/>
          <w:rFonts w:hint="eastAsia" w:ascii="黑体" w:hAnsi="黑体" w:eastAsia="黑体"/>
          <w:b w:val="0"/>
        </w:rPr>
        <w:t>政拨款收入支出决算总体情况说明</w:t>
      </w:r>
      <w:bookmarkEnd w:id="32"/>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2020年财政拨款收、支总计511.8万元。与2019年相比，财政拨款收、支总计各减少63.35万元，下降11.01%。主要变动原因是2020年年初结转减少，2020年严格控制经费，压减收支。</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61312" behindDoc="0" locked="0" layoutInCell="1" allowOverlap="1">
            <wp:simplePos x="0" y="0"/>
            <wp:positionH relativeFrom="column">
              <wp:posOffset>1076960</wp:posOffset>
            </wp:positionH>
            <wp:positionV relativeFrom="paragraph">
              <wp:posOffset>250190</wp:posOffset>
            </wp:positionV>
            <wp:extent cx="3575050" cy="1872615"/>
            <wp:effectExtent l="4445" t="4445" r="20955" b="8890"/>
            <wp:wrapSquare wrapText="bothSides"/>
            <wp:docPr id="2"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2" w:firstLineChars="200"/>
        <w:outlineLvl w:val="1"/>
        <w:rPr>
          <w:rStyle w:val="17"/>
          <w:rFonts w:ascii="黑体" w:hAnsi="黑体" w:eastAsia="黑体"/>
          <w:b w:val="0"/>
        </w:rPr>
      </w:pPr>
      <w:bookmarkStart w:id="33" w:name="_Toc15639"/>
      <w:r>
        <w:rPr>
          <w:rFonts w:hint="eastAsia" w:ascii="黑体" w:hAnsi="黑体" w:eastAsia="黑体"/>
          <w:b/>
          <w:sz w:val="32"/>
          <w:szCs w:val="32"/>
        </w:rPr>
        <w:t>五、一</w:t>
      </w:r>
      <w:r>
        <w:rPr>
          <w:rStyle w:val="17"/>
          <w:rFonts w:hint="eastAsia" w:ascii="黑体" w:hAnsi="黑体" w:eastAsia="黑体"/>
          <w:b w:val="0"/>
        </w:rPr>
        <w:t>般公共预算财政拨款支出决算情况说明</w:t>
      </w:r>
      <w:bookmarkEnd w:id="33"/>
    </w:p>
    <w:p>
      <w:pPr>
        <w:spacing w:line="576" w:lineRule="exact"/>
        <w:ind w:firstLine="640" w:firstLineChars="200"/>
        <w:rPr>
          <w:rFonts w:ascii="楷体_GB2312" w:hAnsi="楷体_GB2312" w:eastAsia="楷体_GB2312" w:cs="楷体_GB2312"/>
          <w:bCs/>
          <w:sz w:val="32"/>
          <w:szCs w:val="32"/>
        </w:rPr>
      </w:pPr>
      <w:bookmarkStart w:id="34" w:name="_Toc15377210"/>
      <w:r>
        <w:rPr>
          <w:rFonts w:hint="eastAsia" w:ascii="楷体_GB2312" w:hAnsi="楷体_GB2312" w:eastAsia="楷体_GB2312" w:cs="楷体_GB2312"/>
          <w:bCs/>
          <w:sz w:val="32"/>
          <w:szCs w:val="32"/>
        </w:rPr>
        <w:t>（一）一般公共预算财政拨款支出决算总体情况</w:t>
      </w:r>
      <w:bookmarkEnd w:id="34"/>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2020年一般公共预算财政拨款支出284.04万元，占本年支出合计的94.5%。与2019年相比，一般公共预算财政拨款支出减少30.21万元，下降9.61%。主要变动原因是2020年压减基本支出，部分项目支出在2021年支付。</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62336" behindDoc="0" locked="0" layoutInCell="1" allowOverlap="1">
            <wp:simplePos x="0" y="0"/>
            <wp:positionH relativeFrom="column">
              <wp:posOffset>879475</wp:posOffset>
            </wp:positionH>
            <wp:positionV relativeFrom="paragraph">
              <wp:posOffset>181610</wp:posOffset>
            </wp:positionV>
            <wp:extent cx="4093845" cy="1520190"/>
            <wp:effectExtent l="4445" t="4445" r="16510" b="18415"/>
            <wp:wrapSquare wrapText="bothSides"/>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ascii="楷体_GB2312" w:hAnsi="楷体_GB2312" w:eastAsia="楷体_GB2312" w:cs="楷体_GB2312"/>
          <w:bCs/>
          <w:sz w:val="32"/>
          <w:szCs w:val="32"/>
        </w:rPr>
      </w:pPr>
      <w:bookmarkStart w:id="35" w:name="_Toc15377211"/>
      <w:r>
        <w:rPr>
          <w:rFonts w:hint="eastAsia" w:ascii="楷体_GB2312" w:hAnsi="楷体_GB2312" w:eastAsia="楷体_GB2312" w:cs="楷体_GB2312"/>
          <w:bCs/>
          <w:sz w:val="32"/>
          <w:szCs w:val="32"/>
        </w:rPr>
        <w:t>（二）一般公共预算财政拨款支出决算结构情况</w:t>
      </w:r>
      <w:bookmarkEnd w:id="35"/>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2020年一般公共预算财政拨款支出284.04万元，主要用于以下方面:</w:t>
      </w:r>
      <w:r>
        <w:rPr>
          <w:rFonts w:hint="eastAsia" w:ascii="仿宋_GB2312" w:hAnsi="仿宋_GB2312" w:eastAsia="仿宋_GB2312" w:cs="仿宋_GB2312"/>
          <w:b/>
          <w:bCs/>
          <w:sz w:val="32"/>
          <w:szCs w:val="32"/>
        </w:rPr>
        <w:t>一般公共服务（类）</w:t>
      </w:r>
      <w:r>
        <w:rPr>
          <w:rFonts w:hint="eastAsia" w:ascii="仿宋_GB2312" w:hAnsi="仿宋_GB2312" w:eastAsia="仿宋_GB2312" w:cs="仿宋_GB2312"/>
          <w:sz w:val="32"/>
          <w:szCs w:val="32"/>
        </w:rPr>
        <w:t>支出271.82万元，占95.7%；社会保障和就业（类）支出5.8万元，占2.04%；</w:t>
      </w:r>
      <w:r>
        <w:rPr>
          <w:rFonts w:hint="eastAsia" w:ascii="仿宋_GB2312" w:hAnsi="仿宋_GB2312" w:eastAsia="仿宋_GB2312" w:cs="仿宋_GB2312"/>
          <w:b/>
          <w:bCs/>
          <w:sz w:val="32"/>
          <w:szCs w:val="32"/>
        </w:rPr>
        <w:t>卫生健康（类）</w:t>
      </w:r>
      <w:r>
        <w:rPr>
          <w:rFonts w:hint="eastAsia" w:ascii="仿宋_GB2312" w:hAnsi="仿宋_GB2312" w:eastAsia="仿宋_GB2312" w:cs="仿宋_GB2312"/>
          <w:sz w:val="32"/>
          <w:szCs w:val="32"/>
        </w:rPr>
        <w:t>支出2.74万元，占0.96%；</w:t>
      </w:r>
      <w:r>
        <w:rPr>
          <w:rFonts w:hint="eastAsia" w:ascii="仿宋_GB2312" w:hAnsi="仿宋_GB2312" w:eastAsia="仿宋_GB2312" w:cs="仿宋_GB2312"/>
          <w:b/>
          <w:bCs/>
          <w:sz w:val="32"/>
          <w:szCs w:val="32"/>
        </w:rPr>
        <w:t>住房保障（类）</w:t>
      </w:r>
      <w:r>
        <w:rPr>
          <w:rFonts w:hint="eastAsia" w:ascii="仿宋_GB2312" w:hAnsi="仿宋_GB2312" w:eastAsia="仿宋_GB2312" w:cs="仿宋_GB2312"/>
          <w:sz w:val="32"/>
          <w:szCs w:val="32"/>
        </w:rPr>
        <w:t>支出3.68万元，占1.3%。</w:t>
      </w:r>
    </w:p>
    <w:p>
      <w:pPr>
        <w:spacing w:line="576"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63360" behindDoc="0" locked="0" layoutInCell="1" allowOverlap="1">
            <wp:simplePos x="0" y="0"/>
            <wp:positionH relativeFrom="column">
              <wp:posOffset>1186815</wp:posOffset>
            </wp:positionH>
            <wp:positionV relativeFrom="paragraph">
              <wp:posOffset>64770</wp:posOffset>
            </wp:positionV>
            <wp:extent cx="3470910" cy="1325880"/>
            <wp:effectExtent l="4445" t="5080" r="10795" b="21590"/>
            <wp:wrapSquare wrapText="bothSides"/>
            <wp:docPr id="24"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default" w:ascii="仿宋_GB2312" w:hAnsi="仿宋_GB2312" w:eastAsia="仿宋_GB2312" w:cs="仿宋_GB2312"/>
          <w:sz w:val="32"/>
          <w:szCs w:val="32"/>
          <w:lang w:val="en-US" w:eastAsia="zh-CN"/>
        </w:rPr>
      </w:pP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36" w:name="_Toc15377212"/>
      <w:bookmarkStart w:id="37" w:name="_Toc11047"/>
      <w:r>
        <w:rPr>
          <w:rFonts w:hint="eastAsia" w:ascii="楷体_GB2312" w:hAnsi="楷体_GB2312" w:eastAsia="楷体_GB2312" w:cs="楷体_GB2312"/>
          <w:bCs/>
          <w:kern w:val="2"/>
          <w:sz w:val="32"/>
          <w:szCs w:val="32"/>
        </w:rPr>
        <w:t>（三）一般公共预算财政拨款支出决算具体情况</w:t>
      </w:r>
      <w:bookmarkEnd w:id="36"/>
      <w:bookmarkEnd w:id="37"/>
    </w:p>
    <w:p>
      <w:pPr>
        <w:spacing w:line="576" w:lineRule="exact"/>
        <w:ind w:firstLine="640" w:firstLineChars="200"/>
        <w:rPr>
          <w:rFonts w:ascii="仿宋_GB2312" w:hAnsi="仿宋_GB2312" w:eastAsia="仿宋_GB2312" w:cs="仿宋_GB2312"/>
          <w:sz w:val="32"/>
          <w:szCs w:val="32"/>
        </w:rPr>
      </w:pPr>
      <w:bookmarkStart w:id="38" w:name="_Toc15377444"/>
      <w:bookmarkStart w:id="39" w:name="_Toc15378460"/>
      <w:bookmarkStart w:id="40" w:name="_Toc15377213"/>
      <w:r>
        <w:rPr>
          <w:rFonts w:hint="eastAsia" w:ascii="仿宋_GB2312" w:hAnsi="仿宋_GB2312" w:eastAsia="仿宋_GB2312" w:cs="仿宋_GB2312"/>
          <w:sz w:val="32"/>
          <w:szCs w:val="32"/>
        </w:rPr>
        <w:t>2020年一般公共预算支出决算数为284.04万元，完成预算57.07%。其中：</w:t>
      </w:r>
      <w:bookmarkEnd w:id="38"/>
      <w:bookmarkEnd w:id="39"/>
      <w:bookmarkEnd w:id="40"/>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1.一般公共服务（类）财政事务（款）财政委托业务支出（项）:</w:t>
      </w:r>
      <w:r>
        <w:rPr>
          <w:rFonts w:hint="eastAsia" w:ascii="仿宋_GB2312" w:hAnsi="仿宋_GB2312" w:eastAsia="仿宋_GB2312" w:cs="仿宋_GB2312"/>
          <w:sz w:val="32"/>
          <w:szCs w:val="32"/>
        </w:rPr>
        <w:t>支出决算为0万元，完成预算0%，决算数小于预算数的主要原因是项目本年未实现支出，结转到2021年支付。</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2.一般公共服务（类）财政事务（款）事业运行（项）:</w:t>
      </w:r>
      <w:r>
        <w:rPr>
          <w:rFonts w:hint="eastAsia" w:ascii="仿宋_GB2312" w:hAnsi="仿宋_GB2312" w:eastAsia="仿宋_GB2312" w:cs="仿宋_GB2312"/>
          <w:sz w:val="32"/>
          <w:szCs w:val="32"/>
        </w:rPr>
        <w:t>支出决算为74.13万元，完成预算100%。</w:t>
      </w:r>
    </w:p>
    <w:p>
      <w:pPr>
        <w:spacing w:line="576" w:lineRule="exact"/>
        <w:ind w:firstLine="642" w:firstLineChars="200"/>
        <w:rPr>
          <w:rStyle w:val="14"/>
          <w:rFonts w:ascii="仿宋_GB2312" w:hAnsi="仿宋_GB2312" w:eastAsia="仿宋_GB2312" w:cs="仿宋_GB2312"/>
          <w:bCs/>
          <w:sz w:val="32"/>
          <w:szCs w:val="32"/>
        </w:rPr>
      </w:pPr>
      <w:r>
        <w:rPr>
          <w:rStyle w:val="14"/>
          <w:rFonts w:hint="eastAsia" w:ascii="仿宋_GB2312" w:hAnsi="仿宋_GB2312" w:eastAsia="仿宋_GB2312" w:cs="仿宋_GB2312"/>
          <w:bCs/>
          <w:sz w:val="32"/>
          <w:szCs w:val="32"/>
        </w:rPr>
        <w:t>3.一般公共服务（类）财政事务（款）其他财政事务支出（项）:</w:t>
      </w:r>
      <w:r>
        <w:rPr>
          <w:rStyle w:val="14"/>
          <w:rFonts w:hint="eastAsia" w:ascii="仿宋_GB2312" w:hAnsi="仿宋_GB2312" w:eastAsia="仿宋_GB2312" w:cs="仿宋_GB2312"/>
          <w:b w:val="0"/>
          <w:bCs/>
          <w:sz w:val="32"/>
          <w:szCs w:val="32"/>
        </w:rPr>
        <w:t>支出决算为197.68万元，完成预算49.1%，决算数小于预算数的主要原因是项目本年未实施完成，结转2021年支付。</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4.社会保障和就业（类）行政事业单位养老支出（款）机关事业单位基本养老保险缴费支出（项）:</w:t>
      </w:r>
      <w:r>
        <w:rPr>
          <w:rStyle w:val="14"/>
          <w:rFonts w:hint="eastAsia" w:ascii="仿宋_GB2312" w:hAnsi="仿宋_GB2312" w:eastAsia="仿宋_GB2312" w:cs="仿宋_GB2312"/>
          <w:b w:val="0"/>
          <w:bCs/>
          <w:sz w:val="32"/>
          <w:szCs w:val="32"/>
        </w:rPr>
        <w:t xml:space="preserve">支出决算为5.8万元，完成预算74.94%，决算数小于预算数的主要原因是预算数含上年结转资金，未使用资金已于2021年收回。 </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5.卫生健康（类）行政事业单位医疗（款）事业单位医疗（项）:</w:t>
      </w:r>
      <w:r>
        <w:rPr>
          <w:rStyle w:val="14"/>
          <w:rFonts w:hint="eastAsia" w:ascii="仿宋_GB2312" w:hAnsi="仿宋_GB2312" w:eastAsia="仿宋_GB2312" w:cs="仿宋_GB2312"/>
          <w:b w:val="0"/>
          <w:bCs/>
          <w:sz w:val="32"/>
          <w:szCs w:val="32"/>
        </w:rPr>
        <w:t>支出决算为2.74万元，完成预算70.98%，决算数小于预算数的主要原因是预算数含上年结转资金，未使用资金已于2021年收回。</w:t>
      </w:r>
    </w:p>
    <w:p>
      <w:pPr>
        <w:spacing w:line="576" w:lineRule="exact"/>
        <w:ind w:firstLine="642" w:firstLineChars="200"/>
        <w:rPr>
          <w:rStyle w:val="14"/>
          <w:rFonts w:ascii="仿宋_GB2312" w:hAnsi="仿宋_GB2312" w:eastAsia="仿宋_GB2312" w:cs="仿宋_GB2312"/>
          <w:b w:val="0"/>
          <w:bCs/>
          <w:sz w:val="32"/>
          <w:szCs w:val="32"/>
        </w:rPr>
      </w:pPr>
      <w:r>
        <w:rPr>
          <w:rStyle w:val="14"/>
          <w:rFonts w:hint="eastAsia" w:ascii="仿宋_GB2312" w:hAnsi="仿宋_GB2312" w:eastAsia="仿宋_GB2312" w:cs="仿宋_GB2312"/>
          <w:bCs/>
          <w:sz w:val="32"/>
          <w:szCs w:val="32"/>
        </w:rPr>
        <w:t>6.住房保障（类）住房改革（款）住房公积金（项）:</w:t>
      </w:r>
      <w:r>
        <w:rPr>
          <w:rStyle w:val="14"/>
          <w:rFonts w:hint="eastAsia" w:ascii="仿宋_GB2312" w:hAnsi="仿宋_GB2312" w:eastAsia="仿宋_GB2312" w:cs="仿宋_GB2312"/>
          <w:b w:val="0"/>
          <w:bCs/>
          <w:sz w:val="32"/>
          <w:szCs w:val="32"/>
        </w:rPr>
        <w:t>支出决算为3.68万元，完成预算61.85%，决算数小于预算数的主要原因一是人员变动，二是目标奖部分应缴公积金结转到2021年补缴。</w:t>
      </w:r>
    </w:p>
    <w:p>
      <w:pPr>
        <w:tabs>
          <w:tab w:val="right" w:pos="8306"/>
        </w:tabs>
        <w:spacing w:line="576" w:lineRule="exact"/>
        <w:ind w:firstLine="640" w:firstLineChars="200"/>
        <w:outlineLvl w:val="1"/>
        <w:rPr>
          <w:rStyle w:val="17"/>
        </w:rPr>
      </w:pPr>
      <w:bookmarkStart w:id="41" w:name="_Toc15377214"/>
      <w:bookmarkStart w:id="42" w:name="_Toc8353"/>
      <w:bookmarkStart w:id="43"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7"/>
          <w:rFonts w:hint="eastAsia" w:ascii="黑体" w:hAnsi="黑体" w:eastAsia="黑体"/>
          <w:b w:val="0"/>
        </w:rPr>
        <w:t>般公共预算财政拨款基本支出决算情况说明</w:t>
      </w:r>
      <w:bookmarkEnd w:id="41"/>
      <w:bookmarkEnd w:id="42"/>
      <w:bookmarkEnd w:id="43"/>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2020年一般公共预算财政拨款基本支出86.35万元，其中：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经费67.5万元，主要包括：基本工资、津贴补贴、奖金、伙食补助费、绩效工资、机关事业单位基本养老保险缴费、职工基本医疗保险缴费、其他社会保障缴费、其他工资福利支出、奖励金、住房公积金、其他对个人和家庭的补助支出等。</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日常公用经费18.85万元，主要包括：办公费、咨询费、手续费、、差旅费、公务接待费、工会经费、福利费、公务用车运行维护费。</w:t>
      </w:r>
    </w:p>
    <w:p>
      <w:pPr>
        <w:spacing w:line="576" w:lineRule="exact"/>
        <w:ind w:firstLine="640" w:firstLineChars="200"/>
        <w:outlineLvl w:val="1"/>
        <w:rPr>
          <w:rStyle w:val="17"/>
          <w:rFonts w:ascii="黑体" w:hAnsi="黑体" w:eastAsia="黑体"/>
          <w:b w:val="0"/>
        </w:rPr>
      </w:pPr>
      <w:bookmarkStart w:id="44" w:name="_Toc15396609"/>
      <w:bookmarkStart w:id="45" w:name="_Toc15377215"/>
      <w:bookmarkStart w:id="46" w:name="_Toc545"/>
      <w:r>
        <w:rPr>
          <w:rFonts w:hint="eastAsia" w:ascii="黑体" w:eastAsia="黑体"/>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44"/>
      <w:bookmarkEnd w:id="45"/>
      <w:bookmarkEnd w:id="46"/>
    </w:p>
    <w:p>
      <w:pPr>
        <w:spacing w:line="576" w:lineRule="exact"/>
        <w:ind w:firstLine="640" w:firstLineChars="200"/>
        <w:rPr>
          <w:rFonts w:ascii="楷体_GB2312" w:hAnsi="楷体_GB2312" w:eastAsia="楷体_GB2312" w:cs="楷体_GB2312"/>
          <w:bCs/>
          <w:sz w:val="32"/>
          <w:szCs w:val="32"/>
        </w:rPr>
      </w:pPr>
      <w:bookmarkStart w:id="47" w:name="_Toc15377216"/>
      <w:r>
        <w:rPr>
          <w:rFonts w:hint="eastAsia" w:ascii="楷体_GB2312" w:hAnsi="楷体_GB2312" w:eastAsia="楷体_GB2312" w:cs="楷体_GB2312"/>
          <w:bCs/>
          <w:sz w:val="32"/>
          <w:szCs w:val="32"/>
        </w:rPr>
        <w:t>（一）“三公”经费财政拨款支出决算总体情况说明</w:t>
      </w:r>
      <w:bookmarkEnd w:id="47"/>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2020年“三公”经费财政拨款支出决算为13.46万元，完成预算100%。</w:t>
      </w:r>
    </w:p>
    <w:p>
      <w:pPr>
        <w:spacing w:line="576" w:lineRule="exact"/>
        <w:ind w:firstLine="640" w:firstLineChars="200"/>
        <w:rPr>
          <w:rFonts w:ascii="楷体_GB2312" w:hAnsi="楷体_GB2312" w:eastAsia="楷体_GB2312" w:cs="楷体_GB2312"/>
          <w:bCs/>
          <w:sz w:val="32"/>
          <w:szCs w:val="32"/>
        </w:rPr>
      </w:pPr>
      <w:bookmarkStart w:id="48" w:name="_Toc15377217"/>
      <w:r>
        <w:rPr>
          <w:rFonts w:hint="eastAsia" w:ascii="楷体_GB2312" w:hAnsi="楷体_GB2312" w:eastAsia="楷体_GB2312" w:cs="楷体_GB2312"/>
          <w:bCs/>
          <w:sz w:val="32"/>
          <w:szCs w:val="32"/>
        </w:rPr>
        <w:t>（二）“三公”经费财政拨款支出决算具体情况说明</w:t>
      </w:r>
      <w:bookmarkEnd w:id="48"/>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2020年“三公”经费财政拨款支出决算中，因公出国（境）费支出决算0万元，占0%；公务用车购置及运行维护费支出决算13.39万元，占99.48%；公务接待费支出决算0.07万元，占0.52%。具体情况如下：</w:t>
      </w:r>
    </w:p>
    <w:p>
      <w:pPr>
        <w:spacing w:line="576" w:lineRule="exact"/>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420" w:firstLineChars="200"/>
        <w:rPr>
          <w:rFonts w:hint="eastAsia" w:ascii="仿宋_GB2312" w:hAnsi="仿宋_GB2312" w:eastAsia="仿宋_GB2312" w:cs="仿宋_GB2312"/>
          <w:sz w:val="32"/>
          <w:szCs w:val="32"/>
        </w:rPr>
      </w:pPr>
      <w:r>
        <w:drawing>
          <wp:anchor distT="0" distB="0" distL="114300" distR="114300" simplePos="0" relativeHeight="251664384" behindDoc="0" locked="0" layoutInCell="1" allowOverlap="1">
            <wp:simplePos x="0" y="0"/>
            <wp:positionH relativeFrom="column">
              <wp:posOffset>974090</wp:posOffset>
            </wp:positionH>
            <wp:positionV relativeFrom="paragraph">
              <wp:posOffset>67310</wp:posOffset>
            </wp:positionV>
            <wp:extent cx="3580765" cy="1696085"/>
            <wp:effectExtent l="4445" t="4445" r="15240" b="13970"/>
            <wp:wrapSquare wrapText="bothSides"/>
            <wp:docPr id="2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hint="eastAsia" w:ascii="仿宋_GB2312" w:hAnsi="仿宋_GB2312" w:eastAsia="仿宋_GB2312" w:cs="仿宋_GB2312"/>
          <w:sz w:val="32"/>
          <w:szCs w:val="32"/>
        </w:rPr>
      </w:pPr>
    </w:p>
    <w:p>
      <w:pPr>
        <w:spacing w:line="576" w:lineRule="exact"/>
        <w:rPr>
          <w:rFonts w:hint="eastAsia" w:ascii="仿宋_GB2312" w:hAnsi="仿宋_GB2312" w:eastAsia="仿宋_GB2312" w:cs="仿宋_GB2312"/>
          <w:sz w:val="32"/>
          <w:szCs w:val="32"/>
        </w:rPr>
      </w:pPr>
    </w:p>
    <w:p>
      <w:pPr>
        <w:ind w:firstLine="642" w:firstLineChars="200"/>
        <w:rPr>
          <w:rFonts w:hint="eastAsia" w:eastAsia="仿宋_GB2312" w:cs="Times New Roman"/>
          <w:color w:val="auto"/>
          <w:sz w:val="32"/>
          <w:szCs w:val="32"/>
          <w:lang w:eastAsia="zh-CN"/>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Style w:val="14"/>
          <w:rFonts w:hint="eastAsia" w:ascii="仿宋_GB2312" w:hAnsi="仿宋_GB2312" w:eastAsia="仿宋_GB2312" w:cs="仿宋_GB2312"/>
          <w:b w:val="0"/>
          <w:bCs/>
          <w:sz w:val="32"/>
          <w:szCs w:val="32"/>
        </w:rPr>
        <w:t>。</w:t>
      </w:r>
      <w:r>
        <w:rPr>
          <w:rFonts w:hint="eastAsia" w:eastAsia="仿宋_GB2312" w:cs="Times New Roman"/>
          <w:color w:val="auto"/>
          <w:sz w:val="32"/>
          <w:szCs w:val="32"/>
          <w:lang w:eastAsia="zh-CN"/>
        </w:rPr>
        <w:t>年初未安排预算，与上年持平。</w:t>
      </w:r>
    </w:p>
    <w:p>
      <w:pPr>
        <w:spacing w:line="576" w:lineRule="exact"/>
        <w:ind w:firstLine="642"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13.39万元,</w:t>
      </w:r>
      <w:r>
        <w:rPr>
          <w:rStyle w:val="14"/>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公务用车购置及运行维护费支出决算比2019年增加3.35万元，增长33.37%。主要原因是公务车辆购置年限久、老化严重，维修费和保养费增加。</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0万元。截至2020年12月底，单位共有公务用车2辆，其中：轿车0辆、越野车2辆、载客汽车0辆。</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13.39万元。主要用于开展评审业务工作、下乡帮扶等所需的公务用车燃料费、维修费、过路过桥费、保险费等支出。</w:t>
      </w:r>
    </w:p>
    <w:p>
      <w:pPr>
        <w:spacing w:line="576"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0.07万元，</w:t>
      </w:r>
      <w:r>
        <w:rPr>
          <w:rStyle w:val="14"/>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公务接待费支出决算比2019年增加0.07万元，增长100%。主要原因是2019年未产生公务接待费。其中：</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国内公务接待支出0.07万元，主要用于执行公务、开展业务活动开支的用餐费等。国内公务接待1批次，6人次（不包括陪同人员），共计支出0.07万元，具体内容包括：县区财政评审中心来对接评审工作等。</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外事接待支出0万元，外事接待0批次，0人。</w:t>
      </w:r>
    </w:p>
    <w:p>
      <w:pPr>
        <w:spacing w:line="576" w:lineRule="exact"/>
        <w:ind w:firstLine="640" w:firstLineChars="200"/>
        <w:outlineLvl w:val="1"/>
        <w:rPr>
          <w:rStyle w:val="17"/>
          <w:rFonts w:ascii="黑体" w:hAnsi="黑体" w:eastAsia="黑体"/>
        </w:rPr>
      </w:pPr>
      <w:bookmarkStart w:id="49" w:name="_Toc21767"/>
      <w:r>
        <w:rPr>
          <w:rFonts w:hint="eastAsia" w:ascii="黑体" w:eastAsia="黑体"/>
          <w:sz w:val="32"/>
          <w:szCs w:val="32"/>
        </w:rPr>
        <w:t>八、</w:t>
      </w:r>
      <w:r>
        <w:rPr>
          <w:rStyle w:val="17"/>
          <w:rFonts w:hint="eastAsia" w:ascii="黑体" w:hAnsi="黑体" w:eastAsia="黑体"/>
          <w:b w:val="0"/>
        </w:rPr>
        <w:t>政府性基金预算支出决算情况说明</w:t>
      </w:r>
      <w:bookmarkEnd w:id="49"/>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2020年政府性基金预算拨款支出0万元。2020年本单位未在政府性基金预算拨款安排“三公经费”支出</w:t>
      </w:r>
      <w:r>
        <w:rPr>
          <w:rFonts w:hint="eastAsia" w:ascii="仿宋_GB2312" w:hAnsi="仿宋_GB2312" w:eastAsia="仿宋_GB2312" w:cs="仿宋_GB2312"/>
          <w:sz w:val="32"/>
          <w:szCs w:val="32"/>
          <w:lang w:eastAsia="zh-CN"/>
        </w:rPr>
        <w:t>。</w:t>
      </w:r>
    </w:p>
    <w:p>
      <w:pPr>
        <w:numPr>
          <w:ilvl w:val="0"/>
          <w:numId w:val="1"/>
        </w:numPr>
        <w:spacing w:line="576" w:lineRule="exact"/>
        <w:ind w:firstLine="640" w:firstLineChars="200"/>
        <w:outlineLvl w:val="1"/>
        <w:rPr>
          <w:rStyle w:val="17"/>
          <w:rFonts w:ascii="黑体" w:hAnsi="黑体" w:eastAsia="黑体"/>
          <w:b w:val="0"/>
        </w:rPr>
      </w:pPr>
      <w:bookmarkStart w:id="50" w:name="_Toc15396611"/>
      <w:bookmarkStart w:id="51" w:name="_Toc15377219"/>
      <w:bookmarkStart w:id="52" w:name="_Toc32400"/>
      <w:r>
        <w:rPr>
          <w:rStyle w:val="17"/>
          <w:rFonts w:hint="eastAsia" w:ascii="黑体" w:hAnsi="黑体" w:eastAsia="黑体"/>
          <w:b w:val="0"/>
        </w:rPr>
        <w:t>国有资本经营预算支出决算情况说明</w:t>
      </w:r>
      <w:bookmarkEnd w:id="50"/>
      <w:bookmarkEnd w:id="51"/>
      <w:bookmarkEnd w:id="52"/>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2020年国有资本经营预算拨款支出0万元。</w:t>
      </w:r>
    </w:p>
    <w:p>
      <w:pPr>
        <w:spacing w:line="576" w:lineRule="exact"/>
        <w:ind w:firstLine="640" w:firstLineChars="200"/>
        <w:outlineLvl w:val="1"/>
        <w:rPr>
          <w:rStyle w:val="17"/>
          <w:rFonts w:ascii="黑体" w:hAnsi="黑体" w:eastAsia="黑体"/>
        </w:rPr>
      </w:pPr>
      <w:bookmarkStart w:id="53" w:name="_Toc15377221"/>
      <w:bookmarkStart w:id="54" w:name="_Toc15396612"/>
      <w:bookmarkStart w:id="55" w:name="_Toc16887"/>
      <w:r>
        <w:rPr>
          <w:rFonts w:hint="eastAsia" w:ascii="黑体" w:hAnsi="黑体" w:eastAsia="黑体"/>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53"/>
      <w:bookmarkEnd w:id="54"/>
      <w:bookmarkEnd w:id="55"/>
    </w:p>
    <w:p>
      <w:pPr>
        <w:spacing w:line="576" w:lineRule="exact"/>
        <w:ind w:firstLine="640" w:firstLineChars="200"/>
        <w:rPr>
          <w:rFonts w:ascii="楷体_GB2312" w:hAnsi="楷体_GB2312" w:eastAsia="楷体_GB2312" w:cs="楷体_GB2312"/>
          <w:bCs/>
          <w:sz w:val="32"/>
          <w:szCs w:val="32"/>
        </w:rPr>
      </w:pPr>
      <w:bookmarkStart w:id="56" w:name="_Toc15377222"/>
      <w:r>
        <w:rPr>
          <w:rFonts w:hint="eastAsia" w:ascii="楷体_GB2312" w:hAnsi="楷体_GB2312" w:eastAsia="楷体_GB2312" w:cs="楷体_GB2312"/>
          <w:bCs/>
          <w:sz w:val="32"/>
          <w:szCs w:val="32"/>
        </w:rPr>
        <w:t>（一）机关运行经费支出情况</w:t>
      </w:r>
      <w:bookmarkEnd w:id="56"/>
    </w:p>
    <w:p>
      <w:pPr>
        <w:ind w:firstLine="640" w:firstLineChars="200"/>
        <w:rPr>
          <w:rFonts w:ascii="仿宋_GB2312" w:hAnsi="仿宋_GB2312" w:eastAsia="仿宋_GB2312" w:cs="仿宋_GB2312"/>
          <w:sz w:val="32"/>
          <w:szCs w:val="32"/>
        </w:rPr>
      </w:pPr>
      <w:r>
        <w:rPr>
          <w:rFonts w:hint="eastAsia" w:ascii="仿宋" w:hAnsi="仿宋" w:eastAsia="仿宋"/>
          <w:color w:val="000000"/>
          <w:sz w:val="32"/>
          <w:szCs w:val="32"/>
          <w:lang w:eastAsia="zh-CN"/>
        </w:rPr>
        <w:t>本单位未发生机关运行经费支出</w:t>
      </w:r>
      <w:r>
        <w:rPr>
          <w:rFonts w:hint="eastAsia" w:ascii="仿宋_GB2312" w:hAnsi="仿宋_GB2312" w:eastAsia="仿宋_GB2312" w:cs="仿宋_GB2312"/>
          <w:sz w:val="32"/>
          <w:szCs w:val="32"/>
        </w:rPr>
        <w:t>。</w:t>
      </w:r>
    </w:p>
    <w:p>
      <w:pPr>
        <w:spacing w:line="576" w:lineRule="exact"/>
        <w:ind w:firstLine="640" w:firstLineChars="200"/>
        <w:rPr>
          <w:rFonts w:ascii="楷体_GB2312" w:hAnsi="楷体_GB2312" w:eastAsia="楷体_GB2312" w:cs="楷体_GB2312"/>
          <w:bCs/>
          <w:sz w:val="32"/>
          <w:szCs w:val="32"/>
        </w:rPr>
      </w:pPr>
      <w:bookmarkStart w:id="57" w:name="_Toc15377223"/>
      <w:r>
        <w:rPr>
          <w:rFonts w:hint="eastAsia" w:ascii="楷体_GB2312" w:hAnsi="楷体_GB2312" w:eastAsia="楷体_GB2312" w:cs="楷体_GB2312"/>
          <w:bCs/>
          <w:sz w:val="32"/>
          <w:szCs w:val="32"/>
        </w:rPr>
        <w:t>（二）政府采购支出情况</w:t>
      </w:r>
      <w:bookmarkEnd w:id="57"/>
    </w:p>
    <w:p>
      <w:pPr>
        <w:spacing w:line="576"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2020年，广元市财政评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76" w:lineRule="exact"/>
        <w:ind w:firstLine="640" w:firstLineChars="200"/>
        <w:rPr>
          <w:rFonts w:ascii="楷体_GB2312" w:hAnsi="楷体_GB2312" w:eastAsia="楷体_GB2312" w:cs="楷体_GB2312"/>
          <w:bCs/>
          <w:sz w:val="32"/>
          <w:szCs w:val="32"/>
        </w:rPr>
      </w:pPr>
      <w:bookmarkStart w:id="58" w:name="_Toc15377224"/>
      <w:r>
        <w:rPr>
          <w:rFonts w:hint="eastAsia" w:ascii="楷体_GB2312" w:hAnsi="楷体_GB2312" w:eastAsia="楷体_GB2312" w:cs="楷体_GB2312"/>
          <w:bCs/>
          <w:sz w:val="32"/>
          <w:szCs w:val="32"/>
        </w:rPr>
        <w:t>（三）国有资产占有使用情况</w:t>
      </w:r>
      <w:bookmarkEnd w:id="58"/>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广元市财政评审中心共有车辆2辆，其中：主要领导干部用车0辆、机要通信用车0辆、应急保障用车0辆、其他用车2辆，其他用车均为一般公务用车。单价50万元以上通用设备0套，单价100万元以上专用设备0台（套）。</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（四）预算绩效管理情况。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开展的项目属于经常性项目，不属于重点建设项目，因此不需要开展预算事前绩效评估。本单位在年初预算编制阶段，对3个项目编制了绩效目标，预算执行过程中，选取3个项目开展绩效监控。年终执行完毕后，对3个项目开展了绩效目标完成情况自评。</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2020年单位整体支出开展绩效自评，从自评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本单位还自行组织了3个项目支出绩效评价，从评价情况来看项目基本完成年初绩效目标，确保圆满完成了财政评审工作目标任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1.项目绩效目标完成情况。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本单位在2020年度部门决算中反映“评审工作经费”“评审工作设备购置经费”“评审专家聘用及工作经费”等3个项目绩效目标实际完成情况。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评审工作经费项目绩效目标完成情况综述。项目全年预算数10.29万元，执行数为10.29万元，完成预算的100%。通过项目实施，保障了评审管理各项工作有序开展，全年评审工作整体运行规范有序,为服务项目建设、节约财政资金作出了积极贡献。</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工作设备购置经费项目绩效目标完成情况综述。项目全年预算数20万元，执行数为0万元，完成预算的0%。项目资金未执行的原因是严格执行市委、市政府关于“过紧日子”的十三条措施，控制新购办公设备，以调剂使用为主。</w:t>
      </w:r>
    </w:p>
    <w:p>
      <w:pPr>
        <w:spacing w:line="576"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3）评审专家聘用及工作经费项目绩效目标完成情况综述。项目全年预算数200万元，执行数为174.63万元，完成预算的87.32%。通过项目实施，保障了14名评审聘用人员工资发放及保险缴纳，确保评审工作正常开展。发现的主要问题：项目测算标准有待细化，测算准确率有待提高。下一步改进措施：细化预算编制工作，提升预算准确度和执行进度。</w:t>
      </w: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pPr>
    </w:p>
    <w:p>
      <w:pPr>
        <w:spacing w:line="576" w:lineRule="exact"/>
        <w:ind w:firstLine="640" w:firstLineChars="200"/>
        <w:rPr>
          <w:rFonts w:ascii="仿宋_GB2312" w:hAnsi="仿宋" w:eastAsia="仿宋_GB2312"/>
          <w:sz w:val="32"/>
          <w:szCs w:val="32"/>
        </w:rPr>
        <w:sectPr>
          <w:footerReference r:id="rId5" w:type="default"/>
          <w:pgSz w:w="11906" w:h="16838"/>
          <w:pgMar w:top="2098" w:right="1474" w:bottom="1984" w:left="1587" w:header="851" w:footer="992" w:gutter="0"/>
          <w:pgNumType w:start="1"/>
          <w:cols w:space="425" w:num="1"/>
          <w:docGrid w:type="lines" w:linePitch="312" w:charSpace="0"/>
        </w:sect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86"/>
        <w:gridCol w:w="2308"/>
        <w:gridCol w:w="2392"/>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sz w:val="36"/>
                <w:szCs w:val="36"/>
              </w:rPr>
            </w:pPr>
            <w:r>
              <w:rPr>
                <w:rFonts w:hint="eastAsia" w:ascii="黑体" w:hAnsi="黑体" w:eastAsia="黑体" w:cs="黑体"/>
                <w:kern w:val="0"/>
                <w:sz w:val="36"/>
                <w:szCs w:val="36"/>
              </w:rPr>
              <w:t>项目绩效目标完成情况表</w:t>
            </w:r>
            <w:r>
              <w:rPr>
                <w:rFonts w:hint="eastAsia" w:ascii="黑体" w:hAnsi="黑体" w:eastAsia="黑体" w:cs="黑体"/>
                <w:kern w:val="0"/>
                <w:sz w:val="36"/>
                <w:szCs w:val="36"/>
              </w:rPr>
              <w:br w:type="textWrapping"/>
            </w:r>
            <w:r>
              <w:rPr>
                <w:rFonts w:hint="eastAsia" w:ascii="宋体" w:hAnsi="宋体" w:cs="宋体"/>
                <w:kern w:val="0"/>
                <w:sz w:val="36"/>
                <w:szCs w:val="36"/>
              </w:rPr>
              <w:t>（</w:t>
            </w:r>
            <w:r>
              <w:rPr>
                <w:rFonts w:ascii="宋体" w:hAnsi="宋体" w:cs="宋体"/>
                <w:kern w:val="0"/>
                <w:sz w:val="36"/>
                <w:szCs w:val="36"/>
              </w:rPr>
              <w:t>2020</w:t>
            </w:r>
            <w:r>
              <w:rPr>
                <w:rFonts w:hint="eastAsia" w:ascii="宋体" w:hAnsi="宋体" w:cs="宋体"/>
                <w:kern w:val="0"/>
                <w:sz w:val="36"/>
                <w:szCs w:val="36"/>
              </w:rPr>
              <w:t>年度）</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项目名称</w:t>
            </w:r>
          </w:p>
        </w:tc>
        <w:tc>
          <w:tcPr>
            <w:tcW w:w="682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评审工作经费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预算单位</w:t>
            </w:r>
          </w:p>
        </w:tc>
        <w:tc>
          <w:tcPr>
            <w:tcW w:w="682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广元市财政评审中心</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预算执行情况（万元）</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1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1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12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年度目标完成情况</w:t>
            </w:r>
          </w:p>
        </w:tc>
        <w:tc>
          <w:tcPr>
            <w:tcW w:w="42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425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紧紧围绕全市财政中心工作，按质按量完成政府投资建设项目评审，节约财政资金，助推项目实施。</w:t>
            </w:r>
          </w:p>
        </w:tc>
        <w:tc>
          <w:tcPr>
            <w:tcW w:w="4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二级指标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三级指标</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数量指标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工作内容</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cs="宋体" w:asciiTheme="majorEastAsia" w:hAnsiTheme="majorEastAsia" w:eastAsiaTheme="majorEastAsia"/>
                <w:sz w:val="24"/>
              </w:rPr>
              <w:t>保障第三方机构评价工作经费</w:t>
            </w:r>
            <w:r>
              <w:rPr>
                <w:rFonts w:hint="eastAsia" w:cs="宋体" w:asciiTheme="majorEastAsia" w:hAnsiTheme="majorEastAsia" w:eastAsiaTheme="majorEastAsia"/>
                <w:sz w:val="24"/>
              </w:rPr>
              <w:t>及开展评审项目踏勘专项费用。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cs="宋体" w:asciiTheme="majorEastAsia" w:hAnsiTheme="majorEastAsia" w:eastAsiaTheme="majorEastAsia"/>
                <w:sz w:val="24"/>
              </w:rPr>
              <w:t>保障了第三方机构评价工作经费</w:t>
            </w:r>
            <w:r>
              <w:rPr>
                <w:rFonts w:hint="eastAsia" w:cs="宋体" w:asciiTheme="majorEastAsia" w:hAnsiTheme="majorEastAsia" w:eastAsiaTheme="majorEastAsia"/>
                <w:sz w:val="24"/>
              </w:rPr>
              <w:t>及开展评审项目踏勘专项费用。</w:t>
            </w:r>
          </w:p>
        </w:tc>
      </w:tr>
      <w:tr>
        <w:tblPrEx>
          <w:tblCellMar>
            <w:top w:w="0" w:type="dxa"/>
            <w:left w:w="0" w:type="dxa"/>
            <w:bottom w:w="0" w:type="dxa"/>
            <w:right w:w="0" w:type="dxa"/>
          </w:tblCellMar>
        </w:tblPrEx>
        <w:trPr>
          <w:trHeight w:val="1124"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质量</w:t>
            </w:r>
            <w:r>
              <w:rPr>
                <w:rFonts w:ascii="宋体" w:cs="宋体"/>
                <w:sz w:val="24"/>
              </w:rPr>
              <w:t>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评审质量</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评审</w:t>
            </w:r>
            <w:r>
              <w:rPr>
                <w:rFonts w:ascii="宋体" w:cs="宋体"/>
                <w:sz w:val="24"/>
              </w:rPr>
              <w:t>误差率控制在</w:t>
            </w:r>
            <w:r>
              <w:rPr>
                <w:rFonts w:hint="eastAsia" w:ascii="宋体" w:cs="宋体"/>
                <w:sz w:val="24"/>
              </w:rPr>
              <w:t>3%以内。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评审</w:t>
            </w:r>
            <w:r>
              <w:rPr>
                <w:rFonts w:ascii="宋体" w:cs="宋体"/>
                <w:sz w:val="24"/>
              </w:rPr>
              <w:t>误差率小于</w:t>
            </w:r>
            <w:r>
              <w:rPr>
                <w:rFonts w:hint="eastAsia" w:ascii="宋体" w:cs="宋体"/>
                <w:sz w:val="24"/>
              </w:rPr>
              <w:t>3%。</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时效</w:t>
            </w:r>
            <w:r>
              <w:rPr>
                <w:rFonts w:ascii="宋体" w:cs="宋体"/>
                <w:sz w:val="24"/>
              </w:rPr>
              <w:t>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评审完成时限</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按规定时间完成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按规定时间完成</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成本指标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工作经费</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10.29万元</w:t>
            </w:r>
          </w:p>
        </w:tc>
      </w:tr>
      <w:tr>
        <w:tblPrEx>
          <w:tblCellMar>
            <w:top w:w="0" w:type="dxa"/>
            <w:left w:w="0" w:type="dxa"/>
            <w:bottom w:w="0" w:type="dxa"/>
            <w:right w:w="0" w:type="dxa"/>
          </w:tblCellMar>
        </w:tblPrEx>
        <w:trPr>
          <w:trHeight w:val="66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经济效益</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节约财政资金</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审减率12%。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审减率14.47%。</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cs="宋体" w:asciiTheme="minorEastAsia" w:hAnsiTheme="minorEastAsia" w:eastAsiaTheme="minorEastAsia"/>
                <w:sz w:val="24"/>
              </w:rPr>
              <w:t>社会效益</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项目</w:t>
            </w:r>
            <w:r>
              <w:rPr>
                <w:rFonts w:cs="宋体" w:asciiTheme="minorEastAsia" w:hAnsiTheme="minorEastAsia" w:eastAsiaTheme="minorEastAsia"/>
                <w:sz w:val="24"/>
              </w:rPr>
              <w:t>推进</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完成评审项目1700个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完成评审项目1758个</w:t>
            </w:r>
          </w:p>
        </w:tc>
      </w:tr>
      <w:tr>
        <w:tblPrEx>
          <w:tblCellMar>
            <w:top w:w="0" w:type="dxa"/>
            <w:left w:w="0" w:type="dxa"/>
            <w:bottom w:w="0" w:type="dxa"/>
            <w:right w:w="0" w:type="dxa"/>
          </w:tblCellMar>
        </w:tblPrEx>
        <w:trPr>
          <w:trHeight w:val="8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可持续影响指标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经济</w:t>
            </w:r>
            <w:r>
              <w:rPr>
                <w:rFonts w:ascii="宋体" w:cs="宋体"/>
                <w:sz w:val="24"/>
              </w:rPr>
              <w:t>发展</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服务</w:t>
            </w:r>
            <w:r>
              <w:rPr>
                <w:rFonts w:ascii="宋体" w:cs="宋体"/>
                <w:sz w:val="24"/>
              </w:rPr>
              <w:t>重点项目</w:t>
            </w:r>
            <w:r>
              <w:rPr>
                <w:rFonts w:hint="eastAsia" w:ascii="宋体" w:cs="宋体"/>
                <w:sz w:val="24"/>
              </w:rPr>
              <w:t>，</w:t>
            </w:r>
            <w:r>
              <w:rPr>
                <w:rFonts w:ascii="宋体" w:cs="宋体"/>
                <w:sz w:val="24"/>
              </w:rPr>
              <w:t>保障项目顺利实施</w:t>
            </w:r>
            <w:r>
              <w:rPr>
                <w:rFonts w:hint="eastAsia" w:ascii="宋体" w:cs="宋体"/>
                <w:sz w:val="24"/>
              </w:rPr>
              <w:t>，</w:t>
            </w:r>
            <w:r>
              <w:rPr>
                <w:rFonts w:ascii="宋体" w:cs="宋体"/>
                <w:sz w:val="24"/>
              </w:rPr>
              <w:t>促进经济增长</w:t>
            </w:r>
            <w:r>
              <w:rPr>
                <w:rFonts w:hint="eastAsia" w:ascii="宋体" w:cs="宋体"/>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服务</w:t>
            </w:r>
            <w:r>
              <w:rPr>
                <w:rFonts w:ascii="宋体" w:cs="宋体"/>
                <w:sz w:val="24"/>
              </w:rPr>
              <w:t>重点项目</w:t>
            </w:r>
            <w:r>
              <w:rPr>
                <w:rFonts w:hint="eastAsia" w:ascii="宋体" w:cs="宋体"/>
                <w:sz w:val="24"/>
              </w:rPr>
              <w:t>，</w:t>
            </w:r>
            <w:r>
              <w:rPr>
                <w:rFonts w:ascii="宋体" w:cs="宋体"/>
                <w:sz w:val="24"/>
              </w:rPr>
              <w:t>保障项目顺利实施</w:t>
            </w:r>
            <w:r>
              <w:rPr>
                <w:rFonts w:hint="eastAsia" w:ascii="宋体" w:cs="宋体"/>
                <w:sz w:val="24"/>
              </w:rPr>
              <w:t>，</w:t>
            </w:r>
            <w:r>
              <w:rPr>
                <w:rFonts w:ascii="宋体" w:cs="宋体"/>
                <w:sz w:val="24"/>
              </w:rPr>
              <w:t>促进经济增长</w:t>
            </w:r>
            <w:r>
              <w:rPr>
                <w:rFonts w:hint="eastAsia" w:ascii="宋体" w:cs="宋体"/>
                <w:sz w:val="24"/>
              </w:rPr>
              <w:t>。</w:t>
            </w:r>
          </w:p>
        </w:tc>
      </w:tr>
      <w:tr>
        <w:tblPrEx>
          <w:tblCellMar>
            <w:top w:w="0" w:type="dxa"/>
            <w:left w:w="0" w:type="dxa"/>
            <w:bottom w:w="0" w:type="dxa"/>
            <w:right w:w="0" w:type="dxa"/>
          </w:tblCellMar>
        </w:tblPrEx>
        <w:trPr>
          <w:trHeight w:val="54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满意度</w:t>
            </w:r>
          </w:p>
          <w:p>
            <w:pPr>
              <w:widowControl/>
              <w:jc w:val="center"/>
              <w:textAlignment w:val="center"/>
              <w:rPr>
                <w:rFonts w:ascii="宋体" w:cs="宋体"/>
                <w:sz w:val="24"/>
              </w:rPr>
            </w:pPr>
            <w:r>
              <w:rPr>
                <w:rFonts w:hint="eastAsia" w:ascii="宋体" w:hAnsi="宋体" w:cs="宋体"/>
                <w:kern w:val="0"/>
                <w:sz w:val="24"/>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满意度指标</w:t>
            </w:r>
          </w:p>
        </w:tc>
        <w:tc>
          <w:tcPr>
            <w:tcW w:w="184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评审</w:t>
            </w:r>
            <w:r>
              <w:rPr>
                <w:rFonts w:ascii="宋体" w:cs="宋体"/>
                <w:sz w:val="24"/>
              </w:rPr>
              <w:t>对象满意度</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95%</w:t>
            </w:r>
          </w:p>
        </w:tc>
      </w:tr>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sz w:val="36"/>
                <w:szCs w:val="36"/>
              </w:rPr>
            </w:pPr>
            <w:r>
              <w:rPr>
                <w:rFonts w:hint="eastAsia" w:ascii="宋体" w:hAnsi="宋体" w:cs="宋体"/>
                <w:b/>
                <w:bCs/>
                <w:kern w:val="0"/>
                <w:sz w:val="36"/>
                <w:szCs w:val="36"/>
              </w:rPr>
              <w:t>项目绩效目标完成情况表</w:t>
            </w:r>
            <w:r>
              <w:rPr>
                <w:rFonts w:ascii="宋体" w:cs="宋体"/>
                <w:b/>
                <w:bCs/>
                <w:kern w:val="0"/>
                <w:sz w:val="36"/>
                <w:szCs w:val="36"/>
              </w:rPr>
              <w:br w:type="textWrapping"/>
            </w:r>
            <w:r>
              <w:rPr>
                <w:rFonts w:hint="eastAsia" w:ascii="宋体" w:hAnsi="宋体" w:cs="宋体"/>
                <w:kern w:val="0"/>
                <w:sz w:val="36"/>
                <w:szCs w:val="36"/>
              </w:rPr>
              <w:t>（</w:t>
            </w:r>
            <w:r>
              <w:rPr>
                <w:rFonts w:ascii="宋体" w:hAnsi="宋体" w:cs="宋体"/>
                <w:kern w:val="0"/>
                <w:sz w:val="36"/>
                <w:szCs w:val="36"/>
              </w:rPr>
              <w:t>2020</w:t>
            </w:r>
            <w:r>
              <w:rPr>
                <w:rFonts w:hint="eastAsia" w:ascii="宋体" w:hAnsi="宋体" w:cs="宋体"/>
                <w:kern w:val="0"/>
                <w:sz w:val="36"/>
                <w:szCs w:val="36"/>
              </w:rPr>
              <w:t>年度）</w:t>
            </w:r>
          </w:p>
        </w:tc>
      </w:tr>
      <w:tr>
        <w:tblPrEx>
          <w:tblCellMar>
            <w:top w:w="0" w:type="dxa"/>
            <w:left w:w="0" w:type="dxa"/>
            <w:bottom w:w="0" w:type="dxa"/>
            <w:right w:w="0" w:type="dxa"/>
          </w:tblCellMar>
        </w:tblPrEx>
        <w:trPr>
          <w:trHeight w:val="558"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项目名称</w:t>
            </w:r>
          </w:p>
        </w:tc>
        <w:tc>
          <w:tcPr>
            <w:tcW w:w="682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评审工作设备购置经费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预算单位</w:t>
            </w:r>
          </w:p>
        </w:tc>
        <w:tc>
          <w:tcPr>
            <w:tcW w:w="6826"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广元市财政评审中心</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预算执行情况（万元）</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w:t>
            </w:r>
          </w:p>
        </w:tc>
      </w:tr>
      <w:tr>
        <w:tblPrEx>
          <w:tblCellMar>
            <w:top w:w="0" w:type="dxa"/>
            <w:left w:w="0" w:type="dxa"/>
            <w:bottom w:w="0" w:type="dxa"/>
            <w:right w:w="0" w:type="dxa"/>
          </w:tblCellMar>
        </w:tblPrEx>
        <w:trPr>
          <w:trHeight w:val="468"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46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hint="eastAsia" w:asciiTheme="majorEastAsia" w:hAnsiTheme="majorEastAsia" w:eastAsiaTheme="majorEastAsia"/>
                <w:sz w:val="24"/>
              </w:rPr>
              <w:t>提高办公条件，完善办公环境，提升工作效率。</w:t>
            </w:r>
          </w:p>
        </w:tc>
        <w:tc>
          <w:tcPr>
            <w:tcW w:w="4786"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未实施。</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1870"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设备数量</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cs="宋体" w:asciiTheme="majorEastAsia" w:hAnsiTheme="majorEastAsia" w:eastAsiaTheme="majorEastAsia"/>
                <w:sz w:val="24"/>
              </w:rPr>
              <w:t>购置台式计算机</w:t>
            </w:r>
            <w:r>
              <w:rPr>
                <w:rFonts w:hint="eastAsia" w:cs="宋体" w:asciiTheme="majorEastAsia" w:hAnsiTheme="majorEastAsia" w:eastAsiaTheme="majorEastAsia"/>
                <w:sz w:val="24"/>
              </w:rPr>
              <w:t>18台、便携式计算机10台、打印设备5、复印机1台、多功能一体机6号、碎纸机3台。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质量</w:t>
            </w: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设备质量</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达到政府采购标准。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时效</w:t>
            </w: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采购时间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按政府采购时限要求完成。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经济</w:t>
            </w:r>
            <w:r>
              <w:rPr>
                <w:rFonts w:ascii="宋体" w:cs="宋体"/>
                <w:sz w:val="24"/>
              </w:rPr>
              <w:t>效益</w:t>
            </w:r>
          </w:p>
          <w:p>
            <w:pPr>
              <w:widowControl/>
              <w:jc w:val="center"/>
              <w:textAlignment w:val="center"/>
              <w:rPr>
                <w:rFonts w:ascii="宋体" w:cs="宋体"/>
                <w:sz w:val="24"/>
              </w:rPr>
            </w:pP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评审工作开展</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Theme="majorEastAsia" w:hAnsiTheme="majorEastAsia" w:eastAsiaTheme="majorEastAsia"/>
                <w:sz w:val="24"/>
              </w:rPr>
              <w:t>评审工作顺利完成。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生态效益</w:t>
            </w:r>
          </w:p>
          <w:p>
            <w:pPr>
              <w:widowControl/>
              <w:jc w:val="center"/>
              <w:textAlignment w:val="center"/>
              <w:rPr>
                <w:rFonts w:ascii="宋体" w:cs="宋体"/>
                <w:sz w:val="24"/>
              </w:rPr>
            </w:pP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环保标准</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达到国家环保标准。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满意度</w:t>
            </w:r>
          </w:p>
          <w:p>
            <w:pPr>
              <w:widowControl/>
              <w:jc w:val="center"/>
              <w:textAlignment w:val="center"/>
              <w:rPr>
                <w:rFonts w:ascii="宋体" w:cs="宋体"/>
                <w:sz w:val="24"/>
              </w:rPr>
            </w:pPr>
            <w:r>
              <w:rPr>
                <w:rFonts w:hint="eastAsia" w:ascii="宋体" w:hAnsi="宋体" w:cs="宋体"/>
                <w:kern w:val="0"/>
                <w:sz w:val="24"/>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满意度</w:t>
            </w:r>
          </w:p>
          <w:p>
            <w:pPr>
              <w:widowControl/>
              <w:jc w:val="center"/>
              <w:textAlignment w:val="center"/>
              <w:rPr>
                <w:rFonts w:ascii="宋体" w:cs="宋体"/>
                <w:sz w:val="24"/>
              </w:rPr>
            </w:pP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使用对象</w:t>
            </w:r>
            <w:r>
              <w:rPr>
                <w:rFonts w:ascii="宋体" w:cs="宋体"/>
                <w:sz w:val="24"/>
              </w:rPr>
              <w:t>满意度</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未</w:t>
            </w:r>
            <w:r>
              <w:rPr>
                <w:rFonts w:hint="eastAsia" w:ascii="宋体" w:cs="宋体"/>
                <w:sz w:val="24"/>
              </w:rPr>
              <w:t>购置。</w:t>
            </w:r>
          </w:p>
        </w:tc>
      </w:tr>
    </w:tbl>
    <w:p>
      <w:pPr>
        <w:widowControl/>
        <w:ind w:firstLine="312" w:firstLineChars="149"/>
      </w:pPr>
    </w:p>
    <w:p>
      <w:pPr>
        <w:widowControl/>
        <w:ind w:firstLine="312" w:firstLineChars="149"/>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sz w:val="36"/>
                <w:szCs w:val="36"/>
              </w:rPr>
            </w:pPr>
            <w:r>
              <w:rPr>
                <w:rFonts w:hint="eastAsia" w:ascii="宋体" w:hAnsi="宋体" w:cs="宋体"/>
                <w:b/>
                <w:bCs/>
                <w:kern w:val="0"/>
                <w:sz w:val="36"/>
                <w:szCs w:val="36"/>
              </w:rPr>
              <w:t>项目绩效目标完成情况表</w:t>
            </w:r>
            <w:r>
              <w:rPr>
                <w:rFonts w:ascii="宋体" w:cs="宋体"/>
                <w:b/>
                <w:bCs/>
                <w:kern w:val="0"/>
                <w:sz w:val="36"/>
                <w:szCs w:val="36"/>
              </w:rPr>
              <w:br w:type="textWrapping"/>
            </w:r>
            <w:r>
              <w:rPr>
                <w:rFonts w:hint="eastAsia" w:ascii="宋体" w:hAnsi="宋体" w:cs="宋体"/>
                <w:kern w:val="0"/>
                <w:sz w:val="36"/>
                <w:szCs w:val="36"/>
              </w:rPr>
              <w:t>（</w:t>
            </w:r>
            <w:r>
              <w:rPr>
                <w:rFonts w:ascii="宋体" w:hAnsi="宋体" w:cs="宋体"/>
                <w:kern w:val="0"/>
                <w:sz w:val="36"/>
                <w:szCs w:val="36"/>
              </w:rPr>
              <w:t>2020</w:t>
            </w:r>
            <w:r>
              <w:rPr>
                <w:rFonts w:hint="eastAsia" w:ascii="宋体" w:hAnsi="宋体" w:cs="宋体"/>
                <w:kern w:val="0"/>
                <w:sz w:val="36"/>
                <w:szCs w:val="36"/>
              </w:rPr>
              <w:t>年度）</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评审专家聘用及工作经费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广元市财政评审中心</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预算执行情况（万元）</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预算数</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执行数</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174.63</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200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其中</w:t>
            </w:r>
            <w:r>
              <w:rPr>
                <w:rFonts w:ascii="宋体" w:cs="宋体"/>
                <w:kern w:val="0"/>
                <w:sz w:val="24"/>
              </w:rPr>
              <w:t>-</w:t>
            </w:r>
            <w:r>
              <w:rPr>
                <w:rFonts w:hint="eastAsia" w:ascii="宋体" w:hAnsi="宋体" w:cs="宋体"/>
                <w:kern w:val="0"/>
                <w:sz w:val="24"/>
              </w:rPr>
              <w:t>财政拨款</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174.63</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其它资金</w:t>
            </w:r>
            <w:r>
              <w:rPr>
                <w:rFonts w:ascii="宋体" w:hAns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945"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紧紧围绕全市财政中心工作，积极开展政府投资建设项目评审，节约财政资金，助推项目的有序推进。确保评审力量，不断优化充实专业人员，建设廉洁高效的评审队伍。</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圆满完成各项工作任务。</w:t>
            </w:r>
          </w:p>
        </w:tc>
      </w:tr>
      <w:tr>
        <w:tblPrEx>
          <w:tblCellMar>
            <w:top w:w="0" w:type="dxa"/>
            <w:left w:w="0" w:type="dxa"/>
            <w:bottom w:w="0" w:type="dxa"/>
            <w:right w:w="0" w:type="dxa"/>
          </w:tblCellMar>
        </w:tblPrEx>
        <w:trPr>
          <w:trHeight w:val="932"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117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聘用</w:t>
            </w:r>
            <w:r>
              <w:rPr>
                <w:rFonts w:ascii="宋体" w:cs="宋体"/>
                <w:sz w:val="24"/>
              </w:rPr>
              <w:t>人员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cs="宋体" w:asciiTheme="majorEastAsia" w:hAnsiTheme="majorEastAsia" w:eastAsiaTheme="majorEastAsia"/>
                <w:sz w:val="24"/>
              </w:rPr>
            </w:pPr>
            <w:r>
              <w:rPr>
                <w:rFonts w:hint="eastAsia" w:cs="仿宋_GB2312" w:asciiTheme="majorEastAsia" w:hAnsiTheme="majorEastAsia" w:eastAsiaTheme="majorEastAsia"/>
                <w:sz w:val="24"/>
              </w:rPr>
              <w:t>保障14名聘用专家的工资保险及评审工作经费。</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cs="仿宋_GB2312" w:asciiTheme="majorEastAsia" w:hAnsiTheme="majorEastAsia" w:eastAsiaTheme="majorEastAsia"/>
                <w:sz w:val="24"/>
              </w:rPr>
              <w:t>足额发放人员工资，缴纳保险，保证评审工作开展。</w:t>
            </w:r>
          </w:p>
        </w:tc>
      </w:tr>
      <w:tr>
        <w:tblPrEx>
          <w:tblCellMar>
            <w:top w:w="0" w:type="dxa"/>
            <w:left w:w="0" w:type="dxa"/>
            <w:bottom w:w="0" w:type="dxa"/>
            <w:right w:w="0" w:type="dxa"/>
          </w:tblCellMar>
        </w:tblPrEx>
        <w:trPr>
          <w:trHeight w:val="78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质量</w:t>
            </w: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评审质量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评审</w:t>
            </w:r>
            <w:r>
              <w:rPr>
                <w:rFonts w:ascii="宋体" w:cs="宋体"/>
                <w:sz w:val="24"/>
              </w:rPr>
              <w:t>误差率控制在</w:t>
            </w:r>
            <w:r>
              <w:rPr>
                <w:rFonts w:hint="eastAsia" w:ascii="宋体" w:cs="宋体"/>
                <w:sz w:val="24"/>
              </w:rPr>
              <w:t>3%以内。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评审</w:t>
            </w:r>
            <w:r>
              <w:rPr>
                <w:rFonts w:ascii="宋体" w:cs="宋体"/>
                <w:sz w:val="24"/>
              </w:rPr>
              <w:t>误差率小于</w:t>
            </w:r>
            <w:r>
              <w:rPr>
                <w:rFonts w:hint="eastAsia" w:ascii="宋体" w:cs="宋体"/>
                <w:sz w:val="24"/>
              </w:rPr>
              <w:t>3%。</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时效</w:t>
            </w: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资金</w:t>
            </w:r>
            <w:r>
              <w:rPr>
                <w:rFonts w:ascii="宋体" w:cs="宋体"/>
                <w:sz w:val="24"/>
              </w:rPr>
              <w:t>支付</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工资及保险按时支付。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工资及保险按时支付。</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经济</w:t>
            </w:r>
            <w:r>
              <w:rPr>
                <w:rFonts w:ascii="宋体" w:cs="宋体"/>
                <w:sz w:val="24"/>
              </w:rPr>
              <w:t>效益</w:t>
            </w:r>
          </w:p>
          <w:p>
            <w:pPr>
              <w:widowControl/>
              <w:jc w:val="center"/>
              <w:textAlignment w:val="center"/>
              <w:rPr>
                <w:rFonts w:ascii="宋体" w:cs="宋体"/>
                <w:sz w:val="24"/>
              </w:rPr>
            </w:pP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节约财政资金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审减率12%。</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_GB2312" w:asciiTheme="minorEastAsia" w:hAnsiTheme="minorEastAsia" w:eastAsiaTheme="minorEastAsia"/>
                <w:sz w:val="24"/>
              </w:rPr>
            </w:pPr>
            <w:r>
              <w:rPr>
                <w:rFonts w:hint="eastAsia" w:asciiTheme="minorEastAsia" w:hAnsiTheme="minorEastAsia" w:eastAsiaTheme="minorEastAsia"/>
                <w:sz w:val="24"/>
              </w:rPr>
              <w:t>审减率14.47%。</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cs="宋体" w:asciiTheme="minorEastAsia" w:hAnsiTheme="minorEastAsia" w:eastAsiaTheme="minorEastAsia"/>
                <w:sz w:val="24"/>
              </w:rPr>
              <w:t>项目</w:t>
            </w:r>
            <w:r>
              <w:rPr>
                <w:rFonts w:cs="宋体" w:asciiTheme="minorEastAsia" w:hAnsiTheme="minorEastAsia" w:eastAsiaTheme="minorEastAsia"/>
                <w:sz w:val="24"/>
              </w:rPr>
              <w:t>推进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完成评审项目1700个</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宋体" w:asciiTheme="minorEastAsia" w:hAnsiTheme="minorEastAsia" w:eastAsiaTheme="minorEastAsia"/>
                <w:sz w:val="24"/>
              </w:rPr>
            </w:pPr>
            <w:r>
              <w:rPr>
                <w:rFonts w:hint="eastAsia" w:asciiTheme="minorEastAsia" w:hAnsiTheme="minorEastAsia" w:eastAsiaTheme="minorEastAsia"/>
                <w:sz w:val="24"/>
              </w:rPr>
              <w:t>完成评审项目1758个</w:t>
            </w:r>
          </w:p>
        </w:tc>
      </w:tr>
      <w:tr>
        <w:tblPrEx>
          <w:tblCellMar>
            <w:top w:w="0" w:type="dxa"/>
            <w:left w:w="0" w:type="dxa"/>
            <w:bottom w:w="0" w:type="dxa"/>
            <w:right w:w="0" w:type="dxa"/>
          </w:tblCellMar>
        </w:tblPrEx>
        <w:trPr>
          <w:trHeight w:val="104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可持续影响指标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经济</w:t>
            </w:r>
            <w:r>
              <w:rPr>
                <w:rFonts w:ascii="宋体" w:cs="宋体"/>
                <w:sz w:val="24"/>
              </w:rPr>
              <w:t>发展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服务</w:t>
            </w:r>
            <w:r>
              <w:rPr>
                <w:rFonts w:ascii="宋体" w:cs="宋体"/>
                <w:sz w:val="24"/>
              </w:rPr>
              <w:t>重点项目</w:t>
            </w:r>
            <w:r>
              <w:rPr>
                <w:rFonts w:hint="eastAsia" w:ascii="宋体" w:cs="宋体"/>
                <w:sz w:val="24"/>
              </w:rPr>
              <w:t>，</w:t>
            </w:r>
            <w:r>
              <w:rPr>
                <w:rFonts w:ascii="宋体" w:cs="宋体"/>
                <w:sz w:val="24"/>
              </w:rPr>
              <w:t>保障项目顺利实施</w:t>
            </w:r>
            <w:r>
              <w:rPr>
                <w:rFonts w:hint="eastAsia" w:ascii="宋体" w:cs="宋体"/>
                <w:sz w:val="24"/>
              </w:rPr>
              <w:t>，</w:t>
            </w:r>
            <w:r>
              <w:rPr>
                <w:rFonts w:ascii="宋体" w:cs="宋体"/>
                <w:sz w:val="24"/>
              </w:rPr>
              <w:t>促进经济增长</w:t>
            </w:r>
            <w:r>
              <w:rPr>
                <w:rFonts w:hint="eastAsia" w:ascii="宋体" w:cs="宋体"/>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sz w:val="24"/>
              </w:rPr>
            </w:pPr>
            <w:r>
              <w:rPr>
                <w:rFonts w:hint="eastAsia" w:ascii="宋体" w:cs="宋体"/>
                <w:sz w:val="24"/>
              </w:rPr>
              <w:t>服务</w:t>
            </w:r>
            <w:r>
              <w:rPr>
                <w:rFonts w:ascii="宋体" w:cs="宋体"/>
                <w:sz w:val="24"/>
              </w:rPr>
              <w:t>重点项目</w:t>
            </w:r>
            <w:r>
              <w:rPr>
                <w:rFonts w:hint="eastAsia" w:ascii="宋体" w:cs="宋体"/>
                <w:sz w:val="24"/>
              </w:rPr>
              <w:t>，</w:t>
            </w:r>
            <w:r>
              <w:rPr>
                <w:rFonts w:ascii="宋体" w:cs="宋体"/>
                <w:sz w:val="24"/>
              </w:rPr>
              <w:t>保障项目顺利实施</w:t>
            </w:r>
            <w:r>
              <w:rPr>
                <w:rFonts w:hint="eastAsia" w:ascii="宋体" w:cs="宋体"/>
                <w:sz w:val="24"/>
              </w:rPr>
              <w:t>，</w:t>
            </w:r>
            <w:r>
              <w:rPr>
                <w:rFonts w:ascii="宋体" w:cs="宋体"/>
                <w:sz w:val="24"/>
              </w:rPr>
              <w:t>促进经济增长</w:t>
            </w:r>
            <w:r>
              <w:rPr>
                <w:rFonts w:hint="eastAsia" w:ascii="宋体" w:cs="宋体"/>
                <w:sz w:val="24"/>
              </w:rPr>
              <w:t>。</w:t>
            </w:r>
          </w:p>
        </w:tc>
      </w:tr>
      <w:tr>
        <w:tblPrEx>
          <w:tblCellMar>
            <w:top w:w="0" w:type="dxa"/>
            <w:left w:w="0" w:type="dxa"/>
            <w:bottom w:w="0" w:type="dxa"/>
            <w:right w:w="0" w:type="dxa"/>
          </w:tblCellMar>
        </w:tblPrEx>
        <w:trPr>
          <w:trHeight w:val="541" w:hRule="atLeast"/>
          <w:jc w:val="center"/>
        </w:trPr>
        <w:tc>
          <w:tcPr>
            <w:tcW w:w="1008"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满意度</w:t>
            </w:r>
          </w:p>
          <w:p>
            <w:pPr>
              <w:widowControl/>
              <w:jc w:val="center"/>
              <w:textAlignment w:val="center"/>
              <w:rPr>
                <w:rFonts w:ascii="宋体" w:cs="宋体"/>
                <w:sz w:val="24"/>
              </w:rPr>
            </w:pPr>
            <w:r>
              <w:rPr>
                <w:rFonts w:hint="eastAsia" w:ascii="宋体" w:hAnsi="宋体" w:cs="宋体"/>
                <w:kern w:val="0"/>
                <w:sz w:val="24"/>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ascii="宋体" w:cs="宋体"/>
                <w:sz w:val="24"/>
              </w:rPr>
              <w:t>满意度</w:t>
            </w:r>
          </w:p>
          <w:p>
            <w:pPr>
              <w:widowControl/>
              <w:jc w:val="center"/>
              <w:textAlignment w:val="center"/>
              <w:rPr>
                <w:rFonts w:ascii="宋体" w:cs="宋体"/>
                <w:sz w:val="24"/>
              </w:rPr>
            </w:pPr>
            <w:r>
              <w:rPr>
                <w:rFonts w:ascii="宋体" w:cs="宋体"/>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聘用人员</w:t>
            </w:r>
            <w:r>
              <w:rPr>
                <w:rFonts w:ascii="宋体" w:cs="宋体"/>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95%</w:t>
            </w:r>
          </w:p>
        </w:tc>
      </w:tr>
    </w:tbl>
    <w:p>
      <w:pPr>
        <w:widowControl/>
      </w:pPr>
    </w:p>
    <w:p>
      <w:pPr>
        <w:widowControl/>
        <w:spacing w:line="576" w:lineRule="exact"/>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widowControl/>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本部门按要求对2020年整体支出绩效评价情况开展自评，《广元市财政评审中心2020年整体支出绩效评价报告》见附件（附件1）。</w:t>
      </w: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本单位自行组织对</w:t>
      </w:r>
      <w:r>
        <w:rPr>
          <w:rFonts w:hint="eastAsia" w:ascii="仿宋_GB2312" w:hAnsi="仿宋_GB2312" w:eastAsia="仿宋_GB2312" w:cs="仿宋_GB2312"/>
          <w:sz w:val="32"/>
          <w:szCs w:val="32"/>
        </w:rPr>
        <w:t>评审工作经费、评审工作设备购置经费、评审专家聘用及工作经费</w:t>
      </w:r>
      <w:r>
        <w:rPr>
          <w:rFonts w:hint="eastAsia" w:ascii="仿宋_GB2312" w:eastAsia="仿宋_GB2312"/>
          <w:sz w:val="32"/>
          <w:szCs w:val="32"/>
        </w:rPr>
        <w:t>项目</w:t>
      </w:r>
      <w:r>
        <w:rPr>
          <w:rFonts w:hint="eastAsia" w:ascii="仿宋_GB2312" w:hAnsi="仿宋" w:eastAsia="仿宋_GB2312"/>
          <w:sz w:val="32"/>
          <w:szCs w:val="32"/>
        </w:rPr>
        <w:t>开展了绩效评价，《</w:t>
      </w:r>
      <w:r>
        <w:rPr>
          <w:rFonts w:hint="eastAsia" w:ascii="仿宋_GB2312" w:hAnsi="仿宋_GB2312" w:eastAsia="仿宋_GB2312" w:cs="仿宋_GB2312"/>
          <w:sz w:val="32"/>
          <w:szCs w:val="32"/>
        </w:rPr>
        <w:t>评审工作经费</w:t>
      </w:r>
      <w:r>
        <w:rPr>
          <w:rFonts w:hint="eastAsia" w:ascii="仿宋_GB2312" w:hAnsi="仿宋" w:eastAsia="仿宋_GB2312"/>
          <w:sz w:val="32"/>
          <w:szCs w:val="32"/>
        </w:rPr>
        <w:t>项目2020年绩效评价报告》《</w:t>
      </w:r>
      <w:r>
        <w:rPr>
          <w:rFonts w:hint="eastAsia" w:ascii="仿宋_GB2312" w:hAnsi="仿宋_GB2312" w:eastAsia="仿宋_GB2312" w:cs="仿宋_GB2312"/>
          <w:sz w:val="32"/>
          <w:szCs w:val="32"/>
        </w:rPr>
        <w:t>评审工作设备购置经费</w:t>
      </w:r>
      <w:r>
        <w:rPr>
          <w:rFonts w:hint="eastAsia" w:ascii="仿宋_GB2312" w:hAnsi="仿宋" w:eastAsia="仿宋_GB2312"/>
          <w:sz w:val="32"/>
          <w:szCs w:val="32"/>
        </w:rPr>
        <w:t>项目2020年绩效评价报告》《</w:t>
      </w:r>
      <w:r>
        <w:rPr>
          <w:rFonts w:hint="eastAsia" w:ascii="仿宋_GB2312" w:hAnsi="仿宋_GB2312" w:eastAsia="仿宋_GB2312" w:cs="仿宋_GB2312"/>
          <w:sz w:val="32"/>
          <w:szCs w:val="32"/>
        </w:rPr>
        <w:t>评审专家聘用及工作经费</w:t>
      </w:r>
      <w:r>
        <w:rPr>
          <w:rFonts w:hint="eastAsia" w:ascii="仿宋_GB2312" w:hAnsi="仿宋" w:eastAsia="仿宋_GB2312"/>
          <w:sz w:val="32"/>
          <w:szCs w:val="32"/>
        </w:rPr>
        <w:t>项目2020年绩效评价报告》见附件（附件2）。</w:t>
      </w: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pPr>
    </w:p>
    <w:p>
      <w:pPr>
        <w:widowControl/>
        <w:ind w:firstLine="312" w:firstLineChars="149"/>
        <w:sectPr>
          <w:footerReference r:id="rId6" w:type="default"/>
          <w:pgSz w:w="11906" w:h="16838"/>
          <w:pgMar w:top="1701" w:right="1474" w:bottom="1984" w:left="1587" w:header="851" w:footer="992" w:gutter="0"/>
          <w:pgNumType w:start="11"/>
          <w:cols w:space="0" w:num="1"/>
          <w:docGrid w:type="lines" w:linePitch="312" w:charSpace="0"/>
        </w:sectPr>
      </w:pPr>
    </w:p>
    <w:p>
      <w:pPr>
        <w:numPr>
          <w:ilvl w:val="0"/>
          <w:numId w:val="2"/>
        </w:numPr>
        <w:spacing w:line="576" w:lineRule="exact"/>
        <w:jc w:val="center"/>
        <w:outlineLvl w:val="0"/>
        <w:rPr>
          <w:rStyle w:val="16"/>
          <w:rFonts w:ascii="黑体" w:hAnsi="黑体" w:eastAsia="黑体" w:cs="黑体"/>
          <w:b w:val="0"/>
          <w:bCs w:val="0"/>
          <w:sz w:val="36"/>
          <w:szCs w:val="36"/>
        </w:rPr>
      </w:pPr>
      <w:bookmarkStart w:id="59" w:name="_Toc941"/>
      <w:bookmarkStart w:id="60" w:name="_Toc15396613"/>
      <w:bookmarkStart w:id="61" w:name="_Toc15377225"/>
      <w:r>
        <w:rPr>
          <w:rFonts w:hint="eastAsia" w:ascii="黑体" w:hAnsi="黑体" w:eastAsia="黑体" w:cs="黑体"/>
          <w:sz w:val="36"/>
          <w:szCs w:val="36"/>
        </w:rPr>
        <w:t>名</w:t>
      </w:r>
      <w:r>
        <w:rPr>
          <w:rStyle w:val="16"/>
          <w:rFonts w:hint="eastAsia" w:ascii="黑体" w:hAnsi="黑体" w:eastAsia="黑体" w:cs="黑体"/>
          <w:b w:val="0"/>
          <w:bCs w:val="0"/>
          <w:sz w:val="36"/>
          <w:szCs w:val="36"/>
        </w:rPr>
        <w:t>词解释</w:t>
      </w:r>
      <w:bookmarkEnd w:id="59"/>
      <w:bookmarkEnd w:id="60"/>
      <w:bookmarkEnd w:id="61"/>
    </w:p>
    <w:p>
      <w:pPr>
        <w:spacing w:line="576" w:lineRule="exact"/>
        <w:jc w:val="left"/>
        <w:rPr>
          <w:rFonts w:ascii="宋体"/>
          <w:b/>
          <w:sz w:val="44"/>
          <w:szCs w:val="44"/>
        </w:rPr>
      </w:pP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2.其他收入：指单位取得的除上述收入以外的各项收入。主要是利息收入。</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3.年初结转和结余：指以前年度尚未完成、结转到本年按有关规定继续使用的资金。</w:t>
      </w:r>
    </w:p>
    <w:p>
      <w:pPr>
        <w:pStyle w:val="25"/>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4.年末结转和结余：指单位按有关规定结转到下年或以后年度继续使用的资金。</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shd w:val="clear" w:color="auto" w:fill="FFFFFF"/>
        </w:rPr>
        <w:t>一般公共服务（类）财政事务（款）财政委托业务支出（项）：指事业单位委托评审机构进行财政投资评审和委托建设银行等机构代理业务发生的支出。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6.一般公共服务（类）财政事务（款）事业运行（项）：指事业单位的基本支出。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7.一般公共服务（类）财政事务（款）其他财政事务支出（项）：指事业单位用于除上述项目以外其他财政事务等方面支出。</w:t>
      </w:r>
    </w:p>
    <w:p>
      <w:pPr>
        <w:spacing w:line="576" w:lineRule="exact"/>
        <w:ind w:firstLine="640"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b w:val="0"/>
          <w:sz w:val="32"/>
          <w:szCs w:val="32"/>
        </w:rPr>
        <w:t>8.社会保障和就业（类）行政事业单位养老支出（款）机关事业单位基本养老保险缴费（项）：指机关事业单位实施养老保险制度由单位缴纳的基本养老保险费支出。</w:t>
      </w:r>
    </w:p>
    <w:p>
      <w:pPr>
        <w:spacing w:line="576" w:lineRule="exact"/>
        <w:ind w:firstLine="640" w:firstLineChars="200"/>
        <w:rPr>
          <w:rStyle w:val="14"/>
          <w:rFonts w:ascii="仿宋_GB2312" w:hAnsi="仿宋_GB2312" w:eastAsia="仿宋_GB2312" w:cs="仿宋_GB2312"/>
          <w:b w:val="0"/>
          <w:sz w:val="32"/>
          <w:szCs w:val="32"/>
        </w:rPr>
      </w:pPr>
      <w:r>
        <w:rPr>
          <w:rStyle w:val="14"/>
          <w:rFonts w:hint="eastAsia" w:ascii="仿宋_GB2312" w:hAnsi="仿宋_GB2312" w:eastAsia="仿宋_GB2312" w:cs="仿宋_GB2312"/>
          <w:b w:val="0"/>
          <w:sz w:val="32"/>
          <w:szCs w:val="32"/>
        </w:rPr>
        <w:t>9.卫生健康支出（类）行政事业单位医疗（款）事业单位医疗（项）：指财政部门安排的事业单位基本医疗保险缴费经费。</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10.住房保障（类）住房改革（款）住房公积金（项）：指按行政事业单位按人力资源部和社会保障部、财政部规定的基本工资和津贴补贴以及规定比例为职工缴纳的住房公积金。</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11.基本支出：指为保障机构正常运转、完成日常工作任务而发生的人员支出和公用支出。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12.项目支出：指在基本支出之外为完成特定行政任务和事业发展目标所发生的支出。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bookmarkStart w:id="100" w:name="_GoBack"/>
      <w:bookmarkEnd w:id="100"/>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rPr>
          <w:rFonts w:ascii="仿宋_GB2312" w:hAnsi="仿宋_GB2312" w:eastAsia="仿宋_GB2312" w:cs="仿宋_GB2312"/>
          <w:color w:val="auto"/>
          <w:sz w:val="32"/>
          <w:szCs w:val="32"/>
        </w:rPr>
      </w:pPr>
    </w:p>
    <w:p>
      <w:pPr>
        <w:spacing w:line="576" w:lineRule="exact"/>
        <w:jc w:val="center"/>
        <w:outlineLvl w:val="0"/>
        <w:rPr>
          <w:rStyle w:val="16"/>
          <w:rFonts w:ascii="黑体" w:hAnsi="黑体" w:eastAsia="黑体" w:cs="黑体"/>
          <w:b w:val="0"/>
          <w:bCs w:val="0"/>
          <w:sz w:val="36"/>
          <w:szCs w:val="36"/>
        </w:rPr>
      </w:pPr>
      <w:bookmarkStart w:id="62" w:name="_Toc30463"/>
      <w:r>
        <w:rPr>
          <w:rFonts w:hint="eastAsia" w:ascii="黑体" w:hAnsi="黑体" w:eastAsia="黑体" w:cs="黑体"/>
          <w:sz w:val="36"/>
          <w:szCs w:val="36"/>
        </w:rPr>
        <w:t>第</w:t>
      </w:r>
      <w:r>
        <w:rPr>
          <w:rStyle w:val="16"/>
          <w:rFonts w:hint="eastAsia" w:ascii="黑体" w:hAnsi="黑体" w:eastAsia="黑体" w:cs="黑体"/>
          <w:b w:val="0"/>
          <w:bCs w:val="0"/>
          <w:sz w:val="36"/>
          <w:szCs w:val="36"/>
        </w:rPr>
        <w:t>四部分 附件</w:t>
      </w:r>
      <w:bookmarkEnd w:id="62"/>
    </w:p>
    <w:p>
      <w:pPr>
        <w:spacing w:line="576"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76" w:lineRule="exact"/>
        <w:jc w:val="center"/>
        <w:outlineLvl w:val="0"/>
        <w:rPr>
          <w:rFonts w:ascii="方正小标宋简体" w:hAnsi="方正小标宋简体" w:eastAsia="方正小标宋简体" w:cs="方正小标宋简体"/>
          <w:sz w:val="44"/>
          <w:szCs w:val="44"/>
        </w:rPr>
      </w:pPr>
      <w:bookmarkStart w:id="63" w:name="_Toc7964"/>
      <w:bookmarkStart w:id="64" w:name="_Toc15396616"/>
      <w:r>
        <w:rPr>
          <w:rFonts w:hint="eastAsia" w:ascii="方正小标宋简体" w:hAnsi="方正小标宋简体" w:eastAsia="方正小标宋简体" w:cs="方正小标宋简体"/>
          <w:sz w:val="44"/>
          <w:szCs w:val="44"/>
        </w:rPr>
        <w:t>广元市财政评审中心</w:t>
      </w:r>
      <w:bookmarkEnd w:id="63"/>
    </w:p>
    <w:p>
      <w:pPr>
        <w:spacing w:line="576" w:lineRule="exact"/>
        <w:jc w:val="center"/>
        <w:outlineLvl w:val="0"/>
        <w:rPr>
          <w:rFonts w:ascii="方正小标宋简体" w:hAnsi="方正小标宋简体" w:eastAsia="方正小标宋简体" w:cs="方正小标宋简体"/>
          <w:sz w:val="44"/>
          <w:szCs w:val="44"/>
        </w:rPr>
      </w:pPr>
      <w:bookmarkStart w:id="65" w:name="_Toc24122"/>
      <w:r>
        <w:rPr>
          <w:rFonts w:hint="eastAsia" w:ascii="方正小标宋简体" w:hAnsi="方正小标宋简体" w:eastAsia="方正小标宋简体" w:cs="方正小标宋简体"/>
          <w:sz w:val="44"/>
          <w:szCs w:val="44"/>
        </w:rPr>
        <w:t>2020年整体支出绩效评价报告</w:t>
      </w:r>
      <w:bookmarkEnd w:id="64"/>
      <w:bookmarkEnd w:id="65"/>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一、单位概况</w:t>
      </w: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66" w:name="_Toc369"/>
      <w:r>
        <w:rPr>
          <w:rFonts w:hint="eastAsia" w:ascii="楷体_GB2312" w:hAnsi="楷体_GB2312" w:eastAsia="楷体_GB2312" w:cs="楷体_GB2312"/>
          <w:bCs/>
          <w:kern w:val="2"/>
          <w:sz w:val="32"/>
          <w:szCs w:val="32"/>
        </w:rPr>
        <w:t>（一）机构组成</w:t>
      </w:r>
      <w:bookmarkEnd w:id="66"/>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广元市财政评审中心为广元市财政局下属事业单位，为财政全额拨款事业单位。</w:t>
      </w: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67" w:name="_Toc8520"/>
      <w:r>
        <w:rPr>
          <w:rFonts w:hint="eastAsia" w:ascii="楷体_GB2312" w:hAnsi="楷体_GB2312" w:eastAsia="楷体_GB2312" w:cs="楷体_GB2312"/>
          <w:bCs/>
          <w:kern w:val="2"/>
          <w:sz w:val="32"/>
          <w:szCs w:val="32"/>
        </w:rPr>
        <w:t>（二）机构职能</w:t>
      </w:r>
      <w:bookmarkEnd w:id="67"/>
    </w:p>
    <w:p>
      <w:pPr>
        <w:pStyle w:val="11"/>
        <w:wordWrap w:val="0"/>
        <w:spacing w:line="576" w:lineRule="exact"/>
        <w:ind w:firstLine="640" w:firstLineChars="200"/>
        <w:jc w:val="both"/>
        <w:rPr>
          <w:rFonts w:ascii="仿宋_GB2312" w:hAnsi="仿宋_GB2312" w:eastAsia="仿宋_GB2312" w:cs="仿宋_GB2312"/>
          <w:sz w:val="32"/>
          <w:szCs w:val="32"/>
        </w:rPr>
      </w:pPr>
      <w:r>
        <w:rPr>
          <w:rFonts w:hint="eastAsia" w:ascii="仿宋_GB2312" w:hAnsi="微软雅黑" w:eastAsia="仿宋_GB2312"/>
          <w:sz w:val="32"/>
          <w:szCs w:val="32"/>
        </w:rPr>
        <w:t>负责本级部门项目支出预算的专业审核，按照部门预算编制的要求，提出项目支出预算审核意见；负责本级重大基本建设项目财政监管和安全拨付的专业审核，审查工程变更，提出项目资金拨付审核意见；负责本级基本建设项目竣工决算的专业审核，提出交付使用资产价值意见；负责本级财政支出预算绩效考评专业评价工作，提出预算执行绩效意见；配合本级财政部门做好安全专项核查及追踪问效工作。</w:t>
      </w: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68" w:name="_Toc25531"/>
      <w:r>
        <w:rPr>
          <w:rFonts w:hint="eastAsia" w:ascii="楷体_GB2312" w:hAnsi="楷体_GB2312" w:eastAsia="楷体_GB2312" w:cs="楷体_GB2312"/>
          <w:bCs/>
          <w:kern w:val="2"/>
          <w:sz w:val="32"/>
          <w:szCs w:val="32"/>
        </w:rPr>
        <w:t>（三）人员概况</w:t>
      </w:r>
      <w:bookmarkEnd w:id="68"/>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2020年末人员编制数8个，实有在编人员6个。</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单位</w:t>
      </w:r>
      <w:r>
        <w:rPr>
          <w:rFonts w:ascii="黑体" w:hAnsi="黑体" w:eastAsia="黑体" w:cs="黑体"/>
          <w:sz w:val="32"/>
          <w:szCs w:val="32"/>
        </w:rPr>
        <w:t>财政资金收支情况</w:t>
      </w: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69" w:name="_Toc15142"/>
      <w:r>
        <w:rPr>
          <w:rFonts w:hint="eastAsia" w:ascii="楷体_GB2312" w:hAnsi="楷体_GB2312" w:eastAsia="楷体_GB2312" w:cs="楷体_GB2312"/>
          <w:bCs/>
          <w:kern w:val="2"/>
          <w:sz w:val="32"/>
          <w:szCs w:val="32"/>
        </w:rPr>
        <w:t>（一）单位财政资金收入情况</w:t>
      </w:r>
      <w:bookmarkEnd w:id="69"/>
    </w:p>
    <w:p>
      <w:pPr>
        <w:spacing w:line="576" w:lineRule="exact"/>
        <w:ind w:firstLine="640" w:firstLineChars="200"/>
        <w:rPr>
          <w:rFonts w:ascii="仿宋_GB2312" w:hAnsi="仿宋_GB2312" w:eastAsia="仿宋_GB2312" w:cs="仿宋_GB2312"/>
          <w:sz w:val="32"/>
          <w:szCs w:val="32"/>
        </w:rPr>
      </w:pPr>
      <w:r>
        <w:rPr>
          <w:rFonts w:ascii="仿宋" w:hAnsi="仿宋" w:eastAsia="仿宋"/>
          <w:sz w:val="32"/>
          <w:szCs w:val="32"/>
        </w:rPr>
        <w:t>2020</w:t>
      </w:r>
      <w:r>
        <w:rPr>
          <w:rFonts w:hint="eastAsia" w:ascii="仿宋" w:hAnsi="仿宋" w:eastAsia="仿宋"/>
          <w:sz w:val="32"/>
          <w:szCs w:val="32"/>
        </w:rPr>
        <w:t>年财政拨款收入511.8万元</w:t>
      </w:r>
      <w:r>
        <w:rPr>
          <w:rFonts w:hint="eastAsia" w:ascii="仿宋_GB2312" w:hAnsi="仿宋_GB2312" w:eastAsia="仿宋_GB2312" w:cs="仿宋_GB2312"/>
          <w:sz w:val="32"/>
          <w:szCs w:val="32"/>
        </w:rPr>
        <w:t>，其中：一般公共预算财政拨款本年收入307.9万元，占60.16%；年初结转和结余203.9万元，占39.84%。</w:t>
      </w:r>
    </w:p>
    <w:p>
      <w:pPr>
        <w:pStyle w:val="5"/>
        <w:adjustRightInd w:val="0"/>
        <w:snapToGrid w:val="0"/>
        <w:spacing w:beforeLines="0" w:line="576" w:lineRule="exact"/>
        <w:ind w:firstLine="640" w:firstLineChars="200"/>
        <w:outlineLvl w:val="2"/>
        <w:rPr>
          <w:rFonts w:ascii="楷体_GB2312" w:hAnsi="楷体_GB2312" w:eastAsia="楷体_GB2312" w:cs="楷体_GB2312"/>
          <w:bCs/>
          <w:kern w:val="2"/>
          <w:sz w:val="32"/>
          <w:szCs w:val="32"/>
        </w:rPr>
      </w:pPr>
      <w:bookmarkStart w:id="70" w:name="_Toc2699"/>
      <w:r>
        <w:rPr>
          <w:rFonts w:hint="eastAsia" w:ascii="楷体_GB2312" w:hAnsi="楷体_GB2312" w:eastAsia="楷体_GB2312" w:cs="楷体_GB2312"/>
          <w:bCs/>
          <w:kern w:val="2"/>
          <w:sz w:val="32"/>
          <w:szCs w:val="32"/>
        </w:rPr>
        <w:t>（二）单位财政资金支出情况</w:t>
      </w:r>
      <w:bookmarkEnd w:id="70"/>
    </w:p>
    <w:p>
      <w:pPr>
        <w:spacing w:line="576" w:lineRule="exact"/>
        <w:ind w:firstLine="640" w:firstLineChars="200"/>
        <w:rPr>
          <w:rFonts w:ascii="仿宋_GB2312" w:hAnsi="仿宋_GB2312" w:eastAsia="仿宋_GB2312" w:cs="仿宋_GB2312"/>
          <w:sz w:val="32"/>
          <w:szCs w:val="32"/>
        </w:rPr>
      </w:pPr>
      <w:r>
        <w:rPr>
          <w:rFonts w:ascii="仿宋" w:hAnsi="仿宋" w:eastAsia="仿宋"/>
          <w:sz w:val="32"/>
          <w:szCs w:val="32"/>
        </w:rPr>
        <w:t>2020</w:t>
      </w:r>
      <w:r>
        <w:rPr>
          <w:rFonts w:hint="eastAsia" w:ascii="仿宋" w:hAnsi="仿宋" w:eastAsia="仿宋"/>
          <w:sz w:val="32"/>
          <w:szCs w:val="32"/>
        </w:rPr>
        <w:t>年财政拨款</w:t>
      </w:r>
      <w:r>
        <w:rPr>
          <w:rFonts w:hint="eastAsia" w:ascii="仿宋_GB2312" w:hAnsi="仿宋_GB2312" w:eastAsia="仿宋_GB2312" w:cs="仿宋_GB2312"/>
          <w:sz w:val="32"/>
          <w:szCs w:val="32"/>
        </w:rPr>
        <w:t>支出合计284.04万元，其中基本支出86.35万元，占30.4%；项目支出197.68万元，占69.6%。</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四、单位</w:t>
      </w:r>
      <w:r>
        <w:rPr>
          <w:rFonts w:ascii="黑体" w:hAnsi="黑体" w:eastAsia="黑体" w:cs="黑体"/>
          <w:sz w:val="32"/>
          <w:szCs w:val="32"/>
        </w:rPr>
        <w:t>整体预算绩效管理情况</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（一）部门预算管理。</w:t>
      </w:r>
      <w:r>
        <w:rPr>
          <w:rFonts w:hint="eastAsia" w:ascii="仿宋_GB2312" w:hAnsi="仿宋_GB2312" w:eastAsia="仿宋_GB2312" w:cs="仿宋_GB2312"/>
          <w:sz w:val="32"/>
          <w:szCs w:val="32"/>
        </w:rPr>
        <w:t>2020年，本单位认真开展预算编制，及时报送部门预算和项目绩效目标，预算编制完整无漏项，预算编制准确规范。在预算执行过程中严格按照预算批复执行，强化预算执行的刚性约束，不随意改变财政预算资金的使用范围，严控预算执行进度和经费支出情况，提高资金使用效益，保证了财政收支平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评审中心2020年按照事业单位相关支出标准，合理编制了计划、当年要完成的工作任务和预期要完成的绩效目标。专用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spacing w:line="576" w:lineRule="exact"/>
        <w:ind w:firstLine="640" w:firstLineChars="200"/>
        <w:rPr>
          <w:rFonts w:ascii="楷体_GB2312" w:hAnsi="楷体_GB2312" w:eastAsia="楷体_GB2312" w:cs="楷体_GB2312"/>
          <w:bCs/>
          <w:sz w:val="32"/>
          <w:szCs w:val="32"/>
          <w:lang w:val="zh-CN"/>
        </w:rPr>
      </w:pPr>
      <w:r>
        <w:rPr>
          <w:rFonts w:hint="eastAsia" w:ascii="楷体_GB2312" w:hAnsi="楷体_GB2312" w:eastAsia="楷体_GB2312" w:cs="楷体_GB2312"/>
          <w:bCs/>
          <w:sz w:val="32"/>
          <w:szCs w:val="32"/>
          <w:lang w:val="zh-CN"/>
        </w:rPr>
        <w:t>（二）结果应用情况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强化预算编制和执行，规范项目实施，市财政评审中心各项工作有序推进，在保持经济稳步发展、支持重点项目推进、支持改善民生领域等方面采取了切实有效措施，为全市经济社会高质量发展提供了坚实的保障。</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（一）评价结论。</w:t>
      </w:r>
      <w:r>
        <w:rPr>
          <w:rFonts w:hint="eastAsia" w:ascii="仿宋_GB2312" w:hAnsi="仿宋_GB2312" w:eastAsia="仿宋_GB2312" w:cs="仿宋_GB2312"/>
          <w:sz w:val="32"/>
          <w:szCs w:val="32"/>
        </w:rPr>
        <w:t>本单位按要求对2020年单位整体支出开展绩效自评，自评得分98分。</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（二）存在问题。</w:t>
      </w:r>
      <w:r>
        <w:rPr>
          <w:rFonts w:hint="eastAsia" w:ascii="仿宋_GB2312" w:hAnsi="仿宋_GB2312" w:eastAsia="仿宋_GB2312" w:cs="仿宋_GB2312"/>
          <w:sz w:val="32"/>
          <w:szCs w:val="32"/>
        </w:rPr>
        <w:t>一是</w:t>
      </w:r>
      <w:r>
        <w:rPr>
          <w:rFonts w:hint="eastAsia" w:ascii="仿宋_GB2312" w:hAnsi="宋体" w:eastAsia="仿宋_GB2312" w:cs="宋体"/>
          <w:kern w:val="0"/>
          <w:sz w:val="32"/>
          <w:szCs w:val="32"/>
          <w:shd w:val="clear" w:color="auto" w:fill="FFFFFF"/>
          <w:lang w:val="zh-CN"/>
        </w:rPr>
        <w:t>项目测算标准有待细化，测算准确率有待提高</w:t>
      </w:r>
      <w:r>
        <w:rPr>
          <w:rFonts w:hint="eastAsia" w:ascii="仿宋_GB2312" w:hAnsi="仿宋_GB2312" w:eastAsia="仿宋_GB2312" w:cs="仿宋_GB2312"/>
          <w:sz w:val="32"/>
          <w:szCs w:val="32"/>
        </w:rPr>
        <w:t>；二是项目进度有待加快。</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（三）改进建议。</w:t>
      </w:r>
      <w:r>
        <w:rPr>
          <w:rFonts w:hint="eastAsia" w:ascii="仿宋_GB2312" w:hAnsi="仿宋_GB2312" w:eastAsia="仿宋_GB2312" w:cs="仿宋_GB2312"/>
          <w:sz w:val="32"/>
          <w:szCs w:val="32"/>
        </w:rPr>
        <w:t>一是完善内控制度，简化流程，促进项目及时开展。二是</w:t>
      </w:r>
      <w:r>
        <w:rPr>
          <w:rFonts w:hint="eastAsia" w:ascii="仿宋_GB2312" w:hAnsi="宋体" w:eastAsia="仿宋_GB2312" w:cs="宋体"/>
          <w:kern w:val="0"/>
          <w:sz w:val="32"/>
          <w:szCs w:val="32"/>
          <w:shd w:val="clear" w:color="auto" w:fill="FFFFFF"/>
          <w:lang w:val="zh-CN"/>
        </w:rPr>
        <w:t>加强单位绩效自评工作力度，积极运用评价结果，提高资金使用效率。</w:t>
      </w:r>
    </w:p>
    <w:p>
      <w:pPr>
        <w:spacing w:line="576" w:lineRule="exact"/>
        <w:ind w:firstLine="640" w:firstLineChars="200"/>
        <w:rPr>
          <w:rFonts w:ascii="仿宋_GB2312" w:hAnsi="仿宋_GB2312" w:eastAsia="仿宋_GB2312" w:cs="仿宋_GB2312"/>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pStyle w:val="25"/>
        <w:spacing w:line="576" w:lineRule="exact"/>
        <w:ind w:firstLine="640" w:firstLineChars="200"/>
        <w:rPr>
          <w:rFonts w:ascii="仿宋_GB2312" w:hAnsi="仿宋_GB2312" w:eastAsia="仿宋_GB2312" w:cs="仿宋_GB2312"/>
          <w:color w:val="auto"/>
          <w:sz w:val="32"/>
          <w:szCs w:val="32"/>
        </w:rPr>
      </w:pPr>
    </w:p>
    <w:p>
      <w:pPr>
        <w:spacing w:line="576" w:lineRule="exact"/>
        <w:ind w:firstLine="880" w:firstLineChars="200"/>
        <w:outlineLvl w:val="0"/>
        <w:rPr>
          <w:rStyle w:val="16"/>
          <w:rFonts w:ascii="黑体" w:hAnsi="黑体" w:eastAsia="黑体"/>
          <w:b w:val="0"/>
        </w:rPr>
      </w:pPr>
    </w:p>
    <w:p>
      <w:pPr>
        <w:spacing w:line="576" w:lineRule="exact"/>
        <w:ind w:firstLine="880" w:firstLineChars="200"/>
        <w:outlineLvl w:val="0"/>
        <w:rPr>
          <w:rStyle w:val="16"/>
          <w:rFonts w:ascii="黑体" w:hAnsi="黑体" w:eastAsia="黑体"/>
          <w:b w:val="0"/>
        </w:rPr>
      </w:pPr>
    </w:p>
    <w:p>
      <w:pPr>
        <w:spacing w:line="576" w:lineRule="exact"/>
        <w:ind w:firstLine="880" w:firstLineChars="200"/>
        <w:outlineLvl w:val="0"/>
        <w:rPr>
          <w:rStyle w:val="16"/>
          <w:rFonts w:ascii="黑体" w:hAnsi="黑体" w:eastAsia="黑体"/>
          <w:b w:val="0"/>
        </w:rPr>
      </w:pPr>
    </w:p>
    <w:p>
      <w:pPr>
        <w:spacing w:line="576" w:lineRule="exact"/>
        <w:ind w:firstLine="880" w:firstLineChars="200"/>
        <w:outlineLvl w:val="0"/>
        <w:rPr>
          <w:rStyle w:val="16"/>
          <w:rFonts w:ascii="黑体" w:hAnsi="黑体" w:eastAsia="黑体"/>
          <w:b w:val="0"/>
        </w:rPr>
      </w:pPr>
    </w:p>
    <w:p>
      <w:pPr>
        <w:spacing w:line="576" w:lineRule="exact"/>
        <w:ind w:firstLine="880" w:firstLineChars="200"/>
        <w:outlineLvl w:val="0"/>
        <w:rPr>
          <w:rStyle w:val="16"/>
          <w:rFonts w:ascii="黑体" w:hAnsi="黑体" w:eastAsia="黑体"/>
          <w:b w:val="0"/>
        </w:rPr>
      </w:pPr>
    </w:p>
    <w:p>
      <w:pPr>
        <w:spacing w:line="576" w:lineRule="exact"/>
        <w:outlineLvl w:val="0"/>
        <w:rPr>
          <w:rStyle w:val="16"/>
          <w:rFonts w:ascii="黑体" w:hAnsi="黑体" w:eastAsia="黑体"/>
          <w:b w:val="0"/>
        </w:rPr>
      </w:pPr>
    </w:p>
    <w:p>
      <w:pPr>
        <w:spacing w:line="576" w:lineRule="exact"/>
        <w:outlineLvl w:val="0"/>
        <w:rPr>
          <w:rStyle w:val="16"/>
          <w:rFonts w:ascii="黑体" w:hAnsi="黑体" w:eastAsia="黑体"/>
          <w:b w:val="0"/>
        </w:rPr>
      </w:pPr>
    </w:p>
    <w:p>
      <w:pPr>
        <w:spacing w:line="576" w:lineRule="exact"/>
        <w:jc w:val="left"/>
        <w:rPr>
          <w:rFonts w:ascii="黑体" w:hAnsi="黑体" w:eastAsia="黑体" w:cs="黑体"/>
          <w:sz w:val="32"/>
          <w:szCs w:val="32"/>
        </w:rPr>
      </w:pPr>
      <w:r>
        <w:rPr>
          <w:rFonts w:hint="eastAsia" w:ascii="黑体" w:hAnsi="黑体" w:eastAsia="黑体" w:cs="黑体"/>
          <w:sz w:val="32"/>
          <w:szCs w:val="32"/>
        </w:rPr>
        <w:t>附件2</w:t>
      </w:r>
    </w:p>
    <w:p>
      <w:pPr>
        <w:spacing w:line="576" w:lineRule="exact"/>
        <w:jc w:val="left"/>
        <w:rPr>
          <w:rFonts w:ascii="黑体" w:hAnsi="黑体" w:eastAsia="黑体" w:cs="黑体"/>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评审工作经费</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项目2020年绩效评价报告</w:t>
      </w:r>
    </w:p>
    <w:p>
      <w:pPr>
        <w:spacing w:line="576" w:lineRule="exact"/>
        <w:ind w:firstLine="640" w:firstLineChars="200"/>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本项目根据市财政评审中心职能职责所设立，主管部门为广元市财政局。主要职责包括:</w:t>
      </w:r>
      <w:r>
        <w:rPr>
          <w:rFonts w:hint="eastAsia" w:ascii="仿宋_GB2312" w:hAnsi="微软雅黑" w:eastAsia="仿宋_GB2312"/>
          <w:sz w:val="32"/>
          <w:szCs w:val="32"/>
        </w:rPr>
        <w:t xml:space="preserve"> 负责本级部门项目支出预算的专业审核，负责本级重大基本建设项目财政监管和安全拨付的专业审核，审查工程变更。负责本级基本建设项目竣工决算的专业审核，负责本级财政支出预算绩效考评专业评价工作，配合本级财政部门做好安全专项核查及追踪问效工作。</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1.项目主要内容。开展项目评审，保障重点项目推进，</w:t>
      </w:r>
      <w:r>
        <w:rPr>
          <w:rFonts w:hint="eastAsia" w:ascii="仿宋_GB2312" w:hAnsi="仿宋" w:eastAsia="仿宋_GB2312"/>
          <w:bCs/>
          <w:sz w:val="32"/>
          <w:szCs w:val="32"/>
        </w:rPr>
        <w:t>服务项目建设、节约财政资金、保证资金安全。</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w:t>
      </w:r>
      <w:r>
        <w:rPr>
          <w:rFonts w:hint="eastAsia" w:ascii="仿宋_GB2312" w:eastAsia="仿宋_GB2312" w:cs="仿宋_GB2312" w:hAnsiTheme="majorEastAsia"/>
          <w:sz w:val="32"/>
          <w:szCs w:val="32"/>
        </w:rPr>
        <w:t>紧紧围绕全市财政中心工作，按质按量完成政府投资建设项目评审，节约财政资金，助推项目实施。</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按照一般公共预算管理要求，年初由市财政评审中心申报项目资金预算，2020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年由广元市财政局通过《广元市财政局关于批复2020年市级部门预算的通知》（广财预〔2020〕8号）文件下达我单位项目资金预算指标10.29万元。</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1.资金计划及到位情况。本项目预算指标为10.29万元，截至2020年底，市财政实际拨付资金10.29万元，资金拨付率为100%。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10.29万元，支出进度为100%，主要是用于完成政府性投资项目评审，推进项目建设。在项目执行过程中，严格按照预算批复执行，不随意改变该项目资金支付范围、支付标准，严控预算执行进度和经费支出情况，确保资金使用安全、规范、高效。</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w:t>
      </w:r>
      <w:r>
        <w:rPr>
          <w:rFonts w:hint="eastAsia" w:eastAsia="仿宋_GB2312"/>
          <w:sz w:val="32"/>
          <w:szCs w:val="32"/>
        </w:rPr>
        <w:t> </w:t>
      </w:r>
      <w:r>
        <w:rPr>
          <w:rFonts w:hint="eastAsia" w:ascii="仿宋_GB2312" w:eastAsia="仿宋_GB2312"/>
          <w:sz w:val="32"/>
          <w:szCs w:val="32"/>
        </w:rPr>
        <w:t>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w:t>
      </w:r>
      <w:r>
        <w:rPr>
          <w:rFonts w:hint="eastAsia" w:eastAsia="仿宋_GB2312"/>
          <w:sz w:val="32"/>
          <w:szCs w:val="32"/>
        </w:rPr>
        <w:t> </w:t>
      </w:r>
      <w:r>
        <w:rPr>
          <w:rFonts w:hint="eastAsia" w:ascii="仿宋_GB2312" w:eastAsia="仿宋_GB2312"/>
          <w:sz w:val="32"/>
          <w:szCs w:val="32"/>
        </w:rPr>
        <w:t xml:space="preserve">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     </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w:t>
      </w:r>
      <w:r>
        <w:rPr>
          <w:rFonts w:hint="eastAsia" w:ascii="仿宋_GB2312" w:hAnsi="仿宋" w:eastAsia="仿宋_GB2312"/>
          <w:bCs/>
          <w:sz w:val="32"/>
          <w:szCs w:val="32"/>
        </w:rPr>
        <w:t>全面落实“六稳”“六保”任务，</w:t>
      </w:r>
      <w:r>
        <w:rPr>
          <w:rFonts w:hint="eastAsia" w:ascii="仿宋_GB2312" w:hAnsi="仿宋" w:eastAsia="仿宋_GB2312"/>
          <w:sz w:val="32"/>
          <w:szCs w:val="32"/>
        </w:rPr>
        <w:t>全市共计完成评审项目1758个，审减额18.61亿元，审减率14.47%。</w:t>
      </w:r>
      <w:r>
        <w:rPr>
          <w:rFonts w:hint="eastAsia" w:ascii="仿宋_GB2312" w:hAnsi="仿宋" w:eastAsia="仿宋_GB2312"/>
          <w:bCs/>
          <w:sz w:val="32"/>
          <w:szCs w:val="32"/>
        </w:rPr>
        <w:t>全年评审工作整体运行规范有序,为服务项目建设、节约财政资金、保证资金安全作出了积极贡献。</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1.项目实施对经济和社会的影响。通过该项目顺利实施，我单位在保持经济稳步发展、支持重点工作推进、保障改善民生领域等方面采取了切实有效措施，全面完成了各项目标任务。</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2.项目服务对象满意度。各单位满意度达95%以上。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通过开展项目评审，在</w:t>
      </w:r>
      <w:r>
        <w:rPr>
          <w:rFonts w:hint="eastAsia" w:ascii="仿宋_GB2312" w:hAnsi="仿宋" w:eastAsia="仿宋_GB2312"/>
          <w:bCs/>
          <w:sz w:val="32"/>
          <w:szCs w:val="32"/>
        </w:rPr>
        <w:t>服务项目建设、节约财政资金、保证资金安全等方面作出了积极贡献</w:t>
      </w:r>
      <w:r>
        <w:rPr>
          <w:rFonts w:hint="eastAsia" w:ascii="仿宋_GB2312" w:eastAsia="仿宋_GB2312"/>
          <w:sz w:val="32"/>
          <w:szCs w:val="32"/>
        </w:rPr>
        <w:t>，完成了项目绩效目标。</w:t>
      </w:r>
    </w:p>
    <w:p>
      <w:pPr>
        <w:spacing w:line="576" w:lineRule="exact"/>
        <w:rPr>
          <w:rFonts w:ascii="仿宋_GB2312" w:eastAsia="仿宋_GB2312"/>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评审工作设备购置</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经费2020年绩效评价报告</w:t>
      </w:r>
    </w:p>
    <w:p>
      <w:pPr>
        <w:spacing w:line="576" w:lineRule="exact"/>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本项目根据部门工作职能和年度工作安排确定，为保障评审工作开展纳入预算。</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1.项目主要内容。购置办公所需的计算机、打印机和其他办公设备等。</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2.项目绩效目标。购置及更换各类办公设备43台，满足工作需要。</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按照一般公共预算管理要求，年初由市财政评审中心申报项目资金预算，2020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年由广元市财政局通过《广元市财政局关于批复2020年市级部门预算的通知》（广财预〔2020〕8号）文件下达我单位项目资金预算指标20万元。</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1.资金计划及到位情况。本项目预算指标为20万元，截至2020年底，市财政实际拨付资金0万元，资金拨付率为0%。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sz w:val="32"/>
          <w:szCs w:val="32"/>
        </w:rPr>
        <w:t>资金使用。该项目资金全年共支出0万元，支出进度为0%，主要</w:t>
      </w:r>
      <w:r>
        <w:rPr>
          <w:rFonts w:hint="eastAsia" w:ascii="仿宋_GB2312" w:hAnsi="仿宋" w:eastAsia="仿宋_GB2312"/>
          <w:sz w:val="32"/>
          <w:szCs w:val="32"/>
        </w:rPr>
        <w:t>原因是严格执行市委、市政府关于过“紧日子”的十三条措施，控制新购办公设备，以调剂使用现有设备为主</w:t>
      </w:r>
      <w:r>
        <w:rPr>
          <w:rFonts w:hint="eastAsia" w:ascii="仿宋_GB2312" w:eastAsia="仿宋_GB2312"/>
          <w:sz w:val="32"/>
          <w:szCs w:val="32"/>
        </w:rPr>
        <w:t>。</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项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仿宋_GB2312" w:eastAsia="仿宋_GB2312"/>
          <w:sz w:val="32"/>
          <w:szCs w:val="32"/>
        </w:rPr>
      </w:pPr>
      <w:r>
        <w:rPr>
          <w:rFonts w:hint="eastAsia" w:ascii="黑体" w:hAnsi="黑体" w:eastAsia="黑体"/>
          <w:sz w:val="32"/>
          <w:szCs w:val="32"/>
        </w:rPr>
        <w:t>四、评价结论及建议</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（一）存在的问题。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（二）相关建议。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rPr>
          <w:rFonts w:ascii="黑体" w:hAnsi="黑体" w:eastAsia="黑体"/>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评审专家聘用及</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工作经费项目2020年绩效评价报告</w:t>
      </w:r>
    </w:p>
    <w:p>
      <w:pPr>
        <w:spacing w:line="576" w:lineRule="exact"/>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本项目根据市委市政府授予市财政评审中心职能职责所设立，主管部门为广元市财政局。主要目标是</w:t>
      </w:r>
      <w:r>
        <w:rPr>
          <w:rFonts w:hint="eastAsia" w:ascii="仿宋_GB2312" w:eastAsia="仿宋_GB2312" w:cs="仿宋_GB2312" w:hAnsiTheme="majorEastAsia"/>
          <w:sz w:val="32"/>
          <w:szCs w:val="32"/>
        </w:rPr>
        <w:t>紧紧围绕全市财政中心工作，积极开展政府投资建设项目评审，节约财政资金，助推项目的有序推进。确保评审力量，不断优化充实专业人员，建设廉洁高效的评审队伍。</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w:t>
      </w:r>
      <w:r>
        <w:rPr>
          <w:rFonts w:hint="eastAsia" w:ascii="仿宋_GB2312" w:eastAsia="仿宋_GB2312" w:cs="仿宋_GB2312" w:hAnsiTheme="majorEastAsia"/>
          <w:sz w:val="32"/>
          <w:szCs w:val="32"/>
        </w:rPr>
        <w:t>保障14名聘用专家的工资保险支付及项目评审工作经费。</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w:t>
      </w:r>
      <w:r>
        <w:rPr>
          <w:rFonts w:hint="eastAsia" w:ascii="仿宋_GB2312" w:eastAsia="仿宋_GB2312" w:cs="仿宋_GB2312" w:hAnsiTheme="majorEastAsia"/>
          <w:sz w:val="32"/>
          <w:szCs w:val="32"/>
        </w:rPr>
        <w:t>积极开展政府投资建设项目评审，节约财政资金，助推项目有序推进。确保评审力量，不断优化充实专业人员，建设廉洁高效的评审队伍。</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w:t>
      </w:r>
      <w:r>
        <w:rPr>
          <w:rFonts w:hint="eastAsia" w:eastAsia="仿宋_GB2312"/>
          <w:sz w:val="32"/>
          <w:szCs w:val="32"/>
        </w:rPr>
        <w:t> </w:t>
      </w:r>
      <w:r>
        <w:rPr>
          <w:rFonts w:hint="eastAsia" w:ascii="仿宋_GB2312" w:eastAsia="仿宋_GB2312"/>
          <w:sz w:val="32"/>
          <w:szCs w:val="32"/>
        </w:rPr>
        <w:t>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w:t>
      </w:r>
      <w:r>
        <w:rPr>
          <w:rFonts w:hint="eastAsia" w:eastAsia="仿宋_GB2312"/>
          <w:sz w:val="32"/>
          <w:szCs w:val="32"/>
        </w:rPr>
        <w:t> </w:t>
      </w:r>
      <w:r>
        <w:rPr>
          <w:rFonts w:hint="eastAsia" w:ascii="仿宋_GB2312" w:eastAsia="仿宋_GB2312"/>
          <w:sz w:val="32"/>
          <w:szCs w:val="32"/>
        </w:rPr>
        <w:t>年初由市财政评审中心申报项目资金预算，2020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年由广元市财政局通过《广元市财政局关于批复2020年市级部门预算的通知》（广财预〔2020〕8号）文件下达我单位项目资金预算指标200万元。</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eastAsia="仿宋_GB2312"/>
          <w:sz w:val="32"/>
          <w:szCs w:val="32"/>
        </w:rPr>
        <w:t> </w:t>
      </w:r>
      <w:r>
        <w:rPr>
          <w:rFonts w:hint="eastAsia" w:ascii="仿宋_GB2312" w:eastAsia="仿宋_GB2312"/>
          <w:sz w:val="32"/>
          <w:szCs w:val="32"/>
        </w:rPr>
        <w:t>资金计划及到位情况。本项目预算指标为174.63万元，截至2020年底，市财政实际拨付资金174.63万元，资金拨付率为87.32%。</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2.资金使用。该项目资金全年共支出174.63万元，支出进度为87.32%，主要是用于聘用专家工资发放和保险缴纳。在项目执行过程中，严格按照预算批复执行，不随意改变该项目资金支付范围、支付标准，</w:t>
      </w:r>
      <w:r>
        <w:rPr>
          <w:rFonts w:hint="eastAsia" w:eastAsia="仿宋_GB2312"/>
          <w:sz w:val="32"/>
          <w:szCs w:val="32"/>
        </w:rPr>
        <w:t> </w:t>
      </w:r>
      <w:r>
        <w:rPr>
          <w:rFonts w:hint="eastAsia" w:ascii="仿宋_GB2312" w:eastAsia="仿宋_GB2312"/>
          <w:sz w:val="32"/>
          <w:szCs w:val="32"/>
        </w:rPr>
        <w:t>严控预算执行进度和经费支出情况，确保资金使用安全、规范、高效。</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单位严格按照项目管理有关规定管理专顶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枝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通过项目实施，保障了14名聘用专家工资按时足额发放</w:t>
      </w:r>
      <w:r>
        <w:rPr>
          <w:rFonts w:hint="eastAsia" w:ascii="仿宋_GB2312" w:eastAsia="仿宋_GB2312" w:cs="仿宋_GB2312" w:hAnsiTheme="majorEastAsia"/>
          <w:sz w:val="32"/>
          <w:szCs w:val="32"/>
        </w:rPr>
        <w:t>，按时缴纳各类保险，保证评审工作开展。</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1.项目实施对经济和社会的影响。通过该项目顺利实施，保证了评审工作正常开展，</w:t>
      </w:r>
      <w:r>
        <w:rPr>
          <w:rFonts w:hint="eastAsia" w:ascii="仿宋_GB2312" w:hAnsi="仿宋" w:eastAsia="仿宋_GB2312"/>
          <w:sz w:val="32"/>
          <w:szCs w:val="32"/>
        </w:rPr>
        <w:t>完成评审项目1758个，审减额18.61亿元，审减率14.47%。</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2.项目服务对象满意度。聘用人员满意度达95%以上。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（一）评价结论。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通过项目实施，保障了14名聘用专家工资按时足额发放</w:t>
      </w:r>
      <w:r>
        <w:rPr>
          <w:rFonts w:hint="eastAsia" w:ascii="仿宋_GB2312" w:eastAsia="仿宋_GB2312" w:cs="仿宋_GB2312" w:hAnsiTheme="majorEastAsia"/>
          <w:sz w:val="32"/>
          <w:szCs w:val="32"/>
        </w:rPr>
        <w:t>，按时缴纳各类保险，保证评审工作开展，助推项目有序推进</w:t>
      </w:r>
      <w:r>
        <w:rPr>
          <w:rFonts w:hint="eastAsia" w:ascii="仿宋_GB2312" w:eastAsia="仿宋_GB2312"/>
          <w:sz w:val="32"/>
          <w:szCs w:val="32"/>
        </w:rPr>
        <w:t>。</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（二）存在的问题。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76"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（三）相关建议。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numPr>
          <w:ilvl w:val="0"/>
          <w:numId w:val="0"/>
        </w:numPr>
        <w:spacing w:line="576" w:lineRule="exact"/>
        <w:jc w:val="center"/>
        <w:outlineLvl w:val="0"/>
        <w:rPr>
          <w:rStyle w:val="16"/>
          <w:rFonts w:ascii="黑体" w:hAnsi="黑体" w:eastAsia="黑体"/>
          <w:b w:val="0"/>
          <w:sz w:val="36"/>
          <w:szCs w:val="36"/>
        </w:rPr>
      </w:pPr>
      <w:bookmarkStart w:id="71" w:name="_Toc15396618"/>
      <w:bookmarkStart w:id="72" w:name="_Toc17822"/>
      <w:r>
        <w:rPr>
          <w:rStyle w:val="16"/>
          <w:rFonts w:hint="eastAsia" w:ascii="黑体" w:hAnsi="黑体" w:eastAsia="黑体"/>
          <w:b w:val="0"/>
          <w:sz w:val="36"/>
          <w:szCs w:val="36"/>
          <w:lang w:val="en-US" w:eastAsia="zh-CN"/>
        </w:rPr>
        <w:t xml:space="preserve">第五部分  </w:t>
      </w:r>
      <w:r>
        <w:rPr>
          <w:rStyle w:val="16"/>
          <w:rFonts w:hint="eastAsia" w:ascii="黑体" w:hAnsi="黑体" w:eastAsia="黑体"/>
          <w:b w:val="0"/>
          <w:sz w:val="36"/>
          <w:szCs w:val="36"/>
        </w:rPr>
        <w:t>附表</w:t>
      </w:r>
      <w:bookmarkEnd w:id="71"/>
      <w:bookmarkEnd w:id="72"/>
    </w:p>
    <w:p>
      <w:pPr>
        <w:spacing w:line="576" w:lineRule="exact"/>
        <w:ind w:firstLine="640" w:firstLineChars="200"/>
        <w:outlineLvl w:val="0"/>
        <w:rPr>
          <w:rStyle w:val="16"/>
          <w:rFonts w:ascii="仿宋_GB2312" w:hAnsi="仿宋_GB2312" w:eastAsia="仿宋_GB2312" w:cs="仿宋_GB2312"/>
          <w:b w:val="0"/>
          <w:sz w:val="32"/>
          <w:szCs w:val="32"/>
        </w:rPr>
      </w:pPr>
    </w:p>
    <w:p>
      <w:pPr>
        <w:pStyle w:val="4"/>
        <w:keepNext w:val="0"/>
        <w:keepLines w:val="0"/>
        <w:spacing w:before="0" w:after="0" w:line="576" w:lineRule="exact"/>
        <w:ind w:firstLine="640" w:firstLineChars="200"/>
        <w:rPr>
          <w:rFonts w:ascii="仿宋_GB2312" w:hAnsi="仿宋_GB2312" w:eastAsia="仿宋_GB2312" w:cs="仿宋_GB2312"/>
        </w:rPr>
      </w:pPr>
      <w:bookmarkStart w:id="73" w:name="_Toc15396619"/>
      <w:bookmarkStart w:id="74" w:name="_Toc23056"/>
      <w:r>
        <w:rPr>
          <w:rFonts w:hint="eastAsia" w:ascii="仿宋_GB2312" w:hAnsi="仿宋_GB2312" w:eastAsia="仿宋_GB2312" w:cs="仿宋_GB2312"/>
          <w:b w:val="0"/>
        </w:rPr>
        <w:t>一、收</w:t>
      </w:r>
      <w:r>
        <w:rPr>
          <w:rStyle w:val="17"/>
          <w:rFonts w:hint="eastAsia" w:ascii="仿宋_GB2312" w:hAnsi="仿宋_GB2312" w:eastAsia="仿宋_GB2312" w:cs="仿宋_GB2312"/>
          <w:b w:val="0"/>
          <w:bCs w:val="0"/>
        </w:rPr>
        <w:t>入支出决算总表</w:t>
      </w:r>
      <w:bookmarkEnd w:id="73"/>
      <w:bookmarkEnd w:id="74"/>
    </w:p>
    <w:p>
      <w:pPr>
        <w:pStyle w:val="4"/>
        <w:keepNext w:val="0"/>
        <w:keepLines w:val="0"/>
        <w:spacing w:before="0" w:after="0" w:line="576" w:lineRule="exact"/>
        <w:ind w:firstLine="640" w:firstLineChars="200"/>
        <w:rPr>
          <w:rFonts w:ascii="仿宋_GB2312" w:hAnsi="仿宋_GB2312" w:eastAsia="仿宋_GB2312" w:cs="仿宋_GB2312"/>
        </w:rPr>
      </w:pPr>
      <w:bookmarkStart w:id="75" w:name="_Toc15396620"/>
      <w:bookmarkStart w:id="76" w:name="_Toc18282"/>
      <w:r>
        <w:rPr>
          <w:rFonts w:hint="eastAsia" w:ascii="仿宋_GB2312" w:hAnsi="仿宋_GB2312" w:eastAsia="仿宋_GB2312" w:cs="仿宋_GB2312"/>
          <w:b w:val="0"/>
        </w:rPr>
        <w:t>二、收</w:t>
      </w:r>
      <w:r>
        <w:rPr>
          <w:rStyle w:val="17"/>
          <w:rFonts w:hint="eastAsia" w:ascii="仿宋_GB2312" w:hAnsi="仿宋_GB2312" w:eastAsia="仿宋_GB2312" w:cs="仿宋_GB2312"/>
          <w:b w:val="0"/>
          <w:bCs w:val="0"/>
        </w:rPr>
        <w:t>入决算表</w:t>
      </w:r>
      <w:bookmarkEnd w:id="75"/>
      <w:bookmarkEnd w:id="76"/>
    </w:p>
    <w:p>
      <w:pPr>
        <w:pStyle w:val="4"/>
        <w:keepNext w:val="0"/>
        <w:keepLines w:val="0"/>
        <w:spacing w:before="0" w:after="0" w:line="576" w:lineRule="exact"/>
        <w:ind w:firstLine="640" w:firstLineChars="200"/>
        <w:rPr>
          <w:rFonts w:ascii="仿宋_GB2312" w:hAnsi="仿宋_GB2312" w:eastAsia="仿宋_GB2312" w:cs="仿宋_GB2312"/>
        </w:rPr>
      </w:pPr>
      <w:bookmarkStart w:id="77" w:name="_Toc19520"/>
      <w:bookmarkStart w:id="78" w:name="_Toc15396621"/>
      <w:r>
        <w:rPr>
          <w:rStyle w:val="17"/>
          <w:rFonts w:hint="eastAsia" w:ascii="仿宋_GB2312" w:hAnsi="仿宋_GB2312" w:eastAsia="仿宋_GB2312" w:cs="仿宋_GB2312"/>
          <w:b w:val="0"/>
          <w:bCs w:val="0"/>
        </w:rPr>
        <w:t>三、</w:t>
      </w:r>
      <w:r>
        <w:rPr>
          <w:rFonts w:hint="eastAsia" w:ascii="仿宋_GB2312" w:hAnsi="仿宋_GB2312" w:eastAsia="仿宋_GB2312" w:cs="仿宋_GB2312"/>
          <w:b w:val="0"/>
        </w:rPr>
        <w:t>支</w:t>
      </w:r>
      <w:r>
        <w:rPr>
          <w:rStyle w:val="17"/>
          <w:rFonts w:hint="eastAsia" w:ascii="仿宋_GB2312" w:hAnsi="仿宋_GB2312" w:eastAsia="仿宋_GB2312" w:cs="仿宋_GB2312"/>
          <w:b w:val="0"/>
          <w:bCs w:val="0"/>
        </w:rPr>
        <w:t>出决算表</w:t>
      </w:r>
      <w:bookmarkEnd w:id="77"/>
      <w:bookmarkEnd w:id="78"/>
    </w:p>
    <w:p>
      <w:pPr>
        <w:pStyle w:val="4"/>
        <w:keepNext w:val="0"/>
        <w:keepLines w:val="0"/>
        <w:spacing w:before="0" w:after="0" w:line="576" w:lineRule="exact"/>
        <w:ind w:firstLine="640" w:firstLineChars="200"/>
        <w:rPr>
          <w:rFonts w:ascii="仿宋_GB2312" w:hAnsi="仿宋_GB2312" w:eastAsia="仿宋_GB2312" w:cs="仿宋_GB2312"/>
          <w:b w:val="0"/>
        </w:rPr>
      </w:pPr>
      <w:bookmarkStart w:id="79" w:name="_Toc15396622"/>
      <w:bookmarkStart w:id="80" w:name="_Toc12351"/>
      <w:r>
        <w:rPr>
          <w:rStyle w:val="17"/>
          <w:rFonts w:hint="eastAsia" w:ascii="仿宋_GB2312" w:hAnsi="仿宋_GB2312" w:eastAsia="仿宋_GB2312" w:cs="仿宋_GB2312"/>
          <w:b w:val="0"/>
          <w:bCs w:val="0"/>
        </w:rPr>
        <w:t>四、</w:t>
      </w:r>
      <w:r>
        <w:rPr>
          <w:rFonts w:hint="eastAsia" w:ascii="仿宋_GB2312" w:hAnsi="仿宋_GB2312" w:eastAsia="仿宋_GB2312" w:cs="仿宋_GB2312"/>
          <w:b w:val="0"/>
        </w:rPr>
        <w:t>财</w:t>
      </w:r>
      <w:r>
        <w:rPr>
          <w:rStyle w:val="17"/>
          <w:rFonts w:hint="eastAsia" w:ascii="仿宋_GB2312" w:hAnsi="仿宋_GB2312" w:eastAsia="仿宋_GB2312" w:cs="仿宋_GB2312"/>
          <w:b w:val="0"/>
          <w:bCs w:val="0"/>
        </w:rPr>
        <w:t>政拨款收入支出决算总表</w:t>
      </w:r>
      <w:bookmarkEnd w:id="79"/>
      <w:bookmarkEnd w:id="80"/>
    </w:p>
    <w:p>
      <w:pPr>
        <w:pStyle w:val="4"/>
        <w:keepNext w:val="0"/>
        <w:keepLines w:val="0"/>
        <w:spacing w:before="0" w:after="0" w:line="576" w:lineRule="exact"/>
        <w:ind w:firstLine="640" w:firstLineChars="200"/>
        <w:rPr>
          <w:rStyle w:val="17"/>
          <w:rFonts w:ascii="仿宋_GB2312" w:hAnsi="仿宋_GB2312" w:eastAsia="仿宋_GB2312" w:cs="仿宋_GB2312"/>
          <w:b w:val="0"/>
          <w:bCs w:val="0"/>
        </w:rPr>
      </w:pPr>
      <w:bookmarkStart w:id="81" w:name="_Toc24876"/>
      <w:bookmarkStart w:id="82" w:name="_Toc15396623"/>
      <w:r>
        <w:rPr>
          <w:rStyle w:val="17"/>
          <w:rFonts w:hint="eastAsia" w:ascii="仿宋_GB2312" w:hAnsi="仿宋_GB2312" w:eastAsia="仿宋_GB2312" w:cs="仿宋_GB2312"/>
          <w:b w:val="0"/>
          <w:bCs w:val="0"/>
        </w:rPr>
        <w:t>五、</w:t>
      </w:r>
      <w:r>
        <w:rPr>
          <w:rFonts w:hint="eastAsia" w:ascii="仿宋_GB2312" w:hAnsi="仿宋_GB2312" w:eastAsia="仿宋_GB2312" w:cs="仿宋_GB2312"/>
          <w:b w:val="0"/>
        </w:rPr>
        <w:t>财</w:t>
      </w:r>
      <w:r>
        <w:rPr>
          <w:rStyle w:val="17"/>
          <w:rFonts w:hint="eastAsia" w:ascii="仿宋_GB2312" w:hAnsi="仿宋_GB2312" w:eastAsia="仿宋_GB2312" w:cs="仿宋_GB2312"/>
          <w:b w:val="0"/>
          <w:bCs w:val="0"/>
        </w:rPr>
        <w:t>政拨款支出决算明细表</w:t>
      </w:r>
      <w:bookmarkEnd w:id="81"/>
      <w:bookmarkEnd w:id="82"/>
      <w:bookmarkStart w:id="83" w:name="_Toc15396624"/>
    </w:p>
    <w:p>
      <w:pPr>
        <w:pStyle w:val="4"/>
        <w:keepNext w:val="0"/>
        <w:keepLines w:val="0"/>
        <w:spacing w:before="0" w:after="0" w:line="576" w:lineRule="exact"/>
        <w:ind w:firstLine="640" w:firstLineChars="200"/>
        <w:rPr>
          <w:rFonts w:ascii="仿宋_GB2312" w:hAnsi="仿宋_GB2312" w:eastAsia="仿宋_GB2312" w:cs="仿宋_GB2312"/>
        </w:rPr>
      </w:pPr>
      <w:bookmarkStart w:id="84" w:name="_Toc23129"/>
      <w:r>
        <w:rPr>
          <w:rStyle w:val="17"/>
          <w:rFonts w:hint="eastAsia" w:ascii="仿宋_GB2312" w:hAnsi="仿宋_GB2312" w:eastAsia="仿宋_GB2312" w:cs="仿宋_GB2312"/>
          <w:b w:val="0"/>
          <w:bCs w:val="0"/>
        </w:rPr>
        <w:t>六、</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般公共预算财政拨款支出决算表</w:t>
      </w:r>
      <w:bookmarkEnd w:id="83"/>
      <w:bookmarkEnd w:id="84"/>
    </w:p>
    <w:p>
      <w:pPr>
        <w:pStyle w:val="4"/>
        <w:keepNext w:val="0"/>
        <w:keepLines w:val="0"/>
        <w:spacing w:before="0" w:after="0" w:line="576" w:lineRule="exact"/>
        <w:ind w:firstLine="640" w:firstLineChars="200"/>
        <w:rPr>
          <w:rFonts w:ascii="仿宋_GB2312" w:hAnsi="仿宋_GB2312" w:eastAsia="仿宋_GB2312" w:cs="仿宋_GB2312"/>
        </w:rPr>
      </w:pPr>
      <w:bookmarkStart w:id="85" w:name="_Toc15396625"/>
      <w:bookmarkStart w:id="86" w:name="_Toc8932"/>
      <w:r>
        <w:rPr>
          <w:rStyle w:val="17"/>
          <w:rFonts w:hint="eastAsia" w:ascii="仿宋_GB2312" w:hAnsi="仿宋_GB2312" w:eastAsia="仿宋_GB2312" w:cs="仿宋_GB2312"/>
          <w:b w:val="0"/>
          <w:bCs w:val="0"/>
        </w:rPr>
        <w:t>七、</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般公共预算财政拨款支出决算明细表</w:t>
      </w:r>
      <w:bookmarkEnd w:id="85"/>
      <w:bookmarkEnd w:id="86"/>
    </w:p>
    <w:p>
      <w:pPr>
        <w:pStyle w:val="4"/>
        <w:keepNext w:val="0"/>
        <w:keepLines w:val="0"/>
        <w:spacing w:before="0" w:after="0" w:line="576" w:lineRule="exact"/>
        <w:ind w:firstLine="640" w:firstLineChars="200"/>
        <w:rPr>
          <w:rFonts w:ascii="仿宋_GB2312" w:hAnsi="仿宋_GB2312" w:eastAsia="仿宋_GB2312" w:cs="仿宋_GB2312"/>
        </w:rPr>
      </w:pPr>
      <w:bookmarkStart w:id="87" w:name="_Toc25921"/>
      <w:bookmarkStart w:id="88" w:name="_Toc15396626"/>
      <w:r>
        <w:rPr>
          <w:rStyle w:val="17"/>
          <w:rFonts w:hint="eastAsia" w:ascii="仿宋_GB2312" w:hAnsi="仿宋_GB2312" w:eastAsia="仿宋_GB2312" w:cs="仿宋_GB2312"/>
          <w:b w:val="0"/>
          <w:bCs w:val="0"/>
        </w:rPr>
        <w:t>八、</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般公共预算财政拨款基本支出决算表</w:t>
      </w:r>
      <w:bookmarkEnd w:id="87"/>
      <w:bookmarkEnd w:id="88"/>
    </w:p>
    <w:p>
      <w:pPr>
        <w:pStyle w:val="4"/>
        <w:keepNext w:val="0"/>
        <w:keepLines w:val="0"/>
        <w:spacing w:before="0" w:after="0" w:line="576" w:lineRule="exact"/>
        <w:ind w:firstLine="640" w:firstLineChars="200"/>
        <w:rPr>
          <w:rFonts w:ascii="仿宋_GB2312" w:hAnsi="仿宋_GB2312" w:eastAsia="仿宋_GB2312" w:cs="仿宋_GB2312"/>
        </w:rPr>
      </w:pPr>
      <w:bookmarkStart w:id="89" w:name="_Toc24989"/>
      <w:bookmarkStart w:id="90" w:name="_Toc15396627"/>
      <w:r>
        <w:rPr>
          <w:rStyle w:val="17"/>
          <w:rFonts w:hint="eastAsia" w:ascii="仿宋_GB2312" w:hAnsi="仿宋_GB2312" w:eastAsia="仿宋_GB2312" w:cs="仿宋_GB2312"/>
          <w:b w:val="0"/>
          <w:bCs w:val="0"/>
        </w:rPr>
        <w:t>九、</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般公共预算财政拨款项目支出决算表</w:t>
      </w:r>
      <w:bookmarkEnd w:id="89"/>
      <w:bookmarkEnd w:id="90"/>
    </w:p>
    <w:p>
      <w:pPr>
        <w:pStyle w:val="4"/>
        <w:keepNext w:val="0"/>
        <w:keepLines w:val="0"/>
        <w:spacing w:before="0" w:after="0" w:line="576" w:lineRule="exact"/>
        <w:ind w:firstLine="640" w:firstLineChars="200"/>
        <w:rPr>
          <w:rFonts w:ascii="仿宋_GB2312" w:hAnsi="仿宋_GB2312" w:eastAsia="仿宋_GB2312" w:cs="仿宋_GB2312"/>
        </w:rPr>
      </w:pPr>
      <w:bookmarkStart w:id="91" w:name="_Toc7138"/>
      <w:bookmarkStart w:id="92" w:name="_Toc15396628"/>
      <w:r>
        <w:rPr>
          <w:rStyle w:val="17"/>
          <w:rFonts w:hint="eastAsia" w:ascii="仿宋_GB2312" w:hAnsi="仿宋_GB2312" w:eastAsia="仿宋_GB2312" w:cs="仿宋_GB2312"/>
          <w:b w:val="0"/>
          <w:bCs w:val="0"/>
        </w:rPr>
        <w:t>十、</w:t>
      </w:r>
      <w:r>
        <w:rPr>
          <w:rFonts w:hint="eastAsia" w:ascii="仿宋_GB2312" w:hAnsi="仿宋_GB2312" w:eastAsia="仿宋_GB2312" w:cs="仿宋_GB2312"/>
          <w:b w:val="0"/>
        </w:rPr>
        <w:t>一</w:t>
      </w:r>
      <w:r>
        <w:rPr>
          <w:rStyle w:val="17"/>
          <w:rFonts w:hint="eastAsia" w:ascii="仿宋_GB2312" w:hAnsi="仿宋_GB2312" w:eastAsia="仿宋_GB2312" w:cs="仿宋_GB2312"/>
          <w:b w:val="0"/>
          <w:bCs w:val="0"/>
        </w:rPr>
        <w:t>般公共预算财政拨款“三公”经费支出决算表</w:t>
      </w:r>
      <w:bookmarkEnd w:id="91"/>
      <w:bookmarkEnd w:id="92"/>
    </w:p>
    <w:p>
      <w:pPr>
        <w:pStyle w:val="4"/>
        <w:keepNext w:val="0"/>
        <w:keepLines w:val="0"/>
        <w:spacing w:before="0" w:after="0" w:line="576" w:lineRule="exact"/>
        <w:ind w:firstLine="640" w:firstLineChars="200"/>
        <w:rPr>
          <w:rFonts w:ascii="仿宋_GB2312" w:hAnsi="仿宋_GB2312" w:eastAsia="仿宋_GB2312" w:cs="仿宋_GB2312"/>
        </w:rPr>
      </w:pPr>
      <w:bookmarkStart w:id="93" w:name="_Toc12794"/>
      <w:bookmarkStart w:id="94" w:name="_Toc15396629"/>
      <w:r>
        <w:rPr>
          <w:rStyle w:val="17"/>
          <w:rFonts w:hint="eastAsia" w:ascii="仿宋_GB2312" w:hAnsi="仿宋_GB2312" w:eastAsia="仿宋_GB2312" w:cs="仿宋_GB2312"/>
          <w:b w:val="0"/>
          <w:bCs w:val="0"/>
        </w:rPr>
        <w:t>十一、</w:t>
      </w:r>
      <w:r>
        <w:rPr>
          <w:rFonts w:hint="eastAsia" w:ascii="仿宋_GB2312" w:hAnsi="仿宋_GB2312" w:eastAsia="仿宋_GB2312" w:cs="仿宋_GB2312"/>
          <w:b w:val="0"/>
        </w:rPr>
        <w:t>政</w:t>
      </w:r>
      <w:r>
        <w:rPr>
          <w:rStyle w:val="17"/>
          <w:rFonts w:hint="eastAsia" w:ascii="仿宋_GB2312" w:hAnsi="仿宋_GB2312" w:eastAsia="仿宋_GB2312" w:cs="仿宋_GB2312"/>
          <w:b w:val="0"/>
          <w:bCs w:val="0"/>
        </w:rPr>
        <w:t>府性基金预算财政拨款收入支出决算表</w:t>
      </w:r>
      <w:bookmarkEnd w:id="93"/>
      <w:bookmarkEnd w:id="94"/>
    </w:p>
    <w:p>
      <w:pPr>
        <w:pStyle w:val="4"/>
        <w:keepNext w:val="0"/>
        <w:keepLines w:val="0"/>
        <w:tabs>
          <w:tab w:val="left" w:pos="2694"/>
        </w:tabs>
        <w:spacing w:before="0" w:after="0" w:line="576" w:lineRule="exact"/>
        <w:ind w:firstLine="640" w:firstLineChars="200"/>
        <w:rPr>
          <w:rStyle w:val="17"/>
          <w:rFonts w:ascii="仿宋_GB2312" w:hAnsi="仿宋_GB2312" w:eastAsia="仿宋_GB2312" w:cs="仿宋_GB2312"/>
          <w:b w:val="0"/>
          <w:bCs w:val="0"/>
        </w:rPr>
      </w:pPr>
      <w:bookmarkStart w:id="95" w:name="_Toc15396630"/>
      <w:bookmarkStart w:id="96" w:name="_Toc26664"/>
      <w:r>
        <w:rPr>
          <w:rStyle w:val="17"/>
          <w:rFonts w:hint="eastAsia" w:ascii="仿宋_GB2312" w:hAnsi="仿宋_GB2312" w:eastAsia="仿宋_GB2312" w:cs="仿宋_GB2312"/>
          <w:b w:val="0"/>
          <w:bCs w:val="0"/>
        </w:rPr>
        <w:t>十二、</w:t>
      </w:r>
      <w:r>
        <w:rPr>
          <w:rFonts w:hint="eastAsia" w:ascii="仿宋_GB2312" w:hAnsi="仿宋_GB2312" w:eastAsia="仿宋_GB2312" w:cs="仿宋_GB2312"/>
          <w:b w:val="0"/>
        </w:rPr>
        <w:t>政</w:t>
      </w:r>
      <w:r>
        <w:rPr>
          <w:rStyle w:val="17"/>
          <w:rFonts w:hint="eastAsia" w:ascii="仿宋_GB2312" w:hAnsi="仿宋_GB2312" w:eastAsia="仿宋_GB2312" w:cs="仿宋_GB2312"/>
          <w:b w:val="0"/>
          <w:bCs w:val="0"/>
        </w:rPr>
        <w:t>府性基金预算财政拨款“三公”经费支出决算表</w:t>
      </w:r>
      <w:bookmarkEnd w:id="95"/>
      <w:bookmarkEnd w:id="96"/>
    </w:p>
    <w:p>
      <w:pPr>
        <w:spacing w:line="576" w:lineRule="exact"/>
        <w:ind w:firstLine="642" w:firstLineChars="200"/>
        <w:rPr>
          <w:rFonts w:ascii="仿宋_GB2312" w:hAnsi="仿宋_GB2312" w:eastAsia="仿宋_GB2312" w:cs="仿宋_GB2312"/>
          <w:sz w:val="32"/>
          <w:szCs w:val="32"/>
        </w:rPr>
      </w:pPr>
      <w:bookmarkStart w:id="97" w:name="_Toc18087"/>
      <w:r>
        <w:rPr>
          <w:rStyle w:val="17"/>
          <w:rFonts w:hint="eastAsia" w:ascii="仿宋_GB2312" w:hAnsi="仿宋_GB2312" w:eastAsia="仿宋_GB2312" w:cs="仿宋_GB2312"/>
        </w:rPr>
        <w:t>十三、</w:t>
      </w:r>
      <w:bookmarkEnd w:id="97"/>
      <w:r>
        <w:rPr>
          <w:rFonts w:hint="eastAsia" w:ascii="仿宋_GB2312" w:hAnsi="仿宋_GB2312" w:eastAsia="仿宋_GB2312" w:cs="仿宋_GB2312"/>
          <w:sz w:val="32"/>
          <w:szCs w:val="32"/>
        </w:rPr>
        <w:t>国有资本经营预算财政拨款收入支出决算表</w:t>
      </w:r>
    </w:p>
    <w:p>
      <w:pPr>
        <w:pStyle w:val="4"/>
        <w:keepNext w:val="0"/>
        <w:keepLines w:val="0"/>
        <w:spacing w:before="0" w:after="0" w:line="576" w:lineRule="exact"/>
        <w:ind w:firstLine="640" w:firstLineChars="200"/>
        <w:rPr>
          <w:rFonts w:ascii="仿宋_GB2312" w:hAnsi="仿宋_GB2312" w:eastAsia="仿宋_GB2312" w:cs="仿宋_GB2312"/>
        </w:rPr>
      </w:pPr>
      <w:bookmarkStart w:id="98" w:name="_Toc15396631"/>
      <w:bookmarkStart w:id="99" w:name="_Toc10434"/>
      <w:r>
        <w:rPr>
          <w:rStyle w:val="17"/>
          <w:rFonts w:hint="eastAsia" w:ascii="仿宋_GB2312" w:hAnsi="仿宋_GB2312" w:eastAsia="仿宋_GB2312" w:cs="仿宋_GB2312"/>
          <w:b w:val="0"/>
          <w:bCs w:val="0"/>
        </w:rPr>
        <w:t>十四、</w:t>
      </w:r>
      <w:r>
        <w:rPr>
          <w:rFonts w:hint="eastAsia" w:ascii="仿宋_GB2312" w:hAnsi="仿宋_GB2312" w:eastAsia="仿宋_GB2312" w:cs="仿宋_GB2312"/>
          <w:b w:val="0"/>
        </w:rPr>
        <w:t>国</w:t>
      </w:r>
      <w:r>
        <w:rPr>
          <w:rStyle w:val="17"/>
          <w:rFonts w:hint="eastAsia" w:ascii="仿宋_GB2312" w:hAnsi="仿宋_GB2312" w:eastAsia="仿宋_GB2312" w:cs="仿宋_GB2312"/>
          <w:b w:val="0"/>
          <w:bCs w:val="0"/>
        </w:rPr>
        <w:t>有资本经营预算财政拨款支出决算表</w:t>
      </w:r>
      <w:bookmarkEnd w:id="98"/>
      <w:bookmarkEnd w:id="99"/>
    </w:p>
    <w:p>
      <w:pPr>
        <w:spacing w:line="576" w:lineRule="exact"/>
        <w:ind w:firstLine="640" w:firstLineChars="200"/>
        <w:rPr>
          <w:rFonts w:ascii="仿宋_GB2312" w:hAnsi="仿宋_GB2312" w:eastAsia="仿宋_GB2312" w:cs="仿宋_GB2312"/>
          <w:sz w:val="32"/>
          <w:szCs w:val="32"/>
        </w:rPr>
      </w:pPr>
    </w:p>
    <w:sectPr>
      <w:footerReference r:id="rId7" w:type="default"/>
      <w:pgSz w:w="11906" w:h="16838"/>
      <w:pgMar w:top="2098" w:right="1474" w:bottom="1984" w:left="1587" w:header="851" w:footer="1559" w:gutter="0"/>
      <w:pgNumType w:start="15"/>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仿宋">
    <w:altName w:val="方正仿宋_GBK"/>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6" o:spid="_x0000_s1026" o:spt="202" type="#_x0000_t202" style="position:absolute;left:0pt;margin-left:203.9pt;margin-top:-7.8pt;height:144pt;width:144pt;mso-position-horizontal-relative:margin;mso-wrap-style:none;z-index:251658240;mso-width-relative:page;mso-height-relative:page;" filled="f" stroked="f" coordsize="21600,21600" o:gfxdata="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0qEandgAAAALAQAA&#10;DwAAAAAAAAABACAAAAAiAAAAZHJzL2Rvd25yZXYueG1sUEsBAhQAFAAAAAgAh07iQCXKTBvgAQAA&#10;uQMAAA4AAAAAAAAAAQAgAAAAJwEAAGRycy9lMm9Eb2MueG1sUEsFBgAAAAAGAAYAWQEAAHkFAAAA&#10;AA==&#10;">
          <v:path/>
          <v:fill on="f" focussize="0,0"/>
          <v:stroke on="f" joinstyle="miter"/>
          <v:imagedata o:title=""/>
          <o:lock v:ext="edit"/>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I</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9" o:spid="_x0000_s1029" o:spt="202" type="#_x0000_t202" style="position:absolute;left:0pt;margin-top:-7.8pt;height:144pt;width:144pt;mso-position-horizontal:inside;mso-position-horizontal-relative:margin;mso-wrap-style:none;z-index:251659264;mso-width-relative:page;mso-height-relative:page;" filled="f" stroked="f" coordsize="21600,21600" o:gfxdata="UEsDBAoAAAAAAIdO4kAAAAAAAAAAAAAAAAAEAAAAZHJzL1BLAwQUAAAACACHTuJAKkV8X9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RXxf1QAAAAgBAAAPAAAAAAAAAAEAIAAAACIAAABkcnMvZG93bnJl&#10;di54bWxQSwECFAAUAAAACACHTuJA9Aknl8cBAACZAwAADgAAAAAAAAABACAAAAAkAQAAZHJzL2Uy&#10;b0RvYy54bWxQSwUGAAAAAAYABgBZAQAAXQUAAAAA&#10;">
          <v:path/>
          <v:fill on="f" focussize="0,0"/>
          <v:stroke on="f" joinstyle="miter"/>
          <v:imagedata o:title=""/>
          <o:lock v:ext="edit"/>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8" o:spid="_x0000_s1028" o:spt="202" type="#_x0000_t202" style="position:absolute;left:0pt;margin-top:-7.8pt;height:144pt;width:144pt;mso-position-horizontal:inside;mso-position-horizontal-relative:margin;mso-wrap-style:none;z-index:251661312;mso-width-relative:page;mso-height-relative:page;" filled="f" stroked="f" coordsize="21600,21600" o:gfxdata="UEsDBAoAAAAAAIdO4kAAAAAAAAAAAAAAAAAEAAAAZHJzL1BLAwQUAAAACACHTuJAKkV8X9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LnHQiWi7Lky4WHffEE&#10;sqnl/wLND1BLAwQUAAAACACHTuJABG+QoMkBAACZAwAADgAAAGRycy9lMm9Eb2MueG1srVPNjtMw&#10;EL4j8Q6W79TZroS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pFfF/VAAAACAEAAA8AAAAAAAAAAQAgAAAAIgAAAGRycy9kb3du&#10;cmV2LnhtbFBLAQIUABQAAAAIAIdO4kAEb5CgyQEAAJkDAAAOAAAAAAAAAAEAIAAAACQBAABkcnMv&#10;ZTJvRG9jLnhtbFBLBQYAAAAABgAGAFkBAABfBQAAAAA=&#10;">
          <v:path/>
          <v:fill on="f" focussize="0,0"/>
          <v:stroke on="f" joinstyle="miter"/>
          <v:imagedata o:title=""/>
          <o:lock v:ext="edit"/>
          <v:textbox inset="0mm,0mm,0mm,0mm" style="mso-fit-shape-to-text:t;">
            <w:txbx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pict>
        <v:shape id="_x0000_s1027" o:spid="_x0000_s1027" o:spt="202" type="#_x0000_t202" style="position:absolute;left:0pt;margin-top:-7.8pt;height:144pt;width:144pt;mso-position-horizontal:inside;mso-position-horizontal-relative:margin;mso-wrap-style:none;z-index:251665408;mso-width-relative:page;mso-height-relative:page;" filled="f" stroked="f" coordsize="21600,21600" o:gfxdata="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pFfF/VAAAACAEAAA8AAAAAAAAAAQAgAAAAIgAAAGRycy9kb3du&#10;cmV2LnhtbFBLAQIUABQAAAAIAIdO4kDUX5QmyQEAAJkDAAAOAAAAAAAAAAEAIAAAACQBAABkcnMv&#10;ZTJvRG9jLnhtbFBLBQYAAAAABgAGAFkBAABfBQAAAAA=&#10;">
          <v:path/>
          <v:fill on="f" focussize="0,0"/>
          <v:stroke on="f" joinstyle="miter"/>
          <v:imagedata o:title=""/>
          <o:lock v:ext="edit"/>
          <v:textbox inset="0mm,0mm,0mm,0mm" style="mso-fit-shape-to-text:t;">
            <w:txbxContent>
              <w:sdt>
                <w:sdtPr>
                  <w:rPr>
                    <w:rFonts w:hint="eastAsia" w:ascii="宋体" w:hAnsi="宋体" w:cs="宋体"/>
                    <w:sz w:val="28"/>
                    <w:szCs w:val="28"/>
                  </w:rPr>
                  <w:id w:val="1107676016"/>
                </w:sdtPr>
                <w:sdtEndPr>
                  <w:rPr>
                    <w:rFonts w:hint="eastAsia" w:ascii="宋体" w:hAnsi="宋体" w:cs="宋体"/>
                    <w:sz w:val="28"/>
                    <w:szCs w:val="28"/>
                  </w:rPr>
                </w:sdtEndPr>
                <w:sdtContent>
                  <w:p>
                    <w:pPr>
                      <w:pStyle w:val="2"/>
                      <w:jc w:val="center"/>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30</w:t>
                    </w:r>
                    <w:r>
                      <w:rPr>
                        <w:rFonts w:hint="eastAsia" w:ascii="宋体" w:hAnsi="宋体" w:cs="宋体"/>
                        <w:sz w:val="28"/>
                        <w:szCs w:val="28"/>
                      </w:rPr>
                      <w:fldChar w:fldCharType="end"/>
                    </w:r>
                    <w:r>
                      <w:rPr>
                        <w:rFonts w:hint="eastAsia" w:ascii="宋体" w:hAnsi="宋体" w:cs="宋体"/>
                        <w:sz w:val="28"/>
                        <w:szCs w:val="28"/>
                      </w:rPr>
                      <w:t xml:space="preserve"> —</w:t>
                    </w:r>
                  </w:p>
                </w:sdtContent>
              </w:sdt>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2AAA"/>
    <w:rsid w:val="00033408"/>
    <w:rsid w:val="00045035"/>
    <w:rsid w:val="00052F6E"/>
    <w:rsid w:val="00094BBF"/>
    <w:rsid w:val="000B3E51"/>
    <w:rsid w:val="000C0002"/>
    <w:rsid w:val="000E4D56"/>
    <w:rsid w:val="0011080A"/>
    <w:rsid w:val="001145E4"/>
    <w:rsid w:val="00117823"/>
    <w:rsid w:val="001224D1"/>
    <w:rsid w:val="00163680"/>
    <w:rsid w:val="00166ECB"/>
    <w:rsid w:val="00180DCC"/>
    <w:rsid w:val="001A2232"/>
    <w:rsid w:val="001C6DBB"/>
    <w:rsid w:val="00225895"/>
    <w:rsid w:val="0027103C"/>
    <w:rsid w:val="00280B13"/>
    <w:rsid w:val="002836FF"/>
    <w:rsid w:val="00316327"/>
    <w:rsid w:val="00334F7D"/>
    <w:rsid w:val="003372D4"/>
    <w:rsid w:val="00372AF7"/>
    <w:rsid w:val="003937C3"/>
    <w:rsid w:val="003D0B45"/>
    <w:rsid w:val="003F191D"/>
    <w:rsid w:val="003F1E4D"/>
    <w:rsid w:val="0041168D"/>
    <w:rsid w:val="00416609"/>
    <w:rsid w:val="00421972"/>
    <w:rsid w:val="00425C71"/>
    <w:rsid w:val="00434AC1"/>
    <w:rsid w:val="00456E36"/>
    <w:rsid w:val="00492D6A"/>
    <w:rsid w:val="004A469F"/>
    <w:rsid w:val="004E2600"/>
    <w:rsid w:val="00505BCC"/>
    <w:rsid w:val="0052352C"/>
    <w:rsid w:val="00532F80"/>
    <w:rsid w:val="005A1AAC"/>
    <w:rsid w:val="005A7245"/>
    <w:rsid w:val="005B2E39"/>
    <w:rsid w:val="005E45A8"/>
    <w:rsid w:val="006306D6"/>
    <w:rsid w:val="0063457A"/>
    <w:rsid w:val="00645813"/>
    <w:rsid w:val="00673B0E"/>
    <w:rsid w:val="00675759"/>
    <w:rsid w:val="006A2AF0"/>
    <w:rsid w:val="006C2371"/>
    <w:rsid w:val="006D7147"/>
    <w:rsid w:val="006F5698"/>
    <w:rsid w:val="00700926"/>
    <w:rsid w:val="00701228"/>
    <w:rsid w:val="007250CE"/>
    <w:rsid w:val="0077443A"/>
    <w:rsid w:val="00796F09"/>
    <w:rsid w:val="007C0140"/>
    <w:rsid w:val="007D5A81"/>
    <w:rsid w:val="0081309A"/>
    <w:rsid w:val="0081789C"/>
    <w:rsid w:val="00822939"/>
    <w:rsid w:val="00830952"/>
    <w:rsid w:val="00845798"/>
    <w:rsid w:val="0086238C"/>
    <w:rsid w:val="00864BAE"/>
    <w:rsid w:val="00894B46"/>
    <w:rsid w:val="008A252D"/>
    <w:rsid w:val="008B6E5A"/>
    <w:rsid w:val="008C0A51"/>
    <w:rsid w:val="008C238E"/>
    <w:rsid w:val="008D0C2D"/>
    <w:rsid w:val="008D1D70"/>
    <w:rsid w:val="00916897"/>
    <w:rsid w:val="009426FE"/>
    <w:rsid w:val="0095118D"/>
    <w:rsid w:val="00951DA3"/>
    <w:rsid w:val="009570C3"/>
    <w:rsid w:val="00990898"/>
    <w:rsid w:val="009921F2"/>
    <w:rsid w:val="0099748E"/>
    <w:rsid w:val="009B4237"/>
    <w:rsid w:val="009D35EE"/>
    <w:rsid w:val="009F4C39"/>
    <w:rsid w:val="00A10093"/>
    <w:rsid w:val="00A337EC"/>
    <w:rsid w:val="00A54FD1"/>
    <w:rsid w:val="00A6614B"/>
    <w:rsid w:val="00A70BD3"/>
    <w:rsid w:val="00A714D4"/>
    <w:rsid w:val="00A72AAA"/>
    <w:rsid w:val="00A83B17"/>
    <w:rsid w:val="00A90526"/>
    <w:rsid w:val="00A9544B"/>
    <w:rsid w:val="00AB2E16"/>
    <w:rsid w:val="00AB5A11"/>
    <w:rsid w:val="00AC0396"/>
    <w:rsid w:val="00AD03F8"/>
    <w:rsid w:val="00AE3D58"/>
    <w:rsid w:val="00AF70D8"/>
    <w:rsid w:val="00B03C9A"/>
    <w:rsid w:val="00B338FE"/>
    <w:rsid w:val="00B35BE1"/>
    <w:rsid w:val="00B65A28"/>
    <w:rsid w:val="00B65C85"/>
    <w:rsid w:val="00BA22BA"/>
    <w:rsid w:val="00BD70E2"/>
    <w:rsid w:val="00C2091B"/>
    <w:rsid w:val="00C34697"/>
    <w:rsid w:val="00C47087"/>
    <w:rsid w:val="00C92467"/>
    <w:rsid w:val="00C9747F"/>
    <w:rsid w:val="00CD0CC7"/>
    <w:rsid w:val="00CD11C1"/>
    <w:rsid w:val="00CD6828"/>
    <w:rsid w:val="00CE1A68"/>
    <w:rsid w:val="00CF0DE4"/>
    <w:rsid w:val="00CF7531"/>
    <w:rsid w:val="00D0028C"/>
    <w:rsid w:val="00D20EA7"/>
    <w:rsid w:val="00D228AA"/>
    <w:rsid w:val="00D34F67"/>
    <w:rsid w:val="00D435CF"/>
    <w:rsid w:val="00D43F03"/>
    <w:rsid w:val="00D66FF7"/>
    <w:rsid w:val="00D67AD9"/>
    <w:rsid w:val="00DA122C"/>
    <w:rsid w:val="00DB132E"/>
    <w:rsid w:val="00DC5499"/>
    <w:rsid w:val="00DC572A"/>
    <w:rsid w:val="00DC7D2B"/>
    <w:rsid w:val="00DD76C4"/>
    <w:rsid w:val="00E32227"/>
    <w:rsid w:val="00E61F12"/>
    <w:rsid w:val="00E9708B"/>
    <w:rsid w:val="00EC41A6"/>
    <w:rsid w:val="00ED489B"/>
    <w:rsid w:val="00EE5C68"/>
    <w:rsid w:val="00EF11C3"/>
    <w:rsid w:val="00F52205"/>
    <w:rsid w:val="00F552FE"/>
    <w:rsid w:val="00F6588A"/>
    <w:rsid w:val="00FA4B7F"/>
    <w:rsid w:val="00FA53BD"/>
    <w:rsid w:val="00FA552C"/>
    <w:rsid w:val="00FB5DAA"/>
    <w:rsid w:val="00FE0BC6"/>
    <w:rsid w:val="00FF094B"/>
    <w:rsid w:val="01CE1D90"/>
    <w:rsid w:val="08523621"/>
    <w:rsid w:val="0B5F3F36"/>
    <w:rsid w:val="120A3B79"/>
    <w:rsid w:val="121F50E7"/>
    <w:rsid w:val="12ED4D27"/>
    <w:rsid w:val="17037521"/>
    <w:rsid w:val="19F2189A"/>
    <w:rsid w:val="22114451"/>
    <w:rsid w:val="23B76C66"/>
    <w:rsid w:val="29C166F7"/>
    <w:rsid w:val="2C1D1973"/>
    <w:rsid w:val="2E503BF0"/>
    <w:rsid w:val="303E4608"/>
    <w:rsid w:val="3A8328C4"/>
    <w:rsid w:val="3E50579D"/>
    <w:rsid w:val="400F4524"/>
    <w:rsid w:val="44CD2271"/>
    <w:rsid w:val="44E11408"/>
    <w:rsid w:val="54731C8B"/>
    <w:rsid w:val="57E81FCA"/>
    <w:rsid w:val="5B191539"/>
    <w:rsid w:val="5B273C06"/>
    <w:rsid w:val="5B59443E"/>
    <w:rsid w:val="68F65828"/>
    <w:rsid w:val="73A32D06"/>
    <w:rsid w:val="78D33B53"/>
    <w:rsid w:val="E99D46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unhideWhenUsed/>
    <w:qFormat/>
    <w:uiPriority w:val="99"/>
    <w:pPr>
      <w:tabs>
        <w:tab w:val="center" w:pos="4153"/>
        <w:tab w:val="right" w:pos="8306"/>
      </w:tabs>
      <w:snapToGrid w:val="0"/>
      <w:jc w:val="left"/>
    </w:pPr>
    <w:rPr>
      <w:sz w:val="18"/>
      <w:szCs w:val="18"/>
    </w:rPr>
  </w:style>
  <w:style w:type="paragraph" w:styleId="5">
    <w:name w:val="Body Text"/>
    <w:basedOn w:val="1"/>
    <w:link w:val="18"/>
    <w:qFormat/>
    <w:uiPriority w:val="99"/>
    <w:pPr>
      <w:spacing w:beforeLines="30"/>
    </w:pPr>
    <w:rPr>
      <w:rFonts w:ascii="仿宋_GB2312" w:eastAsia="仿宋_GB2312"/>
      <w:kern w:val="0"/>
      <w:sz w:val="30"/>
    </w:rPr>
  </w:style>
  <w:style w:type="paragraph" w:styleId="6">
    <w:name w:val="toc 3"/>
    <w:basedOn w:val="1"/>
    <w:next w:val="1"/>
    <w:semiHidden/>
    <w:unhideWhenUsed/>
    <w:qFormat/>
    <w:uiPriority w:val="39"/>
    <w:pPr>
      <w:ind w:left="840" w:leftChars="400"/>
    </w:pPr>
  </w:style>
  <w:style w:type="paragraph" w:styleId="7">
    <w:name w:val="Balloon Text"/>
    <w:basedOn w:val="1"/>
    <w:link w:val="23"/>
    <w:semiHidden/>
    <w:unhideWhenUsed/>
    <w:qFormat/>
    <w:uiPriority w:val="99"/>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0">
    <w:name w:val="toc 2"/>
    <w:basedOn w:val="1"/>
    <w:next w:val="1"/>
    <w:unhideWhenUsed/>
    <w:qFormat/>
    <w:uiPriority w:val="39"/>
    <w:pPr>
      <w:ind w:left="420" w:leftChars="200"/>
    </w:pPr>
  </w:style>
  <w:style w:type="paragraph" w:styleId="11">
    <w:name w:val="Normal (Web)"/>
    <w:basedOn w:val="1"/>
    <w:unhideWhenUsed/>
    <w:qFormat/>
    <w:uiPriority w:val="99"/>
    <w:pPr>
      <w:jc w:val="left"/>
    </w:pPr>
    <w:rPr>
      <w:kern w:val="0"/>
      <w:sz w:val="24"/>
    </w:rPr>
  </w:style>
  <w:style w:type="character" w:styleId="14">
    <w:name w:val="Strong"/>
    <w:basedOn w:val="13"/>
    <w:qFormat/>
    <w:uiPriority w:val="99"/>
    <w:rPr>
      <w:b/>
    </w:rPr>
  </w:style>
  <w:style w:type="character" w:styleId="15">
    <w:name w:val="Hyperlink"/>
    <w:basedOn w:val="13"/>
    <w:unhideWhenUsed/>
    <w:qFormat/>
    <w:uiPriority w:val="99"/>
    <w:rPr>
      <w:rFonts w:cs="Times New Roman"/>
      <w:color w:val="0000FF"/>
      <w:u w:val="single"/>
    </w:rPr>
  </w:style>
  <w:style w:type="character" w:customStyle="1" w:styleId="16">
    <w:name w:val="标题 1 Char"/>
    <w:basedOn w:val="13"/>
    <w:link w:val="3"/>
    <w:qFormat/>
    <w:uiPriority w:val="9"/>
    <w:rPr>
      <w:rFonts w:ascii="Times New Roman" w:hAnsi="Times New Roman" w:eastAsia="宋体" w:cs="Times New Roman"/>
      <w:b/>
      <w:bCs/>
      <w:kern w:val="44"/>
      <w:sz w:val="44"/>
      <w:szCs w:val="44"/>
    </w:rPr>
  </w:style>
  <w:style w:type="character" w:customStyle="1" w:styleId="17">
    <w:name w:val="标题 2 Char"/>
    <w:basedOn w:val="13"/>
    <w:link w:val="4"/>
    <w:qFormat/>
    <w:uiPriority w:val="9"/>
    <w:rPr>
      <w:rFonts w:asciiTheme="majorHAnsi" w:hAnsiTheme="majorHAnsi" w:eastAsiaTheme="majorEastAsia" w:cstheme="majorBidi"/>
      <w:b/>
      <w:bCs/>
      <w:sz w:val="32"/>
      <w:szCs w:val="32"/>
    </w:rPr>
  </w:style>
  <w:style w:type="character" w:customStyle="1" w:styleId="18">
    <w:name w:val="正文文本 Char"/>
    <w:basedOn w:val="13"/>
    <w:link w:val="5"/>
    <w:qFormat/>
    <w:uiPriority w:val="99"/>
    <w:rPr>
      <w:rFonts w:ascii="仿宋_GB2312" w:hAnsi="Times New Roman" w:eastAsia="仿宋_GB2312" w:cs="Times New Roman"/>
      <w:kern w:val="0"/>
      <w:sz w:val="30"/>
      <w:szCs w:val="24"/>
    </w:rPr>
  </w:style>
  <w:style w:type="character" w:customStyle="1" w:styleId="19">
    <w:name w:val="页眉 Char"/>
    <w:basedOn w:val="13"/>
    <w:link w:val="8"/>
    <w:qFormat/>
    <w:uiPriority w:val="99"/>
    <w:rPr>
      <w:rFonts w:ascii="Times New Roman" w:hAnsi="Times New Roman" w:eastAsia="宋体" w:cs="Times New Roman"/>
      <w:sz w:val="18"/>
      <w:szCs w:val="18"/>
    </w:rPr>
  </w:style>
  <w:style w:type="character" w:customStyle="1" w:styleId="20">
    <w:name w:val="页脚 Char"/>
    <w:basedOn w:val="13"/>
    <w:link w:val="2"/>
    <w:qFormat/>
    <w:uiPriority w:val="99"/>
    <w:rPr>
      <w:rFonts w:ascii="Times New Roman" w:hAnsi="Times New Roman" w:eastAsia="宋体" w:cs="Times New Roman"/>
      <w:sz w:val="18"/>
      <w:szCs w:val="18"/>
    </w:rPr>
  </w:style>
  <w:style w:type="paragraph" w:customStyle="1" w:styleId="21">
    <w:name w:val="Char"/>
    <w:basedOn w:val="1"/>
    <w:qFormat/>
    <w:uiPriority w:val="0"/>
    <w:pPr>
      <w:widowControl/>
      <w:spacing w:after="160" w:line="240" w:lineRule="exact"/>
      <w:jc w:val="left"/>
    </w:pPr>
  </w:style>
  <w:style w:type="paragraph" w:styleId="22">
    <w:name w:val="List Paragraph"/>
    <w:basedOn w:val="1"/>
    <w:qFormat/>
    <w:uiPriority w:val="34"/>
    <w:pPr>
      <w:ind w:firstLine="420" w:firstLineChars="200"/>
    </w:pPr>
  </w:style>
  <w:style w:type="character" w:customStyle="1" w:styleId="23">
    <w:name w:val="批注框文本 Char"/>
    <w:basedOn w:val="13"/>
    <w:link w:val="7"/>
    <w:semiHidden/>
    <w:qFormat/>
    <w:uiPriority w:val="99"/>
    <w:rPr>
      <w:rFonts w:ascii="Times New Roman" w:hAnsi="Times New Roman" w:eastAsia="宋体" w:cs="Times New Roman"/>
      <w:sz w:val="18"/>
      <w:szCs w:val="18"/>
    </w:rPr>
  </w:style>
  <w:style w:type="paragraph" w:customStyle="1" w:styleId="24">
    <w:name w:val="列出段落1"/>
    <w:basedOn w:val="1"/>
    <w:qFormat/>
    <w:uiPriority w:val="34"/>
    <w:pPr>
      <w:ind w:firstLine="420" w:firstLineChars="200"/>
    </w:p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3"/>
    <w:link w:val="26"/>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manualLayout>
          <c:xMode val="edge"/>
          <c:yMode val="edge"/>
          <c:x val="0.227481861617413"/>
          <c:y val="0.0591982015736231"/>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2020年度收、支</c:v>
                </c:pt>
                <c:pt idx="1">
                  <c:v>2019年度收、支</c:v>
                </c:pt>
              </c:strCache>
            </c:strRef>
          </c:cat>
          <c:val>
            <c:numRef>
              <c:f>[工作簿1]Sheet1!$B$22:$B$23</c:f>
              <c:numCache>
                <c:formatCode>General</c:formatCode>
                <c:ptCount val="2"/>
                <c:pt idx="0">
                  <c:v>558.41</c:v>
                </c:pt>
                <c:pt idx="1">
                  <c:v>622.14</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[工作簿1]Sheet1!$A$3:$A$4</c:f>
              <c:strCache>
                <c:ptCount val="2"/>
                <c:pt idx="0">
                  <c:v>一般公共预算财政拨款收入</c:v>
                </c:pt>
                <c:pt idx="1">
                  <c:v>其他收入</c:v>
                </c:pt>
              </c:strCache>
            </c:strRef>
          </c:cat>
          <c:val>
            <c:numRef>
              <c:f>[工作簿1]Sheet1!$B$3:$B$4</c:f>
              <c:numCache>
                <c:formatCode>General</c:formatCode>
                <c:ptCount val="2"/>
                <c:pt idx="0">
                  <c:v>307.89</c:v>
                </c:pt>
                <c:pt idx="1">
                  <c:v>0.11</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[工作簿1]Sheet1!$A$3:$A$4</c:f>
              <c:strCache>
                <c:ptCount val="2"/>
                <c:pt idx="0">
                  <c:v>基本支出</c:v>
                </c:pt>
                <c:pt idx="1">
                  <c:v>项目支出</c:v>
                </c:pt>
              </c:strCache>
            </c:strRef>
          </c:cat>
          <c:val>
            <c:numRef>
              <c:f>[工作簿1]Sheet1!$B$3:$B$4</c:f>
              <c:numCache>
                <c:formatCode>General</c:formatCode>
                <c:ptCount val="2"/>
                <c:pt idx="0">
                  <c:v>86.39</c:v>
                </c:pt>
                <c:pt idx="1">
                  <c:v>214.19</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财政拨款收、支决算总计变动情况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2020年财政拨款收、支</c:v>
                </c:pt>
                <c:pt idx="1">
                  <c:v>2019年财政拨款收、支</c:v>
                </c:pt>
              </c:strCache>
            </c:strRef>
          </c:cat>
          <c:val>
            <c:numRef>
              <c:f>[工作簿1]Sheet1!$B$22:$B$23</c:f>
              <c:numCache>
                <c:formatCode>General</c:formatCode>
                <c:ptCount val="2"/>
                <c:pt idx="0">
                  <c:v>511.8</c:v>
                </c:pt>
                <c:pt idx="1">
                  <c:v>575.15</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6744222118815"/>
          <c:y val="0.0693400167084378"/>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[工作簿1]Sheet1!$A$22:$A$23</c:f>
              <c:strCache>
                <c:ptCount val="2"/>
                <c:pt idx="0">
                  <c:v>2020年一般公共预算财政拨款支出</c:v>
                </c:pt>
                <c:pt idx="1">
                  <c:v>2019年一般公共预算财政拨款支出</c:v>
                </c:pt>
              </c:strCache>
            </c:strRef>
          </c:cat>
          <c:val>
            <c:numRef>
              <c:f>[工作簿1]Sheet1!$B$22:$B$23</c:f>
              <c:numCache>
                <c:formatCode>General</c:formatCode>
                <c:ptCount val="2"/>
                <c:pt idx="0">
                  <c:v>284.04</c:v>
                </c:pt>
                <c:pt idx="1">
                  <c:v>314.25</c:v>
                </c:pt>
              </c:numCache>
            </c:numRef>
          </c:val>
        </c:ser>
        <c:dLbls>
          <c:showLegendKey val="false"/>
          <c:showVal val="false"/>
          <c:showCatName val="false"/>
          <c:showSerName val="false"/>
          <c:showPercent val="false"/>
          <c:showBubbleSize val="false"/>
        </c:dLbls>
        <c:gapWidth val="219"/>
        <c:overlap val="-27"/>
        <c:axId val="18051004"/>
        <c:axId val="787929609"/>
      </c:barChart>
      <c:catAx>
        <c:axId val="1805100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7929609"/>
        <c:crosses val="autoZero"/>
        <c:auto val="true"/>
        <c:lblAlgn val="ctr"/>
        <c:lblOffset val="100"/>
        <c:noMultiLvlLbl val="false"/>
      </c:catAx>
      <c:valAx>
        <c:axId val="787929609"/>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18051004"/>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900"/>
              <a:t>一般公共预算财政拨款支出决算结构</a:t>
            </a:r>
            <a:endParaRPr sz="900"/>
          </a:p>
        </c:rich>
      </c:tx>
      <c:layout>
        <c:manualLayout>
          <c:xMode val="edge"/>
          <c:yMode val="edge"/>
          <c:x val="0.238931577021588"/>
          <c:y val="0.0407088122605364"/>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[工作簿1]Sheet1!$A$3:$A$6</c:f>
              <c:strCache>
                <c:ptCount val="4"/>
                <c:pt idx="0">
                  <c:v>一般公共服务</c:v>
                </c:pt>
                <c:pt idx="1">
                  <c:v>社会保障和就业</c:v>
                </c:pt>
                <c:pt idx="2">
                  <c:v>卫生健康</c:v>
                </c:pt>
                <c:pt idx="3">
                  <c:v>住房保障</c:v>
                </c:pt>
              </c:strCache>
            </c:strRef>
          </c:cat>
          <c:val>
            <c:numRef>
              <c:f>[工作簿1]Sheet1!$B$3:$B$6</c:f>
              <c:numCache>
                <c:formatCode>General</c:formatCode>
                <c:ptCount val="4"/>
                <c:pt idx="0">
                  <c:v>271.82</c:v>
                </c:pt>
                <c:pt idx="1">
                  <c:v>5.8</c:v>
                </c:pt>
                <c:pt idx="2">
                  <c:v>2.74</c:v>
                </c:pt>
                <c:pt idx="3">
                  <c:v>3.68</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manualLayout>
          <c:xMode val="edge"/>
          <c:yMode val="edge"/>
          <c:x val="0.0754665203073546"/>
          <c:y val="0.17863984674329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rPr sz="1200"/>
              <a:t>“三公”经费财政拨款支出结构</a:t>
            </a:r>
            <a:endParaRPr sz="1200"/>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[工作簿1]Sheet1!$A$3:$A$5</c:f>
              <c:strCache>
                <c:ptCount val="3"/>
                <c:pt idx="0">
                  <c:v>因公出国（境）费支出</c:v>
                </c:pt>
                <c:pt idx="1">
                  <c:v>公务用车购置及运行维护费支出</c:v>
                </c:pt>
                <c:pt idx="2">
                  <c:v>公务接待费支出</c:v>
                </c:pt>
              </c:strCache>
            </c:strRef>
          </c:cat>
          <c:val>
            <c:numRef>
              <c:f>[工作簿1]Sheet1!$B$3:$B$5</c:f>
              <c:numCache>
                <c:formatCode>General</c:formatCode>
                <c:ptCount val="3"/>
                <c:pt idx="0">
                  <c:v>0</c:v>
                </c:pt>
                <c:pt idx="1">
                  <c:v>13.39</c:v>
                </c:pt>
                <c:pt idx="2">
                  <c:v>0.07</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2217</Words>
  <Characters>12642</Characters>
  <Lines>105</Lines>
  <Paragraphs>29</Paragraphs>
  <TotalTime>0</TotalTime>
  <ScaleCrop>false</ScaleCrop>
  <LinksUpToDate>false</LinksUpToDate>
  <CharactersWithSpaces>14830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2021-09-06T11:48:00Z</dcterms:created>
  <dc:creator>Administrator</dc:creator>
  <cp:lastModifiedBy>uos</cp:lastModifiedBy>
  <cp:lastPrinted>2021-09-09T10:24:00Z</cp:lastPrinted>
  <dcterms:modified xsi:type="dcterms:W3CDTF">2022-09-06T10:17:29Z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