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1E" w:rsidRDefault="0043571E">
      <w:pPr>
        <w:widowControl/>
        <w:spacing w:before="210" w:after="210" w:line="360" w:lineRule="atLeast"/>
        <w:ind w:firstLine="420"/>
        <w:jc w:val="center"/>
        <w:rPr>
          <w:rFonts w:ascii="Calibri" w:hAnsi="Calibri" w:cs="Calibri"/>
          <w:szCs w:val="21"/>
        </w:rPr>
      </w:pPr>
    </w:p>
    <w:p w:rsidR="009E4DC5" w:rsidRDefault="00C454FC" w:rsidP="009E4DC5">
      <w:pPr>
        <w:widowControl/>
        <w:spacing w:before="210" w:after="210" w:line="360" w:lineRule="atLeast"/>
        <w:ind w:firstLine="420"/>
        <w:jc w:val="center"/>
        <w:rPr>
          <w:rFonts w:ascii="方正小标宋简体" w:eastAsia="方正小标宋简体" w:hAnsi="方正小标宋简体" w:cs="方正小标宋简体" w:hint="eastAsia"/>
          <w:color w:val="333333"/>
          <w:kern w:val="0"/>
          <w:sz w:val="44"/>
          <w:szCs w:val="44"/>
        </w:rPr>
      </w:pPr>
      <w:r>
        <w:rPr>
          <w:rFonts w:ascii="方正小标宋简体" w:eastAsia="方正小标宋简体" w:hAnsi="方正小标宋简体" w:cs="方正小标宋简体"/>
          <w:color w:val="333333"/>
          <w:kern w:val="0"/>
          <w:sz w:val="44"/>
          <w:szCs w:val="44"/>
        </w:rPr>
        <w:t>广元市农民工服务中心2021年部门预算编制说</w:t>
      </w:r>
      <w:bookmarkStart w:id="0" w:name="_Toc3788_WPSOffice_Type1"/>
      <w:r w:rsidR="009E4DC5">
        <w:rPr>
          <w:rFonts w:ascii="方正小标宋简体" w:eastAsia="方正小标宋简体" w:hAnsi="方正小标宋简体" w:cs="方正小标宋简体"/>
          <w:color w:val="333333"/>
          <w:kern w:val="0"/>
          <w:sz w:val="44"/>
          <w:szCs w:val="44"/>
        </w:rPr>
        <w:t>明</w:t>
      </w:r>
    </w:p>
    <w:p w:rsidR="009E4DC5" w:rsidRDefault="009E4DC5" w:rsidP="009E4DC5">
      <w:pPr>
        <w:jc w:val="center"/>
      </w:pPr>
      <w:r>
        <w:rPr>
          <w:rFonts w:ascii="黑体" w:eastAsia="黑体" w:hAnsi="黑体" w:cs="黑体" w:hint="eastAsia"/>
          <w:sz w:val="32"/>
          <w:szCs w:val="32"/>
        </w:rPr>
        <w:t>目    录</w:t>
      </w:r>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21396_WPSOffice_Level1" w:history="1">
        <w:r>
          <w:rPr>
            <w:rFonts w:ascii="仿宋" w:eastAsia="仿宋" w:hAnsi="仿宋" w:cs="仿宋" w:hint="eastAsia"/>
            <w:sz w:val="32"/>
            <w:szCs w:val="32"/>
          </w:rPr>
          <w:t>一、基本职能及主要工作</w:t>
        </w:r>
        <w:r>
          <w:rPr>
            <w:rFonts w:ascii="仿宋" w:eastAsia="仿宋" w:hAnsi="仿宋" w:cs="仿宋" w:hint="eastAsia"/>
            <w:sz w:val="32"/>
            <w:szCs w:val="32"/>
          </w:rPr>
          <w:tab/>
        </w:r>
        <w:bookmarkStart w:id="1" w:name="_Toc21396_WPSOffice_Level1Page"/>
        <w:r>
          <w:rPr>
            <w:rFonts w:ascii="仿宋" w:eastAsia="仿宋" w:hAnsi="仿宋" w:cs="仿宋" w:hint="eastAsia"/>
            <w:sz w:val="32"/>
            <w:szCs w:val="32"/>
          </w:rPr>
          <w:t>1</w:t>
        </w:r>
        <w:bookmarkEnd w:id="1"/>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31329_WPSOffice_Level1" w:history="1">
        <w:r>
          <w:rPr>
            <w:rFonts w:ascii="仿宋" w:eastAsia="仿宋" w:hAnsi="仿宋" w:cs="仿宋" w:hint="eastAsia"/>
            <w:sz w:val="32"/>
            <w:szCs w:val="32"/>
          </w:rPr>
          <w:t>二、部门预算单位构成</w:t>
        </w:r>
        <w:r>
          <w:rPr>
            <w:rFonts w:ascii="仿宋" w:eastAsia="仿宋" w:hAnsi="仿宋" w:cs="仿宋" w:hint="eastAsia"/>
            <w:sz w:val="32"/>
            <w:szCs w:val="32"/>
          </w:rPr>
          <w:tab/>
          <w:t>2</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8402_WPSOffice_Level1" w:history="1">
        <w:r>
          <w:rPr>
            <w:rFonts w:ascii="仿宋" w:eastAsia="仿宋" w:hAnsi="仿宋" w:cs="仿宋" w:hint="eastAsia"/>
            <w:sz w:val="32"/>
            <w:szCs w:val="32"/>
          </w:rPr>
          <w:t>三、2021年财政拨款部门预算情况的总体说明</w:t>
        </w:r>
        <w:r>
          <w:rPr>
            <w:rFonts w:ascii="仿宋" w:eastAsia="仿宋" w:hAnsi="仿宋" w:cs="仿宋" w:hint="eastAsia"/>
            <w:sz w:val="32"/>
            <w:szCs w:val="32"/>
          </w:rPr>
          <w:tab/>
          <w:t>2</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1571_WPSOffice_Level1" w:history="1">
        <w:r>
          <w:rPr>
            <w:rFonts w:ascii="仿宋" w:eastAsia="仿宋" w:hAnsi="仿宋" w:cs="仿宋" w:hint="eastAsia"/>
            <w:sz w:val="32"/>
            <w:szCs w:val="32"/>
          </w:rPr>
          <w:t>四、一般公共预算当年财政拨款情况说明</w:t>
        </w:r>
        <w:r>
          <w:rPr>
            <w:rFonts w:ascii="仿宋" w:eastAsia="仿宋" w:hAnsi="仿宋" w:cs="仿宋" w:hint="eastAsia"/>
            <w:sz w:val="32"/>
            <w:szCs w:val="32"/>
          </w:rPr>
          <w:tab/>
          <w:t>3</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4270_WPSOffice_Level1" w:history="1">
        <w:r>
          <w:rPr>
            <w:rFonts w:ascii="仿宋" w:eastAsia="仿宋" w:hAnsi="仿宋" w:cs="仿宋" w:hint="eastAsia"/>
            <w:sz w:val="32"/>
            <w:szCs w:val="32"/>
          </w:rPr>
          <w:t>五、2021年一般公共预算基本支出情况说明</w:t>
        </w:r>
        <w:r>
          <w:rPr>
            <w:rFonts w:ascii="仿宋" w:eastAsia="仿宋" w:hAnsi="仿宋" w:cs="仿宋" w:hint="eastAsia"/>
            <w:sz w:val="32"/>
            <w:szCs w:val="32"/>
          </w:rPr>
          <w:tab/>
          <w:t>4</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13383_WPSOffice_Level1" w:history="1">
        <w:r>
          <w:rPr>
            <w:rFonts w:ascii="仿宋" w:eastAsia="仿宋" w:hAnsi="仿宋" w:cs="仿宋" w:hint="eastAsia"/>
            <w:sz w:val="32"/>
            <w:szCs w:val="32"/>
          </w:rPr>
          <w:t>六、“三公”经费财政拨款预算安排情况说明</w:t>
        </w:r>
        <w:r>
          <w:rPr>
            <w:rFonts w:ascii="仿宋" w:eastAsia="仿宋" w:hAnsi="仿宋" w:cs="仿宋" w:hint="eastAsia"/>
            <w:sz w:val="32"/>
            <w:szCs w:val="32"/>
          </w:rPr>
          <w:tab/>
          <w:t>5</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26560_WPSOffice_Level1" w:history="1">
        <w:r>
          <w:rPr>
            <w:rFonts w:ascii="仿宋" w:eastAsia="仿宋" w:hAnsi="仿宋" w:cs="仿宋" w:hint="eastAsia"/>
            <w:sz w:val="32"/>
            <w:szCs w:val="32"/>
          </w:rPr>
          <w:t>七、政府性基金预算支出情况说明</w:t>
        </w:r>
        <w:r>
          <w:rPr>
            <w:rFonts w:ascii="仿宋" w:eastAsia="仿宋" w:hAnsi="仿宋" w:cs="仿宋" w:hint="eastAsia"/>
            <w:sz w:val="32"/>
            <w:szCs w:val="32"/>
          </w:rPr>
          <w:tab/>
          <w:t>6</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31417_WPSOffice_Level1" w:history="1">
        <w:r>
          <w:rPr>
            <w:rFonts w:ascii="仿宋" w:eastAsia="仿宋" w:hAnsi="仿宋" w:cs="仿宋" w:hint="eastAsia"/>
            <w:sz w:val="32"/>
            <w:szCs w:val="32"/>
          </w:rPr>
          <w:t>八、国有资本经营预算支出情况说明</w:t>
        </w:r>
        <w:r>
          <w:rPr>
            <w:rFonts w:ascii="仿宋" w:eastAsia="仿宋" w:hAnsi="仿宋" w:cs="仿宋" w:hint="eastAsia"/>
            <w:sz w:val="32"/>
            <w:szCs w:val="32"/>
          </w:rPr>
          <w:tab/>
          <w:t>7</w:t>
        </w:r>
      </w:hyperlink>
    </w:p>
    <w:p w:rsidR="009E4DC5" w:rsidRDefault="009E4DC5" w:rsidP="009E4DC5">
      <w:pPr>
        <w:pStyle w:val="WPSOffice1"/>
        <w:tabs>
          <w:tab w:val="right" w:leader="dot" w:pos="8844"/>
        </w:tabs>
        <w:spacing w:line="576" w:lineRule="exact"/>
        <w:rPr>
          <w:rFonts w:ascii="仿宋" w:eastAsia="仿宋" w:hAnsi="仿宋" w:cs="仿宋" w:hint="eastAsia"/>
          <w:sz w:val="32"/>
          <w:szCs w:val="32"/>
        </w:rPr>
      </w:pPr>
      <w:hyperlink w:anchor="_Toc24850_WPSOffice_Level1" w:history="1">
        <w:r>
          <w:rPr>
            <w:rFonts w:ascii="仿宋" w:eastAsia="仿宋" w:hAnsi="仿宋" w:cs="仿宋" w:hint="eastAsia"/>
            <w:sz w:val="32"/>
            <w:szCs w:val="32"/>
          </w:rPr>
          <w:t>九、其他重要事项的情况说明</w:t>
        </w:r>
        <w:r>
          <w:rPr>
            <w:rFonts w:ascii="仿宋" w:eastAsia="仿宋" w:hAnsi="仿宋" w:cs="仿宋" w:hint="eastAsia"/>
            <w:sz w:val="32"/>
            <w:szCs w:val="32"/>
          </w:rPr>
          <w:tab/>
          <w:t>7</w:t>
        </w:r>
      </w:hyperlink>
    </w:p>
    <w:p w:rsidR="009E4DC5" w:rsidRDefault="009E4DC5" w:rsidP="009E4DC5">
      <w:pPr>
        <w:pStyle w:val="WPSOffice1"/>
        <w:tabs>
          <w:tab w:val="right" w:leader="dot" w:pos="8844"/>
        </w:tabs>
        <w:spacing w:line="576" w:lineRule="exact"/>
      </w:pPr>
      <w:hyperlink w:anchor="_Toc6628_WPSOffice_Level1" w:history="1">
        <w:r>
          <w:rPr>
            <w:rFonts w:ascii="仿宋" w:eastAsia="仿宋" w:hAnsi="仿宋" w:cs="仿宋" w:hint="eastAsia"/>
            <w:sz w:val="32"/>
            <w:szCs w:val="32"/>
          </w:rPr>
          <w:t>十、有关名词解释</w:t>
        </w:r>
        <w:r>
          <w:rPr>
            <w:rFonts w:ascii="仿宋" w:eastAsia="仿宋" w:hAnsi="仿宋" w:cs="仿宋" w:hint="eastAsia"/>
            <w:sz w:val="32"/>
            <w:szCs w:val="32"/>
          </w:rPr>
          <w:tab/>
          <w:t>7</w:t>
        </w:r>
      </w:hyperlink>
      <w:bookmarkEnd w:id="0"/>
    </w:p>
    <w:p w:rsidR="009E4DC5" w:rsidRDefault="009E4DC5">
      <w:pPr>
        <w:widowControl/>
        <w:jc w:val="left"/>
        <w:rPr>
          <w:rFonts w:ascii="Calibri" w:hAnsi="Calibri" w:cs="Calibri"/>
          <w:szCs w:val="21"/>
        </w:rPr>
      </w:pPr>
      <w:r>
        <w:rPr>
          <w:rFonts w:ascii="Calibri" w:hAnsi="Calibri" w:cs="Calibri"/>
          <w:szCs w:val="21"/>
        </w:rPr>
        <w:br w:type="page"/>
      </w:r>
    </w:p>
    <w:p w:rsidR="0043571E" w:rsidRDefault="00C454FC">
      <w:pPr>
        <w:widowControl/>
        <w:spacing w:before="210" w:after="210" w:line="360" w:lineRule="atLeast"/>
        <w:ind w:firstLine="640"/>
        <w:rPr>
          <w:rFonts w:ascii="Calibri" w:hAnsi="Calibri" w:cs="Calibri"/>
          <w:szCs w:val="21"/>
        </w:rPr>
      </w:pPr>
      <w:r>
        <w:rPr>
          <w:rFonts w:ascii="黑体" w:eastAsia="黑体" w:hAnsi="宋体" w:cs="黑体"/>
          <w:color w:val="333333"/>
          <w:kern w:val="0"/>
          <w:sz w:val="32"/>
          <w:szCs w:val="32"/>
        </w:rPr>
        <w:lastRenderedPageBreak/>
        <w:t>一、基本职能及主要工作</w:t>
      </w:r>
    </w:p>
    <w:p w:rsidR="0043571E" w:rsidRDefault="00C454FC">
      <w:pPr>
        <w:widowControl/>
        <w:spacing w:before="210" w:after="210" w:line="360" w:lineRule="atLeast"/>
        <w:ind w:firstLine="642"/>
        <w:rPr>
          <w:rFonts w:ascii="Calibri" w:hAnsi="Calibri" w:cs="Calibri"/>
          <w:szCs w:val="21"/>
        </w:rPr>
      </w:pPr>
      <w:r>
        <w:rPr>
          <w:rFonts w:ascii="楷体_GB2312" w:eastAsia="楷体_GB2312" w:hAnsi="Calibri" w:cs="楷体_GB2312"/>
          <w:b/>
          <w:bCs/>
          <w:color w:val="333333"/>
          <w:kern w:val="0"/>
          <w:sz w:val="32"/>
          <w:szCs w:val="32"/>
        </w:rPr>
        <w:t>（一）农民工服务中心职能简介</w:t>
      </w:r>
    </w:p>
    <w:p w:rsidR="0043571E" w:rsidRDefault="00C454FC">
      <w:pPr>
        <w:widowControl/>
        <w:spacing w:before="210" w:after="210" w:line="360" w:lineRule="atLeast"/>
        <w:ind w:firstLine="640"/>
        <w:rPr>
          <w:rFonts w:ascii="Calibri" w:hAnsi="Calibri" w:cs="Calibri"/>
          <w:szCs w:val="21"/>
        </w:rPr>
      </w:pPr>
      <w:r>
        <w:rPr>
          <w:rFonts w:ascii="仿宋_GB2312" w:eastAsia="仿宋_GB2312" w:hAnsi="Calibri" w:cs="仿宋_GB2312"/>
          <w:color w:val="333333"/>
          <w:kern w:val="0"/>
          <w:sz w:val="32"/>
          <w:szCs w:val="32"/>
        </w:rPr>
        <w:t>1.</w:t>
      </w:r>
      <w:r>
        <w:rPr>
          <w:rFonts w:ascii="仿宋_GB2312" w:eastAsia="仿宋_GB2312" w:hAnsi="Calibri" w:cs="仿宋_GB2312"/>
          <w:color w:val="000000"/>
          <w:kern w:val="0"/>
          <w:sz w:val="32"/>
          <w:szCs w:val="32"/>
        </w:rPr>
        <w:t>宣传贯彻农民工服务保障工作法律法规和政策；2.组织实施全市农民工服务体系标准化建设工作；3.建设和管理驻外农民工工作站，承担农民工信息化建设工作；4.组织开展</w:t>
      </w:r>
      <w:proofErr w:type="gramStart"/>
      <w:r>
        <w:rPr>
          <w:rFonts w:ascii="仿宋_GB2312" w:eastAsia="仿宋_GB2312" w:hAnsi="Calibri" w:cs="仿宋_GB2312"/>
          <w:color w:val="000000"/>
          <w:kern w:val="0"/>
          <w:sz w:val="32"/>
          <w:szCs w:val="32"/>
        </w:rPr>
        <w:t>农民工回引创业</w:t>
      </w:r>
      <w:proofErr w:type="gramEnd"/>
      <w:r>
        <w:rPr>
          <w:rFonts w:ascii="仿宋_GB2312" w:eastAsia="仿宋_GB2312" w:hAnsi="Calibri" w:cs="仿宋_GB2312"/>
          <w:color w:val="000000"/>
          <w:kern w:val="0"/>
          <w:sz w:val="32"/>
          <w:szCs w:val="32"/>
        </w:rPr>
        <w:t>、职业培训等工作，组织农民工参加创新创业大赛活动；5.会同有关部门开展农民工维权救助、法律援助、治理欠薪等工作；6.组织实施农民工走访慰问、关心关爱等活动，会同有关部门开展农民工文化艺术、体育竞技等活动；7.完成市人力资源社会保障局交办的其他任务。</w:t>
      </w:r>
    </w:p>
    <w:p w:rsidR="0043571E" w:rsidRDefault="00C454FC">
      <w:pPr>
        <w:pStyle w:val="a3"/>
        <w:widowControl/>
        <w:spacing w:before="210" w:beforeAutospacing="0" w:after="210" w:afterAutospacing="0" w:line="360" w:lineRule="atLeast"/>
        <w:ind w:firstLine="321"/>
        <w:jc w:val="both"/>
        <w:rPr>
          <w:rFonts w:ascii="Calibri" w:hAnsi="Calibri" w:cs="Calibri"/>
        </w:rPr>
      </w:pPr>
      <w:r>
        <w:rPr>
          <w:rFonts w:ascii="楷体_GB2312" w:eastAsia="楷体_GB2312" w:hAnsi="Calibri" w:cs="楷体_GB2312"/>
          <w:b/>
          <w:bCs/>
          <w:color w:val="333333"/>
          <w:sz w:val="32"/>
          <w:szCs w:val="32"/>
        </w:rPr>
        <w:t>（二）农民工服务中心2021年重点工作</w:t>
      </w:r>
    </w:p>
    <w:p w:rsidR="0043571E" w:rsidRDefault="00C454FC">
      <w:pPr>
        <w:pStyle w:val="a3"/>
        <w:widowControl/>
        <w:spacing w:before="210" w:beforeAutospacing="0" w:after="210" w:afterAutospacing="0" w:line="360" w:lineRule="atLeast"/>
        <w:ind w:firstLine="640"/>
        <w:jc w:val="both"/>
        <w:rPr>
          <w:rFonts w:ascii="仿宋_GB2312" w:eastAsia="仿宋_GB2312" w:hAnsi="Calibri" w:cs="仿宋_GB2312"/>
          <w:color w:val="333333"/>
          <w:sz w:val="32"/>
          <w:szCs w:val="32"/>
        </w:rPr>
      </w:pPr>
      <w:proofErr w:type="gramStart"/>
      <w:r>
        <w:rPr>
          <w:rFonts w:ascii="仿宋_GB2312" w:eastAsia="仿宋_GB2312" w:hAnsi="Calibri" w:cs="仿宋_GB2312"/>
          <w:color w:val="333333"/>
          <w:sz w:val="32"/>
          <w:szCs w:val="32"/>
        </w:rPr>
        <w:t>持续抓好</w:t>
      </w:r>
      <w:proofErr w:type="gramEnd"/>
      <w:r>
        <w:rPr>
          <w:rFonts w:ascii="仿宋_GB2312" w:eastAsia="仿宋_GB2312" w:hAnsi="Calibri" w:cs="仿宋_GB2312"/>
          <w:color w:val="333333"/>
          <w:sz w:val="32"/>
          <w:szCs w:val="32"/>
        </w:rPr>
        <w:t>农民工服务保障。做好农民工疫情防控工作，开展</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点对点、一站式</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返岗务工直达运输服务，组织专列、专车助农民工返岗复工。持续做好走访慰问、就业创业、权益维护、证照办理、情满旅途等十件实事。深化东西部劳务协作和省内对口帮扶，稳定农村劳动力转移就业规模。加强协调农民工均等享有城市基本公共服务，提升县域农民工市民化质量。持续推进驻外农民工工作站、乡村两级农民工服务机构标准化建设，打造一批示范站点，以点带面，提升服务质效。高质量完成全国金保工程二期农民工综合信息系统试点，完善农民工基本信息数据库，精准施策提供服务，加</w:t>
      </w:r>
      <w:r>
        <w:rPr>
          <w:rFonts w:ascii="仿宋_GB2312" w:eastAsia="仿宋_GB2312" w:hAnsi="Calibri" w:cs="仿宋_GB2312"/>
          <w:color w:val="333333"/>
          <w:sz w:val="32"/>
          <w:szCs w:val="32"/>
        </w:rPr>
        <w:lastRenderedPageBreak/>
        <w:t>大农民工服务平台宣传推广力度，办好廊桥返乡创业图片展，营造关心关爱农民工和鼓励返乡创业良好氛围。精心组织参加全省农民工技能大赛、创业大赛等各类活动。全市农村劳动力转移就业稳定在95万人左右，做大做强</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农民工经济</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w:t>
      </w:r>
    </w:p>
    <w:p w:rsidR="0043571E" w:rsidRDefault="00C454FC">
      <w:pPr>
        <w:pStyle w:val="a3"/>
        <w:widowControl/>
        <w:spacing w:before="210" w:beforeAutospacing="0" w:after="210" w:afterAutospacing="0" w:line="360" w:lineRule="atLeast"/>
        <w:ind w:firstLine="640"/>
        <w:jc w:val="both"/>
        <w:rPr>
          <w:rFonts w:ascii="Calibri" w:hAnsi="Calibri" w:cs="Calibri"/>
        </w:rPr>
      </w:pPr>
      <w:r>
        <w:rPr>
          <w:rFonts w:ascii="仿宋_GB2312" w:eastAsia="仿宋_GB2312" w:hAnsi="Calibri" w:cs="仿宋_GB2312"/>
          <w:color w:val="333333"/>
          <w:sz w:val="32"/>
          <w:szCs w:val="32"/>
        </w:rPr>
        <w:t>做好农民工返乡创业就业工作。进一步完善返乡下乡创业企业服务机制，落实</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每个重点企业确定一名联系领导、发放一张连心卡、落实一个服务专员</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制度，创新困难问题会商会形式，常态</w:t>
      </w:r>
      <w:proofErr w:type="gramStart"/>
      <w:r>
        <w:rPr>
          <w:rFonts w:ascii="仿宋_GB2312" w:eastAsia="仿宋_GB2312" w:hAnsi="Calibri" w:cs="仿宋_GB2312"/>
          <w:color w:val="333333"/>
          <w:sz w:val="32"/>
          <w:szCs w:val="32"/>
        </w:rPr>
        <w:t>化解决</w:t>
      </w:r>
      <w:proofErr w:type="gramEnd"/>
      <w:r>
        <w:rPr>
          <w:rFonts w:ascii="仿宋_GB2312" w:eastAsia="仿宋_GB2312" w:hAnsi="Calibri" w:cs="仿宋_GB2312"/>
          <w:color w:val="333333"/>
          <w:sz w:val="32"/>
          <w:szCs w:val="32"/>
        </w:rPr>
        <w:t>企业困难问题。评选一批返乡下乡创业工作先进县、明星村镇，开展农民工返乡创业项目库建设、项目推介、集中签约和创业指导服务活动。依托国有人力资源公司、大专院校，积极创建</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川字号</w:t>
      </w:r>
      <w:r>
        <w:rPr>
          <w:rFonts w:ascii="仿宋_GB2312" w:eastAsia="仿宋_GB2312" w:hAnsi="Calibri" w:cs="仿宋_GB2312"/>
          <w:color w:val="333333"/>
          <w:sz w:val="32"/>
          <w:szCs w:val="32"/>
        </w:rPr>
        <w:t>”</w:t>
      </w:r>
      <w:r>
        <w:rPr>
          <w:rFonts w:ascii="仿宋_GB2312" w:eastAsia="仿宋_GB2312" w:hAnsi="Calibri" w:cs="仿宋_GB2312"/>
          <w:color w:val="333333"/>
          <w:sz w:val="32"/>
          <w:szCs w:val="32"/>
        </w:rPr>
        <w:t>特色劳务品牌，培育市级特色劳务品牌。</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二、部门预算单位构成</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广元市农民工服务中心是广元市人力资源社会保障局下属参照公务员管理的公益一类事业单位。</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三、收支预算情况说明</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按照综合预算的原则，广元市农民工服务中心所有收入和支出均纳入部门预算管理。收入包括：一般公共预算拨款收入、上年结转、财政代管资金。支出包括：一般公共服务支出、公共安全支出、社会保障和就业支出、卫生健康支出、</w:t>
      </w:r>
      <w:r>
        <w:rPr>
          <w:rFonts w:ascii="仿宋_GB2312" w:eastAsia="仿宋_GB2312" w:hAnsi="Calibri" w:cs="仿宋_GB2312"/>
          <w:color w:val="333333"/>
          <w:kern w:val="0"/>
          <w:sz w:val="32"/>
          <w:szCs w:val="32"/>
        </w:rPr>
        <w:lastRenderedPageBreak/>
        <w:t>住房保障支出。广元市农民工服务中心2021年收支总预算173.64万元,比2020年收支预算总数增加40.19万元，扣除上年结转资金、其他收入（财政代管资金）、一次性安排等因素后，同口径增加收入40.19万元，主要原因是2021年新增农民工服务保障专项经费和驻省外农民工</w:t>
      </w:r>
      <w:proofErr w:type="gramStart"/>
      <w:r>
        <w:rPr>
          <w:rFonts w:ascii="仿宋_GB2312" w:eastAsia="仿宋_GB2312" w:hAnsi="Calibri" w:cs="仿宋_GB2312"/>
          <w:color w:val="333333"/>
          <w:kern w:val="0"/>
          <w:sz w:val="32"/>
          <w:szCs w:val="32"/>
        </w:rPr>
        <w:t>工作站奖补经费</w:t>
      </w:r>
      <w:proofErr w:type="gramEnd"/>
      <w:r>
        <w:rPr>
          <w:rFonts w:ascii="仿宋_GB2312" w:eastAsia="仿宋_GB2312" w:hAnsi="Calibri" w:cs="仿宋_GB2312"/>
          <w:color w:val="333333"/>
          <w:kern w:val="0"/>
          <w:sz w:val="32"/>
          <w:szCs w:val="32"/>
        </w:rPr>
        <w:t>。</w:t>
      </w:r>
    </w:p>
    <w:p w:rsidR="0043571E" w:rsidRDefault="00C454FC">
      <w:pPr>
        <w:widowControl/>
        <w:spacing w:before="210" w:after="210" w:line="360" w:lineRule="atLeast"/>
        <w:ind w:firstLine="668"/>
        <w:rPr>
          <w:rFonts w:ascii="Calibri" w:hAnsi="Calibri" w:cs="Calibri"/>
          <w:szCs w:val="21"/>
        </w:rPr>
      </w:pPr>
      <w:r>
        <w:rPr>
          <w:rFonts w:ascii="楷体_GB2312" w:eastAsia="楷体_GB2312" w:hAnsi="Calibri" w:cs="楷体_GB2312"/>
          <w:b/>
          <w:bCs/>
          <w:color w:val="333333"/>
          <w:kern w:val="0"/>
          <w:sz w:val="32"/>
          <w:szCs w:val="32"/>
        </w:rPr>
        <w:t>（一）收入预算情况</w:t>
      </w:r>
    </w:p>
    <w:p w:rsidR="0043571E" w:rsidRDefault="00C454FC">
      <w:pPr>
        <w:widowControl/>
        <w:spacing w:before="210" w:after="210" w:line="360" w:lineRule="atLeast"/>
        <w:ind w:firstLine="640"/>
        <w:rPr>
          <w:rFonts w:ascii="Calibri" w:hAnsi="Calibri" w:cs="Calibri"/>
          <w:szCs w:val="21"/>
        </w:rPr>
      </w:pPr>
      <w:r>
        <w:rPr>
          <w:rFonts w:ascii="仿宋_GB2312" w:eastAsia="仿宋_GB2312" w:hAnsi="Calibri" w:cs="仿宋_GB2312"/>
          <w:color w:val="333333"/>
          <w:kern w:val="0"/>
          <w:sz w:val="32"/>
          <w:szCs w:val="32"/>
        </w:rPr>
        <w:t>广元市农民工服务中心2021年收入预算173.64万元，其中：一般公共预算拨款收入110.64万元、占比63.80%， 专项收入63万元，占比36.20%。</w:t>
      </w:r>
    </w:p>
    <w:p w:rsidR="0043571E" w:rsidRDefault="00C454FC">
      <w:pPr>
        <w:widowControl/>
        <w:spacing w:before="210" w:after="210" w:line="360" w:lineRule="atLeast"/>
        <w:ind w:firstLine="668"/>
        <w:rPr>
          <w:rFonts w:ascii="Calibri" w:hAnsi="Calibri" w:cs="Calibri"/>
          <w:szCs w:val="21"/>
        </w:rPr>
      </w:pPr>
      <w:r>
        <w:rPr>
          <w:rFonts w:ascii="楷体_GB2312" w:eastAsia="楷体_GB2312" w:hAnsi="Calibri" w:cs="楷体_GB2312"/>
          <w:b/>
          <w:bCs/>
          <w:color w:val="333333"/>
          <w:kern w:val="0"/>
          <w:sz w:val="32"/>
          <w:szCs w:val="32"/>
        </w:rPr>
        <w:t>（二）支出预算情况</w:t>
      </w:r>
    </w:p>
    <w:p w:rsidR="0043571E" w:rsidRDefault="00C454FC">
      <w:pPr>
        <w:widowControl/>
        <w:spacing w:before="210" w:after="210" w:line="360" w:lineRule="atLeast"/>
        <w:ind w:firstLine="960"/>
        <w:rPr>
          <w:rFonts w:ascii="Calibri" w:hAnsi="Calibri" w:cs="Calibri"/>
          <w:szCs w:val="21"/>
        </w:rPr>
      </w:pPr>
      <w:r>
        <w:rPr>
          <w:rFonts w:ascii="仿宋_GB2312" w:eastAsia="仿宋_GB2312" w:hAnsi="Calibri" w:cs="仿宋_GB2312"/>
          <w:color w:val="333333"/>
          <w:kern w:val="0"/>
          <w:sz w:val="32"/>
          <w:szCs w:val="32"/>
        </w:rPr>
        <w:t>广元市农民工服务中心单位2021年支出预算173.64万元，其中：基本支出110.64万元，占63.80%；项目支出63万元，占36.20%。</w:t>
      </w:r>
    </w:p>
    <w:p w:rsidR="0043571E" w:rsidRDefault="00C454FC">
      <w:pPr>
        <w:widowControl/>
        <w:spacing w:before="210" w:after="210" w:line="360" w:lineRule="atLeast"/>
        <w:ind w:firstLine="640"/>
        <w:rPr>
          <w:rFonts w:ascii="Calibri" w:hAnsi="Calibri" w:cs="Calibri"/>
          <w:szCs w:val="21"/>
        </w:rPr>
      </w:pPr>
      <w:r>
        <w:rPr>
          <w:rFonts w:ascii="黑体" w:eastAsia="黑体" w:hAnsi="宋体" w:cs="黑体" w:hint="eastAsia"/>
          <w:color w:val="333333"/>
          <w:kern w:val="0"/>
          <w:sz w:val="32"/>
          <w:szCs w:val="32"/>
        </w:rPr>
        <w:t>四、财政拨款收支预算情况说明</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广元市农民工服务中心2021年财政拨款收支总预算</w:t>
      </w:r>
      <w:r>
        <w:rPr>
          <w:rFonts w:ascii="仿宋_GB2312" w:eastAsia="仿宋_GB2312" w:hAnsi="Calibri" w:cs="仿宋_GB2312"/>
          <w:color w:val="000000"/>
          <w:kern w:val="0"/>
          <w:sz w:val="32"/>
          <w:szCs w:val="32"/>
        </w:rPr>
        <w:t>173.64</w:t>
      </w:r>
      <w:r>
        <w:rPr>
          <w:rFonts w:ascii="仿宋_GB2312" w:eastAsia="仿宋_GB2312" w:hAnsi="Calibri" w:cs="仿宋_GB2312"/>
          <w:color w:val="333333"/>
          <w:kern w:val="0"/>
          <w:sz w:val="32"/>
          <w:szCs w:val="32"/>
        </w:rPr>
        <w:t>万元 ,比2020年财政拨款收支总预算增加40.19万元，扣除上年结转资金、一次性安排等因素后，同口径增加40.19万元，主要原因是2021年新增农民工服务保障专项经费和驻省外农民工</w:t>
      </w:r>
      <w:proofErr w:type="gramStart"/>
      <w:r>
        <w:rPr>
          <w:rFonts w:ascii="仿宋_GB2312" w:eastAsia="仿宋_GB2312" w:hAnsi="Calibri" w:cs="仿宋_GB2312"/>
          <w:color w:val="333333"/>
          <w:kern w:val="0"/>
          <w:sz w:val="32"/>
          <w:szCs w:val="32"/>
        </w:rPr>
        <w:t>工作站奖补经费</w:t>
      </w:r>
      <w:proofErr w:type="gramEnd"/>
      <w:r>
        <w:rPr>
          <w:rFonts w:ascii="仿宋_GB2312" w:eastAsia="仿宋_GB2312" w:hAnsi="Calibri" w:cs="仿宋_GB2312"/>
          <w:color w:val="333333"/>
          <w:kern w:val="0"/>
          <w:sz w:val="32"/>
          <w:szCs w:val="32"/>
        </w:rPr>
        <w:t>。收入包括：本年一般公</w:t>
      </w:r>
      <w:r>
        <w:rPr>
          <w:rFonts w:ascii="仿宋_GB2312" w:eastAsia="仿宋_GB2312" w:hAnsi="Calibri" w:cs="仿宋_GB2312"/>
          <w:color w:val="333333"/>
          <w:kern w:val="0"/>
          <w:sz w:val="32"/>
          <w:szCs w:val="32"/>
        </w:rPr>
        <w:lastRenderedPageBreak/>
        <w:t>共预算拨款收入110.64万元，专项收入63万元；支出包括：综合业务管理151.92万元、行政单位离退休0.18万元、机关事业单位基本养老保险支出8.38万元、行政医疗支出4.19万元、住房保障支出8.97万元。</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五、一般公共预算当年拨款情况说明</w:t>
      </w:r>
    </w:p>
    <w:p w:rsidR="0043571E" w:rsidRDefault="00C454FC">
      <w:pPr>
        <w:widowControl/>
        <w:spacing w:before="210" w:after="210" w:line="360" w:lineRule="atLeast"/>
        <w:ind w:firstLine="963"/>
        <w:rPr>
          <w:rFonts w:ascii="Calibri" w:hAnsi="Calibri" w:cs="Calibri"/>
          <w:szCs w:val="21"/>
        </w:rPr>
      </w:pPr>
      <w:r>
        <w:rPr>
          <w:rFonts w:ascii="楷体_GB2312" w:eastAsia="楷体_GB2312" w:hAnsi="Calibri" w:cs="楷体_GB2312"/>
          <w:b/>
          <w:bCs/>
          <w:color w:val="333333"/>
          <w:kern w:val="0"/>
          <w:sz w:val="32"/>
          <w:szCs w:val="32"/>
        </w:rPr>
        <w:t>（一）一般公共预算当年拨款规模变化情况</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农民工服务中心2021年一般公共预算当年拨款173.64万元，比2020年预算数增加40.19万元，主要原因是2021年新增农民工服务保障专项经费和驻省外农民工</w:t>
      </w:r>
      <w:proofErr w:type="gramStart"/>
      <w:r>
        <w:rPr>
          <w:rFonts w:ascii="仿宋_GB2312" w:eastAsia="仿宋_GB2312" w:hAnsi="Calibri" w:cs="仿宋_GB2312"/>
          <w:color w:val="333333"/>
          <w:kern w:val="0"/>
          <w:sz w:val="32"/>
          <w:szCs w:val="32"/>
        </w:rPr>
        <w:t>工作站奖补经费</w:t>
      </w:r>
      <w:proofErr w:type="gramEnd"/>
      <w:r>
        <w:rPr>
          <w:rFonts w:ascii="仿宋_GB2312" w:eastAsia="仿宋_GB2312" w:hAnsi="Calibri" w:cs="仿宋_GB2312"/>
          <w:color w:val="333333"/>
          <w:kern w:val="0"/>
          <w:sz w:val="32"/>
          <w:szCs w:val="32"/>
        </w:rPr>
        <w:t>。</w:t>
      </w:r>
    </w:p>
    <w:p w:rsidR="0043571E" w:rsidRDefault="00C454FC">
      <w:pPr>
        <w:widowControl/>
        <w:spacing w:before="210" w:after="210" w:line="360" w:lineRule="atLeast"/>
        <w:ind w:firstLine="668"/>
        <w:rPr>
          <w:rFonts w:ascii="Calibri" w:hAnsi="Calibri" w:cs="Calibri"/>
          <w:szCs w:val="21"/>
        </w:rPr>
      </w:pPr>
      <w:r>
        <w:rPr>
          <w:rFonts w:ascii="楷体_GB2312" w:eastAsia="楷体_GB2312" w:hAnsi="Calibri" w:cs="楷体_GB2312"/>
          <w:b/>
          <w:bCs/>
          <w:color w:val="333333"/>
          <w:kern w:val="0"/>
          <w:sz w:val="32"/>
          <w:szCs w:val="32"/>
        </w:rPr>
        <w:t>（三）一般公共预算当年拨款结构情况</w:t>
      </w:r>
    </w:p>
    <w:p w:rsidR="0043571E" w:rsidRDefault="00C454FC">
      <w:pPr>
        <w:widowControl/>
        <w:spacing w:before="210" w:after="210" w:line="360" w:lineRule="atLeast"/>
        <w:ind w:firstLine="960"/>
        <w:rPr>
          <w:rFonts w:ascii="Calibri" w:hAnsi="Calibri" w:cs="Calibri"/>
          <w:szCs w:val="21"/>
        </w:rPr>
      </w:pPr>
      <w:r>
        <w:rPr>
          <w:rFonts w:ascii="仿宋_GB2312" w:eastAsia="仿宋_GB2312" w:hAnsi="Calibri" w:cs="仿宋_GB2312"/>
          <w:color w:val="333333"/>
          <w:kern w:val="0"/>
          <w:sz w:val="32"/>
          <w:szCs w:val="32"/>
        </w:rPr>
        <w:t>综合业务管理151.92万元，占87.50%；行政单位离退休0.18万元，占0.1%；机关事业单位基本养老保险支出8.38万元，占4.83%；行政医疗支出4.19万元，占2.41%；住房保障支出8.97万元，占5.16%。</w:t>
      </w:r>
    </w:p>
    <w:p w:rsidR="0043571E" w:rsidRDefault="00C454FC">
      <w:pPr>
        <w:widowControl/>
        <w:spacing w:before="210" w:after="210" w:line="360" w:lineRule="atLeast"/>
        <w:ind w:firstLine="668"/>
        <w:rPr>
          <w:rFonts w:ascii="楷体_GB2312" w:eastAsia="楷体_GB2312" w:hAnsi="Calibri" w:cs="楷体_GB2312"/>
          <w:b/>
          <w:bCs/>
          <w:color w:val="333333"/>
          <w:kern w:val="0"/>
          <w:sz w:val="32"/>
          <w:szCs w:val="32"/>
        </w:rPr>
      </w:pPr>
      <w:r>
        <w:rPr>
          <w:rFonts w:ascii="楷体_GB2312" w:eastAsia="楷体_GB2312" w:hAnsi="Calibri" w:cs="楷体_GB2312"/>
          <w:b/>
          <w:bCs/>
          <w:color w:val="333333"/>
          <w:kern w:val="0"/>
          <w:sz w:val="32"/>
          <w:szCs w:val="32"/>
        </w:rPr>
        <w:t>（四）一般公共预算当年财政拨款情况说明</w:t>
      </w:r>
    </w:p>
    <w:p w:rsidR="0043571E" w:rsidRDefault="00C454FC">
      <w:pPr>
        <w:widowControl/>
        <w:spacing w:before="210" w:after="210" w:line="360" w:lineRule="atLeast"/>
        <w:ind w:firstLine="640"/>
        <w:rPr>
          <w:rFonts w:ascii="Calibri" w:hAnsi="Calibri" w:cs="Calibri"/>
          <w:szCs w:val="21"/>
        </w:rPr>
      </w:pPr>
      <w:r>
        <w:rPr>
          <w:rFonts w:ascii="仿宋_GB2312" w:eastAsia="仿宋_GB2312" w:hAnsi="Calibri" w:cs="仿宋_GB2312"/>
          <w:color w:val="000000"/>
          <w:kern w:val="0"/>
          <w:sz w:val="32"/>
          <w:szCs w:val="32"/>
        </w:rPr>
        <w:t>1.社会保障和就业支出（类）人力资源和社会保障管理事务（款）综合业务管理（项）2021年预算数为151.92万元，主要用于：机关运行事务和人员经费、农民工服务保障相关项目支出。</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000000"/>
          <w:kern w:val="0"/>
          <w:sz w:val="32"/>
          <w:szCs w:val="32"/>
        </w:rPr>
        <w:lastRenderedPageBreak/>
        <w:t>2.社会保障和就业支出（类）行政事业单位养老支出（款）其他人力资源和社会保障管理事务支出（项）2021年预算数为</w:t>
      </w:r>
      <w:r>
        <w:rPr>
          <w:rFonts w:ascii="仿宋_GB2312" w:eastAsia="仿宋_GB2312" w:hAnsi="Calibri" w:cs="仿宋_GB2312"/>
          <w:color w:val="000000"/>
          <w:kern w:val="0"/>
          <w:sz w:val="32"/>
          <w:szCs w:val="32"/>
        </w:rPr>
        <w:t> </w:t>
      </w:r>
      <w:r>
        <w:rPr>
          <w:rFonts w:ascii="仿宋_GB2312" w:eastAsia="仿宋_GB2312" w:hAnsi="Calibri" w:cs="仿宋_GB2312"/>
          <w:color w:val="000000"/>
          <w:kern w:val="0"/>
          <w:sz w:val="32"/>
          <w:szCs w:val="32"/>
        </w:rPr>
        <w:t>151.92</w:t>
      </w:r>
      <w:r>
        <w:rPr>
          <w:rFonts w:ascii="仿宋_GB2312" w:eastAsia="仿宋_GB2312" w:hAnsi="Calibri" w:cs="仿宋_GB2312"/>
          <w:color w:val="000000"/>
          <w:kern w:val="0"/>
          <w:sz w:val="32"/>
          <w:szCs w:val="32"/>
        </w:rPr>
        <w:t> </w:t>
      </w:r>
      <w:r>
        <w:rPr>
          <w:rFonts w:ascii="仿宋_GB2312" w:eastAsia="仿宋_GB2312" w:hAnsi="Calibri" w:cs="仿宋_GB2312"/>
          <w:color w:val="000000"/>
          <w:kern w:val="0"/>
          <w:sz w:val="32"/>
          <w:szCs w:val="32"/>
        </w:rPr>
        <w:t>万元，主要用于：机关运行事务和人员经费、农民工服务保障相关项目支出。</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3.社会保障和就业支出（类）行政事业单位养老支出（款）行政单位离退休（项）2021年预算数为0.18万元，主要用于：单位离退休人员活动经费。</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4.社会保障和就业（类）行政事业单位养老支出（款）机关事业单位基本养老保险缴费支出（项）2021年预算数为8.38万元，主要用于：单位缴纳的基本养老保险支出。</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5.卫生健康（类）行政事业单位医疗（款）行政单位医疗（项）2021年预算数为4.19万元，主要用于：单位按规定由单位缴纳的基本医疗保险支出。</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6.住房保障（类）住房改革支出（款）住房公积金（项）2021年预算数为8.97万元，主要用于：单位按规定为职工缴纳的住房公积金支出。</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六、一般公共预算基本支出情况说明</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广元市农民工服务中心2021年一般公共预算基本支出173.64万元，其中：人员经费92.94万元，主要包括：基本</w:t>
      </w:r>
      <w:r>
        <w:rPr>
          <w:rFonts w:ascii="仿宋_GB2312" w:eastAsia="仿宋_GB2312" w:hAnsi="Calibri" w:cs="仿宋_GB2312"/>
          <w:color w:val="333333"/>
          <w:kern w:val="0"/>
          <w:sz w:val="32"/>
          <w:szCs w:val="32"/>
        </w:rPr>
        <w:lastRenderedPageBreak/>
        <w:t>工资、津贴补贴、奖金、社会保险缴费、离休费、住房公积金等支出。</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公用经费17.7万元，主要包括：办公费、印刷费、水费、电费、邮电费、物业管理费、差旅费、维修（护）费、会议费、培训费、公务接待费、劳务费、工会经费、福利费、公务用车运行维护费、其他交通费用等支出。</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七、“三公”经费财政拨款预算安排情况说明</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广元市农民工服务中心2021年</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三公</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经费财政拨款预算数0.5万元 ，其中：公务接待费0.5万元，公务用车购置及运行维护费0万元，因公出国（境）经费0万元。</w:t>
      </w:r>
    </w:p>
    <w:p w:rsidR="0043571E" w:rsidRDefault="00C454FC" w:rsidP="005A6E27">
      <w:pPr>
        <w:widowControl/>
        <w:spacing w:before="210" w:after="210" w:line="360" w:lineRule="atLeast"/>
        <w:ind w:firstLine="671"/>
        <w:rPr>
          <w:rFonts w:ascii="Calibri" w:hAnsi="Calibri" w:cs="Calibri"/>
          <w:szCs w:val="21"/>
        </w:rPr>
      </w:pPr>
      <w:r>
        <w:rPr>
          <w:rFonts w:ascii="楷体_GB2312" w:eastAsia="楷体_GB2312" w:hAnsi="Calibri" w:cs="楷体_GB2312"/>
          <w:b/>
          <w:bCs/>
          <w:color w:val="333333"/>
          <w:kern w:val="0"/>
          <w:sz w:val="32"/>
          <w:szCs w:val="32"/>
        </w:rPr>
        <w:t>（一）公务接待费</w:t>
      </w:r>
      <w:r w:rsidR="005A6E27">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2021年公务接待费0.5万元，与2020年预算持平，2021年公务接待费0.5万元计划用于执行接待考察调研、检查指导等公务活动开支的交通费、住宿费、用餐费等。</w:t>
      </w:r>
    </w:p>
    <w:p w:rsidR="0043571E" w:rsidRDefault="00C454FC" w:rsidP="005A6E27">
      <w:pPr>
        <w:widowControl/>
        <w:spacing w:before="210" w:after="210" w:line="360" w:lineRule="atLeast"/>
        <w:ind w:firstLine="671"/>
        <w:rPr>
          <w:rFonts w:ascii="Calibri" w:hAnsi="Calibri" w:cs="Calibri"/>
          <w:szCs w:val="21"/>
        </w:rPr>
      </w:pPr>
      <w:r>
        <w:rPr>
          <w:rFonts w:ascii="楷体_GB2312" w:eastAsia="楷体_GB2312" w:hAnsi="Calibri" w:cs="楷体_GB2312"/>
          <w:b/>
          <w:bCs/>
          <w:color w:val="333333"/>
          <w:kern w:val="0"/>
          <w:sz w:val="32"/>
          <w:szCs w:val="32"/>
        </w:rPr>
        <w:t>（二）公务用车购置及运行维护费</w:t>
      </w:r>
      <w:r w:rsidR="005A6E27">
        <w:rPr>
          <w:rFonts w:ascii="Calibri" w:hAnsi="Calibri" w:cs="Calibri" w:hint="eastAsia"/>
          <w:szCs w:val="21"/>
        </w:rPr>
        <w:t>。</w:t>
      </w:r>
      <w:r>
        <w:rPr>
          <w:rFonts w:ascii="仿宋_GB2312" w:eastAsia="仿宋_GB2312" w:hAnsi="Calibri" w:cs="仿宋_GB2312"/>
          <w:color w:val="333333"/>
          <w:kern w:val="0"/>
          <w:sz w:val="32"/>
          <w:szCs w:val="32"/>
        </w:rPr>
        <w:t>单位现有公务用车0辆，其中：轿车0辆，旅行车（含商务车）0辆，越野车0辆。</w:t>
      </w:r>
    </w:p>
    <w:p w:rsidR="0043571E" w:rsidRDefault="00C454FC">
      <w:pPr>
        <w:widowControl/>
        <w:spacing w:before="210" w:after="210" w:line="360" w:lineRule="atLeast"/>
        <w:ind w:firstLine="668"/>
        <w:rPr>
          <w:rFonts w:ascii="仿宋_GB2312" w:eastAsia="仿宋_GB2312" w:hAnsi="Calibri" w:cs="仿宋_GB2312"/>
          <w:color w:val="333333"/>
          <w:kern w:val="0"/>
          <w:sz w:val="32"/>
          <w:szCs w:val="32"/>
        </w:rPr>
      </w:pPr>
      <w:r>
        <w:rPr>
          <w:rFonts w:ascii="仿宋_GB2312" w:eastAsia="仿宋_GB2312" w:hAnsi="Calibri" w:cs="仿宋_GB2312"/>
          <w:color w:val="333333"/>
          <w:kern w:val="0"/>
          <w:sz w:val="32"/>
          <w:szCs w:val="32"/>
        </w:rPr>
        <w:t>2021年安排公务用车运行维护费0万元。</w:t>
      </w:r>
    </w:p>
    <w:p w:rsidR="005A6E27" w:rsidRDefault="005A6E27" w:rsidP="005A6E27">
      <w:pPr>
        <w:widowControl/>
        <w:spacing w:line="360" w:lineRule="atLeast"/>
        <w:ind w:firstLine="640"/>
        <w:rPr>
          <w:rFonts w:ascii="仿宋_GB2312" w:eastAsia="仿宋_GB2312" w:cs="仿宋_GB2312"/>
          <w:kern w:val="0"/>
          <w:sz w:val="32"/>
          <w:szCs w:val="32"/>
        </w:rPr>
      </w:pPr>
      <w:r w:rsidRPr="00B54994">
        <w:rPr>
          <w:rFonts w:ascii="楷体_GB2312" w:eastAsia="楷体_GB2312" w:hAnsi="Calibri" w:cs="楷体_GB2312"/>
          <w:b/>
          <w:bCs/>
          <w:color w:val="333333"/>
          <w:kern w:val="0"/>
          <w:sz w:val="32"/>
          <w:szCs w:val="32"/>
        </w:rPr>
        <w:lastRenderedPageBreak/>
        <w:t>（三）因公出国（境）费。</w:t>
      </w:r>
      <w:r>
        <w:rPr>
          <w:rFonts w:ascii="仿宋_GB2312" w:eastAsia="仿宋_GB2312" w:cs="仿宋_GB2312"/>
          <w:kern w:val="0"/>
          <w:sz w:val="32"/>
          <w:szCs w:val="32"/>
        </w:rPr>
        <w:t>2021年部门预算未编列因公出国（境）经费，与2020年预算持平，2021年未安排出国（境）任务和计划</w:t>
      </w:r>
      <w:r>
        <w:rPr>
          <w:rFonts w:ascii="仿宋_GB2312" w:eastAsia="仿宋_GB2312" w:cs="仿宋_GB2312" w:hint="eastAsia"/>
          <w:kern w:val="0"/>
          <w:sz w:val="32"/>
          <w:szCs w:val="32"/>
        </w:rPr>
        <w:t>。</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八、政府性基金预算支出情况说明</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广元市农民工服务中心2021年没有使用政府性基金预算拨款安排的支出，</w:t>
      </w:r>
      <w:r>
        <w:rPr>
          <w:rFonts w:ascii="仿宋_GB2312" w:eastAsia="仿宋_GB2312" w:hAnsi="Calibri" w:cs="仿宋_GB2312"/>
          <w:color w:val="333333"/>
          <w:kern w:val="0"/>
          <w:sz w:val="32"/>
          <w:szCs w:val="32"/>
          <w:shd w:val="clear" w:color="auto" w:fill="FFFFFF"/>
        </w:rPr>
        <w:t>未在政府性基金预算拨款安排</w:t>
      </w:r>
      <w:r>
        <w:rPr>
          <w:rFonts w:ascii="仿宋_GB2312" w:eastAsia="仿宋_GB2312" w:hAnsi="Calibri" w:cs="仿宋_GB2312"/>
          <w:color w:val="333333"/>
          <w:kern w:val="0"/>
          <w:sz w:val="32"/>
          <w:szCs w:val="32"/>
          <w:shd w:val="clear" w:color="auto" w:fill="FFFFFF"/>
        </w:rPr>
        <w:t>“</w:t>
      </w:r>
      <w:r>
        <w:rPr>
          <w:rFonts w:ascii="仿宋_GB2312" w:eastAsia="仿宋_GB2312" w:hAnsi="Calibri" w:cs="仿宋_GB2312"/>
          <w:color w:val="333333"/>
          <w:kern w:val="0"/>
          <w:sz w:val="32"/>
          <w:szCs w:val="32"/>
          <w:shd w:val="clear" w:color="auto" w:fill="FFFFFF"/>
        </w:rPr>
        <w:t>三公经费</w:t>
      </w:r>
      <w:r>
        <w:rPr>
          <w:rFonts w:ascii="仿宋_GB2312" w:eastAsia="仿宋_GB2312" w:hAnsi="Calibri" w:cs="仿宋_GB2312"/>
          <w:color w:val="333333"/>
          <w:kern w:val="0"/>
          <w:sz w:val="32"/>
          <w:szCs w:val="32"/>
          <w:shd w:val="clear" w:color="auto" w:fill="FFFFFF"/>
        </w:rPr>
        <w:t>”</w:t>
      </w:r>
      <w:r>
        <w:rPr>
          <w:rFonts w:ascii="仿宋_GB2312" w:eastAsia="仿宋_GB2312" w:hAnsi="Calibri" w:cs="仿宋_GB2312"/>
          <w:color w:val="333333"/>
          <w:kern w:val="0"/>
          <w:sz w:val="32"/>
          <w:szCs w:val="32"/>
          <w:shd w:val="clear" w:color="auto" w:fill="FFFFFF"/>
        </w:rPr>
        <w:t>支出</w:t>
      </w:r>
      <w:r>
        <w:rPr>
          <w:rFonts w:ascii="仿宋_GB2312" w:eastAsia="仿宋_GB2312" w:hAnsi="Calibri" w:cs="仿宋_GB2312"/>
          <w:color w:val="333333"/>
          <w:kern w:val="0"/>
          <w:sz w:val="32"/>
          <w:szCs w:val="32"/>
        </w:rPr>
        <w:t>。</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九、国有资本经营预算支出情况说明</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广元市农民工服务中心2021年没有使用国有资本经营预算拨款安排的支出。</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十、其他重要事项的情况说明</w:t>
      </w:r>
    </w:p>
    <w:p w:rsidR="0043571E" w:rsidRDefault="00C454FC">
      <w:pPr>
        <w:widowControl/>
        <w:spacing w:before="210" w:after="210" w:line="360" w:lineRule="atLeast"/>
        <w:ind w:firstLine="671"/>
        <w:rPr>
          <w:rFonts w:ascii="Calibri" w:hAnsi="Calibri" w:cs="Calibri"/>
          <w:szCs w:val="21"/>
        </w:rPr>
      </w:pPr>
      <w:r>
        <w:rPr>
          <w:rFonts w:ascii="楷体_GB2312" w:eastAsia="楷体_GB2312" w:hAnsi="Calibri" w:cs="楷体_GB2312"/>
          <w:b/>
          <w:bCs/>
          <w:color w:val="333333"/>
          <w:kern w:val="0"/>
          <w:sz w:val="32"/>
          <w:szCs w:val="32"/>
        </w:rPr>
        <w:t>（一）机关运行经费</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2021年，广元市农民工服务中心的机关运行经费财政拨款预算为17.70万元，比2020年预算减少4.28万元，下降19.47%。主要原因2021年人员减少。</w:t>
      </w:r>
    </w:p>
    <w:p w:rsidR="0043571E" w:rsidRDefault="00C454FC">
      <w:pPr>
        <w:widowControl/>
        <w:spacing w:before="210" w:after="210" w:line="360" w:lineRule="atLeast"/>
        <w:ind w:firstLine="671"/>
        <w:rPr>
          <w:rFonts w:ascii="Calibri" w:hAnsi="Calibri" w:cs="Calibri"/>
          <w:szCs w:val="21"/>
        </w:rPr>
      </w:pPr>
      <w:r>
        <w:rPr>
          <w:rFonts w:ascii="楷体_GB2312" w:eastAsia="楷体_GB2312" w:hAnsi="Calibri" w:cs="楷体_GB2312"/>
          <w:b/>
          <w:bCs/>
          <w:color w:val="333333"/>
          <w:kern w:val="0"/>
          <w:sz w:val="32"/>
          <w:szCs w:val="32"/>
        </w:rPr>
        <w:t>（二）政府采购情况</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2021年，广元市农民工服务中心没有安排政府采购预算支出。</w:t>
      </w:r>
    </w:p>
    <w:p w:rsidR="0043571E" w:rsidRDefault="00C454FC">
      <w:pPr>
        <w:widowControl/>
        <w:spacing w:before="210" w:after="210" w:line="360" w:lineRule="atLeast"/>
        <w:ind w:firstLine="671"/>
        <w:rPr>
          <w:rFonts w:ascii="Calibri" w:hAnsi="Calibri" w:cs="Calibri"/>
          <w:szCs w:val="21"/>
        </w:rPr>
      </w:pPr>
      <w:r>
        <w:rPr>
          <w:rFonts w:ascii="楷体_GB2312" w:eastAsia="楷体_GB2312" w:hAnsi="Calibri" w:cs="楷体_GB2312"/>
          <w:b/>
          <w:bCs/>
          <w:color w:val="333333"/>
          <w:kern w:val="0"/>
          <w:sz w:val="32"/>
          <w:szCs w:val="32"/>
        </w:rPr>
        <w:t>（三）国有资产占有使用情况</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lastRenderedPageBreak/>
        <w:t>截至2021年底，广元市农民工服务中心共有车辆0辆，其中，领导干部用车0辆、定向保障用车0辆、执法执勤用车0辆。单位价值50万元以上大型设备0台（套）。</w:t>
      </w:r>
    </w:p>
    <w:p w:rsidR="0043571E" w:rsidRDefault="00C454FC">
      <w:pPr>
        <w:widowControl/>
        <w:spacing w:before="210" w:after="210" w:line="360" w:lineRule="atLeast"/>
        <w:ind w:firstLine="671"/>
        <w:rPr>
          <w:rFonts w:ascii="Calibri" w:hAnsi="Calibri" w:cs="Calibri"/>
          <w:szCs w:val="21"/>
        </w:rPr>
      </w:pPr>
      <w:r>
        <w:rPr>
          <w:rFonts w:ascii="楷体_GB2312" w:eastAsia="楷体_GB2312" w:hAnsi="Calibri" w:cs="楷体_GB2312"/>
          <w:b/>
          <w:bCs/>
          <w:color w:val="333333"/>
          <w:kern w:val="0"/>
          <w:sz w:val="32"/>
          <w:szCs w:val="32"/>
        </w:rPr>
        <w:t>（四）绩效目标设置情况</w:t>
      </w:r>
    </w:p>
    <w:p w:rsidR="0043571E" w:rsidRDefault="00C454FC">
      <w:pPr>
        <w:widowControl/>
        <w:spacing w:before="210" w:after="210" w:line="360" w:lineRule="atLeast"/>
        <w:ind w:firstLine="668"/>
        <w:rPr>
          <w:rFonts w:ascii="Calibri" w:hAnsi="Calibri" w:cs="Calibri"/>
          <w:szCs w:val="21"/>
        </w:rPr>
      </w:pPr>
      <w:r>
        <w:rPr>
          <w:rFonts w:ascii="仿宋_GB2312" w:eastAsia="仿宋_GB2312" w:hAnsi="Calibri" w:cs="仿宋_GB2312"/>
          <w:color w:val="333333"/>
          <w:kern w:val="0"/>
          <w:sz w:val="32"/>
          <w:szCs w:val="32"/>
        </w:rPr>
        <w:t>绩效目标是预算编制的前提和基础，202</w:t>
      </w:r>
      <w:r>
        <w:rPr>
          <w:rFonts w:ascii="仿宋_GB2312" w:eastAsia="仿宋_GB2312" w:hAnsi="Calibri" w:cs="仿宋_GB2312" w:hint="eastAsia"/>
          <w:color w:val="333333"/>
          <w:kern w:val="0"/>
          <w:sz w:val="32"/>
          <w:szCs w:val="32"/>
        </w:rPr>
        <w:t>1</w:t>
      </w:r>
      <w:r>
        <w:rPr>
          <w:rFonts w:ascii="仿宋_GB2312" w:eastAsia="仿宋_GB2312" w:hAnsi="Calibri" w:cs="仿宋_GB2312"/>
          <w:color w:val="333333"/>
          <w:kern w:val="0"/>
          <w:sz w:val="32"/>
          <w:szCs w:val="32"/>
        </w:rPr>
        <w:t>年广元市农民工服务中心部门预算申报2个项目，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43571E" w:rsidRDefault="00C454FC">
      <w:pPr>
        <w:widowControl/>
        <w:spacing w:before="210" w:after="210" w:line="360" w:lineRule="atLeast"/>
        <w:ind w:firstLine="668"/>
        <w:rPr>
          <w:rFonts w:ascii="Calibri" w:hAnsi="Calibri" w:cs="Calibri"/>
          <w:szCs w:val="21"/>
        </w:rPr>
      </w:pPr>
      <w:r>
        <w:rPr>
          <w:rFonts w:ascii="黑体" w:eastAsia="黑体" w:hAnsi="宋体" w:cs="黑体" w:hint="eastAsia"/>
          <w:color w:val="333333"/>
          <w:kern w:val="0"/>
          <w:sz w:val="32"/>
          <w:szCs w:val="32"/>
        </w:rPr>
        <w:t>十一、名词解释</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1.一般公共预算拨款收入：指市级财政当年拨付的资金。</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2.事业收入：指事业单位开展专业业务活动及辅助活动所取得的收入。</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3.事业单位经营收入：指事业单位在专业业务活动及辅助活动之外开展非独立核算经营活动取得的收入。</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4.其他收入：指除上述</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一般公共预算拨款收入</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事业收入</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事业单位经营收入</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等以外的收入。</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lastRenderedPageBreak/>
        <w:t>5.上年结转：指以前年度尚未完成、结转到本年仍按原规定用途继续使用的资金。</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6.基本支出：指为保障机构正常运转、完成日常工作任务而发生的人员支出和公用支出。</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7.项目支出：指在基本支出之外为完成特定行政任务和事业发展目标所发生的支出。</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8.</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三公</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经费：纳入市级财政预决算管理的</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三公</w:t>
      </w:r>
      <w:r>
        <w:rPr>
          <w:rFonts w:ascii="仿宋_GB2312" w:eastAsia="仿宋_GB2312" w:hAnsi="Calibri" w:cs="仿宋_GB2312"/>
          <w:color w:val="333333"/>
          <w:kern w:val="0"/>
          <w:sz w:val="32"/>
          <w:szCs w:val="32"/>
        </w:rPr>
        <w:t>”</w:t>
      </w:r>
      <w:r>
        <w:rPr>
          <w:rFonts w:ascii="仿宋_GB2312" w:eastAsia="仿宋_GB2312" w:hAnsi="Calibri" w:cs="仿宋_GB2312"/>
          <w:color w:val="333333"/>
          <w:kern w:val="0"/>
          <w:sz w:val="32"/>
          <w:szCs w:val="32"/>
        </w:rPr>
        <w:t>经费，是指市级部门用财政拨款安排的因公出国（境）费、公务用车购置及运行费和公务接待费。其中，因公出国（境）</w:t>
      </w:r>
      <w:proofErr w:type="gramStart"/>
      <w:r>
        <w:rPr>
          <w:rFonts w:ascii="仿宋_GB2312" w:eastAsia="仿宋_GB2312" w:hAnsi="Calibri" w:cs="仿宋_GB2312"/>
          <w:color w:val="333333"/>
          <w:kern w:val="0"/>
          <w:sz w:val="32"/>
          <w:szCs w:val="32"/>
        </w:rPr>
        <w:t>费反映</w:t>
      </w:r>
      <w:proofErr w:type="gramEnd"/>
      <w:r>
        <w:rPr>
          <w:rFonts w:ascii="仿宋_GB2312" w:eastAsia="仿宋_GB2312" w:hAnsi="Calibri" w:cs="仿宋_GB2312"/>
          <w:color w:val="333333"/>
          <w:kern w:val="0"/>
          <w:sz w:val="32"/>
          <w:szCs w:val="32"/>
        </w:rPr>
        <w:t>单位公务出国（境）的国际旅费、国外城市间交通费、住宿费、伙食费、培训费、公杂费等支出；公务用车购置及运行</w:t>
      </w:r>
      <w:proofErr w:type="gramStart"/>
      <w:r>
        <w:rPr>
          <w:rFonts w:ascii="仿宋_GB2312" w:eastAsia="仿宋_GB2312" w:hAnsi="Calibri" w:cs="仿宋_GB2312"/>
          <w:color w:val="333333"/>
          <w:kern w:val="0"/>
          <w:sz w:val="32"/>
          <w:szCs w:val="32"/>
        </w:rPr>
        <w:t>费反映</w:t>
      </w:r>
      <w:proofErr w:type="gramEnd"/>
      <w:r>
        <w:rPr>
          <w:rFonts w:ascii="仿宋_GB2312" w:eastAsia="仿宋_GB2312" w:hAnsi="Calibri" w:cs="仿宋_GB2312"/>
          <w:color w:val="333333"/>
          <w:kern w:val="0"/>
          <w:sz w:val="32"/>
          <w:szCs w:val="32"/>
        </w:rPr>
        <w:t>单位公务用车车辆购置支出（</w:t>
      </w:r>
      <w:proofErr w:type="gramStart"/>
      <w:r>
        <w:rPr>
          <w:rFonts w:ascii="仿宋_GB2312" w:eastAsia="仿宋_GB2312" w:hAnsi="Calibri" w:cs="仿宋_GB2312"/>
          <w:color w:val="333333"/>
          <w:kern w:val="0"/>
          <w:sz w:val="32"/>
          <w:szCs w:val="32"/>
        </w:rPr>
        <w:t>含车辆</w:t>
      </w:r>
      <w:proofErr w:type="gramEnd"/>
      <w:r>
        <w:rPr>
          <w:rFonts w:ascii="仿宋_GB2312" w:eastAsia="仿宋_GB2312" w:hAnsi="Calibri" w:cs="仿宋_GB2312"/>
          <w:color w:val="333333"/>
          <w:kern w:val="0"/>
          <w:sz w:val="32"/>
          <w:szCs w:val="32"/>
        </w:rPr>
        <w:t>购置税）及租用费、燃料费、维修费、过路过桥费、保险费、安全奖励费用等支出；公务接待</w:t>
      </w:r>
      <w:proofErr w:type="gramStart"/>
      <w:r>
        <w:rPr>
          <w:rFonts w:ascii="仿宋_GB2312" w:eastAsia="仿宋_GB2312" w:hAnsi="Calibri" w:cs="仿宋_GB2312"/>
          <w:color w:val="333333"/>
          <w:kern w:val="0"/>
          <w:sz w:val="32"/>
          <w:szCs w:val="32"/>
        </w:rPr>
        <w:t>费反映</w:t>
      </w:r>
      <w:proofErr w:type="gramEnd"/>
      <w:r>
        <w:rPr>
          <w:rFonts w:ascii="仿宋_GB2312" w:eastAsia="仿宋_GB2312" w:hAnsi="Calibri" w:cs="仿宋_GB2312"/>
          <w:color w:val="333333"/>
          <w:kern w:val="0"/>
          <w:sz w:val="32"/>
          <w:szCs w:val="32"/>
        </w:rPr>
        <w:t>单位按规定开支的各类公务接待（含外宾接待）支出。</w:t>
      </w:r>
    </w:p>
    <w:p w:rsidR="0043571E" w:rsidRDefault="00C454FC">
      <w:pPr>
        <w:widowControl/>
        <w:spacing w:before="210" w:after="210" w:line="360" w:lineRule="atLeast"/>
        <w:ind w:firstLine="480"/>
        <w:rPr>
          <w:rFonts w:ascii="Calibri" w:hAnsi="Calibri" w:cs="Calibri"/>
          <w:szCs w:val="21"/>
        </w:rPr>
      </w:pPr>
      <w:r>
        <w:rPr>
          <w:rFonts w:ascii="仿宋_GB2312" w:eastAsia="仿宋_GB2312" w:hAnsi="Calibri" w:cs="仿宋_GB2312"/>
          <w:color w:val="333333"/>
          <w:kern w:val="0"/>
          <w:sz w:val="32"/>
          <w:szCs w:val="32"/>
        </w:rPr>
        <w:t>9.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3571E" w:rsidRDefault="0043571E"/>
    <w:p w:rsidR="0043571E" w:rsidRDefault="0043571E"/>
    <w:p w:rsidR="0043571E" w:rsidRDefault="0043571E"/>
    <w:p w:rsidR="0043571E" w:rsidRPr="00BA217B" w:rsidRDefault="00C454FC">
      <w:pPr>
        <w:widowControl/>
        <w:shd w:val="clear" w:color="auto" w:fill="FFFFFF"/>
        <w:spacing w:before="210" w:after="210" w:line="450" w:lineRule="atLeast"/>
        <w:ind w:firstLine="668"/>
        <w:rPr>
          <w:rFonts w:ascii="仿宋_GB2312" w:eastAsia="仿宋_GB2312" w:hAnsi="Calibri" w:cs="仿宋_GB2312"/>
          <w:color w:val="333333"/>
          <w:kern w:val="0"/>
          <w:sz w:val="32"/>
          <w:szCs w:val="32"/>
        </w:rPr>
      </w:pPr>
      <w:r w:rsidRPr="00BA217B">
        <w:rPr>
          <w:rFonts w:ascii="仿宋_GB2312" w:eastAsia="仿宋_GB2312" w:hAnsi="Calibri" w:cs="仿宋_GB2312"/>
          <w:color w:val="333333"/>
          <w:kern w:val="0"/>
          <w:sz w:val="32"/>
          <w:szCs w:val="32"/>
        </w:rPr>
        <w:t>附件1：</w:t>
      </w:r>
      <w:r w:rsidRPr="00BA217B">
        <w:rPr>
          <w:rFonts w:ascii="仿宋_GB2312" w:eastAsia="仿宋_GB2312" w:hAnsi="Calibri" w:cs="仿宋_GB2312" w:hint="eastAsia"/>
          <w:color w:val="333333"/>
          <w:kern w:val="0"/>
          <w:sz w:val="32"/>
          <w:szCs w:val="32"/>
        </w:rPr>
        <w:t>广元市农民工服务中心2021年部门预算批复表</w:t>
      </w:r>
    </w:p>
    <w:p w:rsidR="0043571E" w:rsidRPr="00BA217B" w:rsidRDefault="00C454FC">
      <w:pPr>
        <w:widowControl/>
        <w:shd w:val="clear" w:color="auto" w:fill="FFFFFF"/>
        <w:spacing w:before="210" w:after="210" w:line="450" w:lineRule="atLeast"/>
        <w:ind w:firstLine="668"/>
        <w:rPr>
          <w:rFonts w:ascii="仿宋_GB2312" w:eastAsia="仿宋_GB2312" w:hAnsi="Calibri" w:cs="仿宋_GB2312"/>
          <w:color w:val="333333"/>
          <w:kern w:val="0"/>
          <w:sz w:val="32"/>
          <w:szCs w:val="32"/>
        </w:rPr>
      </w:pPr>
      <w:r w:rsidRPr="00BA217B">
        <w:rPr>
          <w:rFonts w:ascii="仿宋_GB2312" w:eastAsia="仿宋_GB2312" w:hAnsi="Calibri" w:cs="仿宋_GB2312"/>
          <w:color w:val="333333"/>
          <w:kern w:val="0"/>
          <w:sz w:val="32"/>
          <w:szCs w:val="32"/>
        </w:rPr>
        <w:t>附件2：</w:t>
      </w:r>
      <w:r w:rsidRPr="00BA217B">
        <w:rPr>
          <w:rFonts w:ascii="仿宋_GB2312" w:eastAsia="仿宋_GB2312" w:hAnsi="Calibri" w:cs="仿宋_GB2312" w:hint="eastAsia"/>
          <w:color w:val="333333"/>
          <w:kern w:val="0"/>
          <w:sz w:val="32"/>
          <w:szCs w:val="32"/>
        </w:rPr>
        <w:t>广元市农民工服务中心2021年绩效目标批复表</w:t>
      </w:r>
      <w:bookmarkStart w:id="2" w:name="_GoBack"/>
      <w:bookmarkEnd w:id="2"/>
    </w:p>
    <w:p w:rsidR="0043571E" w:rsidRDefault="0043571E"/>
    <w:sectPr w:rsidR="0043571E" w:rsidSect="009E4DC5">
      <w:footerReference w:type="default" r:id="rId7"/>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3C" w:rsidRDefault="00D54E3C" w:rsidP="009226AA">
      <w:r>
        <w:separator/>
      </w:r>
    </w:p>
  </w:endnote>
  <w:endnote w:type="continuationSeparator" w:id="0">
    <w:p w:rsidR="00D54E3C" w:rsidRDefault="00D54E3C" w:rsidP="00922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72924"/>
      <w:docPartObj>
        <w:docPartGallery w:val="Page Numbers (Bottom of Page)"/>
        <w:docPartUnique/>
      </w:docPartObj>
    </w:sdtPr>
    <w:sdtContent>
      <w:p w:rsidR="009E4DC5" w:rsidRDefault="009E4DC5">
        <w:pPr>
          <w:pStyle w:val="a5"/>
          <w:jc w:val="center"/>
        </w:pPr>
        <w:fldSimple w:instr=" PAGE   \* MERGEFORMAT ">
          <w:r w:rsidRPr="009E4DC5">
            <w:rPr>
              <w:noProof/>
              <w:lang w:val="zh-CN"/>
            </w:rPr>
            <w:t>3</w:t>
          </w:r>
        </w:fldSimple>
      </w:p>
    </w:sdtContent>
  </w:sdt>
  <w:p w:rsidR="009E4DC5" w:rsidRDefault="009E4D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3C" w:rsidRDefault="00D54E3C" w:rsidP="009226AA">
      <w:r>
        <w:separator/>
      </w:r>
    </w:p>
  </w:footnote>
  <w:footnote w:type="continuationSeparator" w:id="0">
    <w:p w:rsidR="00D54E3C" w:rsidRDefault="00D54E3C" w:rsidP="00922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EzMjgyYzAxYzczODVmNGFiYmRhMDUyZjA2YThmNzEifQ=="/>
  </w:docVars>
  <w:rsids>
    <w:rsidRoot w:val="2F544A8F"/>
    <w:rsid w:val="003266A6"/>
    <w:rsid w:val="0043571E"/>
    <w:rsid w:val="005A6E27"/>
    <w:rsid w:val="009226AA"/>
    <w:rsid w:val="009E4DC5"/>
    <w:rsid w:val="00B54994"/>
    <w:rsid w:val="00BA217B"/>
    <w:rsid w:val="00C454FC"/>
    <w:rsid w:val="00D173BB"/>
    <w:rsid w:val="00D54E3C"/>
    <w:rsid w:val="2F544A8F"/>
    <w:rsid w:val="4A385EFB"/>
    <w:rsid w:val="55746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71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3571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571E"/>
    <w:pPr>
      <w:spacing w:beforeAutospacing="1" w:afterAutospacing="1"/>
      <w:jc w:val="left"/>
    </w:pPr>
    <w:rPr>
      <w:rFonts w:cs="Times New Roman"/>
      <w:kern w:val="0"/>
      <w:sz w:val="24"/>
    </w:rPr>
  </w:style>
  <w:style w:type="paragraph" w:styleId="a4">
    <w:name w:val="header"/>
    <w:basedOn w:val="a"/>
    <w:link w:val="Char"/>
    <w:rsid w:val="00922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226AA"/>
    <w:rPr>
      <w:rFonts w:asciiTheme="minorHAnsi" w:eastAsiaTheme="minorEastAsia" w:hAnsiTheme="minorHAnsi" w:cstheme="minorBidi"/>
      <w:kern w:val="2"/>
      <w:sz w:val="18"/>
      <w:szCs w:val="18"/>
    </w:rPr>
  </w:style>
  <w:style w:type="paragraph" w:styleId="a5">
    <w:name w:val="footer"/>
    <w:basedOn w:val="a"/>
    <w:link w:val="Char0"/>
    <w:uiPriority w:val="99"/>
    <w:rsid w:val="009226AA"/>
    <w:pPr>
      <w:tabs>
        <w:tab w:val="center" w:pos="4153"/>
        <w:tab w:val="right" w:pos="8306"/>
      </w:tabs>
      <w:snapToGrid w:val="0"/>
      <w:jc w:val="left"/>
    </w:pPr>
    <w:rPr>
      <w:sz w:val="18"/>
      <w:szCs w:val="18"/>
    </w:rPr>
  </w:style>
  <w:style w:type="character" w:customStyle="1" w:styleId="Char0">
    <w:name w:val="页脚 Char"/>
    <w:basedOn w:val="a0"/>
    <w:link w:val="a5"/>
    <w:uiPriority w:val="99"/>
    <w:rsid w:val="009226AA"/>
    <w:rPr>
      <w:rFonts w:asciiTheme="minorHAnsi" w:eastAsiaTheme="minorEastAsia" w:hAnsiTheme="minorHAnsi" w:cstheme="minorBidi"/>
      <w:kern w:val="2"/>
      <w:sz w:val="18"/>
      <w:szCs w:val="18"/>
    </w:rPr>
  </w:style>
  <w:style w:type="paragraph" w:styleId="TOC">
    <w:name w:val="TOC Heading"/>
    <w:basedOn w:val="1"/>
    <w:next w:val="a"/>
    <w:uiPriority w:val="39"/>
    <w:semiHidden/>
    <w:unhideWhenUsed/>
    <w:qFormat/>
    <w:rsid w:val="009E4DC5"/>
    <w:pPr>
      <w:keepNext/>
      <w:keepLines/>
      <w:widowControl/>
      <w:spacing w:before="480" w:beforeAutospacing="0" w:afterAutospacing="0" w:line="276" w:lineRule="auto"/>
      <w:outlineLvl w:val="9"/>
    </w:pPr>
    <w:rPr>
      <w:rFonts w:asciiTheme="majorHAnsi" w:eastAsiaTheme="majorEastAsia" w:hAnsiTheme="majorHAnsi" w:cstheme="majorBidi" w:hint="default"/>
      <w:color w:val="2E74B5" w:themeColor="accent1" w:themeShade="BF"/>
      <w:kern w:val="0"/>
      <w:sz w:val="28"/>
      <w:szCs w:val="28"/>
    </w:rPr>
  </w:style>
  <w:style w:type="paragraph" w:styleId="a6">
    <w:name w:val="Balloon Text"/>
    <w:basedOn w:val="a"/>
    <w:link w:val="Char1"/>
    <w:rsid w:val="009E4DC5"/>
    <w:rPr>
      <w:sz w:val="18"/>
      <w:szCs w:val="18"/>
    </w:rPr>
  </w:style>
  <w:style w:type="character" w:customStyle="1" w:styleId="Char1">
    <w:name w:val="批注框文本 Char"/>
    <w:basedOn w:val="a0"/>
    <w:link w:val="a6"/>
    <w:rsid w:val="009E4DC5"/>
    <w:rPr>
      <w:rFonts w:asciiTheme="minorHAnsi" w:eastAsiaTheme="minorEastAsia" w:hAnsiTheme="minorHAnsi" w:cstheme="minorBidi"/>
      <w:kern w:val="2"/>
      <w:sz w:val="18"/>
      <w:szCs w:val="18"/>
    </w:rPr>
  </w:style>
  <w:style w:type="paragraph" w:customStyle="1" w:styleId="WPSOffice1">
    <w:name w:val="WPSOffice手动目录 1"/>
    <w:rsid w:val="009E4D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51B9-4699-4987-A47C-98957DA5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704</Words>
  <Characters>4014</Characters>
  <Application>Microsoft Office Word</Application>
  <DocSecurity>0</DocSecurity>
  <Lines>33</Lines>
  <Paragraphs>9</Paragraphs>
  <ScaleCrop>false</ScaleCrop>
  <Company>China</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零度空间</dc:creator>
  <cp:lastModifiedBy>系统管理:管理员</cp:lastModifiedBy>
  <cp:revision>14</cp:revision>
  <dcterms:created xsi:type="dcterms:W3CDTF">2022-09-06T02:52:00Z</dcterms:created>
  <dcterms:modified xsi:type="dcterms:W3CDTF">2022-09-06T08:14:00Z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AA10431F1D5A42A1AE23F2EEC4B20EE2</vt:lpwstr>
  </property>
</Properties>
</file>