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52"/>
          <w:szCs w:val="52"/>
          <w:lang w:eastAsia="zh-CN"/>
        </w:rPr>
      </w:pPr>
      <w:bookmarkStart w:id="1" w:name="_Toc15396475"/>
      <w:bookmarkStart w:id="2" w:name="_Toc15377193"/>
      <w:bookmarkStart w:id="3" w:name="_Toc15377425"/>
      <w:bookmarkStart w:id="4" w:name="_Toc15396597"/>
      <w:bookmarkStart w:id="5" w:name="_Toc15378441"/>
      <w:r>
        <w:rPr>
          <w:rFonts w:hint="eastAsia" w:ascii="方正小标宋简体" w:hAnsi="宋体" w:eastAsia="方正小标宋简体"/>
          <w:color w:val="000000"/>
          <w:sz w:val="52"/>
          <w:szCs w:val="52"/>
          <w:lang w:eastAsia="zh-CN"/>
        </w:rPr>
        <w:t>20</w:t>
      </w:r>
      <w:r>
        <w:rPr>
          <w:rFonts w:hint="eastAsia" w:ascii="方正小标宋简体" w:hAnsi="宋体" w:eastAsia="方正小标宋简体"/>
          <w:color w:val="000000"/>
          <w:sz w:val="52"/>
          <w:szCs w:val="52"/>
          <w:lang w:val="en-US" w:eastAsia="zh-CN"/>
        </w:rPr>
        <w:t>20</w:t>
      </w:r>
      <w:r>
        <w:rPr>
          <w:rFonts w:hint="eastAsia" w:ascii="方正小标宋简体" w:hAnsi="宋体" w:eastAsia="方正小标宋简体"/>
          <w:color w:val="000000"/>
          <w:sz w:val="52"/>
          <w:szCs w:val="52"/>
          <w:lang w:eastAsia="zh-CN"/>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96598"/>
      <w:bookmarkStart w:id="7" w:name="_Toc15377426"/>
      <w:bookmarkStart w:id="8" w:name="_Toc15396476"/>
      <w:bookmarkStart w:id="9" w:name="_Toc15377194"/>
      <w:bookmarkStart w:id="10" w:name="_Toc15378442"/>
      <w:r>
        <w:rPr>
          <w:rFonts w:hint="eastAsia" w:ascii="方正小标宋简体" w:hAnsi="宋体" w:eastAsia="方正小标宋简体"/>
          <w:color w:val="000000"/>
          <w:sz w:val="52"/>
          <w:szCs w:val="52"/>
          <w:lang w:eastAsia="zh-CN"/>
        </w:rPr>
        <w:t>广元市</w:t>
      </w:r>
      <w:bookmarkEnd w:id="0"/>
      <w:bookmarkStart w:id="11" w:name="_Toc15306268"/>
      <w:r>
        <w:rPr>
          <w:rFonts w:hint="eastAsia" w:ascii="方正小标宋简体" w:hAnsi="宋体" w:eastAsia="方正小标宋简体"/>
          <w:color w:val="000000"/>
          <w:sz w:val="52"/>
          <w:szCs w:val="52"/>
          <w:lang w:val="en-US" w:eastAsia="zh-CN"/>
        </w:rPr>
        <w:t>生产安全应急救援支队</w:t>
      </w:r>
      <w:r>
        <w:rPr>
          <w:rFonts w:hint="eastAsia" w:ascii="方正小标宋简体" w:hAnsi="宋体" w:eastAsia="方正小标宋简体"/>
          <w:color w:val="000000"/>
          <w:sz w:val="52"/>
          <w:szCs w:val="52"/>
        </w:rPr>
        <w:t>决算</w:t>
      </w:r>
      <w:bookmarkEnd w:id="6"/>
      <w:bookmarkEnd w:id="7"/>
      <w:bookmarkEnd w:id="8"/>
      <w:bookmarkEnd w:id="9"/>
      <w:bookmarkEnd w:id="10"/>
      <w:bookmarkEnd w:id="11"/>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ascii="方正小标宋简体" w:hAnsi="宋体" w:eastAsia="方正小标宋简体"/>
          <w:color w:val="000000"/>
          <w:sz w:val="36"/>
          <w:szCs w:val="36"/>
        </w:rPr>
        <w:br w:type="page"/>
      </w:r>
      <w:r>
        <w:rPr>
          <w:rFonts w:hint="eastAsia" w:ascii="方正小标宋简体" w:hAnsi="方正小标宋简体" w:eastAsia="方正小标宋简体" w:cs="方正小标宋简体"/>
          <w:color w:val="000000"/>
          <w:sz w:val="44"/>
          <w:szCs w:val="44"/>
        </w:rPr>
        <w:t>目</w:t>
      </w:r>
      <w:r>
        <w:rPr>
          <w:rFonts w:hint="eastAsia" w:ascii="方正小标宋简体" w:hAnsi="方正小标宋简体" w:eastAsia="方正小标宋简体" w:cs="方正小标宋简体"/>
          <w:color w:val="000000"/>
          <w:sz w:val="44"/>
          <w:szCs w:val="44"/>
          <w:lang w:val="en-US" w:eastAsia="zh-CN"/>
        </w:rPr>
        <w:t xml:space="preserve">   </w:t>
      </w:r>
      <w:r>
        <w:rPr>
          <w:rFonts w:hint="eastAsia" w:ascii="方正小标宋简体" w:hAnsi="方正小标宋简体" w:eastAsia="方正小标宋简体" w:cs="方正小标宋简体"/>
          <w:color w:val="000000"/>
          <w:sz w:val="44"/>
          <w:szCs w:val="44"/>
        </w:rPr>
        <w:t>录</w:t>
      </w:r>
    </w:p>
    <w:p>
      <w:pPr>
        <w:keepNext w:val="0"/>
        <w:keepLines w:val="0"/>
        <w:pageBreakBefore w:val="0"/>
        <w:kinsoku/>
        <w:wordWrap/>
        <w:overflowPunct/>
        <w:topLinePunct w:val="0"/>
        <w:autoSpaceDE/>
        <w:autoSpaceDN/>
        <w:bidi w:val="0"/>
        <w:spacing w:line="400" w:lineRule="exact"/>
        <w:textAlignment w:val="auto"/>
      </w:pPr>
    </w:p>
    <w:p>
      <w:pPr>
        <w:pStyle w:val="11"/>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第一部分 部门概况</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一、基本职能及主要工作</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pPr>
        <w:pStyle w:val="11"/>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第二部分</w:t>
      </w:r>
      <w:r>
        <w:rPr>
          <w:rFonts w:hint="eastAsia" w:ascii="黑体" w:hAnsi="黑体" w:eastAsia="黑体" w:cs="黑体"/>
          <w:b w:val="0"/>
          <w:bCs w:val="0"/>
          <w:sz w:val="32"/>
          <w:szCs w:val="32"/>
          <w:lang w:val="en-US" w:eastAsia="zh-CN"/>
        </w:rPr>
        <w:t>2020年度</w:t>
      </w:r>
      <w:r>
        <w:rPr>
          <w:rFonts w:hint="eastAsia" w:ascii="黑体" w:hAnsi="黑体" w:eastAsia="黑体" w:cs="黑体"/>
          <w:b w:val="0"/>
          <w:bCs w:val="0"/>
          <w:sz w:val="32"/>
          <w:szCs w:val="32"/>
        </w:rPr>
        <w:t>部门决算情况说明</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一、收入支出决算总体情况说明</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二、收入决算情况说明</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三、支出决算情况说明</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四、财政拨款收入支出决算总体情况说明</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五、一般公共预算财政拨款支出决算情况说明</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六、一般公共预算财政拨款基本支出决算情况说明</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七、“三公”经费财政拨款支出决算情况说明</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八、政府性基金预算支出决算情况说明</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 国有资本经营预算支出决算情况说明</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十、其他重要事项的情况说明</w:t>
      </w:r>
    </w:p>
    <w:p>
      <w:pPr>
        <w:pStyle w:val="11"/>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第三部分 名词解释</w:t>
      </w:r>
    </w:p>
    <w:p>
      <w:pPr>
        <w:pStyle w:val="11"/>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第四部分 附表</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一、收入支出决算总表</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二、收入决算表</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三、支出决算表</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四、财政拨款收入支出决算总表</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五、财政拨款支出决算明细表</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六、一般公共预算财政拨款支出决算表</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七、一般公共预算财政拨款支出决算明细表</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八、一般公共预算财政拨款基本支出决算表</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九、一般公共预算财政拨款项目支出决算表</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十、一般公共预算财政拨款“三公”经费支出决算表</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十一、政府性基金预算财政拨款收入支出决算表</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十二、政府性基金预算财政拨款“三公”经费支出决算表</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eastAsia="仿宋_GB2312"/>
          <w:lang w:eastAsia="zh-CN"/>
        </w:rPr>
      </w:pPr>
      <w:r>
        <w:rPr>
          <w:rFonts w:hint="eastAsia" w:ascii="仿宋_GB2312" w:hAnsi="仿宋_GB2312" w:eastAsia="仿宋_GB2312" w:cs="仿宋_GB2312"/>
          <w:sz w:val="32"/>
          <w:szCs w:val="32"/>
          <w:lang w:eastAsia="zh-CN"/>
        </w:rPr>
        <w:t>十三、国有资本经营预算收入支出决算表</w:t>
      </w:r>
    </w:p>
    <w:p>
      <w:pPr>
        <w:pStyle w:val="12"/>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、国有资本经营预算支出决算表</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仿宋_GB2312" w:eastAsia="仿宋_GB2312" w:cs="仿宋_GB2312"/>
          <w:bCs/>
          <w:kern w:val="44"/>
          <w:sz w:val="32"/>
          <w:szCs w:val="32"/>
        </w:rPr>
        <w:sectPr>
          <w:headerReference r:id="rId3" w:type="default"/>
          <w:pgSz w:w="11906" w:h="16838"/>
          <w:pgMar w:top="2098" w:right="1474" w:bottom="1984" w:left="1587" w:header="851" w:footer="1559" w:gutter="0"/>
          <w:pgNumType w:start="1"/>
          <w:cols w:space="0" w:num="1"/>
          <w:titlePg/>
          <w:rtlGutter w:val="0"/>
          <w:docGrid w:type="lines" w:linePitch="312" w:charSpace="0"/>
        </w:sectPr>
      </w:pPr>
      <w:bookmarkStart w:id="12" w:name="_Toc15377196"/>
      <w:bookmarkStart w:id="13" w:name="_Toc15396599"/>
    </w:p>
    <w:p>
      <w:pPr>
        <w:pageBreakBefore w:val="0"/>
        <w:widowControl/>
        <w:kinsoku/>
        <w:wordWrap/>
        <w:overflowPunct/>
        <w:topLinePunct w:val="0"/>
        <w:autoSpaceDE/>
        <w:autoSpaceDN/>
        <w:bidi w:val="0"/>
        <w:spacing w:line="560" w:lineRule="exact"/>
        <w:ind w:left="0"/>
        <w:jc w:val="left"/>
        <w:textAlignment w:val="auto"/>
        <w:rPr>
          <w:rFonts w:ascii="仿宋" w:hAnsi="仿宋" w:eastAsia="仿宋"/>
          <w:bCs/>
          <w:kern w:val="44"/>
          <w:sz w:val="24"/>
        </w:rPr>
      </w:pPr>
    </w:p>
    <w:p>
      <w:pPr>
        <w:pStyle w:val="3"/>
        <w:keepNext/>
        <w:keepLines/>
        <w:pageBreakBefore w:val="0"/>
        <w:widowControl w:val="0"/>
        <w:kinsoku/>
        <w:wordWrap/>
        <w:overflowPunct/>
        <w:topLinePunct w:val="0"/>
        <w:autoSpaceDE/>
        <w:autoSpaceDN/>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b w:val="0"/>
          <w:color w:val="000000"/>
        </w:rPr>
      </w:pPr>
      <w:r>
        <w:rPr>
          <w:rFonts w:hint="eastAsia" w:ascii="方正小标宋简体" w:hAnsi="方正小标宋简体" w:eastAsia="方正小标宋简体" w:cs="方正小标宋简体"/>
          <w:b w:val="0"/>
          <w:color w:val="000000"/>
        </w:rPr>
        <w:t>第一部分 部门概况</w:t>
      </w:r>
      <w:bookmarkEnd w:id="12"/>
      <w:bookmarkEnd w:id="13"/>
    </w:p>
    <w:p>
      <w:pPr>
        <w:pStyle w:val="4"/>
        <w:pageBreakBefore w:val="0"/>
        <w:kinsoku/>
        <w:wordWrap/>
        <w:overflowPunct/>
        <w:topLinePunct w:val="0"/>
        <w:autoSpaceDE/>
        <w:autoSpaceDN/>
        <w:bidi w:val="0"/>
        <w:spacing w:before="0" w:after="0" w:line="560" w:lineRule="exact"/>
        <w:ind w:left="0"/>
        <w:textAlignment w:val="auto"/>
        <w:rPr>
          <w:rFonts w:hint="eastAsia" w:ascii="黑体" w:hAnsi="黑体" w:eastAsia="黑体"/>
          <w:b w:val="0"/>
          <w:color w:val="000000"/>
        </w:rPr>
      </w:pPr>
      <w:bookmarkStart w:id="14" w:name="_Toc15396600"/>
      <w:bookmarkStart w:id="15" w:name="_Toc15377197"/>
    </w:p>
    <w:p>
      <w:pPr>
        <w:pStyle w:val="11"/>
        <w:keepNext w:val="0"/>
        <w:keepLines w:val="0"/>
        <w:pageBreakBefore w:val="0"/>
        <w:kinsoku/>
        <w:wordWrap/>
        <w:overflowPunct/>
        <w:topLinePunct w:val="0"/>
        <w:autoSpaceDE/>
        <w:autoSpaceDN/>
        <w:bidi w:val="0"/>
        <w:adjustRightInd w:val="0"/>
        <w:snapToGrid w:val="0"/>
        <w:spacing w:before="0" w:line="560" w:lineRule="exact"/>
        <w:ind w:left="0" w:firstLine="640" w:firstLineChars="200"/>
        <w:jc w:val="lef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一、基本职能及主要工作</w:t>
      </w:r>
      <w:bookmarkEnd w:id="14"/>
      <w:bookmarkEnd w:id="15"/>
    </w:p>
    <w:p>
      <w:pPr>
        <w:pStyle w:val="6"/>
        <w:pageBreakBefore w:val="0"/>
        <w:kinsoku/>
        <w:wordWrap/>
        <w:overflowPunct/>
        <w:topLinePunct w:val="0"/>
        <w:autoSpaceDE/>
        <w:autoSpaceDN/>
        <w:bidi w:val="0"/>
        <w:adjustRightInd w:val="0"/>
        <w:snapToGrid w:val="0"/>
        <w:spacing w:beforeLines="0" w:line="560" w:lineRule="exact"/>
        <w:ind w:left="0" w:firstLine="672" w:firstLineChars="210"/>
        <w:textAlignment w:val="auto"/>
        <w:outlineLvl w:val="2"/>
        <w:rPr>
          <w:rFonts w:hint="eastAsia" w:ascii="楷体_GB2312" w:hAnsi="楷体_GB2312" w:eastAsia="楷体_GB2312" w:cs="楷体_GB2312"/>
          <w:bCs/>
          <w:color w:val="000000"/>
          <w:sz w:val="32"/>
          <w:szCs w:val="32"/>
        </w:rPr>
      </w:pPr>
      <w:bookmarkStart w:id="16" w:name="_Toc15378445"/>
      <w:bookmarkStart w:id="17" w:name="_Toc15377198"/>
      <w:r>
        <w:rPr>
          <w:rFonts w:hint="eastAsia" w:ascii="楷体_GB2312" w:hAnsi="楷体_GB2312" w:eastAsia="楷体_GB2312" w:cs="楷体_GB2312"/>
          <w:bCs/>
          <w:color w:val="000000"/>
          <w:sz w:val="32"/>
          <w:szCs w:val="32"/>
        </w:rPr>
        <w:t>（一）主要职能</w:t>
      </w:r>
    </w:p>
    <w:p>
      <w:pPr>
        <w:pStyle w:val="6"/>
        <w:pageBreakBefore w:val="0"/>
        <w:widowControl w:val="0"/>
        <w:kinsoku/>
        <w:wordWrap/>
        <w:overflowPunct/>
        <w:topLinePunct w:val="0"/>
        <w:autoSpaceDE/>
        <w:autoSpaceDN/>
        <w:bidi w:val="0"/>
        <w:adjustRightInd w:val="0"/>
        <w:snapToGrid w:val="0"/>
        <w:spacing w:beforeLines="0" w:line="560" w:lineRule="exact"/>
        <w:ind w:left="0" w:firstLine="630" w:firstLineChars="210"/>
        <w:textAlignment w:val="auto"/>
        <w:outlineLvl w:val="2"/>
        <w:rPr>
          <w:rFonts w:hint="eastAsia" w:ascii="仿宋" w:hAnsi="仿宋" w:eastAsia="仿宋"/>
          <w:bCs/>
          <w:color w:val="000000"/>
          <w:sz w:val="32"/>
          <w:szCs w:val="32"/>
        </w:rPr>
      </w:pPr>
      <w:r>
        <w:rPr>
          <w:rFonts w:hint="eastAsia" w:ascii="仿宋_GB2312" w:hAnsi="Cambria" w:cs="宋体"/>
          <w:szCs w:val="32"/>
        </w:rPr>
        <w:t>广元市生产安全应急救援支队</w:t>
      </w:r>
      <w:r>
        <w:rPr>
          <w:rFonts w:hint="eastAsia" w:ascii="仿宋_GB2312" w:hAnsi="Cambria" w:cs="宋体"/>
          <w:szCs w:val="32"/>
          <w:lang w:eastAsia="zh-CN"/>
        </w:rPr>
        <w:t>是隶属于市应急管理局管理的公益一类事业单位</w:t>
      </w:r>
      <w:r>
        <w:rPr>
          <w:rFonts w:hint="eastAsia" w:ascii="仿宋_GB2312" w:hAnsi="Cambria" w:cs="宋体"/>
          <w:szCs w:val="32"/>
        </w:rPr>
        <w:t>，挂川北水上应急救援队、市人民防空应急救援队、市森林消防应急救援队牌子，主要负责全市的煤矿、非煤矿山及其它生产安全事故的应急抢险救援、安全生产预防性检查等工作，同时承担人民防空、水上和森林消防救援等职能，是国家矿山救护质量标准化特级队伍，</w:t>
      </w:r>
      <w:r>
        <w:rPr>
          <w:rFonts w:hint="eastAsia" w:ascii="仿宋_GB2312" w:hAnsi="Cambria" w:cs="宋体"/>
          <w:szCs w:val="32"/>
          <w:lang w:eastAsia="zh-CN"/>
        </w:rPr>
        <w:t>是被省应急委授予</w:t>
      </w:r>
      <w:r>
        <w:rPr>
          <w:rFonts w:hint="eastAsia" w:ascii="仿宋_GB2312" w:hAnsi="Cambria" w:cs="宋体"/>
          <w:szCs w:val="32"/>
        </w:rPr>
        <w:t>“四川省矿山救援专业队”之一</w:t>
      </w:r>
      <w:r>
        <w:rPr>
          <w:rFonts w:hint="eastAsia" w:ascii="仿宋_GB2312" w:hAnsi="Cambria" w:cs="宋体"/>
          <w:szCs w:val="32"/>
          <w:lang w:eastAsia="zh-CN"/>
        </w:rPr>
        <w:t>，</w:t>
      </w:r>
      <w:r>
        <w:rPr>
          <w:rFonts w:hint="eastAsia" w:ascii="仿宋_GB2312" w:hAnsi="Cambria" w:cs="宋体"/>
          <w:szCs w:val="32"/>
        </w:rPr>
        <w:t>也是川陕甘结合部资质最高、力量最强的专业救援队伍。</w:t>
      </w:r>
    </w:p>
    <w:bookmarkEnd w:id="16"/>
    <w:bookmarkEnd w:id="17"/>
    <w:p>
      <w:pPr>
        <w:pStyle w:val="6"/>
        <w:pageBreakBefore w:val="0"/>
        <w:kinsoku/>
        <w:wordWrap/>
        <w:overflowPunct/>
        <w:topLinePunct w:val="0"/>
        <w:autoSpaceDE/>
        <w:autoSpaceDN/>
        <w:bidi w:val="0"/>
        <w:adjustRightInd w:val="0"/>
        <w:snapToGrid w:val="0"/>
        <w:spacing w:beforeLines="0" w:line="560" w:lineRule="exact"/>
        <w:ind w:firstLine="640" w:firstLineChars="200"/>
        <w:textAlignment w:val="auto"/>
        <w:outlineLvl w:val="2"/>
        <w:rPr>
          <w:rFonts w:hint="eastAsia" w:ascii="楷体_GB2312" w:hAnsi="楷体_GB2312" w:eastAsia="楷体_GB2312" w:cs="楷体_GB2312"/>
          <w:bCs/>
          <w:color w:val="000000"/>
          <w:sz w:val="32"/>
          <w:szCs w:val="32"/>
        </w:rPr>
      </w:pPr>
      <w:bookmarkStart w:id="18" w:name="_Toc15378446"/>
      <w:bookmarkStart w:id="19" w:name="_Toc15377199"/>
      <w:r>
        <w:rPr>
          <w:rFonts w:hint="eastAsia" w:ascii="楷体_GB2312" w:hAnsi="楷体_GB2312" w:eastAsia="楷体_GB2312" w:cs="楷体_GB2312"/>
          <w:bCs/>
          <w:color w:val="000000"/>
          <w:sz w:val="32"/>
          <w:szCs w:val="32"/>
        </w:rPr>
        <w:t>（二）</w:t>
      </w:r>
      <w:r>
        <w:rPr>
          <w:rFonts w:hint="eastAsia" w:ascii="楷体_GB2312" w:hAnsi="楷体_GB2312" w:eastAsia="楷体_GB2312" w:cs="楷体_GB2312"/>
          <w:bCs/>
          <w:color w:val="000000"/>
          <w:sz w:val="32"/>
          <w:szCs w:val="32"/>
          <w:lang w:val="en-US" w:eastAsia="zh-CN"/>
        </w:rPr>
        <w:t>2020</w:t>
      </w:r>
      <w:r>
        <w:rPr>
          <w:rFonts w:hint="eastAsia" w:ascii="楷体_GB2312" w:hAnsi="楷体_GB2312" w:eastAsia="楷体_GB2312" w:cs="楷体_GB2312"/>
          <w:bCs/>
          <w:color w:val="000000"/>
          <w:sz w:val="32"/>
          <w:szCs w:val="32"/>
        </w:rPr>
        <w:t>年重点工作完成情况</w:t>
      </w:r>
      <w:bookmarkEnd w:id="18"/>
      <w:bookmarkEnd w:id="19"/>
    </w:p>
    <w:p>
      <w:pPr>
        <w:spacing w:line="560" w:lineRule="exact"/>
        <w:ind w:firstLine="642" w:firstLineChars="200"/>
        <w:rPr>
          <w:rFonts w:ascii="楷体_GB2312" w:eastAsia="楷体_GB2312"/>
          <w:b/>
          <w:sz w:val="32"/>
          <w:szCs w:val="32"/>
        </w:rPr>
      </w:pPr>
      <w:bookmarkStart w:id="20" w:name="_Toc15396601"/>
      <w:bookmarkStart w:id="21" w:name="_Toc15377200"/>
      <w:r>
        <w:rPr>
          <w:rFonts w:hint="eastAsia" w:ascii="楷体_GB2312" w:eastAsia="楷体_GB2312"/>
          <w:b/>
          <w:sz w:val="32"/>
          <w:szCs w:val="32"/>
          <w:lang w:val="en-US" w:eastAsia="zh-CN"/>
        </w:rPr>
        <w:t>1.</w:t>
      </w:r>
      <w:r>
        <w:rPr>
          <w:rFonts w:hint="eastAsia" w:ascii="楷体_GB2312" w:eastAsia="楷体_GB2312"/>
          <w:b/>
          <w:sz w:val="32"/>
          <w:szCs w:val="32"/>
        </w:rPr>
        <w:t>“铸魂”工程固根本，政治思想更坚定</w:t>
      </w:r>
    </w:p>
    <w:p>
      <w:pPr>
        <w:spacing w:line="560" w:lineRule="exact"/>
        <w:ind w:firstLine="642" w:firstLineChars="200"/>
        <w:rPr>
          <w:rFonts w:ascii="仿宋_GB2312" w:eastAsia="仿宋_GB2312"/>
          <w:sz w:val="32"/>
          <w:szCs w:val="32"/>
        </w:rPr>
      </w:pPr>
      <w:r>
        <w:rPr>
          <w:rFonts w:hint="eastAsia" w:ascii="仿宋_GB2312" w:hAnsi="仿宋_GB2312" w:eastAsia="仿宋_GB2312" w:cs="仿宋_GB2312"/>
          <w:b/>
          <w:sz w:val="32"/>
          <w:szCs w:val="32"/>
        </w:rPr>
        <w:t>政治学习经常化。</w:t>
      </w:r>
      <w:r>
        <w:rPr>
          <w:rFonts w:hint="eastAsia" w:ascii="仿宋_GB2312" w:eastAsia="仿宋_GB2312"/>
          <w:sz w:val="32"/>
          <w:szCs w:val="32"/>
        </w:rPr>
        <w:t>紧抓意识形态工作不放松，把意识形态工作与业务工作同部署、同落实、同检查、同考核，对重大事件、重要情况中的苗头倾向性的问题，有针对性地进行引导，充分发挥思想引领、舆论推动和精神激励的积极作用。</w:t>
      </w:r>
      <w:r>
        <w:rPr>
          <w:rFonts w:hint="eastAsia" w:ascii="仿宋" w:hAnsi="仿宋" w:eastAsia="仿宋" w:cs="方正大标宋简体"/>
          <w:sz w:val="32"/>
          <w:szCs w:val="32"/>
        </w:rPr>
        <w:t>坚持把“不忘初心、牢记使命”作为加强党的建设的永恒课题和全体人指战员的终身课题，认真组织学习习近平新时代中国特色社会主义思想、党的十九大精神和十九届四中、五中全会精神和省委、市委历次全会精神，引导全体指战员牢固树立“四个意识”，切实增强“四个自信”，坚决做到“两个维护”。</w:t>
      </w:r>
      <w:r>
        <w:rPr>
          <w:rFonts w:hint="eastAsia" w:ascii="仿宋_GB2312" w:hAnsi="仿宋_GB2312" w:eastAsia="仿宋_GB2312" w:cs="仿宋_GB2312"/>
          <w:bCs/>
          <w:sz w:val="32"/>
          <w:szCs w:val="32"/>
        </w:rPr>
        <w:t>定期组织政治学习，充分利用“应急救援大讲堂”、周五学习日、主题党日、读书活动等，集中组织政治学习15次，并积极通过学习强国、应急管理干部网络学院等平台全员参与学习，有效将集中学习和个人自学融入日常、抓在经常。坚持队委会会前学习制度，将上级重要决策部署、文件会议精神作为队委会会前学习的主要内容，强化队委会成员对党的理论知识学习和政策形势把握，不断提升班子理论水平和能力。</w:t>
      </w:r>
    </w:p>
    <w:p>
      <w:pPr>
        <w:spacing w:line="560" w:lineRule="exact"/>
        <w:ind w:firstLine="642" w:firstLineChars="200"/>
        <w:rPr>
          <w:rFonts w:ascii="仿宋_GB2312" w:eastAsia="仿宋_GB2312"/>
          <w:bCs/>
          <w:sz w:val="32"/>
          <w:szCs w:val="32"/>
        </w:rPr>
      </w:pPr>
      <w:r>
        <w:rPr>
          <w:rFonts w:hint="eastAsia" w:ascii="仿宋_GB2312" w:hAnsi="仿宋_GB2312" w:eastAsia="仿宋_GB2312" w:cs="仿宋_GB2312"/>
          <w:b/>
          <w:sz w:val="32"/>
          <w:szCs w:val="32"/>
        </w:rPr>
        <w:t>党建活动规范化。</w:t>
      </w:r>
      <w:r>
        <w:rPr>
          <w:rFonts w:hint="eastAsia" w:ascii="仿宋_GB2312" w:hAnsi="仿宋_GB2312" w:eastAsia="仿宋_GB2312" w:cs="仿宋_GB2312"/>
          <w:bCs/>
          <w:sz w:val="32"/>
          <w:szCs w:val="32"/>
        </w:rPr>
        <w:t>大力推行党支部标准化规范化建设，坚持党总支以上率下，总支书记亲自抓党建，对党支部标准化规范化达标创新工作统筹部署，党支部标准化建设有序推进。严格落实党内各项制度，坚持领导班子与支部工作挂钩协调机制，强化“三重一大”议事决策和领导班子讨论重大问题“一把手”末位表态制度。</w:t>
      </w:r>
      <w:r>
        <w:rPr>
          <w:rFonts w:hint="eastAsia" w:ascii="仿宋" w:hAnsi="仿宋" w:eastAsia="仿宋" w:cs="方正大标宋简体"/>
          <w:sz w:val="32"/>
          <w:szCs w:val="32"/>
        </w:rPr>
        <w:t>全年召开党员大会15次(其中警示教育大会1次)、纪念建党99周年和主题党日活动10次、会前学习13次、分析和研判党风廉政建设和意识形态工作2次，开展“每月救援之星”评选12次、党员谈心谈话56人次（其中队委会成员与重点部门负责谈心谈话13人），</w:t>
      </w:r>
      <w:r>
        <w:rPr>
          <w:rFonts w:hint="eastAsia" w:ascii="仿宋_GB2312" w:hAnsi="仿宋_GB2312" w:eastAsia="仿宋_GB2312" w:cs="仿宋_GB2312"/>
          <w:bCs/>
          <w:sz w:val="32"/>
          <w:szCs w:val="32"/>
        </w:rPr>
        <w:t>队委会成员带头</w:t>
      </w:r>
      <w:r>
        <w:rPr>
          <w:rFonts w:hint="eastAsia" w:ascii="仿宋" w:hAnsi="仿宋" w:eastAsia="仿宋" w:cs="方正大标宋简体"/>
          <w:sz w:val="32"/>
          <w:szCs w:val="32"/>
        </w:rPr>
        <w:t>讲党课4次（其中支队长在建党99周年之际上了题为《在疫情防控中增强四个自信，在工作岗位上助力民族复兴》的党课），党建各项活动有序开展并收到良好的效果。</w:t>
      </w:r>
      <w:r>
        <w:rPr>
          <w:rFonts w:hint="eastAsia" w:ascii="仿宋_GB2312" w:eastAsia="仿宋_GB2312"/>
          <w:bCs/>
          <w:sz w:val="32"/>
          <w:szCs w:val="32"/>
        </w:rPr>
        <w:t>本着积极慎重的发展原则，考察2名预备党员转正，1名积极分子转预备党员，为党员队伍充实了新鲜血液。</w:t>
      </w:r>
    </w:p>
    <w:p>
      <w:pPr>
        <w:spacing w:line="560" w:lineRule="exact"/>
        <w:ind w:firstLine="642" w:firstLineChars="200"/>
        <w:rPr>
          <w:rFonts w:ascii="仿宋_GB2312" w:eastAsia="仿宋_GB2312"/>
          <w:sz w:val="32"/>
          <w:szCs w:val="32"/>
        </w:rPr>
      </w:pPr>
      <w:r>
        <w:rPr>
          <w:rFonts w:hint="eastAsia" w:ascii="仿宋_GB2312" w:hAnsi="仿宋_GB2312" w:eastAsia="仿宋_GB2312" w:cs="仿宋_GB2312"/>
          <w:b/>
          <w:sz w:val="32"/>
          <w:szCs w:val="32"/>
        </w:rPr>
        <w:t>驻村帮扶精准化。</w:t>
      </w:r>
      <w:r>
        <w:rPr>
          <w:rFonts w:hint="eastAsia" w:ascii="仿宋_GB2312" w:eastAsia="仿宋_GB2312"/>
          <w:sz w:val="32"/>
          <w:szCs w:val="32"/>
        </w:rPr>
        <w:t>以脱贫攻坚全国普查迎检工作为主线，驻村帮扶工作队全脱产吃住在村，队委会每月研究一次帮扶工作，帮扶责任人每月开展一次结对帮扶活动，全力做好各项帮扶工作。落实“一户一策”脱贫项目，积极制定脱贫攻坚巩固提升计划和产业补短规划，发展养鸡39户免费发放鸡苗700余只、养猪补助9户20余头、种植辣椒、中药材21户30亩</w:t>
      </w:r>
      <w:r>
        <w:rPr>
          <w:rFonts w:hint="eastAsia" w:ascii="仿宋_GB2312" w:eastAsia="仿宋_GB2312"/>
          <w:color w:val="000000" w:themeColor="text1"/>
          <w:sz w:val="32"/>
          <w:szCs w:val="32"/>
          <w14:textFill>
            <w14:solidFill>
              <w14:schemeClr w14:val="tx1"/>
            </w14:solidFill>
          </w14:textFill>
        </w:rPr>
        <w:t>，确保人均算账收入达9000元以上。对标</w:t>
      </w:r>
      <w:r>
        <w:rPr>
          <w:rFonts w:hint="eastAsia" w:ascii="仿宋_GB2312" w:eastAsia="仿宋_GB2312"/>
          <w:sz w:val="32"/>
          <w:szCs w:val="32"/>
        </w:rPr>
        <w:t>“一超六有”，认真做好县、乡、村三级大排查</w:t>
      </w:r>
      <w:r>
        <w:rPr>
          <w:rFonts w:hint="eastAsia" w:ascii="仿宋_GB2312" w:eastAsia="仿宋_GB2312"/>
          <w:color w:val="000000" w:themeColor="text1"/>
          <w:sz w:val="32"/>
          <w:szCs w:val="32"/>
          <w14:textFill>
            <w14:solidFill>
              <w14:schemeClr w14:val="tx1"/>
            </w14:solidFill>
          </w14:textFill>
        </w:rPr>
        <w:t>，坚持边排查边整改、缺啥补啥，全村所有农户安装自来水，对距离较远的2户贫困户免费安装，对9户住房进行补缝治危，对3户电视机损坏的免费发放电视，</w:t>
      </w:r>
      <w:r>
        <w:rPr>
          <w:rFonts w:hint="eastAsia" w:ascii="仿宋_GB2312" w:eastAsia="仿宋_GB2312"/>
          <w:sz w:val="32"/>
          <w:szCs w:val="32"/>
        </w:rPr>
        <w:t>确保各项指标全面达标、问题清零，顺利通过各级考核验收和国家第三方评估。</w:t>
      </w:r>
    </w:p>
    <w:p>
      <w:pPr>
        <w:spacing w:line="560" w:lineRule="exact"/>
        <w:ind w:firstLine="642" w:firstLineChars="200"/>
        <w:rPr>
          <w:rFonts w:ascii="楷体_GB2312" w:eastAsia="楷体_GB2312"/>
          <w:b/>
          <w:sz w:val="32"/>
          <w:szCs w:val="32"/>
        </w:rPr>
      </w:pPr>
      <w:r>
        <w:rPr>
          <w:rFonts w:hint="eastAsia" w:ascii="楷体_GB2312" w:eastAsia="楷体_GB2312"/>
          <w:b/>
          <w:sz w:val="32"/>
          <w:szCs w:val="32"/>
          <w:lang w:val="en-US" w:eastAsia="zh-CN"/>
        </w:rPr>
        <w:t>2.</w:t>
      </w:r>
      <w:r>
        <w:rPr>
          <w:rFonts w:hint="eastAsia" w:ascii="楷体_GB2312" w:eastAsia="楷体_GB2312"/>
          <w:b/>
          <w:sz w:val="32"/>
          <w:szCs w:val="32"/>
        </w:rPr>
        <w:t>“健体”工程打基础，业务技能更牢固</w:t>
      </w:r>
    </w:p>
    <w:p>
      <w:pPr>
        <w:spacing w:line="560" w:lineRule="exact"/>
        <w:ind w:firstLine="642" w:firstLineChars="200"/>
        <w:rPr>
          <w:rFonts w:ascii="仿宋_GB2312" w:eastAsia="仿宋_GB2312"/>
          <w:color w:val="FF0000"/>
          <w:sz w:val="32"/>
          <w:szCs w:val="32"/>
        </w:rPr>
      </w:pPr>
      <w:r>
        <w:rPr>
          <w:rFonts w:hint="eastAsia" w:ascii="仿宋_GB2312" w:eastAsia="仿宋_GB2312"/>
          <w:b/>
          <w:sz w:val="32"/>
          <w:szCs w:val="32"/>
        </w:rPr>
        <w:t>创新训练模式。</w:t>
      </w:r>
      <w:r>
        <w:rPr>
          <w:rFonts w:hint="eastAsia" w:ascii="仿宋_GB2312" w:eastAsia="仿宋_GB2312"/>
          <w:sz w:val="32"/>
          <w:szCs w:val="32"/>
        </w:rPr>
        <w:t>以质量标准化工作为抓手，制定并严格执行训练计划，建立健全有计划、有制度、有跟踪、有反馈、有考核的环形闭合式训练体系，创新“训练模块化、模块专业化、专业系统化、系统协作化”的“四化”训练模式，在抓好矿山救援业务的基础上，扎实开展水上、森林消防和人民防空救援业务模块化训练，加强应急救援相关业务知识培训，优化训练科目、形式和手段，适时开展春季、冬季大练兵，不断提升队伍专业救援能力。</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加大训练强度。</w:t>
      </w:r>
      <w:r>
        <w:rPr>
          <w:rFonts w:hint="eastAsia" w:ascii="仿宋_GB2312" w:eastAsia="仿宋_GB2312"/>
          <w:sz w:val="32"/>
          <w:szCs w:val="32"/>
        </w:rPr>
        <w:t>结合新形势下救援工作新特点，按照支队《质量标准化管理制度》，从难、从严、从实战出发开展训练，逗硬每月、每季度和年度考核，保证体能合格率达90%以上，对于体能考核不达标的，采用八小时外“加餐”方法进行强化训练。坚持落实每周一5公里越野训练和每天体能训练，全年开展万米耐力锻炼4次、激烈行动科目训练5次、高温浓烟训练6次、心理行为训练8课时，全面提升了指战员的身体素质，积累了在复杂环境下救援的实战经验。</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主动实战演练。</w:t>
      </w:r>
      <w:r>
        <w:rPr>
          <w:rFonts w:hint="eastAsia" w:ascii="仿宋_GB2312" w:eastAsia="仿宋_GB2312"/>
          <w:sz w:val="32"/>
          <w:szCs w:val="32"/>
        </w:rPr>
        <w:t>充分结合各专业特点和实战需要，经常组织不发通知、不预设科目、不定时的闻警集合、紧急出动、战前检查、万米耐力等科目演练，开展森林防火实战演练、通讯保障合成演练等5次，参加省、市抗震救灾模拟演练、“天府行动-2020年嘉陵江流域（广元段）突发事件应急演练”、省市联合水上交通应急暨凉滩船闸险情处置演练和西南区域矿山应急救援联动演练。在演练中，积极模拟各类灾害场景，科学设置演练课题，推进无脚本演练，重点培养和提高指战员在紧急状况下的分析、研判和应对能力，不断提升遂行任务的本领，使队伍时刻保持枕戈待旦的应急救援状态，确保平时、战时的快速、灵活、高效反应，保证队伍在关键时刻“拉得出、冲得上、打得赢”。</w:t>
      </w:r>
    </w:p>
    <w:p>
      <w:pPr>
        <w:spacing w:line="560" w:lineRule="exact"/>
        <w:ind w:firstLine="642" w:firstLineChars="200"/>
        <w:rPr>
          <w:rFonts w:ascii="仿宋_GB2312" w:hAnsi="仿宋_GB2312" w:eastAsia="仿宋_GB2312" w:cs="仿宋_GB2312"/>
          <w:color w:val="000000"/>
          <w:sz w:val="32"/>
          <w:szCs w:val="32"/>
        </w:rPr>
      </w:pPr>
      <w:r>
        <w:rPr>
          <w:rFonts w:hint="eastAsia" w:ascii="仿宋_GB2312" w:eastAsia="仿宋_GB2312"/>
          <w:b/>
          <w:sz w:val="32"/>
          <w:szCs w:val="32"/>
        </w:rPr>
        <w:t>坚持战备值班。</w:t>
      </w:r>
      <w:r>
        <w:rPr>
          <w:rFonts w:hint="eastAsia" w:ascii="仿宋_GB2312" w:hAnsi="仿宋_GB2312" w:eastAsia="仿宋_GB2312" w:cs="仿宋_GB2312"/>
          <w:color w:val="000000"/>
          <w:sz w:val="32"/>
          <w:szCs w:val="32"/>
        </w:rPr>
        <w:t>坚持24小时值班值守制度，值班领导、指挥员及值班小队在岗在位，备班小队不出市区，全体指战员保持通讯畅通，特殊时段、节假日坚守岗位，并经常性检查个人装备，确保人员、装备随时保持战斗状态。按照森林、防汛、矿山、地质等灾害要求，强化各专业战备值班工作，高标准完成了“中元节”祭祀巡查、汛期河道水患巡查、防火期林区巡查，为安全防范提供了有力保障。</w:t>
      </w:r>
    </w:p>
    <w:p>
      <w:pPr>
        <w:spacing w:line="560" w:lineRule="exact"/>
        <w:ind w:firstLine="642" w:firstLineChars="200"/>
        <w:rPr>
          <w:rFonts w:ascii="楷体_GB2312" w:eastAsia="楷体_GB2312"/>
          <w:b/>
          <w:sz w:val="32"/>
          <w:szCs w:val="32"/>
        </w:rPr>
      </w:pPr>
      <w:r>
        <w:rPr>
          <w:rFonts w:hint="eastAsia" w:ascii="楷体_GB2312" w:eastAsia="楷体_GB2312"/>
          <w:b/>
          <w:sz w:val="32"/>
          <w:szCs w:val="32"/>
          <w:lang w:val="en-US" w:eastAsia="zh-CN"/>
        </w:rPr>
        <w:t>3.</w:t>
      </w:r>
      <w:r>
        <w:rPr>
          <w:rFonts w:hint="eastAsia" w:ascii="楷体_GB2312" w:eastAsia="楷体_GB2312"/>
          <w:b/>
          <w:sz w:val="32"/>
          <w:szCs w:val="32"/>
        </w:rPr>
        <w:t>“营养”工程强机制，后勤保障更高效</w:t>
      </w:r>
    </w:p>
    <w:p>
      <w:pPr>
        <w:spacing w:line="560" w:lineRule="exact"/>
        <w:ind w:firstLine="642" w:firstLineChars="200"/>
        <w:rPr>
          <w:rFonts w:ascii="仿宋_GB2312" w:hAnsi="仿宋" w:eastAsia="仿宋_GB2312"/>
          <w:kern w:val="0"/>
          <w:sz w:val="32"/>
          <w:szCs w:val="32"/>
        </w:rPr>
      </w:pPr>
      <w:r>
        <w:rPr>
          <w:rFonts w:hint="eastAsia" w:ascii="仿宋_GB2312" w:eastAsia="仿宋_GB2312"/>
          <w:b/>
          <w:sz w:val="32"/>
          <w:szCs w:val="32"/>
        </w:rPr>
        <w:t>推进基地建设。</w:t>
      </w:r>
      <w:r>
        <w:rPr>
          <w:rFonts w:hint="eastAsia" w:ascii="仿宋_GB2312" w:hAnsi="仿宋" w:eastAsia="仿宋_GB2312" w:cs="仿宋_GB2312"/>
          <w:kern w:val="0"/>
          <w:sz w:val="32"/>
          <w:szCs w:val="32"/>
        </w:rPr>
        <w:t>按照“2020年底前开工、2022年全面完成”的要求，积极推进省</w:t>
      </w:r>
      <w:r>
        <w:rPr>
          <w:rFonts w:hint="eastAsia" w:ascii="仿宋_GB2312" w:eastAsia="仿宋_GB2312"/>
          <w:sz w:val="32"/>
          <w:szCs w:val="32"/>
        </w:rPr>
        <w:t>区域应急救援广元基地建设，</w:t>
      </w:r>
      <w:r>
        <w:rPr>
          <w:rFonts w:hint="eastAsia" w:ascii="仿宋_GB2312" w:hAnsi="仿宋" w:eastAsia="仿宋_GB2312" w:cs="仿宋_GB2312"/>
          <w:kern w:val="0"/>
          <w:sz w:val="32"/>
          <w:szCs w:val="32"/>
        </w:rPr>
        <w:t>选址确定在西二环北侧上西江北社区，完成了立项批复，确立“一中心四基地”定位，建设内容主要为新建地震地质、矿山、森林消防、危险化学品、人民防空、水上救援等训练业务用</w:t>
      </w:r>
      <w:r>
        <w:rPr>
          <w:rFonts w:hint="eastAsia" w:ascii="仿宋_GB2312" w:hAnsi="仿宋" w:eastAsia="仿宋_GB2312" w:cs="仿宋_GB2312"/>
          <w:spacing w:val="-4"/>
          <w:kern w:val="0"/>
          <w:sz w:val="32"/>
          <w:szCs w:val="32"/>
        </w:rPr>
        <w:t>房、营房、专业训练场和教学、物资储备等功能用房、充氧房、停机库等辅助用房及设备设施，总建筑面积2.89万平方，总投资1.</w:t>
      </w:r>
      <w:r>
        <w:rPr>
          <w:rFonts w:hint="eastAsia" w:ascii="仿宋_GB2312" w:hAnsi="仿宋" w:eastAsia="仿宋_GB2312" w:cs="仿宋_GB2312"/>
          <w:spacing w:val="-4"/>
          <w:kern w:val="0"/>
          <w:sz w:val="32"/>
          <w:szCs w:val="32"/>
          <w:lang w:val="en-US" w:eastAsia="zh-CN"/>
        </w:rPr>
        <w:t>64</w:t>
      </w:r>
      <w:r>
        <w:rPr>
          <w:rFonts w:hint="eastAsia" w:ascii="仿宋_GB2312" w:hAnsi="仿宋" w:eastAsia="仿宋_GB2312" w:cs="仿宋_GB2312"/>
          <w:spacing w:val="-4"/>
          <w:kern w:val="0"/>
          <w:sz w:val="32"/>
          <w:szCs w:val="32"/>
        </w:rPr>
        <w:t>亿元。</w:t>
      </w:r>
      <w:r>
        <w:rPr>
          <w:rFonts w:hint="eastAsia" w:ascii="仿宋" w:hAnsi="仿宋" w:eastAsia="仿宋" w:cs="仿宋_GB2312"/>
          <w:sz w:val="32"/>
          <w:szCs w:val="32"/>
        </w:rPr>
        <w:t>按程序调整项目业主为市城投集团，</w:t>
      </w:r>
      <w:r>
        <w:rPr>
          <w:rFonts w:hint="eastAsia" w:ascii="仿宋" w:hAnsi="仿宋" w:eastAsia="仿宋"/>
          <w:sz w:val="32"/>
          <w:szCs w:val="32"/>
        </w:rPr>
        <w:t>会同市发改委争取到位资金2600万元</w:t>
      </w:r>
      <w:r>
        <w:rPr>
          <w:rFonts w:hint="eastAsia" w:ascii="仿宋_GB2312" w:hAnsi="仿宋" w:eastAsia="仿宋_GB2312"/>
          <w:kern w:val="0"/>
          <w:sz w:val="32"/>
          <w:szCs w:val="32"/>
        </w:rPr>
        <w:t>和地方政府一般债4000万元。</w:t>
      </w:r>
    </w:p>
    <w:p>
      <w:pPr>
        <w:spacing w:line="560" w:lineRule="exact"/>
        <w:ind w:firstLine="642" w:firstLineChars="200"/>
        <w:rPr>
          <w:rFonts w:ascii="仿宋_GB2312" w:hAnsi="仿宋_GB2312" w:eastAsia="仿宋_GB2312" w:cs="仿宋_GB2312"/>
          <w:color w:val="000000"/>
          <w:sz w:val="32"/>
          <w:szCs w:val="32"/>
        </w:rPr>
      </w:pPr>
      <w:r>
        <w:rPr>
          <w:rFonts w:hint="eastAsia" w:ascii="仿宋_GB2312" w:eastAsia="仿宋_GB2312"/>
          <w:b/>
          <w:sz w:val="32"/>
          <w:szCs w:val="32"/>
        </w:rPr>
        <w:t>完善救援装备。</w:t>
      </w:r>
      <w:r>
        <w:rPr>
          <w:rFonts w:hint="eastAsia" w:ascii="仿宋_GB2312" w:hAnsi="仿宋_GB2312" w:eastAsia="仿宋_GB2312" w:cs="仿宋_GB2312"/>
          <w:color w:val="000000"/>
          <w:sz w:val="32"/>
          <w:szCs w:val="32"/>
        </w:rPr>
        <w:t>改造应急救援作战室，建立完善应急救援信息化平台系统，达到“能呼能应、远程指挥、远程会商、远程评估”标准。争取省级专项资金购置通信指挥车、应急发电车、地震救援车、装备车、森林消防水灌车、无人机、消防水泵、智能消防头盔等紧缺装备。及时对新装备清点、验收、入库，对现有的装备进行清理、登记、分类、存放，建立电子台账，随时清点检查装备维护保养情况，确保装备达到随时可用的状态。推广使用高科技、新装备，及时组织新装备学习，并对现有的通讯、破拆、支护、绳索、侦测、搜救、检测等先进装备进行实操培训，达到“四会”标准，确保全体指战员都能熟练操作每一种装备。</w:t>
      </w:r>
    </w:p>
    <w:p>
      <w:pPr>
        <w:spacing w:line="560" w:lineRule="exact"/>
        <w:ind w:firstLine="642" w:firstLineChars="200"/>
        <w:rPr>
          <w:rFonts w:ascii="仿宋_GB2312" w:hAnsi="Times New Roman" w:eastAsia="仿宋_GB2312"/>
          <w:color w:val="000000"/>
          <w:sz w:val="32"/>
          <w:szCs w:val="32"/>
        </w:rPr>
      </w:pPr>
      <w:r>
        <w:rPr>
          <w:rFonts w:hint="eastAsia" w:ascii="仿宋_GB2312" w:eastAsia="仿宋_GB2312"/>
          <w:b/>
          <w:sz w:val="32"/>
          <w:szCs w:val="32"/>
        </w:rPr>
        <w:t>加强技术培训。</w:t>
      </w:r>
      <w:r>
        <w:rPr>
          <w:rFonts w:hint="eastAsia" w:ascii="仿宋_GB2312" w:eastAsia="仿宋_GB2312"/>
          <w:sz w:val="32"/>
          <w:szCs w:val="32"/>
        </w:rPr>
        <w:t>扎实开展各专业技能培训，</w:t>
      </w:r>
      <w:r>
        <w:rPr>
          <w:rFonts w:hint="eastAsia" w:ascii="仿宋_GB2312" w:hAnsi="Times New Roman" w:eastAsia="仿宋_GB2312"/>
          <w:color w:val="000000"/>
          <w:sz w:val="32"/>
          <w:szCs w:val="32"/>
        </w:rPr>
        <w:t>送培大中队指挥员和矿山救护教师10人，送陪4名新队员进行为期3个月的队员资格培训；与江苏新洛普公司签订水域救援共建协议，送培3名队员参加激流/舟艇安全救援教练国际认证班培训，开通了水域救援培训渠道；完善森林消防理论题库，开展了一次森林防火安全知识竞赛，邀请四川森林消防总队教官团队进行了森林消防专业培训。全年培训270余人，为应急救援提供有力的技术支持。积极对外培训应急救援业务知识，对全市民兵和天曌山林场扑火人员进行了森林消防技能培训、对市农业农村局和市建工集团100多人进行了应急教育专项培训、对广元军分区800名民兵进行了应急救援技能培训，对旺苍60名民兵进行了矿山事故处置专项培训，有力地提升了社会力量救援能力。</w:t>
      </w:r>
    </w:p>
    <w:p>
      <w:pPr>
        <w:spacing w:line="560" w:lineRule="exact"/>
        <w:ind w:firstLine="642" w:firstLineChars="200"/>
        <w:textAlignment w:val="bottom"/>
        <w:rPr>
          <w:rFonts w:ascii="仿宋_GB2312" w:hAnsi="仿宋" w:eastAsia="仿宋_GB2312"/>
          <w:kern w:val="0"/>
          <w:sz w:val="32"/>
          <w:szCs w:val="32"/>
        </w:rPr>
      </w:pPr>
      <w:r>
        <w:rPr>
          <w:rFonts w:hint="eastAsia" w:ascii="仿宋_GB2312" w:eastAsia="仿宋_GB2312"/>
          <w:b/>
          <w:sz w:val="32"/>
          <w:szCs w:val="32"/>
        </w:rPr>
        <w:t>优化企业服务。</w:t>
      </w:r>
      <w:r>
        <w:rPr>
          <w:rFonts w:hint="eastAsia" w:ascii="仿宋_GB2312" w:eastAsia="仿宋_GB2312"/>
          <w:sz w:val="32"/>
          <w:szCs w:val="32"/>
        </w:rPr>
        <w:t>与55家矿山企业签订救援服务协议，积极开展预防性安全检查22矿次，熟悉掌握服务企业的重大危险源种类和分布情况，参与企业应急演练、预案修订、瓦斯等级鉴定和职工自救、互救、现场急救知识培训等工作。按照《矿山救护规程》对服务企业开展排放瓦斯、震动性爆破、启封火区、反风演习和其他需要佩用呼吸器作业的安全技术性工作，协助利州区、剑阁县完成国家针对长江流域坏境污水治理对关闭矿井作业现场入井侦察7矿次。协助省救援指挥中心完成了矿山各类事故处置要点及事故救援行动安全要则的编制和《矿山救护规程》修改建议编写工作，进一步夯实企业安全生产基础。</w:t>
      </w:r>
    </w:p>
    <w:p>
      <w:pPr>
        <w:spacing w:line="560" w:lineRule="exact"/>
        <w:ind w:firstLine="642" w:firstLineChars="200"/>
        <w:rPr>
          <w:rFonts w:ascii="仿宋_GB2312" w:eastAsia="仿宋_GB2312"/>
          <w:b/>
          <w:sz w:val="32"/>
          <w:szCs w:val="32"/>
        </w:rPr>
      </w:pPr>
      <w:r>
        <w:rPr>
          <w:rFonts w:hint="eastAsia" w:ascii="仿宋_GB2312" w:eastAsia="仿宋_GB2312"/>
          <w:b/>
          <w:sz w:val="32"/>
          <w:szCs w:val="32"/>
        </w:rPr>
        <w:t>积极疫情防控。</w:t>
      </w:r>
      <w:r>
        <w:rPr>
          <w:rFonts w:hint="eastAsia" w:ascii="仿宋_GB2312" w:hAnsi="仿宋_GB2312" w:eastAsia="仿宋_GB2312" w:cs="仿宋_GB2312"/>
          <w:color w:val="000000"/>
          <w:sz w:val="32"/>
          <w:szCs w:val="32"/>
        </w:rPr>
        <w:t>面对突如其来的新冠疫情，支队</w:t>
      </w:r>
      <w:r>
        <w:rPr>
          <w:rFonts w:hint="eastAsia" w:ascii="仿宋_GB2312" w:eastAsia="仿宋_GB2312"/>
          <w:sz w:val="32"/>
          <w:szCs w:val="32"/>
        </w:rPr>
        <w:t>第一时间成立疫情防控领导小组，在职工及亲属中开展无遗漏排查，坚决杜绝与武汉等高、中风险地区返广人员密切接触。春节后，严格落实居家上班要求，坚持每天报送职工个人活动轨迹和身体状况。在值班室长期设置温度检测点，凡进入营区者必须进行体温检测、扫描健康码和登记，定期对办公楼和训练场所进行消毒，确保支队无一例新冠疑似和确诊病例。主动请命参与抗疫战役，</w:t>
      </w:r>
      <w:r>
        <w:rPr>
          <w:rFonts w:hint="eastAsia" w:ascii="仿宋_GB2312" w:hAnsi="仿宋_GB2312" w:eastAsia="仿宋_GB2312" w:cs="仿宋_GB2312"/>
          <w:color w:val="000000"/>
          <w:sz w:val="32"/>
          <w:szCs w:val="32"/>
        </w:rPr>
        <w:t>派出210余人次对北街源鑫苑小区执勤、</w:t>
      </w:r>
      <w:r>
        <w:rPr>
          <w:rFonts w:hint="eastAsia" w:ascii="仿宋_GB2312" w:eastAsia="仿宋_GB2312"/>
          <w:sz w:val="32"/>
          <w:szCs w:val="32"/>
        </w:rPr>
        <w:t>入户排查和日常体温监测工作。在疫情防控阶段，倡导指战员严控聚集性活动、无必要事务严格出省，派出一名干部长期在市长途汽车客运站值班值守，努力为疫情歼灭战贡献力量。</w:t>
      </w:r>
    </w:p>
    <w:p>
      <w:pPr>
        <w:spacing w:line="560" w:lineRule="exact"/>
        <w:ind w:firstLine="642" w:firstLineChars="200"/>
        <w:rPr>
          <w:rFonts w:ascii="楷体_GB2312" w:eastAsia="楷体_GB2312"/>
          <w:b/>
          <w:sz w:val="32"/>
          <w:szCs w:val="32"/>
        </w:rPr>
      </w:pPr>
      <w:r>
        <w:rPr>
          <w:rFonts w:hint="eastAsia" w:ascii="楷体_GB2312" w:eastAsia="楷体_GB2312"/>
          <w:b/>
          <w:sz w:val="32"/>
          <w:szCs w:val="32"/>
          <w:lang w:val="en-US" w:eastAsia="zh-CN"/>
        </w:rPr>
        <w:t>4.</w:t>
      </w:r>
      <w:r>
        <w:rPr>
          <w:rFonts w:hint="eastAsia" w:ascii="楷体_GB2312" w:eastAsia="楷体_GB2312"/>
          <w:b/>
          <w:sz w:val="32"/>
          <w:szCs w:val="32"/>
        </w:rPr>
        <w:t>“修身”工程转作风，纪律规矩更严格</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落实廉政责任。</w:t>
      </w:r>
      <w:r>
        <w:rPr>
          <w:rFonts w:hint="eastAsia" w:ascii="仿宋_GB2312" w:eastAsia="仿宋_GB2312"/>
          <w:sz w:val="32"/>
          <w:szCs w:val="32"/>
        </w:rPr>
        <w:t>始终把纪律和规矩挺在前面，强化纪律教育，严格党纪国法约束，牢固树立红线意识，扎实推进全面从严治党，建立健全管党治党的长效机制。层层签订《党风廉政建设责任书》，进一步明晰从严管党治党和党风廉政“一岗双责”责任，把党风廉政建设工作与业务工作同安排、同部署，时刻绷紧党风廉政这根弦，守住工作、生活底线。召开党风廉政建设专题会议，利用队委会、工作例会、职工大会及时组织学习中央、省、市相关会议精神，集中宣讲党的十九届四中、五中全会精神，班子成员、干部职工之间开展谈心谈话活动，及时了解干部职工的思想动态、工作和生活状况，抓早抓小、防微杜渐。</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强化正风肃纪。</w:t>
      </w:r>
      <w:r>
        <w:rPr>
          <w:rFonts w:hint="eastAsia" w:ascii="仿宋_GB2312" w:eastAsia="仿宋_GB2312"/>
          <w:sz w:val="32"/>
          <w:szCs w:val="32"/>
        </w:rPr>
        <w:t>持续将作风建设挺在前面，持之以恒正风肃纪，注重日常养成，聚焦隐形变异“四风”问题，深化运用“四种形态”，强化廉洁意识、忧患意识、执行意识、服务意识、奉献意识。以身边发生的2起酒驾典型案例为鉴，及时召开“以案促改”警示教育大会，通报案例基本情况，深刻反思教训，分管领导作剖析表态发言，涉案人员检讨发言，举一反三，以支部为单位开展“做坚守底线的应急救援人”大讨论，增强全体指战员的纪律意识和法治观念。积极探索指战员“8小时”外管理，向全体干部职工家属发放倡议书，在单位、家庭、社会各个方面形成合力，达到“教育一个、警示一片”的目的。</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健全制度体系。</w:t>
      </w:r>
      <w:r>
        <w:rPr>
          <w:rFonts w:hint="eastAsia" w:ascii="仿宋_GB2312" w:eastAsia="仿宋_GB2312"/>
          <w:sz w:val="32"/>
          <w:szCs w:val="32"/>
        </w:rPr>
        <w:t>修订完善支队制度体系，形成了3大类12小类86条内部制度框架，各项制度规范明晰，切实做到了有章可循、有度可量，用制度管人管事的管理体系。坚持每周工作例会制度，规范每周工作任务清单，将重点工作列出清单，倒排工期，第二周汇报工作完成情况，确保“责任制+清单制”有效实施。严格目标考核机制，以考核量化工作业绩，与年终绩效挂钩，激发指战员干事热情，不断推动了各项工作有序开展。</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严格队伍管理。</w:t>
      </w:r>
      <w:r>
        <w:rPr>
          <w:rFonts w:hint="eastAsia" w:ascii="仿宋_GB2312" w:eastAsia="仿宋_GB2312"/>
          <w:sz w:val="32"/>
          <w:szCs w:val="32"/>
        </w:rPr>
        <w:t>突出军事化管理特点，坚持从严管理，从每天的内务、着装、队容、风纪、礼节、言行入手，严格规范值班、学习、训练、工作和生活秩序。严格作息制度，坚持每周一升国旗仪式和军事化队列训练，每周对内务卫生进行抽查，不断提升队伍军事化水平和管理能力，时刻保持良好的队容队貌和精神风貌。注重培养敢打能赢的顽强作风和指战员过硬的体能和意志，培养军人绝对服从意识和使命感，养成一切行动听指挥的良好习惯，确保令行禁止，政令畅通，一以贯之。</w:t>
      </w:r>
    </w:p>
    <w:p>
      <w:pPr>
        <w:spacing w:line="560" w:lineRule="exact"/>
        <w:ind w:firstLine="642" w:firstLineChars="200"/>
        <w:rPr>
          <w:rFonts w:ascii="楷体_GB2312" w:eastAsia="楷体_GB2312"/>
          <w:b/>
          <w:sz w:val="32"/>
          <w:szCs w:val="32"/>
        </w:rPr>
      </w:pPr>
      <w:r>
        <w:rPr>
          <w:rFonts w:hint="eastAsia" w:ascii="楷体_GB2312" w:eastAsia="楷体_GB2312"/>
          <w:b/>
          <w:sz w:val="32"/>
          <w:szCs w:val="32"/>
          <w:lang w:val="en-US" w:eastAsia="zh-CN"/>
        </w:rPr>
        <w:t>5</w:t>
      </w:r>
      <w:r>
        <w:rPr>
          <w:rFonts w:hint="eastAsia" w:ascii="楷体_GB2312" w:eastAsia="楷体_GB2312"/>
          <w:b/>
          <w:sz w:val="32"/>
          <w:szCs w:val="32"/>
        </w:rPr>
        <w:t>“整装”工程树形象，班子队伍更团结</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队伍建设创一流。</w:t>
      </w:r>
      <w:r>
        <w:rPr>
          <w:rFonts w:hint="eastAsia" w:ascii="仿宋_GB2312" w:eastAsia="仿宋_GB2312"/>
          <w:sz w:val="32"/>
          <w:szCs w:val="32"/>
        </w:rPr>
        <w:t>狠抓矿山区域队伍、川北水上救援、森林消防队伍建设，优化队伍结构，辞退不宜适合应急救援队员1名，控编人员辞职3人，公开招考正式在编人员1人，新招救援队员5名，重新调整配备编队，确保一线救援力量稳定。充分利用区位优势，积极争取项目政策支持，推进区域应急救援广元基地建设，强化救援业务提升，继续保持矿山救援质量标准化国家特级。加强跨地区、跨专业联合演练及学习交流，提升协同作战水平，不断完善应急救援体系，努力建设国内一流尖刀救援队伍。</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高效救援展风采。</w:t>
      </w:r>
      <w:r>
        <w:rPr>
          <w:rFonts w:hint="eastAsia" w:ascii="仿宋_GB2312" w:eastAsia="仿宋_GB2312"/>
          <w:sz w:val="32"/>
          <w:szCs w:val="32"/>
        </w:rPr>
        <w:t>坚持“生命至上、科学救援”理念，充分发挥专业救援队伍和生产安全应急救援主力军作用，始终把人民群众生命财产安全放在首位，勇当风险的“逆行者”。全年开展救援行动5次，打捞剑阁县江口镇沙场落水人员和茶园沟水库落水人员、驰援江油市武引二期永重支渠项目在建隧道垮塌事故、</w:t>
      </w:r>
      <w:r>
        <w:rPr>
          <w:rFonts w:hint="eastAsia" w:ascii="仿宋_GB2312" w:hAnsi="仿宋_GB2312" w:eastAsia="仿宋_GB2312" w:cs="仿宋_GB2312"/>
          <w:bCs/>
          <w:kern w:val="0"/>
          <w:sz w:val="32"/>
          <w:szCs w:val="32"/>
        </w:rPr>
        <w:t>拦截嘉陵江漂流大型油罐、</w:t>
      </w:r>
      <w:r>
        <w:rPr>
          <w:rFonts w:hint="eastAsia" w:ascii="仿宋_GB2312" w:eastAsia="仿宋_GB2312"/>
          <w:sz w:val="32"/>
          <w:szCs w:val="32"/>
        </w:rPr>
        <w:t>完成广元“女儿节”及“畅游嘉陵江”水上安全应急保障等任务</w:t>
      </w:r>
      <w:r>
        <w:rPr>
          <w:rFonts w:hint="eastAsia" w:ascii="仿宋_GB2312" w:hAnsi="仿宋_GB2312" w:eastAsia="仿宋_GB2312" w:cs="仿宋_GB2312"/>
          <w:bCs/>
          <w:kern w:val="0"/>
          <w:sz w:val="32"/>
          <w:szCs w:val="32"/>
        </w:rPr>
        <w:t>。特别是在</w:t>
      </w:r>
      <w:r>
        <w:rPr>
          <w:rFonts w:hint="eastAsia" w:ascii="仿宋_GB2312" w:eastAsia="仿宋_GB2312"/>
          <w:sz w:val="32"/>
          <w:szCs w:val="32"/>
        </w:rPr>
        <w:t>“5.22”江油市隧道垮塌事故中，经过176小时成功救援3名遇险人员，被国家、省级以上媒体先后报道30余次，江油市政府专程送来“危难时刻展身手、科学救援树标杆”的锦旗</w:t>
      </w:r>
      <w:r>
        <w:rPr>
          <w:rFonts w:hint="eastAsia" w:ascii="仿宋_GB2312" w:hAnsi="仿宋_GB2312" w:eastAsia="仿宋_GB2312" w:cs="仿宋_GB2312"/>
          <w:bCs/>
          <w:kern w:val="0"/>
          <w:sz w:val="32"/>
          <w:szCs w:val="32"/>
        </w:rPr>
        <w:t>；在</w:t>
      </w:r>
      <w:r>
        <w:rPr>
          <w:rFonts w:hint="eastAsia" w:ascii="仿宋_GB2312" w:eastAsia="仿宋_GB2312"/>
          <w:sz w:val="32"/>
          <w:szCs w:val="32"/>
        </w:rPr>
        <w:t>“8.16”</w:t>
      </w:r>
      <w:r>
        <w:rPr>
          <w:rFonts w:hint="eastAsia" w:ascii="仿宋_GB2312" w:hAnsi="仿宋_GB2312" w:eastAsia="仿宋_GB2312" w:cs="仿宋_GB2312"/>
          <w:bCs/>
          <w:kern w:val="0"/>
          <w:sz w:val="32"/>
          <w:szCs w:val="32"/>
        </w:rPr>
        <w:t>成功</w:t>
      </w:r>
      <w:r>
        <w:rPr>
          <w:rFonts w:hint="eastAsia" w:ascii="仿宋_GB2312" w:eastAsia="仿宋_GB2312"/>
          <w:sz w:val="32"/>
          <w:szCs w:val="32"/>
        </w:rPr>
        <w:t>拦截</w:t>
      </w:r>
      <w:r>
        <w:rPr>
          <w:rFonts w:hint="eastAsia" w:ascii="仿宋_GB2312" w:hAnsi="仿宋_GB2312" w:eastAsia="仿宋_GB2312" w:cs="仿宋_GB2312"/>
          <w:bCs/>
          <w:kern w:val="0"/>
          <w:sz w:val="32"/>
          <w:szCs w:val="32"/>
        </w:rPr>
        <w:t>嘉陵江</w:t>
      </w:r>
      <w:r>
        <w:rPr>
          <w:rFonts w:hint="eastAsia" w:ascii="仿宋_GB2312" w:eastAsia="仿宋_GB2312"/>
          <w:sz w:val="32"/>
          <w:szCs w:val="32"/>
        </w:rPr>
        <w:t>漂流三省的大型油罐，</w:t>
      </w:r>
      <w:r>
        <w:rPr>
          <w:rFonts w:hint="eastAsia" w:ascii="仿宋_GB2312" w:hAnsi="仿宋_GB2312" w:eastAsia="仿宋_GB2312" w:cs="仿宋_GB2312"/>
          <w:bCs/>
          <w:kern w:val="0"/>
          <w:sz w:val="32"/>
          <w:szCs w:val="32"/>
        </w:rPr>
        <w:t>解除了对宝成、兰渝铁路、西成客专等桥梁构成的极大威胁，被四川省委表彰为“防汛救灾先进基层党组织”，成为广元唯一获此殊荣的集体</w:t>
      </w:r>
      <w:r>
        <w:rPr>
          <w:rFonts w:hint="eastAsia" w:ascii="仿宋_GB2312" w:eastAsia="仿宋_GB2312"/>
          <w:sz w:val="32"/>
          <w:szCs w:val="32"/>
        </w:rPr>
        <w:t>。</w:t>
      </w:r>
    </w:p>
    <w:p>
      <w:pPr>
        <w:spacing w:line="560" w:lineRule="exact"/>
        <w:ind w:firstLine="642" w:firstLineChars="200"/>
        <w:rPr>
          <w:rFonts w:ascii="仿宋_GB2312" w:eastAsia="仿宋_GB2312"/>
          <w:sz w:val="32"/>
          <w:szCs w:val="32"/>
        </w:rPr>
      </w:pPr>
      <w:r>
        <w:rPr>
          <w:rFonts w:hint="eastAsia" w:ascii="仿宋_GB2312" w:eastAsia="仿宋_GB2312"/>
          <w:b/>
          <w:sz w:val="32"/>
          <w:szCs w:val="32"/>
        </w:rPr>
        <w:t>对外宣传树形象。</w:t>
      </w:r>
      <w:r>
        <w:rPr>
          <w:rFonts w:hint="eastAsia" w:ascii="仿宋_GB2312" w:eastAsia="仿宋_GB2312"/>
          <w:sz w:val="32"/>
          <w:szCs w:val="32"/>
        </w:rPr>
        <w:t>牢固树立“人人都是救援名片”的意识，充分利用报刊、网站等传统媒体，积极依托“两微一端”、今日头条、抖音等新兴媒体，切实加大自主宣传力度，真实的记录和传播救援队伍正能量，全年在中央广电总台国际在线、中国新闻网、人民网、央广网、中国应急信息网、中国应急管理报、国家安全生产应急救援指挥中心、四川省应急管理厅等网站等发表各类信息63篇，凝聚了关心、关注救援队伍发展的强大合力。川北水上救援队水域救援专题视频在省第12个全国防灾减灾日科普宣传周活动启动仪式上播放、“基地开放日”活动让更多的市民、企业职工、消防救援队员走进营区，省内外行业单位多次来队考察取经，让广元救援备受社会关注，知名度进一步提升。</w:t>
      </w:r>
    </w:p>
    <w:p>
      <w:pPr>
        <w:pStyle w:val="4"/>
        <w:pageBreakBefore w:val="0"/>
        <w:kinsoku/>
        <w:wordWrap/>
        <w:overflowPunct/>
        <w:topLinePunct w:val="0"/>
        <w:autoSpaceDE/>
        <w:autoSpaceDN/>
        <w:bidi w:val="0"/>
        <w:spacing w:before="0" w:after="0" w:line="560" w:lineRule="exact"/>
        <w:ind w:left="0" w:firstLine="640" w:firstLineChars="200"/>
        <w:textAlignment w:val="auto"/>
        <w:rPr>
          <w:rStyle w:val="27"/>
          <w:b w:val="0"/>
          <w:bCs w:val="0"/>
        </w:rPr>
      </w:pPr>
      <w:r>
        <w:rPr>
          <w:rFonts w:hint="eastAsia" w:ascii="黑体" w:eastAsia="黑体"/>
          <w:b w:val="0"/>
          <w:color w:val="000000"/>
        </w:rPr>
        <w:t>二、</w:t>
      </w:r>
      <w:r>
        <w:rPr>
          <w:rFonts w:hint="eastAsia" w:ascii="黑体" w:hAnsi="黑体" w:eastAsia="黑体"/>
          <w:b w:val="0"/>
          <w:color w:val="000000"/>
        </w:rPr>
        <w:t>机</w:t>
      </w:r>
      <w:r>
        <w:rPr>
          <w:rStyle w:val="27"/>
          <w:rFonts w:hint="eastAsia" w:ascii="黑体" w:hAnsi="黑体" w:eastAsia="黑体"/>
          <w:b w:val="0"/>
          <w:bCs w:val="0"/>
        </w:rPr>
        <w:t>构设置</w:t>
      </w:r>
      <w:bookmarkEnd w:id="20"/>
      <w:bookmarkEnd w:id="21"/>
    </w:p>
    <w:p>
      <w:pPr>
        <w:pStyle w:val="6"/>
        <w:pageBreakBefore w:val="0"/>
        <w:numPr>
          <w:ilvl w:val="0"/>
          <w:numId w:val="0"/>
        </w:numPr>
        <w:kinsoku/>
        <w:wordWrap/>
        <w:overflowPunct/>
        <w:topLinePunct w:val="0"/>
        <w:autoSpaceDE/>
        <w:autoSpaceDN/>
        <w:bidi w:val="0"/>
        <w:adjustRightInd w:val="0"/>
        <w:snapToGrid w:val="0"/>
        <w:spacing w:beforeLines="0" w:line="560" w:lineRule="exact"/>
        <w:ind w:firstLine="640" w:firstLineChars="200"/>
        <w:textAlignment w:val="auto"/>
        <w:outlineLvl w:val="2"/>
        <w:rPr>
          <w:rFonts w:hint="default" w:ascii="仿宋_GB2312" w:hAnsi="仿宋_GB2312" w:eastAsia="仿宋_GB2312" w:cs="仿宋_GB2312"/>
          <w:color w:val="000000"/>
          <w:sz w:val="32"/>
          <w:szCs w:val="32"/>
          <w:lang w:val="en-US" w:eastAsia="zh-CN"/>
        </w:rPr>
      </w:pPr>
      <w:r>
        <w:rPr>
          <w:rFonts w:hint="eastAsia" w:hAnsi="Verdana"/>
          <w:sz w:val="32"/>
          <w:szCs w:val="32"/>
          <w:lang w:eastAsia="zh-CN"/>
        </w:rPr>
        <w:t>支队是市应急管理局部门下属全额财政拨款二级预算单位。</w:t>
      </w:r>
      <w:r>
        <w:rPr>
          <w:rFonts w:hint="eastAsia" w:ascii="仿宋_GB2312" w:hAnsi="楷体_GB2312" w:eastAsia="仿宋_GB2312"/>
          <w:sz w:val="32"/>
          <w:szCs w:val="32"/>
        </w:rPr>
        <w:t>现有事业</w:t>
      </w:r>
      <w:r>
        <w:rPr>
          <w:rFonts w:hint="eastAsia" w:ascii="仿宋_GB2312" w:hAnsi="Verdana" w:eastAsia="仿宋_GB2312"/>
          <w:sz w:val="32"/>
          <w:szCs w:val="32"/>
        </w:rPr>
        <w:t>编制35个、控制性编制44个，</w:t>
      </w:r>
      <w:r>
        <w:rPr>
          <w:rFonts w:hint="eastAsia" w:ascii="仿宋_GB2312" w:hAnsi="楷体_GB2312" w:eastAsia="仿宋_GB2312"/>
          <w:sz w:val="32"/>
          <w:szCs w:val="32"/>
        </w:rPr>
        <w:t>按副县级规格配备，设支队长1人，</w:t>
      </w:r>
      <w:r>
        <w:rPr>
          <w:rFonts w:hint="eastAsia" w:ascii="仿宋_GB2312" w:hAnsi="Verdana" w:eastAsia="仿宋_GB2312"/>
          <w:sz w:val="32"/>
          <w:szCs w:val="32"/>
        </w:rPr>
        <w:t>副支队长4人，总工程师1人，</w:t>
      </w:r>
      <w:r>
        <w:rPr>
          <w:rFonts w:hint="eastAsia" w:ascii="仿宋_GB2312" w:hAnsi="楷体_GB2312" w:eastAsia="仿宋_GB2312"/>
          <w:sz w:val="32"/>
          <w:szCs w:val="32"/>
        </w:rPr>
        <w:t>内</w:t>
      </w:r>
      <w:r>
        <w:rPr>
          <w:rFonts w:hint="eastAsia" w:ascii="仿宋_GB2312" w:hAnsi="Verdana" w:eastAsia="仿宋_GB2312"/>
          <w:sz w:val="32"/>
          <w:szCs w:val="32"/>
        </w:rPr>
        <w:t>设办公室、装备管理科、战训科（调度室）、培训技术科和一、二、三、四、五大队。</w:t>
      </w:r>
      <w:r>
        <w:rPr>
          <w:rFonts w:hint="eastAsia" w:hAnsi="Verdana"/>
          <w:sz w:val="32"/>
          <w:szCs w:val="32"/>
          <w:lang w:eastAsia="zh-CN"/>
        </w:rPr>
        <w:t>纳入本单位部门决算编制的单位有：市生产安全应急救援支队。</w:t>
      </w:r>
    </w:p>
    <w:p>
      <w:pPr>
        <w:pageBreakBefore w:val="0"/>
        <w:widowControl/>
        <w:kinsoku/>
        <w:wordWrap/>
        <w:overflowPunct/>
        <w:topLinePunct w:val="0"/>
        <w:autoSpaceDE/>
        <w:autoSpaceDN/>
        <w:bidi w:val="0"/>
        <w:spacing w:line="560" w:lineRule="exact"/>
        <w:ind w:left="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br w:type="page"/>
      </w:r>
    </w:p>
    <w:p>
      <w:pPr>
        <w:pStyle w:val="3"/>
        <w:keepNext/>
        <w:keepLines/>
        <w:pageBreakBefore w:val="0"/>
        <w:widowControl w:val="0"/>
        <w:kinsoku/>
        <w:wordWrap/>
        <w:overflowPunct/>
        <w:topLinePunct w:val="0"/>
        <w:autoSpaceDE/>
        <w:autoSpaceDN/>
        <w:bidi w:val="0"/>
        <w:adjustRightInd/>
        <w:snapToGrid/>
        <w:spacing w:before="0" w:after="0" w:line="560" w:lineRule="exact"/>
        <w:ind w:right="0"/>
        <w:jc w:val="center"/>
        <w:textAlignment w:val="auto"/>
        <w:rPr>
          <w:rFonts w:hint="eastAsia" w:ascii="方正小标宋简体" w:hAnsi="方正小标宋简体" w:eastAsia="方正小标宋简体" w:cs="方正小标宋简体"/>
          <w:b w:val="0"/>
          <w:color w:val="000000"/>
        </w:rPr>
      </w:pPr>
      <w:bookmarkStart w:id="22" w:name="_Toc15396602"/>
      <w:bookmarkStart w:id="23" w:name="_Toc15377204"/>
    </w:p>
    <w:p>
      <w:pPr>
        <w:pStyle w:val="3"/>
        <w:keepNext/>
        <w:keepLines/>
        <w:pageBreakBefore w:val="0"/>
        <w:widowControl w:val="0"/>
        <w:kinsoku/>
        <w:wordWrap/>
        <w:overflowPunct/>
        <w:topLinePunct w:val="0"/>
        <w:autoSpaceDE/>
        <w:autoSpaceDN/>
        <w:bidi w:val="0"/>
        <w:adjustRightInd/>
        <w:snapToGrid/>
        <w:spacing w:before="0" w:after="0" w:line="560" w:lineRule="exact"/>
        <w:ind w:right="0"/>
        <w:jc w:val="center"/>
        <w:textAlignment w:val="auto"/>
        <w:rPr>
          <w:rStyle w:val="26"/>
          <w:rFonts w:hint="eastAsia" w:ascii="方正小标宋简体" w:hAnsi="方正小标宋简体" w:eastAsia="方正小标宋简体" w:cs="方正小标宋简体"/>
          <w:b w:val="0"/>
          <w:bCs w:val="0"/>
        </w:rPr>
      </w:pPr>
      <w:r>
        <w:rPr>
          <w:rFonts w:hint="eastAsia" w:ascii="方正小标宋简体" w:hAnsi="方正小标宋简体" w:eastAsia="方正小标宋简体" w:cs="方正小标宋简体"/>
          <w:b w:val="0"/>
          <w:color w:val="000000"/>
        </w:rPr>
        <w:t>第二部分</w:t>
      </w:r>
      <w:r>
        <w:rPr>
          <w:rFonts w:hint="eastAsia" w:ascii="方正小标宋简体" w:hAnsi="方正小标宋简体" w:eastAsia="方正小标宋简体" w:cs="方正小标宋简体"/>
          <w:color w:val="000000"/>
        </w:rPr>
        <w:t xml:space="preserve"> </w:t>
      </w:r>
      <w:r>
        <w:rPr>
          <w:rStyle w:val="26"/>
          <w:rFonts w:hint="eastAsia" w:ascii="方正小标宋简体" w:hAnsi="方正小标宋简体" w:eastAsia="方正小标宋简体" w:cs="方正小标宋简体"/>
          <w:b w:val="0"/>
          <w:bCs w:val="0"/>
          <w:lang w:val="en-US" w:eastAsia="zh-CN"/>
        </w:rPr>
        <w:t>2020</w:t>
      </w:r>
      <w:r>
        <w:rPr>
          <w:rStyle w:val="26"/>
          <w:rFonts w:hint="eastAsia" w:ascii="方正小标宋简体" w:hAnsi="方正小标宋简体" w:eastAsia="方正小标宋简体" w:cs="方正小标宋简体"/>
          <w:b w:val="0"/>
          <w:bCs w:val="0"/>
        </w:rPr>
        <w:t>年度部门决算情况说明</w:t>
      </w:r>
      <w:bookmarkEnd w:id="22"/>
      <w:bookmarkEnd w:id="23"/>
    </w:p>
    <w:p/>
    <w:p>
      <w:pPr>
        <w:pStyle w:val="25"/>
        <w:numPr>
          <w:ilvl w:val="0"/>
          <w:numId w:val="0"/>
        </w:numPr>
        <w:spacing w:line="600" w:lineRule="exact"/>
        <w:ind w:left="640" w:leftChars="0"/>
        <w:outlineLvl w:val="1"/>
        <w:rPr>
          <w:rStyle w:val="27"/>
          <w:rFonts w:ascii="黑体" w:hAnsi="黑体" w:eastAsia="黑体"/>
          <w:b w:val="0"/>
        </w:rPr>
      </w:pPr>
      <w:bookmarkStart w:id="24" w:name="_Toc15377205"/>
      <w:bookmarkStart w:id="25" w:name="_Toc15396603"/>
      <w:r>
        <w:rPr>
          <w:rFonts w:hint="eastAsia" w:ascii="黑体" w:hAnsi="黑体" w:eastAsia="黑体"/>
          <w:color w:val="000000"/>
          <w:sz w:val="32"/>
          <w:szCs w:val="32"/>
          <w:lang w:eastAsia="zh-CN"/>
        </w:rPr>
        <w:t>一、</w:t>
      </w:r>
      <w:r>
        <w:rPr>
          <w:rFonts w:hint="eastAsia" w:ascii="黑体" w:hAnsi="黑体" w:eastAsia="黑体"/>
          <w:color w:val="000000"/>
          <w:sz w:val="32"/>
          <w:szCs w:val="32"/>
        </w:rPr>
        <w:t>收</w:t>
      </w:r>
      <w:r>
        <w:rPr>
          <w:rStyle w:val="27"/>
          <w:rFonts w:hint="eastAsia" w:ascii="黑体" w:hAnsi="黑体" w:eastAsia="黑体"/>
          <w:b w:val="0"/>
        </w:rPr>
        <w:t>入支出决算总体情况说明</w:t>
      </w:r>
      <w:bookmarkEnd w:id="24"/>
      <w:bookmarkEnd w:id="25"/>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年度收、支总计</w:t>
      </w:r>
      <w:r>
        <w:rPr>
          <w:rFonts w:hint="eastAsia" w:ascii="仿宋_GB2312" w:hAnsi="仿宋_GB2312" w:eastAsia="仿宋_GB2312" w:cs="仿宋_GB2312"/>
          <w:color w:val="000000"/>
          <w:sz w:val="32"/>
          <w:szCs w:val="32"/>
          <w:lang w:val="en-US" w:eastAsia="zh-CN"/>
        </w:rPr>
        <w:t>1103.94</w:t>
      </w:r>
      <w:r>
        <w:rPr>
          <w:rFonts w:hint="eastAsia" w:ascii="仿宋_GB2312" w:hAnsi="仿宋_GB2312" w:eastAsia="仿宋_GB2312" w:cs="仿宋_GB2312"/>
          <w:color w:val="000000"/>
          <w:sz w:val="32"/>
          <w:szCs w:val="32"/>
        </w:rPr>
        <w:t>万元。与</w:t>
      </w:r>
      <w:r>
        <w:rPr>
          <w:rFonts w:hint="eastAsia" w:ascii="仿宋_GB2312" w:hAnsi="仿宋_GB2312" w:eastAsia="仿宋_GB2312" w:cs="仿宋_GB2312"/>
          <w:color w:val="000000"/>
          <w:sz w:val="32"/>
          <w:szCs w:val="32"/>
          <w:lang w:val="en-US" w:eastAsia="zh-CN"/>
        </w:rPr>
        <w:t>2019</w:t>
      </w:r>
      <w:r>
        <w:rPr>
          <w:rFonts w:hint="eastAsia" w:ascii="仿宋_GB2312" w:hAnsi="仿宋_GB2312" w:eastAsia="仿宋_GB2312" w:cs="仿宋_GB2312"/>
          <w:color w:val="000000"/>
          <w:sz w:val="32"/>
          <w:szCs w:val="32"/>
        </w:rPr>
        <w:t>年相比，收、支总计各减少</w:t>
      </w:r>
      <w:r>
        <w:rPr>
          <w:rFonts w:hint="eastAsia" w:ascii="仿宋_GB2312" w:hAnsi="仿宋_GB2312" w:eastAsia="仿宋_GB2312" w:cs="仿宋_GB2312"/>
          <w:color w:val="000000"/>
          <w:sz w:val="32"/>
          <w:szCs w:val="32"/>
          <w:lang w:val="en-US" w:eastAsia="zh-CN"/>
        </w:rPr>
        <w:t>209.14</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15.92</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val="en-US" w:eastAsia="zh-CN"/>
        </w:rPr>
        <w:t>2020年严格控制经费，压缩各项支出。</w:t>
      </w:r>
    </w:p>
    <w:p>
      <w:pPr>
        <w:spacing w:line="600" w:lineRule="exact"/>
        <w:ind w:firstLine="640" w:firstLineChars="200"/>
        <w:rPr>
          <w:rFonts w:hint="eastAsia"/>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（图1：收、支决算总计变动情况图）</w:t>
      </w:r>
    </w:p>
    <w:p>
      <w:pPr>
        <w:pStyle w:val="2"/>
        <w:rPr>
          <w:rFonts w:hint="eastAsia"/>
          <w:lang w:val="en-US" w:eastAsia="zh-CN"/>
        </w:rPr>
      </w:pPr>
      <w:r>
        <w:drawing>
          <wp:inline distT="0" distB="0" distL="114300" distR="114300">
            <wp:extent cx="3305175" cy="1493520"/>
            <wp:effectExtent l="4445" t="4445" r="5080" b="698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5"/>
        <w:numPr>
          <w:ilvl w:val="0"/>
          <w:numId w:val="0"/>
        </w:numPr>
        <w:spacing w:line="600" w:lineRule="exact"/>
        <w:ind w:left="640" w:leftChars="0"/>
        <w:outlineLvl w:val="1"/>
        <w:rPr>
          <w:rStyle w:val="27"/>
          <w:rFonts w:ascii="黑体" w:hAnsi="黑体" w:eastAsia="黑体"/>
          <w:b w:val="0"/>
        </w:rPr>
      </w:pPr>
      <w:bookmarkStart w:id="26" w:name="_Toc15396604"/>
      <w:bookmarkStart w:id="27" w:name="_Toc15377206"/>
      <w:r>
        <w:rPr>
          <w:rFonts w:hint="eastAsia" w:ascii="黑体" w:hAnsi="黑体" w:eastAsia="黑体"/>
          <w:color w:val="000000"/>
          <w:sz w:val="32"/>
          <w:szCs w:val="32"/>
          <w:lang w:eastAsia="zh-CN"/>
        </w:rPr>
        <w:t>二、</w:t>
      </w:r>
      <w:r>
        <w:rPr>
          <w:rFonts w:hint="eastAsia" w:ascii="黑体" w:hAnsi="黑体" w:eastAsia="黑体"/>
          <w:color w:val="000000"/>
          <w:sz w:val="32"/>
          <w:szCs w:val="32"/>
        </w:rPr>
        <w:t>收</w:t>
      </w:r>
      <w:r>
        <w:rPr>
          <w:rStyle w:val="27"/>
          <w:rFonts w:hint="eastAsia" w:ascii="黑体" w:hAnsi="黑体" w:eastAsia="黑体"/>
          <w:b w:val="0"/>
        </w:rPr>
        <w:t>入决算情况说明</w:t>
      </w:r>
      <w:bookmarkEnd w:id="26"/>
      <w:bookmarkEnd w:id="27"/>
    </w:p>
    <w:p>
      <w:pPr>
        <w:spacing w:line="60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年本年收入合计</w:t>
      </w:r>
      <w:r>
        <w:rPr>
          <w:rFonts w:hint="eastAsia" w:ascii="仿宋_GB2312" w:hAnsi="仿宋_GB2312" w:eastAsia="仿宋_GB2312" w:cs="仿宋_GB2312"/>
          <w:color w:val="000000"/>
          <w:sz w:val="32"/>
          <w:szCs w:val="32"/>
          <w:lang w:val="en-US" w:eastAsia="zh-CN"/>
        </w:rPr>
        <w:t>873.11</w:t>
      </w:r>
      <w:r>
        <w:rPr>
          <w:rFonts w:hint="eastAsia" w:ascii="仿宋_GB2312" w:hAnsi="仿宋_GB2312" w:eastAsia="仿宋_GB2312" w:cs="仿宋_GB2312"/>
          <w:color w:val="000000"/>
          <w:sz w:val="32"/>
          <w:szCs w:val="32"/>
        </w:rPr>
        <w:t>万元，其中：一般公共预算财政拨款收入</w:t>
      </w:r>
      <w:r>
        <w:rPr>
          <w:rFonts w:hint="eastAsia" w:ascii="仿宋_GB2312" w:hAnsi="仿宋_GB2312" w:eastAsia="仿宋_GB2312" w:cs="仿宋_GB2312"/>
          <w:color w:val="000000"/>
          <w:sz w:val="32"/>
          <w:szCs w:val="32"/>
          <w:lang w:val="en-US" w:eastAsia="zh-CN"/>
        </w:rPr>
        <w:t>869.91</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99.63</w:t>
      </w:r>
      <w:r>
        <w:rPr>
          <w:rFonts w:hint="eastAsia" w:ascii="仿宋_GB2312" w:hAnsi="仿宋_GB2312" w:eastAsia="仿宋_GB2312" w:cs="仿宋_GB2312"/>
          <w:color w:val="000000"/>
          <w:sz w:val="32"/>
          <w:szCs w:val="32"/>
        </w:rPr>
        <w:t>%；其他收入</w:t>
      </w:r>
      <w:r>
        <w:rPr>
          <w:rFonts w:hint="eastAsia" w:ascii="仿宋_GB2312" w:hAnsi="仿宋_GB2312" w:eastAsia="仿宋_GB2312" w:cs="仿宋_GB2312"/>
          <w:color w:val="000000"/>
          <w:sz w:val="32"/>
          <w:szCs w:val="32"/>
          <w:lang w:val="en-US" w:eastAsia="zh-CN"/>
        </w:rPr>
        <w:t>3.20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0.37</w:t>
      </w:r>
      <w:r>
        <w:rPr>
          <w:rFonts w:hint="eastAsia" w:ascii="仿宋_GB2312" w:hAnsi="仿宋_GB2312" w:eastAsia="仿宋_GB2312" w:cs="仿宋_GB2312"/>
          <w:color w:val="000000"/>
          <w:sz w:val="32"/>
          <w:szCs w:val="32"/>
        </w:rPr>
        <w:t>%。</w:t>
      </w:r>
    </w:p>
    <w:p>
      <w:pPr>
        <w:spacing w:line="600" w:lineRule="exact"/>
        <w:ind w:firstLine="640" w:firstLineChars="200"/>
        <w:jc w:val="center"/>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（图2：收入决算结构图）</w:t>
      </w:r>
    </w:p>
    <w:p>
      <w:pPr>
        <w:pStyle w:val="2"/>
        <w:rPr>
          <w:rFonts w:hint="eastAsia"/>
        </w:rPr>
      </w:pPr>
      <w:r>
        <w:drawing>
          <wp:inline distT="0" distB="0" distL="114300" distR="114300">
            <wp:extent cx="3221355" cy="1434465"/>
            <wp:effectExtent l="4445" t="4445" r="12700" b="8890"/>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25"/>
        <w:numPr>
          <w:ilvl w:val="0"/>
          <w:numId w:val="0"/>
        </w:numPr>
        <w:spacing w:line="600" w:lineRule="exact"/>
        <w:ind w:left="640" w:leftChars="0"/>
        <w:outlineLvl w:val="1"/>
        <w:rPr>
          <w:rStyle w:val="27"/>
          <w:rFonts w:ascii="黑体" w:hAnsi="黑体" w:eastAsia="黑体"/>
          <w:b w:val="0"/>
        </w:rPr>
      </w:pPr>
      <w:bookmarkStart w:id="28" w:name="_Toc15377207"/>
      <w:bookmarkStart w:id="29" w:name="_Toc15396605"/>
      <w:r>
        <w:rPr>
          <w:rFonts w:hint="eastAsia" w:ascii="黑体" w:hAnsi="黑体" w:eastAsia="黑体"/>
          <w:color w:val="000000"/>
          <w:sz w:val="32"/>
          <w:szCs w:val="32"/>
          <w:lang w:eastAsia="zh-CN"/>
        </w:rPr>
        <w:t>三、</w:t>
      </w:r>
      <w:r>
        <w:rPr>
          <w:rFonts w:hint="eastAsia" w:ascii="黑体" w:hAnsi="黑体" w:eastAsia="黑体"/>
          <w:color w:val="000000"/>
          <w:sz w:val="32"/>
          <w:szCs w:val="32"/>
        </w:rPr>
        <w:t>支</w:t>
      </w:r>
      <w:r>
        <w:rPr>
          <w:rStyle w:val="27"/>
          <w:rFonts w:hint="eastAsia" w:ascii="黑体" w:hAnsi="黑体" w:eastAsia="黑体"/>
          <w:b w:val="0"/>
        </w:rPr>
        <w:t>出决算情况说明</w:t>
      </w:r>
      <w:bookmarkEnd w:id="28"/>
      <w:bookmarkEnd w:id="29"/>
    </w:p>
    <w:p>
      <w:pPr>
        <w:spacing w:line="600" w:lineRule="exact"/>
        <w:ind w:firstLine="64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年本年支出合计</w:t>
      </w:r>
      <w:r>
        <w:rPr>
          <w:rFonts w:hint="eastAsia" w:ascii="仿宋_GB2312" w:hAnsi="仿宋_GB2312" w:eastAsia="仿宋_GB2312" w:cs="仿宋_GB2312"/>
          <w:color w:val="000000"/>
          <w:sz w:val="32"/>
          <w:szCs w:val="32"/>
          <w:lang w:val="en-US" w:eastAsia="zh-CN"/>
        </w:rPr>
        <w:t>855.610</w:t>
      </w:r>
      <w:r>
        <w:rPr>
          <w:rFonts w:hint="eastAsia" w:ascii="仿宋_GB2312" w:hAnsi="仿宋_GB2312" w:eastAsia="仿宋_GB2312" w:cs="仿宋_GB2312"/>
          <w:color w:val="000000"/>
          <w:sz w:val="32"/>
          <w:szCs w:val="32"/>
        </w:rPr>
        <w:t>万元，其中：基本支出</w:t>
      </w:r>
      <w:r>
        <w:rPr>
          <w:rFonts w:hint="eastAsia" w:ascii="仿宋_GB2312" w:hAnsi="仿宋_GB2312" w:eastAsia="仿宋_GB2312" w:cs="仿宋_GB2312"/>
          <w:color w:val="000000"/>
          <w:sz w:val="32"/>
          <w:szCs w:val="32"/>
          <w:lang w:val="en-US" w:eastAsia="zh-CN"/>
        </w:rPr>
        <w:t>522.08</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60.72%</w:t>
      </w:r>
      <w:r>
        <w:rPr>
          <w:rFonts w:hint="eastAsia" w:ascii="仿宋_GB2312" w:hAnsi="仿宋_GB2312" w:eastAsia="仿宋_GB2312" w:cs="仿宋_GB2312"/>
          <w:color w:val="000000"/>
          <w:sz w:val="32"/>
          <w:szCs w:val="32"/>
        </w:rPr>
        <w:t>；项目支出</w:t>
      </w:r>
      <w:r>
        <w:rPr>
          <w:rFonts w:hint="eastAsia" w:ascii="仿宋_GB2312" w:hAnsi="仿宋_GB2312" w:eastAsia="仿宋_GB2312" w:cs="仿宋_GB2312"/>
          <w:color w:val="000000"/>
          <w:sz w:val="32"/>
          <w:szCs w:val="32"/>
          <w:lang w:val="en-US" w:eastAsia="zh-CN"/>
        </w:rPr>
        <w:t>333.52</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39.28</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w:t>
      </w:r>
    </w:p>
    <w:p>
      <w:pPr>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（图3：支出决算结构图）</w:t>
      </w:r>
    </w:p>
    <w:p>
      <w:pPr>
        <w:pStyle w:val="2"/>
        <w:rPr>
          <w:rFonts w:hint="eastAsia"/>
          <w:lang w:eastAsia="zh-CN"/>
        </w:rPr>
      </w:pPr>
      <w:r>
        <w:drawing>
          <wp:inline distT="0" distB="0" distL="114300" distR="114300">
            <wp:extent cx="4572000" cy="2743200"/>
            <wp:effectExtent l="4445" t="4445" r="14605" b="14605"/>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outlineLvl w:val="1"/>
        <w:rPr>
          <w:rStyle w:val="27"/>
          <w:rFonts w:ascii="黑体" w:hAnsi="黑体" w:eastAsia="黑体"/>
          <w:b w:val="0"/>
        </w:rPr>
      </w:pPr>
      <w:bookmarkStart w:id="30" w:name="_Toc15377208"/>
      <w:bookmarkStart w:id="31" w:name="_Toc15396606"/>
      <w:r>
        <w:rPr>
          <w:rFonts w:hint="eastAsia" w:ascii="黑体" w:hAnsi="黑体" w:eastAsia="黑体"/>
          <w:color w:val="000000"/>
          <w:sz w:val="32"/>
          <w:szCs w:val="32"/>
        </w:rPr>
        <w:t>四、财</w:t>
      </w:r>
      <w:r>
        <w:rPr>
          <w:rStyle w:val="27"/>
          <w:rFonts w:hint="eastAsia" w:ascii="黑体" w:hAnsi="黑体" w:eastAsia="黑体"/>
          <w:b w:val="0"/>
        </w:rPr>
        <w:t>政拨款收入支出决算总体情况说明</w:t>
      </w:r>
      <w:bookmarkEnd w:id="30"/>
      <w:bookmarkEnd w:id="31"/>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年度</w:t>
      </w:r>
      <w:r>
        <w:rPr>
          <w:rFonts w:hint="eastAsia" w:ascii="仿宋_GB2312" w:hAnsi="仿宋_GB2312" w:eastAsia="仿宋_GB2312" w:cs="仿宋_GB2312"/>
          <w:color w:val="000000"/>
          <w:sz w:val="32"/>
          <w:szCs w:val="32"/>
          <w:lang w:eastAsia="zh-CN"/>
        </w:rPr>
        <w:t>财政拨款</w:t>
      </w:r>
      <w:r>
        <w:rPr>
          <w:rFonts w:hint="eastAsia" w:ascii="仿宋_GB2312" w:hAnsi="仿宋_GB2312" w:eastAsia="仿宋_GB2312" w:cs="仿宋_GB2312"/>
          <w:color w:val="000000"/>
          <w:sz w:val="32"/>
          <w:szCs w:val="32"/>
        </w:rPr>
        <w:t>收</w:t>
      </w:r>
      <w:r>
        <w:rPr>
          <w:rFonts w:hint="eastAsia" w:ascii="仿宋_GB2312" w:hAnsi="仿宋_GB2312" w:eastAsia="仿宋_GB2312" w:cs="仿宋_GB2312"/>
          <w:color w:val="000000"/>
          <w:sz w:val="32"/>
          <w:szCs w:val="32"/>
          <w:lang w:eastAsia="zh-CN"/>
        </w:rPr>
        <w:t>入</w:t>
      </w:r>
      <w:r>
        <w:rPr>
          <w:rFonts w:hint="eastAsia" w:ascii="仿宋_GB2312" w:hAnsi="仿宋_GB2312" w:eastAsia="仿宋_GB2312" w:cs="仿宋_GB2312"/>
          <w:color w:val="000000"/>
          <w:sz w:val="32"/>
          <w:szCs w:val="32"/>
        </w:rPr>
        <w:t>支</w:t>
      </w:r>
      <w:r>
        <w:rPr>
          <w:rFonts w:hint="eastAsia" w:ascii="仿宋_GB2312" w:hAnsi="仿宋_GB2312" w:eastAsia="仿宋_GB2312" w:cs="仿宋_GB2312"/>
          <w:color w:val="000000"/>
          <w:sz w:val="32"/>
          <w:szCs w:val="32"/>
          <w:lang w:eastAsia="zh-CN"/>
        </w:rPr>
        <w:t>出决算</w:t>
      </w:r>
      <w:r>
        <w:rPr>
          <w:rFonts w:hint="eastAsia" w:ascii="仿宋_GB2312" w:hAnsi="仿宋_GB2312" w:eastAsia="仿宋_GB2312" w:cs="仿宋_GB2312"/>
          <w:color w:val="000000"/>
          <w:sz w:val="32"/>
          <w:szCs w:val="32"/>
        </w:rPr>
        <w:t>总计</w:t>
      </w:r>
      <w:r>
        <w:rPr>
          <w:rFonts w:hint="eastAsia" w:ascii="仿宋_GB2312" w:hAnsi="仿宋_GB2312" w:eastAsia="仿宋_GB2312" w:cs="仿宋_GB2312"/>
          <w:color w:val="000000"/>
          <w:sz w:val="32"/>
          <w:szCs w:val="32"/>
          <w:lang w:val="en-US" w:eastAsia="zh-CN"/>
        </w:rPr>
        <w:t>1100.74</w:t>
      </w:r>
      <w:r>
        <w:rPr>
          <w:rFonts w:hint="eastAsia" w:ascii="仿宋_GB2312" w:hAnsi="仿宋_GB2312" w:eastAsia="仿宋_GB2312" w:cs="仿宋_GB2312"/>
          <w:color w:val="000000"/>
          <w:sz w:val="32"/>
          <w:szCs w:val="32"/>
        </w:rPr>
        <w:t>万元。与</w:t>
      </w:r>
      <w:r>
        <w:rPr>
          <w:rFonts w:hint="eastAsia" w:ascii="仿宋_GB2312" w:hAnsi="仿宋_GB2312" w:eastAsia="仿宋_GB2312" w:cs="仿宋_GB2312"/>
          <w:color w:val="000000"/>
          <w:sz w:val="32"/>
          <w:szCs w:val="32"/>
          <w:lang w:val="en-US" w:eastAsia="zh-CN"/>
        </w:rPr>
        <w:t>2019</w:t>
      </w:r>
      <w:r>
        <w:rPr>
          <w:rFonts w:hint="eastAsia" w:ascii="仿宋_GB2312" w:hAnsi="仿宋_GB2312" w:eastAsia="仿宋_GB2312" w:cs="仿宋_GB2312"/>
          <w:color w:val="000000"/>
          <w:sz w:val="32"/>
          <w:szCs w:val="32"/>
        </w:rPr>
        <w:t>年相比，收、支总计各</w:t>
      </w:r>
      <w:r>
        <w:rPr>
          <w:rFonts w:hint="eastAsia" w:ascii="仿宋_GB2312" w:hAnsi="仿宋_GB2312" w:eastAsia="仿宋_GB2312" w:cs="仿宋_GB2312"/>
          <w:color w:val="000000"/>
          <w:sz w:val="32"/>
          <w:szCs w:val="32"/>
          <w:lang w:val="en-US" w:eastAsia="zh-CN"/>
        </w:rPr>
        <w:t>增加16.18</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上浮</w:t>
      </w:r>
      <w:r>
        <w:rPr>
          <w:rFonts w:hint="eastAsia" w:ascii="仿宋_GB2312" w:hAnsi="仿宋_GB2312" w:eastAsia="仿宋_GB2312" w:cs="仿宋_GB2312"/>
          <w:color w:val="000000"/>
          <w:sz w:val="32"/>
          <w:szCs w:val="32"/>
          <w:lang w:val="en-US" w:eastAsia="zh-CN"/>
        </w:rPr>
        <w:t>1.46</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val="en-US" w:eastAsia="zh-CN"/>
        </w:rPr>
        <w:t>2019年项目未完成，结转下年。</w:t>
      </w:r>
      <w:bookmarkStart w:id="32" w:name="_Toc15396607"/>
      <w:bookmarkStart w:id="33" w:name="_Toc15377209"/>
    </w:p>
    <w:p>
      <w:pPr>
        <w:spacing w:line="6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（图4：财政拨款收、支决算总计变动情况）</w:t>
      </w:r>
    </w:p>
    <w:p>
      <w:pPr>
        <w:pStyle w:val="2"/>
        <w:rPr>
          <w:rFonts w:hint="eastAsia"/>
        </w:rPr>
      </w:pPr>
      <w:r>
        <w:drawing>
          <wp:inline distT="0" distB="0" distL="114300" distR="114300">
            <wp:extent cx="4208145" cy="1644015"/>
            <wp:effectExtent l="5080" t="4445" r="15875" b="8890"/>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firstLineChars="200"/>
        <w:rPr>
          <w:rStyle w:val="27"/>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27"/>
          <w:rFonts w:hint="eastAsia" w:ascii="黑体" w:hAnsi="黑体" w:eastAsia="黑体"/>
          <w:b w:val="0"/>
        </w:rPr>
        <w:t>般公共预算财政拨款支出决算情况说明</w:t>
      </w:r>
      <w:bookmarkEnd w:id="32"/>
      <w:bookmarkEnd w:id="33"/>
    </w:p>
    <w:p>
      <w:pPr>
        <w:pStyle w:val="6"/>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bookmarkStart w:id="34" w:name="_Toc15377210"/>
      <w:r>
        <w:rPr>
          <w:rFonts w:hint="eastAsia" w:ascii="楷体_GB2312" w:hAnsi="楷体_GB2312" w:eastAsia="楷体_GB2312" w:cs="楷体_GB2312"/>
          <w:bCs/>
          <w:color w:val="000000"/>
          <w:sz w:val="32"/>
          <w:szCs w:val="32"/>
        </w:rPr>
        <w:t>（一）一般公共预算财政拨款支出决算总体情况</w:t>
      </w:r>
      <w:bookmarkEnd w:id="34"/>
    </w:p>
    <w:p>
      <w:pPr>
        <w:spacing w:line="60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年一般公共预算财政拨款支出</w:t>
      </w:r>
      <w:r>
        <w:rPr>
          <w:rFonts w:hint="eastAsia" w:ascii="仿宋_GB2312" w:hAnsi="仿宋_GB2312" w:eastAsia="仿宋_GB2312" w:cs="仿宋_GB2312"/>
          <w:color w:val="000000"/>
          <w:sz w:val="32"/>
          <w:szCs w:val="32"/>
          <w:lang w:val="en-US" w:eastAsia="zh-CN"/>
        </w:rPr>
        <w:t>852.69</w:t>
      </w:r>
      <w:r>
        <w:rPr>
          <w:rFonts w:hint="eastAsia" w:ascii="仿宋_GB2312" w:hAnsi="仿宋_GB2312" w:eastAsia="仿宋_GB2312" w:cs="仿宋_GB2312"/>
          <w:color w:val="000000"/>
          <w:sz w:val="32"/>
          <w:szCs w:val="32"/>
        </w:rPr>
        <w:t>万元，占本年支出合计的</w:t>
      </w:r>
      <w:r>
        <w:rPr>
          <w:rFonts w:hint="eastAsia" w:ascii="仿宋_GB2312" w:hAnsi="仿宋_GB2312" w:eastAsia="仿宋_GB2312" w:cs="仿宋_GB2312"/>
          <w:color w:val="000000"/>
          <w:sz w:val="32"/>
          <w:szCs w:val="32"/>
          <w:lang w:val="en-US" w:eastAsia="zh-CN"/>
        </w:rPr>
        <w:t>99.65</w:t>
      </w:r>
      <w:r>
        <w:rPr>
          <w:rFonts w:hint="eastAsia" w:ascii="仿宋_GB2312" w:hAnsi="仿宋_GB2312" w:eastAsia="仿宋_GB2312" w:cs="仿宋_GB2312"/>
          <w:color w:val="000000"/>
          <w:sz w:val="32"/>
          <w:szCs w:val="32"/>
        </w:rPr>
        <w:t>%。与201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年相比，一般公共预算财政拨款减少</w:t>
      </w:r>
      <w:r>
        <w:rPr>
          <w:rFonts w:hint="eastAsia" w:ascii="仿宋_GB2312" w:hAnsi="仿宋_GB2312" w:eastAsia="仿宋_GB2312" w:cs="仿宋_GB2312"/>
          <w:color w:val="000000"/>
          <w:sz w:val="32"/>
          <w:szCs w:val="32"/>
          <w:lang w:val="en-US" w:eastAsia="zh-CN"/>
        </w:rPr>
        <w:t>231.87</w:t>
      </w:r>
      <w:r>
        <w:rPr>
          <w:rFonts w:hint="eastAsia" w:ascii="仿宋_GB2312" w:hAnsi="仿宋_GB2312" w:eastAsia="仿宋_GB2312" w:cs="仿宋_GB2312"/>
          <w:color w:val="000000"/>
          <w:sz w:val="32"/>
          <w:szCs w:val="32"/>
        </w:rPr>
        <w:t>万元，下降</w:t>
      </w:r>
      <w:r>
        <w:rPr>
          <w:rFonts w:hint="eastAsia" w:ascii="仿宋_GB2312" w:hAnsi="仿宋_GB2312" w:eastAsia="仿宋_GB2312" w:cs="仿宋_GB2312"/>
          <w:color w:val="000000"/>
          <w:sz w:val="32"/>
          <w:szCs w:val="32"/>
          <w:lang w:val="en-US" w:eastAsia="zh-CN"/>
        </w:rPr>
        <w:t>21.36</w:t>
      </w:r>
      <w:r>
        <w:rPr>
          <w:rFonts w:hint="eastAsia" w:ascii="仿宋_GB2312" w:hAnsi="仿宋_GB2312" w:eastAsia="仿宋_GB2312" w:cs="仿宋_GB2312"/>
          <w:color w:val="000000"/>
          <w:sz w:val="32"/>
          <w:szCs w:val="32"/>
        </w:rPr>
        <w:t>%。主要变动原因是</w:t>
      </w:r>
      <w:r>
        <w:rPr>
          <w:rFonts w:hint="eastAsia" w:ascii="仿宋_GB2312" w:hAnsi="仿宋_GB2312" w:eastAsia="仿宋_GB2312" w:cs="仿宋_GB2312"/>
          <w:color w:val="000000"/>
          <w:sz w:val="32"/>
          <w:szCs w:val="32"/>
          <w:lang w:val="en-US" w:eastAsia="zh-CN"/>
        </w:rPr>
        <w:t>2020年严格执行各项规定，相继压缩“三公”经费、会议费和培训费等公用经费；省级能力提升项目应急救援装备购置未完成。</w:t>
      </w:r>
    </w:p>
    <w:p>
      <w:pPr>
        <w:spacing w:line="600" w:lineRule="exact"/>
        <w:jc w:val="center"/>
        <w:rPr>
          <w:rFonts w:hint="eastAsia"/>
          <w:lang w:val="en-US" w:eastAsia="zh-CN"/>
        </w:rPr>
      </w:pPr>
      <w:r>
        <w:rPr>
          <w:rFonts w:hint="eastAsia" w:ascii="仿宋_GB2312" w:hAnsi="仿宋_GB2312" w:eastAsia="仿宋_GB2312" w:cs="仿宋_GB2312"/>
          <w:color w:val="000000"/>
          <w:sz w:val="32"/>
          <w:szCs w:val="32"/>
        </w:rPr>
        <w:t>（图5：一般公共预算财政拨款支出决算变动情况）</w:t>
      </w:r>
    </w:p>
    <w:p>
      <w:pPr>
        <w:pStyle w:val="2"/>
        <w:rPr>
          <w:rFonts w:hint="eastAsia"/>
        </w:rPr>
      </w:pPr>
      <w:r>
        <w:drawing>
          <wp:inline distT="0" distB="0" distL="114300" distR="114300">
            <wp:extent cx="3987800" cy="1546225"/>
            <wp:effectExtent l="4445" t="4445" r="8255" b="1143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6"/>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bookmarkStart w:id="35" w:name="_Toc15377211"/>
      <w:r>
        <w:rPr>
          <w:rFonts w:hint="eastAsia" w:ascii="楷体_GB2312" w:hAnsi="楷体_GB2312" w:eastAsia="楷体_GB2312" w:cs="楷体_GB2312"/>
          <w:bCs/>
          <w:color w:val="000000"/>
          <w:sz w:val="32"/>
          <w:szCs w:val="32"/>
        </w:rPr>
        <w:t>（二）一般公共预算财政拨款支出决算结构情况</w:t>
      </w:r>
      <w:bookmarkEnd w:id="35"/>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年一般公共预算财政拨款支出</w:t>
      </w:r>
      <w:r>
        <w:rPr>
          <w:rFonts w:hint="eastAsia" w:ascii="仿宋_GB2312" w:hAnsi="仿宋_GB2312" w:eastAsia="仿宋_GB2312" w:cs="仿宋_GB2312"/>
          <w:color w:val="000000"/>
          <w:sz w:val="32"/>
          <w:szCs w:val="32"/>
          <w:lang w:val="en-US" w:eastAsia="zh-CN"/>
        </w:rPr>
        <w:t>852.69</w:t>
      </w:r>
      <w:r>
        <w:rPr>
          <w:rFonts w:hint="eastAsia" w:ascii="仿宋_GB2312" w:hAnsi="仿宋_GB2312" w:eastAsia="仿宋_GB2312" w:cs="仿宋_GB2312"/>
          <w:color w:val="000000"/>
          <w:sz w:val="32"/>
          <w:szCs w:val="32"/>
        </w:rPr>
        <w:t>万元，主要用于以下方面:</w:t>
      </w:r>
      <w:r>
        <w:rPr>
          <w:rFonts w:hint="eastAsia" w:ascii="仿宋_GB2312" w:hAnsi="仿宋_GB2312" w:eastAsia="仿宋_GB2312" w:cs="仿宋_GB2312"/>
          <w:color w:val="000000"/>
          <w:sz w:val="32"/>
          <w:szCs w:val="32"/>
          <w:lang w:eastAsia="zh-CN"/>
        </w:rPr>
        <w:t>灾害防治及应急管理</w:t>
      </w:r>
      <w:r>
        <w:rPr>
          <w:rFonts w:hint="eastAsia" w:ascii="仿宋_GB2312" w:hAnsi="仿宋_GB2312" w:eastAsia="仿宋_GB2312" w:cs="仿宋_GB2312"/>
          <w:color w:val="000000"/>
          <w:sz w:val="32"/>
          <w:szCs w:val="32"/>
        </w:rPr>
        <w:t>（类）支出</w:t>
      </w:r>
      <w:r>
        <w:rPr>
          <w:rFonts w:hint="eastAsia" w:ascii="仿宋_GB2312" w:hAnsi="仿宋_GB2312" w:eastAsia="仿宋_GB2312" w:cs="仿宋_GB2312"/>
          <w:color w:val="000000"/>
          <w:sz w:val="32"/>
          <w:szCs w:val="32"/>
          <w:lang w:val="en-US" w:eastAsia="zh-CN"/>
        </w:rPr>
        <w:t>740.00</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86.78</w:t>
      </w:r>
      <w:r>
        <w:rPr>
          <w:rFonts w:hint="eastAsia" w:ascii="仿宋_GB2312" w:hAnsi="仿宋_GB2312" w:eastAsia="仿宋_GB2312" w:cs="仿宋_GB2312"/>
          <w:color w:val="000000"/>
          <w:sz w:val="32"/>
          <w:szCs w:val="32"/>
        </w:rPr>
        <w:t>%；社会保障和就业（类）支出</w:t>
      </w:r>
      <w:r>
        <w:rPr>
          <w:rFonts w:hint="eastAsia" w:ascii="仿宋_GB2312" w:hAnsi="仿宋_GB2312" w:eastAsia="仿宋_GB2312" w:cs="仿宋_GB2312"/>
          <w:color w:val="000000"/>
          <w:sz w:val="32"/>
          <w:szCs w:val="32"/>
          <w:lang w:val="en-US" w:eastAsia="zh-CN"/>
        </w:rPr>
        <w:t>33.66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3.94</w:t>
      </w:r>
      <w:r>
        <w:rPr>
          <w:rFonts w:hint="eastAsia" w:ascii="仿宋_GB2312" w:hAnsi="仿宋_GB2312" w:eastAsia="仿宋_GB2312" w:cs="仿宋_GB2312"/>
          <w:color w:val="000000"/>
          <w:sz w:val="32"/>
          <w:szCs w:val="32"/>
        </w:rPr>
        <w:t>%；卫生健康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25.37</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2.98</w:t>
      </w:r>
      <w:r>
        <w:rPr>
          <w:rFonts w:hint="eastAsia" w:ascii="仿宋_GB2312" w:hAnsi="仿宋_GB2312" w:eastAsia="仿宋_GB2312" w:cs="仿宋_GB2312"/>
          <w:color w:val="000000"/>
          <w:sz w:val="32"/>
          <w:szCs w:val="32"/>
        </w:rPr>
        <w:t>%；住房保障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支出</w:t>
      </w:r>
      <w:r>
        <w:rPr>
          <w:rFonts w:hint="eastAsia" w:ascii="仿宋_GB2312" w:hAnsi="仿宋_GB2312" w:eastAsia="仿宋_GB2312" w:cs="仿宋_GB2312"/>
          <w:color w:val="000000"/>
          <w:sz w:val="32"/>
          <w:szCs w:val="32"/>
          <w:lang w:val="en-US" w:eastAsia="zh-CN"/>
        </w:rPr>
        <w:t>53.66</w:t>
      </w:r>
      <w:r>
        <w:rPr>
          <w:rFonts w:hint="eastAsia" w:ascii="仿宋_GB2312" w:hAnsi="仿宋_GB2312" w:eastAsia="仿宋_GB2312" w:cs="仿宋_GB2312"/>
          <w:color w:val="000000"/>
          <w:sz w:val="32"/>
          <w:szCs w:val="32"/>
        </w:rPr>
        <w:t>万元，占</w:t>
      </w:r>
      <w:r>
        <w:rPr>
          <w:rFonts w:hint="eastAsia" w:ascii="仿宋_GB2312" w:hAnsi="仿宋_GB2312" w:eastAsia="仿宋_GB2312" w:cs="仿宋_GB2312"/>
          <w:color w:val="000000"/>
          <w:sz w:val="32"/>
          <w:szCs w:val="32"/>
          <w:lang w:val="en-US" w:eastAsia="zh-CN"/>
        </w:rPr>
        <w:t>6.30</w:t>
      </w:r>
      <w:r>
        <w:rPr>
          <w:rFonts w:hint="eastAsia" w:ascii="仿宋_GB2312" w:hAnsi="仿宋_GB2312" w:eastAsia="仿宋_GB2312" w:cs="仿宋_GB2312"/>
          <w:color w:val="000000"/>
          <w:sz w:val="32"/>
          <w:szCs w:val="32"/>
        </w:rPr>
        <w:t>%。</w:t>
      </w:r>
    </w:p>
    <w:p>
      <w:pPr>
        <w:pStyle w:val="2"/>
        <w:rPr>
          <w:rFonts w:hint="eastAsia"/>
        </w:rPr>
      </w:pPr>
      <w:r>
        <w:rPr>
          <w:rFonts w:hint="eastAsia" w:ascii="仿宋_GB2312" w:hAnsi="仿宋_GB2312" w:eastAsia="仿宋_GB2312" w:cs="仿宋_GB2312"/>
          <w:color w:val="000000"/>
          <w:sz w:val="32"/>
          <w:szCs w:val="32"/>
        </w:rPr>
        <w:t>（图6：一般公共预算财政拨款支出决算结构）（饼状图）</w:t>
      </w:r>
    </w:p>
    <w:p>
      <w:pPr>
        <w:pStyle w:val="2"/>
        <w:rPr>
          <w:rFonts w:hint="eastAsia"/>
        </w:rPr>
      </w:pPr>
      <w:r>
        <w:drawing>
          <wp:inline distT="0" distB="0" distL="114300" distR="114300">
            <wp:extent cx="3859530" cy="1878330"/>
            <wp:effectExtent l="4445" t="4445" r="22225" b="22225"/>
            <wp:docPr id="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6"/>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bookmarkStart w:id="36" w:name="_Toc15377212"/>
      <w:r>
        <w:rPr>
          <w:rFonts w:hint="eastAsia" w:ascii="楷体_GB2312" w:hAnsi="楷体_GB2312" w:eastAsia="楷体_GB2312" w:cs="楷体_GB2312"/>
          <w:bCs/>
          <w:color w:val="000000"/>
          <w:sz w:val="32"/>
          <w:szCs w:val="32"/>
        </w:rPr>
        <w:t>（三）一般公共预算财政拨款支出决算具体情况</w:t>
      </w:r>
      <w:bookmarkEnd w:id="36"/>
    </w:p>
    <w:p>
      <w:pPr>
        <w:spacing w:line="600" w:lineRule="exact"/>
        <w:ind w:firstLine="640" w:firstLineChars="200"/>
        <w:rPr>
          <w:rFonts w:hint="eastAsia" w:ascii="仿宋_GB2312" w:hAnsi="仿宋_GB2312" w:eastAsia="仿宋_GB2312" w:cs="仿宋_GB2312"/>
          <w:color w:val="000000"/>
          <w:sz w:val="32"/>
          <w:szCs w:val="32"/>
        </w:rPr>
      </w:pPr>
      <w:bookmarkStart w:id="37" w:name="_Toc15378460"/>
      <w:bookmarkStart w:id="38" w:name="_Toc15377213"/>
      <w:bookmarkStart w:id="39" w:name="_Toc15377444"/>
      <w:r>
        <w:rPr>
          <w:rFonts w:hint="eastAsia" w:ascii="仿宋_GB2312" w:hAnsi="仿宋_GB2312" w:eastAsia="仿宋_GB2312" w:cs="仿宋_GB2312"/>
          <w:color w:val="000000"/>
          <w:sz w:val="32"/>
          <w:szCs w:val="32"/>
          <w:lang w:val="en-US" w:eastAsia="zh-CN"/>
        </w:rPr>
        <w:t>2020</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般公共预算支出决算数为</w:t>
      </w:r>
      <w:r>
        <w:rPr>
          <w:rFonts w:hint="eastAsia" w:ascii="仿宋_GB2312" w:hAnsi="仿宋_GB2312" w:eastAsia="仿宋_GB2312" w:cs="仿宋_GB2312"/>
          <w:color w:val="000000"/>
          <w:sz w:val="32"/>
          <w:szCs w:val="32"/>
          <w:lang w:val="en-US" w:eastAsia="zh-CN"/>
        </w:rPr>
        <w:t>852.70万元</w:t>
      </w:r>
      <w:r>
        <w:rPr>
          <w:rFonts w:hint="eastAsia" w:ascii="仿宋_GB2312" w:hAnsi="仿宋_GB2312" w:eastAsia="仿宋_GB2312" w:cs="仿宋_GB2312"/>
          <w:color w:val="000000"/>
          <w:sz w:val="32"/>
          <w:szCs w:val="32"/>
        </w:rPr>
        <w:t>，完成预算</w:t>
      </w:r>
      <w:r>
        <w:rPr>
          <w:rFonts w:hint="eastAsia" w:ascii="仿宋_GB2312" w:hAnsi="仿宋_GB2312" w:eastAsia="仿宋_GB2312" w:cs="仿宋_GB2312"/>
          <w:color w:val="000000"/>
          <w:sz w:val="32"/>
          <w:szCs w:val="32"/>
          <w:lang w:val="en-US" w:eastAsia="zh-CN"/>
        </w:rPr>
        <w:t>98.05</w:t>
      </w:r>
      <w:r>
        <w:rPr>
          <w:rFonts w:hint="eastAsia" w:ascii="仿宋_GB2312" w:hAnsi="仿宋_GB2312" w:eastAsia="仿宋_GB2312" w:cs="仿宋_GB2312"/>
          <w:color w:val="000000"/>
          <w:sz w:val="32"/>
          <w:szCs w:val="32"/>
        </w:rPr>
        <w:t>%。其中：</w:t>
      </w:r>
      <w:bookmarkEnd w:id="37"/>
      <w:bookmarkEnd w:id="38"/>
      <w:bookmarkEnd w:id="39"/>
    </w:p>
    <w:p>
      <w:pPr>
        <w:spacing w:line="600" w:lineRule="exact"/>
        <w:ind w:firstLine="642" w:firstLineChars="200"/>
        <w:rPr>
          <w:rFonts w:hint="eastAsia" w:ascii="仿宋_GB2312" w:hAnsi="仿宋_GB2312" w:eastAsia="仿宋_GB2312" w:cs="仿宋_GB2312"/>
          <w:b/>
          <w:color w:val="000000"/>
          <w:sz w:val="32"/>
          <w:szCs w:val="32"/>
        </w:rPr>
      </w:pPr>
      <w:r>
        <w:rPr>
          <w:rStyle w:val="16"/>
          <w:rFonts w:hint="eastAsia" w:ascii="仿宋_GB2312" w:hAnsi="仿宋_GB2312" w:eastAsia="仿宋_GB2312" w:cs="仿宋_GB2312"/>
          <w:bCs/>
          <w:color w:val="000000"/>
          <w:sz w:val="32"/>
          <w:szCs w:val="32"/>
        </w:rPr>
        <w:t>1.</w:t>
      </w:r>
      <w:r>
        <w:rPr>
          <w:rStyle w:val="16"/>
          <w:rFonts w:hint="eastAsia" w:ascii="仿宋_GB2312" w:hAnsi="仿宋_GB2312" w:eastAsia="仿宋_GB2312" w:cs="仿宋_GB2312"/>
          <w:bCs/>
          <w:color w:val="000000"/>
          <w:sz w:val="32"/>
          <w:szCs w:val="32"/>
          <w:lang w:val="en-US" w:eastAsia="zh-CN"/>
        </w:rPr>
        <w:t>灾害防治及应急管理支出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eastAsia="zh-CN"/>
        </w:rPr>
        <w:t>应急管理事务</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应急救援</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740.00</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spacing w:line="600" w:lineRule="exact"/>
        <w:ind w:firstLine="642" w:firstLineChars="200"/>
        <w:rPr>
          <w:rFonts w:hint="eastAsia" w:ascii="仿宋_GB2312" w:hAnsi="仿宋_GB2312" w:eastAsia="仿宋_GB2312" w:cs="仿宋_GB2312"/>
          <w:b/>
          <w:color w:val="000000"/>
          <w:sz w:val="32"/>
          <w:szCs w:val="32"/>
        </w:rPr>
      </w:pPr>
      <w:r>
        <w:rPr>
          <w:rStyle w:val="16"/>
          <w:rFonts w:hint="eastAsia" w:ascii="仿宋_GB2312" w:hAnsi="仿宋_GB2312" w:eastAsia="仿宋_GB2312" w:cs="仿宋_GB2312"/>
          <w:bCs/>
          <w:color w:val="000000"/>
          <w:sz w:val="32"/>
          <w:szCs w:val="32"/>
        </w:rPr>
        <w:t>2.</w:t>
      </w:r>
      <w:r>
        <w:rPr>
          <w:rStyle w:val="16"/>
          <w:rFonts w:hint="eastAsia" w:ascii="仿宋_GB2312" w:hAnsi="仿宋_GB2312" w:eastAsia="仿宋_GB2312" w:cs="仿宋_GB2312"/>
          <w:bCs/>
          <w:color w:val="000000"/>
          <w:sz w:val="32"/>
          <w:szCs w:val="32"/>
          <w:lang w:eastAsia="zh-CN"/>
        </w:rPr>
        <w:t>社会保障和就业支出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行政事业单位养老</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机关事业单位养老保险</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33.66</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97.74</w:t>
      </w:r>
      <w:r>
        <w:rPr>
          <w:rStyle w:val="16"/>
          <w:rFonts w:hint="eastAsia" w:ascii="仿宋_GB2312" w:hAnsi="仿宋_GB2312" w:eastAsia="仿宋_GB2312" w:cs="仿宋_GB2312"/>
          <w:b w:val="0"/>
          <w:bCs/>
          <w:color w:val="000000"/>
          <w:sz w:val="32"/>
          <w:szCs w:val="32"/>
        </w:rPr>
        <w:t>%，决算数</w:t>
      </w:r>
      <w:r>
        <w:rPr>
          <w:rStyle w:val="16"/>
          <w:rFonts w:hint="eastAsia" w:ascii="仿宋_GB2312" w:hAnsi="仿宋_GB2312" w:eastAsia="仿宋_GB2312" w:cs="仿宋_GB2312"/>
          <w:b w:val="0"/>
          <w:bCs/>
          <w:color w:val="000000"/>
          <w:sz w:val="32"/>
          <w:szCs w:val="32"/>
          <w:lang w:eastAsia="zh-CN"/>
        </w:rPr>
        <w:t>小于预算数的原因是人员变动</w:t>
      </w:r>
      <w:r>
        <w:rPr>
          <w:rStyle w:val="16"/>
          <w:rFonts w:hint="eastAsia" w:ascii="仿宋_GB2312" w:hAnsi="仿宋_GB2312" w:eastAsia="仿宋_GB2312" w:cs="仿宋_GB2312"/>
          <w:b w:val="0"/>
          <w:bCs/>
          <w:color w:val="000000"/>
          <w:sz w:val="32"/>
          <w:szCs w:val="32"/>
        </w:rPr>
        <w:t>。</w:t>
      </w:r>
    </w:p>
    <w:p>
      <w:pPr>
        <w:numPr>
          <w:ilvl w:val="0"/>
          <w:numId w:val="0"/>
        </w:numPr>
        <w:spacing w:line="600" w:lineRule="exact"/>
        <w:ind w:firstLine="642" w:firstLineChars="200"/>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Cs/>
          <w:color w:val="000000"/>
          <w:sz w:val="32"/>
          <w:szCs w:val="32"/>
        </w:rPr>
        <w:t>3.卫生健康</w:t>
      </w:r>
      <w:r>
        <w:rPr>
          <w:rStyle w:val="16"/>
          <w:rFonts w:hint="eastAsia" w:ascii="仿宋_GB2312" w:hAnsi="仿宋_GB2312" w:eastAsia="仿宋_GB2312" w:cs="仿宋_GB2312"/>
          <w:bCs/>
          <w:color w:val="000000"/>
          <w:sz w:val="32"/>
          <w:szCs w:val="32"/>
          <w:lang w:eastAsia="zh-CN"/>
        </w:rPr>
        <w:t>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行政事业单位医疗</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事业单位医疗</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25.37</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numPr>
          <w:ilvl w:val="0"/>
          <w:numId w:val="0"/>
        </w:numPr>
        <w:spacing w:line="600" w:lineRule="exact"/>
        <w:ind w:firstLine="642" w:firstLineChars="200"/>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Cs/>
          <w:color w:val="000000"/>
          <w:sz w:val="32"/>
          <w:szCs w:val="32"/>
          <w:lang w:val="en-US" w:eastAsia="zh-CN"/>
        </w:rPr>
        <w:t>4.住房保障支出</w:t>
      </w:r>
      <w:r>
        <w:rPr>
          <w:rStyle w:val="16"/>
          <w:rFonts w:hint="eastAsia" w:ascii="仿宋_GB2312" w:hAnsi="仿宋_GB2312" w:eastAsia="仿宋_GB2312" w:cs="仿宋_GB2312"/>
          <w:bCs/>
          <w:color w:val="000000"/>
          <w:sz w:val="32"/>
          <w:szCs w:val="32"/>
        </w:rPr>
        <w:t>（类）</w:t>
      </w:r>
      <w:r>
        <w:rPr>
          <w:rStyle w:val="16"/>
          <w:rFonts w:hint="eastAsia" w:ascii="仿宋_GB2312" w:hAnsi="仿宋_GB2312" w:eastAsia="仿宋_GB2312" w:cs="仿宋_GB2312"/>
          <w:bCs/>
          <w:color w:val="000000"/>
          <w:sz w:val="32"/>
          <w:szCs w:val="32"/>
          <w:lang w:val="en-US" w:eastAsia="zh-CN"/>
        </w:rPr>
        <w:t>住房改革支出</w:t>
      </w:r>
      <w:r>
        <w:rPr>
          <w:rStyle w:val="16"/>
          <w:rFonts w:hint="eastAsia" w:ascii="仿宋_GB2312" w:hAnsi="仿宋_GB2312" w:eastAsia="仿宋_GB2312" w:cs="仿宋_GB2312"/>
          <w:bCs/>
          <w:color w:val="000000"/>
          <w:sz w:val="32"/>
          <w:szCs w:val="32"/>
        </w:rPr>
        <w:t>（款）</w:t>
      </w:r>
      <w:r>
        <w:rPr>
          <w:rStyle w:val="16"/>
          <w:rFonts w:hint="eastAsia" w:ascii="仿宋_GB2312" w:hAnsi="仿宋_GB2312" w:eastAsia="仿宋_GB2312" w:cs="仿宋_GB2312"/>
          <w:bCs/>
          <w:color w:val="000000"/>
          <w:sz w:val="32"/>
          <w:szCs w:val="32"/>
          <w:lang w:val="en-US" w:eastAsia="zh-CN"/>
        </w:rPr>
        <w:t>住房公积金</w:t>
      </w:r>
      <w:r>
        <w:rPr>
          <w:rStyle w:val="16"/>
          <w:rFonts w:hint="eastAsia" w:ascii="仿宋_GB2312" w:hAnsi="仿宋_GB2312" w:eastAsia="仿宋_GB2312" w:cs="仿宋_GB2312"/>
          <w:bCs/>
          <w:color w:val="000000"/>
          <w:sz w:val="32"/>
          <w:szCs w:val="32"/>
        </w:rPr>
        <w:t>（项）:</w:t>
      </w:r>
      <w:r>
        <w:rPr>
          <w:rStyle w:val="16"/>
          <w:rFonts w:hint="eastAsia" w:ascii="仿宋_GB2312" w:hAnsi="仿宋_GB2312" w:eastAsia="仿宋_GB2312" w:cs="仿宋_GB2312"/>
          <w:b w:val="0"/>
          <w:bCs/>
          <w:color w:val="000000"/>
          <w:sz w:val="32"/>
          <w:szCs w:val="32"/>
        </w:rPr>
        <w:t>支出决算为</w:t>
      </w:r>
      <w:r>
        <w:rPr>
          <w:rStyle w:val="16"/>
          <w:rFonts w:hint="eastAsia" w:ascii="仿宋_GB2312" w:hAnsi="仿宋_GB2312" w:eastAsia="仿宋_GB2312" w:cs="仿宋_GB2312"/>
          <w:b w:val="0"/>
          <w:bCs/>
          <w:color w:val="000000"/>
          <w:sz w:val="32"/>
          <w:szCs w:val="32"/>
          <w:lang w:val="en-US" w:eastAsia="zh-CN"/>
        </w:rPr>
        <w:t>56.33</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100</w:t>
      </w:r>
      <w:r>
        <w:rPr>
          <w:rStyle w:val="16"/>
          <w:rFonts w:hint="eastAsia" w:ascii="仿宋_GB2312" w:hAnsi="仿宋_GB2312" w:eastAsia="仿宋_GB2312" w:cs="仿宋_GB2312"/>
          <w:b w:val="0"/>
          <w:bCs/>
          <w:color w:val="000000"/>
          <w:sz w:val="32"/>
          <w:szCs w:val="32"/>
        </w:rPr>
        <w:t>%。</w:t>
      </w:r>
    </w:p>
    <w:p>
      <w:pPr>
        <w:tabs>
          <w:tab w:val="right" w:pos="8306"/>
        </w:tabs>
        <w:spacing w:line="600" w:lineRule="exact"/>
        <w:ind w:firstLine="640"/>
        <w:outlineLvl w:val="1"/>
        <w:rPr>
          <w:rStyle w:val="27"/>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27"/>
          <w:rFonts w:hint="eastAsia" w:ascii="黑体" w:hAnsi="黑体" w:eastAsia="黑体"/>
          <w:b w:val="0"/>
        </w:rPr>
        <w:t>般公共预算财政拨款基本支出决算情况说明</w:t>
      </w:r>
      <w:bookmarkEnd w:id="40"/>
      <w:bookmarkEnd w:id="41"/>
      <w:r>
        <w:rPr>
          <w:rStyle w:val="27"/>
          <w:rFonts w:ascii="黑体" w:hAnsi="黑体" w:eastAsia="黑体"/>
          <w:b w:val="0"/>
        </w:rPr>
        <w:tab/>
      </w:r>
    </w:p>
    <w:p>
      <w:pPr>
        <w:spacing w:line="600" w:lineRule="exact"/>
        <w:ind w:firstLine="640" w:firstLineChars="200"/>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 w:val="0"/>
          <w:bCs/>
          <w:color w:val="000000"/>
          <w:sz w:val="32"/>
          <w:szCs w:val="32"/>
          <w:lang w:val="en-US" w:eastAsia="zh-CN"/>
        </w:rPr>
        <w:t>2020</w:t>
      </w:r>
      <w:r>
        <w:rPr>
          <w:rStyle w:val="16"/>
          <w:rFonts w:hint="eastAsia" w:ascii="仿宋_GB2312" w:hAnsi="仿宋_GB2312" w:eastAsia="仿宋_GB2312" w:cs="仿宋_GB2312"/>
          <w:b w:val="0"/>
          <w:bCs/>
          <w:color w:val="000000"/>
          <w:sz w:val="32"/>
          <w:szCs w:val="32"/>
        </w:rPr>
        <w:t>年一般公共预算财政拨款基本支出</w:t>
      </w:r>
      <w:r>
        <w:rPr>
          <w:rStyle w:val="16"/>
          <w:rFonts w:hint="eastAsia" w:ascii="仿宋_GB2312" w:hAnsi="仿宋_GB2312" w:eastAsia="仿宋_GB2312" w:cs="仿宋_GB2312"/>
          <w:b w:val="0"/>
          <w:bCs/>
          <w:color w:val="000000"/>
          <w:sz w:val="32"/>
          <w:szCs w:val="32"/>
          <w:lang w:val="en-US" w:eastAsia="zh-CN"/>
        </w:rPr>
        <w:t>519.17</w:t>
      </w:r>
      <w:r>
        <w:rPr>
          <w:rStyle w:val="16"/>
          <w:rFonts w:hint="eastAsia" w:ascii="仿宋_GB2312" w:hAnsi="仿宋_GB2312" w:eastAsia="仿宋_GB2312" w:cs="仿宋_GB2312"/>
          <w:b w:val="0"/>
          <w:bCs/>
          <w:color w:val="000000"/>
          <w:sz w:val="32"/>
          <w:szCs w:val="32"/>
        </w:rPr>
        <w:t>万元，其中：</w:t>
      </w:r>
    </w:p>
    <w:p>
      <w:pPr>
        <w:spacing w:line="600" w:lineRule="exact"/>
        <w:ind w:firstLine="640" w:firstLineChars="200"/>
        <w:rPr>
          <w:rStyle w:val="16"/>
          <w:rFonts w:hint="eastAsia" w:ascii="仿宋_GB2312" w:hAnsi="仿宋_GB2312" w:eastAsia="仿宋_GB2312" w:cs="仿宋_GB2312"/>
          <w:b w:val="0"/>
          <w:bCs/>
          <w:color w:val="000000"/>
          <w:sz w:val="32"/>
          <w:szCs w:val="32"/>
          <w:lang w:eastAsia="zh-CN"/>
        </w:rPr>
      </w:pPr>
      <w:r>
        <w:rPr>
          <w:rStyle w:val="16"/>
          <w:rFonts w:hint="eastAsia" w:ascii="仿宋_GB2312" w:hAnsi="仿宋_GB2312" w:eastAsia="仿宋_GB2312" w:cs="仿宋_GB2312"/>
          <w:b w:val="0"/>
          <w:bCs/>
          <w:color w:val="000000"/>
          <w:sz w:val="32"/>
          <w:szCs w:val="32"/>
        </w:rPr>
        <w:t>人员经费</w:t>
      </w:r>
      <w:r>
        <w:rPr>
          <w:rStyle w:val="16"/>
          <w:rFonts w:hint="eastAsia" w:ascii="仿宋_GB2312" w:hAnsi="仿宋_GB2312" w:eastAsia="仿宋_GB2312" w:cs="仿宋_GB2312"/>
          <w:b w:val="0"/>
          <w:bCs/>
          <w:color w:val="000000"/>
          <w:sz w:val="32"/>
          <w:szCs w:val="32"/>
          <w:lang w:val="en-US" w:eastAsia="zh-CN"/>
        </w:rPr>
        <w:t>444.34</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eastAsia="zh-CN"/>
        </w:rPr>
        <w:t>。</w:t>
      </w:r>
      <w:r>
        <w:rPr>
          <w:rStyle w:val="16"/>
          <w:rFonts w:hint="eastAsia" w:ascii="仿宋_GB2312" w:hAnsi="仿宋_GB2312" w:eastAsia="仿宋_GB2312" w:cs="仿宋_GB2312"/>
          <w:b w:val="0"/>
          <w:bCs/>
          <w:color w:val="000000"/>
          <w:sz w:val="32"/>
          <w:szCs w:val="32"/>
        </w:rPr>
        <w:t>主要包括：基本工资、津贴补贴、奖金、绩效工资、机关事业单位基本养老保险缴费、</w:t>
      </w:r>
      <w:r>
        <w:rPr>
          <w:rStyle w:val="16"/>
          <w:rFonts w:hint="eastAsia" w:ascii="仿宋_GB2312" w:hAnsi="仿宋_GB2312" w:eastAsia="仿宋_GB2312" w:cs="仿宋_GB2312"/>
          <w:b w:val="0"/>
          <w:bCs/>
          <w:color w:val="000000"/>
          <w:sz w:val="32"/>
          <w:szCs w:val="32"/>
          <w:lang w:val="en-US" w:eastAsia="zh-CN"/>
        </w:rPr>
        <w:t>职工基本医疗保险缴费、</w:t>
      </w:r>
      <w:r>
        <w:rPr>
          <w:rStyle w:val="16"/>
          <w:rFonts w:hint="eastAsia" w:ascii="仿宋_GB2312" w:hAnsi="仿宋_GB2312" w:eastAsia="仿宋_GB2312" w:cs="仿宋_GB2312"/>
          <w:b w:val="0"/>
          <w:bCs/>
          <w:color w:val="000000"/>
          <w:sz w:val="32"/>
          <w:szCs w:val="32"/>
        </w:rPr>
        <w:t>住房公积金</w:t>
      </w:r>
      <w:r>
        <w:rPr>
          <w:rStyle w:val="16"/>
          <w:rFonts w:hint="eastAsia" w:ascii="仿宋_GB2312" w:hAnsi="仿宋_GB2312" w:eastAsia="仿宋_GB2312" w:cs="仿宋_GB2312"/>
          <w:b w:val="0"/>
          <w:bCs/>
          <w:color w:val="000000"/>
          <w:sz w:val="32"/>
          <w:szCs w:val="32"/>
          <w:lang w:eastAsia="zh-CN"/>
        </w:rPr>
        <w:t>、</w:t>
      </w:r>
      <w:r>
        <w:rPr>
          <w:rStyle w:val="16"/>
          <w:rFonts w:hint="eastAsia" w:ascii="仿宋_GB2312" w:hAnsi="仿宋_GB2312" w:eastAsia="仿宋_GB2312" w:cs="仿宋_GB2312"/>
          <w:b w:val="0"/>
          <w:bCs/>
          <w:color w:val="000000"/>
          <w:sz w:val="32"/>
          <w:szCs w:val="32"/>
        </w:rPr>
        <w:t>其他社会保障缴费、其他工资福利支出、</w:t>
      </w:r>
      <w:r>
        <w:rPr>
          <w:rStyle w:val="16"/>
          <w:rFonts w:hint="eastAsia" w:ascii="仿宋_GB2312" w:hAnsi="仿宋_GB2312" w:eastAsia="仿宋_GB2312" w:cs="仿宋_GB2312"/>
          <w:b w:val="0"/>
          <w:bCs/>
          <w:color w:val="000000"/>
          <w:sz w:val="32"/>
          <w:szCs w:val="32"/>
          <w:lang w:eastAsia="zh-CN"/>
        </w:rPr>
        <w:t>退休费、</w:t>
      </w:r>
      <w:r>
        <w:rPr>
          <w:rStyle w:val="16"/>
          <w:rFonts w:hint="eastAsia" w:ascii="仿宋_GB2312" w:hAnsi="仿宋_GB2312" w:eastAsia="仿宋_GB2312" w:cs="仿宋_GB2312"/>
          <w:b w:val="0"/>
          <w:bCs/>
          <w:color w:val="000000"/>
          <w:sz w:val="32"/>
          <w:szCs w:val="32"/>
        </w:rPr>
        <w:t>奖励金等。</w:t>
      </w:r>
    </w:p>
    <w:p>
      <w:pPr>
        <w:spacing w:line="600" w:lineRule="exact"/>
        <w:ind w:firstLine="640" w:firstLineChars="200"/>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 w:val="0"/>
          <w:bCs/>
          <w:color w:val="000000"/>
          <w:sz w:val="32"/>
          <w:szCs w:val="32"/>
        </w:rPr>
        <w:t>日常公用经费</w:t>
      </w:r>
      <w:r>
        <w:rPr>
          <w:rStyle w:val="16"/>
          <w:rFonts w:hint="eastAsia" w:ascii="仿宋_GB2312" w:hAnsi="仿宋_GB2312" w:eastAsia="仿宋_GB2312" w:cs="仿宋_GB2312"/>
          <w:b w:val="0"/>
          <w:bCs/>
          <w:color w:val="000000"/>
          <w:sz w:val="32"/>
          <w:szCs w:val="32"/>
          <w:lang w:val="en-US" w:eastAsia="zh-CN"/>
        </w:rPr>
        <w:t>74.83</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eastAsia="zh-CN"/>
        </w:rPr>
        <w:t>。</w:t>
      </w:r>
      <w:r>
        <w:rPr>
          <w:rStyle w:val="16"/>
          <w:rFonts w:hint="eastAsia" w:ascii="仿宋_GB2312" w:hAnsi="仿宋_GB2312" w:eastAsia="仿宋_GB2312" w:cs="仿宋_GB2312"/>
          <w:b w:val="0"/>
          <w:bCs/>
          <w:color w:val="000000"/>
          <w:sz w:val="32"/>
          <w:szCs w:val="32"/>
        </w:rPr>
        <w:t>主要包括：办公费、印刷费、</w:t>
      </w:r>
      <w:r>
        <w:rPr>
          <w:rStyle w:val="16"/>
          <w:rFonts w:hint="eastAsia" w:ascii="仿宋_GB2312" w:hAnsi="仿宋_GB2312" w:eastAsia="仿宋_GB2312" w:cs="仿宋_GB2312"/>
          <w:b w:val="0"/>
          <w:bCs/>
          <w:color w:val="000000"/>
          <w:sz w:val="32"/>
          <w:szCs w:val="32"/>
          <w:lang w:eastAsia="zh-CN"/>
        </w:rPr>
        <w:t>咨询费、</w:t>
      </w:r>
      <w:r>
        <w:rPr>
          <w:rStyle w:val="16"/>
          <w:rFonts w:hint="eastAsia" w:ascii="仿宋_GB2312" w:hAnsi="仿宋_GB2312" w:eastAsia="仿宋_GB2312" w:cs="仿宋_GB2312"/>
          <w:b w:val="0"/>
          <w:bCs/>
          <w:color w:val="000000"/>
          <w:sz w:val="32"/>
          <w:szCs w:val="32"/>
        </w:rPr>
        <w:t>手续费、水费、电费、邮电费、差旅费、维修（护）费、培训费、公务接待费、</w:t>
      </w:r>
      <w:r>
        <w:rPr>
          <w:rStyle w:val="16"/>
          <w:rFonts w:hint="eastAsia" w:ascii="仿宋_GB2312" w:hAnsi="仿宋_GB2312" w:eastAsia="仿宋_GB2312" w:cs="仿宋_GB2312"/>
          <w:b w:val="0"/>
          <w:bCs/>
          <w:color w:val="000000"/>
          <w:sz w:val="32"/>
          <w:szCs w:val="32"/>
          <w:lang w:eastAsia="zh-CN"/>
        </w:rPr>
        <w:t>专用材料费、</w:t>
      </w:r>
      <w:r>
        <w:rPr>
          <w:rStyle w:val="16"/>
          <w:rFonts w:hint="eastAsia" w:ascii="仿宋_GB2312" w:hAnsi="仿宋_GB2312" w:eastAsia="仿宋_GB2312" w:cs="仿宋_GB2312"/>
          <w:b w:val="0"/>
          <w:bCs/>
          <w:color w:val="000000"/>
          <w:sz w:val="32"/>
          <w:szCs w:val="32"/>
        </w:rPr>
        <w:t>劳务费、工会经费、福利费、公务用车运行维护费、其他商品和服务支出等。</w:t>
      </w:r>
    </w:p>
    <w:p>
      <w:pPr>
        <w:spacing w:line="600" w:lineRule="exact"/>
        <w:ind w:firstLine="640"/>
        <w:outlineLvl w:val="1"/>
        <w:rPr>
          <w:rStyle w:val="27"/>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2"/>
      <w:bookmarkEnd w:id="43"/>
    </w:p>
    <w:p>
      <w:pPr>
        <w:pStyle w:val="6"/>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bookmarkStart w:id="44" w:name="_Toc15377216"/>
      <w:r>
        <w:rPr>
          <w:rFonts w:hint="eastAsia" w:ascii="楷体_GB2312" w:hAnsi="楷体_GB2312" w:eastAsia="楷体_GB2312" w:cs="楷体_GB2312"/>
          <w:bCs/>
          <w:color w:val="000000"/>
          <w:sz w:val="32"/>
          <w:szCs w:val="32"/>
        </w:rPr>
        <w:t>（一）“三公”经费财政拨款支出决算总体情况说明</w:t>
      </w:r>
      <w:bookmarkEnd w:id="44"/>
    </w:p>
    <w:p>
      <w:pPr>
        <w:spacing w:line="600" w:lineRule="exact"/>
        <w:ind w:firstLine="640" w:firstLineChars="200"/>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 w:val="0"/>
          <w:bCs/>
          <w:color w:val="000000"/>
          <w:sz w:val="32"/>
          <w:szCs w:val="32"/>
          <w:lang w:val="en-US" w:eastAsia="zh-CN"/>
        </w:rPr>
        <w:t>2020</w:t>
      </w:r>
      <w:r>
        <w:rPr>
          <w:rStyle w:val="16"/>
          <w:rFonts w:hint="eastAsia" w:ascii="仿宋_GB2312" w:hAnsi="仿宋_GB2312" w:eastAsia="仿宋_GB2312" w:cs="仿宋_GB2312"/>
          <w:b w:val="0"/>
          <w:bCs/>
          <w:color w:val="000000"/>
          <w:sz w:val="32"/>
          <w:szCs w:val="32"/>
        </w:rPr>
        <w:t>年“三公”经费财政拨款支出决算为</w:t>
      </w:r>
      <w:r>
        <w:rPr>
          <w:rStyle w:val="16"/>
          <w:rFonts w:hint="eastAsia" w:ascii="仿宋_GB2312" w:hAnsi="仿宋_GB2312" w:eastAsia="仿宋_GB2312" w:cs="仿宋_GB2312"/>
          <w:b w:val="0"/>
          <w:bCs/>
          <w:color w:val="000000"/>
          <w:sz w:val="32"/>
          <w:szCs w:val="32"/>
          <w:lang w:val="en-US" w:eastAsia="zh-CN"/>
        </w:rPr>
        <w:t>27.68</w:t>
      </w:r>
      <w:r>
        <w:rPr>
          <w:rStyle w:val="16"/>
          <w:rFonts w:hint="eastAsia" w:ascii="仿宋_GB2312" w:hAnsi="仿宋_GB2312" w:eastAsia="仿宋_GB2312" w:cs="仿宋_GB2312"/>
          <w:b w:val="0"/>
          <w:bCs/>
          <w:color w:val="000000"/>
          <w:sz w:val="32"/>
          <w:szCs w:val="32"/>
        </w:rPr>
        <w:t>万元，完成预算</w:t>
      </w:r>
      <w:r>
        <w:rPr>
          <w:rStyle w:val="16"/>
          <w:rFonts w:hint="eastAsia" w:ascii="仿宋_GB2312" w:hAnsi="仿宋_GB2312" w:eastAsia="仿宋_GB2312" w:cs="仿宋_GB2312"/>
          <w:b w:val="0"/>
          <w:bCs/>
          <w:color w:val="000000"/>
          <w:sz w:val="32"/>
          <w:szCs w:val="32"/>
          <w:lang w:val="en-US" w:eastAsia="zh-CN"/>
        </w:rPr>
        <w:t>83.88</w:t>
      </w:r>
      <w:r>
        <w:rPr>
          <w:rStyle w:val="16"/>
          <w:rFonts w:hint="eastAsia" w:ascii="仿宋_GB2312" w:hAnsi="仿宋_GB2312" w:eastAsia="仿宋_GB2312" w:cs="仿宋_GB2312"/>
          <w:b w:val="0"/>
          <w:bCs/>
          <w:color w:val="000000"/>
          <w:sz w:val="32"/>
          <w:szCs w:val="32"/>
        </w:rPr>
        <w:t>%，决算数小于预算数的主要原因是</w:t>
      </w:r>
      <w:r>
        <w:rPr>
          <w:rStyle w:val="16"/>
          <w:rFonts w:hint="eastAsia" w:ascii="仿宋_GB2312" w:hAnsi="仿宋_GB2312" w:eastAsia="仿宋_GB2312" w:cs="仿宋_GB2312"/>
          <w:b w:val="0"/>
          <w:bCs/>
          <w:color w:val="000000"/>
          <w:sz w:val="32"/>
          <w:szCs w:val="32"/>
          <w:lang w:val="en-US" w:eastAsia="zh-CN"/>
        </w:rPr>
        <w:t>严格执行相关规定，控制标准，限制陪同人数，压缩接待费支出</w:t>
      </w:r>
      <w:r>
        <w:rPr>
          <w:rStyle w:val="16"/>
          <w:rFonts w:hint="eastAsia" w:ascii="仿宋_GB2312" w:hAnsi="仿宋_GB2312" w:eastAsia="仿宋_GB2312" w:cs="仿宋_GB2312"/>
          <w:b w:val="0"/>
          <w:bCs/>
          <w:color w:val="000000"/>
          <w:sz w:val="32"/>
          <w:szCs w:val="32"/>
        </w:rPr>
        <w:t>。</w:t>
      </w:r>
    </w:p>
    <w:p>
      <w:pPr>
        <w:pStyle w:val="6"/>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bookmarkStart w:id="45" w:name="_Toc15377217"/>
      <w:r>
        <w:rPr>
          <w:rFonts w:hint="eastAsia" w:ascii="楷体_GB2312" w:hAnsi="楷体_GB2312" w:eastAsia="楷体_GB2312" w:cs="楷体_GB2312"/>
          <w:bCs/>
          <w:color w:val="000000"/>
          <w:sz w:val="32"/>
          <w:szCs w:val="32"/>
        </w:rPr>
        <w:t>（二）“三公”经费财政拨款支出决算具体情况说明</w:t>
      </w:r>
      <w:bookmarkEnd w:id="45"/>
    </w:p>
    <w:p>
      <w:pPr>
        <w:spacing w:line="600" w:lineRule="exact"/>
        <w:ind w:firstLine="640" w:firstLineChars="200"/>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 w:val="0"/>
          <w:bCs/>
          <w:color w:val="000000"/>
          <w:sz w:val="32"/>
          <w:szCs w:val="32"/>
          <w:lang w:val="en-US" w:eastAsia="zh-CN"/>
        </w:rPr>
        <w:t>2020</w:t>
      </w:r>
      <w:r>
        <w:rPr>
          <w:rStyle w:val="16"/>
          <w:rFonts w:hint="eastAsia" w:ascii="仿宋_GB2312" w:hAnsi="仿宋_GB2312" w:eastAsia="仿宋_GB2312" w:cs="仿宋_GB2312"/>
          <w:b w:val="0"/>
          <w:bCs/>
          <w:color w:val="000000"/>
          <w:sz w:val="32"/>
          <w:szCs w:val="32"/>
        </w:rPr>
        <w:t>年“三公”经费财政拨款支出决算中，因公出国（境）费支出决算</w:t>
      </w:r>
      <w:r>
        <w:rPr>
          <w:rStyle w:val="16"/>
          <w:rFonts w:hint="eastAsia" w:ascii="仿宋_GB2312" w:hAnsi="仿宋_GB2312" w:eastAsia="仿宋_GB2312" w:cs="仿宋_GB2312"/>
          <w:b w:val="0"/>
          <w:bCs/>
          <w:color w:val="000000"/>
          <w:sz w:val="32"/>
          <w:szCs w:val="32"/>
          <w:lang w:val="en-US" w:eastAsia="zh-CN"/>
        </w:rPr>
        <w:t>0</w:t>
      </w:r>
      <w:r>
        <w:rPr>
          <w:rStyle w:val="16"/>
          <w:rFonts w:hint="eastAsia" w:ascii="仿宋_GB2312" w:hAnsi="仿宋_GB2312" w:eastAsia="仿宋_GB2312" w:cs="仿宋_GB2312"/>
          <w:b w:val="0"/>
          <w:bCs/>
          <w:color w:val="000000"/>
          <w:sz w:val="32"/>
          <w:szCs w:val="32"/>
        </w:rPr>
        <w:t>万元，占</w:t>
      </w:r>
      <w:r>
        <w:rPr>
          <w:rStyle w:val="16"/>
          <w:rFonts w:hint="eastAsia" w:ascii="仿宋_GB2312" w:hAnsi="仿宋_GB2312" w:eastAsia="仿宋_GB2312" w:cs="仿宋_GB2312"/>
          <w:b w:val="0"/>
          <w:bCs/>
          <w:color w:val="000000"/>
          <w:sz w:val="32"/>
          <w:szCs w:val="32"/>
          <w:lang w:val="en-US" w:eastAsia="zh-CN"/>
        </w:rPr>
        <w:t>0</w:t>
      </w:r>
      <w:r>
        <w:rPr>
          <w:rStyle w:val="16"/>
          <w:rFonts w:hint="eastAsia" w:ascii="仿宋_GB2312" w:hAnsi="仿宋_GB2312" w:eastAsia="仿宋_GB2312" w:cs="仿宋_GB2312"/>
          <w:b w:val="0"/>
          <w:bCs/>
          <w:color w:val="000000"/>
          <w:sz w:val="32"/>
          <w:szCs w:val="32"/>
        </w:rPr>
        <w:t>%；公务用车购置及运行维护费支出决算</w:t>
      </w:r>
      <w:r>
        <w:rPr>
          <w:rStyle w:val="16"/>
          <w:rFonts w:hint="eastAsia" w:ascii="仿宋_GB2312" w:hAnsi="仿宋_GB2312" w:eastAsia="仿宋_GB2312" w:cs="仿宋_GB2312"/>
          <w:b w:val="0"/>
          <w:bCs/>
          <w:color w:val="000000"/>
          <w:sz w:val="32"/>
          <w:szCs w:val="32"/>
          <w:lang w:val="en-US" w:eastAsia="zh-CN"/>
        </w:rPr>
        <w:t>26.85</w:t>
      </w:r>
      <w:r>
        <w:rPr>
          <w:rStyle w:val="16"/>
          <w:rFonts w:hint="eastAsia" w:ascii="仿宋_GB2312" w:hAnsi="仿宋_GB2312" w:eastAsia="仿宋_GB2312" w:cs="仿宋_GB2312"/>
          <w:b w:val="0"/>
          <w:bCs/>
          <w:color w:val="000000"/>
          <w:sz w:val="32"/>
          <w:szCs w:val="32"/>
        </w:rPr>
        <w:t>万元，占</w:t>
      </w:r>
      <w:r>
        <w:rPr>
          <w:rStyle w:val="16"/>
          <w:rFonts w:hint="eastAsia" w:ascii="仿宋_GB2312" w:hAnsi="仿宋_GB2312" w:eastAsia="仿宋_GB2312" w:cs="仿宋_GB2312"/>
          <w:b w:val="0"/>
          <w:bCs/>
          <w:color w:val="000000"/>
          <w:sz w:val="32"/>
          <w:szCs w:val="32"/>
          <w:lang w:val="en-US" w:eastAsia="zh-CN"/>
        </w:rPr>
        <w:t>97</w:t>
      </w:r>
      <w:r>
        <w:rPr>
          <w:rStyle w:val="16"/>
          <w:rFonts w:hint="eastAsia" w:ascii="仿宋_GB2312" w:hAnsi="仿宋_GB2312" w:eastAsia="仿宋_GB2312" w:cs="仿宋_GB2312"/>
          <w:b w:val="0"/>
          <w:bCs/>
          <w:color w:val="000000"/>
          <w:sz w:val="32"/>
          <w:szCs w:val="32"/>
        </w:rPr>
        <w:t>%；公务接待费支出决算</w:t>
      </w:r>
      <w:r>
        <w:rPr>
          <w:rStyle w:val="16"/>
          <w:rFonts w:hint="eastAsia" w:ascii="仿宋_GB2312" w:hAnsi="仿宋_GB2312" w:eastAsia="仿宋_GB2312" w:cs="仿宋_GB2312"/>
          <w:b w:val="0"/>
          <w:bCs/>
          <w:color w:val="000000"/>
          <w:sz w:val="32"/>
          <w:szCs w:val="32"/>
          <w:lang w:val="en-US" w:eastAsia="zh-CN"/>
        </w:rPr>
        <w:t>0.83</w:t>
      </w:r>
      <w:r>
        <w:rPr>
          <w:rStyle w:val="16"/>
          <w:rFonts w:hint="eastAsia" w:ascii="仿宋_GB2312" w:hAnsi="仿宋_GB2312" w:eastAsia="仿宋_GB2312" w:cs="仿宋_GB2312"/>
          <w:b w:val="0"/>
          <w:bCs/>
          <w:color w:val="000000"/>
          <w:sz w:val="32"/>
          <w:szCs w:val="32"/>
        </w:rPr>
        <w:t>万元，占</w:t>
      </w:r>
      <w:r>
        <w:rPr>
          <w:rStyle w:val="16"/>
          <w:rFonts w:hint="eastAsia" w:ascii="仿宋_GB2312" w:hAnsi="仿宋_GB2312" w:eastAsia="仿宋_GB2312" w:cs="仿宋_GB2312"/>
          <w:b w:val="0"/>
          <w:bCs/>
          <w:color w:val="000000"/>
          <w:sz w:val="32"/>
          <w:szCs w:val="32"/>
          <w:lang w:val="en-US" w:eastAsia="zh-CN"/>
        </w:rPr>
        <w:t>3</w:t>
      </w:r>
      <w:r>
        <w:rPr>
          <w:rStyle w:val="16"/>
          <w:rFonts w:hint="eastAsia" w:ascii="仿宋_GB2312" w:hAnsi="仿宋_GB2312" w:eastAsia="仿宋_GB2312" w:cs="仿宋_GB2312"/>
          <w:b w:val="0"/>
          <w:bCs/>
          <w:color w:val="000000"/>
          <w:sz w:val="32"/>
          <w:szCs w:val="32"/>
        </w:rPr>
        <w:t>%。具体情况如下：</w:t>
      </w:r>
    </w:p>
    <w:p>
      <w:pPr>
        <w:pStyle w:val="2"/>
        <w:rPr>
          <w:rStyle w:val="16"/>
          <w:rFonts w:hint="eastAsia" w:ascii="仿宋_GB2312" w:hAnsi="仿宋_GB2312" w:eastAsia="仿宋_GB2312" w:cs="仿宋_GB2312"/>
          <w:b w:val="0"/>
          <w:bCs/>
          <w:color w:val="000000"/>
          <w:sz w:val="32"/>
          <w:szCs w:val="32"/>
        </w:rPr>
      </w:pPr>
      <w:r>
        <w:rPr>
          <w:rStyle w:val="16"/>
          <w:rFonts w:hint="eastAsia" w:ascii="仿宋_GB2312" w:hAnsi="仿宋_GB2312" w:eastAsia="仿宋_GB2312" w:cs="仿宋_GB2312"/>
          <w:b w:val="0"/>
          <w:bCs/>
          <w:color w:val="000000"/>
          <w:sz w:val="32"/>
          <w:szCs w:val="32"/>
        </w:rPr>
        <w:t>（图7：“三公”经费财政拨款支出结构）（饼状图）</w:t>
      </w:r>
    </w:p>
    <w:p>
      <w:pPr>
        <w:pStyle w:val="2"/>
        <w:rPr>
          <w:rStyle w:val="16"/>
          <w:rFonts w:hint="eastAsia" w:ascii="仿宋_GB2312" w:hAnsi="仿宋_GB2312" w:eastAsia="仿宋_GB2312" w:cs="仿宋_GB2312"/>
          <w:b w:val="0"/>
          <w:bCs/>
          <w:color w:val="000000"/>
          <w:sz w:val="32"/>
          <w:szCs w:val="32"/>
        </w:rPr>
      </w:pPr>
      <w:r>
        <w:drawing>
          <wp:inline distT="0" distB="0" distL="114300" distR="114300">
            <wp:extent cx="3539490" cy="1752600"/>
            <wp:effectExtent l="4445" t="5080" r="18415" b="13970"/>
            <wp:docPr id="10"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600" w:lineRule="exact"/>
        <w:ind w:firstLine="642" w:firstLineChars="200"/>
        <w:rPr>
          <w:rStyle w:val="16"/>
          <w:rFonts w:hint="eastAsia" w:ascii="仿宋_GB2312" w:hAnsi="仿宋_GB2312" w:eastAsia="仿宋_GB2312" w:cs="仿宋_GB2312"/>
          <w:b w:val="0"/>
          <w:bCs/>
          <w:color w:val="000000"/>
          <w:sz w:val="32"/>
          <w:szCs w:val="32"/>
          <w:lang w:eastAsia="zh-CN"/>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w:t>
      </w:r>
      <w:r>
        <w:rPr>
          <w:rStyle w:val="16"/>
          <w:rFonts w:hint="eastAsia" w:ascii="仿宋_GB2312" w:hAnsi="仿宋_GB2312" w:eastAsia="仿宋_GB2312" w:cs="仿宋_GB2312"/>
          <w:b w:val="0"/>
          <w:bCs/>
          <w:color w:val="000000"/>
          <w:sz w:val="32"/>
          <w:szCs w:val="32"/>
          <w:lang w:val="en-US" w:eastAsia="zh-CN"/>
        </w:rPr>
        <w:t>0</w:t>
      </w:r>
      <w:r>
        <w:rPr>
          <w:rStyle w:val="16"/>
          <w:rFonts w:hint="eastAsia" w:ascii="仿宋_GB2312" w:hAnsi="仿宋_GB2312" w:eastAsia="仿宋_GB2312" w:cs="仿宋_GB2312"/>
          <w:b w:val="0"/>
          <w:bCs/>
          <w:color w:val="000000"/>
          <w:sz w:val="32"/>
          <w:szCs w:val="32"/>
        </w:rPr>
        <w:t>万元，</w:t>
      </w:r>
      <w:r>
        <w:rPr>
          <w:rStyle w:val="16"/>
          <w:rFonts w:hint="eastAsia" w:ascii="仿宋_GB2312" w:hAnsi="仿宋_GB2312" w:eastAsia="仿宋_GB2312" w:cs="仿宋_GB2312"/>
          <w:b w:val="0"/>
          <w:bCs/>
          <w:color w:val="000000"/>
          <w:sz w:val="32"/>
          <w:szCs w:val="32"/>
          <w:lang w:eastAsia="zh-CN"/>
        </w:rPr>
        <w:t>当年未安排因公出国（境）预算</w:t>
      </w:r>
      <w:r>
        <w:rPr>
          <w:rStyle w:val="16"/>
          <w:rFonts w:hint="eastAsia" w:ascii="仿宋_GB2312" w:hAnsi="仿宋_GB2312" w:eastAsia="仿宋_GB2312" w:cs="仿宋_GB2312"/>
          <w:b w:val="0"/>
          <w:bCs/>
          <w:color w:val="000000"/>
          <w:sz w:val="32"/>
          <w:szCs w:val="32"/>
        </w:rPr>
        <w:t>。</w:t>
      </w:r>
      <w:r>
        <w:rPr>
          <w:rStyle w:val="16"/>
          <w:rFonts w:hint="eastAsia" w:ascii="仿宋_GB2312" w:hAnsi="仿宋_GB2312" w:eastAsia="仿宋_GB2312" w:cs="仿宋_GB2312"/>
          <w:b w:val="0"/>
          <w:bCs/>
          <w:color w:val="000000"/>
          <w:sz w:val="32"/>
          <w:szCs w:val="32"/>
          <w:lang w:eastAsia="zh-CN"/>
        </w:rPr>
        <w:t>支出数与上年持平、</w:t>
      </w:r>
    </w:p>
    <w:p>
      <w:pPr>
        <w:spacing w:line="600" w:lineRule="exact"/>
        <w:ind w:firstLine="640"/>
        <w:rPr>
          <w:rFonts w:hint="default" w:ascii="仿宋_GB2312" w:eastAsia="仿宋_GB2312"/>
          <w:b/>
          <w:color w:val="000000"/>
          <w:sz w:val="32"/>
          <w:szCs w:val="32"/>
          <w:lang w:val="en-US" w:eastAsia="zh-CN"/>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lang w:val="en-US" w:eastAsia="zh-CN"/>
        </w:rPr>
        <w:t>26.85</w:t>
      </w:r>
      <w:r>
        <w:rPr>
          <w:rFonts w:hint="eastAsia" w:ascii="仿宋_GB2312" w:eastAsia="仿宋_GB2312"/>
          <w:color w:val="000000"/>
          <w:sz w:val="32"/>
          <w:szCs w:val="32"/>
        </w:rPr>
        <w:t>万元</w:t>
      </w:r>
      <w:r>
        <w:rPr>
          <w:rFonts w:hint="eastAsia" w:ascii="仿宋_GB2312" w:hAnsi="仿宋_GB2312" w:eastAsia="仿宋_GB2312" w:cs="仿宋_GB2312"/>
          <w:color w:val="000000"/>
          <w:sz w:val="32"/>
          <w:szCs w:val="32"/>
        </w:rPr>
        <w:t>,</w:t>
      </w:r>
      <w:r>
        <w:rPr>
          <w:rStyle w:val="16"/>
          <w:rFonts w:hint="eastAsia" w:ascii="仿宋_GB2312" w:hAnsi="仿宋_GB2312" w:eastAsia="仿宋_GB2312" w:cs="仿宋_GB2312"/>
          <w:b w:val="0"/>
          <w:bCs/>
          <w:color w:val="000000"/>
          <w:sz w:val="32"/>
          <w:szCs w:val="32"/>
        </w:rPr>
        <w:t>完成预算</w:t>
      </w:r>
      <w:r>
        <w:rPr>
          <w:rStyle w:val="16"/>
          <w:rFonts w:hint="eastAsia" w:ascii="仿宋_GB2312" w:hAnsi="仿宋_GB2312" w:eastAsia="仿宋_GB2312" w:cs="仿宋_GB2312"/>
          <w:b w:val="0"/>
          <w:bCs/>
          <w:color w:val="000000"/>
          <w:sz w:val="32"/>
          <w:szCs w:val="32"/>
          <w:lang w:val="en-US" w:eastAsia="zh-CN"/>
        </w:rPr>
        <w:t>81.37</w:t>
      </w:r>
      <w:r>
        <w:rPr>
          <w:rStyle w:val="16"/>
          <w:rFonts w:hint="eastAsia" w:ascii="仿宋_GB2312" w:hAnsi="仿宋_GB2312" w:eastAsia="仿宋_GB2312" w:cs="仿宋_GB2312"/>
          <w:b w:val="0"/>
          <w:bCs/>
          <w:color w:val="000000"/>
          <w:sz w:val="32"/>
          <w:szCs w:val="32"/>
        </w:rPr>
        <w:t>%</w:t>
      </w:r>
      <w:r>
        <w:rPr>
          <w:rStyle w:val="16"/>
          <w:rFonts w:hint="eastAsia" w:ascii="仿宋_GB2312" w:hAnsi="仿宋_GB2312" w:eastAsia="仿宋_GB2312" w:cs="仿宋_GB2312"/>
          <w:b w:val="0"/>
          <w:bCs/>
          <w:color w:val="000000"/>
          <w:sz w:val="32"/>
          <w:szCs w:val="32"/>
          <w:lang w:eastAsia="zh-CN"/>
        </w:rPr>
        <w:t>，决算数小于预算数的原因是厉行节约，压减公务用车运行维护费支出</w:t>
      </w:r>
      <w:r>
        <w:rPr>
          <w:rStyle w:val="16"/>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color w:val="000000"/>
          <w:sz w:val="32"/>
          <w:szCs w:val="32"/>
        </w:rPr>
        <w:t>公务用车购置及运行维护费支出决算比201</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减少1.57</w:t>
      </w:r>
      <w:r>
        <w:rPr>
          <w:rFonts w:hint="eastAsia" w:ascii="仿宋_GB2312" w:hAnsi="仿宋_GB2312" w:eastAsia="仿宋_GB2312" w:cs="仿宋_GB2312"/>
          <w:color w:val="000000"/>
          <w:sz w:val="32"/>
          <w:szCs w:val="32"/>
        </w:rPr>
        <w:t>万元，</w:t>
      </w:r>
      <w:r>
        <w:rPr>
          <w:rFonts w:hint="eastAsia" w:ascii="仿宋_GB2312" w:hAnsi="仿宋_GB2312" w:eastAsia="仿宋_GB2312" w:cs="仿宋_GB2312"/>
          <w:color w:val="000000"/>
          <w:sz w:val="32"/>
          <w:szCs w:val="32"/>
          <w:lang w:eastAsia="zh-CN"/>
        </w:rPr>
        <w:t>下降</w:t>
      </w:r>
      <w:r>
        <w:rPr>
          <w:rFonts w:hint="eastAsia" w:ascii="仿宋_GB2312" w:hAnsi="仿宋_GB2312" w:eastAsia="仿宋_GB2312" w:cs="仿宋_GB2312"/>
          <w:color w:val="000000"/>
          <w:sz w:val="32"/>
          <w:szCs w:val="32"/>
          <w:lang w:val="en-US" w:eastAsia="zh-CN"/>
        </w:rPr>
        <w:t>5.8</w:t>
      </w:r>
      <w:r>
        <w:rPr>
          <w:rFonts w:hint="eastAsia" w:ascii="仿宋_GB2312" w:hAnsi="仿宋_GB2312" w:eastAsia="仿宋_GB2312" w:cs="仿宋_GB2312"/>
          <w:color w:val="000000"/>
          <w:sz w:val="32"/>
          <w:szCs w:val="32"/>
        </w:rPr>
        <w:t>%。主要原因是</w:t>
      </w:r>
      <w:r>
        <w:rPr>
          <w:rStyle w:val="16"/>
          <w:rFonts w:hint="eastAsia" w:ascii="仿宋_GB2312" w:hAnsi="仿宋_GB2312" w:eastAsia="仿宋_GB2312" w:cs="仿宋_GB2312"/>
          <w:b w:val="0"/>
          <w:bCs/>
          <w:color w:val="000000"/>
          <w:sz w:val="32"/>
          <w:szCs w:val="32"/>
          <w:lang w:val="en-US" w:eastAsia="zh-CN"/>
        </w:rPr>
        <w:t>严格执行相关规定，控制标准，节约压缩支出</w:t>
      </w:r>
      <w:r>
        <w:rPr>
          <w:rFonts w:hint="eastAsia" w:ascii="仿宋_GB2312" w:eastAsia="仿宋_GB2312"/>
          <w:color w:val="000000"/>
          <w:sz w:val="32"/>
          <w:szCs w:val="32"/>
          <w:lang w:val="en-US" w:eastAsia="zh-CN"/>
        </w:rPr>
        <w:t>。</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截至</w:t>
      </w:r>
      <w:r>
        <w:rPr>
          <w:rFonts w:hint="eastAsia" w:ascii="仿宋_GB2312" w:eastAsia="仿宋_GB2312"/>
          <w:color w:val="000000"/>
          <w:sz w:val="32"/>
          <w:szCs w:val="32"/>
          <w:lang w:val="en-US" w:eastAsia="zh-CN"/>
        </w:rPr>
        <w:t>2020年12月底，单位保有车辆11台，其中</w:t>
      </w:r>
      <w:r>
        <w:rPr>
          <w:rStyle w:val="16"/>
          <w:rFonts w:hint="eastAsia" w:ascii="仿宋_GB2312" w:hAnsi="仿宋_GB2312" w:eastAsia="仿宋_GB2312" w:cs="仿宋_GB2312"/>
          <w:b w:val="0"/>
          <w:bCs/>
          <w:color w:val="000000"/>
          <w:sz w:val="32"/>
          <w:szCs w:val="32"/>
          <w:lang w:eastAsia="zh-CN"/>
        </w:rPr>
        <w:t>特种车辆</w:t>
      </w:r>
      <w:r>
        <w:rPr>
          <w:rStyle w:val="16"/>
          <w:rFonts w:hint="eastAsia" w:ascii="仿宋_GB2312" w:hAnsi="仿宋_GB2312" w:eastAsia="仿宋_GB2312" w:cs="仿宋_GB2312"/>
          <w:b w:val="0"/>
          <w:bCs/>
          <w:color w:val="000000"/>
          <w:sz w:val="32"/>
          <w:szCs w:val="32"/>
          <w:lang w:val="en-US" w:eastAsia="zh-CN"/>
        </w:rPr>
        <w:t>11台。</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lang w:val="en-US" w:eastAsia="zh-CN"/>
        </w:rPr>
        <w:t>26.85</w:t>
      </w:r>
      <w:r>
        <w:rPr>
          <w:rFonts w:hint="eastAsia" w:ascii="仿宋_GB2312" w:eastAsia="仿宋_GB2312"/>
          <w:color w:val="000000"/>
          <w:sz w:val="32"/>
          <w:szCs w:val="32"/>
        </w:rPr>
        <w:t>万元。主要用于</w:t>
      </w:r>
      <w:r>
        <w:rPr>
          <w:rFonts w:hint="eastAsia" w:ascii="仿宋_GB2312" w:eastAsia="仿宋_GB2312"/>
          <w:color w:val="000000"/>
          <w:sz w:val="32"/>
          <w:szCs w:val="32"/>
          <w:lang w:val="en-US" w:eastAsia="zh-CN"/>
        </w:rPr>
        <w:t>开展应急救援业务训练、事故救援、日常工作</w:t>
      </w:r>
      <w:r>
        <w:rPr>
          <w:rFonts w:hint="eastAsia" w:ascii="仿宋_GB2312" w:eastAsia="仿宋_GB2312"/>
          <w:color w:val="000000"/>
          <w:sz w:val="32"/>
          <w:szCs w:val="32"/>
        </w:rPr>
        <w:t>等所需的公务用车燃料费、维修费、过路过桥费、保险费等支出。</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3.公务接待费支出</w:t>
      </w:r>
      <w:r>
        <w:rPr>
          <w:rFonts w:hint="eastAsia" w:ascii="仿宋_GB2312" w:eastAsia="仿宋_GB2312"/>
          <w:color w:val="000000"/>
          <w:sz w:val="32"/>
          <w:szCs w:val="32"/>
          <w:lang w:val="en-US" w:eastAsia="zh-CN"/>
        </w:rPr>
        <w:t>0.83</w:t>
      </w:r>
      <w:r>
        <w:rPr>
          <w:rFonts w:hint="eastAsia" w:ascii="仿宋_GB2312" w:eastAsia="仿宋_GB2312"/>
          <w:color w:val="000000"/>
          <w:sz w:val="32"/>
          <w:szCs w:val="32"/>
        </w:rPr>
        <w:t>万元，</w:t>
      </w:r>
      <w:r>
        <w:rPr>
          <w:rStyle w:val="16"/>
          <w:rFonts w:hint="eastAsia" w:ascii="仿宋" w:hAnsi="仿宋" w:eastAsia="仿宋"/>
          <w:b w:val="0"/>
          <w:bCs/>
          <w:color w:val="000000"/>
          <w:sz w:val="32"/>
          <w:szCs w:val="32"/>
        </w:rPr>
        <w:t>完成预算</w:t>
      </w:r>
      <w:r>
        <w:rPr>
          <w:rStyle w:val="16"/>
          <w:rFonts w:hint="eastAsia" w:ascii="仿宋" w:hAnsi="仿宋" w:eastAsia="仿宋"/>
          <w:b w:val="0"/>
          <w:bCs/>
          <w:color w:val="000000"/>
          <w:sz w:val="32"/>
          <w:szCs w:val="32"/>
          <w:lang w:val="en-US" w:eastAsia="zh-CN"/>
        </w:rPr>
        <w:t>41.5</w:t>
      </w:r>
      <w:r>
        <w:rPr>
          <w:rStyle w:val="16"/>
          <w:rFonts w:ascii="仿宋" w:hAnsi="仿宋" w:eastAsia="仿宋"/>
          <w:b w:val="0"/>
          <w:bCs/>
          <w:color w:val="000000"/>
          <w:sz w:val="32"/>
          <w:szCs w:val="32"/>
        </w:rPr>
        <w:t>%</w:t>
      </w:r>
      <w:r>
        <w:rPr>
          <w:rStyle w:val="16"/>
          <w:rFonts w:hint="eastAsia" w:ascii="仿宋" w:hAnsi="仿宋" w:eastAsia="仿宋"/>
          <w:b w:val="0"/>
          <w:bCs/>
          <w:color w:val="000000"/>
          <w:sz w:val="32"/>
          <w:szCs w:val="32"/>
          <w:lang w:eastAsia="zh-CN"/>
        </w:rPr>
        <w:t>，</w:t>
      </w:r>
      <w:r>
        <w:rPr>
          <w:rStyle w:val="16"/>
          <w:rFonts w:hint="eastAsia" w:ascii="仿宋_GB2312" w:hAnsi="仿宋_GB2312" w:eastAsia="仿宋_GB2312" w:cs="仿宋_GB2312"/>
          <w:b w:val="0"/>
          <w:bCs/>
          <w:color w:val="000000"/>
          <w:sz w:val="32"/>
          <w:szCs w:val="32"/>
          <w:lang w:eastAsia="zh-CN"/>
        </w:rPr>
        <w:t>决算数小于预算数的原因是厉行节约，减少公务接待频次</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年减少</w:t>
      </w:r>
      <w:r>
        <w:rPr>
          <w:rFonts w:hint="eastAsia" w:ascii="仿宋_GB2312" w:eastAsia="仿宋_GB2312"/>
          <w:color w:val="000000"/>
          <w:sz w:val="32"/>
          <w:szCs w:val="32"/>
          <w:lang w:val="en-US" w:eastAsia="zh-CN"/>
        </w:rPr>
        <w:t>0.39</w:t>
      </w:r>
      <w:r>
        <w:rPr>
          <w:rFonts w:hint="eastAsia" w:ascii="仿宋_GB2312" w:eastAsia="仿宋_GB2312"/>
          <w:color w:val="000000"/>
          <w:sz w:val="32"/>
          <w:szCs w:val="32"/>
        </w:rPr>
        <w:t>万元，下降</w:t>
      </w:r>
      <w:r>
        <w:rPr>
          <w:rFonts w:hint="eastAsia" w:ascii="仿宋_GB2312" w:eastAsia="仿宋_GB2312"/>
          <w:color w:val="000000"/>
          <w:sz w:val="32"/>
          <w:szCs w:val="32"/>
          <w:lang w:val="en-US" w:eastAsia="zh-CN"/>
        </w:rPr>
        <w:t>20.51</w:t>
      </w:r>
      <w:r>
        <w:rPr>
          <w:rFonts w:ascii="仿宋_GB2312" w:eastAsia="仿宋_GB2312"/>
          <w:color w:val="000000"/>
          <w:sz w:val="32"/>
          <w:szCs w:val="32"/>
        </w:rPr>
        <w:t>%</w:t>
      </w:r>
      <w:r>
        <w:rPr>
          <w:rStyle w:val="16"/>
          <w:rFonts w:hint="eastAsia" w:ascii="仿宋_GB2312" w:hAnsi="仿宋_GB2312" w:eastAsia="仿宋_GB2312" w:cs="仿宋_GB2312"/>
          <w:b w:val="0"/>
          <w:bCs/>
          <w:color w:val="000000"/>
          <w:sz w:val="32"/>
          <w:szCs w:val="32"/>
          <w:lang w:eastAsia="zh-CN"/>
        </w:rPr>
        <w:t>，</w:t>
      </w:r>
      <w:r>
        <w:rPr>
          <w:rFonts w:hint="eastAsia" w:ascii="仿宋_GB2312" w:eastAsia="仿宋_GB2312"/>
          <w:color w:val="000000"/>
          <w:sz w:val="32"/>
          <w:szCs w:val="32"/>
        </w:rPr>
        <w:t>主要原因是</w:t>
      </w:r>
      <w:r>
        <w:rPr>
          <w:rFonts w:hint="eastAsia" w:ascii="仿宋_GB2312" w:eastAsia="仿宋_GB2312"/>
          <w:color w:val="000000"/>
          <w:sz w:val="32"/>
          <w:szCs w:val="32"/>
          <w:lang w:val="en-US" w:eastAsia="zh-CN"/>
        </w:rPr>
        <w:t>在接待过程中严格执行中央八项规定、省委省政府十项规定、市委“六个带头”及其实施细则精神，控制接待标准，限制陪同人数，接待费开支有所下降</w:t>
      </w:r>
      <w:r>
        <w:rPr>
          <w:rFonts w:hint="eastAsia" w:ascii="仿宋_GB2312" w:eastAsia="仿宋_GB2312"/>
          <w:color w:val="000000"/>
          <w:sz w:val="32"/>
          <w:szCs w:val="32"/>
        </w:rPr>
        <w:t>。其中：</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国内公务接待支出</w:t>
      </w:r>
      <w:r>
        <w:rPr>
          <w:rFonts w:hint="eastAsia" w:ascii="仿宋" w:hAnsi="仿宋" w:eastAsia="仿宋"/>
          <w:color w:val="000000"/>
          <w:sz w:val="32"/>
          <w:szCs w:val="32"/>
          <w:lang w:val="en-US" w:eastAsia="zh-CN"/>
        </w:rPr>
        <w:t>0.83</w:t>
      </w:r>
      <w:r>
        <w:rPr>
          <w:rFonts w:hint="eastAsia" w:ascii="仿宋_GB2312" w:eastAsia="仿宋_GB2312"/>
          <w:color w:val="000000"/>
          <w:sz w:val="32"/>
          <w:szCs w:val="32"/>
        </w:rPr>
        <w:t>万元，主要用于执行公务、开展业务活动开支的用餐费等。国内公务接待</w:t>
      </w:r>
      <w:r>
        <w:rPr>
          <w:rFonts w:hint="eastAsia" w:ascii="仿宋_GB2312" w:eastAsia="仿宋_GB2312"/>
          <w:color w:val="000000"/>
          <w:sz w:val="32"/>
          <w:szCs w:val="32"/>
          <w:lang w:val="en-US" w:eastAsia="zh-CN"/>
        </w:rPr>
        <w:t>12</w:t>
      </w:r>
      <w:r>
        <w:rPr>
          <w:rFonts w:hint="eastAsia" w:ascii="仿宋_GB2312" w:eastAsia="仿宋_GB2312"/>
          <w:color w:val="000000"/>
          <w:sz w:val="32"/>
          <w:szCs w:val="32"/>
        </w:rPr>
        <w:t>批次，</w:t>
      </w:r>
      <w:r>
        <w:rPr>
          <w:rFonts w:hint="eastAsia" w:ascii="仿宋_GB2312" w:eastAsia="仿宋_GB2312"/>
          <w:color w:val="000000"/>
          <w:sz w:val="32"/>
          <w:szCs w:val="32"/>
          <w:lang w:val="en-US" w:eastAsia="zh-CN"/>
        </w:rPr>
        <w:t>84</w:t>
      </w:r>
      <w:r>
        <w:rPr>
          <w:rFonts w:hint="eastAsia" w:ascii="仿宋_GB2312" w:eastAsia="仿宋_GB2312"/>
          <w:color w:val="000000"/>
          <w:sz w:val="32"/>
          <w:szCs w:val="32"/>
        </w:rPr>
        <w:t>人次（不包括陪同人员），共计支出</w:t>
      </w:r>
      <w:r>
        <w:rPr>
          <w:rFonts w:hint="eastAsia" w:ascii="仿宋_GB2312" w:eastAsia="仿宋_GB2312"/>
          <w:color w:val="000000"/>
          <w:sz w:val="32"/>
          <w:szCs w:val="32"/>
          <w:lang w:val="en-US" w:eastAsia="zh-CN"/>
        </w:rPr>
        <w:t>0.83</w:t>
      </w:r>
      <w:r>
        <w:rPr>
          <w:rFonts w:hint="eastAsia" w:ascii="仿宋_GB2312" w:eastAsia="仿宋_GB2312"/>
          <w:color w:val="000000"/>
          <w:sz w:val="32"/>
          <w:szCs w:val="32"/>
        </w:rPr>
        <w:t>万元，具体内容包括：</w:t>
      </w:r>
      <w:r>
        <w:rPr>
          <w:rFonts w:hint="eastAsia" w:ascii="仿宋_GB2312" w:eastAsia="仿宋_GB2312"/>
          <w:color w:val="000000"/>
          <w:sz w:val="32"/>
          <w:szCs w:val="32"/>
          <w:lang w:val="en-US" w:eastAsia="zh-CN"/>
        </w:rPr>
        <w:t>省应急厅信息中心及上级部门各类检查调研、质量标准化验收、市州救援队来我队交流</w:t>
      </w:r>
      <w:r>
        <w:rPr>
          <w:rFonts w:hint="eastAsia" w:ascii="仿宋_GB2312" w:eastAsia="仿宋_GB2312"/>
          <w:color w:val="auto"/>
          <w:sz w:val="32"/>
          <w:szCs w:val="32"/>
          <w:lang w:val="en-US" w:eastAsia="zh-CN"/>
        </w:rPr>
        <w:t>考察等</w:t>
      </w:r>
      <w:r>
        <w:rPr>
          <w:rFonts w:hint="eastAsia" w:ascii="仿宋_GB2312" w:eastAsia="仿宋_GB2312"/>
          <w:color w:val="000000"/>
          <w:sz w:val="32"/>
          <w:szCs w:val="32"/>
        </w:rPr>
        <w:t>。</w:t>
      </w:r>
    </w:p>
    <w:p>
      <w:pPr>
        <w:spacing w:line="600" w:lineRule="exact"/>
        <w:ind w:firstLine="642" w:firstLineChars="200"/>
        <w:rPr>
          <w:rFonts w:ascii="黑体" w:eastAsia="黑体"/>
          <w:color w:val="000000"/>
          <w:sz w:val="32"/>
          <w:szCs w:val="32"/>
        </w:rPr>
      </w:pPr>
      <w:r>
        <w:rPr>
          <w:rFonts w:hint="eastAsia" w:ascii="仿宋_GB2312" w:eastAsia="仿宋_GB2312"/>
          <w:b/>
          <w:color w:val="000000"/>
          <w:sz w:val="32"/>
          <w:szCs w:val="32"/>
        </w:rPr>
        <w:t>外事接待支出</w:t>
      </w:r>
      <w:r>
        <w:rPr>
          <w:rFonts w:hint="eastAsia" w:ascii="仿宋" w:hAnsi="仿宋" w:eastAsia="仿宋"/>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lang w:eastAsia="zh-CN"/>
          <w14:textFill>
            <w14:solidFill>
              <w14:schemeClr w14:val="tx1"/>
            </w14:solidFill>
          </w14:textFill>
        </w:rPr>
        <w:t>。</w:t>
      </w:r>
      <w:bookmarkStart w:id="46" w:name="_Toc15377218"/>
      <w:bookmarkStart w:id="47" w:name="_Toc15396610"/>
    </w:p>
    <w:p>
      <w:pPr>
        <w:spacing w:line="600" w:lineRule="exact"/>
        <w:ind w:firstLine="640"/>
        <w:outlineLvl w:val="1"/>
        <w:rPr>
          <w:rStyle w:val="27"/>
          <w:rFonts w:ascii="黑体" w:hAnsi="黑体" w:eastAsia="黑体"/>
        </w:rPr>
      </w:pPr>
      <w:r>
        <w:rPr>
          <w:rFonts w:hint="eastAsia" w:ascii="黑体" w:eastAsia="黑体"/>
          <w:color w:val="000000"/>
          <w:sz w:val="32"/>
          <w:szCs w:val="32"/>
        </w:rPr>
        <w:t>八、</w:t>
      </w:r>
      <w:r>
        <w:rPr>
          <w:rStyle w:val="27"/>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lang w:val="en-US" w:eastAsia="zh-CN"/>
        </w:rPr>
        <w:t>2020年本单位未在政府性基金预算拨款安排“三公经费”支出。2020</w:t>
      </w:r>
      <w:r>
        <w:rPr>
          <w:rFonts w:hint="eastAsia" w:ascii="仿宋_GB2312" w:eastAsia="仿宋_GB2312"/>
          <w:color w:val="000000"/>
          <w:sz w:val="32"/>
          <w:szCs w:val="32"/>
        </w:rPr>
        <w:t>年政府性基金预算拨款支出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numPr>
          <w:ilvl w:val="0"/>
          <w:numId w:val="1"/>
        </w:numPr>
        <w:spacing w:line="600" w:lineRule="exact"/>
        <w:ind w:firstLine="640"/>
        <w:outlineLvl w:val="1"/>
        <w:rPr>
          <w:rStyle w:val="27"/>
          <w:rFonts w:ascii="黑体" w:hAnsi="黑体" w:eastAsia="黑体"/>
          <w:b w:val="0"/>
        </w:rPr>
      </w:pPr>
      <w:bookmarkStart w:id="48" w:name="_Toc15377219"/>
      <w:bookmarkStart w:id="49" w:name="_Toc15396611"/>
      <w:r>
        <w:rPr>
          <w:rStyle w:val="27"/>
          <w:rFonts w:hint="eastAsia" w:ascii="黑体" w:hAnsi="黑体" w:eastAsia="黑体"/>
          <w:b w:val="0"/>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sz w:val="44"/>
          <w:szCs w:val="44"/>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年国有资本经营预算拨款支出</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spacing w:line="600" w:lineRule="exact"/>
        <w:ind w:firstLine="800" w:firstLineChars="250"/>
        <w:outlineLvl w:val="1"/>
        <w:rPr>
          <w:rStyle w:val="27"/>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27"/>
          <w:rFonts w:hint="eastAsia" w:ascii="黑体" w:hAnsi="黑体" w:eastAsia="黑体"/>
        </w:rPr>
        <w:t>、</w:t>
      </w:r>
      <w:r>
        <w:rPr>
          <w:rStyle w:val="27"/>
          <w:rFonts w:hint="eastAsia" w:ascii="黑体" w:hAnsi="黑体" w:eastAsia="黑体"/>
          <w:b w:val="0"/>
        </w:rPr>
        <w:t>其他重要事项的情况说明</w:t>
      </w:r>
      <w:bookmarkEnd w:id="50"/>
      <w:bookmarkEnd w:id="51"/>
    </w:p>
    <w:p>
      <w:pPr>
        <w:pStyle w:val="6"/>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bookmarkStart w:id="52" w:name="_Toc15377222"/>
      <w:r>
        <w:rPr>
          <w:rFonts w:hint="eastAsia" w:ascii="楷体_GB2312" w:hAnsi="楷体_GB2312" w:eastAsia="楷体_GB2312" w:cs="楷体_GB2312"/>
          <w:bCs/>
          <w:color w:val="000000"/>
          <w:sz w:val="32"/>
          <w:szCs w:val="32"/>
        </w:rPr>
        <w:t>（一）机关运行经费支出情况</w:t>
      </w:r>
      <w:bookmarkEnd w:id="52"/>
    </w:p>
    <w:p>
      <w:pPr>
        <w:spacing w:line="600" w:lineRule="exact"/>
        <w:ind w:firstLine="640" w:firstLineChars="200"/>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广元市生产安全应急救援支队未安排机关运行经费支出，主要原因是单位性质属于其他事业单位，不产生机关运行经费</w:t>
      </w:r>
      <w:r>
        <w:rPr>
          <w:rFonts w:hint="eastAsia" w:ascii="仿宋_GB2312" w:eastAsia="仿宋_GB2312"/>
          <w:color w:val="000000" w:themeColor="text1"/>
          <w:sz w:val="32"/>
          <w:szCs w:val="32"/>
          <w:lang w:val="en-US" w:eastAsia="zh-CN"/>
          <w14:textFill>
            <w14:solidFill>
              <w14:schemeClr w14:val="tx1"/>
            </w14:solidFill>
          </w14:textFill>
        </w:rPr>
        <w:t>。</w:t>
      </w:r>
    </w:p>
    <w:p>
      <w:pPr>
        <w:pStyle w:val="6"/>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bookmarkStart w:id="53" w:name="_Toc15377223"/>
      <w:r>
        <w:rPr>
          <w:rFonts w:hint="eastAsia" w:ascii="楷体_GB2312" w:hAnsi="楷体_GB2312" w:eastAsia="楷体_GB2312" w:cs="楷体_GB2312"/>
          <w:bCs/>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hint="eastAsia" w:ascii="仿宋_GB2312" w:eastAsia="仿宋_GB2312"/>
          <w:color w:val="000000"/>
          <w:sz w:val="32"/>
          <w:szCs w:val="32"/>
          <w:lang w:val="en-US" w:eastAsia="zh-CN"/>
        </w:rPr>
        <w:t>广元市生产安全应急救援支队</w:t>
      </w:r>
      <w:r>
        <w:rPr>
          <w:rFonts w:hint="eastAsia" w:ascii="仿宋_GB2312" w:eastAsia="仿宋_GB2312"/>
          <w:color w:val="000000"/>
          <w:sz w:val="32"/>
          <w:szCs w:val="32"/>
        </w:rPr>
        <w:t>政府采购支出总额</w:t>
      </w:r>
      <w:r>
        <w:rPr>
          <w:rFonts w:hint="eastAsia" w:ascii="仿宋_GB2312" w:eastAsia="仿宋_GB2312"/>
          <w:color w:val="000000"/>
          <w:sz w:val="32"/>
          <w:szCs w:val="32"/>
          <w:lang w:val="en-US" w:eastAsia="zh-CN"/>
        </w:rPr>
        <w:t>149.43</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主要用于</w:t>
      </w:r>
      <w:r>
        <w:rPr>
          <w:rFonts w:hint="eastAsia" w:ascii="仿宋_GB2312" w:eastAsia="仿宋_GB2312"/>
          <w:color w:val="000000"/>
          <w:sz w:val="32"/>
          <w:szCs w:val="32"/>
          <w:lang w:val="en-US" w:eastAsia="zh-CN"/>
        </w:rPr>
        <w:t>应急救援设备购置项目</w:t>
      </w:r>
      <w:r>
        <w:rPr>
          <w:rFonts w:hint="eastAsia" w:ascii="仿宋_GB2312" w:eastAsia="仿宋_GB2312"/>
          <w:color w:val="000000"/>
          <w:sz w:val="32"/>
          <w:szCs w:val="32"/>
        </w:rPr>
        <w:t>。授予中小企业合同金额</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p>
    <w:p>
      <w:pPr>
        <w:pStyle w:val="6"/>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bookmarkStart w:id="54" w:name="_Toc15377224"/>
      <w:r>
        <w:rPr>
          <w:rFonts w:hint="eastAsia" w:ascii="楷体_GB2312" w:hAnsi="楷体_GB2312" w:eastAsia="楷体_GB2312" w:cs="楷体_GB2312"/>
          <w:bCs/>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color w:val="000000"/>
          <w:sz w:val="32"/>
          <w:szCs w:val="32"/>
        </w:rPr>
        <w:t>截至</w:t>
      </w:r>
      <w:r>
        <w:rPr>
          <w:rFonts w:hint="eastAsia" w:ascii="仿宋_GB2312" w:eastAsia="仿宋_GB2312"/>
          <w:color w:val="000000"/>
          <w:sz w:val="32"/>
          <w:szCs w:val="32"/>
          <w:lang w:val="en-US" w:eastAsia="zh-CN"/>
        </w:rPr>
        <w:t>2020</w:t>
      </w:r>
      <w:r>
        <w:rPr>
          <w:rFonts w:hint="eastAsia" w:ascii="仿宋_GB2312" w:eastAsia="仿宋_GB2312"/>
          <w:color w:val="000000"/>
          <w:sz w:val="32"/>
          <w:szCs w:val="32"/>
        </w:rPr>
        <w:t>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广元市生产安全应急救援支队</w:t>
      </w:r>
      <w:r>
        <w:rPr>
          <w:rFonts w:hint="eastAsia" w:ascii="仿宋_GB2312" w:eastAsia="仿宋_GB2312"/>
          <w:color w:val="000000"/>
          <w:sz w:val="32"/>
          <w:szCs w:val="32"/>
        </w:rPr>
        <w:t>共有车辆</w:t>
      </w:r>
      <w:r>
        <w:rPr>
          <w:rFonts w:hint="eastAsia" w:ascii="仿宋_GB2312" w:eastAsia="仿宋_GB2312"/>
          <w:color w:val="000000"/>
          <w:sz w:val="32"/>
          <w:szCs w:val="32"/>
          <w:lang w:val="en-US" w:eastAsia="zh-CN"/>
        </w:rPr>
        <w:t>11</w:t>
      </w:r>
      <w:r>
        <w:rPr>
          <w:rFonts w:hint="eastAsia" w:ascii="仿宋_GB2312" w:eastAsia="仿宋_GB2312"/>
          <w:color w:val="000000"/>
          <w:sz w:val="32"/>
          <w:szCs w:val="32"/>
        </w:rPr>
        <w:t>辆，其中：应急</w:t>
      </w:r>
      <w:r>
        <w:rPr>
          <w:rFonts w:hint="eastAsia" w:ascii="仿宋_GB2312" w:eastAsia="仿宋_GB2312"/>
          <w:color w:val="000000"/>
          <w:sz w:val="32"/>
          <w:szCs w:val="32"/>
          <w:lang w:eastAsia="zh-CN"/>
        </w:rPr>
        <w:t>救援</w:t>
      </w:r>
      <w:r>
        <w:rPr>
          <w:rFonts w:hint="eastAsia" w:ascii="仿宋_GB2312" w:eastAsia="仿宋_GB2312"/>
          <w:color w:val="000000"/>
          <w:sz w:val="32"/>
          <w:szCs w:val="32"/>
          <w:lang w:val="en-US" w:eastAsia="zh-CN"/>
        </w:rPr>
        <w:t>7辆，应急救援</w:t>
      </w:r>
      <w:r>
        <w:rPr>
          <w:rFonts w:hint="eastAsia" w:ascii="仿宋_GB2312" w:eastAsia="仿宋_GB2312"/>
          <w:color w:val="000000"/>
          <w:sz w:val="32"/>
          <w:szCs w:val="32"/>
        </w:rPr>
        <w:t>保障用车</w:t>
      </w:r>
      <w:r>
        <w:rPr>
          <w:rFonts w:hint="eastAsia" w:ascii="仿宋_GB2312" w:eastAsia="仿宋_GB2312"/>
          <w:color w:val="000000"/>
          <w:sz w:val="32"/>
          <w:szCs w:val="32"/>
          <w:lang w:val="en-US" w:eastAsia="zh-CN"/>
        </w:rPr>
        <w:t>3</w:t>
      </w:r>
      <w:r>
        <w:rPr>
          <w:rFonts w:hint="eastAsia" w:ascii="仿宋_GB2312" w:eastAsia="仿宋_GB2312"/>
          <w:color w:val="000000"/>
          <w:sz w:val="32"/>
          <w:szCs w:val="32"/>
        </w:rPr>
        <w:t>辆、</w:t>
      </w:r>
      <w:r>
        <w:rPr>
          <w:rFonts w:hint="eastAsia" w:ascii="仿宋_GB2312" w:eastAsia="仿宋_GB2312"/>
          <w:color w:val="000000"/>
          <w:sz w:val="32"/>
          <w:szCs w:val="32"/>
          <w:lang w:eastAsia="zh-CN"/>
        </w:rPr>
        <w:t>应急救援装备</w:t>
      </w:r>
      <w:r>
        <w:rPr>
          <w:rFonts w:hint="eastAsia" w:ascii="仿宋_GB2312" w:eastAsia="仿宋_GB2312"/>
          <w:color w:val="000000"/>
          <w:sz w:val="32"/>
          <w:szCs w:val="32"/>
        </w:rPr>
        <w:t>车</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辆</w:t>
      </w:r>
      <w:r>
        <w:rPr>
          <w:rFonts w:hint="eastAsia" w:ascii="仿宋_GB2312" w:eastAsia="仿宋_GB2312"/>
          <w:color w:val="000000"/>
          <w:sz w:val="32"/>
          <w:szCs w:val="32"/>
          <w:lang w:val="en-US" w:eastAsia="zh-CN"/>
        </w:rPr>
        <w:t>。</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w:t>
      </w:r>
      <w:r>
        <w:rPr>
          <w:rFonts w:hint="eastAsia" w:ascii="仿宋_GB2312" w:eastAsia="仿宋_GB2312"/>
          <w:color w:val="000000" w:themeColor="text1"/>
          <w:sz w:val="32"/>
          <w:szCs w:val="32"/>
          <w:lang w:val="en-US" w:eastAsia="zh-CN"/>
          <w14:textFill>
            <w14:solidFill>
              <w14:schemeClr w14:val="tx1"/>
            </w14:solidFill>
          </w14:textFill>
        </w:rPr>
        <w:t>0</w:t>
      </w:r>
      <w:r>
        <w:rPr>
          <w:rFonts w:hint="eastAsia" w:ascii="仿宋_GB2312" w:eastAsia="仿宋_GB2312"/>
          <w:color w:val="000000" w:themeColor="text1"/>
          <w:sz w:val="32"/>
          <w:szCs w:val="32"/>
          <w14:textFill>
            <w14:solidFill>
              <w14:schemeClr w14:val="tx1"/>
            </w14:solidFill>
          </w14:textFill>
        </w:rPr>
        <w:t>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台（套）。</w:t>
      </w:r>
    </w:p>
    <w:p>
      <w:pPr>
        <w:pStyle w:val="6"/>
        <w:adjustRightInd w:val="0"/>
        <w:snapToGrid w:val="0"/>
        <w:spacing w:before="93" w:line="600" w:lineRule="exact"/>
        <w:ind w:firstLine="672" w:firstLineChars="210"/>
        <w:outlineLvl w:val="2"/>
        <w:rPr>
          <w:rFonts w:hint="eastAsia"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（四）预算绩效管理情况</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根据预算绩效管理要求，支队在年初预算编制阶段，组织对6个项目编制了绩效目标，预算执行过程中，选取6个项目开展绩效监控，年终执行完毕后，对6个项目开展了绩效目标完成情况自评。</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支队按要求对2020年支队整体支出开展绩效自评，从评价情况来看合理编制了计划、当年要完成的工作任务和预期要完成的绩效目标。项目绩效目标进一步明确和量化，包括数量、质量、成本、时效、社会效益、满意度等能较完整细致地反映年度预算执行情况及职责履行情况。项目实施中，加强项目实施监控，严肃财政纪律，规范财务管理，没有违纪违规情况，做到了资金专款专用。</w:t>
      </w:r>
    </w:p>
    <w:p>
      <w:pPr>
        <w:spacing w:line="600" w:lineRule="exact"/>
        <w:ind w:firstLine="642" w:firstLineChars="200"/>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1.项目绩效目标完成情况。</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支队在2020年度决算中反映“应急救援39人基本保障经费”“特种车辆运行维护费”“应急救援物资储备费”“应急救援信息平台建设费”“精准扶贫专项经费”“应急救援业务能力提升经费”等6个项目绩效目标实际完成情况。</w:t>
      </w:r>
    </w:p>
    <w:p>
      <w:pPr>
        <w:spacing w:line="600" w:lineRule="exact"/>
        <w:ind w:firstLine="640" w:firstLineChars="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应急救援39人基本保障经费项目绩效目标完成情况综述。项目全年预算数226.86万元，执行数为226.86万元，完成预算的100%。通过项目实施，保障了应急救援临聘人员基本保障各项工作有序开展，保证应急救援队伍持续发展，圆满完成了各项目标任务。发现的主要问题：项目测算标准有待细化，测算准确率有待提高。下一步改进措施：细化预算编制工作，提升预算准确度和执行进度。</w:t>
      </w:r>
    </w:p>
    <w:p>
      <w:pPr>
        <w:spacing w:line="600" w:lineRule="exact"/>
        <w:jc w:val="center"/>
        <w:rPr>
          <w:rFonts w:hint="eastAsia" w:ascii="方正小标宋简体" w:hAnsi="方正小标宋简体" w:eastAsia="方正小标宋简体" w:cs="方正小标宋简体"/>
          <w:b w:val="0"/>
          <w:bCs w:val="0"/>
          <w:kern w:val="2"/>
          <w:sz w:val="32"/>
          <w:szCs w:val="32"/>
          <w:lang w:val="en-US" w:eastAsia="zh-CN" w:bidi="ar-SA"/>
        </w:rPr>
      </w:pPr>
    </w:p>
    <w:p>
      <w:pPr>
        <w:spacing w:line="600" w:lineRule="exact"/>
        <w:jc w:val="center"/>
        <w:rPr>
          <w:rFonts w:hint="eastAsia" w:ascii="方正小标宋简体" w:hAnsi="方正小标宋简体" w:eastAsia="方正小标宋简体" w:cs="方正小标宋简体"/>
          <w:b w:val="0"/>
          <w:bCs w:val="0"/>
          <w:kern w:val="2"/>
          <w:sz w:val="32"/>
          <w:szCs w:val="32"/>
          <w:lang w:val="en-US" w:eastAsia="zh-CN" w:bidi="ar-SA"/>
        </w:rPr>
      </w:pPr>
    </w:p>
    <w:p>
      <w:pPr>
        <w:spacing w:line="600" w:lineRule="exact"/>
        <w:jc w:val="center"/>
        <w:rPr>
          <w:rFonts w:hint="eastAsia" w:ascii="方正小标宋简体" w:hAnsi="方正小标宋简体" w:eastAsia="方正小标宋简体" w:cs="方正小标宋简体"/>
          <w:b w:val="0"/>
          <w:bCs w:val="0"/>
          <w:kern w:val="2"/>
          <w:sz w:val="32"/>
          <w:szCs w:val="32"/>
          <w:lang w:val="en-US" w:eastAsia="zh-CN" w:bidi="ar-SA"/>
        </w:rPr>
      </w:pPr>
    </w:p>
    <w:p>
      <w:pPr>
        <w:spacing w:line="600" w:lineRule="exact"/>
        <w:jc w:val="center"/>
        <w:rPr>
          <w:rFonts w:hint="eastAsia" w:ascii="方正小标宋简体" w:hAnsi="方正小标宋简体" w:eastAsia="方正小标宋简体" w:cs="方正小标宋简体"/>
          <w:b w:val="0"/>
          <w:bCs w:val="0"/>
          <w:kern w:val="2"/>
          <w:sz w:val="32"/>
          <w:szCs w:val="32"/>
          <w:lang w:val="en-US" w:eastAsia="zh-CN" w:bidi="ar-SA"/>
        </w:rPr>
      </w:pPr>
    </w:p>
    <w:p>
      <w:pPr>
        <w:spacing w:line="600" w:lineRule="exact"/>
        <w:jc w:val="center"/>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项目支出绩效目标完成情况表</w:t>
      </w:r>
    </w:p>
    <w:p>
      <w:pPr>
        <w:spacing w:line="600" w:lineRule="exact"/>
        <w:jc w:val="center"/>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(2020年度)</w:t>
      </w:r>
    </w:p>
    <w:tbl>
      <w:tblPr>
        <w:tblStyle w:val="14"/>
        <w:tblpPr w:leftFromText="180" w:rightFromText="180" w:vertAnchor="text" w:horzAnchor="page" w:tblpXSpec="center" w:tblpY="423"/>
        <w:tblOverlap w:val="never"/>
        <w:tblW w:w="9458" w:type="dxa"/>
        <w:tblInd w:w="0" w:type="dxa"/>
        <w:tblLayout w:type="fixed"/>
        <w:tblCellMar>
          <w:top w:w="0" w:type="dxa"/>
          <w:left w:w="0" w:type="dxa"/>
          <w:bottom w:w="0" w:type="dxa"/>
          <w:right w:w="0" w:type="dxa"/>
        </w:tblCellMar>
      </w:tblPr>
      <w:tblGrid>
        <w:gridCol w:w="608"/>
        <w:gridCol w:w="1149"/>
        <w:gridCol w:w="1025"/>
        <w:gridCol w:w="2071"/>
        <w:gridCol w:w="2715"/>
        <w:gridCol w:w="1890"/>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667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应急救援39人基本保障经费</w:t>
            </w:r>
          </w:p>
        </w:tc>
      </w:tr>
      <w:tr>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667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广元市生产安全应急救援支队</w:t>
            </w:r>
          </w:p>
        </w:tc>
      </w:tr>
      <w:tr>
        <w:tblPrEx>
          <w:tblCellMar>
            <w:top w:w="0" w:type="dxa"/>
            <w:left w:w="0" w:type="dxa"/>
            <w:bottom w:w="0" w:type="dxa"/>
            <w:right w:w="0" w:type="dxa"/>
          </w:tblCellMar>
        </w:tblPrEx>
        <w:trPr>
          <w:trHeight w:val="276" w:hRule="atLeast"/>
        </w:trPr>
        <w:tc>
          <w:tcPr>
            <w:tcW w:w="6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1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226.86</w:t>
            </w: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226.86</w:t>
            </w:r>
          </w:p>
        </w:tc>
      </w:tr>
      <w:tr>
        <w:tblPrEx>
          <w:tblCellMar>
            <w:top w:w="0" w:type="dxa"/>
            <w:left w:w="0" w:type="dxa"/>
            <w:bottom w:w="0" w:type="dxa"/>
            <w:right w:w="0" w:type="dxa"/>
          </w:tblCellMar>
        </w:tblPrEx>
        <w:trPr>
          <w:trHeight w:val="276"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21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226.86</w:t>
            </w: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226.86</w:t>
            </w:r>
          </w:p>
        </w:tc>
      </w:tr>
      <w:tr>
        <w:trPr>
          <w:trHeight w:val="1031"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217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76" w:hRule="atLeast"/>
        </w:trPr>
        <w:tc>
          <w:tcPr>
            <w:tcW w:w="6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2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6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424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支付控制性编制39人工资、五险一金及工作经费。</w:t>
            </w:r>
          </w:p>
        </w:tc>
        <w:tc>
          <w:tcPr>
            <w:tcW w:w="460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支付控制性编制39人工资、五险一金及工作经费。</w:t>
            </w:r>
          </w:p>
        </w:tc>
      </w:tr>
      <w:tr>
        <w:trPr>
          <w:trHeight w:val="767" w:hRule="atLeast"/>
        </w:trPr>
        <w:tc>
          <w:tcPr>
            <w:tcW w:w="60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718"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数量指标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39人员工资和保险</w:t>
            </w: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保障39名应急救援聘用人员经费</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保障39名应急救援聘用人员经费</w:t>
            </w:r>
          </w:p>
        </w:tc>
      </w:tr>
      <w:tr>
        <w:tblPrEx>
          <w:tblCellMar>
            <w:top w:w="0" w:type="dxa"/>
            <w:left w:w="0" w:type="dxa"/>
            <w:bottom w:w="0" w:type="dxa"/>
            <w:right w:w="0" w:type="dxa"/>
          </w:tblCellMar>
        </w:tblPrEx>
        <w:trPr>
          <w:trHeight w:val="722"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lang w:val="en-US" w:eastAsia="zh-CN"/>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质量指标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保证应急救援队伍建设，提升应急救援能力</w:t>
            </w: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辞职率控制在3%以内</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辞职率控制在3%以内</w:t>
            </w:r>
          </w:p>
        </w:tc>
      </w:tr>
      <w:tr>
        <w:tblPrEx>
          <w:tblCellMar>
            <w:top w:w="0" w:type="dxa"/>
            <w:left w:w="0" w:type="dxa"/>
            <w:bottom w:w="0" w:type="dxa"/>
            <w:right w:w="0" w:type="dxa"/>
          </w:tblCellMar>
        </w:tblPrEx>
        <w:trPr>
          <w:trHeight w:val="667" w:hRule="atLeast"/>
        </w:trPr>
        <w:tc>
          <w:tcPr>
            <w:tcW w:w="60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时效指标</w:t>
            </w: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工资和保险资金支付</w:t>
            </w: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按时支付工资，缴纳保险</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按时支付工资，缴纳保险</w:t>
            </w:r>
          </w:p>
        </w:tc>
      </w:tr>
      <w:tr>
        <w:tblPrEx>
          <w:tblCellMar>
            <w:top w:w="0" w:type="dxa"/>
            <w:left w:w="0" w:type="dxa"/>
            <w:bottom w:w="0" w:type="dxa"/>
            <w:right w:w="0" w:type="dxa"/>
          </w:tblCellMar>
        </w:tblPrEx>
        <w:trPr>
          <w:trHeight w:val="612" w:hRule="atLeast"/>
        </w:trPr>
        <w:tc>
          <w:tcPr>
            <w:tcW w:w="608" w:type="dxa"/>
            <w:vMerge w:val="continue"/>
            <w:tcBorders>
              <w:left w:val="single" w:color="000000" w:sz="4" w:space="0"/>
              <w:bottom w:val="single" w:color="auto"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1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p>
        </w:tc>
        <w:tc>
          <w:tcPr>
            <w:tcW w:w="207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救援指战员满意度</w:t>
            </w:r>
          </w:p>
        </w:tc>
        <w:tc>
          <w:tcPr>
            <w:tcW w:w="271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c>
          <w:tcPr>
            <w:tcW w:w="189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100%</w:t>
            </w:r>
          </w:p>
        </w:tc>
      </w:tr>
    </w:tbl>
    <w:p>
      <w:pPr>
        <w:pStyle w:val="2"/>
        <w:rPr>
          <w:rFonts w:hint="eastAsia"/>
          <w:lang w:val="en-US" w:eastAsia="zh-CN"/>
        </w:rPr>
        <w:sectPr>
          <w:footerReference r:id="rId5" w:type="first"/>
          <w:footerReference r:id="rId4" w:type="default"/>
          <w:pgSz w:w="11906" w:h="16838"/>
          <w:pgMar w:top="1440" w:right="1800" w:bottom="1440" w:left="1800" w:header="851" w:footer="992" w:gutter="0"/>
          <w:pgNumType w:fmt="numberInDash"/>
          <w:cols w:space="425" w:num="1"/>
          <w:titlePg/>
          <w:docGrid w:type="lines" w:linePitch="312" w:charSpace="0"/>
        </w:sectPr>
      </w:pPr>
    </w:p>
    <w:p>
      <w:pPr>
        <w:numPr>
          <w:ilvl w:val="0"/>
          <w:numId w:val="0"/>
        </w:numPr>
        <w:spacing w:line="580" w:lineRule="exact"/>
        <w:ind w:firstLine="640" w:firstLineChars="200"/>
        <w:rPr>
          <w:rFonts w:hint="eastAsia"/>
        </w:rPr>
      </w:pPr>
      <w:r>
        <w:rPr>
          <w:rFonts w:hint="eastAsia" w:ascii="仿宋_GB2312" w:hAnsi="仿宋_GB2312" w:eastAsia="仿宋_GB2312" w:cs="仿宋_GB2312"/>
          <w:sz w:val="32"/>
          <w:szCs w:val="32"/>
          <w:lang w:val="en-US" w:eastAsia="zh-CN"/>
        </w:rPr>
        <w:t>（2）特种车辆运行维护费</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进一步完善了应急救援装备设施设备运行维护保养，</w:t>
      </w:r>
      <w:r>
        <w:rPr>
          <w:rFonts w:hint="eastAsia" w:ascii="仿宋_GB2312" w:hAnsi="仿宋_GB2312" w:eastAsia="仿宋_GB2312" w:cs="仿宋_GB2312"/>
          <w:sz w:val="32"/>
          <w:szCs w:val="32"/>
        </w:rPr>
        <w:t>保障</w:t>
      </w:r>
      <w:r>
        <w:rPr>
          <w:rFonts w:hint="eastAsia" w:ascii="仿宋_GB2312" w:hAnsi="仿宋_GB2312" w:eastAsia="仿宋_GB2312" w:cs="仿宋_GB2312"/>
          <w:sz w:val="32"/>
          <w:szCs w:val="32"/>
          <w:lang w:val="en-US" w:eastAsia="zh-CN"/>
        </w:rPr>
        <w:t>应急救援工作正常开展，提升了工作效率。</w:t>
      </w:r>
      <w:r>
        <w:rPr>
          <w:rFonts w:hint="eastAsia" w:ascii="仿宋_GB2312" w:hAnsi="仿宋_GB2312" w:eastAsia="仿宋_GB2312" w:cs="仿宋_GB2312"/>
          <w:sz w:val="32"/>
          <w:szCs w:val="32"/>
        </w:rPr>
        <w:t>发现的主要问题：</w:t>
      </w:r>
      <w:r>
        <w:rPr>
          <w:rFonts w:hint="eastAsia" w:ascii="仿宋_GB2312" w:hAnsi="仿宋_GB2312" w:eastAsia="仿宋_GB2312" w:cs="仿宋_GB2312"/>
          <w:sz w:val="32"/>
          <w:szCs w:val="32"/>
          <w:lang w:val="en-US" w:eastAsia="zh-CN"/>
        </w:rPr>
        <w:t>项目测算标准有待细化，采购设备标准有待提高</w:t>
      </w:r>
      <w:r>
        <w:rPr>
          <w:rFonts w:hint="eastAsia" w:ascii="仿宋_GB2312" w:hAnsi="仿宋_GB2312" w:eastAsia="仿宋_GB2312" w:cs="仿宋_GB2312"/>
          <w:sz w:val="32"/>
          <w:szCs w:val="32"/>
        </w:rPr>
        <w:t>。下一步改进</w:t>
      </w:r>
      <w:r>
        <w:rPr>
          <w:rFonts w:hint="eastAsia" w:ascii="仿宋_GB2312" w:hAnsi="仿宋_GB2312" w:eastAsia="仿宋_GB2312" w:cs="仿宋_GB2312"/>
          <w:color w:val="auto"/>
          <w:sz w:val="32"/>
          <w:szCs w:val="32"/>
        </w:rPr>
        <w:t>措施</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i w:val="0"/>
          <w:caps w:val="0"/>
          <w:color w:val="auto"/>
          <w:spacing w:val="0"/>
          <w:sz w:val="32"/>
          <w:szCs w:val="32"/>
          <w:shd w:val="clear" w:color="auto" w:fill="FFFFFF"/>
        </w:rPr>
        <w:t>细化预算编制工作，</w:t>
      </w:r>
      <w:r>
        <w:rPr>
          <w:rFonts w:hint="eastAsia" w:ascii="仿宋_GB2312" w:hAnsi="仿宋_GB2312" w:eastAsia="仿宋_GB2312" w:cs="仿宋_GB2312"/>
          <w:i w:val="0"/>
          <w:caps w:val="0"/>
          <w:color w:val="auto"/>
          <w:spacing w:val="0"/>
          <w:sz w:val="32"/>
          <w:szCs w:val="32"/>
          <w:shd w:val="clear" w:color="auto" w:fill="FFFFFF"/>
          <w:lang w:val="en-US" w:eastAsia="zh-CN"/>
        </w:rPr>
        <w:t>严格把控质量和环保标准</w:t>
      </w:r>
      <w:r>
        <w:rPr>
          <w:rFonts w:hint="eastAsia" w:ascii="仿宋_GB2312" w:hAnsi="仿宋_GB2312" w:eastAsia="仿宋_GB2312" w:cs="仿宋_GB2312"/>
          <w:i w:val="0"/>
          <w:caps w:val="0"/>
          <w:color w:val="auto"/>
          <w:spacing w:val="0"/>
          <w:sz w:val="32"/>
          <w:szCs w:val="32"/>
          <w:shd w:val="clear" w:color="auto" w:fill="FFFFFF"/>
        </w:rPr>
        <w:t>。</w:t>
      </w:r>
    </w:p>
    <w:tbl>
      <w:tblPr>
        <w:tblStyle w:val="14"/>
        <w:tblpPr w:leftFromText="180" w:rightFromText="180" w:vertAnchor="text" w:horzAnchor="page" w:tblpX="956" w:tblpY="44"/>
        <w:tblOverlap w:val="never"/>
        <w:tblW w:w="10421" w:type="dxa"/>
        <w:tblInd w:w="0" w:type="dxa"/>
        <w:tblLayout w:type="fixed"/>
        <w:tblCellMar>
          <w:top w:w="0" w:type="dxa"/>
          <w:left w:w="0" w:type="dxa"/>
          <w:bottom w:w="0" w:type="dxa"/>
          <w:right w:w="0" w:type="dxa"/>
        </w:tblCellMar>
      </w:tblPr>
      <w:tblGrid>
        <w:gridCol w:w="596"/>
        <w:gridCol w:w="1161"/>
        <w:gridCol w:w="1025"/>
        <w:gridCol w:w="2749"/>
        <w:gridCol w:w="2037"/>
        <w:gridCol w:w="2853"/>
      </w:tblGrid>
      <w:tr>
        <w:tblPrEx>
          <w:tblCellMar>
            <w:top w:w="0" w:type="dxa"/>
            <w:left w:w="0" w:type="dxa"/>
            <w:bottom w:w="0" w:type="dxa"/>
            <w:right w:w="0" w:type="dxa"/>
          </w:tblCellMar>
        </w:tblPrEx>
        <w:trPr>
          <w:trHeight w:val="1034" w:hRule="atLeast"/>
        </w:trPr>
        <w:tc>
          <w:tcPr>
            <w:tcW w:w="10421" w:type="dxa"/>
            <w:gridSpan w:val="6"/>
            <w:noWrap w:val="0"/>
            <w:tcMar>
              <w:top w:w="15" w:type="dxa"/>
              <w:left w:w="15" w:type="dxa"/>
              <w:bottom w:w="0" w:type="dxa"/>
              <w:right w:w="15" w:type="dxa"/>
            </w:tcMar>
            <w:vAlign w:val="center"/>
          </w:tcPr>
          <w:p>
            <w:pPr>
              <w:pStyle w:val="25"/>
              <w:widowControl/>
              <w:ind w:left="4015" w:leftChars="1310" w:hanging="1264" w:hangingChars="395"/>
              <w:textAlignment w:val="center"/>
              <w:rPr>
                <w:rFonts w:hint="eastAsia" w:ascii="方正小标宋简体" w:hAnsi="方正小标宋简体" w:eastAsia="方正小标宋简体" w:cs="方正小标宋简体"/>
                <w:b w:val="0"/>
                <w:bCs w:val="0"/>
                <w:kern w:val="2"/>
                <w:sz w:val="32"/>
                <w:szCs w:val="32"/>
                <w:lang w:val="en-US" w:eastAsia="zh-CN" w:bidi="ar-SA"/>
              </w:rPr>
            </w:pPr>
            <w:r>
              <w:rPr>
                <w:rFonts w:hint="eastAsia" w:ascii="方正小标宋简体" w:hAnsi="方正小标宋简体" w:eastAsia="方正小标宋简体" w:cs="方正小标宋简体"/>
                <w:b w:val="0"/>
                <w:bCs w:val="0"/>
                <w:kern w:val="2"/>
                <w:sz w:val="32"/>
                <w:szCs w:val="32"/>
                <w:lang w:val="en-US" w:eastAsia="zh-CN" w:bidi="ar-SA"/>
              </w:rPr>
              <w:t>项目支出绩效目标完成情况表</w:t>
            </w:r>
          </w:p>
          <w:p>
            <w:pPr>
              <w:pStyle w:val="25"/>
              <w:widowControl/>
              <w:ind w:left="4015" w:leftChars="1310" w:hanging="1264" w:hangingChars="395"/>
              <w:textAlignment w:val="center"/>
              <w:rPr>
                <w:rFonts w:ascii="宋体" w:hAnsi="宋体" w:cs="宋体"/>
                <w:color w:val="000000"/>
                <w:sz w:val="36"/>
                <w:szCs w:val="36"/>
              </w:rPr>
            </w:pPr>
            <w:r>
              <w:rPr>
                <w:rFonts w:hint="eastAsia" w:ascii="方正小标宋简体" w:hAnsi="方正小标宋简体" w:eastAsia="方正小标宋简体" w:cs="方正小标宋简体"/>
                <w:b w:val="0"/>
                <w:bCs w:val="0"/>
                <w:kern w:val="2"/>
                <w:sz w:val="32"/>
                <w:szCs w:val="32"/>
                <w:lang w:val="en-US" w:eastAsia="zh-CN" w:bidi="ar-SA"/>
              </w:rPr>
              <w:t>(2020年度)</w:t>
            </w:r>
          </w:p>
        </w:tc>
      </w:tr>
      <w:tr>
        <w:tblPrEx>
          <w:tblCellMar>
            <w:top w:w="0" w:type="dxa"/>
            <w:left w:w="0" w:type="dxa"/>
            <w:bottom w:w="0" w:type="dxa"/>
            <w:right w:w="0" w:type="dxa"/>
          </w:tblCellMar>
        </w:tblPrEx>
        <w:trPr>
          <w:trHeight w:val="407"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6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rPr>
            </w:pPr>
            <w:r>
              <w:rPr>
                <w:rFonts w:hint="eastAsia" w:ascii="仿宋_GB2312" w:hAnsi="仿宋_GB2312" w:eastAsia="仿宋_GB2312" w:cs="仿宋_GB2312"/>
                <w:sz w:val="24"/>
                <w:szCs w:val="24"/>
                <w:lang w:val="en-US" w:eastAsia="zh-CN"/>
              </w:rPr>
              <w:t>特种车辆运行维护费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639"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广元市生产安全应急救援支队</w:t>
            </w:r>
          </w:p>
        </w:tc>
      </w:tr>
      <w:tr>
        <w:tblPrEx>
          <w:tblCellMar>
            <w:top w:w="0" w:type="dxa"/>
            <w:left w:w="0" w:type="dxa"/>
            <w:bottom w:w="0" w:type="dxa"/>
            <w:right w:w="0" w:type="dxa"/>
          </w:tblCellMar>
        </w:tblPrEx>
        <w:trPr>
          <w:trHeight w:val="276" w:hRule="atLeast"/>
        </w:trPr>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1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7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w:t>
            </w:r>
          </w:p>
        </w:tc>
        <w:tc>
          <w:tcPr>
            <w:tcW w:w="20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85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w:t>
            </w:r>
          </w:p>
        </w:tc>
      </w:tr>
      <w:tr>
        <w:tblPrEx>
          <w:tblCellMar>
            <w:top w:w="0" w:type="dxa"/>
            <w:left w:w="0" w:type="dxa"/>
            <w:bottom w:w="0" w:type="dxa"/>
            <w:right w:w="0" w:type="dxa"/>
          </w:tblCellMar>
        </w:tblPrEx>
        <w:trPr>
          <w:trHeight w:val="276" w:hRule="atLeast"/>
        </w:trPr>
        <w:tc>
          <w:tcPr>
            <w:tcW w:w="5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21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7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w:t>
            </w:r>
          </w:p>
        </w:tc>
        <w:tc>
          <w:tcPr>
            <w:tcW w:w="20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85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w:t>
            </w:r>
          </w:p>
        </w:tc>
      </w:tr>
      <w:tr>
        <w:tblPrEx>
          <w:tblCellMar>
            <w:top w:w="0" w:type="dxa"/>
            <w:left w:w="0" w:type="dxa"/>
            <w:bottom w:w="0" w:type="dxa"/>
            <w:right w:w="0" w:type="dxa"/>
          </w:tblCellMar>
        </w:tblPrEx>
        <w:trPr>
          <w:trHeight w:val="942" w:hRule="atLeast"/>
        </w:trPr>
        <w:tc>
          <w:tcPr>
            <w:tcW w:w="5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21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7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20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85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76" w:hRule="atLeast"/>
        </w:trPr>
        <w:tc>
          <w:tcPr>
            <w:tcW w:w="59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9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8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2273" w:hRule="atLeast"/>
        </w:trPr>
        <w:tc>
          <w:tcPr>
            <w:tcW w:w="59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49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支队每年必须对全市煤矿、非煤矿山等行业进行安全预防性检查、瓦斯等级鉴定、自救器和呼吸器配装使用培训等技术服务工作，必须到各县区指导培训水上救援、森林消防火灾处置等业务工作，每年参加抢险救灾、处理各类事故达20余次，我队现有特种车、装备车和指挥车辆11台，特种车辆运行维护费用于车辆维修保养、燃料费、保险费、过桥过路费等费用。</w:t>
            </w:r>
          </w:p>
        </w:tc>
        <w:tc>
          <w:tcPr>
            <w:tcW w:w="489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支队每年必须对全市煤矿、非煤矿山等行业进行安全预防性检查、瓦斯等级鉴定、自救器和呼吸器配装使用培训等技术服务工作，必须到各县区指导培训水上救援、森林消防火灾处置等业务工作，每年参加抢险救灾、处理各类事故达20余次，我队现有特种车、装备车和指挥车辆11台，特种车辆运行维护费用于车辆维修保养、燃料费、保险费、过桥过路费等费用。</w:t>
            </w:r>
          </w:p>
        </w:tc>
      </w:tr>
      <w:tr>
        <w:tblPrEx>
          <w:tblCellMar>
            <w:top w:w="0" w:type="dxa"/>
            <w:left w:w="0" w:type="dxa"/>
            <w:bottom w:w="0" w:type="dxa"/>
            <w:right w:w="0" w:type="dxa"/>
          </w:tblCellMar>
        </w:tblPrEx>
        <w:trPr>
          <w:trHeight w:val="687" w:hRule="atLeast"/>
        </w:trPr>
        <w:tc>
          <w:tcPr>
            <w:tcW w:w="596"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7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0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85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706" w:hRule="atLeast"/>
        </w:trPr>
        <w:tc>
          <w:tcPr>
            <w:tcW w:w="596" w:type="dxa"/>
            <w:vMerge w:val="continue"/>
            <w:tcBorders>
              <w:left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数量指标</w:t>
            </w:r>
          </w:p>
        </w:tc>
        <w:tc>
          <w:tcPr>
            <w:tcW w:w="27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车辆油耗、保险、维修保养、过路过桥费用</w:t>
            </w:r>
          </w:p>
        </w:tc>
        <w:tc>
          <w:tcPr>
            <w:tcW w:w="20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11台车辆运行良好</w:t>
            </w:r>
          </w:p>
        </w:tc>
        <w:tc>
          <w:tcPr>
            <w:tcW w:w="285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11台车辆运行良好</w:t>
            </w:r>
          </w:p>
        </w:tc>
      </w:tr>
      <w:tr>
        <w:tblPrEx>
          <w:tblCellMar>
            <w:top w:w="0" w:type="dxa"/>
            <w:left w:w="0" w:type="dxa"/>
            <w:bottom w:w="0" w:type="dxa"/>
            <w:right w:w="0" w:type="dxa"/>
          </w:tblCellMar>
        </w:tblPrEx>
        <w:trPr>
          <w:trHeight w:val="658" w:hRule="atLeast"/>
        </w:trPr>
        <w:tc>
          <w:tcPr>
            <w:tcW w:w="596" w:type="dxa"/>
            <w:vMerge w:val="continue"/>
            <w:tcBorders>
              <w:left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质量指标</w:t>
            </w:r>
          </w:p>
        </w:tc>
        <w:tc>
          <w:tcPr>
            <w:tcW w:w="27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时刻保持战备状态</w:t>
            </w:r>
          </w:p>
        </w:tc>
        <w:tc>
          <w:tcPr>
            <w:tcW w:w="20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完好率100%</w:t>
            </w:r>
          </w:p>
        </w:tc>
        <w:tc>
          <w:tcPr>
            <w:tcW w:w="285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完好率100%</w:t>
            </w:r>
          </w:p>
        </w:tc>
      </w:tr>
      <w:tr>
        <w:tblPrEx>
          <w:tblCellMar>
            <w:top w:w="0" w:type="dxa"/>
            <w:left w:w="0" w:type="dxa"/>
            <w:bottom w:w="0" w:type="dxa"/>
            <w:right w:w="0" w:type="dxa"/>
          </w:tblCellMar>
        </w:tblPrEx>
        <w:trPr>
          <w:trHeight w:val="574" w:hRule="atLeast"/>
        </w:trPr>
        <w:tc>
          <w:tcPr>
            <w:tcW w:w="596" w:type="dxa"/>
            <w:vMerge w:val="continue"/>
            <w:tcBorders>
              <w:left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时效指标</w:t>
            </w:r>
          </w:p>
        </w:tc>
        <w:tc>
          <w:tcPr>
            <w:tcW w:w="27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完成时限</w:t>
            </w:r>
          </w:p>
        </w:tc>
        <w:tc>
          <w:tcPr>
            <w:tcW w:w="20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全年实施</w:t>
            </w:r>
          </w:p>
        </w:tc>
        <w:tc>
          <w:tcPr>
            <w:tcW w:w="285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全年实施</w:t>
            </w:r>
          </w:p>
        </w:tc>
      </w:tr>
      <w:tr>
        <w:tblPrEx>
          <w:tblCellMar>
            <w:top w:w="0" w:type="dxa"/>
            <w:left w:w="0" w:type="dxa"/>
            <w:bottom w:w="0" w:type="dxa"/>
            <w:right w:w="0" w:type="dxa"/>
          </w:tblCellMar>
        </w:tblPrEx>
        <w:trPr>
          <w:trHeight w:val="577" w:hRule="atLeast"/>
        </w:trPr>
        <w:tc>
          <w:tcPr>
            <w:tcW w:w="596" w:type="dxa"/>
            <w:vMerge w:val="continue"/>
            <w:tcBorders>
              <w:left w:val="single" w:color="000000" w:sz="4" w:space="0"/>
              <w:bottom w:val="single" w:color="auto"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161"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lang w:val="en-US" w:eastAsia="zh-CN"/>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p>
        </w:tc>
        <w:tc>
          <w:tcPr>
            <w:tcW w:w="274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社会、人民和服务对象满意度</w:t>
            </w:r>
          </w:p>
        </w:tc>
        <w:tc>
          <w:tcPr>
            <w:tcW w:w="203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c>
          <w:tcPr>
            <w:tcW w:w="285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100%</w:t>
            </w:r>
          </w:p>
        </w:tc>
      </w:tr>
    </w:tbl>
    <w:p>
      <w:pPr>
        <w:numPr>
          <w:ilvl w:val="0"/>
          <w:numId w:val="0"/>
        </w:numPr>
        <w:spacing w:line="580" w:lineRule="exact"/>
        <w:rPr>
          <w:rFonts w:hint="eastAsia" w:ascii="仿宋" w:hAnsi="仿宋" w:eastAsia="仿宋" w:cs="仿宋"/>
          <w:i w:val="0"/>
          <w:caps w:val="0"/>
          <w:color w:val="auto"/>
          <w:spacing w:val="0"/>
          <w:sz w:val="32"/>
          <w:szCs w:val="32"/>
          <w:shd w:val="clear" w:color="auto" w:fill="FFFFFF"/>
          <w:lang w:val="en-US" w:eastAsia="zh-CN"/>
        </w:rPr>
        <w:sectPr>
          <w:pgSz w:w="11906" w:h="16838"/>
          <w:pgMar w:top="1440" w:right="1800" w:bottom="1440" w:left="1800" w:header="851" w:footer="992" w:gutter="0"/>
          <w:pgNumType w:fmt="numberInDash"/>
          <w:cols w:space="425" w:num="1"/>
          <w:titlePg/>
          <w:docGrid w:type="lines" w:linePitch="312" w:charSpace="0"/>
        </w:sectPr>
      </w:pPr>
    </w:p>
    <w:p>
      <w:pPr>
        <w:numPr>
          <w:ilvl w:val="0"/>
          <w:numId w:val="0"/>
        </w:numPr>
        <w:tabs>
          <w:tab w:val="left" w:pos="312"/>
        </w:tabs>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（3）应急物资储备</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开展了应急救援设备购置，有效提升了应急救援能力。</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rPr>
        <w:t>项目支出绩效目标完成情况表</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lang w:val="en-US" w:eastAsia="zh-CN"/>
        </w:rPr>
      </w:pPr>
      <w:r>
        <w:rPr>
          <w:rFonts w:hint="eastAsia" w:ascii="方正小标宋简体" w:hAnsi="方正小标宋简体" w:eastAsia="方正小标宋简体" w:cs="方正小标宋简体"/>
          <w:b w:val="0"/>
          <w:bCs w:val="0"/>
          <w:sz w:val="32"/>
          <w:szCs w:val="32"/>
        </w:rPr>
        <w:t>(20</w:t>
      </w:r>
      <w:r>
        <w:rPr>
          <w:rFonts w:hint="eastAsia" w:ascii="方正小标宋简体" w:hAnsi="方正小标宋简体" w:eastAsia="方正小标宋简体" w:cs="方正小标宋简体"/>
          <w:b w:val="0"/>
          <w:bCs w:val="0"/>
          <w:sz w:val="32"/>
          <w:szCs w:val="32"/>
          <w:lang w:val="en-US" w:eastAsia="zh-CN"/>
        </w:rPr>
        <w:t>20</w:t>
      </w:r>
      <w:r>
        <w:rPr>
          <w:rFonts w:hint="eastAsia" w:ascii="方正小标宋简体" w:hAnsi="方正小标宋简体" w:eastAsia="方正小标宋简体" w:cs="方正小标宋简体"/>
          <w:b w:val="0"/>
          <w:bCs w:val="0"/>
          <w:sz w:val="32"/>
          <w:szCs w:val="32"/>
        </w:rPr>
        <w:t>年度)</w:t>
      </w: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518"/>
        <w:gridCol w:w="1239"/>
        <w:gridCol w:w="1025"/>
        <w:gridCol w:w="2392"/>
        <w:gridCol w:w="2394"/>
        <w:gridCol w:w="2392"/>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应急救援物资储备</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广元市生产安全应急救援支队</w:t>
            </w:r>
          </w:p>
        </w:tc>
      </w:tr>
      <w:tr>
        <w:tblPrEx>
          <w:tblCellMar>
            <w:top w:w="0" w:type="dxa"/>
            <w:left w:w="0" w:type="dxa"/>
            <w:bottom w:w="0" w:type="dxa"/>
            <w:right w:w="0" w:type="dxa"/>
          </w:tblCellMar>
        </w:tblPrEx>
        <w:trPr>
          <w:trHeight w:val="276" w:hRule="atLeast"/>
        </w:trPr>
        <w:tc>
          <w:tcPr>
            <w:tcW w:w="5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2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w:t>
            </w:r>
          </w:p>
        </w:tc>
      </w:tr>
      <w:tr>
        <w:tblPrEx>
          <w:tblCellMar>
            <w:top w:w="0" w:type="dxa"/>
            <w:left w:w="0" w:type="dxa"/>
            <w:bottom w:w="0" w:type="dxa"/>
            <w:right w:w="0" w:type="dxa"/>
          </w:tblCellMar>
        </w:tblPrEx>
        <w:trPr>
          <w:trHeight w:val="276" w:hRule="atLeast"/>
        </w:trPr>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22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2.7</w:t>
            </w:r>
          </w:p>
        </w:tc>
      </w:tr>
      <w:tr>
        <w:tblPrEx>
          <w:tblCellMar>
            <w:top w:w="0" w:type="dxa"/>
            <w:left w:w="0" w:type="dxa"/>
            <w:bottom w:w="0" w:type="dxa"/>
            <w:right w:w="0" w:type="dxa"/>
          </w:tblCellMar>
        </w:tblPrEx>
        <w:trPr>
          <w:trHeight w:val="90" w:hRule="atLeast"/>
        </w:trPr>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226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76" w:hRule="atLeast"/>
        </w:trPr>
        <w:tc>
          <w:tcPr>
            <w:tcW w:w="51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trPr>
        <w:tc>
          <w:tcPr>
            <w:tcW w:w="51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465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支队为应对和处置生产安全事故、自然灾害、社会安全等突发事件，必须购买、储备所需的应急救援物资、生活必需品、应急装备，还必须对装备进行更新、升级、运行、维护。</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支队为应对和处置生产安全事故、自然灾害、社会安全等突发事件，购买、储备了所需的应急救援物资、生活必需品、应急装备，并对装备进行更新、升级、运行、维护。</w:t>
            </w:r>
          </w:p>
        </w:tc>
      </w:tr>
      <w:tr>
        <w:tblPrEx>
          <w:tblCellMar>
            <w:top w:w="0" w:type="dxa"/>
            <w:left w:w="0" w:type="dxa"/>
            <w:bottom w:w="0" w:type="dxa"/>
            <w:right w:w="0" w:type="dxa"/>
          </w:tblCellMar>
        </w:tblPrEx>
        <w:trPr>
          <w:trHeight w:val="1042" w:hRule="atLeast"/>
        </w:trPr>
        <w:tc>
          <w:tcPr>
            <w:tcW w:w="518"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23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996"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rPr>
            </w:pPr>
          </w:p>
        </w:tc>
        <w:tc>
          <w:tcPr>
            <w:tcW w:w="1239"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项目完成指标</w:t>
            </w:r>
          </w:p>
          <w:p>
            <w:pPr>
              <w:widowControl/>
              <w:jc w:val="center"/>
              <w:textAlignment w:val="center"/>
              <w:rPr>
                <w:rFonts w:hint="eastAsia" w:ascii="仿宋_GB2312" w:hAnsi="仿宋_GB2312" w:eastAsia="仿宋_GB2312" w:cs="仿宋_GB2312"/>
                <w:color w:val="000000"/>
                <w:sz w:val="24"/>
              </w:rPr>
            </w:pPr>
          </w:p>
        </w:tc>
        <w:tc>
          <w:tcPr>
            <w:tcW w:w="102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应急救援物资储备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验收合格率100%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验收合格率100%</w:t>
            </w:r>
          </w:p>
        </w:tc>
      </w:tr>
      <w:tr>
        <w:tblPrEx>
          <w:tblCellMar>
            <w:top w:w="0" w:type="dxa"/>
            <w:left w:w="0" w:type="dxa"/>
            <w:bottom w:w="0" w:type="dxa"/>
            <w:right w:w="0" w:type="dxa"/>
          </w:tblCellMar>
        </w:tblPrEx>
        <w:trPr>
          <w:trHeight w:val="1231"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rPr>
            </w:pPr>
          </w:p>
        </w:tc>
        <w:tc>
          <w:tcPr>
            <w:tcW w:w="123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p>
        </w:tc>
        <w:tc>
          <w:tcPr>
            <w:tcW w:w="102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应急救援物资储备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购置水50件、手套200双、食品200人、电池若干、雨衣、水靴、仪器专用药品若干</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购置水50件、手套200双、食品200人、电池若干、雨衣、水靴、仪器专用药品若干</w:t>
            </w:r>
          </w:p>
        </w:tc>
      </w:tr>
      <w:tr>
        <w:tblPrEx>
          <w:tblCellMar>
            <w:top w:w="0" w:type="dxa"/>
            <w:left w:w="0" w:type="dxa"/>
            <w:bottom w:w="0" w:type="dxa"/>
            <w:right w:w="0" w:type="dxa"/>
          </w:tblCellMar>
        </w:tblPrEx>
        <w:trPr>
          <w:trHeight w:val="732"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rPr>
            </w:pPr>
          </w:p>
        </w:tc>
        <w:tc>
          <w:tcPr>
            <w:tcW w:w="1239"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p>
        </w:tc>
        <w:tc>
          <w:tcPr>
            <w:tcW w:w="102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按时完成采购</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按要求完成</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顺利完成</w:t>
            </w:r>
          </w:p>
        </w:tc>
      </w:tr>
      <w:tr>
        <w:tblPrEx>
          <w:tblCellMar>
            <w:top w:w="0" w:type="dxa"/>
            <w:left w:w="0" w:type="dxa"/>
            <w:bottom w:w="0" w:type="dxa"/>
            <w:right w:w="0" w:type="dxa"/>
          </w:tblCellMar>
        </w:tblPrEx>
        <w:trPr>
          <w:trHeight w:val="687" w:hRule="atLeast"/>
        </w:trPr>
        <w:tc>
          <w:tcPr>
            <w:tcW w:w="5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hAnsi="仿宋_GB2312" w:eastAsia="仿宋_GB2312" w:cs="仿宋_GB2312"/>
                <w:color w:val="000000"/>
                <w:sz w:val="24"/>
              </w:rPr>
            </w:pPr>
          </w:p>
        </w:tc>
        <w:tc>
          <w:tcPr>
            <w:tcW w:w="1239"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auto"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社会、人民和服务对象满意度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100%</w:t>
            </w:r>
          </w:p>
        </w:tc>
      </w:tr>
    </w:tbl>
    <w:p>
      <w:pPr>
        <w:numPr>
          <w:ilvl w:val="0"/>
          <w:numId w:val="2"/>
        </w:numPr>
        <w:spacing w:line="58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应急救援信息平台建设</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实现应急救援快速反应、资源整合、协调指挥和信息共享。应急救援信息指挥系统、4G图传设备、无人机等运行维护保障到位，应急救援能力显著提升。</w:t>
      </w:r>
    </w:p>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简体" w:hAnsi="方正小标宋简体" w:eastAsia="方正小标宋简体" w:cs="方正小标宋简体"/>
          <w:b w:val="0"/>
          <w:bCs w:val="0"/>
          <w:sz w:val="32"/>
          <w:szCs w:val="32"/>
          <w:lang w:eastAsia="zh-CN"/>
        </w:rPr>
      </w:pPr>
      <w:r>
        <w:rPr>
          <w:rFonts w:hint="eastAsia" w:ascii="方正小标宋简体" w:hAnsi="方正小标宋简体" w:eastAsia="方正小标宋简体" w:cs="方正小标宋简体"/>
          <w:b w:val="0"/>
          <w:bCs w:val="0"/>
          <w:sz w:val="32"/>
          <w:szCs w:val="32"/>
        </w:rPr>
        <w:t>项目支出绩效目标完成情况表</w:t>
      </w:r>
    </w:p>
    <w:p>
      <w:pPr>
        <w:pStyle w:val="2"/>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val="0"/>
          <w:kern w:val="2"/>
          <w:sz w:val="32"/>
          <w:szCs w:val="32"/>
          <w:lang w:val="en-US" w:eastAsia="zh-CN" w:bidi="ar-SA"/>
        </w:rPr>
      </w:pPr>
      <w:r>
        <w:rPr>
          <w:rFonts w:hint="eastAsia" w:ascii="方正小标宋简体" w:hAnsi="方正小标宋简体" w:eastAsia="方正小标宋简体" w:cs="方正小标宋简体"/>
          <w:b w:val="0"/>
          <w:bCs w:val="0"/>
          <w:sz w:val="32"/>
          <w:szCs w:val="32"/>
        </w:rPr>
        <w:t>(20</w:t>
      </w:r>
      <w:r>
        <w:rPr>
          <w:rFonts w:hint="eastAsia" w:ascii="方正小标宋简体" w:hAnsi="方正小标宋简体" w:eastAsia="方正小标宋简体" w:cs="方正小标宋简体"/>
          <w:b w:val="0"/>
          <w:bCs w:val="0"/>
          <w:sz w:val="32"/>
          <w:szCs w:val="32"/>
          <w:lang w:val="en-US" w:eastAsia="zh-CN"/>
        </w:rPr>
        <w:t>20</w:t>
      </w:r>
      <w:r>
        <w:rPr>
          <w:rFonts w:hint="eastAsia" w:ascii="方正小标宋简体" w:hAnsi="方正小标宋简体" w:eastAsia="方正小标宋简体" w:cs="方正小标宋简体"/>
          <w:b w:val="0"/>
          <w:bCs w:val="0"/>
          <w:sz w:val="32"/>
          <w:szCs w:val="32"/>
        </w:rPr>
        <w:t>年度)</w:t>
      </w:r>
    </w:p>
    <w:tbl>
      <w:tblPr>
        <w:tblStyle w:val="14"/>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638"/>
        <w:gridCol w:w="1119"/>
        <w:gridCol w:w="1025"/>
        <w:gridCol w:w="2392"/>
        <w:gridCol w:w="2394"/>
        <w:gridCol w:w="2392"/>
      </w:tblGrid>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应急救援信息平台建设费</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广元市生产安全应急救援支队</w:t>
            </w:r>
          </w:p>
        </w:tc>
      </w:tr>
      <w:tr>
        <w:tblPrEx>
          <w:tblCellMar>
            <w:top w:w="0" w:type="dxa"/>
            <w:left w:w="0" w:type="dxa"/>
            <w:bottom w:w="0" w:type="dxa"/>
            <w:right w:w="0" w:type="dxa"/>
          </w:tblCellMar>
        </w:tblPrEx>
        <w:trPr>
          <w:trHeight w:val="276"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0.9</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0.9</w:t>
            </w:r>
          </w:p>
        </w:tc>
      </w:tr>
      <w:tr>
        <w:tblPrEx>
          <w:tblCellMar>
            <w:top w:w="0" w:type="dxa"/>
            <w:left w:w="0" w:type="dxa"/>
            <w:bottom w:w="0" w:type="dxa"/>
            <w:right w:w="0" w:type="dxa"/>
          </w:tblCellMar>
        </w:tblPrEx>
        <w:trPr>
          <w:trHeight w:val="276"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2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0.9</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0.9</w:t>
            </w:r>
          </w:p>
        </w:tc>
      </w:tr>
      <w:tr>
        <w:tblPrEx>
          <w:tblCellMar>
            <w:top w:w="0" w:type="dxa"/>
            <w:left w:w="0" w:type="dxa"/>
            <w:bottom w:w="0" w:type="dxa"/>
            <w:right w:w="0" w:type="dxa"/>
          </w:tblCellMar>
        </w:tblPrEx>
        <w:trPr>
          <w:trHeight w:val="9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21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76"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5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159"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453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达到与省救援信息中心、市应急管理局、市交通局、市人防办、市林业局等业务部门联得通、看得见、喊得应，作战室与救援现场、救援单兵互联互通，达到远程指挥、远程会商、远程会诊，实现应急救援快速反应、资源整合、协调指挥和信息共享。</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sz w:val="21"/>
                <w:szCs w:val="21"/>
                <w:lang w:val="en-US" w:eastAsia="zh-CN"/>
              </w:rPr>
              <w:t>达到与省救援信息中心、市应急管理局、市交通局、市人防办、市林业局等业务部门联得通、看得见、喊得应，作战室与救援现场、救援单兵互联互通，达到远程指挥、远程会商、远程会诊，实现应急救援快速反应、资源整合、协调指挥和信息共享。</w:t>
            </w:r>
          </w:p>
        </w:tc>
      </w:tr>
      <w:tr>
        <w:tblPrEx>
          <w:tblCellMar>
            <w:top w:w="0" w:type="dxa"/>
            <w:left w:w="0" w:type="dxa"/>
            <w:bottom w:w="0" w:type="dxa"/>
            <w:right w:w="0" w:type="dxa"/>
          </w:tblCellMar>
        </w:tblPrEx>
        <w:trPr>
          <w:trHeight w:val="702" w:hRule="atLeast"/>
        </w:trPr>
        <w:tc>
          <w:tcPr>
            <w:tcW w:w="63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432"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119"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信息畅通</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覆盖率100%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覆盖率100%</w:t>
            </w:r>
          </w:p>
        </w:tc>
      </w:tr>
      <w:tr>
        <w:tblPrEx>
          <w:tblCellMar>
            <w:top w:w="0" w:type="dxa"/>
            <w:left w:w="0" w:type="dxa"/>
            <w:bottom w:w="0" w:type="dxa"/>
            <w:right w:w="0" w:type="dxa"/>
          </w:tblCellMar>
        </w:tblPrEx>
        <w:trPr>
          <w:trHeight w:val="837"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119" w:type="dxa"/>
            <w:vMerge w:val="continue"/>
            <w:tcBorders>
              <w:left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lang w:val="en-US" w:eastAsia="zh-CN"/>
              </w:rPr>
            </w:pP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时效指标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1"/>
                <w:szCs w:val="21"/>
                <w:lang w:val="en-US" w:eastAsia="zh-CN"/>
              </w:rPr>
              <w:t>实现应急救援快速反应</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default"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事故发生，一分钟内登车立即出动，出动率100%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kern w:val="2"/>
                <w:sz w:val="24"/>
                <w:szCs w:val="24"/>
                <w:lang w:val="en-US" w:eastAsia="zh-CN" w:bidi="ar-SA"/>
              </w:rPr>
            </w:pPr>
            <w:r>
              <w:rPr>
                <w:rFonts w:hint="eastAsia" w:ascii="仿宋_GB2312" w:hAnsi="仿宋_GB2312" w:eastAsia="仿宋_GB2312" w:cs="仿宋_GB2312"/>
                <w:color w:val="000000"/>
                <w:sz w:val="24"/>
                <w:lang w:val="en-US" w:eastAsia="zh-CN"/>
              </w:rPr>
              <w:t>事故发生，一分钟内登车立即出动，出动率100%</w:t>
            </w:r>
          </w:p>
        </w:tc>
      </w:tr>
      <w:tr>
        <w:tblPrEx>
          <w:tblCellMar>
            <w:top w:w="0" w:type="dxa"/>
            <w:left w:w="0" w:type="dxa"/>
            <w:bottom w:w="0" w:type="dxa"/>
            <w:right w:w="0" w:type="dxa"/>
          </w:tblCellMar>
        </w:tblPrEx>
        <w:trPr>
          <w:trHeight w:val="777"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项目</w:t>
            </w:r>
            <w:r>
              <w:rPr>
                <w:rFonts w:hint="eastAsia" w:ascii="仿宋_GB2312" w:hAnsi="仿宋_GB2312" w:eastAsia="仿宋_GB2312" w:cs="仿宋_GB2312"/>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信息联通、共享</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指挥协调有效、事故处处置有序</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left"/>
              <w:textAlignment w:val="center"/>
              <w:rPr>
                <w:rFonts w:hint="eastAsia" w:ascii="仿宋_GB2312" w:hAnsi="仿宋_GB2312" w:eastAsia="仿宋_GB2312" w:cs="仿宋_GB2312"/>
                <w:color w:val="000000"/>
                <w:sz w:val="24"/>
                <w:lang w:val="en-US"/>
              </w:rPr>
            </w:pPr>
            <w:r>
              <w:rPr>
                <w:rFonts w:hint="eastAsia" w:ascii="仿宋_GB2312" w:hAnsi="仿宋_GB2312" w:eastAsia="仿宋_GB2312" w:cs="仿宋_GB2312"/>
                <w:color w:val="000000"/>
                <w:sz w:val="24"/>
                <w:lang w:val="en-US" w:eastAsia="zh-CN"/>
              </w:rPr>
              <w:t>指挥协调有效、事故处处置有序</w:t>
            </w:r>
          </w:p>
        </w:tc>
      </w:tr>
      <w:tr>
        <w:tblPrEx>
          <w:tblCellMar>
            <w:top w:w="0" w:type="dxa"/>
            <w:left w:w="0" w:type="dxa"/>
            <w:bottom w:w="0" w:type="dxa"/>
            <w:right w:w="0" w:type="dxa"/>
          </w:tblCellMar>
        </w:tblPrEx>
        <w:trPr>
          <w:trHeight w:val="630" w:hRule="atLeast"/>
        </w:trPr>
        <w:tc>
          <w:tcPr>
            <w:tcW w:w="638"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hint="eastAsia" w:ascii="仿宋_GB2312" w:hAnsi="仿宋_GB2312" w:eastAsia="仿宋_GB2312" w:cs="仿宋_GB2312"/>
                <w:color w:val="000000"/>
                <w:sz w:val="24"/>
              </w:rPr>
            </w:pPr>
          </w:p>
        </w:tc>
        <w:tc>
          <w:tcPr>
            <w:tcW w:w="1119"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社会、人民群众满，服务企业意度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widowControl/>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bl>
    <w:p>
      <w:pPr>
        <w:pStyle w:val="25"/>
        <w:widowControl/>
        <w:ind w:left="4015" w:leftChars="1310" w:hanging="1264" w:hangingChars="395"/>
        <w:textAlignment w:val="center"/>
        <w:rPr>
          <w:rFonts w:hint="eastAsia" w:ascii="仿宋_GB2312" w:hAnsi="仿宋_GB2312" w:eastAsia="仿宋_GB2312" w:cs="仿宋_GB2312"/>
          <w:b w:val="0"/>
          <w:bCs w:val="0"/>
          <w:kern w:val="2"/>
          <w:sz w:val="32"/>
          <w:szCs w:val="32"/>
          <w:lang w:val="en-US" w:eastAsia="zh-CN" w:bidi="ar-SA"/>
        </w:rPr>
        <w:sectPr>
          <w:pgSz w:w="11906" w:h="16838"/>
          <w:pgMar w:top="2098" w:right="1474" w:bottom="1984" w:left="1587" w:header="851" w:footer="992" w:gutter="0"/>
          <w:pgNumType w:fmt="numberInDash"/>
          <w:cols w:space="425" w:num="1"/>
          <w:titlePg/>
          <w:docGrid w:type="lines" w:linePitch="312" w:charSpace="0"/>
        </w:sectPr>
      </w:pPr>
    </w:p>
    <w:p>
      <w:pPr>
        <w:numPr>
          <w:ilvl w:val="0"/>
          <w:numId w:val="2"/>
        </w:numPr>
        <w:spacing w:line="580" w:lineRule="exact"/>
        <w:ind w:left="0"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应急救援业务能力提升</w:t>
      </w:r>
      <w:r>
        <w:rPr>
          <w:rFonts w:hint="eastAsia" w:ascii="仿宋_GB2312" w:hAnsi="仿宋_GB2312" w:eastAsia="仿宋_GB2312" w:cs="仿宋_GB2312"/>
          <w:sz w:val="32"/>
          <w:szCs w:val="32"/>
        </w:rPr>
        <w:t>项目绩效目标完成情况综述。项目全年预算数</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万元，执行数为</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%。通过项目实施，</w:t>
      </w:r>
      <w:r>
        <w:rPr>
          <w:rFonts w:hint="eastAsia" w:ascii="仿宋_GB2312" w:hAnsi="仿宋_GB2312" w:eastAsia="仿宋_GB2312" w:cs="仿宋_GB2312"/>
          <w:sz w:val="32"/>
          <w:szCs w:val="32"/>
          <w:lang w:val="en-US" w:eastAsia="zh-CN"/>
        </w:rPr>
        <w:t>应急救援业务水平显著提高。</w:t>
      </w:r>
    </w:p>
    <w:p>
      <w:pPr>
        <w:numPr>
          <w:ilvl w:val="0"/>
          <w:numId w:val="0"/>
        </w:numPr>
        <w:spacing w:line="580" w:lineRule="exact"/>
        <w:jc w:val="center"/>
        <w:rPr>
          <w:rFonts w:hint="eastAsia" w:ascii="方正小标宋简体" w:hAnsi="方正小标宋简体" w:eastAsia="方正小标宋简体" w:cs="方正小标宋简体"/>
          <w:bCs/>
          <w:color w:val="000000"/>
          <w:kern w:val="0"/>
          <w:sz w:val="36"/>
          <w:szCs w:val="36"/>
          <w:lang w:eastAsia="zh-CN"/>
        </w:rPr>
      </w:pPr>
      <w:r>
        <w:rPr>
          <w:rFonts w:hint="eastAsia" w:ascii="方正小标宋简体" w:hAnsi="方正小标宋简体" w:eastAsia="方正小标宋简体" w:cs="方正小标宋简体"/>
          <w:bCs/>
          <w:color w:val="000000"/>
          <w:kern w:val="0"/>
          <w:sz w:val="36"/>
          <w:szCs w:val="36"/>
        </w:rPr>
        <w:t>项目支出绩效目标完成情况表</w:t>
      </w:r>
    </w:p>
    <w:p>
      <w:pPr>
        <w:numPr>
          <w:ilvl w:val="0"/>
          <w:numId w:val="0"/>
        </w:numPr>
        <w:spacing w:line="580" w:lineRule="exact"/>
        <w:jc w:val="center"/>
        <w:rPr>
          <w:rFonts w:hint="eastAsia" w:ascii="仿宋_GB2312" w:hAnsi="仿宋_GB2312" w:eastAsia="仿宋_GB2312" w:cs="仿宋_GB2312"/>
          <w:sz w:val="32"/>
          <w:szCs w:val="32"/>
          <w:lang w:val="en-US" w:eastAsia="zh-CN"/>
        </w:rPr>
      </w:pPr>
      <w:r>
        <w:rPr>
          <w:rFonts w:hint="eastAsia" w:ascii="宋体" w:hAnsi="宋体" w:cs="宋体"/>
          <w:color w:val="000000"/>
          <w:kern w:val="0"/>
          <w:sz w:val="36"/>
          <w:szCs w:val="36"/>
        </w:rPr>
        <w:t>(</w:t>
      </w:r>
      <w:r>
        <w:rPr>
          <w:rFonts w:hint="eastAsia" w:ascii="宋体" w:hAnsi="宋体" w:cs="宋体"/>
          <w:color w:val="000000"/>
          <w:kern w:val="0"/>
          <w:sz w:val="36"/>
          <w:szCs w:val="36"/>
          <w:lang w:val="en-US" w:eastAsia="zh-CN"/>
        </w:rPr>
        <w:t>2020</w:t>
      </w:r>
      <w:r>
        <w:rPr>
          <w:rFonts w:hint="eastAsia" w:ascii="宋体" w:hAnsi="宋体" w:cs="宋体"/>
          <w:color w:val="000000"/>
          <w:kern w:val="0"/>
          <w:sz w:val="36"/>
          <w:szCs w:val="36"/>
        </w:rPr>
        <w:t>年度)</w:t>
      </w:r>
    </w:p>
    <w:tbl>
      <w:tblPr>
        <w:tblStyle w:val="14"/>
        <w:tblpPr w:leftFromText="180" w:rightFromText="180" w:vertAnchor="text" w:horzAnchor="page" w:tblpXSpec="center" w:tblpY="423"/>
        <w:tblOverlap w:val="never"/>
        <w:tblW w:w="0" w:type="auto"/>
        <w:tblInd w:w="0" w:type="dxa"/>
        <w:tblLayout w:type="fixed"/>
        <w:tblCellMar>
          <w:top w:w="0" w:type="dxa"/>
          <w:left w:w="0" w:type="dxa"/>
          <w:bottom w:w="0" w:type="dxa"/>
          <w:right w:w="0" w:type="dxa"/>
        </w:tblCellMar>
      </w:tblPr>
      <w:tblGrid>
        <w:gridCol w:w="563"/>
        <w:gridCol w:w="1194"/>
        <w:gridCol w:w="1025"/>
        <w:gridCol w:w="2392"/>
        <w:gridCol w:w="2394"/>
        <w:gridCol w:w="2392"/>
      </w:tblGrid>
      <w:tr>
        <w:tblPrEx>
          <w:tblCellMar>
            <w:top w:w="0" w:type="dxa"/>
            <w:left w:w="0" w:type="dxa"/>
            <w:bottom w:w="0" w:type="dxa"/>
            <w:right w:w="0" w:type="dxa"/>
          </w:tblCellMar>
        </w:tblPrEx>
        <w:trPr>
          <w:trHeight w:val="284" w:hRule="atLeast"/>
        </w:trPr>
        <w:tc>
          <w:tcPr>
            <w:tcW w:w="9960" w:type="dxa"/>
            <w:gridSpan w:val="6"/>
            <w:noWrap w:val="0"/>
            <w:tcMar>
              <w:top w:w="15" w:type="dxa"/>
              <w:left w:w="15" w:type="dxa"/>
              <w:bottom w:w="0" w:type="dxa"/>
              <w:right w:w="15" w:type="dxa"/>
            </w:tcMar>
            <w:vAlign w:val="center"/>
          </w:tcPr>
          <w:p>
            <w:pPr>
              <w:pStyle w:val="25"/>
              <w:widowControl/>
              <w:ind w:left="0" w:leftChars="0" w:firstLine="0" w:firstLineChars="0"/>
              <w:jc w:val="center"/>
              <w:textAlignment w:val="center"/>
              <w:rPr>
                <w:rFonts w:ascii="宋体" w:hAnsi="宋体" w:cs="宋体"/>
                <w:color w:val="000000"/>
                <w:sz w:val="10"/>
                <w:szCs w:val="10"/>
              </w:rPr>
            </w:pPr>
          </w:p>
        </w:tc>
      </w:tr>
      <w:tr>
        <w:tblPrEx>
          <w:tblCellMar>
            <w:top w:w="0" w:type="dxa"/>
            <w:left w:w="0" w:type="dxa"/>
            <w:bottom w:w="0" w:type="dxa"/>
            <w:right w:w="0" w:type="dxa"/>
          </w:tblCellMar>
        </w:tblPrEx>
        <w:trPr>
          <w:trHeight w:val="407"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4"/>
                <w:szCs w:val="24"/>
                <w:lang w:val="en-US" w:eastAsia="zh-CN"/>
              </w:rPr>
              <w:t>应急救援业务能力提升</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广元市财政局</w:t>
            </w:r>
          </w:p>
        </w:tc>
      </w:tr>
      <w:tr>
        <w:tblPrEx>
          <w:tblCellMar>
            <w:top w:w="0" w:type="dxa"/>
            <w:left w:w="0" w:type="dxa"/>
            <w:bottom w:w="0" w:type="dxa"/>
            <w:right w:w="0" w:type="dxa"/>
          </w:tblCellMar>
        </w:tblPrEx>
        <w:trPr>
          <w:trHeight w:val="276" w:hRule="atLeast"/>
        </w:trPr>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预算执行情况(万元)</w:t>
            </w:r>
          </w:p>
        </w:tc>
        <w:tc>
          <w:tcPr>
            <w:tcW w:w="22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w:t>
            </w:r>
          </w:p>
        </w:tc>
      </w:tr>
      <w:tr>
        <w:tblPrEx>
          <w:tblCellMar>
            <w:top w:w="0" w:type="dxa"/>
            <w:left w:w="0" w:type="dxa"/>
            <w:bottom w:w="0" w:type="dxa"/>
            <w:right w:w="0" w:type="dxa"/>
          </w:tblCellMar>
        </w:tblPrEx>
        <w:trPr>
          <w:trHeight w:val="276"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22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7.2</w:t>
            </w:r>
          </w:p>
        </w:tc>
      </w:tr>
      <w:tr>
        <w:trPr>
          <w:trHeight w:val="812"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2219"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rPr>
                <w:rFonts w:hint="eastAsia" w:ascii="仿宋_GB2312" w:hAnsi="仿宋_GB2312" w:eastAsia="仿宋_GB2312" w:cs="仿宋_GB2312"/>
                <w:color w:val="000000"/>
                <w:sz w:val="24"/>
              </w:rPr>
            </w:pPr>
          </w:p>
        </w:tc>
      </w:tr>
      <w:tr>
        <w:tblPrEx>
          <w:tblCellMar>
            <w:top w:w="0" w:type="dxa"/>
            <w:left w:w="0" w:type="dxa"/>
            <w:bottom w:w="0" w:type="dxa"/>
            <w:right w:w="0" w:type="dxa"/>
          </w:tblCellMar>
        </w:tblPrEx>
        <w:trPr>
          <w:trHeight w:val="276" w:hRule="atLeast"/>
        </w:trPr>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年度目标完成情况</w:t>
            </w:r>
          </w:p>
        </w:tc>
        <w:tc>
          <w:tcPr>
            <w:tcW w:w="461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实际完成目标</w:t>
            </w:r>
          </w:p>
        </w:tc>
      </w:tr>
      <w:tr>
        <w:tblPrEx>
          <w:tblCellMar>
            <w:top w:w="0" w:type="dxa"/>
            <w:left w:w="0" w:type="dxa"/>
            <w:bottom w:w="0" w:type="dxa"/>
            <w:right w:w="0" w:type="dxa"/>
          </w:tblCellMar>
        </w:tblPrEx>
        <w:trPr>
          <w:trHeight w:val="1575"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4611"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开展高温浓烟训练佩机吃氧，每年国家要严格按照质量标准化考核验收，训练演练时使用的木材、氢氧化钙、高泡药剂等材料较多，深入相关水域、林区及人防重点区域开展日常业务训练、演练等工作。</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开展高温浓烟训练佩机吃氧，每年国家要严格按照质量标准化考核验收，训练演练时使用的木材、氢氧化钙、高泡药剂等材料较多，深入相关水域、林区及人防重点区域开展日常业务训练、演练等工作。</w:t>
            </w:r>
          </w:p>
        </w:tc>
      </w:tr>
      <w:tr>
        <w:trPr>
          <w:trHeight w:val="762" w:hRule="atLeast"/>
        </w:trPr>
        <w:tc>
          <w:tcPr>
            <w:tcW w:w="5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绩效指标完成情况</w:t>
            </w: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实际完成指标值(包含数字及文字描述)</w:t>
            </w:r>
          </w:p>
        </w:tc>
      </w:tr>
      <w:tr>
        <w:tblPrEx>
          <w:tblCellMar>
            <w:top w:w="0" w:type="dxa"/>
            <w:left w:w="0" w:type="dxa"/>
            <w:bottom w:w="0" w:type="dxa"/>
            <w:right w:w="0" w:type="dxa"/>
          </w:tblCellMar>
        </w:tblPrEx>
        <w:trPr>
          <w:trHeight w:val="1297"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数量指标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应急救援能力提升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送培30名指战员培训，开展至少4次演练，完成矿山质量标准验收。</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送培30名指战员培训，开展至少4次演练，完成矿山质量标准验收。</w:t>
            </w:r>
          </w:p>
        </w:tc>
      </w:tr>
      <w:tr>
        <w:tblPrEx>
          <w:tblCellMar>
            <w:top w:w="0" w:type="dxa"/>
            <w:left w:w="0" w:type="dxa"/>
            <w:bottom w:w="0" w:type="dxa"/>
            <w:right w:w="0" w:type="dxa"/>
          </w:tblCellMar>
        </w:tblPrEx>
        <w:trPr>
          <w:trHeight w:val="1297"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质量指标</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应急救援能力提升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提升应急救援能力，遂行各类应急救援任务。</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lang w:val="en-US" w:eastAsia="zh-CN"/>
              </w:rPr>
              <w:t>提升应急救援能力，遂行各类应急救援任务。</w:t>
            </w:r>
          </w:p>
        </w:tc>
      </w:tr>
      <w:tr>
        <w:tblPrEx>
          <w:tblCellMar>
            <w:top w:w="0" w:type="dxa"/>
            <w:left w:w="0" w:type="dxa"/>
            <w:bottom w:w="0" w:type="dxa"/>
            <w:right w:w="0" w:type="dxa"/>
          </w:tblCellMar>
        </w:tblPrEx>
        <w:trPr>
          <w:trHeight w:val="800"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lang w:val="en-US" w:eastAsia="zh-CN"/>
              </w:rPr>
              <w:t>项目效益指标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社会效益</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应急救援能力提升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积极参加应急演练，高效完成各项保障任务。</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积极参加应急演练，高效完成各项保障任务。</w:t>
            </w:r>
          </w:p>
        </w:tc>
      </w:tr>
      <w:tr>
        <w:tblPrEx>
          <w:tblCellMar>
            <w:top w:w="0" w:type="dxa"/>
            <w:left w:w="0" w:type="dxa"/>
            <w:bottom w:w="0" w:type="dxa"/>
            <w:right w:w="0" w:type="dxa"/>
          </w:tblCellMar>
        </w:tblPrEx>
        <w:trPr>
          <w:trHeight w:val="735" w:hRule="atLeast"/>
        </w:trPr>
        <w:tc>
          <w:tcPr>
            <w:tcW w:w="56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60" w:lineRule="exact"/>
              <w:jc w:val="left"/>
              <w:rPr>
                <w:rFonts w:hint="eastAsia" w:ascii="仿宋_GB2312" w:hAnsi="仿宋_GB2312" w:eastAsia="仿宋_GB2312" w:cs="仿宋_GB2312"/>
                <w:color w:val="000000"/>
                <w:sz w:val="24"/>
              </w:rPr>
            </w:pPr>
          </w:p>
        </w:tc>
        <w:tc>
          <w:tcPr>
            <w:tcW w:w="11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社会、人民群众及服务对象满意度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100%</w:t>
            </w:r>
          </w:p>
        </w:tc>
      </w:tr>
    </w:tbl>
    <w:p>
      <w:pPr>
        <w:spacing w:line="580" w:lineRule="exact"/>
        <w:rPr>
          <w:rFonts w:hint="eastAsia" w:ascii="楷体_GB2312" w:hAnsi="楷体_GB2312" w:eastAsia="楷体_GB2312" w:cs="楷体_GB2312"/>
          <w:sz w:val="32"/>
          <w:szCs w:val="32"/>
        </w:rPr>
        <w:sectPr>
          <w:pgSz w:w="11906" w:h="16838"/>
          <w:pgMar w:top="454" w:right="720" w:bottom="283" w:left="720" w:header="851" w:footer="992" w:gutter="0"/>
          <w:pgNumType w:fmt="numberInDash"/>
          <w:cols w:space="425" w:num="1"/>
          <w:titlePg/>
          <w:docGrid w:type="lines" w:linePitch="312" w:charSpace="0"/>
        </w:sectPr>
      </w:pPr>
    </w:p>
    <w:p>
      <w:pPr>
        <w:keepNext w:val="0"/>
        <w:keepLines w:val="0"/>
        <w:pageBreakBefore w:val="0"/>
        <w:numPr>
          <w:ilvl w:val="0"/>
          <w:numId w:val="3"/>
        </w:numPr>
        <w:kinsoku/>
        <w:overflowPunct/>
        <w:topLinePunct w:val="0"/>
        <w:bidi w:val="0"/>
        <w:spacing w:line="560" w:lineRule="exact"/>
        <w:ind w:left="0" w:firstLine="660" w:firstLineChars="150"/>
        <w:jc w:val="center"/>
        <w:textAlignment w:val="auto"/>
        <w:outlineLvl w:val="0"/>
        <w:rPr>
          <w:rStyle w:val="26"/>
          <w:rFonts w:hint="eastAsia" w:ascii="方正小标宋简体" w:hAnsi="方正小标宋简体" w:eastAsia="方正小标宋简体" w:cs="方正小标宋简体"/>
          <w:b w:val="0"/>
        </w:rPr>
      </w:pPr>
      <w:bookmarkStart w:id="55" w:name="_Toc15396613"/>
      <w:bookmarkStart w:id="56" w:name="_Toc15377225"/>
      <w:r>
        <w:rPr>
          <w:rFonts w:hint="eastAsia" w:ascii="方正小标宋简体" w:hAnsi="方正小标宋简体" w:eastAsia="方正小标宋简体" w:cs="方正小标宋简体"/>
          <w:color w:val="000000"/>
          <w:sz w:val="44"/>
          <w:szCs w:val="44"/>
        </w:rPr>
        <w:t>名</w:t>
      </w:r>
      <w:r>
        <w:rPr>
          <w:rStyle w:val="26"/>
          <w:rFonts w:hint="eastAsia" w:ascii="方正小标宋简体" w:hAnsi="方正小标宋简体" w:eastAsia="方正小标宋简体" w:cs="方正小标宋简体"/>
          <w:b w:val="0"/>
        </w:rPr>
        <w:t>词解释</w:t>
      </w:r>
      <w:bookmarkEnd w:id="55"/>
      <w:bookmarkEnd w:id="56"/>
    </w:p>
    <w:p>
      <w:pPr>
        <w:keepNext w:val="0"/>
        <w:keepLines w:val="0"/>
        <w:pageBreakBefore w:val="0"/>
        <w:kinsoku/>
        <w:overflowPunct/>
        <w:topLinePunct w:val="0"/>
        <w:bidi w:val="0"/>
        <w:spacing w:line="560" w:lineRule="exact"/>
        <w:ind w:left="0"/>
        <w:jc w:val="left"/>
        <w:textAlignment w:val="auto"/>
        <w:rPr>
          <w:rFonts w:ascii="宋体"/>
          <w:b/>
          <w:color w:val="000000"/>
          <w:sz w:val="44"/>
          <w:szCs w:val="44"/>
        </w:rPr>
      </w:pPr>
    </w:p>
    <w:p>
      <w:pPr>
        <w:pStyle w:val="24"/>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w:t>
      </w:r>
      <w:r>
        <w:rPr>
          <w:rFonts w:ascii="仿宋_GB2312" w:eastAsia="仿宋_GB2312"/>
          <w:sz w:val="32"/>
          <w:szCs w:val="32"/>
        </w:rPr>
        <w:t>.</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ascii="仿宋_GB2312" w:eastAsia="仿宋_GB2312"/>
          <w:sz w:val="32"/>
          <w:szCs w:val="32"/>
        </w:rPr>
        <w:t>.</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4"/>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lang w:eastAsia="zh-CN"/>
        </w:rPr>
        <w:t>.</w:t>
      </w:r>
      <w:r>
        <w:rPr>
          <w:rFonts w:hint="eastAsia" w:ascii="仿宋_GB2312" w:eastAsia="仿宋_GB2312"/>
          <w:sz w:val="32"/>
          <w:szCs w:val="32"/>
        </w:rPr>
        <w:t>年末结转和结余：指单位按有关规定结转到下年或以后年度继续使用的资金。</w:t>
      </w:r>
    </w:p>
    <w:p>
      <w:pPr>
        <w:ind w:firstLine="640" w:firstLineChars="200"/>
        <w:rPr>
          <w:rFonts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lang w:val="en-US" w:eastAsia="zh-CN"/>
        </w:rPr>
        <w:t>5</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社会保障和就业支出（类）行政事业单位养老支出（款）机关事业单位基本养老保险缴费支出（项）：指机关事业单位实施养老保险制度由单位缴纳的基本养老保险费支出。</w:t>
      </w:r>
    </w:p>
    <w:p>
      <w:pPr>
        <w:spacing w:line="560" w:lineRule="exact"/>
        <w:ind w:firstLine="640" w:firstLineChars="200"/>
        <w:rPr>
          <w:rFonts w:hint="eastAsia" w:ascii="仿宋_GB2312" w:hAnsi="Calibri" w:eastAsia="仿宋_GB2312" w:cs="仿宋"/>
          <w:color w:val="000000"/>
          <w:kern w:val="0"/>
          <w:sz w:val="32"/>
          <w:szCs w:val="32"/>
        </w:rPr>
      </w:pPr>
      <w:r>
        <w:rPr>
          <w:rFonts w:hint="eastAsia" w:ascii="仿宋_GB2312" w:hAnsi="Calibri" w:eastAsia="仿宋_GB2312" w:cs="仿宋"/>
          <w:color w:val="000000"/>
          <w:kern w:val="0"/>
          <w:sz w:val="32"/>
          <w:szCs w:val="32"/>
          <w:lang w:val="en-US" w:eastAsia="zh-CN"/>
        </w:rPr>
        <w:t>6</w:t>
      </w:r>
      <w:r>
        <w:rPr>
          <w:rFonts w:ascii="仿宋_GB2312" w:hAnsi="Calibri" w:eastAsia="仿宋_GB2312" w:cs="仿宋"/>
          <w:color w:val="000000"/>
          <w:kern w:val="0"/>
          <w:sz w:val="32"/>
          <w:szCs w:val="32"/>
        </w:rPr>
        <w:t>.</w:t>
      </w:r>
      <w:r>
        <w:rPr>
          <w:rFonts w:hint="eastAsia" w:ascii="仿宋_GB2312" w:hAnsi="Calibri" w:eastAsia="仿宋_GB2312" w:cs="仿宋"/>
          <w:color w:val="000000"/>
          <w:kern w:val="0"/>
          <w:sz w:val="32"/>
          <w:szCs w:val="32"/>
        </w:rPr>
        <w:t>卫生健康支出（类）行政事业单位医疗（款）事业单位医疗（项）：指财政部门安排的事业单位基本医疗保险经费，未参加医疗保险的事业单位公费医疗经费，按国家规定享受离休人员待遇的医疗费。</w:t>
      </w:r>
    </w:p>
    <w:p>
      <w:pPr>
        <w:spacing w:line="560" w:lineRule="exact"/>
        <w:ind w:firstLine="640" w:firstLineChars="200"/>
        <w:rPr>
          <w:rStyle w:val="16"/>
          <w:rFonts w:hint="eastAsia" w:ascii="仿宋_GB2312" w:eastAsia="仿宋_GB2312" w:cs="仿宋_GB2312"/>
          <w:b w:val="0"/>
          <w:bCs/>
          <w:color w:val="000000"/>
          <w:sz w:val="32"/>
          <w:szCs w:val="32"/>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.住房保障支出（类）住房</w:t>
      </w:r>
      <w:r>
        <w:rPr>
          <w:rFonts w:hint="eastAsia" w:ascii="仿宋_GB2312" w:eastAsia="仿宋_GB2312"/>
          <w:color w:val="000000"/>
          <w:sz w:val="32"/>
          <w:szCs w:val="32"/>
          <w:lang w:eastAsia="zh-CN"/>
        </w:rPr>
        <w:t>改革</w:t>
      </w:r>
      <w:r>
        <w:rPr>
          <w:rFonts w:hint="eastAsia" w:ascii="仿宋_GB2312" w:eastAsia="仿宋_GB2312"/>
          <w:color w:val="000000"/>
          <w:sz w:val="32"/>
          <w:szCs w:val="32"/>
        </w:rPr>
        <w:t>障支出（款）住房公积金（项）：指行政事业单位按人力资源和社会保障部、财政部规定的基本工资和津贴补贴以及规定比例为职工缴纳的住房公积金。</w:t>
      </w:r>
    </w:p>
    <w:p>
      <w:pPr>
        <w:spacing w:line="560" w:lineRule="exact"/>
        <w:ind w:firstLine="640" w:firstLineChars="200"/>
        <w:rPr>
          <w:rStyle w:val="16"/>
          <w:rFonts w:hint="eastAsia" w:ascii="仿宋_GB2312" w:eastAsia="仿宋_GB2312" w:cs="仿宋_GB2312"/>
          <w:b w:val="0"/>
          <w:bCs/>
          <w:color w:val="000000"/>
          <w:sz w:val="32"/>
          <w:szCs w:val="32"/>
        </w:rPr>
      </w:pPr>
      <w:r>
        <w:rPr>
          <w:rStyle w:val="16"/>
          <w:rFonts w:hint="eastAsia" w:ascii="仿宋_GB2312" w:eastAsia="仿宋_GB2312" w:cs="仿宋_GB2312"/>
          <w:b w:val="0"/>
          <w:bCs/>
          <w:color w:val="000000"/>
          <w:sz w:val="32"/>
          <w:szCs w:val="32"/>
          <w:lang w:val="en-US" w:eastAsia="zh-CN"/>
        </w:rPr>
        <w:t>8.</w:t>
      </w:r>
      <w:r>
        <w:rPr>
          <w:rStyle w:val="16"/>
          <w:rFonts w:hint="eastAsia" w:ascii="仿宋_GB2312" w:eastAsia="仿宋_GB2312" w:cs="仿宋_GB2312"/>
          <w:b w:val="0"/>
          <w:bCs/>
          <w:color w:val="000000"/>
          <w:sz w:val="32"/>
          <w:szCs w:val="32"/>
        </w:rPr>
        <w:t>灾害防治及应急管理支出（类）应急管理事务（款）应急救援（项）：</w:t>
      </w:r>
      <w:r>
        <w:rPr>
          <w:rStyle w:val="16"/>
          <w:rFonts w:hint="eastAsia" w:ascii="仿宋_GB2312" w:eastAsia="仿宋_GB2312" w:cs="仿宋_GB2312"/>
          <w:b w:val="0"/>
          <w:bCs/>
          <w:color w:val="000000"/>
          <w:sz w:val="32"/>
          <w:szCs w:val="32"/>
          <w:lang w:eastAsia="zh-CN"/>
        </w:rPr>
        <w:t>反映安全生产、自然灾害应急救援方面的支出</w:t>
      </w:r>
      <w:r>
        <w:rPr>
          <w:rStyle w:val="16"/>
          <w:rFonts w:hint="eastAsia" w:ascii="仿宋_GB2312" w:eastAsia="仿宋_GB2312" w:cs="仿宋_GB2312"/>
          <w:b w:val="0"/>
          <w:bCs/>
          <w:color w:val="000000"/>
          <w:sz w:val="32"/>
          <w:szCs w:val="32"/>
        </w:rPr>
        <w:t>；</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s="仿宋_GB2312"/>
          <w:color w:val="000000"/>
          <w:sz w:val="32"/>
          <w:szCs w:val="32"/>
          <w:lang w:val="en-US" w:eastAsia="zh-CN"/>
        </w:rPr>
        <w:t>9</w:t>
      </w:r>
      <w:r>
        <w:rPr>
          <w:rFonts w:hint="eastAsia" w:ascii="仿宋_GB2312" w:eastAsia="仿宋_GB2312" w:cs="仿宋_GB2312"/>
          <w:color w:val="000000"/>
          <w:sz w:val="32"/>
          <w:szCs w:val="32"/>
        </w:rPr>
        <w:t>.基本支出：指为保障机构正常运转、完成日常工作任务而发生的人员支出和公用支出。</w:t>
      </w:r>
    </w:p>
    <w:p>
      <w:pPr>
        <w:spacing w:line="560" w:lineRule="exact"/>
        <w:ind w:firstLine="640" w:firstLineChars="200"/>
        <w:rPr>
          <w:rFonts w:hint="eastAsia" w:ascii="仿宋_GB2312" w:eastAsia="仿宋_GB2312" w:cs="仿宋_GB2312"/>
          <w:color w:val="000000"/>
          <w:sz w:val="32"/>
          <w:szCs w:val="32"/>
        </w:rPr>
      </w:pPr>
      <w:r>
        <w:rPr>
          <w:rFonts w:hint="eastAsia" w:ascii="仿宋_GB2312" w:eastAsia="仿宋_GB2312" w:cs="仿宋_GB2312"/>
          <w:color w:val="000000"/>
          <w:sz w:val="32"/>
          <w:szCs w:val="32"/>
          <w:lang w:val="en-US" w:eastAsia="zh-CN"/>
        </w:rPr>
        <w:t>10</w:t>
      </w:r>
      <w:r>
        <w:rPr>
          <w:rFonts w:hint="eastAsia" w:ascii="仿宋_GB2312" w:eastAsia="仿宋_GB2312" w:cs="仿宋_GB2312"/>
          <w:color w:val="000000"/>
          <w:sz w:val="32"/>
          <w:szCs w:val="32"/>
        </w:rPr>
        <w:t xml:space="preserve">.项目支出：指在基本支出之外为完成特定行政任务和事业发展目标所发生的支出。 </w:t>
      </w:r>
    </w:p>
    <w:p>
      <w:pPr>
        <w:pStyle w:val="24"/>
        <w:spacing w:line="560" w:lineRule="exact"/>
        <w:ind w:firstLine="640" w:firstLineChars="200"/>
        <w:rPr>
          <w:rFonts w:hint="eastAsia" w:ascii="仿宋_GB2312" w:eastAsia="仿宋_GB2312" w:cs="Times New Roman"/>
          <w:sz w:val="32"/>
          <w:szCs w:val="32"/>
        </w:rPr>
      </w:pPr>
      <w:r>
        <w:rPr>
          <w:rFonts w:hint="eastAsia" w:ascii="仿宋_GB2312" w:eastAsia="仿宋_GB2312" w:cs="仿宋_GB2312"/>
          <w:sz w:val="32"/>
          <w:szCs w:val="32"/>
          <w:lang w:val="en-US" w:eastAsia="zh-CN"/>
        </w:rPr>
        <w:t>11</w:t>
      </w:r>
      <w:r>
        <w:rPr>
          <w:rFonts w:hint="eastAsia" w:asci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keepNext w:val="0"/>
        <w:keepLines w:val="0"/>
        <w:pageBreakBefore w:val="0"/>
        <w:widowControl w:val="0"/>
        <w:kinsoku/>
        <w:wordWrap/>
        <w:overflowPunct/>
        <w:topLinePunct w:val="0"/>
        <w:bidi w:val="0"/>
        <w:snapToGrid/>
        <w:spacing w:line="560" w:lineRule="exact"/>
        <w:ind w:left="0" w:firstLine="640" w:firstLineChars="200"/>
        <w:textAlignment w:val="auto"/>
        <w:rPr>
          <w:rFonts w:hint="eastAsia" w:ascii="仿宋_GB2312" w:hAnsi="仿宋_GB2312" w:eastAsia="仿宋_GB2312" w:cs="仿宋_GB2312"/>
          <w:sz w:val="32"/>
          <w:szCs w:val="32"/>
        </w:rPr>
      </w:pPr>
      <w:r>
        <w:rPr>
          <w:rFonts w:hint="eastAsia" w:ascii="仿宋_GB2312" w:eastAsia="仿宋_GB2312" w:cs="仿宋_GB2312"/>
          <w:sz w:val="32"/>
          <w:szCs w:val="32"/>
          <w:lang w:val="en-US" w:eastAsia="zh-CN"/>
        </w:rPr>
        <w:t>12</w:t>
      </w:r>
      <w:r>
        <w:rPr>
          <w:rFonts w:hint="eastAsia" w:ascii="仿宋_GB2312" w:eastAsia="仿宋_GB2312" w:cs="仿宋_GB2312"/>
          <w:sz w:val="32"/>
          <w:szCs w:val="32"/>
        </w:rPr>
        <w:t>.机关运行经费：为保障行政单位（含参照公务员法管理的事业单位）运行用于购买货物和服务的各项资金，包括</w:t>
      </w:r>
      <w:r>
        <w:rPr>
          <w:rFonts w:hint="eastAsia" w:ascii="仿宋_GB2312" w:eastAsia="仿宋_GB2312"/>
          <w:sz w:val="32"/>
          <w:szCs w:val="32"/>
        </w:rPr>
        <w:t>办公及印刷费、邮电费、差旅费、会议费、福利费、日常维修费、一般设备购置费、办公用房水电费、办公用房物业管理费、公务用车运行维护费以及其他费用。</w:t>
      </w:r>
    </w:p>
    <w:p>
      <w:pPr>
        <w:keepNext w:val="0"/>
        <w:keepLines w:val="0"/>
        <w:pageBreakBefore w:val="0"/>
        <w:kinsoku/>
        <w:overflowPunct/>
        <w:topLinePunct w:val="0"/>
        <w:bidi w:val="0"/>
        <w:spacing w:line="560" w:lineRule="exact"/>
        <w:ind w:left="0"/>
        <w:jc w:val="center"/>
        <w:textAlignment w:val="auto"/>
        <w:outlineLvl w:val="0"/>
        <w:rPr>
          <w:rFonts w:ascii="宋体"/>
          <w:b/>
          <w:color w:val="000000"/>
          <w:sz w:val="44"/>
          <w:szCs w:val="44"/>
        </w:rPr>
      </w:pPr>
      <w:bookmarkStart w:id="57" w:name="_Toc15377226"/>
      <w:r>
        <w:rPr>
          <w:rFonts w:ascii="宋体"/>
          <w:b/>
          <w:color w:val="000000"/>
          <w:sz w:val="44"/>
          <w:szCs w:val="44"/>
        </w:rPr>
        <w:br w:type="page"/>
      </w:r>
      <w:bookmarkStart w:id="58" w:name="_Toc15396614"/>
    </w:p>
    <w:p>
      <w:pPr>
        <w:keepNext w:val="0"/>
        <w:keepLines w:val="0"/>
        <w:pageBreakBefore w:val="0"/>
        <w:kinsoku/>
        <w:overflowPunct/>
        <w:topLinePunct w:val="0"/>
        <w:autoSpaceDE/>
        <w:autoSpaceDN/>
        <w:bidi w:val="0"/>
        <w:spacing w:line="560" w:lineRule="exact"/>
        <w:ind w:left="0"/>
        <w:jc w:val="center"/>
        <w:textAlignment w:val="auto"/>
        <w:outlineLvl w:val="0"/>
        <w:rPr>
          <w:rStyle w:val="26"/>
          <w:rFonts w:ascii="黑体" w:hAnsi="黑体" w:eastAsia="黑体"/>
          <w:b w:val="0"/>
        </w:rPr>
      </w:pPr>
      <w:r>
        <w:rPr>
          <w:rFonts w:hint="eastAsia" w:ascii="方正小标宋简体" w:hAnsi="方正小标宋简体" w:eastAsia="方正小标宋简体" w:cs="方正小标宋简体"/>
          <w:color w:val="000000"/>
          <w:sz w:val="44"/>
          <w:szCs w:val="44"/>
        </w:rPr>
        <w:t>第</w:t>
      </w:r>
      <w:r>
        <w:rPr>
          <w:rStyle w:val="26"/>
          <w:rFonts w:hint="eastAsia" w:ascii="方正小标宋简体" w:hAnsi="方正小标宋简体" w:eastAsia="方正小标宋简体" w:cs="方正小标宋简体"/>
          <w:b w:val="0"/>
        </w:rPr>
        <w:t xml:space="preserve">四部分 </w:t>
      </w:r>
      <w:bookmarkEnd w:id="58"/>
      <w:bookmarkStart w:id="59" w:name="_Toc15396618"/>
      <w:r>
        <w:rPr>
          <w:rStyle w:val="26"/>
          <w:rFonts w:hint="eastAsia" w:ascii="黑体" w:hAnsi="黑体" w:eastAsia="黑体"/>
          <w:b w:val="0"/>
        </w:rPr>
        <w:t xml:space="preserve"> 附表</w:t>
      </w:r>
      <w:bookmarkEnd w:id="57"/>
      <w:bookmarkEnd w:id="59"/>
    </w:p>
    <w:p>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outlineLvl w:val="0"/>
        <w:rPr>
          <w:rFonts w:ascii="仿宋" w:hAnsi="仿宋" w:eastAsia="仿宋"/>
          <w:b/>
          <w:color w:val="000000"/>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一、收入支出决算总表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二、收入决算表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三、支出决算表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四、财政拨款收入支出决算总表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五、财政拨款支出决算明细表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六、一般公共预算财政拨款支出决算表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七、一般公共预算财政拨款支出决算明细表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八、一般公共预算财政拨款基本支出决算表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九、一般公共预算财政拨款项目支出决算表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十、一般公共预算财政拨款“三公”经费支出决算表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十一、政府性基金预算财政拨款收入支出决算表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十二、政府性基金预算财政拨款“三公”经费支出决算表</w:t>
      </w:r>
    </w:p>
    <w:p>
      <w:pPr>
        <w:pStyle w:val="2"/>
        <w:pageBreakBefore w:val="0"/>
        <w:widowControl w:val="0"/>
        <w:kinsoku/>
        <w:wordWrap/>
        <w:overflowPunct/>
        <w:topLinePunct w:val="0"/>
        <w:autoSpaceDE/>
        <w:autoSpaceDN/>
        <w:bidi w:val="0"/>
        <w:adjustRightInd/>
        <w:snapToGrid/>
        <w:spacing w:before="0" w:after="0" w:line="600" w:lineRule="exact"/>
        <w:ind w:firstLine="640" w:firstLineChars="200"/>
        <w:jc w:val="left"/>
        <w:textAlignment w:val="auto"/>
        <w:rPr>
          <w:rFonts w:hint="eastAsia"/>
          <w:b w:val="0"/>
          <w:bCs w:val="0"/>
          <w:lang w:val="en-US" w:eastAsia="zh-CN"/>
        </w:rPr>
      </w:pPr>
      <w:r>
        <w:rPr>
          <w:rFonts w:hint="eastAsia" w:ascii="仿宋_GB2312" w:hAnsi="仿宋_GB2312" w:eastAsia="仿宋_GB2312" w:cs="仿宋_GB2312"/>
          <w:b w:val="0"/>
          <w:bCs w:val="0"/>
          <w:sz w:val="32"/>
          <w:szCs w:val="32"/>
          <w:lang w:val="en-US" w:eastAsia="zh-CN"/>
        </w:rPr>
        <w:t>十三、国有资本经营预算收入支出决算表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十三、国有资本经营预算支出决算</w:t>
      </w:r>
      <w:bookmarkStart w:id="60" w:name="_GoBack"/>
      <w:bookmarkEnd w:id="60"/>
      <w:r>
        <w:rPr>
          <w:rFonts w:hint="eastAsia" w:ascii="仿宋_GB2312" w:hAnsi="仿宋_GB2312" w:eastAsia="仿宋_GB2312" w:cs="仿宋_GB2312"/>
          <w:sz w:val="32"/>
          <w:szCs w:val="32"/>
          <w:lang w:val="en-US" w:eastAsia="zh-CN"/>
        </w:rPr>
        <w:t>表</w:t>
      </w:r>
    </w:p>
    <w:p>
      <w:pPr>
        <w:pStyle w:val="4"/>
        <w:pageBreakBefore w:val="0"/>
        <w:widowControl w:val="0"/>
        <w:kinsoku/>
        <w:wordWrap/>
        <w:overflowPunct/>
        <w:topLinePunct w:val="0"/>
        <w:autoSpaceDE/>
        <w:autoSpaceDN/>
        <w:bidi w:val="0"/>
        <w:adjustRightInd/>
        <w:snapToGrid/>
        <w:spacing w:before="0" w:after="0" w:line="600" w:lineRule="exact"/>
        <w:ind w:left="0"/>
        <w:textAlignment w:val="auto"/>
        <w:rPr>
          <w:rFonts w:ascii="仿宋" w:hAnsi="仿宋" w:eastAsia="仿宋"/>
          <w:color w:val="000000" w:themeColor="text1"/>
          <w14:textFill>
            <w14:solidFill>
              <w14:schemeClr w14:val="tx1"/>
            </w14:solidFill>
          </w14:textFill>
        </w:rPr>
      </w:pPr>
    </w:p>
    <w:sectPr>
      <w:pgSz w:w="11906" w:h="16838"/>
      <w:pgMar w:top="2098" w:right="1474" w:bottom="1984" w:left="158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大标宋简体">
    <w:altName w:val="微软雅黑"/>
    <w:panose1 w:val="03000509000000000000"/>
    <w:charset w:val="86"/>
    <w:family w:val="script"/>
    <w:pitch w:val="default"/>
    <w:sig w:usb0="00000000" w:usb1="00000000" w:usb2="00000000" w:usb3="00000000" w:csb0="00040000" w:csb1="00000000"/>
  </w:font>
  <w:font w:name="Verdana">
    <w:panose1 w:val="020B0604030504040204"/>
    <w:charset w:val="00"/>
    <w:family w:val="swiss"/>
    <w:pitch w:val="default"/>
    <w:sig w:usb0="00000287" w:usb1="00000000" w:usb2="00000000" w:usb3="00000000" w:csb0="2000019F" w:csb1="00000000"/>
  </w:font>
  <w:font w:name="微软雅黑">
    <w:panose1 w:val="020B0503020204020204"/>
    <w:charset w:val="86"/>
    <w:family w:val="auto"/>
    <w:pitch w:val="default"/>
    <w:sig w:usb0="80000287" w:usb1="2ACF3C5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szGsKswEAAFIDAAAOAAAAAAAAAAEAIAAAADQBAABkcnMvZTJvRG9j&#10;LnhtbFBLBQYAAAAABgAGAFkBAABZBQAAAAA=&#10;">
              <v:fill on="f" focussize="0,0"/>
              <v:stroke on="f"/>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748554FD"/>
    <w:multiLevelType w:val="singleLevel"/>
    <w:tmpl w:val="748554FD"/>
    <w:lvl w:ilvl="0" w:tentative="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YzgxOWQzMjBmMTFmNzA0NGQxNTc2NzI5MDNhZTI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19B0"/>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4F403E"/>
    <w:rsid w:val="00505A47"/>
    <w:rsid w:val="00512FDA"/>
    <w:rsid w:val="00520DA0"/>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27533"/>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F1991"/>
    <w:rsid w:val="007F2C2F"/>
    <w:rsid w:val="007F55FC"/>
    <w:rsid w:val="007F5665"/>
    <w:rsid w:val="00800112"/>
    <w:rsid w:val="00813348"/>
    <w:rsid w:val="008253BB"/>
    <w:rsid w:val="00833962"/>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0F83"/>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33CC"/>
    <w:rsid w:val="00C5751C"/>
    <w:rsid w:val="00C61BFC"/>
    <w:rsid w:val="00C62B85"/>
    <w:rsid w:val="00C65438"/>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66797"/>
    <w:rsid w:val="00E82267"/>
    <w:rsid w:val="00E853CE"/>
    <w:rsid w:val="00E867B6"/>
    <w:rsid w:val="00E87F08"/>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BB04C36"/>
    <w:rsid w:val="0D3F02C4"/>
    <w:rsid w:val="1041234D"/>
    <w:rsid w:val="10C055FF"/>
    <w:rsid w:val="129B6DD0"/>
    <w:rsid w:val="14FF7D2F"/>
    <w:rsid w:val="16BB723D"/>
    <w:rsid w:val="17904DBF"/>
    <w:rsid w:val="19B5131B"/>
    <w:rsid w:val="22EC6EBE"/>
    <w:rsid w:val="240371BF"/>
    <w:rsid w:val="29FD04D3"/>
    <w:rsid w:val="2B202911"/>
    <w:rsid w:val="319F7F4E"/>
    <w:rsid w:val="36F17654"/>
    <w:rsid w:val="3C6C199F"/>
    <w:rsid w:val="3DF11838"/>
    <w:rsid w:val="40333E4F"/>
    <w:rsid w:val="43821BC9"/>
    <w:rsid w:val="453E6481"/>
    <w:rsid w:val="4ECE2238"/>
    <w:rsid w:val="4FEE16F7"/>
    <w:rsid w:val="55750B02"/>
    <w:rsid w:val="569C3072"/>
    <w:rsid w:val="57327ACD"/>
    <w:rsid w:val="57662596"/>
    <w:rsid w:val="5ADB36A5"/>
    <w:rsid w:val="66BB5306"/>
    <w:rsid w:val="66BF7E16"/>
    <w:rsid w:val="68603C12"/>
    <w:rsid w:val="6C252EB3"/>
    <w:rsid w:val="72734D90"/>
    <w:rsid w:val="74814A19"/>
    <w:rsid w:val="78A737E4"/>
    <w:rsid w:val="794278A9"/>
    <w:rsid w:val="FF573A2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Title"/>
    <w:basedOn w:val="1"/>
    <w:qFormat/>
    <w:uiPriority w:val="99"/>
    <w:pPr>
      <w:spacing w:before="240" w:after="60"/>
      <w:jc w:val="center"/>
      <w:outlineLvl w:val="0"/>
    </w:pPr>
    <w:rPr>
      <w:rFonts w:ascii="Arial" w:hAnsi="Arial" w:cs="Arial"/>
      <w:b/>
      <w:bCs/>
      <w:sz w:val="32"/>
      <w:szCs w:val="32"/>
    </w:rPr>
  </w:style>
  <w:style w:type="paragraph" w:styleId="6">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Header Char"/>
    <w:basedOn w:val="15"/>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5"/>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5"/>
    <w:semiHidden/>
    <w:qFormat/>
    <w:uiPriority w:val="99"/>
    <w:rPr>
      <w:rFonts w:ascii="Times New Roman" w:hAnsi="Times New Roman"/>
      <w:szCs w:val="24"/>
    </w:rPr>
  </w:style>
  <w:style w:type="character" w:customStyle="1" w:styleId="23">
    <w:name w:val="正文文本 Char"/>
    <w:link w:val="6"/>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5"/>
    <w:link w:val="3"/>
    <w:qFormat/>
    <w:uiPriority w:val="9"/>
    <w:rPr>
      <w:rFonts w:ascii="Times New Roman" w:hAnsi="Times New Roman"/>
      <w:b/>
      <w:bCs/>
      <w:kern w:val="44"/>
      <w:sz w:val="44"/>
      <w:szCs w:val="44"/>
    </w:rPr>
  </w:style>
  <w:style w:type="character" w:customStyle="1" w:styleId="27">
    <w:name w:val="标题 2 Char"/>
    <w:basedOn w:val="15"/>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5"/>
    <w:link w:val="8"/>
    <w:semiHidden/>
    <w:qFormat/>
    <w:uiPriority w:val="99"/>
    <w:rPr>
      <w:rFonts w:ascii="Times New Roman" w:hAnsi="Times New Roman"/>
      <w:kern w:val="2"/>
      <w:sz w:val="18"/>
      <w:szCs w:val="18"/>
    </w:rPr>
  </w:style>
  <w:style w:type="character" w:customStyle="1" w:styleId="30">
    <w:name w:val="标题 3 Char"/>
    <w:basedOn w:val="15"/>
    <w:link w:val="5"/>
    <w:qFormat/>
    <w:uiPriority w:val="9"/>
    <w:rPr>
      <w:rFonts w:ascii="Times New Roman" w:hAnsi="Times New Roman"/>
      <w:b/>
      <w:bCs/>
      <w:kern w:val="2"/>
      <w:sz w:val="32"/>
      <w:szCs w:val="32"/>
    </w:rPr>
  </w:style>
  <w:style w:type="paragraph" w:customStyle="1" w:styleId="31">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ocuments\tencent%20files\563636946\filerecv\&#26426;&#20851;&#20915;&#31639;&#20844;&#24320;&#36741;&#21161;&#34920;&#65288;&#21508;&#31181;&#22270;&#65289;.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ocuments\tencent%20files\563636946\filerecv\&#26426;&#20851;&#20915;&#31639;&#20844;&#24320;&#36741;&#21161;&#34920;&#65288;&#21508;&#31181;&#22270;&#65289;.xlsx" TargetMode="External"/></Relationships>
</file>

<file path=word/charts/_rels/chart3.xml.rels><?xml version="1.0" encoding="UTF-8" standalone="yes"?>
<Relationships xmlns="http://schemas.openxmlformats.org/package/2006/relationships"><Relationship Id="rId4" Type="http://schemas.microsoft.com/office/2011/relationships/chartColorStyle" Target="colors7.xml"/><Relationship Id="rId3" Type="http://schemas.microsoft.com/office/2011/relationships/chartStyle" Target="style7.xml"/><Relationship Id="rId2" Type="http://schemas.openxmlformats.org/officeDocument/2006/relationships/themeOverride" Target="../theme/themeOverride1.xml"/><Relationship Id="rId1" Type="http://schemas.openxmlformats.org/officeDocument/2006/relationships/oleObject" Target="/media/user/98582b65-d62f-4cf5-9044-3d0675d46c27/&#26753;&#24605;&#36335;/&#32463;&#24314;&#31185;&#36164;&#26009;/2022&#24180;/&#39044;&#20915;&#31639;&#20844;&#24320;&#26816;&#26597;/&#24212;&#24613;/&#24212;&#24613;&#25937;&#25588;&#25903;&#38431;/2020&#20915;&#31639;/&#26032;&#24314;Excel&#25991;&#26723;.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ocuments\tencent%20files\563636946\filerecv\&#26426;&#20851;&#20915;&#31639;&#20844;&#24320;&#36741;&#21161;&#34920;&#65288;&#21508;&#31181;&#22270;&#65289;.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ocuments\tencent%20files\563636946\filerecv\&#26426;&#20851;&#20915;&#31639;&#20844;&#24320;&#36741;&#21161;&#34920;&#65288;&#21508;&#31181;&#22270;&#65289;.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ocuments\tencent%20files\563636946\filerecv\&#26426;&#20851;&#20915;&#31639;&#20844;&#24320;&#36741;&#21161;&#34920;&#65288;&#21508;&#31181;&#22270;&#65289;.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ocuments\tencent%20files\563636946\filerecv\&#26426;&#20851;&#20915;&#31639;&#20844;&#24320;&#36741;&#21161;&#34920;&#65288;&#21508;&#31181;&#22270;&#652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sz="1000"/>
              <a:t>图</a:t>
            </a:r>
            <a:r>
              <a:rPr lang="en-US" altLang="zh-CN" sz="1000"/>
              <a:t>1</a:t>
            </a:r>
            <a:r>
              <a:rPr lang="zh-CN" altLang="en-US" sz="1000"/>
              <a:t>：</a:t>
            </a:r>
            <a:r>
              <a:rPr lang="zh-CN" altLang="zh-CN" sz="1100" b="0" i="0" u="none" strike="noStrike" baseline="0">
                <a:effectLst/>
              </a:rPr>
              <a:t>收、支决算总计变动情况图</a:t>
            </a:r>
            <a:endParaRPr lang="zh-CN" altLang="en-US" sz="1100"/>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'[机关决算公开辅助表（各种图）.xlsx]机关1'!$B$13:$B$14</c:f>
              <c:strCache>
                <c:ptCount val="2"/>
                <c:pt idx="0">
                  <c:v>2019年收支总计</c:v>
                </c:pt>
                <c:pt idx="1">
                  <c:v>2020年收支总计</c:v>
                </c:pt>
              </c:strCache>
            </c:strRef>
          </c:cat>
          <c:val>
            <c:numRef>
              <c:f>'[机关决算公开辅助表（各种图）.xlsx]机关1'!$C$13:$C$14</c:f>
              <c:numCache>
                <c:formatCode>General</c:formatCode>
                <c:ptCount val="2"/>
                <c:pt idx="0">
                  <c:v>1313.09</c:v>
                </c:pt>
                <c:pt idx="1">
                  <c:v>1103.95</c:v>
                </c:pt>
              </c:numCache>
            </c:numRef>
          </c:val>
        </c:ser>
        <c:dLbls>
          <c:showLegendKey val="false"/>
          <c:showVal val="false"/>
          <c:showCatName val="false"/>
          <c:showSerName val="false"/>
          <c:showPercent val="false"/>
          <c:showBubbleSize val="false"/>
        </c:dLbls>
        <c:gapWidth val="219"/>
        <c:overlap val="-27"/>
        <c:axId val="242179848"/>
        <c:axId val="242180232"/>
      </c:barChart>
      <c:catAx>
        <c:axId val="242179848"/>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2180232"/>
        <c:crosses val="autoZero"/>
        <c:auto val="true"/>
        <c:lblAlgn val="ctr"/>
        <c:lblOffset val="100"/>
        <c:noMultiLvlLbl val="false"/>
      </c:catAx>
      <c:valAx>
        <c:axId val="242180232"/>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2179848"/>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sz="1000"/>
              <a:t>图</a:t>
            </a:r>
            <a:r>
              <a:rPr lang="en-US" altLang="zh-CN" sz="1000"/>
              <a:t>2</a:t>
            </a:r>
            <a:r>
              <a:rPr lang="zh-CN" altLang="en-US" sz="1000"/>
              <a:t>：收入决算结构图</a:t>
            </a:r>
            <a:endParaRPr lang="zh-CN" altLang="en-US" sz="1000"/>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Lbls>
            <c:delete val="true"/>
          </c:dLbls>
          <c:cat>
            <c:strRef>
              <c:f>'[机关决算公开辅助表（各种图）.xlsx]机关1'!$B$1:$B$2</c:f>
              <c:strCache>
                <c:ptCount val="2"/>
                <c:pt idx="0">
                  <c:v>一般公共预算</c:v>
                </c:pt>
                <c:pt idx="1">
                  <c:v>其他收入</c:v>
                </c:pt>
              </c:strCache>
            </c:strRef>
          </c:cat>
          <c:val>
            <c:numRef>
              <c:f>'[机关决算公开辅助表（各种图）.xlsx]机关1'!$C$1:$C$2</c:f>
              <c:numCache>
                <c:formatCode>#,##0.00</c:formatCode>
                <c:ptCount val="2"/>
                <c:pt idx="0">
                  <c:v>869.91</c:v>
                </c:pt>
                <c:pt idx="1" c:formatCode="General">
                  <c:v>3.2</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true"/>
          <a:lstStyle/>
          <a:p>
            <a:pPr defTabSz="914400">
              <a:defRPr lang="zh-CN" sz="1400" b="0" i="0" u="none" strike="noStrike" kern="1200" spc="0" baseline="0">
                <a:solidFill>
                  <a:sysClr val="windowText" lastClr="000000">
                    <a:lumMod val="65000"/>
                    <a:lumOff val="35000"/>
                  </a:sysClr>
                </a:solidFill>
                <a:latin typeface="+mn-lt"/>
                <a:ea typeface="+mn-ea"/>
                <a:cs typeface="+mn-cs"/>
              </a:defRPr>
            </a:pPr>
            <a:r>
              <a:t>支出决算结构图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rgbClr val="5B9BD5"/>
              </a:solidFill>
              <a:ln w="19050">
                <a:solidFill>
                  <a:sysClr val="window" lastClr="FFFFFF"/>
                </a:solidFill>
              </a:ln>
              <a:effectLst/>
            </c:spPr>
          </c:dPt>
          <c:dPt>
            <c:idx val="1"/>
            <c:bubble3D val="false"/>
            <c:spPr>
              <a:solidFill>
                <a:srgbClr val="ED7D31"/>
              </a:solidFill>
              <a:ln w="19050">
                <a:solidFill>
                  <a:sysClr val="window" lastClr="FFFFFF"/>
                </a:solidFill>
              </a:ln>
              <a:effectLst/>
            </c:spPr>
          </c:dPt>
          <c:dLbls>
            <c:spPr>
              <a:noFill/>
              <a:ln>
                <a:noFill/>
              </a:ln>
              <a:effectLst/>
            </c:spPr>
            <c:txPr>
              <a:bodyPr rot="0" spcFirstLastPara="0" vertOverflow="ellipsis" vert="horz" wrap="square" lIns="38100" tIns="19050" rIns="38100" bIns="19050" anchor="ctr" anchorCtr="true"/>
              <a:lstStyle/>
              <a:p>
                <a:pPr>
                  <a:defRPr lang="zh-CN" sz="900" b="0" i="0" u="none" strike="noStrike" kern="1200" baseline="0">
                    <a:solidFill>
                      <a:sysClr val="windowText" lastClr="000000">
                        <a:lumMod val="75000"/>
                        <a:lumOff val="25000"/>
                      </a:sysClr>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spPr>
                    <a:ln w="9525" cap="flat" cmpd="sng" algn="ctr">
                      <a:solidFill>
                        <a:sysClr val="windowText" lastClr="000000">
                          <a:lumMod val="35000"/>
                          <a:lumOff val="65000"/>
                        </a:sysClr>
                      </a:solidFill>
                      <a:round/>
                    </a:ln>
                    <a:effectLst/>
                  </c:spPr>
                </c15:leaderLines>
              </c:ext>
            </c:extLst>
          </c:dLbls>
          <c:cat>
            <c:strRef>
              <c:f>[新建Excel文档.xls]Sheet1!$A$3:$A$4</c:f>
              <c:strCache>
                <c:ptCount val="2"/>
                <c:pt idx="0">
                  <c:v>基本支出</c:v>
                </c:pt>
                <c:pt idx="1">
                  <c:v>项目支出</c:v>
                </c:pt>
              </c:strCache>
            </c:strRef>
          </c:cat>
          <c:val>
            <c:numRef>
              <c:f>[新建Excel文档.xls]Sheet1!$B$3:$B$4</c:f>
              <c:numCache>
                <c:formatCode>General</c:formatCode>
                <c:ptCount val="2"/>
                <c:pt idx="0">
                  <c:v>522.08</c:v>
                </c:pt>
                <c:pt idx="1">
                  <c:v>333.52</c:v>
                </c:pt>
              </c:numCache>
            </c:numRef>
          </c:val>
        </c:ser>
        <c:dLbls>
          <c:showLegendKey val="false"/>
          <c:showVal val="tru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ysClr val="windowText" lastClr="000000">
                  <a:lumMod val="65000"/>
                  <a:lumOff val="35000"/>
                </a:sysClr>
              </a:solidFill>
              <a:latin typeface="+mn-lt"/>
              <a:ea typeface="+mn-ea"/>
              <a:cs typeface="+mn-cs"/>
            </a:defRPr>
          </a:pPr>
        </a:p>
      </c:txPr>
    </c:legend>
    <c:plotVisOnly val="true"/>
    <c:dispBlanksAs val="gap"/>
    <c:showDLblsOverMax val="false"/>
  </c:chart>
  <c:spPr>
    <a:solidFill>
      <a:sysClr val="window" lastClr="FFFFFF"/>
    </a:solidFill>
    <a:ln w="9525" cap="flat" cmpd="sng" algn="ctr">
      <a:solidFill>
        <a:sysClr val="windowText" lastClr="000000">
          <a:lumMod val="15000"/>
          <a:lumOff val="85000"/>
        </a:sys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zh-CN" sz="1400" b="0" i="0" u="none" strike="noStrike" baseline="0">
                <a:effectLst/>
              </a:rPr>
              <a:t>图</a:t>
            </a:r>
            <a:r>
              <a:rPr lang="en-US" altLang="zh-CN" sz="1400" b="0" i="0" u="none" strike="noStrike" baseline="0">
                <a:effectLst/>
              </a:rPr>
              <a:t>4</a:t>
            </a:r>
            <a:r>
              <a:rPr lang="zh-CN" altLang="zh-CN" sz="1400" b="0" i="0" u="none" strike="noStrike" baseline="0">
                <a:effectLst/>
              </a:rPr>
              <a:t>：财政拨款收、支决算总计变动情况</a:t>
            </a:r>
            <a:endParaRPr lang="zh-CN" altLang="en-US"/>
          </a:p>
        </c:rich>
      </c:tx>
      <c:layout>
        <c:manualLayout>
          <c:xMode val="edge"/>
          <c:yMode val="edge"/>
          <c:x val="0.166342078654103"/>
          <c:y val="0.0516836380135196"/>
        </c:manualLayout>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'[机关决算公开辅助表（各种图）.xlsx]机关1'!$B$35:$B$36</c:f>
              <c:strCache>
                <c:ptCount val="2"/>
                <c:pt idx="0">
                  <c:v>2019年财政拨款收支总计</c:v>
                </c:pt>
                <c:pt idx="1">
                  <c:v>2020年财政拨款收支总计</c:v>
                </c:pt>
              </c:strCache>
            </c:strRef>
          </c:cat>
          <c:val>
            <c:numRef>
              <c:f>'[机关决算公开辅助表（各种图）.xlsx]机关1'!$C$35:$C$36</c:f>
              <c:numCache>
                <c:formatCode>General</c:formatCode>
                <c:ptCount val="2"/>
                <c:pt idx="0">
                  <c:v>1100.75</c:v>
                </c:pt>
                <c:pt idx="1" c:formatCode="#,##0.00">
                  <c:v>1116.93</c:v>
                </c:pt>
              </c:numCache>
            </c:numRef>
          </c:val>
        </c:ser>
        <c:dLbls>
          <c:showLegendKey val="false"/>
          <c:showVal val="false"/>
          <c:showCatName val="false"/>
          <c:showSerName val="false"/>
          <c:showPercent val="false"/>
          <c:showBubbleSize val="false"/>
        </c:dLbls>
        <c:gapWidth val="219"/>
        <c:overlap val="-27"/>
        <c:axId val="371911240"/>
        <c:axId val="371908288"/>
      </c:barChart>
      <c:catAx>
        <c:axId val="371911240"/>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71908288"/>
        <c:crosses val="autoZero"/>
        <c:auto val="true"/>
        <c:lblAlgn val="ctr"/>
        <c:lblOffset val="100"/>
        <c:noMultiLvlLbl val="false"/>
      </c:catAx>
      <c:valAx>
        <c:axId val="371908288"/>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371911240"/>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sz="1000"/>
              <a:t>图</a:t>
            </a:r>
            <a:r>
              <a:rPr lang="en-US" altLang="zh-CN" sz="1000"/>
              <a:t>5</a:t>
            </a:r>
            <a:r>
              <a:rPr lang="zh-CN" altLang="en-US" sz="1000"/>
              <a:t>：一般公共预算财政拨款支出决算变动情况</a:t>
            </a:r>
            <a:endParaRPr lang="zh-CN" altLang="en-US" sz="1000"/>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'[机关决算公开辅助表（各种图）.xlsx]机关1'!$B$17:$B$18</c:f>
              <c:strCache>
                <c:ptCount val="2"/>
                <c:pt idx="0">
                  <c:v>2019年一般公共预算支出</c:v>
                </c:pt>
                <c:pt idx="1">
                  <c:v>2020年一般公共预算支出</c:v>
                </c:pt>
              </c:strCache>
            </c:strRef>
          </c:cat>
          <c:val>
            <c:numRef>
              <c:f>'[机关决算公开辅助表（各种图）.xlsx]机关1'!$C$17:$C$18</c:f>
              <c:numCache>
                <c:formatCode>General</c:formatCode>
                <c:ptCount val="2"/>
                <c:pt idx="0">
                  <c:v>620.83</c:v>
                </c:pt>
                <c:pt idx="1" c:formatCode="#,##0.00">
                  <c:v>852.7</c:v>
                </c:pt>
              </c:numCache>
            </c:numRef>
          </c:val>
        </c:ser>
        <c:dLbls>
          <c:showLegendKey val="false"/>
          <c:showVal val="false"/>
          <c:showCatName val="false"/>
          <c:showSerName val="false"/>
          <c:showPercent val="false"/>
          <c:showBubbleSize val="false"/>
        </c:dLbls>
        <c:gapWidth val="219"/>
        <c:overlap val="-27"/>
        <c:axId val="242232136"/>
        <c:axId val="242232520"/>
      </c:barChart>
      <c:catAx>
        <c:axId val="242232136"/>
        <c:scaling>
          <c:orientation val="minMax"/>
        </c:scaling>
        <c:delete val="false"/>
        <c:axPos val="b"/>
        <c:numFmt formatCode="General" sourceLinked="tru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2232520"/>
        <c:crosses val="autoZero"/>
        <c:auto val="true"/>
        <c:lblAlgn val="ctr"/>
        <c:lblOffset val="100"/>
        <c:noMultiLvlLbl val="false"/>
      </c:catAx>
      <c:valAx>
        <c:axId val="242232520"/>
        <c:scaling>
          <c:orientation val="minMax"/>
        </c:scaling>
        <c:delete val="false"/>
        <c:axPos val="l"/>
        <c:majorGridlines>
          <c:spPr>
            <a:ln w="9525" cap="flat" cmpd="sng" algn="ctr">
              <a:solidFill>
                <a:schemeClr val="tx1">
                  <a:lumMod val="15000"/>
                  <a:lumOff val="85000"/>
                </a:schemeClr>
              </a:solidFill>
              <a:round/>
            </a:ln>
            <a:effectLst/>
          </c:spPr>
        </c:majorGridlines>
        <c:numFmt formatCode="General" sourceLinked="true"/>
        <c:majorTickMark val="none"/>
        <c:minorTickMark val="none"/>
        <c:tickLblPos val="nextTo"/>
        <c:spPr>
          <a:noFill/>
          <a:ln>
            <a:noFill/>
          </a:ln>
          <a:effectLst/>
        </c:spPr>
        <c:txPr>
          <a:bodyPr rot="-6000000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42232136"/>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sz="1000"/>
              <a:t>图</a:t>
            </a:r>
            <a:r>
              <a:rPr lang="en-US" altLang="zh-CN" sz="1000"/>
              <a:t>6</a:t>
            </a:r>
            <a:r>
              <a:rPr lang="zh-CN" altLang="en-US" sz="1000"/>
              <a:t>：一般公共预算财政拨款支出决算结构</a:t>
            </a:r>
            <a:endParaRPr lang="zh-CN" altLang="en-US" sz="1000"/>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elete val="true"/>
          </c:dLbls>
          <c:cat>
            <c:strRef>
              <c:f>'[机关决算公开辅助表（各种图）.xlsx]机关2'!$A$2:$A$6</c:f>
              <c:strCache>
                <c:ptCount val="5"/>
                <c:pt idx="0">
                  <c:v>社会保障和就业支出</c:v>
                </c:pt>
                <c:pt idx="1">
                  <c:v>卫生健康支出</c:v>
                </c:pt>
                <c:pt idx="2">
                  <c:v>资源勘探工业信息等支出</c:v>
                </c:pt>
                <c:pt idx="3">
                  <c:v>灾害防治及应急管理支出</c:v>
                </c:pt>
                <c:pt idx="4">
                  <c:v>住房保障支出</c:v>
                </c:pt>
              </c:strCache>
            </c:strRef>
          </c:cat>
          <c:val>
            <c:numRef>
              <c:f>'[机关决算公开辅助表（各种图）.xlsx]机关2'!$B$2:$B$6</c:f>
              <c:numCache>
                <c:formatCode>General</c:formatCode>
                <c:ptCount val="5"/>
                <c:pt idx="0">
                  <c:v>33.66</c:v>
                </c:pt>
                <c:pt idx="1">
                  <c:v>25.37</c:v>
                </c:pt>
                <c:pt idx="2">
                  <c:v>0</c:v>
                </c:pt>
                <c:pt idx="3" c:formatCode="#,##0.00">
                  <c:v>740</c:v>
                </c:pt>
                <c:pt idx="4">
                  <c:v>53.67</c:v>
                </c:pt>
              </c:numCache>
            </c:numRef>
          </c:val>
        </c:ser>
        <c:ser>
          <c:idx val="1"/>
          <c:order val="1"/>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Pt>
            <c:idx val="3"/>
            <c:bubble3D val="false"/>
            <c:spPr>
              <a:solidFill>
                <a:schemeClr val="accent4"/>
              </a:solidFill>
              <a:ln w="19050">
                <a:solidFill>
                  <a:schemeClr val="lt1"/>
                </a:solidFill>
              </a:ln>
              <a:effectLst/>
            </c:spPr>
          </c:dPt>
          <c:dPt>
            <c:idx val="4"/>
            <c:bubble3D val="false"/>
            <c:spPr>
              <a:solidFill>
                <a:schemeClr val="accent5"/>
              </a:solidFill>
              <a:ln w="19050">
                <a:solidFill>
                  <a:schemeClr val="lt1"/>
                </a:solidFill>
              </a:ln>
              <a:effectLst/>
            </c:spPr>
          </c:dPt>
          <c:dLbls>
            <c:delete val="true"/>
          </c:dLbls>
          <c:cat>
            <c:strRef>
              <c:f>'[机关决算公开辅助表（各种图）.xlsx]机关2'!$A$2:$A$6</c:f>
              <c:strCache>
                <c:ptCount val="5"/>
                <c:pt idx="0">
                  <c:v>社会保障和就业支出</c:v>
                </c:pt>
                <c:pt idx="1">
                  <c:v>卫生健康支出</c:v>
                </c:pt>
                <c:pt idx="2">
                  <c:v>资源勘探工业信息等支出</c:v>
                </c:pt>
                <c:pt idx="3">
                  <c:v>灾害防治及应急管理支出</c:v>
                </c:pt>
                <c:pt idx="4">
                  <c:v>住房保障支出</c:v>
                </c:pt>
              </c:strCache>
            </c:strRef>
          </c:cat>
          <c:val>
            <c:numRef>
              <c:f>'[机关决算公开辅助表（各种图）.xlsx]机关2'!$C$2:$C$6</c:f>
              <c:numCache>
                <c:formatCode>0.00%</c:formatCode>
                <c:ptCount val="5"/>
                <c:pt idx="0">
                  <c:v>0.0394746100621555</c:v>
                </c:pt>
                <c:pt idx="1">
                  <c:v>0.0297525507212384</c:v>
                </c:pt>
                <c:pt idx="2">
                  <c:v>0</c:v>
                </c:pt>
                <c:pt idx="3">
                  <c:v>0.867831593760995</c:v>
                </c:pt>
                <c:pt idx="4">
                  <c:v>0.0629412454556116</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true"/>
          <a:lstStyle/>
          <a:p>
            <a:pPr>
              <a:defRPr lang="zh-CN" sz="1400" b="0" i="0" u="none" strike="noStrike" kern="1200" spc="0" baseline="0">
                <a:solidFill>
                  <a:schemeClr val="tx1">
                    <a:lumMod val="65000"/>
                    <a:lumOff val="35000"/>
                  </a:schemeClr>
                </a:solidFill>
                <a:latin typeface="+mn-lt"/>
                <a:ea typeface="+mn-ea"/>
                <a:cs typeface="+mn-cs"/>
              </a:defRPr>
            </a:pPr>
            <a:r>
              <a:rPr lang="zh-CN" altLang="en-US" sz="1000"/>
              <a:t>图</a:t>
            </a:r>
            <a:r>
              <a:rPr lang="en-US" altLang="zh-CN" sz="1000"/>
              <a:t>7</a:t>
            </a:r>
            <a:r>
              <a:rPr lang="zh-CN" altLang="en-US" sz="1000"/>
              <a:t>：“三公”经费财政拨款支出结构</a:t>
            </a:r>
            <a:endParaRPr lang="zh-CN" altLang="en-US" sz="1000"/>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w="19050">
                <a:solidFill>
                  <a:schemeClr val="lt1"/>
                </a:solidFill>
              </a:ln>
              <a:effectLst/>
            </c:spPr>
          </c:dPt>
          <c:dPt>
            <c:idx val="1"/>
            <c:bubble3D val="false"/>
            <c:spPr>
              <a:solidFill>
                <a:schemeClr val="accent2"/>
              </a:solidFill>
              <a:ln w="19050">
                <a:solidFill>
                  <a:schemeClr val="lt1"/>
                </a:solidFill>
              </a:ln>
              <a:effectLst/>
            </c:spPr>
          </c:dPt>
          <c:dPt>
            <c:idx val="2"/>
            <c:bubble3D val="false"/>
            <c:spPr>
              <a:solidFill>
                <a:schemeClr val="accent3"/>
              </a:solidFill>
              <a:ln w="19050">
                <a:solidFill>
                  <a:schemeClr val="lt1"/>
                </a:solidFill>
              </a:ln>
              <a:effectLst/>
            </c:spPr>
          </c:dPt>
          <c:dLbls>
            <c:delete val="true"/>
          </c:dLbls>
          <c:cat>
            <c:strRef>
              <c:f>'[机关决算公开辅助表（各种图）.xlsx]机关2'!$A$24:$A$26</c:f>
              <c:strCache>
                <c:ptCount val="3"/>
                <c:pt idx="0">
                  <c:v>因公出国（境）费</c:v>
                </c:pt>
                <c:pt idx="1">
                  <c:v>公务用车购置及运行维护费</c:v>
                </c:pt>
                <c:pt idx="2">
                  <c:v>公务接待费</c:v>
                </c:pt>
              </c:strCache>
            </c:strRef>
          </c:cat>
          <c:val>
            <c:numRef>
              <c:f>'[机关决算公开辅助表（各种图）.xlsx]机关2'!$B$24:$B$26</c:f>
              <c:numCache>
                <c:formatCode>General</c:formatCode>
                <c:ptCount val="3"/>
                <c:pt idx="0">
                  <c:v>0</c:v>
                </c:pt>
                <c:pt idx="1">
                  <c:v>26.85</c:v>
                </c:pt>
                <c:pt idx="2">
                  <c:v>0.83</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1"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9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ysClr val="windowText" lastClr="000000"/>
    </cs:fontRef>
    <cs:spPr>
      <a:ln w="19050">
        <a:solidFill>
          <a:sysClr val="window" lastClr="FFFFFF"/>
        </a:solidFill>
      </a:ln>
    </cs:spPr>
  </cs:dataPoint>
  <cs:dataPoint3D>
    <cs:lnRef idx="0"/>
    <cs:fillRef idx="1">
      <cs:styleClr val="auto"/>
    </cs:fillRef>
    <cs:effectRef idx="0"/>
    <cs:fontRef idx="minor">
      <a:sysClr val="windowText" lastClr="000000"/>
    </cs:fontRef>
    <cs:spPr>
      <a:ln w="25400">
        <a:solidFill>
          <a:sysClr val="window" lastClr="FFFFFF"/>
        </a:solidFill>
      </a:ln>
    </cs:spPr>
  </cs:dataPoint3D>
  <cs:dataPointLine>
    <cs:lnRef idx="0">
      <cs:styleClr val="auto"/>
    </cs:lnRef>
    <cs:fillRef idx="0"/>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0"/>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75000"/>
          <a:lumOff val="25000"/>
        </a:sysClr>
      </a:solidFill>
      <a:ln w="9525" cap="flat" cmpd="sng" algn="ctr">
        <a:solidFill>
          <a:sysClr val="windowText" lastClr="000000">
            <a:lumMod val="65000"/>
            <a:lumOff val="35000"/>
          </a:sysClr>
        </a:solidFill>
        <a:round/>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50000"/>
            <a:lumOff val="50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cap="flat" cmpd="sng" algn="ctr">
        <a:solidFill>
          <a:sysClr val="windowText" lastClr="000000">
            <a:lumMod val="65000"/>
            <a:lumOff val="35000"/>
          </a:sysClr>
        </a:solidFill>
        <a:round/>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30</Pages>
  <Words>13478</Words>
  <Characters>14161</Characters>
  <Lines>7</Lines>
  <Paragraphs>17</Paragraphs>
  <TotalTime>3</TotalTime>
  <ScaleCrop>false</ScaleCrop>
  <LinksUpToDate>false</LinksUpToDate>
  <CharactersWithSpaces>14176</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2020-08-04T09:49:00Z</dcterms:created>
  <dc:creator>曹颖</dc:creator>
  <cp:lastModifiedBy>user</cp:lastModifiedBy>
  <cp:lastPrinted>2020-09-18T11:07:00Z</cp:lastPrinted>
  <dcterms:modified xsi:type="dcterms:W3CDTF">2022-09-05T19:01:25Z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4ADAD30781AE43B8906FC0D6A3E2CC81</vt:lpwstr>
  </property>
</Properties>
</file>