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
          <w:sz w:val="32"/>
          <w:szCs w:val="32"/>
        </w:rPr>
      </w:pPr>
      <w:bookmarkStart w:id="0" w:name="_Toc15306267"/>
    </w:p>
    <w:p>
      <w:pPr>
        <w:spacing w:line="360" w:lineRule="auto"/>
        <w:rPr>
          <w:rFonts w:eastAsia="仿宋"/>
          <w:sz w:val="32"/>
          <w:szCs w:val="32"/>
        </w:rPr>
      </w:pPr>
    </w:p>
    <w:p>
      <w:pPr>
        <w:pStyle w:val="2"/>
        <w:spacing w:before="93"/>
      </w:pPr>
    </w:p>
    <w:p>
      <w:pPr>
        <w:pStyle w:val="2"/>
        <w:spacing w:before="93"/>
      </w:pPr>
    </w:p>
    <w:p>
      <w:pPr>
        <w:pStyle w:val="2"/>
        <w:spacing w:before="93"/>
      </w:pPr>
    </w:p>
    <w:bookmarkEnd w:id="0"/>
    <w:p>
      <w:pPr>
        <w:jc w:val="center"/>
        <w:rPr>
          <w:rFonts w:ascii="方正小标宋_GBK" w:eastAsia="方正小标宋_GBK"/>
          <w:sz w:val="40"/>
          <w:szCs w:val="72"/>
        </w:rPr>
      </w:pPr>
      <w:bookmarkStart w:id="1" w:name="_Toc15377425"/>
      <w:bookmarkStart w:id="2" w:name="_Toc15396475"/>
      <w:bookmarkStart w:id="3" w:name="_Toc19087152"/>
      <w:bookmarkStart w:id="4" w:name="_Toc15377193"/>
      <w:bookmarkStart w:id="5" w:name="_Toc15378441"/>
      <w:bookmarkStart w:id="6" w:name="_Toc15396597"/>
      <w:bookmarkStart w:id="7" w:name="_Hlk81405556"/>
      <w:bookmarkStart w:id="8" w:name="_Toc15377196"/>
      <w:bookmarkStart w:id="9" w:name="_Toc15396599"/>
      <w:r>
        <w:rPr>
          <w:rFonts w:ascii="方正小标宋_GBK" w:eastAsia="方正小标宋_GBK"/>
          <w:sz w:val="40"/>
          <w:szCs w:val="72"/>
        </w:rPr>
        <w:t>2020</w:t>
      </w:r>
      <w:r>
        <w:rPr>
          <w:rFonts w:hint="eastAsia" w:ascii="方正小标宋_GBK" w:eastAsia="方正小标宋_GBK"/>
          <w:sz w:val="40"/>
          <w:szCs w:val="72"/>
        </w:rPr>
        <w:t>年度</w:t>
      </w:r>
      <w:bookmarkEnd w:id="1"/>
      <w:bookmarkEnd w:id="2"/>
      <w:bookmarkEnd w:id="3"/>
      <w:bookmarkEnd w:id="4"/>
      <w:bookmarkEnd w:id="5"/>
      <w:bookmarkEnd w:id="6"/>
      <w:bookmarkStart w:id="10" w:name="_Toc15306268"/>
      <w:bookmarkStart w:id="11" w:name="_Toc15378442"/>
      <w:bookmarkStart w:id="12" w:name="_Toc15377426"/>
      <w:bookmarkStart w:id="13" w:name="_Toc15377194"/>
      <w:bookmarkStart w:id="14" w:name="_Toc15396598"/>
      <w:bookmarkStart w:id="15" w:name="_Toc15396476"/>
      <w:bookmarkStart w:id="16" w:name="_Toc19087153"/>
      <w:r>
        <w:rPr>
          <w:rFonts w:hint="eastAsia" w:ascii="方正小标宋_GBK" w:eastAsia="方正小标宋_GBK"/>
          <w:sz w:val="40"/>
          <w:szCs w:val="72"/>
        </w:rPr>
        <w:t>广元市应急管理科技信息中心</w:t>
      </w:r>
    </w:p>
    <w:p>
      <w:pPr>
        <w:jc w:val="center"/>
        <w:rPr>
          <w:rFonts w:ascii="方正小标宋_GBK" w:eastAsia="方正小标宋_GBK"/>
          <w:sz w:val="40"/>
          <w:szCs w:val="72"/>
        </w:rPr>
      </w:pPr>
      <w:r>
        <w:rPr>
          <w:rFonts w:hint="eastAsia" w:ascii="方正小标宋_GBK" w:eastAsia="方正小标宋_GBK"/>
          <w:sz w:val="40"/>
          <w:szCs w:val="72"/>
        </w:rPr>
        <w:t>部门决算</w:t>
      </w:r>
      <w:bookmarkEnd w:id="10"/>
      <w:bookmarkEnd w:id="11"/>
      <w:bookmarkEnd w:id="12"/>
      <w:bookmarkEnd w:id="13"/>
      <w:bookmarkEnd w:id="14"/>
      <w:bookmarkEnd w:id="15"/>
      <w:bookmarkEnd w:id="16"/>
      <w:bookmarkStart w:id="17" w:name="_Toc19087154"/>
    </w:p>
    <w:bookmarkEnd w:id="7"/>
    <w:bookmarkEnd w:id="17"/>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eastAsia="方正小标宋简体"/>
          <w:color w:val="000000"/>
          <w:sz w:val="36"/>
          <w:szCs w:val="36"/>
        </w:rPr>
      </w:pPr>
    </w:p>
    <w:p>
      <w:pPr>
        <w:topLinePunct/>
        <w:snapToGrid w:val="0"/>
        <w:jc w:val="center"/>
        <w:rPr>
          <w:rFonts w:ascii="方正小标宋_GBK" w:eastAsia="方正小标宋_GBK"/>
          <w:color w:val="000000"/>
          <w:sz w:val="44"/>
          <w:szCs w:val="44"/>
        </w:rPr>
      </w:pPr>
      <w:r>
        <w:rPr>
          <w:rFonts w:eastAsia="方正小标宋简体"/>
          <w:color w:val="000000"/>
          <w:sz w:val="36"/>
          <w:szCs w:val="36"/>
        </w:rPr>
        <w:br w:type="page"/>
      </w:r>
      <w:bookmarkStart w:id="18" w:name="_Toc80371168"/>
      <w:bookmarkStart w:id="19" w:name="_Toc80371047"/>
      <w:bookmarkStart w:id="20" w:name="_Toc18932"/>
      <w:r>
        <w:rPr>
          <w:rFonts w:hint="eastAsia" w:ascii="方正小标宋_GBK" w:eastAsia="方正小标宋_GBK"/>
          <w:color w:val="000000"/>
          <w:sz w:val="44"/>
          <w:szCs w:val="44"/>
        </w:rPr>
        <w:t>目</w:t>
      </w:r>
      <w:r>
        <w:rPr>
          <w:rFonts w:ascii="方正小标宋_GBK" w:eastAsia="方正小标宋_GBK"/>
          <w:color w:val="000000"/>
          <w:sz w:val="44"/>
          <w:szCs w:val="44"/>
        </w:rPr>
        <w:t xml:space="preserve">  </w:t>
      </w:r>
      <w:r>
        <w:rPr>
          <w:rFonts w:hint="eastAsia" w:ascii="方正小标宋_GBK" w:eastAsia="方正小标宋_GBK"/>
          <w:color w:val="000000"/>
          <w:sz w:val="44"/>
          <w:szCs w:val="44"/>
        </w:rPr>
        <w:t>录</w:t>
      </w:r>
    </w:p>
    <w:p>
      <w:pPr>
        <w:pStyle w:val="11"/>
        <w:rPr>
          <w:rFonts w:ascii="Times New Roman" w:hAnsi="Times New Roman" w:eastAsia="方正黑体_GBK"/>
          <w:bCs/>
          <w:color w:val="000000"/>
        </w:rPr>
      </w:pPr>
      <w:r>
        <w:rPr>
          <w:rFonts w:hint="eastAsia" w:ascii="Times New Roman" w:hAnsi="Times New Roman" w:eastAsia="方正黑体_GBK"/>
          <w:bCs/>
          <w:color w:val="000000"/>
        </w:rPr>
        <w:t>公开时间：</w:t>
      </w:r>
      <w:r>
        <w:rPr>
          <w:rFonts w:ascii="Times New Roman" w:hAnsi="Times New Roman" w:eastAsia="方正黑体_GBK"/>
          <w:bCs/>
          <w:color w:val="000000"/>
        </w:rPr>
        <w:t>2020</w:t>
      </w:r>
      <w:r>
        <w:rPr>
          <w:rFonts w:hint="eastAsia" w:ascii="Times New Roman" w:hAnsi="Times New Roman" w:eastAsia="方正黑体_GBK"/>
          <w:bCs/>
          <w:color w:val="000000"/>
        </w:rPr>
        <w:t>年</w:t>
      </w:r>
      <w:r>
        <w:rPr>
          <w:rFonts w:ascii="Times New Roman" w:hAnsi="Times New Roman" w:eastAsia="方正黑体_GBK"/>
          <w:bCs/>
          <w:color w:val="000000"/>
        </w:rPr>
        <w:t>9</w:t>
      </w:r>
      <w:r>
        <w:rPr>
          <w:rFonts w:hint="eastAsia" w:ascii="Times New Roman" w:hAnsi="Times New Roman" w:eastAsia="方正黑体_GBK"/>
          <w:bCs/>
          <w:color w:val="000000"/>
        </w:rPr>
        <w:t>月</w:t>
      </w:r>
      <w:r>
        <w:rPr>
          <w:rFonts w:ascii="Times New Roman" w:hAnsi="Times New Roman" w:eastAsia="方正黑体_GBK"/>
          <w:bCs/>
          <w:color w:val="000000"/>
        </w:rPr>
        <w:t>10</w:t>
      </w:r>
      <w:r>
        <w:rPr>
          <w:rFonts w:hint="eastAsia" w:ascii="Times New Roman" w:hAnsi="Times New Roman" w:eastAsia="方正黑体_GBK"/>
          <w:bCs/>
          <w:color w:val="000000"/>
        </w:rPr>
        <w:t>日</w:t>
      </w:r>
    </w:p>
    <w:p>
      <w:pPr>
        <w:pStyle w:val="11"/>
        <w:rPr>
          <w:rStyle w:val="18"/>
          <w:rFonts w:ascii="Times New Roman" w:hAnsi="Times New Roman" w:eastAsia="方正黑体_GBK"/>
        </w:rPr>
      </w:pPr>
      <w:r>
        <w:rPr>
          <w:rStyle w:val="18"/>
          <w:rFonts w:eastAsia="方正黑体_GBK"/>
        </w:rPr>
        <w:fldChar w:fldCharType="begin"/>
      </w:r>
      <w:r>
        <w:rPr>
          <w:rStyle w:val="18"/>
          <w:rFonts w:eastAsia="方正黑体_GBK"/>
        </w:rPr>
        <w:instrText xml:space="preserve"> TOC \o "1-2" \h \z \u </w:instrText>
      </w:r>
      <w:r>
        <w:rPr>
          <w:rStyle w:val="18"/>
          <w:rFonts w:eastAsia="方正黑体_GBK"/>
        </w:rPr>
        <w:fldChar w:fldCharType="separate"/>
      </w:r>
      <w:r>
        <w:fldChar w:fldCharType="begin"/>
      </w:r>
      <w:r>
        <w:instrText xml:space="preserve"> HYPERLINK \l "_Toc82164256" </w:instrText>
      </w:r>
      <w:r>
        <w:fldChar w:fldCharType="separate"/>
      </w:r>
      <w:r>
        <w:rPr>
          <w:rStyle w:val="18"/>
          <w:rFonts w:hint="eastAsia" w:ascii="Times New Roman" w:hAnsi="Times New Roman" w:eastAsia="方正黑体_GBK"/>
        </w:rPr>
        <w:t>第一部分</w:t>
      </w:r>
      <w:r>
        <w:rPr>
          <w:rStyle w:val="18"/>
          <w:rFonts w:ascii="Times New Roman" w:hAnsi="Times New Roman" w:eastAsia="方正黑体_GBK"/>
        </w:rPr>
        <w:t xml:space="preserve"> </w:t>
      </w:r>
      <w:r>
        <w:rPr>
          <w:rStyle w:val="18"/>
          <w:rFonts w:hint="eastAsia" w:ascii="Times New Roman" w:hAnsi="Times New Roman" w:eastAsia="方正黑体_GBK"/>
        </w:rPr>
        <w:t>部门概况</w:t>
      </w:r>
      <w:r>
        <w:rPr>
          <w:rStyle w:val="18"/>
          <w:rFonts w:ascii="Times New Roman" w:hAnsi="Times New Roman" w:eastAsia="方正黑体_GBK"/>
        </w:rPr>
        <w:tab/>
      </w:r>
      <w:r>
        <w:rPr>
          <w:rStyle w:val="18"/>
          <w:rFonts w:ascii="Times New Roman" w:hAnsi="Times New Roman" w:eastAsia="方正黑体_GBK"/>
        </w:rPr>
        <w:t>4</w:t>
      </w:r>
      <w:r>
        <w:rPr>
          <w:rStyle w:val="18"/>
          <w:rFonts w:ascii="Times New Roman" w:hAnsi="Times New Roman" w:eastAsia="方正黑体_GBK"/>
        </w:rPr>
        <w:fldChar w:fldCharType="end"/>
      </w:r>
    </w:p>
    <w:p>
      <w:pPr>
        <w:pStyle w:val="12"/>
        <w:rPr>
          <w:rStyle w:val="18"/>
          <w:rFonts w:eastAsia="方正黑体_GBK"/>
        </w:rPr>
      </w:pPr>
      <w:r>
        <w:fldChar w:fldCharType="begin"/>
      </w:r>
      <w:r>
        <w:instrText xml:space="preserve"> HYPERLINK \l "_Toc82164257" </w:instrText>
      </w:r>
      <w:r>
        <w:fldChar w:fldCharType="separate"/>
      </w:r>
      <w:r>
        <w:rPr>
          <w:rStyle w:val="18"/>
          <w:rFonts w:hint="eastAsia" w:eastAsia="方正黑体_GBK"/>
        </w:rPr>
        <w:t>一、基本职能及主要工作</w:t>
      </w:r>
      <w:r>
        <w:rPr>
          <w:rStyle w:val="18"/>
          <w:rFonts w:eastAsia="方正黑体_GBK"/>
        </w:rPr>
        <w:tab/>
      </w:r>
      <w:r>
        <w:rPr>
          <w:rStyle w:val="18"/>
          <w:rFonts w:eastAsia="方正黑体_GBK"/>
        </w:rPr>
        <w:t xml:space="preserve">  4</w:t>
      </w:r>
      <w:r>
        <w:rPr>
          <w:rStyle w:val="18"/>
          <w:rFonts w:eastAsia="方正黑体_GBK"/>
        </w:rPr>
        <w:fldChar w:fldCharType="end"/>
      </w:r>
    </w:p>
    <w:p>
      <w:pPr>
        <w:pStyle w:val="12"/>
        <w:rPr>
          <w:rStyle w:val="18"/>
          <w:rFonts w:eastAsia="方正黑体_GBK"/>
        </w:rPr>
      </w:pPr>
      <w:r>
        <w:fldChar w:fldCharType="begin"/>
      </w:r>
      <w:r>
        <w:instrText xml:space="preserve"> HYPERLINK \l "_Toc82164258" </w:instrText>
      </w:r>
      <w:r>
        <w:fldChar w:fldCharType="separate"/>
      </w:r>
      <w:r>
        <w:rPr>
          <w:rStyle w:val="18"/>
          <w:rFonts w:hint="eastAsia" w:eastAsia="方正黑体_GBK"/>
        </w:rPr>
        <w:t>二、机构设置</w:t>
      </w:r>
      <w:r>
        <w:rPr>
          <w:rStyle w:val="18"/>
          <w:rFonts w:eastAsia="方正黑体_GBK"/>
        </w:rPr>
        <w:tab/>
      </w:r>
      <w:r>
        <w:rPr>
          <w:rStyle w:val="18"/>
          <w:rFonts w:eastAsia="方正黑体_GBK"/>
        </w:rPr>
        <w:t>6</w:t>
      </w:r>
      <w:r>
        <w:rPr>
          <w:rStyle w:val="18"/>
          <w:rFonts w:eastAsia="方正黑体_GBK"/>
        </w:rPr>
        <w:fldChar w:fldCharType="end"/>
      </w:r>
    </w:p>
    <w:p>
      <w:pPr>
        <w:pStyle w:val="11"/>
        <w:rPr>
          <w:rStyle w:val="18"/>
          <w:rFonts w:ascii="Times New Roman" w:hAnsi="Times New Roman" w:eastAsia="方正黑体_GBK"/>
        </w:rPr>
      </w:pPr>
      <w:r>
        <w:fldChar w:fldCharType="begin"/>
      </w:r>
      <w:r>
        <w:instrText xml:space="preserve"> HYPERLINK \l "_Toc82164259" </w:instrText>
      </w:r>
      <w:r>
        <w:fldChar w:fldCharType="separate"/>
      </w:r>
      <w:r>
        <w:rPr>
          <w:rStyle w:val="18"/>
          <w:rFonts w:hint="eastAsia" w:ascii="Times New Roman" w:hAnsi="Times New Roman" w:eastAsia="方正黑体_GBK"/>
        </w:rPr>
        <w:t>第二部分</w:t>
      </w:r>
      <w:r>
        <w:rPr>
          <w:rStyle w:val="18"/>
          <w:rFonts w:ascii="Times New Roman" w:hAnsi="Times New Roman" w:eastAsia="方正黑体_GBK"/>
        </w:rPr>
        <w:t xml:space="preserve"> 2020</w:t>
      </w:r>
      <w:r>
        <w:rPr>
          <w:rStyle w:val="18"/>
          <w:rFonts w:hint="eastAsia" w:ascii="Times New Roman" w:hAnsi="Times New Roman" w:eastAsia="方正黑体_GBK"/>
        </w:rPr>
        <w:t>年度部门决算情况说明</w:t>
      </w:r>
      <w:r>
        <w:rPr>
          <w:rStyle w:val="18"/>
          <w:rFonts w:ascii="Times New Roman" w:hAnsi="Times New Roman" w:eastAsia="方正黑体_GBK"/>
        </w:rPr>
        <w:tab/>
      </w:r>
      <w:r>
        <w:rPr>
          <w:rStyle w:val="18"/>
          <w:rFonts w:ascii="Times New Roman" w:hAnsi="Times New Roman" w:eastAsia="方正黑体_GBK"/>
        </w:rPr>
        <w:t>7</w:t>
      </w:r>
      <w:r>
        <w:rPr>
          <w:rStyle w:val="18"/>
          <w:rFonts w:ascii="Times New Roman" w:hAnsi="Times New Roman" w:eastAsia="方正黑体_GBK"/>
        </w:rPr>
        <w:fldChar w:fldCharType="end"/>
      </w:r>
    </w:p>
    <w:p>
      <w:pPr>
        <w:pStyle w:val="12"/>
        <w:rPr>
          <w:rStyle w:val="18"/>
          <w:rFonts w:eastAsia="方正黑体_GBK"/>
        </w:rPr>
      </w:pPr>
      <w:r>
        <w:fldChar w:fldCharType="begin"/>
      </w:r>
      <w:r>
        <w:instrText xml:space="preserve"> HYPERLINK \l "_Toc82164260" </w:instrText>
      </w:r>
      <w:r>
        <w:fldChar w:fldCharType="separate"/>
      </w:r>
      <w:r>
        <w:rPr>
          <w:rStyle w:val="18"/>
          <w:rFonts w:hint="eastAsia" w:eastAsia="方正黑体_GBK"/>
        </w:rPr>
        <w:t>一、收入支出决算总体情况说明</w:t>
      </w:r>
      <w:r>
        <w:rPr>
          <w:rStyle w:val="18"/>
          <w:rFonts w:eastAsia="方正黑体_GBK"/>
        </w:rPr>
        <w:tab/>
      </w:r>
      <w:r>
        <w:rPr>
          <w:rStyle w:val="18"/>
          <w:rFonts w:eastAsia="方正黑体_GBK"/>
        </w:rPr>
        <w:t>7</w:t>
      </w:r>
      <w:r>
        <w:rPr>
          <w:rStyle w:val="18"/>
          <w:rFonts w:eastAsia="方正黑体_GBK"/>
        </w:rPr>
        <w:fldChar w:fldCharType="end"/>
      </w:r>
    </w:p>
    <w:p>
      <w:pPr>
        <w:pStyle w:val="12"/>
        <w:rPr>
          <w:rStyle w:val="18"/>
          <w:rFonts w:eastAsia="方正黑体_GBK"/>
        </w:rPr>
      </w:pPr>
      <w:r>
        <w:fldChar w:fldCharType="begin"/>
      </w:r>
      <w:r>
        <w:instrText xml:space="preserve"> HYPERLINK \l "_Toc82164261" </w:instrText>
      </w:r>
      <w:r>
        <w:fldChar w:fldCharType="separate"/>
      </w:r>
      <w:r>
        <w:rPr>
          <w:rStyle w:val="18"/>
          <w:rFonts w:hint="eastAsia" w:eastAsia="方正黑体_GBK"/>
        </w:rPr>
        <w:t>二、收入决算情况说明</w:t>
      </w:r>
      <w:r>
        <w:rPr>
          <w:rStyle w:val="18"/>
          <w:rFonts w:eastAsia="方正黑体_GBK"/>
        </w:rPr>
        <w:tab/>
      </w:r>
      <w:r>
        <w:rPr>
          <w:rStyle w:val="18"/>
          <w:rFonts w:eastAsia="方正黑体_GBK"/>
        </w:rPr>
        <w:t>7</w:t>
      </w:r>
      <w:r>
        <w:rPr>
          <w:rStyle w:val="18"/>
          <w:rFonts w:eastAsia="方正黑体_GBK"/>
        </w:rPr>
        <w:fldChar w:fldCharType="end"/>
      </w:r>
    </w:p>
    <w:p>
      <w:pPr>
        <w:pStyle w:val="12"/>
        <w:rPr>
          <w:rStyle w:val="18"/>
          <w:rFonts w:eastAsia="方正黑体_GBK"/>
        </w:rPr>
      </w:pPr>
      <w:r>
        <w:fldChar w:fldCharType="begin"/>
      </w:r>
      <w:r>
        <w:instrText xml:space="preserve"> HYPERLINK \l "_Toc82164262" </w:instrText>
      </w:r>
      <w:r>
        <w:fldChar w:fldCharType="separate"/>
      </w:r>
      <w:r>
        <w:rPr>
          <w:rStyle w:val="18"/>
          <w:rFonts w:hint="eastAsia" w:eastAsia="方正黑体_GBK"/>
        </w:rPr>
        <w:t>三、支出决算情况说明</w:t>
      </w:r>
      <w:r>
        <w:rPr>
          <w:rStyle w:val="18"/>
          <w:rFonts w:eastAsia="方正黑体_GBK"/>
        </w:rPr>
        <w:tab/>
      </w:r>
      <w:r>
        <w:rPr>
          <w:rStyle w:val="18"/>
          <w:rFonts w:eastAsia="方正黑体_GBK"/>
        </w:rPr>
        <w:t>8</w:t>
      </w:r>
      <w:r>
        <w:rPr>
          <w:rStyle w:val="18"/>
          <w:rFonts w:eastAsia="方正黑体_GBK"/>
        </w:rPr>
        <w:fldChar w:fldCharType="end"/>
      </w:r>
    </w:p>
    <w:p>
      <w:pPr>
        <w:pStyle w:val="12"/>
        <w:rPr>
          <w:rStyle w:val="18"/>
          <w:rFonts w:eastAsia="方正黑体_GBK"/>
        </w:rPr>
      </w:pPr>
      <w:r>
        <w:fldChar w:fldCharType="begin"/>
      </w:r>
      <w:r>
        <w:instrText xml:space="preserve"> HYPERLINK \l "_Toc82164263" </w:instrText>
      </w:r>
      <w:r>
        <w:fldChar w:fldCharType="separate"/>
      </w:r>
      <w:r>
        <w:rPr>
          <w:rStyle w:val="18"/>
          <w:rFonts w:hint="eastAsia" w:eastAsia="方正黑体_GBK"/>
        </w:rPr>
        <w:t>四、财政拨款收入支出决算总体情况说明</w:t>
      </w:r>
      <w:r>
        <w:rPr>
          <w:rStyle w:val="18"/>
          <w:rFonts w:eastAsia="方正黑体_GBK"/>
        </w:rPr>
        <w:tab/>
      </w:r>
      <w:r>
        <w:rPr>
          <w:rStyle w:val="18"/>
          <w:rFonts w:eastAsia="方正黑体_GBK"/>
        </w:rPr>
        <w:t>8</w:t>
      </w:r>
      <w:r>
        <w:rPr>
          <w:rStyle w:val="18"/>
          <w:rFonts w:eastAsia="方正黑体_GBK"/>
        </w:rPr>
        <w:fldChar w:fldCharType="end"/>
      </w:r>
    </w:p>
    <w:p>
      <w:pPr>
        <w:pStyle w:val="12"/>
        <w:rPr>
          <w:rStyle w:val="18"/>
          <w:rFonts w:eastAsia="方正黑体_GBK"/>
        </w:rPr>
      </w:pPr>
      <w:r>
        <w:fldChar w:fldCharType="begin"/>
      </w:r>
      <w:r>
        <w:instrText xml:space="preserve"> HYPERLINK \l "_Toc82164264" </w:instrText>
      </w:r>
      <w:r>
        <w:fldChar w:fldCharType="separate"/>
      </w:r>
      <w:r>
        <w:rPr>
          <w:rStyle w:val="18"/>
          <w:rFonts w:hint="eastAsia" w:eastAsia="方正黑体_GBK"/>
        </w:rPr>
        <w:t>五、一般公共预算财政拨款支出决算情况说明</w:t>
      </w:r>
      <w:r>
        <w:rPr>
          <w:rStyle w:val="18"/>
          <w:rFonts w:eastAsia="方正黑体_GBK"/>
        </w:rPr>
        <w:tab/>
      </w:r>
      <w:r>
        <w:rPr>
          <w:rStyle w:val="18"/>
          <w:rFonts w:eastAsia="方正黑体_GBK"/>
        </w:rPr>
        <w:t>9</w:t>
      </w:r>
      <w:r>
        <w:rPr>
          <w:rStyle w:val="18"/>
          <w:rFonts w:eastAsia="方正黑体_GBK"/>
        </w:rPr>
        <w:fldChar w:fldCharType="end"/>
      </w:r>
    </w:p>
    <w:p>
      <w:pPr>
        <w:pStyle w:val="12"/>
        <w:rPr>
          <w:rStyle w:val="18"/>
          <w:rFonts w:eastAsia="方正黑体_GBK"/>
        </w:rPr>
      </w:pPr>
      <w:r>
        <w:fldChar w:fldCharType="begin"/>
      </w:r>
      <w:r>
        <w:instrText xml:space="preserve"> HYPERLINK \l "_Toc82164265" </w:instrText>
      </w:r>
      <w:r>
        <w:fldChar w:fldCharType="separate"/>
      </w:r>
      <w:r>
        <w:rPr>
          <w:rStyle w:val="18"/>
          <w:rFonts w:hint="eastAsia" w:eastAsia="方正黑体_GBK"/>
        </w:rPr>
        <w:t>六、一般公共预算财政拨款基本支出决算情况说明</w:t>
      </w:r>
      <w:r>
        <w:rPr>
          <w:rStyle w:val="18"/>
          <w:rFonts w:eastAsia="方正黑体_GBK"/>
        </w:rPr>
        <w:tab/>
      </w:r>
      <w:r>
        <w:rPr>
          <w:rStyle w:val="18"/>
          <w:rFonts w:eastAsia="方正黑体_GBK"/>
        </w:rPr>
        <w:t>1</w:t>
      </w:r>
      <w:r>
        <w:rPr>
          <w:rStyle w:val="18"/>
          <w:rFonts w:eastAsia="方正黑体_GBK"/>
        </w:rPr>
        <w:fldChar w:fldCharType="end"/>
      </w:r>
    </w:p>
    <w:p>
      <w:pPr>
        <w:pStyle w:val="12"/>
        <w:rPr>
          <w:rStyle w:val="18"/>
          <w:rFonts w:eastAsia="方正黑体_GBK"/>
        </w:rPr>
      </w:pPr>
      <w:r>
        <w:fldChar w:fldCharType="begin"/>
      </w:r>
      <w:r>
        <w:instrText xml:space="preserve"> HYPERLINK \l "_Toc82164266" </w:instrText>
      </w:r>
      <w:r>
        <w:fldChar w:fldCharType="separate"/>
      </w:r>
      <w:r>
        <w:rPr>
          <w:rStyle w:val="18"/>
          <w:rFonts w:hint="eastAsia" w:eastAsia="方正黑体_GBK"/>
        </w:rPr>
        <w:t>七、</w:t>
      </w:r>
      <w:r>
        <w:rPr>
          <w:rStyle w:val="18"/>
          <w:rFonts w:eastAsia="方正黑体_GBK"/>
        </w:rPr>
        <w:t>“</w:t>
      </w:r>
      <w:r>
        <w:rPr>
          <w:rStyle w:val="18"/>
          <w:rFonts w:hint="eastAsia" w:eastAsia="方正黑体_GBK"/>
        </w:rPr>
        <w:t>三公</w:t>
      </w:r>
      <w:r>
        <w:rPr>
          <w:rStyle w:val="18"/>
          <w:rFonts w:eastAsia="方正黑体_GBK"/>
        </w:rPr>
        <w:t>”</w:t>
      </w:r>
      <w:r>
        <w:rPr>
          <w:rStyle w:val="18"/>
          <w:rFonts w:hint="eastAsia" w:eastAsia="方正黑体_GBK"/>
        </w:rPr>
        <w:t>经费财政拨款支出决算情况说明</w:t>
      </w:r>
      <w:r>
        <w:rPr>
          <w:rStyle w:val="18"/>
          <w:rFonts w:eastAsia="方正黑体_GBK"/>
        </w:rPr>
        <w:tab/>
      </w:r>
      <w:r>
        <w:rPr>
          <w:rStyle w:val="18"/>
          <w:rFonts w:eastAsia="方正黑体_GBK"/>
        </w:rPr>
        <w:t>12</w:t>
      </w:r>
      <w:r>
        <w:rPr>
          <w:rStyle w:val="18"/>
          <w:rFonts w:eastAsia="方正黑体_GBK"/>
        </w:rPr>
        <w:fldChar w:fldCharType="end"/>
      </w:r>
    </w:p>
    <w:p>
      <w:pPr>
        <w:pStyle w:val="12"/>
        <w:rPr>
          <w:rStyle w:val="18"/>
          <w:rFonts w:eastAsia="方正黑体_GBK"/>
        </w:rPr>
      </w:pPr>
      <w:r>
        <w:fldChar w:fldCharType="begin"/>
      </w:r>
      <w:r>
        <w:instrText xml:space="preserve"> HYPERLINK \l "_Toc82164267" </w:instrText>
      </w:r>
      <w:r>
        <w:fldChar w:fldCharType="separate"/>
      </w:r>
      <w:r>
        <w:rPr>
          <w:rStyle w:val="18"/>
          <w:rFonts w:hint="eastAsia" w:eastAsia="方正黑体_GBK"/>
        </w:rPr>
        <w:t>八、政府性基金预算支出决算情况说明</w:t>
      </w:r>
      <w:r>
        <w:rPr>
          <w:rStyle w:val="18"/>
          <w:rFonts w:eastAsia="方正黑体_GBK"/>
        </w:rPr>
        <w:tab/>
      </w:r>
      <w:r>
        <w:rPr>
          <w:rStyle w:val="18"/>
          <w:rFonts w:eastAsia="方正黑体_GBK"/>
        </w:rPr>
        <w:t>13</w:t>
      </w:r>
      <w:r>
        <w:rPr>
          <w:rStyle w:val="18"/>
          <w:rFonts w:eastAsia="方正黑体_GBK"/>
        </w:rPr>
        <w:fldChar w:fldCharType="end"/>
      </w:r>
    </w:p>
    <w:p>
      <w:pPr>
        <w:pStyle w:val="12"/>
        <w:rPr>
          <w:rStyle w:val="18"/>
          <w:rFonts w:eastAsia="方正黑体_GBK"/>
        </w:rPr>
      </w:pPr>
      <w:r>
        <w:fldChar w:fldCharType="begin"/>
      </w:r>
      <w:r>
        <w:instrText xml:space="preserve"> HYPERLINK \l "_Toc82164268" </w:instrText>
      </w:r>
      <w:r>
        <w:fldChar w:fldCharType="separate"/>
      </w:r>
      <w:r>
        <w:rPr>
          <w:rStyle w:val="18"/>
          <w:rFonts w:hint="eastAsia" w:eastAsia="方正黑体_GBK"/>
        </w:rPr>
        <w:t>九、国有资本经营预算支出决算情况说明</w:t>
      </w:r>
      <w:r>
        <w:rPr>
          <w:rStyle w:val="18"/>
          <w:rFonts w:eastAsia="方正黑体_GBK"/>
        </w:rPr>
        <w:tab/>
      </w:r>
      <w:r>
        <w:rPr>
          <w:rStyle w:val="18"/>
          <w:rFonts w:eastAsia="方正黑体_GBK"/>
        </w:rPr>
        <w:t>14</w:t>
      </w:r>
      <w:r>
        <w:rPr>
          <w:rStyle w:val="18"/>
          <w:rFonts w:eastAsia="方正黑体_GBK"/>
        </w:rPr>
        <w:fldChar w:fldCharType="end"/>
      </w:r>
    </w:p>
    <w:p>
      <w:pPr>
        <w:pStyle w:val="12"/>
        <w:rPr>
          <w:rStyle w:val="18"/>
          <w:rFonts w:eastAsia="方正黑体_GBK"/>
        </w:rPr>
      </w:pPr>
      <w:r>
        <w:fldChar w:fldCharType="begin"/>
      </w:r>
      <w:r>
        <w:instrText xml:space="preserve"> HYPERLINK \l "_Toc82164269" </w:instrText>
      </w:r>
      <w:r>
        <w:fldChar w:fldCharType="separate"/>
      </w:r>
      <w:r>
        <w:rPr>
          <w:rStyle w:val="18"/>
          <w:rFonts w:hint="eastAsia" w:eastAsia="方正黑体_GBK"/>
        </w:rPr>
        <w:t>十、其他重要事项的情况说明</w:t>
      </w:r>
      <w:r>
        <w:rPr>
          <w:rStyle w:val="18"/>
          <w:rFonts w:eastAsia="方正黑体_GBK"/>
        </w:rPr>
        <w:tab/>
      </w:r>
      <w:r>
        <w:rPr>
          <w:rStyle w:val="18"/>
          <w:rFonts w:eastAsia="方正黑体_GBK"/>
        </w:rPr>
        <w:t>4</w:t>
      </w:r>
      <w:r>
        <w:rPr>
          <w:rStyle w:val="18"/>
          <w:rFonts w:eastAsia="方正黑体_GBK"/>
        </w:rPr>
        <w:fldChar w:fldCharType="end"/>
      </w:r>
    </w:p>
    <w:p>
      <w:pPr>
        <w:pStyle w:val="11"/>
        <w:rPr>
          <w:rStyle w:val="18"/>
          <w:rFonts w:ascii="Times New Roman" w:hAnsi="Times New Roman" w:eastAsia="方正黑体_GBK"/>
        </w:rPr>
      </w:pPr>
      <w:r>
        <w:fldChar w:fldCharType="begin"/>
      </w:r>
      <w:r>
        <w:instrText xml:space="preserve"> HYPERLINK \l "_Toc82164270" </w:instrText>
      </w:r>
      <w:r>
        <w:fldChar w:fldCharType="separate"/>
      </w:r>
      <w:r>
        <w:rPr>
          <w:rStyle w:val="18"/>
          <w:rFonts w:hint="eastAsia" w:ascii="Times New Roman" w:hAnsi="Times New Roman" w:eastAsia="方正黑体_GBK"/>
        </w:rPr>
        <w:t>第三部分</w:t>
      </w:r>
      <w:r>
        <w:rPr>
          <w:rStyle w:val="18"/>
          <w:rFonts w:ascii="Times New Roman" w:hAnsi="Times New Roman" w:eastAsia="方正黑体_GBK"/>
        </w:rPr>
        <w:t xml:space="preserve"> </w:t>
      </w:r>
      <w:r>
        <w:rPr>
          <w:rStyle w:val="18"/>
          <w:rFonts w:hint="eastAsia" w:ascii="Times New Roman" w:hAnsi="Times New Roman" w:eastAsia="方正黑体_GBK"/>
        </w:rPr>
        <w:t>名词解释</w:t>
      </w:r>
      <w:r>
        <w:rPr>
          <w:rStyle w:val="18"/>
          <w:rFonts w:ascii="Times New Roman" w:hAnsi="Times New Roman" w:eastAsia="方正黑体_GBK"/>
        </w:rPr>
        <w:tab/>
      </w:r>
      <w:r>
        <w:rPr>
          <w:rStyle w:val="18"/>
          <w:rFonts w:ascii="Times New Roman" w:hAnsi="Times New Roman" w:eastAsia="方正黑体_GBK"/>
        </w:rPr>
        <w:t>23</w:t>
      </w:r>
      <w:r>
        <w:rPr>
          <w:rStyle w:val="18"/>
          <w:rFonts w:ascii="Times New Roman" w:hAnsi="Times New Roman" w:eastAsia="方正黑体_GBK"/>
        </w:rPr>
        <w:fldChar w:fldCharType="end"/>
      </w:r>
    </w:p>
    <w:p>
      <w:pPr>
        <w:pStyle w:val="11"/>
        <w:rPr>
          <w:rStyle w:val="18"/>
          <w:rFonts w:ascii="Times New Roman" w:hAnsi="Times New Roman" w:eastAsia="方正黑体_GBK"/>
        </w:rPr>
      </w:pPr>
      <w:r>
        <w:fldChar w:fldCharType="begin"/>
      </w:r>
      <w:r>
        <w:instrText xml:space="preserve"> HYPERLINK \l "_Toc82164271" </w:instrText>
      </w:r>
      <w:r>
        <w:fldChar w:fldCharType="separate"/>
      </w:r>
      <w:r>
        <w:rPr>
          <w:rStyle w:val="18"/>
          <w:rFonts w:hint="eastAsia" w:ascii="Times New Roman" w:hAnsi="Times New Roman" w:eastAsia="方正黑体_GBK"/>
        </w:rPr>
        <w:t>第四部分</w:t>
      </w:r>
      <w:r>
        <w:rPr>
          <w:rStyle w:val="18"/>
          <w:rFonts w:ascii="Times New Roman" w:hAnsi="Times New Roman" w:eastAsia="方正黑体_GBK"/>
        </w:rPr>
        <w:t xml:space="preserve"> </w:t>
      </w:r>
      <w:r>
        <w:rPr>
          <w:rStyle w:val="18"/>
          <w:rFonts w:hint="eastAsia" w:ascii="Times New Roman" w:hAnsi="Times New Roman" w:eastAsia="方正黑体_GBK"/>
        </w:rPr>
        <w:t>附件</w:t>
      </w:r>
      <w:r>
        <w:rPr>
          <w:rStyle w:val="18"/>
          <w:rFonts w:ascii="Times New Roman" w:hAnsi="Times New Roman" w:eastAsia="方正黑体_GBK"/>
        </w:rPr>
        <w:tab/>
      </w:r>
      <w:r>
        <w:rPr>
          <w:rStyle w:val="18"/>
          <w:rFonts w:ascii="Times New Roman" w:hAnsi="Times New Roman" w:eastAsia="方正黑体_GBK"/>
        </w:rPr>
        <w:fldChar w:fldCharType="begin"/>
      </w:r>
      <w:r>
        <w:rPr>
          <w:rStyle w:val="18"/>
          <w:rFonts w:ascii="Times New Roman" w:hAnsi="Times New Roman" w:eastAsia="方正黑体_GBK"/>
        </w:rPr>
        <w:instrText xml:space="preserve"> PAGEREF _Toc82164271 \h </w:instrText>
      </w:r>
      <w:r>
        <w:rPr>
          <w:rStyle w:val="18"/>
          <w:rFonts w:ascii="Times New Roman" w:hAnsi="Times New Roman" w:eastAsia="方正黑体_GBK"/>
        </w:rPr>
        <w:fldChar w:fldCharType="separate"/>
      </w:r>
      <w:r>
        <w:rPr>
          <w:rStyle w:val="18"/>
          <w:rFonts w:ascii="Times New Roman" w:hAnsi="Times New Roman" w:eastAsia="方正黑体_GBK"/>
        </w:rPr>
        <w:t>3</w:t>
      </w:r>
      <w:r>
        <w:rPr>
          <w:rStyle w:val="18"/>
          <w:rFonts w:ascii="Times New Roman" w:hAnsi="Times New Roman" w:eastAsia="方正黑体_GBK"/>
        </w:rPr>
        <w:fldChar w:fldCharType="end"/>
      </w:r>
      <w:r>
        <w:rPr>
          <w:rStyle w:val="18"/>
          <w:rFonts w:ascii="Times New Roman" w:hAnsi="Times New Roman" w:eastAsia="方正黑体_GBK"/>
        </w:rPr>
        <w:fldChar w:fldCharType="end"/>
      </w:r>
    </w:p>
    <w:p>
      <w:pPr>
        <w:pStyle w:val="12"/>
        <w:rPr>
          <w:rStyle w:val="18"/>
          <w:rFonts w:eastAsia="方正黑体_GBK"/>
        </w:rPr>
      </w:pPr>
      <w:r>
        <w:fldChar w:fldCharType="begin"/>
      </w:r>
      <w:r>
        <w:instrText xml:space="preserve"> HYPERLINK \l "_Toc82164273" </w:instrText>
      </w:r>
      <w:r>
        <w:fldChar w:fldCharType="separate"/>
      </w:r>
      <w:r>
        <w:rPr>
          <w:rStyle w:val="18"/>
          <w:rFonts w:hint="eastAsia" w:eastAsia="方正黑体_GBK"/>
        </w:rPr>
        <w:t>一、收入支出决算总表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"_Toc82164274" </w:instrText>
      </w:r>
      <w:r>
        <w:fldChar w:fldCharType="separate"/>
      </w:r>
      <w:r>
        <w:rPr>
          <w:rStyle w:val="18"/>
          <w:rFonts w:hint="eastAsia" w:eastAsia="方正黑体_GBK"/>
        </w:rPr>
        <w:t>二、收入决算表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_Toc82164274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"_Toc82164275" </w:instrText>
      </w:r>
      <w:r>
        <w:fldChar w:fldCharType="separate"/>
      </w:r>
      <w:r>
        <w:rPr>
          <w:rStyle w:val="18"/>
          <w:rFonts w:hint="eastAsia" w:eastAsia="方正黑体_GBK"/>
        </w:rPr>
        <w:t>三、支出决算表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"_Toc82164276" </w:instrText>
      </w:r>
      <w:r>
        <w:fldChar w:fldCharType="separate"/>
      </w:r>
      <w:r>
        <w:rPr>
          <w:rStyle w:val="18"/>
          <w:rFonts w:hint="eastAsia" w:eastAsia="方正黑体_GBK"/>
        </w:rPr>
        <w:t>四、财政拨款收入支出决算总表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"_Toc82164277" </w:instrText>
      </w:r>
      <w:r>
        <w:fldChar w:fldCharType="separate"/>
      </w:r>
      <w:r>
        <w:rPr>
          <w:rStyle w:val="18"/>
          <w:rFonts w:hint="eastAsia" w:eastAsia="方正黑体_GBK"/>
        </w:rPr>
        <w:t>五、财政拨款支出决算明细表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"_Toc82164278" </w:instrText>
      </w:r>
      <w:r>
        <w:fldChar w:fldCharType="separate"/>
      </w:r>
      <w:r>
        <w:rPr>
          <w:rStyle w:val="18"/>
          <w:rFonts w:hint="eastAsia" w:eastAsia="方正黑体_GBK"/>
        </w:rPr>
        <w:t>六、一般公共预算财政拨款支出决算表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"_Toc82164279" </w:instrText>
      </w:r>
      <w:r>
        <w:fldChar w:fldCharType="separate"/>
      </w:r>
      <w:r>
        <w:rPr>
          <w:rStyle w:val="18"/>
          <w:rFonts w:hint="eastAsia" w:eastAsia="方正黑体_GBK"/>
        </w:rPr>
        <w:t>七、一般公共预算财政拨款支出决算明细表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"_Toc82164280" </w:instrText>
      </w:r>
      <w:r>
        <w:fldChar w:fldCharType="separate"/>
      </w:r>
      <w:r>
        <w:rPr>
          <w:rStyle w:val="18"/>
          <w:rFonts w:hint="eastAsia" w:eastAsia="方正黑体_GBK"/>
        </w:rPr>
        <w:t>八、一般公共预算财政拨款基本支出决算表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"_Toc82164281" </w:instrText>
      </w:r>
      <w:r>
        <w:fldChar w:fldCharType="separate"/>
      </w:r>
      <w:r>
        <w:rPr>
          <w:rStyle w:val="18"/>
          <w:rFonts w:hint="eastAsia" w:eastAsia="方正黑体_GBK"/>
        </w:rPr>
        <w:t>九、一般公共预算财政拨款项目支出决算表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"_Toc82164282" </w:instrText>
      </w:r>
      <w:r>
        <w:fldChar w:fldCharType="separate"/>
      </w:r>
      <w:r>
        <w:rPr>
          <w:rStyle w:val="18"/>
          <w:rFonts w:hint="eastAsia" w:eastAsia="方正黑体_GBK"/>
        </w:rPr>
        <w:t>十、一般公共预算财政拨款</w:t>
      </w:r>
      <w:r>
        <w:rPr>
          <w:rStyle w:val="18"/>
          <w:rFonts w:eastAsia="方正黑体_GBK"/>
        </w:rPr>
        <w:t>“</w:t>
      </w:r>
      <w:r>
        <w:rPr>
          <w:rStyle w:val="18"/>
          <w:rFonts w:hint="eastAsia" w:eastAsia="方正黑体_GBK"/>
        </w:rPr>
        <w:t>三公</w:t>
      </w:r>
      <w:r>
        <w:rPr>
          <w:rStyle w:val="18"/>
          <w:rFonts w:eastAsia="方正黑体_GBK"/>
        </w:rPr>
        <w:t>”</w:t>
      </w:r>
      <w:r>
        <w:rPr>
          <w:rStyle w:val="18"/>
          <w:rFonts w:hint="eastAsia" w:eastAsia="方正黑体_GBK"/>
        </w:rPr>
        <w:t>经费支出决算表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"_Toc82164283" </w:instrText>
      </w:r>
      <w:r>
        <w:fldChar w:fldCharType="separate"/>
      </w:r>
      <w:r>
        <w:rPr>
          <w:rStyle w:val="18"/>
          <w:rFonts w:hint="eastAsia" w:eastAsia="方正黑体_GBK"/>
        </w:rPr>
        <w:t>十一、政府性基金预算财政拨款收入支出决算表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pStyle w:val="12"/>
        <w:rPr>
          <w:rStyle w:val="18"/>
          <w:rFonts w:eastAsia="方正黑体_GBK"/>
        </w:rPr>
      </w:pPr>
      <w:r>
        <w:fldChar w:fldCharType="begin"/>
      </w:r>
      <w:r>
        <w:instrText xml:space="preserve"> HYPERLINK \l "_Toc82164284" </w:instrText>
      </w:r>
      <w:r>
        <w:fldChar w:fldCharType="separate"/>
      </w:r>
      <w:r>
        <w:rPr>
          <w:rStyle w:val="18"/>
          <w:rFonts w:hint="eastAsia" w:eastAsia="方正黑体_GBK"/>
        </w:rPr>
        <w:t>十二、政府性基金预算财政拨款</w:t>
      </w:r>
      <w:r>
        <w:rPr>
          <w:rStyle w:val="18"/>
          <w:rFonts w:eastAsia="方正黑体_GBK"/>
        </w:rPr>
        <w:t>“</w:t>
      </w:r>
      <w:r>
        <w:rPr>
          <w:rStyle w:val="18"/>
          <w:rFonts w:hint="eastAsia" w:eastAsia="方正黑体_GBK"/>
        </w:rPr>
        <w:t>三公</w:t>
      </w:r>
      <w:r>
        <w:rPr>
          <w:rStyle w:val="18"/>
          <w:rFonts w:eastAsia="方正黑体_GBK"/>
        </w:rPr>
        <w:t>”</w:t>
      </w:r>
      <w:r>
        <w:rPr>
          <w:rStyle w:val="18"/>
          <w:rFonts w:hint="eastAsia" w:eastAsia="方正黑体_GBK"/>
        </w:rPr>
        <w:t>经费支出决算表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Pr>
        <w:ind w:firstLine="420" w:firstLineChars="200"/>
        <w:rPr>
          <w:rFonts w:hint="eastAsia" w:eastAsia="方正黑体_GBK"/>
          <w:lang w:eastAsia="zh-CN"/>
        </w:rPr>
      </w:pPr>
      <w:r>
        <w:rPr>
          <w:rStyle w:val="18"/>
          <w:rFonts w:hint="eastAsia" w:eastAsia="方正黑体_GBK"/>
          <w:lang w:eastAsia="zh-CN"/>
        </w:rPr>
        <w:t>十三、国有资本经营雨伞财政拨款收入支出决算表</w:t>
      </w:r>
    </w:p>
    <w:p>
      <w:pPr>
        <w:pStyle w:val="12"/>
        <w:rPr>
          <w:rStyle w:val="18"/>
          <w:rFonts w:eastAsia="方正黑体_GBK"/>
        </w:rPr>
      </w:pPr>
      <w:r>
        <w:fldChar w:fldCharType="begin"/>
      </w:r>
      <w:r>
        <w:instrText xml:space="preserve"> HYPERLINK \l "_Toc82164285" </w:instrText>
      </w:r>
      <w:r>
        <w:fldChar w:fldCharType="separate"/>
      </w:r>
      <w:r>
        <w:rPr>
          <w:rStyle w:val="18"/>
          <w:rFonts w:hint="eastAsia" w:eastAsia="方正黑体_GBK"/>
        </w:rPr>
        <w:t>十</w:t>
      </w:r>
      <w:r>
        <w:rPr>
          <w:rStyle w:val="18"/>
          <w:rFonts w:hint="eastAsia" w:eastAsia="方正黑体_GBK"/>
          <w:lang w:eastAsia="zh-CN"/>
        </w:rPr>
        <w:t>四</w:t>
      </w:r>
      <w:r>
        <w:rPr>
          <w:rStyle w:val="18"/>
          <w:rFonts w:hint="eastAsia" w:eastAsia="方正黑体_GBK"/>
        </w:rPr>
        <w:t>、国有资本经营预算财政拨款支出决算表</w:t>
      </w:r>
      <w:r>
        <w:rPr>
          <w:rStyle w:val="18"/>
          <w:rFonts w:eastAsia="方正黑体_GBK"/>
        </w:rPr>
        <w:tab/>
      </w:r>
      <w:r>
        <w:rPr>
          <w:rStyle w:val="18"/>
          <w:rFonts w:eastAsia="方正黑体_GBK"/>
        </w:rPr>
        <w:fldChar w:fldCharType="begin"/>
      </w:r>
      <w:r>
        <w:rPr>
          <w:rStyle w:val="18"/>
          <w:rFonts w:eastAsia="方正黑体_GBK"/>
        </w:rPr>
        <w:instrText xml:space="preserve"> PAGEREF _Toc82164273 \h </w:instrText>
      </w:r>
      <w:r>
        <w:rPr>
          <w:rStyle w:val="18"/>
          <w:rFonts w:eastAsia="方正黑体_GBK"/>
        </w:rPr>
        <w:fldChar w:fldCharType="separate"/>
      </w:r>
      <w:r>
        <w:rPr>
          <w:rStyle w:val="18"/>
          <w:rFonts w:eastAsia="方正黑体_GBK"/>
        </w:rPr>
        <w:t>3</w:t>
      </w:r>
      <w:r>
        <w:rPr>
          <w:rStyle w:val="18"/>
          <w:rFonts w:eastAsia="方正黑体_GBK"/>
        </w:rPr>
        <w:fldChar w:fldCharType="end"/>
      </w:r>
      <w:r>
        <w:rPr>
          <w:rStyle w:val="18"/>
          <w:rFonts w:eastAsia="方正黑体_GBK"/>
        </w:rPr>
        <w:fldChar w:fldCharType="end"/>
      </w:r>
    </w:p>
    <w:p/>
    <w:p>
      <w:pPr>
        <w:widowControl/>
        <w:spacing w:line="576" w:lineRule="exact"/>
        <w:jc w:val="center"/>
        <w:rPr>
          <w:rStyle w:val="18"/>
          <w:rFonts w:eastAsia="方正黑体_GBK"/>
        </w:rPr>
      </w:pPr>
      <w:r>
        <w:rPr>
          <w:rStyle w:val="18"/>
          <w:rFonts w:eastAsia="方正黑体_GBK"/>
        </w:rPr>
        <w:fldChar w:fldCharType="end"/>
      </w:r>
      <w:bookmarkEnd w:id="8"/>
      <w:bookmarkEnd w:id="9"/>
      <w:bookmarkEnd w:id="18"/>
      <w:bookmarkEnd w:id="19"/>
      <w:bookmarkEnd w:id="20"/>
      <w:bookmarkStart w:id="21" w:name="_Toc80712160"/>
      <w:bookmarkStart w:id="22" w:name="_Toc82163045"/>
      <w:bookmarkStart w:id="23" w:name="_Toc82164256"/>
      <w:bookmarkStart w:id="24" w:name="_Toc80371169"/>
      <w:bookmarkStart w:id="25" w:name="_Toc20860"/>
      <w:bookmarkStart w:id="26" w:name="_Toc15377197"/>
      <w:bookmarkStart w:id="27" w:name="_Toc15396600"/>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Style w:val="18"/>
          <w:rFonts w:eastAsia="方正黑体_GBK"/>
        </w:rPr>
      </w:pPr>
    </w:p>
    <w:p>
      <w:pPr>
        <w:widowControl/>
        <w:spacing w:line="576" w:lineRule="exact"/>
        <w:jc w:val="center"/>
        <w:rPr>
          <w:rFonts w:ascii="方正小标宋_GBK" w:eastAsia="方正小标宋_GBK"/>
          <w:sz w:val="44"/>
          <w:szCs w:val="44"/>
        </w:rPr>
      </w:pPr>
      <w:r>
        <w:rPr>
          <w:rFonts w:hint="eastAsia" w:ascii="方正小标宋_GBK" w:eastAsia="方正小标宋_GBK"/>
          <w:sz w:val="44"/>
          <w:szCs w:val="44"/>
        </w:rPr>
        <w:t>第一部分</w:t>
      </w:r>
      <w:r>
        <w:rPr>
          <w:rFonts w:ascii="方正小标宋_GBK" w:eastAsia="方正小标宋_GBK"/>
          <w:sz w:val="44"/>
          <w:szCs w:val="44"/>
        </w:rPr>
        <w:t xml:space="preserve"> </w:t>
      </w:r>
      <w:r>
        <w:rPr>
          <w:rFonts w:hint="eastAsia" w:ascii="方正小标宋_GBK" w:eastAsia="方正小标宋_GBK"/>
          <w:sz w:val="44"/>
          <w:szCs w:val="44"/>
        </w:rPr>
        <w:t>部门概况</w:t>
      </w:r>
      <w:bookmarkEnd w:id="21"/>
      <w:bookmarkEnd w:id="22"/>
      <w:bookmarkEnd w:id="23"/>
    </w:p>
    <w:p>
      <w:pPr>
        <w:spacing w:line="576" w:lineRule="exact"/>
      </w:pPr>
    </w:p>
    <w:bookmarkEnd w:id="24"/>
    <w:bookmarkEnd w:id="25"/>
    <w:p>
      <w:pPr>
        <w:pStyle w:val="4"/>
        <w:spacing w:before="0" w:after="0" w:line="576" w:lineRule="exact"/>
        <w:ind w:firstLine="640" w:firstLineChars="200"/>
        <w:rPr>
          <w:rFonts w:ascii="黑体" w:hAnsi="黑体" w:eastAsia="黑体"/>
          <w:b w:val="0"/>
          <w:color w:val="000000"/>
        </w:rPr>
      </w:pPr>
      <w:bookmarkStart w:id="28" w:name="_Toc80712161"/>
      <w:bookmarkStart w:id="29" w:name="_Toc82163046"/>
      <w:bookmarkStart w:id="30" w:name="_Toc82164257"/>
      <w:r>
        <w:rPr>
          <w:rFonts w:hint="eastAsia" w:ascii="黑体" w:hAnsi="黑体" w:eastAsia="黑体"/>
          <w:b w:val="0"/>
          <w:color w:val="000000"/>
        </w:rPr>
        <w:t>一、基本职能及主要工作</w:t>
      </w:r>
      <w:bookmarkEnd w:id="28"/>
      <w:bookmarkEnd w:id="29"/>
      <w:bookmarkEnd w:id="30"/>
    </w:p>
    <w:p>
      <w:pPr>
        <w:pStyle w:val="2"/>
        <w:adjustRightInd w:val="0"/>
        <w:snapToGrid w:val="0"/>
        <w:spacing w:beforeLines="0" w:line="576" w:lineRule="exact"/>
        <w:ind w:firstLine="672" w:firstLineChars="210"/>
        <w:outlineLvl w:val="2"/>
        <w:rPr>
          <w:rFonts w:ascii="楷体_GB2312" w:hAnsi="仿宋" w:eastAsia="楷体_GB2312"/>
          <w:bCs/>
          <w:color w:val="000000"/>
          <w:sz w:val="32"/>
          <w:szCs w:val="32"/>
        </w:rPr>
      </w:pPr>
      <w:bookmarkStart w:id="31" w:name="_Toc15378445"/>
      <w:bookmarkStart w:id="32" w:name="_Toc15377198"/>
      <w:r>
        <w:rPr>
          <w:rFonts w:hint="eastAsia" w:ascii="楷体_GB2312" w:hAnsi="仿宋" w:eastAsia="楷体_GB2312"/>
          <w:bCs/>
          <w:color w:val="000000"/>
          <w:sz w:val="32"/>
          <w:szCs w:val="32"/>
        </w:rPr>
        <w:t>（一）主要职能</w:t>
      </w:r>
      <w:bookmarkEnd w:id="31"/>
      <w:bookmarkEnd w:id="32"/>
    </w:p>
    <w:p>
      <w:pPr>
        <w:pStyle w:val="2"/>
        <w:adjustRightInd w:val="0"/>
        <w:snapToGrid w:val="0"/>
        <w:spacing w:beforeLines="0" w:line="576" w:lineRule="exact"/>
        <w:ind w:firstLine="672" w:firstLineChars="210"/>
        <w:outlineLvl w:val="2"/>
        <w:rPr>
          <w:rFonts w:hAnsi="仿宋"/>
          <w:color w:val="000000"/>
          <w:kern w:val="2"/>
          <w:sz w:val="32"/>
          <w:szCs w:val="32"/>
        </w:rPr>
      </w:pPr>
      <w:bookmarkStart w:id="33" w:name="_Toc15377199"/>
      <w:bookmarkStart w:id="34" w:name="_Toc15378446"/>
      <w:r>
        <w:rPr>
          <w:rFonts w:hint="eastAsia" w:hAnsi="仿宋"/>
          <w:color w:val="000000"/>
          <w:kern w:val="2"/>
          <w:sz w:val="32"/>
          <w:szCs w:val="32"/>
        </w:rPr>
        <w:t>承担市级应急管理、安全生产科技和信息化建设工作</w:t>
      </w:r>
      <w:r>
        <w:rPr>
          <w:rFonts w:hAnsi="仿宋"/>
          <w:color w:val="000000"/>
          <w:kern w:val="2"/>
          <w:sz w:val="32"/>
          <w:szCs w:val="32"/>
        </w:rPr>
        <w:t>;</w:t>
      </w:r>
      <w:r>
        <w:rPr>
          <w:rFonts w:hint="eastAsia" w:hAnsi="仿宋"/>
          <w:color w:val="000000"/>
          <w:kern w:val="2"/>
          <w:sz w:val="32"/>
          <w:szCs w:val="32"/>
        </w:rPr>
        <w:t>负责应急管理大数据中心管理事务，负责承担应急骨干专网建设、维护和管理工作</w:t>
      </w:r>
      <w:r>
        <w:rPr>
          <w:rFonts w:hAnsi="仿宋"/>
          <w:color w:val="000000"/>
          <w:kern w:val="2"/>
          <w:sz w:val="32"/>
          <w:szCs w:val="32"/>
        </w:rPr>
        <w:t>;</w:t>
      </w:r>
      <w:r>
        <w:rPr>
          <w:rFonts w:hint="eastAsia" w:hAnsi="仿宋"/>
          <w:color w:val="000000"/>
          <w:kern w:val="2"/>
          <w:sz w:val="32"/>
          <w:szCs w:val="32"/>
        </w:rPr>
        <w:t>指导各县区应急管理科技和信息化建设工作</w:t>
      </w:r>
      <w:r>
        <w:rPr>
          <w:rFonts w:hAnsi="仿宋"/>
          <w:color w:val="000000"/>
          <w:kern w:val="2"/>
          <w:sz w:val="32"/>
          <w:szCs w:val="32"/>
        </w:rPr>
        <w:t>;</w:t>
      </w:r>
      <w:r>
        <w:rPr>
          <w:rFonts w:hint="eastAsia" w:hAnsi="仿宋"/>
          <w:color w:val="000000"/>
          <w:kern w:val="2"/>
          <w:sz w:val="32"/>
          <w:szCs w:val="32"/>
        </w:rPr>
        <w:t>指导行业企业的安全生产信息化建设工作。</w:t>
      </w:r>
    </w:p>
    <w:p>
      <w:pPr>
        <w:pStyle w:val="2"/>
        <w:adjustRightInd w:val="0"/>
        <w:snapToGrid w:val="0"/>
        <w:spacing w:beforeLines="0" w:line="576" w:lineRule="exact"/>
        <w:ind w:firstLine="672" w:firstLineChars="210"/>
        <w:outlineLvl w:val="2"/>
        <w:rPr>
          <w:rFonts w:ascii="楷体_GB2312" w:hAnsi="仿宋" w:eastAsia="楷体_GB2312"/>
          <w:bCs/>
          <w:color w:val="000000"/>
          <w:sz w:val="32"/>
          <w:szCs w:val="32"/>
        </w:rPr>
      </w:pPr>
      <w:r>
        <w:rPr>
          <w:rFonts w:hint="eastAsia" w:ascii="楷体_GB2312" w:hAnsi="仿宋" w:eastAsia="楷体_GB2312"/>
          <w:bCs/>
          <w:color w:val="000000"/>
          <w:sz w:val="32"/>
          <w:szCs w:val="32"/>
        </w:rPr>
        <w:t>（二）</w:t>
      </w:r>
      <w:r>
        <w:rPr>
          <w:rFonts w:ascii="楷体_GB2312" w:hAnsi="仿宋" w:eastAsia="楷体_GB2312"/>
          <w:bCs/>
          <w:color w:val="000000"/>
          <w:sz w:val="32"/>
          <w:szCs w:val="32"/>
        </w:rPr>
        <w:t>2020</w:t>
      </w:r>
      <w:r>
        <w:rPr>
          <w:rFonts w:hint="eastAsia" w:ascii="楷体_GB2312" w:hAnsi="仿宋" w:eastAsia="楷体_GB2312"/>
          <w:bCs/>
          <w:color w:val="000000"/>
          <w:sz w:val="32"/>
          <w:szCs w:val="32"/>
        </w:rPr>
        <w:t>年重点工作完成情况</w:t>
      </w:r>
      <w:bookmarkEnd w:id="33"/>
      <w:bookmarkEnd w:id="34"/>
    </w:p>
    <w:p>
      <w:pPr>
        <w:snapToGrid w:val="0"/>
        <w:spacing w:line="576"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、全力推进应急管理综合信息平台建设。</w:t>
      </w:r>
      <w:r>
        <w:rPr>
          <w:rFonts w:ascii="仿宋_GB2312" w:hAnsi="仿宋" w:eastAsia="仿宋_GB2312"/>
          <w:sz w:val="32"/>
          <w:szCs w:val="32"/>
        </w:rPr>
        <w:t>1</w:t>
      </w:r>
      <w:r>
        <w:rPr>
          <w:rFonts w:hint="eastAsia" w:ascii="仿宋_GB2312" w:hAnsi="仿宋" w:eastAsia="仿宋_GB2312"/>
          <w:sz w:val="32"/>
          <w:szCs w:val="32"/>
        </w:rPr>
        <w:t>月，完成项目采购招标，因受疫情影响，项目正式开工启动日期延后至，为确保项目如期按质完成，我中心多措并举抓好项目实施：一强管理，攻难点。在项目建设设计阶段，每周召集承建单位、监理单位召开一次推进会，就项目实施过程的关键节点部位、工序进行分析部署，及时发现并科学处置建设过程中出现的难点和问题。二是抓工期，抢进度。合理缩短非关键路径的工期，提高需求调研的效率，并要求承建单位按照“一张图设计、分模块建设”标准开展建设，减少系统重复开发。三是严标准，补短板。</w:t>
      </w:r>
      <w:r>
        <w:rPr>
          <w:rFonts w:ascii="仿宋_GB2312" w:hAnsi="仿宋" w:eastAsia="仿宋_GB2312"/>
          <w:sz w:val="32"/>
          <w:szCs w:val="32"/>
        </w:rPr>
        <w:t>5</w:t>
      </w:r>
      <w:r>
        <w:rPr>
          <w:rFonts w:hint="eastAsia" w:ascii="仿宋_GB2312" w:hAnsi="仿宋" w:eastAsia="仿宋_GB2312"/>
          <w:sz w:val="32"/>
          <w:szCs w:val="32"/>
        </w:rPr>
        <w:t>月以来，国家应急管理部、省应急管理厅针对信息化建设下发了一批文件，更新了一部分数据标准并发布了一批应用系统，我中心立即会同参建单位开展数据对接和设计方案变更工作，确保不会和部、厅系统产生冲突。四是重指导，促规范。项目建设以来，针对系统开发中存在的问题，我中心发挥协调作用，积极组织联系承建单位到业务科室、相关市级部门、相关企业开展业务对接，确保问题及时解决。同时，系统开发中，会同分管领导到项目开发实验室现场指导</w:t>
      </w:r>
      <w:r>
        <w:rPr>
          <w:rFonts w:ascii="仿宋_GB2312" w:hAnsi="仿宋" w:eastAsia="仿宋_GB2312"/>
          <w:sz w:val="32"/>
          <w:szCs w:val="32"/>
        </w:rPr>
        <w:t>3</w:t>
      </w:r>
      <w:r>
        <w:rPr>
          <w:rFonts w:hint="eastAsia" w:ascii="仿宋_GB2312" w:hAnsi="仿宋" w:eastAsia="仿宋_GB2312"/>
          <w:sz w:val="32"/>
          <w:szCs w:val="32"/>
        </w:rPr>
        <w:t>次，督促系统开发按规定路线推进。目前，综合信息平台项目已完成初验，并进入试运行阶段。</w:t>
      </w:r>
    </w:p>
    <w:p>
      <w:pPr>
        <w:snapToGrid w:val="0"/>
        <w:spacing w:line="576"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抓好清单制信息系统的规划与落实。按照省应急厅的规划，我市被确定为全省清单制工作试点市之一，我中心按照“早谋划、早部署、早行动”工作要求，统筹做好项目招投标等各项工作，目前系统正在开发中。</w:t>
      </w:r>
    </w:p>
    <w:p>
      <w:pPr>
        <w:snapToGrid w:val="0"/>
        <w:spacing w:line="576"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、推进重点行业领域的企业信息化建设。按照应急部《地方应急管理信息化</w:t>
      </w:r>
      <w:r>
        <w:rPr>
          <w:rFonts w:ascii="仿宋_GB2312" w:hAnsi="仿宋" w:eastAsia="仿宋_GB2312"/>
          <w:sz w:val="32"/>
          <w:szCs w:val="32"/>
        </w:rPr>
        <w:t>2020</w:t>
      </w:r>
      <w:r>
        <w:rPr>
          <w:rFonts w:hint="eastAsia" w:ascii="仿宋_GB2312" w:hAnsi="仿宋" w:eastAsia="仿宋_GB2312"/>
          <w:sz w:val="32"/>
          <w:szCs w:val="32"/>
        </w:rPr>
        <w:t>年建设任务书》的要求，组织人员深入重点行业企业，接入企业视频监控、基础数据等监测数据</w:t>
      </w:r>
      <w:r>
        <w:rPr>
          <w:rFonts w:ascii="仿宋_GB2312" w:hAnsi="仿宋" w:eastAsia="仿宋_GB2312"/>
          <w:sz w:val="32"/>
          <w:szCs w:val="32"/>
        </w:rPr>
        <w:t>10</w:t>
      </w:r>
      <w:r>
        <w:rPr>
          <w:rFonts w:hint="eastAsia" w:ascii="仿宋_GB2312" w:hAnsi="仿宋" w:eastAsia="仿宋_GB2312"/>
          <w:sz w:val="32"/>
          <w:szCs w:val="32"/>
        </w:rPr>
        <w:t>家，按质按量完成工作任务。</w:t>
      </w:r>
    </w:p>
    <w:p>
      <w:pPr>
        <w:snapToGrid w:val="0"/>
        <w:spacing w:line="576"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完成全年脱贫攻坚工作任务。按照局党委统一部署，派出我中心工作人员一名到旺苍县国华镇牌坊村开展脱贫攻坚工作，今年以来，围绕“一手抓疫情防控，一手抓稳定增收”的总体目标，严格驻村纪律，落实落地各项帮扶措施，较好的完成了各项目标任务。</w:t>
      </w:r>
    </w:p>
    <w:p>
      <w:pPr>
        <w:snapToGrid w:val="0"/>
        <w:spacing w:line="576"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、完成全省隐患排查系统目标考核工作。</w:t>
      </w:r>
      <w:r>
        <w:rPr>
          <w:rFonts w:ascii="仿宋_GB2312" w:hAnsi="仿宋" w:eastAsia="仿宋_GB2312"/>
          <w:sz w:val="32"/>
          <w:szCs w:val="32"/>
        </w:rPr>
        <w:t>11</w:t>
      </w:r>
      <w:r>
        <w:rPr>
          <w:rFonts w:hint="eastAsia" w:ascii="仿宋_GB2312" w:hAnsi="仿宋" w:eastAsia="仿宋_GB2312"/>
          <w:sz w:val="32"/>
          <w:szCs w:val="32"/>
        </w:rPr>
        <w:t>月，按照局党委年度目标考核工作会议的安排，由中心负责省风险隐患排查系统相关工作，采取通报、指导等手段，到县区开展隐患排查治理系统现场指导</w:t>
      </w:r>
      <w:r>
        <w:rPr>
          <w:rFonts w:ascii="仿宋_GB2312" w:hAnsi="仿宋" w:eastAsia="仿宋_GB2312"/>
          <w:sz w:val="32"/>
          <w:szCs w:val="32"/>
        </w:rPr>
        <w:t>8</w:t>
      </w:r>
      <w:r>
        <w:rPr>
          <w:rFonts w:hint="eastAsia" w:ascii="仿宋_GB2312" w:hAnsi="仿宋" w:eastAsia="仿宋_GB2312"/>
          <w:sz w:val="32"/>
          <w:szCs w:val="32"/>
        </w:rPr>
        <w:t>次，组织开展隐患排查治理系统填报培训</w:t>
      </w:r>
      <w:r>
        <w:rPr>
          <w:rFonts w:ascii="仿宋_GB2312" w:hAnsi="仿宋" w:eastAsia="仿宋_GB2312"/>
          <w:sz w:val="32"/>
          <w:szCs w:val="32"/>
        </w:rPr>
        <w:t>1</w:t>
      </w:r>
      <w:r>
        <w:rPr>
          <w:rFonts w:hint="eastAsia" w:ascii="仿宋_GB2312" w:hAnsi="仿宋" w:eastAsia="仿宋_GB2312"/>
          <w:sz w:val="32"/>
          <w:szCs w:val="32"/>
        </w:rPr>
        <w:t>期，制发通报</w:t>
      </w:r>
      <w:r>
        <w:rPr>
          <w:rFonts w:ascii="仿宋_GB2312" w:hAnsi="仿宋" w:eastAsia="仿宋_GB2312"/>
          <w:sz w:val="32"/>
          <w:szCs w:val="32"/>
        </w:rPr>
        <w:t>1</w:t>
      </w:r>
      <w:r>
        <w:rPr>
          <w:rFonts w:hint="eastAsia" w:ascii="仿宋_GB2312" w:hAnsi="仿宋" w:eastAsia="仿宋_GB2312"/>
          <w:sz w:val="32"/>
          <w:szCs w:val="32"/>
        </w:rPr>
        <w:t>期，新增</w:t>
      </w:r>
      <w:r>
        <w:rPr>
          <w:rFonts w:ascii="仿宋_GB2312" w:hAnsi="仿宋" w:eastAsia="仿宋_GB2312"/>
          <w:sz w:val="32"/>
          <w:szCs w:val="32"/>
        </w:rPr>
        <w:t>100</w:t>
      </w:r>
      <w:r>
        <w:rPr>
          <w:rFonts w:hint="eastAsia" w:ascii="仿宋_GB2312" w:hAnsi="仿宋" w:eastAsia="仿宋_GB2312"/>
          <w:sz w:val="32"/>
          <w:szCs w:val="32"/>
        </w:rPr>
        <w:t>余家危险性较大的生产经营单位，确保隐患排查体系建设工作有序推进。</w:t>
      </w:r>
      <w:r>
        <w:rPr>
          <w:rFonts w:ascii="仿宋_GB2312" w:hAnsi="仿宋" w:eastAsia="仿宋_GB2312"/>
          <w:sz w:val="32"/>
          <w:szCs w:val="32"/>
        </w:rPr>
        <w:t>2020</w:t>
      </w:r>
      <w:r>
        <w:rPr>
          <w:rFonts w:hint="eastAsia" w:ascii="仿宋_GB2312" w:hAnsi="仿宋" w:eastAsia="仿宋_GB2312"/>
          <w:sz w:val="32"/>
          <w:szCs w:val="32"/>
        </w:rPr>
        <w:t>年，我市企业隐患自查自报覆盖率为</w:t>
      </w:r>
      <w:r>
        <w:rPr>
          <w:rFonts w:ascii="仿宋_GB2312" w:hAnsi="仿宋" w:eastAsia="仿宋_GB2312"/>
          <w:sz w:val="32"/>
          <w:szCs w:val="32"/>
        </w:rPr>
        <w:t>99%</w:t>
      </w:r>
      <w:r>
        <w:rPr>
          <w:rFonts w:hint="eastAsia" w:ascii="仿宋_GB2312" w:hAnsi="仿宋" w:eastAsia="仿宋_GB2312"/>
          <w:sz w:val="32"/>
          <w:szCs w:val="32"/>
        </w:rPr>
        <w:t>，按期整改率为</w:t>
      </w:r>
      <w:r>
        <w:rPr>
          <w:rFonts w:ascii="仿宋_GB2312" w:hAnsi="仿宋" w:eastAsia="仿宋_GB2312"/>
          <w:sz w:val="32"/>
          <w:szCs w:val="32"/>
        </w:rPr>
        <w:t>100%</w:t>
      </w:r>
      <w:r>
        <w:rPr>
          <w:rFonts w:hint="eastAsia" w:ascii="仿宋_GB2312" w:hAnsi="仿宋" w:eastAsia="仿宋_GB2312"/>
          <w:sz w:val="32"/>
          <w:szCs w:val="32"/>
        </w:rPr>
        <w:t>，圆满完成省、市目标任务。</w:t>
      </w:r>
    </w:p>
    <w:p>
      <w:pPr>
        <w:pStyle w:val="4"/>
        <w:spacing w:before="0" w:after="0" w:line="576" w:lineRule="exact"/>
        <w:ind w:firstLine="627" w:firstLineChars="196"/>
        <w:rPr>
          <w:rFonts w:ascii="黑体" w:hAnsi="黑体" w:eastAsia="黑体"/>
          <w:b w:val="0"/>
          <w:bCs w:val="0"/>
        </w:rPr>
      </w:pPr>
      <w:bookmarkStart w:id="35" w:name="_Toc82163047"/>
      <w:bookmarkStart w:id="36" w:name="_Toc82164258"/>
      <w:r>
        <w:rPr>
          <w:rFonts w:hint="eastAsia" w:ascii="黑体" w:hAnsi="黑体" w:eastAsia="黑体"/>
          <w:b w:val="0"/>
          <w:bCs w:val="0"/>
        </w:rPr>
        <w:t>二、机构设置</w:t>
      </w:r>
      <w:bookmarkEnd w:id="35"/>
      <w:bookmarkEnd w:id="36"/>
    </w:p>
    <w:bookmarkEnd w:id="26"/>
    <w:bookmarkEnd w:id="27"/>
    <w:p>
      <w:pPr>
        <w:snapToGrid w:val="0"/>
        <w:spacing w:line="576" w:lineRule="exact"/>
        <w:ind w:firstLine="640" w:firstLineChars="200"/>
        <w:rPr>
          <w:rFonts w:hint="default" w:ascii="仿宋_GB2312" w:hAnsi="仿宋" w:eastAsia="仿宋_GB2312"/>
          <w:sz w:val="32"/>
          <w:szCs w:val="32"/>
          <w:lang w:val="en-US" w:eastAsia="zh-CN"/>
        </w:rPr>
      </w:pPr>
      <w:bookmarkStart w:id="37" w:name="_Toc80371171"/>
      <w:bookmarkStart w:id="38" w:name="_Toc15377204"/>
      <w:bookmarkStart w:id="39" w:name="_Toc15396602"/>
      <w:bookmarkStart w:id="40" w:name="_Toc2459"/>
      <w:r>
        <w:rPr>
          <w:rFonts w:hint="eastAsia" w:ascii="仿宋_GB2312" w:hAnsi="仿宋" w:eastAsia="仿宋_GB2312"/>
          <w:sz w:val="32"/>
          <w:szCs w:val="32"/>
        </w:rPr>
        <w:t>市应急管理科技信息中心是市应急管理局二级事业单位，其中行政单位</w:t>
      </w:r>
      <w:r>
        <w:rPr>
          <w:rFonts w:ascii="仿宋_GB2312" w:hAnsi="仿宋" w:eastAsia="仿宋_GB2312"/>
          <w:sz w:val="32"/>
          <w:szCs w:val="32"/>
        </w:rPr>
        <w:t>0</w:t>
      </w:r>
      <w:r>
        <w:rPr>
          <w:rFonts w:hint="eastAsia" w:ascii="仿宋_GB2312" w:hAnsi="仿宋" w:eastAsia="仿宋_GB2312"/>
          <w:sz w:val="32"/>
          <w:szCs w:val="32"/>
        </w:rPr>
        <w:t>个，参照公务员法管理的事业单位</w:t>
      </w:r>
      <w:r>
        <w:rPr>
          <w:rFonts w:ascii="仿宋_GB2312" w:hAnsi="仿宋" w:eastAsia="仿宋_GB2312"/>
          <w:sz w:val="32"/>
          <w:szCs w:val="32"/>
        </w:rPr>
        <w:t>0</w:t>
      </w:r>
      <w:r>
        <w:rPr>
          <w:rFonts w:hint="eastAsia" w:ascii="仿宋_GB2312" w:hAnsi="仿宋" w:eastAsia="仿宋_GB2312"/>
          <w:sz w:val="32"/>
          <w:szCs w:val="32"/>
        </w:rPr>
        <w:t>个，其他事业单位</w:t>
      </w:r>
      <w:r>
        <w:rPr>
          <w:rFonts w:ascii="仿宋_GB2312" w:hAnsi="仿宋" w:eastAsia="仿宋_GB2312"/>
          <w:sz w:val="32"/>
          <w:szCs w:val="32"/>
        </w:rPr>
        <w:t>1</w:t>
      </w:r>
      <w:r>
        <w:rPr>
          <w:rFonts w:hint="eastAsia" w:ascii="仿宋_GB2312" w:hAnsi="仿宋" w:eastAsia="仿宋_GB2312"/>
          <w:sz w:val="32"/>
          <w:szCs w:val="32"/>
        </w:rPr>
        <w:t>个。机构规格为正科级别，事业编制共</w:t>
      </w:r>
      <w:r>
        <w:rPr>
          <w:rFonts w:ascii="仿宋_GB2312" w:hAnsi="仿宋" w:eastAsia="仿宋_GB2312"/>
          <w:sz w:val="32"/>
          <w:szCs w:val="32"/>
        </w:rPr>
        <w:t>16</w:t>
      </w:r>
      <w:r>
        <w:rPr>
          <w:rFonts w:hint="eastAsia" w:ascii="仿宋_GB2312" w:hAnsi="仿宋" w:eastAsia="仿宋_GB2312"/>
          <w:sz w:val="32"/>
          <w:szCs w:val="32"/>
        </w:rPr>
        <w:t>个，领导职数</w:t>
      </w:r>
      <w:r>
        <w:rPr>
          <w:rFonts w:ascii="仿宋_GB2312" w:hAnsi="仿宋" w:eastAsia="仿宋_GB2312"/>
          <w:sz w:val="32"/>
          <w:szCs w:val="32"/>
        </w:rPr>
        <w:t>1</w:t>
      </w:r>
      <w:r>
        <w:rPr>
          <w:rFonts w:hint="eastAsia" w:ascii="仿宋_GB2312" w:hAnsi="仿宋" w:eastAsia="仿宋_GB2312"/>
          <w:sz w:val="32"/>
          <w:szCs w:val="32"/>
        </w:rPr>
        <w:t>正</w:t>
      </w:r>
      <w:r>
        <w:rPr>
          <w:rFonts w:ascii="仿宋_GB2312" w:hAnsi="仿宋" w:eastAsia="仿宋_GB2312"/>
          <w:sz w:val="32"/>
          <w:szCs w:val="32"/>
        </w:rPr>
        <w:t>2</w:t>
      </w:r>
      <w:r>
        <w:rPr>
          <w:rFonts w:hint="eastAsia" w:ascii="仿宋_GB2312" w:hAnsi="仿宋" w:eastAsia="仿宋_GB2312"/>
          <w:sz w:val="32"/>
          <w:szCs w:val="32"/>
        </w:rPr>
        <w:t>副，实有人员共</w:t>
      </w:r>
      <w:r>
        <w:rPr>
          <w:rFonts w:ascii="仿宋_GB2312" w:hAnsi="仿宋" w:eastAsia="仿宋_GB2312"/>
          <w:sz w:val="32"/>
          <w:szCs w:val="32"/>
        </w:rPr>
        <w:t>13</w:t>
      </w:r>
      <w:r>
        <w:rPr>
          <w:rFonts w:hint="eastAsia" w:ascii="仿宋_GB2312" w:hAnsi="仿宋" w:eastAsia="仿宋_GB2312"/>
          <w:sz w:val="32"/>
          <w:szCs w:val="32"/>
        </w:rPr>
        <w:t>人。</w:t>
      </w:r>
      <w:r>
        <w:rPr>
          <w:rFonts w:hint="eastAsia" w:ascii="仿宋_GB2312" w:hAnsi="仿宋" w:eastAsia="仿宋_GB2312"/>
          <w:sz w:val="32"/>
          <w:szCs w:val="32"/>
          <w:lang w:eastAsia="zh-CN"/>
        </w:rPr>
        <w:t>纳入本单位</w:t>
      </w:r>
      <w:r>
        <w:rPr>
          <w:rFonts w:hint="eastAsia" w:ascii="仿宋_GB2312" w:hAnsi="仿宋" w:eastAsia="仿宋_GB2312"/>
          <w:sz w:val="32"/>
          <w:szCs w:val="32"/>
          <w:lang w:val="en-US" w:eastAsia="zh-CN"/>
        </w:rPr>
        <w:t>2020年部门决算编制的单位有：市应急管理科技信息中心。</w:t>
      </w:r>
    </w:p>
    <w:p>
      <w:pPr>
        <w:pStyle w:val="13"/>
        <w:shd w:val="clear" w:color="auto" w:fill="FFFFFF"/>
        <w:spacing w:before="0" w:beforeAutospacing="0" w:after="0" w:afterAutospacing="0" w:line="420" w:lineRule="atLeast"/>
        <w:jc w:val="center"/>
        <w:rPr>
          <w:rFonts w:ascii="方正小标宋_GBK" w:eastAsia="方正小标宋_GBK"/>
          <w:sz w:val="44"/>
          <w:szCs w:val="44"/>
        </w:rPr>
      </w:pPr>
      <w:r>
        <w:rPr>
          <w:rFonts w:ascii="仿宋_GB2312" w:hAnsi="仿宋" w:eastAsia="仿宋_GB2312" w:cs="Times New Roman"/>
          <w:kern w:val="2"/>
          <w:sz w:val="32"/>
          <w:szCs w:val="32"/>
        </w:rPr>
        <w:br w:type="page"/>
      </w:r>
      <w:bookmarkStart w:id="41" w:name="_Toc82164259"/>
      <w:bookmarkStart w:id="42" w:name="_Toc82163048"/>
      <w:r>
        <w:rPr>
          <w:rFonts w:hint="eastAsia" w:ascii="方正小标宋_GBK" w:eastAsia="方正小标宋_GBK"/>
          <w:sz w:val="44"/>
          <w:szCs w:val="44"/>
        </w:rPr>
        <w:t>第二部分</w:t>
      </w:r>
      <w:r>
        <w:rPr>
          <w:rFonts w:ascii="方正小标宋_GBK" w:eastAsia="方正小标宋_GBK"/>
          <w:sz w:val="44"/>
          <w:szCs w:val="44"/>
        </w:rPr>
        <w:t xml:space="preserve"> 2020</w:t>
      </w:r>
      <w:r>
        <w:rPr>
          <w:rFonts w:hint="eastAsia" w:ascii="方正小标宋_GBK" w:eastAsia="方正小标宋_GBK"/>
          <w:sz w:val="44"/>
          <w:szCs w:val="44"/>
        </w:rPr>
        <w:t>年度部门决算情况说明</w:t>
      </w:r>
      <w:bookmarkEnd w:id="37"/>
      <w:bookmarkEnd w:id="38"/>
      <w:bookmarkEnd w:id="39"/>
      <w:bookmarkEnd w:id="40"/>
      <w:bookmarkEnd w:id="41"/>
      <w:bookmarkEnd w:id="42"/>
    </w:p>
    <w:p/>
    <w:p>
      <w:pPr>
        <w:pStyle w:val="4"/>
        <w:keepNext w:val="0"/>
        <w:keepLines w:val="0"/>
        <w:topLinePunct/>
        <w:spacing w:before="0" w:after="0" w:line="540" w:lineRule="exact"/>
        <w:ind w:firstLine="640" w:firstLineChars="200"/>
        <w:rPr>
          <w:rFonts w:ascii="黑体" w:hAnsi="黑体" w:eastAsia="黑体"/>
          <w:b w:val="0"/>
          <w:bCs w:val="0"/>
          <w:color w:val="000000"/>
        </w:rPr>
      </w:pPr>
      <w:bookmarkStart w:id="43" w:name="_Toc15377205"/>
      <w:bookmarkStart w:id="44" w:name="_Toc82163049"/>
      <w:bookmarkStart w:id="45" w:name="_Toc82164260"/>
      <w:r>
        <w:rPr>
          <w:rFonts w:hint="eastAsia" w:ascii="黑体" w:hAnsi="黑体" w:eastAsia="黑体"/>
          <w:b w:val="0"/>
          <w:bCs w:val="0"/>
          <w:color w:val="000000"/>
        </w:rPr>
        <w:t>一、收入支出决算总体情况说明</w:t>
      </w:r>
      <w:bookmarkEnd w:id="43"/>
      <w:bookmarkEnd w:id="44"/>
      <w:bookmarkEnd w:id="45"/>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年度收、支总计均为</w:t>
      </w:r>
      <w:r>
        <w:rPr>
          <w:rFonts w:ascii="仿宋_GB2312" w:hAnsi="仿宋" w:eastAsia="仿宋_GB2312"/>
          <w:color w:val="000000"/>
          <w:sz w:val="32"/>
          <w:szCs w:val="32"/>
        </w:rPr>
        <w:t>188.25</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年相比，收、支总计各减少</w:t>
      </w:r>
      <w:r>
        <w:rPr>
          <w:rFonts w:ascii="仿宋_GB2312" w:hAnsi="仿宋" w:eastAsia="仿宋_GB2312"/>
          <w:color w:val="000000"/>
          <w:sz w:val="32"/>
          <w:szCs w:val="32"/>
        </w:rPr>
        <w:t>43.17</w:t>
      </w:r>
      <w:r>
        <w:rPr>
          <w:rFonts w:hint="eastAsia" w:ascii="仿宋_GB2312" w:hAnsi="仿宋" w:eastAsia="仿宋_GB2312"/>
          <w:color w:val="000000"/>
          <w:sz w:val="32"/>
          <w:szCs w:val="32"/>
        </w:rPr>
        <w:t>万元，下降</w:t>
      </w:r>
      <w:r>
        <w:rPr>
          <w:rFonts w:ascii="仿宋_GB2312" w:hAnsi="仿宋" w:eastAsia="仿宋_GB2312"/>
          <w:color w:val="000000"/>
          <w:sz w:val="32"/>
          <w:szCs w:val="32"/>
        </w:rPr>
        <w:t>18.65%</w:t>
      </w:r>
      <w:r>
        <w:rPr>
          <w:rFonts w:hint="eastAsia" w:ascii="仿宋_GB2312" w:hAnsi="仿宋" w:eastAsia="仿宋_GB2312"/>
          <w:color w:val="000000"/>
          <w:sz w:val="32"/>
          <w:szCs w:val="32"/>
        </w:rPr>
        <w:t>。主要变动原因是人员减少、严格控制经费，压缩各项支出。</w:t>
      </w:r>
    </w:p>
    <w:p>
      <w:pPr>
        <w:pStyle w:val="2"/>
        <w:spacing w:before="93"/>
        <w:jc w:val="center"/>
      </w:pPr>
      <w:r>
        <w:pict>
          <v:shape id="_x0000_i1025" o:spt="75" type="#_x0000_t75" style="height:213pt;width:357.75pt;" filled="f" o:preferrelative="t" stroked="f" coordsize="21600,21600">
            <v:path/>
            <v:fill on="f" focussize="0,0"/>
            <v:stroke on="f" joinstyle="miter"/>
            <v:imagedata r:id="rId7"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pPr>
        <w:spacing w:line="600" w:lineRule="exact"/>
        <w:ind w:firstLine="640" w:firstLineChars="200"/>
        <w:outlineLvl w:val="1"/>
        <w:rPr>
          <w:rFonts w:ascii="黑体" w:hAnsi="黑体" w:eastAsia="黑体"/>
          <w:color w:val="000000"/>
          <w:sz w:val="32"/>
          <w:szCs w:val="32"/>
        </w:rPr>
      </w:pPr>
      <w:bookmarkStart w:id="46" w:name="_Toc82163050"/>
      <w:bookmarkStart w:id="47" w:name="_Toc82164261"/>
      <w:r>
        <w:rPr>
          <w:rFonts w:hint="eastAsia" w:ascii="黑体" w:hAnsi="黑体" w:eastAsia="黑体"/>
          <w:color w:val="000000"/>
          <w:sz w:val="32"/>
          <w:szCs w:val="32"/>
        </w:rPr>
        <w:t>二、收入决算情况说明</w:t>
      </w:r>
      <w:bookmarkEnd w:id="46"/>
      <w:bookmarkEnd w:id="47"/>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年本年收入合计</w:t>
      </w:r>
      <w:r>
        <w:rPr>
          <w:rFonts w:ascii="仿宋_GB2312" w:hAnsi="仿宋" w:eastAsia="仿宋_GB2312"/>
          <w:color w:val="000000"/>
          <w:sz w:val="32"/>
          <w:szCs w:val="32"/>
        </w:rPr>
        <w:t>187.42</w:t>
      </w:r>
      <w:r>
        <w:rPr>
          <w:rFonts w:hint="eastAsia" w:ascii="仿宋_GB2312" w:hAnsi="仿宋" w:eastAsia="仿宋_GB2312"/>
          <w:color w:val="000000"/>
          <w:sz w:val="32"/>
          <w:szCs w:val="32"/>
        </w:rPr>
        <w:t>万元，其中：一般公共预算财政拨款收入</w:t>
      </w:r>
      <w:r>
        <w:rPr>
          <w:rFonts w:ascii="仿宋_GB2312" w:hAnsi="仿宋" w:eastAsia="仿宋_GB2312"/>
          <w:color w:val="000000"/>
          <w:sz w:val="32"/>
          <w:szCs w:val="32"/>
        </w:rPr>
        <w:t>187.42</w:t>
      </w:r>
      <w:r>
        <w:rPr>
          <w:rFonts w:hint="eastAsia" w:ascii="仿宋_GB2312" w:hAnsi="仿宋" w:eastAsia="仿宋_GB2312"/>
          <w:color w:val="000000"/>
          <w:sz w:val="32"/>
          <w:szCs w:val="32"/>
        </w:rPr>
        <w:t>万元，占</w:t>
      </w:r>
      <w:r>
        <w:rPr>
          <w:rFonts w:ascii="仿宋_GB2312" w:hAnsi="仿宋" w:eastAsia="仿宋_GB2312"/>
          <w:color w:val="000000"/>
          <w:sz w:val="32"/>
          <w:szCs w:val="32"/>
        </w:rPr>
        <w:t>100%</w:t>
      </w:r>
      <w:r>
        <w:rPr>
          <w:rFonts w:hint="eastAsia" w:ascii="仿宋_GB2312" w:hAnsi="仿宋" w:eastAsia="仿宋_GB2312"/>
          <w:color w:val="000000"/>
          <w:sz w:val="32"/>
          <w:szCs w:val="32"/>
        </w:rPr>
        <w:t>。</w:t>
      </w:r>
    </w:p>
    <w:p>
      <w:pPr>
        <w:pStyle w:val="2"/>
        <w:spacing w:before="93" w:line="360" w:lineRule="auto"/>
        <w:jc w:val="center"/>
        <w:rPr>
          <w:rFonts w:ascii="Times New Roman" w:eastAsia="仿宋"/>
          <w:sz w:val="32"/>
          <w:szCs w:val="32"/>
        </w:rPr>
      </w:pPr>
      <w:r>
        <w:pict>
          <v:shape id="_x0000_i1026" o:spt="75" type="#_x0000_t75" style="height:213pt;width:357.75pt;" filled="f" o:preferrelative="t" stroked="f" coordsize="21600,21600">
            <v:path/>
            <v:fill on="f" focussize="0,0"/>
            <v:stroke on="f" joinstyle="miter"/>
            <v:imagedata r:id="rId8"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pPr>
        <w:spacing w:line="600" w:lineRule="exact"/>
        <w:ind w:firstLine="640" w:firstLineChars="200"/>
        <w:outlineLvl w:val="1"/>
        <w:rPr>
          <w:rFonts w:ascii="黑体" w:hAnsi="黑体" w:eastAsia="黑体"/>
          <w:color w:val="000000"/>
          <w:sz w:val="32"/>
          <w:szCs w:val="32"/>
        </w:rPr>
      </w:pPr>
      <w:bookmarkStart w:id="48" w:name="_Toc82163051"/>
      <w:bookmarkStart w:id="49" w:name="_Toc82164262"/>
      <w:r>
        <w:rPr>
          <w:rFonts w:hint="eastAsia" w:ascii="黑体" w:hAnsi="黑体" w:eastAsia="黑体"/>
          <w:color w:val="000000"/>
          <w:sz w:val="32"/>
          <w:szCs w:val="32"/>
        </w:rPr>
        <w:t>三、支出决算情况说明</w:t>
      </w:r>
      <w:bookmarkEnd w:id="48"/>
      <w:bookmarkEnd w:id="49"/>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年本年支出合计</w:t>
      </w:r>
      <w:r>
        <w:rPr>
          <w:rFonts w:ascii="仿宋_GB2312" w:hAnsi="仿宋" w:eastAsia="仿宋_GB2312"/>
          <w:color w:val="000000"/>
          <w:sz w:val="32"/>
          <w:szCs w:val="32"/>
        </w:rPr>
        <w:t>188.0</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万元，其中：基本支出</w:t>
      </w:r>
      <w:r>
        <w:rPr>
          <w:rFonts w:ascii="仿宋_GB2312" w:hAnsi="仿宋" w:eastAsia="仿宋_GB2312"/>
          <w:color w:val="000000"/>
          <w:sz w:val="32"/>
          <w:szCs w:val="32"/>
        </w:rPr>
        <w:t>170.2</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万元，占</w:t>
      </w:r>
      <w:r>
        <w:rPr>
          <w:rFonts w:ascii="仿宋_GB2312" w:hAnsi="仿宋" w:eastAsia="仿宋_GB2312"/>
          <w:color w:val="000000"/>
          <w:sz w:val="32"/>
          <w:szCs w:val="32"/>
        </w:rPr>
        <w:t>90.55%</w:t>
      </w:r>
      <w:r>
        <w:rPr>
          <w:rFonts w:hint="eastAsia" w:ascii="仿宋_GB2312" w:hAnsi="仿宋" w:eastAsia="仿宋_GB2312"/>
          <w:color w:val="000000"/>
          <w:sz w:val="32"/>
          <w:szCs w:val="32"/>
        </w:rPr>
        <w:t>；项目支出</w:t>
      </w:r>
      <w:r>
        <w:rPr>
          <w:rFonts w:ascii="仿宋_GB2312" w:hAnsi="仿宋" w:eastAsia="仿宋_GB2312"/>
          <w:color w:val="000000"/>
          <w:sz w:val="32"/>
          <w:szCs w:val="32"/>
        </w:rPr>
        <w:t>17.77</w:t>
      </w:r>
      <w:r>
        <w:rPr>
          <w:rFonts w:hint="eastAsia" w:ascii="仿宋_GB2312" w:hAnsi="仿宋" w:eastAsia="仿宋_GB2312"/>
          <w:color w:val="000000"/>
          <w:sz w:val="32"/>
          <w:szCs w:val="32"/>
        </w:rPr>
        <w:t>万元，占</w:t>
      </w:r>
      <w:r>
        <w:rPr>
          <w:rFonts w:ascii="仿宋_GB2312" w:hAnsi="仿宋" w:eastAsia="仿宋_GB2312"/>
          <w:color w:val="000000"/>
          <w:sz w:val="32"/>
          <w:szCs w:val="32"/>
        </w:rPr>
        <w:t>9.45%</w:t>
      </w:r>
      <w:r>
        <w:rPr>
          <w:rFonts w:hint="eastAsia" w:ascii="仿宋_GB2312" w:hAnsi="仿宋" w:eastAsia="仿宋_GB2312"/>
          <w:color w:val="000000"/>
          <w:sz w:val="32"/>
          <w:szCs w:val="32"/>
        </w:rPr>
        <w:t>。</w:t>
      </w:r>
    </w:p>
    <w:p>
      <w:pPr>
        <w:pStyle w:val="2"/>
        <w:spacing w:before="93" w:line="360" w:lineRule="auto"/>
        <w:jc w:val="center"/>
        <w:rPr>
          <w:rFonts w:ascii="Times New Roman" w:eastAsia="仿宋"/>
          <w:sz w:val="32"/>
          <w:szCs w:val="32"/>
        </w:rPr>
      </w:pPr>
      <w:r>
        <w:pict>
          <v:shape id="_x0000_i1027" o:spt="75" type="#_x0000_t75" style="height:213.75pt;width:357.75pt;" filled="f" o:preferrelative="t" stroked="f" coordsize="21600,21600">
            <v:path/>
            <v:fill on="f" focussize="0,0"/>
            <v:stroke on="f" joinstyle="miter"/>
            <v:imagedata r:id="rId9"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pPr>
        <w:spacing w:line="600" w:lineRule="exact"/>
        <w:ind w:firstLine="640" w:firstLineChars="200"/>
        <w:outlineLvl w:val="1"/>
        <w:rPr>
          <w:rFonts w:ascii="黑体" w:hAnsi="黑体" w:eastAsia="黑体"/>
          <w:color w:val="000000"/>
          <w:sz w:val="32"/>
          <w:szCs w:val="32"/>
        </w:rPr>
      </w:pPr>
      <w:bookmarkStart w:id="50" w:name="_Toc15377208"/>
      <w:bookmarkStart w:id="51" w:name="_Toc82164263"/>
      <w:bookmarkStart w:id="52" w:name="_Toc82163052"/>
      <w:r>
        <w:rPr>
          <w:rFonts w:hint="eastAsia" w:ascii="黑体" w:hAnsi="黑体" w:eastAsia="黑体"/>
          <w:color w:val="000000"/>
          <w:sz w:val="32"/>
          <w:szCs w:val="32"/>
        </w:rPr>
        <w:t>四、财政拨款收入支出决算总体情况说明</w:t>
      </w:r>
      <w:bookmarkEnd w:id="50"/>
      <w:bookmarkEnd w:id="51"/>
      <w:bookmarkEnd w:id="52"/>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年度收、支总计均为</w:t>
      </w:r>
      <w:r>
        <w:rPr>
          <w:rFonts w:ascii="仿宋_GB2312" w:hAnsi="仿宋" w:eastAsia="仿宋_GB2312"/>
          <w:color w:val="000000"/>
          <w:sz w:val="32"/>
          <w:szCs w:val="32"/>
        </w:rPr>
        <w:t>188.25</w:t>
      </w:r>
      <w:r>
        <w:rPr>
          <w:rFonts w:hint="eastAsia" w:ascii="仿宋_GB2312" w:hAnsi="仿宋" w:eastAsia="仿宋_GB2312"/>
          <w:color w:val="000000"/>
          <w:sz w:val="32"/>
          <w:szCs w:val="32"/>
        </w:rPr>
        <w:t>万元。与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年相比，收、支总计各减少</w:t>
      </w:r>
      <w:r>
        <w:rPr>
          <w:rFonts w:ascii="仿宋_GB2312" w:hAnsi="仿宋" w:eastAsia="仿宋_GB2312"/>
          <w:color w:val="000000"/>
          <w:sz w:val="32"/>
          <w:szCs w:val="32"/>
        </w:rPr>
        <w:t>43.17</w:t>
      </w:r>
      <w:r>
        <w:rPr>
          <w:rFonts w:hint="eastAsia" w:ascii="仿宋_GB2312" w:hAnsi="仿宋" w:eastAsia="仿宋_GB2312"/>
          <w:color w:val="000000"/>
          <w:sz w:val="32"/>
          <w:szCs w:val="32"/>
        </w:rPr>
        <w:t>万元，下降</w:t>
      </w:r>
      <w:r>
        <w:rPr>
          <w:rFonts w:ascii="仿宋_GB2312" w:hAnsi="仿宋" w:eastAsia="仿宋_GB2312"/>
          <w:color w:val="000000"/>
          <w:sz w:val="32"/>
          <w:szCs w:val="32"/>
        </w:rPr>
        <w:t>18.65%</w:t>
      </w:r>
      <w:r>
        <w:rPr>
          <w:rFonts w:hint="eastAsia" w:ascii="仿宋_GB2312" w:hAnsi="仿宋" w:eastAsia="仿宋_GB2312"/>
          <w:color w:val="000000"/>
          <w:sz w:val="32"/>
          <w:szCs w:val="32"/>
        </w:rPr>
        <w:t>。主要变动原因是人员减少、严格控制经费，压缩各项支出。</w:t>
      </w:r>
    </w:p>
    <w:p>
      <w:pPr>
        <w:spacing w:line="360" w:lineRule="auto"/>
        <w:jc w:val="center"/>
        <w:rPr>
          <w:rFonts w:eastAsia="仿宋"/>
          <w:sz w:val="32"/>
          <w:szCs w:val="32"/>
        </w:rPr>
      </w:pPr>
      <w:r>
        <w:pict>
          <v:shape id="_x0000_i1028" o:spt="75" type="#_x0000_t75" style="height:213pt;width:357.75pt;" filled="f" o:preferrelative="t" stroked="f" coordsize="21600,21600">
            <v:path/>
            <v:fill on="f" focussize="0,0"/>
            <v:stroke on="f" joinstyle="miter"/>
            <v:imagedata r:id="rId10"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pPr>
        <w:spacing w:line="600" w:lineRule="exact"/>
        <w:ind w:firstLine="640" w:firstLineChars="200"/>
        <w:outlineLvl w:val="1"/>
        <w:rPr>
          <w:rFonts w:ascii="黑体" w:hAnsi="黑体" w:eastAsia="黑体"/>
          <w:color w:val="000000"/>
          <w:sz w:val="32"/>
          <w:szCs w:val="32"/>
        </w:rPr>
      </w:pPr>
      <w:bookmarkStart w:id="53" w:name="_Toc15377209"/>
      <w:bookmarkStart w:id="54" w:name="_Toc82164264"/>
      <w:bookmarkStart w:id="55" w:name="_Toc82163053"/>
      <w:r>
        <w:rPr>
          <w:rFonts w:hint="eastAsia" w:ascii="黑体" w:hAnsi="黑体" w:eastAsia="黑体"/>
          <w:color w:val="000000"/>
          <w:sz w:val="32"/>
          <w:szCs w:val="32"/>
        </w:rPr>
        <w:t>五、一般公共预算财政拨款支出决算情况说明</w:t>
      </w:r>
      <w:bookmarkEnd w:id="53"/>
      <w:bookmarkEnd w:id="54"/>
      <w:bookmarkEnd w:id="55"/>
    </w:p>
    <w:p>
      <w:pPr>
        <w:spacing w:line="600" w:lineRule="exact"/>
        <w:ind w:firstLine="640" w:firstLineChars="200"/>
        <w:outlineLvl w:val="2"/>
        <w:rPr>
          <w:rFonts w:ascii="楷体_GB2312" w:hAnsi="仿宋" w:eastAsia="楷体_GB2312"/>
          <w:color w:val="000000"/>
          <w:sz w:val="32"/>
          <w:szCs w:val="32"/>
        </w:rPr>
      </w:pPr>
      <w:bookmarkStart w:id="56" w:name="_Toc15377210"/>
      <w:r>
        <w:rPr>
          <w:rFonts w:hint="eastAsia" w:ascii="楷体_GB2312" w:hAnsi="仿宋" w:eastAsia="楷体_GB2312"/>
          <w:color w:val="000000"/>
          <w:sz w:val="32"/>
          <w:szCs w:val="32"/>
        </w:rPr>
        <w:t>（一）一般公共预算财政拨款支出决算总体情况</w:t>
      </w:r>
      <w:bookmarkEnd w:id="56"/>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188.0</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万元，占本年支出合计的</w:t>
      </w:r>
      <w:r>
        <w:rPr>
          <w:rFonts w:ascii="仿宋_GB2312" w:hAnsi="仿宋" w:eastAsia="仿宋_GB2312"/>
          <w:color w:val="000000"/>
          <w:sz w:val="32"/>
          <w:szCs w:val="32"/>
        </w:rPr>
        <w:t>100%</w:t>
      </w:r>
      <w:r>
        <w:rPr>
          <w:rFonts w:hint="eastAsia" w:ascii="仿宋_GB2312" w:hAnsi="仿宋" w:eastAsia="仿宋_GB2312"/>
          <w:color w:val="000000"/>
          <w:sz w:val="32"/>
          <w:szCs w:val="32"/>
        </w:rPr>
        <w:t>。与</w:t>
      </w:r>
      <w:r>
        <w:rPr>
          <w:rFonts w:ascii="仿宋_GB2312" w:hAnsi="仿宋" w:eastAsia="仿宋_GB2312"/>
          <w:color w:val="000000"/>
          <w:sz w:val="32"/>
          <w:szCs w:val="32"/>
        </w:rPr>
        <w:t>2019</w:t>
      </w:r>
      <w:r>
        <w:rPr>
          <w:rFonts w:hint="eastAsia" w:ascii="仿宋_GB2312" w:hAnsi="仿宋" w:eastAsia="仿宋_GB2312"/>
          <w:color w:val="000000"/>
          <w:sz w:val="32"/>
          <w:szCs w:val="32"/>
        </w:rPr>
        <w:t>年相比，一般公共预算财政拨款减少</w:t>
      </w:r>
      <w:r>
        <w:rPr>
          <w:rFonts w:ascii="仿宋_GB2312" w:hAnsi="仿宋" w:eastAsia="仿宋_GB2312"/>
          <w:color w:val="000000"/>
          <w:sz w:val="32"/>
          <w:szCs w:val="32"/>
        </w:rPr>
        <w:t>43.37</w:t>
      </w:r>
      <w:r>
        <w:rPr>
          <w:rFonts w:hint="eastAsia" w:ascii="仿宋_GB2312" w:hAnsi="仿宋" w:eastAsia="仿宋_GB2312"/>
          <w:color w:val="000000"/>
          <w:sz w:val="32"/>
          <w:szCs w:val="32"/>
        </w:rPr>
        <w:t>万元，下降</w:t>
      </w:r>
      <w:r>
        <w:rPr>
          <w:rFonts w:ascii="仿宋_GB2312" w:hAnsi="仿宋" w:eastAsia="仿宋_GB2312"/>
          <w:color w:val="000000"/>
          <w:sz w:val="32"/>
          <w:szCs w:val="32"/>
        </w:rPr>
        <w:t>18.74%</w:t>
      </w:r>
      <w:r>
        <w:rPr>
          <w:rFonts w:hint="eastAsia" w:ascii="仿宋_GB2312" w:hAnsi="仿宋" w:eastAsia="仿宋_GB2312"/>
          <w:color w:val="000000"/>
          <w:sz w:val="32"/>
          <w:szCs w:val="32"/>
        </w:rPr>
        <w:t>。主要变动原因是人员减少、严格控制经费，压缩各项支出。</w:t>
      </w:r>
    </w:p>
    <w:p>
      <w:pPr>
        <w:pStyle w:val="2"/>
        <w:spacing w:before="93" w:line="360" w:lineRule="auto"/>
        <w:jc w:val="center"/>
        <w:rPr>
          <w:rFonts w:ascii="Times New Roman" w:eastAsia="仿宋"/>
          <w:sz w:val="32"/>
          <w:szCs w:val="32"/>
        </w:rPr>
      </w:pPr>
      <w:r>
        <w:pict>
          <v:shape id="_x0000_i1029" o:spt="75" type="#_x0000_t75" style="height:213pt;width:357.75pt;" filled="f" o:preferrelative="t" stroked="f" coordsize="21600,21600">
            <v:path/>
            <v:fill on="f" focussize="0,0"/>
            <v:stroke on="f" joinstyle="miter"/>
            <v:imagedata r:id="rId11"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pPr>
        <w:spacing w:line="600" w:lineRule="exact"/>
        <w:ind w:firstLine="640" w:firstLineChars="200"/>
        <w:outlineLvl w:val="2"/>
        <w:rPr>
          <w:rFonts w:ascii="楷体_GB2312" w:hAnsi="仿宋" w:eastAsia="楷体_GB2312"/>
          <w:color w:val="000000"/>
          <w:sz w:val="32"/>
          <w:szCs w:val="32"/>
        </w:rPr>
      </w:pPr>
      <w:bookmarkStart w:id="57" w:name="_Toc15377211"/>
      <w:r>
        <w:rPr>
          <w:rFonts w:hint="eastAsia" w:ascii="楷体_GB2312" w:hAnsi="仿宋" w:eastAsia="楷体_GB2312"/>
          <w:color w:val="000000"/>
          <w:sz w:val="32"/>
          <w:szCs w:val="32"/>
        </w:rPr>
        <w:t>（二）一般公共预算财政拨款支出决算结构情况</w:t>
      </w:r>
      <w:bookmarkEnd w:id="57"/>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年一般公共预算财政拨款支出</w:t>
      </w:r>
      <w:r>
        <w:rPr>
          <w:rFonts w:ascii="仿宋_GB2312" w:hAnsi="仿宋" w:eastAsia="仿宋_GB2312"/>
          <w:color w:val="000000"/>
          <w:sz w:val="32"/>
          <w:szCs w:val="32"/>
        </w:rPr>
        <w:t>188.0</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万元，主要用于以下方面</w:t>
      </w:r>
      <w:r>
        <w:rPr>
          <w:rFonts w:ascii="仿宋_GB2312" w:hAnsi="仿宋" w:eastAsia="仿宋_GB2312"/>
          <w:color w:val="000000"/>
          <w:sz w:val="32"/>
          <w:szCs w:val="32"/>
        </w:rPr>
        <w:t>:</w:t>
      </w:r>
      <w:r>
        <w:rPr>
          <w:rFonts w:hint="eastAsia" w:ascii="仿宋_GB2312" w:hAnsi="仿宋" w:eastAsia="仿宋_GB2312"/>
          <w:color w:val="000000"/>
          <w:sz w:val="32"/>
          <w:szCs w:val="32"/>
        </w:rPr>
        <w:t>社会保障和就业（类）支出</w:t>
      </w:r>
      <w:r>
        <w:rPr>
          <w:rFonts w:ascii="仿宋_GB2312" w:hAnsi="仿宋" w:eastAsia="仿宋_GB2312"/>
          <w:color w:val="000000"/>
          <w:sz w:val="32"/>
          <w:szCs w:val="32"/>
        </w:rPr>
        <w:t>13.78</w:t>
      </w:r>
      <w:r>
        <w:rPr>
          <w:rFonts w:hint="eastAsia" w:ascii="仿宋_GB2312" w:hAnsi="仿宋" w:eastAsia="仿宋_GB2312"/>
          <w:color w:val="000000"/>
          <w:sz w:val="32"/>
          <w:szCs w:val="32"/>
        </w:rPr>
        <w:t>万元，占</w:t>
      </w:r>
      <w:r>
        <w:rPr>
          <w:rFonts w:ascii="仿宋_GB2312" w:hAnsi="仿宋" w:eastAsia="仿宋_GB2312"/>
          <w:color w:val="000000"/>
          <w:sz w:val="32"/>
          <w:szCs w:val="32"/>
        </w:rPr>
        <w:t>7.33%</w:t>
      </w:r>
      <w:r>
        <w:rPr>
          <w:rFonts w:hint="eastAsia" w:ascii="仿宋_GB2312" w:hAnsi="仿宋" w:eastAsia="仿宋_GB2312"/>
          <w:color w:val="000000"/>
          <w:sz w:val="32"/>
          <w:szCs w:val="32"/>
        </w:rPr>
        <w:t>；</w:t>
      </w:r>
      <w:r>
        <w:rPr>
          <w:rFonts w:hint="eastAsia" w:ascii="仿宋_GB2312" w:hAnsi="仿宋" w:eastAsia="仿宋_GB2312"/>
          <w:bCs/>
          <w:color w:val="000000"/>
          <w:sz w:val="32"/>
          <w:szCs w:val="32"/>
        </w:rPr>
        <w:t>卫生健康支出</w:t>
      </w:r>
      <w:r>
        <w:rPr>
          <w:rFonts w:ascii="仿宋_GB2312" w:hAnsi="仿宋" w:eastAsia="仿宋_GB2312"/>
          <w:color w:val="000000"/>
          <w:sz w:val="32"/>
          <w:szCs w:val="32"/>
        </w:rPr>
        <w:t>4.42</w:t>
      </w:r>
      <w:r>
        <w:rPr>
          <w:rFonts w:hint="eastAsia" w:ascii="仿宋_GB2312" w:hAnsi="仿宋" w:eastAsia="仿宋_GB2312"/>
          <w:color w:val="000000"/>
          <w:sz w:val="32"/>
          <w:szCs w:val="32"/>
        </w:rPr>
        <w:t>万元，占</w:t>
      </w:r>
      <w:r>
        <w:rPr>
          <w:rFonts w:ascii="仿宋_GB2312" w:hAnsi="仿宋" w:eastAsia="仿宋_GB2312"/>
          <w:color w:val="000000"/>
          <w:sz w:val="32"/>
          <w:szCs w:val="32"/>
        </w:rPr>
        <w:t>3.35%</w:t>
      </w:r>
      <w:r>
        <w:rPr>
          <w:rFonts w:hint="eastAsia" w:ascii="仿宋_GB2312" w:hAnsi="仿宋" w:eastAsia="仿宋_GB2312"/>
          <w:color w:val="000000"/>
          <w:sz w:val="32"/>
          <w:szCs w:val="32"/>
        </w:rPr>
        <w:t>；住房保障支出</w:t>
      </w:r>
      <w:r>
        <w:rPr>
          <w:rFonts w:ascii="仿宋_GB2312" w:hAnsi="仿宋" w:eastAsia="仿宋_GB2312"/>
          <w:color w:val="000000"/>
          <w:sz w:val="32"/>
          <w:szCs w:val="32"/>
        </w:rPr>
        <w:t>11.97</w:t>
      </w:r>
      <w:r>
        <w:rPr>
          <w:rFonts w:hint="eastAsia" w:ascii="仿宋_GB2312" w:hAnsi="仿宋" w:eastAsia="仿宋_GB2312"/>
          <w:color w:val="000000"/>
          <w:sz w:val="32"/>
          <w:szCs w:val="32"/>
        </w:rPr>
        <w:t>万元，占</w:t>
      </w:r>
      <w:r>
        <w:rPr>
          <w:rFonts w:ascii="仿宋_GB2312" w:hAnsi="仿宋" w:eastAsia="仿宋_GB2312"/>
          <w:color w:val="000000"/>
          <w:sz w:val="32"/>
          <w:szCs w:val="32"/>
        </w:rPr>
        <w:t>6.37%</w:t>
      </w:r>
      <w:r>
        <w:rPr>
          <w:rFonts w:hint="eastAsia" w:ascii="仿宋_GB2312" w:hAnsi="仿宋" w:eastAsia="仿宋_GB2312"/>
          <w:color w:val="000000"/>
          <w:sz w:val="32"/>
          <w:szCs w:val="32"/>
        </w:rPr>
        <w:t>；</w:t>
      </w:r>
      <w:bookmarkStart w:id="58" w:name="OLE_LINK1"/>
      <w:r>
        <w:rPr>
          <w:rFonts w:hint="eastAsia" w:ascii="仿宋_GB2312" w:hAnsi="仿宋" w:eastAsia="仿宋_GB2312"/>
          <w:color w:val="000000"/>
          <w:sz w:val="32"/>
          <w:szCs w:val="32"/>
        </w:rPr>
        <w:t>灾害防治及应急管理支出</w:t>
      </w:r>
      <w:bookmarkEnd w:id="58"/>
      <w:r>
        <w:rPr>
          <w:rFonts w:ascii="仿宋_GB2312" w:hAnsi="仿宋" w:eastAsia="仿宋_GB2312"/>
          <w:color w:val="000000"/>
          <w:sz w:val="32"/>
          <w:szCs w:val="32"/>
        </w:rPr>
        <w:t>157.87</w:t>
      </w:r>
      <w:r>
        <w:rPr>
          <w:rFonts w:hint="eastAsia" w:ascii="仿宋_GB2312" w:hAnsi="仿宋" w:eastAsia="仿宋_GB2312"/>
          <w:color w:val="000000"/>
          <w:sz w:val="32"/>
          <w:szCs w:val="32"/>
        </w:rPr>
        <w:t>万元，占</w:t>
      </w:r>
      <w:r>
        <w:rPr>
          <w:rFonts w:ascii="仿宋_GB2312" w:hAnsi="仿宋" w:eastAsia="仿宋_GB2312"/>
          <w:color w:val="000000"/>
          <w:sz w:val="32"/>
          <w:szCs w:val="32"/>
        </w:rPr>
        <w:t>83.95%</w:t>
      </w:r>
      <w:r>
        <w:rPr>
          <w:rFonts w:hint="eastAsia" w:ascii="仿宋_GB2312" w:hAnsi="仿宋" w:eastAsia="仿宋_GB2312"/>
          <w:color w:val="000000"/>
          <w:sz w:val="32"/>
          <w:szCs w:val="32"/>
        </w:rPr>
        <w:t>。</w:t>
      </w:r>
    </w:p>
    <w:p>
      <w:pPr>
        <w:pStyle w:val="2"/>
        <w:spacing w:before="93" w:line="360" w:lineRule="auto"/>
        <w:jc w:val="center"/>
        <w:rPr>
          <w:rFonts w:ascii="Times New Roman" w:eastAsia="仿宋"/>
          <w:sz w:val="32"/>
          <w:szCs w:val="32"/>
        </w:rPr>
      </w:pPr>
      <w:r>
        <w:pict>
          <v:shape id="_x0000_i1030" o:spt="75" type="#_x0000_t75" style="height:236.25pt;width:357.75pt;" filled="f" o:preferrelative="t" stroked="f" coordsize="21600,21600">
            <v:path/>
            <v:fill on="f" focussize="0,0"/>
            <v:stroke on="f" joinstyle="miter"/>
            <v:imagedata r:id="rId12"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pPr>
        <w:spacing w:line="600" w:lineRule="exact"/>
        <w:ind w:firstLine="640" w:firstLineChars="200"/>
        <w:outlineLvl w:val="2"/>
        <w:rPr>
          <w:rStyle w:val="16"/>
          <w:rFonts w:ascii="楷体_GB2312" w:hAnsi="仿宋" w:eastAsia="楷体_GB2312"/>
          <w:color w:val="000000"/>
          <w:sz w:val="32"/>
          <w:szCs w:val="32"/>
        </w:rPr>
      </w:pPr>
      <w:bookmarkStart w:id="59" w:name="_Toc15377212"/>
      <w:bookmarkStart w:id="60" w:name="_Toc80371180"/>
      <w:bookmarkStart w:id="61" w:name="_Toc15377444"/>
      <w:bookmarkStart w:id="62" w:name="_Toc15378460"/>
      <w:bookmarkStart w:id="63" w:name="_Toc15377213"/>
      <w:r>
        <w:rPr>
          <w:rFonts w:hint="eastAsia" w:ascii="楷体_GB2312" w:hAnsi="仿宋" w:eastAsia="楷体_GB2312"/>
          <w:color w:val="000000"/>
          <w:sz w:val="32"/>
          <w:szCs w:val="32"/>
        </w:rPr>
        <w:t>（三）一般公共预算财政拨款支出决算具体情况</w:t>
      </w:r>
      <w:bookmarkEnd w:id="59"/>
    </w:p>
    <w:p>
      <w:pPr>
        <w:pStyle w:val="2"/>
        <w:spacing w:before="93"/>
        <w:ind w:firstLine="640" w:firstLineChars="200"/>
        <w:rPr>
          <w:rStyle w:val="16"/>
          <w:rFonts w:hAnsi="仿宋"/>
          <w:b w:val="0"/>
          <w:bCs/>
          <w:color w:val="000000"/>
          <w:sz w:val="32"/>
          <w:szCs w:val="32"/>
        </w:rPr>
      </w:pPr>
      <w:r>
        <w:rPr>
          <w:rFonts w:hAnsi="仿宋"/>
          <w:color w:val="000000"/>
          <w:sz w:val="32"/>
          <w:szCs w:val="32"/>
        </w:rPr>
        <w:t>2020</w:t>
      </w:r>
      <w:r>
        <w:rPr>
          <w:rFonts w:hint="eastAsia" w:hAnsi="仿宋"/>
          <w:color w:val="000000"/>
          <w:sz w:val="32"/>
          <w:szCs w:val="32"/>
        </w:rPr>
        <w:t>年一般公共预算支出决算数为</w:t>
      </w:r>
      <w:r>
        <w:rPr>
          <w:rFonts w:hAnsi="仿宋"/>
          <w:color w:val="000000"/>
          <w:sz w:val="32"/>
          <w:szCs w:val="32"/>
        </w:rPr>
        <w:t>188.05</w:t>
      </w:r>
      <w:r>
        <w:rPr>
          <w:rFonts w:hint="eastAsia" w:hAnsi="仿宋"/>
          <w:color w:val="000000"/>
          <w:sz w:val="32"/>
          <w:szCs w:val="32"/>
          <w:lang w:eastAsia="zh-CN"/>
        </w:rPr>
        <w:t>万元</w:t>
      </w:r>
      <w:r>
        <w:rPr>
          <w:rFonts w:hint="eastAsia" w:hAnsi="仿宋"/>
          <w:color w:val="000000"/>
          <w:sz w:val="32"/>
          <w:szCs w:val="32"/>
        </w:rPr>
        <w:t>，</w:t>
      </w:r>
      <w:r>
        <w:rPr>
          <w:rStyle w:val="16"/>
          <w:rFonts w:hint="eastAsia" w:hAnsi="仿宋"/>
          <w:b w:val="0"/>
          <w:bCs/>
          <w:color w:val="000000"/>
          <w:sz w:val="32"/>
          <w:szCs w:val="32"/>
        </w:rPr>
        <w:t>完成预算</w:t>
      </w:r>
      <w:r>
        <w:rPr>
          <w:rStyle w:val="16"/>
          <w:rFonts w:hAnsi="仿宋"/>
          <w:b w:val="0"/>
          <w:bCs/>
          <w:color w:val="000000"/>
          <w:sz w:val="32"/>
          <w:szCs w:val="32"/>
        </w:rPr>
        <w:t>99.89%</w:t>
      </w:r>
      <w:r>
        <w:rPr>
          <w:rStyle w:val="16"/>
          <w:rFonts w:hint="eastAsia" w:hAnsi="仿宋"/>
          <w:b w:val="0"/>
          <w:bCs/>
          <w:color w:val="000000"/>
          <w:sz w:val="32"/>
          <w:szCs w:val="32"/>
        </w:rPr>
        <w:t>。其中：</w:t>
      </w:r>
    </w:p>
    <w:p>
      <w:pPr>
        <w:spacing w:line="600" w:lineRule="exact"/>
        <w:ind w:firstLine="640" w:firstLineChars="200"/>
        <w:rPr>
          <w:rFonts w:ascii="仿宋_GB2312" w:hAnsi="仿宋" w:eastAsia="仿宋_GB2312"/>
          <w:color w:val="000000"/>
          <w:sz w:val="32"/>
          <w:szCs w:val="32"/>
        </w:rPr>
      </w:pPr>
      <w:r>
        <w:rPr>
          <w:rStyle w:val="16"/>
          <w:rFonts w:ascii="仿宋_GB2312" w:hAnsi="仿宋" w:eastAsia="仿宋_GB2312"/>
          <w:b w:val="0"/>
          <w:bCs/>
          <w:color w:val="000000"/>
          <w:sz w:val="32"/>
          <w:szCs w:val="32"/>
        </w:rPr>
        <w:t>1.</w:t>
      </w:r>
      <w:r>
        <w:rPr>
          <w:rStyle w:val="16"/>
          <w:rFonts w:hint="eastAsia" w:ascii="仿宋_GB2312" w:hAnsi="仿宋" w:eastAsia="仿宋_GB2312"/>
          <w:b w:val="0"/>
          <w:bCs/>
          <w:color w:val="000000"/>
          <w:sz w:val="32"/>
          <w:szCs w:val="32"/>
        </w:rPr>
        <w:t>社会保障和就业支出（类）行政事业单位养老支出（款）机关事业单位基本养老保险缴费支出（项）</w:t>
      </w:r>
      <w:r>
        <w:rPr>
          <w:rStyle w:val="16"/>
          <w:rFonts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rPr>
        <w:t>支出决算为</w:t>
      </w:r>
      <w:r>
        <w:rPr>
          <w:rStyle w:val="16"/>
          <w:rFonts w:ascii="仿宋_GB2312" w:hAnsi="仿宋" w:eastAsia="仿宋_GB2312"/>
          <w:b w:val="0"/>
          <w:bCs/>
          <w:color w:val="000000"/>
          <w:sz w:val="32"/>
          <w:szCs w:val="32"/>
        </w:rPr>
        <w:t>13.78</w:t>
      </w:r>
      <w:r>
        <w:rPr>
          <w:rStyle w:val="16"/>
          <w:rFonts w:hint="eastAsia" w:ascii="仿宋_GB2312" w:hAnsi="仿宋" w:eastAsia="仿宋_GB2312"/>
          <w:b w:val="0"/>
          <w:bCs/>
          <w:color w:val="000000"/>
          <w:sz w:val="32"/>
          <w:szCs w:val="32"/>
        </w:rPr>
        <w:t>万元，完成预算</w:t>
      </w:r>
      <w:r>
        <w:rPr>
          <w:rStyle w:val="16"/>
          <w:rFonts w:ascii="仿宋_GB2312" w:hAnsi="仿宋" w:eastAsia="仿宋_GB2312"/>
          <w:b w:val="0"/>
          <w:bCs/>
          <w:color w:val="000000"/>
          <w:sz w:val="32"/>
          <w:szCs w:val="32"/>
        </w:rPr>
        <w:t>100%</w:t>
      </w:r>
      <w:r>
        <w:rPr>
          <w:rStyle w:val="16"/>
          <w:rFonts w:hint="eastAsia" w:ascii="仿宋_GB2312" w:hAnsi="仿宋" w:eastAsia="仿宋_GB2312"/>
          <w:b w:val="0"/>
          <w:bCs/>
          <w:color w:val="000000"/>
          <w:sz w:val="32"/>
          <w:szCs w:val="32"/>
        </w:rPr>
        <w:t>。</w:t>
      </w:r>
    </w:p>
    <w:p>
      <w:pPr>
        <w:spacing w:line="600" w:lineRule="exact"/>
        <w:ind w:firstLine="640" w:firstLineChars="200"/>
        <w:rPr>
          <w:rFonts w:ascii="仿宋_GB2312" w:hAnsi="仿宋" w:eastAsia="仿宋_GB2312"/>
          <w:color w:val="000000"/>
          <w:sz w:val="32"/>
          <w:szCs w:val="32"/>
        </w:rPr>
      </w:pPr>
      <w:r>
        <w:rPr>
          <w:rStyle w:val="16"/>
          <w:rFonts w:ascii="仿宋_GB2312" w:hAnsi="仿宋" w:eastAsia="仿宋_GB2312"/>
          <w:b w:val="0"/>
          <w:bCs/>
          <w:color w:val="000000"/>
          <w:sz w:val="32"/>
          <w:szCs w:val="32"/>
        </w:rPr>
        <w:t>2.</w:t>
      </w:r>
      <w:r>
        <w:rPr>
          <w:rStyle w:val="16"/>
          <w:rFonts w:hint="eastAsia" w:ascii="仿宋_GB2312" w:hAnsi="仿宋" w:eastAsia="仿宋_GB2312"/>
          <w:b w:val="0"/>
          <w:bCs/>
          <w:color w:val="000000"/>
          <w:sz w:val="32"/>
          <w:szCs w:val="32"/>
        </w:rPr>
        <w:t>卫生健康支出（类）行政事业单位医疗（款）事业单位医疗（项）</w:t>
      </w:r>
      <w:r>
        <w:rPr>
          <w:rStyle w:val="16"/>
          <w:rFonts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rPr>
        <w:t>支出决算为</w:t>
      </w:r>
      <w:r>
        <w:rPr>
          <w:rStyle w:val="16"/>
          <w:rFonts w:ascii="仿宋_GB2312" w:hAnsi="仿宋" w:eastAsia="仿宋_GB2312"/>
          <w:b w:val="0"/>
          <w:bCs/>
          <w:color w:val="000000"/>
          <w:sz w:val="32"/>
          <w:szCs w:val="32"/>
        </w:rPr>
        <w:t>4.42</w:t>
      </w:r>
      <w:r>
        <w:rPr>
          <w:rStyle w:val="16"/>
          <w:rFonts w:hint="eastAsia" w:ascii="仿宋_GB2312" w:hAnsi="仿宋" w:eastAsia="仿宋_GB2312"/>
          <w:b w:val="0"/>
          <w:bCs/>
          <w:color w:val="000000"/>
          <w:sz w:val="32"/>
          <w:szCs w:val="32"/>
        </w:rPr>
        <w:t>万元，完成预算</w:t>
      </w:r>
      <w:r>
        <w:rPr>
          <w:rStyle w:val="16"/>
          <w:rFonts w:ascii="仿宋_GB2312" w:hAnsi="仿宋" w:eastAsia="仿宋_GB2312"/>
          <w:b w:val="0"/>
          <w:bCs/>
          <w:color w:val="000000"/>
          <w:sz w:val="32"/>
          <w:szCs w:val="32"/>
        </w:rPr>
        <w:t>100%</w:t>
      </w:r>
      <w:r>
        <w:rPr>
          <w:rStyle w:val="16"/>
          <w:rFonts w:hint="eastAsia" w:ascii="仿宋_GB2312" w:hAnsi="仿宋" w:eastAsia="仿宋_GB2312"/>
          <w:b w:val="0"/>
          <w:bCs/>
          <w:color w:val="000000"/>
          <w:sz w:val="32"/>
          <w:szCs w:val="32"/>
        </w:rPr>
        <w:t>。</w:t>
      </w:r>
    </w:p>
    <w:p>
      <w:pPr>
        <w:spacing w:line="600" w:lineRule="exact"/>
        <w:ind w:firstLine="640" w:firstLineChars="200"/>
        <w:rPr>
          <w:rStyle w:val="16"/>
          <w:rFonts w:ascii="仿宋_GB2312" w:eastAsia="仿宋_GB2312"/>
          <w:b w:val="0"/>
          <w:bCs/>
        </w:rPr>
      </w:pPr>
      <w:r>
        <w:rPr>
          <w:rStyle w:val="16"/>
          <w:rFonts w:ascii="仿宋_GB2312" w:hAnsi="仿宋" w:eastAsia="仿宋_GB2312"/>
          <w:b w:val="0"/>
          <w:bCs/>
          <w:color w:val="000000"/>
          <w:sz w:val="32"/>
          <w:szCs w:val="32"/>
        </w:rPr>
        <w:t>3.</w:t>
      </w:r>
      <w:r>
        <w:rPr>
          <w:rStyle w:val="16"/>
          <w:rFonts w:hint="eastAsia" w:ascii="仿宋_GB2312" w:hAnsi="仿宋" w:eastAsia="仿宋_GB2312"/>
          <w:b w:val="0"/>
          <w:bCs/>
          <w:color w:val="000000"/>
          <w:sz w:val="32"/>
          <w:szCs w:val="32"/>
        </w:rPr>
        <w:t>住房保障支出（类）住房改革支出（款）住房公积金（项）</w:t>
      </w:r>
      <w:r>
        <w:rPr>
          <w:rStyle w:val="16"/>
          <w:rFonts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rPr>
        <w:t>支出决算为</w:t>
      </w:r>
      <w:r>
        <w:rPr>
          <w:rStyle w:val="16"/>
          <w:rFonts w:ascii="仿宋_GB2312" w:hAnsi="仿宋" w:eastAsia="仿宋_GB2312"/>
          <w:b w:val="0"/>
          <w:bCs/>
          <w:color w:val="000000"/>
          <w:sz w:val="32"/>
          <w:szCs w:val="32"/>
        </w:rPr>
        <w:t>11.97</w:t>
      </w:r>
      <w:r>
        <w:rPr>
          <w:rStyle w:val="16"/>
          <w:rFonts w:hint="eastAsia" w:ascii="仿宋_GB2312" w:hAnsi="仿宋" w:eastAsia="仿宋_GB2312"/>
          <w:b w:val="0"/>
          <w:bCs/>
          <w:color w:val="000000"/>
          <w:sz w:val="32"/>
          <w:szCs w:val="32"/>
        </w:rPr>
        <w:t>万元，完成预算</w:t>
      </w:r>
      <w:r>
        <w:rPr>
          <w:rStyle w:val="16"/>
          <w:rFonts w:ascii="仿宋_GB2312" w:hAnsi="仿宋" w:eastAsia="仿宋_GB2312"/>
          <w:b w:val="0"/>
          <w:bCs/>
          <w:color w:val="000000"/>
          <w:sz w:val="32"/>
          <w:szCs w:val="32"/>
        </w:rPr>
        <w:t>100%</w:t>
      </w:r>
      <w:r>
        <w:rPr>
          <w:rStyle w:val="16"/>
          <w:rFonts w:hint="eastAsia" w:ascii="仿宋_GB2312" w:hAnsi="仿宋" w:eastAsia="仿宋_GB2312"/>
          <w:b w:val="0"/>
          <w:bCs/>
          <w:color w:val="000000"/>
          <w:sz w:val="32"/>
          <w:szCs w:val="32"/>
        </w:rPr>
        <w:t>。</w:t>
      </w:r>
    </w:p>
    <w:p>
      <w:pPr>
        <w:spacing w:line="600" w:lineRule="exact"/>
        <w:ind w:firstLine="640" w:firstLineChars="200"/>
        <w:rPr>
          <w:rFonts w:ascii="仿宋_GB2312" w:hAnsi="仿宋" w:eastAsia="仿宋_GB2312"/>
          <w:color w:val="000000"/>
          <w:sz w:val="32"/>
          <w:szCs w:val="32"/>
        </w:rPr>
      </w:pPr>
      <w:r>
        <w:rPr>
          <w:rStyle w:val="16"/>
          <w:rFonts w:ascii="仿宋_GB2312" w:hAnsi="仿宋" w:eastAsia="仿宋_GB2312"/>
          <w:b w:val="0"/>
          <w:bCs/>
          <w:color w:val="000000"/>
          <w:sz w:val="32"/>
          <w:szCs w:val="32"/>
        </w:rPr>
        <w:t>4.</w:t>
      </w:r>
      <w:r>
        <w:rPr>
          <w:rStyle w:val="16"/>
          <w:rFonts w:hint="eastAsia" w:ascii="仿宋_GB2312" w:hAnsi="仿宋" w:eastAsia="仿宋_GB2312"/>
          <w:b w:val="0"/>
          <w:bCs/>
          <w:color w:val="000000"/>
          <w:sz w:val="32"/>
          <w:szCs w:val="32"/>
        </w:rPr>
        <w:t>灾害防治及应急管理支出（类）应急管理事务（款）事业运行（项）</w:t>
      </w:r>
      <w:r>
        <w:rPr>
          <w:rStyle w:val="16"/>
          <w:rFonts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rPr>
        <w:t>支出决算为</w:t>
      </w:r>
      <w:r>
        <w:rPr>
          <w:rStyle w:val="16"/>
          <w:rFonts w:ascii="仿宋_GB2312" w:hAnsi="仿宋" w:eastAsia="仿宋_GB2312"/>
          <w:b w:val="0"/>
          <w:bCs/>
          <w:color w:val="000000"/>
          <w:sz w:val="32"/>
          <w:szCs w:val="32"/>
        </w:rPr>
        <w:t>140.10</w:t>
      </w:r>
      <w:r>
        <w:rPr>
          <w:rStyle w:val="16"/>
          <w:rFonts w:hint="eastAsia" w:ascii="仿宋_GB2312" w:hAnsi="仿宋" w:eastAsia="仿宋_GB2312"/>
          <w:b w:val="0"/>
          <w:bCs/>
          <w:color w:val="000000"/>
          <w:sz w:val="32"/>
          <w:szCs w:val="32"/>
        </w:rPr>
        <w:t>万元，完成预算</w:t>
      </w:r>
      <w:r>
        <w:rPr>
          <w:rStyle w:val="16"/>
          <w:rFonts w:ascii="仿宋_GB2312" w:hAnsi="仿宋" w:eastAsia="仿宋_GB2312"/>
          <w:b w:val="0"/>
          <w:bCs/>
          <w:color w:val="000000"/>
          <w:sz w:val="32"/>
          <w:szCs w:val="32"/>
        </w:rPr>
        <w:t>99.85%</w:t>
      </w:r>
      <w:r>
        <w:rPr>
          <w:rStyle w:val="16"/>
          <w:rFonts w:hint="eastAsia" w:ascii="仿宋_GB2312" w:hAnsi="仿宋" w:eastAsia="仿宋_GB2312"/>
          <w:b w:val="0"/>
          <w:bCs/>
          <w:color w:val="000000"/>
          <w:sz w:val="32"/>
          <w:szCs w:val="32"/>
        </w:rPr>
        <w:t>，决算数小于预算数的主要原因是</w:t>
      </w:r>
      <w:r>
        <w:rPr>
          <w:rStyle w:val="16"/>
          <w:rFonts w:ascii="仿宋_GB2312" w:hAnsi="仿宋" w:eastAsia="仿宋_GB2312"/>
          <w:b w:val="0"/>
          <w:bCs/>
          <w:color w:val="000000"/>
          <w:sz w:val="32"/>
          <w:szCs w:val="32"/>
        </w:rPr>
        <w:t>2020</w:t>
      </w:r>
      <w:r>
        <w:rPr>
          <w:rStyle w:val="16"/>
          <w:rFonts w:hint="eastAsia" w:ascii="仿宋_GB2312" w:hAnsi="仿宋" w:eastAsia="仿宋_GB2312"/>
          <w:b w:val="0"/>
          <w:bCs/>
          <w:color w:val="000000"/>
          <w:sz w:val="32"/>
          <w:szCs w:val="32"/>
        </w:rPr>
        <w:t>年受疫情影响压缩开支。</w:t>
      </w:r>
    </w:p>
    <w:p>
      <w:pPr>
        <w:spacing w:line="600" w:lineRule="exact"/>
        <w:ind w:firstLine="640" w:firstLineChars="200"/>
        <w:rPr>
          <w:rFonts w:ascii="仿宋_GB2312" w:hAnsi="仿宋" w:eastAsia="仿宋_GB2312"/>
          <w:color w:val="000000"/>
          <w:sz w:val="32"/>
          <w:szCs w:val="32"/>
        </w:rPr>
      </w:pPr>
      <w:r>
        <w:rPr>
          <w:rStyle w:val="16"/>
          <w:rFonts w:ascii="仿宋_GB2312" w:hAnsi="仿宋" w:eastAsia="仿宋_GB2312"/>
          <w:b w:val="0"/>
          <w:bCs/>
          <w:color w:val="000000"/>
          <w:sz w:val="32"/>
          <w:szCs w:val="32"/>
        </w:rPr>
        <w:t>5.</w:t>
      </w:r>
      <w:r>
        <w:rPr>
          <w:rStyle w:val="16"/>
          <w:rFonts w:hint="eastAsia" w:ascii="仿宋_GB2312" w:hAnsi="仿宋" w:eastAsia="仿宋_GB2312"/>
          <w:b w:val="0"/>
          <w:bCs/>
          <w:color w:val="000000"/>
          <w:sz w:val="32"/>
          <w:szCs w:val="32"/>
        </w:rPr>
        <w:t>灾害防治及应急管理支出（类）应急管理事务（款）其他应急管理支出（项）</w:t>
      </w:r>
      <w:r>
        <w:rPr>
          <w:rStyle w:val="16"/>
          <w:rFonts w:ascii="仿宋_GB2312" w:hAnsi="仿宋" w:eastAsia="仿宋_GB2312"/>
          <w:b w:val="0"/>
          <w:bCs/>
          <w:color w:val="000000"/>
          <w:sz w:val="32"/>
          <w:szCs w:val="32"/>
        </w:rPr>
        <w:t>:</w:t>
      </w:r>
      <w:r>
        <w:rPr>
          <w:rStyle w:val="16"/>
          <w:rFonts w:hint="eastAsia" w:ascii="仿宋_GB2312" w:hAnsi="仿宋" w:eastAsia="仿宋_GB2312"/>
          <w:b w:val="0"/>
          <w:bCs/>
          <w:color w:val="000000"/>
          <w:sz w:val="32"/>
          <w:szCs w:val="32"/>
        </w:rPr>
        <w:t>支出决算为</w:t>
      </w:r>
      <w:r>
        <w:rPr>
          <w:rStyle w:val="16"/>
          <w:rFonts w:ascii="仿宋_GB2312" w:hAnsi="仿宋" w:eastAsia="仿宋_GB2312"/>
          <w:b w:val="0"/>
          <w:bCs/>
          <w:color w:val="000000"/>
          <w:sz w:val="32"/>
          <w:szCs w:val="32"/>
        </w:rPr>
        <w:t>17.77</w:t>
      </w:r>
      <w:r>
        <w:rPr>
          <w:rStyle w:val="16"/>
          <w:rFonts w:hint="eastAsia" w:ascii="仿宋_GB2312" w:hAnsi="仿宋" w:eastAsia="仿宋_GB2312"/>
          <w:b w:val="0"/>
          <w:bCs/>
          <w:color w:val="000000"/>
          <w:sz w:val="32"/>
          <w:szCs w:val="32"/>
        </w:rPr>
        <w:t>万元，完成预算</w:t>
      </w:r>
      <w:r>
        <w:rPr>
          <w:rStyle w:val="16"/>
          <w:rFonts w:ascii="仿宋_GB2312" w:hAnsi="仿宋" w:eastAsia="仿宋_GB2312"/>
          <w:b w:val="0"/>
          <w:bCs/>
          <w:color w:val="000000"/>
          <w:sz w:val="32"/>
          <w:szCs w:val="32"/>
        </w:rPr>
        <w:t>100%</w:t>
      </w:r>
      <w:r>
        <w:rPr>
          <w:rStyle w:val="16"/>
          <w:rFonts w:hint="eastAsia" w:ascii="仿宋_GB2312" w:hAnsi="仿宋" w:eastAsia="仿宋_GB2312"/>
          <w:b w:val="0"/>
          <w:bCs/>
          <w:color w:val="000000"/>
          <w:sz w:val="32"/>
          <w:szCs w:val="32"/>
        </w:rPr>
        <w:t>。</w:t>
      </w:r>
    </w:p>
    <w:bookmarkEnd w:id="60"/>
    <w:bookmarkEnd w:id="61"/>
    <w:bookmarkEnd w:id="62"/>
    <w:bookmarkEnd w:id="63"/>
    <w:p>
      <w:pPr>
        <w:tabs>
          <w:tab w:val="right" w:pos="8306"/>
        </w:tabs>
        <w:spacing w:line="600" w:lineRule="exact"/>
        <w:ind w:firstLine="640"/>
        <w:outlineLvl w:val="1"/>
        <w:rPr>
          <w:rFonts w:ascii="黑体" w:eastAsia="黑体"/>
          <w:color w:val="000000"/>
          <w:sz w:val="32"/>
          <w:szCs w:val="32"/>
        </w:rPr>
      </w:pPr>
      <w:bookmarkStart w:id="64" w:name="_Toc82164265"/>
      <w:bookmarkStart w:id="65" w:name="_Toc82163054"/>
      <w:bookmarkStart w:id="66" w:name="_Toc15377214"/>
      <w:r>
        <w:rPr>
          <w:rFonts w:hint="eastAsia" w:ascii="黑体" w:eastAsia="黑体"/>
          <w:color w:val="000000"/>
          <w:sz w:val="32"/>
          <w:szCs w:val="32"/>
        </w:rPr>
        <w:t>六、一般公共预算财政拨款基本支出决算情况说明</w:t>
      </w:r>
      <w:bookmarkEnd w:id="64"/>
      <w:bookmarkEnd w:id="65"/>
      <w:bookmarkEnd w:id="66"/>
    </w:p>
    <w:p>
      <w:pPr>
        <w:spacing w:line="600" w:lineRule="exact"/>
        <w:ind w:firstLine="645"/>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年一般公共预算财政拨款基本支出</w:t>
      </w:r>
      <w:r>
        <w:rPr>
          <w:rFonts w:ascii="仿宋_GB2312" w:hAnsi="仿宋" w:eastAsia="仿宋_GB2312"/>
          <w:color w:val="000000"/>
          <w:sz w:val="32"/>
          <w:szCs w:val="32"/>
        </w:rPr>
        <w:t>170.2</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万元，其中：</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人员经费</w:t>
      </w:r>
      <w:r>
        <w:rPr>
          <w:rFonts w:ascii="仿宋_GB2312" w:hAnsi="仿宋" w:eastAsia="仿宋_GB2312"/>
          <w:color w:val="000000"/>
          <w:sz w:val="32"/>
          <w:szCs w:val="32"/>
        </w:rPr>
        <w:t>148.3</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万元，主要包括：基本工资、津贴补贴、绩效工资、机关事业单位基本养老保险缴费、职工基本医疗保险缴费、其他社会保障缴费、住房公积金、其他工资福利支出</w:t>
      </w:r>
      <w:r>
        <w:rPr>
          <w:rFonts w:hint="eastAsia" w:ascii="仿宋_GB2312" w:hAnsi="仿宋" w:eastAsia="仿宋_GB2312"/>
          <w:color w:val="000000"/>
          <w:sz w:val="32"/>
          <w:szCs w:val="32"/>
          <w:lang w:eastAsia="zh-CN"/>
        </w:rPr>
        <w:t>、生活补助、奖励金</w:t>
      </w:r>
      <w:r>
        <w:rPr>
          <w:rFonts w:hint="eastAsia" w:ascii="仿宋_GB2312" w:hAnsi="仿宋" w:eastAsia="仿宋_GB2312"/>
          <w:color w:val="000000"/>
          <w:sz w:val="32"/>
          <w:szCs w:val="32"/>
        </w:rPr>
        <w:t>。</w:t>
      </w:r>
    </w:p>
    <w:p>
      <w:pPr>
        <w:spacing w:line="600" w:lineRule="exact"/>
        <w:ind w:firstLine="645"/>
        <w:rPr>
          <w:rFonts w:ascii="仿宋_GB2312" w:hAnsi="仿宋" w:eastAsia="仿宋_GB2312"/>
          <w:color w:val="000000"/>
          <w:sz w:val="32"/>
          <w:szCs w:val="32"/>
        </w:rPr>
      </w:pPr>
      <w:r>
        <w:rPr>
          <w:rFonts w:hint="eastAsia" w:ascii="仿宋_GB2312" w:hAnsi="仿宋" w:eastAsia="仿宋_GB2312"/>
          <w:color w:val="000000"/>
          <w:sz w:val="32"/>
          <w:szCs w:val="32"/>
        </w:rPr>
        <w:t>日常公用经费</w:t>
      </w:r>
      <w:r>
        <w:rPr>
          <w:rFonts w:ascii="仿宋_GB2312" w:hAnsi="仿宋" w:eastAsia="仿宋_GB2312"/>
          <w:color w:val="000000"/>
          <w:sz w:val="32"/>
          <w:szCs w:val="32"/>
        </w:rPr>
        <w:t>21.9</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万元，主要包括：办公费、印刷费、咨询费、手续费、邮电费、物业管理费、差旅费、维修（护）费、培训费、公务接待费、劳务费、工会经费、福利费、公务用车运行维护费。</w:t>
      </w:r>
    </w:p>
    <w:p>
      <w:pPr>
        <w:spacing w:line="600" w:lineRule="exact"/>
        <w:ind w:firstLine="640"/>
        <w:outlineLvl w:val="1"/>
        <w:rPr>
          <w:rFonts w:ascii="黑体" w:hAnsi="黑体" w:eastAsia="黑体"/>
          <w:color w:val="000000"/>
          <w:sz w:val="32"/>
          <w:szCs w:val="32"/>
        </w:rPr>
      </w:pPr>
      <w:bookmarkStart w:id="67" w:name="_Toc82163055"/>
      <w:bookmarkStart w:id="68" w:name="_Toc82164266"/>
      <w:bookmarkStart w:id="69" w:name="_Toc15377215"/>
      <w:bookmarkStart w:id="70" w:name="_Toc15377216"/>
      <w:bookmarkStart w:id="71" w:name="_Toc80371183"/>
      <w:r>
        <w:rPr>
          <w:rFonts w:hint="eastAsia" w:ascii="黑体" w:hAnsi="黑体" w:eastAsia="黑体"/>
          <w:color w:val="000000"/>
          <w:sz w:val="32"/>
          <w:szCs w:val="32"/>
        </w:rPr>
        <w:t>七、“三公”经费财政拨款支出决算情况说明</w:t>
      </w:r>
      <w:bookmarkEnd w:id="67"/>
      <w:bookmarkEnd w:id="68"/>
      <w:bookmarkEnd w:id="69"/>
    </w:p>
    <w:bookmarkEnd w:id="70"/>
    <w:bookmarkEnd w:id="71"/>
    <w:p>
      <w:pPr>
        <w:spacing w:line="600" w:lineRule="exact"/>
        <w:ind w:firstLine="640"/>
        <w:outlineLvl w:val="2"/>
        <w:rPr>
          <w:rFonts w:ascii="楷体_GB2312" w:hAnsi="仿宋" w:eastAsia="楷体_GB2312"/>
          <w:color w:val="000000"/>
          <w:sz w:val="32"/>
          <w:szCs w:val="32"/>
        </w:rPr>
      </w:pPr>
      <w:bookmarkStart w:id="72" w:name="_Toc80371184"/>
      <w:bookmarkStart w:id="73" w:name="_Toc15377217"/>
      <w:r>
        <w:rPr>
          <w:rFonts w:hint="eastAsia" w:ascii="楷体_GB2312" w:hAnsi="仿宋" w:eastAsia="楷体_GB2312"/>
          <w:color w:val="000000"/>
          <w:sz w:val="32"/>
          <w:szCs w:val="32"/>
        </w:rPr>
        <w:t>（一）“三公”经费财政拨款支出决算总体情况说明</w:t>
      </w:r>
    </w:p>
    <w:bookmarkEnd w:id="72"/>
    <w:bookmarkEnd w:id="73"/>
    <w:p>
      <w:pPr>
        <w:topLinePunct/>
        <w:spacing w:line="540" w:lineRule="exact"/>
        <w:ind w:firstLine="645"/>
        <w:rPr>
          <w:rFonts w:ascii="仿宋_GB2312"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年“三公”经费财政拨款支出决算为</w:t>
      </w:r>
      <w:r>
        <w:rPr>
          <w:rFonts w:ascii="仿宋_GB2312" w:hAnsi="仿宋" w:eastAsia="仿宋_GB2312"/>
          <w:color w:val="000000"/>
          <w:sz w:val="32"/>
          <w:szCs w:val="32"/>
        </w:rPr>
        <w:t>0.81</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，决算数等于预算数。</w:t>
      </w:r>
    </w:p>
    <w:p>
      <w:pPr>
        <w:spacing w:line="600" w:lineRule="exact"/>
        <w:ind w:firstLine="640"/>
        <w:outlineLvl w:val="2"/>
        <w:rPr>
          <w:rFonts w:ascii="楷体_GB2312" w:hAnsi="仿宋" w:eastAsia="楷体_GB2312"/>
          <w:color w:val="000000"/>
          <w:sz w:val="32"/>
          <w:szCs w:val="32"/>
        </w:rPr>
      </w:pPr>
      <w:r>
        <w:rPr>
          <w:rFonts w:hint="eastAsia" w:ascii="楷体_GB2312" w:hAnsi="仿宋" w:eastAsia="楷体_GB2312"/>
          <w:color w:val="000000"/>
          <w:sz w:val="32"/>
          <w:szCs w:val="32"/>
        </w:rPr>
        <w:t>（二）“三公”经费财政拨款支出决算具体情况说明</w:t>
      </w:r>
    </w:p>
    <w:p>
      <w:pPr>
        <w:spacing w:line="600" w:lineRule="exact"/>
        <w:ind w:firstLine="64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年“三公”经费财政拨款支出决算中，因公出国（境）费支出决算</w:t>
      </w:r>
      <w:r>
        <w:rPr>
          <w:rFonts w:ascii="仿宋_GB2312" w:hAnsi="仿宋" w:eastAsia="仿宋_GB2312"/>
          <w:color w:val="000000"/>
          <w:sz w:val="32"/>
          <w:szCs w:val="32"/>
        </w:rPr>
        <w:t>0</w:t>
      </w:r>
      <w:r>
        <w:rPr>
          <w:rFonts w:hint="eastAsia" w:ascii="仿宋_GB2312" w:hAnsi="仿宋" w:eastAsia="仿宋_GB2312"/>
          <w:color w:val="000000"/>
          <w:sz w:val="32"/>
          <w:szCs w:val="32"/>
        </w:rPr>
        <w:t>万元，占</w:t>
      </w:r>
      <w:r>
        <w:rPr>
          <w:rFonts w:ascii="仿宋_GB2312" w:hAnsi="仿宋" w:eastAsia="仿宋_GB2312"/>
          <w:color w:val="000000"/>
          <w:sz w:val="32"/>
          <w:szCs w:val="32"/>
        </w:rPr>
        <w:t>0%</w:t>
      </w:r>
      <w:r>
        <w:rPr>
          <w:rFonts w:hint="eastAsia" w:ascii="仿宋_GB2312" w:hAnsi="仿宋" w:eastAsia="仿宋_GB2312"/>
          <w:color w:val="000000"/>
          <w:sz w:val="32"/>
          <w:szCs w:val="32"/>
        </w:rPr>
        <w:t>；公务用车购置及运行维护费支出决算</w:t>
      </w:r>
      <w:r>
        <w:rPr>
          <w:rFonts w:ascii="仿宋_GB2312" w:hAnsi="仿宋" w:eastAsia="仿宋_GB2312"/>
          <w:color w:val="000000"/>
          <w:sz w:val="32"/>
          <w:szCs w:val="32"/>
        </w:rPr>
        <w:t>0.69</w:t>
      </w:r>
      <w:r>
        <w:rPr>
          <w:rFonts w:hint="eastAsia" w:ascii="仿宋_GB2312" w:hAnsi="仿宋" w:eastAsia="仿宋_GB2312"/>
          <w:color w:val="000000"/>
          <w:sz w:val="32"/>
          <w:szCs w:val="32"/>
        </w:rPr>
        <w:t>万元，占</w:t>
      </w:r>
      <w:r>
        <w:rPr>
          <w:rFonts w:ascii="仿宋_GB2312" w:hAnsi="仿宋" w:eastAsia="仿宋_GB2312"/>
          <w:color w:val="000000"/>
          <w:sz w:val="32"/>
          <w:szCs w:val="32"/>
        </w:rPr>
        <w:t>85.19%</w:t>
      </w:r>
      <w:r>
        <w:rPr>
          <w:rFonts w:hint="eastAsia" w:ascii="仿宋_GB2312" w:hAnsi="仿宋" w:eastAsia="仿宋_GB2312"/>
          <w:color w:val="000000"/>
          <w:sz w:val="32"/>
          <w:szCs w:val="32"/>
        </w:rPr>
        <w:t>；公务接待费支出决算</w:t>
      </w:r>
      <w:r>
        <w:rPr>
          <w:rFonts w:ascii="仿宋_GB2312" w:hAnsi="仿宋" w:eastAsia="仿宋_GB2312"/>
          <w:color w:val="000000"/>
          <w:sz w:val="32"/>
          <w:szCs w:val="32"/>
        </w:rPr>
        <w:t>0.12</w:t>
      </w:r>
      <w:r>
        <w:rPr>
          <w:rFonts w:hint="eastAsia" w:ascii="仿宋_GB2312" w:hAnsi="仿宋" w:eastAsia="仿宋_GB2312"/>
          <w:color w:val="000000"/>
          <w:sz w:val="32"/>
          <w:szCs w:val="32"/>
        </w:rPr>
        <w:t>万元，占</w:t>
      </w:r>
      <w:r>
        <w:rPr>
          <w:rFonts w:ascii="仿宋_GB2312" w:hAnsi="仿宋" w:eastAsia="仿宋_GB2312"/>
          <w:color w:val="000000"/>
          <w:sz w:val="32"/>
          <w:szCs w:val="32"/>
        </w:rPr>
        <w:t>14.81%</w:t>
      </w:r>
      <w:r>
        <w:rPr>
          <w:rFonts w:hint="eastAsia" w:ascii="仿宋_GB2312" w:hAnsi="仿宋" w:eastAsia="仿宋_GB2312"/>
          <w:color w:val="000000"/>
          <w:sz w:val="32"/>
          <w:szCs w:val="32"/>
        </w:rPr>
        <w:t>。具体情况如下：</w:t>
      </w:r>
    </w:p>
    <w:p>
      <w:pPr>
        <w:pStyle w:val="2"/>
        <w:spacing w:before="93"/>
        <w:jc w:val="center"/>
      </w:pPr>
      <w:r>
        <w:pict>
          <v:shape id="_x0000_i1031" o:spt="75" type="#_x0000_t75" style="height:213pt;width:357.75pt;" filled="f" o:preferrelative="t" stroked="f" coordsize="21600,21600">
            <v:path/>
            <v:fill on="f" focussize="0,0"/>
            <v:stroke on="f" joinstyle="miter"/>
            <v:imagedata r:id="rId13" o:title=""/>
            <o:lock v:ext="edit" aspectratio="f"/>
            <w10:wrap type="none"/>
            <w10:anchorlock/>
          </v:shape>
        </w:pict>
      </w:r>
    </w:p>
    <w:p>
      <w:pPr>
        <w:spacing w:line="600" w:lineRule="exact"/>
        <w:ind w:firstLine="640" w:firstLineChars="200"/>
        <w:jc w:val="center"/>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pPr>
        <w:spacing w:line="600" w:lineRule="exact"/>
        <w:ind w:firstLine="640"/>
        <w:rPr>
          <w:rFonts w:ascii="仿宋_GB2312" w:hAnsi="仿宋"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因公出国（境）经费支出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万元，本年度未安排此项预算。</w:t>
      </w:r>
      <w:r>
        <w:rPr>
          <w:rFonts w:hint="eastAsia" w:ascii="仿宋_GB2312" w:hAnsi="仿宋" w:eastAsia="仿宋_GB2312"/>
          <w:color w:val="000000"/>
          <w:sz w:val="32"/>
          <w:szCs w:val="32"/>
          <w:lang w:eastAsia="zh-CN"/>
        </w:rPr>
        <w:t>决算数与上年持平</w:t>
      </w:r>
      <w:r>
        <w:rPr>
          <w:rFonts w:hint="eastAsia" w:ascii="仿宋_GB2312" w:hAnsi="仿宋" w:eastAsia="仿宋_GB2312"/>
          <w:color w:val="000000"/>
          <w:sz w:val="32"/>
          <w:szCs w:val="32"/>
        </w:rPr>
        <w:t>。</w:t>
      </w:r>
    </w:p>
    <w:p>
      <w:pPr>
        <w:spacing w:line="600" w:lineRule="exact"/>
        <w:ind w:firstLine="640"/>
        <w:rPr>
          <w:rFonts w:ascii="仿宋_GB2312" w:hAnsi="仿宋"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公务用车购置及运行维护费支出</w:t>
      </w:r>
      <w:r>
        <w:rPr>
          <w:rFonts w:ascii="仿宋_GB2312" w:hAnsi="仿宋" w:eastAsia="仿宋_GB2312"/>
          <w:color w:val="000000"/>
          <w:sz w:val="32"/>
          <w:szCs w:val="32"/>
        </w:rPr>
        <w:t>0.69</w:t>
      </w:r>
      <w:r>
        <w:rPr>
          <w:rFonts w:hint="eastAsia" w:ascii="仿宋_GB2312" w:hAnsi="仿宋" w:eastAsia="仿宋_GB2312"/>
          <w:color w:val="000000"/>
          <w:sz w:val="32"/>
          <w:szCs w:val="32"/>
        </w:rPr>
        <w:t>万元</w:t>
      </w:r>
      <w:r>
        <w:rPr>
          <w:rFonts w:ascii="仿宋_GB2312" w:hAnsi="仿宋" w:eastAsia="仿宋_GB2312"/>
          <w:color w:val="000000"/>
          <w:sz w:val="32"/>
          <w:szCs w:val="32"/>
        </w:rPr>
        <w:t>,</w:t>
      </w:r>
      <w:r>
        <w:rPr>
          <w:rFonts w:hint="eastAsia" w:ascii="仿宋_GB2312" w:hAnsi="仿宋" w:eastAsia="仿宋_GB2312"/>
          <w:color w:val="000000"/>
          <w:sz w:val="32"/>
          <w:szCs w:val="32"/>
        </w:rPr>
        <w:t>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。公务用车购置及运行维护费支出决算比</w:t>
      </w:r>
      <w:r>
        <w:rPr>
          <w:rFonts w:ascii="仿宋_GB2312" w:hAnsi="仿宋" w:eastAsia="仿宋_GB2312"/>
          <w:color w:val="000000"/>
          <w:sz w:val="32"/>
          <w:szCs w:val="32"/>
        </w:rPr>
        <w:t>2019</w:t>
      </w:r>
      <w:r>
        <w:rPr>
          <w:rFonts w:hint="eastAsia" w:ascii="仿宋_GB2312" w:hAnsi="仿宋" w:eastAsia="仿宋_GB2312"/>
          <w:color w:val="000000"/>
          <w:sz w:val="32"/>
          <w:szCs w:val="32"/>
        </w:rPr>
        <w:t>年减少</w:t>
      </w:r>
      <w:r>
        <w:rPr>
          <w:rFonts w:ascii="仿宋_GB2312" w:hAnsi="仿宋" w:eastAsia="仿宋_GB2312"/>
          <w:color w:val="000000"/>
          <w:sz w:val="32"/>
          <w:szCs w:val="32"/>
        </w:rPr>
        <w:t>2.92</w:t>
      </w:r>
      <w:r>
        <w:rPr>
          <w:rFonts w:hint="eastAsia" w:ascii="仿宋_GB2312" w:hAnsi="仿宋" w:eastAsia="仿宋_GB2312"/>
          <w:color w:val="000000"/>
          <w:sz w:val="32"/>
          <w:szCs w:val="32"/>
        </w:rPr>
        <w:t>万元，下降</w:t>
      </w:r>
      <w:r>
        <w:rPr>
          <w:rFonts w:ascii="仿宋_GB2312" w:hAnsi="仿宋" w:eastAsia="仿宋_GB2312"/>
          <w:color w:val="000000"/>
          <w:sz w:val="32"/>
          <w:szCs w:val="32"/>
        </w:rPr>
        <w:t>80.88%</w:t>
      </w:r>
      <w:r>
        <w:rPr>
          <w:rFonts w:hint="eastAsia" w:ascii="仿宋_GB2312" w:hAnsi="仿宋" w:eastAsia="仿宋_GB2312"/>
          <w:color w:val="000000"/>
          <w:sz w:val="32"/>
          <w:szCs w:val="32"/>
        </w:rPr>
        <w:t>。主要原因是</w:t>
      </w:r>
      <w:r>
        <w:rPr>
          <w:rFonts w:ascii="仿宋_GB2312" w:hAnsi="仿宋" w:eastAsia="仿宋_GB2312"/>
          <w:color w:val="000000"/>
          <w:sz w:val="32"/>
          <w:szCs w:val="32"/>
        </w:rPr>
        <w:t>2020</w:t>
      </w:r>
      <w:r>
        <w:rPr>
          <w:rFonts w:hint="eastAsia" w:ascii="仿宋_GB2312" w:hAnsi="仿宋" w:eastAsia="仿宋_GB2312"/>
          <w:color w:val="000000"/>
          <w:sz w:val="32"/>
          <w:szCs w:val="32"/>
        </w:rPr>
        <w:t>年受疫情影响，车辆</w:t>
      </w:r>
      <w:r>
        <w:rPr>
          <w:rFonts w:hint="eastAsia" w:ascii="仿宋_GB2312" w:hAnsi="仿宋" w:eastAsia="仿宋_GB2312"/>
          <w:color w:val="000000"/>
          <w:sz w:val="32"/>
          <w:szCs w:val="32"/>
          <w:lang w:eastAsia="zh-CN"/>
        </w:rPr>
        <w:t>出勤减少</w:t>
      </w:r>
      <w:r>
        <w:rPr>
          <w:rFonts w:hint="eastAsia" w:ascii="仿宋_GB2312" w:hAnsi="仿宋" w:eastAsia="仿宋_GB2312"/>
          <w:color w:val="000000"/>
          <w:sz w:val="32"/>
          <w:szCs w:val="32"/>
        </w:rPr>
        <w:t>，维修费用支出降低。</w:t>
      </w:r>
    </w:p>
    <w:p>
      <w:pPr>
        <w:spacing w:line="60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其中：公务用车购置支出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万元。截至</w:t>
      </w:r>
      <w:r>
        <w:rPr>
          <w:rFonts w:ascii="仿宋_GB2312" w:hAnsi="仿宋" w:eastAsia="仿宋_GB2312"/>
          <w:color w:val="000000"/>
          <w:sz w:val="32"/>
          <w:szCs w:val="32"/>
        </w:rPr>
        <w:t>2020</w:t>
      </w:r>
      <w:r>
        <w:rPr>
          <w:rFonts w:hint="eastAsia" w:ascii="仿宋_GB2312" w:hAnsi="仿宋" w:eastAsia="仿宋_GB2312"/>
          <w:color w:val="000000"/>
          <w:sz w:val="32"/>
          <w:szCs w:val="32"/>
        </w:rPr>
        <w:t>年</w:t>
      </w:r>
      <w:r>
        <w:rPr>
          <w:rFonts w:ascii="仿宋_GB2312" w:hAnsi="仿宋" w:eastAsia="仿宋_GB2312"/>
          <w:color w:val="000000"/>
          <w:sz w:val="32"/>
          <w:szCs w:val="32"/>
        </w:rPr>
        <w:t>12</w:t>
      </w:r>
      <w:r>
        <w:rPr>
          <w:rFonts w:hint="eastAsia" w:ascii="仿宋_GB2312" w:hAnsi="仿宋" w:eastAsia="仿宋_GB2312"/>
          <w:color w:val="000000"/>
          <w:sz w:val="32"/>
          <w:szCs w:val="32"/>
        </w:rPr>
        <w:t>月底，单位共有公务用车</w:t>
      </w:r>
      <w:r>
        <w:rPr>
          <w:rFonts w:ascii="仿宋_GB2312" w:hAnsi="仿宋" w:eastAsia="仿宋_GB2312"/>
          <w:color w:val="000000"/>
          <w:sz w:val="32"/>
          <w:szCs w:val="32"/>
        </w:rPr>
        <w:t>1</w:t>
      </w:r>
      <w:r>
        <w:rPr>
          <w:rFonts w:hint="eastAsia" w:ascii="仿宋_GB2312" w:hAnsi="仿宋" w:eastAsia="仿宋_GB2312"/>
          <w:color w:val="000000"/>
          <w:sz w:val="32"/>
          <w:szCs w:val="32"/>
        </w:rPr>
        <w:t>辆，其中：其他车型</w:t>
      </w:r>
      <w:r>
        <w:rPr>
          <w:rFonts w:ascii="仿宋_GB2312" w:hAnsi="仿宋" w:eastAsia="仿宋_GB2312"/>
          <w:color w:val="000000"/>
          <w:sz w:val="32"/>
          <w:szCs w:val="32"/>
        </w:rPr>
        <w:t>1</w:t>
      </w:r>
      <w:r>
        <w:rPr>
          <w:rFonts w:hint="eastAsia" w:ascii="仿宋_GB2312" w:hAnsi="仿宋" w:eastAsia="仿宋_GB2312"/>
          <w:color w:val="000000"/>
          <w:sz w:val="32"/>
          <w:szCs w:val="32"/>
        </w:rPr>
        <w:t>辆。</w:t>
      </w:r>
    </w:p>
    <w:p>
      <w:pPr>
        <w:spacing w:line="600" w:lineRule="exact"/>
        <w:ind w:firstLine="640"/>
        <w:rPr>
          <w:rFonts w:ascii="仿宋_GB2312" w:hAnsi="仿宋" w:eastAsia="仿宋_GB2312"/>
          <w:color w:val="000000"/>
          <w:sz w:val="32"/>
          <w:szCs w:val="32"/>
        </w:rPr>
      </w:pPr>
      <w:r>
        <w:rPr>
          <w:rFonts w:hint="eastAsia" w:ascii="仿宋_GB2312" w:eastAsia="仿宋_GB2312"/>
          <w:color w:val="000000"/>
          <w:sz w:val="32"/>
          <w:szCs w:val="32"/>
        </w:rPr>
        <w:t>公务用车运行维护费支出</w:t>
      </w:r>
      <w:r>
        <w:rPr>
          <w:rFonts w:ascii="仿宋_GB2312" w:hAnsi="仿宋" w:eastAsia="仿宋_GB2312"/>
          <w:color w:val="000000"/>
          <w:sz w:val="32"/>
          <w:szCs w:val="32"/>
        </w:rPr>
        <w:t>0.69</w:t>
      </w:r>
      <w:r>
        <w:rPr>
          <w:rFonts w:hint="eastAsia" w:ascii="仿宋_GB2312" w:hAnsi="仿宋" w:eastAsia="仿宋_GB2312"/>
          <w:color w:val="000000"/>
          <w:sz w:val="32"/>
          <w:szCs w:val="32"/>
        </w:rPr>
        <w:t>万元。主要用于单位执行公务所需的公务用车燃料费、维修费、过路过桥费、保险费等支出。</w:t>
      </w:r>
    </w:p>
    <w:p>
      <w:pPr>
        <w:spacing w:line="600" w:lineRule="exact"/>
        <w:ind w:firstLine="640"/>
        <w:rPr>
          <w:rFonts w:ascii="仿宋_GB2312" w:hAnsi="仿宋"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公务接待费支出</w:t>
      </w:r>
      <w:r>
        <w:rPr>
          <w:rFonts w:ascii="仿宋_GB2312" w:hAnsi="仿宋" w:eastAsia="仿宋_GB2312"/>
          <w:color w:val="000000"/>
          <w:sz w:val="32"/>
          <w:szCs w:val="32"/>
        </w:rPr>
        <w:t>0.12</w:t>
      </w:r>
      <w:r>
        <w:rPr>
          <w:rFonts w:hint="eastAsia" w:ascii="仿宋_GB2312" w:hAnsi="仿宋" w:eastAsia="仿宋_GB2312"/>
          <w:color w:val="000000"/>
          <w:sz w:val="32"/>
          <w:szCs w:val="32"/>
        </w:rPr>
        <w:t>万元，完成预算</w:t>
      </w:r>
      <w:r>
        <w:rPr>
          <w:rFonts w:ascii="仿宋_GB2312" w:hAnsi="仿宋" w:eastAsia="仿宋_GB2312"/>
          <w:color w:val="000000"/>
          <w:sz w:val="32"/>
          <w:szCs w:val="32"/>
        </w:rPr>
        <w:t>100%</w:t>
      </w:r>
      <w:r>
        <w:rPr>
          <w:rFonts w:hint="eastAsia" w:ascii="仿宋_GB2312" w:hAnsi="仿宋" w:eastAsia="仿宋_GB2312"/>
          <w:color w:val="000000"/>
          <w:sz w:val="32"/>
          <w:szCs w:val="32"/>
        </w:rPr>
        <w:t>。公务接待费支出决算比</w:t>
      </w:r>
      <w:r>
        <w:rPr>
          <w:rFonts w:ascii="仿宋_GB2312" w:hAnsi="仿宋" w:eastAsia="仿宋_GB2312"/>
          <w:color w:val="000000"/>
          <w:sz w:val="32"/>
          <w:szCs w:val="32"/>
        </w:rPr>
        <w:t>2019</w:t>
      </w:r>
      <w:r>
        <w:rPr>
          <w:rFonts w:hint="eastAsia" w:ascii="仿宋_GB2312" w:hAnsi="仿宋" w:eastAsia="仿宋_GB2312"/>
          <w:color w:val="000000"/>
          <w:sz w:val="32"/>
          <w:szCs w:val="32"/>
        </w:rPr>
        <w:t>年增加</w:t>
      </w:r>
      <w:r>
        <w:rPr>
          <w:rFonts w:ascii="仿宋_GB2312" w:hAnsi="仿宋" w:eastAsia="仿宋_GB2312"/>
          <w:color w:val="000000"/>
          <w:sz w:val="32"/>
          <w:szCs w:val="32"/>
        </w:rPr>
        <w:t>0.12</w:t>
      </w:r>
      <w:r>
        <w:rPr>
          <w:rFonts w:hint="eastAsia" w:ascii="仿宋_GB2312" w:hAnsi="仿宋" w:eastAsia="仿宋_GB2312"/>
          <w:color w:val="000000"/>
          <w:sz w:val="32"/>
          <w:szCs w:val="32"/>
        </w:rPr>
        <w:t>万元。主要原因是单位执行公务需要。其中：</w:t>
      </w:r>
    </w:p>
    <w:p>
      <w:pPr>
        <w:spacing w:line="60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国内公务接待支出</w:t>
      </w:r>
      <w:r>
        <w:rPr>
          <w:rFonts w:ascii="仿宋_GB2312" w:hAnsi="仿宋" w:eastAsia="仿宋_GB2312"/>
          <w:color w:val="000000"/>
          <w:sz w:val="32"/>
          <w:szCs w:val="32"/>
        </w:rPr>
        <w:t>0.12</w:t>
      </w:r>
      <w:r>
        <w:rPr>
          <w:rFonts w:hint="eastAsia" w:ascii="仿宋_GB2312" w:hAnsi="仿宋" w:eastAsia="仿宋_GB2312"/>
          <w:color w:val="000000"/>
          <w:sz w:val="32"/>
          <w:szCs w:val="32"/>
        </w:rPr>
        <w:t>万元，主要用于单位执行公务、开展业务活动开支的交通费、住宿费、用餐费等。国内公务接待</w:t>
      </w:r>
      <w:r>
        <w:rPr>
          <w:rFonts w:ascii="仿宋_GB2312" w:hAnsi="仿宋" w:eastAsia="仿宋_GB2312"/>
          <w:color w:val="000000"/>
          <w:sz w:val="32"/>
          <w:szCs w:val="32"/>
        </w:rPr>
        <w:t>2</w:t>
      </w:r>
      <w:r>
        <w:rPr>
          <w:rFonts w:hint="eastAsia" w:ascii="仿宋_GB2312" w:hAnsi="仿宋" w:eastAsia="仿宋_GB2312"/>
          <w:color w:val="000000"/>
          <w:sz w:val="32"/>
          <w:szCs w:val="32"/>
        </w:rPr>
        <w:t>批次，</w:t>
      </w:r>
      <w:r>
        <w:rPr>
          <w:rFonts w:ascii="仿宋_GB2312" w:hAnsi="仿宋" w:eastAsia="仿宋_GB2312"/>
          <w:color w:val="000000"/>
          <w:sz w:val="32"/>
          <w:szCs w:val="32"/>
        </w:rPr>
        <w:t>15</w:t>
      </w:r>
      <w:r>
        <w:rPr>
          <w:rFonts w:hint="eastAsia" w:ascii="仿宋_GB2312" w:hAnsi="仿宋" w:eastAsia="仿宋_GB2312"/>
          <w:color w:val="000000"/>
          <w:sz w:val="32"/>
          <w:szCs w:val="32"/>
        </w:rPr>
        <w:t>人次（不包括陪同人员），共计支出</w:t>
      </w:r>
      <w:r>
        <w:rPr>
          <w:rFonts w:ascii="仿宋_GB2312" w:hAnsi="仿宋" w:eastAsia="仿宋_GB2312"/>
          <w:color w:val="000000"/>
          <w:sz w:val="32"/>
          <w:szCs w:val="32"/>
        </w:rPr>
        <w:t>0.12</w:t>
      </w:r>
      <w:r>
        <w:rPr>
          <w:rFonts w:hint="eastAsia" w:ascii="仿宋_GB2312" w:hAnsi="仿宋" w:eastAsia="仿宋_GB2312"/>
          <w:color w:val="000000"/>
          <w:sz w:val="32"/>
          <w:szCs w:val="32"/>
        </w:rPr>
        <w:t>万元。</w:t>
      </w:r>
    </w:p>
    <w:p>
      <w:pPr>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外事接待支出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spacing w:line="600" w:lineRule="exact"/>
        <w:ind w:firstLine="640"/>
        <w:outlineLvl w:val="1"/>
        <w:rPr>
          <w:rFonts w:ascii="黑体" w:eastAsia="黑体"/>
          <w:color w:val="000000"/>
          <w:sz w:val="32"/>
          <w:szCs w:val="32"/>
        </w:rPr>
      </w:pPr>
      <w:bookmarkStart w:id="74" w:name="_Toc82163056"/>
      <w:bookmarkStart w:id="75" w:name="_Toc82164267"/>
      <w:r>
        <w:rPr>
          <w:rFonts w:hint="eastAsia" w:ascii="黑体" w:eastAsia="黑体"/>
          <w:color w:val="000000"/>
          <w:sz w:val="32"/>
          <w:szCs w:val="32"/>
        </w:rPr>
        <w:t>八、政府性基金预算支出决算情况说明</w:t>
      </w:r>
      <w:bookmarkEnd w:id="74"/>
      <w:bookmarkEnd w:id="75"/>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年无政府性基金预算拨款安排的支出</w:t>
      </w:r>
      <w:r>
        <w:rPr>
          <w:rFonts w:ascii="仿宋_GB2312" w:hAnsi="仿宋" w:eastAsia="仿宋_GB2312"/>
          <w:color w:val="000000"/>
          <w:sz w:val="32"/>
          <w:szCs w:val="32"/>
        </w:rPr>
        <w:t>,2020</w:t>
      </w:r>
      <w:r>
        <w:rPr>
          <w:rFonts w:hint="eastAsia" w:ascii="仿宋_GB2312" w:hAnsi="仿宋" w:eastAsia="仿宋_GB2312"/>
          <w:color w:val="000000"/>
          <w:sz w:val="32"/>
          <w:szCs w:val="32"/>
        </w:rPr>
        <w:t>年本单位未在政府性基金预算拨款安排“三公经费”支出。</w:t>
      </w:r>
    </w:p>
    <w:p>
      <w:pPr>
        <w:spacing w:line="600" w:lineRule="exact"/>
        <w:ind w:firstLine="640"/>
        <w:outlineLvl w:val="1"/>
        <w:rPr>
          <w:rFonts w:ascii="黑体" w:eastAsia="黑体"/>
          <w:color w:val="000000"/>
          <w:sz w:val="32"/>
          <w:szCs w:val="32"/>
        </w:rPr>
      </w:pPr>
      <w:bookmarkStart w:id="76" w:name="_Toc82164268"/>
      <w:bookmarkStart w:id="77" w:name="_Toc82163057"/>
      <w:bookmarkStart w:id="78" w:name="_Toc15377219"/>
      <w:r>
        <w:rPr>
          <w:rFonts w:hint="eastAsia" w:ascii="黑体" w:eastAsia="黑体"/>
          <w:color w:val="000000"/>
          <w:sz w:val="32"/>
          <w:szCs w:val="32"/>
        </w:rPr>
        <w:t>九、国有资本经营预算支出决算情况说明</w:t>
      </w:r>
      <w:bookmarkEnd w:id="76"/>
      <w:bookmarkEnd w:id="77"/>
      <w:bookmarkEnd w:id="78"/>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年无国有资本经营预算拨款安排的支出。</w:t>
      </w:r>
    </w:p>
    <w:p>
      <w:pPr>
        <w:spacing w:line="600" w:lineRule="exact"/>
        <w:ind w:firstLine="800" w:firstLineChars="250"/>
        <w:outlineLvl w:val="1"/>
        <w:rPr>
          <w:rStyle w:val="20"/>
          <w:rFonts w:ascii="黑体" w:hAnsi="黑体" w:eastAsia="黑体"/>
          <w:bCs/>
          <w:szCs w:val="32"/>
        </w:rPr>
      </w:pPr>
      <w:bookmarkStart w:id="79" w:name="_Toc82163058"/>
      <w:bookmarkStart w:id="80" w:name="_Toc15396612"/>
      <w:bookmarkStart w:id="81" w:name="_Toc82164269"/>
      <w:r>
        <w:rPr>
          <w:rFonts w:hint="eastAsia" w:ascii="黑体" w:hAnsi="黑体" w:eastAsia="黑体"/>
          <w:color w:val="000000"/>
          <w:sz w:val="32"/>
          <w:szCs w:val="32"/>
        </w:rPr>
        <w:t>十</w:t>
      </w:r>
      <w:r>
        <w:rPr>
          <w:rStyle w:val="20"/>
          <w:rFonts w:hint="eastAsia" w:ascii="黑体" w:hAnsi="黑体" w:eastAsia="黑体"/>
          <w:bCs/>
          <w:szCs w:val="32"/>
        </w:rPr>
        <w:t>、</w:t>
      </w:r>
      <w:r>
        <w:rPr>
          <w:rStyle w:val="20"/>
          <w:rFonts w:hint="eastAsia" w:ascii="黑体" w:hAnsi="黑体" w:eastAsia="黑体"/>
          <w:b w:val="0"/>
          <w:bCs/>
          <w:szCs w:val="32"/>
        </w:rPr>
        <w:t>其他重要事项的情况说明</w:t>
      </w:r>
      <w:bookmarkEnd w:id="79"/>
      <w:bookmarkEnd w:id="80"/>
      <w:bookmarkEnd w:id="81"/>
    </w:p>
    <w:p>
      <w:pPr>
        <w:spacing w:line="600" w:lineRule="exact"/>
        <w:ind w:firstLine="640" w:firstLineChars="200"/>
        <w:outlineLvl w:val="2"/>
        <w:rPr>
          <w:rFonts w:ascii="楷体_GB2312" w:hAnsi="仿宋" w:eastAsia="楷体_GB2312"/>
          <w:color w:val="000000"/>
          <w:sz w:val="32"/>
          <w:szCs w:val="32"/>
        </w:rPr>
      </w:pPr>
      <w:r>
        <w:rPr>
          <w:rFonts w:hint="eastAsia" w:ascii="楷体_GB2312" w:hAnsi="仿宋" w:eastAsia="楷体_GB2312"/>
          <w:color w:val="000000"/>
          <w:sz w:val="32"/>
          <w:szCs w:val="32"/>
        </w:rPr>
        <w:t>（一）机关运行经费支出情况</w:t>
      </w:r>
    </w:p>
    <w:p>
      <w:pPr>
        <w:spacing w:line="600" w:lineRule="exact"/>
        <w:ind w:firstLine="640" w:firstLineChars="200"/>
        <w:rPr>
          <w:rFonts w:hint="eastAsia" w:ascii="仿宋_GB2312" w:hAnsi="仿宋" w:eastAsia="仿宋_GB2312"/>
          <w:color w:val="000000"/>
          <w:sz w:val="32"/>
          <w:szCs w:val="32"/>
          <w:lang w:eastAsia="zh-CN"/>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年，市应急管理科技信息中心机关运行经费支出</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r>
        <w:rPr>
          <w:rFonts w:hint="eastAsia" w:ascii="仿宋_GB2312" w:hAnsi="仿宋" w:eastAsia="仿宋_GB2312"/>
          <w:color w:val="000000"/>
          <w:sz w:val="32"/>
          <w:szCs w:val="32"/>
          <w:lang w:eastAsia="zh-CN"/>
        </w:rPr>
        <w:t>与上年持平</w:t>
      </w:r>
      <w:r>
        <w:rPr>
          <w:rFonts w:hint="eastAsia" w:ascii="仿宋_GB2312" w:hAnsi="仿宋" w:eastAsia="仿宋_GB2312"/>
          <w:color w:val="000000"/>
          <w:sz w:val="32"/>
          <w:szCs w:val="32"/>
        </w:rPr>
        <w:t>。</w:t>
      </w:r>
      <w:r>
        <w:rPr>
          <w:rFonts w:hint="eastAsia" w:ascii="仿宋_GB2312" w:hAnsi="仿宋" w:eastAsia="仿宋_GB2312"/>
          <w:color w:val="000000"/>
          <w:sz w:val="32"/>
          <w:szCs w:val="32"/>
          <w:lang w:eastAsia="zh-CN"/>
        </w:rPr>
        <w:t>主要原因是本单位属于其他事业单位，不产生机关运行经费。</w:t>
      </w:r>
    </w:p>
    <w:p>
      <w:pPr>
        <w:autoSpaceDE w:val="0"/>
        <w:autoSpaceDN w:val="0"/>
        <w:adjustRightInd w:val="0"/>
        <w:spacing w:line="600" w:lineRule="exact"/>
        <w:ind w:firstLine="640" w:firstLineChars="200"/>
        <w:jc w:val="left"/>
        <w:outlineLvl w:val="2"/>
        <w:rPr>
          <w:rFonts w:ascii="楷体_GB2312" w:hAnsi="仿宋" w:eastAsia="楷体_GB2312"/>
          <w:color w:val="000000"/>
          <w:sz w:val="32"/>
          <w:szCs w:val="32"/>
        </w:rPr>
      </w:pPr>
      <w:r>
        <w:rPr>
          <w:rFonts w:hint="eastAsia" w:ascii="楷体_GB2312" w:hAnsi="仿宋" w:eastAsia="楷体_GB2312"/>
          <w:color w:val="000000"/>
          <w:sz w:val="32"/>
          <w:szCs w:val="32"/>
        </w:rPr>
        <w:t>（二）政府采购支出情况</w:t>
      </w:r>
    </w:p>
    <w:p>
      <w:pPr>
        <w:spacing w:line="600" w:lineRule="exact"/>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2020</w:t>
      </w:r>
      <w:r>
        <w:rPr>
          <w:rFonts w:hint="eastAsia" w:ascii="仿宋_GB2312" w:hAnsi="仿宋" w:eastAsia="仿宋_GB2312"/>
          <w:color w:val="000000"/>
          <w:sz w:val="32"/>
          <w:szCs w:val="32"/>
        </w:rPr>
        <w:t>年，广元市应急管理科技信息中心政府采购支出总额</w:t>
      </w:r>
      <w:r>
        <w:rPr>
          <w:rFonts w:ascii="仿宋_GB2312" w:hAnsi="仿宋" w:eastAsia="仿宋_GB2312"/>
          <w:color w:val="000000"/>
          <w:sz w:val="32"/>
          <w:szCs w:val="32"/>
        </w:rPr>
        <w:t>0</w:t>
      </w:r>
      <w:r>
        <w:rPr>
          <w:rFonts w:hint="eastAsia" w:ascii="仿宋_GB2312" w:hAnsi="仿宋" w:eastAsia="仿宋_GB2312"/>
          <w:color w:val="000000"/>
          <w:sz w:val="32"/>
          <w:szCs w:val="32"/>
        </w:rPr>
        <w:t>万元。</w:t>
      </w:r>
    </w:p>
    <w:p>
      <w:pPr>
        <w:autoSpaceDE w:val="0"/>
        <w:autoSpaceDN w:val="0"/>
        <w:adjustRightInd w:val="0"/>
        <w:spacing w:line="600" w:lineRule="exact"/>
        <w:ind w:firstLine="640" w:firstLineChars="200"/>
        <w:jc w:val="left"/>
        <w:outlineLvl w:val="2"/>
        <w:rPr>
          <w:rFonts w:ascii="楷体_GB2312" w:hAnsi="仿宋" w:eastAsia="楷体_GB2312"/>
          <w:color w:val="000000"/>
          <w:sz w:val="32"/>
          <w:szCs w:val="32"/>
        </w:rPr>
      </w:pPr>
      <w:r>
        <w:rPr>
          <w:rFonts w:hint="eastAsia" w:ascii="楷体_GB2312" w:hAnsi="仿宋" w:eastAsia="楷体_GB2312"/>
          <w:color w:val="000000"/>
          <w:sz w:val="32"/>
          <w:szCs w:val="32"/>
        </w:rPr>
        <w:t>（三）国有资产占有使用情况</w:t>
      </w:r>
    </w:p>
    <w:p>
      <w:pPr>
        <w:pStyle w:val="2"/>
        <w:spacing w:before="93"/>
        <w:ind w:firstLine="640" w:firstLineChars="200"/>
        <w:rPr>
          <w:rFonts w:hAnsi="仿宋"/>
          <w:color w:val="000000"/>
          <w:sz w:val="32"/>
          <w:szCs w:val="32"/>
        </w:rPr>
      </w:pPr>
      <w:r>
        <w:rPr>
          <w:rFonts w:hint="eastAsia" w:hAnsi="仿宋"/>
          <w:color w:val="000000"/>
          <w:sz w:val="32"/>
          <w:szCs w:val="32"/>
        </w:rPr>
        <w:t>截至</w:t>
      </w:r>
      <w:r>
        <w:rPr>
          <w:rFonts w:hAnsi="仿宋"/>
          <w:color w:val="000000"/>
          <w:sz w:val="32"/>
          <w:szCs w:val="32"/>
        </w:rPr>
        <w:t>2020</w:t>
      </w:r>
      <w:r>
        <w:rPr>
          <w:rFonts w:hint="eastAsia" w:hAnsi="仿宋"/>
          <w:color w:val="000000"/>
          <w:sz w:val="32"/>
          <w:szCs w:val="32"/>
        </w:rPr>
        <w:t>年</w:t>
      </w:r>
      <w:r>
        <w:rPr>
          <w:rFonts w:hAnsi="仿宋"/>
          <w:color w:val="000000"/>
          <w:sz w:val="32"/>
          <w:szCs w:val="32"/>
        </w:rPr>
        <w:t>12</w:t>
      </w:r>
      <w:r>
        <w:rPr>
          <w:rFonts w:hint="eastAsia" w:hAnsi="仿宋"/>
          <w:color w:val="000000"/>
          <w:sz w:val="32"/>
          <w:szCs w:val="32"/>
        </w:rPr>
        <w:t>月</w:t>
      </w:r>
      <w:r>
        <w:rPr>
          <w:rFonts w:hAnsi="仿宋"/>
          <w:color w:val="000000"/>
          <w:sz w:val="32"/>
          <w:szCs w:val="32"/>
        </w:rPr>
        <w:t>31</w:t>
      </w:r>
      <w:r>
        <w:rPr>
          <w:rFonts w:hint="eastAsia" w:hAnsi="仿宋"/>
          <w:color w:val="000000"/>
          <w:sz w:val="32"/>
          <w:szCs w:val="32"/>
        </w:rPr>
        <w:t>日，广元市应急管理科技信息中心共有车辆</w:t>
      </w:r>
      <w:r>
        <w:rPr>
          <w:rFonts w:hAnsi="仿宋"/>
          <w:color w:val="000000"/>
          <w:sz w:val="32"/>
          <w:szCs w:val="32"/>
        </w:rPr>
        <w:t>1</w:t>
      </w:r>
      <w:r>
        <w:rPr>
          <w:rFonts w:hint="eastAsia" w:hAnsi="仿宋"/>
          <w:color w:val="000000"/>
          <w:sz w:val="32"/>
          <w:szCs w:val="32"/>
        </w:rPr>
        <w:t>辆，其中：其他用车</w:t>
      </w:r>
      <w:r>
        <w:rPr>
          <w:rFonts w:hAnsi="仿宋"/>
          <w:color w:val="000000"/>
          <w:sz w:val="32"/>
          <w:szCs w:val="32"/>
        </w:rPr>
        <w:t>1</w:t>
      </w:r>
      <w:r>
        <w:rPr>
          <w:rFonts w:hint="eastAsia" w:hAnsi="仿宋"/>
          <w:color w:val="000000"/>
          <w:sz w:val="32"/>
          <w:szCs w:val="32"/>
        </w:rPr>
        <w:t>辆，其他用车主要是用于单位特种专业技术用车。单价</w:t>
      </w:r>
      <w:r>
        <w:rPr>
          <w:rFonts w:hAnsi="仿宋"/>
          <w:color w:val="000000"/>
          <w:sz w:val="32"/>
          <w:szCs w:val="32"/>
        </w:rPr>
        <w:t>50</w:t>
      </w:r>
      <w:r>
        <w:rPr>
          <w:rFonts w:hint="eastAsia" w:hAnsi="仿宋"/>
          <w:color w:val="000000"/>
          <w:sz w:val="32"/>
          <w:szCs w:val="32"/>
        </w:rPr>
        <w:t>万元以上通用设备</w:t>
      </w:r>
      <w:r>
        <w:rPr>
          <w:rFonts w:hAnsi="仿宋"/>
          <w:color w:val="000000"/>
          <w:sz w:val="32"/>
          <w:szCs w:val="32"/>
        </w:rPr>
        <w:t>0</w:t>
      </w:r>
      <w:r>
        <w:rPr>
          <w:rFonts w:hint="eastAsia" w:hAnsi="仿宋"/>
          <w:color w:val="000000"/>
          <w:sz w:val="32"/>
          <w:szCs w:val="32"/>
        </w:rPr>
        <w:t>台（套），单价</w:t>
      </w:r>
      <w:r>
        <w:rPr>
          <w:rFonts w:hAnsi="仿宋"/>
          <w:color w:val="000000"/>
          <w:sz w:val="32"/>
          <w:szCs w:val="32"/>
        </w:rPr>
        <w:t>100</w:t>
      </w:r>
      <w:r>
        <w:rPr>
          <w:rFonts w:hint="eastAsia" w:hAnsi="仿宋"/>
          <w:color w:val="000000"/>
          <w:sz w:val="32"/>
          <w:szCs w:val="32"/>
        </w:rPr>
        <w:t>万元以上专用设备</w:t>
      </w:r>
      <w:r>
        <w:rPr>
          <w:rFonts w:hAnsi="仿宋"/>
          <w:color w:val="000000"/>
          <w:sz w:val="32"/>
          <w:szCs w:val="32"/>
        </w:rPr>
        <w:t>0</w:t>
      </w:r>
      <w:r>
        <w:rPr>
          <w:rFonts w:hint="eastAsia" w:hAnsi="仿宋"/>
          <w:color w:val="000000"/>
          <w:sz w:val="32"/>
          <w:szCs w:val="32"/>
        </w:rPr>
        <w:t>台（套）。</w:t>
      </w:r>
    </w:p>
    <w:p>
      <w:pPr>
        <w:autoSpaceDE w:val="0"/>
        <w:autoSpaceDN w:val="0"/>
        <w:adjustRightInd w:val="0"/>
        <w:spacing w:line="600" w:lineRule="exact"/>
        <w:ind w:firstLine="640" w:firstLineChars="200"/>
        <w:jc w:val="left"/>
        <w:outlineLvl w:val="2"/>
        <w:rPr>
          <w:rFonts w:ascii="楷体_GB2312" w:hAnsi="仿宋" w:eastAsia="楷体_GB2312"/>
          <w:color w:val="000000"/>
          <w:sz w:val="32"/>
          <w:szCs w:val="32"/>
        </w:rPr>
      </w:pPr>
      <w:r>
        <w:rPr>
          <w:rFonts w:hint="eastAsia" w:ascii="楷体_GB2312" w:hAnsi="仿宋" w:eastAsia="楷体_GB2312"/>
          <w:color w:val="000000"/>
          <w:sz w:val="32"/>
          <w:szCs w:val="32"/>
        </w:rPr>
        <w:t>（四）预算绩效管理情况</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根据预算绩效管理要求，本单位在年初预算编制阶段，未开展预算事前绩效评估，对</w:t>
      </w:r>
      <w:r>
        <w:rPr>
          <w:rFonts w:ascii="仿宋_GB2312" w:hAnsi="仿宋" w:eastAsia="仿宋_GB2312"/>
          <w:color w:val="000000"/>
          <w:sz w:val="32"/>
          <w:szCs w:val="32"/>
        </w:rPr>
        <w:t>5</w:t>
      </w:r>
      <w:r>
        <w:rPr>
          <w:rFonts w:hint="eastAsia" w:ascii="仿宋_GB2312" w:hAnsi="仿宋" w:eastAsia="仿宋_GB2312"/>
          <w:color w:val="000000"/>
          <w:sz w:val="32"/>
          <w:szCs w:val="32"/>
        </w:rPr>
        <w:t>个项目编制了绩效目标，预算执行过程中，选取</w:t>
      </w:r>
      <w:r>
        <w:rPr>
          <w:rFonts w:ascii="仿宋_GB2312" w:hAnsi="仿宋" w:eastAsia="仿宋_GB2312"/>
          <w:color w:val="000000"/>
          <w:sz w:val="32"/>
          <w:szCs w:val="32"/>
        </w:rPr>
        <w:t>5</w:t>
      </w:r>
      <w:r>
        <w:rPr>
          <w:rFonts w:hint="eastAsia" w:ascii="仿宋_GB2312" w:hAnsi="仿宋" w:eastAsia="仿宋_GB2312"/>
          <w:color w:val="000000"/>
          <w:sz w:val="32"/>
          <w:szCs w:val="32"/>
        </w:rPr>
        <w:t>个项目开展绩效监控，年终执行完毕后，对</w:t>
      </w:r>
      <w:r>
        <w:rPr>
          <w:rFonts w:ascii="仿宋_GB2312" w:hAnsi="仿宋" w:eastAsia="仿宋_GB2312"/>
          <w:color w:val="000000"/>
          <w:sz w:val="32"/>
          <w:szCs w:val="32"/>
        </w:rPr>
        <w:t>5</w:t>
      </w:r>
      <w:r>
        <w:rPr>
          <w:rFonts w:hint="eastAsia" w:ascii="仿宋_GB2312" w:hAnsi="仿宋" w:eastAsia="仿宋_GB2312"/>
          <w:color w:val="000000"/>
          <w:sz w:val="32"/>
          <w:szCs w:val="32"/>
        </w:rPr>
        <w:t>个项目开展了绩效目标完成情况自评。</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本单位为二级事业单位</w:t>
      </w:r>
      <w:r>
        <w:rPr>
          <w:rFonts w:ascii="仿宋_GB2312" w:hAnsi="仿宋" w:eastAsia="仿宋_GB2312"/>
          <w:color w:val="000000"/>
          <w:sz w:val="32"/>
          <w:szCs w:val="32"/>
        </w:rPr>
        <w:t>,</w:t>
      </w:r>
      <w:r>
        <w:rPr>
          <w:rFonts w:hint="eastAsia" w:ascii="仿宋_GB2312" w:hAnsi="仿宋" w:eastAsia="仿宋_GB2312"/>
          <w:color w:val="000000"/>
          <w:sz w:val="32"/>
          <w:szCs w:val="32"/>
        </w:rPr>
        <w:t>未组织开展</w:t>
      </w:r>
      <w:r>
        <w:rPr>
          <w:rFonts w:ascii="仿宋_GB2312" w:hAnsi="仿宋" w:eastAsia="仿宋_GB2312"/>
          <w:color w:val="000000"/>
          <w:sz w:val="32"/>
          <w:szCs w:val="32"/>
        </w:rPr>
        <w:t>2020</w:t>
      </w:r>
      <w:r>
        <w:rPr>
          <w:rFonts w:hint="eastAsia" w:ascii="仿宋_GB2312" w:hAnsi="仿宋" w:eastAsia="仿宋_GB2312"/>
          <w:color w:val="000000"/>
          <w:sz w:val="32"/>
          <w:szCs w:val="32"/>
        </w:rPr>
        <w:t>年部门整体支出绩效评价，故暂不列示此项。</w:t>
      </w:r>
    </w:p>
    <w:p>
      <w:pPr>
        <w:pStyle w:val="2"/>
        <w:spacing w:before="93"/>
        <w:ind w:firstLine="640" w:firstLineChars="200"/>
        <w:rPr>
          <w:rFonts w:hAnsi="仿宋"/>
          <w:color w:val="000000"/>
          <w:sz w:val="32"/>
          <w:szCs w:val="32"/>
        </w:rPr>
      </w:pPr>
      <w:r>
        <w:rPr>
          <w:rFonts w:hAnsi="仿宋"/>
          <w:color w:val="000000"/>
          <w:sz w:val="32"/>
          <w:szCs w:val="32"/>
        </w:rPr>
        <w:t>1.</w:t>
      </w:r>
      <w:r>
        <w:rPr>
          <w:rFonts w:hint="eastAsia" w:hAnsi="仿宋"/>
          <w:color w:val="000000"/>
          <w:sz w:val="32"/>
          <w:szCs w:val="32"/>
        </w:rPr>
        <w:t>项目绩效目标完成情况。</w:t>
      </w:r>
    </w:p>
    <w:p>
      <w:pPr>
        <w:pStyle w:val="2"/>
        <w:spacing w:before="93"/>
        <w:ind w:firstLine="640" w:firstLineChars="200"/>
        <w:rPr>
          <w:rFonts w:hAnsi="仿宋"/>
          <w:color w:val="000000"/>
          <w:sz w:val="32"/>
          <w:szCs w:val="32"/>
        </w:rPr>
      </w:pPr>
      <w:r>
        <w:rPr>
          <w:rFonts w:hint="eastAsia" w:hAnsi="仿宋"/>
          <w:color w:val="000000"/>
          <w:sz w:val="32"/>
          <w:szCs w:val="32"/>
        </w:rPr>
        <w:t>本单位在</w:t>
      </w:r>
      <w:r>
        <w:rPr>
          <w:rFonts w:hAnsi="仿宋"/>
          <w:color w:val="000000"/>
          <w:sz w:val="32"/>
          <w:szCs w:val="32"/>
        </w:rPr>
        <w:t>2020</w:t>
      </w:r>
      <w:r>
        <w:rPr>
          <w:rFonts w:hint="eastAsia" w:hAnsi="仿宋"/>
          <w:color w:val="000000"/>
          <w:sz w:val="32"/>
          <w:szCs w:val="32"/>
        </w:rPr>
        <w:t>年度部门决算中反映“应急骨干网建设维护管理费”“应急管理、安全生产科技和信息化建设工作经费”“全市安全生产应急救援体系建设经费”等</w:t>
      </w:r>
      <w:r>
        <w:rPr>
          <w:rFonts w:hAnsi="仿宋"/>
          <w:color w:val="000000"/>
          <w:sz w:val="32"/>
          <w:szCs w:val="32"/>
        </w:rPr>
        <w:t>5</w:t>
      </w:r>
      <w:r>
        <w:rPr>
          <w:rFonts w:hint="eastAsia" w:hAnsi="仿宋"/>
          <w:color w:val="000000"/>
          <w:sz w:val="32"/>
          <w:szCs w:val="32"/>
        </w:rPr>
        <w:t>个项目，均执行完成。</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1</w:t>
      </w:r>
      <w:r>
        <w:rPr>
          <w:rFonts w:hint="eastAsia" w:ascii="仿宋_GB2312" w:hAnsi="仿宋" w:eastAsia="仿宋_GB2312"/>
          <w:color w:val="000000"/>
          <w:sz w:val="32"/>
          <w:szCs w:val="32"/>
        </w:rPr>
        <w:t>）应急骨干专网建设维护管理费项目绩效目标完成情况综述。项目全年预算数</w:t>
      </w:r>
      <w:r>
        <w:rPr>
          <w:rFonts w:ascii="仿宋_GB2312" w:hAnsi="仿宋" w:eastAsia="仿宋_GB2312"/>
          <w:color w:val="000000"/>
          <w:sz w:val="32"/>
          <w:szCs w:val="32"/>
        </w:rPr>
        <w:t>1</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1</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。通过项目实施，构建覆盖全国的指挥信息网的主体和核心，保障应急管理部开展应急指挥调度、协同会商、综合研判、监测预警和培训演练等关键业务。发现的主要问题：暂无。下一步改进措施：暂无。</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2</w:t>
      </w:r>
      <w:r>
        <w:rPr>
          <w:rFonts w:hint="eastAsia" w:ascii="仿宋_GB2312" w:hAnsi="仿宋" w:eastAsia="仿宋_GB2312"/>
          <w:color w:val="000000"/>
          <w:sz w:val="32"/>
          <w:szCs w:val="32"/>
        </w:rPr>
        <w:t>）应急管理、安全生产科技和信息化建设工作经费项目绩效目标完成情况综述。项目全年预算数</w:t>
      </w:r>
      <w:r>
        <w:rPr>
          <w:rFonts w:ascii="仿宋_GB2312" w:hAnsi="仿宋" w:eastAsia="仿宋_GB2312"/>
          <w:color w:val="000000"/>
          <w:sz w:val="32"/>
          <w:szCs w:val="32"/>
        </w:rPr>
        <w:t>2</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2</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。通过项目实施，保障承担市级应急管理、安全生产科技和信息化工作，指导各县区应急管理和信息化建设工作，指导行业企业的安全生产信息化建设工作。发现的主要问题：暂无。下一步改进措施：暂无。</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3</w:t>
      </w:r>
      <w:r>
        <w:rPr>
          <w:rFonts w:hint="eastAsia" w:ascii="仿宋_GB2312" w:hAnsi="仿宋" w:eastAsia="仿宋_GB2312"/>
          <w:color w:val="000000"/>
          <w:sz w:val="32"/>
          <w:szCs w:val="32"/>
        </w:rPr>
        <w:t>）全市安全生产应急援体系建设经费项目绩效目标完成情况综述。项目全年预算数</w:t>
      </w:r>
      <w:r>
        <w:rPr>
          <w:rFonts w:ascii="仿宋_GB2312" w:hAnsi="仿宋" w:eastAsia="仿宋_GB2312"/>
          <w:color w:val="000000"/>
          <w:sz w:val="32"/>
          <w:szCs w:val="32"/>
        </w:rPr>
        <w:t>1</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1</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。通过项目实施，对我市煤矿、非煤矿山、烟花爆竹、危险化学品等</w:t>
      </w:r>
      <w:r>
        <w:rPr>
          <w:rFonts w:ascii="仿宋_GB2312" w:hAnsi="仿宋" w:eastAsia="仿宋_GB2312"/>
          <w:color w:val="000000"/>
          <w:sz w:val="32"/>
          <w:szCs w:val="32"/>
        </w:rPr>
        <w:t>4</w:t>
      </w:r>
      <w:r>
        <w:rPr>
          <w:rFonts w:hint="eastAsia" w:ascii="仿宋_GB2312" w:hAnsi="仿宋" w:eastAsia="仿宋_GB2312"/>
          <w:color w:val="000000"/>
          <w:sz w:val="32"/>
          <w:szCs w:val="32"/>
        </w:rPr>
        <w:t>个专项预案进行修订，健全全市生产安全事故应急救援指挥体系，综合管理全市安全生产应急救援工作，组织重特大生产安全事故应急演练，调集有关应急救援力量和资源参加事故抢救，发布各类应急预警信息</w:t>
      </w:r>
      <w:r>
        <w:rPr>
          <w:rFonts w:ascii="仿宋_GB2312" w:hAnsi="仿宋" w:eastAsia="仿宋_GB2312"/>
          <w:color w:val="000000"/>
          <w:sz w:val="32"/>
          <w:szCs w:val="32"/>
        </w:rPr>
        <w:t>,</w:t>
      </w:r>
      <w:r>
        <w:rPr>
          <w:rFonts w:hint="eastAsia" w:ascii="仿宋_GB2312" w:hAnsi="仿宋" w:eastAsia="仿宋_GB2312"/>
          <w:color w:val="000000"/>
          <w:sz w:val="32"/>
          <w:szCs w:val="32"/>
        </w:rPr>
        <w:t>开展应急执法。发现的主要问题：暂无。下一步改进措施：暂无。</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4</w:t>
      </w:r>
      <w:r>
        <w:rPr>
          <w:rFonts w:hint="eastAsia" w:ascii="仿宋_GB2312" w:hAnsi="仿宋" w:eastAsia="仿宋_GB2312"/>
          <w:color w:val="000000"/>
          <w:sz w:val="32"/>
          <w:szCs w:val="32"/>
        </w:rPr>
        <w:t>）瓦斯远程监控平台运行经费绩效目标完成情况综述。项目全年预算数</w:t>
      </w:r>
      <w:r>
        <w:rPr>
          <w:rFonts w:ascii="仿宋_GB2312" w:hAnsi="仿宋" w:eastAsia="仿宋_GB2312"/>
          <w:color w:val="000000"/>
          <w:sz w:val="32"/>
          <w:szCs w:val="32"/>
        </w:rPr>
        <w:t>3.77</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3.77</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。通过项目实施，保障广元市煤矿瓦斯监控平台正常运行。发现的主要问题：暂无。下一步改进措施：暂无。</w:t>
      </w: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w:t>
      </w:r>
      <w:r>
        <w:rPr>
          <w:rFonts w:ascii="仿宋_GB2312" w:hAnsi="仿宋" w:eastAsia="仿宋_GB2312"/>
          <w:color w:val="000000"/>
          <w:sz w:val="32"/>
          <w:szCs w:val="32"/>
        </w:rPr>
        <w:t>5</w:t>
      </w:r>
      <w:r>
        <w:rPr>
          <w:rFonts w:hint="eastAsia" w:ascii="仿宋_GB2312" w:hAnsi="仿宋" w:eastAsia="仿宋_GB2312"/>
          <w:color w:val="000000"/>
          <w:sz w:val="32"/>
          <w:szCs w:val="32"/>
        </w:rPr>
        <w:t>）政府购买服务人员工资绩效目标完成情况综述。项目全年预算数</w:t>
      </w:r>
      <w:r>
        <w:rPr>
          <w:rFonts w:ascii="仿宋_GB2312" w:hAnsi="仿宋" w:eastAsia="仿宋_GB2312"/>
          <w:color w:val="000000"/>
          <w:sz w:val="32"/>
          <w:szCs w:val="32"/>
        </w:rPr>
        <w:t>10</w:t>
      </w:r>
      <w:r>
        <w:rPr>
          <w:rFonts w:hint="eastAsia" w:ascii="仿宋_GB2312" w:hAnsi="仿宋" w:eastAsia="仿宋_GB2312"/>
          <w:color w:val="000000"/>
          <w:sz w:val="32"/>
          <w:szCs w:val="32"/>
        </w:rPr>
        <w:t>万元，执行数为</w:t>
      </w:r>
      <w:r>
        <w:rPr>
          <w:rFonts w:ascii="仿宋_GB2312" w:hAnsi="仿宋" w:eastAsia="仿宋_GB2312"/>
          <w:color w:val="000000"/>
          <w:sz w:val="32"/>
          <w:szCs w:val="32"/>
        </w:rPr>
        <w:t>10</w:t>
      </w:r>
      <w:r>
        <w:rPr>
          <w:rFonts w:hint="eastAsia" w:ascii="仿宋_GB2312" w:hAnsi="仿宋" w:eastAsia="仿宋_GB2312"/>
          <w:color w:val="000000"/>
          <w:sz w:val="32"/>
          <w:szCs w:val="32"/>
        </w:rPr>
        <w:t>万元，完成预算的</w:t>
      </w:r>
      <w:r>
        <w:rPr>
          <w:rFonts w:ascii="仿宋_GB2312" w:hAnsi="仿宋" w:eastAsia="仿宋_GB2312"/>
          <w:color w:val="000000"/>
          <w:sz w:val="32"/>
          <w:szCs w:val="32"/>
        </w:rPr>
        <w:t>100%</w:t>
      </w:r>
      <w:r>
        <w:rPr>
          <w:rFonts w:hint="eastAsia" w:ascii="仿宋_GB2312" w:hAnsi="仿宋" w:eastAsia="仿宋_GB2312"/>
          <w:color w:val="000000"/>
          <w:sz w:val="32"/>
          <w:szCs w:val="32"/>
        </w:rPr>
        <w:t>。通过项目实施，效解决我中心监控平台人员薄弱的问题。发现的主要问题：暂无。下一步改进措施：暂无。</w:t>
      </w:r>
    </w:p>
    <w:p>
      <w:pPr>
        <w:pStyle w:val="2"/>
        <w:spacing w:before="93"/>
      </w:pPr>
    </w:p>
    <w:tbl>
      <w:tblPr>
        <w:tblStyle w:val="14"/>
        <w:tblpPr w:leftFromText="180" w:rightFromText="180" w:vertAnchor="text" w:horzAnchor="page" w:tblpXSpec="center" w:tblpY="423"/>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34" w:hRule="atLeast"/>
          <w:jc w:val="center"/>
        </w:trPr>
        <w:tc>
          <w:tcPr>
            <w:tcW w:w="9960" w:type="dxa"/>
            <w:gridSpan w:val="6"/>
            <w:tcBorders>
              <w:top w:val="nil"/>
              <w:left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应急骨干专网建设维护管理费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广元市应急管理科技信息中心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511"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159"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4784" w:type="dxa"/>
            <w:gridSpan w:val="3"/>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根据应急管理部（应急科信办</w:t>
            </w:r>
            <w:r>
              <w:rPr>
                <w:rFonts w:ascii="宋体" w:cs="宋体"/>
                <w:color w:val="000000"/>
                <w:sz w:val="24"/>
              </w:rPr>
              <w:t>[2019]1</w:t>
            </w:r>
            <w:r>
              <w:rPr>
                <w:rFonts w:hint="eastAsia" w:ascii="宋体" w:cs="宋体"/>
                <w:color w:val="000000"/>
                <w:sz w:val="24"/>
              </w:rPr>
              <w:t>号）文件要求，应急指挥骨干网是应急管理系统重要的信息化基础设施，是构建覆盖全国的指挥信息网的主体和核心，是应急管理部开展应急指挥调度、协同会商、综合研判、监测预警和培训演练等关键业务的重要载体。市级应急管理部门采用上联至省级应急管理部门方式进行纵向组网，同时市级应急管理部门需联系并接入对应层级消防支队节点进行强化组网。对于不具备上联组网条件的地市，可根据实际情况，市级应急管理部门联系并接入对应层级消防支队指挥信息网节点进行组网。市级应急管理部门接入指挥信息网链路由各单位自建。</w:t>
            </w:r>
          </w:p>
        </w:tc>
        <w:tc>
          <w:tcPr>
            <w:tcW w:w="4786" w:type="dxa"/>
            <w:gridSpan w:val="2"/>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初步完成市县应急信息网的搭建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953"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专网链路</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条</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297"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专网维护管理</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人</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r>
              <w:rPr>
                <w:rFonts w:hint="eastAsia" w:ascii="宋体" w:cs="宋体"/>
                <w:color w:val="00000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专网费</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万元一年</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万元一年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对应急工作的作用</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确保全市应急管理部门接入应急指挥网，开展应急指挥调度、协同会商、综合研判、监测预警和培训演练等关键业务的重要载体。</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确保全市应急管理部门接入应急指挥网，开展应急指挥调度、协同会商、综合研判、监测预警和培训演练等关键业务的重要载体。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应急骨干专网运行稳定</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r>
    </w:tbl>
    <w:p>
      <w:pPr>
        <w:pStyle w:val="2"/>
        <w:spacing w:before="93"/>
      </w:pPr>
    </w:p>
    <w:tbl>
      <w:tblPr>
        <w:tblStyle w:val="14"/>
        <w:tblpPr w:leftFromText="180" w:rightFromText="180" w:vertAnchor="text" w:horzAnchor="page" w:tblpXSpec="center" w:tblpY="423"/>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34" w:hRule="atLeast"/>
          <w:jc w:val="center"/>
        </w:trPr>
        <w:tc>
          <w:tcPr>
            <w:tcW w:w="9960" w:type="dxa"/>
            <w:gridSpan w:val="6"/>
            <w:tcBorders>
              <w:top w:val="nil"/>
              <w:left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应急管理、安全生产科技和信息化建设工作经费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广元市应急管理科技信息中心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511"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159"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4784" w:type="dxa"/>
            <w:gridSpan w:val="3"/>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根据广编办发</w:t>
            </w:r>
            <w:r>
              <w:rPr>
                <w:rFonts w:ascii="宋体" w:cs="宋体"/>
                <w:color w:val="000000"/>
                <w:sz w:val="24"/>
              </w:rPr>
              <w:t>[2019]89</w:t>
            </w:r>
            <w:r>
              <w:rPr>
                <w:rFonts w:hint="eastAsia" w:ascii="宋体" w:cs="宋体"/>
                <w:color w:val="000000"/>
                <w:sz w:val="24"/>
              </w:rPr>
              <w:t>号文件要求，广元市应急管理科技信息中心主要职责为：承担市级应急管理、安全生产科技和信息化工作，指导各县区应急管理和信息化建设工作，指导行业企业的安全生产信息化建设工作。</w:t>
            </w:r>
          </w:p>
        </w:tc>
        <w:tc>
          <w:tcPr>
            <w:tcW w:w="4786" w:type="dxa"/>
            <w:gridSpan w:val="2"/>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完成应急管理综合信息平台的采购，并于</w:t>
            </w:r>
            <w:r>
              <w:rPr>
                <w:rFonts w:ascii="宋体" w:cs="宋体"/>
                <w:color w:val="000000"/>
                <w:sz w:val="24"/>
              </w:rPr>
              <w:t>11</w:t>
            </w:r>
            <w:r>
              <w:rPr>
                <w:rFonts w:hint="eastAsia" w:ascii="宋体" w:cs="宋体"/>
                <w:color w:val="000000"/>
                <w:sz w:val="24"/>
              </w:rPr>
              <w:t>月完成项目初验。指导</w:t>
            </w:r>
            <w:r>
              <w:rPr>
                <w:rFonts w:ascii="宋体" w:cs="宋体"/>
                <w:color w:val="000000"/>
                <w:sz w:val="24"/>
              </w:rPr>
              <w:t>8</w:t>
            </w:r>
            <w:r>
              <w:rPr>
                <w:rFonts w:hint="eastAsia" w:ascii="宋体" w:cs="宋体"/>
                <w:color w:val="000000"/>
                <w:sz w:val="24"/>
              </w:rPr>
              <w:t>个县区完成应急管理和信息化建设工作。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953"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指导县区信息化平台建设</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w:t>
            </w:r>
            <w:r>
              <w:rPr>
                <w:rFonts w:hint="eastAsia" w:ascii="宋体" w:cs="宋体"/>
                <w:color w:val="000000"/>
                <w:sz w:val="24"/>
              </w:rPr>
              <w:t>个县区</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8</w:t>
            </w:r>
            <w:r>
              <w:rPr>
                <w:rFonts w:hint="eastAsia" w:ascii="宋体" w:cs="宋体"/>
                <w:color w:val="000000"/>
                <w:sz w:val="24"/>
              </w:rPr>
              <w:t>个县区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297"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指导企业信息化平台建设</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200</w:t>
            </w:r>
            <w:r>
              <w:rPr>
                <w:rFonts w:hint="eastAsia" w:ascii="宋体" w:cs="宋体"/>
                <w:color w:val="000000"/>
                <w:sz w:val="24"/>
              </w:rPr>
              <w:t>家</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200</w:t>
            </w:r>
            <w:r>
              <w:rPr>
                <w:rFonts w:hint="eastAsia" w:ascii="宋体" w:cs="宋体"/>
                <w:color w:val="000000"/>
                <w:sz w:val="24"/>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对全市应急管理、安全生产形势的作用</w:t>
            </w:r>
          </w:p>
        </w:tc>
        <w:tc>
          <w:tcPr>
            <w:tcW w:w="2394"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确保全市应急管理部门接入应急指挥网，开展应急指挥调度、协同会商、综合研判、监测预警和培训演练等关键业务的重要载体。</w:t>
            </w:r>
          </w:p>
        </w:tc>
        <w:tc>
          <w:tcPr>
            <w:tcW w:w="2392"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确保全市应急管理部门接入应急指挥网，开展应急指挥调度、协同会商、综合研判、监测预警和培训演练等关键业务的重要载体。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企业满意效率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r>
    </w:tbl>
    <w:p>
      <w:pPr>
        <w:pStyle w:val="2"/>
        <w:spacing w:before="93"/>
      </w:pPr>
    </w:p>
    <w:tbl>
      <w:tblPr>
        <w:tblStyle w:val="14"/>
        <w:tblpPr w:leftFromText="180" w:rightFromText="180" w:vertAnchor="text" w:horzAnchor="page" w:tblpXSpec="center" w:tblpY="423"/>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34" w:hRule="atLeast"/>
          <w:jc w:val="center"/>
        </w:trPr>
        <w:tc>
          <w:tcPr>
            <w:tcW w:w="9960" w:type="dxa"/>
            <w:gridSpan w:val="6"/>
            <w:tcBorders>
              <w:top w:val="nil"/>
              <w:left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全市安全生产应急救援体系建设经费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广元市应急管理科技信息中心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511"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159"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4784" w:type="dxa"/>
            <w:gridSpan w:val="3"/>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依据《安全生产法》、《四川省安全生产条例》等有关法律、法规，牵头组织相关部门、专家，对我市煤矿、非煤矿山、烟花爆竹、危险化学品等</w:t>
            </w:r>
            <w:r>
              <w:rPr>
                <w:rFonts w:ascii="宋体" w:cs="宋体"/>
                <w:color w:val="000000"/>
                <w:sz w:val="24"/>
              </w:rPr>
              <w:t>4</w:t>
            </w:r>
            <w:r>
              <w:rPr>
                <w:rFonts w:hint="eastAsia" w:ascii="宋体" w:cs="宋体"/>
                <w:color w:val="000000"/>
                <w:sz w:val="24"/>
              </w:rPr>
              <w:t>个专项预案进行修订，建立健全全市生产安全事故应急救援指挥体系，综合管理全市安全生产应急救援工作，组织重特大生产安全事故应急演练，调集有关应急救援力量和资源参加事故抢救，发布各类应急预警信息</w:t>
            </w:r>
            <w:r>
              <w:rPr>
                <w:rFonts w:ascii="宋体" w:cs="宋体"/>
                <w:color w:val="000000"/>
                <w:sz w:val="24"/>
              </w:rPr>
              <w:t>,</w:t>
            </w:r>
            <w:r>
              <w:rPr>
                <w:rFonts w:hint="eastAsia" w:ascii="宋体" w:cs="宋体"/>
                <w:color w:val="000000"/>
                <w:sz w:val="24"/>
              </w:rPr>
              <w:t>开展应急执法。</w:t>
            </w:r>
          </w:p>
        </w:tc>
        <w:tc>
          <w:tcPr>
            <w:tcW w:w="4786" w:type="dxa"/>
            <w:gridSpan w:val="2"/>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配合组织相关部门、专家，对我市煤矿、非煤矿山、烟花爆竹、危险化学品等</w:t>
            </w:r>
            <w:r>
              <w:rPr>
                <w:rFonts w:ascii="宋体" w:cs="宋体"/>
                <w:color w:val="000000"/>
                <w:sz w:val="24"/>
              </w:rPr>
              <w:t>4</w:t>
            </w:r>
            <w:r>
              <w:rPr>
                <w:rFonts w:hint="eastAsia" w:ascii="宋体" w:cs="宋体"/>
                <w:color w:val="000000"/>
                <w:sz w:val="24"/>
              </w:rPr>
              <w:t>个专项预案进行修订，建立健全全市生产安全事故应急救援指挥体系。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953"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修订专项预案</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个</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297"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组织演练</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次</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4</w:t>
            </w:r>
            <w:r>
              <w:rPr>
                <w:rFonts w:hint="eastAsia" w:ascii="宋体" w:cs="宋体"/>
                <w:color w:val="000000"/>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4000</w:t>
            </w:r>
            <w:r>
              <w:rPr>
                <w:rFonts w:hint="eastAsia" w:ascii="宋体" w:cs="宋体"/>
                <w:color w:val="000000"/>
                <w:sz w:val="24"/>
              </w:rPr>
              <w:t>元、个</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4000</w:t>
            </w:r>
            <w:r>
              <w:rPr>
                <w:rFonts w:hint="eastAsia" w:ascii="宋体" w:cs="宋体"/>
                <w:color w:val="000000"/>
                <w:sz w:val="24"/>
              </w:rPr>
              <w:t>元、个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组织演练</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1.1</w:t>
            </w:r>
            <w:r>
              <w:rPr>
                <w:rFonts w:hint="eastAsia" w:ascii="宋体" w:cs="宋体"/>
                <w:color w:val="000000"/>
                <w:sz w:val="24"/>
              </w:rPr>
              <w:t>万元、次</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1.1</w:t>
            </w:r>
            <w:r>
              <w:rPr>
                <w:rFonts w:hint="eastAsia" w:ascii="宋体" w:cs="宋体"/>
                <w:color w:val="000000"/>
                <w:sz w:val="24"/>
              </w:rPr>
              <w:t>万元、次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对全市安全生产应急救援工作的作用</w:t>
            </w:r>
          </w:p>
        </w:tc>
        <w:tc>
          <w:tcPr>
            <w:tcW w:w="2394"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有针对性的组织重特大事故应急演练，提升全市安全生产应急能力应急救援能力。</w:t>
            </w:r>
          </w:p>
        </w:tc>
        <w:tc>
          <w:tcPr>
            <w:tcW w:w="2392"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有针对性的组织重特大事故应急演练，提升全市安全生产应急能力应急救援能力。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健全全市生产安全事故应急救援指标体系</w:t>
            </w:r>
          </w:p>
        </w:tc>
        <w:tc>
          <w:tcPr>
            <w:tcW w:w="2394"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提升全市安全生产事故救援处置与协调能力。</w:t>
            </w:r>
          </w:p>
        </w:tc>
        <w:tc>
          <w:tcPr>
            <w:tcW w:w="2392"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提升全市安全生产事故救援处置与协调能力。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重点行业应急预案编制率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r>
    </w:tbl>
    <w:p>
      <w:pPr>
        <w:pStyle w:val="2"/>
        <w:spacing w:before="93"/>
      </w:pPr>
    </w:p>
    <w:tbl>
      <w:tblPr>
        <w:tblStyle w:val="14"/>
        <w:tblpPr w:leftFromText="180" w:rightFromText="180" w:vertAnchor="text" w:horzAnchor="page" w:tblpXSpec="center" w:tblpY="423"/>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34" w:hRule="atLeast"/>
          <w:jc w:val="center"/>
        </w:trPr>
        <w:tc>
          <w:tcPr>
            <w:tcW w:w="9960" w:type="dxa"/>
            <w:gridSpan w:val="6"/>
            <w:tcBorders>
              <w:top w:val="nil"/>
              <w:left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瓦斯远程监控平台运行经费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广元市应急管理科技信息中心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3.77</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3.77</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511"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159"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4784" w:type="dxa"/>
            <w:gridSpan w:val="3"/>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我市于</w:t>
            </w:r>
            <w:r>
              <w:rPr>
                <w:rFonts w:ascii="宋体" w:cs="宋体"/>
                <w:color w:val="000000"/>
                <w:sz w:val="24"/>
              </w:rPr>
              <w:t>2006</w:t>
            </w:r>
            <w:r>
              <w:rPr>
                <w:rFonts w:hint="eastAsia" w:ascii="宋体" w:cs="宋体"/>
                <w:color w:val="000000"/>
                <w:sz w:val="24"/>
              </w:rPr>
              <w:t>年建有瓦斯远程监控平台，聘请了</w:t>
            </w:r>
            <w:r>
              <w:rPr>
                <w:rFonts w:ascii="宋体" w:cs="宋体"/>
                <w:color w:val="000000"/>
                <w:sz w:val="24"/>
              </w:rPr>
              <w:t>8</w:t>
            </w:r>
            <w:r>
              <w:rPr>
                <w:rFonts w:hint="eastAsia" w:ascii="宋体" w:cs="宋体"/>
                <w:color w:val="000000"/>
                <w:sz w:val="24"/>
              </w:rPr>
              <w:t>名有资质的专业技术人员，对全市煤矿的瓦斯进行远程监控。根据市政府的领导批示，该瓦斯监控平台运行所需费用按年度列入预算。</w:t>
            </w:r>
          </w:p>
        </w:tc>
        <w:tc>
          <w:tcPr>
            <w:tcW w:w="4786" w:type="dxa"/>
            <w:gridSpan w:val="2"/>
            <w:tcMar>
              <w:top w:w="15" w:type="dxa"/>
              <w:left w:w="15" w:type="dxa"/>
              <w:right w:w="15" w:type="dxa"/>
            </w:tcMar>
            <w:vAlign w:val="center"/>
          </w:tcPr>
          <w:p>
            <w:pPr>
              <w:widowControl/>
              <w:textAlignment w:val="center"/>
              <w:rPr>
                <w:rFonts w:ascii="宋体" w:cs="宋体"/>
                <w:color w:val="000000"/>
                <w:sz w:val="24"/>
              </w:rPr>
            </w:pPr>
            <w:r>
              <w:rPr>
                <w:rFonts w:ascii="宋体" w:cs="宋体"/>
                <w:color w:val="000000"/>
                <w:sz w:val="24"/>
              </w:rPr>
              <w:t>3</w:t>
            </w:r>
            <w:r>
              <w:rPr>
                <w:rFonts w:hint="eastAsia" w:ascii="宋体" w:cs="宋体"/>
                <w:color w:val="000000"/>
                <w:sz w:val="24"/>
              </w:rPr>
              <w:t>名工作人员完成瓦斯远程监控平台值守、突发事件协调等年度目标任务。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953"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聘用人员</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个</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r>
              <w:rPr>
                <w:rFonts w:hint="eastAsia" w:ascii="宋体" w:cs="宋体"/>
                <w:color w:val="000000"/>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297"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三级报警外置率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时效指标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监控时间</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w:t>
            </w:r>
            <w:r>
              <w:rPr>
                <w:rFonts w:ascii="宋体" w:cs="宋体"/>
                <w:color w:val="000000"/>
                <w:sz w:val="24"/>
              </w:rPr>
              <w:t>365</w:t>
            </w:r>
            <w:r>
              <w:rPr>
                <w:rFonts w:hint="eastAsia" w:ascii="宋体" w:cs="宋体"/>
                <w:color w:val="000000"/>
                <w:sz w:val="24"/>
              </w:rPr>
              <w:t>天</w:t>
            </w:r>
            <w:r>
              <w:rPr>
                <w:rFonts w:ascii="宋体" w:cs="宋体"/>
                <w:color w:val="000000"/>
                <w:sz w:val="24"/>
              </w:rPr>
              <w:t>24</w:t>
            </w:r>
            <w:r>
              <w:rPr>
                <w:rFonts w:hint="eastAsia" w:ascii="宋体" w:cs="宋体"/>
                <w:color w:val="000000"/>
                <w:sz w:val="24"/>
              </w:rPr>
              <w:t>小时</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全年</w:t>
            </w:r>
            <w:r>
              <w:rPr>
                <w:rFonts w:ascii="宋体" w:cs="宋体"/>
                <w:color w:val="000000"/>
                <w:sz w:val="24"/>
              </w:rPr>
              <w:t>365</w:t>
            </w:r>
            <w:r>
              <w:rPr>
                <w:rFonts w:hint="eastAsia" w:ascii="宋体" w:cs="宋体"/>
                <w:color w:val="000000"/>
                <w:sz w:val="24"/>
              </w:rPr>
              <w:t>天</w:t>
            </w:r>
            <w:r>
              <w:rPr>
                <w:rFonts w:ascii="宋体" w:cs="宋体"/>
                <w:color w:val="000000"/>
                <w:sz w:val="24"/>
              </w:rPr>
              <w:t>24</w:t>
            </w:r>
            <w:r>
              <w:rPr>
                <w:rFonts w:hint="eastAsia" w:ascii="宋体" w:cs="宋体"/>
                <w:color w:val="000000"/>
                <w:sz w:val="24"/>
              </w:rPr>
              <w:t>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成本指标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监控主机及配件维护费</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万元一年</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w:t>
            </w:r>
            <w:r>
              <w:rPr>
                <w:rFonts w:hint="eastAsia" w:ascii="宋体" w:cs="宋体"/>
                <w:color w:val="000000"/>
                <w:sz w:val="24"/>
              </w:rPr>
              <w:t>万元一年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经济效益指标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保证全市煤矿企业瓦斯数据超标得到处置</w:t>
            </w:r>
          </w:p>
        </w:tc>
        <w:tc>
          <w:tcPr>
            <w:tcW w:w="2394"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保证</w:t>
            </w:r>
            <w:r>
              <w:rPr>
                <w:rFonts w:ascii="宋体" w:cs="宋体"/>
                <w:color w:val="000000"/>
                <w:sz w:val="24"/>
              </w:rPr>
              <w:t>47</w:t>
            </w:r>
            <w:r>
              <w:rPr>
                <w:rFonts w:hint="eastAsia" w:ascii="宋体" w:cs="宋体"/>
                <w:color w:val="000000"/>
                <w:sz w:val="24"/>
              </w:rPr>
              <w:t>家煤矿正常运行。</w:t>
            </w:r>
          </w:p>
        </w:tc>
        <w:tc>
          <w:tcPr>
            <w:tcW w:w="2392"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保证</w:t>
            </w:r>
            <w:r>
              <w:rPr>
                <w:rFonts w:ascii="宋体" w:cs="宋体"/>
                <w:color w:val="000000"/>
                <w:sz w:val="24"/>
              </w:rPr>
              <w:t>47</w:t>
            </w:r>
            <w:r>
              <w:rPr>
                <w:rFonts w:hint="eastAsia" w:ascii="宋体" w:cs="宋体"/>
                <w:color w:val="000000"/>
                <w:sz w:val="24"/>
              </w:rPr>
              <w:t>家煤矿正常运行。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煤矿企业满意率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r>
    </w:tbl>
    <w:p>
      <w:pPr>
        <w:pStyle w:val="2"/>
        <w:spacing w:before="93"/>
      </w:pPr>
    </w:p>
    <w:tbl>
      <w:tblPr>
        <w:tblStyle w:val="14"/>
        <w:tblpPr w:leftFromText="180" w:rightFromText="180" w:vertAnchor="text" w:horzAnchor="page" w:tblpXSpec="center" w:tblpY="423"/>
        <w:tblOverlap w:val="never"/>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34" w:hRule="atLeast"/>
          <w:jc w:val="center"/>
        </w:trPr>
        <w:tc>
          <w:tcPr>
            <w:tcW w:w="9960" w:type="dxa"/>
            <w:gridSpan w:val="6"/>
            <w:tcBorders>
              <w:top w:val="nil"/>
              <w:left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政府购买服务人员工资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2782"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广元市应急管理科技信息中心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511"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2392"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0</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Mar>
              <w:top w:w="15" w:type="dxa"/>
              <w:left w:w="15" w:type="dxa"/>
              <w:right w:w="15" w:type="dxa"/>
            </w:tcMar>
            <w:vAlign w:val="center"/>
          </w:tcPr>
          <w:p>
            <w:pPr>
              <w:jc w:val="center"/>
              <w:rPr>
                <w:rFonts w:ascii="宋体" w:cs="宋体"/>
                <w:color w:val="000000"/>
                <w:sz w:val="24"/>
              </w:rPr>
            </w:pPr>
            <w:r>
              <w:rPr>
                <w:rFonts w:ascii="宋体" w:cs="宋体"/>
                <w:color w:val="00000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276"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159" w:hRule="atLeast"/>
          <w:jc w:val="center"/>
        </w:trPr>
        <w:tc>
          <w:tcPr>
            <w:tcW w:w="390" w:type="dxa"/>
            <w:vMerge w:val="continue"/>
            <w:tcMar>
              <w:top w:w="15" w:type="dxa"/>
              <w:left w:w="15" w:type="dxa"/>
              <w:right w:w="15" w:type="dxa"/>
            </w:tcMar>
            <w:vAlign w:val="center"/>
          </w:tcPr>
          <w:p>
            <w:pPr>
              <w:jc w:val="center"/>
              <w:rPr>
                <w:rFonts w:ascii="宋体" w:cs="宋体"/>
                <w:color w:val="000000"/>
                <w:sz w:val="24"/>
              </w:rPr>
            </w:pPr>
          </w:p>
        </w:tc>
        <w:tc>
          <w:tcPr>
            <w:tcW w:w="4784" w:type="dxa"/>
            <w:gridSpan w:val="3"/>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自</w:t>
            </w:r>
            <w:r>
              <w:rPr>
                <w:rFonts w:ascii="宋体" w:cs="宋体"/>
                <w:color w:val="000000"/>
                <w:sz w:val="24"/>
              </w:rPr>
              <w:t>2016</w:t>
            </w:r>
            <w:r>
              <w:rPr>
                <w:rFonts w:hint="eastAsia" w:ascii="宋体" w:cs="宋体"/>
                <w:color w:val="000000"/>
                <w:sz w:val="24"/>
              </w:rPr>
              <w:t>年</w:t>
            </w:r>
            <w:r>
              <w:rPr>
                <w:rFonts w:ascii="宋体" w:cs="宋体"/>
                <w:color w:val="000000"/>
                <w:sz w:val="24"/>
              </w:rPr>
              <w:t>5</w:t>
            </w:r>
            <w:r>
              <w:rPr>
                <w:rFonts w:hint="eastAsia" w:ascii="宋体" w:cs="宋体"/>
                <w:color w:val="000000"/>
                <w:sz w:val="24"/>
              </w:rPr>
              <w:t>月</w:t>
            </w:r>
            <w:r>
              <w:rPr>
                <w:rFonts w:ascii="宋体" w:cs="宋体"/>
                <w:color w:val="000000"/>
                <w:sz w:val="24"/>
              </w:rPr>
              <w:t>1</w:t>
            </w:r>
            <w:r>
              <w:rPr>
                <w:rFonts w:hint="eastAsia" w:ascii="宋体" w:cs="宋体"/>
                <w:color w:val="000000"/>
                <w:sz w:val="24"/>
              </w:rPr>
              <w:t>日起将</w:t>
            </w:r>
            <w:r>
              <w:rPr>
                <w:rFonts w:ascii="宋体" w:cs="宋体"/>
                <w:color w:val="000000"/>
                <w:sz w:val="24"/>
              </w:rPr>
              <w:t>6</w:t>
            </w:r>
            <w:r>
              <w:rPr>
                <w:rFonts w:hint="eastAsia" w:ascii="宋体" w:cs="宋体"/>
                <w:color w:val="000000"/>
                <w:sz w:val="24"/>
              </w:rPr>
              <w:t>名政府购买服务岗位人员经费纳入市安监局，每人</w:t>
            </w:r>
            <w:r>
              <w:rPr>
                <w:rFonts w:ascii="宋体" w:cs="宋体"/>
                <w:color w:val="000000"/>
                <w:sz w:val="24"/>
              </w:rPr>
              <w:t>3.3</w:t>
            </w:r>
            <w:r>
              <w:rPr>
                <w:rFonts w:hint="eastAsia" w:ascii="宋体" w:cs="宋体"/>
                <w:color w:val="000000"/>
                <w:sz w:val="24"/>
              </w:rPr>
              <w:t>万元</w:t>
            </w:r>
            <w:r>
              <w:rPr>
                <w:rFonts w:ascii="宋体" w:cs="宋体"/>
                <w:color w:val="000000"/>
                <w:sz w:val="24"/>
              </w:rPr>
              <w:t>/</w:t>
            </w:r>
            <w:r>
              <w:rPr>
                <w:rFonts w:hint="eastAsia" w:ascii="宋体" w:cs="宋体"/>
                <w:color w:val="000000"/>
                <w:sz w:val="24"/>
              </w:rPr>
              <w:t>年，为有效解决我中心监控平台人员薄弱的问题，局党组决定自</w:t>
            </w:r>
            <w:r>
              <w:rPr>
                <w:rFonts w:ascii="宋体" w:cs="宋体"/>
                <w:color w:val="000000"/>
                <w:sz w:val="24"/>
              </w:rPr>
              <w:t>2018</w:t>
            </w:r>
            <w:r>
              <w:rPr>
                <w:rFonts w:hint="eastAsia" w:ascii="宋体" w:cs="宋体"/>
                <w:color w:val="000000"/>
                <w:sz w:val="24"/>
              </w:rPr>
              <w:t>年</w:t>
            </w:r>
            <w:r>
              <w:rPr>
                <w:rFonts w:ascii="宋体" w:cs="宋体"/>
                <w:color w:val="000000"/>
                <w:sz w:val="24"/>
              </w:rPr>
              <w:t>1</w:t>
            </w:r>
            <w:r>
              <w:rPr>
                <w:rFonts w:hint="eastAsia" w:ascii="宋体" w:cs="宋体"/>
                <w:color w:val="000000"/>
                <w:sz w:val="24"/>
              </w:rPr>
              <w:t>月</w:t>
            </w:r>
            <w:r>
              <w:rPr>
                <w:rFonts w:ascii="宋体" w:cs="宋体"/>
                <w:color w:val="000000"/>
                <w:sz w:val="24"/>
              </w:rPr>
              <w:t>1</w:t>
            </w:r>
            <w:r>
              <w:rPr>
                <w:rFonts w:hint="eastAsia" w:ascii="宋体" w:cs="宋体"/>
                <w:color w:val="000000"/>
                <w:sz w:val="24"/>
              </w:rPr>
              <w:t>日起将</w:t>
            </w:r>
            <w:r>
              <w:rPr>
                <w:rFonts w:ascii="宋体" w:cs="宋体"/>
                <w:color w:val="000000"/>
                <w:sz w:val="24"/>
              </w:rPr>
              <w:t>3</w:t>
            </w:r>
            <w:r>
              <w:rPr>
                <w:rFonts w:hint="eastAsia" w:ascii="宋体" w:cs="宋体"/>
                <w:color w:val="000000"/>
                <w:sz w:val="24"/>
              </w:rPr>
              <w:t>名政府购买服务人员调入我中心。</w:t>
            </w:r>
          </w:p>
        </w:tc>
        <w:tc>
          <w:tcPr>
            <w:tcW w:w="4786" w:type="dxa"/>
            <w:gridSpan w:val="2"/>
            <w:tcMar>
              <w:top w:w="15" w:type="dxa"/>
              <w:left w:w="15" w:type="dxa"/>
              <w:right w:w="15" w:type="dxa"/>
            </w:tcMar>
            <w:vAlign w:val="center"/>
          </w:tcPr>
          <w:p>
            <w:pPr>
              <w:widowControl/>
              <w:textAlignment w:val="center"/>
              <w:rPr>
                <w:rFonts w:ascii="宋体" w:cs="宋体"/>
                <w:color w:val="000000"/>
                <w:sz w:val="24"/>
              </w:rPr>
            </w:pPr>
            <w:r>
              <w:rPr>
                <w:rFonts w:ascii="宋体" w:cs="宋体"/>
                <w:color w:val="000000"/>
                <w:sz w:val="24"/>
              </w:rPr>
              <w:t>3</w:t>
            </w:r>
            <w:r>
              <w:rPr>
                <w:rFonts w:hint="eastAsia" w:ascii="宋体" w:cs="宋体"/>
                <w:color w:val="000000"/>
                <w:sz w:val="24"/>
              </w:rPr>
              <w:t>名工作人员完成瓦斯远程监控平台值守、突发事件协调等年度目标任务。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restart"/>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953"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政府购买服务人员人数</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297"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工资</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r>
              <w:rPr>
                <w:rFonts w:hint="eastAsia" w:ascii="宋体" w:cs="宋体"/>
                <w:color w:val="000000"/>
                <w:sz w:val="24"/>
              </w:rPr>
              <w:t>万元一年</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10</w:t>
            </w:r>
            <w:r>
              <w:rPr>
                <w:rFonts w:hint="eastAsia" w:ascii="宋体" w:cs="宋体"/>
                <w:color w:val="000000"/>
                <w:sz w:val="24"/>
              </w:rPr>
              <w:t>万元一年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效益指标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对工作的促进作用</w:t>
            </w:r>
          </w:p>
        </w:tc>
        <w:tc>
          <w:tcPr>
            <w:tcW w:w="2394"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保证政府购买人员工作经费到位，保进工作效率提升。</w:t>
            </w:r>
          </w:p>
        </w:tc>
        <w:tc>
          <w:tcPr>
            <w:tcW w:w="2392" w:type="dxa"/>
            <w:tcMar>
              <w:top w:w="15" w:type="dxa"/>
              <w:left w:w="15" w:type="dxa"/>
              <w:right w:w="15" w:type="dxa"/>
            </w:tcMar>
            <w:vAlign w:val="center"/>
          </w:tcPr>
          <w:p>
            <w:pPr>
              <w:widowControl/>
              <w:textAlignment w:val="center"/>
              <w:rPr>
                <w:rFonts w:ascii="宋体" w:cs="宋体"/>
                <w:color w:val="000000"/>
                <w:sz w:val="24"/>
              </w:rPr>
            </w:pPr>
            <w:r>
              <w:rPr>
                <w:rFonts w:hint="eastAsia" w:ascii="宋体" w:cs="宋体"/>
                <w:color w:val="000000"/>
                <w:sz w:val="24"/>
              </w:rPr>
              <w:t>保证政府购买人员工作经费到位，保进工作效率提升。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000000" w:sz="4" w:space="0"/>
          </w:tblBorders>
          <w:tblCellMar>
            <w:top w:w="0" w:type="dxa"/>
            <w:left w:w="0" w:type="dxa"/>
            <w:bottom w:w="0" w:type="dxa"/>
            <w:right w:w="0" w:type="dxa"/>
          </w:tblCellMar>
        </w:tblPrEx>
        <w:trPr>
          <w:trHeight w:val="1042" w:hRule="atLeast"/>
          <w:jc w:val="center"/>
        </w:trPr>
        <w:tc>
          <w:tcPr>
            <w:tcW w:w="390" w:type="dxa"/>
            <w:vMerge w:val="continue"/>
            <w:tcMar>
              <w:top w:w="15" w:type="dxa"/>
              <w:left w:w="15" w:type="dxa"/>
              <w:right w:w="15" w:type="dxa"/>
            </w:tcMar>
            <w:vAlign w:val="center"/>
          </w:tcPr>
          <w:p>
            <w:pPr>
              <w:widowControl/>
              <w:jc w:val="center"/>
              <w:textAlignment w:val="center"/>
              <w:rPr>
                <w:rFonts w:ascii="宋体" w:cs="宋体"/>
                <w:color w:val="000000"/>
                <w:sz w:val="24"/>
              </w:rPr>
            </w:pPr>
          </w:p>
        </w:tc>
        <w:tc>
          <w:tcPr>
            <w:tcW w:w="1367"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服务对象</w:t>
            </w:r>
          </w:p>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工作人员满意度</w:t>
            </w:r>
          </w:p>
        </w:tc>
        <w:tc>
          <w:tcPr>
            <w:tcW w:w="2394"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c>
          <w:tcPr>
            <w:tcW w:w="2392" w:type="dxa"/>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w:t>
            </w:r>
            <w:r>
              <w:rPr>
                <w:rFonts w:ascii="宋体" w:cs="宋体"/>
                <w:color w:val="000000"/>
                <w:sz w:val="24"/>
              </w:rPr>
              <w:t>100</w:t>
            </w:r>
          </w:p>
        </w:tc>
      </w:tr>
    </w:tbl>
    <w:p>
      <w:pPr>
        <w:pStyle w:val="2"/>
        <w:spacing w:before="93" w:line="576" w:lineRule="exact"/>
        <w:ind w:firstLine="640" w:firstLineChars="200"/>
        <w:rPr>
          <w:rFonts w:hAnsi="仿宋"/>
          <w:color w:val="000000"/>
          <w:sz w:val="32"/>
          <w:szCs w:val="32"/>
        </w:rPr>
      </w:pPr>
      <w:r>
        <w:rPr>
          <w:rFonts w:hAnsi="仿宋"/>
          <w:color w:val="000000"/>
          <w:sz w:val="32"/>
          <w:szCs w:val="32"/>
        </w:rPr>
        <w:t>2.</w:t>
      </w:r>
      <w:r>
        <w:rPr>
          <w:rFonts w:hint="eastAsia" w:hAnsi="仿宋"/>
          <w:color w:val="000000"/>
          <w:sz w:val="32"/>
          <w:szCs w:val="32"/>
        </w:rPr>
        <w:t>部门绩效评价结果。</w:t>
      </w:r>
    </w:p>
    <w:p>
      <w:pPr>
        <w:spacing w:line="576"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本单位为二级事业单位</w:t>
      </w:r>
      <w:r>
        <w:rPr>
          <w:rFonts w:ascii="仿宋_GB2312" w:hAnsi="仿宋" w:eastAsia="仿宋_GB2312"/>
          <w:color w:val="000000"/>
          <w:sz w:val="32"/>
          <w:szCs w:val="32"/>
        </w:rPr>
        <w:t>,</w:t>
      </w:r>
      <w:r>
        <w:rPr>
          <w:rFonts w:hint="eastAsia" w:ascii="仿宋_GB2312" w:hAnsi="仿宋" w:eastAsia="仿宋_GB2312"/>
          <w:color w:val="000000"/>
          <w:sz w:val="32"/>
          <w:szCs w:val="32"/>
        </w:rPr>
        <w:t>未组织开展</w:t>
      </w:r>
      <w:r>
        <w:rPr>
          <w:rFonts w:ascii="仿宋_GB2312" w:hAnsi="仿宋" w:eastAsia="仿宋_GB2312"/>
          <w:color w:val="000000"/>
          <w:sz w:val="32"/>
          <w:szCs w:val="32"/>
        </w:rPr>
        <w:t>2020</w:t>
      </w:r>
      <w:r>
        <w:rPr>
          <w:rFonts w:hint="eastAsia" w:ascii="仿宋_GB2312" w:hAnsi="仿宋" w:eastAsia="仿宋_GB2312"/>
          <w:color w:val="000000"/>
          <w:sz w:val="32"/>
          <w:szCs w:val="32"/>
        </w:rPr>
        <w:t>年部门整体支出绩效评价，故暂不列示此项。</w:t>
      </w:r>
    </w:p>
    <w:p>
      <w:pPr>
        <w:spacing w:line="580" w:lineRule="exact"/>
        <w:jc w:val="center"/>
        <w:rPr>
          <w:rFonts w:ascii="方正小标宋_GBK" w:hAnsi="黑体" w:eastAsia="方正小标宋_GBK"/>
          <w:color w:val="000000"/>
          <w:sz w:val="44"/>
          <w:szCs w:val="44"/>
        </w:rPr>
      </w:pPr>
      <w:r>
        <w:rPr>
          <w:rFonts w:eastAsia="仿宋"/>
          <w:sz w:val="32"/>
          <w:szCs w:val="32"/>
        </w:rPr>
        <w:br w:type="page"/>
      </w:r>
      <w:bookmarkStart w:id="82" w:name="_Toc15377225"/>
      <w:bookmarkStart w:id="83" w:name="_Toc30702"/>
      <w:bookmarkStart w:id="84" w:name="_Toc82164270"/>
      <w:bookmarkStart w:id="85" w:name="_Toc82163059"/>
      <w:bookmarkStart w:id="86" w:name="_Toc15396613"/>
      <w:bookmarkStart w:id="87" w:name="_Toc80371192"/>
      <w:r>
        <w:rPr>
          <w:rFonts w:hint="eastAsia" w:ascii="方正小标宋_GBK" w:hAnsi="黑体" w:eastAsia="方正小标宋_GBK"/>
          <w:color w:val="000000"/>
          <w:sz w:val="44"/>
          <w:szCs w:val="44"/>
        </w:rPr>
        <w:t>第三部分</w:t>
      </w:r>
      <w:r>
        <w:rPr>
          <w:rFonts w:ascii="方正小标宋_GBK" w:hAnsi="黑体" w:eastAsia="方正小标宋_GBK"/>
          <w:color w:val="000000"/>
          <w:sz w:val="44"/>
          <w:szCs w:val="44"/>
        </w:rPr>
        <w:t xml:space="preserve"> </w:t>
      </w:r>
      <w:r>
        <w:rPr>
          <w:rFonts w:hint="eastAsia" w:ascii="方正小标宋_GBK" w:hAnsi="黑体" w:eastAsia="方正小标宋_GBK"/>
          <w:color w:val="000000"/>
          <w:sz w:val="44"/>
          <w:szCs w:val="44"/>
        </w:rPr>
        <w:t>名词解释</w:t>
      </w:r>
      <w:bookmarkEnd w:id="82"/>
      <w:bookmarkEnd w:id="83"/>
      <w:bookmarkEnd w:id="84"/>
      <w:bookmarkEnd w:id="85"/>
      <w:bookmarkEnd w:id="86"/>
      <w:bookmarkEnd w:id="87"/>
    </w:p>
    <w:p>
      <w:pPr>
        <w:spacing w:line="576" w:lineRule="exact"/>
        <w:jc w:val="left"/>
        <w:rPr>
          <w:rFonts w:eastAsia="仿宋"/>
          <w:sz w:val="32"/>
          <w:szCs w:val="32"/>
        </w:rPr>
      </w:pPr>
    </w:p>
    <w:p>
      <w:pPr>
        <w:pStyle w:val="2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9"/>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en-US" w:eastAsia="zh-CN"/>
        </w:rPr>
        <w:t>5</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社会保障和就业支出（类）行政事业单位养老支出（款）机关事业单位基本养老保险缴费支出（项）：指机关事业单位实施养老保险制度由单位缴纳的基本养老保险费支出。</w:t>
      </w:r>
    </w:p>
    <w:p>
      <w:pPr>
        <w:spacing w:line="56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en-US" w:eastAsia="zh-CN"/>
        </w:rPr>
        <w:t>6</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卫生健康支出（类）行政事业单位医疗（款）事业单位医疗（项）：指财政部门安排的事业单位基本医疗保险经费，未参加医疗保险的事业单位公费医疗经费，按国家规定享受离休人员待遇的医疗费。</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.住房保障支出（类）住房</w:t>
      </w:r>
      <w:r>
        <w:rPr>
          <w:rFonts w:hint="eastAsia" w:ascii="仿宋_GB2312" w:eastAsia="仿宋_GB2312"/>
          <w:color w:val="000000"/>
          <w:sz w:val="32"/>
          <w:szCs w:val="32"/>
          <w:lang w:eastAsia="zh-CN"/>
        </w:rPr>
        <w:t>改革</w:t>
      </w:r>
      <w:r>
        <w:rPr>
          <w:rFonts w:hint="eastAsia" w:ascii="仿宋_GB2312" w:eastAsia="仿宋_GB2312"/>
          <w:color w:val="000000"/>
          <w:sz w:val="32"/>
          <w:szCs w:val="32"/>
        </w:rPr>
        <w:t>障支出（款）住房公积金（项）：指行政事业单位按人力资源和社会保障部、财政部规定的基本工资和津贴补贴以及规定比例为职工缴纳的住房公积金。</w:t>
      </w:r>
    </w:p>
    <w:p>
      <w:pPr>
        <w:spacing w:line="560" w:lineRule="exact"/>
        <w:ind w:firstLine="640" w:firstLineChars="200"/>
        <w:rPr>
          <w:rStyle w:val="16"/>
          <w:rFonts w:hint="eastAsia" w:ascii="仿宋_GB2312" w:eastAsia="仿宋_GB2312" w:cs="仿宋_GB2312"/>
          <w:b w:val="0"/>
          <w:bCs/>
          <w:color w:val="000000"/>
          <w:sz w:val="32"/>
          <w:szCs w:val="32"/>
          <w:lang w:eastAsia="zh-CN"/>
        </w:rPr>
      </w:pPr>
      <w:r>
        <w:rPr>
          <w:rStyle w:val="16"/>
          <w:rFonts w:hint="eastAsia" w:ascii="仿宋_GB2312" w:eastAsia="仿宋_GB2312" w:cs="仿宋_GB2312"/>
          <w:b w:val="0"/>
          <w:bCs/>
          <w:color w:val="000000"/>
          <w:sz w:val="32"/>
          <w:szCs w:val="32"/>
          <w:lang w:val="en-US" w:eastAsia="zh-CN"/>
        </w:rPr>
        <w:t>8.</w:t>
      </w:r>
      <w:r>
        <w:rPr>
          <w:rStyle w:val="16"/>
          <w:rFonts w:hint="eastAsia" w:ascii="仿宋_GB2312" w:eastAsia="仿宋_GB2312" w:cs="仿宋_GB2312"/>
          <w:b w:val="0"/>
          <w:bCs/>
          <w:color w:val="000000"/>
          <w:sz w:val="32"/>
          <w:szCs w:val="32"/>
        </w:rPr>
        <w:t>灾害防治及应急管理支出（类）应急管理事务（款）</w:t>
      </w:r>
      <w:r>
        <w:rPr>
          <w:rStyle w:val="16"/>
          <w:rFonts w:hint="eastAsia" w:ascii="仿宋_GB2312" w:eastAsia="仿宋_GB2312" w:cs="仿宋_GB2312"/>
          <w:b w:val="0"/>
          <w:bCs/>
          <w:color w:val="000000"/>
          <w:sz w:val="32"/>
          <w:szCs w:val="32"/>
          <w:lang w:eastAsia="zh-CN"/>
        </w:rPr>
        <w:t>事业运行（项）：反映事业单位的基本支出，不包括行政单位（包括事项公务员管理的事业单位）后期服务中心、医务室等附属事业单位。</w:t>
      </w:r>
    </w:p>
    <w:p>
      <w:pPr>
        <w:spacing w:line="560" w:lineRule="exact"/>
        <w:ind w:firstLine="640" w:firstLineChars="200"/>
        <w:rPr>
          <w:rStyle w:val="16"/>
          <w:rFonts w:hint="eastAsia" w:ascii="仿宋_GB2312" w:eastAsia="仿宋_GB2312"/>
          <w:b w:val="0"/>
          <w:bCs/>
          <w:color w:val="000000"/>
          <w:sz w:val="32"/>
          <w:szCs w:val="32"/>
        </w:rPr>
      </w:pPr>
      <w:r>
        <w:rPr>
          <w:rStyle w:val="16"/>
          <w:rFonts w:hint="eastAsia" w:ascii="仿宋_GB2312" w:eastAsia="仿宋_GB2312" w:cs="仿宋_GB2312"/>
          <w:b w:val="0"/>
          <w:bCs/>
          <w:color w:val="000000"/>
          <w:sz w:val="32"/>
          <w:szCs w:val="32"/>
          <w:lang w:val="en-US" w:eastAsia="zh-CN"/>
        </w:rPr>
        <w:t>9.</w:t>
      </w:r>
      <w:r>
        <w:rPr>
          <w:rStyle w:val="16"/>
          <w:rFonts w:hint="eastAsia" w:ascii="仿宋_GB2312" w:eastAsia="仿宋_GB2312" w:cs="仿宋_GB2312"/>
          <w:b w:val="0"/>
          <w:bCs/>
          <w:color w:val="000000"/>
          <w:sz w:val="32"/>
          <w:szCs w:val="32"/>
        </w:rPr>
        <w:t>灾害防治及应急管理支出（类）应急管理事务（款）其他应急管理支出（项）：</w:t>
      </w:r>
      <w:r>
        <w:rPr>
          <w:rStyle w:val="16"/>
          <w:rFonts w:hint="eastAsia" w:ascii="仿宋_GB2312" w:eastAsia="仿宋_GB2312" w:cs="仿宋_GB2312"/>
          <w:b w:val="0"/>
          <w:bCs/>
          <w:color w:val="000000"/>
          <w:sz w:val="32"/>
          <w:szCs w:val="32"/>
          <w:lang w:eastAsia="zh-CN"/>
        </w:rPr>
        <w:t>反映</w:t>
      </w:r>
      <w:r>
        <w:rPr>
          <w:rStyle w:val="16"/>
          <w:rFonts w:hint="eastAsia" w:ascii="仿宋_GB2312" w:eastAsia="仿宋_GB2312" w:cs="仿宋_GB2312"/>
          <w:b w:val="0"/>
          <w:bCs/>
          <w:color w:val="000000"/>
          <w:sz w:val="32"/>
          <w:szCs w:val="32"/>
        </w:rPr>
        <w:t>其他应急管理方面的支出。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.基本支出：指为保障机构正常运转、完成日常工作任务而发生的人员支出和公用支出。</w:t>
      </w:r>
    </w:p>
    <w:p>
      <w:p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11</w:t>
      </w:r>
      <w:r>
        <w:rPr>
          <w:rFonts w:hint="eastAsia" w:ascii="仿宋_GB2312" w:eastAsia="仿宋_GB2312" w:cs="仿宋_GB2312"/>
          <w:color w:val="000000"/>
          <w:sz w:val="32"/>
          <w:szCs w:val="32"/>
        </w:rPr>
        <w:t xml:space="preserve">.项目支出：指在基本支出之外为完成特定行政任务和事业发展目标所发生的支出。 </w:t>
      </w:r>
    </w:p>
    <w:p>
      <w:pPr>
        <w:pStyle w:val="29"/>
        <w:spacing w:line="560" w:lineRule="exact"/>
        <w:ind w:firstLine="640" w:firstLineChars="200"/>
        <w:rPr>
          <w:rFonts w:hint="eastAsia" w:ascii="仿宋_GB2312" w:eastAsia="仿宋_GB2312" w:cs="Times New Roman"/>
          <w:sz w:val="32"/>
          <w:szCs w:val="32"/>
        </w:rPr>
      </w:pP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spacing w:line="560" w:lineRule="exact"/>
        <w:ind w:firstLine="640" w:firstLineChars="200"/>
        <w:rPr>
          <w:rFonts w:hint="eastAsia" w:ascii="仿宋_GB2312" w:eastAsia="仿宋_GB2312"/>
          <w:sz w:val="32"/>
          <w:szCs w:val="32"/>
          <w:lang w:eastAsia="zh-CN"/>
        </w:rPr>
      </w:pPr>
      <w:r>
        <w:rPr>
          <w:rFonts w:hint="eastAsia" w:ascii="仿宋_GB2312" w:eastAsia="仿宋_GB2312" w:cs="仿宋_GB2312"/>
          <w:sz w:val="32"/>
          <w:szCs w:val="32"/>
          <w:lang w:val="en-US" w:eastAsia="zh-CN"/>
        </w:rPr>
        <w:t>13</w:t>
      </w:r>
      <w:r>
        <w:rPr>
          <w:rFonts w:hint="eastAsia" w:ascii="仿宋_GB2312" w:eastAsia="仿宋_GB2312" w:cs="仿宋_GB2312"/>
          <w:sz w:val="32"/>
          <w:szCs w:val="32"/>
        </w:rPr>
        <w:t>.机关运行经费：为保障行政单位（含参照公务员法管理的事业单位）运行用于购买货物和服务的各项资金，包括</w:t>
      </w:r>
      <w:r>
        <w:rPr>
          <w:rFonts w:hint="eastAsia" w:ascii="仿宋_GB2312" w:eastAsia="仿宋_GB2312"/>
          <w:sz w:val="32"/>
          <w:szCs w:val="32"/>
        </w:rPr>
        <w:t>办公及印刷费、邮电费、差旅费、会议费、福利费、日常维修费、一般设备购置费、办公用房水电费、办公用房物业管理费、公务用车运行维护费以及其他费用。</w:t>
      </w:r>
      <w:r>
        <w:rPr>
          <w:rFonts w:hint="eastAsia" w:ascii="仿宋_GB2312" w:eastAsia="仿宋_GB2312"/>
          <w:sz w:val="32"/>
          <w:szCs w:val="32"/>
          <w:lang w:eastAsia="zh-CN"/>
        </w:rPr>
        <w:t>因本单位属于其他事业单位，不产生机关运行经费。</w:t>
      </w:r>
    </w:p>
    <w:p>
      <w:pPr>
        <w:pStyle w:val="29"/>
        <w:spacing w:line="576" w:lineRule="exact"/>
        <w:ind w:firstLine="640" w:firstLineChars="200"/>
        <w:rPr>
          <w:rFonts w:ascii="仿宋_GB2312" w:eastAsia="仿宋_GB2312"/>
          <w:sz w:val="32"/>
          <w:szCs w:val="32"/>
        </w:rPr>
      </w:pPr>
    </w:p>
    <w:p>
      <w:pPr>
        <w:spacing w:line="576" w:lineRule="exact"/>
        <w:jc w:val="center"/>
        <w:outlineLvl w:val="0"/>
        <w:rPr>
          <w:rFonts w:ascii="方正小标宋_GBK" w:hAnsi="黑体" w:eastAsia="方正小标宋_GBK"/>
          <w:color w:val="000000"/>
          <w:sz w:val="44"/>
          <w:szCs w:val="44"/>
        </w:rPr>
      </w:pPr>
      <w:bookmarkStart w:id="88" w:name="_Toc15377226"/>
      <w:r>
        <w:rPr>
          <w:rFonts w:eastAsia="仿宋"/>
          <w:sz w:val="32"/>
          <w:szCs w:val="32"/>
        </w:rPr>
        <w:br w:type="page"/>
      </w:r>
      <w:bookmarkStart w:id="89" w:name="_Toc15396614"/>
      <w:bookmarkStart w:id="90" w:name="_Toc82163060"/>
      <w:bookmarkStart w:id="91" w:name="_Toc82164271"/>
      <w:bookmarkStart w:id="92" w:name="_Toc80371193"/>
      <w:bookmarkStart w:id="93" w:name="_Toc625"/>
      <w:r>
        <w:rPr>
          <w:rFonts w:hint="eastAsia" w:ascii="方正小标宋_GBK" w:hAnsi="黑体" w:eastAsia="方正小标宋_GBK"/>
          <w:color w:val="000000"/>
          <w:sz w:val="44"/>
          <w:szCs w:val="44"/>
        </w:rPr>
        <w:t>第四部分</w:t>
      </w:r>
      <w:r>
        <w:rPr>
          <w:rFonts w:ascii="方正小标宋_GBK" w:hAnsi="黑体" w:eastAsia="方正小标宋_GBK"/>
          <w:color w:val="000000"/>
          <w:sz w:val="44"/>
          <w:szCs w:val="44"/>
        </w:rPr>
        <w:t xml:space="preserve"> </w:t>
      </w:r>
      <w:r>
        <w:rPr>
          <w:rFonts w:hint="eastAsia" w:ascii="方正小标宋_GBK" w:hAnsi="黑体" w:eastAsia="方正小标宋_GBK"/>
          <w:color w:val="000000"/>
          <w:sz w:val="44"/>
          <w:szCs w:val="44"/>
        </w:rPr>
        <w:t>附件</w:t>
      </w:r>
      <w:bookmarkEnd w:id="89"/>
      <w:bookmarkEnd w:id="90"/>
      <w:bookmarkEnd w:id="91"/>
      <w:bookmarkEnd w:id="92"/>
      <w:bookmarkEnd w:id="93"/>
    </w:p>
    <w:p>
      <w:pPr>
        <w:pStyle w:val="2"/>
        <w:spacing w:before="93"/>
      </w:pPr>
    </w:p>
    <w:p>
      <w:pPr>
        <w:spacing w:line="58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本单位为二级事业单位</w:t>
      </w:r>
      <w:r>
        <w:rPr>
          <w:rFonts w:ascii="仿宋_GB2312" w:hAnsi="仿宋" w:eastAsia="仿宋_GB2312"/>
          <w:color w:val="000000"/>
          <w:sz w:val="32"/>
          <w:szCs w:val="32"/>
        </w:rPr>
        <w:t>,</w:t>
      </w:r>
      <w:r>
        <w:rPr>
          <w:rFonts w:hint="eastAsia" w:ascii="仿宋_GB2312" w:hAnsi="仿宋" w:eastAsia="仿宋_GB2312"/>
          <w:color w:val="000000"/>
          <w:sz w:val="32"/>
          <w:szCs w:val="32"/>
        </w:rPr>
        <w:t>未组织开展</w:t>
      </w:r>
      <w:r>
        <w:rPr>
          <w:rFonts w:ascii="仿宋_GB2312" w:hAnsi="仿宋" w:eastAsia="仿宋_GB2312"/>
          <w:color w:val="000000"/>
          <w:sz w:val="32"/>
          <w:szCs w:val="32"/>
        </w:rPr>
        <w:t>2020</w:t>
      </w:r>
      <w:r>
        <w:rPr>
          <w:rFonts w:hint="eastAsia" w:ascii="仿宋_GB2312" w:hAnsi="仿宋" w:eastAsia="仿宋_GB2312"/>
          <w:color w:val="000000"/>
          <w:sz w:val="32"/>
          <w:szCs w:val="32"/>
        </w:rPr>
        <w:t>年部门整体支出绩效评价，故暂不列示此项。</w:t>
      </w:r>
    </w:p>
    <w:p>
      <w:pPr>
        <w:pStyle w:val="2"/>
        <w:spacing w:before="93"/>
      </w:pPr>
    </w:p>
    <w:p>
      <w:pPr>
        <w:widowControl/>
        <w:jc w:val="center"/>
        <w:rPr>
          <w:rStyle w:val="19"/>
          <w:rFonts w:ascii="方正小标宋_GBK" w:hAnsi="黑体" w:eastAsia="方正小标宋_GBK"/>
          <w:b w:val="0"/>
          <w:bCs/>
          <w:szCs w:val="44"/>
        </w:rPr>
      </w:pPr>
      <w:r>
        <w:rPr>
          <w:lang w:val="zh-CN"/>
        </w:rPr>
        <w:br w:type="page"/>
      </w:r>
      <w:bookmarkEnd w:id="88"/>
      <w:bookmarkStart w:id="94" w:name="_Toc82164272"/>
      <w:bookmarkStart w:id="95" w:name="_Toc15396618"/>
      <w:bookmarkStart w:id="96" w:name="_Toc82163061"/>
      <w:r>
        <w:rPr>
          <w:rFonts w:hint="eastAsia" w:ascii="方正小标宋_GBK" w:hAnsi="黑体" w:eastAsia="方正小标宋_GBK"/>
          <w:color w:val="000000"/>
          <w:sz w:val="44"/>
          <w:szCs w:val="44"/>
        </w:rPr>
        <w:t>第</w:t>
      </w:r>
      <w:r>
        <w:rPr>
          <w:rStyle w:val="19"/>
          <w:rFonts w:hint="eastAsia" w:ascii="方正小标宋_GBK" w:hAnsi="黑体" w:eastAsia="方正小标宋_GBK"/>
          <w:b w:val="0"/>
          <w:bCs/>
          <w:szCs w:val="44"/>
        </w:rPr>
        <w:t>五部分</w:t>
      </w:r>
      <w:r>
        <w:rPr>
          <w:rStyle w:val="19"/>
          <w:rFonts w:ascii="方正小标宋_GBK" w:hAnsi="黑体" w:eastAsia="方正小标宋_GBK"/>
          <w:b w:val="0"/>
          <w:bCs/>
          <w:szCs w:val="44"/>
        </w:rPr>
        <w:t xml:space="preserve"> </w:t>
      </w:r>
      <w:r>
        <w:rPr>
          <w:rStyle w:val="19"/>
          <w:rFonts w:hint="eastAsia" w:ascii="方正小标宋_GBK" w:hAnsi="黑体" w:eastAsia="方正小标宋_GBK"/>
          <w:b w:val="0"/>
          <w:bCs/>
          <w:szCs w:val="44"/>
        </w:rPr>
        <w:t>附表</w:t>
      </w:r>
      <w:bookmarkEnd w:id="94"/>
      <w:bookmarkEnd w:id="95"/>
      <w:bookmarkEnd w:id="96"/>
    </w:p>
    <w:p>
      <w:pPr>
        <w:pStyle w:val="2"/>
        <w:spacing w:before="93"/>
      </w:pPr>
    </w:p>
    <w:p>
      <w:pPr>
        <w:pStyle w:val="4"/>
        <w:spacing w:before="0" w:after="0" w:line="576" w:lineRule="exact"/>
        <w:ind w:firstLine="640" w:firstLineChars="200"/>
        <w:rPr>
          <w:rFonts w:ascii="仿宋" w:hAnsi="仿宋" w:eastAsia="仿宋"/>
          <w:color w:val="000000"/>
        </w:rPr>
      </w:pPr>
      <w:bookmarkStart w:id="97" w:name="_Toc15396619"/>
      <w:bookmarkStart w:id="98" w:name="_Toc82164273"/>
      <w:bookmarkStart w:id="99" w:name="_Toc82163062"/>
      <w:r>
        <w:rPr>
          <w:rFonts w:hint="eastAsia" w:ascii="仿宋" w:hAnsi="仿宋" w:eastAsia="仿宋"/>
          <w:b w:val="0"/>
          <w:color w:val="000000"/>
        </w:rPr>
        <w:t>一、收</w:t>
      </w:r>
      <w:r>
        <w:rPr>
          <w:rStyle w:val="20"/>
          <w:rFonts w:hint="eastAsia" w:ascii="仿宋" w:hAnsi="仿宋" w:eastAsia="仿宋"/>
          <w:b w:val="0"/>
          <w:bCs w:val="0"/>
        </w:rPr>
        <w:t>入支出决算总表</w:t>
      </w:r>
      <w:bookmarkEnd w:id="97"/>
      <w:bookmarkEnd w:id="98"/>
      <w:bookmarkEnd w:id="99"/>
    </w:p>
    <w:p>
      <w:pPr>
        <w:pStyle w:val="4"/>
        <w:spacing w:before="0" w:after="0" w:line="576" w:lineRule="exact"/>
        <w:ind w:firstLine="640" w:firstLineChars="200"/>
        <w:rPr>
          <w:rFonts w:ascii="仿宋" w:hAnsi="仿宋" w:eastAsia="仿宋"/>
          <w:color w:val="000000"/>
        </w:rPr>
      </w:pPr>
      <w:bookmarkStart w:id="100" w:name="_Toc82163063"/>
      <w:bookmarkStart w:id="101" w:name="_Toc82164274"/>
      <w:bookmarkStart w:id="102" w:name="_Toc15396620"/>
      <w:r>
        <w:rPr>
          <w:rFonts w:hint="eastAsia" w:ascii="仿宋" w:hAnsi="仿宋" w:eastAsia="仿宋"/>
          <w:b w:val="0"/>
          <w:color w:val="000000"/>
        </w:rPr>
        <w:t>二、收</w:t>
      </w:r>
      <w:r>
        <w:rPr>
          <w:rStyle w:val="20"/>
          <w:rFonts w:hint="eastAsia" w:ascii="仿宋" w:hAnsi="仿宋" w:eastAsia="仿宋"/>
          <w:b w:val="0"/>
          <w:bCs w:val="0"/>
        </w:rPr>
        <w:t>入决算表</w:t>
      </w:r>
      <w:bookmarkEnd w:id="100"/>
      <w:bookmarkEnd w:id="101"/>
      <w:bookmarkEnd w:id="102"/>
    </w:p>
    <w:p>
      <w:pPr>
        <w:pStyle w:val="4"/>
        <w:spacing w:before="0" w:after="0" w:line="576" w:lineRule="exact"/>
        <w:ind w:firstLine="640" w:firstLineChars="200"/>
        <w:rPr>
          <w:rFonts w:ascii="仿宋" w:hAnsi="仿宋" w:eastAsia="仿宋"/>
          <w:color w:val="000000"/>
        </w:rPr>
      </w:pPr>
      <w:bookmarkStart w:id="103" w:name="_Toc82163064"/>
      <w:bookmarkStart w:id="104" w:name="_Toc15396621"/>
      <w:bookmarkStart w:id="105" w:name="_Toc82164275"/>
      <w:r>
        <w:rPr>
          <w:rStyle w:val="20"/>
          <w:rFonts w:hint="eastAsia" w:ascii="仿宋" w:hAnsi="仿宋" w:eastAsia="仿宋"/>
          <w:b w:val="0"/>
          <w:bCs w:val="0"/>
        </w:rPr>
        <w:t>三、</w:t>
      </w:r>
      <w:r>
        <w:rPr>
          <w:rFonts w:hint="eastAsia" w:ascii="仿宋" w:hAnsi="仿宋" w:eastAsia="仿宋"/>
          <w:b w:val="0"/>
          <w:color w:val="000000"/>
        </w:rPr>
        <w:t>支</w:t>
      </w:r>
      <w:r>
        <w:rPr>
          <w:rStyle w:val="20"/>
          <w:rFonts w:hint="eastAsia" w:ascii="仿宋" w:hAnsi="仿宋" w:eastAsia="仿宋"/>
          <w:b w:val="0"/>
          <w:bCs w:val="0"/>
        </w:rPr>
        <w:t>出决算表</w:t>
      </w:r>
      <w:bookmarkEnd w:id="103"/>
      <w:bookmarkEnd w:id="104"/>
      <w:bookmarkEnd w:id="105"/>
    </w:p>
    <w:p>
      <w:pPr>
        <w:pStyle w:val="4"/>
        <w:spacing w:before="0" w:after="0" w:line="576" w:lineRule="exact"/>
        <w:ind w:firstLine="640" w:firstLineChars="200"/>
        <w:rPr>
          <w:rFonts w:ascii="仿宋" w:hAnsi="仿宋" w:eastAsia="仿宋"/>
          <w:b w:val="0"/>
          <w:color w:val="000000"/>
        </w:rPr>
      </w:pPr>
      <w:bookmarkStart w:id="106" w:name="_Toc15396622"/>
      <w:bookmarkStart w:id="107" w:name="_Toc82163065"/>
      <w:bookmarkStart w:id="108" w:name="_Toc82164276"/>
      <w:r>
        <w:rPr>
          <w:rStyle w:val="20"/>
          <w:rFonts w:hint="eastAsia" w:ascii="仿宋" w:hAnsi="仿宋" w:eastAsia="仿宋"/>
          <w:b w:val="0"/>
          <w:bCs w:val="0"/>
        </w:rPr>
        <w:t>四、</w:t>
      </w:r>
      <w:r>
        <w:rPr>
          <w:rFonts w:hint="eastAsia" w:ascii="仿宋" w:hAnsi="仿宋" w:eastAsia="仿宋"/>
          <w:b w:val="0"/>
          <w:color w:val="000000"/>
        </w:rPr>
        <w:t>财</w:t>
      </w:r>
      <w:r>
        <w:rPr>
          <w:rStyle w:val="20"/>
          <w:rFonts w:hint="eastAsia" w:ascii="仿宋" w:hAnsi="仿宋" w:eastAsia="仿宋"/>
          <w:b w:val="0"/>
          <w:bCs w:val="0"/>
        </w:rPr>
        <w:t>政拨款收入支出决算总表</w:t>
      </w:r>
      <w:bookmarkEnd w:id="106"/>
      <w:bookmarkEnd w:id="107"/>
      <w:bookmarkEnd w:id="108"/>
    </w:p>
    <w:p>
      <w:pPr>
        <w:pStyle w:val="4"/>
        <w:spacing w:before="0" w:after="0" w:line="576" w:lineRule="exact"/>
        <w:ind w:firstLine="640" w:firstLineChars="200"/>
        <w:rPr>
          <w:rStyle w:val="20"/>
          <w:rFonts w:ascii="仿宋" w:hAnsi="仿宋" w:eastAsia="仿宋"/>
          <w:b w:val="0"/>
          <w:bCs w:val="0"/>
        </w:rPr>
      </w:pPr>
      <w:bookmarkStart w:id="109" w:name="_Toc15396623"/>
      <w:bookmarkStart w:id="110" w:name="_Toc82164277"/>
      <w:bookmarkStart w:id="111" w:name="_Toc82163066"/>
      <w:r>
        <w:rPr>
          <w:rStyle w:val="20"/>
          <w:rFonts w:hint="eastAsia" w:ascii="仿宋" w:hAnsi="仿宋" w:eastAsia="仿宋"/>
          <w:b w:val="0"/>
          <w:bCs w:val="0"/>
        </w:rPr>
        <w:t>五、</w:t>
      </w:r>
      <w:r>
        <w:rPr>
          <w:rFonts w:hint="eastAsia" w:ascii="仿宋" w:hAnsi="仿宋" w:eastAsia="仿宋"/>
          <w:b w:val="0"/>
          <w:color w:val="000000"/>
        </w:rPr>
        <w:t>财</w:t>
      </w:r>
      <w:r>
        <w:rPr>
          <w:rStyle w:val="20"/>
          <w:rFonts w:hint="eastAsia" w:ascii="仿宋" w:hAnsi="仿宋" w:eastAsia="仿宋"/>
          <w:b w:val="0"/>
          <w:bCs w:val="0"/>
        </w:rPr>
        <w:t>政拨款支出决算明细表</w:t>
      </w:r>
      <w:bookmarkEnd w:id="109"/>
      <w:bookmarkEnd w:id="110"/>
      <w:bookmarkEnd w:id="111"/>
      <w:bookmarkStart w:id="112" w:name="_Toc15396624"/>
    </w:p>
    <w:p>
      <w:pPr>
        <w:pStyle w:val="4"/>
        <w:spacing w:before="0" w:after="0" w:line="576" w:lineRule="exact"/>
        <w:ind w:firstLine="640" w:firstLineChars="200"/>
        <w:rPr>
          <w:rFonts w:ascii="仿宋" w:hAnsi="仿宋" w:eastAsia="仿宋"/>
          <w:color w:val="000000"/>
        </w:rPr>
      </w:pPr>
      <w:bookmarkStart w:id="113" w:name="_Toc82164278"/>
      <w:bookmarkStart w:id="114" w:name="_Toc82163067"/>
      <w:r>
        <w:rPr>
          <w:rStyle w:val="20"/>
          <w:rFonts w:hint="eastAsia" w:ascii="仿宋" w:hAnsi="仿宋" w:eastAsia="仿宋"/>
          <w:b w:val="0"/>
          <w:bCs w:val="0"/>
        </w:rPr>
        <w:t>六、</w:t>
      </w:r>
      <w:r>
        <w:rPr>
          <w:rFonts w:hint="eastAsia" w:ascii="仿宋" w:hAnsi="仿宋" w:eastAsia="仿宋"/>
          <w:b w:val="0"/>
          <w:color w:val="000000"/>
        </w:rPr>
        <w:t>一</w:t>
      </w:r>
      <w:r>
        <w:rPr>
          <w:rStyle w:val="20"/>
          <w:rFonts w:hint="eastAsia" w:ascii="仿宋" w:hAnsi="仿宋" w:eastAsia="仿宋"/>
          <w:b w:val="0"/>
          <w:bCs w:val="0"/>
        </w:rPr>
        <w:t>般公共预算财政拨款支出决算表</w:t>
      </w:r>
      <w:bookmarkEnd w:id="112"/>
      <w:bookmarkEnd w:id="113"/>
      <w:bookmarkEnd w:id="114"/>
    </w:p>
    <w:p>
      <w:pPr>
        <w:pStyle w:val="4"/>
        <w:spacing w:before="0" w:after="0" w:line="576" w:lineRule="exact"/>
        <w:ind w:firstLine="640" w:firstLineChars="200"/>
        <w:rPr>
          <w:rFonts w:ascii="仿宋" w:hAnsi="仿宋" w:eastAsia="仿宋"/>
          <w:color w:val="000000"/>
        </w:rPr>
      </w:pPr>
      <w:bookmarkStart w:id="115" w:name="_Toc82164279"/>
      <w:bookmarkStart w:id="116" w:name="_Toc15396625"/>
      <w:bookmarkStart w:id="117" w:name="_Toc82163068"/>
      <w:r>
        <w:rPr>
          <w:rStyle w:val="20"/>
          <w:rFonts w:hint="eastAsia" w:ascii="仿宋" w:hAnsi="仿宋" w:eastAsia="仿宋"/>
          <w:b w:val="0"/>
          <w:bCs w:val="0"/>
        </w:rPr>
        <w:t>七、</w:t>
      </w:r>
      <w:r>
        <w:rPr>
          <w:rFonts w:hint="eastAsia" w:ascii="仿宋" w:hAnsi="仿宋" w:eastAsia="仿宋"/>
          <w:b w:val="0"/>
          <w:color w:val="000000"/>
        </w:rPr>
        <w:t>一</w:t>
      </w:r>
      <w:r>
        <w:rPr>
          <w:rStyle w:val="20"/>
          <w:rFonts w:hint="eastAsia" w:ascii="仿宋" w:hAnsi="仿宋" w:eastAsia="仿宋"/>
          <w:b w:val="0"/>
          <w:bCs w:val="0"/>
        </w:rPr>
        <w:t>般公共预算财政拨款支出决算明细表</w:t>
      </w:r>
      <w:bookmarkEnd w:id="115"/>
      <w:bookmarkEnd w:id="116"/>
      <w:bookmarkEnd w:id="117"/>
    </w:p>
    <w:p>
      <w:pPr>
        <w:pStyle w:val="4"/>
        <w:spacing w:before="0" w:after="0" w:line="576" w:lineRule="exact"/>
        <w:ind w:firstLine="640" w:firstLineChars="200"/>
        <w:rPr>
          <w:rFonts w:ascii="仿宋" w:hAnsi="仿宋" w:eastAsia="仿宋"/>
          <w:color w:val="000000"/>
        </w:rPr>
      </w:pPr>
      <w:bookmarkStart w:id="118" w:name="_Toc82164280"/>
      <w:bookmarkStart w:id="119" w:name="_Toc82163069"/>
      <w:bookmarkStart w:id="120" w:name="_Toc15396626"/>
      <w:r>
        <w:rPr>
          <w:rStyle w:val="20"/>
          <w:rFonts w:hint="eastAsia" w:ascii="仿宋" w:hAnsi="仿宋" w:eastAsia="仿宋"/>
          <w:b w:val="0"/>
          <w:bCs w:val="0"/>
        </w:rPr>
        <w:t>八、</w:t>
      </w:r>
      <w:r>
        <w:rPr>
          <w:rFonts w:hint="eastAsia" w:ascii="仿宋" w:hAnsi="仿宋" w:eastAsia="仿宋"/>
          <w:b w:val="0"/>
          <w:color w:val="000000"/>
        </w:rPr>
        <w:t>一</w:t>
      </w:r>
      <w:r>
        <w:rPr>
          <w:rStyle w:val="20"/>
          <w:rFonts w:hint="eastAsia" w:ascii="仿宋" w:hAnsi="仿宋" w:eastAsia="仿宋"/>
          <w:b w:val="0"/>
          <w:bCs w:val="0"/>
        </w:rPr>
        <w:t>般公共预算财政拨款基本支出决算表</w:t>
      </w:r>
      <w:bookmarkEnd w:id="118"/>
      <w:bookmarkEnd w:id="119"/>
      <w:bookmarkEnd w:id="120"/>
    </w:p>
    <w:p>
      <w:pPr>
        <w:pStyle w:val="4"/>
        <w:spacing w:before="0" w:after="0" w:line="576" w:lineRule="exact"/>
        <w:ind w:firstLine="640" w:firstLineChars="200"/>
        <w:rPr>
          <w:rFonts w:ascii="仿宋" w:hAnsi="仿宋" w:eastAsia="仿宋"/>
          <w:color w:val="000000"/>
        </w:rPr>
      </w:pPr>
      <w:bookmarkStart w:id="121" w:name="_Toc15396627"/>
      <w:bookmarkStart w:id="122" w:name="_Toc82163070"/>
      <w:bookmarkStart w:id="123" w:name="_Toc82164281"/>
      <w:r>
        <w:rPr>
          <w:rStyle w:val="20"/>
          <w:rFonts w:hint="eastAsia" w:ascii="仿宋" w:hAnsi="仿宋" w:eastAsia="仿宋"/>
          <w:b w:val="0"/>
          <w:bCs w:val="0"/>
        </w:rPr>
        <w:t>九、</w:t>
      </w:r>
      <w:r>
        <w:rPr>
          <w:rFonts w:hint="eastAsia" w:ascii="仿宋" w:hAnsi="仿宋" w:eastAsia="仿宋"/>
          <w:b w:val="0"/>
          <w:color w:val="000000"/>
        </w:rPr>
        <w:t>一</w:t>
      </w:r>
      <w:r>
        <w:rPr>
          <w:rStyle w:val="20"/>
          <w:rFonts w:hint="eastAsia" w:ascii="仿宋" w:hAnsi="仿宋" w:eastAsia="仿宋"/>
          <w:b w:val="0"/>
          <w:bCs w:val="0"/>
        </w:rPr>
        <w:t>般公共预算财政拨款项目支出决算表</w:t>
      </w:r>
      <w:bookmarkEnd w:id="121"/>
      <w:bookmarkEnd w:id="122"/>
      <w:bookmarkEnd w:id="123"/>
    </w:p>
    <w:p>
      <w:pPr>
        <w:pStyle w:val="4"/>
        <w:spacing w:before="0" w:after="0" w:line="576" w:lineRule="exact"/>
        <w:ind w:firstLine="640" w:firstLineChars="200"/>
        <w:rPr>
          <w:rFonts w:ascii="仿宋" w:hAnsi="仿宋" w:eastAsia="仿宋"/>
          <w:color w:val="000000"/>
        </w:rPr>
      </w:pPr>
      <w:bookmarkStart w:id="124" w:name="_Toc82163071"/>
      <w:bookmarkStart w:id="125" w:name="_Toc15396628"/>
      <w:bookmarkStart w:id="126" w:name="_Toc82164282"/>
      <w:r>
        <w:rPr>
          <w:rStyle w:val="20"/>
          <w:rFonts w:hint="eastAsia" w:ascii="仿宋" w:hAnsi="仿宋" w:eastAsia="仿宋"/>
          <w:b w:val="0"/>
          <w:bCs w:val="0"/>
        </w:rPr>
        <w:t>十、</w:t>
      </w:r>
      <w:r>
        <w:rPr>
          <w:rFonts w:hint="eastAsia" w:ascii="仿宋" w:hAnsi="仿宋" w:eastAsia="仿宋"/>
          <w:b w:val="0"/>
          <w:color w:val="000000"/>
        </w:rPr>
        <w:t>一</w:t>
      </w:r>
      <w:r>
        <w:rPr>
          <w:rStyle w:val="20"/>
          <w:rFonts w:hint="eastAsia" w:ascii="仿宋" w:hAnsi="仿宋" w:eastAsia="仿宋"/>
          <w:b w:val="0"/>
          <w:bCs w:val="0"/>
        </w:rPr>
        <w:t>般公共预算财政拨款“三公”经费支出决算表</w:t>
      </w:r>
      <w:bookmarkEnd w:id="124"/>
      <w:bookmarkEnd w:id="125"/>
      <w:bookmarkEnd w:id="126"/>
    </w:p>
    <w:p>
      <w:pPr>
        <w:pStyle w:val="4"/>
        <w:spacing w:before="0" w:after="0" w:line="576" w:lineRule="exact"/>
        <w:ind w:firstLine="640" w:firstLineChars="200"/>
        <w:rPr>
          <w:rFonts w:ascii="仿宋" w:hAnsi="仿宋" w:eastAsia="仿宋"/>
          <w:color w:val="000000"/>
        </w:rPr>
      </w:pPr>
      <w:bookmarkStart w:id="127" w:name="_Toc15396629"/>
      <w:bookmarkStart w:id="128" w:name="_Toc82164283"/>
      <w:bookmarkStart w:id="129" w:name="_Toc82163072"/>
      <w:r>
        <w:rPr>
          <w:rStyle w:val="20"/>
          <w:rFonts w:hint="eastAsia" w:ascii="仿宋" w:hAnsi="仿宋" w:eastAsia="仿宋"/>
          <w:b w:val="0"/>
          <w:bCs w:val="0"/>
        </w:rPr>
        <w:t>十一、</w:t>
      </w:r>
      <w:r>
        <w:rPr>
          <w:rFonts w:hint="eastAsia" w:ascii="仿宋" w:hAnsi="仿宋" w:eastAsia="仿宋"/>
          <w:b w:val="0"/>
          <w:color w:val="000000"/>
        </w:rPr>
        <w:t>政</w:t>
      </w:r>
      <w:r>
        <w:rPr>
          <w:rStyle w:val="20"/>
          <w:rFonts w:hint="eastAsia" w:ascii="仿宋" w:hAnsi="仿宋" w:eastAsia="仿宋"/>
          <w:b w:val="0"/>
          <w:bCs w:val="0"/>
        </w:rPr>
        <w:t>府性基金预算财政拨款收入支出决算表</w:t>
      </w:r>
      <w:bookmarkEnd w:id="127"/>
      <w:bookmarkEnd w:id="128"/>
      <w:bookmarkEnd w:id="129"/>
    </w:p>
    <w:p>
      <w:pPr>
        <w:pStyle w:val="4"/>
        <w:spacing w:before="0" w:after="0" w:line="576" w:lineRule="exact"/>
        <w:ind w:firstLine="640" w:firstLineChars="200"/>
        <w:rPr>
          <w:rStyle w:val="20"/>
          <w:rFonts w:hint="eastAsia" w:ascii="仿宋" w:hAnsi="仿宋" w:eastAsia="仿宋"/>
          <w:b w:val="0"/>
          <w:bCs w:val="0"/>
        </w:rPr>
      </w:pPr>
      <w:bookmarkStart w:id="130" w:name="_Toc82163073"/>
      <w:bookmarkStart w:id="131" w:name="_Toc82164284"/>
      <w:bookmarkStart w:id="132" w:name="_Toc15396630"/>
      <w:r>
        <w:rPr>
          <w:rStyle w:val="20"/>
          <w:rFonts w:hint="eastAsia" w:ascii="仿宋" w:hAnsi="仿宋" w:eastAsia="仿宋"/>
          <w:b w:val="0"/>
          <w:bCs w:val="0"/>
        </w:rPr>
        <w:t>十二、</w:t>
      </w:r>
      <w:r>
        <w:rPr>
          <w:rFonts w:hint="eastAsia" w:ascii="仿宋" w:hAnsi="仿宋" w:eastAsia="仿宋"/>
          <w:b w:val="0"/>
          <w:color w:val="000000"/>
        </w:rPr>
        <w:t>政</w:t>
      </w:r>
      <w:r>
        <w:rPr>
          <w:rStyle w:val="20"/>
          <w:rFonts w:hint="eastAsia" w:ascii="仿宋" w:hAnsi="仿宋" w:eastAsia="仿宋"/>
          <w:b w:val="0"/>
          <w:bCs w:val="0"/>
        </w:rPr>
        <w:t>府性基金预算财政拨款“三公”经费支出决算表</w:t>
      </w:r>
      <w:bookmarkEnd w:id="130"/>
      <w:bookmarkEnd w:id="131"/>
      <w:bookmarkEnd w:id="132"/>
    </w:p>
    <w:p>
      <w:pPr>
        <w:ind w:firstLine="640" w:firstLineChars="200"/>
        <w:rPr>
          <w:rFonts w:hint="eastAsia" w:eastAsia="仿宋"/>
          <w:lang w:eastAsia="zh-CN"/>
        </w:rPr>
      </w:pPr>
      <w:r>
        <w:rPr>
          <w:rStyle w:val="20"/>
          <w:rFonts w:hint="eastAsia" w:ascii="仿宋" w:hAnsi="仿宋" w:eastAsia="仿宋"/>
          <w:b w:val="0"/>
          <w:bCs w:val="0"/>
          <w:lang w:eastAsia="zh-CN"/>
        </w:rPr>
        <w:t>十三、国有资本经营预算财政拨款收入支出决算表</w:t>
      </w:r>
    </w:p>
    <w:p>
      <w:pPr>
        <w:pStyle w:val="4"/>
        <w:spacing w:before="0" w:after="0" w:line="576" w:lineRule="exact"/>
        <w:ind w:firstLine="640" w:firstLineChars="200"/>
        <w:rPr>
          <w:rFonts w:ascii="仿宋" w:hAnsi="仿宋" w:eastAsia="仿宋"/>
          <w:color w:val="000000"/>
        </w:rPr>
      </w:pPr>
      <w:bookmarkStart w:id="133" w:name="_Toc82164285"/>
      <w:bookmarkStart w:id="134" w:name="_Toc15396631"/>
      <w:bookmarkStart w:id="135" w:name="_Toc82163074"/>
      <w:r>
        <w:rPr>
          <w:rStyle w:val="20"/>
          <w:rFonts w:hint="eastAsia" w:ascii="仿宋" w:hAnsi="仿宋" w:eastAsia="仿宋"/>
          <w:b w:val="0"/>
          <w:bCs w:val="0"/>
        </w:rPr>
        <w:t>十</w:t>
      </w:r>
      <w:r>
        <w:rPr>
          <w:rStyle w:val="20"/>
          <w:rFonts w:hint="eastAsia" w:ascii="仿宋" w:hAnsi="仿宋" w:eastAsia="仿宋"/>
          <w:b w:val="0"/>
          <w:bCs w:val="0"/>
          <w:lang w:eastAsia="zh-CN"/>
        </w:rPr>
        <w:t>四</w:t>
      </w:r>
      <w:bookmarkStart w:id="136" w:name="_GoBack"/>
      <w:bookmarkEnd w:id="136"/>
      <w:r>
        <w:rPr>
          <w:rStyle w:val="20"/>
          <w:rFonts w:hint="eastAsia" w:ascii="仿宋" w:hAnsi="仿宋" w:eastAsia="仿宋"/>
          <w:b w:val="0"/>
          <w:bCs w:val="0"/>
        </w:rPr>
        <w:t>、</w:t>
      </w:r>
      <w:r>
        <w:rPr>
          <w:rFonts w:hint="eastAsia" w:ascii="仿宋" w:hAnsi="仿宋" w:eastAsia="仿宋"/>
          <w:b w:val="0"/>
          <w:color w:val="000000"/>
        </w:rPr>
        <w:t>国</w:t>
      </w:r>
      <w:r>
        <w:rPr>
          <w:rStyle w:val="20"/>
          <w:rFonts w:hint="eastAsia" w:ascii="仿宋" w:hAnsi="仿宋" w:eastAsia="仿宋"/>
          <w:b w:val="0"/>
          <w:bCs w:val="0"/>
        </w:rPr>
        <w:t>有资本经营预算财政拨款支出决算表</w:t>
      </w:r>
      <w:bookmarkEnd w:id="133"/>
      <w:bookmarkEnd w:id="134"/>
      <w:bookmarkEnd w:id="135"/>
    </w:p>
    <w:sectPr>
      <w:footerReference r:id="rId5" w:type="first"/>
      <w:footerReference r:id="rId3" w:type="default"/>
      <w:footerReference r:id="rId4" w:type="even"/>
      <w:pgSz w:w="11906" w:h="16838"/>
      <w:pgMar w:top="1701" w:right="1474" w:bottom="1701" w:left="1588" w:header="851" w:footer="1418"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
    <w:altName w:val="仿宋"/>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方正楷体_GBK"/>
    <w:panose1 w:val="00000000000000000000"/>
    <w:charset w:val="86"/>
    <w:family w:val="auto"/>
    <w:pitch w:val="default"/>
    <w:sig w:usb0="00000000" w:usb1="00000000" w:usb2="00000010" w:usb3="00000000" w:csb0="000400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Fonts w:ascii="宋体"/>
        <w:sz w:val="28"/>
        <w:szCs w:val="28"/>
      </w:rPr>
    </w:pPr>
    <w:r>
      <w:rPr>
        <w:rStyle w:val="17"/>
        <w:rFonts w:ascii="宋体" w:hAnsi="宋体"/>
        <w:sz w:val="28"/>
        <w:szCs w:val="28"/>
      </w:rPr>
      <w:t xml:space="preserve">— </w:t>
    </w:r>
    <w:r>
      <w:rPr>
        <w:rStyle w:val="17"/>
        <w:rFonts w:ascii="宋体" w:hAnsi="宋体"/>
        <w:sz w:val="28"/>
        <w:szCs w:val="28"/>
      </w:rPr>
      <w:fldChar w:fldCharType="begin"/>
    </w:r>
    <w:r>
      <w:rPr>
        <w:rStyle w:val="17"/>
        <w:rFonts w:ascii="宋体" w:hAnsi="宋体"/>
        <w:sz w:val="28"/>
        <w:szCs w:val="28"/>
      </w:rPr>
      <w:instrText xml:space="preserve">PAGE  </w:instrText>
    </w:r>
    <w:r>
      <w:rPr>
        <w:rStyle w:val="17"/>
        <w:rFonts w:ascii="宋体" w:hAnsi="宋体"/>
        <w:sz w:val="28"/>
        <w:szCs w:val="28"/>
      </w:rPr>
      <w:fldChar w:fldCharType="separate"/>
    </w:r>
    <w:r>
      <w:rPr>
        <w:rStyle w:val="17"/>
        <w:rFonts w:ascii="宋体" w:hAnsi="宋体"/>
        <w:sz w:val="28"/>
        <w:szCs w:val="28"/>
      </w:rPr>
      <w:t>14</w:t>
    </w:r>
    <w:r>
      <w:rPr>
        <w:rStyle w:val="17"/>
        <w:rFonts w:ascii="宋体" w:hAnsi="宋体"/>
        <w:sz w:val="28"/>
        <w:szCs w:val="28"/>
      </w:rPr>
      <w:fldChar w:fldCharType="end"/>
    </w:r>
    <w:r>
      <w:rPr>
        <w:rStyle w:val="17"/>
        <w:rFonts w:ascii="宋体" w:hAnsi="宋体"/>
        <w:sz w:val="28"/>
        <w:szCs w:val="28"/>
      </w:rPr>
      <w:t xml:space="preserve"> —</w:t>
    </w:r>
  </w:p>
  <w:p>
    <w:pPr>
      <w:pStyle w:val="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rPr>
        <w:lang w:val="zh-CN"/>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61C"/>
    <w:rsid w:val="00000FC3"/>
    <w:rsid w:val="00002767"/>
    <w:rsid w:val="000045D2"/>
    <w:rsid w:val="00004738"/>
    <w:rsid w:val="00004D62"/>
    <w:rsid w:val="0000506C"/>
    <w:rsid w:val="00005305"/>
    <w:rsid w:val="000053EB"/>
    <w:rsid w:val="0000566E"/>
    <w:rsid w:val="00010AF6"/>
    <w:rsid w:val="00010BA5"/>
    <w:rsid w:val="000125F9"/>
    <w:rsid w:val="00014F21"/>
    <w:rsid w:val="00015658"/>
    <w:rsid w:val="00015878"/>
    <w:rsid w:val="00017057"/>
    <w:rsid w:val="0001784D"/>
    <w:rsid w:val="000215D7"/>
    <w:rsid w:val="000222C6"/>
    <w:rsid w:val="00022B15"/>
    <w:rsid w:val="00022BDF"/>
    <w:rsid w:val="00023B52"/>
    <w:rsid w:val="00023BDC"/>
    <w:rsid w:val="00023BEF"/>
    <w:rsid w:val="00025088"/>
    <w:rsid w:val="0002549F"/>
    <w:rsid w:val="00025A3A"/>
    <w:rsid w:val="00027C95"/>
    <w:rsid w:val="00030B99"/>
    <w:rsid w:val="00031261"/>
    <w:rsid w:val="00031D50"/>
    <w:rsid w:val="00031DD0"/>
    <w:rsid w:val="0003241B"/>
    <w:rsid w:val="00032F03"/>
    <w:rsid w:val="00033EA3"/>
    <w:rsid w:val="00033F3B"/>
    <w:rsid w:val="00036122"/>
    <w:rsid w:val="00040989"/>
    <w:rsid w:val="00041A4E"/>
    <w:rsid w:val="00043C87"/>
    <w:rsid w:val="00044C95"/>
    <w:rsid w:val="000468DB"/>
    <w:rsid w:val="0005006A"/>
    <w:rsid w:val="000544D5"/>
    <w:rsid w:val="00056444"/>
    <w:rsid w:val="000569BE"/>
    <w:rsid w:val="000570A2"/>
    <w:rsid w:val="000570F4"/>
    <w:rsid w:val="00060AA2"/>
    <w:rsid w:val="00061748"/>
    <w:rsid w:val="00062AF2"/>
    <w:rsid w:val="000644BC"/>
    <w:rsid w:val="0006487A"/>
    <w:rsid w:val="00065F8F"/>
    <w:rsid w:val="00067118"/>
    <w:rsid w:val="000679CF"/>
    <w:rsid w:val="00070A43"/>
    <w:rsid w:val="00070EB5"/>
    <w:rsid w:val="00071B16"/>
    <w:rsid w:val="00071C54"/>
    <w:rsid w:val="00071F22"/>
    <w:rsid w:val="00073043"/>
    <w:rsid w:val="00073352"/>
    <w:rsid w:val="00073D1D"/>
    <w:rsid w:val="00074F68"/>
    <w:rsid w:val="00074FCB"/>
    <w:rsid w:val="000768F2"/>
    <w:rsid w:val="00076F13"/>
    <w:rsid w:val="00077698"/>
    <w:rsid w:val="000804D2"/>
    <w:rsid w:val="00080EF1"/>
    <w:rsid w:val="00081544"/>
    <w:rsid w:val="00083D96"/>
    <w:rsid w:val="000840B6"/>
    <w:rsid w:val="000858AF"/>
    <w:rsid w:val="0008767C"/>
    <w:rsid w:val="0008779A"/>
    <w:rsid w:val="000900A9"/>
    <w:rsid w:val="0009138E"/>
    <w:rsid w:val="0009184B"/>
    <w:rsid w:val="00092AC8"/>
    <w:rsid w:val="000938D8"/>
    <w:rsid w:val="0009418E"/>
    <w:rsid w:val="00094236"/>
    <w:rsid w:val="0009485F"/>
    <w:rsid w:val="000953D3"/>
    <w:rsid w:val="00095463"/>
    <w:rsid w:val="000957C1"/>
    <w:rsid w:val="0009593C"/>
    <w:rsid w:val="00096E13"/>
    <w:rsid w:val="00097322"/>
    <w:rsid w:val="000A0528"/>
    <w:rsid w:val="000A069B"/>
    <w:rsid w:val="000A0AD4"/>
    <w:rsid w:val="000A13D9"/>
    <w:rsid w:val="000A41B1"/>
    <w:rsid w:val="000A5A35"/>
    <w:rsid w:val="000A6A92"/>
    <w:rsid w:val="000B00AF"/>
    <w:rsid w:val="000B047F"/>
    <w:rsid w:val="000B46C6"/>
    <w:rsid w:val="000B5923"/>
    <w:rsid w:val="000B5A48"/>
    <w:rsid w:val="000B5CE8"/>
    <w:rsid w:val="000B5E94"/>
    <w:rsid w:val="000B6756"/>
    <w:rsid w:val="000B6874"/>
    <w:rsid w:val="000B6F7F"/>
    <w:rsid w:val="000B6FF3"/>
    <w:rsid w:val="000B755C"/>
    <w:rsid w:val="000C02A2"/>
    <w:rsid w:val="000C0334"/>
    <w:rsid w:val="000C28E0"/>
    <w:rsid w:val="000C3467"/>
    <w:rsid w:val="000C3C51"/>
    <w:rsid w:val="000C3CA6"/>
    <w:rsid w:val="000C43B4"/>
    <w:rsid w:val="000C5755"/>
    <w:rsid w:val="000C6B2E"/>
    <w:rsid w:val="000C7746"/>
    <w:rsid w:val="000D1267"/>
    <w:rsid w:val="000D1D50"/>
    <w:rsid w:val="000D37A1"/>
    <w:rsid w:val="000D454A"/>
    <w:rsid w:val="000D5782"/>
    <w:rsid w:val="000D73DC"/>
    <w:rsid w:val="000E19AD"/>
    <w:rsid w:val="000E2D59"/>
    <w:rsid w:val="000E38A4"/>
    <w:rsid w:val="000E6197"/>
    <w:rsid w:val="000E6613"/>
    <w:rsid w:val="000E6DDD"/>
    <w:rsid w:val="000E7119"/>
    <w:rsid w:val="000F04DC"/>
    <w:rsid w:val="000F169F"/>
    <w:rsid w:val="000F206D"/>
    <w:rsid w:val="000F3E9D"/>
    <w:rsid w:val="000F42D0"/>
    <w:rsid w:val="000F4319"/>
    <w:rsid w:val="000F539D"/>
    <w:rsid w:val="000F5719"/>
    <w:rsid w:val="000F64EB"/>
    <w:rsid w:val="000F678B"/>
    <w:rsid w:val="000F7419"/>
    <w:rsid w:val="001028ED"/>
    <w:rsid w:val="001051F5"/>
    <w:rsid w:val="001078BB"/>
    <w:rsid w:val="00110E9E"/>
    <w:rsid w:val="00111277"/>
    <w:rsid w:val="001143DD"/>
    <w:rsid w:val="001145C7"/>
    <w:rsid w:val="00114E9B"/>
    <w:rsid w:val="001161F7"/>
    <w:rsid w:val="00117449"/>
    <w:rsid w:val="0012038C"/>
    <w:rsid w:val="00120720"/>
    <w:rsid w:val="00120769"/>
    <w:rsid w:val="00120E11"/>
    <w:rsid w:val="00121613"/>
    <w:rsid w:val="00123348"/>
    <w:rsid w:val="001248FC"/>
    <w:rsid w:val="00126B43"/>
    <w:rsid w:val="00126B85"/>
    <w:rsid w:val="001278BD"/>
    <w:rsid w:val="001304A9"/>
    <w:rsid w:val="001305B2"/>
    <w:rsid w:val="00131055"/>
    <w:rsid w:val="00132929"/>
    <w:rsid w:val="00132A3A"/>
    <w:rsid w:val="00134498"/>
    <w:rsid w:val="00135935"/>
    <w:rsid w:val="00135C0F"/>
    <w:rsid w:val="001361AA"/>
    <w:rsid w:val="00136A8E"/>
    <w:rsid w:val="00137B21"/>
    <w:rsid w:val="00137EDC"/>
    <w:rsid w:val="00141711"/>
    <w:rsid w:val="00142216"/>
    <w:rsid w:val="00144D6A"/>
    <w:rsid w:val="00145048"/>
    <w:rsid w:val="0014729F"/>
    <w:rsid w:val="00147C3B"/>
    <w:rsid w:val="001501DE"/>
    <w:rsid w:val="001554A6"/>
    <w:rsid w:val="00157BAB"/>
    <w:rsid w:val="001609F3"/>
    <w:rsid w:val="00160A50"/>
    <w:rsid w:val="0016221C"/>
    <w:rsid w:val="00162C2C"/>
    <w:rsid w:val="001654D1"/>
    <w:rsid w:val="001678DF"/>
    <w:rsid w:val="00171D70"/>
    <w:rsid w:val="001737FB"/>
    <w:rsid w:val="00174518"/>
    <w:rsid w:val="00174EBD"/>
    <w:rsid w:val="00176C51"/>
    <w:rsid w:val="00177C5F"/>
    <w:rsid w:val="0018106D"/>
    <w:rsid w:val="00181109"/>
    <w:rsid w:val="00181621"/>
    <w:rsid w:val="00181F7C"/>
    <w:rsid w:val="00182A03"/>
    <w:rsid w:val="00184BD3"/>
    <w:rsid w:val="00184D85"/>
    <w:rsid w:val="00185309"/>
    <w:rsid w:val="001858A2"/>
    <w:rsid w:val="001858DD"/>
    <w:rsid w:val="00185EAA"/>
    <w:rsid w:val="0018664E"/>
    <w:rsid w:val="001877A7"/>
    <w:rsid w:val="00187FE5"/>
    <w:rsid w:val="00191536"/>
    <w:rsid w:val="00192841"/>
    <w:rsid w:val="00195D3D"/>
    <w:rsid w:val="00196687"/>
    <w:rsid w:val="00196B81"/>
    <w:rsid w:val="00197E9D"/>
    <w:rsid w:val="00197F70"/>
    <w:rsid w:val="001A0C4D"/>
    <w:rsid w:val="001A23DE"/>
    <w:rsid w:val="001A24CF"/>
    <w:rsid w:val="001A3EB2"/>
    <w:rsid w:val="001A5C88"/>
    <w:rsid w:val="001A6306"/>
    <w:rsid w:val="001A6D6D"/>
    <w:rsid w:val="001A7020"/>
    <w:rsid w:val="001B07B0"/>
    <w:rsid w:val="001B2B81"/>
    <w:rsid w:val="001B2F9D"/>
    <w:rsid w:val="001B597F"/>
    <w:rsid w:val="001B7116"/>
    <w:rsid w:val="001C0962"/>
    <w:rsid w:val="001C0F63"/>
    <w:rsid w:val="001C1AFF"/>
    <w:rsid w:val="001C23AC"/>
    <w:rsid w:val="001C6B13"/>
    <w:rsid w:val="001D1249"/>
    <w:rsid w:val="001D19D5"/>
    <w:rsid w:val="001D496F"/>
    <w:rsid w:val="001D4EB6"/>
    <w:rsid w:val="001D52AD"/>
    <w:rsid w:val="001D7531"/>
    <w:rsid w:val="001D7D6B"/>
    <w:rsid w:val="001E17F9"/>
    <w:rsid w:val="001E3D8C"/>
    <w:rsid w:val="001E48C4"/>
    <w:rsid w:val="001E5494"/>
    <w:rsid w:val="001E6304"/>
    <w:rsid w:val="001E63D4"/>
    <w:rsid w:val="001E737D"/>
    <w:rsid w:val="001F050E"/>
    <w:rsid w:val="001F0592"/>
    <w:rsid w:val="001F05CA"/>
    <w:rsid w:val="001F0CB1"/>
    <w:rsid w:val="001F14ED"/>
    <w:rsid w:val="001F1C1E"/>
    <w:rsid w:val="001F1F62"/>
    <w:rsid w:val="001F2505"/>
    <w:rsid w:val="001F26AF"/>
    <w:rsid w:val="001F283D"/>
    <w:rsid w:val="001F2A5A"/>
    <w:rsid w:val="001F3823"/>
    <w:rsid w:val="001F3C75"/>
    <w:rsid w:val="001F5179"/>
    <w:rsid w:val="001F576D"/>
    <w:rsid w:val="001F71AC"/>
    <w:rsid w:val="001F7506"/>
    <w:rsid w:val="002006CD"/>
    <w:rsid w:val="00201B36"/>
    <w:rsid w:val="00202B36"/>
    <w:rsid w:val="002032B3"/>
    <w:rsid w:val="002040A2"/>
    <w:rsid w:val="00204716"/>
    <w:rsid w:val="00204B7A"/>
    <w:rsid w:val="00204CDE"/>
    <w:rsid w:val="00205085"/>
    <w:rsid w:val="0020526D"/>
    <w:rsid w:val="002053AB"/>
    <w:rsid w:val="00206E99"/>
    <w:rsid w:val="00210FF1"/>
    <w:rsid w:val="0021101A"/>
    <w:rsid w:val="00211033"/>
    <w:rsid w:val="00211EA3"/>
    <w:rsid w:val="00212F3B"/>
    <w:rsid w:val="002130DF"/>
    <w:rsid w:val="00213E34"/>
    <w:rsid w:val="00214B27"/>
    <w:rsid w:val="0021519E"/>
    <w:rsid w:val="002156B9"/>
    <w:rsid w:val="00216A15"/>
    <w:rsid w:val="00220536"/>
    <w:rsid w:val="00221B27"/>
    <w:rsid w:val="00221E8C"/>
    <w:rsid w:val="002229F8"/>
    <w:rsid w:val="0022457E"/>
    <w:rsid w:val="002246AF"/>
    <w:rsid w:val="00226656"/>
    <w:rsid w:val="0022694D"/>
    <w:rsid w:val="00227600"/>
    <w:rsid w:val="0023031F"/>
    <w:rsid w:val="00230498"/>
    <w:rsid w:val="002323AF"/>
    <w:rsid w:val="00232826"/>
    <w:rsid w:val="00232B57"/>
    <w:rsid w:val="00233A72"/>
    <w:rsid w:val="00235629"/>
    <w:rsid w:val="00235708"/>
    <w:rsid w:val="00235E63"/>
    <w:rsid w:val="00236BCD"/>
    <w:rsid w:val="00240B4B"/>
    <w:rsid w:val="002440EA"/>
    <w:rsid w:val="002444C9"/>
    <w:rsid w:val="00244CCD"/>
    <w:rsid w:val="00245D76"/>
    <w:rsid w:val="00247F68"/>
    <w:rsid w:val="00250E20"/>
    <w:rsid w:val="002510CB"/>
    <w:rsid w:val="00253509"/>
    <w:rsid w:val="00255900"/>
    <w:rsid w:val="0025598E"/>
    <w:rsid w:val="002606E8"/>
    <w:rsid w:val="00260C38"/>
    <w:rsid w:val="0026105C"/>
    <w:rsid w:val="002616C0"/>
    <w:rsid w:val="00264A9B"/>
    <w:rsid w:val="00265372"/>
    <w:rsid w:val="00265D37"/>
    <w:rsid w:val="00265DC8"/>
    <w:rsid w:val="002662AA"/>
    <w:rsid w:val="00270CED"/>
    <w:rsid w:val="00271684"/>
    <w:rsid w:val="00271BCA"/>
    <w:rsid w:val="00273D97"/>
    <w:rsid w:val="002770B6"/>
    <w:rsid w:val="00277A75"/>
    <w:rsid w:val="00280496"/>
    <w:rsid w:val="00282347"/>
    <w:rsid w:val="00286EB0"/>
    <w:rsid w:val="002934B4"/>
    <w:rsid w:val="002940FF"/>
    <w:rsid w:val="00294DC9"/>
    <w:rsid w:val="002953AE"/>
    <w:rsid w:val="00295495"/>
    <w:rsid w:val="00296214"/>
    <w:rsid w:val="00297E3C"/>
    <w:rsid w:val="002A044F"/>
    <w:rsid w:val="002A07D0"/>
    <w:rsid w:val="002A1BC2"/>
    <w:rsid w:val="002A27B4"/>
    <w:rsid w:val="002A31DE"/>
    <w:rsid w:val="002A340F"/>
    <w:rsid w:val="002A7269"/>
    <w:rsid w:val="002A79AC"/>
    <w:rsid w:val="002A7A06"/>
    <w:rsid w:val="002B2613"/>
    <w:rsid w:val="002B2A7D"/>
    <w:rsid w:val="002B3199"/>
    <w:rsid w:val="002B3651"/>
    <w:rsid w:val="002B3B3A"/>
    <w:rsid w:val="002B3D7D"/>
    <w:rsid w:val="002B5DC9"/>
    <w:rsid w:val="002B77BD"/>
    <w:rsid w:val="002C2B8A"/>
    <w:rsid w:val="002C2CC1"/>
    <w:rsid w:val="002C5CD2"/>
    <w:rsid w:val="002C6716"/>
    <w:rsid w:val="002D0A19"/>
    <w:rsid w:val="002D3244"/>
    <w:rsid w:val="002D348D"/>
    <w:rsid w:val="002D3DDE"/>
    <w:rsid w:val="002D50FC"/>
    <w:rsid w:val="002D5CE8"/>
    <w:rsid w:val="002D5D15"/>
    <w:rsid w:val="002D6D05"/>
    <w:rsid w:val="002D7214"/>
    <w:rsid w:val="002D7D47"/>
    <w:rsid w:val="002E39CE"/>
    <w:rsid w:val="002E4F33"/>
    <w:rsid w:val="002E6A7C"/>
    <w:rsid w:val="002E6F08"/>
    <w:rsid w:val="002F1440"/>
    <w:rsid w:val="002F1818"/>
    <w:rsid w:val="002F193B"/>
    <w:rsid w:val="002F3356"/>
    <w:rsid w:val="002F41E7"/>
    <w:rsid w:val="002F424B"/>
    <w:rsid w:val="002F5552"/>
    <w:rsid w:val="002F567B"/>
    <w:rsid w:val="002F67B2"/>
    <w:rsid w:val="002F77D0"/>
    <w:rsid w:val="002F7D2E"/>
    <w:rsid w:val="00300814"/>
    <w:rsid w:val="00302D65"/>
    <w:rsid w:val="00305A41"/>
    <w:rsid w:val="00305A58"/>
    <w:rsid w:val="003065F4"/>
    <w:rsid w:val="0031024D"/>
    <w:rsid w:val="00310795"/>
    <w:rsid w:val="00311223"/>
    <w:rsid w:val="00311838"/>
    <w:rsid w:val="00311862"/>
    <w:rsid w:val="00311E7B"/>
    <w:rsid w:val="0031280E"/>
    <w:rsid w:val="00315CDF"/>
    <w:rsid w:val="003175B1"/>
    <w:rsid w:val="0031787C"/>
    <w:rsid w:val="003179D1"/>
    <w:rsid w:val="00317BED"/>
    <w:rsid w:val="00317EF0"/>
    <w:rsid w:val="00320383"/>
    <w:rsid w:val="003206ED"/>
    <w:rsid w:val="00320774"/>
    <w:rsid w:val="003216A9"/>
    <w:rsid w:val="00324131"/>
    <w:rsid w:val="00326188"/>
    <w:rsid w:val="00327435"/>
    <w:rsid w:val="0032766D"/>
    <w:rsid w:val="00330B25"/>
    <w:rsid w:val="00330E6C"/>
    <w:rsid w:val="00332255"/>
    <w:rsid w:val="00332FB7"/>
    <w:rsid w:val="00335055"/>
    <w:rsid w:val="00335595"/>
    <w:rsid w:val="00335A74"/>
    <w:rsid w:val="00335D8E"/>
    <w:rsid w:val="00336518"/>
    <w:rsid w:val="003374C5"/>
    <w:rsid w:val="00340392"/>
    <w:rsid w:val="00344523"/>
    <w:rsid w:val="00350E14"/>
    <w:rsid w:val="00350EBE"/>
    <w:rsid w:val="0035159A"/>
    <w:rsid w:val="003526F8"/>
    <w:rsid w:val="00352A01"/>
    <w:rsid w:val="00355A7B"/>
    <w:rsid w:val="003618E9"/>
    <w:rsid w:val="00362B10"/>
    <w:rsid w:val="00363091"/>
    <w:rsid w:val="00364141"/>
    <w:rsid w:val="003645CC"/>
    <w:rsid w:val="00364B44"/>
    <w:rsid w:val="0036561B"/>
    <w:rsid w:val="00365D2D"/>
    <w:rsid w:val="00365F82"/>
    <w:rsid w:val="00366341"/>
    <w:rsid w:val="0036686F"/>
    <w:rsid w:val="0036734D"/>
    <w:rsid w:val="0037013F"/>
    <w:rsid w:val="00370EE6"/>
    <w:rsid w:val="00371290"/>
    <w:rsid w:val="00372AFD"/>
    <w:rsid w:val="00372C10"/>
    <w:rsid w:val="00373058"/>
    <w:rsid w:val="00375D6B"/>
    <w:rsid w:val="00376143"/>
    <w:rsid w:val="003762F1"/>
    <w:rsid w:val="00376982"/>
    <w:rsid w:val="003779EC"/>
    <w:rsid w:val="00377F3F"/>
    <w:rsid w:val="0038089B"/>
    <w:rsid w:val="003809CD"/>
    <w:rsid w:val="00380C92"/>
    <w:rsid w:val="00383EF7"/>
    <w:rsid w:val="0038752A"/>
    <w:rsid w:val="00387AE0"/>
    <w:rsid w:val="00391260"/>
    <w:rsid w:val="00392C01"/>
    <w:rsid w:val="003944DB"/>
    <w:rsid w:val="0039656A"/>
    <w:rsid w:val="00397453"/>
    <w:rsid w:val="00397D97"/>
    <w:rsid w:val="003A17F5"/>
    <w:rsid w:val="003A39FD"/>
    <w:rsid w:val="003A3A47"/>
    <w:rsid w:val="003A484F"/>
    <w:rsid w:val="003A4883"/>
    <w:rsid w:val="003A6772"/>
    <w:rsid w:val="003A6774"/>
    <w:rsid w:val="003A6FE3"/>
    <w:rsid w:val="003B0BE0"/>
    <w:rsid w:val="003B0C1B"/>
    <w:rsid w:val="003B113E"/>
    <w:rsid w:val="003B167A"/>
    <w:rsid w:val="003B1A81"/>
    <w:rsid w:val="003B201A"/>
    <w:rsid w:val="003B26AF"/>
    <w:rsid w:val="003B2D30"/>
    <w:rsid w:val="003B3399"/>
    <w:rsid w:val="003B35FA"/>
    <w:rsid w:val="003B3951"/>
    <w:rsid w:val="003B3E09"/>
    <w:rsid w:val="003B43BD"/>
    <w:rsid w:val="003B5149"/>
    <w:rsid w:val="003B53F7"/>
    <w:rsid w:val="003B5984"/>
    <w:rsid w:val="003B5CF6"/>
    <w:rsid w:val="003B688C"/>
    <w:rsid w:val="003B6A63"/>
    <w:rsid w:val="003B7801"/>
    <w:rsid w:val="003B7BED"/>
    <w:rsid w:val="003C0291"/>
    <w:rsid w:val="003C24B8"/>
    <w:rsid w:val="003C29C3"/>
    <w:rsid w:val="003C35EA"/>
    <w:rsid w:val="003C39AE"/>
    <w:rsid w:val="003C4C94"/>
    <w:rsid w:val="003C4EE5"/>
    <w:rsid w:val="003C52C3"/>
    <w:rsid w:val="003C699F"/>
    <w:rsid w:val="003C7B60"/>
    <w:rsid w:val="003D0C0F"/>
    <w:rsid w:val="003D0FF3"/>
    <w:rsid w:val="003D1FB2"/>
    <w:rsid w:val="003D2CBA"/>
    <w:rsid w:val="003D34BF"/>
    <w:rsid w:val="003D4154"/>
    <w:rsid w:val="003D4E6C"/>
    <w:rsid w:val="003D5A03"/>
    <w:rsid w:val="003D66DA"/>
    <w:rsid w:val="003D6A2B"/>
    <w:rsid w:val="003D6FF9"/>
    <w:rsid w:val="003E1310"/>
    <w:rsid w:val="003E1DDC"/>
    <w:rsid w:val="003E287F"/>
    <w:rsid w:val="003E2E42"/>
    <w:rsid w:val="003E3092"/>
    <w:rsid w:val="003E4025"/>
    <w:rsid w:val="003E434D"/>
    <w:rsid w:val="003E4C7F"/>
    <w:rsid w:val="003E5422"/>
    <w:rsid w:val="003E56BA"/>
    <w:rsid w:val="003E5D1B"/>
    <w:rsid w:val="003E6B0A"/>
    <w:rsid w:val="003E6DE1"/>
    <w:rsid w:val="003E6F55"/>
    <w:rsid w:val="003E702F"/>
    <w:rsid w:val="003E724D"/>
    <w:rsid w:val="003E7341"/>
    <w:rsid w:val="003E7C83"/>
    <w:rsid w:val="003F1B74"/>
    <w:rsid w:val="003F2F00"/>
    <w:rsid w:val="003F51F1"/>
    <w:rsid w:val="003F5E50"/>
    <w:rsid w:val="003F7AF5"/>
    <w:rsid w:val="00400BC5"/>
    <w:rsid w:val="004038A0"/>
    <w:rsid w:val="0040546D"/>
    <w:rsid w:val="004056DE"/>
    <w:rsid w:val="00406254"/>
    <w:rsid w:val="004102B2"/>
    <w:rsid w:val="004105D9"/>
    <w:rsid w:val="00412CCD"/>
    <w:rsid w:val="00416044"/>
    <w:rsid w:val="004173AE"/>
    <w:rsid w:val="00417435"/>
    <w:rsid w:val="004200FC"/>
    <w:rsid w:val="00420CE0"/>
    <w:rsid w:val="00421CD2"/>
    <w:rsid w:val="004220FF"/>
    <w:rsid w:val="00422397"/>
    <w:rsid w:val="004223DE"/>
    <w:rsid w:val="00422B30"/>
    <w:rsid w:val="00424BA4"/>
    <w:rsid w:val="00427100"/>
    <w:rsid w:val="00430B22"/>
    <w:rsid w:val="004318CD"/>
    <w:rsid w:val="00431A71"/>
    <w:rsid w:val="00432B51"/>
    <w:rsid w:val="00434489"/>
    <w:rsid w:val="00434C58"/>
    <w:rsid w:val="00436854"/>
    <w:rsid w:val="00437085"/>
    <w:rsid w:val="0043796F"/>
    <w:rsid w:val="0044099A"/>
    <w:rsid w:val="00441DA7"/>
    <w:rsid w:val="00443880"/>
    <w:rsid w:val="0044422B"/>
    <w:rsid w:val="00444239"/>
    <w:rsid w:val="00444F7A"/>
    <w:rsid w:val="0044544A"/>
    <w:rsid w:val="00445E57"/>
    <w:rsid w:val="00446238"/>
    <w:rsid w:val="004464F4"/>
    <w:rsid w:val="004465EF"/>
    <w:rsid w:val="00446B13"/>
    <w:rsid w:val="00450A51"/>
    <w:rsid w:val="00450B7C"/>
    <w:rsid w:val="00451103"/>
    <w:rsid w:val="004513DF"/>
    <w:rsid w:val="004523EC"/>
    <w:rsid w:val="00454861"/>
    <w:rsid w:val="00454986"/>
    <w:rsid w:val="00454B6A"/>
    <w:rsid w:val="00455111"/>
    <w:rsid w:val="00455412"/>
    <w:rsid w:val="0046011F"/>
    <w:rsid w:val="004610CA"/>
    <w:rsid w:val="00464D4D"/>
    <w:rsid w:val="00464E89"/>
    <w:rsid w:val="004651D4"/>
    <w:rsid w:val="00465A04"/>
    <w:rsid w:val="00465DBB"/>
    <w:rsid w:val="00467D07"/>
    <w:rsid w:val="00470246"/>
    <w:rsid w:val="00471401"/>
    <w:rsid w:val="00471FDA"/>
    <w:rsid w:val="00472DC9"/>
    <w:rsid w:val="004735E6"/>
    <w:rsid w:val="00473F31"/>
    <w:rsid w:val="00477B65"/>
    <w:rsid w:val="00480CB4"/>
    <w:rsid w:val="00481710"/>
    <w:rsid w:val="0048263A"/>
    <w:rsid w:val="00482924"/>
    <w:rsid w:val="00482EA3"/>
    <w:rsid w:val="0048384D"/>
    <w:rsid w:val="00483DE7"/>
    <w:rsid w:val="00483E6D"/>
    <w:rsid w:val="00484555"/>
    <w:rsid w:val="00484E93"/>
    <w:rsid w:val="0048600D"/>
    <w:rsid w:val="00486821"/>
    <w:rsid w:val="00486DB6"/>
    <w:rsid w:val="004874E7"/>
    <w:rsid w:val="00487E5D"/>
    <w:rsid w:val="00491364"/>
    <w:rsid w:val="00491631"/>
    <w:rsid w:val="004936AF"/>
    <w:rsid w:val="004949B2"/>
    <w:rsid w:val="00494AD5"/>
    <w:rsid w:val="00496C5B"/>
    <w:rsid w:val="004974C5"/>
    <w:rsid w:val="00497EF2"/>
    <w:rsid w:val="00497FBC"/>
    <w:rsid w:val="004A03D7"/>
    <w:rsid w:val="004A35EE"/>
    <w:rsid w:val="004A4AE3"/>
    <w:rsid w:val="004A711F"/>
    <w:rsid w:val="004A731F"/>
    <w:rsid w:val="004B076D"/>
    <w:rsid w:val="004B199D"/>
    <w:rsid w:val="004B4690"/>
    <w:rsid w:val="004B5123"/>
    <w:rsid w:val="004B58DD"/>
    <w:rsid w:val="004B5D31"/>
    <w:rsid w:val="004B5E65"/>
    <w:rsid w:val="004B61C1"/>
    <w:rsid w:val="004C0A65"/>
    <w:rsid w:val="004C131C"/>
    <w:rsid w:val="004C35C4"/>
    <w:rsid w:val="004C4FB1"/>
    <w:rsid w:val="004C6C8E"/>
    <w:rsid w:val="004C7746"/>
    <w:rsid w:val="004D4D56"/>
    <w:rsid w:val="004D5363"/>
    <w:rsid w:val="004D7D41"/>
    <w:rsid w:val="004E0A2D"/>
    <w:rsid w:val="004E206B"/>
    <w:rsid w:val="004E31C5"/>
    <w:rsid w:val="004E32F2"/>
    <w:rsid w:val="004E36B4"/>
    <w:rsid w:val="004E3BB6"/>
    <w:rsid w:val="004E3DE5"/>
    <w:rsid w:val="004E4D8D"/>
    <w:rsid w:val="004E4F54"/>
    <w:rsid w:val="004E6DF7"/>
    <w:rsid w:val="004E6FE8"/>
    <w:rsid w:val="004F0FBD"/>
    <w:rsid w:val="004F10BA"/>
    <w:rsid w:val="004F1277"/>
    <w:rsid w:val="004F3085"/>
    <w:rsid w:val="004F5380"/>
    <w:rsid w:val="004F5898"/>
    <w:rsid w:val="004F658F"/>
    <w:rsid w:val="004F698F"/>
    <w:rsid w:val="004F7575"/>
    <w:rsid w:val="004F7969"/>
    <w:rsid w:val="00501F87"/>
    <w:rsid w:val="00502AD3"/>
    <w:rsid w:val="0050380F"/>
    <w:rsid w:val="005039E7"/>
    <w:rsid w:val="00504D0D"/>
    <w:rsid w:val="00505191"/>
    <w:rsid w:val="00505A47"/>
    <w:rsid w:val="00506712"/>
    <w:rsid w:val="005101DB"/>
    <w:rsid w:val="005108FA"/>
    <w:rsid w:val="00512A06"/>
    <w:rsid w:val="00512FDA"/>
    <w:rsid w:val="005139D1"/>
    <w:rsid w:val="00514E7F"/>
    <w:rsid w:val="00515101"/>
    <w:rsid w:val="0051562E"/>
    <w:rsid w:val="00515892"/>
    <w:rsid w:val="00515C92"/>
    <w:rsid w:val="00515EC3"/>
    <w:rsid w:val="00520DA0"/>
    <w:rsid w:val="0052113F"/>
    <w:rsid w:val="0052189F"/>
    <w:rsid w:val="005219BD"/>
    <w:rsid w:val="00522C98"/>
    <w:rsid w:val="0052336B"/>
    <w:rsid w:val="00523755"/>
    <w:rsid w:val="00523858"/>
    <w:rsid w:val="005241F9"/>
    <w:rsid w:val="005252E0"/>
    <w:rsid w:val="00525F0B"/>
    <w:rsid w:val="0052752C"/>
    <w:rsid w:val="00527697"/>
    <w:rsid w:val="0052798C"/>
    <w:rsid w:val="00527991"/>
    <w:rsid w:val="00527BDB"/>
    <w:rsid w:val="00530E2C"/>
    <w:rsid w:val="00532285"/>
    <w:rsid w:val="00535378"/>
    <w:rsid w:val="0053680F"/>
    <w:rsid w:val="00536E12"/>
    <w:rsid w:val="00537D41"/>
    <w:rsid w:val="00540C96"/>
    <w:rsid w:val="00541C72"/>
    <w:rsid w:val="00542058"/>
    <w:rsid w:val="00543DD7"/>
    <w:rsid w:val="00543F6B"/>
    <w:rsid w:val="00544B82"/>
    <w:rsid w:val="00544D42"/>
    <w:rsid w:val="00547A92"/>
    <w:rsid w:val="005500BF"/>
    <w:rsid w:val="005506CD"/>
    <w:rsid w:val="005511E6"/>
    <w:rsid w:val="00552602"/>
    <w:rsid w:val="00552CDD"/>
    <w:rsid w:val="00553127"/>
    <w:rsid w:val="00553128"/>
    <w:rsid w:val="005536EC"/>
    <w:rsid w:val="0055393F"/>
    <w:rsid w:val="00553AFB"/>
    <w:rsid w:val="005541CC"/>
    <w:rsid w:val="0055436A"/>
    <w:rsid w:val="00554C6C"/>
    <w:rsid w:val="0055501C"/>
    <w:rsid w:val="0055716C"/>
    <w:rsid w:val="00557CF5"/>
    <w:rsid w:val="0056043F"/>
    <w:rsid w:val="00562E42"/>
    <w:rsid w:val="005642CB"/>
    <w:rsid w:val="005653E7"/>
    <w:rsid w:val="00565987"/>
    <w:rsid w:val="005664BB"/>
    <w:rsid w:val="005665AA"/>
    <w:rsid w:val="00566752"/>
    <w:rsid w:val="00566FFA"/>
    <w:rsid w:val="00567487"/>
    <w:rsid w:val="00571500"/>
    <w:rsid w:val="005717A9"/>
    <w:rsid w:val="0057273D"/>
    <w:rsid w:val="0057456C"/>
    <w:rsid w:val="0057481D"/>
    <w:rsid w:val="005750C4"/>
    <w:rsid w:val="00575A69"/>
    <w:rsid w:val="005767CD"/>
    <w:rsid w:val="00577560"/>
    <w:rsid w:val="00580806"/>
    <w:rsid w:val="00582B2C"/>
    <w:rsid w:val="0058486E"/>
    <w:rsid w:val="00585470"/>
    <w:rsid w:val="00585645"/>
    <w:rsid w:val="00585B33"/>
    <w:rsid w:val="00586B29"/>
    <w:rsid w:val="0059014D"/>
    <w:rsid w:val="00591A74"/>
    <w:rsid w:val="00592A60"/>
    <w:rsid w:val="00592B05"/>
    <w:rsid w:val="00592D1C"/>
    <w:rsid w:val="005941CB"/>
    <w:rsid w:val="00595129"/>
    <w:rsid w:val="00597901"/>
    <w:rsid w:val="005A1836"/>
    <w:rsid w:val="005A1FA9"/>
    <w:rsid w:val="005A247C"/>
    <w:rsid w:val="005A5AA2"/>
    <w:rsid w:val="005A5E17"/>
    <w:rsid w:val="005B14BC"/>
    <w:rsid w:val="005B17E4"/>
    <w:rsid w:val="005B3B54"/>
    <w:rsid w:val="005B4D38"/>
    <w:rsid w:val="005B4FDF"/>
    <w:rsid w:val="005B55F0"/>
    <w:rsid w:val="005B595E"/>
    <w:rsid w:val="005B5C64"/>
    <w:rsid w:val="005B5EDD"/>
    <w:rsid w:val="005B79ED"/>
    <w:rsid w:val="005C1468"/>
    <w:rsid w:val="005C49E4"/>
    <w:rsid w:val="005C4DFC"/>
    <w:rsid w:val="005C5337"/>
    <w:rsid w:val="005C6513"/>
    <w:rsid w:val="005C6BD0"/>
    <w:rsid w:val="005C73E2"/>
    <w:rsid w:val="005C7881"/>
    <w:rsid w:val="005D02A4"/>
    <w:rsid w:val="005D15BE"/>
    <w:rsid w:val="005D1C8B"/>
    <w:rsid w:val="005D468D"/>
    <w:rsid w:val="005D4ACE"/>
    <w:rsid w:val="005D5CED"/>
    <w:rsid w:val="005D61A3"/>
    <w:rsid w:val="005D6DC1"/>
    <w:rsid w:val="005E050F"/>
    <w:rsid w:val="005E0638"/>
    <w:rsid w:val="005E0ACF"/>
    <w:rsid w:val="005E21CC"/>
    <w:rsid w:val="005E256F"/>
    <w:rsid w:val="005E27E9"/>
    <w:rsid w:val="005E3590"/>
    <w:rsid w:val="005E42E4"/>
    <w:rsid w:val="005E51B9"/>
    <w:rsid w:val="005E62F1"/>
    <w:rsid w:val="005E7383"/>
    <w:rsid w:val="005F052C"/>
    <w:rsid w:val="005F189F"/>
    <w:rsid w:val="005F1A4C"/>
    <w:rsid w:val="005F2907"/>
    <w:rsid w:val="005F386B"/>
    <w:rsid w:val="005F3EF3"/>
    <w:rsid w:val="005F63B9"/>
    <w:rsid w:val="006001B7"/>
    <w:rsid w:val="00603EF5"/>
    <w:rsid w:val="00605437"/>
    <w:rsid w:val="00605688"/>
    <w:rsid w:val="006069A5"/>
    <w:rsid w:val="006070AF"/>
    <w:rsid w:val="006072BC"/>
    <w:rsid w:val="00607829"/>
    <w:rsid w:val="0060790A"/>
    <w:rsid w:val="00607E6C"/>
    <w:rsid w:val="006101B1"/>
    <w:rsid w:val="006109B3"/>
    <w:rsid w:val="00610DB2"/>
    <w:rsid w:val="006118AA"/>
    <w:rsid w:val="00612636"/>
    <w:rsid w:val="00612C5E"/>
    <w:rsid w:val="00614332"/>
    <w:rsid w:val="00614E44"/>
    <w:rsid w:val="00615DFA"/>
    <w:rsid w:val="0061640E"/>
    <w:rsid w:val="00616769"/>
    <w:rsid w:val="00616C18"/>
    <w:rsid w:val="0062006D"/>
    <w:rsid w:val="0062047B"/>
    <w:rsid w:val="00621465"/>
    <w:rsid w:val="0062225B"/>
    <w:rsid w:val="0062270A"/>
    <w:rsid w:val="00622830"/>
    <w:rsid w:val="00623AA0"/>
    <w:rsid w:val="00623C28"/>
    <w:rsid w:val="00623DA0"/>
    <w:rsid w:val="00624A63"/>
    <w:rsid w:val="00624C2E"/>
    <w:rsid w:val="00624CE2"/>
    <w:rsid w:val="00625041"/>
    <w:rsid w:val="0062682E"/>
    <w:rsid w:val="00627A5C"/>
    <w:rsid w:val="00630727"/>
    <w:rsid w:val="00630AEF"/>
    <w:rsid w:val="0063176D"/>
    <w:rsid w:val="006325F8"/>
    <w:rsid w:val="00632DCB"/>
    <w:rsid w:val="006331F2"/>
    <w:rsid w:val="00633463"/>
    <w:rsid w:val="00633FE6"/>
    <w:rsid w:val="00634C9A"/>
    <w:rsid w:val="00640959"/>
    <w:rsid w:val="00640D0F"/>
    <w:rsid w:val="00642077"/>
    <w:rsid w:val="00642ED7"/>
    <w:rsid w:val="00643998"/>
    <w:rsid w:val="00643C09"/>
    <w:rsid w:val="006440E4"/>
    <w:rsid w:val="006441BA"/>
    <w:rsid w:val="006449FF"/>
    <w:rsid w:val="00645923"/>
    <w:rsid w:val="00645C58"/>
    <w:rsid w:val="00651BBD"/>
    <w:rsid w:val="006530D2"/>
    <w:rsid w:val="0065345F"/>
    <w:rsid w:val="00655535"/>
    <w:rsid w:val="006558ED"/>
    <w:rsid w:val="00655DA1"/>
    <w:rsid w:val="0066036F"/>
    <w:rsid w:val="00660A7E"/>
    <w:rsid w:val="00660C06"/>
    <w:rsid w:val="00660DAF"/>
    <w:rsid w:val="006619D6"/>
    <w:rsid w:val="00661FCA"/>
    <w:rsid w:val="00662CAC"/>
    <w:rsid w:val="00662DFE"/>
    <w:rsid w:val="0066343B"/>
    <w:rsid w:val="006646B6"/>
    <w:rsid w:val="00664777"/>
    <w:rsid w:val="00664B1B"/>
    <w:rsid w:val="00666DD8"/>
    <w:rsid w:val="006676E8"/>
    <w:rsid w:val="006700F9"/>
    <w:rsid w:val="006701E8"/>
    <w:rsid w:val="00670F02"/>
    <w:rsid w:val="00670FBC"/>
    <w:rsid w:val="006719A9"/>
    <w:rsid w:val="006725B2"/>
    <w:rsid w:val="00674255"/>
    <w:rsid w:val="006748A4"/>
    <w:rsid w:val="00675060"/>
    <w:rsid w:val="0067550B"/>
    <w:rsid w:val="006767BA"/>
    <w:rsid w:val="00677B50"/>
    <w:rsid w:val="006807DE"/>
    <w:rsid w:val="00680CF1"/>
    <w:rsid w:val="00681A31"/>
    <w:rsid w:val="0068229B"/>
    <w:rsid w:val="00683405"/>
    <w:rsid w:val="0068356A"/>
    <w:rsid w:val="00683E73"/>
    <w:rsid w:val="00683F8E"/>
    <w:rsid w:val="00685B64"/>
    <w:rsid w:val="00691D31"/>
    <w:rsid w:val="00692DBB"/>
    <w:rsid w:val="006933F7"/>
    <w:rsid w:val="0069421F"/>
    <w:rsid w:val="006961EF"/>
    <w:rsid w:val="00697D81"/>
    <w:rsid w:val="006A0DB3"/>
    <w:rsid w:val="006A13D8"/>
    <w:rsid w:val="006A1B04"/>
    <w:rsid w:val="006A2167"/>
    <w:rsid w:val="006A24C0"/>
    <w:rsid w:val="006A3141"/>
    <w:rsid w:val="006A3BDE"/>
    <w:rsid w:val="006A4375"/>
    <w:rsid w:val="006A457E"/>
    <w:rsid w:val="006A5E34"/>
    <w:rsid w:val="006A76C1"/>
    <w:rsid w:val="006B0031"/>
    <w:rsid w:val="006B0510"/>
    <w:rsid w:val="006B0B21"/>
    <w:rsid w:val="006B2422"/>
    <w:rsid w:val="006B2B9A"/>
    <w:rsid w:val="006B4287"/>
    <w:rsid w:val="006B5E5E"/>
    <w:rsid w:val="006B663D"/>
    <w:rsid w:val="006B6676"/>
    <w:rsid w:val="006C0D38"/>
    <w:rsid w:val="006C1318"/>
    <w:rsid w:val="006C15C4"/>
    <w:rsid w:val="006C1937"/>
    <w:rsid w:val="006C2B87"/>
    <w:rsid w:val="006C529C"/>
    <w:rsid w:val="006C5AF4"/>
    <w:rsid w:val="006C6942"/>
    <w:rsid w:val="006C6F5B"/>
    <w:rsid w:val="006C79E4"/>
    <w:rsid w:val="006D034D"/>
    <w:rsid w:val="006D069F"/>
    <w:rsid w:val="006D0D2B"/>
    <w:rsid w:val="006D12CB"/>
    <w:rsid w:val="006D16E7"/>
    <w:rsid w:val="006D2113"/>
    <w:rsid w:val="006D2AC1"/>
    <w:rsid w:val="006D2E33"/>
    <w:rsid w:val="006D5060"/>
    <w:rsid w:val="006D6041"/>
    <w:rsid w:val="006D66F4"/>
    <w:rsid w:val="006D7F8A"/>
    <w:rsid w:val="006E0BD1"/>
    <w:rsid w:val="006E0C15"/>
    <w:rsid w:val="006E0C76"/>
    <w:rsid w:val="006E49FC"/>
    <w:rsid w:val="006E4E13"/>
    <w:rsid w:val="006E55B3"/>
    <w:rsid w:val="006F020C"/>
    <w:rsid w:val="006F0DB1"/>
    <w:rsid w:val="006F1773"/>
    <w:rsid w:val="006F1820"/>
    <w:rsid w:val="006F3C97"/>
    <w:rsid w:val="006F72ED"/>
    <w:rsid w:val="0070087D"/>
    <w:rsid w:val="00700B78"/>
    <w:rsid w:val="007013DC"/>
    <w:rsid w:val="00701515"/>
    <w:rsid w:val="00701BBD"/>
    <w:rsid w:val="007051DB"/>
    <w:rsid w:val="007060E3"/>
    <w:rsid w:val="00710AAD"/>
    <w:rsid w:val="00710EF8"/>
    <w:rsid w:val="00711EE1"/>
    <w:rsid w:val="00711EE4"/>
    <w:rsid w:val="0071254E"/>
    <w:rsid w:val="007127B7"/>
    <w:rsid w:val="007144B0"/>
    <w:rsid w:val="00715D4E"/>
    <w:rsid w:val="00715ED3"/>
    <w:rsid w:val="00716366"/>
    <w:rsid w:val="0071798E"/>
    <w:rsid w:val="00722CE5"/>
    <w:rsid w:val="00724846"/>
    <w:rsid w:val="0072487E"/>
    <w:rsid w:val="00724D07"/>
    <w:rsid w:val="00726950"/>
    <w:rsid w:val="00727C7E"/>
    <w:rsid w:val="00730956"/>
    <w:rsid w:val="007318B6"/>
    <w:rsid w:val="00732775"/>
    <w:rsid w:val="00732C11"/>
    <w:rsid w:val="00734F5B"/>
    <w:rsid w:val="007352A2"/>
    <w:rsid w:val="00735F27"/>
    <w:rsid w:val="00736982"/>
    <w:rsid w:val="00740903"/>
    <w:rsid w:val="00740AA4"/>
    <w:rsid w:val="00741206"/>
    <w:rsid w:val="007416B6"/>
    <w:rsid w:val="007417C5"/>
    <w:rsid w:val="00742AE4"/>
    <w:rsid w:val="00743ECC"/>
    <w:rsid w:val="0074478B"/>
    <w:rsid w:val="00744C3F"/>
    <w:rsid w:val="00745BED"/>
    <w:rsid w:val="00746933"/>
    <w:rsid w:val="00746F48"/>
    <w:rsid w:val="00747A6F"/>
    <w:rsid w:val="00751A1E"/>
    <w:rsid w:val="00752214"/>
    <w:rsid w:val="00752DAB"/>
    <w:rsid w:val="007537DB"/>
    <w:rsid w:val="0075404D"/>
    <w:rsid w:val="00757F4F"/>
    <w:rsid w:val="0076182A"/>
    <w:rsid w:val="00762596"/>
    <w:rsid w:val="00763652"/>
    <w:rsid w:val="00763B91"/>
    <w:rsid w:val="00763F48"/>
    <w:rsid w:val="00764098"/>
    <w:rsid w:val="0076445B"/>
    <w:rsid w:val="00764A4A"/>
    <w:rsid w:val="00765A9B"/>
    <w:rsid w:val="00766B1A"/>
    <w:rsid w:val="00767B7E"/>
    <w:rsid w:val="007708EA"/>
    <w:rsid w:val="00771991"/>
    <w:rsid w:val="00772D5E"/>
    <w:rsid w:val="00772E83"/>
    <w:rsid w:val="007770C3"/>
    <w:rsid w:val="0078124B"/>
    <w:rsid w:val="00784511"/>
    <w:rsid w:val="00784D24"/>
    <w:rsid w:val="00784EFC"/>
    <w:rsid w:val="00784FF3"/>
    <w:rsid w:val="00785FBA"/>
    <w:rsid w:val="00786004"/>
    <w:rsid w:val="00786A9F"/>
    <w:rsid w:val="00786B1C"/>
    <w:rsid w:val="00786E4A"/>
    <w:rsid w:val="007875EB"/>
    <w:rsid w:val="00790631"/>
    <w:rsid w:val="00792B5F"/>
    <w:rsid w:val="00792FA2"/>
    <w:rsid w:val="00793002"/>
    <w:rsid w:val="00793731"/>
    <w:rsid w:val="0079426B"/>
    <w:rsid w:val="00796CA1"/>
    <w:rsid w:val="00797707"/>
    <w:rsid w:val="007A29E2"/>
    <w:rsid w:val="007A3571"/>
    <w:rsid w:val="007A46AB"/>
    <w:rsid w:val="007A4F35"/>
    <w:rsid w:val="007A537E"/>
    <w:rsid w:val="007B0717"/>
    <w:rsid w:val="007B0E04"/>
    <w:rsid w:val="007B174D"/>
    <w:rsid w:val="007B243C"/>
    <w:rsid w:val="007B5B08"/>
    <w:rsid w:val="007B5B59"/>
    <w:rsid w:val="007B7547"/>
    <w:rsid w:val="007B7BDC"/>
    <w:rsid w:val="007B7DAA"/>
    <w:rsid w:val="007C18A4"/>
    <w:rsid w:val="007C22B6"/>
    <w:rsid w:val="007C29E4"/>
    <w:rsid w:val="007C3C25"/>
    <w:rsid w:val="007C6898"/>
    <w:rsid w:val="007D1682"/>
    <w:rsid w:val="007D2005"/>
    <w:rsid w:val="007D2767"/>
    <w:rsid w:val="007D312A"/>
    <w:rsid w:val="007D35F1"/>
    <w:rsid w:val="007D3F19"/>
    <w:rsid w:val="007D4C74"/>
    <w:rsid w:val="007D72AF"/>
    <w:rsid w:val="007E180A"/>
    <w:rsid w:val="007E1E8B"/>
    <w:rsid w:val="007E22CD"/>
    <w:rsid w:val="007E23B0"/>
    <w:rsid w:val="007E23E5"/>
    <w:rsid w:val="007E34DE"/>
    <w:rsid w:val="007E6413"/>
    <w:rsid w:val="007F1991"/>
    <w:rsid w:val="007F221C"/>
    <w:rsid w:val="007F2C2F"/>
    <w:rsid w:val="007F33B5"/>
    <w:rsid w:val="007F55FC"/>
    <w:rsid w:val="007F5665"/>
    <w:rsid w:val="007F6A4A"/>
    <w:rsid w:val="00800112"/>
    <w:rsid w:val="008012E7"/>
    <w:rsid w:val="0080207A"/>
    <w:rsid w:val="00802F86"/>
    <w:rsid w:val="00803065"/>
    <w:rsid w:val="00803D1B"/>
    <w:rsid w:val="00804A52"/>
    <w:rsid w:val="00804E7C"/>
    <w:rsid w:val="00805E29"/>
    <w:rsid w:val="00807C79"/>
    <w:rsid w:val="0081190F"/>
    <w:rsid w:val="00813348"/>
    <w:rsid w:val="00813C2F"/>
    <w:rsid w:val="00814651"/>
    <w:rsid w:val="008151A7"/>
    <w:rsid w:val="00815BB0"/>
    <w:rsid w:val="00816194"/>
    <w:rsid w:val="00816EDF"/>
    <w:rsid w:val="00817119"/>
    <w:rsid w:val="008175A4"/>
    <w:rsid w:val="0082029A"/>
    <w:rsid w:val="00821B87"/>
    <w:rsid w:val="008227D3"/>
    <w:rsid w:val="008239DD"/>
    <w:rsid w:val="00825049"/>
    <w:rsid w:val="008253BB"/>
    <w:rsid w:val="00825BEF"/>
    <w:rsid w:val="00827EEF"/>
    <w:rsid w:val="008321CA"/>
    <w:rsid w:val="00834149"/>
    <w:rsid w:val="00834B6B"/>
    <w:rsid w:val="008362A5"/>
    <w:rsid w:val="00836948"/>
    <w:rsid w:val="0083706E"/>
    <w:rsid w:val="008404F0"/>
    <w:rsid w:val="008408F6"/>
    <w:rsid w:val="008423A5"/>
    <w:rsid w:val="00844307"/>
    <w:rsid w:val="008457FD"/>
    <w:rsid w:val="00846033"/>
    <w:rsid w:val="00846041"/>
    <w:rsid w:val="00846B10"/>
    <w:rsid w:val="0084740A"/>
    <w:rsid w:val="008475F5"/>
    <w:rsid w:val="00850248"/>
    <w:rsid w:val="00850625"/>
    <w:rsid w:val="00851608"/>
    <w:rsid w:val="008529FF"/>
    <w:rsid w:val="0085316B"/>
    <w:rsid w:val="00853718"/>
    <w:rsid w:val="00853AD6"/>
    <w:rsid w:val="00855221"/>
    <w:rsid w:val="00855DF6"/>
    <w:rsid w:val="0085618C"/>
    <w:rsid w:val="00857ABA"/>
    <w:rsid w:val="00860645"/>
    <w:rsid w:val="00860AA0"/>
    <w:rsid w:val="008612B8"/>
    <w:rsid w:val="00861807"/>
    <w:rsid w:val="00863898"/>
    <w:rsid w:val="0086488F"/>
    <w:rsid w:val="00864916"/>
    <w:rsid w:val="00864D41"/>
    <w:rsid w:val="00865AC0"/>
    <w:rsid w:val="00865D90"/>
    <w:rsid w:val="0087032F"/>
    <w:rsid w:val="00870D14"/>
    <w:rsid w:val="00871F71"/>
    <w:rsid w:val="00872FD8"/>
    <w:rsid w:val="00873025"/>
    <w:rsid w:val="00874E79"/>
    <w:rsid w:val="00875FEB"/>
    <w:rsid w:val="00876B39"/>
    <w:rsid w:val="0088068B"/>
    <w:rsid w:val="00880920"/>
    <w:rsid w:val="00881333"/>
    <w:rsid w:val="00882902"/>
    <w:rsid w:val="00883DD0"/>
    <w:rsid w:val="008857F7"/>
    <w:rsid w:val="0088584A"/>
    <w:rsid w:val="00885AF4"/>
    <w:rsid w:val="00887073"/>
    <w:rsid w:val="00887300"/>
    <w:rsid w:val="008903B6"/>
    <w:rsid w:val="00892CF4"/>
    <w:rsid w:val="008939CD"/>
    <w:rsid w:val="00894130"/>
    <w:rsid w:val="00894AFF"/>
    <w:rsid w:val="00895551"/>
    <w:rsid w:val="0089593E"/>
    <w:rsid w:val="0089634D"/>
    <w:rsid w:val="008967B6"/>
    <w:rsid w:val="008A011F"/>
    <w:rsid w:val="008A0BBF"/>
    <w:rsid w:val="008A2440"/>
    <w:rsid w:val="008A26B0"/>
    <w:rsid w:val="008A3866"/>
    <w:rsid w:val="008A546D"/>
    <w:rsid w:val="008A578C"/>
    <w:rsid w:val="008A5790"/>
    <w:rsid w:val="008A6D20"/>
    <w:rsid w:val="008B004E"/>
    <w:rsid w:val="008B01CE"/>
    <w:rsid w:val="008B30DA"/>
    <w:rsid w:val="008B3332"/>
    <w:rsid w:val="008B3CE1"/>
    <w:rsid w:val="008B46CA"/>
    <w:rsid w:val="008B4FCF"/>
    <w:rsid w:val="008B768C"/>
    <w:rsid w:val="008B7B7C"/>
    <w:rsid w:val="008B7BB6"/>
    <w:rsid w:val="008C0CEE"/>
    <w:rsid w:val="008C3401"/>
    <w:rsid w:val="008C3BA1"/>
    <w:rsid w:val="008C40FF"/>
    <w:rsid w:val="008C4DB1"/>
    <w:rsid w:val="008C4EAF"/>
    <w:rsid w:val="008C5176"/>
    <w:rsid w:val="008C57C3"/>
    <w:rsid w:val="008C65AC"/>
    <w:rsid w:val="008C668A"/>
    <w:rsid w:val="008C6A8F"/>
    <w:rsid w:val="008C7FD0"/>
    <w:rsid w:val="008D10F8"/>
    <w:rsid w:val="008D1148"/>
    <w:rsid w:val="008D1BD9"/>
    <w:rsid w:val="008D1DC3"/>
    <w:rsid w:val="008D3BCC"/>
    <w:rsid w:val="008D3E82"/>
    <w:rsid w:val="008D5686"/>
    <w:rsid w:val="008D5AA6"/>
    <w:rsid w:val="008D7407"/>
    <w:rsid w:val="008E01C7"/>
    <w:rsid w:val="008E037A"/>
    <w:rsid w:val="008E07C4"/>
    <w:rsid w:val="008E0BF8"/>
    <w:rsid w:val="008E0D65"/>
    <w:rsid w:val="008E1DE7"/>
    <w:rsid w:val="008E1DF6"/>
    <w:rsid w:val="008E3A6E"/>
    <w:rsid w:val="008E707C"/>
    <w:rsid w:val="008E70C3"/>
    <w:rsid w:val="008E755A"/>
    <w:rsid w:val="008E7B2F"/>
    <w:rsid w:val="008F1478"/>
    <w:rsid w:val="008F15D7"/>
    <w:rsid w:val="008F24E5"/>
    <w:rsid w:val="008F34BE"/>
    <w:rsid w:val="008F34CC"/>
    <w:rsid w:val="008F3E1C"/>
    <w:rsid w:val="008F4DA5"/>
    <w:rsid w:val="008F6DB2"/>
    <w:rsid w:val="008F6E7D"/>
    <w:rsid w:val="00900B08"/>
    <w:rsid w:val="009011D0"/>
    <w:rsid w:val="00901579"/>
    <w:rsid w:val="009020D0"/>
    <w:rsid w:val="00902155"/>
    <w:rsid w:val="00902FA3"/>
    <w:rsid w:val="00903E63"/>
    <w:rsid w:val="00904B85"/>
    <w:rsid w:val="00905494"/>
    <w:rsid w:val="00905B43"/>
    <w:rsid w:val="009072DC"/>
    <w:rsid w:val="009118D4"/>
    <w:rsid w:val="00911A89"/>
    <w:rsid w:val="0091228C"/>
    <w:rsid w:val="0091239E"/>
    <w:rsid w:val="00917F32"/>
    <w:rsid w:val="00920C00"/>
    <w:rsid w:val="00920D08"/>
    <w:rsid w:val="00921A9F"/>
    <w:rsid w:val="00922364"/>
    <w:rsid w:val="00922450"/>
    <w:rsid w:val="00922B55"/>
    <w:rsid w:val="00923564"/>
    <w:rsid w:val="0092392E"/>
    <w:rsid w:val="00923BAC"/>
    <w:rsid w:val="00924310"/>
    <w:rsid w:val="00925AD3"/>
    <w:rsid w:val="00926BD2"/>
    <w:rsid w:val="0093070D"/>
    <w:rsid w:val="009309C3"/>
    <w:rsid w:val="00930BA9"/>
    <w:rsid w:val="009315F9"/>
    <w:rsid w:val="0093320F"/>
    <w:rsid w:val="00933256"/>
    <w:rsid w:val="00933499"/>
    <w:rsid w:val="00933B71"/>
    <w:rsid w:val="00934EB6"/>
    <w:rsid w:val="00935C98"/>
    <w:rsid w:val="00936127"/>
    <w:rsid w:val="00940919"/>
    <w:rsid w:val="00940DF1"/>
    <w:rsid w:val="00941E72"/>
    <w:rsid w:val="00942681"/>
    <w:rsid w:val="00945C5A"/>
    <w:rsid w:val="00946945"/>
    <w:rsid w:val="00950D31"/>
    <w:rsid w:val="00950F45"/>
    <w:rsid w:val="00951248"/>
    <w:rsid w:val="0095152F"/>
    <w:rsid w:val="00954C49"/>
    <w:rsid w:val="00954F5C"/>
    <w:rsid w:val="00955B5C"/>
    <w:rsid w:val="00955E37"/>
    <w:rsid w:val="009616C9"/>
    <w:rsid w:val="00962472"/>
    <w:rsid w:val="00962897"/>
    <w:rsid w:val="00963755"/>
    <w:rsid w:val="00964053"/>
    <w:rsid w:val="00964837"/>
    <w:rsid w:val="00965000"/>
    <w:rsid w:val="00965183"/>
    <w:rsid w:val="00965960"/>
    <w:rsid w:val="00966033"/>
    <w:rsid w:val="00966305"/>
    <w:rsid w:val="009674E2"/>
    <w:rsid w:val="00970982"/>
    <w:rsid w:val="0097099F"/>
    <w:rsid w:val="00971997"/>
    <w:rsid w:val="00971FFC"/>
    <w:rsid w:val="0097409B"/>
    <w:rsid w:val="00974107"/>
    <w:rsid w:val="0097554A"/>
    <w:rsid w:val="00975667"/>
    <w:rsid w:val="00976663"/>
    <w:rsid w:val="0097778D"/>
    <w:rsid w:val="0098141A"/>
    <w:rsid w:val="00981A42"/>
    <w:rsid w:val="009831B2"/>
    <w:rsid w:val="00983D77"/>
    <w:rsid w:val="00985580"/>
    <w:rsid w:val="0098625C"/>
    <w:rsid w:val="0098660A"/>
    <w:rsid w:val="009874D4"/>
    <w:rsid w:val="00990809"/>
    <w:rsid w:val="009924F8"/>
    <w:rsid w:val="009931C3"/>
    <w:rsid w:val="00993C0F"/>
    <w:rsid w:val="0099653E"/>
    <w:rsid w:val="009A0302"/>
    <w:rsid w:val="009A2915"/>
    <w:rsid w:val="009A36AE"/>
    <w:rsid w:val="009A5BE6"/>
    <w:rsid w:val="009A6A6B"/>
    <w:rsid w:val="009A7A33"/>
    <w:rsid w:val="009A7B92"/>
    <w:rsid w:val="009B0327"/>
    <w:rsid w:val="009B10DF"/>
    <w:rsid w:val="009B17C4"/>
    <w:rsid w:val="009B20A1"/>
    <w:rsid w:val="009B2C43"/>
    <w:rsid w:val="009B2DA0"/>
    <w:rsid w:val="009B3983"/>
    <w:rsid w:val="009B3E54"/>
    <w:rsid w:val="009B4D9D"/>
    <w:rsid w:val="009B4EAE"/>
    <w:rsid w:val="009B5619"/>
    <w:rsid w:val="009B64F8"/>
    <w:rsid w:val="009B7573"/>
    <w:rsid w:val="009B77CE"/>
    <w:rsid w:val="009C089E"/>
    <w:rsid w:val="009C11E3"/>
    <w:rsid w:val="009C198B"/>
    <w:rsid w:val="009C22F4"/>
    <w:rsid w:val="009C230F"/>
    <w:rsid w:val="009C2A4B"/>
    <w:rsid w:val="009C2E98"/>
    <w:rsid w:val="009C5526"/>
    <w:rsid w:val="009C646D"/>
    <w:rsid w:val="009D3447"/>
    <w:rsid w:val="009D413E"/>
    <w:rsid w:val="009D42A2"/>
    <w:rsid w:val="009D4711"/>
    <w:rsid w:val="009D69DB"/>
    <w:rsid w:val="009D6BCF"/>
    <w:rsid w:val="009D6E4E"/>
    <w:rsid w:val="009D70AF"/>
    <w:rsid w:val="009E0ADF"/>
    <w:rsid w:val="009E277E"/>
    <w:rsid w:val="009E3295"/>
    <w:rsid w:val="009E33ED"/>
    <w:rsid w:val="009E3EC2"/>
    <w:rsid w:val="009E5735"/>
    <w:rsid w:val="009E57B8"/>
    <w:rsid w:val="009F1185"/>
    <w:rsid w:val="009F164B"/>
    <w:rsid w:val="009F18CD"/>
    <w:rsid w:val="009F2A13"/>
    <w:rsid w:val="009F3819"/>
    <w:rsid w:val="009F4964"/>
    <w:rsid w:val="009F6206"/>
    <w:rsid w:val="009F7527"/>
    <w:rsid w:val="00A007B7"/>
    <w:rsid w:val="00A01585"/>
    <w:rsid w:val="00A044CA"/>
    <w:rsid w:val="00A04EB0"/>
    <w:rsid w:val="00A055EB"/>
    <w:rsid w:val="00A07C95"/>
    <w:rsid w:val="00A11C89"/>
    <w:rsid w:val="00A122A7"/>
    <w:rsid w:val="00A127B7"/>
    <w:rsid w:val="00A13CC1"/>
    <w:rsid w:val="00A15A41"/>
    <w:rsid w:val="00A16847"/>
    <w:rsid w:val="00A21F96"/>
    <w:rsid w:val="00A237D8"/>
    <w:rsid w:val="00A24B6E"/>
    <w:rsid w:val="00A26811"/>
    <w:rsid w:val="00A268C4"/>
    <w:rsid w:val="00A26D0B"/>
    <w:rsid w:val="00A26E1F"/>
    <w:rsid w:val="00A279CB"/>
    <w:rsid w:val="00A30445"/>
    <w:rsid w:val="00A307CD"/>
    <w:rsid w:val="00A331C8"/>
    <w:rsid w:val="00A339DE"/>
    <w:rsid w:val="00A358BD"/>
    <w:rsid w:val="00A363D9"/>
    <w:rsid w:val="00A37644"/>
    <w:rsid w:val="00A40A00"/>
    <w:rsid w:val="00A4142F"/>
    <w:rsid w:val="00A41A6D"/>
    <w:rsid w:val="00A41E57"/>
    <w:rsid w:val="00A42233"/>
    <w:rsid w:val="00A422EB"/>
    <w:rsid w:val="00A4236E"/>
    <w:rsid w:val="00A429DA"/>
    <w:rsid w:val="00A4532F"/>
    <w:rsid w:val="00A45BB7"/>
    <w:rsid w:val="00A46687"/>
    <w:rsid w:val="00A4769F"/>
    <w:rsid w:val="00A54E39"/>
    <w:rsid w:val="00A555E6"/>
    <w:rsid w:val="00A56A5A"/>
    <w:rsid w:val="00A56DF2"/>
    <w:rsid w:val="00A56E6E"/>
    <w:rsid w:val="00A6026E"/>
    <w:rsid w:val="00A62928"/>
    <w:rsid w:val="00A6314F"/>
    <w:rsid w:val="00A635CB"/>
    <w:rsid w:val="00A64037"/>
    <w:rsid w:val="00A644DE"/>
    <w:rsid w:val="00A644F5"/>
    <w:rsid w:val="00A64AD2"/>
    <w:rsid w:val="00A6747C"/>
    <w:rsid w:val="00A67AB5"/>
    <w:rsid w:val="00A733B2"/>
    <w:rsid w:val="00A741C2"/>
    <w:rsid w:val="00A771CF"/>
    <w:rsid w:val="00A80934"/>
    <w:rsid w:val="00A825BC"/>
    <w:rsid w:val="00A82DB8"/>
    <w:rsid w:val="00A8363D"/>
    <w:rsid w:val="00A84E5B"/>
    <w:rsid w:val="00A858D9"/>
    <w:rsid w:val="00A863E5"/>
    <w:rsid w:val="00A8729E"/>
    <w:rsid w:val="00A91760"/>
    <w:rsid w:val="00A9235C"/>
    <w:rsid w:val="00A93219"/>
    <w:rsid w:val="00A93B00"/>
    <w:rsid w:val="00A93C21"/>
    <w:rsid w:val="00A9401D"/>
    <w:rsid w:val="00A94535"/>
    <w:rsid w:val="00A97686"/>
    <w:rsid w:val="00AA03E2"/>
    <w:rsid w:val="00AA2E06"/>
    <w:rsid w:val="00AA34BD"/>
    <w:rsid w:val="00AA39E5"/>
    <w:rsid w:val="00AA7536"/>
    <w:rsid w:val="00AB0A36"/>
    <w:rsid w:val="00AB2238"/>
    <w:rsid w:val="00AB3E13"/>
    <w:rsid w:val="00AB4D47"/>
    <w:rsid w:val="00AB5956"/>
    <w:rsid w:val="00AB5F15"/>
    <w:rsid w:val="00AB6243"/>
    <w:rsid w:val="00AB6313"/>
    <w:rsid w:val="00AB64C9"/>
    <w:rsid w:val="00AC00D6"/>
    <w:rsid w:val="00AC0B92"/>
    <w:rsid w:val="00AC1C0C"/>
    <w:rsid w:val="00AC2B96"/>
    <w:rsid w:val="00AC2EE6"/>
    <w:rsid w:val="00AC3489"/>
    <w:rsid w:val="00AC3C6A"/>
    <w:rsid w:val="00AC54DD"/>
    <w:rsid w:val="00AC630B"/>
    <w:rsid w:val="00AC71F1"/>
    <w:rsid w:val="00AC7895"/>
    <w:rsid w:val="00AD073B"/>
    <w:rsid w:val="00AD08BE"/>
    <w:rsid w:val="00AD0D25"/>
    <w:rsid w:val="00AD112C"/>
    <w:rsid w:val="00AD1492"/>
    <w:rsid w:val="00AD4960"/>
    <w:rsid w:val="00AD521D"/>
    <w:rsid w:val="00AD5620"/>
    <w:rsid w:val="00AD6145"/>
    <w:rsid w:val="00AD656B"/>
    <w:rsid w:val="00AD7C1B"/>
    <w:rsid w:val="00AD7E48"/>
    <w:rsid w:val="00AE032C"/>
    <w:rsid w:val="00AE0A8B"/>
    <w:rsid w:val="00AE1125"/>
    <w:rsid w:val="00AE16BA"/>
    <w:rsid w:val="00AE1A72"/>
    <w:rsid w:val="00AE1EBE"/>
    <w:rsid w:val="00AE519B"/>
    <w:rsid w:val="00AE6C1F"/>
    <w:rsid w:val="00AF16F5"/>
    <w:rsid w:val="00AF21E8"/>
    <w:rsid w:val="00B00E97"/>
    <w:rsid w:val="00B03C9D"/>
    <w:rsid w:val="00B03D00"/>
    <w:rsid w:val="00B03D85"/>
    <w:rsid w:val="00B04BBB"/>
    <w:rsid w:val="00B05F87"/>
    <w:rsid w:val="00B060AE"/>
    <w:rsid w:val="00B06B6D"/>
    <w:rsid w:val="00B06BFE"/>
    <w:rsid w:val="00B10517"/>
    <w:rsid w:val="00B10528"/>
    <w:rsid w:val="00B13AE0"/>
    <w:rsid w:val="00B13CAD"/>
    <w:rsid w:val="00B14733"/>
    <w:rsid w:val="00B14D9D"/>
    <w:rsid w:val="00B14E17"/>
    <w:rsid w:val="00B14E76"/>
    <w:rsid w:val="00B161B8"/>
    <w:rsid w:val="00B1637F"/>
    <w:rsid w:val="00B16C7B"/>
    <w:rsid w:val="00B177A7"/>
    <w:rsid w:val="00B1787D"/>
    <w:rsid w:val="00B2048C"/>
    <w:rsid w:val="00B205FF"/>
    <w:rsid w:val="00B209F2"/>
    <w:rsid w:val="00B20D47"/>
    <w:rsid w:val="00B21393"/>
    <w:rsid w:val="00B2179A"/>
    <w:rsid w:val="00B2276C"/>
    <w:rsid w:val="00B2499E"/>
    <w:rsid w:val="00B25947"/>
    <w:rsid w:val="00B26702"/>
    <w:rsid w:val="00B267BB"/>
    <w:rsid w:val="00B26E35"/>
    <w:rsid w:val="00B310B9"/>
    <w:rsid w:val="00B32249"/>
    <w:rsid w:val="00B32398"/>
    <w:rsid w:val="00B3319D"/>
    <w:rsid w:val="00B35F3F"/>
    <w:rsid w:val="00B365C4"/>
    <w:rsid w:val="00B36CBB"/>
    <w:rsid w:val="00B40E0A"/>
    <w:rsid w:val="00B425E0"/>
    <w:rsid w:val="00B440AA"/>
    <w:rsid w:val="00B4457A"/>
    <w:rsid w:val="00B44B70"/>
    <w:rsid w:val="00B503C2"/>
    <w:rsid w:val="00B51FD3"/>
    <w:rsid w:val="00B52A53"/>
    <w:rsid w:val="00B53C56"/>
    <w:rsid w:val="00B57DAF"/>
    <w:rsid w:val="00B57EB4"/>
    <w:rsid w:val="00B60493"/>
    <w:rsid w:val="00B612DA"/>
    <w:rsid w:val="00B61EBF"/>
    <w:rsid w:val="00B620A0"/>
    <w:rsid w:val="00B62601"/>
    <w:rsid w:val="00B64E3A"/>
    <w:rsid w:val="00B65AFC"/>
    <w:rsid w:val="00B65ED2"/>
    <w:rsid w:val="00B666DB"/>
    <w:rsid w:val="00B669FB"/>
    <w:rsid w:val="00B676A9"/>
    <w:rsid w:val="00B676E1"/>
    <w:rsid w:val="00B71030"/>
    <w:rsid w:val="00B71B25"/>
    <w:rsid w:val="00B72053"/>
    <w:rsid w:val="00B728F3"/>
    <w:rsid w:val="00B72DB9"/>
    <w:rsid w:val="00B74E4E"/>
    <w:rsid w:val="00B75B3F"/>
    <w:rsid w:val="00B766C0"/>
    <w:rsid w:val="00B76E24"/>
    <w:rsid w:val="00B777AF"/>
    <w:rsid w:val="00B77EA6"/>
    <w:rsid w:val="00B77F48"/>
    <w:rsid w:val="00B81598"/>
    <w:rsid w:val="00B81F71"/>
    <w:rsid w:val="00B82FF3"/>
    <w:rsid w:val="00B832AE"/>
    <w:rsid w:val="00B83E44"/>
    <w:rsid w:val="00B841F1"/>
    <w:rsid w:val="00B847C9"/>
    <w:rsid w:val="00B854CA"/>
    <w:rsid w:val="00B856A7"/>
    <w:rsid w:val="00B85A3D"/>
    <w:rsid w:val="00B85C73"/>
    <w:rsid w:val="00B86D2C"/>
    <w:rsid w:val="00B87667"/>
    <w:rsid w:val="00B903B9"/>
    <w:rsid w:val="00B909AE"/>
    <w:rsid w:val="00B90FF2"/>
    <w:rsid w:val="00B915B3"/>
    <w:rsid w:val="00B9370D"/>
    <w:rsid w:val="00B93E33"/>
    <w:rsid w:val="00B944D6"/>
    <w:rsid w:val="00B9472F"/>
    <w:rsid w:val="00B9517D"/>
    <w:rsid w:val="00B967C6"/>
    <w:rsid w:val="00B97687"/>
    <w:rsid w:val="00BA0491"/>
    <w:rsid w:val="00BA2B9C"/>
    <w:rsid w:val="00BA4915"/>
    <w:rsid w:val="00BA5030"/>
    <w:rsid w:val="00BA6F9A"/>
    <w:rsid w:val="00BB03E1"/>
    <w:rsid w:val="00BB3D7D"/>
    <w:rsid w:val="00BB4C15"/>
    <w:rsid w:val="00BB4DF0"/>
    <w:rsid w:val="00BC009D"/>
    <w:rsid w:val="00BC1ADB"/>
    <w:rsid w:val="00BC1CC8"/>
    <w:rsid w:val="00BC1ED9"/>
    <w:rsid w:val="00BC1EEF"/>
    <w:rsid w:val="00BC1F0B"/>
    <w:rsid w:val="00BC23EF"/>
    <w:rsid w:val="00BC289F"/>
    <w:rsid w:val="00BC2A2D"/>
    <w:rsid w:val="00BC2D50"/>
    <w:rsid w:val="00BC2F08"/>
    <w:rsid w:val="00BC523D"/>
    <w:rsid w:val="00BC5361"/>
    <w:rsid w:val="00BC5460"/>
    <w:rsid w:val="00BC5CA7"/>
    <w:rsid w:val="00BC62DF"/>
    <w:rsid w:val="00BC6B50"/>
    <w:rsid w:val="00BC7CF1"/>
    <w:rsid w:val="00BD0E25"/>
    <w:rsid w:val="00BD25AF"/>
    <w:rsid w:val="00BD3514"/>
    <w:rsid w:val="00BD4D82"/>
    <w:rsid w:val="00BD7806"/>
    <w:rsid w:val="00BD792B"/>
    <w:rsid w:val="00BE1CE8"/>
    <w:rsid w:val="00BE20D9"/>
    <w:rsid w:val="00BE34C0"/>
    <w:rsid w:val="00BE3F46"/>
    <w:rsid w:val="00BE52C1"/>
    <w:rsid w:val="00BE7E1C"/>
    <w:rsid w:val="00BF0741"/>
    <w:rsid w:val="00BF1F58"/>
    <w:rsid w:val="00BF2F1E"/>
    <w:rsid w:val="00BF3335"/>
    <w:rsid w:val="00BF3E9D"/>
    <w:rsid w:val="00BF5BD6"/>
    <w:rsid w:val="00BF5ED3"/>
    <w:rsid w:val="00BF7FD6"/>
    <w:rsid w:val="00C028F8"/>
    <w:rsid w:val="00C03E31"/>
    <w:rsid w:val="00C04792"/>
    <w:rsid w:val="00C04E5A"/>
    <w:rsid w:val="00C05CCA"/>
    <w:rsid w:val="00C06857"/>
    <w:rsid w:val="00C06E64"/>
    <w:rsid w:val="00C07153"/>
    <w:rsid w:val="00C076F8"/>
    <w:rsid w:val="00C10530"/>
    <w:rsid w:val="00C10716"/>
    <w:rsid w:val="00C110AB"/>
    <w:rsid w:val="00C1181C"/>
    <w:rsid w:val="00C131EF"/>
    <w:rsid w:val="00C13A47"/>
    <w:rsid w:val="00C15276"/>
    <w:rsid w:val="00C1586C"/>
    <w:rsid w:val="00C16813"/>
    <w:rsid w:val="00C20849"/>
    <w:rsid w:val="00C208C2"/>
    <w:rsid w:val="00C20950"/>
    <w:rsid w:val="00C20A69"/>
    <w:rsid w:val="00C243C2"/>
    <w:rsid w:val="00C25208"/>
    <w:rsid w:val="00C25286"/>
    <w:rsid w:val="00C25DEB"/>
    <w:rsid w:val="00C269C0"/>
    <w:rsid w:val="00C325B2"/>
    <w:rsid w:val="00C33E72"/>
    <w:rsid w:val="00C34189"/>
    <w:rsid w:val="00C34A90"/>
    <w:rsid w:val="00C354B2"/>
    <w:rsid w:val="00C35554"/>
    <w:rsid w:val="00C418AE"/>
    <w:rsid w:val="00C41C45"/>
    <w:rsid w:val="00C42709"/>
    <w:rsid w:val="00C46665"/>
    <w:rsid w:val="00C47F47"/>
    <w:rsid w:val="00C501F2"/>
    <w:rsid w:val="00C50502"/>
    <w:rsid w:val="00C50E5F"/>
    <w:rsid w:val="00C522F9"/>
    <w:rsid w:val="00C533CC"/>
    <w:rsid w:val="00C542D4"/>
    <w:rsid w:val="00C54F9F"/>
    <w:rsid w:val="00C55A38"/>
    <w:rsid w:val="00C568EF"/>
    <w:rsid w:val="00C5751C"/>
    <w:rsid w:val="00C61BFC"/>
    <w:rsid w:val="00C629F6"/>
    <w:rsid w:val="00C62B85"/>
    <w:rsid w:val="00C62D24"/>
    <w:rsid w:val="00C644E7"/>
    <w:rsid w:val="00C65438"/>
    <w:rsid w:val="00C65DF1"/>
    <w:rsid w:val="00C6673B"/>
    <w:rsid w:val="00C67C43"/>
    <w:rsid w:val="00C67C57"/>
    <w:rsid w:val="00C700E2"/>
    <w:rsid w:val="00C70588"/>
    <w:rsid w:val="00C7618C"/>
    <w:rsid w:val="00C762C4"/>
    <w:rsid w:val="00C82B35"/>
    <w:rsid w:val="00C85D7E"/>
    <w:rsid w:val="00C87FD8"/>
    <w:rsid w:val="00C91381"/>
    <w:rsid w:val="00C91CBB"/>
    <w:rsid w:val="00C94819"/>
    <w:rsid w:val="00C95859"/>
    <w:rsid w:val="00C968E6"/>
    <w:rsid w:val="00CA027F"/>
    <w:rsid w:val="00CA1035"/>
    <w:rsid w:val="00CA1331"/>
    <w:rsid w:val="00CA3F58"/>
    <w:rsid w:val="00CA4804"/>
    <w:rsid w:val="00CB0F2C"/>
    <w:rsid w:val="00CB10A9"/>
    <w:rsid w:val="00CB14EE"/>
    <w:rsid w:val="00CB2716"/>
    <w:rsid w:val="00CB4E70"/>
    <w:rsid w:val="00CB4FF1"/>
    <w:rsid w:val="00CB77D2"/>
    <w:rsid w:val="00CC09B6"/>
    <w:rsid w:val="00CC146D"/>
    <w:rsid w:val="00CC1811"/>
    <w:rsid w:val="00CC2778"/>
    <w:rsid w:val="00CC2DF6"/>
    <w:rsid w:val="00CC5199"/>
    <w:rsid w:val="00CC56A4"/>
    <w:rsid w:val="00CC666F"/>
    <w:rsid w:val="00CC701C"/>
    <w:rsid w:val="00CD1043"/>
    <w:rsid w:val="00CD1E3F"/>
    <w:rsid w:val="00CD270D"/>
    <w:rsid w:val="00CD361A"/>
    <w:rsid w:val="00CD3942"/>
    <w:rsid w:val="00CD3ED9"/>
    <w:rsid w:val="00CD4C27"/>
    <w:rsid w:val="00CD4DFE"/>
    <w:rsid w:val="00CD647E"/>
    <w:rsid w:val="00CE0BFD"/>
    <w:rsid w:val="00CE102B"/>
    <w:rsid w:val="00CE1F83"/>
    <w:rsid w:val="00CE3657"/>
    <w:rsid w:val="00CE4146"/>
    <w:rsid w:val="00CE44F6"/>
    <w:rsid w:val="00CE49DA"/>
    <w:rsid w:val="00CE4A00"/>
    <w:rsid w:val="00CE5296"/>
    <w:rsid w:val="00CE7B61"/>
    <w:rsid w:val="00CF1A83"/>
    <w:rsid w:val="00CF1BF4"/>
    <w:rsid w:val="00CF416B"/>
    <w:rsid w:val="00CF4C4F"/>
    <w:rsid w:val="00CF6DAB"/>
    <w:rsid w:val="00CF7321"/>
    <w:rsid w:val="00D00095"/>
    <w:rsid w:val="00D002E8"/>
    <w:rsid w:val="00D00B3D"/>
    <w:rsid w:val="00D00EB3"/>
    <w:rsid w:val="00D01175"/>
    <w:rsid w:val="00D03B32"/>
    <w:rsid w:val="00D03DFF"/>
    <w:rsid w:val="00D041D6"/>
    <w:rsid w:val="00D04602"/>
    <w:rsid w:val="00D04E08"/>
    <w:rsid w:val="00D0549F"/>
    <w:rsid w:val="00D05894"/>
    <w:rsid w:val="00D065CA"/>
    <w:rsid w:val="00D074D9"/>
    <w:rsid w:val="00D07600"/>
    <w:rsid w:val="00D114F0"/>
    <w:rsid w:val="00D12B20"/>
    <w:rsid w:val="00D13180"/>
    <w:rsid w:val="00D1339D"/>
    <w:rsid w:val="00D13B1F"/>
    <w:rsid w:val="00D1449B"/>
    <w:rsid w:val="00D20620"/>
    <w:rsid w:val="00D21529"/>
    <w:rsid w:val="00D21802"/>
    <w:rsid w:val="00D221EC"/>
    <w:rsid w:val="00D22280"/>
    <w:rsid w:val="00D254F7"/>
    <w:rsid w:val="00D26091"/>
    <w:rsid w:val="00D2685C"/>
    <w:rsid w:val="00D27EE9"/>
    <w:rsid w:val="00D31F7B"/>
    <w:rsid w:val="00D33E4F"/>
    <w:rsid w:val="00D34E7C"/>
    <w:rsid w:val="00D35489"/>
    <w:rsid w:val="00D36AEE"/>
    <w:rsid w:val="00D36AFE"/>
    <w:rsid w:val="00D36C3A"/>
    <w:rsid w:val="00D37926"/>
    <w:rsid w:val="00D419CF"/>
    <w:rsid w:val="00D42BE6"/>
    <w:rsid w:val="00D44272"/>
    <w:rsid w:val="00D457BF"/>
    <w:rsid w:val="00D4581F"/>
    <w:rsid w:val="00D46CBC"/>
    <w:rsid w:val="00D47D83"/>
    <w:rsid w:val="00D47E5E"/>
    <w:rsid w:val="00D51276"/>
    <w:rsid w:val="00D5139F"/>
    <w:rsid w:val="00D516B5"/>
    <w:rsid w:val="00D51773"/>
    <w:rsid w:val="00D52E9C"/>
    <w:rsid w:val="00D53158"/>
    <w:rsid w:val="00D5556B"/>
    <w:rsid w:val="00D55A41"/>
    <w:rsid w:val="00D5700F"/>
    <w:rsid w:val="00D6001D"/>
    <w:rsid w:val="00D61075"/>
    <w:rsid w:val="00D61366"/>
    <w:rsid w:val="00D61C46"/>
    <w:rsid w:val="00D61E5B"/>
    <w:rsid w:val="00D6475B"/>
    <w:rsid w:val="00D655F6"/>
    <w:rsid w:val="00D66D82"/>
    <w:rsid w:val="00D67723"/>
    <w:rsid w:val="00D67D3B"/>
    <w:rsid w:val="00D67F67"/>
    <w:rsid w:val="00D7017D"/>
    <w:rsid w:val="00D7035F"/>
    <w:rsid w:val="00D705BF"/>
    <w:rsid w:val="00D75154"/>
    <w:rsid w:val="00D76DA0"/>
    <w:rsid w:val="00D7786F"/>
    <w:rsid w:val="00D800BD"/>
    <w:rsid w:val="00D809A2"/>
    <w:rsid w:val="00D80DA9"/>
    <w:rsid w:val="00D81D38"/>
    <w:rsid w:val="00D82BE2"/>
    <w:rsid w:val="00D82F71"/>
    <w:rsid w:val="00D83AA0"/>
    <w:rsid w:val="00D84D6F"/>
    <w:rsid w:val="00D85EAA"/>
    <w:rsid w:val="00D870A0"/>
    <w:rsid w:val="00D87B3B"/>
    <w:rsid w:val="00D90631"/>
    <w:rsid w:val="00D91A75"/>
    <w:rsid w:val="00D91F78"/>
    <w:rsid w:val="00D94ABB"/>
    <w:rsid w:val="00D96810"/>
    <w:rsid w:val="00D97862"/>
    <w:rsid w:val="00DA069F"/>
    <w:rsid w:val="00DA1EA3"/>
    <w:rsid w:val="00DA2D70"/>
    <w:rsid w:val="00DA346A"/>
    <w:rsid w:val="00DA4FB7"/>
    <w:rsid w:val="00DA634F"/>
    <w:rsid w:val="00DA65AC"/>
    <w:rsid w:val="00DA6A24"/>
    <w:rsid w:val="00DB1913"/>
    <w:rsid w:val="00DB276C"/>
    <w:rsid w:val="00DB2AB9"/>
    <w:rsid w:val="00DB2DA8"/>
    <w:rsid w:val="00DB50C0"/>
    <w:rsid w:val="00DB598C"/>
    <w:rsid w:val="00DB5FE5"/>
    <w:rsid w:val="00DB6A92"/>
    <w:rsid w:val="00DB7087"/>
    <w:rsid w:val="00DB7D52"/>
    <w:rsid w:val="00DC2FB2"/>
    <w:rsid w:val="00DC384B"/>
    <w:rsid w:val="00DC410D"/>
    <w:rsid w:val="00DC5062"/>
    <w:rsid w:val="00DC5A81"/>
    <w:rsid w:val="00DC5C1E"/>
    <w:rsid w:val="00DC5C28"/>
    <w:rsid w:val="00DC5F31"/>
    <w:rsid w:val="00DC68CA"/>
    <w:rsid w:val="00DC72C1"/>
    <w:rsid w:val="00DC7CBA"/>
    <w:rsid w:val="00DD123A"/>
    <w:rsid w:val="00DD3F15"/>
    <w:rsid w:val="00DD5978"/>
    <w:rsid w:val="00DD638E"/>
    <w:rsid w:val="00DD68E7"/>
    <w:rsid w:val="00DD6E28"/>
    <w:rsid w:val="00DD73B7"/>
    <w:rsid w:val="00DD7502"/>
    <w:rsid w:val="00DE02EF"/>
    <w:rsid w:val="00DE0877"/>
    <w:rsid w:val="00DE2112"/>
    <w:rsid w:val="00DE229C"/>
    <w:rsid w:val="00DE257D"/>
    <w:rsid w:val="00DE2684"/>
    <w:rsid w:val="00DE279B"/>
    <w:rsid w:val="00DE2F9B"/>
    <w:rsid w:val="00DE335B"/>
    <w:rsid w:val="00DE3A11"/>
    <w:rsid w:val="00DE5827"/>
    <w:rsid w:val="00DE60BB"/>
    <w:rsid w:val="00DE6E29"/>
    <w:rsid w:val="00DE6F71"/>
    <w:rsid w:val="00DE7D11"/>
    <w:rsid w:val="00DF0855"/>
    <w:rsid w:val="00DF14B4"/>
    <w:rsid w:val="00DF27C9"/>
    <w:rsid w:val="00DF28BC"/>
    <w:rsid w:val="00DF34B9"/>
    <w:rsid w:val="00DF75C8"/>
    <w:rsid w:val="00E01053"/>
    <w:rsid w:val="00E0302F"/>
    <w:rsid w:val="00E03B45"/>
    <w:rsid w:val="00E066E5"/>
    <w:rsid w:val="00E07ACF"/>
    <w:rsid w:val="00E07DB5"/>
    <w:rsid w:val="00E10BE5"/>
    <w:rsid w:val="00E12285"/>
    <w:rsid w:val="00E14440"/>
    <w:rsid w:val="00E164FE"/>
    <w:rsid w:val="00E16BB9"/>
    <w:rsid w:val="00E172BC"/>
    <w:rsid w:val="00E21AAE"/>
    <w:rsid w:val="00E235AD"/>
    <w:rsid w:val="00E2388A"/>
    <w:rsid w:val="00E2418D"/>
    <w:rsid w:val="00E25AAC"/>
    <w:rsid w:val="00E2688F"/>
    <w:rsid w:val="00E26F03"/>
    <w:rsid w:val="00E27BFE"/>
    <w:rsid w:val="00E27D2D"/>
    <w:rsid w:val="00E306CF"/>
    <w:rsid w:val="00E31968"/>
    <w:rsid w:val="00E320D4"/>
    <w:rsid w:val="00E331A1"/>
    <w:rsid w:val="00E33202"/>
    <w:rsid w:val="00E336A9"/>
    <w:rsid w:val="00E34BDA"/>
    <w:rsid w:val="00E34CA3"/>
    <w:rsid w:val="00E40803"/>
    <w:rsid w:val="00E472B1"/>
    <w:rsid w:val="00E5045E"/>
    <w:rsid w:val="00E50624"/>
    <w:rsid w:val="00E50F79"/>
    <w:rsid w:val="00E539AC"/>
    <w:rsid w:val="00E54072"/>
    <w:rsid w:val="00E54827"/>
    <w:rsid w:val="00E56352"/>
    <w:rsid w:val="00E568DF"/>
    <w:rsid w:val="00E56B3A"/>
    <w:rsid w:val="00E60DF1"/>
    <w:rsid w:val="00E60E17"/>
    <w:rsid w:val="00E622FD"/>
    <w:rsid w:val="00E64269"/>
    <w:rsid w:val="00E65E35"/>
    <w:rsid w:val="00E660D0"/>
    <w:rsid w:val="00E70240"/>
    <w:rsid w:val="00E70F59"/>
    <w:rsid w:val="00E710BF"/>
    <w:rsid w:val="00E7201D"/>
    <w:rsid w:val="00E721EB"/>
    <w:rsid w:val="00E72891"/>
    <w:rsid w:val="00E770E8"/>
    <w:rsid w:val="00E80246"/>
    <w:rsid w:val="00E80507"/>
    <w:rsid w:val="00E805CA"/>
    <w:rsid w:val="00E81953"/>
    <w:rsid w:val="00E81BFC"/>
    <w:rsid w:val="00E82267"/>
    <w:rsid w:val="00E82758"/>
    <w:rsid w:val="00E82A88"/>
    <w:rsid w:val="00E853CE"/>
    <w:rsid w:val="00E867B6"/>
    <w:rsid w:val="00E86D79"/>
    <w:rsid w:val="00E86F21"/>
    <w:rsid w:val="00E8762B"/>
    <w:rsid w:val="00E87FAE"/>
    <w:rsid w:val="00E9001B"/>
    <w:rsid w:val="00E91557"/>
    <w:rsid w:val="00E9270C"/>
    <w:rsid w:val="00E94E5A"/>
    <w:rsid w:val="00E97CAB"/>
    <w:rsid w:val="00EA010F"/>
    <w:rsid w:val="00EA067E"/>
    <w:rsid w:val="00EA0B1A"/>
    <w:rsid w:val="00EA1292"/>
    <w:rsid w:val="00EA2C4D"/>
    <w:rsid w:val="00EA486F"/>
    <w:rsid w:val="00EA4FD8"/>
    <w:rsid w:val="00EA7138"/>
    <w:rsid w:val="00EA76F6"/>
    <w:rsid w:val="00EA78E1"/>
    <w:rsid w:val="00EB101C"/>
    <w:rsid w:val="00EB2BE4"/>
    <w:rsid w:val="00EB41B5"/>
    <w:rsid w:val="00EB65A9"/>
    <w:rsid w:val="00EB6776"/>
    <w:rsid w:val="00EB68D6"/>
    <w:rsid w:val="00EC1588"/>
    <w:rsid w:val="00EC1617"/>
    <w:rsid w:val="00EC1B77"/>
    <w:rsid w:val="00EC2D4C"/>
    <w:rsid w:val="00EC53C0"/>
    <w:rsid w:val="00EC54BA"/>
    <w:rsid w:val="00EC5546"/>
    <w:rsid w:val="00EC56EA"/>
    <w:rsid w:val="00ED1B63"/>
    <w:rsid w:val="00ED1C87"/>
    <w:rsid w:val="00ED2B90"/>
    <w:rsid w:val="00ED3A64"/>
    <w:rsid w:val="00ED3C1F"/>
    <w:rsid w:val="00ED4085"/>
    <w:rsid w:val="00ED420E"/>
    <w:rsid w:val="00ED68F9"/>
    <w:rsid w:val="00ED6FBE"/>
    <w:rsid w:val="00ED72C5"/>
    <w:rsid w:val="00EE0838"/>
    <w:rsid w:val="00EE1C76"/>
    <w:rsid w:val="00EE2223"/>
    <w:rsid w:val="00EE2F57"/>
    <w:rsid w:val="00EE3378"/>
    <w:rsid w:val="00EE4746"/>
    <w:rsid w:val="00EE4B7F"/>
    <w:rsid w:val="00EE64B6"/>
    <w:rsid w:val="00EE72F5"/>
    <w:rsid w:val="00EF0E4E"/>
    <w:rsid w:val="00EF3804"/>
    <w:rsid w:val="00EF3ABC"/>
    <w:rsid w:val="00EF4C34"/>
    <w:rsid w:val="00EF77C6"/>
    <w:rsid w:val="00F004BD"/>
    <w:rsid w:val="00F01EAB"/>
    <w:rsid w:val="00F0332B"/>
    <w:rsid w:val="00F05288"/>
    <w:rsid w:val="00F05438"/>
    <w:rsid w:val="00F076D2"/>
    <w:rsid w:val="00F07CDB"/>
    <w:rsid w:val="00F10F43"/>
    <w:rsid w:val="00F112EA"/>
    <w:rsid w:val="00F117B5"/>
    <w:rsid w:val="00F1361C"/>
    <w:rsid w:val="00F138CF"/>
    <w:rsid w:val="00F13B08"/>
    <w:rsid w:val="00F156F0"/>
    <w:rsid w:val="00F160C7"/>
    <w:rsid w:val="00F164F3"/>
    <w:rsid w:val="00F1690B"/>
    <w:rsid w:val="00F17848"/>
    <w:rsid w:val="00F17C1D"/>
    <w:rsid w:val="00F20483"/>
    <w:rsid w:val="00F2124D"/>
    <w:rsid w:val="00F236AC"/>
    <w:rsid w:val="00F2408F"/>
    <w:rsid w:val="00F240E9"/>
    <w:rsid w:val="00F244A6"/>
    <w:rsid w:val="00F253C2"/>
    <w:rsid w:val="00F2603D"/>
    <w:rsid w:val="00F26607"/>
    <w:rsid w:val="00F26907"/>
    <w:rsid w:val="00F30520"/>
    <w:rsid w:val="00F3261D"/>
    <w:rsid w:val="00F32D57"/>
    <w:rsid w:val="00F337D8"/>
    <w:rsid w:val="00F347CA"/>
    <w:rsid w:val="00F34B26"/>
    <w:rsid w:val="00F34E7C"/>
    <w:rsid w:val="00F3552C"/>
    <w:rsid w:val="00F36721"/>
    <w:rsid w:val="00F368E7"/>
    <w:rsid w:val="00F36A64"/>
    <w:rsid w:val="00F36D8F"/>
    <w:rsid w:val="00F417B1"/>
    <w:rsid w:val="00F42631"/>
    <w:rsid w:val="00F42DBB"/>
    <w:rsid w:val="00F42E00"/>
    <w:rsid w:val="00F43743"/>
    <w:rsid w:val="00F44A4F"/>
    <w:rsid w:val="00F45853"/>
    <w:rsid w:val="00F525BE"/>
    <w:rsid w:val="00F53220"/>
    <w:rsid w:val="00F5341E"/>
    <w:rsid w:val="00F5374A"/>
    <w:rsid w:val="00F54D90"/>
    <w:rsid w:val="00F552B7"/>
    <w:rsid w:val="00F5644F"/>
    <w:rsid w:val="00F57110"/>
    <w:rsid w:val="00F57A3A"/>
    <w:rsid w:val="00F602DF"/>
    <w:rsid w:val="00F6414C"/>
    <w:rsid w:val="00F64DC5"/>
    <w:rsid w:val="00F658BF"/>
    <w:rsid w:val="00F66550"/>
    <w:rsid w:val="00F66F07"/>
    <w:rsid w:val="00F70F9A"/>
    <w:rsid w:val="00F719FF"/>
    <w:rsid w:val="00F71CA0"/>
    <w:rsid w:val="00F723AF"/>
    <w:rsid w:val="00F72A3D"/>
    <w:rsid w:val="00F72C8B"/>
    <w:rsid w:val="00F730C9"/>
    <w:rsid w:val="00F739D3"/>
    <w:rsid w:val="00F73D0F"/>
    <w:rsid w:val="00F74D8F"/>
    <w:rsid w:val="00F754A1"/>
    <w:rsid w:val="00F81FD9"/>
    <w:rsid w:val="00F8237C"/>
    <w:rsid w:val="00F82E24"/>
    <w:rsid w:val="00F8316C"/>
    <w:rsid w:val="00F83462"/>
    <w:rsid w:val="00F8380B"/>
    <w:rsid w:val="00F841AA"/>
    <w:rsid w:val="00F84A94"/>
    <w:rsid w:val="00F85690"/>
    <w:rsid w:val="00F85760"/>
    <w:rsid w:val="00F86C7A"/>
    <w:rsid w:val="00F86D74"/>
    <w:rsid w:val="00F87E96"/>
    <w:rsid w:val="00F92B0B"/>
    <w:rsid w:val="00F95476"/>
    <w:rsid w:val="00F964FD"/>
    <w:rsid w:val="00F97156"/>
    <w:rsid w:val="00FA0EE0"/>
    <w:rsid w:val="00FA202D"/>
    <w:rsid w:val="00FA23E8"/>
    <w:rsid w:val="00FA33F5"/>
    <w:rsid w:val="00FA3804"/>
    <w:rsid w:val="00FA3B67"/>
    <w:rsid w:val="00FA41B2"/>
    <w:rsid w:val="00FA5D70"/>
    <w:rsid w:val="00FA6112"/>
    <w:rsid w:val="00FA64B6"/>
    <w:rsid w:val="00FA7A45"/>
    <w:rsid w:val="00FA7A7D"/>
    <w:rsid w:val="00FA7F94"/>
    <w:rsid w:val="00FB0667"/>
    <w:rsid w:val="00FB2295"/>
    <w:rsid w:val="00FB31D8"/>
    <w:rsid w:val="00FB4ADF"/>
    <w:rsid w:val="00FB5B60"/>
    <w:rsid w:val="00FB6536"/>
    <w:rsid w:val="00FC4037"/>
    <w:rsid w:val="00FC4AD1"/>
    <w:rsid w:val="00FD0B3A"/>
    <w:rsid w:val="00FD25DE"/>
    <w:rsid w:val="00FD3127"/>
    <w:rsid w:val="00FD3CC1"/>
    <w:rsid w:val="00FD4226"/>
    <w:rsid w:val="00FD6177"/>
    <w:rsid w:val="00FD6BB2"/>
    <w:rsid w:val="00FD73DA"/>
    <w:rsid w:val="00FD7713"/>
    <w:rsid w:val="00FD7FC7"/>
    <w:rsid w:val="00FE0D41"/>
    <w:rsid w:val="00FE167F"/>
    <w:rsid w:val="00FE1FA4"/>
    <w:rsid w:val="00FE27F3"/>
    <w:rsid w:val="00FE2DD3"/>
    <w:rsid w:val="00FE345E"/>
    <w:rsid w:val="00FE3464"/>
    <w:rsid w:val="00FE3CB2"/>
    <w:rsid w:val="00FE46D6"/>
    <w:rsid w:val="00FE5A71"/>
    <w:rsid w:val="00FE750A"/>
    <w:rsid w:val="00FF094E"/>
    <w:rsid w:val="00FF1E02"/>
    <w:rsid w:val="00FF30B4"/>
    <w:rsid w:val="00FF658B"/>
    <w:rsid w:val="00FF6D94"/>
    <w:rsid w:val="00FF72F7"/>
    <w:rsid w:val="00FF7F12"/>
    <w:rsid w:val="017E1D97"/>
    <w:rsid w:val="03131AD5"/>
    <w:rsid w:val="052956F9"/>
    <w:rsid w:val="057A70D1"/>
    <w:rsid w:val="0904666C"/>
    <w:rsid w:val="09FD4741"/>
    <w:rsid w:val="0A2032A3"/>
    <w:rsid w:val="0FF30CF7"/>
    <w:rsid w:val="10C055FF"/>
    <w:rsid w:val="118107EC"/>
    <w:rsid w:val="16BB723D"/>
    <w:rsid w:val="18015F3F"/>
    <w:rsid w:val="1BE8440E"/>
    <w:rsid w:val="1D155CEE"/>
    <w:rsid w:val="20F57F95"/>
    <w:rsid w:val="2116219D"/>
    <w:rsid w:val="23692F45"/>
    <w:rsid w:val="240371BF"/>
    <w:rsid w:val="24C50FAF"/>
    <w:rsid w:val="29FD04D3"/>
    <w:rsid w:val="2ABE7A3E"/>
    <w:rsid w:val="2F104197"/>
    <w:rsid w:val="319F7F4E"/>
    <w:rsid w:val="31EA35F4"/>
    <w:rsid w:val="3C0C0783"/>
    <w:rsid w:val="496F39ED"/>
    <w:rsid w:val="4BE068DB"/>
    <w:rsid w:val="4BF6002B"/>
    <w:rsid w:val="4ECE2238"/>
    <w:rsid w:val="4FA5649F"/>
    <w:rsid w:val="5064262A"/>
    <w:rsid w:val="507248C9"/>
    <w:rsid w:val="50B13C29"/>
    <w:rsid w:val="50BF16DA"/>
    <w:rsid w:val="5395652F"/>
    <w:rsid w:val="57FCB834"/>
    <w:rsid w:val="5BE14707"/>
    <w:rsid w:val="60C8218F"/>
    <w:rsid w:val="62597F7D"/>
    <w:rsid w:val="64CA39A1"/>
    <w:rsid w:val="681B0663"/>
    <w:rsid w:val="6894523B"/>
    <w:rsid w:val="6904557E"/>
    <w:rsid w:val="694A1715"/>
    <w:rsid w:val="6B1E3491"/>
    <w:rsid w:val="6C4A05C8"/>
    <w:rsid w:val="71961732"/>
    <w:rsid w:val="72734D90"/>
    <w:rsid w:val="732D6E23"/>
    <w:rsid w:val="7C513EBB"/>
    <w:rsid w:val="7F8B04C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5">
    <w:name w:val="Default Paragraph Font"/>
    <w:semiHidden/>
    <w:qFormat/>
    <w:uiPriority w:val="99"/>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24"/>
      <w:szCs w:val="20"/>
    </w:rPr>
  </w:style>
  <w:style w:type="paragraph" w:styleId="6">
    <w:name w:val="Normal Indent"/>
    <w:basedOn w:val="1"/>
    <w:qFormat/>
    <w:uiPriority w:val="99"/>
    <w:pPr>
      <w:ind w:firstLine="420"/>
    </w:pPr>
    <w:rPr>
      <w:rFonts w:eastAsia="方正仿宋"/>
      <w:sz w:val="32"/>
      <w:szCs w:val="20"/>
    </w:rPr>
  </w:style>
  <w:style w:type="paragraph" w:styleId="7">
    <w:name w:val="toc 3"/>
    <w:basedOn w:val="1"/>
    <w:next w:val="1"/>
    <w:qFormat/>
    <w:uiPriority w:val="99"/>
    <w:pPr>
      <w:tabs>
        <w:tab w:val="right" w:leader="dot" w:pos="8296"/>
      </w:tabs>
      <w:ind w:left="840" w:leftChars="400"/>
    </w:pPr>
  </w:style>
  <w:style w:type="paragraph" w:styleId="8">
    <w:name w:val="Balloon Text"/>
    <w:basedOn w:val="1"/>
    <w:link w:val="23"/>
    <w:semiHidden/>
    <w:qFormat/>
    <w:uiPriority w:val="99"/>
    <w:rPr>
      <w:sz w:val="18"/>
      <w:szCs w:val="18"/>
    </w:rPr>
  </w:style>
  <w:style w:type="paragraph" w:styleId="9">
    <w:name w:val="footer"/>
    <w:basedOn w:val="1"/>
    <w:link w:val="27"/>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2">
    <w:name w:val="toc 2"/>
    <w:basedOn w:val="1"/>
    <w:next w:val="1"/>
    <w:qFormat/>
    <w:uiPriority w:val="99"/>
    <w:pPr>
      <w:tabs>
        <w:tab w:val="right" w:leader="dot" w:pos="8296"/>
      </w:tabs>
      <w:ind w:left="420" w:leftChars="200"/>
    </w:pPr>
  </w:style>
  <w:style w:type="paragraph" w:styleId="13">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16">
    <w:name w:val="Strong"/>
    <w:basedOn w:val="15"/>
    <w:qFormat/>
    <w:uiPriority w:val="99"/>
    <w:rPr>
      <w:rFonts w:cs="Times New Roman"/>
      <w:b/>
    </w:rPr>
  </w:style>
  <w:style w:type="character" w:styleId="17">
    <w:name w:val="page number"/>
    <w:basedOn w:val="15"/>
    <w:qFormat/>
    <w:locked/>
    <w:uiPriority w:val="99"/>
    <w:rPr>
      <w:rFonts w:cs="Times New Roman"/>
    </w:rPr>
  </w:style>
  <w:style w:type="character" w:styleId="18">
    <w:name w:val="Hyperlink"/>
    <w:basedOn w:val="15"/>
    <w:qFormat/>
    <w:uiPriority w:val="99"/>
    <w:rPr>
      <w:rFonts w:cs="Times New Roman"/>
      <w:color w:val="0000FF"/>
      <w:u w:val="single"/>
    </w:rPr>
  </w:style>
  <w:style w:type="character" w:customStyle="1" w:styleId="19">
    <w:name w:val="Heading 1 Char"/>
    <w:basedOn w:val="15"/>
    <w:link w:val="3"/>
    <w:qFormat/>
    <w:locked/>
    <w:uiPriority w:val="99"/>
    <w:rPr>
      <w:rFonts w:ascii="Times New Roman" w:hAnsi="Times New Roman" w:cs="Times New Roman"/>
      <w:b/>
      <w:kern w:val="44"/>
      <w:sz w:val="44"/>
    </w:rPr>
  </w:style>
  <w:style w:type="character" w:customStyle="1" w:styleId="20">
    <w:name w:val="Heading 2 Char"/>
    <w:basedOn w:val="15"/>
    <w:link w:val="4"/>
    <w:qFormat/>
    <w:locked/>
    <w:uiPriority w:val="99"/>
    <w:rPr>
      <w:rFonts w:ascii="Cambria" w:hAnsi="Cambria" w:eastAsia="宋体" w:cs="Times New Roman"/>
      <w:b/>
      <w:kern w:val="2"/>
      <w:sz w:val="32"/>
    </w:rPr>
  </w:style>
  <w:style w:type="character" w:customStyle="1" w:styleId="21">
    <w:name w:val="Heading 3 Char"/>
    <w:basedOn w:val="15"/>
    <w:link w:val="5"/>
    <w:qFormat/>
    <w:locked/>
    <w:uiPriority w:val="99"/>
    <w:rPr>
      <w:rFonts w:ascii="Times New Roman" w:hAnsi="Times New Roman" w:cs="Times New Roman"/>
      <w:b/>
      <w:kern w:val="2"/>
      <w:sz w:val="32"/>
    </w:rPr>
  </w:style>
  <w:style w:type="character" w:customStyle="1" w:styleId="22">
    <w:name w:val="Body Text Char"/>
    <w:basedOn w:val="15"/>
    <w:link w:val="2"/>
    <w:semiHidden/>
    <w:qFormat/>
    <w:locked/>
    <w:uiPriority w:val="99"/>
    <w:rPr>
      <w:rFonts w:ascii="Times New Roman" w:hAnsi="Times New Roman" w:cs="Times New Roman"/>
      <w:sz w:val="24"/>
    </w:rPr>
  </w:style>
  <w:style w:type="character" w:customStyle="1" w:styleId="23">
    <w:name w:val="Balloon Text Char"/>
    <w:basedOn w:val="15"/>
    <w:link w:val="8"/>
    <w:semiHidden/>
    <w:qFormat/>
    <w:locked/>
    <w:uiPriority w:val="99"/>
    <w:rPr>
      <w:rFonts w:ascii="Times New Roman" w:hAnsi="Times New Roman" w:cs="Times New Roman"/>
      <w:kern w:val="2"/>
      <w:sz w:val="18"/>
    </w:rPr>
  </w:style>
  <w:style w:type="character" w:customStyle="1" w:styleId="24">
    <w:name w:val="Footer Char"/>
    <w:basedOn w:val="15"/>
    <w:link w:val="9"/>
    <w:semiHidden/>
    <w:qFormat/>
    <w:locked/>
    <w:uiPriority w:val="99"/>
    <w:rPr>
      <w:rFonts w:ascii="Times New Roman" w:hAnsi="Times New Roman" w:cs="Times New Roman"/>
      <w:sz w:val="18"/>
    </w:rPr>
  </w:style>
  <w:style w:type="character" w:customStyle="1" w:styleId="25">
    <w:name w:val="Header Char"/>
    <w:basedOn w:val="15"/>
    <w:link w:val="10"/>
    <w:semiHidden/>
    <w:qFormat/>
    <w:locked/>
    <w:uiPriority w:val="99"/>
    <w:rPr>
      <w:rFonts w:ascii="Times New Roman" w:hAnsi="Times New Roman" w:cs="Times New Roman"/>
      <w:sz w:val="18"/>
    </w:rPr>
  </w:style>
  <w:style w:type="character" w:customStyle="1" w:styleId="26">
    <w:name w:val="Header Char1"/>
    <w:link w:val="10"/>
    <w:semiHidden/>
    <w:qFormat/>
    <w:locked/>
    <w:uiPriority w:val="99"/>
    <w:rPr>
      <w:sz w:val="18"/>
    </w:rPr>
  </w:style>
  <w:style w:type="character" w:customStyle="1" w:styleId="27">
    <w:name w:val="Footer Char1"/>
    <w:link w:val="9"/>
    <w:qFormat/>
    <w:locked/>
    <w:uiPriority w:val="99"/>
    <w:rPr>
      <w:sz w:val="18"/>
    </w:rPr>
  </w:style>
  <w:style w:type="character" w:customStyle="1" w:styleId="28">
    <w:name w:val="Body Text Char1"/>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30">
    <w:name w:val="List Paragraph"/>
    <w:basedOn w:val="1"/>
    <w:qFormat/>
    <w:uiPriority w:val="99"/>
    <w:pPr>
      <w:ind w:firstLine="420" w:firstLineChars="200"/>
    </w:pPr>
  </w:style>
  <w:style w:type="paragraph" w:customStyle="1" w:styleId="31">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2">
    <w:name w:val="TOC 标题2"/>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3">
    <w:name w:val="font51"/>
    <w:qFormat/>
    <w:uiPriority w:val="99"/>
    <w:rPr>
      <w:rFonts w:ascii="宋体" w:hAnsi="宋体" w:eastAsia="宋体"/>
      <w:color w:val="000000"/>
      <w:sz w:val="36"/>
      <w:u w:val="none"/>
    </w:rPr>
  </w:style>
  <w:style w:type="character" w:customStyle="1" w:styleId="34">
    <w:name w:val="font21"/>
    <w:qFormat/>
    <w:uiPriority w:val="99"/>
    <w:rPr>
      <w:rFonts w:ascii="Times New Roman" w:hAnsi="Times New Roman"/>
      <w:color w:val="000000"/>
      <w:sz w:val="36"/>
      <w:u w:val="none"/>
    </w:rPr>
  </w:style>
  <w:style w:type="character" w:customStyle="1" w:styleId="35">
    <w:name w:val="font41"/>
    <w:qFormat/>
    <w:uiPriority w:val="99"/>
    <w:rPr>
      <w:rFonts w:ascii="Times New Roman" w:hAnsi="Times New Roman"/>
      <w:color w:val="000000"/>
      <w:sz w:val="24"/>
      <w:u w:val="none"/>
    </w:rPr>
  </w:style>
  <w:style w:type="character" w:customStyle="1" w:styleId="36">
    <w:name w:val="font31"/>
    <w:qFormat/>
    <w:uiPriority w:val="99"/>
    <w:rPr>
      <w:rFonts w:ascii="宋体" w:hAnsi="宋体" w:eastAsia="宋体"/>
      <w:color w:val="000000"/>
      <w:sz w:val="24"/>
      <w:u w:val="none"/>
    </w:rPr>
  </w:style>
  <w:style w:type="character" w:customStyle="1" w:styleId="37">
    <w:name w:val="font11"/>
    <w:qFormat/>
    <w:uiPriority w:val="99"/>
    <w:rPr>
      <w:rFonts w:ascii="Times New Roman" w:hAnsi="Times New Roman"/>
      <w:color w:val="000000"/>
      <w:sz w:val="36"/>
      <w:u w:val="none"/>
    </w:rPr>
  </w:style>
  <w:style w:type="paragraph" w:customStyle="1" w:styleId="38">
    <w:name w:val="WPSOffice手动目录 1"/>
    <w:qFormat/>
    <w:uiPriority w:val="99"/>
    <w:rPr>
      <w:rFonts w:ascii="Calibri" w:hAnsi="Calibri" w:eastAsia="宋体" w:cs="Times New Roman"/>
      <w:kern w:val="0"/>
      <w:sz w:val="20"/>
      <w:szCs w:val="20"/>
      <w:lang w:val="en-US" w:eastAsia="zh-CN" w:bidi="ar-SA"/>
    </w:rPr>
  </w:style>
  <w:style w:type="paragraph" w:customStyle="1" w:styleId="39">
    <w:name w:val="WPSOffice手动目录 2"/>
    <w:qFormat/>
    <w:uiPriority w:val="99"/>
    <w:pPr>
      <w:ind w:left="200" w:leftChars="200"/>
    </w:pPr>
    <w:rPr>
      <w:rFonts w:ascii="Calibri" w:hAnsi="Calibri" w:eastAsia="宋体" w:cs="Times New Roman"/>
      <w:kern w:val="0"/>
      <w:sz w:val="20"/>
      <w:szCs w:val="20"/>
      <w:lang w:val="en-US" w:eastAsia="zh-CN" w:bidi="ar-SA"/>
    </w:rPr>
  </w:style>
  <w:style w:type="paragraph" w:customStyle="1" w:styleId="40">
    <w:name w:val="TOC 标题3"/>
    <w:basedOn w:val="3"/>
    <w:next w:val="1"/>
    <w:qFormat/>
    <w:uiPriority w:val="99"/>
    <w:pPr>
      <w:widowControl/>
      <w:spacing w:before="240" w:after="0" w:line="259" w:lineRule="auto"/>
      <w:jc w:val="left"/>
      <w:outlineLvl w:val="9"/>
    </w:pPr>
    <w:rPr>
      <w:rFonts w:ascii="Cambria" w:hAnsi="Cambria"/>
      <w:b w:val="0"/>
      <w:bCs w:val="0"/>
      <w:color w:val="365F91"/>
      <w:kern w:val="0"/>
      <w:sz w:val="32"/>
      <w:szCs w:val="32"/>
    </w:rPr>
  </w:style>
  <w:style w:type="character" w:customStyle="1" w:styleId="41">
    <w:name w:val="20"/>
    <w:qFormat/>
    <w:uiPriority w:val="99"/>
    <w:rPr>
      <w:rFonts w:ascii="Times New Roman" w:eastAsia="楷体_GB2312"/>
      <w:sz w:val="32"/>
    </w:rPr>
  </w:style>
  <w:style w:type="character" w:customStyle="1" w:styleId="42">
    <w:name w:val="font111"/>
    <w:qFormat/>
    <w:uiPriority w:val="99"/>
    <w:rPr>
      <w:rFonts w:ascii="华文楷体" w:hAnsi="华文楷体" w:eastAsia="华文楷体"/>
      <w:i/>
      <w:color w:val="000000"/>
      <w:sz w:val="24"/>
      <w:u w:val="none"/>
    </w:rPr>
  </w:style>
  <w:style w:type="paragraph" w:customStyle="1" w:styleId="43">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27</Pages>
  <Words>1733</Words>
  <Characters>9883</Characters>
  <Lines>0</Lines>
  <Paragraphs>0</Paragraphs>
  <TotalTime>3</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2021-09-18T10:34:00Z</dcterms:created>
  <dc:creator>曹颖</dc:creator>
  <cp:lastModifiedBy>user</cp:lastModifiedBy>
  <cp:lastPrinted>2022-06-10T09:07:00Z</cp:lastPrinted>
  <dcterms:modified xsi:type="dcterms:W3CDTF">2022-09-05T20:12:54Z</dcterms:modified>
  <dc:title>四川省***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05CFE006BAF54C77B10D29FE21C1E72D</vt:lpwstr>
  </property>
  <property fmtid="{D5CDD505-2E9C-101B-9397-08002B2CF9AE}" pid="4" name="KSOSaveFontToCloudKey">
    <vt:lpwstr>238987696_embed</vt:lpwstr>
  </property>
</Properties>
</file>