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9E" w:rsidRDefault="007D779E">
      <w:pPr>
        <w:spacing w:line="600" w:lineRule="exact"/>
        <w:jc w:val="center"/>
        <w:outlineLvl w:val="0"/>
        <w:rPr>
          <w:rFonts w:ascii="方正小标宋简体" w:eastAsia="方正小标宋简体" w:hAnsi="宋体"/>
          <w:color w:val="000000"/>
          <w:sz w:val="72"/>
          <w:szCs w:val="72"/>
        </w:rPr>
      </w:pPr>
      <w:bookmarkStart w:id="0" w:name="_Toc15306267"/>
    </w:p>
    <w:p w:rsidR="007D779E" w:rsidRDefault="007D779E">
      <w:pPr>
        <w:spacing w:line="600" w:lineRule="exact"/>
        <w:jc w:val="center"/>
        <w:outlineLvl w:val="0"/>
        <w:rPr>
          <w:rFonts w:ascii="方正小标宋简体" w:eastAsia="方正小标宋简体" w:hAnsi="宋体"/>
          <w:color w:val="000000"/>
          <w:sz w:val="72"/>
          <w:szCs w:val="72"/>
        </w:rPr>
      </w:pPr>
    </w:p>
    <w:p w:rsidR="007D779E" w:rsidRDefault="007D779E">
      <w:pPr>
        <w:spacing w:line="600" w:lineRule="exact"/>
        <w:jc w:val="center"/>
        <w:outlineLvl w:val="0"/>
        <w:rPr>
          <w:rFonts w:ascii="方正小标宋简体" w:eastAsia="方正小标宋简体" w:hAnsi="宋体"/>
          <w:color w:val="000000"/>
          <w:sz w:val="72"/>
          <w:szCs w:val="72"/>
        </w:rPr>
      </w:pPr>
    </w:p>
    <w:p w:rsidR="007D779E" w:rsidRDefault="00B63CB4">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96475"/>
      <w:bookmarkStart w:id="3" w:name="_Toc15377193"/>
      <w:bookmarkStart w:id="4" w:name="_Toc15377425"/>
      <w:bookmarkStart w:id="5" w:name="_Toc15378441"/>
      <w:r>
        <w:rPr>
          <w:rFonts w:ascii="方正小标宋简体" w:eastAsia="方正小标宋简体" w:hAnsi="宋体" w:hint="eastAsia"/>
          <w:color w:val="000000"/>
          <w:sz w:val="72"/>
          <w:szCs w:val="72"/>
        </w:rPr>
        <w:t>2020年度</w:t>
      </w:r>
      <w:bookmarkEnd w:id="1"/>
      <w:bookmarkEnd w:id="2"/>
      <w:bookmarkEnd w:id="3"/>
      <w:bookmarkEnd w:id="4"/>
      <w:bookmarkEnd w:id="5"/>
    </w:p>
    <w:p w:rsidR="007D779E" w:rsidRDefault="00B63CB4">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598"/>
      <w:bookmarkStart w:id="8" w:name="_Toc15377194"/>
      <w:bookmarkStart w:id="9" w:name="_Toc15396476"/>
      <w:bookmarkStart w:id="10" w:name="_Toc15378442"/>
      <w:r>
        <w:rPr>
          <w:rFonts w:ascii="方正小标宋简体" w:eastAsia="方正小标宋简体" w:hAnsi="宋体" w:hint="eastAsia"/>
          <w:color w:val="000000"/>
          <w:sz w:val="72"/>
          <w:szCs w:val="72"/>
        </w:rPr>
        <w:t>广元市</w:t>
      </w:r>
      <w:bookmarkStart w:id="11" w:name="_Toc15306268"/>
      <w:bookmarkEnd w:id="0"/>
      <w:r>
        <w:rPr>
          <w:rFonts w:ascii="方正小标宋简体" w:eastAsia="方正小标宋简体" w:hAnsi="宋体" w:hint="eastAsia"/>
          <w:color w:val="000000"/>
          <w:sz w:val="72"/>
          <w:szCs w:val="72"/>
        </w:rPr>
        <w:t>不动产登记中心</w:t>
      </w:r>
    </w:p>
    <w:p w:rsidR="007D779E" w:rsidRDefault="00B63CB4">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7D779E" w:rsidRDefault="00B63CB4">
      <w:pPr>
        <w:widowControl/>
        <w:jc w:val="center"/>
        <w:rPr>
          <w:rFonts w:ascii="方正小标宋简体" w:eastAsia="方正小标宋简体" w:hAnsi="黑体" w:cs="黑体"/>
          <w:color w:val="000000"/>
          <w:sz w:val="72"/>
          <w:szCs w:val="72"/>
        </w:rPr>
      </w:pPr>
      <w:r>
        <w:rPr>
          <w:rFonts w:ascii="方正小标宋简体" w:eastAsia="方正小标宋简体" w:hAnsi="黑体" w:cs="黑体" w:hint="eastAsia"/>
          <w:color w:val="000000"/>
          <w:sz w:val="72"/>
          <w:szCs w:val="72"/>
        </w:rPr>
        <w:t>编</w:t>
      </w:r>
    </w:p>
    <w:p w:rsidR="007D779E" w:rsidRDefault="00B63CB4">
      <w:pPr>
        <w:widowControl/>
        <w:jc w:val="center"/>
        <w:rPr>
          <w:rFonts w:ascii="方正小标宋简体" w:eastAsia="方正小标宋简体" w:hAnsi="黑体" w:cs="黑体"/>
          <w:color w:val="000000"/>
          <w:sz w:val="72"/>
          <w:szCs w:val="72"/>
        </w:rPr>
      </w:pPr>
      <w:r>
        <w:rPr>
          <w:rFonts w:ascii="方正小标宋简体" w:eastAsia="方正小标宋简体" w:hAnsi="黑体" w:cs="黑体" w:hint="eastAsia"/>
          <w:color w:val="000000"/>
          <w:sz w:val="72"/>
          <w:szCs w:val="72"/>
        </w:rPr>
        <w:t>制</w:t>
      </w:r>
    </w:p>
    <w:p w:rsidR="007D779E" w:rsidRDefault="00B63CB4">
      <w:pPr>
        <w:widowControl/>
        <w:jc w:val="center"/>
        <w:rPr>
          <w:rFonts w:ascii="方正小标宋简体" w:eastAsia="方正小标宋简体" w:hAnsi="黑体" w:cs="黑体"/>
          <w:color w:val="000000"/>
          <w:sz w:val="72"/>
          <w:szCs w:val="72"/>
        </w:rPr>
      </w:pPr>
      <w:r>
        <w:rPr>
          <w:rFonts w:ascii="方正小标宋简体" w:eastAsia="方正小标宋简体" w:hAnsi="黑体" w:cs="黑体" w:hint="eastAsia"/>
          <w:color w:val="000000"/>
          <w:sz w:val="72"/>
          <w:szCs w:val="72"/>
        </w:rPr>
        <w:t>说</w:t>
      </w:r>
    </w:p>
    <w:p w:rsidR="007D779E" w:rsidRDefault="00B63CB4">
      <w:pPr>
        <w:widowControl/>
        <w:jc w:val="center"/>
        <w:rPr>
          <w:rFonts w:ascii="方正小标宋简体" w:eastAsia="方正小标宋简体" w:hAnsi="黑体" w:cs="黑体"/>
          <w:color w:val="000000"/>
          <w:sz w:val="72"/>
          <w:szCs w:val="72"/>
        </w:rPr>
        <w:sectPr w:rsidR="007D779E">
          <w:headerReference w:type="even" r:id="rId8"/>
          <w:headerReference w:type="default" r:id="rId9"/>
          <w:footerReference w:type="even" r:id="rId10"/>
          <w:footerReference w:type="default" r:id="rId11"/>
          <w:headerReference w:type="first" r:id="rId12"/>
          <w:footerReference w:type="first" r:id="rId13"/>
          <w:pgSz w:w="11906" w:h="16838"/>
          <w:pgMar w:top="1701" w:right="1474" w:bottom="1417" w:left="1587" w:header="851" w:footer="737" w:gutter="0"/>
          <w:pgNumType w:start="1"/>
          <w:cols w:space="425"/>
          <w:titlePg/>
          <w:docGrid w:type="lines" w:linePitch="312"/>
        </w:sectPr>
      </w:pPr>
      <w:r>
        <w:rPr>
          <w:rFonts w:ascii="方正小标宋简体" w:eastAsia="方正小标宋简体" w:hAnsi="黑体" w:cs="黑体" w:hint="eastAsia"/>
          <w:color w:val="000000"/>
          <w:sz w:val="72"/>
          <w:szCs w:val="72"/>
        </w:rPr>
        <w:t>明</w:t>
      </w:r>
    </w:p>
    <w:p w:rsidR="007D779E" w:rsidRDefault="00B63CB4">
      <w:pPr>
        <w:widowControl/>
        <w:jc w:val="center"/>
        <w:rPr>
          <w:rFonts w:ascii="黑体" w:eastAsia="黑体" w:hAnsi="黑体"/>
          <w:color w:val="000000"/>
          <w:sz w:val="48"/>
          <w:szCs w:val="48"/>
        </w:rPr>
      </w:pPr>
      <w:r>
        <w:rPr>
          <w:rFonts w:ascii="黑体" w:eastAsia="黑体" w:hAnsi="黑体" w:cs="黑体" w:hint="eastAsia"/>
          <w:color w:val="000000"/>
          <w:sz w:val="48"/>
          <w:szCs w:val="48"/>
        </w:rPr>
        <w:lastRenderedPageBreak/>
        <w:t>目  录</w:t>
      </w:r>
    </w:p>
    <w:p w:rsidR="007D779E" w:rsidRDefault="007D779E">
      <w:pPr>
        <w:widowControl/>
        <w:jc w:val="center"/>
        <w:rPr>
          <w:rFonts w:ascii="黑体" w:eastAsia="黑体" w:hAnsi="黑体"/>
          <w:sz w:val="28"/>
          <w:szCs w:val="28"/>
        </w:rPr>
      </w:pPr>
    </w:p>
    <w:p w:rsidR="007D779E" w:rsidRDefault="00B63CB4">
      <w:pPr>
        <w:pStyle w:val="10"/>
      </w:pPr>
      <w:r>
        <w:rPr>
          <w:rFonts w:hint="eastAsia"/>
        </w:rPr>
        <w:t>公开时间：</w:t>
      </w:r>
      <w:r>
        <w:t>2021</w:t>
      </w:r>
      <w:r>
        <w:rPr>
          <w:rFonts w:hint="eastAsia"/>
        </w:rPr>
        <w:t>年9月27日</w:t>
      </w:r>
    </w:p>
    <w:p w:rsidR="007D779E" w:rsidRDefault="007D779E"/>
    <w:p w:rsidR="007D779E" w:rsidRDefault="00B63CB4">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第一部分 部门概况</w:t>
      </w:r>
      <w:r>
        <w:rPr>
          <w:rFonts w:ascii="方正黑体简体" w:eastAsia="方正黑体简体" w:hAnsi="方正黑体简体" w:cs="方正黑体简体" w:hint="eastAsia"/>
          <w:sz w:val="32"/>
          <w:szCs w:val="32"/>
        </w:rPr>
        <w:tab/>
      </w:r>
      <w:r w:rsidR="00736FDF">
        <w:rPr>
          <w:rFonts w:ascii="方正黑体简体" w:eastAsia="方正黑体简体" w:hAnsi="方正黑体简体" w:cs="方正黑体简体" w:hint="eastAsia"/>
          <w:sz w:val="32"/>
          <w:szCs w:val="32"/>
        </w:rPr>
        <w:t>1</w:t>
      </w:r>
    </w:p>
    <w:p w:rsidR="007D779E" w:rsidRDefault="00B63CB4">
      <w:pPr>
        <w:pStyle w:val="21"/>
        <w:adjustRightInd w:val="0"/>
        <w:snapToGrid w:val="0"/>
        <w:spacing w:line="560" w:lineRule="exact"/>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一、基本职能及主要工作</w:t>
      </w:r>
      <w:r>
        <w:rPr>
          <w:rFonts w:ascii="方正楷体简体" w:eastAsia="方正楷体简体" w:hAnsi="方正楷体简体" w:cs="方正楷体简体" w:hint="eastAsia"/>
          <w:sz w:val="32"/>
          <w:szCs w:val="32"/>
        </w:rPr>
        <w:tab/>
      </w:r>
      <w:r w:rsidR="00144922">
        <w:rPr>
          <w:rFonts w:ascii="方正楷体简体" w:eastAsia="方正楷体简体" w:hAnsi="方正楷体简体" w:cs="方正楷体简体" w:hint="eastAsia"/>
          <w:sz w:val="32"/>
          <w:szCs w:val="32"/>
        </w:rPr>
        <w:t>1</w:t>
      </w:r>
    </w:p>
    <w:p w:rsidR="007D779E" w:rsidRDefault="00B63CB4">
      <w:pPr>
        <w:pStyle w:val="21"/>
        <w:adjustRightInd w:val="0"/>
        <w:snapToGrid w:val="0"/>
        <w:spacing w:line="560" w:lineRule="exact"/>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r>
        <w:rPr>
          <w:rFonts w:ascii="方正楷体简体" w:eastAsia="方正楷体简体" w:hAnsi="方正楷体简体" w:cs="方正楷体简体" w:hint="eastAsia"/>
          <w:sz w:val="32"/>
          <w:szCs w:val="32"/>
        </w:rPr>
        <w:tab/>
        <w:t>4</w:t>
      </w:r>
    </w:p>
    <w:p w:rsidR="007D779E" w:rsidRDefault="00B63CB4">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第二部分 2020年度部门决算情况说明</w:t>
      </w:r>
      <w:r>
        <w:rPr>
          <w:rFonts w:ascii="方正黑体简体" w:eastAsia="方正黑体简体" w:hAnsi="方正黑体简体" w:cs="方正黑体简体" w:hint="eastAsia"/>
          <w:sz w:val="32"/>
          <w:szCs w:val="32"/>
        </w:rPr>
        <w:tab/>
      </w:r>
      <w:r w:rsidR="00736FDF">
        <w:rPr>
          <w:rFonts w:ascii="方正黑体简体" w:eastAsia="方正黑体简体" w:hAnsi="方正黑体简体" w:cs="方正黑体简体" w:hint="eastAsia"/>
          <w:sz w:val="32"/>
          <w:szCs w:val="32"/>
        </w:rPr>
        <w:t>2</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一、收入支出决算总体情况说明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二、收入决算情况说明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三、支出决算情况说明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四、财政拨款收入支出决算总体情况说明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3</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五、一般公共预算财政拨款支出决算情况说明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3</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六、一般公共预算财政拨款基本支出决算情况说明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4</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七、“三公”经费财政拨款支出决算情况说明</w:t>
      </w:r>
      <w:r>
        <w:rPr>
          <w:rFonts w:ascii="方正楷体简体" w:eastAsia="方正楷体简体" w:hAnsi="方正楷体简体" w:cs="方正楷体简体" w:hint="eastAsia"/>
          <w:sz w:val="32"/>
          <w:szCs w:val="32"/>
        </w:rPr>
        <w:tab/>
        <w:t>7</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八、政府性基金预算支出决算情况说明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6</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九、国有资本经营预算支出决算情况说明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6</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十、其他重要事项的情况说明</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6</w:t>
      </w:r>
    </w:p>
    <w:p w:rsidR="007D779E" w:rsidRDefault="00B63CB4">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第三部分 名词解释</w:t>
      </w:r>
      <w:r>
        <w:rPr>
          <w:rFonts w:ascii="方正黑体简体" w:eastAsia="方正黑体简体" w:hAnsi="方正黑体简体" w:cs="方正黑体简体" w:hint="eastAsia"/>
          <w:sz w:val="32"/>
          <w:szCs w:val="32"/>
        </w:rPr>
        <w:tab/>
        <w:t>1</w:t>
      </w:r>
      <w:r w:rsidR="00736FDF">
        <w:rPr>
          <w:rFonts w:ascii="方正黑体简体" w:eastAsia="方正黑体简体" w:hAnsi="方正黑体简体" w:cs="方正黑体简体" w:hint="eastAsia"/>
          <w:sz w:val="32"/>
          <w:szCs w:val="32"/>
        </w:rPr>
        <w:t>5</w:t>
      </w:r>
    </w:p>
    <w:p w:rsidR="007D779E" w:rsidRDefault="00B63CB4">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第四部分 附件</w:t>
      </w:r>
      <w:r>
        <w:rPr>
          <w:rFonts w:ascii="方正黑体简体" w:eastAsia="方正黑体简体" w:hAnsi="方正黑体简体" w:cs="方正黑体简体" w:hint="eastAsia"/>
          <w:sz w:val="32"/>
          <w:szCs w:val="32"/>
        </w:rPr>
        <w:tab/>
      </w:r>
      <w:r w:rsidR="00736FDF">
        <w:rPr>
          <w:rFonts w:ascii="方正黑体简体" w:eastAsia="方正黑体简体" w:hAnsi="方正黑体简体" w:cs="方正黑体简体" w:hint="eastAsia"/>
          <w:sz w:val="32"/>
          <w:szCs w:val="32"/>
        </w:rPr>
        <w:t>15</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附件</w:t>
      </w:r>
      <w:r w:rsidR="00736FDF">
        <w:rPr>
          <w:rFonts w:ascii="方正楷体简体" w:eastAsia="方正楷体简体" w:hAnsi="方正楷体简体" w:cs="方正楷体简体" w:hint="eastAsia"/>
          <w:sz w:val="32"/>
          <w:szCs w:val="32"/>
        </w:rPr>
        <w:t>1</w:t>
      </w:r>
      <w:r w:rsidR="00736FDF">
        <w:rPr>
          <w:rFonts w:ascii="方正楷体简体" w:eastAsia="方正楷体简体" w:hAnsi="方正楷体简体" w:cs="方正楷体简体" w:hint="eastAsia"/>
          <w:sz w:val="32"/>
          <w:szCs w:val="32"/>
        </w:rPr>
        <w:tab/>
        <w:t>15</w:t>
      </w:r>
    </w:p>
    <w:p w:rsidR="007D779E" w:rsidRDefault="00B63CB4">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第五部分 附表</w:t>
      </w:r>
      <w:r>
        <w:rPr>
          <w:rFonts w:ascii="方正黑体简体" w:eastAsia="方正黑体简体" w:hAnsi="方正黑体简体" w:cs="方正黑体简体" w:hint="eastAsia"/>
          <w:sz w:val="32"/>
          <w:szCs w:val="32"/>
        </w:rPr>
        <w:tab/>
        <w:t>1</w:t>
      </w:r>
      <w:r w:rsidR="00736FDF">
        <w:rPr>
          <w:rFonts w:ascii="方正黑体简体" w:eastAsia="方正黑体简体" w:hAnsi="方正黑体简体" w:cs="方正黑体简体" w:hint="eastAsia"/>
          <w:sz w:val="32"/>
          <w:szCs w:val="32"/>
        </w:rPr>
        <w:t>9</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一、收入支出决算总表</w:t>
      </w:r>
      <w:r>
        <w:rPr>
          <w:rFonts w:ascii="方正楷体简体" w:eastAsia="方正楷体简体" w:hAnsi="方正楷体简体" w:cs="方正楷体简体" w:hint="eastAsia"/>
          <w:sz w:val="32"/>
          <w:szCs w:val="32"/>
        </w:rPr>
        <w:tab/>
        <w:t>1</w:t>
      </w:r>
      <w:r w:rsidR="00736FDF">
        <w:rPr>
          <w:rFonts w:ascii="方正楷体简体" w:eastAsia="方正楷体简体" w:hAnsi="方正楷体简体" w:cs="方正楷体简体" w:hint="eastAsia"/>
          <w:sz w:val="32"/>
          <w:szCs w:val="32"/>
        </w:rPr>
        <w:t>9</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二、收入决算表</w:t>
      </w:r>
      <w:r>
        <w:rPr>
          <w:rFonts w:ascii="方正楷体简体" w:eastAsia="方正楷体简体" w:hAnsi="方正楷体简体" w:cs="方正楷体简体" w:hint="eastAsia"/>
          <w:sz w:val="32"/>
          <w:szCs w:val="32"/>
        </w:rPr>
        <w:tab/>
        <w:t>1</w:t>
      </w:r>
      <w:r w:rsidR="00736FDF">
        <w:rPr>
          <w:rFonts w:ascii="方正楷体简体" w:eastAsia="方正楷体简体" w:hAnsi="方正楷体简体" w:cs="方正楷体简体" w:hint="eastAsia"/>
          <w:sz w:val="32"/>
          <w:szCs w:val="32"/>
        </w:rPr>
        <w:t>9</w:t>
      </w:r>
    </w:p>
    <w:p w:rsidR="007D779E" w:rsidRDefault="007D779E">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sectPr w:rsidR="007D779E">
          <w:footerReference w:type="default" r:id="rId14"/>
          <w:footerReference w:type="first" r:id="rId15"/>
          <w:pgSz w:w="11906" w:h="16838"/>
          <w:pgMar w:top="1701" w:right="1474" w:bottom="1417" w:left="1587" w:header="851" w:footer="737" w:gutter="0"/>
          <w:pgNumType w:start="1"/>
          <w:cols w:space="425"/>
          <w:titlePg/>
          <w:docGrid w:type="lines" w:linePitch="312"/>
        </w:sectPr>
      </w:pP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三、支出决算表</w:t>
      </w:r>
      <w:r>
        <w:rPr>
          <w:rFonts w:ascii="方正楷体简体" w:eastAsia="方正楷体简体" w:hAnsi="方正楷体简体" w:cs="方正楷体简体" w:hint="eastAsia"/>
          <w:sz w:val="32"/>
          <w:szCs w:val="32"/>
        </w:rPr>
        <w:tab/>
        <w:t>1</w:t>
      </w:r>
      <w:r w:rsidR="00736FDF">
        <w:rPr>
          <w:rFonts w:ascii="方正楷体简体" w:eastAsia="方正楷体简体" w:hAnsi="方正楷体简体" w:cs="方正楷体简体" w:hint="eastAsia"/>
          <w:sz w:val="32"/>
          <w:szCs w:val="32"/>
        </w:rPr>
        <w:t>9</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四、财政拨款收入支出决算总表</w:t>
      </w:r>
      <w:r>
        <w:rPr>
          <w:rFonts w:ascii="方正楷体简体" w:eastAsia="方正楷体简体" w:hAnsi="方正楷体简体" w:cs="方正楷体简体" w:hint="eastAsia"/>
          <w:sz w:val="32"/>
          <w:szCs w:val="32"/>
        </w:rPr>
        <w:tab/>
        <w:t>1</w:t>
      </w:r>
      <w:r w:rsidR="00736FDF">
        <w:rPr>
          <w:rFonts w:ascii="方正楷体简体" w:eastAsia="方正楷体简体" w:hAnsi="方正楷体简体" w:cs="方正楷体简体" w:hint="eastAsia"/>
          <w:sz w:val="32"/>
          <w:szCs w:val="32"/>
        </w:rPr>
        <w:t>9</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五、财政拨款支出决算明细表</w:t>
      </w:r>
      <w:r>
        <w:rPr>
          <w:rFonts w:ascii="方正楷体简体" w:eastAsia="方正楷体简体" w:hAnsi="方正楷体简体" w:cs="方正楷体简体" w:hint="eastAsia"/>
          <w:sz w:val="32"/>
          <w:szCs w:val="32"/>
        </w:rPr>
        <w:tab/>
        <w:t>1</w:t>
      </w:r>
      <w:r w:rsidR="00736FDF">
        <w:rPr>
          <w:rFonts w:ascii="方正楷体简体" w:eastAsia="方正楷体简体" w:hAnsi="方正楷体简体" w:cs="方正楷体简体" w:hint="eastAsia"/>
          <w:sz w:val="32"/>
          <w:szCs w:val="32"/>
        </w:rPr>
        <w:t>9</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六、一般公共预算财政拨款支出决算表</w:t>
      </w:r>
      <w:r>
        <w:rPr>
          <w:rFonts w:ascii="方正楷体简体" w:eastAsia="方正楷体简体" w:hAnsi="方正楷体简体" w:cs="方正楷体简体" w:hint="eastAsia"/>
          <w:sz w:val="32"/>
          <w:szCs w:val="32"/>
        </w:rPr>
        <w:tab/>
        <w:t>1</w:t>
      </w:r>
      <w:r w:rsidR="00736FDF">
        <w:rPr>
          <w:rFonts w:ascii="方正楷体简体" w:eastAsia="方正楷体简体" w:hAnsi="方正楷体简体" w:cs="方正楷体简体" w:hint="eastAsia"/>
          <w:sz w:val="32"/>
          <w:szCs w:val="32"/>
        </w:rPr>
        <w:t>9</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七、一般公共预算财政拨款支出决算明细表</w:t>
      </w:r>
      <w:r>
        <w:rPr>
          <w:rFonts w:ascii="方正楷体简体" w:eastAsia="方正楷体简体" w:hAnsi="方正楷体简体" w:cs="方正楷体简体" w:hint="eastAsia"/>
          <w:sz w:val="32"/>
          <w:szCs w:val="32"/>
        </w:rPr>
        <w:tab/>
        <w:t>1</w:t>
      </w:r>
      <w:r w:rsidR="00736FDF">
        <w:rPr>
          <w:rFonts w:ascii="方正楷体简体" w:eastAsia="方正楷体简体" w:hAnsi="方正楷体简体" w:cs="方正楷体简体" w:hint="eastAsia"/>
          <w:sz w:val="32"/>
          <w:szCs w:val="32"/>
        </w:rPr>
        <w:t>9</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八、一般公共预算财政拨款基本支出决算表</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20</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九、一般公共预算财政拨款项目支出决算表</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20</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十、一般公共预算财政拨款“三公”经费支出决算表</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20</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十一、政府性基金预算财政拨款收入支出决算表</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20</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十二、</w:t>
      </w:r>
      <w:r>
        <w:rPr>
          <w:rFonts w:ascii="方正楷体简体" w:eastAsia="方正楷体简体" w:hAnsi="方正楷体简体" w:cs="方正楷体简体" w:hint="eastAsia"/>
          <w:spacing w:val="-9"/>
          <w:sz w:val="32"/>
          <w:szCs w:val="32"/>
        </w:rPr>
        <w:t>政府性基金预算财政拨款“三公”经费支出决算表</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20</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十三、国有资本经营预算财政拨款收入支出决算表</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20</w:t>
      </w:r>
    </w:p>
    <w:p w:rsidR="007D779E" w:rsidRDefault="00B63CB4">
      <w:pPr>
        <w:pStyle w:val="21"/>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十四、国有资本经营预算财政拨款支出决算表</w:t>
      </w:r>
      <w:r>
        <w:rPr>
          <w:rFonts w:ascii="方正楷体简体" w:eastAsia="方正楷体简体" w:hAnsi="方正楷体简体" w:cs="方正楷体简体" w:hint="eastAsia"/>
          <w:sz w:val="32"/>
          <w:szCs w:val="32"/>
        </w:rPr>
        <w:tab/>
      </w:r>
      <w:r w:rsidR="00736FDF">
        <w:rPr>
          <w:rFonts w:ascii="方正楷体简体" w:eastAsia="方正楷体简体" w:hAnsi="方正楷体简体" w:cs="方正楷体简体" w:hint="eastAsia"/>
          <w:sz w:val="32"/>
          <w:szCs w:val="32"/>
        </w:rPr>
        <w:t>20</w:t>
      </w:r>
    </w:p>
    <w:p w:rsidR="007D779E" w:rsidRDefault="007D779E">
      <w:pPr>
        <w:spacing w:line="700" w:lineRule="exact"/>
        <w:jc w:val="center"/>
        <w:rPr>
          <w:rFonts w:ascii="方正小标宋简体" w:eastAsia="方正小标宋简体" w:hAnsi="方正小标宋简体" w:cs="方正小标宋简体"/>
          <w:sz w:val="44"/>
          <w:szCs w:val="44"/>
        </w:rPr>
        <w:sectPr w:rsidR="007D779E">
          <w:footerReference w:type="default" r:id="rId16"/>
          <w:footerReference w:type="first" r:id="rId17"/>
          <w:pgSz w:w="11906" w:h="16838"/>
          <w:pgMar w:top="1701" w:right="1474" w:bottom="1417" w:left="1587" w:header="851" w:footer="737" w:gutter="0"/>
          <w:pgNumType w:start="1"/>
          <w:cols w:space="425"/>
          <w:docGrid w:type="lines" w:linePitch="312"/>
        </w:sectPr>
      </w:pPr>
      <w:bookmarkStart w:id="12" w:name="_Toc15377196"/>
      <w:bookmarkStart w:id="13" w:name="_Toc15396599"/>
    </w:p>
    <w:p w:rsidR="007D779E" w:rsidRDefault="007D779E">
      <w:pPr>
        <w:spacing w:line="700" w:lineRule="exact"/>
        <w:jc w:val="center"/>
        <w:rPr>
          <w:rFonts w:ascii="方正小标宋简体" w:eastAsia="方正小标宋简体" w:hAnsi="方正小标宋简体" w:cs="方正小标宋简体"/>
          <w:sz w:val="44"/>
          <w:szCs w:val="44"/>
        </w:rPr>
      </w:pPr>
    </w:p>
    <w:p w:rsidR="007D779E" w:rsidRDefault="00B63CB4">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第一部分  部门概况</w:t>
      </w:r>
      <w:bookmarkEnd w:id="12"/>
      <w:bookmarkEnd w:id="13"/>
    </w:p>
    <w:p w:rsidR="007D779E" w:rsidRDefault="007D779E">
      <w:pPr>
        <w:spacing w:line="560" w:lineRule="exact"/>
        <w:ind w:firstLineChars="200" w:firstLine="640"/>
        <w:rPr>
          <w:rFonts w:ascii="仿宋_GB2312" w:eastAsia="仿宋_GB2312" w:hAnsi="仿宋_GB2312" w:cs="仿宋_GB2312"/>
          <w:sz w:val="32"/>
          <w:szCs w:val="32"/>
        </w:rPr>
      </w:pP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14" w:name="_Toc15377197"/>
      <w:bookmarkStart w:id="15" w:name="_Toc15396600"/>
      <w:r>
        <w:rPr>
          <w:rFonts w:ascii="方正黑体简体" w:eastAsia="方正黑体简体" w:hAnsi="方正黑体简体" w:cs="方正黑体简体" w:hint="eastAsia"/>
          <w:sz w:val="32"/>
          <w:szCs w:val="32"/>
        </w:rPr>
        <w:t>一、基本职能及主要工作</w:t>
      </w:r>
      <w:bookmarkEnd w:id="14"/>
      <w:bookmarkEnd w:id="15"/>
    </w:p>
    <w:p w:rsidR="007D779E" w:rsidRDefault="00B63CB4">
      <w:pPr>
        <w:spacing w:line="560" w:lineRule="exact"/>
        <w:ind w:firstLineChars="200" w:firstLine="640"/>
        <w:rPr>
          <w:rFonts w:ascii="方正楷体简体" w:eastAsia="方正楷体简体" w:hAnsi="方正楷体简体" w:cs="方正楷体简体"/>
          <w:sz w:val="32"/>
          <w:szCs w:val="32"/>
        </w:rPr>
      </w:pPr>
      <w:bookmarkStart w:id="16" w:name="_Toc15377198"/>
      <w:bookmarkStart w:id="17" w:name="_Toc15378445"/>
      <w:r>
        <w:rPr>
          <w:rFonts w:ascii="方正楷体简体" w:eastAsia="方正楷体简体" w:hAnsi="方正楷体简体" w:cs="方正楷体简体" w:hint="eastAsia"/>
          <w:sz w:val="32"/>
          <w:szCs w:val="32"/>
        </w:rPr>
        <w:t>（一）主要职能</w:t>
      </w:r>
      <w:bookmarkEnd w:id="16"/>
      <w:bookmarkEnd w:id="17"/>
    </w:p>
    <w:p w:rsidR="007D779E" w:rsidRDefault="00B63CB4">
      <w:pPr>
        <w:spacing w:line="580" w:lineRule="exact"/>
        <w:ind w:firstLineChars="200" w:firstLine="640"/>
        <w:rPr>
          <w:rFonts w:ascii="仿宋_GB2312" w:eastAsia="仿宋_GB2312" w:hAnsi="仿宋_GB2312" w:cs="仿宋_GB2312"/>
          <w:sz w:val="32"/>
          <w:szCs w:val="32"/>
        </w:rPr>
      </w:pPr>
      <w:bookmarkStart w:id="18" w:name="_Toc15377199"/>
      <w:bookmarkStart w:id="19" w:name="_Toc15378446"/>
      <w:r>
        <w:rPr>
          <w:rFonts w:ascii="仿宋_GB2312" w:eastAsia="仿宋_GB2312" w:hAnsi="仿宋_GB2312" w:cs="仿宋_GB2312"/>
          <w:sz w:val="32"/>
          <w:szCs w:val="32"/>
        </w:rPr>
        <w:t>贯彻执行土地登记、 房屋登记、林地登记等不动产登记政策、法规；负责城市规划区内土地登记、 房屋登记、林地登记受理经办工作；负责不动产登记信息基础平台建设和管理，做好数据的整理、 备份、 依法对外查询工作，并与市建设、 农业、 林业等部门建立信息共享机制；指导县不动产登记等工作</w:t>
      </w:r>
      <w:r>
        <w:rPr>
          <w:rFonts w:ascii="仿宋_GB2312" w:eastAsia="仿宋_GB2312" w:hAnsi="仿宋_GB2312" w:cs="仿宋_GB2312" w:hint="eastAsia"/>
          <w:sz w:val="32"/>
          <w:szCs w:val="32"/>
        </w:rPr>
        <w:t>。</w:t>
      </w:r>
    </w:p>
    <w:p w:rsidR="007D779E" w:rsidRDefault="00B63CB4">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（二）2020年重点工作完成情况</w:t>
      </w:r>
      <w:bookmarkEnd w:id="18"/>
      <w:bookmarkEnd w:id="19"/>
    </w:p>
    <w:p w:rsidR="007D779E" w:rsidRDefault="00B63CB4">
      <w:pPr>
        <w:spacing w:line="600" w:lineRule="exact"/>
        <w:ind w:firstLineChars="230" w:firstLine="736"/>
        <w:rPr>
          <w:rFonts w:ascii="仿宋_GB2312" w:eastAsia="仿宋_GB2312" w:hAnsi="仿宋_GB2312" w:cs="仿宋_GB2312"/>
          <w:sz w:val="32"/>
          <w:szCs w:val="32"/>
        </w:rPr>
      </w:pPr>
      <w:r>
        <w:rPr>
          <w:rFonts w:ascii="仿宋_GB2312" w:eastAsia="仿宋_GB2312" w:hAnsi="仿宋_GB2312" w:cs="仿宋_GB2312" w:hint="eastAsia"/>
          <w:sz w:val="32"/>
          <w:szCs w:val="32"/>
        </w:rPr>
        <w:t>1.优化流程、由以前7个压缩至4个，精简资料，一般不动产登记由过去15项资料精</w:t>
      </w:r>
      <w:r w:rsidR="00B559D2">
        <w:rPr>
          <w:rFonts w:ascii="仿宋_GB2312" w:eastAsia="仿宋_GB2312" w:hAnsi="仿宋_GB2312" w:cs="仿宋_GB2312" w:hint="eastAsia"/>
          <w:sz w:val="32"/>
          <w:szCs w:val="32"/>
        </w:rPr>
        <w:t>简</w:t>
      </w:r>
      <w:r>
        <w:rPr>
          <w:rFonts w:ascii="仿宋_GB2312" w:eastAsia="仿宋_GB2312" w:hAnsi="仿宋_GB2312" w:cs="仿宋_GB2312" w:hint="eastAsia"/>
          <w:sz w:val="32"/>
          <w:szCs w:val="32"/>
        </w:rPr>
        <w:t>到7项资料，优质受理办理不动产登记，实现办结率90%。</w:t>
      </w:r>
    </w:p>
    <w:p w:rsidR="007D779E" w:rsidRDefault="00B63CB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2.完成不动产登记30000件，发出不动产登记证书（明）20000本，完成查询10000人次，新建和维护楼盘表30000套，上传分户图和宗地图的权籍数据入库10000件。</w:t>
      </w:r>
    </w:p>
    <w:p w:rsidR="007D779E" w:rsidRDefault="00B63CB4" w:rsidP="007D779E">
      <w:pPr>
        <w:spacing w:line="60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3.提速增效，进一步压缩办理时限，不动产登记全部实现4个工作日办结，企业间办理非住宅类转移登记、抵押登记1个工作日办结。</w:t>
      </w:r>
    </w:p>
    <w:p w:rsidR="007D779E" w:rsidRDefault="00B63CB4" w:rsidP="007D779E">
      <w:pPr>
        <w:spacing w:line="60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4.足额即时征收登记费，全年完成登记费收入560万。</w:t>
      </w:r>
    </w:p>
    <w:p w:rsidR="007D779E" w:rsidRDefault="00D45EA6" w:rsidP="007D779E">
      <w:pPr>
        <w:pStyle w:val="20"/>
        <w:spacing w:line="600" w:lineRule="exact"/>
        <w:ind w:leftChars="171" w:left="359" w:firstLineChars="98" w:firstLine="314"/>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B63CB4">
        <w:rPr>
          <w:rFonts w:ascii="仿宋_GB2312" w:eastAsia="仿宋_GB2312" w:hAnsi="仿宋_GB2312" w:cs="仿宋_GB2312" w:hint="eastAsia"/>
          <w:sz w:val="32"/>
          <w:szCs w:val="32"/>
        </w:rPr>
        <w:t>加快不动产信息化进程，完成登记平台市级统一集中部署，</w:t>
      </w:r>
      <w:r w:rsidR="00B63CB4">
        <w:rPr>
          <w:rFonts w:ascii="仿宋_GB2312" w:eastAsia="仿宋_GB2312" w:hAnsi="仿宋_GB2312" w:cs="仿宋_GB2312" w:hint="eastAsia"/>
          <w:sz w:val="32"/>
          <w:szCs w:val="32"/>
        </w:rPr>
        <w:lastRenderedPageBreak/>
        <w:t>推进数据共享，实现与公安、市场监管、税务等市级12个单位22项信息的共享，实现信息化集成的“一窗受理”。</w:t>
      </w:r>
    </w:p>
    <w:p w:rsidR="007D779E" w:rsidRDefault="00B63CB4">
      <w:pPr>
        <w:spacing w:line="60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6.实现“互联网+不动产”项目，推动实体大厅向网上大厅延伸，打造“不打烊”的“数字不动产登记”。（5分，自查得分5分）</w:t>
      </w:r>
    </w:p>
    <w:p w:rsidR="007D779E" w:rsidRDefault="00B63CB4">
      <w:pPr>
        <w:pStyle w:val="20"/>
        <w:spacing w:line="600" w:lineRule="exact"/>
        <w:ind w:leftChars="0" w:left="0"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7.化解历史遗留问题，完成集中列入“不忘初心、牢记使命”主题教育整改的10个问题楼盘办证问题。（5分，自查得分5分）</w:t>
      </w:r>
    </w:p>
    <w:p w:rsidR="007D779E" w:rsidRDefault="00B63CB4">
      <w:pPr>
        <w:spacing w:line="560" w:lineRule="exact"/>
        <w:ind w:firstLineChars="250" w:firstLine="800"/>
        <w:rPr>
          <w:rFonts w:ascii="方正黑体简体" w:eastAsia="方正黑体简体" w:hAnsi="方正黑体简体" w:cs="方正黑体简体"/>
          <w:sz w:val="32"/>
          <w:szCs w:val="32"/>
        </w:rPr>
      </w:pPr>
      <w:bookmarkStart w:id="20" w:name="_Toc15396601"/>
      <w:bookmarkStart w:id="21" w:name="_Toc15377200"/>
      <w:r>
        <w:rPr>
          <w:rFonts w:ascii="方正黑体简体" w:eastAsia="方正黑体简体" w:hAnsi="方正黑体简体" w:cs="方正黑体简体" w:hint="eastAsia"/>
          <w:sz w:val="32"/>
          <w:szCs w:val="32"/>
        </w:rPr>
        <w:t>二、机构设置</w:t>
      </w:r>
      <w:bookmarkEnd w:id="20"/>
      <w:bookmarkEnd w:id="21"/>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广元市不动产登记中心属于广元市自然资源局二级预算单位。</w:t>
      </w:r>
      <w:bookmarkStart w:id="22" w:name="_Toc15396602"/>
      <w:bookmarkStart w:id="23" w:name="_Toc15377204"/>
    </w:p>
    <w:p w:rsidR="007D779E" w:rsidRDefault="00B63CB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  2020年度部门决算情况说明</w:t>
      </w:r>
      <w:bookmarkEnd w:id="22"/>
      <w:bookmarkEnd w:id="23"/>
    </w:p>
    <w:p w:rsidR="007D779E" w:rsidRDefault="007D779E">
      <w:pPr>
        <w:spacing w:line="560" w:lineRule="exact"/>
        <w:ind w:firstLineChars="200" w:firstLine="640"/>
        <w:rPr>
          <w:rFonts w:ascii="仿宋_GB2312" w:eastAsia="仿宋_GB2312" w:hAnsi="仿宋_GB2312" w:cs="仿宋_GB2312"/>
          <w:sz w:val="32"/>
          <w:szCs w:val="32"/>
        </w:rPr>
      </w:pP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24" w:name="_Toc15396603"/>
      <w:bookmarkStart w:id="25" w:name="_Toc15377205"/>
      <w:r>
        <w:rPr>
          <w:rFonts w:ascii="方正黑体简体" w:eastAsia="方正黑体简体" w:hAnsi="方正黑体简体" w:cs="方正黑体简体" w:hint="eastAsia"/>
          <w:sz w:val="32"/>
          <w:szCs w:val="32"/>
        </w:rPr>
        <w:t>一、收入支出决算总体情况说明</w:t>
      </w:r>
      <w:bookmarkEnd w:id="24"/>
      <w:bookmarkEnd w:id="25"/>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2020年度收、支总计2391.04万元。与2019年相比，收、支总计各减少20.70万元，减少0</w:t>
      </w:r>
      <w:r>
        <w:rPr>
          <w:rFonts w:ascii="仿宋_GB2312" w:eastAsia="仿宋_GB2312" w:hAnsi="仿宋_GB2312" w:cs="仿宋_GB2312"/>
          <w:sz w:val="32"/>
          <w:szCs w:val="32"/>
        </w:rPr>
        <w:t>.86</w:t>
      </w:r>
      <w:r>
        <w:rPr>
          <w:rFonts w:ascii="仿宋_GB2312" w:eastAsia="仿宋_GB2312" w:hAnsi="仿宋_GB2312" w:cs="仿宋_GB2312" w:hint="eastAsia"/>
          <w:sz w:val="32"/>
          <w:szCs w:val="32"/>
        </w:rPr>
        <w:t>%。主要变动原因是年初预算拨款收入减少，人员无变化。</w:t>
      </w: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26" w:name="_Toc15396604"/>
      <w:bookmarkStart w:id="27" w:name="_Toc15377206"/>
      <w:r>
        <w:rPr>
          <w:rFonts w:ascii="方正黑体简体" w:eastAsia="方正黑体简体" w:hAnsi="方正黑体简体" w:cs="方正黑体简体" w:hint="eastAsia"/>
          <w:sz w:val="32"/>
          <w:szCs w:val="32"/>
        </w:rPr>
        <w:t>二、收入决算情况说明</w:t>
      </w:r>
      <w:bookmarkEnd w:id="26"/>
      <w:bookmarkEnd w:id="27"/>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本年收入合计1903.07万元，其中：一般公共预算财政拨款收入910.37万元，占47.84%；政府性基金预算财政拨款收入992.43万元，占52.15%；上级补助收入0万元，占0%；事业收入0万元，占0%；经营收入0万元，占0%；附属单位上缴收入0万元，占0%；其他收入0.27万元，占0.01%。</w:t>
      </w: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28" w:name="_Toc15396605"/>
      <w:bookmarkStart w:id="29" w:name="_Toc15377207"/>
      <w:r>
        <w:rPr>
          <w:rFonts w:ascii="方正黑体简体" w:eastAsia="方正黑体简体" w:hAnsi="方正黑体简体" w:cs="方正黑体简体" w:hint="eastAsia"/>
          <w:sz w:val="32"/>
          <w:szCs w:val="32"/>
        </w:rPr>
        <w:t>三、支出决算情况说明</w:t>
      </w:r>
      <w:bookmarkEnd w:id="28"/>
      <w:bookmarkEnd w:id="29"/>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2020年本年支出合计2081.25万元，其中：基本支出345.02万元，占16.58%；项目支出1736.23万元，占83.42%；上缴上级支出0万元，占0%；经营支出0万元，占0%；对附属单位补助支出0万元，占0%。</w:t>
      </w: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30" w:name="_Toc15396606"/>
      <w:bookmarkStart w:id="31" w:name="_Toc15377208"/>
      <w:r>
        <w:rPr>
          <w:rFonts w:ascii="方正黑体简体" w:eastAsia="方正黑体简体" w:hAnsi="方正黑体简体" w:cs="方正黑体简体" w:hint="eastAsia"/>
          <w:sz w:val="32"/>
          <w:szCs w:val="32"/>
        </w:rPr>
        <w:t>四、财政拨款收入支出决算总体情况说明</w:t>
      </w:r>
      <w:bookmarkEnd w:id="30"/>
      <w:bookmarkEnd w:id="31"/>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2020年财政拨款收、支总计2144.90万元。与2019年相比，财政拨款收、支总计增加699.01万元，增加48.34%。主要变动原因是项目预算拨款收入增加。</w:t>
      </w: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32" w:name="_Toc15377209"/>
      <w:bookmarkStart w:id="33" w:name="_Toc15396607"/>
      <w:r>
        <w:rPr>
          <w:rFonts w:ascii="方正黑体简体" w:eastAsia="方正黑体简体" w:hAnsi="方正黑体简体" w:cs="方正黑体简体" w:hint="eastAsia"/>
          <w:sz w:val="32"/>
          <w:szCs w:val="32"/>
        </w:rPr>
        <w:t>五、一般公共预算财政拨款支出决算情况说明</w:t>
      </w:r>
      <w:bookmarkEnd w:id="32"/>
      <w:bookmarkEnd w:id="33"/>
    </w:p>
    <w:p w:rsidR="007D779E" w:rsidRDefault="00B63CB4">
      <w:pPr>
        <w:spacing w:line="560" w:lineRule="exact"/>
        <w:ind w:firstLineChars="200" w:firstLine="640"/>
        <w:rPr>
          <w:rFonts w:ascii="方正楷体简体" w:eastAsia="方正楷体简体" w:hAnsi="方正楷体简体" w:cs="方正楷体简体"/>
          <w:sz w:val="32"/>
          <w:szCs w:val="32"/>
        </w:rPr>
      </w:pPr>
      <w:bookmarkStart w:id="34" w:name="_Toc15377210"/>
      <w:r>
        <w:rPr>
          <w:rFonts w:ascii="方正楷体简体" w:eastAsia="方正楷体简体" w:hAnsi="方正楷体简体" w:cs="方正楷体简体" w:hint="eastAsia"/>
          <w:sz w:val="32"/>
          <w:szCs w:val="32"/>
        </w:rPr>
        <w:t>（一）一般公共预算财政拨款支出决算总体情况</w:t>
      </w:r>
      <w:bookmarkEnd w:id="34"/>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2020年一般公共预算财政拨款支出1095.01万元，占本年支出合计的58.91%。与2019年相比，一般公共预算财政拨款减少140.17万元，下降14.68%。主要变动原因是项目经费支出增加。</w:t>
      </w:r>
    </w:p>
    <w:p w:rsidR="007D779E" w:rsidRDefault="00B63CB4">
      <w:pPr>
        <w:spacing w:line="560" w:lineRule="exact"/>
        <w:ind w:firstLineChars="200" w:firstLine="640"/>
        <w:rPr>
          <w:rFonts w:ascii="方正楷体简体" w:eastAsia="方正楷体简体" w:hAnsi="方正楷体简体" w:cs="方正楷体简体"/>
          <w:sz w:val="32"/>
          <w:szCs w:val="32"/>
        </w:rPr>
      </w:pPr>
      <w:bookmarkStart w:id="35" w:name="_Toc15377211"/>
      <w:r>
        <w:rPr>
          <w:rFonts w:ascii="方正楷体简体" w:eastAsia="方正楷体简体" w:hAnsi="方正楷体简体" w:cs="方正楷体简体" w:hint="eastAsia"/>
          <w:sz w:val="32"/>
          <w:szCs w:val="32"/>
        </w:rPr>
        <w:t>（二）一般公共预算财政拨款支出决算结构情况</w:t>
      </w:r>
      <w:bookmarkEnd w:id="35"/>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一般公共预算财政拨款支出1095.01万元，主要用于以下方面:社会保障和就业支出（类）27.62万元，占2.52%；卫生健康支出（类）12.95万元，占1.18%；自然资源海洋气象等（类）支出1026.11万元，占93.71%；城乡社区支出（类）0万元，占0%；农林水支出（类）0万元，占0%；住房保障支出（类）28.33万元，占2.59%。除以上数据外其余科目类支出的数据均为零。</w:t>
      </w:r>
    </w:p>
    <w:p w:rsidR="007D779E" w:rsidRDefault="00B63CB4">
      <w:pPr>
        <w:spacing w:line="560" w:lineRule="exact"/>
        <w:ind w:firstLineChars="200" w:firstLine="640"/>
        <w:rPr>
          <w:rFonts w:ascii="方正楷体简体" w:eastAsia="方正楷体简体" w:hAnsi="方正楷体简体" w:cs="方正楷体简体"/>
          <w:sz w:val="32"/>
          <w:szCs w:val="32"/>
        </w:rPr>
      </w:pPr>
      <w:bookmarkStart w:id="36" w:name="_Toc15377212"/>
      <w:r>
        <w:rPr>
          <w:rFonts w:ascii="方正楷体简体" w:eastAsia="方正楷体简体" w:hAnsi="方正楷体简体" w:cs="方正楷体简体" w:hint="eastAsia"/>
          <w:sz w:val="32"/>
          <w:szCs w:val="32"/>
        </w:rPr>
        <w:t>（三）一般公共预算财政拨款支出决算具体情况</w:t>
      </w:r>
      <w:bookmarkEnd w:id="36"/>
    </w:p>
    <w:p w:rsidR="007D779E" w:rsidRDefault="00B63CB4">
      <w:pPr>
        <w:spacing w:line="560" w:lineRule="exact"/>
        <w:ind w:firstLineChars="200" w:firstLine="640"/>
        <w:rPr>
          <w:rFonts w:ascii="仿宋_GB2312" w:eastAsia="仿宋_GB2312" w:hAnsi="仿宋_GB2312" w:cs="仿宋_GB2312"/>
          <w:sz w:val="32"/>
          <w:szCs w:val="32"/>
        </w:rPr>
      </w:pPr>
      <w:bookmarkStart w:id="37" w:name="_Toc15377213"/>
      <w:bookmarkStart w:id="38" w:name="_Toc15378460"/>
      <w:bookmarkStart w:id="39" w:name="_Toc15377444"/>
      <w:r>
        <w:rPr>
          <w:rFonts w:ascii="仿宋_GB2312" w:eastAsia="仿宋_GB2312" w:hAnsi="仿宋_GB2312" w:cs="仿宋_GB2312" w:hint="eastAsia"/>
          <w:sz w:val="32"/>
          <w:szCs w:val="32"/>
        </w:rPr>
        <w:t>2020年一般公共预算支出决算数为1095.01万元，完成预</w:t>
      </w:r>
      <w:r>
        <w:rPr>
          <w:rFonts w:ascii="仿宋_GB2312" w:eastAsia="仿宋_GB2312" w:hAnsi="仿宋_GB2312" w:cs="仿宋_GB2312" w:hint="eastAsia"/>
          <w:sz w:val="32"/>
          <w:szCs w:val="32"/>
        </w:rPr>
        <w:lastRenderedPageBreak/>
        <w:t>算58.91%。其中：</w:t>
      </w:r>
      <w:bookmarkEnd w:id="37"/>
      <w:bookmarkEnd w:id="38"/>
      <w:bookmarkEnd w:id="39"/>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社会保障和就业支出（类）行政事业单位养老支出（款）机关事业单位基本养老保险缴费支出（项）:支出决算为27.62万元，完成预算100%，决算数与预算数基本持平。</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卫生健康支出（类）行政事业单位医疗（款）事业单位医疗（项）:支出决算为12.95万元，完成预算100%，决算数与预算数基本持平。</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3.自然资源海洋气象等（类）支出1026.11万元，完成预算93.71%，决算数与预算数基本持平；</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城乡社区支出（类）:支出决算为0万元，完成预算0%，决算数与预算数基本持平。</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农林水支出（类）林业和草原（款）森林资源培育（项）:支出决算为0万元，完成预算0%，决算数与预算数基本持平。</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 住房保障支出（类）住房改革支出（款）住房公积金（项）:支出决算为28.33万元，完成预算100%，决算数与预算数基本持平。 </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除以上数据外其余的（类）（款）（项）科目支出的数据均为零。</w:t>
      </w: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40" w:name="_Toc15377214"/>
      <w:bookmarkStart w:id="41" w:name="_Toc15396608"/>
      <w:r>
        <w:rPr>
          <w:rFonts w:ascii="方正黑体简体" w:eastAsia="方正黑体简体" w:hAnsi="方正黑体简体" w:cs="方正黑体简体" w:hint="eastAsia"/>
          <w:sz w:val="32"/>
          <w:szCs w:val="32"/>
        </w:rPr>
        <w:t>六、一般公共预算财政拨款基本支出决算情况说明</w:t>
      </w:r>
      <w:bookmarkEnd w:id="40"/>
      <w:bookmarkEnd w:id="41"/>
      <w:r>
        <w:rPr>
          <w:rFonts w:ascii="方正黑体简体" w:eastAsia="方正黑体简体" w:hAnsi="方正黑体简体" w:cs="方正黑体简体" w:hint="eastAsia"/>
          <w:sz w:val="32"/>
          <w:szCs w:val="32"/>
        </w:rPr>
        <w:tab/>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2020年一般公共预算财政拨款基本支出344.78万元，其中：</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303.84万元，主要包括：基本工资、津贴补贴、奖金、绩效工资、机关事业单位基本养老保险缴费、职工基本医疗保险缴费、其他社会保障缴费、其他工资福利支出、奖励金、住房公积金。日常公用经费40.94万元，主要包括：办公费、咨</w:t>
      </w:r>
      <w:r>
        <w:rPr>
          <w:rFonts w:ascii="仿宋_GB2312" w:eastAsia="仿宋_GB2312" w:hAnsi="仿宋_GB2312" w:cs="仿宋_GB2312" w:hint="eastAsia"/>
          <w:sz w:val="32"/>
          <w:szCs w:val="32"/>
        </w:rPr>
        <w:lastRenderedPageBreak/>
        <w:t>询费、手续费、水费、电费、邮电费、差旅费、租赁费、培训费、专用材料费、工会经费、福利费、公务用车运行维护费、其他交通费、其他商品和服务支出。</w:t>
      </w: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42" w:name="_Toc15396609"/>
      <w:bookmarkStart w:id="43" w:name="_Toc15377215"/>
      <w:r>
        <w:rPr>
          <w:rFonts w:ascii="方正黑体简体" w:eastAsia="方正黑体简体" w:hAnsi="方正黑体简体" w:cs="方正黑体简体" w:hint="eastAsia"/>
          <w:sz w:val="32"/>
          <w:szCs w:val="32"/>
        </w:rPr>
        <w:t>七、“三公”经费财政拨款支出决算情况说明</w:t>
      </w:r>
      <w:bookmarkEnd w:id="42"/>
      <w:bookmarkEnd w:id="43"/>
    </w:p>
    <w:p w:rsidR="007D779E" w:rsidRDefault="00B63CB4">
      <w:pPr>
        <w:spacing w:line="560" w:lineRule="exact"/>
        <w:ind w:firstLineChars="200" w:firstLine="640"/>
        <w:rPr>
          <w:rFonts w:ascii="方正楷体简体" w:eastAsia="方正楷体简体" w:hAnsi="方正楷体简体" w:cs="方正楷体简体"/>
          <w:sz w:val="32"/>
          <w:szCs w:val="32"/>
        </w:rPr>
      </w:pPr>
      <w:bookmarkStart w:id="44" w:name="_Toc15377216"/>
      <w:r>
        <w:rPr>
          <w:rFonts w:ascii="方正楷体简体" w:eastAsia="方正楷体简体" w:hAnsi="方正楷体简体" w:cs="方正楷体简体" w:hint="eastAsia"/>
          <w:sz w:val="32"/>
          <w:szCs w:val="32"/>
        </w:rPr>
        <w:t>（一）“三公”经费财政拨款支出决算总体情况说明</w:t>
      </w:r>
      <w:bookmarkEnd w:id="44"/>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2020年“三公”经费财政拨款支出决算为1.5万元，完成预算30%，决算数与预算数下降70%,原因是落实过紧日子思想</w:t>
      </w:r>
      <w:r w:rsidR="004076CD">
        <w:rPr>
          <w:rFonts w:ascii="仿宋_GB2312" w:eastAsia="仿宋_GB2312" w:hAnsi="仿宋_GB2312" w:cs="仿宋_GB2312" w:hint="eastAsia"/>
          <w:sz w:val="32"/>
          <w:szCs w:val="32"/>
        </w:rPr>
        <w:t>减少支出</w:t>
      </w:r>
      <w:r>
        <w:rPr>
          <w:rFonts w:ascii="仿宋_GB2312" w:eastAsia="仿宋_GB2312" w:hAnsi="仿宋_GB2312" w:cs="仿宋_GB2312" w:hint="eastAsia"/>
          <w:sz w:val="32"/>
          <w:szCs w:val="32"/>
        </w:rPr>
        <w:t>。</w:t>
      </w:r>
    </w:p>
    <w:p w:rsidR="007D779E" w:rsidRDefault="00B63CB4">
      <w:pPr>
        <w:spacing w:line="560" w:lineRule="exact"/>
        <w:ind w:firstLineChars="200" w:firstLine="640"/>
        <w:rPr>
          <w:rFonts w:ascii="方正楷体简体" w:eastAsia="方正楷体简体" w:hAnsi="方正楷体简体" w:cs="方正楷体简体"/>
          <w:sz w:val="32"/>
          <w:szCs w:val="32"/>
        </w:rPr>
      </w:pPr>
      <w:bookmarkStart w:id="45" w:name="_Toc15377217"/>
      <w:r>
        <w:rPr>
          <w:rFonts w:ascii="方正楷体简体" w:eastAsia="方正楷体简体" w:hAnsi="方正楷体简体" w:cs="方正楷体简体" w:hint="eastAsia"/>
          <w:sz w:val="32"/>
          <w:szCs w:val="32"/>
        </w:rPr>
        <w:t>（二）“三公”经费财政拨款支出决算具体情况说明</w:t>
      </w:r>
      <w:bookmarkEnd w:id="45"/>
    </w:p>
    <w:p w:rsidR="007D779E" w:rsidRDefault="00CF015F">
      <w:pPr>
        <w:spacing w:line="560" w:lineRule="exact"/>
        <w:ind w:firstLineChars="200" w:firstLine="640"/>
        <w:rPr>
          <w:rFonts w:ascii="仿宋_GB2312" w:eastAsia="仿宋_GB2312" w:hAnsi="仿宋_GB2312" w:cs="仿宋_GB2312"/>
          <w:sz w:val="32"/>
          <w:szCs w:val="32"/>
        </w:rPr>
      </w:pPr>
      <w:r w:rsidRPr="00CF015F">
        <w:rPr>
          <w:rFonts w:ascii="仿宋_GB2312" w:eastAsia="仿宋_GB2312" w:hAnsi="仿宋_GB2312" w:cs="仿宋_GB2312" w:hint="eastAsia"/>
          <w:sz w:val="32"/>
          <w:szCs w:val="32"/>
        </w:rPr>
        <w:t>2020年“三公”经费财政拨款支出决算中，因公出国（境）费支出决算0万元，年初未安排预算；公务用车购置及运行维护费支出决算0万元，年初未安排预算；</w:t>
      </w:r>
      <w:r w:rsidR="00B63CB4">
        <w:rPr>
          <w:rFonts w:ascii="仿宋_GB2312" w:eastAsia="仿宋_GB2312" w:hAnsi="仿宋_GB2312" w:cs="仿宋_GB2312" w:hint="eastAsia"/>
          <w:sz w:val="32"/>
          <w:szCs w:val="32"/>
        </w:rPr>
        <w:t>公务接待费支出决算1.66万元，占100%。具体情况如下：</w:t>
      </w:r>
    </w:p>
    <w:p w:rsidR="00DD23CB" w:rsidRPr="00DD23CB" w:rsidRDefault="00DD23CB" w:rsidP="00DD23CB">
      <w:pPr>
        <w:ind w:firstLineChars="200" w:firstLine="640"/>
        <w:rPr>
          <w:rFonts w:ascii="仿宋_GB2312" w:eastAsia="仿宋_GB2312" w:hAnsi="仿宋_GB2312" w:cs="仿宋_GB2312"/>
          <w:sz w:val="32"/>
          <w:szCs w:val="32"/>
        </w:rPr>
      </w:pPr>
      <w:r w:rsidRPr="00DD23CB">
        <w:rPr>
          <w:rFonts w:ascii="仿宋_GB2312" w:eastAsia="仿宋_GB2312" w:hAnsi="仿宋_GB2312" w:cs="仿宋_GB2312" w:hint="eastAsia"/>
          <w:sz w:val="32"/>
          <w:szCs w:val="32"/>
        </w:rPr>
        <w:t>1.因公出国（境）经费支出0万元，年初未安排预算，较2019年度无变化。主要原因是我单位无因公出国（境）事宜。</w:t>
      </w:r>
    </w:p>
    <w:p w:rsidR="00DD23CB" w:rsidRPr="00DD23CB" w:rsidRDefault="00DD23CB" w:rsidP="00DD23CB">
      <w:pPr>
        <w:ind w:firstLineChars="200" w:firstLine="640"/>
        <w:rPr>
          <w:rFonts w:ascii="仿宋_GB2312" w:eastAsia="仿宋_GB2312" w:hAnsi="仿宋_GB2312" w:cs="仿宋_GB2312"/>
          <w:sz w:val="32"/>
          <w:szCs w:val="32"/>
        </w:rPr>
      </w:pPr>
      <w:r w:rsidRPr="00DD23CB">
        <w:rPr>
          <w:rFonts w:ascii="仿宋_GB2312" w:eastAsia="仿宋_GB2312" w:hAnsi="仿宋_GB2312" w:cs="仿宋_GB2312" w:hint="eastAsia"/>
          <w:sz w:val="32"/>
          <w:szCs w:val="32"/>
        </w:rPr>
        <w:t>2.公务用车购置及运行维护费支出0万元,年初未安排预算。</w:t>
      </w:r>
    </w:p>
    <w:p w:rsidR="00DD23CB" w:rsidRPr="00DD23CB" w:rsidRDefault="00B63CB4" w:rsidP="00DD23C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其中：公务用车购置支出0万元</w:t>
      </w:r>
      <w:r w:rsidR="001F2FD2">
        <w:rPr>
          <w:rFonts w:ascii="仿宋_GB2312" w:eastAsia="仿宋_GB2312" w:hAnsi="仿宋_GB2312" w:cs="仿宋_GB2312" w:hint="eastAsia"/>
          <w:sz w:val="32"/>
          <w:szCs w:val="32"/>
        </w:rPr>
        <w:t>，</w:t>
      </w:r>
      <w:r w:rsidR="001F2FD2" w:rsidRPr="001F2FD2">
        <w:rPr>
          <w:rFonts w:ascii="仿宋_GB2312" w:eastAsia="仿宋_GB2312" w:hAnsi="仿宋_GB2312" w:cs="仿宋_GB2312" w:hint="eastAsia"/>
          <w:sz w:val="32"/>
          <w:szCs w:val="32"/>
        </w:rPr>
        <w:t>年初未安排预算</w:t>
      </w:r>
      <w:r w:rsidR="001F2FD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r w:rsidR="00DD23CB" w:rsidRPr="00DD23CB">
        <w:rPr>
          <w:rFonts w:ascii="仿宋_GB2312" w:eastAsia="仿宋_GB2312" w:hAnsi="仿宋_GB2312" w:cs="仿宋_GB2312" w:hint="eastAsia"/>
          <w:sz w:val="32"/>
          <w:szCs w:val="32"/>
        </w:rPr>
        <w:t>公务用车购置支出0万元，年初未安排预算。截至2020年12月底，单位共有公务用车0辆，其中：特种专业用车0辆、其他用车0辆。</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公务用车运行维护费支出0万元</w:t>
      </w:r>
      <w:r w:rsidR="00DD23CB">
        <w:rPr>
          <w:rFonts w:ascii="仿宋_GB2312" w:eastAsia="仿宋_GB2312" w:hAnsi="仿宋_GB2312" w:cs="仿宋_GB2312" w:hint="eastAsia"/>
          <w:sz w:val="32"/>
          <w:szCs w:val="32"/>
        </w:rPr>
        <w:t>，</w:t>
      </w:r>
      <w:r w:rsidR="00DD23CB" w:rsidRPr="00DD23CB">
        <w:rPr>
          <w:rFonts w:ascii="仿宋_GB2312" w:eastAsia="仿宋_GB2312" w:hAnsi="仿宋_GB2312" w:cs="仿宋_GB2312" w:hint="eastAsia"/>
          <w:sz w:val="32"/>
          <w:szCs w:val="32"/>
        </w:rPr>
        <w:t>年初未安排预算</w:t>
      </w:r>
      <w:r>
        <w:rPr>
          <w:rFonts w:ascii="仿宋_GB2312" w:eastAsia="仿宋_GB2312" w:hAnsi="仿宋_GB2312" w:cs="仿宋_GB2312" w:hint="eastAsia"/>
          <w:sz w:val="32"/>
          <w:szCs w:val="32"/>
        </w:rPr>
        <w:t>。</w:t>
      </w:r>
      <w:r w:rsidR="00277532" w:rsidRPr="00496F75">
        <w:rPr>
          <w:rFonts w:ascii="仿宋_GB2312" w:eastAsia="仿宋_GB2312" w:hAnsi="仿宋_GB2312" w:cs="仿宋_GB2312" w:hint="eastAsia"/>
          <w:sz w:val="32"/>
          <w:szCs w:val="32"/>
        </w:rPr>
        <w:t>公务用车购置及运行维护费支出决算与2019年无变化。</w:t>
      </w:r>
    </w:p>
    <w:p w:rsidR="00DD23CB" w:rsidRPr="00647AEC" w:rsidRDefault="00DD23CB" w:rsidP="00DD23CB">
      <w:pPr>
        <w:widowControl/>
        <w:spacing w:line="54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sidR="00B63CB4">
        <w:rPr>
          <w:rFonts w:ascii="仿宋_GB2312" w:eastAsia="仿宋_GB2312" w:hAnsi="仿宋_GB2312" w:cs="仿宋_GB2312" w:hint="eastAsia"/>
          <w:sz w:val="32"/>
          <w:szCs w:val="32"/>
        </w:rPr>
        <w:t>公务接待费支出1.5万元</w:t>
      </w:r>
      <w:bookmarkStart w:id="46" w:name="_Toc15396610"/>
      <w:bookmarkStart w:id="47" w:name="_Toc15377218"/>
      <w:r w:rsidR="00B63CB4">
        <w:rPr>
          <w:rFonts w:ascii="仿宋_GB2312" w:eastAsia="仿宋_GB2312" w:hAnsi="仿宋_GB2312" w:cs="仿宋_GB2312" w:hint="eastAsia"/>
          <w:sz w:val="32"/>
          <w:szCs w:val="32"/>
        </w:rPr>
        <w:t>，完成预算30%。公务接待费支出决算比2019年减少0.495万元，下降49.25%。主要原因是我单位迎接省厅对不动产工作指导。其中：国内公务接待支出1.5万元。国内公务接待12批次，149人次（包括陪同人员），共计支出1.5万元。</w:t>
      </w:r>
      <w:r w:rsidR="00647AEC" w:rsidRPr="00647AEC">
        <w:rPr>
          <w:rFonts w:ascii="仿宋_GB2312" w:eastAsia="仿宋_GB2312" w:hAnsi="仿宋_GB2312" w:cs="仿宋_GB2312" w:hint="eastAsia"/>
          <w:sz w:val="32"/>
          <w:szCs w:val="32"/>
        </w:rPr>
        <w:t>具体内容包括：省自然资源厅、上级部门及县区自然资源局来我单位交流汇报等公务工作用餐。</w:t>
      </w:r>
      <w:r w:rsidRPr="00647AEC">
        <w:rPr>
          <w:rFonts w:ascii="仿宋_GB2312" w:eastAsia="仿宋_GB2312" w:hAnsi="仿宋_GB2312" w:cs="仿宋_GB2312" w:hint="eastAsia"/>
          <w:sz w:val="32"/>
          <w:szCs w:val="32"/>
        </w:rPr>
        <w:t>外事接待支出0万元，本单位无外事接待。</w:t>
      </w:r>
    </w:p>
    <w:p w:rsidR="007D779E" w:rsidRDefault="00B63CB4">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八、政府性基金预算支出决算情况说明</w:t>
      </w:r>
      <w:bookmarkEnd w:id="46"/>
      <w:bookmarkEnd w:id="47"/>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2020年政府性基金预算拨款支出763.67万元。城乡社区支出（类）763.67万元，占100%</w:t>
      </w:r>
      <w:r w:rsidR="00341C57">
        <w:rPr>
          <w:rFonts w:ascii="仿宋_GB2312" w:eastAsia="仿宋_GB2312" w:hAnsi="仿宋_GB2312" w:cs="仿宋_GB2312" w:hint="eastAsia"/>
          <w:sz w:val="32"/>
          <w:szCs w:val="32"/>
        </w:rPr>
        <w:t>.</w:t>
      </w:r>
    </w:p>
    <w:p w:rsidR="00341C57" w:rsidRDefault="00341C57">
      <w:pPr>
        <w:spacing w:line="560" w:lineRule="exact"/>
        <w:ind w:firstLineChars="200" w:firstLine="640"/>
        <w:rPr>
          <w:rFonts w:ascii="仿宋_GB2312" w:eastAsia="仿宋_GB2312" w:hAnsi="仿宋_GB2312" w:cs="仿宋_GB2312"/>
          <w:sz w:val="32"/>
          <w:szCs w:val="32"/>
        </w:rPr>
      </w:pPr>
      <w:r w:rsidRPr="00EC482D">
        <w:rPr>
          <w:rFonts w:ascii="仿宋_GB2312" w:eastAsia="仿宋_GB2312" w:hAnsi="仿宋_GB2312" w:cs="仿宋_GB2312" w:hint="eastAsia"/>
          <w:sz w:val="32"/>
          <w:szCs w:val="32"/>
        </w:rPr>
        <w:t>2020年本单位未在政府性基金预算拨款安排“三公经费”支出。</w:t>
      </w: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48" w:name="_Toc15377219"/>
      <w:bookmarkStart w:id="49" w:name="_Toc15396611"/>
      <w:r>
        <w:rPr>
          <w:rFonts w:ascii="方正黑体简体" w:eastAsia="方正黑体简体" w:hAnsi="方正黑体简体" w:cs="方正黑体简体" w:hint="eastAsia"/>
          <w:sz w:val="32"/>
          <w:szCs w:val="32"/>
        </w:rPr>
        <w:t>九、国有资本经营预算支出决算情况说明</w:t>
      </w:r>
      <w:bookmarkEnd w:id="48"/>
      <w:bookmarkEnd w:id="49"/>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2020年国有资本经营预算拨款支出0万元。</w:t>
      </w:r>
    </w:p>
    <w:p w:rsidR="007D779E" w:rsidRDefault="00B63CB4">
      <w:pPr>
        <w:spacing w:line="560" w:lineRule="exact"/>
        <w:ind w:firstLineChars="200" w:firstLine="640"/>
        <w:rPr>
          <w:rFonts w:ascii="方正黑体简体" w:eastAsia="方正黑体简体" w:hAnsi="方正黑体简体" w:cs="方正黑体简体"/>
          <w:sz w:val="32"/>
          <w:szCs w:val="32"/>
        </w:rPr>
      </w:pPr>
      <w:bookmarkStart w:id="50" w:name="_Toc15396612"/>
      <w:bookmarkStart w:id="51" w:name="_Toc15377221"/>
      <w:r>
        <w:rPr>
          <w:rFonts w:ascii="方正黑体简体" w:eastAsia="方正黑体简体" w:hAnsi="方正黑体简体" w:cs="方正黑体简体" w:hint="eastAsia"/>
          <w:sz w:val="32"/>
          <w:szCs w:val="32"/>
        </w:rPr>
        <w:t>十、其他重要事项的情况说明</w:t>
      </w:r>
      <w:bookmarkEnd w:id="50"/>
      <w:bookmarkEnd w:id="51"/>
    </w:p>
    <w:p w:rsidR="007D779E" w:rsidRDefault="00B63CB4">
      <w:pPr>
        <w:spacing w:line="560" w:lineRule="exact"/>
        <w:ind w:firstLineChars="200" w:firstLine="640"/>
        <w:rPr>
          <w:rFonts w:ascii="方正楷体简体" w:eastAsia="方正楷体简体" w:hAnsi="方正楷体简体" w:cs="方正楷体简体"/>
          <w:sz w:val="32"/>
          <w:szCs w:val="32"/>
        </w:rPr>
      </w:pPr>
      <w:bookmarkStart w:id="52" w:name="_Toc15377222"/>
      <w:r>
        <w:rPr>
          <w:rFonts w:ascii="方正楷体简体" w:eastAsia="方正楷体简体" w:hAnsi="方正楷体简体" w:cs="方正楷体简体" w:hint="eastAsia"/>
          <w:sz w:val="32"/>
          <w:szCs w:val="32"/>
        </w:rPr>
        <w:t>（一）机关运行经费支出情况</w:t>
      </w:r>
      <w:bookmarkEnd w:id="52"/>
    </w:p>
    <w:p w:rsidR="007D779E" w:rsidRDefault="00B63CB4" w:rsidP="0008167B">
      <w:pPr>
        <w:spacing w:line="560" w:lineRule="exact"/>
        <w:ind w:leftChars="304" w:left="638"/>
        <w:rPr>
          <w:rFonts w:ascii="方正楷体简体" w:eastAsia="方正楷体简体" w:hAnsi="方正楷体简体" w:cs="方正楷体简体"/>
          <w:sz w:val="32"/>
          <w:szCs w:val="32"/>
        </w:rPr>
      </w:pPr>
      <w:r>
        <w:rPr>
          <w:rFonts w:ascii="仿宋_GB2312" w:eastAsia="仿宋_GB2312" w:hAnsi="仿宋_GB2312" w:cs="仿宋_GB2312" w:hint="eastAsia"/>
          <w:sz w:val="32"/>
          <w:szCs w:val="32"/>
        </w:rPr>
        <w:t>2020年，广元市不动产登记中心</w:t>
      </w:r>
      <w:r w:rsidR="00B31974">
        <w:rPr>
          <w:rFonts w:ascii="仿宋_GB2312" w:eastAsia="仿宋_GB2312" w:hAnsi="仿宋_GB2312" w:cs="仿宋_GB2312" w:hint="eastAsia"/>
          <w:sz w:val="32"/>
          <w:szCs w:val="32"/>
        </w:rPr>
        <w:t>未发生</w:t>
      </w:r>
      <w:r>
        <w:rPr>
          <w:rFonts w:ascii="仿宋_GB2312" w:eastAsia="仿宋_GB2312" w:hAnsi="仿宋_GB2312" w:cs="仿宋_GB2312" w:hint="eastAsia"/>
          <w:sz w:val="32"/>
          <w:szCs w:val="32"/>
        </w:rPr>
        <w:t>机关运行经费支出</w:t>
      </w:r>
      <w:r w:rsidR="00B31974">
        <w:rPr>
          <w:rFonts w:ascii="仿宋_GB2312" w:eastAsia="仿宋_GB2312" w:hAnsi="仿宋_GB2312" w:cs="仿宋_GB2312" w:hint="eastAsia"/>
          <w:sz w:val="32"/>
          <w:szCs w:val="32"/>
        </w:rPr>
        <w:t>。</w:t>
      </w:r>
      <w:bookmarkStart w:id="53" w:name="_Toc15377223"/>
      <w:r>
        <w:rPr>
          <w:rFonts w:ascii="方正楷体简体" w:eastAsia="方正楷体简体" w:hAnsi="方正楷体简体" w:cs="方正楷体简体" w:hint="eastAsia"/>
          <w:sz w:val="32"/>
          <w:szCs w:val="32"/>
        </w:rPr>
        <w:t>（二）政府采购支出情况</w:t>
      </w:r>
      <w:bookmarkEnd w:id="53"/>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2020年，广元市不动产登记中心政府采购支出总额</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万元，其中：政府采购货物支出6万元、政府采购工程支出0万元、政府采购服务支出50万元。授予中小企业合同金额56万元，占政府采购支出总额的100%，其中：授予小微企业合同金额6万元，占政府采购支出总额的10.71%。</w:t>
      </w:r>
    </w:p>
    <w:p w:rsidR="007D779E" w:rsidRDefault="00B63CB4">
      <w:pPr>
        <w:spacing w:line="560" w:lineRule="exact"/>
        <w:ind w:firstLineChars="200" w:firstLine="640"/>
        <w:rPr>
          <w:rFonts w:ascii="方正楷体简体" w:eastAsia="方正楷体简体" w:hAnsi="方正楷体简体" w:cs="方正楷体简体"/>
          <w:sz w:val="32"/>
          <w:szCs w:val="32"/>
        </w:rPr>
      </w:pPr>
      <w:bookmarkStart w:id="54" w:name="_Toc15377224"/>
      <w:r>
        <w:rPr>
          <w:rFonts w:ascii="方正楷体简体" w:eastAsia="方正楷体简体" w:hAnsi="方正楷体简体" w:cs="方正楷体简体" w:hint="eastAsia"/>
          <w:sz w:val="32"/>
          <w:szCs w:val="32"/>
        </w:rPr>
        <w:t>（三）国有资产占有使用情况</w:t>
      </w:r>
      <w:bookmarkEnd w:id="54"/>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截至2020年12月31日，广元市不动产登记中心共有车辆0辆，其中：主要领导干部用车0辆、机要通信用车0辆、应急保障用车0辆、其他用车</w:t>
      </w:r>
      <w:r w:rsidR="00727E4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辆。其他用车0辆。单价50万元以上通用设备0台（套），单价100万元以上专用设备0台（套）。</w:t>
      </w:r>
    </w:p>
    <w:p w:rsidR="007D779E" w:rsidRDefault="00B63CB4">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（四）预算绩效管理情况</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不动产产权证书资料及法律顾问费、不动产责任保险、房屋租金、物管费及消防安保费事前绩效评估，对1个项目编制了绩效目标，预算执行过程中，选取1个项目开展绩效监控，年终执行完毕，开展绩效目标完成情况自评。</w:t>
      </w:r>
    </w:p>
    <w:p w:rsidR="007D779E" w:rsidRDefault="00B63CB4">
      <w:pPr>
        <w:spacing w:line="52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本部门按要求对2020年部门整体支出开展绩效自评，从评价情况来看我中心2020年部门支出绩效整体执行较好，达到了预期目标，较好的完成了2020年</w:t>
      </w:r>
      <w:r>
        <w:rPr>
          <w:rFonts w:ascii="仿宋_GB2312" w:eastAsia="仿宋_GB2312"/>
          <w:sz w:val="32"/>
          <w:szCs w:val="32"/>
        </w:rPr>
        <w:t>贯彻执行土地登记、房屋登记、林地登记等不动产登记政策、法规；城市规划区内土地登记、 房屋登记、林地登记受理经办工作；不动产登记信息基础平台建设和管理，做好数据的整理、 备份、 依法对外查询工作，并与市建设、 农业、 林业等部门建立信息共享机制；指导县不动产登记等工作</w:t>
      </w:r>
      <w:r>
        <w:rPr>
          <w:rFonts w:ascii="仿宋_GB2312" w:eastAsia="仿宋_GB2312" w:hint="eastAsia"/>
          <w:sz w:val="32"/>
          <w:szCs w:val="32"/>
        </w:rPr>
        <w:t>。</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项目绩效目标完成情况。</w:t>
      </w:r>
      <w:r>
        <w:rPr>
          <w:rFonts w:ascii="仿宋_GB2312" w:eastAsia="仿宋_GB2312" w:hAnsi="仿宋_GB2312" w:cs="仿宋_GB2312" w:hint="eastAsia"/>
          <w:sz w:val="32"/>
          <w:szCs w:val="32"/>
        </w:rPr>
        <w:br/>
        <w:t xml:space="preserve">    本部门在2020年度部门决算中反映不动产产权证书资料及法律顾问费、不动产责任保险、房屋租金、物管费及消防安保费1个，项目绩效目标实际基本完成。</w:t>
      </w:r>
    </w:p>
    <w:p w:rsidR="007D779E" w:rsidRDefault="007D779E">
      <w:pPr>
        <w:spacing w:line="560" w:lineRule="exact"/>
        <w:ind w:firstLineChars="200" w:firstLine="640"/>
        <w:rPr>
          <w:rFonts w:ascii="仿宋_GB2312" w:eastAsia="仿宋_GB2312" w:hAnsi="仿宋_GB2312" w:cs="仿宋_GB2312"/>
          <w:sz w:val="32"/>
          <w:szCs w:val="32"/>
        </w:rPr>
        <w:sectPr w:rsidR="007D779E">
          <w:footerReference w:type="default" r:id="rId18"/>
          <w:footerReference w:type="first" r:id="rId19"/>
          <w:pgSz w:w="11906" w:h="16838"/>
          <w:pgMar w:top="1701" w:right="1474" w:bottom="1304" w:left="1587" w:header="851" w:footer="992" w:gutter="0"/>
          <w:pgNumType w:start="1"/>
          <w:cols w:space="0"/>
          <w:docGrid w:type="lines" w:linePitch="312"/>
        </w:sectPr>
      </w:pPr>
    </w:p>
    <w:tbl>
      <w:tblPr>
        <w:tblW w:w="12420" w:type="dxa"/>
        <w:tblInd w:w="94" w:type="dxa"/>
        <w:tblLook w:val="04A0"/>
      </w:tblPr>
      <w:tblGrid>
        <w:gridCol w:w="2341"/>
        <w:gridCol w:w="2308"/>
        <w:gridCol w:w="1511"/>
        <w:gridCol w:w="856"/>
        <w:gridCol w:w="815"/>
        <w:gridCol w:w="2170"/>
        <w:gridCol w:w="2419"/>
      </w:tblGrid>
      <w:tr w:rsidR="007D779E">
        <w:trPr>
          <w:trHeight w:val="405"/>
        </w:trPr>
        <w:tc>
          <w:tcPr>
            <w:tcW w:w="12420" w:type="dxa"/>
            <w:gridSpan w:val="7"/>
            <w:tcBorders>
              <w:top w:val="nil"/>
              <w:left w:val="nil"/>
              <w:bottom w:val="nil"/>
              <w:right w:val="nil"/>
            </w:tcBorders>
            <w:shd w:val="clear" w:color="auto" w:fill="auto"/>
            <w:vAlign w:val="center"/>
          </w:tcPr>
          <w:p w:rsidR="007D779E" w:rsidRDefault="00B63CB4">
            <w:pPr>
              <w:widowControl/>
              <w:jc w:val="center"/>
              <w:rPr>
                <w:rFonts w:ascii="宋体" w:hAnsi="宋体" w:cs="宋体"/>
                <w:b/>
                <w:bCs/>
                <w:kern w:val="0"/>
                <w:sz w:val="32"/>
                <w:szCs w:val="32"/>
              </w:rPr>
            </w:pPr>
            <w:r>
              <w:rPr>
                <w:rFonts w:ascii="宋体" w:hAnsi="宋体" w:cs="宋体" w:hint="eastAsia"/>
                <w:b/>
                <w:bCs/>
                <w:kern w:val="0"/>
                <w:sz w:val="32"/>
                <w:szCs w:val="32"/>
              </w:rPr>
              <w:lastRenderedPageBreak/>
              <w:t>项目支出绩效目标自评表</w:t>
            </w:r>
          </w:p>
        </w:tc>
      </w:tr>
      <w:tr w:rsidR="007D779E">
        <w:trPr>
          <w:trHeight w:val="285"/>
        </w:trPr>
        <w:tc>
          <w:tcPr>
            <w:tcW w:w="12420" w:type="dxa"/>
            <w:gridSpan w:val="7"/>
            <w:tcBorders>
              <w:top w:val="nil"/>
              <w:left w:val="nil"/>
              <w:bottom w:val="nil"/>
              <w:right w:val="nil"/>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w:t>
            </w:r>
            <w:r>
              <w:rPr>
                <w:kern w:val="0"/>
                <w:sz w:val="24"/>
              </w:rPr>
              <w:t xml:space="preserve">    2020     </w:t>
            </w:r>
            <w:r>
              <w:rPr>
                <w:rFonts w:ascii="宋体" w:hAnsi="宋体" w:cs="宋体" w:hint="eastAsia"/>
                <w:kern w:val="0"/>
                <w:sz w:val="24"/>
              </w:rPr>
              <w:t>年度）</w:t>
            </w:r>
          </w:p>
        </w:tc>
      </w:tr>
      <w:tr w:rsidR="007D779E">
        <w:trPr>
          <w:trHeight w:val="285"/>
        </w:trPr>
        <w:tc>
          <w:tcPr>
            <w:tcW w:w="2341" w:type="dxa"/>
            <w:tcBorders>
              <w:top w:val="nil"/>
              <w:left w:val="nil"/>
              <w:bottom w:val="nil"/>
              <w:right w:val="nil"/>
            </w:tcBorders>
            <w:shd w:val="clear" w:color="auto" w:fill="auto"/>
            <w:vAlign w:val="center"/>
          </w:tcPr>
          <w:p w:rsidR="007D779E" w:rsidRDefault="007D779E">
            <w:pPr>
              <w:widowControl/>
              <w:jc w:val="center"/>
              <w:rPr>
                <w:rFonts w:ascii="宋体" w:hAnsi="宋体" w:cs="宋体"/>
                <w:kern w:val="0"/>
                <w:sz w:val="24"/>
              </w:rPr>
            </w:pPr>
          </w:p>
        </w:tc>
        <w:tc>
          <w:tcPr>
            <w:tcW w:w="2308" w:type="dxa"/>
            <w:tcBorders>
              <w:top w:val="nil"/>
              <w:left w:val="nil"/>
              <w:bottom w:val="nil"/>
              <w:right w:val="nil"/>
            </w:tcBorders>
            <w:shd w:val="clear" w:color="auto" w:fill="auto"/>
            <w:vAlign w:val="center"/>
          </w:tcPr>
          <w:p w:rsidR="007D779E" w:rsidRDefault="007D779E">
            <w:pPr>
              <w:widowControl/>
              <w:jc w:val="center"/>
              <w:rPr>
                <w:rFonts w:ascii="宋体" w:hAnsi="宋体" w:cs="宋体"/>
                <w:kern w:val="0"/>
                <w:sz w:val="24"/>
              </w:rPr>
            </w:pPr>
          </w:p>
        </w:tc>
        <w:tc>
          <w:tcPr>
            <w:tcW w:w="1511" w:type="dxa"/>
            <w:tcBorders>
              <w:top w:val="nil"/>
              <w:left w:val="nil"/>
              <w:bottom w:val="nil"/>
              <w:right w:val="nil"/>
            </w:tcBorders>
            <w:shd w:val="clear" w:color="auto" w:fill="auto"/>
            <w:vAlign w:val="center"/>
          </w:tcPr>
          <w:p w:rsidR="007D779E" w:rsidRDefault="007D779E">
            <w:pPr>
              <w:widowControl/>
              <w:jc w:val="center"/>
              <w:rPr>
                <w:rFonts w:ascii="宋体" w:hAnsi="宋体" w:cs="宋体"/>
                <w:kern w:val="0"/>
                <w:sz w:val="24"/>
              </w:rPr>
            </w:pPr>
          </w:p>
        </w:tc>
        <w:tc>
          <w:tcPr>
            <w:tcW w:w="856" w:type="dxa"/>
            <w:tcBorders>
              <w:top w:val="nil"/>
              <w:left w:val="nil"/>
              <w:bottom w:val="nil"/>
              <w:right w:val="nil"/>
            </w:tcBorders>
            <w:shd w:val="clear" w:color="auto" w:fill="auto"/>
            <w:vAlign w:val="center"/>
          </w:tcPr>
          <w:p w:rsidR="007D779E" w:rsidRDefault="007D779E">
            <w:pPr>
              <w:widowControl/>
              <w:jc w:val="center"/>
              <w:rPr>
                <w:rFonts w:ascii="宋体" w:hAnsi="宋体" w:cs="宋体"/>
                <w:kern w:val="0"/>
                <w:sz w:val="24"/>
              </w:rPr>
            </w:pPr>
          </w:p>
        </w:tc>
        <w:tc>
          <w:tcPr>
            <w:tcW w:w="815" w:type="dxa"/>
            <w:tcBorders>
              <w:top w:val="nil"/>
              <w:left w:val="nil"/>
              <w:bottom w:val="nil"/>
              <w:right w:val="nil"/>
            </w:tcBorders>
            <w:shd w:val="clear" w:color="auto" w:fill="auto"/>
            <w:vAlign w:val="center"/>
          </w:tcPr>
          <w:p w:rsidR="007D779E" w:rsidRDefault="007D779E">
            <w:pPr>
              <w:widowControl/>
              <w:jc w:val="center"/>
              <w:rPr>
                <w:rFonts w:ascii="宋体" w:hAnsi="宋体" w:cs="宋体"/>
                <w:kern w:val="0"/>
                <w:sz w:val="24"/>
              </w:rPr>
            </w:pPr>
          </w:p>
        </w:tc>
        <w:tc>
          <w:tcPr>
            <w:tcW w:w="2170" w:type="dxa"/>
            <w:tcBorders>
              <w:top w:val="nil"/>
              <w:left w:val="nil"/>
              <w:bottom w:val="nil"/>
              <w:right w:val="nil"/>
            </w:tcBorders>
            <w:shd w:val="clear" w:color="auto" w:fill="auto"/>
            <w:vAlign w:val="center"/>
          </w:tcPr>
          <w:p w:rsidR="007D779E" w:rsidRDefault="007D779E">
            <w:pPr>
              <w:widowControl/>
              <w:jc w:val="center"/>
              <w:rPr>
                <w:rFonts w:ascii="宋体" w:hAnsi="宋体" w:cs="宋体"/>
                <w:kern w:val="0"/>
                <w:sz w:val="24"/>
              </w:rPr>
            </w:pPr>
          </w:p>
        </w:tc>
        <w:tc>
          <w:tcPr>
            <w:tcW w:w="2419" w:type="dxa"/>
            <w:tcBorders>
              <w:top w:val="nil"/>
              <w:left w:val="nil"/>
              <w:bottom w:val="nil"/>
              <w:right w:val="nil"/>
            </w:tcBorders>
            <w:shd w:val="clear" w:color="auto" w:fill="auto"/>
            <w:vAlign w:val="center"/>
          </w:tcPr>
          <w:p w:rsidR="007D779E" w:rsidRDefault="007D779E">
            <w:pPr>
              <w:widowControl/>
              <w:jc w:val="center"/>
              <w:rPr>
                <w:rFonts w:ascii="宋体" w:hAnsi="宋体" w:cs="宋体"/>
                <w:kern w:val="0"/>
                <w:sz w:val="24"/>
              </w:rPr>
            </w:pPr>
          </w:p>
        </w:tc>
      </w:tr>
      <w:tr w:rsidR="007D779E">
        <w:trPr>
          <w:trHeight w:val="270"/>
        </w:trPr>
        <w:tc>
          <w:tcPr>
            <w:tcW w:w="4649" w:type="dxa"/>
            <w:gridSpan w:val="2"/>
            <w:tcBorders>
              <w:top w:val="nil"/>
              <w:left w:val="nil"/>
              <w:bottom w:val="single" w:sz="4" w:space="0" w:color="auto"/>
              <w:right w:val="nil"/>
            </w:tcBorders>
            <w:shd w:val="clear" w:color="auto" w:fill="auto"/>
            <w:noWrap/>
            <w:vAlign w:val="center"/>
          </w:tcPr>
          <w:p w:rsidR="007D779E" w:rsidRDefault="00B63CB4">
            <w:pPr>
              <w:widowControl/>
              <w:jc w:val="left"/>
              <w:rPr>
                <w:rFonts w:ascii="宋体" w:hAnsi="宋体" w:cs="宋体"/>
                <w:kern w:val="0"/>
                <w:sz w:val="22"/>
                <w:szCs w:val="22"/>
              </w:rPr>
            </w:pPr>
            <w:r>
              <w:rPr>
                <w:rFonts w:ascii="宋体" w:hAnsi="宋体" w:cs="宋体" w:hint="eastAsia"/>
                <w:kern w:val="0"/>
                <w:sz w:val="22"/>
                <w:szCs w:val="22"/>
              </w:rPr>
              <w:t>注：项目支出包括部门预算支出和专项预算支出</w:t>
            </w:r>
          </w:p>
        </w:tc>
        <w:tc>
          <w:tcPr>
            <w:tcW w:w="1511" w:type="dxa"/>
            <w:tcBorders>
              <w:top w:val="nil"/>
              <w:left w:val="nil"/>
              <w:bottom w:val="nil"/>
              <w:right w:val="nil"/>
            </w:tcBorders>
            <w:shd w:val="clear" w:color="auto" w:fill="auto"/>
            <w:vAlign w:val="center"/>
          </w:tcPr>
          <w:p w:rsidR="007D779E" w:rsidRDefault="007D779E">
            <w:pPr>
              <w:widowControl/>
              <w:jc w:val="left"/>
              <w:rPr>
                <w:rFonts w:ascii="宋体" w:hAnsi="宋体" w:cs="宋体"/>
                <w:kern w:val="0"/>
                <w:sz w:val="22"/>
                <w:szCs w:val="22"/>
              </w:rPr>
            </w:pPr>
          </w:p>
        </w:tc>
        <w:tc>
          <w:tcPr>
            <w:tcW w:w="856" w:type="dxa"/>
            <w:tcBorders>
              <w:top w:val="nil"/>
              <w:left w:val="nil"/>
              <w:bottom w:val="nil"/>
              <w:right w:val="nil"/>
            </w:tcBorders>
            <w:shd w:val="clear" w:color="auto" w:fill="auto"/>
            <w:vAlign w:val="center"/>
          </w:tcPr>
          <w:p w:rsidR="007D779E" w:rsidRDefault="007D779E">
            <w:pPr>
              <w:widowControl/>
              <w:jc w:val="left"/>
              <w:rPr>
                <w:rFonts w:ascii="宋体" w:hAnsi="宋体" w:cs="宋体"/>
                <w:kern w:val="0"/>
                <w:sz w:val="22"/>
                <w:szCs w:val="22"/>
              </w:rPr>
            </w:pPr>
          </w:p>
        </w:tc>
        <w:tc>
          <w:tcPr>
            <w:tcW w:w="815" w:type="dxa"/>
            <w:tcBorders>
              <w:top w:val="nil"/>
              <w:left w:val="nil"/>
              <w:bottom w:val="nil"/>
              <w:right w:val="nil"/>
            </w:tcBorders>
            <w:shd w:val="clear" w:color="auto" w:fill="auto"/>
            <w:vAlign w:val="center"/>
          </w:tcPr>
          <w:p w:rsidR="007D779E" w:rsidRDefault="007D779E">
            <w:pPr>
              <w:widowControl/>
              <w:jc w:val="left"/>
              <w:rPr>
                <w:rFonts w:ascii="宋体" w:hAnsi="宋体" w:cs="宋体"/>
                <w:kern w:val="0"/>
                <w:sz w:val="22"/>
                <w:szCs w:val="22"/>
              </w:rPr>
            </w:pPr>
          </w:p>
        </w:tc>
        <w:tc>
          <w:tcPr>
            <w:tcW w:w="2170" w:type="dxa"/>
            <w:tcBorders>
              <w:top w:val="nil"/>
              <w:left w:val="nil"/>
              <w:bottom w:val="nil"/>
              <w:right w:val="nil"/>
            </w:tcBorders>
            <w:shd w:val="clear" w:color="auto" w:fill="auto"/>
            <w:vAlign w:val="center"/>
          </w:tcPr>
          <w:p w:rsidR="007D779E" w:rsidRDefault="007D779E">
            <w:pPr>
              <w:widowControl/>
              <w:jc w:val="left"/>
              <w:rPr>
                <w:rFonts w:ascii="宋体" w:hAnsi="宋体" w:cs="宋体"/>
                <w:kern w:val="0"/>
                <w:sz w:val="22"/>
                <w:szCs w:val="22"/>
              </w:rPr>
            </w:pPr>
          </w:p>
        </w:tc>
        <w:tc>
          <w:tcPr>
            <w:tcW w:w="2419" w:type="dxa"/>
            <w:tcBorders>
              <w:top w:val="nil"/>
              <w:left w:val="nil"/>
              <w:bottom w:val="nil"/>
              <w:right w:val="nil"/>
            </w:tcBorders>
            <w:shd w:val="clear" w:color="auto" w:fill="auto"/>
            <w:noWrap/>
            <w:vAlign w:val="center"/>
          </w:tcPr>
          <w:p w:rsidR="007D779E" w:rsidRDefault="007D779E">
            <w:pPr>
              <w:widowControl/>
              <w:jc w:val="right"/>
              <w:rPr>
                <w:rFonts w:ascii="宋体" w:hAnsi="宋体" w:cs="宋体"/>
                <w:kern w:val="0"/>
                <w:sz w:val="22"/>
                <w:szCs w:val="22"/>
              </w:rPr>
            </w:pPr>
          </w:p>
        </w:tc>
      </w:tr>
      <w:tr w:rsidR="007D779E">
        <w:trPr>
          <w:trHeight w:val="1039"/>
        </w:trPr>
        <w:tc>
          <w:tcPr>
            <w:tcW w:w="6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项目名称</w:t>
            </w:r>
          </w:p>
        </w:tc>
        <w:tc>
          <w:tcPr>
            <w:tcW w:w="6260" w:type="dxa"/>
            <w:gridSpan w:val="4"/>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不动产产权证书资料及法律顾问费、不动产责任保险、房屋租金、物管费及消防安保费</w:t>
            </w:r>
          </w:p>
        </w:tc>
      </w:tr>
      <w:tr w:rsidR="007D779E">
        <w:trPr>
          <w:trHeight w:val="762"/>
        </w:trPr>
        <w:tc>
          <w:tcPr>
            <w:tcW w:w="6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预算单位</w:t>
            </w:r>
          </w:p>
        </w:tc>
        <w:tc>
          <w:tcPr>
            <w:tcW w:w="6260" w:type="dxa"/>
            <w:gridSpan w:val="4"/>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广元市不动产登记中心</w:t>
            </w:r>
          </w:p>
        </w:tc>
      </w:tr>
      <w:tr w:rsidR="007D779E">
        <w:trPr>
          <w:trHeight w:val="660"/>
        </w:trPr>
        <w:tc>
          <w:tcPr>
            <w:tcW w:w="2341" w:type="dxa"/>
            <w:vMerge w:val="restart"/>
            <w:tcBorders>
              <w:top w:val="nil"/>
              <w:left w:val="single" w:sz="4" w:space="0" w:color="auto"/>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预算</w:t>
            </w:r>
            <w:r>
              <w:rPr>
                <w:rFonts w:ascii="宋体" w:hAnsi="宋体" w:cs="宋体" w:hint="eastAsia"/>
                <w:kern w:val="0"/>
                <w:sz w:val="24"/>
              </w:rPr>
              <w:br/>
              <w:t>执行</w:t>
            </w:r>
            <w:r>
              <w:rPr>
                <w:rFonts w:ascii="宋体" w:hAnsi="宋体" w:cs="宋体" w:hint="eastAsia"/>
                <w:kern w:val="0"/>
                <w:sz w:val="24"/>
              </w:rPr>
              <w:br/>
              <w:t>情况</w:t>
            </w:r>
            <w:r>
              <w:rPr>
                <w:rFonts w:ascii="宋体" w:hAnsi="宋体" w:cs="宋体" w:hint="eastAsia"/>
                <w:kern w:val="0"/>
                <w:sz w:val="24"/>
              </w:rPr>
              <w:br/>
            </w:r>
            <w:r>
              <w:rPr>
                <w:rFonts w:ascii="宋体" w:hAnsi="宋体" w:cs="宋体" w:hint="eastAsia"/>
                <w:kern w:val="0"/>
                <w:sz w:val="16"/>
                <w:szCs w:val="16"/>
              </w:rPr>
              <w:t>（万元）</w:t>
            </w:r>
          </w:p>
        </w:tc>
        <w:tc>
          <w:tcPr>
            <w:tcW w:w="3819"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预算数：</w:t>
            </w: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124万元</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执行数：</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right"/>
              <w:rPr>
                <w:rFonts w:ascii="宋体" w:hAnsi="宋体" w:cs="宋体"/>
                <w:kern w:val="0"/>
                <w:sz w:val="24"/>
              </w:rPr>
            </w:pPr>
            <w:r>
              <w:rPr>
                <w:rFonts w:ascii="宋体" w:hAnsi="宋体" w:cs="宋体" w:hint="eastAsia"/>
                <w:kern w:val="0"/>
                <w:sz w:val="24"/>
              </w:rPr>
              <w:t>124万元</w:t>
            </w:r>
          </w:p>
        </w:tc>
      </w:tr>
      <w:tr w:rsidR="007D779E">
        <w:trPr>
          <w:trHeight w:val="780"/>
        </w:trPr>
        <w:tc>
          <w:tcPr>
            <w:tcW w:w="2341"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3819"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right"/>
              <w:rPr>
                <w:rFonts w:ascii="宋体" w:hAnsi="宋体" w:cs="宋体"/>
                <w:kern w:val="0"/>
                <w:sz w:val="22"/>
                <w:szCs w:val="22"/>
              </w:rPr>
            </w:pPr>
            <w:r>
              <w:rPr>
                <w:rFonts w:ascii="宋体" w:hAnsi="宋体" w:cs="宋体" w:hint="eastAsia"/>
                <w:kern w:val="0"/>
                <w:sz w:val="22"/>
                <w:szCs w:val="22"/>
              </w:rPr>
              <w:t>其中：财政拨款</w:t>
            </w: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124万元</w:t>
            </w:r>
          </w:p>
        </w:tc>
        <w:tc>
          <w:tcPr>
            <w:tcW w:w="2170" w:type="dxa"/>
            <w:tcBorders>
              <w:top w:val="nil"/>
              <w:left w:val="nil"/>
              <w:bottom w:val="nil"/>
              <w:right w:val="single" w:sz="4" w:space="0" w:color="auto"/>
            </w:tcBorders>
            <w:shd w:val="clear" w:color="auto" w:fill="auto"/>
            <w:vAlign w:val="center"/>
          </w:tcPr>
          <w:p w:rsidR="007D779E" w:rsidRDefault="00B63CB4">
            <w:pPr>
              <w:widowControl/>
              <w:jc w:val="right"/>
              <w:rPr>
                <w:rFonts w:ascii="宋体" w:hAnsi="宋体" w:cs="宋体"/>
                <w:kern w:val="0"/>
                <w:sz w:val="22"/>
                <w:szCs w:val="22"/>
              </w:rPr>
            </w:pPr>
            <w:r>
              <w:rPr>
                <w:rFonts w:ascii="宋体" w:hAnsi="宋体" w:cs="宋体" w:hint="eastAsia"/>
                <w:kern w:val="0"/>
                <w:sz w:val="22"/>
                <w:szCs w:val="22"/>
              </w:rPr>
              <w:t>其中：财政拨款</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right"/>
              <w:rPr>
                <w:rFonts w:ascii="宋体" w:hAnsi="宋体" w:cs="宋体"/>
                <w:kern w:val="0"/>
                <w:sz w:val="24"/>
              </w:rPr>
            </w:pPr>
            <w:r>
              <w:rPr>
                <w:rFonts w:ascii="宋体" w:hAnsi="宋体" w:cs="宋体" w:hint="eastAsia"/>
                <w:kern w:val="0"/>
                <w:sz w:val="24"/>
              </w:rPr>
              <w:t>124万元</w:t>
            </w:r>
          </w:p>
        </w:tc>
      </w:tr>
      <w:tr w:rsidR="007D779E">
        <w:trPr>
          <w:trHeight w:val="780"/>
        </w:trPr>
        <w:tc>
          <w:tcPr>
            <w:tcW w:w="2341"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3819"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right"/>
              <w:rPr>
                <w:rFonts w:ascii="宋体" w:hAnsi="宋体" w:cs="宋体"/>
                <w:kern w:val="0"/>
                <w:sz w:val="22"/>
                <w:szCs w:val="22"/>
              </w:rPr>
            </w:pPr>
            <w:r>
              <w:rPr>
                <w:rFonts w:ascii="宋体" w:hAnsi="宋体" w:cs="宋体" w:hint="eastAsia"/>
                <w:kern w:val="0"/>
                <w:sz w:val="22"/>
                <w:szCs w:val="22"/>
              </w:rPr>
              <w:t>其他资金</w:t>
            </w: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 xml:space="preserve">　</w:t>
            </w:r>
          </w:p>
        </w:tc>
        <w:tc>
          <w:tcPr>
            <w:tcW w:w="2170" w:type="dxa"/>
            <w:tcBorders>
              <w:top w:val="single" w:sz="4" w:space="0" w:color="auto"/>
              <w:left w:val="nil"/>
              <w:bottom w:val="nil"/>
              <w:right w:val="single" w:sz="4" w:space="0" w:color="auto"/>
            </w:tcBorders>
            <w:shd w:val="clear" w:color="auto" w:fill="auto"/>
            <w:vAlign w:val="center"/>
          </w:tcPr>
          <w:p w:rsidR="007D779E" w:rsidRDefault="00B63CB4">
            <w:pPr>
              <w:widowControl/>
              <w:jc w:val="right"/>
              <w:rPr>
                <w:rFonts w:ascii="宋体" w:hAnsi="宋体" w:cs="宋体"/>
                <w:kern w:val="0"/>
                <w:sz w:val="22"/>
                <w:szCs w:val="22"/>
              </w:rPr>
            </w:pPr>
            <w:r>
              <w:rPr>
                <w:rFonts w:ascii="宋体" w:hAnsi="宋体" w:cs="宋体" w:hint="eastAsia"/>
                <w:kern w:val="0"/>
                <w:sz w:val="22"/>
                <w:szCs w:val="22"/>
              </w:rPr>
              <w:t>其他资金</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right"/>
              <w:rPr>
                <w:rFonts w:ascii="宋体" w:hAnsi="宋体" w:cs="宋体"/>
                <w:kern w:val="0"/>
                <w:sz w:val="24"/>
              </w:rPr>
            </w:pPr>
            <w:r>
              <w:rPr>
                <w:rFonts w:ascii="宋体" w:hAnsi="宋体" w:cs="宋体" w:hint="eastAsia"/>
                <w:kern w:val="0"/>
                <w:sz w:val="24"/>
              </w:rPr>
              <w:t xml:space="preserve">　</w:t>
            </w:r>
          </w:p>
        </w:tc>
      </w:tr>
      <w:tr w:rsidR="007D779E">
        <w:trPr>
          <w:trHeight w:val="795"/>
        </w:trPr>
        <w:tc>
          <w:tcPr>
            <w:tcW w:w="2341" w:type="dxa"/>
            <w:vMerge w:val="restart"/>
            <w:tcBorders>
              <w:top w:val="nil"/>
              <w:left w:val="single" w:sz="4" w:space="0" w:color="auto"/>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年度</w:t>
            </w:r>
            <w:r>
              <w:rPr>
                <w:rFonts w:ascii="宋体" w:hAnsi="宋体" w:cs="宋体" w:hint="eastAsia"/>
                <w:kern w:val="0"/>
                <w:sz w:val="24"/>
              </w:rPr>
              <w:br/>
              <w:t>目标</w:t>
            </w:r>
            <w:r>
              <w:rPr>
                <w:rFonts w:ascii="宋体" w:hAnsi="宋体" w:cs="宋体" w:hint="eastAsia"/>
                <w:kern w:val="0"/>
                <w:sz w:val="24"/>
              </w:rPr>
              <w:br/>
            </w:r>
            <w:r>
              <w:rPr>
                <w:rFonts w:ascii="宋体" w:hAnsi="宋体" w:cs="宋体" w:hint="eastAsia"/>
                <w:kern w:val="0"/>
                <w:sz w:val="24"/>
              </w:rPr>
              <w:lastRenderedPageBreak/>
              <w:t>完成</w:t>
            </w:r>
            <w:r>
              <w:rPr>
                <w:rFonts w:ascii="宋体" w:hAnsi="宋体" w:cs="宋体" w:hint="eastAsia"/>
                <w:kern w:val="0"/>
                <w:sz w:val="24"/>
              </w:rPr>
              <w:br/>
              <w:t>情况</w:t>
            </w:r>
          </w:p>
        </w:tc>
        <w:tc>
          <w:tcPr>
            <w:tcW w:w="5490" w:type="dxa"/>
            <w:gridSpan w:val="4"/>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lastRenderedPageBreak/>
              <w:t>预期目标</w:t>
            </w:r>
          </w:p>
        </w:tc>
        <w:tc>
          <w:tcPr>
            <w:tcW w:w="4589"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实际完成目标</w:t>
            </w:r>
          </w:p>
        </w:tc>
      </w:tr>
      <w:tr w:rsidR="007D779E">
        <w:trPr>
          <w:trHeight w:val="4740"/>
        </w:trPr>
        <w:tc>
          <w:tcPr>
            <w:tcW w:w="2341"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5490" w:type="dxa"/>
            <w:gridSpan w:val="4"/>
            <w:tcBorders>
              <w:top w:val="single" w:sz="4" w:space="0" w:color="auto"/>
              <w:left w:val="nil"/>
              <w:bottom w:val="single" w:sz="4" w:space="0" w:color="auto"/>
              <w:right w:val="single" w:sz="4" w:space="0" w:color="000000"/>
            </w:tcBorders>
            <w:shd w:val="clear" w:color="auto" w:fill="auto"/>
          </w:tcPr>
          <w:p w:rsidR="007D779E" w:rsidRDefault="00B63CB4">
            <w:pPr>
              <w:widowControl/>
              <w:jc w:val="left"/>
              <w:rPr>
                <w:rFonts w:ascii="宋体" w:hAnsi="宋体" w:cs="宋体"/>
                <w:kern w:val="0"/>
                <w:sz w:val="24"/>
              </w:rPr>
            </w:pPr>
            <w:r>
              <w:rPr>
                <w:rFonts w:ascii="宋体" w:hAnsi="宋体" w:cs="宋体" w:hint="eastAsia"/>
                <w:kern w:val="0"/>
                <w:sz w:val="24"/>
              </w:rPr>
              <w:t>一、根据合同约定，法律顾问费为4万元每年，登记中心涉及相关产权纠纷官司，签订项目合同需律师协助等办理。二、责任类的保险，不动产责任保险8万元每年，主要针对不动产中心，赔偿责任：保险期内及预订的追溯期内，从事不动产登记的工作人员承办不动产登记业务时候。1、登记错误；2、依法审核任未辨清当事人提交的虚假材料；3工作人员依法办理中疏忽、过失；以及这些事故后被诉讼或仲裁产生的法律费用！自然资源部统一制作不动产产权证书，统一印制防伪标志，定点购买，每一年办理不动产产权证书约7万本以上（含运输费用、证书证明费用）。三、根据政府安排和合同约定2020年1月-2020年12月给广元投资控股集团有限公司支付房屋年租金80万元和物管16.5万元费用，以及消防系统维护保养费0.5万元，合计124万元。</w:t>
            </w:r>
          </w:p>
        </w:tc>
        <w:tc>
          <w:tcPr>
            <w:tcW w:w="4589" w:type="dxa"/>
            <w:gridSpan w:val="2"/>
            <w:tcBorders>
              <w:top w:val="single" w:sz="4" w:space="0" w:color="auto"/>
              <w:left w:val="nil"/>
              <w:bottom w:val="single" w:sz="4" w:space="0" w:color="auto"/>
              <w:right w:val="single" w:sz="4" w:space="0" w:color="000000"/>
            </w:tcBorders>
            <w:shd w:val="clear" w:color="auto" w:fill="auto"/>
          </w:tcPr>
          <w:p w:rsidR="007D779E" w:rsidRDefault="00B63CB4">
            <w:pPr>
              <w:widowControl/>
              <w:jc w:val="left"/>
              <w:rPr>
                <w:rFonts w:ascii="宋体" w:hAnsi="宋体" w:cs="宋体"/>
                <w:kern w:val="0"/>
                <w:sz w:val="24"/>
              </w:rPr>
            </w:pPr>
            <w:r>
              <w:rPr>
                <w:rFonts w:ascii="宋体" w:hAnsi="宋体" w:cs="宋体" w:hint="eastAsia"/>
                <w:kern w:val="0"/>
                <w:sz w:val="24"/>
              </w:rPr>
              <w:t>一、根据合同约定，法律顾问费为4万元每年，登记中心涉及相关产权纠纷官司，签订项目合同需律师协助等办理。二、责任类的保险，不动产责任保险8万元每年，主要针对不动产中心，赔偿责任：保险期内及预订的追溯期内，从事不动产登记的工作人员承办不动产登记业务时候。1、登记错误；2、依法审核任未辨清当事人提交的虚假材料；3工作人员依法办理中疏忽、过失；以及这些事故后被诉讼或仲裁产生的法律费用！自然资源部统一制作不动产产权证书，统一印制防伪标志，定点购买，每一年办理不动产产权证书约7万本以上（含运输费用、证书证明费用）。三、根据政府安排和合同约定2020年1月-2020年12月给广元投资控股集团有限公司支付房屋年租金80万元和物管16.5万元费用，以及消防系统维护保养费0.5万元，合计124万元。</w:t>
            </w:r>
          </w:p>
        </w:tc>
      </w:tr>
      <w:tr w:rsidR="007D779E">
        <w:trPr>
          <w:trHeight w:val="570"/>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lastRenderedPageBreak/>
              <w:t>年度</w:t>
            </w:r>
            <w:r>
              <w:rPr>
                <w:rFonts w:ascii="宋体" w:hAnsi="宋体" w:cs="宋体" w:hint="eastAsia"/>
                <w:kern w:val="0"/>
                <w:sz w:val="24"/>
              </w:rPr>
              <w:br/>
              <w:t>绩效</w:t>
            </w:r>
            <w:r>
              <w:rPr>
                <w:rFonts w:ascii="宋体" w:hAnsi="宋体" w:cs="宋体" w:hint="eastAsia"/>
                <w:kern w:val="0"/>
                <w:sz w:val="24"/>
              </w:rPr>
              <w:br/>
              <w:t>指标</w:t>
            </w:r>
            <w:r>
              <w:rPr>
                <w:rFonts w:ascii="宋体" w:hAnsi="宋体" w:cs="宋体" w:hint="eastAsia"/>
                <w:kern w:val="0"/>
                <w:sz w:val="24"/>
              </w:rPr>
              <w:br/>
              <w:t>完成</w:t>
            </w:r>
            <w:r>
              <w:rPr>
                <w:rFonts w:ascii="宋体" w:hAnsi="宋体" w:cs="宋体" w:hint="eastAsia"/>
                <w:kern w:val="0"/>
                <w:sz w:val="24"/>
              </w:rPr>
              <w:br/>
              <w:t>情况</w:t>
            </w:r>
          </w:p>
        </w:tc>
        <w:tc>
          <w:tcPr>
            <w:tcW w:w="2308" w:type="dxa"/>
            <w:tcBorders>
              <w:top w:val="nil"/>
              <w:left w:val="nil"/>
              <w:bottom w:val="nil"/>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一级指标</w:t>
            </w:r>
          </w:p>
        </w:tc>
        <w:tc>
          <w:tcPr>
            <w:tcW w:w="1511"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二级指标</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三级指标</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预期指标值（包含数字及文字描述）</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实际完成指标值（包含数字及文字描述）</w:t>
            </w:r>
          </w:p>
        </w:tc>
      </w:tr>
      <w:tr w:rsidR="007D779E">
        <w:trPr>
          <w:trHeight w:val="66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项目完成指标</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数量指标</w:t>
            </w: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法律顾问费</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4万元/年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已完成</w:t>
            </w:r>
          </w:p>
        </w:tc>
      </w:tr>
      <w:tr w:rsidR="007D779E">
        <w:trPr>
          <w:trHeight w:val="1039"/>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不动产责任保险2020年1月-2020年12月</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8万元/年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按合同价支付</w:t>
            </w:r>
          </w:p>
        </w:tc>
      </w:tr>
      <w:tr w:rsidR="007D779E">
        <w:trPr>
          <w:trHeight w:val="72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办理7万本不动产产权证书发放</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15万元/年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按实际使用量采购</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房屋面积</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约4000平方米</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按合同价支付</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102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质量指标</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行政诉讼等纠纷减少，7万本准确无误发放，统一办公</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≥95%</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≥95%</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时效指标</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完成时间</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2020年12月前</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2020年12月前</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96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成本指标</w:t>
            </w: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法律顾问费2020年1月-2020年12月</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4万元/年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4万元/年</w:t>
            </w:r>
          </w:p>
        </w:tc>
      </w:tr>
      <w:tr w:rsidR="007D779E">
        <w:trPr>
          <w:trHeight w:val="102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不动产责任保险2020年1月-2020年12月</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8万元/年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7.8万元/年</w:t>
            </w:r>
          </w:p>
        </w:tc>
      </w:tr>
      <w:tr w:rsidR="007D779E">
        <w:trPr>
          <w:trHeight w:val="13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7万本不动产产权证书发放2020年1月-2020年12月</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证书3.06元/本，证明0.96元/本；证书200本一件，运费30元/件，证明2000份一件，运费40元/件。</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证书3.06元/本，证明0.96元/本；证书200本一件，运费30元/件，证明2000份一件，运费40元/件。</w:t>
            </w:r>
          </w:p>
        </w:tc>
      </w:tr>
      <w:tr w:rsidR="007D779E">
        <w:trPr>
          <w:trHeight w:val="90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2020年1月-2020年12月房租费</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2"/>
                <w:szCs w:val="22"/>
              </w:rPr>
            </w:pPr>
            <w:r>
              <w:rPr>
                <w:rFonts w:ascii="宋体" w:hAnsi="宋体" w:cs="宋体" w:hint="eastAsia"/>
                <w:kern w:val="0"/>
                <w:sz w:val="22"/>
                <w:szCs w:val="22"/>
              </w:rPr>
              <w:t>房租80万元/年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2"/>
                <w:szCs w:val="22"/>
              </w:rPr>
            </w:pPr>
            <w:r>
              <w:rPr>
                <w:rFonts w:ascii="宋体" w:hAnsi="宋体" w:cs="宋体" w:hint="eastAsia"/>
                <w:kern w:val="0"/>
                <w:sz w:val="22"/>
                <w:szCs w:val="22"/>
              </w:rPr>
              <w:t>房租80万元/年</w:t>
            </w:r>
          </w:p>
        </w:tc>
      </w:tr>
      <w:tr w:rsidR="007D779E">
        <w:trPr>
          <w:trHeight w:val="859"/>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2020年1月-2020年12月物管费费</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物管费16.5万元/年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物管费16.5万元/年</w:t>
            </w:r>
          </w:p>
        </w:tc>
      </w:tr>
      <w:tr w:rsidR="007D779E">
        <w:trPr>
          <w:trHeight w:val="882"/>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2020年1月-2020年12月消防系统维护保养费</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0.5万元/年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0.5万元/年</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项目效果指标</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经济效益</w:t>
            </w:r>
            <w:r>
              <w:rPr>
                <w:rFonts w:ascii="宋体" w:hAnsi="宋体" w:cs="宋体" w:hint="eastAsia"/>
                <w:kern w:val="0"/>
                <w:sz w:val="24"/>
              </w:rPr>
              <w:br/>
              <w:t>指标</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1302"/>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社会效益</w:t>
            </w:r>
            <w:r>
              <w:rPr>
                <w:rFonts w:ascii="宋体" w:hAnsi="宋体" w:cs="宋体" w:hint="eastAsia"/>
                <w:kern w:val="0"/>
                <w:sz w:val="24"/>
              </w:rPr>
              <w:br/>
              <w:t>指标</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对房屋产权明确，对工作的促进作用</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房屋产权明确，减少纠纷和合法化提前规避法律范围存在的隐患，办公场所统一，方便办事群众</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房屋产权明确，减少纠纷和合法化提前规避法律范围存在的隐患，办公场所统一，方便办事群众</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生态效益</w:t>
            </w:r>
            <w:r>
              <w:rPr>
                <w:rFonts w:ascii="宋体" w:hAnsi="宋体" w:cs="宋体" w:hint="eastAsia"/>
                <w:kern w:val="0"/>
                <w:sz w:val="24"/>
              </w:rPr>
              <w:br/>
              <w:t>指标</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96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可持续影响</w:t>
            </w:r>
            <w:r>
              <w:rPr>
                <w:rFonts w:ascii="宋体" w:hAnsi="宋体" w:cs="宋体" w:hint="eastAsia"/>
                <w:kern w:val="0"/>
                <w:sz w:val="24"/>
              </w:rPr>
              <w:br/>
              <w:t>指标</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抵押贷款，法律顾问使用年限、不动产责任保险</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≥40-70年（以登记证为准）保险律师费≥1年</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≥40-70年（以登记证为准）保险律师费≥1年</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auto"/>
              <w:right w:val="single" w:sz="4" w:space="0" w:color="auto"/>
            </w:tcBorders>
            <w:vAlign w:val="center"/>
          </w:tcPr>
          <w:p w:rsidR="007D779E" w:rsidRDefault="007D779E">
            <w:pPr>
              <w:widowControl/>
              <w:jc w:val="left"/>
              <w:rPr>
                <w:rFonts w:ascii="宋体" w:hAnsi="宋体" w:cs="宋体"/>
                <w:kern w:val="0"/>
                <w:sz w:val="24"/>
              </w:rPr>
            </w:pPr>
          </w:p>
        </w:tc>
        <w:tc>
          <w:tcPr>
            <w:tcW w:w="1511"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7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满意度</w:t>
            </w:r>
            <w:r>
              <w:rPr>
                <w:rFonts w:ascii="宋体" w:hAnsi="宋体" w:cs="宋体" w:hint="eastAsia"/>
                <w:kern w:val="0"/>
                <w:sz w:val="24"/>
              </w:rPr>
              <w:br/>
              <w:t>指标</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满意度指标</w:t>
            </w: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登记证发放管理部门满意度</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≥95%</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≥95%</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000000"/>
            </w:tcBorders>
            <w:shd w:val="clear" w:color="auto" w:fill="auto"/>
            <w:vAlign w:val="center"/>
          </w:tcPr>
          <w:p w:rsidR="007D779E" w:rsidRDefault="00B63CB4">
            <w:pPr>
              <w:widowControl/>
              <w:jc w:val="center"/>
              <w:rPr>
                <w:rFonts w:ascii="宋体" w:hAnsi="宋体" w:cs="宋体"/>
                <w:kern w:val="0"/>
                <w:sz w:val="22"/>
                <w:szCs w:val="22"/>
              </w:rPr>
            </w:pPr>
            <w:r>
              <w:rPr>
                <w:rFonts w:ascii="宋体" w:hAnsi="宋体" w:cs="宋体" w:hint="eastAsia"/>
                <w:kern w:val="0"/>
                <w:sz w:val="22"/>
                <w:szCs w:val="22"/>
              </w:rPr>
              <w:t>登记证使用者满意度</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≥95%</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≥95%</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480"/>
        </w:trPr>
        <w:tc>
          <w:tcPr>
            <w:tcW w:w="2341"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2308" w:type="dxa"/>
            <w:vMerge/>
            <w:tcBorders>
              <w:top w:val="nil"/>
              <w:left w:val="single" w:sz="4" w:space="0" w:color="auto"/>
              <w:bottom w:val="single" w:sz="4" w:space="0" w:color="000000"/>
              <w:right w:val="single" w:sz="4" w:space="0" w:color="auto"/>
            </w:tcBorders>
            <w:vAlign w:val="center"/>
          </w:tcPr>
          <w:p w:rsidR="007D779E" w:rsidRDefault="007D779E">
            <w:pPr>
              <w:widowControl/>
              <w:jc w:val="left"/>
              <w:rPr>
                <w:rFonts w:ascii="宋体" w:hAnsi="宋体" w:cs="宋体"/>
                <w:kern w:val="0"/>
                <w:sz w:val="24"/>
              </w:rPr>
            </w:pPr>
          </w:p>
        </w:tc>
        <w:tc>
          <w:tcPr>
            <w:tcW w:w="1511"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w: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c>
          <w:tcPr>
            <w:tcW w:w="2170" w:type="dxa"/>
            <w:tcBorders>
              <w:top w:val="nil"/>
              <w:left w:val="nil"/>
              <w:bottom w:val="single" w:sz="4" w:space="0" w:color="auto"/>
              <w:right w:val="single" w:sz="4" w:space="0" w:color="auto"/>
            </w:tcBorders>
            <w:shd w:val="clear" w:color="auto" w:fill="auto"/>
            <w:vAlign w:val="center"/>
          </w:tcPr>
          <w:p w:rsidR="007D779E" w:rsidRDefault="00B63CB4">
            <w:pPr>
              <w:widowControl/>
              <w:jc w:val="center"/>
              <w:rPr>
                <w:rFonts w:ascii="宋体" w:hAnsi="宋体" w:cs="宋体"/>
                <w:kern w:val="0"/>
                <w:sz w:val="24"/>
              </w:rPr>
            </w:pPr>
            <w:r>
              <w:rPr>
                <w:rFonts w:ascii="宋体" w:hAnsi="宋体" w:cs="宋体" w:hint="eastAsia"/>
                <w:kern w:val="0"/>
                <w:sz w:val="24"/>
              </w:rPr>
              <w:t xml:space="preserve">　</w:t>
            </w:r>
          </w:p>
        </w:tc>
        <w:tc>
          <w:tcPr>
            <w:tcW w:w="2419" w:type="dxa"/>
            <w:tcBorders>
              <w:top w:val="nil"/>
              <w:left w:val="nil"/>
              <w:bottom w:val="single" w:sz="4" w:space="0" w:color="auto"/>
              <w:right w:val="single" w:sz="4" w:space="0" w:color="auto"/>
            </w:tcBorders>
            <w:shd w:val="clear" w:color="auto" w:fill="auto"/>
            <w:vAlign w:val="center"/>
          </w:tcPr>
          <w:p w:rsidR="007D779E" w:rsidRDefault="00B63CB4">
            <w:pPr>
              <w:widowControl/>
              <w:jc w:val="left"/>
              <w:rPr>
                <w:rFonts w:ascii="宋体" w:hAnsi="宋体" w:cs="宋体"/>
                <w:kern w:val="0"/>
                <w:sz w:val="24"/>
              </w:rPr>
            </w:pPr>
            <w:r>
              <w:rPr>
                <w:rFonts w:ascii="宋体" w:hAnsi="宋体" w:cs="宋体" w:hint="eastAsia"/>
                <w:kern w:val="0"/>
                <w:sz w:val="24"/>
              </w:rPr>
              <w:t xml:space="preserve">　</w:t>
            </w:r>
          </w:p>
        </w:tc>
      </w:tr>
      <w:tr w:rsidR="007D779E">
        <w:trPr>
          <w:trHeight w:val="840"/>
        </w:trPr>
        <w:tc>
          <w:tcPr>
            <w:tcW w:w="12420" w:type="dxa"/>
            <w:gridSpan w:val="7"/>
            <w:tcBorders>
              <w:top w:val="single" w:sz="4" w:space="0" w:color="auto"/>
              <w:left w:val="nil"/>
              <w:bottom w:val="nil"/>
              <w:right w:val="nil"/>
            </w:tcBorders>
            <w:shd w:val="clear" w:color="auto" w:fill="auto"/>
            <w:vAlign w:val="center"/>
          </w:tcPr>
          <w:p w:rsidR="007D779E" w:rsidRDefault="00B63CB4">
            <w:pPr>
              <w:widowControl/>
              <w:jc w:val="left"/>
              <w:rPr>
                <w:rFonts w:ascii="宋体" w:hAnsi="宋体" w:cs="宋体"/>
                <w:color w:val="000000"/>
                <w:kern w:val="0"/>
                <w:sz w:val="22"/>
                <w:szCs w:val="22"/>
              </w:rPr>
            </w:pPr>
            <w:r>
              <w:rPr>
                <w:rFonts w:ascii="宋体" w:hAnsi="宋体" w:cs="宋体" w:hint="eastAsia"/>
                <w:color w:val="000000"/>
                <w:kern w:val="0"/>
                <w:sz w:val="22"/>
                <w:szCs w:val="22"/>
              </w:rPr>
              <w:t>注：项目支出绩效目标自评表在项目执行完毕后填报。</w:t>
            </w:r>
          </w:p>
        </w:tc>
      </w:tr>
    </w:tbl>
    <w:p w:rsidR="007D779E" w:rsidRDefault="007D779E">
      <w:pPr>
        <w:spacing w:line="560" w:lineRule="exact"/>
        <w:rPr>
          <w:rFonts w:ascii="仿宋_GB2312" w:eastAsia="仿宋_GB2312" w:hAnsi="仿宋_GB2312" w:cs="仿宋_GB2312"/>
          <w:sz w:val="32"/>
          <w:szCs w:val="32"/>
        </w:rPr>
        <w:sectPr w:rsidR="007D779E">
          <w:footerReference w:type="default" r:id="rId20"/>
          <w:pgSz w:w="16838" w:h="11906" w:orient="landscape"/>
          <w:pgMar w:top="1474" w:right="1418" w:bottom="1588" w:left="1701" w:header="851" w:footer="992" w:gutter="0"/>
          <w:pgNumType w:start="8"/>
          <w:cols w:space="0"/>
          <w:docGrid w:type="linesAndChars" w:linePitch="312"/>
        </w:sectPr>
      </w:pP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部门绩效评价结果。</w:t>
      </w:r>
    </w:p>
    <w:p w:rsidR="007D779E" w:rsidRDefault="00B63C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本部门按要求对2020年部门整体支出绩效评价情况开展自评，《广元市不动产登记中心2020年部门整体支出绩效评价报告》见附件（附件1）。</w:t>
      </w:r>
    </w:p>
    <w:p w:rsidR="007D779E" w:rsidRDefault="00B63CB4">
      <w:pPr>
        <w:spacing w:line="560" w:lineRule="exact"/>
        <w:jc w:val="center"/>
        <w:rPr>
          <w:rFonts w:ascii="方正小标宋简体" w:eastAsia="方正小标宋简体" w:hAnsi="方正小标宋简体" w:cs="方正小标宋简体"/>
          <w:sz w:val="44"/>
          <w:szCs w:val="44"/>
        </w:rPr>
      </w:pPr>
      <w:bookmarkStart w:id="55" w:name="_Toc15396613"/>
      <w:bookmarkStart w:id="56" w:name="_Toc15377225"/>
      <w:r>
        <w:rPr>
          <w:rFonts w:ascii="方正小标宋简体" w:eastAsia="方正小标宋简体" w:hAnsi="方正小标宋简体" w:cs="方正小标宋简体" w:hint="eastAsia"/>
          <w:sz w:val="44"/>
          <w:szCs w:val="44"/>
        </w:rPr>
        <w:t>名词解释</w:t>
      </w:r>
      <w:bookmarkEnd w:id="55"/>
      <w:bookmarkEnd w:id="56"/>
    </w:p>
    <w:p w:rsidR="00CD770F" w:rsidRDefault="00CD770F" w:rsidP="009013A3">
      <w:pPr>
        <w:spacing w:line="560" w:lineRule="exact"/>
        <w:rPr>
          <w:rFonts w:ascii="仿宋_GB2312" w:eastAsia="仿宋_GB2312" w:hAnsi="仿宋_GB2312" w:cs="仿宋_GB2312"/>
          <w:sz w:val="32"/>
          <w:szCs w:val="32"/>
        </w:rPr>
      </w:pPr>
      <w:bookmarkStart w:id="57" w:name="_Toc15377226"/>
    </w:p>
    <w:p w:rsidR="00CD770F" w:rsidRDefault="00CD770F" w:rsidP="00CD770F">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1.财政拨款收入：指单位从同级财政部门取得的财政预算资金。</w:t>
      </w:r>
    </w:p>
    <w:p w:rsidR="00CD770F" w:rsidRDefault="00CD770F" w:rsidP="00CD770F">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2.其他收入：指单位取得的除上述收入以外的各项收入。主要是单位银行存款利息和财政未通过大平台拨付的项目资金。</w:t>
      </w:r>
    </w:p>
    <w:p w:rsidR="00CD770F" w:rsidRDefault="00CD770F" w:rsidP="00CD770F">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3.年初结转和结余：指以前年度尚未完成、结转到本年按有关规定继续使用的资金。</w:t>
      </w:r>
    </w:p>
    <w:p w:rsidR="00CD770F" w:rsidRDefault="00CD770F" w:rsidP="00CD770F">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4.年末结转和结余：指单位按有关规定结转到下年或以后年度继续使用的资金。</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5.社会保障和就业（类）行政事业单位离退休（款）机关事业单位基本养老保险缴费支出（项）:指机关事业单位实施养老保险制度由单位缴纳的基本养老保险费支出。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6.社会保障和就业（类）行政事业单位离退休（款）机关事业单位职业年金缴费支出（项）:指机关事业单位实施养老保险制度由单位实际缴纳的职业年金支出。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7.社会保障和就业（类）抚恤（款）死亡抚恤（项）：指反映按规定用于烈士牺牲、病故人员家属的一次性和定期抚恤金以及丧葬补助费。</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8.卫生健康（类）行政事业单位医疗（款）行政单位医疗（项）：指局机关用于缴纳单位基本医疗保险支出。</w:t>
      </w:r>
    </w:p>
    <w:p w:rsidR="00CD770F" w:rsidRDefault="00CD770F" w:rsidP="00CD770F">
      <w:pPr>
        <w:spacing w:line="580" w:lineRule="exact"/>
        <w:ind w:firstLineChars="200" w:firstLine="640"/>
        <w:rPr>
          <w:color w:val="000000"/>
          <w:kern w:val="0"/>
        </w:rPr>
      </w:pPr>
      <w:r>
        <w:rPr>
          <w:rFonts w:ascii="仿宋_GB2312" w:eastAsia="仿宋_GB2312" w:hAnsi="仿宋_GB2312" w:cs="仿宋_GB2312" w:hint="eastAsia"/>
          <w:color w:val="000000"/>
          <w:kern w:val="0"/>
          <w:sz w:val="32"/>
          <w:szCs w:val="32"/>
        </w:rPr>
        <w:t>9.卫生健康（类）行政事业单位医疗（款）事业单位医疗（项）：指事业单位用于缴纳单位基本医疗保险支出。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10.城区社区（类）其他城区社区支出（款）土地开发及出让支出（项）：指土地开发及出让项目发生的业务支出、土地拆迁补偿支出、土地出让业务支出。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11.自然资源海洋气象等（类）自然资源事务（款）行政运行（项）：指局行政机关用于保障机构正常运行、开展日常工作的基本支出。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12.自然资源海洋气象等（类）自然资源事务（款)、事业运行（项）：指局事业单位用于保障机构正常运行、开展日常工作的基本支出。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13.自然资源海洋气象等（类）自然资源事务（款)一般行政管理事务行（项）：指局机关及事业单位开展自然资源综合业务专门性自然资源管理工作的项目支出。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14.自然资源海洋气象等支出（类）自然资源事务（款）自然资源利用与保护（项）：指地质环境治理和土地整治方面的支出。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15.自然资源海洋气象等支出（类）自然资源事务（款）地质勘察与矿产资源管理（项）：指矿业权管理、矿产资源合理利用和保护方面的支出。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16.自然资源海洋气象等支出（类）自然资源事务（款）其</w:t>
      </w:r>
      <w:r>
        <w:rPr>
          <w:rFonts w:ascii="仿宋_GB2312" w:eastAsia="仿宋_GB2312" w:hAnsi="仿宋_GB2312" w:cs="仿宋_GB2312" w:hint="eastAsia"/>
          <w:color w:val="000000"/>
          <w:kern w:val="0"/>
          <w:sz w:val="32"/>
          <w:szCs w:val="32"/>
        </w:rPr>
        <w:lastRenderedPageBreak/>
        <w:t>他自然资源事务（项）：指除财政一般公共预算安排的项目之外的项目支出。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17.灾害防治及应急管理（类）自然灾害防治（款）地质灾害防治（项）：指用于地质灾害防治方面的支出。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18.住房保障（类）住房改革支出（款）住房公积金（项）：指指局机关及事业单位按行政事业单位按人力资源部和社会保障部、财政部规定的基本工资和津贴补贴以及规定比例为职工缴纳的住房公积金。</w:t>
      </w:r>
    </w:p>
    <w:p w:rsidR="00CD770F" w:rsidRDefault="00CD770F" w:rsidP="00CD770F">
      <w:pPr>
        <w:spacing w:line="580" w:lineRule="exact"/>
        <w:ind w:leftChars="152" w:left="319" w:firstLineChars="100" w:firstLine="3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19.住房保障（类）住房改革支出（款）购房补贴（项）：印记的研究生和选调生的安家补助费。</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20.基本支出：指为保障机构正常运转、完成日常工作任务而发生的人员支出和公用支出。</w:t>
      </w:r>
    </w:p>
    <w:p w:rsidR="00CD770F" w:rsidRDefault="00CD770F" w:rsidP="00CD770F">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21.项目支出：指在基本支出之外为完成特定行政任务和事业发展目标所发生的支出。</w:t>
      </w:r>
    </w:p>
    <w:p w:rsidR="00CD770F" w:rsidRDefault="00CD770F" w:rsidP="00CD770F">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D770F" w:rsidRDefault="00CD770F" w:rsidP="00CD770F">
      <w:pPr>
        <w:pStyle w:val="Default"/>
        <w:spacing w:before="93"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23.机关运行经费：为保障行政单位（含参照公务员法管理的事业单位）运行用于购买货物和服务的各项资金，包括办公及</w:t>
      </w:r>
      <w:r>
        <w:rPr>
          <w:rFonts w:ascii="仿宋_GB2312" w:eastAsia="仿宋_GB2312" w:hAnsi="仿宋_GB2312" w:cs="仿宋_GB2312" w:hint="eastAsia"/>
          <w:sz w:val="32"/>
          <w:szCs w:val="32"/>
        </w:rPr>
        <w:lastRenderedPageBreak/>
        <w:t>印刷费、邮电费、差旅费、会议费、福利费、日常维修费、专用材料及一般设备购置费、办公用房水电费、办公用房取暖费、办公用房物业管理费、公务用车运行维护费以及其他费用。</w:t>
      </w:r>
    </w:p>
    <w:p w:rsidR="007D779E" w:rsidRDefault="00B63CB4">
      <w:pPr>
        <w:spacing w:line="600" w:lineRule="exact"/>
        <w:jc w:val="center"/>
        <w:outlineLvl w:val="0"/>
        <w:rPr>
          <w:rStyle w:val="1Char"/>
          <w:rFonts w:ascii="方正小标宋简体" w:eastAsia="方正小标宋简体" w:hAnsi="方正小标宋简体" w:cs="方正小标宋简体"/>
          <w:b w:val="0"/>
        </w:rPr>
      </w:pPr>
      <w:r>
        <w:rPr>
          <w:rFonts w:ascii="宋体"/>
          <w:b/>
          <w:color w:val="000000"/>
          <w:sz w:val="44"/>
          <w:szCs w:val="44"/>
        </w:rPr>
        <w:br w:type="page"/>
      </w:r>
      <w:bookmarkStart w:id="58" w:name="_Toc15396614"/>
      <w:r>
        <w:rPr>
          <w:rFonts w:ascii="方正小标宋简体" w:eastAsia="方正小标宋简体" w:hAnsi="方正小标宋简体" w:cs="方正小标宋简体" w:hint="eastAsia"/>
          <w:color w:val="000000"/>
          <w:sz w:val="44"/>
          <w:szCs w:val="44"/>
        </w:rPr>
        <w:lastRenderedPageBreak/>
        <w:t>第</w:t>
      </w:r>
      <w:r>
        <w:rPr>
          <w:rStyle w:val="1Char"/>
          <w:rFonts w:ascii="方正小标宋简体" w:eastAsia="方正小标宋简体" w:hAnsi="方正小标宋简体" w:cs="方正小标宋简体" w:hint="eastAsia"/>
          <w:b w:val="0"/>
        </w:rPr>
        <w:t>四部分  附件</w:t>
      </w:r>
      <w:bookmarkEnd w:id="58"/>
    </w:p>
    <w:p w:rsidR="007D779E" w:rsidRDefault="00B63CB4">
      <w:pPr>
        <w:spacing w:line="600" w:lineRule="exact"/>
        <w:jc w:val="left"/>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附件1</w:t>
      </w:r>
    </w:p>
    <w:p w:rsidR="007D779E" w:rsidRDefault="007D779E">
      <w:pPr>
        <w:spacing w:line="580" w:lineRule="exact"/>
        <w:jc w:val="center"/>
        <w:rPr>
          <w:rFonts w:ascii="方正小标宋简体" w:eastAsia="方正小标宋简体" w:hAnsi="方正小标宋简体" w:cs="方正小标宋简体"/>
          <w:sz w:val="44"/>
          <w:szCs w:val="44"/>
        </w:rPr>
      </w:pPr>
    </w:p>
    <w:p w:rsidR="007D779E" w:rsidRDefault="00B63CB4" w:rsidP="007D779E">
      <w:pPr>
        <w:adjustRightInd w:val="0"/>
        <w:snapToGrid w:val="0"/>
        <w:spacing w:line="520" w:lineRule="exact"/>
        <w:ind w:firstLineChars="103" w:firstLine="371"/>
        <w:jc w:val="center"/>
        <w:rPr>
          <w:rFonts w:ascii="方正小标宋简体" w:eastAsia="方正小标宋简体" w:hAnsi="方正小标宋简体" w:cs="方正小标宋简体"/>
          <w:bCs/>
          <w:sz w:val="36"/>
          <w:szCs w:val="36"/>
        </w:rPr>
      </w:pPr>
      <w:bookmarkStart w:id="59" w:name="_Toc15396618"/>
      <w:bookmarkStart w:id="60" w:name="_Toc15396619"/>
      <w:bookmarkEnd w:id="57"/>
      <w:r>
        <w:rPr>
          <w:rFonts w:ascii="方正小标宋简体" w:eastAsia="方正小标宋简体" w:hAnsi="方正小标宋简体" w:cs="方正小标宋简体" w:hint="eastAsia"/>
          <w:bCs/>
          <w:sz w:val="36"/>
          <w:szCs w:val="36"/>
        </w:rPr>
        <w:t>广元市不动产登记中心</w:t>
      </w:r>
    </w:p>
    <w:p w:rsidR="007D779E" w:rsidRDefault="00B63CB4" w:rsidP="007D779E">
      <w:pPr>
        <w:adjustRightInd w:val="0"/>
        <w:snapToGrid w:val="0"/>
        <w:spacing w:line="520" w:lineRule="exact"/>
        <w:ind w:firstLineChars="103" w:firstLine="371"/>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部门支出绩效评价自评报告</w:t>
      </w:r>
    </w:p>
    <w:p w:rsidR="007D779E" w:rsidRDefault="007D779E">
      <w:pPr>
        <w:spacing w:line="520" w:lineRule="exact"/>
        <w:ind w:firstLineChars="200" w:firstLine="643"/>
        <w:rPr>
          <w:rFonts w:ascii="黑体" w:eastAsia="黑体" w:hAnsi="黑体"/>
          <w:b/>
          <w:sz w:val="32"/>
          <w:szCs w:val="32"/>
        </w:rPr>
      </w:pPr>
    </w:p>
    <w:p w:rsidR="007D779E" w:rsidRDefault="00B63CB4">
      <w:pPr>
        <w:spacing w:line="520"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7D779E" w:rsidRDefault="00B63CB4">
      <w:pPr>
        <w:spacing w:line="520" w:lineRule="exact"/>
        <w:ind w:firstLineChars="200" w:firstLine="640"/>
        <w:rPr>
          <w:rFonts w:ascii="仿宋_GB2312" w:eastAsia="仿宋_GB2312"/>
          <w:sz w:val="32"/>
          <w:szCs w:val="32"/>
        </w:rPr>
      </w:pPr>
      <w:r>
        <w:rPr>
          <w:rFonts w:ascii="仿宋_GB2312" w:eastAsia="仿宋_GB2312"/>
          <w:sz w:val="32"/>
          <w:szCs w:val="32"/>
        </w:rPr>
        <w:t>贯彻执行土地登记、房屋登记、林地登记等不动产登记政策、法规；负责城市规划区内土地登记、 房屋登记、林地登记受理经办工作；负责不动产登记信息基础平台建设和管理，做好数据的整理、 备份、 依法对外查询工作，并与市建设、 农业、 林业等部门建立信息共享机制；指导县不动产登记等工作</w:t>
      </w:r>
      <w:r>
        <w:rPr>
          <w:rFonts w:ascii="仿宋_GB2312" w:eastAsia="仿宋_GB2312" w:hint="eastAsia"/>
          <w:sz w:val="32"/>
          <w:szCs w:val="32"/>
        </w:rPr>
        <w:t>。</w:t>
      </w:r>
    </w:p>
    <w:p w:rsidR="007D779E" w:rsidRDefault="00B63CB4">
      <w:pPr>
        <w:spacing w:line="520" w:lineRule="exact"/>
        <w:ind w:firstLineChars="200" w:firstLine="640"/>
        <w:rPr>
          <w:rFonts w:ascii="黑体" w:eastAsia="黑体" w:hAnsi="黑体"/>
          <w:sz w:val="32"/>
          <w:szCs w:val="32"/>
        </w:rPr>
      </w:pPr>
      <w:r>
        <w:rPr>
          <w:rFonts w:ascii="黑体" w:eastAsia="黑体" w:hAnsi="黑体" w:hint="eastAsia"/>
          <w:sz w:val="32"/>
          <w:szCs w:val="32"/>
        </w:rPr>
        <w:t xml:space="preserve">二、部门总体评价   </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部门整体支出绩效评价得分为96分，部门支出绩效评价扣分原因为：绩效管理扣1分，综合管理扣2分，评价结果应用扣2分。项目支出绩效评价得96分，按30%权重计算,该部门总体绩效评价最终得分为96分（见附件1）。</w:t>
      </w:r>
    </w:p>
    <w:p w:rsidR="007D779E" w:rsidRDefault="00B63CB4">
      <w:pPr>
        <w:spacing w:line="520" w:lineRule="exact"/>
        <w:ind w:firstLineChars="196" w:firstLine="627"/>
        <w:rPr>
          <w:rFonts w:ascii="黑体" w:eastAsia="黑体" w:hAnsi="黑体"/>
          <w:sz w:val="32"/>
          <w:szCs w:val="32"/>
        </w:rPr>
      </w:pPr>
      <w:r>
        <w:rPr>
          <w:rFonts w:ascii="黑体" w:eastAsia="黑体" w:hAnsi="黑体" w:hint="eastAsia"/>
          <w:sz w:val="32"/>
          <w:szCs w:val="32"/>
        </w:rPr>
        <w:t>三、部门财政支出管理情况</w:t>
      </w:r>
    </w:p>
    <w:p w:rsidR="007D779E" w:rsidRDefault="00B63CB4">
      <w:pPr>
        <w:spacing w:line="520" w:lineRule="exact"/>
        <w:ind w:firstLineChars="200" w:firstLine="640"/>
        <w:rPr>
          <w:rFonts w:ascii="仿宋_GB2312" w:eastAsia="仿宋_GB2312"/>
          <w:sz w:val="32"/>
          <w:szCs w:val="32"/>
        </w:rPr>
      </w:pPr>
      <w:r>
        <w:rPr>
          <w:rFonts w:ascii="楷体_GB2312" w:eastAsia="楷体_GB2312" w:hint="eastAsia"/>
          <w:sz w:val="32"/>
          <w:szCs w:val="32"/>
        </w:rPr>
        <w:t>（一）预算编制</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1.报送时效。我中心严格按财政部门预算编制要求的时间及时报送了部门预算和项目绩效目标,并规范准确完整地填制和报送预算报表，合理反映了本部门年度职责履行情况。</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2.编制质量。我中心严格按照财政要求编制部门预算，达到了财政预算编制质量要求。做到编制完整无漏项，预算编制准确，基础信息和科目使用准确，单位编制、人员情况与供养人员横向</w:t>
      </w:r>
      <w:r>
        <w:rPr>
          <w:rFonts w:ascii="仿宋_GB2312" w:eastAsia="仿宋_GB2312" w:hint="eastAsia"/>
          <w:sz w:val="32"/>
          <w:szCs w:val="32"/>
        </w:rPr>
        <w:lastRenderedPageBreak/>
        <w:t>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rsidR="007D779E" w:rsidRDefault="00B63CB4">
      <w:pPr>
        <w:spacing w:line="520" w:lineRule="exact"/>
        <w:ind w:firstLineChars="200" w:firstLine="640"/>
        <w:rPr>
          <w:rFonts w:ascii="仿宋_GB2312" w:eastAsia="仿宋_GB2312"/>
          <w:b/>
          <w:sz w:val="32"/>
          <w:szCs w:val="32"/>
        </w:rPr>
      </w:pPr>
      <w:r>
        <w:rPr>
          <w:rFonts w:ascii="楷体_GB2312" w:eastAsia="楷体_GB2312" w:hint="eastAsia"/>
          <w:sz w:val="32"/>
          <w:szCs w:val="32"/>
        </w:rPr>
        <w:t>（二）预算执行</w:t>
      </w:r>
    </w:p>
    <w:p w:rsidR="007D779E" w:rsidRDefault="00B63CB4">
      <w:pPr>
        <w:spacing w:line="520" w:lineRule="exact"/>
        <w:ind w:firstLineChars="200" w:firstLine="640"/>
        <w:rPr>
          <w:rFonts w:ascii="仿宋_GB2312" w:eastAsia="仿宋_GB2312" w:hAnsi="宋体" w:cs="宋体"/>
          <w:kern w:val="0"/>
          <w:sz w:val="32"/>
          <w:szCs w:val="32"/>
        </w:rPr>
      </w:pPr>
      <w:r>
        <w:rPr>
          <w:rFonts w:ascii="仿宋_GB2312" w:eastAsia="仿宋_GB2312" w:hint="eastAsia"/>
          <w:bCs/>
          <w:sz w:val="32"/>
          <w:szCs w:val="32"/>
        </w:rPr>
        <w:t>1.预算执行进度</w:t>
      </w:r>
      <w:r>
        <w:rPr>
          <w:rFonts w:ascii="仿宋_GB2312" w:eastAsia="仿宋_GB2312" w:hint="eastAsia"/>
          <w:b/>
          <w:sz w:val="32"/>
          <w:szCs w:val="32"/>
        </w:rPr>
        <w:t>。</w:t>
      </w:r>
      <w:r>
        <w:rPr>
          <w:rFonts w:ascii="仿宋_GB2312" w:eastAsia="仿宋_GB2312" w:hAnsi="宋体" w:cs="宋体" w:hint="eastAsia"/>
          <w:kern w:val="0"/>
          <w:sz w:val="32"/>
          <w:szCs w:val="32"/>
        </w:rPr>
        <w:t>本年度预算执行收支平衡，完成本部门经济和社会事业发展职能职责，人员支出部分按时间进度执行。</w:t>
      </w:r>
    </w:p>
    <w:p w:rsidR="007D779E" w:rsidRDefault="00B63CB4">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2.预算平衡调整。</w:t>
      </w:r>
      <w:r>
        <w:rPr>
          <w:rFonts w:ascii="仿宋_GB2312" w:eastAsia="仿宋_GB2312" w:hint="eastAsia"/>
          <w:sz w:val="32"/>
          <w:szCs w:val="32"/>
        </w:rPr>
        <w:t>我中心严格执行预算，执行中不调整项目。</w:t>
      </w:r>
    </w:p>
    <w:p w:rsidR="007D779E" w:rsidRDefault="00B63CB4">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3.三公经费执行情况</w:t>
      </w:r>
      <w:r>
        <w:rPr>
          <w:rFonts w:ascii="仿宋_GB2312" w:eastAsia="仿宋_GB2312" w:hAnsi="宋体" w:cs="宋体" w:hint="eastAsia"/>
          <w:b/>
          <w:bCs/>
          <w:kern w:val="0"/>
          <w:sz w:val="32"/>
          <w:szCs w:val="32"/>
        </w:rPr>
        <w:t>。</w:t>
      </w:r>
      <w:r>
        <w:rPr>
          <w:rFonts w:ascii="仿宋_GB2312" w:eastAsia="仿宋_GB2312" w:hAnsi="仿宋_GB2312" w:cs="仿宋_GB2312" w:hint="eastAsia"/>
          <w:color w:val="000000"/>
          <w:sz w:val="32"/>
          <w:szCs w:val="32"/>
        </w:rPr>
        <w:t>2020年“三公”经费预算5万元，其中:公务接待费5万元，车辆运行维护费0万元。全年支出 1.5万元。其中：公务接待费1.5万元，车辆运行维护费0万元</w:t>
      </w:r>
      <w:r>
        <w:rPr>
          <w:rFonts w:ascii="仿宋_GB2312" w:eastAsia="仿宋_GB2312" w:hAnsi="宋体" w:cs="宋体" w:hint="eastAsia"/>
          <w:kern w:val="0"/>
          <w:sz w:val="32"/>
          <w:szCs w:val="32"/>
        </w:rPr>
        <w:t>。</w:t>
      </w:r>
    </w:p>
    <w:p w:rsidR="007D779E" w:rsidRDefault="00B63CB4">
      <w:pPr>
        <w:spacing w:line="52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color w:val="000000"/>
          <w:sz w:val="32"/>
          <w:szCs w:val="32"/>
        </w:rPr>
        <w:t>4.部门决算编制和审查。</w:t>
      </w:r>
      <w:r>
        <w:rPr>
          <w:rFonts w:ascii="仿宋_GB2312" w:eastAsia="仿宋_GB2312" w:hAnsi="宋体" w:cs="宋体" w:hint="eastAsia"/>
          <w:kern w:val="0"/>
          <w:sz w:val="32"/>
          <w:szCs w:val="32"/>
        </w:rPr>
        <w:t>及时进行年终账务清算，核实各项预算收支，按规定时间报送决算报表，做到了帐表一致，决算数据真实准确，部门决算编制人员与供养人员系统数据相符。</w:t>
      </w:r>
    </w:p>
    <w:p w:rsidR="007D779E" w:rsidRDefault="00B63CB4">
      <w:pPr>
        <w:spacing w:line="520" w:lineRule="exact"/>
        <w:ind w:firstLineChars="200" w:firstLine="640"/>
        <w:rPr>
          <w:rFonts w:ascii="楷体_GB2312" w:eastAsia="楷体_GB2312"/>
          <w:sz w:val="32"/>
          <w:szCs w:val="32"/>
        </w:rPr>
      </w:pPr>
      <w:r>
        <w:rPr>
          <w:rFonts w:ascii="楷体_GB2312" w:eastAsia="楷体_GB2312" w:hint="eastAsia"/>
          <w:sz w:val="32"/>
          <w:szCs w:val="32"/>
        </w:rPr>
        <w:t>（三）财政资金综合管理情况</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1.非税收入征收、上缴情况。</w:t>
      </w:r>
      <w:r>
        <w:rPr>
          <w:rFonts w:ascii="仿宋_GB2312" w:eastAsia="仿宋_GB2312" w:hAnsi="宋体" w:cs="宋体" w:hint="eastAsia"/>
          <w:kern w:val="0"/>
          <w:sz w:val="32"/>
          <w:szCs w:val="32"/>
        </w:rPr>
        <w:t>我中心严格执行非税收入预算管理，按规定项目和标准执行，无擅自设立项目、提高标准、扩大范围等情况；严格执行国家减税降费政策；编制和执行非税收入预算，应收尽收，非税收入无截留、推延行为；票据管理规范，领购、发放、使用、核销票据行为规范。全年非税收入和上缴金额为</w:t>
      </w:r>
      <w:r>
        <w:rPr>
          <w:rFonts w:ascii="仿宋_GB2312" w:eastAsia="仿宋_GB2312" w:hAnsi="宋体" w:cs="宋体"/>
          <w:kern w:val="0"/>
          <w:sz w:val="32"/>
          <w:szCs w:val="32"/>
        </w:rPr>
        <w:t>609</w:t>
      </w:r>
      <w:r>
        <w:rPr>
          <w:rFonts w:ascii="仿宋_GB2312" w:eastAsia="仿宋_GB2312" w:hAnsi="宋体" w:cs="宋体" w:hint="eastAsia"/>
          <w:kern w:val="0"/>
          <w:sz w:val="32"/>
          <w:szCs w:val="32"/>
        </w:rPr>
        <w:t>.</w:t>
      </w:r>
      <w:r>
        <w:rPr>
          <w:rFonts w:ascii="仿宋_GB2312" w:eastAsia="仿宋_GB2312" w:hAnsi="宋体" w:cs="宋体"/>
          <w:kern w:val="0"/>
          <w:sz w:val="32"/>
          <w:szCs w:val="32"/>
        </w:rPr>
        <w:t>4055</w:t>
      </w:r>
      <w:r>
        <w:rPr>
          <w:rFonts w:ascii="仿宋_GB2312" w:eastAsia="仿宋_GB2312" w:hAnsi="宋体" w:cs="宋体" w:hint="eastAsia"/>
          <w:kern w:val="0"/>
          <w:sz w:val="32"/>
          <w:szCs w:val="32"/>
        </w:rPr>
        <w:t>万元。其中：不动产登记费</w:t>
      </w:r>
      <w:r>
        <w:rPr>
          <w:rFonts w:ascii="仿宋_GB2312" w:eastAsia="仿宋_GB2312" w:hAnsi="宋体" w:cs="宋体"/>
          <w:kern w:val="0"/>
          <w:sz w:val="32"/>
          <w:szCs w:val="32"/>
        </w:rPr>
        <w:t>609</w:t>
      </w:r>
      <w:r>
        <w:rPr>
          <w:rFonts w:ascii="仿宋_GB2312" w:eastAsia="仿宋_GB2312" w:hAnsi="宋体" w:cs="宋体" w:hint="eastAsia"/>
          <w:kern w:val="0"/>
          <w:sz w:val="32"/>
          <w:szCs w:val="32"/>
        </w:rPr>
        <w:t>.</w:t>
      </w:r>
      <w:r>
        <w:rPr>
          <w:rFonts w:ascii="仿宋_GB2312" w:eastAsia="仿宋_GB2312" w:hAnsi="宋体" w:cs="宋体"/>
          <w:kern w:val="0"/>
          <w:sz w:val="32"/>
          <w:szCs w:val="32"/>
        </w:rPr>
        <w:t>4055</w:t>
      </w:r>
      <w:r>
        <w:rPr>
          <w:rFonts w:ascii="仿宋_GB2312" w:eastAsia="仿宋_GB2312" w:hint="eastAsia"/>
          <w:sz w:val="32"/>
          <w:szCs w:val="32"/>
        </w:rPr>
        <w:t>万元。</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2.政府采购实施计划编制执行情况。</w:t>
      </w:r>
      <w:r>
        <w:rPr>
          <w:rFonts w:ascii="仿宋_GB2312" w:eastAsia="仿宋_GB2312" w:hAnsi="宋体" w:cs="宋体" w:hint="eastAsia"/>
          <w:kern w:val="0"/>
          <w:sz w:val="32"/>
          <w:szCs w:val="32"/>
        </w:rPr>
        <w:t>认真编制政府采购预算，做到应编尽编，不遗漏；规范采购行为，执行政府采购政策，做到应采尽采。全年一般公共预算采购预算为6万元，实际采购金额6万元；政府基金预算安排采购计划金额100万元，按合同约定支付采购金额为50万元。</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3.资产管理信息系统建设、资产清查上报情况。</w:t>
      </w:r>
      <w:r>
        <w:rPr>
          <w:rFonts w:ascii="仿宋_GB2312" w:eastAsia="仿宋_GB2312" w:hAnsi="宋体" w:cs="宋体" w:hint="eastAsia"/>
          <w:kern w:val="0"/>
          <w:sz w:val="32"/>
          <w:szCs w:val="32"/>
        </w:rPr>
        <w:t>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4.部门内部控制制度健全情况。</w:t>
      </w:r>
      <w:r>
        <w:rPr>
          <w:rFonts w:ascii="仿宋_GB2312" w:eastAsia="仿宋_GB2312" w:hAnsi="宋体" w:cs="宋体" w:hint="eastAsia"/>
          <w:kern w:val="0"/>
          <w:sz w:val="32"/>
          <w:szCs w:val="32"/>
        </w:rPr>
        <w:t>我中心按照广元市自然资源局内部管理制度，设置有《首问责任制度》，执行《广元市自然资源局“三重一大”集体决策制度》、《广元市国土资源系统内部审计管理办法》、《广元市自然资源局财务管理制度》等，具体内容包括经费审批制度、现金管理、票据管理、会计档案管理、资产管理等。</w:t>
      </w:r>
    </w:p>
    <w:p w:rsidR="007D779E" w:rsidRDefault="00B63CB4">
      <w:pPr>
        <w:spacing w:line="520" w:lineRule="exact"/>
        <w:ind w:firstLineChars="150" w:firstLine="480"/>
        <w:rPr>
          <w:rFonts w:ascii="仿宋_GB2312" w:eastAsia="仿宋_GB2312"/>
          <w:sz w:val="32"/>
          <w:szCs w:val="32"/>
        </w:rPr>
      </w:pPr>
      <w:r>
        <w:rPr>
          <w:rFonts w:ascii="仿宋_GB2312" w:eastAsia="仿宋_GB2312" w:hint="eastAsia"/>
          <w:sz w:val="32"/>
          <w:szCs w:val="32"/>
        </w:rPr>
        <w:t>5.预决算及绩效信息公开情况。</w:t>
      </w:r>
      <w:r>
        <w:rPr>
          <w:rFonts w:ascii="仿宋_GB2312" w:eastAsia="仿宋_GB2312" w:hAnsi="宋体" w:cs="宋体" w:hint="eastAsia"/>
          <w:kern w:val="0"/>
          <w:sz w:val="32"/>
          <w:szCs w:val="32"/>
        </w:rPr>
        <w:t>我中心在严格按照财政要求，及时、准确、全面的在政府网站和局域内门户网站公开预决算和绩效信息。</w:t>
      </w:r>
    </w:p>
    <w:p w:rsidR="007D779E" w:rsidRDefault="00B63CB4">
      <w:pPr>
        <w:spacing w:line="520" w:lineRule="exact"/>
        <w:ind w:firstLineChars="150" w:firstLine="480"/>
        <w:rPr>
          <w:rFonts w:ascii="仿宋_GB2312" w:eastAsia="仿宋_GB2312"/>
          <w:sz w:val="32"/>
          <w:szCs w:val="32"/>
        </w:rPr>
      </w:pPr>
      <w:r>
        <w:rPr>
          <w:rFonts w:ascii="仿宋_GB2312" w:eastAsia="仿宋_GB2312" w:hint="eastAsia"/>
          <w:sz w:val="32"/>
          <w:szCs w:val="32"/>
        </w:rPr>
        <w:t>6.绩效评价开展、评价结果报告情况。</w:t>
      </w:r>
      <w:r>
        <w:rPr>
          <w:rFonts w:ascii="仿宋_GB2312" w:eastAsia="仿宋_GB2312" w:hint="eastAsia"/>
          <w:color w:val="000000"/>
          <w:sz w:val="32"/>
          <w:szCs w:val="32"/>
        </w:rPr>
        <w:t>我中心对部分项目开展了绩效评价，“互联网+不动产登记”增效优化服务环境及数据安全项目总预算为391万元，于2019年底申报纳入2020年市本级基建计划，2020年计划安排项目资金100万元，剩余资金纳入2021年计划，该项目按照合同约定的支付方式按照项目进度进行支付，目前已向软件研发中标单位支付项目进度款50万元，向项目监理单位支付进度款2.37万元。通过对部分项目支出总体评价，自评得分98分。</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7.绩效管理工作开展情况。</w:t>
      </w:r>
      <w:r>
        <w:rPr>
          <w:rFonts w:ascii="仿宋_GB2312" w:eastAsia="仿宋_GB2312" w:hint="eastAsia"/>
          <w:color w:val="000000"/>
          <w:sz w:val="32"/>
          <w:szCs w:val="32"/>
        </w:rPr>
        <w:t>2020年市财政局下达市不动产登记中心不动产“互联网+不动产登记”增效优化服务环境及数据安全项目资金，已按照要求对专项经费开展了项目绩效评价。</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8.财政政策执行情况。</w:t>
      </w:r>
    </w:p>
    <w:p w:rsidR="007D779E" w:rsidRDefault="00B63CB4" w:rsidP="0093100A">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lastRenderedPageBreak/>
        <w:t>（</w:t>
      </w:r>
      <w:r>
        <w:rPr>
          <w:rFonts w:ascii="仿宋_GB2312" w:eastAsia="仿宋_GB2312" w:hAnsi="宋体" w:cs="宋体" w:hint="eastAsia"/>
          <w:kern w:val="0"/>
          <w:sz w:val="32"/>
          <w:szCs w:val="32"/>
        </w:rPr>
        <w:t>1）国库集中支付。我中心严格执行国库集中支付规定，当年部门预算支出中直接支付比例超过市本级当期平均水平。</w:t>
      </w:r>
    </w:p>
    <w:p w:rsidR="007D779E" w:rsidRDefault="00B63CB4">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（2）公务卡改革。严格按公务卡强制结算目录，公务用车燃油费、职工出差培训费、住宿费、公务机票等都使用公务卡进行结算。</w:t>
      </w:r>
    </w:p>
    <w:p w:rsidR="007D779E" w:rsidRDefault="00B63CB4">
      <w:pPr>
        <w:spacing w:line="52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（3）政府采购政策执行。认真编制政府采购预算，做到应编尽编，不遗漏；规范采购行为，执行政府采购政策，做到应采尽采。</w:t>
      </w:r>
    </w:p>
    <w:p w:rsidR="007D779E" w:rsidRDefault="00B63CB4">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非税收入征收管理。我中心严格执行非税收入预算，按规定项目和标准执行，无擅自设立项目、提高标准、扩大范围等情况；严格执行国家减税降费政策；编制和执行非税收入预算，应收尽收，非税收入无截留、推延行为；票据管理规范，领购、发放、使用、核销票据行为规范。</w:t>
      </w:r>
    </w:p>
    <w:p w:rsidR="007D779E" w:rsidRDefault="00B63CB4">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（5）厉行节约。按照相关规定进行经费开支，无违反规定支出行为，无超标准开支行为；“三公”经费严格按财政规定限额标准进行限制和压缩。</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9.财经纪律执行情况。</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（1）审计监察。接受了广元市审计局大数据提取检查和市纪委、市财政局等部门组成的检查组对整改省委巡视反馈违规发放补贴、超标准接待、公款旅游问题及“三公”经费问题进行了“回头看”的检查。</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（2）预算执行动态监控。所有收支均通过财政大平台实行动态监控，资金管理较规范，按市财政国库动态监控预警无违规支付行为。</w:t>
      </w:r>
    </w:p>
    <w:p w:rsidR="007D779E" w:rsidRDefault="00B63CB4">
      <w:pPr>
        <w:spacing w:line="520" w:lineRule="exact"/>
        <w:ind w:firstLineChars="100" w:firstLine="320"/>
        <w:rPr>
          <w:rFonts w:ascii="楷体_GB2312" w:eastAsia="楷体_GB2312"/>
          <w:sz w:val="32"/>
          <w:szCs w:val="32"/>
        </w:rPr>
      </w:pPr>
      <w:r>
        <w:rPr>
          <w:rFonts w:ascii="楷体_GB2312" w:eastAsia="楷体_GB2312" w:hint="eastAsia"/>
          <w:sz w:val="32"/>
          <w:szCs w:val="32"/>
        </w:rPr>
        <w:t>（四）部门项目绩效评价情况</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本单位2020年被评价的一共5个项目，评价得分96分，平</w:t>
      </w:r>
      <w:r>
        <w:rPr>
          <w:rFonts w:ascii="仿宋_GB2312" w:eastAsia="仿宋_GB2312" w:hint="eastAsia"/>
          <w:sz w:val="32"/>
          <w:szCs w:val="32"/>
        </w:rPr>
        <w:lastRenderedPageBreak/>
        <w:t>均的分19.2分，按30%全重计算，我中心项目绩效评价得分96分。</w:t>
      </w:r>
    </w:p>
    <w:p w:rsidR="007D779E" w:rsidRDefault="00B63CB4">
      <w:pPr>
        <w:spacing w:line="52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由于财务部门是绩效评价的牵头部门，对于单位绩效评价都是财务人员在做这项基本工作，这样既充当了“运动员”又充当了“裁判员”角色。</w:t>
      </w:r>
    </w:p>
    <w:p w:rsidR="007D779E" w:rsidRDefault="00B63CB4">
      <w:pPr>
        <w:spacing w:line="520" w:lineRule="exact"/>
        <w:ind w:firstLineChars="200" w:firstLine="640"/>
        <w:rPr>
          <w:rFonts w:ascii="黑体" w:eastAsia="黑体" w:hAnsi="黑体"/>
          <w:sz w:val="32"/>
          <w:szCs w:val="32"/>
        </w:rPr>
      </w:pPr>
      <w:r>
        <w:rPr>
          <w:rFonts w:ascii="黑体" w:eastAsia="黑体" w:hAnsi="黑体" w:hint="eastAsia"/>
          <w:sz w:val="32"/>
          <w:szCs w:val="32"/>
        </w:rPr>
        <w:t>五、整改建议和意见</w:t>
      </w:r>
    </w:p>
    <w:p w:rsidR="007D779E" w:rsidRDefault="00B63CB4">
      <w:pPr>
        <w:spacing w:line="520" w:lineRule="exact"/>
        <w:ind w:firstLineChars="200" w:firstLine="640"/>
        <w:rPr>
          <w:rFonts w:ascii="仿宋_GB2312" w:eastAsia="仿宋_GB2312"/>
          <w:sz w:val="32"/>
          <w:szCs w:val="32"/>
        </w:rPr>
      </w:pPr>
      <w:r>
        <w:rPr>
          <w:rFonts w:ascii="仿宋_GB2312" w:eastAsia="仿宋_GB2312" w:hint="eastAsia"/>
          <w:sz w:val="32"/>
          <w:szCs w:val="32"/>
        </w:rPr>
        <w:t>建议：一是建议各单位内审部门牵头组织成立绩效评价小组，对单位进行绩效评价；二是建议财政加强对单位及其财务人员项目绩效评价和内控制度建设等方面的培训力度，为适应新形势新要求，让每一个财务人员及时正确掌握政策，把握好财经纪律。建议将财务人员定期培训工作纳入目标任务；三是建议通过财政支出和项目绩效评价结果，财政根据各单位的项目工作任务及政府目标考核内容纳入项目工作经费，确保各单位履行行政职能职责有保障。</w:t>
      </w:r>
    </w:p>
    <w:p w:rsidR="007D779E" w:rsidRDefault="007D779E">
      <w:pPr>
        <w:spacing w:line="576" w:lineRule="exact"/>
        <w:jc w:val="center"/>
        <w:rPr>
          <w:rFonts w:ascii="仿宋_GB2312" w:eastAsia="仿宋_GB2312"/>
          <w:sz w:val="32"/>
          <w:szCs w:val="32"/>
        </w:rPr>
      </w:pPr>
      <w:bookmarkStart w:id="61" w:name="_GoBack"/>
      <w:bookmarkEnd w:id="61"/>
    </w:p>
    <w:p w:rsidR="007D779E" w:rsidRDefault="00B63CB4">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第五部分  附表</w:t>
      </w:r>
      <w:bookmarkEnd w:id="59"/>
    </w:p>
    <w:p w:rsidR="007D779E" w:rsidRDefault="007D779E">
      <w:pPr>
        <w:spacing w:line="576" w:lineRule="exact"/>
        <w:rPr>
          <w:rFonts w:ascii="仿宋_GB2312" w:eastAsia="仿宋_GB2312" w:hAnsi="仿宋_GB2312" w:cs="仿宋_GB2312"/>
          <w:sz w:val="32"/>
          <w:szCs w:val="32"/>
        </w:rPr>
      </w:pPr>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bookmarkStart w:id="62" w:name="_Toc15396620"/>
      <w:bookmarkEnd w:id="60"/>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bookmarkStart w:id="63" w:name="_Toc15396621"/>
      <w:bookmarkEnd w:id="62"/>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bookmarkStart w:id="64" w:name="_Toc15396622"/>
      <w:bookmarkEnd w:id="63"/>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bookmarkStart w:id="65" w:name="_Toc15396623"/>
      <w:bookmarkEnd w:id="64"/>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五、财政拨款支出决算明细表</w:t>
      </w:r>
      <w:bookmarkStart w:id="66" w:name="_Toc15396624"/>
      <w:bookmarkEnd w:id="65"/>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六、一般公共预算财政拨款支出决算表</w:t>
      </w:r>
      <w:bookmarkStart w:id="67" w:name="_Toc15396625"/>
      <w:bookmarkEnd w:id="66"/>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七、一般公共预算财政拨款支出决算明细表</w:t>
      </w:r>
      <w:bookmarkStart w:id="68" w:name="_Toc15396626"/>
      <w:bookmarkEnd w:id="67"/>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八、一般公共预算财政拨款基本支出决算表</w:t>
      </w:r>
      <w:bookmarkStart w:id="69" w:name="_Toc15396627"/>
      <w:bookmarkEnd w:id="68"/>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九、一般公共预算财政拨款项目支出决算表</w:t>
      </w:r>
      <w:bookmarkStart w:id="70" w:name="_Toc15396628"/>
      <w:bookmarkEnd w:id="69"/>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十、一般公共预算财政拨款“三公”经费支出决算表</w:t>
      </w:r>
      <w:bookmarkEnd w:id="70"/>
    </w:p>
    <w:p w:rsidR="007D779E" w:rsidRDefault="00B63CB4">
      <w:pPr>
        <w:spacing w:line="576" w:lineRule="exact"/>
        <w:ind w:firstLineChars="200" w:firstLine="640"/>
        <w:rPr>
          <w:rFonts w:ascii="仿宋_GB2312" w:eastAsia="仿宋_GB2312" w:hAnsi="仿宋_GB2312" w:cs="仿宋_GB2312"/>
          <w:sz w:val="32"/>
          <w:szCs w:val="32"/>
        </w:rPr>
      </w:pPr>
      <w:bookmarkStart w:id="71" w:name="_Toc15396629"/>
      <w:r>
        <w:rPr>
          <w:rFonts w:ascii="仿宋_GB2312" w:eastAsia="仿宋_GB2312" w:hAnsi="仿宋_GB2312" w:cs="仿宋_GB2312" w:hint="eastAsia"/>
          <w:sz w:val="32"/>
          <w:szCs w:val="32"/>
        </w:rPr>
        <w:t>十一、政府性基金预算财政拨款收入支出决算表</w:t>
      </w:r>
      <w:bookmarkEnd w:id="71"/>
    </w:p>
    <w:p w:rsidR="007D779E" w:rsidRDefault="00B63CB4">
      <w:pPr>
        <w:spacing w:line="576" w:lineRule="exact"/>
        <w:ind w:firstLineChars="200" w:firstLine="640"/>
        <w:rPr>
          <w:rFonts w:ascii="仿宋_GB2312" w:eastAsia="仿宋_GB2312" w:hAnsi="仿宋_GB2312" w:cs="仿宋_GB2312"/>
          <w:sz w:val="32"/>
          <w:szCs w:val="32"/>
        </w:rPr>
      </w:pPr>
      <w:bookmarkStart w:id="72" w:name="_Toc15396630"/>
      <w:r>
        <w:rPr>
          <w:rFonts w:ascii="仿宋_GB2312" w:eastAsia="仿宋_GB2312" w:hAnsi="仿宋_GB2312" w:cs="仿宋_GB2312" w:hint="eastAsia"/>
          <w:sz w:val="32"/>
          <w:szCs w:val="32"/>
        </w:rPr>
        <w:t>十二、政府性基金预算财政拨款“三公”经费支出决算表</w:t>
      </w:r>
      <w:bookmarkEnd w:id="72"/>
    </w:p>
    <w:p w:rsidR="007D779E" w:rsidRDefault="00B63CB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十三、国有资本经营预算财政拨款收入支出决算表</w:t>
      </w:r>
    </w:p>
    <w:p w:rsidR="007D779E" w:rsidRDefault="00B63CB4">
      <w:pPr>
        <w:spacing w:line="576" w:lineRule="exact"/>
        <w:ind w:firstLineChars="200" w:firstLine="640"/>
        <w:rPr>
          <w:rFonts w:ascii="仿宋_GB2312" w:eastAsia="仿宋_GB2312" w:hAnsi="仿宋_GB2312" w:cs="仿宋_GB2312"/>
          <w:sz w:val="32"/>
          <w:szCs w:val="32"/>
        </w:rPr>
      </w:pPr>
      <w:bookmarkStart w:id="73" w:name="_Toc15396631"/>
      <w:r>
        <w:rPr>
          <w:rFonts w:ascii="仿宋_GB2312" w:eastAsia="仿宋_GB2312" w:hAnsi="仿宋_GB2312" w:cs="仿宋_GB2312" w:hint="eastAsia"/>
          <w:sz w:val="32"/>
          <w:szCs w:val="32"/>
        </w:rPr>
        <w:t>十四、国有资本经营预算财政拨款支出决算表</w:t>
      </w:r>
      <w:bookmarkEnd w:id="73"/>
    </w:p>
    <w:sectPr w:rsidR="007D779E" w:rsidSect="007D779E">
      <w:footerReference w:type="default" r:id="rId21"/>
      <w:pgSz w:w="11906" w:h="16838"/>
      <w:pgMar w:top="1701" w:right="1474" w:bottom="1418" w:left="1588" w:header="851" w:footer="992" w:gutter="0"/>
      <w:pgNumType w:start="13"/>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1B5" w:rsidRDefault="00BE31B5" w:rsidP="007D779E">
      <w:r>
        <w:separator/>
      </w:r>
    </w:p>
  </w:endnote>
  <w:endnote w:type="continuationSeparator" w:id="1">
    <w:p w:rsidR="00BE31B5" w:rsidRDefault="00BE31B5" w:rsidP="007D7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32" w:rsidRDefault="00277532">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D30A4D">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832pt;margin-top:0;width:2in;height:2in;z-index:251660288;mso-wrap-style:none;mso-position-horizontal:outside;mso-position-horizontal-relative:margin" filled="f" stroked="f">
          <v:textbox style="mso-fit-shape-to-text:t" inset="0,0,0,0">
            <w:txbxContent>
              <w:p w:rsidR="007D779E" w:rsidRDefault="00B63CB4">
                <w:pPr>
                  <w:pStyle w:val="a5"/>
                  <w:rPr>
                    <w:rFonts w:ascii="宋体" w:hAnsi="宋体" w:cs="宋体"/>
                    <w:sz w:val="28"/>
                    <w:szCs w:val="28"/>
                  </w:rPr>
                </w:pPr>
                <w:r>
                  <w:rPr>
                    <w:rFonts w:ascii="宋体" w:hAnsi="宋体" w:cs="宋体" w:hint="eastAsia"/>
                    <w:sz w:val="28"/>
                    <w:szCs w:val="28"/>
                  </w:rPr>
                  <w:t>—</w:t>
                </w:r>
                <w:r w:rsidR="00D30A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0A4D">
                  <w:rPr>
                    <w:rFonts w:ascii="宋体" w:hAnsi="宋体" w:cs="宋体" w:hint="eastAsia"/>
                    <w:sz w:val="28"/>
                    <w:szCs w:val="28"/>
                  </w:rPr>
                  <w:fldChar w:fldCharType="separate"/>
                </w:r>
                <w:r w:rsidR="00277532">
                  <w:rPr>
                    <w:rFonts w:ascii="宋体" w:hAnsi="宋体" w:cs="宋体"/>
                    <w:noProof/>
                    <w:sz w:val="28"/>
                    <w:szCs w:val="28"/>
                  </w:rPr>
                  <w:t>8</w:t>
                </w:r>
                <w:r w:rsidR="00D30A4D">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p w:rsidR="007D779E" w:rsidRDefault="007D779E">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D30A4D">
    <w:pPr>
      <w:pStyle w:val="a5"/>
      <w:jc w:val="center"/>
    </w:pPr>
    <w:r>
      <w:pict>
        <v:shapetype id="_x0000_t202" coordsize="21600,21600" o:spt="202" path="m,l,21600r21600,l21600,xe">
          <v:stroke joinstyle="miter"/>
          <v:path gradientshapeok="t" o:connecttype="rect"/>
        </v:shapetype>
        <v:shape id="_x0000_s3083" type="#_x0000_t202" style="position:absolute;left:0;text-align:left;margin-left:832pt;margin-top:0;width:2in;height:2in;z-index:251661312;mso-wrap-style:none;mso-position-horizontal:outside;mso-position-horizontal-relative:margin" filled="f" stroked="f">
          <v:textbox style="mso-fit-shape-to-text:t" inset="0,0,0,0">
            <w:txbxContent>
              <w:p w:rsidR="007D779E" w:rsidRDefault="00B63CB4">
                <w:pPr>
                  <w:pStyle w:val="a5"/>
                  <w:rPr>
                    <w:rFonts w:ascii="宋体" w:hAnsi="宋体" w:cs="宋体"/>
                    <w:sz w:val="28"/>
                    <w:szCs w:val="28"/>
                  </w:rPr>
                </w:pPr>
                <w:r>
                  <w:rPr>
                    <w:rFonts w:ascii="宋体" w:hAnsi="宋体" w:cs="宋体" w:hint="eastAsia"/>
                    <w:sz w:val="28"/>
                    <w:szCs w:val="28"/>
                  </w:rPr>
                  <w:t>—</w:t>
                </w:r>
                <w:r w:rsidR="00D30A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0A4D">
                  <w:rPr>
                    <w:rFonts w:ascii="宋体" w:hAnsi="宋体" w:cs="宋体" w:hint="eastAsia"/>
                    <w:sz w:val="28"/>
                    <w:szCs w:val="28"/>
                  </w:rPr>
                  <w:fldChar w:fldCharType="separate"/>
                </w:r>
                <w:r w:rsidR="00277532">
                  <w:rPr>
                    <w:rFonts w:ascii="宋体" w:hAnsi="宋体" w:cs="宋体"/>
                    <w:noProof/>
                    <w:sz w:val="28"/>
                    <w:szCs w:val="28"/>
                  </w:rPr>
                  <w:t>22</w:t>
                </w:r>
                <w:r w:rsidR="00D30A4D">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p w:rsidR="007D779E" w:rsidRDefault="007D77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7D779E">
    <w:pPr>
      <w:pStyle w:val="a5"/>
      <w:jc w:val="center"/>
    </w:pPr>
  </w:p>
  <w:p w:rsidR="007D779E" w:rsidRDefault="007D77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32" w:rsidRDefault="0027753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7D779E">
    <w:pPr>
      <w:pStyle w:val="a5"/>
      <w:jc w:val="center"/>
    </w:pPr>
  </w:p>
  <w:p w:rsidR="007D779E" w:rsidRDefault="007D779E">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7D779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7D779E">
    <w:pPr>
      <w:pStyle w:val="a5"/>
      <w:jc w:val="center"/>
    </w:pPr>
  </w:p>
  <w:p w:rsidR="007D779E" w:rsidRDefault="007D779E">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7D779E">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D30A4D">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832pt;margin-top:0;width:2in;height:2in;z-index:251659264;mso-wrap-style:none;mso-position-horizontal:outside;mso-position-horizontal-relative:margin" filled="f" stroked="f">
          <v:textbox style="mso-fit-shape-to-text:t" inset="0,0,0,0">
            <w:txbxContent>
              <w:p w:rsidR="007D779E" w:rsidRDefault="00B63CB4">
                <w:pPr>
                  <w:pStyle w:val="a5"/>
                  <w:rPr>
                    <w:rFonts w:ascii="宋体" w:hAnsi="宋体" w:cs="宋体"/>
                    <w:sz w:val="28"/>
                    <w:szCs w:val="28"/>
                  </w:rPr>
                </w:pPr>
                <w:r>
                  <w:rPr>
                    <w:rFonts w:ascii="宋体" w:hAnsi="宋体" w:cs="宋体" w:hint="eastAsia"/>
                    <w:sz w:val="28"/>
                    <w:szCs w:val="28"/>
                  </w:rPr>
                  <w:t>—</w:t>
                </w:r>
                <w:r w:rsidR="00D30A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0A4D">
                  <w:rPr>
                    <w:rFonts w:ascii="宋体" w:hAnsi="宋体" w:cs="宋体" w:hint="eastAsia"/>
                    <w:sz w:val="28"/>
                    <w:szCs w:val="28"/>
                  </w:rPr>
                  <w:fldChar w:fldCharType="separate"/>
                </w:r>
                <w:r w:rsidR="00277532">
                  <w:rPr>
                    <w:rFonts w:ascii="宋体" w:hAnsi="宋体" w:cs="宋体"/>
                    <w:noProof/>
                    <w:sz w:val="28"/>
                    <w:szCs w:val="28"/>
                  </w:rPr>
                  <w:t>5</w:t>
                </w:r>
                <w:r w:rsidR="00D30A4D">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p w:rsidR="007D779E" w:rsidRDefault="007D779E">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7D77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1B5" w:rsidRDefault="00BE31B5" w:rsidP="007D779E">
      <w:r>
        <w:separator/>
      </w:r>
    </w:p>
  </w:footnote>
  <w:footnote w:type="continuationSeparator" w:id="1">
    <w:p w:rsidR="00BE31B5" w:rsidRDefault="00BE31B5" w:rsidP="007D7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32" w:rsidRDefault="0027753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7D779E">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E" w:rsidRDefault="00B63CB4">
    <w:pPr>
      <w:pStyle w:val="a6"/>
      <w:pBdr>
        <w:bottom w:val="none" w:sz="0" w:space="1" w:color="auto"/>
      </w:pBdr>
      <w:tabs>
        <w:tab w:val="clear" w:pos="8306"/>
        <w:tab w:val="left" w:pos="4200"/>
        <w:tab w:val="left" w:pos="4620"/>
        <w:tab w:val="left" w:pos="5040"/>
        <w:tab w:val="left" w:pos="5460"/>
        <w:tab w:val="left" w:pos="5880"/>
        <w:tab w:val="left" w:pos="6300"/>
      </w:tabs>
      <w:jc w:val="left"/>
    </w:pPr>
    <w:r>
      <w:tab/>
    </w:r>
    <w:r>
      <w:tab/>
    </w:r>
    <w:r>
      <w:tab/>
    </w:r>
    <w:r>
      <w:tab/>
    </w:r>
    <w:r>
      <w:tab/>
    </w: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2899"/>
    <w:rsid w:val="000222C6"/>
    <w:rsid w:val="0002549F"/>
    <w:rsid w:val="00036C6E"/>
    <w:rsid w:val="00041DAF"/>
    <w:rsid w:val="000468DB"/>
    <w:rsid w:val="00050F6B"/>
    <w:rsid w:val="00052C81"/>
    <w:rsid w:val="0006487A"/>
    <w:rsid w:val="00065F8F"/>
    <w:rsid w:val="00066DBD"/>
    <w:rsid w:val="00070144"/>
    <w:rsid w:val="00070A43"/>
    <w:rsid w:val="00074270"/>
    <w:rsid w:val="000768F2"/>
    <w:rsid w:val="0008167B"/>
    <w:rsid w:val="000853E8"/>
    <w:rsid w:val="0008636F"/>
    <w:rsid w:val="0009180A"/>
    <w:rsid w:val="0009184B"/>
    <w:rsid w:val="00091A52"/>
    <w:rsid w:val="0009317E"/>
    <w:rsid w:val="00094236"/>
    <w:rsid w:val="0009593C"/>
    <w:rsid w:val="00097322"/>
    <w:rsid w:val="000A3709"/>
    <w:rsid w:val="000A6A92"/>
    <w:rsid w:val="000B047F"/>
    <w:rsid w:val="000B1E5F"/>
    <w:rsid w:val="000B3987"/>
    <w:rsid w:val="000B5923"/>
    <w:rsid w:val="000B5A48"/>
    <w:rsid w:val="000B6DEB"/>
    <w:rsid w:val="000B6FF3"/>
    <w:rsid w:val="000C0D1C"/>
    <w:rsid w:val="000C1CB6"/>
    <w:rsid w:val="000C3467"/>
    <w:rsid w:val="000C3CA6"/>
    <w:rsid w:val="000C5031"/>
    <w:rsid w:val="000C68C6"/>
    <w:rsid w:val="000C7628"/>
    <w:rsid w:val="000D1267"/>
    <w:rsid w:val="000D1D50"/>
    <w:rsid w:val="000D5782"/>
    <w:rsid w:val="000E1F25"/>
    <w:rsid w:val="000E6613"/>
    <w:rsid w:val="000E6974"/>
    <w:rsid w:val="000E7119"/>
    <w:rsid w:val="000F0E93"/>
    <w:rsid w:val="0010566F"/>
    <w:rsid w:val="00105BAF"/>
    <w:rsid w:val="00114E9B"/>
    <w:rsid w:val="00115301"/>
    <w:rsid w:val="001207FF"/>
    <w:rsid w:val="00126206"/>
    <w:rsid w:val="001319E1"/>
    <w:rsid w:val="0014219A"/>
    <w:rsid w:val="00142216"/>
    <w:rsid w:val="00144922"/>
    <w:rsid w:val="00144D6A"/>
    <w:rsid w:val="0014729F"/>
    <w:rsid w:val="00157BAB"/>
    <w:rsid w:val="00160444"/>
    <w:rsid w:val="00164C57"/>
    <w:rsid w:val="001654D1"/>
    <w:rsid w:val="00174518"/>
    <w:rsid w:val="001773EC"/>
    <w:rsid w:val="0018106D"/>
    <w:rsid w:val="0018438F"/>
    <w:rsid w:val="001877A7"/>
    <w:rsid w:val="00190668"/>
    <w:rsid w:val="00191536"/>
    <w:rsid w:val="00196687"/>
    <w:rsid w:val="001A01E1"/>
    <w:rsid w:val="001A12C5"/>
    <w:rsid w:val="001A187B"/>
    <w:rsid w:val="001A31FC"/>
    <w:rsid w:val="001A526D"/>
    <w:rsid w:val="001A5706"/>
    <w:rsid w:val="001B07E1"/>
    <w:rsid w:val="001B2E79"/>
    <w:rsid w:val="001C0962"/>
    <w:rsid w:val="001D7531"/>
    <w:rsid w:val="001E1592"/>
    <w:rsid w:val="001E50AF"/>
    <w:rsid w:val="001E737D"/>
    <w:rsid w:val="001F0592"/>
    <w:rsid w:val="001F2765"/>
    <w:rsid w:val="001F2FD2"/>
    <w:rsid w:val="001F7506"/>
    <w:rsid w:val="002006CD"/>
    <w:rsid w:val="00202B36"/>
    <w:rsid w:val="00204B7A"/>
    <w:rsid w:val="00204CDE"/>
    <w:rsid w:val="0021101A"/>
    <w:rsid w:val="002133D7"/>
    <w:rsid w:val="002139EE"/>
    <w:rsid w:val="002176AC"/>
    <w:rsid w:val="00220536"/>
    <w:rsid w:val="002355C3"/>
    <w:rsid w:val="00235629"/>
    <w:rsid w:val="002405C2"/>
    <w:rsid w:val="002407C4"/>
    <w:rsid w:val="002413C1"/>
    <w:rsid w:val="002533A4"/>
    <w:rsid w:val="00254477"/>
    <w:rsid w:val="00256262"/>
    <w:rsid w:val="00260C38"/>
    <w:rsid w:val="002616C0"/>
    <w:rsid w:val="00265372"/>
    <w:rsid w:val="002662AA"/>
    <w:rsid w:val="002672E6"/>
    <w:rsid w:val="00267F84"/>
    <w:rsid w:val="00270011"/>
    <w:rsid w:val="0027682B"/>
    <w:rsid w:val="002768AB"/>
    <w:rsid w:val="00277532"/>
    <w:rsid w:val="00280496"/>
    <w:rsid w:val="00284D79"/>
    <w:rsid w:val="00294DC9"/>
    <w:rsid w:val="00295495"/>
    <w:rsid w:val="002A050C"/>
    <w:rsid w:val="002A31DE"/>
    <w:rsid w:val="002B2613"/>
    <w:rsid w:val="002B6F9C"/>
    <w:rsid w:val="002B7DDC"/>
    <w:rsid w:val="002C26B2"/>
    <w:rsid w:val="002D339D"/>
    <w:rsid w:val="002D6D05"/>
    <w:rsid w:val="002E3A9E"/>
    <w:rsid w:val="002E6AE9"/>
    <w:rsid w:val="002F1818"/>
    <w:rsid w:val="002F567B"/>
    <w:rsid w:val="002F7496"/>
    <w:rsid w:val="003028CA"/>
    <w:rsid w:val="00303567"/>
    <w:rsid w:val="00305647"/>
    <w:rsid w:val="003109C9"/>
    <w:rsid w:val="003135EF"/>
    <w:rsid w:val="00317093"/>
    <w:rsid w:val="003216A9"/>
    <w:rsid w:val="003219E0"/>
    <w:rsid w:val="00331671"/>
    <w:rsid w:val="00332A6A"/>
    <w:rsid w:val="003358B4"/>
    <w:rsid w:val="00335A74"/>
    <w:rsid w:val="00341C57"/>
    <w:rsid w:val="003551BE"/>
    <w:rsid w:val="00355772"/>
    <w:rsid w:val="00357888"/>
    <w:rsid w:val="0036561B"/>
    <w:rsid w:val="00365A12"/>
    <w:rsid w:val="0037013F"/>
    <w:rsid w:val="00375E9E"/>
    <w:rsid w:val="00380C92"/>
    <w:rsid w:val="00383A2F"/>
    <w:rsid w:val="003853FA"/>
    <w:rsid w:val="00392069"/>
    <w:rsid w:val="00395E81"/>
    <w:rsid w:val="003A484F"/>
    <w:rsid w:val="003A4883"/>
    <w:rsid w:val="003B0BE0"/>
    <w:rsid w:val="003B0C1B"/>
    <w:rsid w:val="003B1A88"/>
    <w:rsid w:val="003B688C"/>
    <w:rsid w:val="003B758D"/>
    <w:rsid w:val="003B7801"/>
    <w:rsid w:val="003C0291"/>
    <w:rsid w:val="003C39AE"/>
    <w:rsid w:val="003C4699"/>
    <w:rsid w:val="003C7B60"/>
    <w:rsid w:val="003D0C0F"/>
    <w:rsid w:val="003D1EBB"/>
    <w:rsid w:val="003D1FB2"/>
    <w:rsid w:val="003D5029"/>
    <w:rsid w:val="003D66DA"/>
    <w:rsid w:val="003E1310"/>
    <w:rsid w:val="003E2788"/>
    <w:rsid w:val="003E6F55"/>
    <w:rsid w:val="003F5618"/>
    <w:rsid w:val="00400025"/>
    <w:rsid w:val="00406254"/>
    <w:rsid w:val="004076CD"/>
    <w:rsid w:val="00410EDD"/>
    <w:rsid w:val="00414CAE"/>
    <w:rsid w:val="004223DE"/>
    <w:rsid w:val="004241FE"/>
    <w:rsid w:val="004276B3"/>
    <w:rsid w:val="00434489"/>
    <w:rsid w:val="00437085"/>
    <w:rsid w:val="00442A19"/>
    <w:rsid w:val="00443880"/>
    <w:rsid w:val="0044604B"/>
    <w:rsid w:val="004464F4"/>
    <w:rsid w:val="00450186"/>
    <w:rsid w:val="004502DC"/>
    <w:rsid w:val="004512D9"/>
    <w:rsid w:val="00453FBE"/>
    <w:rsid w:val="00457569"/>
    <w:rsid w:val="00457840"/>
    <w:rsid w:val="004612ED"/>
    <w:rsid w:val="00471401"/>
    <w:rsid w:val="00473A72"/>
    <w:rsid w:val="00473F31"/>
    <w:rsid w:val="00474406"/>
    <w:rsid w:val="0048263A"/>
    <w:rsid w:val="00485B6D"/>
    <w:rsid w:val="00487E5D"/>
    <w:rsid w:val="0049402A"/>
    <w:rsid w:val="004A02DD"/>
    <w:rsid w:val="004A3D10"/>
    <w:rsid w:val="004A711F"/>
    <w:rsid w:val="004A7504"/>
    <w:rsid w:val="004B199D"/>
    <w:rsid w:val="004B4690"/>
    <w:rsid w:val="004C2026"/>
    <w:rsid w:val="004C6DE1"/>
    <w:rsid w:val="004D5C5F"/>
    <w:rsid w:val="004E0A2D"/>
    <w:rsid w:val="004E1BEE"/>
    <w:rsid w:val="004E206B"/>
    <w:rsid w:val="004E49FE"/>
    <w:rsid w:val="004E568D"/>
    <w:rsid w:val="004E6DF7"/>
    <w:rsid w:val="004E7BF0"/>
    <w:rsid w:val="004E7CA4"/>
    <w:rsid w:val="004F0FBD"/>
    <w:rsid w:val="004F3E09"/>
    <w:rsid w:val="0050462B"/>
    <w:rsid w:val="00505A47"/>
    <w:rsid w:val="00511549"/>
    <w:rsid w:val="0051181A"/>
    <w:rsid w:val="00512FDA"/>
    <w:rsid w:val="00514167"/>
    <w:rsid w:val="005165D8"/>
    <w:rsid w:val="00520899"/>
    <w:rsid w:val="00520DA0"/>
    <w:rsid w:val="005269D7"/>
    <w:rsid w:val="00527DCF"/>
    <w:rsid w:val="0053412F"/>
    <w:rsid w:val="0053774A"/>
    <w:rsid w:val="0054784D"/>
    <w:rsid w:val="0055279D"/>
    <w:rsid w:val="005535E2"/>
    <w:rsid w:val="00557185"/>
    <w:rsid w:val="00563529"/>
    <w:rsid w:val="005664BB"/>
    <w:rsid w:val="00566FFA"/>
    <w:rsid w:val="00574587"/>
    <w:rsid w:val="0057481D"/>
    <w:rsid w:val="00575F0C"/>
    <w:rsid w:val="00580134"/>
    <w:rsid w:val="005846A8"/>
    <w:rsid w:val="0058486E"/>
    <w:rsid w:val="00585B33"/>
    <w:rsid w:val="0059014D"/>
    <w:rsid w:val="005A0772"/>
    <w:rsid w:val="005A59A0"/>
    <w:rsid w:val="005B2013"/>
    <w:rsid w:val="005B5C64"/>
    <w:rsid w:val="005C38D7"/>
    <w:rsid w:val="005C4C7C"/>
    <w:rsid w:val="005C5337"/>
    <w:rsid w:val="005C6BD0"/>
    <w:rsid w:val="005D1C8B"/>
    <w:rsid w:val="005D39EF"/>
    <w:rsid w:val="005D468D"/>
    <w:rsid w:val="005D5CED"/>
    <w:rsid w:val="005D6B25"/>
    <w:rsid w:val="005E445B"/>
    <w:rsid w:val="005E4B5B"/>
    <w:rsid w:val="005F1A4C"/>
    <w:rsid w:val="005F2F24"/>
    <w:rsid w:val="005F53F4"/>
    <w:rsid w:val="00605688"/>
    <w:rsid w:val="006070AF"/>
    <w:rsid w:val="00607E6C"/>
    <w:rsid w:val="006101B1"/>
    <w:rsid w:val="00614E44"/>
    <w:rsid w:val="0062270A"/>
    <w:rsid w:val="00622830"/>
    <w:rsid w:val="00623DA0"/>
    <w:rsid w:val="00625BB4"/>
    <w:rsid w:val="00630AEF"/>
    <w:rsid w:val="006325F8"/>
    <w:rsid w:val="00633463"/>
    <w:rsid w:val="006340CC"/>
    <w:rsid w:val="00634C9A"/>
    <w:rsid w:val="0064071E"/>
    <w:rsid w:val="006426EE"/>
    <w:rsid w:val="006440E4"/>
    <w:rsid w:val="00644A0E"/>
    <w:rsid w:val="00645D0C"/>
    <w:rsid w:val="00647AEC"/>
    <w:rsid w:val="00650BA3"/>
    <w:rsid w:val="00651161"/>
    <w:rsid w:val="00655A00"/>
    <w:rsid w:val="00657F0F"/>
    <w:rsid w:val="0066343B"/>
    <w:rsid w:val="00664777"/>
    <w:rsid w:val="006748A4"/>
    <w:rsid w:val="00680435"/>
    <w:rsid w:val="00681A31"/>
    <w:rsid w:val="0068259F"/>
    <w:rsid w:val="00683E73"/>
    <w:rsid w:val="00685641"/>
    <w:rsid w:val="0069257A"/>
    <w:rsid w:val="00693A64"/>
    <w:rsid w:val="00694C9F"/>
    <w:rsid w:val="006A3141"/>
    <w:rsid w:val="006A5C69"/>
    <w:rsid w:val="006A5E34"/>
    <w:rsid w:val="006B2422"/>
    <w:rsid w:val="006B264F"/>
    <w:rsid w:val="006B2B9A"/>
    <w:rsid w:val="006B7CB8"/>
    <w:rsid w:val="006C1937"/>
    <w:rsid w:val="006C5EBE"/>
    <w:rsid w:val="006D2C79"/>
    <w:rsid w:val="006E2DCA"/>
    <w:rsid w:val="006F020C"/>
    <w:rsid w:val="006F21C7"/>
    <w:rsid w:val="006F37B2"/>
    <w:rsid w:val="006F4238"/>
    <w:rsid w:val="006F5ABA"/>
    <w:rsid w:val="006F6425"/>
    <w:rsid w:val="007127B7"/>
    <w:rsid w:val="0071594B"/>
    <w:rsid w:val="00716DBD"/>
    <w:rsid w:val="0071798E"/>
    <w:rsid w:val="00720C41"/>
    <w:rsid w:val="0072226B"/>
    <w:rsid w:val="0072774C"/>
    <w:rsid w:val="00727E41"/>
    <w:rsid w:val="00730820"/>
    <w:rsid w:val="00736FDF"/>
    <w:rsid w:val="0074096A"/>
    <w:rsid w:val="007416B6"/>
    <w:rsid w:val="00742018"/>
    <w:rsid w:val="00746F48"/>
    <w:rsid w:val="0075404D"/>
    <w:rsid w:val="00755181"/>
    <w:rsid w:val="00755D19"/>
    <w:rsid w:val="00756F02"/>
    <w:rsid w:val="007601C4"/>
    <w:rsid w:val="0076182A"/>
    <w:rsid w:val="00767B7E"/>
    <w:rsid w:val="00771ABA"/>
    <w:rsid w:val="00773AEB"/>
    <w:rsid w:val="00774F41"/>
    <w:rsid w:val="007752FA"/>
    <w:rsid w:val="007770C3"/>
    <w:rsid w:val="00784D24"/>
    <w:rsid w:val="00785FBA"/>
    <w:rsid w:val="00786E4A"/>
    <w:rsid w:val="007875EB"/>
    <w:rsid w:val="00792B3D"/>
    <w:rsid w:val="00792C2A"/>
    <w:rsid w:val="0079426B"/>
    <w:rsid w:val="007A056C"/>
    <w:rsid w:val="007B57F1"/>
    <w:rsid w:val="007D1682"/>
    <w:rsid w:val="007D312A"/>
    <w:rsid w:val="007D3F19"/>
    <w:rsid w:val="007D779E"/>
    <w:rsid w:val="007E1D0C"/>
    <w:rsid w:val="007E23B0"/>
    <w:rsid w:val="007E23E5"/>
    <w:rsid w:val="007E5EDE"/>
    <w:rsid w:val="007F1991"/>
    <w:rsid w:val="007F1DA0"/>
    <w:rsid w:val="007F2C2F"/>
    <w:rsid w:val="007F35CA"/>
    <w:rsid w:val="007F4459"/>
    <w:rsid w:val="007F55FC"/>
    <w:rsid w:val="007F5665"/>
    <w:rsid w:val="00800112"/>
    <w:rsid w:val="008001A5"/>
    <w:rsid w:val="00800329"/>
    <w:rsid w:val="00805CC2"/>
    <w:rsid w:val="008102FC"/>
    <w:rsid w:val="00813348"/>
    <w:rsid w:val="00817AAA"/>
    <w:rsid w:val="008253BB"/>
    <w:rsid w:val="00827294"/>
    <w:rsid w:val="00831BFE"/>
    <w:rsid w:val="008360AB"/>
    <w:rsid w:val="0083706E"/>
    <w:rsid w:val="008408F6"/>
    <w:rsid w:val="008423A5"/>
    <w:rsid w:val="00847541"/>
    <w:rsid w:val="00850625"/>
    <w:rsid w:val="008530F7"/>
    <w:rsid w:val="00853718"/>
    <w:rsid w:val="00855221"/>
    <w:rsid w:val="00855A9A"/>
    <w:rsid w:val="00860645"/>
    <w:rsid w:val="00871F71"/>
    <w:rsid w:val="008726DE"/>
    <w:rsid w:val="00872FD8"/>
    <w:rsid w:val="00875234"/>
    <w:rsid w:val="008846CC"/>
    <w:rsid w:val="00885AF4"/>
    <w:rsid w:val="00890008"/>
    <w:rsid w:val="008939CD"/>
    <w:rsid w:val="008A0751"/>
    <w:rsid w:val="008A746B"/>
    <w:rsid w:val="008B768C"/>
    <w:rsid w:val="008C4DB1"/>
    <w:rsid w:val="008C4EAF"/>
    <w:rsid w:val="008C5176"/>
    <w:rsid w:val="008C7FD0"/>
    <w:rsid w:val="008D0E86"/>
    <w:rsid w:val="008D68EC"/>
    <w:rsid w:val="008E0AAB"/>
    <w:rsid w:val="008E1DE7"/>
    <w:rsid w:val="008E707C"/>
    <w:rsid w:val="008F281A"/>
    <w:rsid w:val="008F29E7"/>
    <w:rsid w:val="008F34E5"/>
    <w:rsid w:val="008F6765"/>
    <w:rsid w:val="00900B08"/>
    <w:rsid w:val="009013A3"/>
    <w:rsid w:val="00902155"/>
    <w:rsid w:val="00902265"/>
    <w:rsid w:val="00902FA3"/>
    <w:rsid w:val="00904C45"/>
    <w:rsid w:val="00907138"/>
    <w:rsid w:val="009171CB"/>
    <w:rsid w:val="00923564"/>
    <w:rsid w:val="0092392E"/>
    <w:rsid w:val="0093100A"/>
    <w:rsid w:val="009315F9"/>
    <w:rsid w:val="00933499"/>
    <w:rsid w:val="009334D8"/>
    <w:rsid w:val="00935849"/>
    <w:rsid w:val="00935C98"/>
    <w:rsid w:val="0093691E"/>
    <w:rsid w:val="009458AC"/>
    <w:rsid w:val="00946945"/>
    <w:rsid w:val="00947F70"/>
    <w:rsid w:val="00951248"/>
    <w:rsid w:val="0095152F"/>
    <w:rsid w:val="009529E1"/>
    <w:rsid w:val="0095471B"/>
    <w:rsid w:val="00954C49"/>
    <w:rsid w:val="00955E37"/>
    <w:rsid w:val="00966C72"/>
    <w:rsid w:val="00970571"/>
    <w:rsid w:val="00970612"/>
    <w:rsid w:val="0097099F"/>
    <w:rsid w:val="00971997"/>
    <w:rsid w:val="00971FFC"/>
    <w:rsid w:val="00974AD5"/>
    <w:rsid w:val="00983647"/>
    <w:rsid w:val="00984C06"/>
    <w:rsid w:val="0098660A"/>
    <w:rsid w:val="0099145F"/>
    <w:rsid w:val="00991B64"/>
    <w:rsid w:val="009931C3"/>
    <w:rsid w:val="009B2C43"/>
    <w:rsid w:val="009B4EAE"/>
    <w:rsid w:val="009B63E2"/>
    <w:rsid w:val="009B6E66"/>
    <w:rsid w:val="009B7573"/>
    <w:rsid w:val="009C0BEF"/>
    <w:rsid w:val="009C22F4"/>
    <w:rsid w:val="009C2A4B"/>
    <w:rsid w:val="009C2E98"/>
    <w:rsid w:val="009D03C5"/>
    <w:rsid w:val="009D0BA1"/>
    <w:rsid w:val="009D3447"/>
    <w:rsid w:val="009D4711"/>
    <w:rsid w:val="009D6CB0"/>
    <w:rsid w:val="009E098B"/>
    <w:rsid w:val="009E2DD5"/>
    <w:rsid w:val="009F063B"/>
    <w:rsid w:val="009F1185"/>
    <w:rsid w:val="009F18CD"/>
    <w:rsid w:val="009F2A13"/>
    <w:rsid w:val="009F2C94"/>
    <w:rsid w:val="009F68A3"/>
    <w:rsid w:val="009F6D4C"/>
    <w:rsid w:val="009F7527"/>
    <w:rsid w:val="00A0476F"/>
    <w:rsid w:val="00A04EB0"/>
    <w:rsid w:val="00A0658A"/>
    <w:rsid w:val="00A13CC1"/>
    <w:rsid w:val="00A16847"/>
    <w:rsid w:val="00A1684B"/>
    <w:rsid w:val="00A16C56"/>
    <w:rsid w:val="00A17589"/>
    <w:rsid w:val="00A237D8"/>
    <w:rsid w:val="00A247E9"/>
    <w:rsid w:val="00A25833"/>
    <w:rsid w:val="00A268C4"/>
    <w:rsid w:val="00A27A90"/>
    <w:rsid w:val="00A307CD"/>
    <w:rsid w:val="00A307E2"/>
    <w:rsid w:val="00A316C6"/>
    <w:rsid w:val="00A32AB2"/>
    <w:rsid w:val="00A331C8"/>
    <w:rsid w:val="00A40A00"/>
    <w:rsid w:val="00A4142F"/>
    <w:rsid w:val="00A422EB"/>
    <w:rsid w:val="00A45BB7"/>
    <w:rsid w:val="00A56DF2"/>
    <w:rsid w:val="00A56E6E"/>
    <w:rsid w:val="00A61D8A"/>
    <w:rsid w:val="00A67AB5"/>
    <w:rsid w:val="00A67D49"/>
    <w:rsid w:val="00A71A34"/>
    <w:rsid w:val="00A733B2"/>
    <w:rsid w:val="00A73BBB"/>
    <w:rsid w:val="00A741C2"/>
    <w:rsid w:val="00A800ED"/>
    <w:rsid w:val="00A870F5"/>
    <w:rsid w:val="00A90BBA"/>
    <w:rsid w:val="00A91760"/>
    <w:rsid w:val="00A93B00"/>
    <w:rsid w:val="00A93C21"/>
    <w:rsid w:val="00A9419C"/>
    <w:rsid w:val="00AA7681"/>
    <w:rsid w:val="00AB15F8"/>
    <w:rsid w:val="00AB64C9"/>
    <w:rsid w:val="00AB660B"/>
    <w:rsid w:val="00AB6F55"/>
    <w:rsid w:val="00AC00B5"/>
    <w:rsid w:val="00AC106A"/>
    <w:rsid w:val="00AC3C6A"/>
    <w:rsid w:val="00AC44DD"/>
    <w:rsid w:val="00AD5620"/>
    <w:rsid w:val="00AD656B"/>
    <w:rsid w:val="00AD7C1B"/>
    <w:rsid w:val="00AE16BA"/>
    <w:rsid w:val="00AE1EBE"/>
    <w:rsid w:val="00AE3024"/>
    <w:rsid w:val="00AE7FB9"/>
    <w:rsid w:val="00AF3E53"/>
    <w:rsid w:val="00AF6494"/>
    <w:rsid w:val="00B02515"/>
    <w:rsid w:val="00B03C9D"/>
    <w:rsid w:val="00B060AE"/>
    <w:rsid w:val="00B076DE"/>
    <w:rsid w:val="00B10517"/>
    <w:rsid w:val="00B14E76"/>
    <w:rsid w:val="00B161B8"/>
    <w:rsid w:val="00B16EFA"/>
    <w:rsid w:val="00B2048C"/>
    <w:rsid w:val="00B23630"/>
    <w:rsid w:val="00B30579"/>
    <w:rsid w:val="00B310B9"/>
    <w:rsid w:val="00B31974"/>
    <w:rsid w:val="00B32FE4"/>
    <w:rsid w:val="00B353AD"/>
    <w:rsid w:val="00B35F3F"/>
    <w:rsid w:val="00B36CBB"/>
    <w:rsid w:val="00B37363"/>
    <w:rsid w:val="00B41543"/>
    <w:rsid w:val="00B425E0"/>
    <w:rsid w:val="00B440AA"/>
    <w:rsid w:val="00B44B70"/>
    <w:rsid w:val="00B51DEB"/>
    <w:rsid w:val="00B53C56"/>
    <w:rsid w:val="00B559D2"/>
    <w:rsid w:val="00B57DAF"/>
    <w:rsid w:val="00B62E49"/>
    <w:rsid w:val="00B63B04"/>
    <w:rsid w:val="00B63CB4"/>
    <w:rsid w:val="00B77757"/>
    <w:rsid w:val="00B77B7F"/>
    <w:rsid w:val="00B77EA6"/>
    <w:rsid w:val="00B81598"/>
    <w:rsid w:val="00B841F1"/>
    <w:rsid w:val="00B85A33"/>
    <w:rsid w:val="00B85A58"/>
    <w:rsid w:val="00B90E4E"/>
    <w:rsid w:val="00B922C2"/>
    <w:rsid w:val="00B944D6"/>
    <w:rsid w:val="00B965DC"/>
    <w:rsid w:val="00B9756A"/>
    <w:rsid w:val="00BA5C5F"/>
    <w:rsid w:val="00BB32AC"/>
    <w:rsid w:val="00BB4DF0"/>
    <w:rsid w:val="00BB5CA0"/>
    <w:rsid w:val="00BB72F4"/>
    <w:rsid w:val="00BC289F"/>
    <w:rsid w:val="00BC2D50"/>
    <w:rsid w:val="00BC5361"/>
    <w:rsid w:val="00BC5460"/>
    <w:rsid w:val="00BC6267"/>
    <w:rsid w:val="00BC6B50"/>
    <w:rsid w:val="00BD0E25"/>
    <w:rsid w:val="00BD1612"/>
    <w:rsid w:val="00BD20C7"/>
    <w:rsid w:val="00BD2BBB"/>
    <w:rsid w:val="00BD58E1"/>
    <w:rsid w:val="00BD5FA1"/>
    <w:rsid w:val="00BD6679"/>
    <w:rsid w:val="00BE31B5"/>
    <w:rsid w:val="00BE44A0"/>
    <w:rsid w:val="00BE54AA"/>
    <w:rsid w:val="00BF172F"/>
    <w:rsid w:val="00BF5BD6"/>
    <w:rsid w:val="00C00EFF"/>
    <w:rsid w:val="00C0172D"/>
    <w:rsid w:val="00C019EF"/>
    <w:rsid w:val="00C03E31"/>
    <w:rsid w:val="00C07F69"/>
    <w:rsid w:val="00C123F9"/>
    <w:rsid w:val="00C25656"/>
    <w:rsid w:val="00C33E72"/>
    <w:rsid w:val="00C354B2"/>
    <w:rsid w:val="00C35554"/>
    <w:rsid w:val="00C3659A"/>
    <w:rsid w:val="00C375D8"/>
    <w:rsid w:val="00C40F44"/>
    <w:rsid w:val="00C42709"/>
    <w:rsid w:val="00C43FF1"/>
    <w:rsid w:val="00C533CC"/>
    <w:rsid w:val="00C5751C"/>
    <w:rsid w:val="00C60B25"/>
    <w:rsid w:val="00C61BFC"/>
    <w:rsid w:val="00C62B85"/>
    <w:rsid w:val="00C65438"/>
    <w:rsid w:val="00C77690"/>
    <w:rsid w:val="00C8598A"/>
    <w:rsid w:val="00C8626B"/>
    <w:rsid w:val="00C87FD8"/>
    <w:rsid w:val="00C911C7"/>
    <w:rsid w:val="00C91381"/>
    <w:rsid w:val="00C91CBB"/>
    <w:rsid w:val="00C93A47"/>
    <w:rsid w:val="00CA1E05"/>
    <w:rsid w:val="00CA59C7"/>
    <w:rsid w:val="00CA604D"/>
    <w:rsid w:val="00CB1AE2"/>
    <w:rsid w:val="00CB29AD"/>
    <w:rsid w:val="00CB4E70"/>
    <w:rsid w:val="00CC09B6"/>
    <w:rsid w:val="00CC2B47"/>
    <w:rsid w:val="00CC61EC"/>
    <w:rsid w:val="00CC6568"/>
    <w:rsid w:val="00CC666F"/>
    <w:rsid w:val="00CC7196"/>
    <w:rsid w:val="00CD1E3F"/>
    <w:rsid w:val="00CD770F"/>
    <w:rsid w:val="00CE3BD5"/>
    <w:rsid w:val="00CE44F6"/>
    <w:rsid w:val="00CE49DA"/>
    <w:rsid w:val="00CE4A01"/>
    <w:rsid w:val="00CE5756"/>
    <w:rsid w:val="00CE7B61"/>
    <w:rsid w:val="00CF015F"/>
    <w:rsid w:val="00CF5F98"/>
    <w:rsid w:val="00CF7D4C"/>
    <w:rsid w:val="00D00095"/>
    <w:rsid w:val="00D04300"/>
    <w:rsid w:val="00D114F0"/>
    <w:rsid w:val="00D125C7"/>
    <w:rsid w:val="00D15FA1"/>
    <w:rsid w:val="00D20620"/>
    <w:rsid w:val="00D22DBF"/>
    <w:rsid w:val="00D24054"/>
    <w:rsid w:val="00D24ADE"/>
    <w:rsid w:val="00D254F7"/>
    <w:rsid w:val="00D25FAE"/>
    <w:rsid w:val="00D26091"/>
    <w:rsid w:val="00D2685C"/>
    <w:rsid w:val="00D30A4D"/>
    <w:rsid w:val="00D322D5"/>
    <w:rsid w:val="00D34E7C"/>
    <w:rsid w:val="00D35489"/>
    <w:rsid w:val="00D36AFE"/>
    <w:rsid w:val="00D37C98"/>
    <w:rsid w:val="00D41279"/>
    <w:rsid w:val="00D43AC9"/>
    <w:rsid w:val="00D45EA6"/>
    <w:rsid w:val="00D4619B"/>
    <w:rsid w:val="00D51276"/>
    <w:rsid w:val="00D5300F"/>
    <w:rsid w:val="00D56F8C"/>
    <w:rsid w:val="00D57CA0"/>
    <w:rsid w:val="00D63AEA"/>
    <w:rsid w:val="00D64243"/>
    <w:rsid w:val="00D65DAC"/>
    <w:rsid w:val="00D673D6"/>
    <w:rsid w:val="00D7035F"/>
    <w:rsid w:val="00D765E4"/>
    <w:rsid w:val="00D93F3F"/>
    <w:rsid w:val="00D97BA4"/>
    <w:rsid w:val="00DA634F"/>
    <w:rsid w:val="00DA65AC"/>
    <w:rsid w:val="00DB1913"/>
    <w:rsid w:val="00DB1CBE"/>
    <w:rsid w:val="00DB40B3"/>
    <w:rsid w:val="00DB5130"/>
    <w:rsid w:val="00DB7C83"/>
    <w:rsid w:val="00DC20FD"/>
    <w:rsid w:val="00DC410D"/>
    <w:rsid w:val="00DC5A81"/>
    <w:rsid w:val="00DC68CA"/>
    <w:rsid w:val="00DC7CBA"/>
    <w:rsid w:val="00DD1714"/>
    <w:rsid w:val="00DD23CB"/>
    <w:rsid w:val="00DD32B1"/>
    <w:rsid w:val="00DD73B7"/>
    <w:rsid w:val="00DE169D"/>
    <w:rsid w:val="00DE188B"/>
    <w:rsid w:val="00DF25A6"/>
    <w:rsid w:val="00DF28BC"/>
    <w:rsid w:val="00DF2A58"/>
    <w:rsid w:val="00DF34B9"/>
    <w:rsid w:val="00DF56BB"/>
    <w:rsid w:val="00E01053"/>
    <w:rsid w:val="00E0549A"/>
    <w:rsid w:val="00E05BED"/>
    <w:rsid w:val="00E07ACF"/>
    <w:rsid w:val="00E169CC"/>
    <w:rsid w:val="00E16CD6"/>
    <w:rsid w:val="00E27A14"/>
    <w:rsid w:val="00E32CAD"/>
    <w:rsid w:val="00E331A1"/>
    <w:rsid w:val="00E33202"/>
    <w:rsid w:val="00E336A9"/>
    <w:rsid w:val="00E34FA2"/>
    <w:rsid w:val="00E351A3"/>
    <w:rsid w:val="00E44A13"/>
    <w:rsid w:val="00E46E21"/>
    <w:rsid w:val="00E472B1"/>
    <w:rsid w:val="00E50624"/>
    <w:rsid w:val="00E5131A"/>
    <w:rsid w:val="00E568DF"/>
    <w:rsid w:val="00E6178E"/>
    <w:rsid w:val="00E64269"/>
    <w:rsid w:val="00E6615C"/>
    <w:rsid w:val="00E82267"/>
    <w:rsid w:val="00E853CE"/>
    <w:rsid w:val="00E867B6"/>
    <w:rsid w:val="00E92C90"/>
    <w:rsid w:val="00E94F0F"/>
    <w:rsid w:val="00E95C7D"/>
    <w:rsid w:val="00EA010F"/>
    <w:rsid w:val="00EB46E0"/>
    <w:rsid w:val="00EB6E28"/>
    <w:rsid w:val="00EC0CD5"/>
    <w:rsid w:val="00EC482D"/>
    <w:rsid w:val="00EC4F8F"/>
    <w:rsid w:val="00EC76F5"/>
    <w:rsid w:val="00ED1B63"/>
    <w:rsid w:val="00ED3C1F"/>
    <w:rsid w:val="00ED4085"/>
    <w:rsid w:val="00ED415F"/>
    <w:rsid w:val="00ED420E"/>
    <w:rsid w:val="00ED6FBE"/>
    <w:rsid w:val="00EE14EE"/>
    <w:rsid w:val="00EE2F57"/>
    <w:rsid w:val="00EF4C34"/>
    <w:rsid w:val="00EF4DDA"/>
    <w:rsid w:val="00EF60EF"/>
    <w:rsid w:val="00EF720F"/>
    <w:rsid w:val="00EF77C6"/>
    <w:rsid w:val="00F03D40"/>
    <w:rsid w:val="00F05438"/>
    <w:rsid w:val="00F06894"/>
    <w:rsid w:val="00F0772B"/>
    <w:rsid w:val="00F1361C"/>
    <w:rsid w:val="00F13713"/>
    <w:rsid w:val="00F156F0"/>
    <w:rsid w:val="00F160C7"/>
    <w:rsid w:val="00F17A74"/>
    <w:rsid w:val="00F2408F"/>
    <w:rsid w:val="00F240E9"/>
    <w:rsid w:val="00F272B7"/>
    <w:rsid w:val="00F274D9"/>
    <w:rsid w:val="00F36D8F"/>
    <w:rsid w:val="00F417B1"/>
    <w:rsid w:val="00F45853"/>
    <w:rsid w:val="00F477E4"/>
    <w:rsid w:val="00F5346A"/>
    <w:rsid w:val="00F53C9B"/>
    <w:rsid w:val="00F555BB"/>
    <w:rsid w:val="00F602DF"/>
    <w:rsid w:val="00F616A4"/>
    <w:rsid w:val="00F636AC"/>
    <w:rsid w:val="00F65E8A"/>
    <w:rsid w:val="00F66BE5"/>
    <w:rsid w:val="00F6715D"/>
    <w:rsid w:val="00F7218E"/>
    <w:rsid w:val="00F754A1"/>
    <w:rsid w:val="00F81FD9"/>
    <w:rsid w:val="00F841AA"/>
    <w:rsid w:val="00F84214"/>
    <w:rsid w:val="00F84A94"/>
    <w:rsid w:val="00F87E96"/>
    <w:rsid w:val="00F907EA"/>
    <w:rsid w:val="00F919B9"/>
    <w:rsid w:val="00FA13B6"/>
    <w:rsid w:val="00FA23E8"/>
    <w:rsid w:val="00FA31C6"/>
    <w:rsid w:val="00FA3919"/>
    <w:rsid w:val="00FA5F07"/>
    <w:rsid w:val="00FA7070"/>
    <w:rsid w:val="00FB336E"/>
    <w:rsid w:val="00FB3DD0"/>
    <w:rsid w:val="00FB5F30"/>
    <w:rsid w:val="00FC5A6B"/>
    <w:rsid w:val="00FD3CC1"/>
    <w:rsid w:val="00FE22CB"/>
    <w:rsid w:val="00FE4F4B"/>
    <w:rsid w:val="00FE6B4E"/>
    <w:rsid w:val="00FF00C2"/>
    <w:rsid w:val="00FF1E02"/>
    <w:rsid w:val="00FF30B4"/>
    <w:rsid w:val="00FF3E44"/>
    <w:rsid w:val="00FF73DA"/>
    <w:rsid w:val="0A2032A3"/>
    <w:rsid w:val="10C055FF"/>
    <w:rsid w:val="118107EC"/>
    <w:rsid w:val="11F54CEB"/>
    <w:rsid w:val="16BB723D"/>
    <w:rsid w:val="1D155CEE"/>
    <w:rsid w:val="240371BF"/>
    <w:rsid w:val="27FD758D"/>
    <w:rsid w:val="29FD04D3"/>
    <w:rsid w:val="319F7F4E"/>
    <w:rsid w:val="4ECE2238"/>
    <w:rsid w:val="50C52105"/>
    <w:rsid w:val="6C4A05C8"/>
    <w:rsid w:val="72734D90"/>
    <w:rsid w:val="740344BB"/>
    <w:rsid w:val="7B9D4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9E"/>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7D779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D779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7D77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D779E"/>
    <w:pPr>
      <w:spacing w:beforeLines="30"/>
    </w:pPr>
    <w:rPr>
      <w:rFonts w:ascii="仿宋_GB2312" w:eastAsia="仿宋_GB2312"/>
      <w:kern w:val="0"/>
      <w:sz w:val="24"/>
      <w:szCs w:val="20"/>
    </w:rPr>
  </w:style>
  <w:style w:type="paragraph" w:styleId="30">
    <w:name w:val="toc 3"/>
    <w:basedOn w:val="a"/>
    <w:next w:val="a"/>
    <w:uiPriority w:val="39"/>
    <w:unhideWhenUsed/>
    <w:qFormat/>
    <w:rsid w:val="007D779E"/>
    <w:pPr>
      <w:tabs>
        <w:tab w:val="right" w:leader="dot" w:pos="8296"/>
      </w:tabs>
      <w:ind w:leftChars="400" w:left="840"/>
    </w:pPr>
  </w:style>
  <w:style w:type="paragraph" w:styleId="20">
    <w:name w:val="Body Text Indent 2"/>
    <w:basedOn w:val="a"/>
    <w:link w:val="2Char0"/>
    <w:uiPriority w:val="99"/>
    <w:unhideWhenUsed/>
    <w:qFormat/>
    <w:rsid w:val="007D779E"/>
    <w:pPr>
      <w:spacing w:after="120" w:line="480" w:lineRule="auto"/>
      <w:ind w:leftChars="200" w:left="420"/>
    </w:pPr>
    <w:rPr>
      <w:rFonts w:ascii="Calibri" w:hAnsi="Calibri"/>
      <w:szCs w:val="22"/>
    </w:rPr>
  </w:style>
  <w:style w:type="paragraph" w:styleId="a4">
    <w:name w:val="Balloon Text"/>
    <w:basedOn w:val="a"/>
    <w:link w:val="Char0"/>
    <w:uiPriority w:val="99"/>
    <w:semiHidden/>
    <w:unhideWhenUsed/>
    <w:qFormat/>
    <w:rsid w:val="007D779E"/>
    <w:rPr>
      <w:sz w:val="18"/>
      <w:szCs w:val="18"/>
    </w:rPr>
  </w:style>
  <w:style w:type="paragraph" w:styleId="a5">
    <w:name w:val="footer"/>
    <w:basedOn w:val="a"/>
    <w:link w:val="Char1"/>
    <w:uiPriority w:val="99"/>
    <w:qFormat/>
    <w:rsid w:val="007D779E"/>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qFormat/>
    <w:rsid w:val="007D779E"/>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unhideWhenUsed/>
    <w:qFormat/>
    <w:rsid w:val="007D779E"/>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7D779E"/>
    <w:pPr>
      <w:tabs>
        <w:tab w:val="right" w:leader="dot" w:pos="8296"/>
      </w:tabs>
      <w:ind w:leftChars="200" w:left="420"/>
    </w:pPr>
  </w:style>
  <w:style w:type="character" w:styleId="a7">
    <w:name w:val="Strong"/>
    <w:basedOn w:val="a0"/>
    <w:uiPriority w:val="99"/>
    <w:qFormat/>
    <w:rsid w:val="007D779E"/>
    <w:rPr>
      <w:rFonts w:cs="Times New Roman"/>
      <w:b/>
    </w:rPr>
  </w:style>
  <w:style w:type="character" w:styleId="a8">
    <w:name w:val="Hyperlink"/>
    <w:basedOn w:val="a0"/>
    <w:uiPriority w:val="99"/>
    <w:unhideWhenUsed/>
    <w:qFormat/>
    <w:rsid w:val="007D779E"/>
    <w:rPr>
      <w:rFonts w:cs="Times New Roman"/>
      <w:color w:val="0000FF"/>
      <w:u w:val="single"/>
    </w:rPr>
  </w:style>
  <w:style w:type="character" w:customStyle="1" w:styleId="1Char">
    <w:name w:val="标题 1 Char"/>
    <w:basedOn w:val="a0"/>
    <w:link w:val="1"/>
    <w:uiPriority w:val="9"/>
    <w:qFormat/>
    <w:locked/>
    <w:rsid w:val="007D779E"/>
    <w:rPr>
      <w:rFonts w:ascii="Times New Roman" w:hAnsi="Times New Roman" w:cs="Times New Roman"/>
      <w:b/>
      <w:bCs/>
      <w:kern w:val="44"/>
      <w:sz w:val="44"/>
      <w:szCs w:val="44"/>
    </w:rPr>
  </w:style>
  <w:style w:type="character" w:customStyle="1" w:styleId="2Char">
    <w:name w:val="标题 2 Char"/>
    <w:basedOn w:val="a0"/>
    <w:link w:val="2"/>
    <w:uiPriority w:val="9"/>
    <w:qFormat/>
    <w:locked/>
    <w:rsid w:val="007D779E"/>
    <w:rPr>
      <w:rFonts w:ascii="Cambria" w:eastAsia="宋体" w:hAnsi="Cambria" w:cs="Times New Roman"/>
      <w:b/>
      <w:bCs/>
      <w:kern w:val="2"/>
      <w:sz w:val="32"/>
      <w:szCs w:val="32"/>
    </w:rPr>
  </w:style>
  <w:style w:type="character" w:customStyle="1" w:styleId="3Char">
    <w:name w:val="标题 3 Char"/>
    <w:basedOn w:val="a0"/>
    <w:link w:val="3"/>
    <w:uiPriority w:val="9"/>
    <w:qFormat/>
    <w:locked/>
    <w:rsid w:val="007D779E"/>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rsid w:val="007D779E"/>
    <w:rPr>
      <w:rFonts w:ascii="Times New Roman" w:hAnsi="Times New Roman" w:cs="Times New Roman"/>
      <w:sz w:val="24"/>
      <w:szCs w:val="24"/>
    </w:rPr>
  </w:style>
  <w:style w:type="character" w:customStyle="1" w:styleId="Char0">
    <w:name w:val="批注框文本 Char"/>
    <w:basedOn w:val="a0"/>
    <w:link w:val="a4"/>
    <w:uiPriority w:val="99"/>
    <w:semiHidden/>
    <w:qFormat/>
    <w:locked/>
    <w:rsid w:val="007D779E"/>
    <w:rPr>
      <w:rFonts w:ascii="Times New Roman" w:hAnsi="Times New Roman" w:cs="Times New Roman"/>
      <w:kern w:val="2"/>
      <w:sz w:val="18"/>
      <w:szCs w:val="18"/>
    </w:rPr>
  </w:style>
  <w:style w:type="character" w:customStyle="1" w:styleId="FooterChar">
    <w:name w:val="Footer Char"/>
    <w:basedOn w:val="a0"/>
    <w:link w:val="a5"/>
    <w:uiPriority w:val="99"/>
    <w:semiHidden/>
    <w:qFormat/>
    <w:rsid w:val="007D779E"/>
    <w:rPr>
      <w:rFonts w:ascii="Times New Roman" w:hAnsi="Times New Roman" w:cs="Times New Roman"/>
      <w:sz w:val="18"/>
      <w:szCs w:val="18"/>
    </w:rPr>
  </w:style>
  <w:style w:type="character" w:customStyle="1" w:styleId="HeaderChar">
    <w:name w:val="Header Char"/>
    <w:basedOn w:val="a0"/>
    <w:link w:val="a6"/>
    <w:uiPriority w:val="99"/>
    <w:semiHidden/>
    <w:qFormat/>
    <w:rsid w:val="007D779E"/>
    <w:rPr>
      <w:rFonts w:ascii="Times New Roman" w:hAnsi="Times New Roman" w:cs="Times New Roman"/>
      <w:sz w:val="18"/>
      <w:szCs w:val="18"/>
    </w:rPr>
  </w:style>
  <w:style w:type="character" w:customStyle="1" w:styleId="Char2">
    <w:name w:val="页眉 Char"/>
    <w:link w:val="a6"/>
    <w:uiPriority w:val="99"/>
    <w:semiHidden/>
    <w:qFormat/>
    <w:locked/>
    <w:rsid w:val="007D779E"/>
    <w:rPr>
      <w:sz w:val="18"/>
    </w:rPr>
  </w:style>
  <w:style w:type="character" w:customStyle="1" w:styleId="Char1">
    <w:name w:val="页脚 Char"/>
    <w:link w:val="a5"/>
    <w:uiPriority w:val="99"/>
    <w:qFormat/>
    <w:locked/>
    <w:rsid w:val="007D779E"/>
    <w:rPr>
      <w:sz w:val="18"/>
    </w:rPr>
  </w:style>
  <w:style w:type="character" w:customStyle="1" w:styleId="Char">
    <w:name w:val="正文文本 Char"/>
    <w:link w:val="a3"/>
    <w:uiPriority w:val="99"/>
    <w:qFormat/>
    <w:locked/>
    <w:rsid w:val="007D779E"/>
    <w:rPr>
      <w:rFonts w:ascii="仿宋_GB2312" w:eastAsia="仿宋_GB2312" w:hAnsi="Times New Roman"/>
      <w:sz w:val="24"/>
    </w:rPr>
  </w:style>
  <w:style w:type="paragraph" w:customStyle="1" w:styleId="Default">
    <w:name w:val="Default"/>
    <w:uiPriority w:val="99"/>
    <w:qFormat/>
    <w:rsid w:val="007D779E"/>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7D779E"/>
    <w:pPr>
      <w:ind w:firstLineChars="200" w:firstLine="420"/>
    </w:pPr>
  </w:style>
  <w:style w:type="paragraph" w:customStyle="1" w:styleId="TOC1">
    <w:name w:val="TOC 标题1"/>
    <w:basedOn w:val="1"/>
    <w:next w:val="a"/>
    <w:uiPriority w:val="39"/>
    <w:unhideWhenUsed/>
    <w:qFormat/>
    <w:rsid w:val="007D779E"/>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7D779E"/>
    <w:pPr>
      <w:widowControl/>
      <w:spacing w:before="480" w:after="0" w:line="276" w:lineRule="auto"/>
      <w:jc w:val="left"/>
      <w:outlineLvl w:val="9"/>
    </w:pPr>
    <w:rPr>
      <w:rFonts w:ascii="Cambria" w:hAnsi="Cambria"/>
      <w:color w:val="365F91"/>
      <w:kern w:val="0"/>
      <w:sz w:val="28"/>
      <w:szCs w:val="28"/>
    </w:rPr>
  </w:style>
  <w:style w:type="paragraph" w:styleId="a9">
    <w:name w:val="List Paragraph"/>
    <w:basedOn w:val="a"/>
    <w:uiPriority w:val="34"/>
    <w:qFormat/>
    <w:rsid w:val="007D779E"/>
    <w:pPr>
      <w:ind w:firstLineChars="200" w:firstLine="420"/>
    </w:pPr>
  </w:style>
  <w:style w:type="character" w:customStyle="1" w:styleId="2Char0">
    <w:name w:val="正文文本缩进 2 Char"/>
    <w:basedOn w:val="a0"/>
    <w:link w:val="20"/>
    <w:uiPriority w:val="99"/>
    <w:qFormat/>
    <w:rsid w:val="007D779E"/>
    <w:rPr>
      <w:kern w:val="2"/>
      <w:sz w:val="21"/>
      <w:szCs w:val="22"/>
    </w:rPr>
  </w:style>
</w:styles>
</file>

<file path=word/webSettings.xml><?xml version="1.0" encoding="utf-8"?>
<w:webSettings xmlns:r="http://schemas.openxmlformats.org/officeDocument/2006/relationships" xmlns:w="http://schemas.openxmlformats.org/wordprocessingml/2006/main">
  <w:divs>
    <w:div w:id="210804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81" textRotate="1"/>
    <customShpInfo spid="_x0000_s3082" textRotate="1"/>
    <customShpInfo spid="_x0000_s308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2DFC2-0EB0-4176-9813-1729FA38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1656</Words>
  <Characters>9442</Characters>
  <Application>Microsoft Office Word</Application>
  <DocSecurity>0</DocSecurity>
  <Lines>78</Lines>
  <Paragraphs>22</Paragraphs>
  <ScaleCrop>false</ScaleCrop>
  <Company>四川省财政厅</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吴征</cp:lastModifiedBy>
  <cp:revision>282</cp:revision>
  <cp:lastPrinted>2021-09-14T08:29:00Z</cp:lastPrinted>
  <dcterms:created xsi:type="dcterms:W3CDTF">2021-09-06T12:55:00Z</dcterms:created>
  <dcterms:modified xsi:type="dcterms:W3CDTF">2022-09-22T08:13:00Z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B373D93D1FA34AA99A3837EF8AD5A244</vt:lpwstr>
  </property>
</Properties>
</file>