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color w:val="000000"/>
          <w:sz w:val="72"/>
          <w:szCs w:val="72"/>
        </w:rPr>
      </w:pPr>
      <w:bookmarkStart w:id="1" w:name="_Toc15377193"/>
      <w:bookmarkStart w:id="2" w:name="_Toc15378441"/>
      <w:bookmarkStart w:id="3" w:name="_Toc15377425"/>
      <w:bookmarkStart w:id="4" w:name="_Toc15396597"/>
      <w:bookmarkStart w:id="5" w:name="_Toc15396475"/>
      <w:r>
        <w:rPr>
          <w:rFonts w:hint="eastAsia" w:ascii="方正小标宋_GBK" w:hAnsi="方正小标宋_GBK" w:eastAsia="方正小标宋_GBK" w:cs="方正小标宋_GBK"/>
          <w:color w:val="000000"/>
          <w:sz w:val="72"/>
          <w:szCs w:val="72"/>
        </w:rPr>
        <w:t>20</w:t>
      </w:r>
      <w:r>
        <w:rPr>
          <w:rFonts w:hint="eastAsia" w:ascii="方正小标宋_GBK" w:hAnsi="方正小标宋_GBK" w:eastAsia="方正小标宋_GBK" w:cs="方正小标宋_GBK"/>
          <w:color w:val="000000"/>
          <w:sz w:val="72"/>
          <w:szCs w:val="72"/>
          <w:lang w:val="en-US" w:eastAsia="zh-CN"/>
        </w:rPr>
        <w:t>20</w:t>
      </w:r>
      <w:r>
        <w:rPr>
          <w:rFonts w:hint="eastAsia" w:ascii="方正小标宋_GBK" w:hAnsi="方正小标宋_GBK" w:eastAsia="方正小标宋_GBK" w:cs="方正小标宋_GBK"/>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color w:val="000000"/>
          <w:sz w:val="72"/>
          <w:szCs w:val="72"/>
          <w:lang w:eastAsia="zh-CN"/>
        </w:rPr>
      </w:pPr>
      <w:bookmarkStart w:id="6" w:name="_Toc15377426"/>
      <w:bookmarkStart w:id="7" w:name="_Toc15377194"/>
      <w:bookmarkStart w:id="8" w:name="_Toc15396476"/>
      <w:bookmarkStart w:id="9" w:name="_Toc15396598"/>
      <w:bookmarkStart w:id="10" w:name="_Toc15378442"/>
      <w:r>
        <w:rPr>
          <w:rFonts w:hint="eastAsia" w:ascii="方正小标宋_GBK" w:hAnsi="方正小标宋_GBK" w:eastAsia="方正小标宋_GBK" w:cs="方正小标宋_GBK"/>
          <w:color w:val="000000"/>
          <w:sz w:val="72"/>
          <w:szCs w:val="72"/>
        </w:rPr>
        <w:t>广元</w:t>
      </w:r>
      <w:bookmarkEnd w:id="0"/>
      <w:bookmarkStart w:id="11" w:name="_Toc15306268"/>
      <w:r>
        <w:rPr>
          <w:rFonts w:hint="eastAsia" w:ascii="方正小标宋_GBK" w:hAnsi="方正小标宋_GBK" w:eastAsia="方正小标宋_GBK" w:cs="方正小标宋_GBK"/>
          <w:color w:val="000000"/>
          <w:sz w:val="72"/>
          <w:szCs w:val="72"/>
        </w:rPr>
        <w:t>市林业局</w:t>
      </w:r>
      <w:bookmarkEnd w:id="6"/>
      <w:bookmarkEnd w:id="7"/>
      <w:bookmarkEnd w:id="8"/>
      <w:bookmarkEnd w:id="9"/>
      <w:bookmarkEnd w:id="10"/>
      <w:bookmarkEnd w:id="11"/>
      <w:r>
        <w:rPr>
          <w:rFonts w:hint="eastAsia" w:ascii="方正小标宋_GBK" w:hAnsi="方正小标宋_GBK" w:eastAsia="方正小标宋_GBK" w:cs="方正小标宋_GBK"/>
          <w:color w:val="000000"/>
          <w:sz w:val="72"/>
          <w:szCs w:val="72"/>
          <w:lang w:eastAsia="zh-CN"/>
        </w:rPr>
        <w:t>本级</w:t>
      </w:r>
    </w:p>
    <w:p>
      <w:pPr>
        <w:adjustRightInd w:val="0"/>
        <w:snapToGrid w:val="0"/>
        <w:spacing w:line="360" w:lineRule="auto"/>
        <w:jc w:val="center"/>
        <w:outlineLvl w:val="0"/>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决</w:t>
      </w:r>
    </w:p>
    <w:p>
      <w:pPr>
        <w:adjustRightInd w:val="0"/>
        <w:snapToGrid w:val="0"/>
        <w:spacing w:line="360" w:lineRule="auto"/>
        <w:jc w:val="center"/>
        <w:outlineLvl w:val="0"/>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算</w:t>
      </w:r>
    </w:p>
    <w:p>
      <w:pPr>
        <w:adjustRightInd w:val="0"/>
        <w:snapToGrid w:val="0"/>
        <w:spacing w:line="360" w:lineRule="auto"/>
        <w:jc w:val="center"/>
        <w:outlineLvl w:val="0"/>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编</w:t>
      </w:r>
    </w:p>
    <w:p>
      <w:pPr>
        <w:adjustRightInd w:val="0"/>
        <w:snapToGrid w:val="0"/>
        <w:spacing w:line="360" w:lineRule="auto"/>
        <w:jc w:val="center"/>
        <w:outlineLvl w:val="0"/>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制</w:t>
      </w:r>
    </w:p>
    <w:p>
      <w:pPr>
        <w:adjustRightInd w:val="0"/>
        <w:snapToGrid w:val="0"/>
        <w:spacing w:line="360" w:lineRule="auto"/>
        <w:jc w:val="center"/>
        <w:outlineLvl w:val="0"/>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说</w:t>
      </w:r>
    </w:p>
    <w:p>
      <w:pPr>
        <w:adjustRightInd w:val="0"/>
        <w:snapToGrid w:val="0"/>
        <w:spacing w:line="360" w:lineRule="auto"/>
        <w:jc w:val="center"/>
        <w:outlineLvl w:val="0"/>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明</w:t>
      </w:r>
    </w:p>
    <w:p>
      <w:pPr>
        <w:widowControl/>
        <w:jc w:val="center"/>
        <w:rPr>
          <w:rFonts w:hint="eastAsia" w:ascii="仿宋_GB2312" w:hAnsi="仿宋" w:eastAsia="仿宋_GB2312" w:cs="Times New Roman"/>
          <w:color w:val="000000"/>
          <w:kern w:val="2"/>
          <w:sz w:val="32"/>
          <w:szCs w:val="32"/>
          <w:lang w:val="en-US" w:eastAsia="zh-CN" w:bidi="ar-SA"/>
        </w:rPr>
      </w:pPr>
    </w:p>
    <w:p>
      <w:pPr>
        <w:widowControl/>
        <w:jc w:val="center"/>
        <w:rPr>
          <w:rFonts w:hint="default"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公开时间：2021年9月30日</w:t>
      </w:r>
    </w:p>
    <w:p>
      <w:pPr>
        <w:widowControl/>
        <w:jc w:val="center"/>
        <w:rPr>
          <w:rFonts w:hint="eastAsia" w:ascii="方正小标宋_GBK" w:hAnsi="方正小标宋_GBK" w:eastAsia="方正小标宋_GBK" w:cs="方正小标宋_GBK"/>
          <w:color w:val="000000"/>
          <w:sz w:val="48"/>
          <w:szCs w:val="48"/>
        </w:rPr>
      </w:pPr>
    </w:p>
    <w:p>
      <w:pPr>
        <w:widowControl/>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目</w:t>
      </w:r>
      <w:r>
        <w:rPr>
          <w:rFonts w:hint="eastAsia" w:ascii="方正小标宋_GBK" w:hAnsi="方正小标宋_GBK" w:eastAsia="方正小标宋_GBK" w:cs="方正小标宋_GBK"/>
          <w:color w:val="000000"/>
          <w:sz w:val="40"/>
          <w:szCs w:val="40"/>
          <w:lang w:val="en-US" w:eastAsia="zh-CN"/>
        </w:rPr>
        <w:t xml:space="preserve">  </w:t>
      </w:r>
      <w:r>
        <w:rPr>
          <w:rFonts w:hint="eastAsia" w:ascii="方正小标宋_GBK" w:hAnsi="方正小标宋_GBK" w:eastAsia="方正小标宋_GBK" w:cs="方正小标宋_GBK"/>
          <w:color w:val="000000"/>
          <w:sz w:val="40"/>
          <w:szCs w:val="40"/>
        </w:rPr>
        <w:t>录</w:t>
      </w:r>
    </w:p>
    <w:p>
      <w:pPr>
        <w:pStyle w:val="10"/>
        <w:keepNext w:val="0"/>
        <w:keepLines w:val="0"/>
        <w:pageBreakBefore w:val="0"/>
        <w:widowControl w:val="0"/>
        <w:kinsoku/>
        <w:wordWrap/>
        <w:overflowPunct/>
        <w:topLinePunct w:val="0"/>
        <w:autoSpaceDE/>
        <w:autoSpaceDN/>
        <w:bidi w:val="0"/>
        <w:adjustRightInd w:val="0"/>
        <w:snapToGrid w:val="0"/>
        <w:spacing w:before="0" w:line="420" w:lineRule="exact"/>
        <w:ind w:firstLine="640" w:firstLineChars="200"/>
        <w:jc w:val="left"/>
        <w:textAlignment w:val="auto"/>
        <w:rPr>
          <w:rFonts w:hint="eastAsia" w:ascii="黑体" w:hAnsi="黑体" w:eastAsia="黑体" w:cs="黑体"/>
          <w:color w:val="000000"/>
          <w:sz w:val="32"/>
          <w:szCs w:val="32"/>
        </w:rPr>
      </w:pPr>
    </w:p>
    <w:p>
      <w:pPr>
        <w:pStyle w:val="10"/>
        <w:keepNext w:val="0"/>
        <w:keepLines w:val="0"/>
        <w:pageBreakBefore w:val="0"/>
        <w:widowControl w:val="0"/>
        <w:kinsoku/>
        <w:wordWrap/>
        <w:overflowPunct/>
        <w:topLinePunct w:val="0"/>
        <w:autoSpaceDE/>
        <w:autoSpaceDN/>
        <w:bidi w:val="0"/>
        <w:adjustRightInd w:val="0"/>
        <w:snapToGrid w:val="0"/>
        <w:spacing w:before="0" w:line="4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第一部分 </w:t>
      </w:r>
      <w:r>
        <w:rPr>
          <w:rFonts w:hint="eastAsia" w:ascii="黑体" w:hAnsi="黑体" w:eastAsia="黑体" w:cs="黑体"/>
          <w:color w:val="000000"/>
          <w:sz w:val="32"/>
          <w:szCs w:val="32"/>
          <w:lang w:eastAsia="zh-CN"/>
        </w:rPr>
        <w:t>本级</w:t>
      </w:r>
      <w:r>
        <w:rPr>
          <w:rFonts w:hint="eastAsia" w:ascii="黑体" w:hAnsi="黑体" w:eastAsia="黑体" w:cs="黑体"/>
          <w:color w:val="000000"/>
          <w:sz w:val="32"/>
          <w:szCs w:val="32"/>
        </w:rPr>
        <w:t>概况</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一、基本职能及主要工作</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二、机构设置</w:t>
      </w:r>
    </w:p>
    <w:p>
      <w:pPr>
        <w:pStyle w:val="10"/>
        <w:keepNext w:val="0"/>
        <w:keepLines w:val="0"/>
        <w:pageBreakBefore w:val="0"/>
        <w:widowControl w:val="0"/>
        <w:kinsoku/>
        <w:wordWrap/>
        <w:overflowPunct/>
        <w:topLinePunct w:val="0"/>
        <w:autoSpaceDE/>
        <w:autoSpaceDN/>
        <w:bidi w:val="0"/>
        <w:adjustRightInd w:val="0"/>
        <w:snapToGrid w:val="0"/>
        <w:spacing w:before="0" w:line="4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第二部分 20</w:t>
      </w:r>
      <w:r>
        <w:rPr>
          <w:rFonts w:hint="eastAsia" w:ascii="黑体" w:hAnsi="黑体" w:eastAsia="黑体" w:cs="黑体"/>
          <w:color w:val="000000"/>
          <w:sz w:val="32"/>
          <w:szCs w:val="32"/>
          <w:lang w:val="en-US" w:eastAsia="zh-CN"/>
        </w:rPr>
        <w:t>20</w:t>
      </w:r>
      <w:r>
        <w:rPr>
          <w:rFonts w:hint="eastAsia" w:ascii="黑体" w:hAnsi="黑体" w:eastAsia="黑体" w:cs="黑体"/>
          <w:color w:val="000000"/>
          <w:sz w:val="32"/>
          <w:szCs w:val="32"/>
        </w:rPr>
        <w:t>年度</w:t>
      </w:r>
      <w:r>
        <w:rPr>
          <w:rFonts w:hint="eastAsia" w:ascii="黑体" w:hAnsi="黑体" w:eastAsia="黑体" w:cs="黑体"/>
          <w:color w:val="000000"/>
          <w:sz w:val="32"/>
          <w:szCs w:val="32"/>
          <w:lang w:eastAsia="zh-CN"/>
        </w:rPr>
        <w:t>本级</w:t>
      </w:r>
      <w:r>
        <w:rPr>
          <w:rFonts w:hint="eastAsia" w:ascii="黑体" w:hAnsi="黑体" w:eastAsia="黑体" w:cs="黑体"/>
          <w:color w:val="000000"/>
          <w:sz w:val="32"/>
          <w:szCs w:val="32"/>
        </w:rPr>
        <w:t>决算情况说明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一、收入支出决算总体情况说明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二、收入决算情况说明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三、支出决算情况说明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四、财政拨款收入支出决算总体情况说明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五、一般公共预算财政拨款支出决算情况说明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六、一般公共预算财政拨款基本支出决算情况说明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七、</w:t>
      </w:r>
      <w:r>
        <w:rPr>
          <w:rFonts w:ascii="仿宋_GB2312" w:hAnsi="仿宋" w:eastAsia="仿宋_GB2312"/>
          <w:color w:val="000000"/>
          <w:sz w:val="32"/>
          <w:szCs w:val="32"/>
        </w:rPr>
        <w:t>“</w:t>
      </w:r>
      <w:r>
        <w:rPr>
          <w:rFonts w:hint="eastAsia" w:ascii="仿宋_GB2312" w:hAnsi="仿宋" w:eastAsia="仿宋_GB2312"/>
          <w:color w:val="000000"/>
          <w:sz w:val="32"/>
          <w:szCs w:val="32"/>
        </w:rPr>
        <w:t>三公”经费财政拨款支出决算情况说明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八、政府性基金预算支出决算情况说明</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九、</w:t>
      </w:r>
      <w:r>
        <w:rPr>
          <w:rFonts w:ascii="仿宋_GB2312" w:hAnsi="仿宋" w:eastAsia="仿宋_GB2312"/>
          <w:color w:val="000000"/>
          <w:sz w:val="32"/>
          <w:szCs w:val="32"/>
        </w:rPr>
        <w:t>国</w:t>
      </w:r>
      <w:r>
        <w:rPr>
          <w:rFonts w:hint="eastAsia" w:ascii="仿宋_GB2312" w:hAnsi="仿宋" w:eastAsia="仿宋_GB2312"/>
          <w:color w:val="000000"/>
          <w:sz w:val="32"/>
          <w:szCs w:val="32"/>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left"/>
        <w:textAlignment w:val="auto"/>
        <w:rPr>
          <w:rFonts w:ascii="仿宋_GB2312" w:hAnsi="仿宋" w:eastAsia="仿宋_GB2312"/>
          <w:color w:val="000000"/>
          <w:sz w:val="32"/>
          <w:szCs w:val="32"/>
        </w:rPr>
      </w:pPr>
      <w:r>
        <w:rPr>
          <w:rFonts w:hint="eastAsia" w:ascii="仿宋_GB2312" w:eastAsia="仿宋_GB2312"/>
          <w:color w:val="000000"/>
          <w:sz w:val="32"/>
          <w:szCs w:val="32"/>
        </w:rPr>
        <w:t>十、</w:t>
      </w:r>
      <w:r>
        <w:rPr>
          <w:rFonts w:hint="eastAsia" w:ascii="仿宋_GB2312" w:hAnsi="仿宋" w:eastAsia="仿宋_GB2312"/>
          <w:color w:val="000000"/>
          <w:sz w:val="32"/>
          <w:szCs w:val="32"/>
        </w:rPr>
        <w:t>其他重要事项的情况说明</w:t>
      </w:r>
      <w:r>
        <w:rPr>
          <w:rFonts w:ascii="仿宋_GB2312" w:hAnsi="仿宋" w:eastAsia="仿宋_GB2312"/>
          <w:color w:val="000000"/>
          <w:sz w:val="32"/>
          <w:szCs w:val="32"/>
        </w:rPr>
        <w:tab/>
      </w:r>
    </w:p>
    <w:p>
      <w:pPr>
        <w:pStyle w:val="10"/>
        <w:keepNext w:val="0"/>
        <w:keepLines w:val="0"/>
        <w:pageBreakBefore w:val="0"/>
        <w:widowControl w:val="0"/>
        <w:kinsoku/>
        <w:wordWrap/>
        <w:overflowPunct/>
        <w:topLinePunct w:val="0"/>
        <w:autoSpaceDE/>
        <w:autoSpaceDN/>
        <w:bidi w:val="0"/>
        <w:adjustRightInd w:val="0"/>
        <w:snapToGrid w:val="0"/>
        <w:spacing w:before="0" w:line="4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第三部分 名词解释</w:t>
      </w:r>
    </w:p>
    <w:p>
      <w:pPr>
        <w:pStyle w:val="10"/>
        <w:keepNext w:val="0"/>
        <w:keepLines w:val="0"/>
        <w:pageBreakBefore w:val="0"/>
        <w:widowControl w:val="0"/>
        <w:kinsoku/>
        <w:wordWrap/>
        <w:overflowPunct/>
        <w:topLinePunct w:val="0"/>
        <w:autoSpaceDE/>
        <w:autoSpaceDN/>
        <w:bidi w:val="0"/>
        <w:adjustRightInd w:val="0"/>
        <w:snapToGrid w:val="0"/>
        <w:spacing w:before="0" w:line="4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第四部分 附件</w:t>
      </w:r>
    </w:p>
    <w:p>
      <w:pPr>
        <w:pStyle w:val="10"/>
        <w:keepNext w:val="0"/>
        <w:keepLines w:val="0"/>
        <w:pageBreakBefore w:val="0"/>
        <w:widowControl w:val="0"/>
        <w:kinsoku/>
        <w:wordWrap/>
        <w:overflowPunct/>
        <w:topLinePunct w:val="0"/>
        <w:autoSpaceDE/>
        <w:autoSpaceDN/>
        <w:bidi w:val="0"/>
        <w:adjustRightInd w:val="0"/>
        <w:snapToGrid w:val="0"/>
        <w:spacing w:before="0" w:line="4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第五部分 附表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一、收入支出决算总表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二、收入决算表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三、支出决算表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四、财政拨款收入支出决算总表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五、财政拨款支出决算明细表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六、一般公共预算财政拨款支出决算表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七、一般公共预算财政拨款支出决算明细表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八、一般公共预算财政拨款基本支出决算表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九、一般公共预算财政拨款项目支出决算表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十、一般公共预算财政拨款“三公”经费支出决算表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十一、政府性基金预算财政拨款收入支出决算表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十二、政府性基金预算财政拨款“三公”经费支出决算表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十三、国有资本经营预算支出决算表</w:t>
      </w:r>
    </w:p>
    <w:p>
      <w:pPr>
        <w:pStyle w:val="11"/>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jc w:val="lef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十四、国有资本经营预算财政拨款支出决算表</w:t>
      </w:r>
    </w:p>
    <w:p>
      <w:pPr>
        <w:rPr>
          <w:rFonts w:hint="default" w:eastAsia="仿宋_GB2312"/>
          <w:lang w:val="en-US" w:eastAsia="zh-CN"/>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pageBreakBefore w:val="0"/>
        <w:kinsoku/>
        <w:wordWrap/>
        <w:topLinePunct w:val="0"/>
        <w:bidi w:val="0"/>
        <w:spacing w:before="0" w:after="0" w:line="576" w:lineRule="exact"/>
        <w:ind w:right="0"/>
        <w:jc w:val="center"/>
        <w:rPr>
          <w:rStyle w:val="24"/>
          <w:rFonts w:ascii="黑体" w:hAnsi="黑体" w:eastAsia="黑体"/>
          <w:b/>
          <w:bCs w:val="0"/>
          <w:sz w:val="36"/>
          <w:szCs w:val="36"/>
        </w:rPr>
      </w:pPr>
      <w:r>
        <w:rPr>
          <w:rFonts w:hint="eastAsia" w:ascii="黑体" w:hAnsi="黑体" w:eastAsia="黑体"/>
          <w:b w:val="0"/>
          <w:sz w:val="36"/>
          <w:szCs w:val="36"/>
        </w:rPr>
        <w:t xml:space="preserve">第一部分 </w:t>
      </w:r>
      <w:r>
        <w:rPr>
          <w:rStyle w:val="24"/>
          <w:rFonts w:hint="eastAsia" w:ascii="黑体" w:hAnsi="黑体" w:eastAsia="黑体"/>
          <w:b w:val="0"/>
          <w:bCs w:val="0"/>
          <w:sz w:val="36"/>
          <w:szCs w:val="36"/>
          <w:lang w:eastAsia="zh-CN"/>
        </w:rPr>
        <w:t>本级</w:t>
      </w:r>
      <w:r>
        <w:rPr>
          <w:rStyle w:val="24"/>
          <w:rFonts w:hint="eastAsia" w:ascii="黑体" w:hAnsi="黑体" w:eastAsia="黑体"/>
          <w:b w:val="0"/>
          <w:bCs w:val="0"/>
          <w:sz w:val="36"/>
          <w:szCs w:val="36"/>
        </w:rPr>
        <w:t>概况</w:t>
      </w:r>
      <w:bookmarkEnd w:id="12"/>
      <w:bookmarkEnd w:id="13"/>
    </w:p>
    <w:p>
      <w:pPr>
        <w:pStyle w:val="4"/>
        <w:pageBreakBefore w:val="0"/>
        <w:kinsoku/>
        <w:wordWrap/>
        <w:topLinePunct w:val="0"/>
        <w:bidi w:val="0"/>
        <w:spacing w:before="0" w:after="0" w:line="576" w:lineRule="exact"/>
        <w:ind w:left="0" w:leftChars="0" w:right="0" w:firstLine="640" w:firstLineChars="200"/>
        <w:rPr>
          <w:rFonts w:hint="eastAsia" w:ascii="黑体" w:hAnsi="黑体" w:eastAsia="黑体"/>
          <w:b w:val="0"/>
          <w:color w:val="000000"/>
        </w:rPr>
      </w:pPr>
      <w:bookmarkStart w:id="14" w:name="_Toc15377197"/>
      <w:bookmarkStart w:id="15" w:name="_Toc15396600"/>
    </w:p>
    <w:p>
      <w:pPr>
        <w:pStyle w:val="4"/>
        <w:pageBreakBefore w:val="0"/>
        <w:kinsoku/>
        <w:wordWrap/>
        <w:topLinePunct w:val="0"/>
        <w:bidi w:val="0"/>
        <w:spacing w:before="0" w:after="0" w:line="576" w:lineRule="exact"/>
        <w:ind w:left="0" w:leftChars="0" w:right="0" w:firstLine="640" w:firstLineChars="200"/>
        <w:rPr>
          <w:rStyle w:val="25"/>
          <w:rFonts w:ascii="仿宋" w:hAnsi="仿宋" w:eastAsia="仿宋"/>
          <w:b w:val="0"/>
          <w:bCs w:val="0"/>
        </w:rPr>
      </w:pPr>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ageBreakBefore w:val="0"/>
        <w:kinsoku/>
        <w:wordWrap/>
        <w:overflowPunct w:val="0"/>
        <w:topLinePunct w:val="0"/>
        <w:bidi w:val="0"/>
        <w:spacing w:line="576" w:lineRule="exact"/>
        <w:ind w:left="0" w:leftChars="0" w:right="0" w:firstLine="640" w:firstLineChars="200"/>
        <w:jc w:val="left"/>
        <w:rPr>
          <w:rFonts w:hint="eastAsia" w:ascii="楷体" w:hAnsi="楷体" w:eastAsia="楷体" w:cs="楷体"/>
          <w:color w:val="000000"/>
          <w:sz w:val="32"/>
          <w:szCs w:val="32"/>
        </w:rPr>
      </w:pPr>
      <w:bookmarkStart w:id="16" w:name="_Toc15377198"/>
      <w:bookmarkStart w:id="17" w:name="_Toc15378445"/>
      <w:r>
        <w:rPr>
          <w:rFonts w:hint="eastAsia" w:ascii="楷体" w:hAnsi="楷体" w:eastAsia="楷体" w:cs="楷体"/>
          <w:color w:val="000000"/>
          <w:sz w:val="32"/>
          <w:szCs w:val="32"/>
        </w:rPr>
        <w:t>（一）主要职能。</w:t>
      </w:r>
      <w:bookmarkEnd w:id="16"/>
      <w:bookmarkEnd w:id="17"/>
      <w:bookmarkStart w:id="18" w:name="_Toc15377199"/>
      <w:bookmarkStart w:id="19" w:name="_Toc15378446"/>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 w:eastAsia="仿宋_GB2312"/>
          <w:color w:val="000000"/>
          <w:sz w:val="32"/>
          <w:szCs w:val="32"/>
        </w:rPr>
        <w:t>负责全市林业及其生态保护修复的监督管理。组织全市生态保护修复和造林绿化工作。负责全市森林资源的监督管理。负责全市湿地资源的监督管理。负责全市陆生野生动植物资源的监督管理。负责监督管理全市各类自然保护地。负责推进全市林业改革相关工作。拟订集体林权制度、国有林区、国有林场（苗圃）等重大改革意见并监督实施。拟订农村林业发展、维护林业经营者合法权益的政策措施。指导农村林地承包经营工作。开展退耕还林，负责天然林保护工作。拟订全市林业资源优化配置及木材利用政策，拟订相关林业产业地方标准并监督实施，组织、指导林产品质量监督。指导全市国有林场（苗圃）基本建设、发展，组织林木种质资源普查，组织建立种质资源库，负责良种选育推广，管理林木种苗生产经营行为，监管林木种苗质量。负责森林防灭火相关工作。监督管理全市林业市级及以上资金和国有资产，提出林业预算内投资、市级及以上财政性资金安排建议，按市政府规定权限，核报、监督管理规划内和年度计划内投资项目。参与拟订全市林业经济调节政策，组织实施林业生态补偿工作。承担职责范围内安全生产和职业健康、生态环境保护、审批服务便民化等工作。</w:t>
      </w:r>
    </w:p>
    <w:p>
      <w:pPr>
        <w:pageBreakBefore w:val="0"/>
        <w:kinsoku/>
        <w:wordWrap/>
        <w:topLinePunct w:val="0"/>
        <w:bidi w:val="0"/>
        <w:spacing w:line="576" w:lineRule="exact"/>
        <w:ind w:left="0" w:leftChars="0" w:right="0" w:firstLine="640" w:firstLineChars="200"/>
        <w:rPr>
          <w:rFonts w:hint="eastAsia" w:ascii="楷体" w:hAnsi="楷体" w:eastAsia="楷体" w:cs="楷体"/>
          <w:bCs/>
          <w:color w:val="FF0000"/>
          <w:sz w:val="32"/>
          <w:szCs w:val="32"/>
        </w:rPr>
      </w:pPr>
      <w:r>
        <w:rPr>
          <w:rFonts w:hint="eastAsia" w:ascii="楷体" w:hAnsi="楷体" w:eastAsia="楷体" w:cs="楷体"/>
          <w:bCs/>
          <w:color w:val="auto"/>
          <w:sz w:val="32"/>
          <w:szCs w:val="32"/>
        </w:rPr>
        <w:t>（二）20</w:t>
      </w:r>
      <w:r>
        <w:rPr>
          <w:rFonts w:hint="eastAsia" w:ascii="楷体" w:hAnsi="楷体" w:eastAsia="楷体" w:cs="楷体"/>
          <w:bCs/>
          <w:color w:val="auto"/>
          <w:sz w:val="32"/>
          <w:szCs w:val="32"/>
          <w:lang w:val="en-US" w:eastAsia="zh-CN"/>
        </w:rPr>
        <w:t>20</w:t>
      </w:r>
      <w:r>
        <w:rPr>
          <w:rFonts w:hint="eastAsia" w:ascii="楷体" w:hAnsi="楷体" w:eastAsia="楷体" w:cs="楷体"/>
          <w:bCs/>
          <w:color w:val="auto"/>
          <w:sz w:val="32"/>
          <w:szCs w:val="32"/>
        </w:rPr>
        <w:t>年重点工作完成情况。</w:t>
      </w:r>
      <w:bookmarkEnd w:id="18"/>
      <w:bookmarkEnd w:id="19"/>
    </w:p>
    <w:p>
      <w:pPr>
        <w:pageBreakBefore w:val="0"/>
        <w:kinsoku/>
        <w:wordWrap/>
        <w:topLinePunct w:val="0"/>
        <w:bidi w:val="0"/>
        <w:spacing w:line="576" w:lineRule="exact"/>
        <w:ind w:left="0" w:leftChars="0" w:right="0" w:firstLine="640" w:firstLineChars="200"/>
        <w:jc w:val="left"/>
        <w:rPr>
          <w:rFonts w:hint="eastAsia"/>
          <w:lang w:val="en-US" w:eastAsia="zh-CN"/>
        </w:rPr>
      </w:pPr>
      <w:bookmarkStart w:id="20" w:name="_Toc15377200"/>
      <w:bookmarkStart w:id="21" w:name="_Toc15396601"/>
      <w:r>
        <w:rPr>
          <w:rFonts w:hint="eastAsia" w:ascii="仿宋_GB2312" w:hAnsi="仿宋_GB2312" w:eastAsia="仿宋_GB2312" w:cs="仿宋_GB2312"/>
          <w:sz w:val="32"/>
          <w:szCs w:val="32"/>
          <w:lang w:val="en-US" w:eastAsia="zh-CN"/>
        </w:rPr>
        <w:t>2020年，我局紧紧围绕“三个一、三个三”兴广战略，坚持生态优先、绿色发展，深入践行绿水青山就是金山银山的发展理念，实施特色生态产业、大众生态创业、稳定生态就业“三业”工程，以生态保护修复为基础，以产业提质增效为重点，以现代林业园区建设为抓手，以项目投资为支撑，以深化改革创新为动力，持续推进林业八项重点工作，推动全市林业高质量发展，圆满完成市委、市政府下达的各项目标任务。市政府在省委省政府召开的全省竹林风景线暨林业园区建设现场会上交流发言；我局在全国林下经济培训会上作典型经验交流发言，昭化义春中药材种植合作社林下茯苓“种一休三”模式被国家林草局入选为林业资源综合利用典型案例在全国发布，供各地学习借鉴和推广；成功创建“朝天核桃”中国特色农产品优势区、“广元油橄榄”四川省特色农产品优势区；大力实施林草“生态三业”走出绿色惠民与生态经济共赢发展之路的做法，得到省林草局认可并印发全省林业系统学习借鉴；在2019年全省林业19项工作中，我市12项工作被省局通报表扬，其中生态扶贫、林草产业、稽查及绩效评价和林木种苗4项工作排名全省第一。在2020年全省林业8项工作中，我市5项工作被省局通报表扬，其中自然保护地和数字林草2项工作排名全省第一。2020年禁食野生动物退补工作被省林草局通报表扬，大熊猫保护工作被省林草局、省人社厅表彰为先进单位；经济建设三大主战场被市委、市政府表彰为突出贡献单位，行业脱贫攻坚被市委、市政府表彰为先进集体，市委管理领导班子被市委表彰为“优秀”领导班子,政务服务窗口被市政务服务和公共资源交易中心表扬为优质服务窗口,机关党建工作被市直机关工委表扬为先进单位。</w:t>
      </w:r>
    </w:p>
    <w:p>
      <w:pPr>
        <w:pStyle w:val="4"/>
        <w:pageBreakBefore w:val="0"/>
        <w:kinsoku/>
        <w:wordWrap/>
        <w:topLinePunct w:val="0"/>
        <w:bidi w:val="0"/>
        <w:spacing w:before="0" w:after="0" w:line="576" w:lineRule="exact"/>
        <w:ind w:left="0" w:leftChars="0" w:right="0" w:firstLine="640" w:firstLineChars="200"/>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2"/>
        <w:pageBreakBefore w:val="0"/>
        <w:numPr>
          <w:ilvl w:val="0"/>
          <w:numId w:val="1"/>
        </w:numPr>
        <w:kinsoku/>
        <w:wordWrap/>
        <w:topLinePunct w:val="0"/>
        <w:bidi w:val="0"/>
        <w:adjustRightInd w:val="0"/>
        <w:snapToGrid w:val="0"/>
        <w:spacing w:beforeLines="0" w:line="576" w:lineRule="exact"/>
        <w:ind w:left="0" w:leftChars="0" w:right="0" w:firstLine="640" w:firstLineChars="200"/>
        <w:outlineLvl w:val="2"/>
        <w:rPr>
          <w:rFonts w:hAnsi="仿宋_GB2312" w:cs="仿宋_GB2312"/>
          <w:kern w:val="2"/>
          <w:sz w:val="32"/>
          <w:szCs w:val="32"/>
        </w:rPr>
      </w:pPr>
      <w:r>
        <w:rPr>
          <w:rFonts w:hint="eastAsia" w:ascii="仿宋_GB2312" w:hAnsi="仿宋_GB2312" w:eastAsia="仿宋_GB2312" w:cs="仿宋_GB2312"/>
          <w:sz w:val="32"/>
          <w:szCs w:val="32"/>
          <w:highlight w:val="none"/>
        </w:rPr>
        <w:t>广元市林业局</w:t>
      </w:r>
      <w:r>
        <w:rPr>
          <w:rFonts w:hint="eastAsia" w:ascii="仿宋_GB2312" w:hAnsi="仿宋_GB2312" w:eastAsia="仿宋_GB2312" w:cs="仿宋_GB2312"/>
          <w:sz w:val="32"/>
          <w:szCs w:val="32"/>
          <w:highlight w:val="none"/>
          <w:lang w:eastAsia="zh-CN"/>
        </w:rPr>
        <w:t>本级为一级预算单位，无</w:t>
      </w:r>
      <w:r>
        <w:rPr>
          <w:rFonts w:hint="eastAsia" w:ascii="仿宋_GB2312" w:hAnsi="仿宋_GB2312" w:eastAsia="仿宋_GB2312" w:cs="仿宋_GB2312"/>
          <w:sz w:val="32"/>
          <w:szCs w:val="32"/>
          <w:highlight w:val="none"/>
        </w:rPr>
        <w:t>下属二级单位</w:t>
      </w:r>
      <w:r>
        <w:rPr>
          <w:rFonts w:hint="eastAsia" w:ascii="仿宋_GB2312" w:hAnsi="仿宋_GB2312" w:eastAsia="仿宋_GB2312" w:cs="仿宋_GB2312"/>
          <w:sz w:val="32"/>
          <w:szCs w:val="32"/>
          <w:highlight w:val="none"/>
          <w:lang w:eastAsia="zh-CN"/>
        </w:rPr>
        <w:t>。</w:t>
      </w:r>
      <w:r>
        <w:rPr>
          <w:rFonts w:hAnsi="仿宋_GB2312" w:cs="仿宋_GB2312"/>
          <w:kern w:val="2"/>
          <w:sz w:val="32"/>
          <w:szCs w:val="32"/>
        </w:rPr>
        <w:br w:type="page"/>
      </w:r>
    </w:p>
    <w:p>
      <w:pPr>
        <w:pStyle w:val="3"/>
        <w:pageBreakBefore w:val="0"/>
        <w:kinsoku/>
        <w:wordWrap/>
        <w:topLinePunct w:val="0"/>
        <w:bidi w:val="0"/>
        <w:spacing w:before="0" w:after="0" w:line="576" w:lineRule="exact"/>
        <w:ind w:right="0"/>
        <w:jc w:val="center"/>
        <w:rPr>
          <w:rStyle w:val="24"/>
          <w:rFonts w:ascii="黑体" w:hAnsi="黑体" w:eastAsia="黑体"/>
          <w:b w:val="0"/>
          <w:bCs w:val="0"/>
          <w:sz w:val="36"/>
          <w:szCs w:val="36"/>
        </w:rPr>
      </w:pPr>
      <w:bookmarkStart w:id="22" w:name="_Toc15396602"/>
      <w:bookmarkStart w:id="23" w:name="_Toc15377204"/>
      <w:r>
        <w:rPr>
          <w:rFonts w:hint="eastAsia" w:ascii="黑体" w:hAnsi="黑体" w:eastAsia="黑体"/>
          <w:b w:val="0"/>
          <w:color w:val="000000"/>
          <w:sz w:val="36"/>
          <w:szCs w:val="36"/>
        </w:rPr>
        <w:t>第二部分</w:t>
      </w:r>
      <w:r>
        <w:rPr>
          <w:rFonts w:hint="eastAsia" w:ascii="黑体" w:hAnsi="黑体" w:eastAsia="黑体"/>
          <w:color w:val="000000"/>
          <w:sz w:val="36"/>
          <w:szCs w:val="36"/>
        </w:rPr>
        <w:t xml:space="preserve"> </w:t>
      </w:r>
      <w:r>
        <w:rPr>
          <w:rStyle w:val="24"/>
          <w:rFonts w:hint="eastAsia" w:ascii="黑体" w:hAnsi="黑体" w:eastAsia="黑体"/>
          <w:b w:val="0"/>
          <w:bCs w:val="0"/>
          <w:sz w:val="36"/>
          <w:szCs w:val="36"/>
        </w:rPr>
        <w:t>20</w:t>
      </w:r>
      <w:r>
        <w:rPr>
          <w:rStyle w:val="24"/>
          <w:rFonts w:hint="eastAsia" w:ascii="黑体" w:hAnsi="黑体" w:eastAsia="黑体"/>
          <w:b w:val="0"/>
          <w:bCs w:val="0"/>
          <w:sz w:val="36"/>
          <w:szCs w:val="36"/>
          <w:lang w:val="en-US" w:eastAsia="zh-CN"/>
        </w:rPr>
        <w:t>20</w:t>
      </w:r>
      <w:r>
        <w:rPr>
          <w:rStyle w:val="24"/>
          <w:rFonts w:hint="eastAsia" w:ascii="黑体" w:hAnsi="黑体" w:eastAsia="黑体"/>
          <w:b w:val="0"/>
          <w:bCs w:val="0"/>
          <w:sz w:val="36"/>
          <w:szCs w:val="36"/>
        </w:rPr>
        <w:t>年度</w:t>
      </w:r>
      <w:r>
        <w:rPr>
          <w:rStyle w:val="24"/>
          <w:rFonts w:hint="eastAsia" w:ascii="黑体" w:hAnsi="黑体" w:eastAsia="黑体"/>
          <w:b w:val="0"/>
          <w:bCs w:val="0"/>
          <w:sz w:val="36"/>
          <w:szCs w:val="36"/>
          <w:lang w:eastAsia="zh-CN"/>
        </w:rPr>
        <w:t>本级</w:t>
      </w:r>
      <w:r>
        <w:rPr>
          <w:rStyle w:val="24"/>
          <w:rFonts w:hint="eastAsia" w:ascii="黑体" w:hAnsi="黑体" w:eastAsia="黑体"/>
          <w:b w:val="0"/>
          <w:bCs w:val="0"/>
          <w:sz w:val="36"/>
          <w:szCs w:val="36"/>
        </w:rPr>
        <w:t>决算情况说明</w:t>
      </w:r>
      <w:bookmarkEnd w:id="22"/>
      <w:bookmarkEnd w:id="23"/>
    </w:p>
    <w:p>
      <w:pPr>
        <w:pageBreakBefore w:val="0"/>
        <w:kinsoku/>
        <w:wordWrap/>
        <w:topLinePunct w:val="0"/>
        <w:bidi w:val="0"/>
        <w:spacing w:line="576" w:lineRule="exact"/>
        <w:ind w:left="0" w:leftChars="0" w:right="0" w:firstLine="420" w:firstLineChars="200"/>
      </w:pPr>
    </w:p>
    <w:p>
      <w:pPr>
        <w:pStyle w:val="23"/>
        <w:pageBreakBefore w:val="0"/>
        <w:numPr>
          <w:ilvl w:val="0"/>
          <w:numId w:val="0"/>
        </w:numPr>
        <w:kinsoku/>
        <w:wordWrap/>
        <w:topLinePunct w:val="0"/>
        <w:bidi w:val="0"/>
        <w:spacing w:line="576" w:lineRule="exact"/>
        <w:ind w:leftChars="200" w:right="0" w:right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pageBreakBefore w:val="0"/>
        <w:kinsoku/>
        <w:wordWrap/>
        <w:topLinePunct w:val="0"/>
        <w:bidi w:val="0"/>
        <w:spacing w:line="576" w:lineRule="exact"/>
        <w:ind w:left="0" w:leftChars="0" w:right="0" w:firstLine="640" w:firstLineChars="200"/>
        <w:rPr>
          <w:rFonts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8381.92</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年相比，收、支总计各</w:t>
      </w:r>
      <w:r>
        <w:rPr>
          <w:rFonts w:hint="eastAsia" w:ascii="仿宋_GB2312" w:hAnsi="仿宋_GB2312" w:eastAsia="仿宋_GB2312" w:cs="仿宋_GB2312"/>
          <w:sz w:val="32"/>
          <w:szCs w:val="32"/>
          <w:lang w:val="en-US" w:eastAsia="zh-CN"/>
        </w:rPr>
        <w:t>增加1785.56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增加27.06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w:t>
      </w:r>
      <w:r>
        <w:rPr>
          <w:rFonts w:hint="eastAsia" w:ascii="仿宋_GB2312" w:hAnsi="仿宋_GB2312" w:eastAsia="仿宋_GB2312" w:cs="仿宋_GB2312"/>
          <w:sz w:val="32"/>
          <w:szCs w:val="32"/>
          <w:lang w:eastAsia="zh-CN"/>
        </w:rPr>
        <w:t>是增加了</w:t>
      </w:r>
      <w:r>
        <w:rPr>
          <w:rFonts w:hint="eastAsia" w:ascii="仿宋_GB2312" w:hAnsi="仿宋_GB2312" w:eastAsia="仿宋_GB2312" w:cs="仿宋_GB2312"/>
          <w:b w:val="0"/>
          <w:bCs w:val="0"/>
          <w:color w:val="auto"/>
          <w:sz w:val="32"/>
          <w:szCs w:val="32"/>
          <w:highlight w:val="none"/>
          <w:lang w:eastAsia="zh-CN"/>
        </w:rPr>
        <w:t>项目资金的收入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pageBreakBefore w:val="0"/>
        <w:kinsoku/>
        <w:wordWrap/>
        <w:topLinePunct w:val="0"/>
        <w:bidi w:val="0"/>
        <w:spacing w:line="576" w:lineRule="exact"/>
        <w:ind w:left="0" w:leftChars="0" w:right="0" w:firstLine="643" w:firstLineChars="200"/>
        <w:outlineLvl w:val="1"/>
        <w:rPr>
          <w:rStyle w:val="25"/>
          <w:rFonts w:hint="eastAsia" w:ascii="黑体" w:hAnsi="黑体" w:eastAsia="黑体" w:cs="黑体"/>
          <w:b w:val="0"/>
        </w:rPr>
      </w:pPr>
      <w:bookmarkStart w:id="26" w:name="_Toc15377206"/>
      <w:bookmarkStart w:id="27" w:name="_Toc15396604"/>
      <w:r>
        <w:rPr>
          <w:rFonts w:hint="eastAsia" w:ascii="黑体" w:hAnsi="黑体" w:eastAsia="黑体" w:cs="黑体"/>
          <w:b/>
          <w:bCs/>
          <w:color w:val="auto"/>
          <w:sz w:val="32"/>
          <w:szCs w:val="32"/>
          <w:lang w:val="en-US" w:eastAsia="zh-CN"/>
        </w:rPr>
        <w:t>二、</w:t>
      </w:r>
      <w:r>
        <w:rPr>
          <w:rFonts w:hint="eastAsia" w:ascii="黑体" w:hAnsi="黑体" w:eastAsia="黑体" w:cs="黑体"/>
          <w:color w:val="000000"/>
          <w:sz w:val="32"/>
          <w:szCs w:val="32"/>
        </w:rPr>
        <w:t>收</w:t>
      </w:r>
      <w:r>
        <w:rPr>
          <w:rStyle w:val="25"/>
          <w:rFonts w:hint="eastAsia" w:ascii="黑体" w:hAnsi="黑体" w:eastAsia="黑体" w:cs="黑体"/>
          <w:b w:val="0"/>
        </w:rPr>
        <w:t>入决算情况说明</w:t>
      </w:r>
      <w:bookmarkEnd w:id="26"/>
      <w:bookmarkEnd w:id="27"/>
    </w:p>
    <w:p>
      <w:pPr>
        <w:pageBreakBefore w:val="0"/>
        <w:shd w:val="clear" w:fill="FFFFFF" w:themeFill="background1"/>
        <w:kinsoku/>
        <w:wordWrap/>
        <w:topLinePunct w:val="0"/>
        <w:bidi w:val="0"/>
        <w:spacing w:line="576" w:lineRule="exact"/>
        <w:ind w:left="0" w:leftChars="0" w:right="0"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6032.57</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6031.23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99.97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Style w:val="23"/>
        <w:pageBreakBefore w:val="0"/>
        <w:numPr>
          <w:ilvl w:val="0"/>
          <w:numId w:val="0"/>
        </w:numPr>
        <w:kinsoku/>
        <w:wordWrap/>
        <w:topLinePunct w:val="0"/>
        <w:bidi w:val="0"/>
        <w:spacing w:line="576" w:lineRule="exact"/>
        <w:ind w:left="0" w:leftChars="0" w:right="0" w:firstLine="640" w:firstLineChars="200"/>
        <w:outlineLvl w:val="1"/>
        <w:rPr>
          <w:rStyle w:val="25"/>
          <w:rFonts w:ascii="黑体" w:hAnsi="黑体" w:eastAsia="黑体"/>
          <w:b w:val="0"/>
          <w:color w:val="FF0000"/>
        </w:rPr>
      </w:pPr>
      <w:bookmarkStart w:id="28" w:name="_Toc15396605"/>
      <w:bookmarkStart w:id="29" w:name="_Toc15377207"/>
      <w:r>
        <w:rPr>
          <w:rFonts w:hint="eastAsia" w:ascii="黑体" w:hAnsi="黑体" w:eastAsia="黑体"/>
          <w:color w:val="auto"/>
          <w:sz w:val="32"/>
          <w:szCs w:val="32"/>
          <w:lang w:eastAsia="zh-CN"/>
        </w:rPr>
        <w:t>三、</w:t>
      </w:r>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28"/>
      <w:bookmarkEnd w:id="29"/>
    </w:p>
    <w:p>
      <w:pPr>
        <w:pageBreakBefore w:val="0"/>
        <w:kinsoku/>
        <w:wordWrap/>
        <w:topLinePunct w:val="0"/>
        <w:bidi w:val="0"/>
        <w:spacing w:line="576" w:lineRule="exact"/>
        <w:ind w:left="0" w:leftChars="0" w:right="0"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3345.28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1434.58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42.88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1910.69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ageBreakBefore w:val="0"/>
        <w:kinsoku/>
        <w:wordWrap/>
        <w:topLinePunct w:val="0"/>
        <w:bidi w:val="0"/>
        <w:spacing w:line="576" w:lineRule="exact"/>
        <w:ind w:left="0" w:leftChars="0" w:right="0"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z w:val="32"/>
          <w:szCs w:val="32"/>
          <w:lang w:val="en-US" w:eastAsia="zh-CN"/>
        </w:rPr>
        <w:t>2020年财政拨款收、支总计8004.45万元。与2019年相比，财政拨款收、支总计增加2023.56万元，增加33.83%。</w:t>
      </w:r>
      <w:r>
        <w:rPr>
          <w:rFonts w:hint="eastAsia" w:ascii="仿宋_GB2312" w:hAnsi="仿宋_GB2312" w:eastAsia="仿宋_GB2312" w:cs="仿宋_GB2312"/>
          <w:color w:val="auto"/>
          <w:sz w:val="32"/>
          <w:szCs w:val="32"/>
          <w:lang w:val="en-US" w:eastAsia="zh-CN"/>
        </w:rPr>
        <w:t>主要变动原因</w:t>
      </w:r>
      <w:r>
        <w:rPr>
          <w:rFonts w:hint="eastAsia" w:ascii="仿宋_GB2312" w:hAnsi="仿宋_GB2312" w:eastAsia="仿宋_GB2312" w:cs="仿宋_GB2312"/>
          <w:color w:val="auto"/>
          <w:sz w:val="32"/>
          <w:szCs w:val="32"/>
          <w:lang w:eastAsia="zh-CN"/>
        </w:rPr>
        <w:t>是增加了</w:t>
      </w:r>
      <w:r>
        <w:rPr>
          <w:rFonts w:hint="eastAsia" w:ascii="仿宋_GB2312" w:hAnsi="仿宋_GB2312" w:eastAsia="仿宋_GB2312" w:cs="仿宋_GB2312"/>
          <w:b w:val="0"/>
          <w:bCs w:val="0"/>
          <w:color w:val="auto"/>
          <w:sz w:val="32"/>
          <w:szCs w:val="32"/>
          <w:highlight w:val="none"/>
          <w:lang w:eastAsia="zh-CN"/>
        </w:rPr>
        <w:t>项目资金的收入</w:t>
      </w:r>
      <w:r>
        <w:rPr>
          <w:rFonts w:hint="eastAsia" w:ascii="仿宋_GB2312" w:hAnsi="仿宋_GB2312" w:eastAsia="仿宋_GB2312" w:cs="仿宋_GB2312"/>
          <w:b w:val="0"/>
          <w:bCs w:val="0"/>
          <w:color w:val="auto"/>
          <w:sz w:val="32"/>
          <w:szCs w:val="32"/>
          <w:highlight w:val="none"/>
        </w:rPr>
        <w:t>。</w:t>
      </w:r>
      <w:bookmarkStart w:id="32" w:name="_Toc15377209"/>
      <w:bookmarkStart w:id="33" w:name="_Toc15396607"/>
    </w:p>
    <w:p>
      <w:pPr>
        <w:pageBreakBefore w:val="0"/>
        <w:kinsoku/>
        <w:wordWrap/>
        <w:topLinePunct w:val="0"/>
        <w:bidi w:val="0"/>
        <w:spacing w:line="576" w:lineRule="exact"/>
        <w:ind w:left="0" w:leftChars="0" w:right="0" w:firstLine="640" w:firstLineChars="200"/>
        <w:rPr>
          <w:rStyle w:val="25"/>
          <w:rFonts w:hint="eastAsia" w:ascii="黑体" w:hAnsi="黑体" w:eastAsia="黑体" w:cs="黑体"/>
          <w:b w:val="0"/>
        </w:rPr>
      </w:pPr>
      <w:r>
        <w:rPr>
          <w:rFonts w:hint="eastAsia" w:ascii="黑体" w:hAnsi="黑体" w:eastAsia="黑体" w:cs="黑体"/>
          <w:sz w:val="32"/>
          <w:szCs w:val="32"/>
          <w:lang w:val="en-US" w:eastAsia="zh-CN"/>
        </w:rPr>
        <w:t>五、一般公共预算财政拨款支出决算</w:t>
      </w:r>
      <w:r>
        <w:rPr>
          <w:rStyle w:val="25"/>
          <w:rFonts w:hint="eastAsia" w:ascii="黑体" w:hAnsi="黑体" w:eastAsia="黑体" w:cs="黑体"/>
          <w:b w:val="0"/>
        </w:rPr>
        <w:t>情况说明</w:t>
      </w:r>
      <w:bookmarkEnd w:id="32"/>
      <w:bookmarkEnd w:id="33"/>
    </w:p>
    <w:p>
      <w:pPr>
        <w:pageBreakBefore w:val="0"/>
        <w:kinsoku/>
        <w:wordWrap/>
        <w:topLinePunct w:val="0"/>
        <w:bidi w:val="0"/>
        <w:spacing w:line="576" w:lineRule="exact"/>
        <w:ind w:left="0" w:leftChars="0" w:right="0" w:firstLine="640" w:firstLineChars="200"/>
        <w:outlineLvl w:val="2"/>
        <w:rPr>
          <w:rFonts w:ascii="仿宋_GB2312" w:hAnsi="仿宋_GB2312" w:eastAsia="仿宋_GB2312" w:cs="仿宋_GB2312"/>
          <w:sz w:val="32"/>
          <w:szCs w:val="32"/>
        </w:rPr>
      </w:pPr>
      <w:bookmarkStart w:id="34" w:name="_Toc15377210"/>
      <w:r>
        <w:rPr>
          <w:rFonts w:hint="eastAsia" w:ascii="仿宋_GB2312" w:hAnsi="仿宋_GB2312" w:eastAsia="仿宋_GB2312" w:cs="仿宋_GB2312"/>
          <w:sz w:val="32"/>
          <w:szCs w:val="32"/>
        </w:rPr>
        <w:t>（一）一般公共预算财政拨款支出决算总体情况</w:t>
      </w:r>
      <w:bookmarkEnd w:id="34"/>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年一般公共预算财政拨款支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lang w:val="en-US" w:eastAsia="zh-CN"/>
        </w:rPr>
        <w:t>3335.00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99.69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年相比，一般公共预算财政拨款</w:t>
      </w:r>
      <w:r>
        <w:rPr>
          <w:rFonts w:hint="eastAsia" w:ascii="仿宋_GB2312" w:hAnsi="仿宋_GB2312" w:eastAsia="仿宋_GB2312" w:cs="仿宋_GB2312"/>
          <w:sz w:val="32"/>
          <w:szCs w:val="32"/>
          <w:lang w:val="en-US" w:eastAsia="zh-CN"/>
        </w:rPr>
        <w:t>减少178.44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bookmarkStart w:id="35" w:name="_Toc15377211"/>
      <w:r>
        <w:rPr>
          <w:rFonts w:hint="eastAsia" w:ascii="仿宋_GB2312" w:hAnsi="仿宋_GB2312" w:eastAsia="仿宋_GB2312" w:cs="仿宋_GB2312"/>
          <w:color w:val="auto"/>
          <w:sz w:val="32"/>
          <w:szCs w:val="32"/>
          <w:lang w:eastAsia="zh-CN"/>
        </w:rPr>
        <w:t>主要变动原因是</w:t>
      </w:r>
      <w:r>
        <w:rPr>
          <w:rFonts w:hint="eastAsia" w:ascii="仿宋_GB2312" w:hAnsi="仿宋_GB2312" w:eastAsia="仿宋_GB2312" w:cs="仿宋_GB2312"/>
          <w:sz w:val="32"/>
          <w:szCs w:val="32"/>
          <w:lang w:eastAsia="zh-CN"/>
        </w:rPr>
        <w:t>项目进行前期工作，资金未支付。</w:t>
      </w:r>
    </w:p>
    <w:p>
      <w:pPr>
        <w:pageBreakBefore w:val="0"/>
        <w:kinsoku/>
        <w:wordWrap/>
        <w:topLinePunct w:val="0"/>
        <w:bidi w:val="0"/>
        <w:spacing w:line="576" w:lineRule="exact"/>
        <w:ind w:left="0" w:leftChars="0" w:right="0" w:firstLine="643" w:firstLineChars="200"/>
        <w:rPr>
          <w:rFonts w:ascii="仿宋_GB2312" w:hAnsi="仿宋_GB2312" w:eastAsia="仿宋_GB2312" w:cs="仿宋_GB2312"/>
          <w:sz w:val="32"/>
          <w:szCs w:val="32"/>
        </w:rPr>
      </w:pPr>
      <w:r>
        <w:rPr>
          <w:rFonts w:hint="eastAsia" w:ascii="仿宋" w:hAnsi="仿宋" w:eastAsia="仿宋"/>
          <w:b/>
          <w:color w:val="000000"/>
          <w:sz w:val="32"/>
          <w:szCs w:val="32"/>
        </w:rPr>
        <w:t>（</w:t>
      </w:r>
      <w:r>
        <w:rPr>
          <w:rFonts w:hint="eastAsia" w:ascii="仿宋_GB2312" w:hAnsi="仿宋_GB2312" w:eastAsia="仿宋_GB2312" w:cs="仿宋_GB2312"/>
          <w:sz w:val="32"/>
          <w:szCs w:val="32"/>
        </w:rPr>
        <w:t>二）一般公共预算财政拨款支出决算结构情况</w:t>
      </w:r>
      <w:bookmarkEnd w:id="35"/>
    </w:p>
    <w:p>
      <w:pPr>
        <w:pageBreakBefore w:val="0"/>
        <w:kinsoku/>
        <w:wordWrap/>
        <w:topLinePunct w:val="0"/>
        <w:bidi w:val="0"/>
        <w:spacing w:line="576" w:lineRule="exact"/>
        <w:ind w:left="0" w:leftChars="0" w:righ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6241.49</w:t>
      </w:r>
      <w:r>
        <w:rPr>
          <w:rFonts w:hint="eastAsia" w:ascii="仿宋_GB2312" w:hAnsi="仿宋_GB2312" w:eastAsia="仿宋_GB2312" w:cs="仿宋_GB2312"/>
          <w:sz w:val="32"/>
          <w:szCs w:val="32"/>
        </w:rPr>
        <w:t>万元，主要用于以下方面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143.83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53.66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112.03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3.36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；农林水支出</w:t>
      </w:r>
      <w:r>
        <w:rPr>
          <w:rFonts w:hint="eastAsia" w:ascii="仿宋_GB2312" w:hAnsi="仿宋_GB2312" w:eastAsia="仿宋_GB2312" w:cs="仿宋_GB2312"/>
          <w:sz w:val="32"/>
          <w:szCs w:val="32"/>
          <w:lang w:val="en-US" w:eastAsia="zh-CN"/>
        </w:rPr>
        <w:t>3025.49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90.72</w:t>
      </w:r>
      <w:r>
        <w:rPr>
          <w:rFonts w:hint="eastAsia" w:ascii="仿宋_GB2312" w:hAnsi="仿宋_GB2312" w:eastAsia="仿宋_GB2312" w:cs="仿宋_GB2312"/>
          <w:sz w:val="32"/>
          <w:szCs w:val="32"/>
        </w:rPr>
        <w:t>%，</w:t>
      </w:r>
    </w:p>
    <w:p>
      <w:pPr>
        <w:pageBreakBefore w:val="0"/>
        <w:kinsoku/>
        <w:wordWrap/>
        <w:topLinePunct w:val="0"/>
        <w:bidi w:val="0"/>
        <w:spacing w:line="576" w:lineRule="exact"/>
        <w:ind w:left="0" w:leftChars="0" w:right="0" w:firstLine="640" w:firstLineChars="200"/>
        <w:outlineLvl w:val="2"/>
        <w:rPr>
          <w:rFonts w:ascii="仿宋_GB2312" w:hAnsi="仿宋_GB2312" w:eastAsia="仿宋_GB2312" w:cs="仿宋_GB2312"/>
          <w:sz w:val="32"/>
          <w:szCs w:val="32"/>
        </w:rPr>
      </w:pPr>
      <w:bookmarkStart w:id="36" w:name="_Toc15377212"/>
      <w:r>
        <w:rPr>
          <w:rFonts w:hint="eastAsia" w:ascii="仿宋_GB2312" w:hAnsi="仿宋_GB2312" w:eastAsia="仿宋_GB2312" w:cs="仿宋_GB2312"/>
          <w:sz w:val="32"/>
          <w:szCs w:val="32"/>
        </w:rPr>
        <w:t>（三）一般公共预算财政拨款支出决算具体情况</w:t>
      </w:r>
      <w:bookmarkEnd w:id="36"/>
    </w:p>
    <w:p>
      <w:pPr>
        <w:pageBreakBefore w:val="0"/>
        <w:kinsoku/>
        <w:wordWrap/>
        <w:topLinePunct w:val="0"/>
        <w:bidi w:val="0"/>
        <w:spacing w:line="576" w:lineRule="exact"/>
        <w:ind w:left="0" w:leftChars="0" w:right="0" w:firstLine="640" w:firstLineChars="200"/>
        <w:outlineLvl w:val="2"/>
        <w:rPr>
          <w:rFonts w:ascii="仿宋_GB2312" w:hAnsi="仿宋_GB2312" w:eastAsia="仿宋_GB2312" w:cs="仿宋_GB2312"/>
          <w:sz w:val="32"/>
          <w:szCs w:val="32"/>
        </w:rPr>
      </w:pPr>
      <w:bookmarkStart w:id="37" w:name="_Toc15378460"/>
      <w:bookmarkStart w:id="38" w:name="_Toc15377213"/>
      <w:bookmarkStart w:id="39" w:name="_Toc15377444"/>
      <w:r>
        <w:rPr>
          <w:rFonts w:hint="eastAsia" w:ascii="仿宋" w:hAnsi="仿宋" w:eastAsia="仿宋"/>
          <w:color w:val="000000"/>
          <w:sz w:val="32"/>
          <w:szCs w:val="32"/>
          <w:lang w:val="en-US" w:eastAsia="zh-CN"/>
        </w:rPr>
        <w:t>2020</w:t>
      </w:r>
      <w:r>
        <w:rPr>
          <w:rFonts w:hint="eastAsia" w:ascii="仿宋_GB2312" w:hAnsi="仿宋_GB2312" w:eastAsia="仿宋_GB2312" w:cs="仿宋_GB2312"/>
          <w:sz w:val="32"/>
          <w:szCs w:val="32"/>
        </w:rPr>
        <w:t>年一般公共预算支出决算数为</w:t>
      </w:r>
      <w:r>
        <w:rPr>
          <w:rFonts w:hint="eastAsia" w:ascii="仿宋_GB2312" w:hAnsi="仿宋_GB2312" w:eastAsia="仿宋_GB2312" w:cs="仿宋_GB2312"/>
          <w:sz w:val="32"/>
          <w:szCs w:val="32"/>
          <w:lang w:val="en-US" w:eastAsia="zh-CN"/>
        </w:rPr>
        <w:t>3335.01</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55.30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bookmarkEnd w:id="37"/>
      <w:bookmarkEnd w:id="38"/>
      <w:bookmarkEnd w:id="39"/>
    </w:p>
    <w:p>
      <w:pPr>
        <w:pageBreakBefore w:val="0"/>
        <w:kinsoku/>
        <w:wordWrap/>
        <w:topLinePunct w:val="0"/>
        <w:bidi w:val="0"/>
        <w:spacing w:line="576" w:lineRule="exact"/>
        <w:ind w:left="0" w:leftChars="0" w:right="0"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sz w:val="32"/>
          <w:szCs w:val="32"/>
        </w:rPr>
        <w:t>1.</w:t>
      </w:r>
      <w:r>
        <w:rPr>
          <w:rStyle w:val="14"/>
          <w:rFonts w:hint="eastAsia" w:ascii="仿宋" w:hAnsi="仿宋" w:eastAsia="仿宋" w:cs="仿宋"/>
          <w:b w:val="0"/>
          <w:bCs w:val="0"/>
          <w:color w:val="000000"/>
          <w:sz w:val="32"/>
          <w:szCs w:val="32"/>
        </w:rPr>
        <w:t xml:space="preserve"> 社会保障和就业（类）人力资源和社会保障管理事务（款）其他人力资源和社会保障管理事务支出（项）: 支出决算为</w:t>
      </w:r>
      <w:r>
        <w:rPr>
          <w:rStyle w:val="14"/>
          <w:rFonts w:hint="eastAsia" w:ascii="仿宋" w:hAnsi="仿宋" w:eastAsia="仿宋" w:cs="仿宋"/>
          <w:b w:val="0"/>
          <w:bCs w:val="0"/>
          <w:color w:val="000000"/>
          <w:sz w:val="32"/>
          <w:szCs w:val="32"/>
          <w:lang w:val="en-US" w:eastAsia="zh-CN"/>
        </w:rPr>
        <w:t>2.7</w:t>
      </w:r>
      <w:r>
        <w:rPr>
          <w:rStyle w:val="14"/>
          <w:rFonts w:hint="eastAsia" w:ascii="仿宋" w:hAnsi="仿宋" w:eastAsia="仿宋" w:cs="仿宋"/>
          <w:b w:val="0"/>
          <w:bCs w:val="0"/>
          <w:color w:val="000000"/>
          <w:sz w:val="32"/>
          <w:szCs w:val="32"/>
        </w:rPr>
        <w:t>万元，完成预算100%；行政事业单位养老支出（款）机关事业单位基本养老保险缴费支出（项）</w:t>
      </w:r>
      <w:r>
        <w:rPr>
          <w:rStyle w:val="14"/>
          <w:rFonts w:hint="eastAsia" w:ascii="仿宋" w:hAnsi="仿宋" w:eastAsia="仿宋" w:cs="仿宋"/>
          <w:b w:val="0"/>
          <w:bCs w:val="0"/>
          <w:color w:val="000000"/>
          <w:sz w:val="32"/>
          <w:szCs w:val="32"/>
          <w:lang w:eastAsia="zh-CN"/>
        </w:rPr>
        <w:t>：</w:t>
      </w:r>
      <w:r>
        <w:rPr>
          <w:rStyle w:val="14"/>
          <w:rFonts w:hint="eastAsia" w:ascii="仿宋" w:hAnsi="仿宋" w:eastAsia="仿宋" w:cs="仿宋"/>
          <w:b w:val="0"/>
          <w:bCs w:val="0"/>
          <w:color w:val="000000"/>
          <w:sz w:val="32"/>
          <w:szCs w:val="32"/>
          <w:lang w:val="en-US" w:eastAsia="zh-CN"/>
        </w:rPr>
        <w:t>100.25</w:t>
      </w:r>
      <w:r>
        <w:rPr>
          <w:rStyle w:val="14"/>
          <w:rFonts w:hint="eastAsia" w:ascii="仿宋" w:hAnsi="仿宋" w:eastAsia="仿宋" w:cs="仿宋"/>
          <w:b w:val="0"/>
          <w:bCs w:val="0"/>
          <w:color w:val="000000"/>
          <w:sz w:val="32"/>
          <w:szCs w:val="32"/>
        </w:rPr>
        <w:t>万元，完成预算100%</w:t>
      </w:r>
      <w:r>
        <w:rPr>
          <w:rStyle w:val="14"/>
          <w:rFonts w:hint="eastAsia" w:ascii="仿宋" w:hAnsi="仿宋" w:eastAsia="仿宋" w:cs="仿宋"/>
          <w:b w:val="0"/>
          <w:bCs w:val="0"/>
          <w:color w:val="000000"/>
          <w:sz w:val="32"/>
          <w:szCs w:val="32"/>
          <w:lang w:eastAsia="zh-CN"/>
        </w:rPr>
        <w:t>；</w:t>
      </w:r>
      <w:r>
        <w:rPr>
          <w:rStyle w:val="14"/>
          <w:rFonts w:hint="eastAsia" w:ascii="仿宋" w:hAnsi="仿宋" w:eastAsia="仿宋" w:cs="仿宋"/>
          <w:b w:val="0"/>
          <w:bCs w:val="0"/>
          <w:color w:val="000000"/>
          <w:sz w:val="32"/>
          <w:szCs w:val="32"/>
        </w:rPr>
        <w:t>抚恤（款）死亡抚恤（项）</w:t>
      </w:r>
      <w:r>
        <w:rPr>
          <w:rStyle w:val="14"/>
          <w:rFonts w:hint="eastAsia" w:ascii="仿宋" w:hAnsi="仿宋" w:eastAsia="仿宋" w:cs="仿宋"/>
          <w:b w:val="0"/>
          <w:bCs w:val="0"/>
          <w:color w:val="000000"/>
          <w:sz w:val="32"/>
          <w:szCs w:val="32"/>
          <w:lang w:eastAsia="zh-CN"/>
        </w:rPr>
        <w:t>：</w:t>
      </w:r>
      <w:r>
        <w:rPr>
          <w:rStyle w:val="14"/>
          <w:rFonts w:hint="eastAsia" w:ascii="仿宋" w:hAnsi="仿宋" w:eastAsia="仿宋" w:cs="仿宋"/>
          <w:b w:val="0"/>
          <w:bCs w:val="0"/>
          <w:color w:val="000000"/>
          <w:sz w:val="32"/>
          <w:szCs w:val="32"/>
          <w:lang w:val="en-US" w:eastAsia="zh-CN"/>
        </w:rPr>
        <w:t>40.88</w:t>
      </w:r>
      <w:r>
        <w:rPr>
          <w:rStyle w:val="14"/>
          <w:rFonts w:hint="eastAsia" w:ascii="仿宋" w:hAnsi="仿宋" w:eastAsia="仿宋" w:cs="仿宋"/>
          <w:b w:val="0"/>
          <w:bCs w:val="0"/>
          <w:color w:val="000000"/>
          <w:sz w:val="32"/>
          <w:szCs w:val="32"/>
        </w:rPr>
        <w:t>万元，完成预算100%。</w:t>
      </w:r>
    </w:p>
    <w:p>
      <w:pPr>
        <w:pageBreakBefore w:val="0"/>
        <w:kinsoku/>
        <w:wordWrap/>
        <w:topLinePunct w:val="0"/>
        <w:bidi w:val="0"/>
        <w:spacing w:line="576" w:lineRule="exact"/>
        <w:ind w:left="0" w:leftChars="0" w:right="0" w:firstLine="640" w:firstLineChars="200"/>
        <w:rPr>
          <w:rStyle w:val="14"/>
          <w:rFonts w:hint="eastAsia" w:ascii="仿宋" w:hAnsi="仿宋" w:eastAsia="仿宋" w:cs="仿宋"/>
          <w:b w:val="0"/>
          <w:bCs w:val="0"/>
          <w:color w:val="000000"/>
          <w:sz w:val="32"/>
          <w:szCs w:val="32"/>
          <w:lang w:eastAsia="zh-CN"/>
        </w:rPr>
      </w:pPr>
      <w:r>
        <w:rPr>
          <w:rStyle w:val="14"/>
          <w:rFonts w:hint="eastAsia" w:ascii="仿宋" w:hAnsi="仿宋" w:eastAsia="仿宋" w:cs="仿宋"/>
          <w:b w:val="0"/>
          <w:bCs w:val="0"/>
          <w:color w:val="000000"/>
          <w:sz w:val="32"/>
          <w:szCs w:val="32"/>
          <w:lang w:val="en-US" w:eastAsia="zh-CN"/>
        </w:rPr>
        <w:t>2.</w:t>
      </w:r>
      <w:r>
        <w:rPr>
          <w:rStyle w:val="14"/>
          <w:rFonts w:hint="eastAsia" w:ascii="仿宋" w:hAnsi="仿宋" w:eastAsia="仿宋" w:cs="仿宋"/>
          <w:b w:val="0"/>
          <w:bCs w:val="0"/>
          <w:color w:val="000000"/>
          <w:sz w:val="32"/>
          <w:szCs w:val="32"/>
        </w:rPr>
        <w:t>卫生健康支出（类）行政事业单位医疗（款）行政单位医疗（项）: 支出决算为</w:t>
      </w:r>
      <w:r>
        <w:rPr>
          <w:rStyle w:val="14"/>
          <w:rFonts w:hint="eastAsia" w:ascii="仿宋" w:hAnsi="仿宋" w:eastAsia="仿宋" w:cs="仿宋"/>
          <w:b w:val="0"/>
          <w:bCs w:val="0"/>
          <w:color w:val="000000"/>
          <w:sz w:val="32"/>
          <w:szCs w:val="32"/>
          <w:lang w:val="en-US" w:eastAsia="zh-CN"/>
        </w:rPr>
        <w:t>53.66</w:t>
      </w:r>
      <w:r>
        <w:rPr>
          <w:rStyle w:val="14"/>
          <w:rFonts w:hint="eastAsia" w:ascii="仿宋" w:hAnsi="仿宋" w:eastAsia="仿宋" w:cs="仿宋"/>
          <w:b w:val="0"/>
          <w:bCs w:val="0"/>
          <w:color w:val="000000"/>
          <w:sz w:val="32"/>
          <w:szCs w:val="32"/>
        </w:rPr>
        <w:t>万元，完成预算100%</w:t>
      </w:r>
      <w:r>
        <w:rPr>
          <w:rStyle w:val="14"/>
          <w:rFonts w:hint="eastAsia" w:ascii="仿宋" w:hAnsi="仿宋" w:eastAsia="仿宋" w:cs="仿宋"/>
          <w:b w:val="0"/>
          <w:bCs w:val="0"/>
          <w:color w:val="000000"/>
          <w:sz w:val="32"/>
          <w:szCs w:val="32"/>
          <w:lang w:eastAsia="zh-CN"/>
        </w:rPr>
        <w:t>。</w:t>
      </w:r>
    </w:p>
    <w:p>
      <w:pPr>
        <w:pageBreakBefore w:val="0"/>
        <w:kinsoku/>
        <w:wordWrap/>
        <w:topLinePunct w:val="0"/>
        <w:bidi w:val="0"/>
        <w:spacing w:line="576" w:lineRule="exact"/>
        <w:ind w:left="0" w:leftChars="0" w:right="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农林水</w:t>
      </w:r>
      <w:r>
        <w:rPr>
          <w:rFonts w:hint="eastAsia" w:ascii="仿宋" w:hAnsi="仿宋" w:eastAsia="仿宋" w:cs="仿宋"/>
          <w:b w:val="0"/>
          <w:bCs w:val="0"/>
          <w:sz w:val="32"/>
          <w:szCs w:val="32"/>
        </w:rPr>
        <w:t>（类）</w:t>
      </w:r>
      <w:r>
        <w:rPr>
          <w:rFonts w:hint="eastAsia" w:ascii="仿宋" w:hAnsi="仿宋" w:eastAsia="仿宋" w:cs="仿宋"/>
          <w:b w:val="0"/>
          <w:bCs w:val="0"/>
          <w:sz w:val="32"/>
          <w:szCs w:val="32"/>
          <w:lang w:eastAsia="zh-CN"/>
        </w:rPr>
        <w:t>林业和草原（款）行政运行（项）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1116.26</w:t>
      </w:r>
      <w:r>
        <w:rPr>
          <w:rFonts w:hint="eastAsia" w:ascii="仿宋" w:hAnsi="仿宋" w:eastAsia="仿宋" w:cs="仿宋"/>
          <w:b w:val="0"/>
          <w:bCs w:val="0"/>
          <w:sz w:val="32"/>
          <w:szCs w:val="32"/>
        </w:rPr>
        <w:t>万元，完成预算</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一般行政管理事务（项）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95.64</w:t>
      </w:r>
      <w:r>
        <w:rPr>
          <w:rFonts w:hint="eastAsia" w:ascii="仿宋" w:hAnsi="仿宋" w:eastAsia="仿宋" w:cs="仿宋"/>
          <w:b w:val="0"/>
          <w:bCs w:val="0"/>
          <w:sz w:val="32"/>
          <w:szCs w:val="32"/>
        </w:rPr>
        <w:t>万元，完成预算</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事业机构（项）</w:t>
      </w:r>
      <w:r>
        <w:rPr>
          <w:rFonts w:hint="eastAsia" w:ascii="仿宋" w:hAnsi="仿宋" w:eastAsia="仿宋" w:cs="仿宋"/>
          <w:b w:val="0"/>
          <w:bCs w:val="0"/>
          <w:sz w:val="32"/>
          <w:szCs w:val="32"/>
          <w:highlight w:val="none"/>
        </w:rPr>
        <w:t>:支出决算为</w:t>
      </w:r>
      <w:r>
        <w:rPr>
          <w:rFonts w:hint="eastAsia" w:ascii="仿宋" w:hAnsi="仿宋" w:eastAsia="仿宋" w:cs="仿宋"/>
          <w:b w:val="0"/>
          <w:bCs w:val="0"/>
          <w:sz w:val="32"/>
          <w:szCs w:val="32"/>
          <w:highlight w:val="none"/>
          <w:lang w:val="en-US" w:eastAsia="zh-CN"/>
        </w:rPr>
        <w:t>8.36</w:t>
      </w:r>
      <w:r>
        <w:rPr>
          <w:rFonts w:hint="eastAsia" w:ascii="仿宋" w:hAnsi="仿宋" w:eastAsia="仿宋" w:cs="仿宋"/>
          <w:b w:val="0"/>
          <w:bCs w:val="0"/>
          <w:sz w:val="32"/>
          <w:szCs w:val="32"/>
          <w:highlight w:val="none"/>
        </w:rPr>
        <w:t>万元，完成预算</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highlight w:val="none"/>
          <w:lang w:eastAsia="zh-CN"/>
        </w:rPr>
        <w:t>森林资源培育</w:t>
      </w:r>
      <w:r>
        <w:rPr>
          <w:rFonts w:hint="eastAsia" w:ascii="仿宋" w:hAnsi="仿宋" w:eastAsia="仿宋" w:cs="仿宋"/>
          <w:b w:val="0"/>
          <w:bCs w:val="0"/>
          <w:sz w:val="32"/>
          <w:szCs w:val="32"/>
          <w:lang w:eastAsia="zh-CN"/>
        </w:rPr>
        <w:t>（项）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1159.16</w:t>
      </w:r>
      <w:r>
        <w:rPr>
          <w:rFonts w:hint="eastAsia" w:ascii="仿宋" w:hAnsi="仿宋" w:eastAsia="仿宋" w:cs="仿宋"/>
          <w:b w:val="0"/>
          <w:bCs w:val="0"/>
          <w:sz w:val="32"/>
          <w:szCs w:val="32"/>
        </w:rPr>
        <w:t>万元，完成预算</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技术推广与转化（项）</w:t>
      </w:r>
      <w:r>
        <w:rPr>
          <w:rFonts w:hint="eastAsia" w:ascii="仿宋" w:hAnsi="仿宋" w:eastAsia="仿宋" w:cs="仿宋"/>
          <w:b w:val="0"/>
          <w:bCs w:val="0"/>
          <w:sz w:val="32"/>
          <w:szCs w:val="32"/>
          <w:highlight w:val="none"/>
        </w:rPr>
        <w:t>:支出决算为</w:t>
      </w:r>
      <w:r>
        <w:rPr>
          <w:rFonts w:hint="eastAsia" w:ascii="仿宋" w:hAnsi="仿宋" w:eastAsia="仿宋" w:cs="仿宋"/>
          <w:b w:val="0"/>
          <w:bCs w:val="0"/>
          <w:sz w:val="32"/>
          <w:szCs w:val="32"/>
          <w:highlight w:val="none"/>
          <w:lang w:val="en-US" w:eastAsia="zh-CN"/>
        </w:rPr>
        <w:t>12.56</w:t>
      </w:r>
      <w:r>
        <w:rPr>
          <w:rFonts w:hint="eastAsia" w:ascii="仿宋" w:hAnsi="仿宋" w:eastAsia="仿宋" w:cs="仿宋"/>
          <w:b w:val="0"/>
          <w:bCs w:val="0"/>
          <w:sz w:val="32"/>
          <w:szCs w:val="32"/>
          <w:highlight w:val="none"/>
        </w:rPr>
        <w:t>万元，完成预</w:t>
      </w:r>
      <w:r>
        <w:rPr>
          <w:rFonts w:hint="eastAsia" w:ascii="仿宋" w:hAnsi="仿宋" w:eastAsia="仿宋" w:cs="仿宋"/>
          <w:b w:val="0"/>
          <w:bCs w:val="0"/>
          <w:sz w:val="32"/>
          <w:szCs w:val="32"/>
          <w:highlight w:val="none"/>
        </w:rPr>
        <w:t>算</w:t>
      </w:r>
      <w:r>
        <w:rPr>
          <w:rFonts w:hint="eastAsia" w:ascii="仿宋" w:hAnsi="仿宋" w:eastAsia="仿宋" w:cs="仿宋"/>
          <w:b w:val="0"/>
          <w:bCs w:val="0"/>
          <w:sz w:val="32"/>
          <w:szCs w:val="32"/>
          <w:highlight w:val="none"/>
          <w:lang w:val="en-US" w:eastAsia="zh-CN"/>
        </w:rPr>
        <w:t>30.46</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lang w:eastAsia="zh-CN"/>
        </w:rPr>
        <w:t>森林资源管理（项）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165.6</w:t>
      </w:r>
      <w:r>
        <w:rPr>
          <w:rFonts w:hint="eastAsia" w:ascii="仿宋" w:hAnsi="仿宋" w:eastAsia="仿宋" w:cs="仿宋"/>
          <w:b w:val="0"/>
          <w:bCs w:val="0"/>
          <w:sz w:val="32"/>
          <w:szCs w:val="32"/>
        </w:rPr>
        <w:t>万元，完成预</w:t>
      </w:r>
      <w:r>
        <w:rPr>
          <w:rFonts w:hint="eastAsia" w:ascii="仿宋" w:hAnsi="仿宋" w:eastAsia="仿宋" w:cs="仿宋"/>
          <w:b w:val="0"/>
          <w:bCs w:val="0"/>
          <w:sz w:val="32"/>
          <w:szCs w:val="32"/>
          <w:highlight w:val="none"/>
        </w:rPr>
        <w:t>算</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lang w:eastAsia="zh-CN"/>
        </w:rPr>
        <w:t>森林生态效益补偿（项）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1.82</w:t>
      </w:r>
      <w:r>
        <w:rPr>
          <w:rFonts w:hint="eastAsia" w:ascii="仿宋" w:hAnsi="仿宋" w:eastAsia="仿宋" w:cs="仿宋"/>
          <w:b w:val="0"/>
          <w:bCs w:val="0"/>
          <w:sz w:val="32"/>
          <w:szCs w:val="32"/>
        </w:rPr>
        <w:t>万元，完成预</w:t>
      </w:r>
      <w:r>
        <w:rPr>
          <w:rFonts w:hint="eastAsia" w:ascii="仿宋" w:hAnsi="仿宋" w:eastAsia="仿宋" w:cs="仿宋"/>
          <w:b w:val="0"/>
          <w:bCs w:val="0"/>
          <w:sz w:val="32"/>
          <w:szCs w:val="32"/>
          <w:highlight w:val="none"/>
        </w:rPr>
        <w:t>算</w:t>
      </w:r>
      <w:r>
        <w:rPr>
          <w:rFonts w:hint="eastAsia" w:ascii="仿宋" w:hAnsi="仿宋" w:eastAsia="仿宋" w:cs="仿宋"/>
          <w:b w:val="0"/>
          <w:bCs w:val="0"/>
          <w:sz w:val="32"/>
          <w:szCs w:val="32"/>
          <w:highlight w:val="none"/>
          <w:lang w:val="en-US" w:eastAsia="zh-CN"/>
        </w:rPr>
        <w:t>27.63</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自然保护区等管理（项）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11.05</w:t>
      </w:r>
      <w:r>
        <w:rPr>
          <w:rFonts w:hint="eastAsia" w:ascii="仿宋" w:hAnsi="仿宋" w:eastAsia="仿宋" w:cs="仿宋"/>
          <w:b w:val="0"/>
          <w:bCs w:val="0"/>
          <w:sz w:val="32"/>
          <w:szCs w:val="32"/>
        </w:rPr>
        <w:t>万元，完成预</w:t>
      </w:r>
      <w:r>
        <w:rPr>
          <w:rFonts w:hint="eastAsia" w:ascii="仿宋" w:hAnsi="仿宋" w:eastAsia="仿宋" w:cs="仿宋"/>
          <w:b w:val="0"/>
          <w:bCs w:val="0"/>
          <w:sz w:val="32"/>
          <w:szCs w:val="32"/>
          <w:highlight w:val="none"/>
        </w:rPr>
        <w:t>算</w:t>
      </w:r>
      <w:r>
        <w:rPr>
          <w:rFonts w:hint="eastAsia" w:ascii="仿宋" w:hAnsi="仿宋" w:eastAsia="仿宋" w:cs="仿宋"/>
          <w:b w:val="0"/>
          <w:bCs w:val="0"/>
          <w:sz w:val="32"/>
          <w:szCs w:val="32"/>
          <w:highlight w:val="none"/>
          <w:lang w:val="en-US" w:eastAsia="zh-CN"/>
        </w:rPr>
        <w:t>27.63</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lang w:eastAsia="zh-CN"/>
        </w:rPr>
        <w:t>动植物保护（项）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25.69</w:t>
      </w:r>
      <w:r>
        <w:rPr>
          <w:rFonts w:hint="eastAsia" w:ascii="仿宋" w:hAnsi="仿宋" w:eastAsia="仿宋" w:cs="仿宋"/>
          <w:b w:val="0"/>
          <w:bCs w:val="0"/>
          <w:sz w:val="32"/>
          <w:szCs w:val="32"/>
        </w:rPr>
        <w:t>万元，完成预算</w:t>
      </w:r>
      <w:r>
        <w:rPr>
          <w:rFonts w:hint="eastAsia" w:ascii="仿宋" w:hAnsi="仿宋" w:eastAsia="仿宋" w:cs="仿宋"/>
          <w:b w:val="0"/>
          <w:bCs w:val="0"/>
          <w:sz w:val="32"/>
          <w:szCs w:val="32"/>
          <w:highlight w:val="none"/>
          <w:lang w:val="en-US" w:eastAsia="zh-CN"/>
        </w:rPr>
        <w:t>41.31</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lang w:eastAsia="zh-CN"/>
        </w:rPr>
        <w:t>林业草原防灾与减灾（项）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53.11</w:t>
      </w:r>
      <w:r>
        <w:rPr>
          <w:rFonts w:hint="eastAsia" w:ascii="仿宋" w:hAnsi="仿宋" w:eastAsia="仿宋" w:cs="仿宋"/>
          <w:b w:val="0"/>
          <w:bCs w:val="0"/>
          <w:sz w:val="32"/>
          <w:szCs w:val="32"/>
        </w:rPr>
        <w:t>万元，完成</w:t>
      </w:r>
      <w:r>
        <w:rPr>
          <w:rFonts w:hint="eastAsia" w:ascii="仿宋" w:hAnsi="仿宋" w:eastAsia="仿宋" w:cs="仿宋"/>
          <w:b w:val="0"/>
          <w:bCs w:val="0"/>
          <w:sz w:val="32"/>
          <w:szCs w:val="32"/>
          <w:highlight w:val="none"/>
        </w:rPr>
        <w:t>预算</w:t>
      </w:r>
      <w:r>
        <w:rPr>
          <w:rFonts w:hint="eastAsia" w:ascii="仿宋" w:hAnsi="仿宋" w:eastAsia="仿宋" w:cs="仿宋"/>
          <w:b w:val="0"/>
          <w:bCs w:val="0"/>
          <w:sz w:val="32"/>
          <w:szCs w:val="32"/>
          <w:highlight w:val="none"/>
          <w:lang w:val="en-US" w:eastAsia="zh-CN"/>
        </w:rPr>
        <w:t>59.67</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lang w:eastAsia="zh-CN"/>
        </w:rPr>
        <w:t>其他林业和草原（项）</w:t>
      </w:r>
      <w:r>
        <w:rPr>
          <w:rFonts w:hint="eastAsia" w:ascii="仿宋" w:hAnsi="仿宋" w:eastAsia="仿宋" w:cs="仿宋"/>
          <w:b w:val="0"/>
          <w:bCs w:val="0"/>
          <w:sz w:val="32"/>
          <w:szCs w:val="32"/>
        </w:rPr>
        <w:t>:支出决算为</w:t>
      </w:r>
      <w:r>
        <w:rPr>
          <w:rFonts w:hint="eastAsia" w:ascii="仿宋" w:hAnsi="仿宋" w:eastAsia="仿宋" w:cs="仿宋"/>
          <w:b w:val="0"/>
          <w:bCs w:val="0"/>
          <w:sz w:val="32"/>
          <w:szCs w:val="32"/>
          <w:lang w:val="en-US" w:eastAsia="zh-CN"/>
        </w:rPr>
        <w:t>,376.24</w:t>
      </w:r>
      <w:r>
        <w:rPr>
          <w:rFonts w:hint="eastAsia" w:ascii="仿宋" w:hAnsi="仿宋" w:eastAsia="仿宋" w:cs="仿宋"/>
          <w:b w:val="0"/>
          <w:bCs w:val="0"/>
          <w:sz w:val="32"/>
          <w:szCs w:val="32"/>
        </w:rPr>
        <w:t>万元，完成</w:t>
      </w:r>
      <w:r>
        <w:rPr>
          <w:rFonts w:hint="eastAsia" w:ascii="仿宋" w:hAnsi="仿宋" w:eastAsia="仿宋" w:cs="仿宋"/>
          <w:b w:val="0"/>
          <w:bCs w:val="0"/>
          <w:sz w:val="32"/>
          <w:szCs w:val="32"/>
          <w:highlight w:val="none"/>
        </w:rPr>
        <w:t>预算</w:t>
      </w:r>
      <w:r>
        <w:rPr>
          <w:rFonts w:hint="eastAsia" w:ascii="仿宋" w:hAnsi="仿宋" w:eastAsia="仿宋" w:cs="仿宋"/>
          <w:b w:val="0"/>
          <w:bCs w:val="0"/>
          <w:sz w:val="32"/>
          <w:szCs w:val="32"/>
          <w:highlight w:val="none"/>
          <w:lang w:val="en-US" w:eastAsia="zh-CN"/>
        </w:rPr>
        <w:t>45.34</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rPr>
        <w:t>决算数小于预算数的主要原因是项目尚在实施中，属于正常的资金</w:t>
      </w:r>
      <w:r>
        <w:rPr>
          <w:rFonts w:hint="eastAsia" w:ascii="仿宋" w:hAnsi="仿宋" w:eastAsia="仿宋" w:cs="仿宋"/>
          <w:b w:val="0"/>
          <w:bCs w:val="0"/>
          <w:color w:val="auto"/>
          <w:sz w:val="32"/>
          <w:szCs w:val="32"/>
        </w:rPr>
        <w:t>结转</w:t>
      </w:r>
      <w:r>
        <w:rPr>
          <w:rFonts w:hint="eastAsia" w:ascii="仿宋" w:hAnsi="仿宋" w:eastAsia="仿宋" w:cs="仿宋"/>
          <w:b w:val="0"/>
          <w:bCs w:val="0"/>
          <w:sz w:val="32"/>
          <w:szCs w:val="32"/>
          <w:lang w:eastAsia="zh-CN"/>
        </w:rPr>
        <w:t>。</w:t>
      </w:r>
    </w:p>
    <w:p>
      <w:pPr>
        <w:pageBreakBefore w:val="0"/>
        <w:kinsoku/>
        <w:wordWrap/>
        <w:topLinePunct w:val="0"/>
        <w:bidi w:val="0"/>
        <w:spacing w:line="576" w:lineRule="exact"/>
        <w:ind w:left="0" w:leftChars="0" w:right="0" w:firstLine="640" w:firstLineChars="200"/>
        <w:rPr>
          <w:rFonts w:hint="eastAsia" w:ascii="仿宋_GB2312" w:hAnsi="仿宋" w:eastAsia="仿宋_GB2312"/>
          <w:b/>
          <w:color w:val="000000"/>
          <w:sz w:val="32"/>
          <w:szCs w:val="32"/>
          <w:lang w:val="en-US" w:eastAsia="zh-CN"/>
        </w:rPr>
      </w:pPr>
      <w:r>
        <w:rPr>
          <w:rStyle w:val="14"/>
          <w:rFonts w:hint="eastAsia" w:ascii="仿宋" w:hAnsi="仿宋" w:eastAsia="仿宋" w:cs="仿宋"/>
          <w:b w:val="0"/>
          <w:bCs w:val="0"/>
          <w:color w:val="000000"/>
          <w:sz w:val="32"/>
          <w:szCs w:val="32"/>
          <w:lang w:val="en-US" w:eastAsia="zh-CN"/>
        </w:rPr>
        <w:t>4</w:t>
      </w:r>
      <w:r>
        <w:rPr>
          <w:rStyle w:val="14"/>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rPr>
        <w:t xml:space="preserve"> 住房保障支出</w:t>
      </w:r>
      <w:r>
        <w:rPr>
          <w:rStyle w:val="14"/>
          <w:rFonts w:hint="eastAsia" w:ascii="仿宋" w:hAnsi="仿宋" w:eastAsia="仿宋" w:cs="仿宋"/>
          <w:b w:val="0"/>
          <w:bCs w:val="0"/>
          <w:color w:val="000000"/>
          <w:sz w:val="32"/>
          <w:szCs w:val="32"/>
        </w:rPr>
        <w:t>（类）住房改革支出（款）住房公积金（项）:支出决算为</w:t>
      </w:r>
      <w:r>
        <w:rPr>
          <w:rStyle w:val="14"/>
          <w:rFonts w:hint="eastAsia" w:ascii="仿宋" w:hAnsi="仿宋" w:eastAsia="仿宋" w:cs="仿宋"/>
          <w:b w:val="0"/>
          <w:bCs w:val="0"/>
          <w:color w:val="000000"/>
          <w:sz w:val="32"/>
          <w:szCs w:val="32"/>
          <w:lang w:val="en-US" w:eastAsia="zh-CN"/>
        </w:rPr>
        <w:t>112.03</w:t>
      </w:r>
      <w:r>
        <w:rPr>
          <w:rStyle w:val="14"/>
          <w:rFonts w:hint="eastAsia" w:ascii="仿宋" w:hAnsi="仿宋" w:eastAsia="仿宋" w:cs="仿宋"/>
          <w:b w:val="0"/>
          <w:bCs w:val="0"/>
          <w:color w:val="000000"/>
          <w:sz w:val="32"/>
          <w:szCs w:val="32"/>
        </w:rPr>
        <w:t>万元，完成预算100%</w:t>
      </w:r>
      <w:r>
        <w:rPr>
          <w:rStyle w:val="14"/>
          <w:rFonts w:hint="eastAsia" w:ascii="仿宋_GB2312" w:hAnsi="仿宋" w:eastAsia="仿宋_GB2312"/>
          <w:b w:val="0"/>
          <w:bCs/>
          <w:color w:val="000000"/>
          <w:sz w:val="32"/>
          <w:szCs w:val="32"/>
          <w:lang w:eastAsia="zh-CN"/>
        </w:rPr>
        <w:t>。</w:t>
      </w:r>
    </w:p>
    <w:p>
      <w:pPr>
        <w:pageBreakBefore w:val="0"/>
        <w:tabs>
          <w:tab w:val="right" w:pos="8306"/>
        </w:tabs>
        <w:kinsoku/>
        <w:wordWrap/>
        <w:topLinePunct w:val="0"/>
        <w:bidi w:val="0"/>
        <w:spacing w:line="576" w:lineRule="exact"/>
        <w:ind w:left="0" w:leftChars="0" w:right="0" w:firstLine="640" w:firstLineChars="200"/>
        <w:outlineLvl w:val="1"/>
        <w:rPr>
          <w:rFonts w:hint="eastAsia" w:ascii="黑体" w:hAnsi="黑体" w:eastAsia="黑体" w:cs="黑体"/>
          <w:b/>
          <w:bCs/>
          <w:sz w:val="32"/>
          <w:szCs w:val="32"/>
        </w:rPr>
      </w:pPr>
      <w:bookmarkStart w:id="40" w:name="_Toc15377214"/>
      <w:bookmarkStart w:id="41" w:name="_Toc15396608"/>
      <w:r>
        <w:rPr>
          <w:rFonts w:hint="eastAsia" w:ascii="黑体" w:hAnsi="黑体" w:eastAsia="黑体" w:cs="黑体"/>
          <w:sz w:val="32"/>
          <w:szCs w:val="32"/>
        </w:rPr>
        <w:t>六、一</w:t>
      </w:r>
      <w:r>
        <w:rPr>
          <w:rFonts w:hint="eastAsia" w:ascii="黑体" w:hAnsi="黑体" w:eastAsia="黑体" w:cs="黑体"/>
          <w:bCs/>
          <w:sz w:val="32"/>
          <w:szCs w:val="32"/>
        </w:rPr>
        <w:t>般公共预算财政拨款基本支出决算情况说明</w:t>
      </w:r>
      <w:bookmarkEnd w:id="40"/>
      <w:bookmarkEnd w:id="41"/>
      <w:r>
        <w:rPr>
          <w:rFonts w:hint="eastAsia" w:ascii="黑体" w:hAnsi="黑体" w:eastAsia="黑体" w:cs="黑体"/>
          <w:bCs/>
          <w:sz w:val="32"/>
          <w:szCs w:val="32"/>
        </w:rPr>
        <w:tab/>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1431.44</w:t>
      </w:r>
      <w:r>
        <w:rPr>
          <w:rFonts w:hint="eastAsia" w:ascii="仿宋_GB2312" w:hAnsi="仿宋_GB2312" w:eastAsia="仿宋_GB2312" w:cs="仿宋_GB2312"/>
          <w:sz w:val="32"/>
          <w:szCs w:val="32"/>
        </w:rPr>
        <w:t>万元，其中：</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1304.17</w:t>
      </w:r>
      <w:r>
        <w:rPr>
          <w:rFonts w:hint="eastAsia" w:ascii="仿宋_GB2312" w:hAnsi="仿宋_GB2312" w:eastAsia="仿宋_GB2312" w:cs="仿宋_GB2312"/>
          <w:sz w:val="32"/>
          <w:szCs w:val="32"/>
        </w:rPr>
        <w:t>万元，主要包括：基本工资、津贴补贴、绩效工资、机关事业单位基本养老保险缴费、职业年金缴费、其他社会保障缴费、其他工资福利支出、抚恤金、生活补助、住房公积金、其他对个人和家庭的补助支出等。</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日常公用经费</w:t>
      </w:r>
      <w:r>
        <w:rPr>
          <w:rFonts w:hint="eastAsia" w:ascii="仿宋_GB2312" w:hAnsi="仿宋_GB2312" w:eastAsia="仿宋_GB2312" w:cs="仿宋_GB2312"/>
          <w:sz w:val="32"/>
          <w:szCs w:val="32"/>
          <w:lang w:val="en-US" w:eastAsia="zh-CN"/>
        </w:rPr>
        <w:t>127.27</w:t>
      </w:r>
      <w:r>
        <w:rPr>
          <w:rFonts w:hint="eastAsia" w:ascii="仿宋_GB2312" w:hAnsi="仿宋_GB2312" w:eastAsia="仿宋_GB2312" w:cs="仿宋_GB2312"/>
          <w:sz w:val="32"/>
          <w:szCs w:val="32"/>
        </w:rPr>
        <w:t>万元，主要包括：办公费、印刷费、咨询费、手续费、水费、电费、邮电费、物业管理费、差旅费、维修（护）费、会议费、培训费、公务接待费、劳务费、委托业务费、工会经费、公务用车运行维护费、其他交通费、其他商品和服务支出、办公设备购置等。</w:t>
      </w:r>
    </w:p>
    <w:p>
      <w:pPr>
        <w:pageBreakBefore w:val="0"/>
        <w:kinsoku/>
        <w:wordWrap/>
        <w:topLinePunct w:val="0"/>
        <w:bidi w:val="0"/>
        <w:spacing w:line="576" w:lineRule="exact"/>
        <w:ind w:left="0" w:leftChars="0" w:right="0" w:firstLine="640" w:firstLineChars="200"/>
        <w:outlineLvl w:val="1"/>
        <w:rPr>
          <w:rFonts w:hint="eastAsia" w:ascii="黑体" w:hAnsi="黑体" w:eastAsia="黑体" w:cs="黑体"/>
          <w:bCs/>
          <w:sz w:val="32"/>
          <w:szCs w:val="32"/>
        </w:rPr>
      </w:pPr>
      <w:bookmarkStart w:id="42" w:name="_Toc15377215"/>
      <w:bookmarkStart w:id="43" w:name="_Toc15396609"/>
      <w:r>
        <w:rPr>
          <w:rFonts w:hint="eastAsia" w:ascii="黑体" w:hAnsi="黑体" w:eastAsia="黑体" w:cs="黑体"/>
          <w:sz w:val="32"/>
          <w:szCs w:val="32"/>
        </w:rPr>
        <w:t>七、</w:t>
      </w:r>
      <w:r>
        <w:rPr>
          <w:rFonts w:hint="eastAsia" w:ascii="黑体" w:hAnsi="黑体" w:eastAsia="黑体" w:cs="黑体"/>
          <w:b/>
          <w:bCs/>
          <w:sz w:val="32"/>
          <w:szCs w:val="32"/>
        </w:rPr>
        <w:t>“</w:t>
      </w:r>
      <w:r>
        <w:rPr>
          <w:rFonts w:hint="eastAsia" w:ascii="黑体" w:hAnsi="黑体" w:eastAsia="黑体" w:cs="黑体"/>
          <w:bCs/>
          <w:sz w:val="32"/>
          <w:szCs w:val="32"/>
        </w:rPr>
        <w:t>三公”经费财政拨款支出决算情况说明</w:t>
      </w:r>
      <w:bookmarkEnd w:id="42"/>
      <w:bookmarkEnd w:id="43"/>
    </w:p>
    <w:p>
      <w:pPr>
        <w:pageBreakBefore w:val="0"/>
        <w:kinsoku/>
        <w:wordWrap/>
        <w:topLinePunct w:val="0"/>
        <w:bidi w:val="0"/>
        <w:spacing w:line="576" w:lineRule="exact"/>
        <w:ind w:left="0" w:leftChars="0" w:right="0" w:firstLine="640" w:firstLineChars="200"/>
        <w:outlineLvl w:val="2"/>
        <w:rPr>
          <w:rFonts w:ascii="仿宋_GB2312" w:hAnsi="仿宋_GB2312" w:eastAsia="仿宋_GB2312" w:cs="仿宋_GB2312"/>
          <w:sz w:val="32"/>
          <w:szCs w:val="32"/>
        </w:rPr>
      </w:pPr>
      <w:bookmarkStart w:id="44" w:name="_Toc15377216"/>
      <w:r>
        <w:rPr>
          <w:rFonts w:hint="eastAsia" w:ascii="仿宋_GB2312" w:hAnsi="仿宋_GB2312" w:eastAsia="仿宋_GB2312" w:cs="仿宋_GB2312"/>
          <w:sz w:val="32"/>
          <w:szCs w:val="32"/>
        </w:rPr>
        <w:t>（一）“三公”经费财政拨款支出决算总体情况说明</w:t>
      </w:r>
      <w:bookmarkEnd w:id="44"/>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b/>
          <w:bCs/>
          <w:sz w:val="32"/>
          <w:szCs w:val="32"/>
          <w:highlight w:val="none"/>
          <w:lang w:val="en-US" w:eastAsia="zh-CN"/>
        </w:rPr>
        <w:t>27.40</w:t>
      </w:r>
      <w:r>
        <w:rPr>
          <w:rFonts w:hint="eastAsia" w:ascii="仿宋_GB2312" w:hAnsi="仿宋_GB2312" w:eastAsia="仿宋_GB2312" w:cs="仿宋_GB2312"/>
          <w:b/>
          <w:bCs/>
          <w:sz w:val="32"/>
          <w:szCs w:val="32"/>
          <w:highlight w:val="none"/>
        </w:rPr>
        <w:t>万</w:t>
      </w:r>
      <w:r>
        <w:rPr>
          <w:rFonts w:hint="eastAsia" w:ascii="仿宋_GB2312" w:hAnsi="仿宋_GB2312" w:eastAsia="仿宋_GB2312" w:cs="仿宋_GB2312"/>
          <w:sz w:val="32"/>
          <w:szCs w:val="32"/>
        </w:rPr>
        <w:t>元，完成预算</w:t>
      </w:r>
      <w:r>
        <w:rPr>
          <w:rFonts w:hint="eastAsia" w:ascii="仿宋_GB2312" w:hAnsi="仿宋_GB2312" w:eastAsia="仿宋_GB2312" w:cs="仿宋_GB2312"/>
          <w:sz w:val="32"/>
          <w:szCs w:val="32"/>
          <w:lang w:val="en-US" w:eastAsia="zh-CN"/>
        </w:rPr>
        <w:t>53.20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，决算数小于预算数的主要原因是严格执行中央“八项”规定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厉行节约。</w:t>
      </w:r>
    </w:p>
    <w:p>
      <w:pPr>
        <w:pageBreakBefore w:val="0"/>
        <w:kinsoku/>
        <w:wordWrap/>
        <w:topLinePunct w:val="0"/>
        <w:bidi w:val="0"/>
        <w:spacing w:line="576" w:lineRule="exact"/>
        <w:ind w:left="0" w:leftChars="0" w:right="0" w:firstLine="640" w:firstLineChars="200"/>
        <w:outlineLvl w:val="2"/>
        <w:rPr>
          <w:rFonts w:ascii="仿宋_GB2312" w:hAnsi="仿宋_GB2312" w:eastAsia="仿宋_GB2312" w:cs="仿宋_GB2312"/>
          <w:sz w:val="32"/>
          <w:szCs w:val="32"/>
        </w:rPr>
      </w:pPr>
      <w:bookmarkStart w:id="45" w:name="_Toc15377217"/>
      <w:r>
        <w:rPr>
          <w:rFonts w:hint="eastAsia" w:ascii="仿宋_GB2312" w:hAnsi="仿宋_GB2312" w:eastAsia="仿宋_GB2312" w:cs="仿宋_GB2312"/>
          <w:sz w:val="32"/>
          <w:szCs w:val="32"/>
        </w:rPr>
        <w:t>（二）“三公”经费财政拨款支出决算具体情况说明</w:t>
      </w:r>
      <w:bookmarkEnd w:id="45"/>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年“三公”经费财政拨款支出决算中，公务用车购置及运行维护费支出决算</w:t>
      </w:r>
      <w:r>
        <w:rPr>
          <w:rFonts w:hint="eastAsia" w:ascii="仿宋_GB2312" w:hAnsi="仿宋_GB2312" w:eastAsia="仿宋_GB2312" w:cs="仿宋_GB2312"/>
          <w:sz w:val="32"/>
          <w:szCs w:val="32"/>
          <w:highlight w:val="none"/>
          <w:lang w:val="en-US" w:eastAsia="zh-CN"/>
        </w:rPr>
        <w:t>23.30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85.03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15.97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。具体情况如下：</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1.因公出国（境）经费支出0万元，完成预算0%（预算2.7万元）。全年安排因公出国（境）团组0次，出国（境）0人。</w:t>
      </w:r>
      <w:bookmarkStart w:id="71" w:name="_GoBack"/>
      <w:bookmarkEnd w:id="71"/>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23.3</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55.47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。公务用车购置及运行维护费支出决算比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27.72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50.29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。主要原因是严格执行中央“八项”规定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厉行节约</w:t>
      </w:r>
      <w:r>
        <w:rPr>
          <w:rFonts w:hint="eastAsia" w:ascii="仿宋_GB2312" w:hAnsi="仿宋_GB2312" w:eastAsia="仿宋_GB2312" w:cs="仿宋_GB2312"/>
          <w:color w:val="auto"/>
          <w:sz w:val="32"/>
          <w:szCs w:val="32"/>
          <w:lang w:eastAsia="zh-CN"/>
        </w:rPr>
        <w:t>。</w:t>
      </w:r>
    </w:p>
    <w:p>
      <w:pPr>
        <w:pageBreakBefore w:val="0"/>
        <w:kinsoku/>
        <w:wordWrap/>
        <w:topLinePunct w:val="0"/>
        <w:autoSpaceDE w:val="0"/>
        <w:autoSpaceDN w:val="0"/>
        <w:bidi w:val="0"/>
        <w:adjustRightInd w:val="0"/>
        <w:spacing w:line="576" w:lineRule="exact"/>
        <w:ind w:left="0" w:leftChars="0" w:right="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其中：公务用车购置支出0万元。全年无新购置公务用车。截至</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highlight w:val="none"/>
        </w:rPr>
        <w:t>广元市林业局共有车辆</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辆，其中：主要领导干部用车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辆、机要通信用车0辆、应急保障用车3辆、执法执勤用车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辆。</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w:t>
      </w:r>
      <w:r>
        <w:rPr>
          <w:rFonts w:hint="eastAsia" w:ascii="仿宋_GB2312" w:hAnsi="仿宋_GB2312" w:eastAsia="仿宋_GB2312" w:cs="仿宋_GB2312"/>
          <w:sz w:val="32"/>
          <w:szCs w:val="32"/>
          <w:lang w:val="en-US" w:eastAsia="zh-CN"/>
        </w:rPr>
        <w:t>23.3</w:t>
      </w:r>
      <w:r>
        <w:rPr>
          <w:rFonts w:hint="eastAsia" w:ascii="仿宋_GB2312" w:hAnsi="仿宋_GB2312" w:eastAsia="仿宋_GB2312" w:cs="仿宋_GB2312"/>
          <w:sz w:val="32"/>
          <w:szCs w:val="32"/>
        </w:rPr>
        <w:t>万元。主要用于</w:t>
      </w:r>
      <w:r>
        <w:rPr>
          <w:rFonts w:ascii="仿宋_GB2312" w:hAnsi="仿宋_GB2312" w:eastAsia="仿宋_GB2312" w:cs="仿宋_GB2312"/>
          <w:sz w:val="32"/>
          <w:szCs w:val="32"/>
        </w:rPr>
        <w:t>森林防火、森林病虫害防治、退耕还林、森林资源管理、产业发展、生态旅游、</w:t>
      </w:r>
      <w:r>
        <w:rPr>
          <w:rFonts w:hint="eastAsia" w:ascii="仿宋_GB2312" w:hAnsi="仿宋_GB2312" w:eastAsia="仿宋_GB2312" w:cs="仿宋_GB2312"/>
          <w:sz w:val="32"/>
          <w:szCs w:val="32"/>
        </w:rPr>
        <w:t>野生动物保护</w:t>
      </w:r>
      <w:r>
        <w:rPr>
          <w:rFonts w:ascii="仿宋_GB2312" w:hAnsi="仿宋_GB2312" w:eastAsia="仿宋_GB2312" w:cs="仿宋_GB2312"/>
          <w:sz w:val="32"/>
          <w:szCs w:val="32"/>
        </w:rPr>
        <w:t>等项目上级检查、项目验收、县区指导工作、执法检查</w:t>
      </w:r>
      <w:r>
        <w:rPr>
          <w:rFonts w:hint="eastAsia" w:ascii="仿宋_GB2312" w:hAnsi="仿宋_GB2312" w:eastAsia="仿宋_GB2312" w:cs="仿宋_GB2312"/>
          <w:sz w:val="32"/>
          <w:szCs w:val="32"/>
        </w:rPr>
        <w:t>等所需的公务用车燃料费、维修费、过路过桥费等支出。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63.10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。公务接待费支出决算比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0.027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0.65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。主要原因是严格执行规</w:t>
      </w:r>
      <w:r>
        <w:rPr>
          <w:rFonts w:hint="eastAsia" w:ascii="仿宋_GB2312" w:hAnsi="仿宋_GB2312" w:eastAsia="仿宋_GB2312" w:cs="仿宋_GB2312"/>
          <w:color w:val="auto"/>
          <w:sz w:val="32"/>
          <w:szCs w:val="32"/>
        </w:rPr>
        <w:t>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加强经费管理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厉行节约。</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其中：国内公务接待支出</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color w:val="auto"/>
          <w:sz w:val="32"/>
          <w:szCs w:val="32"/>
        </w:rPr>
        <w:t>开展业务活动开支的用餐费。</w:t>
      </w:r>
      <w:r>
        <w:rPr>
          <w:rFonts w:hint="eastAsia" w:ascii="仿宋_GB2312" w:hAnsi="仿宋_GB2312" w:eastAsia="仿宋_GB2312" w:cs="仿宋_GB2312"/>
          <w:sz w:val="32"/>
          <w:szCs w:val="32"/>
        </w:rPr>
        <w:t>国内公务接待</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人次，共计支出</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万元，具体内容包括：</w:t>
      </w:r>
      <w:r>
        <w:rPr>
          <w:rFonts w:ascii="仿宋_GB2312" w:hAnsi="仿宋_GB2312" w:eastAsia="仿宋_GB2312" w:cs="仿宋_GB2312"/>
          <w:sz w:val="32"/>
          <w:szCs w:val="32"/>
        </w:rPr>
        <w:t>林业监督执法、野生动植物保护、森林防火、林业有害生物防治、产业发展、天然林保护、退耕还林等业务工作、其他市州及外省来广学习交流、县区联系工作等所必需的公务接待</w:t>
      </w:r>
      <w:r>
        <w:rPr>
          <w:rFonts w:hint="eastAsia" w:ascii="仿宋_GB2312" w:hAnsi="仿宋_GB2312" w:eastAsia="仿宋_GB2312" w:cs="仿宋_GB2312"/>
          <w:sz w:val="32"/>
          <w:szCs w:val="32"/>
        </w:rPr>
        <w:t>。</w:t>
      </w:r>
    </w:p>
    <w:p>
      <w:pPr>
        <w:pageBreakBefore w:val="0"/>
        <w:kinsoku/>
        <w:wordWrap/>
        <w:topLinePunct w:val="0"/>
        <w:bidi w:val="0"/>
        <w:spacing w:line="576" w:lineRule="exact"/>
        <w:ind w:left="0" w:leftChars="0" w:right="0" w:firstLine="640" w:firstLineChars="200"/>
        <w:rPr>
          <w:rFonts w:hint="default"/>
          <w:lang w:val="en-US" w:eastAsia="zh-CN"/>
        </w:rPr>
      </w:pPr>
      <w:r>
        <w:rPr>
          <w:rFonts w:hint="eastAsia" w:ascii="仿宋_GB2312" w:hAnsi="仿宋_GB2312" w:eastAsia="仿宋_GB2312" w:cs="仿宋_GB2312"/>
          <w:sz w:val="32"/>
          <w:szCs w:val="32"/>
        </w:rPr>
        <w:t>外事接待支出0万元，无外事接待。</w:t>
      </w:r>
    </w:p>
    <w:p>
      <w:pPr>
        <w:pageBreakBefore w:val="0"/>
        <w:kinsoku/>
        <w:wordWrap/>
        <w:topLinePunct w:val="0"/>
        <w:bidi w:val="0"/>
        <w:spacing w:line="576" w:lineRule="exact"/>
        <w:ind w:left="0" w:leftChars="0" w:right="0" w:firstLine="640" w:firstLineChars="200"/>
        <w:outlineLvl w:val="1"/>
        <w:rPr>
          <w:rFonts w:hint="eastAsia" w:ascii="黑体" w:hAnsi="黑体" w:eastAsia="黑体" w:cs="黑体"/>
          <w:b/>
          <w:bCs/>
          <w:sz w:val="32"/>
          <w:szCs w:val="32"/>
        </w:rPr>
      </w:pPr>
      <w:bookmarkStart w:id="46" w:name="_Toc15377218"/>
      <w:bookmarkStart w:id="47" w:name="_Toc15396610"/>
      <w:r>
        <w:rPr>
          <w:rFonts w:hint="eastAsia" w:ascii="黑体" w:hAnsi="黑体" w:eastAsia="黑体" w:cs="黑体"/>
          <w:sz w:val="32"/>
          <w:szCs w:val="32"/>
        </w:rPr>
        <w:t>八、</w:t>
      </w:r>
      <w:r>
        <w:rPr>
          <w:rFonts w:hint="eastAsia" w:ascii="黑体" w:hAnsi="黑体" w:eastAsia="黑体" w:cs="黑体"/>
          <w:bCs/>
          <w:sz w:val="32"/>
          <w:szCs w:val="32"/>
        </w:rPr>
        <w:t>政府性基金预算支出决算情况说明</w:t>
      </w:r>
      <w:bookmarkEnd w:id="46"/>
      <w:bookmarkEnd w:id="47"/>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年政府性基金预算拨款支出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ageBreakBefore w:val="0"/>
        <w:kinsoku/>
        <w:wordWrap/>
        <w:topLinePunct w:val="0"/>
        <w:bidi w:val="0"/>
        <w:spacing w:line="576" w:lineRule="exact"/>
        <w:ind w:left="0" w:leftChars="0" w:right="0" w:firstLine="640" w:firstLineChars="200"/>
        <w:outlineLvl w:val="1"/>
        <w:rPr>
          <w:rFonts w:hint="eastAsia" w:ascii="黑体" w:hAnsi="黑体" w:eastAsia="黑体" w:cs="黑体"/>
          <w:bCs/>
          <w:sz w:val="32"/>
          <w:szCs w:val="32"/>
        </w:rPr>
      </w:pPr>
      <w:bookmarkStart w:id="48" w:name="_Toc15396611"/>
      <w:bookmarkStart w:id="49" w:name="_Toc15377219"/>
      <w:r>
        <w:rPr>
          <w:rFonts w:hint="eastAsia" w:ascii="黑体" w:hAnsi="黑体" w:eastAsia="黑体" w:cs="黑体"/>
          <w:sz w:val="32"/>
          <w:szCs w:val="32"/>
        </w:rPr>
        <w:t>九、</w:t>
      </w:r>
      <w:r>
        <w:rPr>
          <w:rFonts w:hint="eastAsia" w:ascii="黑体" w:hAnsi="黑体" w:eastAsia="黑体" w:cs="黑体"/>
          <w:bCs/>
          <w:sz w:val="32"/>
          <w:szCs w:val="32"/>
        </w:rPr>
        <w:t>国有资本经营预算支出决算情况说明</w:t>
      </w:r>
      <w:bookmarkEnd w:id="48"/>
      <w:bookmarkEnd w:id="49"/>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年国有资本经营预算拨款支出0万元。</w:t>
      </w:r>
    </w:p>
    <w:p>
      <w:pPr>
        <w:pageBreakBefore w:val="0"/>
        <w:kinsoku/>
        <w:wordWrap/>
        <w:topLinePunct w:val="0"/>
        <w:bidi w:val="0"/>
        <w:spacing w:line="576" w:lineRule="exact"/>
        <w:ind w:left="0" w:leftChars="0" w:right="0" w:firstLine="640" w:firstLineChars="200"/>
        <w:outlineLvl w:val="1"/>
        <w:rPr>
          <w:rFonts w:hint="eastAsia" w:ascii="黑体" w:hAnsi="黑体" w:eastAsia="黑体" w:cs="黑体"/>
          <w:b/>
          <w:bCs/>
          <w:sz w:val="32"/>
          <w:szCs w:val="32"/>
        </w:rPr>
      </w:pPr>
      <w:bookmarkStart w:id="50" w:name="_Toc15396612"/>
      <w:bookmarkStart w:id="51" w:name="_Toc15377221"/>
      <w:r>
        <w:rPr>
          <w:rFonts w:hint="eastAsia" w:ascii="黑体" w:hAnsi="黑体" w:eastAsia="黑体" w:cs="黑体"/>
          <w:sz w:val="32"/>
          <w:szCs w:val="32"/>
        </w:rPr>
        <w:t>十</w:t>
      </w:r>
      <w:r>
        <w:rPr>
          <w:rFonts w:hint="eastAsia" w:ascii="黑体" w:hAnsi="黑体" w:eastAsia="黑体" w:cs="黑体"/>
          <w:b/>
          <w:bCs/>
          <w:sz w:val="32"/>
          <w:szCs w:val="32"/>
        </w:rPr>
        <w:t>、</w:t>
      </w:r>
      <w:r>
        <w:rPr>
          <w:rFonts w:hint="eastAsia" w:ascii="黑体" w:hAnsi="黑体" w:eastAsia="黑体" w:cs="黑体"/>
          <w:bCs/>
          <w:sz w:val="32"/>
          <w:szCs w:val="32"/>
        </w:rPr>
        <w:t>其他重要事项的情况说明</w:t>
      </w:r>
      <w:bookmarkEnd w:id="50"/>
      <w:bookmarkEnd w:id="51"/>
    </w:p>
    <w:p>
      <w:pPr>
        <w:pageBreakBefore w:val="0"/>
        <w:kinsoku/>
        <w:wordWrap/>
        <w:topLinePunct w:val="0"/>
        <w:bidi w:val="0"/>
        <w:spacing w:line="576" w:lineRule="exact"/>
        <w:ind w:left="0" w:leftChars="0" w:right="0" w:firstLine="640" w:firstLineChars="200"/>
        <w:outlineLvl w:val="2"/>
        <w:rPr>
          <w:rFonts w:hint="eastAsia" w:ascii="楷体" w:hAnsi="楷体" w:eastAsia="楷体" w:cs="楷体"/>
          <w:sz w:val="32"/>
          <w:szCs w:val="32"/>
        </w:rPr>
      </w:pPr>
      <w:bookmarkStart w:id="52" w:name="_Toc15377222"/>
      <w:r>
        <w:rPr>
          <w:rFonts w:hint="eastAsia" w:ascii="楷体" w:hAnsi="楷体" w:eastAsia="楷体" w:cs="楷体"/>
          <w:sz w:val="32"/>
          <w:szCs w:val="32"/>
        </w:rPr>
        <w:t>（一）机关运行经费支出情况</w:t>
      </w:r>
      <w:bookmarkEnd w:id="52"/>
    </w:p>
    <w:p>
      <w:pPr>
        <w:pageBreakBefore w:val="0"/>
        <w:kinsoku/>
        <w:wordWrap/>
        <w:topLinePunct w:val="0"/>
        <w:bidi w:val="0"/>
        <w:spacing w:line="576" w:lineRule="exact"/>
        <w:ind w:left="0" w:leftChars="0" w:right="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年，广元市林业局机关运行经费支出</w:t>
      </w:r>
      <w:r>
        <w:rPr>
          <w:rFonts w:hint="eastAsia" w:ascii="仿宋_GB2312" w:hAnsi="仿宋_GB2312" w:eastAsia="仿宋_GB2312" w:cs="仿宋_GB2312"/>
          <w:b w:val="0"/>
          <w:bCs w:val="0"/>
          <w:color w:val="auto"/>
          <w:sz w:val="32"/>
          <w:szCs w:val="32"/>
          <w:lang w:val="en-US" w:eastAsia="zh-CN"/>
        </w:rPr>
        <w:t>128.11</w:t>
      </w:r>
      <w:r>
        <w:rPr>
          <w:rFonts w:hint="eastAsia" w:ascii="仿宋_GB2312" w:hAnsi="仿宋_GB2312" w:eastAsia="仿宋_GB2312" w:cs="仿宋_GB2312"/>
          <w:b w:val="0"/>
          <w:bCs w:val="0"/>
          <w:color w:val="auto"/>
          <w:sz w:val="32"/>
          <w:szCs w:val="32"/>
        </w:rPr>
        <w:t>万元，比</w:t>
      </w:r>
      <w:r>
        <w:rPr>
          <w:rFonts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年减少</w:t>
      </w:r>
      <w:r>
        <w:rPr>
          <w:rFonts w:hint="eastAsia" w:ascii="仿宋_GB2312" w:hAnsi="仿宋_GB2312" w:eastAsia="仿宋_GB2312" w:cs="仿宋_GB2312"/>
          <w:b w:val="0"/>
          <w:bCs w:val="0"/>
          <w:color w:val="auto"/>
          <w:sz w:val="32"/>
          <w:szCs w:val="32"/>
          <w:lang w:val="en-US" w:eastAsia="zh-CN"/>
        </w:rPr>
        <w:t>69.72</w:t>
      </w:r>
      <w:r>
        <w:rPr>
          <w:rFonts w:hint="eastAsia" w:ascii="仿宋_GB2312" w:hAnsi="仿宋_GB2312" w:eastAsia="仿宋_GB2312" w:cs="仿宋_GB2312"/>
          <w:b w:val="0"/>
          <w:bCs w:val="0"/>
          <w:color w:val="auto"/>
          <w:sz w:val="32"/>
          <w:szCs w:val="32"/>
        </w:rPr>
        <w:t>万元，下降</w:t>
      </w:r>
      <w:r>
        <w:rPr>
          <w:rFonts w:hint="eastAsia" w:ascii="仿宋_GB2312" w:hAnsi="仿宋_GB2312" w:eastAsia="仿宋_GB2312" w:cs="仿宋_GB2312"/>
          <w:b w:val="0"/>
          <w:bCs w:val="0"/>
          <w:color w:val="auto"/>
          <w:sz w:val="32"/>
          <w:szCs w:val="32"/>
          <w:lang w:val="en-US" w:eastAsia="zh-CN"/>
        </w:rPr>
        <w:t>35.24</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。主要原因是加强管理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厉行节约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减少支出。</w:t>
      </w:r>
    </w:p>
    <w:p>
      <w:pPr>
        <w:pageBreakBefore w:val="0"/>
        <w:kinsoku/>
        <w:wordWrap/>
        <w:topLinePunct w:val="0"/>
        <w:autoSpaceDE w:val="0"/>
        <w:autoSpaceDN w:val="0"/>
        <w:bidi w:val="0"/>
        <w:adjustRightInd w:val="0"/>
        <w:spacing w:line="576" w:lineRule="exact"/>
        <w:ind w:left="0" w:leftChars="0" w:right="0" w:firstLine="640" w:firstLineChars="200"/>
        <w:jc w:val="left"/>
        <w:outlineLvl w:val="2"/>
        <w:rPr>
          <w:rFonts w:hint="eastAsia" w:ascii="楷体" w:hAnsi="楷体" w:eastAsia="楷体" w:cs="楷体"/>
          <w:sz w:val="32"/>
          <w:szCs w:val="32"/>
        </w:rPr>
      </w:pPr>
      <w:bookmarkStart w:id="53" w:name="_Toc15377223"/>
      <w:r>
        <w:rPr>
          <w:rFonts w:hint="eastAsia" w:ascii="楷体" w:hAnsi="楷体" w:eastAsia="楷体" w:cs="楷体"/>
          <w:sz w:val="32"/>
          <w:szCs w:val="32"/>
        </w:rPr>
        <w:t>（二）政府采购支出情况</w:t>
      </w:r>
      <w:bookmarkEnd w:id="53"/>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年，广元市林业局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ageBreakBefore w:val="0"/>
        <w:kinsoku/>
        <w:wordWrap/>
        <w:topLinePunct w:val="0"/>
        <w:autoSpaceDE w:val="0"/>
        <w:autoSpaceDN w:val="0"/>
        <w:bidi w:val="0"/>
        <w:adjustRightInd w:val="0"/>
        <w:spacing w:line="576" w:lineRule="exact"/>
        <w:ind w:left="0" w:leftChars="0" w:right="0" w:firstLine="640" w:firstLineChars="200"/>
        <w:jc w:val="left"/>
        <w:outlineLvl w:val="2"/>
        <w:rPr>
          <w:rFonts w:hint="eastAsia" w:ascii="楷体" w:hAnsi="楷体" w:eastAsia="楷体" w:cs="楷体"/>
          <w:sz w:val="32"/>
          <w:szCs w:val="32"/>
        </w:rPr>
      </w:pPr>
      <w:bookmarkStart w:id="54" w:name="_Toc15377224"/>
      <w:r>
        <w:rPr>
          <w:rFonts w:hint="eastAsia" w:ascii="楷体" w:hAnsi="楷体" w:eastAsia="楷体" w:cs="楷体"/>
          <w:sz w:val="32"/>
          <w:szCs w:val="32"/>
        </w:rPr>
        <w:t>（三）国有资产占有使用情况</w:t>
      </w:r>
      <w:bookmarkEnd w:id="54"/>
    </w:p>
    <w:p>
      <w:pPr>
        <w:pageBreakBefore w:val="0"/>
        <w:kinsoku/>
        <w:wordWrap/>
        <w:topLinePunct w:val="0"/>
        <w:autoSpaceDE w:val="0"/>
        <w:autoSpaceDN w:val="0"/>
        <w:bidi w:val="0"/>
        <w:adjustRightInd w:val="0"/>
        <w:spacing w:line="576" w:lineRule="exact"/>
        <w:ind w:left="0" w:leftChars="0" w:right="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w:t>
      </w:r>
      <w:r>
        <w:rPr>
          <w:rFonts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rPr>
        <w:t>月</w:t>
      </w:r>
      <w:r>
        <w:rPr>
          <w:rFonts w:ascii="仿宋_GB2312" w:hAnsi="仿宋_GB2312" w:eastAsia="仿宋_GB2312" w:cs="仿宋_GB2312"/>
          <w:sz w:val="32"/>
          <w:szCs w:val="32"/>
          <w:highlight w:val="none"/>
        </w:rPr>
        <w:t>31</w:t>
      </w:r>
      <w:r>
        <w:rPr>
          <w:rFonts w:hint="eastAsia" w:ascii="仿宋_GB2312" w:hAnsi="仿宋_GB2312" w:eastAsia="仿宋_GB2312" w:cs="仿宋_GB2312"/>
          <w:sz w:val="32"/>
          <w:szCs w:val="32"/>
          <w:highlight w:val="none"/>
        </w:rPr>
        <w:t>日，广元市林业局共有车辆</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辆，其中：主要领导干部用车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辆、机要通信用车0辆、应急保障用车3辆、执法执勤用车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辆。单价</w:t>
      </w:r>
      <w:r>
        <w:rPr>
          <w:rFonts w:ascii="仿宋_GB2312" w:hAnsi="仿宋_GB2312" w:eastAsia="仿宋_GB2312" w:cs="仿宋_GB2312"/>
          <w:sz w:val="32"/>
          <w:szCs w:val="32"/>
          <w:highlight w:val="none"/>
        </w:rPr>
        <w:t>50</w:t>
      </w:r>
      <w:r>
        <w:rPr>
          <w:rFonts w:hint="eastAsia" w:ascii="仿宋_GB2312" w:hAnsi="仿宋_GB2312" w:eastAsia="仿宋_GB2312" w:cs="仿宋_GB2312"/>
          <w:sz w:val="32"/>
          <w:szCs w:val="32"/>
          <w:highlight w:val="none"/>
        </w:rPr>
        <w:t>万元以上通用设备0台（套），单价</w:t>
      </w:r>
      <w:r>
        <w:rPr>
          <w:rFonts w:ascii="仿宋_GB2312" w:hAnsi="仿宋_GB2312" w:eastAsia="仿宋_GB2312" w:cs="仿宋_GB2312"/>
          <w:sz w:val="32"/>
          <w:szCs w:val="32"/>
          <w:highlight w:val="none"/>
        </w:rPr>
        <w:t>100</w:t>
      </w:r>
      <w:r>
        <w:rPr>
          <w:rFonts w:hint="eastAsia" w:ascii="仿宋_GB2312" w:hAnsi="仿宋_GB2312" w:eastAsia="仿宋_GB2312" w:cs="仿宋_GB2312"/>
          <w:sz w:val="32"/>
          <w:szCs w:val="32"/>
          <w:highlight w:val="none"/>
        </w:rPr>
        <w:t>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pageBreakBefore w:val="0"/>
        <w:kinsoku/>
        <w:wordWrap/>
        <w:topLinePunct w:val="0"/>
        <w:autoSpaceDE w:val="0"/>
        <w:autoSpaceDN w:val="0"/>
        <w:bidi w:val="0"/>
        <w:adjustRightInd w:val="0"/>
        <w:spacing w:line="576" w:lineRule="exact"/>
        <w:ind w:left="0" w:leftChars="0" w:right="0" w:firstLine="640" w:firstLineChars="200"/>
        <w:jc w:val="left"/>
        <w:outlineLvl w:val="2"/>
        <w:rPr>
          <w:rFonts w:hint="eastAsia" w:ascii="楷体" w:hAnsi="楷体" w:eastAsia="楷体" w:cs="楷体"/>
          <w:sz w:val="32"/>
          <w:szCs w:val="32"/>
        </w:rPr>
      </w:pPr>
      <w:r>
        <w:rPr>
          <w:rFonts w:hint="eastAsia" w:ascii="楷体" w:hAnsi="楷体" w:eastAsia="楷体" w:cs="楷体"/>
          <w:sz w:val="32"/>
          <w:szCs w:val="32"/>
        </w:rPr>
        <w:t>（四）预算绩效管理情况</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bookmarkStart w:id="55" w:name="_Toc15377225"/>
      <w:bookmarkStart w:id="56" w:name="_Toc15396613"/>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（单位）在年初预算编制阶段，组织对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个项目编制了绩效目标，年终执行完毕后，</w:t>
      </w:r>
      <w:r>
        <w:rPr>
          <w:rFonts w:hint="eastAsia" w:ascii="仿宋_GB2312" w:hAnsi="仿宋_GB2312" w:eastAsia="仿宋_GB2312" w:cs="仿宋_GB2312"/>
          <w:sz w:val="32"/>
          <w:szCs w:val="32"/>
          <w:lang w:val="en-US" w:eastAsia="zh-CN"/>
        </w:rPr>
        <w:t>5个项目</w:t>
      </w:r>
      <w:r>
        <w:rPr>
          <w:rFonts w:hint="eastAsia" w:ascii="仿宋_GB2312" w:hAnsi="仿宋_GB2312" w:eastAsia="仿宋_GB2312" w:cs="仿宋_GB2312"/>
          <w:sz w:val="32"/>
          <w:szCs w:val="32"/>
        </w:rPr>
        <w:t>开展了绩效目标完成情况自评。</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按要求对20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整体支出开展绩效自评，从评价情况来看整体运行较好，基本保障单位正常运转及相关职能职责的实施。本</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sz w:val="32"/>
          <w:szCs w:val="32"/>
        </w:rPr>
        <w:t>组织开展项目支出绩效评价。</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r>
        <w:rPr>
          <w:rFonts w:hint="eastAsia" w:ascii="仿宋_GB2312" w:hAnsi="楷体_GB2312" w:eastAsia="仿宋_GB2312" w:cs="楷体_GB2312"/>
          <w:sz w:val="32"/>
          <w:szCs w:val="32"/>
        </w:rPr>
        <w:t>1.项目绩效目标完成情况。</w:t>
      </w:r>
      <w:r>
        <w:rPr>
          <w:rFonts w:hint="eastAsia" w:ascii="仿宋_GB2312" w:hAnsi="楷体_GB2312" w:eastAsia="仿宋_GB2312" w:cs="楷体_GB2312"/>
          <w:sz w:val="32"/>
          <w:szCs w:val="32"/>
        </w:rPr>
        <w:br w:type="textWrapping"/>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在20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决算中反映“</w:t>
      </w:r>
      <w:r>
        <w:rPr>
          <w:rFonts w:hint="eastAsia" w:ascii="仿宋_GB2312" w:hAnsi="仿宋_GB2312" w:eastAsia="仿宋_GB2312" w:cs="仿宋_GB2312"/>
          <w:sz w:val="32"/>
          <w:szCs w:val="32"/>
          <w:lang w:eastAsia="zh-CN"/>
        </w:rPr>
        <w:t>现代林业产业发展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林业防灾减灾</w:t>
      </w:r>
      <w:r>
        <w:rPr>
          <w:rFonts w:hint="eastAsia" w:ascii="仿宋_GB2312" w:hAnsi="仿宋_GB2312" w:eastAsia="仿宋_GB2312" w:cs="仿宋_GB2312"/>
          <w:sz w:val="32"/>
          <w:szCs w:val="32"/>
        </w:rPr>
        <w:t>”“</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生态修复保护</w:t>
      </w:r>
      <w:r>
        <w:rPr>
          <w:rFonts w:hint="eastAsia" w:ascii="仿宋_GB2312" w:hAnsi="仿宋_GB2312" w:eastAsia="仿宋_GB2312" w:cs="仿宋_GB2312"/>
          <w:sz w:val="32"/>
          <w:szCs w:val="32"/>
        </w:rPr>
        <w:t>”等5个项目绩效目标实际完成情况。</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现代林业产业发展</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万元，完成预算的100%。通过项目实施，实现林业总产值200亿元以上，全市农民人均从林业产业获得收入达到3000元以上。以核桃、油橄榄为主木本油料+森林蔬菜（食用菌、笋用竹）、林下经济（森林药材）、珍稀苗木花卉、林板加工、森林康养旅游“2+5”现代林业体系进一步健全和巩固。</w:t>
      </w:r>
      <w:r>
        <w:rPr>
          <w:rFonts w:hint="eastAsia" w:ascii="仿宋_GB2312" w:hAnsi="仿宋_GB2312" w:eastAsia="仿宋_GB2312" w:cs="仿宋_GB2312"/>
          <w:sz w:val="32"/>
          <w:szCs w:val="32"/>
          <w:lang w:eastAsia="zh-CN"/>
        </w:rPr>
        <w:t>下一步措施：进一步加大力度发展产业，实现乡村产业兴旺，提高乡村绿化品位和档次。</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林业防灾减灾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万元，完成预算的100%。通过项目实施， 完成监测预警、基础设施建设、林业行业专业森林消防队伍组建管理;指导开展隐患排查整治、日常巡护、森林防灭火、林业有害生物防治等工作。把森林火灾损失率控制在0.1‰内，林业有害生物成灾率3‰以下，保护人民群众生命财产和森林资源安全。发现的主要问题：上级对</w:t>
      </w:r>
      <w:r>
        <w:rPr>
          <w:rFonts w:hint="eastAsia" w:ascii="仿宋_GB2312" w:hAnsi="仿宋_GB2312" w:eastAsia="仿宋_GB2312" w:cs="仿宋_GB2312"/>
          <w:sz w:val="32"/>
          <w:szCs w:val="32"/>
          <w:lang w:eastAsia="zh-CN"/>
        </w:rPr>
        <w:t>防火工作</w:t>
      </w:r>
      <w:r>
        <w:rPr>
          <w:rFonts w:hint="eastAsia" w:ascii="仿宋_GB2312" w:hAnsi="仿宋_GB2312" w:eastAsia="仿宋_GB2312" w:cs="仿宋_GB2312"/>
          <w:sz w:val="32"/>
          <w:szCs w:val="32"/>
        </w:rPr>
        <w:t>重视程度高、要求高、本级对安全生产检查频率高，导致费用居高不下。下一步改进措施：</w:t>
      </w:r>
      <w:r>
        <w:rPr>
          <w:rFonts w:hint="eastAsia" w:ascii="仿宋_GB2312" w:hAnsi="仿宋_GB2312" w:eastAsia="仿宋_GB2312" w:cs="仿宋_GB2312"/>
          <w:color w:val="auto"/>
          <w:sz w:val="32"/>
          <w:szCs w:val="32"/>
          <w:highlight w:val="none"/>
        </w:rPr>
        <w:t>严控本级专项检查次数，未经审批，一律不得外出检查。</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野生动植物保护</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万元，完成预算的100%。通过项目实施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指导、检查、监管、宣传、救助救护等方式开展野生动植物保护工作，使全市野生动植物资源得到有效保护和合理的经营利用，达到保护和利用的有效结合。为维护全市生物多样性和生态平衡发挥重要作用。发现的主要问题：</w:t>
      </w:r>
      <w:r>
        <w:rPr>
          <w:rFonts w:hint="eastAsia" w:ascii="仿宋_GB2312" w:hAnsi="仿宋_GB2312" w:eastAsia="仿宋_GB2312" w:cs="仿宋_GB2312"/>
          <w:sz w:val="32"/>
          <w:szCs w:val="32"/>
          <w:lang w:eastAsia="zh-CN"/>
        </w:rPr>
        <w:t>疫情期间，野保工作任务加大，</w:t>
      </w:r>
      <w:r>
        <w:rPr>
          <w:rFonts w:hint="eastAsia" w:ascii="仿宋_GB2312" w:hAnsi="仿宋_GB2312" w:eastAsia="仿宋_GB2312" w:cs="仿宋_GB2312"/>
          <w:sz w:val="32"/>
          <w:szCs w:val="32"/>
        </w:rPr>
        <w:t>经费只能维持基本工作运转。下一步改进措施：</w:t>
      </w:r>
      <w:r>
        <w:rPr>
          <w:rFonts w:hint="eastAsia" w:ascii="仿宋_GB2312" w:hAnsi="仿宋_GB2312" w:eastAsia="仿宋_GB2312" w:cs="仿宋_GB2312"/>
          <w:sz w:val="32"/>
          <w:szCs w:val="32"/>
          <w:lang w:eastAsia="zh-CN"/>
        </w:rPr>
        <w:t>加大力度争取上级资金</w:t>
      </w:r>
      <w:r>
        <w:rPr>
          <w:rFonts w:hint="eastAsia" w:ascii="仿宋_GB2312" w:hAnsi="仿宋_GB2312" w:eastAsia="仿宋_GB2312" w:cs="仿宋_GB2312"/>
          <w:sz w:val="32"/>
          <w:szCs w:val="32"/>
        </w:rPr>
        <w:t>，用有限的资金撬动更大价值。</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（4）扶贫专项工作经费项目绩效目标完成情况综述。项目全年预算数</w:t>
      </w:r>
      <w:r>
        <w:rPr>
          <w:rFonts w:hint="eastAsia" w:ascii="仿宋_GB2312" w:hAnsi="仿宋_GB2312" w:eastAsia="仿宋_GB2312" w:cs="仿宋_GB2312"/>
          <w:sz w:val="32"/>
          <w:szCs w:val="32"/>
          <w:lang w:val="en-US" w:eastAsia="zh-CN"/>
        </w:rPr>
        <w:t>5.12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5.12</w:t>
      </w:r>
      <w:r>
        <w:rPr>
          <w:rFonts w:hint="eastAsia" w:ascii="仿宋_GB2312" w:hAnsi="仿宋_GB2312" w:eastAsia="仿宋_GB2312" w:cs="仿宋_GB2312"/>
          <w:sz w:val="32"/>
          <w:szCs w:val="32"/>
        </w:rPr>
        <w:t>万元，完成预算的100%。通过项目实施，保障扶贫</w:t>
      </w:r>
      <w:r>
        <w:rPr>
          <w:rFonts w:ascii="仿宋_GB2312" w:hAnsi="仿宋_GB2312" w:eastAsia="仿宋_GB2312" w:cs="仿宋_GB2312"/>
          <w:sz w:val="32"/>
          <w:szCs w:val="32"/>
        </w:rPr>
        <w:t>工作人员经费</w:t>
      </w:r>
      <w:r>
        <w:rPr>
          <w:rFonts w:hint="eastAsia" w:ascii="仿宋_GB2312" w:hAnsi="仿宋_GB2312" w:eastAsia="仿宋_GB2312" w:cs="仿宋_GB2312"/>
          <w:sz w:val="32"/>
          <w:szCs w:val="32"/>
        </w:rPr>
        <w:t>，发现的主要问题：经</w:t>
      </w:r>
      <w:r>
        <w:rPr>
          <w:rFonts w:ascii="仿宋_GB2312" w:hAnsi="仿宋_GB2312" w:eastAsia="仿宋_GB2312" w:cs="仿宋_GB2312"/>
          <w:sz w:val="32"/>
          <w:szCs w:val="32"/>
        </w:rPr>
        <w:t>费严重不足</w:t>
      </w:r>
      <w:r>
        <w:rPr>
          <w:rFonts w:hint="eastAsia" w:ascii="仿宋_GB2312" w:hAnsi="仿宋_GB2312" w:eastAsia="仿宋_GB2312" w:cs="仿宋_GB2312"/>
          <w:sz w:val="32"/>
          <w:szCs w:val="32"/>
        </w:rPr>
        <w:t>。下一步改进措施：扶</w:t>
      </w:r>
      <w:r>
        <w:rPr>
          <w:rFonts w:ascii="仿宋_GB2312" w:hAnsi="仿宋_GB2312" w:eastAsia="仿宋_GB2312" w:cs="仿宋_GB2312"/>
          <w:sz w:val="32"/>
          <w:szCs w:val="32"/>
        </w:rPr>
        <w:t>贫工作即将结束，</w:t>
      </w:r>
      <w:r>
        <w:rPr>
          <w:rFonts w:hint="eastAsia" w:ascii="仿宋_GB2312" w:hAnsi="仿宋_GB2312" w:eastAsia="仿宋_GB2312" w:cs="仿宋_GB2312"/>
          <w:sz w:val="32"/>
          <w:szCs w:val="32"/>
        </w:rPr>
        <w:t>之</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经费会</w:t>
      </w:r>
      <w:r>
        <w:rPr>
          <w:rFonts w:hint="eastAsia" w:ascii="仿宋_GB2312" w:hAnsi="仿宋_GB2312" w:eastAsia="仿宋_GB2312" w:cs="仿宋_GB2312"/>
          <w:sz w:val="32"/>
          <w:szCs w:val="32"/>
        </w:rPr>
        <w:t>大</w:t>
      </w:r>
      <w:r>
        <w:rPr>
          <w:rFonts w:ascii="仿宋_GB2312" w:hAnsi="仿宋_GB2312" w:eastAsia="仿宋_GB2312" w:cs="仿宋_GB2312"/>
          <w:sz w:val="32"/>
          <w:szCs w:val="32"/>
        </w:rPr>
        <w:t>幅减少。</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林业生态保护</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万元，完成预算的100%。通过项目实施，指导和督促各县区及直属单位依法管护国有林80.11万亩，完成全市624.39万亩集体公益林森林生态效益补偿基金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175.63万亩</w:t>
      </w:r>
      <w:r>
        <w:rPr>
          <w:rFonts w:hint="eastAsia" w:ascii="仿宋_GB2312" w:hAnsi="仿宋_GB2312" w:eastAsia="仿宋_GB2312" w:cs="仿宋_GB2312"/>
          <w:sz w:val="32"/>
          <w:szCs w:val="32"/>
        </w:rPr>
        <w:t>集体和个人所有天然商品林停伐管护补助面积兑现工作，巩固退耕还林成果，完成退耕还林直补资金兑现；开展野生动植物保护、自然保护地摸底、执法监管等工作，加强森林资源管护，坚守生态安全，全面完成“双增长”年度目标任务。发</w:t>
      </w:r>
      <w:r>
        <w:rPr>
          <w:rFonts w:ascii="仿宋_GB2312" w:hAnsi="仿宋_GB2312" w:eastAsia="仿宋_GB2312" w:cs="仿宋_GB2312"/>
          <w:sz w:val="32"/>
          <w:szCs w:val="32"/>
        </w:rPr>
        <w:t>现的主要问题：</w:t>
      </w:r>
      <w:r>
        <w:rPr>
          <w:rFonts w:hint="eastAsia" w:ascii="仿宋_GB2312" w:hAnsi="仿宋_GB2312" w:eastAsia="仿宋_GB2312" w:cs="仿宋_GB2312"/>
          <w:sz w:val="32"/>
          <w:szCs w:val="32"/>
          <w:lang w:eastAsia="zh-CN"/>
        </w:rPr>
        <w:t>工作任务大，经费居高不下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加大力度争取上级补助资金，控制经费支出</w:t>
      </w:r>
      <w:r>
        <w:rPr>
          <w:rFonts w:hint="eastAsia" w:ascii="仿宋_GB2312" w:hAnsi="仿宋_GB2312" w:eastAsia="仿宋_GB2312" w:cs="仿宋_GB2312"/>
          <w:sz w:val="32"/>
          <w:szCs w:val="32"/>
        </w:rPr>
        <w:t>。</w:t>
      </w:r>
    </w:p>
    <w:tbl>
      <w:tblPr>
        <w:tblStyle w:val="12"/>
        <w:tblpPr w:leftFromText="180" w:rightFromText="180" w:vertAnchor="text" w:horzAnchor="page" w:tblpXSpec="center" w:tblpY="423"/>
        <w:tblOverlap w:val="never"/>
        <w:tblW w:w="10079" w:type="dxa"/>
        <w:jc w:val="center"/>
        <w:tblLayout w:type="autofit"/>
        <w:tblCellMar>
          <w:top w:w="0" w:type="dxa"/>
          <w:left w:w="0" w:type="dxa"/>
          <w:bottom w:w="0" w:type="dxa"/>
          <w:right w:w="0" w:type="dxa"/>
        </w:tblCellMar>
      </w:tblPr>
      <w:tblGrid>
        <w:gridCol w:w="659"/>
        <w:gridCol w:w="1359"/>
        <w:gridCol w:w="1025"/>
        <w:gridCol w:w="2316"/>
        <w:gridCol w:w="2394"/>
        <w:gridCol w:w="2326"/>
      </w:tblGrid>
      <w:tr>
        <w:tblPrEx>
          <w:tblCellMar>
            <w:top w:w="0" w:type="dxa"/>
            <w:left w:w="0" w:type="dxa"/>
            <w:bottom w:w="0" w:type="dxa"/>
            <w:right w:w="0" w:type="dxa"/>
          </w:tblCellMar>
        </w:tblPrEx>
        <w:trPr>
          <w:trHeight w:val="0" w:hRule="atLeast"/>
          <w:jc w:val="center"/>
        </w:trPr>
        <w:tc>
          <w:tcPr>
            <w:tcW w:w="10079" w:type="dxa"/>
            <w:gridSpan w:val="6"/>
            <w:noWrap w:val="0"/>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楷体_GB2312" w:hAnsi="宋体" w:eastAsia="楷体_GB2312" w:cs="宋体"/>
                <w:color w:val="000000"/>
                <w:sz w:val="36"/>
                <w:szCs w:val="36"/>
              </w:rPr>
            </w:pPr>
            <w:r>
              <w:rPr>
                <w:rFonts w:hint="eastAsia" w:ascii="黑体" w:hAnsi="黑体" w:eastAsia="黑体" w:cs="黑体"/>
                <w:bCs/>
                <w:color w:val="000000"/>
                <w:kern w:val="0"/>
                <w:sz w:val="32"/>
                <w:szCs w:val="32"/>
              </w:rPr>
              <w:t>项目支出绩效目标完成情况表</w:t>
            </w:r>
            <w:r>
              <w:rPr>
                <w:rFonts w:hint="eastAsia" w:ascii="黑体" w:hAnsi="黑体" w:eastAsia="黑体" w:cs="黑体"/>
                <w:b/>
                <w:bCs/>
                <w:color w:val="000000"/>
                <w:kern w:val="0"/>
                <w:sz w:val="32"/>
                <w:szCs w:val="32"/>
              </w:rPr>
              <w:br w:type="textWrapping"/>
            </w:r>
            <w:r>
              <w:rPr>
                <w:rFonts w:hint="eastAsia" w:ascii="黑体" w:hAnsi="黑体" w:eastAsia="黑体" w:cs="黑体"/>
                <w:color w:val="000000"/>
                <w:kern w:val="0"/>
                <w:sz w:val="32"/>
                <w:szCs w:val="32"/>
              </w:rPr>
              <w:t>(2020年度)</w:t>
            </w:r>
          </w:p>
        </w:tc>
      </w:tr>
      <w:tr>
        <w:tblPrEx>
          <w:tblCellMar>
            <w:top w:w="0" w:type="dxa"/>
            <w:left w:w="0" w:type="dxa"/>
            <w:bottom w:w="0" w:type="dxa"/>
            <w:right w:w="0" w:type="dxa"/>
          </w:tblCellMar>
        </w:tblPrEx>
        <w:trPr>
          <w:trHeight w:val="0" w:hRule="atLeast"/>
          <w:jc w:val="center"/>
        </w:trPr>
        <w:tc>
          <w:tcPr>
            <w:tcW w:w="30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项目名称</w:t>
            </w:r>
          </w:p>
        </w:tc>
        <w:tc>
          <w:tcPr>
            <w:tcW w:w="70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现代林业产业发展</w:t>
            </w:r>
          </w:p>
        </w:tc>
      </w:tr>
      <w:tr>
        <w:tblPrEx>
          <w:tblCellMar>
            <w:top w:w="0" w:type="dxa"/>
            <w:left w:w="0" w:type="dxa"/>
            <w:bottom w:w="0" w:type="dxa"/>
            <w:right w:w="0" w:type="dxa"/>
          </w:tblCellMar>
        </w:tblPrEx>
        <w:trPr>
          <w:trHeight w:val="0" w:hRule="atLeast"/>
          <w:jc w:val="center"/>
        </w:trPr>
        <w:tc>
          <w:tcPr>
            <w:tcW w:w="30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预算单位</w:t>
            </w:r>
          </w:p>
        </w:tc>
        <w:tc>
          <w:tcPr>
            <w:tcW w:w="70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广元市林业局</w:t>
            </w:r>
          </w:p>
        </w:tc>
      </w:tr>
      <w:tr>
        <w:tblPrEx>
          <w:tblCellMar>
            <w:top w:w="0" w:type="dxa"/>
            <w:left w:w="0" w:type="dxa"/>
            <w:bottom w:w="0" w:type="dxa"/>
            <w:right w:w="0" w:type="dxa"/>
          </w:tblCellMar>
        </w:tblPrEx>
        <w:trPr>
          <w:trHeight w:val="0"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预算执行情况(万元)</w:t>
            </w:r>
          </w:p>
        </w:tc>
        <w:tc>
          <w:tcPr>
            <w:tcW w:w="2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预算数:</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执行数:</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w:t>
            </w:r>
          </w:p>
        </w:tc>
      </w:tr>
      <w:tr>
        <w:tblPrEx>
          <w:tblCellMar>
            <w:top w:w="0" w:type="dxa"/>
            <w:left w:w="0" w:type="dxa"/>
            <w:bottom w:w="0" w:type="dxa"/>
            <w:right w:w="0" w:type="dxa"/>
          </w:tblCellMar>
        </w:tblPrEx>
        <w:trPr>
          <w:trHeight w:val="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w:t>
            </w:r>
          </w:p>
        </w:tc>
      </w:tr>
      <w:tr>
        <w:tblPrEx>
          <w:tblCellMar>
            <w:top w:w="0" w:type="dxa"/>
            <w:left w:w="0" w:type="dxa"/>
            <w:bottom w:w="0" w:type="dxa"/>
            <w:right w:w="0" w:type="dxa"/>
          </w:tblCellMar>
        </w:tblPrEx>
        <w:trPr>
          <w:trHeight w:val="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0"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年度目标完成情况</w:t>
            </w:r>
          </w:p>
        </w:tc>
        <w:tc>
          <w:tcPr>
            <w:tcW w:w="47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预期目标</w:t>
            </w:r>
          </w:p>
        </w:tc>
        <w:tc>
          <w:tcPr>
            <w:tcW w:w="4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实际完成目标</w:t>
            </w:r>
          </w:p>
        </w:tc>
      </w:tr>
      <w:tr>
        <w:tblPrEx>
          <w:tblCellMar>
            <w:top w:w="0" w:type="dxa"/>
            <w:left w:w="0" w:type="dxa"/>
            <w:bottom w:w="0" w:type="dxa"/>
            <w:right w:w="0" w:type="dxa"/>
          </w:tblCellMar>
        </w:tblPrEx>
        <w:trPr>
          <w:trHeight w:val="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47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实现林业总产值200亿元以上，全市农民人均从林业产业获得收入达到3000元以上。以核桃、油橄榄为主木本油料+森林蔬菜（食用菌、笋用竹）、林下经济（森林药材）、珍稀苗木花卉、林板加工、森林康养旅游“2+5”现代林业体系进一步健全和巩固。</w:t>
            </w:r>
          </w:p>
        </w:tc>
        <w:tc>
          <w:tcPr>
            <w:tcW w:w="4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实现林业总产值200亿元以上，全市农民人均从林业产业获得收入达到3000元以上。以核桃、油橄榄为主木本油料+森林蔬菜（食用菌、笋用竹）、林下经济（森林药材）、珍稀苗木花卉、林板加工、森林康养旅游“2+5”现代林业体系进一步健全和巩固。</w:t>
            </w:r>
          </w:p>
        </w:tc>
      </w:tr>
      <w:tr>
        <w:tblPrEx>
          <w:tblCellMar>
            <w:top w:w="0" w:type="dxa"/>
            <w:left w:w="0" w:type="dxa"/>
            <w:bottom w:w="0" w:type="dxa"/>
            <w:right w:w="0" w:type="dxa"/>
          </w:tblCellMar>
        </w:tblPrEx>
        <w:trPr>
          <w:trHeight w:val="0" w:hRule="atLeast"/>
          <w:jc w:val="center"/>
        </w:trPr>
        <w:tc>
          <w:tcPr>
            <w:tcW w:w="659"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绩效指标完成情况</w:t>
            </w:r>
          </w:p>
        </w:tc>
        <w:tc>
          <w:tcPr>
            <w:tcW w:w="13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二级指标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预期指标值(包含数字及文字描述)</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实际完成指标值(包含数字及文字描述)</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项目完成指标</w:t>
            </w: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数量指标</w:t>
            </w: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召开流动现场会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夏季一次，冬季一次</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品种改良</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10万亩</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基地建设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10万亩</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质量指标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品改成活率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85%</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基地建设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90%</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时效指标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品种改良</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10月底前完成</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基地建设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12月中旬以上完成</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成本指标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总量控制</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费用不超过预算总额</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费用不超过预算总额</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restart"/>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项目效益</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经济指标收入</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农民人均林业收入</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3000元</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社会效益</w:t>
            </w: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助推脱贫攻坚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贫困户人均增收1000元以上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助推乡村振兴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乡村产业兴旺</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生态效益指标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乡村绿化美化</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bCs/>
                <w:color w:val="000000"/>
                <w:sz w:val="28"/>
                <w:szCs w:val="28"/>
                <w:lang w:eastAsia="zh-CN"/>
              </w:rPr>
            </w:pPr>
            <w:r>
              <w:rPr>
                <w:rFonts w:hint="eastAsia" w:ascii="仿宋" w:hAnsi="仿宋" w:eastAsia="仿宋" w:cs="仿宋"/>
                <w:b w:val="0"/>
                <w:bCs w:val="0"/>
                <w:color w:val="000000"/>
                <w:sz w:val="28"/>
                <w:szCs w:val="28"/>
                <w:lang w:eastAsia="zh-CN"/>
              </w:rPr>
              <w:t>提高乡村绿化品位和档次</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可持续影响指标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筑牢嘉陵江上游生态屏障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生态建设产业化，产业发展生态化</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restart"/>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满意度指标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满意度指标</w:t>
            </w: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群众对发展林业产业的支持率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90%以上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已完成</w:t>
            </w:r>
          </w:p>
        </w:tc>
      </w:tr>
      <w:tr>
        <w:tblPrEx>
          <w:tblCellMar>
            <w:top w:w="0" w:type="dxa"/>
            <w:left w:w="0" w:type="dxa"/>
            <w:bottom w:w="0" w:type="dxa"/>
            <w:right w:w="0" w:type="dxa"/>
          </w:tblCellMar>
        </w:tblPrEx>
        <w:trPr>
          <w:trHeight w:val="0" w:hRule="atLeast"/>
          <w:jc w:val="center"/>
        </w:trPr>
        <w:tc>
          <w:tcPr>
            <w:tcW w:w="6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59"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群众对发展林业产业的满意率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90%以上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bl>
    <w:p>
      <w:pPr>
        <w:pStyle w:val="2"/>
        <w:rPr>
          <w:rFonts w:hint="eastAsia" w:ascii="仿宋" w:hAnsi="仿宋" w:eastAsia="仿宋" w:cs="仿宋"/>
          <w:sz w:val="28"/>
          <w:szCs w:val="28"/>
        </w:rPr>
      </w:pPr>
    </w:p>
    <w:tbl>
      <w:tblPr>
        <w:tblStyle w:val="12"/>
        <w:tblpPr w:leftFromText="180" w:rightFromText="180" w:vertAnchor="text" w:horzAnchor="page" w:tblpXSpec="center" w:tblpY="423"/>
        <w:tblOverlap w:val="never"/>
        <w:tblW w:w="9818" w:type="dxa"/>
        <w:jc w:val="center"/>
        <w:tblLayout w:type="autofit"/>
        <w:tblCellMar>
          <w:top w:w="0" w:type="dxa"/>
          <w:left w:w="0" w:type="dxa"/>
          <w:bottom w:w="0" w:type="dxa"/>
          <w:right w:w="0" w:type="dxa"/>
        </w:tblCellMar>
      </w:tblPr>
      <w:tblGrid>
        <w:gridCol w:w="1062"/>
        <w:gridCol w:w="1334"/>
        <w:gridCol w:w="1450"/>
        <w:gridCol w:w="1866"/>
        <w:gridCol w:w="2784"/>
        <w:gridCol w:w="1322"/>
      </w:tblGrid>
      <w:tr>
        <w:tblPrEx>
          <w:tblCellMar>
            <w:top w:w="0" w:type="dxa"/>
            <w:left w:w="0" w:type="dxa"/>
            <w:bottom w:w="0" w:type="dxa"/>
            <w:right w:w="0" w:type="dxa"/>
          </w:tblCellMar>
        </w:tblPrEx>
        <w:trPr>
          <w:trHeight w:val="0" w:hRule="atLeast"/>
          <w:jc w:val="center"/>
        </w:trPr>
        <w:tc>
          <w:tcPr>
            <w:tcW w:w="9818" w:type="dxa"/>
            <w:gridSpan w:val="6"/>
            <w:noWrap w:val="0"/>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黑体" w:hAnsi="黑体" w:eastAsia="黑体" w:cs="黑体"/>
                <w:color w:val="000000"/>
                <w:sz w:val="28"/>
                <w:szCs w:val="28"/>
              </w:rPr>
            </w:pPr>
            <w:r>
              <w:rPr>
                <w:rFonts w:hint="eastAsia" w:ascii="黑体" w:hAnsi="黑体" w:eastAsia="黑体" w:cs="黑体"/>
                <w:bCs/>
                <w:color w:val="000000"/>
                <w:kern w:val="0"/>
                <w:sz w:val="28"/>
                <w:szCs w:val="28"/>
              </w:rPr>
              <w:t>项目支出绩效目标完成情况表</w:t>
            </w:r>
            <w:r>
              <w:rPr>
                <w:rFonts w:hint="eastAsia" w:ascii="黑体" w:hAnsi="黑体" w:eastAsia="黑体" w:cs="黑体"/>
                <w:b/>
                <w:bCs/>
                <w:color w:val="000000"/>
                <w:kern w:val="0"/>
                <w:sz w:val="28"/>
                <w:szCs w:val="28"/>
              </w:rPr>
              <w:br w:type="textWrapping"/>
            </w:r>
            <w:r>
              <w:rPr>
                <w:rFonts w:hint="eastAsia" w:ascii="黑体" w:hAnsi="黑体" w:eastAsia="黑体" w:cs="黑体"/>
                <w:color w:val="000000"/>
                <w:kern w:val="0"/>
                <w:sz w:val="28"/>
                <w:szCs w:val="28"/>
              </w:rPr>
              <w:t>(2020年度)</w:t>
            </w:r>
          </w:p>
        </w:tc>
      </w:tr>
      <w:tr>
        <w:tblPrEx>
          <w:tblCellMar>
            <w:top w:w="0" w:type="dxa"/>
            <w:left w:w="0" w:type="dxa"/>
            <w:bottom w:w="0" w:type="dxa"/>
            <w:right w:w="0" w:type="dxa"/>
          </w:tblCellMar>
        </w:tblPrEx>
        <w:trPr>
          <w:trHeight w:val="0" w:hRule="atLeast"/>
          <w:jc w:val="center"/>
        </w:trPr>
        <w:tc>
          <w:tcPr>
            <w:tcW w:w="38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项目名称</w:t>
            </w:r>
          </w:p>
        </w:tc>
        <w:tc>
          <w:tcPr>
            <w:tcW w:w="59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林业防灾减灾</w:t>
            </w:r>
          </w:p>
        </w:tc>
      </w:tr>
      <w:tr>
        <w:tblPrEx>
          <w:tblCellMar>
            <w:top w:w="0" w:type="dxa"/>
            <w:left w:w="0" w:type="dxa"/>
            <w:bottom w:w="0" w:type="dxa"/>
            <w:right w:w="0" w:type="dxa"/>
          </w:tblCellMar>
        </w:tblPrEx>
        <w:trPr>
          <w:trHeight w:val="0" w:hRule="atLeast"/>
          <w:jc w:val="center"/>
        </w:trPr>
        <w:tc>
          <w:tcPr>
            <w:tcW w:w="38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预算单位</w:t>
            </w:r>
          </w:p>
        </w:tc>
        <w:tc>
          <w:tcPr>
            <w:tcW w:w="59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林业局</w:t>
            </w:r>
          </w:p>
        </w:tc>
      </w:tr>
      <w:tr>
        <w:tblPrEx>
          <w:tblCellMar>
            <w:top w:w="0" w:type="dxa"/>
            <w:left w:w="0" w:type="dxa"/>
            <w:bottom w:w="0" w:type="dxa"/>
            <w:right w:w="0" w:type="dxa"/>
          </w:tblCellMar>
        </w:tblPrEx>
        <w:trPr>
          <w:trHeight w:val="0" w:hRule="atLeast"/>
          <w:jc w:val="center"/>
        </w:trPr>
        <w:tc>
          <w:tcPr>
            <w:tcW w:w="10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预算执行情况(万元)</w:t>
            </w:r>
          </w:p>
        </w:tc>
        <w:tc>
          <w:tcPr>
            <w:tcW w:w="27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预算数:</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29</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执行数:</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29</w:t>
            </w:r>
          </w:p>
        </w:tc>
      </w:tr>
      <w:tr>
        <w:tblPrEx>
          <w:tblCellMar>
            <w:top w:w="0" w:type="dxa"/>
            <w:left w:w="0" w:type="dxa"/>
            <w:bottom w:w="0" w:type="dxa"/>
            <w:right w:w="0" w:type="dxa"/>
          </w:tblCellMar>
        </w:tblPrEx>
        <w:trPr>
          <w:trHeight w:val="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7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29</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29</w:t>
            </w:r>
          </w:p>
        </w:tc>
      </w:tr>
      <w:tr>
        <w:tblPrEx>
          <w:tblCellMar>
            <w:top w:w="0" w:type="dxa"/>
            <w:left w:w="0" w:type="dxa"/>
            <w:bottom w:w="0" w:type="dxa"/>
            <w:right w:w="0" w:type="dxa"/>
          </w:tblCellMar>
        </w:tblPrEx>
        <w:trPr>
          <w:trHeight w:val="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7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w:t>
            </w:r>
          </w:p>
        </w:tc>
      </w:tr>
      <w:tr>
        <w:tblPrEx>
          <w:tblCellMar>
            <w:top w:w="0" w:type="dxa"/>
            <w:left w:w="0" w:type="dxa"/>
            <w:bottom w:w="0" w:type="dxa"/>
            <w:right w:w="0" w:type="dxa"/>
          </w:tblCellMar>
        </w:tblPrEx>
        <w:trPr>
          <w:trHeight w:val="0" w:hRule="atLeast"/>
          <w:jc w:val="center"/>
        </w:trPr>
        <w:tc>
          <w:tcPr>
            <w:tcW w:w="10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年度目标完成情况</w:t>
            </w:r>
          </w:p>
        </w:tc>
        <w:tc>
          <w:tcPr>
            <w:tcW w:w="46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预期目标</w:t>
            </w:r>
          </w:p>
        </w:tc>
        <w:tc>
          <w:tcPr>
            <w:tcW w:w="41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实际完成目标</w:t>
            </w:r>
          </w:p>
        </w:tc>
      </w:tr>
      <w:tr>
        <w:tblPrEx>
          <w:tblCellMar>
            <w:top w:w="0" w:type="dxa"/>
            <w:left w:w="0" w:type="dxa"/>
            <w:bottom w:w="0" w:type="dxa"/>
            <w:right w:w="0" w:type="dxa"/>
          </w:tblCellMar>
        </w:tblPrEx>
        <w:trPr>
          <w:trHeight w:val="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46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sz w:val="28"/>
                <w:szCs w:val="28"/>
              </w:rPr>
              <w:t>完成监测预警、基础设施建设、林业行业专业森林消防队伍组建管理;指导开展隐患排查整治、日常巡护、森林防灭火、林业有害生物防治等工作。把森林火灾损失率控制在0.1‰内，林业有害生物成灾率3‰以下，保护人民群众生命财产和森林资源安全。</w:t>
            </w:r>
          </w:p>
        </w:tc>
        <w:tc>
          <w:tcPr>
            <w:tcW w:w="41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sz w:val="28"/>
                <w:szCs w:val="28"/>
              </w:rPr>
              <w:t>完成监测预警、基础设施建设、林业行业专业森林消防队伍组建管理;指导开展隐患排查整治、日常巡护、森林防灭火、林业有害生物防治等工作。把森林火灾损失率控制在0.1‰内，林业有害生物成灾率3‰以下，保护人民群众生命财产和森林资源安全。</w:t>
            </w:r>
          </w:p>
        </w:tc>
      </w:tr>
      <w:tr>
        <w:tblPrEx>
          <w:tblCellMar>
            <w:top w:w="0" w:type="dxa"/>
            <w:left w:w="0" w:type="dxa"/>
            <w:bottom w:w="0" w:type="dxa"/>
            <w:right w:w="0" w:type="dxa"/>
          </w:tblCellMar>
        </w:tblPrEx>
        <w:trPr>
          <w:trHeight w:val="0" w:hRule="atLeast"/>
          <w:jc w:val="center"/>
        </w:trPr>
        <w:tc>
          <w:tcPr>
            <w:tcW w:w="10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绩效指标完成情况</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一级指标</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二级指标</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三级指标</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预期指标值(包含数字及文字描述)</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实际完成指标值(包含数字及文字描述)</w:t>
            </w:r>
          </w:p>
        </w:tc>
      </w:tr>
      <w:tr>
        <w:tblPrEx>
          <w:tblCellMar>
            <w:top w:w="0" w:type="dxa"/>
            <w:left w:w="0" w:type="dxa"/>
            <w:bottom w:w="0" w:type="dxa"/>
            <w:right w:w="0" w:type="dxa"/>
          </w:tblCellMar>
        </w:tblPrEx>
        <w:trPr>
          <w:trHeight w:val="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34"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项目完成指标</w:t>
            </w: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质量</w:t>
            </w:r>
            <w:r>
              <w:rPr>
                <w:rFonts w:hint="eastAsia" w:ascii="仿宋" w:hAnsi="仿宋" w:eastAsia="仿宋" w:cs="仿宋"/>
                <w:color w:val="000000"/>
                <w:sz w:val="28"/>
                <w:szCs w:val="28"/>
              </w:rPr>
              <w:t>指标</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完成全年目标</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100%</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34"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时效指标</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完成时间</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2020</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rPr>
              <w:t>12</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日</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2020</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rPr>
              <w:t>12</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日</w:t>
            </w:r>
          </w:p>
        </w:tc>
      </w:tr>
      <w:tr>
        <w:tblPrEx>
          <w:tblCellMar>
            <w:top w:w="0" w:type="dxa"/>
            <w:left w:w="0" w:type="dxa"/>
            <w:bottom w:w="0" w:type="dxa"/>
            <w:right w:w="0" w:type="dxa"/>
          </w:tblCellMar>
        </w:tblPrEx>
        <w:trPr>
          <w:trHeight w:val="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34"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成本指标</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总量控制</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费用不超过预算总额</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费用不超过预算总额</w:t>
            </w:r>
          </w:p>
        </w:tc>
      </w:tr>
      <w:tr>
        <w:tblPrEx>
          <w:tblCellMar>
            <w:top w:w="0" w:type="dxa"/>
            <w:left w:w="0" w:type="dxa"/>
            <w:bottom w:w="0" w:type="dxa"/>
            <w:right w:w="0" w:type="dxa"/>
          </w:tblCellMar>
        </w:tblPrEx>
        <w:trPr>
          <w:trHeight w:val="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34"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社会效益指标</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完成森林防火、重大林业有害生物防治目标</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全市森林火灾损失率控制在0.1‰以内，林业有害生物成灾率3‰以下，无公害防治率90%以上，测报准确率90%以上。</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10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34"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r>
              <w:rPr>
                <w:rFonts w:hint="eastAsia" w:ascii="仿宋" w:hAnsi="仿宋" w:eastAsia="仿宋" w:cs="仿宋"/>
                <w:sz w:val="28"/>
                <w:szCs w:val="28"/>
              </w:rPr>
              <w:t>满意度指标</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满意度指标</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本级</w:t>
            </w:r>
            <w:r>
              <w:rPr>
                <w:rFonts w:hint="eastAsia" w:ascii="仿宋" w:hAnsi="仿宋" w:eastAsia="仿宋" w:cs="仿宋"/>
                <w:color w:val="000000"/>
                <w:sz w:val="28"/>
                <w:szCs w:val="28"/>
              </w:rPr>
              <w:t>满意度</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90%以上</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CellMar>
            <w:top w:w="0" w:type="dxa"/>
            <w:left w:w="0" w:type="dxa"/>
            <w:bottom w:w="0" w:type="dxa"/>
            <w:right w:w="0" w:type="dxa"/>
          </w:tblCellMar>
        </w:tblPrEx>
        <w:trPr>
          <w:trHeight w:val="0" w:hRule="atLeast"/>
          <w:jc w:val="center"/>
        </w:trPr>
        <w:tc>
          <w:tcPr>
            <w:tcW w:w="10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334"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满意度指标</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社会满意度</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90%以上</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bl>
    <w:p>
      <w:pPr>
        <w:rPr>
          <w:rFonts w:hint="eastAsia"/>
        </w:rPr>
      </w:pPr>
    </w:p>
    <w:tbl>
      <w:tblPr>
        <w:tblStyle w:val="12"/>
        <w:tblpPr w:leftFromText="180" w:rightFromText="180" w:vertAnchor="text" w:horzAnchor="page" w:tblpXSpec="center" w:tblpY="423"/>
        <w:tblOverlap w:val="never"/>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2"/>
        <w:gridCol w:w="618"/>
        <w:gridCol w:w="1120"/>
        <w:gridCol w:w="2350"/>
        <w:gridCol w:w="2450"/>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38" w:type="dxa"/>
            <w:gridSpan w:val="6"/>
            <w:tcBorders>
              <w:tl2br w:val="nil"/>
              <w:tr2bl w:val="nil"/>
            </w:tcBorders>
            <w:noWrap w:val="0"/>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黑体" w:hAnsi="黑体" w:eastAsia="黑体" w:cs="黑体"/>
                <w:color w:val="000000"/>
                <w:sz w:val="28"/>
                <w:szCs w:val="28"/>
              </w:rPr>
            </w:pPr>
            <w:r>
              <w:rPr>
                <w:rFonts w:hint="eastAsia" w:ascii="黑体" w:hAnsi="黑体" w:eastAsia="黑体" w:cs="黑体"/>
                <w:bCs/>
                <w:color w:val="000000"/>
                <w:kern w:val="0"/>
                <w:sz w:val="28"/>
                <w:szCs w:val="28"/>
              </w:rPr>
              <w:t>项目支出绩效目标完成情况表</w:t>
            </w:r>
            <w:r>
              <w:rPr>
                <w:rFonts w:hint="eastAsia" w:ascii="黑体" w:hAnsi="黑体" w:eastAsia="黑体" w:cs="黑体"/>
                <w:b/>
                <w:bCs/>
                <w:color w:val="000000"/>
                <w:kern w:val="0"/>
                <w:sz w:val="28"/>
                <w:szCs w:val="28"/>
              </w:rPr>
              <w:br w:type="textWrapping"/>
            </w:r>
            <w:r>
              <w:rPr>
                <w:rFonts w:hint="eastAsia" w:ascii="黑体" w:hAnsi="黑体" w:eastAsia="黑体" w:cs="黑体"/>
                <w:color w:val="000000"/>
                <w:kern w:val="0"/>
                <w:sz w:val="28"/>
                <w:szCs w:val="28"/>
              </w:rPr>
              <w:t>(2020年度)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50"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项目名称</w:t>
            </w:r>
          </w:p>
        </w:tc>
        <w:tc>
          <w:tcPr>
            <w:tcW w:w="7188"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kern w:val="0"/>
                <w:sz w:val="28"/>
                <w:szCs w:val="28"/>
                <w:lang w:eastAsia="zh-CN"/>
              </w:rPr>
              <w:t>野生动植物保护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50"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预算单位</w:t>
            </w:r>
          </w:p>
        </w:tc>
        <w:tc>
          <w:tcPr>
            <w:tcW w:w="7188"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广元市林业局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预算执行情况(万元)</w:t>
            </w:r>
          </w:p>
        </w:tc>
        <w:tc>
          <w:tcPr>
            <w:tcW w:w="1738"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预算数:</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12.2</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执行数:</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738"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12.2</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738"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年度目标完成情况</w:t>
            </w:r>
          </w:p>
        </w:tc>
        <w:tc>
          <w:tcPr>
            <w:tcW w:w="4088"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预期目标</w:t>
            </w:r>
          </w:p>
        </w:tc>
        <w:tc>
          <w:tcPr>
            <w:tcW w:w="4838"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4088" w:type="dxa"/>
            <w:gridSpan w:val="3"/>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通过指导、检查、监管、宣传、救助救护等方式开展野生动植物保护工作，使全市野生动植物资源得到有效保护和合理的经营利用，达到保护和利用的有效结合。为维护全市生物多样性和生态平衡发挥重要作用。</w:t>
            </w:r>
          </w:p>
        </w:tc>
        <w:tc>
          <w:tcPr>
            <w:tcW w:w="4838" w:type="dxa"/>
            <w:gridSpan w:val="2"/>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通过指导、检查、监管、宣传、救助救护等方式开展野生动植物保护工作，使全市野生动植物资源得到有效保护和合理的经营利用，达到保护和利用的有效结合。为维护全市生物多样性和生态平衡发挥重要作用。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绩效指标完成情况</w:t>
            </w:r>
          </w:p>
        </w:tc>
        <w:tc>
          <w:tcPr>
            <w:tcW w:w="0" w:type="auto"/>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一级指标</w:t>
            </w: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二级指标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三级指标</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预期指标值(包含数字及文字描述)</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项目完成指标</w:t>
            </w: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120"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依法保护野生植物资源</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全市野生植物资源2624种</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120"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color w:val="000000"/>
                <w:sz w:val="28"/>
                <w:szCs w:val="28"/>
              </w:rPr>
              <w:t>依法保护野生动物资源</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全市野生动物资源532种</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质量</w:t>
            </w:r>
            <w:r>
              <w:rPr>
                <w:rFonts w:hint="eastAsia" w:ascii="仿宋" w:hAnsi="仿宋" w:eastAsia="仿宋" w:cs="仿宋"/>
                <w:color w:val="000000"/>
                <w:sz w:val="28"/>
                <w:szCs w:val="28"/>
              </w:rPr>
              <w:t>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依法依规保护救护</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有效保护、救护</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时效指标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保护、救护时间</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坚持保护、救护常态化</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成本指标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总量控制</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费用不超过预算总额</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费用不超过预算总额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tabs>
                <w:tab w:val="left" w:pos="245"/>
              </w:tabs>
              <w:kinsoku/>
              <w:wordWrap/>
              <w:overflowPunct/>
              <w:topLinePunct w:val="0"/>
              <w:autoSpaceDE/>
              <w:autoSpaceDN/>
              <w:bidi w:val="0"/>
              <w:adjustRightInd/>
              <w:snapToGrid w:val="0"/>
              <w:spacing w:line="240" w:lineRule="auto"/>
              <w:ind w:left="0" w:leftChars="0" w:right="0" w:firstLine="0" w:firstLineChars="0"/>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社会效益指标</w:t>
            </w: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经济效益指标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野生动物人工繁育和经营利用发展</w:t>
            </w:r>
          </w:p>
        </w:tc>
        <w:tc>
          <w:tcPr>
            <w:tcW w:w="24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b w:val="0"/>
                <w:bCs w:val="0"/>
                <w:color w:val="000000"/>
                <w:sz w:val="28"/>
                <w:szCs w:val="28"/>
              </w:rPr>
              <w:t>有效带动周边农民增收</w:t>
            </w:r>
          </w:p>
        </w:tc>
        <w:tc>
          <w:tcPr>
            <w:tcW w:w="238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社会效益指标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保护野生动植物资源，维护了生物多样性和生态平衡，推进生态文明建设。</w:t>
            </w:r>
          </w:p>
        </w:tc>
        <w:tc>
          <w:tcPr>
            <w:tcW w:w="2450"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sz w:val="28"/>
                <w:szCs w:val="28"/>
              </w:rPr>
              <w:t>为维护国土生态安全和提高民生福址发挥极其重要作用。</w:t>
            </w:r>
          </w:p>
        </w:tc>
        <w:tc>
          <w:tcPr>
            <w:tcW w:w="2388"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both"/>
              <w:rPr>
                <w:rFonts w:hint="eastAsia" w:ascii="仿宋" w:hAnsi="仿宋" w:eastAsia="仿宋" w:cs="仿宋"/>
                <w:sz w:val="28"/>
                <w:szCs w:val="28"/>
                <w:lang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生态效益指标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维护生物多样性</w:t>
            </w:r>
          </w:p>
        </w:tc>
        <w:tc>
          <w:tcPr>
            <w:tcW w:w="2450"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生态平衡</w:t>
            </w:r>
          </w:p>
        </w:tc>
        <w:tc>
          <w:tcPr>
            <w:tcW w:w="2388"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0" w:type="auto"/>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满意度指标</w:t>
            </w:r>
          </w:p>
        </w:tc>
        <w:tc>
          <w:tcPr>
            <w:tcW w:w="112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满意度指标</w:t>
            </w:r>
          </w:p>
        </w:tc>
        <w:tc>
          <w:tcPr>
            <w:tcW w:w="235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本级满意度</w:t>
            </w:r>
          </w:p>
        </w:tc>
        <w:tc>
          <w:tcPr>
            <w:tcW w:w="2450"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90%以上</w:t>
            </w:r>
          </w:p>
        </w:tc>
        <w:tc>
          <w:tcPr>
            <w:tcW w:w="2388"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已完成</w:t>
            </w:r>
          </w:p>
        </w:tc>
      </w:tr>
    </w:tbl>
    <w:p>
      <w:pPr>
        <w:rPr>
          <w:rFonts w:hint="eastAsia"/>
        </w:rPr>
      </w:pPr>
    </w:p>
    <w:tbl>
      <w:tblPr>
        <w:tblStyle w:val="12"/>
        <w:tblpPr w:leftFromText="180" w:rightFromText="180" w:vertAnchor="text" w:horzAnchor="page" w:tblpXSpec="center" w:tblpY="423"/>
        <w:tblOverlap w:val="never"/>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7"/>
        <w:gridCol w:w="780"/>
        <w:gridCol w:w="226"/>
        <w:gridCol w:w="1104"/>
        <w:gridCol w:w="2202"/>
        <w:gridCol w:w="87"/>
        <w:gridCol w:w="2335"/>
        <w:gridCol w:w="1943"/>
        <w:gridCol w:w="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9818" w:type="dxa"/>
            <w:gridSpan w:val="8"/>
            <w:tcBorders>
              <w:tl2br w:val="nil"/>
              <w:tr2bl w:val="nil"/>
            </w:tcBorders>
            <w:noWrap w:val="0"/>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楷体_GB2312" w:hAnsi="宋体" w:eastAsia="楷体_GB2312" w:cs="宋体"/>
                <w:color w:val="000000"/>
                <w:sz w:val="36"/>
                <w:szCs w:val="36"/>
              </w:rPr>
            </w:pPr>
            <w:r>
              <w:rPr>
                <w:rFonts w:hint="eastAsia" w:ascii="黑体" w:hAnsi="黑体" w:eastAsia="黑体" w:cs="黑体"/>
                <w:bCs/>
                <w:color w:val="000000"/>
                <w:kern w:val="0"/>
                <w:sz w:val="32"/>
                <w:szCs w:val="32"/>
              </w:rPr>
              <w:t>项目支出绩效目标完成情况表</w:t>
            </w:r>
            <w:r>
              <w:rPr>
                <w:rFonts w:hint="eastAsia" w:ascii="黑体" w:hAnsi="黑体" w:eastAsia="黑体" w:cs="黑体"/>
                <w:b/>
                <w:bCs/>
                <w:color w:val="000000"/>
                <w:kern w:val="0"/>
                <w:sz w:val="32"/>
                <w:szCs w:val="32"/>
              </w:rPr>
              <w:br w:type="textWrapping"/>
            </w:r>
            <w:r>
              <w:rPr>
                <w:rFonts w:hint="eastAsia" w:ascii="黑体" w:hAnsi="黑体" w:eastAsia="黑体" w:cs="黑体"/>
                <w:color w:val="000000"/>
                <w:kern w:val="0"/>
                <w:sz w:val="32"/>
                <w:szCs w:val="32"/>
              </w:rPr>
              <w:t>(2020年度)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3007" w:type="dxa"/>
            <w:gridSpan w:val="4"/>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项目名称</w:t>
            </w:r>
          </w:p>
        </w:tc>
        <w:tc>
          <w:tcPr>
            <w:tcW w:w="6811" w:type="dxa"/>
            <w:gridSpan w:val="4"/>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kern w:val="0"/>
                <w:sz w:val="28"/>
                <w:szCs w:val="28"/>
              </w:rPr>
              <w:t>扶贫专项工作经费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3007" w:type="dxa"/>
            <w:gridSpan w:val="4"/>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预算单位</w:t>
            </w:r>
          </w:p>
        </w:tc>
        <w:tc>
          <w:tcPr>
            <w:tcW w:w="6811" w:type="dxa"/>
            <w:gridSpan w:val="4"/>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广元市林业局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预算执行情况(万元)</w:t>
            </w:r>
          </w:p>
        </w:tc>
        <w:tc>
          <w:tcPr>
            <w:tcW w:w="2200"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预算数:</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5.12</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执行数:</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200"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5.12</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200"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年度目标完成情况</w:t>
            </w:r>
          </w:p>
        </w:tc>
        <w:tc>
          <w:tcPr>
            <w:tcW w:w="4500" w:type="dxa"/>
            <w:gridSpan w:val="4"/>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预期目标</w:t>
            </w:r>
          </w:p>
        </w:tc>
        <w:tc>
          <w:tcPr>
            <w:tcW w:w="4511"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4500" w:type="dxa"/>
            <w:gridSpan w:val="4"/>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sz w:val="28"/>
                <w:szCs w:val="28"/>
              </w:rPr>
              <w:t xml:space="preserve">    加强驻村工作队和第一书记后勤工作保障，严格监督管理，为助推脱贫攻坚作出贡献。</w:t>
            </w:r>
          </w:p>
        </w:tc>
        <w:tc>
          <w:tcPr>
            <w:tcW w:w="4511" w:type="dxa"/>
            <w:gridSpan w:val="3"/>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sz w:val="28"/>
                <w:szCs w:val="28"/>
              </w:rPr>
              <w:t xml:space="preserve">    加强驻村工作队和第一书记后勤工作保障，严格监督管理，为助推脱贫攻坚作出贡献。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绩效指标完成情况</w:t>
            </w:r>
          </w:p>
        </w:tc>
        <w:tc>
          <w:tcPr>
            <w:tcW w:w="80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一级指标</w:t>
            </w:r>
          </w:p>
        </w:tc>
        <w:tc>
          <w:tcPr>
            <w:tcW w:w="1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二级指标</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三级指标</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预期指标值(包含数字及文字描述)</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808"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项目完成指标</w:t>
            </w:r>
          </w:p>
        </w:tc>
        <w:tc>
          <w:tcPr>
            <w:tcW w:w="1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数量指标</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kern w:val="0"/>
                <w:sz w:val="28"/>
                <w:szCs w:val="28"/>
              </w:rPr>
              <w:t>帮扶队员全年下村次数</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kern w:val="0"/>
                <w:sz w:val="28"/>
                <w:szCs w:val="28"/>
              </w:rPr>
              <w:t>每名职工全年下村次数≥12次</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kern w:val="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808"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392" w:type="dxa"/>
            <w:gridSpan w:val="2"/>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数量指标</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贫困村</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1个</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808"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392"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非贫困村</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2个</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808"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质量指标</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圆满完成工作任务</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年度考核力度先进</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808"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时效指标</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完成时间</w:t>
            </w:r>
          </w:p>
        </w:tc>
        <w:tc>
          <w:tcPr>
            <w:tcW w:w="2516" w:type="dxa"/>
            <w:gridSpan w:val="2"/>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2020年12年31日前</w:t>
            </w:r>
          </w:p>
        </w:tc>
        <w:tc>
          <w:tcPr>
            <w:tcW w:w="1995"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rPr>
            </w:pPr>
            <w:r>
              <w:rPr>
                <w:rFonts w:hint="eastAsia" w:ascii="仿宋" w:hAnsi="仿宋" w:eastAsia="仿宋" w:cs="仿宋"/>
                <w:sz w:val="28"/>
                <w:szCs w:val="28"/>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808"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成本指标</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总量控制</w:t>
            </w:r>
          </w:p>
        </w:tc>
        <w:tc>
          <w:tcPr>
            <w:tcW w:w="2516" w:type="dxa"/>
            <w:gridSpan w:val="2"/>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color w:val="000000"/>
                <w:sz w:val="28"/>
                <w:szCs w:val="28"/>
                <w:lang w:eastAsia="zh-CN"/>
              </w:rPr>
              <w:t>费用不超过预算总额</w:t>
            </w:r>
          </w:p>
        </w:tc>
        <w:tc>
          <w:tcPr>
            <w:tcW w:w="1995"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color w:val="000000"/>
                <w:sz w:val="28"/>
                <w:szCs w:val="28"/>
                <w:lang w:eastAsia="zh-CN"/>
              </w:rPr>
              <w:t>费用不超过预算总额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5" w:type="dxa"/>
          <w:trHeight w:val="0" w:hRule="atLeast"/>
          <w:jc w:val="center"/>
        </w:trPr>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808"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满意度指标</w:t>
            </w:r>
          </w:p>
        </w:tc>
        <w:tc>
          <w:tcPr>
            <w:tcW w:w="1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满意度指标</w:t>
            </w:r>
          </w:p>
        </w:tc>
        <w:tc>
          <w:tcPr>
            <w:tcW w:w="2300"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三个满意度</w:t>
            </w:r>
          </w:p>
        </w:tc>
        <w:tc>
          <w:tcPr>
            <w:tcW w:w="251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村民满意、当地党委政府满意、帮扶干部满意</w:t>
            </w:r>
          </w:p>
        </w:tc>
        <w:tc>
          <w:tcPr>
            <w:tcW w:w="199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8" w:type="dxa"/>
            <w:gridSpan w:val="9"/>
            <w:tcBorders>
              <w:tl2br w:val="nil"/>
              <w:tr2bl w:val="nil"/>
            </w:tcBorders>
            <w:noWrap w:val="0"/>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黑体" w:hAnsi="黑体" w:eastAsia="黑体" w:cs="黑体"/>
                <w:bCs/>
                <w:color w:val="000000"/>
                <w:kern w:val="0"/>
                <w:sz w:val="32"/>
                <w:szCs w:val="32"/>
              </w:rPr>
              <w:t>项目支出绩效目标完成情况表</w:t>
            </w:r>
            <w:r>
              <w:rPr>
                <w:rFonts w:hint="eastAsia" w:ascii="黑体" w:hAnsi="黑体" w:eastAsia="黑体" w:cs="黑体"/>
                <w:b/>
                <w:bCs/>
                <w:color w:val="000000"/>
                <w:kern w:val="0"/>
                <w:sz w:val="32"/>
                <w:szCs w:val="32"/>
              </w:rPr>
              <w:br w:type="textWrapping"/>
            </w:r>
            <w:r>
              <w:rPr>
                <w:rFonts w:hint="eastAsia" w:ascii="黑体" w:hAnsi="黑体" w:eastAsia="黑体" w:cs="黑体"/>
                <w:color w:val="000000"/>
                <w:kern w:val="0"/>
                <w:sz w:val="32"/>
                <w:szCs w:val="32"/>
              </w:rPr>
              <w:t>(2020年度)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40" w:type="dxa"/>
            <w:gridSpan w:val="4"/>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项目名称</w:t>
            </w:r>
          </w:p>
        </w:tc>
        <w:tc>
          <w:tcPr>
            <w:tcW w:w="7178" w:type="dxa"/>
            <w:gridSpan w:val="5"/>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kern w:val="0"/>
                <w:sz w:val="28"/>
                <w:szCs w:val="28"/>
                <w:lang w:eastAsia="zh-CN"/>
              </w:rPr>
              <w:t>林业生态保护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40" w:type="dxa"/>
            <w:gridSpan w:val="4"/>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预算单位</w:t>
            </w:r>
          </w:p>
        </w:tc>
        <w:tc>
          <w:tcPr>
            <w:tcW w:w="7178" w:type="dxa"/>
            <w:gridSpan w:val="5"/>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广元市林业局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预算执行情况(万元)</w:t>
            </w:r>
          </w:p>
        </w:tc>
        <w:tc>
          <w:tcPr>
            <w:tcW w:w="2073"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预算数:</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38</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执行数:</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073"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38</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其中-财政拨款:</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2073"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其它资金:</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年度目标完成情况</w:t>
            </w:r>
          </w:p>
        </w:tc>
        <w:tc>
          <w:tcPr>
            <w:tcW w:w="4465" w:type="dxa"/>
            <w:gridSpan w:val="5"/>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预期目标</w:t>
            </w:r>
          </w:p>
        </w:tc>
        <w:tc>
          <w:tcPr>
            <w:tcW w:w="4786" w:type="dxa"/>
            <w:gridSpan w:val="3"/>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4465" w:type="dxa"/>
            <w:gridSpan w:val="5"/>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kern w:val="0"/>
                <w:sz w:val="28"/>
                <w:szCs w:val="28"/>
              </w:rPr>
              <w:t>指导和督促各县区及直属单位依法管护国有林80.11万亩，完成全市624.39万亩集体公益林森林生态效益补偿基金和集体和个人所有天然商品林停伐管护补助面积175.63万亩兑现工作，巩固退耕还林成果，完成退耕还林直补资金兑现；开展野生动植物保护、自然保护地摸底、执法监管等工作，加强森林资源管护，坚守生态安全，全面完成“双增长”年度目标任务。</w:t>
            </w:r>
          </w:p>
        </w:tc>
        <w:tc>
          <w:tcPr>
            <w:tcW w:w="4786" w:type="dxa"/>
            <w:gridSpan w:val="3"/>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rPr>
                <w:rFonts w:hint="eastAsia" w:ascii="仿宋" w:hAnsi="仿宋" w:eastAsia="仿宋" w:cs="仿宋"/>
                <w:sz w:val="28"/>
                <w:szCs w:val="28"/>
              </w:rPr>
            </w:pPr>
            <w:r>
              <w:rPr>
                <w:rFonts w:hint="eastAsia" w:ascii="仿宋" w:hAnsi="仿宋" w:eastAsia="仿宋" w:cs="仿宋"/>
                <w:kern w:val="0"/>
                <w:sz w:val="28"/>
                <w:szCs w:val="28"/>
              </w:rPr>
              <w:t>指导和督促各县区及直属单位依法管护国有林80.11万亩，完成全市624.39万亩集体公益林森林生态效益补偿基金和集体和个人所有天然商品林停伐管护补助面积175.63万亩兑现工作，巩固退耕还林成果，完成退耕还林直补资金兑现；开展野生动植物保护、自然保护地摸底、执法监管等工作，加强森林资源管护，坚守生态安全，全面完成“双增长”年度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绩效指标完成情况</w:t>
            </w:r>
          </w:p>
        </w:tc>
        <w:tc>
          <w:tcPr>
            <w:tcW w:w="1048"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一级指标</w:t>
            </w:r>
          </w:p>
        </w:tc>
        <w:tc>
          <w:tcPr>
            <w:tcW w:w="102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二级指标</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三级指标</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预期指标值(包含数字及文字描述)</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项目完成指标</w:t>
            </w: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025"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数量指标</w:t>
            </w:r>
          </w:p>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依法管护国有林</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80.11万亩</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025"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完成全市集体公益林森林生态效益补偿兑现</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624.39万亩</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025"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集体和个人所有天然商品林停伐管护补助面积兑现</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175.63万亩</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025"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巩固前一轮退耕还林成果</w:t>
            </w:r>
          </w:p>
        </w:tc>
        <w:tc>
          <w:tcPr>
            <w:tcW w:w="2394"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82.5万亩</w:t>
            </w:r>
          </w:p>
        </w:tc>
        <w:tc>
          <w:tcPr>
            <w:tcW w:w="2392" w:type="dxa"/>
            <w:gridSpan w:val="2"/>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025"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管护森林面积</w:t>
            </w:r>
          </w:p>
        </w:tc>
        <w:tc>
          <w:tcPr>
            <w:tcW w:w="2394"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1391万亩</w:t>
            </w:r>
          </w:p>
        </w:tc>
        <w:tc>
          <w:tcPr>
            <w:tcW w:w="2392" w:type="dxa"/>
            <w:gridSpan w:val="2"/>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025"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保护野生动植物资源</w:t>
            </w:r>
          </w:p>
        </w:tc>
        <w:tc>
          <w:tcPr>
            <w:tcW w:w="2394"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rPr>
            </w:pPr>
            <w:r>
              <w:rPr>
                <w:rFonts w:hint="eastAsia" w:ascii="仿宋" w:hAnsi="仿宋" w:eastAsia="仿宋" w:cs="仿宋"/>
                <w:sz w:val="28"/>
                <w:szCs w:val="28"/>
              </w:rPr>
              <w:t>532种、2624种</w:t>
            </w:r>
          </w:p>
        </w:tc>
        <w:tc>
          <w:tcPr>
            <w:tcW w:w="2392" w:type="dxa"/>
            <w:gridSpan w:val="2"/>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02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eastAsia="zh-CN"/>
              </w:rPr>
              <w:t>质量指标</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both"/>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按要求完成</w:t>
            </w:r>
          </w:p>
        </w:tc>
        <w:tc>
          <w:tcPr>
            <w:tcW w:w="2394" w:type="dxa"/>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rPr>
            </w:pPr>
            <w:r>
              <w:rPr>
                <w:rFonts w:hint="eastAsia" w:ascii="仿宋" w:hAnsi="仿宋" w:eastAsia="仿宋" w:cs="仿宋"/>
                <w:sz w:val="28"/>
                <w:szCs w:val="28"/>
              </w:rPr>
              <w:t>100%</w:t>
            </w:r>
          </w:p>
        </w:tc>
        <w:tc>
          <w:tcPr>
            <w:tcW w:w="2392" w:type="dxa"/>
            <w:gridSpan w:val="2"/>
            <w:tcBorders>
              <w:tl2br w:val="nil"/>
              <w:tr2bl w:val="nil"/>
            </w:tcBorders>
            <w:noWrap w:val="0"/>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p>
        </w:tc>
        <w:tc>
          <w:tcPr>
            <w:tcW w:w="102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时效指标</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完成时间</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根据省、市部署时间</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02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成本指标</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总量控制</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费用不超过预算总额</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费用不超过预算总额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tabs>
                <w:tab w:val="left" w:pos="443"/>
              </w:tabs>
              <w:kinsoku/>
              <w:wordWrap/>
              <w:overflowPunct/>
              <w:topLinePunct w:val="0"/>
              <w:autoSpaceDE/>
              <w:autoSpaceDN/>
              <w:bidi w:val="0"/>
              <w:adjustRightInd/>
              <w:snapToGrid w:val="0"/>
              <w:spacing w:line="240" w:lineRule="auto"/>
              <w:ind w:left="0" w:leftChars="0" w:right="0" w:firstLine="0" w:firstLineChars="0"/>
              <w:jc w:val="left"/>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ab/>
            </w:r>
            <w:r>
              <w:rPr>
                <w:rFonts w:hint="eastAsia" w:ascii="仿宋" w:hAnsi="仿宋" w:eastAsia="仿宋" w:cs="仿宋"/>
                <w:color w:val="000000"/>
                <w:kern w:val="0"/>
                <w:sz w:val="28"/>
                <w:szCs w:val="28"/>
                <w:lang w:eastAsia="zh-CN"/>
              </w:rPr>
              <w:t>项目效益</w:t>
            </w:r>
          </w:p>
        </w:tc>
        <w:tc>
          <w:tcPr>
            <w:tcW w:w="102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社会效益指标</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维护森林资源安全，筑牢嘉陵江上游生态屏障，维护生物多样性和生态平衡</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维护森林资源安全，筑牢嘉陵江上游生态屏障，维护生物多样性和生态平衡</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025"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生态效益指标</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生态良好</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森林覆盖率提高0.2个百分点</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lang w:eastAsia="zh-CN"/>
              </w:rPr>
              <w:t>满意度指标</w:t>
            </w:r>
          </w:p>
        </w:tc>
        <w:tc>
          <w:tcPr>
            <w:tcW w:w="1025"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满意度指标</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本级满意度</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90%以上</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rPr>
                <w:rFonts w:hint="eastAsia" w:ascii="仿宋" w:hAnsi="仿宋" w:eastAsia="仿宋" w:cs="仿宋"/>
                <w:color w:val="000000"/>
                <w:sz w:val="28"/>
                <w:szCs w:val="28"/>
              </w:rPr>
            </w:pPr>
          </w:p>
        </w:tc>
        <w:tc>
          <w:tcPr>
            <w:tcW w:w="1048" w:type="dxa"/>
            <w:gridSpan w:val="2"/>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kern w:val="0"/>
                <w:sz w:val="28"/>
                <w:szCs w:val="28"/>
              </w:rPr>
            </w:pPr>
          </w:p>
        </w:tc>
        <w:tc>
          <w:tcPr>
            <w:tcW w:w="1025" w:type="dxa"/>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社会满意度</w:t>
            </w:r>
          </w:p>
        </w:tc>
        <w:tc>
          <w:tcPr>
            <w:tcW w:w="2394" w:type="dxa"/>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90%以上</w:t>
            </w:r>
          </w:p>
        </w:tc>
        <w:tc>
          <w:tcPr>
            <w:tcW w:w="2392"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已完成</w:t>
            </w:r>
          </w:p>
        </w:tc>
      </w:tr>
    </w:tbl>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整体支出绩效评价情况开展自评，《广元市林业局</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整体支出绩效评价报告》见附件。</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ageBreakBefore w:val="0"/>
        <w:numPr>
          <w:ilvl w:val="0"/>
          <w:numId w:val="2"/>
        </w:numPr>
        <w:kinsoku/>
        <w:wordWrap/>
        <w:topLinePunct w:val="0"/>
        <w:bidi w:val="0"/>
        <w:spacing w:line="576" w:lineRule="exact"/>
        <w:ind w:left="0" w:leftChars="0" w:right="0" w:firstLine="720" w:firstLineChars="200"/>
        <w:jc w:val="center"/>
        <w:outlineLvl w:val="0"/>
        <w:rPr>
          <w:rFonts w:hint="eastAsia" w:ascii="黑体" w:hAnsi="黑体" w:eastAsia="黑体" w:cs="黑体"/>
          <w:bCs/>
          <w:sz w:val="36"/>
          <w:szCs w:val="36"/>
        </w:rPr>
      </w:pPr>
      <w:r>
        <w:rPr>
          <w:rFonts w:hint="eastAsia" w:ascii="黑体" w:hAnsi="黑体" w:eastAsia="黑体" w:cs="黑体"/>
          <w:sz w:val="36"/>
          <w:szCs w:val="36"/>
        </w:rPr>
        <w:t>名</w:t>
      </w:r>
      <w:r>
        <w:rPr>
          <w:rFonts w:hint="eastAsia" w:ascii="黑体" w:hAnsi="黑体" w:eastAsia="黑体" w:cs="黑体"/>
          <w:bCs/>
          <w:sz w:val="36"/>
          <w:szCs w:val="36"/>
        </w:rPr>
        <w:t>词解释</w:t>
      </w:r>
      <w:bookmarkEnd w:id="55"/>
      <w:bookmarkEnd w:id="56"/>
    </w:p>
    <w:p>
      <w:pPr>
        <w:pageBreakBefore w:val="0"/>
        <w:kinsoku/>
        <w:wordWrap/>
        <w:topLinePunct w:val="0"/>
        <w:bidi w:val="0"/>
        <w:spacing w:line="576" w:lineRule="exact"/>
        <w:ind w:left="0" w:leftChars="0" w:right="0" w:firstLine="640" w:firstLineChars="200"/>
        <w:jc w:val="left"/>
        <w:rPr>
          <w:rFonts w:ascii="仿宋_GB2312" w:hAnsi="仿宋_GB2312" w:eastAsia="仿宋_GB2312" w:cs="仿宋_GB2312"/>
          <w:sz w:val="32"/>
          <w:szCs w:val="32"/>
        </w:rPr>
      </w:pPr>
    </w:p>
    <w:p>
      <w:pPr>
        <w:pStyle w:val="22"/>
        <w:pageBreakBefore w:val="0"/>
        <w:kinsoku/>
        <w:wordWrap/>
        <w:topLinePunct w:val="0"/>
        <w:bidi w:val="0"/>
        <w:spacing w:line="576" w:lineRule="exact"/>
        <w:ind w:left="0" w:leftChars="0" w:right="0"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rPr>
        <w:t>财政拨款收入：指单位从同级财政</w:t>
      </w:r>
      <w:r>
        <w:rPr>
          <w:rFonts w:hint="eastAsia" w:ascii="仿宋_GB2312" w:hAnsi="仿宋_GB2312" w:eastAsia="仿宋_GB2312" w:cs="仿宋_GB2312"/>
          <w:color w:val="auto"/>
          <w:kern w:val="2"/>
          <w:sz w:val="32"/>
          <w:szCs w:val="32"/>
          <w:lang w:eastAsia="zh-CN"/>
        </w:rPr>
        <w:t>本级</w:t>
      </w:r>
      <w:r>
        <w:rPr>
          <w:rFonts w:hint="eastAsia" w:ascii="仿宋_GB2312" w:hAnsi="仿宋_GB2312" w:eastAsia="仿宋_GB2312" w:cs="仿宋_GB2312"/>
          <w:color w:val="auto"/>
          <w:kern w:val="2"/>
          <w:sz w:val="32"/>
          <w:szCs w:val="32"/>
        </w:rPr>
        <w:t>取得的财政预算资金。</w:t>
      </w:r>
    </w:p>
    <w:p>
      <w:pPr>
        <w:pStyle w:val="22"/>
        <w:pageBreakBefore w:val="0"/>
        <w:kinsoku/>
        <w:wordWrap/>
        <w:topLinePunct w:val="0"/>
        <w:bidi w:val="0"/>
        <w:spacing w:line="576" w:lineRule="exact"/>
        <w:ind w:left="0" w:leftChars="0" w:right="0"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rPr>
        <w:t>其他收入：指单位取得的除上述收入以外的各项收入。</w:t>
      </w:r>
    </w:p>
    <w:p>
      <w:pPr>
        <w:pStyle w:val="22"/>
        <w:pageBreakBefore w:val="0"/>
        <w:kinsoku/>
        <w:wordWrap/>
        <w:topLinePunct w:val="0"/>
        <w:bidi w:val="0"/>
        <w:spacing w:line="576" w:lineRule="exact"/>
        <w:ind w:left="0" w:leftChars="0" w:right="0"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年初结转和结余：指以前年度尚未完成、结转到本年按有关规定继续使用的资金。</w:t>
      </w:r>
    </w:p>
    <w:p>
      <w:pPr>
        <w:pStyle w:val="22"/>
        <w:pageBreakBefore w:val="0"/>
        <w:kinsoku/>
        <w:wordWrap/>
        <w:topLinePunct w:val="0"/>
        <w:bidi w:val="0"/>
        <w:spacing w:line="576" w:lineRule="exact"/>
        <w:ind w:left="0" w:leftChars="0" w:right="0"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4.年末结转和结余：指单位按有关规定结转到下年或以后年度继续使用的资金。</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5.公共安全（类）：指反映政府维护社会公共安全方面的支出。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科学技术（类）：指反映科学技术方面的支出。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社会保障和就业（类）：指反映政府在社会保障管理事务支出。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医疗卫生与计划生育（类）：指反映政府医疗卫生与计划生育、中医等管理事务方面的支出。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节能环保（类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：指反映政府节能环保事务支出。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城乡社区（类）：指反映政府城乡社区事务支出。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农林水（类）：指反映政府农林水事务支出。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住房保障（类）：指集中反映政府用于住房方面的支出。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13.其他支出（类）：反映不能划分到上述功能科目的其他政府支出。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14.基本支出：指为保障机构正常运转、完成日常工作任务而发生的人员支出和公用支出。</w:t>
      </w:r>
    </w:p>
    <w:p>
      <w:pPr>
        <w:pageBreakBefore w:val="0"/>
        <w:kinsoku/>
        <w:wordWrap/>
        <w:topLinePunct w:val="0"/>
        <w:bidi w:val="0"/>
        <w:spacing w:line="576"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15.项目支出：指在基本支出之外为完成特定行政任务和事业发展目标所发生的支出。</w:t>
      </w:r>
    </w:p>
    <w:p>
      <w:pPr>
        <w:pStyle w:val="22"/>
        <w:pageBreakBefore w:val="0"/>
        <w:kinsoku/>
        <w:wordWrap/>
        <w:topLinePunct w:val="0"/>
        <w:bidi w:val="0"/>
        <w:spacing w:line="576" w:lineRule="exact"/>
        <w:ind w:left="0" w:leftChars="0" w:right="0"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16.三公”经费：指</w:t>
      </w:r>
      <w:r>
        <w:rPr>
          <w:rFonts w:hint="eastAsia" w:ascii="仿宋_GB2312" w:hAnsi="仿宋_GB2312" w:eastAsia="仿宋_GB2312" w:cs="仿宋_GB2312"/>
          <w:color w:val="auto"/>
          <w:kern w:val="2"/>
          <w:sz w:val="32"/>
          <w:szCs w:val="32"/>
          <w:lang w:eastAsia="zh-CN"/>
        </w:rPr>
        <w:t>本级</w:t>
      </w:r>
      <w:r>
        <w:rPr>
          <w:rFonts w:hint="eastAsia" w:ascii="仿宋_GB2312" w:hAnsi="仿宋_GB2312" w:eastAsia="仿宋_GB2312" w:cs="仿宋_GB2312"/>
          <w:color w:val="auto"/>
          <w:kern w:val="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pageBreakBefore w:val="0"/>
        <w:kinsoku/>
        <w:wordWrap/>
        <w:topLinePunct w:val="0"/>
        <w:bidi w:val="0"/>
        <w:spacing w:beforeLines="0" w:line="576" w:lineRule="exact"/>
        <w:ind w:left="0" w:leftChars="0" w:right="0"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 xml:space="preserve"> </w:t>
      </w:r>
    </w:p>
    <w:p>
      <w:pPr>
        <w:pStyle w:val="2"/>
        <w:pageBreakBefore w:val="0"/>
        <w:kinsoku/>
        <w:wordWrap/>
        <w:topLinePunct w:val="0"/>
        <w:bidi w:val="0"/>
        <w:spacing w:beforeLines="0" w:line="576" w:lineRule="exact"/>
        <w:ind w:left="0" w:leftChars="0" w:right="0" w:firstLine="640" w:firstLineChars="200"/>
        <w:rPr>
          <w:rFonts w:hint="eastAsia" w:hAnsi="仿宋_GB2312" w:cs="仿宋_GB2312"/>
          <w:sz w:val="32"/>
          <w:szCs w:val="32"/>
          <w:lang w:val="en-US" w:eastAsia="zh-CN"/>
        </w:rPr>
      </w:pPr>
    </w:p>
    <w:p>
      <w:pPr>
        <w:pStyle w:val="2"/>
        <w:pageBreakBefore w:val="0"/>
        <w:kinsoku/>
        <w:wordWrap/>
        <w:topLinePunct w:val="0"/>
        <w:bidi w:val="0"/>
        <w:spacing w:beforeLines="0" w:line="576" w:lineRule="exact"/>
        <w:ind w:left="0" w:leftChars="0" w:right="0" w:firstLine="640" w:firstLineChars="200"/>
        <w:rPr>
          <w:rFonts w:hint="eastAsia" w:hAnsi="仿宋_GB2312" w:cs="仿宋_GB2312"/>
          <w:sz w:val="32"/>
          <w:szCs w:val="32"/>
          <w:lang w:val="en-US" w:eastAsia="zh-CN"/>
        </w:rPr>
      </w:pPr>
    </w:p>
    <w:p>
      <w:pPr>
        <w:pStyle w:val="2"/>
        <w:pageBreakBefore w:val="0"/>
        <w:kinsoku/>
        <w:wordWrap/>
        <w:topLinePunct w:val="0"/>
        <w:bidi w:val="0"/>
        <w:spacing w:beforeLines="0" w:line="576" w:lineRule="exact"/>
        <w:ind w:left="0" w:leftChars="0" w:right="0" w:firstLine="640" w:firstLineChars="200"/>
        <w:rPr>
          <w:rFonts w:hint="eastAsia" w:hAnsi="仿宋_GB2312" w:cs="仿宋_GB2312"/>
          <w:sz w:val="32"/>
          <w:szCs w:val="32"/>
          <w:lang w:val="en-US" w:eastAsia="zh-CN"/>
        </w:rPr>
      </w:pPr>
    </w:p>
    <w:p>
      <w:pPr>
        <w:rPr>
          <w:rFonts w:hint="eastAsia" w:hAnsi="仿宋_GB2312" w:cs="仿宋_GB2312"/>
          <w:sz w:val="32"/>
          <w:szCs w:val="32"/>
          <w:lang w:val="en-US" w:eastAsia="zh-CN"/>
        </w:rPr>
      </w:pPr>
    </w:p>
    <w:p>
      <w:pPr>
        <w:pStyle w:val="2"/>
        <w:rPr>
          <w:rFonts w:hint="eastAsia" w:hAnsi="仿宋_GB2312" w:cs="仿宋_GB2312"/>
          <w:sz w:val="32"/>
          <w:szCs w:val="32"/>
          <w:lang w:val="en-US" w:eastAsia="zh-CN"/>
        </w:rPr>
      </w:pPr>
    </w:p>
    <w:p>
      <w:pPr>
        <w:pStyle w:val="2"/>
        <w:pageBreakBefore w:val="0"/>
        <w:kinsoku/>
        <w:wordWrap/>
        <w:topLinePunct w:val="0"/>
        <w:bidi w:val="0"/>
        <w:spacing w:beforeLines="0" w:line="576" w:lineRule="exact"/>
        <w:ind w:right="0"/>
        <w:rPr>
          <w:rFonts w:hint="eastAsia" w:hAnsi="仿宋_GB2312" w:cs="仿宋_GB2312"/>
          <w:sz w:val="32"/>
          <w:szCs w:val="32"/>
          <w:lang w:val="en-US" w:eastAsia="zh-CN"/>
        </w:rPr>
      </w:pPr>
      <w:r>
        <w:rPr>
          <w:rFonts w:hint="eastAsia" w:hAnsi="仿宋_GB2312" w:cs="仿宋_GB2312"/>
          <w:sz w:val="32"/>
          <w:szCs w:val="32"/>
          <w:lang w:val="en-US" w:eastAsia="zh-CN"/>
        </w:rPr>
        <w:t>附件1</w:t>
      </w:r>
    </w:p>
    <w:p>
      <w:pPr>
        <w:rPr>
          <w:rFonts w:hint="default"/>
          <w:lang w:val="en-US" w:eastAsia="zh-CN"/>
        </w:rPr>
      </w:pPr>
    </w:p>
    <w:p>
      <w:pPr>
        <w:pStyle w:val="2"/>
        <w:pageBreakBefore w:val="0"/>
        <w:kinsoku/>
        <w:wordWrap/>
        <w:topLinePunct w:val="0"/>
        <w:bidi w:val="0"/>
        <w:spacing w:beforeLines="0" w:line="576" w:lineRule="exact"/>
        <w:ind w:right="0"/>
        <w:jc w:val="center"/>
        <w:rPr>
          <w:rFonts w:hint="eastAsia" w:ascii="方正小标宋_GBK" w:hAnsi="方正小标宋_GBK" w:eastAsia="方正小标宋_GBK" w:cs="方正小标宋_GBK"/>
          <w:sz w:val="44"/>
          <w:szCs w:val="44"/>
        </w:rPr>
      </w:pPr>
      <w:bookmarkStart w:id="57" w:name="_Toc15377226"/>
      <w:r>
        <w:rPr>
          <w:rFonts w:hint="eastAsia" w:ascii="方正小标宋_GBK" w:hAnsi="方正小标宋_GBK" w:eastAsia="方正小标宋_GBK" w:cs="方正小标宋_GBK"/>
          <w:sz w:val="44"/>
          <w:szCs w:val="44"/>
          <w:lang w:eastAsia="zh-CN"/>
        </w:rPr>
        <w:t>广</w:t>
      </w:r>
      <w:r>
        <w:rPr>
          <w:rFonts w:hint="eastAsia" w:ascii="方正小标宋_GBK" w:hAnsi="方正小标宋_GBK" w:eastAsia="方正小标宋_GBK" w:cs="方正小标宋_GBK"/>
          <w:sz w:val="44"/>
          <w:szCs w:val="44"/>
        </w:rPr>
        <w:t>元市林业局</w:t>
      </w:r>
    </w:p>
    <w:p>
      <w:pPr>
        <w:pStyle w:val="2"/>
        <w:pageBreakBefore w:val="0"/>
        <w:kinsoku/>
        <w:wordWrap/>
        <w:topLinePunct w:val="0"/>
        <w:bidi w:val="0"/>
        <w:spacing w:beforeLines="0" w:line="576" w:lineRule="exact"/>
        <w:ind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20年</w:t>
      </w:r>
      <w:r>
        <w:rPr>
          <w:rFonts w:hint="eastAsia" w:ascii="方正小标宋_GBK" w:hAnsi="方正小标宋_GBK" w:eastAsia="方正小标宋_GBK" w:cs="方正小标宋_GBK"/>
          <w:sz w:val="44"/>
          <w:szCs w:val="44"/>
          <w:lang w:eastAsia="zh-CN"/>
        </w:rPr>
        <w:t>本级</w:t>
      </w:r>
      <w:r>
        <w:rPr>
          <w:rFonts w:hint="eastAsia" w:ascii="方正小标宋_GBK" w:hAnsi="方正小标宋_GBK" w:eastAsia="方正小标宋_GBK" w:cs="方正小标宋_GBK"/>
          <w:sz w:val="44"/>
          <w:szCs w:val="44"/>
        </w:rPr>
        <w:t>整体支出绩效评价报告</w:t>
      </w:r>
    </w:p>
    <w:p>
      <w:pPr>
        <w:pageBreakBefore w:val="0"/>
        <w:kinsoku/>
        <w:wordWrap/>
        <w:overflowPunct w:val="0"/>
        <w:topLinePunct w:val="0"/>
        <w:bidi w:val="0"/>
        <w:spacing w:line="576" w:lineRule="exact"/>
        <w:ind w:left="0" w:leftChars="0" w:right="0" w:firstLine="640" w:firstLineChars="200"/>
        <w:jc w:val="left"/>
        <w:rPr>
          <w:rFonts w:hint="eastAsia" w:ascii="仿宋_GB2312" w:hAnsi="仿宋" w:eastAsia="仿宋_GB2312" w:cs="Times New Roman"/>
          <w:color w:val="000000"/>
          <w:sz w:val="32"/>
          <w:szCs w:val="32"/>
          <w:lang w:val="en-US" w:eastAsia="zh-CN"/>
        </w:rPr>
      </w:pPr>
    </w:p>
    <w:p>
      <w:pPr>
        <w:pageBreakBefore w:val="0"/>
        <w:kinsoku/>
        <w:wordWrap/>
        <w:overflowPunct w:val="0"/>
        <w:topLinePunct w:val="0"/>
        <w:bidi w:val="0"/>
        <w:spacing w:line="576" w:lineRule="exact"/>
        <w:ind w:left="0" w:leftChars="0" w:right="0" w:firstLine="640" w:firstLineChars="20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一、本级（单位）概况</w:t>
      </w:r>
    </w:p>
    <w:p>
      <w:pPr>
        <w:pageBreakBefore w:val="0"/>
        <w:kinsoku/>
        <w:wordWrap/>
        <w:overflowPunct w:val="0"/>
        <w:topLinePunct w:val="0"/>
        <w:bidi w:val="0"/>
        <w:spacing w:line="576" w:lineRule="exact"/>
        <w:ind w:left="0" w:leftChars="0" w:right="0" w:firstLine="640" w:firstLineChars="200"/>
        <w:jc w:val="left"/>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（一）机构组成</w:t>
      </w:r>
    </w:p>
    <w:p>
      <w:pPr>
        <w:pageBreakBefore w:val="0"/>
        <w:kinsoku/>
        <w:wordWrap/>
        <w:topLinePunct w:val="0"/>
        <w:bidi w:val="0"/>
        <w:spacing w:line="576" w:lineRule="exact"/>
        <w:ind w:left="0" w:leftChars="0" w:right="0"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局机关内设办公室（信访办）、规划改革和政策法规科（行政审批科）、生态保护修复科（市绿化委员会办公室）、森林资源管理科、野生动植物保护管理科、林业产业科技科、国有林场和种苗管理科、财务科、人事科、森林防火科、自然保护地和湿地管理科、机关党委办公室等12个科室。下设市自然保护地工作站、市林木种苗管理站、林业行政综合执法大队、市野生动植物保护管理站、市森林资源工作站、市天然林资源保护工程管理中心、市退耕还林</w:t>
      </w:r>
      <w:r>
        <w:rPr>
          <w:rFonts w:hint="eastAsia" w:ascii="仿宋_GB2312" w:hAnsi="仿宋" w:eastAsia="仿宋_GB2312"/>
          <w:color w:val="000000"/>
          <w:sz w:val="32"/>
          <w:szCs w:val="32"/>
          <w:u w:val="single"/>
        </w:rPr>
        <w:t>管理</w:t>
      </w:r>
      <w:r>
        <w:rPr>
          <w:rFonts w:hint="eastAsia" w:ascii="仿宋_GB2312" w:hAnsi="仿宋" w:eastAsia="仿宋_GB2312"/>
          <w:color w:val="000000"/>
          <w:sz w:val="32"/>
          <w:szCs w:val="32"/>
        </w:rPr>
        <w:t>中心、市林业工作站、四川南河国家湿地公园</w:t>
      </w:r>
      <w:r>
        <w:rPr>
          <w:rFonts w:hint="eastAsia" w:ascii="仿宋_GB2312" w:hAnsi="仿宋" w:eastAsia="仿宋_GB2312"/>
          <w:color w:val="000000"/>
          <w:sz w:val="32"/>
          <w:szCs w:val="32"/>
          <w:u w:val="single"/>
        </w:rPr>
        <w:t>管理</w:t>
      </w:r>
      <w:r>
        <w:rPr>
          <w:rFonts w:hint="eastAsia" w:ascii="仿宋_GB2312" w:hAnsi="仿宋" w:eastAsia="仿宋_GB2312"/>
          <w:color w:val="000000"/>
          <w:sz w:val="32"/>
          <w:szCs w:val="32"/>
        </w:rPr>
        <w:t>中心、市林业科学研究院、市国营中心苗圃、市国有林场等12个正科级事业单位。</w:t>
      </w:r>
    </w:p>
    <w:p>
      <w:pPr>
        <w:pageBreakBefore w:val="0"/>
        <w:kinsoku/>
        <w:wordWrap/>
        <w:topLinePunct w:val="0"/>
        <w:bidi w:val="0"/>
        <w:spacing w:line="576" w:lineRule="exact"/>
        <w:ind w:left="0" w:leftChars="0" w:right="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（二）机构职能</w:t>
      </w:r>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 w:eastAsia="仿宋_GB2312"/>
          <w:color w:val="000000"/>
          <w:sz w:val="32"/>
          <w:szCs w:val="32"/>
        </w:rPr>
        <w:t>负责全市林业及其生态保护修复的监督管理。组织全市生态保护修复和造林绿化工作。负责全市森林资源的监督管理。负责全市湿地资源的监督管理。负责全市陆生野生动植物资源的监督管理。负责监督管理全市各类自然保护地。负责推进全市林业改革相关工作。拟订集体林权制度、国有林区、国有林场（苗圃）等重大改革意见并监督实施。拟订农村林业发展、维护林业经营者合法权益的政策措施。指导农村林地承包经营工作。开展退耕还林，负责天然林保护工作。拟订全市林业资源优化配置及木材利用政策，拟订相关林业产业地方标准并监督实施，组织、指导林产品质量监督。指导全市国有林场（苗圃）基本建设、发展，组织林木种质资源普查，组织建立种质资源库，负责良种选育推广，管理林木种苗生产经营行为，监管林木种苗质量。负责森林防灭火相关工作。监督管理全市林业市级及以上资金和国有资产，提出林业预算内投资、市级及以上财政性资金安排建议，按市政府规定权限，核报、监督管理规划内和年度计划内投资项目。参与拟订全市林业经济调节政策，组织实施林业生态补偿工作。承担职责范围内安全生产和职业健康、生态环境保护、审批服务便民化等工作。</w:t>
      </w:r>
    </w:p>
    <w:p>
      <w:pPr>
        <w:pageBreakBefore w:val="0"/>
        <w:kinsoku/>
        <w:wordWrap/>
        <w:topLinePunct w:val="0"/>
        <w:bidi w:val="0"/>
        <w:spacing w:line="576" w:lineRule="exact"/>
        <w:ind w:left="0" w:leftChars="0" w:right="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（三）人员概况</w:t>
      </w:r>
    </w:p>
    <w:p>
      <w:pPr>
        <w:pStyle w:val="2"/>
        <w:pageBreakBefore w:val="0"/>
        <w:numPr>
          <w:ilvl w:val="0"/>
          <w:numId w:val="0"/>
        </w:numPr>
        <w:kinsoku/>
        <w:wordWrap/>
        <w:topLinePunct w:val="0"/>
        <w:bidi w:val="0"/>
        <w:adjustRightInd w:val="0"/>
        <w:snapToGrid w:val="0"/>
        <w:spacing w:beforeLines="0" w:line="576" w:lineRule="exact"/>
        <w:ind w:left="0" w:leftChars="0" w:right="0" w:firstLine="640" w:firstLineChars="200"/>
        <w:outlineLvl w:val="2"/>
        <w:rPr>
          <w:rFonts w:hAnsi="仿宋_GB2312" w:cs="仿宋_GB2312"/>
          <w:color w:val="auto"/>
          <w:kern w:val="2"/>
          <w:sz w:val="32"/>
          <w:szCs w:val="32"/>
        </w:rPr>
      </w:pPr>
      <w:r>
        <w:rPr>
          <w:rFonts w:hint="eastAsia" w:ascii="仿宋_GB2312" w:hAnsi="仿宋_GB2312" w:eastAsia="仿宋_GB2312" w:cs="仿宋_GB2312"/>
          <w:sz w:val="32"/>
          <w:szCs w:val="32"/>
          <w:highlight w:val="none"/>
          <w:lang w:val="en-US" w:eastAsia="zh-CN"/>
        </w:rPr>
        <w:t>截至2020年12月31日，核定编制</w:t>
      </w:r>
      <w:r>
        <w:rPr>
          <w:rFonts w:hint="eastAsia" w:hAnsi="仿宋_GB2312" w:cs="仿宋_GB2312"/>
          <w:sz w:val="32"/>
          <w:szCs w:val="32"/>
          <w:highlight w:val="none"/>
          <w:lang w:val="en-US" w:eastAsia="zh-CN"/>
        </w:rPr>
        <w:t>205</w:t>
      </w:r>
      <w:r>
        <w:rPr>
          <w:rFonts w:hint="eastAsia" w:ascii="仿宋_GB2312" w:hAnsi="仿宋_GB2312" w:eastAsia="仿宋_GB2312" w:cs="仿宋_GB2312"/>
          <w:sz w:val="32"/>
          <w:szCs w:val="32"/>
          <w:highlight w:val="none"/>
          <w:lang w:val="en-US" w:eastAsia="zh-CN"/>
        </w:rPr>
        <w:t>名，其中行政编制</w:t>
      </w:r>
      <w:r>
        <w:rPr>
          <w:rFonts w:hint="eastAsia" w:hAnsi="仿宋_GB2312" w:cs="仿宋_GB2312"/>
          <w:sz w:val="32"/>
          <w:szCs w:val="32"/>
          <w:highlight w:val="none"/>
          <w:lang w:val="en-US" w:eastAsia="zh-CN"/>
        </w:rPr>
        <w:t>38</w:t>
      </w:r>
      <w:r>
        <w:rPr>
          <w:rFonts w:hint="eastAsia" w:ascii="仿宋_GB2312" w:hAnsi="仿宋_GB2312" w:eastAsia="仿宋_GB2312" w:cs="仿宋_GB2312"/>
          <w:sz w:val="32"/>
          <w:szCs w:val="32"/>
          <w:highlight w:val="none"/>
          <w:lang w:val="en-US" w:eastAsia="zh-CN"/>
        </w:rPr>
        <w:t>名，机关工勤人员事业编制</w:t>
      </w:r>
      <w:r>
        <w:rPr>
          <w:rFonts w:hint="eastAsia"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名，事业编制162名（其中参公事业编制</w:t>
      </w:r>
      <w:r>
        <w:rPr>
          <w:rFonts w:hint="eastAsia"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名），共有在职人员195名，其中行政人员35名，事业人员160名（其中参公事业人员7名）。</w:t>
      </w:r>
    </w:p>
    <w:p>
      <w:pPr>
        <w:pageBreakBefore w:val="0"/>
        <w:kinsoku/>
        <w:wordWrap/>
        <w:topLinePunct w:val="0"/>
        <w:bidi w:val="0"/>
        <w:spacing w:line="576" w:lineRule="exact"/>
        <w:ind w:left="0" w:leftChars="0" w:right="0"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二、本级财政资金收支情况</w:t>
      </w:r>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u w:val="none"/>
          <w:lang w:val="en-US" w:eastAsia="zh-CN"/>
        </w:rPr>
      </w:pPr>
      <w:r>
        <w:rPr>
          <w:rFonts w:hint="eastAsia" w:ascii="楷体" w:hAnsi="楷体" w:eastAsia="楷体" w:cs="楷体"/>
          <w:sz w:val="32"/>
          <w:szCs w:val="32"/>
          <w:u w:val="none"/>
          <w:lang w:val="en-US" w:eastAsia="zh-CN"/>
        </w:rPr>
        <w:t>（一）本级财政资金收入情况</w:t>
      </w:r>
      <w:r>
        <w:rPr>
          <w:rFonts w:hint="eastAsia" w:ascii="仿宋_GB2312" w:hAnsi="仿宋_GB2312" w:eastAsia="仿宋_GB2312" w:cs="仿宋_GB2312"/>
          <w:sz w:val="32"/>
          <w:szCs w:val="32"/>
          <w:u w:val="none"/>
          <w:lang w:val="en-US" w:eastAsia="zh-CN"/>
        </w:rPr>
        <w:t>。收入总计为10976.71万元：其中一般公共预算财政拨款收入10608.14万元、政府性基金预算财政拨款收入368.57万元。</w:t>
      </w:r>
    </w:p>
    <w:p>
      <w:pPr>
        <w:pageBreakBefore w:val="0"/>
        <w:kinsoku/>
        <w:wordWrap/>
        <w:topLinePunct w:val="0"/>
        <w:bidi w:val="0"/>
        <w:spacing w:line="576" w:lineRule="exact"/>
        <w:ind w:left="0" w:leftChars="0" w:right="0" w:firstLine="640" w:firstLineChars="200"/>
        <w:jc w:val="both"/>
        <w:rPr>
          <w:rFonts w:hint="eastAsia" w:ascii="仿宋_GB2312" w:hAnsi="仿宋_GB2312" w:eastAsia="仿宋_GB2312" w:cs="仿宋_GB2312"/>
          <w:sz w:val="32"/>
          <w:szCs w:val="32"/>
          <w:u w:val="none"/>
          <w:lang w:val="en-US" w:eastAsia="zh-CN"/>
        </w:rPr>
      </w:pPr>
      <w:r>
        <w:rPr>
          <w:rFonts w:hint="eastAsia" w:ascii="楷体" w:hAnsi="楷体" w:eastAsia="楷体" w:cs="楷体"/>
          <w:sz w:val="32"/>
          <w:szCs w:val="32"/>
          <w:u w:val="none"/>
          <w:lang w:val="en-US" w:eastAsia="zh-CN"/>
        </w:rPr>
        <w:t>（二）本级财政资金支出情况</w:t>
      </w:r>
      <w:r>
        <w:rPr>
          <w:rFonts w:hint="eastAsia" w:ascii="仿宋_GB2312" w:hAnsi="仿宋_GB2312" w:eastAsia="仿宋_GB2312" w:cs="仿宋_GB2312"/>
          <w:sz w:val="32"/>
          <w:szCs w:val="32"/>
          <w:u w:val="none"/>
          <w:lang w:val="en-US" w:eastAsia="zh-CN"/>
        </w:rPr>
        <w:t>。支出总计为6582.21万元</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u w:val="none"/>
          <w:lang w:val="en-US" w:eastAsia="zh-CN"/>
        </w:rPr>
        <w:t>其中公安安全支出197.46万元、科学技术支出4.77万元、社会保障和就业支出265万元、卫生健康支出111.77万元、节能环保支出181.74万元、城乡社区支出340.71万元、交通运输支出25.3万元、农林水支出5201.35万元、住房保障支出254.11万元。</w:t>
      </w:r>
    </w:p>
    <w:p>
      <w:pPr>
        <w:pageBreakBefore w:val="0"/>
        <w:kinsoku/>
        <w:wordWrap/>
        <w:topLinePunct w:val="0"/>
        <w:bidi w:val="0"/>
        <w:spacing w:line="576" w:lineRule="exact"/>
        <w:ind w:left="0" w:leftChars="0" w:right="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三、本级整体预算绩效管理情况</w:t>
      </w:r>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（一）本级预算管理</w:t>
      </w:r>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全局资金进行合理规划、统筹安排，对各项收入全部据实及时入账，各项支出严格按照国家法律以及相关政策规定和标准，本着厉行节约的原则，完善支出手续，规范支出科目，确保各类支出真实、有效；进一步加强以财政直接支付、公务卡结算和政府采购制度为重点的支出管理，严格执行预算，强化支出管理。</w:t>
      </w:r>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（二）结果应用情况</w:t>
      </w:r>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在财政资金管理中认真执行有关法律法规和财经制度，严格按照中央八项规定、省委省政府十项规定、市委“六个带头”及实施细则要求，单位内部财务管理制度健全，预算编制完整，预算执行到位，做到了财务公开、会计核算真实、规范</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lang w:val="en-US" w:eastAsia="zh-CN"/>
        </w:rPr>
        <w:t>没有截留、挪用财政资金</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lang w:val="en-US" w:eastAsia="zh-CN"/>
        </w:rPr>
        <w:t>擅自扩大或缩小资金使用范围</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lang w:val="en-US" w:eastAsia="zh-CN"/>
        </w:rPr>
        <w:t>改变资金用途等现象，未在项目申报中弄虚作假，套取财政资金，保证了专项资金专款专用，财政资金基本保障了林业工作需要。</w:t>
      </w:r>
    </w:p>
    <w:p>
      <w:pPr>
        <w:pageBreakBefore w:val="0"/>
        <w:kinsoku/>
        <w:wordWrap/>
        <w:topLinePunct w:val="0"/>
        <w:bidi w:val="0"/>
        <w:spacing w:line="576" w:lineRule="exact"/>
        <w:ind w:left="0" w:leftChars="0" w:right="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四、评价结论及建议</w:t>
      </w:r>
    </w:p>
    <w:p>
      <w:pPr>
        <w:pageBreakBefore w:val="0"/>
        <w:kinsoku/>
        <w:wordWrap/>
        <w:topLinePunct w:val="0"/>
        <w:bidi w:val="0"/>
        <w:spacing w:line="576"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（一）评价结论</w:t>
      </w:r>
    </w:p>
    <w:p>
      <w:pPr>
        <w:pageBreakBefore w:val="0"/>
        <w:kinsoku/>
        <w:wordWrap/>
        <w:topLinePunct w:val="0"/>
        <w:bidi w:val="0"/>
        <w:spacing w:line="576" w:lineRule="exact"/>
        <w:ind w:left="0" w:leftChars="0" w:right="0"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2020年，我局紧紧围绕“三个一、三个三”兴广战略，坚持生态优先、绿色发展，深入践行绿水青山就是金山银山的发展理念，实施特色生态产业、大众生态创业、稳定生态就业“三业”工程，以生态保护修复为基础，以产业提质增效为重点，以现代林业园区建设为抓手，以项目投资为支撑，以深化改革创新为动力，持续推进林业八项重点工作，推动全市林业高质量发展，圆满完成市委、市政府下达的各项目标任务。市政府在省委省政府召开的全省竹林风景线暨林业园区建设现场会上交流发言；我局在全国林下经济培训会上作典型经验交流发言，昭化义春中药材种植合作社林下茯苓“种一休三”模式被国家林草局入选为林业资源综合利用典型案例在全国发布，供各地学习借鉴和推广；成功创建“朝天核桃”中国特色农产品优势区、“广元油橄榄”四川省特色农产品优势区；大力实施林草“生态三业”走出绿色惠民与生态经济共赢发展之路的做法，得到省林草局认可并印发全省林业系统学习借鉴；在2019年全省林业19项工作中，我市12项工作被省局通报表扬，其中生态扶贫、林草产业、稽查及绩效评价和林木种苗4项工作排名全省第一。在2020年全省林业8项工作中，我市5项工作被省局通报表扬，其中自然保护地和数字林草2项工作排名全省第一。2020年禁食野生动物退补工作被省林草局通报表扬，大熊猫保护工作被省林草局、省人社厅表彰为先进单位；经济建设三大主战场被市委、市政府表彰为突出贡献单位，行业脱贫攻坚被市委、市政府表彰为先进集体，2019年度目标考核为经济本级工作组先进单位（第6名），市委管理领导班子被市委表彰为“优秀”领导班子,政务服务窗口被市政务服务和公共资源交易中心表扬为优质服务窗口,机关党建工作被市直机关工委表扬为先进单位。</w:t>
      </w:r>
    </w:p>
    <w:p>
      <w:pPr>
        <w:pageBreakBefore w:val="0"/>
        <w:numPr>
          <w:ilvl w:val="0"/>
          <w:numId w:val="3"/>
        </w:numPr>
        <w:kinsoku/>
        <w:wordWrap/>
        <w:topLinePunct w:val="0"/>
        <w:bidi w:val="0"/>
        <w:spacing w:line="576" w:lineRule="exact"/>
        <w:ind w:left="0" w:leftChars="0" w:right="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存在问题及下一步工作打算</w:t>
      </w:r>
    </w:p>
    <w:p>
      <w:pPr>
        <w:pageBreakBefore w:val="0"/>
        <w:kinsoku/>
        <w:wordWrap/>
        <w:topLinePunct w:val="0"/>
        <w:bidi w:val="0"/>
        <w:spacing w:line="576" w:lineRule="exact"/>
        <w:ind w:left="0" w:leftChars="0" w:right="0" w:firstLine="420" w:firstLineChars="200"/>
        <w:jc w:val="left"/>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bCs/>
          <w:kern w:val="0"/>
          <w:sz w:val="32"/>
          <w:szCs w:val="32"/>
        </w:rPr>
        <w:t>总的来说，我局能严格执行各项财经纪律，</w:t>
      </w:r>
      <w:r>
        <w:rPr>
          <w:rFonts w:hint="eastAsia" w:ascii="仿宋_GB2312" w:hAnsi="仿宋_GB2312" w:eastAsia="仿宋_GB2312" w:cs="仿宋_GB2312"/>
          <w:sz w:val="32"/>
          <w:szCs w:val="32"/>
        </w:rPr>
        <w:t>完善资金使用</w:t>
      </w:r>
      <w:r>
        <w:rPr>
          <w:rFonts w:ascii="仿宋_GB2312" w:hAnsi="仿宋_GB2312" w:eastAsia="仿宋_GB2312" w:cs="仿宋_GB2312"/>
          <w:sz w:val="32"/>
          <w:szCs w:val="32"/>
        </w:rPr>
        <w:t>的监督和管理</w:t>
      </w:r>
      <w:r>
        <w:rPr>
          <w:rFonts w:hint="eastAsia" w:ascii="仿宋_GB2312" w:hAnsi="仿宋_GB2312" w:eastAsia="仿宋_GB2312" w:cs="仿宋_GB2312"/>
          <w:sz w:val="32"/>
          <w:szCs w:val="32"/>
        </w:rPr>
        <w:t>，提高</w:t>
      </w:r>
      <w:r>
        <w:rPr>
          <w:rFonts w:ascii="仿宋_GB2312" w:hAnsi="仿宋_GB2312" w:eastAsia="仿宋_GB2312" w:cs="仿宋_GB2312"/>
          <w:sz w:val="32"/>
          <w:szCs w:val="32"/>
        </w:rPr>
        <w:t>资金使用效率,合理安排资金流向</w:t>
      </w:r>
      <w:r>
        <w:rPr>
          <w:rFonts w:hint="eastAsia" w:ascii="仿宋_GB2312" w:hAnsi="仿宋_GB2312" w:eastAsia="仿宋_GB2312" w:cs="仿宋_GB2312"/>
          <w:sz w:val="32"/>
          <w:szCs w:val="32"/>
        </w:rPr>
        <w:t>，做到专款专用。</w:t>
      </w:r>
      <w:r>
        <w:rPr>
          <w:rFonts w:hint="eastAsia" w:ascii="仿宋_GB2312" w:hAnsi="仿宋_GB2312" w:eastAsia="仿宋_GB2312" w:cs="仿宋_GB2312"/>
          <w:bCs/>
          <w:kern w:val="0"/>
          <w:sz w:val="32"/>
          <w:szCs w:val="32"/>
        </w:rPr>
        <w:t>主要</w:t>
      </w:r>
      <w:r>
        <w:rPr>
          <w:rFonts w:hint="eastAsia" w:ascii="仿宋_GB2312" w:hAnsi="仿宋_GB2312" w:eastAsia="仿宋_GB2312" w:cs="仿宋_GB2312"/>
          <w:bCs/>
          <w:kern w:val="0"/>
          <w:sz w:val="32"/>
          <w:szCs w:val="32"/>
          <w:lang w:eastAsia="zh-CN"/>
        </w:rPr>
        <w:t>问题是</w:t>
      </w:r>
      <w:r>
        <w:rPr>
          <w:rFonts w:hint="eastAsia" w:ascii="仿宋_GB2312" w:hAnsi="仿宋_GB2312" w:eastAsia="仿宋_GB2312" w:cs="仿宋_GB2312"/>
          <w:sz w:val="32"/>
          <w:szCs w:val="32"/>
        </w:rPr>
        <w:t>项目绩效管理水平和能力还有待进一步提高。下一步，</w:t>
      </w:r>
      <w:r>
        <w:rPr>
          <w:rFonts w:hint="eastAsia" w:ascii="仿宋_GB2312" w:hAnsi="仿宋_GB2312" w:eastAsia="仿宋_GB2312" w:cs="仿宋_GB2312"/>
          <w:sz w:val="32"/>
          <w:szCs w:val="32"/>
          <w:lang w:eastAsia="zh-CN"/>
        </w:rPr>
        <w:t>我局将</w:t>
      </w:r>
      <w:r>
        <w:rPr>
          <w:rFonts w:hint="eastAsia" w:ascii="仿宋_GB2312" w:hAnsi="仿宋_GB2312" w:eastAsia="仿宋_GB2312" w:cs="仿宋_GB2312"/>
          <w:sz w:val="32"/>
          <w:szCs w:val="32"/>
          <w:lang w:val="en-US" w:eastAsia="zh-CN"/>
        </w:rPr>
        <w:t>进一步加强项目绩效管理，严格预算执行力度，合理安排支出，提高项目资金使用绩效；加强财务人员职业培训，提高财务核算、财务管理的综合水平。</w:t>
      </w:r>
    </w:p>
    <w:p>
      <w:pPr>
        <w:pStyle w:val="2"/>
        <w:pageBreakBefore w:val="0"/>
        <w:kinsoku/>
        <w:wordWrap/>
        <w:topLinePunct w:val="0"/>
        <w:bidi w:val="0"/>
        <w:spacing w:beforeLines="0" w:line="576"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pageBreakBefore w:val="0"/>
        <w:kinsoku/>
        <w:wordWrap/>
        <w:topLinePunct w:val="0"/>
        <w:bidi w:val="0"/>
        <w:spacing w:beforeLines="0" w:line="576" w:lineRule="exact"/>
        <w:ind w:left="0" w:leftChars="0" w:right="0" w:firstLine="640" w:firstLineChars="200"/>
        <w:rPr>
          <w:rFonts w:hint="eastAsia" w:ascii="仿宋_GB2312" w:hAnsi="仿宋_GB2312" w:eastAsia="仿宋_GB2312" w:cs="仿宋_GB2312"/>
          <w:sz w:val="32"/>
          <w:szCs w:val="32"/>
          <w:lang w:val="en-US" w:eastAsia="zh-CN"/>
        </w:rPr>
      </w:pP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lang w:val="en-US" w:eastAsia="zh-CN"/>
        </w:rPr>
      </w:pPr>
    </w:p>
    <w:p>
      <w:pPr>
        <w:pageBreakBefore w:val="0"/>
        <w:kinsoku/>
        <w:wordWrap/>
        <w:topLinePunct w:val="0"/>
        <w:bidi w:val="0"/>
        <w:spacing w:line="576" w:lineRule="exact"/>
        <w:ind w:left="0" w:leftChars="0" w:right="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ageBreakBefore w:val="0"/>
        <w:kinsoku/>
        <w:wordWrap/>
        <w:topLinePunct w:val="0"/>
        <w:bidi w:val="0"/>
        <w:spacing w:line="576" w:lineRule="exact"/>
        <w:ind w:left="0" w:leftChars="0" w:right="0" w:firstLine="640" w:firstLineChars="200"/>
        <w:outlineLvl w:val="0"/>
        <w:rPr>
          <w:rFonts w:hint="eastAsia" w:ascii="仿宋_GB2312" w:hAnsi="仿宋_GB2312" w:eastAsia="仿宋_GB2312" w:cs="仿宋_GB2312"/>
          <w:sz w:val="32"/>
          <w:szCs w:val="32"/>
          <w:lang w:val="en-US" w:eastAsia="zh-CN"/>
        </w:rPr>
      </w:pPr>
    </w:p>
    <w:p>
      <w:pPr>
        <w:pageBreakBefore w:val="0"/>
        <w:kinsoku/>
        <w:wordWrap/>
        <w:topLinePunct w:val="0"/>
        <w:bidi w:val="0"/>
        <w:spacing w:line="576" w:lineRule="exact"/>
        <w:ind w:left="0" w:leftChars="0" w:right="0" w:firstLine="640" w:firstLineChars="200"/>
        <w:outlineLvl w:val="0"/>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pageBreakBefore w:val="0"/>
        <w:kinsoku/>
        <w:wordWrap/>
        <w:topLinePunct w:val="0"/>
        <w:bidi w:val="0"/>
        <w:spacing w:line="576" w:lineRule="exact"/>
        <w:ind w:right="0"/>
        <w:jc w:val="center"/>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第五部分 附表</w:t>
      </w:r>
      <w:bookmarkStart w:id="58" w:name="_Toc15396619"/>
    </w:p>
    <w:p>
      <w:pPr>
        <w:pageBreakBefore w:val="0"/>
        <w:kinsoku/>
        <w:wordWrap/>
        <w:topLinePunct w:val="0"/>
        <w:bidi w:val="0"/>
        <w:spacing w:line="576" w:lineRule="exact"/>
        <w:ind w:left="0" w:leftChars="0" w:right="0" w:firstLine="640" w:firstLineChars="200"/>
        <w:outlineLvl w:val="0"/>
        <w:rPr>
          <w:rFonts w:hint="eastAsia" w:ascii="仿宋_GB2312" w:hAnsi="仿宋_GB2312" w:eastAsia="仿宋_GB2312" w:cs="仿宋_GB2312"/>
          <w:b w:val="0"/>
          <w:bCs w:val="0"/>
          <w:kern w:val="2"/>
          <w:sz w:val="32"/>
          <w:szCs w:val="32"/>
          <w:lang w:val="en-US" w:eastAsia="zh-CN" w:bidi="ar-SA"/>
        </w:rPr>
      </w:pPr>
    </w:p>
    <w:p>
      <w:pPr>
        <w:pageBreakBefore w:val="0"/>
        <w:kinsoku/>
        <w:wordWrap/>
        <w:topLinePunct w:val="0"/>
        <w:bidi w:val="0"/>
        <w:spacing w:line="576" w:lineRule="exact"/>
        <w:ind w:left="0" w:leftChars="0" w:right="0" w:firstLine="640"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一、收入支出决算总表</w:t>
      </w:r>
      <w:bookmarkEnd w:id="58"/>
      <w:bookmarkStart w:id="59" w:name="_Toc15396620"/>
    </w:p>
    <w:p>
      <w:pPr>
        <w:pageBreakBefore w:val="0"/>
        <w:kinsoku/>
        <w:wordWrap/>
        <w:topLinePunct w:val="0"/>
        <w:bidi w:val="0"/>
        <w:spacing w:line="576" w:lineRule="exact"/>
        <w:ind w:left="0" w:leftChars="0" w:right="0" w:firstLine="640"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二、收入决算表</w:t>
      </w:r>
      <w:bookmarkEnd w:id="59"/>
    </w:p>
    <w:p>
      <w:pPr>
        <w:pageBreakBefore w:val="0"/>
        <w:kinsoku/>
        <w:wordWrap/>
        <w:topLinePunct w:val="0"/>
        <w:bidi w:val="0"/>
        <w:spacing w:line="576" w:lineRule="exact"/>
        <w:ind w:left="0" w:leftChars="0" w:right="0" w:firstLine="640" w:firstLineChars="200"/>
        <w:outlineLvl w:val="0"/>
        <w:rPr>
          <w:rFonts w:hint="eastAsia" w:ascii="仿宋_GB2312" w:hAnsi="仿宋_GB2312" w:eastAsia="仿宋_GB2312" w:cs="仿宋_GB2312"/>
          <w:b w:val="0"/>
          <w:bCs w:val="0"/>
          <w:kern w:val="2"/>
          <w:sz w:val="32"/>
          <w:szCs w:val="32"/>
          <w:lang w:val="en-US" w:eastAsia="zh-CN" w:bidi="ar-SA"/>
        </w:rPr>
      </w:pPr>
      <w:bookmarkStart w:id="60" w:name="_Toc15396621"/>
      <w:r>
        <w:rPr>
          <w:rFonts w:hint="eastAsia" w:ascii="仿宋_GB2312" w:hAnsi="仿宋_GB2312" w:eastAsia="仿宋_GB2312" w:cs="仿宋_GB2312"/>
          <w:b w:val="0"/>
          <w:bCs w:val="0"/>
          <w:kern w:val="2"/>
          <w:sz w:val="32"/>
          <w:szCs w:val="32"/>
          <w:lang w:val="en-US" w:eastAsia="zh-CN" w:bidi="ar-SA"/>
        </w:rPr>
        <w:t>三、支出决算表</w:t>
      </w:r>
      <w:bookmarkEnd w:id="60"/>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1" w:name="_Toc15396622"/>
      <w:r>
        <w:rPr>
          <w:rFonts w:hint="eastAsia" w:ascii="仿宋_GB2312" w:hAnsi="仿宋_GB2312" w:eastAsia="仿宋_GB2312" w:cs="仿宋_GB2312"/>
          <w:b w:val="0"/>
          <w:bCs w:val="0"/>
        </w:rPr>
        <w:t>四、财政拨款收入支出决算总表</w:t>
      </w:r>
      <w:bookmarkEnd w:id="61"/>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2" w:name="_Toc15396623"/>
      <w:r>
        <w:rPr>
          <w:rFonts w:hint="eastAsia" w:ascii="仿宋_GB2312" w:hAnsi="仿宋_GB2312" w:eastAsia="仿宋_GB2312" w:cs="仿宋_GB2312"/>
          <w:b w:val="0"/>
          <w:bCs w:val="0"/>
        </w:rPr>
        <w:t>五、财政拨款支出决算明细表</w:t>
      </w:r>
      <w:bookmarkEnd w:id="62"/>
      <w:bookmarkStart w:id="63" w:name="_Toc15396624"/>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六、一般公共预算财政拨款支出决算表</w:t>
      </w:r>
      <w:bookmarkEnd w:id="63"/>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4" w:name="_Toc15396625"/>
      <w:r>
        <w:rPr>
          <w:rFonts w:hint="eastAsia" w:ascii="仿宋_GB2312" w:hAnsi="仿宋_GB2312" w:eastAsia="仿宋_GB2312" w:cs="仿宋_GB2312"/>
          <w:b w:val="0"/>
          <w:bCs w:val="0"/>
        </w:rPr>
        <w:t>七、一般公共预算财政拨款支出决算明细表</w:t>
      </w:r>
      <w:bookmarkEnd w:id="64"/>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5" w:name="_Toc15396626"/>
      <w:r>
        <w:rPr>
          <w:rFonts w:hint="eastAsia" w:ascii="仿宋_GB2312" w:hAnsi="仿宋_GB2312" w:eastAsia="仿宋_GB2312" w:cs="仿宋_GB2312"/>
          <w:b w:val="0"/>
          <w:bCs w:val="0"/>
        </w:rPr>
        <w:t>八、一般公共预算财政拨款基本支出决算表</w:t>
      </w:r>
      <w:bookmarkEnd w:id="65"/>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6" w:name="_Toc15396627"/>
      <w:r>
        <w:rPr>
          <w:rFonts w:hint="eastAsia" w:ascii="仿宋_GB2312" w:hAnsi="仿宋_GB2312" w:eastAsia="仿宋_GB2312" w:cs="仿宋_GB2312"/>
          <w:b w:val="0"/>
          <w:bCs w:val="0"/>
        </w:rPr>
        <w:t>九、一般公共预算财政拨款项目支出决算表</w:t>
      </w:r>
      <w:bookmarkEnd w:id="66"/>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7" w:name="_Toc15396628"/>
      <w:r>
        <w:rPr>
          <w:rFonts w:hint="eastAsia" w:ascii="仿宋_GB2312" w:hAnsi="仿宋_GB2312" w:eastAsia="仿宋_GB2312" w:cs="仿宋_GB2312"/>
          <w:b w:val="0"/>
          <w:bCs w:val="0"/>
        </w:rPr>
        <w:t>十、一般公共预算财政拨款“三公”经费支出决算表</w:t>
      </w:r>
      <w:bookmarkEnd w:id="67"/>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8" w:name="_Toc15396629"/>
      <w:r>
        <w:rPr>
          <w:rFonts w:hint="eastAsia" w:ascii="仿宋_GB2312" w:hAnsi="仿宋_GB2312" w:eastAsia="仿宋_GB2312" w:cs="仿宋_GB2312"/>
          <w:b w:val="0"/>
          <w:bCs w:val="0"/>
        </w:rPr>
        <w:t>十一、政府性基金预算财政拨款收入支出决算表</w:t>
      </w:r>
      <w:bookmarkEnd w:id="68"/>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69" w:name="_Toc15396630"/>
      <w:r>
        <w:rPr>
          <w:rFonts w:hint="eastAsia" w:ascii="仿宋_GB2312" w:hAnsi="仿宋_GB2312" w:eastAsia="仿宋_GB2312" w:cs="仿宋_GB2312"/>
          <w:b w:val="0"/>
          <w:bCs w:val="0"/>
        </w:rPr>
        <w:t>十二、政府性基金预算财政拨款“三公”经费支出决算表</w:t>
      </w:r>
      <w:bookmarkEnd w:id="69"/>
    </w:p>
    <w:p>
      <w:pPr>
        <w:pStyle w:val="4"/>
        <w:pageBreakBefore w:val="0"/>
        <w:kinsoku/>
        <w:wordWrap/>
        <w:topLinePunct w:val="0"/>
        <w:bidi w:val="0"/>
        <w:spacing w:before="0" w:after="0" w:line="576" w:lineRule="exact"/>
        <w:ind w:left="0" w:leftChars="0" w:right="0" w:firstLine="640" w:firstLineChars="200"/>
        <w:rPr>
          <w:rFonts w:ascii="仿宋_GB2312" w:hAnsi="仿宋_GB2312" w:eastAsia="仿宋_GB2312" w:cs="仿宋_GB2312"/>
          <w:b w:val="0"/>
          <w:bCs w:val="0"/>
        </w:rPr>
      </w:pPr>
      <w:bookmarkStart w:id="70" w:name="_Toc15396631"/>
      <w:r>
        <w:rPr>
          <w:rFonts w:hint="eastAsia" w:ascii="仿宋_GB2312" w:hAnsi="仿宋_GB2312" w:eastAsia="仿宋_GB2312" w:cs="仿宋_GB2312"/>
          <w:b w:val="0"/>
          <w:bCs w:val="0"/>
        </w:rPr>
        <w:t>十三、国有资本经营预算支出决算表</w:t>
      </w:r>
      <w:bookmarkEnd w:id="70"/>
    </w:p>
    <w:p>
      <w:pPr>
        <w:pStyle w:val="4"/>
        <w:rPr>
          <w:rFonts w:ascii="仿宋_GB2312" w:hAnsi="仿宋_GB2312" w:eastAsia="仿宋_GB2312" w:cs="仿宋_GB2312"/>
          <w:b w:val="0"/>
          <w:bCs w:val="0"/>
        </w:rPr>
      </w:pPr>
      <w:r>
        <w:rPr>
          <w:rFonts w:hint="eastAsia" w:ascii="仿宋_GB2312" w:hAnsi="仿宋_GB2312" w:eastAsia="仿宋_GB2312" w:cs="仿宋_GB2312"/>
          <w:sz w:val="32"/>
          <w:szCs w:val="32"/>
          <w:lang w:val="en-US" w:eastAsia="zh-CN"/>
        </w:rPr>
        <w:t xml:space="preserve">   </w:t>
      </w:r>
      <w:bookmarkEnd w:id="57"/>
    </w:p>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74B69"/>
    <w:multiLevelType w:val="singleLevel"/>
    <w:tmpl w:val="D8874B69"/>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WMxNTIyNDZiNDVkYzZiNGQ2NmI1MDhlYWU4ZWMifQ=="/>
  </w:docVars>
  <w:rsids>
    <w:rsidRoot w:val="00F1361C"/>
    <w:rsid w:val="000222C6"/>
    <w:rsid w:val="0002549F"/>
    <w:rsid w:val="000468DB"/>
    <w:rsid w:val="0006487A"/>
    <w:rsid w:val="00065F8F"/>
    <w:rsid w:val="00070A43"/>
    <w:rsid w:val="000768F2"/>
    <w:rsid w:val="000775D3"/>
    <w:rsid w:val="0009184B"/>
    <w:rsid w:val="00094236"/>
    <w:rsid w:val="0009593C"/>
    <w:rsid w:val="0009615C"/>
    <w:rsid w:val="00097322"/>
    <w:rsid w:val="00097820"/>
    <w:rsid w:val="000A6A92"/>
    <w:rsid w:val="000B047F"/>
    <w:rsid w:val="000B5923"/>
    <w:rsid w:val="000B5A48"/>
    <w:rsid w:val="000B6FF3"/>
    <w:rsid w:val="000C320B"/>
    <w:rsid w:val="000C3467"/>
    <w:rsid w:val="000C3CA6"/>
    <w:rsid w:val="000D1267"/>
    <w:rsid w:val="000D1D50"/>
    <w:rsid w:val="000D5782"/>
    <w:rsid w:val="000E6613"/>
    <w:rsid w:val="000E7119"/>
    <w:rsid w:val="00105998"/>
    <w:rsid w:val="00110F83"/>
    <w:rsid w:val="00114E9B"/>
    <w:rsid w:val="00124B63"/>
    <w:rsid w:val="00130B8F"/>
    <w:rsid w:val="00136716"/>
    <w:rsid w:val="00142216"/>
    <w:rsid w:val="00144D6A"/>
    <w:rsid w:val="0014729F"/>
    <w:rsid w:val="00157BAB"/>
    <w:rsid w:val="001654D1"/>
    <w:rsid w:val="00174518"/>
    <w:rsid w:val="0018106D"/>
    <w:rsid w:val="001877A7"/>
    <w:rsid w:val="00191536"/>
    <w:rsid w:val="001943AE"/>
    <w:rsid w:val="00196687"/>
    <w:rsid w:val="001A2C46"/>
    <w:rsid w:val="001C0962"/>
    <w:rsid w:val="001D7531"/>
    <w:rsid w:val="001E737D"/>
    <w:rsid w:val="001F0592"/>
    <w:rsid w:val="001F7506"/>
    <w:rsid w:val="002006CD"/>
    <w:rsid w:val="00202B36"/>
    <w:rsid w:val="00204B7A"/>
    <w:rsid w:val="00204CDE"/>
    <w:rsid w:val="0021101A"/>
    <w:rsid w:val="002200C0"/>
    <w:rsid w:val="00220536"/>
    <w:rsid w:val="00235629"/>
    <w:rsid w:val="002477C8"/>
    <w:rsid w:val="00260C38"/>
    <w:rsid w:val="002616C0"/>
    <w:rsid w:val="00265372"/>
    <w:rsid w:val="002662AA"/>
    <w:rsid w:val="00272F03"/>
    <w:rsid w:val="00280496"/>
    <w:rsid w:val="00294DC9"/>
    <w:rsid w:val="00295495"/>
    <w:rsid w:val="00296B95"/>
    <w:rsid w:val="002A31DE"/>
    <w:rsid w:val="002B2613"/>
    <w:rsid w:val="002D19B0"/>
    <w:rsid w:val="002D6D05"/>
    <w:rsid w:val="002F1818"/>
    <w:rsid w:val="002F567B"/>
    <w:rsid w:val="00306343"/>
    <w:rsid w:val="003216A9"/>
    <w:rsid w:val="00335A74"/>
    <w:rsid w:val="00360153"/>
    <w:rsid w:val="00360E2E"/>
    <w:rsid w:val="0036561B"/>
    <w:rsid w:val="0037013F"/>
    <w:rsid w:val="00380C92"/>
    <w:rsid w:val="003A484F"/>
    <w:rsid w:val="003A4883"/>
    <w:rsid w:val="003A7F3D"/>
    <w:rsid w:val="003B0BE0"/>
    <w:rsid w:val="003B0C1B"/>
    <w:rsid w:val="003B688C"/>
    <w:rsid w:val="003C0291"/>
    <w:rsid w:val="003C39AE"/>
    <w:rsid w:val="003C7B60"/>
    <w:rsid w:val="003D0C0F"/>
    <w:rsid w:val="003D1FB2"/>
    <w:rsid w:val="003D66DA"/>
    <w:rsid w:val="003E1310"/>
    <w:rsid w:val="003E6969"/>
    <w:rsid w:val="003E6F55"/>
    <w:rsid w:val="003F7BE7"/>
    <w:rsid w:val="004025A5"/>
    <w:rsid w:val="00406254"/>
    <w:rsid w:val="00416CD4"/>
    <w:rsid w:val="004223DE"/>
    <w:rsid w:val="00431CB6"/>
    <w:rsid w:val="00434489"/>
    <w:rsid w:val="00437085"/>
    <w:rsid w:val="00443880"/>
    <w:rsid w:val="004464F4"/>
    <w:rsid w:val="00452CC6"/>
    <w:rsid w:val="00457FF3"/>
    <w:rsid w:val="00466802"/>
    <w:rsid w:val="00471401"/>
    <w:rsid w:val="00473F31"/>
    <w:rsid w:val="0048263A"/>
    <w:rsid w:val="00487E5D"/>
    <w:rsid w:val="004A711F"/>
    <w:rsid w:val="004B199D"/>
    <w:rsid w:val="004B4690"/>
    <w:rsid w:val="004C6E1F"/>
    <w:rsid w:val="004D1E58"/>
    <w:rsid w:val="004E0A2D"/>
    <w:rsid w:val="004E206B"/>
    <w:rsid w:val="004E6DF7"/>
    <w:rsid w:val="004F0FBD"/>
    <w:rsid w:val="004F31EB"/>
    <w:rsid w:val="004F403E"/>
    <w:rsid w:val="004F4678"/>
    <w:rsid w:val="00503132"/>
    <w:rsid w:val="00505A47"/>
    <w:rsid w:val="00512FDA"/>
    <w:rsid w:val="00520DA0"/>
    <w:rsid w:val="005664BB"/>
    <w:rsid w:val="00566FFA"/>
    <w:rsid w:val="0057481D"/>
    <w:rsid w:val="00575F0B"/>
    <w:rsid w:val="00582ADA"/>
    <w:rsid w:val="0058486E"/>
    <w:rsid w:val="00585B33"/>
    <w:rsid w:val="0059014D"/>
    <w:rsid w:val="005B5C64"/>
    <w:rsid w:val="005C6BD0"/>
    <w:rsid w:val="005C6C4C"/>
    <w:rsid w:val="005D1C8B"/>
    <w:rsid w:val="005D468D"/>
    <w:rsid w:val="005D5CED"/>
    <w:rsid w:val="005F1A4C"/>
    <w:rsid w:val="005F5A8A"/>
    <w:rsid w:val="00605688"/>
    <w:rsid w:val="006070AF"/>
    <w:rsid w:val="00607E6C"/>
    <w:rsid w:val="006101B1"/>
    <w:rsid w:val="00614E44"/>
    <w:rsid w:val="0062270A"/>
    <w:rsid w:val="00622830"/>
    <w:rsid w:val="00623DA0"/>
    <w:rsid w:val="00630AEF"/>
    <w:rsid w:val="006325F8"/>
    <w:rsid w:val="00633463"/>
    <w:rsid w:val="00634C9A"/>
    <w:rsid w:val="00637397"/>
    <w:rsid w:val="006440E4"/>
    <w:rsid w:val="00644B79"/>
    <w:rsid w:val="0065634E"/>
    <w:rsid w:val="0066343B"/>
    <w:rsid w:val="00664777"/>
    <w:rsid w:val="006669CE"/>
    <w:rsid w:val="006748A4"/>
    <w:rsid w:val="00681678"/>
    <w:rsid w:val="00681A31"/>
    <w:rsid w:val="00683E73"/>
    <w:rsid w:val="006A3141"/>
    <w:rsid w:val="006A5572"/>
    <w:rsid w:val="006A5E34"/>
    <w:rsid w:val="006A7DAF"/>
    <w:rsid w:val="006B2422"/>
    <w:rsid w:val="006B2B9A"/>
    <w:rsid w:val="006C1937"/>
    <w:rsid w:val="006F020C"/>
    <w:rsid w:val="007127B7"/>
    <w:rsid w:val="00716913"/>
    <w:rsid w:val="0071798E"/>
    <w:rsid w:val="00727533"/>
    <w:rsid w:val="007340FE"/>
    <w:rsid w:val="007416B6"/>
    <w:rsid w:val="00746F48"/>
    <w:rsid w:val="00750951"/>
    <w:rsid w:val="0075404D"/>
    <w:rsid w:val="0076182A"/>
    <w:rsid w:val="00767B7E"/>
    <w:rsid w:val="007770C3"/>
    <w:rsid w:val="00784D24"/>
    <w:rsid w:val="00785113"/>
    <w:rsid w:val="00785FBA"/>
    <w:rsid w:val="00786E4A"/>
    <w:rsid w:val="007875EB"/>
    <w:rsid w:val="00791CC1"/>
    <w:rsid w:val="0079426B"/>
    <w:rsid w:val="007D1682"/>
    <w:rsid w:val="007D312A"/>
    <w:rsid w:val="007D3F19"/>
    <w:rsid w:val="007E23B0"/>
    <w:rsid w:val="007F1991"/>
    <w:rsid w:val="007F2B72"/>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2D16"/>
    <w:rsid w:val="008E707C"/>
    <w:rsid w:val="00900B08"/>
    <w:rsid w:val="00902155"/>
    <w:rsid w:val="00902FA3"/>
    <w:rsid w:val="00920638"/>
    <w:rsid w:val="00923564"/>
    <w:rsid w:val="0092392E"/>
    <w:rsid w:val="009315F9"/>
    <w:rsid w:val="00933499"/>
    <w:rsid w:val="00935C98"/>
    <w:rsid w:val="00937982"/>
    <w:rsid w:val="00946945"/>
    <w:rsid w:val="00951248"/>
    <w:rsid w:val="0095152F"/>
    <w:rsid w:val="00954C49"/>
    <w:rsid w:val="00955E37"/>
    <w:rsid w:val="0097099F"/>
    <w:rsid w:val="00971997"/>
    <w:rsid w:val="00971FFC"/>
    <w:rsid w:val="0098660A"/>
    <w:rsid w:val="009931C3"/>
    <w:rsid w:val="009A65C2"/>
    <w:rsid w:val="009B1979"/>
    <w:rsid w:val="009B2C43"/>
    <w:rsid w:val="009B3405"/>
    <w:rsid w:val="009B4EAE"/>
    <w:rsid w:val="009B598D"/>
    <w:rsid w:val="009B7573"/>
    <w:rsid w:val="009C22F4"/>
    <w:rsid w:val="009C2E98"/>
    <w:rsid w:val="009C37FB"/>
    <w:rsid w:val="009D3447"/>
    <w:rsid w:val="009D4711"/>
    <w:rsid w:val="009E13C7"/>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1558"/>
    <w:rsid w:val="00A422EB"/>
    <w:rsid w:val="00A45BB7"/>
    <w:rsid w:val="00A56DF2"/>
    <w:rsid w:val="00A56E6E"/>
    <w:rsid w:val="00A64906"/>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4E87"/>
    <w:rsid w:val="00B03C9D"/>
    <w:rsid w:val="00B060AE"/>
    <w:rsid w:val="00B10517"/>
    <w:rsid w:val="00B14E76"/>
    <w:rsid w:val="00B161B8"/>
    <w:rsid w:val="00B2048C"/>
    <w:rsid w:val="00B310B9"/>
    <w:rsid w:val="00B35F3F"/>
    <w:rsid w:val="00B36CBB"/>
    <w:rsid w:val="00B425E0"/>
    <w:rsid w:val="00B440AA"/>
    <w:rsid w:val="00B44B70"/>
    <w:rsid w:val="00B52BDA"/>
    <w:rsid w:val="00B53C56"/>
    <w:rsid w:val="00B57DAF"/>
    <w:rsid w:val="00B77EA6"/>
    <w:rsid w:val="00B81598"/>
    <w:rsid w:val="00B841F1"/>
    <w:rsid w:val="00B944D6"/>
    <w:rsid w:val="00BA59A0"/>
    <w:rsid w:val="00BB4DF0"/>
    <w:rsid w:val="00BB545B"/>
    <w:rsid w:val="00BC289F"/>
    <w:rsid w:val="00BC2D50"/>
    <w:rsid w:val="00BC5361"/>
    <w:rsid w:val="00BC5460"/>
    <w:rsid w:val="00BC6B50"/>
    <w:rsid w:val="00BD0E25"/>
    <w:rsid w:val="00BD2C70"/>
    <w:rsid w:val="00BF5BD6"/>
    <w:rsid w:val="00C03E31"/>
    <w:rsid w:val="00C30E69"/>
    <w:rsid w:val="00C33E72"/>
    <w:rsid w:val="00C354B2"/>
    <w:rsid w:val="00C35554"/>
    <w:rsid w:val="00C356EC"/>
    <w:rsid w:val="00C42709"/>
    <w:rsid w:val="00C533CC"/>
    <w:rsid w:val="00C5751C"/>
    <w:rsid w:val="00C60C3D"/>
    <w:rsid w:val="00C61BFC"/>
    <w:rsid w:val="00C62B85"/>
    <w:rsid w:val="00C65438"/>
    <w:rsid w:val="00C8382C"/>
    <w:rsid w:val="00C91CBB"/>
    <w:rsid w:val="00CB274F"/>
    <w:rsid w:val="00CB4E70"/>
    <w:rsid w:val="00CC09B6"/>
    <w:rsid w:val="00CC666F"/>
    <w:rsid w:val="00CD1E3F"/>
    <w:rsid w:val="00CE44F6"/>
    <w:rsid w:val="00CE49DA"/>
    <w:rsid w:val="00CE7B61"/>
    <w:rsid w:val="00CF1373"/>
    <w:rsid w:val="00D00095"/>
    <w:rsid w:val="00D06537"/>
    <w:rsid w:val="00D114F0"/>
    <w:rsid w:val="00D12EA0"/>
    <w:rsid w:val="00D156BD"/>
    <w:rsid w:val="00D20620"/>
    <w:rsid w:val="00D254F7"/>
    <w:rsid w:val="00D26091"/>
    <w:rsid w:val="00D2685C"/>
    <w:rsid w:val="00D33C29"/>
    <w:rsid w:val="00D34E7C"/>
    <w:rsid w:val="00D35489"/>
    <w:rsid w:val="00D36AFE"/>
    <w:rsid w:val="00D51276"/>
    <w:rsid w:val="00D7035F"/>
    <w:rsid w:val="00D81658"/>
    <w:rsid w:val="00D93CD9"/>
    <w:rsid w:val="00D94143"/>
    <w:rsid w:val="00DA619A"/>
    <w:rsid w:val="00DA634F"/>
    <w:rsid w:val="00DA65AC"/>
    <w:rsid w:val="00DB1913"/>
    <w:rsid w:val="00DC410D"/>
    <w:rsid w:val="00DC5A81"/>
    <w:rsid w:val="00DC68CA"/>
    <w:rsid w:val="00DC7415"/>
    <w:rsid w:val="00DC7CBA"/>
    <w:rsid w:val="00DD73B7"/>
    <w:rsid w:val="00DE552C"/>
    <w:rsid w:val="00DF28BC"/>
    <w:rsid w:val="00DF34B9"/>
    <w:rsid w:val="00E01053"/>
    <w:rsid w:val="00E07ACF"/>
    <w:rsid w:val="00E12821"/>
    <w:rsid w:val="00E331A1"/>
    <w:rsid w:val="00E33202"/>
    <w:rsid w:val="00E336A9"/>
    <w:rsid w:val="00E44B5A"/>
    <w:rsid w:val="00E472B1"/>
    <w:rsid w:val="00E50624"/>
    <w:rsid w:val="00E568DF"/>
    <w:rsid w:val="00E64269"/>
    <w:rsid w:val="00E66797"/>
    <w:rsid w:val="00E82267"/>
    <w:rsid w:val="00E853CE"/>
    <w:rsid w:val="00E867B6"/>
    <w:rsid w:val="00E87F08"/>
    <w:rsid w:val="00E9078C"/>
    <w:rsid w:val="00EA010F"/>
    <w:rsid w:val="00ED1B63"/>
    <w:rsid w:val="00ED3C1F"/>
    <w:rsid w:val="00ED4085"/>
    <w:rsid w:val="00ED420E"/>
    <w:rsid w:val="00ED6FBE"/>
    <w:rsid w:val="00EE2F57"/>
    <w:rsid w:val="00EF4C34"/>
    <w:rsid w:val="00EF77C6"/>
    <w:rsid w:val="00F05438"/>
    <w:rsid w:val="00F07D68"/>
    <w:rsid w:val="00F1361C"/>
    <w:rsid w:val="00F156F0"/>
    <w:rsid w:val="00F160C7"/>
    <w:rsid w:val="00F2408F"/>
    <w:rsid w:val="00F240E9"/>
    <w:rsid w:val="00F33C03"/>
    <w:rsid w:val="00F36D8F"/>
    <w:rsid w:val="00F417B1"/>
    <w:rsid w:val="00F42DDB"/>
    <w:rsid w:val="00F45853"/>
    <w:rsid w:val="00F531AB"/>
    <w:rsid w:val="00F602DF"/>
    <w:rsid w:val="00F754A1"/>
    <w:rsid w:val="00F81DF6"/>
    <w:rsid w:val="00F81FD9"/>
    <w:rsid w:val="00F841AA"/>
    <w:rsid w:val="00F84A94"/>
    <w:rsid w:val="00F86BD6"/>
    <w:rsid w:val="00F87E96"/>
    <w:rsid w:val="00FA23E8"/>
    <w:rsid w:val="00FA465E"/>
    <w:rsid w:val="00FC60C6"/>
    <w:rsid w:val="00FD3CC1"/>
    <w:rsid w:val="00FF1E02"/>
    <w:rsid w:val="00FF30B4"/>
    <w:rsid w:val="014F34A8"/>
    <w:rsid w:val="02AD61DE"/>
    <w:rsid w:val="042523AB"/>
    <w:rsid w:val="042F0E9C"/>
    <w:rsid w:val="04E83062"/>
    <w:rsid w:val="05394326"/>
    <w:rsid w:val="076F5EFA"/>
    <w:rsid w:val="0AA33042"/>
    <w:rsid w:val="0C240788"/>
    <w:rsid w:val="0C86615A"/>
    <w:rsid w:val="0E4036A5"/>
    <w:rsid w:val="10186B47"/>
    <w:rsid w:val="10A332E5"/>
    <w:rsid w:val="10C055FF"/>
    <w:rsid w:val="11CB07CD"/>
    <w:rsid w:val="13420232"/>
    <w:rsid w:val="14FF7D2F"/>
    <w:rsid w:val="16BB723D"/>
    <w:rsid w:val="1CFB4FDF"/>
    <w:rsid w:val="1FBB0BFE"/>
    <w:rsid w:val="21692FC9"/>
    <w:rsid w:val="240371BF"/>
    <w:rsid w:val="256E5B9B"/>
    <w:rsid w:val="257345D5"/>
    <w:rsid w:val="27322D3C"/>
    <w:rsid w:val="274659A1"/>
    <w:rsid w:val="28433E07"/>
    <w:rsid w:val="28CA67B1"/>
    <w:rsid w:val="29D94939"/>
    <w:rsid w:val="29FD04D3"/>
    <w:rsid w:val="2BB64E68"/>
    <w:rsid w:val="2CC90901"/>
    <w:rsid w:val="2EC33C96"/>
    <w:rsid w:val="314C5792"/>
    <w:rsid w:val="315B15DE"/>
    <w:rsid w:val="319F7F4E"/>
    <w:rsid w:val="34113326"/>
    <w:rsid w:val="344053EB"/>
    <w:rsid w:val="347D7A8D"/>
    <w:rsid w:val="34DF3FBF"/>
    <w:rsid w:val="353158CC"/>
    <w:rsid w:val="37436817"/>
    <w:rsid w:val="404579E8"/>
    <w:rsid w:val="46A6506E"/>
    <w:rsid w:val="485458B8"/>
    <w:rsid w:val="49447AE5"/>
    <w:rsid w:val="4BB348C7"/>
    <w:rsid w:val="4C04416F"/>
    <w:rsid w:val="4D635D72"/>
    <w:rsid w:val="4E06686F"/>
    <w:rsid w:val="4ECE2238"/>
    <w:rsid w:val="4FF34588"/>
    <w:rsid w:val="51B33FC3"/>
    <w:rsid w:val="53517C44"/>
    <w:rsid w:val="53BD4F42"/>
    <w:rsid w:val="57544F43"/>
    <w:rsid w:val="587C3DCC"/>
    <w:rsid w:val="59503B70"/>
    <w:rsid w:val="5B71547E"/>
    <w:rsid w:val="5C43682D"/>
    <w:rsid w:val="5EE86ACF"/>
    <w:rsid w:val="5FB5521F"/>
    <w:rsid w:val="5FE94B17"/>
    <w:rsid w:val="60AC3C81"/>
    <w:rsid w:val="62FC0A92"/>
    <w:rsid w:val="65523E9E"/>
    <w:rsid w:val="676D3AB1"/>
    <w:rsid w:val="67C33299"/>
    <w:rsid w:val="67DC7452"/>
    <w:rsid w:val="69204759"/>
    <w:rsid w:val="69F10E0A"/>
    <w:rsid w:val="6DAA4CB7"/>
    <w:rsid w:val="6EA35E84"/>
    <w:rsid w:val="6ECA3844"/>
    <w:rsid w:val="6F576463"/>
    <w:rsid w:val="6FCD6597"/>
    <w:rsid w:val="72734D90"/>
    <w:rsid w:val="72751B11"/>
    <w:rsid w:val="760F0AC3"/>
    <w:rsid w:val="78895B39"/>
    <w:rsid w:val="7BF53BDB"/>
    <w:rsid w:val="7CFC1559"/>
    <w:rsid w:val="7F021E4C"/>
    <w:rsid w:val="7F5F65D1"/>
    <w:rsid w:val="7FA853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默认段落字体 Para Char Char Char1 Char"/>
    <w:basedOn w:val="1"/>
    <w:next w:val="1"/>
    <w:qFormat/>
    <w:uiPriority w:val="0"/>
    <w:pPr>
      <w:spacing w:line="240" w:lineRule="atLeast"/>
      <w:ind w:left="420" w:firstLine="420"/>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D9A8C-8393-4C40-950D-8974A3251D6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11789</Words>
  <Characters>12671</Characters>
  <Lines>119</Lines>
  <Paragraphs>33</Paragraphs>
  <TotalTime>1</TotalTime>
  <ScaleCrop>false</ScaleCrop>
  <LinksUpToDate>false</LinksUpToDate>
  <CharactersWithSpaces>12744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姗</cp:lastModifiedBy>
  <cp:lastPrinted>2020-07-23T02:58:00Z</cp:lastPrinted>
  <dcterms:modified xsi:type="dcterms:W3CDTF">2022-08-25T13:45:23Z</dcterms:modified>
  <dc:title>四川省***</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CA15907E5FF140F19ABE1067E1B3CB08</vt:lpwstr>
  </property>
</Properties>
</file>