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tbl>
      <w:tblPr>
        <w:tblStyle w:val="9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85"/>
        <w:gridCol w:w="1156"/>
        <w:gridCol w:w="1088"/>
        <w:gridCol w:w="1041"/>
        <w:gridCol w:w="988"/>
        <w:gridCol w:w="1254"/>
        <w:gridCol w:w="1044"/>
        <w:gridCol w:w="1029"/>
        <w:gridCol w:w="828"/>
        <w:gridCol w:w="1002"/>
        <w:gridCol w:w="1236"/>
        <w:gridCol w:w="1227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2023年市级财政衔接推进乡村振兴补助资金分配表（第二批）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3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4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激励奖补类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（提前下达）</w:t>
            </w:r>
          </w:p>
        </w:tc>
        <w:tc>
          <w:tcPr>
            <w:tcW w:w="2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乡村振兴重点任务类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2022年市级衔接资金使用绩效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巩固脱贫攻坚成果后评估考核奖励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拼经济比发展季度考评激励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乡村振兴试点激励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产业强镇奖补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巩固脱贫攻坚成果（现场培训）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易地搬迁后续扶持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少数民族发展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农机化补助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红色美丽村庄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“白叶一号”茶产业补助</w:t>
            </w: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4158.2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748.2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利州区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586.49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108.31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831.77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109.17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朝天区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421.78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615.49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114.76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750.57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461.92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445.18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102.94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广元经开区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587" w:right="1134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2023年市级财政巩固脱贫攻坚成果（现场培训）补助资金绩效目标表</w:t>
      </w:r>
    </w:p>
    <w:tbl>
      <w:tblPr>
        <w:tblStyle w:val="9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80"/>
        <w:gridCol w:w="4189"/>
        <w:gridCol w:w="528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6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县区</w:t>
            </w: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金额（万元）</w:t>
            </w:r>
          </w:p>
        </w:tc>
        <w:tc>
          <w:tcPr>
            <w:tcW w:w="38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产出指标</w:t>
            </w:r>
          </w:p>
        </w:tc>
        <w:tc>
          <w:tcPr>
            <w:tcW w:w="17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效益指标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昭化区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46.6</w:t>
            </w:r>
          </w:p>
        </w:tc>
        <w:tc>
          <w:tcPr>
            <w:tcW w:w="1417" w:type="pc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组织开展全市防止返贫监测帮扶业务工作现场培训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3期522人次</w:t>
            </w:r>
          </w:p>
        </w:tc>
        <w:tc>
          <w:tcPr>
            <w:tcW w:w="1787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培训对象熟悉防返贫监测政策，开展日常摸排和集中排查工作能力水平明显提升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满意度≥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5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苍溪县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</w:t>
            </w:r>
          </w:p>
        </w:tc>
        <w:tc>
          <w:tcPr>
            <w:tcW w:w="1417" w:type="pc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组织开展全市庭院经济高质量发展现场培训3期350人次</w:t>
            </w:r>
          </w:p>
        </w:tc>
        <w:tc>
          <w:tcPr>
            <w:tcW w:w="178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培训对象熟悉庭院经济支持政策，拓宽发展思路，推动提高庭院经济发展综合效益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满意度≥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旺苍县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</w:t>
            </w:r>
          </w:p>
        </w:tc>
        <w:tc>
          <w:tcPr>
            <w:tcW w:w="141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组织开展全市巩固脱贫攻坚成果等考核评估业务工作现场培训2期217人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次</w:t>
            </w:r>
          </w:p>
        </w:tc>
        <w:tc>
          <w:tcPr>
            <w:tcW w:w="178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培训对象全面掌握巩固脱贫攻坚成果等考核评估工作要求，巩固脱贫攻坚成果补短强弱能力水平明显提升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满意度≥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90%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587" w:right="1134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76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年市级财政易地搬迁后续扶持补助资金绩效目标表</w:t>
      </w:r>
    </w:p>
    <w:tbl>
      <w:tblPr>
        <w:tblStyle w:val="10"/>
        <w:tblW w:w="10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24"/>
        <w:gridCol w:w="3963"/>
        <w:gridCol w:w="1853"/>
        <w:gridCol w:w="119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县区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金额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（万元）</w:t>
            </w:r>
          </w:p>
        </w:tc>
        <w:tc>
          <w:tcPr>
            <w:tcW w:w="700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绩效目标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产出指标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效益指标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  <w:t>满意度指标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利州区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改建产业园蓄水池1口3300立方米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三堆镇龙星村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刘家坪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产业园中药材（连翘）种植100亩（种苗12000株、专业化肥3吨）。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三堆镇龙星村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赵家河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昭化区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硬化安置点社会化服务中心活动广场2处97立方米；新建安置点道路长25米、宽3米、厚0.2米；堡坎浆砌336立方米；安全防护设施5处。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清水镇龙凤村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安置点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新建文化活动广场420平方米；硬化产业道路长800米、宽 3米、厚 0.18米。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虎跳镇紫金村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新建400平方米钢结构中药材加工仓储厂房。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红岩镇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红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朝天区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建四蹲位公厕一座，建8米永久宣传橱窗2个，改建人行休闲廊道1处并修复文化广场等；发展蔬菜50亩，集中养中蜂100盒。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两河口镇吉庆社区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治理沟渠，浆砌堡坎900立方米；埋设直径600mm涵管30米；土地整治8亩。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两河口镇大尖山村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完善安置点公共设施及标示标牌50个；安置点广场浆砌堡坎500方，维修铺设广场砖50平方米；安置点广场绿化。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沙河镇罗圈岩村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苍溪县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土地整理40亩，田边堤坝损毁整治500立方米，地力培肥10亩，田间作业道硬化320米，ɸ40DN涵6米。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龙王镇市场村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土地整理200亩，渠系整治400米，建防旱池2口（各200立方米）。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龙王镇花坪村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旺苍县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建文化活动广场挡土墙1处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拆除挡土墙350立方米，新建挡土墙600立方米）。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高阳镇双午村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新建沼液利用项目1个（新建蓄水池1口、储液池2口及配套设施）。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普济镇龙池村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剑阁县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建设30亩滴管管网及设备1套；新建蓄水池1口。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木马镇井泉村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整治山坪塘1口、维修山坪塘1口；硬化园区作业道350米、宽2.5米、厚0.15米。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龙源镇天堂村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青川县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硬化产业道路100米（宽3.5米，厚0.18米）；硬化安置点生猪养殖小区场地430平方米。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发放劳务报酬资金比例10%，集中安置点配套设施和产业发展条件持续改善。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群众满意度≥90%。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乐安镇康坝村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改建集中安置点养殖场1000平方米及粪污处理等配套设施。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曲河乡青城社区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新建防旱池6个，每口80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立方米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；修建产业道路堡坎150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立方米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沙州镇青坪村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701" w:right="1134" w:bottom="1701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4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tbl>
      <w:tblPr>
        <w:tblStyle w:val="9"/>
        <w:tblW w:w="51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100"/>
        <w:gridCol w:w="5488"/>
        <w:gridCol w:w="4137"/>
        <w:gridCol w:w="2141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2023年市级财政少数民族发展补助资金绩效目标表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县区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8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4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利州区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8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白朝乡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月坝村安置点打造民族文化长廊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，设置景观造型、宣传栏等；将现有文化小木屋（约140平方）提质扩能建成民族之家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1个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，文化上墙，进行装修装饰；提升民族之家周边环境建设。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推进民族团结进步创建“进景区”加强少数民族人口服务管理，促进各民族交往交流交融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铸牢中华民族共同体意识。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群众满意度≥95%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4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昭化区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8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卫子镇新荣村围绕“王家贡米”产业建设育种基地、添置育种设施设备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1套；建设稻渔、鸭综合种养园各10亩，建设15户少数民族特色庭院。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改善新荣村少数民族聚居区生产生活和基础设施条件，培育壮大特色产业品牌，各民族群众致富增收渠道。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群众满意度≥95%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4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朝天区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8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朝天区三滩村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核桃品改240亩，产业道路提升改造500米。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可改善三滩村核桃品质，提升核桃产量40余吨，增加产值80余元，壮大合作社规模，改善三滩村各民族农户出行条件。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群众满意度≥95%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587" w:right="1134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4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2023年市级财政农机化补助资金绩效目标表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74"/>
        <w:gridCol w:w="8422"/>
        <w:gridCol w:w="2709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  <w:jc w:val="center"/>
        </w:trPr>
        <w:tc>
          <w:tcPr>
            <w:tcW w:w="36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  <w:t>县区</w:t>
            </w:r>
          </w:p>
        </w:tc>
        <w:tc>
          <w:tcPr>
            <w:tcW w:w="39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  <w:t>（万元）</w:t>
            </w:r>
          </w:p>
        </w:tc>
        <w:tc>
          <w:tcPr>
            <w:tcW w:w="42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3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</w:p>
        </w:tc>
        <w:tc>
          <w:tcPr>
            <w:tcW w:w="39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8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产出指标</w:t>
            </w: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效益指标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利州区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13.18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新建综合农事服务中心1个，新增耕种防管收现代农机装备各1台（套）及以上。其余全部用于购置薄弱短板环节机具的累加补贴，并在2023年12月31日前兑付完毕。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支持服务中心配置主导产业需要的各类农业装备，提高现代农业装备、作业、科技、服务、安全水平，达到装备设施先进、服务链条完整、要素保障有力、运行管理规范、规模效应良好、示范引领明显的目标，带动现代农业园区和高标准农田建设区率先实现机械化</w:t>
            </w:r>
            <w:r>
              <w:rPr>
                <w:rFonts w:hint="eastAsia" w:ascii="宋体" w:hAnsi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提升我市农机机械化水平。</w:t>
            </w:r>
          </w:p>
        </w:tc>
        <w:tc>
          <w:tcPr>
            <w:tcW w:w="46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服务对象满意度≥</w:t>
            </w: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95%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昭化区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21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新建综合农事服务中心1个，新增耕种防管收现代农机装备各1台（套）及以上。其余全部用于购置薄弱短板环节机具的累加补贴，并在2023年12月31日前兑付完毕。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朝天区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15.89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新建综合农事服务中心1个，新增耕种防管收现代农机装备各1台（套）及以上。其余全部用于购置薄弱短板环节机具的累加补贴，并在2023年12月31日前兑付完毕。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苍溪县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47.93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新建综合农事服务中心1个，新增耕种防管收现代农机装备各1台（套）及以上。其余全部用于购置薄弱短板环节机具的累加补贴，并在2023年12月31日前兑付完毕。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旺苍县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17.38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巩固提升综合农事服务中心1个，新增耕种防管收现代农机装备各1台（套）及以上。其余全部用于购置薄弱短板环节机具的累加补贴，并在2023年12月31日前兑付完毕。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剑阁县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82.38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新建综合农事服务中心1个，新增耕种防管收现代农机装备各1台（套）及以上。其余全部用于购置薄弱短板环节机具的累加补贴，并在2023年12月31日前兑付完毕。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青川县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12.24</w:t>
            </w:r>
          </w:p>
        </w:tc>
        <w:tc>
          <w:tcPr>
            <w:tcW w:w="2848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巩固提升综合农事服务中心1个，新增耕种防管收现代农机装备各1台（套）及以上。其余全部用于购置薄弱短板环节机具的累加补贴，并在2023年12月31日前兑付完毕。</w:t>
            </w: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  <w:sectPr>
          <w:pgSz w:w="16838" w:h="11906" w:orient="landscape"/>
          <w:pgMar w:top="1587" w:right="1134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720"/>
        <w:gridCol w:w="3946"/>
        <w:gridCol w:w="3308"/>
        <w:gridCol w:w="2584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附件6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2023年市级财政红色美丽村庄建设补助资金绩效目标表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33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昭化区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按照规划内容建设红色美丽村庄1个，项目验收合格率100%</w:t>
            </w:r>
          </w:p>
        </w:tc>
        <w:tc>
          <w:tcPr>
            <w:tcW w:w="1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集体经济创收能力明显增强，优化群众宜业宜居环境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群众满意度≥90%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清水镇普贤村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exac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苍溪县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按照规划内容建设红色美丽村庄1个，项目验收合格率100%</w:t>
            </w:r>
          </w:p>
        </w:tc>
        <w:tc>
          <w:tcPr>
            <w:tcW w:w="1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集体经济创收能力明显增强，优化群众宜业宜居环境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群众满意度≥90%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黄猫垭镇蟠龙寨村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旺苍县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按照规划内容建设红色美丽村庄1个，项目验收合格率100%</w:t>
            </w:r>
          </w:p>
        </w:tc>
        <w:tc>
          <w:tcPr>
            <w:tcW w:w="1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集体经济创收能力明显增强，优化群众宜业宜居环境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群众满意度≥90%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三江镇联盟村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587" w:right="1134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4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2023年市级财政茶产业补助资金绩效目标表</w:t>
      </w:r>
    </w:p>
    <w:tbl>
      <w:tblPr>
        <w:tblStyle w:val="9"/>
        <w:tblW w:w="54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12"/>
        <w:gridCol w:w="4132"/>
        <w:gridCol w:w="2053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  <w:t>县区</w:t>
            </w:r>
          </w:p>
        </w:tc>
        <w:tc>
          <w:tcPr>
            <w:tcW w:w="5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lang w:eastAsia="zh-CN"/>
              </w:rPr>
              <w:t>（万元）</w:t>
            </w:r>
          </w:p>
        </w:tc>
        <w:tc>
          <w:tcPr>
            <w:tcW w:w="382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6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产出指标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效益指标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青川县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开展技术指导、培训50人次以上，</w:t>
            </w:r>
            <w:r>
              <w:rPr>
                <w:rFonts w:hint="eastAsia" w:ascii="宋体" w:hAnsi="宋体" w:eastAsia="宋体" w:cs="宋体"/>
                <w:lang w:eastAsia="zh-CN"/>
              </w:rPr>
              <w:t>“白叶一号”</w:t>
            </w:r>
            <w:r>
              <w:rPr>
                <w:rFonts w:hint="eastAsia" w:ascii="宋体" w:hAnsi="宋体" w:eastAsia="宋体" w:cs="宋体"/>
              </w:rPr>
              <w:t>宣传推介活动2次以上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茶叶产量5000斤。</w:t>
            </w:r>
            <w:r>
              <w:rPr>
                <w:rFonts w:hint="eastAsia" w:ascii="宋体" w:hAnsi="宋体" w:eastAsia="宋体" w:cs="宋体"/>
              </w:rPr>
              <w:tab/>
            </w:r>
          </w:p>
        </w:tc>
        <w:tc>
          <w:tcPr>
            <w:tcW w:w="10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资金使用无重大违规违纪问题。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服务对象满意度≥</w:t>
            </w: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95%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701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jAxODZjOWE0OTJiNzY5YmM0NTIyMWMxNDQ0ZDMifQ=="/>
  </w:docVars>
  <w:rsids>
    <w:rsidRoot w:val="57BF3C74"/>
    <w:rsid w:val="0AAF24DA"/>
    <w:rsid w:val="0EF11D36"/>
    <w:rsid w:val="21C24E71"/>
    <w:rsid w:val="3081415C"/>
    <w:rsid w:val="3FF73719"/>
    <w:rsid w:val="41097D61"/>
    <w:rsid w:val="46222FA9"/>
    <w:rsid w:val="4A825630"/>
    <w:rsid w:val="53DF56D6"/>
    <w:rsid w:val="53FD57CE"/>
    <w:rsid w:val="57BF3C74"/>
    <w:rsid w:val="590F223C"/>
    <w:rsid w:val="6D17461E"/>
    <w:rsid w:val="6F5D3353"/>
    <w:rsid w:val="6FB99BBB"/>
    <w:rsid w:val="747F7201"/>
    <w:rsid w:val="74E23081"/>
    <w:rsid w:val="74F54767"/>
    <w:rsid w:val="7575CFBA"/>
    <w:rsid w:val="78A3AE93"/>
    <w:rsid w:val="7E4843F1"/>
    <w:rsid w:val="7FBBF1C5"/>
    <w:rsid w:val="7FBF6541"/>
    <w:rsid w:val="9BFEAF9A"/>
    <w:rsid w:val="BDF5E936"/>
    <w:rsid w:val="CDDA60A3"/>
    <w:rsid w:val="D57EEF7C"/>
    <w:rsid w:val="EBDE231F"/>
    <w:rsid w:val="EBE87DFE"/>
    <w:rsid w:val="EFB71AF3"/>
    <w:rsid w:val="EFFF06BA"/>
    <w:rsid w:val="F4FB7095"/>
    <w:rsid w:val="F52615AA"/>
    <w:rsid w:val="F56F5E59"/>
    <w:rsid w:val="F777118A"/>
    <w:rsid w:val="F7BFA99B"/>
    <w:rsid w:val="F7EE3FD7"/>
    <w:rsid w:val="FA7EC83A"/>
    <w:rsid w:val="FAEDFE29"/>
    <w:rsid w:val="FD770DBB"/>
    <w:rsid w:val="FFBFD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180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1800"/>
      </w:tabs>
      <w:spacing w:line="580" w:lineRule="exact"/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31"/>
    <w:basedOn w:val="11"/>
    <w:qFormat/>
    <w:uiPriority w:val="0"/>
    <w:rPr>
      <w:rFonts w:ascii="DejaVu Sans" w:hAnsi="DejaVu Sans" w:eastAsia="DejaVu Sans" w:cs="DejaVu Sans"/>
      <w:color w:val="000000"/>
      <w:sz w:val="20"/>
      <w:szCs w:val="20"/>
      <w:u w:val="none"/>
    </w:rPr>
  </w:style>
  <w:style w:type="character" w:customStyle="1" w:styleId="13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9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2023-10-25T03:02:00Z</dcterms:created>
  <dc:creator> </dc:creator>
  <cp:lastModifiedBy> </cp:lastModifiedBy>
  <cp:lastPrinted>2023-10-27T16:57:00Z</cp:lastPrinted>
  <dcterms:modified xsi:type="dcterms:W3CDTF">2023-10-30T17:37:39Z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B51EBDFC7E1749D1BCF612E414B89661_13</vt:lpwstr>
  </property>
</Properties>
</file>