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  <w:bookmarkStart w:id="0" w:name="_Hlk63590566"/>
      <w:bookmarkEnd w:id="0"/>
    </w:p>
    <w:p>
      <w:pPr>
        <w:spacing w:line="62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</w:p>
    <w:p>
      <w:pPr>
        <w:spacing w:line="46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</w:p>
    <w:p>
      <w:pPr>
        <w:spacing w:line="1480" w:lineRule="exact"/>
        <w:jc w:val="center"/>
        <w:rPr>
          <w:rFonts w:hint="eastAsia" w:ascii="方正小标宋简体" w:eastAsia="方正小标宋简体"/>
          <w:color w:val="FFFFFF"/>
          <w:w w:val="52"/>
          <w:sz w:val="130"/>
          <w:szCs w:val="130"/>
          <w:shd w:val="clear" w:color="auto" w:fill="FFFFFF"/>
        </w:rPr>
      </w:pPr>
      <w:r>
        <w:rPr>
          <w:rFonts w:hint="eastAsia" w:ascii="方正小标宋简体" w:eastAsia="方正小标宋简体"/>
          <w:color w:val="FFFFFF"/>
          <w:w w:val="52"/>
          <w:sz w:val="130"/>
          <w:szCs w:val="130"/>
          <w:shd w:val="clear" w:color="auto" w:fill="FFFFFF"/>
        </w:rPr>
        <w:t>广元市人民政府办公室文件</w:t>
      </w:r>
    </w:p>
    <w:p>
      <w:pPr>
        <w:rPr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pStyle w:val="10"/>
        <w:spacing w:before="0" w:beforeAutospacing="0" w:after="0" w:afterAutospacing="0"/>
        <w:ind w:left="1060" w:hanging="640"/>
        <w:rPr>
          <w:shd w:val="clear" w:color="auto" w:fill="FFFFFF"/>
        </w:rPr>
      </w:pPr>
    </w:p>
    <w:p>
      <w:pPr>
        <w:rPr>
          <w:rFonts w:hint="eastAsia" w:ascii="仿宋_GB2312" w:eastAsia="仿宋_GB2312"/>
          <w:shd w:val="clear" w:color="auto" w:fill="FFFFFF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shd w:val="clear" w:color="auto" w:fill="FFFFFF"/>
        </w:rPr>
      </w:pPr>
      <w:bookmarkStart w:id="1" w:name="字号"/>
      <w:r>
        <w:rPr>
          <w:rFonts w:hint="eastAsia" w:ascii="仿宋_GB2312"/>
          <w:sz w:val="32"/>
          <w:szCs w:val="32"/>
          <w:shd w:val="clear" w:color="auto" w:fill="FFFFFF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384810</wp:posOffset>
                </wp:positionV>
                <wp:extent cx="5613400" cy="0"/>
                <wp:effectExtent l="0" t="12700" r="6350" b="15875"/>
                <wp:wrapNone/>
                <wp:docPr id="1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1.9pt;margin-top:30.3pt;height:0pt;width:442pt;z-index:251659264;mso-width-relative:page;mso-height-relative:page;" filled="f" stroked="t" coordsize="21600,21600" o:gfxdata="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WY9TY&#10;AAAACAEAAA8AAAAAAAAAAQAgAAAAIgAAAGRycy9kb3ducmV2LnhtbFBLAQIUABQAAAAIAIdO4kC2&#10;DC9/5wEAAN0DAAAOAAAAAAAAAAEAIAAAACcBAABkcnMvZTJvRG9jLnhtbFBLBQYAAAAABgAGAFkB&#10;AACABQAAAAA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广府办发〔2024〕8号</w:t>
      </w:r>
      <w:bookmarkEnd w:id="1"/>
      <w:bookmarkStart w:id="2" w:name="签发人"/>
      <w:bookmarkEnd w:id="2"/>
    </w:p>
    <w:p>
      <w:pPr>
        <w:spacing w:line="36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bookmarkStart w:id="3" w:name="_GoBack"/>
      <w:bookmarkEnd w:id="3"/>
    </w:p>
    <w:p>
      <w:pPr>
        <w:pStyle w:val="6"/>
        <w:snapToGrid w:val="0"/>
        <w:spacing w:line="360" w:lineRule="exact"/>
        <w:ind w:firstLine="640" w:firstLineChars="200"/>
        <w:textAlignment w:val="baseline"/>
        <w:rPr>
          <w:rFonts w:hint="eastAsia" w:ascii="仿宋_GB2312" w:eastAsia="仿宋_GB2312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w w:val="100"/>
          <w:sz w:val="44"/>
          <w:szCs w:val="44"/>
        </w:rPr>
        <w:t>广元市人民政府办公室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w w:val="100"/>
          <w:sz w:val="44"/>
          <w:szCs w:val="44"/>
        </w:rPr>
        <w:t>关于印发《广元市支持食品饮料产业高质量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w w:val="100"/>
          <w:sz w:val="44"/>
          <w:szCs w:val="44"/>
        </w:rPr>
        <w:t>发展八条政策措施（试行）》的通知</w:t>
      </w:r>
    </w:p>
    <w:p>
      <w:pPr>
        <w:pStyle w:val="14"/>
        <w:spacing w:line="550" w:lineRule="exact"/>
        <w:jc w:val="center"/>
        <w:rPr>
          <w:rFonts w:hint="eastAsia" w:ascii="仿宋_GB2312"/>
          <w:b w:val="0"/>
          <w:bCs w:val="0"/>
          <w:color w:val="000000"/>
          <w:sz w:val="32"/>
          <w:szCs w:val="32"/>
        </w:rPr>
      </w:pPr>
    </w:p>
    <w:p>
      <w:pPr>
        <w:pStyle w:val="14"/>
        <w:spacing w:line="540" w:lineRule="exact"/>
        <w:rPr>
          <w:rFonts w:hint="eastAsia" w:ascii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/>
          <w:b w:val="0"/>
          <w:bCs w:val="0"/>
          <w:color w:val="000000"/>
          <w:sz w:val="32"/>
          <w:szCs w:val="32"/>
        </w:rPr>
        <w:t>各县（区）人民政府，市级各部门，广元经济技术开发区、市天然气综合利用工业园区、广元国际铁路港管委会：</w:t>
      </w:r>
    </w:p>
    <w:p>
      <w:pPr>
        <w:pStyle w:val="14"/>
        <w:spacing w:line="540" w:lineRule="exact"/>
        <w:ind w:firstLine="616" w:firstLineChars="200"/>
        <w:rPr>
          <w:rFonts w:hint="eastAsia" w:ascii="仿宋_GB2312"/>
          <w:b w:val="0"/>
          <w:bCs w:val="0"/>
          <w:color w:val="000000"/>
          <w:spacing w:val="-6"/>
          <w:sz w:val="32"/>
          <w:szCs w:val="32"/>
        </w:rPr>
      </w:pPr>
      <w:r>
        <w:rPr>
          <w:rFonts w:hint="eastAsia" w:ascii="仿宋_GB2312"/>
          <w:b w:val="0"/>
          <w:bCs w:val="0"/>
          <w:color w:val="000000"/>
          <w:spacing w:val="-6"/>
          <w:sz w:val="32"/>
          <w:szCs w:val="32"/>
        </w:rPr>
        <w:t>《广元市支持食品饮料产业高质量发展八条政策措施（试行）》已经市政府同意，现印发给你们，请认真</w:t>
      </w:r>
      <w:r>
        <w:rPr>
          <w:rFonts w:hint="eastAsia" w:ascii="仿宋_GB2312"/>
          <w:b w:val="0"/>
          <w:bCs w:val="0"/>
          <w:color w:val="000000"/>
          <w:spacing w:val="-6"/>
          <w:sz w:val="32"/>
          <w:szCs w:val="32"/>
        </w:rPr>
        <w:t>抓好贯彻落实</w:t>
      </w:r>
      <w:r>
        <w:rPr>
          <w:rFonts w:hint="eastAsia" w:ascii="仿宋_GB2312"/>
          <w:b w:val="0"/>
          <w:bCs w:val="0"/>
          <w:color w:val="000000"/>
          <w:spacing w:val="-6"/>
          <w:sz w:val="32"/>
          <w:szCs w:val="32"/>
        </w:rPr>
        <w:t>。</w:t>
      </w:r>
    </w:p>
    <w:p>
      <w:pPr>
        <w:pStyle w:val="14"/>
        <w:spacing w:line="640" w:lineRule="exact"/>
        <w:ind w:firstLine="640" w:firstLineChars="200"/>
        <w:rPr>
          <w:rFonts w:hint="eastAsia" w:ascii="仿宋_GB2312"/>
          <w:b w:val="0"/>
          <w:bCs w:val="0"/>
          <w:color w:val="000000"/>
          <w:sz w:val="32"/>
          <w:szCs w:val="32"/>
        </w:rPr>
      </w:pPr>
    </w:p>
    <w:p>
      <w:pPr>
        <w:pStyle w:val="14"/>
        <w:spacing w:line="640" w:lineRule="exact"/>
        <w:ind w:firstLine="640" w:firstLineChars="200"/>
        <w:rPr>
          <w:rFonts w:hint="eastAsia" w:ascii="仿宋_GB2312"/>
          <w:b w:val="0"/>
          <w:bCs w:val="0"/>
          <w:color w:val="000000"/>
          <w:sz w:val="32"/>
          <w:szCs w:val="32"/>
        </w:rPr>
      </w:pPr>
    </w:p>
    <w:p>
      <w:pPr>
        <w:pStyle w:val="14"/>
        <w:spacing w:line="576" w:lineRule="exact"/>
        <w:ind w:right="640" w:firstLine="0" w:firstLineChars="0"/>
        <w:jc w:val="center"/>
        <w:rPr>
          <w:rFonts w:hint="eastAsia" w:ascii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/>
          <w:b w:val="0"/>
          <w:bCs w:val="0"/>
          <w:color w:val="000000"/>
          <w:sz w:val="32"/>
          <w:szCs w:val="32"/>
        </w:rPr>
        <w:t xml:space="preserve">                            广元市人民政府办公室</w:t>
      </w:r>
    </w:p>
    <w:p>
      <w:pPr>
        <w:suppressAutoHyphens/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2024年4月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23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日</w:t>
      </w:r>
    </w:p>
    <w:p>
      <w:pPr>
        <w:suppressAutoHyphens/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广元市支持食品饮料产业高质量发展八条</w:t>
      </w:r>
    </w:p>
    <w:p>
      <w:pPr>
        <w:suppressAutoHyphens/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政策措施（试行）</w:t>
      </w:r>
    </w:p>
    <w:p>
      <w:pPr>
        <w:suppressAutoHyphens/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为深入实施“1345”发展战略，加快构建“1+3+3”工业优势主导产业体系，做大做强做优食品饮料产业，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持续擦亮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中国食品产业名城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“中国特色天然饮用水之乡”</w:t>
      </w:r>
      <w:r>
        <w:rPr>
          <w:rFonts w:hint="eastAsia" w:ascii="仿宋_GB2312" w:eastAsia="仿宋_GB2312" w:cs="仿宋_GB2312"/>
          <w:snapToGrid w:val="0"/>
          <w:sz w:val="32"/>
          <w:szCs w:val="32"/>
          <w:shd w:val="clear" w:color="auto" w:fill="FFFFFF"/>
        </w:rPr>
        <w:t>金字招牌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shd w:val="clear" w:color="auto" w:fill="FFFFFF"/>
        </w:rPr>
        <w:t>，聚力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打造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shd w:val="clear" w:color="auto" w:fill="FFFFFF"/>
        </w:rPr>
        <w:t>川陕甘渝食品饮料及预制食材生产基地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，促进三次产业、城乡融合发展，制定以下政策措施。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一、支</w:t>
      </w:r>
      <w:r>
        <w:rPr>
          <w:rFonts w:hint="eastAsia" w:ascii="黑体" w:eastAsia="黑体"/>
          <w:spacing w:val="-4"/>
          <w:sz w:val="32"/>
          <w:szCs w:val="32"/>
        </w:rPr>
        <w:t>持原料供应和产业配套。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鼓励“企业+基地+专合组织</w:t>
      </w:r>
      <w:r>
        <w:rPr>
          <w:rFonts w:hint="eastAsia" w:ascii="仿宋_GB2312" w:eastAsia="仿宋_GB2312" w:cs="仿宋_GB2312"/>
          <w:sz w:val="32"/>
          <w:szCs w:val="32"/>
        </w:rPr>
        <w:t>+农户”生产经营模式，支持食品饮料工业企业在市域内拓建农产品加工专用原料示范基地，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对当年流转土地新建基地面积500亩及以上的企业，按每亩补助50元、最高不超过10万元给予一次性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补助；对当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年新建肉牛、肉羊、土鸡标准化规模养殖场1000平方米及以上的食品饮料工业企业，按每平米补助50元、最高不超过10万元给予一次性补助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对包装材料、检验检测、冷链运输等市内食品饮料产业链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上下游</w:t>
      </w:r>
      <w:r>
        <w:rPr>
          <w:rFonts w:hint="eastAsia" w:ascii="仿宋_GB2312" w:eastAsia="仿宋_GB2312" w:cs="仿宋_GB2312"/>
          <w:sz w:val="32"/>
          <w:szCs w:val="32"/>
        </w:rPr>
        <w:t>配套企业，服务食品饮料工业企业年度营收首次超过5000万元的，按服务收入的0.5%</w:t>
      </w:r>
      <w:r>
        <w:rPr>
          <w:rFonts w:hint="eastAsia" w:ascii="仿宋_GB2312" w:eastAsia="仿宋_GB2312" w:cs="仿宋_GB2312"/>
          <w:sz w:val="32"/>
          <w:szCs w:val="32"/>
        </w:rPr>
        <w:t>给予最高不超过50万元一次性奖励。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二、支持招商引资和项目建设。</w:t>
      </w:r>
      <w:r>
        <w:rPr>
          <w:rFonts w:hint="eastAsia" w:ascii="仿宋_GB2312" w:eastAsia="仿宋_GB2312" w:cs="仿宋_GB2312"/>
          <w:sz w:val="32"/>
          <w:szCs w:val="32"/>
        </w:rPr>
        <w:t>对社会化招引，建成投运后且固定资产投资在5000万元以上的食品饮料工业项目，按照固定资产投资额的0.5‰，给予项目牵头引进人或机构最高不超过</w:t>
      </w:r>
      <w:r>
        <w:rPr>
          <w:rFonts w:hint="eastAsia" w:ascii="仿宋_GB2312" w:eastAsia="仿宋_GB2312" w:cs="仿宋_GB2312"/>
          <w:sz w:val="32"/>
          <w:szCs w:val="32"/>
        </w:rPr>
        <w:t>30万元奖励</w:t>
      </w:r>
      <w:r>
        <w:rPr>
          <w:rFonts w:hint="eastAsia" w:ascii="仿宋_GB2312" w:eastAsia="仿宋_GB2312" w:cs="仿宋_GB2312"/>
          <w:sz w:val="32"/>
          <w:szCs w:val="32"/>
        </w:rPr>
        <w:t>。项目属世界500强、中国企业500</w:t>
      </w:r>
      <w:r>
        <w:rPr>
          <w:rFonts w:hint="eastAsia" w:ascii="仿宋_GB2312" w:eastAsia="仿宋_GB2312" w:cs="仿宋_GB2312"/>
          <w:sz w:val="32"/>
          <w:szCs w:val="32"/>
        </w:rPr>
        <w:t>强、中国民营企业500强、中国制造业企业100强4类企业直接投资的，再按照固定资产投资额的0.5‰，给予项目牵头引进人或机构最高不超过30万元奖励。新竣工投产且新购置设备投资额在2000万元以上的食品饮料产业项目（含配套项目），按新购置设备投资额的1%，给予最高不超过50万元补助。鼓励通过并购重组方式盘活食品饮料困难企业或项目（含上下游配套企业和项目），完成并购重组后，被并购或重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组主体经独立核算主营业务收入首次超3000万元的，按并购现金兑付金额1%给予奖补，最高不超过50万元。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三、支持企业做大做强做优。</w:t>
      </w:r>
      <w:r>
        <w:rPr>
          <w:rFonts w:hint="eastAsia" w:ascii="仿宋_GB2312" w:eastAsia="仿宋_GB2312" w:cs="仿宋_GB2312"/>
          <w:sz w:val="32"/>
          <w:szCs w:val="32"/>
        </w:rPr>
        <w:t>食品饮料工业企业年度主营业务收入首次跨过</w:t>
      </w:r>
      <w:r>
        <w:rPr>
          <w:rFonts w:hint="eastAsia" w:ascii="仿宋_GB2312" w:eastAsia="仿宋_GB2312" w:cs="仿宋_GB2312"/>
          <w:bCs/>
          <w:sz w:val="32"/>
          <w:szCs w:val="32"/>
        </w:rPr>
        <w:t>3亿元、</w:t>
      </w:r>
      <w:r>
        <w:rPr>
          <w:rFonts w:hint="eastAsia"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亿元、10亿元、20亿元、50亿元的，分别给予企业核心团队</w:t>
      </w:r>
      <w:r>
        <w:rPr>
          <w:rFonts w:hint="eastAsia" w:ascii="仿宋_GB2312" w:eastAsia="仿宋_GB2312" w:cs="仿宋_GB2312"/>
          <w:bCs/>
          <w:sz w:val="32"/>
          <w:szCs w:val="32"/>
        </w:rPr>
        <w:t>3万元、</w:t>
      </w:r>
      <w:r>
        <w:rPr>
          <w:rFonts w:hint="eastAsia" w:ascii="仿宋_GB2312" w:eastAsia="仿宋_GB2312" w:cs="仿宋_GB2312"/>
          <w:sz w:val="32"/>
          <w:szCs w:val="32"/>
        </w:rPr>
        <w:t>5万元、10万元、50万元、100万元一次性奖励。食品饮料工业企业地方年经济贡献首次跨过</w:t>
      </w:r>
      <w:r>
        <w:rPr>
          <w:rFonts w:hint="eastAsia" w:asci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000万元、5000万元、1亿元、2亿元的，分别给予企业核心团队10万元、50万元、100万元、200万元一次性奖励。食品饮料工业企业首次评定为四川民营企业100强或四川制造业100强的，给予100万元一次性奖励。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四、支持创新研发和“智改数转”。</w:t>
      </w:r>
      <w:r>
        <w:rPr>
          <w:rFonts w:hint="eastAsia" w:ascii="仿宋_GB2312" w:eastAsia="仿宋_GB2312" w:cs="仿宋_GB2312"/>
          <w:sz w:val="32"/>
          <w:szCs w:val="32"/>
        </w:rPr>
        <w:t>支持食品饮料工业企业研发创新，对年度研发费用增量高于50</w:t>
      </w:r>
      <w:r>
        <w:rPr>
          <w:rFonts w:hint="eastAsia" w:ascii="仿宋_GB2312" w:eastAsia="仿宋_GB2312" w:cs="仿宋_GB2312"/>
          <w:sz w:val="32"/>
          <w:szCs w:val="32"/>
        </w:rPr>
        <w:t>万元的企业，对增量部分按不超过5%的比例，给予最高不超过30万元一次性奖补。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支持食品饮料工业企业主导或参与制订国家、行业和省级地方标准，对主导新制订国家、行业、省级地方标准的，分别给予50万元/项、30万元/项、10万元/项一次性奖励；对参与新制订国家、行业和省级地方标准的，分别给予10万元/项、5万元/项、3万元/项一次性奖励。</w:t>
      </w:r>
      <w:r>
        <w:rPr>
          <w:rFonts w:hint="eastAsia" w:ascii="仿宋_GB2312" w:eastAsia="仿宋_GB2312" w:cs="仿宋_GB2312"/>
          <w:sz w:val="32"/>
          <w:szCs w:val="32"/>
        </w:rPr>
        <w:t>鼓励食品饮料工业企业“智改数转”，对新获批的国家级、省级智能化改造数字化转型试点示范企业（项目）分别给予50万元、20</w:t>
      </w:r>
      <w:r>
        <w:rPr>
          <w:rFonts w:hint="eastAsia" w:ascii="仿宋_GB2312" w:eastAsia="仿宋_GB2312" w:cs="仿宋_GB2312"/>
          <w:sz w:val="32"/>
          <w:szCs w:val="32"/>
        </w:rPr>
        <w:t>万元奖补。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五、支持品牌创建和宣传推广。</w:t>
      </w:r>
      <w:r>
        <w:rPr>
          <w:rFonts w:hint="eastAsia" w:ascii="仿宋_GB2312" w:eastAsia="仿宋_GB2312" w:cs="仿宋_GB2312"/>
          <w:sz w:val="32"/>
          <w:szCs w:val="32"/>
        </w:rPr>
        <w:t>对新获评中国质量奖、天府质量奖的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食品饮料工业企业</w:t>
      </w:r>
      <w:r>
        <w:rPr>
          <w:rFonts w:hint="eastAsia" w:ascii="仿宋_GB2312" w:eastAsia="仿宋_GB2312" w:cs="仿宋_GB2312"/>
          <w:sz w:val="32"/>
          <w:szCs w:val="32"/>
        </w:rPr>
        <w:t>，分别给予50万元、30</w:t>
      </w:r>
      <w:r>
        <w:rPr>
          <w:rFonts w:hint="eastAsia" w:ascii="仿宋_GB2312" w:eastAsia="仿宋_GB2312" w:cs="仿宋_GB2312"/>
          <w:sz w:val="32"/>
          <w:szCs w:val="32"/>
        </w:rPr>
        <w:t>万元一次性奖励</w:t>
      </w:r>
      <w:r>
        <w:rPr>
          <w:rFonts w:hint="eastAsia" w:ascii="仿宋_GB2312" w:eastAsia="仿宋_GB2312" w:cs="仿宋_GB2312"/>
          <w:sz w:val="32"/>
          <w:szCs w:val="32"/>
        </w:rPr>
        <w:t>。新认定为省级及以上农产品加工助推乡村振兴重点企业、工业旅游示范基地、工业质量标杆企业或绿色工厂的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食品饮料工业企业</w:t>
      </w:r>
      <w:r>
        <w:rPr>
          <w:rFonts w:hint="eastAsia" w:ascii="仿宋_GB2312" w:eastAsia="仿宋_GB2312" w:cs="仿宋_GB2312"/>
          <w:sz w:val="32"/>
          <w:szCs w:val="32"/>
        </w:rPr>
        <w:t>，给予5万元一次性奖励。对新认定“天府名品”的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食品饮料工业企业</w:t>
      </w:r>
      <w:r>
        <w:rPr>
          <w:rFonts w:hint="eastAsia" w:ascii="仿宋_GB2312" w:eastAsia="仿宋_GB2312" w:cs="仿宋_GB2312"/>
          <w:sz w:val="32"/>
          <w:szCs w:val="32"/>
        </w:rPr>
        <w:t>，给予10万元奖励。新获得“中华老字号”“四川老字号”的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食品饮料工业企业</w:t>
      </w:r>
      <w:r>
        <w:rPr>
          <w:rFonts w:hint="eastAsia" w:ascii="仿宋_GB2312" w:eastAsia="仿宋_GB2312" w:cs="仿宋_GB2312"/>
          <w:sz w:val="32"/>
          <w:szCs w:val="32"/>
        </w:rPr>
        <w:t>，分别给予4万元、2万元一次性奖励。食品饮料工业或销售企业首次在国、省电视台投放品牌宣传广告，宣传内容能充分体现“中国食品产业名城·广元”“中国特色天然饮用水之乡·广元”城市名片的，按首次宣传费用的2%，分别给予最高不超过</w:t>
      </w:r>
      <w:r>
        <w:rPr>
          <w:rFonts w:hint="eastAsia" w:ascii="仿宋_GB2312" w:eastAsia="仿宋_GB2312" w:cs="仿宋_GB2312"/>
          <w:sz w:val="32"/>
          <w:szCs w:val="32"/>
        </w:rPr>
        <w:t>30万元、15万元的奖补。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六、支持产品销售和市场拓展。</w:t>
      </w:r>
      <w:r>
        <w:rPr>
          <w:rFonts w:hint="eastAsia" w:ascii="仿宋_GB2312" w:eastAsia="仿宋_GB2312" w:cs="仿宋_GB2312"/>
          <w:sz w:val="32"/>
          <w:szCs w:val="32"/>
        </w:rPr>
        <w:t>支持销售运营企业发展壮大。支持食品饮料工业企业在直辖市、省会城市、市内4A级及以上景区建设“广元造”产品专店，对新建设50平方米以上、</w:t>
      </w:r>
      <w:r>
        <w:rPr>
          <w:rFonts w:hint="eastAsia" w:ascii="仿宋_GB2312" w:eastAsia="仿宋_GB2312" w:cs="仿宋_GB2312"/>
          <w:sz w:val="32"/>
          <w:szCs w:val="32"/>
        </w:rPr>
        <w:t>100平方米以上且正常运营1年以上的，分别给予5万元、10万元一次性奖补。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支持开展“广元造”食品饮料产品“进商超、进景区、进宾馆、进小区、进学校、进机关、进餐饮、进网络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shd w:val="clear" w:color="auto" w:fill="FFFFFF"/>
        </w:rPr>
        <w:t>”八进活动，对新建设10平方米以上且正常运营1年以上的专区专柜，一次性给予开设主体0.2万元资金补贴。</w:t>
      </w: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七、支持设立基金和金融赋能。</w:t>
      </w:r>
      <w:r>
        <w:rPr>
          <w:rFonts w:hint="eastAsia" w:ascii="仿宋_GB2312" w:eastAsia="仿宋_GB2312" w:cs="仿宋_GB2312"/>
          <w:sz w:val="32"/>
          <w:szCs w:val="32"/>
        </w:rPr>
        <w:t>鼓励设立食品饮料产业发展基金或引导私募股权投资基金、产业投资基金、创业投资基金等各类基金投向食品饮料产业，企业达产后按照实际投资额度的1%，给予投资公司最高不超过100</w:t>
      </w:r>
      <w:r>
        <w:rPr>
          <w:rFonts w:hint="eastAsia" w:ascii="仿宋_GB2312" w:eastAsia="仿宋_GB2312" w:cs="仿宋_GB2312"/>
          <w:sz w:val="32"/>
          <w:szCs w:val="32"/>
        </w:rPr>
        <w:t>万元一次性奖励。</w:t>
      </w:r>
      <w:r>
        <w:rPr>
          <w:rFonts w:hint="eastAsia" w:ascii="仿宋_GB2312" w:eastAsia="仿宋_GB2312" w:cs="仿宋_GB2312"/>
          <w:sz w:val="32"/>
          <w:szCs w:val="32"/>
        </w:rPr>
        <w:t>鼓励融资担保机构为食品饮料工业企业提供融资担保服务，对年化担保费率低于1.5%（含）的融资担保机构，按年化融资担保额将担保费率最高补足至2.5%</w:t>
      </w:r>
      <w:r>
        <w:rPr>
          <w:rFonts w:hint="eastAsia" w:ascii="仿宋_GB2312" w:eastAsia="仿宋_GB2312" w:cs="仿宋_GB2312"/>
          <w:sz w:val="32"/>
          <w:szCs w:val="32"/>
        </w:rPr>
        <w:t>。对固定资产投资2亿元以上的重大食品饮料项目进行贴息支持，以企业在金融机构融资额为基数，按照当期基准利率的10%进行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贴息，贴息期限最长不超过3年，贴息总金额最高不超过200万元。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八、支持人才培养和队伍建设。</w:t>
      </w:r>
      <w:r>
        <w:rPr>
          <w:rFonts w:hint="eastAsia" w:ascii="仿宋_GB2312" w:eastAsia="仿宋_GB2312"/>
          <w:sz w:val="32"/>
          <w:szCs w:val="32"/>
        </w:rPr>
        <w:t>支持市内高等院校、职业院校与食品饮料工业企业开展产教融合，对开设有食品加工工艺、食品安全与检测技术等相关专业</w:t>
      </w:r>
      <w:r>
        <w:rPr>
          <w:rFonts w:hint="eastAsia" w:ascii="仿宋_GB2312" w:eastAsia="仿宋_GB2312" w:cs="仿宋_GB2312"/>
          <w:sz w:val="32"/>
          <w:szCs w:val="32"/>
        </w:rPr>
        <w:t>且当年</w:t>
      </w:r>
      <w:r>
        <w:rPr>
          <w:rFonts w:hint="eastAsia" w:ascii="仿宋_GB2312" w:eastAsia="仿宋_GB2312" w:cs="Times New Roman"/>
          <w:sz w:val="32"/>
          <w:szCs w:val="32"/>
        </w:rPr>
        <w:t>招生100人以上的学校，按每人3000元给予一次性奖励</w:t>
      </w:r>
      <w:r>
        <w:rPr>
          <w:rFonts w:hint="eastAsia" w:ascii="仿宋_GB2312" w:eastAsia="仿宋_GB2312"/>
          <w:sz w:val="32"/>
          <w:szCs w:val="32"/>
        </w:rPr>
        <w:t>。大力弘扬劳模精神和工匠精神，对新获得全国劳模、大国工匠、全国技术能手称号的食品饮料工业企业职工给予1万元一次性奖励，对新获得四川劳模、四川工匠、四川技能大师、四川省技术能手称号的食品饮料工业企业职工给予5000元一次性奖励。对在广元连续缴纳社保满2年的</w:t>
      </w:r>
      <w:r>
        <w:rPr>
          <w:rFonts w:hint="eastAsia" w:ascii="仿宋_GB2312" w:eastAsia="仿宋_GB2312" w:cs="Times New Roman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副高及以上职称的高级管理人才和入选广元“蜀道英才计划”及以上人才称号的高层次技术技能人才，在广元购买首套商品住房的，按住房成交价的5%给予购房补贴，补贴资金额度按照住房面积不超过140平方米计算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本措施所需财政奖补资金由受益财政承担。市、县（区）另有规定的，按“就高不重复”原则予以支持。当年已享受同类财政奖补或奖励资金的予以扣除。措施出台后，制定配套实施细则，在市、县（区）</w:t>
      </w:r>
      <w:r>
        <w:rPr>
          <w:rFonts w:hint="eastAsia" w:ascii="仿宋_GB2312" w:eastAsia="仿宋_GB2312"/>
          <w:bCs/>
          <w:sz w:val="32"/>
          <w:szCs w:val="32"/>
        </w:rPr>
        <w:t>政务服务中心</w:t>
      </w:r>
      <w:r>
        <w:rPr>
          <w:rFonts w:hint="eastAsia" w:ascii="仿宋_GB2312" w:eastAsia="仿宋_GB2312"/>
          <w:sz w:val="32"/>
          <w:szCs w:val="32"/>
        </w:rPr>
        <w:t>惠企政策“一站式”窗口进行办理，政策落实情况纳入年度考核。</w:t>
      </w: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本措施由市经济和信息化局、市财政局负责解释，自2024年6</w:t>
      </w:r>
      <w:r>
        <w:rPr>
          <w:rFonts w:hint="eastAsia" w:ascii="仿宋_GB2312" w:eastAsia="仿宋_GB2312" w:cs="仿宋_GB2312"/>
          <w:sz w:val="32"/>
          <w:szCs w:val="32"/>
        </w:rPr>
        <w:t>月1日起施行，有效期两年。</w:t>
      </w: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Bdr>
          <w:bottom w:val="single" w:color="auto" w:sz="4" w:space="1"/>
        </w:pBdr>
        <w:spacing w:line="440" w:lineRule="exac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信息公开选项：</w:t>
      </w:r>
      <w:r>
        <w:rPr>
          <w:rFonts w:hint="eastAsia" w:ascii="方正小标宋简体" w:eastAsia="方正小标宋简体"/>
          <w:sz w:val="28"/>
          <w:szCs w:val="28"/>
        </w:rPr>
        <w:t>主动公开</w:t>
      </w:r>
    </w:p>
    <w:p>
      <w:pPr>
        <w:spacing w:line="400" w:lineRule="exact"/>
        <w:ind w:left="1261" w:leftChars="134" w:hanging="980" w:hangingChars="350"/>
        <w:rPr>
          <w:rFonts w:hint="eastAsia" w:ascii="仿宋_GB2312" w:eastAsia="仿宋_GB2312" w:cs="宋体"/>
          <w:spacing w:val="-12"/>
          <w:w w:val="96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eastAsia="仿宋_GB2312" w:cs="宋体"/>
          <w:spacing w:val="-8"/>
          <w:w w:val="96"/>
          <w:sz w:val="28"/>
          <w:szCs w:val="28"/>
        </w:rPr>
        <w:t>市</w:t>
      </w:r>
      <w:r>
        <w:rPr>
          <w:rFonts w:hint="eastAsia" w:ascii="仿宋_GB2312" w:eastAsia="仿宋_GB2312" w:cs="宋体"/>
          <w:spacing w:val="-12"/>
          <w:w w:val="96"/>
          <w:sz w:val="28"/>
          <w:szCs w:val="28"/>
        </w:rPr>
        <w:t>委办公室，市人大常委会办公</w:t>
      </w:r>
      <w:r>
        <w:rPr>
          <w:rFonts w:hint="eastAsia" w:ascii="仿宋_GB2312" w:eastAsia="仿宋_GB2312" w:cs="宋体"/>
          <w:spacing w:val="-10"/>
          <w:w w:val="96"/>
          <w:sz w:val="28"/>
          <w:szCs w:val="28"/>
        </w:rPr>
        <w:t>室，市政协办公室，市纪委监委</w:t>
      </w:r>
      <w:r>
        <w:rPr>
          <w:rFonts w:hint="eastAsia" w:ascii="仿宋_GB2312" w:eastAsia="仿宋_GB2312" w:cs="宋体"/>
          <w:spacing w:val="-12"/>
          <w:w w:val="96"/>
          <w:sz w:val="28"/>
          <w:szCs w:val="28"/>
        </w:rPr>
        <w:t>机关，</w:t>
      </w:r>
    </w:p>
    <w:p>
      <w:pPr>
        <w:spacing w:line="400" w:lineRule="exact"/>
        <w:ind w:left="1130" w:leftChars="538" w:firstLine="16" w:firstLineChars="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w w:val="96"/>
          <w:sz w:val="28"/>
          <w:szCs w:val="28"/>
        </w:rPr>
        <w:t>市法院，市检察院，广元军分区。</w:t>
      </w:r>
    </w:p>
    <w:p>
      <w:pPr>
        <w:pBdr>
          <w:top w:val="single" w:color="auto" w:sz="4" w:space="1"/>
          <w:bottom w:val="single" w:color="auto" w:sz="4" w:space="0"/>
        </w:pBdr>
        <w:spacing w:line="440" w:lineRule="exact"/>
        <w:ind w:firstLine="238" w:firstLineChars="85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广元市人民政府办公室                    2024年4月23日印发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72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文泉驿正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4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A544D4"/>
    <w:rsid w:val="00005575"/>
    <w:rsid w:val="00066D3E"/>
    <w:rsid w:val="0012557F"/>
    <w:rsid w:val="002729C6"/>
    <w:rsid w:val="005E3467"/>
    <w:rsid w:val="00636405"/>
    <w:rsid w:val="007854EB"/>
    <w:rsid w:val="00A544D4"/>
    <w:rsid w:val="00ED483A"/>
    <w:rsid w:val="39DB7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方正小标宋_GBK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文泉驿正黑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uiPriority w:val="0"/>
    <w:pPr>
      <w:ind w:left="840"/>
    </w:pPr>
  </w:style>
  <w:style w:type="paragraph" w:styleId="6">
    <w:name w:val="Plain Text"/>
    <w:basedOn w:val="1"/>
    <w:link w:val="16"/>
    <w:uiPriority w:val="0"/>
    <w:pPr>
      <w:suppressAutoHyphens/>
    </w:pPr>
    <w:rPr>
      <w:rFonts w:ascii="宋体" w:hAnsi="Calibri" w:cs="Times New Roman"/>
      <w:szCs w:val="24"/>
    </w:rPr>
  </w:style>
  <w:style w:type="paragraph" w:styleId="7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8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文泉驿正黑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uiPriority w:val="0"/>
    <w:pPr>
      <w:spacing w:before="100" w:beforeAutospacing="1" w:after="100" w:afterAutospacing="1" w:line="576" w:lineRule="exact"/>
      <w:ind w:left="400" w:leftChars="200" w:hanging="200" w:hangingChars="200"/>
    </w:pPr>
    <w:rPr>
      <w:rFonts w:ascii="Calibri" w:hAnsi="Calibri" w:eastAsia="仿宋_GB2312" w:cs="Times New Roman"/>
      <w:sz w:val="32"/>
      <w:szCs w:val="32"/>
    </w:rPr>
  </w:style>
  <w:style w:type="character" w:styleId="13">
    <w:name w:val="page number"/>
    <w:basedOn w:val="12"/>
    <w:semiHidden/>
    <w:unhideWhenUsed/>
    <w:uiPriority w:val="99"/>
  </w:style>
  <w:style w:type="paragraph" w:customStyle="1" w:styleId="14">
    <w:name w:val="样式1"/>
    <w:uiPriority w:val="0"/>
    <w:pPr>
      <w:widowControl w:val="0"/>
      <w:jc w:val="both"/>
    </w:pPr>
    <w:rPr>
      <w:rFonts w:ascii="Times New Roman" w:hAnsi="Times New Roman" w:eastAsia="仿宋_GB2312" w:cs="文泉驿正黑"/>
      <w:b/>
      <w:bCs/>
      <w:color w:val="538135"/>
      <w:kern w:val="2"/>
      <w:sz w:val="28"/>
      <w:szCs w:val="28"/>
      <w:lang w:val="en-US" w:eastAsia="zh-CN" w:bidi="ar-SA"/>
    </w:rPr>
  </w:style>
  <w:style w:type="character" w:customStyle="1" w:styleId="15">
    <w:name w:val="批注框文本 Char"/>
    <w:basedOn w:val="12"/>
    <w:link w:val="7"/>
    <w:semiHidden/>
    <w:uiPriority w:val="99"/>
    <w:rPr>
      <w:rFonts w:ascii="Times New Roman" w:hAnsi="Times New Roman" w:eastAsia="宋体" w:cs="文泉驿正黑"/>
      <w:kern w:val="2"/>
      <w:sz w:val="18"/>
      <w:szCs w:val="18"/>
    </w:rPr>
  </w:style>
  <w:style w:type="character" w:customStyle="1" w:styleId="16">
    <w:name w:val="纯文本 Char"/>
    <w:basedOn w:val="12"/>
    <w:link w:val="6"/>
    <w:uiPriority w:val="0"/>
    <w:rPr>
      <w:rFonts w:ascii="宋体" w:hAnsi="Calibri" w:eastAsia="宋体" w:cs="Times New Roman"/>
      <w:kern w:val="2"/>
      <w:sz w:val="21"/>
      <w:szCs w:val="24"/>
    </w:rPr>
  </w:style>
  <w:style w:type="character" w:customStyle="1" w:styleId="17">
    <w:name w:val="页眉 Char"/>
    <w:basedOn w:val="12"/>
    <w:link w:val="9"/>
    <w:semiHidden/>
    <w:uiPriority w:val="99"/>
    <w:rPr>
      <w:rFonts w:ascii="Times New Roman" w:hAnsi="Times New Roman" w:eastAsia="宋体" w:cs="文泉驿正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6</Pages>
  <Words>453</Words>
  <Characters>2586</Characters>
  <Lines>21</Lines>
  <Paragraphs>6</Paragraphs>
  <TotalTime>0</TotalTime>
  <ScaleCrop>false</ScaleCrop>
  <LinksUpToDate>false</LinksUpToDate>
  <CharactersWithSpaces>3033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2024-04-23T07:35:00Z</dcterms:created>
  <dc:creator>User274</dc:creator>
  <cp:lastModifiedBy>snyqq</cp:lastModifiedBy>
  <dcterms:modified xsi:type="dcterms:W3CDTF">2024-04-28T00:34:58Z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78F1D8166B174BD7AC60643270DD6E09_13</vt:lpwstr>
  </property>
</Properties>
</file>