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left="0" w:right="0"/>
        <w:jc w:val="center"/>
        <w:textAlignment w:val="auto"/>
        <w:rPr>
          <w:rFonts w:hint="eastAsia" w:ascii="方正小标宋_GBK" w:eastAsia="方正小标宋_GBK"/>
          <w:spacing w:val="0"/>
          <w:kern w:val="0"/>
          <w:sz w:val="44"/>
          <w:szCs w:val="44"/>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640" w:lineRule="exact"/>
        <w:ind w:left="0" w:right="0"/>
        <w:jc w:val="right"/>
        <w:textAlignment w:val="auto"/>
        <w:rPr>
          <w:rFonts w:hint="eastAsia" w:ascii="方正仿宋_GBK" w:eastAsia="方正仿宋_GBK"/>
          <w:spacing w:val="0"/>
          <w:kern w:val="0"/>
          <w:sz w:val="44"/>
          <w:szCs w:val="44"/>
        </w:rPr>
      </w:pPr>
      <w:r>
        <w:rPr>
          <w:rFonts w:hint="eastAsia" w:ascii="方正仿宋_GBK" w:eastAsia="方正仿宋_GBK"/>
          <w:kern w:val="2"/>
          <w:sz w:val="32"/>
          <w:szCs w:val="32"/>
        </w:rPr>
        <w:t xml:space="preserve">广林函〔2024〕128号  </w:t>
      </w:r>
    </w:p>
    <w:p>
      <w:pPr>
        <w:keepNext w:val="0"/>
        <w:keepLines w:val="0"/>
        <w:pageBreakBefore w:val="0"/>
        <w:widowControl w:val="0"/>
        <w:kinsoku/>
        <w:wordWrap/>
        <w:overflowPunct/>
        <w:topLinePunct w:val="0"/>
        <w:autoSpaceDE/>
        <w:autoSpaceDN/>
        <w:bidi w:val="0"/>
        <w:adjustRightInd w:val="0"/>
        <w:snapToGrid w:val="0"/>
        <w:spacing w:line="640" w:lineRule="exact"/>
        <w:ind w:left="0" w:right="0"/>
        <w:jc w:val="center"/>
        <w:textAlignment w:val="auto"/>
        <w:rPr>
          <w:rFonts w:hint="eastAsia" w:ascii="方正小标宋_GBK" w:eastAsia="方正小标宋_GBK"/>
          <w:spacing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ind w:left="0" w:right="0"/>
        <w:jc w:val="center"/>
        <w:textAlignment w:val="auto"/>
        <w:rPr>
          <w:rFonts w:hint="eastAsia" w:ascii="方正小标宋_GBK" w:eastAsia="方正小标宋_GBK"/>
          <w:spacing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ind w:left="0" w:right="0"/>
        <w:jc w:val="center"/>
        <w:textAlignment w:val="auto"/>
        <w:rPr>
          <w:rFonts w:hint="eastAsia" w:ascii="方正小标宋_GBK" w:eastAsia="方正小标宋_GBK"/>
          <w:spacing w:val="0"/>
          <w:kern w:val="0"/>
          <w:sz w:val="44"/>
          <w:szCs w:val="44"/>
        </w:rPr>
      </w:pPr>
      <w:r>
        <w:rPr>
          <w:rFonts w:hint="eastAsia" w:ascii="方正小标宋_GBK" w:eastAsia="方正小标宋_GBK"/>
          <w:spacing w:val="0"/>
          <w:kern w:val="0"/>
          <w:sz w:val="44"/>
          <w:szCs w:val="44"/>
        </w:rPr>
        <w:t>广元市林业局</w:t>
      </w:r>
    </w:p>
    <w:p>
      <w:pPr>
        <w:keepNext w:val="0"/>
        <w:keepLines w:val="0"/>
        <w:pageBreakBefore w:val="0"/>
        <w:widowControl w:val="0"/>
        <w:kinsoku/>
        <w:wordWrap/>
        <w:overflowPunct/>
        <w:topLinePunct w:val="0"/>
        <w:autoSpaceDE/>
        <w:autoSpaceDN/>
        <w:bidi w:val="0"/>
        <w:adjustRightInd w:val="0"/>
        <w:snapToGrid w:val="0"/>
        <w:spacing w:line="640" w:lineRule="exact"/>
        <w:ind w:left="0" w:right="0"/>
        <w:jc w:val="center"/>
        <w:textAlignment w:val="auto"/>
        <w:rPr>
          <w:rFonts w:hint="eastAsia" w:ascii="方正小标宋_GBK" w:eastAsia="方正小标宋_GBK"/>
          <w:spacing w:val="0"/>
          <w:kern w:val="0"/>
          <w:sz w:val="44"/>
          <w:szCs w:val="44"/>
        </w:rPr>
      </w:pPr>
      <w:r>
        <w:rPr>
          <w:rFonts w:hint="eastAsia" w:ascii="方正小标宋_GBK" w:eastAsia="方正小标宋_GBK"/>
          <w:spacing w:val="0"/>
          <w:kern w:val="0"/>
          <w:sz w:val="44"/>
          <w:szCs w:val="44"/>
        </w:rPr>
        <w:t>关于印发</w:t>
      </w:r>
      <w:r>
        <w:rPr>
          <w:rFonts w:hint="eastAsia" w:ascii="方正小标宋_GBK" w:eastAsia="方正小标宋_GBK"/>
          <w:spacing w:val="0"/>
          <w:kern w:val="0"/>
          <w:sz w:val="44"/>
          <w:szCs w:val="44"/>
          <w:lang w:val="en-US" w:eastAsia="zh-CN"/>
        </w:rPr>
        <w:t>广元</w:t>
      </w:r>
      <w:r>
        <w:rPr>
          <w:rFonts w:hint="eastAsia" w:ascii="方正小标宋_GBK" w:eastAsia="方正小标宋_GBK"/>
          <w:spacing w:val="0"/>
          <w:kern w:val="0"/>
          <w:sz w:val="44"/>
          <w:szCs w:val="44"/>
        </w:rPr>
        <w:t>林业</w:t>
      </w:r>
      <w:r>
        <w:rPr>
          <w:rFonts w:hint="eastAsia" w:ascii="方正小标宋_GBK" w:eastAsia="方正小标宋_GBK"/>
          <w:spacing w:val="0"/>
          <w:kern w:val="0"/>
          <w:sz w:val="44"/>
          <w:szCs w:val="44"/>
          <w:lang w:eastAsia="zh-CN"/>
        </w:rPr>
        <w:t>行业</w:t>
      </w:r>
      <w:r>
        <w:rPr>
          <w:rFonts w:hint="eastAsia" w:ascii="方正小标宋_GBK" w:eastAsia="方正小标宋_GBK"/>
          <w:spacing w:val="0"/>
          <w:kern w:val="0"/>
          <w:sz w:val="44"/>
          <w:szCs w:val="44"/>
        </w:rPr>
        <w:t>安全生产</w:t>
      </w:r>
      <w:r>
        <w:rPr>
          <w:rFonts w:hint="eastAsia" w:ascii="方正小标宋_GBK" w:eastAsia="方正小标宋_GBK"/>
          <w:spacing w:val="0"/>
          <w:kern w:val="0"/>
          <w:sz w:val="44"/>
          <w:szCs w:val="44"/>
          <w:lang w:eastAsia="zh-CN"/>
        </w:rPr>
        <w:t>“强安</w:t>
      </w:r>
      <w:r>
        <w:rPr>
          <w:rFonts w:hint="eastAsia" w:ascii="方正小标宋_GBK" w:eastAsia="方正小标宋_GBK"/>
          <w:spacing w:val="0"/>
          <w:kern w:val="0"/>
          <w:sz w:val="44"/>
          <w:szCs w:val="44"/>
          <w:lang w:val="en-US" w:eastAsia="zh-CN"/>
        </w:rPr>
        <w:t>2024</w:t>
      </w:r>
      <w:r>
        <w:rPr>
          <w:rFonts w:hint="eastAsia" w:ascii="方正小标宋_GBK" w:eastAsia="方正小标宋_GBK"/>
          <w:spacing w:val="0"/>
          <w:kern w:val="0"/>
          <w:sz w:val="44"/>
          <w:szCs w:val="44"/>
          <w:lang w:eastAsia="zh-CN"/>
        </w:rPr>
        <w:t>”监督检查专项行动工作方案</w:t>
      </w:r>
      <w:r>
        <w:rPr>
          <w:rFonts w:hint="eastAsia" w:ascii="方正小标宋_GBK" w:eastAsia="方正小标宋_GBK"/>
          <w:spacing w:val="0"/>
          <w:kern w:val="0"/>
          <w:sz w:val="44"/>
          <w:szCs w:val="44"/>
        </w:rPr>
        <w:t>的通知</w:t>
      </w:r>
    </w:p>
    <w:p>
      <w:pPr>
        <w:keepNext w:val="0"/>
        <w:keepLines w:val="0"/>
        <w:pageBreakBefore w:val="0"/>
        <w:widowControl w:val="0"/>
        <w:kinsoku/>
        <w:overflowPunct/>
        <w:topLinePunct w:val="0"/>
        <w:autoSpaceDE/>
        <w:autoSpaceDN/>
        <w:bidi w:val="0"/>
        <w:adjustRightInd w:val="0"/>
        <w:snapToGrid w:val="0"/>
        <w:spacing w:line="576" w:lineRule="exact"/>
        <w:ind w:left="0" w:right="0"/>
        <w:rPr>
          <w:rFonts w:hint="eastAsia" w:ascii="仿宋_GB2312" w:eastAsia="仿宋_GB2312"/>
          <w:spacing w:val="0"/>
          <w:kern w:val="0"/>
          <w:sz w:val="32"/>
          <w:szCs w:val="32"/>
        </w:rPr>
      </w:pPr>
    </w:p>
    <w:p>
      <w:pPr>
        <w:spacing w:line="576" w:lineRule="exact"/>
        <w:jc w:val="left"/>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各县（区）林业局，广元经开区林业主管部门，各直属单位、各科室：</w:t>
      </w:r>
    </w:p>
    <w:p>
      <w:pPr>
        <w:spacing w:line="576" w:lineRule="exact"/>
        <w:ind w:firstLine="640" w:firstLineChars="200"/>
        <w:jc w:val="left"/>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现将《广元林业行业安全生产“强安2024”监督检查专项行动工作方案》印发给你们，请抓好贯彻落实。</w:t>
      </w:r>
    </w:p>
    <w:p>
      <w:pPr>
        <w:spacing w:line="576" w:lineRule="exact"/>
        <w:ind w:firstLine="640" w:firstLineChars="200"/>
        <w:jc w:val="left"/>
        <w:rPr>
          <w:rFonts w:hint="eastAsia" w:ascii="方正仿宋_GBK" w:eastAsia="方正仿宋_GBK" w:cs="Times New Roman"/>
          <w:spacing w:val="0"/>
          <w:kern w:val="0"/>
          <w:sz w:val="32"/>
          <w:szCs w:val="32"/>
          <w:lang w:val="en-US" w:eastAsia="zh-CN" w:bidi="ar-SA"/>
        </w:rPr>
      </w:pPr>
    </w:p>
    <w:p>
      <w:pPr>
        <w:spacing w:line="576" w:lineRule="exact"/>
        <w:ind w:firstLine="640" w:firstLineChars="200"/>
        <w:jc w:val="left"/>
        <w:rPr>
          <w:rFonts w:hint="eastAsia" w:ascii="方正仿宋_GBK" w:eastAsia="方正仿宋_GBK" w:cs="Times New Roman"/>
          <w:spacing w:val="0"/>
          <w:kern w:val="0"/>
          <w:sz w:val="32"/>
          <w:szCs w:val="32"/>
          <w:lang w:val="en-US" w:eastAsia="zh-CN" w:bidi="ar-SA"/>
        </w:rPr>
      </w:pPr>
    </w:p>
    <w:p>
      <w:pPr>
        <w:spacing w:line="576" w:lineRule="exact"/>
        <w:ind w:firstLine="5440" w:firstLineChars="1700"/>
        <w:jc w:val="left"/>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 xml:space="preserve">广元市林业局          </w:t>
      </w:r>
    </w:p>
    <w:p>
      <w:pPr>
        <w:spacing w:line="576" w:lineRule="exact"/>
        <w:ind w:firstLine="5120" w:firstLineChars="1600"/>
        <w:jc w:val="left"/>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2024年4月1</w:t>
      </w:r>
      <w:r>
        <w:rPr>
          <w:rFonts w:hint="eastAsia" w:ascii="方正仿宋_GBK" w:eastAsia="方正仿宋_GBK" w:cs="Times New Roman"/>
          <w:spacing w:val="0"/>
          <w:kern w:val="0"/>
          <w:sz w:val="32"/>
          <w:szCs w:val="32"/>
          <w:lang w:val="en" w:eastAsia="zh-CN" w:bidi="ar-SA"/>
        </w:rPr>
        <w:t>7</w:t>
      </w:r>
      <w:r>
        <w:rPr>
          <w:rFonts w:hint="eastAsia" w:ascii="方正仿宋_GBK" w:eastAsia="方正仿宋_GBK" w:cs="Times New Roman"/>
          <w:spacing w:val="0"/>
          <w:kern w:val="0"/>
          <w:sz w:val="32"/>
          <w:szCs w:val="32"/>
          <w:lang w:val="en-US" w:eastAsia="zh-CN" w:bidi="ar-SA"/>
        </w:rPr>
        <w:t xml:space="preserve">日  </w:t>
      </w:r>
    </w:p>
    <w:p>
      <w:pPr>
        <w:ind w:firstLine="596" w:firstLineChars="200"/>
        <w:rPr>
          <w:rFonts w:hint="eastAsia" w:ascii="仿宋_GB2312" w:eastAsia="仿宋_GB2312" w:cs="Times New Roman"/>
          <w:spacing w:val="-11"/>
          <w:kern w:val="0"/>
          <w:sz w:val="32"/>
          <w:szCs w:val="32"/>
          <w:lang w:val="en-US" w:eastAsia="zh-CN" w:bidi="ar-SA"/>
        </w:rPr>
      </w:pPr>
    </w:p>
    <w:p>
      <w:pPr>
        <w:ind w:firstLine="4480" w:firstLineChars="1400"/>
        <w:rPr>
          <w:rFonts w:hint="eastAsia" w:ascii="仿宋_GB2312" w:eastAsia="仿宋_GB2312"/>
          <w:spacing w:val="0"/>
          <w:kern w:val="0"/>
          <w:sz w:val="32"/>
          <w:szCs w:val="32"/>
          <w:lang w:val="en-US" w:eastAsia="zh-CN"/>
        </w:rPr>
      </w:pPr>
    </w:p>
    <w:p>
      <w:pPr>
        <w:ind w:firstLine="4480" w:firstLineChars="1400"/>
        <w:rPr>
          <w:rFonts w:hint="eastAsia" w:ascii="仿宋_GB2312" w:eastAsia="仿宋_GB2312"/>
          <w:spacing w:val="0"/>
          <w:kern w:val="0"/>
          <w:sz w:val="32"/>
          <w:szCs w:val="32"/>
          <w:lang w:val="en-US" w:eastAsia="zh-CN"/>
        </w:rPr>
      </w:pPr>
    </w:p>
    <w:p>
      <w:pPr>
        <w:ind w:firstLine="4480" w:firstLineChars="1400"/>
        <w:rPr>
          <w:rFonts w:hint="eastAsia" w:ascii="仿宋_GB2312" w:eastAsia="仿宋_GB2312"/>
          <w:spacing w:val="0"/>
          <w:kern w:val="0"/>
          <w:sz w:val="32"/>
          <w:szCs w:val="32"/>
          <w:lang w:val="en-US" w:eastAsia="zh-CN"/>
        </w:rPr>
      </w:pPr>
    </w:p>
    <w:p>
      <w:pPr>
        <w:ind w:firstLine="4480" w:firstLineChars="1400"/>
        <w:rPr>
          <w:rFonts w:hint="eastAsia" w:ascii="仿宋_GB2312" w:eastAsia="仿宋_GB2312"/>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方正小标宋_GBK" w:eastAsia="方正小标宋_GBK"/>
          <w:spacing w:val="-11"/>
          <w:kern w:val="0"/>
          <w:sz w:val="44"/>
          <w:szCs w:val="44"/>
        </w:rPr>
      </w:pPr>
      <w:r>
        <w:rPr>
          <w:rFonts w:hint="eastAsia" w:ascii="方正小标宋_GBK" w:eastAsia="方正小标宋_GBK"/>
          <w:spacing w:val="-11"/>
          <w:kern w:val="0"/>
          <w:sz w:val="44"/>
          <w:szCs w:val="44"/>
          <w:lang w:val="en-US" w:eastAsia="zh-CN"/>
        </w:rPr>
        <w:t>广元</w:t>
      </w:r>
      <w:r>
        <w:rPr>
          <w:rFonts w:hint="eastAsia" w:ascii="方正小标宋_GBK" w:eastAsia="方正小标宋_GBK"/>
          <w:spacing w:val="-11"/>
          <w:kern w:val="0"/>
          <w:sz w:val="44"/>
          <w:szCs w:val="44"/>
        </w:rPr>
        <w:t>林业</w:t>
      </w:r>
      <w:r>
        <w:rPr>
          <w:rFonts w:hint="eastAsia" w:ascii="方正小标宋_GBK" w:eastAsia="方正小标宋_GBK"/>
          <w:spacing w:val="-11"/>
          <w:kern w:val="0"/>
          <w:sz w:val="44"/>
          <w:szCs w:val="44"/>
          <w:lang w:eastAsia="zh-CN"/>
        </w:rPr>
        <w:t>行业</w:t>
      </w:r>
      <w:r>
        <w:rPr>
          <w:rFonts w:hint="eastAsia" w:ascii="方正小标宋_GBK" w:eastAsia="方正小标宋_GBK"/>
          <w:spacing w:val="-11"/>
          <w:kern w:val="0"/>
          <w:sz w:val="44"/>
          <w:szCs w:val="44"/>
        </w:rPr>
        <w:t>安全生产</w:t>
      </w:r>
    </w:p>
    <w:p>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方正小标宋_GBK" w:eastAsia="方正小标宋_GBK"/>
          <w:spacing w:val="-11"/>
          <w:kern w:val="0"/>
          <w:sz w:val="44"/>
          <w:szCs w:val="44"/>
          <w:lang w:eastAsia="zh-CN"/>
        </w:rPr>
      </w:pPr>
      <w:r>
        <w:rPr>
          <w:rFonts w:hint="eastAsia" w:ascii="方正小标宋_GBK" w:eastAsia="方正小标宋_GBK"/>
          <w:spacing w:val="-11"/>
          <w:kern w:val="0"/>
          <w:sz w:val="44"/>
          <w:szCs w:val="44"/>
          <w:lang w:eastAsia="zh-CN"/>
        </w:rPr>
        <w:t>“强安</w:t>
      </w:r>
      <w:r>
        <w:rPr>
          <w:rFonts w:hint="eastAsia" w:ascii="方正小标宋_GBK" w:eastAsia="方正小标宋_GBK"/>
          <w:spacing w:val="-11"/>
          <w:kern w:val="0"/>
          <w:sz w:val="44"/>
          <w:szCs w:val="44"/>
          <w:lang w:val="en-US" w:eastAsia="zh-CN"/>
        </w:rPr>
        <w:t>2024</w:t>
      </w:r>
      <w:r>
        <w:rPr>
          <w:rFonts w:hint="eastAsia" w:ascii="方正小标宋_GBK" w:eastAsia="方正小标宋_GBK"/>
          <w:spacing w:val="-11"/>
          <w:kern w:val="0"/>
          <w:sz w:val="44"/>
          <w:szCs w:val="44"/>
          <w:lang w:eastAsia="zh-CN"/>
        </w:rPr>
        <w:t>”监督检查专项行动工作方案</w:t>
      </w:r>
    </w:p>
    <w:p>
      <w:pPr>
        <w:pStyle w:val="2"/>
        <w:rPr>
          <w:rFonts w:hint="eastAsia"/>
          <w:lang w:val="en-US" w:eastAsia="zh-CN"/>
        </w:rPr>
      </w:pPr>
    </w:p>
    <w:p>
      <w:pPr>
        <w:spacing w:line="576" w:lineRule="exact"/>
        <w:ind w:firstLine="640" w:firstLineChars="200"/>
        <w:rPr>
          <w:rFonts w:hint="eastAsia" w:ascii="方正黑体_GBK" w:eastAsia="方正黑体_GBK" w:cs="黑体"/>
          <w:color w:val="000000"/>
          <w:sz w:val="32"/>
          <w:szCs w:val="32"/>
          <w:lang w:val="en-US" w:eastAsia="zh-CN" w:bidi="ar-SA"/>
        </w:rPr>
      </w:pPr>
      <w:r>
        <w:rPr>
          <w:rFonts w:hint="eastAsia" w:ascii="方正黑体_GBK" w:eastAsia="方正黑体_GBK" w:cs="黑体"/>
          <w:color w:val="000000"/>
          <w:sz w:val="32"/>
          <w:szCs w:val="32"/>
          <w:lang w:val="en-US" w:eastAsia="zh-CN" w:bidi="ar-SA"/>
        </w:rPr>
        <w:t>一、总体要求</w:t>
      </w:r>
    </w:p>
    <w:p>
      <w:pPr>
        <w:keepNext w:val="0"/>
        <w:keepLines w:val="0"/>
        <w:widowControl w:val="0"/>
        <w:suppressLineNumbers w:val="0"/>
        <w:spacing w:line="576" w:lineRule="exact"/>
        <w:ind w:firstLine="640" w:firstLineChars="200"/>
        <w:jc w:val="left"/>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坚持以习近平新时代中国特色社会主义思想为指导，认真贯彻落实国家、省、市安全生产决策部署，坚持安全第一、预防为主，坚持标本兼治、重在治本，强化底线思维和风险意识，巩固重大事故隐患专项排查整治2023行动成果，聚焦涉林业企业主体责任落实，从根本上消除事故隐患，确保林业行业安全生产形势持续稳定。</w:t>
      </w:r>
    </w:p>
    <w:p>
      <w:pPr>
        <w:spacing w:line="576" w:lineRule="exact"/>
        <w:ind w:firstLine="640" w:firstLineChars="200"/>
        <w:rPr>
          <w:rFonts w:hint="eastAsia" w:ascii="方正仿宋_GBK" w:eastAsia="方正仿宋_GBK" w:cs="Times New Roman"/>
          <w:spacing w:val="0"/>
          <w:kern w:val="0"/>
          <w:sz w:val="32"/>
          <w:szCs w:val="32"/>
          <w:lang w:val="en-US" w:eastAsia="zh-CN" w:bidi="ar-SA"/>
        </w:rPr>
      </w:pPr>
      <w:r>
        <w:rPr>
          <w:rFonts w:hint="eastAsia" w:ascii="方正黑体_GBK" w:hAnsi="Times New Roman" w:eastAsia="方正黑体_GBK" w:cs="黑体"/>
          <w:color w:val="000000"/>
          <w:kern w:val="2"/>
          <w:sz w:val="32"/>
          <w:szCs w:val="32"/>
          <w:lang w:val="en-US" w:eastAsia="zh-CN" w:bidi="ar-SA"/>
        </w:rPr>
        <w:t>二、重点工作</w:t>
      </w:r>
    </w:p>
    <w:p>
      <w:pPr>
        <w:keepNext w:val="0"/>
        <w:keepLines w:val="0"/>
        <w:widowControl w:val="0"/>
        <w:suppressLineNumbers w:val="0"/>
        <w:spacing w:line="576" w:lineRule="exact"/>
        <w:ind w:firstLine="640" w:firstLineChars="200"/>
        <w:jc w:val="left"/>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采取“</w:t>
      </w:r>
      <w:r>
        <w:rPr>
          <w:rFonts w:hint="eastAsia" w:ascii="方正仿宋_GBK" w:eastAsia="方正仿宋_GBK" w:cs="Times New Roman"/>
          <w:spacing w:val="0"/>
          <w:kern w:val="0"/>
          <w:sz w:val="32"/>
          <w:szCs w:val="32"/>
          <w:lang w:val="en" w:eastAsia="zh-CN" w:bidi="ar-SA"/>
        </w:rPr>
        <w:t>企业</w:t>
      </w:r>
      <w:r>
        <w:rPr>
          <w:rFonts w:hint="eastAsia" w:ascii="方正仿宋_GBK" w:eastAsia="方正仿宋_GBK" w:cs="Times New Roman"/>
          <w:spacing w:val="0"/>
          <w:kern w:val="0"/>
          <w:sz w:val="32"/>
          <w:szCs w:val="32"/>
          <w:lang w:val="en-US" w:eastAsia="zh-CN" w:bidi="ar-SA"/>
        </w:rPr>
        <w:t>主动排查治理+专项监管检查”方式，督促企业健全完善隐患自查自改常态化机制、强化应急预案演练培训，以及制定落实安全生产主体责任、重大安全风险管控、安全生产岗位责任、日常安全工作等四张清单，突出抓好以下方面的监督检查工作。</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left"/>
        <w:textAlignment w:val="auto"/>
        <w:rPr>
          <w:rFonts w:hint="eastAsia" w:ascii="方正仿宋_GBK" w:eastAsia="方正仿宋_GBK" w:cs="Times New Roman"/>
          <w:spacing w:val="0"/>
          <w:kern w:val="0"/>
          <w:sz w:val="32"/>
          <w:szCs w:val="32"/>
          <w:lang w:val="en-US" w:eastAsia="zh-CN" w:bidi="ar-SA"/>
        </w:rPr>
      </w:pPr>
      <w:r>
        <w:rPr>
          <w:rFonts w:hint="eastAsia" w:ascii="方正楷体_GBK" w:hAnsi="仿宋_GB2312" w:eastAsia="方正楷体_GBK" w:cs="楷体_GB2312"/>
          <w:spacing w:val="0"/>
          <w:kern w:val="0"/>
          <w:sz w:val="32"/>
          <w:szCs w:val="32"/>
          <w:shd w:val="clear" w:color="auto" w:fill="FFFFFF"/>
          <w:lang w:val="en-US" w:eastAsia="zh-CN" w:bidi="ar-SA"/>
        </w:rPr>
        <w:t>（一）</w:t>
      </w:r>
      <w:r>
        <w:rPr>
          <w:rFonts w:hint="eastAsia" w:ascii="方正楷体_GBK" w:eastAsia="方正楷体_GBK" w:cs="楷体_GB2312"/>
          <w:spacing w:val="0"/>
          <w:kern w:val="0"/>
          <w:sz w:val="32"/>
          <w:szCs w:val="32"/>
          <w:shd w:val="clear" w:color="auto" w:fill="FFFFFF"/>
          <w:lang w:val="en-US" w:eastAsia="zh-CN" w:bidi="ar-SA"/>
        </w:rPr>
        <w:t>在林业生产经营方面。</w:t>
      </w:r>
      <w:r>
        <w:rPr>
          <w:rFonts w:hint="eastAsia" w:ascii="方正仿宋_GBK" w:eastAsia="方正仿宋_GBK" w:cs="Times New Roman"/>
          <w:spacing w:val="0"/>
          <w:kern w:val="0"/>
          <w:sz w:val="32"/>
          <w:szCs w:val="32"/>
          <w:lang w:val="en-US" w:eastAsia="zh-CN" w:bidi="ar-SA"/>
        </w:rPr>
        <w:t>对植树造林、森林经营、森林管护、野生动植物保护、森林采伐和林产品加工生产经营等活动的安全生产指导、监管和检查力度，全面排查治理隐患。</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eastAsia" w:ascii="方正仿宋_GBK" w:eastAsia="方正仿宋_GBK" w:cs="Times New Roman"/>
          <w:spacing w:val="0"/>
          <w:kern w:val="0"/>
          <w:sz w:val="32"/>
          <w:szCs w:val="32"/>
          <w:lang w:val="en-US" w:eastAsia="zh-CN" w:bidi="ar-SA"/>
        </w:rPr>
      </w:pPr>
      <w:r>
        <w:rPr>
          <w:rFonts w:hint="eastAsia" w:ascii="方正楷体_GBK" w:hAnsi="仿宋_GB2312" w:eastAsia="方正楷体_GBK" w:cs="楷体_GB2312"/>
          <w:spacing w:val="0"/>
          <w:kern w:val="0"/>
          <w:sz w:val="32"/>
          <w:szCs w:val="32"/>
          <w:shd w:val="clear" w:color="auto" w:fill="FFFFFF"/>
          <w:lang w:val="en-US" w:eastAsia="zh-CN" w:bidi="ar-SA"/>
        </w:rPr>
        <w:t>（二）</w:t>
      </w:r>
      <w:r>
        <w:rPr>
          <w:rFonts w:hint="eastAsia" w:ascii="方正楷体_GBK" w:eastAsia="方正楷体_GBK" w:cs="楷体_GB2312"/>
          <w:spacing w:val="0"/>
          <w:kern w:val="0"/>
          <w:sz w:val="32"/>
          <w:szCs w:val="32"/>
          <w:shd w:val="clear" w:color="auto" w:fill="FFFFFF"/>
          <w:lang w:val="en-US" w:eastAsia="zh-CN" w:bidi="ar-SA"/>
        </w:rPr>
        <w:t>在森林防火方面。</w:t>
      </w:r>
      <w:r>
        <w:rPr>
          <w:rFonts w:hint="eastAsia" w:ascii="方正仿宋_GBK" w:eastAsia="方正仿宋_GBK" w:cs="Times New Roman"/>
          <w:spacing w:val="0"/>
          <w:kern w:val="0"/>
          <w:sz w:val="32"/>
          <w:szCs w:val="32"/>
          <w:lang w:val="en-US" w:eastAsia="zh-CN" w:bidi="ar-SA"/>
        </w:rPr>
        <w:t>重点检查主要负责人是否落实防火主体责任，是否严格管控野外火源，是否履行林区施工动火作业审批手续，是否督促作业人员严格遵守消防安全操作规程，是否深刻汲取近年来违规动火引发的事故教训。</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eastAsia" w:ascii="方正仿宋_GBK" w:eastAsia="方正仿宋_GBK" w:cs="Times New Roman"/>
          <w:spacing w:val="0"/>
          <w:kern w:val="0"/>
          <w:sz w:val="32"/>
          <w:szCs w:val="32"/>
          <w:lang w:val="en-US" w:eastAsia="zh-CN" w:bidi="ar-SA"/>
        </w:rPr>
      </w:pPr>
      <w:r>
        <w:rPr>
          <w:rFonts w:hint="eastAsia" w:ascii="方正楷体_GBK" w:hAnsi="仿宋_GB2312" w:eastAsia="方正楷体_GBK" w:cs="楷体_GB2312"/>
          <w:spacing w:val="0"/>
          <w:kern w:val="0"/>
          <w:sz w:val="32"/>
          <w:szCs w:val="32"/>
          <w:shd w:val="clear" w:color="auto" w:fill="FFFFFF"/>
          <w:lang w:val="en-US" w:eastAsia="zh-CN" w:bidi="ar-SA"/>
        </w:rPr>
        <w:t>（三）</w:t>
      </w:r>
      <w:r>
        <w:rPr>
          <w:rFonts w:hint="eastAsia" w:ascii="方正楷体_GBK" w:eastAsia="方正楷体_GBK" w:cs="楷体_GB2312"/>
          <w:spacing w:val="0"/>
          <w:kern w:val="0"/>
          <w:sz w:val="32"/>
          <w:szCs w:val="32"/>
          <w:shd w:val="clear" w:color="auto" w:fill="FFFFFF"/>
          <w:lang w:val="en-US" w:eastAsia="zh-CN" w:bidi="ar-SA"/>
        </w:rPr>
        <w:t>在林区道路交通方面。</w:t>
      </w:r>
      <w:r>
        <w:rPr>
          <w:rFonts w:hint="eastAsia" w:ascii="方正仿宋_GBK" w:eastAsia="方正仿宋_GBK" w:cs="Times New Roman"/>
          <w:spacing w:val="0"/>
          <w:kern w:val="0"/>
          <w:sz w:val="32"/>
          <w:szCs w:val="32"/>
          <w:lang w:val="en-US" w:eastAsia="zh-CN" w:bidi="ar-SA"/>
        </w:rPr>
        <w:t>对自建自养道路的安全监管，加大对危险路段、交通设施、非本企业车辆通行的隐患排查及内部管理整治，并开展交通安全宣传教育情况，涉及水上运输的企业要加强水上交通检查。</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left"/>
        <w:textAlignment w:val="auto"/>
        <w:rPr>
          <w:rFonts w:hint="eastAsia" w:ascii="方正仿宋_GBK" w:eastAsia="方正仿宋_GBK" w:cs="Times New Roman"/>
          <w:spacing w:val="0"/>
          <w:kern w:val="0"/>
          <w:sz w:val="32"/>
          <w:szCs w:val="32"/>
          <w:lang w:val="en-US" w:eastAsia="zh-CN" w:bidi="ar-SA"/>
        </w:rPr>
      </w:pPr>
      <w:r>
        <w:rPr>
          <w:rFonts w:hint="eastAsia" w:ascii="方正楷体_GBK" w:hAnsi="仿宋_GB2312" w:eastAsia="方正楷体_GBK" w:cs="楷体_GB2312"/>
          <w:spacing w:val="0"/>
          <w:kern w:val="0"/>
          <w:sz w:val="32"/>
          <w:szCs w:val="32"/>
          <w:shd w:val="clear" w:color="auto" w:fill="FFFFFF"/>
          <w:lang w:val="en-US" w:eastAsia="zh-CN" w:bidi="ar-SA"/>
        </w:rPr>
        <w:t>（四）</w:t>
      </w:r>
      <w:r>
        <w:rPr>
          <w:rFonts w:hint="eastAsia" w:ascii="方正楷体_GBK" w:eastAsia="方正楷体_GBK" w:cs="楷体_GB2312"/>
          <w:spacing w:val="0"/>
          <w:kern w:val="0"/>
          <w:sz w:val="32"/>
          <w:szCs w:val="32"/>
          <w:shd w:val="clear" w:color="auto" w:fill="FFFFFF"/>
          <w:lang w:val="en-US" w:eastAsia="zh-CN" w:bidi="ar-SA"/>
        </w:rPr>
        <w:t>在林区建设方面。</w:t>
      </w:r>
      <w:r>
        <w:rPr>
          <w:rFonts w:hint="eastAsia" w:ascii="方正仿宋_GBK" w:eastAsia="方正仿宋_GBK" w:cs="Times New Roman"/>
          <w:spacing w:val="0"/>
          <w:kern w:val="0"/>
          <w:sz w:val="32"/>
          <w:szCs w:val="32"/>
          <w:lang w:val="en-US" w:eastAsia="zh-CN" w:bidi="ar-SA"/>
        </w:rPr>
        <w:t>重点对林区在建项目施工作业现场进行全面检查，以预防生产安全事故为重点，突出抓好施工机械、特种设备等专项治理，严查盲目赶工期抢进度、无资质施工、违法转包分包、不按设计施工等违法违规行为。</w:t>
      </w:r>
    </w:p>
    <w:p>
      <w:pPr>
        <w:spacing w:line="576" w:lineRule="exact"/>
        <w:ind w:firstLine="640" w:firstLineChars="200"/>
        <w:rPr>
          <w:rFonts w:hint="eastAsia" w:ascii="方正仿宋_GBK" w:eastAsia="方正仿宋_GBK" w:cs="Times New Roman"/>
          <w:spacing w:val="0"/>
          <w:kern w:val="0"/>
          <w:sz w:val="32"/>
          <w:szCs w:val="32"/>
          <w:lang w:val="en-US" w:eastAsia="zh-CN" w:bidi="ar-SA"/>
        </w:rPr>
      </w:pPr>
      <w:r>
        <w:rPr>
          <w:rFonts w:hint="eastAsia" w:ascii="方正楷体_GBK" w:hAnsi="仿宋_GB2312" w:eastAsia="方正楷体_GBK" w:cs="楷体_GB2312"/>
          <w:spacing w:val="0"/>
          <w:kern w:val="0"/>
          <w:sz w:val="32"/>
          <w:szCs w:val="32"/>
          <w:shd w:val="clear" w:color="auto" w:fill="FFFFFF"/>
          <w:lang w:val="en-US" w:eastAsia="zh-CN" w:bidi="ar-SA"/>
        </w:rPr>
        <w:t>（五）</w:t>
      </w:r>
      <w:r>
        <w:rPr>
          <w:rFonts w:hint="eastAsia" w:ascii="方正楷体_GBK" w:eastAsia="方正楷体_GBK" w:cs="楷体_GB2312"/>
          <w:spacing w:val="0"/>
          <w:kern w:val="0"/>
          <w:sz w:val="32"/>
          <w:szCs w:val="32"/>
          <w:shd w:val="clear" w:color="auto" w:fill="FFFFFF"/>
          <w:lang w:val="en-US" w:eastAsia="zh-CN" w:bidi="ar-SA"/>
        </w:rPr>
        <w:t>在消防安全方面。</w:t>
      </w:r>
      <w:r>
        <w:rPr>
          <w:rFonts w:hint="eastAsia" w:ascii="方正仿宋_GBK" w:eastAsia="方正仿宋_GBK" w:cs="Times New Roman"/>
          <w:spacing w:val="0"/>
          <w:kern w:val="0"/>
          <w:sz w:val="32"/>
          <w:szCs w:val="32"/>
          <w:lang w:val="en-US" w:eastAsia="zh-CN" w:bidi="ar-SA"/>
        </w:rPr>
        <w:t>重点排查办公场所、住宅区、实验室、施工场地、存放易燃易爆物品场所、食堂宿舍等场所的消防安全隐患，包括是否更换过期消防设备和器材，是否检修燃气设备和管线，是否加强老旧用电线路和燃气管道的维护和改造，是否重点整治安全疏散条件不足等。</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textAlignment w:val="auto"/>
        <w:rPr>
          <w:rFonts w:hint="eastAsia" w:ascii="方正仿宋_GBK" w:eastAsia="方正仿宋_GBK" w:cs="Times New Roman"/>
          <w:spacing w:val="0"/>
          <w:kern w:val="0"/>
          <w:sz w:val="32"/>
          <w:szCs w:val="32"/>
          <w:lang w:val="en-US" w:eastAsia="zh-CN" w:bidi="ar-SA"/>
        </w:rPr>
      </w:pPr>
      <w:r>
        <w:rPr>
          <w:rFonts w:hint="eastAsia" w:ascii="方正楷体_GBK" w:hAnsi="仿宋_GB2312" w:eastAsia="方正楷体_GBK" w:cs="楷体_GB2312"/>
          <w:spacing w:val="0"/>
          <w:kern w:val="0"/>
          <w:sz w:val="32"/>
          <w:szCs w:val="32"/>
          <w:shd w:val="clear" w:color="auto" w:fill="FFFFFF"/>
          <w:lang w:val="en-US" w:eastAsia="zh-CN" w:bidi="ar-SA"/>
        </w:rPr>
        <w:t>（六）</w:t>
      </w:r>
      <w:r>
        <w:rPr>
          <w:rFonts w:hint="eastAsia" w:ascii="方正楷体_GBK" w:eastAsia="方正楷体_GBK" w:cs="楷体_GB2312"/>
          <w:spacing w:val="0"/>
          <w:kern w:val="0"/>
          <w:sz w:val="32"/>
          <w:szCs w:val="32"/>
          <w:shd w:val="clear" w:color="auto" w:fill="FFFFFF"/>
          <w:lang w:val="en-US" w:eastAsia="zh-CN" w:bidi="ar-SA"/>
        </w:rPr>
        <w:t>在危险化学品方面。</w:t>
      </w:r>
      <w:r>
        <w:rPr>
          <w:rFonts w:hint="eastAsia" w:ascii="方正仿宋_GBK" w:eastAsia="方正仿宋_GBK" w:cs="Times New Roman"/>
          <w:spacing w:val="0"/>
          <w:kern w:val="0"/>
          <w:sz w:val="32"/>
          <w:szCs w:val="32"/>
          <w:lang w:val="en-US" w:eastAsia="zh-CN" w:bidi="ar-SA"/>
        </w:rPr>
        <w:t>全面排查各类林业危险化学品数量，实施分类分级管理，重点检查林业生产经营单位和科研院所储存、运输、使用、处置危险化学品情况，包括是否建立专项管理台账、完善危险化学品管理制度、应急预案及安全防范措施，是否加强从业人员安全教育和操作技能 培训。</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textAlignment w:val="auto"/>
        <w:rPr>
          <w:rFonts w:hint="eastAsia" w:ascii="方正仿宋_GBK" w:eastAsia="方正仿宋_GBK"/>
          <w:lang w:val="en-US" w:eastAsia="zh-CN"/>
        </w:rPr>
      </w:pPr>
      <w:r>
        <w:rPr>
          <w:rFonts w:hint="eastAsia" w:ascii="方正楷体_GBK" w:hAnsi="仿宋_GB2312" w:eastAsia="方正楷体_GBK" w:cs="楷体_GB2312"/>
          <w:spacing w:val="0"/>
          <w:kern w:val="0"/>
          <w:sz w:val="32"/>
          <w:szCs w:val="32"/>
          <w:shd w:val="clear" w:color="auto" w:fill="FFFFFF"/>
          <w:lang w:val="en-US" w:eastAsia="zh-CN" w:bidi="ar-SA"/>
        </w:rPr>
        <w:t>（七）</w:t>
      </w:r>
      <w:r>
        <w:rPr>
          <w:rFonts w:hint="eastAsia" w:ascii="方正楷体_GBK" w:eastAsia="方正楷体_GBK" w:cs="楷体_GB2312"/>
          <w:spacing w:val="0"/>
          <w:kern w:val="0"/>
          <w:sz w:val="32"/>
          <w:szCs w:val="32"/>
          <w:shd w:val="clear" w:color="auto" w:fill="FFFFFF"/>
          <w:lang w:val="en-US" w:eastAsia="zh-CN" w:bidi="ar-SA"/>
        </w:rPr>
        <w:t>在林业旅游景区景点方面。</w:t>
      </w:r>
      <w:r>
        <w:rPr>
          <w:rFonts w:hint="eastAsia" w:ascii="方正仿宋_GBK" w:eastAsia="方正仿宋_GBK" w:cs="Times New Roman"/>
          <w:spacing w:val="0"/>
          <w:kern w:val="0"/>
          <w:sz w:val="32"/>
          <w:szCs w:val="32"/>
          <w:lang w:val="en-US" w:eastAsia="zh-CN" w:bidi="ar-SA"/>
        </w:rPr>
        <w:t>重点排查人员密集场所、高风险旅游项目、游乐设施、特种设备及建筑施工等方面的安全隐患，包括有关场所内各类运输游客车辆的安全状况，各类游乐项目设施设备的维修情况，各类极端天气下的旅游安全保障情况，各类电气设备、线路定期检修情况等。</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textAlignment w:val="auto"/>
        <w:rPr>
          <w:rFonts w:hint="eastAsia" w:ascii="方正仿宋_GBK" w:eastAsia="方正仿宋_GBK" w:cs="Times New Roman"/>
          <w:spacing w:val="0"/>
          <w:kern w:val="0"/>
          <w:sz w:val="32"/>
          <w:szCs w:val="32"/>
          <w:lang w:val="en-US" w:eastAsia="zh-CN" w:bidi="ar-SA"/>
        </w:rPr>
      </w:pPr>
      <w:r>
        <w:rPr>
          <w:rFonts w:hint="eastAsia" w:ascii="方正楷体_GBK" w:hAnsi="仿宋_GB2312" w:eastAsia="方正楷体_GBK" w:cs="楷体_GB2312"/>
          <w:spacing w:val="0"/>
          <w:kern w:val="0"/>
          <w:sz w:val="32"/>
          <w:szCs w:val="32"/>
          <w:shd w:val="clear" w:color="auto" w:fill="FFFFFF"/>
          <w:lang w:val="en-US" w:eastAsia="zh-CN" w:bidi="ar-SA"/>
        </w:rPr>
        <w:t>（八）</w:t>
      </w:r>
      <w:r>
        <w:rPr>
          <w:rFonts w:hint="eastAsia" w:ascii="方正楷体_GBK" w:eastAsia="方正楷体_GBK" w:cs="楷体_GB2312"/>
          <w:spacing w:val="0"/>
          <w:kern w:val="0"/>
          <w:sz w:val="32"/>
          <w:szCs w:val="32"/>
          <w:shd w:val="clear" w:color="auto" w:fill="FFFFFF"/>
          <w:lang w:val="en-US" w:eastAsia="zh-CN" w:bidi="ar-SA"/>
        </w:rPr>
        <w:t>在林业防汛方面。</w:t>
      </w:r>
      <w:r>
        <w:rPr>
          <w:rFonts w:hint="eastAsia" w:ascii="方正仿宋_GBK" w:eastAsia="方正仿宋_GBK" w:cs="Times New Roman"/>
          <w:spacing w:val="0"/>
          <w:kern w:val="0"/>
          <w:sz w:val="32"/>
          <w:szCs w:val="32"/>
          <w:lang w:val="en-US" w:eastAsia="zh-CN" w:bidi="ar-SA"/>
        </w:rPr>
        <w:t>重点排查林区河道、桥梁、涵洞、边坡、低洼地带、易堵易涝、临山临水房屋等危险地段的安全隐患，严防强降雨期间滑坡、泥石流等次生灾害。</w:t>
      </w:r>
    </w:p>
    <w:p>
      <w:pPr>
        <w:spacing w:line="576" w:lineRule="exact"/>
        <w:ind w:firstLine="640" w:firstLineChars="200"/>
        <w:rPr>
          <w:rFonts w:hint="eastAsia" w:ascii="方正黑体_GBK" w:eastAsia="方正黑体_GBK" w:cs="黑体"/>
          <w:color w:val="000000"/>
          <w:spacing w:val="0"/>
          <w:kern w:val="2"/>
          <w:sz w:val="32"/>
          <w:szCs w:val="32"/>
          <w:lang w:val="en-US" w:eastAsia="zh-CN" w:bidi="ar-SA"/>
        </w:rPr>
      </w:pPr>
      <w:r>
        <w:rPr>
          <w:rFonts w:hint="eastAsia" w:ascii="方正黑体_GBK" w:eastAsia="方正黑体_GBK" w:cs="黑体"/>
          <w:color w:val="000000"/>
          <w:spacing w:val="0"/>
          <w:kern w:val="2"/>
          <w:sz w:val="32"/>
          <w:szCs w:val="32"/>
          <w:lang w:val="en-US" w:eastAsia="zh-CN" w:bidi="ar-SA"/>
        </w:rPr>
        <w:t>三、实施步骤</w:t>
      </w:r>
    </w:p>
    <w:p>
      <w:pPr>
        <w:spacing w:line="576" w:lineRule="exact"/>
        <w:ind w:firstLine="640" w:firstLineChars="200"/>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专项行动分为三个阶段，各县区林业主管部门及生产经营单位要按照各阶段工作重点有序推进。</w:t>
      </w:r>
    </w:p>
    <w:p>
      <w:pPr>
        <w:spacing w:line="576" w:lineRule="exact"/>
        <w:ind w:firstLine="640" w:firstLineChars="200"/>
        <w:rPr>
          <w:rFonts w:hint="eastAsia" w:ascii="方正楷体_GBK" w:eastAsia="方正楷体_GBK" w:cs="楷体_GB2312"/>
          <w:spacing w:val="0"/>
          <w:kern w:val="0"/>
          <w:sz w:val="32"/>
          <w:szCs w:val="32"/>
          <w:shd w:val="clear" w:color="auto" w:fill="FFFFFF"/>
          <w:lang w:val="en-US" w:eastAsia="zh-CN" w:bidi="ar-SA"/>
        </w:rPr>
      </w:pPr>
      <w:r>
        <w:rPr>
          <w:rFonts w:hint="eastAsia" w:ascii="方正楷体_GBK" w:eastAsia="方正楷体_GBK" w:cs="楷体_GB2312"/>
          <w:spacing w:val="0"/>
          <w:kern w:val="0"/>
          <w:sz w:val="32"/>
          <w:szCs w:val="32"/>
          <w:shd w:val="clear" w:color="auto" w:fill="FFFFFF"/>
          <w:lang w:val="en-US" w:eastAsia="zh-CN" w:bidi="ar-SA"/>
        </w:rPr>
        <w:t>（一）第一阶段：自主排查治理（即日起至2024年4月底）。</w:t>
      </w:r>
    </w:p>
    <w:p>
      <w:pPr>
        <w:spacing w:before="104" w:line="576" w:lineRule="exact"/>
        <w:ind w:firstLine="640" w:firstLineChars="200"/>
        <w:jc w:val="both"/>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各单位要制定专项行动实施方案，对照《企业全员安全生产履职合法性检查表》《林草行业的重大事故隐患判定标准》以及近期典型事故暴露出的隐患制定《专项行动检查事项清单》，迅速印发至林业企业，督促企业全面认真对标对表自查自改，凡是在自查阶段已发现并按“五落实”要求列入整改计划并实施整改的问题隐患，监督检查时可不再列入发现问题清单。各企业要在2024年4月30日前将自查发现重大隐患问题清单和整改计划书面报送县级林业主管部门备案。</w:t>
      </w:r>
      <w:r>
        <w:rPr>
          <w:rFonts w:hint="eastAsia" w:ascii="方正仿宋_GBK" w:eastAsia="方正仿宋_GBK" w:cs="Times New Roman"/>
          <w:kern w:val="2"/>
          <w:sz w:val="32"/>
          <w:szCs w:val="32"/>
          <w:lang w:val="en-US" w:eastAsia="zh-CN" w:bidi="ar-SA"/>
        </w:rPr>
        <w:t>各级林业主管部门要严格督促企业按期整改到位。</w:t>
      </w:r>
    </w:p>
    <w:p>
      <w:pPr>
        <w:spacing w:line="576" w:lineRule="exact"/>
        <w:ind w:firstLine="640" w:firstLineChars="200"/>
        <w:rPr>
          <w:rFonts w:hint="eastAsia" w:ascii="方正仿宋_GBK" w:eastAsia="方正仿宋_GBK" w:cs="楷体_GB2312"/>
          <w:spacing w:val="0"/>
          <w:kern w:val="0"/>
          <w:sz w:val="32"/>
          <w:szCs w:val="32"/>
          <w:shd w:val="clear" w:color="auto" w:fill="FFFFFF"/>
          <w:lang w:val="en-US" w:eastAsia="zh-CN" w:bidi="ar-SA"/>
        </w:rPr>
      </w:pPr>
      <w:r>
        <w:rPr>
          <w:rFonts w:hint="eastAsia" w:ascii="方正楷体_GBK" w:eastAsia="方正楷体_GBK" w:cs="楷体_GB2312"/>
          <w:spacing w:val="0"/>
          <w:kern w:val="0"/>
          <w:sz w:val="32"/>
          <w:szCs w:val="32"/>
          <w:shd w:val="clear" w:color="auto" w:fill="FFFFFF"/>
          <w:lang w:val="en-US" w:eastAsia="zh-CN" w:bidi="ar-SA"/>
        </w:rPr>
        <w:t>（二）第二阶段：集中监督检查（2024年5月至9月）。</w:t>
      </w:r>
    </w:p>
    <w:p>
      <w:pPr>
        <w:keepNext w:val="0"/>
        <w:keepLines w:val="0"/>
        <w:pageBreakBefore w:val="0"/>
        <w:widowControl w:val="0"/>
        <w:kinsoku/>
        <w:wordWrap/>
        <w:overflowPunct/>
        <w:topLinePunct w:val="0"/>
        <w:autoSpaceDE/>
        <w:autoSpaceDN/>
        <w:bidi w:val="0"/>
        <w:spacing w:line="576" w:lineRule="exact"/>
        <w:ind w:left="0" w:firstLine="640" w:firstLineChars="200"/>
        <w:jc w:val="both"/>
        <w:textAlignment w:val="auto"/>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各单位要合理安排专项检查时间，将专项行动与日常检查有机结合。检查中，要对照印发制定《专项行动检查事项清单》开展检查。在专项行动期间，各县区、广元经开区林业主管部门每月检查行业企业数不少于2家或全覆盖；市局联系县区领导和责任科室要统筹防灭火及安全生产检查工作，每月检查行业企业数不少于1家；各直属单位抓好属地的安全检查，并将有关情况报市林业局防火科（局安办）。</w:t>
      </w:r>
    </w:p>
    <w:p>
      <w:pPr>
        <w:spacing w:line="576" w:lineRule="exact"/>
        <w:ind w:firstLine="640" w:firstLineChars="200"/>
        <w:rPr>
          <w:rFonts w:hint="eastAsia" w:ascii="方正楷体_GBK" w:eastAsia="方正楷体_GBK" w:cs="楷体_GB2312"/>
          <w:spacing w:val="0"/>
          <w:kern w:val="0"/>
          <w:sz w:val="32"/>
          <w:szCs w:val="32"/>
          <w:shd w:val="clear" w:color="auto" w:fill="FFFFFF"/>
          <w:lang w:val="en-US" w:eastAsia="zh-CN" w:bidi="ar-SA"/>
        </w:rPr>
      </w:pPr>
      <w:r>
        <w:rPr>
          <w:rFonts w:hint="eastAsia" w:ascii="方正楷体_GBK" w:eastAsia="方正楷体_GBK" w:cs="楷体_GB2312"/>
          <w:spacing w:val="0"/>
          <w:kern w:val="0"/>
          <w:sz w:val="32"/>
          <w:szCs w:val="32"/>
          <w:shd w:val="clear" w:color="auto" w:fill="FFFFFF"/>
          <w:lang w:val="en-US" w:eastAsia="zh-CN" w:bidi="ar-SA"/>
        </w:rPr>
        <w:t>（三）第三阶段：总结巩固提高（2024年10月）。</w:t>
      </w:r>
    </w:p>
    <w:p>
      <w:pPr>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各单位要紧盯行业领域关键部位和重点环节，认真开展回头看、回头查活动。同时要全面认真总结专项行动经验和做法，不断优化检查方式，提高检查水平，提升检查效能，进一步巩固专项行动成果。</w:t>
      </w:r>
    </w:p>
    <w:p>
      <w:pPr>
        <w:spacing w:line="576" w:lineRule="exact"/>
        <w:ind w:firstLine="640" w:firstLineChars="200"/>
        <w:rPr>
          <w:rFonts w:hint="eastAsia" w:ascii="方正黑体_GBK" w:eastAsia="方正黑体_GBK" w:cs="黑体"/>
          <w:color w:val="000000"/>
          <w:spacing w:val="0"/>
          <w:kern w:val="2"/>
          <w:sz w:val="32"/>
          <w:szCs w:val="32"/>
          <w:lang w:val="en-US" w:eastAsia="zh-CN" w:bidi="ar-SA"/>
        </w:rPr>
      </w:pPr>
      <w:r>
        <w:rPr>
          <w:rFonts w:hint="eastAsia" w:ascii="方正黑体_GBK" w:eastAsia="方正黑体_GBK" w:cs="黑体"/>
          <w:color w:val="000000"/>
          <w:spacing w:val="0"/>
          <w:kern w:val="2"/>
          <w:sz w:val="32"/>
          <w:szCs w:val="32"/>
          <w:lang w:val="en-US" w:eastAsia="zh-CN" w:bidi="ar-SA"/>
        </w:rPr>
        <w:t>四、工作要求</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eastAsia" w:ascii="方正仿宋_GBK" w:eastAsia="方正仿宋_GBK" w:cs="Times New Roman"/>
          <w:spacing w:val="0"/>
          <w:kern w:val="0"/>
          <w:sz w:val="32"/>
          <w:szCs w:val="32"/>
          <w:lang w:val="en-US" w:eastAsia="zh-CN" w:bidi="ar-SA"/>
        </w:rPr>
      </w:pPr>
      <w:r>
        <w:rPr>
          <w:rFonts w:hint="eastAsia" w:ascii="方正楷体_GBK" w:eastAsia="方正楷体_GBK" w:cs="楷体_GB2312"/>
          <w:spacing w:val="0"/>
          <w:kern w:val="0"/>
          <w:sz w:val="32"/>
          <w:szCs w:val="32"/>
          <w:shd w:val="clear" w:color="auto" w:fill="FFFFFF"/>
          <w:lang w:val="en-US" w:eastAsia="zh-CN" w:bidi="ar-SA"/>
        </w:rPr>
        <w:t>（一）加强组织领导，落实工作责任。</w:t>
      </w:r>
      <w:r>
        <w:rPr>
          <w:rFonts w:hint="eastAsia" w:ascii="方正仿宋_GBK" w:eastAsia="方正仿宋_GBK" w:cs="Times New Roman"/>
          <w:spacing w:val="0"/>
          <w:kern w:val="0"/>
          <w:sz w:val="32"/>
          <w:szCs w:val="32"/>
          <w:lang w:val="en-US" w:eastAsia="zh-CN" w:bidi="ar-SA"/>
        </w:rPr>
        <w:t>各单位要切实加强组织领导，坚决扛起“三管三必须”的责任，做到周密安排有方案，责任分工有明晰，整改落实有制度，切实把专项行动抓细抓实，抓出成效。</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rPr>
          <w:rFonts w:hint="eastAsia" w:ascii="方正仿宋_GBK" w:eastAsia="方正仿宋_GBK" w:cs="Times New Roman"/>
          <w:spacing w:val="0"/>
          <w:kern w:val="0"/>
          <w:sz w:val="32"/>
          <w:szCs w:val="32"/>
          <w:lang w:val="en-US" w:eastAsia="zh-CN" w:bidi="ar-SA"/>
        </w:rPr>
      </w:pPr>
      <w:r>
        <w:rPr>
          <w:rFonts w:hint="eastAsia" w:ascii="方正楷体_GBK" w:eastAsia="方正楷体_GBK" w:cs="楷体_GB2312"/>
          <w:spacing w:val="0"/>
          <w:kern w:val="0"/>
          <w:sz w:val="32"/>
          <w:szCs w:val="32"/>
          <w:shd w:val="clear" w:color="auto" w:fill="FFFFFF"/>
          <w:lang w:val="en-US" w:eastAsia="zh-CN" w:bidi="ar-SA"/>
        </w:rPr>
        <w:t>（二）严格依法检查，强化检查实效。</w:t>
      </w:r>
      <w:r>
        <w:rPr>
          <w:rFonts w:hint="eastAsia" w:ascii="方正仿宋_GBK" w:eastAsia="方正仿宋_GBK" w:cs="Times New Roman"/>
          <w:spacing w:val="0"/>
          <w:kern w:val="0"/>
          <w:sz w:val="32"/>
          <w:szCs w:val="32"/>
          <w:lang w:val="en-US" w:eastAsia="zh-CN" w:bidi="ar-SA"/>
        </w:rPr>
        <w:t>各单位要将专项行动与安全生产治本攻坚三年行动有效结合，加强同其他执法部门协作，建立健全信息共享和大数据监管执法机制。依法实行“一案双查”或“一案多查”（既查企业违法违规行为又查人员责任不落实），严格落实停产整顿、行刑衔接、举报奖励等有效措施，严厉查处打击各类违法犯罪行为，全力维护林业行业安全形势平稳。</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69"/>
        <w:textAlignment w:val="auto"/>
        <w:rPr>
          <w:rFonts w:hint="eastAsia" w:ascii="方正仿宋_GBK" w:eastAsia="方正仿宋_GBK" w:cs="Times New Roman"/>
          <w:spacing w:val="0"/>
          <w:kern w:val="0"/>
          <w:sz w:val="32"/>
          <w:szCs w:val="32"/>
          <w:lang w:val="en-US" w:eastAsia="zh-CN" w:bidi="ar-SA"/>
        </w:rPr>
      </w:pPr>
      <w:r>
        <w:rPr>
          <w:rFonts w:hint="eastAsia" w:ascii="方正楷体_GBK" w:eastAsia="方正楷体_GBK" w:cs="楷体_GB2312"/>
          <w:spacing w:val="0"/>
          <w:kern w:val="0"/>
          <w:sz w:val="32"/>
          <w:szCs w:val="32"/>
          <w:shd w:val="clear" w:color="auto" w:fill="FFFFFF"/>
          <w:lang w:val="en-US" w:eastAsia="zh-CN" w:bidi="ar-SA"/>
        </w:rPr>
        <w:t>（三）加强舆论宣传，强化检查震慑。</w:t>
      </w:r>
      <w:r>
        <w:rPr>
          <w:rFonts w:hint="eastAsia" w:ascii="方正仿宋_GBK" w:eastAsia="方正仿宋_GBK" w:cs="Times New Roman"/>
          <w:spacing w:val="0"/>
          <w:kern w:val="0"/>
          <w:sz w:val="32"/>
          <w:szCs w:val="32"/>
          <w:lang w:val="en-US" w:eastAsia="zh-CN" w:bidi="ar-SA"/>
        </w:rPr>
        <w:t>各单位要强化监督检查结果运用，研判行业领域存在短板和薄弱环节，适时进行问题通报。要加大专项行动的宣传报道力度，曝光非法违法行为、重大事故隐患、典型案例，切实起到“查处一家、警示一批、教育一片”的威慑效应。</w:t>
      </w:r>
    </w:p>
    <w:p>
      <w:pPr>
        <w:spacing w:line="576" w:lineRule="exact"/>
        <w:ind w:firstLine="640" w:firstLineChars="200"/>
        <w:rPr>
          <w:rFonts w:hint="eastAsia" w:ascii="方正仿宋_GBK" w:eastAsia="方正仿宋_GBK" w:cs="Times New Roman"/>
          <w:spacing w:val="0"/>
          <w:kern w:val="0"/>
          <w:sz w:val="32"/>
          <w:szCs w:val="32"/>
          <w:lang w:val="en-US" w:eastAsia="zh-CN" w:bidi="ar-SA"/>
        </w:rPr>
      </w:pPr>
      <w:r>
        <w:rPr>
          <w:rFonts w:hint="eastAsia" w:ascii="方正楷体_GBK" w:eastAsia="方正楷体_GBK" w:cs="楷体_GB2312"/>
          <w:spacing w:val="0"/>
          <w:kern w:val="0"/>
          <w:sz w:val="32"/>
          <w:szCs w:val="32"/>
          <w:shd w:val="clear" w:color="auto" w:fill="FFFFFF"/>
          <w:lang w:val="en-US" w:eastAsia="zh-CN" w:bidi="ar-SA"/>
        </w:rPr>
        <w:t>（四）加强调度，严肃考核问责。</w:t>
      </w:r>
      <w:r>
        <w:rPr>
          <w:rFonts w:hint="eastAsia" w:ascii="方正仿宋_GBK" w:eastAsia="方正仿宋_GBK" w:cs="Times New Roman"/>
          <w:spacing w:val="0"/>
          <w:kern w:val="0"/>
          <w:sz w:val="32"/>
          <w:szCs w:val="32"/>
          <w:lang w:val="en-US" w:eastAsia="zh-CN" w:bidi="ar-SA"/>
        </w:rPr>
        <w:t>专项行动期间，局安办将对各单位推进情况进行督查。各县区林业主管部门、直属单位于4月25日前将专项行动专职联络员（附件2）、“强安2024”专项行动方案报市林业局局安办。从5月开始，每月22日前上报专项行动统计汇总表（附件1），于10月22日前将开展专项行动总结报市林业局（局安办）。专项行动开展情况将纳入年度工作考评，市林业局安办将对开展不力的进行通报约谈。</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textAlignment w:val="auto"/>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相关领域重大事故隐患判定标准、企业全员安全生产履职合法性检查表，将单独发至专项行动各联络员邮箱。</w:t>
      </w:r>
    </w:p>
    <w:p>
      <w:pPr>
        <w:adjustRightInd w:val="0"/>
        <w:snapToGrid w:val="0"/>
        <w:spacing w:after="0" w:line="576" w:lineRule="exact"/>
        <w:ind w:left="0" w:firstLine="640"/>
        <w:rPr>
          <w:rFonts w:hint="eastAsia" w:ascii="方正仿宋_GBK" w:eastAsia="方正仿宋_GBK"/>
          <w:lang w:val="en-US" w:eastAsia="zh-CN"/>
        </w:rPr>
      </w:pPr>
    </w:p>
    <w:p>
      <w:pPr>
        <w:keepNext w:val="0"/>
        <w:keepLines w:val="0"/>
        <w:widowControl w:val="0"/>
        <w:suppressLineNumbers w:val="0"/>
        <w:spacing w:line="576" w:lineRule="exact"/>
        <w:ind w:left="1918" w:leftChars="304" w:hanging="1280" w:hangingChars="400"/>
        <w:jc w:val="left"/>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附件：1.林业行业安全生产“强安2024”监督检查专项行动统计汇总表</w:t>
      </w:r>
    </w:p>
    <w:p>
      <w:pPr>
        <w:keepNext w:val="0"/>
        <w:keepLines w:val="0"/>
        <w:widowControl w:val="0"/>
        <w:suppressLineNumbers w:val="0"/>
        <w:spacing w:line="576" w:lineRule="exact"/>
        <w:ind w:left="1916" w:leftChars="760" w:hanging="320" w:hangingChars="100"/>
        <w:jc w:val="left"/>
        <w:rPr>
          <w:rFonts w:hint="eastAsia" w:ascii="方正仿宋_GBK" w:eastAsia="方正仿宋_GBK" w:cs="Times New Roman"/>
          <w:spacing w:val="0"/>
          <w:kern w:val="0"/>
          <w:sz w:val="32"/>
          <w:szCs w:val="32"/>
          <w:lang w:val="en-US" w:eastAsia="zh-CN" w:bidi="ar-SA"/>
        </w:rPr>
      </w:pPr>
      <w:r>
        <w:rPr>
          <w:rFonts w:hint="eastAsia" w:ascii="方正仿宋_GBK" w:eastAsia="方正仿宋_GBK" w:cs="Times New Roman"/>
          <w:spacing w:val="0"/>
          <w:kern w:val="0"/>
          <w:sz w:val="32"/>
          <w:szCs w:val="32"/>
          <w:lang w:val="en-US" w:eastAsia="zh-CN" w:bidi="ar-SA"/>
        </w:rPr>
        <w:t>2.林业行业安全生产“强安2024”监督检查专项行动专职联络员统计表</w:t>
      </w:r>
    </w:p>
    <w:p>
      <w:pPr>
        <w:spacing w:line="576" w:lineRule="exact"/>
        <w:rPr>
          <w:rFonts w:hint="eastAsia" w:ascii="方正仿宋_GBK" w:eastAsia="方正仿宋_GBK"/>
          <w:lang w:val="en-US" w:eastAsia="zh-CN"/>
        </w:rPr>
        <w:sectPr>
          <w:footerReference r:id="rId3" w:type="default"/>
          <w:footerReference r:id="rId4" w:type="even"/>
          <w:pgSz w:w="11907" w:h="16840"/>
          <w:pgMar w:top="2098" w:right="1474" w:bottom="1985" w:left="1588" w:header="851" w:footer="1503" w:gutter="0"/>
          <w:cols w:space="720" w:num="1"/>
          <w:formProt w:val="1"/>
          <w:titlePg/>
          <w:docGrid w:type="lines" w:linePitch="312" w:charSpace="0"/>
        </w:sectPr>
      </w:pPr>
    </w:p>
    <w:p>
      <w:pPr>
        <w:keepNext w:val="0"/>
        <w:keepLines w:val="0"/>
        <w:widowControl/>
        <w:suppressLineNumbers w:val="0"/>
        <w:jc w:val="left"/>
        <w:rPr>
          <w:rStyle w:val="14"/>
          <w:rFonts w:ascii="Times New Roman" w:hAnsi="Times New Roman" w:eastAsia="黑体" w:cs="Times New Roman"/>
          <w:color w:val="auto"/>
          <w:kern w:val="0"/>
          <w:sz w:val="32"/>
          <w:szCs w:val="32"/>
          <w:lang w:val="en-US" w:eastAsia="zh-CN" w:bidi="ar-SA"/>
        </w:rPr>
      </w:pPr>
      <w:r>
        <w:rPr>
          <w:rStyle w:val="14"/>
          <w:rFonts w:hint="eastAsia" w:ascii="Times New Roman" w:hAnsi="Times New Roman" w:eastAsia="黑体" w:cs="Times New Roman"/>
          <w:color w:val="auto"/>
          <w:kern w:val="0"/>
          <w:sz w:val="32"/>
          <w:szCs w:val="32"/>
          <w:lang w:val="en-US" w:eastAsia="zh-CN" w:bidi="ar-SA"/>
        </w:rPr>
        <w:t>附件1</w:t>
      </w:r>
    </w:p>
    <w:p>
      <w:pPr>
        <w:pStyle w:val="2"/>
        <w:keepNext w:val="0"/>
        <w:keepLines w:val="0"/>
        <w:widowControl w:val="0"/>
        <w:suppressLineNumbers w:val="0"/>
        <w:jc w:val="left"/>
        <w:rPr>
          <w:rStyle w:val="17"/>
          <w:rFonts w:hint="default" w:ascii="Calibri" w:hAnsi="Calibri"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left="0" w:firstLine="0"/>
        <w:jc w:val="center"/>
        <w:textAlignment w:val="auto"/>
        <w:rPr>
          <w:rStyle w:val="15"/>
          <w:rFonts w:hint="default" w:ascii="Times New Roman" w:hAnsi="Times New Roman" w:eastAsia="方正小标宋简体" w:cs="Times New Roman"/>
          <w:color w:val="auto"/>
          <w:sz w:val="44"/>
          <w:szCs w:val="44"/>
          <w:lang w:bidi="ar-SA"/>
        </w:rPr>
      </w:pPr>
      <w:r>
        <w:rPr>
          <w:rStyle w:val="15"/>
          <w:rFonts w:hint="eastAsia" w:ascii="Times New Roman" w:hAnsi="Times New Roman" w:eastAsia="方正小标宋简体" w:cs="Times New Roman"/>
          <w:color w:val="auto"/>
          <w:sz w:val="44"/>
          <w:szCs w:val="44"/>
          <w:lang w:val="en-US" w:eastAsia="zh-CN" w:bidi="ar-SA"/>
        </w:rPr>
        <w:t>林业行业</w:t>
      </w:r>
      <w:r>
        <w:rPr>
          <w:rStyle w:val="15"/>
          <w:rFonts w:hint="default" w:ascii="Times New Roman" w:hAnsi="Times New Roman" w:eastAsia="方正小标宋简体" w:cs="Times New Roman"/>
          <w:color w:val="auto"/>
          <w:sz w:val="44"/>
          <w:szCs w:val="44"/>
          <w:lang w:val="en-US" w:eastAsia="en-US" w:bidi="ar-SA"/>
        </w:rPr>
        <w:t>安全生产</w:t>
      </w:r>
      <w:r>
        <w:rPr>
          <w:rStyle w:val="15"/>
          <w:rFonts w:hint="eastAsia" w:ascii="Times New Roman" w:hAnsi="Times New Roman" w:eastAsia="方正小标宋简体" w:cs="Times New Roman"/>
          <w:color w:val="auto"/>
          <w:sz w:val="44"/>
          <w:szCs w:val="44"/>
          <w:lang w:val="en-US" w:eastAsia="zh-CN" w:bidi="ar-SA"/>
        </w:rPr>
        <w:t>“强安</w:t>
      </w:r>
      <w:r>
        <w:rPr>
          <w:rStyle w:val="15"/>
          <w:rFonts w:hint="default" w:ascii="Times New Roman" w:hAnsi="Times New Roman" w:eastAsia="方正小标宋简体" w:cs="Times New Roman"/>
          <w:color w:val="auto"/>
          <w:sz w:val="44"/>
          <w:szCs w:val="44"/>
          <w:lang w:val="en-US" w:eastAsia="en-US" w:bidi="ar-SA"/>
        </w:rPr>
        <w:t>202</w:t>
      </w:r>
      <w:r>
        <w:rPr>
          <w:rStyle w:val="15"/>
          <w:rFonts w:hint="eastAsia" w:ascii="Times New Roman" w:hAnsi="Times New Roman" w:eastAsia="方正小标宋简体" w:cs="Times New Roman"/>
          <w:color w:val="auto"/>
          <w:sz w:val="44"/>
          <w:szCs w:val="44"/>
          <w:lang w:val="en-US" w:eastAsia="en-US" w:bidi="ar-SA"/>
        </w:rPr>
        <w:t>4</w:t>
      </w:r>
      <w:r>
        <w:rPr>
          <w:rStyle w:val="15"/>
          <w:rFonts w:hint="eastAsia" w:ascii="Times New Roman" w:hAnsi="Times New Roman" w:eastAsia="方正小标宋简体" w:cs="Times New Roman"/>
          <w:color w:val="auto"/>
          <w:sz w:val="44"/>
          <w:szCs w:val="44"/>
          <w:lang w:val="en-US" w:eastAsia="zh-CN" w:bidi="ar-SA"/>
        </w:rPr>
        <w:t>”</w:t>
      </w:r>
      <w:r>
        <w:rPr>
          <w:rStyle w:val="15"/>
          <w:rFonts w:hint="eastAsia" w:eastAsia="方正小标宋简体" w:cs="Times New Roman"/>
          <w:color w:val="auto"/>
          <w:sz w:val="44"/>
          <w:szCs w:val="44"/>
          <w:lang w:val="en-US" w:eastAsia="zh-CN" w:bidi="ar-SA"/>
        </w:rPr>
        <w:t>监督检查</w:t>
      </w:r>
      <w:r>
        <w:rPr>
          <w:rStyle w:val="15"/>
          <w:rFonts w:hint="default" w:ascii="Times New Roman" w:hAnsi="Times New Roman" w:eastAsia="方正小标宋简体" w:cs="Times New Roman"/>
          <w:color w:val="auto"/>
          <w:sz w:val="44"/>
          <w:szCs w:val="44"/>
          <w:lang w:bidi="ar-SA"/>
        </w:rPr>
        <w:t>专项行动统计汇总表</w:t>
      </w:r>
    </w:p>
    <w:p>
      <w:pPr>
        <w:keepNext w:val="0"/>
        <w:keepLines w:val="0"/>
        <w:pageBreakBefore w:val="0"/>
        <w:widowControl w:val="0"/>
        <w:kinsoku/>
        <w:wordWrap/>
        <w:overflowPunct/>
        <w:topLinePunct w:val="0"/>
        <w:autoSpaceDE/>
        <w:autoSpaceDN/>
        <w:bidi w:val="0"/>
        <w:adjustRightInd/>
        <w:snapToGrid/>
        <w:spacing w:line="530" w:lineRule="exact"/>
        <w:ind w:left="0" w:firstLine="0"/>
        <w:jc w:val="center"/>
        <w:textAlignment w:val="auto"/>
        <w:rPr>
          <w:rStyle w:val="15"/>
          <w:rFonts w:hint="default" w:ascii="Times New Roman" w:hAnsi="Times New Roman" w:eastAsia="楷体_GB2312" w:cs="Times New Roman"/>
          <w:color w:val="auto"/>
          <w:sz w:val="32"/>
          <w:szCs w:val="32"/>
          <w:lang w:bidi="ar-SA"/>
        </w:rPr>
      </w:pPr>
      <w:r>
        <w:rPr>
          <w:rStyle w:val="15"/>
          <w:rFonts w:hint="default" w:ascii="Times New Roman" w:hAnsi="Times New Roman" w:eastAsia="楷体_GB2312" w:cs="Times New Roman"/>
          <w:color w:val="auto"/>
          <w:sz w:val="32"/>
          <w:szCs w:val="32"/>
          <w:lang w:bidi="ar-SA"/>
        </w:rPr>
        <w:t>（202</w:t>
      </w:r>
      <w:r>
        <w:rPr>
          <w:rStyle w:val="15"/>
          <w:rFonts w:hint="eastAsia" w:ascii="Times New Roman" w:hAnsi="Times New Roman" w:eastAsia="楷体_GB2312" w:cs="Times New Roman"/>
          <w:color w:val="auto"/>
          <w:sz w:val="32"/>
          <w:szCs w:val="32"/>
          <w:lang w:val="en-US" w:eastAsia="en-US" w:bidi="ar-SA"/>
        </w:rPr>
        <w:t>4</w:t>
      </w:r>
      <w:r>
        <w:rPr>
          <w:rStyle w:val="15"/>
          <w:rFonts w:hint="default" w:ascii="Times New Roman" w:hAnsi="Times New Roman" w:eastAsia="楷体_GB2312" w:cs="Times New Roman"/>
          <w:color w:val="auto"/>
          <w:sz w:val="32"/>
          <w:szCs w:val="32"/>
          <w:lang w:bidi="ar-SA"/>
        </w:rPr>
        <w:t>年</w:t>
      </w:r>
      <w:r>
        <w:rPr>
          <w:rStyle w:val="15"/>
          <w:rFonts w:hint="default" w:ascii="Times New Roman" w:hAnsi="Times New Roman" w:eastAsia="楷体_GB2312" w:cs="Times New Roman"/>
          <w:color w:val="auto"/>
          <w:sz w:val="32"/>
          <w:szCs w:val="32"/>
          <w:lang w:val="en-US" w:eastAsia="en-US" w:bidi="ar-SA"/>
        </w:rPr>
        <w:t>4</w:t>
      </w:r>
      <w:r>
        <w:rPr>
          <w:rStyle w:val="15"/>
          <w:rFonts w:hint="default" w:ascii="Times New Roman" w:hAnsi="Times New Roman" w:eastAsia="楷体_GB2312" w:cs="Times New Roman"/>
          <w:color w:val="auto"/>
          <w:sz w:val="32"/>
          <w:szCs w:val="32"/>
          <w:lang w:bidi="ar-SA"/>
        </w:rPr>
        <w:t>月至   月）</w:t>
      </w:r>
    </w:p>
    <w:p>
      <w:pPr>
        <w:keepNext w:val="0"/>
        <w:keepLines w:val="0"/>
        <w:pageBreakBefore w:val="0"/>
        <w:widowControl w:val="0"/>
        <w:kinsoku/>
        <w:wordWrap/>
        <w:overflowPunct/>
        <w:topLinePunct w:val="0"/>
        <w:autoSpaceDE/>
        <w:autoSpaceDN/>
        <w:bidi w:val="0"/>
        <w:adjustRightInd/>
        <w:snapToGrid/>
        <w:spacing w:line="320" w:lineRule="exact"/>
        <w:ind w:left="0" w:firstLine="0"/>
        <w:textAlignment w:val="auto"/>
        <w:rPr>
          <w:rStyle w:val="15"/>
          <w:rFonts w:hint="default" w:ascii="Times New Roman" w:hAnsi="Times New Roman" w:eastAsia="仿宋" w:cs="Times New Roman"/>
          <w:b/>
          <w:color w:val="auto"/>
          <w:sz w:val="32"/>
          <w:szCs w:val="32"/>
          <w:lang w:bidi="ar-SA"/>
        </w:rPr>
      </w:pPr>
      <w:r>
        <w:rPr>
          <w:rStyle w:val="15"/>
          <w:rFonts w:hint="default" w:ascii="Times New Roman" w:hAnsi="Times New Roman" w:eastAsia="仿宋" w:cs="Times New Roman"/>
          <w:color w:val="auto"/>
          <w:sz w:val="32"/>
          <w:szCs w:val="32"/>
          <w:lang w:bidi="ar-SA"/>
        </w:rPr>
        <w:t>填报单位：</w:t>
      </w:r>
      <w:r>
        <w:rPr>
          <w:rStyle w:val="15"/>
          <w:rFonts w:hint="eastAsia" w:ascii="Times New Roman" w:hAnsi="Times New Roman" w:eastAsia="仿宋" w:cs="Times New Roman"/>
          <w:color w:val="auto"/>
          <w:sz w:val="32"/>
          <w:szCs w:val="32"/>
          <w:lang w:val="en-US" w:eastAsia="zh-CN" w:bidi="ar-SA"/>
        </w:rPr>
        <w:t xml:space="preserve">  </w:t>
      </w:r>
      <w:r>
        <w:rPr>
          <w:rStyle w:val="15"/>
          <w:rFonts w:hint="default" w:ascii="Times New Roman" w:hAnsi="Times New Roman" w:eastAsia="仿宋" w:cs="Times New Roman"/>
          <w:color w:val="auto"/>
          <w:sz w:val="32"/>
          <w:szCs w:val="32"/>
          <w:lang w:bidi="ar-SA"/>
        </w:rPr>
        <w:t xml:space="preserve">                                填报时间：</w:t>
      </w:r>
    </w:p>
    <w:tbl>
      <w:tblPr>
        <w:tblStyle w:val="11"/>
        <w:tblW w:w="14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1"/>
        <w:gridCol w:w="555"/>
        <w:gridCol w:w="405"/>
        <w:gridCol w:w="405"/>
        <w:gridCol w:w="510"/>
        <w:gridCol w:w="540"/>
        <w:gridCol w:w="615"/>
        <w:gridCol w:w="555"/>
        <w:gridCol w:w="450"/>
        <w:gridCol w:w="435"/>
        <w:gridCol w:w="735"/>
        <w:gridCol w:w="1628"/>
        <w:gridCol w:w="517"/>
        <w:gridCol w:w="682"/>
        <w:gridCol w:w="818"/>
        <w:gridCol w:w="420"/>
        <w:gridCol w:w="600"/>
        <w:gridCol w:w="540"/>
        <w:gridCol w:w="480"/>
        <w:gridCol w:w="403"/>
        <w:gridCol w:w="412"/>
        <w:gridCol w:w="638"/>
        <w:gridCol w:w="512"/>
        <w:gridCol w:w="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行业</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eastAsia" w:ascii="Times New Roman" w:hAnsi="Times New Roman" w:eastAsia="黑体" w:cs="Times New Roman"/>
                <w:color w:val="auto"/>
                <w:sz w:val="20"/>
                <w:szCs w:val="20"/>
                <w:lang w:eastAsia="zh-CN" w:bidi="ar-SA"/>
              </w:rPr>
            </w:pPr>
            <w:r>
              <w:rPr>
                <w:rStyle w:val="15"/>
                <w:rFonts w:hint="eastAsia" w:eastAsia="黑体" w:cs="Times New Roman"/>
                <w:color w:val="auto"/>
                <w:sz w:val="20"/>
                <w:szCs w:val="20"/>
                <w:lang w:val="en-US" w:eastAsia="zh-CN" w:bidi="ar-SA"/>
              </w:rPr>
              <w:t>部门</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派出</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检查</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小组</w:t>
            </w:r>
          </w:p>
        </w:tc>
        <w:tc>
          <w:tcPr>
            <w:tcW w:w="4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出动</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执法</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人员</w:t>
            </w:r>
          </w:p>
        </w:tc>
        <w:tc>
          <w:tcPr>
            <w:tcW w:w="4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聘用</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安全</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专家</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检查</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企业</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数量</w:t>
            </w:r>
          </w:p>
        </w:tc>
        <w:tc>
          <w:tcPr>
            <w:tcW w:w="17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发现隐患数量</w:t>
            </w:r>
          </w:p>
        </w:tc>
        <w:tc>
          <w:tcPr>
            <w:tcW w:w="16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已整改隐患数量</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现场紧急处置</w:t>
            </w:r>
          </w:p>
        </w:tc>
        <w:tc>
          <w:tcPr>
            <w:tcW w:w="35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行政处罚</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下达</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执法</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文书</w:t>
            </w:r>
          </w:p>
        </w:tc>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eastAsia" w:eastAsia="黑体" w:cs="Times New Roman"/>
                <w:color w:val="auto"/>
                <w:sz w:val="20"/>
                <w:szCs w:val="20"/>
                <w:lang w:val="en-US" w:eastAsia="en-US" w:bidi="ar-SA"/>
              </w:rPr>
              <w:t>联合惩戒</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p>
        </w:tc>
        <w:tc>
          <w:tcPr>
            <w:tcW w:w="41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val="en-US" w:eastAsia="en-US" w:bidi="ar-SA"/>
              </w:rPr>
            </w:pPr>
            <w:r>
              <w:rPr>
                <w:rStyle w:val="15"/>
                <w:rFonts w:hint="eastAsia" w:eastAsia="黑体" w:cs="Times New Roman"/>
                <w:color w:val="auto"/>
                <w:sz w:val="20"/>
                <w:szCs w:val="20"/>
                <w:lang w:val="en-US" w:eastAsia="en-US" w:bidi="ar-SA"/>
              </w:rPr>
              <w:t>行刑衔接</w:t>
            </w:r>
          </w:p>
        </w:tc>
        <w:tc>
          <w:tcPr>
            <w:tcW w:w="1692"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eastAsia" w:eastAsia="黑体" w:cs="Times New Roman"/>
                <w:color w:val="auto"/>
                <w:sz w:val="20"/>
                <w:szCs w:val="20"/>
                <w:lang w:val="en-US" w:eastAsia="en-US" w:bidi="ar-SA"/>
              </w:rPr>
            </w:pPr>
            <w:r>
              <w:rPr>
                <w:rStyle w:val="15"/>
                <w:rFonts w:hint="eastAsia" w:eastAsia="黑体" w:cs="Times New Roman"/>
                <w:color w:val="auto"/>
                <w:sz w:val="20"/>
                <w:szCs w:val="20"/>
                <w:lang w:val="en-US" w:eastAsia="en-US" w:bidi="ar-SA"/>
              </w:rPr>
              <w:t>企业自查情况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总计</w:t>
            </w:r>
          </w:p>
        </w:tc>
        <w:tc>
          <w:tcPr>
            <w:tcW w:w="61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重大事故</w:t>
            </w: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隐患</w:t>
            </w:r>
          </w:p>
        </w:tc>
        <w:tc>
          <w:tcPr>
            <w:tcW w:w="55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一般事故隐患</w:t>
            </w:r>
          </w:p>
        </w:tc>
        <w:tc>
          <w:tcPr>
            <w:tcW w:w="4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总计</w:t>
            </w:r>
          </w:p>
        </w:tc>
        <w:tc>
          <w:tcPr>
            <w:tcW w:w="43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重大事故隐患</w:t>
            </w:r>
          </w:p>
        </w:tc>
        <w:tc>
          <w:tcPr>
            <w:tcW w:w="73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p>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一般事故隐患</w:t>
            </w:r>
          </w:p>
        </w:tc>
        <w:tc>
          <w:tcPr>
            <w:tcW w:w="162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含暂扣许可证、暂时停产停业、暂时停止建设（使用设备）、停止供电、停止使用民爆物品等处置措施</w:t>
            </w:r>
          </w:p>
        </w:tc>
        <w:tc>
          <w:tcPr>
            <w:tcW w:w="51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立案</w:t>
            </w:r>
          </w:p>
        </w:tc>
        <w:tc>
          <w:tcPr>
            <w:tcW w:w="68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罚款</w:t>
            </w:r>
          </w:p>
        </w:tc>
        <w:tc>
          <w:tcPr>
            <w:tcW w:w="81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val="en-US" w:eastAsia="zh-CN" w:bidi="ar-SA"/>
              </w:rPr>
              <w:t>一案双罚、一案多罚</w:t>
            </w:r>
          </w:p>
        </w:tc>
        <w:tc>
          <w:tcPr>
            <w:tcW w:w="42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提请关闭</w:t>
            </w:r>
          </w:p>
        </w:tc>
        <w:tc>
          <w:tcPr>
            <w:tcW w:w="60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吊销许可证</w:t>
            </w:r>
          </w:p>
        </w:tc>
        <w:tc>
          <w:tcPr>
            <w:tcW w:w="5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责令停产停业</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12" w:type="dxa"/>
            <w:vMerge w:val="continue"/>
            <w:tcBorders>
              <w:left w:val="single" w:color="000000" w:sz="4" w:space="0"/>
              <w:right w:val="single" w:color="000000" w:sz="4" w:space="0"/>
            </w:tcBorders>
            <w:noWrap w:val="0"/>
            <w:vAlign w:val="center"/>
          </w:tcPr>
          <w:p/>
        </w:tc>
        <w:tc>
          <w:tcPr>
            <w:tcW w:w="638"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val="en-US" w:eastAsia="en-US" w:bidi="ar-SA"/>
              </w:rPr>
            </w:pPr>
            <w:r>
              <w:rPr>
                <w:rStyle w:val="15"/>
                <w:rFonts w:hint="eastAsia" w:eastAsia="黑体" w:cs="Times New Roman"/>
                <w:color w:val="auto"/>
                <w:sz w:val="20"/>
                <w:szCs w:val="20"/>
                <w:lang w:val="en-US" w:eastAsia="en-US" w:bidi="ar-SA"/>
              </w:rPr>
              <w:t>上报自查台账企业</w:t>
            </w:r>
          </w:p>
        </w:tc>
        <w:tc>
          <w:tcPr>
            <w:tcW w:w="512"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val="en-US" w:eastAsia="en-US" w:bidi="ar-SA"/>
              </w:rPr>
            </w:pPr>
            <w:r>
              <w:rPr>
                <w:rStyle w:val="15"/>
                <w:rFonts w:hint="eastAsia" w:eastAsia="黑体" w:cs="Times New Roman"/>
                <w:color w:val="auto"/>
                <w:sz w:val="20"/>
                <w:szCs w:val="20"/>
                <w:lang w:val="en-US" w:eastAsia="en-US" w:bidi="ar-SA"/>
              </w:rPr>
              <w:t>自查发现隐患</w:t>
            </w:r>
          </w:p>
        </w:tc>
        <w:tc>
          <w:tcPr>
            <w:tcW w:w="542"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eastAsia="黑体" w:cs="Times New Roman"/>
                <w:color w:val="auto"/>
                <w:sz w:val="20"/>
                <w:szCs w:val="20"/>
                <w:lang w:val="en-US" w:eastAsia="en-US" w:bidi="ar-SA"/>
              </w:rPr>
            </w:pPr>
            <w:r>
              <w:rPr>
                <w:rStyle w:val="15"/>
                <w:rFonts w:hint="eastAsia" w:eastAsia="黑体" w:cs="Times New Roman"/>
                <w:color w:val="auto"/>
                <w:sz w:val="20"/>
                <w:szCs w:val="20"/>
                <w:lang w:val="en-US" w:eastAsia="en-US" w:bidi="ar-SA"/>
              </w:rPr>
              <w:t>重大事故隐患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个</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人次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人次</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家</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项</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项</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项</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项</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万元</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val="en-US" w:eastAsia="en-US" w:bidi="ar-SA"/>
              </w:rPr>
            </w:pPr>
            <w:r>
              <w:rPr>
                <w:rStyle w:val="15"/>
                <w:rFonts w:hint="default" w:ascii="Times New Roman" w:hAnsi="Times New Roman" w:eastAsia="黑体" w:cs="Times New Roman"/>
                <w:color w:val="auto"/>
                <w:sz w:val="20"/>
                <w:szCs w:val="20"/>
                <w:lang w:val="en-US" w:eastAsia="en-US" w:bidi="ar-SA"/>
              </w:rPr>
              <w:t>起</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家</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份</w:t>
            </w: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bidi="ar-SA"/>
              </w:rPr>
            </w:pPr>
            <w:r>
              <w:rPr>
                <w:rStyle w:val="15"/>
                <w:rFonts w:hint="default" w:ascii="Times New Roman" w:hAnsi="Times New Roman" w:eastAsia="黑体" w:cs="Times New Roman"/>
                <w:color w:val="auto"/>
                <w:sz w:val="20"/>
                <w:szCs w:val="20"/>
                <w:lang w:bidi="ar-SA"/>
              </w:rPr>
              <w:t>次</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黑体" w:cs="Times New Roman"/>
                <w:color w:val="auto"/>
                <w:sz w:val="20"/>
                <w:szCs w:val="20"/>
                <w:lang w:val="en-US" w:eastAsia="en-US" w:bidi="ar-SA"/>
              </w:rPr>
            </w:pPr>
            <w:r>
              <w:rPr>
                <w:rStyle w:val="15"/>
                <w:rFonts w:hint="eastAsia" w:eastAsia="黑体" w:cs="Times New Roman"/>
                <w:color w:val="auto"/>
                <w:sz w:val="20"/>
                <w:szCs w:val="20"/>
                <w:lang w:val="en-US" w:eastAsia="en-US" w:bidi="ar-SA"/>
              </w:rPr>
              <w:t>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eastAsia="黑体" w:cs="Times New Roman"/>
                <w:color w:val="auto"/>
                <w:sz w:val="20"/>
                <w:szCs w:val="20"/>
                <w:lang w:val="en-US" w:eastAsia="en-US" w:bidi="ar-SA"/>
              </w:rPr>
            </w:pPr>
            <w:r>
              <w:rPr>
                <w:rStyle w:val="15"/>
                <w:rFonts w:hint="eastAsia" w:eastAsia="黑体" w:cs="Times New Roman"/>
                <w:color w:val="auto"/>
                <w:sz w:val="20"/>
                <w:szCs w:val="20"/>
                <w:lang w:val="en-US" w:eastAsia="en-US" w:bidi="ar-SA"/>
              </w:rPr>
              <w:t>家</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eastAsia="黑体" w:cs="Times New Roman"/>
                <w:color w:val="auto"/>
                <w:sz w:val="20"/>
                <w:szCs w:val="20"/>
                <w:lang w:val="en-US" w:eastAsia="en-US" w:bidi="ar-SA"/>
              </w:rPr>
            </w:pPr>
            <w:r>
              <w:rPr>
                <w:rStyle w:val="15"/>
                <w:rFonts w:hint="eastAsia" w:eastAsia="黑体" w:cs="Times New Roman"/>
                <w:color w:val="auto"/>
                <w:sz w:val="20"/>
                <w:szCs w:val="20"/>
                <w:lang w:val="en-US" w:eastAsia="en-US" w:bidi="ar-SA"/>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eastAsia="黑体" w:cs="Times New Roman"/>
                <w:color w:val="auto"/>
                <w:sz w:val="20"/>
                <w:szCs w:val="20"/>
                <w:lang w:val="en-US" w:eastAsia="en-US" w:bidi="ar-SA"/>
              </w:rPr>
            </w:pPr>
            <w:r>
              <w:rPr>
                <w:rStyle w:val="15"/>
                <w:rFonts w:hint="eastAsia" w:eastAsia="黑体" w:cs="Times New Roman"/>
                <w:color w:val="auto"/>
                <w:sz w:val="20"/>
                <w:szCs w:val="20"/>
                <w:lang w:val="en-US" w:eastAsia="en-US"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0"/>
                <w:szCs w:val="20"/>
                <w:lang w:val="en" w:eastAsia="zh-CN" w:bidi="ar-SA"/>
              </w:rPr>
            </w:pPr>
            <w:r>
              <w:rPr>
                <w:rStyle w:val="15"/>
                <w:rFonts w:hint="eastAsia" w:cs="Times New Roman"/>
                <w:color w:val="auto"/>
                <w:sz w:val="20"/>
                <w:szCs w:val="20"/>
                <w:lang w:val="en-US" w:eastAsia="zh-CN" w:bidi="ar-SA"/>
              </w:rPr>
              <w:t>林业</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4"/>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eastAsia" w:ascii="Times New Roman" w:hAnsi="Times New Roman" w:eastAsia="仿宋" w:cs="Times New Roman"/>
                <w:color w:val="auto"/>
                <w:sz w:val="20"/>
                <w:szCs w:val="20"/>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4"/>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eastAsia" w:ascii="Times New Roman" w:hAnsi="Times New Roman" w:eastAsia="仿宋" w:cs="Times New Roman"/>
                <w:color w:val="auto"/>
                <w:sz w:val="20"/>
                <w:szCs w:val="20"/>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4"/>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eastAsia" w:ascii="Times New Roman" w:hAnsi="Times New Roman" w:eastAsia="仿宋" w:cs="Times New Roman"/>
                <w:color w:val="auto"/>
                <w:sz w:val="20"/>
                <w:szCs w:val="20"/>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4"/>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0"/>
                <w:szCs w:val="20"/>
                <w:lang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4"/>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eastAsia" w:ascii="Times New Roman" w:hAnsi="Times New Roman" w:eastAsia="仿宋" w:cs="Times New Roman"/>
                <w:color w:val="auto"/>
                <w:sz w:val="20"/>
                <w:szCs w:val="20"/>
                <w:lang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4"/>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0"/>
                <w:szCs w:val="20"/>
                <w:lang w:bidi="ar-SA"/>
              </w:rPr>
            </w:pPr>
            <w:r>
              <w:rPr>
                <w:rStyle w:val="15"/>
                <w:rFonts w:hint="default" w:ascii="Times New Roman" w:hAnsi="Times New Roman" w:eastAsia="仿宋" w:cs="Times New Roman"/>
                <w:color w:val="auto"/>
                <w:sz w:val="20"/>
                <w:szCs w:val="20"/>
                <w:lang w:bidi="ar-SA"/>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4"/>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0"/>
                <w:szCs w:val="20"/>
                <w:lang w:bidi="ar-SA"/>
              </w:rPr>
            </w:pPr>
            <w:r>
              <w:rPr>
                <w:rStyle w:val="15"/>
                <w:rFonts w:hint="default" w:ascii="Times New Roman" w:hAnsi="Times New Roman" w:eastAsia="仿宋" w:cs="Times New Roman"/>
                <w:color w:val="auto"/>
                <w:sz w:val="20"/>
                <w:szCs w:val="20"/>
                <w:lang w:bidi="ar-SA"/>
              </w:rPr>
              <w:t>合  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24"/>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Style w:val="15"/>
                <w:rFonts w:hint="default" w:ascii="Times New Roman" w:hAnsi="Times New Roman" w:eastAsia="仿宋" w:cs="Times New Roman"/>
                <w:color w:val="auto"/>
                <w:sz w:val="30"/>
                <w:szCs w:val="30"/>
                <w:lang w:bidi="ar-SA"/>
              </w:rPr>
            </w:pPr>
          </w:p>
        </w:tc>
      </w:tr>
    </w:tbl>
    <w:p>
      <w:pPr>
        <w:keepNext w:val="0"/>
        <w:keepLines w:val="0"/>
        <w:pageBreakBefore w:val="0"/>
        <w:widowControl w:val="0"/>
        <w:kinsoku/>
        <w:wordWrap/>
        <w:overflowPunct/>
        <w:topLinePunct w:val="0"/>
        <w:autoSpaceDE/>
        <w:autoSpaceDN/>
        <w:bidi w:val="0"/>
        <w:adjustRightInd/>
        <w:snapToGrid/>
        <w:spacing w:line="240" w:lineRule="exact"/>
        <w:ind w:left="0" w:firstLine="0"/>
        <w:textAlignment w:val="auto"/>
        <w:rPr>
          <w:rStyle w:val="15"/>
          <w:rFonts w:hint="default" w:ascii="Times New Roman" w:hAnsi="Times New Roman" w:eastAsia="仿宋" w:cs="Times New Roman"/>
          <w:color w:val="auto"/>
          <w:sz w:val="22"/>
          <w:szCs w:val="22"/>
          <w:lang w:bidi="ar-SA"/>
        </w:rPr>
      </w:pPr>
      <w:r>
        <w:rPr>
          <w:rStyle w:val="15"/>
          <w:rFonts w:hint="default" w:ascii="Times New Roman" w:hAnsi="Times New Roman" w:eastAsia="仿宋" w:cs="Times New Roman"/>
          <w:color w:val="auto"/>
          <w:sz w:val="22"/>
          <w:szCs w:val="22"/>
          <w:lang w:bidi="ar-SA"/>
        </w:rPr>
        <w:t>负责人：                         填报人：                    联系电话：</w:t>
      </w:r>
    </w:p>
    <w:p>
      <w:pPr>
        <w:pStyle w:val="16"/>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Style w:val="14"/>
          <w:rFonts w:eastAsia="黑体" w:cs="Times New Roman"/>
          <w:color w:val="auto"/>
          <w:kern w:val="0"/>
          <w:sz w:val="32"/>
          <w:szCs w:val="32"/>
          <w:lang w:val="en-US" w:eastAsia="zh-CN" w:bidi="ar-SA"/>
        </w:rPr>
      </w:pPr>
      <w:r>
        <w:rPr>
          <w:rFonts w:hint="default" w:ascii="Times New Roman" w:hAnsi="Times New Roman" w:cs="Times New Roman"/>
          <w:color w:val="auto"/>
          <w:lang w:bidi="ar-SA"/>
        </w:rPr>
        <w:br w:type="page"/>
      </w:r>
      <w:r>
        <w:rPr>
          <w:rStyle w:val="14"/>
          <w:rFonts w:hint="default" w:ascii="Times New Roman" w:hAnsi="Times New Roman" w:eastAsia="黑体" w:cs="Times New Roman"/>
          <w:color w:val="auto"/>
          <w:kern w:val="0"/>
          <w:sz w:val="32"/>
          <w:szCs w:val="32"/>
          <w:lang w:bidi="ar-SA"/>
        </w:rPr>
        <w:t>附件</w:t>
      </w:r>
      <w:r>
        <w:rPr>
          <w:rStyle w:val="14"/>
          <w:rFonts w:hint="eastAsia" w:eastAsia="黑体" w:cs="Times New Roman"/>
          <w:color w:val="auto"/>
          <w:kern w:val="0"/>
          <w:sz w:val="32"/>
          <w:szCs w:val="32"/>
          <w:lang w:val="en-US" w:eastAsia="zh-CN" w:bidi="ar-SA"/>
        </w:rPr>
        <w:t>2</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firstLine="0" w:firstLineChars="0"/>
        <w:textAlignment w:val="auto"/>
        <w:rPr>
          <w:rFonts w:hint="default" w:ascii="Calibri" w:hAnsi="Calibri" w:cs="Times New Roman"/>
          <w:color w:val="auto"/>
          <w:lang w:bidi="ar-SA"/>
        </w:rPr>
      </w:pPr>
    </w:p>
    <w:p>
      <w:pPr>
        <w:keepNext w:val="0"/>
        <w:keepLines w:val="0"/>
        <w:pageBreakBefore w:val="0"/>
        <w:widowControl w:val="0"/>
        <w:kinsoku/>
        <w:wordWrap/>
        <w:overflowPunct/>
        <w:topLinePunct w:val="0"/>
        <w:autoSpaceDE/>
        <w:autoSpaceDN/>
        <w:bidi w:val="0"/>
        <w:adjustRightInd/>
        <w:snapToGrid/>
        <w:spacing w:line="530" w:lineRule="exact"/>
        <w:ind w:left="0" w:firstLine="0"/>
        <w:jc w:val="center"/>
        <w:textAlignment w:val="auto"/>
        <w:rPr>
          <w:rStyle w:val="15"/>
          <w:rFonts w:hint="eastAsia" w:ascii="Times New Roman" w:hAnsi="Times New Roman" w:eastAsia="方正小标宋简体" w:cs="Times New Roman"/>
          <w:color w:val="auto"/>
          <w:sz w:val="44"/>
          <w:szCs w:val="44"/>
          <w:lang w:val="en-US" w:eastAsia="zh-CN" w:bidi="ar-SA"/>
        </w:rPr>
      </w:pPr>
      <w:r>
        <w:rPr>
          <w:rStyle w:val="15"/>
          <w:rFonts w:hint="eastAsia" w:ascii="Times New Roman" w:hAnsi="Times New Roman" w:eastAsia="方正小标宋简体" w:cs="Times New Roman"/>
          <w:color w:val="auto"/>
          <w:w w:val="90"/>
          <w:sz w:val="44"/>
          <w:szCs w:val="44"/>
          <w:lang w:val="en-US" w:eastAsia="zh-CN" w:bidi="ar-SA"/>
        </w:rPr>
        <w:t>林业行业安全生产“强安2024”监督检查专项行动专职联络员统计表</w:t>
      </w:r>
    </w:p>
    <w:p>
      <w:pPr>
        <w:keepNext w:val="0"/>
        <w:keepLines w:val="0"/>
        <w:pageBreakBefore w:val="0"/>
        <w:widowControl w:val="0"/>
        <w:kinsoku/>
        <w:wordWrap/>
        <w:overflowPunct/>
        <w:topLinePunct w:val="0"/>
        <w:autoSpaceDE/>
        <w:autoSpaceDN/>
        <w:bidi w:val="0"/>
        <w:adjustRightInd/>
        <w:spacing w:line="576" w:lineRule="exact"/>
        <w:ind w:left="0" w:firstLine="0"/>
        <w:textAlignment w:val="auto"/>
        <w:rPr>
          <w:rStyle w:val="15"/>
          <w:rFonts w:hint="default" w:ascii="Times New Roman" w:hAnsi="Times New Roman" w:eastAsia="仿宋" w:cs="Times New Roman"/>
          <w:color w:val="auto"/>
          <w:sz w:val="32"/>
          <w:szCs w:val="32"/>
          <w:lang w:bidi="ar-SA"/>
        </w:rPr>
      </w:pPr>
      <w:r>
        <w:rPr>
          <w:rStyle w:val="15"/>
          <w:rFonts w:hint="default" w:ascii="Times New Roman" w:hAnsi="Times New Roman" w:eastAsia="仿宋" w:cs="Times New Roman"/>
          <w:color w:val="auto"/>
          <w:sz w:val="32"/>
          <w:szCs w:val="32"/>
          <w:lang w:bidi="ar-SA"/>
        </w:rPr>
        <w:t>填表单位：</w:t>
      </w:r>
      <w:r>
        <w:rPr>
          <w:rStyle w:val="15"/>
          <w:rFonts w:hint="eastAsia" w:ascii="Times New Roman" w:hAnsi="Times New Roman" w:eastAsia="仿宋" w:cs="Times New Roman"/>
          <w:color w:val="auto"/>
          <w:sz w:val="32"/>
          <w:szCs w:val="32"/>
          <w:lang w:val="en-US" w:eastAsia="zh-CN" w:bidi="ar-SA"/>
        </w:rPr>
        <w:t xml:space="preserve">                    </w:t>
      </w:r>
      <w:r>
        <w:rPr>
          <w:rStyle w:val="15"/>
          <w:rFonts w:hint="default" w:ascii="Times New Roman" w:hAnsi="Times New Roman" w:eastAsia="仿宋" w:cs="Times New Roman"/>
          <w:color w:val="auto"/>
          <w:sz w:val="32"/>
          <w:szCs w:val="32"/>
          <w:lang w:bidi="ar-SA"/>
        </w:rPr>
        <w:t xml:space="preserve">                        填表时间：</w:t>
      </w:r>
    </w:p>
    <w:tbl>
      <w:tblPr>
        <w:tblStyle w:val="11"/>
        <w:tblW w:w="14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5"/>
        <w:gridCol w:w="2066"/>
        <w:gridCol w:w="1192"/>
        <w:gridCol w:w="4359"/>
        <w:gridCol w:w="2124"/>
        <w:gridCol w:w="1763"/>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黑体" w:cs="Times New Roman"/>
                <w:color w:val="auto"/>
                <w:sz w:val="30"/>
                <w:szCs w:val="30"/>
                <w:lang w:bidi="ar-SA"/>
              </w:rPr>
            </w:pPr>
            <w:r>
              <w:rPr>
                <w:rStyle w:val="15"/>
                <w:rFonts w:hint="default" w:ascii="Times New Roman" w:hAnsi="Times New Roman" w:eastAsia="黑体" w:cs="Times New Roman"/>
                <w:color w:val="auto"/>
                <w:sz w:val="30"/>
                <w:szCs w:val="30"/>
                <w:lang w:bidi="ar-SA"/>
              </w:rPr>
              <w:t>序号</w:t>
            </w:r>
          </w:p>
        </w:tc>
        <w:tc>
          <w:tcPr>
            <w:tcW w:w="20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黑体" w:cs="Times New Roman"/>
                <w:color w:val="auto"/>
                <w:sz w:val="30"/>
                <w:szCs w:val="30"/>
                <w:lang w:bidi="ar-SA"/>
              </w:rPr>
            </w:pPr>
            <w:r>
              <w:rPr>
                <w:rStyle w:val="15"/>
                <w:rFonts w:hint="default" w:ascii="Times New Roman" w:hAnsi="Times New Roman" w:eastAsia="黑体" w:cs="Times New Roman"/>
                <w:color w:val="auto"/>
                <w:sz w:val="30"/>
                <w:szCs w:val="30"/>
                <w:lang w:bidi="ar-SA"/>
              </w:rPr>
              <w:t>姓名</w:t>
            </w:r>
          </w:p>
        </w:tc>
        <w:tc>
          <w:tcPr>
            <w:tcW w:w="11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黑体" w:cs="Times New Roman"/>
                <w:color w:val="auto"/>
                <w:sz w:val="30"/>
                <w:szCs w:val="30"/>
                <w:lang w:bidi="ar-SA"/>
              </w:rPr>
            </w:pPr>
            <w:r>
              <w:rPr>
                <w:rStyle w:val="15"/>
                <w:rFonts w:hint="default" w:ascii="Times New Roman" w:hAnsi="Times New Roman" w:eastAsia="黑体" w:cs="Times New Roman"/>
                <w:color w:val="auto"/>
                <w:sz w:val="30"/>
                <w:szCs w:val="30"/>
                <w:lang w:bidi="ar-SA"/>
              </w:rPr>
              <w:t>性别</w:t>
            </w:r>
          </w:p>
        </w:tc>
        <w:tc>
          <w:tcPr>
            <w:tcW w:w="435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黑体" w:cs="Times New Roman"/>
                <w:color w:val="auto"/>
                <w:sz w:val="30"/>
                <w:szCs w:val="30"/>
                <w:lang w:bidi="ar-SA"/>
              </w:rPr>
            </w:pPr>
            <w:r>
              <w:rPr>
                <w:rStyle w:val="15"/>
                <w:rFonts w:hint="default" w:ascii="Times New Roman" w:hAnsi="Times New Roman" w:eastAsia="黑体" w:cs="Times New Roman"/>
                <w:color w:val="auto"/>
                <w:sz w:val="30"/>
                <w:szCs w:val="30"/>
                <w:lang w:bidi="ar-SA"/>
              </w:rPr>
              <w:t>工作单位及职务</w:t>
            </w:r>
          </w:p>
        </w:tc>
        <w:tc>
          <w:tcPr>
            <w:tcW w:w="21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黑体" w:cs="Times New Roman"/>
                <w:color w:val="auto"/>
                <w:sz w:val="30"/>
                <w:szCs w:val="30"/>
                <w:lang w:bidi="ar-SA"/>
              </w:rPr>
            </w:pPr>
            <w:r>
              <w:rPr>
                <w:rStyle w:val="15"/>
                <w:rFonts w:hint="default" w:ascii="Times New Roman" w:hAnsi="Times New Roman" w:eastAsia="黑体" w:cs="Times New Roman"/>
                <w:color w:val="auto"/>
                <w:sz w:val="30"/>
                <w:szCs w:val="30"/>
                <w:lang w:bidi="ar-SA"/>
              </w:rPr>
              <w:t>手机号码</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eastAsia" w:ascii="Times New Roman" w:hAnsi="Times New Roman" w:eastAsia="黑体" w:cs="Times New Roman"/>
                <w:color w:val="auto"/>
                <w:sz w:val="30"/>
                <w:szCs w:val="30"/>
                <w:lang w:eastAsia="zh-CN" w:bidi="ar-SA"/>
              </w:rPr>
            </w:pPr>
            <w:r>
              <w:rPr>
                <w:rStyle w:val="15"/>
                <w:rFonts w:hint="eastAsia" w:ascii="Times New Roman" w:hAnsi="Times New Roman" w:eastAsia="黑体" w:cs="Times New Roman"/>
                <w:color w:val="auto"/>
                <w:sz w:val="30"/>
                <w:szCs w:val="30"/>
                <w:lang w:eastAsia="zh-CN" w:bidi="ar-SA"/>
              </w:rPr>
              <w:t>邮箱</w:t>
            </w:r>
          </w:p>
        </w:tc>
        <w:tc>
          <w:tcPr>
            <w:tcW w:w="21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黑体" w:cs="Times New Roman"/>
                <w:color w:val="auto"/>
                <w:sz w:val="30"/>
                <w:szCs w:val="30"/>
                <w:lang w:bidi="ar-SA"/>
              </w:rPr>
            </w:pPr>
            <w:r>
              <w:rPr>
                <w:rStyle w:val="15"/>
                <w:rFonts w:hint="default" w:ascii="Times New Roman" w:hAnsi="Times New Roman" w:eastAsia="黑体" w:cs="Times New Roman"/>
                <w:color w:val="auto"/>
                <w:sz w:val="30"/>
                <w:szCs w:val="30"/>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r>
              <w:rPr>
                <w:rStyle w:val="15"/>
                <w:rFonts w:hint="default" w:ascii="Times New Roman" w:hAnsi="Times New Roman" w:eastAsia="仿宋" w:cs="Times New Roman"/>
                <w:color w:val="auto"/>
                <w:sz w:val="30"/>
                <w:szCs w:val="30"/>
                <w:lang w:bidi="ar-SA"/>
              </w:rPr>
              <w:t>1</w:t>
            </w:r>
          </w:p>
        </w:tc>
        <w:tc>
          <w:tcPr>
            <w:tcW w:w="20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1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r>
              <w:rPr>
                <w:rStyle w:val="15"/>
                <w:rFonts w:hint="default" w:ascii="Times New Roman" w:hAnsi="Times New Roman" w:eastAsia="仿宋" w:cs="Times New Roman"/>
                <w:color w:val="auto"/>
                <w:sz w:val="30"/>
                <w:szCs w:val="30"/>
                <w:lang w:bidi="ar-SA"/>
              </w:rPr>
              <w:t>2</w:t>
            </w:r>
          </w:p>
        </w:tc>
        <w:tc>
          <w:tcPr>
            <w:tcW w:w="20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1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r>
              <w:rPr>
                <w:rStyle w:val="15"/>
                <w:rFonts w:hint="default" w:ascii="Times New Roman" w:hAnsi="Times New Roman" w:eastAsia="仿宋" w:cs="Times New Roman"/>
                <w:color w:val="auto"/>
                <w:sz w:val="30"/>
                <w:szCs w:val="30"/>
                <w:lang w:bidi="ar-SA"/>
              </w:rPr>
              <w:t>3</w:t>
            </w:r>
          </w:p>
        </w:tc>
        <w:tc>
          <w:tcPr>
            <w:tcW w:w="20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1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val="en-US" w:eastAsia="en-US" w:bidi="ar-SA"/>
              </w:rPr>
            </w:pPr>
          </w:p>
        </w:tc>
        <w:tc>
          <w:tcPr>
            <w:tcW w:w="20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1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0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1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0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1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0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1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435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c>
          <w:tcPr>
            <w:tcW w:w="21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Style w:val="15"/>
                <w:rFonts w:hint="default" w:ascii="Times New Roman" w:hAnsi="Times New Roman" w:eastAsia="仿宋" w:cs="Times New Roman"/>
                <w:color w:val="auto"/>
                <w:sz w:val="30"/>
                <w:szCs w:val="30"/>
                <w:lang w:bidi="ar-SA"/>
              </w:rPr>
            </w:pPr>
          </w:p>
        </w:tc>
      </w:tr>
    </w:tbl>
    <w:p>
      <w:pPr>
        <w:bidi w:val="0"/>
        <w:ind w:left="0" w:firstLine="0"/>
      </w:pPr>
      <w:r>
        <w:rPr>
          <w:rStyle w:val="15"/>
          <w:rFonts w:hint="default" w:ascii="Times New Roman" w:hAnsi="Times New Roman" w:eastAsia="仿宋" w:cs="Times New Roman"/>
          <w:color w:val="auto"/>
          <w:sz w:val="32"/>
          <w:szCs w:val="32"/>
          <w:lang w:bidi="ar-SA"/>
        </w:rPr>
        <w:t>审核人：                    填表人：               联系电话：</w:t>
      </w:r>
    </w:p>
    <w:p/>
    <w:sectPr>
      <w:pgSz w:w="16838" w:h="11906" w:orient="landscape"/>
      <w:pgMar w:top="1587" w:right="2098" w:bottom="1474" w:left="1984"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uxi Sans">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宋体S-超大字符集">
    <w:altName w:val="宋体"/>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3"/>
        <w:rFonts w:hint="eastAsia" w:ascii="方正宋体S-超大字符集" w:eastAsia="方正宋体S-超大字符集"/>
        <w:sz w:val="28"/>
        <w:szCs w:val="28"/>
      </w:rPr>
      <w:t xml:space="preserve">— </w:t>
    </w:r>
    <w:r>
      <w:rPr>
        <w:rStyle w:val="13"/>
        <w:rFonts w:hint="eastAsia" w:ascii="方正宋体S-超大字符集" w:eastAsia="方正宋体S-超大字符集"/>
        <w:sz w:val="28"/>
        <w:szCs w:val="28"/>
      </w:rPr>
      <w:fldChar w:fldCharType="begin"/>
    </w:r>
    <w:r>
      <w:rPr>
        <w:rStyle w:val="13"/>
        <w:rFonts w:hint="eastAsia" w:ascii="方正宋体S-超大字符集" w:eastAsia="方正宋体S-超大字符集"/>
        <w:sz w:val="28"/>
        <w:szCs w:val="28"/>
      </w:rPr>
      <w:instrText xml:space="preserve">Page</w:instrText>
    </w:r>
    <w:r>
      <w:rPr>
        <w:rStyle w:val="13"/>
        <w:rFonts w:hint="eastAsia" w:ascii="方正宋体S-超大字符集" w:eastAsia="方正宋体S-超大字符集"/>
        <w:sz w:val="28"/>
        <w:szCs w:val="28"/>
      </w:rPr>
      <w:fldChar w:fldCharType="separate"/>
    </w:r>
    <w:r>
      <w:rPr>
        <w:rStyle w:val="13"/>
        <w:rFonts w:hint="eastAsia" w:ascii="方正宋体S-超大字符集" w:eastAsia="方正宋体S-超大字符集"/>
        <w:sz w:val="28"/>
        <w:szCs w:val="28"/>
      </w:rPr>
      <w:t>1</w:t>
    </w:r>
    <w:r>
      <w:rPr>
        <w:rStyle w:val="13"/>
        <w:rFonts w:hint="eastAsia" w:ascii="方正宋体S-超大字符集" w:eastAsia="方正宋体S-超大字符集"/>
        <w:sz w:val="28"/>
        <w:szCs w:val="28"/>
      </w:rPr>
      <w:fldChar w:fldCharType="end"/>
    </w:r>
    <w:r>
      <w:rPr>
        <w:rStyle w:val="13"/>
        <w:rFonts w:hint="eastAsia" w:ascii="方正宋体S-超大字符集" w:eastAsia="方正宋体S-超大字符集"/>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OGI3MjEyNGM2MDc4M2RhZTg4ODExYTRmMjNmNTQifQ=="/>
  </w:docVars>
  <w:rsids>
    <w:rsidRoot w:val="00F74FE6"/>
    <w:rsid w:val="0B045ED5"/>
    <w:rsid w:val="22DD2480"/>
    <w:rsid w:val="257227B6"/>
    <w:rsid w:val="442B12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rPr>
  </w:style>
  <w:style w:type="paragraph" w:styleId="6">
    <w:name w:val="heading 2"/>
    <w:basedOn w:val="1"/>
    <w:next w:val="1"/>
    <w:autoRedefine/>
    <w:qFormat/>
    <w:uiPriority w:val="0"/>
    <w:pPr>
      <w:keepNext/>
      <w:keepLines/>
      <w:widowControl w:val="0"/>
      <w:spacing w:before="260" w:after="260" w:line="415" w:lineRule="auto"/>
      <w:outlineLvl w:val="1"/>
    </w:pPr>
    <w:rPr>
      <w:rFonts w:ascii="Luxi Sans" w:hAnsi="Luxi Sans" w:eastAsia="黑体"/>
      <w:b/>
      <w:sz w:val="32"/>
    </w:rPr>
  </w:style>
  <w:style w:type="paragraph" w:styleId="7">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200" w:firstLineChars="200"/>
    </w:pPr>
  </w:style>
  <w:style w:type="paragraph" w:styleId="3">
    <w:name w:val="Body Text Indent"/>
    <w:basedOn w:val="1"/>
    <w:next w:val="4"/>
    <w:link w:val="17"/>
    <w:autoRedefine/>
    <w:qFormat/>
    <w:uiPriority w:val="0"/>
    <w:pPr>
      <w:spacing w:after="120"/>
      <w:ind w:left="200" w:leftChars="200"/>
    </w:pPr>
  </w:style>
  <w:style w:type="paragraph" w:styleId="4">
    <w:name w:val="Normal Indent"/>
    <w:basedOn w:val="1"/>
    <w:next w:val="1"/>
    <w:autoRedefine/>
    <w:qFormat/>
    <w:uiPriority w:val="0"/>
    <w:pPr>
      <w:ind w:firstLine="200" w:firstLineChars="200"/>
    </w:pPr>
    <w:rPr>
      <w:rFonts w:ascii="Calibri" w:hAnsi="Calibri" w:eastAsia="仿宋"/>
      <w:sz w:val="32"/>
    </w:rPr>
  </w:style>
  <w:style w:type="paragraph" w:styleId="8">
    <w:name w:val="Body Text"/>
    <w:basedOn w:val="1"/>
    <w:next w:val="1"/>
    <w:autoRedefine/>
    <w:qFormat/>
    <w:uiPriority w:val="0"/>
    <w:pPr>
      <w:widowControl w:val="0"/>
      <w:autoSpaceDE w:val="0"/>
      <w:autoSpaceDN w:val="0"/>
      <w:jc w:val="left"/>
    </w:pPr>
    <w:rPr>
      <w:rFonts w:ascii="方正仿宋简体" w:eastAsia="方正仿宋简体" w:cs="方正仿宋简体"/>
      <w:kern w:val="0"/>
      <w:sz w:val="18"/>
      <w:szCs w:val="18"/>
      <w:lang w:val="en-US" w:eastAsia="en-US" w:bidi="ar-SA"/>
    </w:rPr>
  </w:style>
  <w:style w:type="paragraph" w:styleId="9">
    <w:name w:val="footer"/>
    <w:basedOn w:val="1"/>
    <w:autoRedefine/>
    <w:qFormat/>
    <w:uiPriority w:val="0"/>
    <w:pPr>
      <w:tabs>
        <w:tab w:val="center" w:pos="4153"/>
        <w:tab w:val="right" w:pos="8307"/>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7"/>
      </w:tabs>
      <w:snapToGrid w:val="0"/>
      <w:jc w:val="center"/>
    </w:pPr>
    <w:rPr>
      <w:sz w:val="18"/>
    </w:rPr>
  </w:style>
  <w:style w:type="character" w:styleId="13">
    <w:name w:val="page number"/>
    <w:basedOn w:val="12"/>
    <w:autoRedefine/>
    <w:qFormat/>
    <w:uiPriority w:val="0"/>
  </w:style>
  <w:style w:type="character" w:customStyle="1" w:styleId="14">
    <w:name w:val="UserStyle_5"/>
    <w:autoRedefine/>
    <w:qFormat/>
    <w:uiPriority w:val="0"/>
  </w:style>
  <w:style w:type="character" w:customStyle="1" w:styleId="15">
    <w:name w:val="NormalCharacter"/>
    <w:autoRedefine/>
    <w:qFormat/>
    <w:uiPriority w:val="0"/>
  </w:style>
  <w:style w:type="paragraph" w:customStyle="1" w:styleId="16">
    <w:name w:val="正文-公1"/>
    <w:basedOn w:val="1"/>
    <w:next w:val="1"/>
    <w:autoRedefine/>
    <w:qFormat/>
    <w:uiPriority w:val="0"/>
    <w:pPr>
      <w:ind w:firstLine="200" w:firstLineChars="200"/>
      <w:jc w:val="left"/>
    </w:pPr>
    <w:rPr>
      <w:rFonts w:eastAsia="仿宋_GB2312"/>
    </w:rPr>
  </w:style>
  <w:style w:type="character" w:customStyle="1" w:styleId="17">
    <w:name w:val="正文文本缩进 Char"/>
    <w:basedOn w:val="12"/>
    <w:link w:val="3"/>
    <w:autoRedefine/>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2024-04-18T08:30:00Z</dcterms:created>
  <dc:creator>user</dc:creator>
  <cp:lastModifiedBy>albert</cp:lastModifiedBy>
  <dcterms:modified xsi:type="dcterms:W3CDTF">2024-04-29T08:26:16Z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AAAC3BCDD98742FC93D7F01A315665BD_13</vt:lpwstr>
  </property>
</Properties>
</file>