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宋体" w:hAnsi="宋体"/>
          <w:b/>
          <w:sz w:val="44"/>
          <w:szCs w:val="44"/>
        </w:rPr>
      </w:pPr>
      <w:bookmarkStart w:id="2" w:name="_GoBack"/>
      <w:bookmarkEnd w:id="2"/>
    </w:p>
    <w:p>
      <w:pPr>
        <w:spacing w:line="62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9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1500" w:lineRule="exact"/>
        <w:jc w:val="center"/>
        <w:rPr>
          <w:rFonts w:ascii="方正小标宋_GBK" w:hAnsi="宋体" w:eastAsia="方正小标宋_GBK"/>
          <w:color w:val="FFFFFF"/>
          <w:w w:val="54"/>
          <w:sz w:val="130"/>
          <w:szCs w:val="130"/>
        </w:rPr>
      </w:pPr>
      <w:r>
        <w:rPr>
          <w:rFonts w:hint="eastAsia" w:ascii="方正小标宋_GBK" w:hAnsi="宋体" w:eastAsia="方正小标宋_GBK"/>
          <w:color w:val="FFFFFF"/>
          <w:w w:val="54"/>
          <w:sz w:val="130"/>
          <w:szCs w:val="130"/>
        </w:rPr>
        <w:t>广元市人民政府办公室文件</w:t>
      </w:r>
    </w:p>
    <w:p>
      <w:pPr>
        <w:rPr>
          <w:rFonts w:ascii="Times New Roman" w:hAnsi="Times New Roman"/>
          <w:szCs w:val="20"/>
        </w:rPr>
      </w:pPr>
    </w:p>
    <w:p>
      <w:pPr>
        <w:rPr>
          <w:rFonts w:ascii="Times New Roman" w:hAnsi="Times New Roman"/>
          <w:szCs w:val="20"/>
        </w:rPr>
      </w:pPr>
    </w:p>
    <w:p>
      <w:pPr>
        <w:rPr>
          <w:rFonts w:ascii="Times New Roman" w:hAnsi="Times New Roman"/>
          <w:szCs w:val="20"/>
        </w:rPr>
      </w:pPr>
    </w:p>
    <w:p>
      <w:pPr>
        <w:jc w:val="center"/>
        <w:rPr>
          <w:rFonts w:ascii="楷体_GB2312" w:hAnsi="仿宋" w:eastAsia="楷体_GB2312"/>
          <w:sz w:val="32"/>
          <w:szCs w:val="32"/>
        </w:rPr>
      </w:pPr>
      <w:bookmarkStart w:id="0" w:name="字号"/>
      <w:r>
        <w:rPr>
          <w:rFonts w:hint="eastAsia" w:ascii="仿宋_GB2312" w:hAnsi="仿宋" w:eastAsia="仿宋_GB2312"/>
          <w:sz w:val="32"/>
          <w:szCs w:val="32"/>
        </w:rPr>
        <w:t>广府办发〔202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sz w:val="32"/>
          <w:szCs w:val="32"/>
        </w:rPr>
        <w:t>号</w:t>
      </w:r>
      <w:bookmarkEnd w:id="0"/>
      <w:bookmarkStart w:id="1" w:name="签发人"/>
      <w:bookmarkEnd w:id="1"/>
    </w:p>
    <w:p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46990</wp:posOffset>
                </wp:positionV>
                <wp:extent cx="5615940" cy="0"/>
                <wp:effectExtent l="0" t="12700" r="3810" b="15875"/>
                <wp:wrapNone/>
                <wp:docPr id="1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2.25pt;margin-top:3.7pt;height:0pt;width:442.2pt;z-index:251659264;mso-width-relative:page;mso-height-relative:page;" filled="f" stroked="t" coordsize="21600,21600" o:gfxdata="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d+B1HW&#10;AAAABQEAAA8AAAAAAAAAAQAgAAAAIgAAAGRycy9kb3ducmV2LnhtbFBLAQIUABQAAAAIAIdO4kCU&#10;W7ZT6QEAAN0DAAAOAAAAAAAAAAEAIAAAACUBAABkcnMvZTJvRG9jLnhtbFBLBQYAAAAABgAGAFkB&#10;AACABQAAAAA=&#10;">
                <v:fill on="f" focussize="0,0"/>
                <v:stroke weight="2pt" color="#FFFFFF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70" w:lineRule="exact"/>
        <w:rPr>
          <w:rFonts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jc w:val="center"/>
        <w:textAlignment w:val="auto"/>
        <w:outlineLvl w:val="0"/>
        <w:rPr>
          <w:rFonts w:hint="eastAsia" w:ascii="方正小标宋_GBK" w:eastAsia="方正小标宋_GBK" w:cs="方正小标宋_GBK"/>
          <w:color w:val="000000"/>
          <w:sz w:val="44"/>
          <w:szCs w:val="44"/>
          <w:lang w:bidi="ar-SA"/>
        </w:rPr>
      </w:pPr>
      <w:r>
        <w:rPr>
          <w:rFonts w:hint="eastAsia" w:ascii="方正小标宋_GBK" w:eastAsia="方正小标宋_GBK" w:cs="方正小标宋_GBK"/>
          <w:color w:val="000000"/>
          <w:sz w:val="44"/>
          <w:szCs w:val="44"/>
          <w:lang w:bidi="ar-SA"/>
        </w:rPr>
        <w:t>广元市人民政府办公室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 w:val="0"/>
        <w:snapToGrid w:val="0"/>
        <w:spacing w:line="550" w:lineRule="exact"/>
        <w:jc w:val="center"/>
        <w:outlineLvl w:val="0"/>
        <w:rPr>
          <w:rFonts w:hint="eastAsia" w:ascii="仿宋_GB2312" w:eastAsia="仿宋_GB2312" w:cs="仿宋_GB2312"/>
          <w:color w:val="000000"/>
          <w:sz w:val="44"/>
          <w:szCs w:val="44"/>
          <w:u w:val="none"/>
          <w:lang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6"/>
          <w:sz w:val="44"/>
          <w:szCs w:val="44"/>
          <w:lang w:bidi="ar-SA"/>
        </w:rPr>
        <w:t>关于印发《支持服务业经营主体上规上限上台阶</w:t>
      </w:r>
      <w:r>
        <w:rPr>
          <w:rFonts w:hint="eastAsia" w:ascii="方正小标宋_GBK" w:eastAsia="方正小标宋_GBK" w:cs="方正小标宋_GBK"/>
          <w:color w:val="000000"/>
          <w:sz w:val="44"/>
          <w:szCs w:val="44"/>
          <w:lang w:bidi="ar-SA"/>
        </w:rPr>
        <w:t>十条政策措施</w:t>
      </w:r>
      <w:r>
        <w:rPr>
          <w:rFonts w:hint="eastAsia" w:ascii="方正小标宋_GBK" w:eastAsia="方正小标宋_GBK" w:cs="方正小标宋_GBK"/>
          <w:color w:val="000000"/>
          <w:sz w:val="44"/>
          <w:szCs w:val="44"/>
          <w:u w:val="none"/>
          <w:lang w:eastAsia="zh-CN" w:bidi="ar-SA"/>
        </w:rPr>
        <w:t>（试行）》的通知</w:t>
      </w:r>
    </w:p>
    <w:p>
      <w:pPr>
        <w:spacing w:line="4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5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各县（区）人民政府，市级各部门，广元经济技术开发区、市天然气综合利用工业园区、广元国际铁路港管委会：</w:t>
      </w:r>
    </w:p>
    <w:p>
      <w:pPr>
        <w:spacing w:line="55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《支持服务业经营主体上规上限上台阶十条政策措施（试行）》已经市政府同意，现印发给你们，请认真抓好贯彻落实。</w:t>
      </w:r>
    </w:p>
    <w:p>
      <w:pPr>
        <w:spacing w:line="55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5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50" w:lineRule="exact"/>
        <w:ind w:firstLine="4480" w:firstLineChars="1400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广元市人民政府办公室    </w:t>
      </w:r>
    </w:p>
    <w:p>
      <w:pPr>
        <w:wordWrap w:val="0"/>
        <w:spacing w:line="550" w:lineRule="exact"/>
        <w:ind w:right="1283" w:rightChars="611"/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2024年5月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overflowPunct w:val="0"/>
        <w:adjustRightInd w:val="0"/>
        <w:snapToGrid w:val="0"/>
        <w:spacing w:line="576" w:lineRule="exact"/>
        <w:jc w:val="center"/>
        <w:outlineLvl w:val="0"/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  <w:lang w:bidi="ar-SA"/>
        </w:rPr>
        <w:t>支持服务业经营主体上规上限上台阶</w:t>
      </w:r>
    </w:p>
    <w:p>
      <w:pPr>
        <w:overflowPunct w:val="0"/>
        <w:adjustRightInd w:val="0"/>
        <w:snapToGrid w:val="0"/>
        <w:spacing w:line="576" w:lineRule="exact"/>
        <w:jc w:val="center"/>
        <w:outlineLvl w:val="0"/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  <w:lang w:bidi="ar-SA"/>
        </w:rPr>
        <w:t>十条政策措施（试行）</w:t>
      </w:r>
    </w:p>
    <w:p>
      <w:pPr>
        <w:overflowPunct w:val="0"/>
        <w:adjustRightInd w:val="0"/>
        <w:snapToGrid w:val="0"/>
        <w:spacing w:line="576" w:lineRule="exact"/>
        <w:jc w:val="center"/>
        <w:rPr>
          <w:rFonts w:hint="eastAsia" w:ascii="楷体_GB2312" w:eastAsia="楷体_GB2312" w:cs="楷体_GB2312"/>
          <w:color w:val="000000"/>
          <w:kern w:val="0"/>
          <w:sz w:val="32"/>
          <w:szCs w:val="32"/>
          <w:lang w:bidi="ar-SA"/>
        </w:rPr>
      </w:pP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为贯彻落实中央、省委和市委经济工作会议精神，聚力推动服务业提振恢复，加大服务业经营主体培育力度，推进上规、上限、上台阶，夯实服务业高质量发展基础，特制定以下政策措施。</w:t>
      </w:r>
    </w:p>
    <w:p>
      <w:pPr>
        <w:shd w:val="clear" w:color="auto" w:fill="FFFFFF"/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bidi="ar-SA"/>
        </w:rPr>
        <w:t>一、支持经营主体“小升规”。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对首次上规上限的服务业企业，给予5万元/户的一次性补助，对首次上规上限的服务业个体，给予0.5万元/户的一次性补助。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对首次“个转企”的服务业经营主体，给予0.6万元/户的一次性补助。</w:t>
      </w:r>
    </w:p>
    <w:p>
      <w:pPr>
        <w:pStyle w:val="5"/>
        <w:overflowPunct w:val="0"/>
        <w:adjustRightInd w:val="0"/>
        <w:snapToGrid w:val="0"/>
        <w:spacing w:after="0" w:line="576" w:lineRule="exact"/>
        <w:ind w:firstLine="640" w:firstLineChars="200"/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责任部门：市商务局、市财政局、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市市场监管局、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市统计局，各县（区）政府、广元经济技术开发区管委会按职责分工负责。</w:t>
      </w:r>
    </w:p>
    <w:p>
      <w:pPr>
        <w:pStyle w:val="5"/>
        <w:overflowPunct w:val="0"/>
        <w:adjustRightInd w:val="0"/>
        <w:snapToGrid w:val="0"/>
        <w:spacing w:after="0" w:line="576" w:lineRule="exact"/>
        <w:ind w:firstLine="640" w:firstLineChars="200"/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bidi="ar-SA"/>
        </w:rPr>
        <w:t>二、支持产业融合发展。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对一、二产业实施主辅分离、产销分离后当年新设立的服务业企业，首次上规上限后增速不低于全市平均水平的，给予5万元/户的一次性补助。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责任部门：市商务局、市经济和信息化局、市农业农村局、市税务局，各县（区）政府、广元经济技术开发区管委会按职责分工负责。</w:t>
      </w:r>
    </w:p>
    <w:p>
      <w:pPr>
        <w:shd w:val="clear" w:color="auto" w:fill="FFFFFF"/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bidi="ar-SA"/>
        </w:rPr>
        <w:t>三、支持商品市场一体化发展。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鼓励各县（区）发展壮大商品市场，对成立“统一收银、统一核算、统一报税”的法人单位，在首次上限后当年规模达到1亿元以上且增速不低于全市平均水平的，按照入统个数给予县（区）50万元/个的一次性工作经费补助。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责任部门：市商务局、市财政局、市税务局、市市场监管局，各县（区）政府、广元经济技术开发区管委会按职责分工负责。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bidi="ar-SA"/>
        </w:rPr>
        <w:t>四、支持企业“分转子”。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市外的总部企业在我市成立服务业法人企业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（视同法人单位）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，并首次上规上限且纳入地区生产总值核算，当年规模达到0.5亿元以上且增速不低于全市平均水平的，给予7万元/户的一次性补助；当年规模达到1亿元以上且增速不低于全市平均水平的，给予12万元/户的一次性补助。</w:t>
      </w:r>
    </w:p>
    <w:p>
      <w:pPr>
        <w:pStyle w:val="5"/>
        <w:overflowPunct w:val="0"/>
        <w:adjustRightInd w:val="0"/>
        <w:snapToGrid w:val="0"/>
        <w:spacing w:after="0" w:line="576" w:lineRule="exact"/>
        <w:ind w:firstLine="640" w:firstLineChars="200"/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责任部门：市商务局、市经济和信息化局、市市场监管局、市财政局，各县（区）政府、广元经济技术开发区管委会按职责分工负责。</w:t>
      </w:r>
    </w:p>
    <w:p>
      <w:pPr>
        <w:widowControl w:val="0"/>
        <w:suppressAutoHyphens/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bidi="ar-SA"/>
        </w:rPr>
        <w:t>五、支持打造“楼宇经济”平台。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鼓励各县（区）依托优势产业，打造产业集聚的“楼宇经济”平台。经认定，对成功培育5000平方米及以上的区域性“楼宇经济”平台，且依托平台引进并培育5户以上规（限）上服务业企业的县（区），给予20万元/个的一次性奖励。</w:t>
      </w:r>
    </w:p>
    <w:p>
      <w:pPr>
        <w:widowControl w:val="0"/>
        <w:suppressAutoHyphens/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责任部门：市商务局、市财政局，各县（区）政府、广元经济技术开发区管委会按职责分工负责。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bidi="ar-SA"/>
        </w:rPr>
        <w:t>六、支持电商企业发展。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对年网络销售额首次突破500万元、1000万元、3000万元以上的限上电子商务企业，分别给予1万元、2万元、3万元/户的一次性补助；对年营业收入首次突破2000万元、5000万元、1亿元以上的规上电子商务企业，分别给予3万元、5万元、10万元/户的一次性补助。</w:t>
      </w:r>
    </w:p>
    <w:p>
      <w:pPr>
        <w:widowControl w:val="0"/>
        <w:suppressAutoHyphens/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责任部门：市商务局、市财政局，各县（区）政府、广元经济技术开发区管委会按职责分工负责。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bidi="ar-SA"/>
        </w:rPr>
        <w:t>七、推进电商示范创建。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对首次评定为国家级、省级电子商务示范基地的，分别给予10万元、5万元/个的一次性补助；对首次评定为国家级、省级电子商务示范企业的，分别给予5万元、3万元/户的一次性补助。</w:t>
      </w:r>
    </w:p>
    <w:p>
      <w:pPr>
        <w:widowControl w:val="0"/>
        <w:suppressAutoHyphens/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责任部门：市商务局、市财政局，各县（区）政府、广元经济技术开发区管委会按职责分工负责。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bidi="ar-SA"/>
        </w:rPr>
        <w:t>八、支持经营主体规范化建设。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推进统计基层基础规范化建</w:t>
      </w:r>
      <w:r>
        <w:rPr>
          <w:rFonts w:hint="eastAsia" w:ascii="仿宋_GB2312" w:eastAsia="仿宋_GB2312" w:cs="仿宋_GB2312"/>
          <w:snapToGrid w:val="0"/>
          <w:color w:val="000000"/>
          <w:kern w:val="0"/>
          <w:sz w:val="32"/>
          <w:szCs w:val="32"/>
          <w:lang w:bidi="ar-SA"/>
        </w:rPr>
        <w:t>设，对直接纳入地区生产总值核算的规（限）上服务业单位给予0.3万元/年的补助。对重点监测企业给予0.2万元/年的补助。</w:t>
      </w:r>
    </w:p>
    <w:p>
      <w:pPr>
        <w:widowControl w:val="0"/>
        <w:suppressAutoHyphens/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责任部门：市商务局、市财政局，各县（区）政府、广元经济技术开发区管委会按职责分工负责。</w:t>
      </w:r>
    </w:p>
    <w:p>
      <w:pPr>
        <w:shd w:val="clear" w:color="auto" w:fill="FFFFFF"/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lang w:bidi="ar-SA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bidi="ar-SA"/>
        </w:rPr>
        <w:t>九、支持重点企业做大做强。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鼓励规（限）上服务业企业扩大规模、晋档升级，每年开展一次综合评比，对规上服务业企业综合排名第1—3、4—8、9—15名的分别给予15万元、10万元、8万元的一次性补助；对限上批零住餐单位综合排名第1—10、11—20、21—40名的分别给予8万元、5万元、3万元的一次性补助。</w:t>
      </w:r>
    </w:p>
    <w:p>
      <w:pPr>
        <w:widowControl w:val="0"/>
        <w:suppressAutoHyphens/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责任部门：市商务局、市财政局，各县（区）政府、广元经济技术开发区管委会按职责分工负责。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bidi="ar-SA"/>
        </w:rPr>
        <w:t>十、激发干事创业激情。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鼓励县（区）全力推进服务业经营主体上规上限，对超额完成年度任务的，每超1户规上服务业企业给予县（区）1万元奖励，每超1户限上批零住餐企业给予县（区）0.5万元奖励。</w:t>
      </w:r>
    </w:p>
    <w:p>
      <w:pPr>
        <w:widowControl w:val="0"/>
        <w:suppressAutoHyphens/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责任部门：市商务局、市财政局，各县（区）政府、广元经济技术开发区管委会按职责分工负责。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本政策纳入各级财政专项预算，其中第四、六、八、九条由市、县（区）按1：1共担，其余由市级财政统筹解决。市本级已出台的相关政策措施与本政策措施不一致的，按本政策措施执行。本政策措施实行最高限额原则，同一事项（第一、二、四条为上规上限奖补）涉及多项补助扶持政策的，按就高且不重复方式执行。本政策措施涉及的企业参照国家统计局2011年10月印发的《统计单位划分及具体处理办法》执行。</w:t>
      </w:r>
    </w:p>
    <w:p>
      <w:pPr>
        <w:pStyle w:val="13"/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本政策措施自2024年6月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21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日起施行，有效期2年，由市商务局会同市财政局、市市场监管局负责解释。本政策措施有效期内如遇国家政策调整的，从其规定。</w:t>
      </w:r>
    </w:p>
    <w:p>
      <w:pPr>
        <w:pStyle w:val="9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sectPr>
          <w:headerReference r:id="rId3" w:type="first"/>
          <w:footerReference r:id="rId5" w:type="first"/>
          <w:footerReference r:id="rId4" w:type="default"/>
          <w:pgSz w:w="11907" w:h="16840"/>
          <w:pgMar w:top="2098" w:right="1474" w:bottom="1984" w:left="1588" w:header="851" w:footer="1531" w:gutter="0"/>
          <w:paperSrc/>
          <w:pgNumType w:start="1"/>
          <w:cols w:space="720" w:num="1"/>
          <w:rtlGutter w:val="0"/>
          <w:docGrid w:type="lines" w:linePitch="312" w:charSpace="0"/>
        </w:sectPr>
      </w:pPr>
    </w:p>
    <w:p>
      <w:pPr>
        <w:pStyle w:val="9"/>
        <w:rPr>
          <w:rFonts w:hint="default" w:ascii="仿宋_GB2312" w:eastAsia="仿宋_GB2312" w:cs="仿宋_GB2312"/>
          <w:color w:val="000000"/>
          <w:sz w:val="32"/>
          <w:szCs w:val="32"/>
          <w:lang w:bidi="ar-SA"/>
        </w:rPr>
      </w:pPr>
    </w:p>
    <w:p>
      <w:pPr>
        <w:pStyle w:val="9"/>
        <w:rPr>
          <w:rFonts w:hint="default" w:ascii="仿宋_GB2312" w:eastAsia="仿宋_GB2312" w:cs="仿宋_GB2312"/>
          <w:color w:val="000000"/>
          <w:sz w:val="32"/>
          <w:szCs w:val="32"/>
          <w:lang w:bidi="ar-SA"/>
        </w:rPr>
      </w:pPr>
    </w:p>
    <w:p>
      <w:pPr>
        <w:pStyle w:val="9"/>
        <w:rPr>
          <w:rFonts w:hint="default" w:ascii="仿宋_GB2312" w:eastAsia="仿宋_GB2312" w:cs="仿宋_GB2312"/>
          <w:color w:val="000000"/>
          <w:sz w:val="32"/>
          <w:szCs w:val="32"/>
          <w:lang w:bidi="ar-SA"/>
        </w:rPr>
      </w:pPr>
    </w:p>
    <w:p>
      <w:pPr>
        <w:pStyle w:val="9"/>
        <w:rPr>
          <w:rFonts w:hint="default" w:ascii="仿宋_GB2312" w:eastAsia="仿宋_GB2312" w:cs="仿宋_GB2312"/>
          <w:color w:val="000000"/>
          <w:sz w:val="32"/>
          <w:szCs w:val="32"/>
          <w:lang w:bidi="ar-SA"/>
        </w:rPr>
      </w:pPr>
    </w:p>
    <w:p>
      <w:pPr>
        <w:pStyle w:val="9"/>
        <w:rPr>
          <w:rFonts w:hint="default" w:ascii="仿宋_GB2312" w:eastAsia="仿宋_GB2312" w:cs="仿宋_GB2312"/>
          <w:color w:val="000000"/>
          <w:sz w:val="32"/>
          <w:szCs w:val="32"/>
          <w:lang w:bidi="ar-SA"/>
        </w:rPr>
      </w:pPr>
    </w:p>
    <w:p>
      <w:pPr>
        <w:pStyle w:val="9"/>
        <w:rPr>
          <w:rFonts w:hint="default" w:ascii="仿宋_GB2312" w:eastAsia="仿宋_GB2312" w:cs="仿宋_GB2312"/>
          <w:color w:val="000000"/>
          <w:sz w:val="32"/>
          <w:szCs w:val="32"/>
          <w:lang w:bidi="ar-SA"/>
        </w:rPr>
      </w:pPr>
    </w:p>
    <w:p>
      <w:pPr>
        <w:pStyle w:val="9"/>
        <w:rPr>
          <w:rFonts w:hint="default" w:ascii="仿宋_GB2312" w:eastAsia="仿宋_GB2312" w:cs="仿宋_GB2312"/>
          <w:color w:val="000000"/>
          <w:sz w:val="32"/>
          <w:szCs w:val="32"/>
          <w:lang w:bidi="ar-SA"/>
        </w:rPr>
      </w:pPr>
    </w:p>
    <w:p>
      <w:pPr>
        <w:pStyle w:val="9"/>
        <w:rPr>
          <w:rFonts w:hint="default" w:ascii="仿宋_GB2312" w:eastAsia="仿宋_GB2312" w:cs="仿宋_GB2312"/>
          <w:color w:val="000000"/>
          <w:sz w:val="32"/>
          <w:szCs w:val="32"/>
          <w:lang w:bidi="ar-SA"/>
        </w:rPr>
      </w:pPr>
    </w:p>
    <w:p>
      <w:pPr>
        <w:pStyle w:val="9"/>
        <w:rPr>
          <w:rFonts w:hint="default" w:ascii="仿宋_GB2312" w:eastAsia="仿宋_GB2312" w:cs="仿宋_GB2312"/>
          <w:color w:val="000000"/>
          <w:sz w:val="32"/>
          <w:szCs w:val="32"/>
          <w:lang w:bidi="ar-SA"/>
        </w:rPr>
      </w:pPr>
    </w:p>
    <w:p>
      <w:pPr>
        <w:pStyle w:val="9"/>
        <w:rPr>
          <w:rFonts w:hint="default" w:ascii="仿宋_GB2312" w:eastAsia="仿宋_GB2312" w:cs="仿宋_GB2312"/>
          <w:color w:val="000000"/>
          <w:sz w:val="32"/>
          <w:szCs w:val="32"/>
          <w:lang w:bidi="ar-SA"/>
        </w:rPr>
      </w:pPr>
    </w:p>
    <w:p>
      <w:pPr>
        <w:pStyle w:val="9"/>
        <w:rPr>
          <w:rFonts w:hint="default" w:ascii="仿宋_GB2312" w:eastAsia="仿宋_GB2312" w:cs="仿宋_GB2312"/>
          <w:color w:val="000000"/>
          <w:sz w:val="32"/>
          <w:szCs w:val="32"/>
          <w:lang w:bidi="ar-SA"/>
        </w:rPr>
      </w:pPr>
    </w:p>
    <w:p>
      <w:pPr>
        <w:pStyle w:val="9"/>
        <w:rPr>
          <w:rFonts w:hint="default" w:ascii="仿宋_GB2312" w:eastAsia="仿宋_GB2312" w:cs="仿宋_GB2312"/>
          <w:color w:val="000000"/>
          <w:sz w:val="32"/>
          <w:szCs w:val="32"/>
          <w:lang w:bidi="ar-SA"/>
        </w:rPr>
      </w:pPr>
    </w:p>
    <w:p>
      <w:pPr>
        <w:pStyle w:val="9"/>
        <w:rPr>
          <w:rFonts w:hint="default" w:ascii="仿宋_GB2312" w:eastAsia="仿宋_GB2312" w:cs="仿宋_GB2312"/>
          <w:color w:val="000000"/>
          <w:sz w:val="32"/>
          <w:szCs w:val="32"/>
          <w:lang w:bidi="ar-SA"/>
        </w:rPr>
      </w:pPr>
    </w:p>
    <w:p>
      <w:pPr>
        <w:pStyle w:val="9"/>
        <w:rPr>
          <w:rFonts w:hint="default" w:ascii="仿宋_GB2312" w:eastAsia="仿宋_GB2312" w:cs="仿宋_GB2312"/>
          <w:color w:val="000000"/>
          <w:sz w:val="32"/>
          <w:szCs w:val="32"/>
          <w:lang w:bidi="ar-SA"/>
        </w:rPr>
      </w:pPr>
    </w:p>
    <w:p>
      <w:pPr>
        <w:pStyle w:val="9"/>
        <w:rPr>
          <w:rFonts w:hint="default" w:ascii="仿宋_GB2312" w:eastAsia="仿宋_GB2312" w:cs="仿宋_GB2312"/>
          <w:color w:val="000000"/>
          <w:sz w:val="32"/>
          <w:szCs w:val="32"/>
          <w:lang w:bidi="ar-SA"/>
        </w:rPr>
      </w:pPr>
    </w:p>
    <w:p>
      <w:pPr>
        <w:pStyle w:val="9"/>
        <w:rPr>
          <w:rFonts w:hint="default" w:ascii="仿宋_GB2312" w:eastAsia="仿宋_GB2312" w:cs="仿宋_GB2312"/>
          <w:color w:val="000000"/>
          <w:sz w:val="32"/>
          <w:szCs w:val="32"/>
          <w:lang w:bidi="ar-SA"/>
        </w:rPr>
      </w:pPr>
    </w:p>
    <w:p>
      <w:pPr>
        <w:pStyle w:val="9"/>
        <w:rPr>
          <w:rFonts w:hint="default" w:ascii="仿宋_GB2312" w:eastAsia="仿宋_GB2312" w:cs="仿宋_GB2312"/>
          <w:color w:val="000000"/>
          <w:sz w:val="32"/>
          <w:szCs w:val="32"/>
          <w:lang w:bidi="ar-SA"/>
        </w:rPr>
      </w:pPr>
    </w:p>
    <w:p>
      <w:pPr>
        <w:pStyle w:val="9"/>
        <w:rPr>
          <w:rFonts w:hint="default" w:ascii="仿宋_GB2312" w:eastAsia="仿宋_GB2312" w:cs="仿宋_GB2312"/>
          <w:color w:val="000000"/>
          <w:sz w:val="32"/>
          <w:szCs w:val="32"/>
          <w:lang w:bidi="ar-SA"/>
        </w:rPr>
      </w:pPr>
    </w:p>
    <w:p>
      <w:pPr>
        <w:pStyle w:val="9"/>
        <w:rPr>
          <w:rFonts w:hint="default" w:ascii="仿宋_GB2312" w:eastAsia="仿宋_GB2312" w:cs="仿宋_GB2312"/>
          <w:color w:val="000000"/>
          <w:sz w:val="32"/>
          <w:szCs w:val="32"/>
          <w:lang w:bidi="ar-SA"/>
        </w:rPr>
      </w:pPr>
    </w:p>
    <w:p>
      <w:pPr>
        <w:pStyle w:val="9"/>
        <w:rPr>
          <w:rFonts w:hint="default" w:ascii="仿宋_GB2312" w:eastAsia="仿宋_GB2312" w:cs="仿宋_GB2312"/>
          <w:color w:val="000000"/>
          <w:sz w:val="32"/>
          <w:szCs w:val="32"/>
          <w:lang w:bidi="ar-SA"/>
        </w:rPr>
      </w:pPr>
    </w:p>
    <w:p>
      <w:pPr>
        <w:pStyle w:val="9"/>
        <w:rPr>
          <w:rFonts w:hint="default" w:ascii="仿宋_GB2312" w:eastAsia="仿宋_GB2312" w:cs="仿宋_GB2312"/>
          <w:color w:val="000000"/>
          <w:sz w:val="32"/>
          <w:szCs w:val="32"/>
          <w:lang w:bidi="ar-SA"/>
        </w:rPr>
      </w:pPr>
    </w:p>
    <w:p>
      <w:pPr>
        <w:pStyle w:val="9"/>
        <w:rPr>
          <w:rFonts w:hint="default" w:ascii="仿宋_GB2312" w:eastAsia="仿宋_GB2312" w:cs="仿宋_GB2312"/>
          <w:color w:val="000000"/>
          <w:sz w:val="32"/>
          <w:szCs w:val="32"/>
          <w:lang w:bidi="ar-SA"/>
        </w:rPr>
      </w:pPr>
    </w:p>
    <w:p>
      <w:pPr>
        <w:pStyle w:val="9"/>
        <w:rPr>
          <w:rFonts w:hint="default" w:ascii="仿宋_GB2312" w:eastAsia="仿宋_GB2312" w:cs="仿宋_GB2312"/>
          <w:color w:val="000000"/>
          <w:sz w:val="32"/>
          <w:szCs w:val="32"/>
          <w:lang w:bidi="ar-SA"/>
        </w:rPr>
      </w:pPr>
    </w:p>
    <w:p>
      <w:pPr>
        <w:pStyle w:val="9"/>
        <w:rPr>
          <w:rFonts w:hint="default" w:ascii="仿宋_GB2312" w:eastAsia="仿宋_GB2312" w:cs="仿宋_GB2312"/>
          <w:color w:val="000000"/>
          <w:sz w:val="32"/>
          <w:szCs w:val="32"/>
          <w:lang w:bidi="ar-SA"/>
        </w:rPr>
      </w:pPr>
    </w:p>
    <w:p>
      <w:pPr>
        <w:pStyle w:val="9"/>
        <w:rPr>
          <w:rFonts w:hint="default" w:ascii="仿宋_GB2312" w:eastAsia="仿宋_GB2312" w:cs="仿宋_GB2312"/>
          <w:color w:val="000000"/>
          <w:sz w:val="32"/>
          <w:szCs w:val="32"/>
          <w:lang w:bidi="ar-SA"/>
        </w:rPr>
      </w:pPr>
    </w:p>
    <w:p>
      <w:pPr>
        <w:pBdr>
          <w:bottom w:val="single" w:color="auto" w:sz="4" w:space="1"/>
        </w:pBdr>
        <w:spacing w:line="440" w:lineRule="exact"/>
        <w:rPr>
          <w:rFonts w:ascii="方正小标宋_GBK" w:hAnsi="Times New Roman" w:eastAsia="方正小标宋_GBK"/>
          <w:sz w:val="28"/>
          <w:szCs w:val="28"/>
        </w:rPr>
      </w:pPr>
      <w:r>
        <w:rPr>
          <w:rFonts w:hint="eastAsia" w:ascii="黑体" w:hAnsi="Times New Roman" w:eastAsia="黑体"/>
          <w:sz w:val="28"/>
          <w:szCs w:val="28"/>
        </w:rPr>
        <w:t>信息公开选项：</w:t>
      </w:r>
      <w:r>
        <w:rPr>
          <w:rFonts w:hint="eastAsia" w:ascii="方正小标宋_GBK" w:hAnsi="Times New Roman" w:eastAsia="方正小标宋_GBK"/>
          <w:sz w:val="28"/>
          <w:szCs w:val="28"/>
        </w:rPr>
        <w:t>主动公开</w:t>
      </w:r>
    </w:p>
    <w:p>
      <w:pPr>
        <w:pBdr>
          <w:bottom w:val="single" w:color="auto" w:sz="4" w:space="1"/>
        </w:pBdr>
        <w:spacing w:line="40" w:lineRule="exact"/>
        <w:rPr>
          <w:rFonts w:ascii="方正小标宋_GBK" w:hAnsi="Times New Roman" w:eastAsia="方正小标宋_GBK"/>
          <w:sz w:val="28"/>
          <w:szCs w:val="28"/>
        </w:rPr>
      </w:pPr>
    </w:p>
    <w:p>
      <w:pPr>
        <w:pBdr>
          <w:bottom w:val="single" w:color="auto" w:sz="4" w:space="1"/>
        </w:pBdr>
        <w:spacing w:line="40" w:lineRule="exact"/>
        <w:rPr>
          <w:rFonts w:ascii="方正小标宋_GBK" w:hAnsi="Times New Roman" w:eastAsia="方正小标宋_GBK"/>
          <w:sz w:val="28"/>
          <w:szCs w:val="28"/>
        </w:rPr>
      </w:pPr>
    </w:p>
    <w:p>
      <w:pPr>
        <w:pBdr>
          <w:bottom w:val="single" w:color="auto" w:sz="4" w:space="1"/>
        </w:pBdr>
        <w:spacing w:line="40" w:lineRule="exact"/>
        <w:rPr>
          <w:rFonts w:ascii="方正小标宋_GBK" w:hAnsi="Times New Roman" w:eastAsia="方正小标宋_GBK"/>
          <w:sz w:val="28"/>
          <w:szCs w:val="28"/>
        </w:rPr>
      </w:pPr>
    </w:p>
    <w:p>
      <w:pPr>
        <w:widowControl/>
        <w:spacing w:line="440" w:lineRule="exact"/>
        <w:ind w:firstLine="280" w:firstLineChars="100"/>
        <w:jc w:val="left"/>
        <w:rPr>
          <w:rFonts w:ascii="仿宋_GB2312" w:hAnsi="宋体" w:eastAsia="仿宋_GB2312" w:cs="宋体"/>
          <w:spacing w:val="-4"/>
          <w:w w:val="96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抄送：</w:t>
      </w:r>
      <w:r>
        <w:rPr>
          <w:rFonts w:hint="eastAsia" w:ascii="仿宋_GB2312" w:hAnsi="宋体" w:eastAsia="仿宋_GB2312" w:cs="宋体"/>
          <w:spacing w:val="-4"/>
          <w:w w:val="96"/>
          <w:kern w:val="0"/>
          <w:sz w:val="28"/>
          <w:szCs w:val="28"/>
        </w:rPr>
        <w:t>市委办公室，市人大常委会办公室，市政协办公室，市纪委监委机关，</w:t>
      </w:r>
    </w:p>
    <w:p>
      <w:pPr>
        <w:widowControl/>
        <w:spacing w:line="440" w:lineRule="exact"/>
        <w:ind w:firstLine="1120" w:firstLineChars="418"/>
        <w:jc w:val="lef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w w:val="96"/>
          <w:kern w:val="0"/>
          <w:sz w:val="28"/>
          <w:szCs w:val="28"/>
        </w:rPr>
        <w:t>市法院，市检察院，广元军分区。</w:t>
      </w:r>
    </w:p>
    <w:p>
      <w:pPr>
        <w:pBdr>
          <w:top w:val="single" w:color="auto" w:sz="4" w:space="1"/>
          <w:bottom w:val="single" w:color="auto" w:sz="4" w:space="1"/>
        </w:pBdr>
        <w:spacing w:line="440" w:lineRule="exact"/>
        <w:ind w:firstLine="280" w:firstLineChars="100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hAnsi="Times New Roman" w:eastAsia="仿宋_GB2312"/>
          <w:sz w:val="28"/>
          <w:szCs w:val="28"/>
        </w:rPr>
        <w:t>广元市人民政府办公室                    202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Times New Roman" w:eastAsia="仿宋_GB2312"/>
          <w:sz w:val="28"/>
          <w:szCs w:val="28"/>
        </w:rPr>
        <w:t>年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Times New Roman" w:eastAsia="仿宋_GB2312"/>
          <w:sz w:val="28"/>
          <w:szCs w:val="28"/>
        </w:rPr>
        <w:t>月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Times New Roman" w:eastAsia="仿宋_GB2312"/>
          <w:sz w:val="28"/>
          <w:szCs w:val="28"/>
        </w:rPr>
        <w:t>日印发</w:t>
      </w:r>
    </w:p>
    <w:sectPr>
      <w:pgSz w:w="11907" w:h="16840"/>
      <w:pgMar w:top="2098" w:right="1474" w:bottom="1984" w:left="1588" w:header="851" w:footer="1531" w:gutter="0"/>
      <w:paperSrc/>
      <w:pgNumType w:start="1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86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49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Si/e9EAAAADAQAADwAAAAAAAAABACAAAAAiAAAAZHJzL2Rvd25y&#10;ZXYueG1sUEsBAhQAFAAAAAgAh07iQIm7223MAQAAlwMAAA4AAAAAAAAAAQAgAAAAI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DA2MGU4N2VlZmI4NzQ3M2UxMTUzMTU3MDc4MmQifQ=="/>
  </w:docVars>
  <w:rsids>
    <w:rsidRoot w:val="00000000"/>
    <w:rsid w:val="0CE24BAD"/>
    <w:rsid w:val="26E603FD"/>
    <w:rsid w:val="75372190"/>
    <w:rsid w:val="7F393E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Lucida San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next w:val="6"/>
    <w:uiPriority w:val="0"/>
    <w:pPr>
      <w:widowControl w:val="0"/>
      <w:spacing w:before="0" w:after="14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7">
    <w:name w:val="toc 5"/>
    <w:basedOn w:val="1"/>
    <w:next w:val="1"/>
    <w:uiPriority w:val="0"/>
    <w:pPr>
      <w:ind w:left="1680"/>
    </w:pPr>
  </w:style>
  <w:style w:type="paragraph" w:styleId="8">
    <w:name w:val="toc 3"/>
    <w:basedOn w:val="1"/>
    <w:next w:val="1"/>
    <w:uiPriority w:val="0"/>
    <w:pPr>
      <w:ind w:left="840"/>
    </w:pPr>
  </w:style>
  <w:style w:type="paragraph" w:styleId="9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0">
    <w:name w:val="toc 1"/>
    <w:basedOn w:val="1"/>
    <w:next w:val="1"/>
    <w:uiPriority w:val="0"/>
  </w:style>
  <w:style w:type="paragraph" w:styleId="11">
    <w:name w:val="toc 4"/>
    <w:basedOn w:val="1"/>
    <w:next w:val="1"/>
    <w:uiPriority w:val="0"/>
    <w:pPr>
      <w:ind w:left="1260"/>
    </w:pPr>
  </w:style>
  <w:style w:type="paragraph" w:styleId="12">
    <w:name w:val="toc 2"/>
    <w:basedOn w:val="1"/>
    <w:next w:val="1"/>
    <w:uiPriority w:val="0"/>
    <w:pPr>
      <w:ind w:left="420"/>
    </w:pPr>
  </w:style>
  <w:style w:type="paragraph" w:styleId="13">
    <w:name w:val="Body Text First Indent"/>
    <w:next w:val="9"/>
    <w:uiPriority w:val="0"/>
    <w:pPr>
      <w:widowControl w:val="0"/>
      <w:ind w:firstLine="100" w:firstLineChars="100"/>
      <w:jc w:val="both"/>
    </w:pPr>
    <w:rPr>
      <w:rFonts w:ascii="Times New Roman" w:hAnsi="Times New Roman" w:eastAsia="宋体" w:cs="Times New Roman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2024-05-15T06:26:00Z</dcterms:created>
  <dc:creator>user</dc:creator>
  <cp:lastModifiedBy>snyqq</cp:lastModifiedBy>
  <cp:lastPrinted>2024-05-22T01:45:41Z</cp:lastPrinted>
  <dcterms:modified xsi:type="dcterms:W3CDTF">2024-05-23T02:04:58Z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846696F80513454B893B3EC74D498482_13</vt:lpwstr>
  </property>
</Properties>
</file>