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_GBK" w:eastAsia="方正小标宋_GBK" w:cs="方正小标宋_GBK"/>
          <w:sz w:val="44"/>
          <w:szCs w:val="44"/>
          <w:u w:val="none"/>
          <w:lang w:bidi="ar-SA"/>
        </w:rPr>
      </w:pPr>
      <w:bookmarkStart w:id="42" w:name="_GoBack"/>
      <w:r>
        <w:rPr>
          <w:rFonts w:hint="eastAsia" w:ascii="方正小标宋_GBK" w:eastAsia="方正小标宋_GBK" w:cs="方正小标宋_GBK"/>
          <w:sz w:val="44"/>
          <w:szCs w:val="44"/>
          <w:u w:val="none"/>
          <w:lang w:bidi="ar-SA"/>
        </w:rPr>
        <w:t>广元市山洪地质灾害避险搬迁专项规划</w:t>
      </w:r>
    </w:p>
    <w:p>
      <w:pPr>
        <w:spacing w:line="576" w:lineRule="exact"/>
        <w:jc w:val="center"/>
        <w:rPr>
          <w:rFonts w:hint="eastAsia" w:ascii="方正小标宋_GBK" w:eastAsia="方正小标宋_GBK" w:cs="方正小标宋_GBK"/>
          <w:sz w:val="44"/>
          <w:szCs w:val="44"/>
          <w:u w:val="none"/>
          <w:lang w:eastAsia="zh-CN" w:bidi="ar-SA"/>
        </w:rPr>
      </w:pPr>
      <w:r>
        <w:rPr>
          <w:rFonts w:hint="eastAsia" w:ascii="方正小标宋_GBK" w:eastAsia="方正小标宋_GBK" w:cs="方正小标宋_GBK"/>
          <w:sz w:val="44"/>
          <w:szCs w:val="44"/>
          <w:u w:val="none"/>
          <w:lang w:eastAsia="zh-CN" w:bidi="ar-SA"/>
        </w:rPr>
        <w:t>（</w:t>
      </w:r>
      <w:r>
        <w:rPr>
          <w:rFonts w:hint="eastAsia" w:ascii="方正小标宋_GBK" w:eastAsia="方正小标宋_GBK" w:cs="方正小标宋_GBK"/>
          <w:sz w:val="44"/>
          <w:szCs w:val="44"/>
          <w:u w:val="none"/>
          <w:lang w:bidi="ar-SA"/>
        </w:rPr>
        <w:t>2023—2027年</w:t>
      </w:r>
      <w:r>
        <w:rPr>
          <w:rFonts w:hint="eastAsia" w:ascii="方正小标宋_GBK" w:eastAsia="方正小标宋_GBK" w:cs="方正小标宋_GBK"/>
          <w:sz w:val="44"/>
          <w:szCs w:val="44"/>
          <w:u w:val="none"/>
          <w:lang w:eastAsia="zh-CN" w:bidi="ar-SA"/>
        </w:rPr>
        <w:t>）</w:t>
      </w:r>
    </w:p>
    <w:bookmarkEnd w:id="42"/>
    <w:p>
      <w:pPr>
        <w:spacing w:line="576" w:lineRule="exact"/>
        <w:jc w:val="center"/>
        <w:rPr>
          <w:rFonts w:hint="eastAsia" w:ascii="方正小标宋_GBK" w:eastAsia="方正小标宋_GBK" w:cs="方正小标宋_GBK"/>
          <w:sz w:val="44"/>
          <w:szCs w:val="44"/>
          <w:u w:val="none"/>
          <w:lang w:eastAsia="zh-CN" w:bidi="ar-SA"/>
        </w:rPr>
      </w:pPr>
    </w:p>
    <w:p>
      <w:pPr>
        <w:pStyle w:val="15"/>
        <w:spacing w:before="0" w:line="576" w:lineRule="exact"/>
        <w:jc w:val="center"/>
        <w:rPr>
          <w:rFonts w:hint="eastAsia" w:ascii="方正小标宋简体" w:eastAsia="方正小标宋简体" w:cs="方正小标宋简体"/>
          <w:color w:val="auto"/>
          <w:sz w:val="44"/>
          <w:szCs w:val="44"/>
          <w:u w:val="none"/>
          <w:lang w:bidi="ar-SA"/>
        </w:rPr>
      </w:pPr>
      <w:bookmarkStart w:id="0" w:name="_Toc21155"/>
      <w:bookmarkStart w:id="1" w:name="_Toc25389"/>
      <w:bookmarkStart w:id="2" w:name="_Toc26500"/>
      <w:bookmarkStart w:id="3" w:name="_Toc18087"/>
      <w:r>
        <w:rPr>
          <w:rFonts w:hint="eastAsia" w:ascii="方正小标宋简体" w:eastAsia="方正小标宋简体" w:cs="方正小标宋简体"/>
          <w:color w:val="auto"/>
          <w:sz w:val="44"/>
          <w:szCs w:val="44"/>
          <w:u w:val="none"/>
          <w:lang w:val="zh-CN" w:eastAsia="zh-CN" w:bidi="ar-SA"/>
        </w:rPr>
        <w:t>目  录</w:t>
      </w:r>
      <w:bookmarkEnd w:id="0"/>
      <w:bookmarkEnd w:id="1"/>
    </w:p>
    <w:p>
      <w:pPr>
        <w:pStyle w:val="10"/>
        <w:tabs>
          <w:tab w:val="right" w:leader="dot" w:pos="8845"/>
          <w:tab w:val="clear" w:pos="8834"/>
        </w:tabs>
        <w:spacing w:line="576" w:lineRule="exact"/>
        <w:rPr>
          <w:sz w:val="30"/>
          <w:szCs w:val="30"/>
          <w:u w:val="none"/>
        </w:rPr>
      </w:pPr>
      <w:r>
        <w:rPr>
          <w:rFonts w:hint="eastAsia" w:ascii="宋体" w:eastAsia="宋体"/>
          <w:sz w:val="30"/>
          <w:szCs w:val="30"/>
          <w:u w:val="none"/>
        </w:rPr>
        <w:fldChar w:fldCharType="begin"/>
      </w:r>
      <w:r>
        <w:rPr>
          <w:rFonts w:hint="eastAsia" w:ascii="宋体" w:eastAsia="宋体"/>
          <w:sz w:val="30"/>
          <w:szCs w:val="30"/>
          <w:u w:val="none"/>
        </w:rPr>
        <w:instrText xml:space="preserve"> TOC \o "1-3" \h \z \u </w:instrText>
      </w:r>
      <w:r>
        <w:rPr>
          <w:rFonts w:hint="eastAsia" w:ascii="宋体" w:eastAsia="宋体"/>
          <w:sz w:val="30"/>
          <w:szCs w:val="30"/>
          <w:u w:val="none"/>
        </w:rPr>
        <w:fldChar w:fldCharType="separate"/>
      </w:r>
      <w:r>
        <w:rPr>
          <w:rFonts w:hint="eastAsia" w:ascii="宋体" w:eastAsia="宋体"/>
          <w:bCs/>
          <w:sz w:val="30"/>
          <w:szCs w:val="30"/>
          <w:u w:val="none"/>
          <w:lang w:val="zh-CN" w:eastAsia="zh-CN"/>
        </w:rPr>
        <w:fldChar w:fldCharType="begin"/>
      </w:r>
      <w:r>
        <w:rPr>
          <w:rFonts w:hint="eastAsia" w:ascii="宋体" w:eastAsia="宋体"/>
          <w:bCs/>
          <w:sz w:val="30"/>
          <w:szCs w:val="30"/>
          <w:u w:val="none"/>
          <w:lang w:val="zh-CN" w:eastAsia="zh-CN"/>
        </w:rPr>
        <w:instrText xml:space="preserve"> HYPERLINK \l _Toc7284 </w:instrText>
      </w:r>
      <w:r>
        <w:rPr>
          <w:rFonts w:hint="eastAsia" w:ascii="宋体" w:eastAsia="宋体"/>
          <w:bCs/>
          <w:sz w:val="30"/>
          <w:szCs w:val="30"/>
          <w:u w:val="none"/>
          <w:lang w:val="zh-CN" w:eastAsia="zh-CN"/>
        </w:rPr>
        <w:fldChar w:fldCharType="separate"/>
      </w:r>
      <w:r>
        <w:rPr>
          <w:rFonts w:hint="eastAsia" w:ascii="黑体" w:cs="黑体"/>
          <w:sz w:val="30"/>
          <w:szCs w:val="30"/>
          <w:u w:val="none"/>
          <w:lang w:bidi="ar-SA"/>
        </w:rPr>
        <w:t>前言</w:t>
      </w:r>
      <w:r>
        <w:rPr>
          <w:sz w:val="30"/>
          <w:szCs w:val="30"/>
          <w:u w:val="none"/>
        </w:rPr>
        <w:tab/>
      </w:r>
      <w:r>
        <w:rPr>
          <w:sz w:val="30"/>
          <w:szCs w:val="30"/>
          <w:u w:val="none"/>
        </w:rPr>
        <w:fldChar w:fldCharType="begin"/>
      </w:r>
      <w:r>
        <w:rPr>
          <w:sz w:val="30"/>
          <w:szCs w:val="30"/>
          <w:u w:val="none"/>
        </w:rPr>
        <w:instrText xml:space="preserve"> PAGEREF _Toc7284 \h </w:instrText>
      </w:r>
      <w:r>
        <w:rPr>
          <w:sz w:val="30"/>
          <w:szCs w:val="30"/>
          <w:u w:val="none"/>
        </w:rPr>
        <w:fldChar w:fldCharType="separate"/>
      </w:r>
      <w:r>
        <w:rPr>
          <w:sz w:val="30"/>
          <w:szCs w:val="30"/>
          <w:u w:val="none"/>
        </w:rPr>
        <w:t>4</w:t>
      </w:r>
      <w:r>
        <w:rPr>
          <w:sz w:val="30"/>
          <w:szCs w:val="30"/>
          <w:u w:val="none"/>
        </w:rPr>
        <w:fldChar w:fldCharType="end"/>
      </w:r>
      <w:r>
        <w:rPr>
          <w:rFonts w:hint="eastAsia" w:ascii="宋体" w:eastAsia="宋体"/>
          <w:bCs/>
          <w:sz w:val="30"/>
          <w:szCs w:val="30"/>
          <w:u w:val="none"/>
          <w:lang w:val="zh-CN" w:eastAsia="zh-CN"/>
        </w:rPr>
        <w:fldChar w:fldCharType="end"/>
      </w:r>
    </w:p>
    <w:p>
      <w:pPr>
        <w:pStyle w:val="10"/>
        <w:tabs>
          <w:tab w:val="right" w:leader="dot" w:pos="8845"/>
          <w:tab w:val="clear" w:pos="8834"/>
        </w:tabs>
        <w:spacing w:line="576" w:lineRule="exact"/>
        <w:rPr>
          <w:sz w:val="30"/>
          <w:szCs w:val="30"/>
          <w:u w:val="none"/>
        </w:rPr>
      </w:pPr>
      <w:r>
        <w:rPr>
          <w:rFonts w:hint="eastAsia" w:ascii="宋体" w:eastAsia="宋体"/>
          <w:bCs/>
          <w:sz w:val="30"/>
          <w:szCs w:val="30"/>
          <w:u w:val="none"/>
          <w:lang w:val="zh-CN" w:eastAsia="zh-CN"/>
        </w:rPr>
        <w:fldChar w:fldCharType="begin"/>
      </w:r>
      <w:r>
        <w:rPr>
          <w:rFonts w:hint="eastAsia" w:ascii="宋体" w:eastAsia="宋体"/>
          <w:bCs/>
          <w:sz w:val="30"/>
          <w:szCs w:val="30"/>
          <w:u w:val="none"/>
          <w:lang w:val="zh-CN" w:eastAsia="zh-CN"/>
        </w:rPr>
        <w:instrText xml:space="preserve"> HYPERLINK \l _Toc5732 </w:instrText>
      </w:r>
      <w:r>
        <w:rPr>
          <w:rFonts w:hint="eastAsia" w:ascii="宋体" w:eastAsia="宋体"/>
          <w:bCs/>
          <w:sz w:val="30"/>
          <w:szCs w:val="30"/>
          <w:u w:val="none"/>
          <w:lang w:val="zh-CN" w:eastAsia="zh-CN"/>
        </w:rPr>
        <w:fldChar w:fldCharType="separate"/>
      </w:r>
      <w:r>
        <w:rPr>
          <w:rFonts w:hint="eastAsia" w:ascii="黑体" w:cs="黑体"/>
          <w:sz w:val="30"/>
          <w:szCs w:val="30"/>
          <w:u w:val="none"/>
          <w:lang w:bidi="ar-SA"/>
        </w:rPr>
        <w:t>第一章  基本情况</w:t>
      </w:r>
      <w:r>
        <w:rPr>
          <w:sz w:val="30"/>
          <w:szCs w:val="30"/>
          <w:u w:val="none"/>
        </w:rPr>
        <w:tab/>
      </w:r>
      <w:r>
        <w:rPr>
          <w:sz w:val="30"/>
          <w:szCs w:val="30"/>
          <w:u w:val="none"/>
        </w:rPr>
        <w:fldChar w:fldCharType="begin"/>
      </w:r>
      <w:r>
        <w:rPr>
          <w:sz w:val="30"/>
          <w:szCs w:val="30"/>
          <w:u w:val="none"/>
        </w:rPr>
        <w:instrText xml:space="preserve"> PAGEREF _Toc5732 \h </w:instrText>
      </w:r>
      <w:r>
        <w:rPr>
          <w:sz w:val="30"/>
          <w:szCs w:val="30"/>
          <w:u w:val="none"/>
        </w:rPr>
        <w:fldChar w:fldCharType="separate"/>
      </w:r>
      <w:r>
        <w:rPr>
          <w:sz w:val="30"/>
          <w:szCs w:val="30"/>
          <w:u w:val="none"/>
        </w:rPr>
        <w:t>5</w:t>
      </w:r>
      <w:r>
        <w:rPr>
          <w:sz w:val="30"/>
          <w:szCs w:val="30"/>
          <w:u w:val="none"/>
        </w:rPr>
        <w:fldChar w:fldCharType="end"/>
      </w:r>
      <w:r>
        <w:rPr>
          <w:rFonts w:hint="eastAsia" w:ascii="宋体" w:eastAsia="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_Toc26293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第一节 工作基础</w:t>
      </w:r>
      <w:r>
        <w:rPr>
          <w:sz w:val="30"/>
          <w:szCs w:val="30"/>
          <w:u w:val="none"/>
        </w:rPr>
        <w:tab/>
      </w:r>
      <w:r>
        <w:rPr>
          <w:sz w:val="30"/>
          <w:szCs w:val="30"/>
          <w:u w:val="none"/>
        </w:rPr>
        <w:fldChar w:fldCharType="begin"/>
      </w:r>
      <w:r>
        <w:rPr>
          <w:sz w:val="30"/>
          <w:szCs w:val="30"/>
          <w:u w:val="none"/>
        </w:rPr>
        <w:instrText xml:space="preserve"> PAGEREF _Toc26293 \h </w:instrText>
      </w:r>
      <w:r>
        <w:rPr>
          <w:sz w:val="30"/>
          <w:szCs w:val="30"/>
          <w:u w:val="none"/>
        </w:rPr>
        <w:fldChar w:fldCharType="separate"/>
      </w:r>
      <w:r>
        <w:rPr>
          <w:sz w:val="30"/>
          <w:szCs w:val="30"/>
          <w:u w:val="none"/>
        </w:rPr>
        <w:t>5</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_Toc27920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第二节 面临形势</w:t>
      </w:r>
      <w:r>
        <w:rPr>
          <w:sz w:val="30"/>
          <w:szCs w:val="30"/>
          <w:u w:val="none"/>
        </w:rPr>
        <w:tab/>
      </w:r>
      <w:r>
        <w:rPr>
          <w:sz w:val="30"/>
          <w:szCs w:val="30"/>
          <w:u w:val="none"/>
        </w:rPr>
        <w:fldChar w:fldCharType="begin"/>
      </w:r>
      <w:r>
        <w:rPr>
          <w:sz w:val="30"/>
          <w:szCs w:val="30"/>
          <w:u w:val="none"/>
        </w:rPr>
        <w:instrText xml:space="preserve"> PAGEREF _Toc27920 \h </w:instrText>
      </w:r>
      <w:r>
        <w:rPr>
          <w:sz w:val="30"/>
          <w:szCs w:val="30"/>
          <w:u w:val="none"/>
        </w:rPr>
        <w:fldChar w:fldCharType="separate"/>
      </w:r>
      <w:r>
        <w:rPr>
          <w:sz w:val="30"/>
          <w:szCs w:val="30"/>
          <w:u w:val="none"/>
        </w:rPr>
        <w:t>7</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_Toc7942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第三节 现状概况</w:t>
      </w:r>
      <w:r>
        <w:rPr>
          <w:sz w:val="30"/>
          <w:szCs w:val="30"/>
          <w:u w:val="none"/>
        </w:rPr>
        <w:tab/>
      </w:r>
      <w:r>
        <w:rPr>
          <w:sz w:val="30"/>
          <w:szCs w:val="30"/>
          <w:u w:val="none"/>
        </w:rPr>
        <w:fldChar w:fldCharType="begin"/>
      </w:r>
      <w:r>
        <w:rPr>
          <w:sz w:val="30"/>
          <w:szCs w:val="30"/>
          <w:u w:val="none"/>
        </w:rPr>
        <w:instrText xml:space="preserve"> PAGEREF _Toc7942 \h </w:instrText>
      </w:r>
      <w:r>
        <w:rPr>
          <w:sz w:val="30"/>
          <w:szCs w:val="30"/>
          <w:u w:val="none"/>
        </w:rPr>
        <w:fldChar w:fldCharType="separate"/>
      </w:r>
      <w:r>
        <w:rPr>
          <w:sz w:val="30"/>
          <w:szCs w:val="30"/>
          <w:u w:val="none"/>
        </w:rPr>
        <w:t>8</w:t>
      </w:r>
      <w:r>
        <w:rPr>
          <w:sz w:val="30"/>
          <w:szCs w:val="30"/>
          <w:u w:val="none"/>
        </w:rPr>
        <w:fldChar w:fldCharType="end"/>
      </w:r>
      <w:r>
        <w:rPr>
          <w:rFonts w:hint="eastAsia" w:ascii="宋体"/>
          <w:bCs/>
          <w:sz w:val="30"/>
          <w:szCs w:val="30"/>
          <w:u w:val="none"/>
          <w:lang w:val="zh-CN" w:eastAsia="zh-CN"/>
        </w:rPr>
        <w:fldChar w:fldCharType="end"/>
      </w:r>
    </w:p>
    <w:p>
      <w:pPr>
        <w:pStyle w:val="10"/>
        <w:tabs>
          <w:tab w:val="right" w:leader="dot" w:pos="8845"/>
          <w:tab w:val="clear" w:pos="8834"/>
        </w:tabs>
        <w:spacing w:line="576" w:lineRule="exact"/>
        <w:rPr>
          <w:sz w:val="30"/>
          <w:szCs w:val="30"/>
          <w:u w:val="none"/>
        </w:rPr>
      </w:pPr>
      <w:r>
        <w:rPr>
          <w:rFonts w:hint="eastAsia" w:ascii="宋体" w:eastAsia="宋体"/>
          <w:bCs/>
          <w:sz w:val="30"/>
          <w:szCs w:val="30"/>
          <w:u w:val="none"/>
          <w:lang w:val="zh-CN" w:eastAsia="zh-CN"/>
        </w:rPr>
        <w:fldChar w:fldCharType="begin"/>
      </w:r>
      <w:r>
        <w:rPr>
          <w:rFonts w:hint="eastAsia" w:ascii="宋体" w:eastAsia="宋体"/>
          <w:bCs/>
          <w:sz w:val="30"/>
          <w:szCs w:val="30"/>
          <w:u w:val="none"/>
          <w:lang w:val="zh-CN" w:eastAsia="zh-CN"/>
        </w:rPr>
        <w:instrText xml:space="preserve"> HYPERLINK \l _Toc31041 </w:instrText>
      </w:r>
      <w:r>
        <w:rPr>
          <w:rFonts w:hint="eastAsia" w:ascii="宋体" w:eastAsia="宋体"/>
          <w:bCs/>
          <w:sz w:val="30"/>
          <w:szCs w:val="30"/>
          <w:u w:val="none"/>
          <w:lang w:val="zh-CN" w:eastAsia="zh-CN"/>
        </w:rPr>
        <w:fldChar w:fldCharType="separate"/>
      </w:r>
      <w:r>
        <w:rPr>
          <w:rFonts w:hint="eastAsia" w:ascii="黑体" w:cs="黑体"/>
          <w:sz w:val="30"/>
          <w:szCs w:val="30"/>
          <w:u w:val="none"/>
          <w:lang w:bidi="ar-SA"/>
        </w:rPr>
        <w:t>第二章  总体要求</w:t>
      </w:r>
      <w:r>
        <w:rPr>
          <w:sz w:val="30"/>
          <w:szCs w:val="30"/>
          <w:u w:val="none"/>
        </w:rPr>
        <w:tab/>
      </w:r>
      <w:r>
        <w:rPr>
          <w:sz w:val="30"/>
          <w:szCs w:val="30"/>
          <w:u w:val="none"/>
        </w:rPr>
        <w:fldChar w:fldCharType="begin"/>
      </w:r>
      <w:r>
        <w:rPr>
          <w:sz w:val="30"/>
          <w:szCs w:val="30"/>
          <w:u w:val="none"/>
        </w:rPr>
        <w:instrText xml:space="preserve"> PAGEREF _Toc31041 \h </w:instrText>
      </w:r>
      <w:r>
        <w:rPr>
          <w:sz w:val="30"/>
          <w:szCs w:val="30"/>
          <w:u w:val="none"/>
        </w:rPr>
        <w:fldChar w:fldCharType="separate"/>
      </w:r>
      <w:r>
        <w:rPr>
          <w:sz w:val="30"/>
          <w:szCs w:val="30"/>
          <w:u w:val="none"/>
        </w:rPr>
        <w:t>10</w:t>
      </w:r>
      <w:r>
        <w:rPr>
          <w:sz w:val="30"/>
          <w:szCs w:val="30"/>
          <w:u w:val="none"/>
        </w:rPr>
        <w:fldChar w:fldCharType="end"/>
      </w:r>
      <w:r>
        <w:rPr>
          <w:rFonts w:hint="eastAsia" w:ascii="宋体" w:eastAsia="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_Toc7335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第一节 指导思想</w:t>
      </w:r>
      <w:r>
        <w:rPr>
          <w:sz w:val="30"/>
          <w:szCs w:val="30"/>
          <w:u w:val="none"/>
        </w:rPr>
        <w:tab/>
      </w:r>
      <w:r>
        <w:rPr>
          <w:sz w:val="30"/>
          <w:szCs w:val="30"/>
          <w:u w:val="none"/>
        </w:rPr>
        <w:fldChar w:fldCharType="begin"/>
      </w:r>
      <w:r>
        <w:rPr>
          <w:sz w:val="30"/>
          <w:szCs w:val="30"/>
          <w:u w:val="none"/>
        </w:rPr>
        <w:instrText xml:space="preserve"> PAGEREF _Toc7335 \h </w:instrText>
      </w:r>
      <w:r>
        <w:rPr>
          <w:sz w:val="30"/>
          <w:szCs w:val="30"/>
          <w:u w:val="none"/>
        </w:rPr>
        <w:fldChar w:fldCharType="separate"/>
      </w:r>
      <w:r>
        <w:rPr>
          <w:sz w:val="30"/>
          <w:szCs w:val="30"/>
          <w:u w:val="none"/>
        </w:rPr>
        <w:t>10</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_Toc21730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第二节 基本原则</w:t>
      </w:r>
      <w:r>
        <w:rPr>
          <w:sz w:val="30"/>
          <w:szCs w:val="30"/>
          <w:u w:val="none"/>
        </w:rPr>
        <w:tab/>
      </w:r>
      <w:r>
        <w:rPr>
          <w:sz w:val="30"/>
          <w:szCs w:val="30"/>
          <w:u w:val="none"/>
        </w:rPr>
        <w:fldChar w:fldCharType="begin"/>
      </w:r>
      <w:r>
        <w:rPr>
          <w:sz w:val="30"/>
          <w:szCs w:val="30"/>
          <w:u w:val="none"/>
        </w:rPr>
        <w:instrText xml:space="preserve"> PAGEREF _Toc21730 \h </w:instrText>
      </w:r>
      <w:r>
        <w:rPr>
          <w:sz w:val="30"/>
          <w:szCs w:val="30"/>
          <w:u w:val="none"/>
        </w:rPr>
        <w:fldChar w:fldCharType="separate"/>
      </w:r>
      <w:r>
        <w:rPr>
          <w:sz w:val="30"/>
          <w:szCs w:val="30"/>
          <w:u w:val="none"/>
        </w:rPr>
        <w:t>11</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_Toc23259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第三节 规划依据</w:t>
      </w:r>
      <w:r>
        <w:rPr>
          <w:sz w:val="30"/>
          <w:szCs w:val="30"/>
          <w:u w:val="none"/>
        </w:rPr>
        <w:tab/>
      </w:r>
      <w:r>
        <w:rPr>
          <w:sz w:val="30"/>
          <w:szCs w:val="30"/>
          <w:u w:val="none"/>
        </w:rPr>
        <w:fldChar w:fldCharType="begin"/>
      </w:r>
      <w:r>
        <w:rPr>
          <w:sz w:val="30"/>
          <w:szCs w:val="30"/>
          <w:u w:val="none"/>
        </w:rPr>
        <w:instrText xml:space="preserve"> PAGEREF _Toc23259 \h </w:instrText>
      </w:r>
      <w:r>
        <w:rPr>
          <w:sz w:val="30"/>
          <w:szCs w:val="30"/>
          <w:u w:val="none"/>
        </w:rPr>
        <w:fldChar w:fldCharType="separate"/>
      </w:r>
      <w:r>
        <w:rPr>
          <w:sz w:val="30"/>
          <w:szCs w:val="30"/>
          <w:u w:val="none"/>
        </w:rPr>
        <w:t>11</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_Toc15140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第四节 规划目标</w:t>
      </w:r>
      <w:r>
        <w:rPr>
          <w:sz w:val="30"/>
          <w:szCs w:val="30"/>
          <w:u w:val="none"/>
        </w:rPr>
        <w:tab/>
      </w:r>
      <w:r>
        <w:rPr>
          <w:sz w:val="30"/>
          <w:szCs w:val="30"/>
          <w:u w:val="none"/>
        </w:rPr>
        <w:fldChar w:fldCharType="begin"/>
      </w:r>
      <w:r>
        <w:rPr>
          <w:sz w:val="30"/>
          <w:szCs w:val="30"/>
          <w:u w:val="none"/>
        </w:rPr>
        <w:instrText xml:space="preserve"> PAGEREF _Toc15140 \h </w:instrText>
      </w:r>
      <w:r>
        <w:rPr>
          <w:sz w:val="30"/>
          <w:szCs w:val="30"/>
          <w:u w:val="none"/>
        </w:rPr>
        <w:fldChar w:fldCharType="separate"/>
      </w:r>
      <w:r>
        <w:rPr>
          <w:sz w:val="30"/>
          <w:szCs w:val="30"/>
          <w:u w:val="none"/>
        </w:rPr>
        <w:t>13</w:t>
      </w:r>
      <w:r>
        <w:rPr>
          <w:sz w:val="30"/>
          <w:szCs w:val="30"/>
          <w:u w:val="none"/>
        </w:rPr>
        <w:fldChar w:fldCharType="end"/>
      </w:r>
      <w:r>
        <w:rPr>
          <w:rFonts w:hint="eastAsia" w:ascii="宋体"/>
          <w:bCs/>
          <w:sz w:val="30"/>
          <w:szCs w:val="30"/>
          <w:u w:val="none"/>
          <w:lang w:val="zh-CN" w:eastAsia="zh-CN"/>
        </w:rPr>
        <w:fldChar w:fldCharType="end"/>
      </w:r>
    </w:p>
    <w:p>
      <w:pPr>
        <w:pStyle w:val="10"/>
        <w:tabs>
          <w:tab w:val="right" w:leader="dot" w:pos="8845"/>
          <w:tab w:val="clear" w:pos="8834"/>
        </w:tabs>
        <w:spacing w:line="576" w:lineRule="exact"/>
        <w:rPr>
          <w:sz w:val="30"/>
          <w:szCs w:val="30"/>
          <w:u w:val="none"/>
        </w:rPr>
      </w:pPr>
      <w:r>
        <w:rPr>
          <w:rFonts w:hint="eastAsia" w:ascii="宋体" w:eastAsia="宋体"/>
          <w:bCs/>
          <w:sz w:val="30"/>
          <w:szCs w:val="30"/>
          <w:u w:val="none"/>
          <w:lang w:val="zh-CN" w:eastAsia="zh-CN"/>
        </w:rPr>
        <w:fldChar w:fldCharType="begin"/>
      </w:r>
      <w:r>
        <w:rPr>
          <w:rFonts w:hint="eastAsia" w:ascii="宋体" w:eastAsia="宋体"/>
          <w:bCs/>
          <w:sz w:val="30"/>
          <w:szCs w:val="30"/>
          <w:u w:val="none"/>
          <w:lang w:val="zh-CN" w:eastAsia="zh-CN"/>
        </w:rPr>
        <w:instrText xml:space="preserve"> HYPERLINK \l _Toc2335 </w:instrText>
      </w:r>
      <w:r>
        <w:rPr>
          <w:rFonts w:hint="eastAsia" w:ascii="宋体" w:eastAsia="宋体"/>
          <w:bCs/>
          <w:sz w:val="30"/>
          <w:szCs w:val="30"/>
          <w:u w:val="none"/>
          <w:lang w:val="zh-CN" w:eastAsia="zh-CN"/>
        </w:rPr>
        <w:fldChar w:fldCharType="separate"/>
      </w:r>
      <w:r>
        <w:rPr>
          <w:rFonts w:hint="eastAsia" w:ascii="黑体" w:cs="黑体"/>
          <w:sz w:val="30"/>
          <w:szCs w:val="30"/>
          <w:u w:val="none"/>
          <w:lang w:bidi="ar-SA"/>
        </w:rPr>
        <w:t>第三章  搬迁对象和任务</w:t>
      </w:r>
      <w:r>
        <w:rPr>
          <w:sz w:val="30"/>
          <w:szCs w:val="30"/>
          <w:u w:val="none"/>
        </w:rPr>
        <w:tab/>
      </w:r>
      <w:r>
        <w:rPr>
          <w:sz w:val="30"/>
          <w:szCs w:val="30"/>
          <w:u w:val="none"/>
        </w:rPr>
        <w:fldChar w:fldCharType="begin"/>
      </w:r>
      <w:r>
        <w:rPr>
          <w:sz w:val="30"/>
          <w:szCs w:val="30"/>
          <w:u w:val="none"/>
        </w:rPr>
        <w:instrText xml:space="preserve"> PAGEREF _Toc2335 \h </w:instrText>
      </w:r>
      <w:r>
        <w:rPr>
          <w:sz w:val="30"/>
          <w:szCs w:val="30"/>
          <w:u w:val="none"/>
        </w:rPr>
        <w:fldChar w:fldCharType="separate"/>
      </w:r>
      <w:r>
        <w:rPr>
          <w:sz w:val="30"/>
          <w:szCs w:val="30"/>
          <w:u w:val="none"/>
        </w:rPr>
        <w:t>14</w:t>
      </w:r>
      <w:r>
        <w:rPr>
          <w:sz w:val="30"/>
          <w:szCs w:val="30"/>
          <w:u w:val="none"/>
        </w:rPr>
        <w:fldChar w:fldCharType="end"/>
      </w:r>
      <w:r>
        <w:rPr>
          <w:rFonts w:hint="eastAsia" w:ascii="宋体" w:eastAsia="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_Toc16981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第一节 搬迁对象</w:t>
      </w:r>
      <w:r>
        <w:rPr>
          <w:sz w:val="30"/>
          <w:szCs w:val="30"/>
          <w:u w:val="none"/>
        </w:rPr>
        <w:tab/>
      </w:r>
      <w:r>
        <w:rPr>
          <w:sz w:val="30"/>
          <w:szCs w:val="30"/>
          <w:u w:val="none"/>
        </w:rPr>
        <w:fldChar w:fldCharType="begin"/>
      </w:r>
      <w:r>
        <w:rPr>
          <w:sz w:val="30"/>
          <w:szCs w:val="30"/>
          <w:u w:val="none"/>
        </w:rPr>
        <w:instrText xml:space="preserve"> PAGEREF _Toc16981 \h </w:instrText>
      </w:r>
      <w:r>
        <w:rPr>
          <w:sz w:val="30"/>
          <w:szCs w:val="30"/>
          <w:u w:val="none"/>
        </w:rPr>
        <w:fldChar w:fldCharType="separate"/>
      </w:r>
      <w:r>
        <w:rPr>
          <w:sz w:val="30"/>
          <w:szCs w:val="30"/>
          <w:u w:val="none"/>
        </w:rPr>
        <w:t>14</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_Toc7726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第二节 搬迁任务</w:t>
      </w:r>
      <w:r>
        <w:rPr>
          <w:sz w:val="30"/>
          <w:szCs w:val="30"/>
          <w:u w:val="none"/>
        </w:rPr>
        <w:tab/>
      </w:r>
      <w:r>
        <w:rPr>
          <w:sz w:val="30"/>
          <w:szCs w:val="30"/>
          <w:u w:val="none"/>
        </w:rPr>
        <w:fldChar w:fldCharType="begin"/>
      </w:r>
      <w:r>
        <w:rPr>
          <w:sz w:val="30"/>
          <w:szCs w:val="30"/>
          <w:u w:val="none"/>
        </w:rPr>
        <w:instrText xml:space="preserve"> PAGEREF _Toc7726 \h </w:instrText>
      </w:r>
      <w:r>
        <w:rPr>
          <w:sz w:val="30"/>
          <w:szCs w:val="30"/>
          <w:u w:val="none"/>
        </w:rPr>
        <w:fldChar w:fldCharType="separate"/>
      </w:r>
      <w:r>
        <w:rPr>
          <w:sz w:val="30"/>
          <w:szCs w:val="30"/>
          <w:u w:val="none"/>
        </w:rPr>
        <w:t>14</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_Toc24935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第三节 进度安排</w:t>
      </w:r>
      <w:r>
        <w:rPr>
          <w:sz w:val="30"/>
          <w:szCs w:val="30"/>
          <w:u w:val="none"/>
        </w:rPr>
        <w:tab/>
      </w:r>
      <w:r>
        <w:rPr>
          <w:sz w:val="30"/>
          <w:szCs w:val="30"/>
          <w:u w:val="none"/>
        </w:rPr>
        <w:fldChar w:fldCharType="begin"/>
      </w:r>
      <w:r>
        <w:rPr>
          <w:sz w:val="30"/>
          <w:szCs w:val="30"/>
          <w:u w:val="none"/>
        </w:rPr>
        <w:instrText xml:space="preserve"> PAGEREF _Toc24935 \h </w:instrText>
      </w:r>
      <w:r>
        <w:rPr>
          <w:sz w:val="30"/>
          <w:szCs w:val="30"/>
          <w:u w:val="none"/>
        </w:rPr>
        <w:fldChar w:fldCharType="separate"/>
      </w:r>
      <w:r>
        <w:rPr>
          <w:sz w:val="30"/>
          <w:szCs w:val="30"/>
          <w:u w:val="none"/>
        </w:rPr>
        <w:t>15</w:t>
      </w:r>
      <w:r>
        <w:rPr>
          <w:sz w:val="30"/>
          <w:szCs w:val="30"/>
          <w:u w:val="none"/>
        </w:rPr>
        <w:fldChar w:fldCharType="end"/>
      </w:r>
      <w:r>
        <w:rPr>
          <w:rFonts w:hint="eastAsia" w:ascii="宋体"/>
          <w:bCs/>
          <w:sz w:val="30"/>
          <w:szCs w:val="30"/>
          <w:u w:val="none"/>
          <w:lang w:val="zh-CN" w:eastAsia="zh-CN"/>
        </w:rPr>
        <w:fldChar w:fldCharType="end"/>
      </w:r>
    </w:p>
    <w:p>
      <w:pPr>
        <w:pStyle w:val="10"/>
        <w:tabs>
          <w:tab w:val="right" w:leader="dot" w:pos="8845"/>
          <w:tab w:val="clear" w:pos="8834"/>
        </w:tabs>
        <w:spacing w:line="576" w:lineRule="exact"/>
        <w:rPr>
          <w:sz w:val="30"/>
          <w:szCs w:val="30"/>
          <w:u w:val="none"/>
        </w:rPr>
      </w:pPr>
      <w:r>
        <w:rPr>
          <w:rFonts w:hint="eastAsia" w:ascii="宋体" w:eastAsia="宋体"/>
          <w:bCs/>
          <w:sz w:val="30"/>
          <w:szCs w:val="30"/>
          <w:u w:val="none"/>
          <w:lang w:val="zh-CN" w:eastAsia="zh-CN"/>
        </w:rPr>
        <w:fldChar w:fldCharType="begin"/>
      </w:r>
      <w:r>
        <w:rPr>
          <w:rFonts w:hint="eastAsia" w:ascii="宋体" w:eastAsia="宋体"/>
          <w:bCs/>
          <w:sz w:val="30"/>
          <w:szCs w:val="30"/>
          <w:u w:val="none"/>
          <w:lang w:val="zh-CN" w:eastAsia="zh-CN"/>
        </w:rPr>
        <w:instrText xml:space="preserve"> HYPERLINK \l _Toc3042 </w:instrText>
      </w:r>
      <w:r>
        <w:rPr>
          <w:rFonts w:hint="eastAsia" w:ascii="宋体" w:eastAsia="宋体"/>
          <w:bCs/>
          <w:sz w:val="30"/>
          <w:szCs w:val="30"/>
          <w:u w:val="none"/>
          <w:lang w:val="zh-CN" w:eastAsia="zh-CN"/>
        </w:rPr>
        <w:fldChar w:fldCharType="separate"/>
      </w:r>
      <w:r>
        <w:rPr>
          <w:rFonts w:hint="eastAsia" w:ascii="黑体" w:cs="黑体"/>
          <w:sz w:val="30"/>
          <w:szCs w:val="30"/>
          <w:u w:val="none"/>
          <w:lang w:bidi="ar-SA"/>
        </w:rPr>
        <w:t>第四章  搬迁安置</w:t>
      </w:r>
      <w:r>
        <w:rPr>
          <w:sz w:val="30"/>
          <w:szCs w:val="30"/>
          <w:u w:val="none"/>
        </w:rPr>
        <w:tab/>
      </w:r>
      <w:r>
        <w:rPr>
          <w:sz w:val="30"/>
          <w:szCs w:val="30"/>
          <w:u w:val="none"/>
        </w:rPr>
        <w:fldChar w:fldCharType="begin"/>
      </w:r>
      <w:r>
        <w:rPr>
          <w:sz w:val="30"/>
          <w:szCs w:val="30"/>
          <w:u w:val="none"/>
        </w:rPr>
        <w:instrText xml:space="preserve"> PAGEREF _Toc3042 \h </w:instrText>
      </w:r>
      <w:r>
        <w:rPr>
          <w:sz w:val="30"/>
          <w:szCs w:val="30"/>
          <w:u w:val="none"/>
        </w:rPr>
        <w:fldChar w:fldCharType="separate"/>
      </w:r>
      <w:r>
        <w:rPr>
          <w:sz w:val="30"/>
          <w:szCs w:val="30"/>
          <w:u w:val="none"/>
        </w:rPr>
        <w:t>16</w:t>
      </w:r>
      <w:r>
        <w:rPr>
          <w:sz w:val="30"/>
          <w:szCs w:val="30"/>
          <w:u w:val="none"/>
        </w:rPr>
        <w:fldChar w:fldCharType="end"/>
      </w:r>
      <w:r>
        <w:rPr>
          <w:rFonts w:hint="eastAsia" w:ascii="宋体" w:eastAsia="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_Toc1712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第一节 搬迁方式</w:t>
      </w:r>
      <w:r>
        <w:rPr>
          <w:sz w:val="30"/>
          <w:szCs w:val="30"/>
          <w:u w:val="none"/>
        </w:rPr>
        <w:tab/>
      </w:r>
      <w:r>
        <w:rPr>
          <w:sz w:val="30"/>
          <w:szCs w:val="30"/>
          <w:u w:val="none"/>
        </w:rPr>
        <w:fldChar w:fldCharType="begin"/>
      </w:r>
      <w:r>
        <w:rPr>
          <w:sz w:val="30"/>
          <w:szCs w:val="30"/>
          <w:u w:val="none"/>
        </w:rPr>
        <w:instrText xml:space="preserve"> PAGEREF _Toc1712 \h </w:instrText>
      </w:r>
      <w:r>
        <w:rPr>
          <w:sz w:val="30"/>
          <w:szCs w:val="30"/>
          <w:u w:val="none"/>
        </w:rPr>
        <w:fldChar w:fldCharType="separate"/>
      </w:r>
      <w:r>
        <w:rPr>
          <w:sz w:val="30"/>
          <w:szCs w:val="30"/>
          <w:u w:val="none"/>
        </w:rPr>
        <w:t>16</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_Toc25466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第二节 安置方式</w:t>
      </w:r>
      <w:r>
        <w:rPr>
          <w:sz w:val="30"/>
          <w:szCs w:val="30"/>
          <w:u w:val="none"/>
        </w:rPr>
        <w:tab/>
      </w:r>
      <w:r>
        <w:rPr>
          <w:sz w:val="30"/>
          <w:szCs w:val="30"/>
          <w:u w:val="none"/>
        </w:rPr>
        <w:fldChar w:fldCharType="begin"/>
      </w:r>
      <w:r>
        <w:rPr>
          <w:sz w:val="30"/>
          <w:szCs w:val="30"/>
          <w:u w:val="none"/>
        </w:rPr>
        <w:instrText xml:space="preserve"> PAGEREF _Toc25466 \h </w:instrText>
      </w:r>
      <w:r>
        <w:rPr>
          <w:sz w:val="30"/>
          <w:szCs w:val="30"/>
          <w:u w:val="none"/>
        </w:rPr>
        <w:fldChar w:fldCharType="separate"/>
      </w:r>
      <w:r>
        <w:rPr>
          <w:sz w:val="30"/>
          <w:szCs w:val="30"/>
          <w:u w:val="none"/>
        </w:rPr>
        <w:t>16</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_Toc29099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第三节 选址建设</w:t>
      </w:r>
      <w:r>
        <w:rPr>
          <w:sz w:val="30"/>
          <w:szCs w:val="30"/>
          <w:u w:val="none"/>
        </w:rPr>
        <w:tab/>
      </w:r>
      <w:r>
        <w:rPr>
          <w:sz w:val="30"/>
          <w:szCs w:val="30"/>
          <w:u w:val="none"/>
        </w:rPr>
        <w:fldChar w:fldCharType="begin"/>
      </w:r>
      <w:r>
        <w:rPr>
          <w:sz w:val="30"/>
          <w:szCs w:val="30"/>
          <w:u w:val="none"/>
        </w:rPr>
        <w:instrText xml:space="preserve"> PAGEREF _Toc29099 \h </w:instrText>
      </w:r>
      <w:r>
        <w:rPr>
          <w:sz w:val="30"/>
          <w:szCs w:val="30"/>
          <w:u w:val="none"/>
        </w:rPr>
        <w:fldChar w:fldCharType="separate"/>
      </w:r>
      <w:r>
        <w:rPr>
          <w:sz w:val="30"/>
          <w:szCs w:val="30"/>
          <w:u w:val="none"/>
        </w:rPr>
        <w:t>17</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_Toc29911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第四节 基础配套</w:t>
      </w:r>
      <w:r>
        <w:rPr>
          <w:sz w:val="30"/>
          <w:szCs w:val="30"/>
          <w:u w:val="none"/>
        </w:rPr>
        <w:tab/>
      </w:r>
      <w:r>
        <w:rPr>
          <w:sz w:val="30"/>
          <w:szCs w:val="30"/>
          <w:u w:val="none"/>
        </w:rPr>
        <w:fldChar w:fldCharType="begin"/>
      </w:r>
      <w:r>
        <w:rPr>
          <w:sz w:val="30"/>
          <w:szCs w:val="30"/>
          <w:u w:val="none"/>
        </w:rPr>
        <w:instrText xml:space="preserve"> PAGEREF _Toc29911 \h </w:instrText>
      </w:r>
      <w:r>
        <w:rPr>
          <w:sz w:val="30"/>
          <w:szCs w:val="30"/>
          <w:u w:val="none"/>
        </w:rPr>
        <w:fldChar w:fldCharType="separate"/>
      </w:r>
      <w:r>
        <w:rPr>
          <w:sz w:val="30"/>
          <w:szCs w:val="30"/>
          <w:u w:val="none"/>
        </w:rPr>
        <w:t>18</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rFonts w:hint="eastAsia" w:ascii="宋体"/>
          <w:bCs/>
          <w:sz w:val="30"/>
          <w:szCs w:val="30"/>
          <w:u w:val="none"/>
          <w:lang w:val="zh-CN" w:eastAsia="zh-CN"/>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_Toc20420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第五节 鼓励租购</w:t>
      </w:r>
      <w:r>
        <w:rPr>
          <w:sz w:val="30"/>
          <w:szCs w:val="30"/>
          <w:u w:val="none"/>
        </w:rPr>
        <w:tab/>
      </w:r>
      <w:r>
        <w:rPr>
          <w:sz w:val="30"/>
          <w:szCs w:val="30"/>
          <w:u w:val="none"/>
        </w:rPr>
        <w:fldChar w:fldCharType="begin"/>
      </w:r>
      <w:r>
        <w:rPr>
          <w:sz w:val="30"/>
          <w:szCs w:val="30"/>
          <w:u w:val="none"/>
        </w:rPr>
        <w:instrText xml:space="preserve"> PAGEREF _Toc20420 \h </w:instrText>
      </w:r>
      <w:r>
        <w:rPr>
          <w:sz w:val="30"/>
          <w:szCs w:val="30"/>
          <w:u w:val="none"/>
        </w:rPr>
        <w:fldChar w:fldCharType="separate"/>
      </w:r>
      <w:r>
        <w:rPr>
          <w:sz w:val="30"/>
          <w:szCs w:val="30"/>
          <w:u w:val="none"/>
        </w:rPr>
        <w:t>19</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_Toc2203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第六节 复垦整治</w:t>
      </w:r>
      <w:r>
        <w:rPr>
          <w:sz w:val="30"/>
          <w:szCs w:val="30"/>
          <w:u w:val="none"/>
        </w:rPr>
        <w:tab/>
      </w:r>
      <w:r>
        <w:rPr>
          <w:sz w:val="30"/>
          <w:szCs w:val="30"/>
          <w:u w:val="none"/>
        </w:rPr>
        <w:fldChar w:fldCharType="begin"/>
      </w:r>
      <w:r>
        <w:rPr>
          <w:sz w:val="30"/>
          <w:szCs w:val="30"/>
          <w:u w:val="none"/>
        </w:rPr>
        <w:instrText xml:space="preserve"> PAGEREF _Toc2203 \h </w:instrText>
      </w:r>
      <w:r>
        <w:rPr>
          <w:sz w:val="30"/>
          <w:szCs w:val="30"/>
          <w:u w:val="none"/>
        </w:rPr>
        <w:fldChar w:fldCharType="separate"/>
      </w:r>
      <w:r>
        <w:rPr>
          <w:sz w:val="30"/>
          <w:szCs w:val="30"/>
          <w:u w:val="none"/>
        </w:rPr>
        <w:t>19</w:t>
      </w:r>
      <w:r>
        <w:rPr>
          <w:sz w:val="30"/>
          <w:szCs w:val="30"/>
          <w:u w:val="none"/>
        </w:rPr>
        <w:fldChar w:fldCharType="end"/>
      </w:r>
      <w:r>
        <w:rPr>
          <w:rFonts w:hint="eastAsia" w:ascii="宋体"/>
          <w:bCs/>
          <w:sz w:val="30"/>
          <w:szCs w:val="30"/>
          <w:u w:val="none"/>
          <w:lang w:val="zh-CN" w:eastAsia="zh-CN"/>
        </w:rPr>
        <w:fldChar w:fldCharType="end"/>
      </w:r>
    </w:p>
    <w:p>
      <w:pPr>
        <w:pStyle w:val="10"/>
        <w:tabs>
          <w:tab w:val="right" w:leader="dot" w:pos="8845"/>
          <w:tab w:val="clear" w:pos="8834"/>
        </w:tabs>
        <w:spacing w:line="576" w:lineRule="exact"/>
        <w:rPr>
          <w:sz w:val="30"/>
          <w:szCs w:val="30"/>
          <w:u w:val="none"/>
        </w:rPr>
      </w:pPr>
      <w:r>
        <w:rPr>
          <w:rFonts w:hint="eastAsia" w:ascii="宋体" w:eastAsia="宋体"/>
          <w:bCs/>
          <w:sz w:val="30"/>
          <w:szCs w:val="30"/>
          <w:u w:val="none"/>
          <w:lang w:val="zh-CN" w:eastAsia="zh-CN"/>
        </w:rPr>
        <w:fldChar w:fldCharType="begin"/>
      </w:r>
      <w:r>
        <w:rPr>
          <w:rFonts w:hint="eastAsia" w:ascii="宋体" w:eastAsia="宋体"/>
          <w:bCs/>
          <w:sz w:val="30"/>
          <w:szCs w:val="30"/>
          <w:u w:val="none"/>
          <w:lang w:val="zh-CN" w:eastAsia="zh-CN"/>
        </w:rPr>
        <w:instrText xml:space="preserve"> HYPERLINK \l _Toc23664 </w:instrText>
      </w:r>
      <w:r>
        <w:rPr>
          <w:rFonts w:hint="eastAsia" w:ascii="宋体" w:eastAsia="宋体"/>
          <w:bCs/>
          <w:sz w:val="30"/>
          <w:szCs w:val="30"/>
          <w:u w:val="none"/>
          <w:lang w:val="zh-CN" w:eastAsia="zh-CN"/>
        </w:rPr>
        <w:fldChar w:fldCharType="separate"/>
      </w:r>
      <w:r>
        <w:rPr>
          <w:rFonts w:hint="eastAsia" w:ascii="黑体" w:cs="黑体"/>
          <w:sz w:val="30"/>
          <w:szCs w:val="30"/>
          <w:u w:val="none"/>
          <w:lang w:bidi="ar-SA"/>
        </w:rPr>
        <w:t>第五章  资金筹措</w:t>
      </w:r>
      <w:r>
        <w:rPr>
          <w:sz w:val="30"/>
          <w:szCs w:val="30"/>
          <w:u w:val="none"/>
        </w:rPr>
        <w:tab/>
      </w:r>
      <w:r>
        <w:rPr>
          <w:sz w:val="30"/>
          <w:szCs w:val="30"/>
          <w:u w:val="none"/>
        </w:rPr>
        <w:fldChar w:fldCharType="begin"/>
      </w:r>
      <w:r>
        <w:rPr>
          <w:sz w:val="30"/>
          <w:szCs w:val="30"/>
          <w:u w:val="none"/>
        </w:rPr>
        <w:instrText xml:space="preserve"> PAGEREF _Toc23664 \h </w:instrText>
      </w:r>
      <w:r>
        <w:rPr>
          <w:sz w:val="30"/>
          <w:szCs w:val="30"/>
          <w:u w:val="none"/>
        </w:rPr>
        <w:fldChar w:fldCharType="separate"/>
      </w:r>
      <w:r>
        <w:rPr>
          <w:sz w:val="30"/>
          <w:szCs w:val="30"/>
          <w:u w:val="none"/>
        </w:rPr>
        <w:t>19</w:t>
      </w:r>
      <w:r>
        <w:rPr>
          <w:sz w:val="30"/>
          <w:szCs w:val="30"/>
          <w:u w:val="none"/>
        </w:rPr>
        <w:fldChar w:fldCharType="end"/>
      </w:r>
      <w:r>
        <w:rPr>
          <w:rFonts w:hint="eastAsia" w:ascii="宋体" w:eastAsia="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_Toc5207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第一节 用活用好相关政策</w:t>
      </w:r>
      <w:r>
        <w:rPr>
          <w:sz w:val="30"/>
          <w:szCs w:val="30"/>
          <w:u w:val="none"/>
        </w:rPr>
        <w:tab/>
      </w:r>
      <w:r>
        <w:rPr>
          <w:sz w:val="30"/>
          <w:szCs w:val="30"/>
          <w:u w:val="none"/>
        </w:rPr>
        <w:fldChar w:fldCharType="begin"/>
      </w:r>
      <w:r>
        <w:rPr>
          <w:sz w:val="30"/>
          <w:szCs w:val="30"/>
          <w:u w:val="none"/>
        </w:rPr>
        <w:instrText xml:space="preserve"> PAGEREF _Toc5207 \h </w:instrText>
      </w:r>
      <w:r>
        <w:rPr>
          <w:sz w:val="30"/>
          <w:szCs w:val="30"/>
          <w:u w:val="none"/>
        </w:rPr>
        <w:fldChar w:fldCharType="separate"/>
      </w:r>
      <w:r>
        <w:rPr>
          <w:sz w:val="30"/>
          <w:szCs w:val="30"/>
          <w:u w:val="none"/>
        </w:rPr>
        <w:t>19</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_Toc1826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第二节 加大财政支持力度</w:t>
      </w:r>
      <w:r>
        <w:rPr>
          <w:sz w:val="30"/>
          <w:szCs w:val="30"/>
          <w:u w:val="none"/>
        </w:rPr>
        <w:tab/>
      </w:r>
      <w:r>
        <w:rPr>
          <w:sz w:val="30"/>
          <w:szCs w:val="30"/>
          <w:u w:val="none"/>
        </w:rPr>
        <w:fldChar w:fldCharType="begin"/>
      </w:r>
      <w:r>
        <w:rPr>
          <w:sz w:val="30"/>
          <w:szCs w:val="30"/>
          <w:u w:val="none"/>
        </w:rPr>
        <w:instrText xml:space="preserve"> PAGEREF _Toc1826 \h </w:instrText>
      </w:r>
      <w:r>
        <w:rPr>
          <w:sz w:val="30"/>
          <w:szCs w:val="30"/>
          <w:u w:val="none"/>
        </w:rPr>
        <w:fldChar w:fldCharType="separate"/>
      </w:r>
      <w:r>
        <w:rPr>
          <w:sz w:val="30"/>
          <w:szCs w:val="30"/>
          <w:u w:val="none"/>
        </w:rPr>
        <w:t>20</w:t>
      </w:r>
      <w:r>
        <w:rPr>
          <w:sz w:val="30"/>
          <w:szCs w:val="30"/>
          <w:u w:val="none"/>
        </w:rPr>
        <w:fldChar w:fldCharType="end"/>
      </w:r>
      <w:r>
        <w:rPr>
          <w:rFonts w:hint="eastAsia" w:ascii="宋体"/>
          <w:bCs/>
          <w:sz w:val="30"/>
          <w:szCs w:val="30"/>
          <w:u w:val="none"/>
          <w:lang w:val="zh-CN" w:eastAsia="zh-CN"/>
        </w:rPr>
        <w:fldChar w:fldCharType="end"/>
      </w:r>
    </w:p>
    <w:p>
      <w:pPr>
        <w:pStyle w:val="10"/>
        <w:tabs>
          <w:tab w:val="right" w:leader="dot" w:pos="8845"/>
          <w:tab w:val="clear" w:pos="8834"/>
        </w:tabs>
        <w:spacing w:line="576" w:lineRule="exact"/>
        <w:rPr>
          <w:sz w:val="30"/>
          <w:szCs w:val="30"/>
          <w:u w:val="none"/>
        </w:rPr>
      </w:pPr>
      <w:r>
        <w:rPr>
          <w:rFonts w:hint="eastAsia" w:ascii="宋体" w:eastAsia="宋体"/>
          <w:bCs/>
          <w:sz w:val="30"/>
          <w:szCs w:val="30"/>
          <w:u w:val="none"/>
          <w:lang w:val="zh-CN" w:eastAsia="zh-CN"/>
        </w:rPr>
        <w:fldChar w:fldCharType="begin"/>
      </w:r>
      <w:r>
        <w:rPr>
          <w:rFonts w:hint="eastAsia" w:ascii="宋体" w:eastAsia="宋体"/>
          <w:bCs/>
          <w:sz w:val="30"/>
          <w:szCs w:val="30"/>
          <w:u w:val="none"/>
          <w:lang w:val="zh-CN" w:eastAsia="zh-CN"/>
        </w:rPr>
        <w:instrText xml:space="preserve"> HYPERLINK \l _Toc304 </w:instrText>
      </w:r>
      <w:r>
        <w:rPr>
          <w:rFonts w:hint="eastAsia" w:ascii="宋体" w:eastAsia="宋体"/>
          <w:bCs/>
          <w:sz w:val="30"/>
          <w:szCs w:val="30"/>
          <w:u w:val="none"/>
          <w:lang w:val="zh-CN" w:eastAsia="zh-CN"/>
        </w:rPr>
        <w:fldChar w:fldCharType="separate"/>
      </w:r>
      <w:r>
        <w:rPr>
          <w:rFonts w:hint="eastAsia" w:ascii="黑体" w:cs="黑体"/>
          <w:sz w:val="30"/>
          <w:szCs w:val="30"/>
          <w:u w:val="none"/>
          <w:lang w:bidi="ar-SA"/>
        </w:rPr>
        <w:t>第六章  支持政策</w:t>
      </w:r>
      <w:r>
        <w:rPr>
          <w:sz w:val="30"/>
          <w:szCs w:val="30"/>
          <w:u w:val="none"/>
        </w:rPr>
        <w:tab/>
      </w:r>
      <w:r>
        <w:rPr>
          <w:sz w:val="30"/>
          <w:szCs w:val="30"/>
          <w:u w:val="none"/>
        </w:rPr>
        <w:fldChar w:fldCharType="begin"/>
      </w:r>
      <w:r>
        <w:rPr>
          <w:sz w:val="30"/>
          <w:szCs w:val="30"/>
          <w:u w:val="none"/>
        </w:rPr>
        <w:instrText xml:space="preserve"> PAGEREF _Toc304 \h </w:instrText>
      </w:r>
      <w:r>
        <w:rPr>
          <w:sz w:val="30"/>
          <w:szCs w:val="30"/>
          <w:u w:val="none"/>
        </w:rPr>
        <w:fldChar w:fldCharType="separate"/>
      </w:r>
      <w:r>
        <w:rPr>
          <w:sz w:val="30"/>
          <w:szCs w:val="30"/>
          <w:u w:val="none"/>
        </w:rPr>
        <w:t>20</w:t>
      </w:r>
      <w:r>
        <w:rPr>
          <w:sz w:val="30"/>
          <w:szCs w:val="30"/>
          <w:u w:val="none"/>
        </w:rPr>
        <w:fldChar w:fldCharType="end"/>
      </w:r>
      <w:r>
        <w:rPr>
          <w:rFonts w:hint="eastAsia" w:ascii="宋体" w:eastAsia="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_Toc30179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第一节 拓宽资金筹措渠道</w:t>
      </w:r>
      <w:r>
        <w:rPr>
          <w:sz w:val="30"/>
          <w:szCs w:val="30"/>
          <w:u w:val="none"/>
        </w:rPr>
        <w:tab/>
      </w:r>
      <w:r>
        <w:rPr>
          <w:sz w:val="30"/>
          <w:szCs w:val="30"/>
          <w:u w:val="none"/>
        </w:rPr>
        <w:fldChar w:fldCharType="begin"/>
      </w:r>
      <w:r>
        <w:rPr>
          <w:sz w:val="30"/>
          <w:szCs w:val="30"/>
          <w:u w:val="none"/>
        </w:rPr>
        <w:instrText xml:space="preserve"> PAGEREF _Toc30179 \h </w:instrText>
      </w:r>
      <w:r>
        <w:rPr>
          <w:sz w:val="30"/>
          <w:szCs w:val="30"/>
          <w:u w:val="none"/>
        </w:rPr>
        <w:fldChar w:fldCharType="separate"/>
      </w:r>
      <w:r>
        <w:rPr>
          <w:sz w:val="30"/>
          <w:szCs w:val="30"/>
          <w:u w:val="none"/>
        </w:rPr>
        <w:t>20</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_Toc8356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第二节 保障搬迁用地需求</w:t>
      </w:r>
      <w:r>
        <w:rPr>
          <w:sz w:val="30"/>
          <w:szCs w:val="30"/>
          <w:u w:val="none"/>
        </w:rPr>
        <w:tab/>
      </w:r>
      <w:r>
        <w:rPr>
          <w:sz w:val="30"/>
          <w:szCs w:val="30"/>
          <w:u w:val="none"/>
        </w:rPr>
        <w:fldChar w:fldCharType="begin"/>
      </w:r>
      <w:r>
        <w:rPr>
          <w:sz w:val="30"/>
          <w:szCs w:val="30"/>
          <w:u w:val="none"/>
        </w:rPr>
        <w:instrText xml:space="preserve"> PAGEREF _Toc8356 \h </w:instrText>
      </w:r>
      <w:r>
        <w:rPr>
          <w:sz w:val="30"/>
          <w:szCs w:val="30"/>
          <w:u w:val="none"/>
        </w:rPr>
        <w:fldChar w:fldCharType="separate"/>
      </w:r>
      <w:r>
        <w:rPr>
          <w:sz w:val="30"/>
          <w:szCs w:val="30"/>
          <w:u w:val="none"/>
        </w:rPr>
        <w:t>21</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_Toc12683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第三节 加强基础设施配套</w:t>
      </w:r>
      <w:r>
        <w:rPr>
          <w:sz w:val="30"/>
          <w:szCs w:val="30"/>
          <w:u w:val="none"/>
        </w:rPr>
        <w:tab/>
      </w:r>
      <w:r>
        <w:rPr>
          <w:sz w:val="30"/>
          <w:szCs w:val="30"/>
          <w:u w:val="none"/>
        </w:rPr>
        <w:fldChar w:fldCharType="begin"/>
      </w:r>
      <w:r>
        <w:rPr>
          <w:sz w:val="30"/>
          <w:szCs w:val="30"/>
          <w:u w:val="none"/>
        </w:rPr>
        <w:instrText xml:space="preserve"> PAGEREF _Toc12683 \h </w:instrText>
      </w:r>
      <w:r>
        <w:rPr>
          <w:sz w:val="30"/>
          <w:szCs w:val="30"/>
          <w:u w:val="none"/>
        </w:rPr>
        <w:fldChar w:fldCharType="separate"/>
      </w:r>
      <w:r>
        <w:rPr>
          <w:sz w:val="30"/>
          <w:szCs w:val="30"/>
          <w:u w:val="none"/>
        </w:rPr>
        <w:t>22</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_Toc2117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第四节 提升持续发展能力</w:t>
      </w:r>
      <w:r>
        <w:rPr>
          <w:sz w:val="30"/>
          <w:szCs w:val="30"/>
          <w:u w:val="none"/>
        </w:rPr>
        <w:tab/>
      </w:r>
      <w:r>
        <w:rPr>
          <w:sz w:val="30"/>
          <w:szCs w:val="30"/>
          <w:u w:val="none"/>
        </w:rPr>
        <w:fldChar w:fldCharType="begin"/>
      </w:r>
      <w:r>
        <w:rPr>
          <w:sz w:val="30"/>
          <w:szCs w:val="30"/>
          <w:u w:val="none"/>
        </w:rPr>
        <w:instrText xml:space="preserve"> PAGEREF _Toc2117 \h </w:instrText>
      </w:r>
      <w:r>
        <w:rPr>
          <w:sz w:val="30"/>
          <w:szCs w:val="30"/>
          <w:u w:val="none"/>
        </w:rPr>
        <w:fldChar w:fldCharType="separate"/>
      </w:r>
      <w:r>
        <w:rPr>
          <w:sz w:val="30"/>
          <w:szCs w:val="30"/>
          <w:u w:val="none"/>
        </w:rPr>
        <w:t>23</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_Toc28918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第五节 强化合法权益保障</w:t>
      </w:r>
      <w:r>
        <w:rPr>
          <w:sz w:val="30"/>
          <w:szCs w:val="30"/>
          <w:u w:val="none"/>
        </w:rPr>
        <w:tab/>
      </w:r>
      <w:r>
        <w:rPr>
          <w:sz w:val="30"/>
          <w:szCs w:val="30"/>
          <w:u w:val="none"/>
        </w:rPr>
        <w:fldChar w:fldCharType="begin"/>
      </w:r>
      <w:r>
        <w:rPr>
          <w:sz w:val="30"/>
          <w:szCs w:val="30"/>
          <w:u w:val="none"/>
        </w:rPr>
        <w:instrText xml:space="preserve"> PAGEREF _Toc28918 \h </w:instrText>
      </w:r>
      <w:r>
        <w:rPr>
          <w:sz w:val="30"/>
          <w:szCs w:val="30"/>
          <w:u w:val="none"/>
        </w:rPr>
        <w:fldChar w:fldCharType="separate"/>
      </w:r>
      <w:r>
        <w:rPr>
          <w:sz w:val="30"/>
          <w:szCs w:val="30"/>
          <w:u w:val="none"/>
        </w:rPr>
        <w:t>24</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_Toc5302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第六节 落实搬迁税费优惠</w:t>
      </w:r>
      <w:r>
        <w:rPr>
          <w:sz w:val="30"/>
          <w:szCs w:val="30"/>
          <w:u w:val="none"/>
        </w:rPr>
        <w:tab/>
      </w:r>
      <w:r>
        <w:rPr>
          <w:sz w:val="30"/>
          <w:szCs w:val="30"/>
          <w:u w:val="none"/>
        </w:rPr>
        <w:fldChar w:fldCharType="begin"/>
      </w:r>
      <w:r>
        <w:rPr>
          <w:sz w:val="30"/>
          <w:szCs w:val="30"/>
          <w:u w:val="none"/>
        </w:rPr>
        <w:instrText xml:space="preserve"> PAGEREF _Toc5302 \h </w:instrText>
      </w:r>
      <w:r>
        <w:rPr>
          <w:sz w:val="30"/>
          <w:szCs w:val="30"/>
          <w:u w:val="none"/>
        </w:rPr>
        <w:fldChar w:fldCharType="separate"/>
      </w:r>
      <w:r>
        <w:rPr>
          <w:sz w:val="30"/>
          <w:szCs w:val="30"/>
          <w:u w:val="none"/>
        </w:rPr>
        <w:t>25</w:t>
      </w:r>
      <w:r>
        <w:rPr>
          <w:sz w:val="30"/>
          <w:szCs w:val="30"/>
          <w:u w:val="none"/>
        </w:rPr>
        <w:fldChar w:fldCharType="end"/>
      </w:r>
      <w:r>
        <w:rPr>
          <w:rFonts w:hint="eastAsia" w:ascii="宋体"/>
          <w:bCs/>
          <w:sz w:val="30"/>
          <w:szCs w:val="30"/>
          <w:u w:val="none"/>
          <w:lang w:val="zh-CN" w:eastAsia="zh-CN"/>
        </w:rPr>
        <w:fldChar w:fldCharType="end"/>
      </w:r>
    </w:p>
    <w:p>
      <w:pPr>
        <w:pStyle w:val="10"/>
        <w:tabs>
          <w:tab w:val="right" w:leader="dot" w:pos="8845"/>
          <w:tab w:val="clear" w:pos="8834"/>
        </w:tabs>
        <w:spacing w:line="576" w:lineRule="exact"/>
        <w:rPr>
          <w:sz w:val="30"/>
          <w:szCs w:val="30"/>
          <w:u w:val="none"/>
        </w:rPr>
      </w:pPr>
      <w:r>
        <w:rPr>
          <w:rFonts w:hint="eastAsia" w:ascii="宋体" w:eastAsia="宋体"/>
          <w:bCs/>
          <w:sz w:val="30"/>
          <w:szCs w:val="30"/>
          <w:u w:val="none"/>
          <w:lang w:val="zh-CN" w:eastAsia="zh-CN"/>
        </w:rPr>
        <w:fldChar w:fldCharType="begin"/>
      </w:r>
      <w:r>
        <w:rPr>
          <w:rFonts w:hint="eastAsia" w:ascii="宋体" w:eastAsia="宋体"/>
          <w:bCs/>
          <w:sz w:val="30"/>
          <w:szCs w:val="30"/>
          <w:u w:val="none"/>
          <w:lang w:val="zh-CN" w:eastAsia="zh-CN"/>
        </w:rPr>
        <w:instrText xml:space="preserve"> HYPERLINK \l _Toc25256 </w:instrText>
      </w:r>
      <w:r>
        <w:rPr>
          <w:rFonts w:hint="eastAsia" w:ascii="宋体" w:eastAsia="宋体"/>
          <w:bCs/>
          <w:sz w:val="30"/>
          <w:szCs w:val="30"/>
          <w:u w:val="none"/>
          <w:lang w:val="zh-CN" w:eastAsia="zh-CN"/>
        </w:rPr>
        <w:fldChar w:fldCharType="separate"/>
      </w:r>
      <w:r>
        <w:rPr>
          <w:rFonts w:hint="eastAsia" w:ascii="黑体" w:cs="黑体"/>
          <w:sz w:val="30"/>
          <w:szCs w:val="30"/>
          <w:u w:val="none"/>
          <w:lang w:bidi="ar-SA"/>
        </w:rPr>
        <w:t>第七章  保障措施</w:t>
      </w:r>
      <w:r>
        <w:rPr>
          <w:sz w:val="30"/>
          <w:szCs w:val="30"/>
          <w:u w:val="none"/>
        </w:rPr>
        <w:tab/>
      </w:r>
      <w:r>
        <w:rPr>
          <w:sz w:val="30"/>
          <w:szCs w:val="30"/>
          <w:u w:val="none"/>
        </w:rPr>
        <w:fldChar w:fldCharType="begin"/>
      </w:r>
      <w:r>
        <w:rPr>
          <w:sz w:val="30"/>
          <w:szCs w:val="30"/>
          <w:u w:val="none"/>
        </w:rPr>
        <w:instrText xml:space="preserve"> PAGEREF _Toc25256 \h </w:instrText>
      </w:r>
      <w:r>
        <w:rPr>
          <w:sz w:val="30"/>
          <w:szCs w:val="30"/>
          <w:u w:val="none"/>
        </w:rPr>
        <w:fldChar w:fldCharType="separate"/>
      </w:r>
      <w:r>
        <w:rPr>
          <w:sz w:val="30"/>
          <w:szCs w:val="30"/>
          <w:u w:val="none"/>
        </w:rPr>
        <w:t>25</w:t>
      </w:r>
      <w:r>
        <w:rPr>
          <w:sz w:val="30"/>
          <w:szCs w:val="30"/>
          <w:u w:val="none"/>
        </w:rPr>
        <w:fldChar w:fldCharType="end"/>
      </w:r>
      <w:r>
        <w:rPr>
          <w:rFonts w:hint="eastAsia" w:ascii="宋体" w:eastAsia="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_Toc5423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第一节 加强组织领导</w:t>
      </w:r>
      <w:r>
        <w:rPr>
          <w:sz w:val="30"/>
          <w:szCs w:val="30"/>
          <w:u w:val="none"/>
        </w:rPr>
        <w:tab/>
      </w:r>
      <w:r>
        <w:rPr>
          <w:sz w:val="30"/>
          <w:szCs w:val="30"/>
          <w:u w:val="none"/>
        </w:rPr>
        <w:fldChar w:fldCharType="begin"/>
      </w:r>
      <w:r>
        <w:rPr>
          <w:sz w:val="30"/>
          <w:szCs w:val="30"/>
          <w:u w:val="none"/>
        </w:rPr>
        <w:instrText xml:space="preserve"> PAGEREF _Toc5423 \h </w:instrText>
      </w:r>
      <w:r>
        <w:rPr>
          <w:sz w:val="30"/>
          <w:szCs w:val="30"/>
          <w:u w:val="none"/>
        </w:rPr>
        <w:fldChar w:fldCharType="separate"/>
      </w:r>
      <w:r>
        <w:rPr>
          <w:sz w:val="30"/>
          <w:szCs w:val="30"/>
          <w:u w:val="none"/>
        </w:rPr>
        <w:t>25</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_Toc4278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第二节 强化规划实施</w:t>
      </w:r>
      <w:r>
        <w:rPr>
          <w:sz w:val="30"/>
          <w:szCs w:val="30"/>
          <w:u w:val="none"/>
        </w:rPr>
        <w:tab/>
      </w:r>
      <w:r>
        <w:rPr>
          <w:sz w:val="30"/>
          <w:szCs w:val="30"/>
          <w:u w:val="none"/>
        </w:rPr>
        <w:fldChar w:fldCharType="begin"/>
      </w:r>
      <w:r>
        <w:rPr>
          <w:sz w:val="30"/>
          <w:szCs w:val="30"/>
          <w:u w:val="none"/>
        </w:rPr>
        <w:instrText xml:space="preserve"> PAGEREF _Toc4278 \h </w:instrText>
      </w:r>
      <w:r>
        <w:rPr>
          <w:sz w:val="30"/>
          <w:szCs w:val="30"/>
          <w:u w:val="none"/>
        </w:rPr>
        <w:fldChar w:fldCharType="separate"/>
      </w:r>
      <w:r>
        <w:rPr>
          <w:sz w:val="30"/>
          <w:szCs w:val="30"/>
          <w:u w:val="none"/>
        </w:rPr>
        <w:t>26</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_Toc27710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第三节 严格监督考核</w:t>
      </w:r>
      <w:r>
        <w:rPr>
          <w:sz w:val="30"/>
          <w:szCs w:val="30"/>
          <w:u w:val="none"/>
        </w:rPr>
        <w:tab/>
      </w:r>
      <w:r>
        <w:rPr>
          <w:sz w:val="30"/>
          <w:szCs w:val="30"/>
          <w:u w:val="none"/>
        </w:rPr>
        <w:fldChar w:fldCharType="begin"/>
      </w:r>
      <w:r>
        <w:rPr>
          <w:sz w:val="30"/>
          <w:szCs w:val="30"/>
          <w:u w:val="none"/>
        </w:rPr>
        <w:instrText xml:space="preserve"> PAGEREF _Toc27710 \h </w:instrText>
      </w:r>
      <w:r>
        <w:rPr>
          <w:sz w:val="30"/>
          <w:szCs w:val="30"/>
          <w:u w:val="none"/>
        </w:rPr>
        <w:fldChar w:fldCharType="separate"/>
      </w:r>
      <w:r>
        <w:rPr>
          <w:sz w:val="30"/>
          <w:szCs w:val="30"/>
          <w:u w:val="none"/>
        </w:rPr>
        <w:t>27</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_Toc6395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第四节 加强宣传动员</w:t>
      </w:r>
      <w:r>
        <w:rPr>
          <w:sz w:val="30"/>
          <w:szCs w:val="30"/>
          <w:u w:val="none"/>
        </w:rPr>
        <w:tab/>
      </w:r>
      <w:r>
        <w:rPr>
          <w:sz w:val="30"/>
          <w:szCs w:val="30"/>
          <w:u w:val="none"/>
        </w:rPr>
        <w:fldChar w:fldCharType="begin"/>
      </w:r>
      <w:r>
        <w:rPr>
          <w:sz w:val="30"/>
          <w:szCs w:val="30"/>
          <w:u w:val="none"/>
        </w:rPr>
        <w:instrText xml:space="preserve"> PAGEREF _Toc6395 \h </w:instrText>
      </w:r>
      <w:r>
        <w:rPr>
          <w:sz w:val="30"/>
          <w:szCs w:val="30"/>
          <w:u w:val="none"/>
        </w:rPr>
        <w:fldChar w:fldCharType="separate"/>
      </w:r>
      <w:r>
        <w:rPr>
          <w:sz w:val="30"/>
          <w:szCs w:val="30"/>
          <w:u w:val="none"/>
        </w:rPr>
        <w:t>27</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rFonts w:hint="eastAsia" w:ascii="黑体" w:eastAsia="黑体" w:cs="黑体"/>
          <w:sz w:val="30"/>
          <w:szCs w:val="30"/>
          <w:u w:val="none"/>
          <w:lang w:bidi="ar-SA"/>
        </w:rPr>
      </w:pPr>
      <w:r>
        <w:rPr>
          <w:rFonts w:hint="eastAsia" w:ascii="黑体" w:eastAsia="黑体" w:cs="黑体"/>
          <w:sz w:val="30"/>
          <w:szCs w:val="30"/>
          <w:u w:val="none"/>
          <w:lang w:val="zh-CN" w:eastAsia="zh-CN" w:bidi="ar-SA"/>
        </w:rPr>
        <w:fldChar w:fldCharType="begin"/>
      </w:r>
      <w:r>
        <w:rPr>
          <w:rFonts w:hint="eastAsia" w:ascii="黑体" w:eastAsia="黑体" w:cs="黑体"/>
          <w:sz w:val="30"/>
          <w:szCs w:val="30"/>
          <w:u w:val="none"/>
          <w:lang w:val="zh-CN" w:eastAsia="zh-CN" w:bidi="ar-SA"/>
        </w:rPr>
        <w:instrText xml:space="preserve"> HYPERLINK \l _Toc6070 </w:instrText>
      </w:r>
      <w:r>
        <w:rPr>
          <w:rFonts w:hint="eastAsia" w:ascii="黑体" w:eastAsia="黑体" w:cs="黑体"/>
          <w:sz w:val="30"/>
          <w:szCs w:val="30"/>
          <w:u w:val="none"/>
          <w:lang w:val="zh-CN" w:eastAsia="zh-CN" w:bidi="ar-SA"/>
        </w:rPr>
        <w:fldChar w:fldCharType="separate"/>
      </w:r>
      <w:r>
        <w:rPr>
          <w:rFonts w:hint="eastAsia" w:ascii="黑体" w:eastAsia="黑体" w:cs="黑体"/>
          <w:sz w:val="30"/>
          <w:szCs w:val="30"/>
          <w:u w:val="none"/>
          <w:lang w:bidi="ar-SA"/>
        </w:rPr>
        <w:t>附件 广元市受山洪地质灾害威胁村（居）民避险搬迁任务分解表（2023—2027年）</w:t>
      </w:r>
      <w:r>
        <w:rPr>
          <w:rFonts w:hint="eastAsia" w:ascii="黑体" w:eastAsia="黑体" w:cs="黑体"/>
          <w:sz w:val="30"/>
          <w:szCs w:val="30"/>
          <w:u w:val="none"/>
          <w:lang w:bidi="ar-SA"/>
        </w:rPr>
        <w:tab/>
      </w:r>
      <w:r>
        <w:rPr>
          <w:rFonts w:hint="default" w:ascii="Calibri" w:eastAsia="宋体" w:cs="Times New Roman"/>
          <w:sz w:val="30"/>
          <w:szCs w:val="30"/>
          <w:u w:val="none"/>
          <w:lang w:bidi="ar-SA"/>
        </w:rPr>
        <w:fldChar w:fldCharType="begin"/>
      </w:r>
      <w:r>
        <w:rPr>
          <w:rFonts w:hint="default" w:ascii="Calibri" w:eastAsia="宋体" w:cs="Times New Roman"/>
          <w:sz w:val="30"/>
          <w:szCs w:val="30"/>
          <w:u w:val="none"/>
          <w:lang w:bidi="ar-SA"/>
        </w:rPr>
        <w:instrText xml:space="preserve"> PAGEREF _Toc6070 \h </w:instrText>
      </w:r>
      <w:r>
        <w:rPr>
          <w:rFonts w:hint="default" w:ascii="Calibri" w:eastAsia="宋体" w:cs="Times New Roman"/>
          <w:sz w:val="30"/>
          <w:szCs w:val="30"/>
          <w:u w:val="none"/>
          <w:lang w:bidi="ar-SA"/>
        </w:rPr>
        <w:fldChar w:fldCharType="separate"/>
      </w:r>
      <w:r>
        <w:rPr>
          <w:rFonts w:hint="default" w:ascii="Calibri" w:eastAsia="宋体" w:cs="Times New Roman"/>
          <w:sz w:val="30"/>
          <w:szCs w:val="30"/>
          <w:u w:val="none"/>
          <w:lang w:bidi="ar-SA"/>
        </w:rPr>
        <w:t>29</w:t>
      </w:r>
      <w:r>
        <w:rPr>
          <w:rFonts w:hint="default" w:ascii="Calibri" w:eastAsia="宋体" w:cs="Times New Roman"/>
          <w:sz w:val="30"/>
          <w:szCs w:val="30"/>
          <w:u w:val="none"/>
          <w:lang w:bidi="ar-SA"/>
        </w:rPr>
        <w:fldChar w:fldCharType="end"/>
      </w:r>
      <w:r>
        <w:rPr>
          <w:rFonts w:hint="eastAsia" w:ascii="黑体" w:eastAsia="黑体" w:cs="黑体"/>
          <w:sz w:val="30"/>
          <w:szCs w:val="30"/>
          <w:u w:val="none"/>
          <w:lang w:val="zh-CN" w:eastAsia="zh-CN" w:bidi="ar-SA"/>
        </w:rPr>
        <w:fldChar w:fldCharType="end"/>
      </w:r>
    </w:p>
    <w:p>
      <w:pPr>
        <w:spacing w:line="576" w:lineRule="exact"/>
        <w:rPr>
          <w:u w:val="none"/>
        </w:rPr>
      </w:pPr>
      <w:r>
        <w:rPr>
          <w:rFonts w:hint="eastAsia" w:ascii="宋体"/>
          <w:bCs/>
          <w:szCs w:val="30"/>
          <w:u w:val="none"/>
          <w:lang w:val="zh-CN" w:eastAsia="zh-CN"/>
        </w:rPr>
        <w:fldChar w:fldCharType="end"/>
      </w:r>
    </w:p>
    <w:p>
      <w:pPr>
        <w:spacing w:line="576" w:lineRule="exact"/>
        <w:rPr>
          <w:u w:val="none"/>
        </w:rPr>
        <w:sectPr>
          <w:footerReference r:id="rId3" w:type="default"/>
          <w:pgSz w:w="11906" w:h="16838"/>
          <w:pgMar w:top="2098" w:right="1474" w:bottom="1984" w:left="1587" w:header="851" w:footer="1531" w:gutter="0"/>
          <w:pgNumType w:fmt="decimal"/>
          <w:cols w:space="720" w:num="1"/>
          <w:rtlGutter w:val="0"/>
          <w:docGrid w:type="lines" w:linePitch="312" w:charSpace="0"/>
        </w:sectPr>
      </w:pPr>
    </w:p>
    <w:p>
      <w:pPr>
        <w:pStyle w:val="2"/>
        <w:spacing w:before="0" w:after="0" w:line="576" w:lineRule="exact"/>
        <w:jc w:val="center"/>
        <w:rPr>
          <w:rFonts w:hint="eastAsia" w:ascii="方正小标宋简体" w:eastAsia="方正小标宋简体" w:cs="方正小标宋简体"/>
          <w:b w:val="0"/>
          <w:sz w:val="44"/>
          <w:szCs w:val="44"/>
          <w:u w:val="none"/>
          <w:lang w:bidi="ar-SA"/>
        </w:rPr>
      </w:pPr>
      <w:bookmarkStart w:id="4" w:name="_Toc7284"/>
      <w:r>
        <w:rPr>
          <w:rFonts w:hint="eastAsia" w:ascii="方正小标宋简体" w:eastAsia="方正小标宋简体" w:cs="方正小标宋简体"/>
          <w:b w:val="0"/>
          <w:sz w:val="44"/>
          <w:szCs w:val="44"/>
          <w:u w:val="none"/>
          <w:lang w:bidi="ar-SA"/>
        </w:rPr>
        <w:t>前   言</w:t>
      </w:r>
      <w:bookmarkEnd w:id="2"/>
      <w:bookmarkEnd w:id="3"/>
      <w:bookmarkEnd w:id="4"/>
    </w:p>
    <w:p>
      <w:pPr>
        <w:spacing w:line="576" w:lineRule="exact"/>
        <w:ind w:left="0"/>
        <w:rPr>
          <w:rFonts w:hint="eastAsia" w:ascii="仿宋_GB2312" w:eastAsia="仿宋_GB2312" w:cs="仿宋_GB2312"/>
          <w:sz w:val="32"/>
          <w:szCs w:val="32"/>
          <w:u w:val="none"/>
          <w:lang w:bidi="ar-SA"/>
        </w:rPr>
      </w:pPr>
    </w:p>
    <w:p>
      <w:pPr>
        <w:spacing w:line="576" w:lineRule="exact"/>
        <w:ind w:firstLine="640" w:firstLineChars="200"/>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广元市位于四川省东北部，地处龙门山、米仓山和盆周山区交汇地带，地势北高南低，地形高差悬殊，地质构造复杂，沟壑纵横交错，山洪灾害危险区众多，地质灾害隐患点多、面广、危害大。受“5</w:t>
      </w:r>
      <w:r>
        <w:rPr>
          <w:rFonts w:hint="eastAsia" w:ascii="微软雅黑" w:eastAsia="微软雅黑" w:cs="微软雅黑"/>
          <w:sz w:val="32"/>
          <w:szCs w:val="32"/>
          <w:u w:val="none"/>
          <w:lang w:bidi="ar-SA"/>
        </w:rPr>
        <w:t>·</w:t>
      </w:r>
      <w:r>
        <w:rPr>
          <w:rFonts w:hint="eastAsia" w:ascii="仿宋_GB2312" w:eastAsia="仿宋_GB2312" w:cs="仿宋_GB2312"/>
          <w:sz w:val="32"/>
          <w:szCs w:val="32"/>
          <w:u w:val="none"/>
          <w:lang w:bidi="ar-SA"/>
        </w:rPr>
        <w:t>12”汶川地震、“8</w:t>
      </w:r>
      <w:r>
        <w:rPr>
          <w:rFonts w:hint="eastAsia" w:ascii="微软雅黑" w:eastAsia="微软雅黑" w:cs="微软雅黑"/>
          <w:sz w:val="32"/>
          <w:szCs w:val="32"/>
          <w:u w:val="none"/>
          <w:lang w:bidi="ar-SA"/>
        </w:rPr>
        <w:t>·</w:t>
      </w:r>
      <w:r>
        <w:rPr>
          <w:rFonts w:hint="eastAsia" w:ascii="仿宋_GB2312" w:eastAsia="仿宋_GB2312" w:cs="仿宋_GB2312"/>
          <w:sz w:val="32"/>
          <w:szCs w:val="32"/>
          <w:u w:val="none"/>
          <w:lang w:bidi="ar-SA"/>
        </w:rPr>
        <w:t>8”九寨沟地震长周期、深层次影响，加之近年来强降雨频发和工程建设活动众多，境内山洪地质灾害多发态势加剧，山洪地质灾害严重威胁着当地群众生命财产及生产、生活安全。</w:t>
      </w:r>
    </w:p>
    <w:p>
      <w:pPr>
        <w:spacing w:line="576" w:lineRule="exact"/>
        <w:ind w:firstLine="640" w:firstLineChars="200"/>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为全面贯彻党的二十大精神和习近平总书记关于防灾减灾救灾重要论述，认真落实习近平总书记对四川工作系列重要指示精神，</w:t>
      </w:r>
      <w:r>
        <w:rPr>
          <w:rFonts w:hint="eastAsia" w:ascii="仿宋_GB2312" w:eastAsia="仿宋_GB2312" w:cs="仿宋_GB2312"/>
          <w:sz w:val="32"/>
          <w:szCs w:val="32"/>
          <w:u w:val="none"/>
          <w:lang w:val="en-US" w:eastAsia="zh-CN" w:bidi="ar-SA"/>
        </w:rPr>
        <w:t>大力实施</w:t>
      </w:r>
      <w:r>
        <w:rPr>
          <w:rFonts w:hint="eastAsia" w:ascii="仿宋_GB2312" w:eastAsia="仿宋_GB2312" w:cs="仿宋_GB2312"/>
          <w:sz w:val="32"/>
          <w:szCs w:val="32"/>
          <w:u w:val="none"/>
          <w:lang w:bidi="ar-SA"/>
        </w:rPr>
        <w:t>“1345”发展战略，按照市委、市政府关于实施山洪地质灾害避险搬迁工程的决策部署，在全面开展山洪地质灾害避险搬迁摸底调查基础上，根据《地质灾害防治条例》《四川省山洪地质灾害避险搬迁工作方案》《四川省“十四五”地质灾害防治规划》《四川省受山洪地质灾害威胁村（居）民避险搬迁总体规划（2023</w:t>
      </w:r>
      <w:r>
        <w:rPr>
          <w:rFonts w:hint="eastAsia" w:ascii="仿宋_GB2312" w:hAnsi="仿宋_GB2312" w:cs="仿宋_GB2312"/>
          <w:sz w:val="32"/>
          <w:szCs w:val="32"/>
          <w:u w:val="none"/>
          <w:lang w:bidi="ar-SA"/>
        </w:rPr>
        <w:t>—</w:t>
      </w:r>
      <w:r>
        <w:rPr>
          <w:rFonts w:hint="eastAsia" w:ascii="仿宋_GB2312" w:eastAsia="仿宋_GB2312" w:cs="仿宋_GB2312"/>
          <w:sz w:val="32"/>
          <w:szCs w:val="32"/>
          <w:u w:val="none"/>
          <w:lang w:bidi="ar-SA"/>
        </w:rPr>
        <w:t>2027年）》《广元市地质灾害全域综合整治三年行动计划（2023</w:t>
      </w:r>
      <w:r>
        <w:rPr>
          <w:rFonts w:hint="eastAsia" w:ascii="仿宋_GB2312" w:hAnsi="仿宋_GB2312" w:cs="仿宋_GB2312"/>
          <w:sz w:val="32"/>
          <w:szCs w:val="32"/>
          <w:u w:val="none"/>
          <w:lang w:bidi="ar-SA"/>
        </w:rPr>
        <w:t>—</w:t>
      </w:r>
      <w:r>
        <w:rPr>
          <w:rFonts w:hint="eastAsia" w:ascii="仿宋_GB2312" w:eastAsia="仿宋_GB2312" w:cs="仿宋_GB2312"/>
          <w:sz w:val="32"/>
          <w:szCs w:val="32"/>
          <w:u w:val="none"/>
          <w:lang w:bidi="ar-SA"/>
        </w:rPr>
        <w:t>2027年）》《广元市“十四五”地质灾害防治规划》</w:t>
      </w:r>
      <w:r>
        <w:rPr>
          <w:rFonts w:hint="eastAsia" w:ascii="仿宋_GB2312" w:eastAsia="仿宋_GB2312"/>
          <w:sz w:val="32"/>
          <w:szCs w:val="32"/>
          <w:u w:val="none"/>
        </w:rPr>
        <w:t>《广元市“十四五”水安全保障规划》，</w:t>
      </w:r>
      <w:r>
        <w:rPr>
          <w:rFonts w:hint="eastAsia" w:ascii="仿宋_GB2312" w:eastAsia="仿宋_GB2312" w:cs="仿宋_GB2312"/>
          <w:sz w:val="32"/>
          <w:szCs w:val="32"/>
          <w:u w:val="none"/>
          <w:lang w:bidi="ar-SA"/>
        </w:rPr>
        <w:t>结合我市山洪地质灾害防治工作实际，制定《广元市山洪地质灾害避险搬迁专项规划（2023</w:t>
      </w:r>
      <w:r>
        <w:rPr>
          <w:rFonts w:hint="eastAsia" w:ascii="仿宋_GB2312" w:hAnsi="仿宋_GB2312" w:cs="仿宋_GB2312"/>
          <w:sz w:val="32"/>
          <w:szCs w:val="32"/>
          <w:u w:val="none"/>
          <w:lang w:bidi="ar-SA"/>
        </w:rPr>
        <w:t>—</w:t>
      </w:r>
      <w:r>
        <w:rPr>
          <w:rFonts w:hint="eastAsia" w:ascii="仿宋_GB2312" w:eastAsia="仿宋_GB2312" w:cs="仿宋_GB2312"/>
          <w:sz w:val="32"/>
          <w:szCs w:val="32"/>
          <w:u w:val="none"/>
          <w:lang w:bidi="ar-SA"/>
        </w:rPr>
        <w:t>2027年）》（以下简称《专项规划》），规划期为2023年至2027年。</w:t>
      </w:r>
    </w:p>
    <w:p>
      <w:pPr>
        <w:pStyle w:val="2"/>
        <w:keepNext w:val="0"/>
        <w:keepLines w:val="0"/>
        <w:pageBreakBefore w:val="0"/>
        <w:widowControl w:val="0"/>
        <w:kinsoku/>
        <w:wordWrap/>
        <w:overflowPunct/>
        <w:topLinePunct w:val="0"/>
        <w:autoSpaceDE/>
        <w:autoSpaceDN/>
        <w:bidi w:val="0"/>
        <w:adjustRightInd/>
        <w:snapToGrid/>
        <w:spacing w:before="0" w:after="0" w:line="596" w:lineRule="exact"/>
        <w:jc w:val="center"/>
        <w:textAlignment w:val="auto"/>
        <w:rPr>
          <w:rFonts w:hint="eastAsia" w:ascii="方正小标宋简体" w:eastAsia="方正小标宋简体" w:cs="方正小标宋简体"/>
          <w:b w:val="0"/>
          <w:sz w:val="32"/>
          <w:szCs w:val="32"/>
          <w:u w:val="none"/>
          <w:lang w:bidi="ar-SA"/>
        </w:rPr>
      </w:pPr>
      <w:bookmarkStart w:id="5" w:name="_Toc5732"/>
      <w:r>
        <w:rPr>
          <w:rFonts w:hint="eastAsia" w:ascii="黑体" w:eastAsia="黑体" w:cs="黑体"/>
          <w:b w:val="0"/>
          <w:sz w:val="32"/>
          <w:szCs w:val="32"/>
          <w:u w:val="none"/>
          <w:lang w:bidi="ar-SA"/>
        </w:rPr>
        <w:t>第一章  基本情况</w:t>
      </w:r>
      <w:bookmarkEnd w:id="5"/>
    </w:p>
    <w:p>
      <w:pPr>
        <w:pStyle w:val="3"/>
        <w:keepNext w:val="0"/>
        <w:keepLines w:val="0"/>
        <w:pageBreakBefore w:val="0"/>
        <w:widowControl w:val="0"/>
        <w:kinsoku/>
        <w:wordWrap/>
        <w:overflowPunct/>
        <w:topLinePunct w:val="0"/>
        <w:autoSpaceDE/>
        <w:autoSpaceDN/>
        <w:bidi w:val="0"/>
        <w:adjustRightInd/>
        <w:snapToGrid/>
        <w:spacing w:before="0" w:after="0" w:line="596" w:lineRule="exact"/>
        <w:jc w:val="center"/>
        <w:textAlignment w:val="auto"/>
        <w:rPr>
          <w:rFonts w:hint="eastAsia" w:ascii="黑体" w:eastAsia="黑体" w:cs="仿宋_GB2312"/>
          <w:b w:val="0"/>
          <w:u w:val="none"/>
          <w:lang w:bidi="ar-SA"/>
        </w:rPr>
      </w:pPr>
      <w:bookmarkStart w:id="6" w:name="_Toc26293"/>
    </w:p>
    <w:p>
      <w:pPr>
        <w:pStyle w:val="3"/>
        <w:keepNext w:val="0"/>
        <w:keepLines w:val="0"/>
        <w:pageBreakBefore w:val="0"/>
        <w:widowControl w:val="0"/>
        <w:kinsoku/>
        <w:wordWrap/>
        <w:overflowPunct/>
        <w:topLinePunct w:val="0"/>
        <w:autoSpaceDE/>
        <w:autoSpaceDN/>
        <w:bidi w:val="0"/>
        <w:adjustRightInd/>
        <w:snapToGrid/>
        <w:spacing w:before="0" w:after="0" w:line="596" w:lineRule="exact"/>
        <w:jc w:val="center"/>
        <w:textAlignment w:val="auto"/>
        <w:rPr>
          <w:rFonts w:hint="eastAsia" w:ascii="楷体_GB2312" w:eastAsia="楷体_GB2312" w:cs="楷体_GB2312"/>
          <w:b w:val="0"/>
          <w:u w:val="none"/>
          <w:lang w:bidi="ar-SA"/>
        </w:rPr>
      </w:pPr>
      <w:r>
        <w:rPr>
          <w:rFonts w:hint="eastAsia" w:ascii="楷体_GB2312" w:eastAsia="楷体_GB2312" w:cs="楷体_GB2312"/>
          <w:b w:val="0"/>
          <w:u w:val="none"/>
          <w:lang w:bidi="ar-SA"/>
        </w:rPr>
        <w:t xml:space="preserve">第一节 </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工作基础</w:t>
      </w:r>
      <w:bookmarkEnd w:id="6"/>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党中央、国务院高度重视防汛减灾和地质灾害防治工作，省委、省政府将其作为“生命工程”“底板工程”持续推动。为贯彻落实中央、省关于防汛减灾和地质灾害防治各项决策部署，广元市各级党委政府逐步建立、完善防灾工作制度和工作体系。“十三五”期间，中央、省财政累计投入地质灾害避险搬迁补助资金3487.5万元，避险搬迁受威胁群众996户。“十四五”以来，创新实施“养老+避险”安置新路径、“四个一点”激发避险搬迁新动能等作法，避险搬迁受地质灾害威胁群众1328户，让受地质灾害威胁群众彻底远离灾害威胁，搬迁村（居）民生产生活条件明显改善。</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通过多年地质灾害避险搬迁工程的实施，我市已形成较为完善的防灾责任体系和避险搬迁工作机制，积累了宝贵经验，群众认同感强、满意度高，为推进山洪地质灾害避险搬迁奠定了基础。</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为深入推进山洪地质灾害避险搬迁工作，根据《四川省自然资源厅 四川省水利厅关于开展四川省山洪地质灾害避险搬迁摸底调查工作的通知》（川自然资函〔2022〕497号）和《四川省自然资源厅 四川省水利厅关于印发〈四川省山洪地质灾害避险搬迁工作方案〉的通知》（川自然资发〔2022〕50号）要求，市自然资源局会同市水利局制定了《广元市山洪地质灾害避险搬迁工作方案》（广自然资函〔2022〕792号），细化部署了全市山洪地质灾害避险搬迁相关工作，扎实开展了山洪地质灾害避险搬迁摸底调查。在地质灾害避险搬迁摸底调查方面，各县</w:t>
      </w:r>
      <w:r>
        <w:rPr>
          <w:rFonts w:hint="eastAsia" w:ascii="仿宋_GB2312" w:eastAsia="仿宋_GB2312" w:cs="仿宋_GB2312"/>
          <w:sz w:val="32"/>
          <w:szCs w:val="32"/>
          <w:u w:val="none"/>
          <w:lang w:eastAsia="zh-CN" w:bidi="ar-SA"/>
        </w:rPr>
        <w:t>（</w:t>
      </w:r>
      <w:r>
        <w:rPr>
          <w:rFonts w:hint="eastAsia" w:ascii="仿宋_GB2312" w:eastAsia="仿宋_GB2312" w:cs="仿宋_GB2312"/>
          <w:sz w:val="32"/>
          <w:szCs w:val="32"/>
          <w:u w:val="none"/>
          <w:lang w:bidi="ar-SA"/>
        </w:rPr>
        <w:t>区</w:t>
      </w:r>
      <w:r>
        <w:rPr>
          <w:rFonts w:hint="eastAsia" w:ascii="仿宋_GB2312" w:eastAsia="仿宋_GB2312" w:cs="仿宋_GB2312"/>
          <w:sz w:val="32"/>
          <w:szCs w:val="32"/>
          <w:u w:val="none"/>
          <w:lang w:eastAsia="zh-CN" w:bidi="ar-SA"/>
        </w:rPr>
        <w:t>）</w:t>
      </w:r>
      <w:r>
        <w:rPr>
          <w:rFonts w:hint="eastAsia" w:ascii="仿宋_GB2312" w:eastAsia="仿宋_GB2312" w:cs="仿宋_GB2312"/>
          <w:sz w:val="32"/>
          <w:szCs w:val="32"/>
          <w:u w:val="none"/>
          <w:lang w:bidi="ar-SA"/>
        </w:rPr>
        <w:t>迅速落实责任，组织专业技术人员、自然资源所干部、乡镇（街道）、村（社区）干部组成调查组，采取资料收集、地面调查核实、现场走访询问等手段深入开展摸底调查，全覆盖调查了在册地质灾害隐患点与极高、高风险区（危险区），并广泛调查中、低风险区和非“应搬”隐患点受地质灾害威胁群众信息和搬迁意愿，全面掌握各隐患点、风险区基本情况及群众搬迁意愿，</w:t>
      </w:r>
      <w:r>
        <w:rPr>
          <w:rFonts w:hint="eastAsia" w:ascii="仿宋_GB2312" w:eastAsia="仿宋_GB2312" w:cs="仿宋_GB2312"/>
          <w:sz w:val="32"/>
          <w:szCs w:val="32"/>
          <w:u w:val="none"/>
          <w:lang w:val="en-US" w:eastAsia="zh-CN" w:bidi="ar-SA"/>
        </w:rPr>
        <w:t>排</w:t>
      </w:r>
      <w:r>
        <w:rPr>
          <w:rFonts w:hint="eastAsia" w:ascii="仿宋_GB2312" w:eastAsia="仿宋_GB2312" w:cs="仿宋_GB2312"/>
          <w:sz w:val="32"/>
          <w:szCs w:val="32"/>
          <w:u w:val="none"/>
          <w:lang w:bidi="ar-SA"/>
        </w:rPr>
        <w:t>查出地质灾害“应搬”及有意愿避险搬迁</w:t>
      </w:r>
      <w:r>
        <w:rPr>
          <w:rFonts w:hint="eastAsia" w:ascii="仿宋_GB2312" w:eastAsia="仿宋_GB2312" w:cs="仿宋_GB2312"/>
          <w:sz w:val="32"/>
          <w:szCs w:val="32"/>
          <w:u w:val="none"/>
          <w:lang w:val="en-US" w:eastAsia="zh-CN" w:bidi="ar-SA"/>
        </w:rPr>
        <w:t>户</w:t>
      </w:r>
      <w:r>
        <w:rPr>
          <w:rFonts w:hint="eastAsia" w:ascii="仿宋_GB2312" w:eastAsia="仿宋_GB2312" w:cs="仿宋_GB2312"/>
          <w:sz w:val="32"/>
          <w:szCs w:val="32"/>
          <w:u w:val="none"/>
          <w:lang w:bidi="ar-SA"/>
        </w:rPr>
        <w:t>839户。在山洪灾害避险搬迁摸底调查方面，各县</w:t>
      </w:r>
      <w:r>
        <w:rPr>
          <w:rFonts w:hint="eastAsia" w:ascii="仿宋_GB2312" w:eastAsia="仿宋_GB2312" w:cs="仿宋_GB2312"/>
          <w:sz w:val="32"/>
          <w:szCs w:val="32"/>
          <w:u w:val="none"/>
          <w:lang w:eastAsia="zh-CN" w:bidi="ar-SA"/>
        </w:rPr>
        <w:t>（</w:t>
      </w:r>
      <w:r>
        <w:rPr>
          <w:rFonts w:hint="eastAsia" w:ascii="仿宋_GB2312" w:eastAsia="仿宋_GB2312" w:cs="仿宋_GB2312"/>
          <w:sz w:val="32"/>
          <w:szCs w:val="32"/>
          <w:u w:val="none"/>
          <w:lang w:bidi="ar-SA"/>
        </w:rPr>
        <w:t>区</w:t>
      </w:r>
      <w:r>
        <w:rPr>
          <w:rFonts w:hint="eastAsia" w:ascii="仿宋_GB2312" w:eastAsia="仿宋_GB2312" w:cs="仿宋_GB2312"/>
          <w:sz w:val="32"/>
          <w:szCs w:val="32"/>
          <w:u w:val="none"/>
          <w:lang w:eastAsia="zh-CN" w:bidi="ar-SA"/>
        </w:rPr>
        <w:t>）</w:t>
      </w:r>
      <w:r>
        <w:rPr>
          <w:rFonts w:hint="eastAsia" w:ascii="仿宋_GB2312" w:eastAsia="仿宋_GB2312" w:cs="仿宋_GB2312"/>
          <w:sz w:val="32"/>
          <w:szCs w:val="32"/>
          <w:u w:val="none"/>
          <w:lang w:bidi="ar-SA"/>
        </w:rPr>
        <w:t>积极筹措资金，落实调查队伍，采用群专结合方式，充分发挥乡镇（街道）、村（社区）干部以及群众力量，结合2021年山洪灾害危险区调查评价和2022年山洪灾害防御能力再提升专项行动成果，扎实开展野外调查，对山洪灾害避险搬迁基本信息逐一进行现场核实和查验，</w:t>
      </w:r>
      <w:r>
        <w:rPr>
          <w:rFonts w:hint="eastAsia" w:ascii="仿宋_GB2312" w:eastAsia="仿宋_GB2312" w:cs="仿宋_GB2312"/>
          <w:sz w:val="32"/>
          <w:szCs w:val="32"/>
          <w:u w:val="none"/>
          <w:lang w:eastAsia="zh-CN" w:bidi="ar-SA"/>
        </w:rPr>
        <w:t>排</w:t>
      </w:r>
      <w:r>
        <w:rPr>
          <w:rFonts w:hint="eastAsia" w:ascii="仿宋_GB2312" w:eastAsia="仿宋_GB2312" w:cs="仿宋_GB2312"/>
          <w:sz w:val="32"/>
          <w:szCs w:val="32"/>
          <w:u w:val="none"/>
          <w:lang w:bidi="ar-SA"/>
        </w:rPr>
        <w:t>查出山洪灾害避险搬迁对象103户。本专项规划结合</w:t>
      </w:r>
      <w:r>
        <w:rPr>
          <w:rFonts w:hint="eastAsia" w:ascii="仿宋_GB2312" w:eastAsia="仿宋_GB2312"/>
          <w:sz w:val="32"/>
          <w:szCs w:val="32"/>
          <w:u w:val="none"/>
        </w:rPr>
        <w:t>《四川省人民政府办公厅关于印发四川省受山洪地质灾害威胁村（居）民避险搬迁总体规划（2023—2027年）的通知》（川办发〔2023〕34号）</w:t>
      </w:r>
      <w:r>
        <w:rPr>
          <w:rFonts w:hint="eastAsia" w:ascii="仿宋_GB2312" w:eastAsia="仿宋_GB2312" w:cs="仿宋_GB2312"/>
          <w:sz w:val="32"/>
          <w:szCs w:val="32"/>
          <w:u w:val="none"/>
          <w:lang w:bidi="ar-SA"/>
        </w:rPr>
        <w:t>和2023年山洪地质灾害避险搬迁实施情况，将年度任务分解至各县</w:t>
      </w:r>
      <w:r>
        <w:rPr>
          <w:rFonts w:hint="eastAsia" w:ascii="仿宋_GB2312" w:eastAsia="仿宋_GB2312" w:cs="仿宋_GB2312"/>
          <w:sz w:val="32"/>
          <w:szCs w:val="32"/>
          <w:u w:val="none"/>
          <w:lang w:eastAsia="zh-CN" w:bidi="ar-SA"/>
        </w:rPr>
        <w:t>（</w:t>
      </w:r>
      <w:r>
        <w:rPr>
          <w:rFonts w:hint="eastAsia" w:ascii="仿宋_GB2312" w:eastAsia="仿宋_GB2312" w:cs="仿宋_GB2312"/>
          <w:sz w:val="32"/>
          <w:szCs w:val="32"/>
          <w:u w:val="none"/>
          <w:lang w:bidi="ar-SA"/>
        </w:rPr>
        <w:t>区</w:t>
      </w:r>
      <w:r>
        <w:rPr>
          <w:rFonts w:hint="eastAsia" w:ascii="仿宋_GB2312" w:eastAsia="仿宋_GB2312" w:cs="仿宋_GB2312"/>
          <w:sz w:val="32"/>
          <w:szCs w:val="32"/>
          <w:u w:val="none"/>
          <w:lang w:eastAsia="zh-CN" w:bidi="ar-SA"/>
        </w:rPr>
        <w:t>）</w:t>
      </w:r>
      <w:r>
        <w:rPr>
          <w:rFonts w:hint="eastAsia" w:ascii="仿宋_GB2312" w:eastAsia="仿宋_GB2312" w:cs="仿宋_GB2312"/>
          <w:sz w:val="32"/>
          <w:szCs w:val="32"/>
          <w:u w:val="none"/>
          <w:lang w:bidi="ar-SA"/>
        </w:rPr>
        <w:t>。</w:t>
      </w:r>
    </w:p>
    <w:p>
      <w:pPr>
        <w:pStyle w:val="3"/>
        <w:keepNext w:val="0"/>
        <w:keepLines w:val="0"/>
        <w:pageBreakBefore w:val="0"/>
        <w:widowControl w:val="0"/>
        <w:kinsoku/>
        <w:wordWrap/>
        <w:overflowPunct/>
        <w:topLinePunct w:val="0"/>
        <w:autoSpaceDE/>
        <w:autoSpaceDN/>
        <w:bidi w:val="0"/>
        <w:adjustRightInd/>
        <w:snapToGrid/>
        <w:spacing w:before="0" w:after="0" w:line="596" w:lineRule="exact"/>
        <w:jc w:val="center"/>
        <w:textAlignment w:val="auto"/>
        <w:rPr>
          <w:rFonts w:hint="eastAsia" w:ascii="楷体_GB2312" w:eastAsia="楷体_GB2312" w:cs="楷体_GB2312"/>
          <w:b w:val="0"/>
          <w:u w:val="none"/>
          <w:lang w:bidi="ar-SA"/>
        </w:rPr>
      </w:pPr>
      <w:bookmarkStart w:id="7" w:name="_Toc27920"/>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r>
        <w:rPr>
          <w:rFonts w:hint="eastAsia" w:ascii="楷体_GB2312" w:eastAsia="楷体_GB2312" w:cs="楷体_GB2312"/>
          <w:b w:val="0"/>
          <w:u w:val="none"/>
          <w:lang w:bidi="ar-SA"/>
        </w:rPr>
        <w:t>第二节</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 xml:space="preserve"> 面临形势</w:t>
      </w:r>
      <w:bookmarkEnd w:id="7"/>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党的十八大以来，习近平总书记多次就防灾减灾救灾作出重要指示，提出“两个坚持、三个转变”防灾减灾救灾理念。党的二十大报告指出，要坚持安全第一、预防为主，提高防灾减灾救灾能力。省第十二次党代会和省委十二届二次全会强调，把防风险、保安全作为底线任务，更好统筹发展和安全，提高地质灾害防治、防汛抗旱能力，建设更高水平的平安四川。市委、市政府高度重视防汛减灾和地质灾害防治工作，将其作为广元经济社会高质量发展的安全底线</w:t>
      </w:r>
      <w:r>
        <w:rPr>
          <w:rFonts w:hint="eastAsia" w:ascii="仿宋_GB2312" w:eastAsia="仿宋_GB2312" w:cs="仿宋_GB2312"/>
          <w:sz w:val="32"/>
          <w:szCs w:val="32"/>
          <w:u w:val="none"/>
          <w:lang w:val="en-US" w:eastAsia="zh-CN" w:bidi="ar-SA"/>
        </w:rPr>
        <w:t>和</w:t>
      </w:r>
      <w:r>
        <w:rPr>
          <w:rFonts w:hint="eastAsia" w:ascii="仿宋_GB2312" w:eastAsia="仿宋_GB2312" w:cs="仿宋_GB2312"/>
          <w:sz w:val="32"/>
          <w:szCs w:val="32"/>
          <w:u w:val="none"/>
          <w:lang w:bidi="ar-SA"/>
        </w:rPr>
        <w:t>兜底工作来抓，坚持“以搬为主、应搬尽搬、能搬则搬”原则，大力实施山洪地质灾害避险搬迁安置工作，为新时期推动</w:t>
      </w:r>
      <w:r>
        <w:rPr>
          <w:rFonts w:hint="eastAsia" w:ascii="仿宋_GB2312" w:eastAsia="仿宋_GB2312" w:cs="仿宋_GB2312"/>
          <w:sz w:val="32"/>
          <w:szCs w:val="32"/>
          <w:u w:val="none"/>
          <w:lang w:val="en-US" w:eastAsia="zh-CN" w:bidi="ar-SA"/>
        </w:rPr>
        <w:t>全</w:t>
      </w:r>
      <w:r>
        <w:rPr>
          <w:rFonts w:hint="eastAsia" w:ascii="仿宋_GB2312" w:eastAsia="仿宋_GB2312" w:cs="仿宋_GB2312"/>
          <w:sz w:val="32"/>
          <w:szCs w:val="32"/>
          <w:u w:val="none"/>
          <w:lang w:bidi="ar-SA"/>
        </w:rPr>
        <w:t>市防灾减灾工作指明了方向。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当前，我市山洪地质灾害防治工作已取得积极进展，但仍面临诸多困难、问题和挑战。一是山洪地质灾害频发趋势明显。广元市山洪灾害、地质灾害隐患众多，是全省受山洪地质灾害威胁较为严重的地区之一。截至2023年底，全市有地质灾害隐患点809处，威胁6318户37159名群众生命财产安全；山洪灾害隐患点1052处，威胁23103户83318名群众生命</w:t>
      </w:r>
      <w:r>
        <w:rPr>
          <w:rFonts w:hint="eastAsia" w:ascii="仿宋_GB2312" w:eastAsia="仿宋_GB2312" w:cs="仿宋_GB2312"/>
          <w:sz w:val="32"/>
          <w:szCs w:val="32"/>
          <w:u w:val="none"/>
          <w:lang w:val="en-US" w:eastAsia="zh-CN" w:bidi="ar-SA"/>
        </w:rPr>
        <w:t>财产</w:t>
      </w:r>
      <w:r>
        <w:rPr>
          <w:rFonts w:hint="eastAsia" w:ascii="仿宋_GB2312" w:eastAsia="仿宋_GB2312" w:cs="仿宋_GB2312"/>
          <w:sz w:val="32"/>
          <w:szCs w:val="32"/>
          <w:u w:val="none"/>
          <w:lang w:bidi="ar-SA"/>
        </w:rPr>
        <w:t>安全。同时，“预案外”山洪地质灾害隐患发生率居高不下，对提高隐患早期识别能力和加强风险源头防范提出更高要求。二是资金来源相对单一。目前，全市地质灾害避险搬迁主要靠每户3.5万元或4万元的中央、省补助资金，以及个别地方的自筹资金，部分地方政府未出台地质灾害避险搬迁相关补助政策，中央、省补助资金与搬迁村（居）民平均建房成本相比占比小；山洪灾害避险搬迁无中央、省补助资金，搬迁资金筹措压力较大。三是资源约束日益凸显。大部分搬迁村（居）民位于山区，特别是高山峡谷区和盆周山区就近安置选址空间受限，大部分搬迁安置需调整承包地或占用基本农田，安置用地协调难度大。四是政策合力尚未形成。受山洪地质灾害威胁村（居）民避险搬迁是一项复杂的系统工作，亟需在生产资料协调、基础设施保障、公共服务配套、就业创业扶持等方面形成政策合力、发挥聚合效应，确保避险搬迁工作顺利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当前，我市正大力实施“1345”发展战略，全市经济社会发展进入新时期，安全发展</w:t>
      </w:r>
      <w:r>
        <w:rPr>
          <w:rFonts w:hint="eastAsia" w:ascii="仿宋_GB2312" w:eastAsia="仿宋_GB2312" w:cs="仿宋_GB2312"/>
          <w:sz w:val="32"/>
          <w:szCs w:val="32"/>
          <w:u w:val="none"/>
          <w:lang w:val="en-US" w:eastAsia="zh-CN" w:bidi="ar-SA"/>
        </w:rPr>
        <w:t>面临新形势</w:t>
      </w:r>
      <w:r>
        <w:rPr>
          <w:rFonts w:hint="eastAsia" w:ascii="仿宋_GB2312" w:eastAsia="仿宋_GB2312" w:cs="仿宋_GB2312"/>
          <w:sz w:val="32"/>
          <w:szCs w:val="32"/>
          <w:u w:val="none"/>
          <w:lang w:bidi="ar-SA"/>
        </w:rPr>
        <w:t>，亟需进一步提升全市防灾减灾能力。做好受山洪地质灾害威胁村（居）民避险搬迁工作，按照轻重缓急、分期分批将受威胁群众搬出隐患风险威胁区，全力消除山洪地质灾害隐患风险是持续增强群众民生福祉、共享发展成果、实现安居乐业的</w:t>
      </w:r>
      <w:r>
        <w:rPr>
          <w:rFonts w:hint="eastAsia" w:ascii="仿宋_GB2312" w:eastAsia="仿宋_GB2312" w:cs="仿宋_GB2312"/>
          <w:sz w:val="32"/>
          <w:szCs w:val="32"/>
          <w:u w:val="none"/>
          <w:lang w:val="en-US" w:eastAsia="zh-CN" w:bidi="ar-SA"/>
        </w:rPr>
        <w:t>有力</w:t>
      </w:r>
      <w:r>
        <w:rPr>
          <w:rFonts w:hint="eastAsia" w:ascii="仿宋_GB2312" w:eastAsia="仿宋_GB2312" w:cs="仿宋_GB2312"/>
          <w:sz w:val="32"/>
          <w:szCs w:val="32"/>
          <w:u w:val="none"/>
          <w:lang w:bidi="ar-SA"/>
        </w:rPr>
        <w:t>举措。</w:t>
      </w:r>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bookmarkStart w:id="8" w:name="_Toc7942"/>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r>
        <w:rPr>
          <w:rFonts w:hint="eastAsia" w:ascii="楷体_GB2312" w:eastAsia="楷体_GB2312" w:cs="楷体_GB2312"/>
          <w:b w:val="0"/>
          <w:u w:val="none"/>
          <w:lang w:bidi="ar-SA"/>
        </w:rPr>
        <w:t>第三节</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 xml:space="preserve"> 现状概况</w:t>
      </w:r>
      <w:bookmarkEnd w:id="8"/>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highlight w:val="yellow"/>
          <w:u w:val="none"/>
          <w:lang w:bidi="ar-SA"/>
        </w:rPr>
      </w:pPr>
      <w:r>
        <w:rPr>
          <w:rFonts w:hint="eastAsia" w:ascii="仿宋_GB2312" w:eastAsia="仿宋_GB2312" w:cs="仿宋_GB2312"/>
          <w:sz w:val="32"/>
          <w:szCs w:val="32"/>
          <w:u w:val="none"/>
          <w:lang w:bidi="ar-SA"/>
        </w:rPr>
        <w:t>地质灾害方面，809处地质灾害隐患点，从灾害类型看，滑坡695处，占86%；崩塌98处，占12%；泥石流11处，占1.4%；地面塌陷4处，占0.5%；地面沉降1处，占0.1%。从区域数量看，苍溪县123处、旺苍县145处、剑阁县142处、青川县161处、利州区117处、昭化区64处、朝天区48处、</w:t>
      </w:r>
      <w:r>
        <w:rPr>
          <w:rFonts w:hint="eastAsia" w:ascii="仿宋_GB2312" w:eastAsia="仿宋_GB2312" w:cs="仿宋_GB2312"/>
          <w:sz w:val="32"/>
          <w:szCs w:val="32"/>
          <w:u w:val="none"/>
          <w:lang w:val="en-US" w:eastAsia="zh-CN" w:bidi="ar-SA"/>
        </w:rPr>
        <w:t>广元经济技术开发区</w:t>
      </w:r>
      <w:r>
        <w:rPr>
          <w:rFonts w:hint="eastAsia" w:ascii="仿宋_GB2312" w:eastAsia="仿宋_GB2312" w:cs="仿宋_GB2312"/>
          <w:sz w:val="32"/>
          <w:szCs w:val="32"/>
          <w:u w:val="none"/>
          <w:lang w:bidi="ar-SA"/>
        </w:rPr>
        <w:t>9处。从时空分布看，区内地质灾害发生时间主要受降雨控制，以6月至9月为地质灾害高发期。总体上呈西部龙门山一带和东部米仓山</w:t>
      </w:r>
      <w:r>
        <w:rPr>
          <w:rFonts w:hint="eastAsia" w:ascii="仿宋_GB2312" w:eastAsia="仿宋_GB2312" w:cs="仿宋_GB2312"/>
          <w:sz w:val="32"/>
          <w:szCs w:val="32"/>
          <w:u w:val="none"/>
          <w:lang w:val="en-US" w:eastAsia="zh-CN" w:bidi="ar-SA"/>
        </w:rPr>
        <w:t>一</w:t>
      </w:r>
      <w:r>
        <w:rPr>
          <w:rFonts w:hint="eastAsia" w:ascii="仿宋_GB2312" w:eastAsia="仿宋_GB2312" w:cs="仿宋_GB2312"/>
          <w:sz w:val="32"/>
          <w:szCs w:val="32"/>
          <w:u w:val="none"/>
          <w:lang w:bidi="ar-SA"/>
        </w:rPr>
        <w:t>带地质灾害数量多、密度大，随着地形坡度减缓，地质灾害相对较少，密度也较小，局部与人类工程活动关系密切。崩塌、泥石流主要分布在深切河谷（沟谷）区，部分滑坡分布于人口相对集中的中、高山区。根据地质灾害风险调查评价成果，</w:t>
      </w:r>
      <w:r>
        <w:rPr>
          <w:rFonts w:hint="eastAsia" w:ascii="仿宋_GB2312" w:eastAsia="仿宋_GB2312" w:cs="仿宋_GB2312"/>
          <w:sz w:val="32"/>
          <w:szCs w:val="32"/>
          <w:u w:val="none"/>
          <w:lang w:val="en-US" w:eastAsia="zh-CN" w:bidi="ar-SA"/>
        </w:rPr>
        <w:t>全</w:t>
      </w:r>
      <w:r>
        <w:rPr>
          <w:rFonts w:hint="eastAsia" w:ascii="仿宋_GB2312" w:eastAsia="仿宋_GB2312" w:cs="仿宋_GB2312"/>
          <w:sz w:val="32"/>
          <w:szCs w:val="32"/>
          <w:u w:val="none"/>
          <w:lang w:bidi="ar-SA"/>
        </w:rPr>
        <w:t>市共有22处地质灾害极高风险区（</w:t>
      </w:r>
      <w:r>
        <w:rPr>
          <w:rFonts w:hint="eastAsia" w:ascii="仿宋_GB2312" w:eastAsia="仿宋_GB2312" w:cs="仿宋_GB2312"/>
          <w:sz w:val="32"/>
          <w:szCs w:val="32"/>
          <w:u w:val="none"/>
          <w:lang w:val="en-US" w:eastAsia="zh-CN" w:bidi="ar-SA"/>
        </w:rPr>
        <w:t>均</w:t>
      </w:r>
      <w:r>
        <w:rPr>
          <w:rFonts w:hint="eastAsia" w:ascii="仿宋_GB2312" w:eastAsia="仿宋_GB2312" w:cs="仿宋_GB2312"/>
          <w:sz w:val="32"/>
          <w:szCs w:val="32"/>
          <w:u w:val="none"/>
          <w:lang w:bidi="ar-SA"/>
        </w:rPr>
        <w:t>位于青川县）；343处地质灾害高风险区，其中</w:t>
      </w:r>
      <w:r>
        <w:rPr>
          <w:rFonts w:hint="eastAsia" w:ascii="仿宋_GB2312" w:eastAsia="仿宋_GB2312" w:cs="仿宋_GB2312"/>
          <w:sz w:val="32"/>
          <w:szCs w:val="32"/>
          <w:u w:val="none"/>
          <w:lang w:val="en-US" w:eastAsia="zh-CN" w:bidi="ar-SA"/>
        </w:rPr>
        <w:t>,</w:t>
      </w:r>
      <w:r>
        <w:rPr>
          <w:rFonts w:hint="eastAsia" w:ascii="仿宋_GB2312" w:eastAsia="仿宋_GB2312" w:cs="仿宋_GB2312"/>
          <w:sz w:val="32"/>
          <w:szCs w:val="32"/>
          <w:u w:val="none"/>
          <w:lang w:bidi="ar-SA"/>
        </w:rPr>
        <w:t>苍溪县34处、旺苍县73处、剑阁县19处、青川县112处、昭化区42处、朝天区63处；248处地质灾害中风险区及805处地质灾害低风险区。</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山洪灾害方面，我市境内河流纵横，以嘉陵江为主干，以白龙江、清江河、东河、南河等为分支的流域面积在50平方公里以上的河流有108条，水量丰富，流速急、落差大。广元属于亚热带湿润季风气候，年平均降雨量在800—1100毫米左右。全省三大暴雨区中的龙门山暴雨区、米仓山暴雨区几乎覆盖我市全境，历年来旱洪交错，山洪、滑坡、泥石流以及超标准洪水等自然灾害并发。全市共有山洪沟987条，已完成工程治理山洪沟9条。全市现有1052个山洪灾害危险区，其中，极高风险区3个、高风险区99个、中风险区361个、低风险区589个，威胁群众23103户83318人。2011年以来，全市区域性暴雨、山洪灾害、中小河流洪水频发，通过市、县山洪灾害预警、中小河流水文监测、河道视频监测、防汛调度指挥等项目建设，建立了以计算机技术、网络通讯技术、地理信息技术、数据库技术等为基础技术支撑的防汛预警指挥系统，实现了国家、省、市、县四级防汛调度指挥联动，最大限度减少了灾害损失。近七年，全市发布山洪灾害危险区预警、预报后累计转移15.9万余人，实现了人员“零死亡”。</w:t>
      </w:r>
    </w:p>
    <w:p>
      <w:pPr>
        <w:pStyle w:val="2"/>
        <w:keepNext w:val="0"/>
        <w:keepLines w:val="0"/>
        <w:pageBreakBefore w:val="0"/>
        <w:widowControl w:val="0"/>
        <w:kinsoku/>
        <w:wordWrap/>
        <w:overflowPunct/>
        <w:topLinePunct w:val="0"/>
        <w:autoSpaceDE/>
        <w:autoSpaceDN/>
        <w:bidi w:val="0"/>
        <w:adjustRightInd/>
        <w:snapToGrid/>
        <w:spacing w:before="0" w:after="0" w:line="550" w:lineRule="exact"/>
        <w:jc w:val="center"/>
        <w:textAlignment w:val="auto"/>
        <w:rPr>
          <w:rFonts w:hint="eastAsia" w:ascii="方正小标宋_GBK" w:eastAsia="方正小标宋_GBK" w:cs="黑体"/>
          <w:b w:val="0"/>
          <w:sz w:val="32"/>
          <w:szCs w:val="32"/>
          <w:u w:val="none"/>
          <w:lang w:bidi="ar-SA"/>
        </w:rPr>
      </w:pPr>
      <w:bookmarkStart w:id="9" w:name="_Toc31041"/>
    </w:p>
    <w:p>
      <w:pPr>
        <w:pStyle w:val="2"/>
        <w:keepNext w:val="0"/>
        <w:keepLines w:val="0"/>
        <w:pageBreakBefore w:val="0"/>
        <w:widowControl w:val="0"/>
        <w:kinsoku/>
        <w:wordWrap/>
        <w:overflowPunct/>
        <w:topLinePunct w:val="0"/>
        <w:autoSpaceDE/>
        <w:autoSpaceDN/>
        <w:bidi w:val="0"/>
        <w:adjustRightInd/>
        <w:snapToGrid/>
        <w:spacing w:before="0" w:after="0" w:line="550" w:lineRule="exact"/>
        <w:jc w:val="center"/>
        <w:textAlignment w:val="auto"/>
        <w:rPr>
          <w:rFonts w:hint="eastAsia" w:ascii="方正小标宋_GBK" w:eastAsia="方正小标宋_GBK" w:cs="黑体"/>
          <w:b w:val="0"/>
          <w:sz w:val="32"/>
          <w:szCs w:val="32"/>
          <w:u w:val="none"/>
          <w:lang w:bidi="ar-SA"/>
        </w:rPr>
      </w:pPr>
      <w:r>
        <w:rPr>
          <w:rFonts w:hint="eastAsia" w:ascii="黑体" w:eastAsia="黑体" w:cs="黑体"/>
          <w:b w:val="0"/>
          <w:sz w:val="32"/>
          <w:szCs w:val="32"/>
          <w:u w:val="none"/>
          <w:lang w:bidi="ar-SA"/>
        </w:rPr>
        <w:t>第二章  总体要求</w:t>
      </w:r>
      <w:bookmarkEnd w:id="9"/>
    </w:p>
    <w:p>
      <w:pPr>
        <w:pStyle w:val="3"/>
        <w:keepNext w:val="0"/>
        <w:keepLines w:val="0"/>
        <w:pageBreakBefore w:val="0"/>
        <w:widowControl w:val="0"/>
        <w:kinsoku/>
        <w:wordWrap/>
        <w:overflowPunct/>
        <w:topLinePunct w:val="0"/>
        <w:autoSpaceDE/>
        <w:autoSpaceDN/>
        <w:bidi w:val="0"/>
        <w:adjustRightInd/>
        <w:snapToGrid/>
        <w:spacing w:before="0" w:after="0" w:line="550" w:lineRule="exact"/>
        <w:jc w:val="center"/>
        <w:textAlignment w:val="auto"/>
        <w:rPr>
          <w:rFonts w:hint="eastAsia" w:ascii="黑体" w:eastAsia="黑体" w:cs="仿宋_GB2312"/>
          <w:b w:val="0"/>
          <w:u w:val="none"/>
          <w:lang w:bidi="ar-SA"/>
        </w:rPr>
      </w:pPr>
      <w:bookmarkStart w:id="10" w:name="_Toc28723"/>
      <w:bookmarkStart w:id="11" w:name="_Toc7335"/>
    </w:p>
    <w:p>
      <w:pPr>
        <w:pStyle w:val="3"/>
        <w:keepNext w:val="0"/>
        <w:keepLines w:val="0"/>
        <w:pageBreakBefore w:val="0"/>
        <w:widowControl w:val="0"/>
        <w:kinsoku/>
        <w:wordWrap/>
        <w:overflowPunct/>
        <w:topLinePunct w:val="0"/>
        <w:autoSpaceDE/>
        <w:autoSpaceDN/>
        <w:bidi w:val="0"/>
        <w:adjustRightInd/>
        <w:snapToGrid/>
        <w:spacing w:before="0" w:after="0" w:line="550" w:lineRule="exact"/>
        <w:jc w:val="center"/>
        <w:textAlignment w:val="auto"/>
        <w:rPr>
          <w:rFonts w:hint="eastAsia" w:ascii="黑体" w:eastAsia="黑体" w:cs="仿宋_GB2312"/>
          <w:b w:val="0"/>
          <w:u w:val="none"/>
          <w:lang w:bidi="ar-SA"/>
        </w:rPr>
      </w:pPr>
      <w:r>
        <w:rPr>
          <w:rFonts w:hint="eastAsia" w:ascii="楷体_GB2312" w:eastAsia="楷体_GB2312" w:cs="楷体_GB2312"/>
          <w:b w:val="0"/>
          <w:u w:val="none"/>
          <w:lang w:bidi="ar-SA"/>
        </w:rPr>
        <w:t>第一节</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 xml:space="preserve"> </w:t>
      </w:r>
      <w:bookmarkEnd w:id="10"/>
      <w:r>
        <w:rPr>
          <w:rFonts w:hint="eastAsia" w:ascii="楷体_GB2312" w:eastAsia="楷体_GB2312" w:cs="楷体_GB2312"/>
          <w:b w:val="0"/>
          <w:u w:val="none"/>
          <w:lang w:bidi="ar-SA"/>
        </w:rPr>
        <w:t>指导思想</w:t>
      </w:r>
      <w:bookmarkEnd w:id="11"/>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以习近平新时代中国特色社会主义思想为指导，深入学习贯彻党的二十大精神和习近平总书记关于防灾减灾救灾重要论述，认真落实省委省政府</w:t>
      </w:r>
      <w:r>
        <w:rPr>
          <w:rFonts w:hint="eastAsia" w:ascii="仿宋_GB2312" w:eastAsia="仿宋_GB2312" w:cs="仿宋_GB2312"/>
          <w:sz w:val="32"/>
          <w:szCs w:val="32"/>
          <w:u w:val="none"/>
          <w:lang w:val="en-US" w:eastAsia="zh-CN" w:bidi="ar-SA"/>
        </w:rPr>
        <w:t>和</w:t>
      </w:r>
      <w:r>
        <w:rPr>
          <w:rFonts w:hint="eastAsia" w:ascii="仿宋_GB2312" w:eastAsia="仿宋_GB2312" w:cs="仿宋_GB2312"/>
          <w:sz w:val="32"/>
          <w:szCs w:val="32"/>
          <w:u w:val="none"/>
          <w:lang w:bidi="ar-SA"/>
        </w:rPr>
        <w:t>市委市政府关于加强防汛减灾和山洪地质灾害防治工作的决策部署，坚持“人民至上、生命至上”“预防为主、防胜于救”</w:t>
      </w:r>
      <w:r>
        <w:rPr>
          <w:rFonts w:hint="eastAsia" w:ascii="仿宋_GB2312" w:eastAsia="仿宋_GB2312" w:cs="仿宋_GB2312"/>
          <w:sz w:val="32"/>
          <w:szCs w:val="32"/>
          <w:u w:val="none"/>
          <w:lang w:val="en-US" w:eastAsia="zh-CN" w:bidi="ar-SA"/>
        </w:rPr>
        <w:t>工作理念</w:t>
      </w:r>
      <w:r>
        <w:rPr>
          <w:rFonts w:hint="eastAsia" w:ascii="仿宋_GB2312" w:eastAsia="仿宋_GB2312" w:cs="仿宋_GB2312"/>
          <w:sz w:val="32"/>
          <w:szCs w:val="32"/>
          <w:u w:val="none"/>
          <w:lang w:bidi="ar-SA"/>
        </w:rPr>
        <w:t>，遵循“避让优先、应搬尽搬，统筹推进、分步实施”总体要求，以保障人民群众生命财产安全、满足人民群众对美好生活向往为出发点和落脚点，充分尊重群众意愿，紧密结合新型城镇化、宜居宜业和美乡村建设，优化国土空间布局﹑增强资源要素保障、加大投入和后续发展扶持力度，着力从源头防范化解灾害隐患风险，为受威胁群众创造良好的生产生活条件，坚决打好山洪地质灾害避险搬迁攻坚战、持久战，确保“搬得出﹑稳得住、能发展”，为全市经济社会高质量发展和群众安居乐业筑牢安全屏障。</w:t>
      </w:r>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楷体_GB2312" w:eastAsia="楷体_GB2312" w:cs="楷体_GB2312"/>
          <w:b w:val="0"/>
          <w:u w:val="none"/>
          <w:lang w:bidi="ar-SA"/>
        </w:rPr>
      </w:pPr>
      <w:bookmarkStart w:id="12" w:name="_Toc21730"/>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r>
        <w:rPr>
          <w:rFonts w:hint="eastAsia" w:ascii="楷体_GB2312" w:eastAsia="楷体_GB2312" w:cs="楷体_GB2312"/>
          <w:b w:val="0"/>
          <w:u w:val="none"/>
          <w:lang w:bidi="ar-SA"/>
        </w:rPr>
        <w:t xml:space="preserve">第二节 </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基本原则</w:t>
      </w:r>
      <w:bookmarkEnd w:id="12"/>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以人为本，安全第一。坚持以人民为中心的发展思想，更好统筹发展和安全，以实现受威胁村（居）民远离山洪地质灾害威胁为目标，着力降低山洪地质灾害隐患风险，维护人民群众生命财产安全。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避让优先，应搬尽搬。坚持以防为主，对地质灾害隐患点和极高、高危险区（风险区）以及极高、高风险山洪灾害危险区受威胁村（居）民优先实施避险搬迁，做到应搬尽搬。充分尊重群众搬迁意愿和风俗习惯，合理确定搬迁安置方式，加强社会风险防范，确保平稳有序搬迁。</w:t>
      </w:r>
    </w:p>
    <w:p>
      <w:pPr>
        <w:pStyle w:val="16"/>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仿宋_GB2312" w:cs="仿宋_GB2312"/>
          <w:sz w:val="32"/>
          <w:szCs w:val="32"/>
          <w:u w:val="none"/>
          <w:lang w:bidi="ar-SA"/>
        </w:rPr>
      </w:pPr>
      <w:r>
        <w:rPr>
          <w:rFonts w:hint="eastAsia" w:ascii="仿宋_GB2312" w:eastAsia="仿宋_GB2312" w:cs="仿宋_GB2312"/>
          <w:kern w:val="2"/>
          <w:sz w:val="32"/>
          <w:szCs w:val="32"/>
          <w:u w:val="none"/>
          <w:lang w:val="en-US" w:eastAsia="zh-CN" w:bidi="ar-SA"/>
        </w:rPr>
        <w:t>统筹规划，分步实施。坚</w:t>
      </w:r>
      <w:r>
        <w:rPr>
          <w:rFonts w:hint="eastAsia" w:ascii="仿宋_GB2312" w:cs="仿宋_GB2312"/>
          <w:sz w:val="32"/>
          <w:szCs w:val="32"/>
          <w:u w:val="none"/>
          <w:lang w:bidi="ar-SA"/>
        </w:rPr>
        <w:t>持立足当前、着眼长远，充分考虑地区资源环境承载能力，在政策制定、资金保障、产业发展、就业扶持、节约集约用地等方面统筹谋划，按轻重缓急分阶段有序推进。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政府主导，分级负责。坚持市级主责、县级主体，建立党委政府组织领导、行业部门分工协作﹑群众广泛参与的工作体系，强化责任落实、监督检查、绩效考核、激励奖惩，确保按期高质量完成避险搬迁任务。</w:t>
      </w:r>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楷体_GB2312" w:eastAsia="楷体_GB2312" w:cs="楷体_GB2312"/>
          <w:b w:val="0"/>
          <w:u w:val="none"/>
          <w:lang w:bidi="ar-SA"/>
        </w:rPr>
      </w:pPr>
      <w:bookmarkStart w:id="13" w:name="_Toc23259"/>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r>
        <w:rPr>
          <w:rFonts w:hint="eastAsia" w:ascii="楷体_GB2312" w:eastAsia="楷体_GB2312" w:cs="楷体_GB2312"/>
          <w:b w:val="0"/>
          <w:u w:val="none"/>
          <w:lang w:bidi="ar-SA"/>
        </w:rPr>
        <w:t xml:space="preserve">第三节 </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规划依据</w:t>
      </w:r>
      <w:bookmarkEnd w:id="13"/>
    </w:p>
    <w:p>
      <w:pPr>
        <w:pStyle w:val="16"/>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仿宋_GB2312" w:cs="仿宋_GB2312"/>
          <w:sz w:val="32"/>
          <w:szCs w:val="32"/>
          <w:u w:val="none"/>
          <w:lang w:bidi="ar-SA"/>
        </w:rPr>
      </w:pPr>
      <w:r>
        <w:rPr>
          <w:rFonts w:hint="eastAsia" w:ascii="仿宋_GB2312" w:cs="仿宋_GB2312"/>
          <w:sz w:val="32"/>
          <w:szCs w:val="32"/>
          <w:u w:val="none"/>
          <w:lang w:bidi="ar-SA"/>
        </w:rPr>
        <w:t>1．《中华人民共和国土地管理法》</w:t>
      </w:r>
    </w:p>
    <w:p>
      <w:pPr>
        <w:pStyle w:val="16"/>
        <w:keepNext w:val="0"/>
        <w:keepLines w:val="0"/>
        <w:pageBreakBefore w:val="0"/>
        <w:widowControl w:val="0"/>
        <w:kinsoku/>
        <w:wordWrap/>
        <w:overflowPunct/>
        <w:topLinePunct w:val="0"/>
        <w:autoSpaceDE/>
        <w:autoSpaceDN/>
        <w:bidi w:val="0"/>
        <w:adjustRightInd/>
        <w:snapToGrid/>
        <w:spacing w:after="0" w:line="596" w:lineRule="exact"/>
        <w:ind w:firstLine="640" w:firstLineChars="200"/>
        <w:textAlignment w:val="auto"/>
        <w:rPr>
          <w:rFonts w:hint="eastAsia" w:ascii="仿宋_GB2312" w:cs="仿宋_GB2312"/>
          <w:sz w:val="32"/>
          <w:szCs w:val="32"/>
          <w:u w:val="none"/>
          <w:lang w:bidi="ar-SA"/>
        </w:rPr>
      </w:pPr>
      <w:r>
        <w:rPr>
          <w:rFonts w:hint="eastAsia" w:ascii="仿宋_GB2312" w:cs="仿宋_GB2312"/>
          <w:sz w:val="32"/>
          <w:szCs w:val="32"/>
          <w:u w:val="none"/>
          <w:lang w:bidi="ar-SA"/>
        </w:rPr>
        <w:t>2．《中华人民共和国防洪法》</w:t>
      </w:r>
    </w:p>
    <w:p>
      <w:pPr>
        <w:pStyle w:val="16"/>
        <w:keepNext w:val="0"/>
        <w:keepLines w:val="0"/>
        <w:pageBreakBefore w:val="0"/>
        <w:widowControl w:val="0"/>
        <w:kinsoku/>
        <w:wordWrap/>
        <w:overflowPunct/>
        <w:topLinePunct w:val="0"/>
        <w:autoSpaceDE/>
        <w:autoSpaceDN/>
        <w:bidi w:val="0"/>
        <w:adjustRightInd/>
        <w:snapToGrid/>
        <w:spacing w:after="0" w:line="596" w:lineRule="exact"/>
        <w:ind w:firstLine="640" w:firstLineChars="200"/>
        <w:textAlignment w:val="auto"/>
        <w:rPr>
          <w:rFonts w:hint="eastAsia" w:ascii="仿宋_GB2312" w:cs="仿宋_GB2312"/>
          <w:sz w:val="32"/>
          <w:szCs w:val="32"/>
          <w:u w:val="none"/>
          <w:lang w:bidi="ar-SA"/>
        </w:rPr>
      </w:pPr>
      <w:r>
        <w:rPr>
          <w:rFonts w:hint="eastAsia" w:ascii="仿宋_GB2312" w:cs="仿宋_GB2312"/>
          <w:sz w:val="32"/>
          <w:szCs w:val="32"/>
          <w:u w:val="none"/>
          <w:lang w:bidi="ar-SA"/>
        </w:rPr>
        <w:t>3．《地质灾害防治条例》（国务院令第394号）</w:t>
      </w:r>
    </w:p>
    <w:p>
      <w:pPr>
        <w:pStyle w:val="16"/>
        <w:keepNext w:val="0"/>
        <w:keepLines w:val="0"/>
        <w:pageBreakBefore w:val="0"/>
        <w:widowControl w:val="0"/>
        <w:kinsoku/>
        <w:wordWrap/>
        <w:overflowPunct/>
        <w:topLinePunct w:val="0"/>
        <w:autoSpaceDE/>
        <w:autoSpaceDN/>
        <w:bidi w:val="0"/>
        <w:adjustRightInd/>
        <w:snapToGrid/>
        <w:spacing w:after="0" w:line="596" w:lineRule="exact"/>
        <w:ind w:firstLine="640" w:firstLineChars="200"/>
        <w:textAlignment w:val="auto"/>
        <w:rPr>
          <w:rFonts w:hint="eastAsia" w:ascii="仿宋_GB2312" w:cs="仿宋_GB2312"/>
          <w:sz w:val="32"/>
          <w:szCs w:val="32"/>
          <w:u w:val="none"/>
          <w:lang w:bidi="ar-SA"/>
        </w:rPr>
      </w:pPr>
      <w:r>
        <w:rPr>
          <w:rFonts w:hint="eastAsia" w:ascii="仿宋_GB2312" w:cs="仿宋_GB2312"/>
          <w:sz w:val="32"/>
          <w:szCs w:val="32"/>
          <w:u w:val="none"/>
          <w:lang w:bidi="ar-SA"/>
        </w:rPr>
        <w:t>4．《四川省“十四五”地质灾害防治规划》</w:t>
      </w:r>
    </w:p>
    <w:p>
      <w:pPr>
        <w:pStyle w:val="16"/>
        <w:keepNext w:val="0"/>
        <w:keepLines w:val="0"/>
        <w:pageBreakBefore w:val="0"/>
        <w:widowControl w:val="0"/>
        <w:kinsoku/>
        <w:wordWrap/>
        <w:overflowPunct/>
        <w:topLinePunct w:val="0"/>
        <w:autoSpaceDE/>
        <w:autoSpaceDN/>
        <w:bidi w:val="0"/>
        <w:adjustRightInd/>
        <w:snapToGrid/>
        <w:spacing w:after="0" w:line="596" w:lineRule="exact"/>
        <w:ind w:firstLine="640" w:firstLineChars="200"/>
        <w:textAlignment w:val="auto"/>
        <w:rPr>
          <w:rFonts w:hint="eastAsia" w:ascii="仿宋_GB2312" w:cs="仿宋_GB2312"/>
          <w:sz w:val="32"/>
          <w:szCs w:val="32"/>
          <w:u w:val="none"/>
          <w:lang w:bidi="ar-SA"/>
        </w:rPr>
      </w:pPr>
      <w:r>
        <w:rPr>
          <w:rFonts w:hint="eastAsia" w:ascii="仿宋_GB2312" w:cs="仿宋_GB2312"/>
          <w:sz w:val="32"/>
          <w:szCs w:val="32"/>
          <w:u w:val="none"/>
          <w:lang w:bidi="ar-SA"/>
        </w:rPr>
        <w:t>5．《四川省国土空间规划（2020—2035年）》</w:t>
      </w:r>
    </w:p>
    <w:p>
      <w:pPr>
        <w:pStyle w:val="16"/>
        <w:keepNext w:val="0"/>
        <w:keepLines w:val="0"/>
        <w:pageBreakBefore w:val="0"/>
        <w:widowControl w:val="0"/>
        <w:kinsoku/>
        <w:wordWrap/>
        <w:overflowPunct/>
        <w:topLinePunct w:val="0"/>
        <w:autoSpaceDE/>
        <w:autoSpaceDN/>
        <w:bidi w:val="0"/>
        <w:adjustRightInd/>
        <w:snapToGrid/>
        <w:spacing w:after="0" w:line="596" w:lineRule="exact"/>
        <w:ind w:firstLine="640" w:firstLineChars="200"/>
        <w:textAlignment w:val="auto"/>
        <w:rPr>
          <w:rFonts w:hint="eastAsia" w:ascii="仿宋_GB2312" w:cs="仿宋_GB2312"/>
          <w:sz w:val="32"/>
          <w:szCs w:val="32"/>
          <w:u w:val="none"/>
          <w:lang w:bidi="ar-SA"/>
        </w:rPr>
      </w:pPr>
      <w:r>
        <w:rPr>
          <w:rFonts w:hint="eastAsia" w:ascii="仿宋_GB2312" w:cs="仿宋_GB2312"/>
          <w:sz w:val="32"/>
          <w:szCs w:val="32"/>
          <w:u w:val="none"/>
          <w:lang w:bidi="ar-SA"/>
        </w:rPr>
        <w:t>6．《</w:t>
      </w:r>
      <w:r>
        <w:rPr>
          <w:rFonts w:hint="eastAsia" w:ascii="仿宋_GB2312" w:cs="仿宋_GB2312"/>
          <w:sz w:val="32"/>
          <w:szCs w:val="32"/>
          <w:u w:val="none"/>
          <w:lang w:val="en-US" w:eastAsia="zh-CN" w:bidi="ar-SA"/>
        </w:rPr>
        <w:t>四川省人民政府关于广元市国土空间总体规划（2021—2035年）的批复》（川府函〔2024</w:t>
      </w:r>
      <w:r>
        <w:rPr>
          <w:rFonts w:hint="eastAsia" w:ascii="仿宋_GB2312" w:cs="仿宋_GB2312"/>
          <w:sz w:val="32"/>
          <w:szCs w:val="32"/>
          <w:u w:val="none"/>
          <w:lang w:bidi="ar-SA"/>
        </w:rPr>
        <w:t>〕</w:t>
      </w:r>
      <w:r>
        <w:rPr>
          <w:rFonts w:hint="eastAsia" w:ascii="仿宋_GB2312" w:cs="仿宋_GB2312"/>
          <w:sz w:val="32"/>
          <w:szCs w:val="32"/>
          <w:u w:val="none"/>
          <w:lang w:val="en-US" w:eastAsia="zh-CN" w:bidi="ar-SA"/>
        </w:rPr>
        <w:t>57</w:t>
      </w:r>
      <w:r>
        <w:rPr>
          <w:rFonts w:hint="eastAsia" w:ascii="仿宋_GB2312" w:cs="仿宋_GB2312"/>
          <w:sz w:val="32"/>
          <w:szCs w:val="32"/>
          <w:u w:val="none"/>
          <w:lang w:bidi="ar-SA"/>
        </w:rPr>
        <w:t>号）</w:t>
      </w:r>
    </w:p>
    <w:p>
      <w:pPr>
        <w:pStyle w:val="16"/>
        <w:keepNext w:val="0"/>
        <w:keepLines w:val="0"/>
        <w:pageBreakBefore w:val="0"/>
        <w:widowControl w:val="0"/>
        <w:kinsoku/>
        <w:wordWrap/>
        <w:overflowPunct/>
        <w:topLinePunct w:val="0"/>
        <w:autoSpaceDE/>
        <w:autoSpaceDN/>
        <w:bidi w:val="0"/>
        <w:adjustRightInd/>
        <w:snapToGrid/>
        <w:spacing w:after="0" w:line="596" w:lineRule="exact"/>
        <w:ind w:firstLine="640" w:firstLineChars="200"/>
        <w:textAlignment w:val="auto"/>
        <w:rPr>
          <w:rFonts w:hint="eastAsia" w:ascii="仿宋_GB2312" w:cs="仿宋_GB2312"/>
          <w:sz w:val="32"/>
          <w:szCs w:val="32"/>
          <w:u w:val="none"/>
          <w:lang w:bidi="ar-SA"/>
        </w:rPr>
      </w:pPr>
      <w:r>
        <w:rPr>
          <w:rFonts w:hint="eastAsia" w:ascii="仿宋_GB2312" w:cs="仿宋_GB2312"/>
          <w:sz w:val="32"/>
          <w:szCs w:val="32"/>
          <w:u w:val="none"/>
          <w:lang w:bidi="ar-SA"/>
        </w:rPr>
        <w:t>7.《四川省人民政府办公厅关于四川省受山洪地质灾害威胁村（居）民避险搬迁总体规划(2023—2027年)的通知》（川办发〔2023〕34号）</w:t>
      </w:r>
    </w:p>
    <w:p>
      <w:pPr>
        <w:pStyle w:val="16"/>
        <w:keepNext w:val="0"/>
        <w:keepLines w:val="0"/>
        <w:pageBreakBefore w:val="0"/>
        <w:widowControl w:val="0"/>
        <w:kinsoku/>
        <w:wordWrap/>
        <w:overflowPunct/>
        <w:topLinePunct w:val="0"/>
        <w:autoSpaceDE/>
        <w:autoSpaceDN/>
        <w:bidi w:val="0"/>
        <w:adjustRightInd/>
        <w:snapToGrid/>
        <w:spacing w:after="0" w:line="596" w:lineRule="exact"/>
        <w:ind w:firstLine="640" w:firstLineChars="200"/>
        <w:textAlignment w:val="auto"/>
        <w:rPr>
          <w:rFonts w:hint="eastAsia" w:ascii="仿宋_GB2312" w:cs="仿宋_GB2312"/>
          <w:sz w:val="32"/>
          <w:szCs w:val="32"/>
          <w:u w:val="none"/>
          <w:lang w:bidi="ar-SA"/>
        </w:rPr>
      </w:pPr>
      <w:r>
        <w:rPr>
          <w:rFonts w:hint="eastAsia" w:ascii="仿宋_GB2312" w:cs="仿宋_GB2312"/>
          <w:sz w:val="32"/>
          <w:szCs w:val="32"/>
          <w:u w:val="none"/>
          <w:lang w:bidi="ar-SA"/>
        </w:rPr>
        <w:t>8.《</w:t>
      </w:r>
      <w:r>
        <w:rPr>
          <w:rFonts w:hint="eastAsia" w:ascii="仿宋_GB2312" w:cs="仿宋_GB2312"/>
          <w:sz w:val="32"/>
          <w:szCs w:val="32"/>
          <w:u w:val="none"/>
          <w:lang w:val="en-US" w:eastAsia="zh-CN" w:bidi="ar-SA"/>
        </w:rPr>
        <w:t>四川省人民政府办公厅关于印发</w:t>
      </w:r>
      <w:r>
        <w:rPr>
          <w:rFonts w:hint="eastAsia" w:ascii="仿宋_GB2312" w:cs="仿宋_GB2312"/>
          <w:sz w:val="32"/>
          <w:szCs w:val="32"/>
          <w:u w:val="none"/>
          <w:lang w:bidi="ar-SA"/>
        </w:rPr>
        <w:t>四川省地质灾害全域综合整治三年行动计划</w:t>
      </w:r>
      <w:r>
        <w:rPr>
          <w:rFonts w:hint="eastAsia" w:ascii="仿宋_GB2312" w:cs="仿宋_GB2312"/>
          <w:sz w:val="32"/>
          <w:szCs w:val="32"/>
          <w:u w:val="none"/>
          <w:lang w:eastAsia="zh-CN" w:bidi="ar-SA"/>
        </w:rPr>
        <w:t>（</w:t>
      </w:r>
      <w:r>
        <w:rPr>
          <w:rFonts w:hint="eastAsia" w:ascii="仿宋_GB2312" w:cs="仿宋_GB2312"/>
          <w:sz w:val="32"/>
          <w:szCs w:val="32"/>
          <w:u w:val="none"/>
          <w:lang w:bidi="ar-SA"/>
        </w:rPr>
        <w:t>2021—2023年</w:t>
      </w:r>
      <w:r>
        <w:rPr>
          <w:rFonts w:hint="eastAsia" w:ascii="仿宋_GB2312" w:cs="仿宋_GB2312"/>
          <w:sz w:val="32"/>
          <w:szCs w:val="32"/>
          <w:u w:val="none"/>
          <w:lang w:eastAsia="zh-CN" w:bidi="ar-SA"/>
        </w:rPr>
        <w:t>）的</w:t>
      </w:r>
      <w:r>
        <w:rPr>
          <w:rFonts w:hint="eastAsia" w:ascii="仿宋_GB2312" w:cs="仿宋_GB2312"/>
          <w:sz w:val="32"/>
          <w:szCs w:val="32"/>
          <w:u w:val="none"/>
          <w:lang w:val="en-US" w:eastAsia="zh-CN" w:bidi="ar-SA"/>
        </w:rPr>
        <w:t>通知</w:t>
      </w:r>
      <w:r>
        <w:rPr>
          <w:rFonts w:hint="eastAsia" w:ascii="仿宋_GB2312" w:cs="仿宋_GB2312"/>
          <w:sz w:val="32"/>
          <w:szCs w:val="32"/>
          <w:u w:val="none"/>
          <w:lang w:bidi="ar-SA"/>
        </w:rPr>
        <w:t>》（川办发〔2021〕29号）</w:t>
      </w:r>
    </w:p>
    <w:p>
      <w:pPr>
        <w:pStyle w:val="16"/>
        <w:keepNext w:val="0"/>
        <w:keepLines w:val="0"/>
        <w:pageBreakBefore w:val="0"/>
        <w:widowControl w:val="0"/>
        <w:kinsoku/>
        <w:wordWrap/>
        <w:overflowPunct/>
        <w:topLinePunct w:val="0"/>
        <w:autoSpaceDE/>
        <w:autoSpaceDN/>
        <w:bidi w:val="0"/>
        <w:adjustRightInd/>
        <w:snapToGrid/>
        <w:spacing w:after="0" w:line="596" w:lineRule="exact"/>
        <w:ind w:firstLine="640" w:firstLineChars="200"/>
        <w:textAlignment w:val="auto"/>
        <w:rPr>
          <w:rFonts w:hint="eastAsia" w:ascii="仿宋_GB2312" w:cs="仿宋_GB2312"/>
          <w:sz w:val="32"/>
          <w:szCs w:val="32"/>
          <w:u w:val="none"/>
          <w:lang w:bidi="ar-SA"/>
        </w:rPr>
      </w:pPr>
      <w:r>
        <w:rPr>
          <w:rFonts w:hint="eastAsia" w:ascii="仿宋_GB2312" w:cs="仿宋_GB2312"/>
          <w:sz w:val="32"/>
          <w:szCs w:val="32"/>
          <w:u w:val="none"/>
          <w:lang w:bidi="ar-SA"/>
        </w:rPr>
        <w:t>9.《四川省自然资源厅 四川省水利厅关于开展四川省山洪地质灾害避险搬迁摸底调查工作的通知》（川自然资函〔2022〕497号）</w:t>
      </w:r>
    </w:p>
    <w:p>
      <w:pPr>
        <w:pStyle w:val="16"/>
        <w:keepNext w:val="0"/>
        <w:keepLines w:val="0"/>
        <w:pageBreakBefore w:val="0"/>
        <w:widowControl w:val="0"/>
        <w:kinsoku/>
        <w:wordWrap/>
        <w:overflowPunct/>
        <w:topLinePunct w:val="0"/>
        <w:autoSpaceDE/>
        <w:autoSpaceDN/>
        <w:bidi w:val="0"/>
        <w:adjustRightInd/>
        <w:snapToGrid/>
        <w:spacing w:after="0" w:line="596" w:lineRule="exact"/>
        <w:ind w:firstLine="640" w:firstLineChars="200"/>
        <w:textAlignment w:val="auto"/>
        <w:rPr>
          <w:rFonts w:hint="eastAsia" w:ascii="仿宋_GB2312" w:cs="仿宋_GB2312"/>
          <w:sz w:val="32"/>
          <w:szCs w:val="32"/>
          <w:u w:val="none"/>
          <w:lang w:bidi="ar-SA"/>
        </w:rPr>
      </w:pPr>
      <w:r>
        <w:rPr>
          <w:rFonts w:hint="eastAsia" w:ascii="仿宋_GB2312" w:cs="仿宋_GB2312"/>
          <w:sz w:val="32"/>
          <w:szCs w:val="32"/>
          <w:u w:val="none"/>
          <w:lang w:bidi="ar-SA"/>
        </w:rPr>
        <w:t>10.《四川省自然资源厅 四川省水利厅关于印发〈四川省山洪地质灾害避险搬迁工作方案〉的通知》（川自然资发〔2022〕50号）</w:t>
      </w:r>
    </w:p>
    <w:p>
      <w:pPr>
        <w:pStyle w:val="16"/>
        <w:keepNext w:val="0"/>
        <w:keepLines w:val="0"/>
        <w:pageBreakBefore w:val="0"/>
        <w:widowControl w:val="0"/>
        <w:kinsoku/>
        <w:wordWrap/>
        <w:overflowPunct/>
        <w:topLinePunct w:val="0"/>
        <w:autoSpaceDE/>
        <w:autoSpaceDN/>
        <w:bidi w:val="0"/>
        <w:adjustRightInd/>
        <w:snapToGrid/>
        <w:spacing w:after="0" w:line="596" w:lineRule="exact"/>
        <w:ind w:firstLine="640" w:firstLineChars="200"/>
        <w:textAlignment w:val="auto"/>
        <w:rPr>
          <w:rFonts w:hint="eastAsia" w:ascii="仿宋_GB2312" w:cs="仿宋_GB2312"/>
          <w:sz w:val="32"/>
          <w:szCs w:val="32"/>
          <w:u w:val="none"/>
          <w:lang w:bidi="ar-SA"/>
        </w:rPr>
      </w:pPr>
      <w:r>
        <w:rPr>
          <w:rFonts w:hint="eastAsia" w:ascii="仿宋_GB2312" w:cs="仿宋_GB2312"/>
          <w:sz w:val="32"/>
          <w:szCs w:val="32"/>
          <w:u w:val="none"/>
          <w:lang w:bidi="ar-SA"/>
        </w:rPr>
        <w:t>11．《四川省自然资源厅</w:t>
      </w:r>
      <w:r>
        <w:rPr>
          <w:rFonts w:hint="eastAsia" w:ascii="仿宋_GB2312" w:cs="仿宋_GB2312"/>
          <w:sz w:val="32"/>
          <w:szCs w:val="32"/>
          <w:u w:val="none"/>
          <w:lang w:val="en-US" w:eastAsia="zh-CN" w:bidi="ar-SA"/>
        </w:rPr>
        <w:t xml:space="preserve"> </w:t>
      </w:r>
      <w:r>
        <w:rPr>
          <w:rFonts w:hint="eastAsia" w:ascii="仿宋_GB2312" w:cs="仿宋_GB2312"/>
          <w:sz w:val="32"/>
          <w:szCs w:val="32"/>
          <w:u w:val="none"/>
          <w:lang w:bidi="ar-SA"/>
        </w:rPr>
        <w:t>四川省财政厅关于印发〈四川省地质灾害治理工程概（预）算标准（修订）〉的通知》（川自然资发〔2018〕9号）</w:t>
      </w:r>
    </w:p>
    <w:p>
      <w:pPr>
        <w:pStyle w:val="16"/>
        <w:keepNext w:val="0"/>
        <w:keepLines w:val="0"/>
        <w:pageBreakBefore w:val="0"/>
        <w:widowControl w:val="0"/>
        <w:kinsoku/>
        <w:wordWrap/>
        <w:overflowPunct/>
        <w:topLinePunct w:val="0"/>
        <w:autoSpaceDE/>
        <w:autoSpaceDN/>
        <w:bidi w:val="0"/>
        <w:adjustRightInd/>
        <w:snapToGrid/>
        <w:spacing w:after="0" w:line="596" w:lineRule="exact"/>
        <w:ind w:firstLine="640" w:firstLineChars="200"/>
        <w:textAlignment w:val="auto"/>
        <w:rPr>
          <w:rFonts w:hint="eastAsia" w:ascii="仿宋_GB2312" w:cs="仿宋_GB2312"/>
          <w:sz w:val="32"/>
          <w:szCs w:val="32"/>
          <w:u w:val="none"/>
          <w:lang w:bidi="ar-SA"/>
        </w:rPr>
      </w:pPr>
      <w:r>
        <w:rPr>
          <w:rFonts w:hint="eastAsia" w:ascii="仿宋_GB2312" w:cs="仿宋_GB2312"/>
          <w:sz w:val="32"/>
          <w:szCs w:val="32"/>
          <w:u w:val="none"/>
          <w:lang w:bidi="ar-SA"/>
        </w:rPr>
        <w:t>12．《</w:t>
      </w:r>
      <w:r>
        <w:rPr>
          <w:rFonts w:hint="eastAsia" w:ascii="仿宋_GB2312" w:cs="仿宋_GB2312"/>
          <w:sz w:val="32"/>
          <w:szCs w:val="32"/>
          <w:u w:val="none"/>
          <w:lang w:val="en-US" w:eastAsia="zh-CN" w:bidi="ar-SA"/>
        </w:rPr>
        <w:t>广元市人民政府关于印发</w:t>
      </w:r>
      <w:r>
        <w:rPr>
          <w:rFonts w:hint="eastAsia" w:ascii="仿宋_GB2312" w:cs="仿宋_GB2312"/>
          <w:sz w:val="32"/>
          <w:szCs w:val="32"/>
          <w:u w:val="none"/>
          <w:lang w:bidi="ar-SA"/>
        </w:rPr>
        <w:t>广</w:t>
      </w:r>
      <w:r>
        <w:rPr>
          <w:rFonts w:hint="eastAsia" w:ascii="仿宋_GB2312" w:cs="仿宋_GB2312"/>
          <w:sz w:val="32"/>
          <w:szCs w:val="32"/>
          <w:u w:val="none"/>
          <w:lang w:val="en-US" w:eastAsia="zh-CN" w:bidi="ar-SA"/>
        </w:rPr>
        <w:t>元市“十四五”水安全保障规划的通知》（广府函〔2021〕98号</w:t>
      </w:r>
      <w:r>
        <w:rPr>
          <w:rFonts w:hint="eastAsia" w:ascii="仿宋_GB2312" w:cs="仿宋_GB2312"/>
          <w:sz w:val="32"/>
          <w:szCs w:val="32"/>
          <w:u w:val="none"/>
          <w:lang w:bidi="ar-SA"/>
        </w:rPr>
        <w:t>）</w:t>
      </w:r>
    </w:p>
    <w:p>
      <w:pPr>
        <w:pStyle w:val="16"/>
        <w:keepNext w:val="0"/>
        <w:keepLines w:val="0"/>
        <w:pageBreakBefore w:val="0"/>
        <w:widowControl w:val="0"/>
        <w:kinsoku/>
        <w:wordWrap/>
        <w:overflowPunct/>
        <w:topLinePunct w:val="0"/>
        <w:autoSpaceDE/>
        <w:autoSpaceDN/>
        <w:bidi w:val="0"/>
        <w:adjustRightInd/>
        <w:snapToGrid/>
        <w:spacing w:after="0" w:line="596" w:lineRule="exact"/>
        <w:ind w:firstLine="640" w:firstLineChars="200"/>
        <w:textAlignment w:val="auto"/>
        <w:rPr>
          <w:rFonts w:hint="eastAsia" w:ascii="仿宋_GB2312" w:cs="仿宋_GB2312"/>
          <w:sz w:val="32"/>
          <w:szCs w:val="32"/>
          <w:u w:val="none"/>
          <w:lang w:bidi="ar-SA"/>
        </w:rPr>
      </w:pPr>
      <w:r>
        <w:rPr>
          <w:rFonts w:hint="eastAsia" w:ascii="仿宋_GB2312" w:cs="仿宋_GB2312"/>
          <w:sz w:val="32"/>
          <w:szCs w:val="32"/>
          <w:u w:val="none"/>
          <w:lang w:bidi="ar-SA"/>
        </w:rPr>
        <w:t>13.《广元市自然资源局关于印发广元市“十四五”地质灾害防治规划的通知》（广自然资函〔2023〕293号）</w:t>
      </w:r>
    </w:p>
    <w:p>
      <w:pPr>
        <w:pStyle w:val="16"/>
        <w:keepNext w:val="0"/>
        <w:keepLines w:val="0"/>
        <w:pageBreakBefore w:val="0"/>
        <w:widowControl w:val="0"/>
        <w:kinsoku/>
        <w:wordWrap/>
        <w:overflowPunct/>
        <w:topLinePunct w:val="0"/>
        <w:autoSpaceDE/>
        <w:autoSpaceDN/>
        <w:bidi w:val="0"/>
        <w:adjustRightInd/>
        <w:snapToGrid/>
        <w:spacing w:after="0" w:line="596" w:lineRule="exact"/>
        <w:ind w:firstLine="640" w:firstLineChars="200"/>
        <w:textAlignment w:val="auto"/>
        <w:rPr>
          <w:rFonts w:hint="eastAsia" w:ascii="仿宋_GB2312" w:cs="仿宋_GB2312"/>
          <w:sz w:val="32"/>
          <w:szCs w:val="32"/>
          <w:u w:val="none"/>
          <w:lang w:bidi="ar-SA"/>
        </w:rPr>
      </w:pPr>
      <w:r>
        <w:rPr>
          <w:rFonts w:hint="eastAsia" w:ascii="仿宋_GB2312" w:cs="仿宋_GB2312"/>
          <w:sz w:val="32"/>
          <w:szCs w:val="32"/>
          <w:u w:val="none"/>
          <w:lang w:bidi="ar-SA"/>
        </w:rPr>
        <w:t>14．《广元市自然资源局</w:t>
      </w:r>
      <w:r>
        <w:rPr>
          <w:rFonts w:hint="eastAsia" w:ascii="仿宋_GB2312" w:cs="仿宋_GB2312"/>
          <w:sz w:val="32"/>
          <w:szCs w:val="32"/>
          <w:u w:val="none"/>
          <w:lang w:val="en-US" w:eastAsia="zh-CN" w:bidi="ar-SA"/>
        </w:rPr>
        <w:t xml:space="preserve"> </w:t>
      </w:r>
      <w:r>
        <w:rPr>
          <w:rFonts w:hint="eastAsia" w:ascii="仿宋_GB2312" w:cs="仿宋_GB2312"/>
          <w:sz w:val="32"/>
          <w:szCs w:val="32"/>
          <w:u w:val="none"/>
          <w:lang w:bidi="ar-SA"/>
        </w:rPr>
        <w:t>广元市水利局关于印发广元市山洪地质灾害避险搬迁工作方案》（广自然资函〔2022〕792号）</w:t>
      </w:r>
    </w:p>
    <w:p>
      <w:pPr>
        <w:pStyle w:val="16"/>
        <w:keepNext w:val="0"/>
        <w:keepLines w:val="0"/>
        <w:pageBreakBefore w:val="0"/>
        <w:widowControl w:val="0"/>
        <w:kinsoku/>
        <w:wordWrap/>
        <w:overflowPunct/>
        <w:topLinePunct w:val="0"/>
        <w:autoSpaceDE/>
        <w:autoSpaceDN/>
        <w:bidi w:val="0"/>
        <w:adjustRightInd/>
        <w:snapToGrid/>
        <w:spacing w:after="0" w:line="596" w:lineRule="exact"/>
        <w:ind w:firstLine="640" w:firstLineChars="200"/>
        <w:textAlignment w:val="auto"/>
        <w:rPr>
          <w:rFonts w:hint="eastAsia" w:ascii="仿宋_GB2312" w:cs="仿宋_GB2312"/>
          <w:sz w:val="32"/>
          <w:szCs w:val="32"/>
          <w:u w:val="none"/>
          <w:lang w:bidi="ar-SA"/>
        </w:rPr>
      </w:pPr>
      <w:r>
        <w:rPr>
          <w:rFonts w:hint="eastAsia" w:ascii="仿宋_GB2312" w:cs="仿宋_GB2312"/>
          <w:sz w:val="32"/>
          <w:szCs w:val="32"/>
          <w:u w:val="none"/>
          <w:lang w:bidi="ar-SA"/>
        </w:rPr>
        <w:t>15．</w:t>
      </w:r>
      <w:r>
        <w:rPr>
          <w:rFonts w:hint="eastAsia" w:ascii="仿宋_GB2312" w:cs="仿宋_GB2312"/>
          <w:sz w:val="32"/>
          <w:szCs w:val="32"/>
          <w:u w:val="none"/>
          <w:lang w:eastAsia="zh-CN" w:bidi="ar-SA"/>
        </w:rPr>
        <w:t>《</w:t>
      </w:r>
      <w:r>
        <w:rPr>
          <w:rFonts w:hint="eastAsia" w:ascii="仿宋_GB2312" w:cs="仿宋_GB2312"/>
          <w:sz w:val="32"/>
          <w:szCs w:val="32"/>
          <w:u w:val="none"/>
          <w:lang w:bidi="ar-SA"/>
        </w:rPr>
        <w:t>广元市自然资源局关于广元市地质灾害避险搬迁摸底调查相关情况的报告</w:t>
      </w:r>
      <w:r>
        <w:rPr>
          <w:rFonts w:hint="eastAsia" w:ascii="仿宋_GB2312" w:cs="仿宋_GB2312"/>
          <w:sz w:val="32"/>
          <w:szCs w:val="32"/>
          <w:u w:val="none"/>
          <w:lang w:eastAsia="zh-CN" w:bidi="ar-SA"/>
        </w:rPr>
        <w:t>》</w:t>
      </w:r>
      <w:r>
        <w:rPr>
          <w:rFonts w:hint="eastAsia" w:ascii="仿宋_GB2312" w:cs="仿宋_GB2312"/>
          <w:sz w:val="32"/>
          <w:szCs w:val="32"/>
          <w:u w:val="none"/>
          <w:lang w:bidi="ar-SA"/>
        </w:rPr>
        <w:t>（广自然资函〔2023〕25号）</w:t>
      </w:r>
    </w:p>
    <w:p>
      <w:pPr>
        <w:pStyle w:val="3"/>
        <w:keepNext w:val="0"/>
        <w:keepLines w:val="0"/>
        <w:pageBreakBefore w:val="0"/>
        <w:widowControl w:val="0"/>
        <w:kinsoku/>
        <w:wordWrap/>
        <w:overflowPunct/>
        <w:topLinePunct w:val="0"/>
        <w:autoSpaceDE/>
        <w:autoSpaceDN/>
        <w:bidi w:val="0"/>
        <w:adjustRightInd/>
        <w:snapToGrid/>
        <w:spacing w:before="0" w:after="0" w:line="596" w:lineRule="exact"/>
        <w:jc w:val="center"/>
        <w:textAlignment w:val="auto"/>
        <w:rPr>
          <w:rFonts w:hint="eastAsia" w:ascii="黑体" w:eastAsia="黑体" w:cs="仿宋_GB2312"/>
          <w:b w:val="0"/>
          <w:u w:val="none"/>
          <w:lang w:bidi="ar-SA"/>
        </w:rPr>
      </w:pPr>
      <w:bookmarkStart w:id="14" w:name="_Toc15140"/>
    </w:p>
    <w:p>
      <w:pPr>
        <w:pStyle w:val="3"/>
        <w:keepNext w:val="0"/>
        <w:keepLines w:val="0"/>
        <w:pageBreakBefore w:val="0"/>
        <w:widowControl w:val="0"/>
        <w:kinsoku/>
        <w:wordWrap/>
        <w:overflowPunct/>
        <w:topLinePunct w:val="0"/>
        <w:autoSpaceDE/>
        <w:autoSpaceDN/>
        <w:bidi w:val="0"/>
        <w:adjustRightInd/>
        <w:snapToGrid/>
        <w:spacing w:before="0" w:after="0" w:line="596" w:lineRule="exact"/>
        <w:jc w:val="center"/>
        <w:textAlignment w:val="auto"/>
        <w:rPr>
          <w:rFonts w:hint="eastAsia" w:ascii="黑体" w:eastAsia="黑体" w:cs="仿宋_GB2312"/>
          <w:b w:val="0"/>
          <w:u w:val="none"/>
          <w:lang w:bidi="ar-SA"/>
        </w:rPr>
      </w:pPr>
      <w:r>
        <w:rPr>
          <w:rFonts w:hint="eastAsia" w:ascii="楷体_GB2312" w:eastAsia="楷体_GB2312" w:cs="楷体_GB2312"/>
          <w:b w:val="0"/>
          <w:u w:val="none"/>
          <w:lang w:bidi="ar-SA"/>
        </w:rPr>
        <w:t>第四节</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 xml:space="preserve"> 规划目标</w:t>
      </w:r>
      <w:bookmarkEnd w:id="14"/>
    </w:p>
    <w:p>
      <w:pPr>
        <w:pStyle w:val="16"/>
        <w:keepNext w:val="0"/>
        <w:keepLines w:val="0"/>
        <w:pageBreakBefore w:val="0"/>
        <w:widowControl w:val="0"/>
        <w:kinsoku/>
        <w:wordWrap/>
        <w:overflowPunct/>
        <w:topLinePunct w:val="0"/>
        <w:autoSpaceDE/>
        <w:autoSpaceDN/>
        <w:bidi w:val="0"/>
        <w:adjustRightInd/>
        <w:snapToGrid/>
        <w:spacing w:after="0" w:line="596" w:lineRule="exact"/>
        <w:ind w:firstLine="640" w:firstLineChars="200"/>
        <w:textAlignment w:val="auto"/>
        <w:rPr>
          <w:rFonts w:hint="eastAsia" w:ascii="仿宋_GB2312" w:cs="仿宋_GB2312"/>
          <w:sz w:val="32"/>
          <w:szCs w:val="32"/>
          <w:u w:val="none"/>
          <w:lang w:bidi="ar-SA"/>
        </w:rPr>
      </w:pPr>
      <w:r>
        <w:rPr>
          <w:rFonts w:hint="eastAsia" w:ascii="仿宋_GB2312" w:cs="仿宋_GB2312"/>
          <w:sz w:val="32"/>
          <w:szCs w:val="32"/>
          <w:u w:val="none"/>
          <w:lang w:bidi="ar-SA"/>
        </w:rPr>
        <w:t>到2027年底，完成受山洪地质灾害威胁村（居）民避险搬迁942户。其中，受地质灾害威胁村（居）民避险搬迁839户，受山洪灾害威胁村（居）民避险搬迁103户。搬迁村（居）民的居住安全得到有效保障，生产生活条件明显改善，内生发展动力持续增强。</w:t>
      </w:r>
    </w:p>
    <w:p>
      <w:pPr>
        <w:spacing w:line="596" w:lineRule="exact"/>
        <w:ind w:firstLine="640" w:firstLineChars="200"/>
        <w:rPr>
          <w:rFonts w:ascii="仿宋_GB2312" w:hAnsi="仿宋_GB2312" w:cs="仿宋_GB2312"/>
          <w:sz w:val="32"/>
          <w:szCs w:val="32"/>
          <w:u w:val="none"/>
          <w:lang w:bidi="ar-SA"/>
        </w:rPr>
      </w:pPr>
      <w:r>
        <w:rPr>
          <w:rFonts w:hint="eastAsia" w:ascii="仿宋_GB2312" w:eastAsia="仿宋_GB2312" w:cs="仿宋_GB2312"/>
          <w:sz w:val="32"/>
          <w:szCs w:val="32"/>
          <w:u w:val="none"/>
          <w:lang w:bidi="ar-SA"/>
        </w:rPr>
        <w:t>第一阶段目标（2023—2025年）：完成受山洪地质灾害威胁村（居）民避险搬迁771户。其中，受地质灾害威胁避险搬迁719户，受山洪灾害威胁避险搬迁52户。</w:t>
      </w:r>
    </w:p>
    <w:p>
      <w:pPr>
        <w:spacing w:line="596" w:lineRule="exact"/>
        <w:ind w:firstLine="640" w:firstLineChars="200"/>
        <w:rPr>
          <w:rFonts w:hint="eastAsia" w:ascii="仿宋_GB2312" w:eastAsia="仿宋_GB2312" w:cs="仿宋_GB2312"/>
          <w:sz w:val="32"/>
          <w:szCs w:val="32"/>
          <w:u w:val="none"/>
          <w:lang w:bidi="ar-SA"/>
        </w:rPr>
      </w:pPr>
      <w:r>
        <w:rPr>
          <w:rFonts w:hint="eastAsia" w:ascii="仿宋_GB2312" w:hAnsi="仿宋_GB2312" w:eastAsia="仿宋_GB2312" w:cs="仿宋_GB2312"/>
          <w:sz w:val="32"/>
          <w:szCs w:val="32"/>
          <w:u w:val="none"/>
          <w:lang w:bidi="ar-SA"/>
        </w:rPr>
        <w:t>第二阶段目标（2026—2027年）：完成受山洪地质灾害威胁村（居）民避险搬迁171户。其中，受地质灾害威胁避险搬迁120户，受山洪灾害威胁避险搬迁51户。</w:t>
      </w:r>
      <w:bookmarkStart w:id="15" w:name="_Toc2335"/>
    </w:p>
    <w:p>
      <w:pPr>
        <w:spacing w:line="596" w:lineRule="exact"/>
        <w:rPr>
          <w:rFonts w:hint="eastAsia" w:ascii="Times New Roman" w:hAnsi="Times New Roman" w:eastAsia="宋体" w:cs="Times New Roman"/>
          <w:sz w:val="21"/>
          <w:szCs w:val="20"/>
          <w:u w:val="none"/>
          <w:lang w:bidi="ar-SA"/>
        </w:rPr>
      </w:pPr>
    </w:p>
    <w:p>
      <w:pPr>
        <w:pStyle w:val="2"/>
        <w:keepNext w:val="0"/>
        <w:keepLines w:val="0"/>
        <w:spacing w:before="0" w:after="0" w:line="596" w:lineRule="exact"/>
        <w:jc w:val="center"/>
        <w:rPr>
          <w:rFonts w:hint="eastAsia" w:ascii="方正小标宋_GBK" w:eastAsia="方正小标宋_GBK" w:cs="黑体"/>
          <w:sz w:val="32"/>
          <w:szCs w:val="32"/>
          <w:u w:val="none"/>
          <w:lang w:bidi="ar-SA"/>
        </w:rPr>
      </w:pPr>
      <w:r>
        <w:rPr>
          <w:rFonts w:hint="eastAsia" w:ascii="黑体" w:eastAsia="黑体" w:cs="黑体"/>
          <w:b w:val="0"/>
          <w:sz w:val="32"/>
          <w:szCs w:val="32"/>
          <w:u w:val="none"/>
          <w:lang w:bidi="ar-SA"/>
        </w:rPr>
        <w:t>第三章  搬迁对象和任务</w:t>
      </w:r>
      <w:bookmarkEnd w:id="15"/>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bookmarkStart w:id="16" w:name="_Toc16981"/>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r>
        <w:rPr>
          <w:rFonts w:hint="eastAsia" w:ascii="楷体_GB2312" w:eastAsia="楷体_GB2312" w:cs="楷体_GB2312"/>
          <w:b w:val="0"/>
          <w:u w:val="none"/>
          <w:lang w:bidi="ar-SA"/>
        </w:rPr>
        <w:t xml:space="preserve">第一节 </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搬迁对象</w:t>
      </w:r>
      <w:bookmarkEnd w:id="16"/>
    </w:p>
    <w:p>
      <w:pPr>
        <w:pStyle w:val="16"/>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仿宋_GB2312" w:cs="仿宋_GB2312"/>
          <w:sz w:val="32"/>
          <w:szCs w:val="32"/>
          <w:u w:val="none"/>
          <w:lang w:bidi="ar-SA"/>
        </w:rPr>
      </w:pPr>
      <w:r>
        <w:rPr>
          <w:rFonts w:hint="eastAsia" w:ascii="仿宋_GB2312" w:cs="仿宋_GB2312"/>
          <w:sz w:val="32"/>
          <w:szCs w:val="32"/>
          <w:u w:val="none"/>
          <w:lang w:bidi="ar-SA"/>
        </w:rPr>
        <w:t>地质灾害避险搬迁对象包括地质灾害治理难度大或治理费效比高、地质灾害治理工程受损且修复困难、处于断裂带附近三项条件之一的受威胁村（居）民，地质灾害极高、高危险区（风险区）内靠山临崖、高陡斜坡（边坡）、沟谷沟口等受威胁村（居）民，其他受地质灾害威胁并有搬迁意愿的村（居）民。山洪灾害避险搬迁对象包含极高风险区、高风险区“应搬迁”群众，中风险区、低风险区具有搬迁意愿的群众。</w:t>
      </w:r>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bookmarkStart w:id="17" w:name="_Toc7726"/>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楷体_GB2312" w:eastAsia="楷体_GB2312" w:cs="楷体_GB2312"/>
          <w:b w:val="0"/>
          <w:u w:val="none"/>
          <w:lang w:bidi="ar-SA"/>
        </w:rPr>
      </w:pPr>
      <w:r>
        <w:rPr>
          <w:rFonts w:hint="eastAsia" w:ascii="楷体_GB2312" w:eastAsia="楷体_GB2312" w:cs="楷体_GB2312"/>
          <w:b w:val="0"/>
          <w:u w:val="none"/>
          <w:lang w:bidi="ar-SA"/>
        </w:rPr>
        <w:t xml:space="preserve">第二节 </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搬迁任务</w:t>
      </w:r>
      <w:bookmarkEnd w:id="17"/>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地质灾害避险搬迁839户。其中，苍溪县避险搬迁80户、旺苍县避险搬迁126户、剑阁县避险搬迁213户、青川县避险搬迁150户、利州区避险搬迁90户、昭化区避险搬迁126户、朝天区避险搬迁52户、</w:t>
      </w:r>
      <w:r>
        <w:rPr>
          <w:rFonts w:hint="eastAsia" w:ascii="仿宋_GB2312" w:eastAsia="仿宋_GB2312" w:cs="仿宋_GB2312"/>
          <w:sz w:val="32"/>
          <w:szCs w:val="32"/>
          <w:u w:val="none"/>
          <w:lang w:val="en-US" w:eastAsia="zh-CN" w:bidi="ar-SA"/>
        </w:rPr>
        <w:t>广元经济技术开发区</w:t>
      </w:r>
      <w:r>
        <w:rPr>
          <w:rFonts w:hint="eastAsia" w:ascii="仿宋_GB2312" w:eastAsia="仿宋_GB2312" w:cs="仿宋_GB2312"/>
          <w:sz w:val="32"/>
          <w:szCs w:val="32"/>
          <w:u w:val="none"/>
          <w:lang w:bidi="ar-SA"/>
        </w:rPr>
        <w:t>避险搬迁2户。839户地质灾害避险搬迁中，隐患点“应搬”群众496户（紧迫性为紧迫的49户、紧迫性为较紧迫的341户、紧迫性为一般的106户）；极高（高）危险区（风险区）“应搬”群众89户（紧迫性为较紧迫的16户、紧迫性为一般的73户）；“应搬”隐患点以外的其他隐患点愿意搬迁群众114户（紧迫性一般）；中、低风险区愿意搬迁群众140户（紧迫性一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山洪灾害避险搬迁103户。其中，旺苍县避险搬迁75户、剑阁县避险搬迁4户、青川县避险搬迁24户。103户山洪灾害避险搬迁中，极高风险山洪灾害危险区3户（紧迫性为紧迫）；高风险山洪灾害危险区27户（紧迫性为较紧迫）；中、低风险山洪灾害危险区73户（紧迫性为一般）。</w:t>
      </w:r>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bookmarkStart w:id="18" w:name="_Toc24935"/>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楷体_GB2312" w:eastAsia="楷体_GB2312" w:cs="楷体_GB2312"/>
          <w:b w:val="0"/>
          <w:u w:val="none"/>
          <w:lang w:bidi="ar-SA"/>
        </w:rPr>
      </w:pPr>
      <w:r>
        <w:rPr>
          <w:rFonts w:hint="eastAsia" w:ascii="楷体_GB2312" w:eastAsia="楷体_GB2312" w:cs="楷体_GB2312"/>
          <w:b w:val="0"/>
          <w:u w:val="none"/>
          <w:lang w:bidi="ar-SA"/>
        </w:rPr>
        <w:t xml:space="preserve">第三节 </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进度安排</w:t>
      </w:r>
      <w:bookmarkEnd w:id="18"/>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根据</w:t>
      </w:r>
      <w:r>
        <w:rPr>
          <w:rFonts w:hint="eastAsia" w:ascii="仿宋_GB2312" w:eastAsia="仿宋_GB2312"/>
          <w:sz w:val="32"/>
          <w:szCs w:val="32"/>
          <w:u w:val="none"/>
        </w:rPr>
        <w:t>《四川省人民政府办公厅关于印发四川省受山洪地质灾害威胁村（居）民避险搬迁总体规划（2023—2027年）的通知》（川办发〔2023〕34号）要求，</w:t>
      </w:r>
      <w:r>
        <w:rPr>
          <w:rFonts w:hint="eastAsia" w:ascii="仿宋_GB2312" w:eastAsia="仿宋_GB2312" w:cs="仿宋_GB2312"/>
          <w:sz w:val="32"/>
          <w:szCs w:val="32"/>
          <w:u w:val="none"/>
          <w:lang w:bidi="ar-SA"/>
        </w:rPr>
        <w:t>充分考虑受威胁群众意愿，按照“受灾优先、紧迫优先、应搬优先”三个优先原则，计划从2023年至2027年用5年时间分阶段实施避险搬迁。其中，2023年实施地质灾害避险搬迁523户，2024年实施避险搬迁137户（地质灾害避险搬迁116户、山洪灾害避险搬迁21户），2025年实施避险搬迁111户（地质灾害避险搬迁80户、山洪灾害避险搬迁31户），2026年实施避险搬迁102户（地质灾害避险搬迁70户、山洪灾害避险搬迁32户），2027年实施避险搬迁69户（地质灾害避险搬迁50户、山洪灾害避险搬迁19户）。各县</w:t>
      </w:r>
      <w:r>
        <w:rPr>
          <w:rFonts w:hint="eastAsia" w:ascii="仿宋_GB2312" w:eastAsia="仿宋_GB2312" w:cs="仿宋_GB2312"/>
          <w:sz w:val="32"/>
          <w:szCs w:val="32"/>
          <w:u w:val="none"/>
          <w:lang w:eastAsia="zh-CN" w:bidi="ar-SA"/>
        </w:rPr>
        <w:t>（</w:t>
      </w:r>
      <w:r>
        <w:rPr>
          <w:rFonts w:hint="eastAsia" w:ascii="仿宋_GB2312" w:eastAsia="仿宋_GB2312" w:cs="仿宋_GB2312"/>
          <w:sz w:val="32"/>
          <w:szCs w:val="32"/>
          <w:u w:val="none"/>
          <w:lang w:val="en-US" w:eastAsia="zh-CN" w:bidi="ar-SA"/>
        </w:rPr>
        <w:t>区</w:t>
      </w:r>
      <w:r>
        <w:rPr>
          <w:rFonts w:hint="eastAsia" w:ascii="仿宋_GB2312" w:eastAsia="仿宋_GB2312" w:cs="仿宋_GB2312"/>
          <w:sz w:val="32"/>
          <w:szCs w:val="32"/>
          <w:u w:val="none"/>
          <w:lang w:eastAsia="zh-CN" w:bidi="ar-SA"/>
        </w:rPr>
        <w:t>）</w:t>
      </w:r>
      <w:r>
        <w:rPr>
          <w:rFonts w:hint="eastAsia" w:ascii="仿宋_GB2312" w:eastAsia="仿宋_GB2312" w:cs="仿宋_GB2312"/>
          <w:sz w:val="32"/>
          <w:szCs w:val="32"/>
          <w:u w:val="none"/>
          <w:lang w:bidi="ar-SA"/>
        </w:rPr>
        <w:t>年度实施任务详见附件。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各县</w:t>
      </w:r>
      <w:r>
        <w:rPr>
          <w:rFonts w:hint="eastAsia" w:ascii="仿宋_GB2312" w:eastAsia="仿宋_GB2312" w:cs="仿宋_GB2312"/>
          <w:sz w:val="32"/>
          <w:szCs w:val="32"/>
          <w:u w:val="none"/>
          <w:lang w:eastAsia="zh-CN" w:bidi="ar-SA"/>
        </w:rPr>
        <w:t>（</w:t>
      </w:r>
      <w:r>
        <w:rPr>
          <w:rFonts w:hint="eastAsia" w:ascii="仿宋_GB2312" w:eastAsia="仿宋_GB2312" w:cs="仿宋_GB2312"/>
          <w:sz w:val="32"/>
          <w:szCs w:val="32"/>
          <w:u w:val="none"/>
          <w:lang w:val="en-US" w:eastAsia="zh-CN" w:bidi="ar-SA"/>
        </w:rPr>
        <w:t>区</w:t>
      </w:r>
      <w:r>
        <w:rPr>
          <w:rFonts w:hint="eastAsia" w:ascii="仿宋_GB2312" w:eastAsia="仿宋_GB2312" w:cs="仿宋_GB2312"/>
          <w:sz w:val="32"/>
          <w:szCs w:val="32"/>
          <w:u w:val="none"/>
          <w:lang w:eastAsia="zh-CN" w:bidi="ar-SA"/>
        </w:rPr>
        <w:t>）</w:t>
      </w:r>
      <w:r>
        <w:rPr>
          <w:rFonts w:hint="eastAsia" w:ascii="仿宋_GB2312" w:eastAsia="仿宋_GB2312" w:cs="仿宋_GB2312"/>
          <w:sz w:val="32"/>
          <w:szCs w:val="32"/>
          <w:u w:val="none"/>
          <w:lang w:bidi="ar-SA"/>
        </w:rPr>
        <w:t>要明确应完成的避险搬迁任务，结合实际情况制定详细的年度计划表，明确应完成的避险搬迁类型及数量，积极推进避险搬迁工作，确保避险搬迁工作有序和如期全面完成。各县（区）可在市级专项规划基础上整合政策提前完成本地山洪地质灾害避险搬迁目标任务。</w:t>
      </w:r>
    </w:p>
    <w:p>
      <w:pPr>
        <w:pStyle w:val="2"/>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方正小标宋简体" w:eastAsia="方正小标宋简体" w:cs="方正小标宋简体"/>
          <w:b w:val="0"/>
          <w:sz w:val="32"/>
          <w:szCs w:val="32"/>
          <w:lang w:bidi="ar-SA"/>
        </w:rPr>
      </w:pPr>
      <w:bookmarkStart w:id="19" w:name="_Toc3042"/>
    </w:p>
    <w:p>
      <w:pPr>
        <w:pStyle w:val="2"/>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方正小标宋_GBK" w:eastAsia="方正小标宋_GBK" w:cs="黑体"/>
          <w:b w:val="0"/>
          <w:sz w:val="32"/>
          <w:szCs w:val="32"/>
          <w:u w:val="none"/>
          <w:lang w:bidi="ar-SA"/>
        </w:rPr>
      </w:pPr>
      <w:r>
        <w:rPr>
          <w:rFonts w:hint="eastAsia" w:ascii="黑体" w:eastAsia="黑体" w:cs="黑体"/>
          <w:b w:val="0"/>
          <w:sz w:val="32"/>
          <w:szCs w:val="32"/>
          <w:u w:val="none"/>
          <w:lang w:bidi="ar-SA"/>
        </w:rPr>
        <w:t>第四章  搬迁安置</w:t>
      </w:r>
      <w:bookmarkEnd w:id="19"/>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bookmarkStart w:id="20" w:name="_Toc1712"/>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楷体_GB2312" w:eastAsia="楷体_GB2312" w:cs="楷体_GB2312"/>
          <w:b w:val="0"/>
          <w:u w:val="none"/>
          <w:lang w:bidi="ar-SA"/>
        </w:rPr>
      </w:pPr>
      <w:r>
        <w:rPr>
          <w:rFonts w:hint="eastAsia" w:ascii="楷体_GB2312" w:eastAsia="楷体_GB2312" w:cs="楷体_GB2312"/>
          <w:b w:val="0"/>
          <w:u w:val="none"/>
          <w:lang w:bidi="ar-SA"/>
        </w:rPr>
        <w:t xml:space="preserve">第一节 </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搬迁方式</w:t>
      </w:r>
      <w:bookmarkEnd w:id="2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搬迁方式分为整点（区）搬迁和局部搬迁。鼓励对处于地震断裂带附近、治理费效比</w:t>
      </w:r>
      <w:r>
        <w:rPr>
          <w:rFonts w:hint="eastAsia" w:ascii="仿宋_GB2312" w:eastAsia="仿宋_GB2312" w:cs="仿宋_GB2312"/>
          <w:sz w:val="32"/>
          <w:szCs w:val="32"/>
          <w:lang w:bidi="ar-SA"/>
        </w:rPr>
        <w:t>高</w:t>
      </w:r>
      <w:r>
        <w:rPr>
          <w:rFonts w:hint="eastAsia" w:ascii="仿宋_GB2312" w:eastAsia="仿宋_GB2312" w:cs="仿宋_GB2312"/>
          <w:sz w:val="32"/>
          <w:szCs w:val="32"/>
          <w:u w:val="none"/>
          <w:lang w:bidi="ar-SA"/>
        </w:rPr>
        <w:t>、治理工程受损且修复难度大的地质灾害隐患点、山洪灾害危险区和成灾风险高、生存环境较差、可持续发展难的地质灾害危险区（风险区）受威胁村（居）民实施整点（区）搬迁。对整点（区）搬迁以外其他符合搬迁条件的受威胁村（居）民实施局部搬迁。</w:t>
      </w:r>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bookmarkStart w:id="21" w:name="_Toc25466"/>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楷体_GB2312" w:eastAsia="楷体_GB2312" w:cs="楷体_GB2312"/>
          <w:b w:val="0"/>
          <w:u w:val="none"/>
          <w:lang w:bidi="ar-SA"/>
        </w:rPr>
      </w:pPr>
      <w:r>
        <w:rPr>
          <w:rFonts w:hint="eastAsia" w:ascii="楷体_GB2312" w:eastAsia="楷体_GB2312" w:cs="楷体_GB2312"/>
          <w:b w:val="0"/>
          <w:u w:val="none"/>
          <w:lang w:bidi="ar-SA"/>
        </w:rPr>
        <w:t>第二节 安置方式</w:t>
      </w:r>
      <w:bookmarkEnd w:id="21"/>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因地制宜采取集中安置、货币化安置、分散安置和其他安置相结合的方式实施搬迁安置，鼓励有条件的地区采用集中安置、货币化安置。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集中安置。结合县级国土空间总体规划及乡镇村级片区国土空间规划，以当地特色产业、乡村旅游业等为支撑，引导群众向县城、集镇、产业园、已有安置区、中心村集中安置。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货币化安置。由当地政府统筹相关资金和政策，充分利用商品房、棚改存量房和保障性住房等资源，鼓励进城落户，通过市场购买或租赁等多种方式进行安置。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分散安置。主要以避险搬迁户自建住房的方式安置。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其他安置。主要以投亲靠友等方式安置。鼓励各县（区）依托社会福利机构对符合供养条件的孤寡老人、残疾人等进行安置。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综合考虑我市资源禀赋、产业发展和城镇化进程，着力推动“集中和市场化安置为主、分散安置为辅”的多元化搬迁安置模式。充分利用县城、中心镇以及集镇基础设施完备、社会保障服务体系健全等优势，以建设大型安置点和购置商品房等方式支持搬迁户向城镇集中安置。依托产业园区、已有安置区和乡</w:t>
      </w:r>
      <w:r>
        <w:rPr>
          <w:rFonts w:hint="eastAsia" w:ascii="仿宋_GB2312" w:eastAsia="仿宋_GB2312" w:cs="仿宋_GB2312"/>
          <w:sz w:val="32"/>
          <w:szCs w:val="32"/>
          <w:u w:val="none"/>
          <w:lang w:val="en-US" w:eastAsia="zh-CN" w:bidi="ar-SA"/>
        </w:rPr>
        <w:t>村</w:t>
      </w:r>
      <w:r>
        <w:rPr>
          <w:rFonts w:hint="eastAsia" w:ascii="仿宋_GB2312" w:eastAsia="仿宋_GB2312" w:cs="仿宋_GB2312"/>
          <w:sz w:val="32"/>
          <w:szCs w:val="32"/>
          <w:u w:val="none"/>
          <w:lang w:bidi="ar-SA"/>
        </w:rPr>
        <w:t>振兴新村，以搬迁群众就业、创业需求为导向，引导搬迁户向产业园区或新村集中安置。农户自建住房、投亲靠友等分散安置方式作为补充，鼓励当地政府通过回购空置房屋或闲置建设用地等方式安置搬迁群众。</w:t>
      </w:r>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bookmarkStart w:id="22" w:name="_Toc29099"/>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楷体_GB2312" w:eastAsia="楷体_GB2312" w:cs="楷体_GB2312"/>
          <w:b w:val="0"/>
          <w:u w:val="none"/>
          <w:lang w:bidi="ar-SA"/>
        </w:rPr>
      </w:pPr>
      <w:r>
        <w:rPr>
          <w:rFonts w:hint="eastAsia" w:ascii="楷体_GB2312" w:eastAsia="楷体_GB2312" w:cs="楷体_GB2312"/>
          <w:b w:val="0"/>
          <w:u w:val="none"/>
          <w:lang w:bidi="ar-SA"/>
        </w:rPr>
        <w:t>第三节</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 xml:space="preserve"> 选址建设</w:t>
      </w:r>
      <w:bookmarkEnd w:id="22"/>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选址要求。避险搬迁需新建房屋的，安置点应科学选址，避让永久基本农田、生态保护红线等敏感区域，不占或少占耕地。紧密衔接国土空间规划尤其是乡镇国土空间规划，与新型城镇化建设和乡村振兴规划等相衔接，以群众“搬得出、稳得住、能发展”为目标，推动搬迁“三靠”（靠园区、靠景区、靠社区）、“三进”（进县城、进集镇、进中心村和聚居点），坚决避免因规划调整、山洪地质灾害威胁造成“二次搬迁”。对于集中安置项目，开展资源环境承载能力评价和国土空间开发适宜性评价、地质灾害危险性评估，有效规避地震断裂带、地质灾害隐患点和危险区（风险区）以及山洪灾害危险区等潜在威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建设要求。坚持规模适宜、功能合理、宜居宜业，充分考虑搬迁群众经济条件，合理确定人均住房面积，严格控制建造成本。新建住房结构设计应执行相关建筑规范和技术标准，严控切坡建房，确保住房质量和安全。集中安置点原则上实行统规自建，突出地域文化和民族特色，坚持科学合理、功能完善、特色鲜明，按照相关建筑规范和技术标准统一规划建设。</w:t>
      </w:r>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bookmarkStart w:id="23" w:name="_Toc29911"/>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楷体_GB2312" w:eastAsia="楷体_GB2312" w:cs="楷体_GB2312"/>
          <w:b w:val="0"/>
          <w:u w:val="none"/>
          <w:lang w:bidi="ar-SA"/>
        </w:rPr>
      </w:pPr>
      <w:r>
        <w:rPr>
          <w:rFonts w:hint="eastAsia" w:ascii="楷体_GB2312" w:eastAsia="楷体_GB2312" w:cs="楷体_GB2312"/>
          <w:b w:val="0"/>
          <w:u w:val="none"/>
          <w:lang w:bidi="ar-SA"/>
        </w:rPr>
        <w:t xml:space="preserve">第四节 </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基础配套</w:t>
      </w:r>
      <w:bookmarkEnd w:id="2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对新建集中安置区的，按照“规模适宜、功能合理、经济安全、环境整洁、宜居宜业”原则，由各地政府统筹配套建设水、电、路、网、天然气及垃圾、污水处理等基础设施。在发挥现有公共服务设施能力的基础上，由各县（区）政府统筹，充分依托城镇（中心集镇）、产业园区已有公共服务设施有利条件，充分衔接城镇（中心集镇）、中心村建设规划、产业园区规划，合理规划建设完善教育、卫生、文化、体育以及商业网点、便民超市、集贸市场等公共服务设施。</w:t>
      </w:r>
    </w:p>
    <w:p>
      <w:pPr>
        <w:spacing w:line="576" w:lineRule="exact"/>
        <w:ind w:left="0" w:firstLine="630" w:firstLineChars="300"/>
        <w:rPr>
          <w:rFonts w:hint="eastAsia" w:ascii="黑体" w:eastAsia="黑体" w:cs="仿宋_GB2312"/>
          <w:u w:val="none"/>
          <w:lang w:bidi="ar-SA"/>
        </w:rPr>
      </w:pPr>
      <w:bookmarkStart w:id="24" w:name="_Toc20420"/>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楷体_GB2312" w:eastAsia="楷体_GB2312" w:cs="楷体_GB2312"/>
          <w:b w:val="0"/>
          <w:u w:val="none"/>
          <w:lang w:bidi="ar-SA"/>
        </w:rPr>
      </w:pPr>
      <w:r>
        <w:rPr>
          <w:rFonts w:hint="eastAsia" w:ascii="楷体_GB2312" w:eastAsia="楷体_GB2312" w:cs="楷体_GB2312"/>
          <w:b w:val="0"/>
          <w:u w:val="none"/>
          <w:lang w:bidi="ar-SA"/>
        </w:rPr>
        <w:t xml:space="preserve">第五节 </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鼓励租购</w:t>
      </w:r>
      <w:bookmarkEnd w:id="24"/>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按照“市场配置资源和政府补助相结合”原则，鼓励避险搬迁户通过市场购买或租赁住房等多种方式解决居住问题。支持各地统筹相关政策和资金，充分利用当地商品房和保障性住房存量，根据群众意愿，明确搬迁时序，通过优惠购置商品房和保障性住房方式，安置受山洪地质灾害威胁群众。</w:t>
      </w:r>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bookmarkStart w:id="25" w:name="_Toc2203"/>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楷体_GB2312" w:eastAsia="楷体_GB2312" w:cs="楷体_GB2312"/>
          <w:b w:val="0"/>
          <w:bCs w:val="0"/>
          <w:u w:val="none"/>
          <w:lang w:bidi="ar-SA"/>
        </w:rPr>
      </w:pPr>
      <w:r>
        <w:rPr>
          <w:rFonts w:hint="eastAsia" w:ascii="楷体_GB2312" w:eastAsia="楷体_GB2312" w:cs="楷体_GB2312"/>
          <w:b w:val="0"/>
          <w:bCs w:val="0"/>
          <w:u w:val="none"/>
          <w:lang w:bidi="ar-SA"/>
        </w:rPr>
        <w:t>第六节</w:t>
      </w:r>
      <w:r>
        <w:rPr>
          <w:rFonts w:hint="eastAsia" w:ascii="楷体_GB2312" w:eastAsia="楷体_GB2312" w:cs="楷体_GB2312"/>
          <w:b w:val="0"/>
          <w:bCs w:val="0"/>
          <w:u w:val="none"/>
          <w:lang w:val="en-US" w:eastAsia="zh-CN" w:bidi="ar-SA"/>
        </w:rPr>
        <w:t xml:space="preserve"> </w:t>
      </w:r>
      <w:r>
        <w:rPr>
          <w:rFonts w:hint="eastAsia" w:ascii="楷体_GB2312" w:eastAsia="楷体_GB2312" w:cs="楷体_GB2312"/>
          <w:b w:val="0"/>
          <w:bCs w:val="0"/>
          <w:u w:val="none"/>
          <w:lang w:bidi="ar-SA"/>
        </w:rPr>
        <w:t xml:space="preserve"> 复垦整治</w:t>
      </w:r>
      <w:bookmarkEnd w:id="25"/>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u w:val="none"/>
        </w:rPr>
      </w:pPr>
      <w:r>
        <w:rPr>
          <w:rFonts w:hint="eastAsia" w:ascii="仿宋_GB2312" w:eastAsia="仿宋_GB2312" w:cs="仿宋_GB2312"/>
          <w:sz w:val="32"/>
          <w:szCs w:val="32"/>
          <w:u w:val="none"/>
          <w:lang w:bidi="ar-SA"/>
        </w:rPr>
        <w:t>避险搬迁群众迁出后，需按规定拆除迁出地住房及庭院等附属设施，并注销不动产权证等证书。当地政府应按照“宜耕则耕、宜林则林、宜草则草”原则，组织对搬迁群众原有宅基地等建设用地，以及腾退﹑废弃土地进行复垦或还林还草，适宜耕作的优先用于补充耕地资源。</w:t>
      </w:r>
    </w:p>
    <w:p>
      <w:pPr>
        <w:pStyle w:val="2"/>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方正小标宋_GBK" w:eastAsia="方正小标宋_GBK" w:cs="黑体"/>
          <w:b w:val="0"/>
          <w:sz w:val="32"/>
          <w:szCs w:val="32"/>
          <w:u w:val="none"/>
          <w:lang w:bidi="ar-SA"/>
        </w:rPr>
      </w:pPr>
      <w:bookmarkStart w:id="26" w:name="_Toc23664"/>
    </w:p>
    <w:p>
      <w:pPr>
        <w:pStyle w:val="2"/>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方正小标宋_GBK" w:eastAsia="方正小标宋_GBK" w:cs="黑体"/>
          <w:b w:val="0"/>
          <w:sz w:val="32"/>
          <w:szCs w:val="32"/>
          <w:u w:val="none"/>
          <w:lang w:bidi="ar-SA"/>
        </w:rPr>
      </w:pPr>
      <w:r>
        <w:rPr>
          <w:rFonts w:hint="eastAsia" w:ascii="黑体" w:eastAsia="黑体" w:cs="黑体"/>
          <w:b w:val="0"/>
          <w:sz w:val="32"/>
          <w:szCs w:val="32"/>
          <w:u w:val="none"/>
          <w:lang w:bidi="ar-SA"/>
        </w:rPr>
        <w:t>第五章  资金筹措</w:t>
      </w:r>
      <w:bookmarkEnd w:id="26"/>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bookmarkStart w:id="27" w:name="_Toc5207"/>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楷体_GB2312" w:eastAsia="楷体_GB2312" w:cs="楷体_GB2312"/>
          <w:b w:val="0"/>
          <w:u w:val="none"/>
          <w:lang w:bidi="ar-SA"/>
        </w:rPr>
      </w:pPr>
      <w:r>
        <w:rPr>
          <w:rFonts w:hint="eastAsia" w:ascii="楷体_GB2312" w:eastAsia="楷体_GB2312" w:cs="楷体_GB2312"/>
          <w:b w:val="0"/>
          <w:u w:val="none"/>
          <w:lang w:bidi="ar-SA"/>
        </w:rPr>
        <w:t xml:space="preserve">第一节 </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用活用好相关政策</w:t>
      </w:r>
      <w:bookmarkEnd w:id="27"/>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eastAsia="仿宋_GB2312" w:cs="仿宋_GB2312"/>
          <w:color w:val="000000"/>
          <w:sz w:val="32"/>
          <w:szCs w:val="32"/>
          <w:u w:val="none"/>
          <w:lang w:bidi="ar-SA"/>
        </w:rPr>
      </w:pPr>
      <w:r>
        <w:rPr>
          <w:rFonts w:hint="eastAsia" w:ascii="仿宋_GB2312" w:eastAsia="仿宋_GB2312" w:cs="仿宋_GB2312"/>
          <w:color w:val="000000"/>
          <w:sz w:val="32"/>
          <w:szCs w:val="32"/>
          <w:u w:val="none"/>
          <w:lang w:bidi="ar-SA"/>
        </w:rPr>
        <w:t>按照“省级补助、市县配套、金融支持、群众自筹”原则，多元化筹措资金。省财政统筹中央和省级资金，按照一般地区一般户3.5万元/户，民族地区（含民族地区待遇县）及一般地区低保户4万元/户的标准予以山洪地质灾害避险搬迁基础补助，并根据省级避险搬迁补助标准变化进行调整。省级考核激励采取“分类分层补助、政策统筹协调、次年考核激励、逐年升档补差”方式，区分民族地区和一般地区，分类分层设定奖补标准，向民族地区、搬迁任务重的地区倾斜；根据县（区）截止上年末累计完成任务量所在档次给予奖补；县（区）累计完成任务量所在档次提升的，按照各档次间奖补资金差额予以补差。</w:t>
      </w:r>
      <w:r>
        <w:rPr>
          <w:rFonts w:hint="eastAsia" w:ascii="仿宋_GB2312" w:eastAsia="仿宋_GB2312" w:cs="仿宋_GB2312"/>
          <w:sz w:val="32"/>
          <w:szCs w:val="32"/>
          <w:u w:val="none"/>
          <w:lang w:bidi="ar-SA"/>
        </w:rPr>
        <w:t>根据避险搬迁省级考核激励标准中一般地区县（区）到县奖补标准，累计完成避险搬迁任务49户以下的，奖补标准为0.5万元每户；累计完成50到99户的，奖补标准为65万元；累计完成100到199户的，奖补标准为135万元；累计完成200到499户的，奖补标准为360万元。</w:t>
      </w:r>
    </w:p>
    <w:p>
      <w:pPr>
        <w:pStyle w:val="3"/>
        <w:keepNext w:val="0"/>
        <w:keepLines w:val="0"/>
        <w:pageBreakBefore w:val="0"/>
        <w:widowControl w:val="0"/>
        <w:kinsoku/>
        <w:wordWrap/>
        <w:overflowPunct/>
        <w:topLinePunct w:val="0"/>
        <w:autoSpaceDE/>
        <w:autoSpaceDN/>
        <w:bidi w:val="0"/>
        <w:adjustRightInd/>
        <w:snapToGrid/>
        <w:spacing w:before="0" w:after="0" w:line="550" w:lineRule="exact"/>
        <w:jc w:val="center"/>
        <w:textAlignment w:val="auto"/>
        <w:rPr>
          <w:rFonts w:hint="eastAsia" w:ascii="黑体" w:eastAsia="黑体" w:cs="仿宋_GB2312"/>
          <w:b w:val="0"/>
          <w:u w:val="none"/>
          <w:lang w:bidi="ar-SA"/>
        </w:rPr>
      </w:pPr>
      <w:bookmarkStart w:id="28" w:name="_Toc1826"/>
    </w:p>
    <w:p>
      <w:pPr>
        <w:pStyle w:val="3"/>
        <w:keepNext w:val="0"/>
        <w:keepLines w:val="0"/>
        <w:pageBreakBefore w:val="0"/>
        <w:widowControl w:val="0"/>
        <w:kinsoku/>
        <w:wordWrap/>
        <w:overflowPunct/>
        <w:topLinePunct w:val="0"/>
        <w:autoSpaceDE/>
        <w:autoSpaceDN/>
        <w:bidi w:val="0"/>
        <w:adjustRightInd/>
        <w:snapToGrid/>
        <w:spacing w:before="0" w:after="0" w:line="550" w:lineRule="exact"/>
        <w:jc w:val="center"/>
        <w:textAlignment w:val="auto"/>
        <w:rPr>
          <w:rFonts w:hint="eastAsia" w:ascii="楷体_GB2312" w:eastAsia="楷体_GB2312" w:cs="楷体_GB2312"/>
          <w:b w:val="0"/>
          <w:u w:val="none"/>
          <w:lang w:bidi="ar-SA"/>
        </w:rPr>
      </w:pPr>
      <w:r>
        <w:rPr>
          <w:rFonts w:hint="eastAsia" w:ascii="楷体_GB2312" w:eastAsia="楷体_GB2312" w:cs="楷体_GB2312"/>
          <w:b w:val="0"/>
          <w:u w:val="none"/>
          <w:lang w:bidi="ar-SA"/>
        </w:rPr>
        <w:t>第二节</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 xml:space="preserve"> 加大财政支持力度</w:t>
      </w:r>
      <w:bookmarkEnd w:id="28"/>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eastAsia="仿宋_GB2312" w:cs="仿宋_GB2312"/>
          <w:color w:val="000000"/>
          <w:sz w:val="32"/>
          <w:szCs w:val="32"/>
          <w:u w:val="none"/>
          <w:lang w:bidi="ar-SA"/>
        </w:rPr>
      </w:pPr>
      <w:r>
        <w:rPr>
          <w:rFonts w:hint="eastAsia" w:ascii="仿宋_GB2312" w:eastAsia="仿宋_GB2312" w:cs="仿宋_GB2312"/>
          <w:color w:val="000000"/>
          <w:sz w:val="32"/>
          <w:szCs w:val="32"/>
          <w:u w:val="none"/>
          <w:lang w:bidi="ar-SA"/>
        </w:rPr>
        <w:t>各县</w:t>
      </w:r>
      <w:r>
        <w:rPr>
          <w:rFonts w:hint="eastAsia" w:ascii="仿宋_GB2312" w:eastAsia="仿宋_GB2312" w:cs="仿宋_GB2312"/>
          <w:color w:val="000000"/>
          <w:sz w:val="32"/>
          <w:szCs w:val="32"/>
          <w:u w:val="none"/>
          <w:lang w:eastAsia="zh-CN" w:bidi="ar-SA"/>
        </w:rPr>
        <w:t>（</w:t>
      </w:r>
      <w:r>
        <w:rPr>
          <w:rFonts w:hint="eastAsia" w:ascii="仿宋_GB2312" w:eastAsia="仿宋_GB2312" w:cs="仿宋_GB2312"/>
          <w:color w:val="000000"/>
          <w:sz w:val="32"/>
          <w:szCs w:val="32"/>
          <w:u w:val="none"/>
          <w:lang w:bidi="ar-SA"/>
        </w:rPr>
        <w:t>区</w:t>
      </w:r>
      <w:r>
        <w:rPr>
          <w:rFonts w:hint="eastAsia" w:ascii="仿宋_GB2312" w:eastAsia="仿宋_GB2312" w:cs="仿宋_GB2312"/>
          <w:color w:val="000000"/>
          <w:sz w:val="32"/>
          <w:szCs w:val="32"/>
          <w:u w:val="none"/>
          <w:lang w:eastAsia="zh-CN" w:bidi="ar-SA"/>
        </w:rPr>
        <w:t>）</w:t>
      </w:r>
      <w:r>
        <w:rPr>
          <w:rFonts w:hint="eastAsia" w:ascii="仿宋_GB2312" w:eastAsia="仿宋_GB2312" w:cs="仿宋_GB2312"/>
          <w:color w:val="000000"/>
          <w:sz w:val="32"/>
          <w:szCs w:val="32"/>
          <w:u w:val="none"/>
          <w:lang w:bidi="ar-SA"/>
        </w:rPr>
        <w:t>应在省级补助和考核激励的基础上，综合考虑区域发展水平、安置资源条件、工程建设成本等因素，统筹好本级财力，整合相关渠道资金，用好财税金融支持政策，加大避险搬迁资金筹措力度，制定本地方避险搬迁补助标准，并向社会公告。鼓励县</w:t>
      </w:r>
      <w:r>
        <w:rPr>
          <w:rFonts w:hint="eastAsia" w:ascii="仿宋_GB2312" w:eastAsia="仿宋_GB2312" w:cs="仿宋_GB2312"/>
          <w:color w:val="000000"/>
          <w:sz w:val="32"/>
          <w:szCs w:val="32"/>
          <w:u w:val="none"/>
          <w:lang w:eastAsia="zh-CN" w:bidi="ar-SA"/>
        </w:rPr>
        <w:t>（</w:t>
      </w:r>
      <w:r>
        <w:rPr>
          <w:rFonts w:hint="eastAsia" w:ascii="仿宋_GB2312" w:eastAsia="仿宋_GB2312" w:cs="仿宋_GB2312"/>
          <w:color w:val="000000"/>
          <w:sz w:val="32"/>
          <w:szCs w:val="32"/>
          <w:u w:val="none"/>
          <w:lang w:bidi="ar-SA"/>
        </w:rPr>
        <w:t>区</w:t>
      </w:r>
      <w:r>
        <w:rPr>
          <w:rFonts w:hint="eastAsia" w:ascii="仿宋_GB2312" w:eastAsia="仿宋_GB2312" w:cs="仿宋_GB2312"/>
          <w:color w:val="000000"/>
          <w:sz w:val="32"/>
          <w:szCs w:val="32"/>
          <w:u w:val="none"/>
          <w:lang w:eastAsia="zh-CN" w:bidi="ar-SA"/>
        </w:rPr>
        <w:t>）</w:t>
      </w:r>
      <w:r>
        <w:rPr>
          <w:rFonts w:hint="eastAsia" w:ascii="仿宋_GB2312" w:eastAsia="仿宋_GB2312" w:cs="仿宋_GB2312"/>
          <w:color w:val="000000"/>
          <w:sz w:val="32"/>
          <w:szCs w:val="32"/>
          <w:u w:val="none"/>
          <w:lang w:bidi="ar-SA"/>
        </w:rPr>
        <w:t>在做好风险评估防范基础上，依法统筹安排地方政府债券、运用银行贷款等方式，支持符合条件的地质灾害避险搬迁项目实施。</w:t>
      </w:r>
    </w:p>
    <w:p>
      <w:pPr>
        <w:pStyle w:val="2"/>
        <w:keepNext w:val="0"/>
        <w:keepLines w:val="0"/>
        <w:pageBreakBefore w:val="0"/>
        <w:widowControl w:val="0"/>
        <w:kinsoku/>
        <w:wordWrap/>
        <w:overflowPunct/>
        <w:topLinePunct w:val="0"/>
        <w:autoSpaceDE/>
        <w:autoSpaceDN/>
        <w:bidi w:val="0"/>
        <w:adjustRightInd/>
        <w:snapToGrid/>
        <w:spacing w:before="0" w:after="0" w:line="550" w:lineRule="exact"/>
        <w:jc w:val="center"/>
        <w:textAlignment w:val="auto"/>
        <w:rPr>
          <w:rFonts w:hint="eastAsia" w:ascii="方正小标宋_GBK" w:eastAsia="方正小标宋_GBK" w:cs="黑体"/>
          <w:b w:val="0"/>
          <w:sz w:val="32"/>
          <w:szCs w:val="32"/>
          <w:u w:val="none"/>
          <w:lang w:bidi="ar-SA"/>
        </w:rPr>
      </w:pPr>
      <w:bookmarkStart w:id="29" w:name="_Toc304"/>
      <w:r>
        <w:rPr>
          <w:rFonts w:hint="eastAsia" w:ascii="黑体" w:eastAsia="黑体" w:cs="黑体"/>
          <w:b w:val="0"/>
          <w:sz w:val="32"/>
          <w:szCs w:val="32"/>
          <w:u w:val="none"/>
          <w:lang w:bidi="ar-SA"/>
        </w:rPr>
        <w:t>第六章  支持政策</w:t>
      </w:r>
      <w:bookmarkEnd w:id="29"/>
    </w:p>
    <w:p>
      <w:pPr>
        <w:pStyle w:val="3"/>
        <w:keepNext w:val="0"/>
        <w:keepLines w:val="0"/>
        <w:pageBreakBefore w:val="0"/>
        <w:widowControl w:val="0"/>
        <w:kinsoku/>
        <w:wordWrap/>
        <w:overflowPunct/>
        <w:topLinePunct w:val="0"/>
        <w:autoSpaceDE/>
        <w:autoSpaceDN/>
        <w:bidi w:val="0"/>
        <w:adjustRightInd/>
        <w:snapToGrid/>
        <w:spacing w:before="0" w:after="0" w:line="550" w:lineRule="exact"/>
        <w:jc w:val="center"/>
        <w:textAlignment w:val="auto"/>
        <w:rPr>
          <w:rFonts w:hint="eastAsia" w:ascii="黑体" w:eastAsia="黑体" w:cs="仿宋_GB2312"/>
          <w:b w:val="0"/>
          <w:u w:val="none"/>
          <w:lang w:bidi="ar-SA"/>
        </w:rPr>
      </w:pPr>
      <w:bookmarkStart w:id="30" w:name="_Toc30179"/>
    </w:p>
    <w:p>
      <w:pPr>
        <w:pStyle w:val="3"/>
        <w:keepNext w:val="0"/>
        <w:keepLines w:val="0"/>
        <w:pageBreakBefore w:val="0"/>
        <w:widowControl w:val="0"/>
        <w:kinsoku/>
        <w:wordWrap/>
        <w:overflowPunct/>
        <w:topLinePunct w:val="0"/>
        <w:autoSpaceDE/>
        <w:autoSpaceDN/>
        <w:bidi w:val="0"/>
        <w:adjustRightInd/>
        <w:snapToGrid/>
        <w:spacing w:before="0" w:after="0" w:line="550" w:lineRule="exact"/>
        <w:jc w:val="center"/>
        <w:textAlignment w:val="auto"/>
        <w:rPr>
          <w:rFonts w:hint="eastAsia" w:ascii="楷体_GB2312" w:eastAsia="楷体_GB2312" w:cs="楷体_GB2312"/>
          <w:b w:val="0"/>
          <w:u w:val="none"/>
          <w:lang w:bidi="ar-SA"/>
        </w:rPr>
      </w:pPr>
      <w:r>
        <w:rPr>
          <w:rFonts w:hint="eastAsia" w:ascii="楷体_GB2312" w:eastAsia="楷体_GB2312" w:cs="楷体_GB2312"/>
          <w:b w:val="0"/>
          <w:u w:val="none"/>
          <w:lang w:bidi="ar-SA"/>
        </w:rPr>
        <w:t>第一节</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 xml:space="preserve"> 拓宽资金筹措渠道</w:t>
      </w:r>
      <w:bookmarkEnd w:id="30"/>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color w:val="auto"/>
          <w:sz w:val="32"/>
          <w:szCs w:val="32"/>
          <w:u w:val="none"/>
          <w:lang w:bidi="ar-SA"/>
        </w:rPr>
        <w:t>鼓励县</w:t>
      </w:r>
      <w:r>
        <w:rPr>
          <w:rFonts w:hint="eastAsia" w:ascii="仿宋_GB2312" w:eastAsia="仿宋_GB2312" w:cs="仿宋_GB2312"/>
          <w:color w:val="auto"/>
          <w:sz w:val="32"/>
          <w:szCs w:val="32"/>
          <w:u w:val="none"/>
          <w:lang w:eastAsia="zh-CN" w:bidi="ar-SA"/>
        </w:rPr>
        <w:t>（</w:t>
      </w:r>
      <w:r>
        <w:rPr>
          <w:rFonts w:hint="eastAsia" w:ascii="仿宋_GB2312" w:eastAsia="仿宋_GB2312" w:cs="仿宋_GB2312"/>
          <w:color w:val="auto"/>
          <w:sz w:val="32"/>
          <w:szCs w:val="32"/>
          <w:u w:val="none"/>
          <w:lang w:bidi="ar-SA"/>
        </w:rPr>
        <w:t>区</w:t>
      </w:r>
      <w:r>
        <w:rPr>
          <w:rFonts w:hint="eastAsia" w:ascii="仿宋_GB2312" w:eastAsia="仿宋_GB2312" w:cs="仿宋_GB2312"/>
          <w:color w:val="auto"/>
          <w:sz w:val="32"/>
          <w:szCs w:val="32"/>
          <w:u w:val="none"/>
          <w:lang w:eastAsia="zh-CN" w:bidi="ar-SA"/>
        </w:rPr>
        <w:t>）</w:t>
      </w:r>
      <w:r>
        <w:rPr>
          <w:rFonts w:hint="eastAsia" w:ascii="仿宋_GB2312" w:eastAsia="仿宋_GB2312" w:cs="仿宋_GB2312"/>
          <w:color w:val="auto"/>
          <w:sz w:val="32"/>
          <w:szCs w:val="32"/>
          <w:u w:val="none"/>
          <w:lang w:bidi="ar-SA"/>
        </w:rPr>
        <w:t>按照“钱随人走”原则，</w:t>
      </w:r>
      <w:r>
        <w:rPr>
          <w:rFonts w:hint="eastAsia" w:ascii="仿宋_GB2312" w:eastAsia="仿宋_GB2312" w:cs="仿宋_GB2312"/>
          <w:sz w:val="32"/>
          <w:szCs w:val="32"/>
          <w:u w:val="none"/>
          <w:lang w:bidi="ar-SA"/>
        </w:rPr>
        <w:t>通过农业转移人口市民化奖励机制，以避险搬迁户实际进城落户和提供基本公共服务水平为主要因素测算分配，对吸纳搬迁人口落户城镇多的地区给予财政支持。用好支农支小再贷款、再贴现等货币政策工具，引导金融机构加大对山洪地质灾害避险搬迁及集中安置区后续发展项目和受山洪地质灾害威胁群众信贷资金支持力度。引导保险机构将保险资金投资山洪地质灾害避险搬迁项目，灾（险）情发生后及时建立绿色理赔通道，加快保险理赔进度，提高理赔效率。引导政府性融资担保公司加大对山洪避险搬迁的支持力度，支持财政、国资等部门弱化盈利考核要求。支持探索盘活利用腾退土地的市场化路径，筹集搬迁安置建设资金。对符合条件的进城落户避险搬迁户落实低收入住房保障家庭租赁补贴。在不新增政府隐性债务的前提下，引导银行业金融机构加大集中安置区后续发展信贷投入。积极引导企业、个人等开展捐助或援建。</w:t>
      </w:r>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bookmarkStart w:id="31" w:name="_Toc8356"/>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楷体_GB2312" w:eastAsia="楷体_GB2312" w:cs="楷体_GB2312"/>
          <w:b w:val="0"/>
          <w:u w:val="none"/>
          <w:lang w:bidi="ar-SA"/>
        </w:rPr>
      </w:pPr>
      <w:r>
        <w:rPr>
          <w:rFonts w:hint="eastAsia" w:ascii="楷体_GB2312" w:eastAsia="楷体_GB2312" w:cs="楷体_GB2312"/>
          <w:b w:val="0"/>
          <w:u w:val="none"/>
          <w:lang w:bidi="ar-SA"/>
        </w:rPr>
        <w:t xml:space="preserve">第二节 </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保障搬迁用地需求</w:t>
      </w:r>
      <w:bookmarkEnd w:id="31"/>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指导县</w:t>
      </w:r>
      <w:r>
        <w:rPr>
          <w:rFonts w:hint="eastAsia" w:ascii="仿宋_GB2312" w:eastAsia="仿宋_GB2312" w:cs="仿宋_GB2312"/>
          <w:sz w:val="32"/>
          <w:szCs w:val="32"/>
          <w:u w:val="none"/>
          <w:lang w:eastAsia="zh-CN" w:bidi="ar-SA"/>
        </w:rPr>
        <w:t>（</w:t>
      </w:r>
      <w:r>
        <w:rPr>
          <w:rFonts w:hint="eastAsia" w:ascii="仿宋_GB2312" w:eastAsia="仿宋_GB2312" w:cs="仿宋_GB2312"/>
          <w:sz w:val="32"/>
          <w:szCs w:val="32"/>
          <w:u w:val="none"/>
          <w:lang w:bidi="ar-SA"/>
        </w:rPr>
        <w:t>区</w:t>
      </w:r>
      <w:r>
        <w:rPr>
          <w:rFonts w:hint="eastAsia" w:ascii="仿宋_GB2312" w:eastAsia="仿宋_GB2312" w:cs="仿宋_GB2312"/>
          <w:sz w:val="32"/>
          <w:szCs w:val="32"/>
          <w:u w:val="none"/>
          <w:lang w:eastAsia="zh-CN" w:bidi="ar-SA"/>
        </w:rPr>
        <w:t>）</w:t>
      </w:r>
      <w:r>
        <w:rPr>
          <w:rFonts w:hint="eastAsia" w:ascii="仿宋_GB2312" w:eastAsia="仿宋_GB2312" w:cs="仿宋_GB2312"/>
          <w:sz w:val="32"/>
          <w:szCs w:val="32"/>
          <w:u w:val="none"/>
          <w:lang w:bidi="ar-SA"/>
        </w:rPr>
        <w:t>尽快报批国土空间总体规划、乡镇村级片区国土空间规划，科学划定灾害安全防护范围，合理布局避险搬迁集中安置基础设施和公共服务设施，探索建设紧凑型村庄。用好城乡建设用地增减挂钩政策，避险搬迁村庄和集镇具备复垦条件的，可纳入增减挂钩项目实施。产生的增减挂钩节余指标可按规定进行流转交易。避险搬迁农房建设新增建设用地计划指标使用国家单列安排的宅基地计划指标解决；采用集中安置的，由省级统筹，全额保障年度计划指标。纳入增减挂钩项目实施的，可使用复垦产生的指标保障。同时，按照“就高不就低、不重复补助”原则，切实维护避险搬迁农户的合法权益。搬迁安置用地报批时按“占一补一、占优补优、占水田补水田”原则，在本区域内落实耕地占补平衡，确实无法落实的，在市域内统筹调剂落实，仍无法落实的，可按相关规定向省自然资源厅申请借支。可将符合条件的避险搬迁迁出区和迁入区纳入全域土地综合整治试点实施范围，在确保耕地数量有增加、质量有提升、生态有改善的前提下，编制永久基本农田调整方案，按程序报批。建立健全新增城镇建设用地规模与避险搬迁人口落户城镇数量挂钩机制，加大用地计划指标对避险搬迁人口大县的倾斜支持力度。</w:t>
      </w:r>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bookmarkStart w:id="32" w:name="_Toc12683"/>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楷体_GB2312" w:eastAsia="楷体_GB2312" w:cs="楷体_GB2312"/>
          <w:b w:val="0"/>
          <w:u w:val="none"/>
          <w:lang w:bidi="ar-SA"/>
        </w:rPr>
      </w:pPr>
      <w:r>
        <w:rPr>
          <w:rFonts w:hint="eastAsia" w:ascii="楷体_GB2312" w:eastAsia="楷体_GB2312" w:cs="楷体_GB2312"/>
          <w:b w:val="0"/>
          <w:u w:val="none"/>
          <w:lang w:bidi="ar-SA"/>
        </w:rPr>
        <w:t xml:space="preserve">第三节 </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加强基础设施配套</w:t>
      </w:r>
      <w:bookmarkEnd w:id="32"/>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对山洪地质灾害避险搬迁集中安置点，可按照涉农资金统筹整合要求，加大配套基础设施建设投入。结合巩固拓展脱贫攻坚成果同乡村振兴有效衔接，推动避险搬迁新建安置区向城镇基础设施和公共服务设施可延伸覆盖区域集中，合理配建完善教育、医疗、养老、托育、商贸物流等生活服务设施，强化县城和产业园对集中安置区后续产业的辐射带动能力，推动特色产业可持续发展。采取扩建等方式建设集中安置区的，可结合安置区人口规模及分布、风俗习惯等因素，在原有配套设施上进行改造提升，满足搬迁群众公共服务需求。根据集中安置点人口规模、地理位置等情况，指导属地合理分类设置基层医疗卫生机构。对需开展环评的项目，指导地方生态环境部门开辟绿色通道，提前介入、超前服务，加快推进环评审批。支持符合条件的集中安置点防洪工程建设，纳入相关规划争取实施；指导做好集中安置点水源水量论证，配套完善供水设施设备，保障群众生活用水；开辟绿色通道加快办理集中安置区、集镇迁改建水土保持方案审批手续；避险搬迁户自建房所用砂石，凭当地村民委员会证明材料，经乡镇（街道）人民政府核实后，在河道采砂规划规定的可采区和可采期采挖。支持符合条件的集中安置点外联公路纳入交通有关规划或专项方案加快推进建设，并按照有关政策予以资金支持。</w:t>
      </w:r>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bookmarkStart w:id="33" w:name="_Toc2117"/>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楷体_GB2312" w:eastAsia="楷体_GB2312" w:cs="楷体_GB2312"/>
          <w:b w:val="0"/>
          <w:u w:val="none"/>
          <w:lang w:bidi="ar-SA"/>
        </w:rPr>
      </w:pPr>
      <w:r>
        <w:rPr>
          <w:rFonts w:hint="eastAsia" w:ascii="楷体_GB2312" w:eastAsia="楷体_GB2312" w:cs="楷体_GB2312"/>
          <w:b w:val="0"/>
          <w:u w:val="none"/>
          <w:lang w:bidi="ar-SA"/>
        </w:rPr>
        <w:t xml:space="preserve">第四节 </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提升持续发展能力</w:t>
      </w:r>
      <w:bookmarkEnd w:id="3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支持有条件有意愿的搬迁群众进城落户，对新迁入地落户的搬迁群众实行“一站式”户口迁移和居住证办理服务，充分保障搬迁群众享受基本公共服务和便利。因地制宜发展特色产业，协调重大工程建设、政府购买服务等项目，鼓励搬迁群众融入迁入地经济发展，扩大当地群众就地就近就业机会。支持利用衔接资金打造带动脱贫人口增收的特色优势主导产业，优先支持避险搬迁中的脱贫户（含监测帮扶对象）发展到户产业和庭院经济。推进公共就业服务向乡村延伸，把就业服务功能作为搬迁安置点综合服务设施建设重要内容。支持山洪地质灾害避险搬迁点脱贫人口通过有组织劳务输出到户籍所在县以外就业的，给予不超过400元/人一次性求职创业补贴；对跨省就业的脱贫人口适当安排一次性铁路、公路和水运（路）交通补助。加大对搬迁任务较重地区的就业创业补助资金支持力度，支持在集中安置点设立公共就业服务站或服务窗口，提供就业创业政策咨询、就业失业登记等</w:t>
      </w:r>
      <w:r>
        <w:rPr>
          <w:rFonts w:hint="eastAsia" w:ascii="仿宋_GB2312" w:eastAsia="仿宋_GB2312" w:cs="仿宋_GB2312"/>
          <w:sz w:val="32"/>
          <w:szCs w:val="32"/>
          <w:u w:val="none"/>
          <w:lang w:eastAsia="zh-CN" w:bidi="ar-SA"/>
        </w:rPr>
        <w:t>“</w:t>
      </w:r>
      <w:r>
        <w:rPr>
          <w:rFonts w:hint="eastAsia" w:ascii="仿宋_GB2312" w:eastAsia="仿宋_GB2312" w:cs="仿宋_GB2312"/>
          <w:sz w:val="32"/>
          <w:szCs w:val="32"/>
          <w:u w:val="none"/>
          <w:lang w:bidi="ar-SA"/>
        </w:rPr>
        <w:t>一站式</w:t>
      </w:r>
      <w:r>
        <w:rPr>
          <w:rFonts w:hint="eastAsia" w:ascii="仿宋_GB2312" w:eastAsia="仿宋_GB2312" w:cs="仿宋_GB2312"/>
          <w:sz w:val="32"/>
          <w:szCs w:val="32"/>
          <w:u w:val="none"/>
          <w:lang w:eastAsia="zh-CN" w:bidi="ar-SA"/>
        </w:rPr>
        <w:t>”</w:t>
      </w:r>
      <w:r>
        <w:rPr>
          <w:rFonts w:hint="eastAsia" w:ascii="仿宋_GB2312" w:eastAsia="仿宋_GB2312" w:cs="仿宋_GB2312"/>
          <w:sz w:val="32"/>
          <w:szCs w:val="32"/>
          <w:u w:val="none"/>
          <w:lang w:bidi="ar-SA"/>
        </w:rPr>
        <w:t>服务。因地制宜合理开发乡村公益性岗位，优先安置符合条件的搬迁脱贫人口特别是弱劳力、半劳力，按规定给予岗位补贴</w:t>
      </w:r>
      <w:r>
        <w:rPr>
          <w:rFonts w:hint="eastAsia" w:ascii="仿宋_GB2312" w:eastAsia="仿宋_GB2312" w:cs="仿宋_GB2312"/>
          <w:color w:val="222222"/>
          <w:sz w:val="32"/>
          <w:szCs w:val="32"/>
          <w:u w:val="none"/>
          <w:lang w:bidi="ar-SA"/>
        </w:rPr>
        <w:t>。</w:t>
      </w:r>
      <w:r>
        <w:rPr>
          <w:rFonts w:hint="eastAsia" w:ascii="仿宋_GB2312" w:eastAsia="仿宋_GB2312" w:cs="仿宋_GB2312"/>
          <w:sz w:val="32"/>
          <w:szCs w:val="32"/>
          <w:u w:val="none"/>
          <w:lang w:bidi="ar-SA"/>
        </w:rPr>
        <w:t>将避险搬迁安置户随迁子女义务教育纳入公共财政保障范围，安置地政府负责为迁入学生提供就近就便的普惠性幼儿园和公办义务教育学位，保障搬迁群众子女入园入学需求。通过“全程网办”“个转企”和“一址多照”等登记便利化改革措施，为搬迁造成经营困难小微市场主体，提供包括歇业登记在内的优质营商环境服务。鼓励和支持易地安置户参加养老保险，对其中参加城乡居民基本养老保险的低保对象、特困人员、返贫致贫人口、重度残疾人等，由财政按规定为其代缴养老保险费。在不新增政府隐性债务的前提下，引导银行业金融机构加大集中安置区后续发展信贷投入。</w:t>
      </w:r>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楷体_GB2312" w:eastAsia="楷体_GB2312" w:cs="楷体_GB2312"/>
          <w:b w:val="0"/>
          <w:u w:val="none"/>
          <w:lang w:bidi="ar-SA"/>
        </w:rPr>
      </w:pPr>
      <w:bookmarkStart w:id="34" w:name="_Toc28918"/>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楷体_GB2312" w:eastAsia="楷体_GB2312" w:cs="楷体_GB2312"/>
          <w:b w:val="0"/>
          <w:u w:val="none"/>
          <w:lang w:bidi="ar-SA"/>
        </w:rPr>
      </w:pPr>
      <w:r>
        <w:rPr>
          <w:rFonts w:hint="eastAsia" w:ascii="楷体_GB2312" w:eastAsia="楷体_GB2312" w:cs="楷体_GB2312"/>
          <w:b w:val="0"/>
          <w:u w:val="none"/>
          <w:lang w:bidi="ar-SA"/>
        </w:rPr>
        <w:t xml:space="preserve">第五节 </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强化合法权益保障</w:t>
      </w:r>
      <w:bookmarkEnd w:id="34"/>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依法保障搬迁群众在迁出地农村原有合法耕地、林地、草场等承包经营权以及各类农牧业补贴和生态补偿等权益，不得强行要求搬迁群众转让在农村的土地承包权、宅基地使用权、集体收益分配权，或将其作为进城落户条件。允许进城落户的农村避险搬迁村民依法自愿有偿退出宅基地。探索整合利用腾退宅基地和碎片化集体建设用地。做好迁出地和迁入地间各类社会保障政策转移接续工作，确保搬迁群众医疗保险、养老保险、城乡低保等应保尽保。有条件的地方可通过采购意外伤害保险、商业护理保险等方式，提升搬迁群众保障水平。</w:t>
      </w:r>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bookmarkStart w:id="35" w:name="_Toc5302"/>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楷体_GB2312" w:eastAsia="楷体_GB2312" w:cs="楷体_GB2312"/>
          <w:b w:val="0"/>
          <w:u w:val="none"/>
          <w:lang w:bidi="ar-SA"/>
        </w:rPr>
      </w:pPr>
      <w:r>
        <w:rPr>
          <w:rFonts w:hint="eastAsia" w:ascii="楷体_GB2312" w:eastAsia="楷体_GB2312" w:cs="楷体_GB2312"/>
          <w:b w:val="0"/>
          <w:u w:val="none"/>
          <w:lang w:bidi="ar-SA"/>
        </w:rPr>
        <w:t xml:space="preserve">第六节 </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落实搬迁税费优惠</w:t>
      </w:r>
      <w:bookmarkEnd w:id="35"/>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依法依规落实相关税费政策，对纳税人因山洪地质灾害造成重大损失、纳税确有困难的，依法按规定减（免）征房产税、城镇土地使用税，对经审批搬迁的农村居民在规定标准以内占用耕地新建自用住宅，依法按规定免征耕地占用税</w:t>
      </w:r>
      <w:r>
        <w:rPr>
          <w:rFonts w:hint="eastAsia" w:ascii="仿宋_GB2312" w:eastAsia="仿宋_GB2312" w:cs="仿宋_GB2312"/>
          <w:color w:val="222222"/>
          <w:sz w:val="32"/>
          <w:szCs w:val="32"/>
          <w:u w:val="none"/>
          <w:lang w:bidi="ar-SA"/>
        </w:rPr>
        <w:t>。</w:t>
      </w:r>
    </w:p>
    <w:p>
      <w:pPr>
        <w:pStyle w:val="2"/>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方正小标宋_GBK" w:eastAsia="方正小标宋_GBK" w:cs="黑体"/>
          <w:b w:val="0"/>
          <w:sz w:val="32"/>
          <w:szCs w:val="32"/>
          <w:u w:val="none"/>
          <w:lang w:bidi="ar-SA"/>
        </w:rPr>
      </w:pPr>
      <w:bookmarkStart w:id="36" w:name="_Toc25256"/>
    </w:p>
    <w:p>
      <w:pPr>
        <w:pStyle w:val="2"/>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方正小标宋_GBK" w:eastAsia="方正小标宋_GBK" w:cs="黑体"/>
          <w:b w:val="0"/>
          <w:sz w:val="32"/>
          <w:szCs w:val="32"/>
          <w:u w:val="none"/>
          <w:lang w:bidi="ar-SA"/>
        </w:rPr>
      </w:pPr>
      <w:r>
        <w:rPr>
          <w:rFonts w:hint="eastAsia" w:ascii="黑体" w:eastAsia="黑体" w:cs="黑体"/>
          <w:b w:val="0"/>
          <w:sz w:val="32"/>
          <w:szCs w:val="32"/>
          <w:u w:val="none"/>
          <w:lang w:bidi="ar-SA"/>
        </w:rPr>
        <w:t>第七章  保障措施</w:t>
      </w:r>
      <w:bookmarkEnd w:id="36"/>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bookmarkStart w:id="37" w:name="_Toc5423"/>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楷体_GB2312" w:eastAsia="楷体_GB2312" w:cs="楷体_GB2312"/>
          <w:b w:val="0"/>
          <w:u w:val="none"/>
          <w:lang w:bidi="ar-SA"/>
        </w:rPr>
      </w:pPr>
      <w:r>
        <w:rPr>
          <w:rFonts w:hint="eastAsia" w:ascii="楷体_GB2312" w:eastAsia="楷体_GB2312" w:cs="楷体_GB2312"/>
          <w:b w:val="0"/>
          <w:u w:val="none"/>
          <w:lang w:bidi="ar-SA"/>
        </w:rPr>
        <w:t xml:space="preserve">第一节 </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加强组织领导</w:t>
      </w:r>
      <w:bookmarkEnd w:id="37"/>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实行市级为主体、县级具体抓落实的工作机制，统筹协调部署各项任务，确保高质量完成目标任务。市级党委政府对本辖区受地质灾害威胁村（居）民避险搬迁工作负总责，建立健全工作机制、强化工作调度、层层压实责任。市级有关部门（单位）各司其职、各负其责，加强协同配合和政策衔接，形成工作合力。县级党委政府是山洪地质灾害避险搬迁的组织实施主体，负责组织编制县级山洪地质灾害避险搬迁年度实施方案，经本级政府批复同意后报市级自然资源、水利主管部门备案；负责搬迁对象的组织动员、审查认定、安置区选址，以及落实建设用地和工程组织实施，统筹做好土地调整、迁出区生态修复和土地复垦、户籍迁移、就学就医、社会保障、社会管理等相关工作。搬迁过程中同步加强基层党组织建设，充分发挥党组织战斗堡垒作用和党员先锋模范作用，做好群众思想政治工作，团结带领群众建设宜居宜业和美乡村。</w:t>
      </w:r>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bookmarkStart w:id="38" w:name="_Toc4278"/>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楷体_GB2312" w:eastAsia="楷体_GB2312" w:cs="楷体_GB2312"/>
          <w:b w:val="0"/>
          <w:u w:val="none"/>
          <w:lang w:bidi="ar-SA"/>
        </w:rPr>
      </w:pPr>
      <w:r>
        <w:rPr>
          <w:rFonts w:hint="eastAsia" w:ascii="楷体_GB2312" w:eastAsia="楷体_GB2312" w:cs="楷体_GB2312"/>
          <w:b w:val="0"/>
          <w:u w:val="none"/>
          <w:lang w:bidi="ar-SA"/>
        </w:rPr>
        <w:t>第二节</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 xml:space="preserve"> 强化规划实施</w:t>
      </w:r>
      <w:bookmarkEnd w:id="38"/>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建立“市级专项规划+县级年度实施方案”工作架构，统筹推进避险搬迁工作。根据省级总体规划下发的市级目标任务，市级编制专项规划，分解县级目标任务，细化配套政策、考核验收、奖惩激励等制度。县级负责编制本级受地质灾害威胁村（居）民避险搬迁年度实施方案，负责资金筹措、组织动员、安置选址及评估、旧房拆除等工作，统筹做好补助资金发放、土地调整、迁出区生态修复和土地复垦、户籍迁移、就学就医、社会保障、社会治理等相关工作。规划期内，对因地震、暴雨等诱发地质灾害的新增避险搬迁任务，纳入灾后恢复重建规划或动态纳入地质灾害防治年度实施方案，省级给予基础补助，不享受省级考核激励奖补。规划实施结束后，将地质灾害避险搬迁任务继续纳入常态化工作予以实施。</w:t>
      </w:r>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bookmarkStart w:id="39" w:name="_Toc27710"/>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楷体_GB2312" w:eastAsia="楷体_GB2312" w:cs="楷体_GB2312"/>
          <w:b w:val="0"/>
          <w:u w:val="none"/>
          <w:lang w:bidi="ar-SA"/>
        </w:rPr>
      </w:pPr>
      <w:r>
        <w:rPr>
          <w:rFonts w:hint="eastAsia" w:ascii="楷体_GB2312" w:eastAsia="楷体_GB2312" w:cs="楷体_GB2312"/>
          <w:b w:val="0"/>
          <w:u w:val="none"/>
          <w:lang w:bidi="ar-SA"/>
        </w:rPr>
        <w:t xml:space="preserve">第三节 </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严格监督考核</w:t>
      </w:r>
      <w:bookmarkEnd w:id="39"/>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将受山洪地质灾害威胁村（居）民避险搬迁专项规划实施情况纳入市级年度民生实事考核。建立健全避险搬迁督查通报机制，动态开展监测监管和风险评估。落实最严格的避险搬迁销号、风险区降等制度，按照“清单制”要求，建立避险搬迁对象管理动态销号清单；按照“上图入库”要求，细化并规范新房建设、搬迁入住、旧房拆除、恢复耕种等阶段的工作流程、监测跟踪制度，强化避险搬迁过程管理，确保规范实施。2025年底，将开展规划实施中期评估，对避险搬迁任务完成情况较差的县</w:t>
      </w:r>
      <w:r>
        <w:rPr>
          <w:rFonts w:hint="eastAsia" w:ascii="仿宋_GB2312" w:eastAsia="仿宋_GB2312" w:cs="仿宋_GB2312"/>
          <w:sz w:val="32"/>
          <w:szCs w:val="32"/>
          <w:u w:val="none"/>
          <w:lang w:eastAsia="zh-CN" w:bidi="ar-SA"/>
        </w:rPr>
        <w:t>（</w:t>
      </w:r>
      <w:r>
        <w:rPr>
          <w:rFonts w:hint="eastAsia" w:ascii="仿宋_GB2312" w:eastAsia="仿宋_GB2312" w:cs="仿宋_GB2312"/>
          <w:sz w:val="32"/>
          <w:szCs w:val="32"/>
          <w:u w:val="none"/>
          <w:lang w:bidi="ar-SA"/>
        </w:rPr>
        <w:t>区</w:t>
      </w:r>
      <w:r>
        <w:rPr>
          <w:rFonts w:hint="eastAsia" w:ascii="仿宋_GB2312" w:eastAsia="仿宋_GB2312" w:cs="仿宋_GB2312"/>
          <w:sz w:val="32"/>
          <w:szCs w:val="32"/>
          <w:u w:val="none"/>
          <w:lang w:eastAsia="zh-CN" w:bidi="ar-SA"/>
        </w:rPr>
        <w:t>）</w:t>
      </w:r>
      <w:r>
        <w:rPr>
          <w:rFonts w:hint="eastAsia" w:ascii="仿宋_GB2312" w:eastAsia="仿宋_GB2312" w:cs="仿宋_GB2312"/>
          <w:sz w:val="32"/>
          <w:szCs w:val="32"/>
          <w:u w:val="none"/>
          <w:lang w:bidi="ar-SA"/>
        </w:rPr>
        <w:t>，暂缓安排省级避险搬迁补助资金，并于规划实施完毕后，在规划任务总数内据实清算。加强避险搬迁项目和资金管理，主动将项目和资金向社会公开，自觉接受社会和群众监督，确保避险搬迁资金专款专用，不得以任何形式截留、挤占和挪用，对虚报冒领、挤占挪用避险搬迁资金等违纪违法行为依法依规追责问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避险搬迁验收工作应经县（区）人民政府批准同意后，由县级自然资源主管部门会同相关部门开展验收工作，市级自然资源主管部门会同相关部门以不低于30%比例进行抽查，并督促县级自然资源主管部门对抽查发现问题限期整改。</w:t>
      </w:r>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bookmarkStart w:id="40" w:name="_Toc6395"/>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楷体_GB2312" w:eastAsia="楷体_GB2312" w:cs="楷体_GB2312"/>
          <w:b w:val="0"/>
          <w:u w:val="none"/>
          <w:lang w:bidi="ar-SA"/>
        </w:rPr>
      </w:pPr>
      <w:r>
        <w:rPr>
          <w:rFonts w:hint="eastAsia" w:ascii="楷体_GB2312" w:eastAsia="楷体_GB2312" w:cs="楷体_GB2312"/>
          <w:b w:val="0"/>
          <w:u w:val="none"/>
          <w:lang w:bidi="ar-SA"/>
        </w:rPr>
        <w:t xml:space="preserve">第四节 </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加强宣传动员</w:t>
      </w:r>
      <w:bookmarkEnd w:id="4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充分动员新闻媒体、社会组织、机关团体、企事业单位、基层组织等力量，在全市范围内大力开展山洪地质灾害避险搬迁工作政策宣传和解读，普及山洪地质灾害防治知识，及时总结推广山洪地质灾害防治的先进典型和创新举措，营造全社会共同推动山洪地质灾害防治的良好氛围，全面提升群众的识灾、防灾、避灾、救助能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p>
    <w:p>
      <w:pPr>
        <w:keepNext w:val="0"/>
        <w:keepLines w:val="0"/>
        <w:pageBreakBefore w:val="0"/>
        <w:widowControl w:val="0"/>
        <w:kinsoku/>
        <w:wordWrap/>
        <w:overflowPunct/>
        <w:topLinePunct w:val="0"/>
        <w:autoSpaceDE/>
        <w:autoSpaceDN/>
        <w:bidi w:val="0"/>
        <w:adjustRightInd/>
        <w:snapToGrid/>
        <w:spacing w:line="576" w:lineRule="exact"/>
        <w:ind w:left="2078" w:leftChars="304" w:hanging="1440" w:hangingChars="45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附件：广元市受山洪地质灾害威胁村（居）民避险搬迁任务</w:t>
      </w:r>
    </w:p>
    <w:p>
      <w:pPr>
        <w:spacing w:line="576" w:lineRule="exact"/>
        <w:ind w:left="2076" w:leftChars="760" w:hanging="480" w:hangingChars="150"/>
        <w:rPr>
          <w:u w:val="none"/>
        </w:rPr>
      </w:pPr>
      <w:r>
        <w:rPr>
          <w:rFonts w:hint="eastAsia" w:ascii="仿宋_GB2312" w:eastAsia="仿宋_GB2312" w:cs="仿宋_GB2312"/>
          <w:sz w:val="32"/>
          <w:szCs w:val="32"/>
          <w:u w:val="none"/>
          <w:lang w:bidi="ar-SA"/>
        </w:rPr>
        <w:t>分解表（2023—2027年）</w:t>
      </w:r>
    </w:p>
    <w:p>
      <w:pPr>
        <w:rPr>
          <w:u w:val="none"/>
        </w:rPr>
        <w:sectPr>
          <w:footerReference r:id="rId4" w:type="default"/>
          <w:pgSz w:w="11906" w:h="16838"/>
          <w:pgMar w:top="2098" w:right="1474" w:bottom="1984" w:left="1587" w:header="851" w:footer="1531" w:gutter="0"/>
          <w:pgNumType w:fmt="decimal"/>
          <w:cols w:space="720" w:num="1"/>
          <w:rtlGutter w:val="0"/>
          <w:docGrid w:type="lines" w:linePitch="381" w:charSpace="0"/>
        </w:sectPr>
      </w:pPr>
    </w:p>
    <w:p>
      <w:pPr>
        <w:keepNext w:val="0"/>
        <w:keepLines w:val="0"/>
        <w:pageBreakBefore w:val="0"/>
        <w:widowControl/>
        <w:kinsoku/>
        <w:wordWrap/>
        <w:overflowPunct/>
        <w:topLinePunct w:val="0"/>
        <w:autoSpaceDE/>
        <w:autoSpaceDN/>
        <w:bidi w:val="0"/>
        <w:adjustRightInd/>
        <w:snapToGrid/>
        <w:spacing w:line="550" w:lineRule="exact"/>
        <w:textAlignment w:val="auto"/>
        <w:outlineLvl w:val="1"/>
        <w:rPr>
          <w:rFonts w:hint="eastAsia" w:ascii="黑体" w:eastAsia="黑体" w:cs="黑体"/>
          <w:sz w:val="32"/>
          <w:szCs w:val="32"/>
          <w:u w:val="none"/>
          <w:lang w:bidi="ar-SA"/>
        </w:rPr>
      </w:pPr>
      <w:bookmarkStart w:id="41" w:name="_Toc6070"/>
      <w:r>
        <w:rPr>
          <w:rFonts w:hint="eastAsia" w:ascii="黑体" w:eastAsia="黑体" w:cs="黑体"/>
          <w:sz w:val="32"/>
          <w:szCs w:val="32"/>
          <w:u w:val="none"/>
          <w:lang w:bidi="ar-SA"/>
        </w:rPr>
        <w:t>附件</w:t>
      </w:r>
    </w:p>
    <w:p>
      <w:pPr>
        <w:widowControl/>
        <w:spacing w:line="20" w:lineRule="exact"/>
        <w:jc w:val="center"/>
        <w:outlineLvl w:val="1"/>
        <w:rPr>
          <w:rFonts w:hint="eastAsia" w:ascii="方正小标宋_GBK" w:eastAsia="方正小标宋_GBK" w:cs="方正小标宋_GBK"/>
          <w:color w:val="000000"/>
          <w:kern w:val="0"/>
          <w:sz w:val="36"/>
          <w:szCs w:val="36"/>
          <w:u w:val="none"/>
          <w:lang w:bidi="ar-SA"/>
        </w:rPr>
      </w:pPr>
    </w:p>
    <w:p>
      <w:pPr>
        <w:keepNext w:val="0"/>
        <w:keepLines w:val="0"/>
        <w:pageBreakBefore w:val="0"/>
        <w:widowControl/>
        <w:kinsoku/>
        <w:wordWrap/>
        <w:overflowPunct/>
        <w:topLinePunct w:val="0"/>
        <w:autoSpaceDE/>
        <w:autoSpaceDN/>
        <w:bidi w:val="0"/>
        <w:adjustRightInd/>
        <w:snapToGrid/>
        <w:spacing w:before="157" w:beforeLines="50" w:after="157" w:afterLines="50" w:line="550" w:lineRule="exact"/>
        <w:jc w:val="center"/>
        <w:textAlignment w:val="auto"/>
        <w:outlineLvl w:val="1"/>
        <w:rPr>
          <w:rFonts w:hint="eastAsia" w:ascii="方正小标宋_GBK" w:eastAsia="方正小标宋_GBK" w:cs="方正小标宋_GBK"/>
          <w:color w:val="000000"/>
          <w:kern w:val="0"/>
          <w:sz w:val="44"/>
          <w:szCs w:val="44"/>
          <w:u w:val="none"/>
          <w:lang w:bidi="ar-SA"/>
        </w:rPr>
      </w:pPr>
      <w:r>
        <w:rPr>
          <w:rFonts w:hint="eastAsia" w:ascii="方正小标宋_GBK" w:eastAsia="方正小标宋_GBK" w:cs="方正小标宋_GBK"/>
          <w:color w:val="000000"/>
          <w:kern w:val="0"/>
          <w:sz w:val="44"/>
          <w:szCs w:val="44"/>
          <w:u w:val="none"/>
          <w:lang w:bidi="ar-SA"/>
        </w:rPr>
        <w:t>广元市受山洪地质灾害威胁村（居）民避险搬迁任务分解表</w:t>
      </w:r>
    </w:p>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1"/>
        <w:rPr>
          <w:rFonts w:hint="eastAsia" w:ascii="方正小标宋_GBK" w:eastAsia="方正小标宋_GBK" w:cs="方正小标宋_GBK"/>
          <w:color w:val="000000"/>
          <w:kern w:val="0"/>
          <w:sz w:val="44"/>
          <w:szCs w:val="44"/>
          <w:u w:val="none"/>
          <w:lang w:bidi="ar-SA"/>
        </w:rPr>
      </w:pPr>
      <w:r>
        <w:rPr>
          <w:rFonts w:hint="eastAsia" w:ascii="方正小标宋_GBK" w:eastAsia="方正小标宋_GBK" w:cs="方正小标宋_GBK"/>
          <w:color w:val="000000"/>
          <w:kern w:val="0"/>
          <w:sz w:val="44"/>
          <w:szCs w:val="44"/>
          <w:u w:val="none"/>
          <w:lang w:bidi="ar-SA"/>
        </w:rPr>
        <w:t>（2023—2027年）</w:t>
      </w:r>
      <w:bookmarkEnd w:id="41"/>
    </w:p>
    <w:p>
      <w:pPr>
        <w:widowControl/>
        <w:wordWrap w:val="0"/>
        <w:jc w:val="right"/>
        <w:rPr>
          <w:rFonts w:hint="eastAsia" w:ascii="仿宋_GB2312" w:hAnsi="仿宋_GB2312" w:eastAsia="仿宋_GB2312" w:cs="仿宋_GB2312"/>
          <w:color w:val="000000"/>
          <w:kern w:val="0"/>
          <w:sz w:val="32"/>
          <w:szCs w:val="32"/>
          <w:u w:val="none"/>
          <w:lang w:bidi="ar-SA"/>
        </w:rPr>
      </w:pPr>
      <w:r>
        <w:rPr>
          <w:rFonts w:hint="eastAsia" w:ascii="仿宋_GB2312" w:hAnsi="仿宋_GB2312" w:eastAsia="仿宋_GB2312" w:cs="仿宋_GB2312"/>
          <w:color w:val="000000"/>
          <w:kern w:val="0"/>
          <w:sz w:val="32"/>
          <w:szCs w:val="32"/>
          <w:u w:val="none"/>
          <w:lang w:bidi="ar-SA"/>
        </w:rPr>
        <w:t>单位：户</w:t>
      </w:r>
    </w:p>
    <w:tbl>
      <w:tblPr>
        <w:tblStyle w:val="13"/>
        <w:tblpPr w:leftFromText="180" w:rightFromText="180" w:vertAnchor="text" w:horzAnchor="page" w:tblpX="1871" w:tblpY="72"/>
        <w:tblOverlap w:val="never"/>
        <w:tblW w:w="5156" w:type="pct"/>
        <w:tblInd w:w="0" w:type="dxa"/>
        <w:tblLayout w:type="autofit"/>
        <w:tblCellMar>
          <w:top w:w="0" w:type="dxa"/>
          <w:left w:w="108" w:type="dxa"/>
          <w:bottom w:w="0" w:type="dxa"/>
          <w:right w:w="108" w:type="dxa"/>
        </w:tblCellMar>
      </w:tblPr>
      <w:tblGrid>
        <w:gridCol w:w="704"/>
        <w:gridCol w:w="1376"/>
        <w:gridCol w:w="1092"/>
        <w:gridCol w:w="1105"/>
        <w:gridCol w:w="1127"/>
        <w:gridCol w:w="1135"/>
        <w:gridCol w:w="1151"/>
        <w:gridCol w:w="1167"/>
        <w:gridCol w:w="1143"/>
        <w:gridCol w:w="1105"/>
        <w:gridCol w:w="1108"/>
        <w:gridCol w:w="1164"/>
      </w:tblGrid>
      <w:tr>
        <w:tblPrEx>
          <w:tblCellMar>
            <w:top w:w="0" w:type="dxa"/>
            <w:left w:w="108" w:type="dxa"/>
            <w:bottom w:w="0" w:type="dxa"/>
            <w:right w:w="108" w:type="dxa"/>
          </w:tblCellMar>
        </w:tblPrEx>
        <w:trPr>
          <w:trHeight w:val="546" w:hRule="atLeast"/>
        </w:trPr>
        <w:tc>
          <w:tcPr>
            <w:tcW w:w="70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ascii="黑体" w:hAnsi="黑体" w:eastAsia="黑体" w:cs="黑体"/>
                <w:b w:val="0"/>
                <w:bCs/>
                <w:color w:val="000000"/>
                <w:kern w:val="0"/>
                <w:sz w:val="24"/>
                <w:u w:val="none"/>
                <w:lang w:bidi="ar-SA"/>
              </w:rPr>
            </w:pPr>
            <w:r>
              <w:rPr>
                <w:rFonts w:hint="eastAsia" w:ascii="黑体" w:hAnsi="黑体" w:eastAsia="黑体" w:cs="黑体"/>
                <w:b w:val="0"/>
                <w:bCs/>
                <w:color w:val="000000"/>
                <w:kern w:val="0"/>
                <w:sz w:val="24"/>
                <w:u w:val="none"/>
                <w:lang w:bidi="ar-SA"/>
              </w:rPr>
              <w:t>序号</w:t>
            </w:r>
          </w:p>
        </w:tc>
        <w:tc>
          <w:tcPr>
            <w:tcW w:w="13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b w:val="0"/>
                <w:bCs/>
                <w:color w:val="000000"/>
                <w:kern w:val="0"/>
                <w:sz w:val="24"/>
                <w:u w:val="none"/>
                <w:lang w:bidi="ar-SA"/>
              </w:rPr>
            </w:pPr>
            <w:r>
              <w:rPr>
                <w:rFonts w:hint="eastAsia" w:ascii="黑体" w:hAnsi="黑体" w:eastAsia="黑体" w:cs="黑体"/>
                <w:b w:val="0"/>
                <w:bCs/>
                <w:color w:val="000000"/>
                <w:kern w:val="0"/>
                <w:sz w:val="24"/>
                <w:u w:val="none"/>
                <w:lang w:bidi="ar-SA"/>
              </w:rPr>
              <w:t>县（区）</w:t>
            </w:r>
          </w:p>
        </w:tc>
        <w:tc>
          <w:tcPr>
            <w:tcW w:w="6777" w:type="dxa"/>
            <w:gridSpan w:val="6"/>
            <w:tcBorders>
              <w:top w:val="single" w:color="000000" w:sz="4" w:space="0"/>
              <w:left w:val="nil"/>
              <w:bottom w:val="single" w:color="000000" w:sz="4" w:space="0"/>
              <w:right w:val="single" w:color="000000" w:sz="4" w:space="0"/>
            </w:tcBorders>
            <w:noWrap/>
            <w:vAlign w:val="center"/>
          </w:tcPr>
          <w:p>
            <w:pPr>
              <w:widowControl/>
              <w:spacing w:line="300" w:lineRule="exact"/>
              <w:jc w:val="center"/>
              <w:rPr>
                <w:rFonts w:hint="eastAsia" w:ascii="黑体" w:hAnsi="黑体" w:eastAsia="黑体" w:cs="黑体"/>
                <w:b w:val="0"/>
                <w:bCs/>
                <w:color w:val="000000"/>
                <w:kern w:val="0"/>
                <w:sz w:val="24"/>
                <w:u w:val="none"/>
                <w:lang w:bidi="ar-SA"/>
              </w:rPr>
            </w:pPr>
            <w:r>
              <w:rPr>
                <w:rFonts w:hint="eastAsia" w:ascii="黑体" w:hAnsi="黑体" w:eastAsia="黑体" w:cs="黑体"/>
                <w:b w:val="0"/>
                <w:bCs/>
                <w:color w:val="000000"/>
                <w:kern w:val="0"/>
                <w:sz w:val="24"/>
                <w:u w:val="none"/>
                <w:lang w:bidi="ar-SA"/>
              </w:rPr>
              <w:t>第一阶段（2023—2025年）目标</w:t>
            </w:r>
          </w:p>
        </w:tc>
        <w:tc>
          <w:tcPr>
            <w:tcW w:w="4520" w:type="dxa"/>
            <w:gridSpan w:val="4"/>
            <w:tcBorders>
              <w:top w:val="single" w:color="000000" w:sz="4" w:space="0"/>
              <w:left w:val="nil"/>
              <w:bottom w:val="single" w:color="000000" w:sz="4" w:space="0"/>
              <w:right w:val="single" w:color="000000" w:sz="4" w:space="0"/>
            </w:tcBorders>
            <w:noWrap/>
            <w:vAlign w:val="center"/>
          </w:tcPr>
          <w:p>
            <w:pPr>
              <w:widowControl/>
              <w:spacing w:line="300" w:lineRule="exact"/>
              <w:jc w:val="center"/>
              <w:rPr>
                <w:rFonts w:hint="eastAsia" w:ascii="黑体" w:hAnsi="黑体" w:eastAsia="黑体" w:cs="黑体"/>
                <w:b w:val="0"/>
                <w:bCs/>
                <w:color w:val="000000"/>
                <w:kern w:val="0"/>
                <w:sz w:val="24"/>
                <w:u w:val="none"/>
                <w:lang w:bidi="ar-SA"/>
              </w:rPr>
            </w:pPr>
            <w:r>
              <w:rPr>
                <w:rFonts w:hint="eastAsia" w:ascii="黑体" w:hAnsi="黑体" w:eastAsia="黑体" w:cs="黑体"/>
                <w:b w:val="0"/>
                <w:bCs/>
                <w:color w:val="000000"/>
                <w:kern w:val="0"/>
                <w:sz w:val="24"/>
                <w:u w:val="none"/>
                <w:lang w:bidi="ar-SA"/>
              </w:rPr>
              <w:t>第二阶段（2026—2027年）目标</w:t>
            </w:r>
          </w:p>
        </w:tc>
      </w:tr>
      <w:tr>
        <w:tblPrEx>
          <w:tblCellMar>
            <w:top w:w="0" w:type="dxa"/>
            <w:left w:w="108" w:type="dxa"/>
            <w:bottom w:w="0" w:type="dxa"/>
            <w:right w:w="108" w:type="dxa"/>
          </w:tblCellMar>
        </w:tblPrEx>
        <w:trPr>
          <w:trHeight w:val="56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rPr>
            </w:pPr>
          </w:p>
        </w:tc>
        <w:tc>
          <w:tcPr>
            <w:tcW w:w="137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rPr>
            </w:pPr>
          </w:p>
        </w:tc>
        <w:tc>
          <w:tcPr>
            <w:tcW w:w="2197" w:type="dxa"/>
            <w:gridSpan w:val="2"/>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b w:val="0"/>
                <w:bCs/>
                <w:color w:val="000000"/>
                <w:kern w:val="0"/>
                <w:sz w:val="24"/>
                <w:u w:val="none"/>
                <w:lang w:bidi="ar-SA"/>
              </w:rPr>
            </w:pPr>
            <w:r>
              <w:rPr>
                <w:rFonts w:hint="eastAsia" w:ascii="黑体" w:hAnsi="黑体" w:eastAsia="黑体" w:cs="黑体"/>
                <w:b w:val="0"/>
                <w:bCs/>
                <w:color w:val="000000"/>
                <w:kern w:val="0"/>
                <w:sz w:val="24"/>
                <w:u w:val="none"/>
                <w:lang w:bidi="ar-SA"/>
              </w:rPr>
              <w:t>2023年</w:t>
            </w:r>
          </w:p>
        </w:tc>
        <w:tc>
          <w:tcPr>
            <w:tcW w:w="2262" w:type="dxa"/>
            <w:gridSpan w:val="2"/>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b w:val="0"/>
                <w:bCs/>
                <w:color w:val="000000"/>
                <w:kern w:val="0"/>
                <w:sz w:val="24"/>
                <w:u w:val="none"/>
                <w:lang w:bidi="ar-SA"/>
              </w:rPr>
            </w:pPr>
            <w:r>
              <w:rPr>
                <w:rFonts w:hint="eastAsia" w:ascii="黑体" w:hAnsi="黑体" w:eastAsia="黑体" w:cs="黑体"/>
                <w:b w:val="0"/>
                <w:bCs/>
                <w:color w:val="000000"/>
                <w:kern w:val="0"/>
                <w:sz w:val="24"/>
                <w:u w:val="none"/>
                <w:lang w:bidi="ar-SA"/>
              </w:rPr>
              <w:t>2024年</w:t>
            </w:r>
          </w:p>
        </w:tc>
        <w:tc>
          <w:tcPr>
            <w:tcW w:w="2318" w:type="dxa"/>
            <w:gridSpan w:val="2"/>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b w:val="0"/>
                <w:bCs/>
                <w:color w:val="000000"/>
                <w:kern w:val="0"/>
                <w:sz w:val="24"/>
                <w:u w:val="none"/>
                <w:lang w:bidi="ar-SA"/>
              </w:rPr>
            </w:pPr>
            <w:r>
              <w:rPr>
                <w:rFonts w:hint="eastAsia" w:ascii="黑体" w:hAnsi="黑体" w:eastAsia="黑体" w:cs="黑体"/>
                <w:b w:val="0"/>
                <w:bCs/>
                <w:color w:val="000000"/>
                <w:kern w:val="0"/>
                <w:sz w:val="24"/>
                <w:u w:val="none"/>
                <w:lang w:bidi="ar-SA"/>
              </w:rPr>
              <w:t>2025年</w:t>
            </w:r>
          </w:p>
        </w:tc>
        <w:tc>
          <w:tcPr>
            <w:tcW w:w="2248" w:type="dxa"/>
            <w:gridSpan w:val="2"/>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b w:val="0"/>
                <w:bCs/>
                <w:color w:val="000000"/>
                <w:kern w:val="0"/>
                <w:sz w:val="24"/>
                <w:u w:val="none"/>
                <w:lang w:bidi="ar-SA"/>
              </w:rPr>
            </w:pPr>
            <w:r>
              <w:rPr>
                <w:rFonts w:hint="eastAsia" w:ascii="黑体" w:hAnsi="黑体" w:eastAsia="黑体" w:cs="黑体"/>
                <w:b w:val="0"/>
                <w:bCs/>
                <w:color w:val="000000"/>
                <w:kern w:val="0"/>
                <w:sz w:val="24"/>
                <w:u w:val="none"/>
                <w:lang w:bidi="ar-SA"/>
              </w:rPr>
              <w:t>2026年</w:t>
            </w:r>
          </w:p>
        </w:tc>
        <w:tc>
          <w:tcPr>
            <w:tcW w:w="2272" w:type="dxa"/>
            <w:gridSpan w:val="2"/>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b w:val="0"/>
                <w:bCs/>
                <w:color w:val="000000"/>
                <w:kern w:val="0"/>
                <w:sz w:val="24"/>
                <w:u w:val="none"/>
                <w:lang w:bidi="ar-SA"/>
              </w:rPr>
            </w:pPr>
            <w:r>
              <w:rPr>
                <w:rFonts w:hint="eastAsia" w:ascii="黑体" w:hAnsi="黑体" w:eastAsia="黑体" w:cs="黑体"/>
                <w:b w:val="0"/>
                <w:bCs/>
                <w:color w:val="000000"/>
                <w:kern w:val="0"/>
                <w:sz w:val="24"/>
                <w:u w:val="none"/>
                <w:lang w:bidi="ar-SA"/>
              </w:rPr>
              <w:t>2027年</w:t>
            </w:r>
          </w:p>
        </w:tc>
      </w:tr>
      <w:tr>
        <w:tblPrEx>
          <w:tblCellMar>
            <w:top w:w="0" w:type="dxa"/>
            <w:left w:w="108" w:type="dxa"/>
            <w:bottom w:w="0" w:type="dxa"/>
            <w:right w:w="108" w:type="dxa"/>
          </w:tblCellMar>
        </w:tblPrEx>
        <w:trPr>
          <w:trHeight w:val="9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rPr>
            </w:pPr>
          </w:p>
        </w:tc>
        <w:tc>
          <w:tcPr>
            <w:tcW w:w="137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rPr>
            </w:pPr>
          </w:p>
        </w:tc>
        <w:tc>
          <w:tcPr>
            <w:tcW w:w="1092" w:type="dxa"/>
            <w:tcBorders>
              <w:top w:val="nil"/>
              <w:left w:val="nil"/>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b w:val="0"/>
                <w:bCs/>
                <w:color w:val="000000"/>
                <w:kern w:val="0"/>
                <w:sz w:val="24"/>
                <w:u w:val="none"/>
                <w:lang w:bidi="ar-SA"/>
              </w:rPr>
            </w:pPr>
            <w:r>
              <w:rPr>
                <w:rFonts w:hint="eastAsia" w:ascii="黑体" w:hAnsi="黑体" w:eastAsia="黑体" w:cs="黑体"/>
                <w:b w:val="0"/>
                <w:bCs/>
                <w:color w:val="000000"/>
                <w:kern w:val="0"/>
                <w:sz w:val="24"/>
                <w:u w:val="none"/>
                <w:lang w:bidi="ar-SA"/>
              </w:rPr>
              <w:t>地质灾害避险搬迁</w:t>
            </w:r>
          </w:p>
        </w:tc>
        <w:tc>
          <w:tcPr>
            <w:tcW w:w="1105" w:type="dxa"/>
            <w:tcBorders>
              <w:top w:val="nil"/>
              <w:left w:val="nil"/>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b w:val="0"/>
                <w:bCs/>
                <w:color w:val="000000"/>
                <w:kern w:val="0"/>
                <w:sz w:val="24"/>
                <w:u w:val="none"/>
                <w:lang w:bidi="ar-SA"/>
              </w:rPr>
            </w:pPr>
            <w:r>
              <w:rPr>
                <w:rFonts w:hint="eastAsia" w:ascii="黑体" w:hAnsi="黑体" w:eastAsia="黑体" w:cs="黑体"/>
                <w:b w:val="0"/>
                <w:bCs/>
                <w:color w:val="000000"/>
                <w:kern w:val="0"/>
                <w:sz w:val="24"/>
                <w:u w:val="none"/>
                <w:lang w:bidi="ar-SA"/>
              </w:rPr>
              <w:t>山洪灾害避险搬迁</w:t>
            </w:r>
          </w:p>
        </w:tc>
        <w:tc>
          <w:tcPr>
            <w:tcW w:w="1127" w:type="dxa"/>
            <w:tcBorders>
              <w:top w:val="nil"/>
              <w:left w:val="nil"/>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b w:val="0"/>
                <w:bCs/>
                <w:color w:val="000000"/>
                <w:kern w:val="0"/>
                <w:sz w:val="24"/>
                <w:u w:val="none"/>
                <w:lang w:bidi="ar-SA"/>
              </w:rPr>
            </w:pPr>
            <w:r>
              <w:rPr>
                <w:rFonts w:hint="eastAsia" w:ascii="黑体" w:hAnsi="黑体" w:eastAsia="黑体" w:cs="黑体"/>
                <w:b w:val="0"/>
                <w:bCs/>
                <w:color w:val="000000"/>
                <w:kern w:val="0"/>
                <w:sz w:val="24"/>
                <w:u w:val="none"/>
                <w:lang w:bidi="ar-SA"/>
              </w:rPr>
              <w:t>地质灾害避险搬迁</w:t>
            </w:r>
          </w:p>
        </w:tc>
        <w:tc>
          <w:tcPr>
            <w:tcW w:w="1135" w:type="dxa"/>
            <w:tcBorders>
              <w:top w:val="nil"/>
              <w:left w:val="nil"/>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b w:val="0"/>
                <w:bCs/>
                <w:color w:val="000000"/>
                <w:kern w:val="0"/>
                <w:sz w:val="24"/>
                <w:u w:val="none"/>
                <w:lang w:bidi="ar-SA"/>
              </w:rPr>
            </w:pPr>
            <w:r>
              <w:rPr>
                <w:rFonts w:hint="eastAsia" w:ascii="黑体" w:hAnsi="黑体" w:eastAsia="黑体" w:cs="黑体"/>
                <w:b w:val="0"/>
                <w:bCs/>
                <w:color w:val="000000"/>
                <w:kern w:val="0"/>
                <w:sz w:val="24"/>
                <w:u w:val="none"/>
                <w:lang w:bidi="ar-SA"/>
              </w:rPr>
              <w:t>山洪灾害避险搬迁</w:t>
            </w:r>
          </w:p>
        </w:tc>
        <w:tc>
          <w:tcPr>
            <w:tcW w:w="1151" w:type="dxa"/>
            <w:tcBorders>
              <w:top w:val="nil"/>
              <w:left w:val="nil"/>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b w:val="0"/>
                <w:bCs/>
                <w:color w:val="000000"/>
                <w:kern w:val="0"/>
                <w:sz w:val="24"/>
                <w:u w:val="none"/>
                <w:lang w:bidi="ar-SA"/>
              </w:rPr>
            </w:pPr>
            <w:r>
              <w:rPr>
                <w:rFonts w:hint="eastAsia" w:ascii="黑体" w:hAnsi="黑体" w:eastAsia="黑体" w:cs="黑体"/>
                <w:b w:val="0"/>
                <w:bCs/>
                <w:color w:val="000000"/>
                <w:kern w:val="0"/>
                <w:sz w:val="24"/>
                <w:u w:val="none"/>
                <w:lang w:bidi="ar-SA"/>
              </w:rPr>
              <w:t>地质灾害避险搬迁</w:t>
            </w:r>
          </w:p>
        </w:tc>
        <w:tc>
          <w:tcPr>
            <w:tcW w:w="1167" w:type="dxa"/>
            <w:tcBorders>
              <w:top w:val="nil"/>
              <w:left w:val="nil"/>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b w:val="0"/>
                <w:bCs/>
                <w:color w:val="000000"/>
                <w:kern w:val="0"/>
                <w:sz w:val="24"/>
                <w:u w:val="none"/>
                <w:lang w:bidi="ar-SA"/>
              </w:rPr>
            </w:pPr>
            <w:r>
              <w:rPr>
                <w:rFonts w:hint="eastAsia" w:ascii="黑体" w:hAnsi="黑体" w:eastAsia="黑体" w:cs="黑体"/>
                <w:b w:val="0"/>
                <w:bCs/>
                <w:color w:val="000000"/>
                <w:kern w:val="0"/>
                <w:sz w:val="24"/>
                <w:u w:val="none"/>
                <w:lang w:bidi="ar-SA"/>
              </w:rPr>
              <w:t>山洪灾害避险搬迁</w:t>
            </w:r>
          </w:p>
        </w:tc>
        <w:tc>
          <w:tcPr>
            <w:tcW w:w="1143" w:type="dxa"/>
            <w:tcBorders>
              <w:top w:val="nil"/>
              <w:left w:val="nil"/>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b w:val="0"/>
                <w:bCs/>
                <w:color w:val="000000"/>
                <w:kern w:val="0"/>
                <w:sz w:val="24"/>
                <w:u w:val="none"/>
                <w:lang w:bidi="ar-SA"/>
              </w:rPr>
            </w:pPr>
            <w:r>
              <w:rPr>
                <w:rFonts w:hint="eastAsia" w:ascii="黑体" w:hAnsi="黑体" w:eastAsia="黑体" w:cs="黑体"/>
                <w:b w:val="0"/>
                <w:bCs/>
                <w:color w:val="000000"/>
                <w:kern w:val="0"/>
                <w:sz w:val="24"/>
                <w:u w:val="none"/>
                <w:lang w:bidi="ar-SA"/>
              </w:rPr>
              <w:t>地质灾害避险搬迁</w:t>
            </w:r>
          </w:p>
        </w:tc>
        <w:tc>
          <w:tcPr>
            <w:tcW w:w="1105" w:type="dxa"/>
            <w:tcBorders>
              <w:top w:val="nil"/>
              <w:left w:val="nil"/>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b w:val="0"/>
                <w:bCs/>
                <w:color w:val="000000"/>
                <w:kern w:val="0"/>
                <w:sz w:val="24"/>
                <w:u w:val="none"/>
                <w:lang w:bidi="ar-SA"/>
              </w:rPr>
            </w:pPr>
            <w:r>
              <w:rPr>
                <w:rFonts w:hint="eastAsia" w:ascii="黑体" w:hAnsi="黑体" w:eastAsia="黑体" w:cs="黑体"/>
                <w:b w:val="0"/>
                <w:bCs/>
                <w:color w:val="000000"/>
                <w:kern w:val="0"/>
                <w:sz w:val="24"/>
                <w:u w:val="none"/>
                <w:lang w:bidi="ar-SA"/>
              </w:rPr>
              <w:t>山洪灾害避险搬迁</w:t>
            </w:r>
          </w:p>
        </w:tc>
        <w:tc>
          <w:tcPr>
            <w:tcW w:w="1108" w:type="dxa"/>
            <w:tcBorders>
              <w:top w:val="nil"/>
              <w:left w:val="nil"/>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b w:val="0"/>
                <w:bCs/>
                <w:color w:val="000000"/>
                <w:kern w:val="0"/>
                <w:sz w:val="24"/>
                <w:u w:val="none"/>
                <w:lang w:bidi="ar-SA"/>
              </w:rPr>
            </w:pPr>
            <w:r>
              <w:rPr>
                <w:rFonts w:hint="eastAsia" w:ascii="黑体" w:hAnsi="黑体" w:eastAsia="黑体" w:cs="黑体"/>
                <w:b w:val="0"/>
                <w:bCs/>
                <w:color w:val="000000"/>
                <w:kern w:val="0"/>
                <w:sz w:val="24"/>
                <w:u w:val="none"/>
                <w:lang w:bidi="ar-SA"/>
              </w:rPr>
              <w:t>地质灾害避险搬迁</w:t>
            </w:r>
          </w:p>
        </w:tc>
        <w:tc>
          <w:tcPr>
            <w:tcW w:w="1164" w:type="dxa"/>
            <w:tcBorders>
              <w:top w:val="nil"/>
              <w:left w:val="nil"/>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b w:val="0"/>
                <w:bCs/>
                <w:color w:val="000000"/>
                <w:kern w:val="0"/>
                <w:sz w:val="24"/>
                <w:u w:val="none"/>
                <w:lang w:bidi="ar-SA"/>
              </w:rPr>
            </w:pPr>
            <w:r>
              <w:rPr>
                <w:rFonts w:hint="eastAsia" w:ascii="黑体" w:hAnsi="黑体" w:eastAsia="黑体" w:cs="黑体"/>
                <w:b w:val="0"/>
                <w:bCs/>
                <w:color w:val="000000"/>
                <w:kern w:val="0"/>
                <w:sz w:val="24"/>
                <w:u w:val="none"/>
                <w:lang w:bidi="ar-SA"/>
              </w:rPr>
              <w:t>山洪灾害避险搬迁</w:t>
            </w:r>
          </w:p>
        </w:tc>
      </w:tr>
      <w:tr>
        <w:tblPrEx>
          <w:tblCellMar>
            <w:top w:w="0" w:type="dxa"/>
            <w:left w:w="108" w:type="dxa"/>
            <w:bottom w:w="0" w:type="dxa"/>
            <w:right w:w="108" w:type="dxa"/>
          </w:tblCellMar>
        </w:tblPrEx>
        <w:trPr>
          <w:trHeight w:val="446" w:hRule="atLeast"/>
        </w:trPr>
        <w:tc>
          <w:tcPr>
            <w:tcW w:w="704" w:type="dxa"/>
            <w:tcBorders>
              <w:top w:val="nil"/>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1</w:t>
            </w:r>
          </w:p>
        </w:tc>
        <w:tc>
          <w:tcPr>
            <w:tcW w:w="1376" w:type="dxa"/>
            <w:tcBorders>
              <w:top w:val="nil"/>
              <w:left w:val="nil"/>
              <w:bottom w:val="single" w:color="000000" w:sz="4" w:space="0"/>
              <w:right w:val="single" w:color="000000" w:sz="4" w:space="0"/>
            </w:tcBorders>
            <w:noWrap w:val="0"/>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苍溪县</w:t>
            </w:r>
          </w:p>
        </w:tc>
        <w:tc>
          <w:tcPr>
            <w:tcW w:w="1092"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65</w:t>
            </w:r>
          </w:p>
        </w:tc>
        <w:tc>
          <w:tcPr>
            <w:tcW w:w="110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27"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15</w:t>
            </w:r>
          </w:p>
        </w:tc>
        <w:tc>
          <w:tcPr>
            <w:tcW w:w="113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51"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67"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43"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0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08"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64"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r>
      <w:tr>
        <w:tblPrEx>
          <w:tblCellMar>
            <w:top w:w="0" w:type="dxa"/>
            <w:left w:w="108" w:type="dxa"/>
            <w:bottom w:w="0" w:type="dxa"/>
            <w:right w:w="108" w:type="dxa"/>
          </w:tblCellMar>
        </w:tblPrEx>
        <w:trPr>
          <w:trHeight w:val="336" w:hRule="atLeast"/>
        </w:trPr>
        <w:tc>
          <w:tcPr>
            <w:tcW w:w="704" w:type="dxa"/>
            <w:tcBorders>
              <w:top w:val="nil"/>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2</w:t>
            </w:r>
          </w:p>
        </w:tc>
        <w:tc>
          <w:tcPr>
            <w:tcW w:w="1376" w:type="dxa"/>
            <w:tcBorders>
              <w:top w:val="nil"/>
              <w:left w:val="nil"/>
              <w:bottom w:val="single" w:color="000000" w:sz="4" w:space="0"/>
              <w:right w:val="single" w:color="000000" w:sz="4" w:space="0"/>
            </w:tcBorders>
            <w:noWrap w:val="0"/>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旺苍县</w:t>
            </w:r>
          </w:p>
        </w:tc>
        <w:tc>
          <w:tcPr>
            <w:tcW w:w="1092"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16</w:t>
            </w:r>
          </w:p>
        </w:tc>
        <w:tc>
          <w:tcPr>
            <w:tcW w:w="110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27"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44</w:t>
            </w:r>
          </w:p>
        </w:tc>
        <w:tc>
          <w:tcPr>
            <w:tcW w:w="113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12</w:t>
            </w:r>
          </w:p>
        </w:tc>
        <w:tc>
          <w:tcPr>
            <w:tcW w:w="1151"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23</w:t>
            </w:r>
          </w:p>
        </w:tc>
        <w:tc>
          <w:tcPr>
            <w:tcW w:w="1167"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20</w:t>
            </w:r>
          </w:p>
        </w:tc>
        <w:tc>
          <w:tcPr>
            <w:tcW w:w="1143"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22</w:t>
            </w:r>
          </w:p>
        </w:tc>
        <w:tc>
          <w:tcPr>
            <w:tcW w:w="110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24</w:t>
            </w:r>
          </w:p>
        </w:tc>
        <w:tc>
          <w:tcPr>
            <w:tcW w:w="1108"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21</w:t>
            </w:r>
          </w:p>
        </w:tc>
        <w:tc>
          <w:tcPr>
            <w:tcW w:w="1164"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19</w:t>
            </w:r>
          </w:p>
        </w:tc>
      </w:tr>
      <w:tr>
        <w:tblPrEx>
          <w:tblCellMar>
            <w:top w:w="0" w:type="dxa"/>
            <w:left w:w="108" w:type="dxa"/>
            <w:bottom w:w="0" w:type="dxa"/>
            <w:right w:w="108" w:type="dxa"/>
          </w:tblCellMar>
        </w:tblPrEx>
        <w:trPr>
          <w:trHeight w:val="336" w:hRule="atLeast"/>
        </w:trPr>
        <w:tc>
          <w:tcPr>
            <w:tcW w:w="704" w:type="dxa"/>
            <w:tcBorders>
              <w:top w:val="nil"/>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3</w:t>
            </w:r>
          </w:p>
        </w:tc>
        <w:tc>
          <w:tcPr>
            <w:tcW w:w="1376" w:type="dxa"/>
            <w:tcBorders>
              <w:top w:val="nil"/>
              <w:left w:val="nil"/>
              <w:bottom w:val="single" w:color="000000" w:sz="4" w:space="0"/>
              <w:right w:val="single" w:color="000000" w:sz="4" w:space="0"/>
            </w:tcBorders>
            <w:noWrap w:val="0"/>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剑阁县</w:t>
            </w:r>
          </w:p>
        </w:tc>
        <w:tc>
          <w:tcPr>
            <w:tcW w:w="1092"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155</w:t>
            </w:r>
          </w:p>
        </w:tc>
        <w:tc>
          <w:tcPr>
            <w:tcW w:w="110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27"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18</w:t>
            </w:r>
          </w:p>
        </w:tc>
        <w:tc>
          <w:tcPr>
            <w:tcW w:w="113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1</w:t>
            </w:r>
          </w:p>
        </w:tc>
        <w:tc>
          <w:tcPr>
            <w:tcW w:w="1151"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18</w:t>
            </w:r>
          </w:p>
        </w:tc>
        <w:tc>
          <w:tcPr>
            <w:tcW w:w="1167"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2</w:t>
            </w:r>
          </w:p>
        </w:tc>
        <w:tc>
          <w:tcPr>
            <w:tcW w:w="1143"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16</w:t>
            </w:r>
          </w:p>
        </w:tc>
        <w:tc>
          <w:tcPr>
            <w:tcW w:w="110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1</w:t>
            </w:r>
          </w:p>
        </w:tc>
        <w:tc>
          <w:tcPr>
            <w:tcW w:w="1108"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6</w:t>
            </w:r>
          </w:p>
        </w:tc>
        <w:tc>
          <w:tcPr>
            <w:tcW w:w="1164"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r>
      <w:tr>
        <w:tblPrEx>
          <w:tblCellMar>
            <w:top w:w="0" w:type="dxa"/>
            <w:left w:w="108" w:type="dxa"/>
            <w:bottom w:w="0" w:type="dxa"/>
            <w:right w:w="108" w:type="dxa"/>
          </w:tblCellMar>
        </w:tblPrEx>
        <w:trPr>
          <w:trHeight w:val="336" w:hRule="atLeast"/>
        </w:trPr>
        <w:tc>
          <w:tcPr>
            <w:tcW w:w="704" w:type="dxa"/>
            <w:tcBorders>
              <w:top w:val="nil"/>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4</w:t>
            </w:r>
          </w:p>
        </w:tc>
        <w:tc>
          <w:tcPr>
            <w:tcW w:w="1376" w:type="dxa"/>
            <w:tcBorders>
              <w:top w:val="nil"/>
              <w:left w:val="nil"/>
              <w:bottom w:val="single" w:color="000000" w:sz="4" w:space="0"/>
              <w:right w:val="single" w:color="000000" w:sz="4" w:space="0"/>
            </w:tcBorders>
            <w:noWrap w:val="0"/>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青川县</w:t>
            </w:r>
          </w:p>
        </w:tc>
        <w:tc>
          <w:tcPr>
            <w:tcW w:w="1092"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150</w:t>
            </w:r>
          </w:p>
        </w:tc>
        <w:tc>
          <w:tcPr>
            <w:tcW w:w="110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27"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3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8</w:t>
            </w:r>
          </w:p>
        </w:tc>
        <w:tc>
          <w:tcPr>
            <w:tcW w:w="1151"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67"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9</w:t>
            </w:r>
          </w:p>
        </w:tc>
        <w:tc>
          <w:tcPr>
            <w:tcW w:w="1143"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0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7</w:t>
            </w:r>
          </w:p>
        </w:tc>
        <w:tc>
          <w:tcPr>
            <w:tcW w:w="1108"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64"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r>
      <w:tr>
        <w:tblPrEx>
          <w:tblCellMar>
            <w:top w:w="0" w:type="dxa"/>
            <w:left w:w="108" w:type="dxa"/>
            <w:bottom w:w="0" w:type="dxa"/>
            <w:right w:w="108" w:type="dxa"/>
          </w:tblCellMar>
        </w:tblPrEx>
        <w:trPr>
          <w:trHeight w:val="336" w:hRule="atLeast"/>
        </w:trPr>
        <w:tc>
          <w:tcPr>
            <w:tcW w:w="704" w:type="dxa"/>
            <w:tcBorders>
              <w:top w:val="nil"/>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5</w:t>
            </w:r>
          </w:p>
        </w:tc>
        <w:tc>
          <w:tcPr>
            <w:tcW w:w="1376" w:type="dxa"/>
            <w:tcBorders>
              <w:top w:val="nil"/>
              <w:left w:val="nil"/>
              <w:bottom w:val="single" w:color="000000" w:sz="4" w:space="0"/>
              <w:right w:val="single" w:color="000000" w:sz="4" w:space="0"/>
            </w:tcBorders>
            <w:noWrap w:val="0"/>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利州区</w:t>
            </w:r>
          </w:p>
        </w:tc>
        <w:tc>
          <w:tcPr>
            <w:tcW w:w="1092"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70</w:t>
            </w:r>
          </w:p>
        </w:tc>
        <w:tc>
          <w:tcPr>
            <w:tcW w:w="110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27"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7</w:t>
            </w:r>
          </w:p>
        </w:tc>
        <w:tc>
          <w:tcPr>
            <w:tcW w:w="113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51"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6</w:t>
            </w:r>
          </w:p>
        </w:tc>
        <w:tc>
          <w:tcPr>
            <w:tcW w:w="1167"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43"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4</w:t>
            </w:r>
          </w:p>
        </w:tc>
        <w:tc>
          <w:tcPr>
            <w:tcW w:w="110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08"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3</w:t>
            </w:r>
          </w:p>
        </w:tc>
        <w:tc>
          <w:tcPr>
            <w:tcW w:w="1164"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r>
      <w:tr>
        <w:tblPrEx>
          <w:tblCellMar>
            <w:top w:w="0" w:type="dxa"/>
            <w:left w:w="108" w:type="dxa"/>
            <w:bottom w:w="0" w:type="dxa"/>
            <w:right w:w="108" w:type="dxa"/>
          </w:tblCellMar>
        </w:tblPrEx>
        <w:trPr>
          <w:trHeight w:val="336" w:hRule="atLeast"/>
        </w:trPr>
        <w:tc>
          <w:tcPr>
            <w:tcW w:w="704" w:type="dxa"/>
            <w:tcBorders>
              <w:top w:val="nil"/>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6</w:t>
            </w:r>
          </w:p>
        </w:tc>
        <w:tc>
          <w:tcPr>
            <w:tcW w:w="1376" w:type="dxa"/>
            <w:tcBorders>
              <w:top w:val="nil"/>
              <w:left w:val="nil"/>
              <w:bottom w:val="single" w:color="000000" w:sz="4" w:space="0"/>
              <w:right w:val="single" w:color="000000" w:sz="4" w:space="0"/>
            </w:tcBorders>
            <w:noWrap w:val="0"/>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昭化区</w:t>
            </w:r>
          </w:p>
        </w:tc>
        <w:tc>
          <w:tcPr>
            <w:tcW w:w="1092"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67</w:t>
            </w:r>
          </w:p>
        </w:tc>
        <w:tc>
          <w:tcPr>
            <w:tcW w:w="110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27"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30</w:t>
            </w:r>
          </w:p>
        </w:tc>
        <w:tc>
          <w:tcPr>
            <w:tcW w:w="113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51"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12</w:t>
            </w:r>
          </w:p>
        </w:tc>
        <w:tc>
          <w:tcPr>
            <w:tcW w:w="1167"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43"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9</w:t>
            </w:r>
          </w:p>
        </w:tc>
        <w:tc>
          <w:tcPr>
            <w:tcW w:w="110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08"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8</w:t>
            </w:r>
          </w:p>
        </w:tc>
        <w:tc>
          <w:tcPr>
            <w:tcW w:w="1164"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r>
      <w:tr>
        <w:tblPrEx>
          <w:tblCellMar>
            <w:top w:w="0" w:type="dxa"/>
            <w:left w:w="108" w:type="dxa"/>
            <w:bottom w:w="0" w:type="dxa"/>
            <w:right w:w="108" w:type="dxa"/>
          </w:tblCellMar>
        </w:tblPrEx>
        <w:trPr>
          <w:trHeight w:val="336" w:hRule="atLeast"/>
        </w:trPr>
        <w:tc>
          <w:tcPr>
            <w:tcW w:w="704" w:type="dxa"/>
            <w:tcBorders>
              <w:top w:val="nil"/>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7</w:t>
            </w:r>
          </w:p>
        </w:tc>
        <w:tc>
          <w:tcPr>
            <w:tcW w:w="1376" w:type="dxa"/>
            <w:tcBorders>
              <w:top w:val="nil"/>
              <w:left w:val="nil"/>
              <w:bottom w:val="single" w:color="000000" w:sz="4" w:space="0"/>
              <w:right w:val="single" w:color="000000" w:sz="4" w:space="0"/>
            </w:tcBorders>
            <w:noWrap w:val="0"/>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朝天区</w:t>
            </w:r>
          </w:p>
        </w:tc>
        <w:tc>
          <w:tcPr>
            <w:tcW w:w="1092"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0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27"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3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51"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21</w:t>
            </w:r>
          </w:p>
        </w:tc>
        <w:tc>
          <w:tcPr>
            <w:tcW w:w="1167"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43"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19</w:t>
            </w:r>
          </w:p>
        </w:tc>
        <w:tc>
          <w:tcPr>
            <w:tcW w:w="110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08"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12</w:t>
            </w:r>
          </w:p>
        </w:tc>
        <w:tc>
          <w:tcPr>
            <w:tcW w:w="1164"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r>
      <w:tr>
        <w:tblPrEx>
          <w:tblCellMar>
            <w:top w:w="0" w:type="dxa"/>
            <w:left w:w="108" w:type="dxa"/>
            <w:bottom w:w="0" w:type="dxa"/>
            <w:right w:w="108" w:type="dxa"/>
          </w:tblCellMar>
        </w:tblPrEx>
        <w:trPr>
          <w:trHeight w:val="336" w:hRule="atLeast"/>
        </w:trPr>
        <w:tc>
          <w:tcPr>
            <w:tcW w:w="704" w:type="dxa"/>
            <w:tcBorders>
              <w:top w:val="nil"/>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8</w:t>
            </w:r>
          </w:p>
        </w:tc>
        <w:tc>
          <w:tcPr>
            <w:tcW w:w="1376" w:type="dxa"/>
            <w:tcBorders>
              <w:top w:val="nil"/>
              <w:left w:val="nil"/>
              <w:bottom w:val="single" w:color="000000" w:sz="4" w:space="0"/>
              <w:right w:val="single" w:color="000000" w:sz="4" w:space="0"/>
            </w:tcBorders>
            <w:noWrap w:val="0"/>
            <w:vAlign w:val="center"/>
          </w:tcPr>
          <w:p>
            <w:pPr>
              <w:widowControl/>
              <w:spacing w:line="300" w:lineRule="exact"/>
              <w:jc w:val="center"/>
              <w:rPr>
                <w:rFonts w:hint="eastAsia" w:ascii="仿宋_GB2312" w:eastAsia="仿宋_GB2312" w:cs="仿宋_GB2312"/>
                <w:color w:val="000000"/>
                <w:spacing w:val="-8"/>
                <w:kern w:val="0"/>
                <w:sz w:val="24"/>
                <w:u w:val="none"/>
                <w:lang w:bidi="ar-SA"/>
              </w:rPr>
            </w:pPr>
            <w:r>
              <w:rPr>
                <w:rFonts w:hint="eastAsia" w:ascii="仿宋_GB2312" w:eastAsia="仿宋_GB2312" w:cs="仿宋_GB2312"/>
                <w:color w:val="000000"/>
                <w:spacing w:val="-8"/>
                <w:kern w:val="0"/>
                <w:sz w:val="24"/>
                <w:u w:val="none"/>
                <w:lang w:bidi="ar-SA"/>
              </w:rPr>
              <w:t>广元经济技术开发区</w:t>
            </w:r>
          </w:p>
        </w:tc>
        <w:tc>
          <w:tcPr>
            <w:tcW w:w="1092"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0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27"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2</w:t>
            </w:r>
          </w:p>
        </w:tc>
        <w:tc>
          <w:tcPr>
            <w:tcW w:w="113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51"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67"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43"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0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08"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64"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r>
      <w:tr>
        <w:tblPrEx>
          <w:tblCellMar>
            <w:top w:w="0" w:type="dxa"/>
            <w:left w:w="108" w:type="dxa"/>
            <w:bottom w:w="0" w:type="dxa"/>
            <w:right w:w="108" w:type="dxa"/>
          </w:tblCellMar>
        </w:tblPrEx>
        <w:trPr>
          <w:trHeight w:val="459" w:hRule="atLeast"/>
        </w:trPr>
        <w:tc>
          <w:tcPr>
            <w:tcW w:w="2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_GB2312" w:eastAsia="仿宋_GB2312" w:cs="仿宋_GB2312"/>
                <w:b w:val="0"/>
                <w:bCs/>
                <w:color w:val="000000"/>
                <w:kern w:val="0"/>
                <w:sz w:val="24"/>
                <w:u w:val="none"/>
                <w:lang w:bidi="ar-SA"/>
              </w:rPr>
            </w:pPr>
            <w:r>
              <w:rPr>
                <w:rFonts w:hint="eastAsia" w:ascii="仿宋_GB2312" w:eastAsia="仿宋_GB2312" w:cs="仿宋_GB2312"/>
                <w:b w:val="0"/>
                <w:bCs/>
                <w:color w:val="000000"/>
                <w:kern w:val="0"/>
                <w:sz w:val="24"/>
                <w:u w:val="none"/>
                <w:lang w:bidi="ar-SA"/>
              </w:rPr>
              <w:t>合计</w:t>
            </w:r>
          </w:p>
        </w:tc>
        <w:tc>
          <w:tcPr>
            <w:tcW w:w="1092" w:type="dxa"/>
            <w:tcBorders>
              <w:top w:val="nil"/>
              <w:left w:val="nil"/>
              <w:bottom w:val="single" w:color="000000" w:sz="4" w:space="0"/>
              <w:right w:val="single" w:color="000000" w:sz="4" w:space="0"/>
            </w:tcBorders>
            <w:noWrap/>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523</w:t>
            </w:r>
          </w:p>
        </w:tc>
        <w:tc>
          <w:tcPr>
            <w:tcW w:w="1105" w:type="dxa"/>
            <w:tcBorders>
              <w:top w:val="nil"/>
              <w:left w:val="nil"/>
              <w:bottom w:val="single" w:color="000000" w:sz="4" w:space="0"/>
              <w:right w:val="single" w:color="000000" w:sz="4" w:space="0"/>
            </w:tcBorders>
            <w:noWrap/>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27" w:type="dxa"/>
            <w:tcBorders>
              <w:top w:val="nil"/>
              <w:left w:val="nil"/>
              <w:bottom w:val="single" w:color="000000" w:sz="4" w:space="0"/>
              <w:right w:val="single" w:color="000000" w:sz="4" w:space="0"/>
            </w:tcBorders>
            <w:noWrap/>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116</w:t>
            </w:r>
          </w:p>
        </w:tc>
        <w:tc>
          <w:tcPr>
            <w:tcW w:w="1135" w:type="dxa"/>
            <w:tcBorders>
              <w:top w:val="nil"/>
              <w:left w:val="nil"/>
              <w:bottom w:val="single" w:color="000000" w:sz="4" w:space="0"/>
              <w:right w:val="single" w:color="000000" w:sz="4" w:space="0"/>
            </w:tcBorders>
            <w:noWrap/>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21</w:t>
            </w:r>
          </w:p>
        </w:tc>
        <w:tc>
          <w:tcPr>
            <w:tcW w:w="1151" w:type="dxa"/>
            <w:tcBorders>
              <w:top w:val="nil"/>
              <w:left w:val="nil"/>
              <w:bottom w:val="single" w:color="000000" w:sz="4" w:space="0"/>
              <w:right w:val="single" w:color="000000" w:sz="4" w:space="0"/>
            </w:tcBorders>
            <w:noWrap/>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80</w:t>
            </w:r>
          </w:p>
        </w:tc>
        <w:tc>
          <w:tcPr>
            <w:tcW w:w="1167" w:type="dxa"/>
            <w:tcBorders>
              <w:top w:val="nil"/>
              <w:left w:val="nil"/>
              <w:bottom w:val="single" w:color="000000" w:sz="4" w:space="0"/>
              <w:right w:val="single" w:color="000000" w:sz="4" w:space="0"/>
            </w:tcBorders>
            <w:noWrap/>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31</w:t>
            </w:r>
          </w:p>
        </w:tc>
        <w:tc>
          <w:tcPr>
            <w:tcW w:w="1143" w:type="dxa"/>
            <w:tcBorders>
              <w:top w:val="nil"/>
              <w:left w:val="nil"/>
              <w:bottom w:val="single" w:color="000000" w:sz="4" w:space="0"/>
              <w:right w:val="single" w:color="000000" w:sz="4" w:space="0"/>
            </w:tcBorders>
            <w:noWrap/>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70</w:t>
            </w:r>
          </w:p>
        </w:tc>
        <w:tc>
          <w:tcPr>
            <w:tcW w:w="1105" w:type="dxa"/>
            <w:tcBorders>
              <w:top w:val="nil"/>
              <w:left w:val="nil"/>
              <w:bottom w:val="single" w:color="000000" w:sz="4" w:space="0"/>
              <w:right w:val="single" w:color="000000" w:sz="4" w:space="0"/>
            </w:tcBorders>
            <w:noWrap/>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32</w:t>
            </w:r>
          </w:p>
        </w:tc>
        <w:tc>
          <w:tcPr>
            <w:tcW w:w="1108" w:type="dxa"/>
            <w:tcBorders>
              <w:top w:val="nil"/>
              <w:left w:val="nil"/>
              <w:bottom w:val="single" w:color="000000" w:sz="4" w:space="0"/>
              <w:right w:val="single" w:color="000000" w:sz="4" w:space="0"/>
            </w:tcBorders>
            <w:noWrap/>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50</w:t>
            </w:r>
          </w:p>
        </w:tc>
        <w:tc>
          <w:tcPr>
            <w:tcW w:w="1164" w:type="dxa"/>
            <w:tcBorders>
              <w:top w:val="nil"/>
              <w:left w:val="nil"/>
              <w:bottom w:val="single" w:color="000000" w:sz="4" w:space="0"/>
              <w:right w:val="single" w:color="000000" w:sz="4" w:space="0"/>
            </w:tcBorders>
            <w:noWrap/>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19</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Cs w:val="24"/>
        </w:rPr>
        <w:sectPr>
          <w:footerReference r:id="rId5" w:type="default"/>
          <w:pgSz w:w="16838" w:h="11906" w:orient="landscape"/>
          <w:pgMar w:top="1587" w:right="2098" w:bottom="1474" w:left="1984" w:header="851" w:footer="1134" w:gutter="0"/>
          <w:pgNumType w:fmt="decimal"/>
          <w:cols w:space="720" w:num="1"/>
          <w:docGrid w:type="lines" w:linePitch="312" w:charSpace="0"/>
        </w:sect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pBdr>
          <w:bottom w:val="single" w:color="auto" w:sz="4" w:space="1"/>
        </w:pBdr>
        <w:spacing w:line="440" w:lineRule="exact"/>
        <w:rPr>
          <w:rFonts w:ascii="方正小标宋_GBK" w:eastAsia="方正小标宋_GBK"/>
          <w:sz w:val="28"/>
          <w:szCs w:val="28"/>
        </w:rPr>
      </w:pPr>
      <w:r>
        <w:rPr>
          <w:rFonts w:hint="eastAsia" w:ascii="黑体" w:eastAsia="黑体"/>
          <w:sz w:val="28"/>
          <w:szCs w:val="28"/>
        </w:rPr>
        <w:t>信息公开选项：</w:t>
      </w:r>
      <w:r>
        <w:rPr>
          <w:rFonts w:hint="eastAsia" w:ascii="方正小标宋_GBK" w:eastAsia="方正小标宋_GBK"/>
          <w:sz w:val="28"/>
          <w:szCs w:val="28"/>
        </w:rPr>
        <w:t>主动公开</w:t>
      </w:r>
    </w:p>
    <w:p>
      <w:pPr>
        <w:pBdr>
          <w:bottom w:val="single" w:color="auto" w:sz="4" w:space="1"/>
        </w:pBdr>
        <w:spacing w:line="40" w:lineRule="exact"/>
        <w:rPr>
          <w:rFonts w:ascii="方正小标宋_GBK" w:eastAsia="方正小标宋_GBK"/>
          <w:sz w:val="28"/>
          <w:szCs w:val="28"/>
        </w:rPr>
      </w:pPr>
    </w:p>
    <w:p>
      <w:pPr>
        <w:pBdr>
          <w:bottom w:val="single" w:color="auto" w:sz="4" w:space="1"/>
        </w:pBdr>
        <w:spacing w:line="40" w:lineRule="exact"/>
        <w:rPr>
          <w:rFonts w:ascii="方正小标宋_GBK" w:eastAsia="方正小标宋_GBK"/>
          <w:sz w:val="28"/>
          <w:szCs w:val="28"/>
        </w:rPr>
      </w:pPr>
    </w:p>
    <w:p>
      <w:pPr>
        <w:pBdr>
          <w:bottom w:val="single" w:color="auto" w:sz="4" w:space="1"/>
        </w:pBdr>
        <w:spacing w:line="40" w:lineRule="exact"/>
        <w:rPr>
          <w:rFonts w:ascii="方正小标宋_GBK" w:eastAsia="方正小标宋_GBK"/>
          <w:sz w:val="28"/>
          <w:szCs w:val="28"/>
        </w:rPr>
      </w:pPr>
    </w:p>
    <w:p>
      <w:pPr>
        <w:widowControl/>
        <w:spacing w:line="440" w:lineRule="exact"/>
        <w:ind w:firstLine="280" w:firstLineChars="100"/>
        <w:jc w:val="left"/>
        <w:rPr>
          <w:rFonts w:ascii="仿宋_GB2312" w:hAnsi="宋体" w:eastAsia="仿宋_GB2312" w:cs="宋体"/>
          <w:spacing w:val="-4"/>
          <w:w w:val="96"/>
          <w:kern w:val="0"/>
          <w:sz w:val="28"/>
          <w:szCs w:val="28"/>
        </w:rPr>
      </w:pPr>
      <w:r>
        <w:rPr>
          <w:rFonts w:hint="eastAsia" w:ascii="仿宋_GB2312" w:eastAsia="仿宋_GB2312"/>
          <w:sz w:val="28"/>
          <w:szCs w:val="28"/>
        </w:rPr>
        <w:t>抄送：</w:t>
      </w:r>
      <w:r>
        <w:rPr>
          <w:rFonts w:hint="eastAsia" w:ascii="仿宋_GB2312" w:hAnsi="宋体" w:eastAsia="仿宋_GB2312" w:cs="宋体"/>
          <w:spacing w:val="-4"/>
          <w:w w:val="96"/>
          <w:kern w:val="0"/>
          <w:sz w:val="28"/>
          <w:szCs w:val="28"/>
        </w:rPr>
        <w:t>市委办公室，市人大常委会办公室，市政协办公室，市纪委监委机关，</w:t>
      </w:r>
    </w:p>
    <w:p>
      <w:pPr>
        <w:widowControl/>
        <w:spacing w:line="440" w:lineRule="exact"/>
        <w:ind w:firstLine="1120" w:firstLineChars="418"/>
        <w:jc w:val="left"/>
        <w:rPr>
          <w:rFonts w:ascii="仿宋_GB2312" w:eastAsia="仿宋_GB2312"/>
          <w:sz w:val="28"/>
          <w:szCs w:val="28"/>
        </w:rPr>
      </w:pPr>
      <w:r>
        <w:rPr>
          <w:rFonts w:hint="eastAsia" w:ascii="仿宋_GB2312" w:hAnsi="宋体" w:eastAsia="仿宋_GB2312" w:cs="宋体"/>
          <w:w w:val="96"/>
          <w:kern w:val="0"/>
          <w:sz w:val="28"/>
          <w:szCs w:val="28"/>
        </w:rPr>
        <w:t>市法院，市检察院，广元军分区。</w:t>
      </w:r>
    </w:p>
    <w:p>
      <w:pPr>
        <w:pBdr>
          <w:top w:val="single" w:color="auto" w:sz="4" w:space="1"/>
          <w:bottom w:val="single" w:color="auto" w:sz="4" w:space="1"/>
        </w:pBdr>
        <w:spacing w:line="440" w:lineRule="exact"/>
        <w:ind w:firstLine="280" w:firstLineChars="100"/>
        <w:rPr>
          <w:rFonts w:hint="eastAsia"/>
          <w:szCs w:val="24"/>
        </w:rPr>
      </w:pPr>
      <w:r>
        <w:rPr>
          <w:rFonts w:hint="eastAsia" w:ascii="仿宋_GB2312" w:eastAsia="仿宋_GB2312"/>
          <w:sz w:val="28"/>
          <w:szCs w:val="28"/>
        </w:rPr>
        <w:t>广元市人民政府办公室                    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4</w:t>
      </w:r>
      <w:r>
        <w:rPr>
          <w:rFonts w:hint="eastAsia" w:ascii="仿宋_GB2312" w:eastAsia="仿宋_GB2312"/>
          <w:sz w:val="28"/>
          <w:szCs w:val="28"/>
        </w:rPr>
        <w:t>月</w:t>
      </w:r>
      <w:r>
        <w:rPr>
          <w:rFonts w:hint="eastAsia" w:ascii="仿宋_GB2312" w:eastAsia="仿宋_GB2312"/>
          <w:sz w:val="28"/>
          <w:szCs w:val="28"/>
          <w:lang w:val="en-US" w:eastAsia="zh-CN"/>
        </w:rPr>
        <w:t>26</w:t>
      </w:r>
      <w:r>
        <w:rPr>
          <w:rFonts w:hint="eastAsia" w:ascii="仿宋_GB2312" w:eastAsia="仿宋_GB2312"/>
          <w:sz w:val="28"/>
          <w:szCs w:val="28"/>
        </w:rPr>
        <w:t>日印发</w:t>
      </w:r>
    </w:p>
    <w:sectPr>
      <w:pgSz w:w="11906" w:h="16838"/>
      <w:pgMar w:top="2098" w:right="1474" w:bottom="1984" w:left="1587" w:header="851" w:footer="1134" w:gutter="0"/>
      <w:pgNumType w:fmt="decimal"/>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jm9Gt4BAAC+AwAADgAAAGRycy9lMm9Eb2MueG1srVPNjtMwEL4j8Q6W&#10;7zTZSqy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wl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SOb0a3gEAAL4DAAAOAAAAAAAA&#10;AAEAIAAAAB4BAABkcnMvZTJvRG9jLnhtbFBLBQYAAAAABgAGAFkBAABuBQAAAAA=&#10;">
              <v:fill on="f" focussize="0,0"/>
              <v:stroke on="f"/>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200" cy="230505"/>
              <wp:effectExtent l="0" t="0" r="0" b="0"/>
              <wp:wrapNone/>
              <wp:docPr id="3" name="文本框 2"/>
              <wp:cNvGraphicFramePr/>
              <a:graphic xmlns:a="http://schemas.openxmlformats.org/drawingml/2006/main">
                <a:graphicData uri="http://schemas.microsoft.com/office/word/2010/wordprocessingShape">
                  <wps:wsp>
                    <wps:cNvSpPr txBox="1"/>
                    <wps:spPr>
                      <a:xfrm>
                        <a:off x="0" y="0"/>
                        <a:ext cx="711200" cy="230505"/>
                      </a:xfrm>
                      <a:prstGeom prst="rect">
                        <a:avLst/>
                      </a:prstGeom>
                      <a:noFill/>
                      <a:ln>
                        <a:noFill/>
                      </a:ln>
                    </wps:spPr>
                    <wps:txbx>
                      <w:txbxContent>
                        <w:p>
                          <w:pPr>
                            <w:pStyle w:val="8"/>
                            <w:rPr>
                              <w:rFonts w:hint="eastAsia" w:ascii="宋体" w:cs="宋体"/>
                              <w:sz w:val="28"/>
                              <w:szCs w:val="28"/>
                              <w:lang w:bidi="ar-SA"/>
                            </w:rPr>
                          </w:pPr>
                          <w:r>
                            <w:rPr>
                              <w:rFonts w:hint="eastAsia" w:ascii="宋体" w:cs="宋体"/>
                              <w:sz w:val="28"/>
                              <w:szCs w:val="28"/>
                              <w:lang w:bidi="ar-SA"/>
                            </w:rPr>
                            <w:t xml:space="preserve">— </w:t>
                          </w:r>
                          <w:r>
                            <w:rPr>
                              <w:rFonts w:hint="eastAsia" w:ascii="宋体" w:cs="宋体"/>
                              <w:sz w:val="28"/>
                              <w:szCs w:val="28"/>
                              <w:lang w:bidi="ar-SA"/>
                            </w:rPr>
                            <w:fldChar w:fldCharType="begin"/>
                          </w:r>
                          <w:r>
                            <w:rPr>
                              <w:rFonts w:hint="eastAsia" w:ascii="宋体" w:cs="宋体"/>
                              <w:sz w:val="28"/>
                              <w:szCs w:val="28"/>
                              <w:lang w:bidi="ar-SA"/>
                            </w:rPr>
                            <w:instrText xml:space="preserve"> PAGE  \* MERGEFORMAT </w:instrText>
                          </w:r>
                          <w:r>
                            <w:rPr>
                              <w:rFonts w:hint="eastAsia" w:ascii="宋体" w:cs="宋体"/>
                              <w:sz w:val="28"/>
                              <w:szCs w:val="28"/>
                              <w:lang w:bidi="ar-SA"/>
                            </w:rPr>
                            <w:fldChar w:fldCharType="separate"/>
                          </w:r>
                          <w:r>
                            <w:rPr>
                              <w:rFonts w:hint="eastAsia" w:ascii="宋体" w:cs="宋体"/>
                              <w:sz w:val="28"/>
                              <w:szCs w:val="28"/>
                              <w:lang w:bidi="ar-SA"/>
                            </w:rPr>
                            <w:t>23</w:t>
                          </w:r>
                          <w:r>
                            <w:rPr>
                              <w:rFonts w:hint="eastAsia" w:ascii="宋体" w:cs="宋体"/>
                              <w:sz w:val="28"/>
                              <w:szCs w:val="28"/>
                              <w:lang w:bidi="ar-SA"/>
                            </w:rPr>
                            <w:fldChar w:fldCharType="end"/>
                          </w:r>
                          <w:r>
                            <w:rPr>
                              <w:rFonts w:hint="eastAsia" w:ascii="宋体" w:cs="宋体"/>
                              <w:sz w:val="28"/>
                              <w:szCs w:val="28"/>
                              <w:lang w:bidi="ar-SA"/>
                            </w:rPr>
                            <w:t xml:space="preserve"> —</w:t>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8.15pt;width:56pt;mso-position-horizontal:outside;mso-position-horizontal-relative:margin;mso-wrap-style:none;z-index:251659264;mso-width-relative:page;mso-height-relative:page;" filled="f" stroked="f" coordsize="21600,21600" o:gfxdata="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hKo1zRAAAABAEAAA8AAAAA&#10;AAAAAQAgAAAAIgAAAGRycy9kb3ducmV2LnhtbFBLAQIUABQAAAAIAIdO4kCkxb9A4gEAALwDAAAO&#10;AAAAAAAAAAEAIAAAACABAABkcnMvZTJvRG9jLnhtbFBLBQYAAAAABgAGAFkBAAB0BQAAAAA=&#10;">
              <v:fill on="f" focussize="0,0"/>
              <v:stroke on="f"/>
              <v:imagedata o:title=""/>
              <o:lock v:ext="edit" aspectratio="f"/>
              <v:textbox inset="0mm,0mm,0mm,0mm" style="mso-fit-shape-to-text:t;">
                <w:txbxContent>
                  <w:p>
                    <w:pPr>
                      <w:pStyle w:val="8"/>
                      <w:rPr>
                        <w:rFonts w:hint="eastAsia" w:ascii="宋体" w:cs="宋体"/>
                        <w:sz w:val="28"/>
                        <w:szCs w:val="28"/>
                        <w:lang w:bidi="ar-SA"/>
                      </w:rPr>
                    </w:pPr>
                    <w:r>
                      <w:rPr>
                        <w:rFonts w:hint="eastAsia" w:ascii="宋体" w:cs="宋体"/>
                        <w:sz w:val="28"/>
                        <w:szCs w:val="28"/>
                        <w:lang w:bidi="ar-SA"/>
                      </w:rPr>
                      <w:t xml:space="preserve">— </w:t>
                    </w:r>
                    <w:r>
                      <w:rPr>
                        <w:rFonts w:hint="eastAsia" w:ascii="宋体" w:cs="宋体"/>
                        <w:sz w:val="28"/>
                        <w:szCs w:val="28"/>
                        <w:lang w:bidi="ar-SA"/>
                      </w:rPr>
                      <w:fldChar w:fldCharType="begin"/>
                    </w:r>
                    <w:r>
                      <w:rPr>
                        <w:rFonts w:hint="eastAsia" w:ascii="宋体" w:cs="宋体"/>
                        <w:sz w:val="28"/>
                        <w:szCs w:val="28"/>
                        <w:lang w:bidi="ar-SA"/>
                      </w:rPr>
                      <w:instrText xml:space="preserve"> PAGE  \* MERGEFORMAT </w:instrText>
                    </w:r>
                    <w:r>
                      <w:rPr>
                        <w:rFonts w:hint="eastAsia" w:ascii="宋体" w:cs="宋体"/>
                        <w:sz w:val="28"/>
                        <w:szCs w:val="28"/>
                        <w:lang w:bidi="ar-SA"/>
                      </w:rPr>
                      <w:fldChar w:fldCharType="separate"/>
                    </w:r>
                    <w:r>
                      <w:rPr>
                        <w:rFonts w:hint="eastAsia" w:ascii="宋体" w:cs="宋体"/>
                        <w:sz w:val="28"/>
                        <w:szCs w:val="28"/>
                        <w:lang w:bidi="ar-SA"/>
                      </w:rPr>
                      <w:t>23</w:t>
                    </w:r>
                    <w:r>
                      <w:rPr>
                        <w:rFonts w:hint="eastAsia" w:ascii="宋体" w:cs="宋体"/>
                        <w:sz w:val="28"/>
                        <w:szCs w:val="28"/>
                        <w:lang w:bidi="ar-SA"/>
                      </w:rPr>
                      <w:fldChar w:fldCharType="end"/>
                    </w:r>
                    <w:r>
                      <w:rPr>
                        <w:rFonts w:hint="eastAsia" w:ascii="宋体" w:cs="宋体"/>
                        <w:sz w:val="28"/>
                        <w:szCs w:val="28"/>
                        <w:lang w:bidi="ar-S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11200" cy="230505"/>
              <wp:effectExtent l="0" t="0" r="0" b="0"/>
              <wp:wrapNone/>
              <wp:docPr id="4" name="文本框 3"/>
              <wp:cNvGraphicFramePr/>
              <a:graphic xmlns:a="http://schemas.openxmlformats.org/drawingml/2006/main">
                <a:graphicData uri="http://schemas.microsoft.com/office/word/2010/wordprocessingShape">
                  <wps:wsp>
                    <wps:cNvSpPr txBox="1"/>
                    <wps:spPr>
                      <a:xfrm>
                        <a:off x="0" y="0"/>
                        <a:ext cx="711200" cy="230505"/>
                      </a:xfrm>
                      <a:prstGeom prst="rect">
                        <a:avLst/>
                      </a:prstGeom>
                      <a:noFill/>
                      <a:ln>
                        <a:noFill/>
                      </a:ln>
                    </wps:spPr>
                    <wps:txbx>
                      <w:txbxContent>
                        <w:p>
                          <w:pPr>
                            <w:pStyle w:val="8"/>
                            <w:rPr>
                              <w:rFonts w:hint="eastAsia" w:ascii="宋体" w:cs="宋体"/>
                              <w:sz w:val="28"/>
                              <w:szCs w:val="28"/>
                              <w:lang w:bidi="ar-SA"/>
                            </w:rPr>
                          </w:pPr>
                          <w:r>
                            <w:rPr>
                              <w:rFonts w:hint="eastAsia" w:ascii="宋体" w:cs="宋体"/>
                              <w:sz w:val="28"/>
                              <w:szCs w:val="28"/>
                              <w:lang w:bidi="ar-SA"/>
                            </w:rPr>
                            <w:t xml:space="preserve">— </w:t>
                          </w:r>
                          <w:r>
                            <w:rPr>
                              <w:rFonts w:hint="eastAsia" w:ascii="宋体" w:cs="宋体"/>
                              <w:sz w:val="28"/>
                              <w:szCs w:val="28"/>
                              <w:lang w:bidi="ar-SA"/>
                            </w:rPr>
                            <w:fldChar w:fldCharType="begin"/>
                          </w:r>
                          <w:r>
                            <w:rPr>
                              <w:rFonts w:hint="eastAsia" w:ascii="宋体" w:cs="宋体"/>
                              <w:sz w:val="28"/>
                              <w:szCs w:val="28"/>
                              <w:lang w:bidi="ar-SA"/>
                            </w:rPr>
                            <w:instrText xml:space="preserve"> PAGE  \* MERGEFORMAT </w:instrText>
                          </w:r>
                          <w:r>
                            <w:rPr>
                              <w:rFonts w:hint="eastAsia" w:ascii="宋体" w:cs="宋体"/>
                              <w:sz w:val="28"/>
                              <w:szCs w:val="28"/>
                              <w:lang w:bidi="ar-SA"/>
                            </w:rPr>
                            <w:fldChar w:fldCharType="separate"/>
                          </w:r>
                          <w:r>
                            <w:rPr>
                              <w:rFonts w:hint="eastAsia" w:ascii="宋体" w:cs="宋体"/>
                              <w:sz w:val="28"/>
                              <w:szCs w:val="28"/>
                              <w:lang w:bidi="ar-SA"/>
                            </w:rPr>
                            <w:t>32</w:t>
                          </w:r>
                          <w:r>
                            <w:rPr>
                              <w:rFonts w:hint="eastAsia" w:ascii="宋体" w:cs="宋体"/>
                              <w:sz w:val="28"/>
                              <w:szCs w:val="28"/>
                              <w:lang w:bidi="ar-SA"/>
                            </w:rPr>
                            <w:fldChar w:fldCharType="end"/>
                          </w:r>
                          <w:r>
                            <w:rPr>
                              <w:rFonts w:hint="eastAsia" w:ascii="宋体" w:cs="宋体"/>
                              <w:sz w:val="28"/>
                              <w:szCs w:val="28"/>
                              <w:lang w:bidi="ar-SA"/>
                            </w:rPr>
                            <w:t xml:space="preserve"> —</w:t>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8.15pt;width:56pt;mso-position-horizontal:outside;mso-position-horizontal-relative:margin;mso-wrap-style:none;z-index:251660288;mso-width-relative:page;mso-height-relative:page;" filled="f" stroked="f" coordsize="21600,21600" o:gfxdata="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hKo1zRAAAABAEAAA8AAAAA&#10;AAAAAQAgAAAAIgAAAGRycy9kb3ducmV2LnhtbFBLAQIUABQAAAAIAIdO4kBbrsdg4gEAALwDAAAO&#10;AAAAAAAAAAEAIAAAACABAABkcnMvZTJvRG9jLnhtbFBLBQYAAAAABgAGAFkBAAB0BQAAAAA=&#10;">
              <v:fill on="f" focussize="0,0"/>
              <v:stroke on="f"/>
              <v:imagedata o:title=""/>
              <o:lock v:ext="edit" aspectratio="f"/>
              <v:textbox inset="0mm,0mm,0mm,0mm" style="mso-fit-shape-to-text:t;">
                <w:txbxContent>
                  <w:p>
                    <w:pPr>
                      <w:pStyle w:val="8"/>
                      <w:rPr>
                        <w:rFonts w:hint="eastAsia" w:ascii="宋体" w:cs="宋体"/>
                        <w:sz w:val="28"/>
                        <w:szCs w:val="28"/>
                        <w:lang w:bidi="ar-SA"/>
                      </w:rPr>
                    </w:pPr>
                    <w:r>
                      <w:rPr>
                        <w:rFonts w:hint="eastAsia" w:ascii="宋体" w:cs="宋体"/>
                        <w:sz w:val="28"/>
                        <w:szCs w:val="28"/>
                        <w:lang w:bidi="ar-SA"/>
                      </w:rPr>
                      <w:t xml:space="preserve">— </w:t>
                    </w:r>
                    <w:r>
                      <w:rPr>
                        <w:rFonts w:hint="eastAsia" w:ascii="宋体" w:cs="宋体"/>
                        <w:sz w:val="28"/>
                        <w:szCs w:val="28"/>
                        <w:lang w:bidi="ar-SA"/>
                      </w:rPr>
                      <w:fldChar w:fldCharType="begin"/>
                    </w:r>
                    <w:r>
                      <w:rPr>
                        <w:rFonts w:hint="eastAsia" w:ascii="宋体" w:cs="宋体"/>
                        <w:sz w:val="28"/>
                        <w:szCs w:val="28"/>
                        <w:lang w:bidi="ar-SA"/>
                      </w:rPr>
                      <w:instrText xml:space="preserve"> PAGE  \* MERGEFORMAT </w:instrText>
                    </w:r>
                    <w:r>
                      <w:rPr>
                        <w:rFonts w:hint="eastAsia" w:ascii="宋体" w:cs="宋体"/>
                        <w:sz w:val="28"/>
                        <w:szCs w:val="28"/>
                        <w:lang w:bidi="ar-SA"/>
                      </w:rPr>
                      <w:fldChar w:fldCharType="separate"/>
                    </w:r>
                    <w:r>
                      <w:rPr>
                        <w:rFonts w:hint="eastAsia" w:ascii="宋体" w:cs="宋体"/>
                        <w:sz w:val="28"/>
                        <w:szCs w:val="28"/>
                        <w:lang w:bidi="ar-SA"/>
                      </w:rPr>
                      <w:t>32</w:t>
                    </w:r>
                    <w:r>
                      <w:rPr>
                        <w:rFonts w:hint="eastAsia" w:ascii="宋体" w:cs="宋体"/>
                        <w:sz w:val="28"/>
                        <w:szCs w:val="28"/>
                        <w:lang w:bidi="ar-SA"/>
                      </w:rPr>
                      <w:fldChar w:fldCharType="end"/>
                    </w:r>
                    <w:r>
                      <w:rPr>
                        <w:rFonts w:hint="eastAsia" w:ascii="宋体" w:cs="宋体"/>
                        <w:sz w:val="28"/>
                        <w:szCs w:val="28"/>
                        <w:lang w:bidi="ar-S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ZDA2MGU4N2VlZmI4NzQ3M2UxMTUzMTU3MDc4MmQifQ=="/>
  </w:docVars>
  <w:rsids>
    <w:rsidRoot w:val="00F92151"/>
    <w:rsid w:val="0838375B"/>
    <w:rsid w:val="1DC835BB"/>
    <w:rsid w:val="20C95DC3"/>
    <w:rsid w:val="2D5517BC"/>
    <w:rsid w:val="3F7A4EBC"/>
    <w:rsid w:val="54DC0352"/>
    <w:rsid w:val="619B2B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Cambria" w:hAnsi="Cambria"/>
      <w:b/>
      <w:bCs/>
      <w:sz w:val="32"/>
      <w:szCs w:val="32"/>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14">
    <w:name w:val="Default Paragraph Font"/>
    <w:autoRedefine/>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Document Map"/>
    <w:basedOn w:val="1"/>
    <w:autoRedefine/>
    <w:qFormat/>
    <w:uiPriority w:val="0"/>
    <w:pPr>
      <w:shd w:val="clear" w:color="auto" w:fill="000080"/>
    </w:pPr>
  </w:style>
  <w:style w:type="paragraph" w:styleId="6">
    <w:name w:val="Body Text Indent"/>
    <w:basedOn w:val="1"/>
    <w:autoRedefine/>
    <w:qFormat/>
    <w:uiPriority w:val="0"/>
    <w:pPr>
      <w:ind w:firstLine="200" w:firstLineChars="200"/>
    </w:pPr>
    <w:rPr>
      <w:kern w:val="0"/>
      <w:sz w:val="24"/>
    </w:rPr>
  </w:style>
  <w:style w:type="paragraph" w:styleId="7">
    <w:name w:val="Plain Text"/>
    <w:basedOn w:val="1"/>
    <w:autoRedefine/>
    <w:qFormat/>
    <w:uiPriority w:val="0"/>
    <w:rPr>
      <w:rFonts w:ascii="宋体" w:cs="宋体"/>
      <w:szCs w:val="21"/>
      <w:lang w:bidi="ar-SA"/>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0"/>
    <w:pPr>
      <w:tabs>
        <w:tab w:val="right" w:leader="dot" w:pos="8834"/>
      </w:tabs>
      <w:jc w:val="center"/>
    </w:pPr>
    <w:rPr>
      <w:rFonts w:ascii="Calibri" w:hAnsi="Calibri" w:eastAsia="黑体"/>
      <w:sz w:val="36"/>
      <w:szCs w:val="21"/>
    </w:rPr>
  </w:style>
  <w:style w:type="paragraph" w:styleId="11">
    <w:name w:val="toc 2"/>
    <w:basedOn w:val="1"/>
    <w:next w:val="1"/>
    <w:uiPriority w:val="0"/>
    <w:pPr>
      <w:ind w:left="200" w:leftChars="200"/>
    </w:pPr>
    <w:rPr>
      <w:rFonts w:ascii="Calibri" w:hAnsi="Calibri"/>
      <w:szCs w:val="21"/>
    </w:rPr>
  </w:style>
  <w:style w:type="paragraph" w:styleId="12">
    <w:name w:val="Body Text First Indent 2"/>
    <w:basedOn w:val="6"/>
    <w:next w:val="1"/>
    <w:autoRedefine/>
    <w:qFormat/>
    <w:uiPriority w:val="0"/>
    <w:pPr>
      <w:spacing w:after="120"/>
      <w:ind w:left="200" w:leftChars="200" w:firstLine="200" w:firstLineChars="200"/>
    </w:pPr>
    <w:rPr>
      <w:rFonts w:ascii="Times New Roman" w:hAnsi="Times New Roman"/>
      <w:color w:val="auto"/>
      <w:sz w:val="21"/>
      <w:szCs w:val="24"/>
    </w:rPr>
  </w:style>
  <w:style w:type="paragraph" w:customStyle="1" w:styleId="15">
    <w:name w:val="TOC 标题1"/>
    <w:basedOn w:val="2"/>
    <w:next w:val="1"/>
    <w:autoRedefine/>
    <w:qFormat/>
    <w:uiPriority w:val="0"/>
    <w:pPr>
      <w:keepNext/>
      <w:keepLines/>
      <w:widowControl/>
      <w:spacing w:before="240" w:after="0" w:line="259" w:lineRule="auto"/>
      <w:jc w:val="left"/>
      <w:outlineLvl w:val="9"/>
    </w:pPr>
    <w:rPr>
      <w:rFonts w:ascii="Cambria" w:hAnsi="Cambria" w:eastAsia="宋体" w:cs="Times New Roman"/>
      <w:b w:val="0"/>
      <w:bCs w:val="0"/>
      <w:color w:val="366091"/>
      <w:kern w:val="0"/>
      <w:sz w:val="32"/>
      <w:szCs w:val="32"/>
      <w:lang w:bidi="ar-SA"/>
    </w:rPr>
  </w:style>
  <w:style w:type="paragraph" w:customStyle="1" w:styleId="16">
    <w:name w:val="正 文"/>
    <w:basedOn w:val="1"/>
    <w:autoRedefine/>
    <w:qFormat/>
    <w:uiPriority w:val="0"/>
    <w:pPr>
      <w:spacing w:after="160"/>
    </w:pPr>
    <w:rPr>
      <w:rFonts w:ascii="宋体" w:hAnsi="宋体" w:eastAsia="仿宋_GB231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30</Pages>
  <Words>12985</Words>
  <Characters>13531</Characters>
  <TotalTime>9</TotalTime>
  <ScaleCrop>false</ScaleCrop>
  <LinksUpToDate>false</LinksUpToDate>
  <CharactersWithSpaces>13801</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2015-08-27T08:15:00Z</dcterms:created>
  <dc:creator>USER</dc:creator>
  <cp:lastModifiedBy>snyqq</cp:lastModifiedBy>
  <cp:lastPrinted>2024-04-28T09:29:00Z</cp:lastPrinted>
  <dcterms:modified xsi:type="dcterms:W3CDTF">2024-06-11T00:56:08Z</dcterms:modified>
  <dc:title>JBS00A01201A                                                    编号：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416E7352BD5C4C0DBEB82D921DEBAA56_13</vt:lpwstr>
  </property>
</Properties>
</file>