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rPr>
          <w:rFonts w:hint="eastAsia" w:ascii="黑体" w:eastAsia="黑体"/>
          <w:bCs/>
          <w:kern w:val="2"/>
          <w:sz w:val="32"/>
          <w:szCs w:val="32"/>
        </w:rPr>
      </w:pPr>
      <w:r>
        <w:rPr>
          <w:rFonts w:hint="eastAsia" w:ascii="黑体" w:eastAsia="黑体"/>
          <w:bCs/>
          <w:kern w:val="2"/>
          <w:sz w:val="32"/>
          <w:szCs w:val="32"/>
        </w:rPr>
        <w:t xml:space="preserve">附件3 </w:t>
      </w:r>
    </w:p>
    <w:p>
      <w:pPr>
        <w:spacing w:line="560" w:lineRule="exact"/>
        <w:rPr>
          <w:rFonts w:hint="eastAsia" w:ascii="方正黑体简体" w:eastAsia="方正黑体简体" w:cs="方正黑体简体"/>
          <w:bCs/>
          <w:sz w:val="32"/>
          <w:szCs w:val="32"/>
          <w:lang w:bidi="ar-SA"/>
        </w:rPr>
      </w:pPr>
    </w:p>
    <w:p>
      <w:pPr>
        <w:spacing w:line="560" w:lineRule="exact"/>
        <w:jc w:val="center"/>
        <w:rPr>
          <w:rFonts w:eastAsia="方正小标宋简体" w:cs="Times New Roman"/>
          <w:bCs/>
          <w:sz w:val="44"/>
          <w:szCs w:val="44"/>
          <w:lang w:bidi="ar-SA"/>
        </w:rPr>
      </w:pPr>
      <w:r>
        <w:rPr>
          <w:rFonts w:hint="eastAsia" w:eastAsia="方正小标宋简体" w:cs="Times New Roman"/>
          <w:bCs/>
          <w:sz w:val="44"/>
          <w:szCs w:val="44"/>
          <w:lang w:bidi="ar-SA"/>
        </w:rPr>
        <w:t>广元市</w:t>
      </w:r>
      <w:r>
        <w:rPr>
          <w:rFonts w:eastAsia="方正小标宋简体" w:cs="Times New Roman"/>
          <w:bCs/>
          <w:sz w:val="44"/>
          <w:szCs w:val="44"/>
          <w:lang w:bidi="ar-SA"/>
        </w:rPr>
        <w:t>生态环境准入总体要求</w:t>
      </w:r>
    </w:p>
    <w:p>
      <w:pPr>
        <w:spacing w:line="560" w:lineRule="exact"/>
        <w:jc w:val="center"/>
        <w:rPr>
          <w:rFonts w:eastAsia="方正仿宋简体"/>
          <w:bCs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行政区</w:t>
            </w:r>
          </w:p>
        </w:tc>
        <w:tc>
          <w:tcPr>
            <w:tcW w:w="7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生态环境</w:t>
            </w:r>
            <w:r>
              <w:rPr>
                <w:rFonts w:hint="eastAsia" w:ascii="黑体" w:eastAsia="黑体"/>
                <w:b w:val="0"/>
                <w:kern w:val="0"/>
                <w:sz w:val="28"/>
                <w:szCs w:val="28"/>
              </w:rPr>
              <w:t>准入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总体</w:t>
            </w:r>
            <w:r>
              <w:rPr>
                <w:rFonts w:hint="eastAsia" w:ascii="黑体" w:eastAsia="黑体"/>
                <w:b w:val="0"/>
                <w:kern w:val="0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6" w:hRule="atLeast"/>
        </w:trPr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广元市</w:t>
            </w:r>
          </w:p>
        </w:tc>
        <w:tc>
          <w:tcPr>
            <w:tcW w:w="79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1.长江干支流岸线一公里范围内不得新建、扩建化工园区和化工项目。长江干流岸线三公里范围内和重要支流岸线一公里范围内不得新建、改建、扩建尾矿库。以提升安全、生态环境保护水平为目的的改建除外。</w:t>
            </w: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2.落实《长江流域重点水域禁捕和建立补偿制度实施方案》，长江流域重点水域常年禁捕。</w:t>
            </w: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3.结合地区资源环境禀赋，合理布局承接产业，加强环保基础设施建设，确保环境质量不降低。承接钢铁、电解铝等产业转移地区应严格落实生态环境分区管控要求，将环境质量底线作为硬约束。</w:t>
            </w: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4.大熊猫国家公园严格按照《大熊猫国家公园总体规划（2023—2030年）》要求进行保护、管理。</w:t>
            </w: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5.加强与嘉陵江上游甘肃陇南市、陕西汉中市环境风险联防联控。</w:t>
            </w: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6.深化成都平原、川南、川东北地区大气污染联防联控工作机制，加强川渝地区联防联控。强化重污染天气区域应急联动机制，深化区域重污染天气联合应对。</w:t>
            </w: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7.结合区域生态环境质量现状，合理布局电解铝、再生铝产业。</w:t>
            </w:r>
          </w:p>
          <w:p>
            <w:pPr>
              <w:adjustRightInd w:val="0"/>
              <w:snapToGrid w:val="0"/>
              <w:spacing w:line="380" w:lineRule="exact"/>
              <w:rPr>
                <w:rFonts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8.加强对古树名木保护，自然保护地范围内的古树名木严格落实《四川省自然保护区管理条例》《四川省古树名木保护条例》《广元市剑门蜀道保护条例》《剑阁县翠云廊古柏自然保护区管理办法》等相关保护要求，自然保护地以外的古树名木保护同样严格落实《四川省古树名木保护条例》《进一步全面加强古柏安全防范十九条措施》等相关要求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ZDA2MGU4N2VlZmI4NzQ3M2UxMTUzMTU3MDc4MmQifQ=="/>
  </w:docVars>
  <w:rsids>
    <w:rsidRoot w:val="00000000"/>
    <w:rsid w:val="602D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snyqq</cp:lastModifiedBy>
  <dcterms:modified xsi:type="dcterms:W3CDTF">2024-11-12T11:19:28Z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8960921C836B4BDF892456C925C13314_12</vt:lpwstr>
  </property>
</Properties>
</file>