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ascii="黑体" w:hAnsi="黑体" w:eastAsia="黑体" w:cs="Times New Roman"/>
          <w:color w:val="000000"/>
          <w:sz w:val="52"/>
          <w:szCs w:val="52"/>
        </w:rPr>
      </w:pPr>
      <w:bookmarkStart w:id="0" w:name="_Toc82767003"/>
      <w:bookmarkStart w:id="1" w:name="_Toc15396599"/>
      <w:bookmarkStart w:id="2" w:name="_Toc15377196"/>
    </w:p>
    <w:p>
      <w:pPr>
        <w:adjustRightInd w:val="0"/>
        <w:snapToGrid w:val="0"/>
        <w:spacing w:line="360" w:lineRule="auto"/>
        <w:jc w:val="center"/>
        <w:outlineLvl w:val="0"/>
        <w:rPr>
          <w:rFonts w:ascii="黑体" w:hAnsi="黑体" w:eastAsia="黑体" w:cs="Times New Roman"/>
          <w:color w:val="000000"/>
          <w:sz w:val="52"/>
          <w:szCs w:val="52"/>
        </w:rPr>
      </w:pPr>
    </w:p>
    <w:p>
      <w:pPr>
        <w:adjustRightInd w:val="0"/>
        <w:snapToGrid w:val="0"/>
        <w:spacing w:line="360" w:lineRule="auto"/>
        <w:jc w:val="center"/>
        <w:outlineLvl w:val="0"/>
        <w:rPr>
          <w:rFonts w:ascii="黑体" w:hAnsi="黑体" w:eastAsia="黑体" w:cs="Times New Roman"/>
          <w:color w:val="000000"/>
          <w:sz w:val="52"/>
          <w:szCs w:val="52"/>
        </w:rPr>
      </w:pPr>
    </w:p>
    <w:p>
      <w:pPr>
        <w:adjustRightInd w:val="0"/>
        <w:snapToGrid w:val="0"/>
        <w:spacing w:line="360" w:lineRule="auto"/>
        <w:jc w:val="center"/>
        <w:outlineLvl w:val="0"/>
        <w:rPr>
          <w:rFonts w:ascii="黑体" w:hAnsi="黑体" w:eastAsia="黑体" w:cs="Times New Roman"/>
          <w:color w:val="000000"/>
          <w:sz w:val="52"/>
          <w:szCs w:val="52"/>
        </w:rPr>
      </w:pPr>
      <w:r>
        <w:rPr>
          <w:rFonts w:hint="eastAsia" w:ascii="黑体" w:hAnsi="黑体" w:eastAsia="黑体" w:cs="Times New Roman"/>
          <w:color w:val="000000"/>
          <w:sz w:val="52"/>
          <w:szCs w:val="52"/>
        </w:rPr>
        <w:t>四川省广元市职业高级中学校</w:t>
      </w:r>
    </w:p>
    <w:p>
      <w:pPr>
        <w:jc w:val="center"/>
      </w:pPr>
      <w:r>
        <w:rPr>
          <w:rFonts w:ascii="黑体" w:hAnsi="黑体" w:eastAsia="黑体" w:cs="Times New Roman"/>
          <w:color w:val="000000"/>
          <w:sz w:val="72"/>
          <w:szCs w:val="72"/>
        </w:rPr>
        <w:t>2020</w:t>
      </w:r>
      <w:r>
        <w:rPr>
          <w:rFonts w:hint="eastAsia" w:ascii="方正小标宋简体" w:hAnsi="宋体" w:eastAsia="方正小标宋简体" w:cs="Times New Roman"/>
          <w:color w:val="000000"/>
          <w:sz w:val="72"/>
          <w:szCs w:val="72"/>
        </w:rPr>
        <w:t>年度</w:t>
      </w:r>
      <w:bookmarkStart w:id="3" w:name="_Toc15377194"/>
      <w:bookmarkStart w:id="4" w:name="_Toc15377426"/>
      <w:bookmarkStart w:id="5" w:name="_Toc15378442"/>
      <w:bookmarkStart w:id="6" w:name="_Toc15396476"/>
      <w:bookmarkStart w:id="7" w:name="_Toc15306268"/>
      <w:bookmarkStart w:id="8" w:name="_Toc15396598"/>
      <w:r>
        <w:rPr>
          <w:rFonts w:hint="eastAsia" w:ascii="黑体" w:hAnsi="黑体" w:eastAsia="黑体" w:cs="Times New Roman"/>
          <w:color w:val="000000"/>
          <w:sz w:val="72"/>
          <w:szCs w:val="72"/>
        </w:rPr>
        <w:t>部门决算</w:t>
      </w:r>
      <w:bookmarkEnd w:id="3"/>
      <w:bookmarkEnd w:id="4"/>
      <w:bookmarkEnd w:id="5"/>
      <w:bookmarkEnd w:id="6"/>
      <w:bookmarkEnd w:id="7"/>
      <w:bookmarkEnd w:id="8"/>
    </w:p>
    <w:p>
      <w:pPr>
        <w:pStyle w:val="9"/>
        <w:sectPr>
          <w:footerReference r:id="rId3" w:type="default"/>
          <w:pgSz w:w="11906" w:h="16838"/>
          <w:pgMar w:top="1440" w:right="1800" w:bottom="1440" w:left="1800" w:header="851" w:footer="992" w:gutter="0"/>
          <w:pgNumType w:start="1"/>
          <w:cols w:space="425" w:num="1"/>
          <w:titlePg/>
          <w:docGrid w:type="lines" w:linePitch="312" w:charSpace="0"/>
        </w:sectPr>
      </w:pPr>
    </w:p>
    <w:p>
      <w:pPr>
        <w:pStyle w:val="9"/>
        <w:rPr>
          <w:sz w:val="32"/>
          <w:szCs w:val="32"/>
        </w:rPr>
      </w:pPr>
      <w:r>
        <w:rPr>
          <w:rFonts w:hint="eastAsia"/>
          <w:sz w:val="32"/>
          <w:szCs w:val="32"/>
        </w:rPr>
        <w:t>目 录</w:t>
      </w:r>
    </w:p>
    <w:p>
      <w:pPr>
        <w:pStyle w:val="9"/>
      </w:pPr>
      <w:r>
        <w:fldChar w:fldCharType="begin"/>
      </w:r>
      <w:r>
        <w:instrText xml:space="preserve"> TOC \o "1-2" \h \z \u </w:instrText>
      </w:r>
      <w:r>
        <w:fldChar w:fldCharType="separate"/>
      </w:r>
      <w:r>
        <w:fldChar w:fldCharType="begin"/>
      </w:r>
      <w:r>
        <w:instrText xml:space="preserve"> HYPERLINK \l "_Toc82767832" </w:instrText>
      </w:r>
      <w:r>
        <w:fldChar w:fldCharType="separate"/>
      </w:r>
      <w:r>
        <w:rPr>
          <w:rStyle w:val="14"/>
          <w:rFonts w:hint="eastAsia"/>
        </w:rPr>
        <w:t>第一部分</w:t>
      </w:r>
      <w:r>
        <w:rPr>
          <w:rStyle w:val="14"/>
        </w:rPr>
        <w:t xml:space="preserve"> </w:t>
      </w:r>
      <w:r>
        <w:rPr>
          <w:rStyle w:val="14"/>
          <w:rFonts w:hint="eastAsia"/>
        </w:rPr>
        <w:t>部门概况</w:t>
      </w:r>
      <w:r>
        <w:tab/>
      </w:r>
      <w:r>
        <w:rPr>
          <w:rFonts w:hint="eastAsia"/>
        </w:rPr>
        <w:t>1</w:t>
      </w:r>
      <w:r>
        <w:rPr>
          <w:rFonts w:hint="eastAsia"/>
        </w:rPr>
        <w:fldChar w:fldCharType="end"/>
      </w:r>
    </w:p>
    <w:p>
      <w:pPr>
        <w:pStyle w:val="10"/>
        <w:tabs>
          <w:tab w:val="right" w:leader="dot" w:pos="8296"/>
        </w:tabs>
      </w:pPr>
      <w:r>
        <w:fldChar w:fldCharType="begin"/>
      </w:r>
      <w:r>
        <w:instrText xml:space="preserve"> HYPERLINK \l "_Toc82767833" </w:instrText>
      </w:r>
      <w:r>
        <w:fldChar w:fldCharType="separate"/>
      </w:r>
      <w:r>
        <w:rPr>
          <w:rStyle w:val="14"/>
          <w:rFonts w:hint="eastAsia"/>
        </w:rPr>
        <w:t>一、基本职能及主要工作</w:t>
      </w:r>
      <w:r>
        <w:tab/>
      </w:r>
      <w:r>
        <w:fldChar w:fldCharType="begin"/>
      </w:r>
      <w:r>
        <w:instrText xml:space="preserve"> PAGEREF _Toc82767833 \h </w:instrText>
      </w:r>
      <w:r>
        <w:fldChar w:fldCharType="separate"/>
      </w:r>
      <w:r>
        <w:t>1</w:t>
      </w:r>
      <w:r>
        <w:fldChar w:fldCharType="end"/>
      </w:r>
      <w:r>
        <w:fldChar w:fldCharType="end"/>
      </w:r>
    </w:p>
    <w:p>
      <w:pPr>
        <w:pStyle w:val="10"/>
        <w:tabs>
          <w:tab w:val="right" w:leader="dot" w:pos="8296"/>
        </w:tabs>
      </w:pPr>
      <w:r>
        <w:fldChar w:fldCharType="begin"/>
      </w:r>
      <w:r>
        <w:instrText xml:space="preserve"> HYPERLINK \l "_Toc82767834" </w:instrText>
      </w:r>
      <w:r>
        <w:fldChar w:fldCharType="separate"/>
      </w:r>
      <w:r>
        <w:rPr>
          <w:rStyle w:val="14"/>
          <w:rFonts w:hint="eastAsia"/>
        </w:rPr>
        <w:t>二、机构设置</w:t>
      </w:r>
      <w:r>
        <w:tab/>
      </w:r>
      <w:r>
        <w:rPr>
          <w:rFonts w:hint="eastAsia"/>
          <w:lang w:val="en-US" w:eastAsia="zh-CN"/>
        </w:rPr>
        <w:t>7</w:t>
      </w:r>
      <w:r>
        <w:rPr>
          <w:rFonts w:hint="eastAsia"/>
        </w:rPr>
        <w:fldChar w:fldCharType="end"/>
      </w:r>
    </w:p>
    <w:p>
      <w:pPr>
        <w:pStyle w:val="9"/>
        <w:jc w:val="both"/>
      </w:pPr>
      <w:r>
        <w:fldChar w:fldCharType="begin"/>
      </w:r>
      <w:r>
        <w:instrText xml:space="preserve"> HYPERLINK \l "_Toc82767835" </w:instrText>
      </w:r>
      <w:r>
        <w:fldChar w:fldCharType="separate"/>
      </w:r>
      <w:r>
        <w:rPr>
          <w:rStyle w:val="14"/>
          <w:rFonts w:hint="eastAsia"/>
        </w:rPr>
        <w:t>第二部分</w:t>
      </w:r>
      <w:r>
        <w:rPr>
          <w:rStyle w:val="14"/>
        </w:rPr>
        <w:t xml:space="preserve"> 2020</w:t>
      </w:r>
      <w:r>
        <w:rPr>
          <w:rStyle w:val="14"/>
          <w:rFonts w:hint="eastAsia"/>
        </w:rPr>
        <w:t>年度部门决算情况说明</w:t>
      </w:r>
      <w:r>
        <w:tab/>
      </w:r>
      <w:r>
        <w:rPr>
          <w:rFonts w:hint="eastAsia"/>
        </w:rPr>
        <w:t>7</w:t>
      </w:r>
      <w:r>
        <w:rPr>
          <w:rFonts w:hint="eastAsia"/>
        </w:rPr>
        <w:fldChar w:fldCharType="end"/>
      </w:r>
    </w:p>
    <w:p>
      <w:pPr>
        <w:pStyle w:val="10"/>
        <w:tabs>
          <w:tab w:val="right" w:leader="dot" w:pos="8296"/>
        </w:tabs>
      </w:pPr>
      <w:r>
        <w:fldChar w:fldCharType="begin"/>
      </w:r>
      <w:r>
        <w:instrText xml:space="preserve"> HYPERLINK \l "_Toc82767836" </w:instrText>
      </w:r>
      <w:r>
        <w:fldChar w:fldCharType="separate"/>
      </w:r>
      <w:r>
        <w:rPr>
          <w:rStyle w:val="14"/>
          <w:rFonts w:hint="eastAsia"/>
        </w:rPr>
        <w:t xml:space="preserve">一、收入支出决算总体情况说明 </w:t>
      </w:r>
      <w:r>
        <w:tab/>
      </w:r>
      <w:r>
        <w:rPr>
          <w:rFonts w:hint="eastAsia"/>
        </w:rPr>
        <w:t>7</w:t>
      </w:r>
      <w:r>
        <w:rPr>
          <w:rFonts w:hint="eastAsia"/>
        </w:rPr>
        <w:fldChar w:fldCharType="end"/>
      </w:r>
    </w:p>
    <w:p>
      <w:pPr>
        <w:pStyle w:val="10"/>
        <w:tabs>
          <w:tab w:val="right" w:leader="dot" w:pos="8296"/>
        </w:tabs>
      </w:pPr>
      <w:r>
        <w:fldChar w:fldCharType="begin"/>
      </w:r>
      <w:r>
        <w:instrText xml:space="preserve"> HYPERLINK \l "_Toc82767837" </w:instrText>
      </w:r>
      <w:r>
        <w:fldChar w:fldCharType="separate"/>
      </w:r>
      <w:r>
        <w:rPr>
          <w:rStyle w:val="14"/>
          <w:rFonts w:hint="eastAsia"/>
        </w:rPr>
        <w:t>二、收入决算情况说明</w:t>
      </w:r>
      <w:r>
        <w:tab/>
      </w:r>
      <w:r>
        <w:rPr>
          <w:rFonts w:hint="eastAsia"/>
        </w:rPr>
        <w:t>7</w:t>
      </w:r>
      <w:r>
        <w:rPr>
          <w:rFonts w:hint="eastAsia"/>
        </w:rPr>
        <w:fldChar w:fldCharType="end"/>
      </w:r>
    </w:p>
    <w:p>
      <w:pPr>
        <w:pStyle w:val="10"/>
        <w:tabs>
          <w:tab w:val="right" w:leader="dot" w:pos="8296"/>
        </w:tabs>
      </w:pPr>
      <w:r>
        <w:fldChar w:fldCharType="begin"/>
      </w:r>
      <w:r>
        <w:instrText xml:space="preserve"> HYPERLINK \l "_Toc82767839" </w:instrText>
      </w:r>
      <w:r>
        <w:fldChar w:fldCharType="separate"/>
      </w:r>
      <w:r>
        <w:rPr>
          <w:rStyle w:val="14"/>
          <w:rFonts w:hint="eastAsia"/>
        </w:rPr>
        <w:t>三、支出决算情况说明</w:t>
      </w:r>
      <w:r>
        <w:tab/>
      </w:r>
      <w:r>
        <w:rPr>
          <w:rFonts w:hint="eastAsia"/>
        </w:rPr>
        <w:t>8</w:t>
      </w:r>
      <w:r>
        <w:rPr>
          <w:rFonts w:hint="eastAsia"/>
        </w:rPr>
        <w:fldChar w:fldCharType="end"/>
      </w:r>
    </w:p>
    <w:p>
      <w:pPr>
        <w:pStyle w:val="10"/>
        <w:tabs>
          <w:tab w:val="right" w:leader="dot" w:pos="8296"/>
        </w:tabs>
      </w:pPr>
      <w:r>
        <w:fldChar w:fldCharType="begin"/>
      </w:r>
      <w:r>
        <w:instrText xml:space="preserve"> HYPERLINK \l "_Toc82767841" </w:instrText>
      </w:r>
      <w:r>
        <w:fldChar w:fldCharType="separate"/>
      </w:r>
      <w:r>
        <w:rPr>
          <w:rStyle w:val="14"/>
          <w:rFonts w:hint="eastAsia"/>
        </w:rPr>
        <w:t>四、财政拨款收入支出决算总体情况说明</w:t>
      </w:r>
      <w:r>
        <w:tab/>
      </w:r>
      <w:r>
        <w:rPr>
          <w:rFonts w:hint="eastAsia"/>
        </w:rPr>
        <w:t>8</w:t>
      </w:r>
      <w:r>
        <w:rPr>
          <w:rFonts w:hint="eastAsia"/>
        </w:rPr>
        <w:fldChar w:fldCharType="end"/>
      </w:r>
    </w:p>
    <w:p>
      <w:pPr>
        <w:pStyle w:val="10"/>
        <w:tabs>
          <w:tab w:val="right" w:leader="dot" w:pos="8296"/>
        </w:tabs>
      </w:pPr>
      <w:r>
        <w:fldChar w:fldCharType="begin"/>
      </w:r>
      <w:r>
        <w:instrText xml:space="preserve"> HYPERLINK \l "_Toc82767842" </w:instrText>
      </w:r>
      <w:r>
        <w:fldChar w:fldCharType="separate"/>
      </w:r>
      <w:r>
        <w:rPr>
          <w:rStyle w:val="14"/>
          <w:rFonts w:hint="eastAsia"/>
        </w:rPr>
        <w:t>五、一般公共预算财政拨款支出决算情况说明</w:t>
      </w:r>
      <w:r>
        <w:tab/>
      </w:r>
      <w:r>
        <w:fldChar w:fldCharType="begin"/>
      </w:r>
      <w:r>
        <w:instrText xml:space="preserve"> PAGEREF _Toc82767842 \h </w:instrText>
      </w:r>
      <w:r>
        <w:fldChar w:fldCharType="separate"/>
      </w:r>
      <w:r>
        <w:t>9</w:t>
      </w:r>
      <w:r>
        <w:fldChar w:fldCharType="end"/>
      </w:r>
      <w:r>
        <w:fldChar w:fldCharType="end"/>
      </w:r>
    </w:p>
    <w:p>
      <w:pPr>
        <w:pStyle w:val="10"/>
        <w:tabs>
          <w:tab w:val="right" w:leader="dot" w:pos="8296"/>
        </w:tabs>
      </w:pPr>
      <w:r>
        <w:fldChar w:fldCharType="begin"/>
      </w:r>
      <w:r>
        <w:instrText xml:space="preserve"> HYPERLINK \l "_Toc82767843" </w:instrText>
      </w:r>
      <w:r>
        <w:fldChar w:fldCharType="separate"/>
      </w:r>
      <w:r>
        <w:rPr>
          <w:rStyle w:val="14"/>
          <w:rFonts w:hint="eastAsia" w:hAnsi="Times New Roman"/>
        </w:rPr>
        <w:t>六、</w:t>
      </w:r>
      <w:r>
        <w:rPr>
          <w:rStyle w:val="14"/>
          <w:rFonts w:hint="eastAsia"/>
        </w:rPr>
        <w:t>一般公共预算财政拨款基本支出决算情况说明</w:t>
      </w:r>
      <w:r>
        <w:tab/>
      </w:r>
      <w:r>
        <w:rPr>
          <w:rFonts w:hint="eastAsia"/>
        </w:rPr>
        <w:t>1</w:t>
      </w:r>
      <w:r>
        <w:rPr>
          <w:rFonts w:hint="eastAsia"/>
        </w:rPr>
        <w:fldChar w:fldCharType="end"/>
      </w:r>
      <w:r>
        <w:rPr>
          <w:rFonts w:hint="eastAsia"/>
        </w:rPr>
        <w:t>1</w:t>
      </w:r>
    </w:p>
    <w:p>
      <w:pPr>
        <w:pStyle w:val="10"/>
        <w:tabs>
          <w:tab w:val="right" w:leader="dot" w:pos="8296"/>
        </w:tabs>
      </w:pPr>
      <w:r>
        <w:fldChar w:fldCharType="begin"/>
      </w:r>
      <w:r>
        <w:instrText xml:space="preserve"> HYPERLINK \l "_Toc82767844" </w:instrText>
      </w:r>
      <w:r>
        <w:fldChar w:fldCharType="separate"/>
      </w:r>
      <w:r>
        <w:rPr>
          <w:rStyle w:val="14"/>
          <w:rFonts w:hint="eastAsia" w:hAnsi="Times New Roman"/>
        </w:rPr>
        <w:t>七、</w:t>
      </w:r>
      <w:r>
        <w:rPr>
          <w:rStyle w:val="14"/>
        </w:rPr>
        <w:t>“</w:t>
      </w:r>
      <w:r>
        <w:rPr>
          <w:rStyle w:val="14"/>
          <w:rFonts w:hint="eastAsia"/>
        </w:rPr>
        <w:t>三公”经费财政拨款支出决算情况说明</w:t>
      </w:r>
      <w:r>
        <w:tab/>
      </w:r>
      <w:r>
        <w:rPr>
          <w:rFonts w:hint="eastAsia"/>
        </w:rPr>
        <w:t>1</w:t>
      </w:r>
      <w:r>
        <w:rPr>
          <w:rFonts w:hint="eastAsia"/>
        </w:rPr>
        <w:fldChar w:fldCharType="end"/>
      </w:r>
      <w:r>
        <w:rPr>
          <w:rFonts w:hint="eastAsia"/>
        </w:rPr>
        <w:t>1</w:t>
      </w:r>
    </w:p>
    <w:p>
      <w:pPr>
        <w:pStyle w:val="10"/>
        <w:tabs>
          <w:tab w:val="right" w:leader="dot" w:pos="8296"/>
        </w:tabs>
      </w:pPr>
      <w:r>
        <w:fldChar w:fldCharType="begin"/>
      </w:r>
      <w:r>
        <w:instrText xml:space="preserve"> HYPERLINK \l "_Toc82767845" </w:instrText>
      </w:r>
      <w:r>
        <w:fldChar w:fldCharType="separate"/>
      </w:r>
      <w:r>
        <w:rPr>
          <w:rStyle w:val="14"/>
          <w:rFonts w:hint="eastAsia" w:hAnsi="Times New Roman"/>
        </w:rPr>
        <w:t>八、</w:t>
      </w:r>
      <w:r>
        <w:rPr>
          <w:rStyle w:val="14"/>
          <w:rFonts w:hint="eastAsia"/>
        </w:rPr>
        <w:t>政府性基金预算支出决算情况说明</w:t>
      </w:r>
      <w:r>
        <w:tab/>
      </w:r>
      <w:r>
        <w:rPr>
          <w:rFonts w:hint="eastAsia"/>
        </w:rPr>
        <w:t>1</w:t>
      </w:r>
      <w:r>
        <w:rPr>
          <w:rFonts w:hint="eastAsia"/>
        </w:rPr>
        <w:fldChar w:fldCharType="end"/>
      </w:r>
      <w:r>
        <w:rPr>
          <w:rFonts w:hint="eastAsia"/>
        </w:rPr>
        <w:t>1</w:t>
      </w:r>
    </w:p>
    <w:p>
      <w:pPr>
        <w:pStyle w:val="10"/>
        <w:tabs>
          <w:tab w:val="right" w:leader="dot" w:pos="8296"/>
        </w:tabs>
      </w:pPr>
      <w:r>
        <w:fldChar w:fldCharType="begin"/>
      </w:r>
      <w:r>
        <w:instrText xml:space="preserve"> HYPERLINK \l "_Toc82767846" </w:instrText>
      </w:r>
      <w:r>
        <w:fldChar w:fldCharType="separate"/>
      </w:r>
      <w:r>
        <w:rPr>
          <w:rStyle w:val="14"/>
          <w:rFonts w:hint="eastAsia"/>
        </w:rPr>
        <w:t>九、国有资本经营预算支出决算情况说明</w:t>
      </w:r>
      <w:r>
        <w:tab/>
      </w:r>
      <w:r>
        <w:rPr>
          <w:rFonts w:hint="eastAsia"/>
        </w:rPr>
        <w:t>1</w:t>
      </w:r>
      <w:r>
        <w:rPr>
          <w:rFonts w:hint="eastAsia"/>
        </w:rPr>
        <w:fldChar w:fldCharType="end"/>
      </w:r>
      <w:r>
        <w:rPr>
          <w:rFonts w:hint="eastAsia"/>
        </w:rPr>
        <w:t>1</w:t>
      </w:r>
    </w:p>
    <w:p>
      <w:pPr>
        <w:pStyle w:val="10"/>
        <w:tabs>
          <w:tab w:val="right" w:leader="dot" w:pos="8296"/>
        </w:tabs>
      </w:pPr>
      <w:r>
        <w:fldChar w:fldCharType="begin"/>
      </w:r>
      <w:r>
        <w:instrText xml:space="preserve"> HYPERLINK \l "_Toc82767847" </w:instrText>
      </w:r>
      <w:r>
        <w:fldChar w:fldCharType="separate"/>
      </w:r>
      <w:r>
        <w:rPr>
          <w:rStyle w:val="14"/>
          <w:rFonts w:hint="eastAsia"/>
        </w:rPr>
        <w:t>十、其他重要事项的情况说明</w:t>
      </w:r>
      <w:r>
        <w:tab/>
      </w:r>
      <w:r>
        <w:fldChar w:fldCharType="begin"/>
      </w:r>
      <w:r>
        <w:instrText xml:space="preserve"> PAGEREF _Toc82767847 \h </w:instrText>
      </w:r>
      <w:r>
        <w:fldChar w:fldCharType="separate"/>
      </w:r>
      <w:r>
        <w:t>13</w:t>
      </w:r>
      <w:r>
        <w:fldChar w:fldCharType="end"/>
      </w:r>
      <w:r>
        <w:fldChar w:fldCharType="end"/>
      </w:r>
    </w:p>
    <w:p>
      <w:pPr>
        <w:pStyle w:val="9"/>
      </w:pPr>
      <w:r>
        <w:fldChar w:fldCharType="begin"/>
      </w:r>
      <w:r>
        <w:instrText xml:space="preserve"> HYPERLINK \l "_Toc82767848" </w:instrText>
      </w:r>
      <w:r>
        <w:fldChar w:fldCharType="separate"/>
      </w:r>
      <w:r>
        <w:rPr>
          <w:rStyle w:val="14"/>
          <w:rFonts w:hint="eastAsia"/>
        </w:rPr>
        <w:t>第三部分</w:t>
      </w:r>
      <w:r>
        <w:rPr>
          <w:rStyle w:val="14"/>
        </w:rPr>
        <w:t xml:space="preserve"> </w:t>
      </w:r>
      <w:r>
        <w:rPr>
          <w:rStyle w:val="14"/>
          <w:rFonts w:hint="eastAsia"/>
        </w:rPr>
        <w:t>名词解释</w:t>
      </w:r>
      <w:r>
        <w:tab/>
      </w:r>
      <w:r>
        <w:fldChar w:fldCharType="begin"/>
      </w:r>
      <w:r>
        <w:instrText xml:space="preserve"> PAGEREF _Toc82767848 \h </w:instrText>
      </w:r>
      <w:r>
        <w:fldChar w:fldCharType="separate"/>
      </w:r>
      <w:r>
        <w:t>22</w:t>
      </w:r>
      <w:r>
        <w:fldChar w:fldCharType="end"/>
      </w:r>
      <w:r>
        <w:fldChar w:fldCharType="end"/>
      </w:r>
    </w:p>
    <w:p>
      <w:pPr>
        <w:pStyle w:val="9"/>
      </w:pPr>
      <w:r>
        <w:fldChar w:fldCharType="begin"/>
      </w:r>
      <w:r>
        <w:instrText xml:space="preserve"> HYPERLINK \l "_Toc82767849" </w:instrText>
      </w:r>
      <w:r>
        <w:fldChar w:fldCharType="separate"/>
      </w:r>
      <w:r>
        <w:rPr>
          <w:rStyle w:val="14"/>
          <w:rFonts w:hint="eastAsia"/>
        </w:rPr>
        <w:t>第四部分</w:t>
      </w:r>
      <w:r>
        <w:rPr>
          <w:rStyle w:val="14"/>
        </w:rPr>
        <w:t xml:space="preserve"> </w:t>
      </w:r>
      <w:r>
        <w:rPr>
          <w:rStyle w:val="14"/>
          <w:rFonts w:hint="eastAsia"/>
        </w:rPr>
        <w:t>附件</w:t>
      </w:r>
      <w:r>
        <w:tab/>
      </w:r>
      <w:r>
        <w:fldChar w:fldCharType="begin"/>
      </w:r>
      <w:r>
        <w:instrText xml:space="preserve"> PAGEREF _Toc82767849 \h </w:instrText>
      </w:r>
      <w:r>
        <w:fldChar w:fldCharType="separate"/>
      </w:r>
      <w:r>
        <w:t>24</w:t>
      </w:r>
      <w:r>
        <w:fldChar w:fldCharType="end"/>
      </w:r>
      <w:r>
        <w:fldChar w:fldCharType="end"/>
      </w:r>
    </w:p>
    <w:p>
      <w:pPr>
        <w:pStyle w:val="10"/>
        <w:tabs>
          <w:tab w:val="right" w:leader="dot" w:pos="8296"/>
        </w:tabs>
        <w:jc w:val="left"/>
      </w:pPr>
      <w:r>
        <w:fldChar w:fldCharType="begin"/>
      </w:r>
      <w:r>
        <w:instrText xml:space="preserve"> HYPERLINK \l "_Toc82767850" </w:instrText>
      </w:r>
      <w:r>
        <w:fldChar w:fldCharType="separate"/>
      </w:r>
      <w:r>
        <w:rPr>
          <w:rStyle w:val="14"/>
          <w:rFonts w:hint="eastAsia"/>
        </w:rPr>
        <w:t>附件</w:t>
      </w:r>
      <w:r>
        <w:rPr>
          <w:rStyle w:val="14"/>
        </w:rPr>
        <w:t>1</w:t>
      </w:r>
      <w:r>
        <w:tab/>
      </w:r>
      <w:r>
        <w:fldChar w:fldCharType="begin"/>
      </w:r>
      <w:r>
        <w:instrText xml:space="preserve"> PAGEREF _Toc82767850 \h </w:instrText>
      </w:r>
      <w:r>
        <w:fldChar w:fldCharType="separate"/>
      </w:r>
      <w:r>
        <w:t>24</w:t>
      </w:r>
      <w:r>
        <w:fldChar w:fldCharType="end"/>
      </w:r>
      <w:r>
        <w:fldChar w:fldCharType="end"/>
      </w:r>
    </w:p>
    <w:p>
      <w:pPr>
        <w:pStyle w:val="10"/>
        <w:tabs>
          <w:tab w:val="right" w:leader="dot" w:pos="8296"/>
        </w:tabs>
      </w:pPr>
      <w:r>
        <w:fldChar w:fldCharType="begin"/>
      </w:r>
      <w:r>
        <w:instrText xml:space="preserve"> HYPERLINK \l "_Toc82767851" </w:instrText>
      </w:r>
      <w:r>
        <w:fldChar w:fldCharType="separate"/>
      </w:r>
      <w:r>
        <w:rPr>
          <w:rStyle w:val="14"/>
          <w:rFonts w:hint="eastAsia"/>
        </w:rPr>
        <w:t>附件</w:t>
      </w:r>
      <w:r>
        <w:rPr>
          <w:rStyle w:val="14"/>
        </w:rPr>
        <w:t>2</w:t>
      </w:r>
      <w:r>
        <w:tab/>
      </w:r>
      <w:r>
        <w:fldChar w:fldCharType="begin"/>
      </w:r>
      <w:r>
        <w:instrText xml:space="preserve"> PAGEREF _Toc82767851 \h </w:instrText>
      </w:r>
      <w:r>
        <w:fldChar w:fldCharType="separate"/>
      </w:r>
      <w:r>
        <w:t>27</w:t>
      </w:r>
      <w:r>
        <w:fldChar w:fldCharType="end"/>
      </w:r>
      <w:r>
        <w:fldChar w:fldCharType="end"/>
      </w:r>
    </w:p>
    <w:p>
      <w:pPr>
        <w:pStyle w:val="10"/>
        <w:tabs>
          <w:tab w:val="right" w:leader="dot" w:pos="8296"/>
        </w:tabs>
      </w:pPr>
      <w:r>
        <w:fldChar w:fldCharType="begin"/>
      </w:r>
      <w:r>
        <w:instrText xml:space="preserve"> HYPERLINK \l "_Toc82767852" </w:instrText>
      </w:r>
      <w:r>
        <w:fldChar w:fldCharType="separate"/>
      </w:r>
      <w:r>
        <w:rPr>
          <w:rStyle w:val="14"/>
          <w:rFonts w:hint="eastAsia"/>
        </w:rPr>
        <w:t>附件</w:t>
      </w:r>
      <w:r>
        <w:rPr>
          <w:rStyle w:val="14"/>
        </w:rPr>
        <w:t>3</w:t>
      </w:r>
      <w:r>
        <w:tab/>
      </w:r>
      <w:r>
        <w:rPr>
          <w:rFonts w:hint="eastAsia"/>
        </w:rPr>
        <w:t>3</w:t>
      </w:r>
      <w:r>
        <w:rPr>
          <w:rFonts w:hint="eastAsia"/>
        </w:rPr>
        <w:fldChar w:fldCharType="end"/>
      </w:r>
      <w:r>
        <w:rPr>
          <w:rFonts w:hint="eastAsia"/>
        </w:rPr>
        <w:t>2</w:t>
      </w:r>
    </w:p>
    <w:p>
      <w:pPr>
        <w:pStyle w:val="9"/>
      </w:pPr>
      <w:r>
        <w:fldChar w:fldCharType="begin"/>
      </w:r>
      <w:r>
        <w:instrText xml:space="preserve"> HYPERLINK \l "_Toc82767853" </w:instrText>
      </w:r>
      <w:r>
        <w:fldChar w:fldCharType="separate"/>
      </w:r>
      <w:r>
        <w:rPr>
          <w:rStyle w:val="14"/>
          <w:rFonts w:hint="eastAsia"/>
        </w:rPr>
        <w:t>第五部分</w:t>
      </w:r>
      <w:r>
        <w:rPr>
          <w:rStyle w:val="14"/>
        </w:rPr>
        <w:t xml:space="preserve"> </w:t>
      </w:r>
      <w:r>
        <w:rPr>
          <w:rStyle w:val="14"/>
          <w:rFonts w:hint="eastAsia"/>
        </w:rPr>
        <w:t>附表</w:t>
      </w:r>
      <w:r>
        <w:tab/>
      </w:r>
      <w:r>
        <w:fldChar w:fldCharType="begin"/>
      </w:r>
      <w:r>
        <w:instrText xml:space="preserve"> PAGEREF _Toc82767853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"_Toc82767854" </w:instrText>
      </w:r>
      <w:r>
        <w:fldChar w:fldCharType="separate"/>
      </w:r>
      <w:r>
        <w:rPr>
          <w:rStyle w:val="14"/>
          <w:rFonts w:hint="eastAsia"/>
        </w:rPr>
        <w:t>一、收入支出决算总表</w:t>
      </w:r>
      <w:r>
        <w:tab/>
      </w:r>
      <w:r>
        <w:fldChar w:fldCharType="begin"/>
      </w:r>
      <w:r>
        <w:instrText xml:space="preserve"> PAGEREF _Toc82767854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"_Toc82767855" </w:instrText>
      </w:r>
      <w:r>
        <w:fldChar w:fldCharType="separate"/>
      </w:r>
      <w:r>
        <w:rPr>
          <w:rStyle w:val="14"/>
          <w:rFonts w:hint="eastAsia"/>
        </w:rPr>
        <w:t>二、收入决算表</w:t>
      </w:r>
      <w:r>
        <w:tab/>
      </w:r>
      <w:r>
        <w:fldChar w:fldCharType="begin"/>
      </w:r>
      <w:r>
        <w:instrText xml:space="preserve"> PAGEREF _Toc82767855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"_Toc82767856" </w:instrText>
      </w:r>
      <w:r>
        <w:fldChar w:fldCharType="separate"/>
      </w:r>
      <w:r>
        <w:rPr>
          <w:rStyle w:val="14"/>
          <w:rFonts w:hint="eastAsia"/>
        </w:rPr>
        <w:t>三、支出决算表</w:t>
      </w:r>
      <w:r>
        <w:tab/>
      </w:r>
      <w:r>
        <w:fldChar w:fldCharType="begin"/>
      </w:r>
      <w:r>
        <w:instrText xml:space="preserve"> PAGEREF _Toc82767856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"_Toc82767857" </w:instrText>
      </w:r>
      <w:r>
        <w:fldChar w:fldCharType="separate"/>
      </w:r>
      <w:r>
        <w:rPr>
          <w:rStyle w:val="14"/>
          <w:rFonts w:hint="eastAsia"/>
        </w:rPr>
        <w:t>四、财政拨款收入支出决算总表</w:t>
      </w:r>
      <w:r>
        <w:tab/>
      </w:r>
      <w:r>
        <w:fldChar w:fldCharType="begin"/>
      </w:r>
      <w:r>
        <w:instrText xml:space="preserve"> PAGEREF _Toc82767857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"_Toc82767858" </w:instrText>
      </w:r>
      <w:r>
        <w:fldChar w:fldCharType="separate"/>
      </w:r>
      <w:r>
        <w:rPr>
          <w:rStyle w:val="14"/>
          <w:rFonts w:hint="eastAsia"/>
        </w:rPr>
        <w:t>五、财政拨款支出决算明细表</w:t>
      </w:r>
      <w:r>
        <w:tab/>
      </w:r>
      <w:r>
        <w:fldChar w:fldCharType="begin"/>
      </w:r>
      <w:r>
        <w:instrText xml:space="preserve"> PAGEREF _Toc82767858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"_Toc82767859" </w:instrText>
      </w:r>
      <w:r>
        <w:fldChar w:fldCharType="separate"/>
      </w:r>
      <w:r>
        <w:rPr>
          <w:rStyle w:val="14"/>
          <w:rFonts w:hint="eastAsia"/>
        </w:rPr>
        <w:t>六、一般公共预算财政拨款支出决算表</w:t>
      </w:r>
      <w:r>
        <w:tab/>
      </w:r>
      <w:r>
        <w:fldChar w:fldCharType="begin"/>
      </w:r>
      <w:r>
        <w:instrText xml:space="preserve"> PAGEREF _Toc82767859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"_Toc82767860" </w:instrText>
      </w:r>
      <w:r>
        <w:fldChar w:fldCharType="separate"/>
      </w:r>
      <w:r>
        <w:rPr>
          <w:rStyle w:val="14"/>
          <w:rFonts w:hint="eastAsia"/>
        </w:rPr>
        <w:t>七、一般公共预算财政拨款支出决算明细表</w:t>
      </w:r>
      <w:r>
        <w:tab/>
      </w:r>
      <w:r>
        <w:fldChar w:fldCharType="begin"/>
      </w:r>
      <w:r>
        <w:instrText xml:space="preserve"> PAGEREF _Toc82767860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"_Toc82767861" </w:instrText>
      </w:r>
      <w:r>
        <w:fldChar w:fldCharType="separate"/>
      </w:r>
      <w:r>
        <w:rPr>
          <w:rStyle w:val="14"/>
          <w:rFonts w:hint="eastAsia"/>
        </w:rPr>
        <w:t>八、一般公共预算财政拨款基本支出决算表</w:t>
      </w:r>
      <w:r>
        <w:tab/>
      </w:r>
      <w:r>
        <w:fldChar w:fldCharType="begin"/>
      </w:r>
      <w:r>
        <w:instrText xml:space="preserve"> PAGEREF _Toc82767861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"_Toc82767862" </w:instrText>
      </w:r>
      <w:r>
        <w:fldChar w:fldCharType="separate"/>
      </w:r>
      <w:r>
        <w:rPr>
          <w:rStyle w:val="14"/>
          <w:rFonts w:hint="eastAsia"/>
        </w:rPr>
        <w:t>九、一般公共预算财政拨款项目支出决算表</w:t>
      </w:r>
      <w:r>
        <w:tab/>
      </w:r>
      <w:r>
        <w:fldChar w:fldCharType="begin"/>
      </w:r>
      <w:r>
        <w:instrText xml:space="preserve"> PAGEREF _Toc82767862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"_Toc82767863" </w:instrText>
      </w:r>
      <w:r>
        <w:fldChar w:fldCharType="separate"/>
      </w:r>
      <w:r>
        <w:rPr>
          <w:rStyle w:val="14"/>
          <w:rFonts w:hint="eastAsia"/>
        </w:rPr>
        <w:t>十、一般公共预算财政拨款“三公”经费支出决算表</w:t>
      </w:r>
      <w:r>
        <w:tab/>
      </w:r>
      <w:r>
        <w:fldChar w:fldCharType="begin"/>
      </w:r>
      <w:r>
        <w:instrText xml:space="preserve"> PAGEREF _Toc82767863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"_Toc82767864" </w:instrText>
      </w:r>
      <w:r>
        <w:fldChar w:fldCharType="separate"/>
      </w:r>
      <w:r>
        <w:rPr>
          <w:rStyle w:val="14"/>
          <w:rFonts w:hint="eastAsia"/>
        </w:rPr>
        <w:t>十一、政府性基金预算财政拨款收入支出决算表</w:t>
      </w:r>
      <w:r>
        <w:tab/>
      </w:r>
      <w:r>
        <w:fldChar w:fldCharType="begin"/>
      </w:r>
      <w:r>
        <w:instrText xml:space="preserve"> PAGEREF _Toc82767864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"_Toc82767865" </w:instrText>
      </w:r>
      <w:r>
        <w:fldChar w:fldCharType="separate"/>
      </w:r>
      <w:r>
        <w:rPr>
          <w:rStyle w:val="14"/>
          <w:rFonts w:hint="eastAsia"/>
        </w:rPr>
        <w:t>十二、政府性基金预算财政拨款“三公”经费支出决算表</w:t>
      </w:r>
      <w:r>
        <w:tab/>
      </w:r>
      <w:r>
        <w:fldChar w:fldCharType="begin"/>
      </w:r>
      <w:r>
        <w:instrText xml:space="preserve"> PAGEREF _Toc82767865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"_Toc82767866" </w:instrText>
      </w:r>
      <w:r>
        <w:fldChar w:fldCharType="separate"/>
      </w:r>
      <w:r>
        <w:rPr>
          <w:rStyle w:val="14"/>
          <w:rFonts w:hint="eastAsia"/>
        </w:rPr>
        <w:t>十三、国有资本经营预算财政拨款支出决算表</w:t>
      </w:r>
      <w:r>
        <w:tab/>
      </w:r>
      <w:r>
        <w:fldChar w:fldCharType="begin"/>
      </w:r>
      <w:r>
        <w:instrText xml:space="preserve"> PAGEREF _Toc82767866 \h </w:instrText>
      </w:r>
      <w:r>
        <w:fldChar w:fldCharType="separate"/>
      </w:r>
      <w:r>
        <w:t>35</w:t>
      </w:r>
      <w:r>
        <w:fldChar w:fldCharType="end"/>
      </w:r>
      <w:r>
        <w:fldChar w:fldCharType="end"/>
      </w:r>
    </w:p>
    <w:p>
      <w:pPr>
        <w:widowControl/>
        <w:jc w:val="left"/>
        <w:sectPr>
          <w:footerReference r:id="rId5" w:type="first"/>
          <w:footerReference r:id="rId4" w:type="default"/>
          <w:pgSz w:w="11906" w:h="16838"/>
          <w:pgMar w:top="1440" w:right="1800" w:bottom="1440" w:left="1800" w:header="851" w:footer="992" w:gutter="0"/>
          <w:pgNumType w:start="1"/>
          <w:cols w:space="425" w:num="1"/>
          <w:titlePg/>
          <w:docGrid w:type="lines" w:linePitch="312" w:charSpace="0"/>
        </w:sectPr>
      </w:pPr>
      <w:r>
        <w:fldChar w:fldCharType="end"/>
      </w:r>
    </w:p>
    <w:bookmarkEnd w:id="0"/>
    <w:p>
      <w:pPr>
        <w:pStyle w:val="3"/>
        <w:jc w:val="center"/>
      </w:pPr>
      <w:bookmarkStart w:id="9" w:name="_Toc82767004"/>
      <w:bookmarkStart w:id="10" w:name="_Toc82767832"/>
      <w:r>
        <w:rPr>
          <w:rFonts w:hint="eastAsia"/>
        </w:rPr>
        <w:t>第一部分</w:t>
      </w:r>
      <w:r>
        <w:t xml:space="preserve"> </w:t>
      </w:r>
      <w:r>
        <w:rPr>
          <w:rFonts w:hint="eastAsia"/>
        </w:rPr>
        <w:t>部门概况</w:t>
      </w:r>
      <w:bookmarkEnd w:id="1"/>
      <w:bookmarkEnd w:id="2"/>
      <w:bookmarkEnd w:id="9"/>
      <w:bookmarkEnd w:id="10"/>
    </w:p>
    <w:p>
      <w:pPr>
        <w:pStyle w:val="4"/>
        <w:rPr>
          <w:rFonts w:ascii="仿宋" w:hAnsi="仿宋" w:eastAsia="仿宋"/>
        </w:rPr>
      </w:pPr>
      <w:bookmarkStart w:id="11" w:name="_Toc82767005"/>
      <w:bookmarkStart w:id="12" w:name="_Toc82767833"/>
      <w:bookmarkStart w:id="13" w:name="_Toc15377197"/>
      <w:bookmarkStart w:id="14" w:name="_Toc15396600"/>
      <w:r>
        <w:rPr>
          <w:rFonts w:hint="eastAsia"/>
          <w:color w:val="000000"/>
        </w:rPr>
        <w:t>一、基</w:t>
      </w:r>
      <w:r>
        <w:rPr>
          <w:rFonts w:hint="eastAsia"/>
        </w:rPr>
        <w:t>本职能及主要工作</w:t>
      </w:r>
      <w:bookmarkEnd w:id="11"/>
      <w:bookmarkEnd w:id="12"/>
      <w:bookmarkEnd w:id="13"/>
      <w:bookmarkEnd w:id="14"/>
      <w:bookmarkStart w:id="15" w:name="_Toc15378445"/>
      <w:bookmarkStart w:id="16" w:name="_Toc15377198"/>
    </w:p>
    <w:p>
      <w:pPr>
        <w:adjustRightInd w:val="0"/>
        <w:snapToGrid w:val="0"/>
        <w:spacing w:before="93" w:beforeLines="30" w:line="600" w:lineRule="exact"/>
        <w:ind w:firstLine="642" w:firstLineChars="200"/>
        <w:outlineLvl w:val="2"/>
        <w:rPr>
          <w:rFonts w:ascii="仿宋" w:hAnsi="仿宋" w:eastAsia="仿宋" w:cs="Times New Roman"/>
          <w:b/>
          <w:color w:val="000000"/>
          <w:kern w:val="0"/>
          <w:sz w:val="32"/>
          <w:szCs w:val="32"/>
        </w:rPr>
      </w:pPr>
      <w:bookmarkStart w:id="17" w:name="_Toc82767006"/>
      <w:r>
        <w:rPr>
          <w:rFonts w:hint="eastAsia" w:ascii="仿宋" w:hAnsi="仿宋" w:eastAsia="仿宋" w:cs="Times New Roman"/>
          <w:b/>
          <w:color w:val="000000"/>
          <w:kern w:val="0"/>
          <w:sz w:val="32"/>
          <w:szCs w:val="32"/>
        </w:rPr>
        <w:t>（一）基本职能。</w:t>
      </w:r>
      <w:bookmarkEnd w:id="15"/>
      <w:bookmarkEnd w:id="16"/>
      <w:bookmarkEnd w:id="17"/>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bookmarkStart w:id="18" w:name="_Toc15377199"/>
      <w:bookmarkStart w:id="19" w:name="_Toc15378446"/>
      <w:r>
        <w:rPr>
          <w:rFonts w:hint="eastAsia" w:ascii="仿宋" w:hAnsi="仿宋" w:eastAsia="仿宋" w:cs="Times New Roman"/>
          <w:bCs/>
          <w:color w:val="0D0D0D"/>
          <w:kern w:val="2"/>
          <w:sz w:val="30"/>
          <w:szCs w:val="30"/>
        </w:rPr>
        <w:t>1.全面贯彻国家职业教育方针，坚持为社会主义现代化建设服务，以就业为导向，努力培养和造就适应市场需要的有一技之长的专业人才。</w:t>
      </w:r>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r>
        <w:rPr>
          <w:rFonts w:hint="eastAsia" w:ascii="仿宋" w:hAnsi="仿宋" w:eastAsia="仿宋" w:cs="Times New Roman"/>
          <w:bCs/>
          <w:color w:val="0D0D0D"/>
          <w:kern w:val="2"/>
          <w:sz w:val="30"/>
          <w:szCs w:val="30"/>
        </w:rPr>
        <w:t>2.以立德树人为根本任务，加强学生思想道德和职业道德教育，加强新技术教育和技能训练，为学生全面成才、持续发展奠定扎实基础。</w:t>
      </w:r>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r>
        <w:rPr>
          <w:rFonts w:hint="eastAsia" w:ascii="仿宋" w:hAnsi="仿宋" w:eastAsia="仿宋" w:cs="Times New Roman"/>
          <w:bCs/>
          <w:color w:val="0D0D0D"/>
          <w:kern w:val="2"/>
          <w:sz w:val="30"/>
          <w:szCs w:val="30"/>
        </w:rPr>
        <w:t>3.深化教育教学改革，坚持教学和生产相结合、教学和科学技术的推广服务相结合，重视基础知识和专业知识的理实一体化教学模式建设。</w:t>
      </w:r>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r>
        <w:rPr>
          <w:rFonts w:hint="eastAsia" w:ascii="仿宋" w:hAnsi="仿宋" w:eastAsia="仿宋" w:cs="Times New Roman"/>
          <w:bCs/>
          <w:color w:val="0D0D0D"/>
          <w:kern w:val="2"/>
          <w:sz w:val="30"/>
          <w:szCs w:val="30"/>
        </w:rPr>
        <w:t>4.培育特色专业和重点专业，及时调整专业设置，形成适应区域经济发展的专业特色和优势。</w:t>
      </w:r>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r>
        <w:rPr>
          <w:rFonts w:hint="eastAsia" w:ascii="仿宋" w:hAnsi="仿宋" w:eastAsia="仿宋" w:cs="Times New Roman"/>
          <w:bCs/>
          <w:color w:val="0D0D0D"/>
          <w:kern w:val="2"/>
          <w:sz w:val="30"/>
          <w:szCs w:val="30"/>
        </w:rPr>
        <w:t>5.加强校企合作，发挥校企联合办学的整体优势。主动适应企业用人需求，努力提高人才培养质量，使毕业生素质与企业的需求相适应。鼓励教师到企业实践锻炼，聘任优秀技术人才到学校兼课，不断提高“双师型”教师队伍建设。</w:t>
      </w:r>
    </w:p>
    <w:p>
      <w:pPr>
        <w:pStyle w:val="11"/>
        <w:shd w:val="clear" w:color="auto" w:fill="FFFFFF"/>
        <w:spacing w:before="0" w:beforeAutospacing="0" w:after="0" w:afterAutospacing="0"/>
        <w:ind w:firstLine="420"/>
        <w:jc w:val="both"/>
        <w:rPr>
          <w:rFonts w:ascii="仿宋" w:hAnsi="仿宋" w:eastAsia="仿宋" w:cs="Times New Roman"/>
          <w:bCs/>
          <w:color w:val="0D0D0D"/>
          <w:kern w:val="2"/>
          <w:sz w:val="30"/>
          <w:szCs w:val="30"/>
        </w:rPr>
      </w:pPr>
      <w:r>
        <w:rPr>
          <w:rFonts w:hint="eastAsia" w:ascii="仿宋" w:hAnsi="仿宋" w:eastAsia="仿宋" w:cs="Times New Roman"/>
          <w:bCs/>
          <w:color w:val="0D0D0D"/>
          <w:kern w:val="2"/>
          <w:sz w:val="30"/>
          <w:szCs w:val="30"/>
        </w:rPr>
        <w:t>6.充分利用职业教育资源，坚持学历教育与职业培训并重，实行灵活的办学模式。多层次、多形式地开展文化、科技、公民道德和职业技术等方面的教育培训，努力为创建学习型社会发挥积极作用。</w:t>
      </w:r>
    </w:p>
    <w:p>
      <w:pPr>
        <w:adjustRightInd w:val="0"/>
        <w:snapToGrid w:val="0"/>
        <w:spacing w:before="93" w:beforeLines="30" w:line="600" w:lineRule="exact"/>
        <w:ind w:firstLine="642" w:firstLineChars="200"/>
        <w:outlineLvl w:val="2"/>
        <w:rPr>
          <w:rFonts w:ascii="仿宋" w:hAnsi="仿宋" w:eastAsia="仿宋" w:cs="Times New Roman"/>
          <w:bCs/>
          <w:color w:val="000000"/>
          <w:kern w:val="0"/>
          <w:sz w:val="32"/>
          <w:szCs w:val="32"/>
        </w:rPr>
      </w:pPr>
      <w:r>
        <w:rPr>
          <w:rFonts w:hint="eastAsia" w:ascii="仿宋" w:hAnsi="仿宋" w:eastAsia="仿宋" w:cs="Times New Roman"/>
          <w:b/>
          <w:color w:val="000000"/>
          <w:kern w:val="0"/>
          <w:sz w:val="32"/>
          <w:szCs w:val="32"/>
        </w:rPr>
        <w:t>（二）</w:t>
      </w:r>
      <w:r>
        <w:rPr>
          <w:rFonts w:ascii="仿宋" w:hAnsi="仿宋" w:eastAsia="仿宋" w:cs="Times New Roman"/>
          <w:b/>
          <w:color w:val="000000"/>
          <w:kern w:val="0"/>
          <w:sz w:val="32"/>
          <w:szCs w:val="32"/>
        </w:rPr>
        <w:t>2020</w:t>
      </w:r>
      <w:r>
        <w:rPr>
          <w:rFonts w:hint="eastAsia" w:ascii="仿宋" w:hAnsi="仿宋" w:eastAsia="仿宋" w:cs="Times New Roman"/>
          <w:b/>
          <w:color w:val="000000"/>
          <w:kern w:val="0"/>
          <w:sz w:val="32"/>
          <w:szCs w:val="32"/>
        </w:rPr>
        <w:t>年重点工作完成情况。</w:t>
      </w:r>
      <w:bookmarkEnd w:id="18"/>
      <w:bookmarkEnd w:id="19"/>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1.坚持不懈抓学习</w:t>
      </w:r>
    </w:p>
    <w:p>
      <w:pPr>
        <w:snapToGrid w:val="0"/>
        <w:spacing w:line="600" w:lineRule="exact"/>
        <w:ind w:firstLine="600" w:firstLineChars="200"/>
        <w:rPr>
          <w:rFonts w:ascii="仿宋" w:hAnsi="仿宋" w:eastAsia="仿宋" w:cs="Times New Roman"/>
          <w:bCs/>
          <w:color w:val="0D0D0D"/>
          <w:sz w:val="30"/>
          <w:szCs w:val="30"/>
        </w:rPr>
      </w:pPr>
      <w:r>
        <w:rPr>
          <w:rFonts w:ascii="仿宋" w:hAnsi="仿宋" w:eastAsia="仿宋" w:cs="Times New Roman"/>
          <w:bCs/>
          <w:color w:val="0D0D0D"/>
          <w:sz w:val="30"/>
          <w:szCs w:val="30"/>
        </w:rPr>
        <w:t>学习</w:t>
      </w:r>
      <w:r>
        <w:rPr>
          <w:rFonts w:hint="eastAsia" w:ascii="仿宋" w:hAnsi="仿宋" w:eastAsia="仿宋" w:cs="Times New Roman"/>
          <w:bCs/>
          <w:color w:val="0D0D0D"/>
          <w:sz w:val="30"/>
          <w:szCs w:val="30"/>
        </w:rPr>
        <w:t>贯彻习近平新时代中国特色社会主义思想和党的</w:t>
      </w:r>
      <w:r>
        <w:rPr>
          <w:rFonts w:ascii="仿宋" w:hAnsi="仿宋" w:eastAsia="仿宋" w:cs="Times New Roman"/>
          <w:bCs/>
          <w:color w:val="0D0D0D"/>
          <w:sz w:val="30"/>
          <w:szCs w:val="30"/>
        </w:rPr>
        <w:t>十九大</w:t>
      </w:r>
      <w:r>
        <w:rPr>
          <w:rFonts w:hint="eastAsia" w:ascii="仿宋" w:hAnsi="仿宋" w:eastAsia="仿宋" w:cs="Times New Roman"/>
          <w:bCs/>
          <w:color w:val="0D0D0D"/>
          <w:sz w:val="30"/>
          <w:szCs w:val="30"/>
        </w:rPr>
        <w:t>、十九届四中、五中全会精神和习近平总书记关于四川工作系列指示精神。常态化开展“两学一做”，学习党章和其他党内法规，学习习近平总书记关于教育工作的讲话精神和在思想政治课教师座谈会上的讲话精神，坚持中心组学习、三会一课、党员教育培训、教职工政治、业务学习制度。全年组织中心组学习1</w:t>
      </w:r>
      <w:r>
        <w:rPr>
          <w:rFonts w:ascii="仿宋" w:hAnsi="仿宋" w:eastAsia="仿宋" w:cs="Times New Roman"/>
          <w:bCs/>
          <w:color w:val="0D0D0D"/>
          <w:sz w:val="30"/>
          <w:szCs w:val="30"/>
        </w:rPr>
        <w:t>0</w:t>
      </w:r>
      <w:r>
        <w:rPr>
          <w:rFonts w:hint="eastAsia" w:ascii="仿宋" w:hAnsi="仿宋" w:eastAsia="仿宋" w:cs="Times New Roman"/>
          <w:bCs/>
          <w:color w:val="0D0D0D"/>
          <w:sz w:val="30"/>
          <w:szCs w:val="30"/>
        </w:rPr>
        <w:t>次，领导干部讲党课8次。</w:t>
      </w:r>
      <w:bookmarkStart w:id="141" w:name="_GoBack"/>
      <w:bookmarkEnd w:id="141"/>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2.严守政治纪律和政治规矩</w:t>
      </w:r>
    </w:p>
    <w:p>
      <w:pPr>
        <w:snapToGrid w:val="0"/>
        <w:spacing w:line="600" w:lineRule="exact"/>
        <w:ind w:firstLine="600" w:firstLineChars="200"/>
        <w:rPr>
          <w:rFonts w:ascii="仿宋" w:hAnsi="仿宋" w:eastAsia="仿宋" w:cs="Times New Roman"/>
          <w:color w:val="0D0D0D"/>
          <w:sz w:val="30"/>
          <w:szCs w:val="30"/>
        </w:rPr>
      </w:pPr>
      <w:r>
        <w:rPr>
          <w:rFonts w:hint="eastAsia" w:ascii="仿宋" w:hAnsi="仿宋" w:eastAsia="仿宋" w:cs="Times New Roman"/>
          <w:bCs/>
          <w:color w:val="0D0D0D"/>
          <w:sz w:val="30"/>
          <w:szCs w:val="30"/>
        </w:rPr>
        <w:t>增强“四个意识”、坚定“四个自信”，做到“两个维护”，带领师生在思想上和行动上同以习近平同志为核心的党中央保持高度一致。坚决贯彻执行党中央的决策部署，履行治党管党责任，履行意识形态工作责任，坚持社会主义办学方向，坚持党的教育方针，立德树人，为党育人，为国育才，坚持教育教学改革，学校政治生态良好，无违反政治纪律和政治规矩事件。</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3.落实中央及省委、市委决策部署</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贯彻省委十一届六次、七次、八次全会、市委七届十一次、十二次、十三次全会精神及全市教育大会精神，推进“三个一、三个三”兴广战略部署，积极响应成渝双城经济圏国家战略，“一干多支”治蜀兴川战略、建设北进东出桥头堡治蜀兴川战略广元实践。推动“</w:t>
      </w:r>
      <w:r>
        <w:rPr>
          <w:rFonts w:ascii="仿宋" w:hAnsi="仿宋" w:eastAsia="仿宋" w:cs="Times New Roman"/>
          <w:bCs/>
          <w:color w:val="0D0D0D"/>
          <w:sz w:val="30"/>
          <w:szCs w:val="30"/>
        </w:rPr>
        <w:t>广元菜研究院</w:t>
      </w:r>
      <w:r>
        <w:rPr>
          <w:rFonts w:hint="eastAsia" w:ascii="仿宋" w:hAnsi="仿宋" w:eastAsia="仿宋" w:cs="Times New Roman"/>
          <w:bCs/>
          <w:color w:val="0D0D0D"/>
          <w:sz w:val="30"/>
          <w:szCs w:val="30"/>
        </w:rPr>
        <w:t>”和“</w:t>
      </w:r>
      <w:r>
        <w:rPr>
          <w:rFonts w:ascii="仿宋" w:hAnsi="仿宋" w:eastAsia="仿宋" w:cs="Times New Roman"/>
          <w:bCs/>
          <w:color w:val="0D0D0D"/>
          <w:sz w:val="30"/>
          <w:szCs w:val="30"/>
        </w:rPr>
        <w:t>女</w:t>
      </w:r>
      <w:r>
        <w:rPr>
          <w:rFonts w:hint="eastAsia" w:ascii="仿宋" w:hAnsi="仿宋" w:eastAsia="仿宋" w:cs="Times New Roman"/>
          <w:bCs/>
          <w:color w:val="0D0D0D"/>
          <w:sz w:val="30"/>
          <w:szCs w:val="30"/>
        </w:rPr>
        <w:t>皇</w:t>
      </w:r>
      <w:r>
        <w:rPr>
          <w:rFonts w:ascii="仿宋" w:hAnsi="仿宋" w:eastAsia="仿宋" w:cs="Times New Roman"/>
          <w:bCs/>
          <w:color w:val="0D0D0D"/>
          <w:sz w:val="30"/>
          <w:szCs w:val="30"/>
        </w:rPr>
        <w:t>味道</w:t>
      </w:r>
      <w:r>
        <w:rPr>
          <w:rFonts w:hint="eastAsia" w:ascii="仿宋" w:hAnsi="仿宋" w:eastAsia="仿宋" w:cs="Times New Roman"/>
          <w:bCs/>
          <w:color w:val="0D0D0D"/>
          <w:sz w:val="30"/>
          <w:szCs w:val="30"/>
        </w:rPr>
        <w:t>”</w:t>
      </w:r>
      <w:r>
        <w:rPr>
          <w:rFonts w:ascii="仿宋" w:hAnsi="仿宋" w:eastAsia="仿宋" w:cs="Times New Roman"/>
          <w:bCs/>
          <w:color w:val="0D0D0D"/>
          <w:sz w:val="30"/>
          <w:szCs w:val="30"/>
        </w:rPr>
        <w:t>培训中心</w:t>
      </w:r>
      <w:r>
        <w:rPr>
          <w:rFonts w:hint="eastAsia" w:ascii="仿宋" w:hAnsi="仿宋" w:eastAsia="仿宋" w:cs="Times New Roman"/>
          <w:bCs/>
          <w:color w:val="0D0D0D"/>
          <w:sz w:val="30"/>
          <w:szCs w:val="30"/>
        </w:rPr>
        <w:t>开展工作，组织</w:t>
      </w:r>
      <w:r>
        <w:rPr>
          <w:rFonts w:ascii="仿宋" w:hAnsi="仿宋" w:eastAsia="仿宋" w:cs="Times New Roman"/>
          <w:bCs/>
          <w:color w:val="0D0D0D"/>
          <w:sz w:val="30"/>
          <w:szCs w:val="30"/>
        </w:rPr>
        <w:t>“</w:t>
      </w:r>
      <w:r>
        <w:rPr>
          <w:rFonts w:hint="eastAsia" w:ascii="仿宋" w:hAnsi="仿宋" w:eastAsia="仿宋" w:cs="Times New Roman"/>
          <w:bCs/>
          <w:color w:val="0D0D0D"/>
          <w:sz w:val="30"/>
          <w:szCs w:val="30"/>
        </w:rPr>
        <w:t>两</w:t>
      </w:r>
      <w:r>
        <w:rPr>
          <w:rFonts w:ascii="仿宋" w:hAnsi="仿宋" w:eastAsia="仿宋" w:cs="Times New Roman"/>
          <w:bCs/>
          <w:color w:val="0D0D0D"/>
          <w:sz w:val="30"/>
          <w:szCs w:val="30"/>
        </w:rPr>
        <w:t>湖鱼”示范培训</w:t>
      </w:r>
      <w:r>
        <w:rPr>
          <w:rFonts w:hint="eastAsia" w:ascii="仿宋" w:hAnsi="仿宋" w:eastAsia="仿宋" w:cs="Times New Roman"/>
          <w:bCs/>
          <w:color w:val="0D0D0D"/>
          <w:sz w:val="30"/>
          <w:szCs w:val="30"/>
        </w:rPr>
        <w:t xml:space="preserve">。设立白花石刻、麻柳刺绣两个国家非物质文化遗产工作室，为“文旅兴市”发展战略作贡献。加入川东北职业教育联盟并参加联盟相关活动，参与成渝双城经济圏职业教育合作，与渝北职业教育中心签订合作协议并缔结为友好学校，共谋长远发展。总结学校“十三五”期间取得的成绩和存在的问题，积极谋划“十四五”发展规划。 </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4.贯彻落实新发展理念，打造职业教育高地</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sz w:val="30"/>
          <w:szCs w:val="30"/>
        </w:rPr>
        <w:t>以党建引领学校教育、教学工作，高质量完成年度目标任务，年度目标考核获一等奖。</w:t>
      </w:r>
      <w:r>
        <w:rPr>
          <w:rFonts w:hint="eastAsia" w:ascii="仿宋" w:hAnsi="仿宋" w:eastAsia="仿宋" w:cs="Times New Roman"/>
          <w:bCs/>
          <w:color w:val="0D0D0D"/>
          <w:sz w:val="30"/>
          <w:szCs w:val="30"/>
        </w:rPr>
        <w:t>实施产教融合建设项目2个、开展多种形式的校企合作，汽车电子电器和</w:t>
      </w:r>
      <w:r>
        <w:rPr>
          <w:rFonts w:ascii="仿宋" w:hAnsi="仿宋" w:eastAsia="仿宋" w:cs="Times New Roman"/>
          <w:bCs/>
          <w:color w:val="0D0D0D"/>
          <w:sz w:val="30"/>
          <w:szCs w:val="30"/>
        </w:rPr>
        <w:t>新能源汽车</w:t>
      </w:r>
      <w:r>
        <w:rPr>
          <w:rFonts w:hint="eastAsia" w:ascii="仿宋" w:hAnsi="仿宋" w:eastAsia="仿宋" w:cs="Times New Roman"/>
          <w:bCs/>
          <w:color w:val="0D0D0D"/>
          <w:sz w:val="30"/>
          <w:szCs w:val="30"/>
        </w:rPr>
        <w:t>两个工种参加职业院校“1</w:t>
      </w:r>
      <w:r>
        <w:rPr>
          <w:rFonts w:ascii="仿宋" w:hAnsi="仿宋" w:eastAsia="仿宋" w:cs="Times New Roman"/>
          <w:bCs/>
          <w:color w:val="0D0D0D"/>
          <w:sz w:val="30"/>
          <w:szCs w:val="30"/>
        </w:rPr>
        <w:t>+X”</w:t>
      </w:r>
      <w:r>
        <w:rPr>
          <w:rFonts w:hint="eastAsia" w:ascii="仿宋" w:hAnsi="仿宋" w:eastAsia="仿宋" w:cs="Times New Roman"/>
          <w:bCs/>
          <w:color w:val="0D0D0D"/>
          <w:sz w:val="30"/>
          <w:szCs w:val="30"/>
        </w:rPr>
        <w:t>证书试点。推进</w:t>
      </w:r>
      <w:r>
        <w:rPr>
          <w:rFonts w:ascii="仿宋" w:hAnsi="仿宋" w:eastAsia="仿宋" w:cs="Times New Roman"/>
          <w:bCs/>
          <w:color w:val="0D0D0D"/>
          <w:sz w:val="30"/>
          <w:szCs w:val="30"/>
        </w:rPr>
        <w:t>高质量发展</w:t>
      </w:r>
      <w:r>
        <w:rPr>
          <w:rFonts w:hint="eastAsia" w:ascii="仿宋" w:hAnsi="仿宋" w:eastAsia="仿宋" w:cs="Times New Roman"/>
          <w:bCs/>
          <w:color w:val="0D0D0D"/>
          <w:sz w:val="30"/>
          <w:szCs w:val="30"/>
        </w:rPr>
        <w:t>，发挥国示学校的辐射、示范、带动作用，打造</w:t>
      </w:r>
      <w:r>
        <w:rPr>
          <w:rFonts w:ascii="仿宋" w:hAnsi="仿宋" w:eastAsia="仿宋" w:cs="Times New Roman"/>
          <w:bCs/>
          <w:color w:val="0D0D0D"/>
          <w:sz w:val="30"/>
          <w:szCs w:val="30"/>
        </w:rPr>
        <w:t>川</w:t>
      </w:r>
      <w:r>
        <w:rPr>
          <w:rFonts w:hint="eastAsia" w:ascii="仿宋" w:hAnsi="仿宋" w:eastAsia="仿宋" w:cs="Times New Roman"/>
          <w:bCs/>
          <w:color w:val="0D0D0D"/>
          <w:sz w:val="30"/>
          <w:szCs w:val="30"/>
        </w:rPr>
        <w:t>陕甘结合部职业教育</w:t>
      </w:r>
      <w:r>
        <w:rPr>
          <w:rFonts w:ascii="仿宋" w:hAnsi="仿宋" w:eastAsia="仿宋" w:cs="Times New Roman"/>
          <w:bCs/>
          <w:color w:val="0D0D0D"/>
          <w:sz w:val="30"/>
          <w:szCs w:val="30"/>
        </w:rPr>
        <w:t>高地</w:t>
      </w:r>
      <w:r>
        <w:rPr>
          <w:rFonts w:hint="eastAsia" w:ascii="仿宋" w:hAnsi="仿宋" w:eastAsia="仿宋" w:cs="Times New Roman"/>
          <w:bCs/>
          <w:color w:val="0D0D0D"/>
          <w:sz w:val="30"/>
          <w:szCs w:val="30"/>
        </w:rPr>
        <w:t>初见成效，接待省内外2</w:t>
      </w:r>
      <w:r>
        <w:rPr>
          <w:rFonts w:ascii="仿宋" w:hAnsi="仿宋" w:eastAsia="仿宋" w:cs="Times New Roman"/>
          <w:bCs/>
          <w:color w:val="0D0D0D"/>
          <w:sz w:val="30"/>
          <w:szCs w:val="30"/>
        </w:rPr>
        <w:t>0</w:t>
      </w:r>
      <w:r>
        <w:rPr>
          <w:rFonts w:hint="eastAsia" w:ascii="仿宋" w:hAnsi="仿宋" w:eastAsia="仿宋" w:cs="Times New Roman"/>
          <w:bCs/>
          <w:color w:val="0D0D0D"/>
          <w:sz w:val="30"/>
          <w:szCs w:val="30"/>
        </w:rPr>
        <w:t>余所中职学校到校考察交流，生源辐射陕西、甘肃、青海及省内凉山州、阿坝州等地，目前省市外在校学生1</w:t>
      </w:r>
      <w:r>
        <w:rPr>
          <w:rFonts w:ascii="仿宋" w:hAnsi="仿宋" w:eastAsia="仿宋" w:cs="Times New Roman"/>
          <w:bCs/>
          <w:color w:val="0D0D0D"/>
          <w:sz w:val="30"/>
          <w:szCs w:val="30"/>
        </w:rPr>
        <w:t>0</w:t>
      </w:r>
      <w:r>
        <w:rPr>
          <w:rFonts w:hint="eastAsia" w:ascii="仿宋" w:hAnsi="仿宋" w:eastAsia="仿宋" w:cs="Times New Roman"/>
          <w:bCs/>
          <w:color w:val="0D0D0D"/>
          <w:sz w:val="30"/>
          <w:szCs w:val="30"/>
        </w:rPr>
        <w:t>00余人。积极组织职业教育宣传，开拓市外、省外生源地，全面完成市教育局下达的目标任务，2</w:t>
      </w:r>
      <w:r>
        <w:rPr>
          <w:rFonts w:ascii="仿宋" w:hAnsi="仿宋" w:eastAsia="仿宋" w:cs="Times New Roman"/>
          <w:bCs/>
          <w:color w:val="0D0D0D"/>
          <w:sz w:val="30"/>
          <w:szCs w:val="30"/>
        </w:rPr>
        <w:t>020</w:t>
      </w:r>
      <w:r>
        <w:rPr>
          <w:rFonts w:hint="eastAsia" w:ascii="仿宋" w:hAnsi="仿宋" w:eastAsia="仿宋" w:cs="Times New Roman"/>
          <w:bCs/>
          <w:color w:val="0D0D0D"/>
          <w:sz w:val="30"/>
          <w:szCs w:val="30"/>
        </w:rPr>
        <w:t>年招生1</w:t>
      </w:r>
      <w:r>
        <w:rPr>
          <w:rFonts w:ascii="仿宋" w:hAnsi="仿宋" w:eastAsia="仿宋" w:cs="Times New Roman"/>
          <w:bCs/>
          <w:color w:val="0D0D0D"/>
          <w:sz w:val="30"/>
          <w:szCs w:val="30"/>
        </w:rPr>
        <w:t>5</w:t>
      </w:r>
      <w:r>
        <w:rPr>
          <w:rFonts w:hint="eastAsia" w:ascii="仿宋" w:hAnsi="仿宋" w:eastAsia="仿宋" w:cs="Times New Roman"/>
          <w:bCs/>
          <w:color w:val="0D0D0D"/>
          <w:sz w:val="30"/>
          <w:szCs w:val="30"/>
        </w:rPr>
        <w:t>63人（含普职融通3</w:t>
      </w:r>
      <w:r>
        <w:rPr>
          <w:rFonts w:ascii="仿宋" w:hAnsi="仿宋" w:eastAsia="仿宋" w:cs="Times New Roman"/>
          <w:bCs/>
          <w:color w:val="0D0D0D"/>
          <w:sz w:val="30"/>
          <w:szCs w:val="30"/>
        </w:rPr>
        <w:t>39</w:t>
      </w:r>
      <w:r>
        <w:rPr>
          <w:rFonts w:hint="eastAsia" w:ascii="仿宋" w:hAnsi="仿宋" w:eastAsia="仿宋" w:cs="Times New Roman"/>
          <w:bCs/>
          <w:color w:val="0D0D0D"/>
          <w:sz w:val="30"/>
          <w:szCs w:val="30"/>
        </w:rPr>
        <w:t>人），目前在校学生3</w:t>
      </w:r>
      <w:r>
        <w:rPr>
          <w:rFonts w:ascii="仿宋" w:hAnsi="仿宋" w:eastAsia="仿宋" w:cs="Times New Roman"/>
          <w:bCs/>
          <w:color w:val="0D0D0D"/>
          <w:sz w:val="30"/>
          <w:szCs w:val="30"/>
        </w:rPr>
        <w:t>0</w:t>
      </w:r>
      <w:r>
        <w:rPr>
          <w:rFonts w:hint="eastAsia" w:ascii="仿宋" w:hAnsi="仿宋" w:eastAsia="仿宋" w:cs="Times New Roman"/>
          <w:bCs/>
          <w:color w:val="0D0D0D"/>
          <w:sz w:val="30"/>
          <w:szCs w:val="30"/>
        </w:rPr>
        <w:t>20人，2</w:t>
      </w:r>
      <w:r>
        <w:rPr>
          <w:rFonts w:ascii="仿宋" w:hAnsi="仿宋" w:eastAsia="仿宋" w:cs="Times New Roman"/>
          <w:bCs/>
          <w:color w:val="0D0D0D"/>
          <w:sz w:val="30"/>
          <w:szCs w:val="30"/>
        </w:rPr>
        <w:t>020</w:t>
      </w:r>
      <w:r>
        <w:rPr>
          <w:rFonts w:hint="eastAsia" w:ascii="仿宋" w:hAnsi="仿宋" w:eastAsia="仿宋" w:cs="Times New Roman"/>
          <w:bCs/>
          <w:color w:val="0D0D0D"/>
          <w:sz w:val="30"/>
          <w:szCs w:val="30"/>
        </w:rPr>
        <w:t>年高考本科上线1</w:t>
      </w:r>
      <w:r>
        <w:rPr>
          <w:rFonts w:ascii="仿宋" w:hAnsi="仿宋" w:eastAsia="仿宋" w:cs="Times New Roman"/>
          <w:bCs/>
          <w:color w:val="0D0D0D"/>
          <w:sz w:val="30"/>
          <w:szCs w:val="30"/>
        </w:rPr>
        <w:t>3</w:t>
      </w:r>
      <w:r>
        <w:rPr>
          <w:rFonts w:hint="eastAsia" w:ascii="仿宋" w:hAnsi="仿宋" w:eastAsia="仿宋" w:cs="Times New Roman"/>
          <w:bCs/>
          <w:color w:val="0D0D0D"/>
          <w:sz w:val="30"/>
          <w:szCs w:val="30"/>
        </w:rPr>
        <w:t>人。积极开展校企合作、产教融合改革，组织服装行业协会、餐饮行业协会、机械加工行业协会开展交流活动，服务地方经济发展，探索职业教育高质量发展模式。组织参与职业技能提升行动计划，全年培训鉴定4</w:t>
      </w:r>
      <w:r>
        <w:rPr>
          <w:rFonts w:ascii="仿宋" w:hAnsi="仿宋" w:eastAsia="仿宋" w:cs="Times New Roman"/>
          <w:bCs/>
          <w:color w:val="0D0D0D"/>
          <w:sz w:val="30"/>
          <w:szCs w:val="30"/>
        </w:rPr>
        <w:t>400</w:t>
      </w:r>
      <w:r>
        <w:rPr>
          <w:rFonts w:hint="eastAsia" w:ascii="仿宋" w:hAnsi="仿宋" w:eastAsia="仿宋" w:cs="Times New Roman"/>
          <w:bCs/>
          <w:color w:val="0D0D0D"/>
          <w:sz w:val="30"/>
          <w:szCs w:val="30"/>
        </w:rPr>
        <w:t>人，校企合作、社会培训收入1</w:t>
      </w:r>
      <w:r>
        <w:rPr>
          <w:rFonts w:ascii="仿宋" w:hAnsi="仿宋" w:eastAsia="仿宋" w:cs="Times New Roman"/>
          <w:bCs/>
          <w:color w:val="0D0D0D"/>
          <w:sz w:val="30"/>
          <w:szCs w:val="30"/>
        </w:rPr>
        <w:t>73.075</w:t>
      </w:r>
      <w:r>
        <w:rPr>
          <w:rFonts w:hint="eastAsia" w:ascii="仿宋" w:hAnsi="仿宋" w:eastAsia="仿宋" w:cs="Times New Roman"/>
          <w:bCs/>
          <w:color w:val="0D0D0D"/>
          <w:sz w:val="30"/>
          <w:szCs w:val="30"/>
        </w:rPr>
        <w:t>万元，既为“六稳六保”做出了贡献，也提高了教职工待遇。坚持人民中心理念、高质量可持续发展理念、生态文明、环境保护理念，学校教育教学质量稳步提升，校容校貌优美，校风校纪优良，社会评价积极正面。</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5.开展基层党组织的标准化建设，发挥战斗堡垒作用</w:t>
      </w:r>
    </w:p>
    <w:p>
      <w:pPr>
        <w:snapToGrid w:val="0"/>
        <w:spacing w:line="600" w:lineRule="exact"/>
        <w:ind w:firstLine="600" w:firstLineChars="200"/>
        <w:jc w:val="left"/>
        <w:rPr>
          <w:rFonts w:ascii="仿宋" w:hAnsi="仿宋" w:eastAsia="仿宋" w:cs="Times New Roman"/>
          <w:bCs/>
          <w:sz w:val="30"/>
          <w:szCs w:val="30"/>
        </w:rPr>
      </w:pPr>
      <w:r>
        <w:rPr>
          <w:rFonts w:hint="eastAsia" w:ascii="仿宋" w:hAnsi="仿宋" w:eastAsia="仿宋" w:cs="Times New Roman"/>
          <w:bCs/>
          <w:sz w:val="30"/>
          <w:szCs w:val="30"/>
        </w:rPr>
        <w:t>以政治建设为核心，落实管党治党责任，</w:t>
      </w:r>
      <w:r>
        <w:rPr>
          <w:rFonts w:hint="eastAsia" w:ascii="仿宋" w:hAnsi="仿宋" w:eastAsia="仿宋" w:cs="Times New Roman"/>
          <w:bCs/>
          <w:color w:val="0D0D0D"/>
          <w:kern w:val="0"/>
          <w:sz w:val="30"/>
          <w:szCs w:val="30"/>
        </w:rPr>
        <w:t>履行党管方向、管大事、管干部、管人才、管意识形态、组织建设、党风廉政建设、群团工作职责。</w:t>
      </w:r>
      <w:r>
        <w:rPr>
          <w:rFonts w:hint="eastAsia" w:ascii="仿宋" w:hAnsi="仿宋" w:eastAsia="仿宋" w:cs="Times New Roman"/>
          <w:bCs/>
          <w:sz w:val="30"/>
          <w:szCs w:val="30"/>
        </w:rPr>
        <w:t>2</w:t>
      </w:r>
      <w:r>
        <w:rPr>
          <w:rFonts w:ascii="仿宋" w:hAnsi="仿宋" w:eastAsia="仿宋" w:cs="Times New Roman"/>
          <w:bCs/>
          <w:sz w:val="30"/>
          <w:szCs w:val="30"/>
        </w:rPr>
        <w:t>020</w:t>
      </w:r>
      <w:r>
        <w:rPr>
          <w:rFonts w:hint="eastAsia" w:ascii="仿宋" w:hAnsi="仿宋" w:eastAsia="仿宋" w:cs="Times New Roman"/>
          <w:bCs/>
          <w:sz w:val="30"/>
          <w:szCs w:val="30"/>
        </w:rPr>
        <w:t>年完成4个支部换届选举，组织开展“党内法规</w:t>
      </w:r>
      <w:r>
        <w:rPr>
          <w:rFonts w:hint="eastAsia" w:ascii="仿宋" w:hAnsi="仿宋" w:eastAsia="仿宋" w:cs="Times New Roman"/>
          <w:bCs/>
          <w:spacing w:val="-1"/>
          <w:sz w:val="30"/>
          <w:szCs w:val="30"/>
        </w:rPr>
        <w:t>大学习、对标对表找差距、巩固提升补短板”活动、三分类三升级活动、党支部标准化建设活动，发展新党员4人（含“9</w:t>
      </w:r>
      <w:r>
        <w:rPr>
          <w:rFonts w:ascii="仿宋" w:hAnsi="仿宋" w:eastAsia="仿宋" w:cs="Times New Roman"/>
          <w:bCs/>
          <w:spacing w:val="-1"/>
          <w:sz w:val="30"/>
          <w:szCs w:val="30"/>
        </w:rPr>
        <w:t>+3</w:t>
      </w:r>
      <w:r>
        <w:rPr>
          <w:rFonts w:hint="eastAsia" w:ascii="仿宋" w:hAnsi="仿宋" w:eastAsia="仿宋" w:cs="Times New Roman"/>
          <w:bCs/>
          <w:spacing w:val="-1"/>
          <w:sz w:val="30"/>
          <w:szCs w:val="30"/>
        </w:rPr>
        <w:t>”学生2人），3名预备党员转正。实施党员分级教育管理，3名支部书记接受全国中小学党组织书记培训合格，党总支、党支部对党员的教育管理做到了制度化、经常化。1个支部标准化建设通过上级验收，参研省级党建课题顺利</w:t>
      </w:r>
      <w:r>
        <w:rPr>
          <w:rFonts w:hint="eastAsia" w:ascii="仿宋" w:hAnsi="仿宋" w:eastAsia="仿宋" w:cs="仿宋_GB2312"/>
          <w:bCs/>
          <w:sz w:val="30"/>
          <w:szCs w:val="30"/>
        </w:rPr>
        <w:t>结题。</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6.加强干部队伍建设，发挥先锋模范作用</w:t>
      </w:r>
    </w:p>
    <w:p>
      <w:pPr>
        <w:snapToGrid w:val="0"/>
        <w:spacing w:line="600" w:lineRule="exact"/>
        <w:ind w:firstLine="600" w:firstLineChars="200"/>
        <w:rPr>
          <w:rFonts w:ascii="仿宋" w:hAnsi="仿宋" w:eastAsia="仿宋" w:cs="Times New Roman"/>
          <w:bCs/>
          <w:sz w:val="30"/>
          <w:szCs w:val="30"/>
        </w:rPr>
      </w:pPr>
      <w:r>
        <w:rPr>
          <w:rFonts w:hint="eastAsia" w:ascii="仿宋" w:hAnsi="仿宋" w:eastAsia="仿宋" w:cs="Times New Roman"/>
          <w:bCs/>
          <w:sz w:val="30"/>
          <w:szCs w:val="30"/>
        </w:rPr>
        <w:t>主要领导新老交接顺利，继承了艰苦创业创业、乐于奉献的优良传统，一如继往地坚持教育教学改革，坚持高质量发展。干部队伍讲政治、讲大局、讲奉献、勤奋务实，敢于担当。原副校长吴小平、教科室主任邓仕川被确定为省级职教专家，</w:t>
      </w:r>
      <w:r>
        <w:rPr>
          <w:rFonts w:hint="eastAsia" w:ascii="仿宋" w:hAnsi="仿宋" w:eastAsia="仿宋" w:cs="Times New Roman"/>
          <w:bCs/>
          <w:color w:val="0D0D0D"/>
          <w:sz w:val="30"/>
          <w:szCs w:val="30"/>
        </w:rPr>
        <w:t>指导了省内</w:t>
      </w:r>
      <w:r>
        <w:rPr>
          <w:rFonts w:ascii="仿宋" w:hAnsi="仿宋" w:eastAsia="仿宋" w:cs="Times New Roman"/>
          <w:bCs/>
          <w:color w:val="0D0D0D"/>
          <w:sz w:val="30"/>
          <w:szCs w:val="30"/>
        </w:rPr>
        <w:t>40</w:t>
      </w:r>
      <w:r>
        <w:rPr>
          <w:rFonts w:hint="eastAsia" w:ascii="仿宋" w:hAnsi="仿宋" w:eastAsia="仿宋" w:cs="Times New Roman"/>
          <w:bCs/>
          <w:color w:val="0D0D0D"/>
          <w:sz w:val="30"/>
          <w:szCs w:val="30"/>
        </w:rPr>
        <w:t>余所中职学校示范校和示范专业建设、教学诊改工作。副校长</w:t>
      </w:r>
      <w:r>
        <w:rPr>
          <w:rFonts w:hint="eastAsia" w:ascii="仿宋" w:hAnsi="仿宋" w:eastAsia="仿宋" w:cs="Times New Roman"/>
          <w:bCs/>
          <w:sz w:val="30"/>
          <w:szCs w:val="30"/>
        </w:rPr>
        <w:t>邓友邦被市委表彰为防控新冠肺炎先进个人，领导干部吴小平、黄立群被评为首届“最美广职人”。各级干部身先士卒、带头垂范、</w:t>
      </w:r>
      <w:r>
        <w:rPr>
          <w:rFonts w:ascii="仿宋" w:hAnsi="仿宋" w:eastAsia="仿宋" w:cs="Times New Roman"/>
          <w:bCs/>
          <w:sz w:val="30"/>
          <w:szCs w:val="30"/>
        </w:rPr>
        <w:t>勤勉履职,</w:t>
      </w:r>
      <w:r>
        <w:rPr>
          <w:rFonts w:hint="eastAsia" w:ascii="仿宋" w:hAnsi="仿宋" w:eastAsia="仿宋" w:cs="Times New Roman"/>
          <w:bCs/>
          <w:sz w:val="30"/>
          <w:szCs w:val="30"/>
        </w:rPr>
        <w:t>奋战在疫情防控、教育管理、教学改革、教育扶贫等一线，极大地激励了师生员工创业干事激情，</w:t>
      </w:r>
      <w:r>
        <w:rPr>
          <w:rFonts w:ascii="仿宋" w:hAnsi="仿宋" w:eastAsia="仿宋" w:cs="Times New Roman"/>
          <w:bCs/>
          <w:sz w:val="30"/>
          <w:szCs w:val="30"/>
        </w:rPr>
        <w:t>推动</w:t>
      </w:r>
      <w:r>
        <w:rPr>
          <w:rFonts w:hint="eastAsia" w:ascii="仿宋" w:hAnsi="仿宋" w:eastAsia="仿宋" w:cs="Times New Roman"/>
          <w:bCs/>
          <w:sz w:val="30"/>
          <w:szCs w:val="30"/>
        </w:rPr>
        <w:t>了学校各项事业健康快速</w:t>
      </w:r>
      <w:r>
        <w:rPr>
          <w:rFonts w:ascii="仿宋" w:hAnsi="仿宋" w:eastAsia="仿宋" w:cs="Times New Roman"/>
          <w:bCs/>
          <w:sz w:val="30"/>
          <w:szCs w:val="30"/>
        </w:rPr>
        <w:t>发展</w:t>
      </w:r>
      <w:r>
        <w:rPr>
          <w:rFonts w:hint="eastAsia" w:ascii="仿宋" w:hAnsi="仿宋" w:eastAsia="仿宋" w:cs="Times New Roman"/>
          <w:bCs/>
          <w:sz w:val="30"/>
          <w:szCs w:val="30"/>
        </w:rPr>
        <w:t>。</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7.履职尽责主动作为，推动学校高质量发展</w:t>
      </w:r>
    </w:p>
    <w:p>
      <w:pPr>
        <w:snapToGrid w:val="0"/>
        <w:spacing w:line="600" w:lineRule="exact"/>
        <w:ind w:firstLine="600" w:firstLineChars="200"/>
        <w:jc w:val="left"/>
        <w:rPr>
          <w:rFonts w:ascii="仿宋" w:hAnsi="仿宋" w:eastAsia="仿宋" w:cs="Times New Roman"/>
          <w:bCs/>
          <w:sz w:val="30"/>
          <w:szCs w:val="30"/>
        </w:rPr>
      </w:pPr>
      <w:r>
        <w:rPr>
          <w:rFonts w:hint="eastAsia" w:ascii="仿宋" w:hAnsi="仿宋" w:eastAsia="仿宋" w:cs="Times New Roman"/>
          <w:bCs/>
          <w:sz w:val="30"/>
          <w:szCs w:val="30"/>
        </w:rPr>
        <w:t>一是坚持集体领导，实行民主集中制，建立了议事规则，落实了“三重一大”决策机制。</w:t>
      </w:r>
    </w:p>
    <w:p>
      <w:pPr>
        <w:snapToGrid w:val="0"/>
        <w:spacing w:line="600" w:lineRule="exact"/>
        <w:ind w:firstLine="600" w:firstLineChars="200"/>
        <w:jc w:val="left"/>
        <w:rPr>
          <w:rFonts w:ascii="仿宋" w:hAnsi="仿宋" w:eastAsia="仿宋" w:cs="Times New Roman"/>
          <w:bCs/>
          <w:color w:val="0D0D0D"/>
          <w:kern w:val="0"/>
          <w:sz w:val="30"/>
          <w:szCs w:val="30"/>
        </w:rPr>
      </w:pPr>
      <w:r>
        <w:rPr>
          <w:rFonts w:hint="eastAsia" w:ascii="仿宋" w:hAnsi="仿宋" w:eastAsia="仿宋" w:cs="Times New Roman"/>
          <w:bCs/>
          <w:sz w:val="30"/>
          <w:szCs w:val="30"/>
        </w:rPr>
        <w:t>二是落实党风廉政建设</w:t>
      </w:r>
      <w:r>
        <w:rPr>
          <w:rFonts w:hint="eastAsia" w:ascii="仿宋" w:hAnsi="仿宋" w:eastAsia="仿宋" w:cs="Times New Roman"/>
          <w:bCs/>
          <w:color w:val="0D0D0D"/>
          <w:sz w:val="30"/>
          <w:szCs w:val="30"/>
        </w:rPr>
        <w:t>党组织的主体责任、书记第一责任和分管领导的“一岗双责”。</w:t>
      </w:r>
      <w:r>
        <w:rPr>
          <w:rFonts w:hint="eastAsia" w:ascii="仿宋" w:hAnsi="仿宋" w:eastAsia="仿宋" w:cs="Times New Roman"/>
          <w:bCs/>
          <w:sz w:val="30"/>
          <w:szCs w:val="30"/>
        </w:rPr>
        <w:t>专题研究党风廉政建设4次，持续开展作风纪律建设，未发现严重违纪行为。研制了“三张清单”，梳理了1</w:t>
      </w:r>
      <w:r>
        <w:rPr>
          <w:rFonts w:ascii="仿宋" w:hAnsi="仿宋" w:eastAsia="仿宋" w:cs="Times New Roman"/>
          <w:bCs/>
          <w:sz w:val="30"/>
          <w:szCs w:val="30"/>
        </w:rPr>
        <w:t>6</w:t>
      </w:r>
      <w:r>
        <w:rPr>
          <w:rFonts w:hint="eastAsia" w:ascii="仿宋" w:hAnsi="仿宋" w:eastAsia="仿宋" w:cs="Times New Roman"/>
          <w:bCs/>
          <w:sz w:val="30"/>
          <w:szCs w:val="30"/>
        </w:rPr>
        <w:t>个行权风险点，</w:t>
      </w:r>
      <w:r>
        <w:rPr>
          <w:rFonts w:hint="eastAsia" w:ascii="仿宋" w:hAnsi="仿宋" w:eastAsia="仿宋" w:cs="Times New Roman"/>
          <w:bCs/>
          <w:color w:val="0D0D0D"/>
          <w:sz w:val="30"/>
          <w:szCs w:val="30"/>
        </w:rPr>
        <w:t>制定了风险防控措施。</w:t>
      </w:r>
      <w:r>
        <w:rPr>
          <w:rFonts w:hint="eastAsia" w:ascii="仿宋" w:hAnsi="仿宋" w:eastAsia="仿宋" w:cs="Times New Roman"/>
          <w:bCs/>
          <w:sz w:val="30"/>
          <w:szCs w:val="30"/>
        </w:rPr>
        <w:t>推动落实“四责协同”机制，营造风清气正的政治生态。</w:t>
      </w:r>
      <w:r>
        <w:rPr>
          <w:rFonts w:hint="eastAsia" w:ascii="仿宋" w:hAnsi="仿宋" w:eastAsia="仿宋" w:cs="Times New Roman"/>
          <w:bCs/>
          <w:color w:val="0D0D0D"/>
          <w:kern w:val="0"/>
          <w:sz w:val="30"/>
          <w:szCs w:val="30"/>
        </w:rPr>
        <w:t>以减轻基层负担为抓手，治理官僚主义和形式主义问题,精简会议、文件、来访、交流活动。整治群众身边的腐败问题，开展谢师宴、升学宴治理，开展师德负面清单评价，后勤工作满意度达8</w:t>
      </w:r>
      <w:r>
        <w:rPr>
          <w:rFonts w:ascii="仿宋" w:hAnsi="仿宋" w:eastAsia="仿宋" w:cs="Times New Roman"/>
          <w:bCs/>
          <w:color w:val="0D0D0D"/>
          <w:kern w:val="0"/>
          <w:sz w:val="30"/>
          <w:szCs w:val="30"/>
        </w:rPr>
        <w:t>5%</w:t>
      </w:r>
      <w:r>
        <w:rPr>
          <w:rFonts w:hint="eastAsia" w:ascii="仿宋" w:hAnsi="仿宋" w:eastAsia="仿宋" w:cs="Times New Roman"/>
          <w:bCs/>
          <w:color w:val="0D0D0D"/>
          <w:kern w:val="0"/>
          <w:sz w:val="30"/>
          <w:szCs w:val="30"/>
        </w:rPr>
        <w:t>以上。</w:t>
      </w:r>
      <w:r>
        <w:rPr>
          <w:rFonts w:hint="eastAsia" w:ascii="仿宋" w:hAnsi="仿宋" w:eastAsia="仿宋" w:cs="Times New Roman"/>
          <w:bCs/>
          <w:color w:val="0D0D0D"/>
          <w:sz w:val="30"/>
          <w:szCs w:val="30"/>
        </w:rPr>
        <w:t>建立台账，分类整改了“不忘初心、牢记使用”主题教育活动中发现的</w:t>
      </w:r>
      <w:r>
        <w:rPr>
          <w:rFonts w:hint="eastAsia" w:ascii="仿宋" w:hAnsi="仿宋" w:eastAsia="仿宋" w:cs="Times New Roman"/>
          <w:bCs/>
          <w:sz w:val="30"/>
          <w:szCs w:val="30"/>
        </w:rPr>
        <w:t>9个问题。</w:t>
      </w:r>
      <w:r>
        <w:rPr>
          <w:rFonts w:hint="eastAsia" w:ascii="仿宋" w:hAnsi="仿宋" w:eastAsia="仿宋" w:cs="Times New Roman"/>
          <w:bCs/>
          <w:color w:val="0D0D0D"/>
          <w:kern w:val="0"/>
          <w:sz w:val="30"/>
          <w:szCs w:val="30"/>
        </w:rPr>
        <w:t>整改了经济责任审计发现的4个方面问题。接受了市委第九轮巡察，对发现的问题即知即改。</w:t>
      </w:r>
    </w:p>
    <w:p>
      <w:pPr>
        <w:snapToGrid w:val="0"/>
        <w:spacing w:line="600" w:lineRule="exact"/>
        <w:ind w:firstLine="600" w:firstLineChars="200"/>
        <w:jc w:val="left"/>
        <w:rPr>
          <w:rFonts w:ascii="仿宋" w:hAnsi="仿宋" w:eastAsia="仿宋" w:cs="Times New Roman"/>
          <w:bCs/>
          <w:color w:val="0D0D0D"/>
          <w:kern w:val="0"/>
          <w:sz w:val="30"/>
          <w:szCs w:val="30"/>
        </w:rPr>
      </w:pPr>
      <w:r>
        <w:rPr>
          <w:rFonts w:hint="eastAsia" w:ascii="仿宋" w:hAnsi="仿宋" w:eastAsia="仿宋" w:cs="Times New Roman"/>
          <w:bCs/>
          <w:color w:val="0D0D0D"/>
          <w:kern w:val="0"/>
          <w:sz w:val="30"/>
          <w:szCs w:val="30"/>
        </w:rPr>
        <w:t>三是履行意识形态工作责任，坚持社会主义办学方向，组织开展习近平新时代中国特色社会主义</w:t>
      </w:r>
      <w:r>
        <w:rPr>
          <w:rFonts w:hint="eastAsia" w:ascii="仿宋" w:hAnsi="仿宋" w:eastAsia="仿宋" w:cs="Times New Roman"/>
          <w:bCs/>
          <w:color w:val="0D0D0D"/>
          <w:kern w:val="0"/>
          <w:sz w:val="30"/>
          <w:szCs w:val="30"/>
          <w:lang w:eastAsia="zh-CN"/>
        </w:rPr>
        <w:t>思想</w:t>
      </w:r>
      <w:r>
        <w:rPr>
          <w:rFonts w:hint="eastAsia" w:ascii="仿宋" w:hAnsi="仿宋" w:eastAsia="仿宋" w:cs="Times New Roman"/>
          <w:bCs/>
          <w:color w:val="0D0D0D"/>
          <w:kern w:val="0"/>
          <w:sz w:val="30"/>
          <w:szCs w:val="30"/>
        </w:rPr>
        <w:t>“进教材、进课堂、进头脑”工作，审定人才培养方案、审定教材教辅。加强宣传工作，开展媒体管控，开展心理健康教育，国家安全教育。</w:t>
      </w:r>
    </w:p>
    <w:p>
      <w:pPr>
        <w:snapToGrid w:val="0"/>
        <w:spacing w:line="600" w:lineRule="exact"/>
        <w:ind w:firstLine="600" w:firstLineChars="200"/>
        <w:jc w:val="left"/>
        <w:rPr>
          <w:rFonts w:ascii="仿宋" w:hAnsi="仿宋" w:eastAsia="仿宋" w:cs="Times New Roman"/>
          <w:bCs/>
          <w:color w:val="0D0D0D"/>
          <w:kern w:val="0"/>
          <w:sz w:val="30"/>
          <w:szCs w:val="30"/>
        </w:rPr>
      </w:pPr>
      <w:r>
        <w:rPr>
          <w:rFonts w:hint="eastAsia" w:ascii="仿宋" w:hAnsi="仿宋" w:eastAsia="仿宋" w:cs="Times New Roman"/>
          <w:bCs/>
          <w:color w:val="0D0D0D"/>
          <w:kern w:val="0"/>
          <w:sz w:val="30"/>
          <w:szCs w:val="30"/>
        </w:rPr>
        <w:t>四是领导民主党派和群团组织，执行民族宗教政策，扎实开展“9</w:t>
      </w:r>
      <w:r>
        <w:rPr>
          <w:rFonts w:ascii="仿宋" w:hAnsi="仿宋" w:eastAsia="仿宋" w:cs="Times New Roman"/>
          <w:bCs/>
          <w:color w:val="0D0D0D"/>
          <w:kern w:val="0"/>
          <w:sz w:val="30"/>
          <w:szCs w:val="30"/>
        </w:rPr>
        <w:t>+3”</w:t>
      </w:r>
      <w:r>
        <w:rPr>
          <w:rFonts w:hint="eastAsia" w:ascii="仿宋" w:hAnsi="仿宋" w:eastAsia="仿宋" w:cs="Times New Roman"/>
          <w:bCs/>
          <w:color w:val="0D0D0D"/>
          <w:kern w:val="0"/>
          <w:sz w:val="30"/>
          <w:szCs w:val="30"/>
        </w:rPr>
        <w:t>教育。</w:t>
      </w:r>
    </w:p>
    <w:p>
      <w:pPr>
        <w:snapToGrid w:val="0"/>
        <w:spacing w:line="600" w:lineRule="exact"/>
        <w:ind w:firstLine="600" w:firstLineChars="200"/>
        <w:jc w:val="left"/>
        <w:rPr>
          <w:rFonts w:ascii="仿宋" w:hAnsi="仿宋" w:eastAsia="仿宋" w:cs="Times New Roman"/>
          <w:bCs/>
          <w:color w:val="0D0D0D"/>
          <w:kern w:val="0"/>
          <w:sz w:val="30"/>
          <w:szCs w:val="30"/>
        </w:rPr>
      </w:pPr>
      <w:r>
        <w:rPr>
          <w:rFonts w:hint="eastAsia" w:ascii="仿宋" w:hAnsi="仿宋" w:eastAsia="仿宋" w:cs="Times New Roman"/>
          <w:bCs/>
          <w:color w:val="0D0D0D"/>
          <w:kern w:val="0"/>
          <w:sz w:val="30"/>
          <w:szCs w:val="30"/>
        </w:rPr>
        <w:t>五</w:t>
      </w:r>
      <w:r>
        <w:rPr>
          <w:rFonts w:hint="eastAsia" w:ascii="仿宋" w:hAnsi="仿宋" w:eastAsia="仿宋" w:cs="Times New Roman"/>
          <w:bCs/>
          <w:sz w:val="30"/>
          <w:szCs w:val="30"/>
        </w:rPr>
        <w:t>是承担防控新冠肺炎责任，开展细致的工作，开展线上教学，率先复课；开展“三大攻坚战”工作，完成脱贫攻坚任务，所帮扶8</w:t>
      </w:r>
      <w:r>
        <w:rPr>
          <w:rFonts w:ascii="仿宋" w:hAnsi="仿宋" w:eastAsia="仿宋" w:cs="Times New Roman"/>
          <w:bCs/>
          <w:sz w:val="30"/>
          <w:szCs w:val="30"/>
        </w:rPr>
        <w:t>3</w:t>
      </w:r>
      <w:r>
        <w:rPr>
          <w:rFonts w:hint="eastAsia" w:ascii="仿宋" w:hAnsi="仿宋" w:eastAsia="仿宋" w:cs="Times New Roman"/>
          <w:bCs/>
          <w:sz w:val="30"/>
          <w:szCs w:val="30"/>
        </w:rPr>
        <w:t>户贫困户脱贫，落实贫困学生资助和教育帮扶任务，春秋两季发放助学金2</w:t>
      </w:r>
      <w:r>
        <w:rPr>
          <w:rFonts w:ascii="仿宋" w:hAnsi="仿宋" w:eastAsia="仿宋" w:cs="Times New Roman"/>
          <w:bCs/>
          <w:sz w:val="30"/>
          <w:szCs w:val="30"/>
        </w:rPr>
        <w:t>532</w:t>
      </w:r>
      <w:r>
        <w:rPr>
          <w:rFonts w:hint="eastAsia" w:ascii="仿宋" w:hAnsi="仿宋" w:eastAsia="仿宋" w:cs="Times New Roman"/>
          <w:bCs/>
          <w:sz w:val="30"/>
          <w:szCs w:val="30"/>
        </w:rPr>
        <w:t>人次，4</w:t>
      </w:r>
      <w:r>
        <w:rPr>
          <w:rFonts w:ascii="仿宋" w:hAnsi="仿宋" w:eastAsia="仿宋" w:cs="Times New Roman"/>
          <w:bCs/>
          <w:sz w:val="30"/>
          <w:szCs w:val="30"/>
        </w:rPr>
        <w:t>23</w:t>
      </w:r>
      <w:r>
        <w:rPr>
          <w:rFonts w:hint="eastAsia" w:ascii="仿宋" w:hAnsi="仿宋" w:eastAsia="仿宋" w:cs="Times New Roman"/>
          <w:bCs/>
          <w:sz w:val="30"/>
          <w:szCs w:val="30"/>
        </w:rPr>
        <w:t>名学生享受“9</w:t>
      </w:r>
      <w:r>
        <w:rPr>
          <w:rFonts w:ascii="仿宋" w:hAnsi="仿宋" w:eastAsia="仿宋" w:cs="Times New Roman"/>
          <w:bCs/>
          <w:sz w:val="30"/>
          <w:szCs w:val="30"/>
        </w:rPr>
        <w:t>+3”</w:t>
      </w:r>
      <w:r>
        <w:rPr>
          <w:rFonts w:hint="eastAsia" w:ascii="仿宋" w:hAnsi="仿宋" w:eastAsia="仿宋" w:cs="Times New Roman"/>
          <w:bCs/>
          <w:sz w:val="30"/>
          <w:szCs w:val="30"/>
        </w:rPr>
        <w:t>免费教育政策；组织开展环保教育，实施垃圾分类，开展无烟学校建设；   六</w:t>
      </w:r>
      <w:r>
        <w:rPr>
          <w:rFonts w:hint="eastAsia" w:ascii="仿宋" w:hAnsi="仿宋" w:eastAsia="仿宋" w:cs="Times New Roman"/>
          <w:bCs/>
          <w:color w:val="0D0D0D"/>
          <w:kern w:val="0"/>
          <w:sz w:val="30"/>
          <w:szCs w:val="30"/>
        </w:rPr>
        <w:t>是狠抓安全管理，开展传染病防控，全年无重大安全责任事故，建立领导干部陪餐制度，从严从实从细开展食品安全工作，无食品安全事故，师生满意度高。</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8.坚持全面依法治校</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聘请法律顾问和法制副校长，组织开展学党章、学党内法规、学民法典等活动。规范办学行为，依法办学，依法从教。学校重要合同、重大事项经法律顾问合法性审查，依法办理工程招标、政府采购等事项。开展了扫黑除恶专项斗争，开展了森林防火教育、校园欺凌专项教育，师生无严重违法和犯罪案例。</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9.治理能力不断提高</w:t>
      </w:r>
    </w:p>
    <w:p>
      <w:pPr>
        <w:snapToGrid w:val="0"/>
        <w:spacing w:line="600" w:lineRule="exact"/>
        <w:ind w:firstLine="600" w:firstLineChars="200"/>
        <w:rPr>
          <w:rFonts w:ascii="仿宋" w:hAnsi="仿宋" w:eastAsia="仿宋" w:cs="Times New Roman"/>
          <w:bCs/>
          <w:sz w:val="30"/>
          <w:szCs w:val="30"/>
        </w:rPr>
      </w:pPr>
      <w:r>
        <w:rPr>
          <w:rFonts w:hint="eastAsia" w:ascii="仿宋" w:hAnsi="仿宋" w:eastAsia="仿宋" w:cs="Times New Roman"/>
          <w:bCs/>
          <w:sz w:val="30"/>
          <w:szCs w:val="30"/>
        </w:rPr>
        <w:t>完善制度，建立精细化管理机制，配合属地管理，参与社会综合治理，利用新技术提高管理效能。加强干部培训，提升学校现代化治理能力。学校信息化水平不断提升，教育、教学、后勤服务秩序井然。</w:t>
      </w:r>
    </w:p>
    <w:p>
      <w:pPr>
        <w:snapToGrid w:val="0"/>
        <w:spacing w:line="600" w:lineRule="exact"/>
        <w:ind w:firstLine="600" w:firstLineChars="200"/>
        <w:rPr>
          <w:rFonts w:ascii="仿宋" w:hAnsi="仿宋" w:eastAsia="仿宋" w:cs="Times New Roman"/>
          <w:bCs/>
          <w:color w:val="0D0D0D"/>
          <w:sz w:val="30"/>
          <w:szCs w:val="30"/>
        </w:rPr>
      </w:pPr>
      <w:r>
        <w:rPr>
          <w:rFonts w:hint="eastAsia" w:ascii="仿宋" w:hAnsi="仿宋" w:eastAsia="仿宋" w:cs="Times New Roman"/>
          <w:bCs/>
          <w:color w:val="0D0D0D"/>
          <w:sz w:val="30"/>
          <w:szCs w:val="30"/>
        </w:rPr>
        <w:t>10.落实中央、省、市规定精神，整改巡视巡察问题</w:t>
      </w:r>
    </w:p>
    <w:p>
      <w:pPr>
        <w:snapToGrid w:val="0"/>
        <w:spacing w:line="600" w:lineRule="exact"/>
        <w:ind w:firstLine="600" w:firstLineChars="200"/>
        <w:rPr>
          <w:rFonts w:ascii="仿宋" w:hAnsi="仿宋" w:eastAsia="仿宋" w:cs="Times New Roman"/>
          <w:bCs/>
          <w:color w:val="000000"/>
          <w:sz w:val="32"/>
          <w:szCs w:val="32"/>
        </w:rPr>
      </w:pPr>
      <w:r>
        <w:rPr>
          <w:rFonts w:hint="eastAsia" w:ascii="仿宋" w:hAnsi="仿宋" w:eastAsia="仿宋" w:cs="Times New Roman"/>
          <w:bCs/>
          <w:sz w:val="30"/>
          <w:szCs w:val="30"/>
        </w:rPr>
        <w:t>遵守廉洁从教规定，厉行节约，反对浪费。经内部审计、经济责任审计、市委巡察，执行市委市政府过紧日子十三条规定，学校“三公经费”开支合理，无违反财经纪律情况。加强项目管理，学习并熟练掌握相关法规，严格采购执行程序，严格按审批执行。对市委第四巡察组巡察出的问题即知即改，建立台账，扎实整改，逐一消号。</w:t>
      </w:r>
    </w:p>
    <w:p>
      <w:pPr>
        <w:pStyle w:val="4"/>
      </w:pPr>
      <w:bookmarkStart w:id="20" w:name="_Toc15377200"/>
      <w:bookmarkStart w:id="21" w:name="_Toc15396601"/>
      <w:bookmarkStart w:id="22" w:name="_Toc82767007"/>
      <w:bookmarkStart w:id="23" w:name="_Toc82767834"/>
      <w:r>
        <w:rPr>
          <w:rFonts w:hint="eastAsia"/>
          <w:color w:val="000000"/>
        </w:rPr>
        <w:t>二、机</w:t>
      </w:r>
      <w:r>
        <w:rPr>
          <w:rFonts w:hint="eastAsia"/>
        </w:rPr>
        <w:t>构设置</w:t>
      </w:r>
      <w:bookmarkEnd w:id="20"/>
      <w:bookmarkEnd w:id="21"/>
      <w:bookmarkEnd w:id="22"/>
      <w:bookmarkEnd w:id="23"/>
    </w:p>
    <w:p>
      <w:pPr>
        <w:adjustRightInd w:val="0"/>
        <w:snapToGrid w:val="0"/>
        <w:spacing w:before="93" w:beforeLines="30" w:line="600" w:lineRule="exact"/>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四川省广元市职业高级中学校直属于广元市教育局，为二级预算单位</w:t>
      </w:r>
      <w:bookmarkStart w:id="24" w:name="_Toc15396602"/>
      <w:bookmarkStart w:id="25" w:name="_Toc15377204"/>
      <w:r>
        <w:rPr>
          <w:rFonts w:hint="eastAsia" w:ascii="仿宋" w:hAnsi="仿宋" w:eastAsia="仿宋" w:cs="Times New Roman"/>
          <w:kern w:val="0"/>
          <w:sz w:val="32"/>
          <w:szCs w:val="32"/>
        </w:rPr>
        <w:t>。本单位设办公室、政教科、教务科、总务科、教科室、招生就业科、后勤保障科、实习实训鉴定科。</w:t>
      </w:r>
    </w:p>
    <w:p>
      <w:pPr>
        <w:pStyle w:val="3"/>
        <w:jc w:val="center"/>
        <w:rPr>
          <w:rFonts w:ascii="仿宋" w:hAnsi="仿宋" w:eastAsia="仿宋"/>
          <w:kern w:val="0"/>
          <w:sz w:val="32"/>
          <w:szCs w:val="32"/>
        </w:rPr>
      </w:pPr>
      <w:bookmarkStart w:id="26" w:name="_Toc82767008"/>
      <w:bookmarkStart w:id="27" w:name="_Toc82767835"/>
      <w:r>
        <w:rPr>
          <w:rFonts w:hint="eastAsia"/>
          <w:color w:val="000000"/>
        </w:rPr>
        <w:t>第二部分</w:t>
      </w:r>
      <w:r>
        <w:rPr>
          <w:color w:val="000000"/>
        </w:rPr>
        <w:t xml:space="preserve"> </w:t>
      </w:r>
      <w:r>
        <w:t>2020</w:t>
      </w:r>
      <w:r>
        <w:rPr>
          <w:rFonts w:hint="eastAsia"/>
        </w:rPr>
        <w:t>年度部门决算情况说明</w:t>
      </w:r>
      <w:bookmarkEnd w:id="24"/>
      <w:bookmarkEnd w:id="25"/>
      <w:bookmarkEnd w:id="26"/>
      <w:bookmarkEnd w:id="27"/>
    </w:p>
    <w:p>
      <w:pPr>
        <w:pStyle w:val="4"/>
      </w:pPr>
      <w:bookmarkStart w:id="28" w:name="_Toc15377205"/>
      <w:bookmarkStart w:id="29" w:name="_Toc15396603"/>
      <w:bookmarkStart w:id="30" w:name="_Toc82767836"/>
      <w:bookmarkStart w:id="31" w:name="_Toc82767009"/>
      <w:r>
        <w:rPr>
          <w:rFonts w:hint="eastAsia"/>
          <w:color w:val="000000"/>
        </w:rPr>
        <w:t>一、收</w:t>
      </w:r>
      <w:r>
        <w:rPr>
          <w:rFonts w:hint="eastAsia"/>
        </w:rPr>
        <w:t>入支出决算总体情况说明</w:t>
      </w:r>
      <w:bookmarkEnd w:id="28"/>
      <w:bookmarkEnd w:id="29"/>
      <w:bookmarkEnd w:id="30"/>
      <w:bookmarkEnd w:id="31"/>
    </w:p>
    <w:p>
      <w:pPr>
        <w:spacing w:line="600" w:lineRule="exact"/>
        <w:ind w:firstLine="420" w:firstLineChars="200"/>
        <w:rPr>
          <w:rFonts w:ascii="仿宋" w:hAnsi="仿宋" w:eastAsia="仿宋" w:cs="Times New Roman"/>
          <w:color w:val="000000"/>
          <w:sz w:val="32"/>
          <w:szCs w:val="32"/>
        </w:rPr>
      </w:pPr>
      <w:r>
        <w:rPr>
          <w:rFonts w:ascii="Times New Roman" w:hAnsi="Times New Roman" w:eastAsia="宋体" w:cs="Times New Roman"/>
          <w:szCs w:val="24"/>
        </w:rPr>
        <w:drawing>
          <wp:anchor distT="3175" distB="10795" distL="118110" distR="127000" simplePos="0" relativeHeight="251660288" behindDoc="0" locked="0" layoutInCell="1" allowOverlap="1">
            <wp:simplePos x="0" y="0"/>
            <wp:positionH relativeFrom="column">
              <wp:posOffset>584835</wp:posOffset>
            </wp:positionH>
            <wp:positionV relativeFrom="paragraph">
              <wp:posOffset>1365885</wp:posOffset>
            </wp:positionV>
            <wp:extent cx="4078605" cy="2072005"/>
            <wp:effectExtent l="0" t="0" r="17145" b="23495"/>
            <wp:wrapTopAndBottom/>
            <wp:docPr id="6" name="图表 6"/>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年度收、支总计5883.96万元。与</w:t>
      </w:r>
      <w:r>
        <w:rPr>
          <w:rFonts w:ascii="仿宋" w:hAnsi="仿宋" w:eastAsia="仿宋" w:cs="Times New Roman"/>
          <w:color w:val="000000"/>
          <w:sz w:val="32"/>
          <w:szCs w:val="32"/>
        </w:rPr>
        <w:t>2019</w:t>
      </w:r>
      <w:r>
        <w:rPr>
          <w:rFonts w:hint="eastAsia" w:ascii="仿宋" w:hAnsi="仿宋" w:eastAsia="仿宋" w:cs="Times New Roman"/>
          <w:color w:val="000000"/>
          <w:sz w:val="32"/>
          <w:szCs w:val="32"/>
        </w:rPr>
        <w:t>年相比，收、支总计各增加843.87万元，增长16.74</w:t>
      </w:r>
      <w:r>
        <w:rPr>
          <w:rFonts w:ascii="仿宋" w:hAnsi="仿宋" w:eastAsia="仿宋" w:cs="Times New Roman"/>
          <w:color w:val="000000"/>
          <w:sz w:val="32"/>
          <w:szCs w:val="32"/>
        </w:rPr>
        <w:t>%</w:t>
      </w:r>
      <w:r>
        <w:rPr>
          <w:rFonts w:hint="eastAsia" w:ascii="仿宋" w:hAnsi="仿宋" w:eastAsia="仿宋" w:cs="Times New Roman"/>
          <w:color w:val="000000"/>
          <w:sz w:val="32"/>
          <w:szCs w:val="32"/>
        </w:rPr>
        <w:t>。主要变动原因是学生人数增加，教职工人数增加，相应收入及支出增加。</w:t>
      </w:r>
    </w:p>
    <w:p>
      <w:pPr>
        <w:pStyle w:val="4"/>
      </w:pPr>
      <w:bookmarkStart w:id="32" w:name="_Toc82767010"/>
      <w:bookmarkStart w:id="33" w:name="_Toc15377206"/>
      <w:bookmarkStart w:id="34" w:name="_Toc15396604"/>
      <w:bookmarkStart w:id="35" w:name="_Toc82767837"/>
      <w:r>
        <w:rPr>
          <w:rFonts w:hint="eastAsia"/>
          <w:color w:val="000000"/>
        </w:rPr>
        <w:t>二、收</w:t>
      </w:r>
      <w:r>
        <w:rPr>
          <w:rFonts w:hint="eastAsia"/>
        </w:rPr>
        <w:t>入决算情况说明</w:t>
      </w:r>
      <w:bookmarkEnd w:id="32"/>
      <w:bookmarkEnd w:id="33"/>
      <w:bookmarkEnd w:id="34"/>
      <w:bookmarkEnd w:id="35"/>
    </w:p>
    <w:p>
      <w:pPr>
        <w:spacing w:line="600" w:lineRule="exact"/>
        <w:ind w:firstLine="420" w:firstLineChars="200"/>
        <w:outlineLvl w:val="1"/>
        <w:rPr>
          <w:rFonts w:ascii="仿宋_GB2312" w:hAnsi="Times New Roman" w:eastAsia="仿宋_GB2312" w:cs="Times New Roman"/>
          <w:color w:val="FF0000"/>
          <w:sz w:val="32"/>
          <w:szCs w:val="32"/>
        </w:rPr>
      </w:pPr>
      <w:bookmarkStart w:id="36" w:name="_Toc82767011"/>
      <w:bookmarkStart w:id="37" w:name="_Toc82767838"/>
      <w:r>
        <w:rPr>
          <w:rFonts w:ascii="Times New Roman" w:hAnsi="Times New Roman" w:eastAsia="宋体" w:cs="Times New Roman"/>
          <w:szCs w:val="24"/>
        </w:rPr>
        <w:drawing>
          <wp:anchor distT="2540" distB="9525" distL="117475" distR="125095" simplePos="0" relativeHeight="251661312" behindDoc="0" locked="0" layoutInCell="1" allowOverlap="1">
            <wp:simplePos x="0" y="0"/>
            <wp:positionH relativeFrom="column">
              <wp:posOffset>594360</wp:posOffset>
            </wp:positionH>
            <wp:positionV relativeFrom="paragraph">
              <wp:posOffset>1631315</wp:posOffset>
            </wp:positionV>
            <wp:extent cx="3430905" cy="1737995"/>
            <wp:effectExtent l="4445" t="4445" r="12700" b="10160"/>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年本年收入合计4223.58万元，其中：一般公共预算财政拨款收入3289.33万元，占77.88</w:t>
      </w:r>
      <w:r>
        <w:rPr>
          <w:rFonts w:ascii="仿宋" w:hAnsi="仿宋" w:eastAsia="仿宋" w:cs="Times New Roman"/>
          <w:color w:val="000000"/>
          <w:sz w:val="32"/>
          <w:szCs w:val="32"/>
        </w:rPr>
        <w:t>%</w:t>
      </w:r>
      <w:r>
        <w:rPr>
          <w:rFonts w:hint="eastAsia" w:ascii="仿宋" w:hAnsi="仿宋" w:eastAsia="仿宋" w:cs="Times New Roman"/>
          <w:color w:val="000000"/>
          <w:sz w:val="32"/>
          <w:szCs w:val="32"/>
        </w:rPr>
        <w:t>；政府性基金预算财政拨款收入4.76万元，占0.11</w:t>
      </w:r>
      <w:r>
        <w:rPr>
          <w:rFonts w:ascii="仿宋" w:hAnsi="仿宋" w:eastAsia="仿宋" w:cs="Times New Roman"/>
          <w:color w:val="000000"/>
          <w:sz w:val="32"/>
          <w:szCs w:val="32"/>
        </w:rPr>
        <w:t>%</w:t>
      </w:r>
      <w:r>
        <w:rPr>
          <w:rFonts w:hint="eastAsia" w:ascii="仿宋" w:hAnsi="仿宋" w:eastAsia="仿宋" w:cs="Times New Roman"/>
          <w:color w:val="000000"/>
          <w:sz w:val="32"/>
          <w:szCs w:val="32"/>
        </w:rPr>
        <w:t>；事业收入434.24万元，占10.28</w:t>
      </w:r>
      <w:r>
        <w:rPr>
          <w:rFonts w:ascii="仿宋" w:hAnsi="仿宋" w:eastAsia="仿宋" w:cs="Times New Roman"/>
          <w:color w:val="000000"/>
          <w:sz w:val="32"/>
          <w:szCs w:val="32"/>
        </w:rPr>
        <w:t>%</w:t>
      </w:r>
      <w:r>
        <w:rPr>
          <w:rFonts w:hint="eastAsia" w:ascii="仿宋" w:hAnsi="仿宋" w:eastAsia="仿宋" w:cs="Times New Roman"/>
          <w:color w:val="000000"/>
          <w:sz w:val="32"/>
          <w:szCs w:val="32"/>
        </w:rPr>
        <w:t>；其他收入495.25万元，占11.73</w:t>
      </w:r>
      <w:r>
        <w:rPr>
          <w:rFonts w:ascii="仿宋" w:hAnsi="仿宋" w:eastAsia="仿宋" w:cs="Times New Roman"/>
          <w:color w:val="000000"/>
          <w:sz w:val="32"/>
          <w:szCs w:val="32"/>
        </w:rPr>
        <w:t>%</w:t>
      </w:r>
      <w:r>
        <w:rPr>
          <w:rFonts w:hint="eastAsia" w:ascii="仿宋" w:hAnsi="仿宋" w:eastAsia="仿宋" w:cs="Times New Roman"/>
          <w:color w:val="000000"/>
          <w:sz w:val="32"/>
          <w:szCs w:val="32"/>
        </w:rPr>
        <w:t>。</w:t>
      </w:r>
      <w:bookmarkEnd w:id="36"/>
      <w:bookmarkEnd w:id="37"/>
    </w:p>
    <w:p>
      <w:pPr>
        <w:pStyle w:val="4"/>
      </w:pPr>
      <w:bookmarkStart w:id="38" w:name="_Toc82767012"/>
      <w:bookmarkStart w:id="39" w:name="_Toc82767839"/>
      <w:bookmarkStart w:id="40" w:name="_Toc15377207"/>
      <w:bookmarkStart w:id="41" w:name="_Toc15396605"/>
      <w:r>
        <w:rPr>
          <w:rFonts w:hint="eastAsia"/>
          <w:color w:val="000000"/>
        </w:rPr>
        <w:t>三、支</w:t>
      </w:r>
      <w:r>
        <w:rPr>
          <w:rFonts w:hint="eastAsia"/>
        </w:rPr>
        <w:t>出决算情况说明</w:t>
      </w:r>
      <w:bookmarkEnd w:id="38"/>
      <w:bookmarkEnd w:id="39"/>
      <w:bookmarkEnd w:id="40"/>
      <w:bookmarkEnd w:id="41"/>
    </w:p>
    <w:p>
      <w:pPr>
        <w:spacing w:line="600" w:lineRule="exact"/>
        <w:ind w:firstLine="640" w:firstLineChars="200"/>
        <w:outlineLvl w:val="1"/>
        <w:rPr>
          <w:rFonts w:ascii="仿宋" w:hAnsi="仿宋" w:eastAsia="仿宋" w:cs="Times New Roman"/>
          <w:color w:val="000000"/>
          <w:sz w:val="32"/>
          <w:szCs w:val="32"/>
          <w:shd w:val="pct10" w:color="auto" w:fill="FFFFFF"/>
        </w:rPr>
      </w:pPr>
      <w:bookmarkStart w:id="42" w:name="_Toc82767840"/>
      <w:bookmarkStart w:id="43" w:name="_Toc82767013"/>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年本年支出合计3669.53万元，其中：基本支出2023.36万元，占55.14</w:t>
      </w:r>
      <w:r>
        <w:rPr>
          <w:rFonts w:ascii="仿宋" w:hAnsi="仿宋" w:eastAsia="仿宋" w:cs="Times New Roman"/>
          <w:color w:val="000000"/>
          <w:sz w:val="32"/>
          <w:szCs w:val="32"/>
        </w:rPr>
        <w:t>%</w:t>
      </w:r>
      <w:r>
        <w:rPr>
          <w:rFonts w:hint="eastAsia" w:ascii="仿宋" w:hAnsi="仿宋" w:eastAsia="仿宋" w:cs="Times New Roman"/>
          <w:color w:val="000000"/>
          <w:sz w:val="32"/>
          <w:szCs w:val="32"/>
        </w:rPr>
        <w:t>；项目支出1646.17万元，占44.86</w:t>
      </w:r>
      <w:r>
        <w:rPr>
          <w:rFonts w:ascii="仿宋" w:hAnsi="仿宋" w:eastAsia="仿宋" w:cs="Times New Roman"/>
          <w:color w:val="000000"/>
          <w:sz w:val="32"/>
          <w:szCs w:val="32"/>
        </w:rPr>
        <w:t>%</w:t>
      </w:r>
      <w:r>
        <w:rPr>
          <w:rFonts w:hint="eastAsia" w:ascii="仿宋" w:hAnsi="仿宋" w:eastAsia="仿宋" w:cs="Times New Roman"/>
          <w:color w:val="000000"/>
          <w:sz w:val="32"/>
          <w:szCs w:val="32"/>
        </w:rPr>
        <w:t>。</w:t>
      </w:r>
      <w:bookmarkEnd w:id="42"/>
      <w:bookmarkEnd w:id="43"/>
      <w:bookmarkStart w:id="44" w:name="_Toc15377208"/>
      <w:bookmarkStart w:id="45" w:name="_Toc15396606"/>
    </w:p>
    <w:p>
      <w:pPr>
        <w:pStyle w:val="4"/>
      </w:pPr>
      <w:bookmarkStart w:id="46" w:name="_Toc82767014"/>
      <w:bookmarkStart w:id="47" w:name="_Toc82767841"/>
      <w:r>
        <w:rPr>
          <w:rFonts w:ascii="Times New Roman" w:hAnsi="Times New Roman"/>
          <w:szCs w:val="24"/>
        </w:rPr>
        <w:drawing>
          <wp:anchor distT="3810" distB="12700" distL="118110" distR="127000" simplePos="0" relativeHeight="251662336" behindDoc="0" locked="0" layoutInCell="1" allowOverlap="1">
            <wp:simplePos x="0" y="0"/>
            <wp:positionH relativeFrom="column">
              <wp:posOffset>503555</wp:posOffset>
            </wp:positionH>
            <wp:positionV relativeFrom="paragraph">
              <wp:posOffset>32385</wp:posOffset>
            </wp:positionV>
            <wp:extent cx="3439160" cy="2316480"/>
            <wp:effectExtent l="0" t="0" r="27940" b="2667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color w:val="000000"/>
        </w:rPr>
        <w:t>四、财</w:t>
      </w:r>
      <w:r>
        <w:rPr>
          <w:rFonts w:hint="eastAsia"/>
        </w:rPr>
        <w:t>政拨款收入支出决算总体情况说明</w:t>
      </w:r>
      <w:bookmarkEnd w:id="44"/>
      <w:bookmarkEnd w:id="45"/>
      <w:bookmarkEnd w:id="46"/>
      <w:bookmarkEnd w:id="47"/>
    </w:p>
    <w:p>
      <w:pPr>
        <w:spacing w:line="600" w:lineRule="exact"/>
        <w:ind w:firstLine="420" w:firstLineChars="200"/>
        <w:rPr>
          <w:rFonts w:ascii="仿宋" w:hAnsi="仿宋" w:eastAsia="仿宋" w:cs="Times New Roman"/>
          <w:b/>
          <w:color w:val="00B050"/>
          <w:sz w:val="32"/>
          <w:szCs w:val="32"/>
        </w:rPr>
      </w:pPr>
      <w:r>
        <w:rPr>
          <w:rFonts w:ascii="Times New Roman" w:hAnsi="Times New Roman" w:eastAsia="宋体" w:cs="Times New Roman"/>
          <w:szCs w:val="24"/>
        </w:rPr>
        <w:drawing>
          <wp:anchor distT="4445" distB="14605" distL="118745" distR="128905" simplePos="0" relativeHeight="251663360" behindDoc="0" locked="0" layoutInCell="1" allowOverlap="1">
            <wp:simplePos x="0" y="0"/>
            <wp:positionH relativeFrom="column">
              <wp:posOffset>628650</wp:posOffset>
            </wp:positionH>
            <wp:positionV relativeFrom="paragraph">
              <wp:posOffset>1572260</wp:posOffset>
            </wp:positionV>
            <wp:extent cx="3600450" cy="2057400"/>
            <wp:effectExtent l="0" t="0" r="19050" b="1905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年财政拨款收、支总计4954.46万元。与</w:t>
      </w:r>
      <w:r>
        <w:rPr>
          <w:rFonts w:ascii="仿宋" w:hAnsi="仿宋" w:eastAsia="仿宋" w:cs="Times New Roman"/>
          <w:color w:val="000000"/>
          <w:sz w:val="32"/>
          <w:szCs w:val="32"/>
        </w:rPr>
        <w:t>2019</w:t>
      </w:r>
      <w:r>
        <w:rPr>
          <w:rFonts w:hint="eastAsia" w:ascii="仿宋" w:hAnsi="仿宋" w:eastAsia="仿宋" w:cs="Times New Roman"/>
          <w:color w:val="000000"/>
          <w:sz w:val="32"/>
          <w:szCs w:val="32"/>
        </w:rPr>
        <w:t>年相比，财政拨款收、支各增加425,06万元，增长9.38</w:t>
      </w:r>
      <w:r>
        <w:rPr>
          <w:rFonts w:ascii="仿宋" w:hAnsi="仿宋" w:eastAsia="仿宋" w:cs="Times New Roman"/>
          <w:color w:val="000000"/>
          <w:sz w:val="32"/>
          <w:szCs w:val="32"/>
        </w:rPr>
        <w:t>%</w:t>
      </w:r>
      <w:r>
        <w:rPr>
          <w:rFonts w:hint="eastAsia" w:ascii="仿宋" w:hAnsi="仿宋" w:eastAsia="仿宋" w:cs="Times New Roman"/>
          <w:color w:val="000000"/>
          <w:sz w:val="32"/>
          <w:szCs w:val="32"/>
        </w:rPr>
        <w:t>。主要变动原因是学生人数增加，教职工人数增加，相应收入及支出增加。</w:t>
      </w:r>
    </w:p>
    <w:p>
      <w:pPr>
        <w:pStyle w:val="4"/>
        <w:rPr>
          <w:color w:val="000000"/>
        </w:rPr>
      </w:pPr>
      <w:bookmarkStart w:id="48" w:name="_Toc82767842"/>
      <w:bookmarkStart w:id="49" w:name="_Toc82767015"/>
      <w:bookmarkStart w:id="50" w:name="_Toc15396607"/>
      <w:bookmarkStart w:id="51" w:name="_Toc15377209"/>
      <w:r>
        <w:rPr>
          <w:rFonts w:hint="eastAsia"/>
          <w:color w:val="000000"/>
        </w:rPr>
        <w:t>五、一</w:t>
      </w:r>
      <w:r>
        <w:rPr>
          <w:rFonts w:hint="eastAsia"/>
        </w:rPr>
        <w:t>般公共预算财政拨款支出决算情况说明</w:t>
      </w:r>
      <w:bookmarkEnd w:id="48"/>
      <w:bookmarkEnd w:id="49"/>
      <w:bookmarkEnd w:id="50"/>
      <w:bookmarkEnd w:id="51"/>
    </w:p>
    <w:p>
      <w:pPr>
        <w:spacing w:line="600" w:lineRule="exact"/>
        <w:ind w:firstLine="642" w:firstLineChars="200"/>
        <w:outlineLvl w:val="2"/>
        <w:rPr>
          <w:rFonts w:ascii="仿宋" w:hAnsi="仿宋" w:eastAsia="仿宋" w:cs="Times New Roman"/>
          <w:b/>
          <w:color w:val="000000"/>
          <w:sz w:val="32"/>
          <w:szCs w:val="32"/>
        </w:rPr>
      </w:pPr>
      <w:bookmarkStart w:id="52" w:name="_Toc15377210"/>
      <w:r>
        <w:rPr>
          <w:rFonts w:hint="eastAsia" w:ascii="仿宋" w:hAnsi="仿宋" w:eastAsia="仿宋" w:cs="Times New Roman"/>
          <w:b/>
          <w:color w:val="000000"/>
          <w:sz w:val="32"/>
          <w:szCs w:val="32"/>
        </w:rPr>
        <w:t>（一）一般公共预算财政拨款支出决算总体情况</w:t>
      </w:r>
      <w:bookmarkEnd w:id="52"/>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年一般公共预算财政拨款支出2735.28万元，占本年支出合计的74.54</w:t>
      </w:r>
      <w:r>
        <w:rPr>
          <w:rFonts w:ascii="仿宋" w:hAnsi="仿宋" w:eastAsia="仿宋" w:cs="Times New Roman"/>
          <w:color w:val="000000"/>
          <w:sz w:val="32"/>
          <w:szCs w:val="32"/>
        </w:rPr>
        <w:t>%</w:t>
      </w:r>
      <w:r>
        <w:rPr>
          <w:rFonts w:hint="eastAsia" w:ascii="仿宋" w:hAnsi="仿宋" w:eastAsia="仿宋" w:cs="Times New Roman"/>
          <w:color w:val="000000"/>
          <w:sz w:val="32"/>
          <w:szCs w:val="32"/>
        </w:rPr>
        <w:t>。与</w:t>
      </w:r>
      <w:r>
        <w:rPr>
          <w:rFonts w:ascii="仿宋" w:hAnsi="仿宋" w:eastAsia="仿宋" w:cs="Times New Roman"/>
          <w:color w:val="000000"/>
          <w:sz w:val="32"/>
          <w:szCs w:val="32"/>
        </w:rPr>
        <w:t>2019</w:t>
      </w:r>
      <w:r>
        <w:rPr>
          <w:rFonts w:hint="eastAsia" w:ascii="仿宋" w:hAnsi="仿宋" w:eastAsia="仿宋" w:cs="Times New Roman"/>
          <w:color w:val="000000"/>
          <w:sz w:val="32"/>
          <w:szCs w:val="32"/>
        </w:rPr>
        <w:t>年相比，一般公共预算财政拨款减少526.42万元，下降16.14</w:t>
      </w:r>
      <w:r>
        <w:rPr>
          <w:rFonts w:ascii="仿宋" w:hAnsi="仿宋" w:eastAsia="仿宋" w:cs="Times New Roman"/>
          <w:color w:val="000000"/>
          <w:sz w:val="32"/>
          <w:szCs w:val="32"/>
        </w:rPr>
        <w:t>%</w:t>
      </w:r>
      <w:r>
        <w:rPr>
          <w:rFonts w:hint="eastAsia" w:ascii="仿宋" w:hAnsi="仿宋" w:eastAsia="仿宋" w:cs="Times New Roman"/>
          <w:color w:val="000000"/>
          <w:sz w:val="32"/>
          <w:szCs w:val="32"/>
        </w:rPr>
        <w:t>。主要变动原因是项目支出减少。</w:t>
      </w:r>
    </w:p>
    <w:p>
      <w:pPr>
        <w:spacing w:line="600" w:lineRule="exact"/>
        <w:ind w:firstLine="420" w:firstLineChars="200"/>
        <w:rPr>
          <w:rFonts w:ascii="仿宋" w:hAnsi="仿宋" w:eastAsia="仿宋" w:cs="Times New Roman"/>
          <w:color w:val="000000"/>
          <w:sz w:val="32"/>
          <w:szCs w:val="32"/>
        </w:rPr>
      </w:pPr>
      <w:r>
        <w:rPr>
          <w:rFonts w:ascii="Times New Roman" w:hAnsi="Times New Roman" w:eastAsia="宋体" w:cs="Times New Roman"/>
          <w:szCs w:val="24"/>
        </w:rPr>
        <w:drawing>
          <wp:anchor distT="2540" distB="10160" distL="117475" distR="125730" simplePos="0" relativeHeight="251664384" behindDoc="0" locked="0" layoutInCell="1" allowOverlap="1">
            <wp:simplePos x="0" y="0"/>
            <wp:positionH relativeFrom="column">
              <wp:posOffset>956310</wp:posOffset>
            </wp:positionH>
            <wp:positionV relativeFrom="paragraph">
              <wp:posOffset>250190</wp:posOffset>
            </wp:positionV>
            <wp:extent cx="3539490" cy="1907540"/>
            <wp:effectExtent l="4445" t="5080" r="18415" b="1143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bookmarkStart w:id="53" w:name="_Toc15377211"/>
      <w:r>
        <w:rPr>
          <w:rFonts w:hint="eastAsia" w:ascii="仿宋" w:hAnsi="仿宋" w:eastAsia="仿宋" w:cs="Times New Roman"/>
          <w:b/>
          <w:color w:val="000000"/>
          <w:sz w:val="32"/>
          <w:szCs w:val="32"/>
        </w:rPr>
        <w:t>（二）一般公共预算财政拨款支出决算结构情况</w:t>
      </w:r>
      <w:bookmarkEnd w:id="53"/>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sz w:val="32"/>
          <w:szCs w:val="32"/>
        </w:rPr>
        <w:t>2020</w:t>
      </w:r>
      <w:r>
        <w:rPr>
          <w:rFonts w:hint="eastAsia" w:ascii="仿宋" w:hAnsi="仿宋" w:eastAsia="仿宋" w:cs="Times New Roman"/>
          <w:sz w:val="32"/>
          <w:szCs w:val="32"/>
        </w:rPr>
        <w:t>年一般公共预算财政拨款支出2735.28万元，主要用于以下方面</w:t>
      </w:r>
      <w:r>
        <w:rPr>
          <w:rFonts w:ascii="仿宋" w:hAnsi="仿宋" w:eastAsia="仿宋" w:cs="Times New Roman"/>
          <w:sz w:val="32"/>
          <w:szCs w:val="32"/>
        </w:rPr>
        <w:t>:</w:t>
      </w:r>
      <w:r>
        <w:rPr>
          <w:rFonts w:hint="eastAsia" w:ascii="仿宋" w:hAnsi="仿宋" w:eastAsia="仿宋" w:cs="Times New Roman"/>
          <w:b/>
          <w:sz w:val="32"/>
          <w:szCs w:val="32"/>
        </w:rPr>
        <w:t>教育支出（类）</w:t>
      </w:r>
      <w:r>
        <w:rPr>
          <w:rFonts w:hint="eastAsia" w:ascii="仿宋" w:hAnsi="仿宋" w:eastAsia="仿宋" w:cs="Times New Roman"/>
          <w:sz w:val="32"/>
          <w:szCs w:val="32"/>
        </w:rPr>
        <w:t>2279.73万元，占83.35</w:t>
      </w:r>
      <w:r>
        <w:rPr>
          <w:rFonts w:ascii="仿宋" w:hAnsi="仿宋" w:eastAsia="仿宋" w:cs="Times New Roman"/>
          <w:sz w:val="32"/>
          <w:szCs w:val="32"/>
        </w:rPr>
        <w:t>%</w:t>
      </w:r>
      <w:r>
        <w:rPr>
          <w:rFonts w:hint="eastAsia" w:ascii="仿宋" w:hAnsi="仿宋" w:eastAsia="仿宋" w:cs="Times New Roman"/>
          <w:sz w:val="32"/>
          <w:szCs w:val="32"/>
        </w:rPr>
        <w:t>；</w:t>
      </w:r>
      <w:r>
        <w:rPr>
          <w:rFonts w:hint="eastAsia" w:ascii="仿宋" w:hAnsi="仿宋" w:eastAsia="仿宋" w:cs="Times New Roman"/>
          <w:b/>
          <w:sz w:val="32"/>
          <w:szCs w:val="32"/>
        </w:rPr>
        <w:t>社会保障和就业（类）</w:t>
      </w:r>
      <w:r>
        <w:rPr>
          <w:rFonts w:hint="eastAsia" w:ascii="仿宋" w:hAnsi="仿宋" w:eastAsia="仿宋" w:cs="Times New Roman"/>
          <w:sz w:val="32"/>
          <w:szCs w:val="32"/>
        </w:rPr>
        <w:t>支出207.19万元，占7.57</w:t>
      </w:r>
      <w:r>
        <w:rPr>
          <w:rFonts w:ascii="仿宋" w:hAnsi="仿宋" w:eastAsia="仿宋" w:cs="Times New Roman"/>
          <w:sz w:val="32"/>
          <w:szCs w:val="32"/>
        </w:rPr>
        <w:t>%</w:t>
      </w:r>
      <w:r>
        <w:rPr>
          <w:rFonts w:hint="eastAsia" w:ascii="仿宋" w:hAnsi="仿宋" w:eastAsia="仿宋" w:cs="Times New Roman"/>
          <w:sz w:val="32"/>
          <w:szCs w:val="32"/>
        </w:rPr>
        <w:t>；</w:t>
      </w:r>
      <w:r>
        <w:rPr>
          <w:rFonts w:hint="eastAsia" w:ascii="仿宋" w:hAnsi="仿宋" w:eastAsia="仿宋" w:cs="Times New Roman"/>
          <w:b/>
          <w:bCs/>
          <w:sz w:val="32"/>
          <w:szCs w:val="32"/>
        </w:rPr>
        <w:t>卫生健康支出</w:t>
      </w:r>
      <w:r>
        <w:rPr>
          <w:rFonts w:hint="eastAsia" w:ascii="仿宋" w:hAnsi="仿宋" w:eastAsia="仿宋" w:cs="Times New Roman"/>
          <w:b/>
          <w:sz w:val="32"/>
          <w:szCs w:val="32"/>
        </w:rPr>
        <w:t>（类）</w:t>
      </w:r>
      <w:r>
        <w:rPr>
          <w:rFonts w:hint="eastAsia" w:ascii="仿宋" w:hAnsi="仿宋" w:eastAsia="仿宋" w:cs="Times New Roman"/>
          <w:sz w:val="32"/>
          <w:szCs w:val="32"/>
        </w:rPr>
        <w:t>87.38万元，占3.19</w:t>
      </w:r>
      <w:r>
        <w:rPr>
          <w:rFonts w:ascii="仿宋" w:hAnsi="仿宋" w:eastAsia="仿宋" w:cs="Times New Roman"/>
          <w:sz w:val="32"/>
          <w:szCs w:val="32"/>
        </w:rPr>
        <w:t>%</w:t>
      </w:r>
      <w:r>
        <w:rPr>
          <w:rFonts w:hint="eastAsia" w:ascii="仿宋" w:hAnsi="仿宋" w:eastAsia="仿宋" w:cs="Times New Roman"/>
          <w:sz w:val="32"/>
          <w:szCs w:val="32"/>
        </w:rPr>
        <w:t>；</w:t>
      </w:r>
      <w:r>
        <w:rPr>
          <w:rFonts w:hint="eastAsia" w:ascii="仿宋" w:hAnsi="仿宋" w:eastAsia="仿宋" w:cs="Times New Roman"/>
          <w:b/>
          <w:bCs/>
          <w:sz w:val="32"/>
          <w:szCs w:val="32"/>
        </w:rPr>
        <w:t>住房保障支出</w:t>
      </w:r>
      <w:r>
        <w:rPr>
          <w:rFonts w:hint="eastAsia" w:ascii="仿宋" w:hAnsi="仿宋" w:eastAsia="仿宋" w:cs="Times New Roman"/>
          <w:b/>
          <w:sz w:val="32"/>
          <w:szCs w:val="32"/>
        </w:rPr>
        <w:t>（类）</w:t>
      </w:r>
      <w:r>
        <w:rPr>
          <w:rFonts w:hint="eastAsia" w:ascii="仿宋" w:hAnsi="仿宋" w:eastAsia="仿宋" w:cs="Times New Roman"/>
          <w:sz w:val="32"/>
          <w:szCs w:val="32"/>
        </w:rPr>
        <w:t>160.98万元，占5.89</w:t>
      </w:r>
      <w:r>
        <w:rPr>
          <w:rFonts w:ascii="仿宋" w:hAnsi="仿宋" w:eastAsia="仿宋" w:cs="Times New Roman"/>
          <w:sz w:val="32"/>
          <w:szCs w:val="32"/>
        </w:rPr>
        <w:t>%</w:t>
      </w:r>
      <w:r>
        <w:rPr>
          <w:rFonts w:hint="eastAsia" w:ascii="仿宋" w:hAnsi="仿宋" w:eastAsia="仿宋" w:cs="Times New Roman"/>
          <w:sz w:val="32"/>
          <w:szCs w:val="32"/>
        </w:rPr>
        <w:t>。</w:t>
      </w:r>
    </w:p>
    <w:p>
      <w:pPr>
        <w:spacing w:line="600" w:lineRule="exact"/>
        <w:rPr>
          <w:rFonts w:ascii="仿宋" w:hAnsi="仿宋" w:eastAsia="仿宋" w:cs="Times New Roman"/>
          <w:color w:val="000000"/>
          <w:sz w:val="32"/>
          <w:szCs w:val="32"/>
        </w:rPr>
      </w:pPr>
      <w:r>
        <w:rPr>
          <w:rFonts w:ascii="Times New Roman" w:hAnsi="Times New Roman" w:eastAsia="宋体" w:cs="Times New Roman"/>
          <w:szCs w:val="24"/>
        </w:rPr>
        <w:drawing>
          <wp:anchor distT="2540" distB="9525" distL="117475" distR="126365" simplePos="0" relativeHeight="251665408" behindDoc="0" locked="0" layoutInCell="1" allowOverlap="1">
            <wp:simplePos x="0" y="0"/>
            <wp:positionH relativeFrom="column">
              <wp:posOffset>955675</wp:posOffset>
            </wp:positionH>
            <wp:positionV relativeFrom="paragraph">
              <wp:posOffset>403860</wp:posOffset>
            </wp:positionV>
            <wp:extent cx="3185160" cy="1738630"/>
            <wp:effectExtent l="4445" t="4445" r="10795" b="952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642" w:firstLineChars="200"/>
        <w:outlineLvl w:val="2"/>
        <w:rPr>
          <w:rFonts w:ascii="仿宋" w:hAnsi="仿宋" w:eastAsia="仿宋" w:cs="Times New Roman"/>
          <w:b/>
          <w:color w:val="000000"/>
          <w:sz w:val="32"/>
          <w:szCs w:val="32"/>
        </w:rPr>
      </w:pPr>
      <w:bookmarkStart w:id="54" w:name="_Toc15377212"/>
      <w:r>
        <w:rPr>
          <w:rFonts w:hint="eastAsia" w:ascii="仿宋" w:hAnsi="仿宋" w:eastAsia="仿宋" w:cs="Times New Roman"/>
          <w:b/>
          <w:color w:val="000000"/>
          <w:sz w:val="32"/>
          <w:szCs w:val="32"/>
        </w:rPr>
        <w:t>（三）一般公共预算财政拨款支出决算具体情况</w:t>
      </w:r>
      <w:bookmarkEnd w:id="54"/>
    </w:p>
    <w:p>
      <w:pPr>
        <w:spacing w:line="600" w:lineRule="exact"/>
        <w:ind w:firstLine="642" w:firstLineChars="200"/>
        <w:outlineLvl w:val="2"/>
        <w:rPr>
          <w:rFonts w:ascii="仿宋" w:hAnsi="仿宋" w:eastAsia="仿宋" w:cs="Times New Roman"/>
          <w:color w:val="FF0000"/>
          <w:sz w:val="32"/>
          <w:szCs w:val="32"/>
        </w:rPr>
      </w:pPr>
      <w:bookmarkStart w:id="55" w:name="_Toc15378460"/>
      <w:bookmarkStart w:id="56" w:name="_Toc15377213"/>
      <w:bookmarkStart w:id="57" w:name="_Toc15377444"/>
      <w:r>
        <w:rPr>
          <w:rFonts w:ascii="仿宋" w:hAnsi="仿宋" w:eastAsia="仿宋" w:cs="Times New Roman"/>
          <w:b/>
          <w:color w:val="000000"/>
          <w:sz w:val="32"/>
          <w:szCs w:val="32"/>
        </w:rPr>
        <w:t>2020</w:t>
      </w:r>
      <w:r>
        <w:rPr>
          <w:rFonts w:hint="eastAsia" w:ascii="仿宋" w:hAnsi="仿宋" w:eastAsia="仿宋" w:cs="Times New Roman"/>
          <w:b/>
          <w:color w:val="000000"/>
          <w:sz w:val="32"/>
          <w:szCs w:val="32"/>
        </w:rPr>
        <w:t>年一般公共预算支出决算数为2735.28万元，</w:t>
      </w:r>
      <w:r>
        <w:rPr>
          <w:rFonts w:hint="eastAsia" w:ascii="仿宋" w:hAnsi="仿宋" w:eastAsia="仿宋" w:cs="Times New Roman"/>
          <w:b/>
          <w:bCs/>
          <w:color w:val="000000"/>
          <w:sz w:val="32"/>
          <w:szCs w:val="32"/>
        </w:rPr>
        <w:t>完成预算130.03</w:t>
      </w:r>
      <w:r>
        <w:rPr>
          <w:rFonts w:ascii="仿宋" w:hAnsi="仿宋" w:eastAsia="仿宋" w:cs="Times New Roman"/>
          <w:b/>
          <w:bCs/>
          <w:color w:val="000000"/>
          <w:sz w:val="32"/>
          <w:szCs w:val="32"/>
        </w:rPr>
        <w:t>%</w:t>
      </w:r>
      <w:r>
        <w:rPr>
          <w:rFonts w:hint="eastAsia" w:ascii="仿宋" w:hAnsi="仿宋" w:eastAsia="仿宋" w:cs="Times New Roman"/>
          <w:b/>
          <w:bCs/>
          <w:color w:val="000000"/>
          <w:sz w:val="32"/>
          <w:szCs w:val="32"/>
        </w:rPr>
        <w:t>。其中：</w:t>
      </w:r>
      <w:bookmarkEnd w:id="55"/>
      <w:bookmarkEnd w:id="56"/>
      <w:bookmarkEnd w:id="57"/>
    </w:p>
    <w:p>
      <w:pPr>
        <w:spacing w:line="600" w:lineRule="exact"/>
        <w:ind w:firstLine="642" w:firstLineChars="200"/>
        <w:rPr>
          <w:rFonts w:ascii="仿宋" w:hAnsi="仿宋" w:eastAsia="仿宋" w:cs="Times New Roman"/>
          <w:b/>
          <w:bCs/>
          <w:color w:val="000000"/>
          <w:sz w:val="32"/>
          <w:szCs w:val="32"/>
        </w:rPr>
      </w:pPr>
      <w:r>
        <w:rPr>
          <w:rFonts w:ascii="仿宋" w:hAnsi="仿宋" w:eastAsia="仿宋" w:cs="Times New Roman"/>
          <w:b/>
          <w:bCs/>
          <w:color w:val="000000"/>
          <w:sz w:val="32"/>
          <w:szCs w:val="32"/>
        </w:rPr>
        <w:t>1</w:t>
      </w:r>
      <w:r>
        <w:rPr>
          <w:rFonts w:hint="eastAsia" w:ascii="仿宋" w:hAnsi="仿宋" w:eastAsia="仿宋" w:cs="Times New Roman"/>
          <w:b/>
          <w:bCs/>
          <w:color w:val="000000"/>
          <w:sz w:val="32"/>
          <w:szCs w:val="32"/>
        </w:rPr>
        <w:t>.教育（类）职业教育</w:t>
      </w:r>
      <w:r>
        <w:rPr>
          <w:rFonts w:hint="eastAsia" w:ascii="仿宋" w:hAnsi="仿宋" w:eastAsia="仿宋" w:cs="Times New Roman"/>
          <w:b/>
          <w:bCs/>
          <w:color w:val="000000"/>
          <w:sz w:val="32"/>
          <w:szCs w:val="32"/>
          <w:lang w:eastAsia="zh-Hans"/>
        </w:rPr>
        <w:t>（款）</w:t>
      </w:r>
      <w:r>
        <w:rPr>
          <w:rFonts w:hint="eastAsia" w:ascii="仿宋" w:hAnsi="仿宋" w:eastAsia="仿宋" w:cs="Times New Roman"/>
          <w:b/>
          <w:bCs/>
          <w:color w:val="000000"/>
          <w:sz w:val="32"/>
          <w:szCs w:val="32"/>
        </w:rPr>
        <w:t>中等职业教育</w:t>
      </w:r>
      <w:r>
        <w:rPr>
          <w:rFonts w:hint="eastAsia" w:ascii="仿宋" w:hAnsi="仿宋" w:eastAsia="仿宋" w:cs="Times New Roman"/>
          <w:b/>
          <w:bCs/>
          <w:color w:val="000000"/>
          <w:sz w:val="32"/>
          <w:szCs w:val="32"/>
          <w:lang w:eastAsia="zh-Hans"/>
        </w:rPr>
        <w:t>（项）</w:t>
      </w:r>
      <w:r>
        <w:rPr>
          <w:rFonts w:ascii="仿宋" w:hAnsi="仿宋" w:eastAsia="仿宋" w:cs="Times New Roman"/>
          <w:b/>
          <w:bCs/>
          <w:color w:val="000000"/>
          <w:sz w:val="32"/>
          <w:szCs w:val="32"/>
        </w:rPr>
        <w:t>:</w:t>
      </w:r>
      <w:r>
        <w:rPr>
          <w:rFonts w:ascii="仿宋" w:hAnsi="仿宋" w:eastAsia="仿宋" w:cs="Times New Roman"/>
          <w:bCs/>
          <w:color w:val="000000"/>
          <w:sz w:val="32"/>
          <w:szCs w:val="32"/>
        </w:rPr>
        <w:t xml:space="preserve"> </w:t>
      </w:r>
      <w:r>
        <w:rPr>
          <w:rFonts w:hint="eastAsia" w:ascii="仿宋" w:hAnsi="仿宋" w:eastAsia="仿宋" w:cs="Times New Roman"/>
          <w:bCs/>
          <w:color w:val="000000"/>
          <w:sz w:val="32"/>
          <w:szCs w:val="32"/>
        </w:rPr>
        <w:t>支出决算为2279.73万元，完成预算124.8</w:t>
      </w:r>
      <w:r>
        <w:rPr>
          <w:rFonts w:ascii="仿宋" w:hAnsi="仿宋" w:eastAsia="仿宋" w:cs="Times New Roman"/>
          <w:bCs/>
          <w:color w:val="000000"/>
          <w:sz w:val="32"/>
          <w:szCs w:val="32"/>
        </w:rPr>
        <w:t>%</w:t>
      </w:r>
      <w:r>
        <w:rPr>
          <w:rFonts w:hint="eastAsia" w:ascii="仿宋" w:hAnsi="仿宋" w:eastAsia="仿宋" w:cs="Times New Roman"/>
          <w:bCs/>
          <w:color w:val="000000"/>
          <w:sz w:val="32"/>
          <w:szCs w:val="32"/>
        </w:rPr>
        <w:t>，决算数大于预算数的主要原因是新学期学生人员增加，教职工人数增加。</w:t>
      </w:r>
    </w:p>
    <w:p>
      <w:pPr>
        <w:spacing w:line="600" w:lineRule="exact"/>
        <w:ind w:firstLine="642" w:firstLineChars="200"/>
        <w:rPr>
          <w:rFonts w:ascii="仿宋" w:hAnsi="仿宋" w:eastAsia="仿宋" w:cs="Times New Roman"/>
          <w:b/>
          <w:color w:val="000000"/>
          <w:sz w:val="32"/>
          <w:szCs w:val="32"/>
        </w:rPr>
      </w:pPr>
      <w:r>
        <w:rPr>
          <w:rFonts w:hint="eastAsia" w:ascii="仿宋" w:hAnsi="仿宋" w:eastAsia="仿宋" w:cs="Times New Roman"/>
          <w:b/>
          <w:bCs/>
          <w:color w:val="000000"/>
          <w:sz w:val="32"/>
          <w:szCs w:val="32"/>
        </w:rPr>
        <w:t>2.社会保障和就业（类）</w:t>
      </w:r>
      <w:r>
        <w:rPr>
          <w:rFonts w:hint="eastAsia" w:ascii="仿宋" w:hAnsi="仿宋" w:eastAsia="仿宋" w:cs="Times New Roman"/>
          <w:b/>
          <w:bCs/>
          <w:color w:val="000000"/>
          <w:sz w:val="32"/>
          <w:szCs w:val="32"/>
          <w:lang w:eastAsia="zh-Hans"/>
        </w:rPr>
        <w:t>行政事业单位养老支出（款）机关事业单位基本养老保险缴费支出（项）</w:t>
      </w:r>
      <w:r>
        <w:rPr>
          <w:rFonts w:ascii="仿宋" w:hAnsi="仿宋" w:eastAsia="仿宋" w:cs="Times New Roman"/>
          <w:b/>
          <w:bCs/>
          <w:color w:val="000000"/>
          <w:sz w:val="32"/>
          <w:szCs w:val="32"/>
        </w:rPr>
        <w:t>:</w:t>
      </w:r>
      <w:r>
        <w:rPr>
          <w:rFonts w:ascii="仿宋" w:hAnsi="仿宋" w:eastAsia="仿宋" w:cs="Times New Roman"/>
          <w:bCs/>
          <w:color w:val="000000"/>
          <w:sz w:val="32"/>
          <w:szCs w:val="32"/>
        </w:rPr>
        <w:t xml:space="preserve"> </w:t>
      </w:r>
      <w:r>
        <w:rPr>
          <w:rFonts w:hint="eastAsia" w:ascii="仿宋" w:hAnsi="仿宋" w:eastAsia="仿宋" w:cs="Times New Roman"/>
          <w:bCs/>
          <w:color w:val="000000"/>
          <w:sz w:val="32"/>
          <w:szCs w:val="32"/>
        </w:rPr>
        <w:t>支出决算为192.17万元，完成预算102.4</w:t>
      </w:r>
      <w:r>
        <w:rPr>
          <w:rFonts w:ascii="仿宋" w:hAnsi="仿宋" w:eastAsia="仿宋" w:cs="Times New Roman"/>
          <w:bCs/>
          <w:color w:val="000000"/>
          <w:sz w:val="32"/>
          <w:szCs w:val="32"/>
        </w:rPr>
        <w:t>%</w:t>
      </w:r>
      <w:r>
        <w:rPr>
          <w:rFonts w:hint="eastAsia" w:ascii="仿宋" w:hAnsi="仿宋" w:eastAsia="仿宋" w:cs="Times New Roman"/>
          <w:bCs/>
          <w:color w:val="000000"/>
          <w:sz w:val="32"/>
          <w:szCs w:val="32"/>
        </w:rPr>
        <w:t>，决算数大于预算数的主要原因是下半年新进人员，年初未纳入预算。</w:t>
      </w:r>
    </w:p>
    <w:p>
      <w:pPr>
        <w:spacing w:line="600" w:lineRule="exact"/>
        <w:ind w:firstLine="642" w:firstLineChars="200"/>
        <w:rPr>
          <w:rFonts w:ascii="仿宋" w:hAnsi="仿宋" w:eastAsia="仿宋" w:cs="Times New Roman"/>
          <w:b/>
          <w:bCs/>
          <w:color w:val="000000"/>
          <w:sz w:val="32"/>
          <w:szCs w:val="32"/>
        </w:rPr>
      </w:pPr>
      <w:r>
        <w:rPr>
          <w:rFonts w:hint="eastAsia" w:ascii="仿宋" w:hAnsi="仿宋" w:eastAsia="仿宋" w:cs="Times New Roman"/>
          <w:b/>
          <w:bCs/>
          <w:color w:val="000000"/>
          <w:sz w:val="32"/>
          <w:szCs w:val="32"/>
        </w:rPr>
        <w:t>3.社会保障和就业（类）</w:t>
      </w:r>
      <w:r>
        <w:rPr>
          <w:rFonts w:hint="eastAsia" w:ascii="仿宋" w:hAnsi="仿宋" w:eastAsia="仿宋" w:cs="Times New Roman"/>
          <w:b/>
          <w:bCs/>
          <w:color w:val="000000"/>
          <w:sz w:val="32"/>
          <w:szCs w:val="32"/>
          <w:lang w:eastAsia="zh-Hans"/>
        </w:rPr>
        <w:t>行政事业单位养老支出（款）机关事业单位</w:t>
      </w:r>
      <w:r>
        <w:rPr>
          <w:rFonts w:hint="eastAsia" w:ascii="仿宋" w:hAnsi="仿宋" w:eastAsia="仿宋" w:cs="Times New Roman"/>
          <w:b/>
          <w:bCs/>
          <w:color w:val="000000"/>
          <w:sz w:val="32"/>
          <w:szCs w:val="32"/>
        </w:rPr>
        <w:t>职业年金</w:t>
      </w:r>
      <w:r>
        <w:rPr>
          <w:rFonts w:hint="eastAsia" w:ascii="仿宋" w:hAnsi="仿宋" w:eastAsia="仿宋" w:cs="Times New Roman"/>
          <w:b/>
          <w:bCs/>
          <w:color w:val="000000"/>
          <w:sz w:val="32"/>
          <w:szCs w:val="32"/>
          <w:lang w:eastAsia="zh-Hans"/>
        </w:rPr>
        <w:t>缴费支出（项）</w:t>
      </w:r>
      <w:r>
        <w:rPr>
          <w:rFonts w:ascii="仿宋" w:hAnsi="仿宋" w:eastAsia="仿宋" w:cs="Times New Roman"/>
          <w:b/>
          <w:bCs/>
          <w:color w:val="000000"/>
          <w:sz w:val="32"/>
          <w:szCs w:val="32"/>
        </w:rPr>
        <w:t>:</w:t>
      </w:r>
      <w:r>
        <w:rPr>
          <w:rFonts w:ascii="仿宋" w:hAnsi="仿宋" w:eastAsia="仿宋" w:cs="Times New Roman"/>
          <w:bCs/>
          <w:color w:val="000000"/>
          <w:sz w:val="32"/>
          <w:szCs w:val="32"/>
        </w:rPr>
        <w:t xml:space="preserve"> </w:t>
      </w:r>
      <w:r>
        <w:rPr>
          <w:rFonts w:hint="eastAsia" w:ascii="仿宋" w:hAnsi="仿宋" w:eastAsia="仿宋" w:cs="Times New Roman"/>
          <w:bCs/>
          <w:color w:val="000000"/>
          <w:sz w:val="32"/>
          <w:szCs w:val="32"/>
        </w:rPr>
        <w:t>支出决算为15.02万元，主要用于退休人员职业年金发放。</w:t>
      </w:r>
    </w:p>
    <w:p>
      <w:pPr>
        <w:spacing w:line="600" w:lineRule="exact"/>
        <w:ind w:firstLine="642" w:firstLineChars="200"/>
        <w:rPr>
          <w:rFonts w:ascii="仿宋" w:hAnsi="仿宋" w:eastAsia="仿宋" w:cs="Times New Roman"/>
          <w:b/>
          <w:color w:val="000000"/>
          <w:sz w:val="32"/>
          <w:szCs w:val="32"/>
        </w:rPr>
      </w:pPr>
      <w:r>
        <w:rPr>
          <w:rFonts w:hint="eastAsia" w:ascii="仿宋" w:hAnsi="仿宋" w:eastAsia="仿宋" w:cs="Times New Roman"/>
          <w:b/>
          <w:bCs/>
          <w:color w:val="000000"/>
          <w:sz w:val="32"/>
          <w:szCs w:val="32"/>
        </w:rPr>
        <w:t>4.卫生健康（类）</w:t>
      </w:r>
      <w:r>
        <w:rPr>
          <w:rFonts w:hint="eastAsia" w:ascii="仿宋" w:hAnsi="仿宋" w:eastAsia="仿宋" w:cs="仿宋"/>
          <w:kern w:val="0"/>
          <w:sz w:val="32"/>
          <w:szCs w:val="32"/>
          <w:lang w:eastAsia="zh-Hans"/>
        </w:rPr>
        <w:t>行</w:t>
      </w:r>
      <w:r>
        <w:rPr>
          <w:rFonts w:hint="eastAsia" w:ascii="仿宋" w:hAnsi="仿宋" w:eastAsia="仿宋" w:cs="Times New Roman"/>
          <w:b/>
          <w:bCs/>
          <w:color w:val="000000"/>
          <w:sz w:val="32"/>
          <w:szCs w:val="32"/>
          <w:lang w:eastAsia="zh-Hans"/>
        </w:rPr>
        <w:t>政事业单位医疗（款）事业单位医疗（项）</w:t>
      </w:r>
      <w:r>
        <w:rPr>
          <w:rFonts w:hint="eastAsia" w:ascii="仿宋" w:hAnsi="仿宋" w:eastAsia="仿宋" w:cs="Times New Roman"/>
          <w:b/>
          <w:bCs/>
          <w:color w:val="000000"/>
          <w:sz w:val="32"/>
          <w:szCs w:val="32"/>
        </w:rPr>
        <w:t>:</w:t>
      </w:r>
      <w:r>
        <w:rPr>
          <w:rFonts w:hint="eastAsia" w:ascii="仿宋" w:hAnsi="仿宋" w:eastAsia="仿宋" w:cs="Times New Roman"/>
          <w:bCs/>
          <w:color w:val="000000"/>
          <w:sz w:val="32"/>
          <w:szCs w:val="32"/>
        </w:rPr>
        <w:t>支出决算为87.38万元，完成预算99.34</w:t>
      </w:r>
      <w:r>
        <w:rPr>
          <w:rFonts w:ascii="仿宋" w:hAnsi="仿宋" w:eastAsia="仿宋" w:cs="Times New Roman"/>
          <w:bCs/>
          <w:color w:val="000000"/>
          <w:sz w:val="32"/>
          <w:szCs w:val="32"/>
        </w:rPr>
        <w:t>%</w:t>
      </w:r>
      <w:r>
        <w:rPr>
          <w:rFonts w:hint="eastAsia" w:ascii="仿宋" w:hAnsi="仿宋" w:eastAsia="仿宋" w:cs="Times New Roman"/>
          <w:bCs/>
          <w:color w:val="000000"/>
          <w:sz w:val="32"/>
          <w:szCs w:val="32"/>
        </w:rPr>
        <w:t>。主要用于职工基本医疗缴费。</w:t>
      </w:r>
    </w:p>
    <w:p>
      <w:pPr>
        <w:spacing w:line="600" w:lineRule="exact"/>
        <w:ind w:firstLine="642" w:firstLineChars="200"/>
        <w:rPr>
          <w:rFonts w:ascii="仿宋" w:hAnsi="仿宋" w:eastAsia="仿宋" w:cs="Times New Roman"/>
          <w:b/>
          <w:color w:val="000000"/>
          <w:sz w:val="32"/>
          <w:szCs w:val="32"/>
        </w:rPr>
      </w:pPr>
      <w:r>
        <w:rPr>
          <w:rFonts w:hint="eastAsia" w:ascii="仿宋" w:hAnsi="仿宋" w:eastAsia="仿宋" w:cs="Times New Roman"/>
          <w:b/>
          <w:color w:val="000000"/>
          <w:sz w:val="32"/>
          <w:szCs w:val="32"/>
        </w:rPr>
        <w:t>5.</w:t>
      </w:r>
      <w:r>
        <w:rPr>
          <w:rFonts w:hint="eastAsia" w:ascii="仿宋" w:hAnsi="仿宋" w:eastAsia="仿宋" w:cs="Times New Roman"/>
          <w:b/>
          <w:bCs/>
          <w:color w:val="000000"/>
          <w:sz w:val="32"/>
          <w:szCs w:val="32"/>
        </w:rPr>
        <w:t>住房保障支出（类）</w:t>
      </w:r>
      <w:r>
        <w:rPr>
          <w:rFonts w:hint="eastAsia" w:ascii="仿宋" w:hAnsi="仿宋" w:eastAsia="仿宋" w:cs="Times New Roman"/>
          <w:b/>
          <w:bCs/>
          <w:color w:val="000000"/>
          <w:sz w:val="32"/>
          <w:szCs w:val="32"/>
          <w:lang w:eastAsia="zh-Hans"/>
        </w:rPr>
        <w:t>住房改革支出（款）住房公积金（项）</w:t>
      </w:r>
      <w:r>
        <w:rPr>
          <w:rFonts w:hint="eastAsia" w:ascii="仿宋" w:hAnsi="仿宋" w:eastAsia="仿宋" w:cs="Times New Roman"/>
          <w:b/>
          <w:bCs/>
          <w:color w:val="000000"/>
          <w:sz w:val="32"/>
          <w:szCs w:val="32"/>
        </w:rPr>
        <w:t>：</w:t>
      </w:r>
      <w:r>
        <w:rPr>
          <w:rFonts w:hint="eastAsia" w:ascii="仿宋" w:hAnsi="仿宋" w:eastAsia="仿宋" w:cs="Times New Roman"/>
          <w:bCs/>
          <w:color w:val="000000"/>
          <w:sz w:val="32"/>
          <w:szCs w:val="32"/>
        </w:rPr>
        <w:t>支出决算为160.98万元，完成预算81.75</w:t>
      </w:r>
      <w:r>
        <w:rPr>
          <w:rFonts w:ascii="仿宋" w:hAnsi="仿宋" w:eastAsia="仿宋" w:cs="Times New Roman"/>
          <w:bCs/>
          <w:color w:val="000000"/>
          <w:sz w:val="32"/>
          <w:szCs w:val="32"/>
        </w:rPr>
        <w:t>%</w:t>
      </w:r>
      <w:r>
        <w:rPr>
          <w:rFonts w:hint="eastAsia" w:ascii="仿宋" w:hAnsi="仿宋" w:eastAsia="仿宋" w:cs="Times New Roman"/>
          <w:bCs/>
          <w:color w:val="000000"/>
          <w:sz w:val="32"/>
          <w:szCs w:val="32"/>
        </w:rPr>
        <w:t>，决算数小于预算数的主要原因是目标绩效奖金未在当年支付，相关应缴纳的住房公积金，与之一起结转至第二年支付。</w:t>
      </w:r>
    </w:p>
    <w:p>
      <w:pPr>
        <w:pStyle w:val="4"/>
      </w:pPr>
      <w:bookmarkStart w:id="58" w:name="_Toc15377214"/>
      <w:bookmarkStart w:id="59" w:name="_Toc82767843"/>
      <w:bookmarkStart w:id="60" w:name="_Toc15396608"/>
      <w:bookmarkStart w:id="61" w:name="_Toc82767016"/>
      <w:r>
        <w:rPr>
          <w:rFonts w:hint="eastAsia" w:hAnsi="Times New Roman"/>
          <w:color w:val="000000"/>
        </w:rPr>
        <w:t>六、</w:t>
      </w:r>
      <w:r>
        <w:rPr>
          <w:rFonts w:hint="eastAsia"/>
          <w:color w:val="000000"/>
        </w:rPr>
        <w:t>一</w:t>
      </w:r>
      <w:r>
        <w:rPr>
          <w:rFonts w:hint="eastAsia"/>
        </w:rPr>
        <w:t>般公共预算财政拨款基本支出决算情况说明</w:t>
      </w:r>
      <w:bookmarkEnd w:id="58"/>
      <w:bookmarkEnd w:id="59"/>
      <w:bookmarkEnd w:id="60"/>
      <w:bookmarkEnd w:id="61"/>
      <w:r>
        <w:tab/>
      </w:r>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年一般公共预算财政拨款基本支出2023.36万元，其中：</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人员经费1989.86万元，主要包括：基本工资、津贴补贴、绩效工资、机关事业单位基本养老保险缴费、职业年金缴费、职工基本医疗保险缴费、其他社会保障缴费、住房公积金、其他工资福利支出、生活补助、奖励金等。</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日常公用经费33.5万元，主要包括：办公费、手续费、差旅费、工会经费、福利费、其他交通费、其他商品和服务支出等。</w:t>
      </w:r>
      <w:bookmarkStart w:id="62" w:name="_Toc15396609"/>
      <w:bookmarkStart w:id="63" w:name="_Toc15377215"/>
    </w:p>
    <w:p>
      <w:pPr>
        <w:pStyle w:val="4"/>
        <w:rPr>
          <w:rFonts w:ascii="仿宋" w:hAnsi="仿宋" w:eastAsia="仿宋"/>
          <w:color w:val="000000"/>
        </w:rPr>
      </w:pPr>
      <w:bookmarkStart w:id="64" w:name="_Toc82767017"/>
      <w:bookmarkStart w:id="65" w:name="_Toc82767844"/>
      <w:r>
        <w:rPr>
          <w:rFonts w:hint="eastAsia" w:hAnsi="Times New Roman"/>
          <w:color w:val="000000"/>
        </w:rPr>
        <w:t>七、</w:t>
      </w:r>
      <w:r>
        <w:rPr>
          <w:rFonts w:hint="eastAsia"/>
        </w:rPr>
        <w:t>“三公”经费财政拨款支出决算情况说明</w:t>
      </w:r>
      <w:bookmarkEnd w:id="62"/>
      <w:bookmarkEnd w:id="63"/>
      <w:bookmarkEnd w:id="64"/>
      <w:bookmarkEnd w:id="65"/>
    </w:p>
    <w:p>
      <w:pPr>
        <w:spacing w:line="576" w:lineRule="exact"/>
        <w:ind w:firstLine="640"/>
        <w:outlineLvl w:val="2"/>
        <w:rPr>
          <w:rFonts w:ascii="仿宋" w:hAnsi="仿宋" w:eastAsia="仿宋"/>
          <w:b/>
          <w:color w:val="000000"/>
          <w:sz w:val="32"/>
          <w:szCs w:val="32"/>
        </w:rPr>
      </w:pPr>
      <w:bookmarkStart w:id="66" w:name="_Toc15377216"/>
      <w:bookmarkStart w:id="67" w:name="_Toc82682161"/>
      <w:bookmarkStart w:id="68" w:name="_Toc15377218"/>
      <w:bookmarkStart w:id="69" w:name="_Toc15396610"/>
      <w:r>
        <w:rPr>
          <w:rFonts w:hint="eastAsia" w:ascii="仿宋" w:hAnsi="仿宋" w:eastAsia="仿宋"/>
          <w:b/>
          <w:color w:val="000000"/>
          <w:sz w:val="32"/>
          <w:szCs w:val="32"/>
        </w:rPr>
        <w:t>（一）“三公”经费财政拨款支出决算总体情况说明</w:t>
      </w:r>
      <w:bookmarkEnd w:id="66"/>
      <w:bookmarkEnd w:id="67"/>
    </w:p>
    <w:p>
      <w:pPr>
        <w:spacing w:line="576"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年“三公”经费财政拨款支出决算为0万元，未在财政拨款支出中安排该项预算，与</w:t>
      </w:r>
      <w:r>
        <w:rPr>
          <w:rFonts w:ascii="仿宋" w:hAnsi="仿宋" w:eastAsia="仿宋"/>
          <w:color w:val="000000"/>
          <w:sz w:val="32"/>
          <w:szCs w:val="32"/>
        </w:rPr>
        <w:t>201</w:t>
      </w:r>
      <w:r>
        <w:rPr>
          <w:rFonts w:hint="eastAsia" w:ascii="仿宋" w:hAnsi="仿宋" w:eastAsia="仿宋"/>
          <w:color w:val="000000"/>
          <w:sz w:val="32"/>
          <w:szCs w:val="32"/>
        </w:rPr>
        <w:t>9年决算数持平。</w:t>
      </w:r>
    </w:p>
    <w:p>
      <w:pPr>
        <w:spacing w:line="576" w:lineRule="exact"/>
        <w:ind w:firstLine="640"/>
        <w:outlineLvl w:val="2"/>
        <w:rPr>
          <w:rFonts w:ascii="仿宋" w:hAnsi="仿宋" w:eastAsia="仿宋"/>
          <w:b/>
          <w:color w:val="000000"/>
          <w:sz w:val="32"/>
          <w:szCs w:val="32"/>
        </w:rPr>
      </w:pPr>
      <w:bookmarkStart w:id="70" w:name="_Toc82682162"/>
      <w:bookmarkStart w:id="71" w:name="_Toc15377217"/>
      <w:r>
        <w:rPr>
          <w:rFonts w:hint="eastAsia" w:ascii="仿宋" w:hAnsi="仿宋" w:eastAsia="仿宋"/>
          <w:b/>
          <w:color w:val="000000"/>
          <w:sz w:val="32"/>
          <w:szCs w:val="32"/>
        </w:rPr>
        <w:t>（二）“三公”经费财政拨款支出决算具体情况说明</w:t>
      </w:r>
      <w:bookmarkEnd w:id="70"/>
      <w:bookmarkEnd w:id="71"/>
    </w:p>
    <w:p>
      <w:pPr>
        <w:spacing w:line="576"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为0万元，未在财政拨款支出中安排该项预算；公务用车购置及运行维护费支出决算为0万元，未在财政拨款支出中安排该项预算；公务接待费支出决算为0万元，未在财政拨款支出中安排该项预算。</w:t>
      </w:r>
    </w:p>
    <w:p>
      <w:pPr>
        <w:spacing w:line="576" w:lineRule="exact"/>
        <w:ind w:firstLine="640"/>
        <w:rPr>
          <w:rFonts w:ascii="仿宋" w:hAnsi="仿宋" w:eastAsia="仿宋"/>
          <w:color w:val="000000"/>
          <w:sz w:val="32"/>
          <w:szCs w:val="32"/>
        </w:rPr>
      </w:pPr>
      <w:r>
        <w:rPr>
          <w:rFonts w:hint="eastAsia" w:ascii="仿宋" w:hAnsi="仿宋" w:eastAsia="仿宋" w:cs="Times New Roman"/>
          <w:color w:val="000000"/>
          <w:sz w:val="32"/>
          <w:szCs w:val="32"/>
        </w:rPr>
        <w:t>1.因公出国（境）经费支出0万元，</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9年决算数持平，</w:t>
      </w:r>
      <w:r>
        <w:rPr>
          <w:rFonts w:hint="eastAsia" w:ascii="仿宋" w:hAnsi="仿宋" w:eastAsia="仿宋" w:cs="Times New Roman"/>
          <w:color w:val="000000"/>
          <w:sz w:val="32"/>
          <w:szCs w:val="32"/>
        </w:rPr>
        <w:t>未在财政拨款支出中安排因公出国（境）经费支出</w:t>
      </w:r>
      <w:r>
        <w:rPr>
          <w:rFonts w:hint="eastAsia" w:ascii="仿宋" w:hAnsi="仿宋" w:eastAsia="仿宋"/>
          <w:color w:val="000000"/>
          <w:sz w:val="32"/>
          <w:szCs w:val="32"/>
        </w:rPr>
        <w:t>。</w:t>
      </w:r>
    </w:p>
    <w:p>
      <w:pPr>
        <w:spacing w:line="576" w:lineRule="exact"/>
        <w:ind w:firstLine="640"/>
        <w:rPr>
          <w:rFonts w:ascii="仿宋" w:hAnsi="仿宋" w:eastAsia="仿宋" w:cs="Times New Roman"/>
          <w:color w:val="000000"/>
          <w:sz w:val="32"/>
          <w:szCs w:val="32"/>
        </w:rPr>
      </w:pPr>
      <w:r>
        <w:rPr>
          <w:rFonts w:hint="eastAsia" w:ascii="仿宋" w:hAnsi="仿宋" w:eastAsia="仿宋" w:cs="Times New Roman"/>
          <w:color w:val="000000"/>
          <w:sz w:val="32"/>
          <w:szCs w:val="32"/>
        </w:rPr>
        <w:t>2.公务用车购置及运行维护费支出0万元，</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9年决算数持平，</w:t>
      </w:r>
      <w:r>
        <w:rPr>
          <w:rFonts w:hint="eastAsia" w:ascii="仿宋" w:hAnsi="仿宋" w:eastAsia="仿宋" w:cs="Times New Roman"/>
          <w:color w:val="000000"/>
          <w:sz w:val="32"/>
          <w:szCs w:val="32"/>
        </w:rPr>
        <w:t>未在财政拨款中安排公务用车购置及运行维护费支出。</w:t>
      </w:r>
    </w:p>
    <w:p>
      <w:pPr>
        <w:spacing w:line="576" w:lineRule="exact"/>
        <w:ind w:firstLine="640"/>
        <w:rPr>
          <w:rFonts w:ascii="仿宋" w:hAnsi="仿宋" w:eastAsia="仿宋" w:cs="Times New Roman"/>
          <w:color w:val="000000"/>
          <w:sz w:val="32"/>
          <w:szCs w:val="32"/>
        </w:rPr>
      </w:pPr>
      <w:r>
        <w:rPr>
          <w:rFonts w:hint="eastAsia" w:ascii="仿宋" w:hAnsi="仿宋" w:eastAsia="仿宋" w:cs="Times New Roman"/>
          <w:color w:val="000000"/>
          <w:sz w:val="32"/>
          <w:szCs w:val="32"/>
        </w:rPr>
        <w:t>3.公务接待费支出0万元，</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9年决算数持平，</w:t>
      </w:r>
      <w:r>
        <w:rPr>
          <w:rFonts w:hint="eastAsia" w:ascii="仿宋" w:hAnsi="仿宋" w:eastAsia="仿宋" w:cs="Times New Roman"/>
          <w:color w:val="000000"/>
          <w:sz w:val="32"/>
          <w:szCs w:val="32"/>
        </w:rPr>
        <w:t>未在财政拨款支出中安排公务接待费支出</w:t>
      </w:r>
      <w:r>
        <w:rPr>
          <w:rFonts w:hint="eastAsia" w:ascii="仿宋" w:hAnsi="仿宋" w:eastAsia="仿宋"/>
          <w:color w:val="000000"/>
          <w:sz w:val="32"/>
          <w:szCs w:val="32"/>
        </w:rPr>
        <w:t>。</w:t>
      </w:r>
    </w:p>
    <w:p>
      <w:pPr>
        <w:pStyle w:val="4"/>
      </w:pPr>
      <w:bookmarkStart w:id="72" w:name="_Toc82767018"/>
      <w:bookmarkStart w:id="73" w:name="_Toc82767845"/>
      <w:r>
        <w:rPr>
          <w:rFonts w:hint="eastAsia" w:hAnsi="Times New Roman"/>
          <w:color w:val="000000"/>
        </w:rPr>
        <w:t>八、</w:t>
      </w:r>
      <w:r>
        <w:rPr>
          <w:rFonts w:hint="eastAsia"/>
        </w:rPr>
        <w:t>政府性基金预算支出决算情况说明</w:t>
      </w:r>
      <w:bookmarkEnd w:id="68"/>
      <w:bookmarkEnd w:id="69"/>
      <w:bookmarkEnd w:id="72"/>
      <w:bookmarkEnd w:id="73"/>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年政府性基金预算拨款支出4.76万元。2020年本单位未在政府性基金预算拨款安排“三公经费”支出。</w:t>
      </w:r>
    </w:p>
    <w:p>
      <w:pPr>
        <w:pStyle w:val="4"/>
      </w:pPr>
      <w:bookmarkStart w:id="74" w:name="_Toc82767846"/>
      <w:bookmarkStart w:id="75" w:name="_Toc15396611"/>
      <w:bookmarkStart w:id="76" w:name="_Toc15377219"/>
      <w:bookmarkStart w:id="77" w:name="_Toc82767019"/>
      <w:r>
        <w:rPr>
          <w:rFonts w:hint="eastAsia"/>
        </w:rPr>
        <w:t>九、国有资本经营预算支出决算情况说明</w:t>
      </w:r>
      <w:bookmarkEnd w:id="74"/>
      <w:bookmarkEnd w:id="75"/>
      <w:bookmarkEnd w:id="76"/>
      <w:bookmarkEnd w:id="77"/>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年国有资本经营预算拨款支出0万元。</w:t>
      </w:r>
    </w:p>
    <w:p>
      <w:pPr>
        <w:pStyle w:val="4"/>
      </w:pPr>
      <w:bookmarkStart w:id="78" w:name="_Toc82767020"/>
      <w:bookmarkStart w:id="79" w:name="_Toc15377221"/>
      <w:bookmarkStart w:id="80" w:name="_Toc82767847"/>
      <w:bookmarkStart w:id="81" w:name="_Toc15396612"/>
      <w:r>
        <w:rPr>
          <w:rFonts w:hint="eastAsia"/>
          <w:color w:val="000000"/>
        </w:rPr>
        <w:t>十</w:t>
      </w:r>
      <w:r>
        <w:rPr>
          <w:rFonts w:hint="eastAsia"/>
        </w:rPr>
        <w:t>、其他重要事项的情况说明</w:t>
      </w:r>
      <w:bookmarkEnd w:id="78"/>
      <w:bookmarkEnd w:id="79"/>
      <w:bookmarkEnd w:id="80"/>
      <w:bookmarkEnd w:id="81"/>
      <w:bookmarkStart w:id="82" w:name="_Toc15377222"/>
    </w:p>
    <w:p>
      <w:pPr>
        <w:autoSpaceDE w:val="0"/>
        <w:autoSpaceDN w:val="0"/>
        <w:adjustRightInd w:val="0"/>
        <w:spacing w:line="600" w:lineRule="exact"/>
        <w:ind w:firstLine="642" w:firstLineChars="200"/>
        <w:jc w:val="left"/>
        <w:outlineLvl w:val="2"/>
        <w:rPr>
          <w:rFonts w:ascii="仿宋" w:hAnsi="仿宋" w:eastAsia="仿宋" w:cs="Times New Roman"/>
          <w:b/>
          <w:color w:val="000000"/>
          <w:sz w:val="32"/>
          <w:szCs w:val="32"/>
        </w:rPr>
      </w:pPr>
      <w:bookmarkStart w:id="83" w:name="_Toc82767021"/>
      <w:r>
        <w:rPr>
          <w:rFonts w:hint="eastAsia" w:ascii="仿宋" w:hAnsi="仿宋" w:eastAsia="仿宋" w:cs="Times New Roman"/>
          <w:b/>
          <w:color w:val="000000"/>
          <w:sz w:val="32"/>
          <w:szCs w:val="32"/>
        </w:rPr>
        <w:t>（一）机关运行经费支出情况</w:t>
      </w:r>
      <w:bookmarkEnd w:id="82"/>
      <w:bookmarkEnd w:id="83"/>
    </w:p>
    <w:p>
      <w:pPr>
        <w:autoSpaceDE w:val="0"/>
        <w:autoSpaceDN w:val="0"/>
        <w:adjustRightInd w:val="0"/>
        <w:spacing w:line="600" w:lineRule="exact"/>
        <w:ind w:firstLine="640" w:firstLineChars="200"/>
        <w:jc w:val="left"/>
        <w:outlineLvl w:val="2"/>
        <w:rPr>
          <w:rFonts w:ascii="仿宋" w:hAnsi="仿宋" w:eastAsia="仿宋" w:cs="Times New Roman"/>
          <w:color w:val="000000"/>
          <w:sz w:val="32"/>
          <w:szCs w:val="32"/>
        </w:rPr>
      </w:pPr>
      <w:bookmarkStart w:id="84" w:name="_Toc15377223"/>
      <w:r>
        <w:rPr>
          <w:rFonts w:hint="eastAsia" w:ascii="仿宋" w:hAnsi="仿宋" w:eastAsia="仿宋" w:cs="Times New Roman"/>
          <w:color w:val="000000"/>
          <w:sz w:val="32"/>
          <w:szCs w:val="32"/>
        </w:rPr>
        <w:t>本单位未发生机关运行经费支出</w:t>
      </w:r>
    </w:p>
    <w:p>
      <w:pPr>
        <w:autoSpaceDE w:val="0"/>
        <w:autoSpaceDN w:val="0"/>
        <w:adjustRightInd w:val="0"/>
        <w:spacing w:line="600" w:lineRule="exact"/>
        <w:ind w:firstLine="642" w:firstLineChars="200"/>
        <w:jc w:val="left"/>
        <w:outlineLvl w:val="2"/>
        <w:rPr>
          <w:rFonts w:ascii="仿宋" w:hAnsi="仿宋" w:eastAsia="仿宋" w:cs="Times New Roman"/>
          <w:b/>
          <w:color w:val="000000"/>
          <w:sz w:val="32"/>
          <w:szCs w:val="32"/>
        </w:rPr>
      </w:pPr>
      <w:r>
        <w:rPr>
          <w:rFonts w:hint="eastAsia" w:ascii="仿宋" w:hAnsi="仿宋" w:eastAsia="仿宋" w:cs="Times New Roman"/>
          <w:b/>
          <w:color w:val="000000"/>
          <w:sz w:val="32"/>
          <w:szCs w:val="32"/>
        </w:rPr>
        <w:t>（二）政府采购支出情况</w:t>
      </w:r>
      <w:bookmarkEnd w:id="84"/>
    </w:p>
    <w:p>
      <w:pPr>
        <w:spacing w:line="600" w:lineRule="exact"/>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年，政府采购支出总额0万元。</w:t>
      </w:r>
    </w:p>
    <w:p>
      <w:pPr>
        <w:autoSpaceDE w:val="0"/>
        <w:autoSpaceDN w:val="0"/>
        <w:adjustRightInd w:val="0"/>
        <w:spacing w:line="600" w:lineRule="exact"/>
        <w:ind w:firstLine="642" w:firstLineChars="200"/>
        <w:jc w:val="left"/>
        <w:outlineLvl w:val="2"/>
        <w:rPr>
          <w:rFonts w:ascii="仿宋" w:hAnsi="仿宋" w:eastAsia="仿宋" w:cs="Times New Roman"/>
          <w:b/>
          <w:color w:val="000000"/>
          <w:sz w:val="32"/>
          <w:szCs w:val="32"/>
        </w:rPr>
      </w:pPr>
      <w:bookmarkStart w:id="85" w:name="_Toc15377224"/>
      <w:r>
        <w:rPr>
          <w:rFonts w:hint="eastAsia" w:ascii="仿宋" w:hAnsi="仿宋" w:eastAsia="仿宋" w:cs="Times New Roman"/>
          <w:b/>
          <w:color w:val="000000"/>
          <w:sz w:val="32"/>
          <w:szCs w:val="32"/>
        </w:rPr>
        <w:t>（三）国有资产占有使用情况</w:t>
      </w:r>
      <w:bookmarkEnd w:id="85"/>
    </w:p>
    <w:p>
      <w:pPr>
        <w:autoSpaceDE w:val="0"/>
        <w:autoSpaceDN w:val="0"/>
        <w:adjustRightInd w:val="0"/>
        <w:spacing w:line="600" w:lineRule="exact"/>
        <w:ind w:firstLine="640" w:firstLineChars="200"/>
        <w:jc w:val="left"/>
        <w:rPr>
          <w:rFonts w:ascii="仿宋" w:hAnsi="仿宋" w:eastAsia="仿宋" w:cs="Times New Roman"/>
          <w:color w:val="000000"/>
          <w:sz w:val="32"/>
          <w:szCs w:val="32"/>
        </w:rPr>
      </w:pPr>
      <w:r>
        <w:rPr>
          <w:rFonts w:hint="eastAsia" w:ascii="仿宋" w:hAnsi="仿宋" w:eastAsia="仿宋" w:cs="Times New Roman"/>
          <w:color w:val="000000"/>
          <w:sz w:val="32"/>
          <w:szCs w:val="32"/>
        </w:rPr>
        <w:t>截至</w:t>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w:t>
      </w:r>
      <w:r>
        <w:rPr>
          <w:rFonts w:ascii="仿宋" w:hAnsi="仿宋" w:eastAsia="仿宋" w:cs="Times New Roman"/>
          <w:color w:val="000000"/>
          <w:sz w:val="32"/>
          <w:szCs w:val="32"/>
        </w:rPr>
        <w:t>12</w:t>
      </w:r>
      <w:r>
        <w:rPr>
          <w:rFonts w:hint="eastAsia" w:ascii="仿宋" w:hAnsi="仿宋" w:eastAsia="仿宋" w:cs="Times New Roman"/>
          <w:color w:val="000000"/>
          <w:sz w:val="32"/>
          <w:szCs w:val="32"/>
        </w:rPr>
        <w:t>月</w:t>
      </w:r>
      <w:r>
        <w:rPr>
          <w:rFonts w:ascii="仿宋" w:hAnsi="仿宋" w:eastAsia="仿宋" w:cs="Times New Roman"/>
          <w:color w:val="000000"/>
          <w:sz w:val="32"/>
          <w:szCs w:val="32"/>
        </w:rPr>
        <w:t>31</w:t>
      </w:r>
      <w:r>
        <w:rPr>
          <w:rFonts w:hint="eastAsia" w:ascii="仿宋" w:hAnsi="仿宋" w:eastAsia="仿宋" w:cs="Times New Roman"/>
          <w:color w:val="000000"/>
          <w:sz w:val="32"/>
          <w:szCs w:val="32"/>
        </w:rPr>
        <w:t>日，共有车辆2辆，其中：</w:t>
      </w:r>
      <w:r>
        <w:rPr>
          <w:rFonts w:hint="eastAsia" w:ascii="仿宋" w:hAnsi="仿宋" w:eastAsia="仿宋"/>
          <w:color w:val="000000"/>
          <w:sz w:val="32"/>
          <w:szCs w:val="32"/>
        </w:rPr>
        <w:t>主要领导干部用车0辆、机要通信用车0辆、应急保障用车0辆、</w:t>
      </w:r>
      <w:r>
        <w:rPr>
          <w:rFonts w:hint="eastAsia" w:ascii="仿宋" w:hAnsi="仿宋" w:eastAsia="仿宋" w:cs="Times New Roman"/>
          <w:color w:val="000000"/>
          <w:sz w:val="32"/>
          <w:szCs w:val="32"/>
        </w:rPr>
        <w:t>其他用车2辆，其他用车主要是用于日常开展工作。</w:t>
      </w:r>
      <w:r>
        <w:rPr>
          <w:rFonts w:hint="eastAsia" w:ascii="仿宋" w:hAnsi="仿宋" w:eastAsia="仿宋"/>
          <w:color w:val="000000"/>
          <w:sz w:val="32"/>
          <w:szCs w:val="32"/>
        </w:rPr>
        <w:t>单价</w:t>
      </w:r>
      <w:r>
        <w:rPr>
          <w:rFonts w:ascii="仿宋" w:hAnsi="仿宋" w:eastAsia="仿宋"/>
          <w:color w:val="000000"/>
          <w:sz w:val="32"/>
          <w:szCs w:val="32"/>
        </w:rPr>
        <w:t>50</w:t>
      </w:r>
      <w:r>
        <w:rPr>
          <w:rFonts w:hint="eastAsia" w:ascii="仿宋" w:hAnsi="仿宋" w:eastAsia="仿宋"/>
          <w:color w:val="000000"/>
          <w:sz w:val="32"/>
          <w:szCs w:val="32"/>
        </w:rPr>
        <w:t>万元以上通用设备0台（套），单价</w:t>
      </w:r>
      <w:r>
        <w:rPr>
          <w:rFonts w:ascii="仿宋" w:hAnsi="仿宋" w:eastAsia="仿宋"/>
          <w:color w:val="000000"/>
          <w:sz w:val="32"/>
          <w:szCs w:val="32"/>
        </w:rPr>
        <w:t>100</w:t>
      </w:r>
      <w:r>
        <w:rPr>
          <w:rFonts w:hint="eastAsia" w:ascii="仿宋" w:hAnsi="仿宋" w:eastAsia="仿宋"/>
          <w:color w:val="000000"/>
          <w:sz w:val="32"/>
          <w:szCs w:val="32"/>
        </w:rPr>
        <w:t>万元以上专用设备0台（套）。</w:t>
      </w:r>
    </w:p>
    <w:p>
      <w:pPr>
        <w:autoSpaceDE w:val="0"/>
        <w:autoSpaceDN w:val="0"/>
        <w:adjustRightInd w:val="0"/>
        <w:spacing w:line="600" w:lineRule="exact"/>
        <w:ind w:firstLine="642" w:firstLineChars="200"/>
        <w:jc w:val="left"/>
        <w:outlineLvl w:val="2"/>
        <w:rPr>
          <w:rFonts w:ascii="仿宋" w:hAnsi="仿宋" w:eastAsia="仿宋" w:cs="Times New Roman"/>
          <w:b/>
          <w:color w:val="000000"/>
          <w:sz w:val="32"/>
          <w:szCs w:val="32"/>
        </w:rPr>
      </w:pPr>
      <w:r>
        <w:rPr>
          <w:rFonts w:hint="eastAsia" w:ascii="仿宋" w:hAnsi="仿宋" w:eastAsia="仿宋" w:cs="Times New Roman"/>
          <w:b/>
          <w:color w:val="000000"/>
          <w:sz w:val="32"/>
          <w:szCs w:val="32"/>
        </w:rPr>
        <w:t>（四）预算绩效管理情况。</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根据预算绩效管理要求，本单位在年初预算编制阶段，组织对“技能培训、教学工作经费”等项目开展了预算事前绩效评估，对2个项目编制了绩效目标，预算执行过程中，选取2个项目开展绩效监控，年终执行完毕后，对2个项目开展了绩效目标完成情况自评。</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本单位按要求对</w:t>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年部门整体支出开展绩效自评，从评价情况来看资金预算配置合理合规，预算执行严格有序，预算管理规范可控，资金效益合乎预期。本单位还自行组织了2个项目支出绩效评价，从评价情况来看：</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1.项目绩效目标完成情况。</w:t>
      </w:r>
    </w:p>
    <w:p>
      <w:pPr>
        <w:adjustRightInd w:val="0"/>
        <w:snapToGrid w:val="0"/>
        <w:spacing w:line="600" w:lineRule="exact"/>
        <w:ind w:firstLine="640" w:firstLineChars="200"/>
        <w:rPr>
          <w:rFonts w:ascii="仿宋_GB2312" w:hAnsi="宋体" w:eastAsia="仿宋_GB2312" w:cs="Times New Roman"/>
          <w:sz w:val="32"/>
          <w:szCs w:val="32"/>
          <w:lang w:val="zh-CN"/>
        </w:rPr>
      </w:pPr>
      <w:r>
        <w:rPr>
          <w:rFonts w:hint="eastAsia" w:ascii="仿宋" w:hAnsi="仿宋" w:eastAsia="仿宋" w:cs="Times New Roman"/>
          <w:color w:val="000000"/>
          <w:sz w:val="32"/>
          <w:szCs w:val="32"/>
        </w:rPr>
        <w:t>（1）技能培训项目绩效目标完成情况综述。该项目全年预算数110万元，执行数为100万元，完成预算的90.9</w:t>
      </w:r>
      <w:r>
        <w:rPr>
          <w:rFonts w:ascii="仿宋" w:hAnsi="仿宋" w:eastAsia="仿宋" w:cs="Times New Roman"/>
          <w:color w:val="000000"/>
          <w:sz w:val="32"/>
          <w:szCs w:val="32"/>
        </w:rPr>
        <w:t>%</w:t>
      </w:r>
      <w:r>
        <w:rPr>
          <w:rFonts w:hint="eastAsia" w:ascii="仿宋" w:hAnsi="仿宋" w:eastAsia="仿宋" w:cs="Times New Roman"/>
          <w:color w:val="000000"/>
          <w:sz w:val="32"/>
          <w:szCs w:val="32"/>
        </w:rPr>
        <w:t>。通过项目实施，</w:t>
      </w:r>
      <w:r>
        <w:rPr>
          <w:rFonts w:hint="eastAsia" w:ascii="仿宋_GB2312" w:hAnsi="宋体" w:eastAsia="仿宋_GB2312" w:cs="Times New Roman"/>
          <w:sz w:val="32"/>
          <w:szCs w:val="32"/>
          <w:lang w:val="zh-CN"/>
        </w:rPr>
        <w:t>保障了技能培训工作的顺利开展， 促进了培训质量稳步提升，为推进职业教育发展，促进技能人才培养和就业提供了有力的保障。</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（2）教学工作经费项目绩效目标完成情况综述。该项目全年预算数200.6万元，执行数为224.25万元，完成预算的111.79</w:t>
      </w:r>
      <w:r>
        <w:rPr>
          <w:rFonts w:ascii="仿宋" w:hAnsi="仿宋" w:eastAsia="仿宋" w:cs="Times New Roman"/>
          <w:color w:val="000000"/>
          <w:sz w:val="32"/>
          <w:szCs w:val="32"/>
        </w:rPr>
        <w:t>%</w:t>
      </w:r>
      <w:r>
        <w:rPr>
          <w:rFonts w:hint="eastAsia" w:ascii="仿宋" w:hAnsi="仿宋" w:eastAsia="仿宋" w:cs="Times New Roman"/>
          <w:color w:val="000000"/>
          <w:sz w:val="32"/>
          <w:szCs w:val="32"/>
        </w:rPr>
        <w:t>。通过项目实施，保障了教职工日常工作顺利开展，提升了教学质量。发现的主要问题：资金使用计划不够精确。下一步改进措施：加强预算管理，进一步完善资金使用计划。</w:t>
      </w:r>
    </w:p>
    <w:p>
      <w:pPr>
        <w:sectPr>
          <w:footerReference r:id="rId7" w:type="first"/>
          <w:footerReference r:id="rId6" w:type="default"/>
          <w:pgSz w:w="11906" w:h="16838"/>
          <w:pgMar w:top="1440" w:right="1800" w:bottom="1440" w:left="1800" w:header="851" w:footer="992" w:gutter="0"/>
          <w:pgNumType w:start="1"/>
          <w:cols w:space="425" w:num="1"/>
          <w:titlePg/>
          <w:docGrid w:type="lines" w:linePitch="312" w:charSpace="0"/>
        </w:sectPr>
      </w:pPr>
    </w:p>
    <w:tbl>
      <w:tblPr>
        <w:tblStyle w:val="12"/>
        <w:tblpPr w:leftFromText="180" w:rightFromText="180" w:vertAnchor="text" w:horzAnchor="page" w:tblpXSpec="center" w:tblpY="423"/>
        <w:tblOverlap w:val="never"/>
        <w:tblW w:w="14049" w:type="dxa"/>
        <w:jc w:val="center"/>
        <w:tblLayout w:type="fixed"/>
        <w:tblCellMar>
          <w:top w:w="0" w:type="dxa"/>
          <w:left w:w="0" w:type="dxa"/>
          <w:bottom w:w="0" w:type="dxa"/>
          <w:right w:w="0" w:type="dxa"/>
        </w:tblCellMar>
      </w:tblPr>
      <w:tblGrid>
        <w:gridCol w:w="2709"/>
        <w:gridCol w:w="1984"/>
        <w:gridCol w:w="2268"/>
        <w:gridCol w:w="2977"/>
        <w:gridCol w:w="2126"/>
        <w:gridCol w:w="142"/>
        <w:gridCol w:w="1843"/>
      </w:tblGrid>
      <w:tr>
        <w:tblPrEx>
          <w:tblCellMar>
            <w:top w:w="0" w:type="dxa"/>
            <w:left w:w="0" w:type="dxa"/>
            <w:bottom w:w="0" w:type="dxa"/>
            <w:right w:w="0" w:type="dxa"/>
          </w:tblCellMar>
        </w:tblPrEx>
        <w:trPr>
          <w:trHeight w:val="1034" w:hRule="atLeast"/>
          <w:jc w:val="center"/>
        </w:trPr>
        <w:tc>
          <w:tcPr>
            <w:tcW w:w="14049" w:type="dxa"/>
            <w:gridSpan w:val="7"/>
            <w:tcBorders>
              <w:top w:val="nil"/>
              <w:left w:val="nil"/>
              <w:bottom w:val="nil"/>
              <w:right w:val="nil"/>
            </w:tcBorders>
            <w:tcMar>
              <w:top w:w="15" w:type="dxa"/>
              <w:left w:w="15" w:type="dxa"/>
              <w:right w:w="15" w:type="dxa"/>
            </w:tcMar>
            <w:vAlign w:val="center"/>
          </w:tcPr>
          <w:p>
            <w:pPr>
              <w:widowControl/>
              <w:spacing w:line="600" w:lineRule="exact"/>
              <w:ind w:firstLine="722" w:firstLineChars="200"/>
              <w:jc w:val="center"/>
              <w:textAlignment w:val="center"/>
              <w:rPr>
                <w:rFonts w:ascii="宋体" w:hAnsi="宋体" w:eastAsia="宋体" w:cs="宋体"/>
                <w:b/>
                <w:bCs/>
                <w:color w:val="000000"/>
                <w:kern w:val="0"/>
                <w:sz w:val="36"/>
                <w:szCs w:val="36"/>
                <w:lang w:bidi="ar"/>
              </w:rPr>
            </w:pPr>
            <w:r>
              <w:rPr>
                <w:rFonts w:hint="eastAsia" w:ascii="宋体" w:hAnsi="宋体" w:eastAsia="宋体" w:cs="宋体"/>
                <w:b/>
                <w:bCs/>
                <w:color w:val="000000"/>
                <w:kern w:val="0"/>
                <w:sz w:val="36"/>
                <w:szCs w:val="36"/>
                <w:lang w:bidi="ar"/>
              </w:rPr>
              <w:t>项目绩效目标完成情况表</w:t>
            </w:r>
          </w:p>
          <w:p>
            <w:pPr>
              <w:widowControl/>
              <w:spacing w:line="600" w:lineRule="exact"/>
              <w:ind w:firstLine="720" w:firstLineChars="200"/>
              <w:jc w:val="center"/>
              <w:textAlignment w:val="center"/>
              <w:rPr>
                <w:rFonts w:ascii="宋体" w:hAnsi="Times New Roman" w:eastAsia="宋体" w:cs="宋体"/>
                <w:color w:val="000000"/>
                <w:sz w:val="36"/>
                <w:szCs w:val="36"/>
              </w:rPr>
            </w:pPr>
            <w:r>
              <w:rPr>
                <w:rFonts w:ascii="宋体" w:hAnsi="宋体" w:eastAsia="宋体" w:cs="宋体"/>
                <w:color w:val="000000"/>
                <w:kern w:val="0"/>
                <w:sz w:val="36"/>
                <w:szCs w:val="36"/>
                <w:lang w:bidi="ar"/>
              </w:rPr>
              <w:t>(2020</w:t>
            </w:r>
            <w:r>
              <w:rPr>
                <w:rFonts w:hint="eastAsia" w:ascii="宋体" w:hAnsi="宋体" w:eastAsia="宋体" w:cs="宋体"/>
                <w:color w:val="000000"/>
                <w:kern w:val="0"/>
                <w:sz w:val="36"/>
                <w:szCs w:val="36"/>
                <w:lang w:bidi="ar"/>
              </w:rPr>
              <w:t>年度</w:t>
            </w:r>
            <w:r>
              <w:rPr>
                <w:rFonts w:ascii="宋体" w:hAnsi="宋体" w:eastAsia="宋体" w:cs="宋体"/>
                <w:color w:val="000000"/>
                <w:kern w:val="0"/>
                <w:sz w:val="36"/>
                <w:szCs w:val="36"/>
                <w:lang w:bidi="ar"/>
              </w:rPr>
              <w:t>)</w:t>
            </w:r>
          </w:p>
        </w:tc>
      </w:tr>
      <w:tr>
        <w:tblPrEx>
          <w:tblCellMar>
            <w:top w:w="0" w:type="dxa"/>
            <w:left w:w="0" w:type="dxa"/>
            <w:bottom w:w="0" w:type="dxa"/>
            <w:right w:w="0" w:type="dxa"/>
          </w:tblCellMar>
        </w:tblPrEx>
        <w:trPr>
          <w:trHeight w:val="482" w:hRule="atLeast"/>
          <w:jc w:val="center"/>
        </w:trPr>
        <w:tc>
          <w:tcPr>
            <w:tcW w:w="696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项目名称</w:t>
            </w:r>
          </w:p>
        </w:tc>
        <w:tc>
          <w:tcPr>
            <w:tcW w:w="708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技能培训项目</w:t>
            </w:r>
          </w:p>
        </w:tc>
      </w:tr>
      <w:tr>
        <w:tblPrEx>
          <w:tblCellMar>
            <w:top w:w="0" w:type="dxa"/>
            <w:left w:w="0" w:type="dxa"/>
            <w:bottom w:w="0" w:type="dxa"/>
            <w:right w:w="0" w:type="dxa"/>
          </w:tblCellMar>
        </w:tblPrEx>
        <w:trPr>
          <w:trHeight w:val="482" w:hRule="atLeast"/>
          <w:jc w:val="center"/>
        </w:trPr>
        <w:tc>
          <w:tcPr>
            <w:tcW w:w="696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预算单位</w:t>
            </w:r>
          </w:p>
        </w:tc>
        <w:tc>
          <w:tcPr>
            <w:tcW w:w="708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四川省广元市职业高级中学校</w:t>
            </w:r>
          </w:p>
        </w:tc>
      </w:tr>
      <w:tr>
        <w:tblPrEx>
          <w:tblCellMar>
            <w:top w:w="0" w:type="dxa"/>
            <w:left w:w="0" w:type="dxa"/>
            <w:bottom w:w="0" w:type="dxa"/>
            <w:right w:w="0" w:type="dxa"/>
          </w:tblCellMar>
        </w:tblPrEx>
        <w:trPr>
          <w:trHeight w:val="482" w:hRule="atLeast"/>
          <w:jc w:val="center"/>
        </w:trPr>
        <w:tc>
          <w:tcPr>
            <w:tcW w:w="270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预算执行情况</w:t>
            </w:r>
            <w:r>
              <w:rPr>
                <w:rFonts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t>万元</w:t>
            </w:r>
            <w:r>
              <w:rPr>
                <w:rFonts w:ascii="宋体" w:hAnsi="宋体" w:eastAsia="宋体" w:cs="宋体"/>
                <w:color w:val="000000"/>
                <w:kern w:val="0"/>
                <w:sz w:val="24"/>
                <w:szCs w:val="24"/>
                <w:lang w:bidi="ar"/>
              </w:rPr>
              <w:t>)</w:t>
            </w:r>
          </w:p>
        </w:tc>
        <w:tc>
          <w:tcPr>
            <w:tcW w:w="425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预算数</w:t>
            </w:r>
            <w:r>
              <w:rPr>
                <w:rFonts w:ascii="宋体" w:hAnsi="宋体" w:eastAsia="宋体" w:cs="宋体"/>
                <w:color w:val="000000"/>
                <w:kern w:val="0"/>
                <w:sz w:val="24"/>
                <w:szCs w:val="24"/>
                <w:lang w:bidi="ar"/>
              </w:rPr>
              <w:t>:</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110</w:t>
            </w: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执行数</w:t>
            </w:r>
            <w:r>
              <w:rPr>
                <w:rFonts w:ascii="宋体" w:hAnsi="宋体" w:eastAsia="宋体" w:cs="宋体"/>
                <w:color w:val="000000"/>
                <w:kern w:val="0"/>
                <w:sz w:val="24"/>
                <w:szCs w:val="24"/>
                <w:lang w:bidi="ar"/>
              </w:rPr>
              <w:t>:</w:t>
            </w:r>
          </w:p>
        </w:tc>
        <w:tc>
          <w:tcPr>
            <w:tcW w:w="198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100</w:t>
            </w:r>
          </w:p>
        </w:tc>
      </w:tr>
      <w:tr>
        <w:tblPrEx>
          <w:tblCellMar>
            <w:top w:w="0" w:type="dxa"/>
            <w:left w:w="0" w:type="dxa"/>
            <w:bottom w:w="0" w:type="dxa"/>
            <w:right w:w="0" w:type="dxa"/>
          </w:tblCellMar>
        </w:tblPrEx>
        <w:trPr>
          <w:trHeight w:val="482" w:hRule="atLeast"/>
          <w:jc w:val="center"/>
        </w:trPr>
        <w:tc>
          <w:tcPr>
            <w:tcW w:w="27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425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ascii="仿宋" w:hAnsi="仿宋" w:eastAsia="仿宋" w:cs="Times New Roman"/>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-1892935</wp:posOffset>
                      </wp:positionH>
                      <wp:positionV relativeFrom="paragraph">
                        <wp:posOffset>2292985</wp:posOffset>
                      </wp:positionV>
                      <wp:extent cx="2085975" cy="1403985"/>
                      <wp:effectExtent l="0" t="0" r="0" b="6350"/>
                      <wp:wrapNone/>
                      <wp:docPr id="307"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2085975" cy="1403985"/>
                              </a:xfrm>
                              <a:prstGeom prst="rect">
                                <a:avLst/>
                              </a:prstGeom>
                              <a:noFill/>
                              <a:ln w="9525">
                                <a:noFill/>
                                <a:miter lim="800000"/>
                              </a:ln>
                            </wps:spPr>
                            <wps:txbx>
                              <w:txbxContent>
                                <w:p>
                                  <w:pPr>
                                    <w:jc w:val="center"/>
                                  </w:pPr>
                                  <w:r>
                                    <w:rPr>
                                      <w:rFonts w:hint="eastAsia" w:ascii="宋体" w:hAnsi="宋体" w:eastAsia="宋体" w:cs="宋体"/>
                                      <w:color w:val="000000"/>
                                      <w:sz w:val="24"/>
                                      <w:szCs w:val="24"/>
                                    </w:rPr>
                                    <w:t>绩效指标完成情况</w:t>
                                  </w:r>
                                </w:p>
                              </w:txbxContent>
                            </wps:txbx>
                            <wps:bodyPr rot="0" vert="horz" wrap="square" lIns="91440" tIns="45720" rIns="91440" bIns="45720" anchor="t" anchorCtr="false">
                              <a:spAutoFit/>
                            </wps:bodyPr>
                          </wps:wsp>
                        </a:graphicData>
                      </a:graphic>
                    </wp:anchor>
                  </w:drawing>
                </mc:Choice>
                <mc:Fallback>
                  <w:pict>
                    <v:shape id="文本框 2" o:spid="_x0000_s1026" o:spt="202" type="#_x0000_t202" style="position:absolute;left:0pt;margin-left:-149.05pt;margin-top:180.55pt;height:110.55pt;width:164.25pt;z-index:251666432;mso-width-relative:page;mso-height-relative:page;" filled="f" stroked="f" coordsize="21600,21600" o:gfxdata="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mTApZ9kAAAALAQAADwAAAAAAAAABACAAAAA4AAAAZHJzL2Rvd25yZXYueG1sUEsBAhQAFAAA&#10;AAgAh07iQGWne+URAgAA6AMAAA4AAAAAAAAAAQAgAAAAPgEAAGRycy9lMm9Eb2MueG1sUEsFBgAA&#10;AAAGAAYAWQEAAMEFAAAAAA==&#10;">
                      <v:fill on="f" focussize="0,0"/>
                      <v:stroke on="f" miterlimit="8" joinstyle="miter"/>
                      <v:imagedata o:title=""/>
                      <o:lock v:ext="edit" aspectratio="f"/>
                      <v:textbox style="mso-fit-shape-to-text:t;">
                        <w:txbxContent>
                          <w:p>
                            <w:pPr>
                              <w:jc w:val="center"/>
                            </w:pPr>
                            <w:r>
                              <w:rPr>
                                <w:rFonts w:hint="eastAsia" w:ascii="宋体" w:hAnsi="宋体" w:eastAsia="宋体" w:cs="宋体"/>
                                <w:color w:val="000000"/>
                                <w:sz w:val="24"/>
                                <w:szCs w:val="24"/>
                              </w:rPr>
                              <w:t>绩效指标完成情况</w:t>
                            </w:r>
                          </w:p>
                        </w:txbxContent>
                      </v:textbox>
                    </v:shape>
                  </w:pict>
                </mc:Fallback>
              </mc:AlternateContent>
            </w:r>
            <w:r>
              <w:rPr>
                <w:rFonts w:hint="eastAsia" w:ascii="宋体" w:hAnsi="宋体" w:eastAsia="宋体" w:cs="宋体"/>
                <w:color w:val="000000"/>
                <w:kern w:val="0"/>
                <w:sz w:val="24"/>
                <w:szCs w:val="24"/>
                <w:lang w:bidi="ar"/>
              </w:rPr>
              <w:t>其中</w:t>
            </w:r>
            <w:r>
              <w:rPr>
                <w:rFonts w:ascii="宋体" w:hAnsi="Times New Roman" w:eastAsia="宋体" w:cs="宋体"/>
                <w:color w:val="000000"/>
                <w:kern w:val="0"/>
                <w:sz w:val="24"/>
                <w:szCs w:val="24"/>
                <w:lang w:bidi="ar"/>
              </w:rPr>
              <w:t>-</w:t>
            </w:r>
            <w:r>
              <w:rPr>
                <w:rFonts w:hint="eastAsia" w:ascii="宋体" w:hAnsi="宋体" w:eastAsia="宋体" w:cs="宋体"/>
                <w:color w:val="000000"/>
                <w:kern w:val="0"/>
                <w:sz w:val="24"/>
                <w:szCs w:val="24"/>
                <w:lang w:bidi="ar"/>
              </w:rPr>
              <w:t>财政拨款</w:t>
            </w:r>
            <w:r>
              <w:rPr>
                <w:rFonts w:ascii="宋体" w:hAnsi="宋体" w:eastAsia="宋体" w:cs="宋体"/>
                <w:color w:val="000000"/>
                <w:kern w:val="0"/>
                <w:sz w:val="24"/>
                <w:szCs w:val="24"/>
                <w:lang w:bidi="ar"/>
              </w:rPr>
              <w:t>:</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其中</w:t>
            </w:r>
            <w:r>
              <w:rPr>
                <w:rFonts w:ascii="宋体" w:hAnsi="Times New Roman" w:eastAsia="宋体" w:cs="宋体"/>
                <w:color w:val="000000"/>
                <w:kern w:val="0"/>
                <w:sz w:val="24"/>
                <w:szCs w:val="24"/>
                <w:lang w:bidi="ar"/>
              </w:rPr>
              <w:t>-</w:t>
            </w:r>
            <w:r>
              <w:rPr>
                <w:rFonts w:hint="eastAsia" w:ascii="宋体" w:hAnsi="宋体" w:eastAsia="宋体" w:cs="宋体"/>
                <w:color w:val="000000"/>
                <w:kern w:val="0"/>
                <w:sz w:val="24"/>
                <w:szCs w:val="24"/>
                <w:lang w:bidi="ar"/>
              </w:rPr>
              <w:t>财政拨款</w:t>
            </w:r>
            <w:r>
              <w:rPr>
                <w:rFonts w:ascii="宋体" w:hAnsi="宋体" w:eastAsia="宋体" w:cs="宋体"/>
                <w:color w:val="000000"/>
                <w:kern w:val="0"/>
                <w:sz w:val="24"/>
                <w:szCs w:val="24"/>
                <w:lang w:bidi="ar"/>
              </w:rPr>
              <w:t>:</w:t>
            </w:r>
          </w:p>
        </w:tc>
        <w:tc>
          <w:tcPr>
            <w:tcW w:w="198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r>
      <w:tr>
        <w:tblPrEx>
          <w:tblCellMar>
            <w:top w:w="0" w:type="dxa"/>
            <w:left w:w="0" w:type="dxa"/>
            <w:bottom w:w="0" w:type="dxa"/>
            <w:right w:w="0" w:type="dxa"/>
          </w:tblCellMar>
        </w:tblPrEx>
        <w:trPr>
          <w:trHeight w:val="482" w:hRule="atLeast"/>
          <w:jc w:val="center"/>
        </w:trPr>
        <w:tc>
          <w:tcPr>
            <w:tcW w:w="27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425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其它资金</w:t>
            </w:r>
            <w:r>
              <w:rPr>
                <w:rFonts w:ascii="宋体" w:hAnsi="宋体" w:eastAsia="宋体" w:cs="宋体"/>
                <w:color w:val="000000"/>
                <w:kern w:val="0"/>
                <w:sz w:val="24"/>
                <w:szCs w:val="24"/>
                <w:lang w:bidi="ar"/>
              </w:rPr>
              <w:t>:</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110</w:t>
            </w: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其它资金</w:t>
            </w:r>
            <w:r>
              <w:rPr>
                <w:rFonts w:ascii="宋体" w:hAnsi="宋体" w:eastAsia="宋体" w:cs="宋体"/>
                <w:color w:val="000000"/>
                <w:kern w:val="0"/>
                <w:sz w:val="24"/>
                <w:szCs w:val="24"/>
                <w:lang w:bidi="ar"/>
              </w:rPr>
              <w:t>:</w:t>
            </w:r>
          </w:p>
        </w:tc>
        <w:tc>
          <w:tcPr>
            <w:tcW w:w="198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jc w:val="center"/>
              <w:rPr>
                <w:rFonts w:ascii="宋体" w:hAnsi="Times New Roman" w:eastAsia="宋体" w:cs="宋体"/>
                <w:color w:val="000000"/>
                <w:sz w:val="24"/>
                <w:szCs w:val="24"/>
              </w:rPr>
            </w:pPr>
            <w:r>
              <w:rPr>
                <w:rFonts w:hint="eastAsia" w:ascii="宋体" w:hAnsi="Times New Roman" w:eastAsia="宋体" w:cs="宋体"/>
                <w:color w:val="000000"/>
                <w:sz w:val="24"/>
                <w:szCs w:val="24"/>
              </w:rPr>
              <w:t>100</w:t>
            </w:r>
          </w:p>
        </w:tc>
      </w:tr>
      <w:tr>
        <w:tblPrEx>
          <w:tblCellMar>
            <w:top w:w="0" w:type="dxa"/>
            <w:left w:w="0" w:type="dxa"/>
            <w:bottom w:w="0" w:type="dxa"/>
            <w:right w:w="0" w:type="dxa"/>
          </w:tblCellMar>
        </w:tblPrEx>
        <w:trPr>
          <w:trHeight w:val="482" w:hRule="atLeast"/>
          <w:jc w:val="center"/>
        </w:trPr>
        <w:tc>
          <w:tcPr>
            <w:tcW w:w="270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年度目标完成情况</w:t>
            </w:r>
          </w:p>
        </w:tc>
        <w:tc>
          <w:tcPr>
            <w:tcW w:w="722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预期目标</w:t>
            </w:r>
          </w:p>
        </w:tc>
        <w:tc>
          <w:tcPr>
            <w:tcW w:w="411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实际完成目标</w:t>
            </w:r>
          </w:p>
        </w:tc>
      </w:tr>
      <w:tr>
        <w:tblPrEx>
          <w:tblCellMar>
            <w:top w:w="0" w:type="dxa"/>
            <w:left w:w="0" w:type="dxa"/>
            <w:bottom w:w="0" w:type="dxa"/>
            <w:right w:w="0" w:type="dxa"/>
          </w:tblCellMar>
        </w:tblPrEx>
        <w:trPr>
          <w:trHeight w:val="90" w:hRule="atLeast"/>
          <w:jc w:val="center"/>
        </w:trPr>
        <w:tc>
          <w:tcPr>
            <w:tcW w:w="27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722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按计划完成广元市市本级、利州区、昭化区就业技能培训、品牌培训、企业员工培训以及职业技能提升培训</w:t>
            </w:r>
          </w:p>
        </w:tc>
        <w:tc>
          <w:tcPr>
            <w:tcW w:w="4111"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left"/>
              <w:textAlignment w:val="center"/>
              <w:rPr>
                <w:rFonts w:ascii="宋体" w:hAnsi="Times New Roman" w:eastAsia="宋体" w:cs="宋体"/>
                <w:color w:val="000000"/>
                <w:sz w:val="24"/>
                <w:szCs w:val="24"/>
              </w:rPr>
            </w:pPr>
            <w:r>
              <w:rPr>
                <w:rFonts w:ascii="宋体" w:hAnsi="Times New Roman" w:eastAsia="宋体" w:cs="宋体"/>
                <w:color w:val="000000"/>
                <w:sz w:val="24"/>
                <w:szCs w:val="24"/>
              </w:rPr>
              <w:t>全年完成各项培训</w:t>
            </w:r>
            <w:r>
              <w:rPr>
                <w:rFonts w:hint="eastAsia" w:ascii="宋体" w:hAnsi="Times New Roman" w:eastAsia="宋体" w:cs="宋体"/>
                <w:color w:val="000000"/>
                <w:sz w:val="24"/>
                <w:szCs w:val="24"/>
              </w:rPr>
              <w:t>2207人（含工人技术等级考试培训327人）</w:t>
            </w:r>
          </w:p>
        </w:tc>
      </w:tr>
      <w:tr>
        <w:tblPrEx>
          <w:tblCellMar>
            <w:top w:w="0" w:type="dxa"/>
            <w:left w:w="0" w:type="dxa"/>
            <w:bottom w:w="0" w:type="dxa"/>
            <w:right w:w="0" w:type="dxa"/>
          </w:tblCellMar>
        </w:tblPrEx>
        <w:trPr>
          <w:trHeight w:val="482" w:hRule="atLeast"/>
          <w:jc w:val="center"/>
        </w:trPr>
        <w:tc>
          <w:tcPr>
            <w:tcW w:w="270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宋体" w:eastAsia="宋体" w:cs="宋体"/>
                <w:color w:val="000000"/>
                <w:sz w:val="24"/>
                <w:szCs w:val="24"/>
              </w:rPr>
            </w:pPr>
          </w:p>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sz w:val="24"/>
                <w:szCs w:val="24"/>
              </w:rPr>
              <w:t>绩效指标完成情况</w:t>
            </w: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一级指标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二级指标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三级指标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预期指标值</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实际完成指标值</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市本级各类职业技能培训300人次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300人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282</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利州区各类职业技能培训300人次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300人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140</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昭化区各类职业技能培训200人次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200人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86</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旺苍县各类职业技能培训150人次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150人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198</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品牌培训100人次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100人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52</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“女皇味道”餐饮培训200人次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200人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92</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农民夜校学习1000人次</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1000人</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1030</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质量指标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培训合格率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等于或等于90%</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96%</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时效指标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培训完成时间</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11月30日前</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12月25日</w:t>
            </w: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成本指标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人均培训成本</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根据项目性质而定</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r>
      <w:tr>
        <w:tblPrEx>
          <w:tblCellMar>
            <w:top w:w="0" w:type="dxa"/>
            <w:left w:w="0" w:type="dxa"/>
            <w:bottom w:w="0" w:type="dxa"/>
            <w:right w:w="0" w:type="dxa"/>
          </w:tblCellMar>
        </w:tblPrEx>
        <w:trPr>
          <w:trHeight w:val="482"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效益指标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经济效益指标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促进农民增收</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大于或等于500元/月</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r>
      <w:tr>
        <w:tblPrEx>
          <w:tblCellMar>
            <w:top w:w="0" w:type="dxa"/>
            <w:left w:w="0" w:type="dxa"/>
            <w:bottom w:w="0" w:type="dxa"/>
            <w:right w:w="0" w:type="dxa"/>
          </w:tblCellMar>
        </w:tblPrEx>
        <w:trPr>
          <w:trHeight w:val="775" w:hRule="atLeast"/>
          <w:jc w:val="center"/>
        </w:trPr>
        <w:tc>
          <w:tcPr>
            <w:tcW w:w="2709"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效益指标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社会效益指标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带动就业增长和减少贫困人口数量</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根据各县区要去完成脱贫攻坚培训任务</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left"/>
              <w:textAlignment w:val="center"/>
              <w:rPr>
                <w:rFonts w:ascii="宋体" w:hAnsi="Times New Roman" w:eastAsia="宋体" w:cs="宋体"/>
                <w:color w:val="000000"/>
                <w:sz w:val="24"/>
                <w:szCs w:val="24"/>
              </w:rPr>
            </w:pPr>
            <w:r>
              <w:rPr>
                <w:rFonts w:ascii="宋体" w:hAnsi="Times New Roman" w:eastAsia="宋体" w:cs="宋体"/>
                <w:color w:val="000000"/>
                <w:sz w:val="24"/>
                <w:szCs w:val="24"/>
              </w:rPr>
              <w:t>完成脱贫攻坚培训任务</w:t>
            </w:r>
          </w:p>
        </w:tc>
      </w:tr>
      <w:tr>
        <w:tblPrEx>
          <w:tblCellMar>
            <w:top w:w="0" w:type="dxa"/>
            <w:left w:w="0" w:type="dxa"/>
            <w:bottom w:w="0" w:type="dxa"/>
            <w:right w:w="0" w:type="dxa"/>
          </w:tblCellMar>
        </w:tblPrEx>
        <w:trPr>
          <w:trHeight w:val="482" w:hRule="atLeast"/>
          <w:jc w:val="center"/>
        </w:trPr>
        <w:tc>
          <w:tcPr>
            <w:tcW w:w="2709"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满意度指标</w:t>
            </w:r>
          </w:p>
        </w:tc>
        <w:tc>
          <w:tcPr>
            <w:tcW w:w="22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服务对象满意度指标</w:t>
            </w:r>
          </w:p>
        </w:tc>
        <w:tc>
          <w:tcPr>
            <w:tcW w:w="29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培训对象满意度调查</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等于或大于90%</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98%</w:t>
            </w:r>
          </w:p>
        </w:tc>
      </w:tr>
    </w:tbl>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p>
    <w:p>
      <w:pPr>
        <w:jc w:val="center"/>
        <w:rPr>
          <w:rFonts w:ascii="宋体" w:hAnsi="宋体" w:cs="宋体"/>
          <w:b/>
          <w:bCs/>
          <w:color w:val="000000"/>
          <w:kern w:val="0"/>
          <w:sz w:val="36"/>
          <w:szCs w:val="36"/>
          <w:lang w:bidi="ar"/>
        </w:rPr>
      </w:pPr>
      <w:r>
        <w:rPr>
          <w:rFonts w:hint="eastAsia" w:ascii="宋体" w:hAnsi="宋体" w:cs="宋体"/>
          <w:b/>
          <w:bCs/>
          <w:color w:val="000000"/>
          <w:kern w:val="0"/>
          <w:sz w:val="36"/>
          <w:szCs w:val="36"/>
          <w:lang w:bidi="ar"/>
        </w:rPr>
        <w:t>项目绩效目标完成情况表</w:t>
      </w:r>
    </w:p>
    <w:p>
      <w:pPr>
        <w:jc w:val="center"/>
        <w:rPr>
          <w:rFonts w:ascii="宋体" w:hAnsi="宋体" w:cs="宋体"/>
          <w:color w:val="000000"/>
          <w:kern w:val="0"/>
          <w:sz w:val="36"/>
          <w:szCs w:val="36"/>
          <w:lang w:bidi="ar"/>
        </w:rPr>
      </w:pPr>
      <w:r>
        <w:rPr>
          <w:rFonts w:ascii="宋体" w:hAnsi="宋体" w:cs="宋体"/>
          <w:color w:val="000000"/>
          <w:kern w:val="0"/>
          <w:sz w:val="36"/>
          <w:szCs w:val="36"/>
          <w:lang w:bidi="ar"/>
        </w:rPr>
        <w:t>(2020</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bl>
      <w:tblPr>
        <w:tblStyle w:val="12"/>
        <w:tblpPr w:leftFromText="180" w:rightFromText="180" w:vertAnchor="text" w:horzAnchor="page" w:tblpXSpec="center" w:tblpY="423"/>
        <w:tblOverlap w:val="never"/>
        <w:tblW w:w="0" w:type="auto"/>
        <w:jc w:val="center"/>
        <w:tblLayout w:type="fixed"/>
        <w:tblCellMar>
          <w:top w:w="0" w:type="dxa"/>
          <w:left w:w="0" w:type="dxa"/>
          <w:bottom w:w="0" w:type="dxa"/>
          <w:right w:w="0" w:type="dxa"/>
        </w:tblCellMar>
      </w:tblPr>
      <w:tblGrid>
        <w:gridCol w:w="2425"/>
        <w:gridCol w:w="1985"/>
        <w:gridCol w:w="2409"/>
        <w:gridCol w:w="142"/>
        <w:gridCol w:w="2126"/>
        <w:gridCol w:w="2694"/>
        <w:gridCol w:w="231"/>
        <w:gridCol w:w="1972"/>
      </w:tblGrid>
      <w:tr>
        <w:tblPrEx>
          <w:tblCellMar>
            <w:top w:w="0" w:type="dxa"/>
            <w:left w:w="0" w:type="dxa"/>
            <w:bottom w:w="0" w:type="dxa"/>
            <w:right w:w="0" w:type="dxa"/>
          </w:tblCellMar>
        </w:tblPrEx>
        <w:trPr>
          <w:trHeight w:val="482" w:hRule="atLeast"/>
          <w:jc w:val="center"/>
        </w:trPr>
        <w:tc>
          <w:tcPr>
            <w:tcW w:w="6961"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项目名称</w:t>
            </w:r>
          </w:p>
        </w:tc>
        <w:tc>
          <w:tcPr>
            <w:tcW w:w="7023"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教学工作经费</w:t>
            </w:r>
          </w:p>
        </w:tc>
      </w:tr>
      <w:tr>
        <w:tblPrEx>
          <w:tblCellMar>
            <w:top w:w="0" w:type="dxa"/>
            <w:left w:w="0" w:type="dxa"/>
            <w:bottom w:w="0" w:type="dxa"/>
            <w:right w:w="0" w:type="dxa"/>
          </w:tblCellMar>
        </w:tblPrEx>
        <w:trPr>
          <w:trHeight w:val="482" w:hRule="atLeast"/>
          <w:jc w:val="center"/>
        </w:trPr>
        <w:tc>
          <w:tcPr>
            <w:tcW w:w="6961"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预算单位</w:t>
            </w:r>
          </w:p>
        </w:tc>
        <w:tc>
          <w:tcPr>
            <w:tcW w:w="7023"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四川省广元市职业高级中学校</w:t>
            </w:r>
          </w:p>
        </w:tc>
      </w:tr>
      <w:tr>
        <w:tblPrEx>
          <w:tblCellMar>
            <w:top w:w="0" w:type="dxa"/>
            <w:left w:w="0" w:type="dxa"/>
            <w:bottom w:w="0" w:type="dxa"/>
            <w:right w:w="0" w:type="dxa"/>
          </w:tblCellMar>
        </w:tblPrEx>
        <w:trPr>
          <w:trHeight w:val="482" w:hRule="atLeast"/>
          <w:jc w:val="center"/>
        </w:trPr>
        <w:tc>
          <w:tcPr>
            <w:tcW w:w="24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预算执行情况</w:t>
            </w:r>
            <w:r>
              <w:rPr>
                <w:rFonts w:ascii="宋体" w:hAnsi="宋体" w:eastAsia="宋体" w:cs="宋体"/>
                <w:color w:val="000000"/>
                <w:kern w:val="0"/>
                <w:sz w:val="24"/>
                <w:szCs w:val="24"/>
                <w:lang w:bidi="ar"/>
              </w:rPr>
              <w:t>(</w:t>
            </w:r>
            <w:r>
              <w:rPr>
                <w:rFonts w:hint="eastAsia" w:ascii="宋体" w:hAnsi="宋体" w:eastAsia="宋体" w:cs="宋体"/>
                <w:color w:val="000000"/>
                <w:kern w:val="0"/>
                <w:sz w:val="24"/>
                <w:szCs w:val="24"/>
                <w:lang w:bidi="ar"/>
              </w:rPr>
              <w:t>万元</w:t>
            </w:r>
            <w:r>
              <w:rPr>
                <w:rFonts w:ascii="宋体" w:hAnsi="宋体" w:eastAsia="宋体" w:cs="宋体"/>
                <w:color w:val="000000"/>
                <w:kern w:val="0"/>
                <w:sz w:val="24"/>
                <w:szCs w:val="24"/>
                <w:lang w:bidi="ar"/>
              </w:rPr>
              <w:t>)</w:t>
            </w:r>
          </w:p>
        </w:tc>
        <w:tc>
          <w:tcPr>
            <w:tcW w:w="453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预算数</w:t>
            </w:r>
            <w:r>
              <w:rPr>
                <w:rFonts w:ascii="宋体" w:hAnsi="宋体" w:eastAsia="宋体" w:cs="宋体"/>
                <w:color w:val="000000"/>
                <w:kern w:val="0"/>
                <w:sz w:val="24"/>
                <w:szCs w:val="24"/>
                <w:lang w:bidi="ar"/>
              </w:rPr>
              <w:t>:</w:t>
            </w: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200.6</w:t>
            </w:r>
          </w:p>
        </w:tc>
        <w:tc>
          <w:tcPr>
            <w:tcW w:w="29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执行数</w:t>
            </w:r>
            <w:r>
              <w:rPr>
                <w:rFonts w:ascii="宋体" w:hAnsi="宋体" w:eastAsia="宋体" w:cs="宋体"/>
                <w:color w:val="000000"/>
                <w:kern w:val="0"/>
                <w:sz w:val="24"/>
                <w:szCs w:val="24"/>
                <w:lang w:bidi="ar"/>
              </w:rPr>
              <w:t>:</w:t>
            </w:r>
          </w:p>
        </w:tc>
        <w:tc>
          <w:tcPr>
            <w:tcW w:w="1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224.25</w:t>
            </w:r>
          </w:p>
        </w:tc>
      </w:tr>
      <w:tr>
        <w:tblPrEx>
          <w:tblCellMar>
            <w:top w:w="0" w:type="dxa"/>
            <w:left w:w="0" w:type="dxa"/>
            <w:bottom w:w="0" w:type="dxa"/>
            <w:right w:w="0" w:type="dxa"/>
          </w:tblCellMar>
        </w:tblPrEx>
        <w:trPr>
          <w:trHeight w:val="482" w:hRule="atLeast"/>
          <w:jc w:val="center"/>
        </w:trPr>
        <w:tc>
          <w:tcPr>
            <w:tcW w:w="24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453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其中</w:t>
            </w:r>
            <w:r>
              <w:rPr>
                <w:rFonts w:ascii="宋体" w:hAnsi="Times New Roman" w:eastAsia="宋体" w:cs="宋体"/>
                <w:color w:val="000000"/>
                <w:kern w:val="0"/>
                <w:sz w:val="24"/>
                <w:szCs w:val="24"/>
                <w:lang w:bidi="ar"/>
              </w:rPr>
              <w:t>-</w:t>
            </w:r>
            <w:r>
              <w:rPr>
                <w:rFonts w:hint="eastAsia" w:ascii="宋体" w:hAnsi="宋体" w:eastAsia="宋体" w:cs="宋体"/>
                <w:color w:val="000000"/>
                <w:kern w:val="0"/>
                <w:sz w:val="24"/>
                <w:szCs w:val="24"/>
                <w:lang w:bidi="ar"/>
              </w:rPr>
              <w:t>财政拨款</w:t>
            </w:r>
            <w:r>
              <w:rPr>
                <w:rFonts w:ascii="宋体" w:hAnsi="宋体" w:eastAsia="宋体" w:cs="宋体"/>
                <w:color w:val="000000"/>
                <w:kern w:val="0"/>
                <w:sz w:val="24"/>
                <w:szCs w:val="24"/>
                <w:lang w:bidi="ar"/>
              </w:rPr>
              <w:t>:</w:t>
            </w: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29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其中</w:t>
            </w:r>
            <w:r>
              <w:rPr>
                <w:rFonts w:ascii="宋体" w:hAnsi="Times New Roman" w:eastAsia="宋体" w:cs="宋体"/>
                <w:color w:val="000000"/>
                <w:kern w:val="0"/>
                <w:sz w:val="24"/>
                <w:szCs w:val="24"/>
                <w:lang w:bidi="ar"/>
              </w:rPr>
              <w:t>-</w:t>
            </w:r>
            <w:r>
              <w:rPr>
                <w:rFonts w:hint="eastAsia" w:ascii="宋体" w:hAnsi="宋体" w:eastAsia="宋体" w:cs="宋体"/>
                <w:color w:val="000000"/>
                <w:kern w:val="0"/>
                <w:sz w:val="24"/>
                <w:szCs w:val="24"/>
                <w:lang w:bidi="ar"/>
              </w:rPr>
              <w:t>财政拨款</w:t>
            </w:r>
            <w:r>
              <w:rPr>
                <w:rFonts w:ascii="宋体" w:hAnsi="宋体" w:eastAsia="宋体" w:cs="宋体"/>
                <w:color w:val="000000"/>
                <w:kern w:val="0"/>
                <w:sz w:val="24"/>
                <w:szCs w:val="24"/>
                <w:lang w:bidi="ar"/>
              </w:rPr>
              <w:t>:</w:t>
            </w:r>
          </w:p>
        </w:tc>
        <w:tc>
          <w:tcPr>
            <w:tcW w:w="1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宋体" w:eastAsia="宋体" w:cs="宋体"/>
                <w:color w:val="000000"/>
                <w:kern w:val="0"/>
                <w:sz w:val="24"/>
                <w:szCs w:val="24"/>
                <w:lang w:bidi="ar"/>
              </w:rPr>
            </w:pPr>
          </w:p>
        </w:tc>
      </w:tr>
      <w:tr>
        <w:tblPrEx>
          <w:tblCellMar>
            <w:top w:w="0" w:type="dxa"/>
            <w:left w:w="0" w:type="dxa"/>
            <w:bottom w:w="0" w:type="dxa"/>
            <w:right w:w="0" w:type="dxa"/>
          </w:tblCellMar>
        </w:tblPrEx>
        <w:trPr>
          <w:trHeight w:val="482" w:hRule="atLeast"/>
          <w:jc w:val="center"/>
        </w:trPr>
        <w:tc>
          <w:tcPr>
            <w:tcW w:w="24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453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其它资金</w:t>
            </w:r>
            <w:r>
              <w:rPr>
                <w:rFonts w:ascii="宋体" w:hAnsi="宋体" w:eastAsia="宋体" w:cs="宋体"/>
                <w:color w:val="000000"/>
                <w:kern w:val="0"/>
                <w:sz w:val="24"/>
                <w:szCs w:val="24"/>
                <w:lang w:bidi="ar"/>
              </w:rPr>
              <w:t>:</w:t>
            </w:r>
          </w:p>
        </w:tc>
        <w:tc>
          <w:tcPr>
            <w:tcW w:w="21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200.6</w:t>
            </w:r>
          </w:p>
        </w:tc>
        <w:tc>
          <w:tcPr>
            <w:tcW w:w="29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其它资金</w:t>
            </w:r>
            <w:r>
              <w:rPr>
                <w:rFonts w:ascii="宋体" w:hAnsi="宋体" w:eastAsia="宋体" w:cs="宋体"/>
                <w:color w:val="000000"/>
                <w:kern w:val="0"/>
                <w:sz w:val="24"/>
                <w:szCs w:val="24"/>
                <w:lang w:bidi="ar"/>
              </w:rPr>
              <w:t>:</w:t>
            </w:r>
          </w:p>
        </w:tc>
        <w:tc>
          <w:tcPr>
            <w:tcW w:w="1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224.25</w:t>
            </w:r>
          </w:p>
        </w:tc>
      </w:tr>
      <w:tr>
        <w:tblPrEx>
          <w:tblCellMar>
            <w:top w:w="0" w:type="dxa"/>
            <w:left w:w="0" w:type="dxa"/>
            <w:bottom w:w="0" w:type="dxa"/>
            <w:right w:w="0" w:type="dxa"/>
          </w:tblCellMar>
        </w:tblPrEx>
        <w:trPr>
          <w:trHeight w:val="482" w:hRule="atLeast"/>
          <w:jc w:val="center"/>
        </w:trPr>
        <w:tc>
          <w:tcPr>
            <w:tcW w:w="24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年度目标完成情况</w:t>
            </w:r>
          </w:p>
        </w:tc>
        <w:tc>
          <w:tcPr>
            <w:tcW w:w="666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预期目标</w:t>
            </w:r>
          </w:p>
        </w:tc>
        <w:tc>
          <w:tcPr>
            <w:tcW w:w="489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实际完成目标</w:t>
            </w:r>
          </w:p>
        </w:tc>
      </w:tr>
      <w:tr>
        <w:tblPrEx>
          <w:tblCellMar>
            <w:top w:w="0" w:type="dxa"/>
            <w:left w:w="0" w:type="dxa"/>
            <w:bottom w:w="0" w:type="dxa"/>
            <w:right w:w="0" w:type="dxa"/>
          </w:tblCellMar>
        </w:tblPrEx>
        <w:trPr>
          <w:trHeight w:val="90" w:hRule="atLeast"/>
          <w:jc w:val="center"/>
        </w:trPr>
        <w:tc>
          <w:tcPr>
            <w:tcW w:w="24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600" w:lineRule="exact"/>
              <w:ind w:firstLine="480" w:firstLineChars="200"/>
              <w:jc w:val="center"/>
              <w:rPr>
                <w:rFonts w:ascii="宋体" w:hAnsi="Times New Roman" w:eastAsia="宋体" w:cs="宋体"/>
                <w:color w:val="000000"/>
                <w:sz w:val="24"/>
                <w:szCs w:val="24"/>
              </w:rPr>
            </w:pPr>
          </w:p>
        </w:tc>
        <w:tc>
          <w:tcPr>
            <w:tcW w:w="666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ind w:firstLine="480" w:firstLineChars="200"/>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按计划完成广元市市本级、利州区、昭化区、剑阁县就业技能培训、品牌培训、企业员工培训以及职业技能提升培训；</w:t>
            </w:r>
          </w:p>
        </w:tc>
        <w:tc>
          <w:tcPr>
            <w:tcW w:w="489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ind w:firstLine="480" w:firstLineChars="200"/>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按计划完成广元市市本级、利州区、昭化区、剑阁县就业技能培训、品牌培训、企业员工培训以及职业技能提升培训；</w:t>
            </w:r>
          </w:p>
        </w:tc>
      </w:tr>
      <w:tr>
        <w:tblPrEx>
          <w:tblCellMar>
            <w:top w:w="0" w:type="dxa"/>
            <w:left w:w="0" w:type="dxa"/>
            <w:bottom w:w="0" w:type="dxa"/>
            <w:right w:w="0" w:type="dxa"/>
          </w:tblCellMar>
        </w:tblPrEx>
        <w:trPr>
          <w:trHeight w:val="697" w:hRule="atLeast"/>
          <w:jc w:val="center"/>
        </w:trPr>
        <w:tc>
          <w:tcPr>
            <w:tcW w:w="242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sz w:val="24"/>
                <w:szCs w:val="24"/>
              </w:rPr>
              <w:t>绩效指标完成情况</w:t>
            </w: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一级指标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二级指标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三级指标</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预期指标值</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实际完成指标值</w:t>
            </w:r>
          </w:p>
        </w:tc>
      </w:tr>
      <w:tr>
        <w:tblPrEx>
          <w:tblCellMar>
            <w:top w:w="0" w:type="dxa"/>
            <w:left w:w="0" w:type="dxa"/>
            <w:bottom w:w="0" w:type="dxa"/>
            <w:right w:w="0" w:type="dxa"/>
          </w:tblCellMar>
        </w:tblPrEx>
        <w:trPr>
          <w:trHeight w:val="783"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完成教学、培训工作</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保证了教学秩序的正常开展</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保证教学秩序正常开展，支持培训工作完成。</w:t>
            </w:r>
          </w:p>
        </w:tc>
      </w:tr>
      <w:tr>
        <w:tblPrEx>
          <w:tblCellMar>
            <w:top w:w="0" w:type="dxa"/>
            <w:left w:w="0" w:type="dxa"/>
            <w:bottom w:w="0" w:type="dxa"/>
            <w:right w:w="0" w:type="dxa"/>
          </w:tblCellMar>
        </w:tblPrEx>
        <w:trPr>
          <w:trHeight w:val="115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充实教学水平</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提高了各专业的师资力量</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聘请各类兼职教师16人，提高了各专业师资力量。</w:t>
            </w:r>
          </w:p>
        </w:tc>
      </w:tr>
      <w:tr>
        <w:tblPrEx>
          <w:tblCellMar>
            <w:top w:w="0" w:type="dxa"/>
            <w:left w:w="0" w:type="dxa"/>
            <w:bottom w:w="0" w:type="dxa"/>
            <w:right w:w="0" w:type="dxa"/>
          </w:tblCellMar>
        </w:tblPrEx>
        <w:trPr>
          <w:trHeight w:val="902"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完成实习、实训工作</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完成了各专业的实训项目计划</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完成各专业实训项目计划，开出率98%以上。</w:t>
            </w:r>
          </w:p>
        </w:tc>
      </w:tr>
      <w:tr>
        <w:tblPrEx>
          <w:tblCellMar>
            <w:top w:w="0" w:type="dxa"/>
            <w:left w:w="0" w:type="dxa"/>
            <w:bottom w:w="0" w:type="dxa"/>
            <w:right w:w="0" w:type="dxa"/>
          </w:tblCellMar>
        </w:tblPrEx>
        <w:trPr>
          <w:trHeight w:val="82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宋体" w:eastAsia="宋体" w:cs="宋体"/>
                <w:color w:val="000000"/>
                <w:kern w:val="0"/>
                <w:sz w:val="24"/>
                <w:szCs w:val="24"/>
                <w:lang w:bidi="ar"/>
              </w:rPr>
            </w:pPr>
            <w:r>
              <w:rPr>
                <w:rFonts w:ascii="仿宋" w:hAnsi="仿宋" w:eastAsia="仿宋" w:cs="Times New Roman"/>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-1838325</wp:posOffset>
                      </wp:positionH>
                      <wp:positionV relativeFrom="paragraph">
                        <wp:posOffset>-447040</wp:posOffset>
                      </wp:positionV>
                      <wp:extent cx="2085975" cy="1403985"/>
                      <wp:effectExtent l="0" t="0" r="0" b="6350"/>
                      <wp:wrapNone/>
                      <wp:docPr id="7"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2085975" cy="1403985"/>
                              </a:xfrm>
                              <a:prstGeom prst="rect">
                                <a:avLst/>
                              </a:prstGeom>
                              <a:noFill/>
                              <a:ln w="9525">
                                <a:noFill/>
                                <a:miter lim="800000"/>
                              </a:ln>
                            </wps:spPr>
                            <wps:txbx>
                              <w:txbxContent>
                                <w:p>
                                  <w:pPr>
                                    <w:jc w:val="center"/>
                                  </w:pPr>
                                  <w:r>
                                    <w:rPr>
                                      <w:rFonts w:hint="eastAsia" w:ascii="宋体" w:hAnsi="宋体" w:eastAsia="宋体" w:cs="宋体"/>
                                      <w:color w:val="000000"/>
                                      <w:sz w:val="24"/>
                                      <w:szCs w:val="24"/>
                                    </w:rPr>
                                    <w:t>绩效指标完成情况</w:t>
                                  </w:r>
                                </w:p>
                              </w:txbxContent>
                            </wps:txbx>
                            <wps:bodyPr rot="0" vert="horz" wrap="square" lIns="91440" tIns="45720" rIns="91440" bIns="45720" anchor="t" anchorCtr="false">
                              <a:spAutoFit/>
                            </wps:bodyPr>
                          </wps:wsp>
                        </a:graphicData>
                      </a:graphic>
                    </wp:anchor>
                  </w:drawing>
                </mc:Choice>
                <mc:Fallback>
                  <w:pict>
                    <v:shape id="文本框 2" o:spid="_x0000_s1026" o:spt="202" type="#_x0000_t202" style="position:absolute;left:0pt;margin-left:-144.75pt;margin-top:-35.2pt;height:110.55pt;width:164.25pt;z-index:251667456;mso-width-relative:page;mso-height-relative:page;" filled="f" stroked="f" coordsize="21600,21600" o:gfxdata="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De&#10;pBiv2AAAAAsBAAAPAAAAAAAAAAEAIAAAADgAAABkcnMvZG93bnJldi54bWxQSwECFAAUAAAACACH&#10;TuJAdqsrrQ4CAADmAwAADgAAAAAAAAABACAAAAA9AQAAZHJzL2Uyb0RvYy54bWxQSwUGAAAAAAYA&#10;BgBZAQAAvQUAAAAA&#10;">
                      <v:fill on="f" focussize="0,0"/>
                      <v:stroke on="f" miterlimit="8" joinstyle="miter"/>
                      <v:imagedata o:title=""/>
                      <o:lock v:ext="edit" aspectratio="f"/>
                      <v:textbox style="mso-fit-shape-to-text:t;">
                        <w:txbxContent>
                          <w:p>
                            <w:pPr>
                              <w:jc w:val="center"/>
                            </w:pPr>
                            <w:r>
                              <w:rPr>
                                <w:rFonts w:hint="eastAsia" w:ascii="宋体" w:hAnsi="宋体" w:eastAsia="宋体" w:cs="宋体"/>
                                <w:color w:val="000000"/>
                                <w:sz w:val="24"/>
                                <w:szCs w:val="24"/>
                              </w:rPr>
                              <w:t>绩效指标完成情况</w:t>
                            </w:r>
                          </w:p>
                        </w:txbxContent>
                      </v:textbox>
                    </v:shape>
                  </w:pict>
                </mc:Fallback>
              </mc:AlternateContent>
            </w: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完成教学保障工作</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完成了2次期末考试，2次期中考试，10次月考。</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完成2次期末考试、2次期中考试、10次月考</w:t>
            </w:r>
          </w:p>
        </w:tc>
      </w:tr>
      <w:tr>
        <w:tblPrEx>
          <w:tblCellMar>
            <w:top w:w="0" w:type="dxa"/>
            <w:left w:w="0" w:type="dxa"/>
            <w:bottom w:w="0" w:type="dxa"/>
            <w:right w:w="0" w:type="dxa"/>
          </w:tblCellMar>
        </w:tblPrEx>
        <w:trPr>
          <w:trHeight w:val="82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数量指标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完成了教材副本采购工作</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完成了2次教材采购。</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教材按规定采购并保证使用。</w:t>
            </w:r>
          </w:p>
        </w:tc>
      </w:tr>
      <w:tr>
        <w:tblPrEx>
          <w:tblCellMar>
            <w:top w:w="0" w:type="dxa"/>
            <w:left w:w="0" w:type="dxa"/>
            <w:bottom w:w="0" w:type="dxa"/>
            <w:right w:w="0" w:type="dxa"/>
          </w:tblCellMar>
        </w:tblPrEx>
        <w:trPr>
          <w:trHeight w:val="752"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质量指标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实训项目注重实效果</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项目明确，完成过程扎实</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实训过程记录完整，技能水平提高，鉴定证书合格率95%以上，省市技能大赛得奖10余人次。</w:t>
            </w:r>
          </w:p>
        </w:tc>
      </w:tr>
      <w:tr>
        <w:tblPrEx>
          <w:tblCellMar>
            <w:top w:w="0" w:type="dxa"/>
            <w:left w:w="0" w:type="dxa"/>
            <w:bottom w:w="0" w:type="dxa"/>
            <w:right w:w="0" w:type="dxa"/>
          </w:tblCellMar>
        </w:tblPrEx>
        <w:trPr>
          <w:trHeight w:val="85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质量指标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突出部分专业优秀人才对本校教师的作用</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2"/>
                <w:lang w:bidi="ar"/>
              </w:rPr>
              <w:t>促进了教师专业技能的提升</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建立名师工作室，优秀教师参加各类培训20余次。</w:t>
            </w:r>
          </w:p>
        </w:tc>
      </w:tr>
      <w:tr>
        <w:tblPrEx>
          <w:tblCellMar>
            <w:top w:w="0" w:type="dxa"/>
            <w:left w:w="0" w:type="dxa"/>
            <w:bottom w:w="0" w:type="dxa"/>
            <w:right w:w="0" w:type="dxa"/>
          </w:tblCellMar>
        </w:tblPrEx>
        <w:trPr>
          <w:trHeight w:val="85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项目完成指标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质量指标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教学监测评估有利于学生可持续发展</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命题质量高</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参加省、市质量监测评估，推进了教学改进。</w:t>
            </w:r>
          </w:p>
        </w:tc>
      </w:tr>
      <w:tr>
        <w:tblPrEx>
          <w:tblCellMar>
            <w:top w:w="0" w:type="dxa"/>
            <w:left w:w="0" w:type="dxa"/>
            <w:bottom w:w="0" w:type="dxa"/>
            <w:right w:w="0" w:type="dxa"/>
          </w:tblCellMar>
        </w:tblPrEx>
        <w:trPr>
          <w:trHeight w:val="1007"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效益指标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社会效益指标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促进教师专业发展，整体提升教师教学能力</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形成骨干教师发展梯队</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多渠道培训教师，新增2名市级骨干教师。</w:t>
            </w:r>
          </w:p>
        </w:tc>
      </w:tr>
      <w:tr>
        <w:tblPrEx>
          <w:tblCellMar>
            <w:top w:w="0" w:type="dxa"/>
            <w:left w:w="0" w:type="dxa"/>
            <w:bottom w:w="0" w:type="dxa"/>
            <w:right w:w="0" w:type="dxa"/>
          </w:tblCellMar>
        </w:tblPrEx>
        <w:trPr>
          <w:trHeight w:val="775" w:hRule="atLeast"/>
          <w:jc w:val="center"/>
        </w:trPr>
        <w:tc>
          <w:tcPr>
            <w:tcW w:w="2425" w:type="dxa"/>
            <w:vMerge w:val="continue"/>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效益指标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社会效益指标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促进学生可持续发展，提升教育质量</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教学质量稳中有升</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省、市质量监测评估中全市排名靠前，技能大赛获奖10多项。</w:t>
            </w:r>
          </w:p>
        </w:tc>
      </w:tr>
      <w:tr>
        <w:tblPrEx>
          <w:tblCellMar>
            <w:top w:w="0" w:type="dxa"/>
            <w:left w:w="0" w:type="dxa"/>
            <w:bottom w:w="0" w:type="dxa"/>
            <w:right w:w="0" w:type="dxa"/>
          </w:tblCellMar>
        </w:tblPrEx>
        <w:trPr>
          <w:trHeight w:val="775" w:hRule="atLeast"/>
          <w:jc w:val="center"/>
        </w:trPr>
        <w:tc>
          <w:tcPr>
            <w:tcW w:w="2425" w:type="dxa"/>
            <w:tcBorders>
              <w:left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满意度指标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服务对象满意度指标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实训项目计划周详，实训项目完成过程扎实</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满意率100 %</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满意率100 %</w:t>
            </w:r>
          </w:p>
        </w:tc>
      </w:tr>
      <w:tr>
        <w:tblPrEx>
          <w:tblCellMar>
            <w:top w:w="0" w:type="dxa"/>
            <w:left w:w="0" w:type="dxa"/>
            <w:bottom w:w="0" w:type="dxa"/>
            <w:right w:w="0" w:type="dxa"/>
          </w:tblCellMar>
        </w:tblPrEx>
        <w:trPr>
          <w:trHeight w:val="775" w:hRule="atLeast"/>
          <w:jc w:val="center"/>
        </w:trPr>
        <w:tc>
          <w:tcPr>
            <w:tcW w:w="2425"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600" w:lineRule="exact"/>
              <w:ind w:firstLine="480" w:firstLineChars="200"/>
              <w:jc w:val="center"/>
              <w:textAlignment w:val="center"/>
              <w:rPr>
                <w:rFonts w:ascii="宋体" w:hAnsi="Times New Roman" w:eastAsia="宋体" w:cs="宋体"/>
                <w:color w:val="000000"/>
                <w:sz w:val="24"/>
                <w:szCs w:val="24"/>
              </w:rPr>
            </w:pPr>
          </w:p>
        </w:tc>
        <w:tc>
          <w:tcPr>
            <w:tcW w:w="1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满意度指标</w:t>
            </w:r>
          </w:p>
        </w:tc>
        <w:tc>
          <w:tcPr>
            <w:tcW w:w="24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服务对象满意度指标</w:t>
            </w:r>
          </w:p>
        </w:tc>
        <w:tc>
          <w:tcPr>
            <w:tcW w:w="226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left"/>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教材采购过程公开、透明，符合规范教材要求</w:t>
            </w:r>
          </w:p>
        </w:tc>
        <w:tc>
          <w:tcPr>
            <w:tcW w:w="2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宋体" w:eastAsia="宋体" w:cs="宋体"/>
                <w:color w:val="000000"/>
                <w:kern w:val="0"/>
                <w:sz w:val="24"/>
                <w:szCs w:val="24"/>
                <w:lang w:bidi="ar"/>
              </w:rPr>
              <w:t>完成率100 %</w:t>
            </w:r>
          </w:p>
        </w:tc>
        <w:tc>
          <w:tcPr>
            <w:tcW w:w="220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40" w:lineRule="exact"/>
              <w:jc w:val="center"/>
              <w:textAlignment w:val="center"/>
              <w:rPr>
                <w:rFonts w:ascii="宋体" w:hAnsi="Times New Roman" w:eastAsia="宋体" w:cs="宋体"/>
                <w:color w:val="000000"/>
                <w:sz w:val="24"/>
                <w:szCs w:val="24"/>
              </w:rPr>
            </w:pPr>
            <w:r>
              <w:rPr>
                <w:rFonts w:hint="eastAsia" w:ascii="宋体" w:hAnsi="Times New Roman" w:eastAsia="宋体" w:cs="宋体"/>
                <w:color w:val="000000"/>
                <w:sz w:val="24"/>
                <w:szCs w:val="24"/>
              </w:rPr>
              <w:t>完成率100 %</w:t>
            </w:r>
          </w:p>
        </w:tc>
      </w:tr>
    </w:tbl>
    <w:p>
      <w:pPr>
        <w:jc w:val="center"/>
        <w:sectPr>
          <w:pgSz w:w="16838" w:h="11906" w:orient="landscape"/>
          <w:pgMar w:top="1800" w:right="1440" w:bottom="1800" w:left="1440" w:header="851" w:footer="992" w:gutter="0"/>
          <w:cols w:space="425" w:num="1"/>
          <w:docGrid w:type="lines" w:linePitch="312" w:charSpace="0"/>
        </w:sectPr>
      </w:pPr>
      <w:r>
        <w:rPr>
          <w:rFonts w:ascii="仿宋" w:hAnsi="仿宋" w:eastAsia="仿宋" w:cs="Times New Roman"/>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-287655</wp:posOffset>
                </wp:positionH>
                <wp:positionV relativeFrom="paragraph">
                  <wp:posOffset>2358390</wp:posOffset>
                </wp:positionV>
                <wp:extent cx="2085975" cy="1403985"/>
                <wp:effectExtent l="0" t="0" r="0" b="6350"/>
                <wp:wrapNone/>
                <wp:docPr id="8"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2085975" cy="1403985"/>
                        </a:xfrm>
                        <a:prstGeom prst="rect">
                          <a:avLst/>
                        </a:prstGeom>
                        <a:noFill/>
                        <a:ln w="9525">
                          <a:noFill/>
                          <a:miter lim="800000"/>
                        </a:ln>
                      </wps:spPr>
                      <wps:txbx>
                        <w:txbxContent>
                          <w:p>
                            <w:pPr>
                              <w:jc w:val="center"/>
                            </w:pPr>
                            <w:r>
                              <w:rPr>
                                <w:rFonts w:hint="eastAsia" w:ascii="宋体" w:hAnsi="宋体" w:eastAsia="宋体" w:cs="宋体"/>
                                <w:color w:val="000000"/>
                                <w:sz w:val="24"/>
                                <w:szCs w:val="24"/>
                              </w:rPr>
                              <w:t>绩效指标完成情况</w:t>
                            </w:r>
                          </w:p>
                        </w:txbxContent>
                      </wps:txbx>
                      <wps:bodyPr rot="0" vert="horz" wrap="square" lIns="91440" tIns="45720" rIns="91440" bIns="45720" anchor="t" anchorCtr="false">
                        <a:spAutoFit/>
                      </wps:bodyPr>
                    </wps:wsp>
                  </a:graphicData>
                </a:graphic>
              </wp:anchor>
            </w:drawing>
          </mc:Choice>
          <mc:Fallback>
            <w:pict>
              <v:shape id="文本框 2" o:spid="_x0000_s1026" o:spt="202" type="#_x0000_t202" style="position:absolute;left:0pt;margin-left:-22.65pt;margin-top:185.7pt;height:110.55pt;width:164.25pt;z-index:251668480;mso-width-relative:page;mso-height-relative:page;" filled="f" stroked="f" coordsize="21600,21600" o:gfxdata="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M/Ab2NkAAAALAQAADwAAAAAAAAABACAAAAA4AAAAZHJzL2Rvd25yZXYueG1sUEsBAhQAFAAAAAgA&#10;h07iQBUCBl8OAgAA5gMAAA4AAAAAAAAAAQAgAAAAPgEAAGRycy9lMm9Eb2MueG1sUEsFBgAAAAAG&#10;AAYAWQEAAL4FAAAAAA==&#10;">
                <v:fill on="f" focussize="0,0"/>
                <v:stroke on="f" miterlimit="8" joinstyle="miter"/>
                <v:imagedata o:title=""/>
                <o:lock v:ext="edit" aspectratio="f"/>
                <v:textbox style="mso-fit-shape-to-text:t;">
                  <w:txbxContent>
                    <w:p>
                      <w:pPr>
                        <w:jc w:val="center"/>
                      </w:pPr>
                      <w:r>
                        <w:rPr>
                          <w:rFonts w:hint="eastAsia" w:ascii="宋体" w:hAnsi="宋体" w:eastAsia="宋体" w:cs="宋体"/>
                          <w:color w:val="000000"/>
                          <w:sz w:val="24"/>
                          <w:szCs w:val="24"/>
                        </w:rPr>
                        <w:t>绩效指标完成情况</w:t>
                      </w:r>
                    </w:p>
                  </w:txbxContent>
                </v:textbox>
              </v:shape>
            </w:pict>
          </mc:Fallback>
        </mc:AlternateContent>
      </w:r>
    </w:p>
    <w:p>
      <w:pPr>
        <w:spacing w:line="600" w:lineRule="exact"/>
        <w:ind w:firstLine="640" w:firstLineChars="20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本部门按要求对</w:t>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年部门整体支出绩效评价情况开展自评，《</w:t>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年部门整体支出绩效评价报告》见附件（附件</w:t>
      </w:r>
      <w:r>
        <w:rPr>
          <w:rFonts w:ascii="仿宋" w:hAnsi="仿宋" w:eastAsia="仿宋" w:cs="Times New Roman"/>
          <w:color w:val="000000"/>
          <w:sz w:val="32"/>
          <w:szCs w:val="32"/>
        </w:rPr>
        <w:t>1</w:t>
      </w:r>
      <w:r>
        <w:rPr>
          <w:rFonts w:hint="eastAsia" w:ascii="仿宋" w:hAnsi="仿宋" w:eastAsia="仿宋" w:cs="Times New Roman"/>
          <w:color w:val="000000"/>
          <w:sz w:val="32"/>
          <w:szCs w:val="32"/>
        </w:rPr>
        <w:t>）。</w:t>
      </w:r>
    </w:p>
    <w:p>
      <w:pPr>
        <w:spacing w:line="600" w:lineRule="exact"/>
        <w:ind w:firstLine="640" w:firstLineChars="200"/>
        <w:rPr>
          <w:rFonts w:ascii="仿宋" w:hAnsi="仿宋" w:eastAsia="仿宋" w:cs="Times New Roman"/>
          <w:color w:val="000000"/>
          <w:sz w:val="32"/>
          <w:szCs w:val="32"/>
        </w:rPr>
      </w:pPr>
      <w:r>
        <w:rPr>
          <w:rFonts w:hint="eastAsia" w:ascii="仿宋" w:hAnsi="仿宋" w:eastAsia="仿宋" w:cs="Times New Roman"/>
          <w:color w:val="000000"/>
          <w:sz w:val="32"/>
          <w:szCs w:val="32"/>
        </w:rPr>
        <w:t>本部门自行组织对教学工作经费项目开展了绩效评价，《技能培训经费项目2020年绩效评价报告》见附件（附件2），《教学工作经费项目</w:t>
      </w:r>
      <w:r>
        <w:rPr>
          <w:rFonts w:ascii="仿宋" w:hAnsi="仿宋" w:eastAsia="仿宋" w:cs="Times New Roman"/>
          <w:color w:val="000000"/>
          <w:sz w:val="32"/>
          <w:szCs w:val="32"/>
        </w:rPr>
        <w:t>2020</w:t>
      </w:r>
      <w:r>
        <w:rPr>
          <w:rFonts w:hint="eastAsia" w:ascii="仿宋" w:hAnsi="仿宋" w:eastAsia="仿宋" w:cs="Times New Roman"/>
          <w:color w:val="000000"/>
          <w:sz w:val="32"/>
          <w:szCs w:val="32"/>
        </w:rPr>
        <w:t>年绩效评价报告》见附件（附件3）。</w:t>
      </w:r>
    </w:p>
    <w:p>
      <w:pPr>
        <w:pStyle w:val="3"/>
        <w:jc w:val="center"/>
      </w:pPr>
      <w:bookmarkStart w:id="86" w:name="_Toc15396613"/>
      <w:bookmarkStart w:id="87" w:name="_Toc15377225"/>
    </w:p>
    <w:p>
      <w:pPr>
        <w:pStyle w:val="3"/>
        <w:jc w:val="center"/>
      </w:pPr>
    </w:p>
    <w:p>
      <w:pPr>
        <w:pStyle w:val="3"/>
      </w:pPr>
    </w:p>
    <w:p/>
    <w:p/>
    <w:p/>
    <w:p/>
    <w:p/>
    <w:p/>
    <w:p/>
    <w:p/>
    <w:p/>
    <w:p/>
    <w:p/>
    <w:p/>
    <w:p/>
    <w:p>
      <w:pPr>
        <w:pStyle w:val="3"/>
      </w:pPr>
      <w:bookmarkStart w:id="88" w:name="_Toc82767022"/>
      <w:bookmarkStart w:id="89" w:name="_Toc82767848"/>
    </w:p>
    <w:p>
      <w:pPr>
        <w:pStyle w:val="3"/>
      </w:pPr>
      <w:r>
        <w:rPr>
          <w:rFonts w:hint="eastAsia"/>
        </w:rPr>
        <w:t>第三部分 名词解释</w:t>
      </w:r>
      <w:bookmarkEnd w:id="86"/>
      <w:bookmarkEnd w:id="87"/>
      <w:bookmarkEnd w:id="88"/>
      <w:bookmarkEnd w:id="89"/>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1</w:t>
      </w:r>
      <w:r>
        <w:rPr>
          <w:rFonts w:hint="eastAsia" w:ascii="仿宋_GB2312" w:hAnsi="Times New Roman" w:eastAsia="仿宋_GB2312" w:cs="仿宋"/>
          <w:color w:val="000000"/>
          <w:kern w:val="0"/>
          <w:sz w:val="32"/>
          <w:szCs w:val="32"/>
        </w:rPr>
        <w:t>.财政拨款收入：指单位从同级财政部门取得的财政预算资金。</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2</w:t>
      </w:r>
      <w:r>
        <w:rPr>
          <w:rFonts w:hint="eastAsia" w:ascii="仿宋_GB2312" w:hAnsi="Times New Roman" w:eastAsia="仿宋_GB2312" w:cs="仿宋"/>
          <w:color w:val="000000"/>
          <w:kern w:val="0"/>
          <w:sz w:val="32"/>
          <w:szCs w:val="32"/>
        </w:rPr>
        <w:t>.事业收入：指学校开展专业业务活动及辅助活动取得的收入。如学生住宿费收入等。</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3</w:t>
      </w:r>
      <w:r>
        <w:rPr>
          <w:rFonts w:hint="eastAsia" w:ascii="仿宋_GB2312" w:hAnsi="Times New Roman" w:eastAsia="仿宋_GB2312" w:cs="仿宋"/>
          <w:color w:val="000000"/>
          <w:kern w:val="0"/>
          <w:sz w:val="32"/>
          <w:szCs w:val="32"/>
        </w:rPr>
        <w:t>.其他收入：指学校取得的除上述收入以外的各项收入。主要是利息收入等。</w:t>
      </w:r>
      <w:r>
        <w:rPr>
          <w:rFonts w:ascii="仿宋_GB2312" w:hAnsi="Times New Roman" w:eastAsia="仿宋_GB2312" w:cs="仿宋"/>
          <w:color w:val="000000"/>
          <w:kern w:val="0"/>
          <w:sz w:val="32"/>
          <w:szCs w:val="32"/>
        </w:rPr>
        <w:t xml:space="preserve"> </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4</w:t>
      </w:r>
      <w:r>
        <w:rPr>
          <w:rFonts w:hint="eastAsia" w:ascii="仿宋_GB2312" w:hAnsi="Times New Roman" w:eastAsia="仿宋_GB2312" w:cs="仿宋"/>
          <w:color w:val="000000"/>
          <w:kern w:val="0"/>
          <w:sz w:val="32"/>
          <w:szCs w:val="32"/>
        </w:rPr>
        <w:t>.使用非财政拨款结余：指学校使用以前年度积累的非财政拨款结余弥补当年收支差额的金额。</w:t>
      </w:r>
      <w:r>
        <w:rPr>
          <w:rFonts w:ascii="仿宋_GB2312" w:hAnsi="Times New Roman" w:eastAsia="仿宋_GB2312" w:cs="仿宋"/>
          <w:color w:val="000000"/>
          <w:kern w:val="0"/>
          <w:sz w:val="32"/>
          <w:szCs w:val="32"/>
        </w:rPr>
        <w:t xml:space="preserve"> </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5</w:t>
      </w:r>
      <w:r>
        <w:rPr>
          <w:rFonts w:hint="eastAsia" w:ascii="仿宋_GB2312" w:hAnsi="Times New Roman" w:eastAsia="仿宋_GB2312" w:cs="仿宋"/>
          <w:color w:val="000000"/>
          <w:kern w:val="0"/>
          <w:sz w:val="32"/>
          <w:szCs w:val="32"/>
        </w:rPr>
        <w:t>.年初结转和结余：指学校以前年度尚未完成、结转到本年按有关规定继续使用的资金。</w:t>
      </w:r>
      <w:r>
        <w:rPr>
          <w:rFonts w:ascii="仿宋_GB2312" w:hAnsi="Times New Roman" w:eastAsia="仿宋_GB2312" w:cs="仿宋"/>
          <w:color w:val="000000"/>
          <w:kern w:val="0"/>
          <w:sz w:val="32"/>
          <w:szCs w:val="32"/>
        </w:rPr>
        <w:t xml:space="preserve"> </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ascii="仿宋_GB2312" w:hAnsi="Times New Roman" w:eastAsia="仿宋_GB2312" w:cs="仿宋"/>
          <w:color w:val="000000"/>
          <w:kern w:val="0"/>
          <w:sz w:val="32"/>
          <w:szCs w:val="32"/>
        </w:rPr>
        <w:t>6</w:t>
      </w:r>
      <w:r>
        <w:rPr>
          <w:rFonts w:hint="eastAsia" w:ascii="仿宋_GB2312" w:hAnsi="Times New Roman" w:eastAsia="仿宋_GB2312" w:cs="仿宋"/>
          <w:color w:val="000000"/>
          <w:kern w:val="0"/>
          <w:sz w:val="32"/>
          <w:szCs w:val="32"/>
        </w:rPr>
        <w:t>.年末结转和结余：指学校按有关规定结转到下年或以后年度继续使用的资金。</w:t>
      </w:r>
    </w:p>
    <w:p>
      <w:pPr>
        <w:spacing w:line="600" w:lineRule="exact"/>
        <w:ind w:firstLine="640" w:firstLineChars="200"/>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w:t>7</w:t>
      </w:r>
      <w:r>
        <w:rPr>
          <w:rFonts w:hint="eastAsia" w:ascii="仿宋_GB2312" w:hAnsi="Times New Roman" w:eastAsia="仿宋_GB2312" w:cs="Times New Roman"/>
          <w:color w:val="000000"/>
          <w:sz w:val="32"/>
          <w:szCs w:val="32"/>
        </w:rPr>
        <w:t>.</w:t>
      </w:r>
      <w:r>
        <w:rPr>
          <w:rFonts w:hint="eastAsia" w:ascii="仿宋" w:hAnsi="仿宋" w:eastAsia="仿宋" w:cs="仿宋"/>
          <w:kern w:val="0"/>
          <w:sz w:val="32"/>
          <w:szCs w:val="32"/>
        </w:rPr>
        <w:t>教育支出</w:t>
      </w:r>
      <w:r>
        <w:rPr>
          <w:rFonts w:hint="eastAsia" w:ascii="仿宋" w:hAnsi="仿宋" w:eastAsia="仿宋" w:cs="仿宋"/>
          <w:kern w:val="0"/>
          <w:sz w:val="32"/>
          <w:szCs w:val="32"/>
          <w:lang w:eastAsia="zh-Hans"/>
        </w:rPr>
        <w:t>（类）</w:t>
      </w:r>
      <w:r>
        <w:rPr>
          <w:rFonts w:hint="eastAsia" w:ascii="仿宋" w:hAnsi="仿宋" w:eastAsia="仿宋" w:cs="仿宋"/>
          <w:kern w:val="0"/>
          <w:sz w:val="32"/>
          <w:szCs w:val="32"/>
        </w:rPr>
        <w:t>职业教育</w:t>
      </w:r>
      <w:r>
        <w:rPr>
          <w:rFonts w:hint="eastAsia" w:ascii="仿宋" w:hAnsi="仿宋" w:eastAsia="仿宋" w:cs="仿宋"/>
          <w:kern w:val="0"/>
          <w:sz w:val="32"/>
          <w:szCs w:val="32"/>
          <w:lang w:eastAsia="zh-Hans"/>
        </w:rPr>
        <w:t>（款）</w:t>
      </w:r>
      <w:r>
        <w:rPr>
          <w:rFonts w:hint="eastAsia" w:ascii="仿宋" w:hAnsi="仿宋" w:eastAsia="仿宋" w:cs="仿宋"/>
          <w:kern w:val="0"/>
          <w:sz w:val="32"/>
          <w:szCs w:val="32"/>
        </w:rPr>
        <w:t>中等职业教育</w:t>
      </w:r>
      <w:r>
        <w:rPr>
          <w:rFonts w:hint="eastAsia" w:ascii="仿宋" w:hAnsi="仿宋" w:eastAsia="仿宋" w:cs="仿宋"/>
          <w:kern w:val="0"/>
          <w:sz w:val="32"/>
          <w:szCs w:val="32"/>
          <w:lang w:eastAsia="zh-Hans"/>
        </w:rPr>
        <w:t>（项）：指</w:t>
      </w:r>
      <w:r>
        <w:rPr>
          <w:rFonts w:hint="eastAsia" w:ascii="仿宋_GB2312" w:hAnsi="Times New Roman" w:eastAsia="仿宋_GB2312" w:cs="仿宋"/>
          <w:color w:val="000000"/>
          <w:kern w:val="0"/>
          <w:sz w:val="32"/>
          <w:szCs w:val="32"/>
        </w:rPr>
        <w:t>学校用于</w:t>
      </w:r>
      <w:r>
        <w:rPr>
          <w:rFonts w:hint="eastAsia" w:ascii="仿宋" w:hAnsi="仿宋" w:eastAsia="仿宋" w:cs="仿宋"/>
          <w:kern w:val="0"/>
          <w:sz w:val="32"/>
          <w:szCs w:val="32"/>
        </w:rPr>
        <w:t>教育教学等方面的支出</w:t>
      </w:r>
      <w:r>
        <w:rPr>
          <w:rFonts w:hint="eastAsia" w:ascii="仿宋" w:hAnsi="仿宋" w:eastAsia="仿宋" w:cs="仿宋"/>
          <w:kern w:val="0"/>
          <w:sz w:val="32"/>
          <w:szCs w:val="32"/>
          <w:lang w:eastAsia="zh-Hans"/>
        </w:rPr>
        <w:t>。</w:t>
      </w:r>
    </w:p>
    <w:p>
      <w:pPr>
        <w:widowControl/>
        <w:shd w:val="clear" w:color="auto" w:fill="FFFFFF"/>
        <w:spacing w:after="100" w:afterAutospacing="1" w:line="600" w:lineRule="exact"/>
        <w:ind w:firstLine="640" w:firstLineChars="200"/>
        <w:rPr>
          <w:rFonts w:ascii="仿宋" w:hAnsi="仿宋" w:eastAsia="仿宋" w:cs="仿宋"/>
          <w:kern w:val="0"/>
          <w:sz w:val="32"/>
          <w:szCs w:val="32"/>
          <w:lang w:eastAsia="zh-Hans"/>
        </w:rPr>
      </w:pPr>
      <w:r>
        <w:rPr>
          <w:rFonts w:ascii="仿宋_GB2312" w:hAnsi="Times New Roman" w:eastAsia="仿宋_GB2312" w:cs="Times New Roman"/>
          <w:color w:val="000000"/>
          <w:sz w:val="32"/>
          <w:szCs w:val="32"/>
        </w:rPr>
        <w:t>8</w:t>
      </w:r>
      <w:r>
        <w:rPr>
          <w:rFonts w:hint="eastAsia" w:ascii="仿宋_GB2312" w:hAnsi="Times New Roman" w:eastAsia="仿宋_GB2312" w:cs="Times New Roman"/>
          <w:color w:val="000000"/>
          <w:sz w:val="32"/>
          <w:szCs w:val="32"/>
        </w:rPr>
        <w:t>.</w:t>
      </w:r>
      <w:r>
        <w:rPr>
          <w:rFonts w:hint="eastAsia" w:ascii="仿宋" w:hAnsi="仿宋" w:eastAsia="仿宋" w:cs="仿宋"/>
          <w:kern w:val="0"/>
          <w:sz w:val="32"/>
          <w:szCs w:val="32"/>
          <w:lang w:eastAsia="zh-Hans"/>
        </w:rPr>
        <w:t>社会保障和就业支出（类）行政事业单位养老支出（款）机关事业单位基本养老保险缴费支出（项）：指</w:t>
      </w:r>
      <w:r>
        <w:rPr>
          <w:rFonts w:hint="eastAsia" w:ascii="仿宋_GB2312" w:hAnsi="Times New Roman" w:eastAsia="仿宋_GB2312" w:cs="仿宋"/>
          <w:color w:val="000000"/>
          <w:kern w:val="0"/>
          <w:sz w:val="32"/>
          <w:szCs w:val="32"/>
        </w:rPr>
        <w:t>学校</w:t>
      </w:r>
      <w:r>
        <w:rPr>
          <w:rFonts w:hint="eastAsia" w:ascii="仿宋" w:hAnsi="仿宋" w:eastAsia="仿宋" w:cs="仿宋"/>
          <w:kern w:val="0"/>
          <w:sz w:val="32"/>
          <w:szCs w:val="32"/>
          <w:lang w:eastAsia="zh-Hans"/>
        </w:rPr>
        <w:t xml:space="preserve">用于实施养老保险制度由单位缴纳的基本养老保险费支出。  </w:t>
      </w:r>
    </w:p>
    <w:p>
      <w:pPr>
        <w:widowControl/>
        <w:shd w:val="clear" w:color="auto" w:fill="FFFFFF"/>
        <w:spacing w:after="100" w:afterAutospacing="1" w:line="600" w:lineRule="exact"/>
        <w:ind w:firstLine="640" w:firstLineChars="200"/>
        <w:rPr>
          <w:rFonts w:ascii="仿宋" w:hAnsi="仿宋" w:eastAsia="仿宋" w:cs="仿宋"/>
          <w:kern w:val="0"/>
          <w:sz w:val="32"/>
          <w:szCs w:val="32"/>
          <w:lang w:eastAsia="zh-Hans"/>
        </w:rPr>
      </w:pPr>
      <w:r>
        <w:rPr>
          <w:rFonts w:ascii="仿宋_GB2312" w:hAnsi="Times New Roman" w:eastAsia="仿宋_GB2312" w:cs="Times New Roman"/>
          <w:color w:val="000000"/>
          <w:sz w:val="32"/>
          <w:szCs w:val="32"/>
        </w:rPr>
        <w:t>9</w:t>
      </w:r>
      <w:r>
        <w:rPr>
          <w:rFonts w:hint="eastAsia" w:ascii="仿宋_GB2312" w:hAnsi="Times New Roman" w:eastAsia="仿宋_GB2312" w:cs="Times New Roman"/>
          <w:color w:val="000000"/>
          <w:sz w:val="32"/>
          <w:szCs w:val="32"/>
        </w:rPr>
        <w:t>.</w:t>
      </w:r>
      <w:r>
        <w:rPr>
          <w:rFonts w:hint="eastAsia" w:ascii="仿宋" w:hAnsi="仿宋" w:eastAsia="仿宋" w:cs="仿宋"/>
          <w:kern w:val="0"/>
          <w:sz w:val="32"/>
          <w:szCs w:val="32"/>
          <w:lang w:eastAsia="zh-Hans"/>
        </w:rPr>
        <w:t>卫生健康支出（类）行政事业单位医疗（款）事业单位医疗（项）：指</w:t>
      </w:r>
      <w:r>
        <w:rPr>
          <w:rFonts w:hint="eastAsia" w:ascii="仿宋_GB2312" w:hAnsi="Times New Roman" w:eastAsia="仿宋_GB2312" w:cs="仿宋"/>
          <w:color w:val="000000"/>
          <w:kern w:val="0"/>
          <w:sz w:val="32"/>
          <w:szCs w:val="32"/>
        </w:rPr>
        <w:t>学校</w:t>
      </w:r>
      <w:r>
        <w:rPr>
          <w:rFonts w:hint="eastAsia" w:ascii="仿宋" w:hAnsi="仿宋" w:eastAsia="仿宋" w:cs="仿宋"/>
          <w:kern w:val="0"/>
          <w:sz w:val="32"/>
          <w:szCs w:val="32"/>
          <w:lang w:eastAsia="zh-Hans"/>
        </w:rPr>
        <w:t xml:space="preserve">用于基本医疗保险缴费。 </w:t>
      </w:r>
    </w:p>
    <w:p>
      <w:pPr>
        <w:widowControl/>
        <w:shd w:val="clear" w:color="auto" w:fill="FFFFFF"/>
        <w:spacing w:after="100" w:afterAutospacing="1" w:line="600" w:lineRule="exact"/>
        <w:ind w:firstLine="640" w:firstLineChars="200"/>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w:t>10</w:t>
      </w:r>
      <w:r>
        <w:rPr>
          <w:rFonts w:hint="eastAsia" w:ascii="仿宋_GB2312" w:hAnsi="Times New Roman" w:eastAsia="仿宋_GB2312" w:cs="Times New Roman"/>
          <w:color w:val="000000"/>
          <w:sz w:val="32"/>
          <w:szCs w:val="32"/>
        </w:rPr>
        <w:t>.</w:t>
      </w:r>
      <w:r>
        <w:rPr>
          <w:rFonts w:hint="eastAsia" w:ascii="仿宋" w:hAnsi="仿宋" w:eastAsia="仿宋" w:cs="仿宋"/>
          <w:kern w:val="0"/>
          <w:sz w:val="32"/>
          <w:szCs w:val="32"/>
          <w:lang w:eastAsia="zh-Hans"/>
        </w:rPr>
        <w:t>住房保障支出（类）住房改革支出（款）住房公积金（项）：指</w:t>
      </w:r>
      <w:r>
        <w:rPr>
          <w:rFonts w:hint="eastAsia" w:ascii="仿宋_GB2312" w:hAnsi="Times New Roman" w:eastAsia="仿宋_GB2312" w:cs="仿宋"/>
          <w:color w:val="000000"/>
          <w:kern w:val="0"/>
          <w:sz w:val="32"/>
          <w:szCs w:val="32"/>
        </w:rPr>
        <w:t>学校</w:t>
      </w:r>
      <w:r>
        <w:rPr>
          <w:rFonts w:hint="eastAsia" w:ascii="仿宋" w:hAnsi="仿宋" w:eastAsia="仿宋" w:cs="仿宋"/>
          <w:kern w:val="0"/>
          <w:sz w:val="32"/>
          <w:szCs w:val="32"/>
          <w:lang w:eastAsia="zh-Hans"/>
        </w:rPr>
        <w:t xml:space="preserve">用于按规定的工资基数以及规定比例为职工缴纳的住房公积金。 </w:t>
      </w:r>
    </w:p>
    <w:p>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1</w:t>
      </w:r>
      <w:r>
        <w:rPr>
          <w:rFonts w:ascii="仿宋_GB2312" w:hAnsi="Times New Roman" w:eastAsia="仿宋_GB2312" w:cs="Times New Roman"/>
          <w:color w:val="000000"/>
          <w:sz w:val="32"/>
          <w:szCs w:val="32"/>
        </w:rPr>
        <w:t>1</w:t>
      </w:r>
      <w:r>
        <w:rPr>
          <w:rFonts w:hint="eastAsia" w:ascii="仿宋_GB2312" w:hAnsi="Times New Roman" w:eastAsia="仿宋_GB2312" w:cs="Times New Roman"/>
          <w:color w:val="000000"/>
          <w:sz w:val="32"/>
          <w:szCs w:val="32"/>
        </w:rPr>
        <w:t>.基本支出：指</w:t>
      </w:r>
      <w:r>
        <w:rPr>
          <w:rFonts w:hint="eastAsia" w:ascii="仿宋_GB2312" w:hAnsi="Times New Roman" w:eastAsia="仿宋_GB2312" w:cs="仿宋"/>
          <w:color w:val="000000"/>
          <w:kern w:val="0"/>
          <w:sz w:val="32"/>
          <w:szCs w:val="32"/>
        </w:rPr>
        <w:t>学校</w:t>
      </w:r>
      <w:r>
        <w:rPr>
          <w:rFonts w:hint="eastAsia" w:ascii="仿宋_GB2312" w:hAnsi="Times New Roman" w:eastAsia="仿宋_GB2312" w:cs="Times New Roman"/>
          <w:color w:val="000000"/>
          <w:sz w:val="32"/>
          <w:szCs w:val="32"/>
        </w:rPr>
        <w:t>为保障机构正常运转、完成日常工作任务而发生的人员支出和公用支出。</w:t>
      </w:r>
    </w:p>
    <w:p>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1</w:t>
      </w:r>
      <w:r>
        <w:rPr>
          <w:rFonts w:ascii="仿宋_GB2312" w:hAnsi="Times New Roman" w:eastAsia="仿宋_GB2312" w:cs="Times New Roman"/>
          <w:color w:val="000000"/>
          <w:sz w:val="32"/>
          <w:szCs w:val="32"/>
        </w:rPr>
        <w:t>2</w:t>
      </w:r>
      <w:r>
        <w:rPr>
          <w:rFonts w:hint="eastAsia" w:ascii="仿宋_GB2312" w:hAnsi="Times New Roman" w:eastAsia="仿宋_GB2312" w:cs="Times New Roman"/>
          <w:color w:val="000000"/>
          <w:sz w:val="32"/>
          <w:szCs w:val="32"/>
        </w:rPr>
        <w:t>.项目支出：指在基本支出之外为完成特定行政任务和事业发展目标所发生的支出。</w:t>
      </w:r>
      <w:r>
        <w:rPr>
          <w:rFonts w:ascii="仿宋_GB2312" w:hAnsi="Times New Roman" w:eastAsia="仿宋_GB2312" w:cs="Times New Roman"/>
          <w:color w:val="000000"/>
          <w:sz w:val="32"/>
          <w:szCs w:val="32"/>
        </w:rPr>
        <w:t xml:space="preserve"> </w:t>
      </w:r>
    </w:p>
    <w:p>
      <w:pPr>
        <w:autoSpaceDE w:val="0"/>
        <w:autoSpaceDN w:val="0"/>
        <w:adjustRightInd w:val="0"/>
        <w:spacing w:line="600" w:lineRule="exact"/>
        <w:ind w:firstLine="640" w:firstLineChars="200"/>
        <w:jc w:val="left"/>
        <w:rPr>
          <w:rFonts w:ascii="仿宋_GB2312" w:hAnsi="Times New Roman" w:eastAsia="仿宋_GB2312" w:cs="仿宋"/>
          <w:color w:val="000000"/>
          <w:kern w:val="0"/>
          <w:sz w:val="32"/>
          <w:szCs w:val="32"/>
        </w:rPr>
      </w:pPr>
      <w:r>
        <w:rPr>
          <w:rFonts w:hint="eastAsia" w:ascii="仿宋_GB2312" w:hAnsi="Times New Roman" w:eastAsia="仿宋_GB2312" w:cs="仿宋"/>
          <w:color w:val="000000"/>
          <w:kern w:val="0"/>
          <w:sz w:val="32"/>
          <w:szCs w:val="32"/>
        </w:rPr>
        <w:t>1</w:t>
      </w:r>
      <w:r>
        <w:rPr>
          <w:rFonts w:ascii="仿宋_GB2312" w:hAnsi="Times New Roman" w:eastAsia="仿宋_GB2312" w:cs="仿宋"/>
          <w:color w:val="000000"/>
          <w:kern w:val="0"/>
          <w:sz w:val="32"/>
          <w:szCs w:val="32"/>
        </w:rPr>
        <w:t>3</w:t>
      </w:r>
      <w:r>
        <w:rPr>
          <w:rFonts w:hint="eastAsia" w:ascii="仿宋_GB2312" w:hAnsi="Times New Roman" w:eastAsia="仿宋_GB2312" w:cs="仿宋"/>
          <w:color w:val="000000"/>
          <w:kern w:val="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autoSpaceDE w:val="0"/>
        <w:autoSpaceDN w:val="0"/>
        <w:adjustRightInd w:val="0"/>
        <w:spacing w:line="600" w:lineRule="exact"/>
        <w:ind w:firstLine="640" w:firstLineChars="200"/>
        <w:jc w:val="left"/>
        <w:rPr>
          <w:rFonts w:ascii="仿宋_GB2312" w:hAnsi="Times New Roman" w:eastAsia="仿宋_GB2312" w:cs="黑体"/>
          <w:color w:val="000000"/>
          <w:kern w:val="0"/>
          <w:sz w:val="32"/>
          <w:szCs w:val="32"/>
        </w:rPr>
      </w:pPr>
      <w:r>
        <w:rPr>
          <w:rFonts w:hint="eastAsia" w:ascii="仿宋_GB2312" w:hAnsi="Times New Roman" w:eastAsia="仿宋_GB2312" w:cs="仿宋"/>
          <w:color w:val="000000"/>
          <w:kern w:val="0"/>
          <w:sz w:val="32"/>
          <w:szCs w:val="32"/>
        </w:rPr>
        <w:t>1</w:t>
      </w:r>
      <w:r>
        <w:rPr>
          <w:rFonts w:ascii="仿宋_GB2312" w:hAnsi="Times New Roman" w:eastAsia="仿宋_GB2312" w:cs="仿宋"/>
          <w:color w:val="000000"/>
          <w:kern w:val="0"/>
          <w:sz w:val="32"/>
          <w:szCs w:val="32"/>
        </w:rPr>
        <w:t>4</w:t>
      </w:r>
      <w:r>
        <w:rPr>
          <w:rFonts w:hint="eastAsia" w:ascii="仿宋_GB2312" w:hAnsi="Times New Roman" w:eastAsia="仿宋_GB2312" w:cs="仿宋"/>
          <w:color w:val="000000"/>
          <w:kern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3"/>
        <w:jc w:val="center"/>
      </w:pPr>
      <w:r>
        <w:rPr>
          <w:rFonts w:ascii="宋体"/>
          <w:color w:val="000000"/>
        </w:rPr>
        <w:br w:type="page"/>
      </w:r>
      <w:bookmarkStart w:id="90" w:name="_Toc82767849"/>
      <w:bookmarkStart w:id="91" w:name="_Toc82767023"/>
      <w:bookmarkStart w:id="92" w:name="_Toc15396614"/>
      <w:r>
        <w:rPr>
          <w:rFonts w:hint="eastAsia"/>
        </w:rPr>
        <w:t>第四部分</w:t>
      </w:r>
      <w:r>
        <w:t xml:space="preserve"> </w:t>
      </w:r>
      <w:r>
        <w:rPr>
          <w:rFonts w:hint="eastAsia"/>
        </w:rPr>
        <w:t>附件</w:t>
      </w:r>
      <w:bookmarkEnd w:id="90"/>
      <w:bookmarkEnd w:id="91"/>
      <w:bookmarkEnd w:id="92"/>
    </w:p>
    <w:p>
      <w:pPr>
        <w:pStyle w:val="4"/>
        <w:rPr>
          <w:rFonts w:ascii="方正小标宋简体" w:hAnsi="方正小标宋简体" w:eastAsia="方正小标宋简体" w:cs="方正小标宋简体"/>
        </w:rPr>
      </w:pPr>
      <w:bookmarkStart w:id="93" w:name="_Toc82767850"/>
      <w:bookmarkStart w:id="94" w:name="_Toc82767024"/>
      <w:r>
        <w:rPr>
          <w:rFonts w:hint="eastAsia"/>
        </w:rPr>
        <w:t>附件</w:t>
      </w:r>
      <w:r>
        <w:t>1</w:t>
      </w:r>
      <w:bookmarkEnd w:id="93"/>
      <w:bookmarkEnd w:id="94"/>
    </w:p>
    <w:p>
      <w:pPr>
        <w:spacing w:line="600" w:lineRule="exact"/>
        <w:ind w:firstLine="800" w:firstLineChars="200"/>
        <w:jc w:val="center"/>
        <w:rPr>
          <w:rFonts w:ascii="方正小标宋简体" w:hAnsi="宋体" w:eastAsia="方正小标宋简体" w:cs="Times New Roman"/>
          <w:color w:val="000000"/>
          <w:kern w:val="0"/>
          <w:sz w:val="40"/>
          <w:szCs w:val="44"/>
          <w:lang w:val="zh-CN"/>
        </w:rPr>
      </w:pPr>
      <w:r>
        <w:rPr>
          <w:rFonts w:ascii="方正小标宋简体" w:hAnsi="宋体" w:eastAsia="方正小标宋简体" w:cs="Times New Roman"/>
          <w:color w:val="000000"/>
          <w:kern w:val="0"/>
          <w:sz w:val="40"/>
          <w:szCs w:val="44"/>
        </w:rPr>
        <w:t>2020</w:t>
      </w:r>
      <w:r>
        <w:rPr>
          <w:rFonts w:hint="eastAsia" w:ascii="方正小标宋简体" w:hAnsi="宋体" w:eastAsia="方正小标宋简体" w:cs="Times New Roman"/>
          <w:color w:val="000000"/>
          <w:kern w:val="0"/>
          <w:sz w:val="40"/>
          <w:szCs w:val="44"/>
        </w:rPr>
        <w:t>年部门</w:t>
      </w:r>
      <w:r>
        <w:rPr>
          <w:rFonts w:hint="eastAsia" w:ascii="方正小标宋简体" w:hAnsi="宋体" w:eastAsia="方正小标宋简体" w:cs="Times New Roman"/>
          <w:color w:val="000000"/>
          <w:kern w:val="0"/>
          <w:sz w:val="40"/>
          <w:szCs w:val="44"/>
          <w:lang w:val="zh-CN"/>
        </w:rPr>
        <w:t>整体支出绩效评价报告</w:t>
      </w:r>
    </w:p>
    <w:p>
      <w:pPr>
        <w:widowControl/>
        <w:adjustRightInd w:val="0"/>
        <w:snapToGrid w:val="0"/>
        <w:spacing w:line="600" w:lineRule="exact"/>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一、单位</w:t>
      </w:r>
      <w:r>
        <w:rPr>
          <w:rFonts w:hint="eastAsia" w:ascii="黑体" w:hAnsi="宋体" w:eastAsia="黑体" w:cs="宋体"/>
          <w:color w:val="000000"/>
          <w:kern w:val="0"/>
          <w:sz w:val="32"/>
          <w:szCs w:val="32"/>
          <w:shd w:val="clear" w:color="auto" w:fill="FFFFFF"/>
          <w:lang w:val="zh-CN"/>
        </w:rPr>
        <w:t>概况</w:t>
      </w:r>
    </w:p>
    <w:p>
      <w:pPr>
        <w:adjustRightInd w:val="0"/>
        <w:snapToGrid w:val="0"/>
        <w:spacing w:before="93" w:beforeLines="30" w:line="600"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（一）机构组成。</w:t>
      </w:r>
      <w:r>
        <w:rPr>
          <w:rFonts w:hint="eastAsia" w:ascii="仿宋" w:hAnsi="仿宋" w:eastAsia="仿宋" w:cs="Times New Roman"/>
          <w:kern w:val="0"/>
          <w:sz w:val="32"/>
          <w:szCs w:val="32"/>
        </w:rPr>
        <w:t>四川省广元市职业高级中学校直属于广元市教育局，为二级预算单位。</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（二）机构职能。</w:t>
      </w:r>
      <w:r>
        <w:rPr>
          <w:rFonts w:ascii="仿宋" w:hAnsi="仿宋" w:eastAsia="仿宋" w:cs="Times New Roman"/>
          <w:kern w:val="0"/>
          <w:sz w:val="32"/>
          <w:szCs w:val="32"/>
        </w:rPr>
        <w:t>培养德、智、体、美全面发展，具有综合职业能力，在生产、服务一线工作的高素质劳动者和技能型人才</w:t>
      </w:r>
      <w:r>
        <w:rPr>
          <w:rFonts w:hint="eastAsia" w:ascii="仿宋" w:hAnsi="仿宋" w:eastAsia="仿宋" w:cs="Times New Roman"/>
          <w:kern w:val="0"/>
          <w:sz w:val="32"/>
          <w:szCs w:val="32"/>
        </w:rPr>
        <w:t>。</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rPr>
      </w:pPr>
      <w:r>
        <w:rPr>
          <w:rFonts w:hint="eastAsia" w:ascii="仿宋_GB2312" w:hAnsi="宋体" w:eastAsia="仿宋_GB2312" w:cs="宋体"/>
          <w:color w:val="000000"/>
          <w:kern w:val="0"/>
          <w:sz w:val="32"/>
          <w:szCs w:val="32"/>
          <w:shd w:val="clear" w:color="auto" w:fill="FFFFFF"/>
          <w:lang w:val="zh-CN"/>
        </w:rPr>
        <w:t>（三）人员概况。本单位为事业单位，共有</w:t>
      </w:r>
      <w:r>
        <w:rPr>
          <w:rFonts w:hint="eastAsia" w:ascii="仿宋_GB2312" w:hAnsi="宋体" w:eastAsia="仿宋_GB2312" w:cs="宋体"/>
          <w:color w:val="000000"/>
          <w:kern w:val="0"/>
          <w:sz w:val="32"/>
          <w:szCs w:val="32"/>
          <w:shd w:val="clear" w:color="auto" w:fill="FFFFFF"/>
        </w:rPr>
        <w:t>在编</w:t>
      </w:r>
      <w:r>
        <w:rPr>
          <w:rFonts w:hint="eastAsia" w:ascii="仿宋_GB2312" w:hAnsi="宋体" w:eastAsia="仿宋_GB2312" w:cs="宋体"/>
          <w:color w:val="000000"/>
          <w:kern w:val="0"/>
          <w:sz w:val="32"/>
          <w:szCs w:val="32"/>
          <w:shd w:val="clear" w:color="auto" w:fill="FFFFFF"/>
          <w:lang w:val="zh-CN"/>
        </w:rPr>
        <w:t>教职工</w:t>
      </w:r>
      <w:r>
        <w:rPr>
          <w:rFonts w:hint="eastAsia" w:ascii="仿宋_GB2312" w:hAnsi="宋体" w:eastAsia="仿宋_GB2312" w:cs="宋体"/>
          <w:color w:val="000000"/>
          <w:kern w:val="0"/>
          <w:sz w:val="32"/>
          <w:szCs w:val="32"/>
          <w:shd w:val="clear" w:color="auto" w:fill="FFFFFF"/>
        </w:rPr>
        <w:t>163人，学生3,020人。</w:t>
      </w:r>
    </w:p>
    <w:p>
      <w:pPr>
        <w:widowControl/>
        <w:adjustRightInd w:val="0"/>
        <w:snapToGrid w:val="0"/>
        <w:spacing w:line="600" w:lineRule="exact"/>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rPr>
      </w:pPr>
      <w:r>
        <w:rPr>
          <w:rFonts w:hint="eastAsia" w:ascii="仿宋_GB2312" w:hAnsi="宋体" w:eastAsia="仿宋_GB2312" w:cs="宋体"/>
          <w:color w:val="000000"/>
          <w:kern w:val="0"/>
          <w:sz w:val="32"/>
          <w:szCs w:val="32"/>
          <w:shd w:val="clear" w:color="auto" w:fill="FFFFFF"/>
          <w:lang w:val="zh-CN"/>
        </w:rPr>
        <w:t>（一）部门财政资金收入情况。</w:t>
      </w:r>
      <w:r>
        <w:rPr>
          <w:rFonts w:hint="eastAsia" w:ascii="仿宋_GB2312" w:hAnsi="宋体" w:eastAsia="仿宋_GB2312" w:cs="宋体"/>
          <w:color w:val="000000"/>
          <w:kern w:val="0"/>
          <w:sz w:val="32"/>
          <w:szCs w:val="32"/>
          <w:shd w:val="clear" w:color="auto" w:fill="FFFFFF"/>
        </w:rPr>
        <w:t>2021年财政资金收入</w:t>
      </w:r>
      <w:r>
        <w:rPr>
          <w:rFonts w:hint="eastAsia" w:ascii="仿宋" w:hAnsi="仿宋" w:eastAsia="仿宋" w:cs="Times New Roman"/>
          <w:color w:val="000000"/>
          <w:sz w:val="32"/>
          <w:szCs w:val="32"/>
        </w:rPr>
        <w:t>4954.46万元。其中：一般公共预算财政3289.33万元；政府性基金预算财政拨款4.76万元，年初财政拨款结转和结余1660.38万元。</w:t>
      </w:r>
    </w:p>
    <w:p>
      <w:pPr>
        <w:widowControl/>
        <w:adjustRightInd w:val="0"/>
        <w:snapToGrid w:val="0"/>
        <w:spacing w:line="600" w:lineRule="exact"/>
        <w:ind w:firstLine="640" w:firstLineChars="200"/>
        <w:contextualSpacing/>
        <w:jc w:val="left"/>
        <w:rPr>
          <w:rFonts w:ascii="仿宋" w:hAnsi="仿宋" w:eastAsia="仿宋" w:cs="Times New Roman"/>
          <w:color w:val="000000"/>
          <w:sz w:val="32"/>
          <w:szCs w:val="32"/>
        </w:rPr>
      </w:pPr>
      <w:r>
        <w:rPr>
          <w:rFonts w:hint="eastAsia" w:ascii="仿宋_GB2312" w:hAnsi="宋体" w:eastAsia="仿宋_GB2312" w:cs="宋体"/>
          <w:color w:val="000000"/>
          <w:kern w:val="0"/>
          <w:sz w:val="32"/>
          <w:szCs w:val="32"/>
          <w:shd w:val="clear" w:color="auto" w:fill="FFFFFF"/>
          <w:lang w:val="zh-CN"/>
        </w:rPr>
        <w:t>（二）部门财政资金支出情况。</w:t>
      </w:r>
      <w:r>
        <w:rPr>
          <w:rFonts w:hint="eastAsia" w:ascii="仿宋_GB2312" w:hAnsi="宋体" w:eastAsia="仿宋_GB2312" w:cs="宋体"/>
          <w:color w:val="000000"/>
          <w:kern w:val="0"/>
          <w:sz w:val="32"/>
          <w:szCs w:val="32"/>
          <w:shd w:val="clear" w:color="auto" w:fill="FFFFFF"/>
        </w:rPr>
        <w:t>2021年财政资金支出</w:t>
      </w:r>
      <w:r>
        <w:rPr>
          <w:rFonts w:hint="eastAsia" w:ascii="仿宋" w:hAnsi="仿宋" w:eastAsia="仿宋" w:cs="Times New Roman"/>
          <w:color w:val="000000"/>
          <w:sz w:val="32"/>
          <w:szCs w:val="32"/>
        </w:rPr>
        <w:t>4954.46万元。其中：基本支出2023.36万元；项目支出711.92万元；政府性基金预算财政拨款4.76万元，年末财政拨款结转和结余2214.43万元。</w:t>
      </w:r>
    </w:p>
    <w:p>
      <w:pPr>
        <w:widowControl/>
        <w:adjustRightInd w:val="0"/>
        <w:snapToGrid w:val="0"/>
        <w:spacing w:line="600" w:lineRule="exact"/>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widowControl/>
        <w:shd w:val="clear" w:color="auto" w:fill="FFFFFF"/>
        <w:spacing w:before="255" w:after="255" w:line="600" w:lineRule="exact"/>
        <w:ind w:firstLine="640" w:firstLineChars="200"/>
        <w:rPr>
          <w:rFonts w:ascii="仿宋_GB2312" w:hAnsi="宋体" w:eastAsia="仿宋_GB2312" w:cs="宋体"/>
          <w:kern w:val="0"/>
          <w:sz w:val="32"/>
          <w:szCs w:val="32"/>
          <w:shd w:val="clear" w:color="auto" w:fill="FFFFFF"/>
          <w:lang w:val="zh-CN"/>
        </w:rPr>
      </w:pPr>
      <w:r>
        <w:rPr>
          <w:rFonts w:hint="eastAsia" w:ascii="仿宋_GB2312" w:hAnsi="宋体" w:eastAsia="仿宋_GB2312" w:cs="宋体"/>
          <w:kern w:val="0"/>
          <w:sz w:val="32"/>
          <w:szCs w:val="32"/>
          <w:shd w:val="clear" w:color="auto" w:fill="FFFFFF"/>
        </w:rPr>
        <w:t>2020</w:t>
      </w:r>
      <w:r>
        <w:rPr>
          <w:rFonts w:hint="eastAsia" w:ascii="仿宋_GB2312" w:hAnsi="宋体" w:eastAsia="仿宋_GB2312" w:cs="宋体"/>
          <w:kern w:val="0"/>
          <w:sz w:val="32"/>
          <w:szCs w:val="32"/>
          <w:shd w:val="clear" w:color="auto" w:fill="FFFFFF"/>
          <w:lang w:val="zh-CN"/>
        </w:rPr>
        <w:t>年度预算安排支出主要用于</w:t>
      </w:r>
      <w:r>
        <w:rPr>
          <w:rFonts w:hint="eastAsia" w:ascii="仿宋_GB2312" w:hAnsi="宋体" w:eastAsia="仿宋_GB2312" w:cs="宋体"/>
          <w:kern w:val="0"/>
          <w:sz w:val="32"/>
          <w:szCs w:val="32"/>
          <w:shd w:val="clear" w:color="auto" w:fill="FFFFFF"/>
        </w:rPr>
        <w:t>促进学校教学</w:t>
      </w:r>
      <w:r>
        <w:rPr>
          <w:rFonts w:hint="eastAsia" w:ascii="仿宋_GB2312" w:hAnsi="宋体" w:eastAsia="仿宋_GB2312" w:cs="宋体"/>
          <w:kern w:val="0"/>
          <w:sz w:val="32"/>
          <w:szCs w:val="32"/>
          <w:shd w:val="clear" w:color="auto" w:fill="FFFFFF"/>
          <w:lang w:val="zh-CN"/>
        </w:rPr>
        <w:t xml:space="preserve">工作正常开展，提升教学质量，保障学校正常运转。 </w:t>
      </w:r>
    </w:p>
    <w:p>
      <w:pPr>
        <w:widowControl/>
        <w:shd w:val="clear" w:color="auto" w:fill="FFFFFF"/>
        <w:spacing w:before="255" w:after="255" w:line="600" w:lineRule="exact"/>
        <w:ind w:firstLine="640" w:firstLineChars="200"/>
        <w:rPr>
          <w:rFonts w:ascii="仿宋" w:hAnsi="仿宋" w:eastAsia="仿宋" w:cs="Times New Roman"/>
          <w:color w:val="000000"/>
          <w:sz w:val="32"/>
          <w:szCs w:val="32"/>
          <w:lang w:val="zh-CN"/>
        </w:rPr>
      </w:pPr>
      <w:r>
        <w:rPr>
          <w:rFonts w:hint="eastAsia" w:ascii="仿宋_GB2312" w:hAnsi="宋体" w:eastAsia="仿宋_GB2312" w:cs="宋体"/>
          <w:color w:val="000000"/>
          <w:kern w:val="0"/>
          <w:sz w:val="32"/>
          <w:szCs w:val="32"/>
          <w:shd w:val="clear" w:color="auto" w:fill="FFFFFF"/>
        </w:rPr>
        <w:t>1.</w:t>
      </w:r>
      <w:r>
        <w:rPr>
          <w:rFonts w:ascii="仿宋_GB2312" w:hAnsi="宋体" w:eastAsia="仿宋_GB2312" w:cs="宋体"/>
          <w:color w:val="000000"/>
          <w:kern w:val="0"/>
          <w:sz w:val="32"/>
          <w:szCs w:val="32"/>
          <w:shd w:val="clear" w:color="auto" w:fill="FFFFFF"/>
          <w:lang w:val="zh-CN"/>
        </w:rPr>
        <w:t>基本支出，是用于保障</w:t>
      </w:r>
      <w:r>
        <w:rPr>
          <w:rFonts w:hint="eastAsia" w:ascii="仿宋_GB2312" w:hAnsi="宋体" w:eastAsia="仿宋_GB2312" w:cs="宋体"/>
          <w:color w:val="000000"/>
          <w:kern w:val="0"/>
          <w:sz w:val="32"/>
          <w:szCs w:val="32"/>
          <w:shd w:val="clear" w:color="auto" w:fill="FFFFFF"/>
          <w:lang w:val="zh-CN"/>
        </w:rPr>
        <w:t>本单位</w:t>
      </w:r>
      <w:r>
        <w:rPr>
          <w:rFonts w:ascii="仿宋_GB2312" w:hAnsi="宋体" w:eastAsia="仿宋_GB2312" w:cs="宋体"/>
          <w:color w:val="000000"/>
          <w:kern w:val="0"/>
          <w:sz w:val="32"/>
          <w:szCs w:val="32"/>
          <w:shd w:val="clear" w:color="auto" w:fill="FFFFFF"/>
          <w:lang w:val="zh-CN"/>
        </w:rPr>
        <w:t>正常运转的日常支出，包括基本工资、津贴补贴、社会保障、机关事业单位基本养老保险、离退休费、住房公积金和日常公</w:t>
      </w:r>
      <w:r>
        <w:rPr>
          <w:rFonts w:ascii="仿宋" w:hAnsi="仿宋" w:eastAsia="仿宋" w:cs="Times New Roman"/>
          <w:color w:val="000000"/>
          <w:sz w:val="32"/>
          <w:szCs w:val="32"/>
          <w:lang w:val="zh-CN"/>
        </w:rPr>
        <w:t>用经费等。</w:t>
      </w:r>
    </w:p>
    <w:p>
      <w:pPr>
        <w:widowControl/>
        <w:shd w:val="clear" w:color="auto" w:fill="FFFFFF"/>
        <w:spacing w:before="255" w:after="255" w:line="600" w:lineRule="exact"/>
        <w:ind w:firstLine="640" w:firstLineChars="200"/>
        <w:rPr>
          <w:rFonts w:ascii="仿宋" w:hAnsi="仿宋" w:eastAsia="仿宋" w:cs="Times New Roman"/>
          <w:color w:val="000000"/>
          <w:sz w:val="32"/>
          <w:szCs w:val="32"/>
          <w:lang w:val="zh-CN"/>
        </w:rPr>
      </w:pPr>
      <w:r>
        <w:rPr>
          <w:rFonts w:hint="eastAsia" w:ascii="仿宋" w:hAnsi="仿宋" w:eastAsia="仿宋" w:cs="Times New Roman"/>
          <w:color w:val="000000"/>
          <w:sz w:val="32"/>
          <w:szCs w:val="32"/>
        </w:rPr>
        <w:t>2.</w:t>
      </w:r>
      <w:r>
        <w:rPr>
          <w:rFonts w:ascii="仿宋" w:hAnsi="仿宋" w:eastAsia="仿宋" w:cs="Times New Roman"/>
          <w:color w:val="000000"/>
          <w:sz w:val="32"/>
          <w:szCs w:val="32"/>
          <w:lang w:val="zh-CN"/>
        </w:rPr>
        <w:t>项目支出，是用于保障</w:t>
      </w:r>
      <w:r>
        <w:rPr>
          <w:rFonts w:hint="eastAsia" w:ascii="仿宋" w:hAnsi="仿宋" w:eastAsia="仿宋" w:cs="Times New Roman"/>
          <w:color w:val="000000"/>
          <w:sz w:val="32"/>
          <w:szCs w:val="32"/>
          <w:lang w:val="zh-CN"/>
        </w:rPr>
        <w:t>本单位招生、培训、运动场改建等项目顺利实施</w:t>
      </w:r>
      <w:r>
        <w:rPr>
          <w:rFonts w:ascii="仿宋" w:hAnsi="仿宋" w:eastAsia="仿宋" w:cs="Times New Roman"/>
          <w:color w:val="000000"/>
          <w:sz w:val="32"/>
          <w:szCs w:val="32"/>
          <w:lang w:val="zh-CN"/>
        </w:rPr>
        <w:t>。</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本单位严格按照规定程序使用资金。建立健全各项管理机制并认真执行各项资金使用管理制度，建立内部控制机制，资金使用严格履行审批程序，确保资金支出合法、真实。</w:t>
      </w:r>
    </w:p>
    <w:p>
      <w:pPr>
        <w:widowControl/>
        <w:adjustRightInd w:val="0"/>
        <w:snapToGrid w:val="0"/>
        <w:spacing w:line="600" w:lineRule="exact"/>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（一）评价结论。本单位预算编制前详细分析了年度内单位可预见的工作任务，确定了单位年度预算目标，细化了预算指标，执行过程中严格按照相关预算指标执行，总体效果良好。</w:t>
      </w:r>
    </w:p>
    <w:p>
      <w:pPr>
        <w:adjustRightInd w:val="0"/>
        <w:snapToGrid w:val="0"/>
        <w:spacing w:line="600" w:lineRule="exact"/>
        <w:ind w:firstLine="640" w:firstLineChars="200"/>
        <w:rPr>
          <w:rFonts w:ascii="仿宋_GB2312" w:hAnsi="宋体" w:eastAsia="仿宋_GB2312" w:cs="Times New Roman"/>
          <w:sz w:val="32"/>
          <w:szCs w:val="32"/>
          <w:lang w:val="zh-CN"/>
        </w:rPr>
      </w:pPr>
      <w:r>
        <w:rPr>
          <w:rFonts w:hint="eastAsia" w:ascii="仿宋_GB2312" w:hAnsi="宋体" w:eastAsia="仿宋_GB2312" w:cs="宋体"/>
          <w:color w:val="000000"/>
          <w:kern w:val="0"/>
          <w:sz w:val="32"/>
          <w:szCs w:val="32"/>
          <w:shd w:val="clear" w:color="auto" w:fill="FFFFFF"/>
          <w:lang w:val="zh-CN"/>
        </w:rPr>
        <w:t>（二）存在问题。因单位人员较多，导致后期经费不足。</w:t>
      </w:r>
    </w:p>
    <w:p>
      <w:pPr>
        <w:widowControl/>
        <w:adjustRightInd w:val="0"/>
        <w:snapToGrid w:val="0"/>
        <w:spacing w:line="60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（三）改进建议。规范财务运行，加强预算支出管理。 严格遵循“先有预算、 后有支出”的原则。 进一步完善内部控制机制，不断加强对资金使用环节的监督，确保资金严格按照预算指标执行。</w:t>
      </w:r>
    </w:p>
    <w:p>
      <w:pPr>
        <w:widowControl/>
        <w:jc w:val="left"/>
      </w:pPr>
      <w:r>
        <w:br w:type="page"/>
      </w:r>
    </w:p>
    <w:p>
      <w:pPr>
        <w:pStyle w:val="4"/>
        <w:rPr>
          <w:rFonts w:ascii="仿宋_GB2312" w:hAnsi="仿宋_GB2312" w:eastAsia="仿宋_GB2312" w:cs="仿宋_GB2312"/>
        </w:rPr>
      </w:pPr>
      <w:bookmarkStart w:id="95" w:name="_Toc82767851"/>
      <w:bookmarkStart w:id="96" w:name="_Toc82767025"/>
      <w:r>
        <w:rPr>
          <w:rFonts w:hint="eastAsia"/>
        </w:rPr>
        <w:t>附件</w:t>
      </w:r>
      <w:r>
        <w:t>2</w:t>
      </w:r>
      <w:bookmarkEnd w:id="95"/>
      <w:bookmarkEnd w:id="96"/>
    </w:p>
    <w:p>
      <w:pPr>
        <w:spacing w:line="600" w:lineRule="exact"/>
        <w:ind w:firstLine="880" w:firstLineChars="200"/>
        <w:jc w:val="center"/>
        <w:rPr>
          <w:rFonts w:ascii="方正小标宋简体" w:hAnsi="宋体" w:eastAsia="方正小标宋简体"/>
          <w:color w:val="000000"/>
          <w:kern w:val="0"/>
          <w:sz w:val="44"/>
          <w:szCs w:val="44"/>
          <w:lang w:val="zh-CN"/>
        </w:rPr>
      </w:pPr>
      <w:r>
        <w:rPr>
          <w:rFonts w:ascii="方正小标宋简体" w:hAnsi="宋体" w:eastAsia="方正小标宋简体"/>
          <w:color w:val="000000"/>
          <w:kern w:val="0"/>
          <w:sz w:val="44"/>
          <w:szCs w:val="44"/>
        </w:rPr>
        <w:t>技能培训</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adjustRightInd w:val="0"/>
        <w:snapToGrid w:val="0"/>
        <w:spacing w:line="600" w:lineRule="exact"/>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rPr>
        <w:t>.</w:t>
      </w:r>
      <w:r>
        <w:rPr>
          <w:rFonts w:hint="eastAsia" w:ascii="仿宋" w:hAnsi="仿宋" w:eastAsia="仿宋"/>
          <w:sz w:val="32"/>
          <w:szCs w:val="32"/>
        </w:rPr>
        <w:t>职业教育服务地方经济社会发展，职业培训是职业学校的职能之一，我校是市本级、利州区、昭化区、旺苍县定点培训机构，主要开展市、县区人社局主管的各项职业技能培训和其他行业（企业）社会培训，学校将职业技能培训纳入到学校的年度工作计划和科室目标考核。</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2</w:t>
      </w:r>
      <w:r>
        <w:rPr>
          <w:rFonts w:hint="eastAsia" w:ascii="仿宋_GB2312" w:hAnsi="宋体" w:eastAsia="仿宋_GB2312"/>
          <w:sz w:val="32"/>
          <w:szCs w:val="32"/>
        </w:rPr>
        <w:t>.</w:t>
      </w:r>
      <w:r>
        <w:rPr>
          <w:rFonts w:ascii="仿宋_GB2312" w:hAnsi="宋体" w:eastAsia="仿宋_GB2312"/>
          <w:sz w:val="32"/>
          <w:szCs w:val="32"/>
          <w:lang w:val="zh-CN"/>
        </w:rPr>
        <w:t>学校根据市本级</w:t>
      </w:r>
      <w:r>
        <w:rPr>
          <w:rFonts w:hint="eastAsia" w:ascii="仿宋_GB2312" w:hAnsi="宋体" w:eastAsia="仿宋_GB2312"/>
          <w:sz w:val="32"/>
          <w:szCs w:val="32"/>
          <w:lang w:val="zh-CN"/>
        </w:rPr>
        <w:t>及各县区下达的培训指标以及承接的行业（企业）培训任务开展培训，按照市财政局制定的职业培训补贴标准申报培训补贴资金。</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rPr>
        <w:t>.</w:t>
      </w:r>
      <w:r>
        <w:rPr>
          <w:rFonts w:hint="eastAsia" w:ascii="仿宋_GB2312" w:hAnsi="宋体" w:eastAsia="仿宋_GB2312"/>
          <w:sz w:val="32"/>
          <w:szCs w:val="32"/>
          <w:lang w:val="zh-CN"/>
        </w:rPr>
        <w:t>培训资金按照学校财务管理制度由学校统一管理，严格执行市财政局、市人力资源和社会保障局有关培训支出的项目和标准。</w:t>
      </w:r>
    </w:p>
    <w:p>
      <w:pPr>
        <w:pStyle w:val="17"/>
        <w:adjustRightInd w:val="0"/>
        <w:snapToGrid w:val="0"/>
        <w:spacing w:line="600" w:lineRule="exact"/>
        <w:ind w:firstLine="643"/>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1</w:t>
      </w:r>
      <w:r>
        <w:rPr>
          <w:rFonts w:hint="eastAsia" w:ascii="仿宋_GB2312" w:hAnsi="宋体" w:eastAsia="仿宋_GB2312"/>
          <w:sz w:val="32"/>
          <w:szCs w:val="32"/>
        </w:rPr>
        <w:t>.</w:t>
      </w:r>
      <w:r>
        <w:rPr>
          <w:rFonts w:hint="eastAsia" w:ascii="仿宋_GB2312" w:hAnsi="宋体" w:eastAsia="仿宋_GB2312"/>
          <w:sz w:val="32"/>
          <w:szCs w:val="32"/>
          <w:lang w:val="zh-CN"/>
        </w:rPr>
        <w:t>开展市本级、利州区、昭化区和旺苍县职业培训758人，农民夜校1030人，“女皇味道”餐饮培训92人，工人技术等级考试培训327人。</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2</w:t>
      </w:r>
      <w:r>
        <w:rPr>
          <w:rFonts w:hint="eastAsia" w:ascii="仿宋_GB2312" w:hAnsi="宋体" w:eastAsia="仿宋_GB2312"/>
          <w:sz w:val="32"/>
          <w:szCs w:val="32"/>
        </w:rPr>
        <w:t>.</w:t>
      </w:r>
      <w:r>
        <w:rPr>
          <w:rFonts w:hint="eastAsia" w:ascii="仿宋_GB2312" w:hAnsi="宋体" w:eastAsia="仿宋_GB2312"/>
          <w:sz w:val="32"/>
          <w:szCs w:val="32"/>
          <w:lang w:val="zh-CN"/>
        </w:rPr>
        <w:t>申报内容与实际开展的培训情况基本相符，申报目标合理可行。</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项目绩效自评是根据项目绩效目标内容</w:t>
      </w:r>
      <w:r>
        <w:rPr>
          <w:rFonts w:hint="eastAsia" w:ascii="仿宋_GB2312" w:hAnsi="宋体" w:eastAsia="仿宋_GB2312"/>
          <w:sz w:val="32"/>
          <w:szCs w:val="32"/>
          <w:lang w:val="zh-CN"/>
        </w:rPr>
        <w:t>，</w:t>
      </w:r>
      <w:r>
        <w:rPr>
          <w:rFonts w:ascii="仿宋_GB2312" w:hAnsi="宋体" w:eastAsia="仿宋_GB2312"/>
          <w:sz w:val="32"/>
          <w:szCs w:val="32"/>
          <w:lang w:val="zh-CN"/>
        </w:rPr>
        <w:t>逐一对照各项指标</w:t>
      </w:r>
      <w:r>
        <w:rPr>
          <w:rFonts w:hint="eastAsia" w:ascii="仿宋_GB2312" w:hAnsi="宋体" w:eastAsia="仿宋_GB2312"/>
          <w:sz w:val="32"/>
          <w:szCs w:val="32"/>
          <w:lang w:val="zh-CN"/>
        </w:rPr>
        <w:t>，</w:t>
      </w:r>
      <w:r>
        <w:rPr>
          <w:rFonts w:ascii="仿宋_GB2312" w:hAnsi="宋体" w:eastAsia="仿宋_GB2312"/>
          <w:sz w:val="32"/>
          <w:szCs w:val="32"/>
          <w:lang w:val="zh-CN"/>
        </w:rPr>
        <w:t>一评数量完成情况</w:t>
      </w:r>
      <w:r>
        <w:rPr>
          <w:rFonts w:hint="eastAsia" w:ascii="仿宋_GB2312" w:hAnsi="宋体" w:eastAsia="仿宋_GB2312"/>
          <w:sz w:val="32"/>
          <w:szCs w:val="32"/>
          <w:lang w:val="zh-CN"/>
        </w:rPr>
        <w:t>，二评资金使用情况，三评实际开展的工作与申报的内容是否相符，四评项目实施达到的目的。</w:t>
      </w:r>
    </w:p>
    <w:p>
      <w:pPr>
        <w:adjustRightInd w:val="0"/>
        <w:snapToGrid w:val="0"/>
        <w:spacing w:line="600" w:lineRule="exact"/>
        <w:rPr>
          <w:rFonts w:ascii="黑体" w:hAnsi="宋体" w:eastAsia="黑体"/>
          <w:sz w:val="32"/>
          <w:szCs w:val="32"/>
        </w:rPr>
      </w:pPr>
      <w:r>
        <w:rPr>
          <w:rFonts w:hint="eastAsia" w:ascii="黑体" w:hAnsi="宋体" w:eastAsia="黑体"/>
          <w:sz w:val="32"/>
          <w:szCs w:val="32"/>
        </w:rPr>
        <w:t>二、项目实施及管理情况</w:t>
      </w:r>
    </w:p>
    <w:p>
      <w:pPr>
        <w:pStyle w:val="17"/>
        <w:adjustRightInd w:val="0"/>
        <w:snapToGrid w:val="0"/>
        <w:spacing w:line="600" w:lineRule="exact"/>
        <w:ind w:firstLine="643"/>
        <w:rPr>
          <w:rFonts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adjustRightInd w:val="0"/>
        <w:snapToGrid w:val="0"/>
        <w:spacing w:line="600" w:lineRule="exact"/>
        <w:ind w:firstLine="640" w:firstLineChars="200"/>
        <w:rPr>
          <w:rFonts w:ascii="仿宋_GB2312" w:hAnsi="宋体" w:eastAsia="仿宋_GB2312"/>
          <w:sz w:val="32"/>
          <w:szCs w:val="32"/>
          <w:lang w:val="zh-CN"/>
        </w:rPr>
      </w:pPr>
      <w:r>
        <w:rPr>
          <w:rFonts w:ascii="仿宋" w:hAnsi="仿宋" w:eastAsia="仿宋"/>
          <w:sz w:val="32"/>
          <w:szCs w:val="32"/>
          <w:lang w:val="zh-CN"/>
        </w:rPr>
        <w:t>职业培训作为学校总体工作之一</w:t>
      </w:r>
      <w:r>
        <w:rPr>
          <w:rFonts w:hint="eastAsia" w:ascii="仿宋" w:hAnsi="仿宋" w:eastAsia="仿宋"/>
          <w:sz w:val="32"/>
          <w:szCs w:val="32"/>
          <w:lang w:val="zh-CN"/>
        </w:rPr>
        <w:t>，</w:t>
      </w:r>
      <w:r>
        <w:rPr>
          <w:rFonts w:ascii="仿宋" w:hAnsi="仿宋" w:eastAsia="仿宋"/>
          <w:sz w:val="32"/>
          <w:szCs w:val="32"/>
          <w:lang w:val="zh-CN"/>
        </w:rPr>
        <w:t>在校级领导的分管下</w:t>
      </w:r>
      <w:r>
        <w:rPr>
          <w:rFonts w:hint="eastAsia" w:ascii="仿宋" w:hAnsi="仿宋" w:eastAsia="仿宋"/>
          <w:sz w:val="32"/>
          <w:szCs w:val="32"/>
          <w:lang w:val="zh-CN"/>
        </w:rPr>
        <w:t>，</w:t>
      </w:r>
      <w:r>
        <w:rPr>
          <w:rFonts w:ascii="仿宋" w:hAnsi="仿宋" w:eastAsia="仿宋"/>
          <w:sz w:val="32"/>
          <w:szCs w:val="32"/>
          <w:lang w:val="zh-CN"/>
        </w:rPr>
        <w:t>由专门的科室组织实施</w:t>
      </w:r>
      <w:r>
        <w:rPr>
          <w:rFonts w:hint="eastAsia" w:ascii="仿宋" w:hAnsi="仿宋" w:eastAsia="仿宋"/>
          <w:sz w:val="32"/>
          <w:szCs w:val="32"/>
          <w:lang w:val="zh-CN"/>
        </w:rPr>
        <w:t>，科室内分片区分培训项目有专门的负责人。</w:t>
      </w:r>
      <w:r>
        <w:rPr>
          <w:rFonts w:hint="eastAsia" w:ascii="仿宋_GB2312" w:hAnsi="宋体" w:eastAsia="仿宋_GB2312"/>
          <w:sz w:val="32"/>
          <w:szCs w:val="32"/>
          <w:lang w:val="zh-CN"/>
        </w:rPr>
        <w:t>项目下设一级指标、二级指标、三级指标，分级细化。对每项三级指标进行指标解释，制定评价标准。项目实施流程严格按照计划进行项目管理、资金管理、绩效评价管理等。</w:t>
      </w:r>
    </w:p>
    <w:p>
      <w:pPr>
        <w:adjustRightInd w:val="0"/>
        <w:snapToGrid w:val="0"/>
        <w:spacing w:line="600" w:lineRule="exact"/>
        <w:ind w:firstLine="640" w:firstLineChars="200"/>
        <w:rPr>
          <w:rFonts w:ascii="仿宋" w:hAnsi="仿宋" w:eastAsia="仿宋"/>
          <w:sz w:val="32"/>
          <w:szCs w:val="32"/>
          <w:lang w:val="zh-CN"/>
        </w:rPr>
      </w:pPr>
      <w:r>
        <w:rPr>
          <w:rFonts w:hint="eastAsia" w:ascii="仿宋" w:hAnsi="仿宋" w:eastAsia="仿宋"/>
          <w:sz w:val="32"/>
          <w:szCs w:val="32"/>
          <w:lang w:val="zh-CN"/>
        </w:rPr>
        <w:t>实施流程：向市本级、县区申报培训指标—市本级、县区下达培训指标—组织实施（主管部门、第三方机构监督检查）—培训补贴资金申报—培训后的回访和核实。</w:t>
      </w:r>
    </w:p>
    <w:p>
      <w:pPr>
        <w:adjustRightInd w:val="0"/>
        <w:snapToGrid w:val="0"/>
        <w:spacing w:line="600" w:lineRule="exact"/>
        <w:ind w:firstLine="642" w:firstLineChars="200"/>
        <w:rPr>
          <w:rFonts w:ascii="仿宋_GB2312" w:hAnsi="宋体" w:eastAsia="仿宋_GB2312"/>
          <w:sz w:val="32"/>
          <w:szCs w:val="32"/>
          <w:lang w:val="zh-CN"/>
        </w:rPr>
      </w:pPr>
      <w:r>
        <w:rPr>
          <w:rFonts w:hint="eastAsia" w:ascii="楷体_GB2312" w:hAnsi="宋体" w:eastAsia="楷体_GB2312"/>
          <w:b/>
          <w:sz w:val="32"/>
          <w:szCs w:val="32"/>
          <w:lang w:val="zh-CN"/>
        </w:rPr>
        <w:t>（二）项目管理情况。</w:t>
      </w:r>
      <w:r>
        <w:rPr>
          <w:rFonts w:hint="eastAsia" w:ascii="仿宋" w:hAnsi="仿宋" w:eastAsia="仿宋"/>
          <w:sz w:val="32"/>
          <w:szCs w:val="32"/>
          <w:lang w:val="zh-CN"/>
        </w:rPr>
        <w:t>职业培训经</w:t>
      </w:r>
      <w:r>
        <w:rPr>
          <w:rFonts w:hint="eastAsia" w:ascii="仿宋_GB2312" w:hAnsi="宋体" w:eastAsia="仿宋_GB2312"/>
          <w:sz w:val="32"/>
          <w:szCs w:val="32"/>
          <w:lang w:val="zh-CN"/>
        </w:rPr>
        <w:t>费项目由学校总务科直接管理，总务科接受学校纪委、教育局纪委、市财政局等上级监管部门监督。监管手段合理，监管程序合规，监管过程务实，监管成效良好。</w:t>
      </w:r>
    </w:p>
    <w:p>
      <w:pPr>
        <w:adjustRightInd w:val="0"/>
        <w:snapToGrid w:val="0"/>
        <w:spacing w:line="600" w:lineRule="exact"/>
        <w:ind w:firstLine="642" w:firstLineChars="200"/>
        <w:rPr>
          <w:rFonts w:ascii="仿宋_GB2312" w:hAnsi="宋体" w:eastAsia="仿宋_GB2312"/>
          <w:sz w:val="32"/>
          <w:szCs w:val="32"/>
          <w:lang w:val="zh-CN"/>
        </w:rPr>
      </w:pPr>
      <w:r>
        <w:rPr>
          <w:rFonts w:hint="eastAsia" w:ascii="楷体_GB2312" w:hAnsi="宋体" w:eastAsia="楷体_GB2312"/>
          <w:b/>
          <w:sz w:val="32"/>
          <w:szCs w:val="32"/>
          <w:lang w:val="zh-CN"/>
        </w:rPr>
        <w:t>（三）项目监管情况。</w:t>
      </w:r>
      <w:r>
        <w:rPr>
          <w:rFonts w:hint="eastAsia" w:ascii="仿宋_GB2312" w:hAnsi="宋体" w:eastAsia="仿宋_GB2312"/>
          <w:sz w:val="32"/>
          <w:szCs w:val="32"/>
          <w:lang w:val="zh-CN"/>
        </w:rPr>
        <w:t>。项目主管部门为加强项目管理，有严格的监管措施。1、从受训人员资格审核，开班申请，过程管理，资金申报，后期监管都实行网络化管理；2、开班申请需经当地政府、主管部门等签字同意方可执行；3、主管部门引进第三方监管机构对培训过程全程监控；4、主管部门每天都要现场或者远程核实培训真实性和效果；5、有专人对培训补贴资金申报资料逐项核实检查；6、资金划拨前需上局党组会讨论并公示后无异议才拨付；7、主管部门每年都要到学校核实培训资金的使用情况和账目。监管效果好。</w:t>
      </w:r>
    </w:p>
    <w:p>
      <w:pPr>
        <w:adjustRightInd w:val="0"/>
        <w:snapToGrid w:val="0"/>
        <w:spacing w:line="600" w:lineRule="exact"/>
        <w:rPr>
          <w:rFonts w:ascii="仿宋_GB2312" w:hAnsi="宋体" w:eastAsia="仿宋_GB2312"/>
          <w:sz w:val="32"/>
          <w:szCs w:val="32"/>
          <w:lang w:val="zh-CN"/>
        </w:rPr>
      </w:pPr>
      <w:r>
        <w:rPr>
          <w:rFonts w:hint="eastAsia" w:ascii="黑体" w:hAnsi="宋体" w:eastAsia="黑体"/>
          <w:sz w:val="32"/>
          <w:szCs w:val="32"/>
        </w:rPr>
        <w:t>三、项目绩效情况</w:t>
      </w:r>
      <w:r>
        <w:rPr>
          <w:rFonts w:ascii="仿宋_GB2312" w:hAnsi="宋体" w:eastAsia="仿宋_GB2312"/>
          <w:sz w:val="32"/>
          <w:szCs w:val="32"/>
          <w:lang w:val="zh-CN"/>
        </w:rPr>
        <w:tab/>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640" w:firstLineChars="200"/>
        <w:rPr>
          <w:rFonts w:ascii="仿宋" w:hAnsi="仿宋" w:eastAsia="仿宋"/>
          <w:sz w:val="32"/>
          <w:szCs w:val="32"/>
          <w:lang w:val="zh-CN"/>
        </w:rPr>
      </w:pPr>
      <w:r>
        <w:rPr>
          <w:rFonts w:hint="eastAsia" w:ascii="仿宋" w:hAnsi="仿宋" w:eastAsia="仿宋"/>
          <w:sz w:val="32"/>
          <w:szCs w:val="32"/>
          <w:lang w:val="zh-CN"/>
        </w:rPr>
        <w:t>2020年开展市本级、利州区、昭化区和旺苍县职业培训758人，农民夜校1030人，“女皇味道”餐饮培训92人，工人技术等级考试培训327人。按时完成了下达的培训任务，培训质量高，成本控制合理，达到了培训的目的。</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 w:hAnsi="仿宋" w:eastAsia="仿宋" w:cs="宋体"/>
          <w:sz w:val="32"/>
          <w:szCs w:val="32"/>
        </w:rPr>
        <w:t>2020年职业技能培训</w:t>
      </w:r>
      <w:r>
        <w:rPr>
          <w:rFonts w:ascii="仿宋" w:hAnsi="仿宋" w:eastAsia="仿宋" w:cs="宋体"/>
          <w:sz w:val="32"/>
          <w:szCs w:val="32"/>
        </w:rPr>
        <w:t>项目全年预算数</w:t>
      </w:r>
      <w:r>
        <w:rPr>
          <w:rFonts w:hint="eastAsia" w:ascii="仿宋" w:hAnsi="仿宋" w:eastAsia="仿宋" w:cs="宋体"/>
          <w:sz w:val="32"/>
          <w:szCs w:val="32"/>
        </w:rPr>
        <w:t>110</w:t>
      </w:r>
      <w:r>
        <w:rPr>
          <w:rFonts w:ascii="仿宋" w:hAnsi="仿宋" w:eastAsia="仿宋" w:cs="宋体"/>
          <w:sz w:val="32"/>
          <w:szCs w:val="32"/>
        </w:rPr>
        <w:t>万元，执行数为</w:t>
      </w:r>
      <w:r>
        <w:rPr>
          <w:rFonts w:hint="eastAsia" w:ascii="仿宋" w:hAnsi="仿宋" w:eastAsia="仿宋" w:cs="宋体"/>
          <w:sz w:val="32"/>
          <w:szCs w:val="32"/>
        </w:rPr>
        <w:t>100</w:t>
      </w:r>
      <w:r>
        <w:rPr>
          <w:rFonts w:ascii="仿宋" w:hAnsi="仿宋" w:eastAsia="仿宋" w:cs="宋体"/>
          <w:sz w:val="32"/>
          <w:szCs w:val="32"/>
        </w:rPr>
        <w:t>万元，完成预算的</w:t>
      </w:r>
      <w:r>
        <w:rPr>
          <w:rFonts w:hint="eastAsia" w:ascii="仿宋" w:hAnsi="仿宋" w:eastAsia="仿宋" w:cs="宋体"/>
          <w:sz w:val="32"/>
          <w:szCs w:val="32"/>
        </w:rPr>
        <w:t>90.9</w:t>
      </w:r>
      <w:r>
        <w:rPr>
          <w:rFonts w:ascii="仿宋" w:hAnsi="仿宋" w:eastAsia="仿宋" w:cs="宋体"/>
          <w:sz w:val="32"/>
          <w:szCs w:val="32"/>
        </w:rPr>
        <w:t>%。职业培训为地方经济社会发展服务</w:t>
      </w:r>
      <w:r>
        <w:rPr>
          <w:rFonts w:hint="eastAsia" w:ascii="仿宋" w:hAnsi="仿宋" w:eastAsia="仿宋" w:cs="宋体"/>
          <w:sz w:val="32"/>
          <w:szCs w:val="32"/>
        </w:rPr>
        <w:t>，</w:t>
      </w:r>
      <w:r>
        <w:rPr>
          <w:rFonts w:ascii="仿宋" w:hAnsi="仿宋" w:eastAsia="仿宋" w:cs="宋体"/>
          <w:sz w:val="32"/>
          <w:szCs w:val="32"/>
        </w:rPr>
        <w:t>在</w:t>
      </w:r>
      <w:r>
        <w:rPr>
          <w:rFonts w:hint="eastAsia" w:ascii="仿宋" w:hAnsi="仿宋" w:eastAsia="仿宋" w:cs="宋体"/>
          <w:sz w:val="32"/>
          <w:szCs w:val="32"/>
        </w:rPr>
        <w:t>2020年的培训中，面向农村贫困劳动力198人开展农村实用技术培训和开办农民夜校1030人，完成了县区脱贫攻坚培训任务；为旺苍县举办茶文化和茶宴知识培训，是落实市委重大战略决策部署的举措之一；为广元监狱即将刑满释放人员开办职业技能培训，提高就业困难群体就业能力，也是社会综合治理的重要举措。培训满意度高。</w:t>
      </w:r>
    </w:p>
    <w:p>
      <w:pPr>
        <w:adjustRightInd w:val="0"/>
        <w:snapToGrid w:val="0"/>
        <w:spacing w:line="600" w:lineRule="exact"/>
        <w:rPr>
          <w:rFonts w:ascii="黑体" w:hAnsi="宋体" w:eastAsia="黑体"/>
          <w:sz w:val="32"/>
          <w:szCs w:val="32"/>
        </w:rPr>
      </w:pPr>
      <w:r>
        <w:rPr>
          <w:rFonts w:hint="eastAsia" w:ascii="黑体" w:hAnsi="宋体" w:eastAsia="黑体"/>
          <w:sz w:val="32"/>
          <w:szCs w:val="32"/>
        </w:rPr>
        <w:t>四、评价结论</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eastAsia="仿宋_GB2312"/>
          <w:sz w:val="32"/>
          <w:szCs w:val="32"/>
          <w:lang w:val="zh-CN"/>
        </w:rPr>
        <w:t>职业培训是职业学校的功能之一，也是职业学校落实市委重大战略决策部署的重要举措，项目评价重点突出，管理办法科学，专项资金支出使用绩效评估体系划分合理，达到绩效评估效果。</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spacing w:line="600" w:lineRule="exact"/>
        <w:ind w:firstLine="640" w:firstLineChars="200"/>
        <w:rPr>
          <w:rFonts w:ascii="仿宋" w:hAnsi="仿宋" w:eastAsia="仿宋" w:cs="仿宋"/>
          <w:kern w:val="32"/>
          <w:sz w:val="32"/>
          <w:szCs w:val="32"/>
        </w:rPr>
      </w:pPr>
      <w:r>
        <w:rPr>
          <w:rFonts w:hint="eastAsia" w:ascii="仿宋_GB2312" w:hAnsi="宋体" w:eastAsia="仿宋_GB2312"/>
          <w:sz w:val="32"/>
          <w:szCs w:val="32"/>
          <w:lang w:val="zh-CN"/>
        </w:rPr>
        <w:t>培训学员组织难度大，参与培训的积极性不高。下一步的打算：</w:t>
      </w:r>
      <w:r>
        <w:rPr>
          <w:rFonts w:hint="eastAsia" w:ascii="仿宋" w:hAnsi="仿宋" w:eastAsia="仿宋" w:cs="仿宋"/>
          <w:kern w:val="32"/>
          <w:sz w:val="32"/>
          <w:szCs w:val="32"/>
        </w:rPr>
        <w:t>发挥我校优质的职教资源优势，围绕市委、市政府确定的 “6+2”新型工业、“6+7”特色农业、文化旅游和商贸物流等产业开展更多的特色品牌培训。</w:t>
      </w:r>
    </w:p>
    <w:p>
      <w:pPr>
        <w:adjustRightInd w:val="0"/>
        <w:snapToGrid w:val="0"/>
        <w:spacing w:line="600" w:lineRule="exact"/>
        <w:ind w:firstLine="640" w:firstLineChars="200"/>
        <w:rPr>
          <w:rFonts w:ascii="仿宋_GB2312" w:hAnsi="宋体" w:eastAsia="仿宋_GB2312"/>
          <w:sz w:val="32"/>
          <w:szCs w:val="32"/>
        </w:rPr>
      </w:pPr>
    </w:p>
    <w:p>
      <w:pPr>
        <w:spacing w:line="600" w:lineRule="exact"/>
        <w:ind w:firstLine="420" w:firstLineChars="200"/>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rPr>
          <w:rFonts w:ascii="黑体" w:hAnsi="黑体" w:eastAsia="黑体" w:cs="黑体"/>
          <w:sz w:val="32"/>
          <w:szCs w:val="32"/>
        </w:rPr>
      </w:pPr>
    </w:p>
    <w:p>
      <w:pPr>
        <w:pStyle w:val="4"/>
        <w:rPr>
          <w:rFonts w:ascii="仿宋_GB2312" w:hAnsi="仿宋_GB2312" w:cs="仿宋_GB2312"/>
        </w:rPr>
      </w:pPr>
      <w:bookmarkStart w:id="97" w:name="_Toc82767026"/>
      <w:bookmarkStart w:id="98" w:name="_Toc82767852"/>
      <w:r>
        <w:rPr>
          <w:rFonts w:hint="eastAsia"/>
        </w:rPr>
        <w:t>附件3</w:t>
      </w:r>
      <w:bookmarkEnd w:id="97"/>
      <w:bookmarkEnd w:id="98"/>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教学工作经费项目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adjustRightInd w:val="0"/>
        <w:snapToGrid w:val="0"/>
        <w:spacing w:line="600" w:lineRule="exact"/>
        <w:jc w:val="left"/>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为保障学校日常工作顺利开展，教学质量稳步提升，特设立本项目。</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rPr>
        <w:t>.</w:t>
      </w:r>
      <w:r>
        <w:rPr>
          <w:rFonts w:hint="eastAsia" w:ascii="仿宋_GB2312" w:hAnsi="宋体" w:eastAsia="仿宋_GB2312"/>
          <w:sz w:val="32"/>
          <w:szCs w:val="32"/>
          <w:lang w:val="zh-CN"/>
        </w:rPr>
        <w:t>项目主要内容。完成日常教学</w:t>
      </w:r>
      <w:r>
        <w:rPr>
          <w:rFonts w:hint="eastAsia" w:ascii="仿宋_GB2312" w:hAnsi="宋体" w:eastAsia="仿宋_GB2312"/>
          <w:sz w:val="32"/>
          <w:szCs w:val="32"/>
        </w:rPr>
        <w:t>工作，</w:t>
      </w:r>
      <w:r>
        <w:rPr>
          <w:rFonts w:hint="eastAsia" w:ascii="仿宋_GB2312" w:hAnsi="宋体" w:eastAsia="仿宋_GB2312"/>
          <w:sz w:val="32"/>
          <w:szCs w:val="32"/>
          <w:lang w:val="zh-CN"/>
        </w:rPr>
        <w:t>聘请专、兼职教师充实教学水平；</w:t>
      </w:r>
      <w:r>
        <w:rPr>
          <w:rFonts w:hint="eastAsia" w:ascii="仿宋_GB2312" w:hAnsi="宋体" w:eastAsia="仿宋_GB2312"/>
          <w:sz w:val="32"/>
          <w:szCs w:val="32"/>
        </w:rPr>
        <w:t>学生开展</w:t>
      </w:r>
      <w:r>
        <w:rPr>
          <w:rFonts w:hint="eastAsia" w:ascii="仿宋_GB2312" w:hAnsi="宋体" w:eastAsia="仿宋_GB2312"/>
          <w:sz w:val="32"/>
          <w:szCs w:val="32"/>
          <w:lang w:val="zh-CN"/>
        </w:rPr>
        <w:t>实习、实训</w:t>
      </w:r>
      <w:r>
        <w:rPr>
          <w:rFonts w:hint="eastAsia" w:ascii="仿宋_GB2312" w:hAnsi="宋体" w:eastAsia="仿宋_GB2312"/>
          <w:sz w:val="32"/>
          <w:szCs w:val="32"/>
        </w:rPr>
        <w:t>活动</w:t>
      </w:r>
      <w:r>
        <w:rPr>
          <w:rFonts w:hint="eastAsia" w:ascii="仿宋_GB2312" w:hAnsi="宋体" w:eastAsia="仿宋_GB2312"/>
          <w:sz w:val="32"/>
          <w:szCs w:val="32"/>
          <w:lang w:val="zh-CN"/>
        </w:rPr>
        <w:t>；</w:t>
      </w:r>
      <w:r>
        <w:rPr>
          <w:rFonts w:hint="eastAsia" w:ascii="仿宋_GB2312" w:hAnsi="宋体" w:eastAsia="仿宋_GB2312"/>
          <w:sz w:val="32"/>
          <w:szCs w:val="32"/>
        </w:rPr>
        <w:t>学生管理；教师培训等</w:t>
      </w:r>
      <w:r>
        <w:rPr>
          <w:rFonts w:hint="eastAsia" w:ascii="仿宋_GB2312" w:hAnsi="宋体" w:eastAsia="仿宋_GB2312"/>
          <w:sz w:val="32"/>
          <w:szCs w:val="32"/>
          <w:lang w:val="zh-CN"/>
        </w:rPr>
        <w:t>。</w:t>
      </w:r>
    </w:p>
    <w:p>
      <w:pPr>
        <w:pStyle w:val="11"/>
        <w:spacing w:before="0" w:beforeAutospacing="0" w:after="0" w:afterAutospacing="0" w:line="360" w:lineRule="auto"/>
        <w:ind w:firstLine="640" w:firstLineChars="200"/>
        <w:jc w:val="both"/>
        <w:rPr>
          <w:rFonts w:ascii="仿宋_GB2312" w:eastAsia="仿宋_GB2312" w:cstheme="minorBidi"/>
          <w:kern w:val="2"/>
          <w:sz w:val="32"/>
          <w:szCs w:val="32"/>
        </w:rPr>
      </w:pPr>
      <w:r>
        <w:rPr>
          <w:rFonts w:ascii="仿宋_GB2312" w:eastAsia="仿宋_GB2312"/>
          <w:sz w:val="32"/>
          <w:szCs w:val="32"/>
          <w:lang w:val="zh-CN"/>
        </w:rPr>
        <w:t>2</w:t>
      </w:r>
      <w:r>
        <w:rPr>
          <w:rFonts w:hint="eastAsia" w:ascii="仿宋_GB2312" w:eastAsia="仿宋_GB2312"/>
          <w:sz w:val="32"/>
          <w:szCs w:val="32"/>
        </w:rPr>
        <w:t>.</w:t>
      </w:r>
      <w:r>
        <w:rPr>
          <w:rFonts w:hint="eastAsia" w:ascii="仿宋_GB2312" w:eastAsia="仿宋_GB2312"/>
          <w:sz w:val="32"/>
          <w:szCs w:val="32"/>
          <w:lang w:val="zh-CN"/>
        </w:rPr>
        <w:t>项目绩效目标。一是</w:t>
      </w:r>
      <w:r>
        <w:rPr>
          <w:rFonts w:hint="eastAsia" w:ascii="仿宋_GB2312" w:eastAsia="仿宋_GB2312" w:cstheme="minorBidi"/>
          <w:kern w:val="2"/>
          <w:sz w:val="32"/>
          <w:szCs w:val="32"/>
        </w:rPr>
        <w:t>加强师德师风建设，将师德考核放在首位，完善教师培养的体制机制建设，树立教师终身学习的理念，不断提升教师教育教学能力和专业实践能力。二是规范学生实习环节，维护学生在实习单位的合法权益，严格执行实习报备制度，建立健全安全生产制度，严格执行实习强制保险制度，完善其他实习管理制度，确保学生实习工作扎实有效开展，进一步提高人才培养质量。三是将培养高素质技术技能人才作为学校的人才培养目标，树立科技强国、人才强校的价值理念，积极提升技能人才的劳动技能、道德素质、职业操守、规则意识等综合素质，锻造一支学习能力强、职业素质高的高标准技能型人才队伍。</w:t>
      </w:r>
    </w:p>
    <w:p>
      <w:pPr>
        <w:adjustRightInd w:val="0"/>
        <w:snapToGrid w:val="0"/>
        <w:spacing w:line="600" w:lineRule="exact"/>
        <w:ind w:firstLine="640" w:firstLineChars="200"/>
        <w:rPr>
          <w:rFonts w:ascii="仿宋_GB2312" w:hAnsi="宋体" w:eastAsia="仿宋_GB2312"/>
          <w:sz w:val="32"/>
          <w:szCs w:val="32"/>
          <w:lang w:val="zh-CN"/>
        </w:rPr>
      </w:pPr>
      <w:r>
        <w:rPr>
          <w:rFonts w:ascii="仿宋_GB2312" w:hAnsi="宋体" w:eastAsia="仿宋_GB2312"/>
          <w:sz w:val="32"/>
          <w:szCs w:val="32"/>
          <w:lang w:val="zh-CN"/>
        </w:rPr>
        <w:t>3</w:t>
      </w:r>
      <w:r>
        <w:rPr>
          <w:rFonts w:hint="eastAsia" w:ascii="仿宋_GB2312" w:hAnsi="宋体" w:eastAsia="仿宋_GB2312"/>
          <w:sz w:val="32"/>
          <w:szCs w:val="32"/>
        </w:rPr>
        <w:t>.</w:t>
      </w:r>
      <w:r>
        <w:rPr>
          <w:rFonts w:hint="eastAsia" w:ascii="仿宋_GB2312" w:hAnsi="宋体" w:eastAsia="仿宋_GB2312"/>
          <w:sz w:val="32"/>
          <w:szCs w:val="32"/>
          <w:lang w:val="zh-CN"/>
        </w:rPr>
        <w:t>该项目根据实际情况进行申报，申报目标合理可行。</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项目组织实施步骤及方法如下：</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1</w:t>
      </w:r>
      <w:r>
        <w:rPr>
          <w:rFonts w:hint="eastAsia" w:ascii="仿宋_GB2312" w:hAnsi="宋体" w:eastAsia="仿宋_GB2312"/>
          <w:sz w:val="32"/>
          <w:szCs w:val="32"/>
        </w:rPr>
        <w:t>.</w:t>
      </w:r>
      <w:r>
        <w:rPr>
          <w:rFonts w:hint="eastAsia" w:ascii="仿宋_GB2312" w:hAnsi="宋体" w:eastAsia="仿宋_GB2312"/>
          <w:sz w:val="32"/>
          <w:szCs w:val="32"/>
          <w:lang w:val="zh-CN"/>
        </w:rPr>
        <w:t>项目决策：该项目申请、设立过程符合政策要求，项目立项规范，目标明确、合理，具有可实施性。</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2</w:t>
      </w:r>
      <w:r>
        <w:rPr>
          <w:rFonts w:hint="eastAsia" w:ascii="仿宋_GB2312" w:hAnsi="宋体" w:eastAsia="仿宋_GB2312"/>
          <w:sz w:val="32"/>
          <w:szCs w:val="32"/>
        </w:rPr>
        <w:t>.</w:t>
      </w:r>
      <w:r>
        <w:rPr>
          <w:rFonts w:hint="eastAsia" w:ascii="仿宋_GB2312" w:hAnsi="宋体" w:eastAsia="仿宋_GB2312"/>
          <w:sz w:val="32"/>
          <w:szCs w:val="32"/>
          <w:lang w:val="zh-CN"/>
        </w:rPr>
        <w:t>设立绩效目标：年初按照部门预算编制要求设定了项目绩效目标。绩效目标设定符合客观实际，明确、合理，与资金安排额度相匹配，具有可实现性、可考核性以及时效性。</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3</w:t>
      </w:r>
      <w:r>
        <w:rPr>
          <w:rFonts w:hint="eastAsia" w:ascii="仿宋_GB2312" w:hAnsi="宋体" w:eastAsia="仿宋_GB2312"/>
          <w:sz w:val="32"/>
          <w:szCs w:val="32"/>
        </w:rPr>
        <w:t>.</w:t>
      </w:r>
      <w:r>
        <w:rPr>
          <w:rFonts w:hint="eastAsia" w:ascii="仿宋_GB2312" w:hAnsi="宋体" w:eastAsia="仿宋_GB2312"/>
          <w:sz w:val="32"/>
          <w:szCs w:val="32"/>
          <w:lang w:val="zh-CN"/>
        </w:rPr>
        <w:t>项目实施管理：项由教务科负责实施，通过各个科室互相配合完成，过程公开透明。</w:t>
      </w:r>
    </w:p>
    <w:p>
      <w:pPr>
        <w:adjustRightInd w:val="0"/>
        <w:snapToGrid w:val="0"/>
        <w:spacing w:line="600" w:lineRule="exact"/>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根据以往工作开展情况，及可预见事项进行项目资金申报，由总务科汇总一并纳入当年预算申报。</w:t>
      </w:r>
    </w:p>
    <w:p>
      <w:pPr>
        <w:adjustRightInd w:val="0"/>
        <w:snapToGrid w:val="0"/>
        <w:spacing w:line="600" w:lineRule="exact"/>
        <w:ind w:firstLine="642" w:firstLineChars="20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w:t>
      </w:r>
    </w:p>
    <w:p>
      <w:pPr>
        <w:adjustRightInd w:val="0"/>
        <w:snapToGrid w:val="0"/>
        <w:spacing w:line="600" w:lineRule="exact"/>
        <w:ind w:firstLine="640" w:firstLineChars="200"/>
        <w:rPr>
          <w:rFonts w:ascii="仿宋_GB2312" w:hAnsi="宋体" w:eastAsia="仿宋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rPr>
        <w:t>.</w:t>
      </w:r>
      <w:r>
        <w:rPr>
          <w:rFonts w:hint="eastAsia" w:ascii="楷体_GB2312" w:hAnsi="宋体" w:eastAsia="楷体_GB2312"/>
          <w:sz w:val="32"/>
          <w:szCs w:val="32"/>
          <w:lang w:val="zh-CN"/>
        </w:rPr>
        <w:t>资金计划。</w:t>
      </w:r>
      <w:r>
        <w:rPr>
          <w:rFonts w:hint="eastAsia" w:ascii="仿宋_GB2312" w:hAnsi="宋体" w:eastAsia="仿宋_GB2312"/>
          <w:sz w:val="32"/>
          <w:szCs w:val="32"/>
          <w:lang w:val="zh-CN"/>
        </w:rPr>
        <w:t>项目资金预算为</w:t>
      </w:r>
      <w:r>
        <w:rPr>
          <w:rFonts w:ascii="仿宋_GB2312" w:hAnsi="宋体" w:eastAsia="仿宋_GB2312"/>
          <w:sz w:val="32"/>
          <w:szCs w:val="32"/>
          <w:lang w:val="zh-CN"/>
        </w:rPr>
        <w:t>200</w:t>
      </w:r>
      <w:r>
        <w:rPr>
          <w:rFonts w:hint="eastAsia" w:ascii="仿宋_GB2312" w:hAnsi="宋体" w:eastAsia="仿宋_GB2312"/>
          <w:sz w:val="32"/>
          <w:szCs w:val="32"/>
        </w:rPr>
        <w:t>.6</w:t>
      </w:r>
      <w:r>
        <w:rPr>
          <w:rFonts w:hint="eastAsia" w:ascii="仿宋_GB2312" w:hAnsi="宋体" w:eastAsia="仿宋_GB2312"/>
          <w:sz w:val="32"/>
          <w:szCs w:val="32"/>
          <w:lang w:val="zh-CN"/>
        </w:rPr>
        <w:t>万元，</w:t>
      </w:r>
      <w:r>
        <w:rPr>
          <w:rFonts w:hint="eastAsia" w:ascii="仿宋_GB2312" w:hAnsi="宋体" w:eastAsia="仿宋_GB2312"/>
          <w:sz w:val="32"/>
          <w:szCs w:val="32"/>
        </w:rPr>
        <w:t>主要用于日常教学工作运转；</w:t>
      </w:r>
      <w:r>
        <w:rPr>
          <w:rFonts w:hint="eastAsia" w:ascii="仿宋_GB2312" w:hAnsi="宋体" w:eastAsia="仿宋_GB2312"/>
          <w:sz w:val="32"/>
          <w:szCs w:val="32"/>
          <w:lang w:val="zh-CN"/>
        </w:rPr>
        <w:t>聘请专、兼职教师；实习、实训</w:t>
      </w:r>
      <w:r>
        <w:rPr>
          <w:rFonts w:hint="eastAsia" w:ascii="仿宋_GB2312" w:hAnsi="宋体" w:eastAsia="仿宋_GB2312"/>
          <w:sz w:val="32"/>
          <w:szCs w:val="32"/>
        </w:rPr>
        <w:t>活动的开展</w:t>
      </w:r>
      <w:r>
        <w:rPr>
          <w:rFonts w:hint="eastAsia" w:ascii="仿宋_GB2312" w:hAnsi="宋体" w:eastAsia="仿宋_GB2312"/>
          <w:sz w:val="32"/>
          <w:szCs w:val="32"/>
          <w:lang w:val="zh-CN"/>
        </w:rPr>
        <w:t>；教材副本采购；</w:t>
      </w:r>
      <w:r>
        <w:rPr>
          <w:rFonts w:hint="eastAsia" w:ascii="仿宋_GB2312" w:hAnsi="宋体" w:eastAsia="仿宋_GB2312"/>
          <w:sz w:val="32"/>
          <w:szCs w:val="32"/>
        </w:rPr>
        <w:t>教师培训；教学实训耗材采购、教学设施设备采购；学生管理</w:t>
      </w:r>
      <w:r>
        <w:rPr>
          <w:rFonts w:hint="eastAsia" w:ascii="仿宋_GB2312" w:hAnsi="宋体" w:eastAsia="仿宋_GB2312"/>
          <w:sz w:val="32"/>
          <w:szCs w:val="32"/>
          <w:lang w:val="zh-CN"/>
        </w:rPr>
        <w:t>等工作。</w:t>
      </w:r>
    </w:p>
    <w:p>
      <w:pPr>
        <w:adjustRightInd w:val="0"/>
        <w:snapToGrid w:val="0"/>
        <w:spacing w:line="600" w:lineRule="exact"/>
        <w:ind w:firstLine="640" w:firstLineChars="200"/>
        <w:rPr>
          <w:rFonts w:ascii="楷体_GB2312" w:hAnsi="宋体" w:eastAsia="楷体_GB2312"/>
          <w:sz w:val="32"/>
          <w:szCs w:val="32"/>
          <w:lang w:val="zh-CN"/>
        </w:rPr>
      </w:pPr>
      <w:r>
        <w:rPr>
          <w:rFonts w:ascii="楷体_GB2312" w:hAnsi="宋体" w:eastAsia="楷体_GB2312"/>
          <w:sz w:val="32"/>
          <w:szCs w:val="32"/>
          <w:lang w:val="zh-CN"/>
        </w:rPr>
        <w:t>2</w:t>
      </w:r>
      <w:r>
        <w:rPr>
          <w:rFonts w:hint="eastAsia" w:ascii="楷体_GB2312" w:hAnsi="宋体" w:eastAsia="楷体_GB2312"/>
          <w:sz w:val="32"/>
          <w:szCs w:val="32"/>
        </w:rPr>
        <w:t>.</w:t>
      </w:r>
      <w:r>
        <w:rPr>
          <w:rFonts w:hint="eastAsia" w:ascii="楷体_GB2312" w:hAnsi="宋体" w:eastAsia="楷体_GB2312"/>
          <w:sz w:val="32"/>
          <w:szCs w:val="32"/>
          <w:lang w:val="zh-CN"/>
        </w:rPr>
        <w:t>资金到位。</w:t>
      </w:r>
      <w:r>
        <w:rPr>
          <w:rFonts w:hint="eastAsia" w:ascii="仿宋_GB2312" w:hAnsi="宋体" w:eastAsia="仿宋_GB2312"/>
          <w:sz w:val="32"/>
          <w:szCs w:val="32"/>
          <w:lang w:val="zh-CN"/>
        </w:rPr>
        <w:t>资金来源于财政专户管理的收入，安排的资金</w:t>
      </w:r>
      <w:r>
        <w:rPr>
          <w:rFonts w:hint="eastAsia" w:ascii="仿宋_GB2312" w:hAnsi="宋体" w:eastAsia="仿宋_GB2312"/>
          <w:sz w:val="32"/>
          <w:szCs w:val="32"/>
        </w:rPr>
        <w:t>200.6</w:t>
      </w:r>
      <w:r>
        <w:rPr>
          <w:rFonts w:hint="eastAsia" w:ascii="仿宋_GB2312" w:hAnsi="宋体" w:eastAsia="仿宋_GB2312"/>
          <w:sz w:val="32"/>
          <w:szCs w:val="32"/>
          <w:lang w:val="zh-CN"/>
        </w:rPr>
        <w:t>万元，于</w:t>
      </w:r>
      <w:r>
        <w:rPr>
          <w:rFonts w:ascii="仿宋_GB2312" w:hAnsi="宋体" w:eastAsia="仿宋_GB2312"/>
          <w:sz w:val="32"/>
          <w:szCs w:val="32"/>
          <w:lang w:val="zh-CN"/>
        </w:rPr>
        <w:t>2020</w:t>
      </w:r>
      <w:r>
        <w:rPr>
          <w:rFonts w:hint="eastAsia" w:ascii="仿宋_GB2312" w:hAnsi="宋体" w:eastAsia="仿宋_GB2312"/>
          <w:sz w:val="32"/>
          <w:szCs w:val="32"/>
          <w:lang w:val="zh-CN"/>
        </w:rPr>
        <w:t>年全部到位。</w:t>
      </w:r>
    </w:p>
    <w:p>
      <w:pPr>
        <w:adjustRightInd w:val="0"/>
        <w:snapToGrid w:val="0"/>
        <w:spacing w:line="600" w:lineRule="exact"/>
        <w:ind w:firstLine="640" w:firstLineChars="200"/>
        <w:rPr>
          <w:rFonts w:ascii="仿宋_GB2312" w:hAnsi="宋体" w:eastAsia="仿宋_GB2312"/>
          <w:sz w:val="32"/>
          <w:szCs w:val="32"/>
        </w:rPr>
      </w:pPr>
      <w:r>
        <w:rPr>
          <w:rFonts w:ascii="楷体_GB2312" w:hAnsi="宋体" w:eastAsia="楷体_GB2312"/>
          <w:sz w:val="32"/>
          <w:szCs w:val="32"/>
          <w:lang w:val="zh-CN"/>
        </w:rPr>
        <w:t>3</w:t>
      </w:r>
      <w:r>
        <w:rPr>
          <w:rFonts w:hint="eastAsia" w:ascii="楷体_GB2312" w:hAnsi="宋体" w:eastAsia="楷体_GB2312"/>
          <w:sz w:val="32"/>
          <w:szCs w:val="32"/>
        </w:rPr>
        <w:t>.</w:t>
      </w:r>
      <w:r>
        <w:rPr>
          <w:rFonts w:hint="eastAsia" w:ascii="楷体_GB2312" w:hAnsi="宋体" w:eastAsia="楷体_GB2312"/>
          <w:sz w:val="32"/>
          <w:szCs w:val="32"/>
          <w:lang w:val="zh-CN"/>
        </w:rPr>
        <w:t>资金使用</w:t>
      </w:r>
      <w:r>
        <w:rPr>
          <w:rFonts w:hint="eastAsia" w:ascii="仿宋_GB2312" w:hAnsi="宋体" w:eastAsia="仿宋_GB2312"/>
          <w:sz w:val="32"/>
          <w:szCs w:val="32"/>
          <w:lang w:val="zh-CN"/>
        </w:rPr>
        <w:t>。资金使用严格按照审批流程，过程公开、科学、高效</w:t>
      </w:r>
      <w:r>
        <w:rPr>
          <w:rFonts w:hint="eastAsia" w:ascii="仿宋_GB2312" w:hAnsi="宋体" w:eastAsia="仿宋_GB2312"/>
          <w:sz w:val="32"/>
          <w:szCs w:val="32"/>
        </w:rPr>
        <w:t>。</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本单位财务管理制度健全，严格执行财务管理制度，及时处理账务，会计核算规范。</w:t>
      </w:r>
    </w:p>
    <w:p>
      <w:pPr>
        <w:adjustRightInd w:val="0"/>
        <w:snapToGrid w:val="0"/>
        <w:spacing w:line="600" w:lineRule="exact"/>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该项目所有资金支出均严格按照程序规范管理。项目资金拨付严格按照审批程序。</w:t>
      </w:r>
    </w:p>
    <w:p>
      <w:pPr>
        <w:adjustRightInd w:val="0"/>
        <w:snapToGrid w:val="0"/>
        <w:spacing w:line="600" w:lineRule="exact"/>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pStyle w:val="5"/>
        <w:spacing w:line="360" w:lineRule="auto"/>
        <w:ind w:firstLine="642" w:firstLineChars="200"/>
        <w:jc w:val="both"/>
        <w:outlineLvl w:val="1"/>
        <w:rPr>
          <w:rFonts w:ascii="仿宋_GB2312" w:eastAsia="仿宋_GB2312" w:cstheme="minorBidi"/>
          <w:kern w:val="2"/>
          <w:sz w:val="32"/>
          <w:szCs w:val="32"/>
          <w:lang w:bidi="ar-SA"/>
        </w:rPr>
      </w:pPr>
      <w:r>
        <w:rPr>
          <w:rFonts w:hint="eastAsia" w:ascii="楷体_GB2312" w:eastAsia="楷体_GB2312"/>
          <w:b/>
          <w:sz w:val="32"/>
          <w:szCs w:val="32"/>
        </w:rPr>
        <w:t>（一）项目完成情况。</w:t>
      </w:r>
      <w:r>
        <w:rPr>
          <w:rFonts w:hint="eastAsia" w:ascii="仿宋_GB2312" w:eastAsia="仿宋_GB2312" w:cstheme="minorBidi"/>
          <w:kern w:val="2"/>
          <w:sz w:val="32"/>
          <w:szCs w:val="32"/>
          <w:lang w:bidi="ar-SA"/>
        </w:rPr>
        <w:t>一是教师培养培训。教师参加市级教学竞赛，获得一等奖6项、二等奖8项、三等奖13项。有1人被省教育厅授予四川省“教书育人名师”称号，1人获得省教育厅四川省民族地区9+3免费教育计划工作先进个人称号，1人成为广元市技能大师并建立了大师工作室。二是学生实习情况。学生</w:t>
      </w:r>
      <w:r>
        <w:rPr>
          <w:rFonts w:ascii="仿宋_GB2312" w:eastAsia="仿宋_GB2312" w:cstheme="minorBidi"/>
          <w:kern w:val="2"/>
          <w:sz w:val="32"/>
          <w:szCs w:val="32"/>
          <w:lang w:bidi="ar-SA"/>
        </w:rPr>
        <w:t>认识实习平均2</w:t>
      </w:r>
      <w:r>
        <w:rPr>
          <w:rFonts w:hint="eastAsia" w:ascii="仿宋_GB2312" w:eastAsia="仿宋_GB2312" w:cstheme="minorBidi"/>
          <w:kern w:val="2"/>
          <w:sz w:val="32"/>
          <w:szCs w:val="32"/>
          <w:lang w:bidi="ar-SA"/>
        </w:rPr>
        <w:t>5</w:t>
      </w:r>
      <w:r>
        <w:rPr>
          <w:rFonts w:ascii="仿宋_GB2312" w:eastAsia="仿宋_GB2312" w:cstheme="minorBidi"/>
          <w:kern w:val="2"/>
          <w:sz w:val="32"/>
          <w:szCs w:val="32"/>
          <w:lang w:bidi="ar-SA"/>
        </w:rPr>
        <w:t>天/生，跟岗实习平均</w:t>
      </w:r>
      <w:r>
        <w:rPr>
          <w:rFonts w:hint="eastAsia" w:ascii="仿宋_GB2312" w:eastAsia="仿宋_GB2312" w:cstheme="minorBidi"/>
          <w:kern w:val="2"/>
          <w:sz w:val="32"/>
          <w:szCs w:val="32"/>
          <w:lang w:bidi="ar-SA"/>
        </w:rPr>
        <w:t>31</w:t>
      </w:r>
      <w:r>
        <w:rPr>
          <w:rFonts w:ascii="仿宋_GB2312" w:eastAsia="仿宋_GB2312" w:cstheme="minorBidi"/>
          <w:kern w:val="2"/>
          <w:sz w:val="32"/>
          <w:szCs w:val="32"/>
          <w:lang w:bidi="ar-SA"/>
        </w:rPr>
        <w:t>天/生，生均顶岗实习</w:t>
      </w:r>
      <w:r>
        <w:rPr>
          <w:rFonts w:hint="eastAsia" w:ascii="仿宋_GB2312" w:eastAsia="仿宋_GB2312" w:cstheme="minorBidi"/>
          <w:kern w:val="2"/>
          <w:sz w:val="32"/>
          <w:szCs w:val="32"/>
          <w:lang w:bidi="ar-SA"/>
        </w:rPr>
        <w:t>半年</w:t>
      </w:r>
      <w:r>
        <w:rPr>
          <w:rFonts w:ascii="仿宋_GB2312" w:eastAsia="仿宋_GB2312" w:cstheme="minorBidi"/>
          <w:kern w:val="2"/>
          <w:sz w:val="32"/>
          <w:szCs w:val="32"/>
          <w:lang w:bidi="ar-SA"/>
        </w:rPr>
        <w:t>，对口率9</w:t>
      </w:r>
      <w:r>
        <w:rPr>
          <w:rFonts w:hint="eastAsia" w:ascii="仿宋_GB2312" w:eastAsia="仿宋_GB2312" w:cstheme="minorBidi"/>
          <w:kern w:val="2"/>
          <w:sz w:val="32"/>
          <w:szCs w:val="32"/>
          <w:lang w:bidi="ar-SA"/>
        </w:rPr>
        <w:t>4</w:t>
      </w:r>
      <w:r>
        <w:rPr>
          <w:rFonts w:ascii="仿宋_GB2312" w:eastAsia="仿宋_GB2312" w:cstheme="minorBidi"/>
          <w:kern w:val="2"/>
          <w:sz w:val="32"/>
          <w:szCs w:val="32"/>
          <w:lang w:bidi="ar-SA"/>
        </w:rPr>
        <w:t>%。企业考核的顶岗实习学生考核结果良好等级以上为</w:t>
      </w:r>
      <w:r>
        <w:rPr>
          <w:rFonts w:hint="eastAsia" w:ascii="仿宋_GB2312" w:eastAsia="仿宋_GB2312" w:cstheme="minorBidi"/>
          <w:kern w:val="2"/>
          <w:sz w:val="32"/>
          <w:szCs w:val="32"/>
          <w:lang w:bidi="ar-SA"/>
        </w:rPr>
        <w:t>95</w:t>
      </w:r>
      <w:r>
        <w:rPr>
          <w:rFonts w:ascii="仿宋_GB2312" w:eastAsia="仿宋_GB2312" w:cstheme="minorBidi"/>
          <w:kern w:val="2"/>
          <w:sz w:val="32"/>
          <w:szCs w:val="32"/>
          <w:lang w:bidi="ar-SA"/>
        </w:rPr>
        <w:t>%。</w:t>
      </w:r>
      <w:r>
        <w:rPr>
          <w:rFonts w:hint="eastAsia" w:ascii="仿宋_GB2312" w:eastAsia="仿宋_GB2312" w:cstheme="minorBidi"/>
          <w:kern w:val="2"/>
          <w:sz w:val="32"/>
          <w:szCs w:val="32"/>
          <w:lang w:bidi="ar-SA"/>
        </w:rPr>
        <w:t>三是技术技能人才培养。养了519名毕业生，就业毕业生中有60.23%在本地就业，为区域产业行业输送了一批急缺型的技术技能人才，接收毕业生企业满意率为93.21%。</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rPr>
        <w:t>1.</w:t>
      </w:r>
      <w:r>
        <w:rPr>
          <w:rFonts w:hint="eastAsia" w:ascii="仿宋_GB2312" w:hAnsi="宋体" w:eastAsia="仿宋_GB2312"/>
          <w:sz w:val="32"/>
          <w:szCs w:val="32"/>
          <w:lang w:val="zh-CN"/>
        </w:rPr>
        <w:t>从社会效益来看：促进教师行业快速发展，提升教师教学整体能力水平；激发学生学习积极性，促进个人能力充分发展，教育教学质量提高。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rPr>
        <w:t>2.</w:t>
      </w:r>
      <w:r>
        <w:rPr>
          <w:rFonts w:hint="eastAsia" w:ascii="仿宋_GB2312" w:hAnsi="宋体" w:eastAsia="仿宋_GB2312"/>
          <w:sz w:val="32"/>
          <w:szCs w:val="32"/>
          <w:lang w:val="zh-CN"/>
        </w:rPr>
        <w:t>从社会满意度来看：教学工作稳定有序推进，学生及家长满意率达98%。</w:t>
      </w:r>
    </w:p>
    <w:p>
      <w:pPr>
        <w:adjustRightInd w:val="0"/>
        <w:snapToGrid w:val="0"/>
        <w:spacing w:line="600" w:lineRule="exact"/>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该项目提升了教师教学能力水平，激发了学生学习的积极性，增强了学校吸引力。</w:t>
      </w:r>
    </w:p>
    <w:p>
      <w:pPr>
        <w:adjustRightInd w:val="0"/>
        <w:snapToGrid w:val="0"/>
        <w:spacing w:line="600" w:lineRule="exact"/>
        <w:ind w:firstLine="642" w:firstLineChars="200"/>
        <w:rPr>
          <w:rFonts w:ascii="仿宋_GB2312" w:hAnsi="宋体" w:eastAsia="仿宋_GB2312"/>
          <w:sz w:val="32"/>
          <w:szCs w:val="32"/>
          <w:lang w:val="zh-CN"/>
        </w:rPr>
      </w:pPr>
      <w:r>
        <w:rPr>
          <w:rFonts w:hint="eastAsia" w:ascii="楷体_GB2312" w:hAnsi="宋体" w:eastAsia="楷体_GB2312"/>
          <w:b/>
          <w:sz w:val="32"/>
          <w:szCs w:val="32"/>
          <w:lang w:val="zh-CN"/>
        </w:rPr>
        <w:t>（二）存在的问题。</w:t>
      </w:r>
      <w:r>
        <w:rPr>
          <w:rFonts w:hint="eastAsia" w:ascii="仿宋_GB2312" w:hAnsi="宋体" w:eastAsia="仿宋_GB2312" w:cs="宋体"/>
          <w:color w:val="000000"/>
          <w:kern w:val="0"/>
          <w:sz w:val="32"/>
          <w:szCs w:val="32"/>
          <w:shd w:val="clear" w:color="auto" w:fill="FFFFFF"/>
          <w:lang w:val="zh-CN"/>
        </w:rPr>
        <w:t>学校现代化建设有待进一步加强，教学工作不够完善导致资金使用效益不充分</w:t>
      </w:r>
      <w:r>
        <w:rPr>
          <w:rFonts w:hint="eastAsia" w:ascii="仿宋_GB2312" w:hAnsi="宋体" w:eastAsia="仿宋_GB2312"/>
          <w:sz w:val="32"/>
          <w:szCs w:val="32"/>
          <w:lang w:val="zh-CN"/>
        </w:rPr>
        <w:t>。</w:t>
      </w:r>
    </w:p>
    <w:p>
      <w:pPr>
        <w:adjustRightInd w:val="0"/>
        <w:snapToGrid w:val="0"/>
        <w:spacing w:line="600" w:lineRule="exact"/>
        <w:ind w:firstLine="642" w:firstLineChars="20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r>
        <w:rPr>
          <w:rFonts w:hint="eastAsia" w:ascii="仿宋_GB2312" w:hAnsi="宋体" w:eastAsia="仿宋_GB2312"/>
          <w:sz w:val="32"/>
          <w:szCs w:val="32"/>
          <w:lang w:val="zh-CN"/>
        </w:rPr>
        <w:t>加强学校现代化建设，</w:t>
      </w:r>
      <w:r>
        <w:rPr>
          <w:rFonts w:hint="eastAsia" w:ascii="仿宋_GB2312" w:hAnsi="宋体" w:eastAsia="仿宋_GB2312" w:cs="宋体"/>
          <w:color w:val="000000"/>
          <w:kern w:val="0"/>
          <w:sz w:val="32"/>
          <w:szCs w:val="32"/>
          <w:shd w:val="clear" w:color="auto" w:fill="FFFFFF"/>
          <w:lang w:val="zh-CN"/>
        </w:rPr>
        <w:t>严格遵循“先有预算、 后有支出”原则。细化教学工作经费项目科目，加强预算支出管理。进一步发挥资金的使用效益。</w:t>
      </w:r>
    </w:p>
    <w:p>
      <w:pPr>
        <w:spacing w:line="600" w:lineRule="exact"/>
        <w:outlineLvl w:val="0"/>
        <w:rPr>
          <w:rFonts w:ascii="黑体" w:hAnsi="黑体" w:eastAsia="黑体"/>
          <w:color w:val="000000"/>
          <w:sz w:val="44"/>
          <w:szCs w:val="44"/>
        </w:rPr>
      </w:pPr>
      <w:bookmarkStart w:id="99" w:name="_Toc15396618"/>
    </w:p>
    <w:p>
      <w:pPr>
        <w:spacing w:line="600" w:lineRule="exact"/>
        <w:outlineLvl w:val="0"/>
        <w:rPr>
          <w:rFonts w:ascii="黑体" w:hAnsi="黑体" w:eastAsia="黑体"/>
          <w:color w:val="000000"/>
          <w:sz w:val="44"/>
          <w:szCs w:val="44"/>
        </w:rPr>
      </w:pPr>
    </w:p>
    <w:p>
      <w:pPr>
        <w:spacing w:line="600" w:lineRule="exact"/>
        <w:outlineLvl w:val="0"/>
        <w:rPr>
          <w:rFonts w:ascii="黑体" w:hAnsi="黑体" w:eastAsia="黑体"/>
          <w:color w:val="000000"/>
          <w:sz w:val="44"/>
          <w:szCs w:val="44"/>
        </w:rPr>
      </w:pPr>
    </w:p>
    <w:p/>
    <w:p>
      <w:pPr>
        <w:pStyle w:val="3"/>
        <w:jc w:val="center"/>
        <w:rPr>
          <w:rFonts w:ascii="黑体" w:hAnsi="黑体" w:eastAsia="黑体"/>
          <w:b w:val="0"/>
          <w:bCs w:val="0"/>
        </w:rPr>
      </w:pPr>
      <w:bookmarkStart w:id="100" w:name="_Toc82767853"/>
      <w:bookmarkStart w:id="101" w:name="_Toc82767027"/>
      <w:r>
        <w:rPr>
          <w:rFonts w:hint="eastAsia"/>
          <w:color w:val="000000"/>
        </w:rPr>
        <w:t>第</w:t>
      </w:r>
      <w:r>
        <w:rPr>
          <w:rStyle w:val="15"/>
          <w:rFonts w:hint="eastAsia" w:ascii="黑体" w:hAnsi="黑体" w:eastAsia="黑体"/>
          <w:b w:val="0"/>
          <w:bCs w:val="0"/>
        </w:rPr>
        <w:t>五部分</w:t>
      </w:r>
      <w:r>
        <w:rPr>
          <w:rStyle w:val="15"/>
          <w:rFonts w:ascii="黑体" w:hAnsi="黑体" w:eastAsia="黑体"/>
          <w:b w:val="0"/>
          <w:bCs w:val="0"/>
        </w:rPr>
        <w:t xml:space="preserve"> </w:t>
      </w:r>
      <w:r>
        <w:rPr>
          <w:rStyle w:val="15"/>
          <w:rFonts w:hint="eastAsia" w:ascii="黑体" w:hAnsi="黑体" w:eastAsia="黑体"/>
          <w:b w:val="0"/>
          <w:bCs w:val="0"/>
        </w:rPr>
        <w:t>附表</w:t>
      </w:r>
      <w:bookmarkEnd w:id="99"/>
      <w:bookmarkEnd w:id="100"/>
      <w:bookmarkEnd w:id="101"/>
    </w:p>
    <w:p>
      <w:pPr>
        <w:pStyle w:val="4"/>
        <w:rPr>
          <w:b w:val="0"/>
        </w:rPr>
      </w:pPr>
      <w:bookmarkStart w:id="102" w:name="_Toc15396619"/>
      <w:bookmarkStart w:id="103" w:name="_Toc82767028"/>
      <w:bookmarkStart w:id="104" w:name="_Toc82767854"/>
      <w:r>
        <w:rPr>
          <w:rFonts w:hint="eastAsia"/>
          <w:b w:val="0"/>
        </w:rPr>
        <w:t>一、收</w:t>
      </w:r>
      <w:r>
        <w:rPr>
          <w:rStyle w:val="16"/>
          <w:rFonts w:hint="eastAsia"/>
          <w:b w:val="0"/>
          <w:bCs/>
        </w:rPr>
        <w:t>入支出决算总表</w:t>
      </w:r>
      <w:bookmarkEnd w:id="102"/>
      <w:bookmarkEnd w:id="103"/>
      <w:bookmarkEnd w:id="104"/>
    </w:p>
    <w:p>
      <w:pPr>
        <w:pStyle w:val="4"/>
        <w:rPr>
          <w:b w:val="0"/>
        </w:rPr>
      </w:pPr>
      <w:bookmarkStart w:id="105" w:name="_Toc82767855"/>
      <w:bookmarkStart w:id="106" w:name="_Toc82767029"/>
      <w:bookmarkStart w:id="107" w:name="_Toc15396620"/>
      <w:r>
        <w:rPr>
          <w:rFonts w:hint="eastAsia"/>
          <w:b w:val="0"/>
        </w:rPr>
        <w:t>二、收</w:t>
      </w:r>
      <w:r>
        <w:rPr>
          <w:rStyle w:val="16"/>
          <w:rFonts w:hint="eastAsia"/>
          <w:b w:val="0"/>
          <w:bCs/>
        </w:rPr>
        <w:t>入决算表</w:t>
      </w:r>
      <w:bookmarkEnd w:id="105"/>
      <w:bookmarkEnd w:id="106"/>
      <w:bookmarkEnd w:id="107"/>
    </w:p>
    <w:p>
      <w:pPr>
        <w:pStyle w:val="4"/>
        <w:rPr>
          <w:b w:val="0"/>
        </w:rPr>
      </w:pPr>
      <w:bookmarkStart w:id="108" w:name="_Toc82767030"/>
      <w:bookmarkStart w:id="109" w:name="_Toc82767856"/>
      <w:bookmarkStart w:id="110" w:name="_Toc15396621"/>
      <w:r>
        <w:rPr>
          <w:rStyle w:val="16"/>
          <w:rFonts w:hint="eastAsia"/>
          <w:b w:val="0"/>
          <w:bCs/>
        </w:rPr>
        <w:t>三、</w:t>
      </w:r>
      <w:r>
        <w:rPr>
          <w:rFonts w:hint="eastAsia"/>
          <w:b w:val="0"/>
        </w:rPr>
        <w:t>支</w:t>
      </w:r>
      <w:r>
        <w:rPr>
          <w:rStyle w:val="16"/>
          <w:rFonts w:hint="eastAsia"/>
          <w:b w:val="0"/>
          <w:bCs/>
        </w:rPr>
        <w:t>出决算表</w:t>
      </w:r>
      <w:bookmarkEnd w:id="108"/>
      <w:bookmarkEnd w:id="109"/>
      <w:bookmarkEnd w:id="110"/>
    </w:p>
    <w:p>
      <w:pPr>
        <w:pStyle w:val="4"/>
        <w:rPr>
          <w:b w:val="0"/>
        </w:rPr>
      </w:pPr>
      <w:bookmarkStart w:id="111" w:name="_Toc82767857"/>
      <w:bookmarkStart w:id="112" w:name="_Toc82767031"/>
      <w:bookmarkStart w:id="113" w:name="_Toc15396622"/>
      <w:r>
        <w:rPr>
          <w:rStyle w:val="16"/>
          <w:rFonts w:hint="eastAsia"/>
          <w:b w:val="0"/>
          <w:bCs/>
        </w:rPr>
        <w:t>四、</w:t>
      </w:r>
      <w:r>
        <w:rPr>
          <w:rFonts w:hint="eastAsia"/>
          <w:b w:val="0"/>
        </w:rPr>
        <w:t>财</w:t>
      </w:r>
      <w:r>
        <w:rPr>
          <w:rStyle w:val="16"/>
          <w:rFonts w:hint="eastAsia"/>
          <w:b w:val="0"/>
          <w:bCs/>
        </w:rPr>
        <w:t>政拨款收入支出决算总表</w:t>
      </w:r>
      <w:bookmarkEnd w:id="111"/>
      <w:bookmarkEnd w:id="112"/>
      <w:bookmarkEnd w:id="113"/>
    </w:p>
    <w:p>
      <w:pPr>
        <w:pStyle w:val="4"/>
        <w:rPr>
          <w:rStyle w:val="16"/>
          <w:b w:val="0"/>
          <w:bCs/>
        </w:rPr>
      </w:pPr>
      <w:bookmarkStart w:id="114" w:name="_Toc82767858"/>
      <w:bookmarkStart w:id="115" w:name="_Toc82767032"/>
      <w:bookmarkStart w:id="116" w:name="_Toc15396623"/>
      <w:r>
        <w:rPr>
          <w:rStyle w:val="16"/>
          <w:rFonts w:hint="eastAsia"/>
          <w:b w:val="0"/>
          <w:bCs/>
        </w:rPr>
        <w:t>五、</w:t>
      </w:r>
      <w:r>
        <w:rPr>
          <w:rFonts w:hint="eastAsia"/>
          <w:b w:val="0"/>
        </w:rPr>
        <w:t>财</w:t>
      </w:r>
      <w:r>
        <w:rPr>
          <w:rStyle w:val="16"/>
          <w:rFonts w:hint="eastAsia"/>
          <w:b w:val="0"/>
          <w:bCs/>
        </w:rPr>
        <w:t>政拨款支出决算明细表</w:t>
      </w:r>
      <w:bookmarkEnd w:id="114"/>
      <w:bookmarkEnd w:id="115"/>
      <w:bookmarkEnd w:id="116"/>
      <w:bookmarkStart w:id="117" w:name="_Toc15396624"/>
    </w:p>
    <w:p>
      <w:pPr>
        <w:pStyle w:val="4"/>
        <w:rPr>
          <w:b w:val="0"/>
        </w:rPr>
      </w:pPr>
      <w:bookmarkStart w:id="118" w:name="_Toc82767859"/>
      <w:bookmarkStart w:id="119" w:name="_Toc82767033"/>
      <w:r>
        <w:rPr>
          <w:rStyle w:val="16"/>
          <w:rFonts w:hint="eastAsia"/>
          <w:b w:val="0"/>
          <w:bCs/>
        </w:rPr>
        <w:t>六、</w:t>
      </w:r>
      <w:r>
        <w:rPr>
          <w:rFonts w:hint="eastAsia"/>
          <w:b w:val="0"/>
        </w:rPr>
        <w:t>一</w:t>
      </w:r>
      <w:r>
        <w:rPr>
          <w:rStyle w:val="16"/>
          <w:rFonts w:hint="eastAsia"/>
          <w:b w:val="0"/>
          <w:bCs/>
        </w:rPr>
        <w:t>般公共预算财政拨款支出决算表</w:t>
      </w:r>
      <w:bookmarkEnd w:id="117"/>
      <w:bookmarkEnd w:id="118"/>
      <w:bookmarkEnd w:id="119"/>
    </w:p>
    <w:p>
      <w:pPr>
        <w:pStyle w:val="4"/>
        <w:rPr>
          <w:b w:val="0"/>
        </w:rPr>
      </w:pPr>
      <w:bookmarkStart w:id="120" w:name="_Toc82767860"/>
      <w:bookmarkStart w:id="121" w:name="_Toc82767034"/>
      <w:bookmarkStart w:id="122" w:name="_Toc15396625"/>
      <w:r>
        <w:rPr>
          <w:rStyle w:val="16"/>
          <w:rFonts w:hint="eastAsia"/>
          <w:b w:val="0"/>
          <w:bCs/>
        </w:rPr>
        <w:t>七、</w:t>
      </w:r>
      <w:r>
        <w:rPr>
          <w:rFonts w:hint="eastAsia"/>
          <w:b w:val="0"/>
        </w:rPr>
        <w:t>一</w:t>
      </w:r>
      <w:r>
        <w:rPr>
          <w:rStyle w:val="16"/>
          <w:rFonts w:hint="eastAsia"/>
          <w:b w:val="0"/>
          <w:bCs/>
        </w:rPr>
        <w:t>般公共预算财政拨款支出决算明细表</w:t>
      </w:r>
      <w:bookmarkEnd w:id="120"/>
      <w:bookmarkEnd w:id="121"/>
      <w:bookmarkEnd w:id="122"/>
    </w:p>
    <w:p>
      <w:pPr>
        <w:pStyle w:val="4"/>
        <w:rPr>
          <w:b w:val="0"/>
        </w:rPr>
      </w:pPr>
      <w:bookmarkStart w:id="123" w:name="_Toc15396626"/>
      <w:bookmarkStart w:id="124" w:name="_Toc82767035"/>
      <w:bookmarkStart w:id="125" w:name="_Toc82767861"/>
      <w:r>
        <w:rPr>
          <w:rStyle w:val="16"/>
          <w:rFonts w:hint="eastAsia"/>
          <w:b w:val="0"/>
          <w:bCs/>
        </w:rPr>
        <w:t>八、</w:t>
      </w:r>
      <w:r>
        <w:rPr>
          <w:rFonts w:hint="eastAsia"/>
          <w:b w:val="0"/>
        </w:rPr>
        <w:t>一</w:t>
      </w:r>
      <w:r>
        <w:rPr>
          <w:rStyle w:val="16"/>
          <w:rFonts w:hint="eastAsia"/>
          <w:b w:val="0"/>
          <w:bCs/>
        </w:rPr>
        <w:t>般公共预算财政拨款基本支出决算表</w:t>
      </w:r>
      <w:bookmarkEnd w:id="123"/>
      <w:bookmarkEnd w:id="124"/>
      <w:bookmarkEnd w:id="125"/>
    </w:p>
    <w:p>
      <w:pPr>
        <w:pStyle w:val="4"/>
        <w:rPr>
          <w:b w:val="0"/>
        </w:rPr>
      </w:pPr>
      <w:bookmarkStart w:id="126" w:name="_Toc15396627"/>
      <w:bookmarkStart w:id="127" w:name="_Toc82767862"/>
      <w:bookmarkStart w:id="128" w:name="_Toc82767036"/>
      <w:r>
        <w:rPr>
          <w:rStyle w:val="16"/>
          <w:rFonts w:hint="eastAsia"/>
          <w:b w:val="0"/>
          <w:bCs/>
        </w:rPr>
        <w:t>九、</w:t>
      </w:r>
      <w:r>
        <w:rPr>
          <w:rFonts w:hint="eastAsia"/>
          <w:b w:val="0"/>
        </w:rPr>
        <w:t>一</w:t>
      </w:r>
      <w:r>
        <w:rPr>
          <w:rStyle w:val="16"/>
          <w:rFonts w:hint="eastAsia"/>
          <w:b w:val="0"/>
          <w:bCs/>
        </w:rPr>
        <w:t>般公共预算财政拨款项目支出决算表</w:t>
      </w:r>
      <w:bookmarkEnd w:id="126"/>
      <w:bookmarkEnd w:id="127"/>
      <w:bookmarkEnd w:id="128"/>
    </w:p>
    <w:p>
      <w:pPr>
        <w:pStyle w:val="4"/>
        <w:rPr>
          <w:b w:val="0"/>
        </w:rPr>
      </w:pPr>
      <w:bookmarkStart w:id="129" w:name="_Toc82767037"/>
      <w:bookmarkStart w:id="130" w:name="_Toc82767863"/>
      <w:bookmarkStart w:id="131" w:name="_Toc15396628"/>
      <w:r>
        <w:rPr>
          <w:rStyle w:val="16"/>
          <w:rFonts w:hint="eastAsia"/>
          <w:b w:val="0"/>
          <w:bCs/>
        </w:rPr>
        <w:t>十、</w:t>
      </w:r>
      <w:r>
        <w:rPr>
          <w:rFonts w:hint="eastAsia"/>
          <w:b w:val="0"/>
        </w:rPr>
        <w:t>一</w:t>
      </w:r>
      <w:r>
        <w:rPr>
          <w:rStyle w:val="16"/>
          <w:rFonts w:hint="eastAsia"/>
          <w:b w:val="0"/>
          <w:bCs/>
        </w:rPr>
        <w:t>般公共预算财政拨款“三公”经费支出决算表</w:t>
      </w:r>
      <w:bookmarkEnd w:id="129"/>
      <w:bookmarkEnd w:id="130"/>
      <w:bookmarkEnd w:id="131"/>
    </w:p>
    <w:p>
      <w:pPr>
        <w:pStyle w:val="4"/>
        <w:rPr>
          <w:b w:val="0"/>
        </w:rPr>
      </w:pPr>
      <w:bookmarkStart w:id="132" w:name="_Toc15396629"/>
      <w:bookmarkStart w:id="133" w:name="_Toc82767864"/>
      <w:bookmarkStart w:id="134" w:name="_Toc82767038"/>
      <w:r>
        <w:rPr>
          <w:rStyle w:val="16"/>
          <w:rFonts w:hint="eastAsia"/>
          <w:b w:val="0"/>
          <w:bCs/>
        </w:rPr>
        <w:t>十一、</w:t>
      </w:r>
      <w:r>
        <w:rPr>
          <w:rFonts w:hint="eastAsia"/>
          <w:b w:val="0"/>
        </w:rPr>
        <w:t>政</w:t>
      </w:r>
      <w:r>
        <w:rPr>
          <w:rStyle w:val="16"/>
          <w:rFonts w:hint="eastAsia"/>
          <w:b w:val="0"/>
          <w:bCs/>
        </w:rPr>
        <w:t>府性基金预算财政拨款收入支出决算表</w:t>
      </w:r>
      <w:bookmarkEnd w:id="132"/>
      <w:bookmarkEnd w:id="133"/>
      <w:bookmarkEnd w:id="134"/>
    </w:p>
    <w:p>
      <w:pPr>
        <w:pStyle w:val="4"/>
        <w:rPr>
          <w:b w:val="0"/>
        </w:rPr>
      </w:pPr>
      <w:bookmarkStart w:id="135" w:name="_Toc15396630"/>
      <w:bookmarkStart w:id="136" w:name="_Toc82767039"/>
      <w:bookmarkStart w:id="137" w:name="_Toc82767865"/>
      <w:r>
        <w:rPr>
          <w:rStyle w:val="16"/>
          <w:rFonts w:hint="eastAsia"/>
          <w:b w:val="0"/>
          <w:bCs/>
        </w:rPr>
        <w:t>十二、</w:t>
      </w:r>
      <w:r>
        <w:rPr>
          <w:rFonts w:hint="eastAsia"/>
          <w:b w:val="0"/>
        </w:rPr>
        <w:t>政</w:t>
      </w:r>
      <w:r>
        <w:rPr>
          <w:rStyle w:val="16"/>
          <w:rFonts w:hint="eastAsia"/>
          <w:b w:val="0"/>
          <w:bCs/>
        </w:rPr>
        <w:t>府性基金预算财政拨款“三公”经费支出决算表</w:t>
      </w:r>
      <w:bookmarkEnd w:id="135"/>
      <w:bookmarkEnd w:id="136"/>
      <w:bookmarkEnd w:id="137"/>
    </w:p>
    <w:p>
      <w:pPr>
        <w:pStyle w:val="4"/>
        <w:rPr>
          <w:b w:val="0"/>
          <w:color w:val="000000"/>
        </w:rPr>
      </w:pPr>
      <w:bookmarkStart w:id="138" w:name="_Toc82767040"/>
      <w:bookmarkStart w:id="139" w:name="_Toc15396631"/>
      <w:bookmarkStart w:id="140" w:name="_Toc82767866"/>
      <w:r>
        <w:rPr>
          <w:rStyle w:val="16"/>
          <w:rFonts w:hint="eastAsia"/>
          <w:b w:val="0"/>
          <w:bCs/>
        </w:rPr>
        <w:t>十三、</w:t>
      </w:r>
      <w:r>
        <w:rPr>
          <w:rFonts w:hint="eastAsia"/>
          <w:b w:val="0"/>
        </w:rPr>
        <w:t>国</w:t>
      </w:r>
      <w:r>
        <w:rPr>
          <w:rStyle w:val="16"/>
          <w:rFonts w:hint="eastAsia"/>
          <w:b w:val="0"/>
          <w:bCs/>
        </w:rPr>
        <w:t>有资本经营预算财政拨款支出决算表</w:t>
      </w:r>
      <w:bookmarkEnd w:id="138"/>
      <w:bookmarkEnd w:id="139"/>
      <w:bookmarkEnd w:id="140"/>
    </w:p>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方正小标宋简体">
    <w:altName w:val="方正小标宋_GBK"/>
    <w:panose1 w:val="00000000000000000000"/>
    <w:charset w:val="86"/>
    <w:family w:val="script"/>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仿宋_GBK">
    <w:panose1 w:val="02000000000000000000"/>
    <w:charset w:val="86"/>
    <w:family w:val="auto"/>
    <w:pitch w:val="default"/>
    <w:sig w:usb0="A00002BF" w:usb1="38CF7CFA" w:usb2="00082016" w:usb3="00000000" w:csb0="00040001" w:csb1="00000000"/>
  </w:font>
  <w:font w:name="Noto Sans Syriac Eastern">
    <w:panose1 w:val="02040503050306020203"/>
    <w:charset w:val="86"/>
    <w:family w:val="auto"/>
    <w:pitch w:val="default"/>
    <w:sig w:usb0="00000000" w:usb1="00000000" w:usb2="00000080" w:usb3="00000000" w:csb0="203E0161" w:csb1="D7FF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3756925"/>
    </w:sdtPr>
    <w:sdtContent>
      <w:p>
        <w:pPr>
          <w:pStyle w:val="8"/>
          <w:jc w:val="center"/>
        </w:pPr>
        <w:r>
          <w:fldChar w:fldCharType="begin"/>
        </w:r>
        <w:r>
          <w:instrText xml:space="preserve">PAGE   \* MERGEFORMAT</w:instrText>
        </w:r>
        <w:r>
          <w:fldChar w:fldCharType="separate"/>
        </w:r>
        <w:r>
          <w:rPr>
            <w:lang w:val="zh-CN"/>
          </w:rPr>
          <w:t>12</w:t>
        </w:r>
        <w: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9IkRNFQIAABsEAAAOAAAAAAAAAAEAIAAAADU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1</w:t>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1YmVmOWNiMDk2MjlhNGE5NjEwODMwYmUzYWIzZjMifQ=="/>
  </w:docVars>
  <w:rsids>
    <w:rsidRoot w:val="009232AF"/>
    <w:rsid w:val="00037F14"/>
    <w:rsid w:val="00064593"/>
    <w:rsid w:val="001028E6"/>
    <w:rsid w:val="001375DB"/>
    <w:rsid w:val="001D426E"/>
    <w:rsid w:val="001E4B98"/>
    <w:rsid w:val="002319B5"/>
    <w:rsid w:val="00237731"/>
    <w:rsid w:val="00252EA5"/>
    <w:rsid w:val="002A3E5E"/>
    <w:rsid w:val="002C7C67"/>
    <w:rsid w:val="002F2FC4"/>
    <w:rsid w:val="0033239F"/>
    <w:rsid w:val="0035181E"/>
    <w:rsid w:val="003735FB"/>
    <w:rsid w:val="00453F1A"/>
    <w:rsid w:val="004E2F1C"/>
    <w:rsid w:val="00503466"/>
    <w:rsid w:val="00527C4E"/>
    <w:rsid w:val="0054196E"/>
    <w:rsid w:val="00560D50"/>
    <w:rsid w:val="00586C78"/>
    <w:rsid w:val="00597116"/>
    <w:rsid w:val="005D4610"/>
    <w:rsid w:val="006D5913"/>
    <w:rsid w:val="006E3805"/>
    <w:rsid w:val="006E798B"/>
    <w:rsid w:val="006F73FB"/>
    <w:rsid w:val="007217CE"/>
    <w:rsid w:val="007274E6"/>
    <w:rsid w:val="00793883"/>
    <w:rsid w:val="007F5B5E"/>
    <w:rsid w:val="008530AE"/>
    <w:rsid w:val="008540DA"/>
    <w:rsid w:val="00864041"/>
    <w:rsid w:val="0087366C"/>
    <w:rsid w:val="0089423D"/>
    <w:rsid w:val="008A0574"/>
    <w:rsid w:val="008B3739"/>
    <w:rsid w:val="008C13B1"/>
    <w:rsid w:val="008D4A26"/>
    <w:rsid w:val="008E1418"/>
    <w:rsid w:val="008E6037"/>
    <w:rsid w:val="008F4BD9"/>
    <w:rsid w:val="009232AF"/>
    <w:rsid w:val="009551E1"/>
    <w:rsid w:val="00A06C2C"/>
    <w:rsid w:val="00A27F4C"/>
    <w:rsid w:val="00A44C73"/>
    <w:rsid w:val="00A53EF6"/>
    <w:rsid w:val="00A651D4"/>
    <w:rsid w:val="00AF5119"/>
    <w:rsid w:val="00B30906"/>
    <w:rsid w:val="00B73781"/>
    <w:rsid w:val="00BC6AEE"/>
    <w:rsid w:val="00BD7932"/>
    <w:rsid w:val="00BE36FC"/>
    <w:rsid w:val="00C1676E"/>
    <w:rsid w:val="00C337A1"/>
    <w:rsid w:val="00C741DD"/>
    <w:rsid w:val="00D362E7"/>
    <w:rsid w:val="00E058B9"/>
    <w:rsid w:val="00E31C03"/>
    <w:rsid w:val="00E618FF"/>
    <w:rsid w:val="00EC6FA5"/>
    <w:rsid w:val="00F34970"/>
    <w:rsid w:val="00F72CAC"/>
    <w:rsid w:val="00F75DA5"/>
    <w:rsid w:val="00FB2506"/>
    <w:rsid w:val="00FC0553"/>
    <w:rsid w:val="00FC4455"/>
    <w:rsid w:val="00FD678A"/>
    <w:rsid w:val="00FF1CEA"/>
    <w:rsid w:val="014A00A3"/>
    <w:rsid w:val="06D20B7E"/>
    <w:rsid w:val="0A1C5991"/>
    <w:rsid w:val="0A74019B"/>
    <w:rsid w:val="0EC1481E"/>
    <w:rsid w:val="115E53E2"/>
    <w:rsid w:val="163C251D"/>
    <w:rsid w:val="16590917"/>
    <w:rsid w:val="1A7939D5"/>
    <w:rsid w:val="1A8166AD"/>
    <w:rsid w:val="24BE6431"/>
    <w:rsid w:val="29D64F3F"/>
    <w:rsid w:val="2AFC2273"/>
    <w:rsid w:val="2DB154C5"/>
    <w:rsid w:val="2F07009D"/>
    <w:rsid w:val="32CC6289"/>
    <w:rsid w:val="381B129A"/>
    <w:rsid w:val="3B716FAF"/>
    <w:rsid w:val="3B7233C5"/>
    <w:rsid w:val="4056731D"/>
    <w:rsid w:val="41B6105C"/>
    <w:rsid w:val="446A2AAE"/>
    <w:rsid w:val="462E473E"/>
    <w:rsid w:val="464A47AE"/>
    <w:rsid w:val="480E0A69"/>
    <w:rsid w:val="4B032CF1"/>
    <w:rsid w:val="4E321ABD"/>
    <w:rsid w:val="4EA43A92"/>
    <w:rsid w:val="5EE04132"/>
    <w:rsid w:val="62197B7E"/>
    <w:rsid w:val="683A7C00"/>
    <w:rsid w:val="6FDA25C8"/>
    <w:rsid w:val="71B9120E"/>
    <w:rsid w:val="71D653E8"/>
    <w:rsid w:val="72794FC1"/>
    <w:rsid w:val="7FC73CBF"/>
    <w:rsid w:val="EFFFF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5"/>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16"/>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w:basedOn w:val="1"/>
    <w:link w:val="24"/>
    <w:qFormat/>
    <w:uiPriority w:val="1"/>
    <w:pPr>
      <w:autoSpaceDE w:val="0"/>
      <w:autoSpaceDN w:val="0"/>
      <w:jc w:val="left"/>
    </w:pPr>
    <w:rPr>
      <w:rFonts w:ascii="宋体" w:hAnsi="宋体" w:eastAsia="宋体" w:cs="宋体"/>
      <w:kern w:val="0"/>
      <w:sz w:val="28"/>
      <w:szCs w:val="28"/>
      <w:lang w:val="zh-CN" w:bidi="zh-CN"/>
    </w:rPr>
  </w:style>
  <w:style w:type="paragraph" w:styleId="6">
    <w:name w:val="toc 3"/>
    <w:basedOn w:val="1"/>
    <w:next w:val="1"/>
    <w:unhideWhenUsed/>
    <w:qFormat/>
    <w:uiPriority w:val="39"/>
    <w:pPr>
      <w:ind w:left="840" w:leftChars="400"/>
    </w:pPr>
  </w:style>
  <w:style w:type="paragraph" w:styleId="7">
    <w:name w:val="Balloon Text"/>
    <w:basedOn w:val="1"/>
    <w:link w:val="18"/>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toc 1"/>
    <w:basedOn w:val="1"/>
    <w:next w:val="1"/>
    <w:unhideWhenUsed/>
    <w:qFormat/>
    <w:uiPriority w:val="39"/>
    <w:pPr>
      <w:tabs>
        <w:tab w:val="right" w:leader="dot" w:pos="8296"/>
      </w:tabs>
      <w:jc w:val="center"/>
    </w:pPr>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customStyle="1" w:styleId="15">
    <w:name w:val="标题 1 字符"/>
    <w:basedOn w:val="13"/>
    <w:link w:val="3"/>
    <w:qFormat/>
    <w:uiPriority w:val="9"/>
    <w:rPr>
      <w:rFonts w:ascii="Times New Roman" w:hAnsi="Times New Roman" w:eastAsia="宋体" w:cs="Times New Roman"/>
      <w:b/>
      <w:bCs/>
      <w:kern w:val="44"/>
      <w:sz w:val="44"/>
      <w:szCs w:val="44"/>
    </w:rPr>
  </w:style>
  <w:style w:type="character" w:customStyle="1" w:styleId="16">
    <w:name w:val="标题 2 字符"/>
    <w:basedOn w:val="13"/>
    <w:link w:val="4"/>
    <w:qFormat/>
    <w:uiPriority w:val="9"/>
    <w:rPr>
      <w:rFonts w:ascii="Cambria" w:hAnsi="Cambria" w:eastAsia="宋体" w:cs="Times New Roman"/>
      <w:b/>
      <w:bCs/>
      <w:sz w:val="32"/>
      <w:szCs w:val="32"/>
    </w:rPr>
  </w:style>
  <w:style w:type="paragraph" w:styleId="17">
    <w:name w:val="List Paragraph"/>
    <w:basedOn w:val="1"/>
    <w:unhideWhenUsed/>
    <w:qFormat/>
    <w:uiPriority w:val="99"/>
    <w:pPr>
      <w:ind w:firstLine="420" w:firstLineChars="200"/>
    </w:pPr>
    <w:rPr>
      <w:rFonts w:ascii="Times New Roman" w:hAnsi="Times New Roman" w:eastAsia="宋体" w:cs="Times New Roman"/>
      <w:szCs w:val="24"/>
    </w:rPr>
  </w:style>
  <w:style w:type="character" w:customStyle="1" w:styleId="18">
    <w:name w:val="批注框文本 字符"/>
    <w:basedOn w:val="13"/>
    <w:link w:val="7"/>
    <w:semiHidden/>
    <w:qFormat/>
    <w:uiPriority w:val="99"/>
    <w:rPr>
      <w:sz w:val="18"/>
      <w:szCs w:val="18"/>
    </w:rPr>
  </w:style>
  <w:style w:type="character" w:customStyle="1" w:styleId="19">
    <w:name w:val="页眉 字符"/>
    <w:basedOn w:val="13"/>
    <w:link w:val="2"/>
    <w:qFormat/>
    <w:uiPriority w:val="99"/>
    <w:rPr>
      <w:sz w:val="18"/>
      <w:szCs w:val="18"/>
    </w:rPr>
  </w:style>
  <w:style w:type="character" w:customStyle="1" w:styleId="20">
    <w:name w:val="页脚 字符"/>
    <w:basedOn w:val="13"/>
    <w:link w:val="8"/>
    <w:qFormat/>
    <w:uiPriority w:val="99"/>
    <w:rPr>
      <w:sz w:val="18"/>
      <w:szCs w:val="18"/>
    </w:rPr>
  </w:style>
  <w:style w:type="paragraph" w:customStyle="1" w:styleId="21">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22">
    <w:name w:val="No Spacing"/>
    <w:link w:val="23"/>
    <w:qFormat/>
    <w:uiPriority w:val="1"/>
    <w:rPr>
      <w:rFonts w:asciiTheme="minorHAnsi" w:hAnsiTheme="minorHAnsi" w:eastAsiaTheme="minorEastAsia" w:cstheme="minorBidi"/>
      <w:sz w:val="22"/>
      <w:szCs w:val="22"/>
      <w:lang w:val="en-US" w:eastAsia="zh-CN" w:bidi="ar-SA"/>
    </w:rPr>
  </w:style>
  <w:style w:type="character" w:customStyle="1" w:styleId="23">
    <w:name w:val="无间隔 字符"/>
    <w:basedOn w:val="13"/>
    <w:link w:val="22"/>
    <w:qFormat/>
    <w:uiPriority w:val="1"/>
    <w:rPr>
      <w:kern w:val="0"/>
      <w:sz w:val="22"/>
    </w:rPr>
  </w:style>
  <w:style w:type="character" w:customStyle="1" w:styleId="24">
    <w:name w:val="正文文本 字符"/>
    <w:basedOn w:val="13"/>
    <w:link w:val="5"/>
    <w:qFormat/>
    <w:uiPriority w:val="1"/>
    <w:rPr>
      <w:rFonts w:ascii="宋体" w:hAnsi="宋体" w:eastAsia="宋体" w:cs="宋体"/>
      <w:sz w:val="28"/>
      <w:szCs w:val="2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enovo\Desktop\&#25945;&#31185;&#25991;&#31185;&#65288;&#23450;&#6528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收、支决算总计变动情况图</a:t>
            </a:r>
            <a:endParaRPr lang="zh-CN" altLang="en-US" b="1">
              <a:solidFill>
                <a:sysClr val="windowText" lastClr="000000"/>
              </a:solidFill>
            </a:endParaRPr>
          </a:p>
        </c:rich>
      </c:tx>
      <c:layout>
        <c:manualLayout>
          <c:xMode val="edge"/>
          <c:yMode val="edge"/>
          <c:x val="0.279027777777778"/>
          <c:y val="0.0347222222222222"/>
        </c:manualLayout>
      </c:layout>
      <c:overlay val="false"/>
      <c:spPr>
        <a:noFill/>
        <a:ln>
          <a:noFill/>
        </a:ln>
        <a:effectLst/>
      </c:spPr>
    </c:title>
    <c:autoTitleDeleted val="false"/>
    <c:plotArea>
      <c:layout/>
      <c:barChart>
        <c:barDir val="col"/>
        <c:grouping val="clustered"/>
        <c:varyColors val="false"/>
        <c:ser>
          <c:idx val="0"/>
          <c:order val="0"/>
          <c:tx>
            <c:strRef>
              <c:f>'[教科文科（定）.xls]Sheet1'!$D$2</c:f>
              <c:strCache>
                <c:ptCount val="1"/>
                <c:pt idx="0">
                  <c:v>2020年度</c:v>
                </c:pt>
              </c:strCache>
            </c:strRef>
          </c:tx>
          <c:spPr>
            <a:solidFill>
              <a:srgbClr val="4F81BD"/>
            </a:solidFill>
            <a:ln>
              <a:noFill/>
            </a:ln>
            <a:effectLst/>
          </c:spPr>
          <c:invertIfNegative val="false"/>
          <c:dLbls>
            <c:delete val="true"/>
          </c:dLbls>
          <c:cat>
            <c:strRef>
              <c:f>'[教科文科（定）.xls]Sheet1'!$E$1:$F$1</c:f>
              <c:strCache>
                <c:ptCount val="2"/>
                <c:pt idx="0">
                  <c:v>收入</c:v>
                </c:pt>
                <c:pt idx="1">
                  <c:v>支出</c:v>
                </c:pt>
              </c:strCache>
            </c:strRef>
          </c:cat>
          <c:val>
            <c:numRef>
              <c:f>'[教科文科（定）.xls]Sheet1'!$E$2:$F$2</c:f>
              <c:numCache>
                <c:formatCode>General</c:formatCode>
                <c:ptCount val="2"/>
                <c:pt idx="0">
                  <c:v>5883.96</c:v>
                </c:pt>
                <c:pt idx="1">
                  <c:v>5883.96</c:v>
                </c:pt>
              </c:numCache>
            </c:numRef>
          </c:val>
        </c:ser>
        <c:ser>
          <c:idx val="1"/>
          <c:order val="1"/>
          <c:tx>
            <c:strRef>
              <c:f>'[教科文科（定）.xls]Sheet1'!$D$3</c:f>
              <c:strCache>
                <c:ptCount val="1"/>
                <c:pt idx="0">
                  <c:v>2019年度</c:v>
                </c:pt>
              </c:strCache>
            </c:strRef>
          </c:tx>
          <c:spPr>
            <a:solidFill>
              <a:srgbClr val="C0504D"/>
            </a:solidFill>
            <a:ln>
              <a:noFill/>
            </a:ln>
            <a:effectLst/>
          </c:spPr>
          <c:invertIfNegative val="false"/>
          <c:dLbls>
            <c:delete val="true"/>
          </c:dLbls>
          <c:cat>
            <c:strRef>
              <c:f>'[教科文科（定）.xls]Sheet1'!$E$1:$F$1</c:f>
              <c:strCache>
                <c:ptCount val="2"/>
                <c:pt idx="0">
                  <c:v>收入</c:v>
                </c:pt>
                <c:pt idx="1">
                  <c:v>支出</c:v>
                </c:pt>
              </c:strCache>
            </c:strRef>
          </c:cat>
          <c:val>
            <c:numRef>
              <c:f>'[教科文科（定）.xls]Sheet1'!$E$3:$F$3</c:f>
              <c:numCache>
                <c:formatCode>General</c:formatCode>
                <c:ptCount val="2"/>
                <c:pt idx="0">
                  <c:v>5040.09</c:v>
                </c:pt>
                <c:pt idx="1">
                  <c:v>5040.09</c:v>
                </c:pt>
              </c:numCache>
            </c:numRef>
          </c:val>
        </c:ser>
        <c:dLbls>
          <c:showLegendKey val="false"/>
          <c:showVal val="false"/>
          <c:showCatName val="false"/>
          <c:showSerName val="false"/>
          <c:showPercent val="false"/>
          <c:showBubbleSize val="false"/>
        </c:dLbls>
        <c:gapWidth val="219"/>
        <c:overlap val="-27"/>
        <c:axId val="38330368"/>
        <c:axId val="38331904"/>
      </c:barChart>
      <c:catAx>
        <c:axId val="38330368"/>
        <c:scaling>
          <c:orientation val="minMax"/>
        </c:scaling>
        <c:delete val="false"/>
        <c:axPos val="b"/>
        <c:numFmt formatCode="General" sourceLinked="false"/>
        <c:majorTickMark val="out"/>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331904"/>
        <c:crosses val="autoZero"/>
        <c:auto val="true"/>
        <c:lblAlgn val="ctr"/>
        <c:lblOffset val="100"/>
        <c:noMultiLvlLbl val="false"/>
      </c:catAx>
      <c:valAx>
        <c:axId val="38331904"/>
        <c:scaling>
          <c:orientation val="minMax"/>
          <c:min val="4000"/>
        </c:scaling>
        <c:delete val="false"/>
        <c:axPos val="l"/>
        <c:majorGridlines>
          <c:spPr>
            <a:ln w="9525" cap="flat" cmpd="sng" algn="ctr">
              <a:solidFill>
                <a:srgbClr val="D9D9D9">
                  <a:lumMod val="15000"/>
                  <a:lumOff val="85000"/>
                </a:srgbClr>
              </a:solidFill>
              <a:prstDash val="solid"/>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rgbClr val="595959">
                        <a:lumMod val="65000"/>
                        <a:lumOff val="35000"/>
                      </a:srgbClr>
                    </a:solidFill>
                    <a:latin typeface="+mn-lt"/>
                    <a:ea typeface="+mn-ea"/>
                    <a:cs typeface="+mn-cs"/>
                  </a:defRPr>
                </a:pPr>
                <a:r>
                  <a:rPr lang="zh-CN" altLang="en-US"/>
                  <a:t>金额（万元）</a:t>
                </a:r>
                <a:endParaRPr lang="zh-CN" altLang="en-US"/>
              </a:p>
            </c:rich>
          </c:tx>
          <c:layout>
            <c:manualLayout>
              <c:xMode val="edge"/>
              <c:yMode val="edge"/>
              <c:x val="0.0305555555555556"/>
              <c:y val="0.352939814814815"/>
            </c:manualLayout>
          </c:layout>
          <c:overlay val="false"/>
          <c:spPr>
            <a:noFill/>
            <a:ln>
              <a:noFill/>
            </a:ln>
            <a:effectLst/>
          </c:spPr>
        </c:title>
        <c:numFmt formatCode="General" sourceLinked="true"/>
        <c:majorTickMark val="out"/>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330368"/>
        <c:crosses val="autoZero"/>
        <c:crossBetween val="between"/>
        <c:majorUnit val="500"/>
        <c:minorUnit val="500"/>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收入决算结构图</a:t>
            </a:r>
            <a:endParaRPr lang="zh-CN" altLang="en-US" b="1">
              <a:solidFill>
                <a:sysClr val="windowText" lastClr="000000"/>
              </a:solidFill>
            </a:endParaRPr>
          </a:p>
        </c:rich>
      </c:tx>
      <c:layout>
        <c:manualLayout>
          <c:xMode val="edge"/>
          <c:yMode val="edge"/>
          <c:x val="0.372213890920914"/>
          <c:y val="0.0107681263460158"/>
        </c:manualLayout>
      </c:layout>
      <c:overlay val="false"/>
      <c:spPr>
        <a:noFill/>
        <a:ln>
          <a:noFill/>
        </a:ln>
        <a:effectLst/>
      </c:spPr>
    </c:title>
    <c:autoTitleDeleted val="false"/>
    <c:plotArea>
      <c:layout/>
      <c:pieChart>
        <c:varyColors val="true"/>
        <c:ser>
          <c:idx val="0"/>
          <c:order val="0"/>
          <c:explosion val="0"/>
          <c:dPt>
            <c:idx val="0"/>
            <c:bubble3D val="false"/>
            <c:spPr>
              <a:solidFill>
                <a:srgbClr val="4F81BD"/>
              </a:solidFill>
              <a:ln w="19050">
                <a:solidFill>
                  <a:srgbClr val="FFFFFF"/>
                </a:solidFill>
              </a:ln>
              <a:effectLst/>
            </c:spPr>
          </c:dPt>
          <c:dPt>
            <c:idx val="1"/>
            <c:bubble3D val="false"/>
            <c:spPr>
              <a:solidFill>
                <a:srgbClr val="C0504D"/>
              </a:solidFill>
              <a:ln w="19050">
                <a:solidFill>
                  <a:srgbClr val="FFFFFF"/>
                </a:solidFill>
              </a:ln>
              <a:effectLst/>
            </c:spPr>
          </c:dPt>
          <c:dPt>
            <c:idx val="2"/>
            <c:bubble3D val="false"/>
            <c:spPr>
              <a:solidFill>
                <a:srgbClr val="9BBB59"/>
              </a:solidFill>
              <a:ln w="19050">
                <a:solidFill>
                  <a:srgbClr val="FFFFFF"/>
                </a:solidFill>
              </a:ln>
              <a:effectLst/>
            </c:spPr>
          </c:dPt>
          <c:dPt>
            <c:idx val="3"/>
            <c:bubble3D val="false"/>
            <c:spPr>
              <a:solidFill>
                <a:srgbClr val="8064A2"/>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'[教科文科（定）.xls]Sheet1'!$A$2:$A$5</c:f>
              <c:strCache>
                <c:ptCount val="4"/>
                <c:pt idx="0">
                  <c:v>一般公共预算财政拨款收入</c:v>
                </c:pt>
                <c:pt idx="1">
                  <c:v>政府性基金预算财政拨款收入</c:v>
                </c:pt>
                <c:pt idx="2">
                  <c:v>事业收入</c:v>
                </c:pt>
                <c:pt idx="3">
                  <c:v>其他收入</c:v>
                </c:pt>
              </c:strCache>
            </c:strRef>
          </c:cat>
          <c:val>
            <c:numRef>
              <c:f>'[教科文科（定）.xls]Sheet1'!$B$2:$B$5</c:f>
              <c:numCache>
                <c:formatCode>0.00%</c:formatCode>
                <c:ptCount val="4"/>
                <c:pt idx="0">
                  <c:v>0.7788</c:v>
                </c:pt>
                <c:pt idx="1">
                  <c:v>0.0011</c:v>
                </c:pt>
                <c:pt idx="2">
                  <c:v>0.1028</c:v>
                </c:pt>
                <c:pt idx="3">
                  <c:v>0.1173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支出决算结构图</a:t>
            </a:r>
            <a:endParaRPr lang="zh-CN" altLang="en-US" b="1">
              <a:solidFill>
                <a:sysClr val="windowText" lastClr="000000"/>
              </a:solidFill>
            </a:endParaRPr>
          </a:p>
        </c:rich>
      </c:tx>
      <c:layout>
        <c:manualLayout>
          <c:xMode val="edge"/>
          <c:yMode val="edge"/>
          <c:x val="0.329027777777778"/>
          <c:y val="0.0173812282734647"/>
        </c:manualLayout>
      </c:layout>
      <c:overlay val="false"/>
      <c:spPr>
        <a:noFill/>
        <a:ln>
          <a:noFill/>
        </a:ln>
        <a:effectLst/>
      </c:spPr>
    </c:title>
    <c:autoTitleDeleted val="false"/>
    <c:plotArea>
      <c:layout/>
      <c:pieChart>
        <c:varyColors val="true"/>
        <c:ser>
          <c:idx val="0"/>
          <c:order val="0"/>
          <c:explosion val="0"/>
          <c:dPt>
            <c:idx val="0"/>
            <c:bubble3D val="false"/>
            <c:spPr>
              <a:solidFill>
                <a:srgbClr val="4F81BD"/>
              </a:solidFill>
              <a:ln w="19050">
                <a:solidFill>
                  <a:srgbClr val="FFFFFF"/>
                </a:solidFill>
              </a:ln>
              <a:effectLst/>
            </c:spPr>
          </c:dPt>
          <c:dPt>
            <c:idx val="1"/>
            <c:bubble3D val="false"/>
            <c:spPr>
              <a:solidFill>
                <a:srgbClr val="C0504D"/>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'[教科文科（定）.xls]Sheet1'!$A$2:$A$3</c:f>
              <c:strCache>
                <c:ptCount val="2"/>
                <c:pt idx="0">
                  <c:v>基本支出</c:v>
                </c:pt>
                <c:pt idx="1">
                  <c:v>项目支出</c:v>
                </c:pt>
              </c:strCache>
            </c:strRef>
          </c:cat>
          <c:val>
            <c:numRef>
              <c:f>'[教科文科（定）.xls]Sheet1'!$B$2:$B$3</c:f>
              <c:numCache>
                <c:formatCode>0.00%</c:formatCode>
                <c:ptCount val="2"/>
                <c:pt idx="0">
                  <c:v>0.5514</c:v>
                </c:pt>
                <c:pt idx="1">
                  <c:v>0.4486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财政拨款收、支决算总计变动情况</a:t>
            </a:r>
            <a:endParaRPr lang="zh-CN" altLang="en-US" b="1">
              <a:solidFill>
                <a:sysClr val="windowText" lastClr="000000"/>
              </a:solidFill>
            </a:endParaRPr>
          </a:p>
        </c:rich>
      </c:tx>
      <c:layout>
        <c:manualLayout>
          <c:xMode val="edge"/>
          <c:yMode val="edge"/>
          <c:x val="0.205277777777778"/>
          <c:y val="0.0277777777777778"/>
        </c:manualLayout>
      </c:layout>
      <c:overlay val="false"/>
      <c:spPr>
        <a:noFill/>
        <a:ln>
          <a:noFill/>
        </a:ln>
        <a:effectLst/>
      </c:spPr>
    </c:title>
    <c:autoTitleDeleted val="false"/>
    <c:plotArea>
      <c:layout/>
      <c:barChart>
        <c:barDir val="col"/>
        <c:grouping val="clustered"/>
        <c:varyColors val="false"/>
        <c:ser>
          <c:idx val="0"/>
          <c:order val="0"/>
          <c:tx>
            <c:strRef>
              <c:f>'[教科文科（定）.xls]Sheet1'!$A$3</c:f>
              <c:strCache>
                <c:ptCount val="1"/>
                <c:pt idx="0">
                  <c:v>2020年</c:v>
                </c:pt>
              </c:strCache>
            </c:strRef>
          </c:tx>
          <c:spPr>
            <a:solidFill>
              <a:srgbClr val="4F81BD"/>
            </a:solidFill>
            <a:ln>
              <a:noFill/>
            </a:ln>
            <a:effectLst/>
          </c:spPr>
          <c:invertIfNegative val="false"/>
          <c:dLbls>
            <c:delete val="true"/>
          </c:dLbls>
          <c:cat>
            <c:strRef>
              <c:f>'[教科文科（定）.xls]Sheet1'!$B$2:$C$2</c:f>
              <c:strCache>
                <c:ptCount val="2"/>
                <c:pt idx="0">
                  <c:v>收入</c:v>
                </c:pt>
                <c:pt idx="1">
                  <c:v>支出</c:v>
                </c:pt>
              </c:strCache>
            </c:strRef>
          </c:cat>
          <c:val>
            <c:numRef>
              <c:f>'[教科文科（定）.xls]Sheet1'!$B$3:$C$3</c:f>
              <c:numCache>
                <c:formatCode>General</c:formatCode>
                <c:ptCount val="2"/>
                <c:pt idx="0">
                  <c:v>4954.46</c:v>
                </c:pt>
                <c:pt idx="1">
                  <c:v>4954.46</c:v>
                </c:pt>
              </c:numCache>
            </c:numRef>
          </c:val>
        </c:ser>
        <c:ser>
          <c:idx val="1"/>
          <c:order val="1"/>
          <c:tx>
            <c:strRef>
              <c:f>'[教科文科（定）.xls]Sheet1'!$A$4</c:f>
              <c:strCache>
                <c:ptCount val="1"/>
                <c:pt idx="0">
                  <c:v>2019年</c:v>
                </c:pt>
              </c:strCache>
            </c:strRef>
          </c:tx>
          <c:spPr>
            <a:solidFill>
              <a:srgbClr val="C0504D"/>
            </a:solidFill>
            <a:ln>
              <a:noFill/>
            </a:ln>
            <a:effectLst/>
          </c:spPr>
          <c:invertIfNegative val="false"/>
          <c:dLbls>
            <c:delete val="true"/>
          </c:dLbls>
          <c:cat>
            <c:strRef>
              <c:f>'[教科文科（定）.xls]Sheet1'!$B$2:$C$2</c:f>
              <c:strCache>
                <c:ptCount val="2"/>
                <c:pt idx="0">
                  <c:v>收入</c:v>
                </c:pt>
                <c:pt idx="1">
                  <c:v>支出</c:v>
                </c:pt>
              </c:strCache>
            </c:strRef>
          </c:cat>
          <c:val>
            <c:numRef>
              <c:f>'[教科文科（定）.xls]Sheet1'!$B$4:$C$4</c:f>
              <c:numCache>
                <c:formatCode>General</c:formatCode>
                <c:ptCount val="2"/>
                <c:pt idx="0">
                  <c:v>4529.4</c:v>
                </c:pt>
                <c:pt idx="1">
                  <c:v>4529.4</c:v>
                </c:pt>
              </c:numCache>
            </c:numRef>
          </c:val>
        </c:ser>
        <c:dLbls>
          <c:showLegendKey val="false"/>
          <c:showVal val="false"/>
          <c:showCatName val="false"/>
          <c:showSerName val="false"/>
          <c:showPercent val="false"/>
          <c:showBubbleSize val="false"/>
        </c:dLbls>
        <c:gapWidth val="219"/>
        <c:overlap val="-27"/>
        <c:axId val="38820480"/>
        <c:axId val="38826368"/>
      </c:barChart>
      <c:catAx>
        <c:axId val="38820480"/>
        <c:scaling>
          <c:orientation val="minMax"/>
        </c:scaling>
        <c:delete val="false"/>
        <c:axPos val="b"/>
        <c:numFmt formatCode="General" sourceLinked="fals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826368"/>
        <c:crosses val="autoZero"/>
        <c:auto val="true"/>
        <c:lblAlgn val="ctr"/>
        <c:lblOffset val="100"/>
        <c:noMultiLvlLbl val="false"/>
      </c:catAx>
      <c:valAx>
        <c:axId val="38826368"/>
        <c:scaling>
          <c:orientation val="minMax"/>
          <c:max val="5000"/>
          <c:min val="4000"/>
        </c:scaling>
        <c:delete val="false"/>
        <c:axPos val="l"/>
        <c:majorGridlines>
          <c:spPr>
            <a:ln w="9525" cap="flat" cmpd="sng" algn="ctr">
              <a:solidFill>
                <a:srgbClr val="D9D9D9">
                  <a:lumMod val="15000"/>
                  <a:lumOff val="85000"/>
                </a:srgb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820480"/>
        <c:crosses val="autoZero"/>
        <c:crossBetween val="between"/>
        <c:majorUnit val="500"/>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一般公共预算财政拨款支出决算变动情况</a:t>
            </a:r>
            <a:endParaRPr lang="zh-CN" altLang="en-US" b="1">
              <a:solidFill>
                <a:sysClr val="windowText" lastClr="000000"/>
              </a:solidFill>
            </a:endParaRPr>
          </a:p>
        </c:rich>
      </c:tx>
      <c:layout/>
      <c:overlay val="false"/>
      <c:spPr>
        <a:noFill/>
        <a:ln>
          <a:noFill/>
        </a:ln>
        <a:effectLst/>
      </c:spPr>
    </c:title>
    <c:autoTitleDeleted val="false"/>
    <c:plotArea>
      <c:layout/>
      <c:barChart>
        <c:barDir val="col"/>
        <c:grouping val="clustered"/>
        <c:varyColors val="false"/>
        <c:ser>
          <c:idx val="0"/>
          <c:order val="0"/>
          <c:tx>
            <c:strRef>
              <c:f>'[教科文科（定）.xls]Sheet1'!$B$2</c:f>
              <c:strCache>
                <c:ptCount val="1"/>
                <c:pt idx="0">
                  <c:v>一般公共预算财政拨款支出</c:v>
                </c:pt>
              </c:strCache>
            </c:strRef>
          </c:tx>
          <c:spPr>
            <a:solidFill>
              <a:srgbClr val="4F81BD"/>
            </a:solidFill>
            <a:ln>
              <a:noFill/>
            </a:ln>
            <a:effectLst/>
          </c:spPr>
          <c:invertIfNegative val="false"/>
          <c:dLbls>
            <c:delete val="true"/>
          </c:dLbls>
          <c:cat>
            <c:strRef>
              <c:f>'[教科文科（定）.xls]Sheet1'!$A$3:$A$4</c:f>
              <c:strCache>
                <c:ptCount val="2"/>
                <c:pt idx="0">
                  <c:v>2020年</c:v>
                </c:pt>
                <c:pt idx="1">
                  <c:v>2019年</c:v>
                </c:pt>
              </c:strCache>
            </c:strRef>
          </c:cat>
          <c:val>
            <c:numRef>
              <c:f>'[教科文科（定）.xls]Sheet1'!$B$3:$B$4</c:f>
              <c:numCache>
                <c:formatCode>General</c:formatCode>
                <c:ptCount val="2"/>
                <c:pt idx="0">
                  <c:v>2735.28</c:v>
                </c:pt>
                <c:pt idx="1">
                  <c:v>3261.69</c:v>
                </c:pt>
              </c:numCache>
            </c:numRef>
          </c:val>
        </c:ser>
        <c:dLbls>
          <c:showLegendKey val="false"/>
          <c:showVal val="false"/>
          <c:showCatName val="false"/>
          <c:showSerName val="false"/>
          <c:showPercent val="false"/>
          <c:showBubbleSize val="false"/>
        </c:dLbls>
        <c:gapWidth val="219"/>
        <c:overlap val="-27"/>
        <c:axId val="38846848"/>
        <c:axId val="38848384"/>
      </c:barChart>
      <c:catAx>
        <c:axId val="38846848"/>
        <c:scaling>
          <c:orientation val="minMax"/>
        </c:scaling>
        <c:delete val="false"/>
        <c:axPos val="b"/>
        <c:numFmt formatCode="General" sourceLinked="fals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848384"/>
        <c:crosses val="autoZero"/>
        <c:auto val="true"/>
        <c:lblAlgn val="ctr"/>
        <c:lblOffset val="100"/>
        <c:noMultiLvlLbl val="false"/>
      </c:catAx>
      <c:valAx>
        <c:axId val="38848384"/>
        <c:scaling>
          <c:orientation val="minMax"/>
          <c:max val="3800"/>
          <c:min val="2000"/>
        </c:scaling>
        <c:delete val="false"/>
        <c:axPos val="l"/>
        <c:majorGridlines>
          <c:spPr>
            <a:ln w="9525" cap="flat" cmpd="sng" algn="ctr">
              <a:solidFill>
                <a:srgbClr val="D9D9D9">
                  <a:lumMod val="15000"/>
                  <a:lumOff val="85000"/>
                </a:srgb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38846848"/>
        <c:crosses val="autoZero"/>
        <c:crossBetween val="between"/>
        <c:majorUnit val="600"/>
      </c:valAx>
      <c:spPr>
        <a:noFill/>
        <a:ln>
          <a:noFill/>
        </a:ln>
        <a:effectLst/>
      </c:spPr>
    </c:plotArea>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rgbClr val="595959">
                    <a:lumMod val="65000"/>
                    <a:lumOff val="35000"/>
                  </a:srgbClr>
                </a:solidFill>
                <a:latin typeface="+mn-lt"/>
                <a:ea typeface="+mn-ea"/>
                <a:cs typeface="+mn-cs"/>
              </a:defRPr>
            </a:pPr>
            <a:r>
              <a:rPr lang="zh-CN" altLang="en-US" b="1">
                <a:solidFill>
                  <a:sysClr val="windowText" lastClr="000000"/>
                </a:solidFill>
              </a:rPr>
              <a:t>一般公共预算财政拨款支出决算结构</a:t>
            </a:r>
            <a:endParaRPr lang="zh-CN" altLang="en-US" b="1">
              <a:solidFill>
                <a:sysClr val="windowText" lastClr="000000"/>
              </a:solidFill>
            </a:endParaRPr>
          </a:p>
        </c:rich>
      </c:tx>
      <c:layout/>
      <c:overlay val="false"/>
      <c:spPr>
        <a:noFill/>
        <a:ln>
          <a:noFill/>
        </a:ln>
        <a:effectLst/>
      </c:spPr>
    </c:title>
    <c:autoTitleDeleted val="false"/>
    <c:plotArea>
      <c:layout/>
      <c:pieChart>
        <c:varyColors val="true"/>
        <c:ser>
          <c:idx val="0"/>
          <c:order val="0"/>
          <c:explosion val="0"/>
          <c:dPt>
            <c:idx val="0"/>
            <c:bubble3D val="false"/>
            <c:spPr>
              <a:solidFill>
                <a:srgbClr val="4F81BD"/>
              </a:solidFill>
              <a:ln w="19050">
                <a:solidFill>
                  <a:srgbClr val="FFFFFF"/>
                </a:solidFill>
              </a:ln>
              <a:effectLst/>
            </c:spPr>
          </c:dPt>
          <c:dPt>
            <c:idx val="1"/>
            <c:bubble3D val="false"/>
            <c:spPr>
              <a:solidFill>
                <a:srgbClr val="C0504D"/>
              </a:solidFill>
              <a:ln w="19050">
                <a:solidFill>
                  <a:srgbClr val="FFFFFF"/>
                </a:solidFill>
              </a:ln>
              <a:effectLst/>
            </c:spPr>
          </c:dPt>
          <c:dPt>
            <c:idx val="2"/>
            <c:bubble3D val="false"/>
            <c:spPr>
              <a:solidFill>
                <a:srgbClr val="9BBB59"/>
              </a:solidFill>
              <a:ln w="19050">
                <a:solidFill>
                  <a:srgbClr val="FFFFFF"/>
                </a:solidFill>
              </a:ln>
              <a:effectLst/>
            </c:spPr>
          </c:dPt>
          <c:dPt>
            <c:idx val="3"/>
            <c:bubble3D val="false"/>
            <c:spPr>
              <a:solidFill>
                <a:srgbClr val="8064A2"/>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prstDash val="solid"/>
                      <a:round/>
                    </a:ln>
                    <a:effectLst/>
                  </c:spPr>
                </c15:leaderLines>
              </c:ext>
            </c:extLst>
          </c:dLbls>
          <c:cat>
            <c:strRef>
              <c:f>'[教科文科（定）.xls]Sheet1'!$A$2:$A$5</c:f>
              <c:strCache>
                <c:ptCount val="4"/>
                <c:pt idx="0">
                  <c:v>教育支出（类）</c:v>
                </c:pt>
                <c:pt idx="1">
                  <c:v>社会保障和就业（类）</c:v>
                </c:pt>
                <c:pt idx="2">
                  <c:v>卫生健康支出（类）</c:v>
                </c:pt>
                <c:pt idx="3">
                  <c:v>住房保障支出（类）</c:v>
                </c:pt>
              </c:strCache>
            </c:strRef>
          </c:cat>
          <c:val>
            <c:numRef>
              <c:f>'[教科文科（定）.xls]Sheet1'!$B$2:$B$5</c:f>
              <c:numCache>
                <c:formatCode>0.00%</c:formatCode>
                <c:ptCount val="4"/>
                <c:pt idx="0">
                  <c:v>0.8335</c:v>
                </c:pt>
                <c:pt idx="1">
                  <c:v>0.0757</c:v>
                </c:pt>
                <c:pt idx="2">
                  <c:v>0.0319</c:v>
                </c:pt>
                <c:pt idx="3">
                  <c:v>0.0589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manualLayout>
          <c:xMode val="edge"/>
          <c:yMode val="edge"/>
          <c:x val="0.643752229072197"/>
          <c:y val="0.208688250457292"/>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12582</Words>
  <Characters>13342</Characters>
  <Lines>111</Lines>
  <Paragraphs>31</Paragraphs>
  <TotalTime>66</TotalTime>
  <ScaleCrop>false</ScaleCrop>
  <LinksUpToDate>false</LinksUpToDate>
  <CharactersWithSpaces>13416</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2021-09-17T09:22:00Z</dcterms:created>
  <dc:creator>LCC</dc:creator>
  <cp:lastModifiedBy>uos</cp:lastModifiedBy>
  <cp:lastPrinted>2022-09-01T12:05:00Z</cp:lastPrinted>
  <dcterms:modified xsi:type="dcterms:W3CDTF">2025-01-07T09:44:07Z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2AE03622814B4E3BA928FCF5969B6730</vt:lpwstr>
  </property>
</Properties>
</file>