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1100"/>
        <w:jc w:val="left"/>
        <w:rPr>
          <w:rFonts w:ascii="微软雅黑" w:hAnsi="微软雅黑" w:eastAsia="微软雅黑" w:cs="微软雅黑"/>
          <w:i w:val="0"/>
          <w:iCs w:val="0"/>
          <w:caps w:val="0"/>
          <w:color w:val="000000"/>
          <w:spacing w:val="0"/>
          <w:sz w:val="21"/>
          <w:szCs w:val="21"/>
        </w:rPr>
      </w:pPr>
      <w:r>
        <w:rPr>
          <w:rFonts w:ascii="方正小标宋简体" w:hAnsi="方正小标宋简体" w:eastAsia="方正小标宋简体" w:cs="方正小标宋简体"/>
          <w:i w:val="0"/>
          <w:iCs w:val="0"/>
          <w:caps w:val="0"/>
          <w:color w:val="000000"/>
          <w:spacing w:val="0"/>
          <w:kern w:val="0"/>
          <w:sz w:val="44"/>
          <w:szCs w:val="44"/>
          <w:bdr w:val="none" w:color="auto" w:sz="0" w:space="0"/>
          <w:shd w:val="clear" w:fill="FFFFFF"/>
          <w:lang w:val="en-US" w:eastAsia="zh-CN" w:bidi="ar"/>
        </w:rPr>
        <w:t>广元市人民防空办公室行政执法</w:t>
      </w:r>
      <w:r>
        <w:rPr>
          <w:rFonts w:hint="eastAsia" w:ascii="方正小标宋简体" w:hAnsi="方正小标宋简体" w:eastAsia="方正小标宋简体" w:cs="方正小标宋简体"/>
          <w:i w:val="0"/>
          <w:iCs w:val="0"/>
          <w:caps w:val="0"/>
          <w:color w:val="000000"/>
          <w:spacing w:val="0"/>
          <w:kern w:val="0"/>
          <w:sz w:val="44"/>
          <w:szCs w:val="44"/>
          <w:bdr w:val="none" w:color="auto" w:sz="0" w:space="0"/>
          <w:shd w:val="clear" w:fill="FFFFFF"/>
          <w:lang w:val="en-US" w:eastAsia="zh-CN" w:bidi="ar"/>
        </w:rPr>
        <w:t>集中公示目录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一、市人防办行政执法主体</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二、市人防办行政执法人员清单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三、市人防办行政执法权力、责任清单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见四川政务服务网、广元市人民政府网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（含行政执法权力及责任事项的权限、职责、服务指南、法定依据、流程图、程序） </w:t>
      </w:r>
      <w:r>
        <w:rPr>
          <w:rFonts w:hint="eastAsia" w:ascii="仿宋_GB2312" w:hAnsi="微软雅黑" w:eastAsia="仿宋_GB2312" w:cs="仿宋_GB2312"/>
          <w:i w:val="0"/>
          <w:iCs w:val="0"/>
          <w:caps w:val="0"/>
          <w:color w:val="000000"/>
          <w:spacing w:val="0"/>
          <w:kern w:val="0"/>
          <w:sz w:val="32"/>
          <w:szCs w:val="32"/>
          <w:u w:val="single"/>
          <w:bdr w:val="none" w:color="auto" w:sz="0" w:space="0"/>
          <w:shd w:val="clear" w:fill="FFFFFF"/>
          <w:lang w:val="en-US" w:eastAsia="zh-CN" w:bidi="ar"/>
        </w:rPr>
        <w:t>超链接：http://rfb.cngy.gov.cn/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四、市人防办重大行政执法审核目录清单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五、市人防办行政执法（监督信息）救济渠道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六、市人防办行政执法自由裁量标准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七、市人防办随机抽查事项清单、市场主体库、2020年抽查计划</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八、市人防办行政执法文书样式、当事人权利义务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九、市人防办上年度双随机抽查结果、行政许可和处罚决定、上年度本机关行政执法数据总体情况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十、市人防办实行行政执法三项制度方案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iCs w:val="0"/>
          <w:caps w:val="0"/>
          <w:color w:val="000000"/>
          <w:spacing w:val="0"/>
          <w:sz w:val="21"/>
          <w:szCs w:val="21"/>
        </w:rPr>
      </w:pPr>
      <w:r>
        <w:rPr>
          <w:rFonts w:hint="eastAsia" w:ascii="方正小标宋简体" w:hAnsi="方正小标宋简体" w:eastAsia="方正小标宋简体" w:cs="方正小标宋简体"/>
          <w:i w:val="0"/>
          <w:iCs w:val="0"/>
          <w:caps w:val="0"/>
          <w:color w:val="000000"/>
          <w:spacing w:val="0"/>
          <w:kern w:val="0"/>
          <w:sz w:val="44"/>
          <w:szCs w:val="44"/>
          <w:bdr w:val="none" w:color="auto" w:sz="0" w:space="0"/>
          <w:shd w:val="clear" w:fill="FFFFFF"/>
          <w:lang w:val="en-US" w:eastAsia="zh-CN" w:bidi="ar"/>
        </w:rPr>
        <w:t>市人防办行政执法集中内容公示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ascii="黑体" w:hAnsi="宋体" w:eastAsia="黑体" w:cs="黑体"/>
          <w:i w:val="0"/>
          <w:iCs w:val="0"/>
          <w:caps w:val="0"/>
          <w:color w:val="000000"/>
          <w:spacing w:val="0"/>
          <w:kern w:val="0"/>
          <w:sz w:val="32"/>
          <w:szCs w:val="32"/>
          <w:bdr w:val="none" w:color="auto" w:sz="0" w:space="0"/>
          <w:shd w:val="clear" w:fill="FFFFFF"/>
          <w:lang w:val="en-US" w:eastAsia="zh-CN" w:bidi="ar"/>
        </w:rPr>
        <w:t>一、广元市人防办行政执法主体</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3"/>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b/>
          <w:bCs/>
          <w:i w:val="0"/>
          <w:iCs w:val="0"/>
          <w:caps w:val="0"/>
          <w:color w:val="000000"/>
          <w:spacing w:val="0"/>
          <w:kern w:val="0"/>
          <w:sz w:val="32"/>
          <w:szCs w:val="32"/>
          <w:bdr w:val="none" w:color="auto" w:sz="0" w:space="0"/>
          <w:shd w:val="clear" w:fill="FFFFFF"/>
          <w:lang w:val="en-US" w:eastAsia="zh-CN" w:bidi="ar"/>
        </w:rPr>
        <w:t>行政执法主体1个</w:t>
      </w: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：广元市人民防空办公室   地址:广元市利州区万缘街道万缘社区12组110号 邮编:628000   电话0839-3315800   传真:0839-3308863</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3"/>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b/>
          <w:bCs/>
          <w:i w:val="0"/>
          <w:iCs w:val="0"/>
          <w:caps w:val="0"/>
          <w:color w:val="000000"/>
          <w:spacing w:val="0"/>
          <w:kern w:val="0"/>
          <w:sz w:val="32"/>
          <w:szCs w:val="32"/>
          <w:bdr w:val="none" w:color="auto" w:sz="0" w:space="0"/>
          <w:shd w:val="clear" w:fill="FFFFFF"/>
          <w:lang w:val="en-US" w:eastAsia="zh-CN" w:bidi="ar"/>
        </w:rPr>
        <w:t>行政执法机构设置1个</w:t>
      </w: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工程建设管理（行政审批）科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主要职责：承担本市人防、民防工程建设的监督管理及相关的行政许可工作及行政执法；会同有关部门编制人防、民防工程建设与城市建设相结合的规划，并组织实施；承担本市人防工程建设的检查验收和备案工作；组织修建人防基本指挥所工程；负责办理人防“结建”工程审批手续和人防易地建设费的收取工作；负责本市人防、民防工程的维护管理和开发利用，参与城市地下空间的安全管理；负责县区人防、民防工程建设质量的监督和管理。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textAlignment w:val="baseline"/>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sz w:val="32"/>
          <w:szCs w:val="32"/>
          <w:bdr w:val="none" w:color="auto" w:sz="0" w:space="0"/>
          <w:shd w:val="clear" w:fill="FFFFFF"/>
          <w:vertAlign w:val="baseline"/>
        </w:rPr>
        <w:t>科室负责人：陈福银  联系电话：3302077 </w:t>
      </w:r>
      <w:r>
        <w:rPr>
          <w:rFonts w:hint="eastAsia" w:ascii="微软雅黑" w:hAnsi="微软雅黑" w:eastAsia="微软雅黑" w:cs="微软雅黑"/>
          <w:i w:val="0"/>
          <w:iCs w:val="0"/>
          <w:caps w:val="0"/>
          <w:color w:val="000000"/>
          <w:spacing w:val="0"/>
          <w:sz w:val="21"/>
          <w:szCs w:val="21"/>
          <w:bdr w:val="none" w:color="auto" w:sz="0" w:space="0"/>
          <w:shd w:val="clear" w:fill="FFFFFF"/>
          <w:vertAlign w:val="baseline"/>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textAlignment w:val="baseline"/>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21"/>
          <w:szCs w:val="21"/>
          <w:bdr w:val="none" w:color="auto" w:sz="0" w:space="0"/>
          <w:shd w:val="clear" w:fill="FFFFFF"/>
          <w:vertAlign w:val="baseline"/>
        </w:rPr>
        <w:t>       </w:t>
      </w:r>
      <w:r>
        <w:rPr>
          <w:rStyle w:val="6"/>
          <w:rFonts w:hint="eastAsia" w:ascii="微软雅黑" w:hAnsi="微软雅黑" w:eastAsia="微软雅黑" w:cs="微软雅黑"/>
          <w:b/>
          <w:bCs/>
          <w:i w:val="0"/>
          <w:iCs w:val="0"/>
          <w:caps w:val="0"/>
          <w:color w:val="000000"/>
          <w:spacing w:val="0"/>
          <w:sz w:val="36"/>
          <w:szCs w:val="36"/>
          <w:bdr w:val="none" w:color="auto" w:sz="0" w:space="0"/>
          <w:shd w:val="clear" w:fill="FFFFFF"/>
          <w:vertAlign w:val="baseline"/>
        </w:rPr>
        <w:t>二、广元市人防办行政执法人员名单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textAlignment w:val="baseline"/>
        <w:rPr>
          <w:rFonts w:hint="eastAsia" w:ascii="微软雅黑" w:hAnsi="微软雅黑" w:eastAsia="微软雅黑" w:cs="微软雅黑"/>
          <w:i w:val="0"/>
          <w:iCs w:val="0"/>
          <w:caps w:val="0"/>
          <w:color w:val="000000"/>
          <w:spacing w:val="0"/>
          <w:sz w:val="21"/>
          <w:szCs w:val="21"/>
        </w:rPr>
      </w:pPr>
      <w:r>
        <w:rPr>
          <w:rStyle w:val="6"/>
          <w:rFonts w:hint="eastAsia" w:ascii="微软雅黑" w:hAnsi="微软雅黑" w:eastAsia="微软雅黑" w:cs="微软雅黑"/>
          <w:b/>
          <w:bCs/>
          <w:i w:val="0"/>
          <w:iCs w:val="0"/>
          <w:caps w:val="0"/>
          <w:color w:val="000000"/>
          <w:spacing w:val="0"/>
          <w:sz w:val="36"/>
          <w:szCs w:val="36"/>
          <w:bdr w:val="none" w:color="auto" w:sz="0" w:space="0"/>
          <w:shd w:val="clear" w:fill="FFFFFF"/>
          <w:vertAlign w:val="baseline"/>
        </w:rPr>
        <w:t>   </w:t>
      </w:r>
      <w:r>
        <w:rPr>
          <w:rStyle w:val="6"/>
          <w:rFonts w:hint="eastAsia" w:ascii="微软雅黑" w:hAnsi="微软雅黑" w:eastAsia="微软雅黑" w:cs="微软雅黑"/>
          <w:b/>
          <w:bCs/>
          <w:i w:val="0"/>
          <w:iCs w:val="0"/>
          <w:caps w:val="0"/>
          <w:color w:val="000000"/>
          <w:spacing w:val="0"/>
          <w:sz w:val="27"/>
          <w:szCs w:val="27"/>
          <w:bdr w:val="none" w:color="auto" w:sz="0" w:space="0"/>
          <w:shd w:val="clear" w:fill="FFFFFF"/>
          <w:vertAlign w:val="baseline"/>
        </w:rPr>
        <w:t>  </w:t>
      </w:r>
      <w:r>
        <w:rPr>
          <w:rFonts w:ascii="仿宋_GB2312" w:hAnsi="仿宋_GB2312" w:eastAsia="仿宋_GB2312" w:cs="仿宋_GB2312"/>
          <w:i w:val="0"/>
          <w:iCs w:val="0"/>
          <w:caps w:val="0"/>
          <w:color w:val="000000"/>
          <w:spacing w:val="0"/>
          <w:sz w:val="27"/>
          <w:szCs w:val="27"/>
          <w:bdr w:val="none" w:color="auto" w:sz="0" w:space="0"/>
          <w:shd w:val="clear" w:fill="FFFFFF"/>
          <w:vertAlign w:val="baseline"/>
        </w:rPr>
        <w:t>李永伟   李千武  李勇  杨正明  陈伟  陈福银  王琪  梁兴军  董德贤  王斌 樊玉峰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textAlignment w:val="baseline"/>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b/>
          <w:bCs/>
          <w:i w:val="0"/>
          <w:iCs w:val="0"/>
          <w:caps w:val="0"/>
          <w:color w:val="000000"/>
          <w:spacing w:val="0"/>
          <w:sz w:val="32"/>
          <w:szCs w:val="32"/>
          <w:bdr w:val="none" w:color="auto" w:sz="0" w:space="0"/>
          <w:shd w:val="clear" w:fill="FFFFFF"/>
          <w:vertAlign w:val="baseline"/>
        </w:rPr>
        <w:t>   </w:t>
      </w:r>
      <w:r>
        <w:rPr>
          <w:rFonts w:hint="eastAsia" w:ascii="黑体" w:hAnsi="宋体" w:eastAsia="黑体" w:cs="黑体"/>
          <w:i w:val="0"/>
          <w:iCs w:val="0"/>
          <w:caps w:val="0"/>
          <w:color w:val="000000"/>
          <w:spacing w:val="0"/>
          <w:sz w:val="32"/>
          <w:szCs w:val="32"/>
          <w:bdr w:val="none" w:color="auto" w:sz="0" w:space="0"/>
          <w:shd w:val="clear" w:fill="FFFFFF"/>
          <w:vertAlign w:val="baseline"/>
        </w:rPr>
        <w:t>三、广元市人防办行政执法权力、责任清单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四川政务服务网、广元市人民政府网（含行政执法权力及责任事项的权限、职责、服务指南、法定依据、流程图、程序）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spacing w:val="0"/>
          <w:kern w:val="0"/>
          <w:sz w:val="21"/>
          <w:szCs w:val="21"/>
          <w:u w:val="none"/>
          <w:bdr w:val="none" w:color="auto" w:sz="0" w:space="0"/>
          <w:shd w:val="clear" w:fill="FFFFFF"/>
          <w:lang w:val="en-US" w:eastAsia="zh-CN" w:bidi="ar"/>
        </w:rPr>
        <w:fldChar w:fldCharType="begin"/>
      </w:r>
      <w:r>
        <w:rPr>
          <w:rFonts w:hint="eastAsia" w:ascii="微软雅黑" w:hAnsi="微软雅黑" w:eastAsia="微软雅黑" w:cs="微软雅黑"/>
          <w:i w:val="0"/>
          <w:iCs w:val="0"/>
          <w:caps w:val="0"/>
          <w:spacing w:val="0"/>
          <w:kern w:val="0"/>
          <w:sz w:val="21"/>
          <w:szCs w:val="21"/>
          <w:u w:val="none"/>
          <w:bdr w:val="none" w:color="auto" w:sz="0" w:space="0"/>
          <w:shd w:val="clear" w:fill="FFFFFF"/>
          <w:lang w:val="en-US" w:eastAsia="zh-CN" w:bidi="ar"/>
        </w:rPr>
        <w:instrText xml:space="preserve"> HYPERLINK "http://www.sczwfw.gov.cn/app/qixianShop/7469?areaId=408" </w:instrText>
      </w:r>
      <w:r>
        <w:rPr>
          <w:rFonts w:hint="eastAsia" w:ascii="微软雅黑" w:hAnsi="微软雅黑" w:eastAsia="微软雅黑" w:cs="微软雅黑"/>
          <w:i w:val="0"/>
          <w:iCs w:val="0"/>
          <w:caps w:val="0"/>
          <w:spacing w:val="0"/>
          <w:kern w:val="0"/>
          <w:sz w:val="21"/>
          <w:szCs w:val="21"/>
          <w:u w:val="none"/>
          <w:bdr w:val="none" w:color="auto" w:sz="0" w:space="0"/>
          <w:shd w:val="clear" w:fill="FFFFFF"/>
          <w:lang w:val="en-US" w:eastAsia="zh-CN" w:bidi="ar"/>
        </w:rPr>
        <w:fldChar w:fldCharType="separate"/>
      </w:r>
      <w:r>
        <w:rPr>
          <w:rStyle w:val="7"/>
          <w:rFonts w:hint="eastAsia" w:ascii="仿宋_GB2312" w:hAnsi="微软雅黑" w:eastAsia="仿宋_GB2312" w:cs="仿宋_GB2312"/>
          <w:i w:val="0"/>
          <w:iCs w:val="0"/>
          <w:caps w:val="0"/>
          <w:spacing w:val="0"/>
          <w:sz w:val="32"/>
          <w:szCs w:val="32"/>
          <w:u w:val="none"/>
          <w:bdr w:val="none" w:color="auto" w:sz="0" w:space="0"/>
          <w:shd w:val="clear" w:fill="FFFFFF"/>
        </w:rPr>
        <w:t>http://www.sczwfw.gov.cn/app/qixianShop/7469?areaId=408</w:t>
      </w:r>
      <w:r>
        <w:rPr>
          <w:rFonts w:hint="eastAsia" w:ascii="微软雅黑" w:hAnsi="微软雅黑" w:eastAsia="微软雅黑" w:cs="微软雅黑"/>
          <w:i w:val="0"/>
          <w:iCs w:val="0"/>
          <w:caps w:val="0"/>
          <w:spacing w:val="0"/>
          <w:kern w:val="0"/>
          <w:sz w:val="21"/>
          <w:szCs w:val="21"/>
          <w:u w:val="none"/>
          <w:bdr w:val="none" w:color="auto" w:sz="0" w:space="0"/>
          <w:shd w:val="clear" w:fill="FFFFFF"/>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http://rfb.cngy.gov.cn/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黑体" w:hAnsi="宋体" w:eastAsia="黑体" w:cs="黑体"/>
          <w:i w:val="0"/>
          <w:iCs w:val="0"/>
          <w:caps w:val="0"/>
          <w:color w:val="000000"/>
          <w:spacing w:val="0"/>
          <w:kern w:val="0"/>
          <w:sz w:val="32"/>
          <w:szCs w:val="32"/>
          <w:bdr w:val="none" w:color="auto" w:sz="0" w:space="0"/>
          <w:shd w:val="clear" w:fill="FFFFFF"/>
          <w:lang w:val="en-US" w:eastAsia="zh-CN" w:bidi="ar"/>
        </w:rPr>
        <w:t>四、广元市人防办重大行政执法审核目录清单（共6项）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3"/>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b/>
          <w:bCs/>
          <w:i w:val="0"/>
          <w:iCs w:val="0"/>
          <w:caps w:val="0"/>
          <w:color w:val="000000"/>
          <w:spacing w:val="0"/>
          <w:kern w:val="0"/>
          <w:sz w:val="32"/>
          <w:szCs w:val="32"/>
          <w:bdr w:val="none" w:color="auto" w:sz="0" w:space="0"/>
          <w:shd w:val="clear" w:fill="FFFFFF"/>
          <w:lang w:val="en-US" w:eastAsia="zh-CN" w:bidi="ar"/>
        </w:rPr>
        <w:t>1.重大行政许可：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（一）核实建设项目落实防空要求；</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（二）建设项目人防工程设计审查规划审批阶段；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（三）建设项目人防工程设计审查施工许可阶段；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（四）建设项目人防工程竣工验收；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（五）人防工程竣工验收备案；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（六）地下空间的规划和开发利用审批；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（七）拆除人民防空工程审批；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（八）人民防空警报设施拆除审批。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3"/>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b/>
          <w:bCs/>
          <w:i w:val="0"/>
          <w:iCs w:val="0"/>
          <w:caps w:val="0"/>
          <w:color w:val="000000"/>
          <w:spacing w:val="0"/>
          <w:kern w:val="0"/>
          <w:sz w:val="32"/>
          <w:szCs w:val="32"/>
          <w:bdr w:val="none" w:color="auto" w:sz="0" w:space="0"/>
          <w:shd w:val="clear" w:fill="FFFFFF"/>
          <w:lang w:val="en-US" w:eastAsia="zh-CN" w:bidi="ar"/>
        </w:rPr>
        <w:t>2.重大行政处罚：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(一)对危害人民防空安全行为的处罚；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(二)对个人处以2000元以上罚款或者对单位处以2万元以上罚款；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(三)对城市新建民用建筑不修建防空地下室的处罚；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黑体" w:hAnsi="宋体" w:eastAsia="黑体" w:cs="黑体"/>
          <w:i w:val="0"/>
          <w:iCs w:val="0"/>
          <w:caps w:val="0"/>
          <w:color w:val="000000"/>
          <w:spacing w:val="0"/>
          <w:kern w:val="0"/>
          <w:sz w:val="32"/>
          <w:szCs w:val="32"/>
          <w:bdr w:val="none" w:color="auto" w:sz="0" w:space="0"/>
          <w:shd w:val="clear" w:fill="FFFFFF"/>
          <w:lang w:val="en-US" w:eastAsia="zh-CN" w:bidi="ar"/>
        </w:rPr>
        <w:t>五、广元市人防办行政执法（监督信息）救济渠道、行政执法责任制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  </w:t>
      </w:r>
      <w:r>
        <w:rPr>
          <w:rFonts w:hint="eastAsia" w:ascii="仿宋_GB2312" w:hAnsi="微软雅黑" w:eastAsia="仿宋_GB2312" w:cs="仿宋_GB2312"/>
          <w:b/>
          <w:bCs/>
          <w:i w:val="0"/>
          <w:iCs w:val="0"/>
          <w:caps w:val="0"/>
          <w:color w:val="000000"/>
          <w:spacing w:val="0"/>
          <w:kern w:val="0"/>
          <w:sz w:val="32"/>
          <w:szCs w:val="32"/>
          <w:bdr w:val="none" w:color="auto" w:sz="0" w:space="0"/>
          <w:shd w:val="clear" w:fill="FFFFFF"/>
          <w:lang w:val="en-US" w:eastAsia="zh-CN" w:bidi="ar"/>
        </w:rPr>
        <w:t> 当事人依法享有的权利、救济途径、方式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（一）依法享有的权利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当事人依法享有申请回避、陈述、申辩、复议、诉讼等权利，详见相应法律法规。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（二）救济途径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1、行政复议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部门：广元市人民政府 、四川省人民防空办公室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2、行政诉讼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单位：广元市利州区人民法院   地址：广元市利州区利州东路1070号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（三）对行政执法的监督投诉举报的方式、途径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部门：广元市人防办机关党委</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26"/>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地址：广元市利州区万缘街道万缘社区12组110号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投诉电话：0839-3367312</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3"/>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b/>
          <w:bCs/>
          <w:i w:val="0"/>
          <w:iCs w:val="0"/>
          <w:caps w:val="0"/>
          <w:color w:val="000000"/>
          <w:spacing w:val="0"/>
          <w:kern w:val="0"/>
          <w:sz w:val="32"/>
          <w:szCs w:val="32"/>
          <w:bdr w:val="none" w:color="auto" w:sz="0" w:space="0"/>
          <w:shd w:val="clear" w:fill="FFFFFF"/>
          <w:lang w:val="en-US" w:eastAsia="zh-CN" w:bidi="ar"/>
        </w:rPr>
        <w:t>行政执法责任制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《国务院办公厅关于推行行政执法责任制的若干意见》（国办发[2005]37号）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《四川省人民政府办公厅关于深化行政执法责任制的实施意见》(川办发[2005]36号)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《四川省落实行政执法责任制全面推进依法行政考核办法》(川府法[2005]24号)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四川省行政执法监督条例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行政机关公务员处分条例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事业单位工作人员处分暂行规定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黑体" w:hAnsi="宋体" w:eastAsia="黑体" w:cs="黑体"/>
          <w:i w:val="0"/>
          <w:iCs w:val="0"/>
          <w:caps w:val="0"/>
          <w:color w:val="000000"/>
          <w:spacing w:val="0"/>
          <w:kern w:val="0"/>
          <w:sz w:val="32"/>
          <w:szCs w:val="32"/>
          <w:bdr w:val="none" w:color="auto" w:sz="0" w:space="0"/>
          <w:shd w:val="clear" w:fill="FFFFFF"/>
          <w:lang w:val="en-US" w:eastAsia="zh-CN" w:bidi="ar"/>
        </w:rPr>
        <w:t>六、广元市人防办行政执法自由裁量标准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2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《四川省规范行政执法裁量权规定》 四川省人民政府令第278号公布2014年5月17日</w:t>
      </w:r>
    </w:p>
    <w:tbl>
      <w:tblPr>
        <w:tblW w:w="0" w:type="auto"/>
        <w:tblInd w:w="0" w:type="dxa"/>
        <w:shd w:val="clear" w:color="auto" w:fill="FFFFFF"/>
        <w:tblLayout w:type="autofit"/>
        <w:tblCellMar>
          <w:top w:w="15" w:type="dxa"/>
          <w:left w:w="15" w:type="dxa"/>
          <w:bottom w:w="15" w:type="dxa"/>
          <w:right w:w="15" w:type="dxa"/>
        </w:tblCellMar>
      </w:tblPr>
      <w:tblGrid>
        <w:gridCol w:w="8336"/>
      </w:tblGrid>
      <w:tr>
        <w:tblPrEx>
          <w:shd w:val="clear" w:color="auto" w:fill="FFFFFF"/>
          <w:tblCellMar>
            <w:top w:w="15" w:type="dxa"/>
            <w:left w:w="15" w:type="dxa"/>
            <w:bottom w:w="15" w:type="dxa"/>
            <w:right w:w="15" w:type="dxa"/>
          </w:tblCellMar>
        </w:tblPrEx>
        <w:tc>
          <w:tcPr>
            <w:tcW w:w="0" w:type="auto"/>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700"/>
              <w:jc w:val="left"/>
            </w:pPr>
            <w:r>
              <w:rPr>
                <w:rFonts w:hint="eastAsia" w:ascii="黑体" w:hAnsi="宋体" w:eastAsia="黑体" w:cs="黑体"/>
                <w:i w:val="0"/>
                <w:iCs w:val="0"/>
                <w:caps w:val="0"/>
                <w:color w:val="545454"/>
                <w:spacing w:val="0"/>
                <w:kern w:val="0"/>
                <w:sz w:val="28"/>
                <w:szCs w:val="28"/>
                <w:bdr w:val="none" w:color="auto" w:sz="0" w:space="0"/>
                <w:lang w:val="en-US" w:eastAsia="zh-CN" w:bidi="ar"/>
              </w:rPr>
              <w:t>四川省人民防空行政处罚自由裁量权的实施标准（一）</w:t>
            </w:r>
          </w:p>
          <w:tbl>
            <w:tblPr>
              <w:tblW w:w="0" w:type="auto"/>
              <w:tblInd w:w="0" w:type="dxa"/>
              <w:shd w:val="clear"/>
              <w:tblLayout w:type="autofit"/>
              <w:tblCellMar>
                <w:top w:w="15" w:type="dxa"/>
                <w:left w:w="15" w:type="dxa"/>
                <w:bottom w:w="15" w:type="dxa"/>
                <w:right w:w="15" w:type="dxa"/>
              </w:tblCellMar>
            </w:tblPr>
            <w:tblGrid>
              <w:gridCol w:w="240"/>
              <w:gridCol w:w="415"/>
              <w:gridCol w:w="2189"/>
              <w:gridCol w:w="1539"/>
              <w:gridCol w:w="1377"/>
              <w:gridCol w:w="1289"/>
              <w:gridCol w:w="1257"/>
            </w:tblGrid>
            <w:tr>
              <w:tblPrEx>
                <w:shd w:val="clear"/>
                <w:tblCellMar>
                  <w:top w:w="15" w:type="dxa"/>
                  <w:left w:w="15" w:type="dxa"/>
                  <w:bottom w:w="15" w:type="dxa"/>
                  <w:right w:w="15" w:type="dxa"/>
                </w:tblCellMar>
              </w:tblPrEx>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号</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违法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行为</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处罚依据</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适用条件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（处罚层级分类）</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裁量幅度</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行政处罚权限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（执法单位、程序）</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备  注</w:t>
                  </w:r>
                </w:p>
              </w:tc>
            </w:tr>
            <w:tr>
              <w:tblPrEx>
                <w:tblCellMar>
                  <w:top w:w="15" w:type="dxa"/>
                  <w:left w:w="15" w:type="dxa"/>
                  <w:bottom w:w="15" w:type="dxa"/>
                  <w:right w:w="15" w:type="dxa"/>
                </w:tblCellMar>
              </w:tblPrEx>
              <w:tc>
                <w:tcPr>
                  <w:tcW w:w="0" w:type="auto"/>
                  <w:vMerge w:val="restart"/>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_GB2312" w:eastAsia="仿宋_GB2312" w:cs="仿宋_GB2312" w:hAnsiTheme="minorHAnsi"/>
                      <w:kern w:val="0"/>
                      <w:sz w:val="21"/>
                      <w:szCs w:val="21"/>
                      <w:bdr w:val="none" w:color="auto" w:sz="0" w:space="0"/>
                      <w:lang w:val="en-US" w:eastAsia="zh-CN" w:bidi="ar"/>
                    </w:rPr>
                    <w:t>1</w:t>
                  </w:r>
                </w:p>
              </w:tc>
              <w:tc>
                <w:tcPr>
                  <w:tcW w:w="0" w:type="auto"/>
                  <w:vMerge w:val="restart"/>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_GB2312" w:eastAsia="仿宋_GB2312" w:cs="仿宋_GB2312" w:hAnsiTheme="minorHAnsi"/>
                      <w:kern w:val="0"/>
                      <w:sz w:val="21"/>
                      <w:szCs w:val="21"/>
                      <w:bdr w:val="none" w:color="auto" w:sz="0" w:space="0"/>
                      <w:lang w:val="en-US" w:eastAsia="zh-CN" w:bidi="ar"/>
                    </w:rPr>
                    <w:t>违反国家规定不修建战时可用于防空的地下 室</w:t>
                  </w:r>
                </w:p>
              </w:tc>
              <w:tc>
                <w:tcPr>
                  <w:tcW w:w="0" w:type="auto"/>
                  <w:vMerge w:val="restart"/>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一、《中华人民共和国人民防空法》</w:t>
                  </w:r>
                  <w:r>
                    <w:rPr>
                      <w:rFonts w:hint="eastAsia" w:ascii="黑体" w:hAnsi="宋体" w:eastAsia="黑体" w:cs="黑体"/>
                      <w:kern w:val="0"/>
                      <w:sz w:val="21"/>
                      <w:szCs w:val="21"/>
                      <w:bdr w:val="none" w:color="auto" w:sz="0" w:space="0"/>
                      <w:lang w:val="en-US" w:eastAsia="zh-CN" w:bidi="ar"/>
                    </w:rPr>
                    <w:t>第48条，</w:t>
                  </w:r>
                  <w:r>
                    <w:rPr>
                      <w:rFonts w:hint="eastAsia" w:ascii="仿宋_GB2312" w:eastAsia="仿宋_GB2312" w:cs="仿宋_GB2312" w:hAnsiTheme="minorHAnsi"/>
                      <w:kern w:val="0"/>
                      <w:sz w:val="21"/>
                      <w:szCs w:val="21"/>
                      <w:bdr w:val="none" w:color="auto" w:sz="0" w:space="0"/>
                      <w:lang w:val="en-US" w:eastAsia="zh-CN" w:bidi="ar"/>
                    </w:rPr>
                    <w:t>城市新建民用建筑，违反国家有关规定不修建战时可用于防空的地下室的，由县级以上人民政府人民防空主管部门对当事人给予警告，并责令限期修建，可以并处十万元以下的罚款。</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二、《四川省&lt;中华人民共和国人民防空法&gt;实施办法》</w:t>
                  </w:r>
                  <w:r>
                    <w:rPr>
                      <w:rFonts w:hint="eastAsia" w:ascii="黑体" w:hAnsi="宋体" w:eastAsia="黑体" w:cs="黑体"/>
                      <w:kern w:val="0"/>
                      <w:sz w:val="21"/>
                      <w:szCs w:val="21"/>
                      <w:bdr w:val="none" w:color="auto" w:sz="0" w:space="0"/>
                      <w:lang w:val="en-US" w:eastAsia="zh-CN" w:bidi="ar"/>
                    </w:rPr>
                    <w:t>第35条，</w:t>
                  </w:r>
                  <w:r>
                    <w:rPr>
                      <w:rFonts w:hint="eastAsia" w:ascii="仿宋_GB2312" w:eastAsia="仿宋_GB2312" w:cs="仿宋_GB2312" w:hAnsiTheme="minorHAnsi"/>
                      <w:kern w:val="0"/>
                      <w:sz w:val="21"/>
                      <w:szCs w:val="21"/>
                      <w:bdr w:val="none" w:color="auto" w:sz="0" w:space="0"/>
                      <w:lang w:val="en-US" w:eastAsia="zh-CN" w:bidi="ar"/>
                    </w:rPr>
                    <w:t>城市新建民用建筑，违反国家有关规定不修建战时可用于防空的地下室的，依照《中华人民共和国人民防空法》第48条处罚。责令限期修建的，当事人应当在限期内依法修建。无法修建的，当事人应当按照本实施办法第15条的规定申请缴纳易地建设费。逾期不申请、不修建又不缴纳易地建设费的，由县级以上人民防空主管部门作出追缴易地建设费的决定。当事人拒不缴纳的，由人民防空主管部门申请人民法院强制执行。</w:t>
                  </w:r>
                </w:p>
              </w:tc>
              <w:tc>
                <w:tcPr>
                  <w:tcW w:w="0" w:type="auto"/>
                  <w:shd w:val="cle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城市规划区内（含新区、开发区、工业园区、保税区、重要经济目标区和旧城区改造）新建民用建筑应当按照规定修建防空地下室，应建地下室100（按建筑面积计算，以下相同）平方米以下未修建的。警告、责令限期修建。</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未按建设规定限期修建防空地下室，责令在限期内依法修建，给予警告，并处1万元以上2万元以下的罚款。</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由所在县（市、区）人防执法人员及相关部门提出处罚意见，报所在县（市、区）人防办主管领导批准后，作出行政处罚决定，并报市（州）人防主管部门备案。</w:t>
                  </w:r>
                </w:p>
              </w:tc>
              <w:tc>
                <w:tcPr>
                  <w:tcW w:w="0" w:type="auto"/>
                  <w:vMerge w:val="restart"/>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从作出行政处罚决定之日起，15日内将处罚决定书和必要的说明材料，抄报本级政府法制部门和上一级人民防空主管部门备案。</w:t>
                  </w:r>
                </w:p>
              </w:tc>
            </w:tr>
            <w:tr>
              <w:tblPrEx>
                <w:shd w:val="clear"/>
                <w:tblCellMar>
                  <w:top w:w="15" w:type="dxa"/>
                  <w:left w:w="15" w:type="dxa"/>
                  <w:bottom w:w="15" w:type="dxa"/>
                  <w:right w:w="15" w:type="dxa"/>
                </w:tblCellMar>
              </w:tblPrEx>
              <w:tc>
                <w:tcPr>
                  <w:tcW w:w="0" w:type="auto"/>
                  <w:vMerge w:val="continue"/>
                  <w:shd w:val="clear"/>
                  <w:vAlign w:val="center"/>
                </w:tcPr>
                <w:p>
                  <w:pPr>
                    <w:rPr>
                      <w:rFonts w:hint="eastAsia" w:ascii="宋体"/>
                      <w:sz w:val="24"/>
                      <w:szCs w:val="24"/>
                    </w:rPr>
                  </w:pPr>
                </w:p>
              </w:tc>
              <w:tc>
                <w:tcPr>
                  <w:tcW w:w="0" w:type="auto"/>
                  <w:vMerge w:val="continue"/>
                  <w:shd w:val="clear"/>
                  <w:vAlign w:val="center"/>
                </w:tcPr>
                <w:p>
                  <w:pPr>
                    <w:rPr>
                      <w:rFonts w:hint="eastAsia" w:ascii="宋体"/>
                      <w:sz w:val="24"/>
                      <w:szCs w:val="24"/>
                    </w:rPr>
                  </w:pPr>
                </w:p>
              </w:tc>
              <w:tc>
                <w:tcPr>
                  <w:tcW w:w="0" w:type="auto"/>
                  <w:vMerge w:val="continue"/>
                  <w:shd w:val="clear"/>
                  <w:vAlign w:val="center"/>
                </w:tcPr>
                <w:p>
                  <w:pPr>
                    <w:rPr>
                      <w:rFonts w:hint="eastAsia" w:ascii="宋体"/>
                      <w:sz w:val="24"/>
                      <w:szCs w:val="24"/>
                    </w:rPr>
                  </w:pP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应建地下室100～500平方米未修建的。</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未按建设规定限期修建防空地下室，责令在限期内依法修建，给予严重警告，并处2万元以上4万元以下的罚款。</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由所在市、州（含县、市、区）人防执法人员及相关部门提出处罚意见，报所在市（州）人防办主管领导批准后，作出行政处罚决定，并报省人防主管部门备案。</w:t>
                  </w:r>
                </w:p>
              </w:tc>
              <w:tc>
                <w:tcPr>
                  <w:tcW w:w="0" w:type="auto"/>
                  <w:vMerge w:val="continue"/>
                  <w:shd w:val="clear"/>
                  <w:vAlign w:val="center"/>
                </w:tcPr>
                <w:p>
                  <w:pPr>
                    <w:rPr>
                      <w:rFonts w:hint="eastAsia" w:ascii="宋体"/>
                      <w:sz w:val="24"/>
                      <w:szCs w:val="24"/>
                    </w:rPr>
                  </w:pPr>
                </w:p>
              </w:tc>
            </w:tr>
            <w:tr>
              <w:tblPrEx>
                <w:shd w:val="clear"/>
                <w:tblCellMar>
                  <w:top w:w="15" w:type="dxa"/>
                  <w:left w:w="15" w:type="dxa"/>
                  <w:bottom w:w="15" w:type="dxa"/>
                  <w:right w:w="15" w:type="dxa"/>
                </w:tblCellMar>
              </w:tblPrEx>
              <w:tc>
                <w:tcPr>
                  <w:tcW w:w="0" w:type="auto"/>
                  <w:vMerge w:val="continue"/>
                  <w:shd w:val="clear"/>
                  <w:vAlign w:val="center"/>
                </w:tcPr>
                <w:p>
                  <w:pPr>
                    <w:rPr>
                      <w:rFonts w:hint="eastAsia" w:ascii="宋体"/>
                      <w:sz w:val="24"/>
                      <w:szCs w:val="24"/>
                    </w:rPr>
                  </w:pPr>
                </w:p>
              </w:tc>
              <w:tc>
                <w:tcPr>
                  <w:tcW w:w="0" w:type="auto"/>
                  <w:vMerge w:val="continue"/>
                  <w:shd w:val="clear"/>
                  <w:vAlign w:val="center"/>
                </w:tcPr>
                <w:p>
                  <w:pPr>
                    <w:rPr>
                      <w:rFonts w:hint="eastAsia" w:ascii="宋体"/>
                      <w:sz w:val="24"/>
                      <w:szCs w:val="24"/>
                    </w:rPr>
                  </w:pPr>
                </w:p>
              </w:tc>
              <w:tc>
                <w:tcPr>
                  <w:tcW w:w="0" w:type="auto"/>
                  <w:vMerge w:val="restart"/>
                  <w:shd w:val="clear"/>
                  <w:vAlign w:val="top"/>
                </w:tcPr>
                <w:p>
                  <w:pPr>
                    <w:rPr>
                      <w:rFonts w:hint="eastAsia" w:ascii="宋体"/>
                      <w:sz w:val="24"/>
                      <w:szCs w:val="24"/>
                    </w:rPr>
                  </w:pP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应建地下室500～1000平方米未修建的。</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未按建设规定限期修建防空地下室，责令在限期内依法修建，并处4万元以上6万元以下的罚款（5万元以上的处罚案件，由市级人防办提出处罚意见，报省人防办审批，以下相同）。</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由所在市（州）人防执法人员及相关部门提出处罚意见，报所在市（州）人防办主管领导批准后，作出行政处罚决定，并报省人防主管部门备案。</w:t>
                  </w:r>
                </w:p>
              </w:tc>
              <w:tc>
                <w:tcPr>
                  <w:tcW w:w="0" w:type="auto"/>
                  <w:vMerge w:val="restart"/>
                  <w:shd w:val="clear"/>
                  <w:vAlign w:val="top"/>
                </w:tcPr>
                <w:p>
                  <w:pPr>
                    <w:rPr>
                      <w:rFonts w:hint="eastAsia" w:ascii="宋体"/>
                      <w:sz w:val="24"/>
                      <w:szCs w:val="24"/>
                    </w:rPr>
                  </w:pPr>
                </w:p>
              </w:tc>
            </w:tr>
            <w:tr>
              <w:tblPrEx>
                <w:shd w:val="clear"/>
                <w:tblCellMar>
                  <w:top w:w="15" w:type="dxa"/>
                  <w:left w:w="15" w:type="dxa"/>
                  <w:bottom w:w="15" w:type="dxa"/>
                  <w:right w:w="15" w:type="dxa"/>
                </w:tblCellMar>
              </w:tblPrEx>
              <w:tc>
                <w:tcPr>
                  <w:tcW w:w="0" w:type="auto"/>
                  <w:vMerge w:val="continue"/>
                  <w:shd w:val="clear"/>
                  <w:vAlign w:val="center"/>
                </w:tcPr>
                <w:p>
                  <w:pPr>
                    <w:rPr>
                      <w:rFonts w:hint="eastAsia" w:ascii="宋体"/>
                      <w:sz w:val="24"/>
                      <w:szCs w:val="24"/>
                    </w:rPr>
                  </w:pPr>
                </w:p>
              </w:tc>
              <w:tc>
                <w:tcPr>
                  <w:tcW w:w="0" w:type="auto"/>
                  <w:vMerge w:val="continue"/>
                  <w:shd w:val="clear"/>
                  <w:vAlign w:val="center"/>
                </w:tcPr>
                <w:p>
                  <w:pPr>
                    <w:rPr>
                      <w:rFonts w:hint="eastAsia" w:ascii="宋体"/>
                      <w:sz w:val="24"/>
                      <w:szCs w:val="24"/>
                    </w:rPr>
                  </w:pPr>
                </w:p>
              </w:tc>
              <w:tc>
                <w:tcPr>
                  <w:tcW w:w="0" w:type="auto"/>
                  <w:vMerge w:val="continue"/>
                  <w:shd w:val="clear"/>
                  <w:vAlign w:val="top"/>
                </w:tcPr>
                <w:p>
                  <w:pPr>
                    <w:rPr>
                      <w:rFonts w:hint="eastAsia" w:ascii="宋体"/>
                      <w:sz w:val="24"/>
                      <w:szCs w:val="24"/>
                    </w:rPr>
                  </w:pP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应建地下室1000～1500平方米未修建的。</w:t>
                  </w:r>
                </w:p>
              </w:tc>
              <w:tc>
                <w:tcPr>
                  <w:tcW w:w="0" w:type="auto"/>
                  <w:shd w:val="cle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未按建设规定限期修建防空地下室，责令在限期依法修建，并处6万元以上8万元以下的罚款。</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由所在市（州）人防执法人员及相关部门提出处罚意见，经省人防主管部门审查后，报省人防办主任办公会议研究，作出行政处罚决定。</w:t>
                  </w:r>
                </w:p>
              </w:tc>
              <w:tc>
                <w:tcPr>
                  <w:tcW w:w="0" w:type="auto"/>
                  <w:vMerge w:val="continue"/>
                  <w:shd w:val="clear"/>
                  <w:vAlign w:val="top"/>
                </w:tcPr>
                <w:p>
                  <w:pPr>
                    <w:rPr>
                      <w:rFonts w:hint="eastAsia" w:ascii="宋体"/>
                      <w:sz w:val="24"/>
                      <w:szCs w:val="24"/>
                    </w:rPr>
                  </w:pPr>
                </w:p>
              </w:tc>
            </w:tr>
            <w:tr>
              <w:tblPrEx>
                <w:shd w:val="clear"/>
                <w:tblCellMar>
                  <w:top w:w="15" w:type="dxa"/>
                  <w:left w:w="15" w:type="dxa"/>
                  <w:bottom w:w="15" w:type="dxa"/>
                  <w:right w:w="15" w:type="dxa"/>
                </w:tblCellMar>
              </w:tblPrEx>
              <w:tc>
                <w:tcPr>
                  <w:tcW w:w="0" w:type="auto"/>
                  <w:vMerge w:val="continue"/>
                  <w:shd w:val="clear"/>
                  <w:vAlign w:val="center"/>
                </w:tcPr>
                <w:p>
                  <w:pPr>
                    <w:rPr>
                      <w:rFonts w:hint="eastAsia" w:ascii="宋体"/>
                      <w:sz w:val="24"/>
                      <w:szCs w:val="24"/>
                    </w:rPr>
                  </w:pPr>
                </w:p>
              </w:tc>
              <w:tc>
                <w:tcPr>
                  <w:tcW w:w="0" w:type="auto"/>
                  <w:vMerge w:val="continue"/>
                  <w:shd w:val="clear"/>
                  <w:vAlign w:val="center"/>
                </w:tcPr>
                <w:p>
                  <w:pPr>
                    <w:rPr>
                      <w:rFonts w:hint="eastAsia" w:ascii="宋体"/>
                      <w:sz w:val="24"/>
                      <w:szCs w:val="24"/>
                    </w:rPr>
                  </w:pPr>
                </w:p>
              </w:tc>
              <w:tc>
                <w:tcPr>
                  <w:tcW w:w="0" w:type="auto"/>
                  <w:vMerge w:val="continue"/>
                  <w:shd w:val="clear"/>
                  <w:vAlign w:val="top"/>
                </w:tcPr>
                <w:p>
                  <w:pPr>
                    <w:rPr>
                      <w:rFonts w:hint="eastAsia" w:ascii="宋体"/>
                      <w:sz w:val="24"/>
                      <w:szCs w:val="24"/>
                    </w:rPr>
                  </w:pP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应建地下室1500～2000平方米未修建的。</w:t>
                  </w:r>
                </w:p>
              </w:tc>
              <w:tc>
                <w:tcPr>
                  <w:tcW w:w="0" w:type="auto"/>
                  <w:shd w:val="cle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未按建设规定限期修建防空地下室，责令在限期内依法修建，并处8万元以上10万元以下的罚款。</w:t>
                  </w:r>
                </w:p>
              </w:tc>
              <w:tc>
                <w:tcPr>
                  <w:tcW w:w="0" w:type="auto"/>
                  <w:shd w:val="clear"/>
                  <w:vAlign w:val="top"/>
                </w:tcPr>
                <w:p>
                  <w:pPr>
                    <w:rPr>
                      <w:rFonts w:hint="eastAsia" w:ascii="宋体"/>
                      <w:sz w:val="24"/>
                      <w:szCs w:val="24"/>
                    </w:rPr>
                  </w:pPr>
                </w:p>
              </w:tc>
              <w:tc>
                <w:tcPr>
                  <w:tcW w:w="0" w:type="auto"/>
                  <w:shd w:val="clear"/>
                  <w:vAlign w:val="top"/>
                </w:tcPr>
                <w:p>
                  <w:pPr>
                    <w:rPr>
                      <w:rFonts w:hint="eastAsia" w:ascii="宋体"/>
                      <w:sz w:val="24"/>
                      <w:szCs w:val="24"/>
                    </w:rPr>
                  </w:pPr>
                </w:p>
              </w:tc>
            </w:tr>
            <w:tr>
              <w:tblPrEx>
                <w:shd w:val="clear"/>
                <w:tblCellMar>
                  <w:top w:w="15" w:type="dxa"/>
                  <w:left w:w="15" w:type="dxa"/>
                  <w:bottom w:w="15" w:type="dxa"/>
                  <w:right w:w="15" w:type="dxa"/>
                </w:tblCellMar>
              </w:tblPrEx>
              <w:tc>
                <w:tcPr>
                  <w:tcW w:w="0" w:type="auto"/>
                  <w:shd w:val="clear"/>
                  <w:vAlign w:val="top"/>
                </w:tcPr>
                <w:p>
                  <w:pPr>
                    <w:rPr>
                      <w:rFonts w:hint="eastAsia" w:ascii="宋体"/>
                      <w:sz w:val="24"/>
                      <w:szCs w:val="24"/>
                    </w:rPr>
                  </w:pPr>
                </w:p>
              </w:tc>
              <w:tc>
                <w:tcPr>
                  <w:tcW w:w="0" w:type="auto"/>
                  <w:shd w:val="clear"/>
                  <w:vAlign w:val="top"/>
                </w:tcPr>
                <w:p>
                  <w:pPr>
                    <w:rPr>
                      <w:rFonts w:hint="eastAsia" w:ascii="宋体"/>
                      <w:sz w:val="24"/>
                      <w:szCs w:val="24"/>
                    </w:rPr>
                  </w:pPr>
                </w:p>
              </w:tc>
              <w:tc>
                <w:tcPr>
                  <w:tcW w:w="0" w:type="auto"/>
                  <w:shd w:val="clear"/>
                  <w:vAlign w:val="top"/>
                </w:tcPr>
                <w:p>
                  <w:pPr>
                    <w:rPr>
                      <w:rFonts w:hint="eastAsia" w:ascii="宋体"/>
                      <w:sz w:val="24"/>
                      <w:szCs w:val="24"/>
                    </w:rPr>
                  </w:pP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应建地下室2000平方米以上未修建的。</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未按建设规定限期修建防空地下室，责令在限期内依法修建，并处10万元的罚款。</w:t>
                  </w:r>
                </w:p>
              </w:tc>
              <w:tc>
                <w:tcPr>
                  <w:tcW w:w="0" w:type="auto"/>
                  <w:shd w:val="clear"/>
                  <w:vAlign w:val="top"/>
                </w:tcPr>
                <w:p>
                  <w:pPr>
                    <w:rPr>
                      <w:rFonts w:hint="eastAsia" w:ascii="宋体"/>
                      <w:sz w:val="24"/>
                      <w:szCs w:val="24"/>
                    </w:rPr>
                  </w:pPr>
                </w:p>
              </w:tc>
              <w:tc>
                <w:tcPr>
                  <w:tcW w:w="0" w:type="auto"/>
                  <w:shd w:val="clear"/>
                  <w:vAlign w:val="top"/>
                </w:tcPr>
                <w:p>
                  <w:pPr>
                    <w:rPr>
                      <w:rFonts w:hint="eastAsia" w:ascii="宋体"/>
                      <w:sz w:val="24"/>
                      <w:szCs w:val="24"/>
                    </w:rPr>
                  </w:pP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b/>
                <w:bCs/>
                <w:i w:val="0"/>
                <w:iCs w:val="0"/>
                <w:caps w:val="0"/>
                <w:color w:val="000000"/>
                <w:spacing w:val="0"/>
                <w:kern w:val="0"/>
                <w:sz w:val="28"/>
                <w:szCs w:val="28"/>
                <w:bdr w:val="none" w:color="auto" w:sz="0" w:space="0"/>
                <w:lang w:val="en-US" w:eastAsia="zh-CN" w:bidi="ar"/>
              </w:rPr>
              <w:t>四川省人民防空行政处罚自由裁量权的实施标准（二）</w:t>
            </w:r>
          </w:p>
          <w:tbl>
            <w:tblPr>
              <w:tblW w:w="0" w:type="auto"/>
              <w:tblInd w:w="0" w:type="dxa"/>
              <w:shd w:val="clear"/>
              <w:tblLayout w:type="autofit"/>
              <w:tblCellMar>
                <w:top w:w="15" w:type="dxa"/>
                <w:left w:w="15" w:type="dxa"/>
                <w:bottom w:w="15" w:type="dxa"/>
                <w:right w:w="15" w:type="dxa"/>
              </w:tblCellMar>
            </w:tblPr>
            <w:tblGrid>
              <w:gridCol w:w="240"/>
              <w:gridCol w:w="866"/>
              <w:gridCol w:w="2230"/>
              <w:gridCol w:w="990"/>
              <w:gridCol w:w="1268"/>
              <w:gridCol w:w="1382"/>
              <w:gridCol w:w="1330"/>
            </w:tblGrid>
            <w:tr>
              <w:tblPrEx>
                <w:shd w:val="clear"/>
              </w:tblPrEx>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号</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违法行为</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处罚依据</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适用条件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（处罚层级分类）</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裁量幅度</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行政处罚权限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（执法单位、程序）</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备  注</w:t>
                  </w:r>
                </w:p>
              </w:tc>
            </w:tr>
            <w:tr>
              <w:tc>
                <w:tcPr>
                  <w:tcW w:w="0" w:type="auto"/>
                  <w:vMerge w:val="restart"/>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_GB2312" w:eastAsia="仿宋_GB2312" w:cs="仿宋_GB2312" w:hAnsiTheme="minorHAnsi"/>
                      <w:kern w:val="0"/>
                      <w:sz w:val="21"/>
                      <w:szCs w:val="21"/>
                      <w:bdr w:val="none" w:color="auto" w:sz="0" w:space="0"/>
                      <w:lang w:val="en-US" w:eastAsia="zh-CN" w:bidi="ar"/>
                    </w:rPr>
                    <w:t>2</w:t>
                  </w:r>
                </w:p>
              </w:tc>
              <w:tc>
                <w:tcPr>
                  <w:tcW w:w="0" w:type="auto"/>
                  <w:vMerge w:val="restart"/>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侵占人民防空工 程</w:t>
                  </w:r>
                </w:p>
              </w:tc>
              <w:tc>
                <w:tcPr>
                  <w:tcW w:w="0" w:type="auto"/>
                  <w:vMerge w:val="restart"/>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一、《中华人民共和国人民防空法》</w:t>
                  </w:r>
                  <w:r>
                    <w:rPr>
                      <w:rFonts w:hint="eastAsia" w:ascii="黑体" w:hAnsi="宋体" w:eastAsia="黑体" w:cs="黑体"/>
                      <w:kern w:val="0"/>
                      <w:sz w:val="21"/>
                      <w:szCs w:val="21"/>
                      <w:bdr w:val="none" w:color="auto" w:sz="0" w:space="0"/>
                      <w:lang w:val="en-US" w:eastAsia="zh-CN" w:bidi="ar"/>
                    </w:rPr>
                    <w:t>第49条，</w:t>
                  </w:r>
                  <w:r>
                    <w:rPr>
                      <w:rFonts w:hint="eastAsia" w:ascii="仿宋_GB2312" w:eastAsia="仿宋_GB2312" w:cs="仿宋_GB2312" w:hAnsiTheme="minorHAnsi"/>
                      <w:kern w:val="0"/>
                      <w:sz w:val="21"/>
                      <w:szCs w:val="21"/>
                      <w:bdr w:val="none" w:color="auto" w:sz="0" w:space="0"/>
                      <w:lang w:val="en-US" w:eastAsia="zh-CN" w:bidi="ar"/>
                    </w:rPr>
                    <w:t>有下列行为之一的，由县级以上人民政府人民防空主管部门对当事人给予警告，并责令限期改正违法行为，可以对个人并处五千元以下的罚款、对单位并处一万元至五万元的罚款；造成损失的，应当依法赔偿损失：</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（一）侵占人民</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侵占人民防空工程建筑面积1平方米以下的。</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责令限期改正，依法赔偿损失，给予警告，对个人并处200元以上500元以下、单位并处500元以上1万元以下的罚款。</w:t>
                  </w:r>
                </w:p>
              </w:tc>
              <w:tc>
                <w:tcPr>
                  <w:tcW w:w="0" w:type="auto"/>
                  <w:vMerge w:val="restart"/>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由所在县（市、区）人防执法人员及相关部门提出处罚意见，报所在县（市、区）人防办主管领导批准后，作出行政处罚决定，并报市（州）人防主管部门备案。</w:t>
                  </w:r>
                </w:p>
              </w:tc>
              <w:tc>
                <w:tcPr>
                  <w:tcW w:w="0" w:type="auto"/>
                  <w:vMerge w:val="restart"/>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从作出行政处罚决定之日起，15日内将处罚决定书和必要的说明材料，抄报本级政府法制部门和上一级人民防空主管部门备案。</w:t>
                  </w:r>
                </w:p>
              </w:tc>
            </w:tr>
            <w:tr>
              <w:tblPrEx>
                <w:shd w:val="clear"/>
              </w:tblPrEx>
              <w:tc>
                <w:tcPr>
                  <w:tcW w:w="0" w:type="auto"/>
                  <w:vMerge w:val="continue"/>
                  <w:shd w:val="clear"/>
                  <w:vAlign w:val="center"/>
                </w:tcPr>
                <w:p>
                  <w:pPr>
                    <w:rPr>
                      <w:rFonts w:hint="eastAsia" w:ascii="宋体"/>
                      <w:sz w:val="24"/>
                      <w:szCs w:val="24"/>
                    </w:rPr>
                  </w:pPr>
                </w:p>
              </w:tc>
              <w:tc>
                <w:tcPr>
                  <w:tcW w:w="0" w:type="auto"/>
                  <w:vMerge w:val="continue"/>
                  <w:shd w:val="clear"/>
                  <w:vAlign w:val="center"/>
                </w:tcPr>
                <w:p>
                  <w:pPr>
                    <w:rPr>
                      <w:rFonts w:hint="eastAsia" w:ascii="宋体"/>
                      <w:sz w:val="24"/>
                      <w:szCs w:val="24"/>
                    </w:rPr>
                  </w:pPr>
                </w:p>
              </w:tc>
              <w:tc>
                <w:tcPr>
                  <w:tcW w:w="0" w:type="auto"/>
                  <w:vMerge w:val="continue"/>
                  <w:shd w:val="clear"/>
                  <w:vAlign w:val="center"/>
                </w:tcPr>
                <w:p>
                  <w:pPr>
                    <w:rPr>
                      <w:rFonts w:hint="eastAsia" w:ascii="宋体"/>
                      <w:sz w:val="24"/>
                      <w:szCs w:val="24"/>
                    </w:rPr>
                  </w:pP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侵占人民防空工程建筑</w:t>
                  </w:r>
                </w:p>
              </w:tc>
              <w:tc>
                <w:tcPr>
                  <w:tcW w:w="0" w:type="auto"/>
                  <w:vMerge w:val="restart"/>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责令限期改正，依法赔偿损失或择地补建，给予严重警告，对个人并处500元以上3千元以下、单位并处1万元以上3万元以下的罚款。</w:t>
                  </w:r>
                </w:p>
              </w:tc>
              <w:tc>
                <w:tcPr>
                  <w:tcW w:w="0" w:type="auto"/>
                  <w:vMerge w:val="continue"/>
                  <w:shd w:val="clear"/>
                  <w:vAlign w:val="center"/>
                </w:tcPr>
                <w:p>
                  <w:pPr>
                    <w:rPr>
                      <w:rFonts w:hint="eastAsia" w:ascii="宋体"/>
                      <w:sz w:val="24"/>
                      <w:szCs w:val="24"/>
                    </w:rPr>
                  </w:pPr>
                </w:p>
              </w:tc>
              <w:tc>
                <w:tcPr>
                  <w:tcW w:w="0" w:type="auto"/>
                  <w:vMerge w:val="continue"/>
                  <w:shd w:val="clear"/>
                  <w:vAlign w:val="center"/>
                </w:tcPr>
                <w:p>
                  <w:pPr>
                    <w:rPr>
                      <w:rFonts w:hint="eastAsia" w:ascii="宋体"/>
                      <w:sz w:val="24"/>
                      <w:szCs w:val="24"/>
                    </w:rPr>
                  </w:pPr>
                </w:p>
              </w:tc>
            </w:tr>
            <w:tr>
              <w:tblPrEx>
                <w:shd w:val="clear"/>
              </w:tblPrEx>
              <w:tc>
                <w:tcPr>
                  <w:tcW w:w="0" w:type="auto"/>
                  <w:vMerge w:val="continue"/>
                  <w:shd w:val="clear"/>
                  <w:vAlign w:val="center"/>
                </w:tcPr>
                <w:p>
                  <w:pPr>
                    <w:rPr>
                      <w:rFonts w:hint="eastAsia" w:ascii="宋体"/>
                      <w:sz w:val="24"/>
                      <w:szCs w:val="24"/>
                    </w:rPr>
                  </w:pPr>
                </w:p>
              </w:tc>
              <w:tc>
                <w:tcPr>
                  <w:tcW w:w="0" w:type="auto"/>
                  <w:vMerge w:val="continue"/>
                  <w:shd w:val="clear"/>
                  <w:vAlign w:val="center"/>
                </w:tcPr>
                <w:p>
                  <w:pPr>
                    <w:rPr>
                      <w:rFonts w:hint="eastAsia" w:ascii="宋体"/>
                      <w:sz w:val="24"/>
                      <w:szCs w:val="24"/>
                    </w:rPr>
                  </w:pP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防空工程的；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_GB2312" w:eastAsia="仿宋_GB2312" w:cs="仿宋_GB2312" w:hAnsiTheme="minorHAnsi"/>
                      <w:kern w:val="0"/>
                      <w:sz w:val="21"/>
                      <w:szCs w:val="21"/>
                      <w:bdr w:val="none" w:color="auto" w:sz="0" w:space="0"/>
                      <w:lang w:val="en-US" w:eastAsia="zh-CN" w:bidi="ar"/>
                    </w:rPr>
                    <w:t>（二）不按照国家规定的防护标准和质量标准修建人民防空工程的；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（三）违反国家有关规定，改变人民防空工程主体结构、拆除人民防空工程设施设备或采用其他方法危害人民防空工程的安全和使用效能的；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（四）拆除人民防空工程后拒不补建的；</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面积1～100平方米的。</w:t>
                  </w:r>
                </w:p>
              </w:tc>
              <w:tc>
                <w:tcPr>
                  <w:tcW w:w="0" w:type="auto"/>
                  <w:vMerge w:val="continue"/>
                  <w:shd w:val="clear"/>
                  <w:vAlign w:val="center"/>
                </w:tcPr>
                <w:p>
                  <w:pPr>
                    <w:rPr>
                      <w:rFonts w:hint="eastAsia" w:ascii="宋体"/>
                      <w:sz w:val="24"/>
                      <w:szCs w:val="24"/>
                    </w:rPr>
                  </w:pPr>
                </w:p>
              </w:tc>
              <w:tc>
                <w:tcPr>
                  <w:tcW w:w="0" w:type="auto"/>
                  <w:shd w:val="clear"/>
                  <w:vAlign w:val="center"/>
                </w:tcPr>
                <w:p>
                  <w:pPr>
                    <w:rPr>
                      <w:rFonts w:hint="eastAsia" w:ascii="宋体"/>
                      <w:sz w:val="24"/>
                      <w:szCs w:val="24"/>
                    </w:rPr>
                  </w:pPr>
                </w:p>
              </w:tc>
              <w:tc>
                <w:tcPr>
                  <w:tcW w:w="0" w:type="auto"/>
                  <w:shd w:val="clear"/>
                  <w:vAlign w:val="center"/>
                </w:tcPr>
                <w:p>
                  <w:pPr>
                    <w:rPr>
                      <w:rFonts w:hint="eastAsia" w:ascii="宋体"/>
                      <w:sz w:val="24"/>
                      <w:szCs w:val="24"/>
                    </w:rPr>
                  </w:pPr>
                </w:p>
              </w:tc>
            </w:tr>
            <w:tr>
              <w:tblPrEx>
                <w:shd w:val="clear"/>
              </w:tblPrEx>
              <w:tc>
                <w:tcPr>
                  <w:tcW w:w="0" w:type="auto"/>
                  <w:vMerge w:val="continue"/>
                  <w:shd w:val="clear"/>
                  <w:vAlign w:val="center"/>
                </w:tcPr>
                <w:p>
                  <w:pPr>
                    <w:rPr>
                      <w:rFonts w:hint="eastAsia" w:ascii="宋体"/>
                      <w:sz w:val="24"/>
                      <w:szCs w:val="24"/>
                    </w:rPr>
                  </w:pPr>
                </w:p>
              </w:tc>
              <w:tc>
                <w:tcPr>
                  <w:tcW w:w="0" w:type="auto"/>
                  <w:vMerge w:val="continue"/>
                  <w:shd w:val="clear"/>
                  <w:vAlign w:val="center"/>
                </w:tcPr>
                <w:p>
                  <w:pPr>
                    <w:rPr>
                      <w:rFonts w:hint="eastAsia" w:ascii="宋体"/>
                      <w:sz w:val="24"/>
                      <w:szCs w:val="24"/>
                    </w:rPr>
                  </w:pPr>
                </w:p>
              </w:tc>
              <w:tc>
                <w:tcPr>
                  <w:tcW w:w="0" w:type="auto"/>
                  <w:shd w:val="clear"/>
                  <w:vAlign w:val="center"/>
                </w:tcPr>
                <w:p>
                  <w:pPr>
                    <w:rPr>
                      <w:rFonts w:hint="eastAsia" w:ascii="宋体"/>
                      <w:sz w:val="24"/>
                      <w:szCs w:val="24"/>
                    </w:rPr>
                  </w:pP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侵占人民防空工程建筑面积100～200平方米的。</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责令限期改正，依法赔偿损失或择地补建，对个人并处3千元以上5千元以下、单位并处3万元以上5万元以下的罚款。</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由所在市（州）人防执法人员及相关部门提出处罚意见，报所在市（州）人防办主管领导批准后，作出行政处罚决定，并报省人防主管部门备案。</w:t>
                  </w:r>
                </w:p>
              </w:tc>
              <w:tc>
                <w:tcPr>
                  <w:tcW w:w="0" w:type="auto"/>
                  <w:shd w:val="clear"/>
                  <w:vAlign w:val="center"/>
                </w:tcPr>
                <w:p>
                  <w:pPr>
                    <w:rPr>
                      <w:rFonts w:hint="eastAsia" w:ascii="宋体"/>
                      <w:sz w:val="24"/>
                      <w:szCs w:val="24"/>
                    </w:rPr>
                  </w:pPr>
                </w:p>
              </w:tc>
            </w:tr>
            <w:tr>
              <w:tblPrEx>
                <w:shd w:val="clear"/>
              </w:tblPrEx>
              <w:tc>
                <w:tcPr>
                  <w:tcW w:w="0" w:type="auto"/>
                  <w:shd w:val="clear"/>
                  <w:vAlign w:val="center"/>
                </w:tcPr>
                <w:p>
                  <w:pPr>
                    <w:rPr>
                      <w:rFonts w:hint="eastAsia" w:ascii="宋体"/>
                      <w:sz w:val="24"/>
                      <w:szCs w:val="24"/>
                    </w:rPr>
                  </w:pPr>
                </w:p>
              </w:tc>
              <w:tc>
                <w:tcPr>
                  <w:tcW w:w="0" w:type="auto"/>
                  <w:shd w:val="clear"/>
                  <w:vAlign w:val="center"/>
                </w:tcPr>
                <w:p>
                  <w:pPr>
                    <w:rPr>
                      <w:rFonts w:hint="eastAsia" w:ascii="宋体"/>
                      <w:sz w:val="24"/>
                      <w:szCs w:val="24"/>
                    </w:rPr>
                  </w:pPr>
                </w:p>
              </w:tc>
              <w:tc>
                <w:tcPr>
                  <w:tcW w:w="0" w:type="auto"/>
                  <w:vMerge w:val="restart"/>
                  <w:shd w:val="clear"/>
                  <w:vAlign w:val="center"/>
                </w:tcPr>
                <w:p>
                  <w:pPr>
                    <w:rPr>
                      <w:rFonts w:hint="eastAsia" w:ascii="宋体"/>
                      <w:sz w:val="24"/>
                      <w:szCs w:val="24"/>
                    </w:rPr>
                  </w:pP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侵占人民防空工程建筑面积200平方米以上的。</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责令限期改正，依法赔偿损失或择地补建，对个人并处5千元、单位并处5万元的罚款。</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由所在市（州）人防执法人员及相关部门提出处罚意见，经省人防主管部门审查后，报省人防办主任办公会议研究，作出行政处罚决定。</w:t>
                  </w:r>
                </w:p>
              </w:tc>
              <w:tc>
                <w:tcPr>
                  <w:tcW w:w="0" w:type="auto"/>
                  <w:shd w:val="clear"/>
                  <w:vAlign w:val="center"/>
                </w:tcPr>
                <w:p>
                  <w:pPr>
                    <w:rPr>
                      <w:rFonts w:hint="eastAsia" w:ascii="宋体"/>
                      <w:sz w:val="24"/>
                      <w:szCs w:val="24"/>
                    </w:rPr>
                  </w:pPr>
                </w:p>
              </w:tc>
            </w:tr>
            <w:tr>
              <w:tblPrEx>
                <w:shd w:val="clear"/>
              </w:tblPrEx>
              <w:tc>
                <w:tcPr>
                  <w:tcW w:w="0" w:type="auto"/>
                  <w:vMerge w:val="restart"/>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_GB2312" w:eastAsia="仿宋_GB2312" w:cs="仿宋_GB2312" w:hAnsiTheme="minorHAnsi"/>
                      <w:kern w:val="0"/>
                      <w:sz w:val="21"/>
                      <w:szCs w:val="21"/>
                      <w:bdr w:val="none" w:color="auto" w:sz="0" w:space="0"/>
                      <w:lang w:val="en-US" w:eastAsia="zh-CN" w:bidi="ar"/>
                    </w:rPr>
                    <w:t>3</w:t>
                  </w:r>
                </w:p>
              </w:tc>
              <w:tc>
                <w:tcPr>
                  <w:tcW w:w="0" w:type="auto"/>
                  <w:vMerge w:val="restart"/>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_GB2312" w:eastAsia="仿宋_GB2312" w:cs="仿宋_GB2312" w:hAnsiTheme="minorHAnsi"/>
                      <w:kern w:val="0"/>
                      <w:sz w:val="21"/>
                      <w:szCs w:val="21"/>
                      <w:bdr w:val="none" w:color="auto" w:sz="0" w:space="0"/>
                      <w:lang w:val="en-US" w:eastAsia="zh-CN" w:bidi="ar"/>
                    </w:rPr>
                    <w:t>不按照国家规定的防护标准和质量标准修建人防工程</w:t>
                  </w:r>
                </w:p>
              </w:tc>
              <w:tc>
                <w:tcPr>
                  <w:tcW w:w="0" w:type="auto"/>
                  <w:vMerge w:val="continue"/>
                  <w:shd w:val="clear"/>
                  <w:vAlign w:val="center"/>
                </w:tcPr>
                <w:p>
                  <w:pPr>
                    <w:rPr>
                      <w:rFonts w:hint="eastAsia" w:ascii="宋体"/>
                      <w:sz w:val="24"/>
                      <w:szCs w:val="24"/>
                    </w:rPr>
                  </w:pP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不按照国家规定的防护标准和质量标准修建人民防空工程情节较轻的。</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责令限期改正，依法赔偿损失或择地补建，给予警告，对个人并处1千元以上3千元以下、单位并处1万元以上3万元以下的罚款。</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由所在县（市、区）人防执法人员及相关部门提出处罚意见，报所在县（市、区）人防办主管领导批准后，作出行政处罚决定，并报市（州）人防主管部门备案。</w:t>
                  </w:r>
                </w:p>
              </w:tc>
              <w:tc>
                <w:tcPr>
                  <w:tcW w:w="0" w:type="auto"/>
                  <w:shd w:val="clear"/>
                  <w:vAlign w:val="center"/>
                </w:tcPr>
                <w:p>
                  <w:pPr>
                    <w:rPr>
                      <w:rFonts w:hint="eastAsia" w:ascii="宋体"/>
                      <w:sz w:val="24"/>
                      <w:szCs w:val="24"/>
                    </w:rPr>
                  </w:pPr>
                </w:p>
              </w:tc>
            </w:tr>
            <w:tr>
              <w:tblPrEx>
                <w:shd w:val="clear"/>
              </w:tblPrEx>
              <w:tc>
                <w:tcPr>
                  <w:tcW w:w="0" w:type="auto"/>
                  <w:vMerge w:val="continue"/>
                  <w:shd w:val="clear"/>
                  <w:vAlign w:val="center"/>
                </w:tcPr>
                <w:p>
                  <w:pPr>
                    <w:rPr>
                      <w:rFonts w:hint="eastAsia" w:ascii="宋体"/>
                      <w:sz w:val="24"/>
                      <w:szCs w:val="24"/>
                    </w:rPr>
                  </w:pPr>
                </w:p>
              </w:tc>
              <w:tc>
                <w:tcPr>
                  <w:tcW w:w="0" w:type="auto"/>
                  <w:vMerge w:val="continue"/>
                  <w:shd w:val="clear"/>
                  <w:vAlign w:val="center"/>
                </w:tcPr>
                <w:p>
                  <w:pPr>
                    <w:rPr>
                      <w:rFonts w:hint="eastAsia" w:ascii="宋体"/>
                      <w:sz w:val="24"/>
                      <w:szCs w:val="24"/>
                    </w:rPr>
                  </w:pPr>
                </w:p>
              </w:tc>
              <w:tc>
                <w:tcPr>
                  <w:tcW w:w="0" w:type="auto"/>
                  <w:vMerge w:val="continue"/>
                  <w:shd w:val="clear"/>
                  <w:vAlign w:val="center"/>
                </w:tcPr>
                <w:p>
                  <w:pPr>
                    <w:rPr>
                      <w:rFonts w:hint="eastAsia" w:ascii="宋体"/>
                      <w:sz w:val="24"/>
                      <w:szCs w:val="24"/>
                    </w:rPr>
                  </w:pP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不按照国家规定的防护标准和质量标准修建人民防空工程情节较重的。</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责令限期改正，依法赔偿损失或择地补建，给予严重警告，对个人并处3千元以上5千元以下、单位并处3万元以上5万元以下的罚款。</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由所在市（州）人防执法人员及相关部门提出处罚意见，报所在市（州）人防办主管领导批准后，作出行政处罚决定，并报省人防主管部门备案。</w:t>
                  </w:r>
                </w:p>
              </w:tc>
              <w:tc>
                <w:tcPr>
                  <w:tcW w:w="0" w:type="auto"/>
                  <w:shd w:val="clear"/>
                  <w:vAlign w:val="center"/>
                </w:tcPr>
                <w:p>
                  <w:pPr>
                    <w:rPr>
                      <w:rFonts w:hint="eastAsia" w:ascii="宋体"/>
                      <w:sz w:val="24"/>
                      <w:szCs w:val="24"/>
                    </w:rPr>
                  </w:pPr>
                </w:p>
              </w:tc>
            </w:tr>
            <w:tr>
              <w:tblPrEx>
                <w:shd w:val="clear"/>
              </w:tblPrEx>
              <w:tc>
                <w:tcPr>
                  <w:tcW w:w="0" w:type="auto"/>
                  <w:vMerge w:val="continue"/>
                  <w:shd w:val="clear"/>
                  <w:vAlign w:val="center"/>
                </w:tcPr>
                <w:p>
                  <w:pPr>
                    <w:rPr>
                      <w:rFonts w:hint="eastAsia" w:ascii="宋体"/>
                      <w:sz w:val="24"/>
                      <w:szCs w:val="24"/>
                    </w:rPr>
                  </w:pPr>
                </w:p>
              </w:tc>
              <w:tc>
                <w:tcPr>
                  <w:tcW w:w="0" w:type="auto"/>
                  <w:vMerge w:val="continue"/>
                  <w:shd w:val="clear"/>
                  <w:vAlign w:val="center"/>
                </w:tcPr>
                <w:p>
                  <w:pPr>
                    <w:rPr>
                      <w:rFonts w:hint="eastAsia" w:ascii="宋体"/>
                      <w:sz w:val="24"/>
                      <w:szCs w:val="24"/>
                    </w:rPr>
                  </w:pPr>
                </w:p>
              </w:tc>
              <w:tc>
                <w:tcPr>
                  <w:tcW w:w="0" w:type="auto"/>
                  <w:vMerge w:val="continue"/>
                  <w:shd w:val="clear"/>
                  <w:vAlign w:val="center"/>
                </w:tcPr>
                <w:p>
                  <w:pPr>
                    <w:rPr>
                      <w:rFonts w:hint="eastAsia" w:ascii="宋体"/>
                      <w:sz w:val="24"/>
                      <w:szCs w:val="24"/>
                    </w:rPr>
                  </w:pP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不按照国家规定的防护标准和质量标准修建人民防空工程情节特别严重的。</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责令限期改正，依法赔偿损失或择地补建，对个人并处5千元、单位并处5万元的罚款。</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由所在市（州）人防执法人员及相关部门提出处罚意见，经省人防主管部门审查后，报省人防办主任办公会议研究，作出行政处罚决定。</w:t>
                  </w:r>
                </w:p>
              </w:tc>
              <w:tc>
                <w:tcPr>
                  <w:tcW w:w="0" w:type="auto"/>
                  <w:shd w:val="clear"/>
                  <w:vAlign w:val="center"/>
                </w:tcPr>
                <w:p>
                  <w:pPr>
                    <w:rPr>
                      <w:rFonts w:hint="eastAsia" w:ascii="宋体"/>
                      <w:sz w:val="24"/>
                      <w:szCs w:val="24"/>
                    </w:rPr>
                  </w:pP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b/>
                <w:bCs/>
                <w:i w:val="0"/>
                <w:iCs w:val="0"/>
                <w:caps w:val="0"/>
                <w:color w:val="000000"/>
                <w:spacing w:val="0"/>
                <w:kern w:val="0"/>
                <w:sz w:val="28"/>
                <w:szCs w:val="28"/>
                <w:bdr w:val="none" w:color="auto" w:sz="0" w:space="0"/>
                <w:lang w:val="en-US" w:eastAsia="zh-CN" w:bidi="ar"/>
              </w:rPr>
              <w:t>四川省人民防空行政处罚自由裁量权的实施标准（二）</w:t>
            </w:r>
          </w:p>
          <w:tbl>
            <w:tblPr>
              <w:tblW w:w="0" w:type="auto"/>
              <w:tblInd w:w="0" w:type="dxa"/>
              <w:shd w:val="clear"/>
              <w:tblLayout w:type="autofit"/>
              <w:tblCellMar>
                <w:top w:w="15" w:type="dxa"/>
                <w:left w:w="15" w:type="dxa"/>
                <w:bottom w:w="15" w:type="dxa"/>
                <w:right w:w="15" w:type="dxa"/>
              </w:tblCellMar>
            </w:tblPr>
            <w:tblGrid>
              <w:gridCol w:w="240"/>
              <w:gridCol w:w="1080"/>
              <w:gridCol w:w="2202"/>
              <w:gridCol w:w="1256"/>
              <w:gridCol w:w="1156"/>
              <w:gridCol w:w="1248"/>
              <w:gridCol w:w="1124"/>
            </w:tblGrid>
            <w:tr>
              <w:tblPrEx>
                <w:shd w:val="clear"/>
                <w:tblCellMar>
                  <w:top w:w="15" w:type="dxa"/>
                  <w:left w:w="15" w:type="dxa"/>
                  <w:bottom w:w="15" w:type="dxa"/>
                  <w:right w:w="15" w:type="dxa"/>
                </w:tblCellMar>
              </w:tblPrEx>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号</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违法行为</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处罚依据</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适用条件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（处罚层级分类）</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裁量幅度</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行政处罚权限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（执法单位、程序）</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备 注</w:t>
                  </w:r>
                </w:p>
              </w:tc>
            </w:tr>
            <w:tr>
              <w:tblPrEx>
                <w:tblCellMar>
                  <w:top w:w="15" w:type="dxa"/>
                  <w:left w:w="15" w:type="dxa"/>
                  <w:bottom w:w="15" w:type="dxa"/>
                  <w:right w:w="15" w:type="dxa"/>
                </w:tblCellMar>
              </w:tblPrEx>
              <w:tc>
                <w:tcPr>
                  <w:tcW w:w="0" w:type="auto"/>
                  <w:vMerge w:val="restart"/>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_GB2312" w:eastAsia="仿宋_GB2312" w:cs="仿宋_GB2312" w:hAnsiTheme="minorHAnsi"/>
                      <w:kern w:val="0"/>
                      <w:sz w:val="21"/>
                      <w:szCs w:val="21"/>
                      <w:bdr w:val="none" w:color="auto" w:sz="0" w:space="0"/>
                      <w:lang w:val="en-US" w:eastAsia="zh-CN" w:bidi="ar"/>
                    </w:rPr>
                    <w:t>4</w:t>
                  </w:r>
                </w:p>
              </w:tc>
              <w:tc>
                <w:tcPr>
                  <w:tcW w:w="0" w:type="auto"/>
                  <w:vMerge w:val="restart"/>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违反国家有关规定，改变人防工程主体结构、拆除人防工程设施设备或采用其他方法危害人防工程的安全和使用效能</w:t>
                  </w:r>
                </w:p>
              </w:tc>
              <w:tc>
                <w:tcPr>
                  <w:tcW w:w="0" w:type="auto"/>
                  <w:vMerge w:val="restart"/>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（五）占用人民防空通信专用频率、使用与防空警报相同信号的音响信号或者擅自拆除人民防空通信、警报设备设施的；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（六）阻挠安装人民防空通信、警报设施，拒不改正的；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（七）向人民防空工程内排入废水、废气或者倾倒废弃物的。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二、《四川省&lt;中华人民共和国人民防空法&gt;实施办法》</w:t>
                  </w:r>
                  <w:r>
                    <w:rPr>
                      <w:rFonts w:hint="eastAsia" w:ascii="黑体" w:hAnsi="宋体" w:eastAsia="黑体" w:cs="黑体"/>
                      <w:kern w:val="0"/>
                      <w:sz w:val="21"/>
                      <w:szCs w:val="21"/>
                      <w:bdr w:val="none" w:color="auto" w:sz="0" w:space="0"/>
                      <w:lang w:val="en-US" w:eastAsia="zh-CN" w:bidi="ar"/>
                    </w:rPr>
                    <w:t>第23条，</w:t>
                  </w:r>
                  <w:r>
                    <w:rPr>
                      <w:rFonts w:hint="eastAsia" w:ascii="仿宋_GB2312" w:eastAsia="仿宋_GB2312" w:cs="仿宋_GB2312" w:hAnsiTheme="minorHAnsi"/>
                      <w:kern w:val="0"/>
                      <w:sz w:val="21"/>
                      <w:szCs w:val="21"/>
                      <w:bdr w:val="none" w:color="auto" w:sz="0" w:space="0"/>
                      <w:lang w:val="en-US" w:eastAsia="zh-CN" w:bidi="ar"/>
                    </w:rPr>
                    <w:t>任何单位和个人不得擅自拆除人民防空工程和设施。确需拆除的，建设单位应向人民防空主管部门申报审批，并由拆除单位补建不少于原面积、不低于现行防护等级的人民防空工程，或者按现行工程造价给予补偿，由人民防空主管部门择地统建。</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违反国家有关规定，改变人民防空工程主体结构、拆除人民防空工程设施设备或采用其他方法危害人民防空工程的安全和使用效能不及时改正的。</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责令限期改正，依法赔偿损失或择地补建，给予警告，对个人并处1千元以上3千元以下、单位并处1万元以上3万元以下的罚款。</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由所在县（市、区）人防执法人员及相关部门提出处罚意见，报所在县（市、区）人防办主管领导批准后，作出行政处罚决定，并报市（州）人防主管部门备案。</w:t>
                  </w:r>
                </w:p>
              </w:tc>
              <w:tc>
                <w:tcPr>
                  <w:tcW w:w="0" w:type="auto"/>
                  <w:vMerge w:val="restart"/>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从作出行政处罚决定之日起，15日内将处罚决定书和必要的说明材料，抄报本级政府法制部门和上一级人民防空主管部门备案。</w:t>
                  </w:r>
                </w:p>
              </w:tc>
            </w:tr>
            <w:tr>
              <w:tblPrEx>
                <w:shd w:val="clear"/>
                <w:tblCellMar>
                  <w:top w:w="15" w:type="dxa"/>
                  <w:left w:w="15" w:type="dxa"/>
                  <w:bottom w:w="15" w:type="dxa"/>
                  <w:right w:w="15" w:type="dxa"/>
                </w:tblCellMar>
              </w:tblPrEx>
              <w:tc>
                <w:tcPr>
                  <w:tcW w:w="0" w:type="auto"/>
                  <w:vMerge w:val="continue"/>
                  <w:shd w:val="clear"/>
                  <w:vAlign w:val="center"/>
                </w:tcPr>
                <w:p>
                  <w:pPr>
                    <w:rPr>
                      <w:rFonts w:hint="eastAsia" w:ascii="宋体"/>
                      <w:sz w:val="24"/>
                      <w:szCs w:val="24"/>
                    </w:rPr>
                  </w:pPr>
                </w:p>
              </w:tc>
              <w:tc>
                <w:tcPr>
                  <w:tcW w:w="0" w:type="auto"/>
                  <w:vMerge w:val="continue"/>
                  <w:shd w:val="clear"/>
                  <w:vAlign w:val="center"/>
                </w:tcPr>
                <w:p>
                  <w:pPr>
                    <w:rPr>
                      <w:rFonts w:hint="eastAsia" w:ascii="宋体"/>
                      <w:sz w:val="24"/>
                      <w:szCs w:val="24"/>
                    </w:rPr>
                  </w:pPr>
                </w:p>
              </w:tc>
              <w:tc>
                <w:tcPr>
                  <w:tcW w:w="0" w:type="auto"/>
                  <w:vMerge w:val="continue"/>
                  <w:shd w:val="clear"/>
                  <w:vAlign w:val="center"/>
                </w:tcPr>
                <w:p>
                  <w:pPr>
                    <w:rPr>
                      <w:rFonts w:hint="eastAsia" w:ascii="宋体"/>
                      <w:sz w:val="24"/>
                      <w:szCs w:val="24"/>
                    </w:rPr>
                  </w:pP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违反国家有关规定，改变人民防空工程主体结构、拆除人民防空工程设施设备或采用其他方法危害人民防空工程的安全和使用效能，造成较大损失且情节较严重的。</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责令限期改正，依法赔偿损失或择地补建，给予严重警告，对个人并处3千元以上5千元以下、单位并处3万元以上5万元以下的罚款。</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由所在市（州）人防执法人员及相关部门提出处罚意见，报所在市（州）人防办主管领导批准后，作出行政处罚决定，并报省人防主管部门备案。</w:t>
                  </w:r>
                </w:p>
              </w:tc>
              <w:tc>
                <w:tcPr>
                  <w:tcW w:w="0" w:type="auto"/>
                  <w:vMerge w:val="continue"/>
                  <w:shd w:val="clear"/>
                  <w:vAlign w:val="center"/>
                </w:tcPr>
                <w:p>
                  <w:pPr>
                    <w:rPr>
                      <w:rFonts w:hint="eastAsia" w:ascii="宋体"/>
                      <w:sz w:val="24"/>
                      <w:szCs w:val="24"/>
                    </w:rPr>
                  </w:pPr>
                </w:p>
              </w:tc>
            </w:tr>
            <w:tr>
              <w:tblPrEx>
                <w:shd w:val="clear"/>
                <w:tblCellMar>
                  <w:top w:w="15" w:type="dxa"/>
                  <w:left w:w="15" w:type="dxa"/>
                  <w:bottom w:w="15" w:type="dxa"/>
                  <w:right w:w="15" w:type="dxa"/>
                </w:tblCellMar>
              </w:tblPrEx>
              <w:tc>
                <w:tcPr>
                  <w:tcW w:w="0" w:type="auto"/>
                  <w:shd w:val="clear"/>
                  <w:vAlign w:val="center"/>
                </w:tcPr>
                <w:p>
                  <w:pPr>
                    <w:rPr>
                      <w:rFonts w:hint="eastAsia" w:ascii="宋体"/>
                      <w:sz w:val="24"/>
                      <w:szCs w:val="24"/>
                    </w:rPr>
                  </w:pPr>
                </w:p>
              </w:tc>
              <w:tc>
                <w:tcPr>
                  <w:tcW w:w="0" w:type="auto"/>
                  <w:shd w:val="clear"/>
                  <w:vAlign w:val="center"/>
                </w:tcPr>
                <w:p>
                  <w:pPr>
                    <w:rPr>
                      <w:rFonts w:hint="eastAsia" w:ascii="宋体"/>
                      <w:sz w:val="24"/>
                      <w:szCs w:val="24"/>
                    </w:rPr>
                  </w:pPr>
                </w:p>
              </w:tc>
              <w:tc>
                <w:tcPr>
                  <w:tcW w:w="0" w:type="auto"/>
                  <w:vMerge w:val="continue"/>
                  <w:shd w:val="clear"/>
                  <w:vAlign w:val="center"/>
                </w:tcPr>
                <w:p>
                  <w:pPr>
                    <w:rPr>
                      <w:rFonts w:hint="eastAsia" w:ascii="宋体"/>
                      <w:sz w:val="24"/>
                      <w:szCs w:val="24"/>
                    </w:rPr>
                  </w:pP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违反国家有关规定，改变人民防空工程主体结构、拆除人民防空工程设施设备或采用其他方法危害人民防空工程的安全和使用效能，造成重大损失且情节恶劣的。</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责令限期改正，依法赔偿损失或择地补建，对个人并处5千元、单位并处5万元的罚款。</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由所在市（州）人防执法人员及相关部门提出处罚意见，经省人防主管部门审查后，报省人防办主任办公会议研究，作出行政处罚决定。</w:t>
                  </w:r>
                </w:p>
              </w:tc>
              <w:tc>
                <w:tcPr>
                  <w:tcW w:w="0" w:type="auto"/>
                  <w:vMerge w:val="continue"/>
                  <w:shd w:val="clear"/>
                  <w:vAlign w:val="center"/>
                </w:tcPr>
                <w:p>
                  <w:pPr>
                    <w:rPr>
                      <w:rFonts w:hint="eastAsia" w:ascii="宋体"/>
                      <w:sz w:val="24"/>
                      <w:szCs w:val="24"/>
                    </w:rPr>
                  </w:pPr>
                </w:p>
              </w:tc>
            </w:tr>
            <w:tr>
              <w:tblPrEx>
                <w:shd w:val="clear"/>
                <w:tblCellMar>
                  <w:top w:w="15" w:type="dxa"/>
                  <w:left w:w="15" w:type="dxa"/>
                  <w:bottom w:w="15" w:type="dxa"/>
                  <w:right w:w="15" w:type="dxa"/>
                </w:tblCellMar>
              </w:tblPrEx>
              <w:tc>
                <w:tcPr>
                  <w:tcW w:w="0" w:type="auto"/>
                  <w:vMerge w:val="restart"/>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_GB2312" w:eastAsia="仿宋_GB2312" w:cs="仿宋_GB2312" w:hAnsiTheme="minorHAnsi"/>
                      <w:kern w:val="0"/>
                      <w:sz w:val="21"/>
                      <w:szCs w:val="21"/>
                      <w:bdr w:val="none" w:color="auto" w:sz="0" w:space="0"/>
                      <w:lang w:val="en-US" w:eastAsia="zh-CN" w:bidi="ar"/>
                    </w:rPr>
                    <w:t>5</w:t>
                  </w:r>
                </w:p>
              </w:tc>
              <w:tc>
                <w:tcPr>
                  <w:tcW w:w="0" w:type="auto"/>
                  <w:vMerge w:val="restart"/>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拆除人防工程后拒不补建</w:t>
                  </w:r>
                </w:p>
              </w:tc>
              <w:tc>
                <w:tcPr>
                  <w:tcW w:w="0" w:type="auto"/>
                  <w:vMerge w:val="continue"/>
                  <w:shd w:val="clear"/>
                  <w:vAlign w:val="center"/>
                </w:tcPr>
                <w:p>
                  <w:pPr>
                    <w:rPr>
                      <w:rFonts w:hint="eastAsia" w:ascii="宋体"/>
                      <w:sz w:val="24"/>
                      <w:szCs w:val="24"/>
                    </w:rPr>
                  </w:pP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拆除人民防空工程建筑面积1平方米以下，拒不补建的。</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责令限期改正，依法赔偿损失，给予警告，对个人并处200元以上1千元以下、单位并处500元以上1万元以下的罚款。</w:t>
                  </w:r>
                </w:p>
              </w:tc>
              <w:tc>
                <w:tcPr>
                  <w:tcW w:w="0" w:type="auto"/>
                  <w:vMerge w:val="restart"/>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由所在县（市、区）人防执法人员及相关部门提出处罚意见，报所在县（市、区）人防办主管领导批准后，作出行政处罚决定，并报市（州）人防主管部门备案。</w:t>
                  </w:r>
                </w:p>
              </w:tc>
              <w:tc>
                <w:tcPr>
                  <w:tcW w:w="0" w:type="auto"/>
                  <w:vMerge w:val="continue"/>
                  <w:shd w:val="clear"/>
                  <w:vAlign w:val="center"/>
                </w:tcPr>
                <w:p>
                  <w:pPr>
                    <w:rPr>
                      <w:rFonts w:hint="eastAsia" w:ascii="宋体"/>
                      <w:sz w:val="24"/>
                      <w:szCs w:val="24"/>
                    </w:rPr>
                  </w:pPr>
                </w:p>
              </w:tc>
            </w:tr>
            <w:tr>
              <w:tblPrEx>
                <w:shd w:val="clear"/>
                <w:tblCellMar>
                  <w:top w:w="15" w:type="dxa"/>
                  <w:left w:w="15" w:type="dxa"/>
                  <w:bottom w:w="15" w:type="dxa"/>
                  <w:right w:w="15" w:type="dxa"/>
                </w:tblCellMar>
              </w:tblPrEx>
              <w:tc>
                <w:tcPr>
                  <w:tcW w:w="0" w:type="auto"/>
                  <w:vMerge w:val="continue"/>
                  <w:shd w:val="clear"/>
                  <w:vAlign w:val="center"/>
                </w:tcPr>
                <w:p>
                  <w:pPr>
                    <w:rPr>
                      <w:rFonts w:hint="eastAsia" w:ascii="宋体"/>
                      <w:sz w:val="24"/>
                      <w:szCs w:val="24"/>
                    </w:rPr>
                  </w:pPr>
                </w:p>
              </w:tc>
              <w:tc>
                <w:tcPr>
                  <w:tcW w:w="0" w:type="auto"/>
                  <w:vMerge w:val="continue"/>
                  <w:shd w:val="clear"/>
                  <w:vAlign w:val="center"/>
                </w:tcPr>
                <w:p>
                  <w:pPr>
                    <w:rPr>
                      <w:rFonts w:hint="eastAsia" w:ascii="宋体"/>
                      <w:sz w:val="24"/>
                      <w:szCs w:val="24"/>
                    </w:rPr>
                  </w:pPr>
                </w:p>
              </w:tc>
              <w:tc>
                <w:tcPr>
                  <w:tcW w:w="0" w:type="auto"/>
                  <w:vMerge w:val="continue"/>
                  <w:shd w:val="clear"/>
                  <w:vAlign w:val="center"/>
                </w:tcPr>
                <w:p>
                  <w:pPr>
                    <w:rPr>
                      <w:rFonts w:hint="eastAsia" w:ascii="宋体"/>
                      <w:sz w:val="24"/>
                      <w:szCs w:val="24"/>
                    </w:rPr>
                  </w:pP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拆除人民防空工程建筑面积1～50平方米，拒不补建的。</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责令限期改正，依法赔偿损失或择地补建，给予严重警告，对个人并处1千元以上3千元以下、单位并处1万以上3万元以下的罚款。</w:t>
                  </w:r>
                </w:p>
              </w:tc>
              <w:tc>
                <w:tcPr>
                  <w:tcW w:w="0" w:type="auto"/>
                  <w:vMerge w:val="continue"/>
                  <w:shd w:val="clear"/>
                  <w:vAlign w:val="center"/>
                </w:tcPr>
                <w:p>
                  <w:pPr>
                    <w:rPr>
                      <w:rFonts w:hint="eastAsia" w:ascii="宋体"/>
                      <w:sz w:val="24"/>
                      <w:szCs w:val="24"/>
                    </w:rPr>
                  </w:pPr>
                </w:p>
              </w:tc>
              <w:tc>
                <w:tcPr>
                  <w:tcW w:w="0" w:type="auto"/>
                  <w:vMerge w:val="continue"/>
                  <w:shd w:val="clear"/>
                  <w:vAlign w:val="center"/>
                </w:tcPr>
                <w:p>
                  <w:pPr>
                    <w:rPr>
                      <w:rFonts w:hint="eastAsia" w:ascii="宋体"/>
                      <w:sz w:val="24"/>
                      <w:szCs w:val="24"/>
                    </w:rPr>
                  </w:pPr>
                </w:p>
              </w:tc>
            </w:tr>
            <w:tr>
              <w:tblPrEx>
                <w:shd w:val="clear"/>
                <w:tblCellMar>
                  <w:top w:w="15" w:type="dxa"/>
                  <w:left w:w="15" w:type="dxa"/>
                  <w:bottom w:w="15" w:type="dxa"/>
                  <w:right w:w="15" w:type="dxa"/>
                </w:tblCellMar>
              </w:tblPrEx>
              <w:tc>
                <w:tcPr>
                  <w:tcW w:w="0" w:type="auto"/>
                  <w:vMerge w:val="continue"/>
                  <w:shd w:val="clear"/>
                  <w:vAlign w:val="center"/>
                </w:tcPr>
                <w:p>
                  <w:pPr>
                    <w:rPr>
                      <w:rFonts w:hint="eastAsia" w:ascii="宋体"/>
                      <w:sz w:val="24"/>
                      <w:szCs w:val="24"/>
                    </w:rPr>
                  </w:pPr>
                </w:p>
              </w:tc>
              <w:tc>
                <w:tcPr>
                  <w:tcW w:w="0" w:type="auto"/>
                  <w:vMerge w:val="continue"/>
                  <w:shd w:val="clear"/>
                  <w:vAlign w:val="center"/>
                </w:tcPr>
                <w:p>
                  <w:pPr>
                    <w:rPr>
                      <w:rFonts w:hint="eastAsia" w:ascii="宋体"/>
                      <w:sz w:val="24"/>
                      <w:szCs w:val="24"/>
                    </w:rPr>
                  </w:pPr>
                </w:p>
              </w:tc>
              <w:tc>
                <w:tcPr>
                  <w:tcW w:w="0" w:type="auto"/>
                  <w:vMerge w:val="continue"/>
                  <w:shd w:val="clear"/>
                  <w:vAlign w:val="center"/>
                </w:tcPr>
                <w:p>
                  <w:pPr>
                    <w:rPr>
                      <w:rFonts w:hint="eastAsia" w:ascii="宋体"/>
                      <w:sz w:val="24"/>
                      <w:szCs w:val="24"/>
                    </w:rPr>
                  </w:pP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_GB2312" w:eastAsia="仿宋_GB2312" w:cs="仿宋_GB2312" w:hAnsiTheme="minorHAnsi"/>
                      <w:kern w:val="0"/>
                      <w:sz w:val="21"/>
                      <w:szCs w:val="21"/>
                      <w:bdr w:val="none" w:color="auto" w:sz="0" w:space="0"/>
                      <w:lang w:val="en-US" w:eastAsia="zh-CN" w:bidi="ar"/>
                    </w:rPr>
                    <w:t>拆除人民防空工程建筑面积50～100平方米，拒不补建的。</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责令限期改正，依法赔偿损失或择地补建，对个人并处3千元以上5千元以下、单位并处3万元以上5万元以下的罚款。</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_GB2312" w:eastAsia="仿宋_GB2312" w:cs="仿宋_GB2312" w:hAnsiTheme="minorHAnsi"/>
                      <w:kern w:val="0"/>
                      <w:sz w:val="21"/>
                      <w:szCs w:val="21"/>
                      <w:bdr w:val="none" w:color="auto" w:sz="0" w:space="0"/>
                      <w:lang w:val="en-US" w:eastAsia="zh-CN" w:bidi="ar"/>
                    </w:rPr>
                    <w:t>由所在市（州）人防执法人员及相关部门提出处罚意见，报所在市（州）人防办主管领导批准后，作出行政处罚决定，并报省人防主管部门备案。</w:t>
                  </w:r>
                </w:p>
              </w:tc>
              <w:tc>
                <w:tcPr>
                  <w:tcW w:w="0" w:type="auto"/>
                  <w:vMerge w:val="continue"/>
                  <w:shd w:val="clear"/>
                  <w:vAlign w:val="center"/>
                </w:tcPr>
                <w:p>
                  <w:pPr>
                    <w:rPr>
                      <w:rFonts w:hint="eastAsia" w:ascii="宋体"/>
                      <w:sz w:val="24"/>
                      <w:szCs w:val="24"/>
                    </w:rPr>
                  </w:pP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b/>
                <w:bCs/>
                <w:i w:val="0"/>
                <w:iCs w:val="0"/>
                <w:caps w:val="0"/>
                <w:color w:val="000000"/>
                <w:spacing w:val="0"/>
                <w:kern w:val="0"/>
                <w:sz w:val="28"/>
                <w:szCs w:val="28"/>
                <w:bdr w:val="none" w:color="auto" w:sz="0" w:space="0"/>
                <w:lang w:val="en-US" w:eastAsia="zh-CN" w:bidi="ar"/>
              </w:rPr>
              <w:t>四川省人民防空行政处罚自由裁量权的实施标准（二）</w:t>
            </w:r>
          </w:p>
          <w:tbl>
            <w:tblPr>
              <w:tblW w:w="0" w:type="auto"/>
              <w:tblInd w:w="0" w:type="dxa"/>
              <w:shd w:val="clear"/>
              <w:tblLayout w:type="autofit"/>
              <w:tblCellMar>
                <w:top w:w="15" w:type="dxa"/>
                <w:left w:w="15" w:type="dxa"/>
                <w:bottom w:w="15" w:type="dxa"/>
                <w:right w:w="15" w:type="dxa"/>
              </w:tblCellMar>
            </w:tblPr>
            <w:tblGrid>
              <w:gridCol w:w="240"/>
              <w:gridCol w:w="1027"/>
              <w:gridCol w:w="1892"/>
              <w:gridCol w:w="1440"/>
              <w:gridCol w:w="1156"/>
              <w:gridCol w:w="1284"/>
              <w:gridCol w:w="1267"/>
            </w:tblGrid>
            <w:tr>
              <w:tblPrEx>
                <w:shd w:val="clear"/>
              </w:tblPrEx>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号</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违法行为</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处罚依据</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适用条件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（处罚层级分类）</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裁量幅度</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行政处罚权限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（执法单位、程序）</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备  注</w:t>
                  </w:r>
                </w:p>
              </w:tc>
            </w:tr>
            <w:tr>
              <w:tc>
                <w:tcPr>
                  <w:tcW w:w="0" w:type="auto"/>
                  <w:vMerge w:val="restart"/>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6</w:t>
                  </w:r>
                </w:p>
              </w:tc>
              <w:tc>
                <w:tcPr>
                  <w:tcW w:w="0" w:type="auto"/>
                  <w:vMerge w:val="restart"/>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_GB2312" w:eastAsia="仿宋_GB2312" w:cs="仿宋_GB2312" w:hAnsiTheme="minorHAnsi"/>
                      <w:kern w:val="0"/>
                      <w:sz w:val="21"/>
                      <w:szCs w:val="21"/>
                      <w:bdr w:val="none" w:color="auto" w:sz="0" w:space="0"/>
                      <w:lang w:val="en-US" w:eastAsia="zh-CN" w:bidi="ar"/>
                    </w:rPr>
                    <w:t>占用人防通信专用频率、使用与防空警报相同信号的音响信号或擅自拆除人防通信、警报设施设备</w:t>
                  </w:r>
                </w:p>
              </w:tc>
              <w:tc>
                <w:tcPr>
                  <w:tcW w:w="0" w:type="auto"/>
                  <w:vMerge w:val="restart"/>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黑体" w:hAnsi="宋体" w:eastAsia="黑体" w:cs="黑体"/>
                      <w:kern w:val="0"/>
                      <w:sz w:val="21"/>
                      <w:szCs w:val="21"/>
                      <w:bdr w:val="none" w:color="auto" w:sz="0" w:space="0"/>
                      <w:lang w:val="en-US" w:eastAsia="zh-CN" w:bidi="ar"/>
                    </w:rPr>
                    <w:t>第25条，</w:t>
                  </w:r>
                  <w:r>
                    <w:rPr>
                      <w:rFonts w:hint="eastAsia" w:ascii="仿宋_GB2312" w:eastAsia="仿宋_GB2312" w:cs="仿宋_GB2312" w:hAnsiTheme="minorHAnsi"/>
                      <w:kern w:val="0"/>
                      <w:sz w:val="21"/>
                      <w:szCs w:val="21"/>
                      <w:bdr w:val="none" w:color="auto" w:sz="0" w:space="0"/>
                      <w:lang w:val="en-US" w:eastAsia="zh-CN" w:bidi="ar"/>
                    </w:rPr>
                    <w:t>人民防空警报设施由人民防空主管部门组织安装，有关单位或个人应当提供方便条件，不得阻挠。警报设施由所在单位负责日常管理。拆除警报设施必须经人民防空主管部门批准，由拆除单位补建。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黑体" w:hAnsi="宋体" w:eastAsia="黑体" w:cs="黑体"/>
                      <w:kern w:val="0"/>
                      <w:sz w:val="21"/>
                      <w:szCs w:val="21"/>
                      <w:bdr w:val="none" w:color="auto" w:sz="0" w:space="0"/>
                      <w:lang w:val="en-US" w:eastAsia="zh-CN" w:bidi="ar"/>
                    </w:rPr>
                    <w:t>第26条，</w:t>
                  </w:r>
                  <w:r>
                    <w:rPr>
                      <w:rFonts w:hint="eastAsia" w:ascii="仿宋_GB2312" w:eastAsia="仿宋_GB2312" w:cs="仿宋_GB2312" w:hAnsiTheme="minorHAnsi"/>
                      <w:kern w:val="0"/>
                      <w:sz w:val="21"/>
                      <w:szCs w:val="21"/>
                      <w:bdr w:val="none" w:color="auto" w:sz="0" w:space="0"/>
                      <w:lang w:val="en-US" w:eastAsia="zh-CN" w:bidi="ar"/>
                    </w:rPr>
                    <w:t>禁止下列危害人民防空安全的行为：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（一）在人民防空工程内生产和储存剧毒、易燃、易爆、放射性和腐蚀性物品；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（二）在人民防空工程防护范围内采石、取土、钻探、爆破；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（三）向人民防空工程排放废水、废气和倾倒废弃物；</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（四）占用、堵塞和毁坏人民防空工程及其出入口；</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拆除人民防空工程建筑面积100平方米以上，拒不补建的。</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责令限期改正，依法赔偿损失或择地补建，对个人并处5千元、单位并处5万元的罚款。</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由所在市（州）人防执法人员及相关部门提出处罚意见，经省人防主管部门审查后，报省人防办主任办公会议研究，作出行政处罚决定。</w:t>
                  </w:r>
                </w:p>
              </w:tc>
              <w:tc>
                <w:tcPr>
                  <w:tcW w:w="0" w:type="auto"/>
                  <w:vMerge w:val="restart"/>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从作出行政处罚决定之日起，15日内将处罚决定书和必要的说明材料，抄报本级政府法制部门和上一级人民防空主管部门备案。</w:t>
                  </w:r>
                </w:p>
              </w:tc>
            </w:tr>
            <w:tr>
              <w:tc>
                <w:tcPr>
                  <w:tcW w:w="0" w:type="auto"/>
                  <w:vMerge w:val="continue"/>
                  <w:shd w:val="clear"/>
                  <w:vAlign w:val="center"/>
                </w:tcPr>
                <w:p>
                  <w:pPr>
                    <w:rPr>
                      <w:rFonts w:hint="eastAsia" w:ascii="宋体"/>
                      <w:sz w:val="24"/>
                      <w:szCs w:val="24"/>
                    </w:rPr>
                  </w:pPr>
                </w:p>
              </w:tc>
              <w:tc>
                <w:tcPr>
                  <w:tcW w:w="0" w:type="auto"/>
                  <w:vMerge w:val="continue"/>
                  <w:shd w:val="clear"/>
                  <w:vAlign w:val="center"/>
                </w:tcPr>
                <w:p>
                  <w:pPr>
                    <w:rPr>
                      <w:rFonts w:hint="eastAsia" w:ascii="宋体"/>
                      <w:sz w:val="24"/>
                      <w:szCs w:val="24"/>
                    </w:rPr>
                  </w:pPr>
                </w:p>
              </w:tc>
              <w:tc>
                <w:tcPr>
                  <w:tcW w:w="0" w:type="auto"/>
                  <w:vMerge w:val="continue"/>
                  <w:shd w:val="clear"/>
                  <w:vAlign w:val="center"/>
                </w:tcPr>
                <w:p>
                  <w:pPr>
                    <w:rPr>
                      <w:rFonts w:hint="eastAsia" w:ascii="宋体"/>
                      <w:sz w:val="24"/>
                      <w:szCs w:val="24"/>
                    </w:rPr>
                  </w:pP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占用人民防空通信专用频率、使用与防空警报相同的音响信号或者擅自拆除人民防空通信、警报设施设备以及阻挠安装人民防空通信、警报设施，造成损失能及时改正的。</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责令限期改正，依法赔偿损失，给予警告，对个人并处200元以上1千元以下、单位并处500元以上1万元以下的罚款。</w:t>
                  </w:r>
                </w:p>
              </w:tc>
              <w:tc>
                <w:tcPr>
                  <w:tcW w:w="0" w:type="auto"/>
                  <w:vMerge w:val="restart"/>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_GB2312" w:eastAsia="仿宋_GB2312" w:cs="仿宋_GB2312" w:hAnsiTheme="minorHAnsi"/>
                      <w:kern w:val="0"/>
                      <w:sz w:val="21"/>
                      <w:szCs w:val="21"/>
                      <w:bdr w:val="none" w:color="auto" w:sz="0" w:space="0"/>
                      <w:lang w:val="en-US" w:eastAsia="zh-CN" w:bidi="ar"/>
                    </w:rPr>
                    <w:t>由所在县（市、区）人防执法人员及相关部门提出处罚意见，报所在县（市、区）人防办主管领导批准后，作出行政处罚决定，并报市（州）人防主管部门备案。</w:t>
                  </w:r>
                </w:p>
              </w:tc>
              <w:tc>
                <w:tcPr>
                  <w:tcW w:w="0" w:type="auto"/>
                  <w:vMerge w:val="continue"/>
                  <w:shd w:val="clear"/>
                  <w:vAlign w:val="center"/>
                </w:tcPr>
                <w:p>
                  <w:pPr>
                    <w:rPr>
                      <w:rFonts w:hint="eastAsia" w:ascii="宋体"/>
                      <w:sz w:val="24"/>
                      <w:szCs w:val="24"/>
                    </w:rPr>
                  </w:pPr>
                </w:p>
              </w:tc>
            </w:tr>
            <w:tr>
              <w:tc>
                <w:tcPr>
                  <w:tcW w:w="0" w:type="auto"/>
                  <w:vMerge w:val="continue"/>
                  <w:shd w:val="clear"/>
                  <w:vAlign w:val="center"/>
                </w:tcPr>
                <w:p>
                  <w:pPr>
                    <w:rPr>
                      <w:rFonts w:hint="eastAsia" w:ascii="宋体"/>
                      <w:sz w:val="24"/>
                      <w:szCs w:val="24"/>
                    </w:rPr>
                  </w:pPr>
                </w:p>
              </w:tc>
              <w:tc>
                <w:tcPr>
                  <w:tcW w:w="0" w:type="auto"/>
                  <w:vMerge w:val="continue"/>
                  <w:shd w:val="clear"/>
                  <w:vAlign w:val="center"/>
                </w:tcPr>
                <w:p>
                  <w:pPr>
                    <w:rPr>
                      <w:rFonts w:hint="eastAsia" w:ascii="宋体"/>
                      <w:sz w:val="24"/>
                      <w:szCs w:val="24"/>
                    </w:rPr>
                  </w:pPr>
                </w:p>
              </w:tc>
              <w:tc>
                <w:tcPr>
                  <w:tcW w:w="0" w:type="auto"/>
                  <w:vMerge w:val="continue"/>
                  <w:shd w:val="clear"/>
                  <w:vAlign w:val="center"/>
                </w:tcPr>
                <w:p>
                  <w:pPr>
                    <w:rPr>
                      <w:rFonts w:hint="eastAsia" w:ascii="宋体"/>
                      <w:sz w:val="24"/>
                      <w:szCs w:val="24"/>
                    </w:rPr>
                  </w:pPr>
                </w:p>
              </w:tc>
              <w:tc>
                <w:tcPr>
                  <w:tcW w:w="0" w:type="auto"/>
                  <w:vMerge w:val="restart"/>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占用人民防空通信专用频率、使用与防空警报相同的音响信号或者擅自拆除人民防空通信、警报设施设备以及阻挠安装人民防空通信、警报设施，造成较大损失且不及时改正的。</w:t>
                  </w:r>
                </w:p>
              </w:tc>
              <w:tc>
                <w:tcPr>
                  <w:tcW w:w="0" w:type="auto"/>
                  <w:vMerge w:val="restart"/>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责令限期改正，依法赔偿损失，给予严重警告，对个人并处1千元以上3千元以下、单位并处1万元以上3万元以下的罚款。</w:t>
                  </w:r>
                </w:p>
              </w:tc>
              <w:tc>
                <w:tcPr>
                  <w:tcW w:w="0" w:type="auto"/>
                  <w:vMerge w:val="continue"/>
                  <w:shd w:val="clear"/>
                  <w:vAlign w:val="center"/>
                </w:tcPr>
                <w:p>
                  <w:pPr>
                    <w:rPr>
                      <w:rFonts w:hint="eastAsia" w:ascii="宋体"/>
                      <w:sz w:val="24"/>
                      <w:szCs w:val="24"/>
                    </w:rPr>
                  </w:pPr>
                </w:p>
              </w:tc>
              <w:tc>
                <w:tcPr>
                  <w:tcW w:w="0" w:type="auto"/>
                  <w:vMerge w:val="continue"/>
                  <w:shd w:val="clear"/>
                  <w:vAlign w:val="center"/>
                </w:tcPr>
                <w:p>
                  <w:pPr>
                    <w:rPr>
                      <w:rFonts w:hint="eastAsia" w:ascii="宋体"/>
                      <w:sz w:val="24"/>
                      <w:szCs w:val="24"/>
                    </w:rPr>
                  </w:pPr>
                </w:p>
              </w:tc>
            </w:tr>
            <w:tr>
              <w:tc>
                <w:tcPr>
                  <w:tcW w:w="0" w:type="auto"/>
                  <w:vMerge w:val="restart"/>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7</w:t>
                  </w:r>
                </w:p>
              </w:tc>
              <w:tc>
                <w:tcPr>
                  <w:tcW w:w="0" w:type="auto"/>
                  <w:vMerge w:val="restart"/>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阻挠安</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_GB2312" w:eastAsia="仿宋_GB2312" w:cs="仿宋_GB2312" w:hAnsiTheme="minorHAnsi"/>
                      <w:kern w:val="0"/>
                      <w:sz w:val="21"/>
                      <w:szCs w:val="21"/>
                      <w:bdr w:val="none" w:color="auto" w:sz="0" w:space="0"/>
                      <w:lang w:val="en-US" w:eastAsia="zh-CN" w:bidi="ar"/>
                    </w:rPr>
                    <w:t>装人防通信、警报设施，拒不改正</w:t>
                  </w:r>
                </w:p>
              </w:tc>
              <w:tc>
                <w:tcPr>
                  <w:tcW w:w="0" w:type="auto"/>
                  <w:vMerge w:val="continue"/>
                  <w:shd w:val="clear"/>
                  <w:vAlign w:val="center"/>
                </w:tcPr>
                <w:p>
                  <w:pPr>
                    <w:rPr>
                      <w:rFonts w:hint="eastAsia" w:ascii="宋体"/>
                      <w:sz w:val="24"/>
                      <w:szCs w:val="24"/>
                    </w:rPr>
                  </w:pPr>
                </w:p>
              </w:tc>
              <w:tc>
                <w:tcPr>
                  <w:tcW w:w="0" w:type="auto"/>
                  <w:vMerge w:val="continue"/>
                  <w:shd w:val="clear"/>
                  <w:vAlign w:val="center"/>
                </w:tcPr>
                <w:p>
                  <w:pPr>
                    <w:rPr>
                      <w:rFonts w:hint="eastAsia" w:ascii="宋体"/>
                      <w:sz w:val="24"/>
                      <w:szCs w:val="24"/>
                    </w:rPr>
                  </w:pPr>
                </w:p>
              </w:tc>
              <w:tc>
                <w:tcPr>
                  <w:tcW w:w="0" w:type="auto"/>
                  <w:vMerge w:val="continue"/>
                  <w:shd w:val="clear"/>
                  <w:vAlign w:val="center"/>
                </w:tcPr>
                <w:p>
                  <w:pPr>
                    <w:rPr>
                      <w:rFonts w:hint="eastAsia" w:ascii="宋体"/>
                      <w:sz w:val="24"/>
                      <w:szCs w:val="24"/>
                    </w:rPr>
                  </w:pPr>
                </w:p>
              </w:tc>
              <w:tc>
                <w:tcPr>
                  <w:tcW w:w="0" w:type="auto"/>
                  <w:vMerge w:val="continue"/>
                  <w:shd w:val="clear"/>
                  <w:vAlign w:val="center"/>
                </w:tcPr>
                <w:p>
                  <w:pPr>
                    <w:rPr>
                      <w:rFonts w:hint="eastAsia" w:ascii="宋体"/>
                      <w:sz w:val="24"/>
                      <w:szCs w:val="24"/>
                    </w:rPr>
                  </w:pPr>
                </w:p>
              </w:tc>
              <w:tc>
                <w:tcPr>
                  <w:tcW w:w="0" w:type="auto"/>
                  <w:vMerge w:val="continue"/>
                  <w:shd w:val="clear"/>
                  <w:vAlign w:val="center"/>
                </w:tcPr>
                <w:p>
                  <w:pPr>
                    <w:rPr>
                      <w:rFonts w:hint="eastAsia" w:ascii="宋体"/>
                      <w:sz w:val="24"/>
                      <w:szCs w:val="24"/>
                    </w:rPr>
                  </w:pPr>
                </w:p>
              </w:tc>
            </w:tr>
            <w:tr>
              <w:tc>
                <w:tcPr>
                  <w:tcW w:w="0" w:type="auto"/>
                  <w:vMerge w:val="continue"/>
                  <w:shd w:val="clear"/>
                  <w:vAlign w:val="center"/>
                </w:tcPr>
                <w:p>
                  <w:pPr>
                    <w:rPr>
                      <w:rFonts w:hint="eastAsia" w:ascii="宋体"/>
                      <w:sz w:val="24"/>
                      <w:szCs w:val="24"/>
                    </w:rPr>
                  </w:pPr>
                </w:p>
              </w:tc>
              <w:tc>
                <w:tcPr>
                  <w:tcW w:w="0" w:type="auto"/>
                  <w:vMerge w:val="continue"/>
                  <w:shd w:val="clear"/>
                  <w:vAlign w:val="center"/>
                </w:tcPr>
                <w:p>
                  <w:pPr>
                    <w:rPr>
                      <w:rFonts w:hint="eastAsia" w:ascii="宋体"/>
                      <w:sz w:val="24"/>
                      <w:szCs w:val="24"/>
                    </w:rPr>
                  </w:pPr>
                </w:p>
              </w:tc>
              <w:tc>
                <w:tcPr>
                  <w:tcW w:w="0" w:type="auto"/>
                  <w:vMerge w:val="continue"/>
                  <w:shd w:val="clear"/>
                  <w:vAlign w:val="center"/>
                </w:tcPr>
                <w:p>
                  <w:pPr>
                    <w:rPr>
                      <w:rFonts w:hint="eastAsia" w:ascii="宋体"/>
                      <w:sz w:val="24"/>
                      <w:szCs w:val="24"/>
                    </w:rPr>
                  </w:pP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占用人民防空通信专用频率、使用与防空警报相同的音响信号或者擅自拆除人民防空通信、警报设施设备以及阻挠安装人民防空通信、警报设施，造成重大损失且不及时改正或不采取补救措施的。</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责令限期改正，依法赔偿损失，对个人并处3千元以上5千元以下、单位并处3万元以上5万元以下的罚款。</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由所在市（州）人防执法人员及相关部门提出处罚意见，报所在市（州）人防办主管领导批准后，作出行政处罚决定，并报省人防主管部门备案。</w:t>
                  </w:r>
                </w:p>
              </w:tc>
              <w:tc>
                <w:tcPr>
                  <w:tcW w:w="0" w:type="auto"/>
                  <w:shd w:val="clear"/>
                  <w:vAlign w:val="center"/>
                </w:tcPr>
                <w:p>
                  <w:pPr>
                    <w:rPr>
                      <w:rFonts w:hint="eastAsia" w:ascii="宋体"/>
                      <w:sz w:val="24"/>
                      <w:szCs w:val="24"/>
                    </w:rPr>
                  </w:pP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b/>
                <w:bCs/>
                <w:i w:val="0"/>
                <w:iCs w:val="0"/>
                <w:caps w:val="0"/>
                <w:color w:val="000000"/>
                <w:spacing w:val="0"/>
                <w:kern w:val="0"/>
                <w:sz w:val="28"/>
                <w:szCs w:val="28"/>
                <w:bdr w:val="none" w:color="auto" w:sz="0" w:space="0"/>
                <w:lang w:val="en-US" w:eastAsia="zh-CN" w:bidi="ar"/>
              </w:rPr>
              <w:t>四川省人民防空行政处罚自由裁量权的实施标准（二）</w:t>
            </w:r>
          </w:p>
          <w:tbl>
            <w:tblPr>
              <w:tblW w:w="0" w:type="auto"/>
              <w:tblInd w:w="0" w:type="dxa"/>
              <w:shd w:val="clear"/>
              <w:tblLayout w:type="autofit"/>
              <w:tblCellMar>
                <w:top w:w="15" w:type="dxa"/>
                <w:left w:w="15" w:type="dxa"/>
                <w:bottom w:w="15" w:type="dxa"/>
                <w:right w:w="15" w:type="dxa"/>
              </w:tblCellMar>
            </w:tblPr>
            <w:tblGrid>
              <w:gridCol w:w="240"/>
              <w:gridCol w:w="622"/>
              <w:gridCol w:w="2132"/>
              <w:gridCol w:w="1419"/>
              <w:gridCol w:w="1206"/>
              <w:gridCol w:w="1368"/>
              <w:gridCol w:w="1319"/>
            </w:tblGrid>
            <w:tr>
              <w:tblPrEx>
                <w:shd w:val="clear"/>
                <w:tblCellMar>
                  <w:top w:w="15" w:type="dxa"/>
                  <w:left w:w="15" w:type="dxa"/>
                  <w:bottom w:w="15" w:type="dxa"/>
                  <w:right w:w="15" w:type="dxa"/>
                </w:tblCellMar>
              </w:tblPrEx>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号</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违法行为</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处罚依据</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适用条件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（处罚层级分类）</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裁量幅度</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行政处罚权限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（执法单位、程序）</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备  注</w:t>
                  </w:r>
                </w:p>
              </w:tc>
            </w:tr>
            <w:tr>
              <w:tblPrEx>
                <w:tblCellMar>
                  <w:top w:w="15" w:type="dxa"/>
                  <w:left w:w="15" w:type="dxa"/>
                  <w:bottom w:w="15" w:type="dxa"/>
                  <w:right w:w="15" w:type="dxa"/>
                </w:tblCellMar>
              </w:tblPrEx>
              <w:tc>
                <w:tcPr>
                  <w:tcW w:w="0" w:type="auto"/>
                  <w:vMerge w:val="restart"/>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8</w:t>
                  </w:r>
                </w:p>
              </w:tc>
              <w:tc>
                <w:tcPr>
                  <w:tcW w:w="0" w:type="auto"/>
                  <w:vMerge w:val="restart"/>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_GB2312" w:eastAsia="仿宋_GB2312" w:cs="仿宋_GB2312" w:hAnsiTheme="minorHAnsi"/>
                      <w:kern w:val="0"/>
                      <w:sz w:val="21"/>
                      <w:szCs w:val="21"/>
                      <w:bdr w:val="none" w:color="auto" w:sz="0" w:space="0"/>
                      <w:lang w:val="en-US" w:eastAsia="zh-CN" w:bidi="ar"/>
                    </w:rPr>
                    <w:t>向人防工程内排入废水、废气或倾倒废弃物</w:t>
                  </w:r>
                </w:p>
              </w:tc>
              <w:tc>
                <w:tcPr>
                  <w:tcW w:w="0" w:type="auto"/>
                  <w:vMerge w:val="restart"/>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（五）破坏人民防空通信警报设施，或占用人民防空专用频率以及使用与防空警报相同的音响信号；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（六）其他危及人民防空工程及设施安全或降低人民防空工程使用防护能力的行为。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黑体" w:hAnsi="宋体" w:eastAsia="黑体" w:cs="黑体"/>
                      <w:kern w:val="0"/>
                      <w:sz w:val="21"/>
                      <w:szCs w:val="21"/>
                      <w:bdr w:val="none" w:color="auto" w:sz="0" w:space="0"/>
                      <w:lang w:val="en-US" w:eastAsia="zh-CN" w:bidi="ar"/>
                    </w:rPr>
                    <w:t>第36条，</w:t>
                  </w:r>
                  <w:r>
                    <w:rPr>
                      <w:rFonts w:hint="eastAsia" w:ascii="仿宋_GB2312" w:eastAsia="仿宋_GB2312" w:cs="仿宋_GB2312" w:hAnsiTheme="minorHAnsi"/>
                      <w:kern w:val="0"/>
                      <w:sz w:val="21"/>
                      <w:szCs w:val="21"/>
                      <w:bdr w:val="none" w:color="auto" w:sz="0" w:space="0"/>
                      <w:lang w:val="en-US" w:eastAsia="zh-CN" w:bidi="ar"/>
                    </w:rPr>
                    <w:t>违反本实施办法第14条规定，审查通过不符合国家强制性标准或者未作防空地下室设计的建设项目施工图设计文件的，由人民防空主管部门提出建议，由建设行政主管部门依法处罚；给建设单位造成损失的，应承担相应的赔偿责任。</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占用人民防空通信专用频率、使用与防空警报相同的音响信号或者擅自拆除人民防空通信、警报设施设备以及阻挠安装人民防空通信、警报设施，造成重大损失且情节恶劣。</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责令限期改正，依法赔偿损失，对个人并处5千元、单位并处5万元的罚款。</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由所在市（州）人防执法人员及相关部门提出处罚意见，经省人防主管部门审查后，报省人防办主任办公会议研究，作出行政处罚决定。</w:t>
                  </w:r>
                </w:p>
              </w:tc>
              <w:tc>
                <w:tcPr>
                  <w:tcW w:w="0" w:type="auto"/>
                  <w:vMerge w:val="restart"/>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从作出行政处罚决定之日起，15日内将处罚决定书和必要的说明材料，抄报本级政府法制部门和上一级人民防空主管部门备案。</w:t>
                  </w:r>
                </w:p>
              </w:tc>
            </w:tr>
            <w:tr>
              <w:tblPrEx>
                <w:tblCellMar>
                  <w:top w:w="15" w:type="dxa"/>
                  <w:left w:w="15" w:type="dxa"/>
                  <w:bottom w:w="15" w:type="dxa"/>
                  <w:right w:w="15" w:type="dxa"/>
                </w:tblCellMar>
              </w:tblPrEx>
              <w:tc>
                <w:tcPr>
                  <w:tcW w:w="0" w:type="auto"/>
                  <w:vMerge w:val="continue"/>
                  <w:shd w:val="clear"/>
                  <w:vAlign w:val="center"/>
                </w:tcPr>
                <w:p>
                  <w:pPr>
                    <w:rPr>
                      <w:rFonts w:hint="eastAsia" w:ascii="宋体"/>
                      <w:sz w:val="24"/>
                      <w:szCs w:val="24"/>
                    </w:rPr>
                  </w:pPr>
                </w:p>
              </w:tc>
              <w:tc>
                <w:tcPr>
                  <w:tcW w:w="0" w:type="auto"/>
                  <w:vMerge w:val="continue"/>
                  <w:shd w:val="clear"/>
                  <w:vAlign w:val="center"/>
                </w:tcPr>
                <w:p>
                  <w:pPr>
                    <w:rPr>
                      <w:rFonts w:hint="eastAsia" w:ascii="宋体"/>
                      <w:sz w:val="24"/>
                      <w:szCs w:val="24"/>
                    </w:rPr>
                  </w:pPr>
                </w:p>
              </w:tc>
              <w:tc>
                <w:tcPr>
                  <w:tcW w:w="0" w:type="auto"/>
                  <w:vMerge w:val="continue"/>
                  <w:shd w:val="clear"/>
                  <w:vAlign w:val="center"/>
                </w:tcPr>
                <w:p>
                  <w:pPr>
                    <w:rPr>
                      <w:rFonts w:hint="eastAsia" w:ascii="宋体"/>
                      <w:sz w:val="24"/>
                      <w:szCs w:val="24"/>
                    </w:rPr>
                  </w:pP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向人民防空工程内排入废水、废气或者倾倒废弃物，造成较大损失且能及时改正的。</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_GB2312" w:eastAsia="仿宋_GB2312" w:cs="仿宋_GB2312" w:hAnsiTheme="minorHAnsi"/>
                      <w:kern w:val="0"/>
                      <w:sz w:val="21"/>
                      <w:szCs w:val="21"/>
                      <w:bdr w:val="none" w:color="auto" w:sz="0" w:space="0"/>
                      <w:lang w:val="en-US" w:eastAsia="zh-CN" w:bidi="ar"/>
                    </w:rPr>
                    <w:t>责令限期改正，依法赔偿损失，给予警告，对个人并处200元以上1千元以下、单位并处500元以上1万元以下的罚款。</w:t>
                  </w:r>
                </w:p>
              </w:tc>
              <w:tc>
                <w:tcPr>
                  <w:tcW w:w="0" w:type="auto"/>
                  <w:vMerge w:val="restart"/>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由所在县（市、区）人防执法人员及相关部门提出处罚意见，报所在县（市、区）人防办主管领导批准后，作出行政处罚决定，并报市（州）人防主管部门备案。</w:t>
                  </w:r>
                </w:p>
              </w:tc>
              <w:tc>
                <w:tcPr>
                  <w:tcW w:w="0" w:type="auto"/>
                  <w:vMerge w:val="continue"/>
                  <w:shd w:val="clear"/>
                  <w:vAlign w:val="center"/>
                </w:tcPr>
                <w:p>
                  <w:pPr>
                    <w:rPr>
                      <w:rFonts w:hint="eastAsia" w:ascii="宋体"/>
                      <w:sz w:val="24"/>
                      <w:szCs w:val="24"/>
                    </w:rPr>
                  </w:pPr>
                </w:p>
              </w:tc>
            </w:tr>
            <w:tr>
              <w:tblPrEx>
                <w:tblCellMar>
                  <w:top w:w="15" w:type="dxa"/>
                  <w:left w:w="15" w:type="dxa"/>
                  <w:bottom w:w="15" w:type="dxa"/>
                  <w:right w:w="15" w:type="dxa"/>
                </w:tblCellMar>
              </w:tblPrEx>
              <w:tc>
                <w:tcPr>
                  <w:tcW w:w="0" w:type="auto"/>
                  <w:vMerge w:val="continue"/>
                  <w:shd w:val="clear"/>
                  <w:vAlign w:val="center"/>
                </w:tcPr>
                <w:p>
                  <w:pPr>
                    <w:rPr>
                      <w:rFonts w:hint="eastAsia" w:ascii="宋体"/>
                      <w:sz w:val="24"/>
                      <w:szCs w:val="24"/>
                    </w:rPr>
                  </w:pPr>
                </w:p>
              </w:tc>
              <w:tc>
                <w:tcPr>
                  <w:tcW w:w="0" w:type="auto"/>
                  <w:vMerge w:val="continue"/>
                  <w:shd w:val="clear"/>
                  <w:vAlign w:val="center"/>
                </w:tcPr>
                <w:p>
                  <w:pPr>
                    <w:rPr>
                      <w:rFonts w:hint="eastAsia" w:ascii="宋体"/>
                      <w:sz w:val="24"/>
                      <w:szCs w:val="24"/>
                    </w:rPr>
                  </w:pPr>
                </w:p>
              </w:tc>
              <w:tc>
                <w:tcPr>
                  <w:tcW w:w="0" w:type="auto"/>
                  <w:vMerge w:val="restart"/>
                  <w:shd w:val="clear"/>
                  <w:vAlign w:val="center"/>
                </w:tcPr>
                <w:p>
                  <w:pPr>
                    <w:rPr>
                      <w:rFonts w:hint="eastAsia" w:ascii="宋体"/>
                      <w:sz w:val="24"/>
                      <w:szCs w:val="24"/>
                    </w:rPr>
                  </w:pP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向人民防空工程内排入废水、废气或者倾倒废弃物，造成较大损失且不及时改正的。</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责令限期改正，依法赔偿损失，给予严重警告，对个人并处1千元以上3千元以下、单位并处1万元以上3万元以下的罚款。</w:t>
                  </w:r>
                </w:p>
              </w:tc>
              <w:tc>
                <w:tcPr>
                  <w:tcW w:w="0" w:type="auto"/>
                  <w:vMerge w:val="continue"/>
                  <w:shd w:val="clear"/>
                  <w:vAlign w:val="center"/>
                </w:tcPr>
                <w:p>
                  <w:pPr>
                    <w:rPr>
                      <w:rFonts w:hint="eastAsia" w:ascii="宋体"/>
                      <w:sz w:val="24"/>
                      <w:szCs w:val="24"/>
                    </w:rPr>
                  </w:pPr>
                </w:p>
              </w:tc>
              <w:tc>
                <w:tcPr>
                  <w:tcW w:w="0" w:type="auto"/>
                  <w:vMerge w:val="continue"/>
                  <w:shd w:val="clear"/>
                  <w:vAlign w:val="center"/>
                </w:tcPr>
                <w:p>
                  <w:pPr>
                    <w:rPr>
                      <w:rFonts w:hint="eastAsia" w:ascii="宋体"/>
                      <w:sz w:val="24"/>
                      <w:szCs w:val="24"/>
                    </w:rPr>
                  </w:pPr>
                </w:p>
              </w:tc>
            </w:tr>
            <w:tr>
              <w:tblPrEx>
                <w:tblCellMar>
                  <w:top w:w="15" w:type="dxa"/>
                  <w:left w:w="15" w:type="dxa"/>
                  <w:bottom w:w="15" w:type="dxa"/>
                  <w:right w:w="15" w:type="dxa"/>
                </w:tblCellMar>
              </w:tblPrEx>
              <w:tc>
                <w:tcPr>
                  <w:tcW w:w="0" w:type="auto"/>
                  <w:vMerge w:val="continue"/>
                  <w:shd w:val="clear"/>
                  <w:vAlign w:val="center"/>
                </w:tcPr>
                <w:p>
                  <w:pPr>
                    <w:rPr>
                      <w:rFonts w:hint="eastAsia" w:ascii="宋体"/>
                      <w:sz w:val="24"/>
                      <w:szCs w:val="24"/>
                    </w:rPr>
                  </w:pPr>
                </w:p>
              </w:tc>
              <w:tc>
                <w:tcPr>
                  <w:tcW w:w="0" w:type="auto"/>
                  <w:vMerge w:val="continue"/>
                  <w:shd w:val="clear"/>
                  <w:vAlign w:val="center"/>
                </w:tcPr>
                <w:p>
                  <w:pPr>
                    <w:rPr>
                      <w:rFonts w:hint="eastAsia" w:ascii="宋体"/>
                      <w:sz w:val="24"/>
                      <w:szCs w:val="24"/>
                    </w:rPr>
                  </w:pPr>
                </w:p>
              </w:tc>
              <w:tc>
                <w:tcPr>
                  <w:tcW w:w="0" w:type="auto"/>
                  <w:vMerge w:val="continue"/>
                  <w:shd w:val="clear"/>
                  <w:vAlign w:val="center"/>
                </w:tcPr>
                <w:p>
                  <w:pPr>
                    <w:rPr>
                      <w:rFonts w:hint="eastAsia" w:ascii="宋体"/>
                      <w:sz w:val="24"/>
                      <w:szCs w:val="24"/>
                    </w:rPr>
                  </w:pP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向人民防空工程内排入废水、废气或者倾倒废弃物，造成重大损失且不及时改正的。</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_GB2312" w:eastAsia="仿宋_GB2312" w:cs="仿宋_GB2312" w:hAnsiTheme="minorHAnsi"/>
                      <w:kern w:val="0"/>
                      <w:sz w:val="21"/>
                      <w:szCs w:val="21"/>
                      <w:bdr w:val="none" w:color="auto" w:sz="0" w:space="0"/>
                      <w:lang w:val="en-US" w:eastAsia="zh-CN" w:bidi="ar"/>
                    </w:rPr>
                    <w:t>责令限期改正，依法赔偿损失，对个人并处3千元以上5千元以下、单位并处3万元以上5万元以下的罚款。</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_GB2312" w:eastAsia="仿宋_GB2312" w:cs="仿宋_GB2312" w:hAnsiTheme="minorHAnsi"/>
                      <w:kern w:val="0"/>
                      <w:sz w:val="21"/>
                      <w:szCs w:val="21"/>
                      <w:bdr w:val="none" w:color="auto" w:sz="0" w:space="0"/>
                      <w:lang w:val="en-US" w:eastAsia="zh-CN" w:bidi="ar"/>
                    </w:rPr>
                    <w:t>由所在市（州）人防执法人员及相关部门提出处罚意见，报所在市（州）人防办主管领导批准后，作出行政处罚决定，并报省人防主管部门备案。</w:t>
                  </w:r>
                </w:p>
              </w:tc>
              <w:tc>
                <w:tcPr>
                  <w:tcW w:w="0" w:type="auto"/>
                  <w:vMerge w:val="continue"/>
                  <w:shd w:val="clear"/>
                  <w:vAlign w:val="center"/>
                </w:tcPr>
                <w:p>
                  <w:pPr>
                    <w:rPr>
                      <w:rFonts w:hint="eastAsia" w:ascii="宋体"/>
                      <w:sz w:val="24"/>
                      <w:szCs w:val="24"/>
                    </w:rPr>
                  </w:pPr>
                </w:p>
              </w:tc>
            </w:tr>
            <w:tr>
              <w:tblPrEx>
                <w:tblCellMar>
                  <w:top w:w="15" w:type="dxa"/>
                  <w:left w:w="15" w:type="dxa"/>
                  <w:bottom w:w="15" w:type="dxa"/>
                  <w:right w:w="15" w:type="dxa"/>
                </w:tblCellMar>
              </w:tblPrEx>
              <w:tc>
                <w:tcPr>
                  <w:tcW w:w="0" w:type="auto"/>
                  <w:vMerge w:val="continue"/>
                  <w:shd w:val="clear"/>
                  <w:vAlign w:val="center"/>
                </w:tcPr>
                <w:p>
                  <w:pPr>
                    <w:rPr>
                      <w:rFonts w:hint="eastAsia" w:ascii="宋体"/>
                      <w:sz w:val="24"/>
                      <w:szCs w:val="24"/>
                    </w:rPr>
                  </w:pPr>
                </w:p>
              </w:tc>
              <w:tc>
                <w:tcPr>
                  <w:tcW w:w="0" w:type="auto"/>
                  <w:vMerge w:val="continue"/>
                  <w:shd w:val="clear"/>
                  <w:vAlign w:val="center"/>
                </w:tcPr>
                <w:p>
                  <w:pPr>
                    <w:rPr>
                      <w:rFonts w:hint="eastAsia" w:ascii="宋体"/>
                      <w:sz w:val="24"/>
                      <w:szCs w:val="24"/>
                    </w:rPr>
                  </w:pPr>
                </w:p>
              </w:tc>
              <w:tc>
                <w:tcPr>
                  <w:tcW w:w="0" w:type="auto"/>
                  <w:vMerge w:val="continue"/>
                  <w:shd w:val="clear"/>
                  <w:vAlign w:val="center"/>
                </w:tcPr>
                <w:p>
                  <w:pPr>
                    <w:rPr>
                      <w:rFonts w:hint="eastAsia" w:ascii="宋体"/>
                      <w:sz w:val="24"/>
                      <w:szCs w:val="24"/>
                    </w:rPr>
                  </w:pP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向人民防空工程内排入废水、废气或者倾倒废弃物，造成特别重大损失且不及时改正的。</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_GB2312" w:eastAsia="仿宋_GB2312" w:cs="仿宋_GB2312" w:hAnsiTheme="minorHAnsi"/>
                      <w:kern w:val="0"/>
                      <w:sz w:val="21"/>
                      <w:szCs w:val="21"/>
                      <w:bdr w:val="none" w:color="auto" w:sz="0" w:space="0"/>
                      <w:lang w:val="en-US" w:eastAsia="zh-CN" w:bidi="ar"/>
                    </w:rPr>
                    <w:t>责令限期改正，依法赔偿损失，对个人并处5千元、单位并处5万元的罚款。</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由所在市（州）人防执法人员及相关部门提出处罚意见，经省人防主管部门审查后，报省人防办主任办公会议研究，作出行政处罚决定。</w:t>
                  </w:r>
                </w:p>
              </w:tc>
              <w:tc>
                <w:tcPr>
                  <w:tcW w:w="0" w:type="auto"/>
                  <w:vMerge w:val="continue"/>
                  <w:shd w:val="clear"/>
                  <w:vAlign w:val="center"/>
                </w:tcPr>
                <w:p>
                  <w:pPr>
                    <w:rPr>
                      <w:rFonts w:hint="eastAsia" w:ascii="宋体"/>
                      <w:sz w:val="24"/>
                      <w:szCs w:val="24"/>
                    </w:rPr>
                  </w:pP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b/>
                <w:bCs/>
                <w:i w:val="0"/>
                <w:iCs w:val="0"/>
                <w:caps w:val="0"/>
                <w:color w:val="000000"/>
                <w:spacing w:val="0"/>
                <w:kern w:val="0"/>
                <w:sz w:val="28"/>
                <w:szCs w:val="28"/>
                <w:bdr w:val="none" w:color="auto" w:sz="0" w:space="0"/>
                <w:lang w:val="en-US" w:eastAsia="zh-CN" w:bidi="ar"/>
              </w:rPr>
              <w:t>四川省人民防空行政处罚自由裁量权实施标准（三</w:t>
            </w:r>
            <w:r>
              <w:rPr>
                <w:rFonts w:hint="eastAsia" w:ascii="黑体" w:hAnsi="宋体" w:eastAsia="黑体" w:cs="黑体"/>
                <w:b/>
                <w:bCs/>
                <w:i w:val="0"/>
                <w:iCs w:val="0"/>
                <w:caps w:val="0"/>
                <w:color w:val="000000"/>
                <w:spacing w:val="0"/>
                <w:kern w:val="0"/>
                <w:sz w:val="32"/>
                <w:szCs w:val="32"/>
                <w:bdr w:val="none" w:color="auto" w:sz="0" w:space="0"/>
                <w:lang w:val="en-US" w:eastAsia="zh-CN" w:bidi="ar"/>
              </w:rPr>
              <w:t>）</w:t>
            </w:r>
          </w:p>
          <w:tbl>
            <w:tblPr>
              <w:tblW w:w="0" w:type="auto"/>
              <w:tblInd w:w="0" w:type="dxa"/>
              <w:shd w:val="clear"/>
              <w:tblLayout w:type="autofit"/>
              <w:tblCellMar>
                <w:top w:w="15" w:type="dxa"/>
                <w:left w:w="15" w:type="dxa"/>
                <w:bottom w:w="15" w:type="dxa"/>
                <w:right w:w="15" w:type="dxa"/>
              </w:tblCellMar>
            </w:tblPr>
            <w:tblGrid>
              <w:gridCol w:w="240"/>
              <w:gridCol w:w="374"/>
              <w:gridCol w:w="2506"/>
              <w:gridCol w:w="911"/>
              <w:gridCol w:w="1460"/>
              <w:gridCol w:w="1440"/>
              <w:gridCol w:w="1375"/>
            </w:tblGrid>
            <w:tr>
              <w:tblPrEx>
                <w:shd w:val="clear"/>
              </w:tblPrEx>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号</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违法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行为</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处罚依据</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适用条件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（处罚层级分类）</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裁量幅度</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行政处罚权限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（执法单位、程序）</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备  注</w:t>
                  </w:r>
                </w:p>
              </w:tc>
            </w:tr>
            <w:tr>
              <w:tc>
                <w:tcPr>
                  <w:tcW w:w="0" w:type="auto"/>
                  <w:vMerge w:val="restart"/>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_GB2312" w:eastAsia="仿宋_GB2312" w:cs="仿宋_GB2312" w:hAnsiTheme="minorHAnsi"/>
                      <w:kern w:val="0"/>
                      <w:sz w:val="21"/>
                      <w:szCs w:val="21"/>
                      <w:bdr w:val="none" w:color="auto" w:sz="0" w:space="0"/>
                      <w:lang w:val="en-US" w:eastAsia="zh-CN" w:bidi="ar"/>
                    </w:rPr>
                    <w:t>9</w:t>
                  </w:r>
                </w:p>
              </w:tc>
              <w:tc>
                <w:tcPr>
                  <w:tcW w:w="0" w:type="auto"/>
                  <w:vMerge w:val="restart"/>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_GB2312" w:eastAsia="仿宋_GB2312" w:cs="仿宋_GB2312" w:hAnsiTheme="minorHAnsi"/>
                      <w:kern w:val="0"/>
                      <w:sz w:val="21"/>
                      <w:szCs w:val="21"/>
                      <w:bdr w:val="none" w:color="auto" w:sz="0" w:space="0"/>
                      <w:lang w:val="en-US" w:eastAsia="zh-CN" w:bidi="ar"/>
                    </w:rPr>
                    <w:t>拒不缴纳防空下室易地建设费</w:t>
                  </w:r>
                </w:p>
              </w:tc>
              <w:tc>
                <w:tcPr>
                  <w:tcW w:w="0" w:type="auto"/>
                  <w:vMerge w:val="restart"/>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《四川省&lt;中华人民共和国人民防空法&gt;实施办法》</w:t>
                  </w:r>
                  <w:r>
                    <w:rPr>
                      <w:rFonts w:hint="eastAsia" w:ascii="黑体" w:hAnsi="宋体" w:eastAsia="黑体" w:cs="黑体"/>
                      <w:kern w:val="0"/>
                      <w:sz w:val="21"/>
                      <w:szCs w:val="21"/>
                      <w:bdr w:val="none" w:color="auto" w:sz="0" w:space="0"/>
                      <w:lang w:val="en-US" w:eastAsia="zh-CN" w:bidi="ar"/>
                    </w:rPr>
                    <w:t>第35条，</w:t>
                  </w:r>
                  <w:r>
                    <w:rPr>
                      <w:rFonts w:hint="eastAsia" w:ascii="仿宋_GB2312" w:eastAsia="仿宋_GB2312" w:cs="仿宋_GB2312" w:hAnsiTheme="minorHAnsi"/>
                      <w:kern w:val="0"/>
                      <w:sz w:val="21"/>
                      <w:szCs w:val="21"/>
                      <w:bdr w:val="none" w:color="auto" w:sz="0" w:space="0"/>
                      <w:lang w:val="en-US" w:eastAsia="zh-CN" w:bidi="ar"/>
                    </w:rPr>
                    <w:t>城市新建民用建筑，违反国家有关规定不修建战时可用于防空的地下室的，依照《中华人民共和国人民防空法》第48条处罚。责令限期修建的，当事人应当在限期内依法修建。无法修建的，当事人应当按照本实施办法第15条的规定申请缴纳易地建设费。逾期不申请、不修建又不缴纳易地建设费的，由县级以上人民防空主管部门作出追缴易地建设费的决定。当事人拒不缴纳的，由人民防空主管部门申请人民法院强制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黑体" w:hAnsi="宋体" w:eastAsia="黑体" w:cs="黑体"/>
                      <w:kern w:val="0"/>
                      <w:sz w:val="21"/>
                      <w:szCs w:val="21"/>
                      <w:bdr w:val="none" w:color="auto" w:sz="0" w:space="0"/>
                      <w:lang w:val="en-US" w:eastAsia="zh-CN" w:bidi="ar"/>
                    </w:rPr>
                    <w:t>第37条，</w:t>
                  </w:r>
                  <w:r>
                    <w:rPr>
                      <w:rFonts w:hint="eastAsia" w:ascii="仿宋_GB2312" w:eastAsia="仿宋_GB2312" w:cs="仿宋_GB2312" w:hAnsiTheme="minorHAnsi"/>
                      <w:kern w:val="0"/>
                      <w:sz w:val="21"/>
                      <w:szCs w:val="21"/>
                      <w:bdr w:val="none" w:color="auto" w:sz="0" w:space="0"/>
                      <w:lang w:val="en-US" w:eastAsia="zh-CN" w:bidi="ar"/>
                    </w:rPr>
                    <w:t>违反本实施办法第16条规定减免易地建设的，其批准文件无效，由省人民防空主管部门提出行政处分建议，由有关部门对直接责任人员依法给予行政处分。非法批准减免的易地建设费，由省人民防空主管部门作出缴纳易地建设费的决定，当事人应当缴纳；拒不缴纳的，由人民防空主管部门申请人民法院强制执行。</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应当缴纳易地建设费1万元以下，未按规定缴纳的。</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责令在限期内依法修建和缴纳易地建设费，给予警告，并处500元以上1万以下的罚款。</w:t>
                  </w:r>
                </w:p>
              </w:tc>
              <w:tc>
                <w:tcPr>
                  <w:tcW w:w="0" w:type="auto"/>
                  <w:vMerge w:val="restart"/>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由所在县（市、区）人防执法人员及相关部门提出处罚意见，报所在县（市、区）人防办主管领导批准后，作出行政处罚决定，并报市（州）人防主管部门备案。</w:t>
                  </w:r>
                </w:p>
              </w:tc>
              <w:tc>
                <w:tcPr>
                  <w:tcW w:w="0" w:type="auto"/>
                  <w:vMerge w:val="restart"/>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从作出行政处罚决定之日起，15日内将处罚决定书和必要的说明材料，抄报本级政府法制部门和上一级人民防空主管部门备案。</w:t>
                  </w:r>
                </w:p>
              </w:tc>
            </w:tr>
            <w:tr>
              <w:tblPrEx>
                <w:shd w:val="clear"/>
              </w:tblPrEx>
              <w:tc>
                <w:tcPr>
                  <w:tcW w:w="0" w:type="auto"/>
                  <w:vMerge w:val="continue"/>
                  <w:shd w:val="clear"/>
                  <w:vAlign w:val="center"/>
                </w:tcPr>
                <w:p>
                  <w:pPr>
                    <w:rPr>
                      <w:rFonts w:hint="eastAsia" w:ascii="宋体"/>
                      <w:sz w:val="24"/>
                      <w:szCs w:val="24"/>
                    </w:rPr>
                  </w:pPr>
                </w:p>
              </w:tc>
              <w:tc>
                <w:tcPr>
                  <w:tcW w:w="0" w:type="auto"/>
                  <w:vMerge w:val="continue"/>
                  <w:shd w:val="clear"/>
                  <w:vAlign w:val="center"/>
                </w:tcPr>
                <w:p>
                  <w:pPr>
                    <w:rPr>
                      <w:rFonts w:hint="eastAsia" w:ascii="宋体"/>
                      <w:sz w:val="24"/>
                      <w:szCs w:val="24"/>
                    </w:rPr>
                  </w:pPr>
                </w:p>
              </w:tc>
              <w:tc>
                <w:tcPr>
                  <w:tcW w:w="0" w:type="auto"/>
                  <w:vMerge w:val="continue"/>
                  <w:shd w:val="clear"/>
                  <w:vAlign w:val="center"/>
                </w:tcPr>
                <w:p>
                  <w:pPr>
                    <w:rPr>
                      <w:rFonts w:hint="eastAsia" w:ascii="宋体"/>
                      <w:sz w:val="24"/>
                      <w:szCs w:val="24"/>
                    </w:rPr>
                  </w:pP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应当缴纳易地建设费1～20万元，未按规定缴纳的。</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责令在限期内依法修建和缴纳易地建设费，给予严重警告，并处1万元以上3万元以下的罚款。</w:t>
                  </w:r>
                </w:p>
              </w:tc>
              <w:tc>
                <w:tcPr>
                  <w:tcW w:w="0" w:type="auto"/>
                  <w:vMerge w:val="continue"/>
                  <w:shd w:val="clear"/>
                  <w:vAlign w:val="center"/>
                </w:tcPr>
                <w:p>
                  <w:pPr>
                    <w:rPr>
                      <w:rFonts w:hint="eastAsia" w:ascii="宋体"/>
                      <w:sz w:val="24"/>
                      <w:szCs w:val="24"/>
                    </w:rPr>
                  </w:pPr>
                </w:p>
              </w:tc>
              <w:tc>
                <w:tcPr>
                  <w:tcW w:w="0" w:type="auto"/>
                  <w:vMerge w:val="continue"/>
                  <w:shd w:val="clear"/>
                  <w:vAlign w:val="center"/>
                </w:tcPr>
                <w:p>
                  <w:pPr>
                    <w:rPr>
                      <w:rFonts w:hint="eastAsia" w:ascii="宋体"/>
                      <w:sz w:val="24"/>
                      <w:szCs w:val="24"/>
                    </w:rPr>
                  </w:pPr>
                </w:p>
              </w:tc>
            </w:tr>
            <w:tr>
              <w:tblPrEx>
                <w:shd w:val="clear"/>
              </w:tblPrEx>
              <w:tc>
                <w:tcPr>
                  <w:tcW w:w="0" w:type="auto"/>
                  <w:vMerge w:val="continue"/>
                  <w:shd w:val="clear"/>
                  <w:vAlign w:val="center"/>
                </w:tcPr>
                <w:p>
                  <w:pPr>
                    <w:rPr>
                      <w:rFonts w:hint="eastAsia" w:ascii="宋体"/>
                      <w:sz w:val="24"/>
                      <w:szCs w:val="24"/>
                    </w:rPr>
                  </w:pPr>
                </w:p>
              </w:tc>
              <w:tc>
                <w:tcPr>
                  <w:tcW w:w="0" w:type="auto"/>
                  <w:vMerge w:val="continue"/>
                  <w:shd w:val="clear"/>
                  <w:vAlign w:val="center"/>
                </w:tcPr>
                <w:p>
                  <w:pPr>
                    <w:rPr>
                      <w:rFonts w:hint="eastAsia" w:ascii="宋体"/>
                      <w:sz w:val="24"/>
                      <w:szCs w:val="24"/>
                    </w:rPr>
                  </w:pPr>
                </w:p>
              </w:tc>
              <w:tc>
                <w:tcPr>
                  <w:tcW w:w="0" w:type="auto"/>
                  <w:vMerge w:val="continue"/>
                  <w:shd w:val="clear"/>
                  <w:vAlign w:val="center"/>
                </w:tcPr>
                <w:p>
                  <w:pPr>
                    <w:rPr>
                      <w:rFonts w:hint="eastAsia" w:ascii="宋体"/>
                      <w:sz w:val="24"/>
                      <w:szCs w:val="24"/>
                    </w:rPr>
                  </w:pP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应当缴纳易地建设费20～40万元，未按规定缴纳的。</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责令在限期内依法修建和缴纳易地建设费，并处3万元以上6万元以下的罚款（5万元以上的处罚案件，由市级人防办提出处罚意见，报省人防办审批，以下相同）。</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由所在市（州）人防执法人员及相关部门提出处罚意见，报所在市（州）人防办主管领导批准后，作出行政处罚决定，并报省人防主管部门备案。</w:t>
                  </w:r>
                </w:p>
              </w:tc>
              <w:tc>
                <w:tcPr>
                  <w:tcW w:w="0" w:type="auto"/>
                  <w:shd w:val="clear"/>
                  <w:vAlign w:val="center"/>
                </w:tcPr>
                <w:p>
                  <w:pPr>
                    <w:rPr>
                      <w:rFonts w:hint="eastAsia" w:ascii="宋体"/>
                      <w:sz w:val="24"/>
                      <w:szCs w:val="24"/>
                    </w:rPr>
                  </w:pPr>
                </w:p>
              </w:tc>
            </w:tr>
            <w:tr>
              <w:tblPrEx>
                <w:shd w:val="clear"/>
              </w:tblPrEx>
              <w:tc>
                <w:tcPr>
                  <w:tcW w:w="0" w:type="auto"/>
                  <w:vMerge w:val="continue"/>
                  <w:shd w:val="clear"/>
                  <w:vAlign w:val="center"/>
                </w:tcPr>
                <w:p>
                  <w:pPr>
                    <w:rPr>
                      <w:rFonts w:hint="eastAsia" w:ascii="宋体"/>
                      <w:sz w:val="24"/>
                      <w:szCs w:val="24"/>
                    </w:rPr>
                  </w:pPr>
                </w:p>
              </w:tc>
              <w:tc>
                <w:tcPr>
                  <w:tcW w:w="0" w:type="auto"/>
                  <w:vMerge w:val="continue"/>
                  <w:shd w:val="clear"/>
                  <w:vAlign w:val="center"/>
                </w:tcPr>
                <w:p>
                  <w:pPr>
                    <w:rPr>
                      <w:rFonts w:hint="eastAsia" w:ascii="宋体"/>
                      <w:sz w:val="24"/>
                      <w:szCs w:val="24"/>
                    </w:rPr>
                  </w:pPr>
                </w:p>
              </w:tc>
              <w:tc>
                <w:tcPr>
                  <w:tcW w:w="0" w:type="auto"/>
                  <w:vMerge w:val="continue"/>
                  <w:shd w:val="clear"/>
                  <w:vAlign w:val="center"/>
                </w:tcPr>
                <w:p>
                  <w:pPr>
                    <w:rPr>
                      <w:rFonts w:hint="eastAsia" w:ascii="宋体"/>
                      <w:sz w:val="24"/>
                      <w:szCs w:val="24"/>
                    </w:rPr>
                  </w:pP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_GB2312" w:eastAsia="仿宋_GB2312" w:cs="仿宋_GB2312" w:hAnsiTheme="minorHAnsi"/>
                      <w:kern w:val="0"/>
                      <w:sz w:val="21"/>
                      <w:szCs w:val="21"/>
                      <w:bdr w:val="none" w:color="auto" w:sz="0" w:space="0"/>
                      <w:lang w:val="en-US" w:eastAsia="zh-CN" w:bidi="ar"/>
                    </w:rPr>
                    <w:t>应当缴纳易地建设费40～60万元，未按规定缴纳的。</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责令在限期内依法修建和缴纳易地建设费，并处6万元以上8万元以下的罚款。</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由所在市（州）人防执法人员及相关部门提出处罚意见，经省人防主管部门审查后，报省人防办主任办公会议研究，作出行政处罚决定。</w:t>
                  </w:r>
                </w:p>
              </w:tc>
              <w:tc>
                <w:tcPr>
                  <w:tcW w:w="0" w:type="auto"/>
                  <w:shd w:val="clear"/>
                  <w:vAlign w:val="center"/>
                </w:tcPr>
                <w:p>
                  <w:pPr>
                    <w:rPr>
                      <w:rFonts w:hint="eastAsia" w:ascii="宋体"/>
                      <w:sz w:val="24"/>
                      <w:szCs w:val="24"/>
                    </w:rPr>
                  </w:pPr>
                </w:p>
              </w:tc>
            </w:tr>
            <w:tr>
              <w:tblPrEx>
                <w:shd w:val="clear"/>
              </w:tblPrEx>
              <w:tc>
                <w:tcPr>
                  <w:tcW w:w="0" w:type="auto"/>
                  <w:vMerge w:val="restart"/>
                  <w:shd w:val="clear"/>
                  <w:vAlign w:val="center"/>
                </w:tcPr>
                <w:p>
                  <w:pPr>
                    <w:rPr>
                      <w:rFonts w:hint="eastAsia" w:ascii="宋体"/>
                      <w:sz w:val="24"/>
                      <w:szCs w:val="24"/>
                    </w:rPr>
                  </w:pPr>
                </w:p>
              </w:tc>
              <w:tc>
                <w:tcPr>
                  <w:tcW w:w="0" w:type="auto"/>
                  <w:vMerge w:val="restart"/>
                  <w:shd w:val="clear"/>
                  <w:vAlign w:val="center"/>
                </w:tcPr>
                <w:p>
                  <w:pPr>
                    <w:rPr>
                      <w:rFonts w:hint="eastAsia" w:ascii="宋体"/>
                      <w:sz w:val="24"/>
                      <w:szCs w:val="24"/>
                    </w:rPr>
                  </w:pPr>
                </w:p>
              </w:tc>
              <w:tc>
                <w:tcPr>
                  <w:tcW w:w="0" w:type="auto"/>
                  <w:vMerge w:val="restart"/>
                  <w:shd w:val="clear"/>
                  <w:vAlign w:val="center"/>
                </w:tcPr>
                <w:p>
                  <w:pPr>
                    <w:rPr>
                      <w:rFonts w:hint="eastAsia" w:ascii="宋体"/>
                      <w:sz w:val="24"/>
                      <w:szCs w:val="24"/>
                    </w:rPr>
                  </w:pP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_GB2312" w:eastAsia="仿宋_GB2312" w:cs="仿宋_GB2312" w:hAnsiTheme="minorHAnsi"/>
                      <w:kern w:val="0"/>
                      <w:sz w:val="21"/>
                      <w:szCs w:val="21"/>
                      <w:bdr w:val="none" w:color="auto" w:sz="0" w:space="0"/>
                      <w:lang w:val="en-US" w:eastAsia="zh-CN" w:bidi="ar"/>
                    </w:rPr>
                    <w:t>应当缴纳易地建设费60～80万元，未按规定缴纳的。</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责令在限期内依法修建和缴纳易地建设费，并处8万元以上10万元以下的罚款。</w:t>
                  </w:r>
                </w:p>
              </w:tc>
              <w:tc>
                <w:tcPr>
                  <w:tcW w:w="0" w:type="auto"/>
                  <w:vMerge w:val="restart"/>
                  <w:shd w:val="clear"/>
                  <w:vAlign w:val="center"/>
                </w:tcPr>
                <w:p>
                  <w:pPr>
                    <w:rPr>
                      <w:rFonts w:hint="eastAsia" w:ascii="宋体"/>
                      <w:sz w:val="24"/>
                      <w:szCs w:val="24"/>
                    </w:rPr>
                  </w:pPr>
                </w:p>
              </w:tc>
              <w:tc>
                <w:tcPr>
                  <w:tcW w:w="0" w:type="auto"/>
                  <w:shd w:val="clear"/>
                  <w:vAlign w:val="center"/>
                </w:tcPr>
                <w:p>
                  <w:pPr>
                    <w:rPr>
                      <w:rFonts w:hint="eastAsia" w:ascii="宋体"/>
                      <w:sz w:val="24"/>
                      <w:szCs w:val="24"/>
                    </w:rPr>
                  </w:pPr>
                </w:p>
              </w:tc>
            </w:tr>
            <w:tr>
              <w:tblPrEx>
                <w:shd w:val="clear"/>
              </w:tblPrEx>
              <w:tc>
                <w:tcPr>
                  <w:tcW w:w="0" w:type="auto"/>
                  <w:vMerge w:val="continue"/>
                  <w:shd w:val="clear"/>
                  <w:vAlign w:val="center"/>
                </w:tcPr>
                <w:p>
                  <w:pPr>
                    <w:rPr>
                      <w:rFonts w:hint="eastAsia" w:ascii="宋体"/>
                      <w:sz w:val="24"/>
                      <w:szCs w:val="24"/>
                    </w:rPr>
                  </w:pPr>
                </w:p>
              </w:tc>
              <w:tc>
                <w:tcPr>
                  <w:tcW w:w="0" w:type="auto"/>
                  <w:vMerge w:val="continue"/>
                  <w:shd w:val="clear"/>
                  <w:vAlign w:val="center"/>
                </w:tcPr>
                <w:p>
                  <w:pPr>
                    <w:rPr>
                      <w:rFonts w:hint="eastAsia" w:ascii="宋体"/>
                      <w:sz w:val="24"/>
                      <w:szCs w:val="24"/>
                    </w:rPr>
                  </w:pPr>
                </w:p>
              </w:tc>
              <w:tc>
                <w:tcPr>
                  <w:tcW w:w="0" w:type="auto"/>
                  <w:vMerge w:val="continue"/>
                  <w:shd w:val="clear"/>
                  <w:vAlign w:val="center"/>
                </w:tcPr>
                <w:p>
                  <w:pPr>
                    <w:rPr>
                      <w:rFonts w:hint="eastAsia" w:ascii="宋体"/>
                      <w:sz w:val="24"/>
                      <w:szCs w:val="24"/>
                    </w:rPr>
                  </w:pP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_GB2312" w:eastAsia="仿宋_GB2312" w:cs="仿宋_GB2312" w:hAnsiTheme="minorHAnsi"/>
                      <w:kern w:val="0"/>
                      <w:sz w:val="21"/>
                      <w:szCs w:val="21"/>
                      <w:bdr w:val="none" w:color="auto" w:sz="0" w:space="0"/>
                      <w:lang w:val="en-US" w:eastAsia="zh-CN" w:bidi="ar"/>
                    </w:rPr>
                    <w:t>应当缴纳易地建设费80万元以上，未按规定缴纳的。</w:t>
                  </w:r>
                </w:p>
              </w:tc>
              <w:tc>
                <w:tcPr>
                  <w:tcW w:w="0" w:type="auto"/>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pPr>
                  <w:r>
                    <w:rPr>
                      <w:rFonts w:hint="eastAsia" w:ascii="仿宋_GB2312" w:eastAsia="仿宋_GB2312" w:cs="仿宋_GB2312" w:hAnsiTheme="minorHAnsi"/>
                      <w:kern w:val="0"/>
                      <w:sz w:val="21"/>
                      <w:szCs w:val="21"/>
                      <w:bdr w:val="none" w:color="auto" w:sz="0" w:space="0"/>
                      <w:lang w:val="en-US" w:eastAsia="zh-CN" w:bidi="ar"/>
                    </w:rPr>
                    <w:t>责令在限期内依法修建和缴纳易地建设费，并处10万元的罚款。</w:t>
                  </w:r>
                </w:p>
              </w:tc>
              <w:tc>
                <w:tcPr>
                  <w:tcW w:w="0" w:type="auto"/>
                  <w:vMerge w:val="continue"/>
                  <w:shd w:val="clear"/>
                  <w:vAlign w:val="center"/>
                </w:tcPr>
                <w:p>
                  <w:pPr>
                    <w:rPr>
                      <w:rFonts w:hint="eastAsia" w:ascii="宋体"/>
                      <w:sz w:val="24"/>
                      <w:szCs w:val="24"/>
                    </w:rPr>
                  </w:pPr>
                </w:p>
              </w:tc>
              <w:tc>
                <w:tcPr>
                  <w:tcW w:w="0" w:type="auto"/>
                  <w:shd w:val="clear"/>
                  <w:vAlign w:val="center"/>
                </w:tcPr>
                <w:p>
                  <w:pPr>
                    <w:rPr>
                      <w:rFonts w:hint="eastAsia" w:ascii="宋体"/>
                      <w:sz w:val="24"/>
                      <w:szCs w:val="24"/>
                    </w:rPr>
                  </w:pPr>
                </w:p>
              </w:tc>
            </w:tr>
          </w:tbl>
          <w:p>
            <w:pPr>
              <w:rPr>
                <w:rFonts w:hint="eastAsia" w:ascii="微软雅黑" w:hAnsi="微软雅黑" w:eastAsia="微软雅黑" w:cs="微软雅黑"/>
                <w:i w:val="0"/>
                <w:iCs w:val="0"/>
                <w:caps w:val="0"/>
                <w:color w:val="000000"/>
                <w:spacing w:val="0"/>
                <w:sz w:val="21"/>
                <w:szCs w:val="21"/>
              </w:rPr>
            </w:pPr>
          </w:p>
        </w:tc>
      </w:tr>
    </w:tbl>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黑体" w:hAnsi="宋体" w:eastAsia="黑体" w:cs="黑体"/>
          <w:i w:val="0"/>
          <w:iCs w:val="0"/>
          <w:caps w:val="0"/>
          <w:color w:val="000000"/>
          <w:spacing w:val="0"/>
          <w:kern w:val="0"/>
          <w:sz w:val="32"/>
          <w:szCs w:val="32"/>
          <w:bdr w:val="none" w:color="auto" w:sz="0" w:space="0"/>
          <w:shd w:val="clear" w:fill="FFFFFF"/>
          <w:lang w:val="en-US" w:eastAsia="zh-CN" w:bidi="ar"/>
        </w:rPr>
        <w:t>七、广元市人防办随机抽查事项清单、市场主体库（检查对象名录库）、2020年抽查计划</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3"/>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b/>
          <w:bCs/>
          <w:i w:val="0"/>
          <w:iCs w:val="0"/>
          <w:caps w:val="0"/>
          <w:color w:val="000000"/>
          <w:spacing w:val="0"/>
          <w:kern w:val="0"/>
          <w:sz w:val="32"/>
          <w:szCs w:val="32"/>
          <w:bdr w:val="none" w:color="auto" w:sz="0" w:space="0"/>
          <w:shd w:val="clear" w:fill="FFFFFF"/>
          <w:lang w:val="en-US" w:eastAsia="zh-CN" w:bidi="ar"/>
        </w:rPr>
        <w:t>（一）随机抽查事项清单（共2项）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3"/>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b/>
          <w:bCs/>
          <w:i w:val="0"/>
          <w:iCs w:val="0"/>
          <w:caps w:val="0"/>
          <w:color w:val="000000"/>
          <w:spacing w:val="0"/>
          <w:kern w:val="0"/>
          <w:sz w:val="32"/>
          <w:szCs w:val="32"/>
          <w:bdr w:val="none" w:color="auto" w:sz="0" w:space="0"/>
          <w:shd w:val="clear" w:fill="FFFFFF"/>
          <w:lang w:val="en-US" w:eastAsia="zh-CN" w:bidi="ar"/>
        </w:rPr>
        <w:t>1. 对城市和经济目标的人民防空建设进行监督检查  </w:t>
      </w: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检查依据：《中华人民共和国人民防空法》第17条、 《 四川省＜中华人民共和国人民防空法＞实施办法》第9条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检查对象：水电站、粮食储备库、广电、燃气、电力、通讯等重要经济目标防护单位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检查内容：民用建筑项目、经济目标的报批资料、建筑实体，防空防护预案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3"/>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b/>
          <w:bCs/>
          <w:i w:val="0"/>
          <w:iCs w:val="0"/>
          <w:caps w:val="0"/>
          <w:color w:val="000000"/>
          <w:spacing w:val="0"/>
          <w:kern w:val="0"/>
          <w:sz w:val="32"/>
          <w:szCs w:val="32"/>
          <w:bdr w:val="none" w:color="auto" w:sz="0" w:space="0"/>
          <w:shd w:val="clear" w:fill="FFFFFF"/>
          <w:lang w:val="en-US" w:eastAsia="zh-CN" w:bidi="ar"/>
        </w:rPr>
        <w:t>2. 对人民防空工程维护管理进行监督检查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检查依据：《中华人民共和国人民防空法》第19条、第25条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检查内容：防护设备厂家资质审查、建筑主体隐蔽工程质量监督；公共、单位工程，疏散干道的维护管理使用的隶属和使用单位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3"/>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b/>
          <w:bCs/>
          <w:i w:val="0"/>
          <w:iCs w:val="0"/>
          <w:caps w:val="0"/>
          <w:color w:val="000000"/>
          <w:spacing w:val="0"/>
          <w:kern w:val="0"/>
          <w:sz w:val="32"/>
          <w:szCs w:val="32"/>
          <w:bdr w:val="none" w:color="auto" w:sz="0" w:space="0"/>
          <w:shd w:val="clear" w:fill="FFFFFF"/>
          <w:lang w:val="en-US" w:eastAsia="zh-CN" w:bidi="ar"/>
        </w:rPr>
        <w:t>（二）2020年双随机抽查计划</w:t>
      </w:r>
    </w:p>
    <w:tbl>
      <w:tblPr>
        <w:tblW w:w="8923" w:type="dxa"/>
        <w:jc w:val="center"/>
        <w:shd w:val="clear"/>
        <w:tblLayout w:type="autofit"/>
        <w:tblCellMar>
          <w:top w:w="15" w:type="dxa"/>
          <w:left w:w="15" w:type="dxa"/>
          <w:bottom w:w="15" w:type="dxa"/>
          <w:right w:w="15" w:type="dxa"/>
        </w:tblCellMar>
      </w:tblPr>
      <w:tblGrid>
        <w:gridCol w:w="1070"/>
        <w:gridCol w:w="1583"/>
        <w:gridCol w:w="1010"/>
        <w:gridCol w:w="1040"/>
        <w:gridCol w:w="814"/>
        <w:gridCol w:w="2562"/>
        <w:gridCol w:w="844"/>
      </w:tblGrid>
      <w:tr>
        <w:tblPrEx>
          <w:shd w:val="clear"/>
          <w:tblCellMar>
            <w:top w:w="15" w:type="dxa"/>
            <w:left w:w="15" w:type="dxa"/>
            <w:bottom w:w="15" w:type="dxa"/>
            <w:right w:w="15" w:type="dxa"/>
          </w:tblCellMar>
        </w:tblPrEx>
        <w:trPr>
          <w:jc w:val="center"/>
        </w:trPr>
        <w:tc>
          <w:tcPr>
            <w:tcW w:w="1065" w:type="dxa"/>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_GB2312" w:eastAsia="仿宋_GB2312" w:cs="仿宋_GB2312" w:hAnsiTheme="minorHAnsi"/>
                <w:color w:val="000000"/>
                <w:kern w:val="0"/>
                <w:sz w:val="36"/>
                <w:szCs w:val="36"/>
                <w:bdr w:val="none" w:color="auto" w:sz="0" w:space="0"/>
                <w:lang w:val="en-US" w:eastAsia="zh-CN" w:bidi="ar"/>
              </w:rPr>
              <w:t>检查对象</w:t>
            </w:r>
            <w:r>
              <w:rPr>
                <w:rFonts w:hint="eastAsia" w:ascii="仿宋_GB2312" w:eastAsia="仿宋_GB2312" w:cs="仿宋_GB2312" w:hAnsiTheme="minorHAnsi"/>
                <w:kern w:val="0"/>
                <w:sz w:val="36"/>
                <w:szCs w:val="36"/>
                <w:bdr w:val="none" w:color="auto" w:sz="0" w:space="0"/>
                <w:lang w:val="en-US" w:eastAsia="zh-CN" w:bidi="ar"/>
              </w:rPr>
              <w:t> </w:t>
            </w:r>
          </w:p>
        </w:tc>
        <w:tc>
          <w:tcPr>
            <w:tcW w:w="1575" w:type="dxa"/>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_GB2312" w:eastAsia="仿宋_GB2312" w:cs="仿宋_GB2312" w:hAnsiTheme="minorHAnsi"/>
                <w:color w:val="000000"/>
                <w:kern w:val="0"/>
                <w:sz w:val="36"/>
                <w:szCs w:val="36"/>
                <w:bdr w:val="none" w:color="auto" w:sz="0" w:space="0"/>
                <w:lang w:val="en-US" w:eastAsia="zh-CN" w:bidi="ar"/>
              </w:rPr>
              <w:t>检查依据</w:t>
            </w:r>
            <w:r>
              <w:rPr>
                <w:rFonts w:hint="eastAsia" w:ascii="仿宋_GB2312" w:eastAsia="仿宋_GB2312" w:cs="仿宋_GB2312" w:hAnsiTheme="minorHAnsi"/>
                <w:kern w:val="0"/>
                <w:sz w:val="36"/>
                <w:szCs w:val="36"/>
                <w:bdr w:val="none" w:color="auto" w:sz="0" w:space="0"/>
                <w:lang w:val="en-US" w:eastAsia="zh-CN" w:bidi="ar"/>
              </w:rPr>
              <w:t> </w:t>
            </w:r>
          </w:p>
        </w:tc>
        <w:tc>
          <w:tcPr>
            <w:tcW w:w="1005" w:type="dxa"/>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_GB2312" w:eastAsia="仿宋_GB2312" w:cs="仿宋_GB2312" w:hAnsiTheme="minorHAnsi"/>
                <w:color w:val="000000"/>
                <w:kern w:val="0"/>
                <w:sz w:val="36"/>
                <w:szCs w:val="36"/>
                <w:bdr w:val="none" w:color="auto" w:sz="0" w:space="0"/>
                <w:lang w:val="en-US" w:eastAsia="zh-CN" w:bidi="ar"/>
              </w:rPr>
              <w:t>执行科室</w:t>
            </w:r>
            <w:r>
              <w:rPr>
                <w:rFonts w:hint="eastAsia" w:ascii="仿宋_GB2312" w:eastAsia="仿宋_GB2312" w:cs="仿宋_GB2312" w:hAnsiTheme="minorHAnsi"/>
                <w:kern w:val="0"/>
                <w:sz w:val="36"/>
                <w:szCs w:val="36"/>
                <w:bdr w:val="none" w:color="auto" w:sz="0" w:space="0"/>
                <w:lang w:val="en-US" w:eastAsia="zh-CN" w:bidi="ar"/>
              </w:rPr>
              <w:t> </w:t>
            </w:r>
          </w:p>
        </w:tc>
        <w:tc>
          <w:tcPr>
            <w:tcW w:w="1035" w:type="dxa"/>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_GB2312" w:eastAsia="仿宋_GB2312" w:cs="仿宋_GB2312" w:hAnsiTheme="minorHAnsi"/>
                <w:color w:val="000000"/>
                <w:kern w:val="0"/>
                <w:sz w:val="36"/>
                <w:szCs w:val="36"/>
                <w:bdr w:val="none" w:color="auto" w:sz="0" w:space="0"/>
                <w:lang w:val="en-US" w:eastAsia="zh-CN" w:bidi="ar"/>
              </w:rPr>
              <w:t>检查比例</w:t>
            </w:r>
            <w:r>
              <w:rPr>
                <w:rFonts w:hint="eastAsia" w:ascii="仿宋_GB2312" w:eastAsia="仿宋_GB2312" w:cs="仿宋_GB2312" w:hAnsiTheme="minorHAnsi"/>
                <w:kern w:val="0"/>
                <w:sz w:val="36"/>
                <w:szCs w:val="36"/>
                <w:bdr w:val="none" w:color="auto" w:sz="0" w:space="0"/>
                <w:lang w:val="en-US" w:eastAsia="zh-CN" w:bidi="ar"/>
              </w:rPr>
              <w:t> </w:t>
            </w:r>
          </w:p>
        </w:tc>
        <w:tc>
          <w:tcPr>
            <w:tcW w:w="810" w:type="dxa"/>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_GB2312" w:eastAsia="仿宋_GB2312" w:cs="仿宋_GB2312" w:hAnsiTheme="minorHAnsi"/>
                <w:color w:val="000000"/>
                <w:kern w:val="0"/>
                <w:sz w:val="36"/>
                <w:szCs w:val="36"/>
                <w:bdr w:val="none" w:color="auto" w:sz="0" w:space="0"/>
                <w:lang w:val="en-US" w:eastAsia="zh-CN" w:bidi="ar"/>
              </w:rPr>
              <w:t>检查频次</w:t>
            </w:r>
            <w:r>
              <w:rPr>
                <w:rFonts w:hint="eastAsia" w:ascii="仿宋_GB2312" w:eastAsia="仿宋_GB2312" w:cs="仿宋_GB2312" w:hAnsiTheme="minorHAnsi"/>
                <w:kern w:val="0"/>
                <w:sz w:val="36"/>
                <w:szCs w:val="36"/>
                <w:bdr w:val="none" w:color="auto" w:sz="0" w:space="0"/>
                <w:lang w:val="en-US" w:eastAsia="zh-CN" w:bidi="ar"/>
              </w:rPr>
              <w:t> </w:t>
            </w:r>
          </w:p>
        </w:tc>
        <w:tc>
          <w:tcPr>
            <w:tcW w:w="2550" w:type="dxa"/>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_GB2312" w:eastAsia="仿宋_GB2312" w:cs="仿宋_GB2312" w:hAnsiTheme="minorHAnsi"/>
                <w:color w:val="000000"/>
                <w:kern w:val="0"/>
                <w:sz w:val="36"/>
                <w:szCs w:val="36"/>
                <w:bdr w:val="none" w:color="auto" w:sz="0" w:space="0"/>
                <w:lang w:val="en-US" w:eastAsia="zh-CN" w:bidi="ar"/>
              </w:rPr>
              <w:t>初步检查时间</w:t>
            </w:r>
            <w:r>
              <w:rPr>
                <w:rFonts w:hint="eastAsia" w:ascii="仿宋_GB2312" w:eastAsia="仿宋_GB2312" w:cs="仿宋_GB2312" w:hAnsiTheme="minorHAnsi"/>
                <w:kern w:val="0"/>
                <w:sz w:val="36"/>
                <w:szCs w:val="36"/>
                <w:bdr w:val="none" w:color="auto" w:sz="0" w:space="0"/>
                <w:lang w:val="en-US" w:eastAsia="zh-CN" w:bidi="ar"/>
              </w:rPr>
              <w:t> </w:t>
            </w:r>
          </w:p>
        </w:tc>
        <w:tc>
          <w:tcPr>
            <w:tcW w:w="840" w:type="dxa"/>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_GB2312" w:eastAsia="仿宋_GB2312" w:cs="仿宋_GB2312" w:hAnsiTheme="minorHAnsi"/>
                <w:color w:val="000000"/>
                <w:kern w:val="0"/>
                <w:sz w:val="36"/>
                <w:szCs w:val="36"/>
                <w:bdr w:val="none" w:color="auto" w:sz="0" w:space="0"/>
                <w:lang w:val="en-US" w:eastAsia="zh-CN" w:bidi="ar"/>
              </w:rPr>
              <w:t>备注</w:t>
            </w:r>
            <w:r>
              <w:rPr>
                <w:rFonts w:hint="eastAsia" w:ascii="仿宋_GB2312" w:eastAsia="仿宋_GB2312" w:cs="仿宋_GB2312" w:hAnsiTheme="minorHAnsi"/>
                <w:kern w:val="0"/>
                <w:sz w:val="36"/>
                <w:szCs w:val="36"/>
                <w:bdr w:val="none" w:color="auto" w:sz="0" w:space="0"/>
                <w:lang w:val="en-US" w:eastAsia="zh-CN" w:bidi="ar"/>
              </w:rPr>
              <w:t> </w:t>
            </w:r>
          </w:p>
        </w:tc>
      </w:tr>
      <w:tr>
        <w:tblPrEx>
          <w:tblCellMar>
            <w:top w:w="15" w:type="dxa"/>
            <w:left w:w="15" w:type="dxa"/>
            <w:bottom w:w="15" w:type="dxa"/>
            <w:right w:w="15" w:type="dxa"/>
          </w:tblCellMar>
        </w:tblPrEx>
        <w:trPr>
          <w:jc w:val="center"/>
        </w:trPr>
        <w:tc>
          <w:tcPr>
            <w:tcW w:w="1065" w:type="dxa"/>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_GB2312" w:eastAsia="仿宋_GB2312" w:cs="仿宋_GB2312" w:hAnsiTheme="minorHAnsi"/>
                <w:color w:val="000000"/>
                <w:kern w:val="0"/>
                <w:sz w:val="24"/>
                <w:szCs w:val="24"/>
                <w:bdr w:val="none" w:color="auto" w:sz="0" w:space="0"/>
                <w:lang w:val="en-US" w:eastAsia="zh-CN" w:bidi="ar"/>
              </w:rPr>
              <w:t>重要经济防护目标单位</w:t>
            </w:r>
          </w:p>
        </w:tc>
        <w:tc>
          <w:tcPr>
            <w:tcW w:w="1575" w:type="dxa"/>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_GB2312" w:eastAsia="仿宋_GB2312" w:cs="仿宋_GB2312" w:hAnsiTheme="minorHAnsi"/>
                <w:color w:val="000000"/>
                <w:kern w:val="0"/>
                <w:sz w:val="24"/>
                <w:szCs w:val="24"/>
                <w:bdr w:val="none" w:color="auto" w:sz="0" w:space="0"/>
                <w:lang w:val="en-US" w:eastAsia="zh-CN" w:bidi="ar"/>
              </w:rPr>
              <w:t>《中华人民共和国人民防空法》第17条、 《 四川省＜中华人民共和国人民防空法＞实施办法》第9条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_GB2312" w:eastAsia="仿宋_GB2312" w:cs="仿宋_GB2312" w:hAnsiTheme="minorHAnsi"/>
                <w:kern w:val="0"/>
                <w:sz w:val="24"/>
                <w:szCs w:val="24"/>
                <w:bdr w:val="none" w:color="auto" w:sz="0" w:space="0"/>
                <w:lang w:val="en-US" w:eastAsia="zh-CN" w:bidi="ar"/>
              </w:rPr>
              <w:t> </w:t>
            </w:r>
          </w:p>
        </w:tc>
        <w:tc>
          <w:tcPr>
            <w:tcW w:w="1005" w:type="dxa"/>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_GB2312" w:eastAsia="仿宋_GB2312" w:cs="仿宋_GB2312" w:hAnsiTheme="minorHAnsi"/>
                <w:color w:val="000000"/>
                <w:kern w:val="0"/>
                <w:sz w:val="24"/>
                <w:szCs w:val="24"/>
                <w:bdr w:val="none" w:color="auto" w:sz="0" w:space="0"/>
                <w:lang w:val="en-US" w:eastAsia="zh-CN" w:bidi="ar"/>
              </w:rPr>
              <w:t>指通科</w:t>
            </w:r>
          </w:p>
        </w:tc>
        <w:tc>
          <w:tcPr>
            <w:tcW w:w="1035" w:type="dxa"/>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_GB2312" w:eastAsia="仿宋_GB2312" w:cs="仿宋_GB2312" w:hAnsiTheme="minorHAnsi"/>
                <w:color w:val="000000"/>
                <w:kern w:val="0"/>
                <w:sz w:val="24"/>
                <w:szCs w:val="24"/>
                <w:bdr w:val="none" w:color="auto" w:sz="0" w:space="0"/>
                <w:lang w:val="en-US" w:eastAsia="zh-CN" w:bidi="ar"/>
              </w:rPr>
              <w:t>80%</w:t>
            </w:r>
            <w:r>
              <w:rPr>
                <w:rFonts w:hint="eastAsia" w:ascii="仿宋_GB2312" w:eastAsia="仿宋_GB2312" w:cs="仿宋_GB2312" w:hAnsiTheme="minorHAnsi"/>
                <w:kern w:val="0"/>
                <w:sz w:val="24"/>
                <w:szCs w:val="24"/>
                <w:bdr w:val="none" w:color="auto" w:sz="0" w:space="0"/>
                <w:lang w:val="en-US" w:eastAsia="zh-CN" w:bidi="ar"/>
              </w:rPr>
              <w:t> </w:t>
            </w:r>
          </w:p>
        </w:tc>
        <w:tc>
          <w:tcPr>
            <w:tcW w:w="810" w:type="dxa"/>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_GB2312" w:eastAsia="仿宋_GB2312" w:cs="仿宋_GB2312" w:hAnsiTheme="minorHAnsi"/>
                <w:color w:val="000000"/>
                <w:kern w:val="0"/>
                <w:sz w:val="24"/>
                <w:szCs w:val="24"/>
                <w:bdr w:val="none" w:color="auto" w:sz="0" w:space="0"/>
                <w:lang w:val="en-US" w:eastAsia="zh-CN" w:bidi="ar"/>
              </w:rPr>
              <w:t>1</w:t>
            </w:r>
            <w:r>
              <w:rPr>
                <w:rFonts w:hint="eastAsia" w:ascii="仿宋_GB2312" w:eastAsia="仿宋_GB2312" w:cs="仿宋_GB2312" w:hAnsiTheme="minorHAnsi"/>
                <w:kern w:val="0"/>
                <w:sz w:val="24"/>
                <w:szCs w:val="24"/>
                <w:bdr w:val="none" w:color="auto" w:sz="0" w:space="0"/>
                <w:lang w:val="en-US" w:eastAsia="zh-CN" w:bidi="ar"/>
              </w:rPr>
              <w:t> </w:t>
            </w:r>
          </w:p>
        </w:tc>
        <w:tc>
          <w:tcPr>
            <w:tcW w:w="2550" w:type="dxa"/>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_GB2312" w:eastAsia="仿宋_GB2312" w:cs="仿宋_GB2312" w:hAnsiTheme="minorHAnsi"/>
                <w:color w:val="000000"/>
                <w:kern w:val="0"/>
                <w:sz w:val="24"/>
                <w:szCs w:val="24"/>
                <w:bdr w:val="none" w:color="auto" w:sz="0" w:space="0"/>
                <w:lang w:val="en-US" w:eastAsia="zh-CN" w:bidi="ar"/>
              </w:rPr>
              <w:t>2021.4-2021.12</w:t>
            </w:r>
            <w:r>
              <w:rPr>
                <w:rFonts w:hint="eastAsia" w:ascii="仿宋_GB2312" w:eastAsia="仿宋_GB2312" w:cs="仿宋_GB2312" w:hAnsiTheme="minorHAnsi"/>
                <w:kern w:val="0"/>
                <w:sz w:val="24"/>
                <w:szCs w:val="24"/>
                <w:bdr w:val="none" w:color="auto" w:sz="0" w:space="0"/>
                <w:lang w:val="en-US" w:eastAsia="zh-CN" w:bidi="ar"/>
              </w:rPr>
              <w:t> </w:t>
            </w:r>
          </w:p>
        </w:tc>
        <w:tc>
          <w:tcPr>
            <w:tcW w:w="840" w:type="dxa"/>
            <w:shd w:val="clear"/>
            <w:vAlign w:val="center"/>
          </w:tcPr>
          <w:p>
            <w:pPr>
              <w:rPr>
                <w:rFonts w:hint="eastAsia" w:ascii="宋体"/>
                <w:sz w:val="24"/>
                <w:szCs w:val="24"/>
              </w:rPr>
            </w:pPr>
          </w:p>
        </w:tc>
      </w:tr>
      <w:tr>
        <w:tblPrEx>
          <w:tblCellMar>
            <w:top w:w="15" w:type="dxa"/>
            <w:left w:w="15" w:type="dxa"/>
            <w:bottom w:w="15" w:type="dxa"/>
            <w:right w:w="15" w:type="dxa"/>
          </w:tblCellMar>
        </w:tblPrEx>
        <w:trPr>
          <w:jc w:val="center"/>
        </w:trPr>
        <w:tc>
          <w:tcPr>
            <w:tcW w:w="1065" w:type="dxa"/>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_GB2312" w:eastAsia="仿宋_GB2312" w:cs="仿宋_GB2312" w:hAnsiTheme="minorHAnsi"/>
                <w:kern w:val="0"/>
                <w:sz w:val="24"/>
                <w:szCs w:val="24"/>
                <w:bdr w:val="none" w:color="auto" w:sz="0" w:space="0"/>
                <w:lang w:val="en-US" w:eastAsia="zh-CN" w:bidi="ar"/>
              </w:rPr>
              <w:t>对人民防空工程维护管理进行监督检查  </w:t>
            </w:r>
          </w:p>
        </w:tc>
        <w:tc>
          <w:tcPr>
            <w:tcW w:w="1575" w:type="dxa"/>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jc w:val="left"/>
            </w:pPr>
            <w:r>
              <w:rPr>
                <w:rFonts w:hint="eastAsia" w:ascii="仿宋_GB2312" w:eastAsia="仿宋_GB2312" w:cs="仿宋_GB2312" w:hAnsiTheme="minorHAnsi"/>
                <w:kern w:val="0"/>
                <w:sz w:val="24"/>
                <w:szCs w:val="24"/>
                <w:bdr w:val="none" w:color="auto" w:sz="0" w:space="0"/>
                <w:lang w:val="en-US" w:eastAsia="zh-CN" w:bidi="ar"/>
              </w:rPr>
              <w:t>《中华人民共和国人民防空法》第19条、第25条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_GB2312" w:eastAsia="仿宋_GB2312" w:cs="仿宋_GB2312" w:hAnsiTheme="minorHAnsi"/>
                <w:kern w:val="0"/>
                <w:sz w:val="24"/>
                <w:szCs w:val="24"/>
                <w:bdr w:val="none" w:color="auto" w:sz="0" w:space="0"/>
                <w:lang w:val="en-US" w:eastAsia="zh-CN" w:bidi="ar"/>
              </w:rPr>
              <w:t> </w:t>
            </w:r>
          </w:p>
        </w:tc>
        <w:tc>
          <w:tcPr>
            <w:tcW w:w="1005" w:type="dxa"/>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_GB2312" w:eastAsia="仿宋_GB2312" w:cs="仿宋_GB2312" w:hAnsiTheme="minorHAnsi"/>
                <w:kern w:val="0"/>
                <w:sz w:val="24"/>
                <w:szCs w:val="24"/>
                <w:bdr w:val="none" w:color="auto" w:sz="0" w:space="0"/>
                <w:lang w:val="en-US" w:eastAsia="zh-CN" w:bidi="ar"/>
              </w:rPr>
              <w:t>工程科</w:t>
            </w:r>
          </w:p>
        </w:tc>
        <w:tc>
          <w:tcPr>
            <w:tcW w:w="1035" w:type="dxa"/>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_GB2312" w:eastAsia="仿宋_GB2312" w:cs="仿宋_GB2312" w:hAnsiTheme="minorHAnsi"/>
                <w:color w:val="000000"/>
                <w:kern w:val="0"/>
                <w:sz w:val="24"/>
                <w:szCs w:val="24"/>
                <w:bdr w:val="none" w:color="auto" w:sz="0" w:space="0"/>
                <w:lang w:val="en-US" w:eastAsia="zh-CN" w:bidi="ar"/>
              </w:rPr>
              <w:t>70%</w:t>
            </w:r>
            <w:r>
              <w:rPr>
                <w:rFonts w:hint="eastAsia" w:ascii="仿宋_GB2312" w:eastAsia="仿宋_GB2312" w:cs="仿宋_GB2312" w:hAnsiTheme="minorHAnsi"/>
                <w:kern w:val="0"/>
                <w:sz w:val="24"/>
                <w:szCs w:val="24"/>
                <w:bdr w:val="none" w:color="auto" w:sz="0" w:space="0"/>
                <w:lang w:val="en-US" w:eastAsia="zh-CN" w:bidi="ar"/>
              </w:rPr>
              <w:t> </w:t>
            </w:r>
          </w:p>
        </w:tc>
        <w:tc>
          <w:tcPr>
            <w:tcW w:w="810" w:type="dxa"/>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_GB2312" w:eastAsia="仿宋_GB2312" w:cs="仿宋_GB2312" w:hAnsiTheme="minorHAnsi"/>
                <w:color w:val="000000"/>
                <w:kern w:val="0"/>
                <w:sz w:val="24"/>
                <w:szCs w:val="24"/>
                <w:bdr w:val="none" w:color="auto" w:sz="0" w:space="0"/>
                <w:lang w:val="en-US" w:eastAsia="zh-CN" w:bidi="ar"/>
              </w:rPr>
              <w:t>1</w:t>
            </w:r>
            <w:r>
              <w:rPr>
                <w:rFonts w:hint="eastAsia" w:ascii="仿宋_GB2312" w:eastAsia="仿宋_GB2312" w:cs="仿宋_GB2312" w:hAnsiTheme="minorHAnsi"/>
                <w:kern w:val="0"/>
                <w:sz w:val="24"/>
                <w:szCs w:val="24"/>
                <w:bdr w:val="none" w:color="auto" w:sz="0" w:space="0"/>
                <w:lang w:val="en-US" w:eastAsia="zh-CN" w:bidi="ar"/>
              </w:rPr>
              <w:t> </w:t>
            </w:r>
          </w:p>
        </w:tc>
        <w:tc>
          <w:tcPr>
            <w:tcW w:w="2550" w:type="dxa"/>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center"/>
            </w:pPr>
            <w:r>
              <w:rPr>
                <w:rFonts w:hint="eastAsia" w:ascii="仿宋_GB2312" w:eastAsia="仿宋_GB2312" w:cs="仿宋_GB2312" w:hAnsiTheme="minorHAnsi"/>
                <w:color w:val="000000"/>
                <w:kern w:val="0"/>
                <w:sz w:val="24"/>
                <w:szCs w:val="24"/>
                <w:bdr w:val="none" w:color="auto" w:sz="0" w:space="0"/>
                <w:lang w:val="en-US" w:eastAsia="zh-CN" w:bidi="ar"/>
              </w:rPr>
              <w:t>2021.4-2021.12</w:t>
            </w:r>
            <w:r>
              <w:rPr>
                <w:rFonts w:hint="eastAsia" w:ascii="仿宋_GB2312" w:eastAsia="仿宋_GB2312" w:cs="仿宋_GB2312" w:hAnsiTheme="minorHAnsi"/>
                <w:kern w:val="0"/>
                <w:sz w:val="24"/>
                <w:szCs w:val="24"/>
                <w:bdr w:val="none" w:color="auto" w:sz="0" w:space="0"/>
                <w:lang w:val="en-US" w:eastAsia="zh-CN" w:bidi="ar"/>
              </w:rPr>
              <w:t> </w:t>
            </w:r>
          </w:p>
        </w:tc>
        <w:tc>
          <w:tcPr>
            <w:tcW w:w="840" w:type="dxa"/>
            <w:shd w:val="clear"/>
            <w:vAlign w:val="center"/>
          </w:tcPr>
          <w:p>
            <w:pPr>
              <w:rPr>
                <w:rFonts w:hint="eastAsia" w:ascii="宋体"/>
                <w:sz w:val="24"/>
                <w:szCs w:val="24"/>
              </w:rPr>
            </w:pPr>
          </w:p>
        </w:tc>
      </w:tr>
    </w:tbl>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21"/>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b/>
          <w:bCs/>
          <w:i w:val="0"/>
          <w:iCs w:val="0"/>
          <w:caps w:val="0"/>
          <w:color w:val="000000"/>
          <w:spacing w:val="0"/>
          <w:kern w:val="0"/>
          <w:sz w:val="32"/>
          <w:szCs w:val="32"/>
          <w:bdr w:val="none" w:color="auto" w:sz="0" w:space="0"/>
          <w:shd w:val="clear" w:fill="FFFFFF"/>
          <w:lang w:val="en-US" w:eastAsia="zh-CN" w:bidi="ar"/>
        </w:rPr>
        <w:t>（三）检查对象名录库</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3"/>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b/>
          <w:bCs/>
          <w:i w:val="0"/>
          <w:iCs w:val="0"/>
          <w:caps w:val="0"/>
          <w:color w:val="000000"/>
          <w:spacing w:val="0"/>
          <w:kern w:val="0"/>
          <w:sz w:val="32"/>
          <w:szCs w:val="32"/>
          <w:bdr w:val="none" w:color="auto" w:sz="0" w:space="0"/>
          <w:shd w:val="clear" w:fill="FFFFFF"/>
          <w:lang w:val="en-US" w:eastAsia="zh-CN" w:bidi="ar"/>
        </w:rPr>
        <w:t>1.重要经济防护目标单位28个（涉密不予公示）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3"/>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b/>
          <w:bCs/>
          <w:i w:val="0"/>
          <w:iCs w:val="0"/>
          <w:caps w:val="0"/>
          <w:color w:val="000000"/>
          <w:spacing w:val="0"/>
          <w:kern w:val="0"/>
          <w:sz w:val="32"/>
          <w:szCs w:val="32"/>
          <w:bdr w:val="none" w:color="auto" w:sz="0" w:space="0"/>
          <w:shd w:val="clear" w:fill="FFFFFF"/>
          <w:lang w:val="en-US" w:eastAsia="zh-CN" w:bidi="ar"/>
        </w:rPr>
        <w:t>2.对人民防空工程维护管理进行监督检查单位</w:t>
      </w:r>
    </w:p>
    <w:tbl>
      <w:tblPr>
        <w:tblW w:w="9660" w:type="dxa"/>
        <w:tblInd w:w="0" w:type="dxa"/>
        <w:shd w:val="clear" w:color="auto" w:fill="FFFFFF"/>
        <w:tblLayout w:type="autofit"/>
        <w:tblCellMar>
          <w:top w:w="0" w:type="dxa"/>
          <w:left w:w="0" w:type="dxa"/>
          <w:bottom w:w="0" w:type="dxa"/>
          <w:right w:w="0" w:type="dxa"/>
        </w:tblCellMar>
      </w:tblPr>
      <w:tblGrid>
        <w:gridCol w:w="918"/>
        <w:gridCol w:w="3732"/>
        <w:gridCol w:w="1399"/>
        <w:gridCol w:w="2016"/>
        <w:gridCol w:w="1595"/>
      </w:tblGrid>
      <w:tr>
        <w:tblPrEx>
          <w:shd w:val="clear" w:color="auto" w:fill="FFFFFF"/>
          <w:tblCellMar>
            <w:top w:w="0" w:type="dxa"/>
            <w:left w:w="0" w:type="dxa"/>
            <w:bottom w:w="0" w:type="dxa"/>
            <w:right w:w="0" w:type="dxa"/>
          </w:tblCellMar>
        </w:tblPrEx>
        <w:trPr>
          <w:trHeight w:val="435" w:hRule="atLeast"/>
        </w:trPr>
        <w:tc>
          <w:tcPr>
            <w:tcW w:w="915" w:type="dxa"/>
            <w:shd w:val="clear" w:color="auto" w:fill="FFFFFF"/>
            <w:vAlign w:val="center"/>
          </w:tcPr>
          <w:p>
            <w:pPr>
              <w:keepNext w:val="0"/>
              <w:keepLines w:val="0"/>
              <w:widowControl/>
              <w:suppressLineNumbers w:val="0"/>
              <w:ind w:lef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序号</w:t>
            </w:r>
          </w:p>
        </w:tc>
        <w:tc>
          <w:tcPr>
            <w:tcW w:w="3720" w:type="dxa"/>
            <w:shd w:val="clear" w:color="auto" w:fill="FFFFFF"/>
            <w:vAlign w:val="center"/>
          </w:tcPr>
          <w:p>
            <w:pPr>
              <w:keepNext w:val="0"/>
              <w:keepLines w:val="0"/>
              <w:widowControl/>
              <w:suppressLineNumbers w:val="0"/>
              <w:ind w:lef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项目名称</w:t>
            </w:r>
          </w:p>
        </w:tc>
        <w:tc>
          <w:tcPr>
            <w:tcW w:w="1395" w:type="dxa"/>
            <w:shd w:val="clear" w:color="auto" w:fill="FFFFFF"/>
            <w:vAlign w:val="center"/>
          </w:tcPr>
          <w:p>
            <w:pPr>
              <w:keepNext w:val="0"/>
              <w:keepLines w:val="0"/>
              <w:widowControl/>
              <w:suppressLineNumbers w:val="0"/>
              <w:ind w:lef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联系人</w:t>
            </w:r>
          </w:p>
        </w:tc>
        <w:tc>
          <w:tcPr>
            <w:tcW w:w="2010" w:type="dxa"/>
            <w:shd w:val="clear" w:color="auto" w:fill="FFFFFF"/>
            <w:vAlign w:val="center"/>
          </w:tcPr>
          <w:p>
            <w:pPr>
              <w:keepNext w:val="0"/>
              <w:keepLines w:val="0"/>
              <w:widowControl/>
              <w:suppressLineNumbers w:val="0"/>
              <w:ind w:lef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联系电话</w:t>
            </w:r>
          </w:p>
        </w:tc>
        <w:tc>
          <w:tcPr>
            <w:tcW w:w="1590" w:type="dxa"/>
            <w:shd w:val="clear" w:color="auto" w:fill="FFFFFF"/>
            <w:vAlign w:val="center"/>
          </w:tcPr>
          <w:p>
            <w:pPr>
              <w:keepNext w:val="0"/>
              <w:keepLines w:val="0"/>
              <w:widowControl/>
              <w:suppressLineNumbers w:val="0"/>
              <w:ind w:lef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备注</w:t>
            </w:r>
          </w:p>
        </w:tc>
      </w:tr>
      <w:tr>
        <w:tblPrEx>
          <w:tblCellMar>
            <w:top w:w="0" w:type="dxa"/>
            <w:left w:w="0" w:type="dxa"/>
            <w:bottom w:w="0" w:type="dxa"/>
            <w:right w:w="0" w:type="dxa"/>
          </w:tblCellMar>
        </w:tblPrEx>
        <w:trPr>
          <w:trHeight w:val="435" w:hRule="atLeast"/>
        </w:trPr>
        <w:tc>
          <w:tcPr>
            <w:tcW w:w="915" w:type="dxa"/>
            <w:shd w:val="clear" w:color="auto" w:fill="FFFFFF"/>
            <w:vAlign w:val="center"/>
          </w:tcPr>
          <w:p>
            <w:pPr>
              <w:keepNext w:val="0"/>
              <w:keepLines w:val="0"/>
              <w:widowControl/>
              <w:suppressLineNumbers w:val="0"/>
              <w:ind w:lef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1</w:t>
            </w:r>
          </w:p>
        </w:tc>
        <w:tc>
          <w:tcPr>
            <w:tcW w:w="3720" w:type="dxa"/>
            <w:shd w:val="clear" w:color="auto" w:fill="FFFFFF"/>
            <w:vAlign w:val="center"/>
          </w:tcPr>
          <w:p>
            <w:pPr>
              <w:keepNext w:val="0"/>
              <w:keepLines w:val="0"/>
              <w:widowControl/>
              <w:suppressLineNumbers w:val="0"/>
              <w:ind w:lef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电信综合楼</w:t>
            </w:r>
          </w:p>
        </w:tc>
        <w:tc>
          <w:tcPr>
            <w:tcW w:w="0" w:type="auto"/>
            <w:shd w:val="clear" w:color="auto" w:fill="FFFFFF"/>
            <w:vAlign w:val="center"/>
          </w:tcPr>
          <w:p>
            <w:pPr>
              <w:keepNext w:val="0"/>
              <w:keepLines w:val="0"/>
              <w:widowControl/>
              <w:suppressLineNumbers w:val="0"/>
              <w:ind w:lef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李明树</w:t>
            </w:r>
          </w:p>
        </w:tc>
        <w:tc>
          <w:tcPr>
            <w:tcW w:w="0" w:type="auto"/>
            <w:shd w:val="clear" w:color="auto" w:fill="FFFFFF"/>
            <w:vAlign w:val="center"/>
          </w:tcPr>
          <w:p>
            <w:pPr>
              <w:keepNext w:val="0"/>
              <w:keepLines w:val="0"/>
              <w:widowControl/>
              <w:suppressLineNumbers w:val="0"/>
              <w:ind w:lef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18980152929</w:t>
            </w:r>
          </w:p>
        </w:tc>
        <w:tc>
          <w:tcPr>
            <w:tcW w:w="0" w:type="auto"/>
            <w:shd w:val="clear" w:color="auto" w:fill="FFFFFF"/>
            <w:vAlign w:val="center"/>
          </w:tcPr>
          <w:p>
            <w:pPr>
              <w:rPr>
                <w:rFonts w:hint="eastAsia" w:ascii="微软雅黑" w:hAnsi="微软雅黑" w:eastAsia="微软雅黑" w:cs="微软雅黑"/>
                <w:i w:val="0"/>
                <w:iCs w:val="0"/>
                <w:caps w:val="0"/>
                <w:color w:val="000000"/>
                <w:spacing w:val="0"/>
                <w:sz w:val="21"/>
                <w:szCs w:val="21"/>
              </w:rPr>
            </w:pPr>
          </w:p>
        </w:tc>
      </w:tr>
      <w:tr>
        <w:trPr>
          <w:trHeight w:val="435" w:hRule="atLeast"/>
        </w:trPr>
        <w:tc>
          <w:tcPr>
            <w:tcW w:w="915" w:type="dxa"/>
            <w:shd w:val="clear" w:color="auto" w:fill="FFFFFF"/>
            <w:vAlign w:val="center"/>
          </w:tcPr>
          <w:p>
            <w:pPr>
              <w:keepNext w:val="0"/>
              <w:keepLines w:val="0"/>
              <w:widowControl/>
              <w:suppressLineNumbers w:val="0"/>
              <w:ind w:lef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2</w:t>
            </w:r>
          </w:p>
        </w:tc>
        <w:tc>
          <w:tcPr>
            <w:tcW w:w="0" w:type="auto"/>
            <w:shd w:val="clear" w:color="auto" w:fill="FFFFFF"/>
            <w:vAlign w:val="center"/>
          </w:tcPr>
          <w:p>
            <w:pPr>
              <w:keepNext w:val="0"/>
              <w:keepLines w:val="0"/>
              <w:widowControl/>
              <w:suppressLineNumbers w:val="0"/>
              <w:ind w:lef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广元万达广场工程</w:t>
            </w:r>
          </w:p>
        </w:tc>
        <w:tc>
          <w:tcPr>
            <w:tcW w:w="0" w:type="auto"/>
            <w:shd w:val="clear" w:color="auto" w:fill="FFFFFF"/>
            <w:vAlign w:val="center"/>
          </w:tcPr>
          <w:p>
            <w:pPr>
              <w:keepNext w:val="0"/>
              <w:keepLines w:val="0"/>
              <w:widowControl/>
              <w:suppressLineNumbers w:val="0"/>
              <w:ind w:lef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李亚晖</w:t>
            </w:r>
          </w:p>
        </w:tc>
        <w:tc>
          <w:tcPr>
            <w:tcW w:w="0" w:type="auto"/>
            <w:shd w:val="clear" w:color="auto" w:fill="FFFFFF"/>
            <w:vAlign w:val="center"/>
          </w:tcPr>
          <w:p>
            <w:pPr>
              <w:keepNext w:val="0"/>
              <w:keepLines w:val="0"/>
              <w:widowControl/>
              <w:suppressLineNumbers w:val="0"/>
              <w:ind w:lef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18502816643</w:t>
            </w:r>
          </w:p>
        </w:tc>
        <w:tc>
          <w:tcPr>
            <w:tcW w:w="0" w:type="auto"/>
            <w:shd w:val="clear" w:color="auto" w:fill="FFFFFF"/>
            <w:vAlign w:val="center"/>
          </w:tcPr>
          <w:p>
            <w:pPr>
              <w:rPr>
                <w:rFonts w:hint="eastAsia" w:ascii="微软雅黑" w:hAnsi="微软雅黑" w:eastAsia="微软雅黑" w:cs="微软雅黑"/>
                <w:i w:val="0"/>
                <w:iCs w:val="0"/>
                <w:caps w:val="0"/>
                <w:color w:val="000000"/>
                <w:spacing w:val="0"/>
                <w:sz w:val="21"/>
                <w:szCs w:val="21"/>
              </w:rPr>
            </w:pPr>
          </w:p>
        </w:tc>
      </w:tr>
      <w:tr>
        <w:trPr>
          <w:trHeight w:val="435" w:hRule="atLeast"/>
        </w:trPr>
        <w:tc>
          <w:tcPr>
            <w:tcW w:w="915" w:type="dxa"/>
            <w:shd w:val="clear" w:color="auto" w:fill="FFFFFF"/>
            <w:vAlign w:val="center"/>
          </w:tcPr>
          <w:p>
            <w:pPr>
              <w:keepNext w:val="0"/>
              <w:keepLines w:val="0"/>
              <w:widowControl/>
              <w:suppressLineNumbers w:val="0"/>
              <w:ind w:lef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3</w:t>
            </w:r>
          </w:p>
        </w:tc>
        <w:tc>
          <w:tcPr>
            <w:tcW w:w="0" w:type="auto"/>
            <w:shd w:val="clear" w:color="auto" w:fill="FFFFFF"/>
            <w:vAlign w:val="center"/>
          </w:tcPr>
          <w:p>
            <w:pPr>
              <w:keepNext w:val="0"/>
              <w:keepLines w:val="0"/>
              <w:widowControl/>
              <w:suppressLineNumbers w:val="0"/>
              <w:ind w:lef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卓新欧锦城</w:t>
            </w:r>
          </w:p>
        </w:tc>
        <w:tc>
          <w:tcPr>
            <w:tcW w:w="0" w:type="auto"/>
            <w:shd w:val="clear" w:color="auto" w:fill="FFFFFF"/>
            <w:vAlign w:val="center"/>
          </w:tcPr>
          <w:p>
            <w:pPr>
              <w:keepNext w:val="0"/>
              <w:keepLines w:val="0"/>
              <w:widowControl/>
              <w:suppressLineNumbers w:val="0"/>
              <w:ind w:lef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李东升</w:t>
            </w:r>
          </w:p>
        </w:tc>
        <w:tc>
          <w:tcPr>
            <w:tcW w:w="0" w:type="auto"/>
            <w:shd w:val="clear" w:color="auto" w:fill="FFFFFF"/>
            <w:vAlign w:val="center"/>
          </w:tcPr>
          <w:p>
            <w:pPr>
              <w:keepNext w:val="0"/>
              <w:keepLines w:val="0"/>
              <w:widowControl/>
              <w:suppressLineNumbers w:val="0"/>
              <w:ind w:lef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18080301555</w:t>
            </w:r>
          </w:p>
        </w:tc>
        <w:tc>
          <w:tcPr>
            <w:tcW w:w="0" w:type="auto"/>
            <w:shd w:val="clear" w:color="auto" w:fill="FFFFFF"/>
            <w:vAlign w:val="center"/>
          </w:tcPr>
          <w:p>
            <w:pPr>
              <w:rPr>
                <w:rFonts w:hint="eastAsia" w:ascii="微软雅黑" w:hAnsi="微软雅黑" w:eastAsia="微软雅黑" w:cs="微软雅黑"/>
                <w:i w:val="0"/>
                <w:iCs w:val="0"/>
                <w:caps w:val="0"/>
                <w:color w:val="000000"/>
                <w:spacing w:val="0"/>
                <w:sz w:val="21"/>
                <w:szCs w:val="21"/>
              </w:rPr>
            </w:pPr>
          </w:p>
        </w:tc>
      </w:tr>
      <w:tr>
        <w:trPr>
          <w:trHeight w:val="435" w:hRule="atLeast"/>
        </w:trPr>
        <w:tc>
          <w:tcPr>
            <w:tcW w:w="915" w:type="dxa"/>
            <w:shd w:val="clear" w:color="auto" w:fill="FFFFFF"/>
            <w:vAlign w:val="center"/>
          </w:tcPr>
          <w:p>
            <w:pPr>
              <w:keepNext w:val="0"/>
              <w:keepLines w:val="0"/>
              <w:widowControl/>
              <w:suppressLineNumbers w:val="0"/>
              <w:ind w:lef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4</w:t>
            </w:r>
          </w:p>
        </w:tc>
        <w:tc>
          <w:tcPr>
            <w:tcW w:w="3720" w:type="dxa"/>
            <w:shd w:val="clear" w:color="auto" w:fill="FFFFFF"/>
            <w:vAlign w:val="center"/>
          </w:tcPr>
          <w:p>
            <w:pPr>
              <w:keepNext w:val="0"/>
              <w:keepLines w:val="0"/>
              <w:widowControl/>
              <w:suppressLineNumbers w:val="0"/>
              <w:ind w:lef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温州商场</w:t>
            </w:r>
          </w:p>
        </w:tc>
        <w:tc>
          <w:tcPr>
            <w:tcW w:w="0" w:type="auto"/>
            <w:shd w:val="clear" w:color="auto" w:fill="FFFFFF"/>
            <w:vAlign w:val="center"/>
          </w:tcPr>
          <w:p>
            <w:pPr>
              <w:keepNext w:val="0"/>
              <w:keepLines w:val="0"/>
              <w:widowControl/>
              <w:suppressLineNumbers w:val="0"/>
              <w:ind w:lef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李  勇</w:t>
            </w:r>
          </w:p>
        </w:tc>
        <w:tc>
          <w:tcPr>
            <w:tcW w:w="0" w:type="auto"/>
            <w:shd w:val="clear" w:color="auto" w:fill="FFFFFF"/>
            <w:vAlign w:val="center"/>
          </w:tcPr>
          <w:p>
            <w:pPr>
              <w:keepNext w:val="0"/>
              <w:keepLines w:val="0"/>
              <w:widowControl/>
              <w:suppressLineNumbers w:val="0"/>
              <w:ind w:lef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18980153816</w:t>
            </w:r>
          </w:p>
        </w:tc>
        <w:tc>
          <w:tcPr>
            <w:tcW w:w="0" w:type="auto"/>
            <w:shd w:val="clear" w:color="auto" w:fill="FFFFFF"/>
            <w:vAlign w:val="center"/>
          </w:tcPr>
          <w:p>
            <w:pPr>
              <w:rPr>
                <w:rFonts w:hint="eastAsia" w:ascii="微软雅黑" w:hAnsi="微软雅黑" w:eastAsia="微软雅黑" w:cs="微软雅黑"/>
                <w:i w:val="0"/>
                <w:iCs w:val="0"/>
                <w:caps w:val="0"/>
                <w:color w:val="000000"/>
                <w:spacing w:val="0"/>
                <w:sz w:val="21"/>
                <w:szCs w:val="21"/>
              </w:rPr>
            </w:pPr>
          </w:p>
        </w:tc>
      </w:tr>
      <w:tr>
        <w:trPr>
          <w:trHeight w:val="435" w:hRule="atLeast"/>
        </w:trPr>
        <w:tc>
          <w:tcPr>
            <w:tcW w:w="915" w:type="dxa"/>
            <w:shd w:val="clear" w:color="auto" w:fill="FFFFFF"/>
            <w:vAlign w:val="center"/>
          </w:tcPr>
          <w:p>
            <w:pPr>
              <w:keepNext w:val="0"/>
              <w:keepLines w:val="0"/>
              <w:widowControl/>
              <w:suppressLineNumbers w:val="0"/>
              <w:ind w:lef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5</w:t>
            </w:r>
          </w:p>
        </w:tc>
        <w:tc>
          <w:tcPr>
            <w:tcW w:w="3720" w:type="dxa"/>
            <w:shd w:val="clear" w:color="auto" w:fill="FFFFFF"/>
            <w:vAlign w:val="center"/>
          </w:tcPr>
          <w:p>
            <w:pPr>
              <w:keepNext w:val="0"/>
              <w:keepLines w:val="0"/>
              <w:widowControl/>
              <w:suppressLineNumbers w:val="0"/>
              <w:ind w:lef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工行城区支行</w:t>
            </w:r>
          </w:p>
        </w:tc>
        <w:tc>
          <w:tcPr>
            <w:tcW w:w="0" w:type="auto"/>
            <w:shd w:val="clear" w:color="auto" w:fill="FFFFFF"/>
            <w:vAlign w:val="center"/>
          </w:tcPr>
          <w:p>
            <w:pPr>
              <w:keepNext w:val="0"/>
              <w:keepLines w:val="0"/>
              <w:widowControl/>
              <w:suppressLineNumbers w:val="0"/>
              <w:ind w:lef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夏  军</w:t>
            </w:r>
          </w:p>
        </w:tc>
        <w:tc>
          <w:tcPr>
            <w:tcW w:w="0" w:type="auto"/>
            <w:shd w:val="clear" w:color="auto" w:fill="FFFFFF"/>
            <w:vAlign w:val="center"/>
          </w:tcPr>
          <w:p>
            <w:pPr>
              <w:keepNext w:val="0"/>
              <w:keepLines w:val="0"/>
              <w:widowControl/>
              <w:suppressLineNumbers w:val="0"/>
              <w:ind w:lef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13308123135</w:t>
            </w:r>
          </w:p>
        </w:tc>
        <w:tc>
          <w:tcPr>
            <w:tcW w:w="0" w:type="auto"/>
            <w:shd w:val="clear" w:color="auto" w:fill="FFFFFF"/>
            <w:vAlign w:val="center"/>
          </w:tcPr>
          <w:p>
            <w:pPr>
              <w:rPr>
                <w:rFonts w:hint="eastAsia" w:ascii="微软雅黑" w:hAnsi="微软雅黑" w:eastAsia="微软雅黑" w:cs="微软雅黑"/>
                <w:i w:val="0"/>
                <w:iCs w:val="0"/>
                <w:caps w:val="0"/>
                <w:color w:val="000000"/>
                <w:spacing w:val="0"/>
                <w:sz w:val="21"/>
                <w:szCs w:val="21"/>
              </w:rPr>
            </w:pPr>
          </w:p>
        </w:tc>
      </w:tr>
      <w:tr>
        <w:trPr>
          <w:trHeight w:val="435" w:hRule="atLeast"/>
        </w:trPr>
        <w:tc>
          <w:tcPr>
            <w:tcW w:w="915" w:type="dxa"/>
            <w:shd w:val="clear" w:color="auto" w:fill="FFFFFF"/>
            <w:vAlign w:val="center"/>
          </w:tcPr>
          <w:p>
            <w:pPr>
              <w:keepNext w:val="0"/>
              <w:keepLines w:val="0"/>
              <w:widowControl/>
              <w:suppressLineNumbers w:val="0"/>
              <w:ind w:lef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6</w:t>
            </w:r>
          </w:p>
        </w:tc>
        <w:tc>
          <w:tcPr>
            <w:tcW w:w="3720" w:type="dxa"/>
            <w:shd w:val="clear" w:color="auto" w:fill="FFFFFF"/>
            <w:vAlign w:val="center"/>
          </w:tcPr>
          <w:p>
            <w:pPr>
              <w:keepNext w:val="0"/>
              <w:keepLines w:val="0"/>
              <w:widowControl/>
              <w:suppressLineNumbers w:val="0"/>
              <w:ind w:lef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文化大夏</w:t>
            </w:r>
          </w:p>
        </w:tc>
        <w:tc>
          <w:tcPr>
            <w:tcW w:w="0" w:type="auto"/>
            <w:shd w:val="clear" w:color="auto" w:fill="FFFFFF"/>
            <w:vAlign w:val="center"/>
          </w:tcPr>
          <w:p>
            <w:pPr>
              <w:keepNext w:val="0"/>
              <w:keepLines w:val="0"/>
              <w:widowControl/>
              <w:suppressLineNumbers w:val="0"/>
              <w:ind w:lef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潘  红</w:t>
            </w:r>
          </w:p>
        </w:tc>
        <w:tc>
          <w:tcPr>
            <w:tcW w:w="0" w:type="auto"/>
            <w:shd w:val="clear" w:color="auto" w:fill="FFFFFF"/>
            <w:vAlign w:val="center"/>
          </w:tcPr>
          <w:p>
            <w:pPr>
              <w:keepNext w:val="0"/>
              <w:keepLines w:val="0"/>
              <w:widowControl/>
              <w:suppressLineNumbers w:val="0"/>
              <w:ind w:lef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13550961613</w:t>
            </w:r>
          </w:p>
        </w:tc>
        <w:tc>
          <w:tcPr>
            <w:tcW w:w="0" w:type="auto"/>
            <w:shd w:val="clear" w:color="auto" w:fill="FFFFFF"/>
            <w:vAlign w:val="center"/>
          </w:tcPr>
          <w:p>
            <w:pPr>
              <w:rPr>
                <w:rFonts w:hint="eastAsia" w:ascii="微软雅黑" w:hAnsi="微软雅黑" w:eastAsia="微软雅黑" w:cs="微软雅黑"/>
                <w:i w:val="0"/>
                <w:iCs w:val="0"/>
                <w:caps w:val="0"/>
                <w:color w:val="000000"/>
                <w:spacing w:val="0"/>
                <w:sz w:val="21"/>
                <w:szCs w:val="21"/>
              </w:rPr>
            </w:pPr>
          </w:p>
        </w:tc>
      </w:tr>
      <w:tr>
        <w:trPr>
          <w:trHeight w:val="435" w:hRule="atLeast"/>
        </w:trPr>
        <w:tc>
          <w:tcPr>
            <w:tcW w:w="915" w:type="dxa"/>
            <w:shd w:val="clear" w:color="auto" w:fill="FFFFFF"/>
            <w:vAlign w:val="center"/>
          </w:tcPr>
          <w:p>
            <w:pPr>
              <w:keepNext w:val="0"/>
              <w:keepLines w:val="0"/>
              <w:widowControl/>
              <w:suppressLineNumbers w:val="0"/>
              <w:ind w:lef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7</w:t>
            </w:r>
          </w:p>
        </w:tc>
        <w:tc>
          <w:tcPr>
            <w:tcW w:w="0" w:type="auto"/>
            <w:shd w:val="clear" w:color="auto" w:fill="FFFFFF"/>
            <w:vAlign w:val="center"/>
          </w:tcPr>
          <w:p>
            <w:pPr>
              <w:keepNext w:val="0"/>
              <w:keepLines w:val="0"/>
              <w:widowControl/>
              <w:suppressLineNumbers w:val="0"/>
              <w:ind w:lef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鼓楼地下人防工程</w:t>
            </w:r>
          </w:p>
        </w:tc>
        <w:tc>
          <w:tcPr>
            <w:tcW w:w="0" w:type="auto"/>
            <w:shd w:val="clear" w:color="auto" w:fill="FFFFFF"/>
            <w:vAlign w:val="center"/>
          </w:tcPr>
          <w:p>
            <w:pPr>
              <w:keepNext w:val="0"/>
              <w:keepLines w:val="0"/>
              <w:widowControl/>
              <w:suppressLineNumbers w:val="0"/>
              <w:ind w:lef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蔡  总</w:t>
            </w:r>
          </w:p>
        </w:tc>
        <w:tc>
          <w:tcPr>
            <w:tcW w:w="0" w:type="auto"/>
            <w:shd w:val="clear" w:color="auto" w:fill="FFFFFF"/>
            <w:vAlign w:val="center"/>
          </w:tcPr>
          <w:p>
            <w:pPr>
              <w:keepNext w:val="0"/>
              <w:keepLines w:val="0"/>
              <w:widowControl/>
              <w:suppressLineNumbers w:val="0"/>
              <w:ind w:lef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18919008238</w:t>
            </w:r>
          </w:p>
        </w:tc>
        <w:tc>
          <w:tcPr>
            <w:tcW w:w="0" w:type="auto"/>
            <w:shd w:val="clear" w:color="auto" w:fill="FFFFFF"/>
            <w:vAlign w:val="center"/>
          </w:tcPr>
          <w:p>
            <w:pPr>
              <w:rPr>
                <w:rFonts w:hint="eastAsia" w:ascii="微软雅黑" w:hAnsi="微软雅黑" w:eastAsia="微软雅黑" w:cs="微软雅黑"/>
                <w:i w:val="0"/>
                <w:iCs w:val="0"/>
                <w:caps w:val="0"/>
                <w:color w:val="000000"/>
                <w:spacing w:val="0"/>
                <w:sz w:val="21"/>
                <w:szCs w:val="21"/>
              </w:rPr>
            </w:pPr>
          </w:p>
        </w:tc>
      </w:tr>
      <w:tr>
        <w:trPr>
          <w:trHeight w:val="435" w:hRule="atLeast"/>
        </w:trPr>
        <w:tc>
          <w:tcPr>
            <w:tcW w:w="915" w:type="dxa"/>
            <w:shd w:val="clear" w:color="auto" w:fill="FFFFFF"/>
            <w:vAlign w:val="center"/>
          </w:tcPr>
          <w:p>
            <w:pPr>
              <w:keepNext w:val="0"/>
              <w:keepLines w:val="0"/>
              <w:widowControl/>
              <w:suppressLineNumbers w:val="0"/>
              <w:ind w:lef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8</w:t>
            </w:r>
          </w:p>
        </w:tc>
        <w:tc>
          <w:tcPr>
            <w:tcW w:w="0" w:type="auto"/>
            <w:shd w:val="clear" w:color="auto" w:fill="FFFFFF"/>
            <w:vAlign w:val="center"/>
          </w:tcPr>
          <w:p>
            <w:pPr>
              <w:keepNext w:val="0"/>
              <w:keepLines w:val="0"/>
              <w:widowControl/>
              <w:suppressLineNumbers w:val="0"/>
              <w:ind w:lef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图腾海博春天（市场街人防工程）</w:t>
            </w:r>
          </w:p>
        </w:tc>
        <w:tc>
          <w:tcPr>
            <w:tcW w:w="0" w:type="auto"/>
            <w:shd w:val="clear" w:color="auto" w:fill="FFFFFF"/>
            <w:vAlign w:val="center"/>
          </w:tcPr>
          <w:p>
            <w:pPr>
              <w:keepNext w:val="0"/>
              <w:keepLines w:val="0"/>
              <w:widowControl/>
              <w:suppressLineNumbers w:val="0"/>
              <w:ind w:lef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李  勇</w:t>
            </w:r>
          </w:p>
        </w:tc>
        <w:tc>
          <w:tcPr>
            <w:tcW w:w="0" w:type="auto"/>
            <w:shd w:val="clear" w:color="auto" w:fill="FFFFFF"/>
            <w:vAlign w:val="center"/>
          </w:tcPr>
          <w:p>
            <w:pPr>
              <w:keepNext w:val="0"/>
              <w:keepLines w:val="0"/>
              <w:widowControl/>
              <w:suppressLineNumbers w:val="0"/>
              <w:ind w:lef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18980153816</w:t>
            </w:r>
          </w:p>
        </w:tc>
        <w:tc>
          <w:tcPr>
            <w:tcW w:w="0" w:type="auto"/>
            <w:shd w:val="clear" w:color="auto" w:fill="FFFFFF"/>
            <w:vAlign w:val="center"/>
          </w:tcPr>
          <w:p>
            <w:pPr>
              <w:rPr>
                <w:rFonts w:hint="eastAsia" w:ascii="微软雅黑" w:hAnsi="微软雅黑" w:eastAsia="微软雅黑" w:cs="微软雅黑"/>
                <w:i w:val="0"/>
                <w:iCs w:val="0"/>
                <w:caps w:val="0"/>
                <w:color w:val="000000"/>
                <w:spacing w:val="0"/>
                <w:sz w:val="21"/>
                <w:szCs w:val="21"/>
              </w:rPr>
            </w:pPr>
          </w:p>
        </w:tc>
      </w:tr>
      <w:tr>
        <w:trPr>
          <w:trHeight w:val="435" w:hRule="atLeast"/>
        </w:trPr>
        <w:tc>
          <w:tcPr>
            <w:tcW w:w="915" w:type="dxa"/>
            <w:shd w:val="clear" w:color="auto" w:fill="FFFFFF"/>
            <w:vAlign w:val="center"/>
          </w:tcPr>
          <w:p>
            <w:pPr>
              <w:keepNext w:val="0"/>
              <w:keepLines w:val="0"/>
              <w:widowControl/>
              <w:suppressLineNumbers w:val="0"/>
              <w:ind w:lef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9</w:t>
            </w:r>
          </w:p>
        </w:tc>
        <w:tc>
          <w:tcPr>
            <w:tcW w:w="3720" w:type="dxa"/>
            <w:shd w:val="clear" w:color="auto" w:fill="FFFFFF"/>
            <w:vAlign w:val="center"/>
          </w:tcPr>
          <w:p>
            <w:pPr>
              <w:keepNext w:val="0"/>
              <w:keepLines w:val="0"/>
              <w:widowControl/>
              <w:suppressLineNumbers w:val="0"/>
              <w:ind w:lef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国家电网</w:t>
            </w:r>
          </w:p>
        </w:tc>
        <w:tc>
          <w:tcPr>
            <w:tcW w:w="0" w:type="auto"/>
            <w:shd w:val="clear" w:color="auto" w:fill="FFFFFF"/>
            <w:vAlign w:val="center"/>
          </w:tcPr>
          <w:p>
            <w:pPr>
              <w:keepNext w:val="0"/>
              <w:keepLines w:val="0"/>
              <w:widowControl/>
              <w:suppressLineNumbers w:val="0"/>
              <w:ind w:lef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沈志平</w:t>
            </w:r>
          </w:p>
        </w:tc>
        <w:tc>
          <w:tcPr>
            <w:tcW w:w="0" w:type="auto"/>
            <w:shd w:val="clear" w:color="auto" w:fill="FFFFFF"/>
            <w:vAlign w:val="center"/>
          </w:tcPr>
          <w:p>
            <w:pPr>
              <w:keepNext w:val="0"/>
              <w:keepLines w:val="0"/>
              <w:widowControl/>
              <w:suppressLineNumbers w:val="0"/>
              <w:ind w:lef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3293241；3293242</w:t>
            </w:r>
          </w:p>
        </w:tc>
        <w:tc>
          <w:tcPr>
            <w:tcW w:w="0" w:type="auto"/>
            <w:shd w:val="clear" w:color="auto" w:fill="FFFFFF"/>
            <w:vAlign w:val="center"/>
          </w:tcPr>
          <w:p>
            <w:pPr>
              <w:rPr>
                <w:rFonts w:hint="eastAsia" w:ascii="微软雅黑" w:hAnsi="微软雅黑" w:eastAsia="微软雅黑" w:cs="微软雅黑"/>
                <w:i w:val="0"/>
                <w:iCs w:val="0"/>
                <w:caps w:val="0"/>
                <w:color w:val="000000"/>
                <w:spacing w:val="0"/>
                <w:sz w:val="21"/>
                <w:szCs w:val="21"/>
              </w:rPr>
            </w:pPr>
          </w:p>
        </w:tc>
      </w:tr>
      <w:tr>
        <w:trPr>
          <w:trHeight w:val="435" w:hRule="atLeast"/>
        </w:trPr>
        <w:tc>
          <w:tcPr>
            <w:tcW w:w="915" w:type="dxa"/>
            <w:shd w:val="clear" w:color="auto" w:fill="FFFFFF"/>
            <w:vAlign w:val="center"/>
          </w:tcPr>
          <w:p>
            <w:pPr>
              <w:keepNext w:val="0"/>
              <w:keepLines w:val="0"/>
              <w:widowControl/>
              <w:suppressLineNumbers w:val="0"/>
              <w:ind w:lef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10</w:t>
            </w:r>
          </w:p>
        </w:tc>
        <w:tc>
          <w:tcPr>
            <w:tcW w:w="3720" w:type="dxa"/>
            <w:shd w:val="clear" w:color="auto" w:fill="FFFFFF"/>
            <w:vAlign w:val="center"/>
          </w:tcPr>
          <w:p>
            <w:pPr>
              <w:keepNext w:val="0"/>
              <w:keepLines w:val="0"/>
              <w:widowControl/>
              <w:suppressLineNumbers w:val="0"/>
              <w:ind w:lef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广元建行</w:t>
            </w:r>
          </w:p>
        </w:tc>
        <w:tc>
          <w:tcPr>
            <w:tcW w:w="0" w:type="auto"/>
            <w:shd w:val="clear" w:color="auto" w:fill="FFFFFF"/>
            <w:vAlign w:val="center"/>
          </w:tcPr>
          <w:p>
            <w:pPr>
              <w:keepNext w:val="0"/>
              <w:keepLines w:val="0"/>
              <w:widowControl/>
              <w:suppressLineNumbers w:val="0"/>
              <w:ind w:lef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保卫科</w:t>
            </w:r>
          </w:p>
        </w:tc>
        <w:tc>
          <w:tcPr>
            <w:tcW w:w="0" w:type="auto"/>
            <w:shd w:val="clear" w:color="auto" w:fill="FFFFFF"/>
            <w:vAlign w:val="center"/>
          </w:tcPr>
          <w:p>
            <w:pPr>
              <w:keepNext w:val="0"/>
              <w:keepLines w:val="0"/>
              <w:widowControl/>
              <w:suppressLineNumbers w:val="0"/>
              <w:ind w:left="0" w:firstLine="0"/>
              <w:jc w:val="lef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kern w:val="0"/>
                <w:sz w:val="21"/>
                <w:szCs w:val="21"/>
                <w:lang w:val="en-US" w:eastAsia="zh-CN" w:bidi="ar"/>
              </w:rPr>
              <w:t>3561065</w:t>
            </w:r>
          </w:p>
        </w:tc>
        <w:tc>
          <w:tcPr>
            <w:tcW w:w="0" w:type="auto"/>
            <w:shd w:val="clear" w:color="auto" w:fill="FFFFFF"/>
            <w:vAlign w:val="center"/>
          </w:tcPr>
          <w:p>
            <w:pPr>
              <w:rPr>
                <w:rFonts w:hint="eastAsia" w:ascii="微软雅黑" w:hAnsi="微软雅黑" w:eastAsia="微软雅黑" w:cs="微软雅黑"/>
                <w:i w:val="0"/>
                <w:iCs w:val="0"/>
                <w:caps w:val="0"/>
                <w:color w:val="000000"/>
                <w:spacing w:val="0"/>
                <w:sz w:val="21"/>
                <w:szCs w:val="21"/>
              </w:rPr>
            </w:pPr>
          </w:p>
        </w:tc>
      </w:tr>
    </w:tbl>
    <w:p>
      <w:pPr>
        <w:keepNext w:val="0"/>
        <w:keepLines w:val="0"/>
        <w:widowControl/>
        <w:suppressLineNumbers w:val="0"/>
        <w:jc w:val="left"/>
      </w:pPr>
      <w:r>
        <w:rPr>
          <w:rStyle w:val="6"/>
          <w:rFonts w:hint="eastAsia" w:ascii="微软雅黑" w:hAnsi="微软雅黑" w:eastAsia="微软雅黑" w:cs="微软雅黑"/>
          <w:b/>
          <w:bCs/>
          <w:i w:val="0"/>
          <w:iCs w:val="0"/>
          <w:caps w:val="0"/>
          <w:color w:val="000000"/>
          <w:spacing w:val="0"/>
          <w:kern w:val="0"/>
          <w:sz w:val="21"/>
          <w:szCs w:val="21"/>
          <w:shd w:val="clear" w:fill="FFFFFF"/>
          <w:lang w:val="en-US" w:eastAsia="zh-CN" w:bidi="ar"/>
        </w:rPr>
        <w:t>八、广元市人防办行政执法文书样式、行政执法案卷评查制度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700"/>
        <w:rPr>
          <w:rFonts w:hint="eastAsia" w:ascii="微软雅黑" w:hAnsi="微软雅黑" w:eastAsia="微软雅黑" w:cs="微软雅黑"/>
          <w:b/>
          <w:bCs/>
          <w:i w:val="0"/>
          <w:iCs w:val="0"/>
          <w:caps w:val="0"/>
          <w:color w:val="000000"/>
          <w:spacing w:val="0"/>
          <w:sz w:val="21"/>
          <w:szCs w:val="21"/>
        </w:rPr>
      </w:pPr>
      <w:r>
        <w:rPr>
          <w:rFonts w:hint="eastAsia" w:ascii="仿宋_GB2312" w:hAnsi="微软雅黑" w:eastAsia="仿宋_GB2312" w:cs="仿宋_GB2312"/>
          <w:b w:val="0"/>
          <w:bCs w:val="0"/>
          <w:i w:val="0"/>
          <w:iCs w:val="0"/>
          <w:caps w:val="0"/>
          <w:color w:val="404040"/>
          <w:spacing w:val="0"/>
          <w:sz w:val="32"/>
          <w:szCs w:val="32"/>
          <w:bdr w:val="none" w:color="auto" w:sz="0" w:space="0"/>
          <w:shd w:val="clear" w:fill="FFFFFF"/>
        </w:rPr>
        <w:t>（一）司法部关于印发《司法行政机关行政许可文书格式文本》的通知</w:t>
      </w:r>
      <w:r>
        <w:rPr>
          <w:rFonts w:hint="eastAsia" w:ascii="仿宋_GB2312" w:hAnsi="微软雅黑" w:eastAsia="仿宋_GB2312" w:cs="仿宋_GB2312"/>
          <w:b w:val="0"/>
          <w:bCs w:val="0"/>
          <w:i w:val="0"/>
          <w:iCs w:val="0"/>
          <w:caps w:val="0"/>
          <w:color w:val="464445"/>
          <w:spacing w:val="0"/>
          <w:sz w:val="32"/>
          <w:szCs w:val="32"/>
          <w:bdr w:val="none" w:color="auto" w:sz="0" w:space="0"/>
          <w:shd w:val="clear" w:fill="FFFFFF"/>
        </w:rPr>
        <w:t>(司发通[2004]167号)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333333"/>
          <w:spacing w:val="0"/>
          <w:kern w:val="0"/>
          <w:sz w:val="32"/>
          <w:szCs w:val="32"/>
          <w:bdr w:val="none" w:color="auto" w:sz="0" w:space="0"/>
          <w:shd w:val="clear" w:fill="FFFFFF"/>
          <w:lang w:val="en-US" w:eastAsia="zh-CN" w:bidi="ar"/>
        </w:rPr>
        <w:t>（二）司法部关于印发</w:t>
      </w:r>
      <w:r>
        <w:rPr>
          <w:rFonts w:hint="eastAsia" w:ascii="仿宋_GB2312" w:hAnsi="微软雅黑" w:eastAsia="仿宋_GB2312" w:cs="仿宋_GB2312"/>
          <w:i w:val="0"/>
          <w:iCs w:val="0"/>
          <w:caps w:val="0"/>
          <w:color w:val="404040"/>
          <w:spacing w:val="0"/>
          <w:kern w:val="0"/>
          <w:sz w:val="32"/>
          <w:szCs w:val="32"/>
          <w:bdr w:val="none" w:color="auto" w:sz="0" w:space="0"/>
          <w:shd w:val="clear" w:fill="FFFFFF"/>
          <w:lang w:val="en-US" w:eastAsia="zh-CN" w:bidi="ar"/>
        </w:rPr>
        <w:t>《</w:t>
      </w:r>
      <w:r>
        <w:rPr>
          <w:rFonts w:hint="eastAsia" w:ascii="仿宋_GB2312" w:hAnsi="微软雅黑" w:eastAsia="仿宋_GB2312" w:cs="仿宋_GB2312"/>
          <w:i w:val="0"/>
          <w:iCs w:val="0"/>
          <w:caps w:val="0"/>
          <w:color w:val="333333"/>
          <w:spacing w:val="0"/>
          <w:kern w:val="0"/>
          <w:sz w:val="32"/>
          <w:szCs w:val="32"/>
          <w:bdr w:val="none" w:color="auto" w:sz="0" w:space="0"/>
          <w:shd w:val="clear" w:fill="FFFFFF"/>
          <w:lang w:val="en-US" w:eastAsia="zh-CN" w:bidi="ar"/>
        </w:rPr>
        <w:t>司法行政机关行政执法文书格式的通知</w:t>
      </w: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 </w:t>
      </w:r>
      <w:r>
        <w:rPr>
          <w:rFonts w:hint="eastAsia" w:ascii="仿宋_GB2312" w:hAnsi="微软雅黑" w:eastAsia="仿宋_GB2312" w:cs="仿宋_GB2312"/>
          <w:i w:val="0"/>
          <w:iCs w:val="0"/>
          <w:caps w:val="0"/>
          <w:color w:val="404040"/>
          <w:spacing w:val="0"/>
          <w:kern w:val="0"/>
          <w:sz w:val="32"/>
          <w:szCs w:val="32"/>
          <w:bdr w:val="none" w:color="auto" w:sz="0" w:space="0"/>
          <w:shd w:val="clear" w:fill="FFFFFF"/>
          <w:lang w:val="en-US" w:eastAsia="zh-CN" w:bidi="ar"/>
        </w:rPr>
        <w:t>》</w:t>
      </w: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 司发通［1997］085号)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（三）广元市司法局关于印发《广元市司法行政机关行政执法案卷评查办法》及相关配套规定的通知(广司发[2011]86号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3"/>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b/>
          <w:bCs/>
          <w:i w:val="0"/>
          <w:iCs w:val="0"/>
          <w:caps w:val="0"/>
          <w:color w:val="000000"/>
          <w:spacing w:val="0"/>
          <w:kern w:val="0"/>
          <w:sz w:val="32"/>
          <w:szCs w:val="32"/>
          <w:bdr w:val="none" w:color="auto" w:sz="0" w:space="0"/>
          <w:shd w:val="clear" w:fill="FFFFFF"/>
          <w:lang w:val="en-US" w:eastAsia="zh-CN" w:bidi="ar"/>
        </w:rPr>
        <w:t>九、广元市人防办上年度双随机抽查结果、行政许可和处罚决定、上年度本机关行政执法数据总体情况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（一）上年度本机关行政执法数据总体情况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80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http://rfb.cngy.gov.cn/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（二）行政许可和行政处罚决定公示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80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http://rfb.cngy.gov.cn/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3"/>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b/>
          <w:bCs/>
          <w:i w:val="0"/>
          <w:iCs w:val="0"/>
          <w:caps w:val="0"/>
          <w:color w:val="000000"/>
          <w:spacing w:val="0"/>
          <w:kern w:val="0"/>
          <w:sz w:val="32"/>
          <w:szCs w:val="32"/>
          <w:bdr w:val="none" w:color="auto" w:sz="0" w:space="0"/>
          <w:shd w:val="clear" w:fill="FFFFFF"/>
          <w:lang w:val="en-US" w:eastAsia="zh-CN" w:bidi="ar"/>
        </w:rPr>
        <w:t>十、广元市人防办实行行政执法三项制度方案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iCs w:val="0"/>
          <w:caps w:val="0"/>
          <w:color w:val="000000"/>
          <w:spacing w:val="0"/>
          <w:sz w:val="21"/>
          <w:szCs w:val="21"/>
        </w:rPr>
      </w:pPr>
      <w:r>
        <w:rPr>
          <w:rFonts w:hint="eastAsia" w:ascii="宋体" w:hAnsi="宋体" w:eastAsia="宋体" w:cs="宋体"/>
          <w:b/>
          <w:bCs/>
          <w:i w:val="0"/>
          <w:iCs w:val="0"/>
          <w:caps w:val="0"/>
          <w:color w:val="000000"/>
          <w:spacing w:val="0"/>
          <w:kern w:val="0"/>
          <w:sz w:val="44"/>
          <w:szCs w:val="44"/>
          <w:bdr w:val="none" w:color="auto" w:sz="0" w:space="0"/>
          <w:shd w:val="clear" w:fill="FFFFFF"/>
          <w:lang w:val="en-US" w:eastAsia="zh-CN" w:bidi="ar"/>
        </w:rPr>
        <w:t>广元市人民防空办公室</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iCs w:val="0"/>
          <w:caps w:val="0"/>
          <w:color w:val="000000"/>
          <w:spacing w:val="0"/>
          <w:sz w:val="21"/>
          <w:szCs w:val="21"/>
        </w:rPr>
      </w:pPr>
      <w:r>
        <w:rPr>
          <w:rFonts w:hint="eastAsia" w:ascii="宋体" w:hAnsi="宋体" w:eastAsia="宋体" w:cs="宋体"/>
          <w:b/>
          <w:bCs/>
          <w:i w:val="0"/>
          <w:iCs w:val="0"/>
          <w:caps w:val="0"/>
          <w:color w:val="000000"/>
          <w:spacing w:val="0"/>
          <w:kern w:val="0"/>
          <w:sz w:val="44"/>
          <w:szCs w:val="44"/>
          <w:bdr w:val="none" w:color="auto" w:sz="0" w:space="0"/>
          <w:shd w:val="clear" w:fill="FFFFFF"/>
          <w:lang w:val="en-US" w:eastAsia="zh-CN" w:bidi="ar"/>
        </w:rPr>
        <w:t>行政执法公示实施办法方案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iCs w:val="0"/>
          <w:caps w:val="0"/>
          <w:color w:val="000000"/>
          <w:spacing w:val="0"/>
          <w:sz w:val="21"/>
          <w:szCs w:val="21"/>
        </w:rPr>
      </w:pPr>
      <w:r>
        <w:rPr>
          <w:rFonts w:hint="eastAsia" w:ascii="黑体" w:hAnsi="宋体" w:eastAsia="黑体" w:cs="黑体"/>
          <w:i w:val="0"/>
          <w:iCs w:val="0"/>
          <w:caps w:val="0"/>
          <w:color w:val="000000"/>
          <w:spacing w:val="0"/>
          <w:kern w:val="0"/>
          <w:sz w:val="21"/>
          <w:szCs w:val="21"/>
          <w:bdr w:val="none" w:color="auto" w:sz="0" w:space="0"/>
          <w:shd w:val="clear" w:fill="FFFFFF"/>
          <w:lang w:val="en-US" w:eastAsia="zh-CN" w:bidi="ar"/>
        </w:rPr>
        <w:t> </w:t>
      </w:r>
      <w:r>
        <w:rPr>
          <w:rFonts w:hint="eastAsia" w:ascii="仿宋_GB2312" w:hAnsi="微软雅黑" w:eastAsia="仿宋_GB2312" w:cs="仿宋_GB2312"/>
          <w:b/>
          <w:bCs/>
          <w:i w:val="0"/>
          <w:iCs w:val="0"/>
          <w:caps w:val="0"/>
          <w:color w:val="000000"/>
          <w:spacing w:val="0"/>
          <w:kern w:val="0"/>
          <w:sz w:val="32"/>
          <w:szCs w:val="32"/>
          <w:bdr w:val="none" w:color="auto" w:sz="0" w:space="0"/>
          <w:shd w:val="clear" w:fill="FFFFFF"/>
          <w:lang w:val="en-US" w:eastAsia="zh-CN" w:bidi="ar"/>
        </w:rPr>
        <w:t>总  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第一条  为规范人民防空行政执法行为，加强人民防空行政执法管理，促进依法行政，提高人民防空行政执法的透明度，保护公民、法人和其他组织的合法权益，根据《四川省行政执法公示办法》，结合人民防空行政执法工作实际，制定本办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第二条  市人防办通过一定载体和方式，公示人防行政执法人员的主体、人员、职责、权限、依据、程序、结果、监督方式、救济途径等行政执法信息，在做到保密的情况下，主动向社会公开，保障行政相对人和社会公众的知情权、参与权、救济权、监督权，自觉接受社会监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    第三条  按照《广元市人民防空办公室行政执法公示制度执法全程记录制度重大执法决定法制审核制度工作方案》，在行政许可、行政处罚、行政检查等行政执法行为中全面推行行政执法公示制度。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第四条  行政执法公示应当坚持公平、公正、合法、及时、准确、便民的原则。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b/>
          <w:bCs/>
          <w:i w:val="0"/>
          <w:iCs w:val="0"/>
          <w:caps w:val="0"/>
          <w:color w:val="000000"/>
          <w:spacing w:val="0"/>
          <w:kern w:val="0"/>
          <w:sz w:val="32"/>
          <w:szCs w:val="32"/>
          <w:bdr w:val="none" w:color="auto" w:sz="0" w:space="0"/>
          <w:shd w:val="clear" w:fill="FFFFFF"/>
          <w:lang w:val="en-US" w:eastAsia="zh-CN" w:bidi="ar"/>
        </w:rPr>
        <w:t>第二章  公示公开内容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b/>
          <w:bCs/>
          <w:i w:val="0"/>
          <w:iCs w:val="0"/>
          <w:caps w:val="0"/>
          <w:color w:val="000000"/>
          <w:spacing w:val="0"/>
          <w:kern w:val="0"/>
          <w:sz w:val="32"/>
          <w:szCs w:val="32"/>
          <w:bdr w:val="none" w:color="auto" w:sz="0" w:space="0"/>
          <w:shd w:val="clear" w:fill="FFFFFF"/>
          <w:lang w:val="en-US" w:eastAsia="zh-CN" w:bidi="ar"/>
        </w:rPr>
        <w:t>第一节  事前公开内容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第五条  行政执法事前公开的内容应经综合科审核，办领导审批后进行公开。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第六条  行政执法事前公开内容包括：</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（一）执法主体。公示市人防办内设执法科室的职责分工、管辖范围、执法区域以及所属执法人员姓名、职务、执法证件号码和执法范围等；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（二）执法依据。公示行政执法所依据的法律、法规、规章规范性文件和行政处罚自由裁量权基准，权力清单、责任清单、“双随机、一公开”监管事项清单、行政执法事项清单等应当公示的内容；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（三）执法权限。公示行政许可、行政处罚、行政检查等事项；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（四）执法程序。公示人防行政执法的具体程序，包括方式、步骤、时限和顺序；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（五）随机抽查事项清单。公示市人防办随机抽查事项清单，明确抽查依据、抽查主体、抽查内容、抽查方式等内容；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（六）救济方式。公示管理相对人依法享有的听证权、陈述权、申辩权和申请行政复议或者提起行政诉讼等法定权利和救济途径；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（七） 监督举报。公开市人防办执法监督电话、邮箱、地址、邮编等，及时受理公民、法人和其他社会组织对行政执法人员执法行为的举报。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b/>
          <w:bCs/>
          <w:i w:val="0"/>
          <w:iCs w:val="0"/>
          <w:caps w:val="0"/>
          <w:color w:val="000000"/>
          <w:spacing w:val="0"/>
          <w:kern w:val="0"/>
          <w:sz w:val="32"/>
          <w:szCs w:val="32"/>
          <w:bdr w:val="none" w:color="auto" w:sz="0" w:space="0"/>
          <w:shd w:val="clear" w:fill="FFFFFF"/>
          <w:lang w:val="en-US" w:eastAsia="zh-CN" w:bidi="ar"/>
        </w:rPr>
        <w:t> 事中公示内容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第七条</w:t>
      </w:r>
      <w:r>
        <w:rPr>
          <w:rFonts w:hint="eastAsia" w:ascii="仿宋_GB2312" w:hAnsi="微软雅黑" w:eastAsia="仿宋_GB2312" w:cs="仿宋_GB2312"/>
          <w:b/>
          <w:bCs/>
          <w:i w:val="0"/>
          <w:iCs w:val="0"/>
          <w:caps w:val="0"/>
          <w:color w:val="000000"/>
          <w:spacing w:val="0"/>
          <w:kern w:val="0"/>
          <w:sz w:val="32"/>
          <w:szCs w:val="32"/>
          <w:bdr w:val="none" w:color="auto" w:sz="0" w:space="0"/>
          <w:shd w:val="clear" w:fill="FFFFFF"/>
          <w:lang w:val="en-US" w:eastAsia="zh-CN" w:bidi="ar"/>
        </w:rPr>
        <w:t>  </w:t>
      </w: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人民防空行政执法人员在进行监督检查、调查取证、告知送达等执法活动时，要佩戴或出示执法证件，出具执法文书，告知行政相对人执法事由、执法依据、权利义务等内容，并做好说明解释工作。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    第八条 市人防办工程科主动公示人防行政许可项目名称、依据、办事程序、实施期限、需要申请人提交材料的目录、申请书文本式样、以及办公时间、办公地址、办公电话、状态查询等内容。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b/>
          <w:bCs/>
          <w:i w:val="0"/>
          <w:iCs w:val="0"/>
          <w:caps w:val="0"/>
          <w:color w:val="000000"/>
          <w:spacing w:val="0"/>
          <w:kern w:val="0"/>
          <w:sz w:val="32"/>
          <w:szCs w:val="32"/>
          <w:bdr w:val="none" w:color="auto" w:sz="0" w:space="0"/>
          <w:shd w:val="clear" w:fill="FFFFFF"/>
          <w:lang w:val="en-US" w:eastAsia="zh-CN" w:bidi="ar"/>
        </w:rPr>
        <w:t>第三节  事后公开内容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第九条  行政执法事后公开的内容应经秘书处审核，办领导审批后进行公开。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第十条  行政执法事后公开内容包括：</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（一）行政许可。行政许可单位名称、许可类别、许可项目、许可时间、有效期限等；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（二）行政处罚。行政处罚相对人单位或名称、违法事实、处罚依据、处罚结果、处罚时间以及行政处罚决定书编号等；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（三）行政检查。行政检查对象、检查依据、检查方式、检查时间、检查事项、检查内容、存在问题以及整改情况；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第九条 行政执法决定和结果，除法律、法规、规章有明确规定不予公开的一律公开。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b/>
          <w:bCs/>
          <w:i w:val="0"/>
          <w:iCs w:val="0"/>
          <w:caps w:val="0"/>
          <w:color w:val="000000"/>
          <w:spacing w:val="0"/>
          <w:kern w:val="0"/>
          <w:sz w:val="32"/>
          <w:szCs w:val="32"/>
          <w:bdr w:val="none" w:color="auto" w:sz="0" w:space="0"/>
          <w:shd w:val="clear" w:fill="FFFFFF"/>
          <w:lang w:val="en-US" w:eastAsia="zh-CN" w:bidi="ar"/>
        </w:rPr>
        <w:t>第三章  公示载体</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第十一条  行政执法相关内容公示载体包括：</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（一）网络平台。（1）市人防办网站公示公开内容；（2）市人防办网站建立与四川省行政执法信息公示平台的数据交换机制，实现行政执法信息向公示平台即时推送；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（二）开发新媒体。采用微信公众号、手机APP等现代信息传播方式，公示行政执法相关内容；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（三）传统媒体。利用市内主流报刊、广播、电视、市政府新闻发布会等，公示行政执法相关内容；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（四） 办公场所。在市人防办工程科公示行政执法相关内容。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b/>
          <w:bCs/>
          <w:i w:val="0"/>
          <w:iCs w:val="0"/>
          <w:caps w:val="0"/>
          <w:color w:val="000000"/>
          <w:spacing w:val="0"/>
          <w:kern w:val="0"/>
          <w:sz w:val="32"/>
          <w:szCs w:val="32"/>
          <w:bdr w:val="none" w:color="auto" w:sz="0" w:space="0"/>
          <w:shd w:val="clear" w:fill="FFFFFF"/>
          <w:lang w:val="en-US" w:eastAsia="zh-CN" w:bidi="ar"/>
        </w:rPr>
        <w:t>第四章  公示程序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b/>
          <w:bCs/>
          <w:i w:val="0"/>
          <w:iCs w:val="0"/>
          <w:caps w:val="0"/>
          <w:color w:val="000000"/>
          <w:spacing w:val="0"/>
          <w:kern w:val="0"/>
          <w:sz w:val="32"/>
          <w:szCs w:val="32"/>
          <w:bdr w:val="none" w:color="auto" w:sz="0" w:space="0"/>
          <w:shd w:val="clear" w:fill="FFFFFF"/>
          <w:lang w:val="en-US" w:eastAsia="zh-CN" w:bidi="ar"/>
        </w:rPr>
        <w:t>第一节  事前公开程序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第十二条  市人防办《行政执法事项清单》《双随机抽查事项清单》和各类行政执法流程图、行政执法服务指南以及新颁布、修改、废止规章和规范性文件等，通过市人防办网站进行公示，程序如下：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一）综合科牵头，组织相关科室按照《广元市人民防空办公室行政执法公示制度执法全程记录制度重大执法决定法制审核制度工作方案》确定的工作分工，全面、准确梳理市人防办《行政执法事项清单》《双随机抽查事项清单》的职责、权限、依据、程序等事前公开内容，报市司法局审核后公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二）综合科牵头，组织相关科室编制类行政执法流程图和行政执法服务指南，进一步明确具体操作流程和行政执法事项名称、依据、受理机构、审批机构、许可条件、优惠政策、申请材料、办理流程、办理时限、监督方式、责任追究、救济渠道、办公时间、办公地址、办公电话等内容，经有关处室负责人审查、综合科审定和办领导同意后，报市司法局审核后公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（三）综合科负责公示行政执法人员清单，实现行政执法人员信息公开透明，网上可查询，随时接受群众监督，方便群众办事；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四）根据新颁布、修改、废止规章和规范性文件或机构职能调整等情况引起行政执法公示内容发生变化的，在有关规章和规范性文件生效、废止或机构职能调整之日起20个工作日内，按照上述程序及时更新行政执法相关公示内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b/>
          <w:bCs/>
          <w:i w:val="0"/>
          <w:iCs w:val="0"/>
          <w:caps w:val="0"/>
          <w:color w:val="000000"/>
          <w:spacing w:val="0"/>
          <w:kern w:val="0"/>
          <w:sz w:val="32"/>
          <w:szCs w:val="32"/>
          <w:bdr w:val="none" w:color="auto" w:sz="0" w:space="0"/>
          <w:shd w:val="clear" w:fill="FFFFFF"/>
          <w:lang w:val="en-US" w:eastAsia="zh-CN" w:bidi="ar"/>
        </w:rPr>
        <w:t>第二节 事后公开程序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第十三条  行政执法事后公开程序包括：</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一）公开时限。（1）各类行政执法决定和结果，由承办机构在信息形成或者变更之日起7个工作日之内公开；（2）按照《四川省人民政府办公厅关于推广“双随机”抽查规范事中事后监管的实施意见》的要求，对抽查结果正常的市场主体，自抽查结束之日起20个工作日内，经办领导批准后向社会公示；（3）对抽查有问题的市场主体，区分情况依法做出处理并向社会公示</w:t>
      </w:r>
      <w:bookmarkStart w:id="0" w:name="undefined"/>
      <w:bookmarkEnd w:id="0"/>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    （二）公开期限。类行政执法结果信息在互联网上公开满5年或者行政相对人是自然人的，公开满2年，经办领导审核批准后，及时从公示载体上撤下。原行政处罚决定被依法撤销、确认违法或者要求重新作出的，及时撤下公开的原行政处罚案件信息，并作出必要的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b/>
          <w:bCs/>
          <w:i w:val="0"/>
          <w:iCs w:val="0"/>
          <w:caps w:val="0"/>
          <w:color w:val="000000"/>
          <w:spacing w:val="0"/>
          <w:kern w:val="0"/>
          <w:sz w:val="32"/>
          <w:szCs w:val="32"/>
          <w:bdr w:val="none" w:color="auto" w:sz="0" w:space="0"/>
          <w:shd w:val="clear" w:fill="FFFFFF"/>
          <w:lang w:val="en-US" w:eastAsia="zh-CN" w:bidi="ar"/>
        </w:rPr>
        <w:t>第三节  公示机制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第十四条  公示信息的收集、整理。各相关处室负责收集、整理本处室行政执法公示信息。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第十五条  公示信息的审核、发布。市人防办推行三项制度工作领导小组办公室（简称领导小组办公室，下同）将各相关处室行政执法公示信息梳理汇总后，按照行政执法公示程序，通过市人防网站进行对外发布和更新。其中，行政许可和行政处罚信息同时向信用网站报送公示；与企业、事业单位、社会组织等法人相关的行政许可、行政检查、行政处罚信息同时向四川省法人单位信息资源库推送共享；行政许可事项的办理过程实时向四川省网上政务服务中心推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第十六条  公示信息的纠错、更正。对发现公开的行政执法信息不准确的，应当及时更正。对公民、法人和其他社会组织有证据证明公示的行政执法不准确的，报送领导小组办公室调查核实后，以适当的方式澄清，及时更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b/>
          <w:bCs/>
          <w:i w:val="0"/>
          <w:iCs w:val="0"/>
          <w:caps w:val="0"/>
          <w:color w:val="000000"/>
          <w:spacing w:val="0"/>
          <w:kern w:val="0"/>
          <w:sz w:val="32"/>
          <w:szCs w:val="32"/>
          <w:bdr w:val="none" w:color="auto" w:sz="0" w:space="0"/>
          <w:shd w:val="clear" w:fill="FFFFFF"/>
          <w:lang w:val="en-US" w:eastAsia="zh-CN" w:bidi="ar"/>
        </w:rPr>
        <w:t>第五章  监督检查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第十七条  建立健全考核制度，加强对行政执法公示制度推行情况的监督检查，并将监督检查情况纳入依法行政考核的主要内容。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left"/>
        <w:rPr>
          <w:rFonts w:hint="eastAsia" w:ascii="微软雅黑" w:hAnsi="微软雅黑" w:eastAsia="微软雅黑" w:cs="微软雅黑"/>
          <w:i w:val="0"/>
          <w:iCs w:val="0"/>
          <w:caps w:val="0"/>
          <w:color w:val="000000"/>
          <w:spacing w:val="0"/>
          <w:sz w:val="21"/>
          <w:szCs w:val="21"/>
        </w:rPr>
      </w:pPr>
      <w:r>
        <w:rPr>
          <w:rFonts w:hint="eastAsia" w:ascii="仿宋_GB2312" w:hAnsi="微软雅黑" w:eastAsia="仿宋_GB2312" w:cs="仿宋_GB2312"/>
          <w:i w:val="0"/>
          <w:iCs w:val="0"/>
          <w:caps w:val="0"/>
          <w:color w:val="000000"/>
          <w:spacing w:val="0"/>
          <w:kern w:val="0"/>
          <w:sz w:val="32"/>
          <w:szCs w:val="32"/>
          <w:bdr w:val="none" w:color="auto" w:sz="0" w:space="0"/>
          <w:shd w:val="clear" w:fill="FFFFFF"/>
          <w:lang w:val="en-US" w:eastAsia="zh-CN" w:bidi="ar"/>
        </w:rPr>
        <w:t>第十八条  建立健全责任追究制度，对不按要求公示、选择性公示、更新维护不及时等问题，责令改正；情节严重的，追究有关责任人员责任。</w:t>
      </w:r>
    </w:p>
    <w:p>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BA6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2021-06-04T03:38:39Z</dcterms:created>
  <dc:creator>Administrator</dc:creator>
  <cp:lastModifiedBy>Administrator</cp:lastModifiedBy>
  <dcterms:modified xsi:type="dcterms:W3CDTF">2021-06-04T03:39:31Z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FEE59DF34F1140FF86D62012A87923DB</vt:lpwstr>
  </property>
</Properties>
</file>