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pPr>
      <w:r>
        <w:rPr>
          <w:rFonts w:ascii="黑体" w:hAnsi="宋体" w:eastAsia="黑体" w:cs="黑体"/>
          <w:color w:val="000000"/>
          <w:kern w:val="0"/>
          <w:sz w:val="43"/>
          <w:szCs w:val="43"/>
          <w:lang w:val="en-US" w:eastAsia="zh-CN" w:bidi="ar"/>
        </w:rPr>
        <w:t>广元市</w:t>
      </w:r>
      <w:r>
        <w:rPr>
          <w:rFonts w:hint="eastAsia" w:ascii="黑体" w:hAnsi="宋体" w:eastAsia="黑体" w:cs="黑体"/>
          <w:color w:val="000000"/>
          <w:kern w:val="0"/>
          <w:sz w:val="43"/>
          <w:szCs w:val="43"/>
          <w:lang w:val="en-US" w:eastAsia="zh-CN" w:bidi="ar"/>
        </w:rPr>
        <w:t>林业</w:t>
      </w:r>
      <w:r>
        <w:rPr>
          <w:rFonts w:ascii="黑体" w:hAnsi="宋体" w:eastAsia="黑体" w:cs="黑体"/>
          <w:color w:val="000000"/>
          <w:kern w:val="0"/>
          <w:sz w:val="43"/>
          <w:szCs w:val="43"/>
          <w:lang w:val="en-US" w:eastAsia="zh-CN" w:bidi="ar"/>
        </w:rPr>
        <w:t>局行政执法集中公示目录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atLeast"/>
        <w:ind w:firstLine="620" w:firstLineChars="200"/>
        <w:jc w:val="left"/>
        <w:textAlignment w:val="auto"/>
        <w:rPr>
          <w:rFonts w:hint="eastAsia" w:ascii="仿宋" w:hAnsi="仿宋" w:cs="仿宋"/>
          <w:color w:val="000000"/>
          <w:kern w:val="0"/>
          <w:sz w:val="31"/>
          <w:szCs w:val="31"/>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atLeast"/>
        <w:ind w:firstLine="620" w:firstLineChars="200"/>
        <w:jc w:val="left"/>
        <w:textAlignment w:val="auto"/>
        <w:rPr>
          <w:rFonts w:ascii="仿宋" w:hAnsi="仿宋" w:eastAsia="仿宋" w:cs="仿宋"/>
          <w:color w:val="000000"/>
          <w:kern w:val="0"/>
          <w:sz w:val="31"/>
          <w:szCs w:val="31"/>
          <w:lang w:val="en-US" w:eastAsia="zh-CN" w:bidi="ar"/>
        </w:rPr>
      </w:pPr>
      <w:bookmarkStart w:id="1" w:name="_GoBack"/>
      <w:bookmarkEnd w:id="1"/>
      <w:r>
        <w:rPr>
          <w:rFonts w:hint="eastAsia" w:ascii="仿宋" w:hAnsi="仿宋" w:cs="仿宋"/>
          <w:color w:val="000000"/>
          <w:kern w:val="0"/>
          <w:sz w:val="31"/>
          <w:szCs w:val="31"/>
          <w:lang w:val="en-US" w:eastAsia="zh-CN" w:bidi="ar"/>
        </w:rPr>
        <w:t>一、广元市林业</w:t>
      </w:r>
      <w:r>
        <w:rPr>
          <w:rFonts w:ascii="仿宋" w:hAnsi="仿宋" w:eastAsia="仿宋" w:cs="仿宋"/>
          <w:color w:val="000000"/>
          <w:kern w:val="0"/>
          <w:sz w:val="31"/>
          <w:szCs w:val="31"/>
          <w:lang w:val="en-US" w:eastAsia="zh-CN" w:bidi="ar"/>
        </w:rPr>
        <w:t>局行政执法主体</w:t>
      </w:r>
    </w:p>
    <w:p>
      <w:pPr>
        <w:keepNext w:val="0"/>
        <w:keepLines w:val="0"/>
        <w:pageBreakBefore w:val="0"/>
        <w:widowControl/>
        <w:suppressLineNumbers w:val="0"/>
        <w:kinsoku/>
        <w:wordWrap/>
        <w:overflowPunct/>
        <w:topLinePunct w:val="0"/>
        <w:autoSpaceDE/>
        <w:autoSpaceDN/>
        <w:bidi w:val="0"/>
        <w:adjustRightInd/>
        <w:snapToGrid/>
        <w:spacing w:line="560" w:lineRule="atLeast"/>
        <w:ind w:firstLine="620" w:firstLineChars="200"/>
        <w:jc w:val="left"/>
        <w:textAlignment w:val="auto"/>
        <w:rPr>
          <w:rFonts w:hint="default"/>
          <w:lang w:val="en-US"/>
        </w:rPr>
      </w:pPr>
      <w:r>
        <w:rPr>
          <w:rFonts w:hint="eastAsia" w:ascii="仿宋" w:hAnsi="仿宋" w:cs="仿宋"/>
          <w:color w:val="000000"/>
          <w:kern w:val="0"/>
          <w:sz w:val="31"/>
          <w:szCs w:val="31"/>
          <w:lang w:val="en-US" w:eastAsia="zh-CN" w:bidi="ar"/>
        </w:rPr>
        <w:t xml:space="preserve">行政执法主体2个：广元市林业局 </w:t>
      </w:r>
      <w:r>
        <w:rPr>
          <w:rFonts w:ascii="仿宋" w:hAnsi="仿宋" w:eastAsia="仿宋" w:cs="仿宋"/>
          <w:color w:val="000000"/>
          <w:kern w:val="0"/>
          <w:sz w:val="31"/>
          <w:szCs w:val="31"/>
          <w:lang w:val="en-US" w:eastAsia="zh-CN" w:bidi="ar"/>
        </w:rPr>
        <w:t>地址:四川省</w:t>
      </w:r>
      <w:r>
        <w:rPr>
          <w:rFonts w:hint="eastAsia" w:ascii="仿宋" w:hAnsi="仿宋" w:cs="仿宋"/>
          <w:color w:val="000000"/>
          <w:kern w:val="0"/>
          <w:sz w:val="31"/>
          <w:szCs w:val="31"/>
          <w:lang w:val="en-US" w:eastAsia="zh-CN" w:bidi="ar"/>
        </w:rPr>
        <w:t>万缘新区米苍路8</w:t>
      </w:r>
      <w:r>
        <w:rPr>
          <w:rFonts w:hint="eastAsia" w:ascii="仿宋" w:hAnsi="仿宋" w:eastAsia="仿宋" w:cs="仿宋"/>
          <w:color w:val="000000"/>
          <w:kern w:val="0"/>
          <w:sz w:val="31"/>
          <w:szCs w:val="31"/>
          <w:lang w:val="en-US" w:eastAsia="zh-CN" w:bidi="ar"/>
        </w:rPr>
        <w:t>号 邮 编 :628000 电 话 0839-3222</w:t>
      </w:r>
      <w:r>
        <w:rPr>
          <w:rFonts w:hint="eastAsia" w:ascii="仿宋" w:hAnsi="仿宋" w:cs="仿宋"/>
          <w:color w:val="000000"/>
          <w:kern w:val="0"/>
          <w:sz w:val="31"/>
          <w:szCs w:val="31"/>
          <w:lang w:val="en-US" w:eastAsia="zh-CN" w:bidi="ar"/>
        </w:rPr>
        <w:t>528</w:t>
      </w:r>
      <w:r>
        <w:rPr>
          <w:rFonts w:hint="eastAsia" w:ascii="仿宋" w:hAnsi="仿宋" w:eastAsia="仿宋" w:cs="仿宋"/>
          <w:color w:val="000000"/>
          <w:kern w:val="0"/>
          <w:sz w:val="31"/>
          <w:szCs w:val="31"/>
          <w:lang w:val="en-US" w:eastAsia="zh-CN" w:bidi="ar"/>
        </w:rPr>
        <w:t xml:space="preserve"> 传真:0839-322</w:t>
      </w:r>
      <w:r>
        <w:rPr>
          <w:rFonts w:hint="eastAsia" w:ascii="仿宋" w:hAnsi="仿宋" w:cs="仿宋"/>
          <w:color w:val="000000"/>
          <w:kern w:val="0"/>
          <w:sz w:val="31"/>
          <w:szCs w:val="31"/>
          <w:lang w:val="en-US" w:eastAsia="zh-CN" w:bidi="ar"/>
        </w:rPr>
        <w:t>2528</w:t>
      </w:r>
      <w:r>
        <w:rPr>
          <w:rFonts w:hint="eastAsia" w:ascii="仿宋" w:hAnsi="仿宋" w:eastAsia="仿宋" w:cs="仿宋"/>
          <w:color w:val="000000"/>
          <w:kern w:val="0"/>
          <w:sz w:val="31"/>
          <w:szCs w:val="31"/>
          <w:lang w:val="en-US" w:eastAsia="zh-CN" w:bidi="ar"/>
        </w:rPr>
        <w:t xml:space="preserve"> </w:t>
      </w:r>
      <w:r>
        <w:rPr>
          <w:rFonts w:hint="eastAsia" w:ascii="仿宋" w:hAnsi="仿宋" w:cs="仿宋"/>
          <w:color w:val="000000"/>
          <w:kern w:val="0"/>
          <w:sz w:val="31"/>
          <w:szCs w:val="31"/>
          <w:lang w:val="en-US" w:eastAsia="zh-CN" w:bidi="ar"/>
        </w:rPr>
        <w:t xml:space="preserve">广元市森林病虫防治检疫站   </w:t>
      </w:r>
      <w:r>
        <w:rPr>
          <w:rFonts w:ascii="仿宋" w:hAnsi="仿宋" w:eastAsia="仿宋" w:cs="仿宋"/>
          <w:color w:val="000000"/>
          <w:kern w:val="0"/>
          <w:sz w:val="31"/>
          <w:szCs w:val="31"/>
          <w:lang w:val="en-US" w:eastAsia="zh-CN" w:bidi="ar"/>
        </w:rPr>
        <w:t>地址:四川省</w:t>
      </w:r>
      <w:r>
        <w:rPr>
          <w:rFonts w:hint="eastAsia" w:ascii="仿宋" w:hAnsi="仿宋" w:cs="仿宋"/>
          <w:color w:val="000000"/>
          <w:kern w:val="0"/>
          <w:sz w:val="31"/>
          <w:szCs w:val="31"/>
          <w:lang w:val="en-US" w:eastAsia="zh-CN" w:bidi="ar"/>
        </w:rPr>
        <w:t>万缘米苍路8</w:t>
      </w:r>
      <w:r>
        <w:rPr>
          <w:rFonts w:hint="eastAsia" w:ascii="仿宋" w:hAnsi="仿宋" w:eastAsia="仿宋" w:cs="仿宋"/>
          <w:color w:val="000000"/>
          <w:kern w:val="0"/>
          <w:sz w:val="31"/>
          <w:szCs w:val="31"/>
          <w:lang w:val="en-US" w:eastAsia="zh-CN" w:bidi="ar"/>
        </w:rPr>
        <w:t xml:space="preserve">号 </w:t>
      </w:r>
      <w:r>
        <w:rPr>
          <w:rFonts w:hint="eastAsia" w:ascii="仿宋" w:hAnsi="仿宋" w:cs="仿宋"/>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邮 编 :628000 电 话</w:t>
      </w:r>
      <w:r>
        <w:rPr>
          <w:rFonts w:hint="eastAsia" w:ascii="仿宋" w:hAnsi="仿宋" w:cs="仿宋"/>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0839-32</w:t>
      </w:r>
      <w:r>
        <w:rPr>
          <w:rFonts w:hint="eastAsia" w:ascii="仿宋" w:hAnsi="仿宋" w:cs="仿宋"/>
          <w:color w:val="000000"/>
          <w:kern w:val="0"/>
          <w:sz w:val="31"/>
          <w:szCs w:val="31"/>
          <w:lang w:val="en-US" w:eastAsia="zh-CN" w:bidi="ar"/>
        </w:rPr>
        <w:t>37973</w:t>
      </w:r>
    </w:p>
    <w:p>
      <w:pPr>
        <w:keepNext w:val="0"/>
        <w:keepLines w:val="0"/>
        <w:widowControl/>
        <w:numPr>
          <w:ilvl w:val="0"/>
          <w:numId w:val="0"/>
        </w:numPr>
        <w:suppressLineNumbers w:val="0"/>
        <w:ind w:firstLine="620" w:firstLineChars="200"/>
        <w:jc w:val="left"/>
        <w:rPr>
          <w:rFonts w:ascii="黑体" w:hAnsi="宋体" w:eastAsia="黑体" w:cs="黑体"/>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二、</w:t>
      </w:r>
      <w:r>
        <w:rPr>
          <w:rFonts w:ascii="黑体" w:hAnsi="宋体" w:eastAsia="黑体" w:cs="黑体"/>
          <w:color w:val="000000"/>
          <w:kern w:val="0"/>
          <w:sz w:val="31"/>
          <w:szCs w:val="31"/>
          <w:lang w:val="en-US" w:eastAsia="zh-CN" w:bidi="ar"/>
        </w:rPr>
        <w:t>广元市</w:t>
      </w:r>
      <w:r>
        <w:rPr>
          <w:rFonts w:hint="eastAsia" w:ascii="黑体" w:hAnsi="宋体" w:eastAsia="黑体" w:cs="黑体"/>
          <w:color w:val="000000"/>
          <w:kern w:val="0"/>
          <w:sz w:val="31"/>
          <w:szCs w:val="31"/>
          <w:lang w:val="en-US" w:eastAsia="zh-CN" w:bidi="ar"/>
        </w:rPr>
        <w:t>林业</w:t>
      </w:r>
      <w:r>
        <w:rPr>
          <w:rFonts w:ascii="黑体" w:hAnsi="宋体" w:eastAsia="黑体" w:cs="黑体"/>
          <w:color w:val="000000"/>
          <w:kern w:val="0"/>
          <w:sz w:val="31"/>
          <w:szCs w:val="31"/>
          <w:lang w:val="en-US" w:eastAsia="zh-CN" w:bidi="ar"/>
        </w:rPr>
        <w:t xml:space="preserve">局行政执法人员清单 </w:t>
      </w:r>
    </w:p>
    <w:tbl>
      <w:tblPr>
        <w:tblStyle w:val="5"/>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718"/>
        <w:gridCol w:w="3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970" w:type="dxa"/>
            <w:vMerge w:val="restart"/>
            <w:noWrap w:val="0"/>
            <w:vAlign w:val="center"/>
          </w:tcPr>
          <w:p>
            <w:pPr>
              <w:jc w:val="center"/>
              <w:rPr>
                <w:sz w:val="24"/>
              </w:rPr>
            </w:pPr>
            <w:r>
              <w:rPr>
                <w:rFonts w:hint="eastAsia"/>
                <w:sz w:val="24"/>
              </w:rPr>
              <w:t>序号</w:t>
            </w:r>
          </w:p>
        </w:tc>
        <w:tc>
          <w:tcPr>
            <w:tcW w:w="2718" w:type="dxa"/>
            <w:vMerge w:val="restart"/>
            <w:noWrap w:val="0"/>
            <w:vAlign w:val="center"/>
          </w:tcPr>
          <w:p>
            <w:pPr>
              <w:jc w:val="center"/>
              <w:rPr>
                <w:sz w:val="24"/>
              </w:rPr>
            </w:pPr>
            <w:r>
              <w:rPr>
                <w:rFonts w:hint="eastAsia"/>
                <w:sz w:val="24"/>
              </w:rPr>
              <w:t>姓名</w:t>
            </w:r>
          </w:p>
        </w:tc>
        <w:tc>
          <w:tcPr>
            <w:tcW w:w="3632" w:type="dxa"/>
            <w:vMerge w:val="restart"/>
            <w:noWrap w:val="0"/>
            <w:vAlign w:val="center"/>
          </w:tcPr>
          <w:p>
            <w:pPr>
              <w:jc w:val="center"/>
              <w:rPr>
                <w:sz w:val="24"/>
              </w:rPr>
            </w:pPr>
            <w:r>
              <w:rPr>
                <w:rFonts w:hint="eastAsia"/>
                <w:sz w:val="24"/>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70" w:type="dxa"/>
            <w:vMerge w:val="continue"/>
            <w:noWrap w:val="0"/>
            <w:vAlign w:val="center"/>
          </w:tcPr>
          <w:p>
            <w:pPr>
              <w:jc w:val="center"/>
              <w:rPr>
                <w:sz w:val="24"/>
              </w:rPr>
            </w:pPr>
          </w:p>
        </w:tc>
        <w:tc>
          <w:tcPr>
            <w:tcW w:w="2718" w:type="dxa"/>
            <w:vMerge w:val="continue"/>
            <w:noWrap w:val="0"/>
            <w:vAlign w:val="center"/>
          </w:tcPr>
          <w:p>
            <w:pPr>
              <w:jc w:val="center"/>
              <w:rPr>
                <w:sz w:val="24"/>
              </w:rPr>
            </w:pPr>
          </w:p>
        </w:tc>
        <w:tc>
          <w:tcPr>
            <w:tcW w:w="3632" w:type="dxa"/>
            <w:vMerge w:val="continue"/>
            <w:noWrap w:val="0"/>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1</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解国强</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2</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罗  韬</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3</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李  波</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4</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王吉刚</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5</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丁</w:t>
            </w:r>
            <w:r>
              <w:rPr>
                <w:rFonts w:hint="eastAsia" w:ascii="宋体" w:hAnsi="宋体" w:cs="宋体"/>
                <w:i w:val="0"/>
                <w:color w:val="auto"/>
                <w:kern w:val="0"/>
                <w:sz w:val="24"/>
                <w:szCs w:val="24"/>
                <w:u w:val="none"/>
                <w:shd w:val="clear" w:color="auto" w:fill="auto"/>
                <w:lang w:val="en-US" w:eastAsia="zh-CN" w:bidi="ar"/>
              </w:rPr>
              <w:t xml:space="preserve">  </w:t>
            </w:r>
            <w:r>
              <w:rPr>
                <w:rFonts w:hint="eastAsia" w:ascii="宋体" w:hAnsi="宋体" w:eastAsia="宋体" w:cs="宋体"/>
                <w:i w:val="0"/>
                <w:color w:val="auto"/>
                <w:kern w:val="0"/>
                <w:sz w:val="24"/>
                <w:szCs w:val="24"/>
                <w:u w:val="none"/>
                <w:shd w:val="clear" w:color="auto" w:fill="auto"/>
                <w:lang w:val="en-US" w:eastAsia="zh-CN" w:bidi="ar"/>
              </w:rPr>
              <w:t>锐</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6</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孟  瑜</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7</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姜清成</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8</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冯  亮</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9</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杨  骏</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10</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米  雪</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11</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李  萍</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12</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何晓蓉</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13</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李文采</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14</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潘庆牧</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15</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罗丽华</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16</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赵  柳</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17</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刘广平</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18</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朱逢勇</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19</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宋  林</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20</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李  平</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21</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陈全林</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22</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陈隆玲</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23</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何  越</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24</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刘旭东</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25</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唐昌明</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26</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刘莉莉</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27</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eastAsia="宋体" w:cs="宋体"/>
                <w:i w:val="0"/>
                <w:color w:val="auto"/>
                <w:kern w:val="0"/>
                <w:sz w:val="24"/>
                <w:szCs w:val="24"/>
                <w:u w:val="none"/>
                <w:shd w:val="clear" w:color="auto" w:fill="auto"/>
                <w:lang w:val="en-US" w:eastAsia="zh-CN" w:bidi="ar"/>
              </w:rPr>
            </w:pPr>
            <w:r>
              <w:rPr>
                <w:rFonts w:hint="eastAsia" w:ascii="宋体" w:hAnsi="宋体" w:eastAsia="宋体" w:cs="宋体"/>
                <w:i w:val="0"/>
                <w:color w:val="auto"/>
                <w:kern w:val="0"/>
                <w:sz w:val="24"/>
                <w:szCs w:val="24"/>
                <w:u w:val="none"/>
                <w:shd w:val="clear" w:color="auto" w:fill="auto"/>
                <w:lang w:val="en-US" w:eastAsia="zh-CN" w:bidi="ar"/>
              </w:rPr>
              <w:t>刘  静</w:t>
            </w:r>
          </w:p>
        </w:tc>
        <w:tc>
          <w:tcPr>
            <w:tcW w:w="3632" w:type="dxa"/>
            <w:noWrap w:val="0"/>
            <w:vAlign w:val="center"/>
          </w:tcPr>
          <w:p>
            <w:pPr>
              <w:keepNext w:val="0"/>
              <w:keepLines w:val="0"/>
              <w:widowControl/>
              <w:suppressLineNumbers w:val="0"/>
              <w:shd w:val="clear" w:color="auto" w:fill="FFFFFF"/>
              <w:jc w:val="center"/>
              <w:textAlignment w:val="center"/>
              <w:rPr>
                <w:rFonts w:hint="eastAsia" w:ascii="宋体" w:hAnsi="宋体" w:eastAsia="宋体" w:cs="宋体"/>
                <w:i w:val="0"/>
                <w:color w:val="auto"/>
                <w:kern w:val="0"/>
                <w:sz w:val="24"/>
                <w:szCs w:val="24"/>
                <w:u w:val="none"/>
                <w:shd w:val="clear" w:color="auto" w:fill="auto"/>
                <w:lang w:val="en-US" w:eastAsia="zh-CN" w:bidi="ar"/>
              </w:rPr>
            </w:pPr>
            <w:r>
              <w:rPr>
                <w:rFonts w:hint="eastAsia" w:ascii="宋体" w:hAnsi="宋体" w:eastAsia="宋体" w:cs="宋体"/>
                <w:i w:val="0"/>
                <w:color w:val="auto"/>
                <w:kern w:val="0"/>
                <w:sz w:val="24"/>
                <w:szCs w:val="24"/>
                <w:u w:val="none"/>
                <w:shd w:val="clear" w:color="auto" w:fill="auto"/>
                <w:lang w:val="en-US" w:eastAsia="zh-CN" w:bidi="ar"/>
              </w:rPr>
              <w:t>川H290068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28</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eastAsia="宋体" w:cs="宋体"/>
                <w:i w:val="0"/>
                <w:color w:val="auto"/>
                <w:kern w:val="0"/>
                <w:sz w:val="24"/>
                <w:szCs w:val="24"/>
                <w:u w:val="none"/>
                <w:shd w:val="clear" w:color="auto" w:fill="auto"/>
                <w:lang w:val="en-US" w:eastAsia="zh-CN" w:bidi="ar"/>
              </w:rPr>
            </w:pPr>
            <w:r>
              <w:rPr>
                <w:rFonts w:hint="eastAsia" w:ascii="宋体" w:hAnsi="宋体" w:cs="宋体"/>
                <w:i w:val="0"/>
                <w:color w:val="auto"/>
                <w:kern w:val="0"/>
                <w:sz w:val="24"/>
                <w:szCs w:val="24"/>
                <w:u w:val="none"/>
                <w:shd w:val="clear" w:color="auto" w:fill="auto"/>
                <w:lang w:val="en-US" w:eastAsia="zh-CN" w:bidi="ar"/>
              </w:rPr>
              <w:t>陈玲玲</w:t>
            </w:r>
          </w:p>
        </w:tc>
        <w:tc>
          <w:tcPr>
            <w:tcW w:w="3632" w:type="dxa"/>
            <w:noWrap w:val="0"/>
            <w:vAlign w:val="center"/>
          </w:tcPr>
          <w:p>
            <w:pPr>
              <w:keepNext w:val="0"/>
              <w:keepLines w:val="0"/>
              <w:widowControl/>
              <w:suppressLineNumbers w:val="0"/>
              <w:shd w:val="clear" w:color="auto" w:fill="FFFFFF"/>
              <w:jc w:val="center"/>
              <w:textAlignment w:val="center"/>
              <w:rPr>
                <w:rFonts w:hint="eastAsia" w:ascii="宋体" w:hAnsi="宋体" w:eastAsia="宋体" w:cs="宋体"/>
                <w:i w:val="0"/>
                <w:color w:val="auto"/>
                <w:kern w:val="0"/>
                <w:sz w:val="24"/>
                <w:szCs w:val="24"/>
                <w:u w:val="none"/>
                <w:shd w:val="clear" w:color="auto" w:fill="auto"/>
                <w:lang w:val="en-US" w:eastAsia="zh-CN" w:bidi="ar"/>
              </w:rPr>
            </w:pPr>
            <w:r>
              <w:rPr>
                <w:rFonts w:hint="eastAsia" w:ascii="宋体" w:hAnsi="宋体" w:eastAsia="宋体" w:cs="宋体"/>
                <w:i w:val="0"/>
                <w:color w:val="auto"/>
                <w:kern w:val="0"/>
                <w:sz w:val="24"/>
                <w:szCs w:val="24"/>
                <w:u w:val="none"/>
                <w:shd w:val="clear" w:color="auto" w:fill="auto"/>
                <w:lang w:val="en-US" w:eastAsia="zh-CN" w:bidi="ar"/>
              </w:rPr>
              <w:t>川H29006</w:t>
            </w:r>
            <w:r>
              <w:rPr>
                <w:rFonts w:hint="eastAsia" w:ascii="宋体" w:hAnsi="宋体" w:cs="宋体"/>
                <w:i w:val="0"/>
                <w:color w:val="auto"/>
                <w:kern w:val="0"/>
                <w:sz w:val="24"/>
                <w:szCs w:val="24"/>
                <w:u w:val="none"/>
                <w:shd w:val="clear" w:color="auto" w:fill="auto"/>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29</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cs="宋体"/>
                <w:i w:val="0"/>
                <w:color w:val="auto"/>
                <w:kern w:val="0"/>
                <w:sz w:val="24"/>
                <w:szCs w:val="24"/>
                <w:u w:val="none"/>
                <w:shd w:val="clear" w:color="auto" w:fill="auto"/>
                <w:lang w:val="en-US" w:eastAsia="zh-CN" w:bidi="ar"/>
              </w:rPr>
            </w:pPr>
            <w:r>
              <w:rPr>
                <w:rFonts w:hint="eastAsia" w:ascii="宋体" w:hAnsi="宋体" w:cs="宋体"/>
                <w:i w:val="0"/>
                <w:color w:val="auto"/>
                <w:kern w:val="0"/>
                <w:sz w:val="24"/>
                <w:szCs w:val="24"/>
                <w:u w:val="none"/>
                <w:shd w:val="clear" w:color="auto" w:fill="auto"/>
                <w:lang w:val="en-US" w:eastAsia="zh-CN" w:bidi="ar"/>
              </w:rPr>
              <w:t>赵  刚</w:t>
            </w:r>
          </w:p>
        </w:tc>
        <w:tc>
          <w:tcPr>
            <w:tcW w:w="3632" w:type="dxa"/>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u w:val="none"/>
                <w:shd w:val="clear" w:color="auto" w:fill="auto"/>
                <w:lang w:val="en-US" w:eastAsia="zh-CN" w:bidi="ar"/>
              </w:rPr>
            </w:pPr>
            <w:r>
              <w:rPr>
                <w:rStyle w:val="10"/>
                <w:lang w:val="en-US" w:eastAsia="zh-CN" w:bidi="ar"/>
              </w:rPr>
              <w:t>川H290087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30</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cs="宋体"/>
                <w:i w:val="0"/>
                <w:color w:val="auto"/>
                <w:kern w:val="0"/>
                <w:sz w:val="24"/>
                <w:szCs w:val="24"/>
                <w:u w:val="none"/>
                <w:shd w:val="clear" w:color="auto" w:fill="auto"/>
                <w:lang w:val="en-US" w:eastAsia="zh-CN" w:bidi="ar"/>
              </w:rPr>
            </w:pPr>
            <w:r>
              <w:rPr>
                <w:rFonts w:hint="eastAsia" w:ascii="宋体" w:hAnsi="宋体" w:cs="宋体"/>
                <w:i w:val="0"/>
                <w:color w:val="auto"/>
                <w:kern w:val="0"/>
                <w:sz w:val="24"/>
                <w:szCs w:val="24"/>
                <w:u w:val="none"/>
                <w:shd w:val="clear" w:color="auto" w:fill="auto"/>
                <w:lang w:val="en-US" w:eastAsia="zh-CN" w:bidi="ar"/>
              </w:rPr>
              <w:t>张  冉</w:t>
            </w:r>
          </w:p>
        </w:tc>
        <w:tc>
          <w:tcPr>
            <w:tcW w:w="3632"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川H290089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31</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cs="宋体"/>
                <w:i w:val="0"/>
                <w:color w:val="auto"/>
                <w:kern w:val="0"/>
                <w:sz w:val="24"/>
                <w:szCs w:val="24"/>
                <w:u w:val="none"/>
                <w:shd w:val="clear" w:color="auto" w:fill="auto"/>
                <w:lang w:val="en-US" w:eastAsia="zh-CN" w:bidi="ar"/>
              </w:rPr>
            </w:pPr>
            <w:r>
              <w:rPr>
                <w:rFonts w:hint="eastAsia" w:ascii="宋体" w:hAnsi="宋体" w:cs="宋体"/>
                <w:i w:val="0"/>
                <w:color w:val="auto"/>
                <w:kern w:val="0"/>
                <w:sz w:val="24"/>
                <w:szCs w:val="24"/>
                <w:u w:val="none"/>
                <w:shd w:val="clear" w:color="auto" w:fill="auto"/>
                <w:lang w:val="en-US" w:eastAsia="zh-CN" w:bidi="ar"/>
              </w:rPr>
              <w:t>张天刚</w:t>
            </w:r>
          </w:p>
        </w:tc>
        <w:tc>
          <w:tcPr>
            <w:tcW w:w="3632" w:type="dxa"/>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川H2900</w:t>
            </w:r>
            <w:r>
              <w:rPr>
                <w:rFonts w:hint="eastAsia" w:ascii="宋体" w:hAnsi="宋体" w:cs="宋体"/>
                <w:i w:val="0"/>
                <w:color w:val="000000"/>
                <w:kern w:val="0"/>
                <w:sz w:val="22"/>
                <w:szCs w:val="22"/>
                <w:u w:val="none"/>
                <w:lang w:val="en-US" w:eastAsia="zh-CN" w:bidi="ar"/>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32</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cs="宋体"/>
                <w:i w:val="0"/>
                <w:color w:val="auto"/>
                <w:kern w:val="0"/>
                <w:sz w:val="24"/>
                <w:szCs w:val="24"/>
                <w:u w:val="none"/>
                <w:shd w:val="clear" w:color="auto" w:fill="auto"/>
                <w:lang w:val="en-US" w:eastAsia="zh-CN" w:bidi="ar"/>
              </w:rPr>
            </w:pPr>
            <w:r>
              <w:rPr>
                <w:rFonts w:hint="eastAsia" w:ascii="宋体" w:hAnsi="宋体" w:cs="宋体"/>
                <w:i w:val="0"/>
                <w:color w:val="auto"/>
                <w:kern w:val="0"/>
                <w:sz w:val="24"/>
                <w:szCs w:val="24"/>
                <w:u w:val="none"/>
                <w:shd w:val="clear" w:color="auto" w:fill="auto"/>
                <w:lang w:val="en-US" w:eastAsia="zh-CN" w:bidi="ar"/>
              </w:rPr>
              <w:t>张潇月</w:t>
            </w:r>
          </w:p>
        </w:tc>
        <w:tc>
          <w:tcPr>
            <w:tcW w:w="3632" w:type="dxa"/>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川H2900</w:t>
            </w:r>
            <w:r>
              <w:rPr>
                <w:rFonts w:hint="eastAsia" w:ascii="宋体" w:hAnsi="宋体" w:cs="宋体"/>
                <w:i w:val="0"/>
                <w:color w:val="000000"/>
                <w:kern w:val="0"/>
                <w:sz w:val="22"/>
                <w:szCs w:val="22"/>
                <w:u w:val="none"/>
                <w:lang w:val="en-US" w:eastAsia="zh-CN" w:bidi="ar"/>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33</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cs="宋体"/>
                <w:i w:val="0"/>
                <w:color w:val="auto"/>
                <w:kern w:val="0"/>
                <w:sz w:val="24"/>
                <w:szCs w:val="24"/>
                <w:u w:val="none"/>
                <w:shd w:val="clear" w:color="auto" w:fill="auto"/>
                <w:lang w:val="en-US" w:eastAsia="zh-CN" w:bidi="ar"/>
              </w:rPr>
            </w:pPr>
            <w:r>
              <w:rPr>
                <w:rFonts w:hint="eastAsia" w:ascii="宋体" w:hAnsi="宋体" w:cs="宋体"/>
                <w:i w:val="0"/>
                <w:color w:val="auto"/>
                <w:kern w:val="0"/>
                <w:sz w:val="24"/>
                <w:szCs w:val="24"/>
                <w:u w:val="none"/>
                <w:shd w:val="clear" w:color="auto" w:fill="auto"/>
                <w:lang w:val="en-US" w:eastAsia="zh-CN" w:bidi="ar"/>
              </w:rPr>
              <w:t>曾  莉</w:t>
            </w:r>
          </w:p>
        </w:tc>
        <w:tc>
          <w:tcPr>
            <w:tcW w:w="3632" w:type="dxa"/>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川H2900</w:t>
            </w:r>
            <w:r>
              <w:rPr>
                <w:rFonts w:hint="eastAsia" w:ascii="宋体" w:hAnsi="宋体" w:cs="宋体"/>
                <w:i w:val="0"/>
                <w:color w:val="000000"/>
                <w:kern w:val="0"/>
                <w:sz w:val="22"/>
                <w:szCs w:val="22"/>
                <w:u w:val="none"/>
                <w:lang w:val="en-US" w:eastAsia="zh-CN" w:bidi="ar"/>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34</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cs="宋体"/>
                <w:i w:val="0"/>
                <w:color w:val="auto"/>
                <w:kern w:val="0"/>
                <w:sz w:val="24"/>
                <w:szCs w:val="24"/>
                <w:u w:val="none"/>
                <w:shd w:val="clear" w:color="auto" w:fill="auto"/>
                <w:lang w:val="en-US" w:eastAsia="zh-CN" w:bidi="ar"/>
              </w:rPr>
            </w:pPr>
            <w:r>
              <w:rPr>
                <w:rFonts w:hint="eastAsia" w:ascii="宋体" w:hAnsi="宋体" w:cs="宋体"/>
                <w:i w:val="0"/>
                <w:color w:val="auto"/>
                <w:kern w:val="0"/>
                <w:sz w:val="24"/>
                <w:szCs w:val="24"/>
                <w:u w:val="none"/>
                <w:shd w:val="clear" w:color="auto" w:fill="auto"/>
                <w:lang w:val="en-US" w:eastAsia="zh-CN" w:bidi="ar"/>
              </w:rPr>
              <w:t>杜晓听</w:t>
            </w:r>
          </w:p>
        </w:tc>
        <w:tc>
          <w:tcPr>
            <w:tcW w:w="3632" w:type="dxa"/>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川H2900</w:t>
            </w:r>
            <w:r>
              <w:rPr>
                <w:rFonts w:hint="eastAsia" w:ascii="宋体" w:hAnsi="宋体" w:cs="宋体"/>
                <w:i w:val="0"/>
                <w:color w:val="000000"/>
                <w:kern w:val="0"/>
                <w:sz w:val="22"/>
                <w:szCs w:val="22"/>
                <w:u w:val="none"/>
                <w:lang w:val="en-US" w:eastAsia="zh-CN" w:bidi="ar"/>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970" w:type="dxa"/>
            <w:noWrap w:val="0"/>
            <w:vAlign w:val="center"/>
          </w:tcPr>
          <w:p>
            <w:pPr>
              <w:jc w:val="center"/>
              <w:rPr>
                <w:rFonts w:hint="default"/>
                <w:sz w:val="24"/>
                <w:lang w:val="en-US" w:eastAsia="zh-CN"/>
              </w:rPr>
            </w:pPr>
            <w:r>
              <w:rPr>
                <w:rFonts w:hint="eastAsia"/>
                <w:sz w:val="24"/>
                <w:lang w:val="en-US" w:eastAsia="zh-CN"/>
              </w:rPr>
              <w:t>35</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cs="宋体"/>
                <w:i w:val="0"/>
                <w:color w:val="auto"/>
                <w:kern w:val="0"/>
                <w:sz w:val="24"/>
                <w:szCs w:val="24"/>
                <w:u w:val="none"/>
                <w:shd w:val="clear" w:color="auto" w:fill="auto"/>
                <w:lang w:val="en-US" w:eastAsia="zh-CN" w:bidi="ar"/>
              </w:rPr>
            </w:pPr>
            <w:r>
              <w:rPr>
                <w:rFonts w:hint="eastAsia" w:ascii="宋体" w:hAnsi="宋体" w:cs="宋体"/>
                <w:i w:val="0"/>
                <w:color w:val="auto"/>
                <w:kern w:val="0"/>
                <w:sz w:val="24"/>
                <w:szCs w:val="24"/>
                <w:u w:val="none"/>
                <w:shd w:val="clear" w:color="auto" w:fill="auto"/>
                <w:lang w:val="en-US" w:eastAsia="zh-CN" w:bidi="ar"/>
              </w:rPr>
              <w:t>岳晓燕</w:t>
            </w:r>
          </w:p>
        </w:tc>
        <w:tc>
          <w:tcPr>
            <w:tcW w:w="3632" w:type="dxa"/>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川H2900</w:t>
            </w:r>
            <w:r>
              <w:rPr>
                <w:rFonts w:hint="eastAsia" w:ascii="宋体" w:hAnsi="宋体" w:cs="宋体"/>
                <w:i w:val="0"/>
                <w:color w:val="000000"/>
                <w:kern w:val="0"/>
                <w:sz w:val="22"/>
                <w:szCs w:val="22"/>
                <w:u w:val="none"/>
                <w:lang w:val="en-US" w:eastAsia="zh-CN" w:bidi="ar"/>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970" w:type="dxa"/>
            <w:noWrap w:val="0"/>
            <w:vAlign w:val="center"/>
          </w:tcPr>
          <w:p>
            <w:pPr>
              <w:jc w:val="center"/>
              <w:rPr>
                <w:rFonts w:hint="default"/>
                <w:sz w:val="24"/>
                <w:lang w:val="en-US" w:eastAsia="zh-CN"/>
              </w:rPr>
            </w:pPr>
            <w:r>
              <w:rPr>
                <w:rFonts w:hint="eastAsia"/>
                <w:sz w:val="24"/>
                <w:lang w:val="en-US" w:eastAsia="zh-CN"/>
              </w:rPr>
              <w:t>36</w:t>
            </w:r>
          </w:p>
        </w:tc>
        <w:tc>
          <w:tcPr>
            <w:tcW w:w="2718" w:type="dxa"/>
            <w:noWrap w:val="0"/>
            <w:vAlign w:val="center"/>
          </w:tcPr>
          <w:p>
            <w:pPr>
              <w:widowControl/>
              <w:jc w:val="center"/>
              <w:textAlignment w:val="center"/>
              <w:rPr>
                <w:rFonts w:ascii="宋体" w:hAnsi="宋体"/>
                <w:sz w:val="24"/>
                <w:szCs w:val="24"/>
              </w:rPr>
            </w:pPr>
            <w:r>
              <w:rPr>
                <w:rFonts w:hint="eastAsia" w:ascii="宋体" w:hAnsi="宋体" w:cs="宋体"/>
                <w:i w:val="0"/>
                <w:color w:val="auto"/>
                <w:kern w:val="0"/>
                <w:sz w:val="24"/>
                <w:szCs w:val="24"/>
                <w:u w:val="none"/>
                <w:shd w:val="clear" w:color="auto" w:fill="auto"/>
                <w:lang w:val="en-US" w:eastAsia="zh-CN" w:bidi="ar"/>
              </w:rPr>
              <w:t>麻文建</w:t>
            </w:r>
          </w:p>
        </w:tc>
        <w:tc>
          <w:tcPr>
            <w:tcW w:w="3632" w:type="dxa"/>
            <w:noWrap w:val="0"/>
            <w:vAlign w:val="center"/>
          </w:tcPr>
          <w:p>
            <w:pPr>
              <w:widowControl/>
              <w:jc w:val="center"/>
              <w:textAlignment w:val="center"/>
              <w:rPr>
                <w:rFonts w:ascii="宋体" w:hAnsi="宋体" w:cs="宋体"/>
                <w:kern w:val="0"/>
                <w:sz w:val="24"/>
                <w:szCs w:val="24"/>
              </w:rPr>
            </w:pPr>
            <w:r>
              <w:rPr>
                <w:rFonts w:hint="eastAsia" w:ascii="宋体" w:hAnsi="宋体" w:eastAsia="宋体" w:cs="宋体"/>
                <w:i w:val="0"/>
                <w:color w:val="000000"/>
                <w:kern w:val="0"/>
                <w:sz w:val="22"/>
                <w:szCs w:val="22"/>
                <w:u w:val="none"/>
                <w:lang w:val="en-US" w:eastAsia="zh-CN" w:bidi="ar"/>
              </w:rPr>
              <w:t>川H2900</w:t>
            </w:r>
            <w:r>
              <w:rPr>
                <w:rFonts w:hint="eastAsia" w:ascii="宋体" w:hAnsi="宋体" w:cs="宋体"/>
                <w:i w:val="0"/>
                <w:color w:val="000000"/>
                <w:kern w:val="0"/>
                <w:sz w:val="22"/>
                <w:szCs w:val="22"/>
                <w:u w:val="none"/>
                <w:lang w:val="en-US" w:eastAsia="zh-CN" w:bidi="ar"/>
              </w:rPr>
              <w:t>95</w:t>
            </w:r>
          </w:p>
        </w:tc>
      </w:tr>
    </w:tbl>
    <w:p>
      <w:pPr>
        <w:keepNext w:val="0"/>
        <w:keepLines w:val="0"/>
        <w:widowControl/>
        <w:suppressLineNumbers w:val="0"/>
        <w:ind w:firstLine="620" w:firstLineChars="200"/>
        <w:jc w:val="left"/>
        <w:rPr>
          <w:rFonts w:hint="eastAsia" w:ascii="黑体" w:hAnsi="宋体" w:eastAsia="黑体" w:cs="黑体"/>
          <w:color w:val="000000"/>
          <w:kern w:val="0"/>
          <w:sz w:val="31"/>
          <w:szCs w:val="31"/>
          <w:lang w:val="en-US" w:eastAsia="zh-CN" w:bidi="ar"/>
        </w:rPr>
      </w:pPr>
    </w:p>
    <w:p>
      <w:pPr>
        <w:keepNext w:val="0"/>
        <w:keepLines w:val="0"/>
        <w:widowControl/>
        <w:suppressLineNumbers w:val="0"/>
        <w:ind w:firstLine="620" w:firstLineChars="200"/>
        <w:jc w:val="left"/>
      </w:pPr>
      <w:r>
        <w:rPr>
          <w:rFonts w:hint="eastAsia" w:ascii="黑体" w:hAnsi="宋体" w:eastAsia="黑体" w:cs="黑体"/>
          <w:color w:val="000000"/>
          <w:kern w:val="0"/>
          <w:sz w:val="31"/>
          <w:szCs w:val="31"/>
          <w:lang w:val="en-US" w:eastAsia="zh-CN" w:bidi="ar"/>
        </w:rPr>
        <w:t xml:space="preserve">三、广元市林业局行政执法权力、责任清单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四川政务服务网、广元市人民政府网（含行政执法权力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及责任事项的权限、职责、服务指南、法定依据、流程图、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程序）</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http://gys.sczwfw.gov.cn/app/qixianShop/12679?a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reaId=408&amp;areaCode=510800000000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http://gys.sczwfw.gov.cn/app/qixianShop/12679?a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reaId=408&amp;areaCode=510800000000 </w:t>
      </w:r>
    </w:p>
    <w:p>
      <w:pPr>
        <w:keepNext w:val="0"/>
        <w:keepLines w:val="0"/>
        <w:widowControl/>
        <w:suppressLineNumbers w:val="0"/>
        <w:ind w:firstLine="620" w:firstLineChars="200"/>
        <w:jc w:val="left"/>
      </w:pPr>
      <w:r>
        <w:rPr>
          <w:rFonts w:hint="eastAsia" w:ascii="黑体" w:hAnsi="宋体" w:eastAsia="黑体" w:cs="黑体"/>
          <w:color w:val="000000"/>
          <w:kern w:val="0"/>
          <w:sz w:val="31"/>
          <w:szCs w:val="31"/>
          <w:lang w:val="en-US" w:eastAsia="zh-CN" w:bidi="ar"/>
        </w:rPr>
        <w:t xml:space="preserve">四、广元市林业局重大行政执法审核目录清单（共 3 项） </w:t>
      </w:r>
    </w:p>
    <w:p>
      <w:pPr>
        <w:keepNext w:val="0"/>
        <w:keepLines w:val="0"/>
        <w:widowControl/>
        <w:suppressLineNumbers w:val="0"/>
        <w:ind w:firstLine="622" w:firstLineChars="200"/>
        <w:jc w:val="left"/>
      </w:pPr>
      <w:r>
        <w:rPr>
          <w:rFonts w:hint="eastAsia" w:ascii="仿宋" w:hAnsi="仿宋" w:eastAsia="仿宋" w:cs="仿宋"/>
          <w:b/>
          <w:color w:val="000000"/>
          <w:kern w:val="0"/>
          <w:sz w:val="31"/>
          <w:szCs w:val="31"/>
          <w:lang w:val="en-US" w:eastAsia="zh-CN" w:bidi="ar"/>
        </w:rPr>
        <w:t xml:space="preserve">1.重大行政许可：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（一）适用听证的；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（二）变更、撤回、撤销行政许可决定；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（三）法律法规规章和规范性文件规定以及行政机关认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定的其他重大行政许可事项。 </w:t>
      </w:r>
    </w:p>
    <w:p>
      <w:pPr>
        <w:keepNext w:val="0"/>
        <w:keepLines w:val="0"/>
        <w:widowControl/>
        <w:suppressLineNumbers w:val="0"/>
        <w:ind w:firstLine="622" w:firstLineChars="200"/>
        <w:jc w:val="left"/>
      </w:pPr>
      <w:r>
        <w:rPr>
          <w:rFonts w:hint="eastAsia" w:ascii="仿宋" w:hAnsi="仿宋" w:eastAsia="仿宋" w:cs="仿宋"/>
          <w:b/>
          <w:color w:val="000000"/>
          <w:kern w:val="0"/>
          <w:sz w:val="31"/>
          <w:szCs w:val="31"/>
          <w:lang w:val="en-US" w:eastAsia="zh-CN" w:bidi="ar"/>
        </w:rPr>
        <w:t xml:space="preserve">2.重大行政处罚：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（一）对公民处以 5000 元以上、对法人或者其他组织处以 50000 元以上的罚款，或者没收同等数额以上的违法所得、非法财物；</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（二）责令停产停业 1个月以上；</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（三）国家规定的其他重大行政处罚决定。</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3.其他涉及国家利益、公共利益、当事人重大权益或者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社会影响较大的行政执法决定。 </w:t>
      </w:r>
    </w:p>
    <w:p>
      <w:pPr>
        <w:keepNext w:val="0"/>
        <w:keepLines w:val="0"/>
        <w:widowControl/>
        <w:suppressLineNumbers w:val="0"/>
        <w:ind w:firstLine="620" w:firstLineChars="200"/>
        <w:jc w:val="left"/>
      </w:pPr>
      <w:r>
        <w:rPr>
          <w:rFonts w:hint="eastAsia" w:ascii="黑体" w:hAnsi="宋体" w:eastAsia="黑体" w:cs="黑体"/>
          <w:color w:val="000000"/>
          <w:kern w:val="0"/>
          <w:sz w:val="31"/>
          <w:szCs w:val="31"/>
          <w:lang w:val="en-US" w:eastAsia="zh-CN" w:bidi="ar"/>
        </w:rPr>
        <w:t xml:space="preserve">五、广元市林业局行政执法（监督信息）救济渠道、行政执法责任制 </w:t>
      </w:r>
    </w:p>
    <w:p>
      <w:pPr>
        <w:keepNext w:val="0"/>
        <w:keepLines w:val="0"/>
        <w:widowControl/>
        <w:suppressLineNumbers w:val="0"/>
        <w:ind w:firstLine="622" w:firstLineChars="200"/>
        <w:jc w:val="left"/>
      </w:pPr>
      <w:r>
        <w:rPr>
          <w:rFonts w:hint="eastAsia" w:ascii="仿宋" w:hAnsi="仿宋" w:eastAsia="仿宋" w:cs="仿宋"/>
          <w:b/>
          <w:color w:val="000000"/>
          <w:kern w:val="0"/>
          <w:sz w:val="31"/>
          <w:szCs w:val="31"/>
          <w:lang w:val="en-US" w:eastAsia="zh-CN" w:bidi="ar"/>
        </w:rPr>
        <w:t xml:space="preserve">当事人依法享有的权利、救济途径、方式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（一）依法享有的权利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当事人依法享有申请回避、陈述、申辩、复议、诉讼等权利，详见相应法律法规。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（二）救济途径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1、行政复议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部门：广元市</w:t>
      </w:r>
      <w:r>
        <w:rPr>
          <w:rFonts w:hint="eastAsia" w:ascii="仿宋" w:hAnsi="仿宋" w:cs="仿宋"/>
          <w:color w:val="000000"/>
          <w:kern w:val="0"/>
          <w:sz w:val="31"/>
          <w:szCs w:val="31"/>
          <w:lang w:val="en-US" w:eastAsia="zh-CN" w:bidi="ar"/>
        </w:rPr>
        <w:t>林业</w:t>
      </w:r>
      <w:r>
        <w:rPr>
          <w:rFonts w:hint="eastAsia" w:ascii="仿宋" w:hAnsi="仿宋" w:eastAsia="仿宋" w:cs="仿宋"/>
          <w:color w:val="000000"/>
          <w:kern w:val="0"/>
          <w:sz w:val="31"/>
          <w:szCs w:val="31"/>
          <w:lang w:val="en-US" w:eastAsia="zh-CN" w:bidi="ar"/>
        </w:rPr>
        <w:t>局</w:t>
      </w:r>
      <w:r>
        <w:rPr>
          <w:rFonts w:hint="eastAsia" w:ascii="仿宋" w:hAnsi="仿宋" w:cs="仿宋"/>
          <w:color w:val="000000"/>
          <w:kern w:val="0"/>
          <w:sz w:val="31"/>
          <w:szCs w:val="31"/>
          <w:lang w:val="en-US" w:eastAsia="zh-CN" w:bidi="ar"/>
        </w:rPr>
        <w:t>规划改革和政策法规</w:t>
      </w:r>
      <w:r>
        <w:rPr>
          <w:rFonts w:hint="eastAsia" w:ascii="仿宋" w:hAnsi="仿宋" w:eastAsia="仿宋" w:cs="仿宋"/>
          <w:color w:val="000000"/>
          <w:kern w:val="0"/>
          <w:sz w:val="31"/>
          <w:szCs w:val="31"/>
          <w:lang w:val="en-US" w:eastAsia="zh-CN" w:bidi="ar"/>
        </w:rPr>
        <w:t xml:space="preserve">科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地址：广元市利州区</w:t>
      </w:r>
      <w:r>
        <w:rPr>
          <w:rFonts w:hint="eastAsia" w:ascii="仿宋" w:hAnsi="仿宋" w:cs="仿宋"/>
          <w:color w:val="000000"/>
          <w:kern w:val="0"/>
          <w:sz w:val="31"/>
          <w:szCs w:val="31"/>
          <w:lang w:val="en-US" w:eastAsia="zh-CN" w:bidi="ar"/>
        </w:rPr>
        <w:t>万缘新区米苍路8</w:t>
      </w:r>
      <w:r>
        <w:rPr>
          <w:rFonts w:hint="eastAsia" w:ascii="仿宋" w:hAnsi="仿宋" w:eastAsia="仿宋" w:cs="仿宋"/>
          <w:color w:val="000000"/>
          <w:kern w:val="0"/>
          <w:sz w:val="31"/>
          <w:szCs w:val="31"/>
          <w:lang w:val="en-US" w:eastAsia="zh-CN" w:bidi="ar"/>
        </w:rPr>
        <w:t>号（广元市</w:t>
      </w:r>
      <w:r>
        <w:rPr>
          <w:rFonts w:hint="eastAsia" w:ascii="仿宋" w:hAnsi="仿宋" w:cs="仿宋"/>
          <w:color w:val="000000"/>
          <w:kern w:val="0"/>
          <w:sz w:val="31"/>
          <w:szCs w:val="31"/>
          <w:lang w:val="en-US" w:eastAsia="zh-CN" w:bidi="ar"/>
        </w:rPr>
        <w:t>林业局五</w:t>
      </w:r>
      <w:r>
        <w:rPr>
          <w:rFonts w:hint="eastAsia" w:ascii="仿宋" w:hAnsi="仿宋" w:eastAsia="仿宋" w:cs="仿宋"/>
          <w:color w:val="000000"/>
          <w:kern w:val="0"/>
          <w:sz w:val="31"/>
          <w:szCs w:val="31"/>
          <w:lang w:val="en-US" w:eastAsia="zh-CN" w:bidi="ar"/>
        </w:rPr>
        <w:t xml:space="preserve">楼） </w:t>
      </w:r>
    </w:p>
    <w:p>
      <w:pPr>
        <w:keepNext w:val="0"/>
        <w:keepLines w:val="0"/>
        <w:widowControl/>
        <w:suppressLineNumbers w:val="0"/>
        <w:ind w:firstLine="620" w:firstLineChars="200"/>
        <w:jc w:val="left"/>
        <w:rPr>
          <w:rFonts w:hint="default"/>
          <w:lang w:val="en-US"/>
        </w:rPr>
      </w:pPr>
      <w:r>
        <w:rPr>
          <w:rFonts w:hint="eastAsia" w:ascii="仿宋" w:hAnsi="仿宋" w:eastAsia="仿宋" w:cs="仿宋"/>
          <w:color w:val="000000"/>
          <w:kern w:val="0"/>
          <w:sz w:val="31"/>
          <w:szCs w:val="31"/>
          <w:lang w:val="en-US" w:eastAsia="zh-CN" w:bidi="ar"/>
        </w:rPr>
        <w:t>电话： 0839-</w:t>
      </w:r>
      <w:r>
        <w:rPr>
          <w:rFonts w:hint="eastAsia" w:ascii="仿宋" w:hAnsi="仿宋" w:cs="仿宋"/>
          <w:color w:val="000000"/>
          <w:kern w:val="0"/>
          <w:sz w:val="31"/>
          <w:szCs w:val="31"/>
          <w:lang w:val="en-US" w:eastAsia="zh-CN" w:bidi="ar"/>
        </w:rPr>
        <w:t>3237079</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2、行政诉讼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单位：广元市利州区人民法院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地址：广元市利州区利州东路 1070 号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（三）对行政执法的监督投诉举报的方式、途径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部门：广元市</w:t>
      </w:r>
      <w:r>
        <w:rPr>
          <w:rFonts w:hint="eastAsia" w:ascii="仿宋" w:hAnsi="仿宋" w:cs="仿宋"/>
          <w:color w:val="000000"/>
          <w:kern w:val="0"/>
          <w:sz w:val="31"/>
          <w:szCs w:val="31"/>
          <w:lang w:val="en-US" w:eastAsia="zh-CN" w:bidi="ar"/>
        </w:rPr>
        <w:t>林业</w:t>
      </w:r>
      <w:r>
        <w:rPr>
          <w:rFonts w:hint="eastAsia" w:ascii="仿宋" w:hAnsi="仿宋" w:eastAsia="仿宋" w:cs="仿宋"/>
          <w:color w:val="000000"/>
          <w:kern w:val="0"/>
          <w:sz w:val="31"/>
          <w:szCs w:val="31"/>
          <w:lang w:val="en-US" w:eastAsia="zh-CN" w:bidi="ar"/>
        </w:rPr>
        <w:t>局</w:t>
      </w:r>
      <w:r>
        <w:rPr>
          <w:rFonts w:hint="eastAsia" w:ascii="仿宋" w:hAnsi="仿宋" w:cs="仿宋"/>
          <w:color w:val="000000"/>
          <w:kern w:val="0"/>
          <w:sz w:val="31"/>
          <w:szCs w:val="31"/>
          <w:lang w:val="en-US" w:eastAsia="zh-CN" w:bidi="ar"/>
        </w:rPr>
        <w:t>规划改革和政策法规</w:t>
      </w:r>
      <w:r>
        <w:rPr>
          <w:rFonts w:hint="eastAsia" w:ascii="仿宋" w:hAnsi="仿宋" w:eastAsia="仿宋" w:cs="仿宋"/>
          <w:color w:val="000000"/>
          <w:kern w:val="0"/>
          <w:sz w:val="31"/>
          <w:szCs w:val="31"/>
          <w:lang w:val="en-US" w:eastAsia="zh-CN" w:bidi="ar"/>
        </w:rPr>
        <w:t xml:space="preserve">科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地址：广元市利州区</w:t>
      </w:r>
      <w:r>
        <w:rPr>
          <w:rFonts w:hint="eastAsia" w:ascii="仿宋" w:hAnsi="仿宋" w:cs="仿宋"/>
          <w:color w:val="000000"/>
          <w:kern w:val="0"/>
          <w:sz w:val="31"/>
          <w:szCs w:val="31"/>
          <w:lang w:val="en-US" w:eastAsia="zh-CN" w:bidi="ar"/>
        </w:rPr>
        <w:t>万缘新区米苍路8</w:t>
      </w:r>
      <w:r>
        <w:rPr>
          <w:rFonts w:hint="eastAsia" w:ascii="仿宋" w:hAnsi="仿宋" w:eastAsia="仿宋" w:cs="仿宋"/>
          <w:color w:val="000000"/>
          <w:kern w:val="0"/>
          <w:sz w:val="31"/>
          <w:szCs w:val="31"/>
          <w:lang w:val="en-US" w:eastAsia="zh-CN" w:bidi="ar"/>
        </w:rPr>
        <w:t>号（广元市</w:t>
      </w:r>
      <w:r>
        <w:rPr>
          <w:rFonts w:hint="eastAsia" w:ascii="仿宋" w:hAnsi="仿宋" w:cs="仿宋"/>
          <w:color w:val="000000"/>
          <w:kern w:val="0"/>
          <w:sz w:val="31"/>
          <w:szCs w:val="31"/>
          <w:lang w:val="en-US" w:eastAsia="zh-CN" w:bidi="ar"/>
        </w:rPr>
        <w:t>林业局五</w:t>
      </w:r>
      <w:r>
        <w:rPr>
          <w:rFonts w:hint="eastAsia" w:ascii="仿宋" w:hAnsi="仿宋" w:eastAsia="仿宋" w:cs="仿宋"/>
          <w:color w:val="000000"/>
          <w:kern w:val="0"/>
          <w:sz w:val="31"/>
          <w:szCs w:val="31"/>
          <w:lang w:val="en-US" w:eastAsia="zh-CN" w:bidi="ar"/>
        </w:rPr>
        <w:t xml:space="preserve">楼）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投诉电话：0839-</w:t>
      </w:r>
      <w:r>
        <w:rPr>
          <w:rFonts w:hint="eastAsia" w:ascii="仿宋" w:hAnsi="仿宋" w:cs="仿宋"/>
          <w:color w:val="000000"/>
          <w:kern w:val="0"/>
          <w:sz w:val="31"/>
          <w:szCs w:val="31"/>
          <w:lang w:val="en-US" w:eastAsia="zh-CN" w:bidi="ar"/>
        </w:rPr>
        <w:t>3237079</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ind w:firstLine="622" w:firstLineChars="200"/>
        <w:jc w:val="left"/>
      </w:pPr>
      <w:r>
        <w:rPr>
          <w:rFonts w:hint="eastAsia" w:ascii="仿宋" w:hAnsi="仿宋" w:eastAsia="仿宋" w:cs="仿宋"/>
          <w:b/>
          <w:color w:val="000000"/>
          <w:kern w:val="0"/>
          <w:sz w:val="31"/>
          <w:szCs w:val="31"/>
          <w:lang w:val="en-US" w:eastAsia="zh-CN" w:bidi="ar"/>
        </w:rPr>
        <w:t xml:space="preserve">行政执法责任制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《国务院办公厅关于推行行政执法责任制的若干意见》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（国办发[2005]37 号）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《四川省人民政府办公厅关于深化行政执法责任制的实施意见》(川办发[2005]36 号)《四川省落实行政执法责任制全面推进依法行政考核办法》(川府法[2005]24 号)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四川省行政执法监督条例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行政机关公务员处分条例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事业单位工作人员处分暂行规定 </w:t>
      </w:r>
    </w:p>
    <w:p>
      <w:pPr>
        <w:keepNext w:val="0"/>
        <w:keepLines w:val="0"/>
        <w:widowControl/>
        <w:suppressLineNumbers w:val="0"/>
        <w:ind w:firstLine="620" w:firstLineChars="200"/>
        <w:jc w:val="left"/>
      </w:pPr>
      <w:r>
        <w:rPr>
          <w:rFonts w:hint="eastAsia" w:ascii="黑体" w:hAnsi="宋体" w:eastAsia="黑体" w:cs="黑体"/>
          <w:color w:val="000000"/>
          <w:kern w:val="0"/>
          <w:sz w:val="31"/>
          <w:szCs w:val="31"/>
          <w:lang w:val="en-US" w:eastAsia="zh-CN" w:bidi="ar"/>
        </w:rPr>
        <w:t xml:space="preserve">六、广元市林业局行政执法自由裁量标准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《四川省规范行政执法裁量权规定》 四川省人民政府令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第 278号公布 2014年5月17 日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《四川省</w:t>
      </w:r>
      <w:r>
        <w:rPr>
          <w:rFonts w:hint="eastAsia" w:ascii="仿宋" w:hAnsi="仿宋" w:cs="仿宋"/>
          <w:color w:val="000000"/>
          <w:kern w:val="0"/>
          <w:sz w:val="31"/>
          <w:szCs w:val="31"/>
          <w:lang w:val="en-US" w:eastAsia="zh-CN" w:bidi="ar"/>
        </w:rPr>
        <w:t>林业</w:t>
      </w:r>
      <w:r>
        <w:rPr>
          <w:rFonts w:hint="eastAsia" w:ascii="仿宋" w:hAnsi="仿宋" w:eastAsia="仿宋" w:cs="仿宋"/>
          <w:color w:val="000000"/>
          <w:kern w:val="0"/>
          <w:sz w:val="31"/>
          <w:szCs w:val="31"/>
          <w:lang w:val="en-US" w:eastAsia="zh-CN" w:bidi="ar"/>
        </w:rPr>
        <w:t>行政处罚裁量</w:t>
      </w:r>
      <w:r>
        <w:rPr>
          <w:rFonts w:hint="eastAsia" w:ascii="仿宋" w:hAnsi="仿宋" w:cs="仿宋"/>
          <w:color w:val="000000"/>
          <w:kern w:val="0"/>
          <w:sz w:val="31"/>
          <w:szCs w:val="31"/>
          <w:lang w:val="en-US" w:eastAsia="zh-CN" w:bidi="ar"/>
        </w:rPr>
        <w:t>标准</w:t>
      </w:r>
      <w:r>
        <w:rPr>
          <w:rFonts w:hint="eastAsia" w:ascii="仿宋" w:hAnsi="仿宋" w:eastAsia="仿宋" w:cs="仿宋"/>
          <w:color w:val="000000"/>
          <w:kern w:val="0"/>
          <w:sz w:val="31"/>
          <w:szCs w:val="31"/>
          <w:lang w:val="en-US" w:eastAsia="zh-CN" w:bidi="ar"/>
        </w:rPr>
        <w:t>》（ 川</w:t>
      </w:r>
      <w:r>
        <w:rPr>
          <w:rFonts w:hint="eastAsia" w:ascii="仿宋" w:hAnsi="仿宋" w:cs="仿宋"/>
          <w:color w:val="000000"/>
          <w:kern w:val="0"/>
          <w:sz w:val="31"/>
          <w:szCs w:val="31"/>
          <w:lang w:val="en-US" w:eastAsia="zh-CN" w:bidi="ar"/>
        </w:rPr>
        <w:t>林</w:t>
      </w:r>
      <w:r>
        <w:rPr>
          <w:rFonts w:hint="eastAsia" w:ascii="仿宋" w:hAnsi="仿宋" w:eastAsia="仿宋" w:cs="仿宋"/>
          <w:color w:val="000000"/>
          <w:kern w:val="0"/>
          <w:sz w:val="31"/>
          <w:szCs w:val="31"/>
          <w:lang w:val="en-US" w:eastAsia="zh-CN" w:bidi="ar"/>
        </w:rPr>
        <w:t>发〔201</w:t>
      </w:r>
      <w:r>
        <w:rPr>
          <w:rFonts w:hint="eastAsia" w:ascii="仿宋" w:hAnsi="仿宋" w:cs="仿宋"/>
          <w:color w:val="000000"/>
          <w:kern w:val="0"/>
          <w:sz w:val="31"/>
          <w:szCs w:val="31"/>
          <w:lang w:val="en-US" w:eastAsia="zh-CN" w:bidi="ar"/>
        </w:rPr>
        <w:t>7</w:t>
      </w:r>
      <w:r>
        <w:rPr>
          <w:rFonts w:hint="eastAsia" w:ascii="仿宋" w:hAnsi="仿宋" w:eastAsia="仿宋" w:cs="仿宋"/>
          <w:color w:val="000000"/>
          <w:kern w:val="0"/>
          <w:sz w:val="31"/>
          <w:szCs w:val="31"/>
          <w:lang w:val="en-US" w:eastAsia="zh-CN" w:bidi="ar"/>
        </w:rPr>
        <w:t>〕</w:t>
      </w:r>
      <w:r>
        <w:rPr>
          <w:rFonts w:hint="eastAsia" w:ascii="仿宋" w:hAnsi="仿宋" w:cs="仿宋"/>
          <w:color w:val="000000"/>
          <w:kern w:val="0"/>
          <w:sz w:val="31"/>
          <w:szCs w:val="31"/>
          <w:lang w:val="en-US" w:eastAsia="zh-CN" w:bidi="ar"/>
        </w:rPr>
        <w:t>34</w:t>
      </w:r>
      <w:r>
        <w:rPr>
          <w:rFonts w:hint="eastAsia" w:ascii="仿宋" w:hAnsi="仿宋" w:eastAsia="仿宋" w:cs="仿宋"/>
          <w:color w:val="000000"/>
          <w:kern w:val="0"/>
          <w:sz w:val="31"/>
          <w:szCs w:val="31"/>
          <w:lang w:val="en-US" w:eastAsia="zh-CN" w:bidi="ar"/>
        </w:rPr>
        <w:t xml:space="preserve">号） </w:t>
      </w:r>
    </w:p>
    <w:p>
      <w:pPr>
        <w:keepNext w:val="0"/>
        <w:keepLines w:val="0"/>
        <w:widowControl/>
        <w:suppressLineNumbers w:val="0"/>
        <w:ind w:firstLine="620" w:firstLineChars="200"/>
        <w:jc w:val="left"/>
      </w:pPr>
      <w:r>
        <w:rPr>
          <w:rFonts w:hint="eastAsia" w:ascii="黑体" w:hAnsi="宋体" w:eastAsia="黑体" w:cs="黑体"/>
          <w:color w:val="000000"/>
          <w:kern w:val="0"/>
          <w:sz w:val="31"/>
          <w:szCs w:val="31"/>
          <w:lang w:val="en-US" w:eastAsia="zh-CN" w:bidi="ar"/>
        </w:rPr>
        <w:t xml:space="preserve">七、广元市林业局随机抽查事项清单、市场主体库（检 </w:t>
      </w:r>
    </w:p>
    <w:p>
      <w:pPr>
        <w:keepNext w:val="0"/>
        <w:keepLines w:val="0"/>
        <w:widowControl/>
        <w:suppressLineNumbers w:val="0"/>
        <w:ind w:firstLine="620" w:firstLineChars="200"/>
        <w:jc w:val="left"/>
      </w:pPr>
      <w:r>
        <w:rPr>
          <w:rFonts w:hint="eastAsia" w:ascii="黑体" w:hAnsi="宋体" w:eastAsia="黑体" w:cs="黑体"/>
          <w:color w:val="000000"/>
          <w:kern w:val="0"/>
          <w:sz w:val="31"/>
          <w:szCs w:val="31"/>
          <w:lang w:val="en-US" w:eastAsia="zh-CN" w:bidi="ar"/>
        </w:rPr>
        <w:t xml:space="preserve">查对象名录库）、2021 年抽查计划 </w:t>
      </w:r>
    </w:p>
    <w:p>
      <w:pPr>
        <w:keepNext w:val="0"/>
        <w:keepLines w:val="0"/>
        <w:widowControl/>
        <w:suppressLineNumbers w:val="0"/>
        <w:ind w:firstLine="622" w:firstLineChars="200"/>
        <w:jc w:val="left"/>
      </w:pPr>
      <w:r>
        <w:rPr>
          <w:rFonts w:hint="eastAsia" w:ascii="仿宋" w:hAnsi="仿宋" w:eastAsia="仿宋" w:cs="仿宋"/>
          <w:b/>
          <w:color w:val="000000"/>
          <w:kern w:val="0"/>
          <w:sz w:val="31"/>
          <w:szCs w:val="31"/>
          <w:lang w:val="en-US" w:eastAsia="zh-CN" w:bidi="ar"/>
        </w:rPr>
        <w:t>（一）随机抽查事项清单（共</w:t>
      </w:r>
      <w:r>
        <w:rPr>
          <w:rFonts w:hint="eastAsia" w:ascii="仿宋" w:hAnsi="仿宋" w:cs="仿宋"/>
          <w:b/>
          <w:color w:val="000000"/>
          <w:kern w:val="0"/>
          <w:sz w:val="31"/>
          <w:szCs w:val="31"/>
          <w:lang w:val="en-US" w:eastAsia="zh-CN" w:bidi="ar"/>
        </w:rPr>
        <w:t>5</w:t>
      </w:r>
      <w:r>
        <w:rPr>
          <w:rFonts w:hint="eastAsia" w:ascii="仿宋" w:hAnsi="仿宋" w:eastAsia="仿宋" w:cs="仿宋"/>
          <w:b/>
          <w:color w:val="000000"/>
          <w:kern w:val="0"/>
          <w:sz w:val="31"/>
          <w:szCs w:val="31"/>
          <w:lang w:val="en-US" w:eastAsia="zh-CN" w:bidi="ar"/>
        </w:rPr>
        <w:t xml:space="preserve">项）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1.</w:t>
      </w:r>
      <w:r>
        <w:rPr>
          <w:rFonts w:hint="eastAsia" w:ascii="宋体" w:hAnsi="宋体" w:cs="宋体"/>
          <w:kern w:val="0"/>
          <w:szCs w:val="21"/>
        </w:rPr>
        <w:t>对林木种子生产经营活动的监督检查</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ind w:firstLine="620" w:firstLineChars="200"/>
        <w:jc w:val="left"/>
        <w:rPr>
          <w:rFonts w:hint="eastAsia" w:ascii="仿宋" w:hAnsi="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检查依据：《中华人民共和国行政许可法》第十条</w:t>
      </w:r>
      <w:r>
        <w:rPr>
          <w:rFonts w:hint="eastAsia" w:ascii="仿宋" w:hAnsi="仿宋" w:cs="仿宋"/>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《中华人民共和国种子法》第四十七条</w:t>
      </w:r>
      <w:r>
        <w:rPr>
          <w:rFonts w:hint="eastAsia" w:ascii="仿宋" w:hAnsi="仿宋" w:cs="仿宋"/>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《林木种子生产经营许可证管理办法》第十九条</w:t>
      </w:r>
      <w:r>
        <w:rPr>
          <w:rFonts w:hint="eastAsia" w:ascii="仿宋" w:hAnsi="仿宋" w:cs="仿宋"/>
          <w:color w:val="000000"/>
          <w:kern w:val="0"/>
          <w:sz w:val="31"/>
          <w:szCs w:val="31"/>
          <w:lang w:val="en-US" w:eastAsia="zh-CN" w:bidi="ar"/>
        </w:rPr>
        <w:t>。</w:t>
      </w:r>
    </w:p>
    <w:p>
      <w:pPr>
        <w:keepNext w:val="0"/>
        <w:keepLines w:val="0"/>
        <w:widowControl/>
        <w:suppressLineNumbers w:val="0"/>
        <w:ind w:firstLine="620" w:firstLineChars="200"/>
        <w:jc w:val="left"/>
        <w:rPr>
          <w:rFonts w:hint="eastAsia" w:ascii="仿宋" w:hAnsi="仿宋" w:cs="仿宋"/>
          <w:color w:val="000000"/>
          <w:kern w:val="0"/>
          <w:sz w:val="31"/>
          <w:szCs w:val="31"/>
          <w:lang w:val="en-US" w:eastAsia="zh-CN" w:bidi="ar"/>
        </w:rPr>
      </w:pPr>
      <w:r>
        <w:rPr>
          <w:rFonts w:hint="eastAsia" w:ascii="仿宋" w:hAnsi="仿宋" w:cs="仿宋"/>
          <w:color w:val="000000"/>
          <w:kern w:val="0"/>
          <w:sz w:val="31"/>
          <w:szCs w:val="31"/>
          <w:lang w:val="en-US" w:eastAsia="zh-CN" w:bidi="ar"/>
        </w:rPr>
        <w:t>检查对象：林木种子生产经营许可证在有效期内的单位或个人</w:t>
      </w:r>
    </w:p>
    <w:p>
      <w:pPr>
        <w:keepNext w:val="0"/>
        <w:keepLines w:val="0"/>
        <w:widowControl/>
        <w:numPr>
          <w:ilvl w:val="0"/>
          <w:numId w:val="0"/>
        </w:numPr>
        <w:suppressLineNumbers w:val="0"/>
        <w:ind w:firstLine="620" w:firstLineChars="200"/>
        <w:jc w:val="left"/>
        <w:rPr>
          <w:rFonts w:hint="eastAsia" w:ascii="宋体" w:hAnsi="宋体" w:cs="宋体"/>
          <w:szCs w:val="21"/>
          <w:lang w:eastAsia="zh-CN"/>
        </w:rPr>
      </w:pPr>
      <w:r>
        <w:rPr>
          <w:rFonts w:hint="eastAsia" w:ascii="仿宋" w:hAnsi="仿宋" w:eastAsia="仿宋" w:cs="仿宋"/>
          <w:color w:val="000000"/>
          <w:kern w:val="0"/>
          <w:sz w:val="31"/>
          <w:szCs w:val="31"/>
          <w:lang w:val="en-US" w:eastAsia="zh-CN" w:bidi="ar"/>
        </w:rPr>
        <w:t xml:space="preserve">检查内容： </w:t>
      </w:r>
      <w:r>
        <w:rPr>
          <w:rFonts w:hint="eastAsia" w:ascii="仿宋" w:hAnsi="仿宋" w:cs="仿宋"/>
          <w:color w:val="000000"/>
          <w:kern w:val="0"/>
          <w:sz w:val="31"/>
          <w:szCs w:val="31"/>
          <w:lang w:val="en-US" w:eastAsia="zh-CN" w:bidi="ar"/>
        </w:rPr>
        <w:t>（一）</w:t>
      </w:r>
      <w:r>
        <w:rPr>
          <w:rFonts w:hint="eastAsia" w:ascii="宋体" w:hAnsi="宋体" w:cs="宋体"/>
          <w:sz w:val="36"/>
          <w:szCs w:val="36"/>
          <w:lang w:eastAsia="zh-CN"/>
        </w:rPr>
        <w:t>是否按照行政许可登记的范围、方式、有效期和生产经营种类等从事林木种子生产经营活动；</w:t>
      </w:r>
      <w:r>
        <w:rPr>
          <w:rFonts w:hint="eastAsia" w:ascii="宋体" w:hAnsi="宋体" w:cs="宋体"/>
          <w:szCs w:val="21"/>
          <w:lang w:eastAsia="zh-CN"/>
        </w:rPr>
        <w:t>（二）林木种子生产经营档案等制度建立和执行情况；（三）执行标签、包装、质量检验、广告制度的情况；（四）</w:t>
      </w:r>
      <w:r>
        <w:rPr>
          <w:rFonts w:hint="eastAsia" w:ascii="宋体" w:hAnsi="宋体" w:cs="宋体"/>
          <w:szCs w:val="21"/>
        </w:rPr>
        <w:t>生产经营的林木种子质量情况</w:t>
      </w:r>
      <w:r>
        <w:rPr>
          <w:rFonts w:hint="eastAsia" w:ascii="宋体" w:hAnsi="宋体" w:cs="宋体"/>
          <w:szCs w:val="21"/>
          <w:lang w:eastAsia="zh-CN"/>
        </w:rPr>
        <w:t>；（五）有无违规引种、超范围推广良种情况；</w:t>
      </w:r>
    </w:p>
    <w:p>
      <w:pPr>
        <w:keepNext w:val="0"/>
        <w:keepLines w:val="0"/>
        <w:widowControl/>
        <w:numPr>
          <w:ilvl w:val="0"/>
          <w:numId w:val="1"/>
        </w:numPr>
        <w:suppressLineNumbers w:val="0"/>
        <w:jc w:val="left"/>
        <w:rPr>
          <w:rFonts w:hint="eastAsia" w:ascii="仿宋" w:hAnsi="仿宋" w:cs="仿宋"/>
          <w:color w:val="000000"/>
          <w:kern w:val="0"/>
          <w:sz w:val="31"/>
          <w:szCs w:val="31"/>
          <w:lang w:val="en-US" w:eastAsia="zh-CN" w:bidi="ar"/>
        </w:rPr>
      </w:pPr>
      <w:r>
        <w:rPr>
          <w:rFonts w:hint="eastAsia" w:ascii="宋体" w:hAnsi="宋体" w:cs="宋体"/>
          <w:szCs w:val="21"/>
          <w:lang w:eastAsia="zh-CN"/>
        </w:rPr>
        <w:t>其他应当遵守国家法律、法规、政策的情况。</w:t>
      </w:r>
    </w:p>
    <w:p>
      <w:pPr>
        <w:keepNext w:val="0"/>
        <w:keepLines w:val="0"/>
        <w:widowControl/>
        <w:numPr>
          <w:ilvl w:val="0"/>
          <w:numId w:val="0"/>
        </w:numPr>
        <w:suppressLineNumbers w:val="0"/>
        <w:ind w:firstLine="620" w:firstLineChars="200"/>
        <w:jc w:val="left"/>
        <w:rPr>
          <w:rFonts w:hint="default" w:ascii="仿宋" w:hAnsi="仿宋" w:eastAsia="仿宋" w:cs="仿宋"/>
          <w:color w:val="000000"/>
          <w:kern w:val="0"/>
          <w:sz w:val="31"/>
          <w:szCs w:val="31"/>
          <w:lang w:val="en-US" w:eastAsia="zh-CN" w:bidi="ar"/>
        </w:rPr>
      </w:pPr>
      <w:r>
        <w:rPr>
          <w:rFonts w:hint="eastAsia" w:ascii="仿宋" w:hAnsi="仿宋" w:cs="仿宋"/>
          <w:color w:val="000000"/>
          <w:kern w:val="0"/>
          <w:sz w:val="31"/>
          <w:szCs w:val="31"/>
          <w:lang w:val="en-US" w:eastAsia="zh-CN" w:bidi="ar"/>
        </w:rPr>
        <w:t>2.</w:t>
      </w:r>
      <w:r>
        <w:rPr>
          <w:rFonts w:hint="eastAsia" w:ascii="宋体" w:hAnsi="宋体" w:cs="宋体"/>
          <w:szCs w:val="21"/>
        </w:rPr>
        <w:t>对野生动物驯养繁殖的抽查</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检查依据：《中华人民共和国行政许可法》第十条</w:t>
      </w:r>
      <w:r>
        <w:rPr>
          <w:rFonts w:hint="eastAsia" w:ascii="仿宋" w:hAnsi="仿宋" w:cs="仿宋"/>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《中华人民共和国野生动物保护法》）第二十五条</w:t>
      </w:r>
      <w:r>
        <w:rPr>
          <w:rFonts w:hint="eastAsia" w:ascii="仿宋" w:hAnsi="仿宋" w:cs="仿宋"/>
          <w:color w:val="000000"/>
          <w:kern w:val="0"/>
          <w:sz w:val="31"/>
          <w:szCs w:val="31"/>
          <w:lang w:val="en-US" w:eastAsia="zh-CN" w:bidi="ar"/>
        </w:rPr>
        <w:t>。</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检查对象：</w:t>
      </w:r>
      <w:r>
        <w:rPr>
          <w:rFonts w:hint="eastAsia" w:ascii="宋体" w:hAnsi="宋体" w:cs="宋体"/>
          <w:szCs w:val="21"/>
        </w:rPr>
        <w:t>野生动物驯养繁殖单位和个人</w:t>
      </w:r>
    </w:p>
    <w:p>
      <w:pPr>
        <w:keepNext w:val="0"/>
        <w:keepLines w:val="0"/>
        <w:widowControl/>
        <w:numPr>
          <w:ilvl w:val="0"/>
          <w:numId w:val="0"/>
        </w:numPr>
        <w:suppressLineNumbers w:val="0"/>
        <w:ind w:leftChars="0" w:firstLine="620" w:firstLineChars="200"/>
        <w:jc w:val="left"/>
        <w:rPr>
          <w:rFonts w:hint="eastAsia" w:ascii="仿宋" w:hAnsi="仿宋" w:cs="仿宋"/>
          <w:color w:val="000000"/>
          <w:kern w:val="0"/>
          <w:sz w:val="31"/>
          <w:szCs w:val="31"/>
          <w:lang w:val="en-US" w:eastAsia="zh-CN" w:bidi="ar"/>
        </w:rPr>
      </w:pPr>
      <w:r>
        <w:rPr>
          <w:rFonts w:ascii="仿宋" w:hAnsi="仿宋" w:eastAsia="仿宋" w:cs="仿宋"/>
          <w:color w:val="000000"/>
          <w:kern w:val="0"/>
          <w:sz w:val="31"/>
          <w:szCs w:val="31"/>
          <w:lang w:val="en-US" w:eastAsia="zh-CN" w:bidi="ar"/>
        </w:rPr>
        <w:t xml:space="preserve">检查内容： </w:t>
      </w:r>
      <w:r>
        <w:rPr>
          <w:rFonts w:hint="eastAsia" w:ascii="仿宋" w:hAnsi="仿宋" w:cs="仿宋"/>
          <w:color w:val="000000"/>
          <w:kern w:val="0"/>
          <w:sz w:val="31"/>
          <w:szCs w:val="31"/>
          <w:lang w:val="en-US" w:eastAsia="zh-CN" w:bidi="ar"/>
        </w:rPr>
        <w:t>（一）驯养繁殖种类是否与批准一致；（二）是否按要求建立野生动物管理台账；驯养繁殖数量是否与管理台账一致，或与调进调出批文一致；（三）林麝、黑熊、灵长类实验动物等敏感物种是否建立遗传谱系档案；（四）野生动物引进、调出、经营利用等是否履行了相关行政许可程序；（五）其他应当遵守国家法律、法规、政策的情况。</w:t>
      </w:r>
    </w:p>
    <w:p>
      <w:pPr>
        <w:keepNext w:val="0"/>
        <w:keepLines w:val="0"/>
        <w:widowControl/>
        <w:numPr>
          <w:ilvl w:val="0"/>
          <w:numId w:val="0"/>
        </w:numPr>
        <w:suppressLineNumbers w:val="0"/>
        <w:ind w:leftChars="0" w:firstLine="640" w:firstLineChars="200"/>
        <w:jc w:val="left"/>
        <w:rPr>
          <w:rFonts w:hint="eastAsia" w:ascii="宋体" w:hAnsi="宋体" w:eastAsia="仿宋" w:cs="宋体"/>
          <w:szCs w:val="21"/>
          <w:lang w:eastAsia="zh-CN"/>
        </w:rPr>
      </w:pPr>
      <w:r>
        <w:rPr>
          <w:rFonts w:hint="eastAsia" w:ascii="宋体" w:hAnsi="宋体" w:cs="宋体"/>
          <w:szCs w:val="21"/>
          <w:lang w:val="en-US" w:eastAsia="zh-CN"/>
        </w:rPr>
        <w:t>3.</w:t>
      </w:r>
      <w:r>
        <w:rPr>
          <w:rFonts w:hint="eastAsia" w:ascii="宋体" w:hAnsi="宋体" w:cs="宋体"/>
          <w:szCs w:val="21"/>
        </w:rPr>
        <w:t>对野生动物及其制品经营利用的抽查</w:t>
      </w:r>
    </w:p>
    <w:p>
      <w:pPr>
        <w:keepNext w:val="0"/>
        <w:keepLines w:val="0"/>
        <w:widowControl/>
        <w:numPr>
          <w:ilvl w:val="0"/>
          <w:numId w:val="0"/>
        </w:numPr>
        <w:suppressLineNumbers w:val="0"/>
        <w:ind w:leftChars="0" w:firstLine="620" w:firstLineChars="200"/>
        <w:jc w:val="left"/>
        <w:rPr>
          <w:rFonts w:hint="eastAsia" w:ascii="仿宋" w:hAnsi="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检查依据：《中华人民共和国陆生野生动物保护实施条例》第二十八</w:t>
      </w:r>
      <w:r>
        <w:rPr>
          <w:rFonts w:hint="eastAsia" w:ascii="仿宋" w:hAnsi="仿宋" w:cs="仿宋"/>
          <w:color w:val="000000"/>
          <w:kern w:val="0"/>
          <w:sz w:val="31"/>
          <w:szCs w:val="31"/>
          <w:lang w:val="en-US" w:eastAsia="zh-CN" w:bidi="ar"/>
        </w:rPr>
        <w:t>条。</w:t>
      </w:r>
    </w:p>
    <w:p>
      <w:pPr>
        <w:keepNext w:val="0"/>
        <w:keepLines w:val="0"/>
        <w:widowControl/>
        <w:numPr>
          <w:ilvl w:val="0"/>
          <w:numId w:val="0"/>
        </w:numPr>
        <w:suppressLineNumbers w:val="0"/>
        <w:ind w:leftChars="0" w:firstLine="620" w:firstLineChars="200"/>
        <w:jc w:val="left"/>
        <w:rPr>
          <w:rFonts w:hint="eastAsia" w:ascii="仿宋" w:hAnsi="仿宋" w:cs="仿宋"/>
          <w:color w:val="000000"/>
          <w:kern w:val="0"/>
          <w:sz w:val="31"/>
          <w:szCs w:val="31"/>
          <w:lang w:val="en-US" w:eastAsia="zh-CN" w:bidi="ar"/>
        </w:rPr>
      </w:pPr>
      <w:r>
        <w:rPr>
          <w:rFonts w:hint="eastAsia" w:ascii="仿宋" w:hAnsi="仿宋" w:cs="仿宋"/>
          <w:color w:val="000000"/>
          <w:kern w:val="0"/>
          <w:sz w:val="31"/>
          <w:szCs w:val="31"/>
          <w:lang w:val="en-US" w:eastAsia="zh-CN" w:bidi="ar"/>
        </w:rPr>
        <w:t>检查对象：野生动物及其制品经营利用单位和个人</w:t>
      </w:r>
    </w:p>
    <w:p>
      <w:pPr>
        <w:keepNext w:val="0"/>
        <w:keepLines w:val="0"/>
        <w:widowControl/>
        <w:numPr>
          <w:ilvl w:val="0"/>
          <w:numId w:val="0"/>
        </w:numPr>
        <w:suppressLineNumbers w:val="0"/>
        <w:ind w:leftChars="0" w:firstLine="620" w:firstLineChars="200"/>
        <w:jc w:val="left"/>
        <w:rPr>
          <w:rFonts w:hint="eastAsia" w:ascii="仿宋" w:hAnsi="仿宋" w:cs="仿宋"/>
          <w:color w:val="000000"/>
          <w:kern w:val="0"/>
          <w:sz w:val="31"/>
          <w:szCs w:val="31"/>
          <w:lang w:val="en-US" w:eastAsia="zh-CN" w:bidi="ar"/>
        </w:rPr>
      </w:pPr>
      <w:r>
        <w:rPr>
          <w:rFonts w:hint="eastAsia" w:ascii="仿宋" w:hAnsi="仿宋" w:cs="仿宋"/>
          <w:color w:val="000000"/>
          <w:kern w:val="0"/>
          <w:sz w:val="31"/>
          <w:szCs w:val="31"/>
          <w:lang w:val="en-US" w:eastAsia="zh-CN" w:bidi="ar"/>
        </w:rPr>
        <w:t>检查内容：（一）野生动物及其制品的种类和数量以及经营场所是否在批准范围内；（二）经营户是否建立经营利用野生动物及其制品的台账（包括且不限于种类、数量、销售额、库存等）。</w:t>
      </w:r>
    </w:p>
    <w:p>
      <w:pPr>
        <w:keepNext w:val="0"/>
        <w:keepLines w:val="0"/>
        <w:widowControl/>
        <w:numPr>
          <w:ilvl w:val="0"/>
          <w:numId w:val="0"/>
        </w:numPr>
        <w:suppressLineNumbers w:val="0"/>
        <w:ind w:firstLine="620" w:firstLineChars="200"/>
        <w:jc w:val="left"/>
        <w:rPr>
          <w:rFonts w:hint="default" w:ascii="仿宋" w:hAnsi="仿宋" w:cs="仿宋"/>
          <w:color w:val="000000"/>
          <w:kern w:val="0"/>
          <w:sz w:val="31"/>
          <w:szCs w:val="31"/>
          <w:lang w:val="en-US" w:eastAsia="zh-CN" w:bidi="ar"/>
        </w:rPr>
      </w:pPr>
      <w:r>
        <w:rPr>
          <w:rFonts w:hint="eastAsia" w:ascii="仿宋" w:hAnsi="仿宋" w:cs="仿宋"/>
          <w:color w:val="000000"/>
          <w:kern w:val="0"/>
          <w:sz w:val="31"/>
          <w:szCs w:val="31"/>
          <w:lang w:val="en-US" w:eastAsia="zh-CN" w:bidi="ar"/>
        </w:rPr>
        <w:t>4.</w:t>
      </w:r>
      <w:r>
        <w:rPr>
          <w:rFonts w:hint="eastAsia" w:ascii="宋体" w:hAnsi="宋体" w:cs="宋体"/>
          <w:szCs w:val="21"/>
        </w:rPr>
        <w:t>木材经营加工监督检查</w:t>
      </w:r>
    </w:p>
    <w:p>
      <w:pPr>
        <w:keepNext w:val="0"/>
        <w:keepLines w:val="0"/>
        <w:widowControl/>
        <w:numPr>
          <w:ilvl w:val="0"/>
          <w:numId w:val="0"/>
        </w:numPr>
        <w:suppressLineNumbers w:val="0"/>
        <w:ind w:firstLine="620" w:firstLineChars="200"/>
        <w:jc w:val="left"/>
        <w:rPr>
          <w:rFonts w:hint="eastAsia" w:ascii="仿宋" w:hAnsi="仿宋" w:cs="仿宋"/>
          <w:color w:val="000000"/>
          <w:kern w:val="0"/>
          <w:sz w:val="31"/>
          <w:szCs w:val="31"/>
          <w:lang w:val="en-US" w:eastAsia="zh-CN" w:bidi="ar"/>
        </w:rPr>
      </w:pPr>
      <w:r>
        <w:rPr>
          <w:rFonts w:hint="eastAsia" w:ascii="仿宋" w:hAnsi="仿宋" w:cs="仿宋"/>
          <w:color w:val="000000"/>
          <w:kern w:val="0"/>
          <w:sz w:val="31"/>
          <w:szCs w:val="31"/>
          <w:lang w:val="en-US" w:eastAsia="zh-CN" w:bidi="ar"/>
        </w:rPr>
        <w:t>检查依据：《中华人民共和国行政许可法》第十条、《中华人民共和国森林法》第六十六条。</w:t>
      </w:r>
    </w:p>
    <w:p>
      <w:pPr>
        <w:keepNext w:val="0"/>
        <w:keepLines w:val="0"/>
        <w:widowControl/>
        <w:numPr>
          <w:ilvl w:val="0"/>
          <w:numId w:val="0"/>
        </w:numPr>
        <w:suppressLineNumbers w:val="0"/>
        <w:ind w:firstLine="640" w:firstLineChars="200"/>
        <w:jc w:val="left"/>
        <w:rPr>
          <w:rFonts w:hint="eastAsia" w:ascii="宋体" w:hAnsi="宋体" w:cs="宋体"/>
          <w:szCs w:val="21"/>
          <w:lang w:eastAsia="zh-CN"/>
        </w:rPr>
      </w:pPr>
      <w:r>
        <w:rPr>
          <w:rFonts w:hint="eastAsia" w:ascii="宋体" w:hAnsi="宋体" w:cs="宋体"/>
          <w:szCs w:val="21"/>
          <w:lang w:eastAsia="zh-CN"/>
        </w:rPr>
        <w:t>检查对象：</w:t>
      </w:r>
      <w:r>
        <w:rPr>
          <w:rFonts w:hint="eastAsia" w:ascii="宋体" w:hAnsi="宋体" w:cs="宋体"/>
          <w:szCs w:val="21"/>
        </w:rPr>
        <w:t>从事木材经营加工的单位和个人</w:t>
      </w:r>
    </w:p>
    <w:p>
      <w:pPr>
        <w:keepNext w:val="0"/>
        <w:keepLines w:val="0"/>
        <w:widowControl/>
        <w:numPr>
          <w:ilvl w:val="0"/>
          <w:numId w:val="0"/>
        </w:numPr>
        <w:suppressLineNumbers w:val="0"/>
        <w:ind w:firstLine="620" w:firstLineChars="200"/>
        <w:jc w:val="left"/>
        <w:rPr>
          <w:rFonts w:hint="eastAsia" w:ascii="宋体" w:hAnsi="宋体" w:eastAsia="仿宋" w:cs="宋体"/>
          <w:szCs w:val="21"/>
          <w:lang w:eastAsia="zh-CN"/>
        </w:rPr>
      </w:pPr>
      <w:r>
        <w:rPr>
          <w:rFonts w:hint="eastAsia" w:ascii="仿宋" w:hAnsi="仿宋" w:cs="仿宋"/>
          <w:color w:val="000000"/>
          <w:kern w:val="0"/>
          <w:sz w:val="31"/>
          <w:szCs w:val="31"/>
          <w:lang w:val="en-US" w:eastAsia="zh-CN" w:bidi="ar"/>
        </w:rPr>
        <w:t>检查内容：</w:t>
      </w:r>
      <w:r>
        <w:rPr>
          <w:rFonts w:hint="eastAsia" w:ascii="宋体" w:hAnsi="宋体" w:cs="宋体"/>
          <w:szCs w:val="21"/>
          <w:lang w:eastAsia="zh-CN"/>
        </w:rPr>
        <w:t>（一）</w:t>
      </w:r>
      <w:r>
        <w:rPr>
          <w:rFonts w:hint="eastAsia" w:ascii="宋体" w:hAnsi="宋体" w:cs="宋体"/>
          <w:szCs w:val="21"/>
        </w:rPr>
        <w:t>检查木材来源是否合法；</w:t>
      </w:r>
      <w:r>
        <w:rPr>
          <w:rFonts w:hint="eastAsia" w:ascii="宋体" w:hAnsi="宋体" w:cs="宋体"/>
          <w:szCs w:val="21"/>
          <w:lang w:eastAsia="zh-CN"/>
        </w:rPr>
        <w:t>（二）</w:t>
      </w:r>
      <w:r>
        <w:rPr>
          <w:rFonts w:hint="eastAsia" w:ascii="宋体" w:hAnsi="宋体" w:cs="宋体"/>
          <w:szCs w:val="21"/>
        </w:rPr>
        <w:t>检查企业木材原料和生产产品的入库、出库台账是否建立；</w:t>
      </w:r>
      <w:r>
        <w:rPr>
          <w:rFonts w:hint="eastAsia" w:ascii="宋体" w:hAnsi="宋体" w:cs="宋体"/>
          <w:szCs w:val="21"/>
          <w:lang w:eastAsia="zh-CN"/>
        </w:rPr>
        <w:t>（三）检查</w:t>
      </w:r>
      <w:r>
        <w:rPr>
          <w:rFonts w:hint="eastAsia" w:ascii="宋体" w:hAnsi="宋体" w:cs="宋体"/>
          <w:szCs w:val="21"/>
        </w:rPr>
        <w:t>是否安全生产</w:t>
      </w:r>
      <w:r>
        <w:rPr>
          <w:rFonts w:hint="eastAsia" w:ascii="宋体" w:hAnsi="宋体" w:cs="宋体"/>
          <w:szCs w:val="21"/>
          <w:lang w:eastAsia="zh-CN"/>
        </w:rPr>
        <w:t>；</w:t>
      </w:r>
      <w:r>
        <w:rPr>
          <w:rFonts w:hint="eastAsia" w:ascii="宋体" w:hAnsi="宋体" w:cs="宋体"/>
          <w:szCs w:val="21"/>
          <w:lang w:val="en-US" w:eastAsia="zh-CN"/>
        </w:rPr>
        <w:t>（四）</w:t>
      </w:r>
      <w:r>
        <w:rPr>
          <w:rFonts w:hint="eastAsia" w:ascii="宋体" w:hAnsi="宋体" w:cs="宋体"/>
          <w:szCs w:val="21"/>
        </w:rPr>
        <w:t>其他应当遵守国家法律、法规、政策的情况</w:t>
      </w:r>
      <w:r>
        <w:rPr>
          <w:rFonts w:hint="eastAsia" w:ascii="宋体" w:hAnsi="宋体" w:cs="宋体"/>
          <w:szCs w:val="21"/>
          <w:lang w:eastAsia="zh-CN"/>
        </w:rPr>
        <w:t>。</w:t>
      </w:r>
    </w:p>
    <w:p>
      <w:pPr>
        <w:keepNext w:val="0"/>
        <w:keepLines w:val="0"/>
        <w:widowControl/>
        <w:numPr>
          <w:ilvl w:val="0"/>
          <w:numId w:val="0"/>
        </w:numPr>
        <w:suppressLineNumbers w:val="0"/>
        <w:ind w:leftChars="0" w:firstLine="640" w:firstLineChars="200"/>
        <w:jc w:val="left"/>
        <w:rPr>
          <w:rFonts w:hint="eastAsia" w:ascii="宋体" w:hAnsi="宋体" w:eastAsia="仿宋" w:cs="宋体"/>
          <w:kern w:val="0"/>
          <w:szCs w:val="21"/>
          <w:lang w:val="en-US" w:eastAsia="zh-CN"/>
        </w:rPr>
      </w:pPr>
      <w:r>
        <w:rPr>
          <w:rFonts w:hint="eastAsia" w:ascii="宋体" w:hAnsi="宋体" w:cs="宋体"/>
          <w:kern w:val="0"/>
          <w:szCs w:val="21"/>
          <w:lang w:val="en-US" w:eastAsia="zh-CN"/>
        </w:rPr>
        <w:t>5.</w:t>
      </w:r>
      <w:r>
        <w:rPr>
          <w:rFonts w:hint="eastAsia" w:ascii="宋体" w:hAnsi="宋体" w:cs="宋体"/>
          <w:szCs w:val="21"/>
        </w:rPr>
        <w:t>对进入自然保护地建立机构和修筑设施的监督检查</w:t>
      </w:r>
    </w:p>
    <w:p>
      <w:pPr>
        <w:keepNext w:val="0"/>
        <w:keepLines w:val="0"/>
        <w:widowControl/>
        <w:numPr>
          <w:ilvl w:val="0"/>
          <w:numId w:val="0"/>
        </w:numPr>
        <w:suppressLineNumbers w:val="0"/>
        <w:ind w:leftChars="0" w:firstLine="640" w:firstLineChars="200"/>
        <w:jc w:val="left"/>
        <w:rPr>
          <w:rFonts w:hint="eastAsia" w:ascii="宋体" w:hAnsi="宋体" w:cs="宋体"/>
          <w:kern w:val="0"/>
          <w:szCs w:val="21"/>
          <w:lang w:val="en-US" w:eastAsia="zh-CN"/>
        </w:rPr>
      </w:pPr>
      <w:r>
        <w:rPr>
          <w:rFonts w:hint="eastAsia" w:ascii="宋体" w:hAnsi="宋体" w:cs="宋体"/>
          <w:kern w:val="0"/>
          <w:szCs w:val="21"/>
          <w:lang w:val="en-US" w:eastAsia="zh-CN"/>
        </w:rPr>
        <w:t>检查依据：《中华人民共和国自然保护区条例》第二十条、第三十二条。</w:t>
      </w:r>
    </w:p>
    <w:p>
      <w:pPr>
        <w:keepNext w:val="0"/>
        <w:keepLines w:val="0"/>
        <w:widowControl/>
        <w:numPr>
          <w:ilvl w:val="0"/>
          <w:numId w:val="0"/>
        </w:numPr>
        <w:suppressLineNumbers w:val="0"/>
        <w:ind w:leftChars="0" w:firstLine="640" w:firstLineChars="200"/>
        <w:jc w:val="left"/>
        <w:rPr>
          <w:rFonts w:hint="eastAsia" w:ascii="宋体" w:hAnsi="宋体" w:eastAsia="仿宋" w:cs="宋体"/>
          <w:kern w:val="0"/>
          <w:szCs w:val="21"/>
          <w:lang w:val="en-US" w:eastAsia="zh-CN"/>
        </w:rPr>
      </w:pPr>
      <w:r>
        <w:rPr>
          <w:rFonts w:hint="eastAsia" w:ascii="宋体" w:hAnsi="宋体" w:cs="宋体"/>
          <w:kern w:val="0"/>
          <w:szCs w:val="21"/>
          <w:lang w:val="en-US" w:eastAsia="zh-CN"/>
        </w:rPr>
        <w:t>检查对象：</w:t>
      </w:r>
      <w:r>
        <w:rPr>
          <w:rFonts w:hint="eastAsia" w:ascii="宋体" w:hAnsi="宋体" w:cs="宋体"/>
          <w:szCs w:val="21"/>
        </w:rPr>
        <w:t>自然保护地管理机构</w:t>
      </w:r>
      <w:r>
        <w:rPr>
          <w:rFonts w:hint="eastAsia" w:ascii="宋体" w:hAnsi="宋体" w:cs="宋体"/>
          <w:szCs w:val="21"/>
          <w:lang w:eastAsia="zh-CN"/>
        </w:rPr>
        <w:t>和建设业主单位</w:t>
      </w:r>
    </w:p>
    <w:p>
      <w:pPr>
        <w:keepNext w:val="0"/>
        <w:keepLines w:val="0"/>
        <w:widowControl/>
        <w:suppressLineNumbers w:val="0"/>
        <w:ind w:firstLine="640" w:firstLineChars="200"/>
        <w:jc w:val="left"/>
      </w:pPr>
      <w:r>
        <w:rPr>
          <w:rFonts w:hint="eastAsia" w:ascii="宋体" w:hAnsi="宋体" w:cs="宋体"/>
          <w:kern w:val="0"/>
          <w:szCs w:val="21"/>
          <w:lang w:val="en-US" w:eastAsia="zh-CN"/>
        </w:rPr>
        <w:t>检查内容：（一）建设项目占地位置和面积及工程规模是否与批复一致；（二）其他应当遵守国家法律、法规、政策的情况</w:t>
      </w:r>
      <w:r>
        <w:rPr>
          <w:rFonts w:hint="eastAsia" w:ascii="仿宋" w:hAnsi="仿宋" w:eastAsia="仿宋" w:cs="仿宋"/>
          <w:b/>
          <w:color w:val="000000"/>
          <w:kern w:val="0"/>
          <w:sz w:val="31"/>
          <w:szCs w:val="31"/>
          <w:lang w:val="en-US" w:eastAsia="zh-CN" w:bidi="ar"/>
        </w:rPr>
        <w:t>（二）202</w:t>
      </w:r>
      <w:r>
        <w:rPr>
          <w:rFonts w:hint="eastAsia" w:ascii="仿宋" w:hAnsi="仿宋" w:cs="仿宋"/>
          <w:b/>
          <w:color w:val="000000"/>
          <w:kern w:val="0"/>
          <w:sz w:val="31"/>
          <w:szCs w:val="31"/>
          <w:lang w:val="en-US" w:eastAsia="zh-CN" w:bidi="ar"/>
        </w:rPr>
        <w:t>1</w:t>
      </w:r>
      <w:r>
        <w:rPr>
          <w:rFonts w:hint="eastAsia" w:ascii="仿宋" w:hAnsi="仿宋" w:eastAsia="仿宋" w:cs="仿宋"/>
          <w:b/>
          <w:color w:val="000000"/>
          <w:kern w:val="0"/>
          <w:sz w:val="31"/>
          <w:szCs w:val="31"/>
          <w:lang w:val="en-US" w:eastAsia="zh-CN" w:bidi="ar"/>
        </w:rPr>
        <w:t xml:space="preserve"> 年双随机抽查计划 </w:t>
      </w:r>
    </w:p>
    <w:tbl>
      <w:tblPr>
        <w:tblStyle w:val="5"/>
        <w:tblW w:w="9006" w:type="dxa"/>
        <w:tblInd w:w="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3"/>
        <w:gridCol w:w="3110"/>
        <w:gridCol w:w="1200"/>
        <w:gridCol w:w="921"/>
        <w:gridCol w:w="809"/>
        <w:gridCol w:w="1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118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抽查事项</w:t>
            </w:r>
          </w:p>
        </w:tc>
        <w:tc>
          <w:tcPr>
            <w:tcW w:w="311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firstLine="482" w:firstLineChars="200"/>
              <w:jc w:val="left"/>
              <w:textAlignment w:val="auto"/>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抽查内容</w:t>
            </w:r>
          </w:p>
        </w:tc>
        <w:tc>
          <w:tcPr>
            <w:tcW w:w="12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抽取对象</w:t>
            </w:r>
          </w:p>
        </w:tc>
        <w:tc>
          <w:tcPr>
            <w:tcW w:w="9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抽查范围</w:t>
            </w:r>
          </w:p>
        </w:tc>
        <w:tc>
          <w:tcPr>
            <w:tcW w:w="80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抽查时间</w:t>
            </w:r>
          </w:p>
        </w:tc>
        <w:tc>
          <w:tcPr>
            <w:tcW w:w="178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抽查比例及频次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8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对林木种子生产经营活动的监督检查</w:t>
            </w:r>
          </w:p>
        </w:tc>
        <w:tc>
          <w:tcPr>
            <w:tcW w:w="311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1.是否按照行政许可登记的范围、方式、有效期和生产经营种类等从事林木种子生产经营活动；</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2.林木种子生产经营档案等制度建立和执行情况；</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3.执行标签、包装、质量检验、广告制度的情况；</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4.生产经营的林木种子质量情况；</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5.有无违规引种、超范围推广良种情况；</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6.其他应当遵守国家法律、法规、政策的情况</w:t>
            </w:r>
          </w:p>
        </w:tc>
        <w:tc>
          <w:tcPr>
            <w:tcW w:w="12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林木种子生产经营许可证在有效期内的单位或个人</w:t>
            </w:r>
          </w:p>
        </w:tc>
        <w:tc>
          <w:tcPr>
            <w:tcW w:w="9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全市</w:t>
            </w:r>
          </w:p>
        </w:tc>
        <w:tc>
          <w:tcPr>
            <w:tcW w:w="80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局统一安排</w:t>
            </w:r>
          </w:p>
        </w:tc>
        <w:tc>
          <w:tcPr>
            <w:tcW w:w="178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抽查比例不超过抽查对象名录库的20%；同一年度对同一单位（人）的抽查次数为1次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18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对野生动物驯养繁殖的抽查</w:t>
            </w:r>
          </w:p>
        </w:tc>
        <w:tc>
          <w:tcPr>
            <w:tcW w:w="311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1.驯养繁殖种类是否与批准一致；</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2.是否按要求建立野生动物管理台账；驯养繁殖数量是否与管理台账一致，或与调进调出批文一致；</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3.林麝、黑熊、灵长类实验动物等敏感物种是否建立遗传谱系档案；</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4.野生动物引进、调出、经营利用等是否履行了相关行政许可程序；</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5.其他应当遵守国家法律、法规、政策的情况</w:t>
            </w:r>
          </w:p>
        </w:tc>
        <w:tc>
          <w:tcPr>
            <w:tcW w:w="12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野生动物驯养繁殖单位和个人</w:t>
            </w:r>
          </w:p>
        </w:tc>
        <w:tc>
          <w:tcPr>
            <w:tcW w:w="9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全市</w:t>
            </w:r>
          </w:p>
        </w:tc>
        <w:tc>
          <w:tcPr>
            <w:tcW w:w="80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局统一安排</w:t>
            </w:r>
          </w:p>
        </w:tc>
        <w:tc>
          <w:tcPr>
            <w:tcW w:w="178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抽查比例为抽查对象名录库的10%；同一年度对同一单位（人）的抽查次数为1次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trPr>
        <w:tc>
          <w:tcPr>
            <w:tcW w:w="118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对野生动物及其制品经营利用的抽查</w:t>
            </w:r>
          </w:p>
        </w:tc>
        <w:tc>
          <w:tcPr>
            <w:tcW w:w="311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1.野生动物及其制品的种类和数量以及经营场所是否在批准范围内。</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2.经营户是否建立经营利用野生动物及其制品的台账（包括且不限于种类、数量、销售额、库存等）</w:t>
            </w:r>
          </w:p>
        </w:tc>
        <w:tc>
          <w:tcPr>
            <w:tcW w:w="12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野生动物及其制品经营利用单位和个人</w:t>
            </w:r>
          </w:p>
        </w:tc>
        <w:tc>
          <w:tcPr>
            <w:tcW w:w="9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全市</w:t>
            </w:r>
          </w:p>
        </w:tc>
        <w:tc>
          <w:tcPr>
            <w:tcW w:w="80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局统一安排</w:t>
            </w:r>
          </w:p>
        </w:tc>
        <w:tc>
          <w:tcPr>
            <w:tcW w:w="178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抽查比例为抽查对象名录库的10%；同一年度对同一单位（人）的抽查次数为1次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18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对木材经营加工监督检查</w:t>
            </w:r>
          </w:p>
        </w:tc>
        <w:tc>
          <w:tcPr>
            <w:tcW w:w="311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1.检查木材来源是否合法；</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2.检查企业木材原料和生产产品的入库、出库台账是否建立；</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3.检查是否安全生产；</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4.其他应当遵守国家法律、法规、政策的情况</w:t>
            </w:r>
          </w:p>
        </w:tc>
        <w:tc>
          <w:tcPr>
            <w:tcW w:w="12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从事木材经营加工的单位和个人</w:t>
            </w:r>
          </w:p>
        </w:tc>
        <w:tc>
          <w:tcPr>
            <w:tcW w:w="9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全市</w:t>
            </w:r>
          </w:p>
        </w:tc>
        <w:tc>
          <w:tcPr>
            <w:tcW w:w="80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局统一安排</w:t>
            </w:r>
          </w:p>
        </w:tc>
        <w:tc>
          <w:tcPr>
            <w:tcW w:w="178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抽查比例不少于抽查对象名录库的1%；同一年度对同一单位（人）的抽查次数为1次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118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对进入自然保护地建立机构和修筑设施的监督检查</w:t>
            </w:r>
          </w:p>
        </w:tc>
        <w:tc>
          <w:tcPr>
            <w:tcW w:w="311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1.建设项目占地位置和面积及工程规模是否与批复一致；</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2.其他应当遵守国家法律、法规、政策的情况</w:t>
            </w:r>
          </w:p>
        </w:tc>
        <w:tc>
          <w:tcPr>
            <w:tcW w:w="120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自然保护地管理机构和建设业主单位</w:t>
            </w:r>
          </w:p>
        </w:tc>
        <w:tc>
          <w:tcPr>
            <w:tcW w:w="9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全市</w:t>
            </w:r>
          </w:p>
        </w:tc>
        <w:tc>
          <w:tcPr>
            <w:tcW w:w="80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局统一安排</w:t>
            </w:r>
          </w:p>
        </w:tc>
        <w:tc>
          <w:tcPr>
            <w:tcW w:w="1783"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ascii="仿宋" w:hAnsi="仿宋" w:eastAsia="仿宋" w:cs="仿宋"/>
                <w:b w:val="0"/>
                <w:bCs/>
                <w:color w:val="000000"/>
                <w:kern w:val="0"/>
                <w:sz w:val="24"/>
                <w:szCs w:val="24"/>
                <w:lang w:val="en-US" w:eastAsia="zh-CN" w:bidi="ar"/>
              </w:rPr>
            </w:pPr>
            <w:r>
              <w:rPr>
                <w:rFonts w:hint="eastAsia" w:ascii="仿宋" w:hAnsi="仿宋" w:eastAsia="仿宋" w:cs="仿宋"/>
                <w:b w:val="0"/>
                <w:bCs/>
                <w:color w:val="000000"/>
                <w:kern w:val="0"/>
                <w:sz w:val="24"/>
                <w:szCs w:val="24"/>
                <w:lang w:val="en-US" w:eastAsia="zh-CN" w:bidi="ar"/>
              </w:rPr>
              <w:t>同一年度对同一单位的抽查次数为1次</w:t>
            </w:r>
          </w:p>
        </w:tc>
      </w:tr>
    </w:tbl>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p>
    <w:p>
      <w:pPr>
        <w:keepNext w:val="0"/>
        <w:keepLines w:val="0"/>
        <w:widowControl/>
        <w:suppressLineNumbers w:val="0"/>
        <w:ind w:firstLine="622" w:firstLineChars="200"/>
        <w:jc w:val="left"/>
        <w:rPr>
          <w:rFonts w:hint="default"/>
          <w:lang w:val="en-US"/>
        </w:rPr>
      </w:pPr>
      <w:r>
        <w:rPr>
          <w:rFonts w:hint="eastAsia" w:ascii="仿宋" w:hAnsi="仿宋" w:eastAsia="仿宋" w:cs="仿宋"/>
          <w:b/>
          <w:color w:val="000000"/>
          <w:kern w:val="0"/>
          <w:sz w:val="31"/>
          <w:szCs w:val="31"/>
          <w:lang w:val="en-US" w:eastAsia="zh-CN" w:bidi="ar"/>
        </w:rPr>
        <w:t xml:space="preserve">（三）检查对象名录库 </w:t>
      </w:r>
      <w:r>
        <w:rPr>
          <w:rFonts w:hint="eastAsia" w:ascii="仿宋" w:hAnsi="仿宋" w:cs="仿宋"/>
          <w:b/>
          <w:color w:val="000000"/>
          <w:kern w:val="0"/>
          <w:sz w:val="31"/>
          <w:szCs w:val="31"/>
          <w:lang w:val="en-US" w:eastAsia="zh-CN" w:bidi="ar"/>
        </w:rPr>
        <w:t>（共6306家）</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广元市市场主体信用信息共享交换平台</w:t>
      </w:r>
      <w:r>
        <w:rPr>
          <w:rFonts w:hint="eastAsia" w:ascii="仿宋" w:hAnsi="仿宋" w:cs="仿宋"/>
          <w:color w:val="000000"/>
          <w:kern w:val="0"/>
          <w:sz w:val="31"/>
          <w:szCs w:val="31"/>
          <w:lang w:val="en-US" w:eastAsia="zh-CN" w:bidi="ar"/>
        </w:rPr>
        <w:t>内市场主体库</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八、</w:t>
      </w:r>
      <w:r>
        <w:rPr>
          <w:rFonts w:ascii="仿宋" w:hAnsi="仿宋" w:eastAsia="仿宋" w:cs="仿宋"/>
          <w:b/>
          <w:color w:val="000000"/>
          <w:kern w:val="0"/>
          <w:sz w:val="31"/>
          <w:szCs w:val="31"/>
          <w:lang w:val="en-US" w:eastAsia="zh-CN" w:bidi="ar"/>
        </w:rPr>
        <w:t>广元市</w:t>
      </w:r>
      <w:r>
        <w:rPr>
          <w:rFonts w:hint="eastAsia" w:ascii="仿宋" w:hAnsi="仿宋" w:cs="仿宋"/>
          <w:b/>
          <w:color w:val="000000"/>
          <w:kern w:val="0"/>
          <w:sz w:val="31"/>
          <w:szCs w:val="31"/>
          <w:lang w:val="en-US" w:eastAsia="zh-CN" w:bidi="ar"/>
        </w:rPr>
        <w:t>林业</w:t>
      </w:r>
      <w:r>
        <w:rPr>
          <w:rFonts w:ascii="仿宋" w:hAnsi="仿宋" w:eastAsia="仿宋" w:cs="仿宋"/>
          <w:b/>
          <w:color w:val="000000"/>
          <w:kern w:val="0"/>
          <w:sz w:val="31"/>
          <w:szCs w:val="31"/>
          <w:lang w:val="en-US" w:eastAsia="zh-CN" w:bidi="ar"/>
        </w:rPr>
        <w:t>局行政执法文书样式、行政执法案卷评</w:t>
      </w:r>
      <w:r>
        <w:rPr>
          <w:rFonts w:hint="eastAsia" w:ascii="仿宋" w:hAnsi="仿宋" w:eastAsia="仿宋" w:cs="仿宋"/>
          <w:b/>
          <w:color w:val="000000"/>
          <w:kern w:val="0"/>
          <w:sz w:val="31"/>
          <w:szCs w:val="31"/>
          <w:lang w:val="en-US" w:eastAsia="zh-CN" w:bidi="ar"/>
        </w:rPr>
        <w:t>查制度</w:t>
      </w:r>
    </w:p>
    <w:p>
      <w:pPr>
        <w:keepNext w:val="0"/>
        <w:keepLines w:val="0"/>
        <w:widowControl/>
        <w:suppressLineNumbers w:val="0"/>
        <w:ind w:firstLine="620" w:firstLineChars="200"/>
        <w:jc w:val="left"/>
        <w:rPr>
          <w:rFonts w:hint="eastAsia" w:ascii="仿宋" w:hAnsi="仿宋" w:cs="仿宋"/>
          <w:color w:val="404040"/>
          <w:kern w:val="0"/>
          <w:sz w:val="31"/>
          <w:szCs w:val="31"/>
          <w:lang w:val="en-US" w:eastAsia="zh-CN" w:bidi="ar"/>
        </w:rPr>
      </w:pPr>
      <w:r>
        <w:rPr>
          <w:rFonts w:hint="eastAsia" w:ascii="仿宋" w:hAnsi="仿宋" w:eastAsia="仿宋" w:cs="仿宋"/>
          <w:color w:val="404040"/>
          <w:kern w:val="0"/>
          <w:sz w:val="31"/>
          <w:szCs w:val="31"/>
          <w:lang w:val="en-US" w:eastAsia="zh-CN" w:bidi="ar"/>
        </w:rPr>
        <w:t>（一）</w:t>
      </w:r>
      <w:r>
        <w:rPr>
          <w:rFonts w:hint="eastAsia" w:ascii="仿宋" w:hAnsi="仿宋" w:cs="仿宋"/>
          <w:color w:val="404040"/>
          <w:kern w:val="0"/>
          <w:sz w:val="31"/>
          <w:szCs w:val="31"/>
          <w:lang w:val="en-US" w:eastAsia="zh-CN" w:bidi="ar"/>
        </w:rPr>
        <w:t>林木采伐证、植物检疫证、种子生产、经营许可证、林地征占用批准书等行政许可文书为省林草局统一的行政许可文书样式。</w:t>
      </w:r>
    </w:p>
    <w:p>
      <w:pPr>
        <w:keepNext w:val="0"/>
        <w:keepLines w:val="0"/>
        <w:widowControl/>
        <w:suppressLineNumbers w:val="0"/>
        <w:ind w:firstLine="620" w:firstLineChars="200"/>
        <w:jc w:val="left"/>
      </w:pPr>
      <w:r>
        <w:rPr>
          <w:rFonts w:hint="eastAsia" w:ascii="仿宋" w:hAnsi="仿宋" w:eastAsia="仿宋" w:cs="仿宋"/>
          <w:color w:val="333333"/>
          <w:kern w:val="0"/>
          <w:sz w:val="31"/>
          <w:szCs w:val="31"/>
          <w:lang w:val="en-US" w:eastAsia="zh-CN" w:bidi="ar"/>
        </w:rPr>
        <w:t>（二）</w:t>
      </w:r>
      <w:r>
        <w:rPr>
          <w:rFonts w:hint="eastAsia" w:ascii="仿宋" w:hAnsi="仿宋" w:eastAsia="仿宋" w:cs="仿宋"/>
          <w:color w:val="000000"/>
          <w:kern w:val="0"/>
          <w:sz w:val="31"/>
          <w:szCs w:val="31"/>
          <w:lang w:val="en-US" w:eastAsia="zh-CN" w:bidi="ar"/>
        </w:rPr>
        <w:t>国家林业局关于印发林业行政处罚文书制作填写规范的通知</w:t>
      </w:r>
      <w:r>
        <w:rPr>
          <w:rFonts w:hint="eastAsia" w:ascii="仿宋" w:hAnsi="仿宋" w:eastAsia="仿宋" w:cs="仿宋"/>
          <w:color w:val="000000"/>
          <w:kern w:val="0"/>
          <w:sz w:val="31"/>
          <w:szCs w:val="31"/>
          <w:lang w:val="en-US" w:eastAsia="zh-CN" w:bidi="ar"/>
        </w:rPr>
        <w:br w:type="textWrapping"/>
      </w:r>
      <w:r>
        <w:rPr>
          <w:rFonts w:hint="eastAsia" w:ascii="仿宋" w:hAnsi="仿宋" w:eastAsia="仿宋" w:cs="仿宋"/>
          <w:color w:val="000000"/>
          <w:kern w:val="0"/>
          <w:sz w:val="31"/>
          <w:szCs w:val="31"/>
          <w:lang w:val="en-US" w:eastAsia="zh-CN" w:bidi="ar"/>
        </w:rPr>
        <w:t>（林策发〔2014〕38号</w:t>
      </w:r>
      <w:r>
        <w:rPr>
          <w:rFonts w:hint="eastAsia" w:ascii="仿宋" w:hAnsi="仿宋" w:cs="仿宋"/>
          <w:color w:val="000000"/>
          <w:kern w:val="0"/>
          <w:sz w:val="31"/>
          <w:szCs w:val="31"/>
          <w:lang w:val="en-US" w:eastAsia="zh-CN" w:bidi="ar"/>
        </w:rPr>
        <w:t>、</w:t>
      </w:r>
      <w:r>
        <w:rPr>
          <w:rFonts w:hint="eastAsia"/>
        </w:rPr>
        <w:t>四川省林业厅《关于统一印制和启用新修订的林业行政处罚文书的通知》（川林策函〔2013〕493号）</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（三）广元市司法局关于印发《广元市司法行政机关行政执法案卷评查办法》及相关配套规定的通知(广司发 [2011]86 号)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九、</w:t>
      </w:r>
      <w:r>
        <w:rPr>
          <w:rFonts w:hint="eastAsia" w:ascii="仿宋" w:hAnsi="仿宋" w:cs="仿宋"/>
          <w:color w:val="000000"/>
          <w:kern w:val="0"/>
          <w:sz w:val="31"/>
          <w:szCs w:val="31"/>
          <w:lang w:val="en-US" w:eastAsia="zh-CN" w:bidi="ar"/>
        </w:rPr>
        <w:t>广元市林业</w:t>
      </w:r>
      <w:r>
        <w:rPr>
          <w:rFonts w:ascii="仿宋" w:hAnsi="仿宋" w:eastAsia="仿宋" w:cs="仿宋"/>
          <w:color w:val="000000"/>
          <w:kern w:val="0"/>
          <w:sz w:val="31"/>
          <w:szCs w:val="31"/>
          <w:lang w:val="en-US" w:eastAsia="zh-CN" w:bidi="ar"/>
        </w:rPr>
        <w:t>局</w:t>
      </w:r>
      <w:r>
        <w:rPr>
          <w:rFonts w:hint="eastAsia" w:ascii="仿宋" w:hAnsi="仿宋" w:eastAsia="仿宋" w:cs="仿宋"/>
          <w:color w:val="000000"/>
          <w:kern w:val="0"/>
          <w:sz w:val="31"/>
          <w:szCs w:val="31"/>
          <w:lang w:val="en-US" w:eastAsia="zh-CN" w:bidi="ar"/>
        </w:rPr>
        <w:t xml:space="preserve">上年度双随机抽查结果、行政许可和处罚决定、上年度本机关行政执法数据总体情况 </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 xml:space="preserve">（一）上年度本机关行政执法数据总体情况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http://lyj.cngy.gov.cn/</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（二）行政许可和行政处罚决定公示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http://lyj.cngy.gov.cn/</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十、</w:t>
      </w:r>
      <w:r>
        <w:rPr>
          <w:rFonts w:hint="eastAsia" w:ascii="仿宋" w:hAnsi="仿宋" w:cs="仿宋"/>
          <w:color w:val="000000"/>
          <w:kern w:val="0"/>
          <w:sz w:val="31"/>
          <w:szCs w:val="31"/>
          <w:lang w:val="en-US" w:eastAsia="zh-CN" w:bidi="ar"/>
        </w:rPr>
        <w:t>广元市林业</w:t>
      </w:r>
      <w:r>
        <w:rPr>
          <w:rFonts w:ascii="仿宋" w:hAnsi="仿宋" w:eastAsia="仿宋" w:cs="仿宋"/>
          <w:color w:val="000000"/>
          <w:kern w:val="0"/>
          <w:sz w:val="31"/>
          <w:szCs w:val="31"/>
          <w:lang w:val="en-US" w:eastAsia="zh-CN" w:bidi="ar"/>
        </w:rPr>
        <w:t>局</w:t>
      </w:r>
      <w:r>
        <w:rPr>
          <w:rFonts w:hint="eastAsia" w:ascii="仿宋" w:hAnsi="仿宋" w:eastAsia="仿宋" w:cs="仿宋"/>
          <w:color w:val="000000"/>
          <w:kern w:val="0"/>
          <w:sz w:val="31"/>
          <w:szCs w:val="31"/>
          <w:lang w:val="en-US" w:eastAsia="zh-CN" w:bidi="ar"/>
        </w:rPr>
        <w:t xml:space="preserve">实行行政执法三项制度方案 </w:t>
      </w:r>
    </w:p>
    <w:p>
      <w:pPr>
        <w:keepNext w:val="0"/>
        <w:keepLines w:val="0"/>
        <w:widowControl/>
        <w:suppressLineNumbers w:val="0"/>
        <w:ind w:firstLine="620" w:firstLineChars="200"/>
        <w:jc w:val="left"/>
        <w:rPr>
          <w:rFonts w:hint="eastAsia" w:eastAsia="仿宋"/>
          <w:lang w:eastAsia="zh-CN"/>
        </w:rPr>
      </w:pPr>
      <w:r>
        <w:rPr>
          <w:rFonts w:ascii="仿宋" w:hAnsi="仿宋" w:eastAsia="仿宋" w:cs="仿宋"/>
          <w:color w:val="000000"/>
          <w:kern w:val="0"/>
          <w:sz w:val="31"/>
          <w:szCs w:val="31"/>
          <w:lang w:val="en-US" w:eastAsia="zh-CN" w:bidi="ar"/>
        </w:rPr>
        <w:t>比照</w:t>
      </w:r>
      <w:r>
        <w:rPr>
          <w:rFonts w:hint="eastAsia"/>
        </w:rPr>
        <w:t>广元市人民政府办公室关于印发《全面落实行政执法公示制度执法全过程记录制度重大执法决定法制审核制度实施方案》的通知</w:t>
      </w:r>
      <w:r>
        <w:rPr>
          <w:rFonts w:hint="eastAsia"/>
          <w:lang w:eastAsia="zh-CN"/>
        </w:rPr>
        <w:t>（</w:t>
      </w:r>
      <w:bookmarkStart w:id="0" w:name="签发人"/>
      <w:bookmarkEnd w:id="0"/>
      <w:r>
        <w:rPr>
          <w:rFonts w:hint="eastAsia"/>
          <w:lang w:eastAsia="zh-CN"/>
        </w:rPr>
        <w:t>广府办发〔2019〕50号）</w:t>
      </w:r>
    </w:p>
    <w:sectPr>
      <w:footerReference r:id="rId3" w:type="default"/>
      <w:pgSz w:w="11906" w:h="16838"/>
      <w:pgMar w:top="2098" w:right="1474" w:bottom="1984" w:left="1587" w:header="851" w:footer="992" w:gutter="0"/>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roman"/>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posOffset>2937510</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31.3pt;margin-top:0pt;height:144pt;width:144pt;mso-position-horizontal-relative:margin;mso-wrap-style:none;z-index:251658240;mso-width-relative:page;mso-height-relative:page;" filled="f" stroked="f" coordsize="21600,21600" o:gfxdata="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FenTzdUAAAAIAQAADwAAAAAAAAABACAAAAAiAAAAZHJzL2Rvd25yZXYueG1sUEsB&#10;AhQAFAAAAAgAh07iQGuF+fsxAgAAYQQAAA4AAAAAAAAAAQAgAAAAJAEAAGRycy9lMm9Eb2MueG1s&#10;UEsFBgAAAAAGAAYAWQEAAMcFAAAAAA==&#10;">
              <v:fill on="f" focussize="0,0"/>
              <v:stroke on="f" weight="0.5pt"/>
              <v:imagedata o:title=""/>
              <o:lock v:ext="edit" aspectratio="f"/>
              <v:textbox inset="0mm,0mm,0mm,0mm" style="mso-fit-shape-to-text:t;">
                <w:txbxContent>
                  <w:p>
                    <w:pPr>
                      <w:pStyle w:val="3"/>
                      <w:rPr>
                        <w:rFonts w:hint="eastAsia" w:eastAsia="仿宋"/>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E134F3"/>
    <w:multiLevelType w:val="singleLevel"/>
    <w:tmpl w:val="4EE134F3"/>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97129"/>
    <w:rsid w:val="0473476E"/>
    <w:rsid w:val="06BD45AF"/>
    <w:rsid w:val="0AAA42C7"/>
    <w:rsid w:val="0AD64EDA"/>
    <w:rsid w:val="0FF72D1C"/>
    <w:rsid w:val="107F3E42"/>
    <w:rsid w:val="12785097"/>
    <w:rsid w:val="136134F4"/>
    <w:rsid w:val="223F31B2"/>
    <w:rsid w:val="22797129"/>
    <w:rsid w:val="2A92150F"/>
    <w:rsid w:val="2A973F93"/>
    <w:rsid w:val="317362D5"/>
    <w:rsid w:val="36211E34"/>
    <w:rsid w:val="3AF6694D"/>
    <w:rsid w:val="3DCA5C19"/>
    <w:rsid w:val="3DF84E89"/>
    <w:rsid w:val="40F632D9"/>
    <w:rsid w:val="48E9376C"/>
    <w:rsid w:val="4F416F7D"/>
    <w:rsid w:val="53490483"/>
    <w:rsid w:val="581230FC"/>
    <w:rsid w:val="5F5C489A"/>
    <w:rsid w:val="5FB772BA"/>
    <w:rsid w:val="62EA4DA6"/>
    <w:rsid w:val="65DF64AA"/>
    <w:rsid w:val="66500AF6"/>
    <w:rsid w:val="672F25A4"/>
    <w:rsid w:val="67D04076"/>
    <w:rsid w:val="6A765380"/>
    <w:rsid w:val="6FE83F92"/>
    <w:rsid w:val="70D37855"/>
    <w:rsid w:val="716B59B9"/>
    <w:rsid w:val="7303703E"/>
    <w:rsid w:val="7B981E75"/>
    <w:rsid w:val="7C5E3C9C"/>
    <w:rsid w:val="7C7F58BA"/>
    <w:rsid w:val="7D1732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HAnsi" w:hAnsiTheme="minorHAnsi" w:cstheme="minorBidi"/>
      <w:kern w:val="2"/>
      <w:sz w:val="32"/>
      <w:szCs w:val="3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basedOn w:val="6"/>
    <w:qFormat/>
    <w:uiPriority w:val="0"/>
  </w:style>
  <w:style w:type="character" w:styleId="8">
    <w:name w:val="FollowedHyperlink"/>
    <w:basedOn w:val="6"/>
    <w:qFormat/>
    <w:uiPriority w:val="0"/>
    <w:rPr>
      <w:rFonts w:ascii="微软雅黑" w:hAnsi="微软雅黑" w:eastAsia="微软雅黑" w:cs="微软雅黑"/>
      <w:color w:val="3D3D3D"/>
      <w:sz w:val="21"/>
      <w:szCs w:val="21"/>
      <w:u w:val="none"/>
    </w:rPr>
  </w:style>
  <w:style w:type="character" w:styleId="9">
    <w:name w:val="Hyperlink"/>
    <w:basedOn w:val="6"/>
    <w:qFormat/>
    <w:uiPriority w:val="0"/>
    <w:rPr>
      <w:rFonts w:hint="eastAsia" w:ascii="微软雅黑" w:hAnsi="微软雅黑" w:eastAsia="微软雅黑" w:cs="微软雅黑"/>
      <w:color w:val="3D3D3D"/>
      <w:sz w:val="21"/>
      <w:szCs w:val="21"/>
      <w:u w:val="none"/>
    </w:rPr>
  </w:style>
  <w:style w:type="character" w:customStyle="1" w:styleId="10">
    <w:name w:val="font0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2020-06-22T02:09:00Z</dcterms:created>
  <dc:creator>work</dc:creator>
  <cp:lastModifiedBy>WPS_1617938050</cp:lastModifiedBy>
  <cp:lastPrinted>2021-06-01T02:54:48Z</cp:lastPrinted>
  <dcterms:modified xsi:type="dcterms:W3CDTF">2021-06-01T08:14:37Z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