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EA1626">
      <w:pPr>
        <w:spacing w:line="576" w:lineRule="exact"/>
        <w:jc w:val="center"/>
        <w:rPr>
          <w:rStyle w:val="12"/>
          <w:rFonts w:hint="eastAsia" w:ascii="方正小标宋简体" w:hAnsi="宋体" w:eastAsia="方正小标宋简体" w:cs="Times New Roman"/>
          <w:snapToGrid w:val="0"/>
          <w:color w:val="000000"/>
          <w:kern w:val="0"/>
          <w:sz w:val="44"/>
          <w:szCs w:val="44"/>
        </w:rPr>
      </w:pPr>
      <w:r>
        <w:rPr>
          <w:rStyle w:val="12"/>
          <w:rFonts w:hint="eastAsia" w:ascii="方正小标宋简体" w:hAnsi="宋体" w:eastAsia="方正小标宋简体" w:cs="方正小标宋简体"/>
          <w:snapToGrid w:val="0"/>
          <w:color w:val="000000"/>
          <w:kern w:val="0"/>
          <w:sz w:val="44"/>
          <w:szCs w:val="44"/>
        </w:rPr>
        <w:t>广元市“十三五”质量发展规划</w:t>
      </w:r>
    </w:p>
    <w:p w14:paraId="21E06117">
      <w:pPr>
        <w:spacing w:line="576" w:lineRule="exact"/>
        <w:jc w:val="center"/>
        <w:rPr>
          <w:rStyle w:val="12"/>
          <w:rFonts w:hint="eastAsia" w:ascii="方正小标宋简体" w:hAnsi="宋体" w:eastAsia="方正小标宋简体" w:cs="Times New Roman"/>
          <w:snapToGrid w:val="0"/>
          <w:color w:val="000000"/>
          <w:kern w:val="0"/>
          <w:sz w:val="44"/>
          <w:szCs w:val="44"/>
        </w:rPr>
      </w:pPr>
    </w:p>
    <w:p w14:paraId="2416C4C5">
      <w:pPr>
        <w:spacing w:line="576" w:lineRule="exact"/>
        <w:jc w:val="center"/>
        <w:rPr>
          <w:rStyle w:val="12"/>
          <w:rFonts w:ascii="楷体_GB2312" w:hAnsi="宋体" w:eastAsia="楷体_GB2312" w:cs="Times New Roman"/>
          <w:color w:val="000000"/>
          <w:kern w:val="0"/>
          <w:sz w:val="36"/>
          <w:szCs w:val="36"/>
        </w:rPr>
      </w:pPr>
      <w:r>
        <w:rPr>
          <w:rStyle w:val="12"/>
          <w:rFonts w:hint="eastAsia" w:ascii="方正小标宋简体" w:hAnsi="宋体" w:eastAsia="方正小标宋简体" w:cs="Times New Roman"/>
          <w:snapToGrid w:val="0"/>
          <w:color w:val="000000"/>
          <w:kern w:val="0"/>
          <w:sz w:val="44"/>
          <w:szCs w:val="44"/>
        </w:rPr>
        <w:t xml:space="preserve">   </w:t>
      </w:r>
      <w:r>
        <w:rPr>
          <w:rFonts w:hint="eastAsia" w:ascii="仿宋_GB2312" w:hAnsi="宋体" w:cs="仿宋_GB2312"/>
          <w:snapToGrid w:val="0"/>
          <w:color w:val="000000"/>
          <w:kern w:val="0"/>
        </w:rPr>
        <w:t>质量是安民之本、兴国之道、强国之策，是一个国家和地区综合实力及文明程度的重要体现，</w:t>
      </w:r>
      <w:r>
        <w:rPr>
          <w:rFonts w:hint="eastAsia" w:ascii="仿宋_GB2312" w:cs="仿宋_GB2312"/>
          <w:snapToGrid w:val="0"/>
          <w:color w:val="000000"/>
          <w:kern w:val="0"/>
        </w:rPr>
        <w:t>是</w:t>
      </w:r>
      <w:r>
        <w:rPr>
          <w:rFonts w:hint="eastAsia" w:ascii="仿宋_GB2312" w:hAnsi="Arial" w:cs="仿宋_GB2312"/>
          <w:snapToGrid w:val="0"/>
          <w:color w:val="000000"/>
          <w:kern w:val="0"/>
        </w:rPr>
        <w:t>广元同步全面实现小康和建设中国生态康养旅游名市</w:t>
      </w:r>
      <w:r>
        <w:rPr>
          <w:rFonts w:hint="eastAsia" w:ascii="仿宋_GB2312" w:cs="仿宋_GB2312"/>
          <w:snapToGrid w:val="0"/>
          <w:color w:val="000000"/>
          <w:kern w:val="0"/>
        </w:rPr>
        <w:t>的重要保障和支撑。</w:t>
      </w:r>
      <w:r>
        <w:rPr>
          <w:rFonts w:hint="eastAsia" w:ascii="仿宋_GB2312" w:hAnsi="Arial" w:cs="仿宋_GB2312"/>
          <w:snapToGrid w:val="0"/>
          <w:color w:val="000000"/>
          <w:kern w:val="0"/>
        </w:rPr>
        <w:t>根据《四川省“十三五”质量发展规划》和《广元市国民经济和社会发展第十三个五年规划纲要》要</w:t>
      </w:r>
      <w:r>
        <w:rPr>
          <w:rStyle w:val="12"/>
          <w:rFonts w:hint="eastAsia" w:ascii="仿宋_GB2312" w:hAnsi="宋体" w:cs="仿宋_GB2312"/>
          <w:snapToGrid w:val="0"/>
          <w:color w:val="000000"/>
          <w:kern w:val="0"/>
        </w:rPr>
        <w:t>求，结合我市实际，特制定本规划，作为到</w:t>
      </w:r>
      <w:r>
        <w:rPr>
          <w:rStyle w:val="12"/>
          <w:rFonts w:ascii="仿宋_GB2312" w:hAnsi="宋体" w:cs="仿宋_GB2312"/>
          <w:snapToGrid w:val="0"/>
          <w:color w:val="000000"/>
          <w:kern w:val="0"/>
        </w:rPr>
        <w:t>2020</w:t>
      </w:r>
      <w:r>
        <w:rPr>
          <w:rStyle w:val="12"/>
          <w:rFonts w:hint="eastAsia" w:ascii="仿宋_GB2312" w:hAnsi="宋体" w:cs="仿宋_GB2312"/>
          <w:snapToGrid w:val="0"/>
          <w:color w:val="000000"/>
          <w:kern w:val="0"/>
        </w:rPr>
        <w:t>年全市质量发展的政策指导和行动指南。</w:t>
      </w:r>
      <w:bookmarkStart w:id="0" w:name="_Toc22789"/>
      <w:bookmarkStart w:id="1" w:name="_Toc5989"/>
    </w:p>
    <w:p w14:paraId="7885E8F2">
      <w:pPr>
        <w:spacing w:line="576" w:lineRule="exact"/>
        <w:ind w:firstLine="632" w:firstLineChars="200"/>
        <w:rPr>
          <w:rStyle w:val="12"/>
          <w:rFonts w:ascii="仿宋_GB2312" w:hAnsi="宋体" w:cs="Times New Roman"/>
          <w:snapToGrid w:val="0"/>
          <w:color w:val="000000"/>
          <w:kern w:val="0"/>
        </w:rPr>
      </w:pPr>
    </w:p>
    <w:p w14:paraId="44C41655">
      <w:pPr>
        <w:spacing w:line="576" w:lineRule="exact"/>
        <w:jc w:val="center"/>
        <w:rPr>
          <w:rStyle w:val="12"/>
          <w:rFonts w:ascii="方正小标宋简体" w:hAnsi="宋体" w:eastAsia="方正小标宋简体" w:cs="Times New Roman"/>
          <w:snapToGrid w:val="0"/>
          <w:color w:val="000000"/>
          <w:kern w:val="0"/>
        </w:rPr>
      </w:pPr>
      <w:r>
        <w:rPr>
          <w:rStyle w:val="12"/>
          <w:rFonts w:hint="eastAsia" w:ascii="方正小标宋简体" w:hAnsi="宋体" w:eastAsia="方正小标宋简体" w:cs="方正小标宋简体"/>
          <w:snapToGrid w:val="0"/>
          <w:color w:val="000000"/>
          <w:kern w:val="0"/>
        </w:rPr>
        <w:t>第一章</w:t>
      </w:r>
      <w:r>
        <w:rPr>
          <w:rStyle w:val="12"/>
          <w:rFonts w:ascii="方正小标宋简体" w:hAnsi="宋体" w:eastAsia="方正小标宋简体" w:cs="方正小标宋简体"/>
          <w:snapToGrid w:val="0"/>
          <w:color w:val="000000"/>
          <w:kern w:val="0"/>
        </w:rPr>
        <w:t xml:space="preserve">  </w:t>
      </w:r>
      <w:r>
        <w:rPr>
          <w:rStyle w:val="12"/>
          <w:rFonts w:hint="eastAsia" w:ascii="方正小标宋简体" w:hAnsi="宋体" w:eastAsia="方正小标宋简体" w:cs="方正小标宋简体"/>
          <w:snapToGrid w:val="0"/>
          <w:color w:val="000000"/>
          <w:kern w:val="0"/>
        </w:rPr>
        <w:t>规划背景</w:t>
      </w:r>
      <w:bookmarkEnd w:id="0"/>
      <w:bookmarkEnd w:id="1"/>
      <w:bookmarkStart w:id="2" w:name="_Toc23338"/>
      <w:bookmarkStart w:id="3" w:name="_Toc30774"/>
    </w:p>
    <w:p w14:paraId="0DD7D1A1">
      <w:pPr>
        <w:spacing w:line="576" w:lineRule="exact"/>
        <w:jc w:val="center"/>
        <w:rPr>
          <w:rStyle w:val="12"/>
          <w:rFonts w:ascii="黑体" w:hAnsi="宋体" w:eastAsia="黑体" w:cs="Times New Roman"/>
          <w:snapToGrid w:val="0"/>
          <w:color w:val="000000"/>
          <w:kern w:val="0"/>
        </w:rPr>
      </w:pPr>
    </w:p>
    <w:p w14:paraId="34E34917">
      <w:pPr>
        <w:spacing w:line="576" w:lineRule="exact"/>
        <w:ind w:firstLine="632" w:firstLineChars="200"/>
        <w:rPr>
          <w:rStyle w:val="12"/>
          <w:rFonts w:ascii="仿宋_GB2312" w:hAnsi="宋体" w:cs="Times New Roman"/>
          <w:snapToGrid w:val="0"/>
          <w:color w:val="000000"/>
          <w:kern w:val="0"/>
        </w:rPr>
      </w:pPr>
      <w:r>
        <w:rPr>
          <w:rStyle w:val="12"/>
          <w:rFonts w:hint="eastAsia" w:ascii="黑体" w:hAnsi="宋体" w:eastAsia="黑体" w:cs="黑体"/>
          <w:snapToGrid w:val="0"/>
          <w:color w:val="000000"/>
          <w:kern w:val="0"/>
        </w:rPr>
        <w:t>一、发展成就</w:t>
      </w:r>
      <w:bookmarkEnd w:id="2"/>
      <w:bookmarkEnd w:id="3"/>
    </w:p>
    <w:p w14:paraId="0B882B89">
      <w:pPr>
        <w:spacing w:line="576" w:lineRule="exact"/>
        <w:ind w:firstLine="620" w:firstLineChars="196"/>
        <w:rPr>
          <w:rStyle w:val="12"/>
          <w:rFonts w:ascii="仿宋_GB2312" w:hAnsi="宋体" w:cs="Times New Roman"/>
          <w:snapToGrid w:val="0"/>
          <w:color w:val="000000"/>
          <w:kern w:val="0"/>
        </w:rPr>
      </w:pPr>
      <w:r>
        <w:rPr>
          <w:rStyle w:val="12"/>
          <w:rFonts w:hint="eastAsia" w:ascii="仿宋_GB2312" w:hAnsi="宋体" w:cs="仿宋_GB2312"/>
          <w:snapToGrid w:val="0"/>
          <w:color w:val="000000"/>
          <w:kern w:val="0"/>
        </w:rPr>
        <w:t>“十二五”期间，我市紧密围绕质量强市建设，质量机制不断完善，质量技术基础不断夯实，质量竞争能力明显增强，质量管理水平明显提高，全市产业质量、产品质量、工程质量、服务质量明显提升，环境质量持续改善，质量对全市经济社会发展的贡献作用日益凸显，有力服务了全市经济社会发展大局。</w:t>
      </w:r>
      <w:bookmarkStart w:id="4" w:name="_Toc7478"/>
    </w:p>
    <w:p w14:paraId="151445DA">
      <w:pPr>
        <w:spacing w:line="576" w:lineRule="exact"/>
        <w:ind w:firstLine="620" w:firstLineChars="196"/>
        <w:rPr>
          <w:rStyle w:val="12"/>
          <w:rFonts w:ascii="仿宋_GB2312" w:hAnsi="宋体" w:cs="Times New Roman"/>
          <w:snapToGrid w:val="0"/>
          <w:color w:val="000000"/>
          <w:kern w:val="0"/>
        </w:rPr>
      </w:pPr>
      <w:r>
        <w:rPr>
          <w:rStyle w:val="12"/>
          <w:rFonts w:hint="eastAsia" w:ascii="楷体_GB2312" w:hAnsi="宋体" w:eastAsia="楷体_GB2312" w:cs="楷体_GB2312"/>
          <w:snapToGrid w:val="0"/>
          <w:color w:val="000000"/>
          <w:kern w:val="0"/>
        </w:rPr>
        <w:t>（一）产业质量稳中向好</w:t>
      </w:r>
      <w:bookmarkEnd w:id="4"/>
    </w:p>
    <w:p w14:paraId="24497131">
      <w:pPr>
        <w:pStyle w:val="30"/>
        <w:adjustRightInd w:val="0"/>
        <w:snapToGrid w:val="0"/>
        <w:spacing w:line="576" w:lineRule="exact"/>
        <w:ind w:firstLine="617" w:firstLineChars="195"/>
        <w:rPr>
          <w:rStyle w:val="12"/>
          <w:rFonts w:ascii="仿宋_GB2312"/>
          <w:snapToGrid w:val="0"/>
          <w:color w:val="000000"/>
        </w:rPr>
      </w:pPr>
      <w:r>
        <w:rPr>
          <w:rStyle w:val="12"/>
          <w:rFonts w:hint="eastAsia" w:ascii="仿宋_GB2312" w:cs="仿宋_GB2312"/>
          <w:snapToGrid w:val="0"/>
          <w:color w:val="000000"/>
        </w:rPr>
        <w:t>产业规模不断扩大，实现地区生产总值</w:t>
      </w:r>
      <w:r>
        <w:rPr>
          <w:rStyle w:val="12"/>
          <w:rFonts w:ascii="仿宋_GB2312" w:cs="仿宋_GB2312"/>
          <w:snapToGrid w:val="0"/>
          <w:color w:val="000000"/>
        </w:rPr>
        <w:t>605.43</w:t>
      </w:r>
      <w:r>
        <w:rPr>
          <w:rStyle w:val="12"/>
          <w:rFonts w:hint="eastAsia" w:ascii="仿宋_GB2312" w:cs="仿宋_GB2312"/>
          <w:snapToGrid w:val="0"/>
          <w:color w:val="000000"/>
        </w:rPr>
        <w:t>亿元，是</w:t>
      </w:r>
      <w:r>
        <w:rPr>
          <w:rStyle w:val="12"/>
          <w:rFonts w:ascii="仿宋_GB2312" w:cs="仿宋_GB2312"/>
          <w:snapToGrid w:val="0"/>
          <w:color w:val="000000"/>
        </w:rPr>
        <w:t>2010</w:t>
      </w:r>
      <w:r>
        <w:rPr>
          <w:rStyle w:val="12"/>
          <w:rFonts w:hint="eastAsia" w:ascii="仿宋_GB2312" w:cs="仿宋_GB2312"/>
          <w:snapToGrid w:val="0"/>
          <w:color w:val="000000"/>
        </w:rPr>
        <w:t>年的</w:t>
      </w:r>
      <w:r>
        <w:rPr>
          <w:rStyle w:val="12"/>
          <w:rFonts w:ascii="仿宋_GB2312" w:cs="仿宋_GB2312"/>
          <w:snapToGrid w:val="0"/>
          <w:color w:val="000000"/>
        </w:rPr>
        <w:t>1.88</w:t>
      </w:r>
      <w:r>
        <w:rPr>
          <w:rStyle w:val="12"/>
          <w:rFonts w:hint="eastAsia" w:ascii="仿宋_GB2312" w:cs="仿宋_GB2312"/>
          <w:snapToGrid w:val="0"/>
          <w:color w:val="000000"/>
        </w:rPr>
        <w:t>倍，年均增长</w:t>
      </w:r>
      <w:r>
        <w:rPr>
          <w:rStyle w:val="12"/>
          <w:rFonts w:ascii="仿宋_GB2312" w:cs="仿宋_GB2312"/>
          <w:snapToGrid w:val="0"/>
          <w:color w:val="000000"/>
        </w:rPr>
        <w:t>11.5%</w:t>
      </w:r>
      <w:r>
        <w:rPr>
          <w:rStyle w:val="12"/>
          <w:rFonts w:hint="eastAsia" w:ascii="仿宋_GB2312" w:cs="仿宋_GB2312"/>
          <w:snapToGrid w:val="0"/>
          <w:color w:val="000000"/>
        </w:rPr>
        <w:t>，分别高于全国、全省</w:t>
      </w:r>
      <w:r>
        <w:rPr>
          <w:rStyle w:val="12"/>
          <w:rFonts w:ascii="仿宋_GB2312" w:cs="仿宋_GB2312"/>
          <w:snapToGrid w:val="0"/>
          <w:color w:val="000000"/>
        </w:rPr>
        <w:t>3.7</w:t>
      </w:r>
      <w:r>
        <w:rPr>
          <w:rStyle w:val="12"/>
          <w:rFonts w:hint="eastAsia" w:ascii="仿宋_GB2312" w:cs="仿宋_GB2312"/>
          <w:snapToGrid w:val="0"/>
          <w:color w:val="000000"/>
        </w:rPr>
        <w:t>个和</w:t>
      </w:r>
      <w:r>
        <w:rPr>
          <w:rStyle w:val="12"/>
          <w:rFonts w:ascii="仿宋_GB2312" w:cs="仿宋_GB2312"/>
          <w:snapToGrid w:val="0"/>
          <w:color w:val="000000"/>
        </w:rPr>
        <w:t>0.7</w:t>
      </w:r>
      <w:r>
        <w:rPr>
          <w:rStyle w:val="12"/>
          <w:rFonts w:hint="eastAsia" w:ascii="仿宋_GB2312" w:cs="仿宋_GB2312"/>
          <w:snapToGrid w:val="0"/>
          <w:color w:val="000000"/>
        </w:rPr>
        <w:t>个百分点；产业结构持续优化，三次产业比重由</w:t>
      </w:r>
      <w:r>
        <w:rPr>
          <w:rStyle w:val="12"/>
          <w:rFonts w:ascii="仿宋_GB2312" w:cs="仿宋_GB2312"/>
          <w:snapToGrid w:val="0"/>
          <w:color w:val="000000"/>
        </w:rPr>
        <w:t>2010</w:t>
      </w:r>
      <w:r>
        <w:rPr>
          <w:rStyle w:val="12"/>
          <w:rFonts w:hint="eastAsia" w:ascii="仿宋_GB2312" w:cs="仿宋_GB2312"/>
          <w:snapToGrid w:val="0"/>
          <w:color w:val="000000"/>
        </w:rPr>
        <w:t>年的</w:t>
      </w:r>
      <w:r>
        <w:rPr>
          <w:rStyle w:val="12"/>
          <w:rFonts w:ascii="仿宋_GB2312" w:cs="仿宋_GB2312"/>
          <w:snapToGrid w:val="0"/>
          <w:color w:val="000000"/>
        </w:rPr>
        <w:t>23.8:39:37.2</w:t>
      </w:r>
      <w:r>
        <w:rPr>
          <w:rStyle w:val="12"/>
          <w:rFonts w:hint="eastAsia" w:ascii="仿宋_GB2312" w:cs="仿宋_GB2312"/>
          <w:snapToGrid w:val="0"/>
          <w:color w:val="000000"/>
        </w:rPr>
        <w:t>优化调整为</w:t>
      </w:r>
      <w:r>
        <w:rPr>
          <w:rStyle w:val="12"/>
          <w:rFonts w:ascii="仿宋_GB2312" w:cs="仿宋_GB2312"/>
          <w:snapToGrid w:val="0"/>
          <w:color w:val="000000"/>
        </w:rPr>
        <w:t>2015</w:t>
      </w:r>
      <w:r>
        <w:rPr>
          <w:rStyle w:val="12"/>
          <w:rFonts w:hint="eastAsia" w:ascii="仿宋_GB2312" w:cs="仿宋_GB2312"/>
          <w:snapToGrid w:val="0"/>
          <w:color w:val="000000"/>
        </w:rPr>
        <w:t>年的</w:t>
      </w:r>
      <w:r>
        <w:rPr>
          <w:rStyle w:val="12"/>
          <w:rFonts w:ascii="仿宋_GB2312" w:cs="仿宋_GB2312"/>
          <w:snapToGrid w:val="0"/>
          <w:color w:val="000000"/>
        </w:rPr>
        <w:t>16.5:47.2:36.3</w:t>
      </w:r>
      <w:r>
        <w:rPr>
          <w:rStyle w:val="12"/>
          <w:rFonts w:hint="eastAsia" w:ascii="仿宋_GB2312" w:cs="仿宋_GB2312"/>
          <w:snapToGrid w:val="0"/>
          <w:color w:val="000000"/>
        </w:rPr>
        <w:t>。以食品饮料、电子机械等为主的工业体系初步形成，工业园区建设提档升级，建成</w:t>
      </w:r>
      <w:r>
        <w:rPr>
          <w:rStyle w:val="12"/>
          <w:rFonts w:ascii="仿宋_GB2312" w:cs="仿宋_GB2312"/>
          <w:snapToGrid w:val="0"/>
          <w:color w:val="000000"/>
        </w:rPr>
        <w:t>1</w:t>
      </w:r>
      <w:r>
        <w:rPr>
          <w:rStyle w:val="12"/>
          <w:rFonts w:hint="eastAsia" w:ascii="仿宋_GB2312" w:cs="仿宋_GB2312"/>
          <w:snapToGrid w:val="0"/>
          <w:color w:val="000000"/>
        </w:rPr>
        <w:t>个国家级经济技术开发区，</w:t>
      </w:r>
      <w:r>
        <w:rPr>
          <w:rStyle w:val="12"/>
          <w:rFonts w:ascii="仿宋_GB2312" w:cs="仿宋_GB2312"/>
          <w:snapToGrid w:val="0"/>
          <w:color w:val="000000"/>
        </w:rPr>
        <w:t>4</w:t>
      </w:r>
      <w:r>
        <w:rPr>
          <w:rStyle w:val="12"/>
          <w:rFonts w:hint="eastAsia" w:ascii="仿宋_GB2312" w:cs="仿宋_GB2312"/>
          <w:snapToGrid w:val="0"/>
          <w:color w:val="000000"/>
        </w:rPr>
        <w:t>个省级经济开发区，工业化率由</w:t>
      </w:r>
      <w:r>
        <w:rPr>
          <w:rStyle w:val="12"/>
          <w:rFonts w:ascii="仿宋_GB2312" w:cs="仿宋_GB2312"/>
          <w:snapToGrid w:val="0"/>
          <w:color w:val="000000"/>
        </w:rPr>
        <w:t>32.6%</w:t>
      </w:r>
      <w:r>
        <w:rPr>
          <w:rStyle w:val="12"/>
          <w:rFonts w:hint="eastAsia" w:ascii="仿宋_GB2312" w:cs="仿宋_GB2312"/>
          <w:snapToGrid w:val="0"/>
          <w:color w:val="000000"/>
        </w:rPr>
        <w:t>提升至</w:t>
      </w:r>
      <w:r>
        <w:rPr>
          <w:rStyle w:val="12"/>
          <w:rFonts w:ascii="仿宋_GB2312" w:cs="仿宋_GB2312"/>
          <w:snapToGrid w:val="0"/>
          <w:color w:val="000000"/>
        </w:rPr>
        <w:t>40%</w:t>
      </w:r>
      <w:r>
        <w:rPr>
          <w:rStyle w:val="12"/>
          <w:rFonts w:hint="eastAsia" w:ascii="仿宋_GB2312" w:cs="仿宋_GB2312"/>
          <w:snapToGrid w:val="0"/>
          <w:color w:val="000000"/>
        </w:rPr>
        <w:t>以上。</w:t>
      </w:r>
      <w:r>
        <w:rPr>
          <w:rFonts w:hint="eastAsia" w:ascii="仿宋_GB2312" w:hAnsi="Arial" w:cs="仿宋_GB2312"/>
          <w:snapToGrid w:val="0"/>
          <w:color w:val="000000"/>
        </w:rPr>
        <w:t>高新技术产业和战略性新兴产业加快发展，</w:t>
      </w:r>
      <w:r>
        <w:rPr>
          <w:rStyle w:val="12"/>
          <w:rFonts w:hint="eastAsia" w:ascii="仿宋_GB2312" w:cs="仿宋_GB2312"/>
          <w:snapToGrid w:val="0"/>
          <w:color w:val="000000"/>
        </w:rPr>
        <w:t>现代服务业快速发展，科技进步和品牌培育对经济增长贡献率明显提升，产业竞争力不断增强。</w:t>
      </w:r>
      <w:bookmarkStart w:id="5" w:name="_Toc14861"/>
      <w:bookmarkStart w:id="6" w:name="_Toc19677"/>
    </w:p>
    <w:p w14:paraId="3DBFCBDE">
      <w:pPr>
        <w:pStyle w:val="30"/>
        <w:adjustRightInd w:val="0"/>
        <w:snapToGrid w:val="0"/>
        <w:spacing w:line="576" w:lineRule="exact"/>
        <w:ind w:firstLine="617" w:firstLineChars="195"/>
        <w:rPr>
          <w:rStyle w:val="12"/>
          <w:rFonts w:ascii="楷体_GB2312" w:hAnsi="宋体" w:eastAsia="楷体_GB2312"/>
          <w:b/>
          <w:bCs/>
          <w:snapToGrid w:val="0"/>
          <w:color w:val="000000"/>
        </w:rPr>
      </w:pPr>
      <w:r>
        <w:rPr>
          <w:rStyle w:val="12"/>
          <w:rFonts w:hint="eastAsia" w:ascii="楷体_GB2312" w:hAnsi="宋体" w:eastAsia="楷体_GB2312" w:cs="楷体_GB2312"/>
          <w:snapToGrid w:val="0"/>
          <w:color w:val="000000"/>
        </w:rPr>
        <w:t>（二）产品质量稳步提高</w:t>
      </w:r>
      <w:bookmarkEnd w:id="5"/>
      <w:bookmarkEnd w:id="6"/>
      <w:r>
        <w:rPr>
          <w:rStyle w:val="12"/>
          <w:rFonts w:ascii="楷体_GB2312" w:hAnsi="宋体" w:eastAsia="楷体_GB2312"/>
          <w:snapToGrid w:val="0"/>
          <w:color w:val="000000"/>
        </w:rPr>
        <w:tab/>
      </w:r>
    </w:p>
    <w:p w14:paraId="5DEFE5C3">
      <w:pPr>
        <w:spacing w:line="590" w:lineRule="exact"/>
        <w:ind w:firstLine="632" w:firstLineChars="200"/>
        <w:rPr>
          <w:rFonts w:ascii="仿宋_GB2312" w:hAnsi="Arial" w:cs="Times New Roman"/>
          <w:snapToGrid w:val="0"/>
          <w:color w:val="000000"/>
          <w:kern w:val="0"/>
        </w:rPr>
      </w:pPr>
      <w:r>
        <w:rPr>
          <w:rFonts w:hint="eastAsia" w:ascii="仿宋_GB2312" w:hAnsi="Arial" w:cs="仿宋_GB2312"/>
          <w:snapToGrid w:val="0"/>
          <w:color w:val="000000"/>
          <w:kern w:val="0"/>
        </w:rPr>
        <w:t>全市重点工业产品抽查</w:t>
      </w:r>
      <w:r>
        <w:rPr>
          <w:rFonts w:hint="eastAsia" w:hAnsi="宋体" w:cs="仿宋_GB2312"/>
          <w:snapToGrid w:val="0"/>
          <w:kern w:val="0"/>
        </w:rPr>
        <w:t>合格率为</w:t>
      </w:r>
      <w:r>
        <w:rPr>
          <w:rFonts w:hAnsi="宋体"/>
          <w:snapToGrid w:val="0"/>
          <w:kern w:val="0"/>
        </w:rPr>
        <w:t>97.31</w:t>
      </w:r>
      <w:r>
        <w:rPr>
          <w:snapToGrid w:val="0"/>
          <w:kern w:val="0"/>
        </w:rPr>
        <w:t>%</w:t>
      </w:r>
      <w:r>
        <w:rPr>
          <w:rFonts w:hint="eastAsia" w:cs="仿宋_GB2312"/>
          <w:snapToGrid w:val="0"/>
          <w:kern w:val="0"/>
        </w:rPr>
        <w:t>，</w:t>
      </w:r>
      <w:r>
        <w:rPr>
          <w:rFonts w:hint="eastAsia" w:hAnsi="仿宋" w:cs="仿宋_GB2312"/>
          <w:snapToGrid w:val="0"/>
          <w:color w:val="0D0D0D"/>
          <w:kern w:val="0"/>
        </w:rPr>
        <w:t>食品抽查合格率</w:t>
      </w:r>
      <w:r>
        <w:rPr>
          <w:rFonts w:hAnsi="仿宋"/>
          <w:snapToGrid w:val="0"/>
          <w:color w:val="0D0D0D"/>
          <w:kern w:val="0"/>
        </w:rPr>
        <w:t>98%</w:t>
      </w:r>
      <w:r>
        <w:rPr>
          <w:rFonts w:hint="eastAsia" w:hAnsi="仿宋" w:cs="仿宋_GB2312"/>
          <w:snapToGrid w:val="0"/>
          <w:color w:val="0D0D0D"/>
          <w:kern w:val="0"/>
        </w:rPr>
        <w:t>，</w:t>
      </w:r>
      <w:r>
        <w:rPr>
          <w:rFonts w:hint="eastAsia" w:hAnsi="仿宋_GB2312" w:cs="仿宋_GB2312"/>
          <w:snapToGrid w:val="0"/>
          <w:kern w:val="0"/>
        </w:rPr>
        <w:t>蔬菜</w:t>
      </w:r>
      <w:r>
        <w:rPr>
          <w:rFonts w:hint="eastAsia" w:ascii="仿宋_GB2312" w:hAnsi="Arial" w:cs="仿宋_GB2312"/>
          <w:snapToGrid w:val="0"/>
          <w:color w:val="000000"/>
          <w:kern w:val="0"/>
        </w:rPr>
        <w:t>抽查</w:t>
      </w:r>
      <w:r>
        <w:rPr>
          <w:rFonts w:hint="eastAsia" w:hAnsi="宋体" w:cs="仿宋_GB2312"/>
          <w:snapToGrid w:val="0"/>
          <w:kern w:val="0"/>
        </w:rPr>
        <w:t>合格率</w:t>
      </w:r>
      <w:r>
        <w:rPr>
          <w:rFonts w:hAnsi="仿宋_GB2312"/>
          <w:snapToGrid w:val="0"/>
          <w:kern w:val="0"/>
        </w:rPr>
        <w:t>99.5%</w:t>
      </w:r>
      <w:r>
        <w:rPr>
          <w:rFonts w:hint="eastAsia" w:hAnsi="仿宋_GB2312" w:cs="仿宋_GB2312"/>
          <w:snapToGrid w:val="0"/>
          <w:kern w:val="0"/>
        </w:rPr>
        <w:t>、畜禽产品</w:t>
      </w:r>
      <w:r>
        <w:rPr>
          <w:rFonts w:hint="eastAsia" w:ascii="仿宋_GB2312" w:hAnsi="Arial" w:cs="仿宋_GB2312"/>
          <w:snapToGrid w:val="0"/>
          <w:color w:val="000000"/>
          <w:kern w:val="0"/>
        </w:rPr>
        <w:t>抽查</w:t>
      </w:r>
      <w:r>
        <w:rPr>
          <w:rFonts w:hint="eastAsia" w:hAnsi="宋体" w:cs="仿宋_GB2312"/>
          <w:snapToGrid w:val="0"/>
          <w:kern w:val="0"/>
        </w:rPr>
        <w:t>合格率</w:t>
      </w:r>
      <w:r>
        <w:rPr>
          <w:rFonts w:hAnsi="仿宋_GB2312"/>
          <w:snapToGrid w:val="0"/>
          <w:kern w:val="0"/>
        </w:rPr>
        <w:t>100%</w:t>
      </w:r>
      <w:r>
        <w:rPr>
          <w:rFonts w:hint="eastAsia" w:hAnsi="仿宋_GB2312" w:cs="仿宋_GB2312"/>
          <w:snapToGrid w:val="0"/>
          <w:kern w:val="0"/>
        </w:rPr>
        <w:t>、水产品</w:t>
      </w:r>
      <w:r>
        <w:rPr>
          <w:rFonts w:hint="eastAsia" w:ascii="仿宋_GB2312" w:hAnsi="Arial" w:cs="仿宋_GB2312"/>
          <w:snapToGrid w:val="0"/>
          <w:color w:val="000000"/>
          <w:kern w:val="0"/>
        </w:rPr>
        <w:t>抽查</w:t>
      </w:r>
      <w:r>
        <w:rPr>
          <w:rFonts w:hint="eastAsia" w:hAnsi="宋体" w:cs="仿宋_GB2312"/>
          <w:snapToGrid w:val="0"/>
          <w:kern w:val="0"/>
        </w:rPr>
        <w:t>合格率</w:t>
      </w:r>
      <w:r>
        <w:rPr>
          <w:rFonts w:hAnsi="仿宋_GB2312"/>
          <w:snapToGrid w:val="0"/>
          <w:kern w:val="0"/>
        </w:rPr>
        <w:t>100%</w:t>
      </w:r>
      <w:r>
        <w:rPr>
          <w:rFonts w:hint="eastAsia" w:ascii="仿宋_GB2312" w:hAnsi="Arial" w:cs="仿宋_GB2312"/>
          <w:snapToGrid w:val="0"/>
          <w:color w:val="000000"/>
          <w:kern w:val="0"/>
        </w:rPr>
        <w:t>。拥有国家级有机产品认证示范创建县</w:t>
      </w:r>
      <w:r>
        <w:rPr>
          <w:rFonts w:ascii="仿宋_GB2312" w:hAnsi="Arial" w:cs="仿宋_GB2312"/>
          <w:snapToGrid w:val="0"/>
          <w:color w:val="000000"/>
          <w:kern w:val="0"/>
        </w:rPr>
        <w:t>2</w:t>
      </w:r>
      <w:r>
        <w:rPr>
          <w:rFonts w:hint="eastAsia" w:ascii="仿宋_GB2312" w:hAnsi="Arial" w:cs="仿宋_GB2312"/>
          <w:snapToGrid w:val="0"/>
          <w:color w:val="000000"/>
          <w:kern w:val="0"/>
        </w:rPr>
        <w:t>个、国家地理标志保护产品</w:t>
      </w:r>
      <w:r>
        <w:rPr>
          <w:rFonts w:ascii="仿宋_GB2312" w:hAnsi="Arial" w:cs="仿宋_GB2312"/>
          <w:snapToGrid w:val="0"/>
          <w:color w:val="000000"/>
          <w:kern w:val="0"/>
        </w:rPr>
        <w:t>22</w:t>
      </w:r>
      <w:r>
        <w:rPr>
          <w:rFonts w:hint="eastAsia" w:ascii="仿宋_GB2312" w:hAnsi="Arial" w:cs="仿宋_GB2312"/>
          <w:snapToGrid w:val="0"/>
          <w:color w:val="000000"/>
          <w:kern w:val="0"/>
        </w:rPr>
        <w:t>个、中国驰名商标</w:t>
      </w:r>
      <w:r>
        <w:rPr>
          <w:rFonts w:ascii="仿宋_GB2312" w:hAnsi="Arial" w:cs="仿宋_GB2312"/>
          <w:snapToGrid w:val="0"/>
          <w:color w:val="000000"/>
          <w:kern w:val="0"/>
        </w:rPr>
        <w:t>6</w:t>
      </w:r>
      <w:r>
        <w:rPr>
          <w:rFonts w:hint="eastAsia" w:ascii="仿宋_GB2312" w:hAnsi="Arial" w:cs="仿宋_GB2312"/>
          <w:snapToGrid w:val="0"/>
          <w:color w:val="000000"/>
          <w:kern w:val="0"/>
        </w:rPr>
        <w:t>件、农产品地理标志</w:t>
      </w:r>
      <w:r>
        <w:rPr>
          <w:rFonts w:ascii="仿宋_GB2312" w:hAnsi="Arial" w:cs="仿宋_GB2312"/>
          <w:snapToGrid w:val="0"/>
          <w:color w:val="000000"/>
          <w:kern w:val="0"/>
        </w:rPr>
        <w:t>2</w:t>
      </w:r>
      <w:r>
        <w:rPr>
          <w:rFonts w:hint="eastAsia" w:ascii="仿宋_GB2312" w:hAnsi="Arial" w:cs="仿宋_GB2312"/>
          <w:snapToGrid w:val="0"/>
          <w:color w:val="000000"/>
          <w:kern w:val="0"/>
        </w:rPr>
        <w:t>个、地理标志证明商标</w:t>
      </w:r>
      <w:r>
        <w:rPr>
          <w:rFonts w:ascii="仿宋_GB2312" w:hAnsi="Arial" w:cs="仿宋_GB2312"/>
          <w:snapToGrid w:val="0"/>
          <w:color w:val="000000"/>
          <w:kern w:val="0"/>
        </w:rPr>
        <w:t>22</w:t>
      </w:r>
      <w:r>
        <w:rPr>
          <w:rFonts w:hint="eastAsia" w:ascii="仿宋_GB2312" w:hAnsi="Arial" w:cs="仿宋_GB2312"/>
          <w:snapToGrid w:val="0"/>
          <w:color w:val="000000"/>
          <w:kern w:val="0"/>
        </w:rPr>
        <w:t>个、省级有机产品认证示范创建县</w:t>
      </w:r>
      <w:r>
        <w:rPr>
          <w:rFonts w:ascii="仿宋_GB2312" w:hAnsi="Arial" w:cs="仿宋_GB2312"/>
          <w:snapToGrid w:val="0"/>
          <w:color w:val="000000"/>
          <w:kern w:val="0"/>
        </w:rPr>
        <w:t>1</w:t>
      </w:r>
      <w:r>
        <w:rPr>
          <w:rFonts w:hint="eastAsia" w:ascii="仿宋_GB2312" w:hAnsi="Arial" w:cs="仿宋_GB2312"/>
          <w:snapToGrid w:val="0"/>
          <w:color w:val="000000"/>
          <w:kern w:val="0"/>
        </w:rPr>
        <w:t>个、省级国家地理标志产品保护示范区</w:t>
      </w:r>
      <w:r>
        <w:rPr>
          <w:rFonts w:ascii="仿宋_GB2312" w:hAnsi="Arial" w:cs="仿宋_GB2312"/>
          <w:snapToGrid w:val="0"/>
          <w:color w:val="000000"/>
          <w:kern w:val="0"/>
        </w:rPr>
        <w:t>1</w:t>
      </w:r>
      <w:r>
        <w:rPr>
          <w:rFonts w:hint="eastAsia" w:ascii="仿宋_GB2312" w:hAnsi="Arial" w:cs="仿宋_GB2312"/>
          <w:snapToGrid w:val="0"/>
          <w:color w:val="000000"/>
          <w:kern w:val="0"/>
        </w:rPr>
        <w:t>个、省级质量强市示范城市</w:t>
      </w:r>
      <w:r>
        <w:rPr>
          <w:rFonts w:ascii="仿宋_GB2312" w:hAnsi="Arial" w:cs="仿宋_GB2312"/>
          <w:snapToGrid w:val="0"/>
          <w:color w:val="000000"/>
          <w:kern w:val="0"/>
        </w:rPr>
        <w:t>1</w:t>
      </w:r>
      <w:r>
        <w:rPr>
          <w:rFonts w:hint="eastAsia" w:ascii="仿宋_GB2312" w:hAnsi="Arial" w:cs="仿宋_GB2312"/>
          <w:snapToGrid w:val="0"/>
          <w:color w:val="000000"/>
          <w:kern w:val="0"/>
        </w:rPr>
        <w:t>个、省级知名品牌创建示范区</w:t>
      </w:r>
      <w:r>
        <w:rPr>
          <w:rFonts w:ascii="仿宋_GB2312" w:hAnsi="Arial" w:cs="仿宋_GB2312"/>
          <w:snapToGrid w:val="0"/>
          <w:color w:val="000000"/>
          <w:kern w:val="0"/>
        </w:rPr>
        <w:t>1</w:t>
      </w:r>
      <w:r>
        <w:rPr>
          <w:rFonts w:hint="eastAsia" w:ascii="仿宋_GB2312" w:hAnsi="Arial" w:cs="仿宋_GB2312"/>
          <w:snapToGrid w:val="0"/>
          <w:color w:val="000000"/>
          <w:kern w:val="0"/>
        </w:rPr>
        <w:t>个、四川名牌</w:t>
      </w:r>
      <w:r>
        <w:rPr>
          <w:rFonts w:ascii="仿宋_GB2312" w:hAnsi="Arial" w:cs="仿宋_GB2312"/>
          <w:snapToGrid w:val="0"/>
          <w:color w:val="000000"/>
          <w:kern w:val="0"/>
        </w:rPr>
        <w:t>45</w:t>
      </w:r>
      <w:r>
        <w:rPr>
          <w:rFonts w:hint="eastAsia" w:ascii="仿宋_GB2312" w:hAnsi="Arial" w:cs="仿宋_GB2312"/>
          <w:snapToGrid w:val="0"/>
          <w:color w:val="000000"/>
          <w:kern w:val="0"/>
        </w:rPr>
        <w:t>个、广元知名品牌</w:t>
      </w:r>
      <w:r>
        <w:rPr>
          <w:rFonts w:ascii="仿宋_GB2312" w:hAnsi="Arial" w:cs="仿宋_GB2312"/>
          <w:snapToGrid w:val="0"/>
          <w:color w:val="000000"/>
          <w:kern w:val="0"/>
        </w:rPr>
        <w:t>88</w:t>
      </w:r>
      <w:r>
        <w:rPr>
          <w:rFonts w:hint="eastAsia" w:ascii="仿宋_GB2312" w:hAnsi="Arial" w:cs="仿宋_GB2312"/>
          <w:snapToGrid w:val="0"/>
          <w:color w:val="000000"/>
          <w:kern w:val="0"/>
        </w:rPr>
        <w:t>个、四川省著名商标</w:t>
      </w:r>
      <w:r>
        <w:rPr>
          <w:rFonts w:ascii="仿宋_GB2312" w:hAnsi="Arial" w:cs="仿宋_GB2312"/>
          <w:snapToGrid w:val="0"/>
          <w:color w:val="000000"/>
          <w:kern w:val="0"/>
        </w:rPr>
        <w:t>31</w:t>
      </w:r>
      <w:r>
        <w:rPr>
          <w:rFonts w:hint="eastAsia" w:ascii="仿宋_GB2312" w:hAnsi="Arial" w:cs="仿宋_GB2312"/>
          <w:snapToGrid w:val="0"/>
          <w:color w:val="000000"/>
          <w:kern w:val="0"/>
        </w:rPr>
        <w:t>件、广元知名商标</w:t>
      </w:r>
      <w:r>
        <w:rPr>
          <w:rFonts w:ascii="仿宋_GB2312" w:hAnsi="Arial" w:cs="仿宋_GB2312"/>
          <w:snapToGrid w:val="0"/>
          <w:color w:val="000000"/>
          <w:kern w:val="0"/>
        </w:rPr>
        <w:t>93</w:t>
      </w:r>
      <w:r>
        <w:rPr>
          <w:rFonts w:hint="eastAsia" w:ascii="仿宋_GB2312" w:hAnsi="Arial" w:cs="仿宋_GB2312"/>
          <w:snapToGrid w:val="0"/>
          <w:color w:val="000000"/>
          <w:kern w:val="0"/>
        </w:rPr>
        <w:t>件、有机产品认证</w:t>
      </w:r>
      <w:r>
        <w:rPr>
          <w:rFonts w:ascii="仿宋_GB2312" w:hAnsi="Arial" w:cs="仿宋_GB2312"/>
          <w:snapToGrid w:val="0"/>
          <w:color w:val="000000"/>
          <w:kern w:val="0"/>
        </w:rPr>
        <w:t>64</w:t>
      </w:r>
      <w:r>
        <w:rPr>
          <w:rFonts w:hint="eastAsia" w:ascii="仿宋_GB2312" w:hAnsi="Arial" w:cs="仿宋_GB2312"/>
          <w:snapToGrid w:val="0"/>
          <w:color w:val="000000"/>
          <w:kern w:val="0"/>
        </w:rPr>
        <w:t>个、绿色食品</w:t>
      </w:r>
      <w:r>
        <w:rPr>
          <w:rFonts w:ascii="仿宋_GB2312" w:hAnsi="Arial" w:cs="仿宋_GB2312"/>
          <w:snapToGrid w:val="0"/>
          <w:color w:val="000000"/>
          <w:kern w:val="0"/>
        </w:rPr>
        <w:t>38</w:t>
      </w:r>
      <w:r>
        <w:rPr>
          <w:rFonts w:hint="eastAsia" w:ascii="仿宋_GB2312" w:hAnsi="Arial" w:cs="仿宋_GB2312"/>
          <w:snapToGrid w:val="0"/>
          <w:color w:val="000000"/>
          <w:kern w:val="0"/>
        </w:rPr>
        <w:t>个、无公害农产品</w:t>
      </w:r>
      <w:r>
        <w:rPr>
          <w:rFonts w:ascii="仿宋_GB2312" w:hAnsi="Arial" w:cs="仿宋_GB2312"/>
          <w:snapToGrid w:val="0"/>
          <w:color w:val="000000"/>
          <w:kern w:val="0"/>
        </w:rPr>
        <w:t>202</w:t>
      </w:r>
      <w:r>
        <w:rPr>
          <w:rFonts w:hint="eastAsia" w:ascii="仿宋_GB2312" w:hAnsi="Arial" w:cs="仿宋_GB2312"/>
          <w:snapToGrid w:val="0"/>
          <w:color w:val="000000"/>
          <w:kern w:val="0"/>
        </w:rPr>
        <w:t>个（其中，种植业</w:t>
      </w:r>
      <w:r>
        <w:rPr>
          <w:rFonts w:ascii="仿宋_GB2312" w:hAnsi="Arial" w:cs="仿宋_GB2312"/>
          <w:snapToGrid w:val="0"/>
          <w:color w:val="000000"/>
          <w:kern w:val="0"/>
        </w:rPr>
        <w:t>145</w:t>
      </w:r>
      <w:r>
        <w:rPr>
          <w:rFonts w:hint="eastAsia" w:ascii="仿宋_GB2312" w:hAnsi="Arial" w:cs="仿宋_GB2312"/>
          <w:snapToGrid w:val="0"/>
          <w:color w:val="000000"/>
          <w:kern w:val="0"/>
        </w:rPr>
        <w:t>个、畜产品</w:t>
      </w:r>
      <w:r>
        <w:rPr>
          <w:rFonts w:ascii="仿宋_GB2312" w:hAnsi="Arial" w:cs="仿宋_GB2312"/>
          <w:snapToGrid w:val="0"/>
          <w:color w:val="000000"/>
          <w:kern w:val="0"/>
        </w:rPr>
        <w:t>51</w:t>
      </w:r>
      <w:r>
        <w:rPr>
          <w:rFonts w:hint="eastAsia" w:ascii="仿宋_GB2312" w:hAnsi="Arial" w:cs="仿宋_GB2312"/>
          <w:snapToGrid w:val="0"/>
          <w:color w:val="000000"/>
          <w:kern w:val="0"/>
        </w:rPr>
        <w:t>个、水产品</w:t>
      </w:r>
      <w:r>
        <w:rPr>
          <w:rFonts w:ascii="仿宋_GB2312" w:hAnsi="Arial" w:cs="仿宋_GB2312"/>
          <w:snapToGrid w:val="0"/>
          <w:color w:val="000000"/>
          <w:kern w:val="0"/>
        </w:rPr>
        <w:t>6</w:t>
      </w:r>
      <w:r>
        <w:rPr>
          <w:rFonts w:hint="eastAsia" w:ascii="仿宋_GB2312" w:hAnsi="Arial" w:cs="仿宋_GB2312"/>
          <w:snapToGrid w:val="0"/>
          <w:color w:val="000000"/>
          <w:kern w:val="0"/>
        </w:rPr>
        <w:t>个）。建成全国绿色食品原料标准化生产基地</w:t>
      </w:r>
      <w:r>
        <w:rPr>
          <w:rFonts w:ascii="仿宋_GB2312" w:hAnsi="Arial" w:cs="仿宋_GB2312"/>
          <w:snapToGrid w:val="0"/>
          <w:color w:val="000000"/>
          <w:kern w:val="0"/>
        </w:rPr>
        <w:t>13</w:t>
      </w:r>
      <w:r>
        <w:rPr>
          <w:rFonts w:hint="eastAsia" w:ascii="仿宋_GB2312" w:hAnsi="Arial" w:cs="仿宋_GB2312"/>
          <w:snapToGrid w:val="0"/>
          <w:color w:val="000000"/>
          <w:kern w:val="0"/>
        </w:rPr>
        <w:t>个，面积</w:t>
      </w:r>
      <w:r>
        <w:rPr>
          <w:rFonts w:ascii="仿宋_GB2312" w:hAnsi="Arial" w:cs="仿宋_GB2312"/>
          <w:snapToGrid w:val="0"/>
          <w:color w:val="000000"/>
          <w:kern w:val="0"/>
        </w:rPr>
        <w:t>165.6</w:t>
      </w:r>
      <w:r>
        <w:rPr>
          <w:rFonts w:hint="eastAsia" w:ascii="仿宋_GB2312" w:hAnsi="Arial" w:cs="仿宋_GB2312"/>
          <w:snapToGrid w:val="0"/>
          <w:color w:val="000000"/>
          <w:kern w:val="0"/>
        </w:rPr>
        <w:t>万亩。</w:t>
      </w:r>
      <w:bookmarkStart w:id="7" w:name="_Toc22899"/>
      <w:bookmarkStart w:id="8" w:name="_Toc12683"/>
    </w:p>
    <w:p w14:paraId="3B9EB591">
      <w:pPr>
        <w:spacing w:line="576" w:lineRule="exact"/>
        <w:ind w:firstLine="632" w:firstLineChars="200"/>
        <w:rPr>
          <w:rStyle w:val="12"/>
          <w:rFonts w:ascii="楷体_GB2312" w:hAnsi="宋体" w:eastAsia="楷体_GB2312" w:cs="Times New Roman"/>
          <w:b/>
          <w:bCs/>
          <w:snapToGrid w:val="0"/>
          <w:color w:val="000000"/>
          <w:kern w:val="0"/>
        </w:rPr>
      </w:pPr>
      <w:r>
        <w:rPr>
          <w:rStyle w:val="12"/>
          <w:rFonts w:hint="eastAsia" w:ascii="楷体_GB2312" w:hAnsi="宋体" w:eastAsia="楷体_GB2312" w:cs="楷体_GB2312"/>
          <w:snapToGrid w:val="0"/>
          <w:color w:val="000000"/>
          <w:kern w:val="0"/>
        </w:rPr>
        <w:t>（三）工程质量不断提高</w:t>
      </w:r>
      <w:bookmarkEnd w:id="7"/>
      <w:bookmarkEnd w:id="8"/>
    </w:p>
    <w:p w14:paraId="33D390B9">
      <w:pPr>
        <w:spacing w:line="576" w:lineRule="exact"/>
        <w:ind w:firstLine="790" w:firstLineChars="250"/>
        <w:rPr>
          <w:rStyle w:val="12"/>
          <w:rFonts w:ascii="仿宋_GB2312" w:hAnsi="宋体" w:cs="Times New Roman"/>
          <w:snapToGrid w:val="0"/>
          <w:color w:val="000000"/>
          <w:kern w:val="0"/>
        </w:rPr>
      </w:pPr>
      <w:r>
        <w:rPr>
          <w:rFonts w:hint="eastAsia" w:ascii="仿宋_GB2312" w:hAnsi="Arial" w:cs="仿宋_GB2312"/>
          <w:snapToGrid w:val="0"/>
          <w:color w:val="000000"/>
          <w:kern w:val="0"/>
        </w:rPr>
        <w:t>工程质量保持好中有升态势，工程质量监督全覆盖，新开工建筑工程质量监督覆盖率</w:t>
      </w:r>
      <w:r>
        <w:rPr>
          <w:rFonts w:ascii="仿宋_GB2312" w:hAnsi="Arial" w:cs="仿宋_GB2312"/>
          <w:snapToGrid w:val="0"/>
          <w:color w:val="000000"/>
          <w:kern w:val="0"/>
        </w:rPr>
        <w:t>100%</w:t>
      </w:r>
      <w:r>
        <w:rPr>
          <w:rFonts w:hint="eastAsia" w:ascii="仿宋_GB2312" w:hAnsi="Arial" w:cs="仿宋_GB2312"/>
          <w:snapToGrid w:val="0"/>
          <w:color w:val="000000"/>
          <w:kern w:val="0"/>
        </w:rPr>
        <w:t>，大中型工程项目一次验收合格率达到</w:t>
      </w:r>
      <w:r>
        <w:rPr>
          <w:rFonts w:ascii="仿宋_GB2312" w:hAnsi="Arial" w:cs="仿宋_GB2312"/>
          <w:snapToGrid w:val="0"/>
          <w:color w:val="000000"/>
          <w:kern w:val="0"/>
        </w:rPr>
        <w:t>100%</w:t>
      </w:r>
      <w:r>
        <w:rPr>
          <w:rFonts w:hint="eastAsia" w:ascii="仿宋_GB2312" w:hAnsi="Arial" w:cs="仿宋_GB2312"/>
          <w:snapToGrid w:val="0"/>
          <w:color w:val="000000"/>
          <w:kern w:val="0"/>
        </w:rPr>
        <w:t>。全市共有</w:t>
      </w:r>
      <w:r>
        <w:rPr>
          <w:rFonts w:ascii="仿宋_GB2312" w:hAnsi="Arial" w:cs="仿宋_GB2312"/>
          <w:snapToGrid w:val="0"/>
          <w:color w:val="000000"/>
          <w:kern w:val="0"/>
        </w:rPr>
        <w:t>82</w:t>
      </w:r>
      <w:r>
        <w:rPr>
          <w:rFonts w:hint="eastAsia" w:ascii="仿宋_GB2312" w:hAnsi="Arial" w:cs="仿宋_GB2312"/>
          <w:snapToGrid w:val="0"/>
          <w:color w:val="000000"/>
          <w:kern w:val="0"/>
        </w:rPr>
        <w:t>个项目荣获四川省“天府杯”、“结构优质”、“省级安全文明施工标准化工地”等奖项。工程新技术和节约型、环保型等新材料广泛推广运用，实施质量标准样板引路制度，工程质量水平不断提高，</w:t>
      </w:r>
      <w:r>
        <w:rPr>
          <w:rStyle w:val="12"/>
          <w:rFonts w:hint="eastAsia" w:ascii="仿宋_GB2312" w:hAnsi="宋体" w:cs="仿宋_GB2312"/>
          <w:snapToGrid w:val="0"/>
          <w:color w:val="000000"/>
          <w:kern w:val="0"/>
        </w:rPr>
        <w:t>建筑市场秩序日趋规范，文明施工管理成效明显。</w:t>
      </w:r>
      <w:bookmarkStart w:id="9" w:name="_Toc3380"/>
      <w:bookmarkStart w:id="10" w:name="_Toc12187"/>
    </w:p>
    <w:p w14:paraId="07FF05C6">
      <w:pPr>
        <w:spacing w:line="576" w:lineRule="exact"/>
        <w:ind w:firstLine="632" w:firstLineChars="200"/>
        <w:rPr>
          <w:rStyle w:val="12"/>
          <w:rFonts w:ascii="楷体_GB2312" w:hAnsi="宋体" w:eastAsia="楷体_GB2312" w:cs="Times New Roman"/>
          <w:b/>
          <w:bCs/>
          <w:snapToGrid w:val="0"/>
          <w:color w:val="000000"/>
          <w:kern w:val="0"/>
        </w:rPr>
      </w:pPr>
      <w:r>
        <w:rPr>
          <w:rStyle w:val="12"/>
          <w:rFonts w:hint="eastAsia" w:ascii="楷体_GB2312" w:hAnsi="宋体" w:eastAsia="楷体_GB2312" w:cs="楷体_GB2312"/>
          <w:snapToGrid w:val="0"/>
          <w:color w:val="000000"/>
          <w:kern w:val="0"/>
        </w:rPr>
        <w:t>（四）服务质量大幅跃升</w:t>
      </w:r>
      <w:bookmarkEnd w:id="9"/>
      <w:bookmarkEnd w:id="10"/>
    </w:p>
    <w:p w14:paraId="521A4C2E">
      <w:pPr>
        <w:spacing w:line="576" w:lineRule="exact"/>
        <w:ind w:firstLine="620" w:firstLineChars="196"/>
        <w:rPr>
          <w:rStyle w:val="12"/>
          <w:rFonts w:ascii="仿宋_GB2312" w:hAnsi="宋体" w:cs="Times New Roman"/>
          <w:snapToGrid w:val="0"/>
          <w:color w:val="000000"/>
          <w:kern w:val="0"/>
        </w:rPr>
      </w:pPr>
      <w:r>
        <w:rPr>
          <w:rStyle w:val="12"/>
          <w:rFonts w:hint="eastAsia" w:ascii="仿宋_GB2312" w:cs="仿宋_GB2312"/>
          <w:snapToGrid w:val="0"/>
          <w:color w:val="000000"/>
          <w:kern w:val="0"/>
        </w:rPr>
        <w:t>文化旅游、商贸物流、</w:t>
      </w:r>
      <w:r>
        <w:rPr>
          <w:rFonts w:hint="eastAsia" w:ascii="仿宋_GB2312" w:hAnsi="Arial" w:cs="仿宋_GB2312"/>
          <w:snapToGrid w:val="0"/>
          <w:color w:val="000000"/>
          <w:kern w:val="0"/>
        </w:rPr>
        <w:t>医疗康复、</w:t>
      </w:r>
      <w:r>
        <w:rPr>
          <w:rStyle w:val="12"/>
          <w:rFonts w:hint="eastAsia" w:ascii="仿宋_GB2312" w:cs="仿宋_GB2312"/>
          <w:snapToGrid w:val="0"/>
          <w:color w:val="000000"/>
          <w:kern w:val="0"/>
        </w:rPr>
        <w:t>电子商务、房地产、现代金融、信息等</w:t>
      </w:r>
      <w:r>
        <w:rPr>
          <w:rFonts w:hint="eastAsia" w:ascii="仿宋_GB2312" w:hAnsi="Arial" w:cs="仿宋_GB2312"/>
          <w:snapToGrid w:val="0"/>
          <w:color w:val="000000"/>
          <w:kern w:val="0"/>
        </w:rPr>
        <w:t>现代服务业快速发展。公共服务水平稳步提高，一大批民生工程和民生实事全面实施，各类教育协调发展，人均受教育年限达</w:t>
      </w:r>
      <w:r>
        <w:rPr>
          <w:rFonts w:ascii="仿宋_GB2312" w:hAnsi="Arial" w:cs="仿宋_GB2312"/>
          <w:snapToGrid w:val="0"/>
          <w:color w:val="000000"/>
          <w:kern w:val="0"/>
        </w:rPr>
        <w:t>11</w:t>
      </w:r>
      <w:r>
        <w:rPr>
          <w:rFonts w:hint="eastAsia" w:ascii="仿宋_GB2312" w:hAnsi="Arial" w:cs="仿宋_GB2312"/>
          <w:snapToGrid w:val="0"/>
          <w:color w:val="000000"/>
          <w:kern w:val="0"/>
        </w:rPr>
        <w:t>年。一体化城乡医疗卫生服务、多层次医疗保障、规范化药品保障、均等化公共卫生服务等不断完善，医疗卫生资源配置水平明显提高。全面推行服务质量标准规范，</w:t>
      </w:r>
      <w:r>
        <w:rPr>
          <w:rStyle w:val="12"/>
          <w:rFonts w:hint="eastAsia" w:ascii="仿宋_GB2312" w:hAnsi="宋体" w:cs="仿宋_GB2312"/>
          <w:snapToGrid w:val="0"/>
          <w:color w:val="000000"/>
          <w:kern w:val="0"/>
        </w:rPr>
        <w:t>服务质量水平不断提高，用户满意度不断上升。建成全国旅游标准化示范城市，建成国家生态旅游示范区</w:t>
      </w:r>
      <w:r>
        <w:rPr>
          <w:rStyle w:val="12"/>
          <w:rFonts w:ascii="仿宋_GB2312" w:hAnsi="宋体" w:cs="仿宋_GB2312"/>
          <w:snapToGrid w:val="0"/>
          <w:color w:val="000000"/>
          <w:kern w:val="0"/>
        </w:rPr>
        <w:t>1</w:t>
      </w:r>
      <w:r>
        <w:rPr>
          <w:rStyle w:val="12"/>
          <w:rFonts w:hint="eastAsia" w:ascii="仿宋_GB2312" w:hAnsi="宋体" w:cs="仿宋_GB2312"/>
          <w:snapToGrid w:val="0"/>
          <w:color w:val="000000"/>
          <w:kern w:val="0"/>
        </w:rPr>
        <w:t>个、国家休闲农业与乡村旅游示范县</w:t>
      </w:r>
      <w:r>
        <w:rPr>
          <w:rStyle w:val="12"/>
          <w:rFonts w:ascii="仿宋_GB2312" w:hAnsi="宋体" w:cs="仿宋_GB2312"/>
          <w:snapToGrid w:val="0"/>
          <w:color w:val="000000"/>
          <w:kern w:val="0"/>
        </w:rPr>
        <w:t>1</w:t>
      </w:r>
      <w:r>
        <w:rPr>
          <w:rStyle w:val="12"/>
          <w:rFonts w:hint="eastAsia" w:ascii="仿宋_GB2312" w:hAnsi="宋体" w:cs="仿宋_GB2312"/>
          <w:snapToGrid w:val="0"/>
          <w:color w:val="000000"/>
          <w:kern w:val="0"/>
        </w:rPr>
        <w:t>个，建成省级服务标准化示范单位</w:t>
      </w:r>
      <w:r>
        <w:rPr>
          <w:rStyle w:val="12"/>
          <w:rFonts w:ascii="仿宋_GB2312" w:hAnsi="宋体" w:cs="仿宋_GB2312"/>
          <w:snapToGrid w:val="0"/>
          <w:color w:val="000000"/>
          <w:kern w:val="0"/>
        </w:rPr>
        <w:t>2</w:t>
      </w:r>
      <w:r>
        <w:rPr>
          <w:rStyle w:val="12"/>
          <w:rFonts w:hint="eastAsia" w:ascii="仿宋_GB2312" w:hAnsi="宋体" w:cs="仿宋_GB2312"/>
          <w:snapToGrid w:val="0"/>
          <w:color w:val="000000"/>
          <w:kern w:val="0"/>
        </w:rPr>
        <w:t>家、四川服务名牌</w:t>
      </w:r>
      <w:r>
        <w:rPr>
          <w:rStyle w:val="12"/>
          <w:rFonts w:ascii="仿宋_GB2312" w:hAnsi="宋体" w:cs="仿宋_GB2312"/>
          <w:snapToGrid w:val="0"/>
          <w:color w:val="000000"/>
          <w:kern w:val="0"/>
        </w:rPr>
        <w:t>2</w:t>
      </w:r>
      <w:r>
        <w:rPr>
          <w:rStyle w:val="12"/>
          <w:rFonts w:hint="eastAsia" w:ascii="仿宋_GB2312" w:hAnsi="宋体" w:cs="仿宋_GB2312"/>
          <w:snapToGrid w:val="0"/>
          <w:color w:val="000000"/>
          <w:kern w:val="0"/>
        </w:rPr>
        <w:t>个、</w:t>
      </w:r>
      <w:r>
        <w:rPr>
          <w:rStyle w:val="12"/>
          <w:rFonts w:ascii="仿宋_GB2312" w:hAnsi="宋体" w:cs="仿宋_GB2312"/>
          <w:snapToGrid w:val="0"/>
          <w:color w:val="000000"/>
          <w:kern w:val="0"/>
        </w:rPr>
        <w:t>5A</w:t>
      </w:r>
      <w:r>
        <w:rPr>
          <w:rStyle w:val="12"/>
          <w:rFonts w:hint="eastAsia" w:ascii="仿宋_GB2312" w:hAnsi="宋体" w:cs="仿宋_GB2312"/>
          <w:snapToGrid w:val="0"/>
          <w:color w:val="000000"/>
          <w:kern w:val="0"/>
        </w:rPr>
        <w:t>级景区</w:t>
      </w:r>
      <w:r>
        <w:rPr>
          <w:rStyle w:val="12"/>
          <w:rFonts w:ascii="仿宋_GB2312" w:hAnsi="宋体" w:cs="仿宋_GB2312"/>
          <w:snapToGrid w:val="0"/>
          <w:color w:val="000000"/>
          <w:kern w:val="0"/>
        </w:rPr>
        <w:t>1</w:t>
      </w:r>
      <w:r>
        <w:rPr>
          <w:rStyle w:val="12"/>
          <w:rFonts w:hint="eastAsia" w:ascii="仿宋_GB2312" w:hAnsi="宋体" w:cs="仿宋_GB2312"/>
          <w:snapToGrid w:val="0"/>
          <w:color w:val="000000"/>
          <w:kern w:val="0"/>
        </w:rPr>
        <w:t>家、</w:t>
      </w:r>
      <w:r>
        <w:rPr>
          <w:rStyle w:val="12"/>
          <w:rFonts w:ascii="仿宋_GB2312" w:hAnsi="宋体" w:cs="仿宋_GB2312"/>
          <w:snapToGrid w:val="0"/>
          <w:color w:val="000000"/>
          <w:kern w:val="0"/>
        </w:rPr>
        <w:t>4A</w:t>
      </w:r>
      <w:r>
        <w:rPr>
          <w:rStyle w:val="12"/>
          <w:rFonts w:hint="eastAsia" w:ascii="仿宋_GB2312" w:hAnsi="宋体" w:cs="仿宋_GB2312"/>
          <w:snapToGrid w:val="0"/>
          <w:color w:val="000000"/>
          <w:kern w:val="0"/>
        </w:rPr>
        <w:t>级景区</w:t>
      </w:r>
      <w:r>
        <w:rPr>
          <w:rStyle w:val="12"/>
          <w:rFonts w:ascii="仿宋_GB2312" w:hAnsi="宋体" w:cs="仿宋_GB2312"/>
          <w:snapToGrid w:val="0"/>
          <w:color w:val="000000"/>
          <w:kern w:val="0"/>
        </w:rPr>
        <w:t>16</w:t>
      </w:r>
      <w:r>
        <w:rPr>
          <w:rStyle w:val="12"/>
          <w:rFonts w:hint="eastAsia" w:ascii="仿宋_GB2312" w:hAnsi="宋体" w:cs="仿宋_GB2312"/>
          <w:snapToGrid w:val="0"/>
          <w:color w:val="000000"/>
          <w:kern w:val="0"/>
        </w:rPr>
        <w:t>家，</w:t>
      </w:r>
      <w:r>
        <w:rPr>
          <w:rFonts w:hint="eastAsia" w:ascii="仿宋_GB2312" w:hAnsi="Arial" w:cs="仿宋_GB2312"/>
          <w:snapToGrid w:val="0"/>
          <w:color w:val="000000"/>
          <w:kern w:val="0"/>
        </w:rPr>
        <w:t>在建国家级服务标准化示范点项目</w:t>
      </w:r>
      <w:r>
        <w:rPr>
          <w:rFonts w:ascii="仿宋_GB2312" w:hAnsi="Arial" w:cs="仿宋_GB2312"/>
          <w:snapToGrid w:val="0"/>
          <w:color w:val="000000"/>
          <w:kern w:val="0"/>
        </w:rPr>
        <w:t>1</w:t>
      </w:r>
      <w:r>
        <w:rPr>
          <w:rFonts w:hint="eastAsia" w:ascii="仿宋_GB2312" w:hAnsi="Arial" w:cs="仿宋_GB2312"/>
          <w:snapToGrid w:val="0"/>
          <w:color w:val="000000"/>
          <w:kern w:val="0"/>
        </w:rPr>
        <w:t>个，逐步形成省内较强的服务质量竞争优势。</w:t>
      </w:r>
      <w:bookmarkStart w:id="11" w:name="_Toc8452"/>
      <w:bookmarkStart w:id="12" w:name="_Toc25809"/>
    </w:p>
    <w:p w14:paraId="29BF9BD4">
      <w:pPr>
        <w:spacing w:line="576" w:lineRule="exact"/>
        <w:ind w:firstLine="620" w:firstLineChars="196"/>
        <w:rPr>
          <w:rStyle w:val="12"/>
          <w:rFonts w:ascii="楷体_GB2312" w:hAnsi="宋体" w:eastAsia="楷体_GB2312" w:cs="Times New Roman"/>
          <w:b/>
          <w:bCs/>
          <w:snapToGrid w:val="0"/>
          <w:color w:val="000000"/>
          <w:kern w:val="0"/>
        </w:rPr>
      </w:pPr>
      <w:r>
        <w:rPr>
          <w:rStyle w:val="12"/>
          <w:rFonts w:hint="eastAsia" w:ascii="楷体_GB2312" w:hAnsi="宋体" w:eastAsia="楷体_GB2312" w:cs="楷体_GB2312"/>
          <w:snapToGrid w:val="0"/>
          <w:color w:val="000000"/>
          <w:kern w:val="0"/>
        </w:rPr>
        <w:t>（五）环境质量持续改善</w:t>
      </w:r>
      <w:bookmarkEnd w:id="11"/>
      <w:bookmarkEnd w:id="12"/>
    </w:p>
    <w:p w14:paraId="043577F3">
      <w:pPr>
        <w:spacing w:line="576" w:lineRule="exact"/>
        <w:ind w:firstLine="632" w:firstLineChars="200"/>
        <w:rPr>
          <w:rStyle w:val="12"/>
          <w:rFonts w:ascii="仿宋_GB2312" w:hAnsi="宋体" w:cs="Times New Roman"/>
          <w:snapToGrid w:val="0"/>
          <w:color w:val="000000"/>
          <w:kern w:val="0"/>
        </w:rPr>
      </w:pPr>
      <w:r>
        <w:rPr>
          <w:rFonts w:hint="eastAsia" w:ascii="仿宋_GB2312" w:hAnsi="Arial" w:cs="仿宋_GB2312"/>
          <w:snapToGrid w:val="0"/>
          <w:color w:val="000000"/>
          <w:kern w:val="0"/>
        </w:rPr>
        <w:t>环境质量持续改善，主要污染物排放总量显著下降，全市森林覆盖率达</w:t>
      </w:r>
      <w:r>
        <w:rPr>
          <w:rFonts w:ascii="仿宋_GB2312" w:hAnsi="Arial" w:cs="仿宋_GB2312"/>
          <w:snapToGrid w:val="0"/>
          <w:color w:val="000000"/>
          <w:kern w:val="0"/>
        </w:rPr>
        <w:t>55.3</w:t>
      </w:r>
      <w:r>
        <w:rPr>
          <w:rFonts w:hint="eastAsia" w:ascii="仿宋_GB2312" w:hAnsi="Arial" w:cs="仿宋_GB2312"/>
          <w:snapToGrid w:val="0"/>
          <w:color w:val="000000"/>
          <w:kern w:val="0"/>
        </w:rPr>
        <w:t>％，市城区环境空气优良天数占比为</w:t>
      </w:r>
      <w:r>
        <w:rPr>
          <w:rFonts w:ascii="仿宋_GB2312" w:hAnsi="Arial" w:cs="仿宋_GB2312"/>
          <w:snapToGrid w:val="0"/>
          <w:color w:val="000000"/>
          <w:kern w:val="0"/>
        </w:rPr>
        <w:t>94.8%</w:t>
      </w:r>
      <w:r>
        <w:rPr>
          <w:rFonts w:hint="eastAsia" w:ascii="仿宋_GB2312" w:hAnsi="Arial" w:cs="仿宋_GB2312"/>
          <w:snapToGrid w:val="0"/>
          <w:color w:val="000000"/>
          <w:kern w:val="0"/>
        </w:rPr>
        <w:t>，县级城镇优良天数比例均达到</w:t>
      </w:r>
      <w:r>
        <w:rPr>
          <w:rFonts w:ascii="仿宋_GB2312" w:hAnsi="Arial" w:cs="仿宋_GB2312"/>
          <w:snapToGrid w:val="0"/>
          <w:color w:val="000000"/>
          <w:kern w:val="0"/>
        </w:rPr>
        <w:t>90</w:t>
      </w:r>
      <w:r>
        <w:rPr>
          <w:rFonts w:hint="eastAsia" w:ascii="仿宋_GB2312" w:hAnsi="Arial" w:cs="仿宋_GB2312"/>
          <w:snapToGrid w:val="0"/>
          <w:color w:val="000000"/>
          <w:kern w:val="0"/>
        </w:rPr>
        <w:t>％以上，环境空气质量排名全省前列。化学需氧量、氨氮、二氧化硫和氮氧化物分别削减</w:t>
      </w:r>
      <w:r>
        <w:rPr>
          <w:rFonts w:ascii="仿宋_GB2312" w:hAnsi="Arial" w:cs="仿宋_GB2312"/>
          <w:snapToGrid w:val="0"/>
          <w:color w:val="000000"/>
          <w:kern w:val="0"/>
        </w:rPr>
        <w:t>16.78%</w:t>
      </w:r>
      <w:r>
        <w:rPr>
          <w:rFonts w:hint="eastAsia" w:ascii="仿宋_GB2312" w:hAnsi="Arial" w:cs="仿宋_GB2312"/>
          <w:snapToGrid w:val="0"/>
          <w:color w:val="000000"/>
          <w:kern w:val="0"/>
        </w:rPr>
        <w:t>、</w:t>
      </w:r>
      <w:r>
        <w:rPr>
          <w:rFonts w:ascii="仿宋_GB2312" w:hAnsi="Arial" w:cs="仿宋_GB2312"/>
          <w:snapToGrid w:val="0"/>
          <w:color w:val="000000"/>
          <w:kern w:val="0"/>
        </w:rPr>
        <w:t>13.37%</w:t>
      </w:r>
      <w:r>
        <w:rPr>
          <w:rFonts w:hint="eastAsia" w:ascii="仿宋_GB2312" w:hAnsi="Arial" w:cs="仿宋_GB2312"/>
          <w:snapToGrid w:val="0"/>
          <w:color w:val="000000"/>
          <w:kern w:val="0"/>
        </w:rPr>
        <w:t>、</w:t>
      </w:r>
      <w:r>
        <w:rPr>
          <w:rFonts w:ascii="仿宋_GB2312" w:hAnsi="Arial" w:cs="仿宋_GB2312"/>
          <w:snapToGrid w:val="0"/>
          <w:color w:val="000000"/>
          <w:kern w:val="0"/>
        </w:rPr>
        <w:t>22.24%</w:t>
      </w:r>
      <w:r>
        <w:rPr>
          <w:rFonts w:hint="eastAsia" w:ascii="仿宋_GB2312" w:hAnsi="Arial" w:cs="仿宋_GB2312"/>
          <w:snapToGrid w:val="0"/>
          <w:color w:val="000000"/>
          <w:kern w:val="0"/>
        </w:rPr>
        <w:t>和</w:t>
      </w:r>
      <w:r>
        <w:rPr>
          <w:rFonts w:ascii="仿宋_GB2312" w:hAnsi="Arial" w:cs="仿宋_GB2312"/>
          <w:snapToGrid w:val="0"/>
          <w:color w:val="000000"/>
          <w:kern w:val="0"/>
        </w:rPr>
        <w:t>5%</w:t>
      </w:r>
      <w:r>
        <w:rPr>
          <w:rFonts w:hint="eastAsia" w:ascii="仿宋_GB2312" w:hAnsi="Arial" w:cs="仿宋_GB2312"/>
          <w:snapToGrid w:val="0"/>
          <w:color w:val="000000"/>
          <w:kern w:val="0"/>
        </w:rPr>
        <w:t>，超额完成“十二五”目标任务。嘉陵江、白龙江、南河等主要河流水质均达到或优于规定水域环境功能要求，八届沟、上石盘等国、省控断面水质达到</w:t>
      </w:r>
      <w:r>
        <w:rPr>
          <w:rFonts w:ascii="仿宋_GB2312" w:hAnsi="Arial" w:cs="仿宋_GB2312"/>
          <w:snapToGrid w:val="0"/>
          <w:color w:val="000000"/>
          <w:kern w:val="0"/>
        </w:rPr>
        <w:t>II</w:t>
      </w:r>
      <w:r>
        <w:rPr>
          <w:rFonts w:hint="eastAsia" w:ascii="仿宋_GB2312" w:hAnsi="Arial" w:cs="仿宋_GB2312"/>
          <w:snapToGrid w:val="0"/>
          <w:color w:val="000000"/>
          <w:kern w:val="0"/>
        </w:rPr>
        <w:t>类水质标准，县级以上城镇集中式饮用水水源地水质达标率</w:t>
      </w:r>
      <w:r>
        <w:rPr>
          <w:rFonts w:ascii="仿宋_GB2312" w:hAnsi="Arial" w:cs="仿宋_GB2312"/>
          <w:snapToGrid w:val="0"/>
          <w:color w:val="000000"/>
          <w:kern w:val="0"/>
        </w:rPr>
        <w:t>100%</w:t>
      </w:r>
      <w:r>
        <w:rPr>
          <w:rFonts w:hint="eastAsia" w:ascii="仿宋_GB2312" w:hAnsi="Arial" w:cs="仿宋_GB2312"/>
          <w:snapToGrid w:val="0"/>
          <w:color w:val="000000"/>
          <w:kern w:val="0"/>
        </w:rPr>
        <w:t>。污水集中处理率和城市生活垃圾处理率分别达</w:t>
      </w:r>
      <w:r>
        <w:rPr>
          <w:rFonts w:ascii="仿宋_GB2312" w:hAnsi="Arial" w:cs="仿宋_GB2312"/>
          <w:snapToGrid w:val="0"/>
          <w:color w:val="000000"/>
          <w:kern w:val="0"/>
        </w:rPr>
        <w:t>90%</w:t>
      </w:r>
      <w:r>
        <w:rPr>
          <w:rFonts w:hint="eastAsia" w:ascii="仿宋_GB2312" w:hAnsi="Arial" w:cs="仿宋_GB2312"/>
          <w:snapToGrid w:val="0"/>
          <w:color w:val="000000"/>
          <w:kern w:val="0"/>
        </w:rPr>
        <w:t>和</w:t>
      </w:r>
      <w:r>
        <w:rPr>
          <w:rFonts w:ascii="仿宋_GB2312" w:hAnsi="Arial" w:cs="仿宋_GB2312"/>
          <w:snapToGrid w:val="0"/>
          <w:color w:val="000000"/>
          <w:kern w:val="0"/>
        </w:rPr>
        <w:t>97.6%,</w:t>
      </w:r>
      <w:r>
        <w:rPr>
          <w:rFonts w:hint="eastAsia" w:ascii="仿宋_GB2312" w:hAnsi="Arial" w:cs="仿宋_GB2312"/>
          <w:snapToGrid w:val="0"/>
          <w:color w:val="000000"/>
          <w:kern w:val="0"/>
        </w:rPr>
        <w:t>市区功能区昼间及夜间噪声超标率逐年下降。土壤环境质量保持稳定。建成国家森林城市、国家卫生城市、省级环境保护模范城市，创建国家级生态乡镇</w:t>
      </w:r>
      <w:r>
        <w:rPr>
          <w:rFonts w:ascii="仿宋_GB2312" w:hAnsi="Arial" w:cs="仿宋_GB2312"/>
          <w:snapToGrid w:val="0"/>
          <w:color w:val="000000"/>
          <w:kern w:val="0"/>
        </w:rPr>
        <w:t>5</w:t>
      </w:r>
      <w:r>
        <w:rPr>
          <w:rFonts w:hint="eastAsia" w:ascii="仿宋_GB2312" w:hAnsi="Arial" w:cs="仿宋_GB2312"/>
          <w:snapToGrid w:val="0"/>
          <w:color w:val="000000"/>
          <w:kern w:val="0"/>
        </w:rPr>
        <w:t>个、省级生态乡镇</w:t>
      </w:r>
      <w:r>
        <w:rPr>
          <w:rFonts w:ascii="仿宋_GB2312" w:hAnsi="Arial" w:cs="仿宋_GB2312"/>
          <w:snapToGrid w:val="0"/>
          <w:color w:val="000000"/>
          <w:kern w:val="0"/>
        </w:rPr>
        <w:t>68</w:t>
      </w:r>
      <w:r>
        <w:rPr>
          <w:rFonts w:hint="eastAsia" w:ascii="仿宋_GB2312" w:hAnsi="Arial" w:cs="仿宋_GB2312"/>
          <w:snapToGrid w:val="0"/>
          <w:color w:val="000000"/>
          <w:kern w:val="0"/>
        </w:rPr>
        <w:t>个，国家级生态村</w:t>
      </w:r>
      <w:r>
        <w:rPr>
          <w:rFonts w:ascii="仿宋_GB2312" w:hAnsi="Arial" w:cs="仿宋_GB2312"/>
          <w:snapToGrid w:val="0"/>
          <w:color w:val="000000"/>
          <w:kern w:val="0"/>
        </w:rPr>
        <w:t>1</w:t>
      </w:r>
      <w:r>
        <w:rPr>
          <w:rFonts w:hint="eastAsia" w:ascii="仿宋_GB2312" w:hAnsi="Arial" w:cs="仿宋_GB2312"/>
          <w:snapToGrid w:val="0"/>
          <w:color w:val="000000"/>
          <w:kern w:val="0"/>
        </w:rPr>
        <w:t>个、省级生态村</w:t>
      </w:r>
      <w:r>
        <w:rPr>
          <w:rFonts w:ascii="仿宋_GB2312" w:hAnsi="Arial" w:cs="仿宋_GB2312"/>
          <w:snapToGrid w:val="0"/>
          <w:color w:val="000000"/>
          <w:kern w:val="0"/>
        </w:rPr>
        <w:t>33</w:t>
      </w:r>
      <w:r>
        <w:rPr>
          <w:rFonts w:hint="eastAsia" w:ascii="仿宋_GB2312" w:hAnsi="Arial" w:cs="仿宋_GB2312"/>
          <w:snapToGrid w:val="0"/>
          <w:color w:val="000000"/>
          <w:kern w:val="0"/>
        </w:rPr>
        <w:t>个。</w:t>
      </w:r>
      <w:bookmarkStart w:id="13" w:name="_Toc27019"/>
      <w:bookmarkStart w:id="14" w:name="_Toc23535"/>
    </w:p>
    <w:p w14:paraId="7F0FD209">
      <w:pPr>
        <w:spacing w:line="576" w:lineRule="exact"/>
        <w:ind w:firstLine="632" w:firstLineChars="200"/>
        <w:rPr>
          <w:rStyle w:val="12"/>
          <w:rFonts w:ascii="黑体" w:hAnsi="宋体" w:eastAsia="黑体" w:cs="Times New Roman"/>
          <w:b/>
          <w:bCs/>
          <w:snapToGrid w:val="0"/>
          <w:color w:val="000000"/>
          <w:kern w:val="0"/>
        </w:rPr>
      </w:pPr>
      <w:r>
        <w:rPr>
          <w:rStyle w:val="12"/>
          <w:rFonts w:hint="eastAsia" w:ascii="黑体" w:hAnsi="宋体" w:eastAsia="黑体" w:cs="黑体"/>
          <w:snapToGrid w:val="0"/>
          <w:color w:val="000000"/>
          <w:kern w:val="0"/>
        </w:rPr>
        <w:t>二、发展机遇</w:t>
      </w:r>
      <w:bookmarkEnd w:id="13"/>
      <w:bookmarkEnd w:id="14"/>
    </w:p>
    <w:p w14:paraId="5A2210DE">
      <w:pPr>
        <w:spacing w:line="576" w:lineRule="exact"/>
        <w:ind w:firstLine="632" w:firstLineChars="200"/>
        <w:rPr>
          <w:rFonts w:ascii="仿宋_GB2312" w:hAnsi="Arial" w:cs="Times New Roman"/>
          <w:snapToGrid w:val="0"/>
          <w:color w:val="000000"/>
          <w:kern w:val="0"/>
        </w:rPr>
      </w:pPr>
      <w:r>
        <w:rPr>
          <w:rFonts w:hint="eastAsia" w:ascii="仿宋_GB2312" w:hAnsi="Arial" w:cs="仿宋_GB2312"/>
          <w:snapToGrid w:val="0"/>
          <w:color w:val="000000"/>
          <w:kern w:val="0"/>
        </w:rPr>
        <w:t>“十三五”期间，是我国全面建成小康社会、全面深化改革、全面推进依法治国，全面从严治党，加快推进社会主义现代化的关键时期，是加快转变经济发展方式的攻坚时期，也是质量发展的又一个重要时期。</w:t>
      </w:r>
    </w:p>
    <w:p w14:paraId="19056A94">
      <w:pPr>
        <w:spacing w:line="576" w:lineRule="exact"/>
        <w:ind w:firstLine="632" w:firstLineChars="200"/>
        <w:rPr>
          <w:rFonts w:ascii="仿宋_GB2312" w:hAnsi="Arial" w:cs="Times New Roman"/>
          <w:snapToGrid w:val="0"/>
          <w:color w:val="000000"/>
          <w:kern w:val="0"/>
        </w:rPr>
      </w:pPr>
      <w:r>
        <w:rPr>
          <w:rFonts w:hint="eastAsia" w:ascii="仿宋_GB2312" w:hAnsi="Arial" w:cs="仿宋_GB2312"/>
          <w:snapToGrid w:val="0"/>
          <w:color w:val="000000"/>
          <w:kern w:val="0"/>
        </w:rPr>
        <w:t>从国际看，经济全球化深入发展，科技进步日新月异，全球产业分工和市场需求结构出现明显变化，以质量为核心要素的标准、人才、技术、市场、资源等竞争日趋激烈。</w:t>
      </w:r>
    </w:p>
    <w:p w14:paraId="3D587E9E">
      <w:pPr>
        <w:spacing w:line="576" w:lineRule="exact"/>
        <w:ind w:firstLine="632" w:firstLineChars="200"/>
        <w:rPr>
          <w:rFonts w:ascii="仿宋_GB2312" w:hAnsi="Arial" w:cs="Times New Roman"/>
          <w:snapToGrid w:val="0"/>
          <w:color w:val="000000"/>
          <w:kern w:val="0"/>
        </w:rPr>
      </w:pPr>
      <w:r>
        <w:rPr>
          <w:rFonts w:hint="eastAsia" w:ascii="仿宋_GB2312" w:hAnsi="Arial" w:cs="仿宋_GB2312"/>
          <w:snapToGrid w:val="0"/>
          <w:color w:val="000000"/>
          <w:kern w:val="0"/>
        </w:rPr>
        <w:t>从国内看，我国工业化、信息化、城镇化、市场化、国际化进程加快，要满足人民群众日益增长的质量需求需要强有力的质量保障能力。</w:t>
      </w:r>
    </w:p>
    <w:p w14:paraId="6F024B5D">
      <w:pPr>
        <w:spacing w:line="576" w:lineRule="exact"/>
        <w:ind w:firstLine="632" w:firstLineChars="200"/>
        <w:rPr>
          <w:rFonts w:ascii="仿宋_GB2312" w:hAnsi="Arial" w:cs="Times New Roman"/>
          <w:snapToGrid w:val="0"/>
          <w:color w:val="000000"/>
          <w:kern w:val="0"/>
        </w:rPr>
      </w:pPr>
      <w:r>
        <w:rPr>
          <w:rFonts w:hint="eastAsia" w:ascii="仿宋_GB2312" w:hAnsi="Arial" w:cs="仿宋_GB2312"/>
          <w:snapToGrid w:val="0"/>
          <w:color w:val="000000"/>
          <w:kern w:val="0"/>
        </w:rPr>
        <w:t>从我市来看，市第七次党代会提出了建设美丽、开放、活力、畅达、幸福的川陕甘结合部区域中心城市，打造中国生态康养旅游名市重大战略部署，深入实施大开放大合作、大保护大转型、大统筹大联动战略，构建“一核四带六链”产业布局，大力发展新型工业，加快发展现代服务业，着力发展现代农业。《广元市国民经济和社会发展第十三个五年规划》提出了开展质量品牌和对标提升行动，深入推进质量强市建设，实施产品强质工程，保护、传承和振兴老字号，促进战略性新兴产品规模化，培育开发新能源汽车、碳纤维等一批潜力产品，打造一批“广元造”名牌产品和知名品牌，培育以技术、标准、品牌、质量、服务为核心的产品竞争新优势等政策措施，为我市质量发展提供了宝贵的政策机遇。</w:t>
      </w:r>
      <w:bookmarkStart w:id="15" w:name="_Toc894"/>
      <w:bookmarkStart w:id="16" w:name="_Toc4222"/>
    </w:p>
    <w:p w14:paraId="2DB6235C">
      <w:pPr>
        <w:spacing w:line="576" w:lineRule="exact"/>
        <w:ind w:firstLine="632" w:firstLineChars="200"/>
        <w:rPr>
          <w:rStyle w:val="12"/>
          <w:rFonts w:ascii="黑体" w:hAnsi="宋体" w:eastAsia="黑体" w:cs="Times New Roman"/>
          <w:b/>
          <w:bCs/>
          <w:snapToGrid w:val="0"/>
          <w:color w:val="000000"/>
          <w:kern w:val="0"/>
        </w:rPr>
      </w:pPr>
      <w:r>
        <w:rPr>
          <w:rStyle w:val="12"/>
          <w:rFonts w:hint="eastAsia" w:ascii="黑体" w:hAnsi="宋体" w:eastAsia="黑体" w:cs="黑体"/>
          <w:snapToGrid w:val="0"/>
          <w:color w:val="000000"/>
          <w:kern w:val="0"/>
        </w:rPr>
        <w:t>三、面临挑战</w:t>
      </w:r>
      <w:bookmarkEnd w:id="15"/>
      <w:bookmarkEnd w:id="16"/>
    </w:p>
    <w:p w14:paraId="3774DF88">
      <w:pPr>
        <w:spacing w:line="576" w:lineRule="exact"/>
        <w:ind w:firstLine="632" w:firstLineChars="200"/>
        <w:rPr>
          <w:rFonts w:ascii="仿宋_GB2312" w:cs="Times New Roman"/>
          <w:snapToGrid w:val="0"/>
          <w:color w:val="000000"/>
          <w:kern w:val="0"/>
        </w:rPr>
      </w:pPr>
      <w:r>
        <w:rPr>
          <w:rFonts w:hint="eastAsia" w:ascii="仿宋_GB2312" w:hAnsi="仿宋_GB2312" w:cs="仿宋_GB2312"/>
        </w:rPr>
        <w:t>近年来，世界经济走势持续低迷、不及预期。国内经济发展又进入新常态，呈现出三期叠加的新特征，长期将处于</w:t>
      </w:r>
      <w:r>
        <w:rPr>
          <w:rFonts w:ascii="仿宋_GB2312" w:hAnsi="仿宋_GB2312" w:cs="仿宋_GB2312"/>
        </w:rPr>
        <w:t>L</w:t>
      </w:r>
      <w:r>
        <w:rPr>
          <w:rFonts w:hint="eastAsia" w:ascii="仿宋_GB2312" w:hAnsi="仿宋_GB2312" w:cs="仿宋_GB2312"/>
        </w:rPr>
        <w:t>型走势，多年以来支撑经济增长的低成本、低质量、低效益、粗放式发展模式难以为继，新的动力、新的优势亟待培育。我市作为秦巴山区欠发达地区，虽然近年来</w:t>
      </w:r>
      <w:r>
        <w:rPr>
          <w:rFonts w:ascii="仿宋_GB2312" w:hAnsi="仿宋_GB2312" w:cs="仿宋_GB2312"/>
        </w:rPr>
        <w:t>GDP</w:t>
      </w:r>
      <w:r>
        <w:rPr>
          <w:rFonts w:hint="eastAsia" w:ascii="仿宋_GB2312" w:hAnsi="仿宋_GB2312" w:cs="仿宋_GB2312"/>
        </w:rPr>
        <w:t>增速高于全国全省，但由于基础差、底子薄，经济总量小，发展不足、发展滞后仍是我市的基本市情，推动广元发展仍然面临诸多困难和问题，特别是</w:t>
      </w:r>
      <w:r>
        <w:rPr>
          <w:rFonts w:hint="eastAsia" w:ascii="仿宋_GB2312" w:hAnsi="Arial" w:cs="仿宋_GB2312"/>
          <w:snapToGrid w:val="0"/>
          <w:color w:val="000000"/>
          <w:kern w:val="0"/>
        </w:rPr>
        <w:t>质量水平仍不能满足经济社会发展要求，质量总体水平与人民群众不断提高的质量需求仍有较大差距。一是重总量、轻质量，片面追求发展速度和数量，忽视发展质量和效益的现象依然存在，促进质量发展的人力财力物力等要素保障不足，区域质量发展水平参差不齐。二是产业竞争力有待提升，高新技术和战略性新兴产业在整体产业中比重偏低，大企业大集团较少，在国内有影响力和竞争力的知名品牌不多。服务业发展相对滞后，生产性服务业比重过低，服务支撑能力不强。三是质量安全风险防控点多面大，大量的在建工程、环境污染治理和资源节约压力较大，质量安全形势严峻。四是计量、标准、检验检测、认证认可质量技术基础相对薄弱，高端技术人才和质量工匠缺乏，质量技术基础仍不能满足转型升级的要求。五是大质量工作机制还不健全，质量共建尚未扎实推进，企业主体责任落实还不到位，质量发展的深层次问题还没有得到根本解决。面对新常态、新形势、新要求，必须站在全局和战略高度，坚持把质量发展作为新常态下的新动力，作为推动供给侧结构性改革的重要抓手，</w:t>
      </w:r>
      <w:r>
        <w:rPr>
          <w:rFonts w:hint="eastAsia" w:ascii="仿宋_GB2312" w:cs="仿宋_GB2312"/>
          <w:snapToGrid w:val="0"/>
          <w:color w:val="000000"/>
          <w:kern w:val="0"/>
        </w:rPr>
        <w:t>全面推进质量强市战略，以提高质量和效益支撑经济社会转型升级，推动广元实现跨越式发展。</w:t>
      </w:r>
    </w:p>
    <w:p w14:paraId="75715747">
      <w:pPr>
        <w:spacing w:line="576" w:lineRule="exact"/>
        <w:ind w:firstLine="632" w:firstLineChars="200"/>
        <w:rPr>
          <w:rFonts w:ascii="仿宋_GB2312" w:cs="Times New Roman"/>
          <w:snapToGrid w:val="0"/>
          <w:color w:val="000000"/>
          <w:kern w:val="0"/>
        </w:rPr>
      </w:pPr>
      <w:bookmarkStart w:id="17" w:name="_Toc13505"/>
      <w:bookmarkStart w:id="18" w:name="_Toc12938"/>
    </w:p>
    <w:p w14:paraId="4397E77B">
      <w:pPr>
        <w:spacing w:line="576" w:lineRule="exact"/>
        <w:jc w:val="center"/>
        <w:rPr>
          <w:rStyle w:val="12"/>
          <w:rFonts w:ascii="方正小标宋简体" w:hAnsi="宋体" w:eastAsia="方正小标宋简体" w:cs="Times New Roman"/>
          <w:snapToGrid w:val="0"/>
          <w:color w:val="000000"/>
          <w:kern w:val="0"/>
        </w:rPr>
      </w:pPr>
      <w:r>
        <w:rPr>
          <w:rStyle w:val="12"/>
          <w:rFonts w:hint="eastAsia" w:ascii="方正小标宋简体" w:hAnsi="宋体" w:eastAsia="方正小标宋简体" w:cs="方正小标宋简体"/>
          <w:snapToGrid w:val="0"/>
          <w:color w:val="000000"/>
          <w:kern w:val="0"/>
        </w:rPr>
        <w:t>第二章</w:t>
      </w:r>
      <w:r>
        <w:rPr>
          <w:rStyle w:val="12"/>
          <w:rFonts w:ascii="方正小标宋简体" w:hAnsi="宋体" w:eastAsia="方正小标宋简体" w:cs="方正小标宋简体"/>
          <w:snapToGrid w:val="0"/>
          <w:color w:val="000000"/>
          <w:kern w:val="0"/>
        </w:rPr>
        <w:t xml:space="preserve">  </w:t>
      </w:r>
      <w:r>
        <w:rPr>
          <w:rStyle w:val="12"/>
          <w:rFonts w:hint="eastAsia" w:ascii="方正小标宋简体" w:hAnsi="宋体" w:eastAsia="方正小标宋简体" w:cs="方正小标宋简体"/>
          <w:snapToGrid w:val="0"/>
          <w:color w:val="000000"/>
          <w:kern w:val="0"/>
        </w:rPr>
        <w:t>指导思想、基本原则和发展目标</w:t>
      </w:r>
      <w:bookmarkEnd w:id="17"/>
      <w:bookmarkEnd w:id="18"/>
      <w:bookmarkStart w:id="19" w:name="_Toc27798"/>
      <w:bookmarkStart w:id="20" w:name="_Toc3825"/>
    </w:p>
    <w:p w14:paraId="66CC1EC3">
      <w:pPr>
        <w:spacing w:line="576" w:lineRule="exact"/>
        <w:rPr>
          <w:rStyle w:val="12"/>
          <w:rFonts w:ascii="方正小标宋简体" w:hAnsi="宋体" w:eastAsia="方正小标宋简体" w:cs="Times New Roman"/>
          <w:snapToGrid w:val="0"/>
          <w:color w:val="000000"/>
          <w:kern w:val="0"/>
          <w:sz w:val="36"/>
          <w:szCs w:val="36"/>
        </w:rPr>
      </w:pPr>
    </w:p>
    <w:p w14:paraId="488A3D31">
      <w:pPr>
        <w:spacing w:line="576" w:lineRule="exact"/>
        <w:ind w:firstLine="632" w:firstLineChars="200"/>
        <w:rPr>
          <w:rStyle w:val="12"/>
          <w:rFonts w:ascii="黑体" w:hAnsi="宋体" w:eastAsia="黑体" w:cs="Times New Roman"/>
          <w:b/>
          <w:bCs/>
          <w:snapToGrid w:val="0"/>
          <w:color w:val="000000"/>
          <w:kern w:val="0"/>
        </w:rPr>
      </w:pPr>
      <w:r>
        <w:rPr>
          <w:rStyle w:val="12"/>
          <w:rFonts w:hint="eastAsia" w:ascii="黑体" w:hAnsi="宋体" w:eastAsia="黑体" w:cs="黑体"/>
          <w:snapToGrid w:val="0"/>
          <w:color w:val="000000"/>
          <w:kern w:val="0"/>
        </w:rPr>
        <w:t>一、指导思想</w:t>
      </w:r>
      <w:bookmarkEnd w:id="19"/>
      <w:bookmarkEnd w:id="20"/>
    </w:p>
    <w:p w14:paraId="07AC98B6">
      <w:pPr>
        <w:spacing w:line="576" w:lineRule="exact"/>
        <w:ind w:firstLine="641"/>
        <w:jc w:val="left"/>
        <w:rPr>
          <w:rFonts w:ascii="仿宋_GB2312" w:hAnsi="Arial" w:cs="Times New Roman"/>
          <w:snapToGrid w:val="0"/>
          <w:color w:val="000000"/>
          <w:kern w:val="0"/>
        </w:rPr>
      </w:pPr>
      <w:r>
        <w:rPr>
          <w:rFonts w:hint="eastAsia" w:ascii="仿宋" w:hAnsi="仿宋" w:cs="仿宋_GB2312"/>
          <w:color w:val="000000"/>
        </w:rPr>
        <w:t>全面贯彻党的十八大和十八届三中、四中、五中、六中全会精神和习近平总书记系列</w:t>
      </w:r>
      <w:r>
        <w:rPr>
          <w:rFonts w:hint="eastAsia" w:ascii="仿宋" w:hAnsi="仿宋" w:cs="仿宋_GB2312"/>
          <w:color w:val="000000"/>
          <w:lang w:val="en-US" w:eastAsia="zh-CN"/>
        </w:rPr>
        <w:t>重要</w:t>
      </w:r>
      <w:r>
        <w:rPr>
          <w:rFonts w:hint="eastAsia" w:ascii="仿宋" w:hAnsi="仿宋" w:cs="仿宋_GB2312"/>
          <w:color w:val="000000"/>
        </w:rPr>
        <w:t>讲话精神，以及省第十一次党代会、市第七次</w:t>
      </w:r>
      <w:bookmarkStart w:id="183" w:name="_GoBack"/>
      <w:bookmarkEnd w:id="183"/>
      <w:r>
        <w:rPr>
          <w:rFonts w:hint="eastAsia" w:ascii="仿宋" w:hAnsi="仿宋" w:cs="仿宋_GB2312"/>
          <w:color w:val="000000"/>
        </w:rPr>
        <w:t>党代会精神，</w:t>
      </w:r>
      <w:r>
        <w:rPr>
          <w:rFonts w:hint="eastAsia" w:ascii="仿宋_GB2312" w:hAnsi="Arial" w:cs="仿宋_GB2312"/>
          <w:snapToGrid w:val="0"/>
          <w:color w:val="000000"/>
          <w:kern w:val="0"/>
        </w:rPr>
        <w:t>切实践行创新、协调、绿色、开放、共享五大发展理念，</w:t>
      </w:r>
      <w:r>
        <w:rPr>
          <w:rFonts w:hint="eastAsia" w:ascii="仿宋" w:hAnsi="仿宋" w:cs="仿宋_GB2312"/>
          <w:color w:val="000000"/>
        </w:rPr>
        <w:t>围绕“五位一体”总体布局和“四个全面”战略布局，</w:t>
      </w:r>
      <w:r>
        <w:rPr>
          <w:rFonts w:hint="eastAsia" w:ascii="仿宋_GB2312" w:hAnsi="Arial" w:cs="仿宋_GB2312"/>
          <w:snapToGrid w:val="0"/>
          <w:color w:val="000000"/>
          <w:kern w:val="0"/>
        </w:rPr>
        <w:t>认真贯彻《质量发展纲要（</w:t>
      </w:r>
      <w:r>
        <w:rPr>
          <w:rFonts w:ascii="仿宋_GB2312" w:hAnsi="Arial" w:cs="仿宋_GB2312"/>
          <w:snapToGrid w:val="0"/>
          <w:color w:val="000000"/>
          <w:kern w:val="0"/>
        </w:rPr>
        <w:t>2011</w:t>
      </w:r>
      <w:r>
        <w:rPr>
          <w:rFonts w:ascii="仿宋_GB2312" w:hAnsi="Arial" w:cs="Arial"/>
          <w:snapToGrid w:val="0"/>
          <w:color w:val="000000"/>
          <w:kern w:val="0"/>
        </w:rPr>
        <w:t>—</w:t>
      </w:r>
      <w:r>
        <w:rPr>
          <w:rFonts w:ascii="仿宋_GB2312" w:hAnsi="Arial" w:cs="仿宋_GB2312"/>
          <w:snapToGrid w:val="0"/>
          <w:color w:val="000000"/>
          <w:kern w:val="0"/>
        </w:rPr>
        <w:t>2020</w:t>
      </w:r>
      <w:r>
        <w:rPr>
          <w:rFonts w:hint="eastAsia" w:ascii="仿宋_GB2312" w:hAnsi="Arial" w:cs="仿宋_GB2312"/>
          <w:snapToGrid w:val="0"/>
          <w:color w:val="000000"/>
          <w:kern w:val="0"/>
        </w:rPr>
        <w:t>）》、“三个一”、“三个三”战略部署，以创新驱动为动力，以加快转变经济发展方式为主线，以提高发展质量和效益为中心，以推进供给侧结构性改革为抓手，大力实施质量强市战略，推动“广元制造”向“广元创造”、“广元产品”向“广元品牌”、“广元速度”向“广元质量”转变，引领广元经济社会迈向“质量时代”。</w:t>
      </w:r>
      <w:bookmarkStart w:id="21" w:name="_Toc18284"/>
      <w:bookmarkStart w:id="22" w:name="_Toc27914"/>
    </w:p>
    <w:p w14:paraId="199DB3F4">
      <w:pPr>
        <w:spacing w:line="576" w:lineRule="exact"/>
        <w:ind w:firstLine="641"/>
        <w:jc w:val="left"/>
        <w:rPr>
          <w:rStyle w:val="12"/>
          <w:rFonts w:ascii="黑体" w:hAnsi="宋体" w:eastAsia="黑体" w:cs="Times New Roman"/>
          <w:b/>
          <w:bCs/>
          <w:snapToGrid w:val="0"/>
          <w:color w:val="000000"/>
          <w:kern w:val="0"/>
        </w:rPr>
      </w:pPr>
      <w:r>
        <w:rPr>
          <w:rStyle w:val="12"/>
          <w:rFonts w:hint="eastAsia" w:ascii="黑体" w:hAnsi="宋体" w:eastAsia="黑体" w:cs="黑体"/>
          <w:snapToGrid w:val="0"/>
          <w:color w:val="000000"/>
          <w:kern w:val="0"/>
        </w:rPr>
        <w:t>二、基本原则</w:t>
      </w:r>
      <w:bookmarkEnd w:id="21"/>
      <w:bookmarkEnd w:id="22"/>
      <w:bookmarkStart w:id="23" w:name="_Toc8026"/>
      <w:bookmarkStart w:id="24" w:name="_Toc10500"/>
    </w:p>
    <w:p w14:paraId="2547FE26">
      <w:pPr>
        <w:spacing w:line="576" w:lineRule="exact"/>
        <w:ind w:firstLine="641"/>
        <w:jc w:val="left"/>
        <w:rPr>
          <w:rStyle w:val="12"/>
          <w:rFonts w:ascii="楷体_GB2312" w:hAnsi="宋体" w:eastAsia="楷体_GB2312" w:cs="Times New Roman"/>
          <w:b/>
          <w:bCs/>
          <w:snapToGrid w:val="0"/>
          <w:color w:val="000000"/>
          <w:kern w:val="0"/>
        </w:rPr>
      </w:pPr>
      <w:r>
        <w:rPr>
          <w:rStyle w:val="12"/>
          <w:rFonts w:hint="eastAsia" w:ascii="楷体_GB2312" w:eastAsia="楷体_GB2312" w:cs="楷体_GB2312"/>
          <w:snapToGrid w:val="0"/>
          <w:color w:val="000000"/>
          <w:kern w:val="0"/>
        </w:rPr>
        <w:t>（一）坚持质量引领、创新驱动</w:t>
      </w:r>
      <w:bookmarkEnd w:id="23"/>
      <w:bookmarkEnd w:id="24"/>
    </w:p>
    <w:p w14:paraId="5929425C">
      <w:pPr>
        <w:spacing w:line="576" w:lineRule="exact"/>
        <w:ind w:firstLine="632" w:firstLineChars="200"/>
        <w:rPr>
          <w:rStyle w:val="12"/>
          <w:rFonts w:ascii="仿宋_GB2312" w:cs="Times New Roman"/>
          <w:snapToGrid w:val="0"/>
          <w:color w:val="000000"/>
          <w:kern w:val="0"/>
        </w:rPr>
      </w:pPr>
      <w:r>
        <w:rPr>
          <w:rFonts w:hint="eastAsia" w:ascii="仿宋_GB2312" w:hAnsi="宋体" w:cs="仿宋_GB2312"/>
          <w:snapToGrid w:val="0"/>
          <w:color w:val="000000"/>
          <w:kern w:val="0"/>
        </w:rPr>
        <w:t>突出质量导向，充分发挥质量工作的战略性、基础性和支撑性作用，加快技术进步，推动管理创新，提高劳动者素质，增强自主创新能力，</w:t>
      </w:r>
      <w:r>
        <w:rPr>
          <w:rFonts w:hint="eastAsia" w:ascii="仿宋_GB2312" w:cs="仿宋_GB2312"/>
          <w:snapToGrid w:val="0"/>
          <w:color w:val="000000"/>
          <w:kern w:val="0"/>
        </w:rPr>
        <w:t>全面提高各行业质量管理水平，</w:t>
      </w:r>
      <w:r>
        <w:rPr>
          <w:rFonts w:hint="eastAsia" w:ascii="仿宋_GB2312" w:hAnsi="宋体" w:cs="仿宋_GB2312"/>
          <w:snapToGrid w:val="0"/>
          <w:color w:val="000000"/>
          <w:kern w:val="0"/>
        </w:rPr>
        <w:t>依靠质量提升不断增强市场竞争力，</w:t>
      </w:r>
      <w:r>
        <w:rPr>
          <w:rFonts w:hint="eastAsia" w:ascii="仿宋_GB2312" w:cs="仿宋_GB2312"/>
          <w:snapToGrid w:val="0"/>
          <w:color w:val="000000"/>
          <w:kern w:val="0"/>
        </w:rPr>
        <w:t>形成以质量为核心要素的区域竞争力，通过质量建设来促进区域经济社会的持续健康发展。</w:t>
      </w:r>
      <w:bookmarkStart w:id="25" w:name="_Toc8632"/>
      <w:bookmarkStart w:id="26" w:name="_Toc20462"/>
    </w:p>
    <w:p w14:paraId="4DEFC131">
      <w:pPr>
        <w:spacing w:line="576" w:lineRule="exact"/>
        <w:ind w:firstLine="632" w:firstLineChars="200"/>
        <w:rPr>
          <w:rStyle w:val="12"/>
          <w:rFonts w:ascii="楷体_GB2312" w:hAnsi="宋体" w:eastAsia="楷体_GB2312" w:cs="Times New Roman"/>
          <w:b/>
          <w:bCs/>
          <w:snapToGrid w:val="0"/>
          <w:color w:val="000000"/>
          <w:kern w:val="0"/>
        </w:rPr>
      </w:pPr>
      <w:r>
        <w:rPr>
          <w:rStyle w:val="12"/>
          <w:rFonts w:hint="eastAsia" w:ascii="楷体_GB2312" w:eastAsia="楷体_GB2312" w:cs="楷体_GB2312"/>
          <w:snapToGrid w:val="0"/>
          <w:color w:val="000000"/>
          <w:kern w:val="0"/>
        </w:rPr>
        <w:t>（二）坚持企业主体、市场导向</w:t>
      </w:r>
      <w:bookmarkEnd w:id="25"/>
      <w:bookmarkEnd w:id="26"/>
    </w:p>
    <w:p w14:paraId="7F615DCD">
      <w:pPr>
        <w:spacing w:line="576" w:lineRule="exact"/>
        <w:ind w:firstLine="632" w:firstLineChars="200"/>
        <w:rPr>
          <w:rFonts w:ascii="仿宋_GB2312" w:hAnsi="宋体" w:cs="Times New Roman"/>
          <w:snapToGrid w:val="0"/>
          <w:color w:val="000000"/>
          <w:kern w:val="0"/>
        </w:rPr>
      </w:pPr>
      <w:r>
        <w:rPr>
          <w:rFonts w:hint="eastAsia" w:ascii="仿宋_GB2312" w:hAnsi="宋体" w:cs="仿宋_GB2312"/>
          <w:snapToGrid w:val="0"/>
          <w:color w:val="000000"/>
          <w:kern w:val="0"/>
        </w:rPr>
        <w:t>强化企业的质量主体责任，推广先进质量管理方法，提升质量法制和诚信意识。加快质量诚信体系建设，严厉打击质量违法行为，充分发挥市场机制作用，营造公平竞争、诚实守信、优胜劣汰的市场环境，发展先进的质量文化。</w:t>
      </w:r>
      <w:bookmarkStart w:id="27" w:name="_Toc25449"/>
      <w:bookmarkStart w:id="28" w:name="_Toc9"/>
    </w:p>
    <w:p w14:paraId="05250BCF">
      <w:pPr>
        <w:spacing w:line="576" w:lineRule="exact"/>
        <w:ind w:firstLine="632" w:firstLineChars="200"/>
        <w:rPr>
          <w:rStyle w:val="12"/>
          <w:rFonts w:ascii="楷体_GB2312" w:hAnsi="宋体" w:eastAsia="楷体_GB2312" w:cs="Times New Roman"/>
          <w:b/>
          <w:bCs/>
          <w:snapToGrid w:val="0"/>
          <w:color w:val="000000"/>
          <w:kern w:val="0"/>
        </w:rPr>
      </w:pPr>
      <w:r>
        <w:rPr>
          <w:rStyle w:val="12"/>
          <w:rFonts w:hint="eastAsia" w:ascii="楷体_GB2312" w:eastAsia="楷体_GB2312" w:cs="楷体_GB2312"/>
          <w:snapToGrid w:val="0"/>
          <w:color w:val="000000"/>
          <w:kern w:val="0"/>
        </w:rPr>
        <w:t>（三）坚持社会共治、质量惠民</w:t>
      </w:r>
      <w:bookmarkEnd w:id="27"/>
      <w:bookmarkEnd w:id="28"/>
      <w:r>
        <w:rPr>
          <w:rStyle w:val="12"/>
          <w:rFonts w:ascii="楷体_GB2312" w:eastAsia="楷体_GB2312" w:cs="Times New Roman"/>
          <w:snapToGrid w:val="0"/>
          <w:color w:val="000000"/>
          <w:kern w:val="0"/>
        </w:rPr>
        <w:tab/>
      </w:r>
    </w:p>
    <w:p w14:paraId="3912BFB0">
      <w:pPr>
        <w:spacing w:line="576" w:lineRule="exact"/>
        <w:ind w:firstLine="632" w:firstLineChars="200"/>
        <w:rPr>
          <w:rFonts w:ascii="仿宋_GB2312" w:hAnsi="宋体" w:cs="Times New Roman"/>
          <w:snapToGrid w:val="0"/>
          <w:color w:val="000000"/>
          <w:kern w:val="0"/>
        </w:rPr>
      </w:pPr>
      <w:r>
        <w:rPr>
          <w:rFonts w:hint="eastAsia" w:ascii="仿宋_GB2312" w:hAnsi="宋体" w:cs="仿宋_GB2312"/>
          <w:snapToGrid w:val="0"/>
          <w:color w:val="000000"/>
          <w:kern w:val="0"/>
        </w:rPr>
        <w:t>坚持“放管服”相结合，调动全社会力量参与质量建设，构建质量社会共治格局。以质量惠民为价值导向，不断提高质量水平，更好地改善民生，提高人民幸福指数。</w:t>
      </w:r>
      <w:bookmarkStart w:id="29" w:name="_Toc10597"/>
      <w:bookmarkStart w:id="30" w:name="_Toc17883"/>
    </w:p>
    <w:p w14:paraId="64B76785">
      <w:pPr>
        <w:spacing w:line="576" w:lineRule="exact"/>
        <w:ind w:firstLine="632" w:firstLineChars="200"/>
        <w:rPr>
          <w:rStyle w:val="12"/>
          <w:rFonts w:ascii="楷体_GB2312" w:hAnsi="宋体" w:eastAsia="楷体_GB2312" w:cs="Times New Roman"/>
          <w:b/>
          <w:bCs/>
          <w:snapToGrid w:val="0"/>
          <w:color w:val="000000"/>
          <w:kern w:val="0"/>
        </w:rPr>
      </w:pPr>
      <w:r>
        <w:rPr>
          <w:rStyle w:val="12"/>
          <w:rFonts w:hint="eastAsia" w:ascii="楷体_GB2312" w:eastAsia="楷体_GB2312" w:cs="楷体_GB2312"/>
          <w:snapToGrid w:val="0"/>
          <w:color w:val="000000"/>
          <w:kern w:val="0"/>
        </w:rPr>
        <w:t>（四）坚持技术进步、夯实基础</w:t>
      </w:r>
      <w:bookmarkEnd w:id="29"/>
      <w:bookmarkEnd w:id="30"/>
    </w:p>
    <w:p w14:paraId="017CFFFA">
      <w:pPr>
        <w:spacing w:line="576" w:lineRule="exact"/>
        <w:ind w:firstLine="632" w:firstLineChars="200"/>
        <w:rPr>
          <w:rFonts w:ascii="仿宋_GB2312" w:hAnsi="宋体" w:cs="Times New Roman"/>
          <w:snapToGrid w:val="0"/>
          <w:color w:val="000000"/>
          <w:kern w:val="0"/>
        </w:rPr>
      </w:pPr>
      <w:r>
        <w:rPr>
          <w:rFonts w:hint="eastAsia" w:ascii="仿宋_GB2312" w:hAnsi="宋体" w:cs="仿宋_GB2312"/>
          <w:snapToGrid w:val="0"/>
          <w:color w:val="000000"/>
          <w:kern w:val="0"/>
        </w:rPr>
        <w:t>把夯实质量技术基础作为质量发展的保障条件，深化理论研究，加强质量人才培养，推进标准、计量、认证认可、检验检测能力建设，不断完善有利于质量发展的体制机制。</w:t>
      </w:r>
      <w:bookmarkStart w:id="31" w:name="_Toc17081"/>
      <w:bookmarkStart w:id="32" w:name="_Toc26402"/>
    </w:p>
    <w:p w14:paraId="1EEC8224">
      <w:pPr>
        <w:spacing w:line="576" w:lineRule="exact"/>
        <w:ind w:firstLine="632" w:firstLineChars="200"/>
        <w:rPr>
          <w:rStyle w:val="12"/>
          <w:rFonts w:ascii="楷体_GB2312" w:hAnsi="宋体" w:eastAsia="楷体_GB2312" w:cs="Times New Roman"/>
          <w:snapToGrid w:val="0"/>
          <w:color w:val="000000"/>
          <w:kern w:val="0"/>
        </w:rPr>
      </w:pPr>
      <w:r>
        <w:rPr>
          <w:rStyle w:val="12"/>
          <w:rFonts w:hint="eastAsia" w:ascii="楷体_GB2312" w:eastAsia="楷体_GB2312" w:cs="楷体_GB2312"/>
          <w:snapToGrid w:val="0"/>
          <w:color w:val="000000"/>
          <w:kern w:val="0"/>
        </w:rPr>
        <w:t>（五）坚持</w:t>
      </w:r>
      <w:r>
        <w:rPr>
          <w:rStyle w:val="12"/>
          <w:rFonts w:hint="eastAsia" w:ascii="楷体_GB2312" w:hAnsi="宋体" w:eastAsia="楷体_GB2312" w:cs="楷体_GB2312"/>
          <w:snapToGrid w:val="0"/>
          <w:color w:val="000000"/>
          <w:kern w:val="0"/>
        </w:rPr>
        <w:t>统筹规划、管理创新</w:t>
      </w:r>
      <w:bookmarkEnd w:id="31"/>
      <w:bookmarkEnd w:id="32"/>
    </w:p>
    <w:p w14:paraId="54417DA2">
      <w:pPr>
        <w:spacing w:line="576" w:lineRule="exact"/>
        <w:ind w:firstLine="632" w:firstLineChars="200"/>
        <w:rPr>
          <w:rFonts w:ascii="仿宋_GB2312" w:hAnsi="宋体" w:cs="Times New Roman"/>
          <w:snapToGrid w:val="0"/>
          <w:color w:val="000000"/>
          <w:kern w:val="0"/>
        </w:rPr>
      </w:pPr>
      <w:r>
        <w:rPr>
          <w:rFonts w:hint="eastAsia" w:ascii="仿宋_GB2312" w:hAnsi="宋体" w:cs="仿宋_GB2312"/>
          <w:snapToGrid w:val="0"/>
          <w:color w:val="000000"/>
          <w:kern w:val="0"/>
        </w:rPr>
        <w:t>推进质量强市建设，突出重点领域、主导行业、特色产业，把管理创新作为质量发展的强大动力，加快技术进步，实现优化资源配置，增强创新能力，增强发展活力，推动质量事业全面、协调、可持续发展。</w:t>
      </w:r>
      <w:bookmarkStart w:id="33" w:name="_Toc11237"/>
      <w:bookmarkStart w:id="34" w:name="_Toc12089"/>
    </w:p>
    <w:p w14:paraId="3E9820F2">
      <w:pPr>
        <w:spacing w:line="576" w:lineRule="exact"/>
        <w:ind w:firstLine="632" w:firstLineChars="200"/>
        <w:rPr>
          <w:rStyle w:val="12"/>
          <w:rFonts w:ascii="黑体" w:hAnsi="宋体" w:eastAsia="黑体" w:cs="Times New Roman"/>
          <w:b/>
          <w:bCs/>
          <w:snapToGrid w:val="0"/>
          <w:color w:val="000000"/>
          <w:kern w:val="0"/>
        </w:rPr>
      </w:pPr>
      <w:r>
        <w:rPr>
          <w:rStyle w:val="12"/>
          <w:rFonts w:hint="eastAsia" w:ascii="黑体" w:hAnsi="宋体" w:eastAsia="黑体" w:cs="黑体"/>
          <w:snapToGrid w:val="0"/>
          <w:color w:val="000000"/>
          <w:kern w:val="0"/>
        </w:rPr>
        <w:t>三、发展目标</w:t>
      </w:r>
      <w:bookmarkEnd w:id="33"/>
      <w:bookmarkEnd w:id="34"/>
    </w:p>
    <w:p w14:paraId="1EA09019">
      <w:pPr>
        <w:spacing w:line="576" w:lineRule="exact"/>
        <w:ind w:firstLine="620" w:firstLineChars="196"/>
        <w:rPr>
          <w:rFonts w:cs="Times New Roman"/>
          <w:color w:val="000000"/>
        </w:rPr>
      </w:pPr>
      <w:bookmarkStart w:id="35" w:name="_Toc7305"/>
      <w:r>
        <w:rPr>
          <w:rFonts w:hint="eastAsia" w:cs="仿宋_GB2312"/>
          <w:color w:val="000000"/>
        </w:rPr>
        <w:t>到</w:t>
      </w:r>
      <w:r>
        <w:rPr>
          <w:color w:val="000000"/>
        </w:rPr>
        <w:t>2020</w:t>
      </w:r>
      <w:r>
        <w:rPr>
          <w:rFonts w:hint="eastAsia" w:cs="仿宋_GB2312"/>
          <w:color w:val="000000"/>
        </w:rPr>
        <w:t>年，全市质量发展取得突破性成效，多元共建体系更加完善，质量技术基础进一步夯实，质量安全保障更加有效，质量对经济的贡献度明显提高，质量发展成果惠及全民，质量强市建设取得明显成效。</w:t>
      </w:r>
      <w:bookmarkEnd w:id="35"/>
    </w:p>
    <w:p w14:paraId="3734BAE0">
      <w:pPr>
        <w:spacing w:line="576" w:lineRule="exact"/>
        <w:ind w:firstLine="620" w:firstLineChars="196"/>
        <w:rPr>
          <w:rFonts w:cs="Times New Roman"/>
          <w:color w:val="000000"/>
        </w:rPr>
      </w:pPr>
      <w:r>
        <w:rPr>
          <w:rFonts w:hint="eastAsia" w:cs="仿宋_GB2312"/>
          <w:color w:val="000000"/>
        </w:rPr>
        <w:t>多元共建质量工作体系进一步完善。大质量工作机制、激励机制、惩戒机制日趋完善，质量诚信体系初步建立，企业主体作用和行业自律作用更好发挥，全社会质量意识明显提升，多元共建的大质量工作体系更加完善。</w:t>
      </w:r>
    </w:p>
    <w:p w14:paraId="54A3E487">
      <w:pPr>
        <w:spacing w:line="576" w:lineRule="exact"/>
        <w:ind w:firstLine="620" w:firstLineChars="196"/>
        <w:rPr>
          <w:rFonts w:cs="Times New Roman"/>
          <w:color w:val="000000"/>
        </w:rPr>
      </w:pPr>
      <w:r>
        <w:rPr>
          <w:rFonts w:hint="eastAsia" w:cs="仿宋_GB2312"/>
          <w:color w:val="000000"/>
        </w:rPr>
        <w:t>五大质量总体水平全面提升。产业、产品、工程、服务质量显著提升，环境质量明显改善，培育一批具有自主知识产权和自主品牌的拳头产品，形成一批管理先进、标准领先的领军企业，打造一批在全省具有显著竞争优势的现代企业和产业集群，建设一批节能环保和安全可靠的重点工程。</w:t>
      </w:r>
    </w:p>
    <w:p w14:paraId="6E369DD7">
      <w:pPr>
        <w:spacing w:line="576" w:lineRule="exact"/>
        <w:ind w:firstLine="620" w:firstLineChars="196"/>
        <w:rPr>
          <w:rFonts w:cs="Times New Roman"/>
          <w:color w:val="000000"/>
        </w:rPr>
      </w:pPr>
      <w:r>
        <w:rPr>
          <w:rFonts w:hint="eastAsia" w:cs="仿宋_GB2312"/>
          <w:color w:val="000000"/>
        </w:rPr>
        <w:t>质量技术和人才基础进一步夯实。参与制修订一批国家标准、行业标准、地方标准，建成一批技术能力强、具有较强竞争力的公共技术服务平台，推出一批质量创新成果，培育一批社会责任感强的企业家和精益求精的广元工匠。</w:t>
      </w:r>
      <w:bookmarkStart w:id="36" w:name="_Toc5682"/>
      <w:bookmarkStart w:id="37" w:name="_Toc6670"/>
    </w:p>
    <w:p w14:paraId="015DE7FA">
      <w:pPr>
        <w:spacing w:line="540" w:lineRule="exact"/>
        <w:ind w:firstLine="620" w:firstLineChars="196"/>
        <w:rPr>
          <w:rStyle w:val="12"/>
          <w:rFonts w:cs="Times New Roman"/>
          <w:color w:val="000000"/>
        </w:rPr>
      </w:pPr>
    </w:p>
    <w:tbl>
      <w:tblPr>
        <w:tblStyle w:val="10"/>
        <w:tblW w:w="9021"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1"/>
        <w:gridCol w:w="704"/>
        <w:gridCol w:w="3982"/>
        <w:gridCol w:w="854"/>
        <w:gridCol w:w="995"/>
        <w:gridCol w:w="1375"/>
      </w:tblGrid>
      <w:tr w14:paraId="4F5EA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9021" w:type="dxa"/>
            <w:gridSpan w:val="6"/>
            <w:vAlign w:val="center"/>
          </w:tcPr>
          <w:p w14:paraId="35B85A06">
            <w:pPr>
              <w:spacing w:line="300" w:lineRule="exact"/>
              <w:jc w:val="center"/>
              <w:rPr>
                <w:rFonts w:ascii="黑体" w:eastAsia="黑体" w:cs="Times New Roman"/>
                <w:snapToGrid w:val="0"/>
                <w:color w:val="000000"/>
                <w:kern w:val="0"/>
                <w:sz w:val="24"/>
                <w:szCs w:val="24"/>
              </w:rPr>
            </w:pPr>
            <w:r>
              <w:rPr>
                <w:rFonts w:hint="eastAsia" w:ascii="黑体" w:hAnsi="仿宋_GB2312" w:eastAsia="黑体" w:cs="黑体"/>
                <w:snapToGrid w:val="0"/>
                <w:color w:val="000000"/>
                <w:kern w:val="0"/>
                <w:sz w:val="24"/>
                <w:szCs w:val="24"/>
              </w:rPr>
              <w:t>专栏</w:t>
            </w:r>
            <w:r>
              <w:rPr>
                <w:rFonts w:ascii="黑体" w:hAnsi="仿宋_GB2312" w:eastAsia="黑体" w:cs="黑体"/>
                <w:snapToGrid w:val="0"/>
                <w:color w:val="000000"/>
                <w:kern w:val="0"/>
                <w:sz w:val="24"/>
                <w:szCs w:val="24"/>
              </w:rPr>
              <w:t xml:space="preserve">1  </w:t>
            </w:r>
            <w:r>
              <w:rPr>
                <w:rFonts w:hint="eastAsia" w:ascii="黑体" w:hAnsi="仿宋_GB2312" w:eastAsia="黑体" w:cs="黑体"/>
                <w:snapToGrid w:val="0"/>
                <w:color w:val="000000"/>
                <w:kern w:val="0"/>
                <w:sz w:val="24"/>
                <w:szCs w:val="24"/>
              </w:rPr>
              <w:t>广元市“十三五”质量发展具体目标</w:t>
            </w:r>
          </w:p>
        </w:tc>
      </w:tr>
      <w:tr w14:paraId="35FE1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111" w:type="dxa"/>
            <w:vAlign w:val="center"/>
          </w:tcPr>
          <w:p w14:paraId="489FA9C7">
            <w:pPr>
              <w:spacing w:line="300" w:lineRule="exact"/>
              <w:jc w:val="center"/>
              <w:rPr>
                <w:rFonts w:ascii="仿宋_GB2312" w:cs="Times New Roman"/>
                <w:snapToGrid w:val="0"/>
                <w:color w:val="000000"/>
                <w:kern w:val="0"/>
                <w:sz w:val="21"/>
                <w:szCs w:val="21"/>
              </w:rPr>
            </w:pPr>
            <w:bookmarkStart w:id="38" w:name="_Toc22321"/>
            <w:r>
              <w:rPr>
                <w:rFonts w:hint="eastAsia" w:ascii="仿宋_GB2312" w:hAnsi="Arial" w:cs="仿宋_GB2312"/>
                <w:snapToGrid w:val="0"/>
                <w:color w:val="000000"/>
                <w:kern w:val="0"/>
                <w:sz w:val="21"/>
                <w:szCs w:val="21"/>
              </w:rPr>
              <w:t>类别</w:t>
            </w:r>
            <w:bookmarkEnd w:id="38"/>
          </w:p>
        </w:tc>
        <w:tc>
          <w:tcPr>
            <w:tcW w:w="704" w:type="dxa"/>
            <w:vAlign w:val="center"/>
          </w:tcPr>
          <w:p w14:paraId="745F417A">
            <w:pPr>
              <w:spacing w:line="300" w:lineRule="exact"/>
              <w:jc w:val="center"/>
              <w:rPr>
                <w:rFonts w:ascii="仿宋_GB2312" w:cs="Times New Roman"/>
                <w:snapToGrid w:val="0"/>
                <w:color w:val="000000"/>
                <w:kern w:val="0"/>
                <w:sz w:val="21"/>
                <w:szCs w:val="21"/>
              </w:rPr>
            </w:pPr>
            <w:bookmarkStart w:id="39" w:name="_Toc31617"/>
            <w:r>
              <w:rPr>
                <w:rFonts w:hint="eastAsia" w:ascii="仿宋_GB2312" w:hAnsi="Arial" w:cs="仿宋_GB2312"/>
                <w:snapToGrid w:val="0"/>
                <w:color w:val="000000"/>
                <w:kern w:val="0"/>
                <w:sz w:val="21"/>
                <w:szCs w:val="21"/>
              </w:rPr>
              <w:t>序号</w:t>
            </w:r>
            <w:bookmarkEnd w:id="39"/>
          </w:p>
        </w:tc>
        <w:tc>
          <w:tcPr>
            <w:tcW w:w="3982" w:type="dxa"/>
            <w:vAlign w:val="center"/>
          </w:tcPr>
          <w:p w14:paraId="3632C539">
            <w:pPr>
              <w:spacing w:line="300" w:lineRule="exact"/>
              <w:jc w:val="center"/>
              <w:rPr>
                <w:rFonts w:ascii="仿宋_GB2312" w:cs="Times New Roman"/>
                <w:snapToGrid w:val="0"/>
                <w:color w:val="000000"/>
                <w:kern w:val="0"/>
                <w:sz w:val="21"/>
                <w:szCs w:val="21"/>
              </w:rPr>
            </w:pPr>
            <w:bookmarkStart w:id="40" w:name="_Toc2186"/>
            <w:r>
              <w:rPr>
                <w:rFonts w:hint="eastAsia" w:ascii="仿宋_GB2312" w:hAnsi="Arial" w:cs="仿宋_GB2312"/>
                <w:snapToGrid w:val="0"/>
                <w:color w:val="000000"/>
                <w:kern w:val="0"/>
                <w:sz w:val="21"/>
                <w:szCs w:val="21"/>
              </w:rPr>
              <w:t>指标名称</w:t>
            </w:r>
            <w:bookmarkEnd w:id="40"/>
          </w:p>
        </w:tc>
        <w:tc>
          <w:tcPr>
            <w:tcW w:w="854" w:type="dxa"/>
            <w:vAlign w:val="center"/>
          </w:tcPr>
          <w:p w14:paraId="4E639035">
            <w:pPr>
              <w:spacing w:line="300" w:lineRule="exact"/>
              <w:jc w:val="center"/>
              <w:rPr>
                <w:rFonts w:ascii="仿宋_GB2312" w:cs="Times New Roman"/>
                <w:snapToGrid w:val="0"/>
                <w:color w:val="000000"/>
                <w:kern w:val="0"/>
                <w:sz w:val="21"/>
                <w:szCs w:val="21"/>
              </w:rPr>
            </w:pPr>
            <w:bookmarkStart w:id="41" w:name="_Toc24755"/>
            <w:r>
              <w:rPr>
                <w:rFonts w:hint="eastAsia" w:ascii="仿宋_GB2312" w:hAnsi="Arial" w:cs="仿宋_GB2312"/>
                <w:snapToGrid w:val="0"/>
                <w:color w:val="000000"/>
                <w:kern w:val="0"/>
                <w:sz w:val="21"/>
                <w:szCs w:val="21"/>
              </w:rPr>
              <w:t>单位</w:t>
            </w:r>
            <w:bookmarkEnd w:id="41"/>
          </w:p>
        </w:tc>
        <w:tc>
          <w:tcPr>
            <w:tcW w:w="995" w:type="dxa"/>
            <w:vAlign w:val="center"/>
          </w:tcPr>
          <w:p w14:paraId="03C4A094">
            <w:pPr>
              <w:spacing w:line="300" w:lineRule="exact"/>
              <w:jc w:val="center"/>
              <w:rPr>
                <w:rFonts w:ascii="仿宋_GB2312" w:cs="Times New Roman"/>
                <w:snapToGrid w:val="0"/>
                <w:color w:val="000000"/>
                <w:kern w:val="0"/>
                <w:sz w:val="21"/>
                <w:szCs w:val="21"/>
              </w:rPr>
            </w:pPr>
            <w:bookmarkStart w:id="42" w:name="_Toc21214"/>
            <w:r>
              <w:rPr>
                <w:rFonts w:ascii="仿宋_GB2312" w:hAnsi="Arial" w:cs="仿宋_GB2312"/>
                <w:snapToGrid w:val="0"/>
                <w:color w:val="000000"/>
                <w:kern w:val="0"/>
                <w:sz w:val="21"/>
                <w:szCs w:val="21"/>
              </w:rPr>
              <w:t>2020</w:t>
            </w:r>
            <w:r>
              <w:rPr>
                <w:rFonts w:hint="eastAsia" w:ascii="仿宋_GB2312" w:hAnsi="Arial" w:cs="仿宋_GB2312"/>
                <w:snapToGrid w:val="0"/>
                <w:color w:val="000000"/>
                <w:kern w:val="0"/>
                <w:sz w:val="21"/>
                <w:szCs w:val="21"/>
              </w:rPr>
              <w:t>年</w:t>
            </w:r>
            <w:bookmarkEnd w:id="42"/>
          </w:p>
        </w:tc>
        <w:tc>
          <w:tcPr>
            <w:tcW w:w="1375" w:type="dxa"/>
            <w:vAlign w:val="center"/>
          </w:tcPr>
          <w:p w14:paraId="6AB48318">
            <w:pPr>
              <w:spacing w:line="240" w:lineRule="exact"/>
              <w:jc w:val="center"/>
              <w:rPr>
                <w:rFonts w:ascii="仿宋_GB2312" w:hAnsi="Arial" w:cs="Times New Roman"/>
                <w:snapToGrid w:val="0"/>
                <w:color w:val="000000"/>
                <w:kern w:val="0"/>
                <w:sz w:val="21"/>
                <w:szCs w:val="21"/>
              </w:rPr>
            </w:pPr>
            <w:bookmarkStart w:id="43" w:name="_Toc25369"/>
            <w:r>
              <w:rPr>
                <w:rFonts w:hint="eastAsia" w:ascii="仿宋_GB2312" w:hAnsi="Arial" w:cs="仿宋_GB2312"/>
                <w:snapToGrid w:val="0"/>
                <w:color w:val="000000"/>
                <w:kern w:val="0"/>
                <w:sz w:val="21"/>
                <w:szCs w:val="21"/>
              </w:rPr>
              <w:t>年均增速</w:t>
            </w:r>
            <w:bookmarkEnd w:id="43"/>
          </w:p>
          <w:p w14:paraId="5144CD6D">
            <w:pPr>
              <w:spacing w:line="240" w:lineRule="exact"/>
              <w:jc w:val="center"/>
              <w:rPr>
                <w:rFonts w:ascii="仿宋_GB2312" w:cs="Times New Roman"/>
                <w:snapToGrid w:val="0"/>
                <w:color w:val="000000"/>
                <w:kern w:val="0"/>
                <w:sz w:val="21"/>
                <w:szCs w:val="21"/>
              </w:rPr>
            </w:pPr>
            <w:bookmarkStart w:id="44" w:name="_Toc14878"/>
            <w:r>
              <w:rPr>
                <w:rFonts w:hint="eastAsia" w:ascii="仿宋_GB2312" w:hAnsi="Arial" w:cs="仿宋_GB2312"/>
                <w:snapToGrid w:val="0"/>
                <w:color w:val="000000"/>
                <w:kern w:val="0"/>
                <w:sz w:val="21"/>
                <w:szCs w:val="21"/>
              </w:rPr>
              <w:t>（累计</w:t>
            </w:r>
            <w:bookmarkEnd w:id="44"/>
            <w:r>
              <w:rPr>
                <w:rFonts w:hint="eastAsia" w:ascii="仿宋_GB2312" w:hAnsi="Arial" w:cs="仿宋_GB2312"/>
                <w:snapToGrid w:val="0"/>
                <w:color w:val="000000"/>
                <w:kern w:val="0"/>
                <w:sz w:val="21"/>
                <w:szCs w:val="21"/>
              </w:rPr>
              <w:t>）</w:t>
            </w:r>
          </w:p>
        </w:tc>
      </w:tr>
      <w:tr w14:paraId="2D9B7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111" w:type="dxa"/>
            <w:vMerge w:val="restart"/>
            <w:vAlign w:val="center"/>
          </w:tcPr>
          <w:p w14:paraId="1D7D8480">
            <w:pPr>
              <w:spacing w:line="260" w:lineRule="exact"/>
              <w:jc w:val="center"/>
              <w:rPr>
                <w:rFonts w:ascii="仿宋_GB2312" w:cs="Times New Roman"/>
                <w:snapToGrid w:val="0"/>
                <w:color w:val="000000"/>
                <w:kern w:val="0"/>
                <w:sz w:val="21"/>
                <w:szCs w:val="21"/>
              </w:rPr>
            </w:pPr>
            <w:r>
              <w:rPr>
                <w:rFonts w:hint="eastAsia" w:ascii="仿宋_GB2312" w:cs="仿宋_GB2312"/>
                <w:snapToGrid w:val="0"/>
                <w:color w:val="000000"/>
                <w:kern w:val="0"/>
                <w:sz w:val="21"/>
                <w:szCs w:val="21"/>
              </w:rPr>
              <w:t>产业质量</w:t>
            </w:r>
          </w:p>
        </w:tc>
        <w:tc>
          <w:tcPr>
            <w:tcW w:w="704" w:type="dxa"/>
            <w:vAlign w:val="center"/>
          </w:tcPr>
          <w:p w14:paraId="0225E59D">
            <w:pPr>
              <w:spacing w:line="360" w:lineRule="exact"/>
              <w:jc w:val="center"/>
              <w:rPr>
                <w:rFonts w:ascii="仿宋_GB2312" w:cs="Times New Roman"/>
                <w:snapToGrid w:val="0"/>
                <w:color w:val="000000"/>
                <w:kern w:val="0"/>
                <w:sz w:val="21"/>
                <w:szCs w:val="21"/>
              </w:rPr>
            </w:pPr>
            <w:bookmarkStart w:id="45" w:name="_Toc10785"/>
            <w:r>
              <w:rPr>
                <w:rFonts w:ascii="仿宋_GB2312" w:hAnsi="Arial" w:cs="仿宋_GB2312"/>
                <w:snapToGrid w:val="0"/>
                <w:color w:val="000000"/>
                <w:kern w:val="0"/>
                <w:sz w:val="21"/>
                <w:szCs w:val="21"/>
              </w:rPr>
              <w:t>1</w:t>
            </w:r>
            <w:bookmarkEnd w:id="45"/>
          </w:p>
        </w:tc>
        <w:tc>
          <w:tcPr>
            <w:tcW w:w="3982" w:type="dxa"/>
            <w:vAlign w:val="center"/>
          </w:tcPr>
          <w:p w14:paraId="56BC8E7A">
            <w:pPr>
              <w:spacing w:line="360" w:lineRule="exact"/>
              <w:jc w:val="center"/>
              <w:rPr>
                <w:rFonts w:ascii="仿宋_GB2312" w:cs="Times New Roman"/>
                <w:snapToGrid w:val="0"/>
                <w:color w:val="000000"/>
                <w:kern w:val="0"/>
                <w:sz w:val="21"/>
                <w:szCs w:val="21"/>
              </w:rPr>
            </w:pPr>
            <w:bookmarkStart w:id="46" w:name="_Toc5720"/>
            <w:r>
              <w:rPr>
                <w:rFonts w:hint="eastAsia" w:ascii="仿宋_GB2312" w:hAnsi="Arial" w:cs="仿宋_GB2312"/>
                <w:snapToGrid w:val="0"/>
                <w:color w:val="000000"/>
                <w:kern w:val="0"/>
                <w:sz w:val="21"/>
                <w:szCs w:val="21"/>
              </w:rPr>
              <w:t>工业增加值占</w:t>
            </w:r>
            <w:r>
              <w:rPr>
                <w:rFonts w:ascii="仿宋_GB2312" w:hAnsi="Arial" w:cs="仿宋_GB2312"/>
                <w:snapToGrid w:val="0"/>
                <w:color w:val="000000"/>
                <w:kern w:val="0"/>
                <w:sz w:val="21"/>
                <w:szCs w:val="21"/>
              </w:rPr>
              <w:t>GDP</w:t>
            </w:r>
            <w:r>
              <w:rPr>
                <w:rFonts w:hint="eastAsia" w:ascii="仿宋_GB2312" w:hAnsi="Arial" w:cs="仿宋_GB2312"/>
                <w:snapToGrid w:val="0"/>
                <w:color w:val="000000"/>
                <w:kern w:val="0"/>
                <w:sz w:val="21"/>
                <w:szCs w:val="21"/>
              </w:rPr>
              <w:t>的比重</w:t>
            </w:r>
            <w:bookmarkEnd w:id="46"/>
          </w:p>
        </w:tc>
        <w:tc>
          <w:tcPr>
            <w:tcW w:w="854" w:type="dxa"/>
            <w:vAlign w:val="center"/>
          </w:tcPr>
          <w:p w14:paraId="7B578E4A">
            <w:pPr>
              <w:spacing w:line="360" w:lineRule="exact"/>
              <w:jc w:val="center"/>
              <w:rPr>
                <w:rFonts w:ascii="仿宋_GB2312" w:cs="Times New Roman"/>
                <w:snapToGrid w:val="0"/>
                <w:color w:val="000000"/>
                <w:kern w:val="0"/>
                <w:sz w:val="21"/>
                <w:szCs w:val="21"/>
              </w:rPr>
            </w:pPr>
            <w:bookmarkStart w:id="47" w:name="_Toc2723"/>
            <w:r>
              <w:rPr>
                <w:rFonts w:ascii="仿宋_GB2312" w:hAnsi="Arial" w:cs="仿宋_GB2312"/>
                <w:snapToGrid w:val="0"/>
                <w:color w:val="000000"/>
                <w:kern w:val="0"/>
                <w:sz w:val="21"/>
                <w:szCs w:val="21"/>
              </w:rPr>
              <w:t>%</w:t>
            </w:r>
            <w:bookmarkEnd w:id="47"/>
          </w:p>
        </w:tc>
        <w:tc>
          <w:tcPr>
            <w:tcW w:w="995" w:type="dxa"/>
            <w:vAlign w:val="center"/>
          </w:tcPr>
          <w:p w14:paraId="1105ECE8">
            <w:pPr>
              <w:spacing w:line="360" w:lineRule="exact"/>
              <w:jc w:val="center"/>
              <w:rPr>
                <w:rFonts w:ascii="仿宋_GB2312" w:cs="Times New Roman"/>
                <w:snapToGrid w:val="0"/>
                <w:color w:val="000000"/>
                <w:kern w:val="0"/>
                <w:sz w:val="21"/>
                <w:szCs w:val="21"/>
              </w:rPr>
            </w:pPr>
            <w:bookmarkStart w:id="48" w:name="_Toc31198"/>
            <w:r>
              <w:rPr>
                <w:rFonts w:ascii="仿宋_GB2312" w:hAnsi="Arial" w:cs="仿宋_GB2312"/>
                <w:snapToGrid w:val="0"/>
                <w:color w:val="000000"/>
                <w:kern w:val="0"/>
                <w:sz w:val="21"/>
                <w:szCs w:val="21"/>
              </w:rPr>
              <w:t>50</w:t>
            </w:r>
            <w:bookmarkEnd w:id="48"/>
          </w:p>
        </w:tc>
        <w:tc>
          <w:tcPr>
            <w:tcW w:w="1375" w:type="dxa"/>
            <w:vAlign w:val="center"/>
          </w:tcPr>
          <w:p w14:paraId="6AB531F9">
            <w:pPr>
              <w:spacing w:line="360" w:lineRule="exact"/>
              <w:jc w:val="center"/>
              <w:rPr>
                <w:rFonts w:ascii="仿宋_GB2312" w:cs="Times New Roman"/>
                <w:snapToGrid w:val="0"/>
                <w:color w:val="000000"/>
                <w:kern w:val="0"/>
                <w:sz w:val="21"/>
                <w:szCs w:val="21"/>
              </w:rPr>
            </w:pPr>
            <w:bookmarkStart w:id="49" w:name="_Toc8966"/>
            <w:r>
              <w:rPr>
                <w:rFonts w:ascii="仿宋_GB2312" w:hAnsi="Arial" w:cs="仿宋_GB2312"/>
                <w:snapToGrid w:val="0"/>
                <w:color w:val="000000"/>
                <w:kern w:val="0"/>
                <w:sz w:val="21"/>
                <w:szCs w:val="21"/>
              </w:rPr>
              <w:t>9.6</w:t>
            </w:r>
            <w:bookmarkEnd w:id="49"/>
          </w:p>
        </w:tc>
      </w:tr>
      <w:tr w14:paraId="7BA6F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trPr>
        <w:tc>
          <w:tcPr>
            <w:tcW w:w="1111" w:type="dxa"/>
            <w:vMerge w:val="continue"/>
            <w:vAlign w:val="center"/>
          </w:tcPr>
          <w:p w14:paraId="16259BAB">
            <w:pPr>
              <w:spacing w:line="260" w:lineRule="exact"/>
              <w:jc w:val="center"/>
              <w:rPr>
                <w:rFonts w:ascii="仿宋_GB2312" w:cs="Times New Roman"/>
                <w:snapToGrid w:val="0"/>
                <w:color w:val="000000"/>
                <w:kern w:val="0"/>
                <w:sz w:val="21"/>
                <w:szCs w:val="21"/>
              </w:rPr>
            </w:pPr>
          </w:p>
        </w:tc>
        <w:tc>
          <w:tcPr>
            <w:tcW w:w="704" w:type="dxa"/>
            <w:vAlign w:val="center"/>
          </w:tcPr>
          <w:p w14:paraId="0F5B7EDA">
            <w:pPr>
              <w:spacing w:line="360" w:lineRule="exact"/>
              <w:jc w:val="center"/>
              <w:rPr>
                <w:rFonts w:ascii="仿宋_GB2312" w:cs="Times New Roman"/>
                <w:snapToGrid w:val="0"/>
                <w:color w:val="000000"/>
                <w:kern w:val="0"/>
                <w:sz w:val="21"/>
                <w:szCs w:val="21"/>
              </w:rPr>
            </w:pPr>
            <w:bookmarkStart w:id="50" w:name="_Toc29042"/>
            <w:r>
              <w:rPr>
                <w:rFonts w:ascii="仿宋_GB2312" w:hAnsi="Arial" w:cs="仿宋_GB2312"/>
                <w:snapToGrid w:val="0"/>
                <w:color w:val="000000"/>
                <w:kern w:val="0"/>
                <w:sz w:val="21"/>
                <w:szCs w:val="21"/>
              </w:rPr>
              <w:t>2</w:t>
            </w:r>
            <w:bookmarkEnd w:id="50"/>
          </w:p>
        </w:tc>
        <w:tc>
          <w:tcPr>
            <w:tcW w:w="3982" w:type="dxa"/>
            <w:vAlign w:val="center"/>
          </w:tcPr>
          <w:p w14:paraId="23123E73">
            <w:pPr>
              <w:spacing w:line="360" w:lineRule="exact"/>
              <w:jc w:val="center"/>
              <w:rPr>
                <w:rFonts w:ascii="仿宋_GB2312" w:cs="Times New Roman"/>
                <w:snapToGrid w:val="0"/>
                <w:color w:val="000000"/>
                <w:kern w:val="0"/>
                <w:sz w:val="21"/>
                <w:szCs w:val="21"/>
              </w:rPr>
            </w:pPr>
            <w:bookmarkStart w:id="51" w:name="_Toc23854"/>
            <w:r>
              <w:rPr>
                <w:rFonts w:hint="eastAsia" w:ascii="仿宋_GB2312" w:hAnsi="Arial" w:cs="仿宋_GB2312"/>
                <w:snapToGrid w:val="0"/>
                <w:color w:val="000000"/>
                <w:kern w:val="0"/>
                <w:sz w:val="21"/>
                <w:szCs w:val="21"/>
              </w:rPr>
              <w:t>战略性新兴产业产值</w:t>
            </w:r>
            <w:bookmarkEnd w:id="51"/>
          </w:p>
        </w:tc>
        <w:tc>
          <w:tcPr>
            <w:tcW w:w="854" w:type="dxa"/>
            <w:vAlign w:val="center"/>
          </w:tcPr>
          <w:p w14:paraId="4797D68C">
            <w:pPr>
              <w:spacing w:line="360" w:lineRule="exact"/>
              <w:jc w:val="center"/>
              <w:rPr>
                <w:rFonts w:ascii="仿宋_GB2312" w:cs="Times New Roman"/>
                <w:snapToGrid w:val="0"/>
                <w:color w:val="000000"/>
                <w:kern w:val="0"/>
                <w:sz w:val="21"/>
                <w:szCs w:val="21"/>
              </w:rPr>
            </w:pPr>
            <w:bookmarkStart w:id="52" w:name="_Toc14059"/>
            <w:r>
              <w:rPr>
                <w:rFonts w:hint="eastAsia" w:ascii="仿宋_GB2312" w:hAnsi="Arial" w:cs="仿宋_GB2312"/>
                <w:snapToGrid w:val="0"/>
                <w:color w:val="000000"/>
                <w:kern w:val="0"/>
                <w:sz w:val="21"/>
                <w:szCs w:val="21"/>
              </w:rPr>
              <w:t>亿元</w:t>
            </w:r>
            <w:bookmarkEnd w:id="52"/>
          </w:p>
        </w:tc>
        <w:tc>
          <w:tcPr>
            <w:tcW w:w="995" w:type="dxa"/>
            <w:vAlign w:val="center"/>
          </w:tcPr>
          <w:p w14:paraId="24C69B0C">
            <w:pPr>
              <w:spacing w:line="360" w:lineRule="exact"/>
              <w:jc w:val="center"/>
              <w:rPr>
                <w:rFonts w:ascii="仿宋_GB2312" w:cs="Times New Roman"/>
                <w:snapToGrid w:val="0"/>
                <w:color w:val="000000"/>
                <w:kern w:val="0"/>
                <w:sz w:val="21"/>
                <w:szCs w:val="21"/>
              </w:rPr>
            </w:pPr>
            <w:bookmarkStart w:id="53" w:name="_Toc11539"/>
            <w:r>
              <w:rPr>
                <w:rFonts w:ascii="仿宋_GB2312" w:hAnsi="Arial" w:cs="仿宋_GB2312"/>
                <w:snapToGrid w:val="0"/>
                <w:color w:val="000000"/>
                <w:kern w:val="0"/>
                <w:sz w:val="21"/>
                <w:szCs w:val="21"/>
              </w:rPr>
              <w:t>300</w:t>
            </w:r>
            <w:bookmarkEnd w:id="53"/>
          </w:p>
        </w:tc>
        <w:tc>
          <w:tcPr>
            <w:tcW w:w="1375" w:type="dxa"/>
            <w:vAlign w:val="center"/>
          </w:tcPr>
          <w:p w14:paraId="1F3E228E">
            <w:pPr>
              <w:spacing w:line="360" w:lineRule="exact"/>
              <w:jc w:val="center"/>
              <w:rPr>
                <w:rFonts w:ascii="仿宋_GB2312" w:cs="Times New Roman"/>
                <w:snapToGrid w:val="0"/>
                <w:color w:val="000000"/>
                <w:kern w:val="0"/>
                <w:sz w:val="21"/>
                <w:szCs w:val="21"/>
              </w:rPr>
            </w:pPr>
            <w:bookmarkStart w:id="54" w:name="_Toc29171"/>
            <w:r>
              <w:rPr>
                <w:rFonts w:ascii="仿宋_GB2312" w:hAnsi="Arial" w:cs="仿宋_GB2312"/>
                <w:snapToGrid w:val="0"/>
                <w:color w:val="000000"/>
                <w:kern w:val="0"/>
                <w:sz w:val="21"/>
                <w:szCs w:val="21"/>
              </w:rPr>
              <w:t>20%</w:t>
            </w:r>
            <w:bookmarkEnd w:id="54"/>
          </w:p>
        </w:tc>
      </w:tr>
      <w:tr w14:paraId="354D8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trPr>
        <w:tc>
          <w:tcPr>
            <w:tcW w:w="1111" w:type="dxa"/>
            <w:vMerge w:val="continue"/>
            <w:vAlign w:val="center"/>
          </w:tcPr>
          <w:p w14:paraId="23B24EA8">
            <w:pPr>
              <w:spacing w:line="260" w:lineRule="exact"/>
              <w:jc w:val="center"/>
              <w:rPr>
                <w:rFonts w:ascii="仿宋_GB2312" w:cs="Times New Roman"/>
                <w:snapToGrid w:val="0"/>
                <w:color w:val="000000"/>
                <w:kern w:val="0"/>
                <w:sz w:val="21"/>
                <w:szCs w:val="21"/>
              </w:rPr>
            </w:pPr>
          </w:p>
        </w:tc>
        <w:tc>
          <w:tcPr>
            <w:tcW w:w="704" w:type="dxa"/>
            <w:vAlign w:val="center"/>
          </w:tcPr>
          <w:p w14:paraId="32C90753">
            <w:pPr>
              <w:spacing w:line="360" w:lineRule="exact"/>
              <w:jc w:val="center"/>
              <w:rPr>
                <w:rFonts w:ascii="仿宋_GB2312" w:cs="Times New Roman"/>
                <w:snapToGrid w:val="0"/>
                <w:color w:val="000000"/>
                <w:kern w:val="0"/>
                <w:sz w:val="21"/>
                <w:szCs w:val="21"/>
              </w:rPr>
            </w:pPr>
            <w:bookmarkStart w:id="55" w:name="_Toc22781"/>
            <w:r>
              <w:rPr>
                <w:rFonts w:ascii="仿宋_GB2312" w:hAnsi="Arial" w:cs="仿宋_GB2312"/>
                <w:snapToGrid w:val="0"/>
                <w:color w:val="000000"/>
                <w:kern w:val="0"/>
                <w:sz w:val="21"/>
                <w:szCs w:val="21"/>
              </w:rPr>
              <w:t>3</w:t>
            </w:r>
            <w:bookmarkEnd w:id="55"/>
          </w:p>
        </w:tc>
        <w:tc>
          <w:tcPr>
            <w:tcW w:w="3982" w:type="dxa"/>
            <w:vAlign w:val="center"/>
          </w:tcPr>
          <w:p w14:paraId="1B28F03B">
            <w:pPr>
              <w:spacing w:line="360" w:lineRule="exact"/>
              <w:jc w:val="center"/>
              <w:rPr>
                <w:rFonts w:ascii="仿宋_GB2312" w:cs="Times New Roman"/>
                <w:snapToGrid w:val="0"/>
                <w:color w:val="000000"/>
                <w:kern w:val="0"/>
                <w:sz w:val="21"/>
                <w:szCs w:val="21"/>
              </w:rPr>
            </w:pPr>
            <w:bookmarkStart w:id="56" w:name="_Toc16335"/>
            <w:r>
              <w:rPr>
                <w:rFonts w:hint="eastAsia" w:ascii="仿宋_GB2312" w:hAnsi="Arial" w:cs="仿宋_GB2312"/>
                <w:snapToGrid w:val="0"/>
                <w:color w:val="000000"/>
                <w:kern w:val="0"/>
                <w:sz w:val="21"/>
                <w:szCs w:val="21"/>
              </w:rPr>
              <w:t>军民融合产业产值</w:t>
            </w:r>
            <w:bookmarkEnd w:id="56"/>
          </w:p>
        </w:tc>
        <w:tc>
          <w:tcPr>
            <w:tcW w:w="854" w:type="dxa"/>
            <w:vAlign w:val="center"/>
          </w:tcPr>
          <w:p w14:paraId="566E7983">
            <w:pPr>
              <w:spacing w:line="360" w:lineRule="exact"/>
              <w:jc w:val="center"/>
              <w:rPr>
                <w:rFonts w:ascii="仿宋_GB2312" w:cs="Times New Roman"/>
                <w:snapToGrid w:val="0"/>
                <w:color w:val="000000"/>
                <w:kern w:val="0"/>
                <w:sz w:val="21"/>
                <w:szCs w:val="21"/>
              </w:rPr>
            </w:pPr>
            <w:bookmarkStart w:id="57" w:name="_Toc16568"/>
            <w:r>
              <w:rPr>
                <w:rFonts w:hint="eastAsia" w:ascii="仿宋_GB2312" w:hAnsi="Arial" w:cs="仿宋_GB2312"/>
                <w:snapToGrid w:val="0"/>
                <w:color w:val="000000"/>
                <w:kern w:val="0"/>
                <w:sz w:val="21"/>
                <w:szCs w:val="21"/>
              </w:rPr>
              <w:t>亿元</w:t>
            </w:r>
            <w:bookmarkEnd w:id="57"/>
          </w:p>
        </w:tc>
        <w:tc>
          <w:tcPr>
            <w:tcW w:w="995" w:type="dxa"/>
            <w:vAlign w:val="center"/>
          </w:tcPr>
          <w:p w14:paraId="6EA1ABC9">
            <w:pPr>
              <w:spacing w:line="360" w:lineRule="exact"/>
              <w:jc w:val="center"/>
              <w:rPr>
                <w:rFonts w:ascii="仿宋_GB2312" w:cs="Times New Roman"/>
                <w:snapToGrid w:val="0"/>
                <w:color w:val="000000"/>
                <w:kern w:val="0"/>
                <w:sz w:val="21"/>
                <w:szCs w:val="21"/>
              </w:rPr>
            </w:pPr>
            <w:bookmarkStart w:id="58" w:name="_Toc16977"/>
            <w:r>
              <w:rPr>
                <w:rFonts w:ascii="仿宋_GB2312" w:hAnsi="Arial" w:cs="仿宋_GB2312"/>
                <w:snapToGrid w:val="0"/>
                <w:color w:val="000000"/>
                <w:kern w:val="0"/>
                <w:sz w:val="21"/>
                <w:szCs w:val="21"/>
              </w:rPr>
              <w:t>200</w:t>
            </w:r>
            <w:bookmarkEnd w:id="58"/>
          </w:p>
        </w:tc>
        <w:tc>
          <w:tcPr>
            <w:tcW w:w="1375" w:type="dxa"/>
            <w:vAlign w:val="center"/>
          </w:tcPr>
          <w:p w14:paraId="1CCA46F3">
            <w:pPr>
              <w:spacing w:line="360" w:lineRule="exact"/>
              <w:jc w:val="center"/>
              <w:rPr>
                <w:rFonts w:ascii="仿宋_GB2312" w:cs="Times New Roman"/>
                <w:snapToGrid w:val="0"/>
                <w:color w:val="000000"/>
                <w:kern w:val="0"/>
                <w:sz w:val="21"/>
                <w:szCs w:val="21"/>
              </w:rPr>
            </w:pPr>
            <w:bookmarkStart w:id="59" w:name="_Toc824"/>
            <w:r>
              <w:rPr>
                <w:rFonts w:ascii="仿宋_GB2312" w:hAnsi="Arial" w:cs="仿宋_GB2312"/>
                <w:snapToGrid w:val="0"/>
                <w:color w:val="000000"/>
                <w:kern w:val="0"/>
                <w:sz w:val="21"/>
                <w:szCs w:val="21"/>
              </w:rPr>
              <w:t>23.6%</w:t>
            </w:r>
            <w:bookmarkEnd w:id="59"/>
          </w:p>
        </w:tc>
      </w:tr>
      <w:tr w14:paraId="1A563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trPr>
        <w:tc>
          <w:tcPr>
            <w:tcW w:w="1111" w:type="dxa"/>
            <w:vMerge w:val="continue"/>
            <w:vAlign w:val="center"/>
          </w:tcPr>
          <w:p w14:paraId="1CEAAD80">
            <w:pPr>
              <w:spacing w:line="260" w:lineRule="exact"/>
              <w:jc w:val="center"/>
              <w:rPr>
                <w:rFonts w:ascii="仿宋_GB2312" w:cs="Times New Roman"/>
                <w:snapToGrid w:val="0"/>
                <w:color w:val="000000"/>
                <w:kern w:val="0"/>
                <w:sz w:val="21"/>
                <w:szCs w:val="21"/>
              </w:rPr>
            </w:pPr>
          </w:p>
        </w:tc>
        <w:tc>
          <w:tcPr>
            <w:tcW w:w="704" w:type="dxa"/>
            <w:vAlign w:val="center"/>
          </w:tcPr>
          <w:p w14:paraId="1AF17567">
            <w:pPr>
              <w:spacing w:line="360" w:lineRule="exact"/>
              <w:jc w:val="center"/>
              <w:rPr>
                <w:rFonts w:ascii="仿宋_GB2312" w:cs="Times New Roman"/>
                <w:snapToGrid w:val="0"/>
                <w:color w:val="000000"/>
                <w:kern w:val="0"/>
                <w:sz w:val="21"/>
                <w:szCs w:val="21"/>
              </w:rPr>
            </w:pPr>
            <w:bookmarkStart w:id="60" w:name="_Toc14176"/>
            <w:r>
              <w:rPr>
                <w:rFonts w:ascii="仿宋_GB2312" w:hAnsi="Arial" w:cs="仿宋_GB2312"/>
                <w:snapToGrid w:val="0"/>
                <w:color w:val="000000"/>
                <w:kern w:val="0"/>
                <w:sz w:val="21"/>
                <w:szCs w:val="21"/>
              </w:rPr>
              <w:t>4</w:t>
            </w:r>
            <w:bookmarkEnd w:id="60"/>
          </w:p>
        </w:tc>
        <w:tc>
          <w:tcPr>
            <w:tcW w:w="3982" w:type="dxa"/>
            <w:vAlign w:val="center"/>
          </w:tcPr>
          <w:p w14:paraId="77C0AF88">
            <w:pPr>
              <w:spacing w:line="360" w:lineRule="exact"/>
              <w:jc w:val="center"/>
              <w:rPr>
                <w:rFonts w:ascii="仿宋_GB2312" w:cs="Times New Roman"/>
                <w:snapToGrid w:val="0"/>
                <w:color w:val="000000"/>
                <w:kern w:val="0"/>
                <w:sz w:val="21"/>
                <w:szCs w:val="21"/>
              </w:rPr>
            </w:pPr>
            <w:bookmarkStart w:id="61" w:name="_Toc7810"/>
            <w:r>
              <w:rPr>
                <w:rFonts w:hint="eastAsia" w:ascii="仿宋_GB2312" w:hAnsi="Arial" w:cs="仿宋_GB2312"/>
                <w:snapToGrid w:val="0"/>
                <w:color w:val="000000"/>
                <w:kern w:val="0"/>
                <w:sz w:val="21"/>
                <w:szCs w:val="21"/>
              </w:rPr>
              <w:t>培育主营业务收入超过</w:t>
            </w:r>
            <w:r>
              <w:rPr>
                <w:rFonts w:ascii="仿宋_GB2312" w:hAnsi="Arial" w:cs="仿宋_GB2312"/>
                <w:snapToGrid w:val="0"/>
                <w:color w:val="000000"/>
                <w:kern w:val="0"/>
                <w:sz w:val="21"/>
                <w:szCs w:val="21"/>
              </w:rPr>
              <w:t>50</w:t>
            </w:r>
            <w:r>
              <w:rPr>
                <w:rFonts w:hint="eastAsia" w:ascii="仿宋_GB2312" w:hAnsi="Arial" w:cs="仿宋_GB2312"/>
                <w:snapToGrid w:val="0"/>
                <w:color w:val="000000"/>
                <w:kern w:val="0"/>
                <w:sz w:val="21"/>
                <w:szCs w:val="21"/>
              </w:rPr>
              <w:t>亿元企业</w:t>
            </w:r>
            <w:bookmarkEnd w:id="61"/>
          </w:p>
        </w:tc>
        <w:tc>
          <w:tcPr>
            <w:tcW w:w="854" w:type="dxa"/>
            <w:vAlign w:val="center"/>
          </w:tcPr>
          <w:p w14:paraId="0E914FDE">
            <w:pPr>
              <w:spacing w:line="360" w:lineRule="exact"/>
              <w:jc w:val="center"/>
              <w:rPr>
                <w:rFonts w:ascii="仿宋_GB2312" w:cs="Times New Roman"/>
                <w:snapToGrid w:val="0"/>
                <w:color w:val="000000"/>
                <w:kern w:val="0"/>
                <w:sz w:val="21"/>
                <w:szCs w:val="21"/>
              </w:rPr>
            </w:pPr>
            <w:bookmarkStart w:id="62" w:name="_Toc26044"/>
            <w:r>
              <w:rPr>
                <w:rFonts w:hint="eastAsia" w:ascii="仿宋_GB2312" w:hAnsi="Arial" w:cs="仿宋_GB2312"/>
                <w:snapToGrid w:val="0"/>
                <w:color w:val="000000"/>
                <w:kern w:val="0"/>
                <w:sz w:val="21"/>
                <w:szCs w:val="21"/>
              </w:rPr>
              <w:t>家</w:t>
            </w:r>
            <w:bookmarkEnd w:id="62"/>
          </w:p>
        </w:tc>
        <w:tc>
          <w:tcPr>
            <w:tcW w:w="995" w:type="dxa"/>
            <w:vAlign w:val="center"/>
          </w:tcPr>
          <w:p w14:paraId="533292DF">
            <w:pPr>
              <w:spacing w:line="360" w:lineRule="exact"/>
              <w:jc w:val="center"/>
              <w:rPr>
                <w:rFonts w:ascii="仿宋_GB2312" w:cs="Times New Roman"/>
                <w:snapToGrid w:val="0"/>
                <w:color w:val="000000"/>
                <w:kern w:val="0"/>
                <w:sz w:val="21"/>
                <w:szCs w:val="21"/>
              </w:rPr>
            </w:pPr>
            <w:r>
              <w:rPr>
                <w:rFonts w:ascii="仿宋_GB2312" w:hAnsi="Arial" w:cs="仿宋_GB2312"/>
                <w:snapToGrid w:val="0"/>
                <w:color w:val="000000"/>
                <w:kern w:val="0"/>
                <w:sz w:val="21"/>
                <w:szCs w:val="21"/>
              </w:rPr>
              <w:t>2</w:t>
            </w:r>
          </w:p>
        </w:tc>
        <w:tc>
          <w:tcPr>
            <w:tcW w:w="1375" w:type="dxa"/>
            <w:vAlign w:val="center"/>
          </w:tcPr>
          <w:p w14:paraId="7A6F618A">
            <w:pPr>
              <w:spacing w:line="360" w:lineRule="exact"/>
              <w:jc w:val="center"/>
              <w:rPr>
                <w:rFonts w:ascii="仿宋_GB2312" w:cs="Times New Roman"/>
                <w:snapToGrid w:val="0"/>
                <w:color w:val="000000"/>
                <w:kern w:val="0"/>
                <w:sz w:val="21"/>
                <w:szCs w:val="21"/>
              </w:rPr>
            </w:pPr>
          </w:p>
        </w:tc>
      </w:tr>
      <w:tr w14:paraId="7AF01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trPr>
        <w:tc>
          <w:tcPr>
            <w:tcW w:w="1111" w:type="dxa"/>
            <w:vMerge w:val="continue"/>
            <w:vAlign w:val="center"/>
          </w:tcPr>
          <w:p w14:paraId="03551AE6">
            <w:pPr>
              <w:spacing w:line="260" w:lineRule="exact"/>
              <w:jc w:val="center"/>
              <w:rPr>
                <w:rFonts w:ascii="仿宋_GB2312" w:cs="Times New Roman"/>
                <w:snapToGrid w:val="0"/>
                <w:color w:val="000000"/>
                <w:kern w:val="0"/>
                <w:sz w:val="21"/>
                <w:szCs w:val="21"/>
              </w:rPr>
            </w:pPr>
          </w:p>
        </w:tc>
        <w:tc>
          <w:tcPr>
            <w:tcW w:w="704" w:type="dxa"/>
            <w:vAlign w:val="center"/>
          </w:tcPr>
          <w:p w14:paraId="5F81388C">
            <w:pPr>
              <w:spacing w:line="360" w:lineRule="exact"/>
              <w:jc w:val="center"/>
              <w:rPr>
                <w:rFonts w:ascii="仿宋_GB2312" w:cs="Times New Roman"/>
                <w:snapToGrid w:val="0"/>
                <w:color w:val="000000"/>
                <w:kern w:val="0"/>
                <w:sz w:val="21"/>
                <w:szCs w:val="21"/>
              </w:rPr>
            </w:pPr>
            <w:bookmarkStart w:id="63" w:name="_Toc20711"/>
            <w:r>
              <w:rPr>
                <w:rStyle w:val="12"/>
                <w:rFonts w:ascii="仿宋_GB2312" w:hAnsi="宋体" w:cs="仿宋_GB2312"/>
                <w:snapToGrid w:val="0"/>
                <w:color w:val="000000"/>
                <w:kern w:val="0"/>
                <w:sz w:val="21"/>
                <w:szCs w:val="21"/>
              </w:rPr>
              <w:t>5</w:t>
            </w:r>
            <w:bookmarkEnd w:id="63"/>
          </w:p>
        </w:tc>
        <w:tc>
          <w:tcPr>
            <w:tcW w:w="3982" w:type="dxa"/>
            <w:vAlign w:val="center"/>
          </w:tcPr>
          <w:p w14:paraId="7945EF37">
            <w:pPr>
              <w:spacing w:line="360" w:lineRule="exact"/>
              <w:jc w:val="center"/>
              <w:rPr>
                <w:rFonts w:ascii="仿宋_GB2312" w:cs="Times New Roman"/>
                <w:snapToGrid w:val="0"/>
                <w:color w:val="000000"/>
                <w:kern w:val="0"/>
                <w:sz w:val="21"/>
                <w:szCs w:val="21"/>
              </w:rPr>
            </w:pPr>
            <w:bookmarkStart w:id="64" w:name="_Toc10918"/>
            <w:r>
              <w:rPr>
                <w:rFonts w:hint="eastAsia" w:ascii="仿宋_GB2312" w:hAnsi="Arial" w:cs="仿宋_GB2312"/>
                <w:snapToGrid w:val="0"/>
                <w:color w:val="000000"/>
                <w:kern w:val="0"/>
                <w:sz w:val="21"/>
                <w:szCs w:val="21"/>
              </w:rPr>
              <w:t>超过</w:t>
            </w:r>
            <w:r>
              <w:rPr>
                <w:rFonts w:ascii="仿宋_GB2312" w:hAnsi="Arial" w:cs="仿宋_GB2312"/>
                <w:snapToGrid w:val="0"/>
                <w:color w:val="000000"/>
                <w:kern w:val="0"/>
                <w:sz w:val="21"/>
                <w:szCs w:val="21"/>
              </w:rPr>
              <w:t>300</w:t>
            </w:r>
            <w:r>
              <w:rPr>
                <w:rFonts w:hint="eastAsia" w:ascii="仿宋_GB2312" w:hAnsi="Arial" w:cs="仿宋_GB2312"/>
                <w:snapToGrid w:val="0"/>
                <w:color w:val="000000"/>
                <w:kern w:val="0"/>
                <w:sz w:val="21"/>
                <w:szCs w:val="21"/>
              </w:rPr>
              <w:t>亿元的产业园区</w:t>
            </w:r>
            <w:bookmarkEnd w:id="64"/>
          </w:p>
        </w:tc>
        <w:tc>
          <w:tcPr>
            <w:tcW w:w="854" w:type="dxa"/>
            <w:vAlign w:val="center"/>
          </w:tcPr>
          <w:p w14:paraId="2BB33118">
            <w:pPr>
              <w:spacing w:line="360" w:lineRule="exact"/>
              <w:jc w:val="center"/>
              <w:rPr>
                <w:rFonts w:ascii="仿宋_GB2312" w:cs="Times New Roman"/>
                <w:snapToGrid w:val="0"/>
                <w:color w:val="000000"/>
                <w:kern w:val="0"/>
                <w:sz w:val="21"/>
                <w:szCs w:val="21"/>
              </w:rPr>
            </w:pPr>
            <w:bookmarkStart w:id="65" w:name="_Toc30046"/>
            <w:r>
              <w:rPr>
                <w:rFonts w:hint="eastAsia" w:ascii="仿宋_GB2312" w:hAnsi="Arial" w:cs="仿宋_GB2312"/>
                <w:snapToGrid w:val="0"/>
                <w:color w:val="000000"/>
                <w:kern w:val="0"/>
                <w:sz w:val="21"/>
                <w:szCs w:val="21"/>
              </w:rPr>
              <w:t>个</w:t>
            </w:r>
            <w:bookmarkEnd w:id="65"/>
          </w:p>
        </w:tc>
        <w:tc>
          <w:tcPr>
            <w:tcW w:w="995" w:type="dxa"/>
            <w:vAlign w:val="center"/>
          </w:tcPr>
          <w:p w14:paraId="53CF1AB9">
            <w:pPr>
              <w:spacing w:line="360" w:lineRule="exact"/>
              <w:jc w:val="center"/>
              <w:rPr>
                <w:rFonts w:ascii="仿宋_GB2312" w:cs="Times New Roman"/>
                <w:snapToGrid w:val="0"/>
                <w:color w:val="000000"/>
                <w:kern w:val="0"/>
                <w:sz w:val="21"/>
                <w:szCs w:val="21"/>
              </w:rPr>
            </w:pPr>
            <w:bookmarkStart w:id="66" w:name="_Toc15880"/>
            <w:r>
              <w:rPr>
                <w:rFonts w:ascii="仿宋_GB2312" w:hAnsi="Arial" w:cs="仿宋_GB2312"/>
                <w:snapToGrid w:val="0"/>
                <w:color w:val="000000"/>
                <w:kern w:val="0"/>
                <w:sz w:val="21"/>
                <w:szCs w:val="21"/>
              </w:rPr>
              <w:t>1</w:t>
            </w:r>
            <w:bookmarkEnd w:id="66"/>
          </w:p>
        </w:tc>
        <w:tc>
          <w:tcPr>
            <w:tcW w:w="1375" w:type="dxa"/>
            <w:vAlign w:val="center"/>
          </w:tcPr>
          <w:p w14:paraId="4C3DB807">
            <w:pPr>
              <w:spacing w:line="360" w:lineRule="exact"/>
              <w:jc w:val="center"/>
              <w:rPr>
                <w:rFonts w:ascii="仿宋_GB2312" w:cs="Times New Roman"/>
                <w:snapToGrid w:val="0"/>
                <w:color w:val="000000"/>
                <w:kern w:val="0"/>
                <w:sz w:val="21"/>
                <w:szCs w:val="21"/>
              </w:rPr>
            </w:pPr>
          </w:p>
        </w:tc>
      </w:tr>
      <w:tr w14:paraId="0C043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111" w:type="dxa"/>
            <w:vMerge w:val="restart"/>
            <w:vAlign w:val="center"/>
          </w:tcPr>
          <w:p w14:paraId="14907567">
            <w:pPr>
              <w:spacing w:line="260" w:lineRule="exact"/>
              <w:jc w:val="center"/>
              <w:rPr>
                <w:rFonts w:ascii="仿宋_GB2312" w:cs="Times New Roman"/>
                <w:snapToGrid w:val="0"/>
                <w:color w:val="000000"/>
                <w:kern w:val="0"/>
                <w:sz w:val="21"/>
                <w:szCs w:val="21"/>
              </w:rPr>
            </w:pPr>
            <w:r>
              <w:rPr>
                <w:rFonts w:hint="eastAsia" w:ascii="仿宋_GB2312" w:cs="仿宋_GB2312"/>
                <w:snapToGrid w:val="0"/>
                <w:color w:val="000000"/>
                <w:kern w:val="0"/>
                <w:sz w:val="21"/>
                <w:szCs w:val="21"/>
              </w:rPr>
              <w:t>产品质量</w:t>
            </w:r>
          </w:p>
        </w:tc>
        <w:tc>
          <w:tcPr>
            <w:tcW w:w="704" w:type="dxa"/>
            <w:vAlign w:val="center"/>
          </w:tcPr>
          <w:p w14:paraId="3D150B94">
            <w:pPr>
              <w:spacing w:line="360" w:lineRule="exact"/>
              <w:jc w:val="center"/>
              <w:rPr>
                <w:rFonts w:ascii="仿宋_GB2312" w:cs="Times New Roman"/>
                <w:snapToGrid w:val="0"/>
                <w:color w:val="000000"/>
                <w:kern w:val="0"/>
                <w:sz w:val="21"/>
                <w:szCs w:val="21"/>
              </w:rPr>
            </w:pPr>
            <w:bookmarkStart w:id="67" w:name="_Toc6018"/>
            <w:r>
              <w:rPr>
                <w:rStyle w:val="12"/>
                <w:rFonts w:ascii="仿宋_GB2312" w:hAnsi="宋体" w:cs="仿宋_GB2312"/>
                <w:snapToGrid w:val="0"/>
                <w:color w:val="000000"/>
                <w:kern w:val="0"/>
                <w:sz w:val="21"/>
                <w:szCs w:val="21"/>
              </w:rPr>
              <w:t>6</w:t>
            </w:r>
            <w:bookmarkEnd w:id="67"/>
          </w:p>
        </w:tc>
        <w:tc>
          <w:tcPr>
            <w:tcW w:w="3982" w:type="dxa"/>
            <w:vAlign w:val="center"/>
          </w:tcPr>
          <w:p w14:paraId="5AA544F6">
            <w:pPr>
              <w:spacing w:line="360" w:lineRule="exact"/>
              <w:jc w:val="center"/>
              <w:rPr>
                <w:rFonts w:ascii="仿宋_GB2312" w:cs="Times New Roman"/>
                <w:snapToGrid w:val="0"/>
                <w:color w:val="000000"/>
                <w:kern w:val="0"/>
                <w:sz w:val="21"/>
                <w:szCs w:val="21"/>
              </w:rPr>
            </w:pPr>
            <w:bookmarkStart w:id="68" w:name="_Toc9950"/>
            <w:r>
              <w:rPr>
                <w:rFonts w:hint="eastAsia" w:ascii="仿宋_GB2312" w:hAnsi="Arial" w:cs="仿宋_GB2312"/>
                <w:snapToGrid w:val="0"/>
                <w:color w:val="000000"/>
                <w:kern w:val="0"/>
                <w:sz w:val="21"/>
                <w:szCs w:val="21"/>
              </w:rPr>
              <w:t>农业标准化生产普及率</w:t>
            </w:r>
            <w:bookmarkEnd w:id="68"/>
          </w:p>
        </w:tc>
        <w:tc>
          <w:tcPr>
            <w:tcW w:w="854" w:type="dxa"/>
            <w:vAlign w:val="center"/>
          </w:tcPr>
          <w:p w14:paraId="3056F269">
            <w:pPr>
              <w:spacing w:line="360" w:lineRule="exact"/>
              <w:jc w:val="center"/>
              <w:rPr>
                <w:rFonts w:ascii="仿宋_GB2312" w:cs="Times New Roman"/>
                <w:snapToGrid w:val="0"/>
                <w:color w:val="000000"/>
                <w:kern w:val="0"/>
                <w:sz w:val="21"/>
                <w:szCs w:val="21"/>
              </w:rPr>
            </w:pPr>
            <w:bookmarkStart w:id="69" w:name="_Toc17122"/>
            <w:r>
              <w:rPr>
                <w:rFonts w:ascii="仿宋_GB2312" w:hAnsi="Arial" w:cs="仿宋_GB2312"/>
                <w:snapToGrid w:val="0"/>
                <w:color w:val="000000"/>
                <w:kern w:val="0"/>
                <w:sz w:val="21"/>
                <w:szCs w:val="21"/>
              </w:rPr>
              <w:t>%</w:t>
            </w:r>
            <w:bookmarkEnd w:id="69"/>
          </w:p>
        </w:tc>
        <w:tc>
          <w:tcPr>
            <w:tcW w:w="995" w:type="dxa"/>
            <w:vAlign w:val="center"/>
          </w:tcPr>
          <w:p w14:paraId="4B970F51">
            <w:pPr>
              <w:spacing w:line="360" w:lineRule="exact"/>
              <w:jc w:val="center"/>
              <w:rPr>
                <w:rFonts w:ascii="仿宋_GB2312" w:cs="Times New Roman"/>
                <w:snapToGrid w:val="0"/>
                <w:color w:val="000000"/>
                <w:kern w:val="0"/>
                <w:sz w:val="21"/>
                <w:szCs w:val="21"/>
              </w:rPr>
            </w:pPr>
            <w:bookmarkStart w:id="70" w:name="_Toc30787"/>
            <w:r>
              <w:rPr>
                <w:rFonts w:hint="eastAsia" w:ascii="仿宋_GB2312" w:hAnsi="Arial" w:cs="仿宋_GB2312"/>
                <w:snapToGrid w:val="0"/>
                <w:color w:val="000000"/>
                <w:kern w:val="0"/>
                <w:sz w:val="21"/>
                <w:szCs w:val="21"/>
              </w:rPr>
              <w:t>＞</w:t>
            </w:r>
            <w:r>
              <w:rPr>
                <w:rFonts w:ascii="仿宋_GB2312" w:hAnsi="Arial" w:cs="仿宋_GB2312"/>
                <w:snapToGrid w:val="0"/>
                <w:color w:val="000000"/>
                <w:kern w:val="0"/>
                <w:sz w:val="21"/>
                <w:szCs w:val="21"/>
              </w:rPr>
              <w:t>80</w:t>
            </w:r>
            <w:bookmarkEnd w:id="70"/>
          </w:p>
        </w:tc>
        <w:tc>
          <w:tcPr>
            <w:tcW w:w="1375" w:type="dxa"/>
            <w:vAlign w:val="center"/>
          </w:tcPr>
          <w:p w14:paraId="7AB53DC0">
            <w:pPr>
              <w:spacing w:line="360" w:lineRule="exact"/>
              <w:jc w:val="center"/>
              <w:rPr>
                <w:rFonts w:ascii="仿宋_GB2312" w:cs="Times New Roman"/>
                <w:snapToGrid w:val="0"/>
                <w:color w:val="000000"/>
                <w:kern w:val="0"/>
                <w:sz w:val="21"/>
                <w:szCs w:val="21"/>
              </w:rPr>
            </w:pPr>
          </w:p>
        </w:tc>
      </w:tr>
      <w:tr w14:paraId="5345C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trPr>
        <w:tc>
          <w:tcPr>
            <w:tcW w:w="1111" w:type="dxa"/>
            <w:vMerge w:val="continue"/>
            <w:vAlign w:val="center"/>
          </w:tcPr>
          <w:p w14:paraId="5D9F6002">
            <w:pPr>
              <w:spacing w:line="260" w:lineRule="exact"/>
              <w:jc w:val="center"/>
              <w:rPr>
                <w:rFonts w:ascii="仿宋_GB2312" w:cs="Times New Roman"/>
                <w:snapToGrid w:val="0"/>
                <w:color w:val="000000"/>
                <w:kern w:val="0"/>
                <w:sz w:val="21"/>
                <w:szCs w:val="21"/>
              </w:rPr>
            </w:pPr>
          </w:p>
        </w:tc>
        <w:tc>
          <w:tcPr>
            <w:tcW w:w="704" w:type="dxa"/>
            <w:vAlign w:val="center"/>
          </w:tcPr>
          <w:p w14:paraId="7C595B8C">
            <w:pPr>
              <w:spacing w:line="360" w:lineRule="exact"/>
              <w:jc w:val="center"/>
              <w:rPr>
                <w:rFonts w:ascii="仿宋_GB2312" w:cs="Times New Roman"/>
                <w:snapToGrid w:val="0"/>
                <w:color w:val="000000"/>
                <w:kern w:val="0"/>
                <w:sz w:val="21"/>
                <w:szCs w:val="21"/>
              </w:rPr>
            </w:pPr>
            <w:bookmarkStart w:id="71" w:name="_Toc17607"/>
            <w:r>
              <w:rPr>
                <w:rStyle w:val="12"/>
                <w:rFonts w:ascii="仿宋_GB2312" w:hAnsi="宋体" w:cs="仿宋_GB2312"/>
                <w:snapToGrid w:val="0"/>
                <w:color w:val="000000"/>
                <w:kern w:val="0"/>
                <w:sz w:val="21"/>
                <w:szCs w:val="21"/>
              </w:rPr>
              <w:t>7</w:t>
            </w:r>
            <w:bookmarkEnd w:id="71"/>
          </w:p>
        </w:tc>
        <w:tc>
          <w:tcPr>
            <w:tcW w:w="3982" w:type="dxa"/>
            <w:vAlign w:val="center"/>
          </w:tcPr>
          <w:p w14:paraId="1273C221">
            <w:pPr>
              <w:spacing w:line="360" w:lineRule="exact"/>
              <w:jc w:val="center"/>
              <w:rPr>
                <w:rFonts w:ascii="仿宋_GB2312" w:cs="Times New Roman"/>
                <w:snapToGrid w:val="0"/>
                <w:color w:val="000000"/>
                <w:kern w:val="0"/>
                <w:sz w:val="21"/>
                <w:szCs w:val="21"/>
              </w:rPr>
            </w:pPr>
            <w:bookmarkStart w:id="72" w:name="_Toc15987"/>
            <w:r>
              <w:rPr>
                <w:rFonts w:hint="eastAsia" w:ascii="仿宋_GB2312" w:hAnsi="Arial" w:cs="仿宋_GB2312"/>
                <w:snapToGrid w:val="0"/>
                <w:color w:val="000000"/>
                <w:kern w:val="0"/>
                <w:sz w:val="21"/>
                <w:szCs w:val="21"/>
              </w:rPr>
              <w:t>主要农产品质量安全抽检合格率</w:t>
            </w:r>
            <w:bookmarkEnd w:id="72"/>
          </w:p>
        </w:tc>
        <w:tc>
          <w:tcPr>
            <w:tcW w:w="854" w:type="dxa"/>
            <w:vAlign w:val="center"/>
          </w:tcPr>
          <w:p w14:paraId="3DD577F6">
            <w:pPr>
              <w:spacing w:line="360" w:lineRule="exact"/>
              <w:jc w:val="center"/>
              <w:rPr>
                <w:rFonts w:ascii="仿宋_GB2312" w:cs="Times New Roman"/>
                <w:snapToGrid w:val="0"/>
                <w:color w:val="000000"/>
                <w:kern w:val="0"/>
                <w:sz w:val="21"/>
                <w:szCs w:val="21"/>
              </w:rPr>
            </w:pPr>
            <w:bookmarkStart w:id="73" w:name="_Toc1075"/>
            <w:r>
              <w:rPr>
                <w:rFonts w:ascii="仿宋_GB2312" w:hAnsi="Arial" w:cs="仿宋_GB2312"/>
                <w:snapToGrid w:val="0"/>
                <w:color w:val="000000"/>
                <w:kern w:val="0"/>
                <w:sz w:val="21"/>
                <w:szCs w:val="21"/>
              </w:rPr>
              <w:t>%</w:t>
            </w:r>
            <w:bookmarkEnd w:id="73"/>
          </w:p>
        </w:tc>
        <w:tc>
          <w:tcPr>
            <w:tcW w:w="995" w:type="dxa"/>
            <w:vAlign w:val="center"/>
          </w:tcPr>
          <w:p w14:paraId="32DF976A">
            <w:pPr>
              <w:spacing w:line="360" w:lineRule="exact"/>
              <w:jc w:val="center"/>
              <w:rPr>
                <w:rFonts w:ascii="仿宋_GB2312" w:cs="Times New Roman"/>
                <w:snapToGrid w:val="0"/>
                <w:color w:val="000000"/>
                <w:kern w:val="0"/>
                <w:sz w:val="21"/>
                <w:szCs w:val="21"/>
              </w:rPr>
            </w:pPr>
            <w:bookmarkStart w:id="74" w:name="_Toc26969"/>
            <w:r>
              <w:rPr>
                <w:rFonts w:hint="eastAsia" w:ascii="仿宋_GB2312" w:hAnsi="Arial" w:cs="仿宋_GB2312"/>
                <w:snapToGrid w:val="0"/>
                <w:color w:val="000000"/>
                <w:kern w:val="0"/>
                <w:sz w:val="21"/>
                <w:szCs w:val="21"/>
              </w:rPr>
              <w:t>＞</w:t>
            </w:r>
            <w:r>
              <w:rPr>
                <w:rFonts w:ascii="仿宋_GB2312" w:hAnsi="Arial" w:cs="仿宋_GB2312"/>
                <w:snapToGrid w:val="0"/>
                <w:color w:val="000000"/>
                <w:kern w:val="0"/>
                <w:sz w:val="21"/>
                <w:szCs w:val="21"/>
              </w:rPr>
              <w:t>97</w:t>
            </w:r>
            <w:bookmarkEnd w:id="74"/>
          </w:p>
        </w:tc>
        <w:tc>
          <w:tcPr>
            <w:tcW w:w="1375" w:type="dxa"/>
            <w:vAlign w:val="center"/>
          </w:tcPr>
          <w:p w14:paraId="1456844F">
            <w:pPr>
              <w:spacing w:line="360" w:lineRule="exact"/>
              <w:jc w:val="center"/>
              <w:rPr>
                <w:rFonts w:ascii="仿宋_GB2312" w:cs="Times New Roman"/>
                <w:snapToGrid w:val="0"/>
                <w:color w:val="000000"/>
                <w:kern w:val="0"/>
                <w:sz w:val="21"/>
                <w:szCs w:val="21"/>
              </w:rPr>
            </w:pPr>
          </w:p>
        </w:tc>
      </w:tr>
      <w:tr w14:paraId="1A926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trPr>
        <w:tc>
          <w:tcPr>
            <w:tcW w:w="1111" w:type="dxa"/>
            <w:vMerge w:val="continue"/>
            <w:vAlign w:val="center"/>
          </w:tcPr>
          <w:p w14:paraId="309CC39C">
            <w:pPr>
              <w:spacing w:line="260" w:lineRule="exact"/>
              <w:jc w:val="center"/>
              <w:rPr>
                <w:rFonts w:ascii="仿宋_GB2312" w:cs="Times New Roman"/>
                <w:snapToGrid w:val="0"/>
                <w:color w:val="000000"/>
                <w:kern w:val="0"/>
                <w:sz w:val="21"/>
                <w:szCs w:val="21"/>
              </w:rPr>
            </w:pPr>
          </w:p>
        </w:tc>
        <w:tc>
          <w:tcPr>
            <w:tcW w:w="704" w:type="dxa"/>
            <w:vAlign w:val="center"/>
          </w:tcPr>
          <w:p w14:paraId="4AF10E2F">
            <w:pPr>
              <w:spacing w:line="360" w:lineRule="exact"/>
              <w:jc w:val="center"/>
              <w:rPr>
                <w:rFonts w:ascii="仿宋_GB2312" w:cs="Times New Roman"/>
                <w:snapToGrid w:val="0"/>
                <w:color w:val="000000"/>
                <w:kern w:val="0"/>
                <w:sz w:val="21"/>
                <w:szCs w:val="21"/>
              </w:rPr>
            </w:pPr>
            <w:bookmarkStart w:id="75" w:name="_Toc27306"/>
            <w:r>
              <w:rPr>
                <w:rStyle w:val="12"/>
                <w:rFonts w:ascii="仿宋_GB2312" w:hAnsi="宋体" w:cs="仿宋_GB2312"/>
                <w:snapToGrid w:val="0"/>
                <w:color w:val="000000"/>
                <w:kern w:val="0"/>
                <w:sz w:val="21"/>
                <w:szCs w:val="21"/>
              </w:rPr>
              <w:t>8</w:t>
            </w:r>
            <w:bookmarkEnd w:id="75"/>
          </w:p>
        </w:tc>
        <w:tc>
          <w:tcPr>
            <w:tcW w:w="3982" w:type="dxa"/>
            <w:vAlign w:val="center"/>
          </w:tcPr>
          <w:p w14:paraId="24C1E5F0">
            <w:pPr>
              <w:spacing w:line="360" w:lineRule="exact"/>
              <w:jc w:val="center"/>
              <w:rPr>
                <w:rFonts w:ascii="仿宋_GB2312" w:cs="Times New Roman"/>
                <w:snapToGrid w:val="0"/>
                <w:color w:val="000000"/>
                <w:kern w:val="0"/>
                <w:sz w:val="21"/>
                <w:szCs w:val="21"/>
              </w:rPr>
            </w:pPr>
            <w:bookmarkStart w:id="76" w:name="_Toc6299"/>
            <w:r>
              <w:rPr>
                <w:rFonts w:hint="eastAsia" w:ascii="仿宋_GB2312" w:hAnsi="Arial" w:cs="仿宋_GB2312"/>
                <w:snapToGrid w:val="0"/>
                <w:color w:val="000000"/>
                <w:kern w:val="0"/>
                <w:sz w:val="21"/>
                <w:szCs w:val="21"/>
              </w:rPr>
              <w:t>畜产品、水产品总体合格率</w:t>
            </w:r>
            <w:bookmarkEnd w:id="76"/>
          </w:p>
        </w:tc>
        <w:tc>
          <w:tcPr>
            <w:tcW w:w="854" w:type="dxa"/>
            <w:vAlign w:val="center"/>
          </w:tcPr>
          <w:p w14:paraId="548E5447">
            <w:pPr>
              <w:spacing w:line="360" w:lineRule="exact"/>
              <w:jc w:val="center"/>
              <w:rPr>
                <w:rFonts w:ascii="仿宋_GB2312" w:cs="Times New Roman"/>
                <w:snapToGrid w:val="0"/>
                <w:color w:val="000000"/>
                <w:kern w:val="0"/>
                <w:sz w:val="21"/>
                <w:szCs w:val="21"/>
              </w:rPr>
            </w:pPr>
            <w:bookmarkStart w:id="77" w:name="_Toc27782"/>
            <w:r>
              <w:rPr>
                <w:rFonts w:ascii="仿宋_GB2312" w:hAnsi="Arial" w:cs="仿宋_GB2312"/>
                <w:snapToGrid w:val="0"/>
                <w:color w:val="000000"/>
                <w:kern w:val="0"/>
                <w:sz w:val="21"/>
                <w:szCs w:val="21"/>
              </w:rPr>
              <w:t>%</w:t>
            </w:r>
            <w:bookmarkEnd w:id="77"/>
          </w:p>
        </w:tc>
        <w:tc>
          <w:tcPr>
            <w:tcW w:w="995" w:type="dxa"/>
            <w:vAlign w:val="center"/>
          </w:tcPr>
          <w:p w14:paraId="04C03961">
            <w:pPr>
              <w:spacing w:line="360" w:lineRule="exact"/>
              <w:jc w:val="center"/>
              <w:rPr>
                <w:rFonts w:ascii="仿宋_GB2312" w:cs="Times New Roman"/>
                <w:snapToGrid w:val="0"/>
                <w:color w:val="000000"/>
                <w:kern w:val="0"/>
                <w:sz w:val="21"/>
                <w:szCs w:val="21"/>
              </w:rPr>
            </w:pPr>
            <w:bookmarkStart w:id="78" w:name="_Toc15678"/>
            <w:r>
              <w:rPr>
                <w:rFonts w:hint="eastAsia" w:ascii="仿宋_GB2312" w:hAnsi="Arial" w:cs="仿宋_GB2312"/>
                <w:snapToGrid w:val="0"/>
                <w:color w:val="000000"/>
                <w:kern w:val="0"/>
                <w:sz w:val="21"/>
                <w:szCs w:val="21"/>
              </w:rPr>
              <w:t>＞</w:t>
            </w:r>
            <w:r>
              <w:rPr>
                <w:rFonts w:ascii="仿宋_GB2312" w:hAnsi="Arial" w:cs="仿宋_GB2312"/>
                <w:snapToGrid w:val="0"/>
                <w:color w:val="000000"/>
                <w:kern w:val="0"/>
                <w:sz w:val="21"/>
                <w:szCs w:val="21"/>
              </w:rPr>
              <w:t>98</w:t>
            </w:r>
            <w:bookmarkEnd w:id="78"/>
          </w:p>
        </w:tc>
        <w:tc>
          <w:tcPr>
            <w:tcW w:w="1375" w:type="dxa"/>
            <w:vAlign w:val="center"/>
          </w:tcPr>
          <w:p w14:paraId="5457ADD1">
            <w:pPr>
              <w:spacing w:line="360" w:lineRule="exact"/>
              <w:jc w:val="center"/>
              <w:rPr>
                <w:rFonts w:ascii="仿宋_GB2312" w:cs="Times New Roman"/>
                <w:snapToGrid w:val="0"/>
                <w:color w:val="000000"/>
                <w:kern w:val="0"/>
                <w:sz w:val="21"/>
                <w:szCs w:val="21"/>
              </w:rPr>
            </w:pPr>
          </w:p>
        </w:tc>
      </w:tr>
      <w:tr w14:paraId="4FBAA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trPr>
        <w:tc>
          <w:tcPr>
            <w:tcW w:w="1111" w:type="dxa"/>
            <w:vMerge w:val="continue"/>
            <w:vAlign w:val="center"/>
          </w:tcPr>
          <w:p w14:paraId="30219F1E">
            <w:pPr>
              <w:spacing w:line="260" w:lineRule="exact"/>
              <w:jc w:val="center"/>
              <w:rPr>
                <w:rFonts w:ascii="仿宋_GB2312" w:cs="Times New Roman"/>
                <w:snapToGrid w:val="0"/>
                <w:color w:val="000000"/>
                <w:kern w:val="0"/>
                <w:sz w:val="21"/>
                <w:szCs w:val="21"/>
              </w:rPr>
            </w:pPr>
          </w:p>
        </w:tc>
        <w:tc>
          <w:tcPr>
            <w:tcW w:w="704" w:type="dxa"/>
            <w:vAlign w:val="center"/>
          </w:tcPr>
          <w:p w14:paraId="4E6D486A">
            <w:pPr>
              <w:spacing w:line="360" w:lineRule="exact"/>
              <w:jc w:val="center"/>
              <w:rPr>
                <w:rFonts w:ascii="仿宋_GB2312" w:cs="Times New Roman"/>
                <w:snapToGrid w:val="0"/>
                <w:color w:val="000000"/>
                <w:kern w:val="0"/>
                <w:sz w:val="21"/>
                <w:szCs w:val="21"/>
              </w:rPr>
            </w:pPr>
            <w:bookmarkStart w:id="79" w:name="_Toc29857"/>
            <w:r>
              <w:rPr>
                <w:rStyle w:val="12"/>
                <w:rFonts w:ascii="仿宋_GB2312" w:hAnsi="宋体" w:cs="仿宋_GB2312"/>
                <w:snapToGrid w:val="0"/>
                <w:color w:val="000000"/>
                <w:kern w:val="0"/>
                <w:sz w:val="21"/>
                <w:szCs w:val="21"/>
              </w:rPr>
              <w:t>9</w:t>
            </w:r>
            <w:bookmarkEnd w:id="79"/>
          </w:p>
        </w:tc>
        <w:tc>
          <w:tcPr>
            <w:tcW w:w="3982" w:type="dxa"/>
            <w:vAlign w:val="center"/>
          </w:tcPr>
          <w:p w14:paraId="538F668D">
            <w:pPr>
              <w:spacing w:line="360" w:lineRule="exact"/>
              <w:jc w:val="center"/>
              <w:rPr>
                <w:rFonts w:ascii="仿宋_GB2312" w:cs="Times New Roman"/>
                <w:snapToGrid w:val="0"/>
                <w:color w:val="000000"/>
                <w:kern w:val="0"/>
                <w:sz w:val="21"/>
                <w:szCs w:val="21"/>
              </w:rPr>
            </w:pPr>
            <w:bookmarkStart w:id="80" w:name="_Toc25862"/>
            <w:r>
              <w:rPr>
                <w:rFonts w:hint="eastAsia" w:ascii="仿宋_GB2312" w:hAnsi="Arial" w:cs="仿宋_GB2312"/>
                <w:snapToGrid w:val="0"/>
                <w:color w:val="000000"/>
                <w:kern w:val="0"/>
                <w:sz w:val="21"/>
                <w:szCs w:val="21"/>
              </w:rPr>
              <w:t>工业品监督抽检合格率</w:t>
            </w:r>
            <w:bookmarkEnd w:id="80"/>
          </w:p>
        </w:tc>
        <w:tc>
          <w:tcPr>
            <w:tcW w:w="854" w:type="dxa"/>
            <w:vAlign w:val="center"/>
          </w:tcPr>
          <w:p w14:paraId="676805FF">
            <w:pPr>
              <w:spacing w:line="360" w:lineRule="exact"/>
              <w:jc w:val="center"/>
              <w:rPr>
                <w:rFonts w:ascii="仿宋_GB2312" w:cs="Times New Roman"/>
                <w:snapToGrid w:val="0"/>
                <w:color w:val="000000"/>
                <w:kern w:val="0"/>
                <w:sz w:val="21"/>
                <w:szCs w:val="21"/>
              </w:rPr>
            </w:pPr>
            <w:bookmarkStart w:id="81" w:name="_Toc22170"/>
            <w:r>
              <w:rPr>
                <w:rFonts w:ascii="仿宋_GB2312" w:hAnsi="Arial" w:cs="仿宋_GB2312"/>
                <w:snapToGrid w:val="0"/>
                <w:color w:val="000000"/>
                <w:kern w:val="0"/>
                <w:sz w:val="21"/>
                <w:szCs w:val="21"/>
              </w:rPr>
              <w:t>%</w:t>
            </w:r>
            <w:bookmarkEnd w:id="81"/>
          </w:p>
        </w:tc>
        <w:tc>
          <w:tcPr>
            <w:tcW w:w="995" w:type="dxa"/>
            <w:vAlign w:val="center"/>
          </w:tcPr>
          <w:p w14:paraId="48955380">
            <w:pPr>
              <w:spacing w:line="360" w:lineRule="exact"/>
              <w:jc w:val="center"/>
              <w:rPr>
                <w:rFonts w:ascii="仿宋_GB2312" w:cs="Times New Roman"/>
                <w:snapToGrid w:val="0"/>
                <w:color w:val="000000"/>
                <w:kern w:val="0"/>
                <w:sz w:val="21"/>
                <w:szCs w:val="21"/>
              </w:rPr>
            </w:pPr>
            <w:bookmarkStart w:id="82" w:name="_Toc26180"/>
            <w:r>
              <w:rPr>
                <w:rFonts w:hint="eastAsia" w:ascii="仿宋_GB2312" w:hAnsi="Arial" w:cs="仿宋_GB2312"/>
                <w:snapToGrid w:val="0"/>
                <w:color w:val="000000"/>
                <w:kern w:val="0"/>
                <w:sz w:val="21"/>
                <w:szCs w:val="21"/>
              </w:rPr>
              <w:t>＞</w:t>
            </w:r>
            <w:r>
              <w:rPr>
                <w:rFonts w:ascii="仿宋_GB2312" w:hAnsi="Arial" w:cs="仿宋_GB2312"/>
                <w:snapToGrid w:val="0"/>
                <w:color w:val="000000"/>
                <w:kern w:val="0"/>
                <w:sz w:val="21"/>
                <w:szCs w:val="21"/>
              </w:rPr>
              <w:t>96</w:t>
            </w:r>
            <w:bookmarkEnd w:id="82"/>
          </w:p>
        </w:tc>
        <w:tc>
          <w:tcPr>
            <w:tcW w:w="1375" w:type="dxa"/>
            <w:vAlign w:val="center"/>
          </w:tcPr>
          <w:p w14:paraId="7FBE157F">
            <w:pPr>
              <w:spacing w:line="360" w:lineRule="exact"/>
              <w:jc w:val="center"/>
              <w:rPr>
                <w:rFonts w:ascii="仿宋_GB2312" w:cs="Times New Roman"/>
                <w:snapToGrid w:val="0"/>
                <w:color w:val="000000"/>
                <w:kern w:val="0"/>
                <w:sz w:val="21"/>
                <w:szCs w:val="21"/>
              </w:rPr>
            </w:pPr>
          </w:p>
        </w:tc>
      </w:tr>
      <w:tr w14:paraId="6FE50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trPr>
        <w:tc>
          <w:tcPr>
            <w:tcW w:w="1111" w:type="dxa"/>
            <w:vMerge w:val="continue"/>
            <w:vAlign w:val="center"/>
          </w:tcPr>
          <w:p w14:paraId="76B365F8">
            <w:pPr>
              <w:spacing w:line="260" w:lineRule="exact"/>
              <w:jc w:val="center"/>
              <w:rPr>
                <w:rFonts w:ascii="仿宋_GB2312" w:cs="Times New Roman"/>
                <w:snapToGrid w:val="0"/>
                <w:color w:val="000000"/>
                <w:kern w:val="0"/>
                <w:sz w:val="21"/>
                <w:szCs w:val="21"/>
              </w:rPr>
            </w:pPr>
          </w:p>
        </w:tc>
        <w:tc>
          <w:tcPr>
            <w:tcW w:w="704" w:type="dxa"/>
            <w:vAlign w:val="center"/>
          </w:tcPr>
          <w:p w14:paraId="1D688204">
            <w:pPr>
              <w:spacing w:line="360" w:lineRule="exact"/>
              <w:jc w:val="center"/>
              <w:rPr>
                <w:rFonts w:ascii="仿宋_GB2312" w:cs="Times New Roman"/>
                <w:snapToGrid w:val="0"/>
                <w:color w:val="000000"/>
                <w:kern w:val="0"/>
                <w:sz w:val="21"/>
                <w:szCs w:val="21"/>
              </w:rPr>
            </w:pPr>
            <w:bookmarkStart w:id="83" w:name="_Toc17414"/>
            <w:r>
              <w:rPr>
                <w:rStyle w:val="12"/>
                <w:rFonts w:ascii="仿宋_GB2312" w:hAnsi="宋体" w:cs="仿宋_GB2312"/>
                <w:snapToGrid w:val="0"/>
                <w:color w:val="000000"/>
                <w:kern w:val="0"/>
                <w:sz w:val="21"/>
                <w:szCs w:val="21"/>
              </w:rPr>
              <w:t>10</w:t>
            </w:r>
            <w:bookmarkEnd w:id="83"/>
          </w:p>
        </w:tc>
        <w:tc>
          <w:tcPr>
            <w:tcW w:w="3982" w:type="dxa"/>
            <w:vAlign w:val="center"/>
          </w:tcPr>
          <w:p w14:paraId="50DF23C9">
            <w:pPr>
              <w:spacing w:line="360" w:lineRule="exact"/>
              <w:jc w:val="center"/>
              <w:rPr>
                <w:rFonts w:ascii="仿宋_GB2312" w:cs="Times New Roman"/>
                <w:snapToGrid w:val="0"/>
                <w:color w:val="000000"/>
                <w:kern w:val="0"/>
                <w:sz w:val="21"/>
                <w:szCs w:val="21"/>
              </w:rPr>
            </w:pPr>
            <w:bookmarkStart w:id="84" w:name="_Toc5812"/>
            <w:r>
              <w:rPr>
                <w:rFonts w:hint="eastAsia" w:ascii="仿宋_GB2312" w:hAnsi="Arial" w:cs="仿宋_GB2312"/>
                <w:snapToGrid w:val="0"/>
                <w:color w:val="000000"/>
                <w:kern w:val="0"/>
                <w:sz w:val="21"/>
                <w:szCs w:val="21"/>
              </w:rPr>
              <w:t>食品质量监督抽检合格率</w:t>
            </w:r>
            <w:bookmarkEnd w:id="84"/>
          </w:p>
        </w:tc>
        <w:tc>
          <w:tcPr>
            <w:tcW w:w="854" w:type="dxa"/>
            <w:vAlign w:val="center"/>
          </w:tcPr>
          <w:p w14:paraId="7E049D41">
            <w:pPr>
              <w:spacing w:line="360" w:lineRule="exact"/>
              <w:jc w:val="center"/>
              <w:rPr>
                <w:rFonts w:ascii="仿宋_GB2312" w:cs="Times New Roman"/>
                <w:snapToGrid w:val="0"/>
                <w:color w:val="000000"/>
                <w:kern w:val="0"/>
                <w:sz w:val="21"/>
                <w:szCs w:val="21"/>
              </w:rPr>
            </w:pPr>
            <w:bookmarkStart w:id="85" w:name="_Toc25662"/>
            <w:r>
              <w:rPr>
                <w:rFonts w:ascii="仿宋_GB2312" w:hAnsi="Arial" w:cs="仿宋_GB2312"/>
                <w:snapToGrid w:val="0"/>
                <w:color w:val="000000"/>
                <w:kern w:val="0"/>
                <w:sz w:val="21"/>
                <w:szCs w:val="21"/>
              </w:rPr>
              <w:t>%</w:t>
            </w:r>
            <w:bookmarkEnd w:id="85"/>
          </w:p>
        </w:tc>
        <w:tc>
          <w:tcPr>
            <w:tcW w:w="995" w:type="dxa"/>
            <w:vAlign w:val="center"/>
          </w:tcPr>
          <w:p w14:paraId="75FA2282">
            <w:pPr>
              <w:spacing w:line="360" w:lineRule="exact"/>
              <w:jc w:val="center"/>
              <w:rPr>
                <w:rFonts w:ascii="仿宋_GB2312" w:cs="Times New Roman"/>
                <w:snapToGrid w:val="0"/>
                <w:color w:val="000000"/>
                <w:kern w:val="0"/>
                <w:sz w:val="21"/>
                <w:szCs w:val="21"/>
              </w:rPr>
            </w:pPr>
            <w:bookmarkStart w:id="86" w:name="_Toc20111"/>
            <w:r>
              <w:rPr>
                <w:rFonts w:hint="eastAsia" w:ascii="仿宋_GB2312" w:hAnsi="Arial" w:cs="仿宋_GB2312"/>
                <w:snapToGrid w:val="0"/>
                <w:color w:val="000000"/>
                <w:kern w:val="0"/>
                <w:sz w:val="21"/>
                <w:szCs w:val="21"/>
              </w:rPr>
              <w:t>＞</w:t>
            </w:r>
            <w:r>
              <w:rPr>
                <w:rFonts w:ascii="仿宋_GB2312" w:hAnsi="Arial" w:cs="仿宋_GB2312"/>
                <w:snapToGrid w:val="0"/>
                <w:color w:val="000000"/>
                <w:kern w:val="0"/>
                <w:sz w:val="21"/>
                <w:szCs w:val="21"/>
              </w:rPr>
              <w:t>99.2</w:t>
            </w:r>
            <w:bookmarkEnd w:id="86"/>
          </w:p>
        </w:tc>
        <w:tc>
          <w:tcPr>
            <w:tcW w:w="1375" w:type="dxa"/>
            <w:vAlign w:val="center"/>
          </w:tcPr>
          <w:p w14:paraId="4B58E70C">
            <w:pPr>
              <w:spacing w:line="360" w:lineRule="exact"/>
              <w:jc w:val="center"/>
              <w:rPr>
                <w:rFonts w:ascii="仿宋_GB2312" w:cs="Times New Roman"/>
                <w:snapToGrid w:val="0"/>
                <w:color w:val="000000"/>
                <w:kern w:val="0"/>
                <w:sz w:val="21"/>
                <w:szCs w:val="21"/>
              </w:rPr>
            </w:pPr>
          </w:p>
        </w:tc>
      </w:tr>
      <w:tr w14:paraId="50A18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trPr>
        <w:tc>
          <w:tcPr>
            <w:tcW w:w="1111" w:type="dxa"/>
            <w:vMerge w:val="continue"/>
            <w:vAlign w:val="center"/>
          </w:tcPr>
          <w:p w14:paraId="53E4D44F">
            <w:pPr>
              <w:spacing w:line="260" w:lineRule="exact"/>
              <w:jc w:val="center"/>
              <w:rPr>
                <w:rFonts w:ascii="仿宋_GB2312" w:cs="Times New Roman"/>
                <w:snapToGrid w:val="0"/>
                <w:color w:val="000000"/>
                <w:kern w:val="0"/>
                <w:sz w:val="21"/>
                <w:szCs w:val="21"/>
              </w:rPr>
            </w:pPr>
          </w:p>
        </w:tc>
        <w:tc>
          <w:tcPr>
            <w:tcW w:w="704" w:type="dxa"/>
            <w:vAlign w:val="center"/>
          </w:tcPr>
          <w:p w14:paraId="771D4218">
            <w:pPr>
              <w:spacing w:line="360" w:lineRule="exact"/>
              <w:jc w:val="center"/>
              <w:rPr>
                <w:rFonts w:ascii="仿宋_GB2312" w:cs="Times New Roman"/>
                <w:snapToGrid w:val="0"/>
                <w:color w:val="000000"/>
                <w:kern w:val="0"/>
                <w:sz w:val="21"/>
                <w:szCs w:val="21"/>
              </w:rPr>
            </w:pPr>
            <w:bookmarkStart w:id="87" w:name="_Toc27580"/>
            <w:r>
              <w:rPr>
                <w:rStyle w:val="12"/>
                <w:rFonts w:ascii="仿宋_GB2312" w:hAnsi="宋体" w:cs="仿宋_GB2312"/>
                <w:snapToGrid w:val="0"/>
                <w:color w:val="000000"/>
                <w:kern w:val="0"/>
                <w:sz w:val="21"/>
                <w:szCs w:val="21"/>
              </w:rPr>
              <w:t>11</w:t>
            </w:r>
            <w:bookmarkEnd w:id="87"/>
          </w:p>
        </w:tc>
        <w:tc>
          <w:tcPr>
            <w:tcW w:w="3982" w:type="dxa"/>
            <w:vAlign w:val="center"/>
          </w:tcPr>
          <w:p w14:paraId="55AA14BE">
            <w:pPr>
              <w:spacing w:line="360" w:lineRule="exact"/>
              <w:jc w:val="center"/>
              <w:rPr>
                <w:rFonts w:ascii="仿宋_GB2312" w:cs="Times New Roman"/>
                <w:snapToGrid w:val="0"/>
                <w:color w:val="000000"/>
                <w:kern w:val="0"/>
                <w:sz w:val="21"/>
                <w:szCs w:val="21"/>
              </w:rPr>
            </w:pPr>
            <w:bookmarkStart w:id="88" w:name="_Toc16649"/>
            <w:r>
              <w:rPr>
                <w:rFonts w:hint="eastAsia" w:ascii="仿宋_GB2312" w:hAnsi="Arial" w:cs="仿宋_GB2312"/>
                <w:snapToGrid w:val="0"/>
                <w:color w:val="000000"/>
                <w:kern w:val="0"/>
                <w:sz w:val="21"/>
                <w:szCs w:val="21"/>
              </w:rPr>
              <w:t>药品评价性抽检合格率</w:t>
            </w:r>
            <w:bookmarkEnd w:id="88"/>
          </w:p>
        </w:tc>
        <w:tc>
          <w:tcPr>
            <w:tcW w:w="854" w:type="dxa"/>
            <w:vAlign w:val="center"/>
          </w:tcPr>
          <w:p w14:paraId="1A3DFA46">
            <w:pPr>
              <w:spacing w:line="360" w:lineRule="exact"/>
              <w:jc w:val="center"/>
              <w:rPr>
                <w:rFonts w:ascii="仿宋_GB2312" w:cs="Times New Roman"/>
                <w:snapToGrid w:val="0"/>
                <w:color w:val="000000"/>
                <w:kern w:val="0"/>
                <w:sz w:val="21"/>
                <w:szCs w:val="21"/>
              </w:rPr>
            </w:pPr>
            <w:bookmarkStart w:id="89" w:name="_Toc14101"/>
            <w:r>
              <w:rPr>
                <w:rFonts w:ascii="仿宋_GB2312" w:hAnsi="Arial" w:cs="仿宋_GB2312"/>
                <w:snapToGrid w:val="0"/>
                <w:color w:val="000000"/>
                <w:kern w:val="0"/>
                <w:sz w:val="21"/>
                <w:szCs w:val="21"/>
              </w:rPr>
              <w:t>%</w:t>
            </w:r>
            <w:bookmarkEnd w:id="89"/>
          </w:p>
        </w:tc>
        <w:tc>
          <w:tcPr>
            <w:tcW w:w="995" w:type="dxa"/>
            <w:vAlign w:val="center"/>
          </w:tcPr>
          <w:p w14:paraId="358A163A">
            <w:pPr>
              <w:spacing w:line="360" w:lineRule="exact"/>
              <w:jc w:val="center"/>
              <w:rPr>
                <w:rFonts w:ascii="仿宋_GB2312" w:cs="Times New Roman"/>
                <w:snapToGrid w:val="0"/>
                <w:color w:val="000000"/>
                <w:kern w:val="0"/>
                <w:sz w:val="21"/>
                <w:szCs w:val="21"/>
              </w:rPr>
            </w:pPr>
            <w:bookmarkStart w:id="90" w:name="_Toc15817"/>
            <w:r>
              <w:rPr>
                <w:rFonts w:hint="eastAsia" w:ascii="仿宋_GB2312" w:hAnsi="Arial" w:cs="仿宋_GB2312"/>
                <w:snapToGrid w:val="0"/>
                <w:color w:val="000000"/>
                <w:kern w:val="0"/>
                <w:sz w:val="21"/>
                <w:szCs w:val="21"/>
              </w:rPr>
              <w:t>＞</w:t>
            </w:r>
            <w:r>
              <w:rPr>
                <w:rFonts w:ascii="仿宋_GB2312" w:hAnsi="Arial" w:cs="仿宋_GB2312"/>
                <w:snapToGrid w:val="0"/>
                <w:color w:val="000000"/>
                <w:kern w:val="0"/>
                <w:sz w:val="21"/>
                <w:szCs w:val="21"/>
              </w:rPr>
              <w:t>99</w:t>
            </w:r>
            <w:bookmarkEnd w:id="90"/>
          </w:p>
        </w:tc>
        <w:tc>
          <w:tcPr>
            <w:tcW w:w="1375" w:type="dxa"/>
            <w:vAlign w:val="center"/>
          </w:tcPr>
          <w:p w14:paraId="24560631">
            <w:pPr>
              <w:spacing w:line="360" w:lineRule="exact"/>
              <w:jc w:val="center"/>
              <w:rPr>
                <w:rFonts w:ascii="仿宋_GB2312" w:cs="Times New Roman"/>
                <w:snapToGrid w:val="0"/>
                <w:color w:val="000000"/>
                <w:kern w:val="0"/>
                <w:sz w:val="21"/>
                <w:szCs w:val="21"/>
              </w:rPr>
            </w:pPr>
          </w:p>
        </w:tc>
      </w:tr>
      <w:tr w14:paraId="40E78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111" w:type="dxa"/>
            <w:vMerge w:val="restart"/>
            <w:vAlign w:val="center"/>
          </w:tcPr>
          <w:p w14:paraId="72FFC0A8">
            <w:pPr>
              <w:spacing w:line="260" w:lineRule="exact"/>
              <w:jc w:val="center"/>
              <w:rPr>
                <w:rFonts w:ascii="仿宋_GB2312" w:hAnsi="Arial" w:cs="Times New Roman"/>
                <w:snapToGrid w:val="0"/>
                <w:color w:val="000000"/>
                <w:kern w:val="0"/>
                <w:sz w:val="21"/>
                <w:szCs w:val="21"/>
              </w:rPr>
            </w:pPr>
            <w:r>
              <w:rPr>
                <w:rFonts w:hint="eastAsia" w:ascii="仿宋_GB2312" w:hAnsi="Arial" w:cs="仿宋_GB2312"/>
                <w:snapToGrid w:val="0"/>
                <w:color w:val="000000"/>
                <w:kern w:val="0"/>
                <w:sz w:val="21"/>
                <w:szCs w:val="21"/>
              </w:rPr>
              <w:t>工程质量</w:t>
            </w:r>
          </w:p>
        </w:tc>
        <w:tc>
          <w:tcPr>
            <w:tcW w:w="704" w:type="dxa"/>
            <w:vAlign w:val="center"/>
          </w:tcPr>
          <w:p w14:paraId="4CC940AF">
            <w:pPr>
              <w:spacing w:line="360" w:lineRule="exact"/>
              <w:jc w:val="center"/>
              <w:rPr>
                <w:rFonts w:ascii="仿宋_GB2312" w:hAnsi="Arial" w:cs="仿宋_GB2312"/>
                <w:snapToGrid w:val="0"/>
                <w:color w:val="000000"/>
                <w:kern w:val="0"/>
                <w:sz w:val="21"/>
                <w:szCs w:val="21"/>
              </w:rPr>
            </w:pPr>
            <w:bookmarkStart w:id="91" w:name="_Toc20245"/>
            <w:r>
              <w:rPr>
                <w:rFonts w:ascii="仿宋_GB2312" w:hAnsi="Arial" w:cs="仿宋_GB2312"/>
                <w:snapToGrid w:val="0"/>
                <w:color w:val="000000"/>
                <w:kern w:val="0"/>
                <w:sz w:val="21"/>
                <w:szCs w:val="21"/>
              </w:rPr>
              <w:t>12</w:t>
            </w:r>
            <w:bookmarkEnd w:id="91"/>
          </w:p>
        </w:tc>
        <w:tc>
          <w:tcPr>
            <w:tcW w:w="3982" w:type="dxa"/>
            <w:vAlign w:val="center"/>
          </w:tcPr>
          <w:p w14:paraId="3BF5ECD7">
            <w:pPr>
              <w:spacing w:line="360" w:lineRule="exact"/>
              <w:jc w:val="center"/>
              <w:rPr>
                <w:rFonts w:ascii="仿宋_GB2312" w:hAnsi="Arial" w:cs="Times New Roman"/>
                <w:snapToGrid w:val="0"/>
                <w:color w:val="000000"/>
                <w:kern w:val="0"/>
                <w:sz w:val="21"/>
                <w:szCs w:val="21"/>
              </w:rPr>
            </w:pPr>
            <w:bookmarkStart w:id="92" w:name="_Toc19235"/>
            <w:r>
              <w:rPr>
                <w:rFonts w:hint="eastAsia" w:ascii="仿宋_GB2312" w:hAnsi="Arial" w:cs="仿宋_GB2312"/>
                <w:snapToGrid w:val="0"/>
                <w:color w:val="000000"/>
                <w:kern w:val="0"/>
                <w:sz w:val="21"/>
                <w:szCs w:val="21"/>
              </w:rPr>
              <w:t>大中型工程项目一次验收合格率</w:t>
            </w:r>
            <w:bookmarkEnd w:id="92"/>
          </w:p>
        </w:tc>
        <w:tc>
          <w:tcPr>
            <w:tcW w:w="854" w:type="dxa"/>
            <w:vAlign w:val="center"/>
          </w:tcPr>
          <w:p w14:paraId="255AD693">
            <w:pPr>
              <w:spacing w:line="360" w:lineRule="exact"/>
              <w:jc w:val="center"/>
              <w:rPr>
                <w:rFonts w:ascii="仿宋_GB2312" w:hAnsi="Arial" w:cs="仿宋_GB2312"/>
                <w:snapToGrid w:val="0"/>
                <w:color w:val="000000"/>
                <w:kern w:val="0"/>
                <w:sz w:val="21"/>
                <w:szCs w:val="21"/>
              </w:rPr>
            </w:pPr>
            <w:bookmarkStart w:id="93" w:name="_Toc9878"/>
            <w:r>
              <w:rPr>
                <w:rFonts w:ascii="仿宋_GB2312" w:hAnsi="Arial" w:cs="仿宋_GB2312"/>
                <w:snapToGrid w:val="0"/>
                <w:color w:val="000000"/>
                <w:kern w:val="0"/>
                <w:sz w:val="21"/>
                <w:szCs w:val="21"/>
              </w:rPr>
              <w:t>%</w:t>
            </w:r>
            <w:bookmarkEnd w:id="93"/>
          </w:p>
        </w:tc>
        <w:tc>
          <w:tcPr>
            <w:tcW w:w="995" w:type="dxa"/>
            <w:vAlign w:val="center"/>
          </w:tcPr>
          <w:p w14:paraId="1E9994A8">
            <w:pPr>
              <w:spacing w:line="360" w:lineRule="exact"/>
              <w:jc w:val="center"/>
              <w:rPr>
                <w:rFonts w:ascii="仿宋_GB2312" w:hAnsi="Arial" w:cs="仿宋_GB2312"/>
                <w:snapToGrid w:val="0"/>
                <w:color w:val="000000"/>
                <w:kern w:val="0"/>
                <w:sz w:val="21"/>
                <w:szCs w:val="21"/>
              </w:rPr>
            </w:pPr>
            <w:bookmarkStart w:id="94" w:name="_Toc18200"/>
            <w:r>
              <w:rPr>
                <w:rFonts w:ascii="仿宋_GB2312" w:hAnsi="Arial" w:cs="仿宋_GB2312"/>
                <w:snapToGrid w:val="0"/>
                <w:color w:val="000000"/>
                <w:kern w:val="0"/>
                <w:sz w:val="21"/>
                <w:szCs w:val="21"/>
              </w:rPr>
              <w:t>100</w:t>
            </w:r>
            <w:bookmarkEnd w:id="94"/>
          </w:p>
        </w:tc>
        <w:tc>
          <w:tcPr>
            <w:tcW w:w="1375" w:type="dxa"/>
            <w:vAlign w:val="center"/>
          </w:tcPr>
          <w:p w14:paraId="7A2612BF">
            <w:pPr>
              <w:spacing w:line="360" w:lineRule="exact"/>
              <w:jc w:val="center"/>
              <w:rPr>
                <w:rFonts w:ascii="仿宋_GB2312" w:hAnsi="Arial" w:cs="仿宋_GB2312"/>
                <w:snapToGrid w:val="0"/>
                <w:color w:val="000000"/>
                <w:kern w:val="0"/>
                <w:sz w:val="21"/>
                <w:szCs w:val="21"/>
              </w:rPr>
            </w:pPr>
          </w:p>
        </w:tc>
      </w:tr>
      <w:tr w14:paraId="1817B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trPr>
        <w:tc>
          <w:tcPr>
            <w:tcW w:w="1111" w:type="dxa"/>
            <w:vMerge w:val="continue"/>
            <w:vAlign w:val="center"/>
          </w:tcPr>
          <w:p w14:paraId="5DDC2214">
            <w:pPr>
              <w:spacing w:line="260" w:lineRule="exact"/>
              <w:jc w:val="center"/>
              <w:rPr>
                <w:rFonts w:ascii="仿宋_GB2312" w:hAnsi="Arial" w:cs="Times New Roman"/>
                <w:snapToGrid w:val="0"/>
                <w:color w:val="000000"/>
                <w:kern w:val="0"/>
                <w:sz w:val="21"/>
                <w:szCs w:val="21"/>
              </w:rPr>
            </w:pPr>
          </w:p>
        </w:tc>
        <w:tc>
          <w:tcPr>
            <w:tcW w:w="704" w:type="dxa"/>
            <w:vAlign w:val="center"/>
          </w:tcPr>
          <w:p w14:paraId="1624AA8A">
            <w:pPr>
              <w:spacing w:line="360" w:lineRule="exact"/>
              <w:jc w:val="center"/>
              <w:rPr>
                <w:rFonts w:ascii="仿宋_GB2312" w:hAnsi="Arial" w:cs="仿宋_GB2312"/>
                <w:snapToGrid w:val="0"/>
                <w:color w:val="000000"/>
                <w:kern w:val="0"/>
                <w:sz w:val="21"/>
                <w:szCs w:val="21"/>
              </w:rPr>
            </w:pPr>
            <w:bookmarkStart w:id="95" w:name="_Toc10227"/>
            <w:r>
              <w:rPr>
                <w:rFonts w:ascii="仿宋_GB2312" w:hAnsi="Arial" w:cs="仿宋_GB2312"/>
                <w:snapToGrid w:val="0"/>
                <w:color w:val="000000"/>
                <w:kern w:val="0"/>
                <w:sz w:val="21"/>
                <w:szCs w:val="21"/>
              </w:rPr>
              <w:t>13</w:t>
            </w:r>
            <w:bookmarkEnd w:id="95"/>
          </w:p>
        </w:tc>
        <w:tc>
          <w:tcPr>
            <w:tcW w:w="3982" w:type="dxa"/>
            <w:vAlign w:val="center"/>
          </w:tcPr>
          <w:p w14:paraId="4A5CE0C0">
            <w:pPr>
              <w:spacing w:line="360" w:lineRule="exact"/>
              <w:jc w:val="center"/>
              <w:rPr>
                <w:rFonts w:ascii="仿宋_GB2312" w:hAnsi="Arial" w:cs="Times New Roman"/>
                <w:snapToGrid w:val="0"/>
                <w:color w:val="000000"/>
                <w:kern w:val="0"/>
                <w:sz w:val="21"/>
                <w:szCs w:val="21"/>
              </w:rPr>
            </w:pPr>
            <w:r>
              <w:rPr>
                <w:rFonts w:hint="eastAsia" w:ascii="仿宋_GB2312" w:hAnsi="Arial" w:cs="仿宋_GB2312"/>
                <w:snapToGrid w:val="0"/>
                <w:color w:val="000000"/>
                <w:kern w:val="0"/>
                <w:sz w:val="21"/>
                <w:szCs w:val="21"/>
              </w:rPr>
              <w:t>其他工程一次验收合格率</w:t>
            </w:r>
          </w:p>
        </w:tc>
        <w:tc>
          <w:tcPr>
            <w:tcW w:w="854" w:type="dxa"/>
            <w:vAlign w:val="center"/>
          </w:tcPr>
          <w:p w14:paraId="6F12F269">
            <w:pPr>
              <w:spacing w:line="360" w:lineRule="exact"/>
              <w:jc w:val="center"/>
              <w:rPr>
                <w:rFonts w:ascii="仿宋_GB2312" w:hAnsi="Arial" w:cs="仿宋_GB2312"/>
                <w:snapToGrid w:val="0"/>
                <w:color w:val="000000"/>
                <w:kern w:val="0"/>
                <w:sz w:val="21"/>
                <w:szCs w:val="21"/>
              </w:rPr>
            </w:pPr>
            <w:bookmarkStart w:id="96" w:name="_Toc28011"/>
            <w:r>
              <w:rPr>
                <w:rFonts w:ascii="仿宋_GB2312" w:hAnsi="Arial" w:cs="仿宋_GB2312"/>
                <w:snapToGrid w:val="0"/>
                <w:color w:val="000000"/>
                <w:kern w:val="0"/>
                <w:sz w:val="21"/>
                <w:szCs w:val="21"/>
              </w:rPr>
              <w:t>%</w:t>
            </w:r>
            <w:bookmarkEnd w:id="96"/>
          </w:p>
        </w:tc>
        <w:tc>
          <w:tcPr>
            <w:tcW w:w="995" w:type="dxa"/>
            <w:vAlign w:val="center"/>
          </w:tcPr>
          <w:p w14:paraId="3C1D7D36">
            <w:pPr>
              <w:spacing w:line="360" w:lineRule="exact"/>
              <w:jc w:val="center"/>
              <w:rPr>
                <w:rFonts w:ascii="仿宋_GB2312" w:hAnsi="Arial" w:cs="仿宋_GB2312"/>
                <w:snapToGrid w:val="0"/>
                <w:color w:val="000000"/>
                <w:kern w:val="0"/>
                <w:sz w:val="21"/>
                <w:szCs w:val="21"/>
              </w:rPr>
            </w:pPr>
            <w:bookmarkStart w:id="97" w:name="_Toc5974"/>
            <w:r>
              <w:rPr>
                <w:rFonts w:hint="eastAsia" w:ascii="仿宋_GB2312" w:hAnsi="Arial" w:cs="仿宋_GB2312"/>
                <w:snapToGrid w:val="0"/>
                <w:color w:val="000000"/>
                <w:kern w:val="0"/>
                <w:sz w:val="21"/>
                <w:szCs w:val="21"/>
              </w:rPr>
              <w:t>＞</w:t>
            </w:r>
            <w:r>
              <w:rPr>
                <w:rFonts w:ascii="仿宋_GB2312" w:hAnsi="Arial" w:cs="仿宋_GB2312"/>
                <w:snapToGrid w:val="0"/>
                <w:color w:val="000000"/>
                <w:kern w:val="0"/>
                <w:sz w:val="21"/>
                <w:szCs w:val="21"/>
              </w:rPr>
              <w:t>9</w:t>
            </w:r>
            <w:bookmarkEnd w:id="97"/>
            <w:r>
              <w:rPr>
                <w:rFonts w:ascii="仿宋_GB2312" w:hAnsi="Arial" w:cs="仿宋_GB2312"/>
                <w:snapToGrid w:val="0"/>
                <w:color w:val="000000"/>
                <w:kern w:val="0"/>
                <w:sz w:val="21"/>
                <w:szCs w:val="21"/>
              </w:rPr>
              <w:t>0</w:t>
            </w:r>
          </w:p>
        </w:tc>
        <w:tc>
          <w:tcPr>
            <w:tcW w:w="1375" w:type="dxa"/>
            <w:vAlign w:val="center"/>
          </w:tcPr>
          <w:p w14:paraId="253D590A">
            <w:pPr>
              <w:spacing w:line="360" w:lineRule="exact"/>
              <w:jc w:val="center"/>
              <w:rPr>
                <w:rFonts w:ascii="仿宋_GB2312" w:hAnsi="Arial" w:cs="仿宋_GB2312"/>
                <w:snapToGrid w:val="0"/>
                <w:color w:val="000000"/>
                <w:kern w:val="0"/>
                <w:sz w:val="21"/>
                <w:szCs w:val="21"/>
              </w:rPr>
            </w:pPr>
          </w:p>
        </w:tc>
      </w:tr>
      <w:tr w14:paraId="44BC0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111" w:type="dxa"/>
            <w:vMerge w:val="restart"/>
            <w:vAlign w:val="center"/>
          </w:tcPr>
          <w:p w14:paraId="3BD64C1C">
            <w:pPr>
              <w:spacing w:line="260" w:lineRule="exact"/>
              <w:jc w:val="center"/>
              <w:rPr>
                <w:rFonts w:ascii="仿宋_GB2312" w:hAnsi="Arial" w:cs="Times New Roman"/>
                <w:snapToGrid w:val="0"/>
                <w:color w:val="000000"/>
                <w:kern w:val="0"/>
                <w:sz w:val="21"/>
                <w:szCs w:val="21"/>
              </w:rPr>
            </w:pPr>
            <w:r>
              <w:rPr>
                <w:rFonts w:hint="eastAsia" w:ascii="仿宋_GB2312" w:hAnsi="Arial" w:cs="仿宋_GB2312"/>
                <w:snapToGrid w:val="0"/>
                <w:color w:val="000000"/>
                <w:kern w:val="0"/>
                <w:sz w:val="21"/>
                <w:szCs w:val="21"/>
              </w:rPr>
              <w:t>服务质量</w:t>
            </w:r>
          </w:p>
        </w:tc>
        <w:tc>
          <w:tcPr>
            <w:tcW w:w="704" w:type="dxa"/>
            <w:vAlign w:val="center"/>
          </w:tcPr>
          <w:p w14:paraId="6D71B6EB">
            <w:pPr>
              <w:spacing w:line="360" w:lineRule="exact"/>
              <w:jc w:val="center"/>
              <w:rPr>
                <w:rFonts w:ascii="仿宋_GB2312" w:hAnsi="Arial" w:cs="仿宋_GB2312"/>
                <w:snapToGrid w:val="0"/>
                <w:color w:val="000000"/>
                <w:kern w:val="0"/>
                <w:sz w:val="21"/>
                <w:szCs w:val="21"/>
              </w:rPr>
            </w:pPr>
            <w:bookmarkStart w:id="98" w:name="_Toc21325"/>
            <w:r>
              <w:rPr>
                <w:rFonts w:ascii="仿宋_GB2312" w:hAnsi="Arial" w:cs="仿宋_GB2312"/>
                <w:snapToGrid w:val="0"/>
                <w:color w:val="000000"/>
                <w:kern w:val="0"/>
                <w:sz w:val="21"/>
                <w:szCs w:val="21"/>
              </w:rPr>
              <w:t>14</w:t>
            </w:r>
            <w:bookmarkEnd w:id="98"/>
          </w:p>
        </w:tc>
        <w:tc>
          <w:tcPr>
            <w:tcW w:w="3982" w:type="dxa"/>
            <w:vAlign w:val="center"/>
          </w:tcPr>
          <w:p w14:paraId="332BF8F6">
            <w:pPr>
              <w:spacing w:line="360" w:lineRule="exact"/>
              <w:jc w:val="center"/>
              <w:rPr>
                <w:rFonts w:ascii="仿宋_GB2312" w:hAnsi="Arial" w:cs="Times New Roman"/>
                <w:snapToGrid w:val="0"/>
                <w:color w:val="000000"/>
                <w:kern w:val="0"/>
                <w:sz w:val="21"/>
                <w:szCs w:val="21"/>
              </w:rPr>
            </w:pPr>
            <w:bookmarkStart w:id="99" w:name="_Toc14382"/>
            <w:r>
              <w:rPr>
                <w:rFonts w:hint="eastAsia" w:ascii="仿宋_GB2312" w:hAnsi="Arial" w:cs="仿宋_GB2312"/>
                <w:snapToGrid w:val="0"/>
                <w:color w:val="000000"/>
                <w:kern w:val="0"/>
                <w:sz w:val="21"/>
                <w:szCs w:val="21"/>
              </w:rPr>
              <w:t>生产性服务业顾客满意度</w:t>
            </w:r>
            <w:bookmarkEnd w:id="99"/>
          </w:p>
        </w:tc>
        <w:tc>
          <w:tcPr>
            <w:tcW w:w="854" w:type="dxa"/>
            <w:vAlign w:val="center"/>
          </w:tcPr>
          <w:p w14:paraId="7FB9A0F3">
            <w:pPr>
              <w:spacing w:line="360" w:lineRule="exact"/>
              <w:jc w:val="center"/>
              <w:rPr>
                <w:rFonts w:ascii="仿宋_GB2312" w:hAnsi="Arial" w:cs="仿宋_GB2312"/>
                <w:snapToGrid w:val="0"/>
                <w:color w:val="000000"/>
                <w:kern w:val="0"/>
                <w:sz w:val="21"/>
                <w:szCs w:val="21"/>
              </w:rPr>
            </w:pPr>
            <w:bookmarkStart w:id="100" w:name="_Toc11626"/>
            <w:r>
              <w:rPr>
                <w:rFonts w:ascii="仿宋_GB2312" w:hAnsi="Arial" w:cs="仿宋_GB2312"/>
                <w:snapToGrid w:val="0"/>
                <w:color w:val="000000"/>
                <w:kern w:val="0"/>
                <w:sz w:val="21"/>
                <w:szCs w:val="21"/>
              </w:rPr>
              <w:t>%</w:t>
            </w:r>
            <w:bookmarkEnd w:id="100"/>
          </w:p>
        </w:tc>
        <w:tc>
          <w:tcPr>
            <w:tcW w:w="995" w:type="dxa"/>
            <w:vAlign w:val="center"/>
          </w:tcPr>
          <w:p w14:paraId="670AA472">
            <w:pPr>
              <w:spacing w:line="360" w:lineRule="exact"/>
              <w:jc w:val="center"/>
              <w:rPr>
                <w:rFonts w:ascii="仿宋_GB2312" w:hAnsi="Arial" w:cs="仿宋_GB2312"/>
                <w:snapToGrid w:val="0"/>
                <w:color w:val="000000"/>
                <w:kern w:val="0"/>
                <w:sz w:val="21"/>
                <w:szCs w:val="21"/>
              </w:rPr>
            </w:pPr>
            <w:bookmarkStart w:id="101" w:name="_Toc22410"/>
            <w:r>
              <w:rPr>
                <w:rFonts w:hint="eastAsia" w:ascii="仿宋_GB2312" w:hAnsi="Arial" w:cs="仿宋_GB2312"/>
                <w:snapToGrid w:val="0"/>
                <w:color w:val="000000"/>
                <w:kern w:val="0"/>
                <w:sz w:val="21"/>
                <w:szCs w:val="21"/>
              </w:rPr>
              <w:t>＞</w:t>
            </w:r>
            <w:r>
              <w:rPr>
                <w:rFonts w:ascii="仿宋_GB2312" w:hAnsi="Arial" w:cs="仿宋_GB2312"/>
                <w:snapToGrid w:val="0"/>
                <w:color w:val="000000"/>
                <w:kern w:val="0"/>
                <w:sz w:val="21"/>
                <w:szCs w:val="21"/>
              </w:rPr>
              <w:t>85</w:t>
            </w:r>
            <w:bookmarkEnd w:id="101"/>
          </w:p>
        </w:tc>
        <w:tc>
          <w:tcPr>
            <w:tcW w:w="1375" w:type="dxa"/>
            <w:vAlign w:val="center"/>
          </w:tcPr>
          <w:p w14:paraId="6F744F3C">
            <w:pPr>
              <w:spacing w:line="360" w:lineRule="exact"/>
              <w:jc w:val="center"/>
              <w:rPr>
                <w:rFonts w:ascii="仿宋_GB2312" w:hAnsi="Arial" w:cs="仿宋_GB2312"/>
                <w:snapToGrid w:val="0"/>
                <w:color w:val="000000"/>
                <w:kern w:val="0"/>
                <w:sz w:val="21"/>
                <w:szCs w:val="21"/>
              </w:rPr>
            </w:pPr>
          </w:p>
        </w:tc>
      </w:tr>
      <w:tr w14:paraId="2A1AC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trPr>
        <w:tc>
          <w:tcPr>
            <w:tcW w:w="1111" w:type="dxa"/>
            <w:vMerge w:val="continue"/>
            <w:vAlign w:val="center"/>
          </w:tcPr>
          <w:p w14:paraId="0B2D6EB2">
            <w:pPr>
              <w:spacing w:line="260" w:lineRule="exact"/>
              <w:jc w:val="center"/>
              <w:rPr>
                <w:rFonts w:ascii="仿宋_GB2312" w:hAnsi="Arial" w:cs="Times New Roman"/>
                <w:snapToGrid w:val="0"/>
                <w:color w:val="000000"/>
                <w:kern w:val="0"/>
                <w:sz w:val="21"/>
                <w:szCs w:val="21"/>
              </w:rPr>
            </w:pPr>
          </w:p>
        </w:tc>
        <w:tc>
          <w:tcPr>
            <w:tcW w:w="704" w:type="dxa"/>
            <w:vAlign w:val="center"/>
          </w:tcPr>
          <w:p w14:paraId="6D271D28">
            <w:pPr>
              <w:spacing w:line="360" w:lineRule="exact"/>
              <w:jc w:val="center"/>
              <w:rPr>
                <w:rFonts w:ascii="仿宋_GB2312" w:hAnsi="Arial" w:cs="仿宋_GB2312"/>
                <w:snapToGrid w:val="0"/>
                <w:color w:val="000000"/>
                <w:kern w:val="0"/>
                <w:sz w:val="21"/>
                <w:szCs w:val="21"/>
              </w:rPr>
            </w:pPr>
            <w:bookmarkStart w:id="102" w:name="_Toc7007"/>
            <w:r>
              <w:rPr>
                <w:rFonts w:ascii="仿宋_GB2312" w:hAnsi="Arial" w:cs="仿宋_GB2312"/>
                <w:snapToGrid w:val="0"/>
                <w:color w:val="000000"/>
                <w:kern w:val="0"/>
                <w:sz w:val="21"/>
                <w:szCs w:val="21"/>
              </w:rPr>
              <w:t>15</w:t>
            </w:r>
            <w:bookmarkEnd w:id="102"/>
          </w:p>
        </w:tc>
        <w:tc>
          <w:tcPr>
            <w:tcW w:w="3982" w:type="dxa"/>
            <w:vAlign w:val="center"/>
          </w:tcPr>
          <w:p w14:paraId="328F42B9">
            <w:pPr>
              <w:spacing w:line="360" w:lineRule="exact"/>
              <w:jc w:val="center"/>
              <w:rPr>
                <w:rFonts w:ascii="仿宋_GB2312" w:hAnsi="Arial" w:cs="Times New Roman"/>
                <w:snapToGrid w:val="0"/>
                <w:color w:val="000000"/>
                <w:kern w:val="0"/>
                <w:sz w:val="21"/>
                <w:szCs w:val="21"/>
              </w:rPr>
            </w:pPr>
            <w:bookmarkStart w:id="103" w:name="_Toc10806"/>
            <w:r>
              <w:rPr>
                <w:rFonts w:hint="eastAsia" w:ascii="仿宋_GB2312" w:hAnsi="Arial" w:cs="仿宋_GB2312"/>
                <w:snapToGrid w:val="0"/>
                <w:color w:val="000000"/>
                <w:kern w:val="0"/>
                <w:sz w:val="21"/>
                <w:szCs w:val="21"/>
              </w:rPr>
              <w:t>生活性服务业顾客满意度</w:t>
            </w:r>
            <w:bookmarkEnd w:id="103"/>
          </w:p>
        </w:tc>
        <w:tc>
          <w:tcPr>
            <w:tcW w:w="854" w:type="dxa"/>
            <w:vAlign w:val="center"/>
          </w:tcPr>
          <w:p w14:paraId="01D857DA">
            <w:pPr>
              <w:spacing w:line="360" w:lineRule="exact"/>
              <w:jc w:val="center"/>
              <w:rPr>
                <w:rFonts w:ascii="仿宋_GB2312" w:hAnsi="Arial" w:cs="仿宋_GB2312"/>
                <w:snapToGrid w:val="0"/>
                <w:color w:val="000000"/>
                <w:kern w:val="0"/>
                <w:sz w:val="21"/>
                <w:szCs w:val="21"/>
              </w:rPr>
            </w:pPr>
            <w:bookmarkStart w:id="104" w:name="_Toc19423"/>
            <w:r>
              <w:rPr>
                <w:rFonts w:ascii="仿宋_GB2312" w:hAnsi="Arial" w:cs="仿宋_GB2312"/>
                <w:snapToGrid w:val="0"/>
                <w:color w:val="000000"/>
                <w:kern w:val="0"/>
                <w:sz w:val="21"/>
                <w:szCs w:val="21"/>
              </w:rPr>
              <w:t>%</w:t>
            </w:r>
            <w:bookmarkEnd w:id="104"/>
          </w:p>
        </w:tc>
        <w:tc>
          <w:tcPr>
            <w:tcW w:w="995" w:type="dxa"/>
            <w:vAlign w:val="center"/>
          </w:tcPr>
          <w:p w14:paraId="7F88E9E8">
            <w:pPr>
              <w:spacing w:line="360" w:lineRule="exact"/>
              <w:jc w:val="center"/>
              <w:rPr>
                <w:rFonts w:ascii="仿宋_GB2312" w:hAnsi="Arial" w:cs="仿宋_GB2312"/>
                <w:snapToGrid w:val="0"/>
                <w:color w:val="000000"/>
                <w:kern w:val="0"/>
                <w:sz w:val="21"/>
                <w:szCs w:val="21"/>
              </w:rPr>
            </w:pPr>
            <w:bookmarkStart w:id="105" w:name="_Toc9415"/>
            <w:r>
              <w:rPr>
                <w:rFonts w:hint="eastAsia" w:ascii="仿宋_GB2312" w:hAnsi="Arial" w:cs="仿宋_GB2312"/>
                <w:snapToGrid w:val="0"/>
                <w:color w:val="000000"/>
                <w:kern w:val="0"/>
                <w:sz w:val="21"/>
                <w:szCs w:val="21"/>
              </w:rPr>
              <w:t>＞</w:t>
            </w:r>
            <w:r>
              <w:rPr>
                <w:rFonts w:ascii="仿宋_GB2312" w:hAnsi="Arial" w:cs="仿宋_GB2312"/>
                <w:snapToGrid w:val="0"/>
                <w:color w:val="000000"/>
                <w:kern w:val="0"/>
                <w:sz w:val="21"/>
                <w:szCs w:val="21"/>
              </w:rPr>
              <w:t>80</w:t>
            </w:r>
            <w:bookmarkEnd w:id="105"/>
          </w:p>
        </w:tc>
        <w:tc>
          <w:tcPr>
            <w:tcW w:w="1375" w:type="dxa"/>
            <w:vAlign w:val="center"/>
          </w:tcPr>
          <w:p w14:paraId="6B6247CB">
            <w:pPr>
              <w:spacing w:line="360" w:lineRule="exact"/>
              <w:jc w:val="center"/>
              <w:rPr>
                <w:rFonts w:ascii="仿宋_GB2312" w:hAnsi="Arial" w:cs="仿宋_GB2312"/>
                <w:snapToGrid w:val="0"/>
                <w:color w:val="000000"/>
                <w:kern w:val="0"/>
                <w:sz w:val="21"/>
                <w:szCs w:val="21"/>
              </w:rPr>
            </w:pPr>
          </w:p>
        </w:tc>
      </w:tr>
      <w:tr w14:paraId="1109A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111" w:type="dxa"/>
            <w:vMerge w:val="restart"/>
            <w:vAlign w:val="center"/>
          </w:tcPr>
          <w:p w14:paraId="07C41C93">
            <w:pPr>
              <w:spacing w:line="260" w:lineRule="exact"/>
              <w:jc w:val="center"/>
              <w:rPr>
                <w:rFonts w:ascii="仿宋_GB2312" w:hAnsi="Arial" w:cs="Times New Roman"/>
                <w:snapToGrid w:val="0"/>
                <w:color w:val="000000"/>
                <w:kern w:val="0"/>
                <w:sz w:val="21"/>
                <w:szCs w:val="21"/>
              </w:rPr>
            </w:pPr>
            <w:r>
              <w:rPr>
                <w:rFonts w:hint="eastAsia" w:ascii="仿宋_GB2312" w:hAnsi="Arial" w:cs="仿宋_GB2312"/>
                <w:snapToGrid w:val="0"/>
                <w:color w:val="000000"/>
                <w:kern w:val="0"/>
                <w:sz w:val="21"/>
                <w:szCs w:val="21"/>
              </w:rPr>
              <w:t>环境质量</w:t>
            </w:r>
          </w:p>
        </w:tc>
        <w:tc>
          <w:tcPr>
            <w:tcW w:w="704" w:type="dxa"/>
            <w:vAlign w:val="center"/>
          </w:tcPr>
          <w:p w14:paraId="2542F286">
            <w:pPr>
              <w:spacing w:line="360" w:lineRule="exact"/>
              <w:jc w:val="center"/>
              <w:rPr>
                <w:rFonts w:ascii="仿宋_GB2312" w:hAnsi="Arial" w:cs="仿宋_GB2312"/>
                <w:snapToGrid w:val="0"/>
                <w:color w:val="000000"/>
                <w:kern w:val="0"/>
                <w:sz w:val="21"/>
                <w:szCs w:val="21"/>
              </w:rPr>
            </w:pPr>
            <w:bookmarkStart w:id="106" w:name="_Toc10007"/>
            <w:r>
              <w:rPr>
                <w:rFonts w:ascii="仿宋_GB2312" w:hAnsi="Arial" w:cs="仿宋_GB2312"/>
                <w:snapToGrid w:val="0"/>
                <w:color w:val="000000"/>
                <w:kern w:val="0"/>
                <w:sz w:val="21"/>
                <w:szCs w:val="21"/>
              </w:rPr>
              <w:t>16</w:t>
            </w:r>
            <w:bookmarkEnd w:id="106"/>
          </w:p>
        </w:tc>
        <w:tc>
          <w:tcPr>
            <w:tcW w:w="3982" w:type="dxa"/>
            <w:vAlign w:val="center"/>
          </w:tcPr>
          <w:p w14:paraId="20D0DB42">
            <w:pPr>
              <w:spacing w:line="360" w:lineRule="exact"/>
              <w:jc w:val="center"/>
              <w:rPr>
                <w:rFonts w:ascii="仿宋_GB2312" w:hAnsi="Arial" w:cs="Times New Roman"/>
                <w:snapToGrid w:val="0"/>
                <w:color w:val="000000"/>
                <w:kern w:val="0"/>
                <w:sz w:val="21"/>
                <w:szCs w:val="21"/>
              </w:rPr>
            </w:pPr>
            <w:bookmarkStart w:id="107" w:name="_Toc25850"/>
            <w:r>
              <w:rPr>
                <w:rFonts w:hint="eastAsia" w:ascii="仿宋_GB2312" w:hAnsi="Arial" w:cs="仿宋_GB2312"/>
                <w:snapToGrid w:val="0"/>
                <w:color w:val="000000"/>
                <w:kern w:val="0"/>
                <w:sz w:val="21"/>
                <w:szCs w:val="21"/>
              </w:rPr>
              <w:t>市城区空气质量优良天数比例</w:t>
            </w:r>
            <w:bookmarkEnd w:id="107"/>
          </w:p>
        </w:tc>
        <w:tc>
          <w:tcPr>
            <w:tcW w:w="854" w:type="dxa"/>
            <w:vAlign w:val="center"/>
          </w:tcPr>
          <w:p w14:paraId="44DD3D9C">
            <w:pPr>
              <w:spacing w:line="360" w:lineRule="exact"/>
              <w:jc w:val="center"/>
              <w:rPr>
                <w:rFonts w:ascii="仿宋_GB2312" w:hAnsi="Arial" w:cs="仿宋_GB2312"/>
                <w:snapToGrid w:val="0"/>
                <w:color w:val="000000"/>
                <w:kern w:val="0"/>
                <w:sz w:val="21"/>
                <w:szCs w:val="21"/>
              </w:rPr>
            </w:pPr>
            <w:bookmarkStart w:id="108" w:name="_Toc22798"/>
            <w:r>
              <w:rPr>
                <w:rFonts w:ascii="仿宋_GB2312" w:hAnsi="Arial" w:cs="仿宋_GB2312"/>
                <w:snapToGrid w:val="0"/>
                <w:color w:val="000000"/>
                <w:kern w:val="0"/>
                <w:sz w:val="21"/>
                <w:szCs w:val="21"/>
              </w:rPr>
              <w:t>%</w:t>
            </w:r>
            <w:bookmarkEnd w:id="108"/>
          </w:p>
        </w:tc>
        <w:tc>
          <w:tcPr>
            <w:tcW w:w="995" w:type="dxa"/>
            <w:vAlign w:val="center"/>
          </w:tcPr>
          <w:p w14:paraId="77DD1B2F">
            <w:pPr>
              <w:spacing w:line="360" w:lineRule="exact"/>
              <w:jc w:val="center"/>
              <w:rPr>
                <w:rFonts w:ascii="仿宋_GB2312" w:hAnsi="Arial" w:cs="仿宋_GB2312"/>
                <w:snapToGrid w:val="0"/>
                <w:color w:val="000000"/>
                <w:kern w:val="0"/>
                <w:sz w:val="21"/>
                <w:szCs w:val="21"/>
              </w:rPr>
            </w:pPr>
            <w:bookmarkStart w:id="109" w:name="_Toc16141"/>
            <w:r>
              <w:rPr>
                <w:rFonts w:hint="eastAsia" w:ascii="仿宋_GB2312" w:hAnsi="Arial" w:cs="仿宋_GB2312"/>
                <w:snapToGrid w:val="0"/>
                <w:color w:val="000000"/>
                <w:kern w:val="0"/>
                <w:sz w:val="21"/>
                <w:szCs w:val="21"/>
              </w:rPr>
              <w:t>＞</w:t>
            </w:r>
            <w:r>
              <w:rPr>
                <w:rFonts w:ascii="仿宋_GB2312" w:hAnsi="Arial" w:cs="仿宋_GB2312"/>
                <w:snapToGrid w:val="0"/>
                <w:color w:val="000000"/>
                <w:kern w:val="0"/>
                <w:sz w:val="21"/>
                <w:szCs w:val="21"/>
              </w:rPr>
              <w:t>95</w:t>
            </w:r>
            <w:bookmarkEnd w:id="109"/>
          </w:p>
        </w:tc>
        <w:tc>
          <w:tcPr>
            <w:tcW w:w="1375" w:type="dxa"/>
            <w:vAlign w:val="center"/>
          </w:tcPr>
          <w:p w14:paraId="103494C0">
            <w:pPr>
              <w:spacing w:line="360" w:lineRule="exact"/>
              <w:jc w:val="center"/>
              <w:rPr>
                <w:rFonts w:ascii="仿宋_GB2312" w:hAnsi="Arial" w:cs="仿宋_GB2312"/>
                <w:snapToGrid w:val="0"/>
                <w:color w:val="000000"/>
                <w:kern w:val="0"/>
                <w:sz w:val="21"/>
                <w:szCs w:val="21"/>
              </w:rPr>
            </w:pPr>
          </w:p>
        </w:tc>
      </w:tr>
      <w:tr w14:paraId="7BB87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trPr>
        <w:tc>
          <w:tcPr>
            <w:tcW w:w="1111" w:type="dxa"/>
            <w:vMerge w:val="continue"/>
            <w:vAlign w:val="center"/>
          </w:tcPr>
          <w:p w14:paraId="57F9D0CC">
            <w:pPr>
              <w:spacing w:line="260" w:lineRule="exact"/>
              <w:jc w:val="center"/>
              <w:rPr>
                <w:rFonts w:ascii="仿宋_GB2312" w:hAnsi="Arial" w:cs="Times New Roman"/>
                <w:snapToGrid w:val="0"/>
                <w:color w:val="000000"/>
                <w:kern w:val="0"/>
                <w:sz w:val="21"/>
                <w:szCs w:val="21"/>
              </w:rPr>
            </w:pPr>
          </w:p>
        </w:tc>
        <w:tc>
          <w:tcPr>
            <w:tcW w:w="704" w:type="dxa"/>
            <w:vAlign w:val="center"/>
          </w:tcPr>
          <w:p w14:paraId="7D02169A">
            <w:pPr>
              <w:spacing w:line="360" w:lineRule="exact"/>
              <w:jc w:val="center"/>
              <w:rPr>
                <w:rFonts w:ascii="仿宋_GB2312" w:hAnsi="Arial" w:cs="仿宋_GB2312"/>
                <w:snapToGrid w:val="0"/>
                <w:color w:val="000000"/>
                <w:kern w:val="0"/>
                <w:sz w:val="21"/>
                <w:szCs w:val="21"/>
              </w:rPr>
            </w:pPr>
            <w:bookmarkStart w:id="110" w:name="_Toc9228"/>
            <w:r>
              <w:rPr>
                <w:rFonts w:ascii="仿宋_GB2312" w:hAnsi="Arial" w:cs="仿宋_GB2312"/>
                <w:snapToGrid w:val="0"/>
                <w:color w:val="000000"/>
                <w:kern w:val="0"/>
                <w:sz w:val="21"/>
                <w:szCs w:val="21"/>
              </w:rPr>
              <w:t>17</w:t>
            </w:r>
            <w:bookmarkEnd w:id="110"/>
          </w:p>
        </w:tc>
        <w:tc>
          <w:tcPr>
            <w:tcW w:w="3982" w:type="dxa"/>
            <w:vAlign w:val="center"/>
          </w:tcPr>
          <w:p w14:paraId="6A9BC882">
            <w:pPr>
              <w:spacing w:line="360" w:lineRule="exact"/>
              <w:jc w:val="center"/>
              <w:rPr>
                <w:rFonts w:ascii="仿宋_GB2312" w:hAnsi="Arial" w:cs="Times New Roman"/>
                <w:snapToGrid w:val="0"/>
                <w:color w:val="000000"/>
                <w:kern w:val="0"/>
                <w:sz w:val="21"/>
                <w:szCs w:val="21"/>
              </w:rPr>
            </w:pPr>
            <w:bookmarkStart w:id="111" w:name="_Toc22280"/>
            <w:r>
              <w:rPr>
                <w:rFonts w:hint="eastAsia" w:ascii="仿宋_GB2312" w:hAnsi="Arial" w:cs="仿宋_GB2312"/>
                <w:snapToGrid w:val="0"/>
                <w:color w:val="000000"/>
                <w:kern w:val="0"/>
                <w:sz w:val="21"/>
                <w:szCs w:val="21"/>
              </w:rPr>
              <w:t>地表水国（省）控断面水质达到Ⅱ类比例</w:t>
            </w:r>
            <w:bookmarkEnd w:id="111"/>
          </w:p>
        </w:tc>
        <w:tc>
          <w:tcPr>
            <w:tcW w:w="854" w:type="dxa"/>
            <w:vAlign w:val="center"/>
          </w:tcPr>
          <w:p w14:paraId="4151C2F0">
            <w:pPr>
              <w:spacing w:line="360" w:lineRule="exact"/>
              <w:jc w:val="center"/>
              <w:rPr>
                <w:rFonts w:ascii="仿宋_GB2312" w:hAnsi="Arial" w:cs="仿宋_GB2312"/>
                <w:snapToGrid w:val="0"/>
                <w:color w:val="000000"/>
                <w:kern w:val="0"/>
                <w:sz w:val="21"/>
                <w:szCs w:val="21"/>
              </w:rPr>
            </w:pPr>
            <w:bookmarkStart w:id="112" w:name="_Toc25434"/>
            <w:r>
              <w:rPr>
                <w:rFonts w:ascii="仿宋_GB2312" w:hAnsi="Arial" w:cs="仿宋_GB2312"/>
                <w:snapToGrid w:val="0"/>
                <w:color w:val="000000"/>
                <w:kern w:val="0"/>
                <w:sz w:val="21"/>
                <w:szCs w:val="21"/>
              </w:rPr>
              <w:t>%</w:t>
            </w:r>
            <w:bookmarkEnd w:id="112"/>
          </w:p>
        </w:tc>
        <w:tc>
          <w:tcPr>
            <w:tcW w:w="995" w:type="dxa"/>
            <w:vAlign w:val="center"/>
          </w:tcPr>
          <w:p w14:paraId="4F899304">
            <w:pPr>
              <w:spacing w:line="360" w:lineRule="exact"/>
              <w:jc w:val="center"/>
              <w:rPr>
                <w:rFonts w:ascii="仿宋_GB2312" w:hAnsi="Arial" w:cs="仿宋_GB2312"/>
                <w:snapToGrid w:val="0"/>
                <w:color w:val="000000"/>
                <w:kern w:val="0"/>
                <w:sz w:val="21"/>
                <w:szCs w:val="21"/>
              </w:rPr>
            </w:pPr>
            <w:bookmarkStart w:id="113" w:name="_Toc11524"/>
            <w:r>
              <w:rPr>
                <w:rFonts w:ascii="仿宋_GB2312" w:hAnsi="Arial" w:cs="仿宋_GB2312"/>
                <w:snapToGrid w:val="0"/>
                <w:color w:val="000000"/>
                <w:kern w:val="0"/>
                <w:sz w:val="21"/>
                <w:szCs w:val="21"/>
              </w:rPr>
              <w:t>100</w:t>
            </w:r>
            <w:bookmarkEnd w:id="113"/>
          </w:p>
        </w:tc>
        <w:tc>
          <w:tcPr>
            <w:tcW w:w="1375" w:type="dxa"/>
            <w:vAlign w:val="center"/>
          </w:tcPr>
          <w:p w14:paraId="559AF805">
            <w:pPr>
              <w:spacing w:line="360" w:lineRule="exact"/>
              <w:jc w:val="center"/>
              <w:rPr>
                <w:rFonts w:ascii="仿宋_GB2312" w:hAnsi="Arial" w:cs="仿宋_GB2312"/>
                <w:snapToGrid w:val="0"/>
                <w:color w:val="000000"/>
                <w:kern w:val="0"/>
                <w:sz w:val="21"/>
                <w:szCs w:val="21"/>
              </w:rPr>
            </w:pPr>
          </w:p>
        </w:tc>
      </w:tr>
      <w:tr w14:paraId="50ABF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trPr>
        <w:tc>
          <w:tcPr>
            <w:tcW w:w="1111" w:type="dxa"/>
            <w:vMerge w:val="continue"/>
            <w:vAlign w:val="center"/>
          </w:tcPr>
          <w:p w14:paraId="1795C6CA">
            <w:pPr>
              <w:spacing w:line="260" w:lineRule="exact"/>
              <w:jc w:val="center"/>
              <w:rPr>
                <w:rFonts w:ascii="仿宋_GB2312" w:hAnsi="Arial" w:cs="Times New Roman"/>
                <w:snapToGrid w:val="0"/>
                <w:color w:val="000000"/>
                <w:kern w:val="0"/>
                <w:sz w:val="21"/>
                <w:szCs w:val="21"/>
              </w:rPr>
            </w:pPr>
          </w:p>
        </w:tc>
        <w:tc>
          <w:tcPr>
            <w:tcW w:w="704" w:type="dxa"/>
            <w:vAlign w:val="center"/>
          </w:tcPr>
          <w:p w14:paraId="7EFC922A">
            <w:pPr>
              <w:spacing w:line="360" w:lineRule="exact"/>
              <w:jc w:val="center"/>
              <w:rPr>
                <w:rFonts w:ascii="仿宋_GB2312" w:hAnsi="Arial" w:cs="仿宋_GB2312"/>
                <w:snapToGrid w:val="0"/>
                <w:color w:val="000000"/>
                <w:kern w:val="0"/>
                <w:sz w:val="21"/>
                <w:szCs w:val="21"/>
              </w:rPr>
            </w:pPr>
            <w:bookmarkStart w:id="114" w:name="_Toc10450"/>
            <w:r>
              <w:rPr>
                <w:rFonts w:ascii="仿宋_GB2312" w:hAnsi="Arial" w:cs="仿宋_GB2312"/>
                <w:snapToGrid w:val="0"/>
                <w:color w:val="000000"/>
                <w:kern w:val="0"/>
                <w:sz w:val="21"/>
                <w:szCs w:val="21"/>
              </w:rPr>
              <w:t>18</w:t>
            </w:r>
            <w:bookmarkEnd w:id="114"/>
          </w:p>
        </w:tc>
        <w:tc>
          <w:tcPr>
            <w:tcW w:w="3982" w:type="dxa"/>
            <w:vAlign w:val="center"/>
          </w:tcPr>
          <w:p w14:paraId="23E8285C">
            <w:pPr>
              <w:spacing w:line="360" w:lineRule="exact"/>
              <w:jc w:val="center"/>
              <w:rPr>
                <w:rFonts w:ascii="仿宋_GB2312" w:hAnsi="Arial" w:cs="Times New Roman"/>
                <w:snapToGrid w:val="0"/>
                <w:color w:val="000000"/>
                <w:kern w:val="0"/>
                <w:sz w:val="21"/>
                <w:szCs w:val="21"/>
              </w:rPr>
            </w:pPr>
            <w:bookmarkStart w:id="115" w:name="_Toc31989"/>
            <w:r>
              <w:rPr>
                <w:rFonts w:hint="eastAsia" w:ascii="仿宋_GB2312" w:hAnsi="Arial" w:cs="仿宋_GB2312"/>
                <w:snapToGrid w:val="0"/>
                <w:color w:val="000000"/>
                <w:kern w:val="0"/>
                <w:sz w:val="21"/>
                <w:szCs w:val="21"/>
              </w:rPr>
              <w:t>县级及以上城镇污水处理率</w:t>
            </w:r>
            <w:bookmarkEnd w:id="115"/>
          </w:p>
        </w:tc>
        <w:tc>
          <w:tcPr>
            <w:tcW w:w="854" w:type="dxa"/>
            <w:vAlign w:val="center"/>
          </w:tcPr>
          <w:p w14:paraId="65B4B893">
            <w:pPr>
              <w:spacing w:line="360" w:lineRule="exact"/>
              <w:jc w:val="center"/>
              <w:rPr>
                <w:rFonts w:ascii="仿宋_GB2312" w:hAnsi="Arial" w:cs="仿宋_GB2312"/>
                <w:snapToGrid w:val="0"/>
                <w:color w:val="000000"/>
                <w:kern w:val="0"/>
                <w:sz w:val="21"/>
                <w:szCs w:val="21"/>
              </w:rPr>
            </w:pPr>
            <w:bookmarkStart w:id="116" w:name="_Toc29718"/>
            <w:r>
              <w:rPr>
                <w:rFonts w:ascii="仿宋_GB2312" w:hAnsi="Arial" w:cs="仿宋_GB2312"/>
                <w:snapToGrid w:val="0"/>
                <w:color w:val="000000"/>
                <w:kern w:val="0"/>
                <w:sz w:val="21"/>
                <w:szCs w:val="21"/>
              </w:rPr>
              <w:t>%</w:t>
            </w:r>
            <w:bookmarkEnd w:id="116"/>
          </w:p>
        </w:tc>
        <w:tc>
          <w:tcPr>
            <w:tcW w:w="995" w:type="dxa"/>
            <w:vAlign w:val="center"/>
          </w:tcPr>
          <w:p w14:paraId="607636F0">
            <w:pPr>
              <w:spacing w:line="360" w:lineRule="exact"/>
              <w:jc w:val="center"/>
              <w:rPr>
                <w:rFonts w:ascii="仿宋_GB2312" w:hAnsi="Arial" w:cs="仿宋_GB2312"/>
                <w:snapToGrid w:val="0"/>
                <w:color w:val="000000"/>
                <w:kern w:val="0"/>
                <w:sz w:val="21"/>
                <w:szCs w:val="21"/>
              </w:rPr>
            </w:pPr>
            <w:bookmarkStart w:id="117" w:name="_Toc5509"/>
            <w:r>
              <w:rPr>
                <w:rFonts w:hint="eastAsia" w:ascii="仿宋_GB2312" w:hAnsi="Arial" w:cs="仿宋_GB2312"/>
                <w:snapToGrid w:val="0"/>
                <w:color w:val="000000"/>
                <w:kern w:val="0"/>
                <w:sz w:val="21"/>
                <w:szCs w:val="21"/>
              </w:rPr>
              <w:t>＞</w:t>
            </w:r>
            <w:r>
              <w:rPr>
                <w:rFonts w:ascii="仿宋_GB2312" w:hAnsi="Arial" w:cs="仿宋_GB2312"/>
                <w:snapToGrid w:val="0"/>
                <w:color w:val="000000"/>
                <w:kern w:val="0"/>
                <w:sz w:val="21"/>
                <w:szCs w:val="21"/>
              </w:rPr>
              <w:t>9</w:t>
            </w:r>
            <w:bookmarkEnd w:id="117"/>
            <w:r>
              <w:rPr>
                <w:rFonts w:ascii="仿宋_GB2312" w:hAnsi="Arial" w:cs="仿宋_GB2312"/>
                <w:snapToGrid w:val="0"/>
                <w:color w:val="000000"/>
                <w:kern w:val="0"/>
                <w:sz w:val="21"/>
                <w:szCs w:val="21"/>
              </w:rPr>
              <w:t>0</w:t>
            </w:r>
          </w:p>
        </w:tc>
        <w:tc>
          <w:tcPr>
            <w:tcW w:w="1375" w:type="dxa"/>
            <w:vAlign w:val="center"/>
          </w:tcPr>
          <w:p w14:paraId="6CB82A6A">
            <w:pPr>
              <w:spacing w:line="360" w:lineRule="exact"/>
              <w:jc w:val="center"/>
              <w:rPr>
                <w:rFonts w:ascii="仿宋_GB2312" w:hAnsi="Arial" w:cs="仿宋_GB2312"/>
                <w:snapToGrid w:val="0"/>
                <w:color w:val="000000"/>
                <w:kern w:val="0"/>
                <w:sz w:val="21"/>
                <w:szCs w:val="21"/>
              </w:rPr>
            </w:pPr>
          </w:p>
        </w:tc>
      </w:tr>
      <w:tr w14:paraId="45D99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trPr>
        <w:tc>
          <w:tcPr>
            <w:tcW w:w="1111" w:type="dxa"/>
            <w:vMerge w:val="continue"/>
            <w:vAlign w:val="center"/>
          </w:tcPr>
          <w:p w14:paraId="28CF5EA5">
            <w:pPr>
              <w:spacing w:line="260" w:lineRule="exact"/>
              <w:jc w:val="center"/>
              <w:rPr>
                <w:rFonts w:ascii="仿宋_GB2312" w:hAnsi="Arial" w:cs="Times New Roman"/>
                <w:snapToGrid w:val="0"/>
                <w:color w:val="000000"/>
                <w:kern w:val="0"/>
                <w:sz w:val="21"/>
                <w:szCs w:val="21"/>
              </w:rPr>
            </w:pPr>
          </w:p>
        </w:tc>
        <w:tc>
          <w:tcPr>
            <w:tcW w:w="704" w:type="dxa"/>
            <w:vAlign w:val="center"/>
          </w:tcPr>
          <w:p w14:paraId="11ED56C5">
            <w:pPr>
              <w:spacing w:line="360" w:lineRule="exact"/>
              <w:jc w:val="center"/>
              <w:rPr>
                <w:rFonts w:ascii="仿宋_GB2312" w:hAnsi="Arial" w:cs="仿宋_GB2312"/>
                <w:snapToGrid w:val="0"/>
                <w:color w:val="000000"/>
                <w:kern w:val="0"/>
                <w:sz w:val="21"/>
                <w:szCs w:val="21"/>
              </w:rPr>
            </w:pPr>
            <w:bookmarkStart w:id="118" w:name="_Toc14447"/>
            <w:r>
              <w:rPr>
                <w:rFonts w:ascii="仿宋_GB2312" w:hAnsi="Arial" w:cs="仿宋_GB2312"/>
                <w:snapToGrid w:val="0"/>
                <w:color w:val="000000"/>
                <w:kern w:val="0"/>
                <w:sz w:val="21"/>
                <w:szCs w:val="21"/>
              </w:rPr>
              <w:t>19</w:t>
            </w:r>
            <w:bookmarkEnd w:id="118"/>
          </w:p>
        </w:tc>
        <w:tc>
          <w:tcPr>
            <w:tcW w:w="3982" w:type="dxa"/>
            <w:vAlign w:val="center"/>
          </w:tcPr>
          <w:p w14:paraId="4C79823D">
            <w:pPr>
              <w:spacing w:line="360" w:lineRule="exact"/>
              <w:jc w:val="center"/>
              <w:rPr>
                <w:rFonts w:ascii="仿宋_GB2312" w:hAnsi="Arial" w:cs="Times New Roman"/>
                <w:snapToGrid w:val="0"/>
                <w:color w:val="000000"/>
                <w:kern w:val="0"/>
                <w:sz w:val="21"/>
                <w:szCs w:val="21"/>
              </w:rPr>
            </w:pPr>
            <w:bookmarkStart w:id="119" w:name="_Toc9983"/>
            <w:r>
              <w:rPr>
                <w:rFonts w:hint="eastAsia" w:ascii="仿宋_GB2312" w:hAnsi="Arial" w:cs="仿宋_GB2312"/>
                <w:snapToGrid w:val="0"/>
                <w:color w:val="000000"/>
                <w:kern w:val="0"/>
                <w:sz w:val="21"/>
                <w:szCs w:val="21"/>
              </w:rPr>
              <w:t>森林覆盖率</w:t>
            </w:r>
            <w:bookmarkEnd w:id="119"/>
          </w:p>
        </w:tc>
        <w:tc>
          <w:tcPr>
            <w:tcW w:w="854" w:type="dxa"/>
            <w:vAlign w:val="center"/>
          </w:tcPr>
          <w:p w14:paraId="291591FB">
            <w:pPr>
              <w:spacing w:line="360" w:lineRule="exact"/>
              <w:jc w:val="center"/>
              <w:rPr>
                <w:rFonts w:ascii="仿宋_GB2312" w:hAnsi="Arial" w:cs="仿宋_GB2312"/>
                <w:snapToGrid w:val="0"/>
                <w:color w:val="000000"/>
                <w:kern w:val="0"/>
                <w:sz w:val="21"/>
                <w:szCs w:val="21"/>
              </w:rPr>
            </w:pPr>
            <w:bookmarkStart w:id="120" w:name="_Toc20121"/>
            <w:r>
              <w:rPr>
                <w:rFonts w:ascii="仿宋_GB2312" w:hAnsi="Arial" w:cs="仿宋_GB2312"/>
                <w:snapToGrid w:val="0"/>
                <w:color w:val="000000"/>
                <w:kern w:val="0"/>
                <w:sz w:val="21"/>
                <w:szCs w:val="21"/>
              </w:rPr>
              <w:t>%</w:t>
            </w:r>
            <w:bookmarkEnd w:id="120"/>
          </w:p>
        </w:tc>
        <w:tc>
          <w:tcPr>
            <w:tcW w:w="995" w:type="dxa"/>
            <w:vAlign w:val="center"/>
          </w:tcPr>
          <w:p w14:paraId="313B4782">
            <w:pPr>
              <w:spacing w:line="360" w:lineRule="exact"/>
              <w:jc w:val="center"/>
              <w:rPr>
                <w:rFonts w:ascii="仿宋_GB2312" w:hAnsi="Arial" w:cs="仿宋_GB2312"/>
                <w:snapToGrid w:val="0"/>
                <w:color w:val="000000"/>
                <w:kern w:val="0"/>
                <w:sz w:val="21"/>
                <w:szCs w:val="21"/>
              </w:rPr>
            </w:pPr>
            <w:bookmarkStart w:id="121" w:name="_Toc21084"/>
            <w:r>
              <w:rPr>
                <w:rFonts w:ascii="仿宋_GB2312" w:hAnsi="Arial" w:cs="仿宋_GB2312"/>
                <w:snapToGrid w:val="0"/>
                <w:color w:val="000000"/>
                <w:kern w:val="0"/>
                <w:sz w:val="21"/>
                <w:szCs w:val="21"/>
              </w:rPr>
              <w:t>57</w:t>
            </w:r>
            <w:bookmarkEnd w:id="121"/>
          </w:p>
        </w:tc>
        <w:tc>
          <w:tcPr>
            <w:tcW w:w="1375" w:type="dxa"/>
            <w:vAlign w:val="center"/>
          </w:tcPr>
          <w:p w14:paraId="307B5050">
            <w:pPr>
              <w:spacing w:line="360" w:lineRule="exact"/>
              <w:jc w:val="center"/>
              <w:rPr>
                <w:rFonts w:ascii="仿宋_GB2312" w:hAnsi="Arial" w:cs="仿宋_GB2312"/>
                <w:snapToGrid w:val="0"/>
                <w:color w:val="000000"/>
                <w:kern w:val="0"/>
                <w:sz w:val="21"/>
                <w:szCs w:val="21"/>
              </w:rPr>
            </w:pPr>
          </w:p>
        </w:tc>
      </w:tr>
    </w:tbl>
    <w:p w14:paraId="68776F8B">
      <w:pPr>
        <w:spacing w:line="576" w:lineRule="exact"/>
        <w:jc w:val="center"/>
        <w:rPr>
          <w:rStyle w:val="12"/>
          <w:rFonts w:ascii="黑体" w:hAnsi="宋体" w:eastAsia="黑体" w:cs="Times New Roman"/>
          <w:snapToGrid w:val="0"/>
          <w:color w:val="000000"/>
          <w:kern w:val="0"/>
        </w:rPr>
      </w:pPr>
    </w:p>
    <w:p w14:paraId="481B2A7B">
      <w:pPr>
        <w:spacing w:line="576" w:lineRule="exact"/>
        <w:jc w:val="center"/>
        <w:rPr>
          <w:rStyle w:val="12"/>
          <w:rFonts w:ascii="方正小标宋简体" w:hAnsi="宋体" w:eastAsia="方正小标宋简体" w:cs="Times New Roman"/>
          <w:snapToGrid w:val="0"/>
          <w:color w:val="000000"/>
          <w:kern w:val="0"/>
        </w:rPr>
      </w:pPr>
      <w:r>
        <w:rPr>
          <w:rStyle w:val="12"/>
          <w:rFonts w:hint="eastAsia" w:ascii="方正小标宋简体" w:hAnsi="宋体" w:eastAsia="方正小标宋简体" w:cs="方正小标宋简体"/>
          <w:snapToGrid w:val="0"/>
          <w:color w:val="000000"/>
          <w:kern w:val="0"/>
        </w:rPr>
        <w:t>第三章</w:t>
      </w:r>
      <w:r>
        <w:rPr>
          <w:rStyle w:val="12"/>
          <w:rFonts w:ascii="方正小标宋简体" w:hAnsi="宋体" w:eastAsia="方正小标宋简体" w:cs="方正小标宋简体"/>
          <w:snapToGrid w:val="0"/>
          <w:color w:val="000000"/>
          <w:kern w:val="0"/>
        </w:rPr>
        <w:t xml:space="preserve">  </w:t>
      </w:r>
      <w:r>
        <w:rPr>
          <w:rStyle w:val="12"/>
          <w:rFonts w:hint="eastAsia" w:ascii="方正小标宋简体" w:hAnsi="宋体" w:eastAsia="方正小标宋简体" w:cs="方正小标宋简体"/>
          <w:snapToGrid w:val="0"/>
          <w:color w:val="000000"/>
          <w:kern w:val="0"/>
        </w:rPr>
        <w:t>“十三五”质量发展的重点任务</w:t>
      </w:r>
      <w:bookmarkEnd w:id="36"/>
      <w:bookmarkEnd w:id="37"/>
      <w:bookmarkStart w:id="122" w:name="_Toc6666"/>
      <w:bookmarkStart w:id="123" w:name="_Toc16881"/>
    </w:p>
    <w:p w14:paraId="57B3D809">
      <w:pPr>
        <w:spacing w:line="576" w:lineRule="exact"/>
        <w:rPr>
          <w:rStyle w:val="12"/>
          <w:rFonts w:ascii="黑体" w:hAnsi="宋体" w:eastAsia="黑体" w:cs="Times New Roman"/>
          <w:snapToGrid w:val="0"/>
          <w:color w:val="000000"/>
          <w:kern w:val="0"/>
        </w:rPr>
      </w:pPr>
    </w:p>
    <w:p w14:paraId="73957FEB">
      <w:pPr>
        <w:spacing w:line="576" w:lineRule="exact"/>
        <w:ind w:firstLine="632" w:firstLineChars="200"/>
        <w:rPr>
          <w:rStyle w:val="12"/>
          <w:rFonts w:ascii="黑体" w:hAnsi="宋体" w:eastAsia="黑体" w:cs="Times New Roman"/>
          <w:b/>
          <w:bCs/>
          <w:snapToGrid w:val="0"/>
          <w:color w:val="000000"/>
          <w:kern w:val="0"/>
        </w:rPr>
      </w:pPr>
      <w:r>
        <w:rPr>
          <w:rStyle w:val="12"/>
          <w:rFonts w:hint="eastAsia" w:ascii="黑体" w:hAnsi="宋体" w:eastAsia="黑体" w:cs="黑体"/>
          <w:snapToGrid w:val="0"/>
          <w:color w:val="000000"/>
          <w:kern w:val="0"/>
        </w:rPr>
        <w:t>一、加快实施三大战略</w:t>
      </w:r>
      <w:bookmarkEnd w:id="122"/>
      <w:bookmarkEnd w:id="123"/>
      <w:bookmarkStart w:id="124" w:name="_Toc27049"/>
      <w:bookmarkStart w:id="125" w:name="_Toc9616"/>
    </w:p>
    <w:p w14:paraId="51BF36AC">
      <w:pPr>
        <w:spacing w:line="576" w:lineRule="exact"/>
        <w:ind w:firstLine="632" w:firstLineChars="200"/>
        <w:rPr>
          <w:rStyle w:val="12"/>
          <w:rFonts w:ascii="黑体" w:hAnsi="宋体" w:eastAsia="黑体" w:cs="Times New Roman"/>
          <w:b/>
          <w:bCs/>
          <w:snapToGrid w:val="0"/>
          <w:color w:val="000000"/>
          <w:kern w:val="0"/>
        </w:rPr>
      </w:pPr>
      <w:r>
        <w:rPr>
          <w:rStyle w:val="12"/>
          <w:rFonts w:hint="eastAsia" w:ascii="楷体_GB2312" w:hAnsi="宋体" w:eastAsia="楷体_GB2312" w:cs="楷体_GB2312"/>
          <w:snapToGrid w:val="0"/>
          <w:color w:val="000000"/>
          <w:kern w:val="0"/>
        </w:rPr>
        <w:t>（一）质量强市战略</w:t>
      </w:r>
      <w:bookmarkEnd w:id="124"/>
      <w:bookmarkEnd w:id="125"/>
    </w:p>
    <w:p w14:paraId="2B69DC69">
      <w:pPr>
        <w:spacing w:line="576" w:lineRule="exact"/>
        <w:ind w:firstLine="641"/>
        <w:jc w:val="left"/>
        <w:rPr>
          <w:rFonts w:ascii="仿宋_GB2312" w:hAnsi="Arial" w:cs="Times New Roman"/>
          <w:snapToGrid w:val="0"/>
          <w:color w:val="000000"/>
          <w:kern w:val="0"/>
        </w:rPr>
      </w:pPr>
      <w:r>
        <w:rPr>
          <w:rFonts w:hint="eastAsia" w:ascii="仿宋_GB2312" w:hAnsi="Arial" w:cs="仿宋_GB2312"/>
          <w:snapToGrid w:val="0"/>
          <w:color w:val="000000"/>
          <w:kern w:val="0"/>
        </w:rPr>
        <w:t>加快实施质量强市战略，开展重点行业、重点领域质量提升专项行动，实施卓越绩效孵化工程，建立卓越绩效管理模式分级孵化培育机制，分梯次培育一批管理领先、效益卓著的企业群体。开展质量强市示范城市（镇）创建活动，积极争创“国家级、省级质量强市示范城市（镇）”。逐步构建大质量发展机制，形成大质量工作格局，完善质量发展激励机制，建立健全质量工作考核制度。不断加大质量发展投入，提升质量发展水平，优化质量发展环境，建设先进质量文化，形成政府重视质量、企业追求质量、社会崇尚质量、人人关心质量的良好氛围。</w:t>
      </w:r>
    </w:p>
    <w:p w14:paraId="27B7B9C6">
      <w:pPr>
        <w:spacing w:line="576" w:lineRule="exact"/>
        <w:ind w:firstLine="641"/>
        <w:jc w:val="left"/>
        <w:rPr>
          <w:rFonts w:ascii="仿宋_GB2312" w:hAnsi="Arial" w:cs="Times New Roman"/>
          <w:snapToGrid w:val="0"/>
          <w:color w:val="000000"/>
          <w:kern w:val="0"/>
        </w:rPr>
      </w:pPr>
    </w:p>
    <w:tbl>
      <w:tblPr>
        <w:tblStyle w:val="10"/>
        <w:tblW w:w="9096"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96"/>
      </w:tblGrid>
      <w:tr w14:paraId="710B7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9096" w:type="dxa"/>
          </w:tcPr>
          <w:p w14:paraId="667C3173">
            <w:pPr>
              <w:spacing w:line="560" w:lineRule="exact"/>
              <w:jc w:val="center"/>
              <w:rPr>
                <w:rFonts w:ascii="黑体" w:hAnsi="Arial" w:eastAsia="黑体" w:cs="Times New Roman"/>
                <w:snapToGrid w:val="0"/>
                <w:color w:val="000000"/>
                <w:kern w:val="0"/>
                <w:sz w:val="24"/>
                <w:szCs w:val="24"/>
              </w:rPr>
            </w:pPr>
            <w:r>
              <w:rPr>
                <w:rFonts w:hint="eastAsia" w:ascii="黑体" w:hAnsi="Arial" w:eastAsia="黑体" w:cs="黑体"/>
                <w:snapToGrid w:val="0"/>
                <w:color w:val="000000"/>
                <w:kern w:val="0"/>
                <w:sz w:val="24"/>
                <w:szCs w:val="24"/>
              </w:rPr>
              <w:t>专栏</w:t>
            </w:r>
            <w:r>
              <w:rPr>
                <w:rFonts w:ascii="黑体" w:hAnsi="Arial" w:eastAsia="黑体" w:cs="黑体"/>
                <w:snapToGrid w:val="0"/>
                <w:color w:val="000000"/>
                <w:kern w:val="0"/>
                <w:sz w:val="24"/>
                <w:szCs w:val="24"/>
              </w:rPr>
              <w:t xml:space="preserve">2   </w:t>
            </w:r>
            <w:r>
              <w:rPr>
                <w:rFonts w:hint="eastAsia" w:ascii="黑体" w:hAnsi="Arial" w:eastAsia="黑体" w:cs="黑体"/>
                <w:snapToGrid w:val="0"/>
                <w:color w:val="000000"/>
                <w:kern w:val="0"/>
                <w:sz w:val="24"/>
                <w:szCs w:val="24"/>
              </w:rPr>
              <w:t>质量强市战略重点</w:t>
            </w:r>
          </w:p>
        </w:tc>
      </w:tr>
      <w:tr w14:paraId="20993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2" w:hRule="atLeast"/>
        </w:trPr>
        <w:tc>
          <w:tcPr>
            <w:tcW w:w="9096" w:type="dxa"/>
            <w:vAlign w:val="center"/>
          </w:tcPr>
          <w:p w14:paraId="3CD8F5FE">
            <w:pPr>
              <w:spacing w:line="400" w:lineRule="exact"/>
              <w:ind w:firstLine="236" w:firstLineChars="100"/>
              <w:rPr>
                <w:rFonts w:ascii="仿宋_GB2312" w:hAnsi="Arial" w:cs="Times New Roman"/>
                <w:snapToGrid w:val="0"/>
                <w:color w:val="000000"/>
                <w:kern w:val="0"/>
                <w:sz w:val="24"/>
                <w:szCs w:val="24"/>
              </w:rPr>
            </w:pPr>
            <w:r>
              <w:rPr>
                <w:rFonts w:ascii="仿宋_GB2312" w:hAnsi="Arial" w:cs="仿宋_GB2312"/>
                <w:snapToGrid w:val="0"/>
                <w:color w:val="000000"/>
                <w:kern w:val="0"/>
                <w:sz w:val="24"/>
                <w:szCs w:val="24"/>
              </w:rPr>
              <w:t>1.</w:t>
            </w:r>
            <w:r>
              <w:rPr>
                <w:rFonts w:hint="eastAsia" w:ascii="仿宋_GB2312" w:hAnsi="Arial" w:cs="仿宋_GB2312"/>
                <w:snapToGrid w:val="0"/>
                <w:color w:val="000000"/>
                <w:kern w:val="0"/>
                <w:sz w:val="24"/>
                <w:szCs w:val="24"/>
              </w:rPr>
              <w:t>完善质量工作机制。强化宏观质量政策制定，进一步完善大质量工作机制，把质量工作纳入县区政府和市级相关部门绩效考核体系。加强政策引导，开展政府质量奖评选，树立质量标杆。建立质量工作投入的稳定增长机制，逐年增加经费投入。</w:t>
            </w:r>
          </w:p>
          <w:p w14:paraId="68E2943F">
            <w:pPr>
              <w:spacing w:line="400" w:lineRule="exact"/>
              <w:ind w:firstLine="236" w:firstLineChars="100"/>
              <w:rPr>
                <w:rFonts w:ascii="仿宋_GB2312" w:hAnsi="Arial" w:cs="Times New Roman"/>
                <w:snapToGrid w:val="0"/>
                <w:color w:val="000000"/>
                <w:kern w:val="0"/>
                <w:sz w:val="24"/>
                <w:szCs w:val="24"/>
              </w:rPr>
            </w:pPr>
            <w:r>
              <w:rPr>
                <w:rFonts w:ascii="仿宋_GB2312" w:hAnsi="Arial" w:cs="仿宋_GB2312"/>
                <w:snapToGrid w:val="0"/>
                <w:color w:val="000000"/>
                <w:kern w:val="0"/>
                <w:sz w:val="24"/>
                <w:szCs w:val="24"/>
              </w:rPr>
              <w:t>2.</w:t>
            </w:r>
            <w:r>
              <w:rPr>
                <w:rFonts w:hint="eastAsia" w:ascii="仿宋_GB2312" w:hAnsi="Arial" w:cs="仿宋_GB2312"/>
                <w:snapToGrid w:val="0"/>
                <w:color w:val="000000"/>
                <w:kern w:val="0"/>
                <w:sz w:val="24"/>
                <w:szCs w:val="24"/>
              </w:rPr>
              <w:t>开展质量强市示范城市创建活动，创建质量强市示范城市（镇）</w:t>
            </w:r>
            <w:r>
              <w:rPr>
                <w:rFonts w:ascii="仿宋_GB2312" w:hAnsi="Arial" w:cs="仿宋_GB2312"/>
                <w:snapToGrid w:val="0"/>
                <w:color w:val="000000"/>
                <w:kern w:val="0"/>
                <w:sz w:val="24"/>
                <w:szCs w:val="24"/>
              </w:rPr>
              <w:t>2</w:t>
            </w:r>
            <w:r>
              <w:rPr>
                <w:rFonts w:hint="eastAsia" w:ascii="仿宋_GB2312" w:hAnsi="Arial" w:cs="仿宋_GB2312"/>
                <w:snapToGrid w:val="0"/>
                <w:color w:val="000000"/>
                <w:kern w:val="0"/>
                <w:sz w:val="24"/>
                <w:szCs w:val="24"/>
              </w:rPr>
              <w:t>个以上。</w:t>
            </w:r>
          </w:p>
        </w:tc>
      </w:tr>
    </w:tbl>
    <w:p w14:paraId="560C795B">
      <w:pPr>
        <w:spacing w:line="576" w:lineRule="exact"/>
        <w:ind w:firstLine="620" w:firstLineChars="196"/>
        <w:jc w:val="left"/>
        <w:outlineLvl w:val="2"/>
        <w:rPr>
          <w:rStyle w:val="12"/>
          <w:rFonts w:ascii="楷体_GB2312" w:hAnsi="宋体" w:eastAsia="楷体_GB2312" w:cs="Times New Roman"/>
          <w:snapToGrid w:val="0"/>
          <w:color w:val="000000"/>
          <w:kern w:val="0"/>
        </w:rPr>
      </w:pPr>
      <w:bookmarkStart w:id="126" w:name="_Toc6404"/>
      <w:r>
        <w:rPr>
          <w:rStyle w:val="12"/>
          <w:rFonts w:hint="eastAsia" w:ascii="楷体_GB2312" w:hAnsi="宋体" w:eastAsia="楷体_GB2312" w:cs="楷体_GB2312"/>
          <w:snapToGrid w:val="0"/>
          <w:color w:val="000000"/>
          <w:kern w:val="0"/>
        </w:rPr>
        <w:t>（二）品牌发展战略</w:t>
      </w:r>
      <w:bookmarkEnd w:id="126"/>
    </w:p>
    <w:p w14:paraId="5DA74851">
      <w:pPr>
        <w:widowControl/>
        <w:spacing w:line="576" w:lineRule="exact"/>
        <w:ind w:firstLine="632" w:firstLineChars="200"/>
        <w:jc w:val="left"/>
        <w:rPr>
          <w:rFonts w:ascii="仿宋_GB2312" w:hAnsi="Arial" w:cs="Times New Roman"/>
          <w:snapToGrid w:val="0"/>
          <w:color w:val="000000"/>
          <w:kern w:val="0"/>
        </w:rPr>
      </w:pPr>
      <w:r>
        <w:rPr>
          <w:rFonts w:hint="eastAsia" w:ascii="仿宋_GB2312" w:hAnsi="Arial" w:cs="仿宋_GB2312"/>
          <w:snapToGrid w:val="0"/>
          <w:color w:val="000000"/>
          <w:kern w:val="0"/>
        </w:rPr>
        <w:t>建立完善“市场决定、企业主体、政府推动、社会参与”的品牌工作机制，围绕现代农业、特色优势产业、战略性新兴产业、现代服务业、军民融合产业和重点工程领域，创建一批拥有自主知识产权和核心竞争力的品牌产品、品牌工程、品牌企业和品牌产业。鼓励企业（组织）争创中国质量奖、天府质量奖、省长、市长质量奖。引导企业注重品牌质量，实施品牌动态管理，完善品牌退出机制。加强品牌保护和宣传，提升广元品牌的知名度和美誉度，推动企业从产品竞争、价格竞争向质量竞争、品牌竞争转变。</w:t>
      </w:r>
      <w:bookmarkStart w:id="127" w:name="_Toc8269"/>
      <w:bookmarkStart w:id="128" w:name="_Toc24893"/>
    </w:p>
    <w:p w14:paraId="66C80F54">
      <w:pPr>
        <w:widowControl/>
        <w:spacing w:line="576" w:lineRule="exact"/>
        <w:ind w:firstLine="632" w:firstLineChars="200"/>
        <w:jc w:val="left"/>
        <w:rPr>
          <w:rFonts w:ascii="仿宋_GB2312" w:hAnsi="Arial" w:cs="Times New Roman"/>
          <w:snapToGrid w:val="0"/>
          <w:color w:val="000000"/>
          <w:kern w:val="0"/>
        </w:rPr>
      </w:pPr>
    </w:p>
    <w:p w14:paraId="08DDBA28">
      <w:pPr>
        <w:widowControl/>
        <w:spacing w:line="576" w:lineRule="exact"/>
        <w:ind w:firstLine="632" w:firstLineChars="200"/>
        <w:jc w:val="left"/>
        <w:rPr>
          <w:rFonts w:ascii="仿宋_GB2312" w:hAnsi="Arial" w:cs="Times New Roman"/>
          <w:snapToGrid w:val="0"/>
          <w:color w:val="000000"/>
          <w:kern w:val="0"/>
        </w:rPr>
      </w:pPr>
    </w:p>
    <w:tbl>
      <w:tblPr>
        <w:tblStyle w:val="10"/>
        <w:tblW w:w="8946"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6"/>
      </w:tblGrid>
      <w:tr w14:paraId="13B48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946" w:type="dxa"/>
          </w:tcPr>
          <w:p w14:paraId="5CB10290">
            <w:pPr>
              <w:widowControl/>
              <w:spacing w:line="560" w:lineRule="exact"/>
              <w:jc w:val="center"/>
              <w:rPr>
                <w:rFonts w:ascii="黑体" w:hAnsi="Arial" w:eastAsia="黑体" w:cs="Times New Roman"/>
                <w:snapToGrid w:val="0"/>
                <w:color w:val="000000"/>
                <w:kern w:val="0"/>
                <w:sz w:val="28"/>
                <w:szCs w:val="28"/>
              </w:rPr>
            </w:pPr>
            <w:r>
              <w:rPr>
                <w:rFonts w:hint="eastAsia" w:ascii="黑体" w:hAnsi="Arial" w:eastAsia="黑体" w:cs="黑体"/>
                <w:snapToGrid w:val="0"/>
                <w:color w:val="000000"/>
                <w:kern w:val="0"/>
                <w:sz w:val="28"/>
                <w:szCs w:val="28"/>
              </w:rPr>
              <w:t>专栏</w:t>
            </w:r>
            <w:r>
              <w:rPr>
                <w:rFonts w:ascii="黑体" w:hAnsi="Arial" w:eastAsia="黑体" w:cs="黑体"/>
                <w:snapToGrid w:val="0"/>
                <w:color w:val="000000"/>
                <w:kern w:val="0"/>
                <w:sz w:val="28"/>
                <w:szCs w:val="28"/>
              </w:rPr>
              <w:t xml:space="preserve">3  </w:t>
            </w:r>
            <w:r>
              <w:rPr>
                <w:rFonts w:hint="eastAsia" w:ascii="黑体" w:hAnsi="Arial" w:eastAsia="黑体" w:cs="黑体"/>
                <w:snapToGrid w:val="0"/>
                <w:color w:val="000000"/>
                <w:kern w:val="0"/>
                <w:sz w:val="28"/>
                <w:szCs w:val="28"/>
              </w:rPr>
              <w:t>品牌发展战略重点</w:t>
            </w:r>
          </w:p>
        </w:tc>
      </w:tr>
      <w:tr w14:paraId="71671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1" w:hRule="atLeast"/>
        </w:trPr>
        <w:tc>
          <w:tcPr>
            <w:tcW w:w="8946" w:type="dxa"/>
            <w:vAlign w:val="center"/>
          </w:tcPr>
          <w:p w14:paraId="06128016">
            <w:pPr>
              <w:spacing w:line="400" w:lineRule="exact"/>
              <w:ind w:firstLine="480"/>
              <w:rPr>
                <w:rFonts w:ascii="仿宋_GB2312" w:hAnsi="Arial" w:cs="Times New Roman"/>
                <w:snapToGrid w:val="0"/>
                <w:color w:val="000000"/>
                <w:kern w:val="0"/>
                <w:sz w:val="24"/>
                <w:szCs w:val="24"/>
              </w:rPr>
            </w:pPr>
            <w:r>
              <w:rPr>
                <w:rFonts w:ascii="仿宋_GB2312" w:hAnsi="Arial" w:cs="仿宋_GB2312"/>
                <w:snapToGrid w:val="0"/>
                <w:color w:val="000000"/>
                <w:kern w:val="0"/>
                <w:sz w:val="24"/>
                <w:szCs w:val="24"/>
              </w:rPr>
              <w:t>1.</w:t>
            </w:r>
            <w:r>
              <w:rPr>
                <w:rFonts w:hint="eastAsia" w:ascii="仿宋_GB2312" w:hAnsi="Arial" w:cs="仿宋_GB2312"/>
                <w:snapToGrid w:val="0"/>
                <w:color w:val="000000"/>
                <w:kern w:val="0"/>
                <w:sz w:val="24"/>
                <w:szCs w:val="24"/>
              </w:rPr>
              <w:t>推动企业提品质创品牌。优化政策环境，大力营造良好的社会氛围，深入开展品牌创建提升行动，支持企业采用国际和国外先进标准，提升产品品质和市场占有率。坚持差异化、特色化发展和以点带线、以线促面、点面结合的原则，统筹推进工业、农业</w:t>
            </w:r>
            <w:r>
              <w:rPr>
                <w:rFonts w:ascii="仿宋_GB2312" w:hAnsi="Arial" w:cs="仿宋_GB2312"/>
                <w:snapToGrid w:val="0"/>
                <w:color w:val="000000"/>
                <w:kern w:val="0"/>
                <w:sz w:val="24"/>
                <w:szCs w:val="24"/>
              </w:rPr>
              <w:t xml:space="preserve"> </w:t>
            </w:r>
            <w:r>
              <w:rPr>
                <w:rFonts w:hint="eastAsia" w:ascii="仿宋_GB2312" w:hAnsi="Arial" w:cs="仿宋_GB2312"/>
                <w:snapToGrid w:val="0"/>
                <w:color w:val="000000"/>
                <w:kern w:val="0"/>
                <w:sz w:val="24"/>
                <w:szCs w:val="24"/>
              </w:rPr>
              <w:t>、服务业“</w:t>
            </w:r>
            <w:r>
              <w:rPr>
                <w:rFonts w:ascii="仿宋_GB2312" w:hAnsi="Arial" w:cs="仿宋_GB2312"/>
                <w:snapToGrid w:val="0"/>
                <w:color w:val="000000"/>
                <w:kern w:val="0"/>
                <w:sz w:val="24"/>
                <w:szCs w:val="24"/>
              </w:rPr>
              <w:t>2+2+N</w:t>
            </w:r>
            <w:r>
              <w:rPr>
                <w:rFonts w:hint="eastAsia" w:ascii="仿宋_GB2312" w:hAnsi="Arial" w:cs="仿宋_GB2312"/>
                <w:snapToGrid w:val="0"/>
                <w:color w:val="000000"/>
                <w:kern w:val="0"/>
                <w:sz w:val="24"/>
                <w:szCs w:val="24"/>
              </w:rPr>
              <w:t>”的品牌创建模式，由重点产业延伸至重点企业（项目），发展壮大一批特色品牌，努力打造享誉国内外广元品牌，重点打造元泰达公司、天英精密公司、金贝儿公司、华朴公司、米仓山茶业集团有限公司</w:t>
            </w:r>
            <w:r>
              <w:rPr>
                <w:rFonts w:hint="eastAsia" w:ascii="宋体" w:hAnsi="宋体" w:cs="仿宋_GB2312"/>
                <w:color w:val="000000"/>
                <w:kern w:val="0"/>
                <w:sz w:val="24"/>
                <w:szCs w:val="24"/>
              </w:rPr>
              <w:t>。</w:t>
            </w:r>
          </w:p>
          <w:p w14:paraId="24B1EB91">
            <w:pPr>
              <w:widowControl/>
              <w:spacing w:line="400" w:lineRule="exact"/>
              <w:ind w:firstLine="472" w:firstLineChars="200"/>
              <w:rPr>
                <w:rFonts w:ascii="仿宋_GB2312" w:hAnsi="Arial" w:cs="Times New Roman"/>
                <w:snapToGrid w:val="0"/>
                <w:color w:val="000000"/>
                <w:kern w:val="0"/>
                <w:sz w:val="24"/>
                <w:szCs w:val="24"/>
              </w:rPr>
            </w:pPr>
            <w:r>
              <w:rPr>
                <w:rFonts w:ascii="仿宋_GB2312" w:hAnsi="Arial" w:cs="仿宋_GB2312"/>
                <w:snapToGrid w:val="0"/>
                <w:color w:val="000000"/>
                <w:kern w:val="0"/>
                <w:sz w:val="24"/>
                <w:szCs w:val="24"/>
              </w:rPr>
              <w:t>2.</w:t>
            </w:r>
            <w:r>
              <w:rPr>
                <w:rFonts w:hint="eastAsia" w:ascii="仿宋_GB2312" w:hAnsi="Arial" w:cs="仿宋_GB2312"/>
                <w:snapToGrid w:val="0"/>
                <w:color w:val="000000"/>
                <w:kern w:val="0"/>
                <w:sz w:val="24"/>
                <w:szCs w:val="24"/>
              </w:rPr>
              <w:t>产品品牌：培育创建国家地理标志保护产品</w:t>
            </w:r>
            <w:r>
              <w:rPr>
                <w:rFonts w:ascii="仿宋_GB2312" w:hAnsi="Arial" w:cs="仿宋_GB2312"/>
                <w:snapToGrid w:val="0"/>
                <w:color w:val="000000"/>
                <w:kern w:val="0"/>
                <w:sz w:val="24"/>
                <w:szCs w:val="24"/>
              </w:rPr>
              <w:t>27</w:t>
            </w:r>
            <w:r>
              <w:rPr>
                <w:rFonts w:hint="eastAsia" w:ascii="仿宋_GB2312" w:hAnsi="Arial" w:cs="仿宋_GB2312"/>
                <w:snapToGrid w:val="0"/>
                <w:color w:val="000000"/>
                <w:kern w:val="0"/>
                <w:sz w:val="24"/>
                <w:szCs w:val="24"/>
              </w:rPr>
              <w:t>个，四川名牌产品</w:t>
            </w:r>
            <w:r>
              <w:rPr>
                <w:rFonts w:ascii="仿宋_GB2312" w:hAnsi="Arial" w:cs="仿宋_GB2312"/>
                <w:snapToGrid w:val="0"/>
                <w:color w:val="000000"/>
                <w:kern w:val="0"/>
                <w:sz w:val="24"/>
                <w:szCs w:val="24"/>
              </w:rPr>
              <w:t>80</w:t>
            </w:r>
            <w:r>
              <w:rPr>
                <w:rFonts w:hint="eastAsia" w:ascii="仿宋_GB2312" w:hAnsi="Arial" w:cs="仿宋_GB2312"/>
                <w:snapToGrid w:val="0"/>
                <w:color w:val="000000"/>
                <w:kern w:val="0"/>
                <w:sz w:val="24"/>
                <w:szCs w:val="24"/>
              </w:rPr>
              <w:t>个，广元知名品牌产品</w:t>
            </w:r>
            <w:r>
              <w:rPr>
                <w:rFonts w:ascii="仿宋_GB2312" w:hAnsi="Arial" w:cs="仿宋_GB2312"/>
                <w:snapToGrid w:val="0"/>
                <w:color w:val="000000"/>
                <w:kern w:val="0"/>
                <w:sz w:val="24"/>
                <w:szCs w:val="24"/>
              </w:rPr>
              <w:t>90</w:t>
            </w:r>
            <w:r>
              <w:rPr>
                <w:rFonts w:hint="eastAsia" w:ascii="仿宋_GB2312" w:hAnsi="Arial" w:cs="仿宋_GB2312"/>
                <w:snapToGrid w:val="0"/>
                <w:color w:val="000000"/>
                <w:kern w:val="0"/>
                <w:sz w:val="24"/>
                <w:szCs w:val="24"/>
              </w:rPr>
              <w:t>个，无公害农产品</w:t>
            </w:r>
            <w:r>
              <w:rPr>
                <w:rFonts w:ascii="仿宋_GB2312" w:hAnsi="Arial" w:cs="仿宋_GB2312"/>
                <w:snapToGrid w:val="0"/>
                <w:color w:val="000000"/>
                <w:kern w:val="0"/>
                <w:sz w:val="24"/>
                <w:szCs w:val="24"/>
              </w:rPr>
              <w:t>260</w:t>
            </w:r>
            <w:r>
              <w:rPr>
                <w:rFonts w:hint="eastAsia" w:ascii="仿宋_GB2312" w:hAnsi="Arial" w:cs="仿宋_GB2312"/>
                <w:snapToGrid w:val="0"/>
                <w:color w:val="000000"/>
                <w:kern w:val="0"/>
                <w:sz w:val="24"/>
                <w:szCs w:val="24"/>
              </w:rPr>
              <w:t>个，绿色食品</w:t>
            </w:r>
            <w:r>
              <w:rPr>
                <w:rFonts w:ascii="仿宋_GB2312" w:hAnsi="Arial" w:cs="仿宋_GB2312"/>
                <w:snapToGrid w:val="0"/>
                <w:color w:val="000000"/>
                <w:kern w:val="0"/>
                <w:sz w:val="24"/>
                <w:szCs w:val="24"/>
              </w:rPr>
              <w:t>70</w:t>
            </w:r>
            <w:r>
              <w:rPr>
                <w:rFonts w:hint="eastAsia" w:ascii="仿宋_GB2312" w:hAnsi="Arial" w:cs="仿宋_GB2312"/>
                <w:snapToGrid w:val="0"/>
                <w:color w:val="000000"/>
                <w:kern w:val="0"/>
                <w:sz w:val="24"/>
                <w:szCs w:val="24"/>
              </w:rPr>
              <w:t>个，有机产品认证</w:t>
            </w:r>
            <w:r>
              <w:rPr>
                <w:rFonts w:ascii="仿宋_GB2312" w:hAnsi="Arial" w:cs="仿宋_GB2312"/>
                <w:snapToGrid w:val="0"/>
                <w:color w:val="000000"/>
                <w:kern w:val="0"/>
                <w:sz w:val="24"/>
                <w:szCs w:val="24"/>
              </w:rPr>
              <w:t>80</w:t>
            </w:r>
            <w:r>
              <w:rPr>
                <w:rFonts w:hint="eastAsia" w:ascii="仿宋_GB2312" w:hAnsi="Arial" w:cs="仿宋_GB2312"/>
                <w:snapToGrid w:val="0"/>
                <w:color w:val="000000"/>
                <w:kern w:val="0"/>
                <w:sz w:val="24"/>
                <w:szCs w:val="24"/>
              </w:rPr>
              <w:t>个。</w:t>
            </w:r>
          </w:p>
          <w:p w14:paraId="32CEB152">
            <w:pPr>
              <w:widowControl/>
              <w:spacing w:line="400" w:lineRule="exact"/>
              <w:rPr>
                <w:rFonts w:ascii="仿宋_GB2312" w:hAnsi="Arial" w:cs="Times New Roman"/>
                <w:snapToGrid w:val="0"/>
                <w:color w:val="000000"/>
                <w:kern w:val="0"/>
                <w:sz w:val="24"/>
                <w:szCs w:val="24"/>
              </w:rPr>
            </w:pPr>
            <w:r>
              <w:rPr>
                <w:rFonts w:ascii="仿宋_GB2312" w:hAnsi="Arial" w:cs="仿宋_GB2312"/>
                <w:snapToGrid w:val="0"/>
                <w:color w:val="000000"/>
                <w:kern w:val="0"/>
                <w:sz w:val="24"/>
                <w:szCs w:val="24"/>
              </w:rPr>
              <w:t xml:space="preserve">    3.</w:t>
            </w:r>
            <w:r>
              <w:rPr>
                <w:rFonts w:hint="eastAsia" w:ascii="仿宋_GB2312" w:hAnsi="Arial" w:cs="仿宋_GB2312"/>
                <w:snapToGrid w:val="0"/>
                <w:color w:val="000000"/>
                <w:kern w:val="0"/>
                <w:sz w:val="24"/>
                <w:szCs w:val="24"/>
              </w:rPr>
              <w:t>企业品牌：全市力争实现培育“中国质量奖”申报企业</w:t>
            </w:r>
            <w:r>
              <w:rPr>
                <w:rFonts w:ascii="仿宋_GB2312" w:hAnsi="Arial" w:cs="仿宋_GB2312"/>
                <w:snapToGrid w:val="0"/>
                <w:color w:val="000000"/>
                <w:kern w:val="0"/>
                <w:sz w:val="24"/>
                <w:szCs w:val="24"/>
              </w:rPr>
              <w:t>1</w:t>
            </w:r>
            <w:r>
              <w:rPr>
                <w:rFonts w:hint="eastAsia" w:ascii="仿宋_GB2312" w:hAnsi="Arial" w:cs="仿宋_GB2312"/>
                <w:snapToGrid w:val="0"/>
                <w:color w:val="000000"/>
                <w:kern w:val="0"/>
                <w:sz w:val="24"/>
                <w:szCs w:val="24"/>
              </w:rPr>
              <w:t>个，“天府质量奖</w:t>
            </w:r>
            <w:r>
              <w:rPr>
                <w:rFonts w:ascii="仿宋_GB2312" w:hAnsi="Arial" w:cs="Arial"/>
                <w:snapToGrid w:val="0"/>
                <w:color w:val="000000"/>
                <w:kern w:val="0"/>
                <w:sz w:val="24"/>
                <w:szCs w:val="24"/>
              </w:rPr>
              <w:t>”</w:t>
            </w:r>
            <w:r>
              <w:rPr>
                <w:rFonts w:hint="eastAsia" w:ascii="仿宋_GB2312" w:hAnsi="Arial" w:cs="仿宋_GB2312"/>
                <w:snapToGrid w:val="0"/>
                <w:color w:val="000000"/>
                <w:kern w:val="0"/>
                <w:sz w:val="24"/>
                <w:szCs w:val="24"/>
              </w:rPr>
              <w:t>申报企业</w:t>
            </w:r>
            <w:r>
              <w:rPr>
                <w:rFonts w:ascii="仿宋_GB2312" w:hAnsi="Arial" w:cs="仿宋_GB2312"/>
                <w:snapToGrid w:val="0"/>
                <w:color w:val="000000"/>
                <w:kern w:val="0"/>
                <w:sz w:val="24"/>
                <w:szCs w:val="24"/>
              </w:rPr>
              <w:t>2-3</w:t>
            </w:r>
            <w:r>
              <w:rPr>
                <w:rFonts w:hint="eastAsia" w:ascii="仿宋_GB2312" w:hAnsi="Arial" w:cs="仿宋_GB2312"/>
                <w:snapToGrid w:val="0"/>
                <w:color w:val="000000"/>
                <w:kern w:val="0"/>
                <w:sz w:val="24"/>
                <w:szCs w:val="24"/>
              </w:rPr>
              <w:t>个，“广元市市长质量奖”</w:t>
            </w:r>
            <w:r>
              <w:rPr>
                <w:rFonts w:ascii="仿宋_GB2312" w:hAnsi="Arial" w:cs="仿宋_GB2312"/>
                <w:snapToGrid w:val="0"/>
                <w:color w:val="000000"/>
                <w:kern w:val="0"/>
                <w:sz w:val="24"/>
                <w:szCs w:val="24"/>
              </w:rPr>
              <w:t>6</w:t>
            </w:r>
            <w:r>
              <w:rPr>
                <w:rFonts w:hint="eastAsia" w:ascii="仿宋_GB2312" w:hAnsi="Arial" w:cs="仿宋_GB2312"/>
                <w:snapToGrid w:val="0"/>
                <w:color w:val="000000"/>
                <w:kern w:val="0"/>
                <w:sz w:val="24"/>
                <w:szCs w:val="24"/>
              </w:rPr>
              <w:t>个，中国驰名商标</w:t>
            </w:r>
            <w:r>
              <w:rPr>
                <w:rFonts w:ascii="仿宋_GB2312" w:hAnsi="Arial" w:cs="仿宋_GB2312"/>
                <w:snapToGrid w:val="0"/>
                <w:color w:val="000000"/>
                <w:kern w:val="0"/>
                <w:sz w:val="24"/>
                <w:szCs w:val="24"/>
              </w:rPr>
              <w:t>8</w:t>
            </w:r>
            <w:r>
              <w:rPr>
                <w:rFonts w:hint="eastAsia" w:ascii="仿宋_GB2312" w:hAnsi="Arial" w:cs="仿宋_GB2312"/>
                <w:snapToGrid w:val="0"/>
                <w:color w:val="000000"/>
                <w:kern w:val="0"/>
                <w:sz w:val="24"/>
                <w:szCs w:val="24"/>
              </w:rPr>
              <w:t>件，地理标志证明商标</w:t>
            </w:r>
            <w:r>
              <w:rPr>
                <w:rFonts w:ascii="仿宋_GB2312" w:hAnsi="Arial" w:cs="仿宋_GB2312"/>
                <w:snapToGrid w:val="0"/>
                <w:color w:val="000000"/>
                <w:kern w:val="0"/>
                <w:sz w:val="24"/>
                <w:szCs w:val="24"/>
              </w:rPr>
              <w:t>27</w:t>
            </w:r>
            <w:r>
              <w:rPr>
                <w:rFonts w:hint="eastAsia" w:ascii="仿宋_GB2312" w:hAnsi="Arial" w:cs="仿宋_GB2312"/>
                <w:snapToGrid w:val="0"/>
                <w:color w:val="000000"/>
                <w:kern w:val="0"/>
                <w:sz w:val="24"/>
                <w:szCs w:val="24"/>
              </w:rPr>
              <w:t>件，四川著名商标</w:t>
            </w:r>
            <w:r>
              <w:rPr>
                <w:rFonts w:ascii="仿宋_GB2312" w:hAnsi="Arial" w:cs="仿宋_GB2312"/>
                <w:snapToGrid w:val="0"/>
                <w:color w:val="000000"/>
                <w:kern w:val="0"/>
                <w:sz w:val="24"/>
                <w:szCs w:val="24"/>
              </w:rPr>
              <w:t>40</w:t>
            </w:r>
            <w:r>
              <w:rPr>
                <w:rFonts w:hint="eastAsia" w:ascii="仿宋_GB2312" w:hAnsi="Arial" w:cs="仿宋_GB2312"/>
                <w:snapToGrid w:val="0"/>
                <w:color w:val="000000"/>
                <w:kern w:val="0"/>
                <w:sz w:val="24"/>
                <w:szCs w:val="24"/>
              </w:rPr>
              <w:t>件。</w:t>
            </w:r>
          </w:p>
          <w:p w14:paraId="1EAAEB9F">
            <w:pPr>
              <w:widowControl/>
              <w:spacing w:line="400" w:lineRule="exact"/>
              <w:rPr>
                <w:rFonts w:ascii="仿宋_GB2312" w:hAnsi="Arial" w:cs="Times New Roman"/>
                <w:snapToGrid w:val="0"/>
                <w:color w:val="000000"/>
                <w:kern w:val="0"/>
                <w:sz w:val="24"/>
                <w:szCs w:val="24"/>
              </w:rPr>
            </w:pPr>
            <w:r>
              <w:rPr>
                <w:rFonts w:ascii="仿宋_GB2312" w:hAnsi="Arial" w:cs="仿宋_GB2312"/>
                <w:snapToGrid w:val="0"/>
                <w:color w:val="000000"/>
                <w:kern w:val="0"/>
                <w:sz w:val="24"/>
                <w:szCs w:val="24"/>
              </w:rPr>
              <w:t xml:space="preserve">    4.</w:t>
            </w:r>
            <w:r>
              <w:rPr>
                <w:rFonts w:hint="eastAsia" w:ascii="仿宋_GB2312" w:hAnsi="Arial" w:cs="仿宋_GB2312"/>
                <w:snapToGrid w:val="0"/>
                <w:color w:val="000000"/>
                <w:kern w:val="0"/>
                <w:sz w:val="24"/>
                <w:szCs w:val="24"/>
              </w:rPr>
              <w:t>区域品牌：创建国家级、省级知名品牌示范区</w:t>
            </w:r>
            <w:r>
              <w:rPr>
                <w:rFonts w:ascii="仿宋_GB2312" w:hAnsi="Arial" w:cs="仿宋_GB2312"/>
                <w:snapToGrid w:val="0"/>
                <w:color w:val="000000"/>
                <w:kern w:val="0"/>
                <w:sz w:val="24"/>
                <w:szCs w:val="24"/>
              </w:rPr>
              <w:t>3</w:t>
            </w:r>
            <w:r>
              <w:rPr>
                <w:rFonts w:hint="eastAsia" w:ascii="仿宋_GB2312" w:hAnsi="Arial" w:cs="仿宋_GB2312"/>
                <w:snapToGrid w:val="0"/>
                <w:color w:val="000000"/>
                <w:kern w:val="0"/>
                <w:sz w:val="24"/>
                <w:szCs w:val="24"/>
              </w:rPr>
              <w:t>个，国家地理标志保护产品示范区</w:t>
            </w:r>
            <w:r>
              <w:rPr>
                <w:rFonts w:ascii="仿宋_GB2312" w:hAnsi="Arial" w:cs="仿宋_GB2312"/>
                <w:snapToGrid w:val="0"/>
                <w:color w:val="000000"/>
                <w:kern w:val="0"/>
                <w:sz w:val="24"/>
                <w:szCs w:val="24"/>
              </w:rPr>
              <w:t>2</w:t>
            </w:r>
            <w:r>
              <w:rPr>
                <w:rFonts w:hint="eastAsia" w:ascii="仿宋_GB2312" w:hAnsi="Arial" w:cs="仿宋_GB2312"/>
                <w:snapToGrid w:val="0"/>
                <w:color w:val="000000"/>
                <w:kern w:val="0"/>
                <w:sz w:val="24"/>
                <w:szCs w:val="24"/>
              </w:rPr>
              <w:t>个，全市各县区创建成为国家或省级有机产品认证示范区</w:t>
            </w:r>
            <w:r>
              <w:rPr>
                <w:rFonts w:ascii="仿宋_GB2312" w:hAnsi="Arial" w:cs="仿宋_GB2312"/>
                <w:snapToGrid w:val="0"/>
                <w:color w:val="000000"/>
                <w:kern w:val="0"/>
                <w:sz w:val="24"/>
                <w:szCs w:val="24"/>
              </w:rPr>
              <w:t>,</w:t>
            </w:r>
            <w:r>
              <w:rPr>
                <w:rFonts w:hint="eastAsia" w:ascii="仿宋_GB2312" w:hAnsi="Arial" w:cs="仿宋_GB2312"/>
                <w:snapToGrid w:val="0"/>
                <w:color w:val="000000"/>
                <w:kern w:val="0"/>
                <w:sz w:val="24"/>
                <w:szCs w:val="24"/>
              </w:rPr>
              <w:t>昭化古城景区</w:t>
            </w:r>
            <w:r>
              <w:rPr>
                <w:rFonts w:ascii="仿宋_GB2312" w:hAnsi="Arial" w:cs="仿宋_GB2312"/>
                <w:snapToGrid w:val="0"/>
                <w:color w:val="000000"/>
                <w:kern w:val="0"/>
                <w:sz w:val="24"/>
                <w:szCs w:val="24"/>
              </w:rPr>
              <w:t>----</w:t>
            </w:r>
            <w:r>
              <w:rPr>
                <w:rFonts w:hint="eastAsia" w:ascii="仿宋_GB2312" w:hAnsi="Arial" w:cs="仿宋_GB2312"/>
                <w:snapToGrid w:val="0"/>
                <w:color w:val="000000"/>
                <w:kern w:val="0"/>
                <w:sz w:val="24"/>
                <w:szCs w:val="24"/>
              </w:rPr>
              <w:t>唐</w:t>
            </w:r>
            <w:r>
              <w:rPr>
                <w:rFonts w:hint="eastAsia" w:ascii="宋体" w:hAnsi="宋体" w:eastAsia="宋体" w:cs="宋体"/>
                <w:snapToGrid w:val="0"/>
                <w:color w:val="000000"/>
                <w:kern w:val="0"/>
                <w:sz w:val="24"/>
                <w:szCs w:val="24"/>
              </w:rPr>
              <w:t>曌</w:t>
            </w:r>
            <w:r>
              <w:rPr>
                <w:rFonts w:hint="eastAsia" w:ascii="仿宋_GB2312" w:hAnsi="仿宋_GB2312" w:cs="仿宋_GB2312"/>
                <w:snapToGrid w:val="0"/>
                <w:color w:val="000000"/>
                <w:kern w:val="0"/>
                <w:sz w:val="24"/>
                <w:szCs w:val="24"/>
              </w:rPr>
              <w:t>故地女</w:t>
            </w:r>
            <w:r>
              <w:rPr>
                <w:rFonts w:hint="eastAsia" w:ascii="仿宋_GB2312" w:hAnsi="Arial" w:cs="仿宋_GB2312"/>
                <w:snapToGrid w:val="0"/>
                <w:color w:val="000000"/>
                <w:kern w:val="0"/>
                <w:sz w:val="24"/>
                <w:szCs w:val="24"/>
              </w:rPr>
              <w:t>儿国创建为国家级旅游度假区。</w:t>
            </w:r>
          </w:p>
        </w:tc>
      </w:tr>
    </w:tbl>
    <w:p w14:paraId="10062B07">
      <w:pPr>
        <w:widowControl/>
        <w:spacing w:line="540" w:lineRule="exact"/>
        <w:ind w:firstLine="632" w:firstLineChars="200"/>
        <w:jc w:val="left"/>
        <w:rPr>
          <w:rStyle w:val="12"/>
          <w:rFonts w:ascii="楷体_GB2312" w:hAnsi="宋体" w:eastAsia="楷体_GB2312" w:cs="Times New Roman"/>
          <w:b/>
          <w:bCs/>
          <w:snapToGrid w:val="0"/>
          <w:color w:val="000000"/>
          <w:kern w:val="0"/>
        </w:rPr>
      </w:pPr>
      <w:r>
        <w:rPr>
          <w:rStyle w:val="12"/>
          <w:rFonts w:hint="eastAsia" w:ascii="楷体_GB2312" w:hAnsi="宋体" w:eastAsia="楷体_GB2312" w:cs="楷体_GB2312"/>
          <w:snapToGrid w:val="0"/>
          <w:color w:val="000000"/>
          <w:kern w:val="0"/>
        </w:rPr>
        <w:t>（三）标准引领战略</w:t>
      </w:r>
      <w:bookmarkEnd w:id="127"/>
      <w:bookmarkEnd w:id="128"/>
    </w:p>
    <w:p w14:paraId="5D719A90">
      <w:pPr>
        <w:widowControl/>
        <w:spacing w:line="540" w:lineRule="exact"/>
        <w:ind w:firstLine="632" w:firstLineChars="200"/>
        <w:jc w:val="left"/>
        <w:rPr>
          <w:rFonts w:ascii="仿宋_GB2312" w:hAnsi="Arial" w:cs="Times New Roman"/>
          <w:snapToGrid w:val="0"/>
          <w:color w:val="000000"/>
          <w:kern w:val="0"/>
        </w:rPr>
      </w:pPr>
      <w:r>
        <w:rPr>
          <w:rFonts w:hint="eastAsia" w:ascii="仿宋_GB2312" w:hAnsi="Arial" w:cs="仿宋_GB2312"/>
          <w:snapToGrid w:val="0"/>
          <w:color w:val="000000"/>
          <w:kern w:val="0"/>
        </w:rPr>
        <w:t>以科技创新为引领，不断拓展标准化领域，构建由政府主导制定的标准和市场自主制定的标准共同构成的新型标准体系，充分发挥市场主体在标准实施中的作用。围绕产业建设规划，重点打造战略性新兴产业和高端成长型产业等标准技术创新服务平台，加快技术、专利和标准的有机融合，推动科技成果向标准加速转化。围绕现代农业和服务业，积极开展标准化示范试点工作，推进地方标准的制定，打造一批专业化、标准化的国家级、省级示范项目。围绕标准化技术架构建设，联合高等院校、行业协会和产业技术联盟等行业先进力量，参与制定国家、行业标准，培育发展团体标准，促进企业由分散发展向集群发展转变。</w:t>
      </w:r>
      <w:bookmarkStart w:id="129" w:name="_Toc13031"/>
      <w:bookmarkStart w:id="130" w:name="_Toc22776"/>
    </w:p>
    <w:tbl>
      <w:tblPr>
        <w:tblStyle w:val="10"/>
        <w:tblW w:w="8946"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6"/>
      </w:tblGrid>
      <w:tr w14:paraId="24778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8946" w:type="dxa"/>
            <w:vAlign w:val="center"/>
          </w:tcPr>
          <w:p w14:paraId="616F9AD1">
            <w:pPr>
              <w:widowControl/>
              <w:spacing w:line="560" w:lineRule="exact"/>
              <w:jc w:val="center"/>
              <w:rPr>
                <w:rFonts w:ascii="黑体" w:hAnsi="Arial" w:eastAsia="黑体" w:cs="Times New Roman"/>
                <w:snapToGrid w:val="0"/>
                <w:color w:val="000000"/>
                <w:kern w:val="0"/>
                <w:sz w:val="28"/>
                <w:szCs w:val="28"/>
              </w:rPr>
            </w:pPr>
            <w:r>
              <w:rPr>
                <w:rFonts w:hint="eastAsia" w:ascii="黑体" w:hAnsi="Arial" w:eastAsia="黑体" w:cs="黑体"/>
                <w:snapToGrid w:val="0"/>
                <w:color w:val="000000"/>
                <w:kern w:val="0"/>
                <w:sz w:val="28"/>
                <w:szCs w:val="28"/>
              </w:rPr>
              <w:t>专栏</w:t>
            </w:r>
            <w:r>
              <w:rPr>
                <w:rFonts w:ascii="黑体" w:hAnsi="Arial" w:eastAsia="黑体" w:cs="黑体"/>
                <w:snapToGrid w:val="0"/>
                <w:color w:val="000000"/>
                <w:kern w:val="0"/>
                <w:sz w:val="28"/>
                <w:szCs w:val="28"/>
              </w:rPr>
              <w:t xml:space="preserve">4  </w:t>
            </w:r>
            <w:r>
              <w:rPr>
                <w:rFonts w:hint="eastAsia" w:ascii="黑体" w:hAnsi="Arial" w:eastAsia="黑体" w:cs="黑体"/>
                <w:snapToGrid w:val="0"/>
                <w:color w:val="000000"/>
                <w:kern w:val="0"/>
                <w:sz w:val="28"/>
                <w:szCs w:val="28"/>
              </w:rPr>
              <w:t>标准引领战略重点</w:t>
            </w:r>
          </w:p>
        </w:tc>
      </w:tr>
      <w:tr w14:paraId="7277A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4" w:hRule="atLeast"/>
        </w:trPr>
        <w:tc>
          <w:tcPr>
            <w:tcW w:w="8946" w:type="dxa"/>
          </w:tcPr>
          <w:p w14:paraId="16441967">
            <w:pPr>
              <w:widowControl/>
              <w:spacing w:line="340" w:lineRule="exact"/>
              <w:ind w:firstLine="354" w:firstLineChars="150"/>
              <w:jc w:val="left"/>
              <w:rPr>
                <w:rFonts w:ascii="仿宋_GB2312" w:hAnsi="Arial" w:cs="Times New Roman"/>
                <w:snapToGrid w:val="0"/>
                <w:color w:val="000000"/>
                <w:kern w:val="0"/>
                <w:sz w:val="24"/>
                <w:szCs w:val="24"/>
              </w:rPr>
            </w:pPr>
            <w:r>
              <w:rPr>
                <w:rFonts w:ascii="仿宋_GB2312" w:hAnsi="Arial" w:cs="仿宋_GB2312"/>
                <w:snapToGrid w:val="0"/>
                <w:color w:val="000000"/>
                <w:kern w:val="0"/>
                <w:sz w:val="24"/>
                <w:szCs w:val="24"/>
              </w:rPr>
              <w:t>1.</w:t>
            </w:r>
            <w:r>
              <w:rPr>
                <w:rFonts w:hint="eastAsia" w:ascii="仿宋_GB2312" w:hAnsi="Arial" w:cs="仿宋_GB2312"/>
                <w:snapToGrid w:val="0"/>
                <w:color w:val="000000"/>
                <w:kern w:val="0"/>
                <w:sz w:val="24"/>
                <w:szCs w:val="24"/>
              </w:rPr>
              <w:t>标准化</w:t>
            </w:r>
            <w:r>
              <w:rPr>
                <w:rFonts w:ascii="仿宋_GB2312" w:hAnsi="Arial" w:cs="仿宋_GB2312"/>
                <w:snapToGrid w:val="0"/>
                <w:color w:val="000000"/>
                <w:kern w:val="0"/>
                <w:sz w:val="24"/>
                <w:szCs w:val="24"/>
              </w:rPr>
              <w:t>+</w:t>
            </w:r>
            <w:r>
              <w:rPr>
                <w:rFonts w:hint="eastAsia" w:ascii="仿宋_GB2312" w:hAnsi="Arial" w:cs="仿宋_GB2312"/>
                <w:snapToGrid w:val="0"/>
                <w:color w:val="000000"/>
                <w:kern w:val="0"/>
                <w:sz w:val="24"/>
                <w:szCs w:val="24"/>
              </w:rPr>
              <w:t>制造业：着力完善传统产业领域标准体系，加快健全战略性新兴产业和优势特色产业标准体系，在元泰达公司、博锐精工公司等新型材料、能源、机械、电子信息行业方面强化标准实施和应用，促进产业转型升级。</w:t>
            </w:r>
          </w:p>
          <w:p w14:paraId="01F89F14">
            <w:pPr>
              <w:widowControl/>
              <w:spacing w:line="340" w:lineRule="exact"/>
              <w:ind w:firstLine="354" w:firstLineChars="150"/>
              <w:jc w:val="left"/>
              <w:rPr>
                <w:rFonts w:ascii="仿宋_GB2312" w:hAnsi="Arial" w:cs="Times New Roman"/>
                <w:snapToGrid w:val="0"/>
                <w:color w:val="000000"/>
                <w:kern w:val="0"/>
                <w:sz w:val="24"/>
                <w:szCs w:val="24"/>
              </w:rPr>
            </w:pPr>
            <w:r>
              <w:rPr>
                <w:rFonts w:ascii="仿宋_GB2312" w:hAnsi="Arial" w:cs="仿宋_GB2312"/>
                <w:snapToGrid w:val="0"/>
                <w:color w:val="000000"/>
                <w:kern w:val="0"/>
                <w:sz w:val="24"/>
                <w:szCs w:val="24"/>
              </w:rPr>
              <w:t>2.</w:t>
            </w:r>
            <w:r>
              <w:rPr>
                <w:rFonts w:hint="eastAsia" w:ascii="仿宋_GB2312" w:hAnsi="Arial" w:cs="仿宋_GB2312"/>
                <w:snapToGrid w:val="0"/>
                <w:color w:val="000000"/>
                <w:kern w:val="0"/>
                <w:sz w:val="24"/>
                <w:szCs w:val="24"/>
              </w:rPr>
              <w:t>标准化</w:t>
            </w:r>
            <w:r>
              <w:rPr>
                <w:rFonts w:ascii="仿宋_GB2312" w:hAnsi="Arial" w:cs="仿宋_GB2312"/>
                <w:snapToGrid w:val="0"/>
                <w:color w:val="000000"/>
                <w:kern w:val="0"/>
                <w:sz w:val="24"/>
                <w:szCs w:val="24"/>
              </w:rPr>
              <w:t>+</w:t>
            </w:r>
            <w:r>
              <w:rPr>
                <w:rFonts w:hint="eastAsia" w:ascii="仿宋_GB2312" w:hAnsi="Arial" w:cs="仿宋_GB2312"/>
                <w:snapToGrid w:val="0"/>
                <w:color w:val="000000"/>
                <w:kern w:val="0"/>
                <w:sz w:val="24"/>
                <w:szCs w:val="24"/>
              </w:rPr>
              <w:t>现代农业：以农业支柱产业和优势特色农产品为重点，抓好农业生物科技、农产品生产加工、动植物疫病防控、农村社会化服务等标准研制，开展现代农业标准化示范，促进农业标准推广应用，全面支撑现代农业发展和新农村建设。</w:t>
            </w:r>
          </w:p>
          <w:p w14:paraId="0C07F743">
            <w:pPr>
              <w:spacing w:line="340" w:lineRule="exact"/>
              <w:ind w:firstLine="354" w:firstLineChars="150"/>
              <w:jc w:val="left"/>
              <w:rPr>
                <w:rFonts w:ascii="仿宋_GB2312" w:hAnsi="Arial" w:cs="Times New Roman"/>
                <w:snapToGrid w:val="0"/>
                <w:color w:val="000000"/>
                <w:kern w:val="0"/>
                <w:sz w:val="24"/>
                <w:szCs w:val="24"/>
              </w:rPr>
            </w:pPr>
            <w:r>
              <w:rPr>
                <w:rFonts w:ascii="仿宋_GB2312" w:hAnsi="Arial" w:cs="仿宋_GB2312"/>
                <w:snapToGrid w:val="0"/>
                <w:color w:val="000000"/>
                <w:kern w:val="0"/>
                <w:sz w:val="24"/>
                <w:szCs w:val="24"/>
              </w:rPr>
              <w:t>3.</w:t>
            </w:r>
            <w:r>
              <w:rPr>
                <w:rFonts w:hint="eastAsia" w:ascii="仿宋_GB2312" w:hAnsi="Arial" w:cs="仿宋_GB2312"/>
                <w:snapToGrid w:val="0"/>
                <w:color w:val="000000"/>
                <w:kern w:val="0"/>
                <w:sz w:val="24"/>
                <w:szCs w:val="24"/>
              </w:rPr>
              <w:t>标准化</w:t>
            </w:r>
            <w:r>
              <w:rPr>
                <w:rFonts w:ascii="仿宋_GB2312" w:hAnsi="Arial" w:cs="仿宋_GB2312"/>
                <w:snapToGrid w:val="0"/>
                <w:color w:val="000000"/>
                <w:kern w:val="0"/>
                <w:sz w:val="24"/>
                <w:szCs w:val="24"/>
              </w:rPr>
              <w:t>+</w:t>
            </w:r>
            <w:r>
              <w:rPr>
                <w:rFonts w:hint="eastAsia" w:ascii="仿宋_GB2312" w:hAnsi="Arial" w:cs="仿宋_GB2312"/>
                <w:snapToGrid w:val="0"/>
                <w:color w:val="000000"/>
                <w:kern w:val="0"/>
                <w:sz w:val="24"/>
                <w:szCs w:val="24"/>
              </w:rPr>
              <w:t>现代服务业：重点抓好四川剑门关风景区开发有限责任公司、广元市金顺汽车物流有限公司等旅游、物流、商贸流通、家政、养老、社区物业等生产性和生活性服务标准制定，加强服务外包等领域标准的前期研究和成果转化，加强标准实施，开展服务标准试点，促进现代服务业发展。</w:t>
            </w:r>
          </w:p>
          <w:p w14:paraId="2E3A1095">
            <w:pPr>
              <w:spacing w:line="340" w:lineRule="exact"/>
              <w:ind w:firstLine="354" w:firstLineChars="150"/>
              <w:rPr>
                <w:rFonts w:ascii="仿宋_GB2312" w:hAnsi="Arial" w:cs="Times New Roman"/>
                <w:snapToGrid w:val="0"/>
                <w:color w:val="000000"/>
                <w:kern w:val="0"/>
                <w:sz w:val="24"/>
                <w:szCs w:val="24"/>
              </w:rPr>
            </w:pPr>
            <w:r>
              <w:rPr>
                <w:rFonts w:ascii="仿宋_GB2312" w:hAnsi="Arial" w:cs="仿宋_GB2312"/>
                <w:snapToGrid w:val="0"/>
                <w:color w:val="000000"/>
                <w:kern w:val="0"/>
                <w:sz w:val="24"/>
                <w:szCs w:val="24"/>
              </w:rPr>
              <w:t>4.</w:t>
            </w:r>
            <w:r>
              <w:rPr>
                <w:rFonts w:hint="eastAsia" w:ascii="仿宋_GB2312" w:hAnsi="Arial" w:cs="仿宋_GB2312"/>
                <w:snapToGrid w:val="0"/>
                <w:color w:val="000000"/>
                <w:kern w:val="0"/>
                <w:sz w:val="24"/>
                <w:szCs w:val="24"/>
              </w:rPr>
              <w:t>标准化</w:t>
            </w:r>
            <w:r>
              <w:rPr>
                <w:rFonts w:ascii="仿宋_GB2312" w:hAnsi="Arial" w:cs="仿宋_GB2312"/>
                <w:snapToGrid w:val="0"/>
                <w:color w:val="000000"/>
                <w:kern w:val="0"/>
                <w:sz w:val="24"/>
                <w:szCs w:val="24"/>
              </w:rPr>
              <w:t>+</w:t>
            </w:r>
            <w:r>
              <w:rPr>
                <w:rFonts w:hint="eastAsia" w:ascii="仿宋_GB2312" w:hAnsi="Arial" w:cs="仿宋_GB2312"/>
                <w:snapToGrid w:val="0"/>
                <w:color w:val="000000"/>
                <w:kern w:val="0"/>
                <w:sz w:val="24"/>
                <w:szCs w:val="24"/>
              </w:rPr>
              <w:t>公共服务：重点抓好龙潭统筹城乡新型社区、“广元网上公安”等文化</w:t>
            </w:r>
            <w:r>
              <w:rPr>
                <w:rFonts w:ascii="仿宋_GB2312" w:hAnsi="Arial" w:cs="仿宋_GB2312"/>
                <w:snapToGrid w:val="0"/>
                <w:color w:val="000000"/>
                <w:kern w:val="0"/>
                <w:sz w:val="24"/>
                <w:szCs w:val="24"/>
              </w:rPr>
              <w:t xml:space="preserve"> </w:t>
            </w:r>
            <w:r>
              <w:rPr>
                <w:rFonts w:hint="eastAsia" w:ascii="仿宋_GB2312" w:hAnsi="Arial" w:cs="仿宋_GB2312"/>
                <w:snapToGrid w:val="0"/>
                <w:color w:val="000000"/>
                <w:kern w:val="0"/>
                <w:sz w:val="24"/>
                <w:szCs w:val="24"/>
              </w:rPr>
              <w:t>、教育、就业、公共安全、医疗卫生、民政服务等领域相关标准的研制和标准体系建设，开展社会管理和公共服务标准化试点，推进社会管理和公共服务标准化建设。</w:t>
            </w:r>
          </w:p>
          <w:p w14:paraId="72886671">
            <w:pPr>
              <w:widowControl/>
              <w:spacing w:line="340" w:lineRule="exact"/>
              <w:ind w:firstLine="354" w:firstLineChars="150"/>
              <w:jc w:val="left"/>
              <w:rPr>
                <w:rFonts w:ascii="仿宋_GB2312" w:hAnsi="Arial" w:cs="Times New Roman"/>
                <w:snapToGrid w:val="0"/>
                <w:color w:val="000000"/>
                <w:kern w:val="0"/>
                <w:sz w:val="24"/>
                <w:szCs w:val="24"/>
              </w:rPr>
            </w:pPr>
            <w:r>
              <w:rPr>
                <w:rFonts w:ascii="仿宋_GB2312" w:hAnsi="Arial" w:cs="仿宋_GB2312"/>
                <w:snapToGrid w:val="0"/>
                <w:color w:val="000000"/>
                <w:kern w:val="0"/>
                <w:sz w:val="24"/>
                <w:szCs w:val="24"/>
              </w:rPr>
              <w:t>5.</w:t>
            </w:r>
            <w:r>
              <w:rPr>
                <w:rFonts w:hint="eastAsia" w:ascii="仿宋_GB2312" w:hAnsi="Arial" w:cs="仿宋_GB2312"/>
                <w:snapToGrid w:val="0"/>
                <w:color w:val="000000"/>
                <w:kern w:val="0"/>
                <w:sz w:val="24"/>
                <w:szCs w:val="24"/>
              </w:rPr>
              <w:t>标准化</w:t>
            </w:r>
            <w:r>
              <w:rPr>
                <w:rFonts w:ascii="仿宋_GB2312" w:hAnsi="Arial" w:cs="仿宋_GB2312"/>
                <w:snapToGrid w:val="0"/>
                <w:color w:val="000000"/>
                <w:kern w:val="0"/>
                <w:sz w:val="24"/>
                <w:szCs w:val="24"/>
              </w:rPr>
              <w:t>+</w:t>
            </w:r>
            <w:r>
              <w:rPr>
                <w:rFonts w:hint="eastAsia" w:ascii="仿宋_GB2312" w:hAnsi="Arial" w:cs="仿宋_GB2312"/>
                <w:snapToGrid w:val="0"/>
                <w:color w:val="000000"/>
                <w:kern w:val="0"/>
                <w:sz w:val="24"/>
                <w:szCs w:val="24"/>
              </w:rPr>
              <w:t>生态文明：推进生态康养、天然林、矿产资源保护标准体系建设，加强大气、水、土壤污染防治等重要生态和环境标准研制与实施，大力推进重点生态功能区标准化建设和示范，提高绿色循环低碳发展水平。</w:t>
            </w:r>
          </w:p>
        </w:tc>
      </w:tr>
    </w:tbl>
    <w:p w14:paraId="008D4498">
      <w:pPr>
        <w:widowControl/>
        <w:spacing w:line="576" w:lineRule="exact"/>
        <w:ind w:firstLine="632" w:firstLineChars="200"/>
        <w:jc w:val="left"/>
        <w:rPr>
          <w:rStyle w:val="12"/>
          <w:rFonts w:ascii="黑体" w:hAnsi="宋体" w:eastAsia="黑体" w:cs="Times New Roman"/>
          <w:snapToGrid w:val="0"/>
          <w:color w:val="000000"/>
          <w:kern w:val="0"/>
        </w:rPr>
      </w:pPr>
      <w:r>
        <w:rPr>
          <w:rStyle w:val="12"/>
          <w:rFonts w:hint="eastAsia" w:ascii="黑体" w:hAnsi="宋体" w:eastAsia="黑体" w:cs="黑体"/>
          <w:snapToGrid w:val="0"/>
          <w:color w:val="000000"/>
          <w:kern w:val="0"/>
        </w:rPr>
        <w:t>二、着力提升五大质量水平</w:t>
      </w:r>
      <w:bookmarkEnd w:id="129"/>
      <w:bookmarkEnd w:id="130"/>
      <w:bookmarkStart w:id="131" w:name="_Toc30558"/>
      <w:bookmarkStart w:id="132" w:name="_Toc10055"/>
    </w:p>
    <w:p w14:paraId="5BC1E3FC">
      <w:pPr>
        <w:widowControl/>
        <w:spacing w:line="576" w:lineRule="exact"/>
        <w:ind w:firstLine="632" w:firstLineChars="200"/>
        <w:jc w:val="left"/>
        <w:rPr>
          <w:rFonts w:ascii="楷体_GB2312" w:hAnsi="楷体_GB2312" w:eastAsia="楷体_GB2312" w:cs="Times New Roman"/>
          <w:snapToGrid w:val="0"/>
          <w:color w:val="000000"/>
          <w:kern w:val="0"/>
        </w:rPr>
      </w:pPr>
      <w:r>
        <w:rPr>
          <w:rFonts w:hint="eastAsia" w:ascii="楷体_GB2312" w:hAnsi="楷体_GB2312" w:eastAsia="楷体_GB2312" w:cs="楷体_GB2312"/>
          <w:snapToGrid w:val="0"/>
          <w:color w:val="000000"/>
          <w:kern w:val="0"/>
        </w:rPr>
        <w:t>（一）着力提升产业质量</w:t>
      </w:r>
    </w:p>
    <w:p w14:paraId="15ADF02E">
      <w:pPr>
        <w:widowControl/>
        <w:spacing w:line="576" w:lineRule="exact"/>
        <w:ind w:firstLine="632" w:firstLineChars="200"/>
        <w:jc w:val="left"/>
        <w:rPr>
          <w:rFonts w:cs="Times New Roman"/>
          <w:color w:val="000000"/>
        </w:rPr>
      </w:pPr>
      <w:r>
        <w:rPr>
          <w:rFonts w:hint="eastAsia" w:ascii="仿宋_GB2312" w:hAnsi="??" w:cs="仿宋_GB2312"/>
          <w:snapToGrid w:val="0"/>
          <w:color w:val="000000"/>
          <w:kern w:val="0"/>
        </w:rPr>
        <w:t>加快推进供给侧结构性改革</w:t>
      </w:r>
      <w:r>
        <w:rPr>
          <w:rFonts w:ascii="仿宋_GB2312" w:hAnsi="??" w:cs="仿宋_GB2312"/>
          <w:snapToGrid w:val="0"/>
          <w:color w:val="000000"/>
          <w:kern w:val="0"/>
        </w:rPr>
        <w:t>,</w:t>
      </w:r>
      <w:r>
        <w:rPr>
          <w:rFonts w:hint="eastAsia" w:ascii="仿宋_GB2312" w:hAnsi="??" w:cs="仿宋_GB2312"/>
          <w:snapToGrid w:val="0"/>
          <w:color w:val="000000"/>
          <w:kern w:val="0"/>
        </w:rPr>
        <w:t>通过优化产业要素配置和调整产业结构</w:t>
      </w:r>
      <w:r>
        <w:rPr>
          <w:rFonts w:ascii="仿宋_GB2312" w:hAnsi="??" w:cs="仿宋_GB2312"/>
          <w:snapToGrid w:val="0"/>
          <w:color w:val="000000"/>
          <w:kern w:val="0"/>
        </w:rPr>
        <w:t>,</w:t>
      </w:r>
      <w:r>
        <w:rPr>
          <w:rFonts w:hint="eastAsia" w:ascii="仿宋_GB2312" w:hAnsi="??" w:cs="仿宋_GB2312"/>
          <w:snapToGrid w:val="0"/>
          <w:color w:val="000000"/>
          <w:kern w:val="0"/>
        </w:rPr>
        <w:t>提高产业体系的质量和效率。</w:t>
      </w:r>
      <w:r>
        <w:rPr>
          <w:rFonts w:hint="eastAsia" w:cs="仿宋_GB2312"/>
          <w:color w:val="000000"/>
        </w:rPr>
        <w:t>着眼高端产业和产业高端，优化产业布局，加快构建“一核四带六链”，推动形成空间布局合理、产业链有机衔接、各类生产要素优化配置的产业发展格局。大力发展食品饮料、新（型）材料、清洁能源化工、机械电子、生物医药五大特色优势产业，突破性发展战略性新兴产业和军民融合产业，推动工业化信息化互动发展。重点培育现代农业与食品医药、清洁能源综合开发利用、新材料及其应用、电子信息与装备制造融合发展、商贸物流及其配套服务、生态文化旅游与休闲康养产业链，争取现代农业与食品医药产业形成千亿级集群。着力发展现代农业，做大做强特色优势农业产业集群。加快发展以商贸物流、康养旅游为重点的现代服务业，促进服务业与农业、工业等在更高水平上有机融合，实现全产业链整合优化，推动产业向价值链高端延伸。</w:t>
      </w:r>
    </w:p>
    <w:p w14:paraId="7A928C04">
      <w:pPr>
        <w:widowControl/>
        <w:spacing w:line="576" w:lineRule="exact"/>
        <w:ind w:firstLine="632" w:firstLineChars="200"/>
        <w:jc w:val="left"/>
        <w:rPr>
          <w:rFonts w:cs="Times New Roman"/>
          <w:color w:val="000000"/>
        </w:rPr>
      </w:pPr>
    </w:p>
    <w:tbl>
      <w:tblPr>
        <w:tblStyle w:val="10"/>
        <w:tblW w:w="8946"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6"/>
      </w:tblGrid>
      <w:tr w14:paraId="7B9DF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6" w:type="dxa"/>
          </w:tcPr>
          <w:p w14:paraId="7C5871A4">
            <w:pPr>
              <w:jc w:val="center"/>
              <w:rPr>
                <w:rFonts w:ascii="黑体" w:hAnsi="??" w:eastAsia="黑体" w:cs="Times New Roman"/>
                <w:snapToGrid w:val="0"/>
                <w:color w:val="000000"/>
                <w:kern w:val="0"/>
                <w:sz w:val="28"/>
                <w:szCs w:val="28"/>
              </w:rPr>
            </w:pPr>
            <w:r>
              <w:rPr>
                <w:rFonts w:hint="eastAsia" w:ascii="黑体" w:hAnsi="??" w:eastAsia="黑体" w:cs="黑体"/>
                <w:snapToGrid w:val="0"/>
                <w:color w:val="000000"/>
                <w:kern w:val="0"/>
                <w:sz w:val="28"/>
                <w:szCs w:val="28"/>
              </w:rPr>
              <w:t>专栏</w:t>
            </w:r>
            <w:r>
              <w:rPr>
                <w:rFonts w:ascii="黑体" w:hAnsi="??" w:eastAsia="黑体" w:cs="黑体"/>
                <w:snapToGrid w:val="0"/>
                <w:color w:val="000000"/>
                <w:kern w:val="0"/>
                <w:sz w:val="28"/>
                <w:szCs w:val="28"/>
              </w:rPr>
              <w:t xml:space="preserve">5  </w:t>
            </w:r>
            <w:r>
              <w:rPr>
                <w:rFonts w:hint="eastAsia" w:ascii="黑体" w:hAnsi="??" w:eastAsia="黑体" w:cs="黑体"/>
                <w:snapToGrid w:val="0"/>
                <w:color w:val="000000"/>
                <w:kern w:val="0"/>
                <w:sz w:val="28"/>
                <w:szCs w:val="28"/>
              </w:rPr>
              <w:t>产业提质升级重点</w:t>
            </w:r>
          </w:p>
        </w:tc>
      </w:tr>
      <w:tr w14:paraId="74D60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6" w:type="dxa"/>
          </w:tcPr>
          <w:p w14:paraId="1155628D">
            <w:pPr>
              <w:spacing w:line="360" w:lineRule="exact"/>
              <w:ind w:firstLine="472" w:firstLineChars="200"/>
              <w:rPr>
                <w:rFonts w:ascii="仿宋_GB2312" w:hAnsi="仿宋" w:cs="Times New Roman"/>
                <w:color w:val="000000"/>
                <w:sz w:val="24"/>
                <w:szCs w:val="24"/>
              </w:rPr>
            </w:pPr>
            <w:r>
              <w:rPr>
                <w:rFonts w:hint="eastAsia" w:ascii="仿宋_GB2312" w:hAnsi="仿宋" w:cs="仿宋_GB2312"/>
                <w:b/>
                <w:bCs/>
                <w:color w:val="000000"/>
                <w:sz w:val="24"/>
                <w:szCs w:val="24"/>
              </w:rPr>
              <w:t>大力推进制造业集群发展：</w:t>
            </w:r>
            <w:r>
              <w:rPr>
                <w:rFonts w:hint="eastAsia" w:ascii="仿宋_GB2312" w:hAnsi="仿宋" w:cs="仿宋_GB2312"/>
                <w:color w:val="000000"/>
                <w:sz w:val="24"/>
                <w:szCs w:val="24"/>
              </w:rPr>
              <w:t>加快园区开发建设，全面提升开发区和集中发展区承载能力、产出强度和发展规模，打造</w:t>
            </w:r>
            <w:r>
              <w:rPr>
                <w:rFonts w:ascii="仿宋_GB2312" w:hAnsi="仿宋" w:cs="仿宋_GB2312"/>
                <w:color w:val="000000"/>
                <w:sz w:val="24"/>
                <w:szCs w:val="24"/>
              </w:rPr>
              <w:t>500</w:t>
            </w:r>
            <w:r>
              <w:rPr>
                <w:rFonts w:hint="eastAsia" w:ascii="仿宋_GB2312" w:hAnsi="仿宋" w:cs="仿宋_GB2312"/>
                <w:color w:val="000000"/>
                <w:sz w:val="24"/>
                <w:szCs w:val="24"/>
              </w:rPr>
              <w:t>亿级国家级广元经开区和一批百亿级产业园区。大力推进“一县一主业”布局结构调整，提升县域主导产业发展水平。实施大企业大集团培育工程，做大做强骨干企业，推动一批企业迈进全省制造业百强行列，力争培育一批主营业务收入超</w:t>
            </w:r>
            <w:r>
              <w:rPr>
                <w:rFonts w:ascii="仿宋_GB2312" w:hAnsi="仿宋" w:cs="仿宋_GB2312"/>
                <w:color w:val="000000"/>
                <w:sz w:val="24"/>
                <w:szCs w:val="24"/>
              </w:rPr>
              <w:t>50</w:t>
            </w:r>
            <w:r>
              <w:rPr>
                <w:rFonts w:hint="eastAsia" w:ascii="仿宋_GB2312" w:hAnsi="仿宋" w:cs="仿宋_GB2312"/>
                <w:color w:val="000000"/>
                <w:sz w:val="24"/>
                <w:szCs w:val="24"/>
              </w:rPr>
              <w:t>亿元的大企业。推进中小企业成长工程，走“专精特新”路子，形成中小企业梯度发展格局。</w:t>
            </w:r>
          </w:p>
          <w:p w14:paraId="4ADC3DE9">
            <w:pPr>
              <w:spacing w:line="360" w:lineRule="exact"/>
              <w:ind w:firstLine="472" w:firstLineChars="200"/>
              <w:rPr>
                <w:rFonts w:ascii="仿宋_GB2312" w:cs="Times New Roman"/>
                <w:color w:val="000000"/>
                <w:sz w:val="24"/>
                <w:szCs w:val="24"/>
              </w:rPr>
            </w:pPr>
            <w:r>
              <w:rPr>
                <w:rFonts w:hint="eastAsia" w:ascii="仿宋_GB2312" w:hAnsi="仿宋" w:cs="仿宋_GB2312"/>
                <w:b/>
                <w:bCs/>
                <w:color w:val="000000"/>
                <w:sz w:val="24"/>
                <w:szCs w:val="24"/>
              </w:rPr>
              <w:t>大力推进农业转型升级：</w:t>
            </w:r>
            <w:r>
              <w:rPr>
                <w:rFonts w:hint="eastAsia" w:ascii="仿宋_GB2312" w:hAnsi="仿宋" w:cs="仿宋_GB2312"/>
                <w:color w:val="000000"/>
                <w:sz w:val="24"/>
                <w:szCs w:val="24"/>
              </w:rPr>
              <w:t>突出特色产业培育，着力发展现代农业。大力培育一批国家级、省级家庭农场、专业合作社、龙头企业。累计建成万亩亿元现代农业园区</w:t>
            </w:r>
            <w:r>
              <w:rPr>
                <w:rFonts w:ascii="仿宋_GB2312" w:hAnsi="仿宋" w:cs="仿宋_GB2312"/>
                <w:color w:val="000000"/>
                <w:sz w:val="24"/>
                <w:szCs w:val="24"/>
              </w:rPr>
              <w:t>100</w:t>
            </w:r>
            <w:r>
              <w:rPr>
                <w:rFonts w:hint="eastAsia" w:ascii="仿宋_GB2312" w:hAnsi="仿宋" w:cs="仿宋_GB2312"/>
                <w:color w:val="000000"/>
                <w:sz w:val="24"/>
                <w:szCs w:val="24"/>
              </w:rPr>
              <w:t>个。努力建成全国最大的红心猕猴桃产业基地、中国西部最大的淡水有机鱼产业基地、“川茶”品牌重要的产业基地，创建国家现代农业示范区、国家农产品质量安全示范市和全省特色农业强市。</w:t>
            </w:r>
          </w:p>
          <w:p w14:paraId="7CA4359F">
            <w:pPr>
              <w:spacing w:line="360" w:lineRule="exact"/>
              <w:ind w:firstLine="472" w:firstLineChars="200"/>
              <w:rPr>
                <w:rFonts w:ascii="仿宋_GB2312" w:hAnsi="仿宋" w:cs="Times New Roman"/>
                <w:color w:val="000000"/>
                <w:sz w:val="24"/>
                <w:szCs w:val="24"/>
              </w:rPr>
            </w:pPr>
            <w:r>
              <w:rPr>
                <w:rFonts w:hint="eastAsia" w:ascii="仿宋_GB2312" w:hAnsi="仿宋" w:cs="仿宋_GB2312"/>
                <w:b/>
                <w:bCs/>
                <w:color w:val="000000"/>
                <w:sz w:val="24"/>
                <w:szCs w:val="24"/>
              </w:rPr>
              <w:t>大力推进服务业质量提升：</w:t>
            </w:r>
            <w:r>
              <w:rPr>
                <w:rFonts w:hint="eastAsia" w:ascii="仿宋_GB2312" w:hAnsi="仿宋" w:cs="仿宋_GB2312"/>
                <w:color w:val="000000"/>
                <w:sz w:val="24"/>
                <w:szCs w:val="24"/>
              </w:rPr>
              <w:t>促进服务业与农业、工业等在更高水平上有机融合，实现全产业链整合优化，推动产业向价值链高端延伸。引进和培育现代服务业企业，提升信息化、集约化、标准化水平，努力实现全省服务业企业</w:t>
            </w:r>
            <w:r>
              <w:rPr>
                <w:rFonts w:ascii="仿宋_GB2312" w:hAnsi="仿宋" w:cs="仿宋_GB2312"/>
                <w:color w:val="000000"/>
                <w:sz w:val="24"/>
                <w:szCs w:val="24"/>
              </w:rPr>
              <w:t>50</w:t>
            </w:r>
            <w:r>
              <w:rPr>
                <w:rFonts w:hint="eastAsia" w:ascii="仿宋_GB2312" w:hAnsi="仿宋" w:cs="仿宋_GB2312"/>
                <w:color w:val="000000"/>
                <w:sz w:val="24"/>
                <w:szCs w:val="24"/>
              </w:rPr>
              <w:t>强零的突破，建成国家电子商务示范市、全省现代物流与商贸业融合发展示范区。</w:t>
            </w:r>
          </w:p>
        </w:tc>
      </w:tr>
    </w:tbl>
    <w:p w14:paraId="6A12CEAC">
      <w:pPr>
        <w:widowControl/>
        <w:spacing w:line="600" w:lineRule="exact"/>
        <w:ind w:firstLine="632" w:firstLineChars="200"/>
        <w:jc w:val="left"/>
        <w:rPr>
          <w:rStyle w:val="12"/>
          <w:rFonts w:ascii="楷体_GB2312" w:hAnsi="宋体" w:eastAsia="楷体_GB2312" w:cs="Times New Roman"/>
          <w:b/>
          <w:bCs/>
          <w:snapToGrid w:val="0"/>
          <w:color w:val="000000"/>
          <w:kern w:val="0"/>
        </w:rPr>
      </w:pPr>
      <w:r>
        <w:rPr>
          <w:rStyle w:val="12"/>
          <w:rFonts w:hint="eastAsia" w:ascii="楷体_GB2312" w:hAnsi="宋体" w:eastAsia="楷体_GB2312" w:cs="楷体_GB2312"/>
          <w:snapToGrid w:val="0"/>
          <w:color w:val="000000"/>
          <w:kern w:val="0"/>
        </w:rPr>
        <w:t>（二）着力提升产品质量</w:t>
      </w:r>
      <w:bookmarkEnd w:id="131"/>
      <w:bookmarkEnd w:id="132"/>
    </w:p>
    <w:p w14:paraId="449AE10E">
      <w:pPr>
        <w:spacing w:line="600" w:lineRule="exact"/>
        <w:ind w:firstLine="632" w:firstLineChars="200"/>
        <w:rPr>
          <w:rFonts w:ascii="仿宋_GB2312" w:hAnsi="??" w:cs="Times New Roman"/>
          <w:snapToGrid w:val="0"/>
          <w:color w:val="000000"/>
          <w:kern w:val="0"/>
        </w:rPr>
      </w:pPr>
      <w:r>
        <w:rPr>
          <w:rFonts w:hint="eastAsia" w:ascii="仿宋_GB2312" w:hAnsi="??" w:cs="仿宋_GB2312"/>
          <w:snapToGrid w:val="0"/>
          <w:color w:val="000000"/>
          <w:kern w:val="0"/>
        </w:rPr>
        <w:t>坚持需求侧牵引和供给侧优化并举、稳增长和调结构相平衡、培育新兴产业与改造传统产业并进、存量扩张与开放合作并重的思路，全力推动工业经济稳增长和提质增效。围绕全市重点工业，继续实施“工业转型升级三年行动计划”和工业强基工程，开展质量品牌和质量对标提升行动，以提升产品竞争力为核心，综合采取行业规划、产业政策、认证认可、行政指导、行规行约等手段，加快先进生产能力建设。密切跟踪国际先进技术，加快引进吸收转化和再创新速率，开发一批高质量、高效能、低能耗的新材料新技术新工艺，实施一批可靠、定型的良好生产规范，突破一批资源节约和低碳排放的管理技术，促进产品在安全、质量、环保、适用等性能上向国际国内先进水平靠拢。打造一体化生产能力，推动产业链优化，提升产品质量和可靠性。鼓励企业跨国经营，积极参与和主导国家标准、行业标准制定，从加工组装型向生产服务型转型。促进自主技术、自主标准、自主产品企业、具有产业链整合能力的企业做大做强，从提升产品竞争力到提升企业、行业、产业链和区域国际国内竞争力，努力打造先进制造产业基地。</w:t>
      </w:r>
      <w:bookmarkStart w:id="133" w:name="_Toc5190"/>
      <w:bookmarkStart w:id="134" w:name="_Toc15001"/>
    </w:p>
    <w:p w14:paraId="35E6A1AF">
      <w:pPr>
        <w:spacing w:line="576" w:lineRule="exact"/>
        <w:ind w:firstLine="632" w:firstLineChars="200"/>
        <w:rPr>
          <w:rFonts w:ascii="仿宋_GB2312" w:hAnsi="??" w:cs="Times New Roman"/>
          <w:snapToGrid w:val="0"/>
          <w:color w:val="000000"/>
          <w:kern w:val="0"/>
        </w:rPr>
      </w:pPr>
    </w:p>
    <w:tbl>
      <w:tblPr>
        <w:tblStyle w:val="10"/>
        <w:tblW w:w="8946"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6"/>
      </w:tblGrid>
      <w:tr w14:paraId="6AF14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6" w:type="dxa"/>
          </w:tcPr>
          <w:p w14:paraId="55773490">
            <w:pPr>
              <w:jc w:val="center"/>
              <w:rPr>
                <w:rFonts w:ascii="黑体" w:hAnsi="??" w:eastAsia="黑体" w:cs="Times New Roman"/>
                <w:snapToGrid w:val="0"/>
                <w:color w:val="000000"/>
                <w:kern w:val="0"/>
                <w:sz w:val="28"/>
                <w:szCs w:val="28"/>
              </w:rPr>
            </w:pPr>
            <w:r>
              <w:rPr>
                <w:rFonts w:hint="eastAsia" w:ascii="黑体" w:hAnsi="??" w:eastAsia="黑体" w:cs="黑体"/>
                <w:snapToGrid w:val="0"/>
                <w:color w:val="000000"/>
                <w:kern w:val="0"/>
                <w:sz w:val="28"/>
                <w:szCs w:val="28"/>
              </w:rPr>
              <w:t>专栏</w:t>
            </w:r>
            <w:r>
              <w:rPr>
                <w:rFonts w:ascii="黑体" w:hAnsi="??" w:eastAsia="黑体" w:cs="黑体"/>
                <w:snapToGrid w:val="0"/>
                <w:color w:val="000000"/>
                <w:kern w:val="0"/>
                <w:sz w:val="28"/>
                <w:szCs w:val="28"/>
              </w:rPr>
              <w:t xml:space="preserve">6  </w:t>
            </w:r>
            <w:r>
              <w:rPr>
                <w:rFonts w:hint="eastAsia" w:ascii="黑体" w:hAnsi="??" w:eastAsia="黑体" w:cs="黑体"/>
                <w:snapToGrid w:val="0"/>
                <w:color w:val="000000"/>
                <w:kern w:val="0"/>
                <w:sz w:val="28"/>
                <w:szCs w:val="28"/>
              </w:rPr>
              <w:t>提升产品质量重点</w:t>
            </w:r>
          </w:p>
        </w:tc>
      </w:tr>
      <w:tr w14:paraId="727B3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6" w:type="dxa"/>
          </w:tcPr>
          <w:p w14:paraId="1AF5199F">
            <w:pPr>
              <w:spacing w:line="360" w:lineRule="exact"/>
              <w:ind w:firstLine="354" w:firstLineChars="150"/>
              <w:rPr>
                <w:rFonts w:ascii="仿宋_GB2312" w:hAnsi="Arial" w:cs="Times New Roman"/>
                <w:snapToGrid w:val="0"/>
                <w:color w:val="000000"/>
                <w:kern w:val="0"/>
                <w:sz w:val="24"/>
                <w:szCs w:val="24"/>
              </w:rPr>
            </w:pPr>
            <w:r>
              <w:rPr>
                <w:rFonts w:ascii="仿宋_GB2312" w:hAnsi="Arial" w:cs="仿宋_GB2312"/>
                <w:snapToGrid w:val="0"/>
                <w:color w:val="000000"/>
                <w:kern w:val="0"/>
                <w:sz w:val="24"/>
                <w:szCs w:val="24"/>
              </w:rPr>
              <w:t>1.</w:t>
            </w:r>
            <w:r>
              <w:rPr>
                <w:rFonts w:hint="eastAsia" w:ascii="仿宋_GB2312" w:hAnsi="Arial" w:cs="仿宋_GB2312"/>
                <w:snapToGrid w:val="0"/>
                <w:color w:val="000000"/>
                <w:kern w:val="0"/>
                <w:sz w:val="24"/>
                <w:szCs w:val="24"/>
              </w:rPr>
              <w:t>消费品质量提升。以“提升消费品质量，改善消费品供给”为主题，以儿童</w:t>
            </w:r>
          </w:p>
          <w:p w14:paraId="6BB2BA09">
            <w:pPr>
              <w:spacing w:line="360" w:lineRule="exact"/>
              <w:rPr>
                <w:rFonts w:ascii="仿宋_GB2312" w:hAnsi="Arial" w:cs="Times New Roman"/>
                <w:snapToGrid w:val="0"/>
                <w:color w:val="000000"/>
                <w:kern w:val="0"/>
                <w:sz w:val="24"/>
                <w:szCs w:val="24"/>
              </w:rPr>
            </w:pPr>
            <w:r>
              <w:rPr>
                <w:rFonts w:hint="eastAsia" w:ascii="仿宋_GB2312" w:hAnsi="Arial" w:cs="仿宋_GB2312"/>
                <w:snapToGrid w:val="0"/>
                <w:color w:val="000000"/>
                <w:kern w:val="0"/>
                <w:sz w:val="24"/>
                <w:szCs w:val="24"/>
              </w:rPr>
              <w:t>玩具、婴幼儿童装、厨具、床上用品、家具、学生服、童鞋、童车等消费品为重点，产品质量市级监督抽查合格率达到</w:t>
            </w:r>
            <w:r>
              <w:rPr>
                <w:rFonts w:ascii="仿宋_GB2312" w:hAnsi="Arial" w:cs="仿宋_GB2312"/>
                <w:snapToGrid w:val="0"/>
                <w:color w:val="000000"/>
                <w:kern w:val="0"/>
                <w:sz w:val="24"/>
                <w:szCs w:val="24"/>
              </w:rPr>
              <w:t>96%</w:t>
            </w:r>
            <w:r>
              <w:rPr>
                <w:rFonts w:hint="eastAsia" w:ascii="仿宋_GB2312" w:hAnsi="Arial" w:cs="仿宋_GB2312"/>
                <w:snapToGrid w:val="0"/>
                <w:color w:val="000000"/>
                <w:kern w:val="0"/>
                <w:sz w:val="24"/>
                <w:szCs w:val="24"/>
              </w:rPr>
              <w:t>以上。</w:t>
            </w:r>
          </w:p>
          <w:p w14:paraId="1831790C">
            <w:pPr>
              <w:spacing w:line="360" w:lineRule="exact"/>
              <w:rPr>
                <w:rFonts w:ascii="仿宋_GB2312" w:hAnsi="Arial" w:cs="Times New Roman"/>
                <w:snapToGrid w:val="0"/>
                <w:color w:val="000000"/>
                <w:kern w:val="0"/>
                <w:sz w:val="24"/>
                <w:szCs w:val="24"/>
              </w:rPr>
            </w:pPr>
            <w:r>
              <w:rPr>
                <w:rFonts w:ascii="仿宋_GB2312" w:hAnsi="Arial" w:cs="仿宋_GB2312"/>
                <w:snapToGrid w:val="0"/>
                <w:color w:val="000000"/>
                <w:kern w:val="0"/>
                <w:sz w:val="24"/>
                <w:szCs w:val="24"/>
              </w:rPr>
              <w:t xml:space="preserve">    2.</w:t>
            </w:r>
            <w:r>
              <w:rPr>
                <w:rFonts w:hint="eastAsia" w:ascii="仿宋_GB2312" w:hAnsi="Arial" w:cs="仿宋_GB2312"/>
                <w:snapToGrid w:val="0"/>
                <w:color w:val="000000"/>
                <w:kern w:val="0"/>
                <w:sz w:val="24"/>
                <w:szCs w:val="24"/>
              </w:rPr>
              <w:t>农产品、食品、药品质量提升。建立一整套追溯体系管理系统，记录农产品生产、流通、销售等环节的追溯信息，随时随地实现食品可追溯性，保证农产品的质量安全，实现质监、工商、农业、卫生、商务与食品药品管理等部门信息共享。建立药品安全追溯网络，以国家基本药物为重点，将药品生产、销售、使用等环节全部纳入到追溯体系中，实现食品药品来源可追溯、去向可查证、责任可追究。</w:t>
            </w:r>
          </w:p>
          <w:p w14:paraId="41DEC53C">
            <w:pPr>
              <w:spacing w:line="360" w:lineRule="exact"/>
              <w:ind w:firstLine="354" w:firstLineChars="150"/>
              <w:rPr>
                <w:rFonts w:ascii="仿宋_GB2312" w:hAnsi="Arial" w:cs="Times New Roman"/>
                <w:snapToGrid w:val="0"/>
                <w:color w:val="000000"/>
                <w:kern w:val="0"/>
                <w:sz w:val="24"/>
                <w:szCs w:val="24"/>
              </w:rPr>
            </w:pPr>
            <w:r>
              <w:rPr>
                <w:rFonts w:ascii="仿宋_GB2312" w:hAnsi="Arial" w:cs="仿宋_GB2312"/>
                <w:snapToGrid w:val="0"/>
                <w:color w:val="000000"/>
                <w:kern w:val="0"/>
                <w:sz w:val="24"/>
                <w:szCs w:val="24"/>
              </w:rPr>
              <w:t>3.</w:t>
            </w:r>
            <w:r>
              <w:rPr>
                <w:rFonts w:hint="eastAsia" w:ascii="仿宋_GB2312" w:hAnsi="Arial" w:cs="仿宋_GB2312"/>
                <w:snapToGrid w:val="0"/>
                <w:color w:val="000000"/>
                <w:kern w:val="0"/>
                <w:sz w:val="24"/>
                <w:szCs w:val="24"/>
              </w:rPr>
              <w:t>“双随机、一公开”监管新模式。创新事中事后监管方式，全面推行“双随机、一公开”监管，随机抽取检查对象，随机选派执法检查人员，及时公布查处结果。</w:t>
            </w:r>
          </w:p>
        </w:tc>
      </w:tr>
    </w:tbl>
    <w:p w14:paraId="49DA194A">
      <w:pPr>
        <w:spacing w:line="600" w:lineRule="exact"/>
        <w:ind w:firstLine="632" w:firstLineChars="200"/>
        <w:rPr>
          <w:rStyle w:val="12"/>
          <w:rFonts w:ascii="楷体_GB2312" w:hAnsi="宋体" w:eastAsia="楷体_GB2312" w:cs="Times New Roman"/>
          <w:b/>
          <w:bCs/>
          <w:snapToGrid w:val="0"/>
          <w:color w:val="000000"/>
          <w:kern w:val="0"/>
        </w:rPr>
      </w:pPr>
      <w:r>
        <w:rPr>
          <w:rStyle w:val="12"/>
          <w:rFonts w:hint="eastAsia" w:ascii="楷体_GB2312" w:hAnsi="宋体" w:eastAsia="楷体_GB2312" w:cs="楷体_GB2312"/>
          <w:snapToGrid w:val="0"/>
          <w:color w:val="000000"/>
          <w:kern w:val="0"/>
        </w:rPr>
        <w:t>（三）着力提升工程质量</w:t>
      </w:r>
      <w:bookmarkEnd w:id="133"/>
      <w:bookmarkEnd w:id="134"/>
    </w:p>
    <w:p w14:paraId="7F2DDBFE">
      <w:pPr>
        <w:spacing w:line="600" w:lineRule="exact"/>
        <w:ind w:firstLine="632" w:firstLineChars="200"/>
        <w:jc w:val="left"/>
        <w:rPr>
          <w:rFonts w:ascii="仿宋_GB2312" w:hAnsi="??" w:cs="Times New Roman"/>
          <w:snapToGrid w:val="0"/>
          <w:color w:val="000000"/>
          <w:kern w:val="0"/>
        </w:rPr>
      </w:pPr>
      <w:r>
        <w:rPr>
          <w:rFonts w:hint="eastAsia" w:ascii="仿宋_GB2312" w:hAnsi="??" w:cs="仿宋_GB2312"/>
          <w:snapToGrid w:val="0"/>
          <w:color w:val="000000"/>
          <w:kern w:val="0"/>
        </w:rPr>
        <w:t>严格建材质量管理。强化建材生产许可、市场准入、强制认证、监督抽查等质量监督管理制度。建立完善的全过程质量安全监管体系。加强建材产品质量监督抽查，一般建材产品质量监督抽查合格率达到</w:t>
      </w:r>
      <w:r>
        <w:rPr>
          <w:rFonts w:ascii="仿宋_GB2312" w:hAnsi="??" w:cs="仿宋_GB2312"/>
          <w:snapToGrid w:val="0"/>
          <w:color w:val="000000"/>
          <w:kern w:val="0"/>
        </w:rPr>
        <w:t>92%</w:t>
      </w:r>
      <w:r>
        <w:rPr>
          <w:rFonts w:hint="eastAsia" w:ascii="仿宋_GB2312" w:hAnsi="??" w:cs="仿宋_GB2312"/>
          <w:snapToGrid w:val="0"/>
          <w:color w:val="000000"/>
          <w:kern w:val="0"/>
        </w:rPr>
        <w:t>以上，涉及工程结构安全的主要建材产品质量监督抽查合格率达到</w:t>
      </w:r>
      <w:r>
        <w:rPr>
          <w:rFonts w:ascii="仿宋_GB2312" w:hAnsi="??" w:cs="仿宋_GB2312"/>
          <w:snapToGrid w:val="0"/>
          <w:color w:val="000000"/>
          <w:kern w:val="0"/>
        </w:rPr>
        <w:t>100%</w:t>
      </w:r>
      <w:r>
        <w:rPr>
          <w:rFonts w:hint="eastAsia" w:ascii="仿宋_GB2312" w:hAnsi="??" w:cs="仿宋_GB2312"/>
          <w:snapToGrid w:val="0"/>
          <w:color w:val="000000"/>
          <w:kern w:val="0"/>
        </w:rPr>
        <w:t>。严把工程建设进场材料质量关口，建立和完善进场材料采购、验收、检验、使用全过程追溯体系，杜绝不合格建材进入施工现场。</w:t>
      </w:r>
    </w:p>
    <w:p w14:paraId="42F60ECB">
      <w:pPr>
        <w:spacing w:line="600" w:lineRule="exact"/>
        <w:ind w:firstLine="632" w:firstLineChars="200"/>
        <w:jc w:val="left"/>
        <w:rPr>
          <w:rFonts w:ascii="仿宋_GB2312" w:hAnsi="??" w:cs="Times New Roman"/>
          <w:snapToGrid w:val="0"/>
          <w:color w:val="000000"/>
          <w:kern w:val="0"/>
        </w:rPr>
      </w:pPr>
      <w:r>
        <w:rPr>
          <w:rFonts w:hint="eastAsia" w:ascii="仿宋_GB2312" w:hAnsi="??" w:cs="仿宋_GB2312"/>
          <w:snapToGrid w:val="0"/>
          <w:color w:val="000000"/>
          <w:kern w:val="0"/>
        </w:rPr>
        <w:t>推动绿色工程建设。推广应用新材料、新技术、新工艺、新设备，提高施工技术管理水平和工程科技含量，力争全市重点工程质量达到国内或国际先进水平。将“节能、节地、节水、节材”和“对外部生态环境保护、对室内环境保护”作为评价工程质量优劣的重要标准，大力推广绿色设计、绿色施工、绿色建材以及装配式建筑发展。</w:t>
      </w:r>
    </w:p>
    <w:p w14:paraId="023E88F0">
      <w:pPr>
        <w:spacing w:line="600" w:lineRule="exact"/>
        <w:ind w:firstLine="632" w:firstLineChars="200"/>
        <w:jc w:val="left"/>
        <w:rPr>
          <w:rFonts w:ascii="仿宋_GB2312" w:hAnsi="??" w:cs="Times New Roman"/>
          <w:snapToGrid w:val="0"/>
          <w:color w:val="000000"/>
          <w:kern w:val="0"/>
        </w:rPr>
      </w:pPr>
      <w:r>
        <w:rPr>
          <w:rFonts w:hint="eastAsia" w:ascii="仿宋_GB2312" w:hAnsi="??" w:cs="仿宋_GB2312"/>
          <w:snapToGrid w:val="0"/>
          <w:color w:val="000000"/>
          <w:kern w:val="0"/>
        </w:rPr>
        <w:t>强化重点工程保障。严格落实工程建设主体责任，加强高速公路、水利、能源等重大基础设施和重大产业项目建设管理，强化工程质量通病治理，加大违法违规行为查处力度，确保重大工程质量。</w:t>
      </w:r>
      <w:bookmarkStart w:id="135" w:name="_Toc4181"/>
      <w:bookmarkStart w:id="136" w:name="_Toc31379"/>
    </w:p>
    <w:p w14:paraId="34891112">
      <w:pPr>
        <w:spacing w:line="576" w:lineRule="exact"/>
        <w:ind w:firstLine="632" w:firstLineChars="200"/>
        <w:jc w:val="left"/>
        <w:rPr>
          <w:rFonts w:ascii="仿宋_GB2312" w:hAnsi="??" w:cs="Times New Roman"/>
          <w:snapToGrid w:val="0"/>
          <w:color w:val="000000"/>
          <w:kern w:val="0"/>
        </w:rPr>
      </w:pPr>
    </w:p>
    <w:tbl>
      <w:tblPr>
        <w:tblStyle w:val="10"/>
        <w:tblW w:w="8946"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6"/>
      </w:tblGrid>
      <w:tr w14:paraId="57870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6" w:type="dxa"/>
          </w:tcPr>
          <w:p w14:paraId="0426785C">
            <w:pPr>
              <w:spacing w:line="560" w:lineRule="exact"/>
              <w:jc w:val="center"/>
              <w:rPr>
                <w:rFonts w:ascii="黑体" w:hAnsi="Arial" w:eastAsia="黑体" w:cs="Times New Roman"/>
                <w:snapToGrid w:val="0"/>
                <w:color w:val="000000"/>
                <w:kern w:val="0"/>
                <w:sz w:val="28"/>
                <w:szCs w:val="28"/>
              </w:rPr>
            </w:pPr>
            <w:r>
              <w:rPr>
                <w:rFonts w:hint="eastAsia" w:ascii="黑体" w:hAnsi="Arial" w:eastAsia="黑体" w:cs="黑体"/>
                <w:snapToGrid w:val="0"/>
                <w:color w:val="000000"/>
                <w:kern w:val="0"/>
                <w:sz w:val="28"/>
                <w:szCs w:val="28"/>
              </w:rPr>
              <w:t>专栏</w:t>
            </w:r>
            <w:r>
              <w:rPr>
                <w:rFonts w:ascii="黑体" w:hAnsi="Arial" w:eastAsia="黑体" w:cs="黑体"/>
                <w:snapToGrid w:val="0"/>
                <w:color w:val="000000"/>
                <w:kern w:val="0"/>
                <w:sz w:val="28"/>
                <w:szCs w:val="28"/>
              </w:rPr>
              <w:t xml:space="preserve">7  </w:t>
            </w:r>
            <w:r>
              <w:rPr>
                <w:rFonts w:hint="eastAsia" w:ascii="黑体" w:hAnsi="Arial" w:eastAsia="黑体" w:cs="黑体"/>
                <w:snapToGrid w:val="0"/>
                <w:color w:val="000000"/>
                <w:kern w:val="0"/>
                <w:sz w:val="28"/>
                <w:szCs w:val="28"/>
              </w:rPr>
              <w:t>提升工程质量重点</w:t>
            </w:r>
          </w:p>
        </w:tc>
      </w:tr>
      <w:tr w14:paraId="230D4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6" w:type="dxa"/>
          </w:tcPr>
          <w:p w14:paraId="21E2A9E0">
            <w:pPr>
              <w:spacing w:line="380" w:lineRule="exact"/>
              <w:jc w:val="left"/>
              <w:rPr>
                <w:rFonts w:ascii="仿宋_GB2312" w:hAnsi="Arial" w:cs="Times New Roman"/>
                <w:snapToGrid w:val="0"/>
                <w:color w:val="000000"/>
                <w:kern w:val="0"/>
                <w:sz w:val="24"/>
                <w:szCs w:val="24"/>
              </w:rPr>
            </w:pPr>
            <w:r>
              <w:rPr>
                <w:rFonts w:ascii="仿宋_GB2312" w:hAnsi="Arial" w:cs="仿宋_GB2312"/>
                <w:snapToGrid w:val="0"/>
                <w:color w:val="000000"/>
                <w:kern w:val="0"/>
                <w:sz w:val="24"/>
                <w:szCs w:val="24"/>
              </w:rPr>
              <w:t xml:space="preserve">   1.</w:t>
            </w:r>
            <w:r>
              <w:rPr>
                <w:rFonts w:hint="eastAsia" w:ascii="仿宋_GB2312" w:hAnsi="Arial" w:cs="仿宋_GB2312"/>
                <w:snapToGrid w:val="0"/>
                <w:color w:val="000000"/>
                <w:kern w:val="0"/>
                <w:sz w:val="24"/>
                <w:szCs w:val="24"/>
              </w:rPr>
              <w:t>建筑工程：</w:t>
            </w:r>
            <w:r>
              <w:rPr>
                <w:rFonts w:ascii="仿宋_GB2312" w:hAnsi="Arial" w:cs="仿宋_GB2312"/>
                <w:snapToGrid w:val="0"/>
                <w:color w:val="000000"/>
                <w:kern w:val="0"/>
                <w:sz w:val="24"/>
                <w:szCs w:val="24"/>
              </w:rPr>
              <w:t xml:space="preserve"> </w:t>
            </w:r>
            <w:r>
              <w:rPr>
                <w:rFonts w:hint="eastAsia" w:ascii="仿宋_GB2312" w:hAnsi="Arial" w:cs="仿宋_GB2312"/>
                <w:snapToGrid w:val="0"/>
                <w:color w:val="000000"/>
                <w:kern w:val="0"/>
                <w:sz w:val="24"/>
                <w:szCs w:val="24"/>
              </w:rPr>
              <w:t>制定完善全市质量安全监管制度，编制质量安全监督管理手册，规范房屋建筑及市政基础设施工程质量安全监督手段。建立房屋建筑及市政基础设施工程质量安全监管及诚信体系信息平台，实现质量安全监管工作数字信息及视频监控网络化。实现建设工程鲁班奖零的突破，天府杯奖占建设工程项目的</w:t>
            </w:r>
            <w:r>
              <w:rPr>
                <w:rFonts w:ascii="仿宋_GB2312" w:hAnsi="Arial" w:cs="仿宋_GB2312"/>
                <w:snapToGrid w:val="0"/>
                <w:color w:val="000000"/>
                <w:kern w:val="0"/>
                <w:sz w:val="24"/>
                <w:szCs w:val="24"/>
              </w:rPr>
              <w:t>1%</w:t>
            </w:r>
            <w:r>
              <w:rPr>
                <w:rFonts w:hint="eastAsia" w:ascii="仿宋_GB2312" w:hAnsi="Arial" w:cs="仿宋_GB2312"/>
                <w:snapToGrid w:val="0"/>
                <w:color w:val="000000"/>
                <w:kern w:val="0"/>
                <w:sz w:val="24"/>
                <w:szCs w:val="24"/>
              </w:rPr>
              <w:t>，省级结构优质奖占建设项目</w:t>
            </w:r>
            <w:r>
              <w:rPr>
                <w:rFonts w:ascii="仿宋_GB2312" w:hAnsi="Arial" w:cs="仿宋_GB2312"/>
                <w:snapToGrid w:val="0"/>
                <w:color w:val="000000"/>
                <w:kern w:val="0"/>
                <w:sz w:val="24"/>
                <w:szCs w:val="24"/>
              </w:rPr>
              <w:t>10%</w:t>
            </w:r>
            <w:r>
              <w:rPr>
                <w:rFonts w:hint="eastAsia" w:ascii="仿宋_GB2312" w:hAnsi="Arial" w:cs="仿宋_GB2312"/>
                <w:snapToGrid w:val="0"/>
                <w:color w:val="000000"/>
                <w:kern w:val="0"/>
                <w:sz w:val="24"/>
                <w:szCs w:val="24"/>
              </w:rPr>
              <w:t>，省级安全文明标准化工地占建设项目</w:t>
            </w:r>
            <w:r>
              <w:rPr>
                <w:rFonts w:ascii="仿宋_GB2312" w:hAnsi="Arial" w:cs="仿宋_GB2312"/>
                <w:snapToGrid w:val="0"/>
                <w:color w:val="000000"/>
                <w:kern w:val="0"/>
                <w:sz w:val="24"/>
                <w:szCs w:val="24"/>
              </w:rPr>
              <w:t>10%</w:t>
            </w:r>
            <w:r>
              <w:rPr>
                <w:rFonts w:hint="eastAsia" w:ascii="仿宋_GB2312" w:hAnsi="Arial" w:cs="仿宋_GB2312"/>
                <w:snapToGrid w:val="0"/>
                <w:color w:val="000000"/>
                <w:kern w:val="0"/>
                <w:sz w:val="24"/>
                <w:szCs w:val="24"/>
              </w:rPr>
              <w:t>。</w:t>
            </w:r>
          </w:p>
          <w:p w14:paraId="4F54D732">
            <w:pPr>
              <w:spacing w:line="380" w:lineRule="exact"/>
              <w:ind w:firstLine="354" w:firstLineChars="150"/>
              <w:jc w:val="left"/>
              <w:rPr>
                <w:rFonts w:ascii="仿宋_GB2312" w:hAnsi="Arial" w:cs="Times New Roman"/>
                <w:snapToGrid w:val="0"/>
                <w:color w:val="000000"/>
                <w:kern w:val="0"/>
                <w:sz w:val="24"/>
                <w:szCs w:val="24"/>
              </w:rPr>
            </w:pPr>
            <w:r>
              <w:rPr>
                <w:rFonts w:ascii="仿宋_GB2312" w:hAnsi="Arial" w:cs="仿宋_GB2312"/>
                <w:snapToGrid w:val="0"/>
                <w:color w:val="000000"/>
                <w:kern w:val="0"/>
                <w:sz w:val="24"/>
                <w:szCs w:val="24"/>
              </w:rPr>
              <w:t>2.</w:t>
            </w:r>
            <w:r>
              <w:rPr>
                <w:rFonts w:hint="eastAsia" w:ascii="仿宋_GB2312" w:hAnsi="Arial" w:cs="仿宋_GB2312"/>
                <w:snapToGrid w:val="0"/>
                <w:color w:val="000000"/>
                <w:kern w:val="0"/>
                <w:sz w:val="24"/>
                <w:szCs w:val="24"/>
              </w:rPr>
              <w:t>交通工程：推进多元共治，进一步完善质量管理体系，确保工程项目受监率达到</w:t>
            </w:r>
            <w:r>
              <w:rPr>
                <w:rFonts w:ascii="仿宋_GB2312" w:hAnsi="Arial" w:cs="仿宋_GB2312"/>
                <w:snapToGrid w:val="0"/>
                <w:color w:val="000000"/>
                <w:kern w:val="0"/>
                <w:sz w:val="24"/>
                <w:szCs w:val="24"/>
              </w:rPr>
              <w:t>100%</w:t>
            </w:r>
            <w:r>
              <w:rPr>
                <w:rFonts w:hint="eastAsia" w:ascii="仿宋_GB2312" w:hAnsi="Arial" w:cs="仿宋_GB2312"/>
                <w:snapToGrid w:val="0"/>
                <w:color w:val="000000"/>
                <w:kern w:val="0"/>
                <w:sz w:val="24"/>
                <w:szCs w:val="24"/>
              </w:rPr>
              <w:t>，施工过程指标验收合格率达到</w:t>
            </w:r>
            <w:r>
              <w:rPr>
                <w:rFonts w:ascii="仿宋_GB2312" w:hAnsi="Arial" w:cs="仿宋_GB2312"/>
                <w:snapToGrid w:val="0"/>
                <w:color w:val="000000"/>
                <w:kern w:val="0"/>
                <w:sz w:val="24"/>
                <w:szCs w:val="24"/>
              </w:rPr>
              <w:t>90%</w:t>
            </w:r>
            <w:r>
              <w:rPr>
                <w:rFonts w:hint="eastAsia" w:ascii="仿宋_GB2312" w:hAnsi="Arial" w:cs="仿宋_GB2312"/>
                <w:snapToGrid w:val="0"/>
                <w:color w:val="000000"/>
                <w:kern w:val="0"/>
                <w:sz w:val="24"/>
                <w:szCs w:val="24"/>
              </w:rPr>
              <w:t>。</w:t>
            </w:r>
          </w:p>
          <w:p w14:paraId="7E69CEF8">
            <w:pPr>
              <w:spacing w:line="380" w:lineRule="exact"/>
              <w:ind w:firstLine="354" w:firstLineChars="150"/>
              <w:jc w:val="left"/>
              <w:rPr>
                <w:rFonts w:ascii="仿宋_GB2312" w:hAnsi="Arial" w:cs="Times New Roman"/>
                <w:snapToGrid w:val="0"/>
                <w:color w:val="000000"/>
                <w:kern w:val="0"/>
                <w:sz w:val="24"/>
                <w:szCs w:val="24"/>
              </w:rPr>
            </w:pPr>
            <w:r>
              <w:rPr>
                <w:rFonts w:ascii="仿宋_GB2312" w:hAnsi="Arial" w:cs="仿宋_GB2312"/>
                <w:snapToGrid w:val="0"/>
                <w:color w:val="000000"/>
                <w:kern w:val="0"/>
                <w:sz w:val="24"/>
                <w:szCs w:val="24"/>
              </w:rPr>
              <w:t>3.</w:t>
            </w:r>
            <w:r>
              <w:rPr>
                <w:rFonts w:hint="eastAsia" w:ascii="仿宋_GB2312" w:hAnsi="Arial" w:cs="仿宋_GB2312"/>
                <w:snapToGrid w:val="0"/>
                <w:color w:val="000000"/>
                <w:kern w:val="0"/>
                <w:sz w:val="24"/>
                <w:szCs w:val="24"/>
              </w:rPr>
              <w:t>水利工程：完善水利安全监督管理制度，落实质量终身负责制和责任追究制度，稳步提升水利工程整体质量水平。</w:t>
            </w:r>
          </w:p>
        </w:tc>
      </w:tr>
    </w:tbl>
    <w:p w14:paraId="4DA31FC1">
      <w:pPr>
        <w:spacing w:line="576" w:lineRule="exact"/>
        <w:ind w:firstLine="632" w:firstLineChars="200"/>
        <w:jc w:val="left"/>
        <w:rPr>
          <w:rStyle w:val="12"/>
          <w:rFonts w:ascii="楷体_GB2312" w:hAnsi="宋体" w:eastAsia="楷体_GB2312" w:cs="Times New Roman"/>
          <w:b/>
          <w:bCs/>
          <w:snapToGrid w:val="0"/>
          <w:color w:val="000000"/>
          <w:kern w:val="0"/>
        </w:rPr>
      </w:pPr>
      <w:r>
        <w:rPr>
          <w:rStyle w:val="12"/>
          <w:rFonts w:hint="eastAsia" w:ascii="楷体_GB2312" w:hAnsi="宋体" w:eastAsia="楷体_GB2312" w:cs="楷体_GB2312"/>
          <w:snapToGrid w:val="0"/>
          <w:color w:val="000000"/>
          <w:kern w:val="0"/>
        </w:rPr>
        <w:t>（四）着力提升服务质量</w:t>
      </w:r>
      <w:bookmarkEnd w:id="135"/>
      <w:bookmarkEnd w:id="136"/>
    </w:p>
    <w:p w14:paraId="223463F0">
      <w:pPr>
        <w:spacing w:line="600" w:lineRule="exact"/>
        <w:ind w:firstLine="632" w:firstLineChars="200"/>
        <w:jc w:val="left"/>
        <w:rPr>
          <w:rFonts w:ascii="仿宋_GB2312" w:hAnsi="Arial" w:cs="Times New Roman"/>
          <w:snapToGrid w:val="0"/>
          <w:color w:val="000000"/>
          <w:kern w:val="0"/>
        </w:rPr>
      </w:pPr>
      <w:r>
        <w:rPr>
          <w:rFonts w:hint="eastAsia" w:ascii="仿宋_GB2312" w:hAnsi="Arial" w:cs="仿宋_GB2312"/>
          <w:snapToGrid w:val="0"/>
          <w:color w:val="000000"/>
          <w:kern w:val="0"/>
        </w:rPr>
        <w:t>鼓励和支持优势服务业企业主持或者参与制定服务业国家、行业、地方标准，积极培育和建设国家及省级服务业标准化示范项目。全面实现服务质量的标准化、规范化和品牌化，在重点服务行业实施国家标准，骨干服务企业和重点服务项目的服务质量达到国内先进水平，打造一批具有影响力的服务业品牌。开展服务质量惠民行动，加快提升金融服务、现代物流、电子商务、软件和信息服务、会展等重点生产性服务业和商贸、旅游、社区服务、公共服务等重点生活性服务业顾客满意度，努力提高服务业质量水平。</w:t>
      </w:r>
      <w:bookmarkStart w:id="137" w:name="_Toc191"/>
      <w:bookmarkStart w:id="138" w:name="_Toc23756"/>
    </w:p>
    <w:tbl>
      <w:tblPr>
        <w:tblStyle w:val="10"/>
        <w:tblW w:w="8946"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6"/>
      </w:tblGrid>
      <w:tr w14:paraId="56B9F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6" w:type="dxa"/>
          </w:tcPr>
          <w:p w14:paraId="3CF205CB">
            <w:pPr>
              <w:spacing w:line="560" w:lineRule="exact"/>
              <w:jc w:val="center"/>
              <w:rPr>
                <w:rFonts w:ascii="黑体" w:hAnsi="Arial" w:eastAsia="黑体" w:cs="Times New Roman"/>
                <w:snapToGrid w:val="0"/>
                <w:color w:val="000000"/>
                <w:kern w:val="0"/>
                <w:sz w:val="24"/>
                <w:szCs w:val="24"/>
              </w:rPr>
            </w:pPr>
            <w:r>
              <w:rPr>
                <w:rFonts w:hint="eastAsia" w:ascii="黑体" w:hAnsi="Arial" w:eastAsia="黑体" w:cs="黑体"/>
                <w:snapToGrid w:val="0"/>
                <w:color w:val="000000"/>
                <w:kern w:val="0"/>
                <w:sz w:val="24"/>
                <w:szCs w:val="24"/>
              </w:rPr>
              <w:t>专栏</w:t>
            </w:r>
            <w:r>
              <w:rPr>
                <w:rFonts w:ascii="黑体" w:hAnsi="Arial" w:eastAsia="黑体" w:cs="黑体"/>
                <w:snapToGrid w:val="0"/>
                <w:color w:val="000000"/>
                <w:kern w:val="0"/>
                <w:sz w:val="24"/>
                <w:szCs w:val="24"/>
              </w:rPr>
              <w:t xml:space="preserve">8  </w:t>
            </w:r>
            <w:r>
              <w:rPr>
                <w:rFonts w:hint="eastAsia" w:ascii="黑体" w:hAnsi="Arial" w:eastAsia="黑体" w:cs="黑体"/>
                <w:snapToGrid w:val="0"/>
                <w:color w:val="000000"/>
                <w:kern w:val="0"/>
                <w:sz w:val="24"/>
                <w:szCs w:val="24"/>
              </w:rPr>
              <w:t>提升服务质量重点</w:t>
            </w:r>
          </w:p>
        </w:tc>
      </w:tr>
      <w:tr w14:paraId="044A6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6" w:type="dxa"/>
          </w:tcPr>
          <w:p w14:paraId="124D5495">
            <w:pPr>
              <w:spacing w:line="360" w:lineRule="exact"/>
              <w:jc w:val="left"/>
              <w:rPr>
                <w:rFonts w:ascii="仿宋_GB2312" w:hAnsi="Arial" w:cs="Times New Roman"/>
                <w:snapToGrid w:val="0"/>
                <w:color w:val="000000"/>
                <w:kern w:val="0"/>
                <w:sz w:val="24"/>
                <w:szCs w:val="24"/>
              </w:rPr>
            </w:pPr>
            <w:r>
              <w:rPr>
                <w:rFonts w:ascii="仿宋_GB2312" w:hAnsi="Arial" w:cs="仿宋_GB2312"/>
                <w:snapToGrid w:val="0"/>
                <w:color w:val="000000"/>
                <w:kern w:val="0"/>
                <w:sz w:val="24"/>
                <w:szCs w:val="24"/>
              </w:rPr>
              <w:t xml:space="preserve">    1.</w:t>
            </w:r>
            <w:r>
              <w:rPr>
                <w:rFonts w:hint="eastAsia" w:ascii="仿宋_GB2312" w:hAnsi="Arial" w:cs="仿宋_GB2312"/>
                <w:snapToGrid w:val="0"/>
                <w:color w:val="000000"/>
                <w:kern w:val="0"/>
                <w:sz w:val="24"/>
                <w:szCs w:val="24"/>
              </w:rPr>
              <w:t>实施服务标杆引领计划：</w:t>
            </w:r>
            <w:r>
              <w:rPr>
                <w:rFonts w:ascii="仿宋_GB2312" w:hAnsi="Arial" w:cs="仿宋_GB2312"/>
                <w:snapToGrid w:val="0"/>
                <w:color w:val="000000"/>
                <w:kern w:val="0"/>
                <w:sz w:val="24"/>
                <w:szCs w:val="24"/>
              </w:rPr>
              <w:t xml:space="preserve"> </w:t>
            </w:r>
            <w:r>
              <w:rPr>
                <w:rFonts w:hint="eastAsia" w:ascii="仿宋_GB2312" w:hAnsi="Arial" w:cs="仿宋_GB2312"/>
                <w:snapToGrid w:val="0"/>
                <w:color w:val="000000"/>
                <w:kern w:val="0"/>
                <w:sz w:val="24"/>
                <w:szCs w:val="24"/>
              </w:rPr>
              <w:t>健全以质量管理、诚信评价、行政监督、风险监测、测试评价、认证认可等制度为核心的服务质量体系，在旅游等行业开展服务质量标杆单位遴选，在物流等行业实施服务质量提升工程，培育一批能够代表“广元服务”形象的优质企业。</w:t>
            </w:r>
          </w:p>
          <w:p w14:paraId="5CDEA3D2">
            <w:pPr>
              <w:spacing w:line="360" w:lineRule="exact"/>
              <w:ind w:firstLine="354" w:firstLineChars="150"/>
              <w:jc w:val="left"/>
              <w:rPr>
                <w:rFonts w:ascii="仿宋_GB2312" w:hAnsi="Arial" w:cs="Times New Roman"/>
                <w:snapToGrid w:val="0"/>
                <w:color w:val="000000"/>
                <w:kern w:val="0"/>
                <w:sz w:val="24"/>
                <w:szCs w:val="24"/>
              </w:rPr>
            </w:pPr>
            <w:r>
              <w:rPr>
                <w:rFonts w:ascii="仿宋_GB2312" w:hAnsi="Arial" w:cs="仿宋_GB2312"/>
                <w:snapToGrid w:val="0"/>
                <w:color w:val="000000"/>
                <w:kern w:val="0"/>
                <w:sz w:val="24"/>
                <w:szCs w:val="24"/>
              </w:rPr>
              <w:t>2.</w:t>
            </w:r>
            <w:r>
              <w:rPr>
                <w:rFonts w:hint="eastAsia" w:ascii="仿宋_GB2312" w:hAnsi="Arial" w:cs="仿宋_GB2312"/>
                <w:snapToGrid w:val="0"/>
                <w:color w:val="000000"/>
                <w:kern w:val="0"/>
                <w:sz w:val="24"/>
                <w:szCs w:val="24"/>
              </w:rPr>
              <w:t>开展质量惠民行动：开展旅游、政务服务、现代物流、电子商务、社区服务等生产性和生活性服务业顾客满意度提升活动。</w:t>
            </w:r>
          </w:p>
        </w:tc>
      </w:tr>
    </w:tbl>
    <w:p w14:paraId="5F5B7A15">
      <w:pPr>
        <w:spacing w:line="600" w:lineRule="exact"/>
        <w:ind w:firstLine="632" w:firstLineChars="200"/>
        <w:jc w:val="left"/>
        <w:rPr>
          <w:rStyle w:val="12"/>
          <w:rFonts w:ascii="楷体_GB2312" w:hAnsi="宋体" w:eastAsia="楷体_GB2312" w:cs="Times New Roman"/>
          <w:b/>
          <w:bCs/>
          <w:snapToGrid w:val="0"/>
          <w:color w:val="000000"/>
          <w:kern w:val="0"/>
        </w:rPr>
      </w:pPr>
      <w:r>
        <w:rPr>
          <w:rStyle w:val="12"/>
          <w:rFonts w:hint="eastAsia" w:ascii="楷体_GB2312" w:hAnsi="宋体" w:eastAsia="楷体_GB2312" w:cs="楷体_GB2312"/>
          <w:snapToGrid w:val="0"/>
          <w:color w:val="000000"/>
          <w:kern w:val="0"/>
        </w:rPr>
        <w:t>（五）着力提升环境质量</w:t>
      </w:r>
      <w:bookmarkEnd w:id="137"/>
      <w:bookmarkEnd w:id="138"/>
    </w:p>
    <w:p w14:paraId="42097FAF">
      <w:pPr>
        <w:spacing w:line="600" w:lineRule="exact"/>
        <w:ind w:firstLine="632" w:firstLineChars="200"/>
        <w:rPr>
          <w:rFonts w:ascii="仿宋_GB2312" w:hAnsi="Arial" w:cs="Times New Roman"/>
          <w:snapToGrid w:val="0"/>
          <w:color w:val="000000"/>
          <w:kern w:val="0"/>
        </w:rPr>
      </w:pPr>
      <w:r>
        <w:rPr>
          <w:rFonts w:hint="eastAsia" w:ascii="仿宋_GB2312" w:hAnsi="Arial" w:cs="仿宋_GB2312"/>
          <w:snapToGrid w:val="0"/>
          <w:color w:val="000000"/>
          <w:kern w:val="0"/>
        </w:rPr>
        <w:t>持续推进产业发展、城市建设、居民生活方式低碳化，完善资源综合利用和循环利用体系。积极推进环境管理体系、测量管理体系、能源管理体系认证和节能、节水、节材等产品认证；积极推行清洁生产、节能降耗，持续推进大气、水、土壤污染防治三大战役，持续改善环境质量。严格执行总量控制制度，深入推进工业、生活、农业、交通等行业治污减排，提升生态建设和保护水平，建设长江上游嘉陵江生态屏障。加强环保基础设施建设，全面提高环境监管水平，实现城市生态系统良性循环，人居环境得到较大改善，努力建成环境优美、生态良好、人与自然和谐相处的中国生态康养旅游名市。</w:t>
      </w:r>
      <w:bookmarkStart w:id="139" w:name="_Toc14483"/>
      <w:bookmarkStart w:id="140" w:name="_Toc21042"/>
    </w:p>
    <w:p w14:paraId="2A338F12">
      <w:pPr>
        <w:spacing w:line="576" w:lineRule="exact"/>
        <w:ind w:firstLine="632" w:firstLineChars="200"/>
        <w:rPr>
          <w:rFonts w:ascii="仿宋_GB2312" w:hAnsi="Arial" w:cs="Times New Roman"/>
          <w:snapToGrid w:val="0"/>
          <w:color w:val="000000"/>
          <w:kern w:val="0"/>
        </w:rPr>
      </w:pPr>
    </w:p>
    <w:tbl>
      <w:tblPr>
        <w:tblStyle w:val="10"/>
        <w:tblW w:w="8946"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6"/>
      </w:tblGrid>
      <w:tr w14:paraId="76235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6" w:type="dxa"/>
          </w:tcPr>
          <w:p w14:paraId="5E38028D">
            <w:pPr>
              <w:spacing w:line="560" w:lineRule="exact"/>
              <w:jc w:val="center"/>
              <w:rPr>
                <w:rFonts w:ascii="黑体" w:hAnsi="Arial" w:eastAsia="黑体" w:cs="Times New Roman"/>
                <w:snapToGrid w:val="0"/>
                <w:color w:val="000000"/>
                <w:kern w:val="0"/>
                <w:sz w:val="28"/>
                <w:szCs w:val="28"/>
              </w:rPr>
            </w:pPr>
            <w:r>
              <w:rPr>
                <w:rFonts w:hint="eastAsia" w:ascii="黑体" w:hAnsi="Arial" w:eastAsia="黑体" w:cs="黑体"/>
                <w:snapToGrid w:val="0"/>
                <w:color w:val="000000"/>
                <w:kern w:val="0"/>
                <w:sz w:val="28"/>
                <w:szCs w:val="28"/>
              </w:rPr>
              <w:t>专栏</w:t>
            </w:r>
            <w:r>
              <w:rPr>
                <w:rFonts w:ascii="黑体" w:hAnsi="Arial" w:eastAsia="黑体" w:cs="黑体"/>
                <w:snapToGrid w:val="0"/>
                <w:color w:val="000000"/>
                <w:kern w:val="0"/>
                <w:sz w:val="28"/>
                <w:szCs w:val="28"/>
              </w:rPr>
              <w:t xml:space="preserve">9  </w:t>
            </w:r>
            <w:r>
              <w:rPr>
                <w:rFonts w:hint="eastAsia" w:ascii="黑体" w:hAnsi="Arial" w:eastAsia="黑体" w:cs="黑体"/>
                <w:snapToGrid w:val="0"/>
                <w:color w:val="000000"/>
                <w:kern w:val="0"/>
                <w:sz w:val="28"/>
                <w:szCs w:val="28"/>
              </w:rPr>
              <w:t>提升环境质量重点</w:t>
            </w:r>
          </w:p>
        </w:tc>
      </w:tr>
      <w:tr w14:paraId="3680C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1" w:hRule="atLeast"/>
        </w:trPr>
        <w:tc>
          <w:tcPr>
            <w:tcW w:w="8946" w:type="dxa"/>
            <w:vAlign w:val="center"/>
          </w:tcPr>
          <w:p w14:paraId="2DA93334">
            <w:pPr>
              <w:spacing w:line="360" w:lineRule="exact"/>
              <w:rPr>
                <w:rFonts w:ascii="仿宋_GB2312" w:hAnsi="Arial" w:cs="Times New Roman"/>
                <w:snapToGrid w:val="0"/>
                <w:color w:val="000000"/>
                <w:kern w:val="0"/>
                <w:sz w:val="24"/>
                <w:szCs w:val="24"/>
              </w:rPr>
            </w:pPr>
            <w:r>
              <w:rPr>
                <w:rFonts w:ascii="仿宋_GB2312" w:hAnsi="Arial" w:cs="仿宋_GB2312"/>
                <w:snapToGrid w:val="0"/>
                <w:color w:val="000000"/>
                <w:kern w:val="0"/>
                <w:sz w:val="24"/>
                <w:szCs w:val="24"/>
              </w:rPr>
              <w:t xml:space="preserve">   1.</w:t>
            </w:r>
            <w:r>
              <w:rPr>
                <w:rFonts w:hint="eastAsia" w:ascii="仿宋_GB2312" w:hAnsi="Arial" w:cs="仿宋_GB2312"/>
                <w:snapToGrid w:val="0"/>
                <w:color w:val="000000"/>
                <w:kern w:val="0"/>
                <w:sz w:val="24"/>
                <w:szCs w:val="24"/>
              </w:rPr>
              <w:t>实施大气污染防治行动计划。制定城市空气质量持续改善计划，分区域明确环境空气质量管理重点任务，发布环境空气质量信息，严格环境空气质量目标考核。大力推进大气污染防治，从严执行环评和总量控制制度，强化颗粒污染物管控，深化区域大气污染防治联席会议制度，形成区域统一的环境决策协商、信息通报、环评区域会商、区域联合执法和区域重污染天气应急联动机制。</w:t>
            </w:r>
          </w:p>
          <w:p w14:paraId="7DD2FFA1">
            <w:pPr>
              <w:spacing w:line="360" w:lineRule="exact"/>
              <w:ind w:firstLine="354" w:firstLineChars="150"/>
              <w:rPr>
                <w:rFonts w:ascii="仿宋_GB2312" w:hAnsi="Arial" w:cs="Times New Roman"/>
                <w:snapToGrid w:val="0"/>
                <w:color w:val="000000"/>
                <w:kern w:val="0"/>
                <w:sz w:val="24"/>
                <w:szCs w:val="24"/>
              </w:rPr>
            </w:pPr>
            <w:r>
              <w:rPr>
                <w:rFonts w:ascii="仿宋_GB2312" w:hAnsi="Arial" w:cs="仿宋_GB2312"/>
                <w:snapToGrid w:val="0"/>
                <w:color w:val="000000"/>
                <w:kern w:val="0"/>
                <w:sz w:val="24"/>
                <w:szCs w:val="24"/>
              </w:rPr>
              <w:t>2.</w:t>
            </w:r>
            <w:r>
              <w:rPr>
                <w:rFonts w:hint="eastAsia" w:ascii="仿宋_GB2312" w:hAnsi="Arial" w:cs="仿宋_GB2312"/>
                <w:snapToGrid w:val="0"/>
                <w:color w:val="000000"/>
                <w:kern w:val="0"/>
                <w:sz w:val="24"/>
                <w:szCs w:val="24"/>
              </w:rPr>
              <w:t>实施水污染防治行动计划。实施水环境精细化管理，强化饮用水水源地保护，优先保护好良好水体。加强黑臭水体整治，加强流域综合整治，加强矿山开采区、生活垃圾填埋场等重点区域地下水污染防控工程。</w:t>
            </w:r>
          </w:p>
          <w:p w14:paraId="6F7BA5C0">
            <w:pPr>
              <w:spacing w:line="360" w:lineRule="exact"/>
              <w:ind w:firstLine="354" w:firstLineChars="150"/>
              <w:rPr>
                <w:rFonts w:ascii="仿宋_GB2312" w:hAnsi="Arial" w:cs="Times New Roman"/>
                <w:snapToGrid w:val="0"/>
                <w:color w:val="000000"/>
                <w:kern w:val="0"/>
                <w:sz w:val="24"/>
                <w:szCs w:val="24"/>
              </w:rPr>
            </w:pPr>
            <w:r>
              <w:rPr>
                <w:rFonts w:ascii="仿宋_GB2312" w:hAnsi="Arial" w:cs="仿宋_GB2312"/>
                <w:snapToGrid w:val="0"/>
                <w:color w:val="000000"/>
                <w:kern w:val="0"/>
                <w:sz w:val="24"/>
                <w:szCs w:val="24"/>
              </w:rPr>
              <w:t>3.</w:t>
            </w:r>
            <w:r>
              <w:rPr>
                <w:rFonts w:hint="eastAsia" w:ascii="仿宋_GB2312" w:hAnsi="Arial" w:cs="仿宋_GB2312"/>
                <w:snapToGrid w:val="0"/>
                <w:color w:val="000000"/>
                <w:kern w:val="0"/>
                <w:sz w:val="24"/>
                <w:szCs w:val="24"/>
              </w:rPr>
              <w:t>实施土壤污染防治行动计划。重点开展土壤污染基础调查，建立土壤环境基础数据库。实施农用地土壤分类管理，实施建设用地污染调查评估准入制度，开展土壤污染防治与修复试点。</w:t>
            </w:r>
          </w:p>
        </w:tc>
      </w:tr>
    </w:tbl>
    <w:p w14:paraId="647013B6">
      <w:pPr>
        <w:spacing w:line="576" w:lineRule="exact"/>
        <w:ind w:firstLine="632" w:firstLineChars="200"/>
        <w:rPr>
          <w:rStyle w:val="12"/>
          <w:rFonts w:ascii="黑体" w:hAnsi="宋体" w:eastAsia="黑体" w:cs="Times New Roman"/>
          <w:b/>
          <w:bCs/>
          <w:snapToGrid w:val="0"/>
          <w:color w:val="000000"/>
          <w:kern w:val="0"/>
        </w:rPr>
      </w:pPr>
      <w:r>
        <w:rPr>
          <w:rStyle w:val="12"/>
          <w:rFonts w:hint="eastAsia" w:ascii="黑体" w:hAnsi="宋体" w:eastAsia="黑体" w:cs="黑体"/>
          <w:snapToGrid w:val="0"/>
          <w:color w:val="000000"/>
          <w:kern w:val="0"/>
        </w:rPr>
        <w:t>三、不断夯实四大质量技术基础</w:t>
      </w:r>
      <w:bookmarkEnd w:id="139"/>
      <w:bookmarkEnd w:id="140"/>
      <w:bookmarkStart w:id="141" w:name="_Toc7181"/>
      <w:bookmarkStart w:id="142" w:name="_Toc19329"/>
    </w:p>
    <w:p w14:paraId="1BC80FB7">
      <w:pPr>
        <w:spacing w:line="576" w:lineRule="exact"/>
        <w:ind w:firstLine="632" w:firstLineChars="200"/>
        <w:rPr>
          <w:rStyle w:val="12"/>
          <w:rFonts w:ascii="楷体_GB2312" w:hAnsi="宋体" w:eastAsia="楷体_GB2312" w:cs="Times New Roman"/>
          <w:b/>
          <w:bCs/>
          <w:snapToGrid w:val="0"/>
          <w:color w:val="000000"/>
          <w:kern w:val="0"/>
        </w:rPr>
      </w:pPr>
      <w:r>
        <w:rPr>
          <w:rStyle w:val="12"/>
          <w:rFonts w:hint="eastAsia" w:ascii="楷体_GB2312" w:hAnsi="宋体" w:eastAsia="楷体_GB2312" w:cs="楷体_GB2312"/>
          <w:snapToGrid w:val="0"/>
          <w:color w:val="000000"/>
          <w:kern w:val="0"/>
        </w:rPr>
        <w:t>（一）不断夯实计量基础</w:t>
      </w:r>
      <w:bookmarkEnd w:id="141"/>
      <w:bookmarkEnd w:id="142"/>
    </w:p>
    <w:p w14:paraId="10F171B9">
      <w:pPr>
        <w:spacing w:line="576" w:lineRule="exact"/>
        <w:ind w:firstLine="632" w:firstLineChars="200"/>
        <w:jc w:val="left"/>
        <w:rPr>
          <w:rFonts w:ascii="仿宋_GB2312" w:hAnsi="Arial" w:cs="Times New Roman"/>
          <w:snapToGrid w:val="0"/>
          <w:color w:val="000000"/>
          <w:kern w:val="0"/>
        </w:rPr>
      </w:pPr>
      <w:r>
        <w:rPr>
          <w:rFonts w:hint="eastAsia" w:ascii="仿宋_GB2312" w:hAnsi="Arial" w:cs="仿宋_GB2312"/>
          <w:snapToGrid w:val="0"/>
          <w:color w:val="000000"/>
          <w:kern w:val="0"/>
        </w:rPr>
        <w:t>把握计量科技发展趋势，加强计量标准装置更新改造步伐，全面提升计量技术机构基础支撑能力和服务能力。加强对社会公用计量标准的监督管理，确保量值传递准确可靠。强化重点领域计量监督检查，建立健全定量包装商品监督检查机制。在服务业领域持续推进诚信计量体系建设，推动经营者开展诚信计量自我承诺活动，培育诚信计量示范单位。加强能源计量监督，帮助用能单位实现节能减排增效目标。加强工业企业计量监督，指导企业完善计量检测手段，提升企业检验检测水平。</w:t>
      </w:r>
      <w:bookmarkStart w:id="143" w:name="_Toc2562"/>
      <w:bookmarkStart w:id="144" w:name="_Toc7729"/>
    </w:p>
    <w:p w14:paraId="64FD08F9">
      <w:pPr>
        <w:spacing w:line="576" w:lineRule="exact"/>
        <w:ind w:firstLine="632" w:firstLineChars="200"/>
        <w:jc w:val="left"/>
        <w:rPr>
          <w:rStyle w:val="12"/>
          <w:rFonts w:ascii="楷体_GB2312" w:hAnsi="宋体" w:eastAsia="楷体_GB2312" w:cs="Times New Roman"/>
          <w:b/>
          <w:bCs/>
          <w:snapToGrid w:val="0"/>
          <w:color w:val="000000"/>
          <w:kern w:val="0"/>
        </w:rPr>
      </w:pPr>
      <w:r>
        <w:rPr>
          <w:rStyle w:val="12"/>
          <w:rFonts w:hint="eastAsia" w:ascii="楷体_GB2312" w:hAnsi="宋体" w:eastAsia="楷体_GB2312" w:cs="楷体_GB2312"/>
          <w:snapToGrid w:val="0"/>
          <w:color w:val="000000"/>
          <w:kern w:val="0"/>
        </w:rPr>
        <w:t>（二）不断夯实标准基础</w:t>
      </w:r>
      <w:bookmarkEnd w:id="143"/>
      <w:bookmarkEnd w:id="144"/>
    </w:p>
    <w:p w14:paraId="70DA24EC">
      <w:pPr>
        <w:spacing w:line="576" w:lineRule="exact"/>
        <w:ind w:firstLine="641"/>
        <w:jc w:val="left"/>
        <w:rPr>
          <w:rFonts w:ascii="仿宋_GB2312" w:hAnsi="Arial" w:cs="Times New Roman"/>
          <w:snapToGrid w:val="0"/>
          <w:color w:val="000000"/>
          <w:kern w:val="0"/>
        </w:rPr>
      </w:pPr>
      <w:r>
        <w:rPr>
          <w:rFonts w:hint="eastAsia" w:ascii="仿宋_GB2312" w:hAnsi="Arial" w:cs="仿宋_GB2312"/>
          <w:snapToGrid w:val="0"/>
          <w:color w:val="000000"/>
          <w:kern w:val="0"/>
        </w:rPr>
        <w:t>深化标准化改革，放开搞活标准制定，突出政府制定标准的公益属性，鼓励企业自行制定标准。优化完善推荐性标准，发挥强制性标准的技术法规作用，配合国家整合精简强制性标准，强化强制性标准实施的有效性。提高社区服务标准化、公共服务标准化科技成果转化和应用水平，加快城乡公共服务均等化和城乡发展一体化建设。落实企业标准主体责任，把企业标准承诺纳入诚信体系建设。提升地方标准、团体标准的权威性和认可度，强化标准化在推进城市发展、社会治理和经济社会发展中的引领、规范作用。</w:t>
      </w:r>
      <w:bookmarkStart w:id="145" w:name="_Toc27068"/>
      <w:bookmarkStart w:id="146" w:name="_Toc27240"/>
    </w:p>
    <w:p w14:paraId="2FD90844">
      <w:pPr>
        <w:spacing w:line="576" w:lineRule="exact"/>
        <w:ind w:firstLine="641"/>
        <w:jc w:val="left"/>
        <w:rPr>
          <w:rStyle w:val="12"/>
          <w:rFonts w:ascii="楷体_GB2312" w:hAnsi="宋体" w:eastAsia="楷体_GB2312" w:cs="Times New Roman"/>
          <w:b/>
          <w:bCs/>
          <w:snapToGrid w:val="0"/>
          <w:color w:val="000000"/>
          <w:kern w:val="0"/>
        </w:rPr>
      </w:pPr>
      <w:r>
        <w:rPr>
          <w:rStyle w:val="12"/>
          <w:rFonts w:hint="eastAsia" w:ascii="楷体_GB2312" w:hAnsi="宋体" w:eastAsia="楷体_GB2312" w:cs="楷体_GB2312"/>
          <w:snapToGrid w:val="0"/>
          <w:color w:val="000000"/>
          <w:kern w:val="0"/>
        </w:rPr>
        <w:t>（三）不断夯实认证认可基础</w:t>
      </w:r>
      <w:bookmarkEnd w:id="145"/>
      <w:bookmarkEnd w:id="146"/>
    </w:p>
    <w:p w14:paraId="0A50E700">
      <w:pPr>
        <w:spacing w:line="576" w:lineRule="exact"/>
        <w:ind w:firstLine="632" w:firstLineChars="200"/>
        <w:rPr>
          <w:rStyle w:val="12"/>
          <w:rFonts w:ascii="仿宋_GB2312" w:hAnsi="宋体" w:cs="Times New Roman"/>
          <w:snapToGrid w:val="0"/>
          <w:color w:val="000000"/>
          <w:kern w:val="0"/>
        </w:rPr>
      </w:pPr>
      <w:r>
        <w:rPr>
          <w:rFonts w:hint="eastAsia" w:ascii="仿宋_GB2312" w:hAnsi="Arial" w:cs="仿宋_GB2312"/>
          <w:snapToGrid w:val="0"/>
          <w:color w:val="000000"/>
          <w:kern w:val="0"/>
        </w:rPr>
        <w:t>加快推进现代物流、金融、电子商务、商务服务、信息服务、旅游等现代服务领域认证，提高服务质量和水平。积极培育市场主体，支持认证认可机构、实验室和检测机构等向规模化、专业化、品牌化的方向发展，提升认证认可服务能力。强化节能、节水、可再生资源和环境标志产品认证。推进强制性产品、有机产品、绿色食品、无公害农产品等产品认证和</w:t>
      </w:r>
      <w:r>
        <w:rPr>
          <w:rFonts w:ascii="仿宋_GB2312" w:hAnsi="Arial" w:cs="仿宋_GB2312"/>
          <w:snapToGrid w:val="0"/>
          <w:color w:val="000000"/>
          <w:kern w:val="0"/>
        </w:rPr>
        <w:t>ISO9001</w:t>
      </w:r>
      <w:r>
        <w:rPr>
          <w:rFonts w:hint="eastAsia" w:ascii="仿宋_GB2312" w:hAnsi="Arial" w:cs="仿宋_GB2312"/>
          <w:snapToGrid w:val="0"/>
          <w:color w:val="000000"/>
          <w:kern w:val="0"/>
        </w:rPr>
        <w:t>质量管理体系等管理体系认证，加强对认证企业的有效性监管。</w:t>
      </w:r>
      <w:bookmarkStart w:id="147" w:name="_Toc25578"/>
      <w:bookmarkStart w:id="148" w:name="_Toc18975"/>
    </w:p>
    <w:p w14:paraId="36D97894">
      <w:pPr>
        <w:spacing w:line="576" w:lineRule="exact"/>
        <w:ind w:firstLine="632" w:firstLineChars="200"/>
        <w:rPr>
          <w:rStyle w:val="12"/>
          <w:rFonts w:ascii="楷体_GB2312" w:hAnsi="宋体" w:eastAsia="楷体_GB2312" w:cs="Times New Roman"/>
          <w:b/>
          <w:bCs/>
          <w:snapToGrid w:val="0"/>
          <w:color w:val="000000"/>
          <w:kern w:val="0"/>
        </w:rPr>
      </w:pPr>
      <w:r>
        <w:rPr>
          <w:rStyle w:val="12"/>
          <w:rFonts w:hint="eastAsia" w:ascii="楷体_GB2312" w:hAnsi="宋体" w:eastAsia="楷体_GB2312" w:cs="楷体_GB2312"/>
          <w:snapToGrid w:val="0"/>
          <w:color w:val="000000"/>
          <w:kern w:val="0"/>
        </w:rPr>
        <w:t>（四）不断夯实检验检测基础</w:t>
      </w:r>
      <w:bookmarkEnd w:id="147"/>
      <w:bookmarkEnd w:id="148"/>
    </w:p>
    <w:p w14:paraId="57741B9C">
      <w:pPr>
        <w:spacing w:line="576" w:lineRule="exact"/>
        <w:ind w:firstLine="632" w:firstLineChars="200"/>
        <w:jc w:val="left"/>
        <w:rPr>
          <w:rFonts w:ascii="仿宋_GB2312" w:hAnsi="Arial" w:cs="Times New Roman"/>
          <w:snapToGrid w:val="0"/>
          <w:color w:val="000000"/>
          <w:kern w:val="0"/>
        </w:rPr>
      </w:pPr>
      <w:r>
        <w:rPr>
          <w:rFonts w:hint="eastAsia" w:ascii="仿宋_GB2312" w:hAnsi="Arial" w:cs="仿宋_GB2312"/>
          <w:snapToGrid w:val="0"/>
          <w:color w:val="000000"/>
          <w:kern w:val="0"/>
        </w:rPr>
        <w:t>大力加强公共检验检测平台建设，推动政府实验室与社会实验室、企业实验室的合作。健全与全市产业相适应，布局合理的国家、省级检验检测中心、重点实验室，提升融合技术研发、分析试验、标准研制、培训咨询功能的质量管理、计量测试、标准化、认证认可等公共技术服务平台。推进市、县（区）两级跨部门、跨行业公共检验检测机构和企业检验检测中心、重点实验室、评价实验室的改革和整合，改进服务模式，延伸服务链条，强化服务意识，提高服务质量，形成具有业务申报系统、信息服务系统、检验检测业务数据库、检验检测业务监督管理系统、软硬件及网络平台组成的检验检测服务体系，探索建设检验检测产业园，打造广元检验检测品牌。</w:t>
      </w:r>
      <w:bookmarkStart w:id="149" w:name="_Toc29980"/>
      <w:bookmarkStart w:id="150" w:name="_Toc7156"/>
    </w:p>
    <w:p w14:paraId="57B83573">
      <w:pPr>
        <w:spacing w:line="576" w:lineRule="exact"/>
        <w:ind w:firstLine="632" w:firstLineChars="200"/>
        <w:jc w:val="left"/>
        <w:rPr>
          <w:rFonts w:ascii="仿宋_GB2312" w:hAnsi="Arial" w:cs="Times New Roman"/>
          <w:snapToGrid w:val="0"/>
          <w:color w:val="000000"/>
          <w:kern w:val="0"/>
        </w:rPr>
      </w:pPr>
    </w:p>
    <w:tbl>
      <w:tblPr>
        <w:tblStyle w:val="10"/>
        <w:tblW w:w="8946"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6"/>
      </w:tblGrid>
      <w:tr w14:paraId="6C632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8946" w:type="dxa"/>
            <w:vAlign w:val="center"/>
          </w:tcPr>
          <w:p w14:paraId="25981694">
            <w:pPr>
              <w:spacing w:line="300" w:lineRule="exact"/>
              <w:jc w:val="center"/>
              <w:rPr>
                <w:rFonts w:ascii="黑体" w:hAnsi="Arial" w:eastAsia="黑体" w:cs="Times New Roman"/>
                <w:snapToGrid w:val="0"/>
                <w:color w:val="000000"/>
                <w:kern w:val="0"/>
                <w:sz w:val="28"/>
                <w:szCs w:val="28"/>
              </w:rPr>
            </w:pPr>
            <w:r>
              <w:rPr>
                <w:rFonts w:hint="eastAsia" w:ascii="黑体" w:hAnsi="Arial" w:eastAsia="黑体" w:cs="黑体"/>
                <w:snapToGrid w:val="0"/>
                <w:color w:val="000000"/>
                <w:kern w:val="0"/>
                <w:sz w:val="28"/>
                <w:szCs w:val="28"/>
              </w:rPr>
              <w:t>专栏</w:t>
            </w:r>
            <w:r>
              <w:rPr>
                <w:rFonts w:ascii="黑体" w:hAnsi="Arial" w:eastAsia="黑体" w:cs="黑体"/>
                <w:snapToGrid w:val="0"/>
                <w:color w:val="000000"/>
                <w:kern w:val="0"/>
                <w:sz w:val="28"/>
                <w:szCs w:val="28"/>
              </w:rPr>
              <w:t xml:space="preserve">10  </w:t>
            </w:r>
            <w:r>
              <w:rPr>
                <w:rFonts w:hint="eastAsia" w:ascii="黑体" w:hAnsi="Arial" w:eastAsia="黑体" w:cs="黑体"/>
                <w:snapToGrid w:val="0"/>
                <w:color w:val="000000"/>
                <w:kern w:val="0"/>
                <w:sz w:val="28"/>
                <w:szCs w:val="28"/>
              </w:rPr>
              <w:t>夯实质量技术基础项目</w:t>
            </w:r>
          </w:p>
        </w:tc>
      </w:tr>
      <w:tr w14:paraId="28C16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6" w:type="dxa"/>
          </w:tcPr>
          <w:p w14:paraId="6920C8B6">
            <w:pPr>
              <w:spacing w:line="300" w:lineRule="exact"/>
              <w:ind w:firstLine="354" w:firstLineChars="150"/>
              <w:rPr>
                <w:rFonts w:ascii="仿宋_GB2312" w:hAnsi="Arial" w:cs="Times New Roman"/>
                <w:snapToGrid w:val="0"/>
                <w:color w:val="000000"/>
                <w:kern w:val="0"/>
                <w:sz w:val="24"/>
                <w:szCs w:val="24"/>
              </w:rPr>
            </w:pPr>
            <w:r>
              <w:rPr>
                <w:rFonts w:ascii="仿宋_GB2312" w:hAnsi="Arial" w:cs="仿宋_GB2312"/>
                <w:snapToGrid w:val="0"/>
                <w:color w:val="000000"/>
                <w:kern w:val="0"/>
                <w:sz w:val="24"/>
                <w:szCs w:val="24"/>
              </w:rPr>
              <w:t>1.</w:t>
            </w:r>
            <w:r>
              <w:rPr>
                <w:rFonts w:hint="eastAsia" w:ascii="仿宋_GB2312" w:hAnsi="Arial" w:cs="仿宋_GB2312"/>
                <w:snapToGrid w:val="0"/>
                <w:color w:val="000000"/>
                <w:kern w:val="0"/>
                <w:sz w:val="24"/>
                <w:szCs w:val="24"/>
              </w:rPr>
              <w:t>重点实验室建设项目。围绕优势重点特色产业发展、民生重大需求和创新领域，推动豆制品检验检测中心、铝制品质量检验检测中心、食品药品检验检测中心、全国杜仲检验中心、煤及矿产品质量检验能力提升建设项目、膜式燃气表检定中心建设项目等重点项目建设。新增</w:t>
            </w:r>
            <w:r>
              <w:rPr>
                <w:rFonts w:ascii="仿宋_GB2312" w:hAnsi="Arial" w:cs="仿宋_GB2312"/>
                <w:snapToGrid w:val="0"/>
                <w:color w:val="000000"/>
                <w:kern w:val="0"/>
                <w:sz w:val="24"/>
                <w:szCs w:val="24"/>
              </w:rPr>
              <w:t>1</w:t>
            </w:r>
            <w:r>
              <w:rPr>
                <w:rFonts w:hint="eastAsia" w:ascii="仿宋_GB2312" w:hAnsi="Arial" w:cs="仿宋_GB2312"/>
                <w:snapToGrid w:val="0"/>
                <w:color w:val="000000"/>
                <w:kern w:val="0"/>
                <w:sz w:val="24"/>
                <w:szCs w:val="24"/>
              </w:rPr>
              <w:t>个国家级企业工程技术研究中心、</w:t>
            </w:r>
            <w:r>
              <w:rPr>
                <w:rFonts w:ascii="仿宋_GB2312" w:hAnsi="Arial" w:cs="仿宋_GB2312"/>
                <w:snapToGrid w:val="0"/>
                <w:color w:val="000000"/>
                <w:kern w:val="0"/>
                <w:sz w:val="24"/>
                <w:szCs w:val="24"/>
              </w:rPr>
              <w:t>1-3</w:t>
            </w:r>
            <w:r>
              <w:rPr>
                <w:rFonts w:hint="eastAsia" w:ascii="仿宋_GB2312" w:hAnsi="Arial" w:cs="仿宋_GB2312"/>
                <w:snapToGrid w:val="0"/>
                <w:color w:val="000000"/>
                <w:kern w:val="0"/>
                <w:sz w:val="24"/>
                <w:szCs w:val="24"/>
              </w:rPr>
              <w:t>个省级企业工程技术研究中心、</w:t>
            </w:r>
            <w:r>
              <w:rPr>
                <w:rFonts w:ascii="仿宋_GB2312" w:hAnsi="Arial" w:cs="仿宋_GB2312"/>
                <w:snapToGrid w:val="0"/>
                <w:color w:val="000000"/>
                <w:kern w:val="0"/>
                <w:sz w:val="24"/>
                <w:szCs w:val="24"/>
              </w:rPr>
              <w:t xml:space="preserve"> 20</w:t>
            </w:r>
            <w:r>
              <w:rPr>
                <w:rFonts w:hint="eastAsia" w:ascii="仿宋_GB2312" w:hAnsi="Arial" w:cs="仿宋_GB2312"/>
                <w:snapToGrid w:val="0"/>
                <w:color w:val="000000"/>
                <w:kern w:val="0"/>
                <w:sz w:val="24"/>
                <w:szCs w:val="24"/>
              </w:rPr>
              <w:t>个市级企业工程技术研究中心。</w:t>
            </w:r>
          </w:p>
          <w:p w14:paraId="1EEAA8D9">
            <w:pPr>
              <w:spacing w:line="300" w:lineRule="exact"/>
              <w:ind w:firstLine="354" w:firstLineChars="150"/>
              <w:rPr>
                <w:rFonts w:ascii="仿宋_GB2312" w:hAnsi="Arial" w:cs="Times New Roman"/>
                <w:snapToGrid w:val="0"/>
                <w:color w:val="000000"/>
                <w:kern w:val="0"/>
                <w:sz w:val="24"/>
                <w:szCs w:val="24"/>
              </w:rPr>
            </w:pPr>
            <w:r>
              <w:rPr>
                <w:rFonts w:ascii="仿宋_GB2312" w:hAnsi="Arial" w:cs="仿宋_GB2312"/>
                <w:snapToGrid w:val="0"/>
                <w:color w:val="000000"/>
                <w:kern w:val="0"/>
                <w:sz w:val="24"/>
                <w:szCs w:val="24"/>
              </w:rPr>
              <w:t>2.</w:t>
            </w:r>
            <w:r>
              <w:rPr>
                <w:rFonts w:hint="eastAsia" w:ascii="仿宋_GB2312" w:hAnsi="Arial" w:cs="仿宋_GB2312"/>
                <w:snapToGrid w:val="0"/>
                <w:color w:val="000000"/>
                <w:kern w:val="0"/>
                <w:sz w:val="24"/>
                <w:szCs w:val="24"/>
              </w:rPr>
              <w:t>标准项目。通过完善标准实施推进机制、强化企业标准实施主体责任，开展“质量对标提升行动”等措施，新建省级以上标准化试点示范项目</w:t>
            </w:r>
            <w:r>
              <w:rPr>
                <w:rFonts w:ascii="仿宋_GB2312" w:hAnsi="Arial" w:cs="仿宋_GB2312"/>
                <w:snapToGrid w:val="0"/>
                <w:color w:val="000000"/>
                <w:kern w:val="0"/>
                <w:sz w:val="24"/>
                <w:szCs w:val="24"/>
              </w:rPr>
              <w:t>6</w:t>
            </w:r>
            <w:r>
              <w:rPr>
                <w:rFonts w:hint="eastAsia" w:ascii="仿宋_GB2312" w:hAnsi="Arial" w:cs="仿宋_GB2312"/>
                <w:snapToGrid w:val="0"/>
                <w:color w:val="000000"/>
                <w:kern w:val="0"/>
                <w:sz w:val="24"/>
                <w:szCs w:val="24"/>
              </w:rPr>
              <w:t>个；主导和参与制定国家、行业标准</w:t>
            </w:r>
            <w:r>
              <w:rPr>
                <w:rFonts w:ascii="仿宋_GB2312" w:hAnsi="Arial" w:cs="仿宋_GB2312"/>
                <w:snapToGrid w:val="0"/>
                <w:color w:val="000000"/>
                <w:kern w:val="0"/>
                <w:sz w:val="24"/>
                <w:szCs w:val="24"/>
              </w:rPr>
              <w:t>2</w:t>
            </w:r>
            <w:r>
              <w:rPr>
                <w:rFonts w:hint="eastAsia" w:ascii="仿宋_GB2312" w:hAnsi="Arial" w:cs="仿宋_GB2312"/>
                <w:snapToGrid w:val="0"/>
                <w:color w:val="000000"/>
                <w:kern w:val="0"/>
                <w:sz w:val="24"/>
                <w:szCs w:val="24"/>
              </w:rPr>
              <w:t>项，批准发布区域性地方标准</w:t>
            </w:r>
            <w:r>
              <w:rPr>
                <w:rFonts w:ascii="仿宋_GB2312" w:hAnsi="Arial" w:cs="仿宋_GB2312"/>
                <w:snapToGrid w:val="0"/>
                <w:color w:val="000000"/>
                <w:kern w:val="0"/>
                <w:sz w:val="24"/>
                <w:szCs w:val="24"/>
              </w:rPr>
              <w:t>40</w:t>
            </w:r>
            <w:r>
              <w:rPr>
                <w:rFonts w:hint="eastAsia" w:ascii="仿宋_GB2312" w:hAnsi="Arial" w:cs="仿宋_GB2312"/>
                <w:snapToGrid w:val="0"/>
                <w:color w:val="000000"/>
                <w:kern w:val="0"/>
                <w:sz w:val="24"/>
                <w:szCs w:val="24"/>
              </w:rPr>
              <w:t>项，培育团体标准</w:t>
            </w:r>
            <w:r>
              <w:rPr>
                <w:rFonts w:ascii="仿宋_GB2312" w:hAnsi="Arial" w:cs="仿宋_GB2312"/>
                <w:snapToGrid w:val="0"/>
                <w:color w:val="000000"/>
                <w:kern w:val="0"/>
                <w:sz w:val="24"/>
                <w:szCs w:val="24"/>
              </w:rPr>
              <w:t>10</w:t>
            </w:r>
            <w:r>
              <w:rPr>
                <w:rFonts w:hint="eastAsia" w:ascii="仿宋_GB2312" w:hAnsi="Arial" w:cs="仿宋_GB2312"/>
                <w:snapToGrid w:val="0"/>
                <w:color w:val="000000"/>
                <w:kern w:val="0"/>
                <w:sz w:val="24"/>
                <w:szCs w:val="24"/>
              </w:rPr>
              <w:t>项；企业产品标准自我声明公开率达</w:t>
            </w:r>
            <w:r>
              <w:rPr>
                <w:rFonts w:ascii="仿宋_GB2312" w:hAnsi="Arial" w:cs="仿宋_GB2312"/>
                <w:snapToGrid w:val="0"/>
                <w:color w:val="000000"/>
                <w:kern w:val="0"/>
                <w:sz w:val="24"/>
                <w:szCs w:val="24"/>
              </w:rPr>
              <w:t>100%</w:t>
            </w:r>
            <w:r>
              <w:rPr>
                <w:rFonts w:hint="eastAsia" w:ascii="仿宋_GB2312" w:hAnsi="Arial" w:cs="仿宋_GB2312"/>
                <w:snapToGrid w:val="0"/>
                <w:color w:val="000000"/>
                <w:kern w:val="0"/>
                <w:sz w:val="24"/>
                <w:szCs w:val="24"/>
              </w:rPr>
              <w:t>；培训标准化专业技术人员</w:t>
            </w:r>
            <w:r>
              <w:rPr>
                <w:rFonts w:ascii="仿宋_GB2312" w:hAnsi="Arial" w:cs="仿宋_GB2312"/>
                <w:snapToGrid w:val="0"/>
                <w:color w:val="000000"/>
                <w:kern w:val="0"/>
                <w:sz w:val="24"/>
                <w:szCs w:val="24"/>
              </w:rPr>
              <w:t>300</w:t>
            </w:r>
            <w:r>
              <w:rPr>
                <w:rFonts w:hint="eastAsia" w:ascii="仿宋_GB2312" w:hAnsi="Arial" w:cs="仿宋_GB2312"/>
                <w:snapToGrid w:val="0"/>
                <w:color w:val="000000"/>
                <w:kern w:val="0"/>
                <w:sz w:val="24"/>
                <w:szCs w:val="24"/>
              </w:rPr>
              <w:t>人次以上。</w:t>
            </w:r>
          </w:p>
          <w:p w14:paraId="30B1E7AF">
            <w:pPr>
              <w:spacing w:line="300" w:lineRule="exact"/>
              <w:ind w:firstLine="354" w:firstLineChars="150"/>
              <w:jc w:val="left"/>
              <w:rPr>
                <w:rFonts w:ascii="仿宋_GB2312" w:cs="Times New Roman"/>
                <w:snapToGrid w:val="0"/>
                <w:color w:val="000000"/>
                <w:kern w:val="0"/>
                <w:sz w:val="24"/>
                <w:szCs w:val="24"/>
                <w:u w:val="single"/>
              </w:rPr>
            </w:pPr>
            <w:r>
              <w:rPr>
                <w:rFonts w:ascii="仿宋_GB2312" w:hAnsi="Arial" w:cs="仿宋_GB2312"/>
                <w:snapToGrid w:val="0"/>
                <w:color w:val="000000"/>
                <w:kern w:val="0"/>
                <w:sz w:val="24"/>
                <w:szCs w:val="24"/>
              </w:rPr>
              <w:t>3.</w:t>
            </w:r>
            <w:r>
              <w:rPr>
                <w:rFonts w:hint="eastAsia" w:ascii="仿宋_GB2312" w:hAnsi="Arial" w:cs="仿宋_GB2312"/>
                <w:snapToGrid w:val="0"/>
                <w:color w:val="000000"/>
                <w:kern w:val="0"/>
                <w:sz w:val="24"/>
                <w:szCs w:val="24"/>
              </w:rPr>
              <w:t>认证认可项目。开展有机产品认证示范区创建活动，大力推广有机种养和加工，积极开展有机产品认证。质量管理体系认证达</w:t>
            </w:r>
            <w:r>
              <w:rPr>
                <w:rFonts w:ascii="仿宋_GB2312" w:hAnsi="Arial" w:cs="仿宋_GB2312"/>
                <w:snapToGrid w:val="0"/>
                <w:color w:val="000000"/>
                <w:kern w:val="0"/>
                <w:sz w:val="24"/>
                <w:szCs w:val="24"/>
              </w:rPr>
              <w:t>100</w:t>
            </w:r>
            <w:r>
              <w:rPr>
                <w:rFonts w:hint="eastAsia" w:ascii="仿宋_GB2312" w:hAnsi="Arial" w:cs="仿宋_GB2312"/>
                <w:snapToGrid w:val="0"/>
                <w:color w:val="000000"/>
                <w:kern w:val="0"/>
                <w:sz w:val="24"/>
                <w:szCs w:val="24"/>
              </w:rPr>
              <w:t>家以上，环境管理体系认证达</w:t>
            </w:r>
            <w:r>
              <w:rPr>
                <w:rFonts w:ascii="仿宋_GB2312" w:hAnsi="Arial" w:cs="仿宋_GB2312"/>
                <w:snapToGrid w:val="0"/>
                <w:color w:val="000000"/>
                <w:kern w:val="0"/>
                <w:sz w:val="24"/>
                <w:szCs w:val="24"/>
              </w:rPr>
              <w:t>50</w:t>
            </w:r>
            <w:r>
              <w:rPr>
                <w:rFonts w:hint="eastAsia" w:ascii="仿宋_GB2312" w:hAnsi="Arial" w:cs="仿宋_GB2312"/>
                <w:snapToGrid w:val="0"/>
                <w:color w:val="000000"/>
                <w:kern w:val="0"/>
                <w:sz w:val="24"/>
                <w:szCs w:val="24"/>
              </w:rPr>
              <w:t>家以上，职业健康管理体系认证达</w:t>
            </w:r>
            <w:r>
              <w:rPr>
                <w:rFonts w:ascii="仿宋_GB2312" w:hAnsi="Arial" w:cs="仿宋_GB2312"/>
                <w:snapToGrid w:val="0"/>
                <w:color w:val="000000"/>
                <w:kern w:val="0"/>
                <w:sz w:val="24"/>
                <w:szCs w:val="24"/>
              </w:rPr>
              <w:t>30</w:t>
            </w:r>
            <w:r>
              <w:rPr>
                <w:rFonts w:hint="eastAsia" w:ascii="仿宋_GB2312" w:hAnsi="Arial" w:cs="仿宋_GB2312"/>
                <w:snapToGrid w:val="0"/>
                <w:color w:val="000000"/>
                <w:kern w:val="0"/>
                <w:sz w:val="24"/>
                <w:szCs w:val="24"/>
              </w:rPr>
              <w:t>家以上，食品企业</w:t>
            </w:r>
            <w:r>
              <w:rPr>
                <w:rFonts w:ascii="仿宋_GB2312" w:hAnsi="Arial" w:cs="仿宋_GB2312"/>
                <w:snapToGrid w:val="0"/>
                <w:color w:val="000000"/>
                <w:kern w:val="0"/>
                <w:sz w:val="24"/>
                <w:szCs w:val="24"/>
              </w:rPr>
              <w:t>HACCP</w:t>
            </w:r>
            <w:r>
              <w:rPr>
                <w:rFonts w:hint="eastAsia" w:ascii="仿宋_GB2312" w:hAnsi="Arial" w:cs="仿宋_GB2312"/>
                <w:snapToGrid w:val="0"/>
                <w:color w:val="000000"/>
                <w:kern w:val="0"/>
                <w:sz w:val="24"/>
                <w:szCs w:val="24"/>
              </w:rPr>
              <w:t>认证或食品安全管理体系认证达</w:t>
            </w:r>
            <w:r>
              <w:rPr>
                <w:rFonts w:ascii="仿宋_GB2312" w:hAnsi="Arial" w:cs="仿宋_GB2312"/>
                <w:snapToGrid w:val="0"/>
                <w:color w:val="000000"/>
                <w:kern w:val="0"/>
                <w:sz w:val="24"/>
                <w:szCs w:val="24"/>
              </w:rPr>
              <w:t>10</w:t>
            </w:r>
            <w:r>
              <w:rPr>
                <w:rFonts w:hint="eastAsia" w:ascii="仿宋_GB2312" w:hAnsi="Arial" w:cs="仿宋_GB2312"/>
                <w:snapToGrid w:val="0"/>
                <w:color w:val="000000"/>
                <w:kern w:val="0"/>
                <w:sz w:val="24"/>
                <w:szCs w:val="24"/>
              </w:rPr>
              <w:t>家以上，检验检测机构实验室资质认定达</w:t>
            </w:r>
            <w:r>
              <w:rPr>
                <w:rFonts w:ascii="仿宋_GB2312" w:hAnsi="Arial" w:cs="仿宋_GB2312"/>
                <w:snapToGrid w:val="0"/>
                <w:color w:val="000000"/>
                <w:kern w:val="0"/>
                <w:sz w:val="24"/>
                <w:szCs w:val="24"/>
              </w:rPr>
              <w:t>60</w:t>
            </w:r>
            <w:r>
              <w:rPr>
                <w:rFonts w:hint="eastAsia" w:ascii="仿宋_GB2312" w:hAnsi="Arial" w:cs="仿宋_GB2312"/>
                <w:snapToGrid w:val="0"/>
                <w:color w:val="000000"/>
                <w:kern w:val="0"/>
                <w:sz w:val="24"/>
                <w:szCs w:val="24"/>
              </w:rPr>
              <w:t>家以上。</w:t>
            </w:r>
          </w:p>
        </w:tc>
      </w:tr>
    </w:tbl>
    <w:p w14:paraId="41D2B6BF">
      <w:pPr>
        <w:spacing w:line="576" w:lineRule="exact"/>
        <w:ind w:firstLine="632" w:firstLineChars="200"/>
        <w:jc w:val="left"/>
        <w:rPr>
          <w:rStyle w:val="12"/>
          <w:rFonts w:ascii="黑体" w:hAnsi="宋体" w:eastAsia="黑体" w:cs="Times New Roman"/>
          <w:b/>
          <w:bCs/>
          <w:snapToGrid w:val="0"/>
          <w:color w:val="000000"/>
          <w:kern w:val="0"/>
        </w:rPr>
      </w:pPr>
      <w:r>
        <w:rPr>
          <w:rStyle w:val="12"/>
          <w:rFonts w:hint="eastAsia" w:ascii="黑体" w:hAnsi="宋体" w:eastAsia="黑体" w:cs="黑体"/>
          <w:snapToGrid w:val="0"/>
          <w:color w:val="000000"/>
          <w:kern w:val="0"/>
        </w:rPr>
        <w:t>四、持续强化三大质量责任</w:t>
      </w:r>
      <w:bookmarkEnd w:id="149"/>
      <w:bookmarkEnd w:id="150"/>
      <w:bookmarkStart w:id="151" w:name="_Toc26648"/>
      <w:bookmarkStart w:id="152" w:name="_Toc4133"/>
    </w:p>
    <w:p w14:paraId="1A9EC1E0">
      <w:pPr>
        <w:spacing w:line="576" w:lineRule="exact"/>
        <w:ind w:firstLine="632" w:firstLineChars="200"/>
        <w:jc w:val="left"/>
        <w:rPr>
          <w:rStyle w:val="12"/>
          <w:rFonts w:ascii="楷体_GB2312" w:hAnsi="宋体" w:eastAsia="楷体_GB2312" w:cs="Times New Roman"/>
          <w:b/>
          <w:bCs/>
          <w:snapToGrid w:val="0"/>
          <w:color w:val="000000"/>
          <w:kern w:val="0"/>
        </w:rPr>
      </w:pPr>
      <w:r>
        <w:rPr>
          <w:rStyle w:val="12"/>
          <w:rFonts w:hint="eastAsia" w:ascii="楷体_GB2312" w:hAnsi="宋体" w:eastAsia="楷体_GB2312" w:cs="楷体_GB2312"/>
          <w:snapToGrid w:val="0"/>
          <w:color w:val="000000"/>
          <w:kern w:val="0"/>
        </w:rPr>
        <w:t>（一）持续强化企业主体责任</w:t>
      </w:r>
      <w:bookmarkEnd w:id="151"/>
      <w:bookmarkEnd w:id="152"/>
    </w:p>
    <w:p w14:paraId="7279CB28">
      <w:pPr>
        <w:spacing w:line="576" w:lineRule="exact"/>
        <w:ind w:firstLine="632" w:firstLineChars="200"/>
        <w:jc w:val="left"/>
        <w:rPr>
          <w:rFonts w:ascii="仿宋_GB2312" w:hAnsi="Arial" w:cs="Times New Roman"/>
          <w:snapToGrid w:val="0"/>
          <w:color w:val="000000"/>
          <w:kern w:val="0"/>
        </w:rPr>
      </w:pPr>
      <w:r>
        <w:rPr>
          <w:rFonts w:hint="eastAsia" w:ascii="仿宋_GB2312" w:hAnsi="Arial" w:cs="仿宋_GB2312"/>
          <w:snapToGrid w:val="0"/>
          <w:color w:val="000000"/>
          <w:kern w:val="0"/>
        </w:rPr>
        <w:t>建立企业质量安全关键岗位责任制，落实质量首负责任制，实行质量安全一票否决制度。推行企业首席质量官、产品“三包”、缺陷产品强制召回制度，建立企业产品质量和服务标准自我声明公开与社会监督制度，落实企业质量担保责任，积极探索实施质量问题先行赔偿、质量责任保险、多元救济、质量安全约谈制度。在消费品生产企业中，探索建立产品和服务安全事故强制报告制度。</w:t>
      </w:r>
      <w:bookmarkStart w:id="153" w:name="_Toc16665"/>
      <w:bookmarkStart w:id="154" w:name="_Toc10684"/>
    </w:p>
    <w:p w14:paraId="28C806A2">
      <w:pPr>
        <w:spacing w:line="576" w:lineRule="exact"/>
        <w:ind w:firstLine="632" w:firstLineChars="200"/>
        <w:jc w:val="left"/>
        <w:rPr>
          <w:rStyle w:val="12"/>
          <w:rFonts w:ascii="楷体_GB2312" w:hAnsi="宋体" w:eastAsia="楷体_GB2312" w:cs="Times New Roman"/>
          <w:b/>
          <w:bCs/>
          <w:snapToGrid w:val="0"/>
          <w:color w:val="000000"/>
          <w:kern w:val="0"/>
        </w:rPr>
      </w:pPr>
      <w:r>
        <w:rPr>
          <w:rStyle w:val="12"/>
          <w:rFonts w:hint="eastAsia" w:ascii="楷体_GB2312" w:hAnsi="宋体" w:eastAsia="楷体_GB2312" w:cs="楷体_GB2312"/>
          <w:snapToGrid w:val="0"/>
          <w:color w:val="000000"/>
          <w:kern w:val="0"/>
        </w:rPr>
        <w:t>（二）持续强化政府监督管理责任</w:t>
      </w:r>
      <w:bookmarkEnd w:id="153"/>
      <w:bookmarkEnd w:id="154"/>
      <w:r>
        <w:rPr>
          <w:rStyle w:val="12"/>
          <w:rFonts w:ascii="楷体_GB2312" w:hAnsi="宋体" w:eastAsia="楷体_GB2312" w:cs="Times New Roman"/>
          <w:snapToGrid w:val="0"/>
          <w:color w:val="000000"/>
          <w:kern w:val="0"/>
        </w:rPr>
        <w:tab/>
      </w:r>
    </w:p>
    <w:p w14:paraId="1B38B11C">
      <w:pPr>
        <w:spacing w:line="576" w:lineRule="exact"/>
        <w:ind w:firstLine="641"/>
        <w:rPr>
          <w:rFonts w:ascii="仿宋_GB2312" w:hAnsi="Arial" w:cs="Times New Roman"/>
          <w:snapToGrid w:val="0"/>
          <w:color w:val="000000"/>
          <w:kern w:val="0"/>
        </w:rPr>
      </w:pPr>
      <w:r>
        <w:rPr>
          <w:rFonts w:hint="eastAsia" w:ascii="仿宋_GB2312" w:hAnsi="Arial" w:cs="仿宋_GB2312"/>
          <w:snapToGrid w:val="0"/>
          <w:color w:val="000000"/>
          <w:kern w:val="0"/>
        </w:rPr>
        <w:t>严格质量安全监督管理。加强对关系国计民生、健康安全、节能环保的重点产品、重大设备、重点工程及重点服务项目的监管。强化城乡结合部和农村市场等重点区域产品质量安全监管。加强对食品、药品、危险化学品、特种设备、农业生产资料、建筑材料、日用消费品的监督检查。完善生产许可、强制性产品认证、重大设备监理、进出口商品法定检验、特种设备安全监察、登记管理等监管制度。完善和落实质量安全追溯、召回、区域监管和责任追究制度，健全质量安全监管长效机制，提高质量安全防控能力。</w:t>
      </w:r>
    </w:p>
    <w:p w14:paraId="3266C409">
      <w:pPr>
        <w:spacing w:line="576" w:lineRule="exact"/>
        <w:ind w:firstLine="641"/>
        <w:rPr>
          <w:rFonts w:ascii="仿宋_GB2312" w:hAnsi="Arial" w:cs="Times New Roman"/>
          <w:snapToGrid w:val="0"/>
          <w:color w:val="000000"/>
          <w:kern w:val="0"/>
        </w:rPr>
      </w:pPr>
      <w:r>
        <w:rPr>
          <w:rFonts w:hint="eastAsia" w:ascii="仿宋_GB2312" w:hAnsi="Arial" w:cs="仿宋_GB2312"/>
          <w:snapToGrid w:val="0"/>
          <w:color w:val="000000"/>
          <w:kern w:val="0"/>
        </w:rPr>
        <w:t>加强质量安全风险管理。建立和实施质量安全风险评估、监测、预警、信息通报和应急处置机制，增强事前防范、事中控制和事后处置的能力。</w:t>
      </w:r>
    </w:p>
    <w:p w14:paraId="785EC990">
      <w:pPr>
        <w:spacing w:line="576" w:lineRule="exact"/>
        <w:ind w:firstLine="641"/>
        <w:rPr>
          <w:rFonts w:ascii="仿宋_GB2312" w:hAnsi="Arial" w:cs="Times New Roman"/>
          <w:snapToGrid w:val="0"/>
          <w:color w:val="000000"/>
          <w:kern w:val="0"/>
        </w:rPr>
      </w:pPr>
      <w:r>
        <w:rPr>
          <w:rFonts w:hint="eastAsia" w:ascii="仿宋_GB2312" w:hAnsi="Arial" w:cs="仿宋_GB2312"/>
          <w:snapToGrid w:val="0"/>
          <w:color w:val="000000"/>
          <w:kern w:val="0"/>
        </w:rPr>
        <w:t>严厉打击质量违法行为。加大生产源头、经营环节的治理力度。加强对行业性、区域性产品质量和服务问题的集中整治。严厉查办制假售假和利用高科技手段从事质量违法活动，严厉打击危害公共安全、人身健康以及生命财产安全等质量违法行为。建立健全处置重大质量违法突发案件快速反应机制和执法联动机制，做好行政执法与刑事司法的有效衔接，加大质量违法行为的刑事司法打击力度。</w:t>
      </w:r>
      <w:bookmarkStart w:id="155" w:name="_Toc28475"/>
      <w:bookmarkStart w:id="156" w:name="_Toc8404"/>
    </w:p>
    <w:p w14:paraId="163150EC">
      <w:pPr>
        <w:spacing w:line="576" w:lineRule="exact"/>
        <w:ind w:firstLine="641"/>
        <w:rPr>
          <w:rStyle w:val="12"/>
          <w:rFonts w:ascii="楷体_GB2312" w:hAnsi="宋体" w:eastAsia="楷体_GB2312" w:cs="Times New Roman"/>
          <w:b/>
          <w:bCs/>
          <w:snapToGrid w:val="0"/>
          <w:color w:val="000000"/>
          <w:kern w:val="0"/>
        </w:rPr>
      </w:pPr>
      <w:r>
        <w:rPr>
          <w:rStyle w:val="12"/>
          <w:rFonts w:hint="eastAsia" w:ascii="楷体_GB2312" w:hAnsi="宋体" w:eastAsia="楷体_GB2312" w:cs="楷体_GB2312"/>
          <w:snapToGrid w:val="0"/>
          <w:color w:val="000000"/>
          <w:kern w:val="0"/>
        </w:rPr>
        <w:t>（三）持续强化社会共治责任</w:t>
      </w:r>
      <w:bookmarkEnd w:id="155"/>
      <w:bookmarkEnd w:id="156"/>
    </w:p>
    <w:p w14:paraId="07691154">
      <w:pPr>
        <w:spacing w:line="576" w:lineRule="exact"/>
        <w:ind w:firstLine="632" w:firstLineChars="200"/>
        <w:jc w:val="left"/>
        <w:rPr>
          <w:rFonts w:ascii="仿宋_GB2312" w:hAnsi="Arial" w:cs="Times New Roman"/>
          <w:snapToGrid w:val="0"/>
          <w:color w:val="000000"/>
          <w:kern w:val="0"/>
        </w:rPr>
      </w:pPr>
      <w:r>
        <w:rPr>
          <w:rFonts w:hint="eastAsia" w:ascii="仿宋_GB2312" w:hAnsi="Arial" w:cs="仿宋_GB2312"/>
          <w:snapToGrid w:val="0"/>
          <w:color w:val="000000"/>
          <w:kern w:val="0"/>
        </w:rPr>
        <w:t>完善消费者投诉和维权机制，推动建立质量安全有奖举报，惩罚性赔偿、公益诉讼以及小额诉讼等制度，鼓励消费者用法律手段维护自身权益。发挥行业组织的桥梁纽带作用，鼓励、支持行业组织积极参与质量监督，提供技术、标准、检验检疫、质量管理、品牌建设等咨询服务，及时反映企业及消费者的质量需求，引导行业诚信自律，促进行业规范发展。鼓励新闻媒体加强质量宣传和舆论监督，建立完善有效的舆论监督机制和信息沟通机制，强化政府主导、企业主体、行业自律、社会参与的质量社会共治责任，形成“人人重视质量、人人创造质量、人人享受质量”的社会氛围。</w:t>
      </w:r>
      <w:bookmarkStart w:id="157" w:name="_Toc9489"/>
      <w:bookmarkStart w:id="158" w:name="_Toc9248"/>
    </w:p>
    <w:p w14:paraId="5BDAE25D">
      <w:pPr>
        <w:spacing w:line="576" w:lineRule="exact"/>
        <w:ind w:firstLine="632" w:firstLineChars="200"/>
        <w:jc w:val="left"/>
        <w:rPr>
          <w:rStyle w:val="12"/>
          <w:rFonts w:ascii="黑体" w:hAnsi="宋体" w:eastAsia="黑体" w:cs="Times New Roman"/>
          <w:snapToGrid w:val="0"/>
          <w:color w:val="000000"/>
          <w:kern w:val="0"/>
        </w:rPr>
      </w:pPr>
    </w:p>
    <w:p w14:paraId="6B28B2C0">
      <w:pPr>
        <w:spacing w:line="576" w:lineRule="exact"/>
        <w:jc w:val="center"/>
        <w:rPr>
          <w:rStyle w:val="12"/>
          <w:rFonts w:ascii="方正小标宋简体" w:hAnsi="宋体" w:eastAsia="方正小标宋简体" w:cs="Times New Roman"/>
          <w:snapToGrid w:val="0"/>
          <w:color w:val="000000"/>
          <w:kern w:val="0"/>
        </w:rPr>
      </w:pPr>
      <w:r>
        <w:rPr>
          <w:rStyle w:val="12"/>
          <w:rFonts w:hint="eastAsia" w:ascii="方正小标宋简体" w:hAnsi="宋体" w:eastAsia="方正小标宋简体" w:cs="方正小标宋简体"/>
          <w:snapToGrid w:val="0"/>
          <w:color w:val="000000"/>
          <w:kern w:val="0"/>
        </w:rPr>
        <w:t>第四章</w:t>
      </w:r>
      <w:r>
        <w:rPr>
          <w:rStyle w:val="12"/>
          <w:rFonts w:ascii="方正小标宋简体" w:hAnsi="宋体" w:eastAsia="方正小标宋简体" w:cs="方正小标宋简体"/>
          <w:snapToGrid w:val="0"/>
          <w:color w:val="000000"/>
          <w:kern w:val="0"/>
        </w:rPr>
        <w:t xml:space="preserve">   </w:t>
      </w:r>
      <w:r>
        <w:rPr>
          <w:rStyle w:val="12"/>
          <w:rFonts w:hint="eastAsia" w:ascii="方正小标宋简体" w:hAnsi="宋体" w:eastAsia="方正小标宋简体" w:cs="方正小标宋简体"/>
          <w:snapToGrid w:val="0"/>
          <w:color w:val="000000"/>
          <w:kern w:val="0"/>
        </w:rPr>
        <w:t>稳步推进七大质量工程</w:t>
      </w:r>
      <w:bookmarkEnd w:id="157"/>
      <w:bookmarkEnd w:id="158"/>
      <w:bookmarkStart w:id="159" w:name="_Toc1027"/>
      <w:bookmarkStart w:id="160" w:name="_Toc1014"/>
    </w:p>
    <w:p w14:paraId="40A79E3E">
      <w:pPr>
        <w:spacing w:line="576" w:lineRule="exact"/>
        <w:jc w:val="center"/>
        <w:rPr>
          <w:rFonts w:ascii="黑体" w:hAnsi="宋体" w:eastAsia="黑体" w:cs="Times New Roman"/>
          <w:b/>
          <w:bCs/>
          <w:snapToGrid w:val="0"/>
          <w:color w:val="000000"/>
          <w:kern w:val="0"/>
        </w:rPr>
      </w:pPr>
    </w:p>
    <w:p w14:paraId="4175CA99">
      <w:pPr>
        <w:spacing w:line="576" w:lineRule="exact"/>
        <w:ind w:firstLine="620" w:firstLineChars="196"/>
        <w:rPr>
          <w:rStyle w:val="12"/>
          <w:rFonts w:ascii="黑体" w:hAnsi="宋体" w:eastAsia="黑体" w:cs="Times New Roman"/>
          <w:b/>
          <w:bCs/>
          <w:snapToGrid w:val="0"/>
          <w:color w:val="000000"/>
          <w:kern w:val="0"/>
        </w:rPr>
      </w:pPr>
      <w:r>
        <w:rPr>
          <w:rStyle w:val="12"/>
          <w:rFonts w:hint="eastAsia" w:ascii="黑体" w:hAnsi="宋体" w:eastAsia="黑体" w:cs="黑体"/>
          <w:snapToGrid w:val="0"/>
          <w:color w:val="000000"/>
          <w:kern w:val="0"/>
        </w:rPr>
        <w:t>一、质量创新工程</w:t>
      </w:r>
      <w:bookmarkEnd w:id="159"/>
      <w:bookmarkEnd w:id="160"/>
    </w:p>
    <w:p w14:paraId="306ACF67">
      <w:pPr>
        <w:spacing w:line="576" w:lineRule="exact"/>
        <w:ind w:firstLine="632" w:firstLineChars="200"/>
        <w:jc w:val="left"/>
        <w:rPr>
          <w:rFonts w:ascii="仿宋_GB2312" w:hAnsi="Arial" w:cs="Times New Roman"/>
          <w:snapToGrid w:val="0"/>
          <w:color w:val="000000"/>
          <w:kern w:val="0"/>
        </w:rPr>
      </w:pPr>
      <w:r>
        <w:rPr>
          <w:rFonts w:hint="eastAsia" w:ascii="仿宋_GB2312" w:hAnsi="Arial" w:cs="仿宋_GB2312"/>
          <w:snapToGrid w:val="0"/>
          <w:color w:val="000000"/>
          <w:kern w:val="0"/>
        </w:rPr>
        <w:t>支持企业建立企业技术中心、工程技术研究中心和重点实验室，加大对社会公益技术产业共性技术、关键技术、前沿先导技术的研发，着力构建以企业为主体、市场为导向、产学研相结合的技术创新体系。加强质量管理理论、方法和应用技术研究，加快建设一批质量创新孵化基地、质量教育基地和质量强市示范城市，引领企业和区域实现创新驱动发展。加强产品创新、品牌创新、产业组织创新和商业模式创新，进一步夯实以技术、标准、品牌和服务为核心的质量发展基础。</w:t>
      </w:r>
      <w:bookmarkStart w:id="161" w:name="_Toc24205"/>
      <w:bookmarkStart w:id="162" w:name="_Toc31991"/>
    </w:p>
    <w:p w14:paraId="7126AA31">
      <w:pPr>
        <w:spacing w:line="576" w:lineRule="exact"/>
        <w:ind w:firstLine="632" w:firstLineChars="200"/>
        <w:jc w:val="left"/>
        <w:rPr>
          <w:rStyle w:val="12"/>
          <w:rFonts w:ascii="黑体" w:hAnsi="宋体" w:eastAsia="黑体" w:cs="Times New Roman"/>
          <w:b/>
          <w:bCs/>
          <w:snapToGrid w:val="0"/>
          <w:color w:val="000000"/>
          <w:kern w:val="0"/>
        </w:rPr>
      </w:pPr>
      <w:r>
        <w:rPr>
          <w:rStyle w:val="12"/>
          <w:rFonts w:hint="eastAsia" w:ascii="黑体" w:hAnsi="宋体" w:eastAsia="黑体" w:cs="黑体"/>
          <w:snapToGrid w:val="0"/>
          <w:color w:val="000000"/>
          <w:kern w:val="0"/>
        </w:rPr>
        <w:t>二、质量平安工程</w:t>
      </w:r>
      <w:bookmarkEnd w:id="161"/>
      <w:bookmarkEnd w:id="162"/>
    </w:p>
    <w:p w14:paraId="7FFD3829">
      <w:pPr>
        <w:spacing w:line="576" w:lineRule="exact"/>
        <w:ind w:firstLine="641"/>
        <w:jc w:val="left"/>
        <w:rPr>
          <w:rFonts w:ascii="仿宋_GB2312" w:hAnsi="Arial" w:cs="Times New Roman"/>
          <w:snapToGrid w:val="0"/>
          <w:color w:val="000000"/>
          <w:kern w:val="0"/>
        </w:rPr>
      </w:pPr>
      <w:r>
        <w:rPr>
          <w:rFonts w:hint="eastAsia" w:ascii="仿宋_GB2312" w:hAnsi="Arial" w:cs="仿宋_GB2312"/>
          <w:snapToGrid w:val="0"/>
          <w:color w:val="000000"/>
          <w:kern w:val="0"/>
        </w:rPr>
        <w:t>围绕重点消费品和食品质量安全、特种设备安全、建筑安全、环境保护和消费服务等热点问题，加强质量监管。建立科学合理的日常巡查、联合检查、监督抽查和质量安全违法案件举报奖励制度。加强质量安全风险排查整治和监测评估，探索建立质量安全违法责任追究制度和公开违法违规记录制度。严厉打击消费品、食品、药品、儿童用品、农资、建材等领域质量违法犯罪案件。深化粮油店、早餐、馒头、肉菜、豆制品等“放心食品工程”，</w:t>
      </w:r>
      <w:r>
        <w:rPr>
          <w:rFonts w:ascii="仿宋_GB2312" w:hAnsi="Arial" w:cs="仿宋_GB2312"/>
          <w:snapToGrid w:val="0"/>
          <w:color w:val="000000"/>
          <w:kern w:val="0"/>
        </w:rPr>
        <w:t xml:space="preserve"> </w:t>
      </w:r>
      <w:r>
        <w:rPr>
          <w:rFonts w:hint="eastAsia" w:ascii="仿宋_GB2312" w:hAnsi="Arial" w:cs="仿宋_GB2312"/>
          <w:snapToGrid w:val="0"/>
          <w:color w:val="000000"/>
          <w:kern w:val="0"/>
        </w:rPr>
        <w:t>以医疗、药品和保健食品广告为重点，加强广告日常监测检查和监督管理。开展知识产权执法维权护航专项行动，打击驰名商标、涉外商标、中华老字号商标、知名品牌、“三品一标”领域的侵权行为，查处网络、媒体等销售渠道因商品质量造成的侵权行为。</w:t>
      </w:r>
      <w:bookmarkStart w:id="163" w:name="_Toc27697"/>
      <w:bookmarkStart w:id="164" w:name="_Toc1882"/>
    </w:p>
    <w:p w14:paraId="46302F03">
      <w:pPr>
        <w:spacing w:line="576" w:lineRule="exact"/>
        <w:ind w:firstLine="641"/>
        <w:jc w:val="left"/>
        <w:rPr>
          <w:rStyle w:val="12"/>
          <w:rFonts w:ascii="黑体" w:hAnsi="宋体" w:eastAsia="黑体" w:cs="Times New Roman"/>
          <w:b/>
          <w:bCs/>
          <w:snapToGrid w:val="0"/>
          <w:color w:val="000000"/>
          <w:kern w:val="0"/>
        </w:rPr>
      </w:pPr>
      <w:r>
        <w:rPr>
          <w:rStyle w:val="12"/>
          <w:rFonts w:hint="eastAsia" w:ascii="黑体" w:hAnsi="宋体" w:eastAsia="黑体" w:cs="黑体"/>
          <w:snapToGrid w:val="0"/>
          <w:color w:val="000000"/>
          <w:kern w:val="0"/>
        </w:rPr>
        <w:t>三、质量对比工程</w:t>
      </w:r>
      <w:bookmarkEnd w:id="163"/>
      <w:bookmarkEnd w:id="164"/>
    </w:p>
    <w:p w14:paraId="6D4E0237">
      <w:pPr>
        <w:spacing w:line="576" w:lineRule="exact"/>
        <w:ind w:firstLine="632" w:firstLineChars="200"/>
        <w:rPr>
          <w:rFonts w:ascii="仿宋_GB2312" w:hAnsi="Arial" w:cs="Times New Roman"/>
          <w:snapToGrid w:val="0"/>
          <w:color w:val="000000"/>
          <w:kern w:val="0"/>
        </w:rPr>
      </w:pPr>
      <w:r>
        <w:rPr>
          <w:rFonts w:hint="eastAsia" w:ascii="仿宋_GB2312" w:hAnsi="Arial" w:cs="仿宋_GB2312"/>
          <w:snapToGrid w:val="0"/>
          <w:color w:val="000000"/>
          <w:kern w:val="0"/>
        </w:rPr>
        <w:t>围绕农业、工业、建筑业和服务业等存在的突出质量问题，确定一批重点对比提升项目，比照国际、国内先进水平，分行业分层次广泛开展重点企业和产品的质量、技术、标准和管理绩效对比。以四川名牌企业为重点，设立质量对比标杆企业，以政府质量奖获奖企业为重点，设立卓越绩效管理孵化基地，作为质量对比提升的培训交流基地、人才培养基地、管理示范基地和催化辐射基地。制定质量对比提升工作制度，建立科学评价方法，完善质量对比分析数据库，明确发展目标，制定质量改进和赶超措施，促进全市企业提高质量水平。</w:t>
      </w:r>
      <w:bookmarkStart w:id="165" w:name="_Toc29552"/>
      <w:bookmarkStart w:id="166" w:name="_Toc2859"/>
    </w:p>
    <w:p w14:paraId="57E55B16">
      <w:pPr>
        <w:spacing w:line="576" w:lineRule="exact"/>
        <w:ind w:firstLine="632" w:firstLineChars="200"/>
        <w:rPr>
          <w:rStyle w:val="12"/>
          <w:rFonts w:ascii="黑体" w:hAnsi="宋体" w:eastAsia="黑体" w:cs="Times New Roman"/>
          <w:b/>
          <w:bCs/>
          <w:snapToGrid w:val="0"/>
          <w:color w:val="000000"/>
          <w:kern w:val="0"/>
        </w:rPr>
      </w:pPr>
      <w:r>
        <w:rPr>
          <w:rStyle w:val="12"/>
          <w:rFonts w:hint="eastAsia" w:ascii="黑体" w:hAnsi="宋体" w:eastAsia="黑体" w:cs="黑体"/>
          <w:snapToGrid w:val="0"/>
          <w:color w:val="000000"/>
          <w:kern w:val="0"/>
        </w:rPr>
        <w:t>四、质量诚信工程</w:t>
      </w:r>
      <w:bookmarkEnd w:id="165"/>
      <w:bookmarkEnd w:id="166"/>
    </w:p>
    <w:p w14:paraId="25929089">
      <w:pPr>
        <w:spacing w:line="576" w:lineRule="exact"/>
        <w:ind w:firstLine="632" w:firstLineChars="200"/>
        <w:jc w:val="left"/>
        <w:rPr>
          <w:rFonts w:ascii="仿宋_GB2312" w:hAnsi="Arial" w:cs="Times New Roman"/>
          <w:snapToGrid w:val="0"/>
          <w:color w:val="000000"/>
          <w:kern w:val="0"/>
        </w:rPr>
      </w:pPr>
      <w:r>
        <w:rPr>
          <w:rFonts w:hint="eastAsia" w:ascii="仿宋_GB2312" w:hAnsi="Arial" w:cs="仿宋_GB2312"/>
          <w:snapToGrid w:val="0"/>
          <w:color w:val="000000"/>
          <w:kern w:val="0"/>
        </w:rPr>
        <w:t>按照国家和省、市诚信体系建设规划，推进覆盖全面、科学有效的质量诚信体系建设，评定企业质量信用等级，实行分级分类监管。</w:t>
      </w:r>
      <w:r>
        <w:rPr>
          <w:rFonts w:hint="eastAsia" w:ascii="仿宋_GB2312" w:hAnsi="Helvetica" w:cs="仿宋_GB2312"/>
          <w:snapToGrid w:val="0"/>
          <w:color w:val="000000"/>
          <w:kern w:val="0"/>
        </w:rPr>
        <w:t>建立健全质量信用征信系统，建立质量诚信报告、失信黑名单披露、市场禁入和退出制度</w:t>
      </w:r>
      <w:r>
        <w:rPr>
          <w:rFonts w:hint="eastAsia" w:ascii="仿宋_GB2312" w:hAnsi="Arial" w:cs="仿宋_GB2312"/>
          <w:snapToGrid w:val="0"/>
          <w:color w:val="000000"/>
          <w:kern w:val="0"/>
        </w:rPr>
        <w:t>。</w:t>
      </w:r>
      <w:r>
        <w:rPr>
          <w:rFonts w:hint="eastAsia" w:ascii="仿宋_GB2312" w:cs="仿宋_GB2312"/>
          <w:snapToGrid w:val="0"/>
          <w:color w:val="000000"/>
          <w:kern w:val="0"/>
        </w:rPr>
        <w:t>打破“条块分割”，积极推进部门间信息交换、共享和联动，提升质量监管服务效能，实现联合惩戒</w:t>
      </w:r>
      <w:r>
        <w:rPr>
          <w:rFonts w:hint="eastAsia" w:ascii="仿宋_GB2312" w:hAnsi="Arial" w:cs="仿宋_GB2312"/>
          <w:snapToGrid w:val="0"/>
          <w:color w:val="000000"/>
          <w:kern w:val="0"/>
        </w:rPr>
        <w:t>。</w:t>
      </w:r>
      <w:bookmarkStart w:id="167" w:name="_Toc30048"/>
      <w:bookmarkStart w:id="168" w:name="_Toc19768"/>
    </w:p>
    <w:p w14:paraId="4D80F3BC">
      <w:pPr>
        <w:spacing w:line="576" w:lineRule="exact"/>
        <w:ind w:firstLine="632" w:firstLineChars="200"/>
        <w:jc w:val="left"/>
        <w:rPr>
          <w:rStyle w:val="12"/>
          <w:rFonts w:ascii="黑体" w:hAnsi="宋体" w:eastAsia="黑体" w:cs="Times New Roman"/>
          <w:b/>
          <w:bCs/>
          <w:snapToGrid w:val="0"/>
          <w:color w:val="000000"/>
          <w:kern w:val="0"/>
        </w:rPr>
      </w:pPr>
      <w:r>
        <w:rPr>
          <w:rStyle w:val="12"/>
          <w:rFonts w:hint="eastAsia" w:ascii="黑体" w:hAnsi="宋体" w:eastAsia="黑体" w:cs="黑体"/>
          <w:snapToGrid w:val="0"/>
          <w:color w:val="000000"/>
          <w:kern w:val="0"/>
        </w:rPr>
        <w:t>五、质量文化工程</w:t>
      </w:r>
      <w:bookmarkEnd w:id="167"/>
      <w:bookmarkEnd w:id="168"/>
    </w:p>
    <w:p w14:paraId="0AC1C12A">
      <w:pPr>
        <w:spacing w:line="576" w:lineRule="exact"/>
        <w:ind w:firstLine="632" w:firstLineChars="200"/>
        <w:jc w:val="left"/>
        <w:rPr>
          <w:rFonts w:ascii="仿宋_GB2312" w:hAnsi="Arial" w:cs="Times New Roman"/>
          <w:snapToGrid w:val="0"/>
          <w:color w:val="000000"/>
          <w:kern w:val="0"/>
        </w:rPr>
      </w:pPr>
      <w:r>
        <w:rPr>
          <w:rFonts w:hint="eastAsia" w:ascii="仿宋_GB2312" w:hAnsi="Arial" w:cs="仿宋_GB2312"/>
          <w:snapToGrid w:val="0"/>
          <w:color w:val="000000"/>
          <w:kern w:val="0"/>
        </w:rPr>
        <w:t>在全社会牢固树立质量第一的强烈意识，鼓励企业树立质量是生命的理念，建立全员、全程、全面的质量观，将精益求精、追求卓越的工匠精神转化为企业行为准则，培育企业质量文化。开展形式多样的质量宣教活动，打造“质量大讲堂”、“知名品牌展示”等宣传平台，深入开展“质量月”、“</w:t>
      </w:r>
      <w:r>
        <w:rPr>
          <w:rFonts w:ascii="仿宋_GB2312" w:hAnsi="Arial" w:cs="仿宋_GB2312"/>
          <w:snapToGrid w:val="0"/>
          <w:color w:val="000000"/>
          <w:kern w:val="0"/>
        </w:rPr>
        <w:t>3</w:t>
      </w:r>
      <w:r>
        <w:rPr>
          <w:rFonts w:hint="eastAsia" w:ascii="仿宋_GB2312" w:hAnsi="Arial" w:cs="仿宋_GB2312"/>
          <w:snapToGrid w:val="0"/>
          <w:color w:val="000000"/>
          <w:kern w:val="0"/>
        </w:rPr>
        <w:t>·</w:t>
      </w:r>
      <w:r>
        <w:rPr>
          <w:rFonts w:ascii="仿宋_GB2312" w:hAnsi="Arial" w:cs="仿宋_GB2312"/>
          <w:snapToGrid w:val="0"/>
          <w:color w:val="000000"/>
          <w:kern w:val="0"/>
        </w:rPr>
        <w:t>15</w:t>
      </w:r>
      <w:r>
        <w:rPr>
          <w:rFonts w:hint="eastAsia" w:ascii="仿宋_GB2312" w:hAnsi="Arial" w:cs="仿宋_GB2312"/>
          <w:snapToGrid w:val="0"/>
          <w:color w:val="000000"/>
          <w:kern w:val="0"/>
        </w:rPr>
        <w:t>”、世界环境日、世界知识产权日、世界标准化日、世界计量日等主题宣传活动，广泛宣传质量文化、质量方针政策、法律法规、先进典型，普及质量技术基础知识，倡导科学理性、优质安全、节能环保的消费理念，曝光质量违法案件，增强社会各界对质量发展的责任感、使命感。</w:t>
      </w:r>
      <w:bookmarkStart w:id="169" w:name="_Toc15170"/>
      <w:bookmarkStart w:id="170" w:name="_Toc28670"/>
    </w:p>
    <w:p w14:paraId="17E9A271">
      <w:pPr>
        <w:spacing w:line="576" w:lineRule="exact"/>
        <w:ind w:firstLine="632" w:firstLineChars="200"/>
        <w:jc w:val="left"/>
        <w:rPr>
          <w:rStyle w:val="12"/>
          <w:rFonts w:ascii="黑体" w:hAnsi="宋体" w:eastAsia="黑体" w:cs="Times New Roman"/>
          <w:b/>
          <w:bCs/>
          <w:snapToGrid w:val="0"/>
          <w:color w:val="000000"/>
          <w:kern w:val="0"/>
        </w:rPr>
      </w:pPr>
      <w:r>
        <w:rPr>
          <w:rStyle w:val="12"/>
          <w:rFonts w:hint="eastAsia" w:ascii="黑体" w:hAnsi="宋体" w:eastAsia="黑体" w:cs="黑体"/>
          <w:snapToGrid w:val="0"/>
          <w:color w:val="000000"/>
          <w:kern w:val="0"/>
        </w:rPr>
        <w:t>六、质量人才工程</w:t>
      </w:r>
      <w:bookmarkEnd w:id="169"/>
      <w:bookmarkEnd w:id="170"/>
    </w:p>
    <w:p w14:paraId="66C49A98">
      <w:pPr>
        <w:spacing w:line="576" w:lineRule="exact"/>
        <w:ind w:firstLine="632" w:firstLineChars="200"/>
        <w:jc w:val="left"/>
        <w:rPr>
          <w:rFonts w:ascii="仿宋_GB2312" w:hAnsi="Arial" w:cs="Times New Roman"/>
          <w:snapToGrid w:val="0"/>
          <w:color w:val="000000"/>
          <w:kern w:val="0"/>
        </w:rPr>
      </w:pPr>
      <w:r>
        <w:rPr>
          <w:rFonts w:hint="eastAsia" w:ascii="仿宋_GB2312" w:hAnsi="Arial" w:cs="仿宋_GB2312"/>
          <w:snapToGrid w:val="0"/>
          <w:color w:val="000000"/>
          <w:kern w:val="0"/>
        </w:rPr>
        <w:t>坚持质量人才培养与引进并重，</w:t>
      </w:r>
      <w:r>
        <w:rPr>
          <w:rFonts w:hint="eastAsia" w:ascii="仿宋_GB2312" w:hAnsi="??" w:cs="仿宋_GB2312"/>
          <w:snapToGrid w:val="0"/>
          <w:color w:val="000000"/>
          <w:kern w:val="0"/>
        </w:rPr>
        <w:t>对质量人才的引进、培养给予支持。制定质量人才分类开发计划，在有条件的大专院校和职业学院开设质量管理课程，推动党校和专业培训机构开办领导干部和企业家质量讲座，支持协会、中介组织开展应用型质量人才培训，打造一支具有战略眼光、跨领域管理经验和专项技能的高素质、</w:t>
      </w:r>
      <w:r>
        <w:rPr>
          <w:rFonts w:hint="eastAsia" w:ascii="仿宋_GB2312" w:cs="仿宋_GB2312"/>
          <w:snapToGrid w:val="0"/>
          <w:color w:val="000000"/>
          <w:kern w:val="0"/>
        </w:rPr>
        <w:t>复合型质量人才队伍</w:t>
      </w:r>
      <w:r>
        <w:rPr>
          <w:rFonts w:hint="eastAsia" w:ascii="仿宋_GB2312" w:hAnsi="??" w:cs="仿宋_GB2312"/>
          <w:snapToGrid w:val="0"/>
          <w:color w:val="000000"/>
          <w:kern w:val="0"/>
        </w:rPr>
        <w:t>。</w:t>
      </w:r>
      <w:bookmarkStart w:id="171" w:name="_Toc16001"/>
      <w:bookmarkStart w:id="172" w:name="_Toc26759"/>
    </w:p>
    <w:p w14:paraId="53CE5232">
      <w:pPr>
        <w:spacing w:line="576" w:lineRule="exact"/>
        <w:ind w:firstLine="632" w:firstLineChars="200"/>
        <w:jc w:val="left"/>
        <w:rPr>
          <w:rStyle w:val="12"/>
          <w:rFonts w:ascii="黑体" w:hAnsi="宋体" w:eastAsia="黑体" w:cs="Times New Roman"/>
          <w:b/>
          <w:bCs/>
          <w:snapToGrid w:val="0"/>
          <w:color w:val="000000"/>
          <w:kern w:val="0"/>
        </w:rPr>
      </w:pPr>
      <w:r>
        <w:rPr>
          <w:rStyle w:val="12"/>
          <w:rFonts w:hint="eastAsia" w:ascii="黑体" w:hAnsi="宋体" w:eastAsia="黑体" w:cs="黑体"/>
          <w:snapToGrid w:val="0"/>
          <w:color w:val="000000"/>
          <w:kern w:val="0"/>
        </w:rPr>
        <w:t>七、质量惠民工程</w:t>
      </w:r>
      <w:bookmarkEnd w:id="171"/>
      <w:bookmarkEnd w:id="172"/>
    </w:p>
    <w:p w14:paraId="4FA8B5D0">
      <w:pPr>
        <w:spacing w:line="576" w:lineRule="exact"/>
        <w:ind w:firstLine="641"/>
        <w:jc w:val="left"/>
        <w:rPr>
          <w:rFonts w:ascii="仿宋_GB2312" w:hAnsi="??" w:cs="Times New Roman"/>
          <w:snapToGrid w:val="0"/>
          <w:color w:val="000000"/>
          <w:kern w:val="0"/>
        </w:rPr>
      </w:pPr>
      <w:r>
        <w:rPr>
          <w:rFonts w:hint="eastAsia" w:ascii="仿宋_GB2312" w:hAnsi="??" w:cs="仿宋_GB2312"/>
          <w:snapToGrid w:val="0"/>
          <w:color w:val="000000"/>
          <w:kern w:val="0"/>
        </w:rPr>
        <w:t>改进质量投诉工作，大力提高质量投诉受理、处理的便捷性和有效性，做好投诉举报与司法、行政执法的有效衔接。提升购物、交通、医疗、养老等领域服务标准化水平，改进服务质量，优化消费环境。开展“计量惠民生、诚信促和谐”活动，加强农贸市场、菜市场、小型果蔬门店和季节性农产品计量失准常发易发区域的监管，规范计量交易行为，维护群众合法权益。实施房屋装修质量检查、室内空气检测、民用三表抽查、通信、旅游、网购质量热点检查等惠民工程，切实提升群众满意度。</w:t>
      </w:r>
    </w:p>
    <w:tbl>
      <w:tblPr>
        <w:tblStyle w:val="10"/>
        <w:tblW w:w="9065"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5"/>
      </w:tblGrid>
      <w:tr w14:paraId="7EC7E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9065" w:type="dxa"/>
          </w:tcPr>
          <w:p w14:paraId="3833C509">
            <w:pPr>
              <w:spacing w:line="560" w:lineRule="exact"/>
              <w:jc w:val="center"/>
              <w:rPr>
                <w:rFonts w:ascii="黑体" w:hAnsi="Arial" w:eastAsia="黑体" w:cs="Times New Roman"/>
                <w:snapToGrid w:val="0"/>
                <w:color w:val="000000"/>
                <w:kern w:val="0"/>
                <w:sz w:val="28"/>
                <w:szCs w:val="28"/>
              </w:rPr>
            </w:pPr>
            <w:bookmarkStart w:id="173" w:name="_Toc18609"/>
            <w:bookmarkStart w:id="174" w:name="_Toc20194"/>
            <w:r>
              <w:rPr>
                <w:rFonts w:hint="eastAsia" w:ascii="黑体" w:hAnsi="Arial" w:eastAsia="黑体" w:cs="黑体"/>
                <w:snapToGrid w:val="0"/>
                <w:color w:val="000000"/>
                <w:kern w:val="0"/>
                <w:sz w:val="28"/>
                <w:szCs w:val="28"/>
              </w:rPr>
              <w:t>专栏</w:t>
            </w:r>
            <w:r>
              <w:rPr>
                <w:rFonts w:ascii="黑体" w:hAnsi="Arial" w:eastAsia="黑体" w:cs="黑体"/>
                <w:snapToGrid w:val="0"/>
                <w:color w:val="000000"/>
                <w:kern w:val="0"/>
                <w:sz w:val="28"/>
                <w:szCs w:val="28"/>
              </w:rPr>
              <w:t xml:space="preserve">11  </w:t>
            </w:r>
            <w:r>
              <w:rPr>
                <w:rFonts w:hint="eastAsia" w:ascii="黑体" w:hAnsi="Arial" w:eastAsia="黑体" w:cs="黑体"/>
                <w:snapToGrid w:val="0"/>
                <w:color w:val="000000"/>
                <w:kern w:val="0"/>
                <w:sz w:val="28"/>
                <w:szCs w:val="28"/>
              </w:rPr>
              <w:t>推进质量工程目标</w:t>
            </w:r>
          </w:p>
        </w:tc>
      </w:tr>
      <w:tr w14:paraId="17F0F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7" w:hRule="atLeast"/>
        </w:trPr>
        <w:tc>
          <w:tcPr>
            <w:tcW w:w="9065" w:type="dxa"/>
            <w:vAlign w:val="center"/>
          </w:tcPr>
          <w:p w14:paraId="2385E5DD">
            <w:pPr>
              <w:spacing w:line="360" w:lineRule="exact"/>
              <w:ind w:firstLine="354" w:firstLineChars="150"/>
              <w:rPr>
                <w:rFonts w:ascii="仿宋_GB2312" w:hAnsi="Arial" w:cs="Times New Roman"/>
                <w:snapToGrid w:val="0"/>
                <w:color w:val="000000"/>
                <w:kern w:val="0"/>
                <w:sz w:val="24"/>
                <w:szCs w:val="24"/>
              </w:rPr>
            </w:pPr>
            <w:r>
              <w:rPr>
                <w:rFonts w:ascii="仿宋_GB2312" w:hAnsi="Arial" w:cs="仿宋_GB2312"/>
                <w:snapToGrid w:val="0"/>
                <w:color w:val="000000"/>
                <w:kern w:val="0"/>
                <w:sz w:val="24"/>
                <w:szCs w:val="24"/>
              </w:rPr>
              <w:t>1.</w:t>
            </w:r>
            <w:r>
              <w:rPr>
                <w:rFonts w:hint="eastAsia" w:ascii="仿宋_GB2312" w:hAnsi="Arial" w:cs="仿宋_GB2312"/>
                <w:snapToGrid w:val="0"/>
                <w:color w:val="000000"/>
                <w:kern w:val="0"/>
                <w:sz w:val="24"/>
                <w:szCs w:val="24"/>
              </w:rPr>
              <w:t>质量创新工程：加快推进广元市科技创新服务中心建设，提升四川省技术转移中心广元分中心、四川分析测试中心广元分中心综合服务能力</w:t>
            </w:r>
            <w:r>
              <w:rPr>
                <w:rFonts w:ascii="仿宋_GB2312" w:hAnsi="Arial" w:cs="仿宋_GB2312"/>
                <w:snapToGrid w:val="0"/>
                <w:color w:val="000000"/>
                <w:kern w:val="0"/>
                <w:sz w:val="24"/>
                <w:szCs w:val="24"/>
              </w:rPr>
              <w:t xml:space="preserve"> </w:t>
            </w:r>
            <w:r>
              <w:rPr>
                <w:rFonts w:hint="eastAsia" w:ascii="仿宋_GB2312" w:hAnsi="Arial" w:cs="仿宋_GB2312"/>
                <w:snapToGrid w:val="0"/>
                <w:color w:val="000000"/>
                <w:kern w:val="0"/>
                <w:sz w:val="24"/>
                <w:szCs w:val="24"/>
              </w:rPr>
              <w:t>。新创建省级科技企业孵化器</w:t>
            </w:r>
            <w:r>
              <w:rPr>
                <w:rFonts w:ascii="仿宋_GB2312" w:hAnsi="Arial" w:cs="仿宋_GB2312"/>
                <w:snapToGrid w:val="0"/>
                <w:color w:val="000000"/>
                <w:kern w:val="0"/>
                <w:sz w:val="24"/>
                <w:szCs w:val="24"/>
              </w:rPr>
              <w:t>1-2</w:t>
            </w:r>
            <w:r>
              <w:rPr>
                <w:rFonts w:hint="eastAsia" w:ascii="仿宋_GB2312" w:hAnsi="Arial" w:cs="仿宋_GB2312"/>
                <w:snapToGrid w:val="0"/>
                <w:color w:val="000000"/>
                <w:kern w:val="0"/>
                <w:sz w:val="24"/>
                <w:szCs w:val="24"/>
              </w:rPr>
              <w:t>家、大学生创新创业俱乐部</w:t>
            </w:r>
            <w:r>
              <w:rPr>
                <w:rFonts w:ascii="仿宋_GB2312" w:hAnsi="Arial" w:cs="仿宋_GB2312"/>
                <w:snapToGrid w:val="0"/>
                <w:color w:val="000000"/>
                <w:kern w:val="0"/>
                <w:sz w:val="24"/>
                <w:szCs w:val="24"/>
              </w:rPr>
              <w:t>10</w:t>
            </w:r>
            <w:r>
              <w:rPr>
                <w:rFonts w:hint="eastAsia" w:ascii="仿宋_GB2312" w:hAnsi="Arial" w:cs="仿宋_GB2312"/>
                <w:snapToGrid w:val="0"/>
                <w:color w:val="000000"/>
                <w:kern w:val="0"/>
                <w:sz w:val="24"/>
                <w:szCs w:val="24"/>
              </w:rPr>
              <w:t>个、大学生创新创业示范园</w:t>
            </w:r>
            <w:r>
              <w:rPr>
                <w:rFonts w:ascii="仿宋_GB2312" w:hAnsi="Arial" w:cs="仿宋_GB2312"/>
                <w:snapToGrid w:val="0"/>
                <w:color w:val="000000"/>
                <w:kern w:val="0"/>
                <w:sz w:val="24"/>
                <w:szCs w:val="24"/>
              </w:rPr>
              <w:t>10</w:t>
            </w:r>
            <w:r>
              <w:rPr>
                <w:rFonts w:hint="eastAsia" w:ascii="仿宋_GB2312" w:hAnsi="Arial" w:cs="仿宋_GB2312"/>
                <w:snapToGrid w:val="0"/>
                <w:color w:val="000000"/>
                <w:kern w:val="0"/>
                <w:sz w:val="24"/>
                <w:szCs w:val="24"/>
              </w:rPr>
              <w:t>个。</w:t>
            </w:r>
          </w:p>
          <w:p w14:paraId="345A4E0C">
            <w:pPr>
              <w:spacing w:line="360" w:lineRule="exact"/>
              <w:ind w:firstLine="354" w:firstLineChars="150"/>
              <w:rPr>
                <w:rFonts w:ascii="仿宋_GB2312" w:hAnsi="Arial" w:cs="Times New Roman"/>
                <w:snapToGrid w:val="0"/>
                <w:color w:val="000000"/>
                <w:kern w:val="0"/>
                <w:sz w:val="24"/>
                <w:szCs w:val="24"/>
              </w:rPr>
            </w:pPr>
            <w:r>
              <w:rPr>
                <w:rFonts w:ascii="仿宋_GB2312" w:hAnsi="Arial" w:cs="仿宋_GB2312"/>
                <w:snapToGrid w:val="0"/>
                <w:color w:val="000000"/>
                <w:kern w:val="0"/>
                <w:sz w:val="24"/>
                <w:szCs w:val="24"/>
              </w:rPr>
              <w:t>2.</w:t>
            </w:r>
            <w:r>
              <w:rPr>
                <w:rFonts w:hint="eastAsia" w:ascii="仿宋_GB2312" w:hAnsi="Arial" w:cs="仿宋_GB2312"/>
                <w:snapToGrid w:val="0"/>
                <w:color w:val="000000"/>
                <w:kern w:val="0"/>
                <w:sz w:val="24"/>
                <w:szCs w:val="24"/>
              </w:rPr>
              <w:t>质量对比工程：设立</w:t>
            </w:r>
            <w:r>
              <w:rPr>
                <w:rFonts w:ascii="仿宋_GB2312" w:hAnsi="Arial" w:cs="仿宋_GB2312"/>
                <w:snapToGrid w:val="0"/>
                <w:color w:val="000000"/>
                <w:kern w:val="0"/>
                <w:sz w:val="24"/>
                <w:szCs w:val="24"/>
              </w:rPr>
              <w:t>3</w:t>
            </w:r>
            <w:r>
              <w:rPr>
                <w:rFonts w:hint="eastAsia" w:ascii="仿宋_GB2312" w:hAnsi="Arial" w:cs="仿宋_GB2312"/>
                <w:snapToGrid w:val="0"/>
                <w:color w:val="000000"/>
                <w:kern w:val="0"/>
                <w:sz w:val="24"/>
                <w:szCs w:val="24"/>
              </w:rPr>
              <w:t>家卓越绩效管理孵化基地和</w:t>
            </w:r>
            <w:r>
              <w:rPr>
                <w:rFonts w:ascii="仿宋_GB2312" w:hAnsi="Arial" w:cs="仿宋_GB2312"/>
                <w:snapToGrid w:val="0"/>
                <w:color w:val="000000"/>
                <w:kern w:val="0"/>
                <w:sz w:val="24"/>
                <w:szCs w:val="24"/>
              </w:rPr>
              <w:t>8</w:t>
            </w:r>
            <w:r>
              <w:rPr>
                <w:rFonts w:hint="eastAsia" w:ascii="仿宋_GB2312" w:hAnsi="Arial" w:cs="仿宋_GB2312"/>
                <w:snapToGrid w:val="0"/>
                <w:color w:val="000000"/>
                <w:kern w:val="0"/>
                <w:sz w:val="24"/>
                <w:szCs w:val="24"/>
              </w:rPr>
              <w:t>家质量对比标杆企业，组织</w:t>
            </w:r>
            <w:r>
              <w:rPr>
                <w:rFonts w:ascii="仿宋_GB2312" w:hAnsi="Arial" w:cs="仿宋_GB2312"/>
                <w:snapToGrid w:val="0"/>
                <w:color w:val="000000"/>
                <w:kern w:val="0"/>
                <w:sz w:val="24"/>
                <w:szCs w:val="24"/>
              </w:rPr>
              <w:t>20</w:t>
            </w:r>
            <w:r>
              <w:rPr>
                <w:rFonts w:hint="eastAsia" w:ascii="仿宋_GB2312" w:hAnsi="Arial" w:cs="仿宋_GB2312"/>
                <w:snapToGrid w:val="0"/>
                <w:color w:val="000000"/>
                <w:kern w:val="0"/>
                <w:sz w:val="24"/>
                <w:szCs w:val="24"/>
              </w:rPr>
              <w:t>家企业开展质量对比提升活动。</w:t>
            </w:r>
          </w:p>
          <w:p w14:paraId="6B3546BA">
            <w:pPr>
              <w:spacing w:line="360" w:lineRule="exact"/>
              <w:ind w:firstLine="354" w:firstLineChars="150"/>
              <w:rPr>
                <w:rFonts w:ascii="仿宋_GB2312" w:hAnsi="Arial" w:cs="Times New Roman"/>
                <w:snapToGrid w:val="0"/>
                <w:color w:val="000000"/>
                <w:kern w:val="0"/>
                <w:sz w:val="24"/>
                <w:szCs w:val="24"/>
              </w:rPr>
            </w:pPr>
            <w:r>
              <w:rPr>
                <w:rFonts w:ascii="仿宋_GB2312" w:hAnsi="Arial" w:cs="仿宋_GB2312"/>
                <w:snapToGrid w:val="0"/>
                <w:color w:val="000000"/>
                <w:kern w:val="0"/>
                <w:sz w:val="24"/>
                <w:szCs w:val="24"/>
              </w:rPr>
              <w:t>3.</w:t>
            </w:r>
            <w:r>
              <w:rPr>
                <w:rFonts w:hint="eastAsia" w:ascii="仿宋_GB2312" w:hAnsi="Arial" w:cs="仿宋_GB2312"/>
                <w:snapToGrid w:val="0"/>
                <w:color w:val="000000"/>
                <w:kern w:val="0"/>
                <w:sz w:val="24"/>
                <w:szCs w:val="24"/>
              </w:rPr>
              <w:t>质量人才工程：在</w:t>
            </w:r>
            <w:r>
              <w:rPr>
                <w:rFonts w:ascii="仿宋_GB2312" w:hAnsi="Arial" w:cs="仿宋_GB2312"/>
                <w:snapToGrid w:val="0"/>
                <w:color w:val="000000"/>
                <w:kern w:val="0"/>
                <w:sz w:val="24"/>
                <w:szCs w:val="24"/>
              </w:rPr>
              <w:t>100</w:t>
            </w:r>
            <w:r>
              <w:rPr>
                <w:rFonts w:hint="eastAsia" w:ascii="仿宋_GB2312" w:hAnsi="Arial" w:cs="仿宋_GB2312"/>
                <w:snapToGrid w:val="0"/>
                <w:color w:val="000000"/>
                <w:kern w:val="0"/>
                <w:sz w:val="24"/>
                <w:szCs w:val="24"/>
              </w:rPr>
              <w:t>家企业中推行首席质量官制度。培养</w:t>
            </w:r>
            <w:r>
              <w:rPr>
                <w:rFonts w:ascii="仿宋_GB2312" w:hAnsi="Arial" w:cs="仿宋_GB2312"/>
                <w:snapToGrid w:val="0"/>
                <w:color w:val="000000"/>
                <w:kern w:val="0"/>
                <w:sz w:val="24"/>
                <w:szCs w:val="24"/>
              </w:rPr>
              <w:t>100</w:t>
            </w:r>
            <w:r>
              <w:rPr>
                <w:rFonts w:hint="eastAsia" w:ascii="仿宋_GB2312" w:hAnsi="Arial" w:cs="仿宋_GB2312"/>
                <w:snapToGrid w:val="0"/>
                <w:color w:val="000000"/>
                <w:kern w:val="0"/>
                <w:sz w:val="24"/>
                <w:szCs w:val="24"/>
              </w:rPr>
              <w:t>名具有较强创新能力、在经济社会发展中有突出贡献的中青年科技英才；培养</w:t>
            </w:r>
            <w:r>
              <w:rPr>
                <w:rFonts w:ascii="仿宋_GB2312" w:hAnsi="Arial" w:cs="仿宋_GB2312"/>
                <w:snapToGrid w:val="0"/>
                <w:color w:val="000000"/>
                <w:kern w:val="0"/>
                <w:sz w:val="24"/>
                <w:szCs w:val="24"/>
              </w:rPr>
              <w:t>200</w:t>
            </w:r>
            <w:r>
              <w:rPr>
                <w:rFonts w:hint="eastAsia" w:ascii="仿宋_GB2312" w:hAnsi="Arial" w:cs="仿宋_GB2312"/>
                <w:snapToGrid w:val="0"/>
                <w:color w:val="000000"/>
                <w:kern w:val="0"/>
                <w:sz w:val="24"/>
                <w:szCs w:val="24"/>
              </w:rPr>
              <w:t>名富有创新创造精神、具有较强科技创新能力的青年科技苗子；培育</w:t>
            </w:r>
            <w:r>
              <w:rPr>
                <w:rFonts w:ascii="仿宋_GB2312" w:hAnsi="Arial" w:cs="仿宋_GB2312"/>
                <w:snapToGrid w:val="0"/>
                <w:color w:val="000000"/>
                <w:kern w:val="0"/>
                <w:sz w:val="24"/>
                <w:szCs w:val="24"/>
              </w:rPr>
              <w:t>20</w:t>
            </w:r>
            <w:r>
              <w:rPr>
                <w:rFonts w:hint="eastAsia" w:ascii="仿宋_GB2312" w:hAnsi="Arial" w:cs="仿宋_GB2312"/>
                <w:snapToGrid w:val="0"/>
                <w:color w:val="000000"/>
                <w:kern w:val="0"/>
                <w:sz w:val="24"/>
                <w:szCs w:val="24"/>
              </w:rPr>
              <w:t>个产学研用协同创新并取得重大科技成果的优秀科技创新团队。全市科技人才总量达到</w:t>
            </w:r>
            <w:r>
              <w:rPr>
                <w:rFonts w:ascii="仿宋_GB2312" w:hAnsi="Arial" w:cs="仿宋_GB2312"/>
                <w:snapToGrid w:val="0"/>
                <w:color w:val="000000"/>
                <w:kern w:val="0"/>
                <w:sz w:val="24"/>
                <w:szCs w:val="24"/>
              </w:rPr>
              <w:t>8</w:t>
            </w:r>
            <w:r>
              <w:rPr>
                <w:rFonts w:hint="eastAsia" w:ascii="仿宋_GB2312" w:hAnsi="Arial" w:cs="仿宋_GB2312"/>
                <w:snapToGrid w:val="0"/>
                <w:color w:val="000000"/>
                <w:kern w:val="0"/>
                <w:sz w:val="24"/>
                <w:szCs w:val="24"/>
              </w:rPr>
              <w:t>万人以上。</w:t>
            </w:r>
          </w:p>
          <w:p w14:paraId="159814BD">
            <w:pPr>
              <w:spacing w:line="360" w:lineRule="exact"/>
              <w:ind w:firstLine="354" w:firstLineChars="150"/>
              <w:rPr>
                <w:rFonts w:ascii="黑体" w:hAnsi="Arial" w:eastAsia="黑体" w:cs="Times New Roman"/>
                <w:snapToGrid w:val="0"/>
                <w:color w:val="000000"/>
                <w:kern w:val="0"/>
                <w:sz w:val="28"/>
                <w:szCs w:val="28"/>
              </w:rPr>
            </w:pPr>
            <w:r>
              <w:rPr>
                <w:rFonts w:ascii="仿宋_GB2312" w:hAnsi="Arial" w:cs="仿宋_GB2312"/>
                <w:snapToGrid w:val="0"/>
                <w:color w:val="000000"/>
                <w:kern w:val="0"/>
                <w:sz w:val="24"/>
                <w:szCs w:val="24"/>
              </w:rPr>
              <w:t>4.</w:t>
            </w:r>
            <w:r>
              <w:rPr>
                <w:rFonts w:hint="eastAsia" w:ascii="仿宋_GB2312" w:hAnsi="Arial" w:cs="仿宋_GB2312"/>
                <w:snapToGrid w:val="0"/>
                <w:color w:val="000000"/>
                <w:kern w:val="0"/>
                <w:sz w:val="24"/>
                <w:szCs w:val="24"/>
              </w:rPr>
              <w:t>质量惠民工程：产品、工程、服务质量投诉申诉机制进一步完善，“</w:t>
            </w:r>
            <w:r>
              <w:rPr>
                <w:rFonts w:ascii="仿宋_GB2312" w:hAnsi="Arial" w:cs="仿宋_GB2312"/>
                <w:snapToGrid w:val="0"/>
                <w:color w:val="000000"/>
                <w:kern w:val="0"/>
                <w:sz w:val="24"/>
                <w:szCs w:val="24"/>
              </w:rPr>
              <w:t>12315</w:t>
            </w:r>
            <w:r>
              <w:rPr>
                <w:rFonts w:hint="eastAsia" w:ascii="仿宋_GB2312" w:hAnsi="Arial" w:cs="仿宋_GB2312"/>
                <w:snapToGrid w:val="0"/>
                <w:color w:val="000000"/>
                <w:kern w:val="0"/>
                <w:sz w:val="24"/>
                <w:szCs w:val="24"/>
              </w:rPr>
              <w:t>、</w:t>
            </w:r>
            <w:r>
              <w:rPr>
                <w:rFonts w:ascii="仿宋_GB2312" w:hAnsi="Arial" w:cs="仿宋_GB2312"/>
                <w:snapToGrid w:val="0"/>
                <w:color w:val="000000"/>
                <w:kern w:val="0"/>
                <w:sz w:val="24"/>
                <w:szCs w:val="24"/>
              </w:rPr>
              <w:t>12365</w:t>
            </w:r>
            <w:r>
              <w:rPr>
                <w:rFonts w:hint="eastAsia" w:ascii="仿宋_GB2312" w:hAnsi="Arial" w:cs="仿宋_GB2312"/>
                <w:snapToGrid w:val="0"/>
                <w:color w:val="000000"/>
                <w:kern w:val="0"/>
                <w:sz w:val="24"/>
                <w:szCs w:val="24"/>
              </w:rPr>
              <w:t>、</w:t>
            </w:r>
            <w:r>
              <w:rPr>
                <w:rFonts w:ascii="仿宋_GB2312" w:hAnsi="Arial" w:cs="仿宋_GB2312"/>
                <w:snapToGrid w:val="0"/>
                <w:color w:val="000000"/>
                <w:kern w:val="0"/>
                <w:sz w:val="24"/>
                <w:szCs w:val="24"/>
              </w:rPr>
              <w:t>12311</w:t>
            </w:r>
            <w:r>
              <w:rPr>
                <w:rFonts w:ascii="仿宋_GB2312" w:hAnsi="Arial" w:cs="Arial"/>
                <w:snapToGrid w:val="0"/>
                <w:color w:val="000000"/>
                <w:kern w:val="0"/>
                <w:sz w:val="24"/>
                <w:szCs w:val="24"/>
              </w:rPr>
              <w:t>”</w:t>
            </w:r>
            <w:r>
              <w:rPr>
                <w:rFonts w:hint="eastAsia" w:ascii="仿宋_GB2312" w:hAnsi="Arial" w:cs="仿宋_GB2312"/>
                <w:snapToGrid w:val="0"/>
                <w:color w:val="000000"/>
                <w:kern w:val="0"/>
                <w:sz w:val="24"/>
                <w:szCs w:val="24"/>
              </w:rPr>
              <w:t>等投诉平台投诉办结率逐年上升，及时受理消费者的质量投诉，开展各类质量维权行动。</w:t>
            </w:r>
          </w:p>
        </w:tc>
      </w:tr>
    </w:tbl>
    <w:p w14:paraId="26D6B376">
      <w:pPr>
        <w:spacing w:line="576" w:lineRule="exact"/>
        <w:jc w:val="center"/>
        <w:rPr>
          <w:rStyle w:val="12"/>
          <w:rFonts w:ascii="方正小标宋简体" w:hAnsi="宋体" w:eastAsia="方正小标宋简体" w:cs="Times New Roman"/>
          <w:snapToGrid w:val="0"/>
          <w:color w:val="000000"/>
          <w:kern w:val="0"/>
        </w:rPr>
      </w:pPr>
      <w:r>
        <w:rPr>
          <w:rStyle w:val="12"/>
          <w:rFonts w:hint="eastAsia" w:ascii="方正小标宋简体" w:hAnsi="宋体" w:eastAsia="方正小标宋简体" w:cs="方正小标宋简体"/>
          <w:snapToGrid w:val="0"/>
          <w:color w:val="000000"/>
          <w:kern w:val="0"/>
        </w:rPr>
        <w:t>第五章</w:t>
      </w:r>
      <w:r>
        <w:rPr>
          <w:rStyle w:val="12"/>
          <w:rFonts w:ascii="方正小标宋简体" w:hAnsi="宋体" w:eastAsia="方正小标宋简体" w:cs="方正小标宋简体"/>
          <w:snapToGrid w:val="0"/>
          <w:color w:val="000000"/>
          <w:kern w:val="0"/>
        </w:rPr>
        <w:t xml:space="preserve">   </w:t>
      </w:r>
      <w:r>
        <w:rPr>
          <w:rStyle w:val="12"/>
          <w:rFonts w:hint="eastAsia" w:ascii="方正小标宋简体" w:hAnsi="宋体" w:eastAsia="方正小标宋简体" w:cs="方正小标宋简体"/>
          <w:snapToGrid w:val="0"/>
          <w:color w:val="000000"/>
          <w:kern w:val="0"/>
        </w:rPr>
        <w:t>保障措施</w:t>
      </w:r>
      <w:bookmarkEnd w:id="173"/>
      <w:bookmarkEnd w:id="174"/>
      <w:bookmarkStart w:id="175" w:name="_Toc2256"/>
      <w:bookmarkStart w:id="176" w:name="_Toc534"/>
    </w:p>
    <w:p w14:paraId="6540B974">
      <w:pPr>
        <w:spacing w:line="576" w:lineRule="exact"/>
        <w:ind w:firstLine="632" w:firstLineChars="200"/>
        <w:rPr>
          <w:rStyle w:val="12"/>
          <w:rFonts w:ascii="黑体" w:hAnsi="宋体" w:eastAsia="黑体" w:cs="Times New Roman"/>
          <w:snapToGrid w:val="0"/>
          <w:color w:val="000000"/>
          <w:kern w:val="0"/>
        </w:rPr>
      </w:pPr>
    </w:p>
    <w:p w14:paraId="39E6D3BE">
      <w:pPr>
        <w:spacing w:line="576" w:lineRule="exact"/>
        <w:ind w:firstLine="632" w:firstLineChars="200"/>
        <w:rPr>
          <w:rStyle w:val="12"/>
          <w:rFonts w:ascii="黑体" w:hAnsi="宋体" w:eastAsia="黑体" w:cs="Times New Roman"/>
          <w:b/>
          <w:bCs/>
          <w:snapToGrid w:val="0"/>
          <w:color w:val="000000"/>
          <w:kern w:val="0"/>
        </w:rPr>
      </w:pPr>
      <w:r>
        <w:rPr>
          <w:rStyle w:val="12"/>
          <w:rFonts w:hint="eastAsia" w:ascii="黑体" w:hAnsi="宋体" w:eastAsia="黑体" w:cs="黑体"/>
          <w:snapToGrid w:val="0"/>
          <w:color w:val="000000"/>
          <w:kern w:val="0"/>
        </w:rPr>
        <w:t>一、加强组织领导</w:t>
      </w:r>
      <w:bookmarkEnd w:id="175"/>
      <w:bookmarkEnd w:id="176"/>
    </w:p>
    <w:p w14:paraId="10AB5918">
      <w:pPr>
        <w:spacing w:line="576" w:lineRule="exact"/>
        <w:ind w:firstLine="632" w:firstLineChars="200"/>
        <w:rPr>
          <w:rStyle w:val="12"/>
          <w:rFonts w:ascii="仿宋_GB2312" w:hAnsi="宋体" w:cs="Times New Roman"/>
          <w:snapToGrid w:val="0"/>
          <w:color w:val="000000"/>
          <w:kern w:val="0"/>
        </w:rPr>
      </w:pPr>
      <w:r>
        <w:rPr>
          <w:rStyle w:val="12"/>
          <w:rFonts w:hint="eastAsia" w:ascii="仿宋_GB2312" w:hAnsi="宋体" w:cs="仿宋_GB2312"/>
          <w:snapToGrid w:val="0"/>
          <w:color w:val="000000"/>
          <w:kern w:val="0"/>
        </w:rPr>
        <w:t>进一步强化市质量强市工作领导小组职能，完善质量发展联席会议制度，制定实施方案和行动计划，研究质量发展重要事项，统一负责组织协调本规划的落实和推进工作。各级各相关部门要加强领导，统筹安排，落实责任，制定实施计划、方案，分解工作目标和任务，确保本规划的各项任务落到实处。</w:t>
      </w:r>
      <w:bookmarkStart w:id="177" w:name="_Toc25258"/>
      <w:bookmarkStart w:id="178" w:name="_Toc11653"/>
    </w:p>
    <w:p w14:paraId="7CB7E985">
      <w:pPr>
        <w:spacing w:line="576" w:lineRule="exact"/>
        <w:ind w:firstLine="632" w:firstLineChars="200"/>
        <w:rPr>
          <w:rStyle w:val="12"/>
          <w:rFonts w:ascii="黑体" w:hAnsi="宋体" w:eastAsia="黑体" w:cs="Times New Roman"/>
          <w:b/>
          <w:bCs/>
          <w:snapToGrid w:val="0"/>
          <w:color w:val="000000"/>
          <w:kern w:val="0"/>
        </w:rPr>
      </w:pPr>
      <w:r>
        <w:rPr>
          <w:rStyle w:val="12"/>
          <w:rFonts w:hint="eastAsia" w:ascii="黑体" w:hAnsi="宋体" w:eastAsia="黑体" w:cs="黑体"/>
          <w:snapToGrid w:val="0"/>
          <w:color w:val="000000"/>
          <w:kern w:val="0"/>
        </w:rPr>
        <w:t>二、完善配套政策</w:t>
      </w:r>
      <w:bookmarkEnd w:id="177"/>
      <w:bookmarkEnd w:id="178"/>
    </w:p>
    <w:p w14:paraId="683E981A">
      <w:pPr>
        <w:spacing w:line="576" w:lineRule="exact"/>
        <w:ind w:firstLine="632" w:firstLineChars="200"/>
        <w:rPr>
          <w:rStyle w:val="12"/>
          <w:rFonts w:ascii="仿宋_GB2312" w:hAnsi="宋体" w:cs="仿宋_GB2312"/>
          <w:snapToGrid w:val="0"/>
          <w:color w:val="000000"/>
          <w:kern w:val="0"/>
        </w:rPr>
      </w:pPr>
      <w:r>
        <w:rPr>
          <w:rStyle w:val="12"/>
          <w:rFonts w:hint="eastAsia" w:ascii="仿宋_GB2312" w:hAnsi="宋体" w:cs="仿宋_GB2312"/>
          <w:snapToGrid w:val="0"/>
          <w:color w:val="000000"/>
          <w:kern w:val="0"/>
        </w:rPr>
        <w:t>各级各部门要按照多规协同的原则，加强本规划与《广元市国民经济和社会发展第十三个五年规划纲要》及其他相关专业规划的衔接，切实加大对质量工作的投入，创新机制，制定质量发展专项资金等配套政策及措施，确保本规划目标任务得以实现。要优化质量发展奖励机制，完善质量工作奖励政策，鼓励协会、学会等社会组织设立质量奖项和质量奖励基金。</w:t>
      </w:r>
      <w:r>
        <w:rPr>
          <w:rStyle w:val="12"/>
          <w:rFonts w:ascii="仿宋_GB2312" w:hAnsi="宋体" w:cs="仿宋_GB2312"/>
          <w:snapToGrid w:val="0"/>
          <w:color w:val="000000"/>
          <w:kern w:val="0"/>
        </w:rPr>
        <w:t xml:space="preserve"> </w:t>
      </w:r>
      <w:bookmarkStart w:id="179" w:name="_Toc2898"/>
      <w:bookmarkStart w:id="180" w:name="_Toc19680"/>
    </w:p>
    <w:p w14:paraId="7E96DBF3">
      <w:pPr>
        <w:numPr>
          <w:ilvl w:val="0"/>
          <w:numId w:val="1"/>
        </w:numPr>
        <w:spacing w:line="576" w:lineRule="exact"/>
        <w:ind w:firstLine="632" w:firstLineChars="200"/>
        <w:rPr>
          <w:rStyle w:val="12"/>
          <w:rFonts w:ascii="黑体" w:hAnsi="宋体" w:eastAsia="黑体" w:cs="Times New Roman"/>
          <w:snapToGrid w:val="0"/>
          <w:color w:val="000000"/>
          <w:kern w:val="0"/>
        </w:rPr>
      </w:pPr>
      <w:r>
        <w:rPr>
          <w:rStyle w:val="12"/>
          <w:rFonts w:hint="eastAsia" w:ascii="黑体" w:hAnsi="宋体" w:eastAsia="黑体" w:cs="黑体"/>
          <w:snapToGrid w:val="0"/>
          <w:color w:val="000000"/>
          <w:kern w:val="0"/>
        </w:rPr>
        <w:t>强化</w:t>
      </w:r>
      <w:bookmarkEnd w:id="179"/>
      <w:bookmarkEnd w:id="180"/>
      <w:r>
        <w:rPr>
          <w:rStyle w:val="12"/>
          <w:rFonts w:hint="eastAsia" w:ascii="黑体" w:hAnsi="宋体" w:eastAsia="黑体" w:cs="黑体"/>
          <w:snapToGrid w:val="0"/>
          <w:color w:val="000000"/>
          <w:kern w:val="0"/>
        </w:rPr>
        <w:t>工作落实</w:t>
      </w:r>
    </w:p>
    <w:p w14:paraId="46F8CE28">
      <w:pPr>
        <w:spacing w:line="576" w:lineRule="exact"/>
        <w:ind w:firstLine="632" w:firstLineChars="200"/>
        <w:rPr>
          <w:rStyle w:val="12"/>
          <w:rFonts w:ascii="仿宋_GB2312" w:hAnsi="宋体" w:cs="仿宋_GB2312"/>
          <w:snapToGrid w:val="0"/>
          <w:color w:val="000000"/>
          <w:kern w:val="0"/>
        </w:rPr>
      </w:pPr>
      <w:r>
        <w:rPr>
          <w:rStyle w:val="12"/>
          <w:rFonts w:hint="eastAsia" w:ascii="仿宋_GB2312" w:hAnsi="宋体" w:cs="仿宋_GB2312"/>
          <w:snapToGrid w:val="0"/>
          <w:color w:val="000000"/>
          <w:kern w:val="0"/>
        </w:rPr>
        <w:t>各级各有关部门要完善地方政府负总责、企业负主责、监管部门承担监管责任的质量责任体系，构建政府监管、市场调节、企业主体、行业自律、社会参与的质量工作机制，充分运用市场、法律、行政等手段深化质量工作。要将落实质量发展规划同解决当前突出的质量问题结合起来，提高针对性，突出重点区域、重点领域、重点环节、重点产品和重点人群，有效解决事关公共安全、人身健康和生命财产安全的重点质量问题。要联系本地、本部门质量安全中的实际问题，落实本规划及年度行动计划确定的目标任务，夯实质量基础，维护质量安全，促进质量发展。</w:t>
      </w:r>
      <w:r>
        <w:rPr>
          <w:rStyle w:val="12"/>
          <w:rFonts w:ascii="仿宋_GB2312" w:hAnsi="宋体" w:cs="仿宋_GB2312"/>
          <w:snapToGrid w:val="0"/>
          <w:color w:val="000000"/>
          <w:kern w:val="0"/>
        </w:rPr>
        <w:t xml:space="preserve"> </w:t>
      </w:r>
    </w:p>
    <w:p w14:paraId="143389FC">
      <w:pPr>
        <w:spacing w:line="576" w:lineRule="exact"/>
        <w:ind w:firstLine="620" w:firstLineChars="196"/>
        <w:rPr>
          <w:rStyle w:val="12"/>
          <w:rFonts w:ascii="黑体" w:hAnsi="宋体" w:eastAsia="黑体" w:cs="Times New Roman"/>
          <w:b/>
          <w:bCs/>
          <w:snapToGrid w:val="0"/>
          <w:color w:val="000000"/>
          <w:kern w:val="0"/>
        </w:rPr>
      </w:pPr>
      <w:bookmarkStart w:id="181" w:name="_Toc30607"/>
      <w:bookmarkStart w:id="182" w:name="_Toc8224"/>
      <w:r>
        <w:rPr>
          <w:rStyle w:val="12"/>
          <w:rFonts w:hint="eastAsia" w:ascii="黑体" w:hAnsi="宋体" w:eastAsia="黑体" w:cs="黑体"/>
          <w:snapToGrid w:val="0"/>
          <w:color w:val="000000"/>
          <w:kern w:val="0"/>
        </w:rPr>
        <w:t>四、强化督促考核</w:t>
      </w:r>
      <w:bookmarkEnd w:id="181"/>
      <w:bookmarkEnd w:id="182"/>
    </w:p>
    <w:p w14:paraId="3B643E1C">
      <w:pPr>
        <w:spacing w:line="576" w:lineRule="exact"/>
        <w:ind w:firstLine="620" w:firstLineChars="196"/>
        <w:rPr>
          <w:rStyle w:val="12"/>
          <w:rFonts w:ascii="仿宋_GB2312" w:hAnsi="宋体" w:cs="Times New Roman"/>
          <w:snapToGrid w:val="0"/>
          <w:color w:val="000000"/>
          <w:kern w:val="0"/>
        </w:rPr>
      </w:pPr>
      <w:r>
        <w:rPr>
          <w:rStyle w:val="12"/>
          <w:rFonts w:hint="eastAsia" w:ascii="仿宋_GB2312" w:hAnsi="宋体" w:cs="仿宋_GB2312"/>
          <w:snapToGrid w:val="0"/>
          <w:color w:val="000000"/>
          <w:kern w:val="0"/>
        </w:rPr>
        <w:t>建立规划实施目标管理督查机制，增加规划在质量考核中的权重和比值，加大规划实施目标的考核力度。市质量强市工作领导小组要定期组织开展规划实施情况的评估和跟踪分析，注重研究新情况、解决新问题，总结新经验，增强规划的导向性和约束性指导，确保规划所确定的各项目标顺利完成。</w:t>
      </w:r>
    </w:p>
    <w:sectPr>
      <w:footerReference r:id="rId3" w:type="default"/>
      <w:footerReference r:id="rId4" w:type="even"/>
      <w:pgSz w:w="11907" w:h="16840"/>
      <w:pgMar w:top="2098" w:right="1474" w:bottom="1985" w:left="1588" w:header="851" w:footer="1418" w:gutter="0"/>
      <w:cols w:space="425" w:num="1"/>
      <w:rtlGutter w:val="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1" w:csb1="00000000"/>
  </w:font>
  <w:font w:name="Helvetica">
    <w:altName w:val="Arial"/>
    <w:panose1 w:val="020B0604020202020204"/>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05D01B">
    <w:pPr>
      <w:pStyle w:val="7"/>
      <w:framePr w:wrap="auto" w:vAnchor="text" w:hAnchor="margin" w:xAlign="outside" w:y="1"/>
      <w:rPr>
        <w:rStyle w:val="13"/>
        <w:rFonts w:ascii="宋体" w:hAnsi="宋体" w:eastAsia="宋体" w:cs="Times New Roman"/>
        <w:sz w:val="28"/>
        <w:szCs w:val="28"/>
      </w:rPr>
    </w:pPr>
    <w:r>
      <w:rPr>
        <w:rStyle w:val="13"/>
        <w:rFonts w:ascii="宋体" w:hAnsi="宋体" w:eastAsia="宋体" w:cs="宋体"/>
        <w:sz w:val="28"/>
        <w:szCs w:val="28"/>
      </w:rPr>
      <w:t xml:space="preserve">— </w:t>
    </w:r>
    <w:r>
      <w:rPr>
        <w:rStyle w:val="13"/>
        <w:rFonts w:ascii="宋体" w:hAnsi="宋体" w:eastAsia="宋体" w:cs="宋体"/>
        <w:sz w:val="28"/>
        <w:szCs w:val="28"/>
      </w:rPr>
      <w:fldChar w:fldCharType="begin"/>
    </w:r>
    <w:r>
      <w:rPr>
        <w:rStyle w:val="13"/>
        <w:rFonts w:ascii="宋体" w:hAnsi="宋体" w:eastAsia="宋体" w:cs="宋体"/>
        <w:sz w:val="28"/>
        <w:szCs w:val="28"/>
      </w:rPr>
      <w:instrText xml:space="preserve">PAGE  </w:instrText>
    </w:r>
    <w:r>
      <w:rPr>
        <w:rStyle w:val="13"/>
        <w:rFonts w:ascii="宋体" w:hAnsi="宋体" w:eastAsia="宋体" w:cs="宋体"/>
        <w:sz w:val="28"/>
        <w:szCs w:val="28"/>
      </w:rPr>
      <w:fldChar w:fldCharType="separate"/>
    </w:r>
    <w:r>
      <w:rPr>
        <w:rStyle w:val="13"/>
        <w:rFonts w:ascii="宋体" w:hAnsi="宋体" w:eastAsia="宋体" w:cs="宋体"/>
        <w:sz w:val="28"/>
        <w:szCs w:val="28"/>
      </w:rPr>
      <w:t>1</w:t>
    </w:r>
    <w:r>
      <w:rPr>
        <w:rStyle w:val="13"/>
        <w:rFonts w:ascii="宋体" w:hAnsi="宋体" w:eastAsia="宋体" w:cs="宋体"/>
        <w:sz w:val="28"/>
        <w:szCs w:val="28"/>
      </w:rPr>
      <w:fldChar w:fldCharType="end"/>
    </w:r>
    <w:r>
      <w:rPr>
        <w:rStyle w:val="13"/>
        <w:rFonts w:ascii="宋体" w:hAnsi="宋体" w:eastAsia="宋体" w:cs="宋体"/>
        <w:sz w:val="28"/>
        <w:szCs w:val="28"/>
      </w:rPr>
      <w:t xml:space="preserve"> —</w:t>
    </w:r>
  </w:p>
  <w:p w14:paraId="47393013">
    <w:pPr>
      <w:pStyle w:val="7"/>
      <w:ind w:right="360" w:firstLine="360"/>
      <w:jc w:val="right"/>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1C4D7D">
    <w:pPr>
      <w:pStyle w:val="7"/>
      <w:framePr w:wrap="auto" w:vAnchor="text" w:hAnchor="margin" w:xAlign="outside" w:y="1"/>
      <w:rPr>
        <w:rStyle w:val="13"/>
        <w:rFonts w:ascii="宋体" w:hAnsi="宋体" w:eastAsia="宋体" w:cs="Times New Roman"/>
        <w:sz w:val="28"/>
        <w:szCs w:val="28"/>
      </w:rPr>
    </w:pPr>
    <w:r>
      <w:rPr>
        <w:rStyle w:val="13"/>
        <w:rFonts w:ascii="宋体" w:hAnsi="宋体" w:eastAsia="宋体" w:cs="宋体"/>
        <w:sz w:val="28"/>
        <w:szCs w:val="28"/>
      </w:rPr>
      <w:t xml:space="preserve">— </w:t>
    </w:r>
    <w:r>
      <w:rPr>
        <w:rStyle w:val="13"/>
        <w:rFonts w:ascii="宋体" w:hAnsi="宋体" w:eastAsia="宋体" w:cs="宋体"/>
        <w:sz w:val="28"/>
        <w:szCs w:val="28"/>
      </w:rPr>
      <w:fldChar w:fldCharType="begin"/>
    </w:r>
    <w:r>
      <w:rPr>
        <w:rStyle w:val="13"/>
        <w:rFonts w:ascii="宋体" w:hAnsi="宋体" w:eastAsia="宋体" w:cs="宋体"/>
        <w:sz w:val="28"/>
        <w:szCs w:val="28"/>
      </w:rPr>
      <w:instrText xml:space="preserve">PAGE  </w:instrText>
    </w:r>
    <w:r>
      <w:rPr>
        <w:rStyle w:val="13"/>
        <w:rFonts w:ascii="宋体" w:hAnsi="宋体" w:eastAsia="宋体" w:cs="宋体"/>
        <w:sz w:val="28"/>
        <w:szCs w:val="28"/>
      </w:rPr>
      <w:fldChar w:fldCharType="separate"/>
    </w:r>
    <w:r>
      <w:rPr>
        <w:rStyle w:val="13"/>
        <w:rFonts w:ascii="宋体" w:hAnsi="宋体" w:eastAsia="宋体" w:cs="宋体"/>
        <w:sz w:val="28"/>
        <w:szCs w:val="28"/>
      </w:rPr>
      <w:t>2</w:t>
    </w:r>
    <w:r>
      <w:rPr>
        <w:rStyle w:val="13"/>
        <w:rFonts w:ascii="宋体" w:hAnsi="宋体" w:eastAsia="宋体" w:cs="宋体"/>
        <w:sz w:val="28"/>
        <w:szCs w:val="28"/>
      </w:rPr>
      <w:fldChar w:fldCharType="end"/>
    </w:r>
    <w:r>
      <w:rPr>
        <w:rStyle w:val="13"/>
        <w:rFonts w:ascii="宋体" w:hAnsi="宋体" w:eastAsia="宋体" w:cs="宋体"/>
        <w:sz w:val="28"/>
        <w:szCs w:val="28"/>
      </w:rPr>
      <w:t xml:space="preserve"> —</w:t>
    </w:r>
  </w:p>
  <w:p w14:paraId="36332834">
    <w:pPr>
      <w:pStyle w:val="7"/>
      <w:ind w:right="360" w:firstLine="360"/>
      <w:rPr>
        <w:rFonts w:ascii="宋体" w:hAnsi="宋体" w:eastAsia="宋体" w:cs="Times New Roman"/>
        <w:sz w:val="28"/>
        <w:szCs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507C91"/>
    <w:multiLevelType w:val="singleLevel"/>
    <w:tmpl w:val="59507C91"/>
    <w:lvl w:ilvl="0" w:tentative="0">
      <w:start w:val="3"/>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NotTrackMoves/>
  <w:documentProtection w:enforcement="0"/>
  <w:defaultTabStop w:val="420"/>
  <w:doNotHyphenateCaps/>
  <w:evenAndOddHeaders w:val="1"/>
  <w:drawingGridHorizontalSpacing w:val="158"/>
  <w:drawingGridVerticalSpacing w:val="579"/>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zE3MTRiZGE2ODk4OGRjYzhlOTIwY2ZiY2ZkMDg2ZWMifQ=="/>
  </w:docVars>
  <w:rsids>
    <w:rsidRoot w:val="003B6342"/>
    <w:rsid w:val="00001992"/>
    <w:rsid w:val="00031B3B"/>
    <w:rsid w:val="00034959"/>
    <w:rsid w:val="00043E83"/>
    <w:rsid w:val="0006604C"/>
    <w:rsid w:val="00072870"/>
    <w:rsid w:val="0008363E"/>
    <w:rsid w:val="00085556"/>
    <w:rsid w:val="000906BB"/>
    <w:rsid w:val="00092993"/>
    <w:rsid w:val="00095150"/>
    <w:rsid w:val="0009531A"/>
    <w:rsid w:val="000A1354"/>
    <w:rsid w:val="000A4340"/>
    <w:rsid w:val="000A48A6"/>
    <w:rsid w:val="000A7266"/>
    <w:rsid w:val="000A7CE8"/>
    <w:rsid w:val="000B3D22"/>
    <w:rsid w:val="000C6C75"/>
    <w:rsid w:val="000D2E5C"/>
    <w:rsid w:val="000D34C5"/>
    <w:rsid w:val="000D5140"/>
    <w:rsid w:val="000E2026"/>
    <w:rsid w:val="00100A1A"/>
    <w:rsid w:val="00116656"/>
    <w:rsid w:val="00116E06"/>
    <w:rsid w:val="001234CF"/>
    <w:rsid w:val="00125E29"/>
    <w:rsid w:val="00126033"/>
    <w:rsid w:val="001362E7"/>
    <w:rsid w:val="00137C39"/>
    <w:rsid w:val="001506A0"/>
    <w:rsid w:val="00155278"/>
    <w:rsid w:val="0017032D"/>
    <w:rsid w:val="00173E28"/>
    <w:rsid w:val="0017525A"/>
    <w:rsid w:val="001A0F21"/>
    <w:rsid w:val="001A4B82"/>
    <w:rsid w:val="001A5312"/>
    <w:rsid w:val="001B28DE"/>
    <w:rsid w:val="001B73C0"/>
    <w:rsid w:val="001C0287"/>
    <w:rsid w:val="001D36B8"/>
    <w:rsid w:val="001E484C"/>
    <w:rsid w:val="001F6FF7"/>
    <w:rsid w:val="0020662E"/>
    <w:rsid w:val="00206A38"/>
    <w:rsid w:val="00212808"/>
    <w:rsid w:val="00226F8B"/>
    <w:rsid w:val="00245FB1"/>
    <w:rsid w:val="00252C55"/>
    <w:rsid w:val="00285E31"/>
    <w:rsid w:val="0029714A"/>
    <w:rsid w:val="002A3588"/>
    <w:rsid w:val="002B0C29"/>
    <w:rsid w:val="002C79B7"/>
    <w:rsid w:val="003025DE"/>
    <w:rsid w:val="00322EFA"/>
    <w:rsid w:val="00343A07"/>
    <w:rsid w:val="0035185A"/>
    <w:rsid w:val="00355C08"/>
    <w:rsid w:val="00372F61"/>
    <w:rsid w:val="003760DD"/>
    <w:rsid w:val="003776CB"/>
    <w:rsid w:val="003911FC"/>
    <w:rsid w:val="00395F31"/>
    <w:rsid w:val="00396057"/>
    <w:rsid w:val="003B3261"/>
    <w:rsid w:val="003B6342"/>
    <w:rsid w:val="003D419E"/>
    <w:rsid w:val="003E242D"/>
    <w:rsid w:val="003F46AC"/>
    <w:rsid w:val="003F5F53"/>
    <w:rsid w:val="003F7D6B"/>
    <w:rsid w:val="004042C8"/>
    <w:rsid w:val="00405312"/>
    <w:rsid w:val="004107F7"/>
    <w:rsid w:val="004233C4"/>
    <w:rsid w:val="004236A5"/>
    <w:rsid w:val="00425FE9"/>
    <w:rsid w:val="00426AB9"/>
    <w:rsid w:val="00445A7C"/>
    <w:rsid w:val="00452426"/>
    <w:rsid w:val="004535F2"/>
    <w:rsid w:val="004725F7"/>
    <w:rsid w:val="004850E9"/>
    <w:rsid w:val="00485297"/>
    <w:rsid w:val="004879F6"/>
    <w:rsid w:val="004972AC"/>
    <w:rsid w:val="004A3112"/>
    <w:rsid w:val="004A34E4"/>
    <w:rsid w:val="004B4641"/>
    <w:rsid w:val="004D0352"/>
    <w:rsid w:val="004D5740"/>
    <w:rsid w:val="004E03DE"/>
    <w:rsid w:val="004E1DDB"/>
    <w:rsid w:val="004F0E27"/>
    <w:rsid w:val="004F2B11"/>
    <w:rsid w:val="00516F8F"/>
    <w:rsid w:val="005238B1"/>
    <w:rsid w:val="00573286"/>
    <w:rsid w:val="00580C74"/>
    <w:rsid w:val="00590A9B"/>
    <w:rsid w:val="00590CA2"/>
    <w:rsid w:val="00591CA4"/>
    <w:rsid w:val="005920AE"/>
    <w:rsid w:val="005924F8"/>
    <w:rsid w:val="00596B4C"/>
    <w:rsid w:val="005B077D"/>
    <w:rsid w:val="005B6AE7"/>
    <w:rsid w:val="005D0743"/>
    <w:rsid w:val="005D7D00"/>
    <w:rsid w:val="005E4A2C"/>
    <w:rsid w:val="005F20A3"/>
    <w:rsid w:val="005F21DF"/>
    <w:rsid w:val="0062100C"/>
    <w:rsid w:val="00622777"/>
    <w:rsid w:val="0063066C"/>
    <w:rsid w:val="00651960"/>
    <w:rsid w:val="00677184"/>
    <w:rsid w:val="00680B11"/>
    <w:rsid w:val="006A32DF"/>
    <w:rsid w:val="006A40FD"/>
    <w:rsid w:val="006A7C93"/>
    <w:rsid w:val="006B1205"/>
    <w:rsid w:val="006B1D15"/>
    <w:rsid w:val="006B7104"/>
    <w:rsid w:val="006C43C5"/>
    <w:rsid w:val="006C5DBB"/>
    <w:rsid w:val="006E1508"/>
    <w:rsid w:val="006E66CC"/>
    <w:rsid w:val="006F47E6"/>
    <w:rsid w:val="00703B78"/>
    <w:rsid w:val="00710201"/>
    <w:rsid w:val="00727AE7"/>
    <w:rsid w:val="007358A3"/>
    <w:rsid w:val="007410E1"/>
    <w:rsid w:val="0074393A"/>
    <w:rsid w:val="007451F2"/>
    <w:rsid w:val="007620C1"/>
    <w:rsid w:val="0076606F"/>
    <w:rsid w:val="00776EFD"/>
    <w:rsid w:val="00782A9F"/>
    <w:rsid w:val="00787501"/>
    <w:rsid w:val="007A1ED4"/>
    <w:rsid w:val="007B06BB"/>
    <w:rsid w:val="007C09BC"/>
    <w:rsid w:val="007C1F9D"/>
    <w:rsid w:val="007F3592"/>
    <w:rsid w:val="0081086F"/>
    <w:rsid w:val="008268B2"/>
    <w:rsid w:val="00831E47"/>
    <w:rsid w:val="00832541"/>
    <w:rsid w:val="00836CFC"/>
    <w:rsid w:val="0084056C"/>
    <w:rsid w:val="008414B9"/>
    <w:rsid w:val="008446A5"/>
    <w:rsid w:val="00851C4B"/>
    <w:rsid w:val="008670C3"/>
    <w:rsid w:val="008728AE"/>
    <w:rsid w:val="00876EEC"/>
    <w:rsid w:val="008957F4"/>
    <w:rsid w:val="008B1AE7"/>
    <w:rsid w:val="008B7C66"/>
    <w:rsid w:val="008C0D2E"/>
    <w:rsid w:val="008C14EB"/>
    <w:rsid w:val="008D707F"/>
    <w:rsid w:val="008E2398"/>
    <w:rsid w:val="008E6565"/>
    <w:rsid w:val="008F1686"/>
    <w:rsid w:val="008F26C4"/>
    <w:rsid w:val="009056EA"/>
    <w:rsid w:val="009141A3"/>
    <w:rsid w:val="0092307B"/>
    <w:rsid w:val="00930C15"/>
    <w:rsid w:val="00930DA6"/>
    <w:rsid w:val="00934452"/>
    <w:rsid w:val="00937DAA"/>
    <w:rsid w:val="0094204B"/>
    <w:rsid w:val="00943696"/>
    <w:rsid w:val="00947BE8"/>
    <w:rsid w:val="0095717F"/>
    <w:rsid w:val="00960256"/>
    <w:rsid w:val="00965502"/>
    <w:rsid w:val="00965B28"/>
    <w:rsid w:val="009667CD"/>
    <w:rsid w:val="00971EBC"/>
    <w:rsid w:val="00977159"/>
    <w:rsid w:val="00977B19"/>
    <w:rsid w:val="009873A6"/>
    <w:rsid w:val="0099185F"/>
    <w:rsid w:val="0099399F"/>
    <w:rsid w:val="009A2D57"/>
    <w:rsid w:val="009A3637"/>
    <w:rsid w:val="009B4038"/>
    <w:rsid w:val="009C43D5"/>
    <w:rsid w:val="009C4E59"/>
    <w:rsid w:val="009C7717"/>
    <w:rsid w:val="009D73F8"/>
    <w:rsid w:val="009F468C"/>
    <w:rsid w:val="00A2593E"/>
    <w:rsid w:val="00A44DF1"/>
    <w:rsid w:val="00A4571D"/>
    <w:rsid w:val="00A72801"/>
    <w:rsid w:val="00A73966"/>
    <w:rsid w:val="00A7459C"/>
    <w:rsid w:val="00A773A0"/>
    <w:rsid w:val="00AA073C"/>
    <w:rsid w:val="00AA07BD"/>
    <w:rsid w:val="00AA186B"/>
    <w:rsid w:val="00AA7E96"/>
    <w:rsid w:val="00AB6D60"/>
    <w:rsid w:val="00AC1B12"/>
    <w:rsid w:val="00AD702F"/>
    <w:rsid w:val="00AE4A85"/>
    <w:rsid w:val="00AE4B2C"/>
    <w:rsid w:val="00AF2260"/>
    <w:rsid w:val="00AF4202"/>
    <w:rsid w:val="00B15DB5"/>
    <w:rsid w:val="00B3430F"/>
    <w:rsid w:val="00B41E1D"/>
    <w:rsid w:val="00B5178A"/>
    <w:rsid w:val="00B64AEB"/>
    <w:rsid w:val="00B70594"/>
    <w:rsid w:val="00B81F9B"/>
    <w:rsid w:val="00B83CEF"/>
    <w:rsid w:val="00B95B49"/>
    <w:rsid w:val="00B97651"/>
    <w:rsid w:val="00BA0386"/>
    <w:rsid w:val="00BA1D35"/>
    <w:rsid w:val="00BA7F07"/>
    <w:rsid w:val="00BB4D1F"/>
    <w:rsid w:val="00BC2323"/>
    <w:rsid w:val="00BC2B60"/>
    <w:rsid w:val="00BF4F4B"/>
    <w:rsid w:val="00BF7216"/>
    <w:rsid w:val="00C119C2"/>
    <w:rsid w:val="00C14615"/>
    <w:rsid w:val="00C153B7"/>
    <w:rsid w:val="00C3074E"/>
    <w:rsid w:val="00C3084B"/>
    <w:rsid w:val="00C335F7"/>
    <w:rsid w:val="00C349C3"/>
    <w:rsid w:val="00C46E7E"/>
    <w:rsid w:val="00C53D90"/>
    <w:rsid w:val="00C6037E"/>
    <w:rsid w:val="00C67E6A"/>
    <w:rsid w:val="00C70B55"/>
    <w:rsid w:val="00C91A29"/>
    <w:rsid w:val="00C946A9"/>
    <w:rsid w:val="00C9636C"/>
    <w:rsid w:val="00CA50D8"/>
    <w:rsid w:val="00CB43F3"/>
    <w:rsid w:val="00CC2CC2"/>
    <w:rsid w:val="00CC32C1"/>
    <w:rsid w:val="00CD42FF"/>
    <w:rsid w:val="00CD793A"/>
    <w:rsid w:val="00CE29CC"/>
    <w:rsid w:val="00CE5C09"/>
    <w:rsid w:val="00CF1BC1"/>
    <w:rsid w:val="00CF1ED8"/>
    <w:rsid w:val="00D055CB"/>
    <w:rsid w:val="00D2228D"/>
    <w:rsid w:val="00D36A53"/>
    <w:rsid w:val="00D443E1"/>
    <w:rsid w:val="00D55ED8"/>
    <w:rsid w:val="00D6667A"/>
    <w:rsid w:val="00D72E01"/>
    <w:rsid w:val="00D730CD"/>
    <w:rsid w:val="00D842A2"/>
    <w:rsid w:val="00D85B39"/>
    <w:rsid w:val="00D96A2C"/>
    <w:rsid w:val="00DA5080"/>
    <w:rsid w:val="00DB2A14"/>
    <w:rsid w:val="00DD1DF2"/>
    <w:rsid w:val="00DD5968"/>
    <w:rsid w:val="00DE28FA"/>
    <w:rsid w:val="00DF4C78"/>
    <w:rsid w:val="00DF6BD8"/>
    <w:rsid w:val="00E00A61"/>
    <w:rsid w:val="00E01D82"/>
    <w:rsid w:val="00E02B09"/>
    <w:rsid w:val="00E40181"/>
    <w:rsid w:val="00E403FF"/>
    <w:rsid w:val="00E421C2"/>
    <w:rsid w:val="00E538C3"/>
    <w:rsid w:val="00E60B8A"/>
    <w:rsid w:val="00E666E1"/>
    <w:rsid w:val="00E66A3F"/>
    <w:rsid w:val="00E73712"/>
    <w:rsid w:val="00E765D6"/>
    <w:rsid w:val="00E803C7"/>
    <w:rsid w:val="00E921FC"/>
    <w:rsid w:val="00E94C76"/>
    <w:rsid w:val="00EA2C36"/>
    <w:rsid w:val="00EB1885"/>
    <w:rsid w:val="00EB53F1"/>
    <w:rsid w:val="00EC55C1"/>
    <w:rsid w:val="00ED2759"/>
    <w:rsid w:val="00EE1543"/>
    <w:rsid w:val="00F134B1"/>
    <w:rsid w:val="00F21364"/>
    <w:rsid w:val="00F26181"/>
    <w:rsid w:val="00F359A7"/>
    <w:rsid w:val="00F40B8C"/>
    <w:rsid w:val="00F46BBC"/>
    <w:rsid w:val="00F5141C"/>
    <w:rsid w:val="00F561CB"/>
    <w:rsid w:val="00F578A9"/>
    <w:rsid w:val="00F6316F"/>
    <w:rsid w:val="00F859F1"/>
    <w:rsid w:val="00F91D12"/>
    <w:rsid w:val="00FB66FA"/>
    <w:rsid w:val="00FF2638"/>
    <w:rsid w:val="00FF26DA"/>
    <w:rsid w:val="0373372E"/>
    <w:rsid w:val="128E7858"/>
    <w:rsid w:val="16315522"/>
    <w:rsid w:val="2157180A"/>
    <w:rsid w:val="378E5E41"/>
    <w:rsid w:val="5FA137BC"/>
    <w:rsid w:val="7668731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unhideWhenUsed="0" w:uiPriority="99" w:semiHidden="0" w:name="header"/>
    <w:lsdException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nhideWhenUsed="0" w:uiPriority="99" w:semiHidden="0"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nhideWhenUsed="0" w:uiPriority="99" w:semiHidden="0" w:name="Hyperlink"/>
    <w:lsdException w:unhideWhenUsed="0" w:uiPriority="99" w:semiHidden="0" w:name="FollowedHyperlink"/>
    <w:lsdException w:qFormat="1" w:unhideWhenUsed="0" w:uiPriority="99" w:semiHidden="0" w:name="Strong"/>
    <w:lsdException w:qFormat="1" w:unhideWhenUsed="0" w:uiPriority="99" w:semiHidden="0" w:name="Emphasis"/>
    <w:lsdException w:uiPriority="99" w:name="Document Map" w:locked="1"/>
    <w:lsdException w:uiPriority="99" w:name="Plain Text" w:locked="1"/>
    <w:lsdException w:uiPriority="99" w:name="E-mail Signature" w:locked="1"/>
    <w:lsdException w:unhideWhenUsed="0" w:uiPriority="99" w:semiHidden="0" w:name="Normal (Web)"/>
    <w:lsdException w:unhideWhenUsed="0" w:uiPriority="99" w:semiHidden="0" w:name="HTML Acronym"/>
    <w:lsdException w:uiPriority="99" w:name="HTML Address" w:locked="1"/>
    <w:lsdException w:unhideWhenUsed="0" w:uiPriority="99" w:semiHidden="0" w:name="HTML Cite"/>
    <w:lsdException w:unhideWhenUsed="0" w:uiPriority="99" w:semiHidden="0" w:name="HTML Code"/>
    <w:lsdException w:unhideWhenUsed="0" w:uiPriority="99" w:semiHidden="0" w:name="HTML Definition"/>
    <w:lsdException w:uiPriority="99" w:name="HTML Keyboard" w:locked="1"/>
    <w:lsdException w:uiPriority="99" w:name="HTML Preformatted" w:locked="1"/>
    <w:lsdException w:unhideWhenUsed="0" w:uiPriority="99" w:semiHidden="0" w:name="HTML Sample"/>
    <w:lsdException w:uiPriority="99" w:name="HTML Typewriter" w:locked="1"/>
    <w:lsdException w:unhideWhenUsed="0" w:uiPriority="99" w:semiHidden="0" w:name="HTML Variable"/>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nhideWhenUsed="0" w:uiPriority="99"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Calibri"/>
      <w:kern w:val="2"/>
      <w:sz w:val="32"/>
      <w:szCs w:val="32"/>
      <w:lang w:val="en-US" w:eastAsia="zh-CN" w:bidi="ar-SA"/>
    </w:rPr>
  </w:style>
  <w:style w:type="paragraph" w:styleId="2">
    <w:name w:val="heading 1"/>
    <w:basedOn w:val="1"/>
    <w:next w:val="1"/>
    <w:link w:val="23"/>
    <w:qFormat/>
    <w:uiPriority w:val="9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24"/>
    <w:qFormat/>
    <w:uiPriority w:val="99"/>
    <w:pPr>
      <w:keepNext/>
      <w:keepLines/>
      <w:spacing w:before="260" w:after="260" w:line="416" w:lineRule="auto"/>
      <w:outlineLvl w:val="1"/>
    </w:pPr>
    <w:rPr>
      <w:rFonts w:ascii="Arial" w:hAnsi="Arial" w:eastAsia="黑体" w:cs="Arial"/>
      <w:b/>
      <w:bCs/>
    </w:rPr>
  </w:style>
  <w:style w:type="paragraph" w:styleId="4">
    <w:name w:val="heading 3"/>
    <w:basedOn w:val="1"/>
    <w:next w:val="1"/>
    <w:link w:val="25"/>
    <w:qFormat/>
    <w:uiPriority w:val="99"/>
    <w:pPr>
      <w:keepNext/>
      <w:keepLines/>
      <w:spacing w:before="260" w:after="260" w:line="416" w:lineRule="auto"/>
      <w:outlineLvl w:val="2"/>
    </w:pPr>
    <w:rPr>
      <w:rFonts w:ascii="Times New Roman" w:hAnsi="Times New Roman" w:eastAsia="宋体" w:cs="Times New Roman"/>
      <w:b/>
      <w:bCs/>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Date"/>
    <w:basedOn w:val="1"/>
    <w:next w:val="1"/>
    <w:link w:val="26"/>
    <w:uiPriority w:val="99"/>
    <w:pPr>
      <w:ind w:left="100" w:leftChars="2500"/>
    </w:pPr>
  </w:style>
  <w:style w:type="paragraph" w:styleId="6">
    <w:name w:val="Balloon Text"/>
    <w:basedOn w:val="1"/>
    <w:link w:val="27"/>
    <w:semiHidden/>
    <w:uiPriority w:val="99"/>
    <w:rPr>
      <w:sz w:val="18"/>
      <w:szCs w:val="18"/>
    </w:rPr>
  </w:style>
  <w:style w:type="paragraph" w:styleId="7">
    <w:name w:val="footer"/>
    <w:basedOn w:val="1"/>
    <w:link w:val="28"/>
    <w:uiPriority w:val="99"/>
    <w:pPr>
      <w:tabs>
        <w:tab w:val="center" w:pos="4153"/>
        <w:tab w:val="right" w:pos="8306"/>
      </w:tabs>
      <w:snapToGrid w:val="0"/>
      <w:jc w:val="left"/>
    </w:pPr>
    <w:rPr>
      <w:sz w:val="18"/>
      <w:szCs w:val="18"/>
    </w:rPr>
  </w:style>
  <w:style w:type="paragraph" w:styleId="8">
    <w:name w:val="header"/>
    <w:basedOn w:val="1"/>
    <w:link w:val="29"/>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iPriority w:val="99"/>
    <w:pPr>
      <w:spacing w:beforeAutospacing="1" w:afterAutospacing="1"/>
      <w:jc w:val="left"/>
    </w:pPr>
    <w:rPr>
      <w:rFonts w:eastAsia="宋体"/>
      <w:kern w:val="0"/>
      <w:sz w:val="24"/>
      <w:szCs w:val="24"/>
    </w:rPr>
  </w:style>
  <w:style w:type="character" w:styleId="12">
    <w:name w:val="Strong"/>
    <w:basedOn w:val="11"/>
    <w:qFormat/>
    <w:uiPriority w:val="99"/>
    <w:rPr>
      <w:rFonts w:eastAsia="仿宋_GB2312"/>
      <w:sz w:val="32"/>
      <w:szCs w:val="32"/>
    </w:rPr>
  </w:style>
  <w:style w:type="character" w:styleId="13">
    <w:name w:val="page number"/>
    <w:basedOn w:val="11"/>
    <w:locked/>
    <w:uiPriority w:val="99"/>
  </w:style>
  <w:style w:type="character" w:styleId="14">
    <w:name w:val="FollowedHyperlink"/>
    <w:basedOn w:val="11"/>
    <w:uiPriority w:val="99"/>
    <w:rPr>
      <w:color w:val="000000"/>
      <w:sz w:val="18"/>
      <w:szCs w:val="18"/>
      <w:u w:val="none"/>
    </w:rPr>
  </w:style>
  <w:style w:type="character" w:styleId="15">
    <w:name w:val="Emphasis"/>
    <w:basedOn w:val="11"/>
    <w:qFormat/>
    <w:uiPriority w:val="99"/>
  </w:style>
  <w:style w:type="character" w:styleId="16">
    <w:name w:val="HTML Definition"/>
    <w:basedOn w:val="11"/>
    <w:uiPriority w:val="99"/>
  </w:style>
  <w:style w:type="character" w:styleId="17">
    <w:name w:val="HTML Acronym"/>
    <w:basedOn w:val="11"/>
    <w:uiPriority w:val="99"/>
  </w:style>
  <w:style w:type="character" w:styleId="18">
    <w:name w:val="HTML Variable"/>
    <w:basedOn w:val="11"/>
    <w:uiPriority w:val="99"/>
  </w:style>
  <w:style w:type="character" w:styleId="19">
    <w:name w:val="Hyperlink"/>
    <w:basedOn w:val="11"/>
    <w:uiPriority w:val="99"/>
    <w:rPr>
      <w:color w:val="000000"/>
      <w:sz w:val="18"/>
      <w:szCs w:val="18"/>
      <w:u w:val="none"/>
    </w:rPr>
  </w:style>
  <w:style w:type="character" w:styleId="20">
    <w:name w:val="HTML Code"/>
    <w:basedOn w:val="11"/>
    <w:uiPriority w:val="99"/>
    <w:rPr>
      <w:rFonts w:ascii="微软雅黑" w:hAnsi="微软雅黑" w:eastAsia="微软雅黑" w:cs="微软雅黑"/>
      <w:sz w:val="18"/>
      <w:szCs w:val="18"/>
    </w:rPr>
  </w:style>
  <w:style w:type="character" w:styleId="21">
    <w:name w:val="HTML Cite"/>
    <w:basedOn w:val="11"/>
    <w:uiPriority w:val="99"/>
  </w:style>
  <w:style w:type="character" w:styleId="22">
    <w:name w:val="HTML Sample"/>
    <w:basedOn w:val="11"/>
    <w:uiPriority w:val="99"/>
    <w:rPr>
      <w:rFonts w:ascii="Courier New" w:hAnsi="Courier New" w:cs="Courier New"/>
    </w:rPr>
  </w:style>
  <w:style w:type="character" w:customStyle="1" w:styleId="23">
    <w:name w:val="标题 1 Char"/>
    <w:basedOn w:val="11"/>
    <w:link w:val="2"/>
    <w:locked/>
    <w:uiPriority w:val="99"/>
    <w:rPr>
      <w:rFonts w:ascii="Times New Roman" w:hAnsi="Times New Roman" w:eastAsia="宋体" w:cs="Times New Roman"/>
      <w:b/>
      <w:bCs/>
      <w:kern w:val="44"/>
      <w:sz w:val="44"/>
      <w:szCs w:val="44"/>
    </w:rPr>
  </w:style>
  <w:style w:type="character" w:customStyle="1" w:styleId="24">
    <w:name w:val="标题 2 Char"/>
    <w:basedOn w:val="11"/>
    <w:link w:val="3"/>
    <w:locked/>
    <w:uiPriority w:val="99"/>
    <w:rPr>
      <w:rFonts w:ascii="Arial" w:hAnsi="Arial" w:eastAsia="黑体" w:cs="Arial"/>
      <w:b/>
      <w:bCs/>
      <w:sz w:val="32"/>
      <w:szCs w:val="32"/>
    </w:rPr>
  </w:style>
  <w:style w:type="character" w:customStyle="1" w:styleId="25">
    <w:name w:val="标题 3 Char"/>
    <w:basedOn w:val="11"/>
    <w:link w:val="4"/>
    <w:locked/>
    <w:uiPriority w:val="99"/>
    <w:rPr>
      <w:rFonts w:ascii="Times New Roman" w:hAnsi="Times New Roman" w:eastAsia="宋体" w:cs="Times New Roman"/>
      <w:b/>
      <w:bCs/>
      <w:sz w:val="32"/>
      <w:szCs w:val="32"/>
    </w:rPr>
  </w:style>
  <w:style w:type="character" w:customStyle="1" w:styleId="26">
    <w:name w:val="日期 Char"/>
    <w:basedOn w:val="11"/>
    <w:link w:val="5"/>
    <w:semiHidden/>
    <w:locked/>
    <w:uiPriority w:val="99"/>
  </w:style>
  <w:style w:type="character" w:customStyle="1" w:styleId="27">
    <w:name w:val="批注框文本 Char"/>
    <w:basedOn w:val="11"/>
    <w:link w:val="6"/>
    <w:semiHidden/>
    <w:locked/>
    <w:uiPriority w:val="99"/>
    <w:rPr>
      <w:rFonts w:eastAsia="仿宋_GB2312"/>
      <w:sz w:val="18"/>
      <w:szCs w:val="18"/>
    </w:rPr>
  </w:style>
  <w:style w:type="character" w:customStyle="1" w:styleId="28">
    <w:name w:val="页脚 Char"/>
    <w:basedOn w:val="11"/>
    <w:link w:val="7"/>
    <w:locked/>
    <w:uiPriority w:val="99"/>
    <w:rPr>
      <w:sz w:val="18"/>
      <w:szCs w:val="18"/>
    </w:rPr>
  </w:style>
  <w:style w:type="character" w:customStyle="1" w:styleId="29">
    <w:name w:val="页眉 Char"/>
    <w:basedOn w:val="11"/>
    <w:link w:val="8"/>
    <w:semiHidden/>
    <w:locked/>
    <w:uiPriority w:val="99"/>
    <w:rPr>
      <w:sz w:val="18"/>
      <w:szCs w:val="18"/>
    </w:rPr>
  </w:style>
  <w:style w:type="paragraph" w:customStyle="1" w:styleId="30">
    <w:name w:val="p0"/>
    <w:basedOn w:val="1"/>
    <w:uiPriority w:val="99"/>
    <w:pPr>
      <w:widowControl/>
    </w:pPr>
    <w:rPr>
      <w:rFonts w:ascii="Times New Roman" w:hAnsi="Times New Roman" w:cs="Times New Roman"/>
      <w:kern w:val="0"/>
    </w:rPr>
  </w:style>
  <w:style w:type="paragraph" w:customStyle="1" w:styleId="31">
    <w:name w:val="列出段落1"/>
    <w:basedOn w:val="1"/>
    <w:uiPriority w:val="99"/>
    <w:pPr>
      <w:ind w:firstLine="420" w:firstLineChars="200"/>
    </w:pPr>
  </w:style>
  <w:style w:type="character" w:customStyle="1" w:styleId="32">
    <w:name w:val="dropselect_box"/>
    <w:basedOn w:val="11"/>
    <w:uiPriority w:val="99"/>
  </w:style>
  <w:style w:type="character" w:customStyle="1" w:styleId="33">
    <w:name w:val="dropselect_box1"/>
    <w:basedOn w:val="11"/>
    <w:uiPriority w:val="99"/>
  </w:style>
  <w:style w:type="character" w:customStyle="1" w:styleId="34">
    <w:name w:val="dropselect_box2"/>
    <w:basedOn w:val="11"/>
    <w:uiPriority w:val="99"/>
    <w:rPr>
      <w:bdr w:val="single" w:color="auto" w:sz="6" w:space="0"/>
    </w:rPr>
  </w:style>
  <w:style w:type="character" w:customStyle="1" w:styleId="35">
    <w:name w:val="dropselect_box3"/>
    <w:basedOn w:val="11"/>
    <w:uiPriority w:val="99"/>
  </w:style>
  <w:style w:type="character" w:customStyle="1" w:styleId="36">
    <w:name w:val="hj-easyread-speakerprocesser-position-action-icon"/>
    <w:basedOn w:val="11"/>
    <w:uiPriority w:val="99"/>
  </w:style>
  <w:style w:type="character" w:customStyle="1" w:styleId="37">
    <w:name w:val="bds_nopic"/>
    <w:basedOn w:val="11"/>
    <w:uiPriority w:val="99"/>
  </w:style>
  <w:style w:type="character" w:customStyle="1" w:styleId="38">
    <w:name w:val="bds_nopic1"/>
    <w:basedOn w:val="11"/>
    <w:uiPriority w:val="99"/>
  </w:style>
  <w:style w:type="character" w:customStyle="1" w:styleId="39">
    <w:name w:val="bds_nopic2"/>
    <w:basedOn w:val="11"/>
    <w:uiPriority w:val="99"/>
  </w:style>
  <w:style w:type="character" w:customStyle="1" w:styleId="40">
    <w:name w:val="bds_more"/>
    <w:basedOn w:val="11"/>
    <w:uiPriority w:val="99"/>
  </w:style>
  <w:style w:type="character" w:customStyle="1" w:styleId="41">
    <w:name w:val="bds_more1"/>
    <w:basedOn w:val="11"/>
    <w:uiPriority w:val="99"/>
    <w:rPr>
      <w:rFonts w:ascii="宋体" w:hAnsi="宋体" w:eastAsia="宋体" w:cs="宋体"/>
    </w:rPr>
  </w:style>
  <w:style w:type="character" w:customStyle="1" w:styleId="42">
    <w:name w:val="bds_more2"/>
    <w:basedOn w:val="11"/>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27</Pages>
  <Words>15011</Words>
  <Characters>15338</Characters>
  <Lines>111</Lines>
  <Paragraphs>31</Paragraphs>
  <TotalTime>9</TotalTime>
  <ScaleCrop>false</ScaleCrop>
  <LinksUpToDate>false</LinksUpToDate>
  <CharactersWithSpaces>15410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2017-08-28T08:29:00Z</dcterms:created>
  <dc:creator>lenovo</dc:creator>
  <cp:lastModifiedBy>彭飞</cp:lastModifiedBy>
  <cp:lastPrinted>2017-08-28T09:22:00Z</cp:lastPrinted>
  <dcterms:modified xsi:type="dcterms:W3CDTF">2025-06-13T04:08:50Z</dcterms:modified>
  <dc:title>广府办发〔2017〕92号</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1B77ACB3D96348968E09DC114CB6ED95_12</vt:lpwstr>
  </property>
  <property fmtid="{D5CDD505-2E9C-101B-9397-08002B2CF9AE}" pid="4" name="KSOTemplateDocerSaveRecord">
    <vt:lpwstr>eyJoZGlkIjoiNzE3MTRiZGE2ODk4OGRjYzhlOTIwY2ZiY2ZkMDg2ZWMiLCJ1c2VySWQiOiI4OTg2MTAyMTMifQ==</vt:lpwstr>
  </property>
</Properties>
</file>