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spacing w:line="576" w:lineRule="exact"/>
        <w:jc w:val="both"/>
        <w:rPr>
          <w:rFonts w:hint="eastAsia" w:ascii="黑体" w:eastAsia="黑体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auto"/>
          <w:spacing w:val="0"/>
          <w:kern w:val="0"/>
          <w:sz w:val="32"/>
          <w:szCs w:val="32"/>
          <w:shd w:val="clear" w:color="auto" w:fill="FFFFFF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suppressAutoHyphens w:val="0"/>
        <w:spacing w:before="0" w:beforeAutospacing="0" w:after="0" w:afterAutospacing="0" w:line="576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广元市烧结砖瓦行业整治提升高质量发展</w:t>
      </w:r>
    </w:p>
    <w:p>
      <w:pPr>
        <w:pStyle w:val="4"/>
        <w:keepNext w:val="0"/>
        <w:keepLines w:val="0"/>
        <w:pageBreakBefore w:val="0"/>
        <w:widowControl/>
        <w:suppressLineNumbers w:val="0"/>
        <w:suppressAutoHyphens w:val="0"/>
        <w:spacing w:before="0" w:beforeAutospacing="0" w:after="0" w:afterAutospacing="0" w:line="576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三年行动实施方案</w:t>
      </w:r>
    </w:p>
    <w:p>
      <w:pPr>
        <w:pStyle w:val="4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spacing w:before="0" w:beforeAutospacing="0" w:after="0" w:afterAutospacing="0" w:line="576" w:lineRule="exact"/>
        <w:ind w:left="0" w:right="0" w:firstLine="0"/>
        <w:jc w:val="center"/>
        <w:rPr>
          <w:rFonts w:hint="eastAsia" w:ascii="仿宋_GB2312" w:hAnsi="仿宋_GB2312" w:eastAsia="楷体_GB2312"/>
          <w:kern w:val="0"/>
          <w:sz w:val="32"/>
          <w:szCs w:val="32"/>
        </w:rPr>
      </w:pPr>
      <w:r>
        <w:rPr>
          <w:rFonts w:hint="eastAsia" w:ascii="仿宋_GB2312" w:hAnsi="仿宋_GB2312" w:eastAsia="楷体_GB2312"/>
          <w:kern w:val="0"/>
          <w:sz w:val="32"/>
          <w:szCs w:val="32"/>
        </w:rPr>
        <w:t>（征求意见稿）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suppressAutoHyphens w:val="0"/>
        <w:spacing w:before="0" w:beforeAutospacing="0" w:after="0" w:afterAutospacing="0" w:line="576" w:lineRule="exact"/>
        <w:jc w:val="both"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为统筹推进我市烧结砖瓦行业整合退出和转型升级，加快改造提升步伐，提高污染防治水平，实现高质量发展。</w:t>
      </w:r>
      <w:r>
        <w:rPr>
          <w:rFonts w:hint="eastAsia" w:ascii="仿宋_GB2312" w:eastAsia="仿宋_GB2312"/>
          <w:kern w:val="2"/>
          <w:sz w:val="32"/>
          <w:szCs w:val="32"/>
        </w:rPr>
        <w:t>根据</w:t>
      </w:r>
      <w:r>
        <w:rPr>
          <w:rFonts w:hint="eastAsia" w:ascii="仿宋_GB2312" w:eastAsia="仿宋_GB2312"/>
          <w:kern w:val="0"/>
          <w:sz w:val="32"/>
          <w:szCs w:val="32"/>
        </w:rPr>
        <w:t>《四川省烧结砖瓦行业整治提升行动方案》（</w:t>
      </w:r>
      <w:r>
        <w:rPr>
          <w:rFonts w:hint="eastAsia" w:ascii="仿宋_GB2312" w:eastAsia="仿宋_GB2312"/>
          <w:kern w:val="2"/>
          <w:sz w:val="32"/>
          <w:szCs w:val="32"/>
        </w:rPr>
        <w:t>川环督办〔2024〕3号</w:t>
      </w:r>
      <w:r>
        <w:rPr>
          <w:rFonts w:hint="eastAsia" w:ascii="仿宋_GB2312" w:eastAsia="仿宋_GB2312"/>
          <w:kern w:val="0"/>
          <w:sz w:val="32"/>
          <w:szCs w:val="32"/>
        </w:rPr>
        <w:t>）《四川省烧结砖瓦行业绿色低碳高质量发展三年工作方案》（</w:t>
      </w:r>
      <w:r>
        <w:rPr>
          <w:rFonts w:hint="eastAsia" w:ascii="仿宋_GB2312" w:eastAsia="仿宋_GB2312"/>
          <w:kern w:val="2"/>
          <w:sz w:val="32"/>
          <w:szCs w:val="32"/>
        </w:rPr>
        <w:t>川经信材料〔2024〕116号</w:t>
      </w:r>
      <w:r>
        <w:rPr>
          <w:rFonts w:hint="eastAsia" w:ascii="仿宋_GB2312" w:eastAsia="仿宋_GB2312"/>
          <w:kern w:val="0"/>
          <w:sz w:val="32"/>
          <w:szCs w:val="32"/>
        </w:rPr>
        <w:t>）等文件精神，结合我市实际，制定本方案。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</w:pPr>
      <w:r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  <w:t>一、主要目标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淘汰退出一批、整合重组一批、改造升级一批“三个一批”思路，对全市烧结砖瓦行业实施整治提升。到2027年，全市烧结砖瓦行业空间布局明显优化，产品结构更加合理，绿色发展水平显著提高，智能制造能力持续增强，企业安全水平更加可靠，实现产能集中化、装置大型化、技术先进化、生产绿色化、管理规范化发展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（一）区域布局。</w:t>
      </w:r>
      <w:r>
        <w:rPr>
          <w:rFonts w:hint="eastAsia" w:ascii="仿宋_GB2312" w:eastAsia="仿宋_GB2312"/>
          <w:kern w:val="0"/>
          <w:sz w:val="32"/>
          <w:szCs w:val="32"/>
        </w:rPr>
        <w:t>市县（区）城区范围内严禁新建烧结砖瓦项目，现有产能低于6000万标砖/年的烧结砖生产线整合退出，结合拟出台的高污染燃料禁燃区通告，城市建成区的现有烧结砖瓦企业有序搬迁退出。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ascii="Calibri" w:hAnsi="Calibri" w:eastAsia="宋体"/>
          <w:kern w:val="0"/>
          <w:sz w:val="24"/>
          <w:szCs w:val="24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（二）产能结构。</w:t>
      </w:r>
      <w:r>
        <w:rPr>
          <w:rFonts w:hint="eastAsia" w:ascii="仿宋_GB2312" w:eastAsia="仿宋_GB2312"/>
          <w:kern w:val="0"/>
          <w:sz w:val="32"/>
          <w:szCs w:val="32"/>
        </w:rPr>
        <w:t>新（扩）建项目严格执行砖瓦行业产能置换要求，单线产能必须不低于6000万标砖/年。推动产能低于6000万标砖/年的烧结砖生产线进行整合技改，力争2024年烧结砖瓦生产线数量在现有基础上压减15%以上，2025年压减20%以上（见附件）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（三）环保治理。</w:t>
      </w:r>
      <w:r>
        <w:rPr>
          <w:rFonts w:hint="eastAsia" w:ascii="仿宋_GB2312" w:eastAsia="仿宋_GB2312"/>
          <w:kern w:val="0"/>
          <w:sz w:val="32"/>
          <w:szCs w:val="32"/>
        </w:rPr>
        <w:t>污染物排放指标全部达到现行国家、地方和行业新标准，环境敏感区满足更严格排放限值要求，环保管理更加规范，错峰生产工作有序开展，可再生资源在原燃料中的占比持续上升，产品单位能耗、碳排放强度明显下降。单线产能不低于6000万标砖/年（折标）企业中被评为环保绩效等级B级及以上的比例大幅提升。2024年完成产线治理任务60%以上，2025年产线环保治理任务全部完成（见附件）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（四）智能智造。</w:t>
      </w:r>
      <w:r>
        <w:rPr>
          <w:rFonts w:hint="eastAsia" w:ascii="仿宋_GB2312" w:eastAsia="仿宋_GB2312"/>
          <w:kern w:val="0"/>
          <w:sz w:val="32"/>
          <w:szCs w:val="32"/>
        </w:rPr>
        <w:t>深化应用新一代信息技术，生产效率大幅提高，产品质量整体改善，关键工序数控化率稳步提升，行业本质安全水平不断提高，智能化水平显著提升。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</w:pPr>
      <w:r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  <w:t>二、重点任务</w:t>
      </w:r>
    </w:p>
    <w:p>
      <w:pPr>
        <w:spacing w:line="576" w:lineRule="exact"/>
        <w:ind w:firstLine="640" w:firstLineChars="200"/>
        <w:rPr>
          <w:rFonts w:hint="eastAsia"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（一）严格落实产能置换。</w:t>
      </w:r>
      <w:r>
        <w:rPr>
          <w:rFonts w:hint="eastAsia" w:ascii="仿宋_GB2312" w:eastAsia="仿宋_GB2312"/>
          <w:kern w:val="2"/>
          <w:sz w:val="32"/>
          <w:szCs w:val="32"/>
        </w:rPr>
        <w:t>摸清烧结砖瓦产能底数，建立产能清单并按年度公示、公告。制定全市烧结砖瓦行业产能置换操作流程，全市烧结砖瓦行业新、改、扩建项目要严格实施产能置换。细化产能置换流程，产能出让方案、置换方案须经市、县（区）两级公示。强化审核监管，严格按照产能置换后的批复产能进行项目备案，依据备案内容办理能评、环评等相关手续和设计、施工、验收，严禁未批先建、边批边建、批小建大。</w:t>
      </w:r>
    </w:p>
    <w:p>
      <w:pPr>
        <w:spacing w:line="576" w:lineRule="exact"/>
        <w:ind w:firstLine="640" w:firstLineChars="200"/>
        <w:rPr>
          <w:rFonts w:hint="eastAsia"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（二）有序推进产能整合。</w:t>
      </w:r>
      <w:r>
        <w:rPr>
          <w:rFonts w:hint="eastAsia" w:ascii="仿宋_GB2312" w:eastAsia="仿宋_GB2312"/>
          <w:kern w:val="2"/>
          <w:sz w:val="32"/>
          <w:szCs w:val="32"/>
        </w:rPr>
        <w:t>严格落实《产业结构调整指导目录》，综合运用环保、能耗、装备、质量、安全等强制性标准规范和市场化手段，坚决依法淘汰落后工艺、装备和产品，督促环保、能耗等不达标企业加快整改，对整改后仍不达标的依法责令关停。要全力推动城市建成区的烧结砖瓦企业有序搬迁退出和产能低于6000万标砖/年的生产线整合技改。同时充分考虑行业需求情况，优化区域布局，在基础较好区域培育一批龙头企业。</w:t>
      </w:r>
    </w:p>
    <w:p>
      <w:pPr>
        <w:spacing w:line="576" w:lineRule="exact"/>
        <w:ind w:firstLine="640" w:firstLineChars="200"/>
        <w:rPr>
          <w:rFonts w:hint="eastAsia"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（三）强化污染防治和监督执法。</w:t>
      </w:r>
      <w:r>
        <w:rPr>
          <w:rFonts w:hint="eastAsia" w:ascii="仿宋_GB2312" w:eastAsia="仿宋_GB2312"/>
          <w:kern w:val="2"/>
          <w:sz w:val="32"/>
          <w:szCs w:val="32"/>
        </w:rPr>
        <w:t>开展有组织排放治理，重点管控区域有组织排放达到超低排放水平。加强物料堆存和转运、生产过程及其他区域的无组织排放控制。按照省环保绩效评级清洁运输要求，持续推进清洁运输管控。建立完善环保档案和治理设施运行台账，不断健全环保管理制度，加强污染治理设施运行管理，依法将烧结砖瓦企业纳入重点排污单位，严格落实监测监控管理要求，确保污染物稳定达标排放，推动在产企业基本完成深度治理。</w:t>
      </w:r>
    </w:p>
    <w:p>
      <w:pPr>
        <w:spacing w:line="576" w:lineRule="exact"/>
        <w:ind w:firstLine="640" w:firstLineChars="200"/>
        <w:rPr>
          <w:rFonts w:hint="eastAsia"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（四）提升绿色发展水平。</w:t>
      </w:r>
      <w:r>
        <w:rPr>
          <w:rFonts w:hint="eastAsia" w:ascii="仿宋_GB2312" w:eastAsia="仿宋_GB2312"/>
          <w:kern w:val="2"/>
          <w:sz w:val="32"/>
          <w:szCs w:val="32"/>
        </w:rPr>
        <w:t>引导企业积极申报重污染天气绩效评级，重点开展节能降碳技术改造、节能减排和清洁生产优化设计，推动脱硫脱硝剂投加自动化改造和安装污染物排放自动监测系统。强化资源综合利用，鼓励企业合理利用各种废弃物替代原料或燃料。督促矿山开采企业按照“边开采、边修复”原则，严格履行矿山地质环境保护与土地复垦义务，加快推进矿业绿色高质量发展。</w:t>
      </w:r>
    </w:p>
    <w:p>
      <w:pPr>
        <w:spacing w:line="576" w:lineRule="exact"/>
        <w:ind w:firstLine="640" w:firstLineChars="200"/>
        <w:rPr>
          <w:rFonts w:hint="eastAsia"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（五）加快技术产品转型升级。</w:t>
      </w:r>
      <w:r>
        <w:rPr>
          <w:rFonts w:hint="eastAsia" w:ascii="仿宋_GB2312" w:eastAsia="仿宋_GB2312"/>
          <w:kern w:val="2"/>
          <w:sz w:val="32"/>
          <w:szCs w:val="32"/>
        </w:rPr>
        <w:t>推广大断面隧道窑和自动焙烧、二次码烧等先进工艺技术装备，鼓励企业深化数字技术应用，推广工艺过程智能化、隧道窑智能控制等系统解决方案，支持围绕关键业务环节全面开展数字化改造。积极发展部品化、功能性绿色建材产品，重点发展适用于绿色低碳建筑的烧结墙板、烧结复合保温砌块和自保温砌块等结构功能一体化制品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（六）做好差异化错峰生产。</w:t>
      </w:r>
      <w:r>
        <w:rPr>
          <w:rFonts w:hint="eastAsia" w:ascii="仿宋_GB2312" w:eastAsia="仿宋_GB2312"/>
          <w:kern w:val="2"/>
          <w:sz w:val="32"/>
          <w:szCs w:val="32"/>
        </w:rPr>
        <w:t>根据空气质量情况、重污染天气绩效分级、市场供需形势等情况，“一地一策”“一厂一策”制定差异化错峰生产方案。重污染天气绩效评级为A级的烧结砖瓦企业不参与错峰生产，其他企业参与错峰生产，并在重污染天气预警启动时执行相应的应急减排措施，B级企业全年错峰停产时间不少于30天，C级企业不少于120天，D级或未评级企业不少于150天。对未按要求开展错峰生产的企业，要坚决依法依规予以处置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（七）坚决抓实安全生产。</w:t>
      </w:r>
      <w:r>
        <w:rPr>
          <w:rFonts w:hint="eastAsia" w:ascii="仿宋_GB2312" w:eastAsia="仿宋_GB2312"/>
          <w:kern w:val="2"/>
          <w:sz w:val="32"/>
          <w:szCs w:val="32"/>
        </w:rPr>
        <w:t>压实企业安全生产主体责任，督促企业健全安全生产责任制，严格落实新、改、扩建项目安全设施“三同时”要求，在全工艺流程开展安全风险动态辨识评估和分级分类管控，完善所有工序安全防护措施。建立健全安全隐患排查整治制度，定期开展安全隐患排查治理，完善安全生产管理台账，强化隐患整改闭环管理。加强应急体系建设，建立企业专兼职应急队伍，加强应急预案培训和演练，提高处置突发事件能力。在高危作业环节建设在线安全监管系统，提升企业本质安全水平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</w:pPr>
      <w:r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  <w:t>三、保障措施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 w:cs="仿宋_GB2312"/>
          <w:kern w:val="0"/>
          <w:sz w:val="32"/>
          <w:szCs w:val="32"/>
          <w:lang w:bidi="ar-SA"/>
        </w:rPr>
        <w:t>（一）加强组织领导。</w:t>
      </w:r>
      <w:r>
        <w:rPr>
          <w:rFonts w:hint="eastAsia" w:ascii="仿宋_GB2312" w:eastAsia="仿宋_GB2312"/>
          <w:kern w:val="0"/>
          <w:sz w:val="32"/>
          <w:szCs w:val="32"/>
        </w:rPr>
        <w:t>各地要制定工作方案，明确任务分工，及时安排部署到位。主要负责同志要亲自研究、亲自部署、亲自推动，及时组织研究解决重大问题。分管负责同志要具体负责、一抓到底，统筹推进各项工作措施落地见效。市级有关部门要加强调度指导，强化上下联动，形成工作合力，推动烧结砖瓦行业整治提升、转型升级行动见行见效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 w:cs="仿宋_GB2312"/>
          <w:kern w:val="0"/>
          <w:sz w:val="32"/>
          <w:szCs w:val="32"/>
          <w:lang w:bidi="ar-SA"/>
        </w:rPr>
        <w:t>（二）做好要素保障。</w:t>
      </w:r>
      <w:r>
        <w:rPr>
          <w:rFonts w:hint="eastAsia" w:ascii="仿宋_GB2312" w:eastAsia="仿宋_GB2312"/>
          <w:kern w:val="0"/>
          <w:sz w:val="32"/>
          <w:szCs w:val="32"/>
        </w:rPr>
        <w:t>各地要根据区域内烧结砖瓦企业分布情况，统筹环境保护和页岩矿开发利用，鼓励采用“多厂一矿”等方式，根据产能比例集中配置页岩矿资源，优先保障产品附加值高、技术水平先进、装备水平领先企业的页岩矿资源。要督促指导企业依法依规完善用地等相关手续，推动烧结砖瓦行业“上设施、提质量、增效益”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 w:cs="仿宋_GB2312"/>
          <w:kern w:val="0"/>
          <w:sz w:val="32"/>
          <w:szCs w:val="32"/>
          <w:lang w:bidi="ar-SA"/>
        </w:rPr>
        <w:t>（三）强化政策支持。</w:t>
      </w:r>
      <w:r>
        <w:rPr>
          <w:rFonts w:hint="eastAsia" w:ascii="仿宋_GB2312" w:eastAsia="仿宋_GB2312"/>
          <w:kern w:val="0"/>
          <w:sz w:val="32"/>
          <w:szCs w:val="32"/>
        </w:rPr>
        <w:t>落实《环境保护税法》和购置环境保护专用设备企业所得税抵免等优惠政策，对积极推进超低排放改造或深度治理的企业环境信用予以加分。对环保绩效A级企业，纳入生态环境监管“白名单”，重污染天气期间自主减排。抓住“智改数转”、大规模设备更新和消费品以旧换新等重点机遇，积极争取各类资金支持，鼓励有条件的县（区）对实施综合整治的烧结砖瓦企业提供政策、资金支持。</w:t>
      </w: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 w:val="0"/>
        <w:jc w:val="both"/>
        <w:rPr>
          <w:rFonts w:ascii="Calibri" w:hAnsi="Calibri" w:eastAsia="宋体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附件：各县区、广元经济技术开发区整治任务清单</w:t>
      </w:r>
    </w:p>
    <w:p>
      <w:pPr>
        <w:sectPr>
          <w:headerReference r:id="rId7" w:type="first"/>
          <w:headerReference r:id="rId5" w:type="default"/>
          <w:headerReference r:id="rId6" w:type="even"/>
          <w:pgSz w:w="11906" w:h="16838"/>
          <w:pgMar w:top="2098" w:right="1474" w:bottom="1985" w:left="1588" w:header="720" w:footer="1418" w:gutter="0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suppressAutoHyphens w:val="0"/>
        <w:adjustRightInd w:val="0"/>
        <w:snapToGrid w:val="0"/>
        <w:spacing w:before="0" w:beforeAutospacing="0" w:after="0" w:afterAutospacing="0"/>
        <w:contextualSpacing w:val="0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suppressAutoHyphens w:val="0"/>
        <w:spacing w:before="0" w:beforeAutospacing="0" w:after="120" w:afterAutospacing="0" w:line="60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各县区、广元经济技术开发区整治任务清单</w:t>
      </w:r>
    </w:p>
    <w:tbl>
      <w:tblPr>
        <w:tblStyle w:val="5"/>
        <w:tblW w:w="141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0"/>
        <w:gridCol w:w="2462"/>
        <w:gridCol w:w="2488"/>
        <w:gridCol w:w="2577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 w:right="0"/>
              <w:jc w:val="center"/>
              <w:textAlignment w:val="center"/>
              <w:rPr>
                <w:rFonts w:hint="eastAsia" w:asci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县  区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生产线数量（条）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产线压减任务（条）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产线治理任务（条）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2024年压减数量（条）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 w:right="0"/>
              <w:jc w:val="center"/>
              <w:textAlignment w:val="center"/>
              <w:rPr>
                <w:rFonts w:hint="eastAsia" w:asci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2024年治理数量（条）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苍溪县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旺苍县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剑阁县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青川县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广元经济技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术开发区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adjustRightInd w:val="0"/>
              <w:snapToGrid w:val="0"/>
              <w:spacing w:after="0" w:afterAutospacing="0"/>
              <w:ind w:left="0" w:right="0"/>
              <w:contextualSpacing w:val="0"/>
              <w:jc w:val="center"/>
              <w:textAlignment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51</w:t>
            </w:r>
          </w:p>
        </w:tc>
      </w:tr>
    </w:tbl>
    <w:p>
      <w:pPr>
        <w:sectPr>
          <w:pgSz w:w="16838" w:h="11905" w:orient="landscape"/>
          <w:pgMar w:top="1701" w:right="1418" w:bottom="1134" w:left="1418" w:header="720" w:footer="1134" w:gutter="0"/>
          <w:cols w:space="720" w:num="1"/>
          <w:docGrid w:type="lines" w:linePitch="319" w:charSpace="0"/>
        </w:sectPr>
      </w:pPr>
    </w:p>
    <w:p/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096250"/>
          <wp:effectExtent l="0" t="0" r="0" b="0"/>
          <wp:wrapNone/>
          <wp:docPr id="2" name="WordPictureWatermark1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809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096250"/>
          <wp:effectExtent l="0" t="0" r="0" b="0"/>
          <wp:wrapNone/>
          <wp:docPr id="1" name="WordPictureWatermark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 descr="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809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096250"/>
          <wp:effectExtent l="0" t="0" r="0" b="0"/>
          <wp:wrapNone/>
          <wp:docPr id="3" name="WordPictureWatermark4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4" descr="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809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981B"/>
    <w:rsid w:val="2F52F7EA"/>
    <w:rsid w:val="792FDE91"/>
    <w:rsid w:val="7FA2981B"/>
    <w:rsid w:val="9BFFD234"/>
    <w:rsid w:val="F1FEAEDB"/>
    <w:rsid w:val="FAE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宋体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adjustRightInd/>
      <w:snapToGrid w:val="0"/>
      <w:contextualSpacing w:val="0"/>
      <w:jc w:val="center"/>
    </w:pPr>
    <w:rPr>
      <w:sz w:val="18"/>
    </w:rPr>
  </w:style>
  <w:style w:type="paragraph" w:styleId="4">
    <w:name w:val="Normal (Web)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hAnsi="Calibri" w:eastAsia="宋体"/>
      <w:snapToGrid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2024-08-13T08:36:00Z</dcterms:created>
  <dc:creator>wwl</dc:creator>
  <cp:lastModifiedBy>wwl</cp:lastModifiedBy>
  <dcterms:modified xsi:type="dcterms:W3CDTF">2024-08-13T08:37:24Z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667A94FB0C1A5A90A0AABA6601784AEC</vt:lpwstr>
  </property>
</Properties>
</file>