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3D" w:rsidRDefault="005F7C89">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广元市委组织部</w:t>
      </w:r>
    </w:p>
    <w:p w:rsidR="0062263D" w:rsidRDefault="005F7C89">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2017年部门决算编制说明</w:t>
      </w:r>
    </w:p>
    <w:p w:rsidR="0062263D" w:rsidRDefault="0062263D">
      <w:pPr>
        <w:spacing w:line="560" w:lineRule="exact"/>
        <w:jc w:val="center"/>
        <w:rPr>
          <w:rFonts w:ascii="宋体" w:hAnsi="宋体"/>
          <w:color w:val="000000"/>
          <w:sz w:val="44"/>
          <w:szCs w:val="44"/>
        </w:rPr>
      </w:pPr>
    </w:p>
    <w:p w:rsidR="0062263D" w:rsidRDefault="005F7C89">
      <w:pPr>
        <w:spacing w:line="560" w:lineRule="exact"/>
        <w:ind w:firstLineChars="200" w:firstLine="643"/>
        <w:rPr>
          <w:rFonts w:ascii="黑体" w:eastAsia="黑体"/>
          <w:b/>
          <w:bCs/>
          <w:color w:val="000000"/>
          <w:sz w:val="32"/>
          <w:szCs w:val="32"/>
        </w:rPr>
      </w:pPr>
      <w:r>
        <w:rPr>
          <w:rFonts w:ascii="黑体" w:eastAsia="黑体" w:hint="eastAsia"/>
          <w:b/>
          <w:bCs/>
          <w:color w:val="000000"/>
          <w:sz w:val="32"/>
          <w:szCs w:val="32"/>
        </w:rPr>
        <w:t>一、基本职能及主要工作</w:t>
      </w:r>
    </w:p>
    <w:p w:rsidR="0062263D" w:rsidRDefault="005F7C89">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（一）主要职能。</w:t>
      </w:r>
    </w:p>
    <w:p w:rsidR="0062263D" w:rsidRPr="00B96187" w:rsidRDefault="005F7C89">
      <w:pPr>
        <w:pStyle w:val="a3"/>
        <w:adjustRightInd w:val="0"/>
        <w:snapToGrid w:val="0"/>
        <w:spacing w:beforeLines="0" w:before="0" w:line="560" w:lineRule="exact"/>
        <w:ind w:firstLineChars="210" w:firstLine="672"/>
        <w:rPr>
          <w:rFonts w:ascii="仿宋" w:eastAsia="仿宋" w:hAnsi="仿宋" w:cs="楷体_GB2312"/>
          <w:color w:val="000000"/>
          <w:sz w:val="32"/>
          <w:szCs w:val="32"/>
        </w:rPr>
      </w:pPr>
      <w:r w:rsidRPr="00B96187">
        <w:rPr>
          <w:rFonts w:ascii="仿宋" w:eastAsia="仿宋" w:hAnsi="仿宋" w:hint="eastAsia"/>
          <w:sz w:val="32"/>
          <w:szCs w:val="32"/>
        </w:rPr>
        <w:t>主要负责党的组织建设、干部队伍建设和人才队伍建设等方面的工作。其中，</w:t>
      </w:r>
      <w:r w:rsidRPr="00B96187">
        <w:rPr>
          <w:rFonts w:ascii="仿宋" w:eastAsia="仿宋" w:hAnsi="仿宋"/>
          <w:sz w:val="32"/>
          <w:szCs w:val="32"/>
        </w:rPr>
        <w:t>组织建设主要负责在党的基层组织建设、党员教育管理、党员发展、党费管理、党的工作制度、党内生活制度等方面进行指导、组织、管理，提出意见建议等</w:t>
      </w:r>
      <w:r w:rsidRPr="00B96187">
        <w:rPr>
          <w:rFonts w:ascii="仿宋" w:eastAsia="仿宋" w:hAnsi="仿宋" w:hint="eastAsia"/>
          <w:sz w:val="32"/>
          <w:szCs w:val="32"/>
        </w:rPr>
        <w:t>；</w:t>
      </w:r>
      <w:r w:rsidRPr="00B96187">
        <w:rPr>
          <w:rFonts w:ascii="仿宋" w:eastAsia="仿宋" w:hAnsi="仿宋"/>
          <w:sz w:val="32"/>
          <w:szCs w:val="32"/>
        </w:rPr>
        <w:t>干部工作主要负责领导班子和干部队伍建设（公务员队伍建设）的宏观管理，包括管理体制、政策法规、干部人事制度改革等方面的规划、研究、指导等。人才工作主要负责</w:t>
      </w:r>
      <w:r w:rsidRPr="00B96187">
        <w:rPr>
          <w:rFonts w:ascii="仿宋" w:eastAsia="仿宋" w:hAnsi="仿宋" w:hint="eastAsia"/>
          <w:sz w:val="32"/>
          <w:szCs w:val="32"/>
        </w:rPr>
        <w:t>全市</w:t>
      </w:r>
      <w:r w:rsidRPr="00B96187">
        <w:rPr>
          <w:rFonts w:ascii="仿宋" w:eastAsia="仿宋" w:hAnsi="仿宋"/>
          <w:sz w:val="32"/>
          <w:szCs w:val="32"/>
        </w:rPr>
        <w:t>人才工作和人才队伍建设，指导协调专项人才工作以及海外高层次人才引进工作，开展联系高级专家工作。干部教育培训主要负责</w:t>
      </w:r>
      <w:r w:rsidRPr="00B96187">
        <w:rPr>
          <w:rFonts w:ascii="仿宋" w:eastAsia="仿宋" w:hAnsi="仿宋" w:hint="eastAsia"/>
          <w:sz w:val="32"/>
          <w:szCs w:val="32"/>
        </w:rPr>
        <w:t>全市</w:t>
      </w:r>
      <w:r w:rsidRPr="00B96187">
        <w:rPr>
          <w:rFonts w:ascii="仿宋" w:eastAsia="仿宋" w:hAnsi="仿宋"/>
          <w:sz w:val="32"/>
          <w:szCs w:val="32"/>
        </w:rPr>
        <w:t>干部教育培训工作等</w:t>
      </w:r>
      <w:r w:rsidRPr="00B96187">
        <w:rPr>
          <w:rFonts w:ascii="仿宋" w:eastAsia="仿宋" w:hAnsi="仿宋" w:hint="eastAsia"/>
          <w:sz w:val="32"/>
          <w:szCs w:val="32"/>
        </w:rPr>
        <w:t>工作</w:t>
      </w:r>
      <w:r w:rsidRPr="00B96187">
        <w:rPr>
          <w:rFonts w:ascii="仿宋" w:eastAsia="仿宋" w:hAnsi="仿宋"/>
          <w:sz w:val="32"/>
          <w:szCs w:val="32"/>
        </w:rPr>
        <w:t>。干部监督主要负责对领导班子和领导干部、党政领导干部选拔任用工作及有关法规贯彻执行情况进行监督</w:t>
      </w:r>
      <w:r w:rsidRPr="00B96187">
        <w:rPr>
          <w:rFonts w:ascii="仿宋" w:eastAsia="仿宋" w:hAnsi="仿宋" w:hint="eastAsia"/>
          <w:sz w:val="32"/>
          <w:szCs w:val="32"/>
        </w:rPr>
        <w:t>等。</w:t>
      </w:r>
    </w:p>
    <w:p w:rsidR="0062263D" w:rsidRDefault="005F7C89">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（二）2017年重点工作完成情况。</w:t>
      </w:r>
    </w:p>
    <w:p w:rsidR="0062263D" w:rsidRPr="00B96187" w:rsidRDefault="005F7C89">
      <w:pPr>
        <w:adjustRightInd w:val="0"/>
        <w:snapToGrid w:val="0"/>
        <w:spacing w:line="576" w:lineRule="exact"/>
        <w:ind w:firstLineChars="196" w:firstLine="627"/>
        <w:rPr>
          <w:rFonts w:ascii="仿宋" w:eastAsia="仿宋" w:hAnsi="仿宋"/>
          <w:kern w:val="0"/>
          <w:sz w:val="32"/>
          <w:szCs w:val="32"/>
          <w:lang w:val="zh-CN"/>
        </w:rPr>
      </w:pPr>
      <w:r w:rsidRPr="00B96187">
        <w:rPr>
          <w:rFonts w:ascii="仿宋" w:eastAsia="仿宋" w:hAnsi="仿宋" w:hint="eastAsia"/>
          <w:sz w:val="32"/>
          <w:szCs w:val="32"/>
        </w:rPr>
        <w:t>党员干部管理工作：</w:t>
      </w:r>
      <w:r w:rsidRPr="00B96187">
        <w:rPr>
          <w:rFonts w:ascii="仿宋" w:eastAsia="仿宋" w:hAnsi="仿宋" w:hint="eastAsia"/>
          <w:kern w:val="0"/>
          <w:sz w:val="32"/>
          <w:szCs w:val="32"/>
        </w:rPr>
        <w:t>一是坚持“两学一做”持续学、常态做。制定专题学习计划，列出增强“四个意识”等12个专题开展集中学习，邀请党校教师、专家学者开展党章党规、系列讲话专题辅导1600余场次。围绕集中整治普通党员“不在组织、不守规矩、不像党员、不起作用、不敢担当”等“六不问题”教育提醒</w:t>
      </w:r>
      <w:r w:rsidRPr="00B96187">
        <w:rPr>
          <w:rFonts w:ascii="仿宋" w:eastAsia="仿宋" w:hAnsi="仿宋" w:hint="eastAsia"/>
          <w:kern w:val="0"/>
          <w:sz w:val="32"/>
          <w:szCs w:val="32"/>
        </w:rPr>
        <w:lastRenderedPageBreak/>
        <w:t>和处置党员700余人。二是推行“底线管理”抓基本、促长效。出台和编制了《基层党建底线管理办法》《基层党建底线管理指导手册》，聚焦提升基层党支部组织力，巩固拓展基层党建11项重点工作</w:t>
      </w:r>
      <w:r w:rsidRPr="00B96187">
        <w:rPr>
          <w:rFonts w:ascii="仿宋" w:eastAsia="仿宋" w:hAnsi="仿宋"/>
          <w:kern w:val="0"/>
          <w:sz w:val="32"/>
          <w:szCs w:val="32"/>
        </w:rPr>
        <w:t>，</w:t>
      </w:r>
      <w:r w:rsidRPr="00B96187">
        <w:rPr>
          <w:rFonts w:ascii="仿宋" w:eastAsia="仿宋" w:hAnsi="仿宋" w:hint="eastAsia"/>
          <w:kern w:val="0"/>
          <w:sz w:val="32"/>
          <w:szCs w:val="32"/>
        </w:rPr>
        <w:t>分农村、社区、机关等领域确立</w:t>
      </w:r>
      <w:r w:rsidRPr="00B96187">
        <w:rPr>
          <w:rFonts w:ascii="仿宋" w:eastAsia="仿宋" w:hAnsi="仿宋"/>
          <w:kern w:val="0"/>
          <w:sz w:val="32"/>
          <w:szCs w:val="32"/>
        </w:rPr>
        <w:t>30</w:t>
      </w:r>
      <w:r w:rsidRPr="00B96187">
        <w:rPr>
          <w:rFonts w:ascii="仿宋" w:eastAsia="仿宋" w:hAnsi="仿宋" w:hint="eastAsia"/>
          <w:kern w:val="0"/>
          <w:sz w:val="32"/>
          <w:szCs w:val="32"/>
        </w:rPr>
        <w:t>个基层党支部开展标准化建设试点。三是开展“走基层”活动常态化、多样化。</w:t>
      </w:r>
      <w:r w:rsidRPr="00B96187">
        <w:rPr>
          <w:rFonts w:ascii="仿宋" w:eastAsia="仿宋" w:hAnsi="仿宋" w:hint="eastAsia"/>
          <w:kern w:val="0"/>
          <w:sz w:val="32"/>
          <w:szCs w:val="32"/>
          <w:lang w:val="zh-CN"/>
        </w:rPr>
        <w:t>全面推广群众工作法，出台《广元市“串门”“乡村干部直通民情二维码”群众工作法》，实行乡镇（街道）、村（社区）党员干部全覆盖“串门”“扫码”，及时收集诉求建议、回应群众关切、解决困难问题，搭建直通民情桥梁。</w:t>
      </w:r>
    </w:p>
    <w:p w:rsidR="0062263D" w:rsidRPr="00B96187" w:rsidRDefault="005F7C89">
      <w:pPr>
        <w:adjustRightInd w:val="0"/>
        <w:snapToGrid w:val="0"/>
        <w:spacing w:line="576" w:lineRule="exact"/>
        <w:ind w:firstLineChars="196" w:firstLine="627"/>
        <w:rPr>
          <w:rFonts w:ascii="仿宋" w:eastAsia="仿宋" w:hAnsi="仿宋" w:cs="仿宋_GB2312"/>
          <w:bCs/>
          <w:color w:val="000000"/>
          <w:kern w:val="0"/>
          <w:sz w:val="32"/>
          <w:szCs w:val="32"/>
          <w:lang w:val="zh-CN"/>
        </w:rPr>
      </w:pPr>
      <w:r w:rsidRPr="00B96187">
        <w:rPr>
          <w:rFonts w:ascii="仿宋" w:eastAsia="仿宋" w:hAnsi="仿宋" w:hint="eastAsia"/>
          <w:sz w:val="32"/>
          <w:szCs w:val="32"/>
        </w:rPr>
        <w:t>干部队伍建设工作：</w:t>
      </w:r>
      <w:r w:rsidRPr="00B96187">
        <w:rPr>
          <w:rFonts w:ascii="仿宋" w:eastAsia="仿宋" w:hAnsi="仿宋" w:hint="eastAsia"/>
          <w:color w:val="000000"/>
          <w:sz w:val="32"/>
          <w:szCs w:val="32"/>
        </w:rPr>
        <w:t>一是从严从实规范班子运行。</w:t>
      </w:r>
      <w:r w:rsidRPr="00B96187">
        <w:rPr>
          <w:rFonts w:ascii="仿宋" w:eastAsia="仿宋" w:hAnsi="仿宋" w:hint="eastAsia"/>
          <w:sz w:val="32"/>
          <w:szCs w:val="32"/>
        </w:rPr>
        <w:t>先后对7个县区和89个市级部门单位领导班子进行专项分析，</w:t>
      </w:r>
      <w:r w:rsidRPr="00B96187">
        <w:rPr>
          <w:rFonts w:ascii="仿宋" w:eastAsia="仿宋" w:hAnsi="仿宋" w:cs="仿宋_GB2312" w:hint="eastAsia"/>
          <w:bCs/>
          <w:color w:val="000000"/>
          <w:kern w:val="0"/>
          <w:sz w:val="32"/>
          <w:szCs w:val="32"/>
          <w:lang w:val="zh-CN"/>
        </w:rPr>
        <w:t>调整不胜任现职干部7人。</w:t>
      </w:r>
      <w:r w:rsidRPr="00B96187">
        <w:rPr>
          <w:rFonts w:ascii="仿宋" w:eastAsia="仿宋" w:hAnsi="仿宋" w:hint="eastAsia"/>
          <w:color w:val="000000"/>
          <w:sz w:val="32"/>
          <w:szCs w:val="32"/>
        </w:rPr>
        <w:t>二是</w:t>
      </w:r>
      <w:proofErr w:type="gramStart"/>
      <w:r w:rsidRPr="00B96187">
        <w:rPr>
          <w:rFonts w:ascii="仿宋" w:eastAsia="仿宋" w:hAnsi="仿宋" w:hint="eastAsia"/>
          <w:color w:val="000000"/>
          <w:sz w:val="32"/>
          <w:szCs w:val="32"/>
        </w:rPr>
        <w:t>落细落小抓好</w:t>
      </w:r>
      <w:proofErr w:type="gramEnd"/>
      <w:r w:rsidRPr="00B96187">
        <w:rPr>
          <w:rFonts w:ascii="仿宋" w:eastAsia="仿宋" w:hAnsi="仿宋" w:hint="eastAsia"/>
          <w:color w:val="000000"/>
          <w:sz w:val="32"/>
          <w:szCs w:val="32"/>
        </w:rPr>
        <w:t>日常监管。</w:t>
      </w:r>
      <w:r w:rsidRPr="00B96187">
        <w:rPr>
          <w:rFonts w:ascii="仿宋" w:eastAsia="仿宋" w:hAnsi="仿宋" w:hint="eastAsia"/>
          <w:bCs/>
          <w:color w:val="000000"/>
          <w:sz w:val="32"/>
          <w:szCs w:val="32"/>
        </w:rPr>
        <w:t>开展全市干部全覆盖谈心谈话，全市共谈心谈话27646人，其中县级领导干部914名。制定《村（社区）党组织换届工作风险防控指导手册》，列出43个换届风险点，制定风险清单和防控预案2713个，全市7个村社区换届工作督导组查纠各类问题200余个。</w:t>
      </w:r>
      <w:r w:rsidRPr="00B96187">
        <w:rPr>
          <w:rFonts w:ascii="仿宋" w:eastAsia="仿宋" w:hAnsi="仿宋" w:hint="eastAsia"/>
          <w:color w:val="000000"/>
          <w:sz w:val="32"/>
          <w:szCs w:val="32"/>
        </w:rPr>
        <w:t>三是聚焦聚力正向关爱激励。</w:t>
      </w:r>
      <w:r w:rsidRPr="00B96187">
        <w:rPr>
          <w:rFonts w:ascii="仿宋" w:eastAsia="仿宋" w:hAnsi="仿宋" w:cs="仿宋_GB2312" w:hint="eastAsia"/>
          <w:bCs/>
          <w:color w:val="000000"/>
          <w:kern w:val="0"/>
          <w:sz w:val="32"/>
          <w:szCs w:val="32"/>
        </w:rPr>
        <w:t>全年</w:t>
      </w:r>
      <w:r w:rsidRPr="00B96187">
        <w:rPr>
          <w:rFonts w:ascii="仿宋" w:eastAsia="仿宋" w:hAnsi="仿宋" w:cs="仿宋_GB2312" w:hint="eastAsia"/>
          <w:bCs/>
          <w:color w:val="000000"/>
          <w:kern w:val="0"/>
          <w:sz w:val="32"/>
          <w:szCs w:val="32"/>
          <w:lang w:val="zh-CN"/>
        </w:rPr>
        <w:t>提拔重用</w:t>
      </w:r>
      <w:r w:rsidRPr="00B96187">
        <w:rPr>
          <w:rFonts w:ascii="仿宋" w:eastAsia="仿宋" w:hAnsi="仿宋" w:cs="宋体" w:hint="eastAsia"/>
          <w:sz w:val="32"/>
          <w:szCs w:val="32"/>
        </w:rPr>
        <w:t>148名实绩突出、群众公认的县级干部，选配38名专业能力强的干部充实到金融、财政、审计、住建、</w:t>
      </w:r>
      <w:proofErr w:type="gramStart"/>
      <w:r w:rsidRPr="00B96187">
        <w:rPr>
          <w:rFonts w:ascii="仿宋" w:eastAsia="仿宋" w:hAnsi="仿宋" w:cs="宋体" w:hint="eastAsia"/>
          <w:sz w:val="32"/>
          <w:szCs w:val="32"/>
        </w:rPr>
        <w:t>文旅等</w:t>
      </w:r>
      <w:proofErr w:type="gramEnd"/>
      <w:r w:rsidRPr="00B96187">
        <w:rPr>
          <w:rFonts w:ascii="仿宋" w:eastAsia="仿宋" w:hAnsi="仿宋" w:cs="宋体" w:hint="eastAsia"/>
          <w:sz w:val="32"/>
          <w:szCs w:val="32"/>
        </w:rPr>
        <w:t>重点领域，</w:t>
      </w:r>
      <w:r w:rsidRPr="00B96187">
        <w:rPr>
          <w:rFonts w:ascii="仿宋" w:eastAsia="仿宋" w:hAnsi="仿宋" w:hint="eastAsia"/>
          <w:sz w:val="32"/>
          <w:szCs w:val="32"/>
        </w:rPr>
        <w:t>统筹107名干部参与脱贫攻坚巡回督导和</w:t>
      </w:r>
      <w:r w:rsidRPr="00B96187">
        <w:rPr>
          <w:rFonts w:ascii="仿宋" w:eastAsia="仿宋" w:hAnsi="仿宋" w:hint="eastAsia"/>
          <w:bCs/>
          <w:color w:val="000000"/>
          <w:sz w:val="32"/>
          <w:szCs w:val="32"/>
        </w:rPr>
        <w:t>充实</w:t>
      </w:r>
      <w:r w:rsidRPr="00B96187">
        <w:rPr>
          <w:rFonts w:ascii="仿宋" w:eastAsia="仿宋" w:hAnsi="仿宋" w:hint="eastAsia"/>
          <w:sz w:val="32"/>
          <w:szCs w:val="32"/>
        </w:rPr>
        <w:t>扶贫、</w:t>
      </w:r>
      <w:proofErr w:type="gramStart"/>
      <w:r w:rsidRPr="00B96187">
        <w:rPr>
          <w:rFonts w:ascii="仿宋" w:eastAsia="仿宋" w:hAnsi="仿宋" w:hint="eastAsia"/>
          <w:bCs/>
          <w:color w:val="000000"/>
          <w:sz w:val="32"/>
          <w:szCs w:val="32"/>
        </w:rPr>
        <w:t>发改等</w:t>
      </w:r>
      <w:proofErr w:type="gramEnd"/>
      <w:r w:rsidRPr="00B96187">
        <w:rPr>
          <w:rFonts w:ascii="仿宋" w:eastAsia="仿宋" w:hAnsi="仿宋" w:hint="eastAsia"/>
          <w:bCs/>
          <w:color w:val="000000"/>
          <w:sz w:val="32"/>
          <w:szCs w:val="32"/>
        </w:rPr>
        <w:t>部门力量</w:t>
      </w:r>
      <w:r w:rsidRPr="00B96187">
        <w:rPr>
          <w:rFonts w:ascii="仿宋" w:eastAsia="仿宋" w:hAnsi="仿宋" w:cs="宋体" w:hint="eastAsia"/>
          <w:sz w:val="32"/>
          <w:szCs w:val="32"/>
        </w:rPr>
        <w:t>。</w:t>
      </w:r>
      <w:r w:rsidRPr="00B96187">
        <w:rPr>
          <w:rFonts w:ascii="仿宋" w:eastAsia="仿宋" w:hAnsi="仿宋" w:hint="eastAsia"/>
          <w:color w:val="000000"/>
          <w:sz w:val="32"/>
          <w:szCs w:val="32"/>
        </w:rPr>
        <w:t>四是分层分类开展培训提能。</w:t>
      </w:r>
      <w:r w:rsidRPr="00B96187">
        <w:rPr>
          <w:rFonts w:ascii="仿宋" w:eastAsia="仿宋" w:hAnsi="仿宋" w:cs="仿宋_GB2312" w:hint="eastAsia"/>
          <w:bCs/>
          <w:color w:val="000000"/>
          <w:kern w:val="0"/>
          <w:sz w:val="32"/>
          <w:szCs w:val="32"/>
          <w:lang w:val="zh-CN"/>
        </w:rPr>
        <w:t>举办全市生态</w:t>
      </w:r>
      <w:proofErr w:type="gramStart"/>
      <w:r w:rsidRPr="00B96187">
        <w:rPr>
          <w:rFonts w:ascii="仿宋" w:eastAsia="仿宋" w:hAnsi="仿宋" w:cs="仿宋_GB2312" w:hint="eastAsia"/>
          <w:bCs/>
          <w:color w:val="000000"/>
          <w:kern w:val="0"/>
          <w:sz w:val="32"/>
          <w:szCs w:val="32"/>
          <w:lang w:val="zh-CN"/>
        </w:rPr>
        <w:t>康养旅游名市</w:t>
      </w:r>
      <w:proofErr w:type="gramEnd"/>
      <w:r w:rsidRPr="00B96187">
        <w:rPr>
          <w:rFonts w:ascii="仿宋" w:eastAsia="仿宋" w:hAnsi="仿宋" w:cs="仿宋_GB2312" w:hint="eastAsia"/>
          <w:bCs/>
          <w:color w:val="000000"/>
          <w:kern w:val="0"/>
          <w:sz w:val="32"/>
          <w:szCs w:val="32"/>
          <w:lang w:val="zh-CN"/>
        </w:rPr>
        <w:t>建设、城乡规划建设、</w:t>
      </w:r>
      <w:r w:rsidRPr="00B96187">
        <w:rPr>
          <w:rFonts w:ascii="仿宋" w:eastAsia="仿宋" w:hAnsi="仿宋" w:cs="仿宋_GB2312"/>
          <w:bCs/>
          <w:color w:val="000000"/>
          <w:kern w:val="0"/>
          <w:sz w:val="32"/>
          <w:szCs w:val="32"/>
          <w:lang w:val="zh-CN"/>
        </w:rPr>
        <w:t>文化扶贫、</w:t>
      </w:r>
      <w:r w:rsidRPr="00B96187">
        <w:rPr>
          <w:rFonts w:ascii="仿宋" w:eastAsia="仿宋" w:hAnsi="仿宋" w:cs="仿宋_GB2312" w:hint="eastAsia"/>
          <w:bCs/>
          <w:color w:val="000000"/>
          <w:kern w:val="0"/>
          <w:sz w:val="32"/>
          <w:szCs w:val="32"/>
          <w:lang w:val="zh-CN"/>
        </w:rPr>
        <w:t>易地扶贫搬迁、生态建设与环境保护</w:t>
      </w:r>
      <w:r w:rsidRPr="00B96187">
        <w:rPr>
          <w:rFonts w:ascii="仿宋" w:eastAsia="仿宋" w:hAnsi="仿宋" w:cs="仿宋_GB2312"/>
          <w:bCs/>
          <w:color w:val="000000"/>
          <w:kern w:val="0"/>
          <w:sz w:val="32"/>
          <w:szCs w:val="32"/>
          <w:lang w:val="zh-CN"/>
        </w:rPr>
        <w:t>等重点专题培训班次</w:t>
      </w:r>
      <w:r w:rsidRPr="00B96187">
        <w:rPr>
          <w:rFonts w:ascii="仿宋" w:eastAsia="仿宋" w:hAnsi="仿宋" w:cs="仿宋_GB2312" w:hint="eastAsia"/>
          <w:bCs/>
          <w:color w:val="000000"/>
          <w:kern w:val="0"/>
          <w:sz w:val="32"/>
          <w:szCs w:val="32"/>
          <w:lang w:val="zh-CN"/>
        </w:rPr>
        <w:t>22期，举</w:t>
      </w:r>
      <w:r w:rsidRPr="00B96187">
        <w:rPr>
          <w:rFonts w:ascii="仿宋" w:eastAsia="仿宋" w:hAnsi="仿宋" w:cs="仿宋_GB2312" w:hint="eastAsia"/>
          <w:bCs/>
          <w:color w:val="000000"/>
          <w:kern w:val="0"/>
          <w:sz w:val="32"/>
          <w:szCs w:val="32"/>
          <w:lang w:val="zh-CN"/>
        </w:rPr>
        <w:lastRenderedPageBreak/>
        <w:t>办“干部蜀道大讲堂”2期，培训各类干部5100余人次。</w:t>
      </w:r>
    </w:p>
    <w:p w:rsidR="0062263D" w:rsidRPr="00B96187" w:rsidRDefault="005F7C89">
      <w:pPr>
        <w:adjustRightInd w:val="0"/>
        <w:snapToGrid w:val="0"/>
        <w:spacing w:line="576" w:lineRule="exact"/>
        <w:ind w:firstLineChars="200" w:firstLine="640"/>
        <w:rPr>
          <w:rFonts w:ascii="仿宋" w:eastAsia="仿宋" w:hAnsi="仿宋"/>
          <w:color w:val="000000"/>
          <w:sz w:val="32"/>
          <w:szCs w:val="32"/>
        </w:rPr>
      </w:pPr>
      <w:r w:rsidRPr="00B96187">
        <w:rPr>
          <w:rFonts w:ascii="仿宋" w:eastAsia="仿宋" w:hAnsi="仿宋" w:hint="eastAsia"/>
          <w:sz w:val="32"/>
          <w:szCs w:val="32"/>
        </w:rPr>
        <w:t>党建扶贫工作：</w:t>
      </w:r>
      <w:r w:rsidRPr="00B96187">
        <w:rPr>
          <w:rFonts w:ascii="仿宋" w:eastAsia="仿宋" w:hAnsi="仿宋" w:hint="eastAsia"/>
          <w:color w:val="000000"/>
          <w:sz w:val="32"/>
          <w:szCs w:val="32"/>
        </w:rPr>
        <w:t>一是构建脱贫攻坚精准帮扶体系。建立帮扶工作四级联动指挥机制，全覆盖落实贫困村、非贫困村“</w:t>
      </w:r>
      <w:r w:rsidRPr="00B96187">
        <w:rPr>
          <w:rFonts w:ascii="仿宋" w:eastAsia="仿宋" w:hAnsi="仿宋"/>
          <w:color w:val="000000"/>
          <w:sz w:val="32"/>
          <w:szCs w:val="32"/>
        </w:rPr>
        <w:t>5+1</w:t>
      </w:r>
      <w:r w:rsidRPr="00B96187">
        <w:rPr>
          <w:rFonts w:ascii="仿宋" w:eastAsia="仿宋" w:hAnsi="仿宋" w:hint="eastAsia"/>
          <w:color w:val="000000"/>
          <w:sz w:val="32"/>
          <w:szCs w:val="32"/>
        </w:rPr>
        <w:t>”帮扶机制，全市选派第一书记2541名、工作队员8465名、帮扶责任人7.47万余名。二是创新党员精准扶贫示范模式。采取“抱团”“领办”“入股”“协同”“众筹”五种模式，累计建设</w:t>
      </w:r>
      <w:r w:rsidRPr="00B96187">
        <w:rPr>
          <w:rFonts w:ascii="仿宋" w:eastAsia="仿宋" w:hAnsi="仿宋"/>
          <w:color w:val="000000"/>
          <w:sz w:val="32"/>
          <w:szCs w:val="32"/>
        </w:rPr>
        <w:t>892</w:t>
      </w:r>
      <w:r w:rsidRPr="00B96187">
        <w:rPr>
          <w:rFonts w:ascii="仿宋" w:eastAsia="仿宋" w:hAnsi="仿宋" w:hint="eastAsia"/>
          <w:color w:val="000000"/>
          <w:sz w:val="32"/>
          <w:szCs w:val="32"/>
        </w:rPr>
        <w:t>个示范项目，投入各类资金</w:t>
      </w:r>
      <w:r w:rsidRPr="00B96187">
        <w:rPr>
          <w:rFonts w:ascii="仿宋" w:eastAsia="仿宋" w:hAnsi="仿宋"/>
          <w:color w:val="000000"/>
          <w:sz w:val="32"/>
          <w:szCs w:val="32"/>
        </w:rPr>
        <w:t>7000</w:t>
      </w:r>
      <w:r w:rsidRPr="00B96187">
        <w:rPr>
          <w:rFonts w:ascii="仿宋" w:eastAsia="仿宋" w:hAnsi="仿宋" w:hint="eastAsia"/>
          <w:color w:val="000000"/>
          <w:sz w:val="32"/>
          <w:szCs w:val="32"/>
        </w:rPr>
        <w:t>余万元，带动</w:t>
      </w:r>
      <w:r w:rsidRPr="00B96187">
        <w:rPr>
          <w:rFonts w:ascii="仿宋" w:eastAsia="仿宋" w:hAnsi="仿宋"/>
          <w:color w:val="000000"/>
          <w:sz w:val="32"/>
          <w:szCs w:val="32"/>
        </w:rPr>
        <w:t>3.05</w:t>
      </w:r>
      <w:r w:rsidRPr="00B96187">
        <w:rPr>
          <w:rFonts w:ascii="仿宋" w:eastAsia="仿宋" w:hAnsi="仿宋" w:hint="eastAsia"/>
          <w:color w:val="000000"/>
          <w:sz w:val="32"/>
          <w:szCs w:val="32"/>
        </w:rPr>
        <w:t>万名贫困群众脱贫致富。今年以来，全市创建党建扶贫示范户1000户、示范村50个、示范企业30个、示范园区10个、示范片（带）10个。三是深入开展“四讲一做”活动。全市建立农民夜校2422所，实现行政村全覆盖。2017年，累计开展政策宣讲活动</w:t>
      </w:r>
      <w:r w:rsidRPr="00B96187">
        <w:rPr>
          <w:rFonts w:ascii="仿宋" w:eastAsia="仿宋" w:hAnsi="仿宋"/>
          <w:color w:val="000000"/>
          <w:sz w:val="32"/>
          <w:szCs w:val="32"/>
        </w:rPr>
        <w:t>1.1</w:t>
      </w:r>
      <w:r w:rsidRPr="00B96187">
        <w:rPr>
          <w:rFonts w:ascii="仿宋" w:eastAsia="仿宋" w:hAnsi="仿宋" w:hint="eastAsia"/>
          <w:color w:val="000000"/>
          <w:sz w:val="32"/>
          <w:szCs w:val="32"/>
        </w:rPr>
        <w:t>万余场次、技术辅导</w:t>
      </w:r>
      <w:r w:rsidRPr="00B96187">
        <w:rPr>
          <w:rFonts w:ascii="仿宋" w:eastAsia="仿宋" w:hAnsi="仿宋"/>
          <w:color w:val="000000"/>
          <w:sz w:val="32"/>
          <w:szCs w:val="32"/>
        </w:rPr>
        <w:t>1.2</w:t>
      </w:r>
      <w:r w:rsidRPr="00B96187">
        <w:rPr>
          <w:rFonts w:ascii="仿宋" w:eastAsia="仿宋" w:hAnsi="仿宋" w:hint="eastAsia"/>
          <w:color w:val="000000"/>
          <w:sz w:val="32"/>
          <w:szCs w:val="32"/>
        </w:rPr>
        <w:t>万余场次、经验介绍</w:t>
      </w:r>
      <w:r w:rsidRPr="00B96187">
        <w:rPr>
          <w:rFonts w:ascii="仿宋" w:eastAsia="仿宋" w:hAnsi="仿宋"/>
          <w:color w:val="000000"/>
          <w:sz w:val="32"/>
          <w:szCs w:val="32"/>
        </w:rPr>
        <w:t>5400</w:t>
      </w:r>
      <w:r w:rsidRPr="00B96187">
        <w:rPr>
          <w:rFonts w:ascii="仿宋" w:eastAsia="仿宋" w:hAnsi="仿宋" w:hint="eastAsia"/>
          <w:color w:val="000000"/>
          <w:sz w:val="32"/>
          <w:szCs w:val="32"/>
        </w:rPr>
        <w:t>余场次。四是激发脱贫攻坚一线干部活力。市本级表扬先进帮扶单位70个、优秀第一书记50名、驻村干部30名、农技员50名，市县联动举办各类培训班</w:t>
      </w:r>
      <w:r w:rsidRPr="00B96187">
        <w:rPr>
          <w:rFonts w:ascii="仿宋" w:eastAsia="仿宋" w:hAnsi="仿宋"/>
          <w:color w:val="000000"/>
          <w:sz w:val="32"/>
          <w:szCs w:val="32"/>
        </w:rPr>
        <w:t>26</w:t>
      </w:r>
      <w:r w:rsidRPr="00B96187">
        <w:rPr>
          <w:rFonts w:ascii="仿宋" w:eastAsia="仿宋" w:hAnsi="仿宋" w:hint="eastAsia"/>
          <w:color w:val="000000"/>
          <w:sz w:val="32"/>
          <w:szCs w:val="32"/>
        </w:rPr>
        <w:t>期，示范培训</w:t>
      </w:r>
      <w:r w:rsidRPr="00B96187">
        <w:rPr>
          <w:rFonts w:ascii="仿宋" w:eastAsia="仿宋" w:hAnsi="仿宋"/>
          <w:color w:val="000000"/>
          <w:sz w:val="32"/>
          <w:szCs w:val="32"/>
        </w:rPr>
        <w:t>255</w:t>
      </w:r>
      <w:r w:rsidRPr="00B96187">
        <w:rPr>
          <w:rFonts w:ascii="仿宋" w:eastAsia="仿宋" w:hAnsi="仿宋" w:hint="eastAsia"/>
          <w:color w:val="000000"/>
          <w:sz w:val="32"/>
          <w:szCs w:val="32"/>
        </w:rPr>
        <w:t>名第一书记、</w:t>
      </w:r>
      <w:r w:rsidRPr="00B96187">
        <w:rPr>
          <w:rFonts w:ascii="仿宋" w:eastAsia="仿宋" w:hAnsi="仿宋"/>
          <w:color w:val="000000"/>
          <w:sz w:val="32"/>
          <w:szCs w:val="32"/>
        </w:rPr>
        <w:t>1500</w:t>
      </w:r>
      <w:r w:rsidRPr="00B96187">
        <w:rPr>
          <w:rFonts w:ascii="仿宋" w:eastAsia="仿宋" w:hAnsi="仿宋" w:hint="eastAsia"/>
          <w:color w:val="000000"/>
          <w:sz w:val="32"/>
          <w:szCs w:val="32"/>
        </w:rPr>
        <w:t>名驻村干部。五是创新发展壮大集体经济。实施“355”发展路径，即“三类组织形式、五种发展模式、五种运行机制”，全市739个</w:t>
      </w:r>
      <w:proofErr w:type="gramStart"/>
      <w:r w:rsidRPr="00B96187">
        <w:rPr>
          <w:rFonts w:ascii="仿宋" w:eastAsia="仿宋" w:hAnsi="仿宋" w:hint="eastAsia"/>
          <w:color w:val="000000"/>
          <w:sz w:val="32"/>
          <w:szCs w:val="32"/>
        </w:rPr>
        <w:t>贫困村全覆盖</w:t>
      </w:r>
      <w:proofErr w:type="gramEnd"/>
      <w:r w:rsidRPr="00B96187">
        <w:rPr>
          <w:rFonts w:ascii="仿宋" w:eastAsia="仿宋" w:hAnsi="仿宋" w:hint="eastAsia"/>
          <w:color w:val="000000"/>
          <w:sz w:val="32"/>
          <w:szCs w:val="32"/>
        </w:rPr>
        <w:t>建立村级集体经济组织。</w:t>
      </w:r>
    </w:p>
    <w:p w:rsidR="0062263D" w:rsidRPr="00B96187" w:rsidRDefault="005F7C89">
      <w:pPr>
        <w:adjustRightInd w:val="0"/>
        <w:snapToGrid w:val="0"/>
        <w:spacing w:line="576" w:lineRule="exact"/>
        <w:ind w:firstLineChars="196" w:firstLine="627"/>
        <w:rPr>
          <w:rFonts w:ascii="仿宋" w:eastAsia="仿宋" w:hAnsi="仿宋" w:cs="楷体_GB2312"/>
          <w:color w:val="000000"/>
          <w:sz w:val="32"/>
          <w:szCs w:val="32"/>
        </w:rPr>
      </w:pPr>
      <w:r w:rsidRPr="00B96187">
        <w:rPr>
          <w:rFonts w:ascii="仿宋" w:eastAsia="仿宋" w:hAnsi="仿宋" w:hint="eastAsia"/>
          <w:sz w:val="32"/>
          <w:szCs w:val="32"/>
        </w:rPr>
        <w:t>人才引进培养工作：</w:t>
      </w:r>
      <w:r w:rsidRPr="00B96187">
        <w:rPr>
          <w:rFonts w:ascii="仿宋" w:eastAsia="仿宋" w:hAnsi="仿宋" w:hint="eastAsia"/>
          <w:color w:val="000000"/>
          <w:sz w:val="32"/>
          <w:szCs w:val="32"/>
        </w:rPr>
        <w:t>一是创新引才方式。</w:t>
      </w:r>
      <w:r w:rsidRPr="00B96187">
        <w:rPr>
          <w:rFonts w:ascii="仿宋" w:eastAsia="仿宋" w:hAnsi="仿宋" w:hint="eastAsia"/>
          <w:sz w:val="32"/>
          <w:szCs w:val="32"/>
        </w:rPr>
        <w:t>实施“第九批人才引进计划”，共引进硕士博士研究生</w:t>
      </w:r>
      <w:r w:rsidRPr="00B96187">
        <w:rPr>
          <w:rFonts w:ascii="仿宋" w:eastAsia="仿宋" w:hAnsi="仿宋"/>
          <w:sz w:val="32"/>
          <w:szCs w:val="32"/>
        </w:rPr>
        <w:t>75</w:t>
      </w:r>
      <w:r w:rsidRPr="00B96187">
        <w:rPr>
          <w:rFonts w:ascii="仿宋" w:eastAsia="仿宋" w:hAnsi="仿宋" w:hint="eastAsia"/>
          <w:sz w:val="32"/>
          <w:szCs w:val="32"/>
        </w:rPr>
        <w:t>名，</w:t>
      </w:r>
      <w:r w:rsidRPr="00B96187">
        <w:rPr>
          <w:rFonts w:ascii="仿宋" w:eastAsia="仿宋" w:hAnsi="仿宋" w:hint="eastAsia"/>
          <w:color w:val="000000"/>
          <w:sz w:val="32"/>
          <w:szCs w:val="32"/>
        </w:rPr>
        <w:t>其中博士</w:t>
      </w:r>
      <w:r w:rsidRPr="00B96187">
        <w:rPr>
          <w:rFonts w:ascii="仿宋" w:eastAsia="仿宋" w:hAnsi="仿宋"/>
          <w:color w:val="000000"/>
          <w:sz w:val="32"/>
          <w:szCs w:val="32"/>
        </w:rPr>
        <w:t>2</w:t>
      </w:r>
      <w:r w:rsidRPr="00B96187">
        <w:rPr>
          <w:rFonts w:ascii="仿宋" w:eastAsia="仿宋" w:hAnsi="仿宋" w:hint="eastAsia"/>
          <w:color w:val="000000"/>
          <w:sz w:val="32"/>
          <w:szCs w:val="32"/>
        </w:rPr>
        <w:t>名。积极</w:t>
      </w:r>
      <w:r w:rsidRPr="00B96187">
        <w:rPr>
          <w:rFonts w:ascii="仿宋" w:eastAsia="仿宋" w:hAnsi="仿宋" w:hint="eastAsia"/>
          <w:sz w:val="32"/>
          <w:szCs w:val="32"/>
        </w:rPr>
        <w:t>实施“人才回引计划”</w:t>
      </w:r>
      <w:r w:rsidRPr="00B96187">
        <w:rPr>
          <w:rFonts w:ascii="仿宋" w:eastAsia="仿宋" w:hAnsi="仿宋" w:hint="eastAsia"/>
          <w:color w:val="000000"/>
          <w:sz w:val="32"/>
          <w:szCs w:val="32"/>
        </w:rPr>
        <w:t>，</w:t>
      </w:r>
      <w:r w:rsidRPr="00B96187">
        <w:rPr>
          <w:rFonts w:ascii="仿宋" w:eastAsia="仿宋" w:hAnsi="仿宋" w:cs="仿宋_GB2312" w:hint="eastAsia"/>
          <w:color w:val="000000"/>
          <w:sz w:val="32"/>
          <w:szCs w:val="32"/>
        </w:rPr>
        <w:t>广元籍人才报名人数持续上升，社会关注度越来越高。</w:t>
      </w:r>
      <w:r w:rsidRPr="00B96187">
        <w:rPr>
          <w:rFonts w:ascii="仿宋" w:eastAsia="仿宋" w:hAnsi="仿宋" w:hint="eastAsia"/>
          <w:sz w:val="32"/>
          <w:szCs w:val="32"/>
        </w:rPr>
        <w:t>开展“优秀人才广元行”活动，依托院士专家</w:t>
      </w:r>
      <w:r w:rsidRPr="00B96187">
        <w:rPr>
          <w:rFonts w:ascii="仿宋" w:eastAsia="仿宋" w:hAnsi="仿宋" w:hint="eastAsia"/>
          <w:sz w:val="32"/>
          <w:szCs w:val="32"/>
        </w:rPr>
        <w:lastRenderedPageBreak/>
        <w:t>工作站等平台，借智借力柔性使用院士10名，专家、教授250余名，其中外籍人才15名。</w:t>
      </w:r>
      <w:r w:rsidRPr="00B96187">
        <w:rPr>
          <w:rFonts w:ascii="仿宋" w:eastAsia="仿宋" w:hAnsi="仿宋" w:hint="eastAsia"/>
          <w:color w:val="000000"/>
          <w:sz w:val="32"/>
          <w:szCs w:val="32"/>
        </w:rPr>
        <w:t>二是加强人才培养。</w:t>
      </w:r>
      <w:r w:rsidRPr="00B96187">
        <w:rPr>
          <w:rFonts w:ascii="仿宋" w:eastAsia="仿宋" w:hAnsi="仿宋" w:hint="eastAsia"/>
          <w:sz w:val="32"/>
          <w:szCs w:val="32"/>
        </w:rPr>
        <w:t>实施15项重点人才工程，举办了创新型企业家等10期人才专题培训班，培养培训了高端人才600余名，今年以来，开展科技成果转化项目37个，实施创新创业项目近100个，取得科研成果102项。</w:t>
      </w:r>
    </w:p>
    <w:p w:rsidR="0062263D" w:rsidRDefault="005F7C89">
      <w:pPr>
        <w:numPr>
          <w:ilvl w:val="0"/>
          <w:numId w:val="1"/>
        </w:numPr>
        <w:spacing w:line="560" w:lineRule="exact"/>
        <w:ind w:firstLineChars="200" w:firstLine="643"/>
        <w:rPr>
          <w:rFonts w:ascii="黑体" w:eastAsia="黑体"/>
          <w:b/>
          <w:bCs/>
          <w:color w:val="000000"/>
          <w:sz w:val="32"/>
          <w:szCs w:val="32"/>
        </w:rPr>
      </w:pPr>
      <w:r>
        <w:rPr>
          <w:rFonts w:ascii="黑体" w:eastAsia="黑体" w:hint="eastAsia"/>
          <w:b/>
          <w:bCs/>
          <w:color w:val="000000"/>
          <w:sz w:val="32"/>
          <w:szCs w:val="32"/>
        </w:rPr>
        <w:t>部门概况</w:t>
      </w:r>
    </w:p>
    <w:p w:rsidR="0062263D" w:rsidRPr="00B96187" w:rsidRDefault="005F7C89">
      <w:pPr>
        <w:adjustRightInd w:val="0"/>
        <w:snapToGrid w:val="0"/>
        <w:spacing w:line="576" w:lineRule="exact"/>
        <w:ind w:firstLineChars="200" w:firstLine="640"/>
        <w:rPr>
          <w:rFonts w:ascii="仿宋" w:eastAsia="仿宋" w:hAnsi="仿宋"/>
          <w:sz w:val="32"/>
          <w:szCs w:val="32"/>
        </w:rPr>
      </w:pPr>
      <w:r w:rsidRPr="00B96187">
        <w:rPr>
          <w:rFonts w:ascii="仿宋" w:eastAsia="仿宋" w:hAnsi="仿宋" w:hint="eastAsia"/>
          <w:kern w:val="0"/>
          <w:sz w:val="32"/>
          <w:szCs w:val="32"/>
        </w:rPr>
        <w:t>我部为财政一级预算单位，执行行政单位会计制度。</w:t>
      </w:r>
      <w:r w:rsidRPr="00B96187">
        <w:rPr>
          <w:rFonts w:ascii="仿宋" w:eastAsia="仿宋" w:hAnsi="仿宋" w:hint="eastAsia"/>
          <w:color w:val="000000"/>
          <w:sz w:val="32"/>
          <w:szCs w:val="32"/>
        </w:rPr>
        <w:t>内设16个职能科室，下属2个事业单位、</w:t>
      </w:r>
      <w:proofErr w:type="gramStart"/>
      <w:r w:rsidRPr="00B96187">
        <w:rPr>
          <w:rFonts w:ascii="仿宋" w:eastAsia="仿宋" w:hAnsi="仿宋" w:hint="eastAsia"/>
          <w:color w:val="000000"/>
          <w:sz w:val="32"/>
          <w:szCs w:val="32"/>
        </w:rPr>
        <w:t>1个参公单位</w:t>
      </w:r>
      <w:proofErr w:type="gramEnd"/>
      <w:r w:rsidRPr="00B96187">
        <w:rPr>
          <w:rFonts w:ascii="仿宋" w:eastAsia="仿宋" w:hAnsi="仿宋" w:hint="eastAsia"/>
          <w:color w:val="000000"/>
          <w:sz w:val="32"/>
          <w:szCs w:val="32"/>
        </w:rPr>
        <w:t>，全年无变动。单列行政编制</w:t>
      </w:r>
      <w:r w:rsidRPr="00B96187">
        <w:rPr>
          <w:rFonts w:ascii="仿宋" w:eastAsia="仿宋" w:hAnsi="仿宋"/>
          <w:color w:val="000000"/>
          <w:sz w:val="32"/>
          <w:szCs w:val="32"/>
        </w:rPr>
        <w:t>1</w:t>
      </w:r>
      <w:r w:rsidRPr="00B96187">
        <w:rPr>
          <w:rFonts w:ascii="仿宋" w:eastAsia="仿宋" w:hAnsi="仿宋" w:hint="eastAsia"/>
          <w:color w:val="000000"/>
          <w:sz w:val="32"/>
          <w:szCs w:val="32"/>
        </w:rPr>
        <w:t>个，公务员编制</w:t>
      </w:r>
      <w:r w:rsidRPr="00B96187">
        <w:rPr>
          <w:rFonts w:ascii="仿宋" w:eastAsia="仿宋" w:hAnsi="仿宋"/>
          <w:color w:val="000000"/>
          <w:sz w:val="32"/>
          <w:szCs w:val="32"/>
        </w:rPr>
        <w:t>35</w:t>
      </w:r>
      <w:r w:rsidRPr="00B96187">
        <w:rPr>
          <w:rFonts w:ascii="仿宋" w:eastAsia="仿宋" w:hAnsi="仿宋" w:hint="eastAsia"/>
          <w:color w:val="000000"/>
          <w:sz w:val="32"/>
          <w:szCs w:val="32"/>
        </w:rPr>
        <w:t>个，机关工勤编制5个，参公事业编制</w:t>
      </w:r>
      <w:r w:rsidRPr="00B96187">
        <w:rPr>
          <w:rFonts w:ascii="仿宋" w:eastAsia="仿宋" w:hAnsi="仿宋"/>
          <w:color w:val="000000"/>
          <w:sz w:val="32"/>
          <w:szCs w:val="32"/>
        </w:rPr>
        <w:t>8</w:t>
      </w:r>
      <w:r w:rsidRPr="00B96187">
        <w:rPr>
          <w:rFonts w:ascii="仿宋" w:eastAsia="仿宋" w:hAnsi="仿宋" w:hint="eastAsia"/>
          <w:color w:val="000000"/>
          <w:sz w:val="32"/>
          <w:szCs w:val="32"/>
        </w:rPr>
        <w:t>个，事业编制8个，派驻纪检组编制6个。</w:t>
      </w:r>
    </w:p>
    <w:p w:rsidR="0062263D" w:rsidRPr="00B96187" w:rsidRDefault="005F7C89">
      <w:pPr>
        <w:spacing w:line="576" w:lineRule="exact"/>
        <w:ind w:firstLineChars="200" w:firstLine="640"/>
        <w:rPr>
          <w:rFonts w:ascii="仿宋" w:eastAsia="仿宋" w:hAnsi="仿宋"/>
          <w:kern w:val="0"/>
          <w:sz w:val="32"/>
          <w:szCs w:val="32"/>
        </w:rPr>
      </w:pPr>
      <w:r w:rsidRPr="00B96187">
        <w:rPr>
          <w:rFonts w:ascii="仿宋" w:eastAsia="仿宋" w:hAnsi="仿宋" w:hint="eastAsia"/>
          <w:kern w:val="0"/>
          <w:sz w:val="32"/>
          <w:szCs w:val="32"/>
        </w:rPr>
        <w:t>2017年末，实际在岗人数54人，其中，行政编制人员37人（含派驻纪检组4人），工勤编制人员3人，参照公务员法管理事业人员7人，事业人员7人。离休人员1人。另外，经市委同意，两学一做、六个一帮扶等常年借用人员15人左右（办公出差等费用由我部列支）。</w:t>
      </w:r>
    </w:p>
    <w:p w:rsidR="0062263D" w:rsidRDefault="005F7C89">
      <w:pPr>
        <w:spacing w:line="560" w:lineRule="exact"/>
        <w:ind w:firstLine="640"/>
        <w:rPr>
          <w:rFonts w:ascii="黑体" w:eastAsia="黑体" w:hAnsi="黑体" w:cs="黑体"/>
          <w:color w:val="000000"/>
          <w:kern w:val="0"/>
          <w:sz w:val="32"/>
          <w:szCs w:val="32"/>
        </w:rPr>
      </w:pPr>
      <w:r>
        <w:rPr>
          <w:rFonts w:ascii="黑体" w:eastAsia="黑体" w:hint="eastAsia"/>
          <w:b/>
          <w:bCs/>
          <w:color w:val="000000"/>
          <w:sz w:val="32"/>
          <w:szCs w:val="32"/>
        </w:rPr>
        <w:t>三、收支决算总体情况说明</w:t>
      </w:r>
    </w:p>
    <w:p w:rsidR="0062263D" w:rsidRPr="00B96187" w:rsidRDefault="005F7C89">
      <w:pPr>
        <w:spacing w:line="560" w:lineRule="exact"/>
        <w:ind w:firstLine="640"/>
        <w:rPr>
          <w:rFonts w:ascii="仿宋" w:eastAsia="仿宋" w:hAnsi="仿宋"/>
          <w:bCs/>
          <w:sz w:val="32"/>
          <w:szCs w:val="32"/>
        </w:rPr>
      </w:pPr>
      <w:r w:rsidRPr="00B96187">
        <w:rPr>
          <w:rFonts w:ascii="仿宋" w:eastAsia="仿宋" w:hAnsi="仿宋" w:hint="eastAsia"/>
          <w:bCs/>
          <w:color w:val="000000"/>
          <w:sz w:val="32"/>
          <w:szCs w:val="32"/>
        </w:rPr>
        <w:t>2017年市委组织部本年收入合计1526.80万元，其中：一般公共预算财政拨款收入1110.62万元，占72.74%；</w:t>
      </w:r>
      <w:r w:rsidRPr="00B96187">
        <w:rPr>
          <w:rFonts w:ascii="仿宋" w:eastAsia="仿宋" w:hAnsi="仿宋" w:hint="eastAsia"/>
          <w:bCs/>
          <w:sz w:val="32"/>
          <w:szCs w:val="32"/>
        </w:rPr>
        <w:t>年初结转和结余416.18万元，占27.26%。</w:t>
      </w:r>
    </w:p>
    <w:p w:rsidR="0062263D" w:rsidRPr="00B96187" w:rsidRDefault="005F7C89">
      <w:pPr>
        <w:spacing w:line="560" w:lineRule="exact"/>
        <w:ind w:firstLineChars="200" w:firstLine="640"/>
        <w:rPr>
          <w:rFonts w:ascii="仿宋" w:eastAsia="仿宋" w:hAnsi="仿宋"/>
          <w:bCs/>
          <w:color w:val="000000"/>
          <w:sz w:val="32"/>
          <w:szCs w:val="32"/>
        </w:rPr>
      </w:pPr>
      <w:r w:rsidRPr="00B96187">
        <w:rPr>
          <w:rFonts w:ascii="仿宋" w:eastAsia="仿宋" w:hAnsi="仿宋" w:hint="eastAsia"/>
          <w:bCs/>
          <w:color w:val="000000"/>
          <w:sz w:val="32"/>
          <w:szCs w:val="32"/>
        </w:rPr>
        <w:t>2017年市委组织部本年支出合计1434.65万元，其中：基本支出1075.97万元，占75%；项目支出358.68万元，占25%。</w:t>
      </w:r>
    </w:p>
    <w:p w:rsidR="0062263D" w:rsidRDefault="005F7C89">
      <w:pPr>
        <w:spacing w:line="560" w:lineRule="exact"/>
        <w:ind w:leftChars="200" w:left="420" w:firstLineChars="100" w:firstLine="321"/>
        <w:rPr>
          <w:rFonts w:ascii="黑体" w:eastAsia="黑体"/>
          <w:b/>
          <w:bCs/>
          <w:color w:val="000000"/>
          <w:sz w:val="32"/>
          <w:szCs w:val="32"/>
        </w:rPr>
      </w:pPr>
      <w:r>
        <w:rPr>
          <w:rFonts w:ascii="黑体" w:eastAsia="黑体" w:hint="eastAsia"/>
          <w:b/>
          <w:bCs/>
          <w:color w:val="000000"/>
          <w:sz w:val="32"/>
          <w:szCs w:val="32"/>
        </w:rPr>
        <w:t>四、财政拨款收入支出决算总体情况说明</w:t>
      </w:r>
    </w:p>
    <w:p w:rsidR="0062263D" w:rsidRPr="00B96187" w:rsidRDefault="005F7C89">
      <w:pPr>
        <w:spacing w:line="560" w:lineRule="exact"/>
        <w:ind w:firstLineChars="200" w:firstLine="640"/>
        <w:rPr>
          <w:rFonts w:ascii="仿宋" w:eastAsia="仿宋" w:hAnsi="仿宋"/>
          <w:color w:val="000000"/>
          <w:sz w:val="32"/>
          <w:szCs w:val="32"/>
        </w:rPr>
      </w:pPr>
      <w:r w:rsidRPr="00B96187">
        <w:rPr>
          <w:rFonts w:ascii="仿宋" w:eastAsia="仿宋" w:hAnsi="仿宋" w:hint="eastAsia"/>
          <w:bCs/>
          <w:color w:val="000000"/>
          <w:sz w:val="32"/>
          <w:szCs w:val="32"/>
        </w:rPr>
        <w:lastRenderedPageBreak/>
        <w:t>市委组织部2017年度财政拨款收支总决算为1526.80万元，与2016年相比，增加129.12万元，同比增加9.24%。</w:t>
      </w:r>
    </w:p>
    <w:p w:rsidR="0062263D" w:rsidRDefault="005F7C89">
      <w:pPr>
        <w:spacing w:line="560" w:lineRule="exact"/>
        <w:ind w:leftChars="200" w:left="420" w:firstLineChars="100" w:firstLine="321"/>
        <w:rPr>
          <w:rFonts w:ascii="黑体" w:eastAsia="黑体" w:hAnsi="黑体" w:cs="黑体"/>
          <w:b/>
          <w:bCs/>
          <w:color w:val="000000"/>
          <w:sz w:val="32"/>
          <w:szCs w:val="32"/>
        </w:rPr>
      </w:pPr>
      <w:r>
        <w:rPr>
          <w:rFonts w:ascii="黑体" w:eastAsia="黑体" w:hAnsi="黑体" w:cs="黑体" w:hint="eastAsia"/>
          <w:b/>
          <w:bCs/>
          <w:color w:val="000000"/>
          <w:sz w:val="32"/>
          <w:szCs w:val="32"/>
        </w:rPr>
        <w:t>五、一般公共预算财政拨款支出决算情况说明</w:t>
      </w:r>
    </w:p>
    <w:p w:rsidR="0062263D" w:rsidRDefault="005F7C89">
      <w:pPr>
        <w:spacing w:line="560" w:lineRule="exact"/>
        <w:ind w:leftChars="200" w:left="42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（一）一般公共预算财政拨款支出决算总体情况</w:t>
      </w:r>
    </w:p>
    <w:p w:rsidR="0062263D" w:rsidRPr="00B96187" w:rsidRDefault="005F7C89">
      <w:pPr>
        <w:spacing w:line="560" w:lineRule="exact"/>
        <w:ind w:firstLineChars="200" w:firstLine="640"/>
        <w:rPr>
          <w:rFonts w:ascii="仿宋" w:eastAsia="仿宋" w:hAnsi="仿宋"/>
          <w:bCs/>
          <w:color w:val="000000"/>
          <w:sz w:val="32"/>
          <w:szCs w:val="32"/>
        </w:rPr>
      </w:pPr>
      <w:r w:rsidRPr="00B96187">
        <w:rPr>
          <w:rFonts w:ascii="仿宋" w:eastAsia="仿宋" w:hAnsi="仿宋" w:hint="eastAsia"/>
          <w:bCs/>
          <w:color w:val="000000"/>
          <w:sz w:val="32"/>
          <w:szCs w:val="32"/>
        </w:rPr>
        <w:t>2017年度一般公共预算财政拨款支出1434.65万元，占本年支出合计的100%。与2016年相比，一般公共预算财政拨款增加388.98万元，增长37.20%。</w:t>
      </w:r>
    </w:p>
    <w:p w:rsidR="0062263D" w:rsidRDefault="005F7C89">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（二）一般公共预算财政拨款支出决算结构情况</w:t>
      </w:r>
    </w:p>
    <w:p w:rsidR="0062263D" w:rsidRPr="00B96187" w:rsidRDefault="005F7C89">
      <w:pPr>
        <w:spacing w:line="560" w:lineRule="exact"/>
        <w:ind w:firstLineChars="200" w:firstLine="640"/>
        <w:rPr>
          <w:rFonts w:ascii="仿宋" w:eastAsia="仿宋" w:hAnsi="仿宋" w:cs="仿宋_GB2312"/>
          <w:color w:val="000000"/>
          <w:sz w:val="32"/>
          <w:szCs w:val="32"/>
        </w:rPr>
      </w:pPr>
      <w:r w:rsidRPr="00B96187">
        <w:rPr>
          <w:rFonts w:ascii="仿宋" w:eastAsia="仿宋" w:hAnsi="仿宋" w:hint="eastAsia"/>
          <w:bCs/>
          <w:color w:val="000000"/>
          <w:sz w:val="32"/>
          <w:szCs w:val="32"/>
        </w:rPr>
        <w:t>2017年一般公共预算财政拨款支出1434.65万元，主要用于以下方面:一般公共服务支出1299.66万元，占90.59%；社会保障和就业支出70.01万元，占4.88%；医疗卫生支出21.52万元，占1.5%；住房保障支出43.46万元，占3.03%。</w:t>
      </w:r>
      <w:r w:rsidRPr="00B96187">
        <w:rPr>
          <w:rFonts w:ascii="仿宋" w:eastAsia="仿宋" w:hAnsi="仿宋" w:cs="仿宋_GB2312" w:hint="eastAsia"/>
          <w:color w:val="000000"/>
          <w:sz w:val="32"/>
          <w:szCs w:val="32"/>
        </w:rPr>
        <w:t xml:space="preserve">　　　　　　　　</w:t>
      </w:r>
    </w:p>
    <w:p w:rsidR="0062263D" w:rsidRDefault="005F7C89">
      <w:pPr>
        <w:numPr>
          <w:ilvl w:val="0"/>
          <w:numId w:val="2"/>
        </w:numPr>
        <w:spacing w:line="560" w:lineRule="exact"/>
        <w:ind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一般公共预算财政拨款支出决算具体情况</w:t>
      </w:r>
    </w:p>
    <w:p w:rsidR="0062263D" w:rsidRPr="00B96187" w:rsidRDefault="005F7C89">
      <w:pPr>
        <w:spacing w:line="560" w:lineRule="exact"/>
        <w:ind w:firstLineChars="200" w:firstLine="640"/>
        <w:rPr>
          <w:rStyle w:val="a7"/>
          <w:rFonts w:ascii="仿宋" w:eastAsia="仿宋" w:hAnsi="仿宋"/>
          <w:bCs w:val="0"/>
          <w:color w:val="000000"/>
          <w:sz w:val="32"/>
          <w:szCs w:val="32"/>
        </w:rPr>
      </w:pPr>
      <w:r w:rsidRPr="00B96187">
        <w:rPr>
          <w:rFonts w:ascii="仿宋" w:eastAsia="仿宋" w:hAnsi="仿宋" w:hint="eastAsia"/>
          <w:bCs/>
          <w:color w:val="000000"/>
          <w:sz w:val="32"/>
          <w:szCs w:val="32"/>
        </w:rPr>
        <w:t>1.一般公共服务-组织事务-行政运行:2017支出决算为940.98万元，完成预算91.08%，决算数小于预算数的主要原因是规范了单位各项支出，如，公务接待、办公费支出等，大大节约了开支。</w:t>
      </w:r>
    </w:p>
    <w:p w:rsidR="0062263D" w:rsidRPr="00B96187" w:rsidRDefault="00B96187">
      <w:pPr>
        <w:spacing w:line="560" w:lineRule="exact"/>
        <w:ind w:firstLine="640"/>
        <w:rPr>
          <w:rFonts w:ascii="仿宋" w:eastAsia="仿宋" w:hAnsi="仿宋"/>
          <w:bCs/>
          <w:color w:val="000000"/>
          <w:sz w:val="32"/>
          <w:szCs w:val="32"/>
        </w:rPr>
      </w:pPr>
      <w:r>
        <w:rPr>
          <w:rFonts w:ascii="仿宋" w:eastAsia="仿宋" w:hAnsi="仿宋" w:hint="eastAsia"/>
          <w:bCs/>
          <w:color w:val="000000"/>
          <w:sz w:val="32"/>
          <w:szCs w:val="32"/>
        </w:rPr>
        <w:t>2．</w:t>
      </w:r>
      <w:r w:rsidR="005F7C89" w:rsidRPr="00B96187">
        <w:rPr>
          <w:rFonts w:ascii="仿宋" w:eastAsia="仿宋" w:hAnsi="仿宋" w:hint="eastAsia"/>
          <w:bCs/>
          <w:color w:val="000000"/>
          <w:sz w:val="32"/>
          <w:szCs w:val="32"/>
        </w:rPr>
        <w:t>一般公共服务-组织事务-一般行政管理事务:2017年决算数为358.68万元，完成预算100%。</w:t>
      </w:r>
    </w:p>
    <w:p w:rsidR="0062263D" w:rsidRPr="00B96187" w:rsidRDefault="00B96187">
      <w:pPr>
        <w:spacing w:line="560" w:lineRule="exact"/>
        <w:ind w:firstLine="640"/>
        <w:rPr>
          <w:rFonts w:ascii="仿宋" w:eastAsia="仿宋" w:hAnsi="仿宋"/>
          <w:bCs/>
          <w:color w:val="000000"/>
          <w:sz w:val="32"/>
          <w:szCs w:val="32"/>
        </w:rPr>
      </w:pPr>
      <w:r>
        <w:rPr>
          <w:rFonts w:ascii="仿宋" w:eastAsia="仿宋" w:hAnsi="仿宋" w:hint="eastAsia"/>
          <w:bCs/>
          <w:color w:val="000000"/>
          <w:sz w:val="32"/>
          <w:szCs w:val="32"/>
        </w:rPr>
        <w:t>3</w:t>
      </w:r>
      <w:r w:rsidR="005F7C89" w:rsidRPr="00B96187">
        <w:rPr>
          <w:rFonts w:ascii="仿宋" w:eastAsia="仿宋" w:hAnsi="仿宋" w:hint="eastAsia"/>
          <w:bCs/>
          <w:color w:val="000000"/>
          <w:sz w:val="32"/>
          <w:szCs w:val="32"/>
        </w:rPr>
        <w:t>.社会保障和就业-行政事业单位离退休-未归口管理的行政单位离退休：2017年决算数为14.65万元，完成预算100%。</w:t>
      </w:r>
    </w:p>
    <w:p w:rsidR="0062263D" w:rsidRPr="00B96187" w:rsidRDefault="00B96187">
      <w:pPr>
        <w:spacing w:line="560" w:lineRule="exact"/>
        <w:ind w:firstLine="640"/>
        <w:rPr>
          <w:rFonts w:ascii="仿宋" w:eastAsia="仿宋" w:hAnsi="仿宋"/>
          <w:bCs/>
          <w:color w:val="000000"/>
          <w:sz w:val="32"/>
          <w:szCs w:val="32"/>
        </w:rPr>
      </w:pPr>
      <w:r>
        <w:rPr>
          <w:rFonts w:ascii="仿宋" w:eastAsia="仿宋" w:hAnsi="仿宋" w:hint="eastAsia"/>
          <w:bCs/>
          <w:color w:val="000000"/>
          <w:sz w:val="32"/>
          <w:szCs w:val="32"/>
        </w:rPr>
        <w:t>4.</w:t>
      </w:r>
      <w:r w:rsidR="005F7C89" w:rsidRPr="00B96187">
        <w:rPr>
          <w:rFonts w:ascii="仿宋" w:eastAsia="仿宋" w:hAnsi="仿宋" w:hint="eastAsia"/>
          <w:bCs/>
          <w:color w:val="000000"/>
          <w:sz w:val="32"/>
          <w:szCs w:val="32"/>
        </w:rPr>
        <w:t>社会保障和就业-行政事业单位离退休-机关事业单位基</w:t>
      </w:r>
      <w:r w:rsidR="005F7C89" w:rsidRPr="00B96187">
        <w:rPr>
          <w:rFonts w:ascii="仿宋" w:eastAsia="仿宋" w:hAnsi="仿宋" w:hint="eastAsia"/>
          <w:bCs/>
          <w:color w:val="000000"/>
          <w:sz w:val="32"/>
          <w:szCs w:val="32"/>
        </w:rPr>
        <w:lastRenderedPageBreak/>
        <w:t>本养老保险缴费支出：2017年决算数为55.36万元，完成预算100%。</w:t>
      </w:r>
      <w:r w:rsidR="005F7C89" w:rsidRPr="00B96187">
        <w:rPr>
          <w:rFonts w:ascii="仿宋" w:eastAsia="仿宋" w:hAnsi="仿宋" w:hint="eastAsia"/>
          <w:bCs/>
          <w:color w:val="000000"/>
          <w:sz w:val="32"/>
          <w:szCs w:val="32"/>
        </w:rPr>
        <w:br/>
      </w:r>
      <w:r w:rsidR="005F7C89" w:rsidRPr="00B96187">
        <w:rPr>
          <w:rFonts w:ascii="仿宋" w:eastAsia="仿宋" w:hAnsi="仿宋" w:hint="eastAsia"/>
          <w:bCs/>
          <w:sz w:val="32"/>
          <w:szCs w:val="30"/>
        </w:rPr>
        <w:t xml:space="preserve">　　</w:t>
      </w:r>
      <w:r>
        <w:rPr>
          <w:rFonts w:ascii="仿宋" w:eastAsia="仿宋" w:hAnsi="仿宋"/>
          <w:bCs/>
          <w:color w:val="000000"/>
          <w:sz w:val="32"/>
          <w:szCs w:val="32"/>
        </w:rPr>
        <w:t>5</w:t>
      </w:r>
      <w:r w:rsidR="005F7C89" w:rsidRPr="00B96187">
        <w:rPr>
          <w:rFonts w:ascii="仿宋" w:eastAsia="仿宋" w:hAnsi="仿宋" w:hint="eastAsia"/>
          <w:bCs/>
          <w:color w:val="000000"/>
          <w:sz w:val="32"/>
          <w:szCs w:val="32"/>
        </w:rPr>
        <w:t>.医疗卫生与计划生育-医疗保障-行政单位医疗：2017年决算数为21.52万元，完成预算100%。</w:t>
      </w:r>
    </w:p>
    <w:p w:rsidR="0062263D" w:rsidRPr="00B96187" w:rsidRDefault="00B96187">
      <w:pPr>
        <w:spacing w:line="560" w:lineRule="exact"/>
        <w:ind w:firstLine="640"/>
        <w:rPr>
          <w:rFonts w:ascii="仿宋" w:eastAsia="仿宋" w:hAnsi="仿宋"/>
          <w:bCs/>
          <w:color w:val="000000"/>
          <w:sz w:val="32"/>
          <w:szCs w:val="32"/>
        </w:rPr>
      </w:pPr>
      <w:r>
        <w:rPr>
          <w:rFonts w:ascii="仿宋" w:eastAsia="仿宋" w:hAnsi="仿宋"/>
          <w:bCs/>
          <w:color w:val="000000"/>
          <w:sz w:val="32"/>
          <w:szCs w:val="32"/>
        </w:rPr>
        <w:t>6</w:t>
      </w:r>
      <w:r w:rsidR="005F7C89" w:rsidRPr="00B96187">
        <w:rPr>
          <w:rFonts w:ascii="仿宋" w:eastAsia="仿宋" w:hAnsi="仿宋" w:hint="eastAsia"/>
          <w:bCs/>
          <w:color w:val="000000"/>
          <w:sz w:val="32"/>
          <w:szCs w:val="32"/>
        </w:rPr>
        <w:t>.住房保障支出-住房改革支出-住房公积金：2017年决算数为43.46万元，完成预算100%。</w:t>
      </w:r>
    </w:p>
    <w:p w:rsidR="0062263D" w:rsidRDefault="005F7C89">
      <w:pPr>
        <w:spacing w:line="560" w:lineRule="exact"/>
        <w:ind w:firstLineChars="200" w:firstLine="643"/>
        <w:rPr>
          <w:rFonts w:ascii="黑体" w:eastAsia="黑体" w:hAnsi="黑体" w:cs="黑体"/>
          <w:color w:val="000000"/>
          <w:sz w:val="32"/>
          <w:szCs w:val="32"/>
        </w:rPr>
      </w:pPr>
      <w:r>
        <w:rPr>
          <w:rFonts w:ascii="黑体" w:eastAsia="黑体" w:hint="eastAsia"/>
          <w:b/>
          <w:bCs/>
          <w:color w:val="000000"/>
          <w:sz w:val="32"/>
          <w:szCs w:val="32"/>
        </w:rPr>
        <w:t>六、一般公共预算财政拨款基本支出决算情况说明</w:t>
      </w:r>
    </w:p>
    <w:p w:rsidR="0062263D" w:rsidRPr="00FD1B9D" w:rsidRDefault="005F7C89">
      <w:pPr>
        <w:spacing w:line="560" w:lineRule="exact"/>
        <w:ind w:firstLine="645"/>
        <w:rPr>
          <w:rFonts w:ascii="仿宋" w:eastAsia="仿宋" w:hAnsi="仿宋"/>
          <w:color w:val="000000"/>
          <w:spacing w:val="-6"/>
          <w:sz w:val="32"/>
          <w:szCs w:val="32"/>
        </w:rPr>
      </w:pPr>
      <w:r w:rsidRPr="00FD1B9D">
        <w:rPr>
          <w:rFonts w:ascii="仿宋" w:eastAsia="仿宋" w:hAnsi="仿宋" w:hint="eastAsia"/>
          <w:bCs/>
          <w:color w:val="000000"/>
          <w:sz w:val="32"/>
          <w:szCs w:val="32"/>
        </w:rPr>
        <w:t>2017年度一般公共预算财政拨款基本支出1075.97万元，其中：</w:t>
      </w:r>
    </w:p>
    <w:p w:rsidR="0062263D" w:rsidRPr="00FD1B9D" w:rsidRDefault="005F7C89">
      <w:pPr>
        <w:spacing w:line="560" w:lineRule="exact"/>
        <w:ind w:firstLine="645"/>
        <w:rPr>
          <w:rFonts w:ascii="仿宋" w:eastAsia="仿宋" w:hAnsi="仿宋"/>
          <w:bCs/>
          <w:color w:val="000000"/>
          <w:sz w:val="32"/>
          <w:szCs w:val="32"/>
        </w:rPr>
      </w:pPr>
      <w:r w:rsidRPr="00FD1B9D">
        <w:rPr>
          <w:rFonts w:ascii="仿宋" w:eastAsia="仿宋" w:hAnsi="仿宋" w:hint="eastAsia"/>
          <w:bCs/>
          <w:color w:val="000000"/>
          <w:sz w:val="32"/>
          <w:szCs w:val="32"/>
        </w:rPr>
        <w:t>人员经费872.7万元，主要包括：基本工资、津贴补贴、奖金、伙食补助费、绩效工资、机关事业单位基本养老保险缴费、职业年金缴费、其他社会保障缴费、其他工资福利支出、离休费、生活补助、奖励金、住房公积金、其他对个人和家庭的补助支出。</w:t>
      </w:r>
      <w:r w:rsidRPr="00FD1B9D">
        <w:rPr>
          <w:rFonts w:ascii="仿宋" w:eastAsia="仿宋" w:hAnsi="仿宋" w:hint="eastAsia"/>
          <w:color w:val="000000"/>
          <w:sz w:val="32"/>
          <w:szCs w:val="32"/>
        </w:rPr>
        <w:br/>
        <w:t xml:space="preserve">　　</w:t>
      </w:r>
      <w:r w:rsidRPr="00FD1B9D">
        <w:rPr>
          <w:rFonts w:ascii="仿宋" w:eastAsia="仿宋" w:hAnsi="仿宋" w:hint="eastAsia"/>
          <w:bCs/>
          <w:color w:val="000000"/>
          <w:sz w:val="32"/>
          <w:szCs w:val="32"/>
        </w:rPr>
        <w:t>公用经费203.27万元，主要包括：办公费、印刷费、咨询费、手续费、水费、电费、邮电费、物业管理费、差旅费、维修（护）费、租赁费、会议费、培训费、公务接待费、劳务费、工会经费、福利费、公务用车运行维护费、其他交通费、其他商品和服务支出。</w:t>
      </w:r>
    </w:p>
    <w:p w:rsidR="0062263D" w:rsidRDefault="005F7C89">
      <w:pPr>
        <w:spacing w:line="560" w:lineRule="exact"/>
        <w:ind w:firstLineChars="200" w:firstLine="643"/>
        <w:rPr>
          <w:rFonts w:ascii="黑体" w:eastAsia="黑体" w:hAnsi="黑体" w:cs="黑体"/>
          <w:color w:val="000000"/>
          <w:sz w:val="32"/>
          <w:szCs w:val="32"/>
        </w:rPr>
      </w:pPr>
      <w:r>
        <w:rPr>
          <w:rFonts w:ascii="黑体" w:eastAsia="黑体" w:hint="eastAsia"/>
          <w:b/>
          <w:bCs/>
          <w:color w:val="000000"/>
          <w:sz w:val="32"/>
          <w:szCs w:val="32"/>
        </w:rPr>
        <w:t>七、“三公”经费财政拨款支出决算情况说明</w:t>
      </w:r>
    </w:p>
    <w:p w:rsidR="0062263D" w:rsidRDefault="005F7C89">
      <w:pPr>
        <w:spacing w:line="560" w:lineRule="exact"/>
        <w:ind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（一）“三公”经费财政拨款支出决算总体情况说明</w:t>
      </w:r>
    </w:p>
    <w:p w:rsidR="0062263D" w:rsidRPr="00FD1B9D" w:rsidRDefault="005F7C89">
      <w:pPr>
        <w:spacing w:line="560" w:lineRule="exact"/>
        <w:ind w:firstLine="640"/>
        <w:rPr>
          <w:rFonts w:ascii="仿宋" w:eastAsia="仿宋" w:hAnsi="仿宋"/>
          <w:bCs/>
          <w:color w:val="000000"/>
          <w:sz w:val="32"/>
          <w:szCs w:val="32"/>
        </w:rPr>
      </w:pPr>
      <w:r w:rsidRPr="00FD1B9D">
        <w:rPr>
          <w:rFonts w:ascii="仿宋" w:eastAsia="仿宋" w:hAnsi="仿宋" w:hint="eastAsia"/>
          <w:bCs/>
          <w:color w:val="000000"/>
          <w:sz w:val="32"/>
          <w:szCs w:val="32"/>
        </w:rPr>
        <w:t>2017年度“三公”经费财政拨款支出决算为7.43万元，完成预算48.34%。决算数小于预算数的主要原因有两点：一是规</w:t>
      </w:r>
      <w:r w:rsidRPr="00FD1B9D">
        <w:rPr>
          <w:rFonts w:ascii="仿宋" w:eastAsia="仿宋" w:hAnsi="仿宋" w:hint="eastAsia"/>
          <w:bCs/>
          <w:color w:val="000000"/>
          <w:sz w:val="32"/>
          <w:szCs w:val="32"/>
        </w:rPr>
        <w:lastRenderedPageBreak/>
        <w:t>范了公务接待行为节约了支出；二是因公车改革，本单位仅剩下一辆公务车。</w:t>
      </w:r>
    </w:p>
    <w:p w:rsidR="0062263D" w:rsidRDefault="005F7C89">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（二）“三公”经费财政拨款支出决算具体情况说明</w:t>
      </w:r>
    </w:p>
    <w:p w:rsidR="0062263D" w:rsidRDefault="005F7C89" w:rsidP="00B96187">
      <w:pPr>
        <w:ind w:firstLineChars="200" w:firstLine="640"/>
        <w:rPr>
          <w:rFonts w:ascii="仿宋" w:eastAsia="仿宋" w:hAnsi="仿宋"/>
          <w:bCs/>
          <w:color w:val="000000"/>
          <w:sz w:val="32"/>
          <w:szCs w:val="32"/>
        </w:rPr>
      </w:pPr>
      <w:r w:rsidRPr="00FD1B9D">
        <w:rPr>
          <w:rFonts w:ascii="仿宋" w:eastAsia="仿宋" w:hAnsi="仿宋" w:hint="eastAsia"/>
          <w:bCs/>
          <w:color w:val="000000"/>
          <w:sz w:val="32"/>
          <w:szCs w:val="32"/>
        </w:rPr>
        <w:t>2017年度“三公”经费财政拨款支出决算中，</w:t>
      </w:r>
      <w:r w:rsidR="00B96187" w:rsidRPr="00FD1B9D">
        <w:rPr>
          <w:rFonts w:ascii="仿宋" w:eastAsia="仿宋" w:hAnsi="仿宋" w:hint="eastAsia"/>
          <w:sz w:val="32"/>
          <w:szCs w:val="32"/>
        </w:rPr>
        <w:t>因公出国（境）费支出决算0万元，占0%</w:t>
      </w:r>
      <w:r w:rsidR="00B96187" w:rsidRPr="00FD1B9D">
        <w:rPr>
          <w:rFonts w:ascii="仿宋" w:eastAsia="仿宋" w:hAnsi="仿宋" w:hint="eastAsia"/>
          <w:sz w:val="32"/>
          <w:szCs w:val="32"/>
        </w:rPr>
        <w:t>；</w:t>
      </w:r>
      <w:r w:rsidRPr="00FD1B9D">
        <w:rPr>
          <w:rFonts w:ascii="仿宋" w:eastAsia="仿宋" w:hAnsi="仿宋" w:hint="eastAsia"/>
          <w:bCs/>
          <w:color w:val="000000"/>
          <w:sz w:val="32"/>
          <w:szCs w:val="32"/>
        </w:rPr>
        <w:t>公务用车购置及运行维护费支出决算1.61万元，占21.67%；公务接待费支出决算5.82万元，占78.33%。具体情况如下：</w:t>
      </w:r>
    </w:p>
    <w:p w:rsidR="00FD1B9D" w:rsidRPr="00FD1B9D" w:rsidRDefault="00FD1B9D" w:rsidP="00FD1B9D">
      <w:pPr>
        <w:spacing w:line="580" w:lineRule="exact"/>
        <w:ind w:left="640"/>
        <w:rPr>
          <w:rFonts w:ascii="仿宋" w:eastAsia="仿宋" w:hAnsi="仿宋"/>
          <w:b/>
          <w:sz w:val="32"/>
          <w:szCs w:val="32"/>
        </w:rPr>
      </w:pPr>
      <w:r w:rsidRPr="00FD1B9D">
        <w:rPr>
          <w:rFonts w:ascii="仿宋" w:eastAsia="仿宋" w:hAnsi="仿宋" w:hint="eastAsia"/>
          <w:bCs/>
          <w:color w:val="000000"/>
          <w:sz w:val="32"/>
          <w:szCs w:val="32"/>
        </w:rPr>
        <w:t>1.</w:t>
      </w:r>
      <w:r w:rsidRPr="00FD1B9D">
        <w:rPr>
          <w:rFonts w:ascii="仿宋" w:eastAsia="仿宋" w:hAnsi="仿宋" w:hint="eastAsia"/>
          <w:b/>
          <w:sz w:val="32"/>
          <w:szCs w:val="32"/>
        </w:rPr>
        <w:t xml:space="preserve"> </w:t>
      </w:r>
      <w:r w:rsidRPr="00FD1B9D">
        <w:rPr>
          <w:rFonts w:ascii="仿宋" w:eastAsia="仿宋" w:hAnsi="仿宋" w:hint="eastAsia"/>
          <w:b/>
          <w:sz w:val="32"/>
          <w:szCs w:val="32"/>
        </w:rPr>
        <w:t>因公出国（境）费</w:t>
      </w:r>
    </w:p>
    <w:p w:rsidR="00FD1B9D" w:rsidRPr="00FD1B9D" w:rsidRDefault="00FD1B9D" w:rsidP="00FD1B9D">
      <w:pPr>
        <w:spacing w:line="580" w:lineRule="exact"/>
        <w:ind w:left="640"/>
        <w:rPr>
          <w:rFonts w:ascii="仿宋" w:eastAsia="仿宋" w:hAnsi="仿宋" w:hint="eastAsia"/>
          <w:sz w:val="32"/>
          <w:szCs w:val="32"/>
        </w:rPr>
      </w:pPr>
      <w:bookmarkStart w:id="0" w:name="_Hlk2013302"/>
      <w:r w:rsidRPr="00C1055C">
        <w:rPr>
          <w:rFonts w:ascii="仿宋" w:eastAsia="仿宋" w:hAnsi="仿宋" w:hint="eastAsia"/>
          <w:sz w:val="32"/>
          <w:szCs w:val="32"/>
        </w:rPr>
        <w:t>2017年我单位无因公出国（境）费支出。</w:t>
      </w:r>
      <w:bookmarkEnd w:id="0"/>
    </w:p>
    <w:p w:rsidR="006F04CA" w:rsidRDefault="00FD1B9D" w:rsidP="006F04CA">
      <w:pPr>
        <w:spacing w:line="580" w:lineRule="exact"/>
        <w:ind w:firstLine="640"/>
        <w:rPr>
          <w:rFonts w:ascii="仿宋" w:eastAsia="仿宋" w:hAnsi="仿宋"/>
          <w:sz w:val="32"/>
          <w:szCs w:val="32"/>
        </w:rPr>
      </w:pPr>
      <w:r>
        <w:rPr>
          <w:rFonts w:ascii="仿宋" w:eastAsia="仿宋" w:hAnsi="仿宋" w:hint="eastAsia"/>
          <w:bCs/>
          <w:color w:val="000000"/>
          <w:sz w:val="32"/>
          <w:szCs w:val="32"/>
        </w:rPr>
        <w:t>2</w:t>
      </w:r>
      <w:r w:rsidR="005F7C89" w:rsidRPr="00FD1B9D">
        <w:rPr>
          <w:rFonts w:ascii="仿宋" w:eastAsia="仿宋" w:hAnsi="仿宋" w:hint="eastAsia"/>
          <w:bCs/>
          <w:color w:val="000000"/>
          <w:sz w:val="32"/>
          <w:szCs w:val="32"/>
        </w:rPr>
        <w:t>.公务用车购置及运行维护费支1.61万元</w:t>
      </w:r>
      <w:r w:rsidR="00886B2A">
        <w:rPr>
          <w:rFonts w:ascii="仿宋" w:eastAsia="仿宋" w:hAnsi="仿宋" w:hint="eastAsia"/>
          <w:bCs/>
          <w:color w:val="000000"/>
          <w:sz w:val="32"/>
          <w:szCs w:val="32"/>
        </w:rPr>
        <w:t>，</w:t>
      </w:r>
      <w:bookmarkStart w:id="1" w:name="_Hlk2068590"/>
      <w:r w:rsidR="00886B2A">
        <w:rPr>
          <w:rFonts w:ascii="仿宋" w:eastAsia="仿宋" w:hAnsi="仿宋" w:hint="eastAsia"/>
          <w:bCs/>
          <w:color w:val="000000"/>
          <w:sz w:val="32"/>
          <w:szCs w:val="32"/>
        </w:rPr>
        <w:t>无公务用车购置支出，</w:t>
      </w:r>
      <w:r w:rsidR="006F04CA">
        <w:rPr>
          <w:rFonts w:ascii="仿宋" w:eastAsia="仿宋" w:hAnsi="仿宋" w:hint="eastAsia"/>
          <w:bCs/>
          <w:color w:val="000000"/>
          <w:sz w:val="32"/>
          <w:szCs w:val="32"/>
        </w:rPr>
        <w:t>全部为公务用车运行维护费支出。</w:t>
      </w:r>
      <w:bookmarkEnd w:id="1"/>
      <w:r w:rsidR="006F04CA">
        <w:rPr>
          <w:rFonts w:ascii="仿宋" w:eastAsia="仿宋" w:hAnsi="仿宋" w:hint="eastAsia"/>
          <w:sz w:val="32"/>
          <w:szCs w:val="32"/>
        </w:rPr>
        <w:t>截至2017年12月底，单位共有公务用车</w:t>
      </w:r>
      <w:r w:rsidR="006F04CA">
        <w:rPr>
          <w:rFonts w:ascii="仿宋" w:eastAsia="仿宋" w:hAnsi="仿宋" w:hint="eastAsia"/>
          <w:sz w:val="32"/>
          <w:szCs w:val="32"/>
        </w:rPr>
        <w:t>1</w:t>
      </w:r>
      <w:r w:rsidR="006F04CA">
        <w:rPr>
          <w:rFonts w:ascii="仿宋" w:eastAsia="仿宋" w:hAnsi="仿宋" w:hint="eastAsia"/>
          <w:sz w:val="32"/>
          <w:szCs w:val="32"/>
        </w:rPr>
        <w:t>辆，</w:t>
      </w:r>
      <w:r w:rsidR="00173A00">
        <w:rPr>
          <w:rFonts w:ascii="仿宋" w:eastAsia="仿宋" w:hAnsi="仿宋" w:hint="eastAsia"/>
          <w:sz w:val="32"/>
          <w:szCs w:val="32"/>
        </w:rPr>
        <w:t>为</w:t>
      </w:r>
      <w:r w:rsidR="006F04CA">
        <w:rPr>
          <w:rFonts w:ascii="仿宋" w:eastAsia="仿宋" w:hAnsi="仿宋" w:hint="eastAsia"/>
          <w:sz w:val="32"/>
          <w:szCs w:val="32"/>
        </w:rPr>
        <w:t>越野车。</w:t>
      </w:r>
      <w:bookmarkStart w:id="2" w:name="_GoBack"/>
      <w:bookmarkEnd w:id="2"/>
    </w:p>
    <w:p w:rsidR="0062263D" w:rsidRPr="00FD1B9D" w:rsidRDefault="005F7C89">
      <w:pPr>
        <w:spacing w:line="560" w:lineRule="exact"/>
        <w:ind w:firstLineChars="200" w:firstLine="640"/>
        <w:rPr>
          <w:rFonts w:ascii="仿宋" w:eastAsia="仿宋" w:hAnsi="仿宋"/>
          <w:bCs/>
          <w:sz w:val="32"/>
          <w:szCs w:val="30"/>
        </w:rPr>
      </w:pPr>
      <w:r w:rsidRPr="00FD1B9D">
        <w:rPr>
          <w:rFonts w:ascii="仿宋" w:eastAsia="仿宋" w:hAnsi="仿宋" w:hint="eastAsia"/>
          <w:bCs/>
          <w:color w:val="000000"/>
          <w:sz w:val="32"/>
          <w:szCs w:val="32"/>
        </w:rPr>
        <w:t>主要用于人事、党建、组织、党建扶贫“六个一”帮扶、“两学一做”专题教育活动、走基层等工作等所需的公务用车燃料费、维修费、过路过桥费、保险费等支出。</w:t>
      </w:r>
    </w:p>
    <w:p w:rsidR="0062263D" w:rsidRPr="00FD1B9D" w:rsidRDefault="005F7C89">
      <w:pPr>
        <w:ind w:firstLineChars="225" w:firstLine="720"/>
        <w:rPr>
          <w:rFonts w:ascii="仿宋" w:eastAsia="仿宋" w:hAnsi="仿宋"/>
          <w:bCs/>
          <w:color w:val="000000"/>
          <w:sz w:val="32"/>
          <w:szCs w:val="32"/>
        </w:rPr>
      </w:pPr>
      <w:r w:rsidRPr="00FD1B9D">
        <w:rPr>
          <w:rFonts w:ascii="仿宋" w:eastAsia="仿宋" w:hAnsi="仿宋" w:hint="eastAsia"/>
          <w:bCs/>
          <w:color w:val="000000"/>
          <w:sz w:val="32"/>
          <w:szCs w:val="32"/>
        </w:rPr>
        <w:t>公务用车购置及运行维护费支出决算比2016年减少6.49万元，下降80.12%。主要原因是公车改革，单位仅剩下了一辆公务用车。</w:t>
      </w:r>
    </w:p>
    <w:p w:rsidR="0062263D" w:rsidRPr="00FD1B9D" w:rsidRDefault="00FD1B9D">
      <w:pPr>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5F7C89" w:rsidRPr="00FD1B9D">
        <w:rPr>
          <w:rFonts w:ascii="仿宋" w:eastAsia="仿宋" w:hAnsi="仿宋" w:hint="eastAsia"/>
          <w:bCs/>
          <w:color w:val="000000"/>
          <w:sz w:val="32"/>
          <w:szCs w:val="32"/>
        </w:rPr>
        <w:t>.公务接待费支出5.82万元。主要用于开展业务活动开支的交通费、住宿费、用餐费等。国内公务接待40批次，约590人次（不包括陪同人员）。</w:t>
      </w:r>
    </w:p>
    <w:p w:rsidR="0062263D" w:rsidRPr="00FD1B9D" w:rsidRDefault="005F7C89">
      <w:pPr>
        <w:spacing w:line="560" w:lineRule="exact"/>
        <w:ind w:firstLineChars="200" w:firstLine="640"/>
        <w:rPr>
          <w:rFonts w:ascii="仿宋" w:eastAsia="仿宋" w:hAnsi="仿宋"/>
          <w:bCs/>
          <w:color w:val="000000"/>
          <w:sz w:val="32"/>
          <w:szCs w:val="32"/>
        </w:rPr>
      </w:pPr>
      <w:r w:rsidRPr="00FD1B9D">
        <w:rPr>
          <w:rFonts w:ascii="仿宋" w:eastAsia="仿宋" w:hAnsi="仿宋" w:hint="eastAsia"/>
          <w:bCs/>
          <w:color w:val="000000"/>
          <w:sz w:val="32"/>
          <w:szCs w:val="32"/>
        </w:rPr>
        <w:lastRenderedPageBreak/>
        <w:t>公务接待费支出决算数与2016年支出决算数持平。</w:t>
      </w:r>
    </w:p>
    <w:p w:rsidR="002D40A1" w:rsidRPr="002D40A1" w:rsidRDefault="002D40A1" w:rsidP="002D40A1">
      <w:pPr>
        <w:spacing w:line="500" w:lineRule="exact"/>
        <w:ind w:firstLineChars="200" w:firstLine="643"/>
        <w:rPr>
          <w:rFonts w:ascii="黑体" w:eastAsia="黑体"/>
          <w:b/>
          <w:color w:val="000000"/>
          <w:sz w:val="32"/>
          <w:szCs w:val="32"/>
        </w:rPr>
      </w:pPr>
      <w:r w:rsidRPr="002D40A1">
        <w:rPr>
          <w:rFonts w:ascii="黑体" w:eastAsia="黑体" w:hint="eastAsia"/>
          <w:b/>
          <w:color w:val="000000"/>
          <w:sz w:val="32"/>
          <w:szCs w:val="32"/>
        </w:rPr>
        <w:t>八、政府性基金预算支出决算情况说明</w:t>
      </w:r>
    </w:p>
    <w:p w:rsidR="002D40A1" w:rsidRPr="009276C5" w:rsidRDefault="002D40A1" w:rsidP="002D40A1">
      <w:pPr>
        <w:spacing w:line="500" w:lineRule="exact"/>
        <w:ind w:firstLineChars="200" w:firstLine="640"/>
        <w:rPr>
          <w:rFonts w:ascii="仿宋" w:eastAsia="仿宋" w:hAnsi="仿宋"/>
          <w:kern w:val="0"/>
          <w:sz w:val="32"/>
          <w:szCs w:val="32"/>
          <w:lang w:val="x-none" w:eastAsia="x-none"/>
        </w:rPr>
      </w:pPr>
      <w:r w:rsidRPr="009276C5">
        <w:rPr>
          <w:rFonts w:ascii="仿宋" w:eastAsia="仿宋" w:hAnsi="仿宋" w:hint="eastAsia"/>
          <w:kern w:val="0"/>
          <w:sz w:val="32"/>
          <w:szCs w:val="32"/>
          <w:lang w:val="x-none" w:eastAsia="x-none"/>
        </w:rPr>
        <w:t>2017年度政府性基金预算拨款支出</w:t>
      </w:r>
      <w:r w:rsidRPr="009276C5">
        <w:rPr>
          <w:rFonts w:ascii="仿宋" w:eastAsia="仿宋" w:hAnsi="仿宋" w:hint="eastAsia"/>
          <w:kern w:val="0"/>
          <w:sz w:val="32"/>
          <w:szCs w:val="32"/>
          <w:lang w:val="x-none"/>
        </w:rPr>
        <w:t>0</w:t>
      </w:r>
      <w:r w:rsidRPr="009276C5">
        <w:rPr>
          <w:rFonts w:ascii="仿宋" w:eastAsia="仿宋" w:hAnsi="仿宋" w:hint="eastAsia"/>
          <w:kern w:val="0"/>
          <w:sz w:val="32"/>
          <w:szCs w:val="32"/>
          <w:lang w:val="x-none" w:eastAsia="x-none"/>
        </w:rPr>
        <w:t>万元。</w:t>
      </w:r>
    </w:p>
    <w:p w:rsidR="002D40A1" w:rsidRPr="002D40A1" w:rsidRDefault="002D40A1" w:rsidP="002D40A1">
      <w:pPr>
        <w:spacing w:line="500" w:lineRule="exact"/>
        <w:ind w:firstLineChars="200" w:firstLine="643"/>
        <w:rPr>
          <w:rFonts w:ascii="黑体" w:eastAsia="黑体"/>
          <w:b/>
          <w:color w:val="000000"/>
          <w:sz w:val="32"/>
          <w:szCs w:val="32"/>
        </w:rPr>
      </w:pPr>
      <w:r w:rsidRPr="002D40A1">
        <w:rPr>
          <w:rFonts w:ascii="黑体" w:eastAsia="黑体" w:hint="eastAsia"/>
          <w:b/>
          <w:color w:val="000000"/>
          <w:sz w:val="32"/>
          <w:szCs w:val="32"/>
        </w:rPr>
        <w:t>九、国有资本经营预算支出决算情况说明</w:t>
      </w:r>
    </w:p>
    <w:p w:rsidR="002D40A1" w:rsidRPr="009276C5" w:rsidRDefault="002D40A1" w:rsidP="002D40A1">
      <w:pPr>
        <w:spacing w:line="500" w:lineRule="exact"/>
        <w:ind w:firstLineChars="200" w:firstLine="640"/>
        <w:rPr>
          <w:rFonts w:ascii="仿宋" w:eastAsia="仿宋" w:hAnsi="仿宋"/>
          <w:kern w:val="0"/>
          <w:sz w:val="32"/>
          <w:szCs w:val="32"/>
          <w:lang w:val="x-none" w:eastAsia="x-none"/>
        </w:rPr>
      </w:pPr>
      <w:r w:rsidRPr="009276C5">
        <w:rPr>
          <w:rFonts w:ascii="仿宋" w:eastAsia="仿宋" w:hAnsi="仿宋" w:hint="eastAsia"/>
          <w:kern w:val="0"/>
          <w:sz w:val="32"/>
          <w:szCs w:val="32"/>
          <w:lang w:val="x-none" w:eastAsia="x-none"/>
        </w:rPr>
        <w:t>2017年度国有资本经营预算拨款支出0万元。</w:t>
      </w:r>
    </w:p>
    <w:p w:rsidR="0062263D" w:rsidRDefault="002D40A1">
      <w:pPr>
        <w:spacing w:line="560" w:lineRule="exact"/>
        <w:ind w:firstLineChars="200" w:firstLine="643"/>
        <w:rPr>
          <w:rFonts w:ascii="黑体" w:eastAsia="黑体"/>
          <w:b/>
          <w:bCs/>
          <w:color w:val="000000"/>
          <w:sz w:val="32"/>
          <w:szCs w:val="32"/>
        </w:rPr>
      </w:pPr>
      <w:r>
        <w:rPr>
          <w:rFonts w:ascii="黑体" w:eastAsia="黑体" w:hint="eastAsia"/>
          <w:b/>
          <w:bCs/>
          <w:color w:val="000000"/>
          <w:sz w:val="32"/>
          <w:szCs w:val="32"/>
        </w:rPr>
        <w:t>十</w:t>
      </w:r>
      <w:r w:rsidR="005F7C89">
        <w:rPr>
          <w:rFonts w:ascii="黑体" w:eastAsia="黑体" w:hint="eastAsia"/>
          <w:b/>
          <w:bCs/>
          <w:color w:val="000000"/>
          <w:sz w:val="32"/>
          <w:szCs w:val="32"/>
        </w:rPr>
        <w:t>、其他重要事项的情况说明</w:t>
      </w:r>
    </w:p>
    <w:p w:rsidR="0062263D" w:rsidRDefault="005F7C89">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（一）机关运行经费支出情况</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2017年度，市委组织部机关运行经费支出203.27万元，比2016年增加127.99万元，增长170.02%。</w:t>
      </w:r>
    </w:p>
    <w:p w:rsidR="0062263D" w:rsidRDefault="005F7C89">
      <w:pPr>
        <w:autoSpaceDE w:val="0"/>
        <w:autoSpaceDN w:val="0"/>
        <w:adjustRightInd w:val="0"/>
        <w:spacing w:line="560" w:lineRule="exact"/>
        <w:ind w:firstLineChars="200" w:firstLine="640"/>
        <w:jc w:val="left"/>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（二）政府采购支出情况</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2017年度，市委组织部政府采购支出总额13.14万元</w:t>
      </w:r>
      <w:r w:rsidRPr="009276C5">
        <w:rPr>
          <w:rFonts w:ascii="仿宋" w:eastAsia="仿宋" w:hAnsi="仿宋" w:hint="eastAsia"/>
          <w:color w:val="000000"/>
          <w:sz w:val="32"/>
          <w:szCs w:val="32"/>
        </w:rPr>
        <w:t>，其</w:t>
      </w:r>
      <w:r w:rsidRPr="009276C5">
        <w:rPr>
          <w:rFonts w:ascii="仿宋" w:eastAsia="仿宋" w:hAnsi="仿宋" w:hint="eastAsia"/>
          <w:bCs/>
          <w:color w:val="000000"/>
          <w:sz w:val="32"/>
          <w:szCs w:val="32"/>
        </w:rPr>
        <w:t>中：政府采购货物支出13.14万元。主要</w:t>
      </w:r>
      <w:proofErr w:type="gramStart"/>
      <w:r w:rsidRPr="009276C5">
        <w:rPr>
          <w:rFonts w:ascii="仿宋" w:eastAsia="仿宋" w:hAnsi="仿宋" w:hint="eastAsia"/>
          <w:bCs/>
          <w:color w:val="000000"/>
          <w:sz w:val="32"/>
          <w:szCs w:val="32"/>
        </w:rPr>
        <w:t>用于部</w:t>
      </w:r>
      <w:proofErr w:type="gramEnd"/>
      <w:r w:rsidRPr="009276C5">
        <w:rPr>
          <w:rFonts w:ascii="仿宋" w:eastAsia="仿宋" w:hAnsi="仿宋" w:hint="eastAsia"/>
          <w:bCs/>
          <w:color w:val="000000"/>
          <w:sz w:val="32"/>
          <w:szCs w:val="32"/>
        </w:rPr>
        <w:t>机关及派驻纪检组办公用品购置。</w:t>
      </w:r>
    </w:p>
    <w:p w:rsidR="0062263D" w:rsidRDefault="005F7C89">
      <w:pPr>
        <w:spacing w:line="560" w:lineRule="exact"/>
        <w:ind w:firstLine="640"/>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（三）国有资产占有使用情况</w:t>
      </w:r>
    </w:p>
    <w:p w:rsidR="0062263D" w:rsidRPr="009276C5" w:rsidRDefault="005F7C89">
      <w:pPr>
        <w:autoSpaceDE w:val="0"/>
        <w:autoSpaceDN w:val="0"/>
        <w:adjustRightInd w:val="0"/>
        <w:spacing w:line="560" w:lineRule="exact"/>
        <w:ind w:firstLineChars="200" w:firstLine="640"/>
        <w:jc w:val="left"/>
        <w:rPr>
          <w:rFonts w:ascii="仿宋" w:eastAsia="仿宋" w:hAnsi="仿宋"/>
          <w:color w:val="000000"/>
          <w:sz w:val="32"/>
          <w:szCs w:val="32"/>
        </w:rPr>
      </w:pPr>
      <w:r w:rsidRPr="009276C5">
        <w:rPr>
          <w:rFonts w:ascii="仿宋" w:eastAsia="仿宋" w:hAnsi="仿宋" w:hint="eastAsia"/>
          <w:bCs/>
          <w:color w:val="000000"/>
          <w:sz w:val="32"/>
          <w:szCs w:val="32"/>
        </w:rPr>
        <w:t>截至2017年12月31日，市委组织部共有车辆1辆，为一般公务用车。</w:t>
      </w:r>
    </w:p>
    <w:p w:rsidR="0062263D" w:rsidRDefault="005F7C89">
      <w:pPr>
        <w:spacing w:line="560" w:lineRule="exact"/>
        <w:ind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（四）预算绩效情况</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1.绩效目标管理情况。</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按照预算绩效管理要求，本部门对2017年一般公共预算项目支出开展了绩效目标管理，共编制绩效目标26个，涉及财政资金358.68万元，覆盖率达到100%。</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2.部门整体支出绩效自评开展情况。</w:t>
      </w:r>
    </w:p>
    <w:p w:rsidR="0062263D" w:rsidRPr="009276C5" w:rsidRDefault="005F7C89">
      <w:pPr>
        <w:spacing w:line="556"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按照预算绩效管理要求，本部门对2017年整体支出开展绩</w:t>
      </w:r>
      <w:r w:rsidRPr="009276C5">
        <w:rPr>
          <w:rFonts w:ascii="仿宋" w:eastAsia="仿宋" w:hAnsi="仿宋" w:hint="eastAsia"/>
          <w:bCs/>
          <w:color w:val="000000"/>
          <w:sz w:val="32"/>
          <w:szCs w:val="32"/>
        </w:rPr>
        <w:lastRenderedPageBreak/>
        <w:t>效自评，自评得95分，存在的问题：一是2017年新进人员较多，年初财政预算公用经费明显，无法满足机构正常运转和完成日常工作任务的需要,造成单位编列部分项目支出预算以弥补基本公用支出的不足。二是在开展整体支出绩效评价过程中，绩效信息的收集和汇总不充分，事中监督不到位，导致预算编制和执行存在差异，存在“部分项目预算未执行完，部分项目预算不够”等现象。三是公务卡支付方式有待完善，存在办卡手续繁琐、后续服务未同步跟进等问题，给单位和持卡人带来诸多不便，影响职工使用公务卡积极性。</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下一步改进措施：一是细化预算编制工作，充分发挥预算作用。进一步加强部内各科室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二是加强财务管理，严格财务审核。在费用报账支付时，按照预算规定的费用项目和用途进行资金使用审核、列报支付、财务核算，杜绝超支现象的发生。三是</w:t>
      </w:r>
      <w:proofErr w:type="gramStart"/>
      <w:r w:rsidRPr="009276C5">
        <w:rPr>
          <w:rFonts w:ascii="仿宋" w:eastAsia="仿宋" w:hAnsi="仿宋" w:hint="eastAsia"/>
          <w:bCs/>
          <w:color w:val="000000"/>
          <w:sz w:val="32"/>
          <w:szCs w:val="32"/>
        </w:rPr>
        <w:t>持续抓好</w:t>
      </w:r>
      <w:proofErr w:type="gramEnd"/>
      <w:r w:rsidRPr="009276C5">
        <w:rPr>
          <w:rFonts w:ascii="仿宋" w:eastAsia="仿宋" w:hAnsi="仿宋" w:hint="eastAsia"/>
          <w:bCs/>
          <w:color w:val="000000"/>
          <w:sz w:val="32"/>
          <w:szCs w:val="32"/>
        </w:rPr>
        <w:t>“三公”经费控制管理。严格控制“三公”经费的规模和比例，把关“三公”经费支出的审核、审批；进一步细化“三公”经费的管理，合理压缩“三公”经费支出。</w:t>
      </w:r>
    </w:p>
    <w:p w:rsidR="0062263D" w:rsidRPr="009276C5" w:rsidRDefault="0062263D">
      <w:pPr>
        <w:spacing w:line="560" w:lineRule="exact"/>
        <w:rPr>
          <w:rFonts w:ascii="仿宋" w:eastAsia="仿宋" w:hAnsi="仿宋" w:cs="方正小标宋简体"/>
          <w:color w:val="000000"/>
          <w:sz w:val="44"/>
          <w:szCs w:val="44"/>
        </w:rPr>
      </w:pPr>
    </w:p>
    <w:p w:rsidR="0062263D" w:rsidRPr="009276C5" w:rsidRDefault="0062263D">
      <w:pPr>
        <w:spacing w:line="560" w:lineRule="exact"/>
        <w:rPr>
          <w:rFonts w:ascii="仿宋" w:eastAsia="仿宋" w:hAnsi="仿宋" w:cs="方正小标宋简体"/>
          <w:color w:val="000000"/>
          <w:sz w:val="44"/>
          <w:szCs w:val="44"/>
        </w:rPr>
      </w:pPr>
    </w:p>
    <w:p w:rsidR="0062263D" w:rsidRPr="009276C5" w:rsidRDefault="0062263D">
      <w:pPr>
        <w:spacing w:line="560" w:lineRule="exact"/>
        <w:rPr>
          <w:rFonts w:ascii="仿宋" w:eastAsia="仿宋" w:hAnsi="仿宋" w:cs="方正小标宋简体" w:hint="eastAsia"/>
          <w:color w:val="000000"/>
          <w:sz w:val="44"/>
          <w:szCs w:val="44"/>
        </w:rPr>
      </w:pPr>
    </w:p>
    <w:p w:rsidR="0062263D" w:rsidRDefault="005F7C89">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2017年部门整体支出绩效评价得分表</w:t>
      </w:r>
    </w:p>
    <w:p w:rsidR="0062263D" w:rsidRDefault="0062263D">
      <w:pPr>
        <w:spacing w:line="400" w:lineRule="exact"/>
        <w:jc w:val="center"/>
        <w:rPr>
          <w:rFonts w:ascii="方正小标宋简体" w:eastAsia="方正小标宋简体" w:hAnsi="方正小标宋简体" w:cs="方正小标宋简体"/>
          <w:color w:val="000000"/>
          <w:sz w:val="44"/>
          <w:szCs w:val="44"/>
        </w:rPr>
      </w:pPr>
    </w:p>
    <w:tbl>
      <w:tblPr>
        <w:tblW w:w="9498" w:type="dxa"/>
        <w:jc w:val="center"/>
        <w:tblLayout w:type="fixed"/>
        <w:tblLook w:val="04A0" w:firstRow="1" w:lastRow="0" w:firstColumn="1" w:lastColumn="0" w:noHBand="0" w:noVBand="1"/>
      </w:tblPr>
      <w:tblGrid>
        <w:gridCol w:w="1702"/>
        <w:gridCol w:w="2422"/>
        <w:gridCol w:w="3248"/>
        <w:gridCol w:w="2126"/>
      </w:tblGrid>
      <w:tr w:rsidR="0062263D">
        <w:trPr>
          <w:trHeight w:val="345"/>
          <w:jc w:val="center"/>
        </w:trPr>
        <w:tc>
          <w:tcPr>
            <w:tcW w:w="1702" w:type="dxa"/>
            <w:tcBorders>
              <w:top w:val="single" w:sz="4" w:space="0" w:color="auto"/>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一级指标</w:t>
            </w:r>
          </w:p>
        </w:tc>
        <w:tc>
          <w:tcPr>
            <w:tcW w:w="2422" w:type="dxa"/>
            <w:tcBorders>
              <w:top w:val="single" w:sz="4" w:space="0" w:color="auto"/>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二级指标</w:t>
            </w:r>
          </w:p>
        </w:tc>
        <w:tc>
          <w:tcPr>
            <w:tcW w:w="3248" w:type="dxa"/>
            <w:tcBorders>
              <w:top w:val="single" w:sz="4" w:space="0" w:color="auto"/>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62263D">
        <w:trPr>
          <w:trHeight w:val="340"/>
          <w:jc w:val="center"/>
        </w:trPr>
        <w:tc>
          <w:tcPr>
            <w:tcW w:w="1702" w:type="dxa"/>
            <w:vMerge w:val="restart"/>
            <w:tcBorders>
              <w:top w:val="nil"/>
              <w:left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部门决策（25分）</w:t>
            </w: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目标任务（15分）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35"/>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预算编制（10分）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4</w:t>
            </w:r>
          </w:p>
        </w:tc>
      </w:tr>
      <w:tr w:rsidR="0062263D">
        <w:trPr>
          <w:trHeight w:val="340"/>
          <w:jc w:val="center"/>
        </w:trPr>
        <w:tc>
          <w:tcPr>
            <w:tcW w:w="1702" w:type="dxa"/>
            <w:vMerge/>
            <w:tcBorders>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4</w:t>
            </w:r>
          </w:p>
        </w:tc>
      </w:tr>
      <w:tr w:rsidR="0062263D">
        <w:trPr>
          <w:trHeight w:val="340"/>
          <w:jc w:val="center"/>
        </w:trPr>
        <w:tc>
          <w:tcPr>
            <w:tcW w:w="1702" w:type="dxa"/>
            <w:vMerge w:val="restart"/>
            <w:tcBorders>
              <w:top w:val="nil"/>
              <w:left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综合管理（30分）</w:t>
            </w: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专项资金分配时限（2分）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中央专款分配合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率（1分）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中期评估（2分）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绩效监控（5分）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w:t>
            </w:r>
            <w:proofErr w:type="gramStart"/>
            <w:r>
              <w:rPr>
                <w:rFonts w:ascii="宋体" w:hAnsi="宋体" w:cs="宋体" w:hint="eastAsia"/>
                <w:color w:val="000000"/>
                <w:kern w:val="0"/>
                <w:sz w:val="20"/>
                <w:szCs w:val="20"/>
              </w:rPr>
              <w:t>税收入执收</w:t>
            </w:r>
            <w:proofErr w:type="gramEnd"/>
            <w:r>
              <w:rPr>
                <w:rFonts w:ascii="宋体" w:hAnsi="宋体" w:cs="宋体" w:hint="eastAsia"/>
                <w:color w:val="000000"/>
                <w:kern w:val="0"/>
                <w:sz w:val="20"/>
                <w:szCs w:val="20"/>
              </w:rPr>
              <w:t>情况（2分）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资产管理（6分）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内控制度管理（2分）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内部控制</w:t>
            </w:r>
            <w:proofErr w:type="gramStart"/>
            <w:r>
              <w:rPr>
                <w:rFonts w:ascii="宋体" w:hAnsi="宋体" w:cs="宋体" w:hint="eastAsia"/>
                <w:color w:val="000000"/>
                <w:kern w:val="0"/>
                <w:sz w:val="20"/>
                <w:szCs w:val="20"/>
              </w:rPr>
              <w:t>度健全</w:t>
            </w:r>
            <w:proofErr w:type="gramEnd"/>
            <w:r>
              <w:rPr>
                <w:rFonts w:ascii="宋体" w:hAnsi="宋体" w:cs="宋体" w:hint="eastAsia"/>
                <w:color w:val="000000"/>
                <w:kern w:val="0"/>
                <w:sz w:val="20"/>
                <w:szCs w:val="20"/>
              </w:rPr>
              <w:t>完整（2分）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信息公开（6分）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绩效评价（5分）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70"/>
          <w:jc w:val="center"/>
        </w:trPr>
        <w:tc>
          <w:tcPr>
            <w:tcW w:w="1702" w:type="dxa"/>
            <w:vMerge/>
            <w:tcBorders>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2</w:t>
            </w:r>
          </w:p>
        </w:tc>
      </w:tr>
      <w:tr w:rsidR="0062263D">
        <w:trPr>
          <w:trHeight w:val="340"/>
          <w:jc w:val="center"/>
        </w:trPr>
        <w:tc>
          <w:tcPr>
            <w:tcW w:w="1702" w:type="dxa"/>
            <w:vMerge w:val="restart"/>
            <w:tcBorders>
              <w:top w:val="nil"/>
              <w:left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部门绩效情况（45分）</w:t>
            </w: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履职成效（20分）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19</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63D" w:rsidRDefault="0062263D">
            <w:pPr>
              <w:jc w:val="center"/>
              <w:rPr>
                <w:rFonts w:ascii="宋体" w:hAnsi="宋体" w:cs="宋体"/>
                <w:color w:val="000000"/>
                <w:kern w:val="0"/>
                <w:sz w:val="20"/>
                <w:szCs w:val="20"/>
              </w:rPr>
            </w:pP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63D" w:rsidRDefault="0062263D">
            <w:pPr>
              <w:jc w:val="center"/>
              <w:rPr>
                <w:rFonts w:ascii="宋体" w:hAnsi="宋体" w:cs="宋体"/>
                <w:color w:val="000000"/>
                <w:kern w:val="0"/>
                <w:sz w:val="20"/>
                <w:szCs w:val="20"/>
              </w:rPr>
            </w:pP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63D" w:rsidRDefault="0062263D">
            <w:pPr>
              <w:jc w:val="center"/>
              <w:rPr>
                <w:rFonts w:ascii="宋体" w:hAnsi="宋体" w:cs="宋体"/>
                <w:color w:val="000000"/>
                <w:kern w:val="0"/>
                <w:sz w:val="20"/>
                <w:szCs w:val="20"/>
              </w:rPr>
            </w:pP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可持续发展能力（15分）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top w:val="nil"/>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5</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val="restart"/>
            <w:tcBorders>
              <w:top w:val="nil"/>
              <w:left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满意度（10分）</w:t>
            </w: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3</w:t>
            </w:r>
          </w:p>
        </w:tc>
      </w:tr>
      <w:tr w:rsidR="0062263D">
        <w:trPr>
          <w:trHeight w:val="340"/>
          <w:jc w:val="center"/>
        </w:trPr>
        <w:tc>
          <w:tcPr>
            <w:tcW w:w="170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2422" w:type="dxa"/>
            <w:vMerge/>
            <w:tcBorders>
              <w:left w:val="single" w:sz="4" w:space="0" w:color="auto"/>
              <w:right w:val="single" w:sz="4" w:space="0" w:color="auto"/>
            </w:tcBorders>
            <w:vAlign w:val="center"/>
          </w:tcPr>
          <w:p w:rsidR="0062263D" w:rsidRDefault="0062263D">
            <w:pPr>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3</w:t>
            </w:r>
          </w:p>
        </w:tc>
      </w:tr>
      <w:tr w:rsidR="0062263D">
        <w:trPr>
          <w:trHeight w:val="340"/>
          <w:jc w:val="center"/>
        </w:trPr>
        <w:tc>
          <w:tcPr>
            <w:tcW w:w="1702" w:type="dxa"/>
            <w:vMerge/>
            <w:tcBorders>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2422" w:type="dxa"/>
            <w:vMerge/>
            <w:tcBorders>
              <w:left w:val="single" w:sz="4" w:space="0" w:color="auto"/>
              <w:bottom w:val="single" w:sz="4" w:space="0" w:color="auto"/>
              <w:right w:val="single" w:sz="4" w:space="0" w:color="auto"/>
            </w:tcBorders>
            <w:vAlign w:val="center"/>
          </w:tcPr>
          <w:p w:rsidR="0062263D" w:rsidRDefault="0062263D">
            <w:pPr>
              <w:widowControl/>
              <w:spacing w:line="240" w:lineRule="exact"/>
              <w:jc w:val="center"/>
              <w:rPr>
                <w:rFonts w:ascii="宋体" w:hAnsi="宋体" w:cs="宋体"/>
                <w:color w:val="000000"/>
                <w:kern w:val="0"/>
                <w:sz w:val="20"/>
                <w:szCs w:val="20"/>
              </w:rPr>
            </w:pPr>
          </w:p>
        </w:tc>
        <w:tc>
          <w:tcPr>
            <w:tcW w:w="3248" w:type="dxa"/>
            <w:tcBorders>
              <w:top w:val="nil"/>
              <w:left w:val="nil"/>
              <w:bottom w:val="single" w:sz="4" w:space="0" w:color="auto"/>
              <w:right w:val="single" w:sz="4" w:space="0" w:color="auto"/>
            </w:tcBorders>
            <w:vAlign w:val="center"/>
          </w:tcPr>
          <w:p w:rsidR="0062263D" w:rsidRDefault="005F7C8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62263D" w:rsidRDefault="005F7C89">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4</w:t>
            </w:r>
          </w:p>
        </w:tc>
      </w:tr>
    </w:tbl>
    <w:p w:rsidR="0062263D" w:rsidRDefault="005F7C89">
      <w:pPr>
        <w:spacing w:line="560" w:lineRule="exact"/>
        <w:ind w:firstLineChars="200" w:firstLine="640"/>
        <w:rPr>
          <w:rFonts w:ascii="仿宋_GB2312" w:eastAsia="仿宋_GB2312"/>
          <w:b/>
          <w:bCs/>
          <w:color w:val="000000"/>
          <w:sz w:val="32"/>
          <w:szCs w:val="32"/>
        </w:rPr>
      </w:pPr>
      <w:r>
        <w:rPr>
          <w:rFonts w:ascii="仿宋_GB2312" w:eastAsia="仿宋_GB2312" w:hint="eastAsia"/>
          <w:b/>
          <w:bCs/>
          <w:color w:val="000000"/>
          <w:sz w:val="32"/>
          <w:szCs w:val="32"/>
        </w:rPr>
        <w:t>3.部门自行组织绩效评价开展情况。</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本部门对组织系统网络宣传工作项目开展了绩效评价，得分为96分，存在的问题：一是在对此重点项目绩效评价过程中，绩效信息的收集和汇总不充分，事中监督不到位，导致预算编制和执行存在差异，偶尔存在资金分配使用不合理的现象。二是对此重点项目绩效评价过程中，过分侧重项目的合</w:t>
      </w:r>
      <w:proofErr w:type="gramStart"/>
      <w:r w:rsidRPr="009276C5">
        <w:rPr>
          <w:rFonts w:ascii="仿宋" w:eastAsia="仿宋" w:hAnsi="仿宋" w:hint="eastAsia"/>
          <w:bCs/>
          <w:color w:val="000000"/>
          <w:sz w:val="32"/>
          <w:szCs w:val="32"/>
        </w:rPr>
        <w:t>规</w:t>
      </w:r>
      <w:proofErr w:type="gramEnd"/>
      <w:r w:rsidRPr="009276C5">
        <w:rPr>
          <w:rFonts w:ascii="仿宋" w:eastAsia="仿宋" w:hAnsi="仿宋" w:hint="eastAsia"/>
          <w:bCs/>
          <w:color w:val="000000"/>
          <w:sz w:val="32"/>
          <w:szCs w:val="32"/>
        </w:rPr>
        <w:t>性评价，对网络宣传工作带来的社会效益和群众满意度有所忽略。三是从评价对象方面来看，评价的对象仅仅局限于网络宣传背身，不能综合考虑一些宏观因素，如国家方针政策对项目投资的影响等。</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下一步改进措施：一是要高度重视项目支出绩效评价工作，不能让财政支出绩效评价工作紧紧存在于表面，流于形式，要尽可能确定科学完善的项目支出绩效评价原则，制定明确的标准、选择合理的方法。二是要注意项目绩效评价方法的适当性、可操作性，尤其是像我们这种财政全额拨款的行政事业单位，更应该从本单位实际出发，根据被评价项目的实际情况来确定究竟采用什么样的绩效评价方法，不能偏离被评价项目的工作重点，更不能忽略被评价项目会引起的社会效益。三是要充分发挥绩效评价的结果，绩效评价是个过程，更重要的是将绩效评价的结果作用于以后的工作中，更好的激发人力资源潜力，推动组织发展。</w:t>
      </w:r>
    </w:p>
    <w:p w:rsidR="0062263D" w:rsidRPr="009276C5" w:rsidRDefault="0062263D">
      <w:pPr>
        <w:spacing w:line="560" w:lineRule="exact"/>
        <w:rPr>
          <w:rFonts w:ascii="仿宋" w:eastAsia="仿宋" w:hAnsi="仿宋"/>
          <w:color w:val="000000"/>
          <w:sz w:val="32"/>
          <w:szCs w:val="32"/>
        </w:rPr>
      </w:pPr>
    </w:p>
    <w:p w:rsidR="0062263D" w:rsidRPr="009276C5" w:rsidRDefault="0062263D">
      <w:pPr>
        <w:spacing w:line="560" w:lineRule="exact"/>
        <w:ind w:firstLineChars="200" w:firstLine="640"/>
        <w:rPr>
          <w:rFonts w:ascii="仿宋" w:eastAsia="仿宋" w:hAnsi="仿宋"/>
          <w:color w:val="000000"/>
          <w:sz w:val="32"/>
          <w:szCs w:val="32"/>
        </w:rPr>
      </w:pPr>
    </w:p>
    <w:p w:rsidR="0062263D" w:rsidRDefault="0062263D">
      <w:pPr>
        <w:spacing w:line="560" w:lineRule="exact"/>
        <w:rPr>
          <w:rFonts w:ascii="仿宋_GB2312" w:eastAsia="仿宋_GB2312"/>
          <w:color w:val="000000"/>
          <w:sz w:val="32"/>
          <w:szCs w:val="32"/>
        </w:rPr>
      </w:pPr>
    </w:p>
    <w:p w:rsidR="0062263D" w:rsidRDefault="005F7C89">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2017年项目支出绩效评价得分表</w:t>
      </w:r>
    </w:p>
    <w:p w:rsidR="0062263D" w:rsidRDefault="0062263D">
      <w:pPr>
        <w:spacing w:line="400" w:lineRule="exact"/>
        <w:jc w:val="center"/>
        <w:rPr>
          <w:rFonts w:ascii="方正小标宋简体" w:eastAsia="方正小标宋简体" w:hAnsi="方正小标宋简体" w:cs="方正小标宋简体"/>
          <w:color w:val="000000"/>
          <w:sz w:val="44"/>
          <w:szCs w:val="4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848"/>
        <w:gridCol w:w="3535"/>
        <w:gridCol w:w="1311"/>
        <w:gridCol w:w="1311"/>
      </w:tblGrid>
      <w:tr w:rsidR="0062263D">
        <w:trPr>
          <w:trHeight w:val="510"/>
          <w:jc w:val="center"/>
        </w:trPr>
        <w:tc>
          <w:tcPr>
            <w:tcW w:w="1883"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单位名称/</w:t>
            </w:r>
          </w:p>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8005" w:type="dxa"/>
            <w:gridSpan w:val="4"/>
            <w:vAlign w:val="center"/>
          </w:tcPr>
          <w:p w:rsidR="0062263D" w:rsidRDefault="005F7C89">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组织系统网络宣传工作</w:t>
            </w:r>
          </w:p>
        </w:tc>
      </w:tr>
      <w:tr w:rsidR="0062263D">
        <w:trPr>
          <w:trHeight w:val="510"/>
          <w:jc w:val="center"/>
        </w:trPr>
        <w:tc>
          <w:tcPr>
            <w:tcW w:w="1883"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一级</w:t>
            </w:r>
          </w:p>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指标</w:t>
            </w:r>
          </w:p>
        </w:tc>
        <w:tc>
          <w:tcPr>
            <w:tcW w:w="1848"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二级</w:t>
            </w:r>
          </w:p>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指标</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三级指标</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1311" w:type="dxa"/>
            <w:vAlign w:val="center"/>
          </w:tcPr>
          <w:p w:rsidR="0062263D" w:rsidRDefault="005F7C89">
            <w:pPr>
              <w:widowControl/>
              <w:spacing w:line="3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62263D">
        <w:trPr>
          <w:trHeight w:val="510"/>
          <w:jc w:val="center"/>
        </w:trPr>
        <w:tc>
          <w:tcPr>
            <w:tcW w:w="1883"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项目决策（20分）</w:t>
            </w:r>
          </w:p>
        </w:tc>
        <w:tc>
          <w:tcPr>
            <w:tcW w:w="1848"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科学决策（10分）</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必要性</w:t>
            </w:r>
            <w:r>
              <w:rPr>
                <w:rFonts w:ascii="宋体" w:hAnsi="宋体" w:cs="宋体" w:hint="eastAsia"/>
                <w:color w:val="000000"/>
                <w:kern w:val="0"/>
                <w:sz w:val="20"/>
                <w:szCs w:val="20"/>
              </w:rPr>
              <w:br/>
              <w:t>（政策依据)</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可行性</w:t>
            </w:r>
            <w:r>
              <w:rPr>
                <w:rFonts w:ascii="宋体" w:hAnsi="宋体" w:cs="宋体" w:hint="eastAsia"/>
                <w:color w:val="000000"/>
                <w:kern w:val="0"/>
                <w:sz w:val="20"/>
                <w:szCs w:val="20"/>
              </w:rPr>
              <w:br/>
              <w:t>（政策完善）</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绩效目标（10）</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4.5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4.5</w:t>
            </w:r>
          </w:p>
        </w:tc>
      </w:tr>
      <w:tr w:rsidR="0062263D">
        <w:trPr>
          <w:trHeight w:val="510"/>
          <w:jc w:val="center"/>
        </w:trPr>
        <w:tc>
          <w:tcPr>
            <w:tcW w:w="1883"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项目管理（10分）</w:t>
            </w:r>
          </w:p>
        </w:tc>
        <w:tc>
          <w:tcPr>
            <w:tcW w:w="1848"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资金管理（7分）</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2.5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textDirection w:val="tbRlV"/>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3.5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项目执行（3分）</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62263D">
        <w:trPr>
          <w:trHeight w:val="510"/>
          <w:jc w:val="center"/>
        </w:trPr>
        <w:tc>
          <w:tcPr>
            <w:tcW w:w="1883"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br/>
              <w:t>项目绩效</w:t>
            </w:r>
          </w:p>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（特性指标70分）  </w:t>
            </w:r>
          </w:p>
        </w:tc>
        <w:tc>
          <w:tcPr>
            <w:tcW w:w="1848"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项目完成（20）</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63D">
        <w:trPr>
          <w:trHeight w:val="455"/>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4.5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4.5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项目效益（50分）</w:t>
            </w: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11" w:type="dxa"/>
            <w:vAlign w:val="center"/>
          </w:tcPr>
          <w:p w:rsidR="0062263D" w:rsidRDefault="0062263D">
            <w:pPr>
              <w:widowControl/>
              <w:spacing w:line="300" w:lineRule="exact"/>
              <w:jc w:val="center"/>
              <w:rPr>
                <w:rFonts w:ascii="宋体" w:hAnsi="宋体" w:cs="宋体"/>
                <w:color w:val="000000"/>
                <w:kern w:val="0"/>
                <w:sz w:val="15"/>
                <w:szCs w:val="15"/>
              </w:rPr>
            </w:pP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29</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1311" w:type="dxa"/>
            <w:vAlign w:val="center"/>
          </w:tcPr>
          <w:p w:rsidR="0062263D" w:rsidRDefault="0062263D">
            <w:pPr>
              <w:widowControl/>
              <w:spacing w:line="300" w:lineRule="exact"/>
              <w:jc w:val="center"/>
              <w:rPr>
                <w:rFonts w:ascii="宋体" w:hAnsi="宋体" w:cs="宋体"/>
                <w:color w:val="000000"/>
                <w:kern w:val="0"/>
                <w:sz w:val="15"/>
                <w:szCs w:val="15"/>
              </w:rPr>
            </w:pP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1311" w:type="dxa"/>
            <w:vAlign w:val="center"/>
          </w:tcPr>
          <w:p w:rsidR="0062263D" w:rsidRDefault="0062263D">
            <w:pPr>
              <w:widowControl/>
              <w:spacing w:line="300" w:lineRule="exact"/>
              <w:jc w:val="center"/>
              <w:rPr>
                <w:rFonts w:ascii="宋体" w:hAnsi="宋体" w:cs="宋体"/>
                <w:color w:val="000000"/>
                <w:kern w:val="0"/>
                <w:sz w:val="15"/>
                <w:szCs w:val="15"/>
              </w:rPr>
            </w:pP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1311" w:type="dxa"/>
            <w:vAlign w:val="center"/>
          </w:tcPr>
          <w:p w:rsidR="0062263D" w:rsidRDefault="0062263D">
            <w:pPr>
              <w:widowControl/>
              <w:spacing w:line="300" w:lineRule="exact"/>
              <w:jc w:val="center"/>
              <w:rPr>
                <w:rFonts w:ascii="宋体" w:hAnsi="宋体" w:cs="宋体"/>
                <w:color w:val="000000"/>
                <w:kern w:val="0"/>
                <w:sz w:val="15"/>
                <w:szCs w:val="15"/>
              </w:rPr>
            </w:pPr>
          </w:p>
        </w:tc>
      </w:tr>
      <w:tr w:rsidR="0062263D">
        <w:trPr>
          <w:trHeight w:val="510"/>
          <w:jc w:val="center"/>
        </w:trPr>
        <w:tc>
          <w:tcPr>
            <w:tcW w:w="1883" w:type="dxa"/>
            <w:vMerge/>
            <w:vAlign w:val="center"/>
          </w:tcPr>
          <w:p w:rsidR="0062263D" w:rsidRDefault="0062263D">
            <w:pPr>
              <w:widowControl/>
              <w:spacing w:line="300" w:lineRule="exact"/>
              <w:jc w:val="left"/>
              <w:rPr>
                <w:rFonts w:ascii="宋体" w:hAnsi="宋体" w:cs="宋体"/>
                <w:color w:val="000000"/>
                <w:kern w:val="0"/>
                <w:sz w:val="20"/>
                <w:szCs w:val="20"/>
              </w:rPr>
            </w:pPr>
          </w:p>
        </w:tc>
        <w:tc>
          <w:tcPr>
            <w:tcW w:w="1848" w:type="dxa"/>
            <w:vMerge/>
            <w:vAlign w:val="center"/>
          </w:tcPr>
          <w:p w:rsidR="0062263D" w:rsidRDefault="0062263D">
            <w:pPr>
              <w:widowControl/>
              <w:spacing w:line="300" w:lineRule="exact"/>
              <w:jc w:val="center"/>
              <w:rPr>
                <w:rFonts w:ascii="宋体" w:hAnsi="宋体" w:cs="宋体"/>
                <w:color w:val="000000"/>
                <w:kern w:val="0"/>
                <w:sz w:val="20"/>
                <w:szCs w:val="20"/>
              </w:rPr>
            </w:pPr>
          </w:p>
        </w:tc>
        <w:tc>
          <w:tcPr>
            <w:tcW w:w="3535"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服务对象满意度</w:t>
            </w:r>
          </w:p>
        </w:tc>
        <w:tc>
          <w:tcPr>
            <w:tcW w:w="1311" w:type="dxa"/>
            <w:vAlign w:val="center"/>
          </w:tcPr>
          <w:p w:rsidR="0062263D" w:rsidRDefault="005F7C89">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311" w:type="dxa"/>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62263D">
        <w:trPr>
          <w:trHeight w:val="510"/>
          <w:jc w:val="center"/>
        </w:trPr>
        <w:tc>
          <w:tcPr>
            <w:tcW w:w="1883" w:type="dxa"/>
            <w:vAlign w:val="center"/>
          </w:tcPr>
          <w:p w:rsidR="0062263D" w:rsidRDefault="005F7C89">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8005" w:type="dxa"/>
            <w:gridSpan w:val="4"/>
            <w:vAlign w:val="center"/>
          </w:tcPr>
          <w:p w:rsidR="0062263D" w:rsidRDefault="005F7C89">
            <w:pPr>
              <w:widowControl/>
              <w:spacing w:line="300" w:lineRule="exact"/>
              <w:jc w:val="center"/>
              <w:rPr>
                <w:rFonts w:ascii="宋体" w:hAnsi="宋体" w:cs="宋体"/>
                <w:color w:val="000000"/>
                <w:kern w:val="0"/>
                <w:sz w:val="15"/>
                <w:szCs w:val="15"/>
              </w:rPr>
            </w:pPr>
            <w:r>
              <w:rPr>
                <w:rFonts w:ascii="宋体" w:hAnsi="宋体" w:cs="宋体" w:hint="eastAsia"/>
                <w:color w:val="000000"/>
                <w:kern w:val="0"/>
                <w:sz w:val="15"/>
                <w:szCs w:val="15"/>
              </w:rPr>
              <w:t>96</w:t>
            </w:r>
          </w:p>
        </w:tc>
      </w:tr>
    </w:tbl>
    <w:p w:rsidR="0062263D" w:rsidRDefault="005F7C89">
      <w:pPr>
        <w:autoSpaceDE w:val="0"/>
        <w:autoSpaceDN w:val="0"/>
        <w:adjustRightInd w:val="0"/>
        <w:spacing w:line="560" w:lineRule="exact"/>
        <w:ind w:firstLineChars="200" w:firstLine="643"/>
        <w:jc w:val="left"/>
        <w:rPr>
          <w:rFonts w:ascii="黑体" w:eastAsia="黑体"/>
          <w:b/>
          <w:bCs/>
          <w:color w:val="000000"/>
          <w:sz w:val="32"/>
          <w:szCs w:val="32"/>
        </w:rPr>
      </w:pPr>
      <w:r>
        <w:rPr>
          <w:rFonts w:ascii="黑体" w:eastAsia="黑体" w:hint="eastAsia"/>
          <w:b/>
          <w:bCs/>
          <w:color w:val="000000"/>
          <w:sz w:val="32"/>
          <w:szCs w:val="32"/>
        </w:rPr>
        <w:t>十一、名词解释</w:t>
      </w:r>
    </w:p>
    <w:p w:rsidR="0062263D" w:rsidRPr="009276C5" w:rsidRDefault="005F7C89">
      <w:pPr>
        <w:pStyle w:val="Default"/>
        <w:spacing w:line="560" w:lineRule="exact"/>
        <w:ind w:firstLineChars="200" w:firstLine="640"/>
        <w:rPr>
          <w:rFonts w:hAnsi="仿宋"/>
          <w:bCs/>
          <w:sz w:val="32"/>
          <w:szCs w:val="32"/>
        </w:rPr>
      </w:pPr>
      <w:r w:rsidRPr="009276C5">
        <w:rPr>
          <w:rFonts w:hAnsi="仿宋" w:hint="eastAsia"/>
          <w:bCs/>
          <w:sz w:val="32"/>
          <w:szCs w:val="32"/>
        </w:rPr>
        <w:t>1.财政拨款收入：指单位从同级财政部门取得的财政预算资金。</w:t>
      </w:r>
    </w:p>
    <w:p w:rsidR="0062263D" w:rsidRPr="009276C5" w:rsidRDefault="005F7C89">
      <w:pPr>
        <w:pStyle w:val="Default"/>
        <w:spacing w:line="560" w:lineRule="exact"/>
        <w:ind w:firstLineChars="200" w:firstLine="640"/>
        <w:rPr>
          <w:rFonts w:hAnsi="仿宋"/>
          <w:bCs/>
          <w:sz w:val="32"/>
          <w:szCs w:val="32"/>
        </w:rPr>
      </w:pPr>
      <w:r w:rsidRPr="009276C5">
        <w:rPr>
          <w:rFonts w:hAnsi="仿宋" w:hint="eastAsia"/>
          <w:bCs/>
          <w:sz w:val="32"/>
          <w:szCs w:val="32"/>
        </w:rPr>
        <w:t xml:space="preserve">2.年初结转和结余：指以前年度尚未完成、结转到本年按有关规定继续使用的资金。 </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3.一般公共服务支出-组织事务-行政运行：反映行政单位（包括实行公务员管理的事业单位）的基本支出；一般公共服务支出-组织事务-一般行政管理事务：反映行政单位（包括实行公务员管理的事业单位）未单独设置项级科目的其他项目支出。</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 xml:space="preserve">4.社会保障和就业-行政事业单位离退休-未归口管理的行政单位离退休：反映未实行归口管理的行政单位(包括实行公务员管理的事业单位)开支的离退休支出。 </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5.社会保障和就业-行政事业单位离退休-机关事业单位基本养老保险缴费支出：反映机关事业单位实施养老制度由单位缴纳的基本养老保险费支出。</w:t>
      </w:r>
      <w:r w:rsidRPr="009276C5">
        <w:rPr>
          <w:rFonts w:ascii="仿宋" w:eastAsia="仿宋" w:hAnsi="仿宋" w:hint="eastAsia"/>
          <w:bCs/>
          <w:color w:val="000000"/>
          <w:sz w:val="32"/>
          <w:szCs w:val="32"/>
        </w:rPr>
        <w:br/>
        <w:t xml:space="preserve">　　6.医疗卫生与计划生育-医疗保障-行政单位医疗：反映财政部门集中安排的行政单位基本医疗保险缴费经费。 </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 xml:space="preserve">7. 住房保障支出-住房改革支出-住房公积金：反映行政事业单位按人力资源和社会保障部、财政部规定的基本工资和津补贴以及规定比例为职工缴纳的住房公积金。 </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lastRenderedPageBreak/>
        <w:t>8.基本支出：指为保障机构正常运转、完成日常工作任务而发生的人员支出和公用支出。</w:t>
      </w:r>
    </w:p>
    <w:p w:rsidR="0062263D" w:rsidRPr="009276C5" w:rsidRDefault="005F7C89">
      <w:pPr>
        <w:spacing w:line="560" w:lineRule="exact"/>
        <w:ind w:firstLineChars="200" w:firstLine="640"/>
        <w:rPr>
          <w:rFonts w:ascii="仿宋" w:eastAsia="仿宋" w:hAnsi="仿宋"/>
          <w:bCs/>
          <w:color w:val="000000"/>
          <w:sz w:val="32"/>
          <w:szCs w:val="32"/>
        </w:rPr>
      </w:pPr>
      <w:r w:rsidRPr="009276C5">
        <w:rPr>
          <w:rFonts w:ascii="仿宋" w:eastAsia="仿宋" w:hAnsi="仿宋" w:hint="eastAsia"/>
          <w:bCs/>
          <w:color w:val="000000"/>
          <w:sz w:val="32"/>
          <w:szCs w:val="32"/>
        </w:rPr>
        <w:t xml:space="preserve">9.项目支出：指在基本支出之外为完成特定行政任务和事业发展目标所发生的支出。 </w:t>
      </w:r>
    </w:p>
    <w:p w:rsidR="0062263D" w:rsidRPr="009276C5" w:rsidRDefault="005F7C89">
      <w:pPr>
        <w:pStyle w:val="Default"/>
        <w:spacing w:line="560" w:lineRule="exact"/>
        <w:ind w:firstLineChars="200" w:firstLine="640"/>
        <w:rPr>
          <w:rFonts w:hAnsi="仿宋"/>
          <w:bCs/>
          <w:sz w:val="32"/>
          <w:szCs w:val="32"/>
        </w:rPr>
      </w:pPr>
      <w:r w:rsidRPr="009276C5">
        <w:rPr>
          <w:rFonts w:hAnsi="仿宋" w:hint="eastAsia"/>
          <w:bCs/>
          <w:sz w:val="32"/>
          <w:szCs w:val="32"/>
        </w:rPr>
        <w:t>10.“三公”经费：指部门用财政拨款安排的因公出国（境）费、公务用车购置及运行费和公务接待费。其中，因公出国（境）</w:t>
      </w:r>
      <w:proofErr w:type="gramStart"/>
      <w:r w:rsidRPr="009276C5">
        <w:rPr>
          <w:rFonts w:hAnsi="仿宋" w:hint="eastAsia"/>
          <w:bCs/>
          <w:sz w:val="32"/>
          <w:szCs w:val="32"/>
        </w:rPr>
        <w:t>费反映</w:t>
      </w:r>
      <w:proofErr w:type="gramEnd"/>
      <w:r w:rsidRPr="009276C5">
        <w:rPr>
          <w:rFonts w:hAnsi="仿宋" w:hint="eastAsia"/>
          <w:bCs/>
          <w:sz w:val="32"/>
          <w:szCs w:val="32"/>
        </w:rPr>
        <w:t>单位公务出国（境）的国际旅费、国外城市间交通费、住宿费、伙食费、培训费、公杂费等支出；公务用车购置及运行</w:t>
      </w:r>
      <w:proofErr w:type="gramStart"/>
      <w:r w:rsidRPr="009276C5">
        <w:rPr>
          <w:rFonts w:hAnsi="仿宋" w:hint="eastAsia"/>
          <w:bCs/>
          <w:sz w:val="32"/>
          <w:szCs w:val="32"/>
        </w:rPr>
        <w:t>费反映</w:t>
      </w:r>
      <w:proofErr w:type="gramEnd"/>
      <w:r w:rsidRPr="009276C5">
        <w:rPr>
          <w:rFonts w:hAnsi="仿宋" w:hint="eastAsia"/>
          <w:bCs/>
          <w:sz w:val="32"/>
          <w:szCs w:val="32"/>
        </w:rPr>
        <w:t>单位公务用车车辆购置支出（</w:t>
      </w:r>
      <w:proofErr w:type="gramStart"/>
      <w:r w:rsidRPr="009276C5">
        <w:rPr>
          <w:rFonts w:hAnsi="仿宋" w:hint="eastAsia"/>
          <w:bCs/>
          <w:sz w:val="32"/>
          <w:szCs w:val="32"/>
        </w:rPr>
        <w:t>含车辆</w:t>
      </w:r>
      <w:proofErr w:type="gramEnd"/>
      <w:r w:rsidRPr="009276C5">
        <w:rPr>
          <w:rFonts w:hAnsi="仿宋" w:hint="eastAsia"/>
          <w:bCs/>
          <w:sz w:val="32"/>
          <w:szCs w:val="32"/>
        </w:rPr>
        <w:t>购置税）及租用费、燃料费、维修费、过路过桥费、保险费等支出；公务接待</w:t>
      </w:r>
      <w:proofErr w:type="gramStart"/>
      <w:r w:rsidRPr="009276C5">
        <w:rPr>
          <w:rFonts w:hAnsi="仿宋" w:hint="eastAsia"/>
          <w:bCs/>
          <w:sz w:val="32"/>
          <w:szCs w:val="32"/>
        </w:rPr>
        <w:t>费反映</w:t>
      </w:r>
      <w:proofErr w:type="gramEnd"/>
      <w:r w:rsidRPr="009276C5">
        <w:rPr>
          <w:rFonts w:hAnsi="仿宋" w:hint="eastAsia"/>
          <w:bCs/>
          <w:sz w:val="32"/>
          <w:szCs w:val="32"/>
        </w:rPr>
        <w:t>单位按规定开支的各类公务接待（含外宾接待）支出。</w:t>
      </w:r>
    </w:p>
    <w:p w:rsidR="0062263D" w:rsidRPr="009276C5" w:rsidRDefault="005F7C89">
      <w:pPr>
        <w:pStyle w:val="Default"/>
        <w:spacing w:line="560" w:lineRule="exact"/>
        <w:ind w:firstLineChars="200" w:firstLine="640"/>
        <w:rPr>
          <w:rFonts w:hAnsi="仿宋"/>
          <w:bCs/>
          <w:sz w:val="32"/>
          <w:szCs w:val="32"/>
        </w:rPr>
      </w:pPr>
      <w:r w:rsidRPr="009276C5">
        <w:rPr>
          <w:rFonts w:hAnsi="仿宋" w:hint="eastAsia"/>
          <w:bCs/>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2263D" w:rsidRPr="009276C5" w:rsidRDefault="0062263D">
      <w:pPr>
        <w:rPr>
          <w:rFonts w:ascii="仿宋" w:eastAsia="仿宋" w:hAnsi="仿宋"/>
        </w:rPr>
      </w:pPr>
    </w:p>
    <w:sectPr w:rsidR="0062263D" w:rsidRPr="009276C5">
      <w:headerReference w:type="default" r:id="rId8"/>
      <w:footerReference w:type="default" r:id="rId9"/>
      <w:pgSz w:w="11906" w:h="16838"/>
      <w:pgMar w:top="2098" w:right="1474" w:bottom="1984" w:left="1587" w:header="851" w:footer="1559"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62" w:rsidRDefault="00B32C62">
      <w:r>
        <w:separator/>
      </w:r>
    </w:p>
  </w:endnote>
  <w:endnote w:type="continuationSeparator" w:id="0">
    <w:p w:rsidR="00B32C62" w:rsidRDefault="00B3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3D" w:rsidRDefault="005F7C89">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2263D" w:rsidRDefault="005F7C89">
                          <w:pPr>
                            <w:pStyle w:val="a4"/>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lang w:val="zh-CN"/>
                            </w:rPr>
                            <w:t>-</w:t>
                          </w:r>
                          <w:r>
                            <w:rPr>
                              <w:rFonts w:ascii="仿宋_GB2312" w:eastAsia="仿宋_GB2312" w:hAnsi="仿宋_GB2312" w:cs="仿宋_GB2312"/>
                              <w:sz w:val="28"/>
                              <w:szCs w:val="28"/>
                            </w:rPr>
                            <w:t xml:space="preserve"> 13 -</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62263D" w:rsidRDefault="005F7C89">
                    <w:pPr>
                      <w:pStyle w:val="a4"/>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lang w:val="zh-CN"/>
                      </w:rPr>
                      <w:t>-</w:t>
                    </w:r>
                    <w:r>
                      <w:rPr>
                        <w:rFonts w:ascii="仿宋_GB2312" w:eastAsia="仿宋_GB2312" w:hAnsi="仿宋_GB2312" w:cs="仿宋_GB2312"/>
                        <w:sz w:val="28"/>
                        <w:szCs w:val="28"/>
                      </w:rPr>
                      <w:t xml:space="preserve"> 13 -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62263D" w:rsidRDefault="006226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62" w:rsidRDefault="00B32C62">
      <w:r>
        <w:separator/>
      </w:r>
    </w:p>
  </w:footnote>
  <w:footnote w:type="continuationSeparator" w:id="0">
    <w:p w:rsidR="00B32C62" w:rsidRDefault="00B3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3D" w:rsidRDefault="0062263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21E64"/>
    <w:multiLevelType w:val="singleLevel"/>
    <w:tmpl w:val="86221E64"/>
    <w:lvl w:ilvl="0">
      <w:start w:val="2"/>
      <w:numFmt w:val="chineseCounting"/>
      <w:suff w:val="nothing"/>
      <w:lvlText w:val="%1、"/>
      <w:lvlJc w:val="left"/>
      <w:rPr>
        <w:rFonts w:hint="eastAsia"/>
      </w:rPr>
    </w:lvl>
  </w:abstractNum>
  <w:abstractNum w:abstractNumId="1" w15:restartNumberingAfterBreak="0">
    <w:nsid w:val="2B9E7404"/>
    <w:multiLevelType w:val="singleLevel"/>
    <w:tmpl w:val="2B9E7404"/>
    <w:lvl w:ilvl="0">
      <w:start w:val="3"/>
      <w:numFmt w:val="chineseCounting"/>
      <w:suff w:val="nothing"/>
      <w:lvlText w:val="（%1）"/>
      <w:lvlJc w:val="left"/>
      <w:rPr>
        <w:rFonts w:hint="eastAsia"/>
      </w:rPr>
    </w:lvl>
  </w:abstractNum>
  <w:abstractNum w:abstractNumId="2" w15:restartNumberingAfterBreak="0">
    <w:nsid w:val="3A9F14A3"/>
    <w:multiLevelType w:val="hybridMultilevel"/>
    <w:tmpl w:val="09289678"/>
    <w:lvl w:ilvl="0" w:tplc="715C6F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B465C4"/>
    <w:rsid w:val="00173A00"/>
    <w:rsid w:val="002D40A1"/>
    <w:rsid w:val="004960C8"/>
    <w:rsid w:val="005F7C89"/>
    <w:rsid w:val="00604433"/>
    <w:rsid w:val="0062263D"/>
    <w:rsid w:val="006F04CA"/>
    <w:rsid w:val="00886B2A"/>
    <w:rsid w:val="009276C5"/>
    <w:rsid w:val="00A077C5"/>
    <w:rsid w:val="00A84759"/>
    <w:rsid w:val="00B32C62"/>
    <w:rsid w:val="00B96187"/>
    <w:rsid w:val="00D02EFA"/>
    <w:rsid w:val="00FD1B9D"/>
    <w:rsid w:val="02555F20"/>
    <w:rsid w:val="0612736D"/>
    <w:rsid w:val="18D562E2"/>
    <w:rsid w:val="1EBA002A"/>
    <w:rsid w:val="2E696643"/>
    <w:rsid w:val="35292002"/>
    <w:rsid w:val="3E7D7F33"/>
    <w:rsid w:val="40AE15F1"/>
    <w:rsid w:val="48B2733A"/>
    <w:rsid w:val="49205DEA"/>
    <w:rsid w:val="49E47B74"/>
    <w:rsid w:val="4B8B2563"/>
    <w:rsid w:val="4E042A22"/>
    <w:rsid w:val="59EB4848"/>
    <w:rsid w:val="602F6EFA"/>
    <w:rsid w:val="6BAB2F63"/>
    <w:rsid w:val="6D535020"/>
    <w:rsid w:val="739E6250"/>
    <w:rsid w:val="77B465C4"/>
    <w:rsid w:val="7C5D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B843"/>
  <w15:docId w15:val="{2CC608D7-1DCF-4553-B6A6-082C0EE2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before="93"/>
    </w:pPr>
    <w:rPr>
      <w:rFonts w:ascii="仿宋_GB2312" w:eastAsia="仿宋_GB2312"/>
      <w:kern w:val="0"/>
      <w:sz w:val="30"/>
    </w:rPr>
  </w:style>
  <w:style w:type="paragraph" w:styleId="a4">
    <w:name w:val="footer"/>
    <w:basedOn w:val="a"/>
    <w:uiPriority w:val="99"/>
    <w:unhideWhenUsed/>
    <w:qFormat/>
    <w:pPr>
      <w:tabs>
        <w:tab w:val="center" w:pos="4153"/>
        <w:tab w:val="right" w:pos="8306"/>
      </w:tabs>
      <w:snapToGrid w:val="0"/>
      <w:jc w:val="left"/>
    </w:pPr>
    <w:rPr>
      <w:rFonts w:ascii="Calibri" w:hAnsi="Calibri"/>
      <w:kern w:val="0"/>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Normal (Web)"/>
    <w:basedOn w:val="a"/>
    <w:qFormat/>
    <w:pPr>
      <w:spacing w:beforeAutospacing="1" w:afterAutospacing="1"/>
      <w:jc w:val="left"/>
    </w:pPr>
    <w:rPr>
      <w:kern w:val="0"/>
      <w:sz w:val="24"/>
    </w:rPr>
  </w:style>
  <w:style w:type="character" w:styleId="a7">
    <w:name w:val="Strong"/>
    <w:uiPriority w:val="22"/>
    <w:qFormat/>
    <w:rPr>
      <w:b/>
      <w:bCs/>
    </w:rPr>
  </w:style>
  <w:style w:type="character" w:styleId="a8">
    <w:name w:val="FollowedHyperlink"/>
    <w:basedOn w:val="a0"/>
    <w:rPr>
      <w:color w:val="800080"/>
      <w:u w:val="none"/>
    </w:rPr>
  </w:style>
  <w:style w:type="character" w:styleId="a9">
    <w:name w:val="Emphasis"/>
    <w:basedOn w:val="a0"/>
    <w:qFormat/>
    <w:rPr>
      <w:b/>
    </w:rPr>
  </w:style>
  <w:style w:type="character" w:styleId="HTML">
    <w:name w:val="HTML Definition"/>
    <w:basedOn w:val="a0"/>
  </w:style>
  <w:style w:type="character" w:styleId="HTML0">
    <w:name w:val="HTML Variable"/>
    <w:basedOn w:val="a0"/>
  </w:style>
  <w:style w:type="character" w:styleId="aa">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styleId="HTML3">
    <w:name w:val="HTML Keyboard"/>
    <w:basedOn w:val="a0"/>
    <w:rPr>
      <w:rFonts w:ascii="Courier New" w:hAnsi="Courier New"/>
      <w:sz w:val="20"/>
    </w:rPr>
  </w:style>
  <w:style w:type="character" w:styleId="HTML4">
    <w:name w:val="HTML Sample"/>
    <w:basedOn w:val="a0"/>
    <w:rPr>
      <w:rFonts w:ascii="Courier New" w:hAnsi="Courier New"/>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layui-layer-tabnow">
    <w:name w:val="layui-layer-tabnow"/>
    <w:basedOn w:val="a0"/>
    <w:rPr>
      <w:bdr w:val="single" w:sz="6" w:space="0" w:color="CCCCCC"/>
      <w:shd w:val="clear" w:color="auto" w:fill="FFFFFF"/>
    </w:rPr>
  </w:style>
  <w:style w:type="character" w:customStyle="1" w:styleId="first-child">
    <w:name w:val="first-child"/>
    <w:basedOn w:val="a0"/>
    <w:rPr>
      <w:bdr w:val="none" w:sz="0" w:space="0" w:color="auto"/>
    </w:rPr>
  </w:style>
  <w:style w:type="paragraph" w:styleId="ab">
    <w:name w:val="List Paragraph"/>
    <w:basedOn w:val="a"/>
    <w:uiPriority w:val="34"/>
    <w:qFormat/>
    <w:rsid w:val="00FD1B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192</TotalTime>
  <Pages>14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27</cp:revision>
  <cp:lastPrinted>2018-09-13T07:05:00Z</cp:lastPrinted>
  <dcterms:created xsi:type="dcterms:W3CDTF">2018-09-03T09:49:00Z</dcterms:created>
  <dcterms:modified xsi:type="dcterms:W3CDTF">2019-02-26T02:18:00Z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