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2895"/>
        <w:gridCol w:w="36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9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2020年商贸流通服务业应急资金分配明细表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下达资金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2160299其他商业流通事务支出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2160299其他商业流通事务支出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2160299其他商业流通事务支出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2160299其他商业流通事务支出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2160299其他商业流通事务支出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2160299其他商业流通事务支出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after="0" w:line="576" w:lineRule="exact"/>
        <w:jc w:val="both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708" w:footer="1559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5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2020-11-20T07:49:50Z</dcterms:created>
  <dc:creator>xm</dc:creator>
  <cp:lastModifiedBy>WPS_1558501811</cp:lastModifiedBy>
  <dcterms:modified xsi:type="dcterms:W3CDTF">2020-11-20T07:50:04Z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