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both"/>
        <w:textAlignment w:val="auto"/>
        <w:outlineLvl w:val="0"/>
        <w:rPr>
          <w:rFonts w:ascii="方正小标宋简体" w:hAnsi="宋体" w:eastAsia="方正小标宋简体"/>
          <w:color w:val="000000"/>
          <w:sz w:val="72"/>
          <w:szCs w:val="72"/>
        </w:rPr>
      </w:pPr>
      <w:bookmarkStart w:id="0" w:name="_Toc15306267"/>
    </w:p>
    <w:p>
      <w:pPr>
        <w:pageBreakBefore w:val="0"/>
        <w:kinsoku/>
        <w:wordWrap/>
        <w:overflowPunct/>
        <w:topLinePunct w:val="0"/>
        <w:bidi w:val="0"/>
        <w:spacing w:line="576" w:lineRule="exact"/>
        <w:jc w:val="both"/>
        <w:textAlignment w:val="auto"/>
        <w:outlineLvl w:val="0"/>
        <w:rPr>
          <w:rFonts w:ascii="方正小标宋简体" w:hAnsi="宋体" w:eastAsia="方正小标宋简体"/>
          <w:color w:val="000000"/>
          <w:sz w:val="72"/>
          <w:szCs w:val="72"/>
        </w:rPr>
      </w:pPr>
    </w:p>
    <w:p>
      <w:pPr>
        <w:pageBreakBefore w:val="0"/>
        <w:kinsoku/>
        <w:wordWrap/>
        <w:overflowPunct/>
        <w:topLinePunct w:val="0"/>
        <w:bidi w:val="0"/>
        <w:spacing w:line="576" w:lineRule="exact"/>
        <w:jc w:val="both"/>
        <w:textAlignment w:val="auto"/>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宋体" w:eastAsia="方正小标宋简体"/>
          <w:color w:val="000000"/>
          <w:sz w:val="72"/>
          <w:szCs w:val="72"/>
        </w:rPr>
      </w:pPr>
      <w:bookmarkStart w:id="6" w:name="_Toc15396598"/>
      <w:bookmarkStart w:id="7" w:name="_Toc15396476"/>
      <w:bookmarkStart w:id="8" w:name="_Toc15377194"/>
      <w:bookmarkStart w:id="9" w:name="_Toc15377426"/>
      <w:bookmarkStart w:id="10" w:name="_Toc15378442"/>
      <w:r>
        <w:rPr>
          <w:rFonts w:hint="eastAsia" w:ascii="方正小标宋简体" w:hAnsi="宋体" w:eastAsia="方正小标宋简体"/>
          <w:color w:val="000000"/>
          <w:sz w:val="72"/>
          <w:szCs w:val="72"/>
        </w:rPr>
        <w:t>广元市</w:t>
      </w:r>
      <w:bookmarkEnd w:id="0"/>
      <w:bookmarkStart w:id="11" w:name="_Toc15306268"/>
      <w:r>
        <w:rPr>
          <w:rFonts w:hint="eastAsia" w:ascii="方正小标宋简体" w:hAnsi="宋体" w:eastAsia="方正小标宋简体"/>
          <w:color w:val="000000"/>
          <w:sz w:val="72"/>
          <w:szCs w:val="72"/>
        </w:rPr>
        <w:t>水利局部门决算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ind w:firstLine="3600" w:firstLineChars="500"/>
        <w:jc w:val="both"/>
        <w:textAlignment w:val="auto"/>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编</w:t>
      </w:r>
    </w:p>
    <w:p>
      <w:pPr>
        <w:keepNext w:val="0"/>
        <w:keepLines w:val="0"/>
        <w:pageBreakBefore w:val="0"/>
        <w:widowControl w:val="0"/>
        <w:kinsoku/>
        <w:wordWrap/>
        <w:overflowPunct/>
        <w:topLinePunct w:val="0"/>
        <w:autoSpaceDE/>
        <w:autoSpaceDN/>
        <w:bidi w:val="0"/>
        <w:adjustRightInd w:val="0"/>
        <w:snapToGrid w:val="0"/>
        <w:spacing w:line="1000" w:lineRule="exact"/>
        <w:ind w:firstLine="3600" w:firstLineChars="500"/>
        <w:jc w:val="both"/>
        <w:textAlignment w:val="auto"/>
        <w:outlineLvl w:val="0"/>
        <w:rPr>
          <w:rFonts w:hint="eastAsia"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ind w:firstLine="3600" w:firstLineChars="500"/>
        <w:jc w:val="both"/>
        <w:textAlignment w:val="auto"/>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制</w:t>
      </w:r>
    </w:p>
    <w:p>
      <w:pPr>
        <w:keepNext w:val="0"/>
        <w:keepLines w:val="0"/>
        <w:pageBreakBefore w:val="0"/>
        <w:widowControl w:val="0"/>
        <w:kinsoku/>
        <w:wordWrap/>
        <w:overflowPunct/>
        <w:topLinePunct w:val="0"/>
        <w:autoSpaceDE/>
        <w:autoSpaceDN/>
        <w:bidi w:val="0"/>
        <w:adjustRightInd w:val="0"/>
        <w:snapToGrid w:val="0"/>
        <w:spacing w:line="1000" w:lineRule="exact"/>
        <w:ind w:firstLine="3600" w:firstLineChars="500"/>
        <w:jc w:val="both"/>
        <w:textAlignment w:val="auto"/>
        <w:outlineLvl w:val="0"/>
        <w:rPr>
          <w:rFonts w:hint="eastAsia"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ind w:firstLine="3600" w:firstLineChars="500"/>
        <w:jc w:val="both"/>
        <w:textAlignment w:val="auto"/>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说</w:t>
      </w:r>
    </w:p>
    <w:p>
      <w:pPr>
        <w:keepNext w:val="0"/>
        <w:keepLines w:val="0"/>
        <w:pageBreakBefore w:val="0"/>
        <w:widowControl w:val="0"/>
        <w:kinsoku/>
        <w:wordWrap/>
        <w:overflowPunct/>
        <w:topLinePunct w:val="0"/>
        <w:autoSpaceDE/>
        <w:autoSpaceDN/>
        <w:bidi w:val="0"/>
        <w:adjustRightInd w:val="0"/>
        <w:snapToGrid w:val="0"/>
        <w:spacing w:line="1000" w:lineRule="exact"/>
        <w:ind w:firstLine="3600" w:firstLineChars="500"/>
        <w:jc w:val="both"/>
        <w:textAlignment w:val="auto"/>
        <w:outlineLvl w:val="0"/>
        <w:rPr>
          <w:rFonts w:hint="eastAsia"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ind w:firstLine="3600" w:firstLineChars="500"/>
        <w:jc w:val="both"/>
        <w:textAlignment w:val="auto"/>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明</w:t>
      </w:r>
    </w:p>
    <w:p>
      <w:pPr>
        <w:pageBreakBefore w:val="0"/>
        <w:widowControl/>
        <w:kinsoku/>
        <w:wordWrap/>
        <w:overflowPunct/>
        <w:topLinePunct w:val="0"/>
        <w:bidi w:val="0"/>
        <w:spacing w:line="576" w:lineRule="exact"/>
        <w:jc w:val="center"/>
        <w:textAlignment w:val="auto"/>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pageBreakBefore w:val="0"/>
        <w:widowControl/>
        <w:kinsoku/>
        <w:wordWrap/>
        <w:overflowPunct/>
        <w:topLinePunct w:val="0"/>
        <w:bidi w:val="0"/>
        <w:spacing w:line="576" w:lineRule="exact"/>
        <w:jc w:val="both"/>
        <w:textAlignment w:val="auto"/>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ageBreakBefore w:val="0"/>
        <w:kinsoku/>
        <w:wordWrap/>
        <w:overflowPunct/>
        <w:topLinePunct w:val="0"/>
        <w:bidi w:val="0"/>
        <w:spacing w:line="576" w:lineRule="exact"/>
        <w:jc w:val="both"/>
        <w:textAlignment w:val="auto"/>
      </w:pPr>
    </w:p>
    <w:p>
      <w:pPr>
        <w:pStyle w:val="10"/>
        <w:pageBreakBefore w:val="0"/>
        <w:kinsoku/>
        <w:wordWrap/>
        <w:overflowPunct/>
        <w:topLinePunct w:val="0"/>
        <w:bidi w:val="0"/>
        <w:spacing w:line="576" w:lineRule="exact"/>
        <w:jc w:val="both"/>
        <w:textAlignment w:val="auto"/>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0"/>
        <w:pageBreakBefore w:val="0"/>
        <w:kinsoku/>
        <w:wordWrap/>
        <w:overflowPunct/>
        <w:topLinePunct w:val="0"/>
        <w:bidi w:val="0"/>
        <w:spacing w:line="576" w:lineRule="exact"/>
        <w:jc w:val="both"/>
        <w:textAlignment w:val="auto"/>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8</w:t>
      </w:r>
      <w:r>
        <w:rPr>
          <w:rFonts w:hint="eastAsia"/>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9</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9</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9</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9</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ind w:left="0" w:leftChars="0" w:firstLine="420" w:firstLineChars="200"/>
        <w:jc w:val="both"/>
        <w:textAlignment w:val="auto"/>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ind w:left="0" w:leftChars="0" w:firstLine="420" w:firstLineChars="200"/>
        <w:jc w:val="both"/>
        <w:textAlignment w:val="auto"/>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lang w:eastAsia="zh-CN"/>
        </w:rPr>
        <w:t>十</w:t>
      </w:r>
      <w:r>
        <w:rPr>
          <w:rStyle w:val="15"/>
          <w:rFonts w:hint="eastAsia" w:ascii="仿宋" w:hAnsi="仿宋" w:eastAsia="仿宋" w:cstheme="majorBidi"/>
          <w:bCs/>
          <w:sz w:val="28"/>
          <w:szCs w:val="28"/>
        </w:rPr>
        <w:t>、</w:t>
      </w:r>
      <w:r>
        <w:rPr>
          <w:rStyle w:val="15"/>
          <w:rFonts w:hint="eastAsia" w:ascii="仿宋" w:hAnsi="仿宋" w:eastAsia="仿宋"/>
          <w:sz w:val="28"/>
          <w:szCs w:val="28"/>
        </w:rPr>
        <w:t xml:space="preserve"> </w:t>
      </w:r>
      <w:r>
        <w:rPr>
          <w:rStyle w:val="15"/>
          <w:rFonts w:hint="eastAsia" w:ascii="仿宋" w:hAnsi="仿宋" w:eastAsia="仿宋"/>
          <w:sz w:val="28"/>
          <w:szCs w:val="28"/>
          <w:lang w:eastAsia="zh-CN"/>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sz w:val="28"/>
          <w:szCs w:val="28"/>
          <w:lang w:eastAsia="zh-CN"/>
        </w:rPr>
        <w:t>一</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5</w:t>
      </w:r>
      <w:r>
        <w:rPr>
          <w:rFonts w:ascii="仿宋" w:hAnsi="仿宋" w:eastAsia="仿宋"/>
          <w:sz w:val="28"/>
          <w:szCs w:val="28"/>
        </w:rPr>
        <w:fldChar w:fldCharType="end"/>
      </w:r>
      <w:r>
        <w:rPr>
          <w:rFonts w:ascii="仿宋" w:hAnsi="仿宋" w:eastAsia="仿宋"/>
          <w:sz w:val="28"/>
          <w:szCs w:val="28"/>
        </w:rPr>
        <w:fldChar w:fldCharType="end"/>
      </w:r>
    </w:p>
    <w:p>
      <w:pPr>
        <w:pStyle w:val="10"/>
        <w:pageBreakBefore w:val="0"/>
        <w:kinsoku/>
        <w:wordWrap/>
        <w:overflowPunct/>
        <w:topLinePunct w:val="0"/>
        <w:bidi w:val="0"/>
        <w:spacing w:line="576" w:lineRule="exact"/>
        <w:jc w:val="both"/>
        <w:textAlignment w:val="auto"/>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w:t>
      </w:r>
      <w:r>
        <w:rPr>
          <w:rFonts w:hint="eastAsia"/>
          <w:lang w:val="en-US" w:eastAsia="zh-CN"/>
        </w:rPr>
        <w:t>7</w:t>
      </w:r>
      <w:r>
        <w:fldChar w:fldCharType="end"/>
      </w:r>
      <w:r>
        <w:fldChar w:fldCharType="end"/>
      </w:r>
    </w:p>
    <w:p>
      <w:pPr>
        <w:pStyle w:val="10"/>
        <w:pageBreakBefore w:val="0"/>
        <w:kinsoku/>
        <w:wordWrap/>
        <w:overflowPunct/>
        <w:topLinePunct w:val="0"/>
        <w:bidi w:val="0"/>
        <w:spacing w:line="576" w:lineRule="exact"/>
        <w:jc w:val="both"/>
        <w:textAlignment w:val="auto"/>
        <w:rPr>
          <w:rFonts w:ascii="仿宋" w:hAnsi="仿宋" w:eastAsia="仿宋" w:cstheme="minorBidi"/>
          <w:sz w:val="28"/>
          <w:szCs w:val="28"/>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21</w:t>
      </w:r>
      <w:r>
        <w:fldChar w:fldCharType="end"/>
      </w:r>
      <w:r>
        <w:fldChar w:fldCharType="end"/>
      </w:r>
    </w:p>
    <w:p>
      <w:pPr>
        <w:pStyle w:val="10"/>
        <w:pageBreakBefore w:val="0"/>
        <w:kinsoku/>
        <w:wordWrap/>
        <w:overflowPunct/>
        <w:topLinePunct w:val="0"/>
        <w:bidi w:val="0"/>
        <w:spacing w:line="576" w:lineRule="exact"/>
        <w:jc w:val="both"/>
        <w:textAlignment w:val="auto"/>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26</w:t>
      </w:r>
      <w:r>
        <w:rPr>
          <w:rFonts w:hint="eastAsia"/>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pageBreakBefore w:val="0"/>
        <w:kinsoku/>
        <w:wordWrap/>
        <w:overflowPunct/>
        <w:topLinePunct w:val="0"/>
        <w:bidi w:val="0"/>
        <w:spacing w:line="576" w:lineRule="exact"/>
        <w:jc w:val="both"/>
        <w:textAlignment w:val="auto"/>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ageBreakBefore w:val="0"/>
        <w:widowControl/>
        <w:kinsoku/>
        <w:wordWrap/>
        <w:overflowPunct/>
        <w:topLinePunct w:val="0"/>
        <w:bidi w:val="0"/>
        <w:spacing w:line="576" w:lineRule="exact"/>
        <w:jc w:val="both"/>
        <w:textAlignment w:val="auto"/>
        <w:rPr>
          <w:rFonts w:ascii="仿宋" w:hAnsi="仿宋" w:eastAsia="仿宋"/>
          <w:color w:val="000000"/>
          <w:sz w:val="24"/>
        </w:rPr>
      </w:pPr>
      <w:r>
        <w:rPr>
          <w:rFonts w:ascii="仿宋" w:hAnsi="仿宋" w:eastAsia="仿宋"/>
          <w:color w:val="000000"/>
          <w:sz w:val="24"/>
        </w:rPr>
        <w:fldChar w:fldCharType="end"/>
      </w:r>
    </w:p>
    <w:p>
      <w:pPr>
        <w:pageBreakBefore w:val="0"/>
        <w:widowControl/>
        <w:kinsoku/>
        <w:wordWrap/>
        <w:overflowPunct/>
        <w:topLinePunct w:val="0"/>
        <w:bidi w:val="0"/>
        <w:spacing w:line="576" w:lineRule="exact"/>
        <w:jc w:val="both"/>
        <w:textAlignment w:val="auto"/>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pageBreakBefore w:val="0"/>
        <w:kinsoku/>
        <w:wordWrap/>
        <w:overflowPunct/>
        <w:topLinePunct w:val="0"/>
        <w:bidi w:val="0"/>
        <w:spacing w:line="576" w:lineRule="exact"/>
        <w:jc w:val="center"/>
        <w:textAlignment w:val="auto"/>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ageBreakBefore w:val="0"/>
        <w:widowControl/>
        <w:kinsoku/>
        <w:wordWrap/>
        <w:overflowPunct/>
        <w:topLinePunct w:val="0"/>
        <w:bidi w:val="0"/>
        <w:spacing w:line="576" w:lineRule="exact"/>
        <w:jc w:val="both"/>
        <w:textAlignment w:val="auto"/>
        <w:rPr>
          <w:rFonts w:ascii="黑体" w:eastAsia="黑体"/>
          <w:color w:val="000000"/>
          <w:sz w:val="32"/>
          <w:szCs w:val="32"/>
        </w:rPr>
      </w:pPr>
    </w:p>
    <w:p>
      <w:pPr>
        <w:pStyle w:val="3"/>
        <w:pageBreakBefore w:val="0"/>
        <w:widowControl w:val="0"/>
        <w:kinsoku/>
        <w:wordWrap/>
        <w:overflowPunct/>
        <w:topLinePunct w:val="0"/>
        <w:autoSpaceDE/>
        <w:autoSpaceDN/>
        <w:bidi w:val="0"/>
        <w:spacing w:before="0" w:after="0" w:line="576" w:lineRule="exact"/>
        <w:jc w:val="both"/>
        <w:textAlignment w:val="auto"/>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pageBreakBefore w:val="0"/>
        <w:widowControl w:val="0"/>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eastAsia" w:ascii="楷体_GB2312" w:hAnsi="楷体_GB2312" w:eastAsia="楷体_GB2312" w:cs="楷体_GB2312"/>
          <w:bCs/>
          <w:color w:val="000000"/>
          <w:sz w:val="32"/>
          <w:szCs w:val="32"/>
        </w:rPr>
      </w:pPr>
      <w:bookmarkStart w:id="16" w:name="_Toc15378445"/>
      <w:bookmarkStart w:id="17" w:name="_Toc15377198"/>
      <w:r>
        <w:rPr>
          <w:rFonts w:hint="eastAsia" w:ascii="楷体_GB2312" w:hAnsi="楷体_GB2312" w:eastAsia="楷体_GB2312" w:cs="楷体_GB2312"/>
          <w:bCs/>
          <w:color w:val="000000"/>
          <w:sz w:val="32"/>
          <w:szCs w:val="32"/>
        </w:rPr>
        <w:t>（一）主要职能。</w:t>
      </w:r>
      <w:bookmarkEnd w:id="16"/>
      <w:bookmarkEnd w:id="17"/>
      <w:bookmarkStart w:id="18" w:name="_Toc15378446"/>
      <w:bookmarkStart w:id="19" w:name="_Toc15377199"/>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1.贯彻执行国家有关水行政管理工作的方针、政策和法律、法规，起草水务工作规范性文件并监督实施；拟定全市水务工作发展战略和中长期规划；组织编制有关水务方面的综合规划和专业规划并组织实施。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2.统一监督管理全市水资源（含空中水、地表水、地下水）。组织制定全市水资源总体规划、流域规划和专业规划；拟定全市和跨县区中长期供水计划、水量分配方案和旱情紧急情况下水量调度预案；组织开展全市国民经济发展总体规划、重大建设项目等有关水资源及防洪、抗旱、节水等方面的论证工作；组织实施取水许可、水资源有偿使用制度和水资源论证、防洪论证制度。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3.负责水资源保护工作。组织编制全市水资源和水源地保护规划；组织拟订江河水功能区划并监督实施；负责水文水资源和水文站网建设和管理；监测江河湖库和地下水的水量、水质；核定水域纳污能力，提出水域限制排污总量建议；指导饮水水源地保护工作；指导地下水开发利用和保护工作；指导地下水动态监测、评价和预报；负责计划用水、节约用水工作，指导和推动节水型社会建设工作。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4.负责全市水行政监察和水行政执法工作，协调、仲裁重大水事纠纷；负责编制、审查中小型水利基建项目，组织、指导全市农村水利基本建设；组织建设和管理重要水利工程；依法负责水利行业安全生产工作，组织、指导全市水库、大坝等水利工程的安全监管；组织实施水务行业工程建设的监督。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5.指导全市水利设施、水域及其岸线的管理与保护，负责全市堤防建设和管理；负责全市河道、水库、湖泊、河口滩涂的管理以及管护范围内砂石资源等的开发、利用和保护。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6.组织、协调全市农田水利基本建设、农村水利社会化服务体系建设；负责全市农村水利工作，负责全市乡镇集中供水、农村饮水安全、节水灌溉、排水等工程建设与管理工作；组织指导已建成农村水利工程的运行管理和除险加固工作；按规定指导农村水能资源开发工作；指导水电农村电气化和小水电代燃料工程；组织实施职责范围内的地方电力管理工作，指导水务行业地方电站、电网管理并实施技术监督。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7.负责全市水土保持工作。拟订全市水土保持规划并监督实施；组织实施全市水土流失的综合防治、监测预报工作；负责有关重大建设项目水土保持方案的审批、监督实施及水土保持设施的验收工作，指导重点水土保持建设项目的实施。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8.承担广元市防汛抗旱指挥部的日常工作。组织、协调、监督、指导全市防汛、抗旱工作；负责江河和重要水工程实施防洪抗旱调度和应急水量调度工作；组织编制全市防汛抗旱应急预案并组织实施；指导防汛突发公共事件的应急管理。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9.指导全市有关水利等项目的科学研究和技术推广；组织指导全市重大水利项目对外合作工作；承担水利行政复议和行政诉讼的应诉工作；指导全市水务行业队伍建设、服务体系建设；承担水利统计工作。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10.承担市政府公布的有关行政审批事项。  </w:t>
      </w:r>
    </w:p>
    <w:p>
      <w:pPr>
        <w:spacing w:line="576" w:lineRule="exact"/>
        <w:ind w:firstLine="640" w:firstLineChars="200"/>
        <w:rPr>
          <w:sz w:val="32"/>
          <w:szCs w:val="32"/>
        </w:rPr>
      </w:pPr>
      <w:r>
        <w:rPr>
          <w:rFonts w:hint="eastAsia" w:ascii="仿宋_GB2312" w:eastAsia="仿宋_GB2312"/>
          <w:color w:val="000000"/>
          <w:sz w:val="32"/>
          <w:szCs w:val="32"/>
        </w:rPr>
        <w:t>11.承办市政府交办的其他事项。</w:t>
      </w:r>
    </w:p>
    <w:p>
      <w:pPr>
        <w:pStyle w:val="5"/>
        <w:pageBreakBefore w:val="0"/>
        <w:widowControl w:val="0"/>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（二）2019年重点工作完成情况。</w:t>
      </w:r>
      <w:bookmarkEnd w:id="18"/>
      <w:bookmarkEnd w:id="19"/>
    </w:p>
    <w:p>
      <w:pPr>
        <w:pStyle w:val="5"/>
        <w:pageBreakBefore w:val="0"/>
        <w:widowControl w:val="0"/>
        <w:kinsoku/>
        <w:wordWrap/>
        <w:overflowPunct/>
        <w:topLinePunct w:val="0"/>
        <w:autoSpaceDE/>
        <w:autoSpaceDN/>
        <w:bidi w:val="0"/>
        <w:adjustRightInd w:val="0"/>
        <w:snapToGrid w:val="0"/>
        <w:spacing w:beforeLines="0" w:line="576" w:lineRule="exact"/>
        <w:ind w:firstLine="675" w:firstLineChars="210"/>
        <w:jc w:val="both"/>
        <w:textAlignment w:val="auto"/>
        <w:outlineLvl w:val="2"/>
        <w:rPr>
          <w:rFonts w:ascii="仿宋" w:hAnsi="仿宋" w:eastAsia="仿宋"/>
          <w:bCs/>
          <w:color w:val="000000"/>
          <w:sz w:val="32"/>
          <w:szCs w:val="32"/>
        </w:rPr>
      </w:pPr>
      <w:r>
        <w:rPr>
          <w:rFonts w:hint="eastAsia" w:hAnsi="楷体_GB2312" w:cs="楷体_GB2312"/>
          <w:b/>
          <w:sz w:val="32"/>
          <w:szCs w:val="32"/>
        </w:rPr>
        <w:t>1.争先创优迈上新台阶。</w:t>
      </w:r>
      <w:r>
        <w:rPr>
          <w:rFonts w:hint="eastAsia" w:hAnsi="仿宋_GB2312" w:cs="仿宋_GB2312"/>
          <w:sz w:val="32"/>
          <w:szCs w:val="32"/>
        </w:rPr>
        <w:t>通过层层评选推荐，市水利局被人力资源和社会保障部、水利部联合表彰为全国水利系统“先进集体”，这是我市水利综合工作近20年来获得的最高殊荣。同时，今年我市省10大主要河流嘉陵江干流市级河长</w:t>
      </w:r>
      <w:r>
        <w:rPr>
          <w:rFonts w:hint="eastAsia" w:hAnsi="仿宋_GB2312" w:cs="仿宋_GB2312"/>
          <w:sz w:val="32"/>
          <w:szCs w:val="32"/>
          <w:lang w:eastAsia="zh-CN"/>
        </w:rPr>
        <w:t>和</w:t>
      </w:r>
      <w:r>
        <w:rPr>
          <w:rFonts w:hint="eastAsia" w:hAnsi="仿宋_GB2312" w:cs="仿宋_GB2312"/>
          <w:sz w:val="32"/>
          <w:szCs w:val="32"/>
        </w:rPr>
        <w:t>市河长制办公室</w:t>
      </w:r>
      <w:r>
        <w:rPr>
          <w:rFonts w:hint="eastAsia" w:hAnsi="仿宋_GB2312" w:cs="仿宋_GB2312"/>
          <w:sz w:val="32"/>
          <w:szCs w:val="32"/>
          <w:lang w:eastAsia="zh-CN"/>
        </w:rPr>
        <w:t>工作及</w:t>
      </w:r>
      <w:r>
        <w:rPr>
          <w:rFonts w:hint="eastAsia" w:hAnsi="仿宋_GB2312" w:cs="仿宋_GB2312"/>
          <w:sz w:val="32"/>
          <w:szCs w:val="32"/>
          <w:lang w:val="en-US" w:eastAsia="zh-CN"/>
        </w:rPr>
        <w:t>水土保持目标责任制工作</w:t>
      </w:r>
      <w:r>
        <w:rPr>
          <w:rFonts w:hint="eastAsia" w:hAnsi="仿宋_GB2312" w:cs="仿宋_GB2312"/>
          <w:sz w:val="32"/>
          <w:szCs w:val="32"/>
          <w:lang w:eastAsia="zh-CN"/>
        </w:rPr>
        <w:t>在全省考核中获评优秀等次。</w:t>
      </w:r>
    </w:p>
    <w:p>
      <w:pPr>
        <w:pageBreakBefore w:val="0"/>
        <w:widowControl w:val="0"/>
        <w:kinsoku/>
        <w:wordWrap/>
        <w:overflowPunct/>
        <w:topLinePunct w:val="0"/>
        <w:autoSpaceDE/>
        <w:autoSpaceDN/>
        <w:bidi w:val="0"/>
        <w:spacing w:line="576" w:lineRule="exact"/>
        <w:ind w:firstLine="643" w:firstLineChars="200"/>
        <w:jc w:val="both"/>
        <w:textAlignment w:val="auto"/>
        <w:rPr>
          <w:rFonts w:ascii="仿宋_GB2312" w:eastAsia="仿宋_GB2312"/>
          <w:sz w:val="32"/>
          <w:szCs w:val="32"/>
        </w:rPr>
      </w:pPr>
      <w:r>
        <w:rPr>
          <w:rFonts w:hint="eastAsia" w:ascii="仿宋_GB2312" w:hAnsi="楷体_GB2312" w:eastAsia="仿宋_GB2312" w:cs="楷体_GB2312"/>
          <w:b/>
          <w:sz w:val="32"/>
          <w:szCs w:val="32"/>
        </w:rPr>
        <w:t>2.水利资金争取逐年增长。</w:t>
      </w:r>
      <w:r>
        <w:rPr>
          <w:rFonts w:hint="eastAsia" w:ascii="仿宋_GB2312" w:eastAsia="仿宋_GB2312"/>
          <w:sz w:val="32"/>
          <w:szCs w:val="32"/>
        </w:rPr>
        <w:t>紧紧围绕解决境内工程性、区域性、季节性缺水难题，深入落实“项目年”工作部署，全面聚焦大项目、全力攻坚大项目、全新服务大项目，争取中央、省级水利财政资金7.56亿元，较去年增长3.6%，完成水利固定资产投资22亿元。成功签约投资亿元以上（旺苍县城区河道综合整治项目）项目1个，到位资金1.2亿元，占全年目标100%。</w:t>
      </w:r>
    </w:p>
    <w:p>
      <w:pPr>
        <w:pageBreakBefore w:val="0"/>
        <w:widowControl w:val="0"/>
        <w:kinsoku/>
        <w:wordWrap/>
        <w:overflowPunct/>
        <w:topLinePunct w:val="0"/>
        <w:autoSpaceDE/>
        <w:autoSpaceDN/>
        <w:bidi w:val="0"/>
        <w:spacing w:line="576" w:lineRule="exact"/>
        <w:ind w:firstLine="643" w:firstLineChars="200"/>
        <w:jc w:val="both"/>
        <w:textAlignment w:val="auto"/>
        <w:rPr>
          <w:rFonts w:ascii="仿宋_GB2312" w:hAnsi="仿宋_GB2312" w:eastAsia="仿宋_GB2312" w:cs="仿宋_GB2312"/>
          <w:kern w:val="0"/>
          <w:sz w:val="32"/>
          <w:szCs w:val="32"/>
        </w:rPr>
      </w:pPr>
      <w:r>
        <w:rPr>
          <w:rStyle w:val="14"/>
          <w:rFonts w:hint="eastAsia" w:ascii="仿宋_GB2312" w:eastAsia="仿宋_GB2312"/>
          <w:bCs/>
          <w:sz w:val="32"/>
          <w:szCs w:val="32"/>
        </w:rPr>
        <w:t>3.河长制湖长制稳步推进。</w:t>
      </w:r>
      <w:r>
        <w:rPr>
          <w:rFonts w:hint="eastAsia" w:ascii="仿宋_GB2312" w:hAnsi="仿宋_GB2312" w:eastAsia="仿宋_GB2312" w:cs="仿宋_GB2312"/>
          <w:kern w:val="0"/>
          <w:sz w:val="32"/>
          <w:szCs w:val="32"/>
        </w:rPr>
        <w:t>大力推进清河、护岸、净水、保水“四项行动”，扎实开展河湖“清四乱”、入河排污口、岸线保护、非法采砂、固体废物排查、黑臭水体治理等专项整治，全市市级河流水质达标率100%。其中：嘉陵江、白龙江、东河、清江河等主要河流水质稳定达到Ⅱ类标准，白龙江流域断面水质达I类标准。扎实推进河湖跨地区联防联控联治，完成广元与巴中、南充、绵阳市界河流联防联控联治合作协议签署。</w:t>
      </w:r>
    </w:p>
    <w:p>
      <w:pPr>
        <w:pageBreakBefore w:val="0"/>
        <w:widowControl w:val="0"/>
        <w:kinsoku/>
        <w:wordWrap/>
        <w:overflowPunct/>
        <w:topLinePunct w:val="0"/>
        <w:autoSpaceDE/>
        <w:autoSpaceDN/>
        <w:bidi w:val="0"/>
        <w:spacing w:line="576" w:lineRule="exact"/>
        <w:ind w:firstLine="643" w:firstLineChars="200"/>
        <w:jc w:val="both"/>
        <w:textAlignment w:val="auto"/>
        <w:rPr>
          <w:rFonts w:ascii="仿宋_GB2312" w:eastAsia="仿宋_GB2312"/>
        </w:rPr>
      </w:pPr>
      <w:r>
        <w:rPr>
          <w:rStyle w:val="14"/>
          <w:rFonts w:hint="eastAsia" w:ascii="仿宋_GB2312" w:eastAsia="仿宋_GB2312"/>
          <w:sz w:val="32"/>
          <w:szCs w:val="32"/>
        </w:rPr>
        <w:t>4.</w:t>
      </w:r>
      <w:r>
        <w:rPr>
          <w:rFonts w:hint="eastAsia" w:ascii="仿宋_GB2312" w:hAnsi="楷体_GB2312" w:eastAsia="仿宋_GB2312" w:cs="楷体_GB2312"/>
          <w:b/>
          <w:sz w:val="32"/>
          <w:szCs w:val="32"/>
        </w:rPr>
        <w:t>重点项目取得突破进展。</w:t>
      </w:r>
      <w:r>
        <w:rPr>
          <w:rFonts w:hint="eastAsia" w:ascii="仿宋_GB2312" w:eastAsia="仿宋_GB2312"/>
          <w:sz w:val="32"/>
          <w:szCs w:val="32"/>
        </w:rPr>
        <w:t>骨干水源工程建设步伐加快，全市续建的10座中小型水库已完成主体工程8座。其中：乐园、曲河、双峡湖等3座中型水库大坝主体工程完工并具备下闸蓄水条件；大寨、雷家河水库坝体填筑总工程量60%；梅岭关、二郎关、西官、剑门、杨家河等5座小型水库下闸蓄水。新开工苍溪龙狮、黑山两座小型水库。全面启动嘉陵江朝天三滩堤防、白龙江鸭浮天雄堤防等9个干流堤防工程，完成新建加固堤防12公里。</w:t>
      </w:r>
    </w:p>
    <w:p>
      <w:pPr>
        <w:pageBreakBefore w:val="0"/>
        <w:widowControl w:val="0"/>
        <w:kinsoku/>
        <w:wordWrap/>
        <w:overflowPunct/>
        <w:topLinePunct w:val="0"/>
        <w:autoSpaceDE/>
        <w:autoSpaceDN/>
        <w:bidi w:val="0"/>
        <w:spacing w:line="576" w:lineRule="exact"/>
        <w:ind w:firstLine="643" w:firstLineChars="200"/>
        <w:jc w:val="both"/>
        <w:textAlignment w:val="auto"/>
        <w:rPr>
          <w:rFonts w:ascii="仿宋_GB2312" w:eastAsia="仿宋_GB2312"/>
          <w:sz w:val="32"/>
          <w:szCs w:val="32"/>
        </w:rPr>
      </w:pPr>
      <w:r>
        <w:rPr>
          <w:rStyle w:val="14"/>
          <w:rFonts w:hint="eastAsia" w:ascii="仿宋_GB2312" w:eastAsia="仿宋_GB2312"/>
          <w:sz w:val="32"/>
          <w:szCs w:val="32"/>
        </w:rPr>
        <w:t>5.水利脱贫攻坚再战再胜。</w:t>
      </w:r>
      <w:r>
        <w:rPr>
          <w:rFonts w:hint="eastAsia" w:ascii="仿宋_GB2312" w:eastAsia="仿宋_GB2312"/>
          <w:sz w:val="32"/>
          <w:szCs w:val="32"/>
        </w:rPr>
        <w:t>认真贯彻习近平总书记在解决“两不愁三保障”突出问题座谈会上提出的重点解决储水供水和水质达标问题工作要求，</w:t>
      </w:r>
      <w:r>
        <w:rPr>
          <w:rFonts w:hint="eastAsia" w:ascii="仿宋_GB2312" w:hAnsi="黑体" w:eastAsia="仿宋_GB2312"/>
          <w:sz w:val="32"/>
          <w:szCs w:val="32"/>
        </w:rPr>
        <w:t>落实各类</w:t>
      </w:r>
      <w:r>
        <w:rPr>
          <w:rFonts w:hint="eastAsia" w:ascii="仿宋_GB2312" w:eastAsia="仿宋_GB2312"/>
          <w:sz w:val="32"/>
          <w:szCs w:val="32"/>
        </w:rPr>
        <w:t>水利扶贫资金</w:t>
      </w:r>
      <w:r>
        <w:rPr>
          <w:rFonts w:hint="eastAsia" w:ascii="仿宋_GB2312" w:hAnsi="黑体" w:eastAsia="仿宋_GB2312"/>
          <w:sz w:val="32"/>
          <w:szCs w:val="32"/>
        </w:rPr>
        <w:t>5.84亿元，大力</w:t>
      </w:r>
      <w:r>
        <w:rPr>
          <w:rFonts w:hint="eastAsia" w:ascii="仿宋_GB2312" w:eastAsia="仿宋_GB2312"/>
          <w:sz w:val="32"/>
          <w:szCs w:val="32"/>
        </w:rPr>
        <w:t>实施农村饮水安全巩固提升工程，建成各类农村供水工程1523处,覆盖农村人口10万人，实现年度脱贫的97个贫困村3.2万人建卡立档贫困人口全覆盖。</w:t>
      </w:r>
    </w:p>
    <w:p>
      <w:pPr>
        <w:pageBreakBefore w:val="0"/>
        <w:widowControl w:val="0"/>
        <w:kinsoku/>
        <w:wordWrap/>
        <w:overflowPunct/>
        <w:topLinePunct w:val="0"/>
        <w:autoSpaceDE/>
        <w:autoSpaceDN/>
        <w:bidi w:val="0"/>
        <w:spacing w:line="576" w:lineRule="exact"/>
        <w:ind w:firstLine="643" w:firstLineChars="200"/>
        <w:jc w:val="both"/>
        <w:textAlignment w:val="auto"/>
        <w:rPr>
          <w:rFonts w:ascii="仿宋_GB2312" w:eastAsia="仿宋_GB2312"/>
          <w:sz w:val="32"/>
          <w:szCs w:val="32"/>
        </w:rPr>
      </w:pPr>
      <w:r>
        <w:rPr>
          <w:rStyle w:val="14"/>
          <w:rFonts w:hint="eastAsia" w:ascii="仿宋_GB2312" w:eastAsia="仿宋_GB2312"/>
          <w:sz w:val="32"/>
          <w:szCs w:val="32"/>
        </w:rPr>
        <w:t>6.防汛减灾取得新胜利。</w:t>
      </w:r>
      <w:r>
        <w:rPr>
          <w:rFonts w:hint="eastAsia" w:ascii="仿宋_GB2312" w:hAnsi="仿宋" w:eastAsia="仿宋_GB2312"/>
          <w:kern w:val="0"/>
          <w:sz w:val="32"/>
          <w:szCs w:val="32"/>
        </w:rPr>
        <w:t>深入贯彻“两个坚持、三个转变”防灾减灾救灾新理念，</w:t>
      </w:r>
      <w:r>
        <w:rPr>
          <w:rFonts w:hint="eastAsia" w:ascii="仿宋_GB2312" w:hAnsi="仿宋_GB2312" w:eastAsia="仿宋_GB2312" w:cs="仿宋_GB2312"/>
          <w:sz w:val="32"/>
          <w:szCs w:val="32"/>
        </w:rPr>
        <w:t>认真落实中央、省、市防汛抗旱机构改革工作部署，及时成立广元市防汛抗旱指挥部</w:t>
      </w:r>
      <w:r>
        <w:rPr>
          <w:rFonts w:hint="eastAsia" w:ascii="仿宋_GB2312" w:hAnsi="仿宋" w:eastAsia="仿宋_GB2312" w:cs="仿宋_GB2312"/>
          <w:sz w:val="32"/>
          <w:szCs w:val="32"/>
        </w:rPr>
        <w:t>，</w:t>
      </w:r>
      <w:r>
        <w:rPr>
          <w:rFonts w:hint="eastAsia" w:ascii="仿宋_GB2312" w:hAnsi="仿宋_GB2312" w:eastAsia="仿宋_GB2312" w:cs="仿宋_GB2312"/>
          <w:sz w:val="32"/>
        </w:rPr>
        <w:t>全面夯实</w:t>
      </w:r>
      <w:r>
        <w:rPr>
          <w:rFonts w:hint="eastAsia" w:ascii="仿宋_GB2312" w:hAnsi="仿宋_GB2312" w:eastAsia="仿宋_GB2312" w:cs="仿宋_GB2312"/>
          <w:sz w:val="32"/>
          <w:szCs w:val="32"/>
        </w:rPr>
        <w:t>防汛责任、预案编制、</w:t>
      </w:r>
      <w:r>
        <w:rPr>
          <w:rFonts w:hint="eastAsia" w:ascii="仿宋_GB2312" w:hAnsi="仿宋" w:eastAsia="仿宋_GB2312" w:cs="仿宋_GB2312"/>
          <w:sz w:val="32"/>
          <w:szCs w:val="32"/>
        </w:rPr>
        <w:t>物资准备、</w:t>
      </w:r>
      <w:r>
        <w:rPr>
          <w:rFonts w:hint="eastAsia" w:ascii="仿宋_GB2312" w:hAnsi="仿宋_GB2312" w:eastAsia="仿宋_GB2312" w:cs="仿宋_GB2312"/>
          <w:sz w:val="32"/>
          <w:szCs w:val="32"/>
        </w:rPr>
        <w:t>隐患排查、监测预警、值班值守等关键环节，</w:t>
      </w:r>
      <w:r>
        <w:rPr>
          <w:rFonts w:hint="eastAsia" w:ascii="仿宋_GB2312" w:eastAsia="仿宋_GB2312"/>
          <w:sz w:val="32"/>
          <w:szCs w:val="32"/>
        </w:rPr>
        <w:t>有效应对</w:t>
      </w:r>
      <w:r>
        <w:rPr>
          <w:rFonts w:hint="eastAsia" w:ascii="仿宋_GB2312" w:hAnsi="仿宋" w:eastAsia="仿宋_GB2312"/>
          <w:sz w:val="32"/>
          <w:szCs w:val="32"/>
        </w:rPr>
        <w:t>“6.30”“7.9”“7.18”等强降雨天气，</w:t>
      </w:r>
      <w:r>
        <w:rPr>
          <w:rFonts w:hint="eastAsia" w:ascii="仿宋_GB2312" w:eastAsia="仿宋_GB2312"/>
          <w:sz w:val="32"/>
          <w:szCs w:val="32"/>
        </w:rPr>
        <w:t>最大限度保证了人民群众生命财产安全。</w:t>
      </w:r>
    </w:p>
    <w:p>
      <w:pPr>
        <w:pageBreakBefore w:val="0"/>
        <w:widowControl w:val="0"/>
        <w:kinsoku/>
        <w:wordWrap/>
        <w:overflowPunct/>
        <w:topLinePunct w:val="0"/>
        <w:autoSpaceDE/>
        <w:autoSpaceDN/>
        <w:bidi w:val="0"/>
        <w:spacing w:line="576" w:lineRule="exact"/>
        <w:ind w:firstLine="643" w:firstLineChars="200"/>
        <w:jc w:val="both"/>
        <w:textAlignment w:val="auto"/>
        <w:rPr>
          <w:rFonts w:ascii="仿宋_GB2312" w:hAnsi="仿宋_GB2312" w:eastAsia="仿宋_GB2312" w:cs="仿宋_GB2312"/>
          <w:kern w:val="0"/>
          <w:sz w:val="32"/>
          <w:szCs w:val="32"/>
        </w:rPr>
      </w:pPr>
      <w:r>
        <w:rPr>
          <w:rStyle w:val="14"/>
          <w:rFonts w:hint="eastAsia" w:ascii="仿宋_GB2312" w:eastAsia="仿宋_GB2312"/>
          <w:sz w:val="32"/>
          <w:szCs w:val="32"/>
        </w:rPr>
        <w:t>7.水生态建设成效显著。</w:t>
      </w:r>
      <w:r>
        <w:rPr>
          <w:rFonts w:hint="eastAsia" w:ascii="仿宋_GB2312" w:hAnsi="仿宋_GB2312" w:eastAsia="仿宋_GB2312" w:cs="仿宋_GB2312"/>
          <w:kern w:val="0"/>
          <w:sz w:val="32"/>
          <w:szCs w:val="32"/>
        </w:rPr>
        <w:t>坚持合理开发、优化配置、全面节约、有效保护水资源，严格落实最严格水资源管理制度，编制印发《广元市水资源综合规划》，最严格水资源管理体系和规划体系基本形成，水资源管理逐步走上法制化、规范化的管理轨道。全面落实中央环保督查反馈问题整改要求，62座水电站全部完成下泄生态流量泄放措施，通过市、县核查验收销号。深入开展水土流失综合治理，治理面积300平方公里。</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pageBreakBefore w:val="0"/>
        <w:widowControl w:val="0"/>
        <w:kinsoku/>
        <w:wordWrap/>
        <w:overflowPunct/>
        <w:topLinePunct w:val="0"/>
        <w:autoSpaceDE/>
        <w:autoSpaceDN/>
        <w:bidi w:val="0"/>
        <w:adjustRightInd w:val="0"/>
        <w:snapToGrid w:val="0"/>
        <w:spacing w:beforeLines="0" w:line="576" w:lineRule="exact"/>
        <w:ind w:firstLine="672" w:firstLineChars="210"/>
        <w:jc w:val="both"/>
        <w:textAlignment w:val="auto"/>
        <w:rPr>
          <w:rFonts w:hAnsi="宋体" w:cs="宋体"/>
          <w:sz w:val="32"/>
          <w:szCs w:val="32"/>
        </w:rPr>
      </w:pPr>
      <w:r>
        <w:rPr>
          <w:sz w:val="32"/>
          <w:szCs w:val="32"/>
        </w:rPr>
        <w:t>广元市水利局内设10个职能科室，下属事业单位6个（其中参照公务员法管理的事业单位2个，其他事业单位4个。参公单位：广元市水土保持站、广元市水务综合监察支队；其它事业单位：四川省广元水土保持生态环境监测分站、广元市水利水电工程质量安全事务中心、广元市栖凤湖事务中心、广元市河湖管理保护总站）。</w:t>
      </w:r>
    </w:p>
    <w:p>
      <w:pPr>
        <w:pStyle w:val="5"/>
        <w:pageBreakBefore w:val="0"/>
        <w:kinsoku/>
        <w:wordWrap/>
        <w:overflowPunct/>
        <w:topLinePunct w:val="0"/>
        <w:bidi w:val="0"/>
        <w:adjustRightInd w:val="0"/>
        <w:snapToGrid w:val="0"/>
        <w:spacing w:beforeLines="0" w:line="576" w:lineRule="exact"/>
        <w:ind w:firstLine="672" w:firstLineChars="210"/>
        <w:jc w:val="center"/>
        <w:textAlignment w:val="auto"/>
        <w:rPr>
          <w:rFonts w:hAnsi="宋体" w:cs="宋体"/>
          <w:sz w:val="32"/>
          <w:szCs w:val="32"/>
        </w:rPr>
      </w:pPr>
    </w:p>
    <w:p>
      <w:pPr>
        <w:pStyle w:val="2"/>
        <w:pageBreakBefore w:val="0"/>
        <w:kinsoku/>
        <w:wordWrap/>
        <w:overflowPunct/>
        <w:topLinePunct w:val="0"/>
        <w:bidi w:val="0"/>
        <w:spacing w:line="576" w:lineRule="exact"/>
        <w:ind w:right="440"/>
        <w:jc w:val="center"/>
        <w:textAlignment w:val="auto"/>
        <w:rPr>
          <w:rFonts w:ascii="黑体" w:hAnsi="黑体" w:eastAsia="黑体"/>
          <w:b w:val="0"/>
          <w:bCs w:val="0"/>
        </w:rPr>
      </w:pPr>
      <w:bookmarkStart w:id="22" w:name="_Toc15396602"/>
      <w:bookmarkStart w:id="23" w:name="_Toc15377204"/>
      <w:r>
        <w:rPr>
          <w:rFonts w:hint="eastAsia" w:ascii="黑体" w:hAnsi="黑体" w:eastAsia="黑体"/>
          <w:b w:val="0"/>
          <w:color w:val="000000"/>
          <w:lang w:val="en-US" w:eastAsia="zh-CN"/>
        </w:rPr>
        <w:t xml:space="preserve">   </w:t>
      </w:r>
      <w:r>
        <w:rPr>
          <w:rFonts w:hint="eastAsia" w:ascii="黑体" w:hAnsi="黑体" w:eastAsia="黑体"/>
          <w:b w:val="0"/>
          <w:color w:val="000000"/>
        </w:rPr>
        <w:t>第二部分</w:t>
      </w:r>
      <w:r>
        <w:rPr>
          <w:rStyle w:val="24"/>
          <w:rFonts w:hint="eastAsia" w:ascii="黑体" w:hAnsi="黑体" w:eastAsia="黑体"/>
          <w:b w:val="0"/>
          <w:bCs w:val="0"/>
        </w:rPr>
        <w:t>2019年度部门决算情况说明</w:t>
      </w:r>
      <w:bookmarkEnd w:id="22"/>
      <w:bookmarkEnd w:id="23"/>
    </w:p>
    <w:p>
      <w:pPr>
        <w:pStyle w:val="23"/>
        <w:pageBreakBefore w:val="0"/>
        <w:numPr>
          <w:ilvl w:val="0"/>
          <w:numId w:val="1"/>
        </w:numPr>
        <w:kinsoku/>
        <w:wordWrap/>
        <w:overflowPunct/>
        <w:topLinePunct w:val="0"/>
        <w:bidi w:val="0"/>
        <w:spacing w:line="576" w:lineRule="exact"/>
        <w:ind w:firstLineChars="0"/>
        <w:jc w:val="both"/>
        <w:textAlignment w:val="auto"/>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pageBreakBefore w:val="0"/>
        <w:kinsoku/>
        <w:wordWrap/>
        <w:overflowPunct/>
        <w:topLinePunct w:val="0"/>
        <w:bidi w:val="0"/>
        <w:spacing w:line="576"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2019年度收、支总计4197.68万元。与2018年相比，收、支总计各减少1634.74万元，减少28.03%。主要变动原因是一般公共预算财政拨款收入1693.87万元，比上年增加19.5万元，政府性基金预算财政拨款645万元，比上年减少175万元，水利建设专项资金等其他收入716.68万元，比上年减少734.41万元，年初结转1142.13万元，比上年减少744.82万元。</w:t>
      </w:r>
    </w:p>
    <w:p>
      <w:pPr>
        <w:pStyle w:val="23"/>
        <w:pageBreakBefore w:val="0"/>
        <w:numPr>
          <w:ilvl w:val="0"/>
          <w:numId w:val="1"/>
        </w:numPr>
        <w:kinsoku/>
        <w:wordWrap/>
        <w:overflowPunct/>
        <w:topLinePunct w:val="0"/>
        <w:bidi w:val="0"/>
        <w:spacing w:line="576" w:lineRule="exact"/>
        <w:ind w:firstLineChars="0"/>
        <w:jc w:val="both"/>
        <w:textAlignment w:val="auto"/>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pageBreakBefore w:val="0"/>
        <w:kinsoku/>
        <w:wordWrap/>
        <w:overflowPunct/>
        <w:topLinePunct w:val="0"/>
        <w:bidi w:val="0"/>
        <w:spacing w:line="576" w:lineRule="exact"/>
        <w:ind w:firstLine="640" w:firstLineChars="200"/>
        <w:jc w:val="both"/>
        <w:textAlignment w:val="auto"/>
        <w:outlineLvl w:val="1"/>
        <w:rPr>
          <w:rFonts w:hint="eastAsia" w:ascii="仿宋_GB2312" w:hAnsi="仿宋" w:eastAsia="仿宋_GB2312"/>
          <w:sz w:val="32"/>
          <w:szCs w:val="32"/>
        </w:rPr>
      </w:pPr>
      <w:r>
        <w:rPr>
          <w:rFonts w:hint="eastAsia" w:ascii="仿宋_GB2312" w:hAnsi="仿宋" w:eastAsia="仿宋_GB2312"/>
          <w:sz w:val="32"/>
          <w:szCs w:val="32"/>
        </w:rPr>
        <w:t>本年收入合计3055.55万元，其中：一般公共预算财政拨款收入1693.87万元，占55.44%；政府性基金预算财政拨款收入645万元，占21.11%；其他收入716.68万元，占23.45%。</w:t>
      </w:r>
    </w:p>
    <w:p>
      <w:pPr>
        <w:pStyle w:val="23"/>
        <w:pageBreakBefore w:val="0"/>
        <w:numPr>
          <w:ilvl w:val="0"/>
          <w:numId w:val="1"/>
        </w:numPr>
        <w:kinsoku/>
        <w:wordWrap/>
        <w:overflowPunct/>
        <w:topLinePunct w:val="0"/>
        <w:bidi w:val="0"/>
        <w:spacing w:line="576" w:lineRule="exact"/>
        <w:ind w:firstLineChars="0"/>
        <w:jc w:val="both"/>
        <w:textAlignment w:val="auto"/>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pageBreakBefore w:val="0"/>
        <w:kinsoku/>
        <w:wordWrap/>
        <w:overflowPunct/>
        <w:topLinePunct w:val="0"/>
        <w:bidi w:val="0"/>
        <w:spacing w:line="576" w:lineRule="exact"/>
        <w:ind w:firstLine="640"/>
        <w:jc w:val="both"/>
        <w:textAlignment w:val="auto"/>
        <w:rPr>
          <w:rFonts w:ascii="仿宋_GB2312" w:hAnsi="仿宋" w:eastAsia="仿宋_GB2312"/>
          <w:sz w:val="32"/>
          <w:szCs w:val="32"/>
          <w:shd w:val="pct10" w:color="auto" w:fill="FFFFFF"/>
        </w:rPr>
      </w:pPr>
      <w:r>
        <w:rPr>
          <w:rFonts w:hint="eastAsia" w:ascii="仿宋_GB2312" w:hAnsi="仿宋" w:eastAsia="仿宋_GB2312"/>
          <w:sz w:val="32"/>
          <w:szCs w:val="32"/>
        </w:rPr>
        <w:t>本年支出合计3580.94万元，其中：基本支出1295.66万元，占36.18%；项目支出2285.28万元，占63.82%。</w:t>
      </w:r>
    </w:p>
    <w:p>
      <w:pPr>
        <w:pageBreakBefore w:val="0"/>
        <w:kinsoku/>
        <w:wordWrap/>
        <w:overflowPunct/>
        <w:topLinePunct w:val="0"/>
        <w:bidi w:val="0"/>
        <w:spacing w:line="576" w:lineRule="exact"/>
        <w:ind w:firstLine="640" w:firstLineChars="200"/>
        <w:jc w:val="both"/>
        <w:textAlignment w:val="auto"/>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576"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2019年财政拨款收、支总计3211.72万元。与2018年相比，财政拨款收、支总计各减少388.72万元，减少10.80%。主要变动原因是政府性基金预算财政拨款收、支减少及年初财政拨款结转减少。</w:t>
      </w:r>
    </w:p>
    <w:p>
      <w:pPr>
        <w:pageBreakBefore w:val="0"/>
        <w:kinsoku/>
        <w:wordWrap/>
        <w:overflowPunct/>
        <w:topLinePunct w:val="0"/>
        <w:bidi w:val="0"/>
        <w:spacing w:line="576" w:lineRule="exact"/>
        <w:ind w:firstLine="640" w:firstLineChars="200"/>
        <w:jc w:val="both"/>
        <w:textAlignment w:val="auto"/>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576" w:lineRule="exact"/>
        <w:ind w:firstLine="643" w:firstLineChars="200"/>
        <w:jc w:val="both"/>
        <w:textAlignment w:val="auto"/>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pageBreakBefore w:val="0"/>
        <w:kinsoku/>
        <w:wordWrap/>
        <w:overflowPunct/>
        <w:topLinePunct w:val="0"/>
        <w:bidi w:val="0"/>
        <w:spacing w:line="576"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2019年一般公共预算财政拨款支出1961.46万元，占本年支出合计的54.78%。与2018年相比，一般公共预算财政拨款支出减少217.29万元，减少9.97%。主要变动原因是项目支出减少。</w:t>
      </w:r>
    </w:p>
    <w:p>
      <w:pPr>
        <w:pageBreakBefore w:val="0"/>
        <w:kinsoku/>
        <w:wordWrap/>
        <w:overflowPunct/>
        <w:topLinePunct w:val="0"/>
        <w:bidi w:val="0"/>
        <w:spacing w:line="576" w:lineRule="exact"/>
        <w:ind w:firstLine="643" w:firstLineChars="200"/>
        <w:jc w:val="both"/>
        <w:textAlignment w:val="auto"/>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pageBreakBefore w:val="0"/>
        <w:kinsoku/>
        <w:wordWrap/>
        <w:overflowPunct/>
        <w:topLinePunct w:val="0"/>
        <w:bidi w:val="0"/>
        <w:spacing w:line="576"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2019年一般公共预算财政拨款支出1961.46万元，主要用于以下方面: 社会保障和就业（类）支出137.18万元，占6.99%；医疗卫生与计划生育支出（类）支出44.61万元，占2.27%；农林水支出1695.39万元，占86.44%；住房保障支出70.83万元，占3.61%；灾害防治及应急管理支出13.45万元，占0.69%。</w:t>
      </w:r>
    </w:p>
    <w:p>
      <w:pPr>
        <w:pageBreakBefore w:val="0"/>
        <w:kinsoku/>
        <w:wordWrap/>
        <w:overflowPunct/>
        <w:topLinePunct w:val="0"/>
        <w:bidi w:val="0"/>
        <w:spacing w:line="576" w:lineRule="exact"/>
        <w:ind w:firstLine="643" w:firstLineChars="200"/>
        <w:jc w:val="both"/>
        <w:textAlignment w:val="auto"/>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pageBreakBefore w:val="0"/>
        <w:kinsoku/>
        <w:wordWrap/>
        <w:overflowPunct/>
        <w:topLinePunct w:val="0"/>
        <w:bidi w:val="0"/>
        <w:spacing w:line="576" w:lineRule="exact"/>
        <w:ind w:firstLine="640" w:firstLineChars="200"/>
        <w:jc w:val="both"/>
        <w:textAlignment w:val="auto"/>
        <w:outlineLvl w:val="2"/>
        <w:rPr>
          <w:rStyle w:val="14"/>
          <w:rFonts w:ascii="仿宋_GB2312" w:hAnsi="仿宋" w:eastAsia="仿宋_GB2312"/>
          <w:b w:val="0"/>
          <w:bCs/>
          <w:sz w:val="32"/>
          <w:szCs w:val="32"/>
        </w:rPr>
      </w:pPr>
      <w:bookmarkStart w:id="37" w:name="_Toc15377213"/>
      <w:bookmarkStart w:id="38" w:name="_Toc15378460"/>
      <w:bookmarkStart w:id="39" w:name="_Toc15377444"/>
      <w:r>
        <w:rPr>
          <w:rFonts w:hint="eastAsia" w:ascii="仿宋_GB2312" w:hAnsi="仿宋" w:eastAsia="仿宋_GB2312"/>
          <w:sz w:val="32"/>
          <w:szCs w:val="32"/>
        </w:rPr>
        <w:t>2019年一般公共预算支出决算数为1961.46万元，</w:t>
      </w:r>
      <w:r>
        <w:rPr>
          <w:rStyle w:val="14"/>
          <w:rFonts w:hint="eastAsia" w:ascii="仿宋_GB2312" w:hAnsi="仿宋" w:eastAsia="仿宋_GB2312"/>
          <w:b w:val="0"/>
          <w:bCs/>
          <w:sz w:val="32"/>
          <w:szCs w:val="32"/>
        </w:rPr>
        <w:t>完成预算86.53%。其中：</w:t>
      </w:r>
      <w:bookmarkEnd w:id="37"/>
      <w:bookmarkEnd w:id="38"/>
      <w:bookmarkEnd w:id="39"/>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1.社会保障和就业（类）行政单位离退休（款）未归口管理的行政单位离退休（项）：支出决算为1.29万元，完成预算100%；</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2.社会保障和就业（类）行政单位离退休（款）机关事业单位基本养老保险缴费支出（项）：支出决算为75.60万元，完成预算100%；</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3.社会保障和就业（类）抚恤（款）死亡抚恤（项）：支出决算为60.30万元，完成预算100%；</w:t>
      </w:r>
    </w:p>
    <w:p>
      <w:pPr>
        <w:pageBreakBefore w:val="0"/>
        <w:kinsoku/>
        <w:wordWrap/>
        <w:overflowPunct/>
        <w:topLinePunct w:val="0"/>
        <w:bidi w:val="0"/>
        <w:spacing w:line="576" w:lineRule="exact"/>
        <w:ind w:firstLine="640" w:firstLineChars="200"/>
        <w:jc w:val="both"/>
        <w:textAlignment w:val="auto"/>
        <w:rPr>
          <w:rFonts w:ascii="仿宋_GB2312" w:hAnsi="仿宋" w:eastAsia="仿宋_GB2312"/>
          <w:b/>
          <w:sz w:val="32"/>
          <w:szCs w:val="32"/>
        </w:rPr>
      </w:pPr>
      <w:r>
        <w:rPr>
          <w:rStyle w:val="14"/>
          <w:rFonts w:hint="eastAsia" w:ascii="仿宋_GB2312" w:hAnsi="仿宋" w:eastAsia="仿宋_GB2312"/>
          <w:b w:val="0"/>
          <w:bCs/>
          <w:sz w:val="32"/>
          <w:szCs w:val="32"/>
        </w:rPr>
        <w:t>4.医疗卫生与计划生育（类）行政事业单位医疗（款）行政单位医疗（项）:支出决算为44.61万元，完成预算100%；</w:t>
      </w:r>
      <w:r>
        <w:rPr>
          <w:rFonts w:hint="eastAsia" w:ascii="仿宋_GB2312" w:hAnsi="仿宋" w:eastAsia="仿宋_GB2312"/>
          <w:b/>
          <w:sz w:val="32"/>
          <w:szCs w:val="32"/>
        </w:rPr>
        <w:t xml:space="preserve"> </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5.住房保障支出（类）住房改革支出（款）住房公积金（项）:支出决算为70.83万元，完成预算98.43%；</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6.</w:t>
      </w:r>
      <w:r>
        <w:rPr>
          <w:rFonts w:hint="eastAsia"/>
        </w:rPr>
        <w:t xml:space="preserve"> </w:t>
      </w:r>
      <w:r>
        <w:rPr>
          <w:rStyle w:val="14"/>
          <w:rFonts w:hint="eastAsia" w:ascii="仿宋_GB2312" w:hAnsi="仿宋" w:eastAsia="仿宋_GB2312"/>
          <w:b w:val="0"/>
          <w:bCs/>
          <w:sz w:val="32"/>
          <w:szCs w:val="32"/>
        </w:rPr>
        <w:t>节能环保支出（类）污染防治（款）水体（项）:支出决算为0万元，完成预算0%，决算数小于预算数的主要原因为项目跨年实施；</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7.农林水（类）水利（款）行政运行（项）:支出决算为1043.04万元，完成预算99.67%；</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8.农林水（类）水利（款）一般行政管理事务（项）:支出决算为24万元，完成预算25.53%，决算数小于预算数的主要原因是项目跨年，资金未全额支付；</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9.农林水（类）水利（款）水利行业业务管理（项）:支出决算为14.17万元，完成预算50.10%，决算数小于预算数的主要原因是项目跨年，资金未全额支付；</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10.农林水（类）水利（款）水利工程运行与维护（项）:支出决算为11.40万元，完成预算100%；</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11.农林水（类）水利（款）水利执法监督（项）:支出决算为1.84万元，完成预算100%；</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12.农林水（类）水利（款）水土保持（项）:支出决算为4.17万元，完成预算31.92%，决算数小于预算数的主要原因是项目跨年，资金未全额支付；</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13.农林水（类）水利（款）水资源节约与保护（项）:支出决算为37.81万元，完成预算63.02%，决算数小于预算数的主要原因是项目跨年，资金未全额支付；</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14.农林水（类）水利（款）水质监测（项）:支出决算为45.79万元，完成预算100%；</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15.农林水（类）水利（款）水文测报（项）:支出决算为287.20万元，完成预算100%；</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16.农林水（类）水利（款）防汛（项）:支出决算为40万元，完成预算100%；</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17.农林水（类）水利（款）水利安全监督（项）:支出决算为8.81万元，完成预算52.55%，决算数小于预算数的主要原因是项目跨年，资金未全额支付；</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18.农林水（类）水利（款）信息管理（项）:支出决算为2万元，完成预算100%；</w:t>
      </w:r>
    </w:p>
    <w:p>
      <w:pPr>
        <w:pageBreakBefore w:val="0"/>
        <w:kinsoku/>
        <w:wordWrap/>
        <w:overflowPunct/>
        <w:topLinePunct w:val="0"/>
        <w:bidi w:val="0"/>
        <w:spacing w:line="576" w:lineRule="exact"/>
        <w:ind w:firstLine="640" w:firstLineChars="200"/>
        <w:jc w:val="both"/>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19.农林水（类）水利（款）其他农林水支出（项）:支出决算为175.17万元，完成预算69.81%，决算数小于预算数的主要原因是项目跨年，资金未全额支付。</w:t>
      </w:r>
    </w:p>
    <w:p>
      <w:pPr>
        <w:pageBreakBefore w:val="0"/>
        <w:kinsoku/>
        <w:wordWrap/>
        <w:overflowPunct/>
        <w:topLinePunct w:val="0"/>
        <w:bidi w:val="0"/>
        <w:spacing w:line="576" w:lineRule="exact"/>
        <w:ind w:firstLine="640" w:firstLineChars="200"/>
        <w:jc w:val="both"/>
        <w:textAlignment w:val="auto"/>
        <w:rPr>
          <w:rFonts w:ascii="仿宋_GB2312" w:hAnsi="仿宋" w:eastAsia="仿宋_GB2312"/>
          <w:bCs/>
          <w:sz w:val="32"/>
          <w:szCs w:val="32"/>
        </w:rPr>
      </w:pPr>
      <w:r>
        <w:rPr>
          <w:rStyle w:val="14"/>
          <w:rFonts w:hint="eastAsia" w:ascii="仿宋_GB2312" w:hAnsi="仿宋" w:eastAsia="仿宋_GB2312"/>
          <w:b w:val="0"/>
          <w:bCs/>
          <w:sz w:val="32"/>
          <w:szCs w:val="32"/>
        </w:rPr>
        <w:t>20.</w:t>
      </w:r>
      <w:r>
        <w:rPr>
          <w:rFonts w:hint="eastAsia"/>
        </w:rPr>
        <w:t xml:space="preserve"> </w:t>
      </w:r>
      <w:r>
        <w:rPr>
          <w:rStyle w:val="14"/>
          <w:rFonts w:hint="eastAsia" w:ascii="仿宋_GB2312" w:hAnsi="仿宋" w:eastAsia="仿宋_GB2312"/>
          <w:b w:val="0"/>
          <w:bCs/>
          <w:sz w:val="32"/>
          <w:szCs w:val="32"/>
        </w:rPr>
        <w:t>灾害防治及应急管理支出（类）自然灾害救灾及恢复重建支出（款）自然灾害灾后重建补助（项）:支出决算为13.45万元，完成预算88.47%，决算数小于预算数的主要原因是项目跨年，资金未全额支付。</w:t>
      </w:r>
    </w:p>
    <w:p>
      <w:pPr>
        <w:pageBreakBefore w:val="0"/>
        <w:tabs>
          <w:tab w:val="right" w:pos="8306"/>
        </w:tabs>
        <w:kinsoku/>
        <w:wordWrap/>
        <w:overflowPunct/>
        <w:topLinePunct w:val="0"/>
        <w:bidi w:val="0"/>
        <w:spacing w:line="576" w:lineRule="exact"/>
        <w:ind w:firstLine="640"/>
        <w:jc w:val="both"/>
        <w:textAlignment w:val="auto"/>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p>
    <w:p>
      <w:pPr>
        <w:pageBreakBefore w:val="0"/>
        <w:kinsoku/>
        <w:wordWrap/>
        <w:overflowPunct/>
        <w:topLinePunct w:val="0"/>
        <w:bidi w:val="0"/>
        <w:spacing w:line="576" w:lineRule="exact"/>
        <w:ind w:firstLine="645"/>
        <w:jc w:val="both"/>
        <w:textAlignment w:val="auto"/>
        <w:rPr>
          <w:rFonts w:ascii="仿宋_GB2312" w:hAnsi="仿宋" w:eastAsia="仿宋_GB2312"/>
          <w:sz w:val="32"/>
          <w:szCs w:val="32"/>
        </w:rPr>
      </w:pPr>
      <w:r>
        <w:rPr>
          <w:rFonts w:hint="eastAsia" w:ascii="仿宋_GB2312" w:hAnsi="仿宋" w:eastAsia="仿宋_GB2312"/>
          <w:sz w:val="32"/>
          <w:szCs w:val="32"/>
        </w:rPr>
        <w:t>2019年一般公共预算财政拨款基本支出1295.66万元，其中：</w:t>
      </w:r>
    </w:p>
    <w:p>
      <w:pPr>
        <w:pageBreakBefore w:val="0"/>
        <w:kinsoku/>
        <w:wordWrap/>
        <w:overflowPunct/>
        <w:topLinePunct w:val="0"/>
        <w:bidi w:val="0"/>
        <w:spacing w:line="576" w:lineRule="exact"/>
        <w:ind w:firstLine="645"/>
        <w:jc w:val="both"/>
        <w:textAlignment w:val="auto"/>
        <w:rPr>
          <w:rFonts w:ascii="仿宋_GB2312" w:hAnsi="仿宋" w:eastAsia="仿宋_GB2312"/>
          <w:sz w:val="32"/>
          <w:szCs w:val="32"/>
        </w:rPr>
      </w:pPr>
      <w:r>
        <w:rPr>
          <w:rFonts w:hint="eastAsia" w:ascii="仿宋_GB2312" w:hAnsi="仿宋" w:eastAsia="仿宋_GB2312"/>
          <w:sz w:val="32"/>
          <w:szCs w:val="32"/>
        </w:rPr>
        <w:t>人员经费1029.85万元，主要包括：基本工资、津贴补贴、奖金、绩效工资、机关事业单位基本养老保险缴费、职工基本医疗保险缴费、其他社会保障缴费、其他工资福利支出、生活补助、救济费、奖励金、住房公积金。</w:t>
      </w:r>
      <w:r>
        <w:rPr>
          <w:rFonts w:hint="eastAsia" w:ascii="仿宋_GB2312" w:hAnsi="仿宋" w:eastAsia="仿宋_GB2312"/>
          <w:sz w:val="32"/>
          <w:szCs w:val="32"/>
        </w:rPr>
        <w:br w:type="textWrapping"/>
      </w:r>
      <w:r>
        <w:rPr>
          <w:rFonts w:hint="eastAsia" w:ascii="仿宋_GB2312" w:hAnsi="仿宋" w:eastAsia="仿宋_GB2312"/>
          <w:sz w:val="32"/>
          <w:szCs w:val="32"/>
        </w:rPr>
        <w:t>　　公用经费265.81万元，主要包括：办公费、印刷费、咨询费、手续费、水费、电费、邮电费、物业管理费、差旅费、维修（护）费、租赁费、会议费、培训费、公务接待费、工会经费、福利费、公务用车运行维护费、其他交通费、其他商品和服务支出、办公设备购置。</w:t>
      </w:r>
    </w:p>
    <w:p>
      <w:pPr>
        <w:pageBreakBefore w:val="0"/>
        <w:kinsoku/>
        <w:wordWrap/>
        <w:overflowPunct/>
        <w:topLinePunct w:val="0"/>
        <w:bidi w:val="0"/>
        <w:spacing w:line="576" w:lineRule="exact"/>
        <w:ind w:firstLine="640"/>
        <w:jc w:val="both"/>
        <w:textAlignment w:val="auto"/>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576" w:lineRule="exact"/>
        <w:ind w:firstLine="640"/>
        <w:jc w:val="both"/>
        <w:textAlignment w:val="auto"/>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pageBreakBefore w:val="0"/>
        <w:kinsoku/>
        <w:wordWrap/>
        <w:overflowPunct/>
        <w:topLinePunct w:val="0"/>
        <w:bidi w:val="0"/>
        <w:spacing w:line="576"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2019年“三公”经费财政拨款支出决算为43.32万元，完成预算99.13%，决算数小于预算数的主要原因是</w:t>
      </w:r>
      <w:r>
        <w:rPr>
          <w:rFonts w:hint="eastAsia" w:ascii="仿宋_GB2312" w:hAnsi="华文中宋" w:eastAsia="仿宋_GB2312"/>
          <w:sz w:val="32"/>
          <w:szCs w:val="32"/>
        </w:rPr>
        <w:t>进一步加强预算执行管理，严格控制公务接待人数，实行公车燃料集中采购和单车核算管理。</w:t>
      </w:r>
    </w:p>
    <w:p>
      <w:pPr>
        <w:pageBreakBefore w:val="0"/>
        <w:kinsoku/>
        <w:wordWrap/>
        <w:overflowPunct/>
        <w:topLinePunct w:val="0"/>
        <w:bidi w:val="0"/>
        <w:spacing w:line="576" w:lineRule="exact"/>
        <w:ind w:firstLine="640"/>
        <w:jc w:val="both"/>
        <w:textAlignment w:val="auto"/>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pageBreakBefore w:val="0"/>
        <w:kinsoku/>
        <w:wordWrap/>
        <w:overflowPunct/>
        <w:topLinePunct w:val="0"/>
        <w:bidi w:val="0"/>
        <w:spacing w:line="576"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2019年“三公”经费财政拨款支出决算中，因公出国（境）费支出决算0万元，占0%；公务用车购置及运行维护费支出决算39.86万元，占92.01%；公务接待费支出决算3.46万元，占7.99%。</w:t>
      </w:r>
    </w:p>
    <w:p>
      <w:pPr>
        <w:pageBreakBefore w:val="0"/>
        <w:kinsoku/>
        <w:wordWrap/>
        <w:overflowPunct/>
        <w:topLinePunct w:val="0"/>
        <w:bidi w:val="0"/>
        <w:spacing w:line="576" w:lineRule="exact"/>
        <w:ind w:firstLine="640"/>
        <w:jc w:val="both"/>
        <w:textAlignment w:val="auto"/>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sz w:val="32"/>
          <w:szCs w:val="32"/>
        </w:rPr>
        <w:t>0万元，</w:t>
      </w:r>
      <w:r>
        <w:rPr>
          <w:rStyle w:val="14"/>
          <w:rFonts w:hint="eastAsia" w:ascii="仿宋_GB2312" w:hAnsi="仿宋" w:eastAsia="仿宋_GB2312"/>
          <w:b w:val="0"/>
          <w:bCs/>
          <w:sz w:val="32"/>
          <w:szCs w:val="32"/>
        </w:rPr>
        <w:t>完成预算0%。</w:t>
      </w:r>
      <w:r>
        <w:rPr>
          <w:rFonts w:hint="eastAsia" w:ascii="仿宋_GB2312" w:eastAsia="仿宋_GB2312"/>
          <w:sz w:val="32"/>
          <w:szCs w:val="32"/>
        </w:rPr>
        <w:t>全</w:t>
      </w:r>
      <w:r>
        <w:rPr>
          <w:rFonts w:hint="eastAsia" w:ascii="仿宋_GB2312" w:eastAsia="仿宋_GB2312"/>
          <w:color w:val="000000"/>
          <w:sz w:val="32"/>
          <w:szCs w:val="32"/>
        </w:rPr>
        <w:t>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8年一致。</w:t>
      </w:r>
    </w:p>
    <w:p>
      <w:pPr>
        <w:pageBreakBefore w:val="0"/>
        <w:kinsoku/>
        <w:wordWrap/>
        <w:overflowPunct/>
        <w:topLinePunct w:val="0"/>
        <w:bidi w:val="0"/>
        <w:spacing w:line="576" w:lineRule="exact"/>
        <w:ind w:firstLine="640"/>
        <w:jc w:val="both"/>
        <w:textAlignment w:val="auto"/>
        <w:rPr>
          <w:rFonts w:ascii="仿宋_GB2312" w:eastAsia="仿宋_GB2312"/>
          <w:b/>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39.86万元,</w:t>
      </w:r>
      <w:r>
        <w:rPr>
          <w:rStyle w:val="14"/>
          <w:rFonts w:hint="eastAsia" w:ascii="仿宋_GB2312" w:hAnsi="仿宋" w:eastAsia="仿宋_GB2312"/>
          <w:b w:val="0"/>
          <w:bCs/>
          <w:sz w:val="32"/>
          <w:szCs w:val="32"/>
        </w:rPr>
        <w:t>完成预算99.65%。</w:t>
      </w:r>
      <w:r>
        <w:rPr>
          <w:rFonts w:hint="eastAsia" w:ascii="仿宋_GB2312" w:eastAsia="仿宋_GB2312"/>
          <w:sz w:val="32"/>
          <w:szCs w:val="32"/>
        </w:rPr>
        <w:t>公务用车购置及运行维护费支出决算比2018年减少1.57万元，下降3.79%。主要原因是</w:t>
      </w:r>
      <w:r>
        <w:rPr>
          <w:rFonts w:hint="eastAsia" w:ascii="仿宋_GB2312" w:hAnsi="华文中宋" w:eastAsia="仿宋_GB2312"/>
          <w:sz w:val="32"/>
          <w:szCs w:val="32"/>
        </w:rPr>
        <w:t>进一步加强预算执行管理，实行公车燃料集中采购和单车核算管理。</w:t>
      </w:r>
    </w:p>
    <w:p>
      <w:pPr>
        <w:pageBreakBefore w:val="0"/>
        <w:kinsoku/>
        <w:wordWrap/>
        <w:overflowPunct/>
        <w:topLinePunct w:val="0"/>
        <w:bidi w:val="0"/>
        <w:spacing w:line="576" w:lineRule="exact"/>
        <w:ind w:firstLine="640" w:firstLineChars="200"/>
        <w:jc w:val="both"/>
        <w:textAlignment w:val="auto"/>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月底，单位共有公务用车4辆，其中：轿车0辆、越野车4辆、载客汽车0辆。</w:t>
      </w:r>
    </w:p>
    <w:p>
      <w:pPr>
        <w:pageBreakBefore w:val="0"/>
        <w:kinsoku/>
        <w:wordWrap/>
        <w:overflowPunct/>
        <w:topLinePunct w:val="0"/>
        <w:bidi w:val="0"/>
        <w:spacing w:line="576" w:lineRule="exact"/>
        <w:ind w:firstLine="640"/>
        <w:jc w:val="both"/>
        <w:textAlignment w:val="auto"/>
        <w:rPr>
          <w:rFonts w:ascii="仿宋_GB2312" w:eastAsia="仿宋_GB2312"/>
          <w:color w:val="000000"/>
          <w:sz w:val="32"/>
          <w:szCs w:val="32"/>
        </w:rPr>
      </w:pPr>
      <w:r>
        <w:rPr>
          <w:rFonts w:hint="eastAsia" w:ascii="仿宋_GB2312" w:eastAsia="仿宋_GB2312"/>
          <w:color w:val="000000"/>
          <w:sz w:val="32"/>
          <w:szCs w:val="32"/>
        </w:rPr>
        <w:t>公务用车运行维护费支出39.86万元。主要用于</w:t>
      </w:r>
      <w:r>
        <w:rPr>
          <w:rFonts w:hint="eastAsia" w:ascii="仿宋_GB2312" w:eastAsia="仿宋_GB2312"/>
          <w:sz w:val="32"/>
          <w:szCs w:val="32"/>
        </w:rPr>
        <w:t>水质监测、防汛抗旱、水利执法检查、农村安全饮水、河长制、脱贫攻坚</w:t>
      </w:r>
      <w:r>
        <w:rPr>
          <w:rFonts w:hint="eastAsia" w:ascii="仿宋_GB2312" w:eastAsia="仿宋_GB2312"/>
          <w:color w:val="000000"/>
          <w:sz w:val="32"/>
          <w:szCs w:val="32"/>
        </w:rPr>
        <w:t>等所需的公务用车燃料费、维修费、过路过桥费、保险费等支出。</w:t>
      </w:r>
    </w:p>
    <w:p>
      <w:pPr>
        <w:pageBreakBefore w:val="0"/>
        <w:kinsoku/>
        <w:wordWrap/>
        <w:overflowPunct/>
        <w:topLinePunct w:val="0"/>
        <w:bidi w:val="0"/>
        <w:spacing w:line="576" w:lineRule="exact"/>
        <w:ind w:firstLine="640"/>
        <w:jc w:val="both"/>
        <w:textAlignment w:val="auto"/>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3.46万元，</w:t>
      </w:r>
      <w:r>
        <w:rPr>
          <w:rStyle w:val="14"/>
          <w:rFonts w:hint="eastAsia" w:ascii="仿宋_GB2312" w:hAnsi="仿宋" w:eastAsia="仿宋_GB2312"/>
          <w:b w:val="0"/>
          <w:bCs/>
          <w:color w:val="000000"/>
          <w:sz w:val="32"/>
          <w:szCs w:val="32"/>
        </w:rPr>
        <w:t>完成预算93.51%。</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8年减少0.06万元，下降1.70</w:t>
      </w:r>
      <w:r>
        <w:rPr>
          <w:rFonts w:ascii="仿宋_GB2312" w:eastAsia="仿宋_GB2312"/>
          <w:color w:val="000000"/>
          <w:sz w:val="32"/>
          <w:szCs w:val="32"/>
        </w:rPr>
        <w:t>%</w:t>
      </w:r>
      <w:r>
        <w:rPr>
          <w:rFonts w:hint="eastAsia" w:ascii="仿宋_GB2312" w:eastAsia="仿宋_GB2312"/>
          <w:color w:val="000000"/>
          <w:sz w:val="32"/>
          <w:szCs w:val="32"/>
        </w:rPr>
        <w:t>。主要原因是进一步加强内控管理，严格执行公务接待管理规定。</w:t>
      </w:r>
    </w:p>
    <w:p>
      <w:pPr>
        <w:pageBreakBefore w:val="0"/>
        <w:kinsoku/>
        <w:wordWrap/>
        <w:overflowPunct/>
        <w:topLinePunct w:val="0"/>
        <w:bidi w:val="0"/>
        <w:spacing w:line="576"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主要用于执行公务、开展业务活动开支的用餐费等。国内公务接待32批次，350人次，共计支出3.46万元，主要为接待上级部门来广督导检查调研水资源管理、防汛抗旱、河长制、扫黑除恶、脱贫攻坚等工作。</w:t>
      </w:r>
    </w:p>
    <w:p>
      <w:pPr>
        <w:pageBreakBefore w:val="0"/>
        <w:kinsoku/>
        <w:wordWrap/>
        <w:overflowPunct/>
        <w:topLinePunct w:val="0"/>
        <w:bidi w:val="0"/>
        <w:spacing w:line="576" w:lineRule="exact"/>
        <w:ind w:firstLine="640" w:firstLineChars="200"/>
        <w:jc w:val="both"/>
        <w:textAlignment w:val="auto"/>
        <w:rPr>
          <w:rFonts w:ascii="仿宋_GB2312" w:eastAsia="仿宋_GB2312"/>
          <w:color w:val="000000" w:themeColor="text1"/>
          <w:sz w:val="32"/>
          <w:szCs w:val="32"/>
        </w:rPr>
      </w:pPr>
      <w:r>
        <w:rPr>
          <w:rFonts w:hint="eastAsia" w:ascii="仿宋_GB2312" w:hAnsi="仿宋" w:eastAsia="仿宋_GB2312"/>
          <w:color w:val="000000"/>
          <w:sz w:val="32"/>
          <w:szCs w:val="32"/>
        </w:rPr>
        <w:t>外事接待支出0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pageBreakBefore w:val="0"/>
        <w:kinsoku/>
        <w:wordWrap/>
        <w:overflowPunct/>
        <w:topLinePunct w:val="0"/>
        <w:bidi w:val="0"/>
        <w:spacing w:line="576" w:lineRule="exact"/>
        <w:ind w:firstLine="640" w:firstLineChars="200"/>
        <w:jc w:val="both"/>
        <w:textAlignment w:val="auto"/>
        <w:rPr>
          <w:rFonts w:ascii="仿宋_GB2312" w:eastAsia="仿宋_GB2312"/>
          <w:color w:val="000000"/>
          <w:sz w:val="32"/>
          <w:szCs w:val="32"/>
        </w:rPr>
      </w:pPr>
      <w:r>
        <w:rPr>
          <w:rFonts w:hint="eastAsia" w:ascii="仿宋_GB2312" w:hAnsi="仿宋" w:eastAsia="仿宋_GB2312"/>
          <w:color w:val="000000"/>
          <w:sz w:val="32"/>
          <w:szCs w:val="32"/>
        </w:rPr>
        <w:t>其他国内公务接待支出3.46</w:t>
      </w:r>
      <w:r>
        <w:rPr>
          <w:rFonts w:hint="eastAsia" w:ascii="仿宋_GB2312" w:eastAsia="仿宋_GB2312"/>
          <w:color w:val="000000"/>
          <w:sz w:val="32"/>
          <w:szCs w:val="32"/>
        </w:rPr>
        <w:t>万元，</w:t>
      </w:r>
      <w:bookmarkStart w:id="46" w:name="_Toc15377218"/>
      <w:bookmarkStart w:id="47" w:name="_Toc15396610"/>
      <w:r>
        <w:rPr>
          <w:rFonts w:hint="eastAsia" w:ascii="仿宋_GB2312" w:eastAsia="仿宋_GB2312"/>
          <w:color w:val="000000"/>
          <w:sz w:val="32"/>
          <w:szCs w:val="32"/>
        </w:rPr>
        <w:t>主要为接待上级部门来广督导检查调研水资源管理、防汛抗旱、河长制、扫黑除恶、脱贫攻坚等工作。</w:t>
      </w:r>
    </w:p>
    <w:p>
      <w:pPr>
        <w:pageBreakBefore w:val="0"/>
        <w:kinsoku/>
        <w:wordWrap/>
        <w:overflowPunct/>
        <w:topLinePunct w:val="0"/>
        <w:bidi w:val="0"/>
        <w:spacing w:line="576" w:lineRule="exact"/>
        <w:ind w:firstLine="640"/>
        <w:jc w:val="both"/>
        <w:textAlignment w:val="auto"/>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576" w:lineRule="exact"/>
        <w:ind w:firstLine="640"/>
        <w:jc w:val="both"/>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9年政府性基金预算拨款支出745.16万元，为栖凤湖日常运行维护费</w:t>
      </w:r>
      <w:r>
        <w:rPr>
          <w:rFonts w:hint="eastAsia" w:ascii="仿宋_GB2312" w:hAnsi="仿宋" w:eastAsia="仿宋_GB2312"/>
          <w:color w:val="000000"/>
          <w:sz w:val="32"/>
          <w:szCs w:val="32"/>
        </w:rPr>
        <w:t>。</w:t>
      </w:r>
    </w:p>
    <w:p>
      <w:pPr>
        <w:pageBreakBefore w:val="0"/>
        <w:numPr>
          <w:ilvl w:val="0"/>
          <w:numId w:val="2"/>
        </w:numPr>
        <w:kinsoku/>
        <w:wordWrap/>
        <w:overflowPunct/>
        <w:topLinePunct w:val="0"/>
        <w:bidi w:val="0"/>
        <w:spacing w:line="576" w:lineRule="exact"/>
        <w:ind w:firstLine="640"/>
        <w:jc w:val="both"/>
        <w:textAlignment w:val="auto"/>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576" w:lineRule="exact"/>
        <w:ind w:firstLine="640"/>
        <w:jc w:val="both"/>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pStyle w:val="23"/>
        <w:pageBreakBefore w:val="0"/>
        <w:numPr>
          <w:ilvl w:val="0"/>
          <w:numId w:val="3"/>
        </w:numPr>
        <w:kinsoku/>
        <w:wordWrap/>
        <w:overflowPunct/>
        <w:topLinePunct w:val="0"/>
        <w:bidi w:val="0"/>
        <w:spacing w:line="576" w:lineRule="exact"/>
        <w:ind w:firstLineChars="0"/>
        <w:jc w:val="both"/>
        <w:textAlignment w:val="auto"/>
        <w:rPr>
          <w:rStyle w:val="25"/>
          <w:rFonts w:ascii="黑体" w:hAnsi="黑体" w:eastAsia="黑体"/>
          <w:b w:val="0"/>
        </w:rPr>
      </w:pPr>
      <w:r>
        <w:rPr>
          <w:rStyle w:val="25"/>
          <w:rFonts w:hint="eastAsia" w:ascii="黑体" w:hAnsi="黑体" w:eastAsia="黑体"/>
          <w:b w:val="0"/>
        </w:rPr>
        <w:t>预算绩效情况说明</w:t>
      </w:r>
    </w:p>
    <w:p>
      <w:pPr>
        <w:pageBreakBefore w:val="0"/>
        <w:kinsoku/>
        <w:wordWrap/>
        <w:overflowPunct/>
        <w:topLinePunct w:val="0"/>
        <w:bidi w:val="0"/>
        <w:spacing w:line="576" w:lineRule="exact"/>
        <w:ind w:left="709"/>
        <w:jc w:val="both"/>
        <w:textAlignment w:val="auto"/>
        <w:rPr>
          <w:rFonts w:ascii="仿宋_GB2312" w:hAnsi="仿宋" w:eastAsia="仿宋_GB2312" w:cs="楷体_GB2312"/>
          <w:b/>
          <w:bCs/>
          <w:sz w:val="32"/>
          <w:szCs w:val="32"/>
        </w:rPr>
      </w:pPr>
      <w:r>
        <w:rPr>
          <w:rFonts w:hint="eastAsia" w:ascii="仿宋_GB2312" w:hAnsi="仿宋" w:eastAsia="仿宋_GB2312" w:cs="楷体_GB2312"/>
          <w:b/>
          <w:bCs/>
          <w:sz w:val="32"/>
          <w:szCs w:val="32"/>
        </w:rPr>
        <w:t>（一）预算绩效管理工作开展情况</w:t>
      </w:r>
    </w:p>
    <w:p>
      <w:pPr>
        <w:pageBreakBefore w:val="0"/>
        <w:kinsoku/>
        <w:wordWrap/>
        <w:overflowPunct/>
        <w:topLinePunct w:val="0"/>
        <w:bidi w:val="0"/>
        <w:spacing w:line="576" w:lineRule="exact"/>
        <w:ind w:firstLine="640" w:firstLineChars="200"/>
        <w:jc w:val="both"/>
        <w:textAlignment w:val="auto"/>
        <w:rPr>
          <w:rFonts w:ascii="仿宋_GB2312" w:hAnsi="宋体" w:eastAsia="仿宋_GB2312" w:cs="Arial"/>
          <w:sz w:val="32"/>
          <w:szCs w:val="32"/>
        </w:rPr>
      </w:pPr>
      <w:r>
        <w:rPr>
          <w:rFonts w:hint="eastAsia" w:ascii="仿宋_GB2312" w:hAnsi="宋体" w:eastAsia="仿宋_GB2312" w:cs="Arial"/>
          <w:sz w:val="32"/>
          <w:szCs w:val="32"/>
        </w:rPr>
        <w:t>按照国家政策法规规定和本部门实际情况，本部门成立了绩效管理领导小组，建立健全财务基础管理制度和约束机制。</w:t>
      </w:r>
      <w:r>
        <w:rPr>
          <w:rFonts w:hint="eastAsia" w:ascii="仿宋_GB2312" w:eastAsia="仿宋_GB2312"/>
          <w:sz w:val="32"/>
          <w:szCs w:val="32"/>
        </w:rPr>
        <w:t>根据《广元市财政局关于开展2019年市级预算部门支出绩效评价工作的通知》（广财办〔2019〕57号）要求，</w:t>
      </w:r>
      <w:r>
        <w:rPr>
          <w:rFonts w:hint="eastAsia" w:ascii="仿宋_GB2312" w:hAnsi="宋体" w:eastAsia="仿宋_GB2312" w:cs="Arial"/>
          <w:sz w:val="32"/>
          <w:szCs w:val="32"/>
        </w:rPr>
        <w:t>对照《广元市部门整体支出绩效评价指标体系》逐项收集整理资料，汇总分析并评价，形成绩效评价报告并报送市财政局。</w:t>
      </w:r>
    </w:p>
    <w:p>
      <w:pPr>
        <w:pageBreakBefore w:val="0"/>
        <w:kinsoku/>
        <w:wordWrap/>
        <w:overflowPunct/>
        <w:topLinePunct w:val="0"/>
        <w:bidi w:val="0"/>
        <w:spacing w:line="576" w:lineRule="exact"/>
        <w:ind w:left="640"/>
        <w:jc w:val="both"/>
        <w:textAlignment w:val="auto"/>
        <w:rPr>
          <w:rFonts w:ascii="仿宋_GB2312" w:hAnsi="仿宋" w:eastAsia="仿宋_GB2312" w:cs="仿宋_GB2312"/>
          <w:sz w:val="32"/>
          <w:szCs w:val="32"/>
        </w:rPr>
      </w:pPr>
      <w:r>
        <w:rPr>
          <w:rFonts w:hint="eastAsia" w:ascii="仿宋_GB2312" w:hAnsi="仿宋" w:eastAsia="仿宋_GB2312" w:cs="楷体_GB2312"/>
          <w:b/>
          <w:bCs/>
          <w:sz w:val="32"/>
          <w:szCs w:val="32"/>
        </w:rPr>
        <w:t>（二）部门开展绩效评价结果</w:t>
      </w:r>
    </w:p>
    <w:p>
      <w:pPr>
        <w:pageBreakBefore w:val="0"/>
        <w:kinsoku/>
        <w:wordWrap/>
        <w:overflowPunct/>
        <w:topLinePunct w:val="0"/>
        <w:bidi w:val="0"/>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本部门按要求对2019年部门整体支出绩效评价情况开展自评，《广元市水</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局2019年部门整体支出绩效评价报告》见附件。</w:t>
      </w:r>
      <w:bookmarkStart w:id="75" w:name="_GoBack"/>
      <w:bookmarkEnd w:id="75"/>
    </w:p>
    <w:p>
      <w:pPr>
        <w:pageBreakBefore w:val="0"/>
        <w:kinsoku/>
        <w:wordWrap/>
        <w:overflowPunct/>
        <w:topLinePunct w:val="0"/>
        <w:bidi w:val="0"/>
        <w:spacing w:line="576" w:lineRule="exact"/>
        <w:ind w:firstLine="800" w:firstLineChars="250"/>
        <w:jc w:val="both"/>
        <w:textAlignment w:val="auto"/>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pageBreakBefore w:val="0"/>
        <w:kinsoku/>
        <w:wordWrap/>
        <w:overflowPunct/>
        <w:topLinePunct w:val="0"/>
        <w:bidi w:val="0"/>
        <w:spacing w:line="576" w:lineRule="exact"/>
        <w:ind w:firstLine="643" w:firstLineChars="200"/>
        <w:jc w:val="both"/>
        <w:textAlignment w:val="auto"/>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pageBreakBefore w:val="0"/>
        <w:kinsoku/>
        <w:wordWrap/>
        <w:overflowPunct/>
        <w:topLinePunct w:val="0"/>
        <w:bidi w:val="0"/>
        <w:spacing w:line="576" w:lineRule="exact"/>
        <w:ind w:firstLine="640" w:firstLineChars="200"/>
        <w:jc w:val="both"/>
        <w:textAlignment w:val="auto"/>
        <w:rPr>
          <w:rFonts w:ascii="仿宋_GB2312" w:hAnsi="宋体" w:eastAsia="仿宋_GB2312"/>
          <w:sz w:val="32"/>
        </w:rPr>
      </w:pPr>
      <w:r>
        <w:rPr>
          <w:rFonts w:ascii="仿宋_GB2312" w:eastAsia="仿宋_GB2312"/>
          <w:color w:val="000000"/>
          <w:sz w:val="32"/>
          <w:szCs w:val="32"/>
        </w:rPr>
        <w:t>201</w:t>
      </w:r>
      <w:r>
        <w:rPr>
          <w:rFonts w:hint="eastAsia" w:ascii="仿宋_GB2312" w:eastAsia="仿宋_GB2312"/>
          <w:color w:val="000000"/>
          <w:sz w:val="32"/>
          <w:szCs w:val="32"/>
        </w:rPr>
        <w:t>9年，广元市水利局机关运行经费支出244.09万元，比</w:t>
      </w:r>
      <w:r>
        <w:rPr>
          <w:rFonts w:ascii="仿宋_GB2312" w:eastAsia="仿宋_GB2312"/>
          <w:color w:val="000000"/>
          <w:sz w:val="32"/>
          <w:szCs w:val="32"/>
        </w:rPr>
        <w:t>201</w:t>
      </w:r>
      <w:r>
        <w:rPr>
          <w:rFonts w:hint="eastAsia" w:ascii="仿宋_GB2312" w:eastAsia="仿宋_GB2312"/>
          <w:color w:val="000000"/>
          <w:sz w:val="32"/>
          <w:szCs w:val="32"/>
        </w:rPr>
        <w:t>8年减少32.01万元，下降11.59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hAnsi="宋体" w:eastAsia="仿宋_GB2312"/>
          <w:sz w:val="32"/>
        </w:rPr>
        <w:t>我局不断完善制度，加强内控管理，重点在印刷费、差旅费、培训费、广告宣传、办公设备购置等方面压减幅度较大，但受河长制、帮扶等阶段性重点工作影响，差旅费、办公费、广告宣传费、租车费支出占比较大，应作为今后加强管理的主要方面。</w:t>
      </w:r>
    </w:p>
    <w:p>
      <w:pPr>
        <w:pageBreakBefore w:val="0"/>
        <w:kinsoku/>
        <w:wordWrap/>
        <w:overflowPunct/>
        <w:topLinePunct w:val="0"/>
        <w:autoSpaceDE w:val="0"/>
        <w:autoSpaceDN w:val="0"/>
        <w:bidi w:val="0"/>
        <w:adjustRightInd w:val="0"/>
        <w:spacing w:line="576" w:lineRule="exact"/>
        <w:ind w:firstLine="643" w:firstLineChars="200"/>
        <w:jc w:val="both"/>
        <w:textAlignment w:val="auto"/>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广元市水利局政府采购支出总额3.01万元，其中：政府采购货物支出3.01万元、政府采购工程支出0万元、政府采购服务支出0万元。主要用于办公设施设备及防汛抢险应急物资采购。授予中小企业合同金额3.01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，其中：授予小微企业合同金额3.01万元，占政府采购支出总额的100</w:t>
      </w:r>
      <w:r>
        <w:rPr>
          <w:rFonts w:ascii="仿宋_GB2312" w:eastAsia="仿宋_GB2312"/>
          <w:sz w:val="32"/>
          <w:szCs w:val="32"/>
        </w:rPr>
        <w:t>%</w:t>
      </w:r>
      <w:r>
        <w:rPr>
          <w:rFonts w:hint="eastAsia" w:ascii="仿宋_GB2312" w:eastAsia="仿宋_GB2312"/>
          <w:sz w:val="32"/>
          <w:szCs w:val="32"/>
        </w:rPr>
        <w:t>。</w:t>
      </w:r>
    </w:p>
    <w:p>
      <w:pPr>
        <w:pageBreakBefore w:val="0"/>
        <w:kinsoku/>
        <w:wordWrap/>
        <w:overflowPunct/>
        <w:topLinePunct w:val="0"/>
        <w:autoSpaceDE w:val="0"/>
        <w:autoSpaceDN w:val="0"/>
        <w:bidi w:val="0"/>
        <w:adjustRightInd w:val="0"/>
        <w:spacing w:line="576" w:lineRule="exact"/>
        <w:ind w:firstLine="643" w:firstLineChars="200"/>
        <w:jc w:val="both"/>
        <w:textAlignment w:val="auto"/>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pageBreakBefore w:val="0"/>
        <w:kinsoku/>
        <w:wordWrap/>
        <w:overflowPunct/>
        <w:topLinePunct w:val="0"/>
        <w:autoSpaceDE w:val="0"/>
        <w:autoSpaceDN w:val="0"/>
        <w:bidi w:val="0"/>
        <w:adjustRightInd w:val="0"/>
        <w:spacing w:line="576"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日，广元市水利局共有车辆4辆，其中：部级领导干部用车0辆、一般公务用车0辆、一般执法执勤用车0辆、特种专业技术用车0辆、其他用车4辆，</w:t>
      </w:r>
      <w:r>
        <w:rPr>
          <w:rFonts w:hint="eastAsia" w:ascii="仿宋_GB2312" w:eastAsia="仿宋_GB2312"/>
          <w:color w:val="000000" w:themeColor="text1"/>
          <w:sz w:val="32"/>
          <w:szCs w:val="32"/>
        </w:rPr>
        <w:t>其他用车主要是用于</w:t>
      </w:r>
      <w:r>
        <w:rPr>
          <w:rFonts w:hint="eastAsia" w:ascii="仿宋_GB2312" w:eastAsia="仿宋_GB2312"/>
          <w:sz w:val="32"/>
          <w:szCs w:val="32"/>
        </w:rPr>
        <w:t>水质监测、防汛抗旱、水利执法检查、农村安全饮水、河长制、脱贫攻坚</w:t>
      </w:r>
      <w:r>
        <w:rPr>
          <w:rFonts w:hint="eastAsia" w:ascii="仿宋_GB2312" w:eastAsia="仿宋_GB2312"/>
          <w:color w:val="000000"/>
          <w:sz w:val="32"/>
          <w:szCs w:val="32"/>
        </w:rPr>
        <w:t>等所需</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pageBreakBefore w:val="0"/>
        <w:kinsoku/>
        <w:wordWrap/>
        <w:overflowPunct/>
        <w:topLinePunct w:val="0"/>
        <w:autoSpaceDE w:val="0"/>
        <w:autoSpaceDN w:val="0"/>
        <w:bidi w:val="0"/>
        <w:adjustRightInd w:val="0"/>
        <w:spacing w:line="576" w:lineRule="exact"/>
        <w:ind w:firstLine="643" w:firstLineChars="200"/>
        <w:jc w:val="both"/>
        <w:textAlignment w:val="auto"/>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pageBreakBefore w:val="0"/>
        <w:kinsoku/>
        <w:wordWrap/>
        <w:overflowPunct/>
        <w:topLinePunct w:val="0"/>
        <w:bidi w:val="0"/>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广元市水利局</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个项目编制了绩效目标。</w:t>
      </w: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widowControl/>
        <w:kinsoku/>
        <w:wordWrap/>
        <w:overflowPunct/>
        <w:topLinePunct w:val="0"/>
        <w:bidi w:val="0"/>
        <w:spacing w:line="576" w:lineRule="exact"/>
        <w:jc w:val="both"/>
        <w:textAlignment w:val="auto"/>
        <w:rPr>
          <w:rFonts w:ascii="仿宋_GB2312" w:eastAsia="仿宋_GB2312"/>
          <w:b/>
          <w:color w:val="000000"/>
          <w:sz w:val="32"/>
          <w:szCs w:val="32"/>
        </w:rPr>
      </w:pPr>
    </w:p>
    <w:p>
      <w:pPr>
        <w:pageBreakBefore w:val="0"/>
        <w:numPr>
          <w:ilvl w:val="0"/>
          <w:numId w:val="4"/>
        </w:numPr>
        <w:kinsoku/>
        <w:wordWrap/>
        <w:overflowPunct/>
        <w:topLinePunct w:val="0"/>
        <w:bidi w:val="0"/>
        <w:spacing w:line="576" w:lineRule="exact"/>
        <w:ind w:firstLine="663" w:firstLineChars="150"/>
        <w:jc w:val="center"/>
        <w:textAlignment w:val="auto"/>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pageBreakBefore w:val="0"/>
        <w:kinsoku/>
        <w:wordWrap/>
        <w:overflowPunct/>
        <w:topLinePunct w:val="0"/>
        <w:bidi w:val="0"/>
        <w:spacing w:line="576" w:lineRule="exact"/>
        <w:jc w:val="both"/>
        <w:textAlignment w:val="auto"/>
        <w:rPr>
          <w:rFonts w:ascii="宋体"/>
          <w:b/>
          <w:color w:val="000000"/>
          <w:sz w:val="44"/>
          <w:szCs w:val="44"/>
        </w:rPr>
      </w:pP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2.其他收入：指单位取得的除上述收入以外的各项收入。</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.年初结转和结余：指以前年度尚未完成、结转到本年按有关规定继续使用的资金。 </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.农林水支出（类）水利（款）行政运行（项）：指行政单位的基本支出。</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农林水支出（类）水利（款）水利行业业务管理（项）：指反映用于水利行业业务管理方面的支出。有关业务包括制定政策、法规及行业标准、进行水利宣传、审计监督检查、精神文明建设及农田水利管理、水利重大活动、水利工程质量监管、水利资金监督管理、水利国有资产监管、行政许可及监督管理等。</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农林水支出（类）水利（款）水利工程建设（项）：反映水利系统用于江河湖滩水利工程建设支出，包括堤防、河道、水库、水利枢纽、涵闸、罐区、供水、蓄滞洪区等水利工程及附属设备、设施的建设、更新改造、大中型病险水库防险、大中型罐区改造、农村电气化建设等支出。</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.农林水支出（类）水利（款）水利工程运行与维护（项）：反映水利系统用于江河湖滩等治理工程运行与维护方面的支出，以及纳入预算管理的水利工程管理单位的支出。</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.农林水支出（类）水利（款）水利执法监督（项）：反映水利系统纳入预算管理的事业单位开展水利执法监督活动的支出。</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农林水支出（类）水利（款）水土保持（项）：反映水利系统纳入预算管理的水土保持事业单位的支出，包括规划制定和实施，治理、生态修复、预防监测、调查协调、综合治理、开发技术的示范、监督执法等支出及水土保持生态工程措施和各项管理保护活动的支出。</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农林水支出（类）水利（款）水资源节约管理与保护（项）：反映水利系统纳入预算管理的水资源管理与保护事业单位的支出。有关事项包括进行水资源调查评价和水资源规划，水量分配方案、节水以及相关标准的制定和监督实施，组织实施流域或跨流域水资源调度，水功能区监督管理，取水许可、江河湖库及水源地保护监管，水资源公报发布，基础资料整编，水量调度，节约用水，设备仪器运行维护，入河排污口监督管理、审定水域纳污能力和限制排污控制，水资源论证，地下水资源管理，超采区治理和保护，用水定额管理，水务管理和各项保护管理等。</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 xml:space="preserve">.农林水支出（类）水利（款）水质监测（项）：反映水利系统纳入预算管理的水质监测事业单位的支出。有关事项包括水质监测仪器设备运行维护，水环境监测技术的研究、开发与推广，进行水样品采集、保存、运输、测试、化验、分析、资料整编、发布水质公报等。 </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农林水支出（类）水利（款）水文测报（项）：反映水利系统纳入预算管理的水文事业单位的支出。有关事项包括江河湖库、海滨、区的水文测报，水文测检、水文情报预报、河道监测、水量调度监测，水文业务管理，水文水资源公报编制，水文资料整编及水文设施运行维护等。</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农林水支出（类）水利（款）防汛（项）：反映防汛业务支出。有关事项包括防汛物资购置管护，防汛通讯设施设备、网络系统、车船设备运行维护，防汛值班、水情报汛、防汛指挥系统运行维护、水毁修复以及防汛组织，汛期调用民工及劳动保护，灾后重建，退田还湖，蓄滞洪区补偿、水情、雨情、决策支持，视频会商等。</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.农林水支出（类）水利（款）水利安全监督（项）：反映水利系统纳入预算管理的事业单位开展水利安全生产监督和水利建设项目稽查业务支出。</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color w:val="auto"/>
          <w:sz w:val="32"/>
          <w:szCs w:val="32"/>
        </w:rPr>
      </w:pPr>
      <w:r>
        <w:rPr>
          <w:rFonts w:hint="eastAsia" w:ascii="仿宋_GB2312" w:eastAsia="仿宋_GB2312"/>
          <w:sz w:val="32"/>
          <w:szCs w:val="32"/>
          <w:lang w:val="en-US" w:eastAsia="zh-CN"/>
        </w:rPr>
        <w:t>16</w:t>
      </w:r>
      <w:r>
        <w:rPr>
          <w:rFonts w:hint="eastAsia" w:ascii="仿宋_GB2312" w:eastAsia="仿宋_GB2312"/>
          <w:color w:val="auto"/>
          <w:sz w:val="32"/>
          <w:szCs w:val="32"/>
        </w:rPr>
        <w:t>.农林水支出（类）水利（款）其他农林水支出（项）：反映除上述项目以外其他用于水利方面的支出。</w:t>
      </w:r>
    </w:p>
    <w:p>
      <w:pPr>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.社会保障和就业支出（类）社会保障和就业支出（款）机关事业单位基本养老保险缴费支出（项）：反映机关事业单位实施养老保险制度由单位缴纳的基本养老保险费支出。</w:t>
      </w:r>
    </w:p>
    <w:p>
      <w:pPr>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.医疗卫生与计划生育支出（类）医疗保障（款）行政单位医疗（项）：反映财政部门集中安排的行政单位基本医疗保险费经费。</w:t>
      </w:r>
    </w:p>
    <w:p>
      <w:pPr>
        <w:pageBreakBefore w:val="0"/>
        <w:kinsoku/>
        <w:wordWrap/>
        <w:overflowPunct/>
        <w:topLinePunct w:val="0"/>
        <w:bidi w:val="0"/>
        <w:spacing w:line="576"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sz w:val="32"/>
          <w:szCs w:val="32"/>
        </w:rPr>
        <w:t>.住房保障支出（类）住房改革支出（款）住房公积金（项）：反映行政事业单位按人力资源和社会保障部、财政部规定的</w:t>
      </w:r>
      <w:r>
        <w:rPr>
          <w:rFonts w:hint="eastAsia" w:ascii="仿宋_GB2312" w:eastAsia="仿宋_GB2312"/>
          <w:color w:val="000000"/>
          <w:sz w:val="32"/>
          <w:szCs w:val="32"/>
        </w:rPr>
        <w:t>基本工资和津贴补贴以及规定比例为职工缴纳的住房公积金。</w:t>
      </w:r>
    </w:p>
    <w:p>
      <w:pPr>
        <w:pageBreakBefore w:val="0"/>
        <w:kinsoku/>
        <w:wordWrap/>
        <w:overflowPunct/>
        <w:topLinePunct w:val="0"/>
        <w:bidi w:val="0"/>
        <w:spacing w:line="576"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wordWrap/>
        <w:overflowPunct/>
        <w:topLinePunct w:val="0"/>
        <w:bidi w:val="0"/>
        <w:spacing w:line="576"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 xml:space="preserve">.项目支出：指在基本支出之外为完成特定行政任务和事业发展目标所发生的支出。 </w:t>
      </w:r>
    </w:p>
    <w:p>
      <w:pPr>
        <w:pageBreakBefore w:val="0"/>
        <w:kinsoku/>
        <w:wordWrap/>
        <w:overflowPunct/>
        <w:topLinePunct w:val="0"/>
        <w:bidi w:val="0"/>
        <w:spacing w:line="576" w:lineRule="exact"/>
        <w:ind w:firstLine="640" w:firstLineChars="200"/>
        <w:jc w:val="both"/>
        <w:textAlignment w:val="auto"/>
        <w:rPr>
          <w:rFonts w:ascii="仿宋_GB2312" w:eastAsia="仿宋_GB2312"/>
          <w:color w:val="000000"/>
          <w:sz w:val="32"/>
          <w:szCs w:val="32"/>
        </w:rPr>
      </w:pP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bidi w:val="0"/>
        <w:spacing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6" w:lineRule="exact"/>
        <w:ind w:firstLine="643" w:firstLineChars="200"/>
        <w:jc w:val="both"/>
        <w:textAlignment w:val="auto"/>
        <w:rPr>
          <w:rFonts w:ascii="仿宋" w:hAnsi="仿宋" w:eastAsia="仿宋"/>
          <w:b/>
          <w:color w:val="000000"/>
          <w:sz w:val="32"/>
          <w:szCs w:val="32"/>
        </w:rPr>
      </w:pPr>
      <w:bookmarkStart w:id="57" w:name="_Toc15396614"/>
      <w:bookmarkStart w:id="58" w:name="_Toc15377226"/>
    </w:p>
    <w:p>
      <w:pPr>
        <w:pageBreakBefore w:val="0"/>
        <w:kinsoku/>
        <w:wordWrap/>
        <w:overflowPunct/>
        <w:topLinePunct w:val="0"/>
        <w:bidi w:val="0"/>
        <w:spacing w:line="576" w:lineRule="exact"/>
        <w:jc w:val="both"/>
        <w:textAlignment w:val="auto"/>
        <w:rPr>
          <w:rFonts w:ascii="仿宋" w:hAnsi="仿宋" w:eastAsia="仿宋"/>
          <w:b/>
          <w:color w:val="000000"/>
          <w:sz w:val="32"/>
          <w:szCs w:val="32"/>
        </w:rPr>
      </w:pPr>
    </w:p>
    <w:p>
      <w:pPr>
        <w:pStyle w:val="3"/>
        <w:pageBreakBefore w:val="0"/>
        <w:kinsoku/>
        <w:wordWrap/>
        <w:overflowPunct/>
        <w:topLinePunct w:val="0"/>
        <w:bidi w:val="0"/>
        <w:spacing w:line="576" w:lineRule="exact"/>
        <w:jc w:val="center"/>
        <w:textAlignment w:val="auto"/>
        <w:rPr>
          <w:rStyle w:val="24"/>
          <w:rFonts w:hint="eastAsia" w:ascii="黑体" w:hAnsi="黑体" w:eastAsia="黑体"/>
          <w:b w:val="0"/>
          <w:bCs/>
        </w:rPr>
      </w:pPr>
    </w:p>
    <w:p>
      <w:pPr>
        <w:pStyle w:val="3"/>
        <w:pageBreakBefore w:val="0"/>
        <w:kinsoku/>
        <w:wordWrap/>
        <w:overflowPunct/>
        <w:topLinePunct w:val="0"/>
        <w:bidi w:val="0"/>
        <w:spacing w:line="576" w:lineRule="exact"/>
        <w:jc w:val="center"/>
        <w:textAlignment w:val="auto"/>
        <w:rPr>
          <w:rStyle w:val="24"/>
          <w:rFonts w:hint="eastAsia" w:ascii="黑体" w:hAnsi="黑体" w:eastAsia="黑体"/>
          <w:b w:val="0"/>
          <w:bCs/>
        </w:rPr>
      </w:pPr>
      <w:r>
        <w:rPr>
          <w:rStyle w:val="24"/>
          <w:rFonts w:hint="eastAsia" w:ascii="黑体" w:hAnsi="黑体" w:eastAsia="黑体"/>
          <w:b w:val="0"/>
          <w:bCs/>
        </w:rPr>
        <w:t>第四部分</w:t>
      </w:r>
      <w:bookmarkEnd w:id="57"/>
    </w:p>
    <w:p>
      <w:pPr>
        <w:pStyle w:val="3"/>
        <w:pageBreakBefore w:val="0"/>
        <w:kinsoku/>
        <w:wordWrap/>
        <w:overflowPunct/>
        <w:topLinePunct w:val="0"/>
        <w:bidi w:val="0"/>
        <w:spacing w:line="576" w:lineRule="exact"/>
        <w:jc w:val="center"/>
        <w:textAlignment w:val="auto"/>
        <w:rPr>
          <w:rStyle w:val="24"/>
          <w:rFonts w:hint="eastAsia" w:ascii="黑体" w:hAnsi="黑体" w:eastAsia="黑体"/>
          <w:b w:val="0"/>
          <w:bCs/>
          <w:spacing w:val="-28"/>
        </w:rPr>
      </w:pPr>
      <w:bookmarkStart w:id="59" w:name="_Toc15396616"/>
      <w:r>
        <w:rPr>
          <w:rStyle w:val="24"/>
          <w:rFonts w:hint="eastAsia" w:ascii="黑体" w:hAnsi="黑体" w:eastAsia="黑体"/>
          <w:b w:val="0"/>
          <w:bCs/>
          <w:spacing w:val="-28"/>
        </w:rPr>
        <w:t>广元市水</w:t>
      </w:r>
      <w:r>
        <w:rPr>
          <w:rStyle w:val="24"/>
          <w:rFonts w:hint="eastAsia" w:ascii="黑体" w:hAnsi="黑体" w:eastAsia="黑体"/>
          <w:b w:val="0"/>
          <w:bCs/>
          <w:spacing w:val="-28"/>
          <w:lang w:eastAsia="zh-CN"/>
        </w:rPr>
        <w:t>利</w:t>
      </w:r>
      <w:r>
        <w:rPr>
          <w:rStyle w:val="24"/>
          <w:rFonts w:hint="eastAsia" w:ascii="黑体" w:hAnsi="黑体" w:eastAsia="黑体"/>
          <w:b w:val="0"/>
          <w:bCs/>
          <w:spacing w:val="-28"/>
        </w:rPr>
        <w:t>局2019年部门整体支出绩效评价报告</w:t>
      </w:r>
      <w:bookmarkEnd w:id="59"/>
    </w:p>
    <w:p>
      <w:pPr>
        <w:pageBreakBefore w:val="0"/>
        <w:kinsoku/>
        <w:wordWrap/>
        <w:overflowPunct/>
        <w:topLinePunct w:val="0"/>
        <w:bidi w:val="0"/>
        <w:spacing w:line="576" w:lineRule="exact"/>
        <w:ind w:firstLine="640" w:firstLineChars="200"/>
        <w:jc w:val="both"/>
        <w:textAlignment w:val="auto"/>
        <w:rPr>
          <w:rFonts w:ascii="黑体" w:hAnsi="黑体" w:eastAsia="黑体" w:cs="黑体"/>
          <w:sz w:val="32"/>
          <w:szCs w:val="32"/>
        </w:rPr>
      </w:pPr>
    </w:p>
    <w:p>
      <w:pPr>
        <w:pageBreakBefore w:val="0"/>
        <w:kinsoku/>
        <w:wordWrap/>
        <w:overflowPunct/>
        <w:topLinePunct w:val="0"/>
        <w:bidi w:val="0"/>
        <w:spacing w:line="576"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一、部门概况</w:t>
      </w:r>
    </w:p>
    <w:p>
      <w:pPr>
        <w:pageBreakBefore w:val="0"/>
        <w:kinsoku/>
        <w:wordWrap/>
        <w:overflowPunct/>
        <w:topLinePunct w:val="0"/>
        <w:bidi w:val="0"/>
        <w:spacing w:line="576" w:lineRule="exact"/>
        <w:ind w:firstLine="640" w:firstLineChars="200"/>
        <w:jc w:val="both"/>
        <w:textAlignment w:val="auto"/>
        <w:rPr>
          <w:rFonts w:ascii="仿宋" w:hAnsi="仿宋" w:eastAsia="仿宋" w:cs="仿宋_GB2312"/>
          <w:sz w:val="32"/>
          <w:szCs w:val="32"/>
        </w:rPr>
      </w:pPr>
      <w:r>
        <w:rPr>
          <w:rFonts w:hint="eastAsia" w:ascii="楷体_GB2312" w:hAnsi="楷体_GB2312" w:eastAsia="楷体_GB2312" w:cs="楷体_GB2312"/>
          <w:sz w:val="32"/>
          <w:szCs w:val="32"/>
        </w:rPr>
        <w:t>（一）机构组成。</w:t>
      </w:r>
      <w:r>
        <w:rPr>
          <w:rFonts w:hint="eastAsia" w:ascii="仿宋_GB2312" w:hAnsi="宋体" w:eastAsia="仿宋_GB2312" w:cs="Arial"/>
          <w:sz w:val="32"/>
          <w:szCs w:val="32"/>
        </w:rPr>
        <w:t>办公室、</w:t>
      </w:r>
      <w:r>
        <w:rPr>
          <w:rFonts w:hint="eastAsia" w:ascii="仿宋_GB2312" w:hAnsi="宋体" w:eastAsia="仿宋_GB2312" w:cs="宋体"/>
          <w:kern w:val="0"/>
          <w:sz w:val="32"/>
          <w:szCs w:val="32"/>
        </w:rPr>
        <w:t>财务科、人事科、</w:t>
      </w:r>
      <w:r>
        <w:rPr>
          <w:rFonts w:hint="eastAsia" w:ascii="仿宋_GB2312" w:eastAsia="仿宋_GB2312"/>
          <w:bCs/>
          <w:color w:val="2B2B2B"/>
          <w:sz w:val="32"/>
          <w:szCs w:val="32"/>
        </w:rPr>
        <w:t>政策法规科</w:t>
      </w:r>
      <w:r>
        <w:rPr>
          <w:rFonts w:hint="eastAsia" w:ascii="仿宋_GB2312" w:hAnsi="宋体" w:eastAsia="仿宋_GB2312"/>
          <w:sz w:val="32"/>
          <w:szCs w:val="32"/>
        </w:rPr>
        <w:t>、水资源科、农村水利科、水土保持科、</w:t>
      </w:r>
      <w:r>
        <w:rPr>
          <w:rFonts w:hint="eastAsia" w:ascii="仿宋_GB2312" w:eastAsia="仿宋_GB2312"/>
          <w:bCs/>
          <w:color w:val="2B2B2B"/>
          <w:sz w:val="32"/>
          <w:szCs w:val="32"/>
        </w:rPr>
        <w:t>规划与建设管理科</w:t>
      </w:r>
      <w:r>
        <w:rPr>
          <w:rFonts w:hint="eastAsia" w:ascii="仿宋_GB2312" w:hAnsi="宋体" w:eastAsia="仿宋_GB2312" w:cs="宋体"/>
          <w:kern w:val="0"/>
          <w:sz w:val="32"/>
          <w:szCs w:val="32"/>
        </w:rPr>
        <w:t>、</w:t>
      </w:r>
      <w:r>
        <w:rPr>
          <w:rFonts w:hint="eastAsia" w:ascii="仿宋_GB2312" w:eastAsia="仿宋_GB2312"/>
          <w:bCs/>
          <w:color w:val="2B2B2B"/>
          <w:sz w:val="32"/>
          <w:szCs w:val="32"/>
        </w:rPr>
        <w:t>河湖管理科</w:t>
      </w:r>
      <w:r>
        <w:rPr>
          <w:rFonts w:hint="eastAsia" w:ascii="仿宋_GB2312" w:hAnsi="宋体" w:eastAsia="仿宋_GB2312" w:cs="宋体"/>
          <w:bCs/>
          <w:kern w:val="0"/>
          <w:sz w:val="32"/>
          <w:szCs w:val="32"/>
        </w:rPr>
        <w:t>、</w:t>
      </w:r>
      <w:r>
        <w:rPr>
          <w:rFonts w:hint="eastAsia" w:ascii="仿宋_GB2312" w:eastAsia="仿宋_GB2312"/>
          <w:bCs/>
          <w:color w:val="2B2B2B"/>
          <w:sz w:val="32"/>
          <w:szCs w:val="32"/>
        </w:rPr>
        <w:t>水旱灾害防御科</w:t>
      </w:r>
      <w:r>
        <w:rPr>
          <w:rFonts w:hint="eastAsia" w:ascii="仿宋_GB2312" w:hAnsi="宋体" w:eastAsia="仿宋_GB2312" w:cs="宋体"/>
          <w:kern w:val="0"/>
          <w:sz w:val="32"/>
          <w:szCs w:val="32"/>
        </w:rPr>
        <w:t>等10个职能科室。</w:t>
      </w:r>
    </w:p>
    <w:p>
      <w:pPr>
        <w:pStyle w:val="5"/>
        <w:pageBreakBefore w:val="0"/>
        <w:widowControl w:val="0"/>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eastAsia" w:ascii="楷体_GB2312" w:hAnsi="楷体_GB2312" w:eastAsia="楷体_GB2312" w:cs="楷体_GB2312"/>
          <w:bCs/>
          <w:color w:val="000000"/>
          <w:sz w:val="32"/>
          <w:szCs w:val="32"/>
        </w:rPr>
      </w:pPr>
      <w:r>
        <w:rPr>
          <w:rFonts w:hint="eastAsia" w:ascii="楷体_GB2312" w:hAnsi="楷体_GB2312" w:eastAsia="楷体_GB2312" w:cs="楷体_GB2312"/>
          <w:sz w:val="32"/>
          <w:szCs w:val="32"/>
        </w:rPr>
        <w:t>（二）机构职能。</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1.贯彻执行国家有关水行政管理工作的方针、政策和法律、法规，起草水务工作规范性文件并监督实施；拟定全市水务工作发展战略和中长期规划；组织编制有关水务方面的综合规划和专业规划并组织实施。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2.统一监督管理全市水资源（含空中水、地表水、地下水）。组织制定全市水资源总体规划、流域规划和专业规划；拟定全市和跨县区中长期供水计划、水量分配方案和旱情紧急情况下水量调度预案；组织开展全市国民经济发展总体规划、重大建设项目等有关水资源及防洪、抗旱、节水等方面的论证工作；组织实施取水许可、水资源有偿使用制度和水资源论证、防洪论证制度。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3.负责水资源保护工作。组织编制全市水资源和水源地保护规划；组织拟订江河水功能区划并监督实施；负责水文水资源和水文站网建设和管理；监测江河湖库和地下水的水量、水质；核定水域纳污能力，提出水域限制排污总量建议；指导饮水水源地保护工作；指导地下水开发利用和保护工作；指导地下水动态监测、评价和预报；负责计划用水、节约用水工作，指导和推动节水型社会建设工作。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4.负责全市水行政监察和水行政执法工作，协调、仲裁重大水事纠纷；负责编制、审查中小型水利基建项目，组织、指导全市农村水利基本建设；组织建设和管理重要水利工程；依法负责水利行业安全生产工作，组织、指导全市水库、大坝等水利工程的安全监管；组织实施水务行业工程建设的监督。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5.指导全市水利设施、水域及其岸线的管理与保护，负责全市堤防建设和管理；负责全市河道、水库、湖泊、河口滩涂的管理以及管护范围内砂石资源等的开发、利用和保护。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6.组织、协调全市农田水利基本建设、农村水利社会化服务体系建设；负责全市农村水利工作，负责全市乡镇集中供水、农村饮水安全、节水灌溉、排水等工程建设与管理工作；组织指导已建成农村水利工程的运行管理和除险加固工作；按规定指导农村水能资源开发工作；指导水电农村电气化和小水电代燃料工程；组织实施职责范围内的地方电力管理工作，指导水务行业地方电站、电网管理并实施技术监督。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7.负责全市水土保持工作。拟订全市水土保持规划并监督实施；组织实施全市水土流失的综合防治、监测预报工作；负责有关重大建设项目水土保持方案的审批、监督实施及水土保持设施的验收工作，指导重点水土保持建设项目的实施。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8.承担广元市防汛抗旱指挥部的日常工作。组织、协调、监督、指导全市防汛、抗旱工作；负责江河和重要水工程实施防洪抗旱调度和应急水量调度工作；组织编制全市防汛抗旱应急预案并组织实施；指导防汛突发公共事件的应急管理。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9.指导全市有关水利等项目的科学研究和技术推广；组织指导全市重大水利项目对外合作工作；承担水利行政复议和行政诉讼的应诉工作；指导全市水务行业队伍建设、服务体系建设；承担水利统计工作。  </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10.承担市政府公布的有关行政审批事项。  </w:t>
      </w:r>
    </w:p>
    <w:p>
      <w:pPr>
        <w:spacing w:line="576" w:lineRule="exact"/>
        <w:ind w:firstLine="640" w:firstLineChars="200"/>
        <w:rPr>
          <w:sz w:val="32"/>
          <w:szCs w:val="32"/>
        </w:rPr>
      </w:pPr>
      <w:r>
        <w:rPr>
          <w:rFonts w:hint="eastAsia" w:ascii="仿宋_GB2312" w:eastAsia="仿宋_GB2312"/>
          <w:color w:val="000000"/>
          <w:sz w:val="32"/>
          <w:szCs w:val="32"/>
        </w:rPr>
        <w:t>11.承办市政府交办的其他事项。</w:t>
      </w:r>
    </w:p>
    <w:p>
      <w:pPr>
        <w:pageBreakBefore w:val="0"/>
        <w:kinsoku/>
        <w:wordWrap/>
        <w:overflowPunct/>
        <w:topLinePunct w:val="0"/>
        <w:bidi w:val="0"/>
        <w:spacing w:line="576" w:lineRule="exact"/>
        <w:ind w:firstLine="640" w:firstLineChars="200"/>
        <w:jc w:val="both"/>
        <w:textAlignment w:val="auto"/>
        <w:rPr>
          <w:rFonts w:ascii="仿宋_GB2312" w:hAnsi="宋体" w:eastAsia="仿宋_GB2312" w:cs="Arial"/>
          <w:sz w:val="32"/>
          <w:szCs w:val="32"/>
        </w:rPr>
      </w:pPr>
      <w:r>
        <w:rPr>
          <w:rFonts w:ascii="仿宋" w:hAnsi="仿宋" w:eastAsia="仿宋" w:cs="仿宋_GB2312"/>
          <w:sz w:val="32"/>
          <w:szCs w:val="32"/>
        </w:rPr>
        <w:t>（三）人员概况。</w:t>
      </w:r>
      <w:r>
        <w:rPr>
          <w:rFonts w:hint="eastAsia" w:ascii="仿宋_GB2312" w:hAnsi="宋体" w:eastAsia="仿宋_GB2312"/>
          <w:sz w:val="32"/>
          <w:szCs w:val="32"/>
        </w:rPr>
        <w:t>编制数74人，年末实有人数58人。</w:t>
      </w:r>
    </w:p>
    <w:p>
      <w:pPr>
        <w:pageBreakBefore w:val="0"/>
        <w:kinsoku/>
        <w:wordWrap/>
        <w:overflowPunct/>
        <w:topLinePunct w:val="0"/>
        <w:bidi w:val="0"/>
        <w:spacing w:line="576" w:lineRule="exact"/>
        <w:ind w:firstLine="640" w:firstLineChars="200"/>
        <w:jc w:val="both"/>
        <w:textAlignment w:val="auto"/>
        <w:rPr>
          <w:rFonts w:ascii="黑体" w:hAnsi="黑体" w:eastAsia="黑体" w:cs="黑体"/>
          <w:sz w:val="32"/>
          <w:szCs w:val="32"/>
        </w:rPr>
      </w:pPr>
      <w:r>
        <w:rPr>
          <w:rFonts w:ascii="黑体" w:hAnsi="黑体" w:eastAsia="黑体" w:cs="黑体"/>
          <w:sz w:val="32"/>
          <w:szCs w:val="32"/>
        </w:rPr>
        <w:t>二、部门财政资金收支情况</w:t>
      </w:r>
    </w:p>
    <w:p>
      <w:pPr>
        <w:pageBreakBefore w:val="0"/>
        <w:kinsoku/>
        <w:wordWrap/>
        <w:overflowPunct/>
        <w:topLinePunct w:val="0"/>
        <w:bidi w:val="0"/>
        <w:spacing w:line="576"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（一）部门财政资金收入情况。</w:t>
      </w:r>
    </w:p>
    <w:p>
      <w:pPr>
        <w:pageBreakBefore w:val="0"/>
        <w:kinsoku/>
        <w:wordWrap/>
        <w:overflowPunct/>
        <w:topLinePunct w:val="0"/>
        <w:bidi w:val="0"/>
        <w:spacing w:line="576"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2019年财政拨款收入3211.72万元，其中本年收入2338.87万元（其中一般公共预算财政拨款收入1693.87万元，政府性基金预算财政拨款收入645万元），年初财政拨款结转872.85万元。</w:t>
      </w:r>
    </w:p>
    <w:p>
      <w:pPr>
        <w:pageBreakBefore w:val="0"/>
        <w:kinsoku/>
        <w:wordWrap/>
        <w:overflowPunct/>
        <w:topLinePunct w:val="0"/>
        <w:bidi w:val="0"/>
        <w:spacing w:line="576"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（二）部门财政资金支出情况。</w:t>
      </w:r>
    </w:p>
    <w:p>
      <w:pPr>
        <w:pageBreakBefore w:val="0"/>
        <w:kinsoku/>
        <w:wordWrap/>
        <w:overflowPunct/>
        <w:topLinePunct w:val="0"/>
        <w:bidi w:val="0"/>
        <w:spacing w:line="576"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2019年财政拨款支出2706.61万元，其中一般公共预算财政拨款支出1961.46万元，政府性基金预算财政拨款支出745.15万元，执行进度为84.27%。</w:t>
      </w:r>
    </w:p>
    <w:p>
      <w:pPr>
        <w:pageBreakBefore w:val="0"/>
        <w:kinsoku/>
        <w:wordWrap/>
        <w:overflowPunct/>
        <w:topLinePunct w:val="0"/>
        <w:bidi w:val="0"/>
        <w:spacing w:line="576" w:lineRule="exact"/>
        <w:ind w:firstLine="640" w:firstLineChars="200"/>
        <w:jc w:val="both"/>
        <w:textAlignment w:val="auto"/>
        <w:rPr>
          <w:rFonts w:ascii="黑体" w:hAnsi="黑体" w:eastAsia="黑体" w:cs="黑体"/>
          <w:sz w:val="32"/>
          <w:szCs w:val="32"/>
        </w:rPr>
      </w:pPr>
      <w:r>
        <w:rPr>
          <w:rFonts w:ascii="黑体" w:hAnsi="黑体" w:eastAsia="黑体" w:cs="黑体"/>
          <w:sz w:val="32"/>
          <w:szCs w:val="32"/>
        </w:rPr>
        <w:t>三、部门整体预算绩效管理情况</w:t>
      </w:r>
    </w:p>
    <w:p>
      <w:pPr>
        <w:pageBreakBefore w:val="0"/>
        <w:kinsoku/>
        <w:wordWrap/>
        <w:overflowPunct/>
        <w:topLinePunct w:val="0"/>
        <w:bidi w:val="0"/>
        <w:spacing w:line="576"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（一）部门预算管理。</w:t>
      </w:r>
    </w:p>
    <w:p>
      <w:pPr>
        <w:pageBreakBefore w:val="0"/>
        <w:kinsoku/>
        <w:wordWrap/>
        <w:overflowPunct/>
        <w:topLinePunct w:val="0"/>
        <w:bidi w:val="0"/>
        <w:spacing w:line="576" w:lineRule="exact"/>
        <w:ind w:firstLine="640" w:firstLineChars="200"/>
        <w:jc w:val="both"/>
        <w:textAlignment w:val="auto"/>
        <w:rPr>
          <w:rFonts w:ascii="仿宋_GB2312" w:hAnsi="宋体" w:eastAsia="仿宋_GB2312" w:cs="Arial"/>
          <w:sz w:val="32"/>
          <w:szCs w:val="32"/>
        </w:rPr>
      </w:pPr>
      <w:r>
        <w:rPr>
          <w:rFonts w:hint="eastAsia" w:ascii="仿宋_GB2312" w:hAnsi="宋体" w:eastAsia="仿宋_GB2312" w:cs="Arial"/>
          <w:sz w:val="32"/>
          <w:szCs w:val="32"/>
        </w:rPr>
        <w:t>按照国家政策法规规定和本部门实际情况，本部门成立了绩效管理领导小组，建立健全财务基础管理制度和约束机制，依法有效使用财政资金，提高财政资金使用效率，在完成部门职能目标中合理分配人、财、物，使之到达较高的工作效率和水平。完成了全年目标任务；部门预算编制完整、准确；部门绩效目标填报完整合理，并及时在政府门户网站进行主动公开；严格执行预算，在执行过程中无预算项目调整；2019年财政拨款支出2706.61万元，占预算84.27%，由于项目跨年实施，余款尚未完全支付；三公经费年初预算数为43.70万元，决算数为43.32万元，完成预算的99.13%；严格执行非税收入管理制度，按时完成部门非税收入预算指标，全年共完成非税收入342.39万元；严格遵守政府采购专项管理办法，认真编制政府采购并实施计划；专人负责资产管理系统录入工作，信息管理系统完善健全；完善了《机关内控制度手册》，内控制度健全完整；按要求在门户网站公开了预决算和绩效信息；在规定时间内开展了绩效自评工作，绩效目标完整合理；严格按照公务卡强制结算目录规范公务支出，按照授权支付管理程序支付，无违规支出现象；主动接受审计、财政部门监督检查，全年无违规违纪现象。</w:t>
      </w:r>
    </w:p>
    <w:p>
      <w:pPr>
        <w:pageBreakBefore w:val="0"/>
        <w:kinsoku/>
        <w:wordWrap/>
        <w:overflowPunct/>
        <w:topLinePunct w:val="0"/>
        <w:bidi w:val="0"/>
        <w:spacing w:line="576"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）结果应用情况。</w:t>
      </w:r>
    </w:p>
    <w:p>
      <w:pPr>
        <w:pageBreakBefore w:val="0"/>
        <w:kinsoku/>
        <w:wordWrap/>
        <w:overflowPunct/>
        <w:topLinePunct w:val="0"/>
        <w:bidi w:val="0"/>
        <w:spacing w:line="576"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自评质量进一步提高，对评价结果及时予以公开，对财政部门提出的建议高度重视，立行立改，严格预算管理，在项目申报时明确项目绩效目标并量化，在实施中严格按照项目计划实施，进一步提高了资金使用效益，使项目达到预期效果。</w:t>
      </w:r>
    </w:p>
    <w:p>
      <w:pPr>
        <w:pageBreakBefore w:val="0"/>
        <w:kinsoku/>
        <w:wordWrap/>
        <w:overflowPunct/>
        <w:topLinePunct w:val="0"/>
        <w:bidi w:val="0"/>
        <w:spacing w:line="576" w:lineRule="exact"/>
        <w:ind w:firstLine="640" w:firstLineChars="200"/>
        <w:jc w:val="both"/>
        <w:textAlignment w:val="auto"/>
        <w:rPr>
          <w:rFonts w:ascii="黑体" w:hAnsi="黑体" w:eastAsia="黑体" w:cs="黑体"/>
          <w:sz w:val="32"/>
          <w:szCs w:val="32"/>
        </w:rPr>
      </w:pPr>
      <w:r>
        <w:rPr>
          <w:rFonts w:ascii="黑体" w:hAnsi="黑体" w:eastAsia="黑体" w:cs="黑体"/>
          <w:sz w:val="32"/>
          <w:szCs w:val="32"/>
        </w:rPr>
        <w:t>四、评价结论及建议</w:t>
      </w:r>
    </w:p>
    <w:p>
      <w:pPr>
        <w:pageBreakBefore w:val="0"/>
        <w:kinsoku/>
        <w:wordWrap/>
        <w:overflowPunct/>
        <w:topLinePunct w:val="0"/>
        <w:bidi w:val="0"/>
        <w:spacing w:line="576" w:lineRule="exact"/>
        <w:ind w:firstLine="640" w:firstLineChars="200"/>
        <w:jc w:val="both"/>
        <w:textAlignment w:val="auto"/>
        <w:rPr>
          <w:rFonts w:ascii="仿宋_GB2312" w:hAnsi="宋体" w:eastAsia="仿宋_GB2312" w:cs="Arial"/>
          <w:sz w:val="32"/>
          <w:szCs w:val="32"/>
        </w:rPr>
      </w:pPr>
      <w:r>
        <w:rPr>
          <w:rFonts w:hint="eastAsia" w:ascii="楷体_GB2312" w:hAnsi="楷体_GB2312" w:eastAsia="楷体_GB2312" w:cs="楷体_GB2312"/>
          <w:sz w:val="32"/>
          <w:szCs w:val="32"/>
        </w:rPr>
        <w:t>（一）评价结论。</w:t>
      </w:r>
      <w:r>
        <w:rPr>
          <w:rFonts w:hint="eastAsia" w:ascii="仿宋_GB2312" w:hAnsi="宋体" w:eastAsia="仿宋_GB2312" w:cs="Arial"/>
          <w:sz w:val="32"/>
          <w:szCs w:val="32"/>
        </w:rPr>
        <w:t>按时按质编报部门预决算，年度预算执行基本收支平衡，财务管理规范，制度健全，严格执行国库集中支付、公务卡强制结算目录、政府采购、非税收入征收管理以及厉行节约等财政政策，主动接受审计、财政等部门的监督检查，无违规违纪现象，按规定科目对项目进行核算。通过项目实施，对项目所在地的基础设施建设提供了有利的保障，对项目区水土保持、城市建设和发展、环境美化和交通提供了保障。</w:t>
      </w:r>
    </w:p>
    <w:p>
      <w:pPr>
        <w:pageBreakBefore w:val="0"/>
        <w:kinsoku/>
        <w:wordWrap/>
        <w:overflowPunct/>
        <w:topLinePunct w:val="0"/>
        <w:bidi w:val="0"/>
        <w:spacing w:line="576"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（二）存在问题。</w:t>
      </w:r>
    </w:p>
    <w:p>
      <w:pPr>
        <w:pageBreakBefore w:val="0"/>
        <w:kinsoku/>
        <w:wordWrap/>
        <w:overflowPunct/>
        <w:topLinePunct w:val="0"/>
        <w:bidi w:val="0"/>
        <w:spacing w:line="576" w:lineRule="exact"/>
        <w:ind w:firstLine="640" w:firstLineChars="200"/>
        <w:jc w:val="both"/>
        <w:textAlignment w:val="auto"/>
        <w:rPr>
          <w:rFonts w:ascii="仿宋_GB2312" w:hAnsi="宋体" w:eastAsia="仿宋_GB2312" w:cs="Arial"/>
          <w:sz w:val="32"/>
          <w:szCs w:val="32"/>
        </w:rPr>
      </w:pPr>
      <w:r>
        <w:rPr>
          <w:rFonts w:hint="eastAsia" w:ascii="仿宋_GB2312" w:hAnsi="仿宋" w:eastAsia="仿宋_GB2312" w:cs="仿宋_GB2312"/>
          <w:sz w:val="32"/>
          <w:szCs w:val="32"/>
        </w:rPr>
        <w:t>一是</w:t>
      </w:r>
      <w:r>
        <w:rPr>
          <w:rFonts w:hint="eastAsia" w:ascii="仿宋_GB2312" w:hAnsi="宋体" w:eastAsia="仿宋_GB2312" w:cs="Arial"/>
          <w:sz w:val="32"/>
          <w:szCs w:val="32"/>
        </w:rPr>
        <w:t>部分项目存在跨年度实施、已完工项目存在未完成项目结算审计等情况，致使资金未及时支付，造成年度资金结转额度较大的问题。</w:t>
      </w:r>
    </w:p>
    <w:p>
      <w:pPr>
        <w:pageBreakBefore w:val="0"/>
        <w:kinsoku/>
        <w:wordWrap/>
        <w:overflowPunct/>
        <w:topLinePunct w:val="0"/>
        <w:bidi w:val="0"/>
        <w:spacing w:line="576"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二是应急项目存在直接指定施工单位的问题。</w:t>
      </w:r>
    </w:p>
    <w:p>
      <w:pPr>
        <w:pageBreakBefore w:val="0"/>
        <w:kinsoku/>
        <w:wordWrap/>
        <w:overflowPunct/>
        <w:topLinePunct w:val="0"/>
        <w:bidi w:val="0"/>
        <w:spacing w:line="576"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（三）改进建议。</w:t>
      </w:r>
    </w:p>
    <w:p>
      <w:pPr>
        <w:pageBreakBefore w:val="0"/>
        <w:kinsoku/>
        <w:wordWrap/>
        <w:overflowPunct/>
        <w:topLinePunct w:val="0"/>
        <w:bidi w:val="0"/>
        <w:spacing w:line="576" w:lineRule="exact"/>
        <w:ind w:firstLine="640" w:firstLineChars="200"/>
        <w:jc w:val="both"/>
        <w:textAlignment w:val="auto"/>
        <w:rPr>
          <w:rFonts w:hint="eastAsia" w:ascii="仿宋_GB2312" w:hAnsi="宋体" w:eastAsia="仿宋_GB2312" w:cs="Arial"/>
          <w:sz w:val="32"/>
          <w:szCs w:val="32"/>
        </w:rPr>
      </w:pPr>
      <w:r>
        <w:rPr>
          <w:rFonts w:hint="eastAsia" w:ascii="仿宋_GB2312" w:hAnsi="宋体" w:eastAsia="仿宋_GB2312" w:cs="Arial"/>
          <w:sz w:val="32"/>
          <w:szCs w:val="32"/>
        </w:rPr>
        <w:t xml:space="preserve">一是进一步加强项目推进进度，及时完善项目决算，确保资金及时支付。强化财政资金的管理，提高资金使用效益。 </w:t>
      </w:r>
    </w:p>
    <w:p>
      <w:pPr>
        <w:pageBreakBefore w:val="0"/>
        <w:kinsoku/>
        <w:wordWrap/>
        <w:overflowPunct/>
        <w:topLinePunct w:val="0"/>
        <w:bidi w:val="0"/>
        <w:spacing w:line="576" w:lineRule="exact"/>
        <w:ind w:firstLine="640" w:firstLineChars="200"/>
        <w:jc w:val="both"/>
        <w:textAlignment w:val="auto"/>
        <w:rPr>
          <w:rFonts w:hint="eastAsia" w:ascii="仿宋_GB2312" w:hAnsi="宋体" w:eastAsia="仿宋_GB2312" w:cs="Arial"/>
          <w:sz w:val="32"/>
          <w:szCs w:val="32"/>
        </w:rPr>
      </w:pPr>
      <w:r>
        <w:rPr>
          <w:rFonts w:hint="eastAsia" w:ascii="仿宋_GB2312" w:hAnsi="宋体" w:eastAsia="仿宋_GB2312" w:cs="Arial"/>
          <w:sz w:val="32"/>
          <w:szCs w:val="32"/>
        </w:rPr>
        <w:t>二是要严格按照规定执行招标程序，进一步规范项目实施资料。</w:t>
      </w:r>
    </w:p>
    <w:p>
      <w:bookmarkStart w:id="60" w:name="_Toc15396617"/>
    </w:p>
    <w:bookmarkEnd w:id="60"/>
    <w:p>
      <w:pPr>
        <w:pStyle w:val="3"/>
        <w:pageBreakBefore w:val="0"/>
        <w:kinsoku/>
        <w:wordWrap/>
        <w:overflowPunct/>
        <w:topLinePunct w:val="0"/>
        <w:bidi w:val="0"/>
        <w:spacing w:line="576" w:lineRule="exact"/>
        <w:jc w:val="center"/>
        <w:textAlignment w:val="auto"/>
        <w:rPr>
          <w:rStyle w:val="24"/>
          <w:rFonts w:hint="eastAsia" w:ascii="黑体" w:hAnsi="黑体" w:eastAsia="黑体"/>
          <w:b w:val="0"/>
          <w:bCs/>
        </w:rPr>
      </w:pPr>
      <w:bookmarkStart w:id="61" w:name="_Toc15396618"/>
    </w:p>
    <w:p>
      <w:pPr>
        <w:pStyle w:val="3"/>
        <w:pageBreakBefore w:val="0"/>
        <w:kinsoku/>
        <w:wordWrap/>
        <w:overflowPunct/>
        <w:topLinePunct w:val="0"/>
        <w:bidi w:val="0"/>
        <w:spacing w:line="576" w:lineRule="exact"/>
        <w:jc w:val="center"/>
        <w:textAlignment w:val="auto"/>
        <w:rPr>
          <w:rStyle w:val="24"/>
          <w:rFonts w:hint="eastAsia" w:ascii="黑体" w:hAnsi="黑体" w:eastAsia="黑体"/>
          <w:b w:val="0"/>
          <w:bCs/>
        </w:rPr>
      </w:pPr>
      <w:r>
        <w:rPr>
          <w:rStyle w:val="24"/>
          <w:rFonts w:hint="eastAsia" w:ascii="黑体" w:hAnsi="黑体" w:eastAsia="黑体"/>
          <w:b w:val="0"/>
          <w:bCs/>
        </w:rPr>
        <w:t>第五部分 附</w:t>
      </w:r>
      <w:r>
        <w:rPr>
          <w:rStyle w:val="24"/>
          <w:rFonts w:hint="eastAsia" w:ascii="黑体" w:hAnsi="黑体" w:eastAsia="黑体"/>
          <w:b w:val="0"/>
          <w:bCs/>
          <w:lang w:val="en-US" w:eastAsia="zh-CN"/>
        </w:rPr>
        <w:t xml:space="preserve"> </w:t>
      </w:r>
      <w:r>
        <w:rPr>
          <w:rStyle w:val="24"/>
          <w:rFonts w:hint="eastAsia" w:ascii="黑体" w:hAnsi="黑体" w:eastAsia="黑体"/>
          <w:b w:val="0"/>
          <w:bCs/>
        </w:rPr>
        <w:t>表</w:t>
      </w:r>
      <w:bookmarkEnd w:id="58"/>
      <w:bookmarkEnd w:id="61"/>
    </w:p>
    <w:p>
      <w:pPr>
        <w:rPr>
          <w:rFonts w:hint="eastAsia" w:ascii="仿宋" w:hAnsi="仿宋" w:eastAsia="仿宋" w:cs="仿宋"/>
          <w:sz w:val="32"/>
          <w:szCs w:val="32"/>
        </w:rPr>
      </w:pPr>
      <w:bookmarkStart w:id="62" w:name="_Toc15396619"/>
      <w:r>
        <w:rPr>
          <w:rFonts w:hint="eastAsia" w:ascii="仿宋" w:hAnsi="仿宋" w:eastAsia="仿宋" w:cs="仿宋"/>
          <w:sz w:val="32"/>
          <w:szCs w:val="32"/>
        </w:rPr>
        <w:t>一、收入支出决算总表</w:t>
      </w:r>
      <w:bookmarkEnd w:id="62"/>
    </w:p>
    <w:p>
      <w:pPr>
        <w:rPr>
          <w:rFonts w:hint="eastAsia" w:ascii="仿宋" w:hAnsi="仿宋" w:eastAsia="仿宋" w:cs="仿宋"/>
          <w:sz w:val="32"/>
          <w:szCs w:val="32"/>
        </w:rPr>
      </w:pPr>
      <w:bookmarkStart w:id="63" w:name="_Toc15396620"/>
      <w:r>
        <w:rPr>
          <w:rFonts w:hint="eastAsia" w:ascii="仿宋" w:hAnsi="仿宋" w:eastAsia="仿宋" w:cs="仿宋"/>
          <w:sz w:val="32"/>
          <w:szCs w:val="32"/>
        </w:rPr>
        <w:t>二、收入总表</w:t>
      </w:r>
      <w:bookmarkEnd w:id="63"/>
    </w:p>
    <w:p>
      <w:pPr>
        <w:rPr>
          <w:rFonts w:hint="eastAsia" w:ascii="仿宋" w:hAnsi="仿宋" w:eastAsia="仿宋" w:cs="仿宋"/>
          <w:sz w:val="32"/>
          <w:szCs w:val="32"/>
        </w:rPr>
      </w:pPr>
      <w:bookmarkStart w:id="64" w:name="_Toc15396621"/>
      <w:r>
        <w:rPr>
          <w:rFonts w:hint="eastAsia" w:ascii="仿宋" w:hAnsi="仿宋" w:eastAsia="仿宋" w:cs="仿宋"/>
          <w:sz w:val="32"/>
          <w:szCs w:val="32"/>
        </w:rPr>
        <w:t>三、支出总表</w:t>
      </w:r>
      <w:bookmarkEnd w:id="64"/>
    </w:p>
    <w:p>
      <w:pPr>
        <w:rPr>
          <w:rFonts w:hint="eastAsia" w:ascii="仿宋" w:hAnsi="仿宋" w:eastAsia="仿宋" w:cs="仿宋"/>
          <w:sz w:val="32"/>
          <w:szCs w:val="32"/>
        </w:rPr>
      </w:pPr>
      <w:bookmarkStart w:id="65" w:name="_Toc15396622"/>
      <w:r>
        <w:rPr>
          <w:rFonts w:hint="eastAsia" w:ascii="仿宋" w:hAnsi="仿宋" w:eastAsia="仿宋" w:cs="仿宋"/>
          <w:sz w:val="32"/>
          <w:szCs w:val="32"/>
        </w:rPr>
        <w:t>四、财政拨款收入支出决算总表</w:t>
      </w:r>
      <w:bookmarkEnd w:id="65"/>
    </w:p>
    <w:p>
      <w:pPr>
        <w:rPr>
          <w:rFonts w:hint="eastAsia" w:ascii="仿宋" w:hAnsi="仿宋" w:eastAsia="仿宋" w:cs="仿宋"/>
          <w:sz w:val="32"/>
          <w:szCs w:val="32"/>
        </w:rPr>
      </w:pPr>
      <w:bookmarkStart w:id="66" w:name="_Toc15396623"/>
      <w:r>
        <w:rPr>
          <w:rFonts w:hint="eastAsia" w:ascii="仿宋" w:hAnsi="仿宋" w:eastAsia="仿宋" w:cs="仿宋"/>
          <w:sz w:val="32"/>
          <w:szCs w:val="32"/>
        </w:rPr>
        <w:t>五、财政拨款支出决算明细表（政府经济分类科目）</w:t>
      </w:r>
      <w:bookmarkEnd w:id="66"/>
    </w:p>
    <w:p>
      <w:pPr>
        <w:rPr>
          <w:rFonts w:hint="eastAsia" w:ascii="仿宋" w:hAnsi="仿宋" w:eastAsia="仿宋" w:cs="仿宋"/>
          <w:sz w:val="32"/>
          <w:szCs w:val="32"/>
        </w:rPr>
      </w:pPr>
      <w:bookmarkStart w:id="67" w:name="_Toc15396624"/>
      <w:r>
        <w:rPr>
          <w:rFonts w:hint="eastAsia" w:ascii="仿宋" w:hAnsi="仿宋" w:eastAsia="仿宋" w:cs="仿宋"/>
          <w:sz w:val="32"/>
          <w:szCs w:val="32"/>
        </w:rPr>
        <w:t>六、一般公共预算财政拨款支出决算表</w:t>
      </w:r>
      <w:bookmarkEnd w:id="67"/>
    </w:p>
    <w:p>
      <w:pPr>
        <w:rPr>
          <w:rFonts w:hint="eastAsia" w:ascii="仿宋" w:hAnsi="仿宋" w:eastAsia="仿宋" w:cs="仿宋"/>
          <w:sz w:val="32"/>
          <w:szCs w:val="32"/>
        </w:rPr>
      </w:pPr>
      <w:bookmarkStart w:id="68" w:name="_Toc15396625"/>
      <w:r>
        <w:rPr>
          <w:rFonts w:hint="eastAsia" w:ascii="仿宋" w:hAnsi="仿宋" w:eastAsia="仿宋" w:cs="仿宋"/>
          <w:sz w:val="32"/>
          <w:szCs w:val="32"/>
        </w:rPr>
        <w:t>七、一般公共预算财政拨款支出决算明细表</w:t>
      </w:r>
      <w:bookmarkEnd w:id="68"/>
    </w:p>
    <w:p>
      <w:pPr>
        <w:rPr>
          <w:rFonts w:hint="eastAsia" w:ascii="仿宋" w:hAnsi="仿宋" w:eastAsia="仿宋" w:cs="仿宋"/>
          <w:sz w:val="32"/>
          <w:szCs w:val="32"/>
        </w:rPr>
      </w:pPr>
      <w:bookmarkStart w:id="69" w:name="_Toc15396626"/>
      <w:r>
        <w:rPr>
          <w:rFonts w:hint="eastAsia" w:ascii="仿宋" w:hAnsi="仿宋" w:eastAsia="仿宋" w:cs="仿宋"/>
          <w:sz w:val="32"/>
          <w:szCs w:val="32"/>
        </w:rPr>
        <w:t>八、一般公共预算财政拨款基本支出决算表</w:t>
      </w:r>
      <w:bookmarkEnd w:id="69"/>
    </w:p>
    <w:p>
      <w:pPr>
        <w:rPr>
          <w:rFonts w:hint="eastAsia" w:ascii="仿宋" w:hAnsi="仿宋" w:eastAsia="仿宋" w:cs="仿宋"/>
          <w:sz w:val="32"/>
          <w:szCs w:val="32"/>
        </w:rPr>
      </w:pPr>
      <w:bookmarkStart w:id="70" w:name="_Toc15396627"/>
      <w:r>
        <w:rPr>
          <w:rFonts w:hint="eastAsia" w:ascii="仿宋" w:hAnsi="仿宋" w:eastAsia="仿宋" w:cs="仿宋"/>
          <w:sz w:val="32"/>
          <w:szCs w:val="32"/>
        </w:rPr>
        <w:t>九、一般公共预算财政拨款项目支出决算表</w:t>
      </w:r>
      <w:bookmarkEnd w:id="70"/>
    </w:p>
    <w:p>
      <w:pPr>
        <w:rPr>
          <w:rFonts w:hint="eastAsia" w:ascii="仿宋" w:hAnsi="仿宋" w:eastAsia="仿宋" w:cs="仿宋"/>
          <w:sz w:val="32"/>
          <w:szCs w:val="32"/>
        </w:rPr>
      </w:pPr>
      <w:bookmarkStart w:id="71" w:name="_Toc15396628"/>
      <w:r>
        <w:rPr>
          <w:rFonts w:hint="eastAsia" w:ascii="仿宋" w:hAnsi="仿宋" w:eastAsia="仿宋" w:cs="仿宋"/>
          <w:sz w:val="32"/>
          <w:szCs w:val="32"/>
        </w:rPr>
        <w:t>十、一般公共预算财政拨款“三公”经费支出决算表</w:t>
      </w:r>
      <w:bookmarkEnd w:id="71"/>
    </w:p>
    <w:p>
      <w:pPr>
        <w:rPr>
          <w:rFonts w:hint="eastAsia" w:ascii="仿宋" w:hAnsi="仿宋" w:eastAsia="仿宋" w:cs="仿宋"/>
          <w:sz w:val="32"/>
          <w:szCs w:val="32"/>
        </w:rPr>
      </w:pPr>
      <w:bookmarkStart w:id="72" w:name="_Toc15396629"/>
      <w:r>
        <w:rPr>
          <w:rFonts w:hint="eastAsia" w:ascii="仿宋" w:hAnsi="仿宋" w:eastAsia="仿宋" w:cs="仿宋"/>
          <w:sz w:val="32"/>
          <w:szCs w:val="32"/>
        </w:rPr>
        <w:t>十一、政府性基金预算财政拨款收入支出决算表</w:t>
      </w:r>
      <w:bookmarkEnd w:id="72"/>
    </w:p>
    <w:p>
      <w:pPr>
        <w:rPr>
          <w:rFonts w:hint="eastAsia" w:ascii="仿宋" w:hAnsi="仿宋" w:eastAsia="仿宋" w:cs="仿宋"/>
          <w:sz w:val="32"/>
          <w:szCs w:val="32"/>
        </w:rPr>
      </w:pPr>
      <w:bookmarkStart w:id="73" w:name="_Toc15396630"/>
      <w:r>
        <w:rPr>
          <w:rFonts w:hint="eastAsia" w:ascii="仿宋" w:hAnsi="仿宋" w:eastAsia="仿宋" w:cs="仿宋"/>
          <w:sz w:val="32"/>
          <w:szCs w:val="32"/>
        </w:rPr>
        <w:t>十二、政府性基金预算财政拨款“三公”经费支出决算表</w:t>
      </w:r>
      <w:bookmarkEnd w:id="73"/>
    </w:p>
    <w:p>
      <w:pPr>
        <w:rPr>
          <w:rFonts w:hint="eastAsia" w:ascii="仿宋" w:hAnsi="仿宋" w:eastAsia="仿宋" w:cs="仿宋"/>
          <w:sz w:val="32"/>
          <w:szCs w:val="32"/>
        </w:rPr>
      </w:pPr>
      <w:bookmarkStart w:id="74" w:name="_Toc15396631"/>
      <w:r>
        <w:rPr>
          <w:rFonts w:hint="eastAsia" w:ascii="仿宋" w:hAnsi="仿宋" w:eastAsia="仿宋" w:cs="仿宋"/>
          <w:sz w:val="32"/>
          <w:szCs w:val="32"/>
        </w:rPr>
        <w:t>十三、国有资本经营预算支出决算表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21D4"/>
    <w:rsid w:val="00012684"/>
    <w:rsid w:val="00014248"/>
    <w:rsid w:val="000222C6"/>
    <w:rsid w:val="0002549F"/>
    <w:rsid w:val="00043AE2"/>
    <w:rsid w:val="00051BAC"/>
    <w:rsid w:val="00054038"/>
    <w:rsid w:val="00062FE0"/>
    <w:rsid w:val="00063FE1"/>
    <w:rsid w:val="0006487A"/>
    <w:rsid w:val="00065F8F"/>
    <w:rsid w:val="00074936"/>
    <w:rsid w:val="000768F2"/>
    <w:rsid w:val="0009184B"/>
    <w:rsid w:val="0009593C"/>
    <w:rsid w:val="000A0FFB"/>
    <w:rsid w:val="000B047F"/>
    <w:rsid w:val="000B5923"/>
    <w:rsid w:val="000B5A48"/>
    <w:rsid w:val="000B6FF3"/>
    <w:rsid w:val="000C1E24"/>
    <w:rsid w:val="000C3467"/>
    <w:rsid w:val="000C3CA6"/>
    <w:rsid w:val="000D1267"/>
    <w:rsid w:val="000D1A3B"/>
    <w:rsid w:val="000D1D50"/>
    <w:rsid w:val="000D1F4D"/>
    <w:rsid w:val="000D5782"/>
    <w:rsid w:val="000E6613"/>
    <w:rsid w:val="000E7119"/>
    <w:rsid w:val="00114E9B"/>
    <w:rsid w:val="001269E6"/>
    <w:rsid w:val="00131313"/>
    <w:rsid w:val="0014729F"/>
    <w:rsid w:val="00154710"/>
    <w:rsid w:val="00157BAB"/>
    <w:rsid w:val="001632FD"/>
    <w:rsid w:val="001654D1"/>
    <w:rsid w:val="00176EB4"/>
    <w:rsid w:val="0018106D"/>
    <w:rsid w:val="00183DBA"/>
    <w:rsid w:val="001877A7"/>
    <w:rsid w:val="00191536"/>
    <w:rsid w:val="00196687"/>
    <w:rsid w:val="001A2E08"/>
    <w:rsid w:val="001B7F2B"/>
    <w:rsid w:val="001C0962"/>
    <w:rsid w:val="001D58CF"/>
    <w:rsid w:val="001D7531"/>
    <w:rsid w:val="001E737D"/>
    <w:rsid w:val="001F0592"/>
    <w:rsid w:val="001F53CC"/>
    <w:rsid w:val="001F7506"/>
    <w:rsid w:val="002006CD"/>
    <w:rsid w:val="00202B36"/>
    <w:rsid w:val="00204B7A"/>
    <w:rsid w:val="0021101A"/>
    <w:rsid w:val="00214FF1"/>
    <w:rsid w:val="00220536"/>
    <w:rsid w:val="00227123"/>
    <w:rsid w:val="00235629"/>
    <w:rsid w:val="0024660A"/>
    <w:rsid w:val="00260C38"/>
    <w:rsid w:val="002616C0"/>
    <w:rsid w:val="002662AA"/>
    <w:rsid w:val="00276D32"/>
    <w:rsid w:val="00280496"/>
    <w:rsid w:val="00294DB0"/>
    <w:rsid w:val="00295495"/>
    <w:rsid w:val="002A636B"/>
    <w:rsid w:val="002B2613"/>
    <w:rsid w:val="002C1058"/>
    <w:rsid w:val="002D32B5"/>
    <w:rsid w:val="002E1058"/>
    <w:rsid w:val="002E7AF5"/>
    <w:rsid w:val="002F1818"/>
    <w:rsid w:val="002F567B"/>
    <w:rsid w:val="00300C8E"/>
    <w:rsid w:val="0030179C"/>
    <w:rsid w:val="00317F1B"/>
    <w:rsid w:val="003216A9"/>
    <w:rsid w:val="00333D74"/>
    <w:rsid w:val="003365E6"/>
    <w:rsid w:val="00351C25"/>
    <w:rsid w:val="0037013F"/>
    <w:rsid w:val="00380C92"/>
    <w:rsid w:val="003832C8"/>
    <w:rsid w:val="003A484F"/>
    <w:rsid w:val="003B0BE0"/>
    <w:rsid w:val="003B0C1B"/>
    <w:rsid w:val="003B688C"/>
    <w:rsid w:val="003C0291"/>
    <w:rsid w:val="003C264E"/>
    <w:rsid w:val="003C39AE"/>
    <w:rsid w:val="003C7B60"/>
    <w:rsid w:val="003D1FB2"/>
    <w:rsid w:val="003D66DA"/>
    <w:rsid w:val="003E1310"/>
    <w:rsid w:val="003E6F55"/>
    <w:rsid w:val="003F5C53"/>
    <w:rsid w:val="00406254"/>
    <w:rsid w:val="004155FE"/>
    <w:rsid w:val="004223DE"/>
    <w:rsid w:val="00434489"/>
    <w:rsid w:val="00437085"/>
    <w:rsid w:val="00442CF0"/>
    <w:rsid w:val="00443880"/>
    <w:rsid w:val="004464F4"/>
    <w:rsid w:val="00455E1F"/>
    <w:rsid w:val="00471401"/>
    <w:rsid w:val="00473F31"/>
    <w:rsid w:val="0048263A"/>
    <w:rsid w:val="00487E5D"/>
    <w:rsid w:val="004904B9"/>
    <w:rsid w:val="00496292"/>
    <w:rsid w:val="004A711F"/>
    <w:rsid w:val="004B199D"/>
    <w:rsid w:val="004B3297"/>
    <w:rsid w:val="004B4690"/>
    <w:rsid w:val="004E0A2D"/>
    <w:rsid w:val="004E1E86"/>
    <w:rsid w:val="004E206B"/>
    <w:rsid w:val="004E6DF7"/>
    <w:rsid w:val="004F0FBD"/>
    <w:rsid w:val="004F5670"/>
    <w:rsid w:val="00505A47"/>
    <w:rsid w:val="00512FDA"/>
    <w:rsid w:val="00520DA0"/>
    <w:rsid w:val="00544647"/>
    <w:rsid w:val="00564E2E"/>
    <w:rsid w:val="005664BB"/>
    <w:rsid w:val="0057481D"/>
    <w:rsid w:val="0058486E"/>
    <w:rsid w:val="0059378D"/>
    <w:rsid w:val="005A344A"/>
    <w:rsid w:val="005A7DC1"/>
    <w:rsid w:val="005D1C8B"/>
    <w:rsid w:val="005D5CED"/>
    <w:rsid w:val="005D5F8E"/>
    <w:rsid w:val="005E4642"/>
    <w:rsid w:val="005E624B"/>
    <w:rsid w:val="005F1A4C"/>
    <w:rsid w:val="00605688"/>
    <w:rsid w:val="006070AF"/>
    <w:rsid w:val="00607E6C"/>
    <w:rsid w:val="006101B1"/>
    <w:rsid w:val="00614E44"/>
    <w:rsid w:val="00622830"/>
    <w:rsid w:val="00630AEF"/>
    <w:rsid w:val="006325F8"/>
    <w:rsid w:val="00634C9A"/>
    <w:rsid w:val="0064064C"/>
    <w:rsid w:val="006440E4"/>
    <w:rsid w:val="00652E82"/>
    <w:rsid w:val="00661670"/>
    <w:rsid w:val="0066343B"/>
    <w:rsid w:val="00664777"/>
    <w:rsid w:val="006747CA"/>
    <w:rsid w:val="006748A4"/>
    <w:rsid w:val="00683E73"/>
    <w:rsid w:val="00687188"/>
    <w:rsid w:val="006A3141"/>
    <w:rsid w:val="006A5E34"/>
    <w:rsid w:val="006B2422"/>
    <w:rsid w:val="006B2B9A"/>
    <w:rsid w:val="006C1937"/>
    <w:rsid w:val="006F020C"/>
    <w:rsid w:val="007127B7"/>
    <w:rsid w:val="007200F1"/>
    <w:rsid w:val="0072791D"/>
    <w:rsid w:val="00733B9A"/>
    <w:rsid w:val="007416B6"/>
    <w:rsid w:val="00745ACB"/>
    <w:rsid w:val="00746F48"/>
    <w:rsid w:val="0075404D"/>
    <w:rsid w:val="0076182A"/>
    <w:rsid w:val="00767B7E"/>
    <w:rsid w:val="007770C3"/>
    <w:rsid w:val="00784D24"/>
    <w:rsid w:val="00785FBA"/>
    <w:rsid w:val="00786E4A"/>
    <w:rsid w:val="007875EB"/>
    <w:rsid w:val="007906CD"/>
    <w:rsid w:val="0079426B"/>
    <w:rsid w:val="007A73AC"/>
    <w:rsid w:val="007B0CE4"/>
    <w:rsid w:val="007C0805"/>
    <w:rsid w:val="007C2E88"/>
    <w:rsid w:val="007D312A"/>
    <w:rsid w:val="007D3ACA"/>
    <w:rsid w:val="007D3F19"/>
    <w:rsid w:val="007E23B0"/>
    <w:rsid w:val="007E638F"/>
    <w:rsid w:val="007F1991"/>
    <w:rsid w:val="007F2C2F"/>
    <w:rsid w:val="007F395E"/>
    <w:rsid w:val="007F3B10"/>
    <w:rsid w:val="007F55FC"/>
    <w:rsid w:val="007F5665"/>
    <w:rsid w:val="00800112"/>
    <w:rsid w:val="00820283"/>
    <w:rsid w:val="008253BB"/>
    <w:rsid w:val="0083706E"/>
    <w:rsid w:val="008408DB"/>
    <w:rsid w:val="008423A5"/>
    <w:rsid w:val="00845357"/>
    <w:rsid w:val="00850625"/>
    <w:rsid w:val="00853718"/>
    <w:rsid w:val="00855221"/>
    <w:rsid w:val="00860645"/>
    <w:rsid w:val="0086386F"/>
    <w:rsid w:val="008642F9"/>
    <w:rsid w:val="00871F71"/>
    <w:rsid w:val="00882295"/>
    <w:rsid w:val="00885AF4"/>
    <w:rsid w:val="008939CD"/>
    <w:rsid w:val="008A4182"/>
    <w:rsid w:val="008A580F"/>
    <w:rsid w:val="008B768C"/>
    <w:rsid w:val="008C099B"/>
    <w:rsid w:val="008C4DB1"/>
    <w:rsid w:val="008C4EAF"/>
    <w:rsid w:val="008C50D8"/>
    <w:rsid w:val="008C5176"/>
    <w:rsid w:val="008C7FD0"/>
    <w:rsid w:val="008E1DE7"/>
    <w:rsid w:val="008E707C"/>
    <w:rsid w:val="00900B08"/>
    <w:rsid w:val="00902155"/>
    <w:rsid w:val="00902FA3"/>
    <w:rsid w:val="00903B5F"/>
    <w:rsid w:val="009069B5"/>
    <w:rsid w:val="00923564"/>
    <w:rsid w:val="0092392E"/>
    <w:rsid w:val="009315F9"/>
    <w:rsid w:val="00933D11"/>
    <w:rsid w:val="00933D66"/>
    <w:rsid w:val="00945BC1"/>
    <w:rsid w:val="00946945"/>
    <w:rsid w:val="00951248"/>
    <w:rsid w:val="0095152F"/>
    <w:rsid w:val="00954C49"/>
    <w:rsid w:val="0097099F"/>
    <w:rsid w:val="00971997"/>
    <w:rsid w:val="00971FFC"/>
    <w:rsid w:val="0098660A"/>
    <w:rsid w:val="009931C3"/>
    <w:rsid w:val="009A22D4"/>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376D6"/>
    <w:rsid w:val="00A40A00"/>
    <w:rsid w:val="00A4142F"/>
    <w:rsid w:val="00A45EAA"/>
    <w:rsid w:val="00A53FFF"/>
    <w:rsid w:val="00A56DF2"/>
    <w:rsid w:val="00A64479"/>
    <w:rsid w:val="00A67AB5"/>
    <w:rsid w:val="00A80A4A"/>
    <w:rsid w:val="00A87BCB"/>
    <w:rsid w:val="00A91760"/>
    <w:rsid w:val="00A93B00"/>
    <w:rsid w:val="00A93C21"/>
    <w:rsid w:val="00AA227A"/>
    <w:rsid w:val="00AC2F89"/>
    <w:rsid w:val="00AC3C6A"/>
    <w:rsid w:val="00AD5620"/>
    <w:rsid w:val="00AD7C1B"/>
    <w:rsid w:val="00AE16BA"/>
    <w:rsid w:val="00AE1EBE"/>
    <w:rsid w:val="00AF3312"/>
    <w:rsid w:val="00AF6B3B"/>
    <w:rsid w:val="00B03C9D"/>
    <w:rsid w:val="00B060AE"/>
    <w:rsid w:val="00B061DE"/>
    <w:rsid w:val="00B10517"/>
    <w:rsid w:val="00B14E76"/>
    <w:rsid w:val="00B161B8"/>
    <w:rsid w:val="00B174FE"/>
    <w:rsid w:val="00B2048C"/>
    <w:rsid w:val="00B310B9"/>
    <w:rsid w:val="00B35F3F"/>
    <w:rsid w:val="00B36CBB"/>
    <w:rsid w:val="00B425E0"/>
    <w:rsid w:val="00B440AA"/>
    <w:rsid w:val="00B44B70"/>
    <w:rsid w:val="00B53C56"/>
    <w:rsid w:val="00B672D6"/>
    <w:rsid w:val="00B77EA6"/>
    <w:rsid w:val="00B81598"/>
    <w:rsid w:val="00B841F1"/>
    <w:rsid w:val="00B90474"/>
    <w:rsid w:val="00B944D6"/>
    <w:rsid w:val="00BB4DF0"/>
    <w:rsid w:val="00BC0C20"/>
    <w:rsid w:val="00BC289F"/>
    <w:rsid w:val="00BC51B8"/>
    <w:rsid w:val="00BC5361"/>
    <w:rsid w:val="00BC5460"/>
    <w:rsid w:val="00BC639B"/>
    <w:rsid w:val="00BC6B50"/>
    <w:rsid w:val="00BC7921"/>
    <w:rsid w:val="00BD0E25"/>
    <w:rsid w:val="00BE305E"/>
    <w:rsid w:val="00BF2BF8"/>
    <w:rsid w:val="00BF5BD6"/>
    <w:rsid w:val="00BF6A62"/>
    <w:rsid w:val="00BF6E98"/>
    <w:rsid w:val="00C03E31"/>
    <w:rsid w:val="00C10E46"/>
    <w:rsid w:val="00C158A7"/>
    <w:rsid w:val="00C26489"/>
    <w:rsid w:val="00C33E72"/>
    <w:rsid w:val="00C354B2"/>
    <w:rsid w:val="00C35554"/>
    <w:rsid w:val="00C42709"/>
    <w:rsid w:val="00C42AAA"/>
    <w:rsid w:val="00C4761B"/>
    <w:rsid w:val="00C533CC"/>
    <w:rsid w:val="00C5751C"/>
    <w:rsid w:val="00C61BFC"/>
    <w:rsid w:val="00C62B85"/>
    <w:rsid w:val="00C63F92"/>
    <w:rsid w:val="00C65438"/>
    <w:rsid w:val="00C8454D"/>
    <w:rsid w:val="00C91CBB"/>
    <w:rsid w:val="00C94FCE"/>
    <w:rsid w:val="00CC09B6"/>
    <w:rsid w:val="00CC666F"/>
    <w:rsid w:val="00CD1E3F"/>
    <w:rsid w:val="00CD51B8"/>
    <w:rsid w:val="00CE44F6"/>
    <w:rsid w:val="00CE49DA"/>
    <w:rsid w:val="00CE7B61"/>
    <w:rsid w:val="00D00095"/>
    <w:rsid w:val="00D07E29"/>
    <w:rsid w:val="00D20620"/>
    <w:rsid w:val="00D26091"/>
    <w:rsid w:val="00D305CA"/>
    <w:rsid w:val="00D31C44"/>
    <w:rsid w:val="00D34E7C"/>
    <w:rsid w:val="00D35489"/>
    <w:rsid w:val="00D51276"/>
    <w:rsid w:val="00D7035F"/>
    <w:rsid w:val="00D729DC"/>
    <w:rsid w:val="00D76E63"/>
    <w:rsid w:val="00D857C0"/>
    <w:rsid w:val="00DA65AC"/>
    <w:rsid w:val="00DB1913"/>
    <w:rsid w:val="00DC410D"/>
    <w:rsid w:val="00DC68CA"/>
    <w:rsid w:val="00DC7CBA"/>
    <w:rsid w:val="00DD33A4"/>
    <w:rsid w:val="00DD73B7"/>
    <w:rsid w:val="00DE13C0"/>
    <w:rsid w:val="00DF28BC"/>
    <w:rsid w:val="00DF34B9"/>
    <w:rsid w:val="00E01053"/>
    <w:rsid w:val="00E03E58"/>
    <w:rsid w:val="00E051B3"/>
    <w:rsid w:val="00E07ACF"/>
    <w:rsid w:val="00E1605A"/>
    <w:rsid w:val="00E21476"/>
    <w:rsid w:val="00E27D4F"/>
    <w:rsid w:val="00E331A1"/>
    <w:rsid w:val="00E33202"/>
    <w:rsid w:val="00E336A9"/>
    <w:rsid w:val="00E45E19"/>
    <w:rsid w:val="00E50624"/>
    <w:rsid w:val="00E568DF"/>
    <w:rsid w:val="00E64269"/>
    <w:rsid w:val="00E82267"/>
    <w:rsid w:val="00E94BD3"/>
    <w:rsid w:val="00E96187"/>
    <w:rsid w:val="00EA010F"/>
    <w:rsid w:val="00EA01DC"/>
    <w:rsid w:val="00ED1B63"/>
    <w:rsid w:val="00ED3C1F"/>
    <w:rsid w:val="00ED4085"/>
    <w:rsid w:val="00ED420E"/>
    <w:rsid w:val="00ED6C18"/>
    <w:rsid w:val="00EE1557"/>
    <w:rsid w:val="00EE262D"/>
    <w:rsid w:val="00EE2F57"/>
    <w:rsid w:val="00EE54C2"/>
    <w:rsid w:val="00EF4C34"/>
    <w:rsid w:val="00EF538F"/>
    <w:rsid w:val="00EF77C6"/>
    <w:rsid w:val="00F05438"/>
    <w:rsid w:val="00F1361C"/>
    <w:rsid w:val="00F160C7"/>
    <w:rsid w:val="00F36D8F"/>
    <w:rsid w:val="00F41005"/>
    <w:rsid w:val="00F417B1"/>
    <w:rsid w:val="00F4720E"/>
    <w:rsid w:val="00F602DF"/>
    <w:rsid w:val="00F625C4"/>
    <w:rsid w:val="00F81FD9"/>
    <w:rsid w:val="00F841AA"/>
    <w:rsid w:val="00F90614"/>
    <w:rsid w:val="00F90F77"/>
    <w:rsid w:val="00FA23E8"/>
    <w:rsid w:val="00FA473C"/>
    <w:rsid w:val="00FB0F10"/>
    <w:rsid w:val="00FB7D88"/>
    <w:rsid w:val="00FD3CC1"/>
    <w:rsid w:val="00FF19EC"/>
    <w:rsid w:val="00FF1E02"/>
    <w:rsid w:val="00FF30B4"/>
    <w:rsid w:val="054138DA"/>
    <w:rsid w:val="06680902"/>
    <w:rsid w:val="06C82332"/>
    <w:rsid w:val="08725E71"/>
    <w:rsid w:val="09C34934"/>
    <w:rsid w:val="0A68031A"/>
    <w:rsid w:val="0D3802AE"/>
    <w:rsid w:val="0ED72DC2"/>
    <w:rsid w:val="0F5D2E8F"/>
    <w:rsid w:val="0FBB2FB7"/>
    <w:rsid w:val="10C055FF"/>
    <w:rsid w:val="10F57A47"/>
    <w:rsid w:val="11CF4762"/>
    <w:rsid w:val="14490658"/>
    <w:rsid w:val="16BB723D"/>
    <w:rsid w:val="16E02860"/>
    <w:rsid w:val="18075A73"/>
    <w:rsid w:val="18F728AD"/>
    <w:rsid w:val="19E42F8B"/>
    <w:rsid w:val="1A493DD4"/>
    <w:rsid w:val="1A7C2128"/>
    <w:rsid w:val="1AEB37E4"/>
    <w:rsid w:val="1E4C7BD9"/>
    <w:rsid w:val="20752F4C"/>
    <w:rsid w:val="21032C14"/>
    <w:rsid w:val="21605522"/>
    <w:rsid w:val="21DD10E5"/>
    <w:rsid w:val="236B7C0B"/>
    <w:rsid w:val="240371BF"/>
    <w:rsid w:val="24433961"/>
    <w:rsid w:val="25B84132"/>
    <w:rsid w:val="26217A04"/>
    <w:rsid w:val="26F333C6"/>
    <w:rsid w:val="295A1D62"/>
    <w:rsid w:val="29FD04D3"/>
    <w:rsid w:val="2BFC0E90"/>
    <w:rsid w:val="2C06668C"/>
    <w:rsid w:val="2D0A6768"/>
    <w:rsid w:val="2DB173DB"/>
    <w:rsid w:val="2E8D3769"/>
    <w:rsid w:val="319F7F4E"/>
    <w:rsid w:val="34185F65"/>
    <w:rsid w:val="346C7E7B"/>
    <w:rsid w:val="34894E94"/>
    <w:rsid w:val="368D7526"/>
    <w:rsid w:val="37DB77E0"/>
    <w:rsid w:val="38842201"/>
    <w:rsid w:val="393B50AF"/>
    <w:rsid w:val="39A45A1D"/>
    <w:rsid w:val="3A603203"/>
    <w:rsid w:val="3B456AD1"/>
    <w:rsid w:val="3BED27EF"/>
    <w:rsid w:val="3C7D4575"/>
    <w:rsid w:val="42234CCC"/>
    <w:rsid w:val="423D0264"/>
    <w:rsid w:val="42CD3EBE"/>
    <w:rsid w:val="452D5258"/>
    <w:rsid w:val="45810597"/>
    <w:rsid w:val="47C37DB5"/>
    <w:rsid w:val="4B0A5FDF"/>
    <w:rsid w:val="4C370DD8"/>
    <w:rsid w:val="4D442D2B"/>
    <w:rsid w:val="4D6E6932"/>
    <w:rsid w:val="4DAE51B5"/>
    <w:rsid w:val="4DEF440F"/>
    <w:rsid w:val="503222BD"/>
    <w:rsid w:val="503B10E0"/>
    <w:rsid w:val="50D555C9"/>
    <w:rsid w:val="52DA337B"/>
    <w:rsid w:val="52FE6C53"/>
    <w:rsid w:val="5326442E"/>
    <w:rsid w:val="56EB32F8"/>
    <w:rsid w:val="573D6502"/>
    <w:rsid w:val="579E1E1C"/>
    <w:rsid w:val="57A30EED"/>
    <w:rsid w:val="5AD519BC"/>
    <w:rsid w:val="5BE177E4"/>
    <w:rsid w:val="5CDE4005"/>
    <w:rsid w:val="5D8B6EC9"/>
    <w:rsid w:val="5E7E2768"/>
    <w:rsid w:val="61AF514F"/>
    <w:rsid w:val="63821597"/>
    <w:rsid w:val="638876B7"/>
    <w:rsid w:val="64612EB3"/>
    <w:rsid w:val="65604798"/>
    <w:rsid w:val="66CD4559"/>
    <w:rsid w:val="6D716B78"/>
    <w:rsid w:val="6E7F194A"/>
    <w:rsid w:val="6E987A66"/>
    <w:rsid w:val="6F140687"/>
    <w:rsid w:val="6FB11A04"/>
    <w:rsid w:val="6FBF2141"/>
    <w:rsid w:val="6FCC6149"/>
    <w:rsid w:val="70793A27"/>
    <w:rsid w:val="715B7ABB"/>
    <w:rsid w:val="72650F5A"/>
    <w:rsid w:val="72CD584C"/>
    <w:rsid w:val="72EC778C"/>
    <w:rsid w:val="73757C74"/>
    <w:rsid w:val="77D473D9"/>
    <w:rsid w:val="791707E9"/>
    <w:rsid w:val="7D686FF9"/>
    <w:rsid w:val="7E1B20BD"/>
    <w:rsid w:val="7FFE72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_Style 1"/>
    <w:basedOn w:val="1"/>
    <w:qFormat/>
    <w:uiPriority w:val="0"/>
    <w:pPr>
      <w:snapToGrid w:val="0"/>
      <w:spacing w:line="44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AC735-4C1F-49D3-AE14-2244BDD68B3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1945</Words>
  <Characters>11089</Characters>
  <Lines>92</Lines>
  <Paragraphs>26</Paragraphs>
  <TotalTime>5</TotalTime>
  <ScaleCrop>false</ScaleCrop>
  <LinksUpToDate>false</LinksUpToDate>
  <CharactersWithSpaces>13008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2020-08-24T09:45:00Z</dcterms:created>
  <dc:creator>张彬茜</dc:creator>
  <cp:lastModifiedBy>韬光养晦</cp:lastModifiedBy>
  <cp:lastPrinted>2020-09-22T03:36:00Z</cp:lastPrinted>
  <dcterms:modified xsi:type="dcterms:W3CDTF">2020-09-27T01:54:26Z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