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Times New Roman" w:hAnsi="Times New Roman" w:eastAsia="方正小标宋简体"/>
          <w:color w:val="FF0000"/>
          <w:spacing w:val="-20"/>
          <w:w w:val="90"/>
          <w:sz w:val="52"/>
          <w:szCs w:val="80"/>
        </w:rPr>
      </w:pPr>
      <w:r>
        <w:rPr>
          <w:rFonts w:hint="eastAsia" w:ascii="Times New Roman" w:hAnsi="Times New Roman" w:eastAsia="方正小标宋简体"/>
          <w:color w:val="FF0000"/>
          <w:spacing w:val="-20"/>
          <w:w w:val="90"/>
          <w:sz w:val="52"/>
          <w:szCs w:val="80"/>
        </w:rPr>
        <w:t>广元</w:t>
      </w:r>
      <w:r>
        <w:rPr>
          <w:rFonts w:ascii="Times New Roman" w:hAnsi="Times New Roman" w:eastAsia="方正小标宋简体"/>
          <w:color w:val="FF0000"/>
          <w:spacing w:val="-20"/>
          <w:w w:val="90"/>
          <w:sz w:val="52"/>
          <w:szCs w:val="80"/>
        </w:rPr>
        <w:t>市迎接中央生态环境保护督察“回头看”</w:t>
      </w:r>
    </w:p>
    <w:p>
      <w:pPr>
        <w:adjustRightInd w:val="0"/>
        <w:snapToGrid w:val="0"/>
        <w:jc w:val="center"/>
        <w:rPr>
          <w:rFonts w:ascii="楷体" w:hAnsi="楷体" w:eastAsia="楷体" w:cs="Times New Roman"/>
          <w:b/>
          <w:bCs/>
          <w:color w:val="FF0000"/>
          <w:kern w:val="0"/>
          <w:sz w:val="84"/>
          <w:szCs w:val="84"/>
        </w:rPr>
      </w:pPr>
      <w:r>
        <w:rPr>
          <w:rFonts w:hint="eastAsia" w:ascii="楷体" w:hAnsi="楷体" w:eastAsia="楷体" w:cs="Times New Roman"/>
          <w:b/>
          <w:bCs/>
          <w:color w:val="FF0000"/>
          <w:kern w:val="0"/>
          <w:sz w:val="84"/>
          <w:szCs w:val="84"/>
          <w:lang w:eastAsia="zh-CN"/>
        </w:rPr>
        <w:t>案件督办</w:t>
      </w:r>
      <w:r>
        <w:rPr>
          <w:rFonts w:hint="eastAsia" w:ascii="楷体" w:hAnsi="楷体" w:eastAsia="楷体" w:cs="Times New Roman"/>
          <w:b/>
          <w:bCs/>
          <w:color w:val="FF0000"/>
          <w:kern w:val="0"/>
          <w:sz w:val="84"/>
          <w:szCs w:val="84"/>
        </w:rPr>
        <w:t>组工作</w:t>
      </w:r>
      <w:r>
        <w:rPr>
          <w:rFonts w:ascii="楷体" w:hAnsi="楷体" w:eastAsia="楷体" w:cs="Times New Roman"/>
          <w:b/>
          <w:bCs/>
          <w:color w:val="FF0000"/>
          <w:kern w:val="0"/>
          <w:sz w:val="84"/>
          <w:szCs w:val="84"/>
        </w:rPr>
        <w:t>简报</w:t>
      </w:r>
    </w:p>
    <w:p>
      <w:pPr>
        <w:spacing w:line="110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期 ）</w:t>
      </w:r>
    </w:p>
    <w:p>
      <w:pPr>
        <w:spacing w:line="1100" w:lineRule="exact"/>
        <w:jc w:val="right"/>
        <w:rPr>
          <w:rFonts w:ascii="楷体_GB2312" w:hAnsi="楷体_GB2312" w:eastAsia="楷体_GB2312" w:cs="楷体_GB2312"/>
          <w:b/>
          <w:bCs/>
          <w:spacing w:val="0"/>
          <w:sz w:val="32"/>
          <w:szCs w:val="32"/>
        </w:rPr>
      </w:pPr>
      <w:r>
        <w:rPr>
          <w:b/>
          <w:bCs/>
          <w:spacing w:val="0"/>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685165</wp:posOffset>
                </wp:positionV>
                <wp:extent cx="5699125" cy="0"/>
                <wp:effectExtent l="0" t="0" r="0" b="0"/>
                <wp:wrapNone/>
                <wp:docPr id="1" name="直线 2"/>
                <wp:cNvGraphicFramePr/>
                <a:graphic xmlns:a="http://schemas.openxmlformats.org/drawingml/2006/main">
                  <a:graphicData uri="http://schemas.microsoft.com/office/word/2010/wordprocessingShape">
                    <wps:wsp>
                      <wps:cNvCnPr/>
                      <wps:spPr>
                        <a:xfrm flipV="1">
                          <a:off x="0" y="0"/>
                          <a:ext cx="56991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85pt;margin-top:53.95pt;height:0pt;width:448.75pt;z-index:251660288;mso-width-relative:page;mso-height-relative:page;" filled="f" stroked="t" coordsize="21600,21600" o:gfxdata="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R94fPZAAAACgEAAA8AAAAAAAAA&#10;AQAgAAAAIgAAAGRycy9kb3ducmV2LnhtbFBLAQIUABQAAAAIAIdO4kAvyhYV1wEAAJgDAAAOAAAA&#10;AAAAAAEAIAAAACgBAABkcnMvZTJvRG9jLnhtbFBLBQYAAAAABgAGAFkBAABxBQAAAAA=&#10;">
                <v:fill on="f" focussize="0,0"/>
                <v:stroke weight="2.25pt" color="#FF0000" joinstyle="round"/>
                <v:imagedata o:title=""/>
                <o:lock v:ext="edit" aspectratio="f"/>
              </v:line>
            </w:pict>
          </mc:Fallback>
        </mc:AlternateContent>
      </w:r>
      <w:r>
        <w:rPr>
          <w:rFonts w:hint="eastAsia" w:ascii="楷体_GB2312" w:hAnsi="楷体_GB2312" w:eastAsia="楷体_GB2312" w:cs="楷体_GB2312"/>
          <w:b/>
          <w:bCs/>
          <w:spacing w:val="0"/>
          <w:sz w:val="32"/>
          <w:szCs w:val="32"/>
        </w:rPr>
        <w:t xml:space="preserve"> 2018年11月</w:t>
      </w:r>
      <w:r>
        <w:rPr>
          <w:rFonts w:hint="eastAsia" w:ascii="楷体_GB2312" w:hAnsi="楷体_GB2312" w:eastAsia="楷体_GB2312" w:cs="楷体_GB2312"/>
          <w:b/>
          <w:bCs/>
          <w:spacing w:val="0"/>
          <w:sz w:val="32"/>
          <w:szCs w:val="32"/>
          <w:lang w:val="en-US" w:eastAsia="zh-CN"/>
        </w:rPr>
        <w:t>12</w:t>
      </w:r>
      <w:r>
        <w:rPr>
          <w:rFonts w:hint="eastAsia" w:ascii="楷体_GB2312" w:hAnsi="楷体_GB2312" w:eastAsia="楷体_GB2312" w:cs="楷体_GB2312"/>
          <w:b/>
          <w:bCs/>
          <w:spacing w:val="0"/>
          <w:sz w:val="32"/>
          <w:szCs w:val="32"/>
        </w:rPr>
        <w:t>日</w:t>
      </w:r>
    </w:p>
    <w:p>
      <w:pPr>
        <w:adjustRightInd w:val="0"/>
        <w:snapToGrid w:val="0"/>
        <w:spacing w:line="576" w:lineRule="exact"/>
        <w:rPr>
          <w:rFonts w:ascii="方正小标宋简体" w:hAnsi="黑体" w:eastAsia="方正小标宋简体"/>
          <w:bCs/>
          <w:sz w:val="36"/>
          <w:szCs w:val="36"/>
          <w:shd w:val="clear" w:color="auto" w:fill="FFFFFF"/>
        </w:rPr>
      </w:pPr>
    </w:p>
    <w:p>
      <w:pPr>
        <w:adjustRightInd w:val="0"/>
        <w:snapToGrid w:val="0"/>
        <w:spacing w:line="576" w:lineRule="exact"/>
        <w:rPr>
          <w:rFonts w:hint="eastAsia" w:ascii="黑体" w:hAnsi="黑体" w:eastAsia="黑体" w:cs="黑体"/>
          <w:bCs/>
          <w:sz w:val="36"/>
          <w:szCs w:val="36"/>
          <w:shd w:val="clear" w:color="auto" w:fill="FFFFFF"/>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省市联合督办中央环保督察“回头看”交办重点信访件</w:t>
      </w:r>
      <w:r>
        <w:rPr>
          <w:rFonts w:hint="eastAsia" w:ascii="黑体" w:hAnsi="黑体" w:eastAsia="黑体" w:cs="黑体"/>
          <w:sz w:val="32"/>
          <w:szCs w:val="32"/>
          <w:lang w:val="en-US" w:eastAsia="zh-CN"/>
        </w:rPr>
        <w:t xml:space="preserve"> </w:t>
      </w:r>
    </w:p>
    <w:p>
      <w:pPr>
        <w:jc w:val="center"/>
        <w:rPr>
          <w:rFonts w:hint="eastAsia" w:ascii="黑体" w:hAnsi="黑体" w:eastAsia="黑体" w:cs="黑体"/>
          <w:sz w:val="32"/>
          <w:szCs w:val="32"/>
          <w:lang w:val="en-US" w:eastAsia="zh-CN"/>
        </w:rPr>
      </w:pPr>
    </w:p>
    <w:p>
      <w:pPr>
        <w:numPr>
          <w:ilvl w:val="0"/>
          <w:numId w:val="0"/>
        </w:numPr>
        <w:ind w:firstLine="640" w:firstLineChars="200"/>
        <w:rPr>
          <w:rFonts w:hint="eastAsia"/>
          <w:sz w:val="32"/>
          <w:szCs w:val="32"/>
          <w:lang w:val="en-US" w:eastAsia="zh-CN"/>
        </w:rPr>
      </w:pPr>
      <w:r>
        <w:rPr>
          <w:rFonts w:hint="eastAsia"/>
          <w:sz w:val="32"/>
          <w:szCs w:val="32"/>
          <w:lang w:val="en-US" w:eastAsia="zh-CN"/>
        </w:rPr>
        <w:t xml:space="preserve">为进一步推进中央环保督察“回头看”重点信访办理力度，11月12日，省市案件督办组联合对青川县中央环保督察“回头看”交办的重点信访件进行了现场督办。 </w:t>
      </w:r>
    </w:p>
    <w:p>
      <w:pPr>
        <w:numPr>
          <w:ilvl w:val="0"/>
          <w:numId w:val="0"/>
        </w:numPr>
        <w:ind w:firstLine="640" w:firstLineChars="200"/>
        <w:rPr>
          <w:rFonts w:hint="eastAsia"/>
          <w:sz w:val="32"/>
          <w:szCs w:val="32"/>
          <w:lang w:val="en-US" w:eastAsia="zh-CN"/>
        </w:rPr>
      </w:pPr>
      <w:r>
        <w:rPr>
          <w:rFonts w:hint="eastAsia"/>
          <w:sz w:val="32"/>
          <w:szCs w:val="32"/>
          <w:lang w:val="en-US" w:eastAsia="zh-CN"/>
        </w:rPr>
        <w:t>省案件督办组二组副组长赵淼带队、广元市案件督办组配合，通过现场核查，走访问询、调阅资料及会议座谈的方式，对青川县曲河乡张家院村瑞豪矿业有限公司环境污染问题投诉件办理情况进行现场核实督办，市政府副市长方万云陪同。</w:t>
      </w:r>
    </w:p>
    <w:p>
      <w:pPr>
        <w:numPr>
          <w:ilvl w:val="0"/>
          <w:numId w:val="0"/>
        </w:numPr>
        <w:rPr>
          <w:rFonts w:hint="eastAsia"/>
          <w:sz w:val="32"/>
          <w:szCs w:val="32"/>
          <w:lang w:val="en-US" w:eastAsia="zh-CN"/>
        </w:rPr>
      </w:pPr>
      <w:r>
        <w:rPr>
          <w:rFonts w:hint="eastAsia"/>
          <w:sz w:val="32"/>
          <w:szCs w:val="32"/>
          <w:lang w:val="en-US" w:eastAsia="zh-CN"/>
        </w:rPr>
        <w:drawing>
          <wp:inline distT="0" distB="0" distL="114300" distR="114300">
            <wp:extent cx="5539105" cy="4156710"/>
            <wp:effectExtent l="0" t="0" r="4445" b="15240"/>
            <wp:docPr id="2" name="图片 2" descr="F4849BEEF3469774BE30CA63F4567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849BEEF3469774BE30CA63F45671B4"/>
                    <pic:cNvPicPr>
                      <a:picLocks noChangeAspect="1"/>
                    </pic:cNvPicPr>
                  </pic:nvPicPr>
                  <pic:blipFill>
                    <a:blip r:embed="rId6"/>
                    <a:stretch>
                      <a:fillRect/>
                    </a:stretch>
                  </pic:blipFill>
                  <pic:spPr>
                    <a:xfrm>
                      <a:off x="0" y="0"/>
                      <a:ext cx="5539105" cy="4156710"/>
                    </a:xfrm>
                    <a:prstGeom prst="rect">
                      <a:avLst/>
                    </a:prstGeom>
                  </pic:spPr>
                </pic:pic>
              </a:graphicData>
            </a:graphic>
          </wp:inline>
        </w:drawing>
      </w:r>
    </w:p>
    <w:p>
      <w:pPr>
        <w:numPr>
          <w:ilvl w:val="0"/>
          <w:numId w:val="0"/>
        </w:numPr>
        <w:ind w:left="638" w:leftChars="304" w:firstLine="0" w:firstLineChars="0"/>
        <w:jc w:val="center"/>
        <w:rPr>
          <w:rFonts w:hint="eastAsia" w:eastAsia="宋体"/>
          <w:sz w:val="21"/>
          <w:szCs w:val="21"/>
          <w:lang w:val="en-US" w:eastAsia="zh-CN"/>
        </w:rPr>
      </w:pPr>
      <w:r>
        <w:rPr>
          <w:rFonts w:hint="eastAsia"/>
          <w:sz w:val="21"/>
          <w:szCs w:val="21"/>
          <w:lang w:val="en-US" w:eastAsia="zh-CN"/>
        </w:rPr>
        <w:t>省市案件督办组现场核查、见面询问</w:t>
      </w:r>
    </w:p>
    <w:p>
      <w:pPr>
        <w:numPr>
          <w:ilvl w:val="0"/>
          <w:numId w:val="0"/>
        </w:numPr>
        <w:ind w:firstLine="640" w:firstLineChars="200"/>
        <w:rPr>
          <w:rFonts w:hint="eastAsia"/>
          <w:sz w:val="32"/>
          <w:szCs w:val="32"/>
          <w:lang w:val="en-US" w:eastAsia="zh-CN"/>
        </w:rPr>
      </w:pPr>
    </w:p>
    <w:p>
      <w:pPr>
        <w:numPr>
          <w:ilvl w:val="0"/>
          <w:numId w:val="0"/>
        </w:numPr>
        <w:ind w:firstLine="640" w:firstLineChars="200"/>
        <w:rPr>
          <w:rFonts w:hint="eastAsia"/>
          <w:sz w:val="32"/>
          <w:szCs w:val="32"/>
          <w:lang w:val="en-US" w:eastAsia="zh-CN"/>
        </w:rPr>
      </w:pPr>
      <w:r>
        <w:rPr>
          <w:rFonts w:hint="eastAsia"/>
          <w:sz w:val="32"/>
          <w:szCs w:val="32"/>
          <w:lang w:val="en-US" w:eastAsia="zh-CN"/>
        </w:rPr>
        <w:t>赵淼副组长要求：办案单位要全面调查，科学研判，充分论证，科学严谨办案；其他行政主管部门充分参与，强化履职意识；深入做好群众工作，妥善化解矛盾。</w:t>
      </w:r>
    </w:p>
    <w:p>
      <w:pPr>
        <w:numPr>
          <w:ilvl w:val="0"/>
          <w:numId w:val="0"/>
        </w:numPr>
        <w:ind w:left="638" w:leftChars="304" w:firstLine="0" w:firstLineChars="0"/>
        <w:jc w:val="center"/>
        <w:rPr>
          <w:rFonts w:hint="eastAsia"/>
          <w:sz w:val="32"/>
          <w:szCs w:val="32"/>
          <w:lang w:val="en-US" w:eastAsia="zh-CN"/>
        </w:rPr>
      </w:pPr>
      <w:r>
        <w:rPr>
          <w:rFonts w:hint="eastAsia"/>
          <w:sz w:val="32"/>
          <w:szCs w:val="32"/>
          <w:lang w:val="en-US" w:eastAsia="zh-CN"/>
        </w:rPr>
        <w:drawing>
          <wp:inline distT="0" distB="0" distL="114300" distR="114300">
            <wp:extent cx="4765040" cy="3575685"/>
            <wp:effectExtent l="0" t="0" r="16510" b="571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7"/>
                    <a:stretch>
                      <a:fillRect/>
                    </a:stretch>
                  </pic:blipFill>
                  <pic:spPr>
                    <a:xfrm>
                      <a:off x="0" y="0"/>
                      <a:ext cx="4765040" cy="3575685"/>
                    </a:xfrm>
                    <a:prstGeom prst="rect">
                      <a:avLst/>
                    </a:prstGeom>
                  </pic:spPr>
                </pic:pic>
              </a:graphicData>
            </a:graphic>
          </wp:inline>
        </w:drawing>
      </w:r>
    </w:p>
    <w:p>
      <w:pPr>
        <w:numPr>
          <w:ilvl w:val="0"/>
          <w:numId w:val="0"/>
        </w:numPr>
        <w:ind w:left="638" w:leftChars="304" w:firstLine="0" w:firstLineChars="0"/>
        <w:jc w:val="center"/>
        <w:rPr>
          <w:rFonts w:hint="eastAsia"/>
          <w:sz w:val="21"/>
          <w:szCs w:val="21"/>
          <w:lang w:val="en-US" w:eastAsia="zh-CN"/>
        </w:rPr>
      </w:pPr>
      <w:r>
        <w:rPr>
          <w:rFonts w:hint="eastAsia"/>
          <w:sz w:val="21"/>
          <w:szCs w:val="21"/>
          <w:lang w:val="en-US" w:eastAsia="zh-CN"/>
        </w:rPr>
        <w:t>省市案件督办组召开中央环保督察“回头看”案件督察现场会</w:t>
      </w:r>
    </w:p>
    <w:p>
      <w:pPr>
        <w:numPr>
          <w:ilvl w:val="0"/>
          <w:numId w:val="0"/>
        </w:numPr>
        <w:ind w:left="638" w:leftChars="304" w:firstLine="0" w:firstLineChars="0"/>
        <w:jc w:val="center"/>
        <w:rPr>
          <w:rFonts w:hint="eastAsia"/>
          <w:sz w:val="21"/>
          <w:szCs w:val="21"/>
          <w:lang w:val="en-US" w:eastAsia="zh-CN"/>
        </w:rPr>
      </w:pPr>
    </w:p>
    <w:p>
      <w:pPr>
        <w:numPr>
          <w:ilvl w:val="0"/>
          <w:numId w:val="0"/>
        </w:numPr>
        <w:ind w:firstLine="640" w:firstLineChars="200"/>
        <w:rPr>
          <w:rFonts w:hint="eastAsia"/>
          <w:sz w:val="32"/>
          <w:szCs w:val="32"/>
          <w:lang w:val="en-US" w:eastAsia="zh-CN"/>
        </w:rPr>
      </w:pPr>
      <w:r>
        <w:rPr>
          <w:rFonts w:hint="eastAsia"/>
          <w:sz w:val="32"/>
          <w:szCs w:val="32"/>
          <w:lang w:val="en-US" w:eastAsia="zh-CN"/>
        </w:rPr>
        <w:t>方万云副市长强调：一是要统一思想，高度重视；二、明确职责，担当作为；三是要依法依规、协同办理；四是要多措并举，妥善化解；五是要</w:t>
      </w:r>
      <w:bookmarkStart w:id="0" w:name="_GoBack"/>
      <w:bookmarkEnd w:id="0"/>
      <w:r>
        <w:rPr>
          <w:rFonts w:hint="eastAsia"/>
          <w:sz w:val="32"/>
          <w:szCs w:val="32"/>
          <w:lang w:val="en-US" w:eastAsia="zh-CN"/>
        </w:rPr>
        <w:t>加强监督，严肃纪律。目前，该案件正在进一步办理中。</w:t>
      </w:r>
    </w:p>
    <w:p>
      <w:pPr>
        <w:numPr>
          <w:ilvl w:val="0"/>
          <w:numId w:val="0"/>
        </w:numPr>
        <w:ind w:firstLine="640" w:firstLineChars="200"/>
        <w:rPr>
          <w:rFonts w:hint="eastAsia"/>
          <w:sz w:val="32"/>
          <w:szCs w:val="32"/>
          <w:lang w:val="en-US" w:eastAsia="zh-CN"/>
        </w:rPr>
      </w:pPr>
    </w:p>
    <w:p>
      <w:pPr>
        <w:numPr>
          <w:ilvl w:val="0"/>
          <w:numId w:val="0"/>
        </w:numPr>
        <w:ind w:firstLine="640" w:firstLineChars="200"/>
        <w:rPr>
          <w:rFonts w:hint="eastAsia"/>
          <w:sz w:val="32"/>
          <w:szCs w:val="32"/>
          <w:lang w:val="en-US" w:eastAsia="zh-CN"/>
        </w:rPr>
      </w:pPr>
    </w:p>
    <w:p>
      <w:pPr>
        <w:numPr>
          <w:ilvl w:val="0"/>
          <w:numId w:val="0"/>
        </w:numPr>
        <w:rPr>
          <w:rFonts w:hint="eastAsia"/>
          <w:sz w:val="32"/>
          <w:szCs w:val="32"/>
          <w:lang w:val="en-US" w:eastAsia="zh-CN"/>
        </w:rPr>
      </w:pPr>
    </w:p>
    <w:p>
      <w:pPr>
        <w:overflowPunct w:val="0"/>
        <w:topLinePunct/>
        <w:ind w:right="318"/>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   </w:t>
      </w:r>
    </w:p>
    <w:p>
      <w:pPr>
        <w:overflowPunct w:val="0"/>
        <w:topLinePunct/>
        <w:ind w:right="318"/>
        <w:rPr>
          <w:rFonts w:ascii="黑体" w:hAnsi="黑体" w:eastAsia="黑体" w:cs="黑体"/>
          <w:szCs w:val="21"/>
        </w:rPr>
      </w:pPr>
    </w:p>
    <w:p>
      <w:pPr>
        <w:overflowPunct w:val="0"/>
        <w:topLinePunct/>
        <w:ind w:right="318"/>
        <w:rPr>
          <w:rFonts w:ascii="黑体" w:hAnsi="黑体" w:eastAsia="黑体" w:cs="黑体"/>
          <w:szCs w:val="21"/>
        </w:rPr>
      </w:pPr>
    </w:p>
    <w:tbl>
      <w:tblPr>
        <w:tblStyle w:val="4"/>
        <w:tblW w:w="9012" w:type="dxa"/>
        <w:jc w:val="center"/>
        <w:tblInd w:w="-20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9012" w:type="dxa"/>
          </w:tcPr>
          <w:p>
            <w:pPr>
              <w:adjustRightInd w:val="0"/>
              <w:snapToGrid w:val="0"/>
              <w:rPr>
                <w:rFonts w:eastAsia="仿宋_GB2312"/>
                <w:sz w:val="28"/>
                <w:szCs w:val="28"/>
              </w:rPr>
            </w:pPr>
            <w:r>
              <w:rPr>
                <w:rFonts w:hint="eastAsia" w:ascii="楷体_GB2312" w:eastAsia="楷体_GB2312"/>
                <w:spacing w:val="-11"/>
                <w:w w:val="94"/>
                <w:kern w:val="0"/>
                <w:sz w:val="30"/>
                <w:szCs w:val="30"/>
                <w:fitText w:val="8679" w:id="0"/>
              </w:rPr>
              <w:t>报送：</w:t>
            </w:r>
            <w:r>
              <w:rPr>
                <w:rFonts w:hint="eastAsia" w:ascii="楷体_GB2312" w:eastAsia="楷体_GB2312"/>
                <w:spacing w:val="-11"/>
                <w:w w:val="94"/>
                <w:kern w:val="0"/>
                <w:sz w:val="30"/>
                <w:szCs w:val="30"/>
                <w:fitText w:val="8679" w:id="0"/>
                <w:lang w:eastAsia="zh-CN"/>
              </w:rPr>
              <w:t>综合协调组，文稿材料组，信访维稳组，追责问责组，宣传报道组</w:t>
            </w:r>
          </w:p>
        </w:tc>
      </w:tr>
    </w:tbl>
    <w:p/>
    <w:sectPr>
      <w:footerReference r:id="rId3" w:type="default"/>
      <w:footerReference r:id="rId4" w:type="even"/>
      <w:pgSz w:w="11906" w:h="16838"/>
      <w:pgMar w:top="2098" w:right="1587" w:bottom="147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rPr>
        <w:rFonts w:ascii="宋体" w:hAnsi="宋体"/>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22</w:t>
    </w:r>
    <w:r>
      <w:rPr>
        <w:rFonts w:eastAsia="仿宋_GB2312"/>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95210"/>
    <w:rsid w:val="0AFF603E"/>
    <w:rsid w:val="0D095210"/>
    <w:rsid w:val="230B5BB3"/>
    <w:rsid w:val="28973038"/>
    <w:rsid w:val="33546C11"/>
    <w:rsid w:val="379D1D35"/>
    <w:rsid w:val="4B1F7EC9"/>
    <w:rsid w:val="58A05D48"/>
    <w:rsid w:val="62F327EC"/>
    <w:rsid w:val="6D535020"/>
    <w:rsid w:val="7BF90848"/>
    <w:rsid w:val="7E6A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2018-11-10T07:40:00Z</dcterms:created>
  <dc:creator>暖色</dc:creator>
  <cp:lastModifiedBy>lenovo</cp:lastModifiedBy>
  <dcterms:modified xsi:type="dcterms:W3CDTF">2018-11-12T10:15:20Z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