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color w:val="000000"/>
          <w:sz w:val="36"/>
          <w:szCs w:val="36"/>
        </w:rPr>
      </w:pPr>
      <w:bookmarkStart w:id="0" w:name="_GoBack"/>
      <w:r>
        <w:rPr>
          <w:rFonts w:hint="eastAsia" w:ascii="宋体" w:hAnsi="宋体" w:eastAsia="宋体"/>
          <w:b/>
          <w:bCs/>
          <w:color w:val="000000"/>
          <w:sz w:val="36"/>
          <w:szCs w:val="36"/>
        </w:rPr>
        <w:t>四川省</w:t>
      </w:r>
      <w:r>
        <w:rPr>
          <w:rFonts w:ascii="宋体" w:hAnsi="宋体" w:eastAsia="宋体"/>
          <w:b/>
          <w:bCs/>
          <w:color w:val="000000"/>
          <w:sz w:val="36"/>
          <w:szCs w:val="36"/>
        </w:rPr>
        <w:t>广元市</w:t>
      </w:r>
      <w:r>
        <w:rPr>
          <w:rFonts w:hint="eastAsia" w:ascii="宋体" w:hAnsi="宋体" w:eastAsia="宋体"/>
          <w:b/>
          <w:bCs/>
          <w:color w:val="000000"/>
          <w:sz w:val="36"/>
          <w:szCs w:val="36"/>
        </w:rPr>
        <w:t>群众信访</w:t>
      </w:r>
      <w:r>
        <w:rPr>
          <w:rFonts w:ascii="宋体" w:hAnsi="宋体" w:eastAsia="宋体"/>
          <w:b/>
          <w:bCs/>
          <w:color w:val="000000"/>
          <w:sz w:val="36"/>
          <w:szCs w:val="36"/>
        </w:rPr>
        <w:t>举报转办和边督边改公开情况一览表</w:t>
      </w:r>
    </w:p>
    <w:bookmarkEnd w:id="0"/>
    <w:p>
      <w:pPr>
        <w:jc w:val="left"/>
        <w:rPr>
          <w:rFonts w:ascii="宋体" w:hAnsi="宋体" w:eastAsia="宋体"/>
          <w:b/>
          <w:bCs/>
          <w:color w:val="000000"/>
          <w:sz w:val="28"/>
          <w:szCs w:val="28"/>
        </w:rPr>
      </w:pPr>
      <w:r>
        <w:rPr>
          <w:rFonts w:hint="eastAsia" w:ascii="宋体" w:hAnsi="宋体" w:eastAsia="宋体"/>
          <w:b/>
          <w:bCs/>
          <w:color w:val="000000"/>
          <w:sz w:val="28"/>
          <w:szCs w:val="28"/>
        </w:rPr>
        <w:t xml:space="preserve">广元市人民政府（盖章）        </w:t>
      </w:r>
      <w:r>
        <w:rPr>
          <w:rFonts w:ascii="宋体" w:hAnsi="宋体" w:eastAsia="宋体"/>
          <w:b/>
          <w:bCs/>
          <w:color w:val="000000"/>
          <w:sz w:val="28"/>
          <w:szCs w:val="28"/>
        </w:rPr>
        <w:t xml:space="preserve">                                        </w:t>
      </w:r>
      <w:r>
        <w:rPr>
          <w:rFonts w:hint="eastAsia" w:ascii="宋体" w:hAnsi="宋体" w:eastAsia="宋体"/>
          <w:b/>
          <w:bCs/>
          <w:color w:val="000000"/>
          <w:sz w:val="28"/>
          <w:szCs w:val="28"/>
        </w:rPr>
        <w:t>（第九批</w:t>
      </w:r>
      <w:r>
        <w:rPr>
          <w:rFonts w:ascii="宋体" w:hAnsi="宋体" w:eastAsia="宋体"/>
          <w:b/>
          <w:bCs/>
          <w:color w:val="000000"/>
          <w:sz w:val="28"/>
          <w:szCs w:val="28"/>
        </w:rPr>
        <w:t xml:space="preserve">  2018年11月19日）</w:t>
      </w:r>
    </w:p>
    <w:tbl>
      <w:tblPr>
        <w:tblStyle w:val="6"/>
        <w:tblW w:w="13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409"/>
        <w:gridCol w:w="1417"/>
        <w:gridCol w:w="284"/>
        <w:gridCol w:w="283"/>
        <w:gridCol w:w="5245"/>
        <w:gridCol w:w="425"/>
        <w:gridCol w:w="382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9" w:type="dxa"/>
          </w:tcPr>
          <w:p>
            <w:pPr>
              <w:widowControl/>
              <w:jc w:val="center"/>
              <w:rPr>
                <w:rFonts w:ascii="宋体" w:hAnsi="宋体" w:eastAsia="宋体"/>
                <w:b/>
                <w:bCs/>
                <w:color w:val="000000"/>
                <w:sz w:val="15"/>
                <w:szCs w:val="15"/>
              </w:rPr>
            </w:pPr>
            <w:r>
              <w:rPr>
                <w:rFonts w:hint="eastAsia" w:ascii="宋体" w:hAnsi="宋体" w:eastAsia="宋体"/>
                <w:b/>
                <w:bCs/>
                <w:color w:val="000000"/>
                <w:sz w:val="15"/>
                <w:szCs w:val="15"/>
              </w:rPr>
              <w:t>序号</w:t>
            </w:r>
          </w:p>
        </w:tc>
        <w:tc>
          <w:tcPr>
            <w:tcW w:w="409" w:type="dxa"/>
          </w:tcPr>
          <w:p>
            <w:pPr>
              <w:widowControl/>
              <w:jc w:val="center"/>
              <w:rPr>
                <w:rFonts w:ascii="宋体" w:hAnsi="宋体" w:eastAsia="宋体"/>
                <w:b/>
                <w:bCs/>
                <w:color w:val="000000"/>
                <w:sz w:val="15"/>
                <w:szCs w:val="15"/>
              </w:rPr>
            </w:pPr>
            <w:r>
              <w:rPr>
                <w:rFonts w:hint="eastAsia" w:ascii="宋体" w:hAnsi="宋体" w:eastAsia="宋体"/>
                <w:b/>
                <w:bCs/>
                <w:color w:val="000000"/>
                <w:sz w:val="15"/>
                <w:szCs w:val="15"/>
              </w:rPr>
              <w:t>受理编号</w:t>
            </w:r>
          </w:p>
        </w:tc>
        <w:tc>
          <w:tcPr>
            <w:tcW w:w="1417" w:type="dxa"/>
          </w:tcPr>
          <w:p>
            <w:pPr>
              <w:widowControl/>
              <w:jc w:val="center"/>
              <w:rPr>
                <w:rFonts w:ascii="宋体" w:hAnsi="宋体" w:eastAsia="宋体"/>
                <w:b/>
                <w:bCs/>
                <w:color w:val="000000"/>
                <w:sz w:val="15"/>
                <w:szCs w:val="15"/>
              </w:rPr>
            </w:pPr>
            <w:r>
              <w:rPr>
                <w:rFonts w:ascii="宋体" w:hAnsi="宋体" w:eastAsia="宋体"/>
                <w:b/>
                <w:bCs/>
                <w:color w:val="000000"/>
                <w:sz w:val="15"/>
                <w:szCs w:val="15"/>
              </w:rPr>
              <w:t>交办问题基本情况</w:t>
            </w:r>
          </w:p>
        </w:tc>
        <w:tc>
          <w:tcPr>
            <w:tcW w:w="284" w:type="dxa"/>
          </w:tcPr>
          <w:p>
            <w:pPr>
              <w:widowControl/>
              <w:jc w:val="center"/>
              <w:rPr>
                <w:rFonts w:ascii="宋体" w:hAnsi="宋体" w:eastAsia="宋体"/>
                <w:b/>
                <w:bCs/>
                <w:color w:val="000000"/>
                <w:sz w:val="15"/>
                <w:szCs w:val="15"/>
              </w:rPr>
            </w:pPr>
            <w:r>
              <w:rPr>
                <w:rFonts w:hint="eastAsia" w:ascii="宋体" w:hAnsi="宋体" w:eastAsia="宋体"/>
                <w:b/>
                <w:bCs/>
                <w:color w:val="000000"/>
                <w:sz w:val="15"/>
                <w:szCs w:val="15"/>
              </w:rPr>
              <w:t>行政区域</w:t>
            </w:r>
          </w:p>
        </w:tc>
        <w:tc>
          <w:tcPr>
            <w:tcW w:w="283" w:type="dxa"/>
          </w:tcPr>
          <w:p>
            <w:pPr>
              <w:widowControl/>
              <w:jc w:val="center"/>
              <w:rPr>
                <w:rFonts w:ascii="宋体" w:hAnsi="宋体" w:eastAsia="宋体"/>
                <w:b/>
                <w:bCs/>
                <w:color w:val="000000"/>
                <w:sz w:val="15"/>
                <w:szCs w:val="15"/>
              </w:rPr>
            </w:pPr>
            <w:r>
              <w:rPr>
                <w:rFonts w:hint="eastAsia" w:ascii="宋体" w:hAnsi="宋体" w:eastAsia="宋体"/>
                <w:b/>
                <w:bCs/>
                <w:color w:val="000000"/>
                <w:sz w:val="15"/>
                <w:szCs w:val="15"/>
              </w:rPr>
              <w:t>污染类型</w:t>
            </w:r>
          </w:p>
        </w:tc>
        <w:tc>
          <w:tcPr>
            <w:tcW w:w="5245" w:type="dxa"/>
          </w:tcPr>
          <w:p>
            <w:pPr>
              <w:widowControl/>
              <w:jc w:val="center"/>
              <w:rPr>
                <w:rFonts w:ascii="宋体" w:hAnsi="宋体" w:eastAsia="宋体"/>
                <w:b/>
                <w:bCs/>
                <w:color w:val="000000"/>
                <w:sz w:val="15"/>
                <w:szCs w:val="15"/>
              </w:rPr>
            </w:pPr>
            <w:r>
              <w:rPr>
                <w:rFonts w:hint="eastAsia" w:ascii="宋体" w:hAnsi="宋体" w:eastAsia="宋体"/>
                <w:b/>
                <w:bCs/>
                <w:color w:val="000000"/>
                <w:sz w:val="15"/>
                <w:szCs w:val="15"/>
              </w:rPr>
              <w:t>调查核实情况</w:t>
            </w:r>
          </w:p>
        </w:tc>
        <w:tc>
          <w:tcPr>
            <w:tcW w:w="425" w:type="dxa"/>
          </w:tcPr>
          <w:p>
            <w:pPr>
              <w:widowControl/>
              <w:jc w:val="center"/>
              <w:rPr>
                <w:rFonts w:ascii="宋体" w:hAnsi="宋体" w:eastAsia="宋体"/>
                <w:b/>
                <w:bCs/>
                <w:color w:val="000000"/>
                <w:sz w:val="15"/>
                <w:szCs w:val="15"/>
              </w:rPr>
            </w:pPr>
            <w:r>
              <w:rPr>
                <w:rFonts w:hint="eastAsia" w:ascii="宋体" w:hAnsi="宋体" w:eastAsia="宋体"/>
                <w:b/>
                <w:bCs/>
                <w:color w:val="000000"/>
                <w:sz w:val="15"/>
                <w:szCs w:val="15"/>
              </w:rPr>
              <w:t>是否属实</w:t>
            </w:r>
          </w:p>
        </w:tc>
        <w:tc>
          <w:tcPr>
            <w:tcW w:w="3827" w:type="dxa"/>
          </w:tcPr>
          <w:p>
            <w:pPr>
              <w:widowControl/>
              <w:jc w:val="center"/>
              <w:rPr>
                <w:rFonts w:ascii="宋体" w:hAnsi="宋体" w:eastAsia="宋体"/>
                <w:b/>
                <w:bCs/>
                <w:color w:val="000000"/>
                <w:sz w:val="15"/>
                <w:szCs w:val="15"/>
              </w:rPr>
            </w:pPr>
            <w:r>
              <w:rPr>
                <w:rFonts w:hint="eastAsia" w:ascii="宋体" w:hAnsi="宋体" w:eastAsia="宋体"/>
                <w:b/>
                <w:bCs/>
                <w:color w:val="000000"/>
                <w:sz w:val="15"/>
                <w:szCs w:val="15"/>
              </w:rPr>
              <w:t>处理和整改情况</w:t>
            </w:r>
          </w:p>
        </w:tc>
        <w:tc>
          <w:tcPr>
            <w:tcW w:w="1418" w:type="dxa"/>
          </w:tcPr>
          <w:p>
            <w:pPr>
              <w:widowControl/>
              <w:jc w:val="center"/>
              <w:rPr>
                <w:rFonts w:ascii="宋体" w:hAnsi="宋体" w:eastAsia="宋体"/>
                <w:b/>
                <w:bCs/>
                <w:color w:val="000000"/>
                <w:sz w:val="15"/>
                <w:szCs w:val="15"/>
              </w:rPr>
            </w:pPr>
            <w:r>
              <w:rPr>
                <w:rFonts w:hint="eastAsia" w:ascii="宋体" w:hAnsi="宋体" w:eastAsia="宋体"/>
                <w:b/>
                <w:bCs/>
                <w:color w:val="000000"/>
                <w:sz w:val="15"/>
                <w:szCs w:val="15"/>
              </w:rPr>
              <w:t>问责情况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9" w:type="dxa"/>
          </w:tcPr>
          <w:p>
            <w:pPr>
              <w:rPr>
                <w:rFonts w:ascii="宋体" w:hAnsi="宋体" w:eastAsia="宋体"/>
                <w:sz w:val="15"/>
                <w:szCs w:val="15"/>
              </w:rPr>
            </w:pPr>
            <w:r>
              <w:rPr>
                <w:rFonts w:hint="eastAsia" w:ascii="宋体" w:hAnsi="宋体" w:eastAsia="宋体"/>
                <w:sz w:val="15"/>
                <w:szCs w:val="15"/>
              </w:rPr>
              <w:t>1</w:t>
            </w:r>
          </w:p>
        </w:tc>
        <w:tc>
          <w:tcPr>
            <w:tcW w:w="409" w:type="dxa"/>
          </w:tcPr>
          <w:p>
            <w:pPr>
              <w:widowControl/>
              <w:rPr>
                <w:rFonts w:ascii="宋体" w:hAnsi="宋体" w:eastAsia="宋体"/>
                <w:sz w:val="15"/>
                <w:szCs w:val="15"/>
              </w:rPr>
            </w:pPr>
            <w:r>
              <w:rPr>
                <w:rFonts w:ascii="宋体" w:hAnsi="宋体" w:eastAsia="宋体"/>
                <w:sz w:val="15"/>
                <w:szCs w:val="15"/>
              </w:rPr>
              <w:t>X510000201811110010</w:t>
            </w:r>
          </w:p>
        </w:tc>
        <w:tc>
          <w:tcPr>
            <w:tcW w:w="1417" w:type="dxa"/>
          </w:tcPr>
          <w:p>
            <w:pPr>
              <w:rPr>
                <w:rFonts w:ascii="宋体" w:hAnsi="宋体" w:eastAsia="宋体"/>
                <w:sz w:val="15"/>
                <w:szCs w:val="15"/>
              </w:rPr>
            </w:pPr>
            <w:r>
              <w:rPr>
                <w:rFonts w:hint="eastAsia" w:ascii="宋体" w:hAnsi="宋体" w:eastAsia="宋体"/>
                <w:sz w:val="15"/>
                <w:szCs w:val="15"/>
              </w:rPr>
              <w:t>广元市昭化区磨滩镇烂井坝水库有人使用人畜肥、化肥养鱼，对水体造成污染。</w:t>
            </w:r>
          </w:p>
        </w:tc>
        <w:tc>
          <w:tcPr>
            <w:tcW w:w="284" w:type="dxa"/>
          </w:tcPr>
          <w:p>
            <w:pPr>
              <w:rPr>
                <w:rFonts w:ascii="宋体" w:hAnsi="宋体" w:eastAsia="宋体"/>
                <w:sz w:val="15"/>
                <w:szCs w:val="15"/>
              </w:rPr>
            </w:pPr>
            <w:r>
              <w:rPr>
                <w:rFonts w:hint="eastAsia" w:ascii="宋体" w:hAnsi="宋体" w:eastAsia="宋体"/>
                <w:sz w:val="15"/>
                <w:szCs w:val="15"/>
              </w:rPr>
              <w:t>广元市</w:t>
            </w:r>
          </w:p>
        </w:tc>
        <w:tc>
          <w:tcPr>
            <w:tcW w:w="283" w:type="dxa"/>
          </w:tcPr>
          <w:p>
            <w:pPr>
              <w:rPr>
                <w:rFonts w:ascii="宋体" w:hAnsi="宋体" w:eastAsia="宋体"/>
                <w:sz w:val="15"/>
                <w:szCs w:val="15"/>
              </w:rPr>
            </w:pPr>
            <w:r>
              <w:rPr>
                <w:rFonts w:hint="eastAsia" w:ascii="宋体" w:hAnsi="宋体" w:eastAsia="宋体"/>
                <w:sz w:val="15"/>
                <w:szCs w:val="15"/>
              </w:rPr>
              <w:t>水</w:t>
            </w:r>
          </w:p>
        </w:tc>
        <w:tc>
          <w:tcPr>
            <w:tcW w:w="5245" w:type="dxa"/>
          </w:tcPr>
          <w:p>
            <w:pPr>
              <w:jc w:val="left"/>
              <w:rPr>
                <w:rFonts w:ascii="宋体" w:hAnsi="宋体" w:eastAsia="宋体"/>
                <w:sz w:val="15"/>
                <w:szCs w:val="15"/>
              </w:rPr>
            </w:pPr>
            <w:r>
              <w:rPr>
                <w:rFonts w:ascii="宋体" w:hAnsi="宋体" w:eastAsia="宋体"/>
                <w:sz w:val="15"/>
                <w:szCs w:val="15"/>
              </w:rPr>
              <w:t>经现场核查，群众反映情况不属实。</w:t>
            </w:r>
          </w:p>
          <w:p>
            <w:pPr>
              <w:jc w:val="left"/>
              <w:rPr>
                <w:rFonts w:ascii="宋体" w:hAnsi="宋体" w:eastAsia="宋体"/>
                <w:sz w:val="15"/>
                <w:szCs w:val="15"/>
              </w:rPr>
            </w:pPr>
            <w:r>
              <w:rPr>
                <w:rFonts w:ascii="宋体" w:hAnsi="宋体" w:eastAsia="宋体"/>
                <w:sz w:val="15"/>
                <w:szCs w:val="15"/>
              </w:rPr>
              <w:t>1.关于信访反映“磨滩镇烂井坝水库有人使用人畜肥、化肥养鱼”问题，不属实。</w:t>
            </w:r>
          </w:p>
          <w:p>
            <w:pPr>
              <w:jc w:val="left"/>
              <w:rPr>
                <w:rFonts w:ascii="宋体" w:hAnsi="宋体" w:eastAsia="宋体"/>
                <w:sz w:val="15"/>
                <w:szCs w:val="15"/>
              </w:rPr>
            </w:pPr>
            <w:r>
              <w:rPr>
                <w:rFonts w:ascii="宋体" w:hAnsi="宋体" w:eastAsia="宋体"/>
                <w:sz w:val="15"/>
                <w:szCs w:val="15"/>
              </w:rPr>
              <w:t>2015年5月，昭化区人民政府将磨滩镇金华村一社烂井坝水库划定为农村集中供水工程水源地后，磨滩镇人民政府监督养殖业主李祥清停止了肥水养殖，在对水库开展巡查过程中，未发现养殖户李祥清有使用人畜肥、化肥养鱼的行为。2018年11月12日，经调查组现场走访和询问水库周围农户，均反映从2015年起，未发现养殖户李祥清在养鱼过程使用人畜肥、化肥养鱼行为。</w:t>
            </w:r>
          </w:p>
          <w:p>
            <w:pPr>
              <w:jc w:val="left"/>
              <w:rPr>
                <w:rFonts w:ascii="宋体" w:hAnsi="宋体" w:eastAsia="宋体"/>
                <w:sz w:val="15"/>
                <w:szCs w:val="15"/>
              </w:rPr>
            </w:pPr>
            <w:r>
              <w:rPr>
                <w:rFonts w:ascii="宋体" w:hAnsi="宋体" w:eastAsia="宋体"/>
                <w:sz w:val="15"/>
                <w:szCs w:val="15"/>
              </w:rPr>
              <w:t>2.关于信访反映“对水体造成污染”问题，不属实。</w:t>
            </w:r>
          </w:p>
          <w:p>
            <w:pPr>
              <w:jc w:val="left"/>
              <w:rPr>
                <w:rFonts w:hint="eastAsia" w:ascii="宋体" w:hAnsi="宋体" w:eastAsia="宋体"/>
                <w:sz w:val="15"/>
                <w:szCs w:val="15"/>
              </w:rPr>
            </w:pPr>
            <w:r>
              <w:rPr>
                <w:rFonts w:ascii="宋体" w:hAnsi="宋体" w:eastAsia="宋体"/>
                <w:sz w:val="15"/>
                <w:szCs w:val="15"/>
              </w:rPr>
              <w:t>2017年9月28日和2018年9月21日，昭化区疾病预防控制中心对烂井坝水库供水工程的“出厂水和末梢水”进行了抽检，检测结果符合《生活应用水卫生标准》（GB5749-2006）。2018年11月12日，昭化区环境监测站对烂井坝水库的水质进行了采样监测，其结果显示，烂井坝水库水质中达到《地表水环境质量标准》（GB3838-2002）Ⅲ类水质标准。</w:t>
            </w:r>
          </w:p>
        </w:tc>
        <w:tc>
          <w:tcPr>
            <w:tcW w:w="425" w:type="dxa"/>
          </w:tcPr>
          <w:p>
            <w:pPr>
              <w:rPr>
                <w:rFonts w:ascii="宋体" w:hAnsi="宋体" w:eastAsia="宋体"/>
                <w:sz w:val="15"/>
                <w:szCs w:val="15"/>
              </w:rPr>
            </w:pPr>
            <w:r>
              <w:rPr>
                <w:rFonts w:hint="eastAsia" w:ascii="宋体" w:hAnsi="宋体" w:eastAsia="宋体"/>
                <w:sz w:val="15"/>
                <w:szCs w:val="15"/>
              </w:rPr>
              <w:t>不属实</w:t>
            </w:r>
          </w:p>
        </w:tc>
        <w:tc>
          <w:tcPr>
            <w:tcW w:w="3827" w:type="dxa"/>
          </w:tcPr>
          <w:p>
            <w:pPr>
              <w:jc w:val="left"/>
              <w:rPr>
                <w:rFonts w:ascii="宋体" w:hAnsi="宋体" w:eastAsia="宋体"/>
                <w:sz w:val="15"/>
                <w:szCs w:val="15"/>
              </w:rPr>
            </w:pPr>
            <w:r>
              <w:rPr>
                <w:rFonts w:ascii="宋体" w:hAnsi="宋体" w:eastAsia="宋体"/>
                <w:sz w:val="15"/>
                <w:szCs w:val="15"/>
              </w:rPr>
              <w:t>责任领导：昭化区人民政府副区长付健；责任单位:磨滩镇人民政府；责任人：磨滩镇党委副书记、镇长罗强。</w:t>
            </w:r>
          </w:p>
          <w:p>
            <w:pPr>
              <w:jc w:val="left"/>
              <w:rPr>
                <w:rFonts w:ascii="宋体" w:hAnsi="宋体" w:eastAsia="宋体"/>
                <w:sz w:val="15"/>
                <w:szCs w:val="15"/>
              </w:rPr>
            </w:pPr>
            <w:r>
              <w:rPr>
                <w:rFonts w:hint="eastAsia" w:ascii="宋体" w:hAnsi="宋体" w:eastAsia="宋体"/>
                <w:sz w:val="15"/>
                <w:szCs w:val="15"/>
              </w:rPr>
              <w:t>（一）关于磨滩镇烂井坝水库有人使用人畜肥、化肥养鱼问题。</w:t>
            </w:r>
          </w:p>
          <w:p>
            <w:pPr>
              <w:jc w:val="left"/>
              <w:rPr>
                <w:rFonts w:ascii="宋体" w:hAnsi="宋体" w:eastAsia="宋体"/>
                <w:sz w:val="15"/>
                <w:szCs w:val="15"/>
              </w:rPr>
            </w:pPr>
            <w:r>
              <w:rPr>
                <w:rFonts w:ascii="宋体" w:hAnsi="宋体" w:eastAsia="宋体"/>
                <w:sz w:val="15"/>
                <w:szCs w:val="15"/>
              </w:rPr>
              <w:t>2018年11月13日，磨滩镇政府向李祥清下达了《关于终止金华村烂井坝水库养殖合同的通知》（磨府〔2018〕161号），及时终止了养殖合同，责令村委会及业主在三十日内打捞库内鱼品及清除其他水产品和附属设施；并进一步加大了对烂井坝水库的巡访、暗查力度。（完成时限：2018年12月10日前完成）</w:t>
            </w:r>
          </w:p>
          <w:p>
            <w:pPr>
              <w:jc w:val="left"/>
              <w:rPr>
                <w:rFonts w:ascii="宋体" w:hAnsi="宋体" w:eastAsia="宋体"/>
                <w:sz w:val="15"/>
                <w:szCs w:val="15"/>
              </w:rPr>
            </w:pPr>
            <w:r>
              <w:rPr>
                <w:rFonts w:hint="eastAsia" w:ascii="宋体" w:hAnsi="宋体" w:eastAsia="宋体"/>
                <w:sz w:val="15"/>
                <w:szCs w:val="15"/>
              </w:rPr>
              <w:t>（二）关于对水体造成污染的问题。</w:t>
            </w:r>
          </w:p>
          <w:p>
            <w:pPr>
              <w:jc w:val="left"/>
              <w:rPr>
                <w:rFonts w:ascii="宋体" w:hAnsi="宋体" w:eastAsia="宋体"/>
                <w:sz w:val="15"/>
                <w:szCs w:val="15"/>
              </w:rPr>
            </w:pPr>
            <w:r>
              <w:rPr>
                <w:rFonts w:hint="eastAsia" w:ascii="宋体" w:hAnsi="宋体" w:eastAsia="宋体"/>
                <w:sz w:val="15"/>
                <w:szCs w:val="15"/>
              </w:rPr>
              <w:t>责任领导：昭化区人民政府副区长付健；责任单位</w:t>
            </w:r>
            <w:r>
              <w:rPr>
                <w:rFonts w:ascii="宋体" w:hAnsi="宋体" w:eastAsia="宋体"/>
                <w:sz w:val="15"/>
                <w:szCs w:val="15"/>
              </w:rPr>
              <w:t>: 磨滩镇人民政府；责任人：磨滩镇党委副书记、镇长罗强。</w:t>
            </w:r>
          </w:p>
          <w:p>
            <w:pPr>
              <w:jc w:val="left"/>
              <w:rPr>
                <w:rFonts w:ascii="宋体" w:hAnsi="宋体" w:eastAsia="宋体"/>
                <w:sz w:val="15"/>
                <w:szCs w:val="15"/>
              </w:rPr>
            </w:pPr>
            <w:r>
              <w:rPr>
                <w:rFonts w:hint="eastAsia" w:ascii="宋体" w:hAnsi="宋体" w:eastAsia="宋体"/>
                <w:sz w:val="15"/>
                <w:szCs w:val="15"/>
              </w:rPr>
              <w:t>加强饮用水源地的监督、监测和管理，镇政府每周不少于两次巡查检查，金华村每两天至少一次巡查检查，巡查任务为：做好清除库区及周边的枯枝败叶及杂草；加大水库周边的环境整治力度，杜绝畜禽养殖，做好巡查记录。（完成时限：长期坚持）</w:t>
            </w:r>
          </w:p>
          <w:p>
            <w:pPr>
              <w:jc w:val="left"/>
              <w:rPr>
                <w:rFonts w:ascii="宋体" w:hAnsi="宋体" w:eastAsia="宋体"/>
                <w:sz w:val="15"/>
                <w:szCs w:val="15"/>
              </w:rPr>
            </w:pPr>
            <w:r>
              <w:rPr>
                <w:rFonts w:hint="eastAsia" w:ascii="宋体" w:hAnsi="宋体" w:eastAsia="宋体"/>
                <w:sz w:val="15"/>
                <w:szCs w:val="15"/>
              </w:rPr>
              <w:t>（三）关于确保饮水安全的问题。</w:t>
            </w:r>
          </w:p>
          <w:p>
            <w:pPr>
              <w:jc w:val="left"/>
              <w:rPr>
                <w:rFonts w:ascii="宋体" w:hAnsi="宋体" w:eastAsia="宋体"/>
                <w:sz w:val="15"/>
                <w:szCs w:val="15"/>
              </w:rPr>
            </w:pPr>
            <w:r>
              <w:rPr>
                <w:rFonts w:hint="eastAsia" w:ascii="宋体" w:hAnsi="宋体" w:eastAsia="宋体"/>
                <w:sz w:val="15"/>
                <w:szCs w:val="15"/>
              </w:rPr>
              <w:t>责任领导：昭化区人民政府副区长付健；责任单位</w:t>
            </w:r>
            <w:r>
              <w:rPr>
                <w:rFonts w:ascii="宋体" w:hAnsi="宋体" w:eastAsia="宋体"/>
                <w:sz w:val="15"/>
                <w:szCs w:val="15"/>
              </w:rPr>
              <w:t>:昭化区疾病预防控制中心 ；责任人：昭化区疾病预防控制中心主任漆志军。</w:t>
            </w:r>
          </w:p>
          <w:p>
            <w:pPr>
              <w:jc w:val="left"/>
              <w:rPr>
                <w:rFonts w:ascii="宋体" w:hAnsi="宋体" w:eastAsia="宋体"/>
                <w:sz w:val="15"/>
                <w:szCs w:val="15"/>
              </w:rPr>
            </w:pPr>
            <w:r>
              <w:rPr>
                <w:rFonts w:hint="eastAsia" w:ascii="宋体" w:hAnsi="宋体" w:eastAsia="宋体"/>
                <w:sz w:val="15"/>
                <w:szCs w:val="15"/>
              </w:rPr>
              <w:t>卫计部门将认真履行卫生部门监督管理职责，积极配合有关部门，加强对集中式供水单位的卫生管理、涉水产品索证、水质自检、供水设施清洗消毒、供水设施卫生防护等，全力做好饮用水卫生安全监督监管工作。（完成时限：长期坚持）</w:t>
            </w:r>
          </w:p>
        </w:tc>
        <w:tc>
          <w:tcPr>
            <w:tcW w:w="1418" w:type="dxa"/>
          </w:tcPr>
          <w:p>
            <w:pPr>
              <w:rPr>
                <w:rFonts w:ascii="宋体" w:hAnsi="宋体" w:eastAsia="宋体"/>
                <w:sz w:val="15"/>
                <w:szCs w:val="15"/>
              </w:rPr>
            </w:pPr>
            <w:r>
              <w:rPr>
                <w:rFonts w:hint="eastAsia" w:ascii="宋体" w:hAnsi="宋体" w:eastAsia="宋体"/>
                <w:sz w:val="15"/>
                <w:szCs w:val="15"/>
              </w:rPr>
              <w:t>针对群众反映的问题，在调查过程中未发现失职失责的情况。</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6A4"/>
    <w:rsid w:val="000616A4"/>
    <w:rsid w:val="000A7C00"/>
    <w:rsid w:val="001954EF"/>
    <w:rsid w:val="00231BAC"/>
    <w:rsid w:val="002806C6"/>
    <w:rsid w:val="002E3DDA"/>
    <w:rsid w:val="00336DC8"/>
    <w:rsid w:val="003F367F"/>
    <w:rsid w:val="00451B75"/>
    <w:rsid w:val="004E45B8"/>
    <w:rsid w:val="00516AAB"/>
    <w:rsid w:val="005424C8"/>
    <w:rsid w:val="005F389A"/>
    <w:rsid w:val="006002DC"/>
    <w:rsid w:val="00631CCC"/>
    <w:rsid w:val="006E2014"/>
    <w:rsid w:val="00720BD6"/>
    <w:rsid w:val="00792966"/>
    <w:rsid w:val="007946BA"/>
    <w:rsid w:val="007E6C35"/>
    <w:rsid w:val="0086144F"/>
    <w:rsid w:val="008B5004"/>
    <w:rsid w:val="00940F79"/>
    <w:rsid w:val="00A13BD7"/>
    <w:rsid w:val="00B36E20"/>
    <w:rsid w:val="00B42A07"/>
    <w:rsid w:val="00C07FE8"/>
    <w:rsid w:val="00C95CA9"/>
    <w:rsid w:val="00D3552D"/>
    <w:rsid w:val="00E029A6"/>
    <w:rsid w:val="00E24EC1"/>
    <w:rsid w:val="00E91DB9"/>
    <w:rsid w:val="00EA1B58"/>
    <w:rsid w:val="00EE0950"/>
    <w:rsid w:val="00FA2222"/>
    <w:rsid w:val="37956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4"/>
    <w:link w:val="3"/>
    <w:uiPriority w:val="99"/>
    <w:rPr>
      <w:sz w:val="18"/>
      <w:szCs w:val="18"/>
    </w:rPr>
  </w:style>
  <w:style w:type="character" w:customStyle="1" w:styleId="8">
    <w:name w:val="页脚 字符"/>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189</Words>
  <Characters>1081</Characters>
  <Lines>9</Lines>
  <Paragraphs>2</Paragraphs>
  <TotalTime>66</TotalTime>
  <ScaleCrop>false</ScaleCrop>
  <LinksUpToDate>false</LinksUpToDate>
  <CharactersWithSpaces>1268</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2018-11-15T07:01:00Z</dcterms:created>
  <dc:creator>PC</dc:creator>
  <cp:lastModifiedBy>Administrator</cp:lastModifiedBy>
  <dcterms:modified xsi:type="dcterms:W3CDTF">2018-11-19T08:05:46Z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