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C8" w:rsidRPr="00E029A6" w:rsidRDefault="006E2014" w:rsidP="00336DC8">
      <w:pPr>
        <w:jc w:val="center"/>
        <w:rPr>
          <w:rFonts w:ascii="宋体" w:eastAsia="宋体" w:hAnsi="宋体"/>
          <w:b/>
          <w:bCs/>
          <w:color w:val="000000"/>
          <w:sz w:val="36"/>
          <w:szCs w:val="36"/>
        </w:rPr>
      </w:pPr>
      <w:r>
        <w:rPr>
          <w:rFonts w:ascii="宋体" w:eastAsia="宋体" w:hAnsi="宋体" w:hint="eastAsia"/>
          <w:b/>
          <w:bCs/>
          <w:color w:val="000000"/>
          <w:sz w:val="36"/>
          <w:szCs w:val="36"/>
        </w:rPr>
        <w:t>四川省</w:t>
      </w:r>
      <w:r>
        <w:rPr>
          <w:rFonts w:ascii="宋体" w:eastAsia="宋体" w:hAnsi="宋体"/>
          <w:b/>
          <w:bCs/>
          <w:color w:val="000000"/>
          <w:sz w:val="36"/>
          <w:szCs w:val="36"/>
        </w:rPr>
        <w:t>广元市</w:t>
      </w:r>
      <w:r w:rsidR="00336DC8">
        <w:rPr>
          <w:rFonts w:ascii="宋体" w:eastAsia="宋体" w:hAnsi="宋体" w:hint="eastAsia"/>
          <w:b/>
          <w:bCs/>
          <w:color w:val="000000"/>
          <w:sz w:val="36"/>
          <w:szCs w:val="36"/>
        </w:rPr>
        <w:t>群众信访</w:t>
      </w:r>
      <w:r w:rsidR="00336DC8">
        <w:rPr>
          <w:rFonts w:ascii="宋体" w:eastAsia="宋体" w:hAnsi="宋体"/>
          <w:b/>
          <w:bCs/>
          <w:color w:val="000000"/>
          <w:sz w:val="36"/>
          <w:szCs w:val="36"/>
        </w:rPr>
        <w:t>举报转办和边督边改公开情况一览表</w:t>
      </w:r>
    </w:p>
    <w:p w:rsidR="004E45B8" w:rsidRPr="004E45B8" w:rsidRDefault="004E45B8" w:rsidP="004E45B8">
      <w:pPr>
        <w:jc w:val="left"/>
        <w:rPr>
          <w:rFonts w:ascii="宋体" w:eastAsia="宋体" w:hAnsi="宋体"/>
          <w:b/>
          <w:bCs/>
          <w:color w:val="000000"/>
          <w:sz w:val="28"/>
          <w:szCs w:val="28"/>
        </w:rPr>
      </w:pPr>
      <w:r w:rsidRPr="004E45B8">
        <w:rPr>
          <w:rFonts w:ascii="宋体" w:eastAsia="宋体" w:hAnsi="宋体" w:hint="eastAsia"/>
          <w:b/>
          <w:bCs/>
          <w:color w:val="000000"/>
          <w:sz w:val="28"/>
          <w:szCs w:val="28"/>
        </w:rPr>
        <w:t xml:space="preserve">广元市人民政府（盖章）        </w:t>
      </w:r>
      <w:r w:rsidRPr="004E45B8">
        <w:rPr>
          <w:rFonts w:ascii="宋体" w:eastAsia="宋体" w:hAnsi="宋体"/>
          <w:b/>
          <w:bCs/>
          <w:color w:val="000000"/>
          <w:sz w:val="28"/>
          <w:szCs w:val="28"/>
        </w:rPr>
        <w:t xml:space="preserve">         </w:t>
      </w:r>
      <w:r>
        <w:rPr>
          <w:rFonts w:ascii="宋体" w:eastAsia="宋体" w:hAnsi="宋体"/>
          <w:b/>
          <w:bCs/>
          <w:color w:val="000000"/>
          <w:sz w:val="28"/>
          <w:szCs w:val="28"/>
        </w:rPr>
        <w:t xml:space="preserve">                               </w:t>
      </w:r>
      <w:r w:rsidRPr="004E45B8">
        <w:rPr>
          <w:rFonts w:ascii="宋体" w:eastAsia="宋体" w:hAnsi="宋体" w:hint="eastAsia"/>
          <w:b/>
          <w:bCs/>
          <w:color w:val="000000"/>
          <w:sz w:val="28"/>
          <w:szCs w:val="28"/>
        </w:rPr>
        <w:t>（第</w:t>
      </w:r>
      <w:r w:rsidR="00AB534A">
        <w:rPr>
          <w:rFonts w:ascii="宋体" w:eastAsia="宋体" w:hAnsi="宋体" w:hint="eastAsia"/>
          <w:b/>
          <w:bCs/>
          <w:color w:val="000000"/>
          <w:sz w:val="28"/>
          <w:szCs w:val="28"/>
        </w:rPr>
        <w:t>十</w:t>
      </w:r>
      <w:r w:rsidRPr="004E45B8">
        <w:rPr>
          <w:rFonts w:ascii="宋体" w:eastAsia="宋体" w:hAnsi="宋体" w:hint="eastAsia"/>
          <w:b/>
          <w:bCs/>
          <w:color w:val="000000"/>
          <w:sz w:val="28"/>
          <w:szCs w:val="28"/>
        </w:rPr>
        <w:t>批</w:t>
      </w:r>
      <w:r w:rsidRPr="004E45B8">
        <w:rPr>
          <w:rFonts w:ascii="宋体" w:eastAsia="宋体" w:hAnsi="宋体"/>
          <w:b/>
          <w:bCs/>
          <w:color w:val="000000"/>
          <w:sz w:val="28"/>
          <w:szCs w:val="28"/>
        </w:rPr>
        <w:t xml:space="preserve">  2018年11月</w:t>
      </w:r>
      <w:r w:rsidR="00AB534A">
        <w:rPr>
          <w:rFonts w:ascii="宋体" w:eastAsia="宋体" w:hAnsi="宋体"/>
          <w:b/>
          <w:bCs/>
          <w:color w:val="000000"/>
          <w:sz w:val="28"/>
          <w:szCs w:val="28"/>
        </w:rPr>
        <w:t>20</w:t>
      </w:r>
      <w:r w:rsidRPr="004E45B8">
        <w:rPr>
          <w:rFonts w:ascii="宋体" w:eastAsia="宋体" w:hAnsi="宋体"/>
          <w:b/>
          <w:bCs/>
          <w:color w:val="000000"/>
          <w:sz w:val="28"/>
          <w:szCs w:val="28"/>
        </w:rPr>
        <w:t>日）</w:t>
      </w:r>
    </w:p>
    <w:tbl>
      <w:tblPr>
        <w:tblStyle w:val="a3"/>
        <w:tblW w:w="0" w:type="auto"/>
        <w:tblLayout w:type="fixed"/>
        <w:tblLook w:val="04A0" w:firstRow="1" w:lastRow="0" w:firstColumn="1" w:lastColumn="0" w:noHBand="0" w:noVBand="1"/>
      </w:tblPr>
      <w:tblGrid>
        <w:gridCol w:w="579"/>
        <w:gridCol w:w="409"/>
        <w:gridCol w:w="1417"/>
        <w:gridCol w:w="284"/>
        <w:gridCol w:w="283"/>
        <w:gridCol w:w="5245"/>
        <w:gridCol w:w="425"/>
        <w:gridCol w:w="3827"/>
        <w:gridCol w:w="1418"/>
      </w:tblGrid>
      <w:tr w:rsidR="004E45B8" w:rsidRPr="007E6C35" w:rsidTr="008B5004">
        <w:tc>
          <w:tcPr>
            <w:tcW w:w="579" w:type="dxa"/>
          </w:tcPr>
          <w:p w:rsidR="004E45B8" w:rsidRPr="007E6C35" w:rsidRDefault="004E45B8" w:rsidP="00180039">
            <w:pPr>
              <w:widowControl/>
              <w:jc w:val="center"/>
              <w:rPr>
                <w:rFonts w:ascii="宋体" w:eastAsia="宋体" w:hAnsi="宋体"/>
                <w:b/>
                <w:bCs/>
                <w:color w:val="000000"/>
                <w:sz w:val="15"/>
                <w:szCs w:val="15"/>
              </w:rPr>
            </w:pPr>
            <w:r w:rsidRPr="007E6C35">
              <w:rPr>
                <w:rFonts w:ascii="宋体" w:eastAsia="宋体" w:hAnsi="宋体" w:hint="eastAsia"/>
                <w:b/>
                <w:bCs/>
                <w:color w:val="000000"/>
                <w:sz w:val="15"/>
                <w:szCs w:val="15"/>
              </w:rPr>
              <w:t>序号</w:t>
            </w:r>
          </w:p>
        </w:tc>
        <w:tc>
          <w:tcPr>
            <w:tcW w:w="409" w:type="dxa"/>
          </w:tcPr>
          <w:p w:rsidR="004E45B8" w:rsidRPr="007E6C35" w:rsidRDefault="004E45B8" w:rsidP="00180039">
            <w:pPr>
              <w:widowControl/>
              <w:jc w:val="center"/>
              <w:rPr>
                <w:rFonts w:ascii="宋体" w:eastAsia="宋体" w:hAnsi="宋体"/>
                <w:b/>
                <w:bCs/>
                <w:color w:val="000000"/>
                <w:sz w:val="15"/>
                <w:szCs w:val="15"/>
              </w:rPr>
            </w:pPr>
            <w:r w:rsidRPr="007E6C35">
              <w:rPr>
                <w:rFonts w:ascii="宋体" w:eastAsia="宋体" w:hAnsi="宋体" w:hint="eastAsia"/>
                <w:b/>
                <w:bCs/>
                <w:color w:val="000000"/>
                <w:sz w:val="15"/>
                <w:szCs w:val="15"/>
              </w:rPr>
              <w:t>受理编号</w:t>
            </w:r>
          </w:p>
        </w:tc>
        <w:tc>
          <w:tcPr>
            <w:tcW w:w="1417" w:type="dxa"/>
          </w:tcPr>
          <w:p w:rsidR="004E45B8" w:rsidRPr="007E6C35" w:rsidRDefault="004E45B8" w:rsidP="00180039">
            <w:pPr>
              <w:widowControl/>
              <w:jc w:val="center"/>
              <w:rPr>
                <w:rFonts w:ascii="宋体" w:eastAsia="宋体" w:hAnsi="宋体"/>
                <w:b/>
                <w:bCs/>
                <w:color w:val="000000"/>
                <w:sz w:val="15"/>
                <w:szCs w:val="15"/>
              </w:rPr>
            </w:pPr>
            <w:r w:rsidRPr="007E6C35">
              <w:rPr>
                <w:rFonts w:ascii="宋体" w:eastAsia="宋体" w:hAnsi="宋体"/>
                <w:b/>
                <w:bCs/>
                <w:color w:val="000000"/>
                <w:sz w:val="15"/>
                <w:szCs w:val="15"/>
              </w:rPr>
              <w:t>交办问题基本情况</w:t>
            </w:r>
          </w:p>
        </w:tc>
        <w:tc>
          <w:tcPr>
            <w:tcW w:w="284" w:type="dxa"/>
          </w:tcPr>
          <w:p w:rsidR="004E45B8" w:rsidRPr="007E6C35" w:rsidRDefault="004E45B8" w:rsidP="00180039">
            <w:pPr>
              <w:widowControl/>
              <w:jc w:val="center"/>
              <w:rPr>
                <w:rFonts w:ascii="宋体" w:eastAsia="宋体" w:hAnsi="宋体"/>
                <w:b/>
                <w:bCs/>
                <w:color w:val="000000"/>
                <w:sz w:val="15"/>
                <w:szCs w:val="15"/>
              </w:rPr>
            </w:pPr>
            <w:r w:rsidRPr="007E6C35">
              <w:rPr>
                <w:rFonts w:ascii="宋体" w:eastAsia="宋体" w:hAnsi="宋体" w:hint="eastAsia"/>
                <w:b/>
                <w:bCs/>
                <w:color w:val="000000"/>
                <w:sz w:val="15"/>
                <w:szCs w:val="15"/>
              </w:rPr>
              <w:t>行政区域</w:t>
            </w:r>
          </w:p>
        </w:tc>
        <w:tc>
          <w:tcPr>
            <w:tcW w:w="283" w:type="dxa"/>
          </w:tcPr>
          <w:p w:rsidR="004E45B8" w:rsidRPr="007E6C35" w:rsidRDefault="004E45B8" w:rsidP="00180039">
            <w:pPr>
              <w:widowControl/>
              <w:jc w:val="center"/>
              <w:rPr>
                <w:rFonts w:ascii="宋体" w:eastAsia="宋体" w:hAnsi="宋体"/>
                <w:b/>
                <w:bCs/>
                <w:color w:val="000000"/>
                <w:sz w:val="15"/>
                <w:szCs w:val="15"/>
              </w:rPr>
            </w:pPr>
            <w:r w:rsidRPr="007E6C35">
              <w:rPr>
                <w:rFonts w:ascii="宋体" w:eastAsia="宋体" w:hAnsi="宋体" w:hint="eastAsia"/>
                <w:b/>
                <w:bCs/>
                <w:color w:val="000000"/>
                <w:sz w:val="15"/>
                <w:szCs w:val="15"/>
              </w:rPr>
              <w:t>污染类型</w:t>
            </w:r>
          </w:p>
        </w:tc>
        <w:tc>
          <w:tcPr>
            <w:tcW w:w="5245" w:type="dxa"/>
          </w:tcPr>
          <w:p w:rsidR="004E45B8" w:rsidRPr="007E6C35" w:rsidRDefault="004E45B8" w:rsidP="00180039">
            <w:pPr>
              <w:widowControl/>
              <w:jc w:val="center"/>
              <w:rPr>
                <w:rFonts w:ascii="宋体" w:eastAsia="宋体" w:hAnsi="宋体"/>
                <w:b/>
                <w:bCs/>
                <w:color w:val="000000"/>
                <w:sz w:val="15"/>
                <w:szCs w:val="15"/>
              </w:rPr>
            </w:pPr>
            <w:r w:rsidRPr="007E6C35">
              <w:rPr>
                <w:rFonts w:ascii="宋体" w:eastAsia="宋体" w:hAnsi="宋体" w:hint="eastAsia"/>
                <w:b/>
                <w:bCs/>
                <w:color w:val="000000"/>
                <w:sz w:val="15"/>
                <w:szCs w:val="15"/>
              </w:rPr>
              <w:t>调查核实情况</w:t>
            </w:r>
          </w:p>
        </w:tc>
        <w:tc>
          <w:tcPr>
            <w:tcW w:w="425" w:type="dxa"/>
          </w:tcPr>
          <w:p w:rsidR="004E45B8" w:rsidRPr="007E6C35" w:rsidRDefault="004E45B8" w:rsidP="00180039">
            <w:pPr>
              <w:widowControl/>
              <w:jc w:val="center"/>
              <w:rPr>
                <w:rFonts w:ascii="宋体" w:eastAsia="宋体" w:hAnsi="宋体"/>
                <w:b/>
                <w:bCs/>
                <w:color w:val="000000"/>
                <w:sz w:val="15"/>
                <w:szCs w:val="15"/>
              </w:rPr>
            </w:pPr>
            <w:r w:rsidRPr="007E6C35">
              <w:rPr>
                <w:rFonts w:ascii="宋体" w:eastAsia="宋体" w:hAnsi="宋体" w:hint="eastAsia"/>
                <w:b/>
                <w:bCs/>
                <w:color w:val="000000"/>
                <w:sz w:val="15"/>
                <w:szCs w:val="15"/>
              </w:rPr>
              <w:t>是否属实</w:t>
            </w:r>
          </w:p>
        </w:tc>
        <w:tc>
          <w:tcPr>
            <w:tcW w:w="3827" w:type="dxa"/>
          </w:tcPr>
          <w:p w:rsidR="004E45B8" w:rsidRPr="007E6C35" w:rsidRDefault="004E45B8" w:rsidP="00180039">
            <w:pPr>
              <w:widowControl/>
              <w:jc w:val="center"/>
              <w:rPr>
                <w:rFonts w:ascii="宋体" w:eastAsia="宋体" w:hAnsi="宋体"/>
                <w:b/>
                <w:bCs/>
                <w:color w:val="000000"/>
                <w:sz w:val="15"/>
                <w:szCs w:val="15"/>
              </w:rPr>
            </w:pPr>
            <w:r w:rsidRPr="007E6C35">
              <w:rPr>
                <w:rFonts w:ascii="宋体" w:eastAsia="宋体" w:hAnsi="宋体" w:hint="eastAsia"/>
                <w:b/>
                <w:bCs/>
                <w:color w:val="000000"/>
                <w:sz w:val="15"/>
                <w:szCs w:val="15"/>
              </w:rPr>
              <w:t>处理和整改情况</w:t>
            </w:r>
          </w:p>
        </w:tc>
        <w:tc>
          <w:tcPr>
            <w:tcW w:w="1418" w:type="dxa"/>
          </w:tcPr>
          <w:p w:rsidR="004E45B8" w:rsidRPr="007E6C35" w:rsidRDefault="00A13BD7" w:rsidP="00180039">
            <w:pPr>
              <w:widowControl/>
              <w:jc w:val="center"/>
              <w:rPr>
                <w:rFonts w:ascii="宋体" w:eastAsia="宋体" w:hAnsi="宋体"/>
                <w:b/>
                <w:bCs/>
                <w:color w:val="000000"/>
                <w:sz w:val="15"/>
                <w:szCs w:val="15"/>
              </w:rPr>
            </w:pPr>
            <w:r>
              <w:rPr>
                <w:rFonts w:ascii="宋体" w:eastAsia="宋体" w:hAnsi="宋体" w:hint="eastAsia"/>
                <w:b/>
                <w:bCs/>
                <w:color w:val="000000"/>
                <w:sz w:val="15"/>
                <w:szCs w:val="15"/>
              </w:rPr>
              <w:t>问责</w:t>
            </w:r>
            <w:r w:rsidR="004E45B8" w:rsidRPr="007E6C35">
              <w:rPr>
                <w:rFonts w:ascii="宋体" w:eastAsia="宋体" w:hAnsi="宋体" w:hint="eastAsia"/>
                <w:b/>
                <w:bCs/>
                <w:color w:val="000000"/>
                <w:sz w:val="15"/>
                <w:szCs w:val="15"/>
              </w:rPr>
              <w:t>情况</w:t>
            </w:r>
          </w:p>
        </w:tc>
      </w:tr>
      <w:tr w:rsidR="004E45B8" w:rsidRPr="007E6C35" w:rsidTr="008B5004">
        <w:tc>
          <w:tcPr>
            <w:tcW w:w="579" w:type="dxa"/>
          </w:tcPr>
          <w:p w:rsidR="004E45B8" w:rsidRPr="007E6C35" w:rsidRDefault="004E45B8" w:rsidP="00180039">
            <w:pPr>
              <w:rPr>
                <w:rFonts w:ascii="宋体" w:eastAsia="宋体" w:hAnsi="宋体"/>
                <w:sz w:val="15"/>
                <w:szCs w:val="15"/>
              </w:rPr>
            </w:pPr>
            <w:r w:rsidRPr="007E6C35">
              <w:rPr>
                <w:rFonts w:ascii="宋体" w:eastAsia="宋体" w:hAnsi="宋体" w:hint="eastAsia"/>
                <w:sz w:val="15"/>
                <w:szCs w:val="15"/>
              </w:rPr>
              <w:t>1</w:t>
            </w:r>
          </w:p>
        </w:tc>
        <w:tc>
          <w:tcPr>
            <w:tcW w:w="409" w:type="dxa"/>
          </w:tcPr>
          <w:p w:rsidR="004E45B8" w:rsidRPr="007E6C35" w:rsidRDefault="00AD6432" w:rsidP="007946BA">
            <w:pPr>
              <w:widowControl/>
              <w:rPr>
                <w:rFonts w:ascii="宋体" w:eastAsia="宋体" w:hAnsi="宋体"/>
                <w:sz w:val="15"/>
                <w:szCs w:val="15"/>
              </w:rPr>
            </w:pPr>
            <w:r w:rsidRPr="00AD6432">
              <w:rPr>
                <w:rFonts w:ascii="宋体" w:eastAsia="宋体" w:hAnsi="宋体"/>
                <w:sz w:val="15"/>
                <w:szCs w:val="15"/>
              </w:rPr>
              <w:t>D510000201811120033</w:t>
            </w:r>
          </w:p>
        </w:tc>
        <w:tc>
          <w:tcPr>
            <w:tcW w:w="1417" w:type="dxa"/>
          </w:tcPr>
          <w:p w:rsidR="004E45B8" w:rsidRPr="007E6C35" w:rsidRDefault="00AD6432" w:rsidP="00180039">
            <w:pPr>
              <w:rPr>
                <w:rFonts w:ascii="宋体" w:eastAsia="宋体" w:hAnsi="宋体"/>
                <w:sz w:val="15"/>
                <w:szCs w:val="15"/>
              </w:rPr>
            </w:pPr>
            <w:r w:rsidRPr="00AD6432">
              <w:rPr>
                <w:rFonts w:ascii="宋体" w:eastAsia="宋体" w:hAnsi="宋体" w:hint="eastAsia"/>
                <w:sz w:val="15"/>
                <w:szCs w:val="15"/>
              </w:rPr>
              <w:t>广元市苍溪县陵江镇嘉陵江河道出现有人非法盗采砂石，苍溪县水务局严重不作为，导致嘉陵江仓溪段河道生态恶化。一直以来每天有六条采砂船明目张胆在嘉陵江苍溪段河道的禁采区采挖砂石，工作时间长达</w:t>
            </w:r>
            <w:r w:rsidRPr="00AD6432">
              <w:rPr>
                <w:rFonts w:ascii="宋体" w:eastAsia="宋体" w:hAnsi="宋体"/>
                <w:sz w:val="15"/>
                <w:szCs w:val="15"/>
              </w:rPr>
              <w:t>12-15小时。采砂船的噪音非常大， 附近的居民根本没法休息。苍溪纪委副书记牧兵与县水务局局长王晓东、管河</w:t>
            </w:r>
            <w:r w:rsidRPr="00AD6432">
              <w:rPr>
                <w:rFonts w:ascii="宋体" w:eastAsia="宋体" w:hAnsi="宋体"/>
                <w:sz w:val="15"/>
                <w:szCs w:val="15"/>
              </w:rPr>
              <w:lastRenderedPageBreak/>
              <w:t>道的副局长刘蜀华与砂石老板串通一气，遇到上级检查时，就通知砂石老板停工，检查一过，又恢复非法采砂石。希望中央督察组严查此事。</w:t>
            </w:r>
          </w:p>
        </w:tc>
        <w:tc>
          <w:tcPr>
            <w:tcW w:w="284" w:type="dxa"/>
          </w:tcPr>
          <w:p w:rsidR="004E45B8" w:rsidRPr="007E6C35" w:rsidRDefault="00AD6432" w:rsidP="00180039">
            <w:pPr>
              <w:rPr>
                <w:rFonts w:ascii="宋体" w:eastAsia="宋体" w:hAnsi="宋体"/>
                <w:sz w:val="15"/>
                <w:szCs w:val="15"/>
              </w:rPr>
            </w:pPr>
            <w:r>
              <w:rPr>
                <w:rFonts w:ascii="宋体" w:eastAsia="宋体" w:hAnsi="宋体" w:hint="eastAsia"/>
                <w:sz w:val="15"/>
                <w:szCs w:val="15"/>
              </w:rPr>
              <w:lastRenderedPageBreak/>
              <w:t>广元市</w:t>
            </w:r>
          </w:p>
        </w:tc>
        <w:tc>
          <w:tcPr>
            <w:tcW w:w="283" w:type="dxa"/>
          </w:tcPr>
          <w:p w:rsidR="004E45B8" w:rsidRPr="007E6C35" w:rsidRDefault="00AD6432" w:rsidP="002E3DDA">
            <w:pPr>
              <w:rPr>
                <w:rFonts w:ascii="宋体" w:eastAsia="宋体" w:hAnsi="宋体" w:hint="eastAsia"/>
                <w:sz w:val="15"/>
                <w:szCs w:val="15"/>
              </w:rPr>
            </w:pPr>
            <w:r>
              <w:rPr>
                <w:rFonts w:ascii="宋体" w:eastAsia="宋体" w:hAnsi="宋体" w:hint="eastAsia"/>
                <w:sz w:val="15"/>
                <w:szCs w:val="15"/>
              </w:rPr>
              <w:t>生态</w:t>
            </w:r>
            <w:r>
              <w:rPr>
                <w:rFonts w:ascii="宋体" w:eastAsia="宋体" w:hAnsi="宋体"/>
                <w:sz w:val="15"/>
                <w:szCs w:val="15"/>
              </w:rPr>
              <w:t>、噪音</w:t>
            </w:r>
          </w:p>
        </w:tc>
        <w:tc>
          <w:tcPr>
            <w:tcW w:w="5245" w:type="dxa"/>
          </w:tcPr>
          <w:p w:rsidR="00AD6432" w:rsidRPr="00AD6432" w:rsidRDefault="00AD6432" w:rsidP="00AD6432">
            <w:pPr>
              <w:jc w:val="left"/>
              <w:rPr>
                <w:rFonts w:ascii="宋体" w:eastAsia="宋体" w:hAnsi="宋体"/>
                <w:sz w:val="15"/>
                <w:szCs w:val="15"/>
              </w:rPr>
            </w:pPr>
            <w:r w:rsidRPr="00AD6432">
              <w:rPr>
                <w:rFonts w:ascii="宋体" w:eastAsia="宋体" w:hAnsi="宋体"/>
                <w:sz w:val="15"/>
                <w:szCs w:val="15"/>
              </w:rPr>
              <w:t>经现场核查，群众反映情况属实。                                                                                                            1.关于信访反映“广元市苍溪县陵江镇嘉陵江河道出现有人非法盗采砂石”问题，属实。</w:t>
            </w:r>
          </w:p>
          <w:p w:rsidR="00AD6432" w:rsidRPr="00AD6432" w:rsidRDefault="00AD6432" w:rsidP="00AD6432">
            <w:pPr>
              <w:jc w:val="left"/>
              <w:rPr>
                <w:rFonts w:ascii="宋体" w:eastAsia="宋体" w:hAnsi="宋体"/>
                <w:sz w:val="15"/>
                <w:szCs w:val="15"/>
              </w:rPr>
            </w:pPr>
            <w:r w:rsidRPr="00AD6432">
              <w:rPr>
                <w:rFonts w:ascii="宋体" w:eastAsia="宋体" w:hAnsi="宋体" w:hint="eastAsia"/>
                <w:sz w:val="15"/>
                <w:szCs w:val="15"/>
              </w:rPr>
              <w:t>经调阅苍溪县水政监察大队</w:t>
            </w:r>
            <w:r w:rsidRPr="00AD6432">
              <w:rPr>
                <w:rFonts w:ascii="宋体" w:eastAsia="宋体" w:hAnsi="宋体"/>
                <w:sz w:val="15"/>
                <w:szCs w:val="15"/>
              </w:rPr>
              <w:t>2017年10月以来的行政处罚案卷，在该河段有11起非法采砂的行政处罚案，苍溪县水务局按水法律法规均作出了行政处罚，罚款36.8万元，2018年苍溪县县水务局受理该河段电话投诉非法采砂8起，苍溪县水务局均进行了处置。</w:t>
            </w:r>
          </w:p>
          <w:p w:rsidR="00AD6432" w:rsidRPr="00AD6432" w:rsidRDefault="00AD6432" w:rsidP="00AD6432">
            <w:pPr>
              <w:jc w:val="left"/>
              <w:rPr>
                <w:rFonts w:ascii="宋体" w:eastAsia="宋体" w:hAnsi="宋体"/>
                <w:sz w:val="15"/>
                <w:szCs w:val="15"/>
              </w:rPr>
            </w:pPr>
            <w:r w:rsidRPr="00AD6432">
              <w:rPr>
                <w:rFonts w:ascii="宋体" w:eastAsia="宋体" w:hAnsi="宋体"/>
                <w:sz w:val="15"/>
                <w:szCs w:val="15"/>
              </w:rPr>
              <w:t>2.关于信访反映“苍溪县水务局严重不作为”问题，不属实。</w:t>
            </w:r>
          </w:p>
          <w:p w:rsidR="00AD6432" w:rsidRPr="00AD6432" w:rsidRDefault="00AD6432" w:rsidP="00AD6432">
            <w:pPr>
              <w:jc w:val="left"/>
              <w:rPr>
                <w:rFonts w:ascii="宋体" w:eastAsia="宋体" w:hAnsi="宋体"/>
                <w:sz w:val="15"/>
                <w:szCs w:val="15"/>
              </w:rPr>
            </w:pPr>
            <w:r w:rsidRPr="00AD6432">
              <w:rPr>
                <w:rFonts w:ascii="宋体" w:eastAsia="宋体" w:hAnsi="宋体" w:hint="eastAsia"/>
                <w:sz w:val="15"/>
                <w:szCs w:val="15"/>
              </w:rPr>
              <w:t>经调查，</w:t>
            </w:r>
            <w:r w:rsidRPr="00AD6432">
              <w:rPr>
                <w:rFonts w:ascii="宋体" w:eastAsia="宋体" w:hAnsi="宋体"/>
                <w:sz w:val="15"/>
                <w:szCs w:val="15"/>
              </w:rPr>
              <w:t>2017年10月以来，苍溪县水务局会同县地方海事处、公安、环保、陵江镇政府等单位联合执法，累计出动执法人员600余人次，巡查河道200余次，查处河道非法采砂案件18起，其中办结14起，移交县地方海事处1起，3起正在办理中，处罚没款近43.55余万元。拆除砂石加工场4处，关闭1处，强制拆除吸砂设备1套，责令改正围垦河道（河滩地）行为3起，发出责令停止违法行为通知书30份，其中对临时占用河道岸线、滩地堆放砂石的违法行为发出责令停止违法行为通知书16份，目前正在整改中。</w:t>
            </w:r>
          </w:p>
          <w:p w:rsidR="00AD6432" w:rsidRPr="00AD6432" w:rsidRDefault="00AD6432" w:rsidP="00AD6432">
            <w:pPr>
              <w:jc w:val="left"/>
              <w:rPr>
                <w:rFonts w:ascii="宋体" w:eastAsia="宋体" w:hAnsi="宋体"/>
                <w:sz w:val="15"/>
                <w:szCs w:val="15"/>
              </w:rPr>
            </w:pPr>
            <w:r w:rsidRPr="00AD6432">
              <w:rPr>
                <w:rFonts w:ascii="宋体" w:eastAsia="宋体" w:hAnsi="宋体"/>
                <w:sz w:val="15"/>
                <w:szCs w:val="15"/>
              </w:rPr>
              <w:t>3.关于信访反映“河道采砂导致嘉陵江苍溪段河道生态恶化”问题，不属实。</w:t>
            </w:r>
          </w:p>
          <w:p w:rsidR="00AD6432" w:rsidRPr="00AD6432" w:rsidRDefault="00AD6432" w:rsidP="00AD6432">
            <w:pPr>
              <w:jc w:val="left"/>
              <w:rPr>
                <w:rFonts w:ascii="宋体" w:eastAsia="宋体" w:hAnsi="宋体"/>
                <w:sz w:val="15"/>
                <w:szCs w:val="15"/>
              </w:rPr>
            </w:pPr>
            <w:r w:rsidRPr="00AD6432">
              <w:rPr>
                <w:rFonts w:ascii="宋体" w:eastAsia="宋体" w:hAnsi="宋体" w:hint="eastAsia"/>
                <w:sz w:val="15"/>
                <w:szCs w:val="15"/>
              </w:rPr>
              <w:t>苍溪县环境监测站对该河段的监测指数表明，嘉陵江张家岩省控断面广元出</w:t>
            </w:r>
            <w:r w:rsidRPr="00AD6432">
              <w:rPr>
                <w:rFonts w:ascii="宋体" w:eastAsia="宋体" w:hAnsi="宋体" w:hint="eastAsia"/>
                <w:sz w:val="15"/>
                <w:szCs w:val="15"/>
              </w:rPr>
              <w:lastRenderedPageBreak/>
              <w:t>境地表水水质</w:t>
            </w:r>
            <w:r w:rsidRPr="00AD6432">
              <w:rPr>
                <w:rFonts w:ascii="宋体" w:eastAsia="宋体" w:hAnsi="宋体"/>
                <w:sz w:val="15"/>
                <w:szCs w:val="15"/>
              </w:rPr>
              <w:t>2018年1月至10月采样监测均符合水功能Ⅲ类标准，达到Ⅱ类标准，水质为优，与上年同期及上月度相比无明显变化，同时根据2017年苍溪县环境质量公告，该县嘉陵江段水环境质量为优。经实地踏勘，未发现因河道采砂造成河道两岸森林植被毁坏和水土流失问题。</w:t>
            </w:r>
          </w:p>
          <w:p w:rsidR="00AD6432" w:rsidRPr="00AD6432" w:rsidRDefault="00AD6432" w:rsidP="00AD6432">
            <w:pPr>
              <w:jc w:val="left"/>
              <w:rPr>
                <w:rFonts w:ascii="宋体" w:eastAsia="宋体" w:hAnsi="宋体"/>
                <w:sz w:val="15"/>
                <w:szCs w:val="15"/>
              </w:rPr>
            </w:pPr>
            <w:r w:rsidRPr="00AD6432">
              <w:rPr>
                <w:rFonts w:ascii="宋体" w:eastAsia="宋体" w:hAnsi="宋体"/>
                <w:sz w:val="15"/>
                <w:szCs w:val="15"/>
              </w:rPr>
              <w:t>4.关于信访反映“一直以来每天有六条采砂船明目张胆在嘉陵江苍溪段河道的禁采区采挖砂石”问题，不属实。</w:t>
            </w:r>
          </w:p>
          <w:p w:rsidR="00AD6432" w:rsidRPr="00AD6432" w:rsidRDefault="00AD6432" w:rsidP="00AD6432">
            <w:pPr>
              <w:jc w:val="left"/>
              <w:rPr>
                <w:rFonts w:ascii="宋体" w:eastAsia="宋体" w:hAnsi="宋体"/>
                <w:sz w:val="15"/>
                <w:szCs w:val="15"/>
              </w:rPr>
            </w:pPr>
            <w:r w:rsidRPr="00AD6432">
              <w:rPr>
                <w:rFonts w:ascii="宋体" w:eastAsia="宋体" w:hAnsi="宋体" w:hint="eastAsia"/>
                <w:sz w:val="15"/>
                <w:szCs w:val="15"/>
              </w:rPr>
              <w:t>经调查，</w:t>
            </w:r>
            <w:r w:rsidRPr="00AD6432">
              <w:rPr>
                <w:rFonts w:ascii="宋体" w:eastAsia="宋体" w:hAnsi="宋体"/>
                <w:sz w:val="15"/>
                <w:szCs w:val="15"/>
              </w:rPr>
              <w:t>2016年，苍溪县人民政府通过公开拍卖出让嘉陵江流域苍溪县段境内砂石资源开采权4宗，均不在禁采区内。该水域内共有采砂船舶11艘，4艘是通过公开竞拍取得砂石开采权作业并同步开展清理占用河道的砂石堆料（按省、市要求清理“四乱”），2艘是在城区河道内分别进行疏浚和设置航标（市航务管理局审批同意），2艘是在阆中境内作业，3艘是无作业任务船舶，按县地方海事处要求停靠在指定的安全停泊区，未进行采砂作业。该河道2段禁采区内，市海事（航道）局的1艘采砂船舶（耀俊采0007号）在进行航道疏浚，另1艘作业船舶在设置航标</w:t>
            </w:r>
            <w:r w:rsidRPr="00AD6432">
              <w:rPr>
                <w:rFonts w:ascii="宋体" w:eastAsia="宋体" w:hAnsi="宋体" w:hint="eastAsia"/>
                <w:sz w:val="15"/>
                <w:szCs w:val="15"/>
              </w:rPr>
              <w:t>，疏浚产生的砂石料用于市、县重点项目广元港张家坝作业区回填工程。禁采区内无非法采砂行为。</w:t>
            </w:r>
          </w:p>
          <w:p w:rsidR="00AD6432" w:rsidRPr="00AD6432" w:rsidRDefault="00AD6432" w:rsidP="00AD6432">
            <w:pPr>
              <w:jc w:val="left"/>
              <w:rPr>
                <w:rFonts w:ascii="宋体" w:eastAsia="宋体" w:hAnsi="宋体"/>
                <w:sz w:val="15"/>
                <w:szCs w:val="15"/>
              </w:rPr>
            </w:pPr>
            <w:r w:rsidRPr="00AD6432">
              <w:rPr>
                <w:rFonts w:ascii="宋体" w:eastAsia="宋体" w:hAnsi="宋体"/>
                <w:sz w:val="15"/>
                <w:szCs w:val="15"/>
              </w:rPr>
              <w:t>5.关于信访反映“采砂船工作时间长达12—15小时”问题，属实。</w:t>
            </w:r>
          </w:p>
          <w:p w:rsidR="00AD6432" w:rsidRPr="00AD6432" w:rsidRDefault="00AD6432" w:rsidP="00AD6432">
            <w:pPr>
              <w:jc w:val="left"/>
              <w:rPr>
                <w:rFonts w:ascii="宋体" w:eastAsia="宋体" w:hAnsi="宋体"/>
                <w:sz w:val="15"/>
                <w:szCs w:val="15"/>
              </w:rPr>
            </w:pPr>
            <w:r w:rsidRPr="00AD6432">
              <w:rPr>
                <w:rFonts w:ascii="宋体" w:eastAsia="宋体" w:hAnsi="宋体" w:hint="eastAsia"/>
                <w:sz w:val="15"/>
                <w:szCs w:val="15"/>
              </w:rPr>
              <w:t>经查看苍溪县城区段河段禁采区航道疏浚船舶（耀俊采</w:t>
            </w:r>
            <w:r w:rsidRPr="00AD6432">
              <w:rPr>
                <w:rFonts w:ascii="宋体" w:eastAsia="宋体" w:hAnsi="宋体"/>
                <w:sz w:val="15"/>
                <w:szCs w:val="15"/>
              </w:rPr>
              <w:t>007号）的生产日志，自9月15日作业以来，该船舶早上作业时间在7点左右，下午停业时间均未超过19点。</w:t>
            </w:r>
          </w:p>
          <w:p w:rsidR="00AD6432" w:rsidRPr="00AD6432" w:rsidRDefault="00AD6432" w:rsidP="00AD6432">
            <w:pPr>
              <w:jc w:val="left"/>
              <w:rPr>
                <w:rFonts w:ascii="宋体" w:eastAsia="宋体" w:hAnsi="宋体"/>
                <w:sz w:val="15"/>
                <w:szCs w:val="15"/>
              </w:rPr>
            </w:pPr>
            <w:r w:rsidRPr="00AD6432">
              <w:rPr>
                <w:rFonts w:ascii="宋体" w:eastAsia="宋体" w:hAnsi="宋体" w:hint="eastAsia"/>
                <w:sz w:val="15"/>
                <w:szCs w:val="15"/>
              </w:rPr>
              <w:t>经走访河道采砂疏浚船舶附近村民反映，采砂疏浚船舶有在早晨</w:t>
            </w:r>
            <w:r w:rsidRPr="00AD6432">
              <w:rPr>
                <w:rFonts w:ascii="宋体" w:eastAsia="宋体" w:hAnsi="宋体"/>
                <w:sz w:val="15"/>
                <w:szCs w:val="15"/>
              </w:rPr>
              <w:t>6点钟之前开始采砂作业的，晚上停船时间不清楚，可能存在超过12小时的情况。</w:t>
            </w:r>
          </w:p>
          <w:p w:rsidR="00AD6432" w:rsidRPr="00AD6432" w:rsidRDefault="00AD6432" w:rsidP="00AD6432">
            <w:pPr>
              <w:jc w:val="left"/>
              <w:rPr>
                <w:rFonts w:ascii="宋体" w:eastAsia="宋体" w:hAnsi="宋体"/>
                <w:sz w:val="15"/>
                <w:szCs w:val="15"/>
              </w:rPr>
            </w:pPr>
            <w:r w:rsidRPr="00AD6432">
              <w:rPr>
                <w:rFonts w:ascii="宋体" w:eastAsia="宋体" w:hAnsi="宋体"/>
                <w:sz w:val="15"/>
                <w:szCs w:val="15"/>
              </w:rPr>
              <w:t>6.关于信访反映“采砂船的噪音非常大，附近的居民根本没法休息”问题，属实。</w:t>
            </w:r>
          </w:p>
          <w:p w:rsidR="00AD6432" w:rsidRPr="00AD6432" w:rsidRDefault="00AD6432" w:rsidP="00AD6432">
            <w:pPr>
              <w:jc w:val="left"/>
              <w:rPr>
                <w:rFonts w:ascii="宋体" w:eastAsia="宋体" w:hAnsi="宋体"/>
                <w:sz w:val="15"/>
                <w:szCs w:val="15"/>
              </w:rPr>
            </w:pPr>
            <w:r w:rsidRPr="00AD6432">
              <w:rPr>
                <w:rFonts w:ascii="宋体" w:eastAsia="宋体" w:hAnsi="宋体" w:hint="eastAsia"/>
                <w:sz w:val="15"/>
                <w:szCs w:val="15"/>
              </w:rPr>
              <w:t>根据苍溪县环保局对河道疏浚的船舶及部分采砂船舶进行实地监测，存在不同程度噪声污染，城区河道疏浚相对较重。苍溪县水务局已于</w:t>
            </w:r>
            <w:r w:rsidRPr="00AD6432">
              <w:rPr>
                <w:rFonts w:ascii="宋体" w:eastAsia="宋体" w:hAnsi="宋体"/>
                <w:sz w:val="15"/>
                <w:szCs w:val="15"/>
              </w:rPr>
              <w:t>2018年11月11日上午召集县航道段、船舶业主、聚宝源公司召开了专题会议要求疏浚的</w:t>
            </w:r>
            <w:r w:rsidRPr="00AD6432">
              <w:rPr>
                <w:rFonts w:ascii="宋体" w:eastAsia="宋体" w:hAnsi="宋体"/>
                <w:sz w:val="15"/>
                <w:szCs w:val="15"/>
              </w:rPr>
              <w:lastRenderedPageBreak/>
              <w:t>船舶停业整改，整改合格后方可作业。当日下午苍溪县政府副县长谢龙飞再次召集相关部门进行了专题研究，要求全面整改到位，不得扰民。</w:t>
            </w:r>
          </w:p>
          <w:p w:rsidR="00AD6432" w:rsidRPr="00AD6432" w:rsidRDefault="00AD6432" w:rsidP="00AD6432">
            <w:pPr>
              <w:jc w:val="left"/>
              <w:rPr>
                <w:rFonts w:ascii="宋体" w:eastAsia="宋体" w:hAnsi="宋体"/>
                <w:sz w:val="15"/>
                <w:szCs w:val="15"/>
              </w:rPr>
            </w:pPr>
            <w:r w:rsidRPr="00AD6432">
              <w:rPr>
                <w:rFonts w:ascii="宋体" w:eastAsia="宋体" w:hAnsi="宋体"/>
                <w:sz w:val="15"/>
                <w:szCs w:val="15"/>
              </w:rPr>
              <w:t>7.关于信访反映“苍溪县纪委副书记牧兵与县水务局局长王晓东、管河道的副局长刘蜀华与砂石老板串通一气，遇到上级检查时，就通知砂石老板停工，检查一过，又恢复非法采砂石”问题，不属实。</w:t>
            </w:r>
          </w:p>
          <w:p w:rsidR="00AD6432" w:rsidRPr="00AD6432" w:rsidRDefault="00AD6432" w:rsidP="00AD6432">
            <w:pPr>
              <w:jc w:val="left"/>
              <w:rPr>
                <w:rFonts w:ascii="宋体" w:eastAsia="宋体" w:hAnsi="宋体"/>
                <w:sz w:val="15"/>
                <w:szCs w:val="15"/>
              </w:rPr>
            </w:pPr>
            <w:r w:rsidRPr="00AD6432">
              <w:rPr>
                <w:rFonts w:ascii="宋体" w:eastAsia="宋体" w:hAnsi="宋体" w:hint="eastAsia"/>
                <w:sz w:val="15"/>
                <w:szCs w:val="15"/>
              </w:rPr>
              <w:t>经核实，信访人反映的苍溪县纪委副书记“牧兵”实为“牟斌”，管河道的副局长“刘蜀华”实为“刘书华”。</w:t>
            </w:r>
          </w:p>
          <w:p w:rsidR="004E45B8" w:rsidRPr="007E6C35" w:rsidRDefault="00AD6432" w:rsidP="00AD6432">
            <w:pPr>
              <w:jc w:val="left"/>
              <w:rPr>
                <w:rFonts w:ascii="宋体" w:eastAsia="宋体" w:hAnsi="宋体"/>
                <w:sz w:val="15"/>
                <w:szCs w:val="15"/>
              </w:rPr>
            </w:pPr>
            <w:r w:rsidRPr="00AD6432">
              <w:rPr>
                <w:rFonts w:ascii="宋体" w:eastAsia="宋体" w:hAnsi="宋体" w:hint="eastAsia"/>
                <w:sz w:val="15"/>
                <w:szCs w:val="15"/>
              </w:rPr>
              <w:t>在调查核实中，信访人未向调查组提供</w:t>
            </w:r>
            <w:r w:rsidRPr="00AD6432">
              <w:rPr>
                <w:rFonts w:ascii="宋体" w:eastAsia="宋体" w:hAnsi="宋体"/>
                <w:sz w:val="15"/>
                <w:szCs w:val="15"/>
              </w:rPr>
              <w:t>3名相关当事人不作为的依据；在调查期间，也未发现苍溪纪委副书记牟斌与县水务局局长王晓东、管河道的副局长刘书华与砂石老板串通一气，遇到上级检查时，就通知砂石老板停工，检查一过，又恢复非法采砂石的相关证据。</w:t>
            </w:r>
          </w:p>
        </w:tc>
        <w:tc>
          <w:tcPr>
            <w:tcW w:w="425" w:type="dxa"/>
          </w:tcPr>
          <w:p w:rsidR="004E45B8" w:rsidRPr="007E6C35" w:rsidRDefault="00F05DDD" w:rsidP="00180039">
            <w:pPr>
              <w:rPr>
                <w:rFonts w:ascii="宋体" w:eastAsia="宋体" w:hAnsi="宋体"/>
                <w:sz w:val="15"/>
                <w:szCs w:val="15"/>
              </w:rPr>
            </w:pPr>
            <w:r>
              <w:rPr>
                <w:rFonts w:ascii="宋体" w:eastAsia="宋体" w:hAnsi="宋体" w:hint="eastAsia"/>
                <w:sz w:val="15"/>
                <w:szCs w:val="15"/>
              </w:rPr>
              <w:lastRenderedPageBreak/>
              <w:t>属实</w:t>
            </w:r>
          </w:p>
        </w:tc>
        <w:tc>
          <w:tcPr>
            <w:tcW w:w="3827" w:type="dxa"/>
          </w:tcPr>
          <w:p w:rsidR="006B1A24" w:rsidRDefault="00F05DDD" w:rsidP="00F05DDD">
            <w:pPr>
              <w:jc w:val="left"/>
              <w:rPr>
                <w:rFonts w:ascii="宋体" w:eastAsia="宋体" w:hAnsi="宋体"/>
                <w:sz w:val="15"/>
                <w:szCs w:val="15"/>
              </w:rPr>
            </w:pPr>
            <w:r w:rsidRPr="00F05DDD">
              <w:rPr>
                <w:rFonts w:ascii="宋体" w:eastAsia="宋体" w:hAnsi="宋体"/>
                <w:sz w:val="15"/>
                <w:szCs w:val="15"/>
              </w:rPr>
              <w:t xml:space="preserve">责任领导：苍溪县政府县长杨祖斌，市水务局局长赵潜。                             </w:t>
            </w:r>
          </w:p>
          <w:p w:rsidR="00F05DDD" w:rsidRPr="00F05DDD" w:rsidRDefault="00F05DDD" w:rsidP="00F05DDD">
            <w:pPr>
              <w:jc w:val="left"/>
              <w:rPr>
                <w:rFonts w:ascii="宋体" w:eastAsia="宋体" w:hAnsi="宋体"/>
                <w:sz w:val="15"/>
                <w:szCs w:val="15"/>
              </w:rPr>
            </w:pPr>
            <w:r w:rsidRPr="00F05DDD">
              <w:rPr>
                <w:rFonts w:ascii="宋体" w:eastAsia="宋体" w:hAnsi="宋体"/>
                <w:sz w:val="15"/>
                <w:szCs w:val="15"/>
              </w:rPr>
              <w:t>责任单位：苍溪县人民政府，市水务局。                               责任人：苍溪县政府副县长谢龙飞，市水务局副局长董汉培。                           （一）关于“广元市苍溪县陵江镇嘉陵江河道出现有人非法盗采砂石”问题</w:t>
            </w:r>
          </w:p>
          <w:p w:rsidR="00F05DDD" w:rsidRPr="00F05DDD" w:rsidRDefault="00F05DDD" w:rsidP="00F05DDD">
            <w:pPr>
              <w:jc w:val="left"/>
              <w:rPr>
                <w:rFonts w:ascii="宋体" w:eastAsia="宋体" w:hAnsi="宋体"/>
                <w:sz w:val="15"/>
                <w:szCs w:val="15"/>
              </w:rPr>
            </w:pPr>
            <w:r w:rsidRPr="00F05DDD">
              <w:rPr>
                <w:rFonts w:ascii="宋体" w:eastAsia="宋体" w:hAnsi="宋体" w:hint="eastAsia"/>
                <w:sz w:val="15"/>
                <w:szCs w:val="15"/>
              </w:rPr>
              <w:t>苍溪县加强河道管理，严厉打击越界和无证开采砂石行为，加强河道巡查，落实“两法衔接”工作，加大河道违法犯罪打击力度，充分利用河长制工作平台，建立健全河道管理的长效机制。（完成时限：长期坚持）</w:t>
            </w:r>
          </w:p>
          <w:p w:rsidR="00F05DDD" w:rsidRPr="00F05DDD" w:rsidRDefault="00F05DDD" w:rsidP="00F05DDD">
            <w:pPr>
              <w:jc w:val="left"/>
              <w:rPr>
                <w:rFonts w:ascii="宋体" w:eastAsia="宋体" w:hAnsi="宋体"/>
                <w:sz w:val="15"/>
                <w:szCs w:val="15"/>
              </w:rPr>
            </w:pPr>
            <w:r w:rsidRPr="00F05DDD">
              <w:rPr>
                <w:rFonts w:ascii="宋体" w:eastAsia="宋体" w:hAnsi="宋体" w:hint="eastAsia"/>
                <w:sz w:val="15"/>
                <w:szCs w:val="15"/>
              </w:rPr>
              <w:t>（二）关于“苍溪县水务局严重不作为”问题苍溪县进一步加强河道管理，特别是规范河道采砂管理秩序，指导四川聚宝源投资有限公司砂石分公司搞好河道疏浚工作，防止因河道采砂造成噪音污染。加大打击非法采砂力度，制止越界开采行为，保持河势水环境良好秩序。（完成时限：长期坚持）</w:t>
            </w:r>
          </w:p>
          <w:p w:rsidR="00F05DDD" w:rsidRPr="00F05DDD" w:rsidRDefault="00F05DDD" w:rsidP="00F05DDD">
            <w:pPr>
              <w:jc w:val="left"/>
              <w:rPr>
                <w:rFonts w:ascii="宋体" w:eastAsia="宋体" w:hAnsi="宋体"/>
                <w:sz w:val="15"/>
                <w:szCs w:val="15"/>
              </w:rPr>
            </w:pPr>
            <w:r w:rsidRPr="00F05DDD">
              <w:rPr>
                <w:rFonts w:ascii="宋体" w:eastAsia="宋体" w:hAnsi="宋体" w:hint="eastAsia"/>
                <w:sz w:val="15"/>
                <w:szCs w:val="15"/>
              </w:rPr>
              <w:t>（三）关于“采砂船工作时间长达</w:t>
            </w:r>
            <w:r w:rsidRPr="00F05DDD">
              <w:rPr>
                <w:rFonts w:ascii="宋体" w:eastAsia="宋体" w:hAnsi="宋体"/>
                <w:sz w:val="15"/>
                <w:szCs w:val="15"/>
              </w:rPr>
              <w:t>12—15小时”问题</w:t>
            </w:r>
          </w:p>
          <w:p w:rsidR="00F05DDD" w:rsidRPr="00F05DDD" w:rsidRDefault="00F05DDD" w:rsidP="00F05DDD">
            <w:pPr>
              <w:jc w:val="left"/>
              <w:rPr>
                <w:rFonts w:ascii="宋体" w:eastAsia="宋体" w:hAnsi="宋体"/>
                <w:sz w:val="15"/>
                <w:szCs w:val="15"/>
              </w:rPr>
            </w:pPr>
            <w:r w:rsidRPr="00F05DDD">
              <w:rPr>
                <w:rFonts w:ascii="宋体" w:eastAsia="宋体" w:hAnsi="宋体" w:hint="eastAsia"/>
                <w:sz w:val="15"/>
                <w:szCs w:val="15"/>
              </w:rPr>
              <w:lastRenderedPageBreak/>
              <w:t>苍溪县海事、城管、水务部门加强采砂和疏浚船舶管理，严格按规定时间作业，由县地方海事处指定专人负责河道作业船舶管理是，作业时不能影响周围居民休息。</w:t>
            </w:r>
          </w:p>
          <w:p w:rsidR="00F05DDD" w:rsidRPr="00F05DDD" w:rsidRDefault="00F05DDD" w:rsidP="00F05DDD">
            <w:pPr>
              <w:jc w:val="left"/>
              <w:rPr>
                <w:rFonts w:ascii="宋体" w:eastAsia="宋体" w:hAnsi="宋体"/>
                <w:sz w:val="15"/>
                <w:szCs w:val="15"/>
              </w:rPr>
            </w:pPr>
            <w:r w:rsidRPr="00F05DDD">
              <w:rPr>
                <w:rFonts w:ascii="宋体" w:eastAsia="宋体" w:hAnsi="宋体" w:hint="eastAsia"/>
                <w:sz w:val="15"/>
                <w:szCs w:val="15"/>
              </w:rPr>
              <w:t>（四）关于“采砂船的噪音非常大，附近的居民根本没法休息”问题</w:t>
            </w:r>
          </w:p>
          <w:p w:rsidR="004E45B8" w:rsidRPr="007E6C35" w:rsidRDefault="00F05DDD" w:rsidP="00F05DDD">
            <w:pPr>
              <w:jc w:val="left"/>
              <w:rPr>
                <w:rFonts w:ascii="宋体" w:eastAsia="宋体" w:hAnsi="宋体"/>
                <w:sz w:val="15"/>
                <w:szCs w:val="15"/>
              </w:rPr>
            </w:pPr>
            <w:r w:rsidRPr="00F05DDD">
              <w:rPr>
                <w:rFonts w:ascii="宋体" w:eastAsia="宋体" w:hAnsi="宋体" w:hint="eastAsia"/>
                <w:sz w:val="15"/>
                <w:szCs w:val="15"/>
              </w:rPr>
              <w:t>苍溪县水务、城管、海事部门处加强采砂船监管，规定采砂船舶作业，早上</w:t>
            </w:r>
            <w:r w:rsidRPr="00F05DDD">
              <w:rPr>
                <w:rFonts w:ascii="宋体" w:eastAsia="宋体" w:hAnsi="宋体"/>
                <w:sz w:val="15"/>
                <w:szCs w:val="15"/>
              </w:rPr>
              <w:t>7时前，晚上19时后停止作业，要求船舶工作时，尽量减少噪音，防止噪音扰民行为发生。（完成时限：2018年11月30日）</w:t>
            </w:r>
          </w:p>
        </w:tc>
        <w:tc>
          <w:tcPr>
            <w:tcW w:w="1418" w:type="dxa"/>
          </w:tcPr>
          <w:p w:rsidR="004E45B8" w:rsidRPr="007E6C35" w:rsidRDefault="0004583B" w:rsidP="00180039">
            <w:pPr>
              <w:rPr>
                <w:rFonts w:ascii="宋体" w:eastAsia="宋体" w:hAnsi="宋体"/>
                <w:sz w:val="15"/>
                <w:szCs w:val="15"/>
              </w:rPr>
            </w:pPr>
            <w:r w:rsidRPr="0004583B">
              <w:rPr>
                <w:rFonts w:ascii="宋体" w:eastAsia="宋体" w:hAnsi="宋体" w:hint="eastAsia"/>
                <w:sz w:val="15"/>
                <w:szCs w:val="15"/>
              </w:rPr>
              <w:lastRenderedPageBreak/>
              <w:t>市纪委、市监委指派专人全程参与了现场调查，并要求反映的三位地方干部作出了书面说明，经查，暂未发现河道管理相关公职人员有失职行为。苍溪县纪委对嘉陵江苍溪段河道砂石开采方面的信访情况出据了《关于办理嘉陵江流域砂石开采等方面的信访情况说明》，对苍溪县水务局前任副局长余勇进行了立案查处，</w:t>
            </w:r>
            <w:r w:rsidRPr="0004583B">
              <w:rPr>
                <w:rFonts w:ascii="宋体" w:eastAsia="宋体" w:hAnsi="宋体"/>
                <w:sz w:val="15"/>
                <w:szCs w:val="15"/>
              </w:rPr>
              <w:t>2018年</w:t>
            </w:r>
            <w:r w:rsidRPr="0004583B">
              <w:rPr>
                <w:rFonts w:ascii="宋体" w:eastAsia="宋体" w:hAnsi="宋体"/>
                <w:sz w:val="15"/>
                <w:szCs w:val="15"/>
              </w:rPr>
              <w:lastRenderedPageBreak/>
              <w:t>9月12日，给予余勇开除党籍、行政撤职处分，重新确定职务为科员的处分。</w:t>
            </w:r>
            <w:bookmarkStart w:id="0" w:name="_GoBack"/>
            <w:bookmarkEnd w:id="0"/>
          </w:p>
        </w:tc>
      </w:tr>
    </w:tbl>
    <w:p w:rsidR="004E45B8" w:rsidRPr="004E45B8" w:rsidRDefault="004E45B8" w:rsidP="0086144F"/>
    <w:sectPr w:rsidR="004E45B8" w:rsidRPr="004E45B8" w:rsidSect="0086144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DDB" w:rsidRDefault="00F62DDB" w:rsidP="000A7C00">
      <w:r>
        <w:separator/>
      </w:r>
    </w:p>
  </w:endnote>
  <w:endnote w:type="continuationSeparator" w:id="0">
    <w:p w:rsidR="00F62DDB" w:rsidRDefault="00F62DDB" w:rsidP="000A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DDB" w:rsidRDefault="00F62DDB" w:rsidP="000A7C00">
      <w:r>
        <w:separator/>
      </w:r>
    </w:p>
  </w:footnote>
  <w:footnote w:type="continuationSeparator" w:id="0">
    <w:p w:rsidR="00F62DDB" w:rsidRDefault="00F62DDB" w:rsidP="000A7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A4"/>
    <w:rsid w:val="0004583B"/>
    <w:rsid w:val="000616A4"/>
    <w:rsid w:val="000A7C00"/>
    <w:rsid w:val="001954EF"/>
    <w:rsid w:val="00231BAC"/>
    <w:rsid w:val="002806C6"/>
    <w:rsid w:val="002E3DDA"/>
    <w:rsid w:val="00336DC8"/>
    <w:rsid w:val="003F367F"/>
    <w:rsid w:val="00451B75"/>
    <w:rsid w:val="004E45B8"/>
    <w:rsid w:val="00516AAB"/>
    <w:rsid w:val="005424C8"/>
    <w:rsid w:val="005F389A"/>
    <w:rsid w:val="006002DC"/>
    <w:rsid w:val="00631CCC"/>
    <w:rsid w:val="006B1A24"/>
    <w:rsid w:val="006E2014"/>
    <w:rsid w:val="00720BD6"/>
    <w:rsid w:val="00792966"/>
    <w:rsid w:val="007946BA"/>
    <w:rsid w:val="007E6C35"/>
    <w:rsid w:val="0086144F"/>
    <w:rsid w:val="008B5004"/>
    <w:rsid w:val="00940F79"/>
    <w:rsid w:val="00A13BD7"/>
    <w:rsid w:val="00AB534A"/>
    <w:rsid w:val="00AD6432"/>
    <w:rsid w:val="00B36E20"/>
    <w:rsid w:val="00B42A07"/>
    <w:rsid w:val="00C07FE8"/>
    <w:rsid w:val="00C95CA9"/>
    <w:rsid w:val="00D3552D"/>
    <w:rsid w:val="00E029A6"/>
    <w:rsid w:val="00E24EC1"/>
    <w:rsid w:val="00E91DB9"/>
    <w:rsid w:val="00EA1B58"/>
    <w:rsid w:val="00EE0950"/>
    <w:rsid w:val="00F05DDD"/>
    <w:rsid w:val="00F62DDB"/>
    <w:rsid w:val="00FA2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AD69C"/>
  <w15:chartTrackingRefBased/>
  <w15:docId w15:val="{0290D26C-D196-49FC-BEF7-F5101753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7C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7C00"/>
    <w:rPr>
      <w:sz w:val="18"/>
      <w:szCs w:val="18"/>
    </w:rPr>
  </w:style>
  <w:style w:type="paragraph" w:styleId="a6">
    <w:name w:val="footer"/>
    <w:basedOn w:val="a"/>
    <w:link w:val="a7"/>
    <w:uiPriority w:val="99"/>
    <w:unhideWhenUsed/>
    <w:rsid w:val="000A7C00"/>
    <w:pPr>
      <w:tabs>
        <w:tab w:val="center" w:pos="4153"/>
        <w:tab w:val="right" w:pos="8306"/>
      </w:tabs>
      <w:snapToGrid w:val="0"/>
      <w:jc w:val="left"/>
    </w:pPr>
    <w:rPr>
      <w:sz w:val="18"/>
      <w:szCs w:val="18"/>
    </w:rPr>
  </w:style>
  <w:style w:type="character" w:customStyle="1" w:styleId="a7">
    <w:name w:val="页脚 字符"/>
    <w:basedOn w:val="a0"/>
    <w:link w:val="a6"/>
    <w:uiPriority w:val="99"/>
    <w:rsid w:val="000A7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5030">
      <w:bodyDiv w:val="1"/>
      <w:marLeft w:val="0"/>
      <w:marRight w:val="0"/>
      <w:marTop w:val="0"/>
      <w:marBottom w:val="0"/>
      <w:divBdr>
        <w:top w:val="none" w:sz="0" w:space="0" w:color="auto"/>
        <w:left w:val="none" w:sz="0" w:space="0" w:color="auto"/>
        <w:bottom w:val="none" w:sz="0" w:space="0" w:color="auto"/>
        <w:right w:val="none" w:sz="0" w:space="0" w:color="auto"/>
      </w:divBdr>
    </w:div>
    <w:div w:id="229581533">
      <w:bodyDiv w:val="1"/>
      <w:marLeft w:val="0"/>
      <w:marRight w:val="0"/>
      <w:marTop w:val="0"/>
      <w:marBottom w:val="0"/>
      <w:divBdr>
        <w:top w:val="none" w:sz="0" w:space="0" w:color="auto"/>
        <w:left w:val="none" w:sz="0" w:space="0" w:color="auto"/>
        <w:bottom w:val="none" w:sz="0" w:space="0" w:color="auto"/>
        <w:right w:val="none" w:sz="0" w:space="0" w:color="auto"/>
      </w:divBdr>
    </w:div>
    <w:div w:id="259413236">
      <w:bodyDiv w:val="1"/>
      <w:marLeft w:val="0"/>
      <w:marRight w:val="0"/>
      <w:marTop w:val="0"/>
      <w:marBottom w:val="0"/>
      <w:divBdr>
        <w:top w:val="none" w:sz="0" w:space="0" w:color="auto"/>
        <w:left w:val="none" w:sz="0" w:space="0" w:color="auto"/>
        <w:bottom w:val="none" w:sz="0" w:space="0" w:color="auto"/>
        <w:right w:val="none" w:sz="0" w:space="0" w:color="auto"/>
      </w:divBdr>
    </w:div>
    <w:div w:id="296960780">
      <w:bodyDiv w:val="1"/>
      <w:marLeft w:val="0"/>
      <w:marRight w:val="0"/>
      <w:marTop w:val="0"/>
      <w:marBottom w:val="0"/>
      <w:divBdr>
        <w:top w:val="none" w:sz="0" w:space="0" w:color="auto"/>
        <w:left w:val="none" w:sz="0" w:space="0" w:color="auto"/>
        <w:bottom w:val="none" w:sz="0" w:space="0" w:color="auto"/>
        <w:right w:val="none" w:sz="0" w:space="0" w:color="auto"/>
      </w:divBdr>
    </w:div>
    <w:div w:id="450976330">
      <w:bodyDiv w:val="1"/>
      <w:marLeft w:val="0"/>
      <w:marRight w:val="0"/>
      <w:marTop w:val="0"/>
      <w:marBottom w:val="0"/>
      <w:divBdr>
        <w:top w:val="none" w:sz="0" w:space="0" w:color="auto"/>
        <w:left w:val="none" w:sz="0" w:space="0" w:color="auto"/>
        <w:bottom w:val="none" w:sz="0" w:space="0" w:color="auto"/>
        <w:right w:val="none" w:sz="0" w:space="0" w:color="auto"/>
      </w:divBdr>
    </w:div>
    <w:div w:id="463814250">
      <w:bodyDiv w:val="1"/>
      <w:marLeft w:val="0"/>
      <w:marRight w:val="0"/>
      <w:marTop w:val="0"/>
      <w:marBottom w:val="0"/>
      <w:divBdr>
        <w:top w:val="none" w:sz="0" w:space="0" w:color="auto"/>
        <w:left w:val="none" w:sz="0" w:space="0" w:color="auto"/>
        <w:bottom w:val="none" w:sz="0" w:space="0" w:color="auto"/>
        <w:right w:val="none" w:sz="0" w:space="0" w:color="auto"/>
      </w:divBdr>
    </w:div>
    <w:div w:id="480586212">
      <w:bodyDiv w:val="1"/>
      <w:marLeft w:val="0"/>
      <w:marRight w:val="0"/>
      <w:marTop w:val="0"/>
      <w:marBottom w:val="0"/>
      <w:divBdr>
        <w:top w:val="none" w:sz="0" w:space="0" w:color="auto"/>
        <w:left w:val="none" w:sz="0" w:space="0" w:color="auto"/>
        <w:bottom w:val="none" w:sz="0" w:space="0" w:color="auto"/>
        <w:right w:val="none" w:sz="0" w:space="0" w:color="auto"/>
      </w:divBdr>
    </w:div>
    <w:div w:id="633634150">
      <w:bodyDiv w:val="1"/>
      <w:marLeft w:val="0"/>
      <w:marRight w:val="0"/>
      <w:marTop w:val="0"/>
      <w:marBottom w:val="0"/>
      <w:divBdr>
        <w:top w:val="none" w:sz="0" w:space="0" w:color="auto"/>
        <w:left w:val="none" w:sz="0" w:space="0" w:color="auto"/>
        <w:bottom w:val="none" w:sz="0" w:space="0" w:color="auto"/>
        <w:right w:val="none" w:sz="0" w:space="0" w:color="auto"/>
      </w:divBdr>
    </w:div>
    <w:div w:id="669023194">
      <w:bodyDiv w:val="1"/>
      <w:marLeft w:val="0"/>
      <w:marRight w:val="0"/>
      <w:marTop w:val="0"/>
      <w:marBottom w:val="0"/>
      <w:divBdr>
        <w:top w:val="none" w:sz="0" w:space="0" w:color="auto"/>
        <w:left w:val="none" w:sz="0" w:space="0" w:color="auto"/>
        <w:bottom w:val="none" w:sz="0" w:space="0" w:color="auto"/>
        <w:right w:val="none" w:sz="0" w:space="0" w:color="auto"/>
      </w:divBdr>
    </w:div>
    <w:div w:id="864639303">
      <w:bodyDiv w:val="1"/>
      <w:marLeft w:val="0"/>
      <w:marRight w:val="0"/>
      <w:marTop w:val="0"/>
      <w:marBottom w:val="0"/>
      <w:divBdr>
        <w:top w:val="none" w:sz="0" w:space="0" w:color="auto"/>
        <w:left w:val="none" w:sz="0" w:space="0" w:color="auto"/>
        <w:bottom w:val="none" w:sz="0" w:space="0" w:color="auto"/>
        <w:right w:val="none" w:sz="0" w:space="0" w:color="auto"/>
      </w:divBdr>
    </w:div>
    <w:div w:id="992563439">
      <w:bodyDiv w:val="1"/>
      <w:marLeft w:val="0"/>
      <w:marRight w:val="0"/>
      <w:marTop w:val="0"/>
      <w:marBottom w:val="0"/>
      <w:divBdr>
        <w:top w:val="none" w:sz="0" w:space="0" w:color="auto"/>
        <w:left w:val="none" w:sz="0" w:space="0" w:color="auto"/>
        <w:bottom w:val="none" w:sz="0" w:space="0" w:color="auto"/>
        <w:right w:val="none" w:sz="0" w:space="0" w:color="auto"/>
      </w:divBdr>
    </w:div>
    <w:div w:id="997071228">
      <w:bodyDiv w:val="1"/>
      <w:marLeft w:val="0"/>
      <w:marRight w:val="0"/>
      <w:marTop w:val="0"/>
      <w:marBottom w:val="0"/>
      <w:divBdr>
        <w:top w:val="none" w:sz="0" w:space="0" w:color="auto"/>
        <w:left w:val="none" w:sz="0" w:space="0" w:color="auto"/>
        <w:bottom w:val="none" w:sz="0" w:space="0" w:color="auto"/>
        <w:right w:val="none" w:sz="0" w:space="0" w:color="auto"/>
      </w:divBdr>
    </w:div>
    <w:div w:id="1103496001">
      <w:bodyDiv w:val="1"/>
      <w:marLeft w:val="0"/>
      <w:marRight w:val="0"/>
      <w:marTop w:val="0"/>
      <w:marBottom w:val="0"/>
      <w:divBdr>
        <w:top w:val="none" w:sz="0" w:space="0" w:color="auto"/>
        <w:left w:val="none" w:sz="0" w:space="0" w:color="auto"/>
        <w:bottom w:val="none" w:sz="0" w:space="0" w:color="auto"/>
        <w:right w:val="none" w:sz="0" w:space="0" w:color="auto"/>
      </w:divBdr>
    </w:div>
    <w:div w:id="1270619689">
      <w:bodyDiv w:val="1"/>
      <w:marLeft w:val="0"/>
      <w:marRight w:val="0"/>
      <w:marTop w:val="0"/>
      <w:marBottom w:val="0"/>
      <w:divBdr>
        <w:top w:val="none" w:sz="0" w:space="0" w:color="auto"/>
        <w:left w:val="none" w:sz="0" w:space="0" w:color="auto"/>
        <w:bottom w:val="none" w:sz="0" w:space="0" w:color="auto"/>
        <w:right w:val="none" w:sz="0" w:space="0" w:color="auto"/>
      </w:divBdr>
    </w:div>
    <w:div w:id="1284536936">
      <w:bodyDiv w:val="1"/>
      <w:marLeft w:val="0"/>
      <w:marRight w:val="0"/>
      <w:marTop w:val="0"/>
      <w:marBottom w:val="0"/>
      <w:divBdr>
        <w:top w:val="none" w:sz="0" w:space="0" w:color="auto"/>
        <w:left w:val="none" w:sz="0" w:space="0" w:color="auto"/>
        <w:bottom w:val="none" w:sz="0" w:space="0" w:color="auto"/>
        <w:right w:val="none" w:sz="0" w:space="0" w:color="auto"/>
      </w:divBdr>
    </w:div>
    <w:div w:id="1390151462">
      <w:bodyDiv w:val="1"/>
      <w:marLeft w:val="0"/>
      <w:marRight w:val="0"/>
      <w:marTop w:val="0"/>
      <w:marBottom w:val="0"/>
      <w:divBdr>
        <w:top w:val="none" w:sz="0" w:space="0" w:color="auto"/>
        <w:left w:val="none" w:sz="0" w:space="0" w:color="auto"/>
        <w:bottom w:val="none" w:sz="0" w:space="0" w:color="auto"/>
        <w:right w:val="none" w:sz="0" w:space="0" w:color="auto"/>
      </w:divBdr>
    </w:div>
    <w:div w:id="1584800350">
      <w:bodyDiv w:val="1"/>
      <w:marLeft w:val="0"/>
      <w:marRight w:val="0"/>
      <w:marTop w:val="0"/>
      <w:marBottom w:val="0"/>
      <w:divBdr>
        <w:top w:val="none" w:sz="0" w:space="0" w:color="auto"/>
        <w:left w:val="none" w:sz="0" w:space="0" w:color="auto"/>
        <w:bottom w:val="none" w:sz="0" w:space="0" w:color="auto"/>
        <w:right w:val="none" w:sz="0" w:space="0" w:color="auto"/>
      </w:divBdr>
    </w:div>
    <w:div w:id="1688290322">
      <w:bodyDiv w:val="1"/>
      <w:marLeft w:val="0"/>
      <w:marRight w:val="0"/>
      <w:marTop w:val="0"/>
      <w:marBottom w:val="0"/>
      <w:divBdr>
        <w:top w:val="none" w:sz="0" w:space="0" w:color="auto"/>
        <w:left w:val="none" w:sz="0" w:space="0" w:color="auto"/>
        <w:bottom w:val="none" w:sz="0" w:space="0" w:color="auto"/>
        <w:right w:val="none" w:sz="0" w:space="0" w:color="auto"/>
      </w:divBdr>
    </w:div>
    <w:div w:id="1757483723">
      <w:bodyDiv w:val="1"/>
      <w:marLeft w:val="0"/>
      <w:marRight w:val="0"/>
      <w:marTop w:val="0"/>
      <w:marBottom w:val="0"/>
      <w:divBdr>
        <w:top w:val="none" w:sz="0" w:space="0" w:color="auto"/>
        <w:left w:val="none" w:sz="0" w:space="0" w:color="auto"/>
        <w:bottom w:val="none" w:sz="0" w:space="0" w:color="auto"/>
        <w:right w:val="none" w:sz="0" w:space="0" w:color="auto"/>
      </w:divBdr>
    </w:div>
    <w:div w:id="1914464727">
      <w:bodyDiv w:val="1"/>
      <w:marLeft w:val="0"/>
      <w:marRight w:val="0"/>
      <w:marTop w:val="0"/>
      <w:marBottom w:val="0"/>
      <w:divBdr>
        <w:top w:val="none" w:sz="0" w:space="0" w:color="auto"/>
        <w:left w:val="none" w:sz="0" w:space="0" w:color="auto"/>
        <w:bottom w:val="none" w:sz="0" w:space="0" w:color="auto"/>
        <w:right w:val="none" w:sz="0" w:space="0" w:color="auto"/>
      </w:divBdr>
    </w:div>
    <w:div w:id="2061321689">
      <w:bodyDiv w:val="1"/>
      <w:marLeft w:val="0"/>
      <w:marRight w:val="0"/>
      <w:marTop w:val="0"/>
      <w:marBottom w:val="0"/>
      <w:divBdr>
        <w:top w:val="none" w:sz="0" w:space="0" w:color="auto"/>
        <w:left w:val="none" w:sz="0" w:space="0" w:color="auto"/>
        <w:bottom w:val="none" w:sz="0" w:space="0" w:color="auto"/>
        <w:right w:val="none" w:sz="0" w:space="0" w:color="auto"/>
      </w:divBdr>
    </w:div>
    <w:div w:id="2064982163">
      <w:bodyDiv w:val="1"/>
      <w:marLeft w:val="0"/>
      <w:marRight w:val="0"/>
      <w:marTop w:val="0"/>
      <w:marBottom w:val="0"/>
      <w:divBdr>
        <w:top w:val="none" w:sz="0" w:space="0" w:color="auto"/>
        <w:left w:val="none" w:sz="0" w:space="0" w:color="auto"/>
        <w:bottom w:val="none" w:sz="0" w:space="0" w:color="auto"/>
        <w:right w:val="none" w:sz="0" w:space="0" w:color="auto"/>
      </w:divBdr>
    </w:div>
    <w:div w:id="2108304948">
      <w:bodyDiv w:val="1"/>
      <w:marLeft w:val="0"/>
      <w:marRight w:val="0"/>
      <w:marTop w:val="0"/>
      <w:marBottom w:val="0"/>
      <w:divBdr>
        <w:top w:val="none" w:sz="0" w:space="0" w:color="auto"/>
        <w:left w:val="none" w:sz="0" w:space="0" w:color="auto"/>
        <w:bottom w:val="none" w:sz="0" w:space="0" w:color="auto"/>
        <w:right w:val="none" w:sz="0" w:space="0" w:color="auto"/>
      </w:divBdr>
    </w:div>
    <w:div w:id="21394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35</cp:revision>
  <dcterms:created xsi:type="dcterms:W3CDTF">2018-11-15T07:01:00Z</dcterms:created>
  <dcterms:modified xsi:type="dcterms:W3CDTF">2018-11-20T07:04:00Z</dcterms:modified>
</cp:coreProperties>
</file>