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E5" w:rsidRDefault="00B90CC1">
      <w:pPr>
        <w:pStyle w:val="a0"/>
        <w:ind w:leftChars="-101" w:left="-1" w:hangingChars="88" w:hanging="282"/>
        <w:rPr>
          <w:rFonts w:ascii="黑体" w:eastAsia="黑体" w:hAnsi="黑体" w:cs="黑体"/>
          <w:b w:val="0"/>
          <w:bCs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  <w:lang w:val="zh-CN"/>
        </w:rPr>
        <w:t>附件</w:t>
      </w:r>
      <w:r>
        <w:rPr>
          <w:rFonts w:ascii="黑体" w:eastAsia="黑体" w:hAnsi="黑体" w:cs="黑体"/>
          <w:b w:val="0"/>
          <w:bCs w:val="0"/>
          <w:sz w:val="32"/>
          <w:szCs w:val="32"/>
        </w:rPr>
        <w:t>4</w:t>
      </w:r>
    </w:p>
    <w:p w:rsidR="00FD4DE5" w:rsidRDefault="00B90CC1">
      <w:pPr>
        <w:spacing w:line="24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ascii="方正小标宋简体" w:eastAsia="方正小标宋简体" w:hint="eastAsia"/>
          <w:sz w:val="44"/>
          <w:szCs w:val="44"/>
          <w:lang w:val="zh-CN"/>
        </w:rPr>
        <w:t>广元市各县（区）生态环境准入总体要求</w:t>
      </w:r>
    </w:p>
    <w:tbl>
      <w:tblPr>
        <w:tblW w:w="53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5464"/>
        <w:gridCol w:w="8203"/>
      </w:tblGrid>
      <w:tr w:rsidR="00FD4DE5">
        <w:trPr>
          <w:trHeight w:val="630"/>
          <w:tblHeader/>
          <w:jc w:val="center"/>
        </w:trPr>
        <w:tc>
          <w:tcPr>
            <w:tcW w:w="478" w:type="pct"/>
            <w:vAlign w:val="center"/>
          </w:tcPr>
          <w:p w:rsidR="00FD4DE5" w:rsidRDefault="00B90CC1">
            <w:pPr>
              <w:spacing w:line="240" w:lineRule="atLeast"/>
              <w:ind w:firstLineChars="0" w:firstLine="0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县（区）</w:t>
            </w:r>
          </w:p>
        </w:tc>
        <w:tc>
          <w:tcPr>
            <w:tcW w:w="1808" w:type="pct"/>
            <w:vAlign w:val="center"/>
          </w:tcPr>
          <w:p w:rsidR="00FD4DE5" w:rsidRDefault="00B90CC1">
            <w:pPr>
              <w:spacing w:line="240" w:lineRule="atLeast"/>
              <w:ind w:firstLineChars="0" w:firstLine="0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发展目标与主要产业</w:t>
            </w:r>
          </w:p>
        </w:tc>
        <w:tc>
          <w:tcPr>
            <w:tcW w:w="2714" w:type="pct"/>
            <w:vAlign w:val="center"/>
          </w:tcPr>
          <w:p w:rsidR="00FD4DE5" w:rsidRDefault="00B90CC1">
            <w:pPr>
              <w:spacing w:line="240" w:lineRule="atLeast"/>
              <w:ind w:firstLineChars="0" w:firstLine="0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总体准入要求</w:t>
            </w:r>
          </w:p>
        </w:tc>
      </w:tr>
      <w:tr w:rsidR="00FD4DE5">
        <w:trPr>
          <w:trHeight w:val="243"/>
          <w:jc w:val="center"/>
        </w:trPr>
        <w:tc>
          <w:tcPr>
            <w:tcW w:w="478" w:type="pct"/>
            <w:vAlign w:val="center"/>
          </w:tcPr>
          <w:p w:rsidR="00FD4DE5" w:rsidRDefault="00B90CC1">
            <w:pPr>
              <w:spacing w:line="240" w:lineRule="atLeast"/>
              <w:ind w:firstLineChars="0" w:firstLine="0"/>
              <w:jc w:val="center"/>
              <w:rPr>
                <w:rFonts w:ascii="仿宋_GB2312"/>
                <w:bCs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bCs/>
                <w:color w:val="000000"/>
                <w:sz w:val="26"/>
                <w:szCs w:val="26"/>
              </w:rPr>
              <w:t>利州区</w:t>
            </w:r>
          </w:p>
        </w:tc>
        <w:tc>
          <w:tcPr>
            <w:tcW w:w="1808" w:type="pct"/>
            <w:vAlign w:val="center"/>
          </w:tcPr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发展目标：基本建成西部地区康养旅游休闲度假重要目的地，打造川陕甘结合部商贸物流基地、成渝地区产业协作配套基地，打造四川北向东出综合交通枢纽。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主要产业：突出发展食品饮料产业，突破发展机械电子产业，稳定发展新能源产业、新型建材产业，培育发展新材料产业。</w:t>
            </w:r>
          </w:p>
        </w:tc>
        <w:tc>
          <w:tcPr>
            <w:tcW w:w="2714" w:type="pct"/>
            <w:vAlign w:val="center"/>
          </w:tcPr>
          <w:p w:rsidR="00FD4DE5" w:rsidRDefault="00B90CC1">
            <w:pPr>
              <w:pStyle w:val="a0"/>
              <w:numPr>
                <w:ilvl w:val="0"/>
                <w:numId w:val="2"/>
              </w:numPr>
              <w:spacing w:line="240" w:lineRule="atLeast"/>
              <w:ind w:left="0" w:firstLine="0"/>
              <w:rPr>
                <w:rFonts w:ascii="仿宋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26"/>
                <w:szCs w:val="26"/>
              </w:rPr>
              <w:t>加强港口码头和船舶污染防治。提升城乡污水收集处理能力，因地制宜推进城镇生活污水处理设施提标改造工作，加快推进《广元市城镇污水处理设施建设三年推进实施方案（2021-2023年）》。</w:t>
            </w:r>
          </w:p>
          <w:p w:rsidR="00FD4DE5" w:rsidRDefault="00B90CC1">
            <w:pPr>
              <w:pStyle w:val="affc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强化机械电子、新型建材等重点行业挥发性有机物治理，推广使用低（无）VOCs含量的原辅材料和生产工艺、设备。推动原油成品油码头、运输船舶等进行油气回收治理改造。</w:t>
            </w:r>
          </w:p>
        </w:tc>
      </w:tr>
      <w:tr w:rsidR="00FD4DE5">
        <w:trPr>
          <w:trHeight w:val="20"/>
          <w:jc w:val="center"/>
        </w:trPr>
        <w:tc>
          <w:tcPr>
            <w:tcW w:w="478" w:type="pct"/>
            <w:vAlign w:val="center"/>
          </w:tcPr>
          <w:p w:rsidR="00FD4DE5" w:rsidRDefault="00B90CC1">
            <w:pPr>
              <w:spacing w:line="240" w:lineRule="atLeast"/>
              <w:ind w:firstLineChars="0" w:firstLine="0"/>
              <w:jc w:val="center"/>
              <w:rPr>
                <w:rFonts w:ascii="仿宋_GB2312"/>
                <w:bCs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bCs/>
                <w:color w:val="000000"/>
                <w:sz w:val="26"/>
                <w:szCs w:val="26"/>
              </w:rPr>
              <w:t>昭化区</w:t>
            </w:r>
          </w:p>
        </w:tc>
        <w:tc>
          <w:tcPr>
            <w:tcW w:w="1808" w:type="pct"/>
            <w:vAlign w:val="center"/>
          </w:tcPr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发展目标：聚力打造绿色家居产业，建设国家级家居产业承载地，建成知名生态康养旅游目的地和全域旅游示范区。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主要产业：构建家居建材、食品饮料两大主导产业，加快培育新型材料、数字经济等新兴产业，瞄准五百亿家居制造产业链和百亿食品饮料加工产业链。</w:t>
            </w:r>
          </w:p>
        </w:tc>
        <w:tc>
          <w:tcPr>
            <w:tcW w:w="2714" w:type="pct"/>
            <w:vAlign w:val="center"/>
          </w:tcPr>
          <w:p w:rsidR="00FD4DE5" w:rsidRDefault="00B90CC1">
            <w:pPr>
              <w:pStyle w:val="affc"/>
              <w:numPr>
                <w:ilvl w:val="0"/>
                <w:numId w:val="3"/>
              </w:numPr>
              <w:spacing w:line="240" w:lineRule="atLeast"/>
              <w:ind w:left="0" w:firstLineChars="0" w:firstLine="0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强化挥发性有机物控制，推广使用低（无）VOCs含量的原辅材料和生产工艺、设备。有条件的工业园区和产业集群等，推广集中喷涂、溶剂集中回收、活性炭集中再生等，加强资源共享，提高VOCs治理效率。</w:t>
            </w:r>
          </w:p>
          <w:p w:rsidR="00FD4DE5" w:rsidRDefault="00B90CC1">
            <w:pPr>
              <w:pStyle w:val="aa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pacing w:val="-11"/>
                <w:sz w:val="26"/>
                <w:szCs w:val="26"/>
              </w:rPr>
              <w:t>禁止在水产种质资源保护区内新建排污口。在水产种质资源保护区附近新建、改建、扩建排污口，应当保证保护区水体不受污染。</w:t>
            </w:r>
          </w:p>
          <w:p w:rsidR="00FD4DE5" w:rsidRDefault="00B90CC1">
            <w:pPr>
              <w:pStyle w:val="affc"/>
              <w:numPr>
                <w:ilvl w:val="0"/>
                <w:numId w:val="3"/>
              </w:numPr>
              <w:spacing w:line="240" w:lineRule="atLeast"/>
              <w:ind w:left="0" w:firstLineChars="0" w:firstLine="0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鼓励食品、发酵等高耗水企业加强废水循环利用，降低单位产品耗水量。强化用水定额管理，提高水资源循环利用效率。</w:t>
            </w:r>
          </w:p>
          <w:p w:rsidR="00FD4DE5" w:rsidRDefault="00B90CC1">
            <w:pPr>
              <w:pStyle w:val="a0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仿宋_GB2312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b w:val="0"/>
                <w:bCs w:val="0"/>
                <w:color w:val="000000"/>
                <w:sz w:val="26"/>
                <w:szCs w:val="26"/>
              </w:rPr>
              <w:t>开展污水资源化利用，推进节水型城市建设。</w:t>
            </w:r>
          </w:p>
        </w:tc>
      </w:tr>
      <w:tr w:rsidR="00FD4DE5">
        <w:trPr>
          <w:trHeight w:val="2894"/>
          <w:jc w:val="center"/>
        </w:trPr>
        <w:tc>
          <w:tcPr>
            <w:tcW w:w="478" w:type="pct"/>
            <w:vAlign w:val="center"/>
          </w:tcPr>
          <w:p w:rsidR="00FD4DE5" w:rsidRDefault="00B90CC1">
            <w:pPr>
              <w:spacing w:line="240" w:lineRule="atLeast"/>
              <w:ind w:firstLineChars="0" w:firstLine="0"/>
              <w:jc w:val="center"/>
              <w:rPr>
                <w:rFonts w:ascii="仿宋_GB2312"/>
                <w:bCs/>
                <w:color w:val="000000"/>
              </w:rPr>
            </w:pPr>
            <w:r>
              <w:rPr>
                <w:rFonts w:ascii="仿宋_GB2312" w:hint="eastAsia"/>
                <w:bCs/>
                <w:color w:val="000000"/>
              </w:rPr>
              <w:lastRenderedPageBreak/>
              <w:t>朝天区</w:t>
            </w:r>
          </w:p>
        </w:tc>
        <w:tc>
          <w:tcPr>
            <w:tcW w:w="1808" w:type="pct"/>
            <w:vAlign w:val="center"/>
          </w:tcPr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发展目标：建设广元城市北部新城、巴蜀文明重要发祥地，全国知名生态康养旅游目的地，成为中国生态康养旅游名市北部重要支撑。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主要产业：优化发展建材产业、农产品及食品饮料加工产业集群，塑品制造产业、清洁能源产业、生物医药产业、有色金属产业、新基建配套制造业等。</w:t>
            </w:r>
          </w:p>
        </w:tc>
        <w:tc>
          <w:tcPr>
            <w:tcW w:w="2714" w:type="pct"/>
            <w:vAlign w:val="center"/>
          </w:tcPr>
          <w:p w:rsidR="00FD4DE5" w:rsidRDefault="00B90CC1">
            <w:pPr>
              <w:pStyle w:val="affc"/>
              <w:numPr>
                <w:ilvl w:val="0"/>
                <w:numId w:val="3"/>
              </w:numPr>
              <w:spacing w:line="240" w:lineRule="atLeast"/>
              <w:ind w:left="0" w:firstLineChars="0" w:firstLine="0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与嘉陵江上游汉中市、陇南市建立全过程、多层级环境风险防范体系，强化应对突发水环境污染事件的环境风险应急演练。强化危化品泄漏应急处置措施，实行流域联防联控，确保风险可控。</w:t>
            </w:r>
          </w:p>
          <w:p w:rsidR="00FD4DE5" w:rsidRDefault="00B90CC1">
            <w:pPr>
              <w:pStyle w:val="affc"/>
              <w:numPr>
                <w:ilvl w:val="0"/>
                <w:numId w:val="3"/>
              </w:numPr>
              <w:spacing w:line="240" w:lineRule="atLeast"/>
              <w:ind w:left="0" w:firstLineChars="0" w:firstLine="0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加强港口码头和船舶污染防治。提升城乡污水收集处理能力，因地制宜推进城镇生活污水处理设施提标改造工作。加快推进《广元市城镇污水处理设施建设三年推进实施方案（2021-2023年》。</w:t>
            </w:r>
          </w:p>
        </w:tc>
      </w:tr>
      <w:tr w:rsidR="00FD4DE5">
        <w:trPr>
          <w:trHeight w:val="4240"/>
          <w:jc w:val="center"/>
        </w:trPr>
        <w:tc>
          <w:tcPr>
            <w:tcW w:w="478" w:type="pct"/>
            <w:vAlign w:val="center"/>
          </w:tcPr>
          <w:p w:rsidR="00FD4DE5" w:rsidRDefault="00B90CC1">
            <w:pPr>
              <w:spacing w:line="240" w:lineRule="atLeast"/>
              <w:ind w:firstLineChars="0" w:firstLine="0"/>
              <w:jc w:val="center"/>
              <w:rPr>
                <w:rFonts w:ascii="仿宋_GB2312"/>
                <w:bCs/>
                <w:color w:val="000000"/>
              </w:rPr>
            </w:pPr>
            <w:r>
              <w:rPr>
                <w:rFonts w:ascii="仿宋_GB2312" w:hint="eastAsia"/>
                <w:bCs/>
                <w:color w:val="000000"/>
              </w:rPr>
              <w:t>旺苍县</w:t>
            </w:r>
          </w:p>
        </w:tc>
        <w:tc>
          <w:tcPr>
            <w:tcW w:w="1808" w:type="pct"/>
            <w:vAlign w:val="center"/>
          </w:tcPr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发展目标：建设“川陕甘结合部绿色转型创新发展示范城市”，建设新型工业强县、红色文化强县、生态康养强县、黄茶产业强县，全力推动“红色旺苍、中国茶乡”建设取得新成效、实现新突破。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主要产业：突破性发展百亿建材家居产业，加快发展食品饮料产业，稳步提升清洁能源产业，大力发展机械制造产业，积极发展新材料产业。</w:t>
            </w:r>
          </w:p>
        </w:tc>
        <w:tc>
          <w:tcPr>
            <w:tcW w:w="2714" w:type="pct"/>
            <w:vAlign w:val="center"/>
          </w:tcPr>
          <w:p w:rsidR="00FD4DE5" w:rsidRDefault="00B90CC1">
            <w:pPr>
              <w:pStyle w:val="affc"/>
              <w:numPr>
                <w:ilvl w:val="0"/>
                <w:numId w:val="3"/>
              </w:numPr>
              <w:spacing w:line="240" w:lineRule="atLeast"/>
              <w:ind w:left="0" w:firstLineChars="0" w:firstLine="0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旺苍县属于国家层面限制开发区域（重点生态功能区），严格控制开发强度，执行《四川省重点生态功能区产业准入负面清单》。</w:t>
            </w:r>
          </w:p>
          <w:p w:rsidR="00FD4DE5" w:rsidRDefault="00B90CC1">
            <w:pPr>
              <w:pStyle w:val="affc"/>
              <w:numPr>
                <w:ilvl w:val="0"/>
                <w:numId w:val="3"/>
              </w:numPr>
              <w:spacing w:line="240" w:lineRule="atLeast"/>
              <w:ind w:left="0" w:firstLineChars="0" w:firstLine="0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强化建材家居行业挥发性有机物控制，推广使用低（无）VOCs含量的原辅材料和生产工艺、设备。水泥企业实施深度治理。</w:t>
            </w:r>
          </w:p>
          <w:p w:rsidR="00FD4DE5" w:rsidRDefault="00B90CC1">
            <w:pPr>
              <w:pStyle w:val="affc"/>
              <w:numPr>
                <w:ilvl w:val="0"/>
                <w:numId w:val="3"/>
              </w:numPr>
              <w:spacing w:line="240" w:lineRule="atLeast"/>
              <w:ind w:left="0" w:firstLineChars="0" w:firstLine="0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有条件的工业园区和产业集群等，推广集中喷涂、溶剂集中回收、活性炭集中再生等，加强资源共享，提高VOCs治理效率。</w:t>
            </w:r>
          </w:p>
          <w:p w:rsidR="00FD4DE5" w:rsidRDefault="00B90CC1">
            <w:pPr>
              <w:pStyle w:val="affc"/>
              <w:numPr>
                <w:ilvl w:val="0"/>
                <w:numId w:val="3"/>
              </w:numPr>
              <w:spacing w:line="240" w:lineRule="atLeast"/>
              <w:ind w:left="0" w:firstLineChars="0" w:firstLine="0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新建矿山要达到绿色矿山相关标准。严格管控矿产资源开发，加强矿山生态修复和污染防范，鼓励开展尾矿综合利用。</w:t>
            </w:r>
          </w:p>
          <w:p w:rsidR="00FD4DE5" w:rsidRDefault="00B90CC1">
            <w:pPr>
              <w:pStyle w:val="affc"/>
              <w:numPr>
                <w:ilvl w:val="0"/>
                <w:numId w:val="3"/>
              </w:numPr>
              <w:spacing w:line="240" w:lineRule="atLeast"/>
              <w:ind w:left="0" w:firstLineChars="0" w:firstLine="0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提升城乡污水收集处理能力，因地制宜推进城镇生活污水处理设施提标改造工作，加快推进《广元市城镇污水处理设施建设三年推进实施方案（2021-2023年）》。</w:t>
            </w:r>
          </w:p>
        </w:tc>
      </w:tr>
      <w:tr w:rsidR="00FD4DE5">
        <w:trPr>
          <w:trHeight w:val="3603"/>
          <w:jc w:val="center"/>
        </w:trPr>
        <w:tc>
          <w:tcPr>
            <w:tcW w:w="478" w:type="pct"/>
            <w:vAlign w:val="center"/>
          </w:tcPr>
          <w:p w:rsidR="00FD4DE5" w:rsidRDefault="00B90CC1">
            <w:pPr>
              <w:spacing w:line="240" w:lineRule="atLeast"/>
              <w:ind w:firstLineChars="0" w:firstLine="0"/>
              <w:jc w:val="center"/>
              <w:rPr>
                <w:rFonts w:ascii="仿宋_GB2312"/>
                <w:bCs/>
                <w:color w:val="000000"/>
              </w:rPr>
            </w:pPr>
            <w:r>
              <w:rPr>
                <w:rFonts w:ascii="仿宋_GB2312" w:hint="eastAsia"/>
                <w:bCs/>
                <w:color w:val="000000"/>
              </w:rPr>
              <w:lastRenderedPageBreak/>
              <w:t>青川县</w:t>
            </w:r>
          </w:p>
        </w:tc>
        <w:tc>
          <w:tcPr>
            <w:tcW w:w="1808" w:type="pct"/>
            <w:vAlign w:val="center"/>
          </w:tcPr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发展目标：建好生态旅游目的地、高质量建优生态经济先行区、高水平建成生态文明示范县。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主要产业：加快发展机械制造（铸造）产业，优化发展食品饮料产业，转型发展新（型）材料产业，探索发展战略性新兴产业。重点发展机械制造、食品饮料、新型建材、生物医药和战略性新兴五大支柱产业。</w:t>
            </w:r>
          </w:p>
        </w:tc>
        <w:tc>
          <w:tcPr>
            <w:tcW w:w="2714" w:type="pct"/>
            <w:vAlign w:val="center"/>
          </w:tcPr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青川县属于国家层面限制开发区域（重点生态功能区），严格控制开发强度，执行《四川省重点生态功能区产业准入负面清单》。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大熊猫国家公园严格按照《大熊猫国家公园总体规划（试行）》要求进行保护、管理。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严格按照绿色矿山建设相关标准规范要求，加快推动传统矿山转型升级，加大矿山生态环境综合治理力度。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提升城乡污水收集处理能力，因地制宜推进城镇生活污水处理设施提标改造工作，加快推进《广元市城镇污水处理设施建设三年推进实施方案（2021-2023年）》。</w:t>
            </w:r>
          </w:p>
        </w:tc>
      </w:tr>
      <w:tr w:rsidR="00FD4DE5">
        <w:trPr>
          <w:trHeight w:val="20"/>
          <w:jc w:val="center"/>
        </w:trPr>
        <w:tc>
          <w:tcPr>
            <w:tcW w:w="478" w:type="pct"/>
            <w:vAlign w:val="center"/>
          </w:tcPr>
          <w:p w:rsidR="00FD4DE5" w:rsidRDefault="00B90CC1">
            <w:pPr>
              <w:spacing w:line="240" w:lineRule="atLeast"/>
              <w:ind w:firstLineChars="0" w:firstLine="0"/>
              <w:jc w:val="center"/>
              <w:rPr>
                <w:rFonts w:ascii="仿宋_GB2312"/>
                <w:bCs/>
                <w:color w:val="000000"/>
              </w:rPr>
            </w:pPr>
            <w:r>
              <w:rPr>
                <w:rFonts w:ascii="仿宋_GB2312" w:hint="eastAsia"/>
                <w:bCs/>
                <w:color w:val="000000"/>
              </w:rPr>
              <w:t>剑阁县</w:t>
            </w:r>
          </w:p>
        </w:tc>
        <w:tc>
          <w:tcPr>
            <w:tcW w:w="1808" w:type="pct"/>
            <w:vAlign w:val="center"/>
          </w:tcPr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发展目标：建成川陕甘结合部县域经济强县、大蜀道国际旅游目的地、高品质宜居宜养宜业地。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主要产业：立足全县资源优势，以食品饮料、生物医药、清洁能源，战略性新兴产业、高新技术转化产业“3+2”新型工业体系为主攻方向。</w:t>
            </w:r>
          </w:p>
        </w:tc>
        <w:tc>
          <w:tcPr>
            <w:tcW w:w="2714" w:type="pct"/>
            <w:vAlign w:val="center"/>
          </w:tcPr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剑阁县属于国家层面限制开发区域（农产品主产区），严格控制限制开发区域的农业发展用地、生态用地转变为工业发展和城市建设用地。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推进西河流域水污染整治工程，提升城乡污水收集处理能力，因地制宜推进城镇生活污水处理设施提标改造工作，加快推进《广元市城镇污水处理设施建设三年推进实施方案（2021-2023年》。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严控水土流失，保护耕地资源，促进和巩固陡坡退耕还林还草，荒山荒坡营造水土保持林。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在自然保护区的外围保护地带建设的项目，不得损害自然保护区内的环境质量。涉及保护区内的部分，严格执行自然保护地中的风景名胜区和自然保护区相关管理要求。</w:t>
            </w:r>
          </w:p>
        </w:tc>
      </w:tr>
      <w:tr w:rsidR="00FD4DE5">
        <w:trPr>
          <w:trHeight w:val="3745"/>
          <w:jc w:val="center"/>
        </w:trPr>
        <w:tc>
          <w:tcPr>
            <w:tcW w:w="478" w:type="pct"/>
            <w:vAlign w:val="center"/>
          </w:tcPr>
          <w:p w:rsidR="00FD4DE5" w:rsidRDefault="00B90CC1">
            <w:pPr>
              <w:spacing w:line="240" w:lineRule="atLeast"/>
              <w:ind w:firstLineChars="0" w:firstLine="0"/>
              <w:jc w:val="center"/>
              <w:rPr>
                <w:rFonts w:ascii="仿宋_GB2312"/>
                <w:bCs/>
                <w:color w:val="000000"/>
              </w:rPr>
            </w:pPr>
            <w:r>
              <w:rPr>
                <w:rFonts w:ascii="仿宋_GB2312" w:hint="eastAsia"/>
                <w:bCs/>
                <w:color w:val="000000"/>
              </w:rPr>
              <w:lastRenderedPageBreak/>
              <w:t>苍溪县</w:t>
            </w:r>
          </w:p>
        </w:tc>
        <w:tc>
          <w:tcPr>
            <w:tcW w:w="1808" w:type="pct"/>
            <w:vAlign w:val="center"/>
          </w:tcPr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发展目标：建成嘉陵江上游山水田园城市、秦巴山区绿色产业强县，实施创建全国优质农产品示范区、全省乡村振兴示范区、生态康养旅游示范区、阆苍南一体化协同发展示范区。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主要产业：重点发展天然气综合利用、食品医药、机电制造三大特色产业，加速构建以高端化、集群化、绿色化为特征的现代工业产业体系，加快建设川东北清洁能源开发基地、西部绿色农产品加工基地、川东北轻工制造基地。</w:t>
            </w:r>
          </w:p>
        </w:tc>
        <w:tc>
          <w:tcPr>
            <w:tcW w:w="2714" w:type="pct"/>
            <w:vAlign w:val="center"/>
          </w:tcPr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苍溪县是苍溪县属于国家层面限制开发区域（农产品主产区），严格控制限制开发区域的农业发展用地、生态用地转变为工业发展和城市建设用地。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提高现有化工企业风险防控水平，嘉陵江岸线一公里范围内的现有化工企业，不得进行扩建，现状长期停产的企业不得复产，并于2025年前关闭。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严控水土流失，保护耕地资源，促进和巩固陡坡退耕还林还草，荒山荒坡营造水土保持林。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bCs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提升城乡污水收集处理能力，因地制宜推进城镇生活污水处理设施提标改造工作，加快推进《广元市城镇污水处理设施建设三年推进实施方案（2021-2023年》。</w:t>
            </w:r>
          </w:p>
        </w:tc>
      </w:tr>
      <w:tr w:rsidR="00FD4DE5">
        <w:trPr>
          <w:trHeight w:val="20"/>
          <w:jc w:val="center"/>
        </w:trPr>
        <w:tc>
          <w:tcPr>
            <w:tcW w:w="478" w:type="pct"/>
            <w:vAlign w:val="center"/>
          </w:tcPr>
          <w:p w:rsidR="00FD4DE5" w:rsidRDefault="00B90CC1">
            <w:pPr>
              <w:spacing w:line="240" w:lineRule="atLeast"/>
              <w:ind w:firstLineChars="0" w:firstLine="0"/>
              <w:jc w:val="center"/>
              <w:rPr>
                <w:rFonts w:ascii="仿宋_GB2312"/>
                <w:bCs/>
                <w:color w:val="000000"/>
              </w:rPr>
            </w:pPr>
            <w:r>
              <w:rPr>
                <w:rFonts w:ascii="仿宋_GB2312" w:hint="eastAsia"/>
                <w:bCs/>
                <w:color w:val="000000"/>
                <w:szCs w:val="21"/>
              </w:rPr>
              <w:t>广元市经济技术开发区</w:t>
            </w:r>
          </w:p>
        </w:tc>
        <w:tc>
          <w:tcPr>
            <w:tcW w:w="1808" w:type="pct"/>
            <w:vAlign w:val="center"/>
          </w:tcPr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发展目标：加快形成千亿级铝产业集群，建成中国西部地区重要的铝产业基地，培育国家级优良食品饮料产品品牌，打造西部地区重要的绿色农产品精深加工基地。打造川陕甘结合部电子产业基地，建成川陕甘结合部重要的现代中药产业集群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主要产业：重点发展有色金属、电子机械、食品饮料、生物医药、现代物流、现代服务业、数字经济等产业。</w:t>
            </w:r>
          </w:p>
        </w:tc>
        <w:tc>
          <w:tcPr>
            <w:tcW w:w="2714" w:type="pct"/>
            <w:vAlign w:val="center"/>
          </w:tcPr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强化机械电子、新型建材等重点行业挥发性有机物治理，推广使用低（无）VOCs含量的原辅材料和生产工艺、设备。推动原油成品油码头、运输船舶等进行油气回收治理改造。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新建、扩建“两高”项目应采用先进适用的工艺技术和装备，单位产品物耗、能耗、水耗等达到清洁生产先进水平，依法制定并严格落实防治土壤与地下水污染的措施。</w:t>
            </w:r>
          </w:p>
          <w:p w:rsidR="00FD4DE5" w:rsidRDefault="00B90CC1">
            <w:pPr>
              <w:numPr>
                <w:ilvl w:val="0"/>
                <w:numId w:val="1"/>
              </w:numPr>
              <w:spacing w:line="240" w:lineRule="atLeast"/>
              <w:ind w:left="0" w:firstLineChars="0" w:firstLine="0"/>
              <w:jc w:val="lef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sz w:val="26"/>
                <w:szCs w:val="26"/>
              </w:rPr>
              <w:t>新、改、扩建电解铝项目需满足电解铝产业资源环境绩效准入门槛，强化污染物排放管控。</w:t>
            </w:r>
          </w:p>
        </w:tc>
      </w:tr>
    </w:tbl>
    <w:p w:rsidR="00FD4DE5" w:rsidRDefault="00FD4DE5">
      <w:pPr>
        <w:ind w:firstLineChars="0" w:firstLine="0"/>
        <w:rPr>
          <w:lang w:val="zh-CN"/>
        </w:rPr>
        <w:sectPr w:rsidR="00FD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  <w:bookmarkStart w:id="0" w:name="_GoBack"/>
      <w:bookmarkEnd w:id="0"/>
    </w:p>
    <w:p w:rsidR="00FD4DE5" w:rsidRDefault="00FD4DE5" w:rsidP="00991AB4">
      <w:pPr>
        <w:ind w:firstLineChars="0" w:firstLine="0"/>
        <w:rPr>
          <w:lang w:val="zh-CN"/>
        </w:rPr>
      </w:pPr>
    </w:p>
    <w:sectPr w:rsidR="00FD4D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098" w:right="1474" w:bottom="1985" w:left="1588" w:header="851" w:footer="1588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65" w:rsidRDefault="008A0865">
      <w:pPr>
        <w:spacing w:line="240" w:lineRule="auto"/>
        <w:ind w:firstLine="560"/>
      </w:pPr>
      <w:r>
        <w:separator/>
      </w:r>
    </w:p>
  </w:endnote>
  <w:endnote w:type="continuationSeparator" w:id="0">
    <w:p w:rsidR="008A0865" w:rsidRDefault="008A086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852231"/>
    </w:sdtPr>
    <w:sdtEndPr/>
    <w:sdtContent>
      <w:p w:rsidR="00FD4DE5" w:rsidRDefault="00B90CC1">
        <w:pPr>
          <w:pStyle w:val="af2"/>
          <w:ind w:firstLine="360"/>
        </w:pPr>
        <w:r>
          <w:rPr>
            <w:rFonts w:ascii="宋体" w:eastAsia="宋体" w:hAnsi="宋体" w:hint="eastAsia"/>
            <w:sz w:val="28"/>
          </w:rPr>
          <w:t xml:space="preserve">—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</w:rPr>
          <w:fldChar w:fldCharType="separate"/>
        </w:r>
        <w:r w:rsidR="00991AB4" w:rsidRPr="00991AB4">
          <w:rPr>
            <w:rFonts w:ascii="宋体" w:eastAsia="宋体" w:hAnsi="宋体"/>
            <w:noProof/>
            <w:sz w:val="28"/>
            <w:lang w:val="zh-CN"/>
          </w:rPr>
          <w:t>4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01360"/>
    </w:sdtPr>
    <w:sdtEndPr/>
    <w:sdtContent>
      <w:p w:rsidR="00FD4DE5" w:rsidRDefault="00B90CC1">
        <w:pPr>
          <w:pStyle w:val="af2"/>
          <w:ind w:firstLine="360"/>
          <w:jc w:val="right"/>
        </w:pPr>
        <w:r>
          <w:rPr>
            <w:rFonts w:ascii="宋体" w:eastAsia="宋体" w:hAnsi="宋体" w:hint="eastAsia"/>
            <w:sz w:val="28"/>
          </w:rPr>
          <w:t>—</w:t>
        </w:r>
        <w:r>
          <w:rPr>
            <w:rFonts w:ascii="宋体" w:eastAsia="宋体" w:hAnsi="宋体"/>
            <w:sz w:val="28"/>
          </w:rPr>
          <w:t xml:space="preserve">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</w:rPr>
          <w:fldChar w:fldCharType="separate"/>
        </w:r>
        <w:r w:rsidR="00991AB4" w:rsidRPr="00991AB4">
          <w:rPr>
            <w:rFonts w:ascii="宋体" w:eastAsia="宋体" w:hAnsi="宋体"/>
            <w:noProof/>
            <w:sz w:val="28"/>
            <w:lang w:val="zh-CN"/>
          </w:rPr>
          <w:t>3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/>
            <w:sz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2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27209"/>
    </w:sdtPr>
    <w:sdtEndPr/>
    <w:sdtContent>
      <w:p w:rsidR="00FD4DE5" w:rsidRDefault="00B90CC1">
        <w:pPr>
          <w:pStyle w:val="af2"/>
          <w:ind w:firstLine="360"/>
        </w:pPr>
        <w:r>
          <w:rPr>
            <w:rFonts w:ascii="宋体" w:eastAsia="宋体" w:hAnsi="宋体" w:hint="eastAsia"/>
            <w:sz w:val="28"/>
          </w:rPr>
          <w:t xml:space="preserve">—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</w:rPr>
          <w:fldChar w:fldCharType="separate"/>
        </w:r>
        <w:r w:rsidR="00991AB4" w:rsidRPr="00991AB4">
          <w:rPr>
            <w:rFonts w:ascii="宋体" w:eastAsia="宋体" w:hAnsi="宋体"/>
            <w:noProof/>
            <w:sz w:val="28"/>
            <w:lang w:val="zh-CN"/>
          </w:rPr>
          <w:t>2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 xml:space="preserve"> —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27190"/>
    </w:sdtPr>
    <w:sdtEndPr/>
    <w:sdtContent>
      <w:p w:rsidR="00FD4DE5" w:rsidRDefault="00B90CC1">
        <w:pPr>
          <w:pStyle w:val="af2"/>
          <w:ind w:firstLine="360"/>
          <w:jc w:val="right"/>
        </w:pPr>
        <w:r>
          <w:rPr>
            <w:rFonts w:ascii="宋体" w:eastAsia="宋体" w:hAnsi="宋体" w:hint="eastAsia"/>
            <w:sz w:val="28"/>
          </w:rPr>
          <w:t>—</w:t>
        </w:r>
        <w:r>
          <w:rPr>
            <w:rFonts w:ascii="宋体" w:eastAsia="宋体" w:hAnsi="宋体"/>
            <w:sz w:val="28"/>
          </w:rPr>
          <w:t xml:space="preserve">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</w:rPr>
          <w:fldChar w:fldCharType="separate"/>
        </w:r>
        <w:r w:rsidR="00991AB4" w:rsidRPr="00991AB4">
          <w:rPr>
            <w:rFonts w:ascii="宋体" w:eastAsia="宋体" w:hAnsi="宋体"/>
            <w:noProof/>
            <w:sz w:val="28"/>
            <w:lang w:val="zh-CN"/>
          </w:rPr>
          <w:t>3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/>
            <w:sz w:val="28"/>
          </w:rPr>
          <w:t xml:space="preserve"> —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65" w:rsidRDefault="008A0865">
      <w:pPr>
        <w:spacing w:line="240" w:lineRule="auto"/>
        <w:ind w:firstLine="560"/>
      </w:pPr>
      <w:r>
        <w:separator/>
      </w:r>
    </w:p>
  </w:footnote>
  <w:footnote w:type="continuationSeparator" w:id="0">
    <w:p w:rsidR="008A0865" w:rsidRDefault="008A086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196"/>
    <w:multiLevelType w:val="multilevel"/>
    <w:tmpl w:val="0CC04196"/>
    <w:lvl w:ilvl="0">
      <w:start w:val="1"/>
      <w:numFmt w:val="bullet"/>
      <w:suff w:val="space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F4318"/>
    <w:multiLevelType w:val="multilevel"/>
    <w:tmpl w:val="105F431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193F8C"/>
    <w:multiLevelType w:val="multilevel"/>
    <w:tmpl w:val="5A193F8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20"/>
  <w:evenAndOddHeaders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93"/>
    <w:rsid w:val="00072625"/>
    <w:rsid w:val="00090852"/>
    <w:rsid w:val="000A13AD"/>
    <w:rsid w:val="000E39C6"/>
    <w:rsid w:val="001205B9"/>
    <w:rsid w:val="00135418"/>
    <w:rsid w:val="0018222E"/>
    <w:rsid w:val="00183F23"/>
    <w:rsid w:val="001910FB"/>
    <w:rsid w:val="001A2A85"/>
    <w:rsid w:val="00233401"/>
    <w:rsid w:val="00251875"/>
    <w:rsid w:val="0027131D"/>
    <w:rsid w:val="002C0426"/>
    <w:rsid w:val="002D0EF3"/>
    <w:rsid w:val="002F685C"/>
    <w:rsid w:val="003301EB"/>
    <w:rsid w:val="0033168E"/>
    <w:rsid w:val="00352F9F"/>
    <w:rsid w:val="003E2616"/>
    <w:rsid w:val="003E29B7"/>
    <w:rsid w:val="004036AA"/>
    <w:rsid w:val="00405062"/>
    <w:rsid w:val="0041479A"/>
    <w:rsid w:val="004B6673"/>
    <w:rsid w:val="004E2F99"/>
    <w:rsid w:val="004F0931"/>
    <w:rsid w:val="005117C7"/>
    <w:rsid w:val="00555D05"/>
    <w:rsid w:val="006B59F8"/>
    <w:rsid w:val="006C5A64"/>
    <w:rsid w:val="006F6728"/>
    <w:rsid w:val="00722E66"/>
    <w:rsid w:val="00750193"/>
    <w:rsid w:val="00756CD3"/>
    <w:rsid w:val="00776B64"/>
    <w:rsid w:val="00784B0A"/>
    <w:rsid w:val="00786ECE"/>
    <w:rsid w:val="007E7791"/>
    <w:rsid w:val="0083332A"/>
    <w:rsid w:val="008A0865"/>
    <w:rsid w:val="008B0031"/>
    <w:rsid w:val="008B56CD"/>
    <w:rsid w:val="008C0E1B"/>
    <w:rsid w:val="008C3B6C"/>
    <w:rsid w:val="008E7D7D"/>
    <w:rsid w:val="00991AB4"/>
    <w:rsid w:val="00997C78"/>
    <w:rsid w:val="009C505F"/>
    <w:rsid w:val="009D4013"/>
    <w:rsid w:val="00A0279B"/>
    <w:rsid w:val="00AA4FAA"/>
    <w:rsid w:val="00AC2792"/>
    <w:rsid w:val="00AF7B7A"/>
    <w:rsid w:val="00B90CC1"/>
    <w:rsid w:val="00BC3E9A"/>
    <w:rsid w:val="00BF72BA"/>
    <w:rsid w:val="00C2219B"/>
    <w:rsid w:val="00C328DD"/>
    <w:rsid w:val="00C45E39"/>
    <w:rsid w:val="00C81612"/>
    <w:rsid w:val="00CB49AB"/>
    <w:rsid w:val="00DA46F7"/>
    <w:rsid w:val="00DF6407"/>
    <w:rsid w:val="00E42F8E"/>
    <w:rsid w:val="00E93FDB"/>
    <w:rsid w:val="00EA2777"/>
    <w:rsid w:val="00EB37CC"/>
    <w:rsid w:val="00ED584A"/>
    <w:rsid w:val="00F10E96"/>
    <w:rsid w:val="00F63856"/>
    <w:rsid w:val="00F7058A"/>
    <w:rsid w:val="00FD4DE5"/>
    <w:rsid w:val="00FD6FFF"/>
    <w:rsid w:val="182F24E5"/>
    <w:rsid w:val="22DF0437"/>
    <w:rsid w:val="2D6041CA"/>
    <w:rsid w:val="3E8C2EB0"/>
    <w:rsid w:val="4EB72E65"/>
    <w:rsid w:val="57DD27E1"/>
    <w:rsid w:val="663F089C"/>
    <w:rsid w:val="67305DDE"/>
    <w:rsid w:val="6930260C"/>
    <w:rsid w:val="77733BC9"/>
    <w:rsid w:val="7D0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DD66AE6-268A-499C-8A05-FFCE6272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qFormat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unhideWhenUsed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alutation" w:uiPriority="99" w:unhideWhenUsed="1" w:qFormat="1"/>
    <w:lsdException w:name="Date" w:semiHidden="1" w:unhideWhenUsed="1"/>
    <w:lsdException w:name="Body Text First Indent" w:qFormat="1"/>
    <w:lsdException w:name="Body Text First Indent 2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64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1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qFormat/>
    <w:pPr>
      <w:ind w:firstLineChars="0" w:firstLine="0"/>
      <w:jc w:val="left"/>
    </w:pPr>
    <w:rPr>
      <w:rFonts w:ascii="宋体"/>
      <w:b/>
      <w:bCs/>
    </w:rPr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5">
    <w:name w:val="Normal Indent"/>
    <w:basedOn w:val="a"/>
    <w:next w:val="a0"/>
    <w:qFormat/>
    <w:pPr>
      <w:ind w:firstLine="420"/>
    </w:pPr>
  </w:style>
  <w:style w:type="paragraph" w:styleId="a6">
    <w:name w:val="Document Map"/>
    <w:basedOn w:val="a"/>
    <w:link w:val="a7"/>
    <w:qFormat/>
    <w:rPr>
      <w:rFonts w:ascii="宋体" w:eastAsia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</w:style>
  <w:style w:type="paragraph" w:styleId="aa">
    <w:name w:val="Salutation"/>
    <w:basedOn w:val="a"/>
    <w:next w:val="a"/>
    <w:link w:val="ab"/>
    <w:uiPriority w:val="99"/>
    <w:unhideWhenUsed/>
    <w:qFormat/>
    <w:pPr>
      <w:spacing w:line="240" w:lineRule="auto"/>
      <w:ind w:firstLineChars="0" w:firstLine="0"/>
    </w:pPr>
    <w:rPr>
      <w:rFonts w:ascii="Calibri" w:eastAsia="宋体" w:hAnsi="Calibri"/>
      <w:sz w:val="21"/>
      <w:szCs w:val="24"/>
    </w:rPr>
  </w:style>
  <w:style w:type="paragraph" w:styleId="ac">
    <w:name w:val="Body Text Indent"/>
    <w:basedOn w:val="a"/>
    <w:link w:val="ad"/>
    <w:semiHidden/>
    <w:unhideWhenUsed/>
    <w:qFormat/>
    <w:pPr>
      <w:spacing w:after="120"/>
      <w:ind w:leftChars="200" w:left="420"/>
    </w:p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e">
    <w:name w:val="Plain Text"/>
    <w:basedOn w:val="a"/>
    <w:next w:val="8"/>
    <w:link w:val="af"/>
    <w:qFormat/>
    <w:rPr>
      <w:rFonts w:ascii="宋体" w:hAnsi="Courier New"/>
      <w:sz w:val="20"/>
      <w:szCs w:val="21"/>
    </w:rPr>
  </w:style>
  <w:style w:type="paragraph" w:styleId="af0">
    <w:name w:val="Balloon Text"/>
    <w:basedOn w:val="a"/>
    <w:link w:val="af1"/>
    <w:qFormat/>
    <w:rPr>
      <w:sz w:val="18"/>
      <w:szCs w:val="18"/>
    </w:rPr>
  </w:style>
  <w:style w:type="paragraph" w:styleId="af2">
    <w:name w:val="footer"/>
    <w:basedOn w:val="a"/>
    <w:link w:val="af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4">
    <w:name w:val="header"/>
    <w:basedOn w:val="a"/>
    <w:link w:val="af5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</w:style>
  <w:style w:type="paragraph" w:styleId="af6">
    <w:name w:val="footnote text"/>
    <w:basedOn w:val="a"/>
    <w:link w:val="af7"/>
    <w:unhideWhenUsed/>
    <w:qFormat/>
    <w:pPr>
      <w:snapToGrid w:val="0"/>
      <w:jc w:val="left"/>
    </w:pPr>
    <w:rPr>
      <w:sz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f8">
    <w:name w:val="Normal (Web)"/>
    <w:basedOn w:val="a"/>
    <w:link w:val="af9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a">
    <w:name w:val="annotation subject"/>
    <w:basedOn w:val="a8"/>
    <w:next w:val="a8"/>
    <w:link w:val="afb"/>
    <w:qFormat/>
    <w:rPr>
      <w:b/>
      <w:bCs/>
    </w:rPr>
  </w:style>
  <w:style w:type="paragraph" w:styleId="afc">
    <w:name w:val="Body Text First Indent"/>
    <w:basedOn w:val="a0"/>
    <w:link w:val="afd"/>
    <w:qFormat/>
    <w:pPr>
      <w:ind w:firstLineChars="100" w:firstLine="420"/>
    </w:pPr>
    <w:rPr>
      <w:sz w:val="24"/>
    </w:rPr>
  </w:style>
  <w:style w:type="paragraph" w:styleId="22">
    <w:name w:val="Body Text First Indent 2"/>
    <w:basedOn w:val="a5"/>
    <w:next w:val="afc"/>
    <w:link w:val="23"/>
    <w:uiPriority w:val="99"/>
    <w:unhideWhenUsed/>
    <w:qFormat/>
  </w:style>
  <w:style w:type="table" w:styleId="afe">
    <w:name w:val="Table Grid"/>
    <w:basedOn w:val="a2"/>
    <w:qFormat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1"/>
    <w:qFormat/>
    <w:rPr>
      <w:b/>
    </w:rPr>
  </w:style>
  <w:style w:type="character" w:styleId="aff0">
    <w:name w:val="Emphasis"/>
    <w:basedOn w:val="a1"/>
    <w:qFormat/>
    <w:rPr>
      <w:i/>
    </w:rPr>
  </w:style>
  <w:style w:type="character" w:styleId="aff1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f2">
    <w:name w:val="annotation reference"/>
    <w:basedOn w:val="a1"/>
    <w:uiPriority w:val="99"/>
    <w:qFormat/>
    <w:rPr>
      <w:sz w:val="21"/>
      <w:szCs w:val="21"/>
    </w:rPr>
  </w:style>
  <w:style w:type="character" w:styleId="aff3">
    <w:name w:val="footnote reference"/>
    <w:basedOn w:val="a1"/>
    <w:unhideWhenUsed/>
    <w:qFormat/>
    <w:rPr>
      <w:vertAlign w:val="superscript"/>
    </w:rPr>
  </w:style>
  <w:style w:type="paragraph" w:customStyle="1" w:styleId="aff4">
    <w:name w:val="表格内容"/>
    <w:next w:val="a"/>
    <w:qFormat/>
    <w:pPr>
      <w:adjustRightInd w:val="0"/>
      <w:snapToGrid w:val="0"/>
      <w:spacing w:line="320" w:lineRule="exact"/>
      <w:jc w:val="center"/>
    </w:pPr>
    <w:rPr>
      <w:rFonts w:ascii="Calibri" w:eastAsia="仿宋" w:hAnsi="Calibri"/>
      <w:kern w:val="2"/>
      <w:sz w:val="24"/>
      <w:szCs w:val="21"/>
      <w:lang w:bidi="mn-Mong-CN"/>
    </w:rPr>
  </w:style>
  <w:style w:type="paragraph" w:customStyle="1" w:styleId="12">
    <w:name w:val="纯文本1"/>
    <w:basedOn w:val="a"/>
    <w:qFormat/>
    <w:rPr>
      <w:rFonts w:ascii="宋体" w:hAnsi="Courier New" w:cs="Courier New"/>
    </w:rPr>
  </w:style>
  <w:style w:type="paragraph" w:customStyle="1" w:styleId="hy">
    <w:name w:val="正文hy"/>
    <w:basedOn w:val="a"/>
    <w:link w:val="hyChar"/>
    <w:qFormat/>
    <w:pPr>
      <w:spacing w:afterLines="50"/>
      <w:ind w:firstLine="200"/>
    </w:pPr>
    <w:rPr>
      <w:kern w:val="0"/>
      <w:szCs w:val="32"/>
      <w:lang w:val="zh-CN"/>
    </w:rPr>
  </w:style>
  <w:style w:type="character" w:customStyle="1" w:styleId="hyChar">
    <w:name w:val="正文hy Char"/>
    <w:link w:val="hy"/>
    <w:qFormat/>
    <w:rPr>
      <w:rFonts w:eastAsia="仿宋_GB2312"/>
      <w:kern w:val="0"/>
      <w:sz w:val="32"/>
      <w:szCs w:val="32"/>
      <w:lang w:val="zh-CN"/>
    </w:rPr>
  </w:style>
  <w:style w:type="paragraph" w:customStyle="1" w:styleId="13">
    <w:name w:val="样式1"/>
    <w:basedOn w:val="14"/>
    <w:link w:val="1Char"/>
    <w:qFormat/>
    <w:pPr>
      <w:ind w:left="45" w:right="45" w:firstLineChars="200" w:firstLine="643"/>
      <w:jc w:val="both"/>
    </w:pPr>
    <w:rPr>
      <w:rFonts w:ascii="仿宋_GB2312"/>
      <w:kern w:val="0"/>
    </w:rPr>
  </w:style>
  <w:style w:type="paragraph" w:customStyle="1" w:styleId="14">
    <w:name w:val="正文1"/>
    <w:qFormat/>
    <w:pPr>
      <w:spacing w:beforeLines="50" w:line="360" w:lineRule="auto"/>
      <w:ind w:firstLine="482"/>
    </w:pPr>
    <w:rPr>
      <w:kern w:val="2"/>
      <w:sz w:val="32"/>
      <w:szCs w:val="32"/>
    </w:rPr>
  </w:style>
  <w:style w:type="character" w:customStyle="1" w:styleId="1Char">
    <w:name w:val="样式1 Char"/>
    <w:basedOn w:val="af9"/>
    <w:link w:val="13"/>
    <w:qFormat/>
    <w:rPr>
      <w:rFonts w:ascii="仿宋_GB2312" w:eastAsia="仿宋_GB2312" w:hAnsi="Times New Roman" w:cs="Times New Roman"/>
      <w:kern w:val="0"/>
      <w:sz w:val="32"/>
      <w:szCs w:val="32"/>
    </w:rPr>
  </w:style>
  <w:style w:type="character" w:customStyle="1" w:styleId="af9">
    <w:name w:val="普通(网站) 字符"/>
    <w:basedOn w:val="a1"/>
    <w:link w:val="af8"/>
    <w:uiPriority w:val="99"/>
    <w:qFormat/>
    <w:rPr>
      <w:rFonts w:eastAsia="仿宋_GB2312" w:cs="Times New Roman"/>
      <w:kern w:val="0"/>
      <w:sz w:val="24"/>
      <w:szCs w:val="24"/>
    </w:rPr>
  </w:style>
  <w:style w:type="paragraph" w:customStyle="1" w:styleId="15">
    <w:name w:val="1"/>
    <w:basedOn w:val="2"/>
    <w:link w:val="1Char0"/>
    <w:qFormat/>
    <w:pPr>
      <w:spacing w:line="360" w:lineRule="auto"/>
    </w:pPr>
    <w:rPr>
      <w:rFonts w:ascii="仿宋_GB2312" w:eastAsia="仿宋_GB2312" w:hAnsi="仿宋" w:cs="仿宋"/>
    </w:rPr>
  </w:style>
  <w:style w:type="character" w:customStyle="1" w:styleId="1Char0">
    <w:name w:val="1 Char"/>
    <w:basedOn w:val="24"/>
    <w:link w:val="15"/>
    <w:qFormat/>
    <w:rPr>
      <w:rFonts w:ascii="仿宋_GB2312" w:eastAsia="仿宋_GB2312" w:hAnsi="仿宋" w:cs="仿宋"/>
      <w:b/>
      <w:bCs/>
      <w:kern w:val="2"/>
      <w:sz w:val="32"/>
      <w:szCs w:val="24"/>
    </w:rPr>
  </w:style>
  <w:style w:type="character" w:customStyle="1" w:styleId="24">
    <w:name w:val="标题 2 字符"/>
    <w:basedOn w:val="a1"/>
    <w:qFormat/>
    <w:rPr>
      <w:rFonts w:ascii="Arial" w:eastAsia="黑体" w:hAnsi="Arial" w:cstheme="minorBidi"/>
      <w:b/>
      <w:kern w:val="2"/>
      <w:sz w:val="32"/>
      <w:szCs w:val="24"/>
    </w:rPr>
  </w:style>
  <w:style w:type="paragraph" w:customStyle="1" w:styleId="25">
    <w:name w:val="2"/>
    <w:basedOn w:val="3"/>
    <w:link w:val="2Char"/>
    <w:qFormat/>
    <w:pPr>
      <w:spacing w:line="240" w:lineRule="auto"/>
    </w:pPr>
    <w:rPr>
      <w:rFonts w:ascii="楷体_GB2312" w:eastAsia="楷体_GB2312"/>
      <w:b w:val="0"/>
    </w:rPr>
  </w:style>
  <w:style w:type="character" w:customStyle="1" w:styleId="2Char">
    <w:name w:val="2 Char"/>
    <w:basedOn w:val="30"/>
    <w:link w:val="25"/>
    <w:qFormat/>
    <w:rPr>
      <w:rFonts w:ascii="楷体_GB2312" w:eastAsia="楷体_GB2312"/>
      <w:b w:val="0"/>
      <w:bCs/>
      <w:sz w:val="32"/>
      <w:szCs w:val="32"/>
    </w:rPr>
  </w:style>
  <w:style w:type="character" w:customStyle="1" w:styleId="30">
    <w:name w:val="标题 3 字符"/>
    <w:basedOn w:val="a1"/>
    <w:link w:val="3"/>
    <w:qFormat/>
    <w:rPr>
      <w:rFonts w:eastAsia="仿宋_GB2312"/>
      <w:b/>
      <w:bCs/>
      <w:sz w:val="32"/>
      <w:szCs w:val="32"/>
    </w:rPr>
  </w:style>
  <w:style w:type="paragraph" w:customStyle="1" w:styleId="32">
    <w:name w:val="3"/>
    <w:basedOn w:val="a"/>
    <w:link w:val="3Char"/>
    <w:qFormat/>
    <w:pPr>
      <w:spacing w:afterLines="50" w:line="400" w:lineRule="exact"/>
      <w:jc w:val="center"/>
    </w:pPr>
    <w:rPr>
      <w:rFonts w:ascii="仿宋_GB2312"/>
      <w:color w:val="000000"/>
      <w:szCs w:val="32"/>
    </w:rPr>
  </w:style>
  <w:style w:type="character" w:customStyle="1" w:styleId="3Char">
    <w:name w:val="3 Char"/>
    <w:basedOn w:val="a1"/>
    <w:link w:val="32"/>
    <w:qFormat/>
    <w:rPr>
      <w:rFonts w:ascii="仿宋_GB2312" w:eastAsia="仿宋_GB2312"/>
      <w:color w:val="000000"/>
      <w:sz w:val="28"/>
      <w:szCs w:val="32"/>
    </w:rPr>
  </w:style>
  <w:style w:type="paragraph" w:customStyle="1" w:styleId="41">
    <w:name w:val="4"/>
    <w:basedOn w:val="a"/>
    <w:link w:val="4Char"/>
    <w:qFormat/>
    <w:rPr>
      <w:rFonts w:ascii="仿宋_GB2312"/>
      <w:szCs w:val="32"/>
    </w:rPr>
  </w:style>
  <w:style w:type="character" w:customStyle="1" w:styleId="4Char">
    <w:name w:val="4 Char"/>
    <w:basedOn w:val="a1"/>
    <w:link w:val="41"/>
    <w:qFormat/>
    <w:rPr>
      <w:rFonts w:ascii="仿宋_GB2312" w:eastAsia="仿宋_GB2312" w:hAnsi="Times New Roman" w:cs="Times New Roman"/>
      <w:sz w:val="32"/>
      <w:szCs w:val="32"/>
    </w:rPr>
  </w:style>
  <w:style w:type="paragraph" w:customStyle="1" w:styleId="16">
    <w:name w:val="1正文"/>
    <w:qFormat/>
    <w:pPr>
      <w:spacing w:line="560" w:lineRule="exact"/>
      <w:ind w:firstLineChars="200" w:firstLine="643"/>
      <w:jc w:val="both"/>
    </w:pPr>
    <w:rPr>
      <w:rFonts w:cs="宋体"/>
      <w:kern w:val="2"/>
      <w:sz w:val="32"/>
      <w:szCs w:val="28"/>
    </w:rPr>
  </w:style>
  <w:style w:type="paragraph" w:customStyle="1" w:styleId="aff5">
    <w:name w:val="图片标题"/>
    <w:basedOn w:val="a"/>
    <w:qFormat/>
    <w:pPr>
      <w:jc w:val="center"/>
    </w:pPr>
    <w:rPr>
      <w:rFonts w:ascii="楷体_GB2312" w:eastAsia="楷体_GB2312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hAnsi="仿宋_GB2312" w:hint="eastAsia"/>
      <w:color w:val="000000"/>
      <w:sz w:val="24"/>
    </w:rPr>
  </w:style>
  <w:style w:type="table" w:customStyle="1" w:styleId="26">
    <w:name w:val="网格型2"/>
    <w:basedOn w:val="a2"/>
    <w:uiPriority w:val="39"/>
    <w:unhideWhenUsed/>
    <w:qFormat/>
    <w:pPr>
      <w:widowControl w:val="0"/>
      <w:jc w:val="both"/>
    </w:pPr>
    <w:rPr>
      <w:rFonts w:eastAsia="宋体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列表段落1"/>
    <w:basedOn w:val="a"/>
    <w:uiPriority w:val="99"/>
    <w:qFormat/>
    <w:pPr>
      <w:ind w:firstLine="420"/>
    </w:pPr>
  </w:style>
  <w:style w:type="paragraph" w:customStyle="1" w:styleId="aff6">
    <w:name w:val="图片"/>
    <w:basedOn w:val="14"/>
    <w:qFormat/>
    <w:pPr>
      <w:spacing w:before="50"/>
      <w:ind w:firstLine="0"/>
      <w:jc w:val="center"/>
    </w:pPr>
  </w:style>
  <w:style w:type="paragraph" w:customStyle="1" w:styleId="aff7">
    <w:name w:val="图名"/>
    <w:basedOn w:val="a"/>
    <w:qFormat/>
    <w:pPr>
      <w:widowControl/>
      <w:spacing w:after="188"/>
      <w:ind w:left="38" w:right="38" w:firstLine="376"/>
      <w:jc w:val="center"/>
    </w:pPr>
    <w:rPr>
      <w:rFonts w:ascii="黑体" w:eastAsia="黑体" w:hAnsi="黑体"/>
      <w:bCs/>
      <w:kern w:val="0"/>
      <w:sz w:val="24"/>
      <w:lang w:val="zh-CN"/>
    </w:rPr>
  </w:style>
  <w:style w:type="table" w:customStyle="1" w:styleId="18">
    <w:name w:val="网格型1"/>
    <w:basedOn w:val="a2"/>
    <w:uiPriority w:val="99"/>
    <w:unhideWhenUsed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二级标题"/>
    <w:qFormat/>
    <w:pPr>
      <w:widowControl w:val="0"/>
      <w:spacing w:beforeLines="50" w:line="360" w:lineRule="auto"/>
      <w:ind w:firstLine="482"/>
      <w:jc w:val="both"/>
      <w:outlineLvl w:val="1"/>
    </w:pPr>
    <w:rPr>
      <w:b/>
      <w:kern w:val="2"/>
      <w:sz w:val="32"/>
      <w:szCs w:val="32"/>
      <w:lang w:val="zh-CN"/>
    </w:rPr>
  </w:style>
  <w:style w:type="paragraph" w:customStyle="1" w:styleId="aff9">
    <w:name w:val="表格文字"/>
    <w:qFormat/>
    <w:pPr>
      <w:keepNext/>
      <w:jc w:val="center"/>
    </w:pPr>
    <w:rPr>
      <w:rFonts w:eastAsia="宋体"/>
      <w:kern w:val="2"/>
      <w:sz w:val="28"/>
      <w:szCs w:val="21"/>
    </w:rPr>
  </w:style>
  <w:style w:type="paragraph" w:customStyle="1" w:styleId="0">
    <w:name w:val="0正文"/>
    <w:qFormat/>
    <w:pPr>
      <w:spacing w:line="560" w:lineRule="exact"/>
      <w:ind w:firstLineChars="200" w:firstLine="200"/>
      <w:jc w:val="both"/>
    </w:pPr>
    <w:rPr>
      <w:rFonts w:ascii="仿宋_GB2312" w:hAnsi="仿宋"/>
      <w:kern w:val="2"/>
      <w:sz w:val="32"/>
      <w:szCs w:val="32"/>
    </w:rPr>
  </w:style>
  <w:style w:type="character" w:customStyle="1" w:styleId="fontstyle01">
    <w:name w:val="fontstyle01"/>
    <w:basedOn w:val="a1"/>
    <w:qFormat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2Char0">
    <w:name w:val="标题 2 Char"/>
    <w:basedOn w:val="a1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affa">
    <w:name w:val="本报告正文"/>
    <w:basedOn w:val="a"/>
    <w:qFormat/>
    <w:pPr>
      <w:ind w:firstLine="200"/>
      <w:jc w:val="left"/>
    </w:pPr>
    <w:rPr>
      <w:rFonts w:eastAsia="宋体"/>
      <w:bCs/>
      <w:sz w:val="24"/>
    </w:rPr>
  </w:style>
  <w:style w:type="paragraph" w:customStyle="1" w:styleId="Affb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8"/>
      <w:szCs w:val="21"/>
      <w:u w:color="000000"/>
    </w:rPr>
  </w:style>
  <w:style w:type="paragraph" w:customStyle="1" w:styleId="FT1">
    <w:name w:val="FT正文1"/>
    <w:qFormat/>
    <w:pPr>
      <w:spacing w:line="560" w:lineRule="exact"/>
      <w:ind w:firstLineChars="200" w:firstLine="880"/>
      <w:jc w:val="both"/>
    </w:pPr>
    <w:rPr>
      <w:rFonts w:ascii="仿宋_GB2312" w:hAnsi="仿宋_GB2312"/>
      <w:sz w:val="32"/>
    </w:rPr>
  </w:style>
  <w:style w:type="character" w:customStyle="1" w:styleId="a4">
    <w:name w:val="正文文本 字符"/>
    <w:basedOn w:val="a1"/>
    <w:link w:val="a0"/>
    <w:uiPriority w:val="99"/>
    <w:qFormat/>
    <w:rPr>
      <w:rFonts w:ascii="宋体"/>
      <w:b/>
      <w:bCs/>
    </w:rPr>
  </w:style>
  <w:style w:type="character" w:customStyle="1" w:styleId="10">
    <w:name w:val="标题 1 字符"/>
    <w:basedOn w:val="a1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1">
    <w:name w:val="标题 2 字符1"/>
    <w:basedOn w:val="a1"/>
    <w:link w:val="2"/>
    <w:qFormat/>
    <w:rPr>
      <w:rFonts w:ascii="Arial" w:eastAsia="黑体" w:hAnsi="Arial"/>
      <w:b/>
      <w:sz w:val="32"/>
      <w:szCs w:val="24"/>
    </w:rPr>
  </w:style>
  <w:style w:type="character" w:customStyle="1" w:styleId="40">
    <w:name w:val="标题 4 字符"/>
    <w:basedOn w:val="a1"/>
    <w:link w:val="4"/>
    <w:qFormat/>
    <w:rPr>
      <w:rFonts w:ascii="Arial" w:eastAsia="黑体" w:hAnsi="Arial"/>
      <w:b/>
      <w:sz w:val="28"/>
      <w:szCs w:val="24"/>
    </w:rPr>
  </w:style>
  <w:style w:type="character" w:customStyle="1" w:styleId="af7">
    <w:name w:val="脚注文本 字符"/>
    <w:basedOn w:val="a1"/>
    <w:link w:val="af6"/>
    <w:qFormat/>
    <w:rPr>
      <w:rFonts w:eastAsia="仿宋_GB2312"/>
      <w:sz w:val="18"/>
      <w:szCs w:val="24"/>
    </w:rPr>
  </w:style>
  <w:style w:type="character" w:customStyle="1" w:styleId="a9">
    <w:name w:val="批注文字 字符"/>
    <w:basedOn w:val="a1"/>
    <w:link w:val="a8"/>
    <w:qFormat/>
    <w:rPr>
      <w:rFonts w:eastAsia="仿宋_GB2312"/>
      <w:sz w:val="32"/>
      <w:szCs w:val="24"/>
    </w:rPr>
  </w:style>
  <w:style w:type="character" w:customStyle="1" w:styleId="af5">
    <w:name w:val="页眉 字符"/>
    <w:basedOn w:val="a1"/>
    <w:link w:val="af4"/>
    <w:qFormat/>
    <w:rPr>
      <w:rFonts w:eastAsia="仿宋_GB2312"/>
      <w:sz w:val="18"/>
      <w:szCs w:val="24"/>
    </w:rPr>
  </w:style>
  <w:style w:type="character" w:customStyle="1" w:styleId="af3">
    <w:name w:val="页脚 字符"/>
    <w:basedOn w:val="a1"/>
    <w:link w:val="af2"/>
    <w:uiPriority w:val="99"/>
    <w:qFormat/>
    <w:rPr>
      <w:rFonts w:eastAsia="仿宋_GB2312"/>
      <w:sz w:val="18"/>
      <w:szCs w:val="24"/>
    </w:rPr>
  </w:style>
  <w:style w:type="character" w:customStyle="1" w:styleId="afd">
    <w:name w:val="正文首行缩进 字符"/>
    <w:basedOn w:val="a4"/>
    <w:link w:val="afc"/>
    <w:qFormat/>
    <w:rPr>
      <w:rFonts w:ascii="宋体" w:eastAsia="仿宋_GB2312"/>
      <w:b/>
      <w:bCs/>
      <w:sz w:val="24"/>
      <w:szCs w:val="24"/>
    </w:rPr>
  </w:style>
  <w:style w:type="character" w:customStyle="1" w:styleId="ad">
    <w:name w:val="正文文本缩进 字符"/>
    <w:basedOn w:val="a1"/>
    <w:link w:val="ac"/>
    <w:semiHidden/>
    <w:qFormat/>
    <w:rPr>
      <w:rFonts w:eastAsia="仿宋_GB2312"/>
      <w:sz w:val="32"/>
      <w:szCs w:val="24"/>
    </w:rPr>
  </w:style>
  <w:style w:type="character" w:customStyle="1" w:styleId="23">
    <w:name w:val="正文首行缩进 2 字符"/>
    <w:basedOn w:val="ad"/>
    <w:link w:val="22"/>
    <w:uiPriority w:val="99"/>
    <w:qFormat/>
    <w:rPr>
      <w:rFonts w:eastAsia="仿宋_GB2312"/>
      <w:sz w:val="32"/>
      <w:szCs w:val="24"/>
    </w:rPr>
  </w:style>
  <w:style w:type="character" w:customStyle="1" w:styleId="a7">
    <w:name w:val="文档结构图 字符"/>
    <w:basedOn w:val="a1"/>
    <w:link w:val="a6"/>
    <w:qFormat/>
    <w:rPr>
      <w:rFonts w:ascii="宋体" w:eastAsia="宋体"/>
      <w:sz w:val="18"/>
      <w:szCs w:val="18"/>
    </w:rPr>
  </w:style>
  <w:style w:type="character" w:customStyle="1" w:styleId="af">
    <w:name w:val="纯文本 字符"/>
    <w:basedOn w:val="a1"/>
    <w:link w:val="ae"/>
    <w:qFormat/>
    <w:rPr>
      <w:rFonts w:ascii="宋体" w:eastAsia="仿宋_GB2312" w:hAnsi="Courier New"/>
      <w:sz w:val="20"/>
      <w:szCs w:val="21"/>
    </w:rPr>
  </w:style>
  <w:style w:type="character" w:customStyle="1" w:styleId="afb">
    <w:name w:val="批注主题 字符"/>
    <w:basedOn w:val="a9"/>
    <w:link w:val="afa"/>
    <w:qFormat/>
    <w:rPr>
      <w:rFonts w:eastAsia="仿宋_GB2312"/>
      <w:b/>
      <w:bCs/>
      <w:sz w:val="32"/>
      <w:szCs w:val="24"/>
    </w:rPr>
  </w:style>
  <w:style w:type="character" w:customStyle="1" w:styleId="af1">
    <w:name w:val="批注框文本 字符"/>
    <w:basedOn w:val="a1"/>
    <w:link w:val="af0"/>
    <w:qFormat/>
    <w:rPr>
      <w:rFonts w:eastAsia="仿宋_GB2312"/>
      <w:sz w:val="18"/>
      <w:szCs w:val="18"/>
    </w:rPr>
  </w:style>
  <w:style w:type="paragraph" w:styleId="affc">
    <w:name w:val="List Paragraph"/>
    <w:basedOn w:val="a"/>
    <w:uiPriority w:val="99"/>
    <w:qFormat/>
    <w:pPr>
      <w:ind w:firstLine="420"/>
    </w:pPr>
  </w:style>
  <w:style w:type="character" w:customStyle="1" w:styleId="ab">
    <w:name w:val="称呼 字符"/>
    <w:basedOn w:val="a1"/>
    <w:link w:val="aa"/>
    <w:uiPriority w:val="99"/>
    <w:qFormat/>
    <w:rPr>
      <w:rFonts w:ascii="Calibri" w:eastAsia="宋体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449</Words>
  <Characters>2564</Characters>
  <Application>Microsoft Office Word</Application>
  <DocSecurity>0</DocSecurity>
  <Lines>21</Lines>
  <Paragraphs>6</Paragraphs>
  <ScaleCrop>false</ScaleCrop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zhazha</dc:creator>
  <cp:lastModifiedBy>宣教室（综合室）:杨垚婷</cp:lastModifiedBy>
  <cp:revision>11</cp:revision>
  <cp:lastPrinted>2021-06-21T06:54:00Z</cp:lastPrinted>
  <dcterms:created xsi:type="dcterms:W3CDTF">2021-06-21T08:29:00Z</dcterms:created>
  <dcterms:modified xsi:type="dcterms:W3CDTF">2021-06-28T08:21:00Z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37E3E17E9595463CB2E7B484FFB18307</vt:lpwstr>
  </property>
</Properties>
</file>