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keepNext w:val="0"/>
        <w:keepLines w:val="0"/>
        <w:pageBreakBefore w:val="0"/>
        <w:widowControl w:val="0"/>
        <w:kinsoku/>
        <w:wordWrap/>
        <w:overflowPunct/>
        <w:topLinePunct w:val="0"/>
        <w:autoSpaceDE/>
        <w:autoSpaceDN/>
        <w:bidi w:val="0"/>
        <w:spacing w:line="900" w:lineRule="exact"/>
        <w:jc w:val="center"/>
        <w:textAlignment w:val="auto"/>
        <w:outlineLvl w:val="0"/>
        <w:rPr>
          <w:rFonts w:ascii="方正小标宋简体" w:hAnsi="宋体" w:eastAsia="方正小标宋简体"/>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大标宋简体" w:hAnsi="方正大标宋简体" w:eastAsia="方正大标宋简体" w:cs="方正大标宋简体"/>
          <w:color w:val="auto"/>
          <w:sz w:val="72"/>
          <w:szCs w:val="72"/>
        </w:rPr>
      </w:pPr>
      <w:bookmarkStart w:id="1" w:name="_Toc15377425"/>
      <w:bookmarkStart w:id="2" w:name="_Toc15377193"/>
      <w:bookmarkStart w:id="3" w:name="_Toc15378441"/>
      <w:bookmarkStart w:id="4" w:name="_Toc15396597"/>
      <w:bookmarkStart w:id="5" w:name="_Toc15396475"/>
      <w:r>
        <w:rPr>
          <w:rFonts w:hint="eastAsia" w:ascii="方正大标宋简体" w:hAnsi="方正大标宋简体" w:eastAsia="方正大标宋简体" w:cs="方正大标宋简体"/>
          <w:color w:val="auto"/>
          <w:sz w:val="72"/>
          <w:szCs w:val="72"/>
        </w:rPr>
        <w:t>2018年度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宋体" w:eastAsia="方正小标宋简体"/>
          <w:color w:val="auto"/>
          <w:sz w:val="72"/>
          <w:szCs w:val="72"/>
        </w:rPr>
      </w:pPr>
      <w:bookmarkStart w:id="6" w:name="_Toc15396598"/>
      <w:bookmarkStart w:id="7" w:name="_Toc15377194"/>
      <w:bookmarkStart w:id="8" w:name="_Toc15378442"/>
      <w:bookmarkStart w:id="9" w:name="_Toc15377426"/>
      <w:bookmarkStart w:id="10" w:name="_Toc15396476"/>
      <w:r>
        <w:rPr>
          <w:rFonts w:hint="eastAsia" w:ascii="方正大标宋简体" w:hAnsi="方正大标宋简体" w:eastAsia="方正大标宋简体" w:cs="方正大标宋简体"/>
          <w:color w:val="auto"/>
          <w:sz w:val="72"/>
          <w:szCs w:val="72"/>
        </w:rPr>
        <w:t>四川省广元市</w:t>
      </w:r>
      <w:bookmarkEnd w:id="0"/>
      <w:bookmarkStart w:id="11" w:name="_Toc15306268"/>
      <w:r>
        <w:rPr>
          <w:rFonts w:hint="eastAsia" w:ascii="方正大标宋简体" w:hAnsi="方正大标宋简体" w:eastAsia="方正大标宋简体" w:cs="方正大标宋简体"/>
          <w:color w:val="auto"/>
          <w:sz w:val="72"/>
          <w:szCs w:val="72"/>
          <w:lang w:eastAsia="zh-CN"/>
        </w:rPr>
        <w:t>统战</w:t>
      </w:r>
      <w:r>
        <w:rPr>
          <w:rFonts w:hint="eastAsia" w:ascii="方正大标宋简体" w:hAnsi="方正大标宋简体" w:eastAsia="方正大标宋简体" w:cs="方正大标宋简体"/>
          <w:color w:val="auto"/>
          <w:sz w:val="72"/>
          <w:szCs w:val="72"/>
        </w:rPr>
        <w:t>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0"/>
        <w:rPr>
          <w:rFonts w:hint="eastAsia" w:ascii="方正小标宋简体" w:hAnsi="宋体" w:eastAsia="方正小标宋简体"/>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0"/>
        <w:rPr>
          <w:rFonts w:hint="eastAsia" w:ascii="方正小标宋简体" w:hAnsi="宋体" w:eastAsia="方正小标宋简体"/>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0"/>
        <w:rPr>
          <w:rFonts w:hint="eastAsia" w:ascii="方正小标宋简体" w:hAnsi="宋体" w:eastAsia="方正小标宋简体"/>
          <w:color w:val="auto"/>
          <w:sz w:val="72"/>
          <w:szCs w:val="72"/>
        </w:rPr>
      </w:pPr>
    </w:p>
    <w:p>
      <w:pPr>
        <w:adjustRightInd w:val="0"/>
        <w:snapToGrid w:val="0"/>
        <w:spacing w:line="360" w:lineRule="auto"/>
        <w:jc w:val="center"/>
        <w:outlineLvl w:val="0"/>
        <w:rPr>
          <w:rFonts w:hint="eastAsia"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编</w:t>
      </w:r>
      <w:bookmarkStart w:id="79" w:name="_GoBack"/>
      <w:bookmarkEnd w:id="79"/>
    </w:p>
    <w:p>
      <w:pPr>
        <w:adjustRightInd w:val="0"/>
        <w:snapToGrid w:val="0"/>
        <w:spacing w:line="360" w:lineRule="auto"/>
        <w:jc w:val="center"/>
        <w:outlineLvl w:val="0"/>
        <w:rPr>
          <w:rFonts w:hint="eastAsia"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制</w:t>
      </w:r>
    </w:p>
    <w:p>
      <w:pPr>
        <w:adjustRightInd w:val="0"/>
        <w:snapToGrid w:val="0"/>
        <w:spacing w:line="360" w:lineRule="auto"/>
        <w:jc w:val="center"/>
        <w:outlineLvl w:val="0"/>
        <w:rPr>
          <w:rFonts w:hint="eastAsia"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说</w:t>
      </w:r>
    </w:p>
    <w:p>
      <w:pPr>
        <w:adjustRightInd w:val="0"/>
        <w:snapToGrid w:val="0"/>
        <w:spacing w:line="360" w:lineRule="auto"/>
        <w:jc w:val="center"/>
        <w:outlineLvl w:val="0"/>
        <w:rPr>
          <w:rFonts w:hint="eastAsia" w:ascii="方正小标宋简体" w:hAnsi="宋体" w:eastAsia="方正小标宋简体"/>
          <w:color w:val="auto"/>
          <w:sz w:val="72"/>
          <w:szCs w:val="72"/>
        </w:rPr>
      </w:pPr>
      <w:r>
        <w:rPr>
          <w:rFonts w:hint="eastAsia" w:ascii="方正大标宋简体" w:hAnsi="方正大标宋简体" w:eastAsia="方正大标宋简体" w:cs="方正大标宋简体"/>
          <w:color w:val="auto"/>
          <w:sz w:val="72"/>
          <w:szCs w:val="72"/>
        </w:rPr>
        <w:t>明</w:t>
      </w:r>
    </w:p>
    <w:p>
      <w:pPr>
        <w:adjustRightInd w:val="0"/>
        <w:snapToGrid w:val="0"/>
        <w:spacing w:line="360" w:lineRule="auto"/>
        <w:jc w:val="center"/>
        <w:outlineLvl w:val="0"/>
        <w:rPr>
          <w:rFonts w:ascii="方正小标宋简体" w:hAnsi="宋体" w:eastAsia="方正小标宋简体"/>
          <w:color w:val="auto"/>
          <w:sz w:val="72"/>
          <w:szCs w:val="72"/>
        </w:rPr>
        <w:sectPr>
          <w:headerReference r:id="rId3" w:type="default"/>
          <w:footerReference r:id="rId4" w:type="default"/>
          <w:pgSz w:w="11906" w:h="16838"/>
          <w:pgMar w:top="2098" w:right="1531" w:bottom="1984" w:left="1531" w:header="851" w:footer="1417" w:gutter="0"/>
          <w:pgNumType w:fmt="decimal"/>
          <w:cols w:space="0" w:num="1"/>
          <w:titlePg/>
          <w:rtlGutter w:val="0"/>
          <w:docGrid w:type="lines" w:linePitch="312" w:charSpace="0"/>
        </w:sectPr>
      </w:pPr>
    </w:p>
    <w:p>
      <w:pPr>
        <w:adjustRightInd w:val="0"/>
        <w:snapToGrid w:val="0"/>
        <w:spacing w:line="360" w:lineRule="auto"/>
        <w:jc w:val="center"/>
        <w:outlineLvl w:val="0"/>
        <w:rPr>
          <w:rFonts w:ascii="方正小标宋简体" w:hAnsi="宋体" w:eastAsia="方正小标宋简体"/>
          <w:color w:val="auto"/>
          <w:sz w:val="72"/>
          <w:szCs w:val="72"/>
        </w:rPr>
        <w:sectPr>
          <w:pgSz w:w="11906" w:h="16838"/>
          <w:pgMar w:top="2098" w:right="1531" w:bottom="1984" w:left="1531" w:header="851" w:footer="1417" w:gutter="0"/>
          <w:pgNumType w:fmt="decimal"/>
          <w:cols w:space="0" w:num="1"/>
          <w:titlePg/>
          <w:rtlGutter w:val="0"/>
          <w:docGrid w:type="lines" w:linePitch="312" w:charSpace="0"/>
        </w:sectPr>
      </w:pPr>
    </w:p>
    <w:p>
      <w:pPr>
        <w:widowControl/>
        <w:jc w:val="center"/>
        <w:rPr>
          <w:rFonts w:ascii="黑体" w:hAnsi="黑体" w:eastAsia="黑体"/>
          <w:color w:val="auto"/>
          <w:sz w:val="48"/>
          <w:szCs w:val="48"/>
        </w:rPr>
      </w:pPr>
      <w:r>
        <w:rPr>
          <w:rFonts w:hint="eastAsia" w:ascii="黑体" w:hAnsi="黑体" w:eastAsia="黑体"/>
          <w:color w:val="auto"/>
          <w:sz w:val="48"/>
          <w:szCs w:val="48"/>
        </w:rPr>
        <w:t>目录</w:t>
      </w:r>
    </w:p>
    <w:p>
      <w:pPr>
        <w:widowControl/>
        <w:jc w:val="center"/>
        <w:rPr>
          <w:rFonts w:ascii="黑体" w:hAnsi="黑体" w:eastAsia="黑体" w:cs="Times New Roman"/>
          <w:color w:val="auto"/>
          <w:sz w:val="28"/>
          <w:szCs w:val="28"/>
        </w:rPr>
      </w:pPr>
      <w:r>
        <w:rPr>
          <w:rFonts w:ascii="黑体" w:hAnsi="黑体" w:eastAsia="黑体"/>
          <w:color w:val="auto"/>
          <w:sz w:val="48"/>
          <w:szCs w:val="48"/>
        </w:rPr>
        <w:fldChar w:fldCharType="begin"/>
      </w:r>
      <w:r>
        <w:rPr>
          <w:rFonts w:ascii="黑体" w:hAnsi="黑体" w:eastAsia="黑体"/>
          <w:color w:val="auto"/>
          <w:sz w:val="48"/>
          <w:szCs w:val="48"/>
        </w:rPr>
        <w:instrText xml:space="preserve"> TOC \o "1-2" \h \z \u </w:instrText>
      </w:r>
      <w:r>
        <w:rPr>
          <w:rFonts w:ascii="黑体" w:hAnsi="黑体" w:eastAsia="黑体"/>
          <w:color w:val="auto"/>
          <w:sz w:val="48"/>
          <w:szCs w:val="48"/>
        </w:rPr>
        <w:fldChar w:fldCharType="separate"/>
      </w:r>
    </w:p>
    <w:p>
      <w:pPr>
        <w:pStyle w:val="10"/>
        <w:rPr>
          <w:color w:val="auto"/>
        </w:rPr>
      </w:pPr>
      <w:r>
        <w:rPr>
          <w:rFonts w:hint="eastAsia"/>
          <w:color w:val="auto"/>
        </w:rPr>
        <w:t>公开时间：2019年9月</w:t>
      </w:r>
      <w:r>
        <w:rPr>
          <w:rFonts w:hint="default"/>
          <w:color w:val="auto"/>
          <w:lang w:val="en-US" w:eastAsia="zh-CN"/>
        </w:rPr>
        <w:t>30</w:t>
      </w:r>
      <w:r>
        <w:rPr>
          <w:rFonts w:hint="eastAsia"/>
          <w:color w:val="auto"/>
        </w:rPr>
        <w:t>日</w:t>
      </w:r>
    </w:p>
    <w:p>
      <w:pPr>
        <w:rPr>
          <w:color w:val="auto"/>
        </w:rPr>
      </w:pPr>
    </w:p>
    <w:p>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rFonts w:cs="Times New Roman"/>
          <w:color w:val="auto"/>
          <w:sz w:val="32"/>
          <w:szCs w:val="32"/>
        </w:rPr>
      </w:pPr>
      <w:r>
        <w:rPr>
          <w:color w:val="auto"/>
          <w:sz w:val="32"/>
          <w:szCs w:val="32"/>
        </w:rPr>
        <w:fldChar w:fldCharType="begin"/>
      </w:r>
      <w:r>
        <w:rPr>
          <w:color w:val="auto"/>
          <w:sz w:val="32"/>
          <w:szCs w:val="32"/>
        </w:rPr>
        <w:instrText xml:space="preserve"> HYPERLINK \l "_Toc15396599" </w:instrText>
      </w:r>
      <w:r>
        <w:rPr>
          <w:color w:val="auto"/>
          <w:sz w:val="32"/>
          <w:szCs w:val="32"/>
        </w:rPr>
        <w:fldChar w:fldCharType="separate"/>
      </w:r>
      <w:r>
        <w:rPr>
          <w:rStyle w:val="16"/>
          <w:rFonts w:hint="eastAsia"/>
          <w:color w:val="auto"/>
          <w:sz w:val="32"/>
          <w:szCs w:val="32"/>
        </w:rPr>
        <w:t>第一部分部门概况</w:t>
      </w:r>
      <w:r>
        <w:rPr>
          <w:color w:val="auto"/>
          <w:sz w:val="32"/>
          <w:szCs w:val="32"/>
        </w:rPr>
        <w:tab/>
      </w:r>
      <w:r>
        <w:rPr>
          <w:rFonts w:hint="eastAsia"/>
          <w:color w:val="auto"/>
          <w:sz w:val="32"/>
          <w:szCs w:val="32"/>
          <w:lang w:val="en-US" w:eastAsia="zh-CN"/>
        </w:rPr>
        <w:t>1</w:t>
      </w:r>
      <w:r>
        <w:rPr>
          <w:rFonts w:hint="eastAsia"/>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"_Toc15396600" </w:instrText>
      </w:r>
      <w:r>
        <w:rPr>
          <w:color w:val="auto"/>
          <w:sz w:val="32"/>
          <w:szCs w:val="32"/>
        </w:rPr>
        <w:fldChar w:fldCharType="separate"/>
      </w:r>
      <w:r>
        <w:rPr>
          <w:rStyle w:val="16"/>
          <w:rFonts w:hint="eastAsia" w:ascii="仿宋" w:hAnsi="仿宋" w:eastAsia="仿宋"/>
          <w:color w:val="auto"/>
          <w:sz w:val="32"/>
          <w:szCs w:val="32"/>
        </w:rPr>
        <w:t>一、基本职能及主要工作</w:t>
      </w:r>
      <w:r>
        <w:rPr>
          <w:rFonts w:ascii="仿宋" w:hAnsi="仿宋" w:eastAsia="仿宋"/>
          <w:color w:val="auto"/>
          <w:sz w:val="32"/>
          <w:szCs w:val="32"/>
        </w:rPr>
        <w:tab/>
      </w:r>
      <w:r>
        <w:rPr>
          <w:rFonts w:hint="eastAsia" w:ascii="仿宋" w:hAnsi="仿宋" w:eastAsia="仿宋"/>
          <w:color w:val="auto"/>
          <w:sz w:val="32"/>
          <w:szCs w:val="32"/>
          <w:lang w:val="en-US" w:eastAsia="zh-CN"/>
        </w:rPr>
        <w:t>1</w:t>
      </w:r>
      <w:r>
        <w:rPr>
          <w:rFonts w:hint="eastAsia"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"_Toc15396601" </w:instrText>
      </w:r>
      <w:r>
        <w:rPr>
          <w:color w:val="auto"/>
          <w:sz w:val="32"/>
          <w:szCs w:val="32"/>
        </w:rPr>
        <w:fldChar w:fldCharType="separate"/>
      </w:r>
      <w:r>
        <w:rPr>
          <w:rStyle w:val="16"/>
          <w:rFonts w:hint="eastAsia" w:ascii="仿宋" w:hAnsi="仿宋" w:eastAsia="仿宋"/>
          <w:color w:val="auto"/>
          <w:sz w:val="32"/>
          <w:szCs w:val="32"/>
        </w:rPr>
        <w:t>二、机构设置</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_Toc15396601 \h </w:instrText>
      </w:r>
      <w:r>
        <w:rPr>
          <w:rFonts w:ascii="仿宋" w:hAnsi="仿宋" w:eastAsia="仿宋"/>
          <w:color w:val="auto"/>
          <w:sz w:val="32"/>
          <w:szCs w:val="32"/>
        </w:rPr>
        <w:fldChar w:fldCharType="separate"/>
      </w:r>
      <w:r>
        <w:rPr>
          <w:rFonts w:ascii="仿宋" w:hAnsi="仿宋" w:eastAsia="仿宋"/>
          <w:color w:val="auto"/>
          <w:sz w:val="32"/>
          <w:szCs w:val="32"/>
        </w:rPr>
        <w:t>9</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"_Toc15396602" </w:instrText>
      </w:r>
      <w:r>
        <w:rPr>
          <w:color w:val="auto"/>
          <w:sz w:val="32"/>
          <w:szCs w:val="32"/>
        </w:rPr>
        <w:fldChar w:fldCharType="separate"/>
      </w:r>
      <w:r>
        <w:rPr>
          <w:rStyle w:val="16"/>
          <w:rFonts w:hint="eastAsia"/>
          <w:color w:val="auto"/>
          <w:sz w:val="32"/>
          <w:szCs w:val="32"/>
        </w:rPr>
        <w:t>第二部分</w:t>
      </w:r>
      <w:r>
        <w:rPr>
          <w:rStyle w:val="16"/>
          <w:color w:val="auto"/>
          <w:sz w:val="32"/>
          <w:szCs w:val="32"/>
        </w:rPr>
        <w:t xml:space="preserve"> 2018</w:t>
      </w:r>
      <w:r>
        <w:rPr>
          <w:rStyle w:val="16"/>
          <w:rFonts w:hint="eastAsia"/>
          <w:color w:val="auto"/>
          <w:sz w:val="32"/>
          <w:szCs w:val="32"/>
        </w:rPr>
        <w:t>年度部门决算情况说明</w:t>
      </w:r>
      <w:r>
        <w:rPr>
          <w:color w:val="auto"/>
          <w:sz w:val="32"/>
          <w:szCs w:val="32"/>
        </w:rPr>
        <w:tab/>
      </w:r>
      <w:r>
        <w:rPr>
          <w:color w:val="auto"/>
          <w:sz w:val="32"/>
          <w:szCs w:val="32"/>
        </w:rPr>
        <w:fldChar w:fldCharType="begin"/>
      </w:r>
      <w:r>
        <w:rPr>
          <w:color w:val="auto"/>
          <w:sz w:val="32"/>
          <w:szCs w:val="32"/>
        </w:rPr>
        <w:instrText xml:space="preserve"> PAGEREF _Toc15396602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"_Toc15396603" </w:instrText>
      </w:r>
      <w:r>
        <w:rPr>
          <w:color w:val="auto"/>
          <w:sz w:val="32"/>
          <w:szCs w:val="32"/>
        </w:rPr>
        <w:fldChar w:fldCharType="separate"/>
      </w:r>
      <w:r>
        <w:rPr>
          <w:rStyle w:val="16"/>
          <w:rFonts w:hint="eastAsia" w:ascii="仿宋" w:hAnsi="仿宋" w:eastAsia="仿宋" w:cs="Times New Roman"/>
          <w:bCs/>
          <w:color w:val="auto"/>
          <w:sz w:val="32"/>
          <w:szCs w:val="32"/>
        </w:rPr>
        <w:t>一、</w:t>
      </w:r>
      <w:r>
        <w:rPr>
          <w:rStyle w:val="16"/>
          <w:rFonts w:hint="eastAsia" w:ascii="仿宋" w:hAnsi="仿宋" w:eastAsia="仿宋"/>
          <w:color w:val="auto"/>
          <w:sz w:val="32"/>
          <w:szCs w:val="32"/>
        </w:rPr>
        <w:t>收</w:t>
      </w:r>
      <w:r>
        <w:rPr>
          <w:rStyle w:val="16"/>
          <w:rFonts w:hint="eastAsia" w:ascii="仿宋" w:hAnsi="仿宋" w:eastAsia="仿宋" w:cs="Times New Roman"/>
          <w:bCs/>
          <w:color w:val="auto"/>
          <w:sz w:val="32"/>
          <w:szCs w:val="32"/>
        </w:rPr>
        <w:t>入支出决算总体情况说明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_Toc15396603 \h </w:instrText>
      </w:r>
      <w:r>
        <w:rPr>
          <w:rFonts w:ascii="仿宋" w:hAnsi="仿宋" w:eastAsia="仿宋"/>
          <w:color w:val="auto"/>
          <w:sz w:val="32"/>
          <w:szCs w:val="32"/>
        </w:rPr>
        <w:fldChar w:fldCharType="separate"/>
      </w:r>
      <w:r>
        <w:rPr>
          <w:rFonts w:ascii="仿宋" w:hAnsi="仿宋" w:eastAsia="仿宋"/>
          <w:color w:val="auto"/>
          <w:sz w:val="32"/>
          <w:szCs w:val="32"/>
        </w:rPr>
        <w:t>10</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"_Toc15396604" </w:instrText>
      </w:r>
      <w:r>
        <w:rPr>
          <w:color w:val="auto"/>
          <w:sz w:val="32"/>
          <w:szCs w:val="32"/>
        </w:rPr>
        <w:fldChar w:fldCharType="separate"/>
      </w:r>
      <w:r>
        <w:rPr>
          <w:rStyle w:val="16"/>
          <w:rFonts w:hint="eastAsia" w:ascii="仿宋" w:hAnsi="仿宋" w:eastAsia="仿宋" w:cs="Times New Roman"/>
          <w:bCs/>
          <w:color w:val="auto"/>
          <w:sz w:val="32"/>
          <w:szCs w:val="32"/>
        </w:rPr>
        <w:t>二、</w:t>
      </w:r>
      <w:r>
        <w:rPr>
          <w:rStyle w:val="16"/>
          <w:rFonts w:hint="eastAsia" w:ascii="仿宋" w:hAnsi="仿宋" w:eastAsia="仿宋"/>
          <w:color w:val="auto"/>
          <w:sz w:val="32"/>
          <w:szCs w:val="32"/>
        </w:rPr>
        <w:t>收</w:t>
      </w:r>
      <w:r>
        <w:rPr>
          <w:rStyle w:val="16"/>
          <w:rFonts w:hint="eastAsia" w:ascii="仿宋" w:hAnsi="仿宋" w:eastAsia="仿宋" w:cs="Times New Roman"/>
          <w:bCs/>
          <w:color w:val="auto"/>
          <w:sz w:val="32"/>
          <w:szCs w:val="32"/>
        </w:rPr>
        <w:t>入决算情况说明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_Toc15396604 \h </w:instrText>
      </w:r>
      <w:r>
        <w:rPr>
          <w:rFonts w:ascii="仿宋" w:hAnsi="仿宋" w:eastAsia="仿宋"/>
          <w:color w:val="auto"/>
          <w:sz w:val="32"/>
          <w:szCs w:val="32"/>
        </w:rPr>
        <w:fldChar w:fldCharType="separate"/>
      </w:r>
      <w:r>
        <w:rPr>
          <w:rFonts w:ascii="仿宋" w:hAnsi="仿宋" w:eastAsia="仿宋"/>
          <w:color w:val="auto"/>
          <w:sz w:val="32"/>
          <w:szCs w:val="32"/>
        </w:rPr>
        <w:t>10</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"_Toc15396605" </w:instrText>
      </w:r>
      <w:r>
        <w:rPr>
          <w:color w:val="auto"/>
          <w:sz w:val="32"/>
          <w:szCs w:val="32"/>
        </w:rPr>
        <w:fldChar w:fldCharType="separate"/>
      </w:r>
      <w:r>
        <w:rPr>
          <w:rStyle w:val="16"/>
          <w:rFonts w:hint="eastAsia" w:ascii="仿宋" w:hAnsi="仿宋" w:eastAsia="仿宋" w:cs="Times New Roman"/>
          <w:bCs/>
          <w:color w:val="auto"/>
          <w:sz w:val="32"/>
          <w:szCs w:val="32"/>
        </w:rPr>
        <w:t>三、</w:t>
      </w:r>
      <w:r>
        <w:rPr>
          <w:rStyle w:val="16"/>
          <w:rFonts w:hint="eastAsia" w:ascii="仿宋" w:hAnsi="仿宋" w:eastAsia="仿宋"/>
          <w:color w:val="auto"/>
          <w:sz w:val="32"/>
          <w:szCs w:val="32"/>
        </w:rPr>
        <w:t>支</w:t>
      </w:r>
      <w:r>
        <w:rPr>
          <w:rStyle w:val="16"/>
          <w:rFonts w:hint="eastAsia" w:ascii="仿宋" w:hAnsi="仿宋" w:eastAsia="仿宋" w:cs="Times New Roman"/>
          <w:bCs/>
          <w:color w:val="auto"/>
          <w:sz w:val="32"/>
          <w:szCs w:val="32"/>
        </w:rPr>
        <w:t>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_Toc15396605 \h </w:instrText>
      </w:r>
      <w:r>
        <w:rPr>
          <w:rFonts w:ascii="仿宋" w:hAnsi="仿宋" w:eastAsia="仿宋"/>
          <w:color w:val="auto"/>
          <w:sz w:val="32"/>
          <w:szCs w:val="32"/>
        </w:rPr>
        <w:fldChar w:fldCharType="separate"/>
      </w:r>
      <w:r>
        <w:rPr>
          <w:rFonts w:ascii="仿宋" w:hAnsi="仿宋" w:eastAsia="仿宋"/>
          <w:color w:val="auto"/>
          <w:sz w:val="32"/>
          <w:szCs w:val="32"/>
        </w:rPr>
        <w:t>11</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"_Toc15396606" </w:instrText>
      </w:r>
      <w:r>
        <w:rPr>
          <w:color w:val="auto"/>
          <w:sz w:val="32"/>
          <w:szCs w:val="32"/>
        </w:rPr>
        <w:fldChar w:fldCharType="separate"/>
      </w:r>
      <w:r>
        <w:rPr>
          <w:rStyle w:val="16"/>
          <w:rFonts w:hint="eastAsia" w:ascii="仿宋" w:hAnsi="仿宋" w:eastAsia="仿宋"/>
          <w:color w:val="auto"/>
          <w:sz w:val="32"/>
          <w:szCs w:val="32"/>
        </w:rPr>
        <w:t>四、财</w:t>
      </w:r>
      <w:r>
        <w:rPr>
          <w:rStyle w:val="16"/>
          <w:rFonts w:hint="eastAsia" w:ascii="仿宋" w:hAnsi="仿宋" w:eastAsia="仿宋" w:cs="Times New Roman"/>
          <w:bCs/>
          <w:color w:val="auto"/>
          <w:sz w:val="32"/>
          <w:szCs w:val="32"/>
        </w:rPr>
        <w:t>政拨款收入支出决算总体情况说明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_Toc15396606 \h </w:instrText>
      </w:r>
      <w:r>
        <w:rPr>
          <w:rFonts w:ascii="仿宋" w:hAnsi="仿宋" w:eastAsia="仿宋"/>
          <w:color w:val="auto"/>
          <w:sz w:val="32"/>
          <w:szCs w:val="32"/>
        </w:rPr>
        <w:fldChar w:fldCharType="separate"/>
      </w:r>
      <w:r>
        <w:rPr>
          <w:rFonts w:ascii="仿宋" w:hAnsi="仿宋" w:eastAsia="仿宋"/>
          <w:color w:val="auto"/>
          <w:sz w:val="32"/>
          <w:szCs w:val="32"/>
        </w:rPr>
        <w:t>12</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"_Toc15396607" </w:instrText>
      </w:r>
      <w:r>
        <w:rPr>
          <w:color w:val="auto"/>
          <w:sz w:val="32"/>
          <w:szCs w:val="32"/>
        </w:rPr>
        <w:fldChar w:fldCharType="separate"/>
      </w:r>
      <w:r>
        <w:rPr>
          <w:rStyle w:val="16"/>
          <w:rFonts w:hint="eastAsia" w:ascii="仿宋" w:hAnsi="仿宋" w:eastAsia="仿宋"/>
          <w:color w:val="auto"/>
          <w:sz w:val="32"/>
          <w:szCs w:val="32"/>
        </w:rPr>
        <w:t>五、一</w:t>
      </w:r>
      <w:r>
        <w:rPr>
          <w:rStyle w:val="16"/>
          <w:rFonts w:hint="eastAsia" w:ascii="仿宋" w:hAnsi="仿宋" w:eastAsia="仿宋" w:cs="Times New Roman"/>
          <w:bCs/>
          <w:color w:val="auto"/>
          <w:sz w:val="32"/>
          <w:szCs w:val="32"/>
        </w:rPr>
        <w:t>般公共预算财政拨款支出决算情况说明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_Toc15396607 \h </w:instrText>
      </w:r>
      <w:r>
        <w:rPr>
          <w:rFonts w:ascii="仿宋" w:hAnsi="仿宋" w:eastAsia="仿宋"/>
          <w:color w:val="auto"/>
          <w:sz w:val="32"/>
          <w:szCs w:val="32"/>
        </w:rPr>
        <w:fldChar w:fldCharType="separate"/>
      </w:r>
      <w:r>
        <w:rPr>
          <w:rFonts w:ascii="仿宋" w:hAnsi="仿宋" w:eastAsia="仿宋"/>
          <w:color w:val="auto"/>
          <w:sz w:val="32"/>
          <w:szCs w:val="32"/>
        </w:rPr>
        <w:t>12</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"_Toc15396608" </w:instrText>
      </w:r>
      <w:r>
        <w:rPr>
          <w:color w:val="auto"/>
          <w:sz w:val="32"/>
          <w:szCs w:val="32"/>
        </w:rPr>
        <w:fldChar w:fldCharType="separate"/>
      </w:r>
      <w:r>
        <w:rPr>
          <w:rStyle w:val="16"/>
          <w:rFonts w:hint="eastAsia" w:ascii="仿宋" w:hAnsi="仿宋" w:eastAsia="仿宋"/>
          <w:color w:val="auto"/>
          <w:sz w:val="32"/>
          <w:szCs w:val="32"/>
        </w:rPr>
        <w:t>六、一</w:t>
      </w:r>
      <w:r>
        <w:rPr>
          <w:rStyle w:val="16"/>
          <w:rFonts w:hint="eastAsia" w:ascii="仿宋" w:hAnsi="仿宋" w:eastAsia="仿宋" w:cs="Times New Roman"/>
          <w:bCs/>
          <w:color w:val="auto"/>
          <w:sz w:val="32"/>
          <w:szCs w:val="32"/>
        </w:rPr>
        <w:t>般公共预算财政拨款基本支出决算情况说明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_Toc15396608 \h </w:instrText>
      </w:r>
      <w:r>
        <w:rPr>
          <w:rFonts w:ascii="仿宋" w:hAnsi="仿宋" w:eastAsia="仿宋"/>
          <w:color w:val="auto"/>
          <w:sz w:val="32"/>
          <w:szCs w:val="32"/>
        </w:rPr>
        <w:fldChar w:fldCharType="separate"/>
      </w:r>
      <w:r>
        <w:rPr>
          <w:rFonts w:ascii="仿宋" w:hAnsi="仿宋" w:eastAsia="仿宋"/>
          <w:color w:val="auto"/>
          <w:sz w:val="32"/>
          <w:szCs w:val="32"/>
        </w:rPr>
        <w:t>15</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"_Toc15396609" </w:instrText>
      </w:r>
      <w:r>
        <w:rPr>
          <w:color w:val="auto"/>
          <w:sz w:val="32"/>
          <w:szCs w:val="32"/>
        </w:rPr>
        <w:fldChar w:fldCharType="separate"/>
      </w:r>
      <w:r>
        <w:rPr>
          <w:rStyle w:val="16"/>
          <w:rFonts w:hint="eastAsia" w:ascii="仿宋" w:hAnsi="仿宋" w:eastAsia="仿宋"/>
          <w:color w:val="auto"/>
          <w:sz w:val="32"/>
          <w:szCs w:val="32"/>
        </w:rPr>
        <w:t>七、</w:t>
      </w:r>
      <w:r>
        <w:rPr>
          <w:rStyle w:val="16"/>
          <w:rFonts w:ascii="仿宋" w:hAnsi="仿宋" w:eastAsia="仿宋"/>
          <w:color w:val="auto"/>
          <w:sz w:val="32"/>
          <w:szCs w:val="32"/>
        </w:rPr>
        <w:t>“</w:t>
      </w:r>
      <w:r>
        <w:rPr>
          <w:rStyle w:val="16"/>
          <w:rFonts w:hint="eastAsia" w:ascii="仿宋" w:hAnsi="仿宋" w:eastAsia="仿宋" w:cs="Times New Roman"/>
          <w:bCs/>
          <w:color w:val="auto"/>
          <w:sz w:val="32"/>
          <w:szCs w:val="32"/>
        </w:rPr>
        <w:t>三公”经费财政拨款支出决算情况说明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_Toc15396609 \h </w:instrText>
      </w:r>
      <w:r>
        <w:rPr>
          <w:rFonts w:ascii="仿宋" w:hAnsi="仿宋" w:eastAsia="仿宋"/>
          <w:color w:val="auto"/>
          <w:sz w:val="32"/>
          <w:szCs w:val="32"/>
        </w:rPr>
        <w:fldChar w:fldCharType="separate"/>
      </w:r>
      <w:r>
        <w:rPr>
          <w:rFonts w:ascii="仿宋" w:hAnsi="仿宋" w:eastAsia="仿宋"/>
          <w:color w:val="auto"/>
          <w:sz w:val="32"/>
          <w:szCs w:val="32"/>
        </w:rPr>
        <w:t>15</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"_Toc15396610" </w:instrText>
      </w:r>
      <w:r>
        <w:rPr>
          <w:color w:val="auto"/>
          <w:sz w:val="32"/>
          <w:szCs w:val="32"/>
        </w:rPr>
        <w:fldChar w:fldCharType="separate"/>
      </w:r>
      <w:r>
        <w:rPr>
          <w:rStyle w:val="16"/>
          <w:rFonts w:hint="eastAsia" w:ascii="仿宋" w:hAnsi="仿宋" w:eastAsia="仿宋"/>
          <w:color w:val="auto"/>
          <w:sz w:val="32"/>
          <w:szCs w:val="32"/>
        </w:rPr>
        <w:t>八、</w:t>
      </w:r>
      <w:r>
        <w:rPr>
          <w:rStyle w:val="16"/>
          <w:rFonts w:hint="eastAsia" w:ascii="仿宋" w:hAnsi="仿宋" w:eastAsia="仿宋" w:cs="Times New Roman"/>
          <w:bCs/>
          <w:color w:val="auto"/>
          <w:sz w:val="32"/>
          <w:szCs w:val="32"/>
        </w:rPr>
        <w:t>政府性基金预算支出决算情况说明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_Toc15396610 \h </w:instrText>
      </w:r>
      <w:r>
        <w:rPr>
          <w:rFonts w:ascii="仿宋" w:hAnsi="仿宋" w:eastAsia="仿宋"/>
          <w:color w:val="auto"/>
          <w:sz w:val="32"/>
          <w:szCs w:val="32"/>
        </w:rPr>
        <w:fldChar w:fldCharType="separate"/>
      </w:r>
      <w:r>
        <w:rPr>
          <w:rFonts w:ascii="仿宋" w:hAnsi="仿宋" w:eastAsia="仿宋"/>
          <w:color w:val="auto"/>
          <w:sz w:val="32"/>
          <w:szCs w:val="32"/>
        </w:rPr>
        <w:t>17</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color w:val="auto"/>
          <w:sz w:val="32"/>
          <w:szCs w:val="32"/>
        </w:rPr>
        <w:fldChar w:fldCharType="begin"/>
      </w:r>
      <w:r>
        <w:rPr>
          <w:color w:val="auto"/>
          <w:sz w:val="32"/>
          <w:szCs w:val="32"/>
        </w:rPr>
        <w:instrText xml:space="preserve"> HYPERLINK \l "_Toc15396611" </w:instrText>
      </w:r>
      <w:r>
        <w:rPr>
          <w:color w:val="auto"/>
          <w:sz w:val="32"/>
          <w:szCs w:val="32"/>
        </w:rPr>
        <w:fldChar w:fldCharType="separate"/>
      </w:r>
      <w:r>
        <w:rPr>
          <w:rStyle w:val="16"/>
          <w:rFonts w:hint="eastAsia" w:ascii="仿宋" w:hAnsi="仿宋" w:eastAsia="仿宋" w:cs="Times New Roman"/>
          <w:bCs/>
          <w:color w:val="auto"/>
          <w:sz w:val="32"/>
          <w:szCs w:val="32"/>
        </w:rPr>
        <w:t>九、</w:t>
      </w:r>
      <w:r>
        <w:rPr>
          <w:rStyle w:val="16"/>
          <w:rFonts w:hint="eastAsia" w:ascii="仿宋" w:hAnsi="仿宋" w:eastAsia="仿宋"/>
          <w:color w:val="auto"/>
          <w:sz w:val="32"/>
          <w:szCs w:val="32"/>
        </w:rPr>
        <w:t xml:space="preserve"> 国</w:t>
      </w:r>
      <w:r>
        <w:rPr>
          <w:rStyle w:val="16"/>
          <w:rFonts w:hint="eastAsia" w:ascii="仿宋" w:hAnsi="仿宋" w:eastAsia="仿宋" w:cs="Times New Roman"/>
          <w:bCs/>
          <w:color w:val="auto"/>
          <w:sz w:val="32"/>
          <w:szCs w:val="32"/>
        </w:rPr>
        <w:t>有资本经营预算支出决算情况说明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_Toc15396611 \h </w:instrText>
      </w:r>
      <w:r>
        <w:rPr>
          <w:rFonts w:ascii="仿宋" w:hAnsi="仿宋" w:eastAsia="仿宋"/>
          <w:color w:val="auto"/>
          <w:sz w:val="32"/>
          <w:szCs w:val="32"/>
        </w:rPr>
        <w:fldChar w:fldCharType="separate"/>
      </w:r>
      <w:r>
        <w:rPr>
          <w:rFonts w:ascii="仿宋" w:hAnsi="仿宋" w:eastAsia="仿宋"/>
          <w:color w:val="auto"/>
          <w:sz w:val="32"/>
          <w:szCs w:val="32"/>
        </w:rPr>
        <w:t>17</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color w:val="auto"/>
          <w:sz w:val="32"/>
          <w:szCs w:val="32"/>
        </w:rPr>
        <w:fldChar w:fldCharType="begin"/>
      </w:r>
      <w:r>
        <w:rPr>
          <w:color w:val="auto"/>
          <w:sz w:val="32"/>
          <w:szCs w:val="32"/>
        </w:rPr>
        <w:instrText xml:space="preserve"> HYPERLINK \l "_Toc15396611" </w:instrText>
      </w:r>
      <w:r>
        <w:rPr>
          <w:color w:val="auto"/>
          <w:sz w:val="32"/>
          <w:szCs w:val="32"/>
        </w:rPr>
        <w:fldChar w:fldCharType="separate"/>
      </w:r>
      <w:r>
        <w:rPr>
          <w:rStyle w:val="16"/>
          <w:rFonts w:hint="eastAsia" w:ascii="仿宋" w:hAnsi="仿宋" w:eastAsia="仿宋" w:cs="Times New Roman"/>
          <w:bCs/>
          <w:color w:val="auto"/>
          <w:sz w:val="32"/>
          <w:szCs w:val="32"/>
          <w:lang w:val="en-US" w:eastAsia="zh-CN"/>
        </w:rPr>
        <w:t>十</w:t>
      </w:r>
      <w:r>
        <w:rPr>
          <w:rStyle w:val="16"/>
          <w:rFonts w:hint="eastAsia" w:ascii="仿宋" w:hAnsi="仿宋" w:eastAsia="仿宋" w:cs="Times New Roman"/>
          <w:bCs/>
          <w:color w:val="auto"/>
          <w:sz w:val="32"/>
          <w:szCs w:val="32"/>
        </w:rPr>
        <w:t>、</w:t>
      </w:r>
      <w:r>
        <w:rPr>
          <w:rStyle w:val="16"/>
          <w:rFonts w:hint="eastAsia" w:ascii="仿宋" w:hAnsi="仿宋" w:eastAsia="仿宋"/>
          <w:color w:val="auto"/>
          <w:sz w:val="32"/>
          <w:szCs w:val="32"/>
        </w:rPr>
        <w:t xml:space="preserve"> </w:t>
      </w:r>
      <w:r>
        <w:rPr>
          <w:rStyle w:val="16"/>
          <w:rFonts w:hint="eastAsia" w:ascii="仿宋" w:hAnsi="仿宋" w:eastAsia="仿宋"/>
          <w:color w:val="auto"/>
          <w:sz w:val="32"/>
          <w:szCs w:val="32"/>
          <w:lang w:eastAsia="zh-CN"/>
        </w:rPr>
        <w:t>预算绩效</w:t>
      </w:r>
      <w:r>
        <w:rPr>
          <w:rStyle w:val="16"/>
          <w:rFonts w:hint="eastAsia" w:ascii="仿宋" w:hAnsi="仿宋" w:eastAsia="仿宋" w:cs="Times New Roman"/>
          <w:bCs/>
          <w:color w:val="auto"/>
          <w:sz w:val="32"/>
          <w:szCs w:val="32"/>
        </w:rPr>
        <w:t>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_Toc15396611 \h </w:instrText>
      </w:r>
      <w:r>
        <w:rPr>
          <w:rFonts w:ascii="仿宋" w:hAnsi="仿宋" w:eastAsia="仿宋"/>
          <w:color w:val="auto"/>
          <w:sz w:val="32"/>
          <w:szCs w:val="32"/>
        </w:rPr>
        <w:fldChar w:fldCharType="separate"/>
      </w:r>
      <w:r>
        <w:rPr>
          <w:rFonts w:ascii="仿宋" w:hAnsi="仿宋" w:eastAsia="仿宋"/>
          <w:color w:val="auto"/>
          <w:sz w:val="32"/>
          <w:szCs w:val="32"/>
        </w:rPr>
        <w:t>17</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color w:val="auto"/>
          <w:sz w:val="32"/>
          <w:szCs w:val="32"/>
        </w:rPr>
      </w:pPr>
      <w:r>
        <w:rPr>
          <w:color w:val="auto"/>
          <w:sz w:val="32"/>
          <w:szCs w:val="32"/>
        </w:rPr>
        <w:fldChar w:fldCharType="begin"/>
      </w:r>
      <w:r>
        <w:rPr>
          <w:color w:val="auto"/>
          <w:sz w:val="32"/>
          <w:szCs w:val="32"/>
        </w:rPr>
        <w:instrText xml:space="preserve"> HYPERLINK \l "_Toc15396612" </w:instrText>
      </w:r>
      <w:r>
        <w:rPr>
          <w:color w:val="auto"/>
          <w:sz w:val="32"/>
          <w:szCs w:val="32"/>
        </w:rPr>
        <w:fldChar w:fldCharType="separate"/>
      </w:r>
      <w:r>
        <w:rPr>
          <w:rStyle w:val="16"/>
          <w:rFonts w:hint="eastAsia" w:ascii="仿宋" w:hAnsi="仿宋" w:eastAsia="仿宋"/>
          <w:color w:val="auto"/>
          <w:sz w:val="32"/>
          <w:szCs w:val="32"/>
        </w:rPr>
        <w:t>十</w:t>
      </w:r>
      <w:r>
        <w:rPr>
          <w:rStyle w:val="16"/>
          <w:rFonts w:hint="eastAsia" w:ascii="仿宋" w:hAnsi="仿宋" w:eastAsia="仿宋" w:cs="Times New Roman"/>
          <w:bCs/>
          <w:color w:val="auto"/>
          <w:sz w:val="32"/>
          <w:szCs w:val="32"/>
        </w:rPr>
        <w:t>一、其他重要事项的情况说明</w:t>
      </w:r>
      <w:r>
        <w:rPr>
          <w:rFonts w:ascii="仿宋" w:hAnsi="仿宋" w:eastAsia="仿宋"/>
          <w:color w:val="auto"/>
          <w:sz w:val="32"/>
          <w:szCs w:val="32"/>
        </w:rPr>
        <w:tab/>
      </w:r>
      <w:r>
        <w:rPr>
          <w:rFonts w:ascii="仿宋" w:hAnsi="仿宋" w:eastAsia="仿宋"/>
          <w:color w:val="auto"/>
          <w:sz w:val="32"/>
          <w:szCs w:val="32"/>
        </w:rPr>
        <w:fldChar w:fldCharType="begin"/>
      </w:r>
      <w:r>
        <w:rPr>
          <w:rFonts w:ascii="仿宋" w:hAnsi="仿宋" w:eastAsia="仿宋"/>
          <w:color w:val="auto"/>
          <w:sz w:val="32"/>
          <w:szCs w:val="32"/>
        </w:rPr>
        <w:instrText xml:space="preserve"> PAGEREF _Toc15396612 \h </w:instrText>
      </w:r>
      <w:r>
        <w:rPr>
          <w:rFonts w:ascii="仿宋" w:hAnsi="仿宋" w:eastAsia="仿宋"/>
          <w:color w:val="auto"/>
          <w:sz w:val="32"/>
          <w:szCs w:val="32"/>
        </w:rPr>
        <w:fldChar w:fldCharType="separate"/>
      </w:r>
      <w:r>
        <w:rPr>
          <w:rFonts w:ascii="仿宋" w:hAnsi="仿宋" w:eastAsia="仿宋"/>
          <w:color w:val="auto"/>
          <w:sz w:val="32"/>
          <w:szCs w:val="32"/>
        </w:rPr>
        <w:t>25</w:t>
      </w:r>
      <w:r>
        <w:rPr>
          <w:rFonts w:ascii="仿宋" w:hAnsi="仿宋" w:eastAsia="仿宋"/>
          <w:color w:val="auto"/>
          <w:sz w:val="32"/>
          <w:szCs w:val="32"/>
        </w:rPr>
        <w:fldChar w:fldCharType="end"/>
      </w:r>
      <w:r>
        <w:rPr>
          <w:rFonts w:ascii="仿宋" w:hAnsi="仿宋" w:eastAsia="仿宋"/>
          <w:color w:val="auto"/>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rFonts w:cs="Times New Roman"/>
          <w:color w:val="auto"/>
          <w:sz w:val="32"/>
          <w:szCs w:val="32"/>
        </w:rPr>
      </w:pPr>
      <w:r>
        <w:rPr>
          <w:color w:val="auto"/>
          <w:sz w:val="32"/>
          <w:szCs w:val="32"/>
        </w:rPr>
        <w:fldChar w:fldCharType="begin"/>
      </w:r>
      <w:r>
        <w:rPr>
          <w:color w:val="auto"/>
          <w:sz w:val="32"/>
          <w:szCs w:val="32"/>
        </w:rPr>
        <w:instrText xml:space="preserve"> HYPERLINK \l "_Toc15396613" </w:instrText>
      </w:r>
      <w:r>
        <w:rPr>
          <w:color w:val="auto"/>
          <w:sz w:val="32"/>
          <w:szCs w:val="32"/>
        </w:rPr>
        <w:fldChar w:fldCharType="separate"/>
      </w:r>
      <w:r>
        <w:rPr>
          <w:rStyle w:val="16"/>
          <w:rFonts w:hint="eastAsia"/>
          <w:bCs/>
          <w:color w:val="auto"/>
          <w:kern w:val="44"/>
          <w:sz w:val="32"/>
          <w:szCs w:val="32"/>
        </w:rPr>
        <w:t>第三部分</w:t>
      </w:r>
      <w:r>
        <w:rPr>
          <w:rStyle w:val="16"/>
          <w:rFonts w:hint="eastAsia"/>
          <w:color w:val="auto"/>
          <w:sz w:val="32"/>
          <w:szCs w:val="32"/>
        </w:rPr>
        <w:t xml:space="preserve"> 名</w:t>
      </w:r>
      <w:r>
        <w:rPr>
          <w:rStyle w:val="16"/>
          <w:rFonts w:hint="eastAsia"/>
          <w:bCs/>
          <w:color w:val="auto"/>
          <w:kern w:val="44"/>
          <w:sz w:val="32"/>
          <w:szCs w:val="32"/>
        </w:rPr>
        <w:t>词解释</w:t>
      </w:r>
      <w:r>
        <w:rPr>
          <w:color w:val="auto"/>
          <w:sz w:val="32"/>
          <w:szCs w:val="32"/>
        </w:rPr>
        <w:tab/>
      </w:r>
      <w:r>
        <w:rPr>
          <w:color w:val="auto"/>
          <w:sz w:val="32"/>
          <w:szCs w:val="32"/>
        </w:rPr>
        <w:fldChar w:fldCharType="begin"/>
      </w:r>
      <w:r>
        <w:rPr>
          <w:color w:val="auto"/>
          <w:sz w:val="32"/>
          <w:szCs w:val="32"/>
        </w:rPr>
        <w:instrText xml:space="preserve"> PAGEREF _Toc15396613 \h </w:instrText>
      </w:r>
      <w:r>
        <w:rPr>
          <w:color w:val="auto"/>
          <w:sz w:val="32"/>
          <w:szCs w:val="32"/>
        </w:rPr>
        <w:fldChar w:fldCharType="separate"/>
      </w:r>
      <w:r>
        <w:rPr>
          <w:color w:val="auto"/>
          <w:sz w:val="32"/>
          <w:szCs w:val="32"/>
        </w:rPr>
        <w:t>26</w:t>
      </w:r>
      <w:r>
        <w:rPr>
          <w:color w:val="auto"/>
          <w:sz w:val="32"/>
          <w:szCs w:val="32"/>
        </w:rPr>
        <w:fldChar w:fldCharType="end"/>
      </w:r>
      <w:r>
        <w:rPr>
          <w:color w:val="auto"/>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eastAsia="仿宋" w:cs="Times New Roman"/>
          <w:color w:val="auto"/>
          <w:sz w:val="32"/>
          <w:szCs w:val="32"/>
          <w:lang w:val="en-US" w:eastAsia="zh-CN"/>
        </w:rPr>
      </w:pPr>
      <w:r>
        <w:rPr>
          <w:color w:val="auto"/>
          <w:sz w:val="32"/>
          <w:szCs w:val="32"/>
        </w:rPr>
        <w:fldChar w:fldCharType="begin"/>
      </w:r>
      <w:r>
        <w:rPr>
          <w:color w:val="auto"/>
          <w:sz w:val="32"/>
          <w:szCs w:val="32"/>
        </w:rPr>
        <w:instrText xml:space="preserve"> HYPERLINK \l "_Toc15396614" </w:instrText>
      </w:r>
      <w:r>
        <w:rPr>
          <w:color w:val="auto"/>
          <w:sz w:val="32"/>
          <w:szCs w:val="32"/>
        </w:rPr>
        <w:fldChar w:fldCharType="separate"/>
      </w:r>
      <w:r>
        <w:rPr>
          <w:rStyle w:val="16"/>
          <w:rFonts w:hint="eastAsia"/>
          <w:color w:val="auto"/>
          <w:sz w:val="32"/>
          <w:szCs w:val="32"/>
        </w:rPr>
        <w:t>第</w:t>
      </w:r>
      <w:r>
        <w:rPr>
          <w:rStyle w:val="16"/>
          <w:rFonts w:hint="eastAsia"/>
          <w:bCs/>
          <w:color w:val="auto"/>
          <w:kern w:val="44"/>
          <w:sz w:val="32"/>
          <w:szCs w:val="32"/>
        </w:rPr>
        <w:t>四部分附件</w:t>
      </w:r>
      <w:r>
        <w:rPr>
          <w:color w:val="auto"/>
          <w:sz w:val="32"/>
          <w:szCs w:val="32"/>
        </w:rPr>
        <w:tab/>
      </w:r>
      <w:r>
        <w:rPr>
          <w:rFonts w:hint="eastAsia"/>
          <w:color w:val="auto"/>
          <w:sz w:val="32"/>
          <w:szCs w:val="32"/>
          <w:lang w:val="en-US" w:eastAsia="zh-CN"/>
        </w:rPr>
        <w:t>2</w:t>
      </w:r>
      <w:r>
        <w:rPr>
          <w:color w:val="auto"/>
          <w:sz w:val="32"/>
          <w:szCs w:val="32"/>
        </w:rPr>
        <w:fldChar w:fldCharType="end"/>
      </w:r>
      <w:r>
        <w:rPr>
          <w:rFonts w:hint="eastAsia"/>
          <w:color w:val="auto"/>
          <w:sz w:val="32"/>
          <w:szCs w:val="32"/>
          <w:lang w:val="en-US" w:eastAsia="zh-CN"/>
        </w:rPr>
        <w:t>9</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lang w:val="en-US" w:eastAsia="zh-CN"/>
        </w:rPr>
      </w:pPr>
      <w:r>
        <w:rPr>
          <w:color w:val="auto"/>
          <w:sz w:val="32"/>
          <w:szCs w:val="32"/>
        </w:rPr>
        <w:fldChar w:fldCharType="begin"/>
      </w:r>
      <w:r>
        <w:rPr>
          <w:color w:val="auto"/>
          <w:sz w:val="32"/>
          <w:szCs w:val="32"/>
        </w:rPr>
        <w:instrText xml:space="preserve"> HYPERLINK \l "_Toc15396615" </w:instrText>
      </w:r>
      <w:r>
        <w:rPr>
          <w:color w:val="auto"/>
          <w:sz w:val="32"/>
          <w:szCs w:val="32"/>
        </w:rPr>
        <w:fldChar w:fldCharType="separate"/>
      </w:r>
      <w:r>
        <w:rPr>
          <w:rStyle w:val="16"/>
          <w:rFonts w:hint="eastAsia" w:ascii="仿宋" w:hAnsi="仿宋" w:eastAsia="仿宋"/>
          <w:color w:val="auto"/>
          <w:kern w:val="44"/>
          <w:sz w:val="32"/>
          <w:szCs w:val="32"/>
        </w:rPr>
        <w:t>附件</w:t>
      </w:r>
      <w:r>
        <w:rPr>
          <w:rStyle w:val="16"/>
          <w:rFonts w:ascii="仿宋" w:hAnsi="仿宋" w:eastAsia="仿宋"/>
          <w:color w:val="auto"/>
          <w:kern w:val="44"/>
          <w:sz w:val="32"/>
          <w:szCs w:val="32"/>
        </w:rPr>
        <w:t>1</w:t>
      </w:r>
      <w:r>
        <w:rPr>
          <w:rFonts w:ascii="仿宋" w:hAnsi="仿宋" w:eastAsia="仿宋"/>
          <w:color w:val="auto"/>
          <w:sz w:val="32"/>
          <w:szCs w:val="32"/>
        </w:rPr>
        <w:tab/>
      </w:r>
      <w:r>
        <w:rPr>
          <w:rFonts w:hint="eastAsia" w:ascii="仿宋" w:hAnsi="仿宋" w:eastAsia="仿宋"/>
          <w:color w:val="auto"/>
          <w:sz w:val="32"/>
          <w:szCs w:val="32"/>
          <w:lang w:val="en-US" w:eastAsia="zh-CN"/>
        </w:rPr>
        <w:t>2</w:t>
      </w:r>
      <w:r>
        <w:rPr>
          <w:rFonts w:ascii="仿宋" w:hAnsi="仿宋" w:eastAsia="仿宋"/>
          <w:color w:val="auto"/>
          <w:sz w:val="32"/>
          <w:szCs w:val="32"/>
        </w:rPr>
        <w:fldChar w:fldCharType="end"/>
      </w:r>
      <w:r>
        <w:rPr>
          <w:rFonts w:hint="eastAsia" w:ascii="仿宋" w:hAnsi="仿宋" w:eastAsia="仿宋"/>
          <w:color w:val="auto"/>
          <w:sz w:val="32"/>
          <w:szCs w:val="32"/>
          <w:lang w:val="en-US" w:eastAsia="zh-CN"/>
        </w:rPr>
        <w:t>9</w:t>
      </w:r>
    </w:p>
    <w:p>
      <w:pPr>
        <w:pStyle w:val="10"/>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eastAsia="仿宋" w:cs="Times New Roman"/>
          <w:color w:val="auto"/>
          <w:sz w:val="32"/>
          <w:szCs w:val="32"/>
          <w:lang w:val="en-US" w:eastAsia="zh-CN"/>
        </w:rPr>
      </w:pPr>
      <w:r>
        <w:rPr>
          <w:color w:val="auto"/>
          <w:sz w:val="32"/>
          <w:szCs w:val="32"/>
        </w:rPr>
        <w:fldChar w:fldCharType="begin"/>
      </w:r>
      <w:r>
        <w:rPr>
          <w:color w:val="auto"/>
          <w:sz w:val="32"/>
          <w:szCs w:val="32"/>
        </w:rPr>
        <w:instrText xml:space="preserve"> HYPERLINK \l "_Toc15396618" </w:instrText>
      </w:r>
      <w:r>
        <w:rPr>
          <w:color w:val="auto"/>
          <w:sz w:val="32"/>
          <w:szCs w:val="32"/>
        </w:rPr>
        <w:fldChar w:fldCharType="separate"/>
      </w:r>
      <w:r>
        <w:rPr>
          <w:rStyle w:val="16"/>
          <w:rFonts w:hint="eastAsia"/>
          <w:color w:val="auto"/>
          <w:sz w:val="32"/>
          <w:szCs w:val="32"/>
        </w:rPr>
        <w:t>第</w:t>
      </w:r>
      <w:r>
        <w:rPr>
          <w:rStyle w:val="16"/>
          <w:rFonts w:hint="eastAsia"/>
          <w:bCs/>
          <w:color w:val="auto"/>
          <w:kern w:val="44"/>
          <w:sz w:val="32"/>
          <w:szCs w:val="32"/>
        </w:rPr>
        <w:t>五部分附表</w:t>
      </w:r>
      <w:r>
        <w:rPr>
          <w:color w:val="auto"/>
          <w:sz w:val="32"/>
          <w:szCs w:val="32"/>
        </w:rPr>
        <w:tab/>
      </w:r>
      <w:r>
        <w:rPr>
          <w:rFonts w:hint="eastAsia"/>
          <w:color w:val="auto"/>
          <w:sz w:val="32"/>
          <w:szCs w:val="32"/>
          <w:lang w:val="en-US" w:eastAsia="zh-CN"/>
        </w:rPr>
        <w:t>33</w:t>
      </w:r>
      <w:r>
        <w:rPr>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一、</w:t>
      </w:r>
      <w:r>
        <w:rPr>
          <w:color w:val="auto"/>
          <w:sz w:val="32"/>
          <w:szCs w:val="32"/>
          <w:shd w:val="clear" w:color="FFFFFF" w:fill="D9D9D9"/>
        </w:rPr>
        <w:fldChar w:fldCharType="begin"/>
      </w:r>
      <w:r>
        <w:rPr>
          <w:color w:val="auto"/>
          <w:sz w:val="32"/>
          <w:szCs w:val="32"/>
          <w:shd w:val="clear" w:color="FFFFFF" w:fill="D9D9D9"/>
        </w:rPr>
        <w:instrText xml:space="preserve"> HYPERLINK \l "_Toc15396619"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收入支出决算总表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二、</w:t>
      </w:r>
      <w:r>
        <w:rPr>
          <w:color w:val="auto"/>
          <w:sz w:val="32"/>
          <w:szCs w:val="32"/>
          <w:shd w:val="clear" w:color="FFFFFF" w:fill="D9D9D9"/>
        </w:rPr>
        <w:fldChar w:fldCharType="begin"/>
      </w:r>
      <w:r>
        <w:rPr>
          <w:color w:val="auto"/>
          <w:sz w:val="32"/>
          <w:szCs w:val="32"/>
          <w:shd w:val="clear" w:color="FFFFFF" w:fill="D9D9D9"/>
        </w:rPr>
        <w:instrText xml:space="preserve"> HYPERLINK \l "_Toc15396620"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收入总表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三、</w:t>
      </w:r>
      <w:r>
        <w:rPr>
          <w:color w:val="auto"/>
          <w:sz w:val="32"/>
          <w:szCs w:val="32"/>
          <w:shd w:val="clear" w:color="FFFFFF" w:fill="D9D9D9"/>
        </w:rPr>
        <w:fldChar w:fldCharType="begin"/>
      </w:r>
      <w:r>
        <w:rPr>
          <w:color w:val="auto"/>
          <w:sz w:val="32"/>
          <w:szCs w:val="32"/>
          <w:shd w:val="clear" w:color="FFFFFF" w:fill="D9D9D9"/>
        </w:rPr>
        <w:instrText xml:space="preserve"> HYPERLINK \l "_Toc15396621"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支出总表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四、</w:t>
      </w:r>
      <w:r>
        <w:rPr>
          <w:color w:val="auto"/>
          <w:sz w:val="32"/>
          <w:szCs w:val="32"/>
          <w:shd w:val="clear" w:color="FFFFFF" w:fill="D9D9D9"/>
        </w:rPr>
        <w:fldChar w:fldCharType="begin"/>
      </w:r>
      <w:r>
        <w:rPr>
          <w:color w:val="auto"/>
          <w:sz w:val="32"/>
          <w:szCs w:val="32"/>
          <w:shd w:val="clear" w:color="FFFFFF" w:fill="D9D9D9"/>
        </w:rPr>
        <w:instrText xml:space="preserve"> HYPERLINK \l "_Toc15396622"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财政拨款收入支出决算总表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五、</w:t>
      </w:r>
      <w:r>
        <w:rPr>
          <w:color w:val="auto"/>
          <w:sz w:val="32"/>
          <w:szCs w:val="32"/>
          <w:shd w:val="clear" w:color="FFFFFF" w:fill="D9D9D9"/>
        </w:rPr>
        <w:fldChar w:fldCharType="begin"/>
      </w:r>
      <w:r>
        <w:rPr>
          <w:color w:val="auto"/>
          <w:sz w:val="32"/>
          <w:szCs w:val="32"/>
          <w:shd w:val="clear" w:color="FFFFFF" w:fill="D9D9D9"/>
        </w:rPr>
        <w:instrText xml:space="preserve"> HYPERLINK \l "_Toc15396623" </w:instrText>
      </w:r>
      <w:r>
        <w:rPr>
          <w:color w:val="auto"/>
          <w:sz w:val="32"/>
          <w:szCs w:val="32"/>
          <w:shd w:val="clear" w:color="FFFFFF" w:fill="D9D9D9"/>
        </w:rPr>
        <w:fldChar w:fldCharType="separate"/>
      </w:r>
      <w:r>
        <w:rPr>
          <w:rFonts w:hint="eastAsia" w:ascii="仿宋" w:hAnsi="仿宋" w:eastAsia="仿宋"/>
          <w:color w:val="auto"/>
          <w:sz w:val="32"/>
          <w:szCs w:val="32"/>
          <w:shd w:val="clear" w:color="FFFFFF" w:fill="D9D9D9"/>
        </w:rPr>
        <w:t>财政拨款支出决算明细表（政府经济分类科目）</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六、</w:t>
      </w:r>
      <w:r>
        <w:rPr>
          <w:color w:val="auto"/>
          <w:sz w:val="32"/>
          <w:szCs w:val="32"/>
          <w:shd w:val="clear" w:color="FFFFFF" w:fill="D9D9D9"/>
        </w:rPr>
        <w:fldChar w:fldCharType="begin"/>
      </w:r>
      <w:r>
        <w:rPr>
          <w:color w:val="auto"/>
          <w:sz w:val="32"/>
          <w:szCs w:val="32"/>
          <w:shd w:val="clear" w:color="FFFFFF" w:fill="D9D9D9"/>
        </w:rPr>
        <w:instrText xml:space="preserve"> HYPERLINK \l "_Toc15396624"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一般公共预算财政拨款支出决算表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七、</w:t>
      </w:r>
      <w:r>
        <w:rPr>
          <w:color w:val="auto"/>
          <w:sz w:val="32"/>
          <w:szCs w:val="32"/>
          <w:shd w:val="clear" w:color="FFFFFF" w:fill="D9D9D9"/>
        </w:rPr>
        <w:fldChar w:fldCharType="begin"/>
      </w:r>
      <w:r>
        <w:rPr>
          <w:color w:val="auto"/>
          <w:sz w:val="32"/>
          <w:szCs w:val="32"/>
          <w:shd w:val="clear" w:color="FFFFFF" w:fill="D9D9D9"/>
        </w:rPr>
        <w:instrText xml:space="preserve"> HYPERLINK \l "_Toc15396625"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一般公共预算财政拨款支出决算明细表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八、</w:t>
      </w:r>
      <w:r>
        <w:rPr>
          <w:color w:val="auto"/>
          <w:sz w:val="32"/>
          <w:szCs w:val="32"/>
          <w:shd w:val="clear" w:color="FFFFFF" w:fill="D9D9D9"/>
        </w:rPr>
        <w:fldChar w:fldCharType="begin"/>
      </w:r>
      <w:r>
        <w:rPr>
          <w:color w:val="auto"/>
          <w:sz w:val="32"/>
          <w:szCs w:val="32"/>
          <w:shd w:val="clear" w:color="FFFFFF" w:fill="D9D9D9"/>
        </w:rPr>
        <w:instrText xml:space="preserve"> HYPERLINK \l "_Toc15396626"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一般公共预算财政拨款基本支出决算表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九、</w:t>
      </w:r>
      <w:r>
        <w:rPr>
          <w:color w:val="auto"/>
          <w:sz w:val="32"/>
          <w:szCs w:val="32"/>
          <w:shd w:val="clear" w:color="FFFFFF" w:fill="D9D9D9"/>
        </w:rPr>
        <w:fldChar w:fldCharType="begin"/>
      </w:r>
      <w:r>
        <w:rPr>
          <w:color w:val="auto"/>
          <w:sz w:val="32"/>
          <w:szCs w:val="32"/>
          <w:shd w:val="clear" w:color="FFFFFF" w:fill="D9D9D9"/>
        </w:rPr>
        <w:instrText xml:space="preserve"> HYPERLINK \l "_Toc15396627"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一般公共预算财政拨款项目支出决算表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十、</w:t>
      </w:r>
      <w:r>
        <w:rPr>
          <w:color w:val="auto"/>
          <w:sz w:val="32"/>
          <w:szCs w:val="32"/>
          <w:shd w:val="clear" w:color="FFFFFF" w:fill="D9D9D9"/>
        </w:rPr>
        <w:fldChar w:fldCharType="begin"/>
      </w:r>
      <w:r>
        <w:rPr>
          <w:color w:val="auto"/>
          <w:sz w:val="32"/>
          <w:szCs w:val="32"/>
          <w:shd w:val="clear" w:color="FFFFFF" w:fill="D9D9D9"/>
        </w:rPr>
        <w:instrText xml:space="preserve"> HYPERLINK \l "_Toc15396628"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一般公共预算财政拨款“三公”经费支出决算表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十一、</w:t>
      </w:r>
      <w:r>
        <w:rPr>
          <w:color w:val="auto"/>
          <w:sz w:val="32"/>
          <w:szCs w:val="32"/>
          <w:shd w:val="clear" w:color="FFFFFF" w:fill="D9D9D9"/>
        </w:rPr>
        <w:fldChar w:fldCharType="begin"/>
      </w:r>
      <w:r>
        <w:rPr>
          <w:color w:val="auto"/>
          <w:sz w:val="32"/>
          <w:szCs w:val="32"/>
          <w:shd w:val="clear" w:color="FFFFFF" w:fill="D9D9D9"/>
        </w:rPr>
        <w:instrText xml:space="preserve"> HYPERLINK \l "_Toc15396629"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政府性基金预算财政拨款收入支出决算表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十二、</w:t>
      </w:r>
      <w:r>
        <w:rPr>
          <w:color w:val="auto"/>
          <w:sz w:val="32"/>
          <w:szCs w:val="32"/>
          <w:shd w:val="clear" w:color="FFFFFF" w:fill="D9D9D9"/>
        </w:rPr>
        <w:fldChar w:fldCharType="begin"/>
      </w:r>
      <w:r>
        <w:rPr>
          <w:color w:val="auto"/>
          <w:sz w:val="32"/>
          <w:szCs w:val="32"/>
          <w:shd w:val="clear" w:color="FFFFFF" w:fill="D9D9D9"/>
        </w:rPr>
        <w:instrText xml:space="preserve"> HYPERLINK \l "_Toc15396630"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政府性基金预算财政拨款“三公”经费支出决算表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auto"/>
          <w:sz w:val="32"/>
          <w:szCs w:val="32"/>
          <w:shd w:val="clear" w:color="FFFFFF" w:fill="D9D9D9"/>
          <w:lang w:val="en-US" w:eastAsia="zh-CN"/>
        </w:rPr>
      </w:pPr>
      <w:r>
        <w:rPr>
          <w:rFonts w:hint="eastAsia" w:ascii="仿宋" w:hAnsi="仿宋" w:eastAsia="仿宋"/>
          <w:color w:val="auto"/>
          <w:sz w:val="32"/>
          <w:szCs w:val="32"/>
          <w:shd w:val="clear" w:color="FFFFFF" w:fill="D9D9D9"/>
        </w:rPr>
        <w:t>十三、</w:t>
      </w:r>
      <w:r>
        <w:rPr>
          <w:color w:val="auto"/>
          <w:sz w:val="32"/>
          <w:szCs w:val="32"/>
          <w:shd w:val="clear" w:color="FFFFFF" w:fill="D9D9D9"/>
        </w:rPr>
        <w:fldChar w:fldCharType="begin"/>
      </w:r>
      <w:r>
        <w:rPr>
          <w:color w:val="auto"/>
          <w:sz w:val="32"/>
          <w:szCs w:val="32"/>
          <w:shd w:val="clear" w:color="FFFFFF" w:fill="D9D9D9"/>
        </w:rPr>
        <w:instrText xml:space="preserve"> HYPERLINK \l "_Toc15396631" </w:instrText>
      </w:r>
      <w:r>
        <w:rPr>
          <w:color w:val="auto"/>
          <w:sz w:val="32"/>
          <w:szCs w:val="32"/>
          <w:shd w:val="clear" w:color="FFFFFF" w:fill="D9D9D9"/>
        </w:rPr>
        <w:fldChar w:fldCharType="separate"/>
      </w:r>
      <w:r>
        <w:rPr>
          <w:rStyle w:val="16"/>
          <w:rFonts w:hint="eastAsia" w:ascii="仿宋" w:hAnsi="仿宋" w:eastAsia="仿宋"/>
          <w:color w:val="auto"/>
          <w:sz w:val="32"/>
          <w:szCs w:val="32"/>
          <w:shd w:val="clear" w:color="FFFFFF" w:fill="D9D9D9"/>
        </w:rPr>
        <w:t>国有资本经营预算支出决算表</w:t>
      </w:r>
      <w:r>
        <w:rPr>
          <w:rFonts w:ascii="仿宋" w:hAnsi="仿宋" w:eastAsia="仿宋"/>
          <w:color w:val="auto"/>
          <w:sz w:val="32"/>
          <w:szCs w:val="32"/>
          <w:shd w:val="clear" w:color="FFFFFF" w:fill="D9D9D9"/>
        </w:rPr>
        <w:tab/>
      </w:r>
      <w:r>
        <w:rPr>
          <w:rFonts w:hint="eastAsia" w:ascii="仿宋" w:hAnsi="仿宋" w:eastAsia="仿宋"/>
          <w:color w:val="auto"/>
          <w:sz w:val="32"/>
          <w:szCs w:val="32"/>
          <w:shd w:val="clear" w:color="FFFFFF" w:fill="D9D9D9"/>
          <w:lang w:val="en-US" w:eastAsia="zh-CN"/>
        </w:rPr>
        <w:t>33</w:t>
      </w:r>
      <w:r>
        <w:rPr>
          <w:rFonts w:ascii="仿宋" w:hAnsi="仿宋" w:eastAsia="仿宋"/>
          <w:color w:val="auto"/>
          <w:sz w:val="32"/>
          <w:szCs w:val="32"/>
          <w:shd w:val="clear" w:color="FFFFFF" w:fill="D9D9D9"/>
        </w:rPr>
        <w:fldChar w:fldCharType="end"/>
      </w:r>
    </w:p>
    <w:p>
      <w:pPr>
        <w:adjustRightInd w:val="0"/>
        <w:snapToGrid w:val="0"/>
        <w:spacing w:line="360" w:lineRule="auto"/>
        <w:jc w:val="center"/>
        <w:outlineLvl w:val="0"/>
        <w:rPr>
          <w:rFonts w:ascii="方正小标宋简体" w:hAnsi="宋体" w:eastAsia="方正小标宋简体"/>
          <w:color w:val="auto"/>
          <w:sz w:val="72"/>
          <w:szCs w:val="72"/>
        </w:rPr>
        <w:sectPr>
          <w:pgSz w:w="11906" w:h="16838"/>
          <w:pgMar w:top="2098" w:right="1531" w:bottom="1984" w:left="1531" w:header="851" w:footer="1417" w:gutter="0"/>
          <w:pgNumType w:fmt="decimal"/>
          <w:cols w:space="0" w:num="1"/>
          <w:titlePg/>
          <w:rtlGutter w:val="0"/>
          <w:docGrid w:type="lines" w:linePitch="312" w:charSpace="0"/>
        </w:sectPr>
      </w:pPr>
      <w:r>
        <w:rPr>
          <w:rFonts w:ascii="仿宋" w:hAnsi="仿宋" w:eastAsia="仿宋"/>
          <w:color w:val="auto"/>
          <w:sz w:val="24"/>
        </w:rPr>
        <w:fldChar w:fldCharType="end"/>
      </w:r>
    </w:p>
    <w:p>
      <w:pPr>
        <w:pStyle w:val="2"/>
        <w:pageBreakBefore w:val="0"/>
        <w:kinsoku/>
        <w:wordWrap/>
        <w:overflowPunct/>
        <w:topLinePunct w:val="0"/>
        <w:autoSpaceDE/>
        <w:autoSpaceDN/>
        <w:bidi w:val="0"/>
        <w:adjustRightInd/>
        <w:snapToGrid/>
        <w:spacing w:before="0" w:after="0" w:line="600" w:lineRule="exact"/>
        <w:jc w:val="center"/>
        <w:textAlignment w:val="auto"/>
        <w:rPr>
          <w:rStyle w:val="25"/>
          <w:rFonts w:ascii="黑体" w:hAnsi="黑体" w:eastAsia="黑体"/>
          <w:b/>
          <w:bCs w:val="0"/>
          <w:color w:val="auto"/>
        </w:rPr>
      </w:pPr>
      <w:bookmarkStart w:id="12" w:name="_Toc15377196"/>
      <w:bookmarkStart w:id="13" w:name="_Toc15396599"/>
      <w:r>
        <w:rPr>
          <w:rFonts w:hint="eastAsia" w:ascii="黑体" w:hAnsi="黑体" w:eastAsia="黑体"/>
          <w:b w:val="0"/>
          <w:color w:val="auto"/>
        </w:rPr>
        <w:t xml:space="preserve">第一部分 </w:t>
      </w:r>
      <w:r>
        <w:rPr>
          <w:rStyle w:val="25"/>
          <w:rFonts w:hint="eastAsia" w:ascii="黑体" w:hAnsi="黑体" w:eastAsia="黑体"/>
          <w:b w:val="0"/>
          <w:bCs w:val="0"/>
          <w:color w:val="auto"/>
        </w:rPr>
        <w:t>部门概况</w:t>
      </w:r>
      <w:bookmarkEnd w:id="12"/>
      <w:bookmarkEnd w:id="13"/>
    </w:p>
    <w:p>
      <w:pPr>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ascii="黑体" w:eastAsia="黑体"/>
          <w:color w:val="auto"/>
          <w:sz w:val="32"/>
          <w:szCs w:val="32"/>
        </w:rPr>
      </w:pPr>
    </w:p>
    <w:p>
      <w:pPr>
        <w:pStyle w:val="3"/>
        <w:pageBreakBefore w:val="0"/>
        <w:widowControl w:val="0"/>
        <w:kinsoku/>
        <w:wordWrap/>
        <w:topLinePunct w:val="0"/>
        <w:bidi w:val="0"/>
        <w:adjustRightInd/>
        <w:snapToGrid/>
        <w:spacing w:before="0" w:after="0" w:line="560" w:lineRule="exact"/>
        <w:ind w:left="0" w:leftChars="0" w:right="0" w:rightChars="0" w:firstLine="640" w:firstLineChars="200"/>
        <w:textAlignment w:val="auto"/>
        <w:rPr>
          <w:rStyle w:val="26"/>
          <w:rFonts w:ascii="仿宋" w:hAnsi="仿宋" w:eastAsia="仿宋"/>
          <w:b w:val="0"/>
          <w:bCs w:val="0"/>
          <w:color w:val="auto"/>
        </w:rPr>
      </w:pPr>
      <w:bookmarkStart w:id="14" w:name="_Toc15377197"/>
      <w:bookmarkStart w:id="15" w:name="_Toc15396600"/>
      <w:r>
        <w:rPr>
          <w:rFonts w:hint="eastAsia" w:ascii="黑体" w:hAnsi="黑体" w:eastAsia="黑体"/>
          <w:b w:val="0"/>
          <w:color w:val="auto"/>
        </w:rPr>
        <w:t>一、基</w:t>
      </w:r>
      <w:r>
        <w:rPr>
          <w:rStyle w:val="26"/>
          <w:rFonts w:hint="eastAsia" w:ascii="黑体" w:hAnsi="黑体" w:eastAsia="黑体"/>
          <w:b w:val="0"/>
          <w:bCs w:val="0"/>
          <w:color w:val="auto"/>
        </w:rPr>
        <w:t>本职能及主要工作</w:t>
      </w:r>
      <w:bookmarkEnd w:id="14"/>
      <w:bookmarkEnd w:id="15"/>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 w:hAnsi="仿宋" w:eastAsia="仿宋"/>
          <w:bCs/>
          <w:color w:val="auto"/>
          <w:sz w:val="32"/>
          <w:szCs w:val="32"/>
        </w:rPr>
      </w:pPr>
      <w:bookmarkStart w:id="16" w:name="_Toc15377198"/>
      <w:bookmarkStart w:id="17" w:name="_Toc15378445"/>
      <w:r>
        <w:rPr>
          <w:rFonts w:hint="eastAsia" w:ascii="楷体" w:hAnsi="楷体" w:eastAsia="楷体" w:cs="楷体"/>
          <w:bCs/>
          <w:color w:val="auto"/>
          <w:sz w:val="32"/>
          <w:szCs w:val="32"/>
        </w:rPr>
        <w:t>（一）主要职能。</w:t>
      </w:r>
      <w:bookmarkEnd w:id="16"/>
      <w:bookmarkEnd w:id="17"/>
      <w:bookmarkStart w:id="18" w:name="_Toc15378446"/>
      <w:bookmarkStart w:id="19" w:name="_Toc15377199"/>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1.负责调查研究统一战线理论和重大方针政策，向市委全面反映统一战线情况，提出开展统一战线工作的意见和建议，组织协调统一战线政策和法律法规的贯彻落实，检查执行情况，协调统一战线各方面关系。</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负责联系各民主党派和无党派人士，反映他们的意见和建议；落实中央、省委和市委关于发挥民主党派和无党派代表人士参政议政和民主监督作用的工作，为市委同民主党派进行政治协商做好组织联系工作；受市委委托，向民主党派、无党派人士通报中央、省委和市委重要会议精神；支持、帮助各民主党派加强自身建设。</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3.负责调查研究、协调检查有关民族和宗教工作重大方针、政策的贯彻执行；联系少数民族和宗教界的代表人物；协助有关部门做好少数民族干部的培养和举荐工作。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负责党外人士的政治安排。会同有关部门做好培养、考察、选拔、推荐、安排党外人士担任政府和司法机关领导职务的工作；做好党外后备干部和新的社会阶层人士队伍建设工作；受市委委托，领导市工商联党组，指导市工商联工作；管理广元市中华职业教育社；指导有关统战团体和人民团体的统战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5.调查研究并反映我市非公有制经济代表人士的情况，协调关系，提出政策建议；团结、帮助、引导非公有制经济代表人士，积极开展思想政治工作。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6.调查研究党外知识分子的情况，反映意见，协调关系，提出政策建议；联系并培养党外知识分子代表人物。</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7.负责开展以巩固统一为重点的港澳台海外统战工作。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8.负责市九广合作领导小组日常工作。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9.负责开展统一战线宣传工作；协助政府各有关部门的统战工作；指导县区党委统战部开展统战工作和统战系统干部培训；负责统战史志工作。</w:t>
      </w:r>
    </w:p>
    <w:p>
      <w:pPr>
        <w:pStyle w:val="5"/>
        <w:keepNext w:val="0"/>
        <w:keepLines w:val="0"/>
        <w:pageBreakBefore w:val="0"/>
        <w:widowControl w:val="0"/>
        <w:kinsoku/>
        <w:wordWrap/>
        <w:overflowPunct w:val="0"/>
        <w:topLinePunct w:val="0"/>
        <w:autoSpaceDE w:val="0"/>
        <w:autoSpaceDN w:val="0"/>
        <w:bidi w:val="0"/>
        <w:adjustRightInd/>
        <w:snapToGrid/>
        <w:spacing w:beforeLines="0" w:line="560" w:lineRule="exact"/>
        <w:ind w:left="0" w:leftChars="0" w:right="0" w:rightChars="0" w:firstLine="672" w:firstLineChars="210"/>
        <w:textAlignment w:val="auto"/>
        <w:rPr>
          <w:rFonts w:hint="eastAsia"/>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10.完成市委及上级主管部门交办的其他事项。</w:t>
      </w:r>
    </w:p>
    <w:p>
      <w:pPr>
        <w:pStyle w:val="5"/>
        <w:pageBreakBefore w:val="0"/>
        <w:widowControl w:val="0"/>
        <w:kinsoku/>
        <w:wordWrap/>
        <w:topLinePunct w:val="0"/>
        <w:bidi w:val="0"/>
        <w:adjustRightInd w:val="0"/>
        <w:snapToGrid w:val="0"/>
        <w:spacing w:beforeLines="0" w:line="560" w:lineRule="exact"/>
        <w:ind w:left="0" w:leftChars="0" w:right="0" w:rightChars="0" w:firstLine="672" w:firstLineChars="210"/>
        <w:textAlignment w:val="auto"/>
        <w:outlineLvl w:val="2"/>
        <w:rPr>
          <w:rFonts w:hint="eastAsia" w:ascii="仿宋" w:hAnsi="仿宋" w:eastAsia="仿宋"/>
          <w:bCs/>
          <w:color w:val="auto"/>
          <w:sz w:val="32"/>
          <w:szCs w:val="32"/>
        </w:rPr>
      </w:pPr>
      <w:r>
        <w:rPr>
          <w:rFonts w:hint="eastAsia" w:ascii="楷体" w:hAnsi="楷体" w:eastAsia="楷体" w:cs="楷体"/>
          <w:bCs/>
          <w:color w:val="auto"/>
          <w:sz w:val="32"/>
          <w:szCs w:val="32"/>
        </w:rPr>
        <w:t>（二）2018年重点工作完成情况。</w:t>
      </w:r>
      <w:bookmarkEnd w:id="18"/>
      <w:bookmarkEnd w:id="19"/>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rPr>
        <w:t>1.</w:t>
      </w:r>
      <w:r>
        <w:rPr>
          <w:rFonts w:hint="eastAsia" w:ascii="仿宋_GB2312" w:hAnsi="仿宋_GB2312" w:eastAsia="仿宋_GB2312" w:cs="仿宋_GB2312"/>
          <w:b w:val="0"/>
          <w:bCs/>
          <w:color w:val="auto"/>
          <w:sz w:val="32"/>
          <w:szCs w:val="32"/>
        </w:rPr>
        <w:t>加强党对统战工作的领导，大统战工作格局作用充分发挥。一是党委（组）切实履行主体责任。市委常委会专题研究统战工作5次，对标全省统战部长会议和新时</w:t>
      </w:r>
      <w:r>
        <w:rPr>
          <w:rFonts w:hint="eastAsia" w:ascii="仿宋_GB2312" w:hAnsi="仿宋_GB2312" w:eastAsia="仿宋_GB2312" w:cs="仿宋_GB2312"/>
          <w:b w:val="0"/>
          <w:bCs/>
          <w:color w:val="auto"/>
          <w:sz w:val="32"/>
          <w:szCs w:val="32"/>
          <w:lang w:eastAsia="zh-CN"/>
        </w:rPr>
        <w:t>代</w:t>
      </w:r>
      <w:r>
        <w:rPr>
          <w:rFonts w:hint="eastAsia" w:ascii="仿宋_GB2312" w:hAnsi="仿宋_GB2312" w:eastAsia="仿宋_GB2312" w:cs="仿宋_GB2312"/>
          <w:b w:val="0"/>
          <w:bCs/>
          <w:color w:val="auto"/>
          <w:sz w:val="32"/>
          <w:szCs w:val="32"/>
        </w:rPr>
        <w:t>民族宗教工作新政策新要求，高标准部署、高质量推进全市统战工作。市委理论学习中心组、市政府常务会议和市政府党组会议把新时</w:t>
      </w:r>
      <w:r>
        <w:rPr>
          <w:rFonts w:hint="eastAsia" w:ascii="仿宋_GB2312" w:hAnsi="仿宋_GB2312" w:eastAsia="仿宋_GB2312" w:cs="仿宋_GB2312"/>
          <w:b w:val="0"/>
          <w:bCs/>
          <w:color w:val="auto"/>
          <w:sz w:val="32"/>
          <w:szCs w:val="32"/>
          <w:lang w:eastAsia="zh-CN"/>
        </w:rPr>
        <w:t>代</w:t>
      </w:r>
      <w:r>
        <w:rPr>
          <w:rFonts w:hint="eastAsia" w:ascii="仿宋_GB2312" w:hAnsi="仿宋_GB2312" w:eastAsia="仿宋_GB2312" w:cs="仿宋_GB2312"/>
          <w:b w:val="0"/>
          <w:bCs/>
          <w:color w:val="auto"/>
          <w:sz w:val="32"/>
          <w:szCs w:val="32"/>
        </w:rPr>
        <w:t>宗教工作要求、新修订《宗教事务条例》和全省统战部长会议精神纳入专题学习。着眼强化统战工作力量，调整县区统战部长2人，增加编制7个。二是</w:t>
      </w:r>
      <w:r>
        <w:rPr>
          <w:rFonts w:hint="eastAsia" w:ascii="仿宋_GB2312" w:hAnsi="仿宋_GB2312" w:eastAsia="仿宋_GB2312" w:cs="仿宋_GB2312"/>
          <w:b w:val="0"/>
          <w:bCs/>
          <w:color w:val="auto"/>
          <w:sz w:val="32"/>
          <w:szCs w:val="32"/>
          <w:shd w:val="clear" w:color="auto" w:fill="FFFFFF"/>
        </w:rPr>
        <w:t>切实落实“四个纳入、三个带头”要求。</w:t>
      </w:r>
      <w:r>
        <w:rPr>
          <w:rFonts w:hint="eastAsia" w:ascii="仿宋_GB2312" w:hAnsi="仿宋_GB2312" w:eastAsia="仿宋_GB2312" w:cs="仿宋_GB2312"/>
          <w:b w:val="0"/>
          <w:bCs/>
          <w:color w:val="auto"/>
          <w:kern w:val="0"/>
          <w:sz w:val="32"/>
          <w:szCs w:val="32"/>
        </w:rPr>
        <w:t>高度重视统一战线宣传引领和意识形态工作，</w:t>
      </w:r>
      <w:r>
        <w:rPr>
          <w:rFonts w:hint="eastAsia" w:ascii="仿宋_GB2312" w:hAnsi="仿宋_GB2312" w:eastAsia="仿宋_GB2312" w:cs="仿宋_GB2312"/>
          <w:b w:val="0"/>
          <w:bCs/>
          <w:color w:val="auto"/>
          <w:sz w:val="32"/>
          <w:szCs w:val="32"/>
        </w:rPr>
        <w:t>宣传、网信等部门参与统一战线重大活动、重要会议的宣传报道、在各主流媒体及时宣传报道全市统一战线重点工作形成协作机制，2018年全市各大媒体报道全市统一战线会议活动100余次，市委与团结报社签定战略合作协议，2018年全市统一战线在省级及以上各类媒体刊载文章消息1000余篇（条）。坚持</w:t>
      </w:r>
      <w:r>
        <w:rPr>
          <w:rFonts w:hint="eastAsia" w:ascii="仿宋_GB2312" w:hAnsi="仿宋_GB2312" w:eastAsia="仿宋_GB2312" w:cs="仿宋_GB2312"/>
          <w:b w:val="0"/>
          <w:bCs/>
          <w:color w:val="auto"/>
          <w:sz w:val="32"/>
          <w:szCs w:val="32"/>
          <w:shd w:val="clear" w:color="auto" w:fill="FFFFFF"/>
        </w:rPr>
        <w:t>把统战工作作为干部培训的重要内容，</w:t>
      </w:r>
      <w:r>
        <w:rPr>
          <w:rFonts w:hint="eastAsia" w:ascii="仿宋_GB2312" w:hAnsi="仿宋_GB2312" w:eastAsia="仿宋_GB2312" w:cs="仿宋_GB2312"/>
          <w:b w:val="0"/>
          <w:bCs/>
          <w:color w:val="auto"/>
          <w:spacing w:val="8"/>
          <w:sz w:val="32"/>
          <w:szCs w:val="32"/>
        </w:rPr>
        <w:t>市县（区）</w:t>
      </w:r>
      <w:r>
        <w:rPr>
          <w:rFonts w:hint="eastAsia" w:ascii="仿宋_GB2312" w:hAnsi="仿宋_GB2312" w:eastAsia="仿宋_GB2312" w:cs="仿宋_GB2312"/>
          <w:b w:val="0"/>
          <w:bCs/>
          <w:color w:val="auto"/>
          <w:sz w:val="32"/>
          <w:szCs w:val="32"/>
          <w:shd w:val="clear" w:color="auto" w:fill="FFFFFF"/>
        </w:rPr>
        <w:t>委党校、行政学校和社会主义学院主体班5000余名学员培训均</w:t>
      </w:r>
      <w:r>
        <w:rPr>
          <w:rFonts w:hint="eastAsia" w:ascii="仿宋_GB2312" w:hAnsi="仿宋_GB2312" w:eastAsia="仿宋_GB2312" w:cs="仿宋_GB2312"/>
          <w:b w:val="0"/>
          <w:bCs/>
          <w:color w:val="auto"/>
          <w:sz w:val="32"/>
          <w:szCs w:val="32"/>
        </w:rPr>
        <w:t>把统一战线理论政策纳入培训内容。</w:t>
      </w:r>
      <w:r>
        <w:rPr>
          <w:rFonts w:hint="eastAsia" w:ascii="仿宋_GB2312" w:hAnsi="仿宋_GB2312" w:eastAsia="仿宋_GB2312" w:cs="仿宋_GB2312"/>
          <w:b w:val="0"/>
          <w:bCs/>
          <w:color w:val="auto"/>
          <w:sz w:val="32"/>
          <w:szCs w:val="32"/>
          <w:shd w:val="clear" w:color="auto" w:fill="FFFFFF"/>
        </w:rPr>
        <w:t>支持川北幼儿师范高等专科学校开展民族团结进步示范单位创建，协同实施“9+3”免费教育计划。</w:t>
      </w:r>
      <w:r>
        <w:rPr>
          <w:rFonts w:hint="eastAsia" w:ascii="仿宋_GB2312" w:hAnsi="仿宋_GB2312" w:eastAsia="仿宋_GB2312" w:cs="仿宋_GB2312"/>
          <w:b w:val="0"/>
          <w:bCs/>
          <w:color w:val="auto"/>
          <w:spacing w:val="8"/>
          <w:sz w:val="32"/>
          <w:szCs w:val="32"/>
        </w:rPr>
        <w:t>市县（区）</w:t>
      </w:r>
      <w:r>
        <w:rPr>
          <w:rFonts w:hint="eastAsia" w:ascii="仿宋_GB2312" w:hAnsi="仿宋_GB2312" w:eastAsia="仿宋_GB2312" w:cs="仿宋_GB2312"/>
          <w:b w:val="0"/>
          <w:bCs/>
          <w:color w:val="auto"/>
          <w:sz w:val="32"/>
          <w:szCs w:val="32"/>
          <w:shd w:val="clear" w:color="auto" w:fill="FFFFFF"/>
        </w:rPr>
        <w:t>党委主要领导通过召开党委常委会、理论学习中心组会议、批示批阅《四川统战工作》信息期刊、召开党委统一战线工作领导小组会议解决重点难点问题、在党外干部培训班讲授党课等方式，</w:t>
      </w:r>
      <w:r>
        <w:rPr>
          <w:rFonts w:hint="eastAsia" w:ascii="仿宋_GB2312" w:hAnsi="仿宋_GB2312" w:eastAsia="仿宋_GB2312" w:cs="仿宋_GB2312"/>
          <w:b w:val="0"/>
          <w:bCs/>
          <w:color w:val="auto"/>
          <w:spacing w:val="8"/>
          <w:sz w:val="32"/>
          <w:szCs w:val="32"/>
        </w:rPr>
        <w:t>带头</w:t>
      </w:r>
      <w:r>
        <w:rPr>
          <w:rFonts w:hint="eastAsia" w:ascii="仿宋_GB2312" w:hAnsi="仿宋_GB2312" w:eastAsia="仿宋_GB2312" w:cs="仿宋_GB2312"/>
          <w:b w:val="0"/>
          <w:bCs/>
          <w:color w:val="auto"/>
          <w:sz w:val="32"/>
          <w:szCs w:val="32"/>
          <w:shd w:val="clear" w:color="auto" w:fill="FFFFFF"/>
        </w:rPr>
        <w:t>学习宣传和贯彻落实党的统一战线方针政策和法律法规。2018年市委、市政府主要领导签批统一战线工作47次，带头</w:t>
      </w:r>
      <w:r>
        <w:rPr>
          <w:rFonts w:hint="eastAsia" w:ascii="仿宋_GB2312" w:hAnsi="仿宋_GB2312" w:eastAsia="仿宋_GB2312" w:cs="仿宋_GB2312"/>
          <w:b w:val="0"/>
          <w:bCs/>
          <w:color w:val="auto"/>
          <w:sz w:val="32"/>
          <w:szCs w:val="32"/>
        </w:rPr>
        <w:t>参加统一战线活动20余次。</w:t>
      </w:r>
      <w:r>
        <w:rPr>
          <w:rFonts w:hint="eastAsia" w:ascii="仿宋_GB2312" w:hAnsi="仿宋_GB2312" w:eastAsia="仿宋_GB2312" w:cs="仿宋_GB2312"/>
          <w:b w:val="0"/>
          <w:bCs/>
          <w:color w:val="auto"/>
          <w:sz w:val="32"/>
          <w:szCs w:val="32"/>
          <w:shd w:val="clear" w:color="auto" w:fill="FFFFFF"/>
        </w:rPr>
        <w:t>三是充分发挥党委统一战线工作领导小组作用</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pacing w:val="8"/>
          <w:sz w:val="32"/>
          <w:szCs w:val="32"/>
        </w:rPr>
        <w:t>先后两次召开市委统一战线工作领导小组全体会议，研究统战、宗教领域重点难点问题，印发</w:t>
      </w:r>
      <w:r>
        <w:rPr>
          <w:rFonts w:hint="eastAsia" w:ascii="仿宋_GB2312" w:hAnsi="仿宋_GB2312" w:eastAsia="仿宋_GB2312" w:cs="仿宋_GB2312"/>
          <w:b w:val="0"/>
          <w:bCs/>
          <w:color w:val="auto"/>
          <w:sz w:val="32"/>
          <w:szCs w:val="32"/>
        </w:rPr>
        <w:t>《市委统一战线工作领导小组2018年工作要点》</w:t>
      </w:r>
      <w:r>
        <w:rPr>
          <w:rFonts w:hint="eastAsia" w:ascii="仿宋_GB2312" w:hAnsi="仿宋_GB2312" w:eastAsia="仿宋_GB2312" w:cs="仿宋_GB2312"/>
          <w:b w:val="0"/>
          <w:bCs/>
          <w:color w:val="auto"/>
          <w:spacing w:val="8"/>
          <w:sz w:val="32"/>
          <w:szCs w:val="32"/>
        </w:rPr>
        <w:t>等系列文件，安排部署全市统战工作重点任务，党委领导下的</w:t>
      </w:r>
      <w:r>
        <w:rPr>
          <w:rFonts w:hint="eastAsia" w:ascii="仿宋_GB2312" w:hAnsi="仿宋_GB2312" w:eastAsia="仿宋_GB2312" w:cs="仿宋_GB2312"/>
          <w:b w:val="0"/>
          <w:bCs/>
          <w:color w:val="auto"/>
          <w:sz w:val="32"/>
          <w:szCs w:val="32"/>
        </w:rPr>
        <w:t>大统战工作格局加快形成并充分发挥作用。</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rPr>
        <w:t>2.</w:t>
      </w:r>
      <w:r>
        <w:rPr>
          <w:rFonts w:hint="eastAsia" w:ascii="仿宋_GB2312" w:hAnsi="仿宋_GB2312" w:eastAsia="仿宋_GB2312" w:cs="仿宋_GB2312"/>
          <w:b w:val="0"/>
          <w:bCs/>
          <w:color w:val="auto"/>
          <w:sz w:val="32"/>
          <w:szCs w:val="32"/>
        </w:rPr>
        <w:t>履行团结引领政治责任，民主党派参政议政质效显著提升。</w:t>
      </w:r>
      <w:r>
        <w:rPr>
          <w:rFonts w:hint="eastAsia" w:ascii="仿宋_GB2312" w:hAnsi="仿宋_GB2312" w:eastAsia="仿宋_GB2312" w:cs="仿宋_GB2312"/>
          <w:b w:val="0"/>
          <w:bCs/>
          <w:color w:val="auto"/>
          <w:sz w:val="32"/>
          <w:szCs w:val="32"/>
          <w:shd w:val="clear" w:color="auto" w:fill="FFFFFF"/>
        </w:rPr>
        <w:t>一是协助加强思想建设</w:t>
      </w:r>
      <w:r>
        <w:rPr>
          <w:rFonts w:hint="eastAsia" w:ascii="仿宋_GB2312" w:hAnsi="仿宋_GB2312" w:eastAsia="仿宋_GB2312" w:cs="仿宋_GB2312"/>
          <w:b w:val="0"/>
          <w:bCs/>
          <w:color w:val="auto"/>
          <w:sz w:val="32"/>
          <w:szCs w:val="32"/>
        </w:rPr>
        <w:t>。召开纪念中共中央发布“五一口号”70周年座谈会，组织民主党派主要负责人赴浙江丽水开展暑期学习考察活动，举办廉洁教育专题讲座，开展“回首改革路 共筑中国梦”纪念改革开放40周年等主题活动，强化各民主党派成员政治意识和廉洁自律意识。全年举办党史专题辅导培训会、主题报告会、经典诵读会等各类活动134次，赴四川统一战线中国特色社会主义教育基地接受革命传统教育和现场学习考察活动34次。</w:t>
      </w:r>
      <w:r>
        <w:rPr>
          <w:rFonts w:hint="eastAsia" w:ascii="仿宋_GB2312" w:hAnsi="仿宋_GB2312" w:eastAsia="仿宋_GB2312" w:cs="仿宋_GB2312"/>
          <w:b w:val="0"/>
          <w:bCs/>
          <w:color w:val="auto"/>
          <w:sz w:val="32"/>
          <w:szCs w:val="32"/>
          <w:shd w:val="clear" w:color="auto" w:fill="FFFFFF"/>
        </w:rPr>
        <w:t>二是大力开展建言献策活动。</w:t>
      </w:r>
      <w:r>
        <w:rPr>
          <w:rFonts w:hint="eastAsia" w:ascii="仿宋_GB2312" w:hAnsi="仿宋_GB2312" w:eastAsia="仿宋_GB2312" w:cs="仿宋_GB2312"/>
          <w:b w:val="0"/>
          <w:bCs/>
          <w:color w:val="auto"/>
          <w:sz w:val="32"/>
          <w:szCs w:val="32"/>
        </w:rPr>
        <w:t>协助市委制发了《2018年度政党协商（会议协商）计划》，完成7项协商议题。</w:t>
      </w:r>
      <w:r>
        <w:rPr>
          <w:rFonts w:hint="eastAsia" w:ascii="仿宋_GB2312" w:hAnsi="仿宋_GB2312" w:eastAsia="仿宋_GB2312" w:cs="仿宋_GB2312"/>
          <w:b w:val="0"/>
          <w:bCs/>
          <w:color w:val="auto"/>
          <w:sz w:val="32"/>
          <w:szCs w:val="32"/>
          <w:shd w:val="clear" w:color="auto" w:fill="FFFFFF"/>
        </w:rPr>
        <w:t>支持</w:t>
      </w:r>
      <w:r>
        <w:rPr>
          <w:rFonts w:hint="eastAsia" w:ascii="仿宋_GB2312" w:hAnsi="仿宋_GB2312" w:eastAsia="仿宋_GB2312" w:cs="仿宋_GB2312"/>
          <w:b w:val="0"/>
          <w:bCs/>
          <w:color w:val="auto"/>
          <w:sz w:val="32"/>
          <w:szCs w:val="32"/>
        </w:rPr>
        <w:t>各民主党派围绕推进成广合作、创建无公害农产品示范市等经济社会发展重点深入调研，形成调研报告30篇，在市“两会”大会发言6次，提交提案议案162件。其中，《关于国道347改道调整西河湿地保护区和古柏保护区范围的建议》被省政协采用并促成省林业厅落实。三是支持开展脱贫攻坚</w:t>
      </w:r>
      <w:r>
        <w:rPr>
          <w:rFonts w:hint="eastAsia" w:ascii="仿宋_GB2312" w:hAnsi="仿宋_GB2312" w:eastAsia="仿宋_GB2312" w:cs="仿宋_GB2312"/>
          <w:b w:val="0"/>
          <w:bCs/>
          <w:color w:val="auto"/>
          <w:sz w:val="32"/>
          <w:szCs w:val="32"/>
          <w:shd w:val="clear" w:color="auto" w:fill="FFFFFF"/>
        </w:rPr>
        <w:t>民主监督</w:t>
      </w:r>
      <w:r>
        <w:rPr>
          <w:rFonts w:hint="eastAsia" w:ascii="仿宋_GB2312" w:hAnsi="仿宋_GB2312" w:eastAsia="仿宋_GB2312" w:cs="仿宋_GB2312"/>
          <w:b w:val="0"/>
          <w:bCs/>
          <w:color w:val="auto"/>
          <w:sz w:val="32"/>
          <w:szCs w:val="32"/>
        </w:rPr>
        <w:t>。积极做好致公党浙江省委和民进四川省委对口广元市脱贫攻坚民主监督联络联系工作，协助在广元开展调研考察8次，召开工作座谈会3次。召开市级民主党派脱贫攻坚民主监督工作会议3次，推动全市6个市级民主党派对口7个县区开展脱贫攻坚民主监督19次，形成专题报告5篇，提出问题和意见建议38条。</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rPr>
        <w:t>3.</w:t>
      </w:r>
      <w:r>
        <w:rPr>
          <w:rFonts w:hint="eastAsia" w:ascii="仿宋_GB2312" w:hAnsi="仿宋_GB2312" w:eastAsia="仿宋_GB2312" w:cs="仿宋_GB2312"/>
          <w:b w:val="0"/>
          <w:bCs/>
          <w:color w:val="auto"/>
          <w:sz w:val="32"/>
          <w:szCs w:val="32"/>
        </w:rPr>
        <w:t>做深做细民族宗教工作，确保四川北向东出桥头堡和谐稳定。</w:t>
      </w:r>
      <w:r>
        <w:rPr>
          <w:rFonts w:hint="eastAsia" w:ascii="仿宋_GB2312" w:hAnsi="仿宋_GB2312" w:eastAsia="仿宋_GB2312" w:cs="仿宋_GB2312"/>
          <w:b w:val="0"/>
          <w:bCs/>
          <w:color w:val="auto"/>
          <w:sz w:val="32"/>
          <w:szCs w:val="32"/>
          <w:shd w:val="clear" w:color="auto" w:fill="FFFFFF"/>
        </w:rPr>
        <w:t>一是切实落实全省宗教工作会议精神。</w:t>
      </w:r>
      <w:r>
        <w:rPr>
          <w:rFonts w:hint="eastAsia" w:ascii="仿宋_GB2312" w:hAnsi="仿宋_GB2312" w:eastAsia="仿宋_GB2312" w:cs="仿宋_GB2312"/>
          <w:b w:val="0"/>
          <w:bCs/>
          <w:color w:val="auto"/>
          <w:sz w:val="32"/>
          <w:szCs w:val="32"/>
        </w:rPr>
        <w:t>调整成立市委宗教工作领导小组， 4次召开领导小组全体会议。印发《广元市</w:t>
      </w:r>
      <w:r>
        <w:rPr>
          <w:rFonts w:hint="eastAsia" w:ascii="仿宋_GB2312" w:hAnsi="仿宋_GB2312" w:eastAsia="仿宋_GB2312" w:cs="仿宋_GB2312"/>
          <w:b w:val="0"/>
          <w:bCs/>
          <w:color w:val="auto"/>
          <w:sz w:val="32"/>
          <w:szCs w:val="32"/>
          <w:lang w:eastAsia="zh-CN"/>
        </w:rPr>
        <w:t>新修订</w:t>
      </w:r>
      <w:r>
        <w:rPr>
          <w:rFonts w:hint="eastAsia" w:ascii="仿宋_GB2312" w:hAnsi="仿宋_GB2312" w:eastAsia="仿宋_GB2312" w:cs="仿宋_GB2312"/>
          <w:b w:val="0"/>
          <w:bCs/>
          <w:color w:val="auto"/>
          <w:sz w:val="32"/>
          <w:szCs w:val="32"/>
        </w:rPr>
        <w:t>〈宗教事务条例〉集中宣传月活动方案》，采取邀请专家举办专题讲座、群发短信、市级宣传媒体开设宣传专栏、举办座谈交流会等方式，全面深入学习</w:t>
      </w:r>
      <w:r>
        <w:rPr>
          <w:rFonts w:hint="eastAsia" w:ascii="仿宋_GB2312" w:hAnsi="仿宋_GB2312" w:eastAsia="仿宋_GB2312" w:cs="仿宋_GB2312"/>
          <w:b w:val="0"/>
          <w:bCs/>
          <w:color w:val="auto"/>
          <w:sz w:val="32"/>
          <w:szCs w:val="32"/>
          <w:lang w:eastAsia="zh-CN"/>
        </w:rPr>
        <w:t>新修订</w:t>
      </w:r>
      <w:r>
        <w:rPr>
          <w:rFonts w:hint="eastAsia" w:ascii="仿宋_GB2312" w:hAnsi="仿宋_GB2312" w:eastAsia="仿宋_GB2312" w:cs="仿宋_GB2312"/>
          <w:b w:val="0"/>
          <w:bCs/>
          <w:color w:val="auto"/>
          <w:sz w:val="32"/>
          <w:szCs w:val="32"/>
        </w:rPr>
        <w:t>《宗教事务条例》。全年开展宣传活动600余场次、发放宣传资料10余万份、群发短信40余万条。顺利完成市级5个宗教团体换届工作。二是</w:t>
      </w:r>
      <w:r>
        <w:rPr>
          <w:rFonts w:hint="eastAsia" w:ascii="仿宋_GB2312" w:hAnsi="仿宋_GB2312" w:eastAsia="仿宋_GB2312" w:cs="仿宋_GB2312"/>
          <w:b w:val="0"/>
          <w:bCs/>
          <w:color w:val="auto"/>
          <w:sz w:val="32"/>
          <w:szCs w:val="32"/>
          <w:shd w:val="clear" w:color="auto" w:fill="FFFFFF"/>
        </w:rPr>
        <w:t>依法</w:t>
      </w:r>
      <w:r>
        <w:rPr>
          <w:rFonts w:hint="eastAsia" w:ascii="仿宋_GB2312" w:hAnsi="仿宋_GB2312" w:eastAsia="仿宋_GB2312" w:cs="仿宋_GB2312"/>
          <w:b w:val="0"/>
          <w:bCs/>
          <w:color w:val="auto"/>
          <w:sz w:val="32"/>
          <w:szCs w:val="32"/>
          <w:shd w:val="clear" w:color="auto" w:fill="FFFFFF"/>
          <w:lang w:eastAsia="zh-CN"/>
        </w:rPr>
        <w:t>加强宗教事务管理，保护合法，打击非法，成效显著</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shd w:val="clear" w:color="auto" w:fill="FFFFFF"/>
        </w:rPr>
        <w:t>三是大力开展民族团结进步创建活动</w:t>
      </w:r>
      <w:r>
        <w:rPr>
          <w:rFonts w:hint="eastAsia" w:ascii="仿宋_GB2312" w:hAnsi="仿宋_GB2312" w:eastAsia="仿宋_GB2312" w:cs="仿宋_GB2312"/>
          <w:b w:val="0"/>
          <w:bCs/>
          <w:color w:val="auto"/>
          <w:sz w:val="32"/>
          <w:szCs w:val="32"/>
        </w:rPr>
        <w:t>。通过召开座谈会、发放宣传资料、开设宣传栏等形式，广泛宣传民族政策和民族团结进步创建活动。向省民宗委争取发展项目8个、资金</w:t>
      </w:r>
      <w:r>
        <w:rPr>
          <w:rFonts w:hint="eastAsia" w:ascii="仿宋_GB2312" w:hAnsi="仿宋_GB2312" w:eastAsia="仿宋_GB2312" w:cs="仿宋_GB2312"/>
          <w:b w:val="0"/>
          <w:bCs/>
          <w:color w:val="auto"/>
          <w:sz w:val="32"/>
          <w:szCs w:val="32"/>
          <w:lang w:eastAsia="zh-CN"/>
        </w:rPr>
        <w:t>近</w:t>
      </w:r>
      <w:r>
        <w:rPr>
          <w:rFonts w:hint="eastAsia" w:ascii="仿宋_GB2312" w:hAnsi="仿宋_GB2312" w:eastAsia="仿宋_GB2312" w:cs="仿宋_GB2312"/>
          <w:b w:val="0"/>
          <w:bCs/>
          <w:color w:val="auto"/>
          <w:sz w:val="32"/>
          <w:szCs w:val="32"/>
          <w:lang w:val="en-US" w:eastAsia="zh-CN"/>
        </w:rPr>
        <w:t>300</w:t>
      </w:r>
      <w:r>
        <w:rPr>
          <w:rFonts w:hint="eastAsia" w:ascii="仿宋_GB2312" w:hAnsi="仿宋_GB2312" w:eastAsia="仿宋_GB2312" w:cs="仿宋_GB2312"/>
          <w:b w:val="0"/>
          <w:bCs/>
          <w:color w:val="auto"/>
          <w:sz w:val="32"/>
          <w:szCs w:val="32"/>
        </w:rPr>
        <w:t>万</w:t>
      </w:r>
      <w:r>
        <w:rPr>
          <w:rFonts w:hint="eastAsia" w:ascii="仿宋_GB2312" w:hAnsi="仿宋_GB2312" w:eastAsia="仿宋_GB2312" w:cs="仿宋_GB2312"/>
          <w:b w:val="0"/>
          <w:bCs/>
          <w:color w:val="auto"/>
          <w:sz w:val="32"/>
          <w:szCs w:val="32"/>
          <w:lang w:eastAsia="zh-CN"/>
        </w:rPr>
        <w:t>元</w:t>
      </w:r>
      <w:r>
        <w:rPr>
          <w:rFonts w:hint="eastAsia" w:ascii="仿宋_GB2312" w:hAnsi="仿宋_GB2312" w:eastAsia="仿宋_GB2312" w:cs="仿宋_GB2312"/>
          <w:b w:val="0"/>
          <w:bCs/>
          <w:color w:val="auto"/>
          <w:sz w:val="32"/>
          <w:szCs w:val="32"/>
        </w:rPr>
        <w:t>，支持民族乡村基础设施和特色产业发展。</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lang w:val="en-US"/>
        </w:rPr>
        <w:t>4.</w:t>
      </w:r>
      <w:r>
        <w:rPr>
          <w:rFonts w:hint="eastAsia" w:ascii="仿宋_GB2312" w:hAnsi="仿宋_GB2312" w:eastAsia="仿宋_GB2312" w:cs="仿宋_GB2312"/>
          <w:b w:val="0"/>
          <w:bCs/>
          <w:color w:val="auto"/>
          <w:sz w:val="32"/>
          <w:szCs w:val="32"/>
        </w:rPr>
        <w:t>强化培养锻炼，着力建设高素质党外代表人士队伍。</w:t>
      </w:r>
      <w:r>
        <w:rPr>
          <w:rFonts w:hint="eastAsia" w:ascii="仿宋_GB2312" w:hAnsi="仿宋_GB2312" w:eastAsia="仿宋_GB2312" w:cs="仿宋_GB2312"/>
          <w:b w:val="0"/>
          <w:bCs/>
          <w:color w:val="auto"/>
          <w:sz w:val="32"/>
          <w:szCs w:val="32"/>
          <w:shd w:val="clear" w:color="auto" w:fill="FFFFFF"/>
        </w:rPr>
        <w:t>一是做好党外代表人士教育培训。全年共选派35名统战系统干部及党外代表人士参加省社会主义学院主体班次调训。市本级先后在西南交通大学和市社会主义学院举办广元市党外代表人士综合能力素质提升和民主党派基层组织负责人培训班。二是推进党外干部挂职锻炼。推荐2名党外干部参加全省党外干部挂职锻炼，会同市委组织部启动14名优秀年轻党外干部挂职工作。三是建立党外干部配备协同配合机制。市委组织部、统战部先后3次召开联席会议专题研究党外干部队伍建设工作，两部门联合召开党外干部配备工作推进会，推进党外干部配备到位。</w:t>
      </w:r>
      <w:r>
        <w:rPr>
          <w:rFonts w:hint="eastAsia" w:ascii="仿宋_GB2312" w:hAnsi="仿宋_GB2312" w:eastAsia="仿宋_GB2312" w:cs="仿宋_GB2312"/>
          <w:b w:val="0"/>
          <w:bCs/>
          <w:color w:val="auto"/>
          <w:sz w:val="32"/>
          <w:szCs w:val="32"/>
        </w:rPr>
        <w:t>市委研究出台《关于加强年轻干部、女干部、党外干部培养使用工作的实施意见（试行）》，明确规定党外干部选配、后备储备、挂职锻炼比例等7条“硬规定”和同等条件优先使用、干部选配方案预审、纳入重点工作督促等9项“硬举措”，被中央统战部《每日汇报》（2018年11月）刊发。会同组织、人事、国资等部门在全市范围内开展党外人士大摸底、大排查，分层分类建立起党外干部数据模型，创新作法得到省委常委田向利的肯定批示。</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lang w:val="en-US"/>
        </w:rPr>
        <w:t>5.</w:t>
      </w:r>
      <w:r>
        <w:rPr>
          <w:rFonts w:hint="eastAsia" w:ascii="仿宋_GB2312" w:hAnsi="仿宋_GB2312" w:eastAsia="仿宋_GB2312" w:cs="仿宋_GB2312"/>
          <w:b w:val="0"/>
          <w:bCs/>
          <w:color w:val="auto"/>
          <w:sz w:val="32"/>
          <w:szCs w:val="32"/>
        </w:rPr>
        <w:t>围绕 “两个健康”，推动非公有制经济持续健康发展。</w:t>
      </w:r>
      <w:r>
        <w:rPr>
          <w:rFonts w:hint="eastAsia" w:ascii="仿宋_GB2312" w:hAnsi="仿宋_GB2312" w:eastAsia="仿宋_GB2312" w:cs="仿宋_GB2312"/>
          <w:b w:val="0"/>
          <w:bCs/>
          <w:color w:val="auto"/>
          <w:sz w:val="32"/>
          <w:szCs w:val="32"/>
          <w:shd w:val="clear" w:color="auto" w:fill="FFFFFF"/>
        </w:rPr>
        <w:t>一是深入学习</w:t>
      </w:r>
      <w:r>
        <w:rPr>
          <w:rFonts w:hint="eastAsia" w:ascii="仿宋_GB2312" w:hAnsi="仿宋_GB2312" w:eastAsia="仿宋_GB2312" w:cs="仿宋_GB2312"/>
          <w:b w:val="0"/>
          <w:bCs/>
          <w:color w:val="auto"/>
          <w:sz w:val="32"/>
          <w:szCs w:val="32"/>
        </w:rPr>
        <w:t>习近平总书记关于民营经济发展的重要论述和省委书记彭清华在全省民营经济健康发展大会上的讲话精神，强化 “两个毫不动摇”“三个没有变”认识，引导民营企业家坚定发展的信心和决心。举办民营企业创新驱动发展战略、积分制管理、混合所有制改革和“问需求、查短板、帮发展”民营企业税收等专题讲座4期，组织企业家赴清华大学等知名高校参加“创新型企业高级管理人员培训班”“非公经济组织党建工作培训班”，组织民营企业提能培训12期、培训企业家及高管人才1200余人次，全市民营企业家理想信念和能力素质得到提升，30余名非公经济人士获表彰奖励。</w:t>
      </w:r>
      <w:r>
        <w:rPr>
          <w:rFonts w:hint="eastAsia" w:ascii="仿宋_GB2312" w:hAnsi="仿宋_GB2312" w:eastAsia="仿宋_GB2312" w:cs="仿宋_GB2312"/>
          <w:b w:val="0"/>
          <w:bCs/>
          <w:color w:val="auto"/>
          <w:sz w:val="32"/>
          <w:szCs w:val="32"/>
          <w:shd w:val="clear" w:color="auto" w:fill="FFFFFF"/>
        </w:rPr>
        <w:t>二是着力推动构建亲清新型政商关系。制定构建亲清政商关系“六条规定”，</w:t>
      </w:r>
      <w:r>
        <w:rPr>
          <w:rFonts w:hint="eastAsia" w:ascii="仿宋_GB2312" w:hAnsi="仿宋_GB2312" w:eastAsia="仿宋_GB2312" w:cs="仿宋_GB2312"/>
          <w:b w:val="0"/>
          <w:bCs/>
          <w:color w:val="auto"/>
          <w:sz w:val="32"/>
          <w:szCs w:val="32"/>
        </w:rPr>
        <w:t>建立部领导联系企业和商（协）会等制度，坚持走访调研送政策、纳诉求、跟踪服务。全年会同有关部门破解民营企业融资、用工难题和化解用地、商务纠纷等51件，协助四川唯鸿生物科技、广元帆舟食品、广元牛牛生物科技公司建成我市第五批院士（专家）工作站。</w:t>
      </w:r>
      <w:r>
        <w:rPr>
          <w:rFonts w:hint="eastAsia" w:ascii="仿宋_GB2312" w:hAnsi="仿宋_GB2312" w:eastAsia="仿宋_GB2312" w:cs="仿宋_GB2312"/>
          <w:b w:val="0"/>
          <w:bCs/>
          <w:color w:val="auto"/>
          <w:sz w:val="32"/>
          <w:szCs w:val="32"/>
          <w:shd w:val="clear" w:color="auto" w:fill="FFFFFF"/>
        </w:rPr>
        <w:t>三是组织开展“万企帮万村”精准扶贫行动。召开全市“万企帮万村”工作推进会，举办“万企帮万村”精准扶贫行动图片展等活动。建立商会企业扶贫台账，促成帮扶部门、挂联企业有效对接，全市842家非公企业、57个商（协）会结对帮扶贫困村457个，实施帮扶项目581个，直接投入帮扶资金2.83亿元，辐射带动3万余贫困人口。其中，2018年社会扶贫日捐资捐物3117.7万元。</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lang w:val="en-US"/>
        </w:rPr>
        <w:t>6.</w:t>
      </w:r>
      <w:r>
        <w:rPr>
          <w:rFonts w:hint="eastAsia" w:ascii="仿宋_GB2312" w:hAnsi="仿宋_GB2312" w:eastAsia="仿宋_GB2312" w:cs="仿宋_GB2312"/>
          <w:b w:val="0"/>
          <w:bCs/>
          <w:color w:val="auto"/>
          <w:sz w:val="32"/>
          <w:szCs w:val="32"/>
        </w:rPr>
        <w:t>强化组织载体建设，推动党外知识分子和新的社会阶层人士统战工作再上台阶。</w:t>
      </w:r>
      <w:r>
        <w:rPr>
          <w:rFonts w:hint="eastAsia" w:ascii="仿宋_GB2312" w:hAnsi="仿宋_GB2312" w:eastAsia="仿宋_GB2312" w:cs="仿宋_GB2312"/>
          <w:b w:val="0"/>
          <w:bCs/>
          <w:color w:val="auto"/>
          <w:sz w:val="32"/>
          <w:szCs w:val="32"/>
          <w:shd w:val="clear" w:color="auto" w:fill="FFFFFF"/>
        </w:rPr>
        <w:t>一是协助建立健全工作机制。出台市级党政领导干部列名联系新的社会阶层代表人士制度，安排专门经费保障联谊会工作运转，协调解决办公场所，配齐日常办公设备，并建立了工作、会议、财务和考评等相关制度。常态开展会员单位走访调研和慰问活动，进一步凝聚组织向心力。全年累计走访会员单位32家，关心慰问会员60余人次。二是扎实开展主题教育活动。持续开展“不忘初心跟党走·凝新筑梦新时代”暨“践行社会主义核心价值观”主题活动，通过召开座谈会、外出参观考察、举办专题辅导、开设综合能力素质培训班等方式，引导他们积极践行社会主义核心价值观，做合格的中国特色社会主义事业建设者。先后成功举办纪念改革开放40周年活动和广元市第三届网络春晚。2018年，各级组织定期举办“创业培训班”“精英论坛”“企业沙龙”“同心讲堂”20余场，开展创业培训6期，参训人员300余人。三是立足优势发挥作用。着眼联谊会人才富集、专业性强的优势，引导他们举办“森林+中草药康养疗法及基地建设技术研讨会”“高铁与发展论坛”“智能制造交流对接会”“文体旅融合发展”等各类座谈会、建言献策会等7次。其中，市知联会《关于“实施‘美丽四川·锦绣蜀道’生态工程”的建议》得到市委主要领导签批，并在省知联会“大学习 大讨论 大调研”活动建言献策成果交流会上作交流发言。</w:t>
      </w:r>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rPr>
        <w:t>7.</w:t>
      </w:r>
      <w:r>
        <w:rPr>
          <w:rFonts w:hint="eastAsia" w:ascii="仿宋_GB2312" w:hAnsi="仿宋_GB2312" w:eastAsia="仿宋_GB2312" w:cs="仿宋_GB2312"/>
          <w:b w:val="0"/>
          <w:bCs/>
          <w:color w:val="auto"/>
          <w:sz w:val="32"/>
          <w:szCs w:val="32"/>
        </w:rPr>
        <w:t>坚持有为有位理念，着力打造统一战线特色品牌。</w:t>
      </w:r>
      <w:r>
        <w:rPr>
          <w:rFonts w:hint="eastAsia" w:ascii="仿宋_GB2312" w:hAnsi="仿宋_GB2312" w:eastAsia="仿宋_GB2312" w:cs="仿宋_GB2312"/>
          <w:b w:val="0"/>
          <w:bCs/>
          <w:color w:val="auto"/>
          <w:sz w:val="32"/>
          <w:szCs w:val="32"/>
          <w:shd w:val="clear" w:color="auto" w:fill="FFFFFF"/>
        </w:rPr>
        <w:t>一是加快“九地合作”示范区建设。借力九三学社全国组织力量，以推进实施“一区两项目”为目标，务实推进九广合作纵深发展，先后争取农业农村部、生态环境部在我市实施“果蔬茶有机肥替代化肥示范县”项目和嘉陵江广元段生态环境保护项目。2018年，山西省临汾市政府和广东、湖南以及省内宜宾等地九三学社组织先后考察调研九广合作项目和工作机制，初步发挥了九广合作的示范作用，九广合作经验在省委办公厅《每日要情》刊发。二是探索建立统战工作绩效目标体系。针对各地、各单位统战工作基础、职能、着力点等方面差异和部机关各科室分工差异，分别制定出台目标绩效考评文件，明确了各地、各单位和部机关各科室2018年度统一战线工作考评内容和评价标准，构建全市统战工作考核体系。工作经验得到中央统战部《每日汇报》刊用推广。三是实施“一县区一品牌”方案。苍溪县高规格打造红军渡全省统一战线爱国主义教育基地；旺苍县借力九广合作打造“村集体经济发展、红色基因传承、科技助农转化”三大发展基地；剑阁县打造“双创中心”助力新的社会阶层人士创新实践；青川县吸引返乡创业支持红光乡同心脱贫基地产业培育；利州区打造统一战线助推乡村振兴龙潭乡示范带；昭化区支持民营企业家创建“同心·奔康”示范基地带动周边群众脱贫致富；朝天区与陕西省略阳县共建“川陕同心示范走廊”，助力川陕革命老区振兴发展规划实施，工作作法得到田向利部长的充分肯定。四是助力东西部扶贫协作。</w:t>
      </w:r>
      <w:r>
        <w:rPr>
          <w:rFonts w:hint="eastAsia" w:ascii="仿宋_GB2312" w:hAnsi="仿宋_GB2312" w:eastAsia="仿宋_GB2312" w:cs="仿宋_GB2312"/>
          <w:b w:val="0"/>
          <w:bCs/>
          <w:color w:val="auto"/>
          <w:sz w:val="32"/>
          <w:szCs w:val="32"/>
        </w:rPr>
        <w:t>与民建台州市委、丽水市工商联等19个统一战线组织结为友好结对帮扶单位，签订合作协议9个，统一战线服务全市经济社会发展优势凸显。</w:t>
      </w:r>
      <w:bookmarkStart w:id="20" w:name="_Toc15396601"/>
      <w:bookmarkStart w:id="21" w:name="_Toc15377200"/>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Style w:val="26"/>
          <w:rFonts w:hint="eastAsia" w:ascii="黑体" w:hAnsi="黑体" w:eastAsia="黑体"/>
          <w:b w:val="0"/>
          <w:bCs w:val="0"/>
          <w:color w:val="auto"/>
          <w:sz w:val="32"/>
          <w:szCs w:val="32"/>
        </w:rPr>
      </w:pPr>
      <w:r>
        <w:rPr>
          <w:rFonts w:hint="eastAsia" w:ascii="黑体" w:eastAsia="黑体"/>
          <w:b w:val="0"/>
          <w:color w:val="auto"/>
          <w:sz w:val="32"/>
          <w:szCs w:val="32"/>
        </w:rPr>
        <w:t>二、</w:t>
      </w:r>
      <w:r>
        <w:rPr>
          <w:rFonts w:hint="eastAsia" w:ascii="黑体" w:hAnsi="黑体" w:eastAsia="黑体"/>
          <w:b w:val="0"/>
          <w:color w:val="auto"/>
          <w:sz w:val="32"/>
          <w:szCs w:val="32"/>
        </w:rPr>
        <w:t>机</w:t>
      </w:r>
      <w:r>
        <w:rPr>
          <w:rStyle w:val="26"/>
          <w:rFonts w:hint="eastAsia" w:ascii="黑体" w:hAnsi="黑体" w:eastAsia="黑体"/>
          <w:b w:val="0"/>
          <w:bCs w:val="0"/>
          <w:color w:val="auto"/>
          <w:sz w:val="32"/>
          <w:szCs w:val="32"/>
        </w:rPr>
        <w:t>构设置</w:t>
      </w:r>
      <w:bookmarkEnd w:id="20"/>
      <w:bookmarkEnd w:id="21"/>
    </w:p>
    <w:p>
      <w:pPr>
        <w:pageBreakBefore w:val="0"/>
        <w:widowControl w:val="0"/>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市委统战部</w:t>
      </w:r>
      <w:r>
        <w:rPr>
          <w:rFonts w:hint="eastAsia" w:ascii="仿宋" w:hAnsi="仿宋" w:eastAsia="仿宋"/>
          <w:color w:val="auto"/>
          <w:sz w:val="32"/>
          <w:szCs w:val="32"/>
        </w:rPr>
        <w:t>下属二级单位</w:t>
      </w:r>
      <w:r>
        <w:rPr>
          <w:rFonts w:hint="default" w:ascii="仿宋" w:hAnsi="仿宋" w:eastAsia="仿宋"/>
          <w:color w:val="auto"/>
          <w:sz w:val="32"/>
          <w:szCs w:val="32"/>
          <w:lang w:val="en-US" w:eastAsia="zh-CN"/>
        </w:rPr>
        <w:t>7</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个，参照公务员法管理的事业单位</w:t>
      </w:r>
      <w:r>
        <w:rPr>
          <w:rFonts w:hint="eastAsia" w:ascii="仿宋" w:hAnsi="仿宋" w:eastAsia="仿宋"/>
          <w:bCs/>
          <w:color w:val="auto"/>
          <w:sz w:val="32"/>
          <w:szCs w:val="32"/>
          <w:lang w:val="en-US" w:eastAsia="zh-CN"/>
        </w:rPr>
        <w:t>0</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个。纳入</w:t>
      </w:r>
      <w:r>
        <w:rPr>
          <w:rFonts w:hint="eastAsia" w:ascii="仿宋" w:hAnsi="仿宋" w:eastAsia="仿宋"/>
          <w:color w:val="auto"/>
          <w:sz w:val="32"/>
          <w:szCs w:val="32"/>
          <w:lang w:eastAsia="zh-CN"/>
        </w:rPr>
        <w:t>市委统战部</w:t>
      </w:r>
      <w:r>
        <w:rPr>
          <w:rFonts w:hint="eastAsia" w:ascii="仿宋" w:hAnsi="仿宋" w:eastAsia="仿宋"/>
          <w:color w:val="auto"/>
          <w:sz w:val="32"/>
          <w:szCs w:val="32"/>
        </w:rPr>
        <w:t>2018年度部门决算编制范围的二级预算单位包括：</w:t>
      </w:r>
      <w:bookmarkStart w:id="22" w:name="_Toc15306276"/>
      <w:bookmarkStart w:id="23" w:name="_Toc15377202"/>
      <w:bookmarkStart w:id="24" w:name="_Toc15378449"/>
      <w:bookmarkStart w:id="25" w:name="_Toc15377433"/>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olor w:val="auto"/>
          <w:sz w:val="32"/>
          <w:szCs w:val="32"/>
        </w:rPr>
      </w:pPr>
      <w:r>
        <w:rPr>
          <w:rFonts w:hint="default" w:ascii="仿宋" w:hAnsi="仿宋" w:eastAsia="仿宋"/>
          <w:color w:val="auto"/>
          <w:sz w:val="32"/>
          <w:szCs w:val="32"/>
          <w:lang w:val="en-US" w:eastAsia="zh-CN"/>
        </w:rPr>
        <w:t>1.</w:t>
      </w:r>
      <w:r>
        <w:rPr>
          <w:rFonts w:hint="eastAsia" w:ascii="仿宋" w:hAnsi="仿宋" w:eastAsia="仿宋"/>
          <w:color w:val="auto"/>
          <w:sz w:val="32"/>
          <w:szCs w:val="32"/>
          <w:lang w:eastAsia="zh-CN"/>
        </w:rPr>
        <w:t>民革广元市委</w:t>
      </w:r>
      <w:bookmarkEnd w:id="22"/>
      <w:bookmarkEnd w:id="23"/>
      <w:bookmarkEnd w:id="24"/>
      <w:bookmarkEnd w:id="25"/>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民盟广元市委</w:t>
      </w:r>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民建广元市委</w:t>
      </w:r>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民进广元市委</w:t>
      </w:r>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农工党广元市委</w:t>
      </w:r>
    </w:p>
    <w:p>
      <w:pPr>
        <w:pageBreakBefore w:val="0"/>
        <w:widowControl w:val="0"/>
        <w:numPr>
          <w:ilvl w:val="0"/>
          <w:numId w:val="0"/>
        </w:numPr>
        <w:pBdr>
          <w:bottom w:val="single" w:color="FFFFFF" w:sz="4" w:space="31"/>
        </w:pBdr>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olor w:val="auto"/>
          <w:kern w:val="0"/>
          <w:sz w:val="32"/>
          <w:szCs w:val="32"/>
        </w:rPr>
      </w:pPr>
      <w:r>
        <w:rPr>
          <w:rFonts w:hint="default" w:ascii="仿宋" w:hAnsi="仿宋" w:eastAsia="仿宋"/>
          <w:color w:val="auto"/>
          <w:sz w:val="32"/>
          <w:szCs w:val="32"/>
          <w:lang w:val="en-US" w:eastAsia="zh-CN"/>
        </w:rPr>
        <w:t>6</w:t>
      </w:r>
      <w:r>
        <w:rPr>
          <w:rFonts w:hint="eastAsia" w:ascii="仿宋" w:hAnsi="仿宋" w:eastAsia="仿宋"/>
          <w:color w:val="auto"/>
          <w:sz w:val="32"/>
          <w:szCs w:val="32"/>
          <w:lang w:val="en-US" w:eastAsia="zh-CN"/>
        </w:rPr>
        <w:t>.九三学社</w:t>
      </w:r>
      <w:r>
        <w:rPr>
          <w:rFonts w:hint="eastAsia" w:ascii="仿宋" w:hAnsi="仿宋" w:eastAsia="仿宋"/>
          <w:color w:val="auto"/>
          <w:sz w:val="32"/>
          <w:szCs w:val="32"/>
          <w:lang w:eastAsia="zh-CN"/>
        </w:rPr>
        <w:t>广元市委</w:t>
      </w:r>
      <w:r>
        <w:rPr>
          <w:rFonts w:ascii="仿宋" w:hAnsi="仿宋" w:eastAsia="仿宋"/>
          <w:color w:val="auto"/>
          <w:sz w:val="32"/>
          <w:szCs w:val="32"/>
        </w:rPr>
        <w:br w:type="page"/>
      </w:r>
    </w:p>
    <w:p>
      <w:pPr>
        <w:pStyle w:val="2"/>
        <w:pageBreakBefore w:val="0"/>
        <w:widowControl w:val="0"/>
        <w:kinsoku/>
        <w:wordWrap/>
        <w:overflowPunct/>
        <w:topLinePunct w:val="0"/>
        <w:autoSpaceDE/>
        <w:autoSpaceDN/>
        <w:bidi w:val="0"/>
        <w:adjustRightInd/>
        <w:snapToGrid/>
        <w:spacing w:before="0" w:after="0" w:line="600" w:lineRule="exact"/>
        <w:ind w:right="440"/>
        <w:jc w:val="right"/>
        <w:textAlignment w:val="auto"/>
        <w:rPr>
          <w:rStyle w:val="25"/>
          <w:rFonts w:ascii="黑体" w:hAnsi="黑体" w:eastAsia="黑体"/>
          <w:b w:val="0"/>
          <w:bCs w:val="0"/>
          <w:color w:val="auto"/>
        </w:rPr>
      </w:pPr>
      <w:bookmarkStart w:id="26" w:name="_Toc15377204"/>
      <w:bookmarkStart w:id="27" w:name="_Toc15396602"/>
      <w:r>
        <w:rPr>
          <w:rFonts w:hint="eastAsia" w:ascii="黑体" w:hAnsi="黑体" w:eastAsia="黑体"/>
          <w:b w:val="0"/>
          <w:color w:val="auto"/>
        </w:rPr>
        <w:t>第二部分</w:t>
      </w:r>
      <w:r>
        <w:rPr>
          <w:rStyle w:val="25"/>
          <w:rFonts w:hint="eastAsia" w:ascii="黑体" w:hAnsi="黑体" w:eastAsia="黑体"/>
          <w:b w:val="0"/>
          <w:bCs w:val="0"/>
          <w:color w:val="auto"/>
        </w:rPr>
        <w:t>2018年度部门决算情况说明</w:t>
      </w:r>
      <w:bookmarkEnd w:id="26"/>
      <w:bookmarkEnd w:id="27"/>
    </w:p>
    <w:p>
      <w:pPr>
        <w:pageBreakBefore w:val="0"/>
        <w:widowControl w:val="0"/>
        <w:kinsoku/>
        <w:wordWrap/>
        <w:overflowPunct/>
        <w:topLinePunct w:val="0"/>
        <w:autoSpaceDE/>
        <w:autoSpaceDN/>
        <w:bidi w:val="0"/>
        <w:adjustRightInd/>
        <w:snapToGrid/>
        <w:spacing w:line="600" w:lineRule="exact"/>
        <w:textAlignment w:val="auto"/>
        <w:rPr>
          <w:color w:val="auto"/>
        </w:rPr>
      </w:pP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color w:val="auto"/>
        </w:rPr>
      </w:pPr>
      <w:bookmarkStart w:id="28" w:name="_Toc15377205"/>
      <w:bookmarkStart w:id="29" w:name="_Toc15396603"/>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2018年度收、支总计</w:t>
      </w:r>
      <w:r>
        <w:rPr>
          <w:rFonts w:hint="eastAsia" w:ascii="仿宋" w:hAnsi="仿宋" w:eastAsia="仿宋"/>
          <w:color w:val="auto"/>
          <w:sz w:val="32"/>
          <w:szCs w:val="32"/>
          <w:lang w:val="en-US" w:eastAsia="zh-CN"/>
        </w:rPr>
        <w:t>1091.88万元</w:t>
      </w:r>
      <w:r>
        <w:rPr>
          <w:rFonts w:hint="eastAsia" w:ascii="仿宋" w:hAnsi="仿宋" w:eastAsia="仿宋"/>
          <w:color w:val="auto"/>
          <w:sz w:val="32"/>
          <w:szCs w:val="32"/>
        </w:rPr>
        <w:t>。与2017年相比，收、支总计增加</w:t>
      </w:r>
      <w:r>
        <w:rPr>
          <w:rFonts w:hint="eastAsia" w:ascii="仿宋" w:hAnsi="仿宋" w:eastAsia="仿宋"/>
          <w:color w:val="auto"/>
          <w:sz w:val="32"/>
          <w:szCs w:val="32"/>
          <w:lang w:val="en-US" w:eastAsia="zh-CN"/>
        </w:rPr>
        <w:t>93.11万元，增长9%</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新增人员</w:t>
      </w:r>
      <w:r>
        <w:rPr>
          <w:rFonts w:hint="eastAsia" w:ascii="仿宋" w:hAnsi="仿宋" w:eastAsia="仿宋"/>
          <w:color w:val="auto"/>
          <w:sz w:val="32"/>
          <w:szCs w:val="32"/>
          <w:lang w:val="en-US" w:eastAsia="zh-CN"/>
        </w:rPr>
        <w:t>3人，工作任务增加。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000" cy="2743200"/>
            <wp:effectExtent l="4445" t="4445" r="14605" b="14605"/>
            <wp:docPr id="105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color w:val="auto"/>
        </w:rPr>
      </w:pPr>
      <w:bookmarkStart w:id="30" w:name="_Toc15377206"/>
      <w:bookmarkStart w:id="31" w:name="_Toc15396604"/>
      <w:r>
        <w:rPr>
          <w:rFonts w:hint="eastAsia" w:ascii="黑体" w:hAnsi="黑体" w:eastAsia="黑体"/>
          <w:color w:val="auto"/>
          <w:sz w:val="32"/>
          <w:szCs w:val="32"/>
        </w:rPr>
        <w:t>收</w:t>
      </w:r>
      <w:r>
        <w:rPr>
          <w:rStyle w:val="26"/>
          <w:rFonts w:hint="eastAsia" w:ascii="黑体" w:hAnsi="黑体" w:eastAsia="黑体"/>
          <w:b w:val="0"/>
          <w:color w:val="auto"/>
        </w:rPr>
        <w:t>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8年本年收入合计</w:t>
      </w:r>
      <w:r>
        <w:rPr>
          <w:rFonts w:hint="eastAsia" w:ascii="仿宋" w:hAnsi="仿宋" w:eastAsia="仿宋"/>
          <w:color w:val="auto"/>
          <w:sz w:val="32"/>
          <w:szCs w:val="32"/>
          <w:lang w:val="en-US" w:eastAsia="zh-CN"/>
        </w:rPr>
        <w:t>10</w:t>
      </w:r>
      <w:r>
        <w:rPr>
          <w:rFonts w:hint="default" w:ascii="仿宋" w:hAnsi="仿宋" w:eastAsia="仿宋"/>
          <w:color w:val="auto"/>
          <w:sz w:val="32"/>
          <w:szCs w:val="32"/>
          <w:lang w:val="en-US" w:eastAsia="zh-CN"/>
        </w:rPr>
        <w:t>00</w:t>
      </w:r>
      <w:r>
        <w:rPr>
          <w:rFonts w:hint="eastAsia" w:ascii="仿宋" w:hAnsi="仿宋" w:eastAsia="仿宋"/>
          <w:color w:val="auto"/>
          <w:sz w:val="32"/>
          <w:szCs w:val="32"/>
          <w:lang w:val="en-US" w:eastAsia="zh-CN"/>
        </w:rPr>
        <w:t>.8</w:t>
      </w:r>
      <w:r>
        <w:rPr>
          <w:rFonts w:hint="default" w:ascii="仿宋" w:hAnsi="仿宋" w:eastAsia="仿宋"/>
          <w:color w:val="auto"/>
          <w:sz w:val="32"/>
          <w:szCs w:val="32"/>
          <w:lang w:val="en-US" w:eastAsia="zh-CN"/>
        </w:rPr>
        <w:t>5</w:t>
      </w:r>
      <w:r>
        <w:rPr>
          <w:rFonts w:hint="eastAsia" w:ascii="仿宋" w:hAnsi="仿宋" w:eastAsia="仿宋"/>
          <w:color w:val="auto"/>
          <w:sz w:val="32"/>
          <w:szCs w:val="32"/>
        </w:rPr>
        <w:t>万元，其中：一般公共预算财政拨款收入984.97万元，占</w:t>
      </w:r>
      <w:r>
        <w:rPr>
          <w:rFonts w:hint="eastAsia" w:ascii="仿宋" w:hAnsi="仿宋" w:eastAsia="仿宋"/>
          <w:color w:val="auto"/>
          <w:sz w:val="32"/>
          <w:szCs w:val="32"/>
          <w:lang w:val="en-US" w:eastAsia="zh-CN"/>
        </w:rPr>
        <w:t>9</w:t>
      </w:r>
      <w:r>
        <w:rPr>
          <w:rFonts w:hint="default" w:ascii="仿宋" w:hAnsi="仿宋" w:eastAsia="仿宋"/>
          <w:color w:val="auto"/>
          <w:sz w:val="32"/>
          <w:szCs w:val="32"/>
          <w:lang w:val="en-US" w:eastAsia="zh-CN"/>
        </w:rPr>
        <w:t>8</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；国有资本经营预算财政拨款收入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15.87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000" cy="2743200"/>
            <wp:effectExtent l="4445" t="4445" r="14605" b="14605"/>
            <wp:docPr id="105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图2：收入决算结构图</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color w:val="auto"/>
        </w:rPr>
      </w:pPr>
      <w:bookmarkStart w:id="32" w:name="_Toc15377207"/>
      <w:bookmarkStart w:id="33" w:name="_Toc15396605"/>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8年本年支出合计</w:t>
      </w:r>
      <w:r>
        <w:rPr>
          <w:rFonts w:hint="eastAsia" w:ascii="仿宋" w:hAnsi="仿宋" w:eastAsia="仿宋"/>
          <w:color w:val="auto"/>
          <w:sz w:val="32"/>
          <w:szCs w:val="32"/>
          <w:lang w:val="en-US" w:eastAsia="zh-CN"/>
        </w:rPr>
        <w:t>1011.31</w:t>
      </w:r>
      <w:r>
        <w:rPr>
          <w:rFonts w:hint="eastAsia" w:ascii="仿宋" w:hAnsi="仿宋" w:eastAsia="仿宋"/>
          <w:color w:val="auto"/>
          <w:sz w:val="32"/>
          <w:szCs w:val="32"/>
        </w:rPr>
        <w:t>万元，其中：基本支出749.03万元，占</w:t>
      </w:r>
      <w:r>
        <w:rPr>
          <w:rFonts w:hint="eastAsia" w:ascii="仿宋" w:hAnsi="仿宋" w:eastAsia="仿宋"/>
          <w:color w:val="auto"/>
          <w:sz w:val="32"/>
          <w:szCs w:val="32"/>
          <w:lang w:val="en-US" w:eastAsia="zh-CN"/>
        </w:rPr>
        <w:t>74</w:t>
      </w:r>
      <w:r>
        <w:rPr>
          <w:rFonts w:ascii="仿宋" w:hAnsi="仿宋" w:eastAsia="仿宋"/>
          <w:color w:val="auto"/>
          <w:sz w:val="32"/>
          <w:szCs w:val="32"/>
        </w:rPr>
        <w:t>%</w:t>
      </w:r>
      <w:r>
        <w:rPr>
          <w:rFonts w:hint="eastAsia" w:ascii="仿宋" w:hAnsi="仿宋" w:eastAsia="仿宋"/>
          <w:color w:val="auto"/>
          <w:sz w:val="32"/>
          <w:szCs w:val="32"/>
        </w:rPr>
        <w:t>；项目支出262.29万元，占</w:t>
      </w:r>
      <w:r>
        <w:rPr>
          <w:rFonts w:hint="eastAsia" w:ascii="仿宋" w:hAnsi="仿宋" w:eastAsia="仿宋"/>
          <w:color w:val="auto"/>
          <w:sz w:val="32"/>
          <w:szCs w:val="32"/>
          <w:lang w:val="en-US" w:eastAsia="zh-CN"/>
        </w:rPr>
        <w:t>26</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6"/>
          <w:rFonts w:ascii="黑体" w:hAnsi="黑体" w:eastAsia="黑体"/>
          <w:b w:val="0"/>
          <w:color w:val="auto"/>
        </w:rPr>
      </w:pPr>
      <w:bookmarkStart w:id="34" w:name="_Toc15396606"/>
      <w:bookmarkStart w:id="35"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ascii="仿宋" w:hAnsi="仿宋" w:eastAsia="仿宋"/>
          <w:color w:val="auto"/>
          <w:sz w:val="32"/>
          <w:szCs w:val="32"/>
        </w:rPr>
        <w:t>201</w:t>
      </w:r>
      <w:r>
        <w:rPr>
          <w:rFonts w:hint="eastAsia" w:ascii="仿宋" w:hAnsi="仿宋" w:eastAsia="仿宋"/>
          <w:color w:val="auto"/>
          <w:sz w:val="32"/>
          <w:szCs w:val="32"/>
        </w:rPr>
        <w:t>8年财政拨款收、支总计</w:t>
      </w:r>
      <w:r>
        <w:rPr>
          <w:rFonts w:hint="eastAsia" w:ascii="仿宋" w:hAnsi="仿宋" w:eastAsia="仿宋"/>
          <w:color w:val="auto"/>
          <w:sz w:val="32"/>
          <w:szCs w:val="32"/>
          <w:lang w:val="en-US" w:eastAsia="zh-CN"/>
        </w:rPr>
        <w:t>10</w:t>
      </w:r>
      <w:r>
        <w:rPr>
          <w:rFonts w:hint="default" w:ascii="仿宋" w:hAnsi="仿宋" w:eastAsia="仿宋"/>
          <w:color w:val="auto"/>
          <w:sz w:val="32"/>
          <w:szCs w:val="32"/>
          <w:lang w:val="en-US" w:eastAsia="zh-CN"/>
        </w:rPr>
        <w:t>15.46</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rPr>
        <w:t>7年相比，财政拨款收、支总计增加</w:t>
      </w:r>
      <w:r>
        <w:rPr>
          <w:rFonts w:hint="default" w:ascii="仿宋" w:hAnsi="仿宋" w:eastAsia="仿宋"/>
          <w:color w:val="auto"/>
          <w:sz w:val="32"/>
          <w:szCs w:val="32"/>
          <w:lang w:val="en-US" w:eastAsia="zh-CN"/>
        </w:rPr>
        <w:t>16.69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增长</w:t>
      </w:r>
      <w:r>
        <w:rPr>
          <w:rFonts w:hint="default" w:ascii="仿宋" w:hAnsi="仿宋" w:eastAsia="仿宋"/>
          <w:color w:val="auto"/>
          <w:sz w:val="32"/>
          <w:szCs w:val="32"/>
          <w:lang w:val="en-US" w:eastAsia="zh-CN"/>
        </w:rPr>
        <w:t>1.6</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新增人员</w:t>
      </w:r>
      <w:r>
        <w:rPr>
          <w:rFonts w:hint="eastAsia" w:ascii="仿宋" w:hAnsi="仿宋" w:eastAsia="仿宋"/>
          <w:color w:val="auto"/>
          <w:sz w:val="32"/>
          <w:szCs w:val="32"/>
          <w:lang w:val="en-US" w:eastAsia="zh-CN"/>
        </w:rPr>
        <w:t>3人，工作任务增加。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635" cy="2743200"/>
            <wp:effectExtent l="4445" t="4445" r="13970" b="14605"/>
            <wp:docPr id="106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6"/>
          <w:rFonts w:ascii="黑体" w:hAnsi="黑体" w:eastAsia="黑体"/>
          <w:b w:val="0"/>
          <w:color w:val="auto"/>
        </w:rPr>
      </w:pPr>
      <w:bookmarkStart w:id="36" w:name="_Toc15396607"/>
      <w:bookmarkStart w:id="37"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 w:val="0"/>
          <w:bCs/>
          <w:color w:val="auto"/>
          <w:sz w:val="32"/>
          <w:szCs w:val="32"/>
        </w:rPr>
      </w:pPr>
      <w:bookmarkStart w:id="38" w:name="_Toc15377210"/>
      <w:r>
        <w:rPr>
          <w:rFonts w:hint="eastAsia" w:ascii="楷体" w:hAnsi="楷体" w:eastAsia="楷体" w:cs="楷体"/>
          <w:b w:val="0"/>
          <w:bCs/>
          <w:color w:val="auto"/>
          <w:sz w:val="32"/>
          <w:szCs w:val="32"/>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8年一般公共预算财政拨款支出995.44万元，占本年支出合计的</w:t>
      </w:r>
      <w:r>
        <w:rPr>
          <w:rFonts w:hint="eastAsia" w:ascii="仿宋" w:hAnsi="仿宋" w:eastAsia="仿宋"/>
          <w:color w:val="auto"/>
          <w:sz w:val="32"/>
          <w:szCs w:val="32"/>
          <w:lang w:val="en-US" w:eastAsia="zh-CN"/>
        </w:rPr>
        <w:t>98</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rPr>
        <w:t>7年相比，一般公共预算财政拨款</w:t>
      </w:r>
      <w:r>
        <w:rPr>
          <w:rFonts w:hint="eastAsia" w:ascii="仿宋" w:hAnsi="仿宋" w:eastAsia="仿宋"/>
          <w:color w:val="auto"/>
          <w:sz w:val="32"/>
          <w:szCs w:val="32"/>
          <w:lang w:val="en-US" w:eastAsia="zh-CN"/>
        </w:rPr>
        <w:t>支出</w:t>
      </w:r>
      <w:r>
        <w:rPr>
          <w:rFonts w:hint="eastAsia" w:ascii="仿宋" w:hAnsi="仿宋" w:eastAsia="仿宋"/>
          <w:color w:val="auto"/>
          <w:sz w:val="32"/>
          <w:szCs w:val="32"/>
        </w:rPr>
        <w:t>增加</w:t>
      </w:r>
      <w:r>
        <w:rPr>
          <w:rFonts w:hint="default" w:ascii="仿宋" w:hAnsi="仿宋" w:eastAsia="仿宋"/>
          <w:color w:val="auto"/>
          <w:sz w:val="32"/>
          <w:szCs w:val="32"/>
          <w:lang w:val="en-US" w:eastAsia="zh-CN"/>
        </w:rPr>
        <w:t>27.32</w:t>
      </w:r>
      <w:r>
        <w:rPr>
          <w:rFonts w:hint="eastAsia" w:ascii="仿宋" w:hAnsi="仿宋" w:eastAsia="仿宋"/>
          <w:color w:val="auto"/>
          <w:sz w:val="32"/>
          <w:szCs w:val="32"/>
        </w:rPr>
        <w:t>万元，增长</w:t>
      </w:r>
      <w:r>
        <w:rPr>
          <w:rFonts w:hint="default" w:ascii="仿宋" w:hAnsi="仿宋" w:eastAsia="仿宋"/>
          <w:color w:val="auto"/>
          <w:sz w:val="32"/>
          <w:szCs w:val="32"/>
          <w:lang w:val="en-US" w:eastAsia="zh-CN"/>
        </w:rPr>
        <w:t>2.8</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新增人员</w:t>
      </w:r>
      <w:r>
        <w:rPr>
          <w:rFonts w:hint="eastAsia" w:ascii="仿宋" w:hAnsi="仿宋" w:eastAsia="仿宋"/>
          <w:color w:val="auto"/>
          <w:sz w:val="32"/>
          <w:szCs w:val="32"/>
          <w:lang w:val="en-US" w:eastAsia="zh-CN"/>
        </w:rPr>
        <w:t>3人，工作任务增加。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olor w:val="auto"/>
          <w:sz w:val="32"/>
          <w:szCs w:val="32"/>
          <w:lang w:eastAsia="zh-CN"/>
        </w:rPr>
      </w:pPr>
      <w:r>
        <w:rPr>
          <w:color w:val="auto"/>
        </w:rP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2"/>
        <w:rPr>
          <w:rFonts w:hint="eastAsia" w:ascii="楷体" w:hAnsi="楷体" w:eastAsia="楷体" w:cs="楷体"/>
          <w:b w:val="0"/>
          <w:bCs/>
          <w:color w:val="auto"/>
          <w:sz w:val="32"/>
          <w:szCs w:val="32"/>
        </w:rPr>
      </w:pPr>
      <w:bookmarkStart w:id="39" w:name="_Toc15377211"/>
      <w:r>
        <w:rPr>
          <w:rFonts w:hint="eastAsia" w:ascii="楷体" w:hAnsi="楷体" w:eastAsia="楷体" w:cs="楷体"/>
          <w:b w:val="0"/>
          <w:bCs/>
          <w:color w:val="auto"/>
          <w:sz w:val="32"/>
          <w:szCs w:val="32"/>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8年一般公共预算财政拨款支出995.44万元，主要用于以下方面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支出856.13万元，占</w:t>
      </w:r>
      <w:r>
        <w:rPr>
          <w:rFonts w:hint="eastAsia" w:ascii="仿宋" w:hAnsi="仿宋" w:eastAsia="仿宋"/>
          <w:color w:val="auto"/>
          <w:sz w:val="32"/>
          <w:szCs w:val="32"/>
          <w:lang w:val="en-US" w:eastAsia="zh-CN"/>
        </w:rPr>
        <w:t>86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支出63.46万元，占</w:t>
      </w:r>
      <w:r>
        <w:rPr>
          <w:rFonts w:hint="eastAsia" w:ascii="仿宋" w:hAnsi="仿宋" w:eastAsia="仿宋"/>
          <w:color w:val="auto"/>
          <w:sz w:val="32"/>
          <w:szCs w:val="32"/>
          <w:lang w:val="en-US" w:eastAsia="zh-CN"/>
        </w:rPr>
        <w:t>6.5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医疗卫生与计划生育（类）</w:t>
      </w:r>
      <w:r>
        <w:rPr>
          <w:rFonts w:hint="eastAsia" w:ascii="仿宋" w:hAnsi="仿宋" w:eastAsia="仿宋"/>
          <w:color w:val="auto"/>
          <w:sz w:val="32"/>
          <w:szCs w:val="32"/>
        </w:rPr>
        <w:t>支出23.17万元，占</w:t>
      </w:r>
      <w:r>
        <w:rPr>
          <w:rFonts w:hint="eastAsia" w:ascii="仿宋" w:hAnsi="仿宋" w:eastAsia="仿宋"/>
          <w:color w:val="auto"/>
          <w:sz w:val="32"/>
          <w:szCs w:val="32"/>
          <w:lang w:val="en-US" w:eastAsia="zh-CN"/>
        </w:rPr>
        <w:t>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住房保障（类）</w:t>
      </w:r>
      <w:r>
        <w:rPr>
          <w:rFonts w:hint="eastAsia" w:ascii="仿宋" w:hAnsi="仿宋" w:eastAsia="仿宋"/>
          <w:color w:val="auto"/>
          <w:sz w:val="32"/>
          <w:szCs w:val="32"/>
        </w:rPr>
        <w:t>支出52.69万元，占</w:t>
      </w:r>
      <w:r>
        <w:rPr>
          <w:rFonts w:hint="eastAsia" w:ascii="仿宋" w:hAnsi="仿宋" w:eastAsia="仿宋"/>
          <w:color w:val="auto"/>
          <w:sz w:val="32"/>
          <w:szCs w:val="32"/>
          <w:lang w:val="en-US" w:eastAsia="zh-CN"/>
        </w:rPr>
        <w:t>5.5</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 w:hAnsi="楷体" w:eastAsia="楷体" w:cs="楷体"/>
          <w:b w:val="0"/>
          <w:bCs/>
          <w:color w:val="auto"/>
          <w:sz w:val="32"/>
          <w:szCs w:val="32"/>
        </w:rPr>
      </w:pPr>
      <w:bookmarkStart w:id="40" w:name="_Toc15377212"/>
      <w:r>
        <w:rPr>
          <w:rFonts w:hint="eastAsia" w:ascii="楷体" w:hAnsi="楷体" w:eastAsia="楷体" w:cs="楷体"/>
          <w:b w:val="0"/>
          <w:bCs/>
          <w:color w:val="auto"/>
          <w:sz w:val="32"/>
          <w:szCs w:val="32"/>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color w:val="auto"/>
          <w:sz w:val="32"/>
          <w:szCs w:val="32"/>
        </w:rPr>
      </w:pPr>
      <w:bookmarkStart w:id="41" w:name="_Toc15378460"/>
      <w:bookmarkStart w:id="42" w:name="_Toc15377444"/>
      <w:bookmarkStart w:id="43" w:name="_Toc15377213"/>
      <w:r>
        <w:rPr>
          <w:rFonts w:hint="eastAsia" w:ascii="仿宋" w:hAnsi="仿宋" w:eastAsia="仿宋"/>
          <w:b/>
          <w:color w:val="auto"/>
          <w:sz w:val="32"/>
          <w:szCs w:val="32"/>
        </w:rPr>
        <w:t>2018年般公共预算支出决算数为</w:t>
      </w:r>
      <w:r>
        <w:rPr>
          <w:rFonts w:hint="eastAsia" w:ascii="仿宋" w:hAnsi="仿宋" w:eastAsia="仿宋"/>
          <w:b/>
          <w:color w:val="auto"/>
          <w:sz w:val="32"/>
          <w:szCs w:val="32"/>
          <w:lang w:val="en-US" w:eastAsia="zh-CN"/>
        </w:rPr>
        <w:t>995.44万元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98</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1.</w:t>
      </w:r>
      <w:r>
        <w:rPr>
          <w:rStyle w:val="15"/>
          <w:rFonts w:hint="eastAsia" w:ascii="仿宋" w:hAnsi="仿宋" w:eastAsia="仿宋"/>
          <w:bCs/>
          <w:color w:val="auto"/>
          <w:sz w:val="32"/>
          <w:szCs w:val="32"/>
        </w:rPr>
        <w:t>一般公共服务201（类）民主党派及工商联事务</w:t>
      </w:r>
      <w:r>
        <w:rPr>
          <w:rStyle w:val="15"/>
          <w:rFonts w:hint="eastAsia" w:ascii="仿宋" w:hAnsi="仿宋" w:eastAsia="仿宋"/>
          <w:bCs/>
          <w:color w:val="auto"/>
          <w:sz w:val="32"/>
          <w:szCs w:val="32"/>
          <w:lang w:val="en-US" w:eastAsia="zh-CN"/>
        </w:rPr>
        <w:t>28</w:t>
      </w:r>
      <w:r>
        <w:rPr>
          <w:rStyle w:val="15"/>
          <w:rFonts w:hint="eastAsia" w:ascii="仿宋" w:hAnsi="仿宋" w:eastAsia="仿宋"/>
          <w:bCs/>
          <w:color w:val="auto"/>
          <w:sz w:val="32"/>
          <w:szCs w:val="32"/>
        </w:rPr>
        <w:t>（款）行政运行</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237.18</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92</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，决算数小于预算数的主要原因是</w:t>
      </w:r>
      <w:r>
        <w:rPr>
          <w:rFonts w:hint="eastAsia" w:ascii="仿宋_GB2312" w:hAnsi="仿宋_GB2312" w:eastAsia="仿宋_GB2312" w:cs="仿宋_GB2312"/>
          <w:color w:val="auto"/>
          <w:sz w:val="32"/>
          <w:szCs w:val="32"/>
          <w:lang w:eastAsia="zh-CN"/>
        </w:rPr>
        <w:t>部分款项未支付</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2.</w:t>
      </w:r>
      <w:r>
        <w:rPr>
          <w:rStyle w:val="15"/>
          <w:rFonts w:hint="eastAsia" w:ascii="仿宋" w:hAnsi="仿宋" w:eastAsia="仿宋"/>
          <w:bCs/>
          <w:color w:val="auto"/>
          <w:sz w:val="32"/>
          <w:szCs w:val="32"/>
        </w:rPr>
        <w:t>一般公共服务201（类）民主党派及工商联事务</w:t>
      </w:r>
      <w:r>
        <w:rPr>
          <w:rStyle w:val="15"/>
          <w:rFonts w:hint="eastAsia" w:ascii="仿宋" w:hAnsi="仿宋" w:eastAsia="仿宋"/>
          <w:bCs/>
          <w:color w:val="auto"/>
          <w:sz w:val="32"/>
          <w:szCs w:val="32"/>
          <w:lang w:val="en-US" w:eastAsia="zh-CN"/>
        </w:rPr>
        <w:t>28</w:t>
      </w:r>
      <w:r>
        <w:rPr>
          <w:rStyle w:val="15"/>
          <w:rFonts w:hint="eastAsia" w:ascii="仿宋" w:hAnsi="仿宋" w:eastAsia="仿宋"/>
          <w:bCs/>
          <w:color w:val="auto"/>
          <w:sz w:val="32"/>
          <w:szCs w:val="32"/>
        </w:rPr>
        <w:t>（款） 一般行政管理事务</w:t>
      </w:r>
      <w:r>
        <w:rPr>
          <w:rStyle w:val="15"/>
          <w:rFonts w:hint="eastAsia" w:ascii="仿宋" w:hAnsi="仿宋" w:eastAsia="仿宋"/>
          <w:bCs/>
          <w:color w:val="auto"/>
          <w:sz w:val="32"/>
          <w:szCs w:val="32"/>
          <w:lang w:val="en-US" w:eastAsia="zh-CN"/>
        </w:rPr>
        <w:t>02</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97.04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3.</w:t>
      </w:r>
      <w:r>
        <w:rPr>
          <w:rStyle w:val="15"/>
          <w:rFonts w:hint="eastAsia" w:ascii="仿宋" w:hAnsi="仿宋" w:eastAsia="仿宋"/>
          <w:bCs/>
          <w:color w:val="auto"/>
          <w:sz w:val="32"/>
          <w:szCs w:val="32"/>
        </w:rPr>
        <w:t>一般公共服务201（类）民主党派及工商联事务</w:t>
      </w:r>
      <w:r>
        <w:rPr>
          <w:rStyle w:val="15"/>
          <w:rFonts w:hint="eastAsia" w:ascii="仿宋" w:hAnsi="仿宋" w:eastAsia="仿宋"/>
          <w:bCs/>
          <w:color w:val="auto"/>
          <w:sz w:val="32"/>
          <w:szCs w:val="32"/>
          <w:lang w:val="en-US" w:eastAsia="zh-CN"/>
        </w:rPr>
        <w:t>28</w:t>
      </w:r>
      <w:r>
        <w:rPr>
          <w:rStyle w:val="15"/>
          <w:rFonts w:hint="eastAsia" w:ascii="仿宋" w:hAnsi="仿宋" w:eastAsia="仿宋"/>
          <w:bCs/>
          <w:color w:val="auto"/>
          <w:sz w:val="32"/>
          <w:szCs w:val="32"/>
        </w:rPr>
        <w:t>（款） 其他民主党派及工商联事务支出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43.40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4.</w:t>
      </w:r>
      <w:r>
        <w:rPr>
          <w:rStyle w:val="15"/>
          <w:rFonts w:hint="eastAsia" w:ascii="仿宋" w:hAnsi="仿宋" w:eastAsia="仿宋"/>
          <w:bCs/>
          <w:color w:val="auto"/>
          <w:sz w:val="32"/>
          <w:szCs w:val="32"/>
        </w:rPr>
        <w:t>一般公共服务201（类）统战事务</w:t>
      </w:r>
      <w:r>
        <w:rPr>
          <w:rStyle w:val="15"/>
          <w:rFonts w:hint="eastAsia" w:ascii="仿宋" w:hAnsi="仿宋" w:eastAsia="仿宋"/>
          <w:bCs/>
          <w:color w:val="auto"/>
          <w:sz w:val="32"/>
          <w:szCs w:val="32"/>
          <w:lang w:val="en-US" w:eastAsia="zh-CN"/>
        </w:rPr>
        <w:t>34</w:t>
      </w:r>
      <w:r>
        <w:rPr>
          <w:rStyle w:val="15"/>
          <w:rFonts w:hint="eastAsia" w:ascii="仿宋" w:hAnsi="仿宋" w:eastAsia="仿宋"/>
          <w:bCs/>
          <w:color w:val="auto"/>
          <w:sz w:val="32"/>
          <w:szCs w:val="32"/>
        </w:rPr>
        <w:t>（款）行政运行</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372.54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5.</w:t>
      </w:r>
      <w:r>
        <w:rPr>
          <w:rStyle w:val="15"/>
          <w:rFonts w:hint="eastAsia" w:ascii="仿宋" w:hAnsi="仿宋" w:eastAsia="仿宋"/>
          <w:bCs/>
          <w:color w:val="auto"/>
          <w:sz w:val="32"/>
          <w:szCs w:val="32"/>
        </w:rPr>
        <w:t>一般公共服务201（类）统战事务</w:t>
      </w:r>
      <w:r>
        <w:rPr>
          <w:rStyle w:val="15"/>
          <w:rFonts w:hint="eastAsia" w:ascii="仿宋" w:hAnsi="仿宋" w:eastAsia="仿宋"/>
          <w:bCs/>
          <w:color w:val="auto"/>
          <w:sz w:val="32"/>
          <w:szCs w:val="32"/>
          <w:lang w:val="en-US" w:eastAsia="zh-CN"/>
        </w:rPr>
        <w:t>34</w:t>
      </w:r>
      <w:r>
        <w:rPr>
          <w:rStyle w:val="15"/>
          <w:rFonts w:hint="eastAsia" w:ascii="仿宋" w:hAnsi="仿宋" w:eastAsia="仿宋"/>
          <w:bCs/>
          <w:color w:val="auto"/>
          <w:sz w:val="32"/>
          <w:szCs w:val="32"/>
        </w:rPr>
        <w:t>（款） 一般行政管理事务</w:t>
      </w:r>
      <w:r>
        <w:rPr>
          <w:rStyle w:val="15"/>
          <w:rFonts w:hint="eastAsia" w:ascii="仿宋" w:hAnsi="仿宋" w:eastAsia="仿宋"/>
          <w:bCs/>
          <w:color w:val="auto"/>
          <w:sz w:val="32"/>
          <w:szCs w:val="32"/>
          <w:lang w:val="en-US" w:eastAsia="zh-CN"/>
        </w:rPr>
        <w:t>02</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105.97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6.</w:t>
      </w:r>
      <w:r>
        <w:rPr>
          <w:rStyle w:val="15"/>
          <w:rFonts w:hint="eastAsia" w:ascii="仿宋" w:hAnsi="仿宋" w:eastAsia="仿宋"/>
          <w:bCs/>
          <w:color w:val="auto"/>
          <w:sz w:val="32"/>
          <w:szCs w:val="32"/>
        </w:rPr>
        <w:t>社会保障和就业20</w:t>
      </w:r>
      <w:r>
        <w:rPr>
          <w:rStyle w:val="15"/>
          <w:rFonts w:hint="eastAsia" w:ascii="仿宋" w:hAnsi="仿宋" w:eastAsia="仿宋"/>
          <w:bCs/>
          <w:color w:val="auto"/>
          <w:sz w:val="32"/>
          <w:szCs w:val="32"/>
          <w:lang w:val="en-US" w:eastAsia="zh-CN"/>
        </w:rPr>
        <w:t>8</w:t>
      </w:r>
      <w:r>
        <w:rPr>
          <w:rStyle w:val="15"/>
          <w:rFonts w:hint="eastAsia" w:ascii="仿宋" w:hAnsi="仿宋" w:eastAsia="仿宋"/>
          <w:bCs/>
          <w:color w:val="auto"/>
          <w:sz w:val="32"/>
          <w:szCs w:val="32"/>
        </w:rPr>
        <w:t>（类）行政事业单位离退休</w:t>
      </w:r>
      <w:r>
        <w:rPr>
          <w:rStyle w:val="15"/>
          <w:rFonts w:hint="eastAsia" w:ascii="仿宋" w:hAnsi="仿宋" w:eastAsia="仿宋"/>
          <w:bCs/>
          <w:color w:val="auto"/>
          <w:sz w:val="32"/>
          <w:szCs w:val="32"/>
          <w:lang w:val="en-US" w:eastAsia="zh-CN"/>
        </w:rPr>
        <w:t>05</w:t>
      </w:r>
      <w:r>
        <w:rPr>
          <w:rStyle w:val="15"/>
          <w:rFonts w:hint="eastAsia" w:ascii="仿宋" w:hAnsi="仿宋" w:eastAsia="仿宋"/>
          <w:bCs/>
          <w:color w:val="auto"/>
          <w:sz w:val="32"/>
          <w:szCs w:val="32"/>
        </w:rPr>
        <w:t>（款）  机关事业单位基本养老保险缴费支出</w:t>
      </w:r>
      <w:r>
        <w:rPr>
          <w:rStyle w:val="15"/>
          <w:rFonts w:hint="eastAsia" w:ascii="仿宋" w:hAnsi="仿宋" w:eastAsia="仿宋"/>
          <w:bCs/>
          <w:color w:val="auto"/>
          <w:sz w:val="32"/>
          <w:szCs w:val="32"/>
          <w:lang w:val="en-US" w:eastAsia="zh-CN"/>
        </w:rPr>
        <w:t>05</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62.52</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default" w:ascii="仿宋" w:hAnsi="仿宋" w:eastAsia="仿宋"/>
          <w:b w:val="0"/>
          <w:bCs/>
          <w:color w:val="auto"/>
          <w:sz w:val="32"/>
          <w:szCs w:val="32"/>
          <w:lang w:val="en-US" w:eastAsia="zh-CN"/>
        </w:rPr>
      </w:pPr>
      <w:r>
        <w:rPr>
          <w:rStyle w:val="15"/>
          <w:rFonts w:hint="eastAsia" w:ascii="仿宋" w:hAnsi="仿宋" w:eastAsia="仿宋"/>
          <w:bCs/>
          <w:color w:val="auto"/>
          <w:sz w:val="32"/>
          <w:szCs w:val="32"/>
          <w:lang w:val="en-US" w:eastAsia="zh-CN"/>
        </w:rPr>
        <w:t>7.</w:t>
      </w:r>
      <w:r>
        <w:rPr>
          <w:rStyle w:val="15"/>
          <w:rFonts w:hint="eastAsia" w:ascii="仿宋" w:hAnsi="仿宋" w:eastAsia="仿宋"/>
          <w:bCs/>
          <w:color w:val="auto"/>
          <w:sz w:val="32"/>
          <w:szCs w:val="32"/>
        </w:rPr>
        <w:t>社会保障和就业20</w:t>
      </w:r>
      <w:r>
        <w:rPr>
          <w:rStyle w:val="15"/>
          <w:rFonts w:hint="eastAsia" w:ascii="仿宋" w:hAnsi="仿宋" w:eastAsia="仿宋"/>
          <w:bCs/>
          <w:color w:val="auto"/>
          <w:sz w:val="32"/>
          <w:szCs w:val="32"/>
          <w:lang w:val="en-US" w:eastAsia="zh-CN"/>
        </w:rPr>
        <w:t>8</w:t>
      </w:r>
      <w:r>
        <w:rPr>
          <w:rStyle w:val="15"/>
          <w:rFonts w:hint="eastAsia" w:ascii="仿宋" w:hAnsi="仿宋" w:eastAsia="仿宋"/>
          <w:bCs/>
          <w:color w:val="auto"/>
          <w:sz w:val="32"/>
          <w:szCs w:val="32"/>
        </w:rPr>
        <w:t>（类）行政事业单位离退休</w:t>
      </w:r>
      <w:r>
        <w:rPr>
          <w:rStyle w:val="15"/>
          <w:rFonts w:hint="eastAsia" w:ascii="仿宋" w:hAnsi="仿宋" w:eastAsia="仿宋"/>
          <w:bCs/>
          <w:color w:val="auto"/>
          <w:sz w:val="32"/>
          <w:szCs w:val="32"/>
          <w:lang w:val="en-US" w:eastAsia="zh-CN"/>
        </w:rPr>
        <w:t>05</w:t>
      </w:r>
      <w:r>
        <w:rPr>
          <w:rStyle w:val="15"/>
          <w:rFonts w:hint="eastAsia" w:ascii="仿宋" w:hAnsi="仿宋" w:eastAsia="仿宋"/>
          <w:bCs/>
          <w:color w:val="auto"/>
          <w:sz w:val="32"/>
          <w:szCs w:val="32"/>
        </w:rPr>
        <w:t>（款）   机关事业单位职业年金缴费支出</w:t>
      </w:r>
      <w:r>
        <w:rPr>
          <w:rStyle w:val="15"/>
          <w:rFonts w:hint="eastAsia" w:ascii="仿宋" w:hAnsi="仿宋" w:eastAsia="仿宋"/>
          <w:bCs/>
          <w:color w:val="auto"/>
          <w:sz w:val="32"/>
          <w:szCs w:val="32"/>
          <w:lang w:val="en-US" w:eastAsia="zh-CN"/>
        </w:rPr>
        <w:t>06</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0.94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8.</w:t>
      </w:r>
      <w:r>
        <w:rPr>
          <w:rFonts w:hint="eastAsia" w:ascii="仿宋" w:hAnsi="仿宋" w:eastAsia="仿宋"/>
          <w:b/>
          <w:color w:val="auto"/>
          <w:sz w:val="32"/>
          <w:szCs w:val="32"/>
        </w:rPr>
        <w:t>医疗卫生与计划生育</w:t>
      </w:r>
      <w:r>
        <w:rPr>
          <w:rStyle w:val="15"/>
          <w:rFonts w:hint="eastAsia" w:ascii="仿宋" w:hAnsi="仿宋" w:eastAsia="仿宋"/>
          <w:bCs/>
          <w:color w:val="auto"/>
          <w:sz w:val="32"/>
          <w:szCs w:val="32"/>
        </w:rPr>
        <w:t>2</w:t>
      </w:r>
      <w:r>
        <w:rPr>
          <w:rStyle w:val="15"/>
          <w:rFonts w:hint="eastAsia" w:ascii="仿宋" w:hAnsi="仿宋" w:eastAsia="仿宋"/>
          <w:bCs/>
          <w:color w:val="auto"/>
          <w:sz w:val="32"/>
          <w:szCs w:val="32"/>
          <w:lang w:val="en-US" w:eastAsia="zh-CN"/>
        </w:rPr>
        <w:t>10</w:t>
      </w:r>
      <w:r>
        <w:rPr>
          <w:rStyle w:val="15"/>
          <w:rFonts w:hint="eastAsia" w:ascii="仿宋" w:hAnsi="仿宋" w:eastAsia="仿宋"/>
          <w:bCs/>
          <w:color w:val="auto"/>
          <w:sz w:val="32"/>
          <w:szCs w:val="32"/>
        </w:rPr>
        <w:t>（类）行政事业单位医疗</w:t>
      </w:r>
      <w:r>
        <w:rPr>
          <w:rStyle w:val="15"/>
          <w:rFonts w:hint="eastAsia" w:ascii="仿宋" w:hAnsi="仿宋" w:eastAsia="仿宋"/>
          <w:bCs/>
          <w:color w:val="auto"/>
          <w:sz w:val="32"/>
          <w:szCs w:val="32"/>
          <w:lang w:val="en-US" w:eastAsia="zh-CN"/>
        </w:rPr>
        <w:t>11</w:t>
      </w:r>
      <w:r>
        <w:rPr>
          <w:rStyle w:val="15"/>
          <w:rFonts w:hint="eastAsia" w:ascii="仿宋" w:hAnsi="仿宋" w:eastAsia="仿宋"/>
          <w:bCs/>
          <w:color w:val="auto"/>
          <w:sz w:val="32"/>
          <w:szCs w:val="32"/>
        </w:rPr>
        <w:t>（款）行政单位医疗</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23.17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pPr>
        <w:keepNext w:val="0"/>
        <w:keepLines w:val="0"/>
        <w:pageBreakBefore w:val="0"/>
        <w:widowControl w:val="0"/>
        <w:tabs>
          <w:tab w:val="left" w:pos="623"/>
        </w:tabs>
        <w:kinsoku/>
        <w:wordWrap/>
        <w:overflowPunct/>
        <w:topLinePunct w:val="0"/>
        <w:autoSpaceDE/>
        <w:autoSpaceDN/>
        <w:bidi w:val="0"/>
        <w:adjustRightInd/>
        <w:snapToGrid/>
        <w:spacing w:line="560" w:lineRule="exact"/>
        <w:ind w:firstLine="640"/>
        <w:textAlignment w:val="auto"/>
        <w:outlineLvl w:val="9"/>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9.</w:t>
      </w:r>
      <w:r>
        <w:rPr>
          <w:rFonts w:hint="eastAsia" w:ascii="仿宋" w:hAnsi="仿宋" w:eastAsia="仿宋"/>
          <w:b/>
          <w:color w:val="auto"/>
          <w:sz w:val="32"/>
          <w:szCs w:val="32"/>
        </w:rPr>
        <w:t>住房保障</w:t>
      </w:r>
      <w:r>
        <w:rPr>
          <w:rStyle w:val="15"/>
          <w:rFonts w:hint="eastAsia" w:ascii="仿宋" w:hAnsi="仿宋" w:eastAsia="仿宋"/>
          <w:bCs/>
          <w:color w:val="auto"/>
          <w:sz w:val="32"/>
          <w:szCs w:val="32"/>
        </w:rPr>
        <w:t>2</w:t>
      </w:r>
      <w:r>
        <w:rPr>
          <w:rStyle w:val="15"/>
          <w:rFonts w:hint="eastAsia" w:ascii="仿宋" w:hAnsi="仿宋" w:eastAsia="仿宋"/>
          <w:bCs/>
          <w:color w:val="auto"/>
          <w:sz w:val="32"/>
          <w:szCs w:val="32"/>
          <w:lang w:val="en-US" w:eastAsia="zh-CN"/>
        </w:rPr>
        <w:t>21</w:t>
      </w:r>
      <w:r>
        <w:rPr>
          <w:rStyle w:val="15"/>
          <w:rFonts w:hint="eastAsia" w:ascii="仿宋" w:hAnsi="仿宋" w:eastAsia="仿宋"/>
          <w:bCs/>
          <w:color w:val="auto"/>
          <w:sz w:val="32"/>
          <w:szCs w:val="32"/>
        </w:rPr>
        <w:t>（类）住房改革支出</w:t>
      </w:r>
      <w:r>
        <w:rPr>
          <w:rStyle w:val="15"/>
          <w:rFonts w:hint="eastAsia" w:ascii="仿宋" w:hAnsi="仿宋" w:eastAsia="仿宋"/>
          <w:bCs/>
          <w:color w:val="auto"/>
          <w:sz w:val="32"/>
          <w:szCs w:val="32"/>
          <w:lang w:val="en-US" w:eastAsia="zh-CN"/>
        </w:rPr>
        <w:t>02</w:t>
      </w:r>
      <w:r>
        <w:rPr>
          <w:rStyle w:val="15"/>
          <w:rFonts w:hint="eastAsia" w:ascii="仿宋" w:hAnsi="仿宋" w:eastAsia="仿宋"/>
          <w:bCs/>
          <w:color w:val="auto"/>
          <w:sz w:val="32"/>
          <w:szCs w:val="32"/>
        </w:rPr>
        <w:t>（款）住房公积金</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52.69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bookmarkStart w:id="44" w:name="_Toc15396608"/>
      <w:bookmarkStart w:id="45" w:name="_Toc15377214"/>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6"/>
          <w:color w:val="auto"/>
        </w:rPr>
      </w:pPr>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44"/>
      <w:bookmarkEnd w:id="45"/>
      <w:r>
        <w:rPr>
          <w:rStyle w:val="26"/>
          <w:rFonts w:ascii="黑体" w:hAnsi="黑体" w:eastAsia="黑体"/>
          <w:b w:val="0"/>
          <w:color w:val="auto"/>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8年一般公共预算财政拨款基本支出</w:t>
      </w:r>
      <w:r>
        <w:rPr>
          <w:rFonts w:hint="default" w:ascii="仿宋" w:hAnsi="仿宋" w:eastAsia="仿宋"/>
          <w:color w:val="auto"/>
          <w:sz w:val="32"/>
          <w:szCs w:val="32"/>
          <w:lang w:val="en-US"/>
        </w:rPr>
        <w:t>749.03</w:t>
      </w:r>
      <w:r>
        <w:rPr>
          <w:rFonts w:hint="eastAsia" w:ascii="仿宋" w:hAnsi="仿宋" w:eastAsia="仿宋"/>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609.54</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生活补助、医疗费、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139.49</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6"/>
          <w:rFonts w:ascii="黑体" w:hAnsi="黑体" w:eastAsia="黑体"/>
          <w:b w:val="0"/>
          <w:color w:val="auto"/>
        </w:rPr>
      </w:pPr>
      <w:bookmarkStart w:id="46" w:name="_Toc15377215"/>
      <w:bookmarkStart w:id="47" w:name="_Toc15396609"/>
      <w:r>
        <w:rPr>
          <w:rFonts w:hint="eastAsia" w:ascii="黑体" w:eastAsia="黑体"/>
          <w:color w:val="auto"/>
          <w:sz w:val="32"/>
          <w:szCs w:val="32"/>
        </w:rPr>
        <w:t>七、</w:t>
      </w: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 w:hAnsi="楷体" w:eastAsia="楷体" w:cs="楷体"/>
          <w:b w:val="0"/>
          <w:bCs/>
          <w:color w:val="auto"/>
          <w:sz w:val="32"/>
          <w:szCs w:val="32"/>
        </w:rPr>
      </w:pPr>
      <w:bookmarkStart w:id="48" w:name="_Toc15377216"/>
      <w:r>
        <w:rPr>
          <w:rFonts w:hint="eastAsia" w:ascii="楷体" w:hAnsi="楷体" w:eastAsia="楷体" w:cs="楷体"/>
          <w:b w:val="0"/>
          <w:bCs/>
          <w:color w:val="auto"/>
          <w:sz w:val="32"/>
          <w:szCs w:val="32"/>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8年“三公”经费财政拨款支出决算为</w:t>
      </w:r>
      <w:r>
        <w:rPr>
          <w:rFonts w:hint="default" w:ascii="仿宋" w:hAnsi="仿宋" w:eastAsia="仿宋"/>
          <w:color w:val="auto"/>
          <w:sz w:val="32"/>
          <w:szCs w:val="32"/>
          <w:lang w:val="en-US"/>
        </w:rPr>
        <w:t>12.15</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98</w:t>
      </w:r>
      <w:r>
        <w:rPr>
          <w:rFonts w:ascii="仿宋" w:hAnsi="仿宋" w:eastAsia="仿宋"/>
          <w:color w:val="auto"/>
          <w:sz w:val="32"/>
          <w:szCs w:val="32"/>
        </w:rPr>
        <w:t>%</w:t>
      </w:r>
      <w:r>
        <w:rPr>
          <w:rFonts w:hint="eastAsia" w:ascii="仿宋" w:hAnsi="仿宋" w:eastAsia="仿宋"/>
          <w:color w:val="auto"/>
          <w:sz w:val="32"/>
          <w:szCs w:val="32"/>
        </w:rPr>
        <w:t>，决算数</w:t>
      </w:r>
      <w:r>
        <w:rPr>
          <w:rFonts w:hint="eastAsia" w:ascii="仿宋" w:hAnsi="仿宋" w:eastAsia="仿宋"/>
          <w:color w:val="auto"/>
          <w:sz w:val="32"/>
          <w:szCs w:val="32"/>
          <w:lang w:eastAsia="zh-CN"/>
        </w:rPr>
        <w:t>小</w:t>
      </w:r>
      <w:r>
        <w:rPr>
          <w:rFonts w:hint="eastAsia" w:ascii="仿宋" w:hAnsi="仿宋" w:eastAsia="仿宋"/>
          <w:color w:val="auto"/>
          <w:sz w:val="32"/>
          <w:szCs w:val="32"/>
        </w:rPr>
        <w:t>于预算数的主要原因</w:t>
      </w:r>
      <w:r>
        <w:rPr>
          <w:rFonts w:hint="eastAsia" w:ascii="仿宋" w:hAnsi="仿宋" w:eastAsia="仿宋"/>
          <w:color w:val="auto"/>
          <w:sz w:val="32"/>
          <w:szCs w:val="32"/>
          <w:lang w:eastAsia="zh-CN"/>
        </w:rPr>
        <w:t>是单位财务管理进一步规范，公务接待进一步正规</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rPr>
      </w:pPr>
      <w:bookmarkStart w:id="49" w:name="_Toc15377217"/>
      <w:r>
        <w:rPr>
          <w:rFonts w:hint="eastAsia" w:ascii="楷体" w:hAnsi="楷体" w:eastAsia="楷体" w:cs="楷体"/>
          <w:b w:val="0"/>
          <w:bCs/>
          <w:color w:val="auto"/>
          <w:sz w:val="32"/>
          <w:szCs w:val="32"/>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8年“三公”经费财政拨款支出决算中，因公出国（境）费支出决算</w:t>
      </w:r>
      <w:r>
        <w:rPr>
          <w:rFonts w:hint="default" w:ascii="仿宋" w:hAnsi="仿宋" w:eastAsia="仿宋"/>
          <w:color w:val="auto"/>
          <w:sz w:val="32"/>
          <w:szCs w:val="32"/>
          <w:lang w:val="en-US"/>
        </w:rPr>
        <w:t>2.02</w:t>
      </w:r>
      <w:r>
        <w:rPr>
          <w:rFonts w:hint="eastAsia" w:ascii="仿宋" w:hAnsi="仿宋" w:eastAsia="仿宋"/>
          <w:color w:val="auto"/>
          <w:sz w:val="32"/>
          <w:szCs w:val="32"/>
        </w:rPr>
        <w:t>万元，占</w:t>
      </w:r>
      <w:r>
        <w:rPr>
          <w:rFonts w:hint="default" w:ascii="仿宋" w:hAnsi="仿宋" w:eastAsia="仿宋"/>
          <w:color w:val="auto"/>
          <w:sz w:val="32"/>
          <w:szCs w:val="32"/>
          <w:lang w:val="en-US"/>
        </w:rPr>
        <w:t>17</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default" w:ascii="仿宋" w:hAnsi="仿宋" w:eastAsia="仿宋"/>
          <w:color w:val="auto"/>
          <w:sz w:val="32"/>
          <w:szCs w:val="32"/>
          <w:lang w:val="en-US"/>
        </w:rPr>
        <w:t>0</w:t>
      </w:r>
      <w:r>
        <w:rPr>
          <w:rFonts w:hint="eastAsia" w:ascii="仿宋" w:hAnsi="仿宋" w:eastAsia="仿宋"/>
          <w:color w:val="auto"/>
          <w:sz w:val="32"/>
          <w:szCs w:val="32"/>
        </w:rPr>
        <w:t>万元，占</w:t>
      </w:r>
      <w:r>
        <w:rPr>
          <w:rFonts w:hint="default" w:ascii="仿宋" w:hAnsi="仿宋" w:eastAsia="仿宋"/>
          <w:color w:val="auto"/>
          <w:sz w:val="32"/>
          <w:szCs w:val="32"/>
          <w:lang w:val="en-US"/>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default" w:ascii="仿宋" w:hAnsi="仿宋" w:eastAsia="仿宋"/>
          <w:color w:val="auto"/>
          <w:sz w:val="32"/>
          <w:szCs w:val="32"/>
          <w:lang w:val="en-US"/>
        </w:rPr>
        <w:t>10.13</w:t>
      </w:r>
      <w:r>
        <w:rPr>
          <w:rFonts w:hint="eastAsia" w:ascii="仿宋" w:hAnsi="仿宋" w:eastAsia="仿宋"/>
          <w:color w:val="auto"/>
          <w:sz w:val="32"/>
          <w:szCs w:val="32"/>
        </w:rPr>
        <w:t>万元，占</w:t>
      </w:r>
      <w:r>
        <w:rPr>
          <w:rFonts w:hint="default" w:ascii="仿宋" w:hAnsi="仿宋" w:eastAsia="仿宋"/>
          <w:color w:val="auto"/>
          <w:sz w:val="32"/>
          <w:szCs w:val="32"/>
          <w:lang w:val="en-US"/>
        </w:rPr>
        <w:t>83</w:t>
      </w:r>
      <w:r>
        <w:rPr>
          <w:rFonts w:ascii="仿宋" w:hAnsi="仿宋" w:eastAsia="仿宋"/>
          <w:color w:val="auto"/>
          <w:sz w:val="32"/>
          <w:szCs w:val="32"/>
        </w:rPr>
        <w:t>%</w:t>
      </w:r>
      <w:r>
        <w:rPr>
          <w:rFonts w:hint="eastAsia" w:ascii="仿宋" w:hAnsi="仿宋" w:eastAsia="仿宋"/>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olor w:val="auto"/>
          <w:sz w:val="32"/>
          <w:szCs w:val="32"/>
        </w:rPr>
      </w:pPr>
      <w:r>
        <w:rPr>
          <w:color w:val="auto"/>
        </w:rP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：“三公”经费财政拨款支出结构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default" w:ascii="仿宋_GB2312" w:eastAsia="仿宋_GB2312"/>
          <w:color w:val="auto"/>
          <w:sz w:val="32"/>
          <w:szCs w:val="32"/>
          <w:lang w:val="en-US"/>
        </w:rPr>
        <w:t>2.02</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default" w:ascii="仿宋" w:hAnsi="仿宋" w:eastAsia="仿宋"/>
          <w:b w:val="0"/>
          <w:bCs/>
          <w:color w:val="auto"/>
          <w:sz w:val="32"/>
          <w:szCs w:val="32"/>
          <w:lang w:val="en-US"/>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default" w:ascii="仿宋_GB2312" w:eastAsia="仿宋_GB2312"/>
          <w:color w:val="auto"/>
          <w:sz w:val="32"/>
          <w:szCs w:val="32"/>
          <w:lang w:val="en-US"/>
        </w:rPr>
        <w:t>0</w:t>
      </w:r>
      <w:r>
        <w:rPr>
          <w:rFonts w:hint="eastAsia" w:ascii="仿宋_GB2312" w:eastAsia="仿宋_GB2312"/>
          <w:color w:val="auto"/>
          <w:sz w:val="32"/>
          <w:szCs w:val="32"/>
        </w:rPr>
        <w:t>次，出国（境）</w:t>
      </w:r>
      <w:r>
        <w:rPr>
          <w:rFonts w:hint="default" w:ascii="仿宋_GB2312" w:eastAsia="仿宋_GB2312"/>
          <w:color w:val="auto"/>
          <w:sz w:val="32"/>
          <w:szCs w:val="32"/>
          <w:lang w:val="en-US"/>
        </w:rPr>
        <w:t>1</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rPr>
        <w:t>7年增加</w:t>
      </w:r>
      <w:r>
        <w:rPr>
          <w:rFonts w:hint="default" w:ascii="仿宋_GB2312" w:eastAsia="仿宋_GB2312"/>
          <w:color w:val="auto"/>
          <w:sz w:val="32"/>
          <w:szCs w:val="32"/>
          <w:lang w:val="en-US"/>
        </w:rPr>
        <w:t>1.45</w:t>
      </w:r>
      <w:r>
        <w:rPr>
          <w:rFonts w:hint="eastAsia" w:ascii="仿宋_GB2312" w:eastAsia="仿宋_GB2312"/>
          <w:color w:val="auto"/>
          <w:sz w:val="32"/>
          <w:szCs w:val="32"/>
        </w:rPr>
        <w:t>万元，增长</w:t>
      </w:r>
      <w:r>
        <w:rPr>
          <w:rFonts w:hint="default" w:ascii="仿宋_GB2312" w:eastAsia="仿宋_GB2312"/>
          <w:color w:val="auto"/>
          <w:sz w:val="32"/>
          <w:szCs w:val="32"/>
          <w:lang w:val="en-US"/>
        </w:rPr>
        <w:t>354</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default" w:ascii="仿宋_GB2312" w:eastAsia="仿宋_GB2312"/>
          <w:color w:val="auto"/>
          <w:sz w:val="32"/>
          <w:szCs w:val="32"/>
          <w:lang w:val="en-US"/>
        </w:rPr>
        <w:t>2017</w:t>
      </w:r>
      <w:r>
        <w:rPr>
          <w:rFonts w:hint="eastAsia" w:ascii="仿宋_GB2312" w:eastAsia="仿宋_GB2312"/>
          <w:color w:val="auto"/>
          <w:sz w:val="32"/>
          <w:szCs w:val="32"/>
          <w:lang w:val="en-US" w:eastAsia="zh-CN"/>
        </w:rPr>
        <w:t>年赴香港人员开销小，部分经费不用开销，</w:t>
      </w:r>
      <w:r>
        <w:rPr>
          <w:rFonts w:hint="default" w:ascii="仿宋_GB2312" w:eastAsia="仿宋_GB2312"/>
          <w:color w:val="auto"/>
          <w:sz w:val="32"/>
          <w:szCs w:val="32"/>
          <w:lang w:val="en-US" w:eastAsia="zh-CN"/>
        </w:rPr>
        <w:t>2018</w:t>
      </w:r>
      <w:r>
        <w:rPr>
          <w:rFonts w:hint="eastAsia" w:ascii="仿宋_GB2312" w:eastAsia="仿宋_GB2312"/>
          <w:color w:val="auto"/>
          <w:sz w:val="32"/>
          <w:szCs w:val="32"/>
          <w:lang w:val="en-US" w:eastAsia="zh-CN"/>
        </w:rPr>
        <w:t>年赴台湾人员所有经费都有单位承担</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hint="eastAsia" w:ascii="仿宋_GB2312" w:eastAsia="仿宋_GB2312"/>
          <w:color w:val="auto"/>
          <w:sz w:val="32"/>
          <w:szCs w:val="32"/>
        </w:rPr>
        <w:t>开支内容包括：</w:t>
      </w:r>
      <w:r>
        <w:rPr>
          <w:rFonts w:hint="eastAsia" w:ascii="仿宋_GB2312" w:eastAsia="仿宋_GB2312"/>
          <w:color w:val="auto"/>
          <w:sz w:val="32"/>
          <w:szCs w:val="32"/>
          <w:lang w:eastAsia="zh-CN"/>
        </w:rPr>
        <w:t>随省职业教育交流团出行赴台湾进行职业教育交流，国际旅费、住宿费、伙食费、公杂费等</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w:t>
      </w:r>
      <w:r>
        <w:rPr>
          <w:rFonts w:ascii="仿宋_GB2312" w:eastAsia="仿宋_GB2312"/>
          <w:color w:val="auto"/>
          <w:sz w:val="32"/>
          <w:szCs w:val="32"/>
        </w:rPr>
        <w:t>201</w:t>
      </w:r>
      <w:r>
        <w:rPr>
          <w:rFonts w:hint="eastAsia" w:ascii="仿宋_GB2312" w:eastAsia="仿宋_GB2312"/>
          <w:color w:val="auto"/>
          <w:sz w:val="32"/>
          <w:szCs w:val="32"/>
        </w:rPr>
        <w:t>8年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lang w:eastAsia="zh-CN"/>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10.13</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98</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rPr>
        <w:t>7年减少</w:t>
      </w:r>
      <w:r>
        <w:rPr>
          <w:rFonts w:hint="eastAsia" w:ascii="仿宋_GB2312" w:eastAsia="仿宋_GB2312"/>
          <w:color w:val="auto"/>
          <w:sz w:val="32"/>
          <w:szCs w:val="32"/>
          <w:lang w:val="en-US" w:eastAsia="zh-CN"/>
        </w:rPr>
        <w:t>0.28</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公务接待进一步规范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主要用于执行公务、开展业务活动开支的交通费、住宿费、用餐费等。国内公务接待</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810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10.13</w:t>
      </w:r>
      <w:r>
        <w:rPr>
          <w:rFonts w:hint="eastAsia" w:ascii="仿宋_GB2312" w:eastAsia="仿宋_GB2312"/>
          <w:color w:val="auto"/>
          <w:sz w:val="32"/>
          <w:szCs w:val="32"/>
        </w:rPr>
        <w:t>万元，具体内容包括：</w:t>
      </w:r>
      <w:r>
        <w:rPr>
          <w:rFonts w:hint="eastAsia" w:ascii="仿宋_GB2312" w:eastAsia="仿宋_GB2312"/>
          <w:color w:val="auto"/>
          <w:sz w:val="32"/>
          <w:szCs w:val="32"/>
          <w:lang w:eastAsia="zh-CN"/>
        </w:rPr>
        <w:t>统战系统工作交流、九广合作、各党派工作交流学习等业务活动开支用餐费等</w:t>
      </w:r>
      <w:r>
        <w:rPr>
          <w:rFonts w:hint="eastAsia" w:ascii="仿宋_GB2312"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eastAsia="黑体"/>
          <w:color w:val="auto"/>
          <w:sz w:val="32"/>
          <w:szCs w:val="32"/>
        </w:rPr>
      </w:pPr>
      <w:r>
        <w:rPr>
          <w:rFonts w:hint="eastAsia" w:ascii="仿宋" w:hAnsi="仿宋" w:eastAsia="仿宋"/>
          <w:b/>
          <w:color w:val="auto"/>
          <w:sz w:val="32"/>
          <w:szCs w:val="32"/>
        </w:rPr>
        <w:t>其他国内公务接待支出</w:t>
      </w:r>
      <w:r>
        <w:rPr>
          <w:rFonts w:hint="eastAsia" w:ascii="仿宋" w:hAnsi="仿宋" w:eastAsia="仿宋"/>
          <w:color w:val="auto"/>
          <w:sz w:val="32"/>
          <w:szCs w:val="32"/>
          <w:lang w:val="en-US" w:eastAsia="zh-CN"/>
        </w:rPr>
        <w:t>10.13</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统战系统工作交流、九广合作、各党派工作交流学习等业务活动开支用餐费等</w:t>
      </w:r>
      <w:r>
        <w:rPr>
          <w:rFonts w:hint="eastAsia" w:ascii="仿宋_GB2312" w:eastAsia="仿宋_GB2312"/>
          <w:color w:val="auto"/>
          <w:sz w:val="32"/>
          <w:szCs w:val="32"/>
        </w:rPr>
        <w:t>。</w:t>
      </w:r>
      <w:bookmarkStart w:id="50" w:name="_Toc15396610"/>
      <w:bookmarkStart w:id="51" w:name="_Toc1537721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6"/>
          <w:rFonts w:ascii="黑体" w:hAnsi="黑体" w:eastAsia="黑体"/>
          <w:color w:val="auto"/>
        </w:rPr>
      </w:pPr>
      <w:r>
        <w:rPr>
          <w:rFonts w:hint="eastAsia" w:ascii="黑体" w:eastAsia="黑体"/>
          <w:color w:val="auto"/>
          <w:sz w:val="32"/>
          <w:szCs w:val="32"/>
        </w:rPr>
        <w:t>八、</w:t>
      </w:r>
      <w:r>
        <w:rPr>
          <w:rStyle w:val="26"/>
          <w:rFonts w:hint="eastAsia" w:ascii="黑体" w:hAnsi="黑体" w:eastAsia="黑体"/>
          <w:b w:val="0"/>
          <w:color w:val="auto"/>
        </w:rPr>
        <w:t>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8年政府性基金预算拨款支出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1"/>
        <w:rPr>
          <w:rStyle w:val="26"/>
          <w:rFonts w:ascii="黑体" w:hAnsi="黑体" w:eastAsia="黑体"/>
          <w:b w:val="0"/>
          <w:color w:val="auto"/>
        </w:rPr>
      </w:pPr>
      <w:bookmarkStart w:id="52" w:name="_Toc15396611"/>
      <w:bookmarkStart w:id="53" w:name="_Toc15377219"/>
      <w:r>
        <w:rPr>
          <w:rStyle w:val="26"/>
          <w:rFonts w:hint="eastAsia" w:ascii="黑体" w:hAnsi="黑体" w:eastAsia="黑体"/>
          <w:b w:val="0"/>
          <w:color w:val="auto"/>
        </w:rPr>
        <w:t>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Style w:val="26"/>
          <w:rFonts w:ascii="黑体" w:hAnsi="黑体" w:eastAsia="黑体"/>
          <w:b w:val="0"/>
          <w:color w:val="auto"/>
        </w:rPr>
      </w:pPr>
      <w:r>
        <w:rPr>
          <w:rStyle w:val="26"/>
          <w:rFonts w:hint="eastAsia" w:ascii="黑体" w:hAnsi="黑体" w:eastAsia="黑体"/>
          <w:b w:val="0"/>
          <w:color w:val="auto"/>
        </w:rPr>
        <w:t>预算绩效情况说明</w:t>
      </w:r>
    </w:p>
    <w:p>
      <w:pPr>
        <w:numPr>
          <w:ilvl w:val="0"/>
          <w:numId w:val="0"/>
        </w:numPr>
        <w:spacing w:line="580" w:lineRule="exact"/>
        <w:ind w:firstLine="640" w:firstLineChars="200"/>
        <w:rPr>
          <w:rFonts w:ascii="仿宋" w:hAnsi="仿宋" w:eastAsia="仿宋" w:cs="楷体_GB2312"/>
          <w:b/>
          <w:bCs/>
          <w:color w:val="auto"/>
          <w:sz w:val="32"/>
          <w:szCs w:val="32"/>
        </w:rPr>
      </w:pPr>
      <w:r>
        <w:rPr>
          <w:rFonts w:hint="eastAsia" w:ascii="楷体" w:hAnsi="楷体" w:eastAsia="楷体" w:cs="楷体"/>
          <w:b w:val="0"/>
          <w:bCs/>
          <w:color w:val="auto"/>
          <w:sz w:val="32"/>
          <w:szCs w:val="32"/>
          <w:lang w:eastAsia="zh-CN"/>
        </w:rPr>
        <w:t>（一）</w:t>
      </w:r>
      <w:r>
        <w:rPr>
          <w:rFonts w:hint="eastAsia" w:ascii="楷体" w:hAnsi="楷体" w:eastAsia="楷体" w:cs="楷体"/>
          <w:b w:val="0"/>
          <w:bCs/>
          <w:color w:val="auto"/>
          <w:sz w:val="32"/>
          <w:szCs w:val="32"/>
        </w:rPr>
        <w:t>预算绩效管理工作开展情况。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根据预算绩效管理要求，本部门在年初预算编制阶段，对</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个项目编制了绩效目标。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本部门按要求对2018年部门整体支出开展绩效自评，从评价情况来看</w:t>
      </w:r>
      <w:r>
        <w:rPr>
          <w:rFonts w:hint="eastAsia" w:ascii="仿宋" w:hAnsi="仿宋" w:eastAsia="仿宋" w:cs="仿宋_GB2312"/>
          <w:color w:val="auto"/>
          <w:sz w:val="32"/>
          <w:szCs w:val="32"/>
          <w:lang w:eastAsia="zh-CN"/>
        </w:rPr>
        <w:t>总体支出进度合理、基本达到收支平衡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 w:hAnsi="楷体" w:eastAsia="楷体" w:cs="楷体"/>
          <w:b w:val="0"/>
          <w:bCs/>
          <w:color w:val="auto"/>
          <w:sz w:val="32"/>
          <w:szCs w:val="32"/>
          <w:lang w:eastAsia="zh-CN"/>
        </w:rPr>
        <w:t>（二）</w:t>
      </w:r>
      <w:r>
        <w:rPr>
          <w:rFonts w:hint="eastAsia" w:ascii="楷体" w:hAnsi="楷体" w:eastAsia="楷体" w:cs="楷体"/>
          <w:b w:val="0"/>
          <w:bCs/>
          <w:color w:val="auto"/>
          <w:sz w:val="32"/>
          <w:szCs w:val="32"/>
        </w:rPr>
        <w:t>项目绩效目标完成情况</w:t>
      </w:r>
      <w:r>
        <w:rPr>
          <w:rFonts w:hint="eastAsia" w:ascii="仿宋" w:hAnsi="仿宋" w:eastAsia="仿宋" w:cs="楷体_GB2312"/>
          <w:b/>
          <w:bCs/>
          <w:color w:val="auto"/>
          <w:sz w:val="32"/>
          <w:szCs w:val="32"/>
        </w:rPr>
        <w:t>。</w:t>
      </w:r>
      <w:r>
        <w:rPr>
          <w:rFonts w:hint="eastAsia" w:ascii="楷体_GB2312" w:hAnsi="楷体_GB2312" w:eastAsia="楷体_GB2312" w:cs="楷体_GB2312"/>
          <w:b/>
          <w:bCs/>
          <w:color w:val="auto"/>
          <w:sz w:val="32"/>
          <w:szCs w:val="32"/>
        </w:rPr>
        <w:br w:type="textWrapping"/>
      </w:r>
      <w:r>
        <w:rPr>
          <w:rFonts w:hint="eastAsia" w:ascii="仿宋_GB2312" w:hAnsi="仿宋_GB2312" w:eastAsia="仿宋_GB2312" w:cs="仿宋_GB2312"/>
          <w:color w:val="auto"/>
          <w:sz w:val="32"/>
          <w:szCs w:val="32"/>
        </w:rPr>
        <w:t xml:space="preserve">    本部门在2018年度部门决算中反映“</w:t>
      </w:r>
      <w:r>
        <w:rPr>
          <w:rFonts w:hint="eastAsia" w:ascii="仿宋_GB2312" w:hAnsi="仿宋_GB2312" w:eastAsia="仿宋_GB2312" w:cs="仿宋_GB2312"/>
          <w:color w:val="auto"/>
          <w:sz w:val="32"/>
          <w:szCs w:val="32"/>
          <w:lang w:val="en-US" w:eastAsia="zh-CN"/>
        </w:rPr>
        <w:t>党派、团体新阶层人士统战工作经费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、“民族宗教工作经费”、“统战服务经济工作经费”“中秋、暑期、春节活动经费”、“全市党外人士综合能力培训”</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党派、团体新阶层人士统战工作经费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35.6</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35.6</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w:t>
      </w:r>
      <w:r>
        <w:rPr>
          <w:rFonts w:hint="eastAsia" w:ascii="仿宋_GB2312" w:hAnsi="仿宋_GB2312" w:eastAsia="仿宋_GB2312" w:cs="仿宋_GB2312"/>
          <w:color w:val="auto"/>
          <w:sz w:val="32"/>
          <w:szCs w:val="32"/>
          <w:lang w:val="en-US" w:eastAsia="zh-CN"/>
        </w:rPr>
        <w:t>了统一战线工作的正常开展，促进了全市统一战线凝聚力，提高了党外人士拥护中国共产党领导的行动自觉政治自觉。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“民族宗教工作经费”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促进了民族宗教工作的正常开展，进一步加强了与相关地市工作互通。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“统战服务经济工作经费”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26.58</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26.58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充分发挥了统一战线联系广泛的优势，“九广合作”工作进一步提升。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“中秋、暑期、春节活动经费”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密切了感情，加强了团结，增加了党外人士的凝聚力。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“全市党外人士综合能力培训”</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通过项目实施，促进了党外人士更好的服务广元经济社会发展。</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rPr>
              <w:t>项目支出绩效目标完成情况表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党派、团体新阶层人士统战工作经费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中共广元市委统战部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35.6</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35.6</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default" w:ascii="宋体" w:hAnsi="宋体" w:cs="宋体"/>
                <w:color w:val="auto"/>
                <w:sz w:val="24"/>
                <w:lang w:val="en-US"/>
              </w:rPr>
            </w:pPr>
            <w:r>
              <w:rPr>
                <w:rFonts w:hint="default" w:ascii="宋体" w:hAnsi="宋体" w:cs="宋体"/>
                <w:color w:val="auto"/>
                <w:sz w:val="24"/>
                <w:lang w:val="en-US"/>
              </w:rPr>
              <w:t>1.</w:t>
            </w:r>
            <w:r>
              <w:rPr>
                <w:rFonts w:hint="eastAsia" w:ascii="宋体" w:hAnsi="宋体" w:cs="宋体"/>
                <w:color w:val="auto"/>
                <w:sz w:val="24"/>
              </w:rPr>
              <w:t>协助市委制定实施年度政党协商计划，组织各民主党派围绕市委市政府中心工作开展调研研</w:t>
            </w:r>
            <w:r>
              <w:rPr>
                <w:rFonts w:hint="default" w:ascii="宋体" w:hAnsi="宋体" w:cs="宋体"/>
                <w:color w:val="auto"/>
                <w:sz w:val="24"/>
                <w:lang w:val="en-US"/>
              </w:rPr>
              <w:t>;</w:t>
            </w:r>
          </w:p>
          <w:p>
            <w:pPr>
              <w:widowControl/>
              <w:numPr>
                <w:ilvl w:val="0"/>
                <w:numId w:val="0"/>
              </w:numPr>
              <w:ind w:leftChars="0"/>
              <w:jc w:val="left"/>
              <w:textAlignment w:val="center"/>
              <w:rPr>
                <w:rFonts w:hint="default" w:ascii="宋体" w:hAnsi="宋体" w:cs="宋体"/>
                <w:color w:val="auto"/>
                <w:sz w:val="24"/>
                <w:lang w:val="en-US"/>
              </w:rPr>
            </w:pPr>
            <w:r>
              <w:rPr>
                <w:rFonts w:hint="default" w:ascii="宋体" w:hAnsi="宋体" w:cs="宋体"/>
                <w:color w:val="auto"/>
                <w:sz w:val="24"/>
                <w:lang w:val="en-US"/>
              </w:rPr>
              <w:t>2.</w:t>
            </w:r>
            <w:r>
              <w:rPr>
                <w:rFonts w:hint="eastAsia" w:ascii="宋体" w:hAnsi="宋体" w:cs="宋体"/>
                <w:color w:val="auto"/>
                <w:sz w:val="24"/>
              </w:rPr>
              <w:t>举办主体培训班、开展外出考察学习培训，支持民主党派、团体及两新组织开展主题教育活动和加强自身建设</w:t>
            </w:r>
            <w:r>
              <w:rPr>
                <w:rFonts w:hint="default" w:ascii="宋体" w:hAnsi="宋体" w:cs="宋体"/>
                <w:color w:val="auto"/>
                <w:sz w:val="24"/>
                <w:lang w:val="en-US"/>
              </w:rPr>
              <w:t>;</w:t>
            </w:r>
          </w:p>
          <w:p>
            <w:pPr>
              <w:widowControl/>
              <w:numPr>
                <w:ilvl w:val="0"/>
                <w:numId w:val="0"/>
              </w:numPr>
              <w:ind w:leftChars="0"/>
              <w:jc w:val="left"/>
              <w:textAlignment w:val="center"/>
              <w:rPr>
                <w:rFonts w:hint="default" w:ascii="宋体" w:hAnsi="宋体" w:cs="宋体"/>
                <w:color w:val="auto"/>
                <w:sz w:val="24"/>
                <w:lang w:val="en-US"/>
              </w:rPr>
            </w:pPr>
            <w:r>
              <w:rPr>
                <w:rFonts w:hint="default" w:ascii="宋体" w:hAnsi="宋体" w:cs="宋体"/>
                <w:color w:val="auto"/>
                <w:sz w:val="24"/>
                <w:lang w:val="en-US"/>
              </w:rPr>
              <w:t>3.</w:t>
            </w:r>
            <w:r>
              <w:rPr>
                <w:rFonts w:hint="eastAsia" w:ascii="宋体" w:hAnsi="宋体" w:cs="宋体"/>
                <w:color w:val="auto"/>
                <w:sz w:val="24"/>
                <w:lang w:val="en-US" w:eastAsia="zh-CN"/>
              </w:rPr>
              <w:t>落实</w:t>
            </w:r>
            <w:r>
              <w:rPr>
                <w:rFonts w:hint="eastAsia" w:ascii="宋体" w:hAnsi="宋体" w:cs="宋体"/>
                <w:color w:val="auto"/>
                <w:sz w:val="24"/>
              </w:rPr>
              <w:t>《广元市民主党派服务“十三五”行动计划》推动各民主党派发挥优势服务“三个一</w:t>
            </w:r>
            <w:r>
              <w:rPr>
                <w:rFonts w:hint="eastAsia" w:ascii="宋体" w:hAnsi="宋体" w:cs="宋体"/>
                <w:color w:val="auto"/>
                <w:sz w:val="24"/>
                <w:lang w:eastAsia="zh-CN"/>
              </w:rPr>
              <w:t>、</w:t>
            </w:r>
            <w:r>
              <w:rPr>
                <w:rFonts w:hint="eastAsia" w:ascii="宋体" w:hAnsi="宋体" w:cs="宋体"/>
                <w:color w:val="auto"/>
                <w:sz w:val="24"/>
              </w:rPr>
              <w:t>三个三”兴广战略，加强商会党建工作，促进招商引资</w:t>
            </w:r>
            <w:r>
              <w:rPr>
                <w:rFonts w:hint="default" w:ascii="宋体" w:hAnsi="宋体" w:cs="宋体"/>
                <w:color w:val="auto"/>
                <w:sz w:val="24"/>
                <w:lang w:val="en-US"/>
              </w:rPr>
              <w:t>;</w:t>
            </w:r>
          </w:p>
          <w:p>
            <w:pPr>
              <w:widowControl/>
              <w:numPr>
                <w:ilvl w:val="0"/>
                <w:numId w:val="0"/>
              </w:numPr>
              <w:ind w:leftChars="0"/>
              <w:jc w:val="left"/>
              <w:textAlignment w:val="center"/>
              <w:rPr>
                <w:rFonts w:ascii="宋体" w:hAnsi="宋体" w:cs="宋体"/>
                <w:color w:val="auto"/>
                <w:sz w:val="24"/>
              </w:rPr>
            </w:pPr>
            <w:r>
              <w:rPr>
                <w:rFonts w:hint="eastAsia" w:ascii="宋体" w:hAnsi="宋体" w:cs="宋体"/>
                <w:color w:val="auto"/>
                <w:sz w:val="24"/>
              </w:rPr>
              <w:t>4</w:t>
            </w:r>
            <w:r>
              <w:rPr>
                <w:rFonts w:hint="default" w:ascii="宋体" w:hAnsi="宋体" w:cs="宋体"/>
                <w:color w:val="auto"/>
                <w:sz w:val="24"/>
                <w:lang w:val="en-US"/>
              </w:rPr>
              <w:t>.</w:t>
            </w:r>
            <w:r>
              <w:rPr>
                <w:rFonts w:hint="eastAsia" w:ascii="宋体" w:hAnsi="宋体" w:cs="宋体"/>
                <w:color w:val="auto"/>
                <w:sz w:val="24"/>
              </w:rPr>
              <w:t>着眼2021年换届，开展</w:t>
            </w:r>
            <w:r>
              <w:rPr>
                <w:rFonts w:hint="eastAsia" w:ascii="宋体" w:hAnsi="宋体" w:cs="宋体"/>
                <w:color w:val="auto"/>
                <w:sz w:val="24"/>
                <w:lang w:eastAsia="zh-CN"/>
              </w:rPr>
              <w:t>届</w:t>
            </w:r>
            <w:r>
              <w:rPr>
                <w:rFonts w:hint="eastAsia" w:ascii="宋体" w:hAnsi="宋体" w:cs="宋体"/>
                <w:color w:val="auto"/>
                <w:sz w:val="24"/>
              </w:rPr>
              <w:t>中调整及干部摸底调查工作。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1.制定出台《2018年政党协商计划》，组织民主党派专题调研6次；</w:t>
            </w:r>
          </w:p>
          <w:p>
            <w:pPr>
              <w:widowControl/>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2.举办专题培训班1期，支持开展“不忘合作初心，继续携手前进”学习教育活动；</w:t>
            </w:r>
          </w:p>
          <w:p>
            <w:pPr>
              <w:widowControl/>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3.发“九广合作”优势，助力全市经济发展；</w:t>
            </w:r>
          </w:p>
          <w:p>
            <w:pPr>
              <w:widowControl/>
              <w:jc w:val="left"/>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4.全市党外干部数据库建设基本成型。</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val="en-US" w:eastAsia="zh-CN"/>
              </w:rPr>
              <w:t>2018年12月底前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val="en-US" w:eastAsia="zh-CN"/>
              </w:rPr>
              <w:t>2018年12月底前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val="en-US" w:eastAsia="zh-CN"/>
              </w:rPr>
              <w:t>2018年12月底前</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r>
    </w:tbl>
    <w:p>
      <w:pPr>
        <w:rPr>
          <w:rFonts w:ascii="Calibri" w:hAnsi="Calibri"/>
          <w:color w:val="auto"/>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rPr>
              <w:t>项目支出绩效目标完成情况表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民族宗教工作经费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中共广元市委统战部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全面贯彻党的民族宗教工作方针政策，加强与全国10个省区和近20个市州工作协作，巩固和进一步发挥我市跨省市协作机制成效，确保全市民族宗教领域和谐稳定。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积极宣传</w:t>
            </w:r>
            <w:r>
              <w:rPr>
                <w:rFonts w:hint="eastAsia" w:ascii="宋体" w:hAnsi="宋体" w:cs="宋体"/>
                <w:color w:val="auto"/>
                <w:sz w:val="24"/>
              </w:rPr>
              <w:t>民族宗教工作方针政策</w:t>
            </w:r>
            <w:r>
              <w:rPr>
                <w:rFonts w:hint="eastAsia" w:ascii="宋体" w:hAnsi="宋体" w:cs="宋体"/>
                <w:color w:val="auto"/>
                <w:sz w:val="24"/>
                <w:lang w:eastAsia="zh-CN"/>
              </w:rPr>
              <w:t>，加强与全国相关省市州协作，确保了民族宗教领域和谐稳定。</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开展西南西北跨省协作至少1次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举办全市宗教界代表人士培训班1期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确保全市民族宗教和谐稳定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color w:val="auto"/>
                <w:sz w:val="24"/>
              </w:rPr>
              <w:t>杜绝一切危害社会稳定的邪教势力的地下渗透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r>
    </w:tbl>
    <w:p>
      <w:pPr>
        <w:rPr>
          <w:rFonts w:ascii="Calibri" w:hAnsi="Calibri"/>
          <w:color w:val="auto"/>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rPr>
              <w:t>项目支出绩效目标完成情况表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统战服务经济工作经费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中共广元市委统战部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26.58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26.58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26.58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26.58</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rPr>
            </w:pPr>
            <w:r>
              <w:rPr>
                <w:rFonts w:hint="eastAsia" w:ascii="宋体" w:hAnsi="宋体" w:cs="宋体"/>
                <w:color w:val="auto"/>
                <w:sz w:val="24"/>
              </w:rPr>
              <w:t>1：争取各民主党派中央、省委和全国、全省工商联等统战资源帮助广元争取政策资金；</w:t>
            </w:r>
          </w:p>
          <w:p>
            <w:pPr>
              <w:widowControl/>
              <w:jc w:val="left"/>
              <w:textAlignment w:val="center"/>
              <w:rPr>
                <w:rFonts w:hint="eastAsia" w:ascii="宋体" w:hAnsi="宋体" w:cs="宋体"/>
                <w:color w:val="auto"/>
                <w:sz w:val="24"/>
              </w:rPr>
            </w:pPr>
            <w:r>
              <w:rPr>
                <w:rFonts w:hint="eastAsia" w:ascii="宋体" w:hAnsi="宋体" w:cs="宋体"/>
                <w:color w:val="auto"/>
                <w:sz w:val="24"/>
              </w:rPr>
              <w:t>2：统一战线参与招商引资、邀请接待专家学者、企业家来广考察调研；</w:t>
            </w:r>
          </w:p>
          <w:p>
            <w:pPr>
              <w:widowControl/>
              <w:jc w:val="left"/>
              <w:textAlignment w:val="center"/>
              <w:rPr>
                <w:rFonts w:hint="eastAsia" w:ascii="宋体" w:hAnsi="宋体" w:cs="宋体"/>
                <w:color w:val="auto"/>
                <w:sz w:val="24"/>
              </w:rPr>
            </w:pPr>
            <w:r>
              <w:rPr>
                <w:rFonts w:hint="eastAsia" w:ascii="宋体" w:hAnsi="宋体" w:cs="宋体"/>
                <w:color w:val="auto"/>
                <w:sz w:val="24"/>
              </w:rPr>
              <w:t>3：协助市委市政府做好民进四川省委、致公党浙江省委对口广元脱贫攻坚民主监督工作；</w:t>
            </w:r>
          </w:p>
          <w:p>
            <w:pPr>
              <w:widowControl/>
              <w:jc w:val="left"/>
              <w:textAlignment w:val="center"/>
              <w:rPr>
                <w:rFonts w:ascii="宋体" w:hAnsi="宋体" w:cs="宋体"/>
                <w:color w:val="auto"/>
                <w:sz w:val="24"/>
              </w:rPr>
            </w:pPr>
            <w:r>
              <w:rPr>
                <w:rFonts w:hint="eastAsia" w:ascii="宋体" w:hAnsi="宋体" w:cs="宋体"/>
                <w:color w:val="auto"/>
                <w:sz w:val="24"/>
              </w:rPr>
              <w:t>4：东西部扶贫协作社会捐助牵头工作经费。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rPr>
            </w:pPr>
            <w:r>
              <w:rPr>
                <w:rFonts w:hint="eastAsia" w:ascii="宋体" w:hAnsi="宋体" w:cs="宋体"/>
                <w:color w:val="auto"/>
                <w:sz w:val="24"/>
                <w:lang w:val="en-US" w:eastAsia="zh-CN"/>
              </w:rPr>
              <w:t>1.落实</w:t>
            </w:r>
            <w:r>
              <w:rPr>
                <w:rFonts w:hint="eastAsia" w:ascii="宋体" w:hAnsi="宋体" w:cs="宋体"/>
                <w:color w:val="auto"/>
                <w:sz w:val="24"/>
              </w:rPr>
              <w:t>争取各民主党派中央、省委和全国、全省工商联等统战资源帮助广元争取政策资金</w:t>
            </w: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统一战线参与招商引资、邀请接待专家学者、企业家来广考察调研；</w:t>
            </w:r>
          </w:p>
          <w:p>
            <w:pPr>
              <w:widowControl/>
              <w:jc w:val="left"/>
              <w:textAlignment w:val="center"/>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协助市委市政府做好民进四川省委、致公党浙江省委对口广元脱贫攻坚民主监督工作</w:t>
            </w:r>
            <w:r>
              <w:rPr>
                <w:rFonts w:hint="eastAsia" w:ascii="宋体" w:hAnsi="宋体" w:cs="宋体"/>
                <w:color w:val="auto"/>
                <w:sz w:val="24"/>
                <w:lang w:eastAsia="zh-CN"/>
              </w:rPr>
              <w:t>，并高质量完成各项工作</w:t>
            </w:r>
            <w:r>
              <w:rPr>
                <w:rFonts w:hint="eastAsia" w:ascii="宋体" w:hAnsi="宋体" w:cs="宋体"/>
                <w:color w:val="auto"/>
                <w:sz w:val="24"/>
              </w:rPr>
              <w:t>；</w:t>
            </w:r>
          </w:p>
          <w:p>
            <w:pPr>
              <w:widowControl/>
              <w:jc w:val="left"/>
              <w:textAlignment w:val="center"/>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东西部扶贫协作社会捐助牵头工作经费</w:t>
            </w:r>
            <w:r>
              <w:rPr>
                <w:rFonts w:hint="eastAsia" w:ascii="宋体" w:hAnsi="宋体" w:cs="宋体"/>
                <w:color w:val="auto"/>
                <w:sz w:val="24"/>
                <w:lang w:eastAsia="zh-CN"/>
              </w:rPr>
              <w:t>落地落实</w:t>
            </w:r>
            <w:r>
              <w:rPr>
                <w:rFonts w:hint="eastAsia" w:ascii="宋体" w:hAnsi="宋体" w:cs="宋体"/>
                <w:color w:val="auto"/>
                <w:sz w:val="24"/>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围绕目标要求加大向上向外争取力度，拜访相关组织4次，争取到位物资（资金）1000万元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服务全市经济建设三大主战场，助推全市经济社会发展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社会效益</w:t>
            </w:r>
          </w:p>
          <w:p>
            <w:pPr>
              <w:widowControl/>
              <w:jc w:val="center"/>
              <w:textAlignment w:val="center"/>
              <w:rPr>
                <w:rFonts w:ascii="宋体" w:hAnsi="宋体" w:cs="宋体"/>
                <w:color w:val="auto"/>
                <w:sz w:val="24"/>
              </w:rPr>
            </w:pPr>
            <w:r>
              <w:rPr>
                <w:rFonts w:hint="eastAsia" w:ascii="宋体" w:hAnsi="宋体" w:cs="宋体"/>
                <w:color w:val="auto"/>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推介宣传广元经济社会发展情况,探索多党合作在广元实践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r>
    </w:tbl>
    <w:p>
      <w:pPr>
        <w:rPr>
          <w:rFonts w:ascii="Calibri" w:hAnsi="Calibri"/>
          <w:color w:val="auto"/>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rPr>
              <w:t>项目支出绩效目标完成情况表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中秋、暑期、春节活动经费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中共广元市委统战部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6.8</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组织民主党派、工商联负责人和无党派人士代表暑期学习考察活动；</w:t>
            </w:r>
          </w:p>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国庆、中秋、元旦、春节重大节日座谈会</w:t>
            </w:r>
            <w:r>
              <w:rPr>
                <w:rFonts w:hint="eastAsia" w:ascii="宋体" w:hAnsi="宋体" w:cs="宋体"/>
                <w:color w:val="auto"/>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组织民主党派、工商联负责人和无党派人士代表</w:t>
            </w:r>
            <w:r>
              <w:rPr>
                <w:rFonts w:hint="eastAsia" w:ascii="宋体" w:hAnsi="宋体" w:cs="宋体"/>
                <w:color w:val="auto"/>
                <w:sz w:val="24"/>
                <w:lang w:eastAsia="zh-CN"/>
              </w:rPr>
              <w:t>赴浙江开展</w:t>
            </w:r>
            <w:r>
              <w:rPr>
                <w:rFonts w:hint="eastAsia" w:ascii="宋体" w:hAnsi="宋体" w:cs="宋体"/>
                <w:color w:val="auto"/>
                <w:sz w:val="24"/>
              </w:rPr>
              <w:t>暑期学习考察活动；</w:t>
            </w:r>
          </w:p>
          <w:p>
            <w:pPr>
              <w:widowControl/>
              <w:jc w:val="left"/>
              <w:textAlignment w:val="center"/>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国庆、中秋、元旦、春节重大节日</w:t>
            </w:r>
            <w:r>
              <w:rPr>
                <w:rFonts w:hint="eastAsia" w:ascii="宋体" w:hAnsi="宋体" w:cs="宋体"/>
                <w:color w:val="auto"/>
                <w:sz w:val="24"/>
                <w:lang w:eastAsia="zh-CN"/>
              </w:rPr>
              <w:t>召开</w:t>
            </w:r>
            <w:r>
              <w:rPr>
                <w:rFonts w:hint="eastAsia" w:ascii="宋体" w:hAnsi="宋体" w:cs="宋体"/>
                <w:color w:val="auto"/>
                <w:sz w:val="24"/>
              </w:rPr>
              <w:t>座谈会</w:t>
            </w:r>
            <w:r>
              <w:rPr>
                <w:rFonts w:hint="eastAsia" w:ascii="宋体" w:hAnsi="宋体" w:cs="宋体"/>
                <w:color w:val="auto"/>
                <w:sz w:val="24"/>
                <w:lang w:eastAsia="zh-CN"/>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组织一次暑期学习活动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形成外出学习考察高质量报告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9-10月完成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r>
    </w:tbl>
    <w:p>
      <w:pPr>
        <w:rPr>
          <w:rFonts w:ascii="Calibri" w:hAnsi="Calibri"/>
          <w:color w:val="auto"/>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rPr>
              <w:t>项目支出绩效目标完情况表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全市党外人士综合能力培训</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中共广元市委统战部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9.3</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9.3</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组织</w:t>
            </w:r>
            <w:r>
              <w:rPr>
                <w:rFonts w:hint="eastAsia" w:ascii="宋体" w:hAnsi="宋体" w:cs="宋体"/>
                <w:color w:val="auto"/>
                <w:sz w:val="24"/>
                <w:lang w:val="en-US" w:eastAsia="zh-CN"/>
              </w:rPr>
              <w:t>1期60余人党外人士综合能力培训。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组织</w:t>
            </w:r>
            <w:r>
              <w:rPr>
                <w:rFonts w:hint="eastAsia" w:ascii="宋体" w:hAnsi="宋体" w:cs="宋体"/>
                <w:color w:val="auto"/>
                <w:sz w:val="24"/>
                <w:lang w:val="en-US" w:eastAsia="zh-CN"/>
              </w:rPr>
              <w:t>1期60余人党外人士综合能力培训。</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组织</w:t>
            </w:r>
            <w:r>
              <w:rPr>
                <w:rFonts w:hint="eastAsia" w:ascii="宋体" w:hAnsi="宋体" w:cs="宋体"/>
                <w:color w:val="auto"/>
                <w:sz w:val="24"/>
                <w:lang w:val="en-US" w:eastAsia="zh-CN"/>
              </w:rPr>
              <w:t>1期60余人党外人士综合能力培训。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目标完成率</w:t>
            </w:r>
            <w:r>
              <w:rPr>
                <w:rFonts w:hint="eastAsia" w:ascii="宋体" w:hAnsi="宋体" w:cs="宋体"/>
                <w:color w:val="auto"/>
                <w:sz w:val="21"/>
                <w:szCs w:val="21"/>
                <w:lang w:val="en-US" w:eastAsia="zh-CN"/>
              </w:rPr>
              <w:t>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1"/>
                <w:szCs w:val="21"/>
              </w:rPr>
              <w:t>服务对象满意率100</w:t>
            </w:r>
            <w:r>
              <w:rPr>
                <w:rFonts w:hint="eastAsia" w:ascii="宋体" w:hAnsi="宋体" w:cs="宋体"/>
                <w:color w:val="auto"/>
                <w:sz w:val="21"/>
                <w:szCs w:val="21"/>
                <w:lang w:val="en-US" w:eastAsia="zh-CN"/>
              </w:rPr>
              <w:t>%</w:t>
            </w:r>
          </w:p>
        </w:tc>
      </w:tr>
    </w:tbl>
    <w:p>
      <w:pPr>
        <w:rPr>
          <w:rFonts w:ascii="Calibri" w:hAnsi="Calibri"/>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rPr>
        <w:t>部门开展绩效评价结果。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本部门按要求对2018年部门整体支出绩效评价情况开展自评，《</w:t>
      </w:r>
      <w:r>
        <w:rPr>
          <w:rFonts w:hint="eastAsia" w:ascii="仿宋_GB2312" w:hAnsi="仿宋_GB2312" w:eastAsia="仿宋_GB2312" w:cs="仿宋_GB2312"/>
          <w:color w:val="auto"/>
          <w:sz w:val="32"/>
          <w:szCs w:val="32"/>
          <w:lang w:eastAsia="zh-CN"/>
        </w:rPr>
        <w:t>中共广元市委统战部</w:t>
      </w:r>
      <w:r>
        <w:rPr>
          <w:rFonts w:hint="eastAsia" w:ascii="仿宋_GB2312" w:hAnsi="仿宋_GB2312" w:eastAsia="仿宋_GB2312" w:cs="仿宋_GB2312"/>
          <w:color w:val="auto"/>
          <w:sz w:val="32"/>
          <w:szCs w:val="32"/>
        </w:rPr>
        <w:t>2018年部门整体支出绩效评价报告》见附件。</w:t>
      </w:r>
    </w:p>
    <w:p>
      <w:pPr>
        <w:keepNext w:val="0"/>
        <w:keepLines w:val="0"/>
        <w:pageBreakBefore w:val="0"/>
        <w:widowControl w:val="0"/>
        <w:kinsoku/>
        <w:wordWrap/>
        <w:overflowPunct/>
        <w:topLinePunct w:val="0"/>
        <w:bidi w:val="0"/>
        <w:snapToGrid/>
        <w:spacing w:line="560" w:lineRule="exact"/>
        <w:ind w:firstLine="800" w:firstLineChars="250"/>
        <w:textAlignment w:val="auto"/>
        <w:outlineLvl w:val="1"/>
        <w:rPr>
          <w:rStyle w:val="26"/>
          <w:rFonts w:ascii="黑体" w:hAnsi="黑体" w:eastAsia="黑体"/>
          <w:color w:val="auto"/>
        </w:rPr>
      </w:pPr>
      <w:bookmarkStart w:id="54" w:name="_Toc15377221"/>
      <w:bookmarkStart w:id="55" w:name="_Toc15396612"/>
      <w:r>
        <w:rPr>
          <w:rFonts w:hint="eastAsia" w:ascii="黑体" w:hAnsi="黑体" w:eastAsia="黑体"/>
          <w:color w:val="auto"/>
          <w:sz w:val="32"/>
          <w:szCs w:val="32"/>
        </w:rPr>
        <w:t>十</w:t>
      </w:r>
      <w:r>
        <w:rPr>
          <w:rStyle w:val="26"/>
          <w:rFonts w:hint="eastAsia" w:ascii="黑体" w:hAnsi="黑体" w:eastAsia="黑体"/>
          <w:color w:val="auto"/>
        </w:rPr>
        <w:t>一、</w:t>
      </w:r>
      <w:r>
        <w:rPr>
          <w:rStyle w:val="26"/>
          <w:rFonts w:hint="eastAsia" w:ascii="黑体" w:hAnsi="黑体" w:eastAsia="黑体"/>
          <w:b w:val="0"/>
          <w:color w:val="auto"/>
        </w:rPr>
        <w:t>其他重要事项的情况说明</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 w:hAnsi="楷体" w:eastAsia="楷体" w:cs="楷体"/>
          <w:b w:val="0"/>
          <w:bCs/>
          <w:color w:val="auto"/>
          <w:sz w:val="32"/>
          <w:szCs w:val="32"/>
        </w:rPr>
      </w:pPr>
      <w:bookmarkStart w:id="56" w:name="_Toc15377222"/>
      <w:r>
        <w:rPr>
          <w:rFonts w:hint="eastAsia" w:ascii="楷体" w:hAnsi="楷体" w:eastAsia="楷体" w:cs="楷体"/>
          <w:b w:val="0"/>
          <w:bCs/>
          <w:color w:val="auto"/>
          <w:sz w:val="32"/>
          <w:szCs w:val="32"/>
        </w:rPr>
        <w:t>（一）机关运行经费支出情况</w:t>
      </w:r>
      <w:bookmarkEnd w:id="56"/>
    </w:p>
    <w:p>
      <w:pPr>
        <w:keepNext w:val="0"/>
        <w:keepLines w:val="0"/>
        <w:pageBreakBefore w:val="0"/>
        <w:widowControl w:val="0"/>
        <w:kinsoku/>
        <w:wordWrap/>
        <w:overflowPunct/>
        <w:topLinePunct w:val="0"/>
        <w:bidi w:val="0"/>
        <w:snapToGrid/>
        <w:spacing w:line="560" w:lineRule="exact"/>
        <w:ind w:firstLine="640"/>
        <w:textAlignment w:val="auto"/>
        <w:rPr>
          <w:rFonts w:ascii="仿宋" w:hAnsi="仿宋" w:eastAsia="仿宋"/>
          <w:b/>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w:t>
      </w:r>
      <w:r>
        <w:rPr>
          <w:rFonts w:hint="eastAsia" w:ascii="仿宋_GB2312" w:eastAsia="仿宋_GB2312"/>
          <w:color w:val="auto"/>
          <w:sz w:val="32"/>
          <w:szCs w:val="32"/>
          <w:lang w:eastAsia="zh-CN"/>
        </w:rPr>
        <w:t>市委统战部</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139.49</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rPr>
        <w:t>7年减少</w:t>
      </w:r>
      <w:r>
        <w:rPr>
          <w:rFonts w:hint="eastAsia" w:ascii="仿宋_GB2312" w:eastAsia="仿宋_GB2312"/>
          <w:color w:val="auto"/>
          <w:sz w:val="32"/>
          <w:szCs w:val="32"/>
          <w:lang w:val="en-US" w:eastAsia="zh-CN"/>
        </w:rPr>
        <w:t>14.92</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单位内部管理进一步规范。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 w:hAnsi="楷体" w:eastAsia="楷体" w:cs="楷体"/>
          <w:b w:val="0"/>
          <w:bCs/>
          <w:color w:val="auto"/>
          <w:sz w:val="32"/>
          <w:szCs w:val="32"/>
        </w:rPr>
      </w:pPr>
      <w:bookmarkStart w:id="57" w:name="_Toc15377223"/>
      <w:r>
        <w:rPr>
          <w:rFonts w:hint="eastAsia" w:ascii="楷体" w:hAnsi="楷体" w:eastAsia="楷体" w:cs="楷体"/>
          <w:b w:val="0"/>
          <w:bCs/>
          <w:color w:val="auto"/>
          <w:sz w:val="32"/>
          <w:szCs w:val="32"/>
        </w:rPr>
        <w:t>（二）政府采购支出情况</w:t>
      </w:r>
      <w:bookmarkEnd w:id="57"/>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ascii="仿宋" w:hAnsi="仿宋" w:eastAsia="仿宋"/>
          <w:b/>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w:t>
      </w:r>
      <w:r>
        <w:rPr>
          <w:rFonts w:hint="eastAsia" w:ascii="仿宋_GB2312" w:eastAsia="仿宋_GB2312"/>
          <w:color w:val="auto"/>
          <w:sz w:val="32"/>
          <w:szCs w:val="32"/>
          <w:lang w:eastAsia="zh-CN"/>
        </w:rPr>
        <w:t>市委统战部</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5.33</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5.33</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日常办公需要</w:t>
      </w:r>
      <w:r>
        <w:rPr>
          <w:rFonts w:hint="eastAsia" w:ascii="仿宋_GB2312" w:eastAsia="仿宋_GB2312"/>
          <w:color w:val="auto"/>
          <w:sz w:val="32"/>
          <w:szCs w:val="32"/>
          <w:lang w:val="en-US" w:eastAsia="zh-CN"/>
        </w:rPr>
        <w:t>和派驻纪检组购置办公设备</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 w:hAnsi="楷体" w:eastAsia="楷体" w:cs="楷体"/>
          <w:b w:val="0"/>
          <w:bCs/>
          <w:color w:val="auto"/>
          <w:sz w:val="32"/>
          <w:szCs w:val="32"/>
        </w:rPr>
      </w:pPr>
      <w:bookmarkStart w:id="58" w:name="_Toc15377224"/>
      <w:r>
        <w:rPr>
          <w:rFonts w:hint="eastAsia" w:ascii="楷体" w:hAnsi="楷体" w:eastAsia="楷体" w:cs="楷体"/>
          <w:b w:val="0"/>
          <w:bCs/>
          <w:color w:val="auto"/>
          <w:sz w:val="32"/>
          <w:szCs w:val="32"/>
        </w:rPr>
        <w:t>（三）国有资产占有使用情况</w:t>
      </w:r>
      <w:bookmarkEnd w:id="58"/>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ascii="仿宋_GB2312" w:eastAsia="仿宋_GB2312"/>
          <w:b/>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8年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市委统战部</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辆，其中：部级领导干部用车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辆、一般公务用车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widowControl/>
        <w:jc w:val="left"/>
        <w:rPr>
          <w:rFonts w:ascii="仿宋_GB2312" w:eastAsia="仿宋_GB2312"/>
          <w:b/>
          <w:color w:val="auto"/>
          <w:sz w:val="32"/>
          <w:szCs w:val="32"/>
        </w:rPr>
      </w:pPr>
    </w:p>
    <w:p>
      <w:pPr>
        <w:rPr>
          <w:rStyle w:val="25"/>
          <w:rFonts w:ascii="黑体" w:hAnsi="黑体" w:eastAsia="黑体"/>
          <w:b w:val="0"/>
          <w:color w:val="auto"/>
        </w:rPr>
      </w:pPr>
      <w:bookmarkStart w:id="59" w:name="_Toc15396613"/>
      <w:bookmarkStart w:id="60" w:name="_Toc15377225"/>
      <w:r>
        <w:rPr>
          <w:rFonts w:hint="eastAsia" w:ascii="黑体" w:hAnsi="黑体" w:eastAsia="黑体"/>
          <w:b/>
          <w:color w:val="auto"/>
          <w:sz w:val="44"/>
          <w:szCs w:val="44"/>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63" w:firstLineChars="150"/>
        <w:jc w:val="center"/>
        <w:textAlignment w:val="auto"/>
        <w:outlineLvl w:val="0"/>
        <w:rPr>
          <w:rStyle w:val="25"/>
          <w:rFonts w:ascii="黑体" w:hAnsi="黑体" w:eastAsia="黑体"/>
          <w:b w:val="0"/>
          <w:color w:val="auto"/>
        </w:rPr>
      </w:pPr>
      <w:r>
        <w:rPr>
          <w:rFonts w:hint="eastAsia" w:ascii="黑体" w:hAnsi="黑体" w:eastAsia="黑体"/>
          <w:b/>
          <w:color w:val="auto"/>
          <w:sz w:val="44"/>
          <w:szCs w:val="44"/>
        </w:rPr>
        <w:t>名</w:t>
      </w:r>
      <w:r>
        <w:rPr>
          <w:rStyle w:val="25"/>
          <w:rFonts w:hint="eastAsia" w:ascii="黑体" w:hAnsi="黑体" w:eastAsia="黑体"/>
          <w:b w:val="0"/>
          <w:color w:val="auto"/>
        </w:rPr>
        <w:t>词解释</w:t>
      </w:r>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color w:val="auto"/>
          <w:sz w:val="44"/>
          <w:szCs w:val="44"/>
        </w:rPr>
      </w:pP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ascii="仿宋_GB2312" w:eastAsia="仿宋_GB2312"/>
          <w:b w:val="0"/>
          <w:bCs w:val="0"/>
          <w:color w:val="auto"/>
          <w:sz w:val="32"/>
          <w:szCs w:val="32"/>
        </w:rPr>
        <w:t>1.</w:t>
      </w:r>
      <w:r>
        <w:rPr>
          <w:rFonts w:hint="eastAsia" w:ascii="仿宋_GB2312" w:eastAsia="仿宋_GB2312"/>
          <w:b w:val="0"/>
          <w:bCs w:val="0"/>
          <w:color w:val="auto"/>
          <w:sz w:val="32"/>
          <w:szCs w:val="32"/>
        </w:rPr>
        <w:t>财政拨款收入：指单位从同级财政部门取得的财政预算资金。</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ascii="仿宋_GB2312" w:eastAsia="仿宋_GB2312"/>
          <w:b w:val="0"/>
          <w:bCs w:val="0"/>
          <w:color w:val="auto"/>
          <w:sz w:val="32"/>
          <w:szCs w:val="32"/>
        </w:rPr>
        <w:t>2</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其他收入：指单位取得的除上述收入以外的各项收入。主要是</w:t>
      </w:r>
      <w:r>
        <w:rPr>
          <w:rFonts w:hint="eastAsia" w:ascii="仿宋_GB2312" w:eastAsia="仿宋_GB2312"/>
          <w:b w:val="0"/>
          <w:bCs w:val="0"/>
          <w:color w:val="auto"/>
          <w:sz w:val="32"/>
          <w:szCs w:val="32"/>
          <w:lang w:eastAsia="zh-CN"/>
        </w:rPr>
        <w:t>上级部门拨付其他专项资金</w:t>
      </w:r>
      <w:r>
        <w:rPr>
          <w:rFonts w:hint="eastAsia" w:ascii="仿宋_GB2312" w:eastAsia="仿宋_GB2312"/>
          <w:b w:val="0"/>
          <w:bCs w:val="0"/>
          <w:color w:val="auto"/>
          <w:sz w:val="32"/>
          <w:szCs w:val="32"/>
        </w:rPr>
        <w:t>等。</w:t>
      </w:r>
    </w:p>
    <w:p>
      <w:pPr>
        <w:pStyle w:val="23"/>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b w:val="0"/>
          <w:bCs w:val="0"/>
          <w:color w:val="auto"/>
          <w:sz w:val="32"/>
          <w:szCs w:val="32"/>
        </w:rPr>
      </w:pPr>
      <w:r>
        <w:rPr>
          <w:rFonts w:hint="default" w:ascii="仿宋_GB2312" w:eastAsia="仿宋_GB2312"/>
          <w:b w:val="0"/>
          <w:bCs w:val="0"/>
          <w:color w:val="auto"/>
          <w:sz w:val="32"/>
          <w:szCs w:val="32"/>
          <w:lang w:val="en-US"/>
        </w:rPr>
        <w:t>3.</w:t>
      </w:r>
      <w:r>
        <w:rPr>
          <w:rFonts w:hint="eastAsia" w:ascii="仿宋_GB2312" w:eastAsia="仿宋_GB2312"/>
          <w:b w:val="0"/>
          <w:bCs w:val="0"/>
          <w:color w:val="auto"/>
          <w:sz w:val="32"/>
          <w:szCs w:val="32"/>
        </w:rPr>
        <w:t>年初结转和结余：指以前年度尚未完成、结转到本年按有关规定继续使用的资金。</w:t>
      </w:r>
    </w:p>
    <w:p>
      <w:pPr>
        <w:pStyle w:val="23"/>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hint="default" w:ascii="仿宋_GB2312" w:eastAsia="仿宋_GB2312"/>
          <w:b w:val="0"/>
          <w:bCs w:val="0"/>
          <w:color w:val="auto"/>
          <w:sz w:val="32"/>
          <w:szCs w:val="32"/>
          <w:lang w:val="en-US"/>
        </w:rPr>
        <w:t>4.</w:t>
      </w:r>
      <w:r>
        <w:rPr>
          <w:rFonts w:hint="eastAsia" w:ascii="仿宋_GB2312" w:eastAsia="仿宋_GB2312"/>
          <w:b w:val="0"/>
          <w:bCs w:val="0"/>
          <w:color w:val="auto"/>
          <w:sz w:val="32"/>
          <w:szCs w:val="32"/>
        </w:rPr>
        <w:t>年末结转和结余：指单位按有关规定结转到下年或以后年度继续使用的资金。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5.</w:t>
      </w:r>
      <w:r>
        <w:rPr>
          <w:rStyle w:val="15"/>
          <w:rFonts w:hint="eastAsia" w:ascii="仿宋" w:hAnsi="仿宋" w:eastAsia="仿宋"/>
          <w:b w:val="0"/>
          <w:bCs w:val="0"/>
          <w:color w:val="auto"/>
          <w:sz w:val="32"/>
          <w:szCs w:val="32"/>
        </w:rPr>
        <w:t>一般公共服务201（类）民主党派及工商联事务</w:t>
      </w:r>
      <w:r>
        <w:rPr>
          <w:rStyle w:val="15"/>
          <w:rFonts w:hint="eastAsia" w:ascii="仿宋" w:hAnsi="仿宋" w:eastAsia="仿宋"/>
          <w:b w:val="0"/>
          <w:bCs w:val="0"/>
          <w:color w:val="auto"/>
          <w:sz w:val="32"/>
          <w:szCs w:val="32"/>
          <w:lang w:val="en-US" w:eastAsia="zh-CN"/>
        </w:rPr>
        <w:t>28</w:t>
      </w:r>
      <w:r>
        <w:rPr>
          <w:rStyle w:val="15"/>
          <w:rFonts w:hint="eastAsia" w:ascii="仿宋" w:hAnsi="仿宋" w:eastAsia="仿宋"/>
          <w:b w:val="0"/>
          <w:bCs w:val="0"/>
          <w:color w:val="auto"/>
          <w:sz w:val="32"/>
          <w:szCs w:val="32"/>
        </w:rPr>
        <w:t>（款）</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反映各民主党派（包括民革、民盟、民建、民进、农工、致公、九三、台盟等）及办事机构的支出，工商联的支出。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6.</w:t>
      </w:r>
      <w:r>
        <w:rPr>
          <w:rStyle w:val="15"/>
          <w:rFonts w:hint="eastAsia" w:ascii="仿宋" w:hAnsi="仿宋" w:eastAsia="仿宋"/>
          <w:b w:val="0"/>
          <w:bCs w:val="0"/>
          <w:color w:val="auto"/>
          <w:sz w:val="32"/>
          <w:szCs w:val="32"/>
        </w:rPr>
        <w:t>一般公共服务201（类）民主党派及工商联事务</w:t>
      </w:r>
      <w:r>
        <w:rPr>
          <w:rStyle w:val="15"/>
          <w:rFonts w:hint="eastAsia" w:ascii="仿宋" w:hAnsi="仿宋" w:eastAsia="仿宋"/>
          <w:b w:val="0"/>
          <w:bCs w:val="0"/>
          <w:color w:val="auto"/>
          <w:sz w:val="32"/>
          <w:szCs w:val="32"/>
          <w:lang w:val="en-US" w:eastAsia="zh-CN"/>
        </w:rPr>
        <w:t>28</w:t>
      </w:r>
      <w:r>
        <w:rPr>
          <w:rStyle w:val="15"/>
          <w:rFonts w:hint="eastAsia" w:ascii="仿宋" w:hAnsi="仿宋" w:eastAsia="仿宋"/>
          <w:b w:val="0"/>
          <w:bCs w:val="0"/>
          <w:color w:val="auto"/>
          <w:sz w:val="32"/>
          <w:szCs w:val="32"/>
        </w:rPr>
        <w:t>（款）行政运行</w:t>
      </w:r>
      <w:r>
        <w:rPr>
          <w:rStyle w:val="15"/>
          <w:rFonts w:hint="eastAsia" w:ascii="仿宋" w:hAnsi="仿宋" w:eastAsia="仿宋"/>
          <w:b w:val="0"/>
          <w:bCs w:val="0"/>
          <w:color w:val="auto"/>
          <w:sz w:val="32"/>
          <w:szCs w:val="32"/>
          <w:lang w:val="en-US" w:eastAsia="zh-CN"/>
        </w:rPr>
        <w:t>01</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反映行政单位《包括实行公务员管理的事业单位》的基本支出。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7.</w:t>
      </w:r>
      <w:r>
        <w:rPr>
          <w:rStyle w:val="15"/>
          <w:rFonts w:hint="eastAsia" w:ascii="仿宋" w:hAnsi="仿宋" w:eastAsia="仿宋"/>
          <w:b w:val="0"/>
          <w:bCs w:val="0"/>
          <w:color w:val="auto"/>
          <w:sz w:val="32"/>
          <w:szCs w:val="32"/>
        </w:rPr>
        <w:t>一般公共服务201（类）民主党派及工商联事务</w:t>
      </w:r>
      <w:r>
        <w:rPr>
          <w:rStyle w:val="15"/>
          <w:rFonts w:hint="eastAsia" w:ascii="仿宋" w:hAnsi="仿宋" w:eastAsia="仿宋"/>
          <w:b w:val="0"/>
          <w:bCs w:val="0"/>
          <w:color w:val="auto"/>
          <w:sz w:val="32"/>
          <w:szCs w:val="32"/>
          <w:lang w:val="en-US" w:eastAsia="zh-CN"/>
        </w:rPr>
        <w:t>28</w:t>
      </w:r>
      <w:r>
        <w:rPr>
          <w:rStyle w:val="15"/>
          <w:rFonts w:hint="eastAsia" w:ascii="仿宋" w:hAnsi="仿宋" w:eastAsia="仿宋"/>
          <w:b w:val="0"/>
          <w:bCs w:val="0"/>
          <w:color w:val="auto"/>
          <w:sz w:val="32"/>
          <w:szCs w:val="32"/>
        </w:rPr>
        <w:t>（款） 一般行政管理事务</w:t>
      </w:r>
      <w:r>
        <w:rPr>
          <w:rStyle w:val="15"/>
          <w:rFonts w:hint="eastAsia" w:ascii="仿宋" w:hAnsi="仿宋" w:eastAsia="仿宋"/>
          <w:b w:val="0"/>
          <w:bCs w:val="0"/>
          <w:color w:val="auto"/>
          <w:sz w:val="32"/>
          <w:szCs w:val="32"/>
          <w:lang w:val="en-US" w:eastAsia="zh-CN"/>
        </w:rPr>
        <w:t>02</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反映行政单位《包括实行公务员管理的事业单位》未单独设置项级科目的其他项目支出。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8.</w:t>
      </w:r>
      <w:r>
        <w:rPr>
          <w:rStyle w:val="15"/>
          <w:rFonts w:hint="eastAsia" w:ascii="仿宋" w:hAnsi="仿宋" w:eastAsia="仿宋"/>
          <w:b w:val="0"/>
          <w:bCs w:val="0"/>
          <w:color w:val="auto"/>
          <w:sz w:val="32"/>
          <w:szCs w:val="32"/>
        </w:rPr>
        <w:t>一般公共服务201（类）民主党派及工商联事务</w:t>
      </w:r>
      <w:r>
        <w:rPr>
          <w:rStyle w:val="15"/>
          <w:rFonts w:hint="eastAsia" w:ascii="仿宋" w:hAnsi="仿宋" w:eastAsia="仿宋"/>
          <w:b w:val="0"/>
          <w:bCs w:val="0"/>
          <w:color w:val="auto"/>
          <w:sz w:val="32"/>
          <w:szCs w:val="32"/>
          <w:lang w:val="en-US" w:eastAsia="zh-CN"/>
        </w:rPr>
        <w:t>28</w:t>
      </w:r>
      <w:r>
        <w:rPr>
          <w:rStyle w:val="15"/>
          <w:rFonts w:hint="eastAsia" w:ascii="仿宋" w:hAnsi="仿宋" w:eastAsia="仿宋"/>
          <w:b w:val="0"/>
          <w:bCs w:val="0"/>
          <w:color w:val="auto"/>
          <w:sz w:val="32"/>
          <w:szCs w:val="32"/>
        </w:rPr>
        <w:t>（款） 其他民主党派及工商联事务支出</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反映除上述项目以外其他用于民主党派及工商联事务方面的支出。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9.</w:t>
      </w:r>
      <w:r>
        <w:rPr>
          <w:rStyle w:val="15"/>
          <w:rFonts w:hint="eastAsia" w:ascii="仿宋" w:hAnsi="仿宋" w:eastAsia="仿宋"/>
          <w:b w:val="0"/>
          <w:bCs w:val="0"/>
          <w:color w:val="auto"/>
          <w:sz w:val="32"/>
          <w:szCs w:val="32"/>
        </w:rPr>
        <w:t>一般公共服务201（类）统战事务</w:t>
      </w:r>
      <w:r>
        <w:rPr>
          <w:rStyle w:val="15"/>
          <w:rFonts w:hint="eastAsia" w:ascii="仿宋" w:hAnsi="仿宋" w:eastAsia="仿宋"/>
          <w:b w:val="0"/>
          <w:bCs w:val="0"/>
          <w:color w:val="auto"/>
          <w:sz w:val="32"/>
          <w:szCs w:val="32"/>
          <w:lang w:val="en-US" w:eastAsia="zh-CN"/>
        </w:rPr>
        <w:t>34</w:t>
      </w:r>
      <w:r>
        <w:rPr>
          <w:rStyle w:val="15"/>
          <w:rFonts w:hint="eastAsia" w:ascii="仿宋" w:hAnsi="仿宋" w:eastAsia="仿宋"/>
          <w:b w:val="0"/>
          <w:bCs w:val="0"/>
          <w:color w:val="auto"/>
          <w:sz w:val="32"/>
          <w:szCs w:val="32"/>
        </w:rPr>
        <w:t>（款）</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反映中国共产党统战部门的事务支出。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10.</w:t>
      </w:r>
      <w:r>
        <w:rPr>
          <w:rStyle w:val="15"/>
          <w:rFonts w:hint="eastAsia" w:ascii="仿宋" w:hAnsi="仿宋" w:eastAsia="仿宋"/>
          <w:b w:val="0"/>
          <w:bCs w:val="0"/>
          <w:color w:val="auto"/>
          <w:sz w:val="32"/>
          <w:szCs w:val="32"/>
        </w:rPr>
        <w:t>一般公共服务201（类）统战事务</w:t>
      </w:r>
      <w:r>
        <w:rPr>
          <w:rStyle w:val="15"/>
          <w:rFonts w:hint="eastAsia" w:ascii="仿宋" w:hAnsi="仿宋" w:eastAsia="仿宋"/>
          <w:b w:val="0"/>
          <w:bCs w:val="0"/>
          <w:color w:val="auto"/>
          <w:sz w:val="32"/>
          <w:szCs w:val="32"/>
          <w:lang w:val="en-US" w:eastAsia="zh-CN"/>
        </w:rPr>
        <w:t>34</w:t>
      </w:r>
      <w:r>
        <w:rPr>
          <w:rStyle w:val="15"/>
          <w:rFonts w:hint="eastAsia" w:ascii="仿宋" w:hAnsi="仿宋" w:eastAsia="仿宋"/>
          <w:b w:val="0"/>
          <w:bCs w:val="0"/>
          <w:color w:val="auto"/>
          <w:sz w:val="32"/>
          <w:szCs w:val="32"/>
        </w:rPr>
        <w:t>（款）行政运行</w:t>
      </w:r>
      <w:r>
        <w:rPr>
          <w:rStyle w:val="15"/>
          <w:rFonts w:hint="eastAsia" w:ascii="仿宋" w:hAnsi="仿宋" w:eastAsia="仿宋"/>
          <w:b w:val="0"/>
          <w:bCs w:val="0"/>
          <w:color w:val="auto"/>
          <w:sz w:val="32"/>
          <w:szCs w:val="32"/>
          <w:lang w:val="en-US" w:eastAsia="zh-CN"/>
        </w:rPr>
        <w:t>01</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反映行政单位《包括实行公务员管理的事业单位》的基本支出。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11.</w:t>
      </w:r>
      <w:r>
        <w:rPr>
          <w:rStyle w:val="15"/>
          <w:rFonts w:hint="eastAsia" w:ascii="仿宋" w:hAnsi="仿宋" w:eastAsia="仿宋"/>
          <w:b w:val="0"/>
          <w:bCs w:val="0"/>
          <w:color w:val="auto"/>
          <w:sz w:val="32"/>
          <w:szCs w:val="32"/>
        </w:rPr>
        <w:t>一般公共服务201（类）统战事务</w:t>
      </w:r>
      <w:r>
        <w:rPr>
          <w:rStyle w:val="15"/>
          <w:rFonts w:hint="eastAsia" w:ascii="仿宋" w:hAnsi="仿宋" w:eastAsia="仿宋"/>
          <w:b w:val="0"/>
          <w:bCs w:val="0"/>
          <w:color w:val="auto"/>
          <w:sz w:val="32"/>
          <w:szCs w:val="32"/>
          <w:lang w:val="en-US" w:eastAsia="zh-CN"/>
        </w:rPr>
        <w:t>34</w:t>
      </w:r>
      <w:r>
        <w:rPr>
          <w:rStyle w:val="15"/>
          <w:rFonts w:hint="eastAsia" w:ascii="仿宋" w:hAnsi="仿宋" w:eastAsia="仿宋"/>
          <w:b w:val="0"/>
          <w:bCs w:val="0"/>
          <w:color w:val="auto"/>
          <w:sz w:val="32"/>
          <w:szCs w:val="32"/>
        </w:rPr>
        <w:t>（款） 一般行政管理事务</w:t>
      </w:r>
      <w:r>
        <w:rPr>
          <w:rStyle w:val="15"/>
          <w:rFonts w:hint="eastAsia" w:ascii="仿宋" w:hAnsi="仿宋" w:eastAsia="仿宋"/>
          <w:b w:val="0"/>
          <w:bCs w:val="0"/>
          <w:color w:val="auto"/>
          <w:sz w:val="32"/>
          <w:szCs w:val="32"/>
          <w:lang w:val="en-US" w:eastAsia="zh-CN"/>
        </w:rPr>
        <w:t>02</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反映行政单位《包括实行公务员管理的事业单位》未单独设置项级科目的其他项目支出。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12.</w:t>
      </w:r>
      <w:r>
        <w:rPr>
          <w:rStyle w:val="15"/>
          <w:rFonts w:hint="eastAsia" w:ascii="仿宋" w:hAnsi="仿宋" w:eastAsia="仿宋"/>
          <w:b w:val="0"/>
          <w:bCs w:val="0"/>
          <w:color w:val="auto"/>
          <w:sz w:val="32"/>
          <w:szCs w:val="32"/>
        </w:rPr>
        <w:t>社会保障和就业20</w:t>
      </w:r>
      <w:r>
        <w:rPr>
          <w:rStyle w:val="15"/>
          <w:rFonts w:hint="eastAsia" w:ascii="仿宋" w:hAnsi="仿宋" w:eastAsia="仿宋"/>
          <w:b w:val="0"/>
          <w:bCs w:val="0"/>
          <w:color w:val="auto"/>
          <w:sz w:val="32"/>
          <w:szCs w:val="32"/>
          <w:lang w:val="en-US" w:eastAsia="zh-CN"/>
        </w:rPr>
        <w:t>8</w:t>
      </w:r>
      <w:r>
        <w:rPr>
          <w:rStyle w:val="15"/>
          <w:rFonts w:hint="eastAsia" w:ascii="仿宋" w:hAnsi="仿宋" w:eastAsia="仿宋"/>
          <w:b w:val="0"/>
          <w:bCs w:val="0"/>
          <w:color w:val="auto"/>
          <w:sz w:val="32"/>
          <w:szCs w:val="32"/>
        </w:rPr>
        <w:t>（类）行政事业单位离退休</w:t>
      </w:r>
      <w:r>
        <w:rPr>
          <w:rStyle w:val="15"/>
          <w:rFonts w:hint="eastAsia" w:ascii="仿宋" w:hAnsi="仿宋" w:eastAsia="仿宋"/>
          <w:b w:val="0"/>
          <w:bCs w:val="0"/>
          <w:color w:val="auto"/>
          <w:sz w:val="32"/>
          <w:szCs w:val="32"/>
          <w:lang w:val="en-US" w:eastAsia="zh-CN"/>
        </w:rPr>
        <w:t>05</w:t>
      </w:r>
      <w:r>
        <w:rPr>
          <w:rStyle w:val="15"/>
          <w:rFonts w:hint="eastAsia" w:ascii="仿宋" w:hAnsi="仿宋" w:eastAsia="仿宋"/>
          <w:b w:val="0"/>
          <w:bCs w:val="0"/>
          <w:color w:val="auto"/>
          <w:sz w:val="32"/>
          <w:szCs w:val="32"/>
        </w:rPr>
        <w:t>（款）  机关事业单位基本养老保险缴费支出</w:t>
      </w:r>
      <w:r>
        <w:rPr>
          <w:rStyle w:val="15"/>
          <w:rFonts w:hint="eastAsia" w:ascii="仿宋" w:hAnsi="仿宋" w:eastAsia="仿宋"/>
          <w:b w:val="0"/>
          <w:bCs w:val="0"/>
          <w:color w:val="auto"/>
          <w:sz w:val="32"/>
          <w:szCs w:val="32"/>
          <w:lang w:val="en-US" w:eastAsia="zh-CN"/>
        </w:rPr>
        <w:t>05</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指机机关事业单位实施养老保险制度单位缴纳的基本养老保险费支出。</w:t>
      </w:r>
    </w:p>
    <w:p>
      <w:pPr>
        <w:keepNext w:val="0"/>
        <w:keepLines w:val="0"/>
        <w:pageBreakBefore w:val="0"/>
        <w:widowControl w:val="0"/>
        <w:tabs>
          <w:tab w:val="left" w:pos="623"/>
        </w:tabs>
        <w:kinsoku/>
        <w:wordWrap/>
        <w:overflowPunct/>
        <w:topLinePunct w:val="0"/>
        <w:autoSpaceDE/>
        <w:autoSpaceDN/>
        <w:bidi w:val="0"/>
        <w:adjustRightInd/>
        <w:snapToGrid/>
        <w:spacing w:line="560" w:lineRule="exact"/>
        <w:ind w:firstLine="640"/>
        <w:textAlignment w:val="auto"/>
        <w:outlineLvl w:val="9"/>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13.</w:t>
      </w:r>
      <w:r>
        <w:rPr>
          <w:rFonts w:hint="eastAsia" w:ascii="仿宋" w:hAnsi="仿宋" w:eastAsia="仿宋"/>
          <w:b w:val="0"/>
          <w:bCs w:val="0"/>
          <w:color w:val="auto"/>
          <w:sz w:val="32"/>
          <w:szCs w:val="32"/>
        </w:rPr>
        <w:t>住房保障</w:t>
      </w:r>
      <w:r>
        <w:rPr>
          <w:rStyle w:val="15"/>
          <w:rFonts w:hint="eastAsia" w:ascii="仿宋" w:hAnsi="仿宋" w:eastAsia="仿宋"/>
          <w:b w:val="0"/>
          <w:bCs w:val="0"/>
          <w:color w:val="auto"/>
          <w:sz w:val="32"/>
          <w:szCs w:val="32"/>
        </w:rPr>
        <w:t>2</w:t>
      </w:r>
      <w:r>
        <w:rPr>
          <w:rStyle w:val="15"/>
          <w:rFonts w:hint="eastAsia" w:ascii="仿宋" w:hAnsi="仿宋" w:eastAsia="仿宋"/>
          <w:b w:val="0"/>
          <w:bCs w:val="0"/>
          <w:color w:val="auto"/>
          <w:sz w:val="32"/>
          <w:szCs w:val="32"/>
          <w:lang w:val="en-US" w:eastAsia="zh-CN"/>
        </w:rPr>
        <w:t>21</w:t>
      </w:r>
      <w:r>
        <w:rPr>
          <w:rStyle w:val="15"/>
          <w:rFonts w:hint="eastAsia" w:ascii="仿宋" w:hAnsi="仿宋" w:eastAsia="仿宋"/>
          <w:b w:val="0"/>
          <w:bCs w:val="0"/>
          <w:color w:val="auto"/>
          <w:sz w:val="32"/>
          <w:szCs w:val="32"/>
        </w:rPr>
        <w:t>（类）住房改革支出</w:t>
      </w:r>
      <w:r>
        <w:rPr>
          <w:rStyle w:val="15"/>
          <w:rFonts w:hint="eastAsia" w:ascii="仿宋" w:hAnsi="仿宋" w:eastAsia="仿宋"/>
          <w:b w:val="0"/>
          <w:bCs w:val="0"/>
          <w:color w:val="auto"/>
          <w:sz w:val="32"/>
          <w:szCs w:val="32"/>
          <w:lang w:val="en-US" w:eastAsia="zh-CN"/>
        </w:rPr>
        <w:t>02</w:t>
      </w:r>
      <w:r>
        <w:rPr>
          <w:rStyle w:val="15"/>
          <w:rFonts w:hint="eastAsia" w:ascii="仿宋" w:hAnsi="仿宋" w:eastAsia="仿宋"/>
          <w:b w:val="0"/>
          <w:bCs w:val="0"/>
          <w:color w:val="auto"/>
          <w:sz w:val="32"/>
          <w:szCs w:val="32"/>
        </w:rPr>
        <w:t>（款）住房公积金</w:t>
      </w:r>
      <w:r>
        <w:rPr>
          <w:rStyle w:val="15"/>
          <w:rFonts w:hint="eastAsia" w:ascii="仿宋" w:hAnsi="仿宋" w:eastAsia="仿宋"/>
          <w:b w:val="0"/>
          <w:bCs w:val="0"/>
          <w:color w:val="auto"/>
          <w:sz w:val="32"/>
          <w:szCs w:val="32"/>
          <w:lang w:val="en-US" w:eastAsia="zh-CN"/>
        </w:rPr>
        <w:t>01</w:t>
      </w:r>
      <w:r>
        <w:rPr>
          <w:rStyle w:val="15"/>
          <w:rFonts w:hint="eastAsia" w:ascii="仿宋" w:hAnsi="仿宋" w:eastAsia="仿宋"/>
          <w:b w:val="0"/>
          <w:bCs w:val="0"/>
          <w:color w:val="auto"/>
          <w:sz w:val="32"/>
          <w:szCs w:val="32"/>
        </w:rPr>
        <w:t>（项）</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lang w:val="en-US" w:eastAsia="zh-CN"/>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14</w:t>
      </w:r>
      <w:r>
        <w:rPr>
          <w:rFonts w:ascii="仿宋_GB2312" w:eastAsia="仿宋_GB2312"/>
          <w:b w:val="0"/>
          <w:bCs w:val="0"/>
          <w:color w:val="auto"/>
          <w:sz w:val="32"/>
          <w:szCs w:val="32"/>
        </w:rPr>
        <w:t>.</w:t>
      </w:r>
      <w:r>
        <w:rPr>
          <w:rFonts w:hint="eastAsia" w:ascii="仿宋_GB2312" w:eastAsia="仿宋_GB2312"/>
          <w:b w:val="0"/>
          <w:bCs w:val="0"/>
          <w:color w:val="auto"/>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15</w:t>
      </w:r>
      <w:r>
        <w:rPr>
          <w:rFonts w:ascii="仿宋_GB2312" w:eastAsia="仿宋_GB2312"/>
          <w:b w:val="0"/>
          <w:bCs w:val="0"/>
          <w:color w:val="auto"/>
          <w:sz w:val="32"/>
          <w:szCs w:val="32"/>
        </w:rPr>
        <w:t>.</w:t>
      </w:r>
      <w:r>
        <w:rPr>
          <w:rFonts w:hint="eastAsia" w:ascii="仿宋_GB2312" w:eastAsia="仿宋_GB2312"/>
          <w:b w:val="0"/>
          <w:bCs w:val="0"/>
          <w:color w:val="auto"/>
          <w:sz w:val="32"/>
          <w:szCs w:val="32"/>
        </w:rPr>
        <w:t>项目支出：指在基本支出之外为完成特定行政任务和事业发展目标所发生的支出。</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16</w:t>
      </w:r>
      <w:r>
        <w:rPr>
          <w:rFonts w:ascii="仿宋_GB2312" w:eastAsia="仿宋_GB2312"/>
          <w:b w:val="0"/>
          <w:bCs w:val="0"/>
          <w:color w:val="auto"/>
          <w:sz w:val="32"/>
          <w:szCs w:val="32"/>
        </w:rPr>
        <w:t>.</w:t>
      </w:r>
      <w:r>
        <w:rPr>
          <w:rFonts w:hint="eastAsia" w:ascii="仿宋_GB2312" w:eastAsia="仿宋_GB2312"/>
          <w:b w:val="0"/>
          <w:bCs w:val="0"/>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b w:val="0"/>
          <w:bCs w:val="0"/>
          <w:color w:val="auto"/>
          <w:sz w:val="32"/>
          <w:szCs w:val="32"/>
        </w:rPr>
      </w:pPr>
      <w:r>
        <w:rPr>
          <w:rFonts w:hint="eastAsia" w:ascii="仿宋_GB2312" w:eastAsia="仿宋_GB2312"/>
          <w:b w:val="0"/>
          <w:bCs w:val="0"/>
          <w:color w:val="auto"/>
          <w:sz w:val="32"/>
          <w:szCs w:val="32"/>
          <w:lang w:val="en-US" w:eastAsia="zh-CN"/>
        </w:rPr>
        <w:t>17</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1" w:name="_Toc15396614"/>
      <w:bookmarkStart w:id="62" w:name="_Toc15377226"/>
    </w:p>
    <w:p>
      <w:pPr>
        <w:rPr>
          <w:rFonts w:hint="eastAsia" w:ascii="黑体" w:hAnsi="黑体" w:eastAsia="黑体"/>
          <w:color w:val="auto"/>
          <w:sz w:val="44"/>
          <w:szCs w:val="44"/>
        </w:rPr>
      </w:pPr>
      <w:r>
        <w:rPr>
          <w:rFonts w:hint="eastAsia" w:ascii="黑体" w:hAnsi="黑体" w:eastAsia="黑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5"/>
          <w:rFonts w:ascii="黑体" w:hAnsi="黑体" w:eastAsia="黑体"/>
          <w:b w:val="0"/>
          <w:color w:val="auto"/>
        </w:rPr>
      </w:pPr>
      <w:r>
        <w:rPr>
          <w:rFonts w:hint="eastAsia" w:ascii="黑体" w:hAnsi="黑体" w:eastAsia="黑体"/>
          <w:color w:val="auto"/>
          <w:sz w:val="44"/>
          <w:szCs w:val="44"/>
        </w:rPr>
        <w:t>第</w:t>
      </w:r>
      <w:r>
        <w:rPr>
          <w:rStyle w:val="25"/>
          <w:rFonts w:hint="eastAsia" w:ascii="黑体" w:hAnsi="黑体" w:eastAsia="黑体"/>
          <w:b w:val="0"/>
          <w:color w:val="auto"/>
        </w:rPr>
        <w:t>四部分 附件</w:t>
      </w:r>
      <w:bookmarkEnd w:id="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5"/>
          <w:color w:val="auto"/>
        </w:rPr>
      </w:pPr>
    </w:p>
    <w:p>
      <w:pPr>
        <w:pStyle w:val="3"/>
        <w:pageBreakBefore w:val="0"/>
        <w:widowControl w:val="0"/>
        <w:kinsoku/>
        <w:wordWrap/>
        <w:overflowPunct/>
        <w:topLinePunct w:val="0"/>
        <w:autoSpaceDE/>
        <w:autoSpaceDN/>
        <w:bidi w:val="0"/>
        <w:adjustRightInd/>
        <w:snapToGrid/>
        <w:spacing w:before="0" w:after="0" w:line="600" w:lineRule="exact"/>
        <w:textAlignment w:val="auto"/>
        <w:rPr>
          <w:rStyle w:val="25"/>
          <w:rFonts w:hint="eastAsia" w:ascii="黑体" w:hAnsi="黑体" w:eastAsia="黑体" w:cs="黑体"/>
          <w:b w:val="0"/>
          <w:bCs w:val="0"/>
          <w:color w:val="auto"/>
          <w:sz w:val="32"/>
          <w:szCs w:val="32"/>
        </w:rPr>
      </w:pPr>
      <w:bookmarkStart w:id="63" w:name="_Toc15396615"/>
      <w:r>
        <w:rPr>
          <w:rStyle w:val="25"/>
          <w:rFonts w:hint="eastAsia" w:ascii="黑体" w:hAnsi="黑体" w:eastAsia="黑体" w:cs="黑体"/>
          <w:b w:val="0"/>
          <w:bCs w:val="0"/>
          <w:color w:val="auto"/>
          <w:sz w:val="32"/>
          <w:szCs w:val="32"/>
        </w:rPr>
        <w:t>附件1</w:t>
      </w:r>
      <w:bookmarkEnd w:id="63"/>
    </w:p>
    <w:p>
      <w:pPr>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bookmarkStart w:id="64" w:name="_Toc15396616"/>
      <w:r>
        <w:rPr>
          <w:rFonts w:hint="eastAsia" w:ascii="方正小标宋简体" w:hAnsi="方正小标宋简体" w:eastAsia="方正小标宋简体" w:cs="方正小标宋简体"/>
          <w:color w:val="auto"/>
          <w:sz w:val="44"/>
          <w:szCs w:val="44"/>
          <w:lang w:eastAsia="zh-CN"/>
        </w:rPr>
        <w:t>中共广元市委统战部</w:t>
      </w:r>
    </w:p>
    <w:p>
      <w:pPr>
        <w:pageBreakBefore w:val="0"/>
        <w:widowControl w:val="0"/>
        <w:kinsoku/>
        <w:wordWrap/>
        <w:overflowPunct/>
        <w:topLinePunct w:val="0"/>
        <w:autoSpaceDE/>
        <w:autoSpaceDN/>
        <w:bidi w:val="0"/>
        <w:adjustRightInd/>
        <w:snapToGrid/>
        <w:spacing w:line="600" w:lineRule="exact"/>
        <w:jc w:val="center"/>
        <w:textAlignment w:val="auto"/>
        <w:outlineLvl w:val="0"/>
        <w:rPr>
          <w:rFonts w:ascii="黑体" w:hAnsi="黑体" w:eastAsia="黑体" w:cs="方正小标宋简体"/>
          <w:color w:val="auto"/>
          <w:sz w:val="36"/>
          <w:szCs w:val="36"/>
        </w:rPr>
      </w:pPr>
      <w:r>
        <w:rPr>
          <w:rFonts w:hint="eastAsia" w:ascii="方正小标宋简体" w:hAnsi="方正小标宋简体" w:eastAsia="方正小标宋简体" w:cs="方正小标宋简体"/>
          <w:color w:val="auto"/>
          <w:sz w:val="44"/>
          <w:szCs w:val="44"/>
        </w:rPr>
        <w:t>2018年部门整体支出绩效评价报告</w:t>
      </w:r>
      <w:bookmarkEnd w:id="6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（一）机构组成。</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市委统战部</w:t>
      </w:r>
      <w:r>
        <w:rPr>
          <w:rFonts w:hint="eastAsia" w:ascii="仿宋" w:hAnsi="仿宋" w:eastAsia="仿宋"/>
          <w:color w:val="auto"/>
          <w:sz w:val="32"/>
          <w:szCs w:val="32"/>
        </w:rPr>
        <w:t>下属二级单位</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个，参照公务员法管理的事业单位</w:t>
      </w:r>
      <w:r>
        <w:rPr>
          <w:rFonts w:hint="eastAsia" w:ascii="仿宋" w:hAnsi="仿宋" w:eastAsia="仿宋"/>
          <w:bCs/>
          <w:color w:val="auto"/>
          <w:sz w:val="32"/>
          <w:szCs w:val="32"/>
          <w:lang w:val="en-US" w:eastAsia="zh-CN"/>
        </w:rPr>
        <w:t>0</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（二）机构职能。</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1.负责调查研究统一战线理论和重大方针政策，向市委全面反映统一战线情况，提出开展统一战线工作的意见和建议，组织协调统一战线政策和法律法规的贯彻落实，检查执行情况，协调统一战线各方面关系。</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负责联系各民主党派和无党派人士，反映他们的意见和建议；落实中央、省委和市委关于发挥民主党派和无党派代表人士参政议政和民主监督作用的工作，为市委同民主党派进行政治协商做好组织联系工作；受市委委托，向民主党派、无党派人士通报中央、省委和市委重要会议精神；支持、帮助各民主党派加强自身建设。</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3.负责调查研究、协调检查有关民族和宗教工作重大方针、政策的贯彻执行；联系少数民族和宗教界的代表人物；协助有关部门做好少数民族干部的培养和举荐工作。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负责党外人士的政治安排。会同有关部门做好培养、考察、选拔、推荐、安排党外人士担任政府和司法机关领导职务的工作；做好党外后备干部和新的社会阶层人士队伍建设工作；受市委委托，领导市工商联党组，指导市工商联工作；管理广元市中华职业教育社；指导有关统战团体和人民团体的统战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5.调查研究并反映我市非公有制经济代表人士的情况，协调关系，提出政策建议；团结、帮助、引导非公有制经济代表人士，积极开展思想政治工作。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6.调查研究党外知识分子的情况，反映意见，协调关系，提出政策建议；联系并培养党外知识分子代表人物。</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7.负责开展以巩固统一为重点的港澳台海外统战工作。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8.负责市九广合作领导小组日常工作。</w:t>
      </w:r>
    </w:p>
    <w:p>
      <w:pPr>
        <w:pStyle w:val="12"/>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60" w:lineRule="exact"/>
        <w:ind w:left="0" w:right="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9.负责开展统一战线宣传工作；协助政府各有关部门的统战工作；指导县区党委统战部开展统战工作和统战系统干部培训；负责统战史志工作。</w:t>
      </w:r>
    </w:p>
    <w:p>
      <w:pPr>
        <w:pStyle w:val="5"/>
        <w:keepNext w:val="0"/>
        <w:keepLines w:val="0"/>
        <w:pageBreakBefore w:val="0"/>
        <w:widowControl w:val="0"/>
        <w:kinsoku/>
        <w:wordWrap/>
        <w:overflowPunct w:val="0"/>
        <w:topLinePunct w:val="0"/>
        <w:autoSpaceDE w:val="0"/>
        <w:autoSpaceDN w:val="0"/>
        <w:bidi w:val="0"/>
        <w:adjustRightInd/>
        <w:snapToGrid/>
        <w:spacing w:beforeLines="0" w:line="560" w:lineRule="exact"/>
        <w:ind w:firstLine="672" w:firstLineChars="210"/>
        <w:textAlignment w:val="auto"/>
        <w:rPr>
          <w:rFonts w:hint="eastAsia"/>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10.完成市委及上级主管部门交办的其他事项。</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人员概况。</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2018年总编制35名，其中行政编制26名，其他事业编制7名，工勤编制2名。在职人员总数35人，其中行政人员28人，其他事业人员5人，工勤人员2人；退休人员14人。</w:t>
      </w:r>
    </w:p>
    <w:p>
      <w:pPr>
        <w:keepNext w:val="0"/>
        <w:keepLines w:val="0"/>
        <w:pageBreakBefore w:val="0"/>
        <w:widowControl w:val="0"/>
        <w:numPr>
          <w:ilvl w:val="0"/>
          <w:numId w:val="0"/>
        </w:numPr>
        <w:kinsoku/>
        <w:wordWrap/>
        <w:topLinePunct w:val="0"/>
        <w:bidi w:val="0"/>
        <w:adjustRightInd/>
        <w:snapToGrid/>
        <w:spacing w:line="560"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楷体" w:hAnsi="楷体" w:eastAsia="楷体" w:cs="楷体"/>
          <w:color w:val="auto"/>
          <w:sz w:val="32"/>
          <w:szCs w:val="32"/>
        </w:rPr>
        <w:t>（一）部门财政资金收入情况。</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ascii="仿宋" w:hAnsi="仿宋" w:eastAsia="仿宋"/>
          <w:color w:val="auto"/>
          <w:sz w:val="32"/>
          <w:szCs w:val="32"/>
        </w:rPr>
        <w:t>201</w:t>
      </w:r>
      <w:r>
        <w:rPr>
          <w:rFonts w:hint="eastAsia" w:ascii="仿宋" w:hAnsi="仿宋" w:eastAsia="仿宋"/>
          <w:color w:val="auto"/>
          <w:sz w:val="32"/>
          <w:szCs w:val="32"/>
        </w:rPr>
        <w:t>8年财政</w:t>
      </w:r>
      <w:r>
        <w:rPr>
          <w:rFonts w:hint="eastAsia" w:ascii="仿宋" w:hAnsi="仿宋" w:eastAsia="仿宋"/>
          <w:color w:val="auto"/>
          <w:sz w:val="32"/>
          <w:szCs w:val="32"/>
          <w:lang w:eastAsia="zh-CN"/>
        </w:rPr>
        <w:t>资金</w:t>
      </w:r>
      <w:r>
        <w:rPr>
          <w:rFonts w:hint="eastAsia" w:ascii="仿宋" w:hAnsi="仿宋" w:eastAsia="仿宋"/>
          <w:color w:val="auto"/>
          <w:sz w:val="32"/>
          <w:szCs w:val="32"/>
        </w:rPr>
        <w:t>收</w:t>
      </w:r>
      <w:r>
        <w:rPr>
          <w:rFonts w:hint="eastAsia" w:ascii="仿宋" w:hAnsi="仿宋" w:eastAsia="仿宋"/>
          <w:color w:val="auto"/>
          <w:sz w:val="32"/>
          <w:szCs w:val="32"/>
          <w:lang w:eastAsia="zh-CN"/>
        </w:rPr>
        <w:t>入</w:t>
      </w:r>
      <w:r>
        <w:rPr>
          <w:rFonts w:hint="eastAsia" w:ascii="仿宋" w:hAnsi="仿宋" w:eastAsia="仿宋"/>
          <w:color w:val="auto"/>
          <w:sz w:val="32"/>
          <w:szCs w:val="32"/>
          <w:lang w:val="en-US" w:eastAsia="zh-CN"/>
        </w:rPr>
        <w:t>984.97</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rPr>
        <w:t>7年相比，财政拨款收</w:t>
      </w:r>
      <w:r>
        <w:rPr>
          <w:rFonts w:hint="eastAsia" w:ascii="仿宋" w:hAnsi="仿宋" w:eastAsia="仿宋"/>
          <w:color w:val="auto"/>
          <w:sz w:val="32"/>
          <w:szCs w:val="32"/>
          <w:lang w:eastAsia="zh-CN"/>
        </w:rPr>
        <w:t>入</w:t>
      </w:r>
      <w:r>
        <w:rPr>
          <w:rFonts w:hint="eastAsia" w:ascii="仿宋" w:hAnsi="仿宋" w:eastAsia="仿宋"/>
          <w:color w:val="auto"/>
          <w:sz w:val="32"/>
          <w:szCs w:val="32"/>
        </w:rPr>
        <w:t>总计</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56.37</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6</w:t>
      </w:r>
      <w:r>
        <w:rPr>
          <w:rFonts w:ascii="仿宋" w:hAnsi="仿宋" w:eastAsia="仿宋"/>
          <w:color w:val="auto"/>
          <w:sz w:val="32"/>
          <w:szCs w:val="32"/>
        </w:rPr>
        <w:t>%</w:t>
      </w:r>
      <w:r>
        <w:rPr>
          <w:rFonts w:hint="eastAsia" w:ascii="仿宋" w:hAnsi="仿宋" w:eastAsia="仿宋"/>
          <w:color w:val="auto"/>
          <w:sz w:val="32"/>
          <w:szCs w:val="32"/>
        </w:rPr>
        <w:t>。主要变动原因是主要变动原因是</w:t>
      </w:r>
      <w:r>
        <w:rPr>
          <w:rFonts w:hint="eastAsia" w:ascii="仿宋" w:hAnsi="仿宋" w:eastAsia="仿宋"/>
          <w:color w:val="auto"/>
          <w:sz w:val="32"/>
          <w:szCs w:val="32"/>
          <w:lang w:eastAsia="zh-CN"/>
        </w:rPr>
        <w:t>新增人员</w:t>
      </w:r>
      <w:r>
        <w:rPr>
          <w:rFonts w:hint="eastAsia" w:ascii="仿宋" w:hAnsi="仿宋" w:eastAsia="仿宋"/>
          <w:color w:val="auto"/>
          <w:sz w:val="32"/>
          <w:szCs w:val="32"/>
          <w:lang w:val="en-US" w:eastAsia="zh-CN"/>
        </w:rPr>
        <w:t>3人，工作任务增加。</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部门财政资金支出情况。</w:t>
      </w:r>
    </w:p>
    <w:p>
      <w:pPr>
        <w:keepNext w:val="0"/>
        <w:keepLines w:val="0"/>
        <w:pageBreakBefore w:val="0"/>
        <w:widowControl w:val="0"/>
        <w:numPr>
          <w:ilvl w:val="0"/>
          <w:numId w:val="0"/>
        </w:numPr>
        <w:kinsoku/>
        <w:wordWrap/>
        <w:topLinePunct w:val="0"/>
        <w:bidi w:val="0"/>
        <w:adjustRightInd/>
        <w:snapToGrid/>
        <w:spacing w:line="560" w:lineRule="exac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    </w:t>
      </w:r>
      <w:r>
        <w:rPr>
          <w:rFonts w:ascii="仿宋" w:hAnsi="仿宋" w:eastAsia="仿宋"/>
          <w:color w:val="auto"/>
          <w:sz w:val="32"/>
          <w:szCs w:val="32"/>
        </w:rPr>
        <w:t>201</w:t>
      </w:r>
      <w:r>
        <w:rPr>
          <w:rFonts w:hint="eastAsia" w:ascii="仿宋" w:hAnsi="仿宋" w:eastAsia="仿宋"/>
          <w:color w:val="auto"/>
          <w:sz w:val="32"/>
          <w:szCs w:val="32"/>
        </w:rPr>
        <w:t>8年财政</w:t>
      </w:r>
      <w:r>
        <w:rPr>
          <w:rFonts w:hint="eastAsia" w:ascii="仿宋" w:hAnsi="仿宋" w:eastAsia="仿宋"/>
          <w:color w:val="auto"/>
          <w:sz w:val="32"/>
          <w:szCs w:val="32"/>
          <w:lang w:eastAsia="zh-CN"/>
        </w:rPr>
        <w:t>资金支出1011.31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 xml:space="preserve"> </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三、部门整体预算绩效管理情况（根据适用指标体系进行调整）</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楷体" w:hAnsi="楷体" w:eastAsia="楷体" w:cs="楷体"/>
          <w:color w:val="auto"/>
          <w:sz w:val="32"/>
          <w:szCs w:val="32"/>
        </w:rPr>
        <w:t>（一）部门预算管理。</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根据</w:t>
      </w:r>
      <w:r>
        <w:rPr>
          <w:rFonts w:hint="eastAsia" w:ascii="仿宋" w:hAnsi="仿宋" w:eastAsia="仿宋" w:cs="仿宋_GB2312"/>
          <w:color w:val="auto"/>
          <w:sz w:val="32"/>
          <w:szCs w:val="32"/>
          <w:lang w:eastAsia="zh-CN"/>
        </w:rPr>
        <w:t>市</w:t>
      </w:r>
      <w:r>
        <w:rPr>
          <w:rFonts w:hint="eastAsia" w:ascii="仿宋" w:hAnsi="仿宋" w:eastAsia="仿宋" w:cs="仿宋_GB2312"/>
          <w:color w:val="auto"/>
          <w:sz w:val="32"/>
          <w:szCs w:val="32"/>
        </w:rPr>
        <w:t>财政局的相关政策文件要求，2018年我</w:t>
      </w:r>
      <w:r>
        <w:rPr>
          <w:rFonts w:hint="eastAsia" w:ascii="仿宋" w:hAnsi="仿宋" w:eastAsia="仿宋" w:cs="仿宋_GB2312"/>
          <w:color w:val="auto"/>
          <w:sz w:val="32"/>
          <w:szCs w:val="32"/>
          <w:lang w:eastAsia="zh-CN"/>
        </w:rPr>
        <w:t>部</w:t>
      </w:r>
      <w:r>
        <w:rPr>
          <w:rFonts w:hint="eastAsia" w:ascii="仿宋" w:hAnsi="仿宋" w:eastAsia="仿宋" w:cs="仿宋_GB2312"/>
          <w:color w:val="auto"/>
          <w:sz w:val="32"/>
          <w:szCs w:val="32"/>
        </w:rPr>
        <w:t xml:space="preserve">严格按照资金来源、用途使用资金；资金拨付有完整的审批程序和手续；资金使用无截留、挤占、挪用、虚列支出等情况。加强资金的使用管理，坚持厉行节约，反对奢侈浪费，按制度办事，确保每一分钱都落到实处，每一环节按程序进行。预决算信息公开及时：能按规定时间、内容在政府门户网站上公开预决算信息，并做到信息资料真实、准确。 </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（二）结果应用情况。</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通过加强预算收支管理，不断建立健全内部管理制度，梳理内部管理流程，部门整体支出管理情况得到提升。</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四、评价结论及建议</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（一）评价结论。</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预算执行方面，支出总额控制在预算总额以内</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预算管理方面，制度执行总体较为有效。资产管理方面，建立了资产管理制度，定期进行了盘点和资产清理，总体执行较好。</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存在问题。</w:t>
      </w:r>
    </w:p>
    <w:p>
      <w:pPr>
        <w:keepNext w:val="0"/>
        <w:keepLines w:val="0"/>
        <w:pageBreakBefore w:val="0"/>
        <w:widowControl w:val="0"/>
        <w:numPr>
          <w:ilvl w:val="0"/>
          <w:numId w:val="0"/>
        </w:numPr>
        <w:kinsoku/>
        <w:wordWrap/>
        <w:topLinePunct w:val="0"/>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财务制度执行力有待加强，资金使用计划有待细化。</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改进建议。</w:t>
      </w:r>
    </w:p>
    <w:p>
      <w:pPr>
        <w:keepNext w:val="0"/>
        <w:keepLines w:val="0"/>
        <w:pageBreakBefore w:val="0"/>
        <w:widowControl w:val="0"/>
        <w:numPr>
          <w:ilvl w:val="0"/>
          <w:numId w:val="0"/>
        </w:numPr>
        <w:kinsoku/>
        <w:wordWrap/>
        <w:topLinePunct w:val="0"/>
        <w:bidi w:val="0"/>
        <w:adjustRightInd/>
        <w:snapToGrid/>
        <w:spacing w:line="560" w:lineRule="exact"/>
        <w:jc w:val="both"/>
        <w:textAlignment w:val="auto"/>
        <w:rPr>
          <w:rFonts w:hint="default" w:ascii="仿宋" w:hAnsi="仿宋" w:eastAsia="仿宋" w:cs="仿宋_GB2312"/>
          <w:color w:val="auto"/>
          <w:sz w:val="32"/>
          <w:szCs w:val="32"/>
        </w:rPr>
      </w:pPr>
      <w:r>
        <w:rPr>
          <w:rStyle w:val="25"/>
          <w:rFonts w:hint="eastAsia" w:ascii="仿宋" w:hAnsi="仿宋" w:eastAsia="仿宋" w:cs="仿宋_GB2312"/>
          <w:b w:val="0"/>
          <w:bCs w:val="0"/>
          <w:color w:val="auto"/>
          <w:kern w:val="2"/>
          <w:sz w:val="32"/>
          <w:szCs w:val="32"/>
          <w:lang w:val="en-US" w:eastAsia="zh-CN"/>
        </w:rPr>
        <w:t xml:space="preserve">    </w:t>
      </w:r>
      <w:r>
        <w:rPr>
          <w:rFonts w:hint="eastAsia" w:ascii="仿宋" w:hAnsi="仿宋" w:eastAsia="仿宋" w:cs="仿宋_GB2312"/>
          <w:color w:val="auto"/>
          <w:sz w:val="32"/>
          <w:szCs w:val="32"/>
        </w:rPr>
        <w:t>细化预算编制工作，认真做好预算的编制。进一步加强单位内部各</w:t>
      </w:r>
      <w:r>
        <w:rPr>
          <w:rFonts w:hint="eastAsia" w:ascii="仿宋" w:hAnsi="仿宋" w:eastAsia="仿宋" w:cs="仿宋_GB2312"/>
          <w:color w:val="auto"/>
          <w:sz w:val="32"/>
          <w:szCs w:val="32"/>
          <w:lang w:eastAsia="zh-CN"/>
        </w:rPr>
        <w:t>科</w:t>
      </w:r>
      <w:r>
        <w:rPr>
          <w:rFonts w:hint="eastAsia" w:ascii="仿宋" w:hAnsi="仿宋" w:eastAsia="仿宋" w:cs="仿宋_GB2312"/>
          <w:color w:val="auto"/>
          <w:sz w:val="32"/>
          <w:szCs w:val="32"/>
        </w:rPr>
        <w:t>室的预算管理意识，严格按照预算编制的相关制度和要求进行预算编制。加强与</w:t>
      </w:r>
      <w:r>
        <w:rPr>
          <w:rFonts w:hint="eastAsia" w:ascii="仿宋" w:hAnsi="仿宋" w:eastAsia="仿宋" w:cs="仿宋_GB2312"/>
          <w:color w:val="auto"/>
          <w:sz w:val="32"/>
          <w:szCs w:val="32"/>
          <w:lang w:eastAsia="zh-CN"/>
        </w:rPr>
        <w:t>市</w:t>
      </w:r>
      <w:r>
        <w:rPr>
          <w:rFonts w:hint="eastAsia" w:ascii="仿宋" w:hAnsi="仿宋" w:eastAsia="仿宋" w:cs="仿宋_GB2312"/>
          <w:color w:val="auto"/>
          <w:sz w:val="32"/>
          <w:szCs w:val="32"/>
        </w:rPr>
        <w:t>财政局的沟通，争取年初预算全面具体。</w:t>
      </w:r>
    </w:p>
    <w:p>
      <w:pPr>
        <w:spacing w:line="580" w:lineRule="exact"/>
        <w:rPr>
          <w:rStyle w:val="25"/>
          <w:rFonts w:hint="default" w:ascii="仿宋" w:hAnsi="仿宋" w:eastAsia="仿宋" w:cs="仿宋_GB2312"/>
          <w:b w:val="0"/>
          <w:bCs w:val="0"/>
          <w:color w:val="auto"/>
          <w:kern w:val="2"/>
          <w:sz w:val="32"/>
          <w:szCs w:val="32"/>
          <w:lang w:val="en-US" w:eastAsia="zh-CN"/>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spacing w:line="580" w:lineRule="exact"/>
        <w:ind w:firstLine="640" w:firstLineChars="200"/>
        <w:rPr>
          <w:rStyle w:val="25"/>
          <w:rFonts w:ascii="仿宋" w:hAnsi="仿宋" w:eastAsia="仿宋" w:cs="仿宋_GB2312"/>
          <w:b w:val="0"/>
          <w:bCs w:val="0"/>
          <w:color w:val="auto"/>
          <w:kern w:val="2"/>
          <w:sz w:val="32"/>
          <w:szCs w:val="32"/>
        </w:rPr>
      </w:pPr>
    </w:p>
    <w:p>
      <w:pPr>
        <w:rPr>
          <w:rFonts w:hint="eastAsia" w:ascii="黑体" w:hAnsi="黑体" w:eastAsia="黑体"/>
          <w:color w:val="auto"/>
          <w:sz w:val="44"/>
          <w:szCs w:val="44"/>
        </w:rPr>
      </w:pPr>
      <w:bookmarkStart w:id="65" w:name="_Toc15396618"/>
      <w:r>
        <w:rPr>
          <w:rFonts w:hint="eastAsia" w:ascii="黑体" w:hAnsi="黑体" w:eastAsia="黑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5"/>
          <w:rFonts w:ascii="黑体" w:hAnsi="黑体" w:eastAsia="黑体"/>
          <w:b w:val="0"/>
          <w:color w:val="auto"/>
        </w:rPr>
      </w:pPr>
      <w:r>
        <w:rPr>
          <w:rFonts w:hint="eastAsia" w:ascii="黑体" w:hAnsi="黑体" w:eastAsia="黑体"/>
          <w:color w:val="auto"/>
          <w:sz w:val="44"/>
          <w:szCs w:val="44"/>
        </w:rPr>
        <w:t>第</w:t>
      </w:r>
      <w:r>
        <w:rPr>
          <w:rStyle w:val="25"/>
          <w:rFonts w:hint="eastAsia" w:ascii="黑体" w:hAnsi="黑体" w:eastAsia="黑体"/>
          <w:b w:val="0"/>
          <w:color w:val="auto"/>
        </w:rPr>
        <w:t>五部分 附表</w:t>
      </w:r>
      <w:bookmarkEnd w:id="62"/>
      <w:bookmarkEnd w:id="6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5"/>
          <w:rFonts w:ascii="黑体" w:hAnsi="黑体" w:eastAsia="黑体"/>
          <w:b w:val="0"/>
          <w:color w:val="auto"/>
        </w:rPr>
      </w:pP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66" w:name="_Toc15396619"/>
      <w:r>
        <w:rPr>
          <w:rFonts w:hint="eastAsia" w:ascii="仿宋" w:hAnsi="仿宋" w:eastAsia="仿宋"/>
          <w:b w:val="0"/>
          <w:color w:val="auto"/>
        </w:rPr>
        <w:t>一、收</w:t>
      </w:r>
      <w:r>
        <w:rPr>
          <w:rStyle w:val="26"/>
          <w:rFonts w:hint="eastAsia" w:ascii="仿宋" w:hAnsi="仿宋" w:eastAsia="仿宋"/>
          <w:b w:val="0"/>
          <w:bCs w:val="0"/>
          <w:color w:val="auto"/>
        </w:rPr>
        <w:t>入支出决算总表</w:t>
      </w:r>
      <w:bookmarkEnd w:id="66"/>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67" w:name="_Toc15396620"/>
      <w:r>
        <w:rPr>
          <w:rFonts w:hint="eastAsia" w:ascii="仿宋" w:hAnsi="仿宋" w:eastAsia="仿宋"/>
          <w:b w:val="0"/>
          <w:color w:val="auto"/>
        </w:rPr>
        <w:t>二、收</w:t>
      </w:r>
      <w:r>
        <w:rPr>
          <w:rStyle w:val="26"/>
          <w:rFonts w:hint="eastAsia" w:ascii="仿宋" w:hAnsi="仿宋" w:eastAsia="仿宋"/>
          <w:b w:val="0"/>
          <w:bCs w:val="0"/>
          <w:color w:val="auto"/>
        </w:rPr>
        <w:t>入总表</w:t>
      </w:r>
      <w:bookmarkEnd w:id="67"/>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68" w:name="_Toc15396621"/>
      <w:r>
        <w:rPr>
          <w:rStyle w:val="26"/>
          <w:rFonts w:hint="eastAsia" w:ascii="仿宋" w:hAnsi="仿宋" w:eastAsia="仿宋"/>
          <w:b w:val="0"/>
          <w:bCs w:val="0"/>
          <w:color w:val="auto"/>
        </w:rPr>
        <w:t>三、</w:t>
      </w:r>
      <w:r>
        <w:rPr>
          <w:rFonts w:hint="eastAsia" w:ascii="仿宋" w:hAnsi="仿宋" w:eastAsia="仿宋"/>
          <w:b w:val="0"/>
          <w:color w:val="auto"/>
        </w:rPr>
        <w:t>支</w:t>
      </w:r>
      <w:r>
        <w:rPr>
          <w:rStyle w:val="26"/>
          <w:rFonts w:hint="eastAsia" w:ascii="仿宋" w:hAnsi="仿宋" w:eastAsia="仿宋"/>
          <w:b w:val="0"/>
          <w:bCs w:val="0"/>
          <w:color w:val="auto"/>
        </w:rPr>
        <w:t>出总表</w:t>
      </w:r>
      <w:bookmarkEnd w:id="68"/>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val="0"/>
          <w:color w:val="auto"/>
        </w:rPr>
      </w:pPr>
      <w:bookmarkStart w:id="69" w:name="_Toc15396622"/>
      <w:r>
        <w:rPr>
          <w:rStyle w:val="26"/>
          <w:rFonts w:hint="eastAsia" w:ascii="仿宋" w:hAnsi="仿宋" w:eastAsia="仿宋"/>
          <w:b w:val="0"/>
          <w:bCs w:val="0"/>
          <w:color w:val="auto"/>
        </w:rPr>
        <w:t>四、</w:t>
      </w:r>
      <w:r>
        <w:rPr>
          <w:rFonts w:hint="eastAsia" w:ascii="仿宋" w:hAnsi="仿宋" w:eastAsia="仿宋"/>
          <w:b w:val="0"/>
          <w:color w:val="auto"/>
        </w:rPr>
        <w:t>财</w:t>
      </w:r>
      <w:r>
        <w:rPr>
          <w:rStyle w:val="26"/>
          <w:rFonts w:hint="eastAsia" w:ascii="仿宋" w:hAnsi="仿宋" w:eastAsia="仿宋"/>
          <w:b w:val="0"/>
          <w:bCs w:val="0"/>
          <w:color w:val="auto"/>
        </w:rPr>
        <w:t>政拨款收入支出决算总表</w:t>
      </w:r>
      <w:bookmarkEnd w:id="69"/>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0" w:name="_Toc15396623"/>
      <w:r>
        <w:rPr>
          <w:rStyle w:val="26"/>
          <w:rFonts w:hint="eastAsia" w:ascii="仿宋" w:hAnsi="仿宋" w:eastAsia="仿宋"/>
          <w:b w:val="0"/>
          <w:bCs w:val="0"/>
          <w:color w:val="auto"/>
        </w:rPr>
        <w:t>五、</w:t>
      </w:r>
      <w:r>
        <w:rPr>
          <w:rFonts w:hint="eastAsia" w:ascii="仿宋" w:hAnsi="仿宋" w:eastAsia="仿宋"/>
          <w:b w:val="0"/>
          <w:color w:val="auto"/>
        </w:rPr>
        <w:t>财</w:t>
      </w:r>
      <w:r>
        <w:rPr>
          <w:rStyle w:val="26"/>
          <w:rFonts w:hint="eastAsia" w:ascii="仿宋" w:hAnsi="仿宋" w:eastAsia="仿宋"/>
          <w:b w:val="0"/>
          <w:bCs w:val="0"/>
          <w:color w:val="auto"/>
        </w:rPr>
        <w:t>政拨款支出决算明细表（政府经济分类科目）</w:t>
      </w:r>
      <w:bookmarkEnd w:id="70"/>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1" w:name="_Toc15396624"/>
      <w:r>
        <w:rPr>
          <w:rStyle w:val="26"/>
          <w:rFonts w:hint="eastAsia" w:ascii="仿宋" w:hAnsi="仿宋" w:eastAsia="仿宋"/>
          <w:b w:val="0"/>
          <w:bCs w:val="0"/>
          <w:color w:val="auto"/>
        </w:rPr>
        <w:t>六、</w:t>
      </w:r>
      <w:r>
        <w:rPr>
          <w:rFonts w:hint="eastAsia" w:ascii="仿宋" w:hAnsi="仿宋" w:eastAsia="仿宋"/>
          <w:b w:val="0"/>
          <w:color w:val="auto"/>
        </w:rPr>
        <w:t>一</w:t>
      </w:r>
      <w:r>
        <w:rPr>
          <w:rStyle w:val="26"/>
          <w:rFonts w:hint="eastAsia" w:ascii="仿宋" w:hAnsi="仿宋" w:eastAsia="仿宋"/>
          <w:b w:val="0"/>
          <w:bCs w:val="0"/>
          <w:color w:val="auto"/>
        </w:rPr>
        <w:t>般公共预算财政拨款支出决算表</w:t>
      </w:r>
      <w:bookmarkEnd w:id="7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2" w:name="_Toc15396625"/>
      <w:r>
        <w:rPr>
          <w:rStyle w:val="26"/>
          <w:rFonts w:hint="eastAsia" w:ascii="仿宋" w:hAnsi="仿宋" w:eastAsia="仿宋"/>
          <w:b w:val="0"/>
          <w:bCs w:val="0"/>
          <w:color w:val="auto"/>
        </w:rPr>
        <w:t>七、</w:t>
      </w:r>
      <w:r>
        <w:rPr>
          <w:rFonts w:hint="eastAsia" w:ascii="仿宋" w:hAnsi="仿宋" w:eastAsia="仿宋"/>
          <w:b w:val="0"/>
          <w:color w:val="auto"/>
        </w:rPr>
        <w:t>一</w:t>
      </w:r>
      <w:r>
        <w:rPr>
          <w:rStyle w:val="26"/>
          <w:rFonts w:hint="eastAsia" w:ascii="仿宋" w:hAnsi="仿宋" w:eastAsia="仿宋"/>
          <w:b w:val="0"/>
          <w:bCs w:val="0"/>
          <w:color w:val="auto"/>
        </w:rPr>
        <w:t>般公共预算财政拨款支出决算明细表</w:t>
      </w:r>
      <w:bookmarkEnd w:id="72"/>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3" w:name="_Toc15396626"/>
      <w:r>
        <w:rPr>
          <w:rStyle w:val="26"/>
          <w:rFonts w:hint="eastAsia" w:ascii="仿宋" w:hAnsi="仿宋" w:eastAsia="仿宋"/>
          <w:b w:val="0"/>
          <w:bCs w:val="0"/>
          <w:color w:val="auto"/>
        </w:rPr>
        <w:t>八、</w:t>
      </w:r>
      <w:r>
        <w:rPr>
          <w:rFonts w:hint="eastAsia" w:ascii="仿宋" w:hAnsi="仿宋" w:eastAsia="仿宋"/>
          <w:b w:val="0"/>
          <w:color w:val="auto"/>
        </w:rPr>
        <w:t>一</w:t>
      </w:r>
      <w:r>
        <w:rPr>
          <w:rStyle w:val="26"/>
          <w:rFonts w:hint="eastAsia" w:ascii="仿宋" w:hAnsi="仿宋" w:eastAsia="仿宋"/>
          <w:b w:val="0"/>
          <w:bCs w:val="0"/>
          <w:color w:val="auto"/>
        </w:rPr>
        <w:t>般公共预算财政拨款基本支出决算表</w:t>
      </w:r>
      <w:bookmarkEnd w:id="73"/>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4" w:name="_Toc15396627"/>
      <w:r>
        <w:rPr>
          <w:rStyle w:val="26"/>
          <w:rFonts w:hint="eastAsia" w:ascii="仿宋" w:hAnsi="仿宋" w:eastAsia="仿宋"/>
          <w:b w:val="0"/>
          <w:bCs w:val="0"/>
          <w:color w:val="auto"/>
        </w:rPr>
        <w:t>九、</w:t>
      </w:r>
      <w:r>
        <w:rPr>
          <w:rFonts w:hint="eastAsia" w:ascii="仿宋" w:hAnsi="仿宋" w:eastAsia="仿宋"/>
          <w:b w:val="0"/>
          <w:color w:val="auto"/>
        </w:rPr>
        <w:t>一</w:t>
      </w:r>
      <w:r>
        <w:rPr>
          <w:rStyle w:val="26"/>
          <w:rFonts w:hint="eastAsia" w:ascii="仿宋" w:hAnsi="仿宋" w:eastAsia="仿宋"/>
          <w:b w:val="0"/>
          <w:bCs w:val="0"/>
          <w:color w:val="auto"/>
        </w:rPr>
        <w:t>般公共预算财政拨款项目支出决算表</w:t>
      </w:r>
      <w:bookmarkEnd w:id="74"/>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5" w:name="_Toc15396628"/>
      <w:r>
        <w:rPr>
          <w:rStyle w:val="26"/>
          <w:rFonts w:hint="eastAsia" w:ascii="仿宋" w:hAnsi="仿宋" w:eastAsia="仿宋"/>
          <w:b w:val="0"/>
          <w:bCs w:val="0"/>
          <w:color w:val="auto"/>
        </w:rPr>
        <w:t>十、</w:t>
      </w:r>
      <w:r>
        <w:rPr>
          <w:rFonts w:hint="eastAsia" w:ascii="仿宋" w:hAnsi="仿宋" w:eastAsia="仿宋"/>
          <w:b w:val="0"/>
          <w:color w:val="auto"/>
        </w:rPr>
        <w:t>一</w:t>
      </w:r>
      <w:r>
        <w:rPr>
          <w:rStyle w:val="26"/>
          <w:rFonts w:hint="eastAsia" w:ascii="仿宋" w:hAnsi="仿宋" w:eastAsia="仿宋"/>
          <w:b w:val="0"/>
          <w:bCs w:val="0"/>
          <w:color w:val="auto"/>
        </w:rPr>
        <w:t>般公共预算财政拨款“三公”经费支出决算表</w:t>
      </w:r>
      <w:bookmarkEnd w:id="75"/>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6" w:name="_Toc15396629"/>
      <w:r>
        <w:rPr>
          <w:rStyle w:val="26"/>
          <w:rFonts w:hint="eastAsia" w:ascii="仿宋" w:hAnsi="仿宋" w:eastAsia="仿宋"/>
          <w:b w:val="0"/>
          <w:bCs w:val="0"/>
          <w:color w:val="auto"/>
        </w:rPr>
        <w:t>十一、</w:t>
      </w:r>
      <w:r>
        <w:rPr>
          <w:rFonts w:hint="eastAsia" w:ascii="仿宋" w:hAnsi="仿宋" w:eastAsia="仿宋"/>
          <w:b w:val="0"/>
          <w:color w:val="auto"/>
        </w:rPr>
        <w:t>政</w:t>
      </w:r>
      <w:r>
        <w:rPr>
          <w:rStyle w:val="26"/>
          <w:rFonts w:hint="eastAsia" w:ascii="仿宋" w:hAnsi="仿宋" w:eastAsia="仿宋"/>
          <w:b w:val="0"/>
          <w:bCs w:val="0"/>
          <w:color w:val="auto"/>
        </w:rPr>
        <w:t>府性基金预算财政拨款收入支出决算表</w:t>
      </w:r>
      <w:bookmarkEnd w:id="76"/>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7" w:name="_Toc15396630"/>
      <w:r>
        <w:rPr>
          <w:rStyle w:val="26"/>
          <w:rFonts w:hint="eastAsia" w:ascii="仿宋" w:hAnsi="仿宋" w:eastAsia="仿宋"/>
          <w:b w:val="0"/>
          <w:bCs w:val="0"/>
          <w:color w:val="auto"/>
        </w:rPr>
        <w:t>十二、</w:t>
      </w:r>
      <w:r>
        <w:rPr>
          <w:rFonts w:hint="eastAsia" w:ascii="仿宋" w:hAnsi="仿宋" w:eastAsia="仿宋"/>
          <w:b w:val="0"/>
          <w:color w:val="auto"/>
        </w:rPr>
        <w:t>政</w:t>
      </w:r>
      <w:r>
        <w:rPr>
          <w:rStyle w:val="26"/>
          <w:rFonts w:hint="eastAsia" w:ascii="仿宋" w:hAnsi="仿宋" w:eastAsia="仿宋"/>
          <w:b w:val="0"/>
          <w:bCs w:val="0"/>
          <w:color w:val="auto"/>
        </w:rPr>
        <w:t>府性基金预算财政拨款“三公”经费支出决算表</w:t>
      </w:r>
      <w:bookmarkEnd w:id="77"/>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rPr>
      </w:pPr>
      <w:bookmarkStart w:id="78" w:name="_Toc15396631"/>
      <w:r>
        <w:rPr>
          <w:rStyle w:val="26"/>
          <w:rFonts w:hint="eastAsia" w:ascii="仿宋" w:hAnsi="仿宋" w:eastAsia="仿宋"/>
          <w:b w:val="0"/>
          <w:bCs w:val="0"/>
          <w:color w:val="auto"/>
        </w:rPr>
        <w:t>十三、</w:t>
      </w:r>
      <w:r>
        <w:rPr>
          <w:rFonts w:hint="eastAsia" w:ascii="仿宋" w:hAnsi="仿宋" w:eastAsia="仿宋"/>
          <w:b w:val="0"/>
          <w:color w:val="auto"/>
        </w:rPr>
        <w:t>国</w:t>
      </w:r>
      <w:r>
        <w:rPr>
          <w:rStyle w:val="26"/>
          <w:rFonts w:hint="eastAsia" w:ascii="仿宋" w:hAnsi="仿宋" w:eastAsia="仿宋"/>
          <w:b w:val="0"/>
          <w:bCs w:val="0"/>
          <w:color w:val="auto"/>
        </w:rPr>
        <w:t>有资本经营预算支出决算表</w:t>
      </w:r>
      <w:bookmarkEnd w:id="78"/>
    </w:p>
    <w:sectPr>
      <w:footerReference r:id="rId6" w:type="first"/>
      <w:footerReference r:id="rId5" w:type="default"/>
      <w:pgSz w:w="11906" w:h="16838"/>
      <w:pgMar w:top="2098" w:right="1531" w:bottom="1984"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docPartObj>
          <w:docPartGallery w:val="autotext"/>
        </w:docPartObj>
      </w:sdtP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sdt>
      <w:sdtPr>
        <w:id w:val="-1994781956"/>
        <w:docPartObj>
          <w:docPartGallery w:val="autotext"/>
        </w:docPartObj>
      </w:sdtPr>
      <w:sdtContent/>
    </w:sdt>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1E24"/>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51C25"/>
    <w:rsid w:val="0037013F"/>
    <w:rsid w:val="00380C92"/>
    <w:rsid w:val="003925BE"/>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7188"/>
    <w:rsid w:val="006A3141"/>
    <w:rsid w:val="006A5E34"/>
    <w:rsid w:val="006B2422"/>
    <w:rsid w:val="006B2B9A"/>
    <w:rsid w:val="006C1937"/>
    <w:rsid w:val="006F020C"/>
    <w:rsid w:val="006F47E3"/>
    <w:rsid w:val="007127B7"/>
    <w:rsid w:val="007416B6"/>
    <w:rsid w:val="00746F48"/>
    <w:rsid w:val="0075404D"/>
    <w:rsid w:val="0076182A"/>
    <w:rsid w:val="00767B7E"/>
    <w:rsid w:val="007770C3"/>
    <w:rsid w:val="00784D24"/>
    <w:rsid w:val="00785FBA"/>
    <w:rsid w:val="00786E4A"/>
    <w:rsid w:val="007875EB"/>
    <w:rsid w:val="0079426B"/>
    <w:rsid w:val="007D312A"/>
    <w:rsid w:val="007D3ACA"/>
    <w:rsid w:val="007D3F19"/>
    <w:rsid w:val="007E23B0"/>
    <w:rsid w:val="007F1991"/>
    <w:rsid w:val="007F2C2F"/>
    <w:rsid w:val="007F3B10"/>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69B5"/>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174FE"/>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1605A"/>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568D7"/>
    <w:rsid w:val="021B7AD9"/>
    <w:rsid w:val="043D5378"/>
    <w:rsid w:val="06F254AC"/>
    <w:rsid w:val="095A64EE"/>
    <w:rsid w:val="0C3F7E9A"/>
    <w:rsid w:val="0C6E352F"/>
    <w:rsid w:val="0E631478"/>
    <w:rsid w:val="0EC060E0"/>
    <w:rsid w:val="106A3DE9"/>
    <w:rsid w:val="10C055FF"/>
    <w:rsid w:val="10D82EA9"/>
    <w:rsid w:val="126E3F6E"/>
    <w:rsid w:val="16B81444"/>
    <w:rsid w:val="16BB723D"/>
    <w:rsid w:val="1740532A"/>
    <w:rsid w:val="18966115"/>
    <w:rsid w:val="1A80592F"/>
    <w:rsid w:val="1A8820BA"/>
    <w:rsid w:val="1ABB3F77"/>
    <w:rsid w:val="1BB53A97"/>
    <w:rsid w:val="1CD3746A"/>
    <w:rsid w:val="1DE97085"/>
    <w:rsid w:val="1F6853CE"/>
    <w:rsid w:val="1F892CFC"/>
    <w:rsid w:val="1F8B5058"/>
    <w:rsid w:val="200C03C4"/>
    <w:rsid w:val="23257467"/>
    <w:rsid w:val="23580DBD"/>
    <w:rsid w:val="23633B32"/>
    <w:rsid w:val="23E80F66"/>
    <w:rsid w:val="240371BF"/>
    <w:rsid w:val="26230585"/>
    <w:rsid w:val="274E64EF"/>
    <w:rsid w:val="286760B0"/>
    <w:rsid w:val="29FD04D3"/>
    <w:rsid w:val="2A376B4B"/>
    <w:rsid w:val="2A6F4BFD"/>
    <w:rsid w:val="2BCE39E3"/>
    <w:rsid w:val="2C401EA4"/>
    <w:rsid w:val="2CBC555E"/>
    <w:rsid w:val="2EE11744"/>
    <w:rsid w:val="2F4967BC"/>
    <w:rsid w:val="2FF75D05"/>
    <w:rsid w:val="2FF95703"/>
    <w:rsid w:val="319F7F4E"/>
    <w:rsid w:val="31D51B5C"/>
    <w:rsid w:val="33720D98"/>
    <w:rsid w:val="33D016B4"/>
    <w:rsid w:val="34FA26EE"/>
    <w:rsid w:val="350B2A46"/>
    <w:rsid w:val="355C6EB5"/>
    <w:rsid w:val="365247F4"/>
    <w:rsid w:val="37441265"/>
    <w:rsid w:val="3AE21D72"/>
    <w:rsid w:val="3C205A6E"/>
    <w:rsid w:val="3CCE4F8A"/>
    <w:rsid w:val="3DB45811"/>
    <w:rsid w:val="3E1732B3"/>
    <w:rsid w:val="41736E46"/>
    <w:rsid w:val="41F855D8"/>
    <w:rsid w:val="43FD66D5"/>
    <w:rsid w:val="442E42BF"/>
    <w:rsid w:val="468D0D97"/>
    <w:rsid w:val="47A36DE4"/>
    <w:rsid w:val="48F30DC3"/>
    <w:rsid w:val="4A27021D"/>
    <w:rsid w:val="4B0C28E4"/>
    <w:rsid w:val="4B0D7069"/>
    <w:rsid w:val="4CD24457"/>
    <w:rsid w:val="4D0724C3"/>
    <w:rsid w:val="4DB47239"/>
    <w:rsid w:val="4E18370E"/>
    <w:rsid w:val="4F37033A"/>
    <w:rsid w:val="4FB23154"/>
    <w:rsid w:val="502250B9"/>
    <w:rsid w:val="51B750D0"/>
    <w:rsid w:val="532B58EB"/>
    <w:rsid w:val="542647CE"/>
    <w:rsid w:val="54573694"/>
    <w:rsid w:val="560738D7"/>
    <w:rsid w:val="57250432"/>
    <w:rsid w:val="58036272"/>
    <w:rsid w:val="58B210AB"/>
    <w:rsid w:val="59BE421E"/>
    <w:rsid w:val="5B07556D"/>
    <w:rsid w:val="5C585FCE"/>
    <w:rsid w:val="5CCF2855"/>
    <w:rsid w:val="5E4E2765"/>
    <w:rsid w:val="5F1940CB"/>
    <w:rsid w:val="5F7C435A"/>
    <w:rsid w:val="5FC356D6"/>
    <w:rsid w:val="62241FA3"/>
    <w:rsid w:val="6338129D"/>
    <w:rsid w:val="6ADC3577"/>
    <w:rsid w:val="6B034A36"/>
    <w:rsid w:val="6B9A565C"/>
    <w:rsid w:val="6CBD36A6"/>
    <w:rsid w:val="6FBD7DF1"/>
    <w:rsid w:val="705B5E8E"/>
    <w:rsid w:val="722561A4"/>
    <w:rsid w:val="72F65197"/>
    <w:rsid w:val="74BA1410"/>
    <w:rsid w:val="74FC4D24"/>
    <w:rsid w:val="768B1A4B"/>
    <w:rsid w:val="78A16952"/>
    <w:rsid w:val="78F54BE7"/>
    <w:rsid w:val="78F57FB4"/>
    <w:rsid w:val="792215C1"/>
    <w:rsid w:val="7A4A3667"/>
    <w:rsid w:val="7FD719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l\Desktop\&#26032;&#24314;%20Microsoft%20Excel%2097-2003%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l\Desktop\&#26032;&#24314;%20Microsoft%20Excel%2097-2003%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l\Desktop\&#26032;&#24314;%20Microsoft%20Excel%2097-2003%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l\Desktop\&#26032;&#24314;%20Microsoft%20Excel%2097-2003%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cl\Desktop\&#26032;&#24314;%20Microsoft%20Excel%2097-2003%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cl\Desktop\&#26032;&#24314;%20Microsoft%20Excel%2097-2003%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l\Desktop\&#26032;&#24314;%20Microsoft%20Excel%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2017-2018</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年财政拨款收、支决算</a:t>
            </a:r>
            <a:endParaRPr altLang="en-US"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总计变动情况</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'[新建 Microsoft Excel 97-2003 工作表.xls]Sheet1'!$A$5:$D$6</c:f>
              <c:multiLvlStrCache>
                <c:ptCount val="4"/>
                <c:lvl>
                  <c:pt idx="1">
                    <c:v>2018年</c:v>
                  </c:pt>
                  <c:pt idx="2">
                    <c:v>2017年</c:v>
                  </c:pt>
                </c:lvl>
                <c:lvl/>
              </c:multiLvlStrCache>
            </c:multiLvlStrRef>
          </c:cat>
          <c:val>
            <c:numRef>
              <c:f>'[新建 Microsoft Excel 97-2003 工作表.xls]Sheet1'!$A$7:$D$7</c:f>
              <c:numCache>
                <c:formatCode>General</c:formatCode>
                <c:ptCount val="4"/>
                <c:pt idx="1">
                  <c:v>1091.88</c:v>
                </c:pt>
                <c:pt idx="2">
                  <c:v>998.77</c:v>
                </c:pt>
              </c:numCache>
            </c:numRef>
          </c:val>
        </c:ser>
        <c:dLbls>
          <c:showLegendKey val="0"/>
          <c:showVal val="0"/>
          <c:showCatName val="0"/>
          <c:showSerName val="0"/>
          <c:showPercent val="0"/>
          <c:showBubbleSize val="0"/>
        </c:dLbls>
        <c:gapWidth val="150"/>
        <c:overlap val="0"/>
        <c:axId val="157530580"/>
        <c:axId val="897599417"/>
      </c:barChart>
      <c:catAx>
        <c:axId val="1575305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599417"/>
        <c:crosses val="autoZero"/>
        <c:auto val="1"/>
        <c:lblAlgn val="ctr"/>
        <c:lblOffset val="100"/>
        <c:noMultiLvlLbl val="0"/>
      </c:catAx>
      <c:valAx>
        <c:axId val="89759941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5305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2018</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年收入合计表</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'[新建 Microsoft Excel 97-2003 工作表.xls]Sheet1'!$A$30:$H$31</c:f>
              <c:multiLvlStrCache>
                <c:ptCount val="8"/>
                <c:lvl>
                  <c:pt idx="0">
                    <c:v>一般公共预算财政拨款收入</c:v>
                  </c:pt>
                  <c:pt idx="1">
                    <c:v>其他收入</c:v>
                  </c:pt>
                </c:lvl>
                <c:lvl>
                  <c:pt idx="0">
                    <c:v>2018年本年收入合计表</c:v>
                  </c:pt>
                </c:lvl>
              </c:multiLvlStrCache>
            </c:multiLvlStrRef>
          </c:cat>
          <c:val>
            <c:numRef>
              <c:f>'[新建 Microsoft Excel 97-2003 工作表.xls]Sheet1'!$A$32:$B$32</c:f>
              <c:numCache>
                <c:formatCode>General</c:formatCode>
                <c:ptCount val="2"/>
                <c:pt idx="0">
                  <c:v>984.97</c:v>
                </c:pt>
                <c:pt idx="1">
                  <c:v>15.87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年支出总计表</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97-2003 工作表.xls]Sheet1'!$A$51:$B$51</c:f>
              <c:strCache>
                <c:ptCount val="2"/>
                <c:pt idx="0">
                  <c:v>基本支出</c:v>
                </c:pt>
                <c:pt idx="1">
                  <c:v>项目支出</c:v>
                </c:pt>
              </c:strCache>
            </c:strRef>
          </c:cat>
          <c:val>
            <c:numRef>
              <c:f>'[新建 Microsoft Excel 97-2003 工作表.xls]Sheet1'!$A$52:$B$52</c:f>
              <c:numCache>
                <c:formatCode>General</c:formatCode>
                <c:ptCount val="2"/>
                <c:pt idx="0">
                  <c:v>749.03</c:v>
                </c:pt>
                <c:pt idx="1">
                  <c:v>262.29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15972222222222"/>
          <c:y val="0.41087962962963"/>
          <c:w val="0.167361111111111"/>
          <c:h val="0.2048611111111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2017-2018年一般公共预算财政拨款支出</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决算变动情况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97-2003 工作表.xls]Sheet1'!$B$6:$C$6</c:f>
              <c:strCache>
                <c:ptCount val="2"/>
                <c:pt idx="0">
                  <c:v>2018年</c:v>
                </c:pt>
                <c:pt idx="1">
                  <c:v>2017年</c:v>
                </c:pt>
              </c:strCache>
            </c:strRef>
          </c:cat>
          <c:val>
            <c:numRef>
              <c:f>'[新建 Microsoft Excel 97-2003 工作表.xls]Sheet1'!$B$7:$C$7</c:f>
              <c:numCache>
                <c:formatCode>General</c:formatCode>
                <c:ptCount val="2"/>
                <c:pt idx="0">
                  <c:v>1015.46</c:v>
                </c:pt>
                <c:pt idx="1">
                  <c:v>998.77</c:v>
                </c:pt>
              </c:numCache>
            </c:numRef>
          </c:val>
        </c:ser>
        <c:dLbls>
          <c:showLegendKey val="0"/>
          <c:showVal val="0"/>
          <c:showCatName val="0"/>
          <c:showSerName val="0"/>
          <c:showPercent val="0"/>
          <c:showBubbleSize val="0"/>
        </c:dLbls>
        <c:gapWidth val="150"/>
        <c:overlap val="0"/>
        <c:axId val="549583093"/>
        <c:axId val="722200098"/>
      </c:barChart>
      <c:catAx>
        <c:axId val="5495830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200098"/>
        <c:crosses val="autoZero"/>
        <c:auto val="1"/>
        <c:lblAlgn val="ctr"/>
        <c:lblOffset val="100"/>
        <c:noMultiLvlLbl val="0"/>
      </c:catAx>
      <c:valAx>
        <c:axId val="72220009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95830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2017-2018年一般公共预算财政拨款支出</a:t>
            </a:r>
          </a:p>
          <a:p>
            <a:pPr defTabSz="914400">
              <a:defRPr lang="zh-CN" sz="1400" b="0" i="0" u="none" strike="noStrike" kern="1200" spc="0" baseline="0">
                <a:solidFill>
                  <a:schemeClr val="tx1">
                    <a:lumMod val="65000"/>
                    <a:lumOff val="35000"/>
                  </a:schemeClr>
                </a:solidFill>
                <a:latin typeface="+mn-lt"/>
                <a:ea typeface="+mn-ea"/>
                <a:cs typeface="+mn-cs"/>
              </a:defRPr>
            </a:pPr>
            <a:r>
              <a:t>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97-2003 工作表.xls]Sheet1'!$C$6:$D$6</c:f>
              <c:strCache>
                <c:ptCount val="2"/>
                <c:pt idx="0">
                  <c:v>2017年</c:v>
                </c:pt>
                <c:pt idx="1">
                  <c:v>2018年</c:v>
                </c:pt>
              </c:strCache>
            </c:strRef>
          </c:cat>
          <c:val>
            <c:numRef>
              <c:f>'[新建 Microsoft Excel 97-2003 工作表.xls]Sheet1'!$C$7:$D$7</c:f>
              <c:numCache>
                <c:formatCode>General</c:formatCode>
                <c:ptCount val="2"/>
                <c:pt idx="0">
                  <c:v>939.06</c:v>
                </c:pt>
                <c:pt idx="1">
                  <c:v>995.44</c:v>
                </c:pt>
              </c:numCache>
            </c:numRef>
          </c:val>
        </c:ser>
        <c:dLbls>
          <c:showLegendKey val="0"/>
          <c:showVal val="0"/>
          <c:showCatName val="0"/>
          <c:showSerName val="0"/>
          <c:showPercent val="0"/>
          <c:showBubbleSize val="0"/>
        </c:dLbls>
        <c:gapWidth val="150"/>
        <c:overlap val="0"/>
        <c:axId val="533255054"/>
        <c:axId val="614290476"/>
      </c:barChart>
      <c:catAx>
        <c:axId val="533255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4290476"/>
        <c:crosses val="autoZero"/>
        <c:auto val="1"/>
        <c:lblAlgn val="ctr"/>
        <c:lblOffset val="100"/>
        <c:noMultiLvlLbl val="0"/>
      </c:catAx>
      <c:valAx>
        <c:axId val="6142904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25505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2018年一般公共预算财政拨款支出表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97-2003 工作表.xls]Sheet1'!$A$83:$D$83</c:f>
              <c:strCache>
                <c:ptCount val="4"/>
                <c:pt idx="0">
                  <c:v>一般公共服务</c:v>
                </c:pt>
                <c:pt idx="1">
                  <c:v>社会保障和就业</c:v>
                </c:pt>
                <c:pt idx="2">
                  <c:v>医疗卫生与计划生育</c:v>
                </c:pt>
                <c:pt idx="3">
                  <c:v>住房保障</c:v>
                </c:pt>
              </c:strCache>
            </c:strRef>
          </c:cat>
          <c:val>
            <c:numRef>
              <c:f>'[新建 Microsoft Excel 97-2003 工作表.xls]Sheet1'!$A$84:$D$84</c:f>
              <c:numCache>
                <c:formatCode>General</c:formatCode>
                <c:ptCount val="4"/>
                <c:pt idx="0">
                  <c:v>856.13</c:v>
                </c:pt>
                <c:pt idx="1">
                  <c:v>63.46</c:v>
                </c:pt>
                <c:pt idx="2">
                  <c:v>23.17</c:v>
                </c:pt>
                <c:pt idx="3">
                  <c:v>52.69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a:t>
            </a:r>
            <a:r>
              <a:t>“三公”经费财政拨款支出表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97-2003 工作表.xls]Sheet1'!$A$83:$C$83</c:f>
              <c:strCache>
                <c:ptCount val="3"/>
                <c:pt idx="0">
                  <c:v>因公出国（境）</c:v>
                </c:pt>
                <c:pt idx="1">
                  <c:v>公务用车购置及运行维护费</c:v>
                </c:pt>
                <c:pt idx="2">
                  <c:v>公务接待</c:v>
                </c:pt>
              </c:strCache>
            </c:strRef>
          </c:cat>
          <c:val>
            <c:numRef>
              <c:f>'[新建 Microsoft Excel 97-2003 工作表.xls]Sheet1'!$A$84:$C$84</c:f>
              <c:numCache>
                <c:formatCode>General</c:formatCode>
                <c:ptCount val="3"/>
                <c:pt idx="0">
                  <c:v>2.02</c:v>
                </c:pt>
                <c:pt idx="1">
                  <c:v>0</c:v>
                </c:pt>
                <c:pt idx="2">
                  <c:v>10.13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1431</Words>
  <Characters>8161</Characters>
  <Lines>68</Lines>
  <Paragraphs>19</Paragraphs>
  <TotalTime>0</TotalTime>
  <ScaleCrop>false</ScaleCrop>
  <LinksUpToDate>false</LinksUpToDate>
  <CharactersWithSpaces>9573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2019-09-26T08:57:00Z</cp:lastPrinted>
  <dcterms:modified xsi:type="dcterms:W3CDTF">2019-10-08T01:26:38Z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